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92E9" w14:textId="77777777" w:rsidR="00E84E0F" w:rsidRPr="00441161" w:rsidRDefault="00E84E0F" w:rsidP="00E84E0F">
      <w:pPr>
        <w:spacing w:line="276" w:lineRule="auto"/>
        <w:jc w:val="both"/>
        <w:rPr>
          <w:b/>
          <w:bCs/>
        </w:rPr>
      </w:pPr>
      <w:r w:rsidRPr="00441161">
        <w:rPr>
          <w:b/>
          <w:bCs/>
        </w:rPr>
        <w:t xml:space="preserve">Noziedzīgā nodarījuma – piesavināšanās – priekšmets darbībās ar nekustamo īpašumu </w:t>
      </w:r>
    </w:p>
    <w:p w14:paraId="0CBDB9F5" w14:textId="77777777" w:rsidR="00E84E0F" w:rsidRPr="00441161" w:rsidRDefault="00E84E0F" w:rsidP="00E84E0F">
      <w:pPr>
        <w:spacing w:line="276" w:lineRule="auto"/>
        <w:jc w:val="both"/>
      </w:pPr>
      <w:r w:rsidRPr="00441161">
        <w:t xml:space="preserve">Ja pilnvarnieks, izmantojot viņam piešķirto pilnvarojumu, noslēdz nekustamā īpašuma pirkuma līgumu pats ar sevi, reģistrē īpašuma tiesības zemesgrāmatā uz sava vārda un ar </w:t>
      </w:r>
      <w:proofErr w:type="spellStart"/>
      <w:r w:rsidRPr="00441161">
        <w:t>pilnvardevēju</w:t>
      </w:r>
      <w:proofErr w:type="spellEnd"/>
      <w:r w:rsidRPr="00441161">
        <w:t xml:space="preserve"> nenorēķinās, piesavināšanās priekšmets ir nekustamais īpašums. Savukārt, ja pilnvarnieks atsavina viņam uzticēto mantu trešajai personai, saņem pirkuma maksu, kas nododama </w:t>
      </w:r>
      <w:proofErr w:type="spellStart"/>
      <w:r w:rsidRPr="00441161">
        <w:t>pilnvardevējam</w:t>
      </w:r>
      <w:proofErr w:type="spellEnd"/>
      <w:r w:rsidRPr="00441161">
        <w:t>, bet to nenodod tam, piesavināšanās priekšmets ir saņemtā pirkuma maksa. Līdz ar to pirmajā gadījumā noziedzīgi iegūtā manta ir nekustamais īpašums, bet otrajā gadījumā – saņemtā pirkuma maksa.</w:t>
      </w:r>
    </w:p>
    <w:p w14:paraId="6B73E230" w14:textId="77777777" w:rsidR="00E84E0F" w:rsidRPr="00441161" w:rsidRDefault="00E84E0F" w:rsidP="00E84E0F">
      <w:pPr>
        <w:spacing w:line="276" w:lineRule="auto"/>
        <w:jc w:val="both"/>
      </w:pPr>
    </w:p>
    <w:p w14:paraId="57B94C77" w14:textId="77777777" w:rsidR="00E84E0F" w:rsidRPr="00441161" w:rsidRDefault="00E84E0F" w:rsidP="00E84E0F">
      <w:pPr>
        <w:spacing w:line="276" w:lineRule="auto"/>
        <w:jc w:val="both"/>
        <w:rPr>
          <w:b/>
          <w:bCs/>
        </w:rPr>
      </w:pPr>
      <w:r w:rsidRPr="00441161">
        <w:rPr>
          <w:b/>
          <w:bCs/>
        </w:rPr>
        <w:t>Piesavināšanās, izmantojot ar pilnvarojumu piešķirtās tiesības</w:t>
      </w:r>
    </w:p>
    <w:p w14:paraId="7AB742F9" w14:textId="77777777" w:rsidR="00E84E0F" w:rsidRPr="00441161" w:rsidRDefault="00E84E0F" w:rsidP="00E84E0F">
      <w:pPr>
        <w:spacing w:line="276" w:lineRule="auto"/>
        <w:jc w:val="both"/>
      </w:pPr>
      <w:r w:rsidRPr="00441161">
        <w:t xml:space="preserve">Apstāklis, ka pilnvarojums vispārīgi piešķir tiesības atsavināt mantu bez atlīdzības, pats par sevi neizslēdz piesavināšanās sastāva esību Krimināllikuma 179. panta izpratnē, ja pilnvarnieks konkrētajā situācijā ir rīkojies pretēji </w:t>
      </w:r>
      <w:proofErr w:type="spellStart"/>
      <w:r w:rsidRPr="00441161">
        <w:t>pilnvardevēja</w:t>
      </w:r>
      <w:proofErr w:type="spellEnd"/>
      <w:r w:rsidRPr="00441161">
        <w:t xml:space="preserve"> interesēm un mantu prettiesiski ieguvis sev.</w:t>
      </w:r>
    </w:p>
    <w:p w14:paraId="58E41BF7" w14:textId="77777777" w:rsidR="00E84E0F" w:rsidRPr="00441161" w:rsidRDefault="00E84E0F" w:rsidP="00E84E0F">
      <w:pPr>
        <w:spacing w:line="276" w:lineRule="auto"/>
        <w:jc w:val="both"/>
      </w:pPr>
    </w:p>
    <w:p w14:paraId="4211ACCB" w14:textId="77777777" w:rsidR="00E84E0F" w:rsidRPr="00441161" w:rsidRDefault="00E84E0F" w:rsidP="00E84E0F">
      <w:pPr>
        <w:spacing w:line="276" w:lineRule="auto"/>
        <w:jc w:val="both"/>
        <w:rPr>
          <w:b/>
          <w:bCs/>
        </w:rPr>
      </w:pPr>
      <w:r w:rsidRPr="00441161">
        <w:rPr>
          <w:b/>
          <w:bCs/>
        </w:rPr>
        <w:t>Mantas likumīgais valdītājs Kriminālprocesa likuma 360.</w:t>
      </w:r>
      <w:r>
        <w:rPr>
          <w:b/>
          <w:bCs/>
        </w:rPr>
        <w:t> </w:t>
      </w:r>
      <w:r w:rsidRPr="00441161">
        <w:rPr>
          <w:b/>
          <w:bCs/>
        </w:rPr>
        <w:t>panta pirmās daļas izpratnē</w:t>
      </w:r>
    </w:p>
    <w:p w14:paraId="3B1ECE53" w14:textId="77777777" w:rsidR="00E84E0F" w:rsidRPr="00441161" w:rsidRDefault="00E84E0F" w:rsidP="00E84E0F">
      <w:pPr>
        <w:spacing w:line="276" w:lineRule="auto"/>
        <w:jc w:val="both"/>
      </w:pPr>
      <w:r w:rsidRPr="00441161">
        <w:t>Kriminālprocesa likuma 360.</w:t>
      </w:r>
      <w:r>
        <w:t> </w:t>
      </w:r>
      <w:r w:rsidRPr="00441161">
        <w:t>panta pirmās daļas izpratnē mantas likumīgais valdītājs ir tā persona, kuras likumīgajā valdījumā manta atradusies pirms tās zaudēšanas noziedzīga nodarījuma rezultātā.</w:t>
      </w:r>
    </w:p>
    <w:p w14:paraId="0D929B10" w14:textId="77777777" w:rsidR="00E84E0F" w:rsidRPr="00441161" w:rsidRDefault="00E84E0F" w:rsidP="00E84E0F">
      <w:pPr>
        <w:spacing w:line="276" w:lineRule="auto"/>
        <w:jc w:val="both"/>
      </w:pPr>
    </w:p>
    <w:p w14:paraId="2A8C41AB" w14:textId="77777777" w:rsidR="00E84E0F" w:rsidRDefault="00E84E0F" w:rsidP="00E84E0F">
      <w:pPr>
        <w:spacing w:line="276" w:lineRule="auto"/>
        <w:jc w:val="both"/>
      </w:pPr>
      <w:r w:rsidRPr="00441161">
        <w:rPr>
          <w:b/>
          <w:bCs/>
        </w:rPr>
        <w:t xml:space="preserve">Normu interpretācijas un </w:t>
      </w:r>
      <w:proofErr w:type="spellStart"/>
      <w:r w:rsidRPr="00441161">
        <w:rPr>
          <w:b/>
          <w:bCs/>
        </w:rPr>
        <w:t>tālākveidošanas</w:t>
      </w:r>
      <w:proofErr w:type="spellEnd"/>
      <w:r w:rsidRPr="00441161">
        <w:rPr>
          <w:b/>
          <w:bCs/>
        </w:rPr>
        <w:t xml:space="preserve"> metožu izmantošanas ierobežojumi</w:t>
      </w:r>
      <w:r w:rsidRPr="00441161">
        <w:t xml:space="preserve"> </w:t>
      </w:r>
    </w:p>
    <w:p w14:paraId="219838F8" w14:textId="77777777" w:rsidR="00E84E0F" w:rsidRDefault="00E84E0F" w:rsidP="00E84E0F">
      <w:pPr>
        <w:spacing w:line="276" w:lineRule="auto"/>
        <w:jc w:val="both"/>
      </w:pPr>
    </w:p>
    <w:p w14:paraId="30EF74F0" w14:textId="61C01952" w:rsidR="00447EE6" w:rsidRPr="00E84E0F" w:rsidRDefault="00447EE6" w:rsidP="00E84E0F">
      <w:pPr>
        <w:spacing w:line="276" w:lineRule="auto"/>
        <w:jc w:val="center"/>
      </w:pPr>
      <w:r w:rsidRPr="00011547">
        <w:rPr>
          <w:b/>
        </w:rPr>
        <w:t>Latvijas Republikas Senāt</w:t>
      </w:r>
      <w:r w:rsidR="00952742">
        <w:rPr>
          <w:b/>
        </w:rPr>
        <w:t>a</w:t>
      </w:r>
    </w:p>
    <w:p w14:paraId="18D9DDE5" w14:textId="650B7A4C" w:rsidR="00952742" w:rsidRPr="00952742" w:rsidRDefault="00952742" w:rsidP="00952742">
      <w:pPr>
        <w:spacing w:line="276" w:lineRule="auto"/>
        <w:jc w:val="center"/>
        <w:rPr>
          <w:b/>
          <w:bCs/>
          <w:lang w:eastAsia="lv-LV"/>
        </w:rPr>
      </w:pPr>
      <w:r w:rsidRPr="00952742">
        <w:rPr>
          <w:b/>
          <w:bCs/>
          <w:lang w:eastAsia="lv-LV"/>
        </w:rPr>
        <w:t>Krimināllietu departament</w:t>
      </w:r>
      <w:r w:rsidRPr="00952742">
        <w:rPr>
          <w:b/>
          <w:bCs/>
          <w:lang w:eastAsia="lv-LV"/>
        </w:rPr>
        <w:t>a</w:t>
      </w:r>
    </w:p>
    <w:p w14:paraId="2E491123" w14:textId="613E6379" w:rsidR="00952742" w:rsidRPr="00952742" w:rsidRDefault="00952742" w:rsidP="00952742">
      <w:pPr>
        <w:spacing w:line="276" w:lineRule="auto"/>
        <w:jc w:val="center"/>
        <w:rPr>
          <w:b/>
          <w:bCs/>
        </w:rPr>
      </w:pPr>
      <w:r w:rsidRPr="00952742">
        <w:rPr>
          <w:b/>
          <w:bCs/>
        </w:rPr>
        <w:t>2026. gada 13. aprī</w:t>
      </w:r>
      <w:r w:rsidRPr="00952742">
        <w:rPr>
          <w:b/>
          <w:bCs/>
        </w:rPr>
        <w:t>ļa</w:t>
      </w:r>
    </w:p>
    <w:p w14:paraId="4069147C" w14:textId="1A43B5D0" w:rsidR="00952742" w:rsidRPr="00952742" w:rsidRDefault="0084599C" w:rsidP="00952742">
      <w:pPr>
        <w:spacing w:line="276" w:lineRule="auto"/>
        <w:jc w:val="center"/>
        <w:rPr>
          <w:b/>
          <w:bCs/>
        </w:rPr>
      </w:pPr>
      <w:r w:rsidRPr="00952742">
        <w:rPr>
          <w:b/>
          <w:bCs/>
        </w:rPr>
        <w:t>LĒMUMS</w:t>
      </w:r>
    </w:p>
    <w:p w14:paraId="5782DDBA" w14:textId="3E28DB12" w:rsidR="00952742" w:rsidRPr="00952742" w:rsidRDefault="00952742" w:rsidP="00952742">
      <w:pPr>
        <w:spacing w:line="276" w:lineRule="auto"/>
        <w:jc w:val="center"/>
        <w:rPr>
          <w:b/>
          <w:bCs/>
          <w:lang w:eastAsia="lv-LV"/>
        </w:rPr>
      </w:pPr>
      <w:r w:rsidRPr="00952742">
        <w:rPr>
          <w:b/>
          <w:bCs/>
          <w:lang w:eastAsia="lv-LV"/>
        </w:rPr>
        <w:t>Lieta Nr.</w:t>
      </w:r>
      <w:r w:rsidRPr="00952742">
        <w:rPr>
          <w:b/>
          <w:bCs/>
          <w:lang w:val="en-US" w:eastAsia="lv-LV"/>
        </w:rPr>
        <w:t xml:space="preserve"> 11517000720</w:t>
      </w:r>
      <w:r w:rsidRPr="00952742">
        <w:rPr>
          <w:b/>
          <w:bCs/>
          <w:lang w:eastAsia="lv-LV"/>
        </w:rPr>
        <w:t>, SKK-198/2026</w:t>
      </w:r>
    </w:p>
    <w:p w14:paraId="6D65DEB2" w14:textId="2A677FC4" w:rsidR="00447EE6" w:rsidRPr="00952742" w:rsidRDefault="00952742" w:rsidP="00177A7F">
      <w:pPr>
        <w:spacing w:line="276" w:lineRule="auto"/>
        <w:jc w:val="center"/>
        <w:rPr>
          <w:rFonts w:asciiTheme="majorBidi" w:hAnsiTheme="majorBidi" w:cstheme="majorBidi"/>
        </w:rPr>
      </w:pPr>
      <w:hyperlink r:id="rId7" w:history="1">
        <w:r w:rsidRPr="00952742">
          <w:rPr>
            <w:rStyle w:val="Hyperlink"/>
            <w:rFonts w:asciiTheme="majorBidi" w:hAnsiTheme="majorBidi" w:cstheme="majorBidi"/>
            <w:shd w:val="clear" w:color="auto" w:fill="FFFFFF"/>
          </w:rPr>
          <w:t>ECLI:LV:AT:</w:t>
        </w:r>
        <w:r w:rsidRPr="00952742">
          <w:rPr>
            <w:rStyle w:val="Hyperlink"/>
            <w:rFonts w:asciiTheme="majorBidi" w:hAnsiTheme="majorBidi" w:cstheme="majorBidi"/>
            <w:shd w:val="clear" w:color="auto" w:fill="FFFFFF"/>
          </w:rPr>
          <w:t>2</w:t>
        </w:r>
        <w:r w:rsidRPr="00952742">
          <w:rPr>
            <w:rStyle w:val="Hyperlink"/>
            <w:rFonts w:asciiTheme="majorBidi" w:hAnsiTheme="majorBidi" w:cstheme="majorBidi"/>
            <w:shd w:val="clear" w:color="auto" w:fill="FFFFFF"/>
          </w:rPr>
          <w:t>026:0413.11517000720.10.L</w:t>
        </w:r>
      </w:hyperlink>
    </w:p>
    <w:p w14:paraId="1609D6F5" w14:textId="49721EF8" w:rsidR="00447EE6" w:rsidRDefault="00447EE6" w:rsidP="0084599C">
      <w:pPr>
        <w:spacing w:before="360" w:line="276" w:lineRule="auto"/>
        <w:ind w:firstLine="720"/>
        <w:jc w:val="both"/>
      </w:pPr>
      <w:r>
        <w:t xml:space="preserve">Senāts </w:t>
      </w:r>
      <w:r w:rsidRPr="00011547">
        <w:t>šādā sastāvā</w:t>
      </w:r>
      <w:r>
        <w:t>:</w:t>
      </w:r>
      <w:r w:rsidR="0084599C">
        <w:t xml:space="preserve"> senators referents Māris Leja, senator</w:t>
      </w:r>
      <w:r w:rsidR="00112F57">
        <w:t>es Sandra Kaija un Anita Poļakova</w:t>
      </w:r>
    </w:p>
    <w:p w14:paraId="4187FCEC" w14:textId="2007ECD8" w:rsidR="0084599C" w:rsidRDefault="0084599C" w:rsidP="0084599C">
      <w:pPr>
        <w:spacing w:before="360" w:line="276" w:lineRule="auto"/>
        <w:ind w:firstLine="720"/>
        <w:jc w:val="both"/>
        <w:rPr>
          <w:lang w:eastAsia="lv-LV"/>
        </w:rPr>
      </w:pPr>
      <w:r w:rsidRPr="00141872">
        <w:t>rakstveida procesā izskatīja krimināllietu sakarā</w:t>
      </w:r>
      <w:r>
        <w:t xml:space="preserve"> ar </w:t>
      </w:r>
      <w:r w:rsidR="00112F57">
        <w:t xml:space="preserve">kriminālprocesā </w:t>
      </w:r>
      <w:r w:rsidR="00440A85" w:rsidRPr="00281CE3">
        <w:t>a</w:t>
      </w:r>
      <w:r w:rsidR="00440A85">
        <w:t xml:space="preserve">izskarto </w:t>
      </w:r>
      <w:r w:rsidR="00112F57">
        <w:t xml:space="preserve">mantas īpašnieku </w:t>
      </w:r>
      <w:r w:rsidR="00952742">
        <w:t>[pers. A]</w:t>
      </w:r>
      <w:r w:rsidR="00112F57">
        <w:t xml:space="preserve"> un </w:t>
      </w:r>
      <w:r w:rsidR="00952742">
        <w:t>[pers. B]</w:t>
      </w:r>
      <w:r w:rsidR="00440A85">
        <w:t xml:space="preserve"> un viņu</w:t>
      </w:r>
      <w:r w:rsidR="00112F57" w:rsidRPr="00281CE3">
        <w:t xml:space="preserve"> </w:t>
      </w:r>
      <w:r w:rsidR="00112F57">
        <w:t xml:space="preserve">pārstāvja zvērināta advokāta Jāņa </w:t>
      </w:r>
      <w:proofErr w:type="spellStart"/>
      <w:r w:rsidR="00112F57">
        <w:t>Pušpura</w:t>
      </w:r>
      <w:proofErr w:type="spellEnd"/>
      <w:r w:rsidR="00112F57">
        <w:t xml:space="preserve"> </w:t>
      </w:r>
      <w:r w:rsidR="00112F57" w:rsidRPr="00281CE3">
        <w:t xml:space="preserve">kasācijas sūdzību par </w:t>
      </w:r>
      <w:r w:rsidR="00112F57">
        <w:t>Rīgas</w:t>
      </w:r>
      <w:r w:rsidR="00112F57" w:rsidRPr="00281CE3">
        <w:t xml:space="preserve"> apgabaltiesas 2025. gada </w:t>
      </w:r>
      <w:r w:rsidR="00112F57">
        <w:t>9. decembra spriedumu</w:t>
      </w:r>
      <w:r w:rsidR="00F51445" w:rsidRPr="00F51445">
        <w:t>.</w:t>
      </w:r>
    </w:p>
    <w:p w14:paraId="12882064" w14:textId="77777777" w:rsidR="00447EE6" w:rsidRPr="00011547" w:rsidRDefault="00447EE6" w:rsidP="00177A7F">
      <w:pPr>
        <w:spacing w:before="360" w:after="360" w:line="276" w:lineRule="auto"/>
        <w:jc w:val="center"/>
        <w:rPr>
          <w:shd w:val="clear" w:color="auto" w:fill="FFFFFF"/>
        </w:rPr>
      </w:pPr>
      <w:r w:rsidRPr="00011547">
        <w:rPr>
          <w:b/>
          <w:shd w:val="clear" w:color="auto" w:fill="FFFFFF"/>
        </w:rPr>
        <w:t>Aprakstošā daļa</w:t>
      </w:r>
    </w:p>
    <w:p w14:paraId="2553D1B8" w14:textId="77777777" w:rsidR="00440A85" w:rsidRDefault="00EA386F" w:rsidP="007358D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F9276D">
        <w:rPr>
          <w:shd w:val="clear" w:color="auto" w:fill="FFFFFF"/>
        </w:rPr>
        <w:t>1</w:t>
      </w:r>
      <w:r>
        <w:rPr>
          <w:shd w:val="clear" w:color="auto" w:fill="FFFFFF"/>
        </w:rPr>
        <w:t>]</w:t>
      </w:r>
      <w:r w:rsidR="007358D5" w:rsidRPr="007358D5">
        <w:rPr>
          <w:shd w:val="clear" w:color="auto" w:fill="FFFFFF"/>
        </w:rPr>
        <w:t xml:space="preserve"> </w:t>
      </w:r>
      <w:r w:rsidR="00CC6797">
        <w:rPr>
          <w:shd w:val="clear" w:color="auto" w:fill="FFFFFF"/>
        </w:rPr>
        <w:t xml:space="preserve">Ar </w:t>
      </w:r>
      <w:r w:rsidR="007358D5" w:rsidRPr="007358D5">
        <w:rPr>
          <w:shd w:val="clear" w:color="auto" w:fill="FFFFFF"/>
        </w:rPr>
        <w:t>Ekonomisko lietu tiesas 2025.</w:t>
      </w:r>
      <w:r w:rsidR="007358D5">
        <w:rPr>
          <w:shd w:val="clear" w:color="auto" w:fill="FFFFFF"/>
        </w:rPr>
        <w:t> </w:t>
      </w:r>
      <w:r w:rsidR="007358D5" w:rsidRPr="007358D5">
        <w:rPr>
          <w:shd w:val="clear" w:color="auto" w:fill="FFFFFF"/>
        </w:rPr>
        <w:t>gada</w:t>
      </w:r>
      <w:r w:rsidR="007358D5">
        <w:rPr>
          <w:shd w:val="clear" w:color="auto" w:fill="FFFFFF"/>
        </w:rPr>
        <w:t xml:space="preserve"> </w:t>
      </w:r>
      <w:r w:rsidR="007358D5" w:rsidRPr="007358D5">
        <w:rPr>
          <w:shd w:val="clear" w:color="auto" w:fill="FFFFFF"/>
        </w:rPr>
        <w:t>25.</w:t>
      </w:r>
      <w:r w:rsidR="007358D5">
        <w:rPr>
          <w:shd w:val="clear" w:color="auto" w:fill="FFFFFF"/>
        </w:rPr>
        <w:t xml:space="preserve"> </w:t>
      </w:r>
      <w:r w:rsidR="007358D5" w:rsidRPr="007358D5">
        <w:rPr>
          <w:shd w:val="clear" w:color="auto" w:fill="FFFFFF"/>
        </w:rPr>
        <w:t>septembra spriedumu</w:t>
      </w:r>
    </w:p>
    <w:p w14:paraId="3C0CF5AE" w14:textId="51460145" w:rsidR="00440A85" w:rsidRDefault="00952742" w:rsidP="007358D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C]</w:t>
      </w:r>
      <w:r w:rsidR="007358D5" w:rsidRPr="007358D5">
        <w:rPr>
          <w:shd w:val="clear" w:color="auto" w:fill="FFFFFF"/>
        </w:rPr>
        <w:t xml:space="preserve">, personas kods </w:t>
      </w:r>
      <w:r>
        <w:rPr>
          <w:shd w:val="clear" w:color="auto" w:fill="FFFFFF"/>
        </w:rPr>
        <w:t>[..]</w:t>
      </w:r>
      <w:r w:rsidR="007358D5" w:rsidRPr="007358D5">
        <w:rPr>
          <w:shd w:val="clear" w:color="auto" w:fill="FFFFFF"/>
        </w:rPr>
        <w:t>,</w:t>
      </w:r>
    </w:p>
    <w:p w14:paraId="6C7307B3" w14:textId="16FF3FCD" w:rsidR="003F407C" w:rsidRPr="007358D5" w:rsidRDefault="007358D5" w:rsidP="007D287F">
      <w:pPr>
        <w:pStyle w:val="NormalWeb"/>
        <w:shd w:val="clear" w:color="auto" w:fill="FFFFFF"/>
        <w:spacing w:before="0" w:beforeAutospacing="0" w:after="0" w:afterAutospacing="0" w:line="276" w:lineRule="auto"/>
        <w:ind w:firstLine="720"/>
        <w:jc w:val="both"/>
        <w:rPr>
          <w:shd w:val="clear" w:color="auto" w:fill="FFFFFF"/>
        </w:rPr>
      </w:pPr>
      <w:r w:rsidRPr="007358D5">
        <w:rPr>
          <w:shd w:val="clear" w:color="auto" w:fill="FFFFFF"/>
        </w:rPr>
        <w:t>atzīts par vainīgu</w:t>
      </w:r>
      <w:r w:rsidR="00440A85">
        <w:rPr>
          <w:shd w:val="clear" w:color="auto" w:fill="FFFFFF"/>
        </w:rPr>
        <w:t xml:space="preserve"> </w:t>
      </w:r>
      <w:r w:rsidRPr="007358D5">
        <w:rPr>
          <w:shd w:val="clear" w:color="auto" w:fill="FFFFFF"/>
        </w:rPr>
        <w:t>Krimināllikuma 179.</w:t>
      </w:r>
      <w:r w:rsidR="00440A85">
        <w:rPr>
          <w:shd w:val="clear" w:color="auto" w:fill="FFFFFF"/>
        </w:rPr>
        <w:t> </w:t>
      </w:r>
      <w:r w:rsidRPr="007358D5">
        <w:rPr>
          <w:shd w:val="clear" w:color="auto" w:fill="FFFFFF"/>
        </w:rPr>
        <w:t xml:space="preserve">panta trešajā daļā </w:t>
      </w:r>
      <w:r w:rsidR="00440A85" w:rsidRPr="007358D5">
        <w:rPr>
          <w:shd w:val="clear" w:color="auto" w:fill="FFFFFF"/>
        </w:rPr>
        <w:t>paredzēt</w:t>
      </w:r>
      <w:r w:rsidR="00440A85">
        <w:rPr>
          <w:shd w:val="clear" w:color="auto" w:fill="FFFFFF"/>
        </w:rPr>
        <w:t>ajā</w:t>
      </w:r>
      <w:r w:rsidR="00440A85" w:rsidRPr="007358D5">
        <w:rPr>
          <w:shd w:val="clear" w:color="auto" w:fill="FFFFFF"/>
        </w:rPr>
        <w:t xml:space="preserve"> </w:t>
      </w:r>
      <w:r w:rsidRPr="007358D5">
        <w:rPr>
          <w:shd w:val="clear" w:color="auto" w:fill="FFFFFF"/>
        </w:rPr>
        <w:t>noziedzīg</w:t>
      </w:r>
      <w:r w:rsidR="00440A85">
        <w:rPr>
          <w:shd w:val="clear" w:color="auto" w:fill="FFFFFF"/>
        </w:rPr>
        <w:t>aj</w:t>
      </w:r>
      <w:r w:rsidRPr="007358D5">
        <w:rPr>
          <w:shd w:val="clear" w:color="auto" w:fill="FFFFFF"/>
        </w:rPr>
        <w:t xml:space="preserve">ā </w:t>
      </w:r>
      <w:r w:rsidR="00440A85" w:rsidRPr="007358D5">
        <w:rPr>
          <w:shd w:val="clear" w:color="auto" w:fill="FFFFFF"/>
        </w:rPr>
        <w:t>nodarījum</w:t>
      </w:r>
      <w:r w:rsidR="00440A85">
        <w:rPr>
          <w:shd w:val="clear" w:color="auto" w:fill="FFFFFF"/>
        </w:rPr>
        <w:t>ā</w:t>
      </w:r>
      <w:r w:rsidRPr="007358D5">
        <w:rPr>
          <w:shd w:val="clear" w:color="auto" w:fill="FFFFFF"/>
        </w:rPr>
        <w:t xml:space="preserve"> un</w:t>
      </w:r>
      <w:r>
        <w:rPr>
          <w:shd w:val="clear" w:color="auto" w:fill="FFFFFF"/>
        </w:rPr>
        <w:t xml:space="preserve"> </w:t>
      </w:r>
      <w:r w:rsidRPr="007358D5">
        <w:rPr>
          <w:shd w:val="clear" w:color="auto" w:fill="FFFFFF"/>
        </w:rPr>
        <w:t xml:space="preserve">sodīts ar probācijas uzraudzību uz </w:t>
      </w:r>
      <w:r w:rsidR="003F407C">
        <w:rPr>
          <w:shd w:val="clear" w:color="auto" w:fill="FFFFFF"/>
        </w:rPr>
        <w:t>4</w:t>
      </w:r>
      <w:r w:rsidR="003F407C" w:rsidRPr="007358D5">
        <w:rPr>
          <w:shd w:val="clear" w:color="auto" w:fill="FFFFFF"/>
        </w:rPr>
        <w:t xml:space="preserve"> </w:t>
      </w:r>
      <w:r w:rsidRPr="007358D5">
        <w:rPr>
          <w:shd w:val="clear" w:color="auto" w:fill="FFFFFF"/>
        </w:rPr>
        <w:t>gadiem;</w:t>
      </w:r>
    </w:p>
    <w:p w14:paraId="2F311E36" w14:textId="70085A59" w:rsidR="003F407C" w:rsidRPr="007358D5" w:rsidRDefault="003F407C" w:rsidP="007D287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 xml:space="preserve">atzīts par vainīgu </w:t>
      </w:r>
      <w:r w:rsidR="007358D5" w:rsidRPr="007358D5">
        <w:rPr>
          <w:shd w:val="clear" w:color="auto" w:fill="FFFFFF"/>
        </w:rPr>
        <w:t>Krimināllikuma 195.</w:t>
      </w:r>
      <w:r>
        <w:rPr>
          <w:shd w:val="clear" w:color="auto" w:fill="FFFFFF"/>
        </w:rPr>
        <w:t> </w:t>
      </w:r>
      <w:r w:rsidR="007358D5" w:rsidRPr="007358D5">
        <w:rPr>
          <w:shd w:val="clear" w:color="auto" w:fill="FFFFFF"/>
        </w:rPr>
        <w:t>panta trešajā daļā paredzēt</w:t>
      </w:r>
      <w:r>
        <w:rPr>
          <w:shd w:val="clear" w:color="auto" w:fill="FFFFFF"/>
        </w:rPr>
        <w:t>aj</w:t>
      </w:r>
      <w:r w:rsidR="007358D5" w:rsidRPr="007358D5">
        <w:rPr>
          <w:shd w:val="clear" w:color="auto" w:fill="FFFFFF"/>
        </w:rPr>
        <w:t>ā noziedzīg</w:t>
      </w:r>
      <w:r>
        <w:rPr>
          <w:shd w:val="clear" w:color="auto" w:fill="FFFFFF"/>
        </w:rPr>
        <w:t>aj</w:t>
      </w:r>
      <w:r w:rsidR="007358D5" w:rsidRPr="007358D5">
        <w:rPr>
          <w:shd w:val="clear" w:color="auto" w:fill="FFFFFF"/>
        </w:rPr>
        <w:t xml:space="preserve">ā </w:t>
      </w:r>
      <w:r w:rsidRPr="007358D5">
        <w:rPr>
          <w:shd w:val="clear" w:color="auto" w:fill="FFFFFF"/>
        </w:rPr>
        <w:t>nodarījum</w:t>
      </w:r>
      <w:r>
        <w:rPr>
          <w:shd w:val="clear" w:color="auto" w:fill="FFFFFF"/>
        </w:rPr>
        <w:t>ā</w:t>
      </w:r>
      <w:r w:rsidRPr="007358D5">
        <w:rPr>
          <w:shd w:val="clear" w:color="auto" w:fill="FFFFFF"/>
        </w:rPr>
        <w:t xml:space="preserve"> </w:t>
      </w:r>
      <w:r w:rsidR="007358D5" w:rsidRPr="007358D5">
        <w:rPr>
          <w:shd w:val="clear" w:color="auto" w:fill="FFFFFF"/>
        </w:rPr>
        <w:t>un</w:t>
      </w:r>
      <w:r w:rsidR="007358D5">
        <w:rPr>
          <w:shd w:val="clear" w:color="auto" w:fill="FFFFFF"/>
        </w:rPr>
        <w:t xml:space="preserve"> </w:t>
      </w:r>
      <w:r w:rsidR="007358D5" w:rsidRPr="007358D5">
        <w:rPr>
          <w:shd w:val="clear" w:color="auto" w:fill="FFFFFF"/>
        </w:rPr>
        <w:t xml:space="preserve">sodīts ar probācijas uzraudzību uz </w:t>
      </w:r>
      <w:r>
        <w:rPr>
          <w:shd w:val="clear" w:color="auto" w:fill="FFFFFF"/>
        </w:rPr>
        <w:t>4</w:t>
      </w:r>
      <w:r w:rsidRPr="007358D5">
        <w:rPr>
          <w:shd w:val="clear" w:color="auto" w:fill="FFFFFF"/>
        </w:rPr>
        <w:t xml:space="preserve"> </w:t>
      </w:r>
      <w:r w:rsidR="007358D5" w:rsidRPr="007358D5">
        <w:rPr>
          <w:shd w:val="clear" w:color="auto" w:fill="FFFFFF"/>
        </w:rPr>
        <w:t>gadiem;</w:t>
      </w:r>
    </w:p>
    <w:p w14:paraId="409FBEE4" w14:textId="44C994F2" w:rsidR="007358D5" w:rsidRPr="007358D5" w:rsidRDefault="003F407C" w:rsidP="007D287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atzīts par vainīgu </w:t>
      </w:r>
      <w:r w:rsidR="007358D5" w:rsidRPr="007358D5">
        <w:rPr>
          <w:shd w:val="clear" w:color="auto" w:fill="FFFFFF"/>
        </w:rPr>
        <w:t>Krimināllikuma 275.</w:t>
      </w:r>
      <w:r>
        <w:rPr>
          <w:shd w:val="clear" w:color="auto" w:fill="FFFFFF"/>
        </w:rPr>
        <w:t> </w:t>
      </w:r>
      <w:r w:rsidR="007358D5" w:rsidRPr="007358D5">
        <w:rPr>
          <w:shd w:val="clear" w:color="auto" w:fill="FFFFFF"/>
        </w:rPr>
        <w:t>panta otrajā daļā paredzēt</w:t>
      </w:r>
      <w:r>
        <w:rPr>
          <w:shd w:val="clear" w:color="auto" w:fill="FFFFFF"/>
        </w:rPr>
        <w:t>aj</w:t>
      </w:r>
      <w:r w:rsidR="007358D5" w:rsidRPr="007358D5">
        <w:rPr>
          <w:shd w:val="clear" w:color="auto" w:fill="FFFFFF"/>
        </w:rPr>
        <w:t>ā noziedzīg</w:t>
      </w:r>
      <w:r>
        <w:rPr>
          <w:shd w:val="clear" w:color="auto" w:fill="FFFFFF"/>
        </w:rPr>
        <w:t>aj</w:t>
      </w:r>
      <w:r w:rsidR="007358D5" w:rsidRPr="007358D5">
        <w:rPr>
          <w:shd w:val="clear" w:color="auto" w:fill="FFFFFF"/>
        </w:rPr>
        <w:t xml:space="preserve">ā </w:t>
      </w:r>
      <w:r w:rsidRPr="007358D5">
        <w:rPr>
          <w:shd w:val="clear" w:color="auto" w:fill="FFFFFF"/>
        </w:rPr>
        <w:t>nodarījum</w:t>
      </w:r>
      <w:r>
        <w:rPr>
          <w:shd w:val="clear" w:color="auto" w:fill="FFFFFF"/>
        </w:rPr>
        <w:t>ā</w:t>
      </w:r>
      <w:r w:rsidR="007358D5" w:rsidRPr="007358D5">
        <w:rPr>
          <w:shd w:val="clear" w:color="auto" w:fill="FFFFFF"/>
        </w:rPr>
        <w:t xml:space="preserve"> un</w:t>
      </w:r>
      <w:r w:rsidR="007358D5">
        <w:rPr>
          <w:shd w:val="clear" w:color="auto" w:fill="FFFFFF"/>
        </w:rPr>
        <w:t xml:space="preserve"> </w:t>
      </w:r>
      <w:r w:rsidR="007358D5" w:rsidRPr="007358D5">
        <w:rPr>
          <w:shd w:val="clear" w:color="auto" w:fill="FFFFFF"/>
        </w:rPr>
        <w:t>sodīts ar sabiedrisko darbu uz 150 stundām.</w:t>
      </w:r>
    </w:p>
    <w:p w14:paraId="28C67FAD" w14:textId="704E724B" w:rsidR="007358D5" w:rsidRDefault="003F407C" w:rsidP="003F407C">
      <w:pPr>
        <w:pStyle w:val="NormalWeb"/>
        <w:shd w:val="clear" w:color="auto" w:fill="FFFFFF"/>
        <w:spacing w:before="0" w:beforeAutospacing="0" w:after="0" w:afterAutospacing="0" w:line="276" w:lineRule="auto"/>
        <w:ind w:firstLine="720"/>
        <w:jc w:val="both"/>
        <w:rPr>
          <w:shd w:val="clear" w:color="auto" w:fill="FFFFFF"/>
        </w:rPr>
      </w:pPr>
      <w:r w:rsidRPr="003F407C">
        <w:rPr>
          <w:shd w:val="clear" w:color="auto" w:fill="FFFFFF"/>
        </w:rPr>
        <w:t>Saskaņā ar Krimināllikuma 50.</w:t>
      </w:r>
      <w:r>
        <w:rPr>
          <w:shd w:val="clear" w:color="auto" w:fill="FFFFFF"/>
        </w:rPr>
        <w:t> </w:t>
      </w:r>
      <w:r w:rsidRPr="003F407C">
        <w:rPr>
          <w:shd w:val="clear" w:color="auto" w:fill="FFFFFF"/>
        </w:rPr>
        <w:t>panta pirmo un trešo daļu</w:t>
      </w:r>
      <w:r>
        <w:rPr>
          <w:shd w:val="clear" w:color="auto" w:fill="FFFFFF"/>
        </w:rPr>
        <w:t xml:space="preserve"> </w:t>
      </w:r>
      <w:r w:rsidR="007358D5" w:rsidRPr="007358D5">
        <w:rPr>
          <w:shd w:val="clear" w:color="auto" w:fill="FFFFFF"/>
        </w:rPr>
        <w:t xml:space="preserve">galīgais sods </w:t>
      </w:r>
      <w:r w:rsidR="00952742">
        <w:rPr>
          <w:shd w:val="clear" w:color="auto" w:fill="FFFFFF"/>
        </w:rPr>
        <w:t>[pers. C]</w:t>
      </w:r>
      <w:r w:rsidR="007358D5" w:rsidRPr="007358D5">
        <w:rPr>
          <w:shd w:val="clear" w:color="auto" w:fill="FFFFFF"/>
        </w:rPr>
        <w:t xml:space="preserve"> noteikts probācijas uzraudzība uz 4 gadiem 6 mēnešiem un sabiedriskais darbs uz</w:t>
      </w:r>
      <w:r w:rsidR="00CC6797">
        <w:rPr>
          <w:shd w:val="clear" w:color="auto" w:fill="FFFFFF"/>
        </w:rPr>
        <w:t xml:space="preserve"> </w:t>
      </w:r>
      <w:r w:rsidR="007358D5" w:rsidRPr="007358D5">
        <w:rPr>
          <w:shd w:val="clear" w:color="auto" w:fill="FFFFFF"/>
        </w:rPr>
        <w:t>150 stundām.</w:t>
      </w:r>
    </w:p>
    <w:p w14:paraId="4B298216" w14:textId="3D83DBC9" w:rsidR="00EA386F" w:rsidRPr="007358D5" w:rsidRDefault="00D530C3" w:rsidP="007358D5">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Nolemts</w:t>
      </w:r>
      <w:r w:rsidR="007358D5" w:rsidRPr="007358D5">
        <w:rPr>
          <w:shd w:val="clear" w:color="auto" w:fill="FFFFFF"/>
        </w:rPr>
        <w:t xml:space="preserve"> pēc sprieduma stāšanās spēkā </w:t>
      </w:r>
      <w:r>
        <w:rPr>
          <w:shd w:val="clear" w:color="auto" w:fill="FFFFFF"/>
        </w:rPr>
        <w:t>atcelt arestu</w:t>
      </w:r>
      <w:r w:rsidR="007358D5" w:rsidRPr="007358D5">
        <w:rPr>
          <w:shd w:val="clear" w:color="auto" w:fill="FFFFFF"/>
        </w:rPr>
        <w:t xml:space="preserve"> nekustamajam īpašumam</w:t>
      </w:r>
      <w:r w:rsidR="00D7145D">
        <w:rPr>
          <w:shd w:val="clear" w:color="auto" w:fill="FFFFFF"/>
        </w:rPr>
        <w:t xml:space="preserve"> </w:t>
      </w:r>
      <w:r w:rsidR="00952742">
        <w:rPr>
          <w:shd w:val="clear" w:color="auto" w:fill="FFFFFF"/>
        </w:rPr>
        <w:t>[adrese]</w:t>
      </w:r>
      <w:r w:rsidR="007358D5" w:rsidRPr="007358D5">
        <w:rPr>
          <w:shd w:val="clear" w:color="auto" w:fill="FFFFFF"/>
        </w:rPr>
        <w:t>, kadastra Nr.</w:t>
      </w:r>
      <w:r>
        <w:rPr>
          <w:shd w:val="clear" w:color="auto" w:fill="FFFFFF"/>
        </w:rPr>
        <w:t> </w:t>
      </w:r>
      <w:r w:rsidR="00952742">
        <w:rPr>
          <w:shd w:val="clear" w:color="auto" w:fill="FFFFFF"/>
        </w:rPr>
        <w:t>[..]</w:t>
      </w:r>
      <w:r w:rsidR="007358D5" w:rsidRPr="007358D5">
        <w:rPr>
          <w:shd w:val="clear" w:color="auto" w:fill="FFFFFF"/>
        </w:rPr>
        <w:t xml:space="preserve">, atstājot </w:t>
      </w:r>
      <w:r w:rsidR="00EF1A18">
        <w:rPr>
          <w:shd w:val="clear" w:color="auto" w:fill="FFFFFF"/>
        </w:rPr>
        <w:t xml:space="preserve">to </w:t>
      </w:r>
      <w:r w:rsidR="00952742">
        <w:rPr>
          <w:shd w:val="clear" w:color="auto" w:fill="FFFFFF"/>
        </w:rPr>
        <w:t>[pers. A]</w:t>
      </w:r>
      <w:r w:rsidR="007358D5" w:rsidRPr="007358D5">
        <w:rPr>
          <w:shd w:val="clear" w:color="auto" w:fill="FFFFFF"/>
        </w:rPr>
        <w:t xml:space="preserve"> un </w:t>
      </w:r>
      <w:r w:rsidR="00952742">
        <w:rPr>
          <w:shd w:val="clear" w:color="auto" w:fill="FFFFFF"/>
        </w:rPr>
        <w:t>[pers. B]</w:t>
      </w:r>
      <w:r w:rsidR="007358D5" w:rsidRPr="007358D5">
        <w:rPr>
          <w:shd w:val="clear" w:color="auto" w:fill="FFFFFF"/>
        </w:rPr>
        <w:t xml:space="preserve"> īpašumā.</w:t>
      </w:r>
    </w:p>
    <w:p w14:paraId="2B72D5D3" w14:textId="77777777" w:rsidR="00EA386F" w:rsidRDefault="00EA386F" w:rsidP="00177A7F">
      <w:pPr>
        <w:pStyle w:val="NormalWeb"/>
        <w:shd w:val="clear" w:color="auto" w:fill="FFFFFF"/>
        <w:spacing w:before="0" w:beforeAutospacing="0" w:after="0" w:afterAutospacing="0" w:line="276" w:lineRule="auto"/>
        <w:ind w:firstLine="720"/>
        <w:jc w:val="both"/>
        <w:rPr>
          <w:shd w:val="clear" w:color="auto" w:fill="FFFFFF"/>
        </w:rPr>
      </w:pPr>
    </w:p>
    <w:p w14:paraId="27F725E2" w14:textId="62930E86" w:rsidR="0000572B" w:rsidRPr="00D7145D" w:rsidRDefault="00112F57" w:rsidP="002905EB">
      <w:pPr>
        <w:widowControl w:val="0"/>
        <w:spacing w:line="276" w:lineRule="auto"/>
        <w:ind w:firstLine="720"/>
        <w:jc w:val="both"/>
        <w:rPr>
          <w:shd w:val="clear" w:color="auto" w:fill="FFFFFF"/>
        </w:rPr>
      </w:pPr>
      <w:r>
        <w:rPr>
          <w:shd w:val="clear" w:color="auto" w:fill="FFFFFF"/>
        </w:rPr>
        <w:t>[</w:t>
      </w:r>
      <w:r w:rsidR="00F9276D">
        <w:rPr>
          <w:shd w:val="clear" w:color="auto" w:fill="FFFFFF"/>
        </w:rPr>
        <w:t>2</w:t>
      </w:r>
      <w:r>
        <w:rPr>
          <w:shd w:val="clear" w:color="auto" w:fill="FFFFFF"/>
        </w:rPr>
        <w:t xml:space="preserve">] </w:t>
      </w:r>
      <w:r w:rsidR="00D7145D">
        <w:t xml:space="preserve">Ar Rīgas apgabaltiesas </w:t>
      </w:r>
      <w:r w:rsidR="00D7145D" w:rsidRPr="00281CE3">
        <w:t xml:space="preserve">2025. gada </w:t>
      </w:r>
      <w:r w:rsidR="00D7145D">
        <w:t xml:space="preserve">9. decembra spriedumu, iztiesājot lietu apelācijas kārtībā sakarā </w:t>
      </w:r>
      <w:r w:rsidR="00D7145D" w:rsidRPr="00D7145D">
        <w:rPr>
          <w:shd w:val="clear" w:color="auto" w:fill="FFFFFF"/>
        </w:rPr>
        <w:t>ar Ģenerālprokuratūras Krimināltiesiskā</w:t>
      </w:r>
      <w:r w:rsidR="00D7145D">
        <w:rPr>
          <w:shd w:val="clear" w:color="auto" w:fill="FFFFFF"/>
        </w:rPr>
        <w:t xml:space="preserve"> </w:t>
      </w:r>
      <w:r w:rsidR="00D7145D" w:rsidRPr="00D7145D">
        <w:rPr>
          <w:shd w:val="clear" w:color="auto" w:fill="FFFFFF"/>
        </w:rPr>
        <w:t xml:space="preserve">departamenta </w:t>
      </w:r>
      <w:proofErr w:type="spellStart"/>
      <w:r w:rsidR="00D7145D" w:rsidRPr="00D7145D">
        <w:rPr>
          <w:shd w:val="clear" w:color="auto" w:fill="FFFFFF"/>
        </w:rPr>
        <w:t>Pirmstiesas</w:t>
      </w:r>
      <w:proofErr w:type="spellEnd"/>
      <w:r w:rsidR="00D7145D" w:rsidRPr="00D7145D">
        <w:rPr>
          <w:shd w:val="clear" w:color="auto" w:fill="FFFFFF"/>
        </w:rPr>
        <w:t xml:space="preserve"> kriminālprocesa un tiesvedības koordinācijas nodaļas prokurora</w:t>
      </w:r>
      <w:r w:rsidR="00D530C3">
        <w:rPr>
          <w:shd w:val="clear" w:color="auto" w:fill="FFFFFF"/>
        </w:rPr>
        <w:t xml:space="preserve"> </w:t>
      </w:r>
      <w:r w:rsidR="00D7145D" w:rsidRPr="00D7145D">
        <w:rPr>
          <w:shd w:val="clear" w:color="auto" w:fill="FFFFFF"/>
        </w:rPr>
        <w:t>A</w:t>
      </w:r>
      <w:r w:rsidR="00D530C3">
        <w:rPr>
          <w:shd w:val="clear" w:color="auto" w:fill="FFFFFF"/>
        </w:rPr>
        <w:t>ivja</w:t>
      </w:r>
      <w:r w:rsidR="00D7145D" w:rsidRPr="00D7145D">
        <w:rPr>
          <w:shd w:val="clear" w:color="auto" w:fill="FFFFFF"/>
        </w:rPr>
        <w:t xml:space="preserve"> </w:t>
      </w:r>
      <w:proofErr w:type="spellStart"/>
      <w:r w:rsidR="00D7145D" w:rsidRPr="00D7145D">
        <w:rPr>
          <w:shd w:val="clear" w:color="auto" w:fill="FFFFFF"/>
        </w:rPr>
        <w:t>Zalužinska</w:t>
      </w:r>
      <w:proofErr w:type="spellEnd"/>
      <w:r w:rsidR="00D7145D" w:rsidRPr="00D7145D">
        <w:rPr>
          <w:shd w:val="clear" w:color="auto" w:fill="FFFFFF"/>
        </w:rPr>
        <w:t xml:space="preserve"> apelācijas protestu un cietušās </w:t>
      </w:r>
      <w:r w:rsidR="002905EB">
        <w:rPr>
          <w:shd w:val="clear" w:color="auto" w:fill="FFFFFF"/>
        </w:rPr>
        <w:t xml:space="preserve">Sabiedrības ar ierobežotu atbildību </w:t>
      </w:r>
      <w:r w:rsidR="00D7145D" w:rsidRPr="00D7145D">
        <w:rPr>
          <w:shd w:val="clear" w:color="auto" w:fill="FFFFFF"/>
        </w:rPr>
        <w:t>SIA</w:t>
      </w:r>
      <w:r w:rsidR="00D530C3">
        <w:rPr>
          <w:shd w:val="clear" w:color="auto" w:fill="FFFFFF"/>
        </w:rPr>
        <w:t> </w:t>
      </w:r>
      <w:r w:rsidR="00D7145D">
        <w:rPr>
          <w:shd w:val="clear" w:color="auto" w:fill="FFFFFF"/>
        </w:rPr>
        <w:t>„</w:t>
      </w:r>
      <w:r w:rsidR="00952742">
        <w:rPr>
          <w:shd w:val="clear" w:color="auto" w:fill="FFFFFF"/>
        </w:rPr>
        <w:t>[Nosaukums]</w:t>
      </w:r>
      <w:r w:rsidR="00D7145D" w:rsidRPr="00D7145D">
        <w:rPr>
          <w:shd w:val="clear" w:color="auto" w:fill="FFFFFF"/>
        </w:rPr>
        <w:t xml:space="preserve">” </w:t>
      </w:r>
      <w:r w:rsidR="002905EB">
        <w:rPr>
          <w:shd w:val="clear" w:color="auto" w:fill="FFFFFF"/>
        </w:rPr>
        <w:t>(turpmāk – SIA</w:t>
      </w:r>
      <w:r w:rsidR="00244C61">
        <w:rPr>
          <w:shd w:val="clear" w:color="auto" w:fill="FFFFFF"/>
        </w:rPr>
        <w:t> </w:t>
      </w:r>
      <w:r w:rsidR="002905EB">
        <w:rPr>
          <w:shd w:val="clear" w:color="auto" w:fill="FFFFFF"/>
        </w:rPr>
        <w:t>„</w:t>
      </w:r>
      <w:r w:rsidR="00952742">
        <w:rPr>
          <w:shd w:val="clear" w:color="auto" w:fill="FFFFFF"/>
        </w:rPr>
        <w:t>[Nosaukums]</w:t>
      </w:r>
      <w:r w:rsidR="002905EB">
        <w:rPr>
          <w:shd w:val="clear" w:color="auto" w:fill="FFFFFF"/>
        </w:rPr>
        <w:t>”</w:t>
      </w:r>
      <w:r w:rsidR="00244C61">
        <w:rPr>
          <w:shd w:val="clear" w:color="auto" w:fill="FFFFFF"/>
        </w:rPr>
        <w:t>)</w:t>
      </w:r>
      <w:r w:rsidR="002905EB">
        <w:rPr>
          <w:shd w:val="clear" w:color="auto" w:fill="FFFFFF"/>
        </w:rPr>
        <w:t xml:space="preserve"> </w:t>
      </w:r>
      <w:r w:rsidR="00D7145D" w:rsidRPr="00D7145D">
        <w:rPr>
          <w:shd w:val="clear" w:color="auto" w:fill="FFFFFF"/>
        </w:rPr>
        <w:t>pārstāvja</w:t>
      </w:r>
      <w:r w:rsidR="00D7145D">
        <w:rPr>
          <w:shd w:val="clear" w:color="auto" w:fill="FFFFFF"/>
        </w:rPr>
        <w:t xml:space="preserve"> </w:t>
      </w:r>
      <w:r w:rsidR="00D7145D" w:rsidRPr="00D7145D">
        <w:rPr>
          <w:shd w:val="clear" w:color="auto" w:fill="FFFFFF"/>
        </w:rPr>
        <w:t>zvērināta advokāta G</w:t>
      </w:r>
      <w:r w:rsidR="00D530C3">
        <w:rPr>
          <w:shd w:val="clear" w:color="auto" w:fill="FFFFFF"/>
        </w:rPr>
        <w:t xml:space="preserve">ata </w:t>
      </w:r>
      <w:proofErr w:type="spellStart"/>
      <w:r w:rsidR="00D7145D" w:rsidRPr="00D7145D">
        <w:rPr>
          <w:shd w:val="clear" w:color="auto" w:fill="FFFFFF"/>
        </w:rPr>
        <w:t>Rozmiaņeca</w:t>
      </w:r>
      <w:proofErr w:type="spellEnd"/>
      <w:r w:rsidR="00D7145D" w:rsidRPr="00D7145D">
        <w:rPr>
          <w:shd w:val="clear" w:color="auto" w:fill="FFFFFF"/>
        </w:rPr>
        <w:t xml:space="preserve"> apelācijas sūdzību</w:t>
      </w:r>
      <w:r w:rsidR="00D7145D">
        <w:rPr>
          <w:shd w:val="clear" w:color="auto" w:fill="FFFFFF"/>
        </w:rPr>
        <w:t xml:space="preserve">, </w:t>
      </w:r>
      <w:r w:rsidR="00D7145D" w:rsidRPr="007358D5">
        <w:rPr>
          <w:shd w:val="clear" w:color="auto" w:fill="FFFFFF"/>
        </w:rPr>
        <w:t>Ekonomisko lietu tiesas 2025.</w:t>
      </w:r>
      <w:r w:rsidR="00D7145D">
        <w:rPr>
          <w:shd w:val="clear" w:color="auto" w:fill="FFFFFF"/>
        </w:rPr>
        <w:t> </w:t>
      </w:r>
      <w:r w:rsidR="00D7145D" w:rsidRPr="007358D5">
        <w:rPr>
          <w:shd w:val="clear" w:color="auto" w:fill="FFFFFF"/>
        </w:rPr>
        <w:t>gada</w:t>
      </w:r>
      <w:r w:rsidR="00D7145D">
        <w:rPr>
          <w:shd w:val="clear" w:color="auto" w:fill="FFFFFF"/>
        </w:rPr>
        <w:t xml:space="preserve"> </w:t>
      </w:r>
      <w:r w:rsidR="00D7145D" w:rsidRPr="007358D5">
        <w:rPr>
          <w:shd w:val="clear" w:color="auto" w:fill="FFFFFF"/>
        </w:rPr>
        <w:t>25.</w:t>
      </w:r>
      <w:r w:rsidR="00D530C3">
        <w:rPr>
          <w:shd w:val="clear" w:color="auto" w:fill="FFFFFF"/>
        </w:rPr>
        <w:t> </w:t>
      </w:r>
      <w:r w:rsidR="00D7145D" w:rsidRPr="007358D5">
        <w:rPr>
          <w:shd w:val="clear" w:color="auto" w:fill="FFFFFF"/>
        </w:rPr>
        <w:t>septembr</w:t>
      </w:r>
      <w:r w:rsidR="00D7145D">
        <w:rPr>
          <w:shd w:val="clear" w:color="auto" w:fill="FFFFFF"/>
        </w:rPr>
        <w:t>a</w:t>
      </w:r>
      <w:r w:rsidR="006225E2">
        <w:rPr>
          <w:shd w:val="clear" w:color="auto" w:fill="FFFFFF"/>
        </w:rPr>
        <w:t xml:space="preserve"> spriedums</w:t>
      </w:r>
      <w:r w:rsidR="00D7145D">
        <w:rPr>
          <w:shd w:val="clear" w:color="auto" w:fill="FFFFFF"/>
        </w:rPr>
        <w:t xml:space="preserve"> atcelts daļā </w:t>
      </w:r>
      <w:r w:rsidR="00D7145D" w:rsidRPr="00D7145D">
        <w:rPr>
          <w:shd w:val="clear" w:color="auto" w:fill="FFFFFF"/>
        </w:rPr>
        <w:t xml:space="preserve">par rīcību </w:t>
      </w:r>
      <w:r w:rsidR="007B7084">
        <w:rPr>
          <w:shd w:val="clear" w:color="auto" w:fill="FFFFFF"/>
        </w:rPr>
        <w:t xml:space="preserve">ar </w:t>
      </w:r>
      <w:r w:rsidR="00D7145D" w:rsidRPr="00D7145D">
        <w:rPr>
          <w:shd w:val="clear" w:color="auto" w:fill="FFFFFF"/>
        </w:rPr>
        <w:t>arestēto mantu</w:t>
      </w:r>
      <w:r w:rsidR="00F15C68">
        <w:rPr>
          <w:shd w:val="clear" w:color="auto" w:fill="FFFFFF"/>
        </w:rPr>
        <w:t xml:space="preserve">, </w:t>
      </w:r>
      <w:r w:rsidR="007B7084">
        <w:rPr>
          <w:shd w:val="clear" w:color="auto" w:fill="FFFFFF"/>
        </w:rPr>
        <w:t>un n</w:t>
      </w:r>
      <w:r w:rsidR="00D7145D" w:rsidRPr="00D7145D">
        <w:rPr>
          <w:shd w:val="clear" w:color="auto" w:fill="FFFFFF"/>
        </w:rPr>
        <w:t>ekustam</w:t>
      </w:r>
      <w:r w:rsidR="00D7145D">
        <w:rPr>
          <w:shd w:val="clear" w:color="auto" w:fill="FFFFFF"/>
        </w:rPr>
        <w:t>ais</w:t>
      </w:r>
      <w:r w:rsidR="00D7145D" w:rsidRPr="00D7145D">
        <w:rPr>
          <w:shd w:val="clear" w:color="auto" w:fill="FFFFFF"/>
        </w:rPr>
        <w:t xml:space="preserve"> īpašum</w:t>
      </w:r>
      <w:r w:rsidR="00D7145D">
        <w:rPr>
          <w:shd w:val="clear" w:color="auto" w:fill="FFFFFF"/>
        </w:rPr>
        <w:t>s</w:t>
      </w:r>
      <w:r w:rsidR="00D7145D" w:rsidRPr="00D7145D">
        <w:rPr>
          <w:shd w:val="clear" w:color="auto" w:fill="FFFFFF"/>
        </w:rPr>
        <w:t xml:space="preserve"> </w:t>
      </w:r>
      <w:r w:rsidR="00952742">
        <w:rPr>
          <w:shd w:val="clear" w:color="auto" w:fill="FFFFFF"/>
        </w:rPr>
        <w:t>[adrese]</w:t>
      </w:r>
      <w:r w:rsidR="00D7145D">
        <w:rPr>
          <w:shd w:val="clear" w:color="auto" w:fill="FFFFFF"/>
        </w:rPr>
        <w:t xml:space="preserve"> atzīts par</w:t>
      </w:r>
      <w:r w:rsidR="00D7145D" w:rsidRPr="00D7145D">
        <w:rPr>
          <w:shd w:val="clear" w:color="auto" w:fill="FFFFFF"/>
        </w:rPr>
        <w:t xml:space="preserve"> noziedzīgi iegūtu mantu</w:t>
      </w:r>
      <w:r w:rsidR="00D7145D">
        <w:rPr>
          <w:shd w:val="clear" w:color="auto" w:fill="FFFFFF"/>
        </w:rPr>
        <w:t xml:space="preserve"> un a</w:t>
      </w:r>
      <w:r w:rsidR="00D7145D" w:rsidRPr="00D7145D">
        <w:rPr>
          <w:shd w:val="clear" w:color="auto" w:fill="FFFFFF"/>
        </w:rPr>
        <w:t>tdot</w:t>
      </w:r>
      <w:r w:rsidR="00D7145D">
        <w:rPr>
          <w:shd w:val="clear" w:color="auto" w:fill="FFFFFF"/>
        </w:rPr>
        <w:t xml:space="preserve">s </w:t>
      </w:r>
      <w:r w:rsidR="00D7145D" w:rsidRPr="00D7145D">
        <w:rPr>
          <w:shd w:val="clear" w:color="auto" w:fill="FFFFFF"/>
        </w:rPr>
        <w:t>īpašniecei SIA</w:t>
      </w:r>
      <w:r w:rsidR="00D530C3">
        <w:rPr>
          <w:shd w:val="clear" w:color="auto" w:fill="FFFFFF"/>
        </w:rPr>
        <w:t> </w:t>
      </w:r>
      <w:r w:rsidR="00D7145D">
        <w:rPr>
          <w:shd w:val="clear" w:color="auto" w:fill="FFFFFF"/>
        </w:rPr>
        <w:t>„</w:t>
      </w:r>
      <w:r w:rsidR="00952742">
        <w:rPr>
          <w:shd w:val="clear" w:color="auto" w:fill="FFFFFF"/>
        </w:rPr>
        <w:t>[Nosaukums]</w:t>
      </w:r>
      <w:r w:rsidR="00D7145D" w:rsidRPr="00D7145D">
        <w:rPr>
          <w:shd w:val="clear" w:color="auto" w:fill="FFFFFF"/>
        </w:rPr>
        <w:t>”</w:t>
      </w:r>
      <w:r w:rsidR="00D7145D">
        <w:rPr>
          <w:shd w:val="clear" w:color="auto" w:fill="FFFFFF"/>
        </w:rPr>
        <w:t>.</w:t>
      </w:r>
    </w:p>
    <w:p w14:paraId="0F55F883" w14:textId="77777777" w:rsidR="00D7145D" w:rsidRDefault="00D7145D" w:rsidP="007F6625">
      <w:pPr>
        <w:widowControl w:val="0"/>
        <w:spacing w:line="276" w:lineRule="auto"/>
        <w:ind w:firstLine="720"/>
        <w:jc w:val="both"/>
        <w:rPr>
          <w:shd w:val="clear" w:color="auto" w:fill="FFFFFF"/>
        </w:rPr>
      </w:pPr>
    </w:p>
    <w:p w14:paraId="44BD3A9B" w14:textId="5666B664" w:rsidR="007F6625" w:rsidRDefault="00D7145D" w:rsidP="00D7145D">
      <w:pPr>
        <w:widowControl w:val="0"/>
        <w:spacing w:line="276" w:lineRule="auto"/>
        <w:ind w:firstLine="720"/>
        <w:jc w:val="both"/>
      </w:pPr>
      <w:r>
        <w:t>[</w:t>
      </w:r>
      <w:r w:rsidR="00F9276D">
        <w:t>3</w:t>
      </w:r>
      <w:r>
        <w:t xml:space="preserve">] Par Rīgas apgabaltiesas </w:t>
      </w:r>
      <w:r w:rsidRPr="00281CE3">
        <w:t xml:space="preserve">2025. gada </w:t>
      </w:r>
      <w:r>
        <w:t xml:space="preserve">9. decembra spriedumu kasācijas sūdzību </w:t>
      </w:r>
      <w:r w:rsidR="00EC2643">
        <w:t xml:space="preserve">iesnieguši </w:t>
      </w:r>
      <w:r>
        <w:t xml:space="preserve">kriminālprocesā </w:t>
      </w:r>
      <w:r w:rsidR="00EC2643" w:rsidRPr="00281CE3">
        <w:t>a</w:t>
      </w:r>
      <w:r w:rsidR="00EC2643">
        <w:t xml:space="preserve">izskartie </w:t>
      </w:r>
      <w:r>
        <w:t xml:space="preserve">mantas </w:t>
      </w:r>
      <w:r w:rsidR="00EC2643">
        <w:t xml:space="preserve">īpašnieki </w:t>
      </w:r>
      <w:r w:rsidR="00952742">
        <w:t>[pers. A]</w:t>
      </w:r>
      <w:r w:rsidR="00EC2643">
        <w:t xml:space="preserve"> </w:t>
      </w:r>
      <w:r>
        <w:t xml:space="preserve">un </w:t>
      </w:r>
      <w:r w:rsidR="00952742">
        <w:t>[pers. B]</w:t>
      </w:r>
      <w:r w:rsidRPr="00281CE3">
        <w:t xml:space="preserve"> </w:t>
      </w:r>
      <w:r w:rsidR="00EC2643">
        <w:t xml:space="preserve">un viņu </w:t>
      </w:r>
      <w:r>
        <w:t>pārstāvis J. </w:t>
      </w:r>
      <w:proofErr w:type="spellStart"/>
      <w:r>
        <w:t>Pušpurs</w:t>
      </w:r>
      <w:proofErr w:type="spellEnd"/>
      <w:r>
        <w:t xml:space="preserve">, </w:t>
      </w:r>
      <w:r w:rsidRPr="00FE0477">
        <w:t>lūdz</w:t>
      </w:r>
      <w:r>
        <w:t>ot</w:t>
      </w:r>
      <w:r w:rsidRPr="00FE0477">
        <w:t xml:space="preserve"> spriedumu</w:t>
      </w:r>
      <w:r>
        <w:t xml:space="preserve"> atcelt</w:t>
      </w:r>
      <w:r w:rsidR="007F6625">
        <w:t xml:space="preserve"> daļā par </w:t>
      </w:r>
      <w:r w:rsidR="007F6625" w:rsidRPr="00C83DA0">
        <w:t>nekustam</w:t>
      </w:r>
      <w:r w:rsidR="007F6625">
        <w:t>ā</w:t>
      </w:r>
      <w:r w:rsidR="007F6625" w:rsidRPr="00C83DA0">
        <w:t xml:space="preserve"> īpašum</w:t>
      </w:r>
      <w:r w:rsidR="007F6625">
        <w:t>a</w:t>
      </w:r>
      <w:r w:rsidR="0044782D">
        <w:t xml:space="preserve"> </w:t>
      </w:r>
      <w:r w:rsidR="00952742">
        <w:t>[adrese]</w:t>
      </w:r>
      <w:r w:rsidR="007F6625" w:rsidRPr="00C83DA0">
        <w:t xml:space="preserve"> </w:t>
      </w:r>
      <w:r w:rsidR="007F6625">
        <w:t>atzīšanu</w:t>
      </w:r>
      <w:r w:rsidR="007F6625" w:rsidRPr="00C83DA0">
        <w:t xml:space="preserve"> par</w:t>
      </w:r>
      <w:r w:rsidR="007F6625">
        <w:t xml:space="preserve"> </w:t>
      </w:r>
      <w:r w:rsidR="007F6625" w:rsidRPr="00C83DA0">
        <w:t>noziedzīgi iegūtu mantu</w:t>
      </w:r>
      <w:r w:rsidR="007F6625">
        <w:t xml:space="preserve"> un </w:t>
      </w:r>
      <w:r w:rsidR="0000572B">
        <w:t xml:space="preserve">tā </w:t>
      </w:r>
      <w:r w:rsidR="007F6625">
        <w:t>a</w:t>
      </w:r>
      <w:r w:rsidR="007F6625" w:rsidRPr="00C83DA0">
        <w:t>tdo</w:t>
      </w:r>
      <w:r w:rsidR="007F6625">
        <w:t>šanu</w:t>
      </w:r>
      <w:r w:rsidR="007F6625" w:rsidRPr="00C83DA0">
        <w:t xml:space="preserve"> īpašniecei SIA</w:t>
      </w:r>
      <w:r w:rsidR="007F6625">
        <w:t> „</w:t>
      </w:r>
      <w:r w:rsidR="00952742">
        <w:t>[Nosaukums]</w:t>
      </w:r>
      <w:r w:rsidR="007F6625" w:rsidRPr="00C83DA0">
        <w:t>”,</w:t>
      </w:r>
      <w:r w:rsidR="007F6625">
        <w:t xml:space="preserve"> un </w:t>
      </w:r>
      <w:r w:rsidR="00CC6797">
        <w:t xml:space="preserve">šajā daļā </w:t>
      </w:r>
      <w:r w:rsidR="007F6625">
        <w:t xml:space="preserve">nosūtīt lietu jaunai izskatīšanai apelācijas instances tiesā. </w:t>
      </w:r>
    </w:p>
    <w:p w14:paraId="2A7E2819" w14:textId="77777777" w:rsidR="007F6625" w:rsidRDefault="007F6625" w:rsidP="007F6625">
      <w:pPr>
        <w:widowControl w:val="0"/>
        <w:spacing w:line="276" w:lineRule="auto"/>
        <w:ind w:firstLine="720"/>
        <w:jc w:val="both"/>
      </w:pPr>
      <w:r>
        <w:t>Kasācijas sūdzība pamatota ar šādiem argumentiem.</w:t>
      </w:r>
    </w:p>
    <w:p w14:paraId="2F45B037" w14:textId="55545A3E" w:rsidR="007A7935" w:rsidRPr="000250AA" w:rsidRDefault="007A7935" w:rsidP="00EF1A18">
      <w:pPr>
        <w:widowControl w:val="0"/>
        <w:spacing w:line="276" w:lineRule="auto"/>
        <w:ind w:firstLine="720"/>
        <w:jc w:val="both"/>
      </w:pPr>
      <w:r w:rsidRPr="000250AA">
        <w:t>[</w:t>
      </w:r>
      <w:r w:rsidR="00F9276D">
        <w:t>3</w:t>
      </w:r>
      <w:r w:rsidRPr="000250AA">
        <w:t>.</w:t>
      </w:r>
      <w:r>
        <w:t>1</w:t>
      </w:r>
      <w:r w:rsidRPr="000250AA">
        <w:t xml:space="preserve">] Atzīstot mantu par noziedzīgi iegūtu tikai apelācijas instances tiesā, </w:t>
      </w:r>
      <w:r w:rsidR="007B7084">
        <w:t xml:space="preserve">kriminālprocesā </w:t>
      </w:r>
      <w:r w:rsidR="00991B5C" w:rsidRPr="000250AA">
        <w:t>aizskart</w:t>
      </w:r>
      <w:r w:rsidR="00991B5C">
        <w:t>aj</w:t>
      </w:r>
      <w:r w:rsidR="004852F1">
        <w:t>iem</w:t>
      </w:r>
      <w:r w:rsidR="00991B5C" w:rsidRPr="000250AA">
        <w:t xml:space="preserve"> </w:t>
      </w:r>
      <w:r w:rsidRPr="000250AA">
        <w:t>mantas īpašniek</w:t>
      </w:r>
      <w:r w:rsidR="009D2AAB">
        <w:t>ie</w:t>
      </w:r>
      <w:r w:rsidRPr="000250AA">
        <w:t xml:space="preserve">m tiek liegta iespēja pārsūdzēt nolēmumu augstākas instances tiesā, </w:t>
      </w:r>
      <w:r w:rsidR="007B7084">
        <w:t xml:space="preserve">lai </w:t>
      </w:r>
      <w:r w:rsidRPr="000250AA">
        <w:t>panāk</w:t>
      </w:r>
      <w:r w:rsidR="007B7084">
        <w:t>tu</w:t>
      </w:r>
      <w:r w:rsidRPr="000250AA">
        <w:t xml:space="preserve"> lietas izskatīšanu pēc būtības</w:t>
      </w:r>
      <w:r w:rsidR="00EF1A18">
        <w:t xml:space="preserve"> </w:t>
      </w:r>
      <w:r w:rsidR="00EF1A18" w:rsidRPr="00EF1A18">
        <w:t>pilnā apjomā gan faktisku, gan juridisku iemeslu dē</w:t>
      </w:r>
      <w:r w:rsidR="00EF1A18">
        <w:t>ļ</w:t>
      </w:r>
      <w:r w:rsidRPr="000250AA">
        <w:t>,</w:t>
      </w:r>
      <w:r w:rsidR="00991B5C">
        <w:t xml:space="preserve"> un</w:t>
      </w:r>
      <w:r w:rsidRPr="000250AA">
        <w:t xml:space="preserve"> tādējādi </w:t>
      </w:r>
      <w:r w:rsidR="007B7084">
        <w:t xml:space="preserve">tiek </w:t>
      </w:r>
      <w:r w:rsidR="00991B5C" w:rsidRPr="000250AA">
        <w:t>ierobežo</w:t>
      </w:r>
      <w:r w:rsidR="00991B5C">
        <w:t>tas</w:t>
      </w:r>
      <w:r w:rsidR="00991B5C" w:rsidRPr="000250AA">
        <w:t xml:space="preserve"> </w:t>
      </w:r>
      <w:r w:rsidR="004852F1" w:rsidRPr="000250AA">
        <w:t>viņ</w:t>
      </w:r>
      <w:r w:rsidR="004852F1">
        <w:t>u</w:t>
      </w:r>
      <w:r w:rsidR="004852F1" w:rsidRPr="000250AA">
        <w:t xml:space="preserve"> </w:t>
      </w:r>
      <w:r w:rsidRPr="000250AA">
        <w:t>tiesības uz taisnīgu tiesu.</w:t>
      </w:r>
    </w:p>
    <w:p w14:paraId="272BC366" w14:textId="05CB2F47" w:rsidR="002D1C46" w:rsidRDefault="007F6625" w:rsidP="002D1C46">
      <w:pPr>
        <w:widowControl w:val="0"/>
        <w:spacing w:line="276" w:lineRule="auto"/>
        <w:ind w:firstLine="720"/>
        <w:jc w:val="both"/>
      </w:pPr>
      <w:r w:rsidRPr="002D1C46">
        <w:t>[</w:t>
      </w:r>
      <w:r w:rsidR="00F9276D" w:rsidRPr="002D1C46">
        <w:t>3</w:t>
      </w:r>
      <w:r w:rsidRPr="002D1C46">
        <w:t>.</w:t>
      </w:r>
      <w:r w:rsidR="007A7935" w:rsidRPr="002D1C46">
        <w:t>2</w:t>
      </w:r>
      <w:r w:rsidRPr="002D1C46">
        <w:t xml:space="preserve">] </w:t>
      </w:r>
      <w:r w:rsidR="007B7084" w:rsidRPr="002D1C46">
        <w:t>Apelācijas instances tiesa</w:t>
      </w:r>
      <w:r w:rsidRPr="002D1C46">
        <w:t xml:space="preserve"> nepamatoti atzinusi, ka </w:t>
      </w:r>
      <w:r w:rsidR="00EF1A18" w:rsidRPr="002D1C46">
        <w:t xml:space="preserve">piesavināšanās </w:t>
      </w:r>
      <w:r w:rsidRPr="002D1C46">
        <w:t>priekšmets ir nekustamais īpašums</w:t>
      </w:r>
      <w:r w:rsidR="0044782D" w:rsidRPr="002D1C46">
        <w:t xml:space="preserve"> </w:t>
      </w:r>
      <w:r w:rsidR="00952742">
        <w:t>[adrese]</w:t>
      </w:r>
      <w:r w:rsidRPr="002D1C46">
        <w:t xml:space="preserve">, </w:t>
      </w:r>
      <w:r w:rsidR="00402955" w:rsidRPr="002D1C46">
        <w:t xml:space="preserve">jo apsūdzētajam </w:t>
      </w:r>
      <w:r w:rsidR="00952742">
        <w:t>[pers. C]</w:t>
      </w:r>
      <w:r w:rsidR="009D2AAB">
        <w:t xml:space="preserve"> </w:t>
      </w:r>
      <w:r w:rsidR="00402955" w:rsidRPr="002D1C46">
        <w:t>bija pilnvarojums to atsavināt, tajā skaitā veicot arī bezatlīdzības darījumus</w:t>
      </w:r>
      <w:r w:rsidR="002D1C46">
        <w:t>. L</w:t>
      </w:r>
      <w:r w:rsidR="00402955" w:rsidRPr="002D1C46">
        <w:t xml:space="preserve">īdz ar to īpašuma reģistrācija uz sava vārda pati par sevi nav kvalificējama kā piesavināšanās </w:t>
      </w:r>
      <w:r w:rsidR="00402955" w:rsidRPr="002D1C46">
        <w:rPr>
          <w:rStyle w:val="CharStyle10"/>
          <w:rFonts w:eastAsiaTheme="minorHAnsi"/>
          <w:color w:val="auto"/>
        </w:rPr>
        <w:t>Krimināllikuma 179. panta izpratnē</w:t>
      </w:r>
      <w:r w:rsidR="00402955" w:rsidRPr="002D1C46">
        <w:t xml:space="preserve">. </w:t>
      </w:r>
    </w:p>
    <w:p w14:paraId="3D435ECC" w14:textId="6ECC1470" w:rsidR="00EF1A18" w:rsidRDefault="002D1C46" w:rsidP="00346AC9">
      <w:pPr>
        <w:widowControl w:val="0"/>
        <w:spacing w:line="276" w:lineRule="auto"/>
        <w:ind w:firstLine="720"/>
        <w:jc w:val="both"/>
      </w:pPr>
      <w:r w:rsidRPr="00523610">
        <w:rPr>
          <w:rStyle w:val="CharStyle10"/>
          <w:rFonts w:eastAsiaTheme="minorHAnsi"/>
          <w:color w:val="000000"/>
        </w:rPr>
        <w:t>SIA</w:t>
      </w:r>
      <w:r w:rsidR="00244C61">
        <w:rPr>
          <w:rStyle w:val="CharStyle10"/>
          <w:rFonts w:eastAsiaTheme="minorHAnsi"/>
          <w:color w:val="000000"/>
        </w:rPr>
        <w:t> </w:t>
      </w:r>
      <w:r>
        <w:rPr>
          <w:rStyle w:val="CharStyle10"/>
          <w:rFonts w:eastAsiaTheme="minorHAnsi"/>
          <w:color w:val="000000"/>
        </w:rPr>
        <w:t>„</w:t>
      </w:r>
      <w:r w:rsidR="00952742">
        <w:rPr>
          <w:rStyle w:val="CharStyle10"/>
          <w:rFonts w:eastAsiaTheme="minorHAnsi"/>
          <w:color w:val="000000"/>
        </w:rPr>
        <w:t>[Nosaukums]</w:t>
      </w:r>
      <w:r w:rsidRPr="00523610">
        <w:rPr>
          <w:rStyle w:val="CharStyle10"/>
          <w:rFonts w:eastAsiaTheme="minorHAnsi"/>
          <w:color w:val="000000"/>
        </w:rPr>
        <w:t xml:space="preserve">” valdes loceklis </w:t>
      </w:r>
      <w:r w:rsidR="00952742">
        <w:rPr>
          <w:rStyle w:val="CharStyle10"/>
          <w:rFonts w:eastAsiaTheme="minorHAnsi"/>
          <w:color w:val="000000"/>
        </w:rPr>
        <w:t>[pers. D]</w:t>
      </w:r>
      <w:r w:rsidR="00346AC9">
        <w:rPr>
          <w:rStyle w:val="CharStyle10"/>
          <w:rFonts w:eastAsiaTheme="minorHAnsi"/>
          <w:color w:val="000000"/>
        </w:rPr>
        <w:t xml:space="preserve"> (</w:t>
      </w:r>
      <w:r w:rsidR="00952742">
        <w:rPr>
          <w:rStyle w:val="CharStyle10"/>
          <w:rFonts w:eastAsiaTheme="minorHAnsi"/>
          <w:i/>
          <w:iCs/>
          <w:color w:val="000000"/>
        </w:rPr>
        <w:t>[pers. D]</w:t>
      </w:r>
      <w:r w:rsidR="00346AC9">
        <w:rPr>
          <w:rFonts w:eastAsiaTheme="minorHAnsi"/>
          <w:color w:val="000000"/>
          <w:shd w:val="clear" w:color="auto" w:fill="FFFFFF"/>
          <w:lang w:eastAsia="lv-LV"/>
        </w:rPr>
        <w:t>)</w:t>
      </w:r>
      <w:r w:rsidRPr="00523610">
        <w:rPr>
          <w:rStyle w:val="CharStyle10"/>
          <w:rFonts w:eastAsiaTheme="minorHAnsi"/>
          <w:color w:val="000000"/>
        </w:rPr>
        <w:t xml:space="preserve"> </w:t>
      </w:r>
      <w:r>
        <w:t>liecināja, ka</w:t>
      </w:r>
      <w:r w:rsidRPr="00523610">
        <w:t xml:space="preserve"> pie nosacījuma, ja sabiedrība būtu saņēmusi pirkuma maksu, pretenzijas pret </w:t>
      </w:r>
      <w:r w:rsidR="00952742">
        <w:t>[pers. C]</w:t>
      </w:r>
      <w:r w:rsidRPr="00523610">
        <w:t xml:space="preserve"> nebūtu izvirzītas.</w:t>
      </w:r>
      <w:r>
        <w:t xml:space="preserve"> Tādējādi f</w:t>
      </w:r>
      <w:r w:rsidR="00402955" w:rsidRPr="002D1C46">
        <w:t xml:space="preserve">aktiski strīds ir par pirkuma maksas nenodošanu </w:t>
      </w:r>
      <w:proofErr w:type="spellStart"/>
      <w:r w:rsidR="00402955" w:rsidRPr="002D1C46">
        <w:t>pilnvardevēja</w:t>
      </w:r>
      <w:r w:rsidR="002F6C1E" w:rsidRPr="002D1C46">
        <w:t>i</w:t>
      </w:r>
      <w:proofErr w:type="spellEnd"/>
      <w:r w:rsidR="00402955" w:rsidRPr="002D1C46">
        <w:t>, tādēļ</w:t>
      </w:r>
      <w:r w:rsidR="00346AC9">
        <w:t xml:space="preserve"> – </w:t>
      </w:r>
      <w:r w:rsidR="00EF1A18" w:rsidRPr="002D1C46">
        <w:t xml:space="preserve">tāpat kā gadījumā ar apsūdzētā </w:t>
      </w:r>
      <w:r w:rsidR="00952742">
        <w:t>[pers. C]</w:t>
      </w:r>
      <w:r w:rsidR="00EF1A18" w:rsidRPr="002D1C46">
        <w:t xml:space="preserve"> otru atsavināto nekustamo īpašumu</w:t>
      </w:r>
      <w:r w:rsidR="00346AC9">
        <w:t xml:space="preserve"> – </w:t>
      </w:r>
      <w:r w:rsidR="00EF1A18" w:rsidRPr="002D1C46">
        <w:t>par noziedzīgi iegūtu mantu atzīstama nauda, kuru apsūdzētais, atsavinot šo objektu tālāk, nenodeva cietušajai – SIA „</w:t>
      </w:r>
      <w:r w:rsidR="00952742">
        <w:t>[Nosaukums]</w:t>
      </w:r>
      <w:r w:rsidR="00EF1A18" w:rsidRPr="002D1C46">
        <w:t xml:space="preserve">” – kā </w:t>
      </w:r>
      <w:proofErr w:type="spellStart"/>
      <w:r w:rsidR="00EF1A18" w:rsidRPr="002D1C46">
        <w:t>pilnvardevējai</w:t>
      </w:r>
      <w:proofErr w:type="spellEnd"/>
      <w:r w:rsidR="00EF1A18" w:rsidRPr="002D1C46">
        <w:t>.</w:t>
      </w:r>
    </w:p>
    <w:p w14:paraId="4783CF9D" w14:textId="23D0803A" w:rsidR="007F6625" w:rsidRDefault="007F6625" w:rsidP="000250AA">
      <w:pPr>
        <w:widowControl w:val="0"/>
        <w:spacing w:line="276" w:lineRule="auto"/>
        <w:ind w:firstLine="720"/>
        <w:jc w:val="both"/>
      </w:pPr>
      <w:r>
        <w:t>[</w:t>
      </w:r>
      <w:r w:rsidR="00F9276D">
        <w:t>3</w:t>
      </w:r>
      <w:r>
        <w:t>.</w:t>
      </w:r>
      <w:r w:rsidR="007A7935">
        <w:t>3</w:t>
      </w:r>
      <w:r>
        <w:t xml:space="preserve">] </w:t>
      </w:r>
      <w:r w:rsidR="000250AA" w:rsidRPr="000250AA">
        <w:t xml:space="preserve">Neatkarīgi no iepriekš minētā, pat ja tiesa </w:t>
      </w:r>
      <w:r w:rsidR="00E35CB3">
        <w:t xml:space="preserve">būtu pareizi noteikusi </w:t>
      </w:r>
      <w:r w:rsidR="000250AA" w:rsidRPr="000250AA">
        <w:t xml:space="preserve">noziedzīgā nodarījuma priekšmetu, pārsūdzētais nolēmums atceļams </w:t>
      </w:r>
      <w:r w:rsidR="000250AA">
        <w:t>tādēļ, ka</w:t>
      </w:r>
      <w:r w:rsidR="000250AA">
        <w:rPr>
          <w:b/>
          <w:bCs/>
        </w:rPr>
        <w:t xml:space="preserve"> </w:t>
      </w:r>
      <w:r w:rsidR="00BB78EE">
        <w:t>t</w:t>
      </w:r>
      <w:r w:rsidR="000250AA">
        <w:t>iesa</w:t>
      </w:r>
      <w:r>
        <w:t xml:space="preserve"> nepamatoti ir piemērojusi Kriminālprocesa likuma 360.</w:t>
      </w:r>
      <w:r w:rsidR="004852F1">
        <w:t> </w:t>
      </w:r>
      <w:r>
        <w:t xml:space="preserve">panta pirmo daļu, atzīstot, ka nekustamais īpašums </w:t>
      </w:r>
      <w:r>
        <w:lastRenderedPageBreak/>
        <w:t>ir atgriežams cietušajai</w:t>
      </w:r>
      <w:r w:rsidR="007A7935">
        <w:t xml:space="preserve"> sabiedrībai</w:t>
      </w:r>
      <w:r>
        <w:t xml:space="preserve">, jo šī norma ļauj tiesai izvērtēt, vai </w:t>
      </w:r>
      <w:r w:rsidR="000250AA">
        <w:t xml:space="preserve">nekustamais īpašums </w:t>
      </w:r>
      <w:r>
        <w:t>atgriežams sākotnējam īpašniekam vai tā pašreizējam īpašniekam un likumīgajam valdītājam</w:t>
      </w:r>
      <w:r w:rsidR="000250AA">
        <w:t>, proti,</w:t>
      </w:r>
      <w:r>
        <w:t xml:space="preserve"> </w:t>
      </w:r>
      <w:r w:rsidR="008262C4">
        <w:t xml:space="preserve">kriminālprocesā </w:t>
      </w:r>
      <w:r>
        <w:t>aizskart</w:t>
      </w:r>
      <w:r w:rsidR="00346AC9">
        <w:t>aj</w:t>
      </w:r>
      <w:r w:rsidR="009D2AAB">
        <w:t>a</w:t>
      </w:r>
      <w:r w:rsidR="00346AC9">
        <w:t>m</w:t>
      </w:r>
      <w:r>
        <w:t xml:space="preserve"> mantas īpašniekam. </w:t>
      </w:r>
    </w:p>
    <w:p w14:paraId="3472201C" w14:textId="4504E524" w:rsidR="000250AA" w:rsidRPr="000250AA" w:rsidRDefault="000250AA" w:rsidP="000250AA">
      <w:pPr>
        <w:widowControl w:val="0"/>
        <w:spacing w:line="276" w:lineRule="auto"/>
        <w:ind w:firstLine="720"/>
        <w:jc w:val="both"/>
      </w:pPr>
      <w:r w:rsidRPr="000250AA">
        <w:t>Tiesa, neiz</w:t>
      </w:r>
      <w:r>
        <w:t>pildot</w:t>
      </w:r>
      <w:r w:rsidRPr="000250AA">
        <w:t xml:space="preserve"> </w:t>
      </w:r>
      <w:r w:rsidR="004852F1">
        <w:t>minētajā tiesību normā</w:t>
      </w:r>
      <w:r w:rsidRPr="000250AA">
        <w:t xml:space="preserve"> paredzēto izvērtēšanas pienākumu, nav ņēmusi vērā šādus apstākļus:</w:t>
      </w:r>
    </w:p>
    <w:p w14:paraId="6FEBB6A2" w14:textId="2349231A" w:rsidR="007F6625" w:rsidRDefault="007F6625" w:rsidP="007F6625">
      <w:pPr>
        <w:pStyle w:val="ListParagraph"/>
        <w:widowControl w:val="0"/>
        <w:numPr>
          <w:ilvl w:val="0"/>
          <w:numId w:val="2"/>
        </w:numPr>
        <w:spacing w:line="276" w:lineRule="auto"/>
        <w:jc w:val="both"/>
      </w:pPr>
      <w:r>
        <w:t xml:space="preserve">nekustamā īpašuma atgriešana cietušajai </w:t>
      </w:r>
      <w:r w:rsidR="008262C4">
        <w:t>sabiedrībai</w:t>
      </w:r>
      <w:r w:rsidR="00FB5C68">
        <w:t xml:space="preserve"> </w:t>
      </w:r>
      <w:r w:rsidR="00FB5C68" w:rsidRPr="0000572B">
        <w:t>SIA</w:t>
      </w:r>
      <w:r w:rsidR="00FB5C68">
        <w:t> </w:t>
      </w:r>
      <w:r w:rsidR="00FB5C68" w:rsidRPr="0000572B">
        <w:t>„</w:t>
      </w:r>
      <w:r w:rsidR="00952742">
        <w:t>[Nosaukums]</w:t>
      </w:r>
      <w:r w:rsidR="00FB5C68">
        <w:t>”</w:t>
      </w:r>
      <w:r w:rsidR="00FB5C68" w:rsidRPr="007D7EC3">
        <w:t xml:space="preserve"> </w:t>
      </w:r>
      <w:r>
        <w:t xml:space="preserve">aizskar divu nepilngadīgu bērnu </w:t>
      </w:r>
      <w:r w:rsidR="000250AA">
        <w:t xml:space="preserve">tiesības un </w:t>
      </w:r>
      <w:r>
        <w:t xml:space="preserve">intereses; </w:t>
      </w:r>
    </w:p>
    <w:p w14:paraId="2C951FA5" w14:textId="140D2171" w:rsidR="007F6625" w:rsidRDefault="007F6625" w:rsidP="007F6625">
      <w:pPr>
        <w:pStyle w:val="ListParagraph"/>
        <w:widowControl w:val="0"/>
        <w:numPr>
          <w:ilvl w:val="0"/>
          <w:numId w:val="2"/>
        </w:numPr>
        <w:spacing w:line="276" w:lineRule="auto"/>
        <w:jc w:val="both"/>
      </w:pPr>
      <w:r>
        <w:t xml:space="preserve">zaudējot nekustamo īpašumu, </w:t>
      </w:r>
      <w:r w:rsidR="00FB5C68">
        <w:t xml:space="preserve">kriminālprocesā </w:t>
      </w:r>
      <w:r w:rsidR="004852F1">
        <w:t xml:space="preserve">aizskartajiem </w:t>
      </w:r>
      <w:r>
        <w:t>mantas īpašniekiem saglabāsies pienākums maksāt hipotekāro kredītu, lai gan</w:t>
      </w:r>
      <w:r w:rsidR="000250AA">
        <w:t xml:space="preserve"> ģimenei vairs nebūs mājokļa</w:t>
      </w:r>
      <w:r>
        <w:t>;</w:t>
      </w:r>
    </w:p>
    <w:p w14:paraId="7EC36E1F" w14:textId="3A74563E" w:rsidR="007F6625" w:rsidRDefault="007F6625" w:rsidP="007F6625">
      <w:pPr>
        <w:pStyle w:val="ListParagraph"/>
        <w:widowControl w:val="0"/>
        <w:numPr>
          <w:ilvl w:val="0"/>
          <w:numId w:val="2"/>
        </w:numPr>
        <w:spacing w:line="276" w:lineRule="auto"/>
        <w:jc w:val="both"/>
      </w:pPr>
      <w:r w:rsidRPr="007D7EC3">
        <w:t>100</w:t>
      </w:r>
      <w:r w:rsidR="000250AA">
        <w:t> procenti</w:t>
      </w:r>
      <w:r>
        <w:t xml:space="preserve"> </w:t>
      </w:r>
      <w:r w:rsidR="004852F1" w:rsidRPr="0000572B">
        <w:t>SIA</w:t>
      </w:r>
      <w:r w:rsidR="004852F1">
        <w:t> </w:t>
      </w:r>
      <w:r w:rsidR="004852F1" w:rsidRPr="0000572B">
        <w:t>„</w:t>
      </w:r>
      <w:r w:rsidR="00952742">
        <w:t>[Nosaukums]</w:t>
      </w:r>
      <w:r w:rsidR="004852F1">
        <w:t>”</w:t>
      </w:r>
      <w:r w:rsidRPr="007D7EC3">
        <w:t xml:space="preserve"> pamatkapitāla pieder Krievijas Federācijas pilsonim, un </w:t>
      </w:r>
      <w:r>
        <w:t>šīs sabiedrības</w:t>
      </w:r>
      <w:r w:rsidRPr="007D7EC3">
        <w:t xml:space="preserve"> </w:t>
      </w:r>
      <w:r>
        <w:t xml:space="preserve">darbības </w:t>
      </w:r>
      <w:r w:rsidRPr="007D7EC3">
        <w:t>mērķis ir nekustamo īpašumu iegāde investīciju nolūkos</w:t>
      </w:r>
      <w:r>
        <w:t xml:space="preserve">; </w:t>
      </w:r>
    </w:p>
    <w:p w14:paraId="6FC14094" w14:textId="7F1C51D9" w:rsidR="007F6625" w:rsidRDefault="007F6625" w:rsidP="007F6625">
      <w:pPr>
        <w:pStyle w:val="ListParagraph"/>
        <w:widowControl w:val="0"/>
        <w:numPr>
          <w:ilvl w:val="0"/>
          <w:numId w:val="2"/>
        </w:numPr>
        <w:spacing w:line="276" w:lineRule="auto"/>
        <w:jc w:val="both"/>
      </w:pPr>
      <w:r>
        <w:t>saskaņā ar Nacionālo drošību apdraudošu darījumu ierobežošanas likuma 2. panta 5. punktu nekustamo īpašumu</w:t>
      </w:r>
      <w:r w:rsidR="001F717A">
        <w:t xml:space="preserve"> Latvijas Republikā</w:t>
      </w:r>
      <w:r>
        <w:t xml:space="preserve"> ir aizliegts iegūt </w:t>
      </w:r>
      <w:r w:rsidRPr="008667F3">
        <w:t>juridiskajām personām, kurās Krievijas Federācijas</w:t>
      </w:r>
      <w:r>
        <w:t xml:space="preserve"> </w:t>
      </w:r>
      <w:proofErr w:type="spellStart"/>
      <w:r w:rsidRPr="008667F3">
        <w:t>valstspiederīgajiem</w:t>
      </w:r>
      <w:proofErr w:type="spellEnd"/>
      <w:r w:rsidRPr="008667F3">
        <w:t xml:space="preserve"> tiešas vai netiešas līdzdalības veidā pieder vismaz 25</w:t>
      </w:r>
      <w:r w:rsidR="0061167F">
        <w:t> </w:t>
      </w:r>
      <w:r w:rsidRPr="008667F3">
        <w:t>procenti no ieguldījuma vai attiecīgās juridiskās personas pamatkapitāla daļām (akcijām)</w:t>
      </w:r>
      <w:r>
        <w:t xml:space="preserve">. </w:t>
      </w:r>
    </w:p>
    <w:p w14:paraId="465FF9C0" w14:textId="1863650C" w:rsidR="007F6625" w:rsidRDefault="007A7935" w:rsidP="007F6625">
      <w:pPr>
        <w:widowControl w:val="0"/>
        <w:spacing w:line="276" w:lineRule="auto"/>
        <w:ind w:firstLine="720"/>
        <w:jc w:val="both"/>
      </w:pPr>
      <w:r>
        <w:t>[</w:t>
      </w:r>
      <w:r w:rsidR="00F9276D">
        <w:t>3</w:t>
      </w:r>
      <w:r>
        <w:t xml:space="preserve">.4] </w:t>
      </w:r>
      <w:r w:rsidR="007F6625">
        <w:t>J</w:t>
      </w:r>
      <w:r w:rsidR="007F6625" w:rsidRPr="007D7EC3">
        <w:t>a</w:t>
      </w:r>
      <w:r w:rsidR="007F6625">
        <w:t xml:space="preserve"> </w:t>
      </w:r>
      <w:r w:rsidR="00E35CB3">
        <w:t xml:space="preserve">apelācijas instances </w:t>
      </w:r>
      <w:r w:rsidR="007F6625" w:rsidRPr="007D7EC3">
        <w:t xml:space="preserve">tiesas veiktā Kriminālprocesa likuma 360. panta pirmās daļas interpretācija </w:t>
      </w:r>
      <w:r w:rsidR="007F6625">
        <w:t>tomēr ti</w:t>
      </w:r>
      <w:r w:rsidR="000250AA">
        <w:t>ktu</w:t>
      </w:r>
      <w:r w:rsidR="007F6625">
        <w:t xml:space="preserve"> atzīta par</w:t>
      </w:r>
      <w:r w:rsidR="007F6625" w:rsidRPr="007D7EC3">
        <w:t xml:space="preserve"> pareiz</w:t>
      </w:r>
      <w:r w:rsidR="007F6625">
        <w:t>u</w:t>
      </w:r>
      <w:r w:rsidR="007F6625" w:rsidRPr="007D7EC3">
        <w:t>, lūgts iesniegt pieteikumu Satversmes tiesā</w:t>
      </w:r>
      <w:r>
        <w:t xml:space="preserve">, apstrīdot šīs normas </w:t>
      </w:r>
      <w:proofErr w:type="spellStart"/>
      <w:r>
        <w:t>satversmību</w:t>
      </w:r>
      <w:proofErr w:type="spellEnd"/>
      <w:r>
        <w:t>,</w:t>
      </w:r>
      <w:r w:rsidR="007F6625" w:rsidRPr="007D7EC3">
        <w:t xml:space="preserve"> un apturēt tiesvedību krimināllietā</w:t>
      </w:r>
      <w:r w:rsidR="007F6625">
        <w:t>.</w:t>
      </w:r>
    </w:p>
    <w:p w14:paraId="7DAF7841" w14:textId="77777777" w:rsidR="00447EE6" w:rsidRPr="00011547" w:rsidRDefault="00447EE6" w:rsidP="00177A7F">
      <w:pPr>
        <w:shd w:val="clear" w:color="auto" w:fill="FFFFFF"/>
        <w:spacing w:before="360" w:after="360" w:line="276" w:lineRule="auto"/>
        <w:jc w:val="center"/>
      </w:pPr>
      <w:r w:rsidRPr="00011547">
        <w:rPr>
          <w:b/>
        </w:rPr>
        <w:t>Motīvu daļa</w:t>
      </w:r>
    </w:p>
    <w:p w14:paraId="759DEB10" w14:textId="55DEA387" w:rsidR="007A7935" w:rsidRDefault="007A7935" w:rsidP="0048500B">
      <w:pPr>
        <w:spacing w:line="276" w:lineRule="auto"/>
        <w:ind w:firstLine="720"/>
        <w:jc w:val="both"/>
      </w:pPr>
      <w:r>
        <w:t>[</w:t>
      </w:r>
      <w:r w:rsidR="00F9276D">
        <w:t>4</w:t>
      </w:r>
      <w:r>
        <w:t xml:space="preserve">] Senāts </w:t>
      </w:r>
      <w:proofErr w:type="spellStart"/>
      <w:r w:rsidR="0048500B">
        <w:t>visupirms</w:t>
      </w:r>
      <w:proofErr w:type="spellEnd"/>
      <w:r w:rsidR="0048500B">
        <w:t xml:space="preserve"> </w:t>
      </w:r>
      <w:r>
        <w:t>par nepamatotu atzīst kasācijas sūdzības argumentu, ka</w:t>
      </w:r>
      <w:r w:rsidR="0048500B">
        <w:t xml:space="preserve"> situācijā</w:t>
      </w:r>
      <w:r>
        <w:t xml:space="preserve">, </w:t>
      </w:r>
      <w:r w:rsidR="0048500B">
        <w:t>kad</w:t>
      </w:r>
      <w:r>
        <w:t xml:space="preserve"> </w:t>
      </w:r>
      <w:r w:rsidRPr="007D7EC3">
        <w:t>mantu par noziedzīgi iegūtu</w:t>
      </w:r>
      <w:r>
        <w:t xml:space="preserve"> atzīst</w:t>
      </w:r>
      <w:r w:rsidRPr="007D7EC3">
        <w:t xml:space="preserve"> tikai apelācijas instances ties</w:t>
      </w:r>
      <w:r>
        <w:t>a</w:t>
      </w:r>
      <w:r w:rsidRPr="007D7EC3">
        <w:t xml:space="preserve">, </w:t>
      </w:r>
      <w:r w:rsidR="0048500B">
        <w:t xml:space="preserve">kriminālprocesā </w:t>
      </w:r>
      <w:r w:rsidRPr="007D7EC3">
        <w:t>aizskartās mantas īpašnieka</w:t>
      </w:r>
      <w:r>
        <w:t>m</w:t>
      </w:r>
      <w:r w:rsidRPr="007D7EC3">
        <w:t xml:space="preserve"> </w:t>
      </w:r>
      <w:r w:rsidR="00EF33E7">
        <w:t xml:space="preserve">nepamatoti </w:t>
      </w:r>
      <w:r w:rsidRPr="007D7EC3">
        <w:t>tiek liegta</w:t>
      </w:r>
      <w:r>
        <w:t>s tiesības pārsūdzēt šo nolēmumu</w:t>
      </w:r>
      <w:r w:rsidR="0048500B">
        <w:t xml:space="preserve"> a</w:t>
      </w:r>
      <w:r w:rsidR="0048500B" w:rsidRPr="0048500B">
        <w:t>ugstākas instances tiesā pilnā apjomā gan faktisku, gan juridisku apsvērumu dēļ</w:t>
      </w:r>
      <w:r w:rsidR="0048500B">
        <w:t xml:space="preserve">, </w:t>
      </w:r>
      <w:r>
        <w:t>un tādējādi tiek ierobežotas viņa tiesības uz taisnīgu tiesu.</w:t>
      </w:r>
    </w:p>
    <w:p w14:paraId="464FBD39" w14:textId="647A73B2" w:rsidR="007A7935" w:rsidRDefault="00F9276D" w:rsidP="007A7935">
      <w:pPr>
        <w:spacing w:line="276" w:lineRule="auto"/>
        <w:ind w:firstLine="720"/>
        <w:jc w:val="both"/>
      </w:pPr>
      <w:r>
        <w:t>Senāts norāda, ka t</w:t>
      </w:r>
      <w:r w:rsidR="007A7935" w:rsidRPr="0010091D">
        <w:t xml:space="preserve">iesības uz taisnīgu tiesu neietver </w:t>
      </w:r>
      <w:r w:rsidR="009D2AAB">
        <w:t>valsts pienākumu</w:t>
      </w:r>
      <w:r w:rsidR="007A7935" w:rsidRPr="0010091D">
        <w:t xml:space="preserve"> ikvienā </w:t>
      </w:r>
      <w:r w:rsidR="00EF33E7">
        <w:t>gadījumā</w:t>
      </w:r>
      <w:r w:rsidR="00346AC9">
        <w:t xml:space="preserve"> </w:t>
      </w:r>
      <w:r w:rsidR="007A7935" w:rsidRPr="0010091D">
        <w:t>nodrošināt lietas izskatīšan</w:t>
      </w:r>
      <w:r w:rsidR="007A7935">
        <w:t>u</w:t>
      </w:r>
      <w:r w:rsidR="007A7935" w:rsidRPr="0010091D">
        <w:t xml:space="preserve"> pēc būtības </w:t>
      </w:r>
      <w:r w:rsidR="007A7935">
        <w:t xml:space="preserve">vēlreiz </w:t>
      </w:r>
      <w:r w:rsidR="007A7935" w:rsidRPr="0010091D">
        <w:t>augstāk</w:t>
      </w:r>
      <w:r w:rsidR="007A7935">
        <w:t xml:space="preserve">as </w:t>
      </w:r>
      <w:r w:rsidR="007A7935" w:rsidRPr="0010091D">
        <w:t>instanc</w:t>
      </w:r>
      <w:r w:rsidR="007A7935">
        <w:t>es tiesā</w:t>
      </w:r>
      <w:r w:rsidR="007A7935" w:rsidRPr="0010091D">
        <w:t xml:space="preserve">. </w:t>
      </w:r>
    </w:p>
    <w:p w14:paraId="344E0C42" w14:textId="6F3A65DD" w:rsidR="007A7935" w:rsidRDefault="007A7935" w:rsidP="007A7935">
      <w:pPr>
        <w:spacing w:line="276" w:lineRule="auto"/>
        <w:ind w:firstLine="720"/>
        <w:jc w:val="both"/>
      </w:pPr>
      <w:r>
        <w:t>Ja</w:t>
      </w:r>
      <w:r w:rsidR="00F9276D">
        <w:t xml:space="preserve"> šo</w:t>
      </w:r>
      <w:r>
        <w:t xml:space="preserve"> kasācijas sūdzības argumentu atzītu par pareizu, tas nozīmētu liegt iespēju</w:t>
      </w:r>
      <w:r w:rsidRPr="00945FF7">
        <w:t xml:space="preserve"> apelācijas instances tiesa</w:t>
      </w:r>
      <w:r>
        <w:t>i</w:t>
      </w:r>
      <w:r w:rsidRPr="00945FF7">
        <w:t xml:space="preserve"> pieņemt no pirmās instances tiesas nolēmuma atšķirīgu nolēmumu. Tomēr tas n</w:t>
      </w:r>
      <w:r w:rsidR="00EF33E7">
        <w:t>ebūtu</w:t>
      </w:r>
      <w:r w:rsidRPr="00945FF7">
        <w:t xml:space="preserve"> savienojams ar apelācijas instances </w:t>
      </w:r>
      <w:r>
        <w:t>tiesas funkciju</w:t>
      </w:r>
      <w:r w:rsidR="0061167F">
        <w:t xml:space="preserve"> </w:t>
      </w:r>
      <w:r w:rsidRPr="00945FF7">
        <w:t xml:space="preserve">pārbaudīt pirmās instances tiesas nolēmuma tiesiskumu un pamatotību, </w:t>
      </w:r>
      <w:r w:rsidR="0061167F">
        <w:t xml:space="preserve">un </w:t>
      </w:r>
      <w:r w:rsidRPr="00945FF7">
        <w:t>nepieciešamības gadījumā to grozīt vai atcelt</w:t>
      </w:r>
      <w:r>
        <w:t>.</w:t>
      </w:r>
    </w:p>
    <w:p w14:paraId="7E8A860E" w14:textId="1F5744D1" w:rsidR="00F9276D" w:rsidRDefault="00F9276D" w:rsidP="00F9276D">
      <w:pPr>
        <w:spacing w:line="276" w:lineRule="auto"/>
        <w:ind w:firstLine="720"/>
        <w:jc w:val="both"/>
      </w:pPr>
      <w:r w:rsidRPr="00326A8A">
        <w:t xml:space="preserve">Analoga procesuālā situācija pastāv arī </w:t>
      </w:r>
      <w:r>
        <w:t xml:space="preserve">tad, ja </w:t>
      </w:r>
      <w:r w:rsidRPr="00326A8A">
        <w:t>apsūdzēto</w:t>
      </w:r>
      <w:r>
        <w:t xml:space="preserve"> personu</w:t>
      </w:r>
      <w:r w:rsidRPr="00326A8A">
        <w:t xml:space="preserve"> par vainīgu noziedzīg</w:t>
      </w:r>
      <w:r w:rsidR="0061167F">
        <w:t>ā</w:t>
      </w:r>
      <w:r w:rsidRPr="00326A8A">
        <w:t xml:space="preserve"> nodarījuma izdarīšanā</w:t>
      </w:r>
      <w:r>
        <w:t xml:space="preserve"> atzīst tikai apelācijas instances tiesa</w:t>
      </w:r>
      <w:r w:rsidRPr="00326A8A">
        <w:t>.</w:t>
      </w:r>
    </w:p>
    <w:p w14:paraId="313909A2" w14:textId="4A70DF28" w:rsidR="007A7935" w:rsidRDefault="007A7935" w:rsidP="007A7935">
      <w:pPr>
        <w:spacing w:line="276" w:lineRule="auto"/>
        <w:ind w:firstLine="720"/>
        <w:jc w:val="both"/>
      </w:pPr>
      <w:r>
        <w:t>Ievērojot minēto, i</w:t>
      </w:r>
      <w:r w:rsidRPr="0010091D">
        <w:t>zšķiroši ir</w:t>
      </w:r>
      <w:r>
        <w:t xml:space="preserve"> </w:t>
      </w:r>
      <w:r w:rsidRPr="0010091D">
        <w:t xml:space="preserve">tas, vai </w:t>
      </w:r>
      <w:r w:rsidR="0080284A">
        <w:t xml:space="preserve">kriminālprocesā </w:t>
      </w:r>
      <w:r w:rsidR="006C2CAE" w:rsidRPr="0010091D">
        <w:t>aizskart</w:t>
      </w:r>
      <w:r w:rsidR="006C2CAE">
        <w:t>ajam</w:t>
      </w:r>
      <w:r w:rsidR="006C2CAE" w:rsidRPr="0010091D">
        <w:t xml:space="preserve"> </w:t>
      </w:r>
      <w:r w:rsidRPr="0010091D">
        <w:t>mantas īpašniekam apelācijas instanc</w:t>
      </w:r>
      <w:r>
        <w:t>es tiesā</w:t>
      </w:r>
      <w:r w:rsidRPr="0010091D">
        <w:t xml:space="preserve"> </w:t>
      </w:r>
      <w:r w:rsidR="009D2AAB">
        <w:t>ir</w:t>
      </w:r>
      <w:r w:rsidR="0061167F">
        <w:t xml:space="preserve"> nodrošinātas</w:t>
      </w:r>
      <w:r w:rsidR="00F9276D">
        <w:t xml:space="preserve"> viņa tiesības </w:t>
      </w:r>
      <w:r w:rsidRPr="0010091D">
        <w:t xml:space="preserve">tikt uzklausītam, iesniegt pierādījumus, paust iebildumus par mantas </w:t>
      </w:r>
      <w:r>
        <w:t xml:space="preserve">noziedzīgo </w:t>
      </w:r>
      <w:r w:rsidRPr="0010091D">
        <w:t xml:space="preserve">izcelsmi un uzturēt savu pozīciju. Ja šīs procesuālās garantijas </w:t>
      </w:r>
      <w:r>
        <w:t>ir</w:t>
      </w:r>
      <w:r w:rsidRPr="0010091D">
        <w:t xml:space="preserve"> </w:t>
      </w:r>
      <w:r w:rsidR="0061167F">
        <w:t>ievērotas</w:t>
      </w:r>
      <w:r w:rsidRPr="0010091D">
        <w:t>, tas vien, ka apelācijas instance</w:t>
      </w:r>
      <w:r>
        <w:t>s tiesa ir</w:t>
      </w:r>
      <w:r w:rsidRPr="0010091D">
        <w:t xml:space="preserve"> nonā</w:t>
      </w:r>
      <w:r>
        <w:t>kusi</w:t>
      </w:r>
      <w:r w:rsidRPr="0010091D">
        <w:t xml:space="preserve"> pie</w:t>
      </w:r>
      <w:r>
        <w:t xml:space="preserve"> </w:t>
      </w:r>
      <w:r w:rsidRPr="0010091D">
        <w:t xml:space="preserve">secinājuma, </w:t>
      </w:r>
      <w:r>
        <w:t xml:space="preserve">kas </w:t>
      </w:r>
      <w:r>
        <w:lastRenderedPageBreak/>
        <w:t xml:space="preserve">atšķiras no pirmās instances tiesas nospriestā, </w:t>
      </w:r>
      <w:r w:rsidR="00E135E5">
        <w:t xml:space="preserve">pats par sevi nav atzīstams par </w:t>
      </w:r>
      <w:r>
        <w:t xml:space="preserve">tiesību uz </w:t>
      </w:r>
      <w:r w:rsidRPr="0010091D">
        <w:t>taisnīg</w:t>
      </w:r>
      <w:r>
        <w:t>u</w:t>
      </w:r>
      <w:r w:rsidRPr="0010091D">
        <w:t xml:space="preserve"> ties</w:t>
      </w:r>
      <w:r>
        <w:t xml:space="preserve">u </w:t>
      </w:r>
      <w:r w:rsidR="00E135E5">
        <w:t>pārkāpumu</w:t>
      </w:r>
      <w:r w:rsidRPr="0010091D">
        <w:t xml:space="preserve">. </w:t>
      </w:r>
    </w:p>
    <w:p w14:paraId="74335487" w14:textId="6AD3BE05" w:rsidR="007A7935" w:rsidRDefault="007A7935" w:rsidP="0048500B">
      <w:pPr>
        <w:spacing w:line="276" w:lineRule="auto"/>
        <w:ind w:firstLine="720"/>
        <w:jc w:val="both"/>
      </w:pPr>
      <w:r w:rsidRPr="00326A8A">
        <w:t xml:space="preserve">Kasācijas sūdzībā nav norādīti </w:t>
      </w:r>
      <w:r w:rsidR="008B5D97">
        <w:t xml:space="preserve">tādi </w:t>
      </w:r>
      <w:r w:rsidRPr="00326A8A">
        <w:t xml:space="preserve">argumenti, kas dotu pamatu secināt, ka </w:t>
      </w:r>
      <w:r w:rsidR="0048500B">
        <w:t xml:space="preserve">kriminālprocesā </w:t>
      </w:r>
      <w:r w:rsidR="00E135E5">
        <w:t xml:space="preserve">aizskartajiem mantas īpašniekiem nav nodrošināta iespēja īstenot savas procesuālās tiesības </w:t>
      </w:r>
      <w:r w:rsidRPr="00326A8A">
        <w:t>apelācijas instanc</w:t>
      </w:r>
      <w:r>
        <w:t>es tiesā</w:t>
      </w:r>
      <w:r w:rsidR="00E135E5">
        <w:t>.</w:t>
      </w:r>
      <w:r w:rsidRPr="00326A8A">
        <w:t xml:space="preserve"> </w:t>
      </w:r>
    </w:p>
    <w:p w14:paraId="192622B5" w14:textId="77777777" w:rsidR="00F9276D" w:rsidRDefault="00F9276D" w:rsidP="00EA386F">
      <w:pPr>
        <w:widowControl w:val="0"/>
        <w:spacing w:line="276" w:lineRule="auto"/>
        <w:ind w:firstLine="720"/>
        <w:jc w:val="both"/>
      </w:pPr>
    </w:p>
    <w:p w14:paraId="6CB6DEE7" w14:textId="77777777" w:rsidR="00706374" w:rsidRDefault="00706374" w:rsidP="00706374">
      <w:pPr>
        <w:widowControl w:val="0"/>
        <w:spacing w:line="276" w:lineRule="auto"/>
        <w:ind w:firstLine="720"/>
        <w:jc w:val="both"/>
      </w:pPr>
      <w:r w:rsidRPr="00011547">
        <w:t>[</w:t>
      </w:r>
      <w:r>
        <w:t>5</w:t>
      </w:r>
      <w:r w:rsidRPr="00011547">
        <w:t>]</w:t>
      </w:r>
      <w:r>
        <w:t xml:space="preserve"> Tālāk Senāts pārbaudīs, vai apelācijas instances tiesa ir pareizi noteikusi noziedzīgā nodarījuma priekšmetu.</w:t>
      </w:r>
    </w:p>
    <w:p w14:paraId="3E924073" w14:textId="77777777" w:rsidR="00706374" w:rsidRDefault="00706374" w:rsidP="00706374">
      <w:pPr>
        <w:widowControl w:val="0"/>
        <w:spacing w:line="276" w:lineRule="auto"/>
        <w:ind w:firstLine="720"/>
        <w:jc w:val="both"/>
      </w:pPr>
      <w:r>
        <w:t>[5.1] Krimināllikuma 179. pants paredz atbildību p</w:t>
      </w:r>
      <w:r w:rsidRPr="00010795">
        <w:t>ar svešas mantas prettiesisku iegūšanu vai izšķērdēšanu, ja to izdarījusi persona, kurai šī manta uzticēta vai kuras pārziņā tā atradusies (piesavināšanās</w:t>
      </w:r>
      <w:r>
        <w:t>).</w:t>
      </w:r>
    </w:p>
    <w:p w14:paraId="0BBF516D" w14:textId="77777777" w:rsidR="00706374" w:rsidRPr="00E16644" w:rsidRDefault="00706374" w:rsidP="00706374">
      <w:pPr>
        <w:widowControl w:val="0"/>
        <w:spacing w:line="276" w:lineRule="auto"/>
        <w:ind w:firstLine="720"/>
        <w:jc w:val="both"/>
        <w:rPr>
          <w:rFonts w:eastAsia="Calibri"/>
        </w:rPr>
      </w:pPr>
      <w:r>
        <w:rPr>
          <w:rFonts w:eastAsia="Calibri"/>
        </w:rPr>
        <w:t>Saskaņā ar Senāta judikatūru š</w:t>
      </w:r>
      <w:r w:rsidRPr="00E16644">
        <w:rPr>
          <w:rFonts w:eastAsia="Calibri"/>
        </w:rPr>
        <w:t>ajā pantā</w:t>
      </w:r>
      <w:r w:rsidRPr="00E16644">
        <w:rPr>
          <w:rFonts w:eastAsia="Calibri"/>
          <w:shd w:val="clear" w:color="auto" w:fill="FFFFFF"/>
        </w:rPr>
        <w:t xml:space="preserve"> paredzēto noziedzīgo nodarījumu no objektīvās puses raksturo svešas mantas prettiesiska iegūšana vai izšķērdēšana, ja </w:t>
      </w:r>
      <w:r>
        <w:rPr>
          <w:rFonts w:eastAsia="Calibri"/>
          <w:shd w:val="clear" w:color="auto" w:fill="FFFFFF"/>
        </w:rPr>
        <w:t xml:space="preserve">[..] </w:t>
      </w:r>
      <w:r w:rsidRPr="00E16644">
        <w:rPr>
          <w:rFonts w:eastAsia="Calibri"/>
          <w:shd w:val="clear" w:color="auto" w:fill="FFFFFF"/>
        </w:rPr>
        <w:t>vainīgais izmanto savu pilnvarojumu attiecībā pret nolaupāmo mantu, lai to prettiesiski iegūtu. Piesavināšanās gadījum</w:t>
      </w:r>
      <w:r>
        <w:rPr>
          <w:rFonts w:eastAsia="Calibri"/>
          <w:shd w:val="clear" w:color="auto" w:fill="FFFFFF"/>
        </w:rPr>
        <w:t>ā</w:t>
      </w:r>
      <w:r w:rsidRPr="00E16644">
        <w:rPr>
          <w:rFonts w:eastAsia="Calibri"/>
          <w:shd w:val="clear" w:color="auto" w:fill="FFFFFF"/>
        </w:rPr>
        <w:t xml:space="preserve"> personai uzticētā vai pārziņā esošā manta pēc tās prettiesiskas paņemšanas kādu laiku atrodas šīs personas nelikumīgā valdījumā, un šajā laikā tad viņa ar to rīkojas pēc saviem ieskatiem, piemēram, pārdod, uzdāvina </w:t>
      </w:r>
      <w:r>
        <w:rPr>
          <w:rFonts w:eastAsia="Calibri"/>
          <w:shd w:val="clear" w:color="auto" w:fill="FFFFFF"/>
        </w:rPr>
        <w:t xml:space="preserve">to </w:t>
      </w:r>
      <w:r w:rsidRPr="00E16644">
        <w:rPr>
          <w:rFonts w:eastAsia="Calibri"/>
          <w:shd w:val="clear" w:color="auto" w:fill="FFFFFF"/>
        </w:rPr>
        <w:t>u.</w:t>
      </w:r>
      <w:r>
        <w:rPr>
          <w:rFonts w:eastAsia="Calibri"/>
          <w:shd w:val="clear" w:color="auto" w:fill="FFFFFF"/>
        </w:rPr>
        <w:t> </w:t>
      </w:r>
      <w:r w:rsidRPr="00E16644">
        <w:rPr>
          <w:rFonts w:eastAsia="Calibri"/>
          <w:shd w:val="clear" w:color="auto" w:fill="FFFFFF"/>
        </w:rPr>
        <w:t>tml.</w:t>
      </w:r>
      <w:r w:rsidRPr="00E16644">
        <w:rPr>
          <w:rFonts w:eastAsia="Calibri"/>
        </w:rPr>
        <w:t xml:space="preserve"> </w:t>
      </w:r>
      <w:r w:rsidRPr="00E16644">
        <w:t>(</w:t>
      </w:r>
      <w:r w:rsidRPr="00E16644">
        <w:rPr>
          <w:i/>
          <w:iCs/>
        </w:rPr>
        <w:t xml:space="preserve">Senāta 2022. gada 27. aprīļa lēmuma lietā Nr. SKK-32/2022, </w:t>
      </w:r>
      <w:hyperlink r:id="rId8" w:history="1">
        <w:r w:rsidRPr="00E16644">
          <w:rPr>
            <w:rStyle w:val="Hyperlink"/>
            <w:i/>
            <w:iCs/>
          </w:rPr>
          <w:t>ECLI:LV:AT:2022:0427.11517103516.5.L</w:t>
        </w:r>
      </w:hyperlink>
      <w:r w:rsidRPr="00E16644">
        <w:rPr>
          <w:i/>
          <w:iCs/>
        </w:rPr>
        <w:t>, 6.1. punkt</w:t>
      </w:r>
      <w:r w:rsidRPr="00EA386F">
        <w:rPr>
          <w:i/>
          <w:iCs/>
        </w:rPr>
        <w:t>s</w:t>
      </w:r>
      <w:r w:rsidRPr="00EA386F">
        <w:rPr>
          <w:rStyle w:val="Hyperlink"/>
          <w:u w:val="none"/>
        </w:rPr>
        <w:t>).</w:t>
      </w:r>
    </w:p>
    <w:p w14:paraId="45A36750" w14:textId="377DCA41" w:rsidR="00706374" w:rsidRPr="0048500B" w:rsidRDefault="00706374" w:rsidP="00706374">
      <w:pPr>
        <w:widowControl w:val="0"/>
        <w:spacing w:line="276" w:lineRule="auto"/>
        <w:ind w:firstLine="720"/>
        <w:jc w:val="both"/>
        <w:rPr>
          <w:color w:val="000000" w:themeColor="text1"/>
        </w:rPr>
      </w:pPr>
      <w:r w:rsidRPr="00712B3C">
        <w:rPr>
          <w:color w:val="000000" w:themeColor="text1"/>
        </w:rPr>
        <w:t>[5.2] Apelācijas instances tiesa ir atzinusi, ka pirmās instances tiesa lietā esošos pierādījumus ir izvērtējusi atbilstoši Kriminālprocesa likuma prasībām un pamatoti konstatējusi, ka apsūdzētais</w:t>
      </w:r>
      <w:r w:rsidR="00184F11">
        <w:rPr>
          <w:color w:val="000000" w:themeColor="text1"/>
        </w:rPr>
        <w:t xml:space="preserve"> [pers. C]</w:t>
      </w:r>
      <w:r w:rsidRPr="00712B3C">
        <w:rPr>
          <w:color w:val="000000" w:themeColor="text1"/>
        </w:rPr>
        <w:t xml:space="preserve"> </w:t>
      </w:r>
      <w:r w:rsidRPr="00B27709">
        <w:t>nekustam</w:t>
      </w:r>
      <w:r>
        <w:t>o</w:t>
      </w:r>
      <w:r w:rsidRPr="00B27709">
        <w:t xml:space="preserve"> īpašum</w:t>
      </w:r>
      <w:r>
        <w:t>u</w:t>
      </w:r>
      <w:r w:rsidRPr="00B27709">
        <w:t xml:space="preserve"> </w:t>
      </w:r>
      <w:r w:rsidR="00184F11">
        <w:t>[adrese]</w:t>
      </w:r>
      <w:r>
        <w:rPr>
          <w:color w:val="000000" w:themeColor="text1"/>
        </w:rPr>
        <w:t xml:space="preserve"> </w:t>
      </w:r>
      <w:r w:rsidRPr="00712B3C">
        <w:rPr>
          <w:color w:val="000000" w:themeColor="text1"/>
        </w:rPr>
        <w:t xml:space="preserve">ir </w:t>
      </w:r>
      <w:r>
        <w:rPr>
          <w:color w:val="000000" w:themeColor="text1"/>
        </w:rPr>
        <w:t>piesavinājies</w:t>
      </w:r>
      <w:r w:rsidRPr="00712B3C">
        <w:rPr>
          <w:color w:val="000000" w:themeColor="text1"/>
        </w:rPr>
        <w:t xml:space="preserve"> šādos apstākļos.</w:t>
      </w:r>
    </w:p>
    <w:p w14:paraId="28BF420E" w14:textId="39757366" w:rsidR="00706374" w:rsidRDefault="00706374" w:rsidP="00706374">
      <w:pPr>
        <w:widowControl w:val="0"/>
        <w:spacing w:line="276" w:lineRule="auto"/>
        <w:ind w:firstLine="720"/>
        <w:jc w:val="both"/>
      </w:pPr>
      <w:r>
        <w:t xml:space="preserve">2018. gada 18. oktobrī </w:t>
      </w:r>
      <w:r w:rsidRPr="00B27709">
        <w:t>SIA</w:t>
      </w:r>
      <w:r>
        <w:t> „</w:t>
      </w:r>
      <w:r w:rsidR="00184F11">
        <w:t>[Nosaukums]</w:t>
      </w:r>
      <w:r w:rsidRPr="00B27709">
        <w:t>”</w:t>
      </w:r>
      <w:r w:rsidRPr="00B27709">
        <w:rPr>
          <w:i/>
          <w:iCs/>
        </w:rPr>
        <w:t xml:space="preserve"> </w:t>
      </w:r>
      <w:r w:rsidRPr="00B27709">
        <w:t>izdeva</w:t>
      </w:r>
      <w:r w:rsidRPr="0044782D">
        <w:rPr>
          <w:color w:val="EE0000"/>
        </w:rPr>
        <w:t xml:space="preserve"> </w:t>
      </w:r>
      <w:r w:rsidRPr="00B27709">
        <w:t xml:space="preserve">ģenerālpilnvaru </w:t>
      </w:r>
      <w:r>
        <w:t xml:space="preserve">apsūdzētajam </w:t>
      </w:r>
      <w:r w:rsidR="00184F11">
        <w:t>[pers. C]</w:t>
      </w:r>
      <w:r w:rsidRPr="00B27709">
        <w:t>, pilnvaroj</w:t>
      </w:r>
      <w:r>
        <w:t xml:space="preserve">ot viņu </w:t>
      </w:r>
      <w:r w:rsidRPr="00B27709">
        <w:t>brīvi pārdot, dāvināt, ieķīlāt, izīrēt</w:t>
      </w:r>
      <w:r>
        <w:t xml:space="preserve"> un </w:t>
      </w:r>
      <w:r w:rsidRPr="00B27709">
        <w:t>iznomāt SIA</w:t>
      </w:r>
      <w:r>
        <w:t> „</w:t>
      </w:r>
      <w:r w:rsidR="00184F11">
        <w:t>[Nosaukums]</w:t>
      </w:r>
      <w:r w:rsidRPr="00B27709">
        <w:t>”</w:t>
      </w:r>
      <w:r w:rsidRPr="00B27709">
        <w:rPr>
          <w:i/>
          <w:iCs/>
        </w:rPr>
        <w:t xml:space="preserve"> </w:t>
      </w:r>
      <w:r w:rsidRPr="00B27709">
        <w:t>piederošo kustamo</w:t>
      </w:r>
      <w:r>
        <w:t xml:space="preserve"> </w:t>
      </w:r>
      <w:r w:rsidRPr="00B27709">
        <w:t>un</w:t>
      </w:r>
      <w:r>
        <w:t xml:space="preserve"> </w:t>
      </w:r>
      <w:r w:rsidRPr="00B27709">
        <w:t xml:space="preserve">nekustamo </w:t>
      </w:r>
      <w:r>
        <w:t>mantu.</w:t>
      </w:r>
    </w:p>
    <w:p w14:paraId="4C55CC55" w14:textId="424DEFEF" w:rsidR="00706374" w:rsidRDefault="00706374" w:rsidP="00706374">
      <w:pPr>
        <w:widowControl w:val="0"/>
        <w:spacing w:line="276" w:lineRule="auto"/>
        <w:ind w:firstLine="720"/>
        <w:jc w:val="both"/>
      </w:pPr>
      <w:r>
        <w:t xml:space="preserve">Turpmāk apsūdzētais </w:t>
      </w:r>
      <w:r w:rsidR="00184F11">
        <w:t>[pers. C]</w:t>
      </w:r>
      <w:r>
        <w:t xml:space="preserve">: </w:t>
      </w:r>
    </w:p>
    <w:p w14:paraId="128CAA08" w14:textId="1DD6B082" w:rsidR="00706374" w:rsidRDefault="00706374" w:rsidP="00706374">
      <w:pPr>
        <w:pStyle w:val="ListParagraph"/>
        <w:widowControl w:val="0"/>
        <w:numPr>
          <w:ilvl w:val="0"/>
          <w:numId w:val="4"/>
        </w:numPr>
        <w:spacing w:line="276" w:lineRule="auto"/>
        <w:jc w:val="both"/>
      </w:pPr>
      <w:r w:rsidRPr="0044782D">
        <w:t xml:space="preserve">2019. gada 7. novembrī </w:t>
      </w:r>
      <w:r w:rsidRPr="00B27709">
        <w:t>noslēdza pirkuma līgumu starp sevi un SIA</w:t>
      </w:r>
      <w:r>
        <w:t> „</w:t>
      </w:r>
      <w:r w:rsidR="00184F11">
        <w:t>[Nosaukums]</w:t>
      </w:r>
      <w:r w:rsidRPr="00B27709">
        <w:t>”</w:t>
      </w:r>
      <w:r w:rsidRPr="0044782D">
        <w:rPr>
          <w:i/>
          <w:iCs/>
        </w:rPr>
        <w:t xml:space="preserve"> </w:t>
      </w:r>
      <w:r w:rsidRPr="00B27709">
        <w:t xml:space="preserve">par nekustamā īpašuma </w:t>
      </w:r>
      <w:r w:rsidR="00184F11">
        <w:t>[adrese]</w:t>
      </w:r>
      <w:r w:rsidRPr="00B27709">
        <w:t xml:space="preserve"> </w:t>
      </w:r>
      <w:r>
        <w:t>atsavināšanu</w:t>
      </w:r>
      <w:r w:rsidRPr="00B27709">
        <w:t xml:space="preserve"> par 80</w:t>
      </w:r>
      <w:r>
        <w:t> </w:t>
      </w:r>
      <w:r w:rsidRPr="00B27709">
        <w:t>000</w:t>
      </w:r>
      <w:r>
        <w:t xml:space="preserve"> </w:t>
      </w:r>
      <w:proofErr w:type="spellStart"/>
      <w:r w:rsidRPr="0044782D">
        <w:rPr>
          <w:i/>
          <w:iCs/>
        </w:rPr>
        <w:t>euro</w:t>
      </w:r>
      <w:proofErr w:type="spellEnd"/>
      <w:r>
        <w:t>, taču</w:t>
      </w:r>
      <w:r w:rsidRPr="00B27709">
        <w:t xml:space="preserve"> </w:t>
      </w:r>
      <w:r>
        <w:t>p</w:t>
      </w:r>
      <w:r w:rsidRPr="00B27709">
        <w:t xml:space="preserve">irkuma maksu </w:t>
      </w:r>
      <w:proofErr w:type="spellStart"/>
      <w:r>
        <w:t>pilnvardevējas</w:t>
      </w:r>
      <w:proofErr w:type="spellEnd"/>
      <w:r>
        <w:t xml:space="preserve"> </w:t>
      </w:r>
      <w:r w:rsidRPr="00B27709">
        <w:t>kontā neiemaksāja</w:t>
      </w:r>
      <w:r>
        <w:t xml:space="preserve"> un 2019. gada 28. novembrī</w:t>
      </w:r>
      <w:r w:rsidRPr="00B27709">
        <w:t xml:space="preserve"> </w:t>
      </w:r>
      <w:r>
        <w:t xml:space="preserve">šo </w:t>
      </w:r>
      <w:r w:rsidRPr="00B27709">
        <w:t>īpašumu reģistrēja zemesgrāmatā uz sava vārda</w:t>
      </w:r>
      <w:r>
        <w:t xml:space="preserve">; </w:t>
      </w:r>
    </w:p>
    <w:p w14:paraId="39639D85" w14:textId="5E7A2391" w:rsidR="00706374" w:rsidRDefault="00706374" w:rsidP="00706374">
      <w:pPr>
        <w:pStyle w:val="ListParagraph"/>
        <w:widowControl w:val="0"/>
        <w:numPr>
          <w:ilvl w:val="0"/>
          <w:numId w:val="4"/>
        </w:numPr>
        <w:spacing w:line="276" w:lineRule="auto"/>
        <w:jc w:val="both"/>
      </w:pPr>
      <w:r>
        <w:t xml:space="preserve">2020. gada 10. janvārī šo īpašumu </w:t>
      </w:r>
      <w:r w:rsidRPr="00B27709">
        <w:t xml:space="preserve">pārdeva </w:t>
      </w:r>
      <w:r w:rsidR="00184F11">
        <w:t>[pers. A]</w:t>
      </w:r>
      <w:r w:rsidRPr="00B27709">
        <w:t xml:space="preserve"> par 108</w:t>
      </w:r>
      <w:r>
        <w:t> </w:t>
      </w:r>
      <w:r w:rsidRPr="00B27709">
        <w:t>000</w:t>
      </w:r>
      <w:r>
        <w:t> </w:t>
      </w:r>
      <w:proofErr w:type="spellStart"/>
      <w:r w:rsidRPr="0044782D">
        <w:rPr>
          <w:i/>
          <w:iCs/>
        </w:rPr>
        <w:t>euro</w:t>
      </w:r>
      <w:proofErr w:type="spellEnd"/>
      <w:r w:rsidRPr="0044782D">
        <w:rPr>
          <w:i/>
          <w:iCs/>
        </w:rPr>
        <w:t xml:space="preserve"> </w:t>
      </w:r>
      <w:r>
        <w:t>un no viņa</w:t>
      </w:r>
      <w:r w:rsidRPr="00B27709">
        <w:t xml:space="preserve"> </w:t>
      </w:r>
      <w:r>
        <w:t>s</w:t>
      </w:r>
      <w:r w:rsidRPr="00B27709">
        <w:t>aņemtos naudas</w:t>
      </w:r>
      <w:r>
        <w:t xml:space="preserve"> </w:t>
      </w:r>
      <w:r w:rsidRPr="00B27709">
        <w:t>līdzekļus izlietoja</w:t>
      </w:r>
      <w:r>
        <w:t xml:space="preserve"> savām vajadzībām.</w:t>
      </w:r>
    </w:p>
    <w:p w14:paraId="3D9EBC07" w14:textId="10484D0D" w:rsidR="00706374" w:rsidRDefault="00706374" w:rsidP="00706374">
      <w:pPr>
        <w:widowControl w:val="0"/>
        <w:spacing w:line="276" w:lineRule="auto"/>
        <w:ind w:firstLine="720"/>
        <w:jc w:val="both"/>
      </w:pPr>
      <w:r w:rsidRPr="00615AAE">
        <w:t>No minētā</w:t>
      </w:r>
      <w:r>
        <w:t xml:space="preserve"> Senāts</w:t>
      </w:r>
      <w:r w:rsidRPr="00615AAE">
        <w:t xml:space="preserve"> </w:t>
      </w:r>
      <w:r>
        <w:t>secina</w:t>
      </w:r>
      <w:r w:rsidRPr="00615AAE">
        <w:t xml:space="preserve">, ka apsūdzētajam bija </w:t>
      </w:r>
      <w:r>
        <w:t>piešķirtas tiesības rīkoties</w:t>
      </w:r>
      <w:r w:rsidRPr="00615AAE">
        <w:t xml:space="preserve"> ar cietušajai </w:t>
      </w:r>
      <w:r w:rsidRPr="00B27709">
        <w:t>SIA</w:t>
      </w:r>
      <w:r>
        <w:t> „</w:t>
      </w:r>
      <w:r w:rsidR="00184F11">
        <w:t>[Nosaukums]</w:t>
      </w:r>
      <w:r w:rsidRPr="00B27709">
        <w:t>”</w:t>
      </w:r>
      <w:r w:rsidRPr="0044782D">
        <w:rPr>
          <w:i/>
          <w:iCs/>
        </w:rPr>
        <w:t xml:space="preserve"> </w:t>
      </w:r>
      <w:r w:rsidRPr="00615AAE">
        <w:t>piederošo īpašumu</w:t>
      </w:r>
      <w:r>
        <w:t xml:space="preserve"> šīs sabiedrības interesēs</w:t>
      </w:r>
      <w:r w:rsidRPr="00615AAE">
        <w:t xml:space="preserve">, </w:t>
      </w:r>
      <w:r>
        <w:t>tādēļ</w:t>
      </w:r>
      <w:r w:rsidR="00346AC9">
        <w:t xml:space="preserve"> </w:t>
      </w:r>
      <w:r>
        <w:t>konkrētais nekustamais īpašums</w:t>
      </w:r>
      <w:r w:rsidRPr="00615AAE">
        <w:t xml:space="preserve"> </w:t>
      </w:r>
      <w:r>
        <w:t xml:space="preserve">bija apsūdzētajam uzticēta manta, kas atradās viņa pārziņā </w:t>
      </w:r>
      <w:r w:rsidRPr="00615AAE">
        <w:t>uz</w:t>
      </w:r>
      <w:r w:rsidR="009E57C2">
        <w:t xml:space="preserve"> </w:t>
      </w:r>
      <w:r w:rsidRPr="00615AAE">
        <w:t>piešķirtā pilnvarojuma pamata</w:t>
      </w:r>
      <w:r>
        <w:t>. I</w:t>
      </w:r>
      <w:r w:rsidRPr="00615AAE">
        <w:t xml:space="preserve">zmantojot </w:t>
      </w:r>
      <w:r>
        <w:t xml:space="preserve">šo </w:t>
      </w:r>
      <w:r w:rsidRPr="00615AAE">
        <w:t>pilnvar</w:t>
      </w:r>
      <w:r>
        <w:t>ojumu</w:t>
      </w:r>
      <w:r w:rsidRPr="00615AAE">
        <w:t>,</w:t>
      </w:r>
      <w:r>
        <w:t xml:space="preserve"> apsūdzētais</w:t>
      </w:r>
      <w:r w:rsidRPr="00615AAE">
        <w:t xml:space="preserve"> </w:t>
      </w:r>
      <w:r w:rsidRPr="00873EF3">
        <w:t xml:space="preserve">ar nodomu piesavināties </w:t>
      </w:r>
      <w:proofErr w:type="spellStart"/>
      <w:r>
        <w:t>pilnvardevējas</w:t>
      </w:r>
      <w:proofErr w:type="spellEnd"/>
      <w:r w:rsidRPr="00873EF3">
        <w:t xml:space="preserve"> </w:t>
      </w:r>
      <w:r>
        <w:t>īpašumu</w:t>
      </w:r>
      <w:r w:rsidRPr="00873EF3">
        <w:t xml:space="preserve"> </w:t>
      </w:r>
      <w:r w:rsidRPr="00615AAE">
        <w:t xml:space="preserve">prettiesiski ieguva </w:t>
      </w:r>
      <w:r>
        <w:t xml:space="preserve">to </w:t>
      </w:r>
      <w:r w:rsidRPr="00615AAE">
        <w:t xml:space="preserve">sev, </w:t>
      </w:r>
      <w:r w:rsidRPr="00873EF3">
        <w:t>reģistrējot</w:t>
      </w:r>
      <w:r w:rsidR="009E57C2">
        <w:t xml:space="preserve"> </w:t>
      </w:r>
      <w:r>
        <w:t xml:space="preserve">īpašumu </w:t>
      </w:r>
      <w:r w:rsidRPr="00873EF3">
        <w:t xml:space="preserve">zemesgrāmatā uz sava vārda un nenorēķinoties ar </w:t>
      </w:r>
      <w:proofErr w:type="spellStart"/>
      <w:r w:rsidRPr="00873EF3">
        <w:t>pilnvardevēju</w:t>
      </w:r>
      <w:proofErr w:type="spellEnd"/>
      <w:r w:rsidRPr="00873EF3">
        <w:t>.</w:t>
      </w:r>
    </w:p>
    <w:p w14:paraId="0DA021AD" w14:textId="5FAB757F" w:rsidR="00706374" w:rsidRDefault="00706374" w:rsidP="00706374">
      <w:pPr>
        <w:widowControl w:val="0"/>
        <w:spacing w:line="276" w:lineRule="auto"/>
        <w:ind w:firstLine="720"/>
        <w:jc w:val="both"/>
      </w:pPr>
      <w:r w:rsidRPr="00F36D92">
        <w:t>Minēto secinājumu negroza tas, ka pilnvar</w:t>
      </w:r>
      <w:r>
        <w:t>ojums piešķīra</w:t>
      </w:r>
      <w:r w:rsidRPr="00F36D92">
        <w:t xml:space="preserve"> apsūdzētajam arī tiesības </w:t>
      </w:r>
      <w:proofErr w:type="spellStart"/>
      <w:r>
        <w:t>pilnvardevējas</w:t>
      </w:r>
      <w:proofErr w:type="spellEnd"/>
      <w:r>
        <w:t xml:space="preserve"> </w:t>
      </w:r>
      <w:r w:rsidRPr="00F36D92">
        <w:t>īpašumu atsavināt</w:t>
      </w:r>
      <w:r>
        <w:t xml:space="preserve"> </w:t>
      </w:r>
      <w:r w:rsidRPr="00F36D92">
        <w:t xml:space="preserve">bez atlīdzības. Izšķiroša nozīme ir nevis pilnvarojumā paredzēto atsavināšanas veidu uzskaitījumam, bet gan tam, vai apsūdzētais rīkojies </w:t>
      </w:r>
      <w:proofErr w:type="spellStart"/>
      <w:r w:rsidRPr="00F36D92">
        <w:lastRenderedPageBreak/>
        <w:t>pilnvardevēja</w:t>
      </w:r>
      <w:r>
        <w:t>s</w:t>
      </w:r>
      <w:proofErr w:type="spellEnd"/>
      <w:r w:rsidRPr="00F36D92">
        <w:t xml:space="preserve"> interesēs</w:t>
      </w:r>
      <w:r>
        <w:t xml:space="preserve"> (sk. arī Civillikuma 2301. pant</w:t>
      </w:r>
      <w:r w:rsidR="009D2AAB">
        <w:t>a pirmo daļu</w:t>
      </w:r>
      <w:r>
        <w:t>)</w:t>
      </w:r>
      <w:r w:rsidRPr="00F36D92">
        <w:t xml:space="preserve">. </w:t>
      </w:r>
    </w:p>
    <w:p w14:paraId="5338A81D" w14:textId="77777777" w:rsidR="00706374" w:rsidRPr="00F36D92" w:rsidRDefault="00706374" w:rsidP="00706374">
      <w:pPr>
        <w:widowControl w:val="0"/>
        <w:spacing w:line="276" w:lineRule="auto"/>
        <w:ind w:firstLine="720"/>
        <w:jc w:val="both"/>
      </w:pPr>
      <w:r w:rsidRPr="00F36D92">
        <w:t>Kā konstatējusi tiesa, izskatāmajā gadījumā tas n</w:t>
      </w:r>
      <w:r>
        <w:t>ebija</w:t>
      </w:r>
      <w:r w:rsidRPr="00F36D92">
        <w:t xml:space="preserve"> noticis.</w:t>
      </w:r>
    </w:p>
    <w:p w14:paraId="3F963834" w14:textId="58EB83A6" w:rsidR="00706374" w:rsidRDefault="00706374" w:rsidP="00706374">
      <w:pPr>
        <w:widowControl w:val="0"/>
        <w:spacing w:line="276" w:lineRule="auto"/>
        <w:ind w:firstLine="720"/>
        <w:jc w:val="both"/>
      </w:pPr>
      <w:r>
        <w:t>[5.3] Ņemot vērā, ka nekustamā īpašuma piesavināšanās bija pabeigta brīdī,</w:t>
      </w:r>
      <w:r w:rsidRPr="00227F1F">
        <w:t xml:space="preserve"> </w:t>
      </w:r>
      <w:r>
        <w:t xml:space="preserve">kad apsūdzētais </w:t>
      </w:r>
      <w:r w:rsidRPr="00227F1F">
        <w:t>reģistrēj</w:t>
      </w:r>
      <w:r>
        <w:t>a</w:t>
      </w:r>
      <w:r w:rsidRPr="00227F1F">
        <w:t xml:space="preserve"> </w:t>
      </w:r>
      <w:r>
        <w:t>to zemesgrāmatā</w:t>
      </w:r>
      <w:r w:rsidRPr="00227F1F">
        <w:t xml:space="preserve"> uz sava vārda un par to </w:t>
      </w:r>
      <w:r>
        <w:t xml:space="preserve">nenorēķinājās ar </w:t>
      </w:r>
      <w:proofErr w:type="spellStart"/>
      <w:r>
        <w:t>pilnvardevēju</w:t>
      </w:r>
      <w:proofErr w:type="spellEnd"/>
      <w:r>
        <w:t xml:space="preserve">, </w:t>
      </w:r>
      <w:r w:rsidRPr="00F54943">
        <w:t>vēlāk</w:t>
      </w:r>
      <w:r>
        <w:t>ā</w:t>
      </w:r>
      <w:r w:rsidRPr="00F54943">
        <w:t xml:space="preserve"> </w:t>
      </w:r>
      <w:r>
        <w:t>šā īpašuma</w:t>
      </w:r>
      <w:r w:rsidRPr="00F54943">
        <w:t xml:space="preserve"> atsavināšana trešajai personai</w:t>
      </w:r>
      <w:r>
        <w:t xml:space="preserve"> – </w:t>
      </w:r>
      <w:r w:rsidR="0003330E">
        <w:t>[pers. A]</w:t>
      </w:r>
      <w:r>
        <w:t xml:space="preserve"> –</w:t>
      </w:r>
      <w:r w:rsidRPr="00F54943">
        <w:t xml:space="preserve"> </w:t>
      </w:r>
      <w:r>
        <w:t xml:space="preserve">par samaksu </w:t>
      </w:r>
      <w:r w:rsidRPr="00F54943">
        <w:t>ne</w:t>
      </w:r>
      <w:r>
        <w:t xml:space="preserve">maina to, ka apsūdzētais bija piesavinājies </w:t>
      </w:r>
      <w:r w:rsidR="007A5FA1">
        <w:t xml:space="preserve">tieši </w:t>
      </w:r>
      <w:r>
        <w:t xml:space="preserve">nekustamo īpašumu. </w:t>
      </w:r>
    </w:p>
    <w:p w14:paraId="00F6EA4D" w14:textId="6D856ACE" w:rsidR="00706374" w:rsidRDefault="00706374" w:rsidP="007A5FA1">
      <w:pPr>
        <w:widowControl w:val="0"/>
        <w:spacing w:line="276" w:lineRule="auto"/>
        <w:ind w:firstLine="720"/>
        <w:jc w:val="both"/>
      </w:pPr>
      <w:r w:rsidRPr="00F51445">
        <w:t>[5.</w:t>
      </w:r>
      <w:r>
        <w:t>4</w:t>
      </w:r>
      <w:r w:rsidRPr="00F51445">
        <w:t>] Papildus</w:t>
      </w:r>
      <w:r w:rsidRPr="001E0FBA">
        <w:t xml:space="preserve"> Senāts norāda, ka nauda varētu tikt atzīta par piesavināšanās priekšmetu t</w:t>
      </w:r>
      <w:r>
        <w:t>ad</w:t>
      </w:r>
      <w:r w:rsidRPr="001E0FBA">
        <w:t xml:space="preserve">, ja apsūdzētais </w:t>
      </w:r>
      <w:proofErr w:type="spellStart"/>
      <w:r w:rsidRPr="001E0FBA">
        <w:t>pilnvardevēja</w:t>
      </w:r>
      <w:r>
        <w:t>s</w:t>
      </w:r>
      <w:proofErr w:type="spellEnd"/>
      <w:r w:rsidRPr="001E0FBA">
        <w:t xml:space="preserve"> uzticēto nekustamo īpašumu būtu </w:t>
      </w:r>
      <w:r>
        <w:t>atsavinājis</w:t>
      </w:r>
      <w:r w:rsidRPr="001E0FBA">
        <w:t xml:space="preserve"> trešajai personai</w:t>
      </w:r>
      <w:r w:rsidR="007A5FA1">
        <w:t xml:space="preserve">, </w:t>
      </w:r>
      <w:r w:rsidRPr="001E0FBA">
        <w:t xml:space="preserve">saņēmis no tās naudu, </w:t>
      </w:r>
      <w:r w:rsidR="007A5FA1">
        <w:t xml:space="preserve">bet nebūtu to nodevis </w:t>
      </w:r>
      <w:proofErr w:type="spellStart"/>
      <w:r w:rsidR="007A5FA1">
        <w:t>pilnvardevējai</w:t>
      </w:r>
      <w:proofErr w:type="spellEnd"/>
      <w:r w:rsidR="007A5FA1">
        <w:t xml:space="preserve">, </w:t>
      </w:r>
      <w:r w:rsidRPr="001E0FBA">
        <w:t>jo pilnvarojums pārdot mantu ietver tiesības arī saņemt par to pirkuma maksu</w:t>
      </w:r>
      <w:r w:rsidR="007A5FA1">
        <w:t>.</w:t>
      </w:r>
      <w:r w:rsidRPr="001E0FBA">
        <w:t xml:space="preserve"> </w:t>
      </w:r>
    </w:p>
    <w:p w14:paraId="21D9377D" w14:textId="461DC41B" w:rsidR="007A5FA1" w:rsidRDefault="007A5FA1" w:rsidP="007A5FA1">
      <w:pPr>
        <w:widowControl w:val="0"/>
        <w:spacing w:line="276" w:lineRule="auto"/>
        <w:ind w:firstLine="720"/>
        <w:jc w:val="both"/>
      </w:pPr>
      <w:r>
        <w:t xml:space="preserve">Šādā gadījumā </w:t>
      </w:r>
      <w:r w:rsidR="00706374" w:rsidRPr="00712B3C">
        <w:t>no pircēja saņemtā nauda būtu uzskatāma par pilnvarniekam uzticētu</w:t>
      </w:r>
      <w:r w:rsidR="00706374">
        <w:t xml:space="preserve"> un viņa pārziņā esošu</w:t>
      </w:r>
      <w:r w:rsidR="00706374" w:rsidRPr="00712B3C">
        <w:t xml:space="preserve"> mantu</w:t>
      </w:r>
      <w:r w:rsidR="00706374">
        <w:t xml:space="preserve"> Krimināllikuma 179. panta izpratnē</w:t>
      </w:r>
      <w:r w:rsidR="00706374" w:rsidRPr="00712B3C">
        <w:t xml:space="preserve">, kas viņa valdījumā nonākusi uz pilnvarojuma pamata. </w:t>
      </w:r>
      <w:r>
        <w:t xml:space="preserve">Savukārt </w:t>
      </w:r>
      <w:r w:rsidRPr="001E0FBA">
        <w:t>Civillikuma 2304. pant</w:t>
      </w:r>
      <w:r>
        <w:t>s noteic, ka p</w:t>
      </w:r>
      <w:r w:rsidRPr="00712B3C">
        <w:t>ilnvarnieks nedrīkst gūt no lietas peļņu sev pašam, bet viņam viss, ko viņš ar pilnvarojumu ieņēmis vai dabūjis, izņemot tikai to, ko pilnvarotājs no tā viņam piešķīris, kā arī visas uz uzdevuma pamata iegūtās lietas, tiesības un prasības, jāatdod pilnvarotāja</w:t>
      </w:r>
      <w:r>
        <w:t>m.</w:t>
      </w:r>
    </w:p>
    <w:p w14:paraId="7E638F36" w14:textId="522011EF" w:rsidR="007A3C25" w:rsidRPr="00712B3C" w:rsidRDefault="00706374" w:rsidP="007A3C25">
      <w:pPr>
        <w:widowControl w:val="0"/>
        <w:spacing w:line="276" w:lineRule="auto"/>
        <w:ind w:firstLine="720"/>
        <w:jc w:val="both"/>
      </w:pPr>
      <w:r w:rsidRPr="00712B3C">
        <w:t xml:space="preserve">Tomēr konkrētajā gadījumā šādi apstākļi nav konstatēti. </w:t>
      </w:r>
      <w:r>
        <w:t xml:space="preserve">Tādēļ </w:t>
      </w:r>
      <w:r w:rsidRPr="00712B3C">
        <w:t>kasācijas sūdzīb</w:t>
      </w:r>
      <w:r>
        <w:t>as</w:t>
      </w:r>
      <w:r w:rsidRPr="00712B3C">
        <w:t xml:space="preserve"> iesniedzēju atsauce uz </w:t>
      </w:r>
      <w:r>
        <w:t xml:space="preserve">apsūdzētā </w:t>
      </w:r>
      <w:r w:rsidR="0073146D">
        <w:t>[pers. C]</w:t>
      </w:r>
      <w:r>
        <w:t xml:space="preserve"> veikto cita dzīvokļa atsavināšanas gadījumu trešajai personai, kas arī kvalificēts kā piesavināšanās,</w:t>
      </w:r>
      <w:r w:rsidRPr="00712B3C">
        <w:t xml:space="preserve"> ir nepamatota. </w:t>
      </w:r>
      <w:r w:rsidR="007A3C25" w:rsidRPr="007A3C25">
        <w:t>Ņemot vērā konstatētās atšķirības, abu situāciju faktiskie apstākļi juridiski nav salīdzinām</w:t>
      </w:r>
      <w:r w:rsidR="007A3C25">
        <w:t>i.</w:t>
      </w:r>
    </w:p>
    <w:p w14:paraId="5F72CD38" w14:textId="0AF00834" w:rsidR="007A3C25" w:rsidRPr="007A3C25" w:rsidRDefault="00706374" w:rsidP="007A3C25">
      <w:pPr>
        <w:widowControl w:val="0"/>
        <w:spacing w:line="276" w:lineRule="auto"/>
        <w:ind w:firstLine="720"/>
        <w:jc w:val="both"/>
      </w:pPr>
      <w:r>
        <w:t xml:space="preserve">[5.5] </w:t>
      </w:r>
      <w:r w:rsidR="007A3C25" w:rsidRPr="007A3C25">
        <w:t xml:space="preserve">Arī pirkuma līgumā norādītā naudas summa, ko apsūdzētais, rīkodamies </w:t>
      </w:r>
      <w:proofErr w:type="spellStart"/>
      <w:r w:rsidR="007A3C25" w:rsidRPr="007A3C25">
        <w:t>pilnvardevējas</w:t>
      </w:r>
      <w:proofErr w:type="spellEnd"/>
      <w:r w:rsidR="007A3C25" w:rsidRPr="007A3C25">
        <w:t xml:space="preserve"> vārdā, noteica līgumā, kuru noslēdza pats ar sevi, bet </w:t>
      </w:r>
      <w:proofErr w:type="spellStart"/>
      <w:r w:rsidR="007A3C25" w:rsidRPr="007A3C25">
        <w:t>pilnvardevējai</w:t>
      </w:r>
      <w:proofErr w:type="spellEnd"/>
      <w:r w:rsidR="007A3C25" w:rsidRPr="007A3C25">
        <w:t xml:space="preserve"> nesamaksāja, nav atzīstama par viņam uzticētu vai pārziņā esošu mantu Krimināllikuma 179.</w:t>
      </w:r>
      <w:r w:rsidR="007A3C25">
        <w:t> </w:t>
      </w:r>
      <w:r w:rsidR="007A3C25" w:rsidRPr="007A3C25">
        <w:t>panta izpratnē.</w:t>
      </w:r>
    </w:p>
    <w:p w14:paraId="373E3CE0" w14:textId="13FAE05E" w:rsidR="00706374" w:rsidRDefault="00706374" w:rsidP="00706374">
      <w:pPr>
        <w:widowControl w:val="0"/>
        <w:spacing w:line="276" w:lineRule="auto"/>
        <w:ind w:firstLine="720"/>
        <w:jc w:val="both"/>
        <w:rPr>
          <w:rStyle w:val="Hyperlink"/>
          <w:color w:val="auto"/>
          <w:u w:val="none"/>
        </w:rPr>
      </w:pPr>
      <w:r>
        <w:rPr>
          <w:rFonts w:eastAsia="Calibri"/>
        </w:rPr>
        <w:t xml:space="preserve">Šajā </w:t>
      </w:r>
      <w:r w:rsidRPr="002F70D4">
        <w:rPr>
          <w:rFonts w:eastAsia="Calibri"/>
        </w:rPr>
        <w:t>pantā paredzētā noziedzīgā nodarījuma sastāvs konstatējams tikai tād</w:t>
      </w:r>
      <w:r>
        <w:rPr>
          <w:rFonts w:eastAsia="Calibri"/>
        </w:rPr>
        <w:t>ā</w:t>
      </w:r>
      <w:r w:rsidRPr="002F70D4">
        <w:rPr>
          <w:rFonts w:eastAsia="Calibri"/>
        </w:rPr>
        <w:t xml:space="preserve"> gadījum</w:t>
      </w:r>
      <w:r>
        <w:rPr>
          <w:rFonts w:eastAsia="Calibri"/>
        </w:rPr>
        <w:t>ā</w:t>
      </w:r>
      <w:r w:rsidRPr="002F70D4">
        <w:rPr>
          <w:rFonts w:eastAsia="Calibri"/>
        </w:rPr>
        <w:t xml:space="preserve">, </w:t>
      </w:r>
      <w:r>
        <w:rPr>
          <w:rFonts w:eastAsia="Calibri"/>
        </w:rPr>
        <w:t>ja</w:t>
      </w:r>
      <w:r w:rsidRPr="002F70D4">
        <w:rPr>
          <w:rFonts w:eastAsia="Calibri"/>
        </w:rPr>
        <w:t xml:space="preserve"> piesavinātā (prettiesiski izšķērdētā) manta vai tiesības uz šādu mantu vainīgajai personai vispirms ir</w:t>
      </w:r>
      <w:r>
        <w:rPr>
          <w:rFonts w:eastAsia="Calibri"/>
        </w:rPr>
        <w:t xml:space="preserve"> bijušas</w:t>
      </w:r>
      <w:r w:rsidRPr="002F70D4">
        <w:rPr>
          <w:rFonts w:eastAsia="Calibri"/>
        </w:rPr>
        <w:t xml:space="preserve"> uzticētas vai nodotas tās pārziņā </w:t>
      </w:r>
      <w:r w:rsidRPr="002F70D4">
        <w:t>(</w:t>
      </w:r>
      <w:r w:rsidRPr="002F70D4">
        <w:rPr>
          <w:i/>
          <w:iCs/>
        </w:rPr>
        <w:t xml:space="preserve">Senāta 2022. gada 27. aprīļa lēmuma lietā Nr. SKK-32/2022, </w:t>
      </w:r>
      <w:hyperlink r:id="rId9" w:history="1">
        <w:r w:rsidRPr="002F70D4">
          <w:rPr>
            <w:rStyle w:val="Hyperlink"/>
            <w:i/>
            <w:iCs/>
          </w:rPr>
          <w:t>ECLI:LV:AT:2022:0427.11517103516.5.L</w:t>
        </w:r>
      </w:hyperlink>
      <w:r w:rsidRPr="002F70D4">
        <w:rPr>
          <w:i/>
          <w:iCs/>
        </w:rPr>
        <w:t>, 6.1. punkts</w:t>
      </w:r>
      <w:r w:rsidRPr="002F70D4">
        <w:rPr>
          <w:rStyle w:val="Hyperlink"/>
          <w:color w:val="auto"/>
          <w:u w:val="none"/>
        </w:rPr>
        <w:t>).</w:t>
      </w:r>
      <w:r w:rsidRPr="00FC46B8">
        <w:rPr>
          <w:b/>
          <w:bCs/>
        </w:rPr>
        <w:t xml:space="preserve"> </w:t>
      </w:r>
      <w:r w:rsidRPr="00FC46B8">
        <w:t xml:space="preserve">Tādēļ izšķiroši ir tas, vai konkrētā manta vai tiesības uz to faktiski ir nonākušas apsūdzētā valdījumā </w:t>
      </w:r>
      <w:proofErr w:type="spellStart"/>
      <w:r w:rsidRPr="00FC46B8">
        <w:t>pilnvardevēja</w:t>
      </w:r>
      <w:proofErr w:type="spellEnd"/>
      <w:r w:rsidRPr="00FC46B8">
        <w:t xml:space="preserve"> interesēs ar pienākumu t</w:t>
      </w:r>
      <w:r>
        <w:t>o</w:t>
      </w:r>
      <w:r w:rsidRPr="00FC46B8">
        <w:t xml:space="preserve"> nodot </w:t>
      </w:r>
      <w:proofErr w:type="spellStart"/>
      <w:r w:rsidRPr="00FC46B8">
        <w:t>pilnvardevēja</w:t>
      </w:r>
      <w:r w:rsidR="00B37CD7">
        <w:t>i</w:t>
      </w:r>
      <w:proofErr w:type="spellEnd"/>
      <w:r w:rsidRPr="00FC46B8">
        <w:t>.</w:t>
      </w:r>
    </w:p>
    <w:p w14:paraId="69B227BD" w14:textId="2DBD5E6C" w:rsidR="00706374" w:rsidRPr="00B62F4F" w:rsidRDefault="00706374" w:rsidP="00706374">
      <w:pPr>
        <w:widowControl w:val="0"/>
        <w:spacing w:line="276" w:lineRule="auto"/>
        <w:ind w:firstLine="720"/>
        <w:jc w:val="both"/>
      </w:pPr>
      <w:r>
        <w:t>N</w:t>
      </w:r>
      <w:r w:rsidRPr="00B62F4F">
        <w:t xml:space="preserve">audas summa, kas bija paredzēta </w:t>
      </w:r>
      <w:r>
        <w:t>tikai</w:t>
      </w:r>
      <w:r w:rsidRPr="00B62F4F">
        <w:t xml:space="preserve"> līgumā</w:t>
      </w:r>
      <w:r>
        <w:t>, bet</w:t>
      </w:r>
      <w:r w:rsidRPr="00B62F4F">
        <w:t xml:space="preserve"> faktiski </w:t>
      </w:r>
      <w:proofErr w:type="spellStart"/>
      <w:r w:rsidRPr="00B62F4F">
        <w:t>pilnvardevēja</w:t>
      </w:r>
      <w:r>
        <w:t>i</w:t>
      </w:r>
      <w:proofErr w:type="spellEnd"/>
      <w:r>
        <w:t xml:space="preserve"> – SIA</w:t>
      </w:r>
      <w:r w:rsidR="009E57C2">
        <w:t> </w:t>
      </w:r>
      <w:r>
        <w:t>„</w:t>
      </w:r>
      <w:r w:rsidR="00184F11">
        <w:t>[N</w:t>
      </w:r>
      <w:r w:rsidR="0073146D">
        <w:t>osaukums</w:t>
      </w:r>
      <w:r w:rsidR="00184F11">
        <w:t>]</w:t>
      </w:r>
      <w:r>
        <w:t>” –</w:t>
      </w:r>
      <w:r w:rsidRPr="00B62F4F">
        <w:t xml:space="preserve"> netika samaksāta, nav atzīstama par apsūdzētajam uzticētu </w:t>
      </w:r>
      <w:r>
        <w:t xml:space="preserve">vai viņa pārziņā esošu </w:t>
      </w:r>
      <w:r w:rsidRPr="00B62F4F">
        <w:t>mantu</w:t>
      </w:r>
      <w:r>
        <w:t>, neatkarīgi no tā</w:t>
      </w:r>
      <w:r w:rsidRPr="00B62F4F">
        <w:t xml:space="preserve">, vai apsūdzētā </w:t>
      </w:r>
      <w:r>
        <w:t>rīcībā</w:t>
      </w:r>
      <w:r w:rsidRPr="00B62F4F">
        <w:t xml:space="preserve"> vispārīgi </w:t>
      </w:r>
      <w:r>
        <w:t>varēja būt</w:t>
      </w:r>
      <w:r w:rsidRPr="00B62F4F">
        <w:t xml:space="preserve"> naudas līdzekļi, </w:t>
      </w:r>
      <w:r>
        <w:t xml:space="preserve">ar kuriem norēķināties ar </w:t>
      </w:r>
      <w:proofErr w:type="spellStart"/>
      <w:r>
        <w:t>pilnvardevēju</w:t>
      </w:r>
      <w:proofErr w:type="spellEnd"/>
      <w:r w:rsidRPr="00B62F4F">
        <w:t>.</w:t>
      </w:r>
    </w:p>
    <w:p w14:paraId="72AB7565" w14:textId="2C250B93" w:rsidR="00706374" w:rsidRDefault="00706374" w:rsidP="00706374">
      <w:pPr>
        <w:widowControl w:val="0"/>
        <w:spacing w:line="276" w:lineRule="auto"/>
        <w:ind w:firstLine="720"/>
        <w:jc w:val="both"/>
      </w:pPr>
      <w:r>
        <w:t xml:space="preserve">[5.6] Ievērojot minēto, Senāts atzīst, ka apelācijas instances tiesa ir pareizi noteikusi noziedzīgā nodarījuma priekšmetu un līdz ar to pamatoti secinājusi, ka saskaņā ar </w:t>
      </w:r>
      <w:r w:rsidRPr="00317F5D">
        <w:t>Krimināllikuma 70.</w:t>
      </w:r>
      <w:r w:rsidRPr="00317F5D">
        <w:rPr>
          <w:vertAlign w:val="superscript"/>
        </w:rPr>
        <w:t>11</w:t>
      </w:r>
      <w:r>
        <w:rPr>
          <w:vertAlign w:val="superscript"/>
        </w:rPr>
        <w:t> </w:t>
      </w:r>
      <w:r w:rsidRPr="00317F5D">
        <w:t>panta pirmo daļ</w:t>
      </w:r>
      <w:r>
        <w:t>u</w:t>
      </w:r>
      <w:r w:rsidRPr="00317F5D">
        <w:t xml:space="preserve"> par noziedzīgi iegūtu mantu</w:t>
      </w:r>
      <w:r>
        <w:t xml:space="preserve"> ir atzīstams nekustamais īpašums </w:t>
      </w:r>
      <w:r w:rsidR="0073146D">
        <w:t>[adrese]</w:t>
      </w:r>
      <w:r w:rsidRPr="00317F5D">
        <w:t>.</w:t>
      </w:r>
    </w:p>
    <w:p w14:paraId="6ED6EC87" w14:textId="77777777" w:rsidR="00EA386F" w:rsidRDefault="00EA386F" w:rsidP="00EA386F">
      <w:pPr>
        <w:widowControl w:val="0"/>
        <w:spacing w:line="276" w:lineRule="auto"/>
        <w:ind w:firstLine="720"/>
        <w:jc w:val="both"/>
      </w:pPr>
    </w:p>
    <w:p w14:paraId="762074DC" w14:textId="79A264C6" w:rsidR="00E6346E" w:rsidRDefault="00EA386F" w:rsidP="00EA386F">
      <w:pPr>
        <w:widowControl w:val="0"/>
        <w:spacing w:line="276" w:lineRule="auto"/>
        <w:ind w:firstLine="720"/>
        <w:jc w:val="both"/>
      </w:pPr>
      <w:r>
        <w:t>[</w:t>
      </w:r>
      <w:r w:rsidR="00A77B59">
        <w:t>6</w:t>
      </w:r>
      <w:r>
        <w:t>]</w:t>
      </w:r>
      <w:r w:rsidR="00E6346E">
        <w:t xml:space="preserve"> Tālāk Senāts pārbaudīs, vai apelācijas instances tiesa pareizi </w:t>
      </w:r>
      <w:r w:rsidR="00A05CEC">
        <w:t xml:space="preserve">ir </w:t>
      </w:r>
      <w:r w:rsidR="00E6346E">
        <w:t xml:space="preserve">piemērojusi Kriminālprocesa likuma 360. panta pirmo un otro daļu. </w:t>
      </w:r>
    </w:p>
    <w:p w14:paraId="463CE3C4" w14:textId="0B4CC90F" w:rsidR="00EA386F" w:rsidRPr="004151F0" w:rsidRDefault="00A05CEC" w:rsidP="009A79E6">
      <w:pPr>
        <w:widowControl w:val="0"/>
        <w:spacing w:line="276" w:lineRule="auto"/>
        <w:ind w:firstLine="720"/>
        <w:jc w:val="both"/>
      </w:pPr>
      <w:r>
        <w:t>[</w:t>
      </w:r>
      <w:r w:rsidR="00A77B59">
        <w:t>6</w:t>
      </w:r>
      <w:r>
        <w:t xml:space="preserve">.1] </w:t>
      </w:r>
      <w:r w:rsidR="00EA386F" w:rsidRPr="004151F0">
        <w:t>Kriminālprocesa likuma 360.</w:t>
      </w:r>
      <w:r w:rsidR="009A79E6">
        <w:t> </w:t>
      </w:r>
      <w:r w:rsidR="00EA386F" w:rsidRPr="004151F0">
        <w:t>pant</w:t>
      </w:r>
      <w:r>
        <w:t>s</w:t>
      </w:r>
      <w:r w:rsidR="00EA386F">
        <w:t xml:space="preserve"> noteic: ja </w:t>
      </w:r>
      <w:r w:rsidR="00EA386F" w:rsidRPr="00317F5D">
        <w:t xml:space="preserve">noziedzīgi iegūta manta atrasta pie </w:t>
      </w:r>
      <w:r w:rsidR="00EA386F" w:rsidRPr="00317F5D">
        <w:lastRenderedPageBreak/>
        <w:t>trešās personas, tā atdodama pēc piederības īpašniekam vai likumīgajam valdītājam</w:t>
      </w:r>
      <w:r w:rsidR="00EA386F">
        <w:t xml:space="preserve"> (panta pirmā daļa)</w:t>
      </w:r>
      <w:r w:rsidR="00EA386F" w:rsidRPr="00317F5D">
        <w:t>.</w:t>
      </w:r>
      <w:r w:rsidR="00EA386F">
        <w:t xml:space="preserve"> J</w:t>
      </w:r>
      <w:r w:rsidR="00EA386F" w:rsidRPr="00317F5D">
        <w:t>a noziedzīgi iegūtu mantu atdod īpašniekam vai likumīgajam valdītājam, trešajai personai, kas bija šīs mantas labticīga ieguvēja vai labticīga ķīlas ņēmēja, ir tiesības </w:t>
      </w:r>
      <w:hyperlink r:id="rId10" w:tgtFrame="_blank" w:history="1">
        <w:r w:rsidR="00EA386F" w:rsidRPr="00A05CEC">
          <w:rPr>
            <w:rStyle w:val="Hyperlink"/>
            <w:color w:val="auto"/>
            <w:u w:val="none"/>
          </w:rPr>
          <w:t>Civilprocesa likumā</w:t>
        </w:r>
      </w:hyperlink>
      <w:r w:rsidR="00EA386F" w:rsidRPr="00A05CEC">
        <w:t> </w:t>
      </w:r>
      <w:r w:rsidR="00EA386F" w:rsidRPr="00317F5D">
        <w:t>noteiktajā kārtībā iesniegt prasību par zaudējuma atlīdzināšanu, tai skaitā pret apsūdzēto vai notiesāto personu</w:t>
      </w:r>
      <w:r w:rsidR="00EA386F">
        <w:t xml:space="preserve"> (panta otrā daļa)</w:t>
      </w:r>
      <w:r w:rsidR="00EA386F" w:rsidRPr="00317F5D">
        <w:t>.</w:t>
      </w:r>
    </w:p>
    <w:p w14:paraId="28FA9F43" w14:textId="784D3C4D" w:rsidR="00EA386F" w:rsidRPr="001E0FBA" w:rsidRDefault="00EA386F" w:rsidP="0056399A">
      <w:pPr>
        <w:widowControl w:val="0"/>
        <w:spacing w:line="276" w:lineRule="auto"/>
        <w:ind w:firstLine="720"/>
        <w:jc w:val="both"/>
        <w:rPr>
          <w:highlight w:val="yellow"/>
        </w:rPr>
      </w:pPr>
      <w:r w:rsidRPr="007133FA">
        <w:t>Apelācijas instances tiesa</w:t>
      </w:r>
      <w:r w:rsidR="00E16DE0" w:rsidRPr="007133FA">
        <w:t xml:space="preserve">, atceļot pirmās instances tiesas spriedumu </w:t>
      </w:r>
      <w:r w:rsidR="0056399A" w:rsidRPr="007133FA">
        <w:t xml:space="preserve">daļā par rīcību ar arestēto mantu, proti, </w:t>
      </w:r>
      <w:r w:rsidR="00B37CD7">
        <w:t xml:space="preserve">ar </w:t>
      </w:r>
      <w:r w:rsidR="0056399A" w:rsidRPr="007133FA">
        <w:t xml:space="preserve">nekustamo īpašumu </w:t>
      </w:r>
      <w:r w:rsidR="0073146D">
        <w:t>[adrese]</w:t>
      </w:r>
      <w:r w:rsidR="0056399A" w:rsidRPr="007133FA">
        <w:t>,</w:t>
      </w:r>
      <w:r w:rsidRPr="007133FA">
        <w:t xml:space="preserve"> ir </w:t>
      </w:r>
      <w:r w:rsidR="00A05CEC" w:rsidRPr="007133FA">
        <w:t>atzinusi</w:t>
      </w:r>
      <w:r w:rsidRPr="007133FA">
        <w:t xml:space="preserve">, ka, lai arī pirmās instances tiesas nostāšanās </w:t>
      </w:r>
      <w:r w:rsidR="00717A8B">
        <w:t xml:space="preserve">kriminālprocesā </w:t>
      </w:r>
      <w:r w:rsidR="009A79E6" w:rsidRPr="007133FA">
        <w:t xml:space="preserve">aizskarto </w:t>
      </w:r>
      <w:r w:rsidRPr="007133FA">
        <w:t>mantas īpašnieku pusē cilvē</w:t>
      </w:r>
      <w:r w:rsidR="005F0BF6" w:rsidRPr="007133FA">
        <w:t>ciski</w:t>
      </w:r>
      <w:r w:rsidRPr="007133FA">
        <w:t xml:space="preserve"> ir saprotama, priekšroka dodama tādai normas interpretācijai, kas atbilst tās jēgai, Satversmes tiesas atziņām un likumdevēja skaidri paustajai gribai. Tādēļ, ņemot vērā, ka līdz noziedzīgā nodarījuma izdarīšanai piesavinātais </w:t>
      </w:r>
      <w:r w:rsidR="00717A8B">
        <w:t xml:space="preserve">nekustamais </w:t>
      </w:r>
      <w:r w:rsidRPr="007133FA">
        <w:t xml:space="preserve">īpašums atradās cietušās sabiedrības īpašumā un šīs sabiedrības īpašuma tiesības bija reģistrētas zemesgrāmatā, </w:t>
      </w:r>
      <w:r w:rsidR="0056399A" w:rsidRPr="007133FA">
        <w:t xml:space="preserve">tas </w:t>
      </w:r>
      <w:r w:rsidRPr="007133FA">
        <w:t>ir atdodams sabiedrībai</w:t>
      </w:r>
      <w:r w:rsidR="00B37CD7">
        <w:t xml:space="preserve"> – SIA</w:t>
      </w:r>
      <w:r w:rsidR="00244C61">
        <w:t> </w:t>
      </w:r>
      <w:r w:rsidR="00B37CD7">
        <w:t>„</w:t>
      </w:r>
      <w:r w:rsidR="00184F11">
        <w:t>[N</w:t>
      </w:r>
      <w:r w:rsidR="0073146D">
        <w:t>osaukums</w:t>
      </w:r>
      <w:r w:rsidR="00184F11">
        <w:t>]</w:t>
      </w:r>
      <w:r w:rsidR="00B37CD7">
        <w:t>”</w:t>
      </w:r>
      <w:r w:rsidRPr="007133FA">
        <w:t>.</w:t>
      </w:r>
    </w:p>
    <w:p w14:paraId="1EF48B9F" w14:textId="2529C870" w:rsidR="0056399A" w:rsidRPr="00D50EBF" w:rsidRDefault="00EA386F" w:rsidP="00EA386F">
      <w:pPr>
        <w:widowControl w:val="0"/>
        <w:spacing w:line="276" w:lineRule="auto"/>
        <w:ind w:firstLine="720"/>
        <w:jc w:val="both"/>
      </w:pPr>
      <w:r w:rsidRPr="00D50EBF">
        <w:t xml:space="preserve">Apelācijas instances tiesa </w:t>
      </w:r>
      <w:r w:rsidR="0056399A" w:rsidRPr="00D50EBF">
        <w:t>šo</w:t>
      </w:r>
      <w:r w:rsidRPr="00D50EBF">
        <w:t xml:space="preserve"> secinājumu papildus pamatojusi</w:t>
      </w:r>
      <w:r w:rsidR="00A05CEC" w:rsidRPr="00D50EBF">
        <w:t xml:space="preserve"> ar</w:t>
      </w:r>
      <w:r w:rsidR="0056399A" w:rsidRPr="00D50EBF">
        <w:t xml:space="preserve"> šādām atziņām</w:t>
      </w:r>
      <w:r w:rsidRPr="00D50EBF">
        <w:t xml:space="preserve">: </w:t>
      </w:r>
    </w:p>
    <w:p w14:paraId="725E144F" w14:textId="3D96A60B" w:rsidR="0056399A" w:rsidRPr="00D50EBF" w:rsidRDefault="00EA386F" w:rsidP="0056399A">
      <w:pPr>
        <w:pStyle w:val="ListParagraph"/>
        <w:widowControl w:val="0"/>
        <w:numPr>
          <w:ilvl w:val="0"/>
          <w:numId w:val="7"/>
        </w:numPr>
        <w:spacing w:line="276" w:lineRule="auto"/>
        <w:jc w:val="both"/>
      </w:pPr>
      <w:r w:rsidRPr="00D50EBF">
        <w:t>no Kriminālprocesa likuma 360. panta pirmās daļas un Satversmes tiesas 2017. gada 8.</w:t>
      </w:r>
      <w:r w:rsidR="008D24BB" w:rsidRPr="00D50EBF">
        <w:t> </w:t>
      </w:r>
      <w:r w:rsidRPr="00D50EBF">
        <w:t xml:space="preserve">marta sprieduma lietā Nr. 2016-07-01 </w:t>
      </w:r>
      <w:r w:rsidR="00B37CD7">
        <w:t>skaidri</w:t>
      </w:r>
      <w:r w:rsidRPr="00D50EBF">
        <w:t xml:space="preserve"> izriet, ka kriminālprocesā pri</w:t>
      </w:r>
      <w:r w:rsidR="004D432B" w:rsidRPr="00D50EBF">
        <w:t>oritāri</w:t>
      </w:r>
      <w:r w:rsidRPr="00D50EBF">
        <w:t xml:space="preserve"> </w:t>
      </w:r>
      <w:r w:rsidR="00455076">
        <w:t xml:space="preserve">ir </w:t>
      </w:r>
      <w:r w:rsidRPr="00D50EBF">
        <w:t>aizsargājamas</w:t>
      </w:r>
      <w:r w:rsidR="00B62F4F" w:rsidRPr="00D50EBF">
        <w:t xml:space="preserve"> </w:t>
      </w:r>
      <w:r w:rsidRPr="00D50EBF">
        <w:t xml:space="preserve">cietušā </w:t>
      </w:r>
      <w:r w:rsidR="004D432B" w:rsidRPr="00D50EBF">
        <w:t>tiesības</w:t>
      </w:r>
      <w:r w:rsidRPr="00D50EBF">
        <w:t xml:space="preserve">; </w:t>
      </w:r>
    </w:p>
    <w:p w14:paraId="4C5F5C41" w14:textId="128D7A1C" w:rsidR="0056399A" w:rsidRPr="00D50EBF" w:rsidRDefault="00EA386F" w:rsidP="004D432B">
      <w:pPr>
        <w:pStyle w:val="ListParagraph"/>
        <w:widowControl w:val="0"/>
        <w:numPr>
          <w:ilvl w:val="0"/>
          <w:numId w:val="7"/>
        </w:numPr>
        <w:spacing w:line="276" w:lineRule="auto"/>
        <w:jc w:val="both"/>
      </w:pPr>
      <w:r w:rsidRPr="00D50EBF">
        <w:t xml:space="preserve">atbilstoši priekšlikumiem likumprojektam </w:t>
      </w:r>
      <w:r w:rsidR="008D24BB" w:rsidRPr="00D50EBF">
        <w:t>„</w:t>
      </w:r>
      <w:r w:rsidRPr="00D50EBF">
        <w:t xml:space="preserve">Grozījumi Kriminālprocesa likumā” valsts nav paredzējusi atkāpties no cietušā aizsardzības principa kriminālprocesā un ierobežot </w:t>
      </w:r>
      <w:r w:rsidR="00717A8B">
        <w:t>viņa</w:t>
      </w:r>
      <w:r w:rsidRPr="00D50EBF">
        <w:t xml:space="preserve"> tiesības atgūt nekustamo īpašumu, kas zaudēts noziedzīgā nodarījuma rezultātā</w:t>
      </w:r>
      <w:r w:rsidR="0056399A" w:rsidRPr="00D50EBF">
        <w:t xml:space="preserve">, </w:t>
      </w:r>
      <w:r w:rsidR="004D432B" w:rsidRPr="00D50EBF">
        <w:t xml:space="preserve">tāpēc </w:t>
      </w:r>
      <w:r w:rsidRPr="00D50EBF">
        <w:t xml:space="preserve">teleoloģiskās redukcijas kā tiesību </w:t>
      </w:r>
      <w:proofErr w:type="spellStart"/>
      <w:r w:rsidRPr="00D50EBF">
        <w:t>tālākveidošanas</w:t>
      </w:r>
      <w:proofErr w:type="spellEnd"/>
      <w:r w:rsidRPr="00D50EBF">
        <w:t xml:space="preserve"> metodes piemērošanai nav pamata</w:t>
      </w:r>
      <w:r w:rsidR="004D432B" w:rsidRPr="00D50EBF">
        <w:t xml:space="preserve">; </w:t>
      </w:r>
      <w:r w:rsidRPr="00D50EBF">
        <w:t>pirmās instances tiesa</w:t>
      </w:r>
      <w:r w:rsidR="0056399A" w:rsidRPr="00D50EBF">
        <w:t xml:space="preserve">, rīkojoties pretēji, </w:t>
      </w:r>
      <w:r w:rsidRPr="00D50EBF">
        <w:t>būtībā bija uzņēmusies likumdevēja lomu, radot jaunu tiesisko regulējumu.</w:t>
      </w:r>
    </w:p>
    <w:p w14:paraId="45A652C4" w14:textId="7E1EC654" w:rsidR="004D432B" w:rsidRDefault="004D432B" w:rsidP="004D432B">
      <w:pPr>
        <w:widowControl w:val="0"/>
        <w:spacing w:line="276" w:lineRule="auto"/>
        <w:ind w:firstLine="720"/>
        <w:jc w:val="both"/>
        <w:rPr>
          <w:rFonts w:asciiTheme="majorBidi" w:hAnsiTheme="majorBidi" w:cstheme="majorBidi"/>
        </w:rPr>
      </w:pPr>
      <w:r w:rsidRPr="00F51445">
        <w:rPr>
          <w:rFonts w:asciiTheme="majorBidi" w:hAnsiTheme="majorBidi" w:cstheme="majorBidi"/>
        </w:rPr>
        <w:t>[</w:t>
      </w:r>
      <w:r w:rsidR="00A77B59" w:rsidRPr="00F51445">
        <w:rPr>
          <w:rFonts w:asciiTheme="majorBidi" w:hAnsiTheme="majorBidi" w:cstheme="majorBidi"/>
        </w:rPr>
        <w:t>6</w:t>
      </w:r>
      <w:r w:rsidRPr="00F51445">
        <w:rPr>
          <w:rFonts w:asciiTheme="majorBidi" w:hAnsiTheme="majorBidi" w:cstheme="majorBidi"/>
        </w:rPr>
        <w:t>.2] Turpmāk izklāstīto apsvērumu dēļ Senāts piekrīt apelācijas instances tiesas secinājumiem, tajā skaitā tam, ka teleoloģiskā redukcija n</w:t>
      </w:r>
      <w:r w:rsidR="00717A8B">
        <w:rPr>
          <w:rFonts w:asciiTheme="majorBidi" w:hAnsiTheme="majorBidi" w:cstheme="majorBidi"/>
        </w:rPr>
        <w:t>ebija</w:t>
      </w:r>
      <w:r w:rsidRPr="00F51445">
        <w:rPr>
          <w:rFonts w:asciiTheme="majorBidi" w:hAnsiTheme="majorBidi" w:cstheme="majorBidi"/>
        </w:rPr>
        <w:t xml:space="preserve"> piemērojama.</w:t>
      </w:r>
    </w:p>
    <w:p w14:paraId="36E61665" w14:textId="363AD579" w:rsidR="00EA386F" w:rsidRDefault="00A05CEC" w:rsidP="00EA386F">
      <w:pPr>
        <w:widowControl w:val="0"/>
        <w:spacing w:line="276" w:lineRule="auto"/>
        <w:ind w:firstLine="720"/>
        <w:jc w:val="both"/>
        <w:rPr>
          <w:rFonts w:eastAsiaTheme="majorEastAsia"/>
          <w:spacing w:val="-3"/>
        </w:rPr>
      </w:pPr>
      <w:r>
        <w:rPr>
          <w:rFonts w:eastAsiaTheme="majorEastAsia"/>
          <w:spacing w:val="-3"/>
        </w:rPr>
        <w:t>[</w:t>
      </w:r>
      <w:r w:rsidR="00A77B59">
        <w:rPr>
          <w:rFonts w:eastAsiaTheme="majorEastAsia"/>
          <w:spacing w:val="-3"/>
        </w:rPr>
        <w:t>6</w:t>
      </w:r>
      <w:r>
        <w:rPr>
          <w:rFonts w:eastAsiaTheme="majorEastAsia"/>
          <w:spacing w:val="-3"/>
        </w:rPr>
        <w:t xml:space="preserve">.2.1] </w:t>
      </w:r>
      <w:r w:rsidR="00EA386F" w:rsidRPr="00854581">
        <w:rPr>
          <w:rFonts w:eastAsiaTheme="majorEastAsia"/>
          <w:spacing w:val="-3"/>
        </w:rPr>
        <w:t>Iztulkošanas robež</w:t>
      </w:r>
      <w:r w:rsidR="00006851">
        <w:rPr>
          <w:rFonts w:eastAsiaTheme="majorEastAsia"/>
          <w:spacing w:val="-3"/>
        </w:rPr>
        <w:t>as</w:t>
      </w:r>
      <w:r w:rsidR="00EA386F" w:rsidRPr="00854581">
        <w:rPr>
          <w:rFonts w:eastAsiaTheme="majorEastAsia"/>
          <w:spacing w:val="-3"/>
        </w:rPr>
        <w:t xml:space="preserve"> nosaka normas tekstā ietverto vārdu visplašākā un visšaurākā iespējamā nozīme. Tiesību normu iztulkošana kā juridiskā metode </w:t>
      </w:r>
      <w:r w:rsidR="00EA386F">
        <w:rPr>
          <w:rFonts w:eastAsiaTheme="majorEastAsia"/>
          <w:spacing w:val="-3"/>
        </w:rPr>
        <w:t>„</w:t>
      </w:r>
      <w:r w:rsidR="00EA386F" w:rsidRPr="00854581">
        <w:rPr>
          <w:rFonts w:eastAsiaTheme="majorEastAsia"/>
          <w:spacing w:val="-3"/>
        </w:rPr>
        <w:t>netiek pāri</w:t>
      </w:r>
      <w:r w:rsidR="00EA386F">
        <w:rPr>
          <w:rFonts w:eastAsiaTheme="majorEastAsia"/>
          <w:spacing w:val="-3"/>
        </w:rPr>
        <w:t>”</w:t>
      </w:r>
      <w:r w:rsidR="00EA386F" w:rsidRPr="00854581">
        <w:rPr>
          <w:rFonts w:eastAsiaTheme="majorEastAsia"/>
          <w:spacing w:val="-3"/>
        </w:rPr>
        <w:t xml:space="preserve"> rakstītā teksta robežām (</w:t>
      </w:r>
      <w:r w:rsidR="00EA386F" w:rsidRPr="00854581">
        <w:rPr>
          <w:rFonts w:eastAsiaTheme="majorEastAsia"/>
          <w:i/>
          <w:iCs/>
          <w:spacing w:val="-3"/>
        </w:rPr>
        <w:t>Administratīvā procesa likuma komentāri. A un B daļa. Briede J. (</w:t>
      </w:r>
      <w:proofErr w:type="spellStart"/>
      <w:r w:rsidR="00EA386F" w:rsidRPr="00854581">
        <w:rPr>
          <w:rFonts w:eastAsiaTheme="majorEastAsia"/>
          <w:i/>
          <w:iCs/>
          <w:spacing w:val="-3"/>
        </w:rPr>
        <w:t>zin</w:t>
      </w:r>
      <w:proofErr w:type="spellEnd"/>
      <w:r w:rsidR="00EA386F" w:rsidRPr="00854581">
        <w:rPr>
          <w:rFonts w:eastAsiaTheme="majorEastAsia"/>
          <w:i/>
          <w:iCs/>
          <w:spacing w:val="-3"/>
        </w:rPr>
        <w:t xml:space="preserve">. </w:t>
      </w:r>
      <w:proofErr w:type="spellStart"/>
      <w:r w:rsidR="00EA386F" w:rsidRPr="00854581">
        <w:rPr>
          <w:rFonts w:eastAsiaTheme="majorEastAsia"/>
          <w:i/>
          <w:iCs/>
          <w:spacing w:val="-3"/>
        </w:rPr>
        <w:t>red</w:t>
      </w:r>
      <w:proofErr w:type="spellEnd"/>
      <w:r w:rsidR="00EA386F" w:rsidRPr="00854581">
        <w:rPr>
          <w:rFonts w:eastAsiaTheme="majorEastAsia"/>
          <w:i/>
          <w:iCs/>
          <w:spacing w:val="-3"/>
        </w:rPr>
        <w:t>.). Rīga: Tiesu namu aģentūra, 2013, 269.</w:t>
      </w:r>
      <w:r w:rsidR="00244C61">
        <w:rPr>
          <w:rFonts w:eastAsiaTheme="majorEastAsia"/>
          <w:i/>
          <w:iCs/>
          <w:spacing w:val="-3"/>
        </w:rPr>
        <w:t> </w:t>
      </w:r>
      <w:r w:rsidR="00EA386F" w:rsidRPr="00854581">
        <w:rPr>
          <w:rFonts w:eastAsiaTheme="majorEastAsia"/>
          <w:i/>
          <w:iCs/>
          <w:spacing w:val="-3"/>
        </w:rPr>
        <w:t>lpp</w:t>
      </w:r>
      <w:r w:rsidR="00EA386F" w:rsidRPr="00854581">
        <w:rPr>
          <w:rFonts w:eastAsiaTheme="majorEastAsia"/>
          <w:spacing w:val="-3"/>
        </w:rPr>
        <w:t>.).</w:t>
      </w:r>
      <w:r w:rsidR="00EA386F">
        <w:rPr>
          <w:rFonts w:eastAsiaTheme="majorEastAsia"/>
          <w:spacing w:val="-3"/>
        </w:rPr>
        <w:t xml:space="preserve"> Savukārt š</w:t>
      </w:r>
      <w:r w:rsidR="00EA386F" w:rsidRPr="00854581">
        <w:rPr>
          <w:rFonts w:eastAsiaTheme="majorEastAsia"/>
          <w:spacing w:val="-3"/>
        </w:rPr>
        <w:t xml:space="preserve">o robežu pārkāpšana iezīmē pāreju no iztulkošanas uz tiesību </w:t>
      </w:r>
      <w:proofErr w:type="spellStart"/>
      <w:r w:rsidR="00EA386F" w:rsidRPr="00854581">
        <w:rPr>
          <w:rFonts w:eastAsiaTheme="majorEastAsia"/>
          <w:spacing w:val="-3"/>
        </w:rPr>
        <w:t>tālākveidošanu</w:t>
      </w:r>
      <w:proofErr w:type="spellEnd"/>
      <w:r w:rsidR="00EA386F" w:rsidRPr="00854581">
        <w:rPr>
          <w:rFonts w:eastAsiaTheme="majorEastAsia"/>
          <w:spacing w:val="-3"/>
        </w:rPr>
        <w:t xml:space="preserve">: analoģija sākas aiz vārdu visplašākās iespējamās nozīmes, </w:t>
      </w:r>
      <w:r w:rsidR="00EA386F">
        <w:rPr>
          <w:rFonts w:eastAsiaTheme="majorEastAsia"/>
          <w:spacing w:val="-3"/>
        </w:rPr>
        <w:t>bet</w:t>
      </w:r>
      <w:r w:rsidR="00EA386F" w:rsidRPr="00854581">
        <w:rPr>
          <w:rFonts w:eastAsiaTheme="majorEastAsia"/>
          <w:spacing w:val="-3"/>
        </w:rPr>
        <w:t xml:space="preserve"> teleoloģiskā redukcija</w:t>
      </w:r>
      <w:r w:rsidR="00EA386F">
        <w:rPr>
          <w:rFonts w:eastAsiaTheme="majorEastAsia"/>
          <w:spacing w:val="-3"/>
        </w:rPr>
        <w:t xml:space="preserve"> – </w:t>
      </w:r>
      <w:r w:rsidR="00EA386F" w:rsidRPr="00854581">
        <w:rPr>
          <w:rFonts w:eastAsiaTheme="majorEastAsia"/>
          <w:spacing w:val="-3"/>
        </w:rPr>
        <w:t>aiz visšaurākās</w:t>
      </w:r>
      <w:r w:rsidR="00EA386F">
        <w:rPr>
          <w:rFonts w:eastAsiaTheme="majorEastAsia"/>
          <w:spacing w:val="-3"/>
        </w:rPr>
        <w:t xml:space="preserve"> iespējamās nozīmes</w:t>
      </w:r>
      <w:r w:rsidR="00EA386F" w:rsidRPr="00854581">
        <w:rPr>
          <w:rFonts w:eastAsiaTheme="majorEastAsia"/>
          <w:spacing w:val="-3"/>
        </w:rPr>
        <w:t>.</w:t>
      </w:r>
    </w:p>
    <w:p w14:paraId="3B50C31B" w14:textId="5EBD6587" w:rsidR="00A05CEC" w:rsidRPr="00E71391" w:rsidRDefault="00CD213B" w:rsidP="00EA386F">
      <w:pPr>
        <w:widowControl w:val="0"/>
        <w:spacing w:line="276" w:lineRule="auto"/>
        <w:ind w:firstLine="720"/>
        <w:jc w:val="both"/>
        <w:rPr>
          <w:rFonts w:eastAsiaTheme="majorEastAsia"/>
          <w:spacing w:val="-3"/>
        </w:rPr>
      </w:pPr>
      <w:r w:rsidRPr="006C720A">
        <w:rPr>
          <w:rFonts w:eastAsiaTheme="majorEastAsia"/>
          <w:spacing w:val="-3"/>
        </w:rPr>
        <w:t>[6.2.2</w:t>
      </w:r>
      <w:r w:rsidRPr="00E71391">
        <w:rPr>
          <w:rFonts w:eastAsiaTheme="majorEastAsia"/>
          <w:spacing w:val="-3"/>
        </w:rPr>
        <w:t xml:space="preserve">] </w:t>
      </w:r>
      <w:r w:rsidR="00A05CEC" w:rsidRPr="00E71391">
        <w:rPr>
          <w:rFonts w:eastAsiaTheme="majorEastAsia"/>
          <w:spacing w:val="-3"/>
        </w:rPr>
        <w:t>Par teleoloģiskās redukcijas piemērošan</w:t>
      </w:r>
      <w:r w:rsidR="004D432B" w:rsidRPr="00E71391">
        <w:rPr>
          <w:rFonts w:eastAsiaTheme="majorEastAsia"/>
          <w:spacing w:val="-3"/>
        </w:rPr>
        <w:t>u</w:t>
      </w:r>
      <w:r w:rsidR="00A05CEC" w:rsidRPr="00E71391">
        <w:rPr>
          <w:rFonts w:eastAsiaTheme="majorEastAsia"/>
          <w:spacing w:val="-3"/>
        </w:rPr>
        <w:t xml:space="preserve"> teorijā un judikatūrā ir izteiktas šādas atziņas. </w:t>
      </w:r>
    </w:p>
    <w:p w14:paraId="33F60206" w14:textId="7EAE08F2" w:rsidR="00EA386F" w:rsidRPr="00E71391" w:rsidRDefault="00EA386F" w:rsidP="00EA386F">
      <w:pPr>
        <w:spacing w:line="276" w:lineRule="auto"/>
        <w:ind w:firstLine="720"/>
        <w:jc w:val="both"/>
        <w:rPr>
          <w:iCs/>
        </w:rPr>
      </w:pPr>
      <w:r w:rsidRPr="00E71391">
        <w:t xml:space="preserve">Teleoloģiskā redukcija piemērojama, ja </w:t>
      </w:r>
      <w:r w:rsidRPr="00E71391">
        <w:rPr>
          <w:iCs/>
        </w:rPr>
        <w:t xml:space="preserve">likumā ietvertais tiesiskais regulējums atbilstoši tā jēgai un mērķim izrādās par plašu (no </w:t>
      </w:r>
      <w:r w:rsidR="00A05CEC" w:rsidRPr="00E71391">
        <w:rPr>
          <w:iCs/>
        </w:rPr>
        <w:t>„</w:t>
      </w:r>
      <w:r w:rsidRPr="00E71391">
        <w:rPr>
          <w:iCs/>
        </w:rPr>
        <w:t xml:space="preserve">vārdiskās jēgas” viedokļa) </w:t>
      </w:r>
      <w:r w:rsidRPr="00E71391">
        <w:t>un tādējādi aptver tādas situācijas, kuras tiesību normas mērķis (</w:t>
      </w:r>
      <w:proofErr w:type="spellStart"/>
      <w:r w:rsidRPr="00E71391">
        <w:rPr>
          <w:i/>
        </w:rPr>
        <w:t>ratio</w:t>
      </w:r>
      <w:proofErr w:type="spellEnd"/>
      <w:r w:rsidRPr="00E71391">
        <w:rPr>
          <w:i/>
        </w:rPr>
        <w:t xml:space="preserve"> </w:t>
      </w:r>
      <w:proofErr w:type="spellStart"/>
      <w:r w:rsidRPr="00E71391">
        <w:rPr>
          <w:i/>
        </w:rPr>
        <w:t>legis</w:t>
      </w:r>
      <w:proofErr w:type="spellEnd"/>
      <w:r w:rsidRPr="00E71391">
        <w:rPr>
          <w:iCs/>
        </w:rPr>
        <w:t>)</w:t>
      </w:r>
      <w:r w:rsidRPr="00E71391">
        <w:t xml:space="preserve"> nevēlas aptvert.</w:t>
      </w:r>
      <w:r w:rsidRPr="00E71391">
        <w:rPr>
          <w:iCs/>
        </w:rPr>
        <w:t xml:space="preserve"> Teleoloģiskās redukcijas ceļā tiek ierobežota vārdiski pārāk plaši formulētā tiesiskā regulējuma piemērošanas joma, saskaņojot to ar tiesiskā regulējuma mērķi.</w:t>
      </w:r>
      <w:r w:rsidRPr="00E71391">
        <w:t xml:space="preserve"> </w:t>
      </w:r>
      <w:r w:rsidRPr="00E71391">
        <w:rPr>
          <w:iCs/>
        </w:rPr>
        <w:t xml:space="preserve">Teleoloģiskā redukcija (tāpat kā analoģija) pamatojas uz taisnīguma principu. Tikai </w:t>
      </w:r>
      <w:r w:rsidR="00B62F4F" w:rsidRPr="00E71391">
        <w:rPr>
          <w:iCs/>
        </w:rPr>
        <w:t xml:space="preserve">teleoloģiskās redukcijas </w:t>
      </w:r>
      <w:r w:rsidR="00D13714">
        <w:rPr>
          <w:iCs/>
        </w:rPr>
        <w:t xml:space="preserve">gadījumā </w:t>
      </w:r>
      <w:r w:rsidRPr="00E71391">
        <w:rPr>
          <w:iCs/>
        </w:rPr>
        <w:t xml:space="preserve">runa </w:t>
      </w:r>
      <w:r w:rsidR="004D432B" w:rsidRPr="00E71391">
        <w:rPr>
          <w:iCs/>
        </w:rPr>
        <w:t xml:space="preserve">ir </w:t>
      </w:r>
      <w:r w:rsidRPr="00E71391">
        <w:rPr>
          <w:iCs/>
        </w:rPr>
        <w:t xml:space="preserve">nevis par nepieciešamību </w:t>
      </w:r>
      <w:r w:rsidR="00A05CEC" w:rsidRPr="00E71391">
        <w:rPr>
          <w:iCs/>
        </w:rPr>
        <w:t>„</w:t>
      </w:r>
      <w:r w:rsidRPr="00E71391">
        <w:rPr>
          <w:iCs/>
        </w:rPr>
        <w:t xml:space="preserve">līdzīgus gadījumus izšķirt līdzīgi”, bet gan par nepieciešamību </w:t>
      </w:r>
      <w:r w:rsidR="00A05CEC" w:rsidRPr="00E71391">
        <w:rPr>
          <w:iCs/>
        </w:rPr>
        <w:t>„</w:t>
      </w:r>
      <w:r w:rsidRPr="00E71391">
        <w:rPr>
          <w:iCs/>
        </w:rPr>
        <w:t xml:space="preserve">atšķirīgus gadījumus izšķirt atšķirīgi”. Citiem vārdiem, teleoloģiskās redukcijas nosacījums ir tas, ka likumā regulēts dzīves gadījums tiesiskā </w:t>
      </w:r>
      <w:r w:rsidRPr="00E71391">
        <w:rPr>
          <w:iCs/>
        </w:rPr>
        <w:lastRenderedPageBreak/>
        <w:t xml:space="preserve">novērtējuma ziņā tik būtiski atšķiras no pārējiem </w:t>
      </w:r>
      <w:r w:rsidR="00A05CEC" w:rsidRPr="00E71391">
        <w:rPr>
          <w:iCs/>
        </w:rPr>
        <w:t>„</w:t>
      </w:r>
      <w:r w:rsidRPr="00E71391">
        <w:rPr>
          <w:iCs/>
        </w:rPr>
        <w:t xml:space="preserve">patiesi domātajiem” dzīves gadījumiem, kā rezultātā vienlīdzīga attieksme pret visiem </w:t>
      </w:r>
      <w:r w:rsidR="00B62F4F" w:rsidRPr="00E71391">
        <w:rPr>
          <w:iCs/>
        </w:rPr>
        <w:t xml:space="preserve">tiem </w:t>
      </w:r>
      <w:r w:rsidRPr="00E71391">
        <w:rPr>
          <w:iCs/>
        </w:rPr>
        <w:t xml:space="preserve">būtu </w:t>
      </w:r>
      <w:r w:rsidR="00A05CEC" w:rsidRPr="00E71391">
        <w:rPr>
          <w:iCs/>
        </w:rPr>
        <w:t>„</w:t>
      </w:r>
      <w:r w:rsidRPr="00E71391">
        <w:rPr>
          <w:iCs/>
        </w:rPr>
        <w:t>objektīvi neattaisnojama un patvaļīga” (</w:t>
      </w:r>
      <w:r w:rsidRPr="00E71391">
        <w:rPr>
          <w:i/>
          <w:spacing w:val="-3"/>
        </w:rPr>
        <w:t xml:space="preserve">Kalniņš E. Privāttiesību teorija un prakse. Tiesību </w:t>
      </w:r>
      <w:proofErr w:type="spellStart"/>
      <w:r w:rsidRPr="00E71391">
        <w:rPr>
          <w:i/>
          <w:spacing w:val="-3"/>
        </w:rPr>
        <w:t>tālākveidošana</w:t>
      </w:r>
      <w:proofErr w:type="spellEnd"/>
      <w:r w:rsidRPr="00E71391">
        <w:rPr>
          <w:i/>
          <w:spacing w:val="-3"/>
        </w:rPr>
        <w:t>. Rīga: Tiesu nama aģentūra, 2005, 347. lpp</w:t>
      </w:r>
      <w:r w:rsidRPr="00E71391">
        <w:rPr>
          <w:iCs/>
          <w:spacing w:val="-3"/>
        </w:rPr>
        <w:t xml:space="preserve">., sk. arī: </w:t>
      </w:r>
      <w:proofErr w:type="spellStart"/>
      <w:r w:rsidRPr="00E71391">
        <w:rPr>
          <w:i/>
          <w:spacing w:val="-3"/>
        </w:rPr>
        <w:t>Neimanis</w:t>
      </w:r>
      <w:proofErr w:type="spellEnd"/>
      <w:r w:rsidR="00A05CEC" w:rsidRPr="00E71391">
        <w:rPr>
          <w:i/>
          <w:spacing w:val="-3"/>
        </w:rPr>
        <w:t> </w:t>
      </w:r>
      <w:r w:rsidRPr="00E71391">
        <w:rPr>
          <w:i/>
          <w:spacing w:val="-3"/>
        </w:rPr>
        <w:t>J. Teleoloģiskā redukcija. Jurista Vārds, 17.05.2005., Nr.</w:t>
      </w:r>
      <w:r w:rsidR="00244C61">
        <w:rPr>
          <w:i/>
          <w:spacing w:val="-3"/>
        </w:rPr>
        <w:t> </w:t>
      </w:r>
      <w:r w:rsidRPr="00E71391">
        <w:rPr>
          <w:i/>
          <w:spacing w:val="-3"/>
        </w:rPr>
        <w:t>17 (373</w:t>
      </w:r>
      <w:r w:rsidRPr="00E71391">
        <w:rPr>
          <w:iCs/>
          <w:spacing w:val="-3"/>
        </w:rPr>
        <w:t>)</w:t>
      </w:r>
      <w:r w:rsidRPr="00E71391">
        <w:rPr>
          <w:iCs/>
        </w:rPr>
        <w:t>).</w:t>
      </w:r>
    </w:p>
    <w:p w14:paraId="4A6A839B" w14:textId="7EE94C8D" w:rsidR="0019459A" w:rsidRDefault="00CD213B" w:rsidP="0019459A">
      <w:pPr>
        <w:spacing w:line="276" w:lineRule="auto"/>
        <w:ind w:firstLine="720"/>
        <w:jc w:val="both"/>
        <w:rPr>
          <w:rFonts w:asciiTheme="majorBidi" w:hAnsiTheme="majorBidi" w:cstheme="majorBidi"/>
        </w:rPr>
      </w:pPr>
      <w:r w:rsidRPr="00E71391">
        <w:rPr>
          <w:iCs/>
        </w:rPr>
        <w:t xml:space="preserve">Teleoloģiskās redukcijas gadījumā īpaši uzskatāmi izpaužas normas mērķa prioritāte </w:t>
      </w:r>
      <w:r w:rsidR="00D13714">
        <w:rPr>
          <w:iCs/>
        </w:rPr>
        <w:t xml:space="preserve">pār </w:t>
      </w:r>
      <w:r w:rsidRPr="00E71391">
        <w:rPr>
          <w:iCs/>
        </w:rPr>
        <w:t xml:space="preserve">normas tekstu. Šajā gadījumā runa nav par normas mērķa labošanu, bet gan par tā īstenošanu, koriģējot normas tekstu. Pēc būtības tas ir jautājums par likumdevēja patiesās gribas noskaidrošanu, </w:t>
      </w:r>
      <w:r w:rsidR="00717A8B">
        <w:rPr>
          <w:iCs/>
        </w:rPr>
        <w:t>neraugoties uz</w:t>
      </w:r>
      <w:r w:rsidRPr="00E71391">
        <w:rPr>
          <w:iCs/>
        </w:rPr>
        <w:t xml:space="preserve"> neveiksmīgi formulēt</w:t>
      </w:r>
      <w:r w:rsidR="00717A8B">
        <w:rPr>
          <w:iCs/>
        </w:rPr>
        <w:t>o normas</w:t>
      </w:r>
      <w:r w:rsidRPr="00E71391">
        <w:rPr>
          <w:iCs/>
        </w:rPr>
        <w:t xml:space="preserve"> tekst</w:t>
      </w:r>
      <w:r w:rsidR="00717A8B">
        <w:rPr>
          <w:iCs/>
        </w:rPr>
        <w:t>u</w:t>
      </w:r>
      <w:r w:rsidR="00006851">
        <w:rPr>
          <w:iCs/>
        </w:rPr>
        <w:t xml:space="preserve"> </w:t>
      </w:r>
      <w:r w:rsidRPr="00E71391">
        <w:rPr>
          <w:rFonts w:asciiTheme="majorBidi" w:hAnsiTheme="majorBidi" w:cstheme="majorBidi"/>
        </w:rPr>
        <w:t>(</w:t>
      </w:r>
      <w:proofErr w:type="spellStart"/>
      <w:r w:rsidRPr="00E71391">
        <w:rPr>
          <w:rFonts w:asciiTheme="majorBidi" w:hAnsiTheme="majorBidi" w:cstheme="majorBidi"/>
          <w:i/>
          <w:iCs/>
        </w:rPr>
        <w:t>Rüthers</w:t>
      </w:r>
      <w:proofErr w:type="spellEnd"/>
      <w:r w:rsidRPr="00E71391">
        <w:rPr>
          <w:rFonts w:asciiTheme="majorBidi" w:hAnsiTheme="majorBidi" w:cstheme="majorBidi"/>
          <w:i/>
          <w:iCs/>
        </w:rPr>
        <w:t xml:space="preserve"> B., </w:t>
      </w:r>
      <w:proofErr w:type="spellStart"/>
      <w:r w:rsidRPr="00E71391">
        <w:rPr>
          <w:rFonts w:asciiTheme="majorBidi" w:hAnsiTheme="majorBidi" w:cstheme="majorBidi"/>
          <w:i/>
          <w:iCs/>
        </w:rPr>
        <w:t>Fischer</w:t>
      </w:r>
      <w:proofErr w:type="spellEnd"/>
      <w:r w:rsidRPr="00E71391">
        <w:rPr>
          <w:rFonts w:asciiTheme="majorBidi" w:hAnsiTheme="majorBidi" w:cstheme="majorBidi"/>
          <w:i/>
          <w:iCs/>
        </w:rPr>
        <w:t xml:space="preserve"> </w:t>
      </w:r>
      <w:proofErr w:type="spellStart"/>
      <w:r w:rsidRPr="00E71391">
        <w:rPr>
          <w:rFonts w:asciiTheme="majorBidi" w:hAnsiTheme="majorBidi" w:cstheme="majorBidi"/>
          <w:i/>
          <w:iCs/>
        </w:rPr>
        <w:t>Ch</w:t>
      </w:r>
      <w:proofErr w:type="spellEnd"/>
      <w:r w:rsidRPr="00E71391">
        <w:rPr>
          <w:rFonts w:asciiTheme="majorBidi" w:hAnsiTheme="majorBidi" w:cstheme="majorBidi"/>
          <w:i/>
          <w:iCs/>
        </w:rPr>
        <w:t xml:space="preserve">., </w:t>
      </w:r>
      <w:proofErr w:type="spellStart"/>
      <w:r w:rsidRPr="00E71391">
        <w:rPr>
          <w:rFonts w:asciiTheme="majorBidi" w:hAnsiTheme="majorBidi" w:cstheme="majorBidi"/>
          <w:i/>
          <w:iCs/>
        </w:rPr>
        <w:t>Birk</w:t>
      </w:r>
      <w:proofErr w:type="spellEnd"/>
      <w:r w:rsidRPr="00E71391">
        <w:rPr>
          <w:rFonts w:asciiTheme="majorBidi" w:hAnsiTheme="majorBidi" w:cstheme="majorBidi"/>
          <w:i/>
          <w:iCs/>
        </w:rPr>
        <w:t xml:space="preserve"> A. </w:t>
      </w:r>
      <w:proofErr w:type="spellStart"/>
      <w:r w:rsidRPr="00E71391">
        <w:rPr>
          <w:rFonts w:asciiTheme="majorBidi" w:hAnsiTheme="majorBidi" w:cstheme="majorBidi"/>
          <w:i/>
          <w:iCs/>
        </w:rPr>
        <w:t>Rechtstheorie</w:t>
      </w:r>
      <w:proofErr w:type="spellEnd"/>
      <w:r w:rsidRPr="00E71391">
        <w:rPr>
          <w:rFonts w:asciiTheme="majorBidi" w:hAnsiTheme="majorBidi" w:cstheme="majorBidi"/>
          <w:i/>
          <w:iCs/>
        </w:rPr>
        <w:t xml:space="preserve"> </w:t>
      </w:r>
      <w:proofErr w:type="spellStart"/>
      <w:r w:rsidRPr="00E71391">
        <w:rPr>
          <w:rFonts w:asciiTheme="majorBidi" w:hAnsiTheme="majorBidi" w:cstheme="majorBidi"/>
          <w:i/>
          <w:iCs/>
        </w:rPr>
        <w:t>mit</w:t>
      </w:r>
      <w:proofErr w:type="spellEnd"/>
      <w:r w:rsidRPr="00E71391">
        <w:rPr>
          <w:rFonts w:asciiTheme="majorBidi" w:hAnsiTheme="majorBidi" w:cstheme="majorBidi"/>
          <w:i/>
          <w:iCs/>
        </w:rPr>
        <w:t xml:space="preserve"> </w:t>
      </w:r>
      <w:proofErr w:type="spellStart"/>
      <w:r w:rsidRPr="00E71391">
        <w:rPr>
          <w:rFonts w:asciiTheme="majorBidi" w:hAnsiTheme="majorBidi" w:cstheme="majorBidi"/>
          <w:i/>
          <w:iCs/>
        </w:rPr>
        <w:t>juristischer</w:t>
      </w:r>
      <w:proofErr w:type="spellEnd"/>
      <w:r w:rsidRPr="00E71391">
        <w:rPr>
          <w:rFonts w:asciiTheme="majorBidi" w:hAnsiTheme="majorBidi" w:cstheme="majorBidi"/>
          <w:i/>
          <w:iCs/>
        </w:rPr>
        <w:t xml:space="preserve"> </w:t>
      </w:r>
      <w:proofErr w:type="spellStart"/>
      <w:r w:rsidRPr="00E71391">
        <w:rPr>
          <w:rFonts w:asciiTheme="majorBidi" w:hAnsiTheme="majorBidi" w:cstheme="majorBidi"/>
          <w:i/>
          <w:iCs/>
        </w:rPr>
        <w:t>Methodenlehre</w:t>
      </w:r>
      <w:proofErr w:type="spellEnd"/>
      <w:r w:rsidRPr="00E71391">
        <w:rPr>
          <w:rFonts w:asciiTheme="majorBidi" w:hAnsiTheme="majorBidi" w:cstheme="majorBidi"/>
          <w:i/>
          <w:iCs/>
        </w:rPr>
        <w:t xml:space="preserve">. 8. </w:t>
      </w:r>
      <w:proofErr w:type="spellStart"/>
      <w:r w:rsidRPr="00E71391">
        <w:rPr>
          <w:rFonts w:asciiTheme="majorBidi" w:hAnsiTheme="majorBidi" w:cstheme="majorBidi"/>
          <w:i/>
          <w:iCs/>
        </w:rPr>
        <w:t>Auflage</w:t>
      </w:r>
      <w:proofErr w:type="spellEnd"/>
      <w:r w:rsidRPr="00E71391">
        <w:rPr>
          <w:rFonts w:asciiTheme="majorBidi" w:hAnsiTheme="majorBidi" w:cstheme="majorBidi"/>
          <w:i/>
          <w:iCs/>
        </w:rPr>
        <w:t>. C.H. </w:t>
      </w:r>
      <w:proofErr w:type="spellStart"/>
      <w:r w:rsidRPr="00E71391">
        <w:rPr>
          <w:rFonts w:asciiTheme="majorBidi" w:hAnsiTheme="majorBidi" w:cstheme="majorBidi"/>
          <w:i/>
          <w:iCs/>
        </w:rPr>
        <w:t>Verlag</w:t>
      </w:r>
      <w:proofErr w:type="spellEnd"/>
      <w:r w:rsidRPr="00E71391">
        <w:rPr>
          <w:rFonts w:asciiTheme="majorBidi" w:hAnsiTheme="majorBidi" w:cstheme="majorBidi"/>
          <w:i/>
          <w:iCs/>
        </w:rPr>
        <w:t xml:space="preserve">: </w:t>
      </w:r>
      <w:proofErr w:type="spellStart"/>
      <w:r w:rsidRPr="00E71391">
        <w:rPr>
          <w:rFonts w:asciiTheme="majorBidi" w:hAnsiTheme="majorBidi" w:cstheme="majorBidi"/>
          <w:i/>
          <w:iCs/>
        </w:rPr>
        <w:t>München</w:t>
      </w:r>
      <w:proofErr w:type="spellEnd"/>
      <w:r w:rsidRPr="00E71391">
        <w:rPr>
          <w:rFonts w:asciiTheme="majorBidi" w:hAnsiTheme="majorBidi" w:cstheme="majorBidi"/>
          <w:i/>
          <w:iCs/>
        </w:rPr>
        <w:t>, 2015, S. 537.– 538</w:t>
      </w:r>
      <w:r w:rsidRPr="00E71391">
        <w:rPr>
          <w:rFonts w:asciiTheme="majorBidi" w:hAnsiTheme="majorBidi" w:cstheme="majorBidi"/>
        </w:rPr>
        <w:t>).</w:t>
      </w:r>
    </w:p>
    <w:p w14:paraId="7DDCCCE2" w14:textId="01C7D0E8" w:rsidR="001A1324" w:rsidRPr="001A1324" w:rsidRDefault="00CD213B" w:rsidP="001A1324">
      <w:pPr>
        <w:spacing w:line="276" w:lineRule="auto"/>
        <w:ind w:firstLine="720"/>
        <w:jc w:val="both"/>
        <w:rPr>
          <w:rFonts w:asciiTheme="majorBidi" w:hAnsiTheme="majorBidi" w:cstheme="majorBidi"/>
        </w:rPr>
      </w:pPr>
      <w:r w:rsidRPr="00E71391">
        <w:t>Ievērojot minēto,</w:t>
      </w:r>
      <w:r w:rsidRPr="00CD213B">
        <w:t xml:space="preserve"> teleoloģiskā redukcija ir tiesību </w:t>
      </w:r>
      <w:proofErr w:type="spellStart"/>
      <w:r w:rsidRPr="00CD213B">
        <w:t>tālākveidošanas</w:t>
      </w:r>
      <w:proofErr w:type="spellEnd"/>
      <w:r w:rsidRPr="00CD213B">
        <w:t xml:space="preserve"> metode, kas piemērojama izņēmuma gadījumos, kad normas teksts atbilstoši tā vārdiskajai nozīmei aptver plašāku gadījumu loku, nekā to </w:t>
      </w:r>
      <w:r w:rsidR="00FA1B20" w:rsidRPr="00FA1B20">
        <w:t>nosaka</w:t>
      </w:r>
      <w:r w:rsidRPr="00CD213B">
        <w:t xml:space="preserve"> normas jēga un mērķis, un no likuma plāna pietiekami skaidri izriet, ka konkrētais gadījums nav ie</w:t>
      </w:r>
      <w:r w:rsidR="00FA1B20">
        <w:t>kļaujams</w:t>
      </w:r>
      <w:r w:rsidRPr="00CD213B">
        <w:t xml:space="preserve"> normas tvērumā. </w:t>
      </w:r>
      <w:r w:rsidR="001A1324">
        <w:t>Vienlaikus</w:t>
      </w:r>
      <w:r w:rsidR="0019459A">
        <w:t xml:space="preserve"> t</w:t>
      </w:r>
      <w:r w:rsidRPr="00CD213B">
        <w:t xml:space="preserve">eleoloģiskā redukcija </w:t>
      </w:r>
      <w:r w:rsidR="00FA1B20">
        <w:t>nav metode</w:t>
      </w:r>
      <w:r w:rsidRPr="00CD213B">
        <w:t>, ar kur</w:t>
      </w:r>
      <w:r w:rsidR="00FA1B20">
        <w:t>as palīdzību</w:t>
      </w:r>
      <w:r w:rsidRPr="00CD213B">
        <w:t xml:space="preserve"> tiesa varētu aizstāt likumdevēja skaidru politiski tiesisku izvēli </w:t>
      </w:r>
      <w:r w:rsidR="001A1324">
        <w:t>ar citu, tiesas ieskatā, pareizāku</w:t>
      </w:r>
      <w:r w:rsidRPr="00CD213B">
        <w:t xml:space="preserve"> </w:t>
      </w:r>
      <w:r w:rsidR="001A1324">
        <w:t>regulējumu</w:t>
      </w:r>
      <w:r w:rsidRPr="00CD213B">
        <w:t>.</w:t>
      </w:r>
      <w:r w:rsidR="0019459A">
        <w:t xml:space="preserve"> Tādēļ </w:t>
      </w:r>
      <w:r w:rsidR="0019459A">
        <w:rPr>
          <w:rFonts w:asciiTheme="majorBidi" w:hAnsiTheme="majorBidi" w:cstheme="majorBidi"/>
        </w:rPr>
        <w:t>t</w:t>
      </w:r>
      <w:r w:rsidR="0019459A" w:rsidRPr="0019459A">
        <w:rPr>
          <w:rFonts w:asciiTheme="majorBidi" w:hAnsiTheme="majorBidi" w:cstheme="majorBidi"/>
        </w:rPr>
        <w:t xml:space="preserve">iesām nav tiesību interpretācijas vai tiesību </w:t>
      </w:r>
      <w:proofErr w:type="spellStart"/>
      <w:r w:rsidR="0019459A" w:rsidRPr="0019459A">
        <w:rPr>
          <w:rFonts w:asciiTheme="majorBidi" w:hAnsiTheme="majorBidi" w:cstheme="majorBidi"/>
        </w:rPr>
        <w:t>tālākveidošanas</w:t>
      </w:r>
      <w:proofErr w:type="spellEnd"/>
      <w:r w:rsidR="0019459A" w:rsidRPr="0019459A">
        <w:rPr>
          <w:rFonts w:asciiTheme="majorBidi" w:hAnsiTheme="majorBidi" w:cstheme="majorBidi"/>
        </w:rPr>
        <w:t xml:space="preserve"> ceļā likumam, kura saturs pēc teksta un jēgas ir nepārprotams, piešķirt pretēju nozīmi vai arī fundamentāli mainīt normas saturu.</w:t>
      </w:r>
    </w:p>
    <w:p w14:paraId="007E8E6D" w14:textId="7C2D49D5" w:rsidR="006A7086" w:rsidRDefault="00A05CEC" w:rsidP="002678A6">
      <w:pPr>
        <w:spacing w:line="276" w:lineRule="auto"/>
        <w:ind w:firstLine="720"/>
        <w:jc w:val="both"/>
      </w:pPr>
      <w:r>
        <w:t>[</w:t>
      </w:r>
      <w:r w:rsidR="00A77B59">
        <w:t>6</w:t>
      </w:r>
      <w:r>
        <w:t>.2.</w:t>
      </w:r>
      <w:r w:rsidR="00E71391">
        <w:t>3</w:t>
      </w:r>
      <w:r>
        <w:t xml:space="preserve">] </w:t>
      </w:r>
      <w:r w:rsidR="006A7086">
        <w:t>Senāts</w:t>
      </w:r>
      <w:r w:rsidR="005A126E">
        <w:t>, pievēršoties izskatāmajā lietā aktuālajam tiesiskajam regulējumam,</w:t>
      </w:r>
      <w:r w:rsidR="006A7086">
        <w:t xml:space="preserve"> atzīst, ka </w:t>
      </w:r>
      <w:r w:rsidR="002678A6">
        <w:t>a</w:t>
      </w:r>
      <w:r w:rsidR="002678A6" w:rsidRPr="002678A6">
        <w:t xml:space="preserve">pelācijas instances tiesa pamatoti </w:t>
      </w:r>
      <w:r w:rsidR="002678A6">
        <w:t>secinājusi</w:t>
      </w:r>
      <w:r w:rsidR="002678A6" w:rsidRPr="002678A6">
        <w:t>, ka pirmās instances tiesa, piemērojot teleoloģisko redukciju</w:t>
      </w:r>
      <w:r w:rsidR="002678A6">
        <w:t>,</w:t>
      </w:r>
      <w:r w:rsidR="002678A6" w:rsidRPr="002678A6">
        <w:t xml:space="preserve"> faktiski </w:t>
      </w:r>
      <w:r w:rsidR="005A126E">
        <w:t xml:space="preserve">ir </w:t>
      </w:r>
      <w:r w:rsidR="002678A6" w:rsidRPr="002678A6">
        <w:t>aizstāj</w:t>
      </w:r>
      <w:r w:rsidR="005A126E">
        <w:t>usi</w:t>
      </w:r>
      <w:r w:rsidR="002678A6" w:rsidRPr="002678A6">
        <w:t xml:space="preserve"> likumdevēja izdarīto politisk</w:t>
      </w:r>
      <w:r w:rsidR="005A126E">
        <w:t>o</w:t>
      </w:r>
      <w:r w:rsidR="002678A6" w:rsidRPr="002678A6">
        <w:t xml:space="preserve"> izvēli ar savu vērtējumu un tādējādi nostāj</w:t>
      </w:r>
      <w:r w:rsidR="005A126E">
        <w:t xml:space="preserve">usies </w:t>
      </w:r>
      <w:r w:rsidR="002678A6" w:rsidRPr="002678A6">
        <w:t>likumdevēja vietā</w:t>
      </w:r>
      <w:r w:rsidR="002678A6">
        <w:t>.</w:t>
      </w:r>
    </w:p>
    <w:p w14:paraId="4A1388CF" w14:textId="21B1F55D" w:rsidR="002678A6" w:rsidRDefault="002678A6" w:rsidP="002678A6">
      <w:pPr>
        <w:spacing w:line="276" w:lineRule="auto"/>
        <w:ind w:firstLine="720"/>
        <w:jc w:val="both"/>
      </w:pPr>
      <w:r w:rsidRPr="002678A6">
        <w:t>Šād</w:t>
      </w:r>
      <w:r w:rsidR="005A126E">
        <w:t>u</w:t>
      </w:r>
      <w:r w:rsidRPr="002678A6">
        <w:t xml:space="preserve"> secinājum</w:t>
      </w:r>
      <w:r w:rsidR="005A126E">
        <w:t>u Senāts</w:t>
      </w:r>
      <w:r w:rsidRPr="002678A6">
        <w:t xml:space="preserve"> pamato ar turpmāk izklāstītajiem apsvērumiem.</w:t>
      </w:r>
    </w:p>
    <w:p w14:paraId="3A4804AA" w14:textId="0382C097" w:rsidR="00006851" w:rsidRDefault="00EA386F" w:rsidP="00D56BFA">
      <w:pPr>
        <w:spacing w:line="276" w:lineRule="auto"/>
        <w:ind w:firstLine="720"/>
        <w:jc w:val="both"/>
      </w:pPr>
      <w:r w:rsidRPr="00317F5D">
        <w:t xml:space="preserve">Satversmes tiesas </w:t>
      </w:r>
      <w:r w:rsidRPr="00D44FC6">
        <w:t>2017.</w:t>
      </w:r>
      <w:r w:rsidR="008D24BB">
        <w:t> </w:t>
      </w:r>
      <w:r w:rsidRPr="00D44FC6">
        <w:t>gada 8.</w:t>
      </w:r>
      <w:r w:rsidR="008D24BB">
        <w:t> </w:t>
      </w:r>
      <w:r w:rsidRPr="00D44FC6">
        <w:t>marta spriedum</w:t>
      </w:r>
      <w:r>
        <w:t>s</w:t>
      </w:r>
      <w:r w:rsidRPr="00D44FC6">
        <w:t xml:space="preserve"> lietā Nr.</w:t>
      </w:r>
      <w:r>
        <w:t> </w:t>
      </w:r>
      <w:r w:rsidRPr="00D44FC6">
        <w:t>2016-07-01</w:t>
      </w:r>
      <w:r w:rsidR="005A126E">
        <w:t>, ar kuru</w:t>
      </w:r>
      <w:r w:rsidR="005A126E" w:rsidRPr="005A126E">
        <w:t xml:space="preserve"> Kriminālprocesa likuma 356.</w:t>
      </w:r>
      <w:r w:rsidR="005A126E">
        <w:t> </w:t>
      </w:r>
      <w:r w:rsidR="005A126E" w:rsidRPr="005A126E">
        <w:t>panta otrās daļas 2.</w:t>
      </w:r>
      <w:r w:rsidR="005A126E">
        <w:t> </w:t>
      </w:r>
      <w:r w:rsidR="005A126E" w:rsidRPr="005A126E">
        <w:t>punkt</w:t>
      </w:r>
      <w:r w:rsidR="005A126E">
        <w:t>s</w:t>
      </w:r>
      <w:r w:rsidR="005A126E" w:rsidRPr="005A126E">
        <w:t xml:space="preserve"> un 360.</w:t>
      </w:r>
      <w:r w:rsidR="005A126E">
        <w:t> </w:t>
      </w:r>
      <w:r w:rsidR="005A126E" w:rsidRPr="005A126E">
        <w:t>panta pirm</w:t>
      </w:r>
      <w:r w:rsidR="005A126E">
        <w:t>ā</w:t>
      </w:r>
      <w:r w:rsidR="005A126E" w:rsidRPr="005A126E">
        <w:t xml:space="preserve"> daļ</w:t>
      </w:r>
      <w:r w:rsidR="005A126E">
        <w:t>a atzīt</w:t>
      </w:r>
      <w:r w:rsidR="00D13714">
        <w:t>i</w:t>
      </w:r>
      <w:r w:rsidR="005A126E" w:rsidRPr="005A126E">
        <w:t xml:space="preserve"> par atbilstoš</w:t>
      </w:r>
      <w:r w:rsidR="00D13714">
        <w:t>iem</w:t>
      </w:r>
      <w:r w:rsidR="005A126E" w:rsidRPr="005A126E">
        <w:t xml:space="preserve"> Latvijas Republikas Satversmes </w:t>
      </w:r>
      <w:r w:rsidR="00DD7697">
        <w:t xml:space="preserve">(turpmāk – Satversme) </w:t>
      </w:r>
      <w:r w:rsidR="005A126E" w:rsidRPr="005A126E">
        <w:t>1.</w:t>
      </w:r>
      <w:r w:rsidR="008D24BB">
        <w:t> </w:t>
      </w:r>
      <w:r w:rsidR="005A126E" w:rsidRPr="005A126E">
        <w:t>pantam, 91.</w:t>
      </w:r>
      <w:r w:rsidR="005A126E">
        <w:t> </w:t>
      </w:r>
      <w:r w:rsidR="005A126E" w:rsidRPr="005A126E">
        <w:t>panta pirmajam teikumam un 105.</w:t>
      </w:r>
      <w:r w:rsidR="005A126E">
        <w:t> </w:t>
      </w:r>
      <w:r w:rsidR="005A126E" w:rsidRPr="005A126E">
        <w:t>pantam</w:t>
      </w:r>
      <w:r w:rsidR="005A126E">
        <w:t>,</w:t>
      </w:r>
      <w:r w:rsidRPr="00D44FC6">
        <w:t xml:space="preserve"> </w:t>
      </w:r>
      <w:r>
        <w:t>ap</w:t>
      </w:r>
      <w:r w:rsidRPr="006B6737">
        <w:t xml:space="preserve">liecina, </w:t>
      </w:r>
      <w:r w:rsidR="002678A6">
        <w:t xml:space="preserve">ka </w:t>
      </w:r>
      <w:r w:rsidRPr="006B6737">
        <w:t>likumdevēja izvēle b</w:t>
      </w:r>
      <w:r w:rsidR="002678A6">
        <w:t>ija</w:t>
      </w:r>
      <w:r w:rsidRPr="006B6737">
        <w:t xml:space="preserve"> apzināta</w:t>
      </w:r>
      <w:r w:rsidR="00B37CD7">
        <w:t>, proti, likumdevēja mērķis bija</w:t>
      </w:r>
      <w:r w:rsidRPr="006B6737">
        <w:t xml:space="preserve"> prioritāri </w:t>
      </w:r>
      <w:r w:rsidR="002678A6">
        <w:t>atjauno</w:t>
      </w:r>
      <w:r w:rsidR="00B37CD7">
        <w:t>t</w:t>
      </w:r>
      <w:r w:rsidRPr="006B6737">
        <w:t xml:space="preserve"> noziedzīga nodarījuma rezultātā izjaukt</w:t>
      </w:r>
      <w:r w:rsidR="00B37CD7">
        <w:t>o</w:t>
      </w:r>
      <w:r w:rsidRPr="006B6737">
        <w:t xml:space="preserve"> tiesisk</w:t>
      </w:r>
      <w:r w:rsidR="00B37CD7">
        <w:t>o</w:t>
      </w:r>
      <w:r w:rsidRPr="006B6737">
        <w:t xml:space="preserve"> stāvokli, </w:t>
      </w:r>
      <w:r w:rsidR="002678A6">
        <w:t>savukārt</w:t>
      </w:r>
      <w:r w:rsidRPr="006B6737">
        <w:t xml:space="preserve"> </w:t>
      </w:r>
      <w:r w:rsidR="005A126E">
        <w:t xml:space="preserve">mantas </w:t>
      </w:r>
      <w:r w:rsidRPr="006B6737">
        <w:t>labticīgā ieguvēja aizsardzīb</w:t>
      </w:r>
      <w:r w:rsidR="00D56BFA">
        <w:t>u</w:t>
      </w:r>
      <w:r>
        <w:t xml:space="preserve"> risinā</w:t>
      </w:r>
      <w:r w:rsidR="00D56BFA">
        <w:t>t</w:t>
      </w:r>
      <w:r w:rsidRPr="006B6737">
        <w:t xml:space="preserve"> </w:t>
      </w:r>
      <w:r w:rsidR="00D56BFA">
        <w:t>C</w:t>
      </w:r>
      <w:r w:rsidRPr="006B6737">
        <w:t>ivilproces</w:t>
      </w:r>
      <w:r w:rsidR="00D56BFA">
        <w:t>a likumā noteiktajā kārtībā</w:t>
      </w:r>
      <w:r w:rsidRPr="006B6737">
        <w:t xml:space="preserve">. </w:t>
      </w:r>
      <w:r w:rsidR="00D56BFA" w:rsidRPr="00D56BFA">
        <w:t xml:space="preserve">Šādu izpratni apstiprina arī Saeimas kā apstrīdēto normu izdevējas </w:t>
      </w:r>
      <w:r w:rsidR="00D56BFA">
        <w:t xml:space="preserve">norādītais </w:t>
      </w:r>
      <w:r w:rsidR="00D56BFA" w:rsidRPr="00D56BFA">
        <w:t>Satversmes tiesai iesniegtajā atbildes rakstā</w:t>
      </w:r>
      <w:r>
        <w:t xml:space="preserve"> (</w:t>
      </w:r>
      <w:r w:rsidRPr="00D1731A">
        <w:rPr>
          <w:i/>
          <w:iCs/>
        </w:rPr>
        <w:t xml:space="preserve">sk. </w:t>
      </w:r>
      <w:r w:rsidR="00EA6FF7">
        <w:rPr>
          <w:i/>
          <w:iCs/>
        </w:rPr>
        <w:t xml:space="preserve">Satversmes tiesas </w:t>
      </w:r>
      <w:r w:rsidRPr="00D1731A">
        <w:rPr>
          <w:i/>
          <w:iCs/>
        </w:rPr>
        <w:t>sprieduma 3. punktu</w:t>
      </w:r>
      <w:r>
        <w:t>).</w:t>
      </w:r>
    </w:p>
    <w:p w14:paraId="3BF8064E" w14:textId="1F18FB16" w:rsidR="00CB01DF" w:rsidRDefault="00CB01DF" w:rsidP="00CB01DF">
      <w:pPr>
        <w:spacing w:line="276" w:lineRule="auto"/>
        <w:ind w:firstLine="720"/>
        <w:jc w:val="both"/>
      </w:pPr>
      <w:r w:rsidRPr="00CB01DF">
        <w:t xml:space="preserve">Likumdevējs arī pēc </w:t>
      </w:r>
      <w:r>
        <w:t xml:space="preserve">minētā </w:t>
      </w:r>
      <w:r w:rsidRPr="00CB01DF">
        <w:t>Satversmes tiesas sprieduma ir saglabājis tādu tiesisko regulējumu, kurā kriminālprocesā prioritāri atjaunojams noziedzīga nodarījuma rezultātā izjauktais tiesiskais stāvoklis.</w:t>
      </w:r>
    </w:p>
    <w:p w14:paraId="03DB97B7" w14:textId="3C0C3442" w:rsidR="00FA1B20" w:rsidRPr="00CB01DF" w:rsidRDefault="00FA1B20" w:rsidP="00FA1B20">
      <w:pPr>
        <w:spacing w:line="276" w:lineRule="auto"/>
        <w:ind w:firstLine="720"/>
        <w:jc w:val="both"/>
      </w:pPr>
      <w:r w:rsidRPr="00FA1B20">
        <w:t xml:space="preserve">Tādējādi no spēkā esošā tiesiskā regulējuma, tā mērķa un likuma plāna neizriet, ka </w:t>
      </w:r>
      <w:r w:rsidR="001A1324">
        <w:t>izskatāmajā</w:t>
      </w:r>
      <w:r w:rsidR="00006851">
        <w:t xml:space="preserve"> lietā konstatētais</w:t>
      </w:r>
      <w:r w:rsidRPr="00FA1B20">
        <w:t xml:space="preserve"> gadījums ne</w:t>
      </w:r>
      <w:r w:rsidR="00D56BFA">
        <w:t>ietilptu</w:t>
      </w:r>
      <w:r w:rsidRPr="00FA1B20">
        <w:t xml:space="preserve"> Kriminālprocesa likuma 360.</w:t>
      </w:r>
      <w:r w:rsidR="008D24BB">
        <w:t> </w:t>
      </w:r>
      <w:r w:rsidRPr="00FA1B20">
        <w:t xml:space="preserve">panta pirmās daļas tvērumā. Gluži pretēji, </w:t>
      </w:r>
      <w:r>
        <w:t>m</w:t>
      </w:r>
      <w:r w:rsidRPr="00FA1B20">
        <w:t>inēto apstākļu kopums apliecina, ka cietušā interešu prioritāra aizsardzība kriminālprocesā ir likumdevēja apzinātas izvēles rezultāts.</w:t>
      </w:r>
    </w:p>
    <w:p w14:paraId="21F307A2" w14:textId="7E6E61B2" w:rsidR="00046F20" w:rsidRDefault="00046F20" w:rsidP="00046F20">
      <w:pPr>
        <w:spacing w:line="276" w:lineRule="auto"/>
        <w:ind w:firstLine="720"/>
        <w:jc w:val="both"/>
      </w:pPr>
      <w:r w:rsidRPr="00046F20">
        <w:lastRenderedPageBreak/>
        <w:t xml:space="preserve">Ievērojot minēto, </w:t>
      </w:r>
      <w:r w:rsidR="008D24BB">
        <w:t xml:space="preserve">Senāts atzīst, ka </w:t>
      </w:r>
      <w:r w:rsidRPr="00046F20">
        <w:t xml:space="preserve">apelācijas instances tiesa pamatoti </w:t>
      </w:r>
      <w:r w:rsidR="00D56BFA">
        <w:t xml:space="preserve">ir </w:t>
      </w:r>
      <w:r w:rsidRPr="00046F20">
        <w:t>secinājusi, ka pirmās instances tiesa</w:t>
      </w:r>
      <w:r>
        <w:t>i nebija pamata piemērot</w:t>
      </w:r>
      <w:r w:rsidRPr="00046F20">
        <w:t xml:space="preserve"> teleoloģisko redukciju</w:t>
      </w:r>
      <w:r>
        <w:t>, at</w:t>
      </w:r>
      <w:r w:rsidR="00A62C22">
        <w:t>sakoties</w:t>
      </w:r>
      <w:r>
        <w:t xml:space="preserve"> piemērot Kriminālprocesa likuma </w:t>
      </w:r>
      <w:r w:rsidRPr="00046F20">
        <w:t>360.</w:t>
      </w:r>
      <w:r w:rsidR="008D24BB">
        <w:t> </w:t>
      </w:r>
      <w:r w:rsidRPr="00046F20">
        <w:t>panta pirm</w:t>
      </w:r>
      <w:r>
        <w:t>o daļu.</w:t>
      </w:r>
    </w:p>
    <w:p w14:paraId="07D5A43B" w14:textId="0DE036CC" w:rsidR="00CB01DF" w:rsidRDefault="00E57EB8" w:rsidP="00CB01DF">
      <w:pPr>
        <w:spacing w:line="276" w:lineRule="auto"/>
        <w:ind w:firstLine="720"/>
        <w:jc w:val="both"/>
      </w:pPr>
      <w:r>
        <w:t>[</w:t>
      </w:r>
      <w:r w:rsidR="00A77B59">
        <w:t>6</w:t>
      </w:r>
      <w:r>
        <w:t>.3]</w:t>
      </w:r>
      <w:r w:rsidR="00CB01DF" w:rsidRPr="00CB01DF">
        <w:t xml:space="preserve"> No minētā secinājuma izriet arī tas, ka pretēji kasācijas sūdzībā norādītajam nav pamata tādai Kriminālprocesa likuma 360.</w:t>
      </w:r>
      <w:r w:rsidR="008D24BB">
        <w:t> </w:t>
      </w:r>
      <w:r w:rsidR="00CB01DF" w:rsidRPr="00CB01DF">
        <w:t xml:space="preserve">panta pirmās daļas interpretācijai, saskaņā ar kuru jēdziens </w:t>
      </w:r>
      <w:r w:rsidR="008D24BB">
        <w:t>„</w:t>
      </w:r>
      <w:r w:rsidR="00CB01DF" w:rsidRPr="00CB01DF">
        <w:t>likumīgais valdītājs” aptvertu arī tādu trešo personu, kur</w:t>
      </w:r>
      <w:r w:rsidR="00361634">
        <w:t>as</w:t>
      </w:r>
      <w:r w:rsidR="00CB01DF" w:rsidRPr="00CB01DF">
        <w:t xml:space="preserve"> valdījumā manta nonākusi pēc noziedzīgā nodarījuma izdarīšanas.</w:t>
      </w:r>
    </w:p>
    <w:p w14:paraId="0218059E" w14:textId="04AE7A11" w:rsidR="00E57EB8" w:rsidRDefault="00A62C22" w:rsidP="00CB01DF">
      <w:pPr>
        <w:spacing w:line="276" w:lineRule="auto"/>
        <w:ind w:firstLine="720"/>
        <w:jc w:val="both"/>
      </w:pPr>
      <w:r>
        <w:t>Turklāt š</w:t>
      </w:r>
      <w:r w:rsidR="00E57EB8" w:rsidRPr="0010091D">
        <w:t>āda interpretācija būtu pretrunā</w:t>
      </w:r>
      <w:r w:rsidR="00CB01DF">
        <w:t xml:space="preserve"> ar</w:t>
      </w:r>
      <w:r w:rsidR="00E57EB8" w:rsidRPr="0010091D">
        <w:t xml:space="preserve"> </w:t>
      </w:r>
      <w:r w:rsidR="00E57EB8">
        <w:t>šī</w:t>
      </w:r>
      <w:r w:rsidR="00E57EB8" w:rsidRPr="0010091D">
        <w:t xml:space="preserve"> panta otro daļu, kas labticīga</w:t>
      </w:r>
      <w:r w:rsidR="00E57EB8">
        <w:t>m</w:t>
      </w:r>
      <w:r w:rsidR="00E57EB8" w:rsidRPr="0010091D">
        <w:t xml:space="preserve"> ieguvēja</w:t>
      </w:r>
      <w:r w:rsidR="00E57EB8">
        <w:t>m</w:t>
      </w:r>
      <w:r w:rsidR="00E57EB8" w:rsidRPr="0010091D">
        <w:t xml:space="preserve"> paredz nevis tiesības paturēt mantu, bet</w:t>
      </w:r>
      <w:r w:rsidR="00E57EB8">
        <w:t xml:space="preserve"> gan</w:t>
      </w:r>
      <w:r w:rsidR="00E57EB8" w:rsidRPr="0010091D">
        <w:t xml:space="preserve"> tiesības </w:t>
      </w:r>
      <w:r w:rsidR="00D56BFA">
        <w:t>C</w:t>
      </w:r>
      <w:r w:rsidR="00E57EB8" w:rsidRPr="0010091D">
        <w:t>ivilprocesa</w:t>
      </w:r>
      <w:r w:rsidR="00D56BFA">
        <w:t xml:space="preserve"> likumā noteiktajā</w:t>
      </w:r>
      <w:r w:rsidR="00E57EB8" w:rsidRPr="0010091D">
        <w:t xml:space="preserve"> kārtībā prasīt zaudējumu atlīdzināšanu. </w:t>
      </w:r>
    </w:p>
    <w:p w14:paraId="6E9C2F66" w14:textId="184B60C1" w:rsidR="00E57EB8" w:rsidRDefault="00E57EB8" w:rsidP="00E57EB8">
      <w:pPr>
        <w:spacing w:line="276" w:lineRule="auto"/>
        <w:ind w:firstLine="720"/>
        <w:jc w:val="both"/>
      </w:pPr>
      <w:r>
        <w:t xml:space="preserve">Ievērojot minēto, Senāts atzīst, ka </w:t>
      </w:r>
      <w:r w:rsidRPr="0010091D">
        <w:t>likumīgais valdītājs Kriminālprocesa likuma 360.</w:t>
      </w:r>
      <w:r>
        <w:t> </w:t>
      </w:r>
      <w:r w:rsidRPr="0010091D">
        <w:t xml:space="preserve">panta pirmās daļas izpratnē ir </w:t>
      </w:r>
      <w:r w:rsidR="00CB01DF">
        <w:t xml:space="preserve">tikai </w:t>
      </w:r>
      <w:r w:rsidRPr="0010091D">
        <w:t>persona, kura</w:t>
      </w:r>
      <w:r>
        <w:t xml:space="preserve"> mantu</w:t>
      </w:r>
      <w:r w:rsidRPr="0010091D">
        <w:t xml:space="preserve"> likumīgi valdīj</w:t>
      </w:r>
      <w:r>
        <w:t>usi</w:t>
      </w:r>
      <w:r w:rsidRPr="0010091D">
        <w:t xml:space="preserve"> pirms tās zaudēšanas noziedzīga nodarījuma rezultātā, nevis persona, kuras valdījumā manta nonākusi </w:t>
      </w:r>
      <w:r>
        <w:t>pēc tam</w:t>
      </w:r>
      <w:r w:rsidRPr="0010091D">
        <w:t>.</w:t>
      </w:r>
    </w:p>
    <w:p w14:paraId="5F31F457" w14:textId="235C7126" w:rsidR="007C62DE" w:rsidRDefault="00EA386F" w:rsidP="007C62DE">
      <w:pPr>
        <w:spacing w:line="276" w:lineRule="auto"/>
        <w:ind w:firstLine="720"/>
        <w:jc w:val="both"/>
      </w:pPr>
      <w:r>
        <w:t>[</w:t>
      </w:r>
      <w:r w:rsidR="00A77B59">
        <w:t>6</w:t>
      </w:r>
      <w:r w:rsidR="006E1796">
        <w:t>.</w:t>
      </w:r>
      <w:r w:rsidR="00E57EB8">
        <w:t>4</w:t>
      </w:r>
      <w:r>
        <w:t xml:space="preserve">] </w:t>
      </w:r>
      <w:r w:rsidR="007C62DE" w:rsidRPr="007C62DE">
        <w:t>Senāts atzīst, ka Kriminālprocesa likuma 360.</w:t>
      </w:r>
      <w:r w:rsidR="008D24BB">
        <w:t> </w:t>
      </w:r>
      <w:r w:rsidR="007C62DE" w:rsidRPr="007C62DE">
        <w:t>panta pirmās daļas piemērošanu nevar ietekmēt arī kasācijas sūdzībā norādītie argumenti par to, ka nekustamā īpašuma atdošana cietušajai sabiedrībai skar ģimenes locekļu, tajā skaitā nepilngadīgu bērnu, tiesības</w:t>
      </w:r>
      <w:r w:rsidR="004B5185">
        <w:t>, kā arī</w:t>
      </w:r>
      <w:r w:rsidR="007C62DE" w:rsidRPr="007C62DE">
        <w:t xml:space="preserve"> neatbrīvo no pienākuma pildīt hipotekārās kredītsaistības, jo šī norma neparedz pušu mantisko vai sociālo interešu svēršanu.</w:t>
      </w:r>
    </w:p>
    <w:p w14:paraId="40782AF8" w14:textId="5F9A849A" w:rsidR="00EA386F" w:rsidRDefault="00EA386F" w:rsidP="00EA386F">
      <w:pPr>
        <w:spacing w:line="276" w:lineRule="auto"/>
        <w:ind w:firstLine="720"/>
        <w:jc w:val="both"/>
      </w:pPr>
      <w:r>
        <w:t>[</w:t>
      </w:r>
      <w:r w:rsidR="00A77B59">
        <w:t>6</w:t>
      </w:r>
      <w:r w:rsidR="006E1796">
        <w:t>.5</w:t>
      </w:r>
      <w:r>
        <w:t xml:space="preserve">] Kriminālprocesa likuma 360. panta pirmās daļas piemērošanai izskatāmajā lietā nevar būt šķērslis arī tas, ka </w:t>
      </w:r>
      <w:r w:rsidRPr="007D7EC3">
        <w:t>100</w:t>
      </w:r>
      <w:r>
        <w:t xml:space="preserve"> procenti cietušās </w:t>
      </w:r>
      <w:r w:rsidRPr="007D7EC3">
        <w:t>sabiedrības pamatkapitāla pieder Krievijas Federācijas pilsonim</w:t>
      </w:r>
      <w:r>
        <w:t>.</w:t>
      </w:r>
    </w:p>
    <w:p w14:paraId="5D15355F" w14:textId="71CCB832" w:rsidR="00EA386F" w:rsidRDefault="00EA386F" w:rsidP="00EA386F">
      <w:pPr>
        <w:spacing w:line="276" w:lineRule="auto"/>
        <w:ind w:firstLine="720"/>
        <w:jc w:val="both"/>
      </w:pPr>
      <w:r w:rsidRPr="00E24345">
        <w:t xml:space="preserve">Nacionālo drošību apdraudošu darījumu ierobežošanas likuma </w:t>
      </w:r>
      <w:r>
        <w:t>2</w:t>
      </w:r>
      <w:r w:rsidRPr="00E24345">
        <w:t>.</w:t>
      </w:r>
      <w:r>
        <w:t> panta 5.</w:t>
      </w:r>
      <w:r w:rsidR="004A4904">
        <w:t> </w:t>
      </w:r>
      <w:r>
        <w:t>punkts paredz, ka a</w:t>
      </w:r>
      <w:r w:rsidRPr="00E24345">
        <w:t xml:space="preserve">r šo likumu tiek noteikts, ka iegūt nekustamo īpašumu vai tā daļu Latvijas Republikā ir aizliegts juridiskajām personām, kurās Krievijas Federācijas </w:t>
      </w:r>
      <w:proofErr w:type="spellStart"/>
      <w:r w:rsidRPr="00E24345">
        <w:t>valstspiederīgajiem</w:t>
      </w:r>
      <w:proofErr w:type="spellEnd"/>
      <w:r w:rsidRPr="00E24345">
        <w:t xml:space="preserve"> tiešas vai netiešas līdzdalības veidā pieder vismaz 25</w:t>
      </w:r>
      <w:r w:rsidR="004A4904">
        <w:t> </w:t>
      </w:r>
      <w:r w:rsidRPr="00E24345">
        <w:t>procenti no attiecīgās juridiskās personas pamatkapitāla daļām (akcijām</w:t>
      </w:r>
      <w:r>
        <w:t>).</w:t>
      </w:r>
    </w:p>
    <w:p w14:paraId="11AD7015" w14:textId="1BFAA9A0" w:rsidR="00EA386F" w:rsidRDefault="00EA386F" w:rsidP="00EA386F">
      <w:pPr>
        <w:spacing w:line="276" w:lineRule="auto"/>
        <w:ind w:firstLine="720"/>
        <w:jc w:val="both"/>
      </w:pPr>
      <w:r>
        <w:t>Šā likuma 3. </w:t>
      </w:r>
      <w:r w:rsidRPr="00E24345">
        <w:t>panta pirmā daļa noteic: nekāda veida atsavināšanas darījumi un citi darījumi, kuri noslēgti pēc šā likuma stāšanās spēkā un ar kuriem šā likum</w:t>
      </w:r>
      <w:r w:rsidRPr="006E1796">
        <w:t>a</w:t>
      </w:r>
      <w:r w:rsidR="004A4904">
        <w:t xml:space="preserve"> </w:t>
      </w:r>
      <w:hyperlink r:id="rId11" w:anchor="p2" w:history="1">
        <w:r w:rsidRPr="006E1796">
          <w:rPr>
            <w:rStyle w:val="Hyperlink"/>
            <w:color w:val="auto"/>
            <w:u w:val="none"/>
          </w:rPr>
          <w:t>2.</w:t>
        </w:r>
      </w:hyperlink>
      <w:r w:rsidRPr="006E1796">
        <w:t> </w:t>
      </w:r>
      <w:r w:rsidRPr="00E24345">
        <w:t xml:space="preserve">pantā minētie subjekti ieguvuši nekustamo īpašumu vai tā daļu Latvijas Republikā, nav spēkā un nav </w:t>
      </w:r>
      <w:proofErr w:type="spellStart"/>
      <w:r w:rsidRPr="00E24345">
        <w:t>koroborējami</w:t>
      </w:r>
      <w:proofErr w:type="spellEnd"/>
      <w:r w:rsidRPr="00E24345">
        <w:t xml:space="preserve">. </w:t>
      </w:r>
    </w:p>
    <w:p w14:paraId="45B17EB1" w14:textId="77777777" w:rsidR="00EA386F" w:rsidRDefault="00EA386F" w:rsidP="00EA386F">
      <w:pPr>
        <w:spacing w:line="276" w:lineRule="auto"/>
        <w:ind w:firstLine="720"/>
        <w:jc w:val="both"/>
      </w:pPr>
      <w:r>
        <w:t>Minētais likums stājies spēkā 2025. gada 3. jūlijā.</w:t>
      </w:r>
    </w:p>
    <w:p w14:paraId="15F23323" w14:textId="5B84F49F" w:rsidR="006E1796" w:rsidRDefault="00567597" w:rsidP="00EA386F">
      <w:pPr>
        <w:spacing w:line="276" w:lineRule="auto"/>
        <w:ind w:firstLine="720"/>
        <w:jc w:val="both"/>
      </w:pPr>
      <w:r>
        <w:t>Lai gan p</w:t>
      </w:r>
      <w:r w:rsidR="00EA386F">
        <w:t xml:space="preserve">ārsūdzētais spriedums pieņemts </w:t>
      </w:r>
      <w:r w:rsidR="004B5185">
        <w:t xml:space="preserve">pēc šī likuma spēkā stāšanās, proti, </w:t>
      </w:r>
      <w:r w:rsidR="00EA386F">
        <w:t xml:space="preserve">2025. gada 9. decembrī, </w:t>
      </w:r>
      <w:r>
        <w:t>ta</w:t>
      </w:r>
      <w:r w:rsidR="00E57EB8">
        <w:t xml:space="preserve">s nav atzīstams </w:t>
      </w:r>
      <w:r w:rsidR="00EA386F">
        <w:t>par atsavināšanas darījumu šā likuma izpratnē, jo ar to ir vienīgi atjaunots stāvoklis, kāds pastāvējis pirms noziedzīgā nodarījuma izdarīšanas 2019. gadā.</w:t>
      </w:r>
    </w:p>
    <w:p w14:paraId="45561475" w14:textId="05F4003B" w:rsidR="00EA386F" w:rsidRDefault="006E1796" w:rsidP="00A31107">
      <w:pPr>
        <w:spacing w:line="276" w:lineRule="auto"/>
        <w:ind w:firstLine="720"/>
        <w:jc w:val="both"/>
      </w:pPr>
      <w:r>
        <w:t>[</w:t>
      </w:r>
      <w:r w:rsidR="00A77B59">
        <w:t>6</w:t>
      </w:r>
      <w:r>
        <w:t xml:space="preserve">.6] Rezumējot minēto, Senāts atzīst, ka </w:t>
      </w:r>
      <w:r w:rsidR="00A31107">
        <w:t xml:space="preserve">apelācijas instances tiesa ir pareizi piemērojusi Kriminālprocesa likuma 360. panta pirmo un otro daļu, bet </w:t>
      </w:r>
      <w:r>
        <w:t xml:space="preserve">kasācijas sūdzības argumenti </w:t>
      </w:r>
      <w:r w:rsidR="00A31107">
        <w:t>šajā daļā</w:t>
      </w:r>
      <w:r>
        <w:t xml:space="preserve"> ir atzīstami par nepamatotiem.</w:t>
      </w:r>
    </w:p>
    <w:p w14:paraId="2C667601" w14:textId="77777777" w:rsidR="00CB01DF" w:rsidRDefault="00CB01DF" w:rsidP="00EA386F">
      <w:pPr>
        <w:widowControl w:val="0"/>
        <w:spacing w:line="276" w:lineRule="auto"/>
        <w:ind w:firstLine="720"/>
        <w:jc w:val="both"/>
      </w:pPr>
    </w:p>
    <w:p w14:paraId="3ED41CB5" w14:textId="47D88F7A" w:rsidR="00EA386F" w:rsidRDefault="00EA386F" w:rsidP="00EA386F">
      <w:pPr>
        <w:widowControl w:val="0"/>
        <w:spacing w:line="276" w:lineRule="auto"/>
        <w:ind w:firstLine="720"/>
        <w:jc w:val="both"/>
      </w:pPr>
      <w:r>
        <w:t>[</w:t>
      </w:r>
      <w:r w:rsidR="00A77B59">
        <w:t>7</w:t>
      </w:r>
      <w:r>
        <w:t>] Senāts nesaskata pamatu vērsties Satversmes tiesā ar jaunu pieteikumu par Kriminālprocesa likuma 360. panta pirmās un otrās daļas neatbilstību Satversmei.</w:t>
      </w:r>
      <w:r w:rsidRPr="00695748">
        <w:t xml:space="preserve"> </w:t>
      </w:r>
    </w:p>
    <w:p w14:paraId="76EDC327" w14:textId="10BECCC3" w:rsidR="00442206" w:rsidRDefault="00442206" w:rsidP="00442206">
      <w:pPr>
        <w:widowControl w:val="0"/>
        <w:spacing w:line="276" w:lineRule="auto"/>
        <w:ind w:firstLine="720"/>
        <w:jc w:val="both"/>
      </w:pPr>
      <w:r>
        <w:lastRenderedPageBreak/>
        <w:t>[</w:t>
      </w:r>
      <w:r w:rsidR="00A77B59">
        <w:t>7</w:t>
      </w:r>
      <w:r>
        <w:t xml:space="preserve">.1] </w:t>
      </w:r>
      <w:r w:rsidR="00EA386F" w:rsidRPr="00881324">
        <w:t>Satversmes tiesa 2017.</w:t>
      </w:r>
      <w:r w:rsidR="004A4904">
        <w:t> </w:t>
      </w:r>
      <w:r w:rsidR="00EA386F" w:rsidRPr="00881324">
        <w:t>gada 8.</w:t>
      </w:r>
      <w:r w:rsidR="004A4904">
        <w:t> </w:t>
      </w:r>
      <w:r w:rsidR="00EA386F" w:rsidRPr="00881324">
        <w:t>marta spriedumā lietā Nr.</w:t>
      </w:r>
      <w:r w:rsidR="004A4904">
        <w:t> </w:t>
      </w:r>
      <w:r w:rsidR="00EA386F" w:rsidRPr="00881324">
        <w:t xml:space="preserve">2016-07-01 jau </w:t>
      </w:r>
      <w:r w:rsidR="00EA386F">
        <w:t xml:space="preserve">ir </w:t>
      </w:r>
      <w:r w:rsidR="00EA386F" w:rsidRPr="00881324">
        <w:t>izvērtēj</w:t>
      </w:r>
      <w:r w:rsidR="00EA386F">
        <w:t>usi</w:t>
      </w:r>
      <w:r w:rsidR="00EA386F" w:rsidRPr="00881324">
        <w:t xml:space="preserve"> tiesisko regulējumu </w:t>
      </w:r>
      <w:r w:rsidR="00D13714">
        <w:t xml:space="preserve">nekustamā īpašuma </w:t>
      </w:r>
      <w:r w:rsidR="00EA386F" w:rsidRPr="00881324">
        <w:t>labticīg</w:t>
      </w:r>
      <w:r w:rsidR="00D13714">
        <w:t>ā</w:t>
      </w:r>
      <w:r w:rsidR="00EA386F" w:rsidRPr="00881324">
        <w:t xml:space="preserve"> ieguvēja kontekstā un atzin</w:t>
      </w:r>
      <w:r w:rsidR="00EA386F">
        <w:t>usi</w:t>
      </w:r>
      <w:r w:rsidR="00EA386F" w:rsidRPr="00881324">
        <w:t xml:space="preserve">, ka likumdevējs </w:t>
      </w:r>
      <w:r w:rsidR="00CD0A61">
        <w:t>ir devis priekšroku cietušā stāvokļa atjaunošanai</w:t>
      </w:r>
      <w:r>
        <w:t>, kāds pastāvējis pirms viņa tiesību aizskāruma</w:t>
      </w:r>
      <w:r w:rsidR="00EA386F" w:rsidRPr="00881324">
        <w:t xml:space="preserve">, savukārt </w:t>
      </w:r>
      <w:r w:rsidR="00D13714">
        <w:t xml:space="preserve">ieguvēja </w:t>
      </w:r>
      <w:r w:rsidR="00EA386F" w:rsidRPr="00881324">
        <w:t>labticīgums</w:t>
      </w:r>
      <w:r>
        <w:t xml:space="preserve"> un tiesīb</w:t>
      </w:r>
      <w:r w:rsidR="00CD0A61">
        <w:t>as</w:t>
      </w:r>
      <w:r>
        <w:t xml:space="preserve"> uz zaudējumu atlīdzināšan</w:t>
      </w:r>
      <w:r w:rsidR="006E7912">
        <w:t>u</w:t>
      </w:r>
      <w:r>
        <w:t xml:space="preserve"> ir</w:t>
      </w:r>
      <w:r w:rsidR="00EA386F" w:rsidRPr="00881324">
        <w:t xml:space="preserve"> </w:t>
      </w:r>
      <w:r>
        <w:t>jāvērtē</w:t>
      </w:r>
      <w:r w:rsidR="00EA386F" w:rsidRPr="00881324">
        <w:t xml:space="preserve"> </w:t>
      </w:r>
      <w:r w:rsidR="004B5185">
        <w:t>C</w:t>
      </w:r>
      <w:r w:rsidR="00EA386F" w:rsidRPr="00881324">
        <w:t>ivilproces</w:t>
      </w:r>
      <w:r w:rsidR="004B5185">
        <w:t>a likumā noteiktajā kārtībā</w:t>
      </w:r>
      <w:r>
        <w:t>.</w:t>
      </w:r>
    </w:p>
    <w:p w14:paraId="6A5E3434" w14:textId="5B343748" w:rsidR="00EA386F" w:rsidRDefault="00EA386F" w:rsidP="00EA386F">
      <w:pPr>
        <w:widowControl w:val="0"/>
        <w:spacing w:line="276" w:lineRule="auto"/>
        <w:ind w:firstLine="720"/>
        <w:jc w:val="both"/>
      </w:pPr>
      <w:r w:rsidRPr="00881324">
        <w:t>Satversmes tiesa</w:t>
      </w:r>
      <w:r>
        <w:t xml:space="preserve"> </w:t>
      </w:r>
      <w:r w:rsidRPr="00881324">
        <w:t>atzin</w:t>
      </w:r>
      <w:r>
        <w:t>usi</w:t>
      </w:r>
      <w:r w:rsidRPr="00881324">
        <w:t xml:space="preserve"> arī to, ka</w:t>
      </w:r>
      <w:r>
        <w:t>: 1)</w:t>
      </w:r>
      <w:r w:rsidR="004A4904">
        <w:t> </w:t>
      </w:r>
      <w:r w:rsidRPr="00881324">
        <w:t>šāds risinājums ir samērīgs</w:t>
      </w:r>
      <w:r>
        <w:t>; 2)</w:t>
      </w:r>
      <w:r w:rsidR="004A4904">
        <w:t> </w:t>
      </w:r>
      <w:r w:rsidRPr="00881324">
        <w:t>leģitīmo mērķi nevar sasniegt ar citiem, personas tiesības mazāk ierobežojošiem līdzekļiem</w:t>
      </w:r>
      <w:r>
        <w:t>; 3)</w:t>
      </w:r>
      <w:r w:rsidR="004A4904">
        <w:t> </w:t>
      </w:r>
      <w:r>
        <w:t>Satversmes tiesas</w:t>
      </w:r>
      <w:r w:rsidRPr="00875868">
        <w:t xml:space="preserve"> uzdevums </w:t>
      </w:r>
      <w:r>
        <w:t>nav</w:t>
      </w:r>
      <w:r w:rsidRPr="00875868">
        <w:t xml:space="preserve"> aizstāt likumdevēja rīcības brīvību ar savu viedokli par racionālāko risinājumu</w:t>
      </w:r>
      <w:r>
        <w:t xml:space="preserve"> (</w:t>
      </w:r>
      <w:r w:rsidRPr="00875868">
        <w:rPr>
          <w:i/>
          <w:iCs/>
        </w:rPr>
        <w:t>sk. sprieduma 24.2. punktu</w:t>
      </w:r>
      <w:r>
        <w:t>).</w:t>
      </w:r>
    </w:p>
    <w:p w14:paraId="6AA87350" w14:textId="1AF48921" w:rsidR="00442206" w:rsidRPr="00875868" w:rsidRDefault="00442206" w:rsidP="00442206">
      <w:pPr>
        <w:widowControl w:val="0"/>
        <w:spacing w:line="276" w:lineRule="auto"/>
        <w:ind w:firstLine="720"/>
        <w:jc w:val="both"/>
      </w:pPr>
      <w:r w:rsidRPr="00442206">
        <w:t xml:space="preserve">Turklāt šajā lietā netika izteiktas </w:t>
      </w:r>
      <w:r w:rsidR="007C62DE">
        <w:t xml:space="preserve">tiesnešu </w:t>
      </w:r>
      <w:r w:rsidRPr="00442206">
        <w:t>atsevišķās domas, kas liecina</w:t>
      </w:r>
      <w:r w:rsidR="002F13A0">
        <w:t xml:space="preserve"> par to</w:t>
      </w:r>
      <w:r w:rsidRPr="00442206">
        <w:t>, ka Satversmes tiesas secinājumi par attiecīgā regulējuma atbilstību Satversmei bija vienprātīgi</w:t>
      </w:r>
      <w:r>
        <w:t>.</w:t>
      </w:r>
    </w:p>
    <w:p w14:paraId="2E2520F4" w14:textId="0F2A75CE" w:rsidR="00D458FA" w:rsidRDefault="007C62DE" w:rsidP="00D977DD">
      <w:pPr>
        <w:widowControl w:val="0"/>
        <w:spacing w:line="276" w:lineRule="auto"/>
        <w:ind w:firstLine="720"/>
        <w:jc w:val="both"/>
      </w:pPr>
      <w:r>
        <w:t xml:space="preserve">[7.2] </w:t>
      </w:r>
      <w:r w:rsidR="00D977DD">
        <w:t>J</w:t>
      </w:r>
      <w:r w:rsidR="00D458FA" w:rsidRPr="00D458FA">
        <w:t xml:space="preserve">a </w:t>
      </w:r>
      <w:r w:rsidR="00D977DD">
        <w:t xml:space="preserve">tiesību </w:t>
      </w:r>
      <w:r w:rsidR="00D458FA" w:rsidRPr="00D458FA">
        <w:t>norma ir jau atzīta par Satversmei atbilstošu, pieteikuma atkārtota iesniegšana</w:t>
      </w:r>
      <w:r w:rsidR="00D458FA">
        <w:t xml:space="preserve"> </w:t>
      </w:r>
      <w:r w:rsidR="00D458FA" w:rsidRPr="00D458FA">
        <w:t xml:space="preserve">pieļaujama tikai tad, ja lieta nav identiska iepriekš izspriestajai (piemēram, cita normas redakcija) vai arī pastāv būtiski jauni apstākļi (piemēram, tiesiskā regulējuma sistēmiska pārveide, jauna starptautisko </w:t>
      </w:r>
      <w:r w:rsidR="00D977DD">
        <w:t xml:space="preserve">tiesu </w:t>
      </w:r>
      <w:r w:rsidR="00D458FA" w:rsidRPr="00D458FA">
        <w:t>judikatūra vai cits būtisks faktiskais/tiesiskais pavērsiens</w:t>
      </w:r>
      <w:r w:rsidR="00D977DD">
        <w:t xml:space="preserve"> (sk.</w:t>
      </w:r>
      <w:r w:rsidR="00D977DD" w:rsidRPr="00D977DD">
        <w:rPr>
          <w:i/>
          <w:iCs/>
        </w:rPr>
        <w:t xml:space="preserve"> Satversmes tiesas likuma 20. panta piektās daļas 4. punktu kopsakarībā ar Satversmes tiesas 2016. gada 29. aprīļa sprieduma lietā Nr. 2015</w:t>
      </w:r>
      <w:r w:rsidR="00D977DD" w:rsidRPr="00D977DD">
        <w:rPr>
          <w:i/>
          <w:iCs/>
        </w:rPr>
        <w:noBreakHyphen/>
        <w:t>19</w:t>
      </w:r>
      <w:r w:rsidR="00D977DD" w:rsidRPr="00D977DD">
        <w:rPr>
          <w:i/>
          <w:iCs/>
        </w:rPr>
        <w:noBreakHyphen/>
        <w:t>01 10.1.–10.5. punktu</w:t>
      </w:r>
      <w:r w:rsidR="00D977DD">
        <w:t>)</w:t>
      </w:r>
      <w:r w:rsidR="00D458FA" w:rsidRPr="00D458FA">
        <w:t>.</w:t>
      </w:r>
    </w:p>
    <w:p w14:paraId="631F7B6A" w14:textId="0C846A06" w:rsidR="00D458FA" w:rsidRDefault="00D458FA" w:rsidP="00D458FA">
      <w:pPr>
        <w:widowControl w:val="0"/>
        <w:spacing w:line="276" w:lineRule="auto"/>
        <w:ind w:firstLine="720"/>
        <w:jc w:val="both"/>
      </w:pPr>
      <w:r>
        <w:t>Izskatāmajā lietā šādi apstākļi nav konstatēti.</w:t>
      </w:r>
    </w:p>
    <w:p w14:paraId="508ABEB9" w14:textId="5E4D2CD0" w:rsidR="00D458FA" w:rsidRDefault="005D0AAC" w:rsidP="005D0AAC">
      <w:pPr>
        <w:spacing w:line="276" w:lineRule="auto"/>
        <w:ind w:firstLine="720"/>
        <w:jc w:val="both"/>
      </w:pPr>
      <w:r>
        <w:t>Kā konstatēts iepriekš, l</w:t>
      </w:r>
      <w:r w:rsidRPr="00CB01DF">
        <w:t xml:space="preserve">ikumdevējs arī pēc Satversmes tiesas sprieduma </w:t>
      </w:r>
      <w:r w:rsidRPr="00881324">
        <w:t>lietā Nr.</w:t>
      </w:r>
      <w:r>
        <w:t> </w:t>
      </w:r>
      <w:r w:rsidRPr="00881324">
        <w:t>2016-07-01</w:t>
      </w:r>
      <w:r>
        <w:t xml:space="preserve"> </w:t>
      </w:r>
      <w:r w:rsidRPr="00CB01DF">
        <w:t>ir saglabājis tādu tiesisko regulējumu, kurā kriminālprocesā prioritāri atjaunojams noziedzīga nodarījuma rezultātā izjauktais tiesiskais stāvoklis.</w:t>
      </w:r>
      <w:r>
        <w:t xml:space="preserve"> Savukārt k</w:t>
      </w:r>
      <w:r w:rsidR="00D458FA" w:rsidRPr="00881324">
        <w:t>asācijas sūdzībā norādītie apsvērumi par to, ka</w:t>
      </w:r>
      <w:r w:rsidR="00D458FA">
        <w:t xml:space="preserve">: 1) kriminālprocesā </w:t>
      </w:r>
      <w:r w:rsidR="00D458FA" w:rsidRPr="00881324">
        <w:t>aizskart</w:t>
      </w:r>
      <w:r w:rsidR="00D458FA">
        <w:t>o mantas īpašnieku</w:t>
      </w:r>
      <w:r w:rsidR="00D458FA" w:rsidRPr="00881324">
        <w:t xml:space="preserve"> </w:t>
      </w:r>
      <w:r w:rsidR="00D458FA">
        <w:t xml:space="preserve">iegūtais </w:t>
      </w:r>
      <w:r w:rsidR="00D458FA" w:rsidRPr="00881324">
        <w:t xml:space="preserve">nekustamais īpašums </w:t>
      </w:r>
      <w:r w:rsidR="00D458FA">
        <w:t>ir</w:t>
      </w:r>
      <w:r w:rsidR="00D458FA" w:rsidRPr="00881324">
        <w:t xml:space="preserve"> vienīgais mājoklis</w:t>
      </w:r>
      <w:r w:rsidR="00D458FA">
        <w:t>; 2) tā</w:t>
      </w:r>
      <w:r w:rsidR="00D458FA" w:rsidRPr="00881324">
        <w:t xml:space="preserve"> zaudēšana </w:t>
      </w:r>
      <w:r w:rsidR="00D458FA">
        <w:t>nodara kaitējumu</w:t>
      </w:r>
      <w:r w:rsidR="00D458FA" w:rsidRPr="00881324">
        <w:t xml:space="preserve"> nepilngadīg</w:t>
      </w:r>
      <w:r w:rsidR="00D458FA">
        <w:t>o</w:t>
      </w:r>
      <w:r w:rsidR="00D458FA" w:rsidRPr="00881324">
        <w:t xml:space="preserve"> bērnu intere</w:t>
      </w:r>
      <w:r w:rsidR="00D458FA">
        <w:t xml:space="preserve">sēm; </w:t>
      </w:r>
      <w:r w:rsidR="00F15C68">
        <w:t>3</w:t>
      </w:r>
      <w:r w:rsidR="00D458FA">
        <w:t>) </w:t>
      </w:r>
      <w:r w:rsidR="00D458FA" w:rsidRPr="00881324">
        <w:t>saglabājas ar šo īpašumu saistītās kredītsaistības, paši par sevi nedod pietiekamu pamatu secināt, ka ir radies jauns</w:t>
      </w:r>
      <w:r w:rsidR="00D458FA">
        <w:t xml:space="preserve"> </w:t>
      </w:r>
      <w:r w:rsidR="00D458FA" w:rsidRPr="00881324">
        <w:t>konstitucionāls jautājums</w:t>
      </w:r>
      <w:r w:rsidR="00D458FA">
        <w:t>, kas atšķirtos no tā, kuru</w:t>
      </w:r>
      <w:r w:rsidR="00D458FA" w:rsidRPr="00881324">
        <w:t xml:space="preserve"> Satversmes tiesa</w:t>
      </w:r>
      <w:r w:rsidR="00D458FA">
        <w:t xml:space="preserve"> jau </w:t>
      </w:r>
      <w:r w:rsidR="006E2CE8">
        <w:t xml:space="preserve">bija </w:t>
      </w:r>
      <w:r w:rsidR="00D458FA">
        <w:t>izvērtējus</w:t>
      </w:r>
      <w:r>
        <w:t>i minētajā spriedumā</w:t>
      </w:r>
      <w:r w:rsidR="00D458FA">
        <w:t>.</w:t>
      </w:r>
    </w:p>
    <w:p w14:paraId="72F402AE" w14:textId="366145BC" w:rsidR="00E5627A" w:rsidRPr="00CD0A61" w:rsidRDefault="00D458FA" w:rsidP="00E5627A">
      <w:pPr>
        <w:widowControl w:val="0"/>
        <w:spacing w:line="276" w:lineRule="auto"/>
        <w:ind w:firstLine="720"/>
        <w:jc w:val="both"/>
      </w:pPr>
      <w:r>
        <w:t xml:space="preserve">Turklāt </w:t>
      </w:r>
      <w:r w:rsidR="00CD0A61" w:rsidRPr="00CD0A61">
        <w:t xml:space="preserve">kopš sprieduma pieņemšanas nav pagājis ilgs laiks, un sabiedriskajās attiecībās vai tiesiskajā </w:t>
      </w:r>
      <w:r w:rsidR="002F13A0">
        <w:t>iekārtā</w:t>
      </w:r>
      <w:r w:rsidR="00CD0A61" w:rsidRPr="00CD0A61">
        <w:t xml:space="preserve"> nav notikušas tādas būtiskas pārmaiņas, kas pašas par sevi radītu pamatu š</w:t>
      </w:r>
      <w:r w:rsidR="004B5185">
        <w:t>ī</w:t>
      </w:r>
      <w:r w:rsidR="00CD0A61" w:rsidRPr="00CD0A61">
        <w:t xml:space="preserve"> jautājuma izvērtēšanai no jauna konstitucionāla aspekta</w:t>
      </w:r>
      <w:r w:rsidR="00E5627A">
        <w:t>.</w:t>
      </w:r>
    </w:p>
    <w:p w14:paraId="16CBCF1C" w14:textId="37061C5F" w:rsidR="00EA386F" w:rsidRDefault="00442206" w:rsidP="00EA386F">
      <w:pPr>
        <w:widowControl w:val="0"/>
        <w:spacing w:line="276" w:lineRule="auto"/>
        <w:ind w:firstLine="720"/>
        <w:jc w:val="both"/>
        <w:rPr>
          <w:i/>
          <w:iCs/>
        </w:rPr>
      </w:pPr>
      <w:r>
        <w:t>[</w:t>
      </w:r>
      <w:r w:rsidR="00A77B59">
        <w:t>7</w:t>
      </w:r>
      <w:r>
        <w:t>.</w:t>
      </w:r>
      <w:r w:rsidR="007C62DE">
        <w:t>3</w:t>
      </w:r>
      <w:r>
        <w:t xml:space="preserve">] </w:t>
      </w:r>
      <w:r w:rsidR="00EA386F">
        <w:t xml:space="preserve">Papildus Senāts norāda, ka </w:t>
      </w:r>
      <w:r w:rsidR="00EA386F" w:rsidRPr="00FA1107">
        <w:t>Satversmes 92.</w:t>
      </w:r>
      <w:r w:rsidR="004A4904">
        <w:t> </w:t>
      </w:r>
      <w:r w:rsidR="00EA386F" w:rsidRPr="00FA1107">
        <w:t>panta trešais teikums ietver vispārēju garantiju</w:t>
      </w:r>
      <w:r w:rsidR="00CD0A61">
        <w:t>, proti,</w:t>
      </w:r>
      <w:r w:rsidR="00EA386F" w:rsidRPr="00FA1107">
        <w:t xml:space="preserve"> ja valsts ir pārkāpusi</w:t>
      </w:r>
      <w:r w:rsidR="00EA386F">
        <w:t xml:space="preserve"> </w:t>
      </w:r>
      <w:r w:rsidR="00EA386F" w:rsidRPr="00FA1107">
        <w:t xml:space="preserve">indivīda tiesības, </w:t>
      </w:r>
      <w:r w:rsidR="00CD0A61">
        <w:t>viņam</w:t>
      </w:r>
      <w:r w:rsidR="00EA386F" w:rsidRPr="00FA1107">
        <w:t xml:space="preserve"> ir tiesības uz at</w:t>
      </w:r>
      <w:r w:rsidR="00CD0A61">
        <w:t>bilstīgu atlīdzinājumu</w:t>
      </w:r>
      <w:r w:rsidR="00EA386F" w:rsidRPr="00FA1107">
        <w:rPr>
          <w:i/>
          <w:iCs/>
        </w:rPr>
        <w:t xml:space="preserve">. </w:t>
      </w:r>
    </w:p>
    <w:p w14:paraId="50A01379" w14:textId="5E177964" w:rsidR="00A31107" w:rsidRDefault="00EA386F" w:rsidP="00EA386F">
      <w:pPr>
        <w:widowControl w:val="0"/>
        <w:spacing w:line="276" w:lineRule="auto"/>
        <w:ind w:firstLine="720"/>
        <w:jc w:val="both"/>
        <w:rPr>
          <w:i/>
          <w:iCs/>
        </w:rPr>
      </w:pPr>
      <w:r w:rsidRPr="00FA1107">
        <w:t>Satversmes 92.</w:t>
      </w:r>
      <w:r>
        <w:t> </w:t>
      </w:r>
      <w:r w:rsidRPr="00FA1107">
        <w:t>pants, tāpat kā jebkura cilvēktiesību norma, ir</w:t>
      </w:r>
      <w:r>
        <w:t xml:space="preserve"> </w:t>
      </w:r>
      <w:r w:rsidRPr="00FA1107">
        <w:t xml:space="preserve">piemērojams tieši un nepastarpināti, tātad, ja </w:t>
      </w:r>
      <w:r w:rsidR="00CD0A61">
        <w:t xml:space="preserve">indivīds </w:t>
      </w:r>
      <w:r w:rsidRPr="00FA1107">
        <w:t>uzskata, ka viņa tiesības ir nepamatoti aizskartas, viņš,</w:t>
      </w:r>
      <w:r>
        <w:t xml:space="preserve"> </w:t>
      </w:r>
      <w:r w:rsidRPr="00FA1107">
        <w:t>atsaucoties tieši uz Satversmes 92.</w:t>
      </w:r>
      <w:r w:rsidR="00A31107">
        <w:t> </w:t>
      </w:r>
      <w:r w:rsidRPr="00FA1107">
        <w:t>panta trešo teikumu, ir tiesīgs vērsties vispārējās jurisdikcijas tiesā ar prasību</w:t>
      </w:r>
      <w:r>
        <w:t xml:space="preserve"> </w:t>
      </w:r>
      <w:r w:rsidRPr="00FA1107">
        <w:t>par atbilstīga atlīdzinājuma piedziņu (</w:t>
      </w:r>
      <w:r w:rsidRPr="00FA1107">
        <w:rPr>
          <w:i/>
          <w:iCs/>
        </w:rPr>
        <w:t>sk. Satversmes tiesas 2001.</w:t>
      </w:r>
      <w:r>
        <w:rPr>
          <w:i/>
          <w:iCs/>
        </w:rPr>
        <w:t> </w:t>
      </w:r>
      <w:r w:rsidRPr="00FA1107">
        <w:rPr>
          <w:i/>
          <w:iCs/>
        </w:rPr>
        <w:t>gada 5.</w:t>
      </w:r>
      <w:r>
        <w:rPr>
          <w:i/>
          <w:iCs/>
        </w:rPr>
        <w:t> </w:t>
      </w:r>
      <w:r w:rsidRPr="00FA1107">
        <w:rPr>
          <w:i/>
          <w:iCs/>
        </w:rPr>
        <w:t>decembra sprieduma lietā Nr.</w:t>
      </w:r>
      <w:r w:rsidR="004A4904">
        <w:rPr>
          <w:i/>
          <w:iCs/>
        </w:rPr>
        <w:t> </w:t>
      </w:r>
      <w:r w:rsidRPr="00FA1107">
        <w:rPr>
          <w:i/>
          <w:iCs/>
        </w:rPr>
        <w:t>2001-07-0103 secinājumu daļas 1.</w:t>
      </w:r>
      <w:r w:rsidR="004A4904">
        <w:rPr>
          <w:i/>
          <w:iCs/>
        </w:rPr>
        <w:t> </w:t>
      </w:r>
      <w:r w:rsidRPr="00FA1107">
        <w:rPr>
          <w:i/>
          <w:iCs/>
        </w:rPr>
        <w:t>punktu</w:t>
      </w:r>
      <w:r w:rsidR="00DB7F85">
        <w:rPr>
          <w:i/>
          <w:iCs/>
        </w:rPr>
        <w:t xml:space="preserve">, </w:t>
      </w:r>
      <w:r w:rsidR="00DB7F85" w:rsidRPr="00DB7F85">
        <w:rPr>
          <w:i/>
          <w:iCs/>
        </w:rPr>
        <w:t>Satversmes tiesas 2017</w:t>
      </w:r>
      <w:r w:rsidR="00CD0803">
        <w:rPr>
          <w:i/>
          <w:iCs/>
        </w:rPr>
        <w:t>. </w:t>
      </w:r>
      <w:r w:rsidR="00DB7F85" w:rsidRPr="00DB7F85">
        <w:rPr>
          <w:i/>
          <w:iCs/>
        </w:rPr>
        <w:t>gada 8.</w:t>
      </w:r>
      <w:r w:rsidR="004A4904">
        <w:rPr>
          <w:i/>
          <w:iCs/>
        </w:rPr>
        <w:t> </w:t>
      </w:r>
      <w:r w:rsidR="00DB7F85" w:rsidRPr="00DB7F85">
        <w:rPr>
          <w:i/>
          <w:iCs/>
        </w:rPr>
        <w:t>marta sprieduma lietā Nr.</w:t>
      </w:r>
      <w:r w:rsidR="004A4904">
        <w:rPr>
          <w:i/>
          <w:iCs/>
        </w:rPr>
        <w:t> </w:t>
      </w:r>
      <w:r w:rsidR="00DB7F85" w:rsidRPr="00DB7F85">
        <w:rPr>
          <w:i/>
          <w:iCs/>
        </w:rPr>
        <w:t>2016-07-01, 24.2. punktu</w:t>
      </w:r>
      <w:r w:rsidRPr="00FA1107">
        <w:t>)</w:t>
      </w:r>
      <w:r w:rsidRPr="00FA1107">
        <w:rPr>
          <w:i/>
          <w:iCs/>
        </w:rPr>
        <w:t>.</w:t>
      </w:r>
    </w:p>
    <w:p w14:paraId="3A60236B" w14:textId="72F8F188" w:rsidR="00CD0A61" w:rsidRDefault="00EA386F" w:rsidP="00EA386F">
      <w:pPr>
        <w:widowControl w:val="0"/>
        <w:spacing w:line="276" w:lineRule="auto"/>
        <w:ind w:firstLine="720"/>
        <w:jc w:val="both"/>
      </w:pPr>
      <w:r w:rsidRPr="00FA1107">
        <w:t>Tādējādi</w:t>
      </w:r>
      <w:r>
        <w:t xml:space="preserve">, ja </w:t>
      </w:r>
      <w:r w:rsidRPr="00FA1107">
        <w:t>valsts iestādes darbības vai bezdarbības rezultāt</w:t>
      </w:r>
      <w:r>
        <w:t xml:space="preserve">ā </w:t>
      </w:r>
      <w:r w:rsidRPr="00FA1107">
        <w:t xml:space="preserve">ir aizskartas </w:t>
      </w:r>
      <w:r>
        <w:t>personas</w:t>
      </w:r>
      <w:r w:rsidRPr="00FA1107">
        <w:t xml:space="preserve"> tiesības, </w:t>
      </w:r>
      <w:r>
        <w:t xml:space="preserve">tā </w:t>
      </w:r>
      <w:r w:rsidRPr="00FA1107">
        <w:t>var vērsties tiesā</w:t>
      </w:r>
      <w:r w:rsidR="00CD0A61">
        <w:t xml:space="preserve"> </w:t>
      </w:r>
      <w:r w:rsidRPr="00FA1107">
        <w:t xml:space="preserve">ar prasību </w:t>
      </w:r>
      <w:r w:rsidR="00CD0A61">
        <w:t xml:space="preserve">pret valsti </w:t>
      </w:r>
      <w:r w:rsidRPr="00FA1107">
        <w:t>par zaudējumu atlīdzināšanu</w:t>
      </w:r>
      <w:r w:rsidR="00CD0A61">
        <w:t xml:space="preserve"> </w:t>
      </w:r>
      <w:r w:rsidR="004B5185">
        <w:t>C</w:t>
      </w:r>
      <w:r w:rsidRPr="00FA1107">
        <w:t>ivilproces</w:t>
      </w:r>
      <w:r w:rsidR="004B5185">
        <w:t>a likumā noteiktajā kārtībā</w:t>
      </w:r>
      <w:r w:rsidRPr="00FA1107">
        <w:t>.</w:t>
      </w:r>
      <w:r>
        <w:t xml:space="preserve"> </w:t>
      </w:r>
    </w:p>
    <w:p w14:paraId="4F593256" w14:textId="61EF9CCF" w:rsidR="007E5280" w:rsidRDefault="002E6EA7" w:rsidP="004B5185">
      <w:pPr>
        <w:spacing w:line="276" w:lineRule="auto"/>
        <w:ind w:firstLine="720"/>
        <w:jc w:val="both"/>
      </w:pPr>
      <w:r w:rsidRPr="002E6EA7">
        <w:lastRenderedPageBreak/>
        <w:t>Konkrētajā gadījumā pamats šāda</w:t>
      </w:r>
      <w:r>
        <w:t>m</w:t>
      </w:r>
      <w:r w:rsidRPr="002E6EA7">
        <w:t xml:space="preserve"> tiesību aizskāruma</w:t>
      </w:r>
      <w:r>
        <w:t>m</w:t>
      </w:r>
      <w:r w:rsidR="007C62DE">
        <w:t>, iespējams,</w:t>
      </w:r>
      <w:r w:rsidRPr="002E6EA7">
        <w:t xml:space="preserve"> varētu tikt saskatīts tajā apstāklī, ka Satversmes tiesa, atzīstot attiecīgo regulējumu par atbilstošu Satversmei, vienlaikus norādīja uz nepieciešamību pilnveidot tiesisko regulējumu,</w:t>
      </w:r>
      <w:r w:rsidR="007C62DE">
        <w:t xml:space="preserve"> norādot, ka likumdevējam </w:t>
      </w:r>
      <w:r w:rsidR="007C62DE" w:rsidRPr="000378E6">
        <w:t>būtu jānodrošina, lai</w:t>
      </w:r>
      <w:r w:rsidR="007C62DE">
        <w:t xml:space="preserve"> </w:t>
      </w:r>
      <w:r w:rsidR="007C62DE" w:rsidRPr="000378E6">
        <w:t xml:space="preserve">trešajai personai – šā </w:t>
      </w:r>
      <w:r w:rsidR="0080284A">
        <w:t xml:space="preserve">nekustamā </w:t>
      </w:r>
      <w:r w:rsidR="007C62DE" w:rsidRPr="000378E6">
        <w:t xml:space="preserve">īpašuma labticīgai ieguvējai </w:t>
      </w:r>
      <w:r w:rsidR="007C62DE">
        <w:t>–</w:t>
      </w:r>
      <w:r w:rsidR="007C62DE" w:rsidRPr="000378E6">
        <w:t xml:space="preserve"> </w:t>
      </w:r>
      <w:r w:rsidR="007C62DE">
        <w:t>būtu</w:t>
      </w:r>
      <w:r w:rsidR="007C62DE" w:rsidRPr="000378E6">
        <w:t xml:space="preserve"> efektīvas iespējas prasīt zaudējumu atlīdzību</w:t>
      </w:r>
      <w:r w:rsidRPr="002E6EA7">
        <w:t xml:space="preserve"> (sk. </w:t>
      </w:r>
      <w:r w:rsidRPr="002E6EA7">
        <w:rPr>
          <w:i/>
          <w:iCs/>
        </w:rPr>
        <w:t>Satversmes tiesas 2017.</w:t>
      </w:r>
      <w:r w:rsidR="004A4904">
        <w:rPr>
          <w:i/>
          <w:iCs/>
        </w:rPr>
        <w:t> </w:t>
      </w:r>
      <w:r w:rsidRPr="002E6EA7">
        <w:rPr>
          <w:i/>
          <w:iCs/>
        </w:rPr>
        <w:t>gada 8.</w:t>
      </w:r>
      <w:r w:rsidR="004A4904">
        <w:rPr>
          <w:i/>
          <w:iCs/>
        </w:rPr>
        <w:t> </w:t>
      </w:r>
      <w:r w:rsidRPr="002E6EA7">
        <w:rPr>
          <w:i/>
          <w:iCs/>
        </w:rPr>
        <w:t>marta sprieduma lietā Nr.</w:t>
      </w:r>
      <w:r w:rsidR="004A4904">
        <w:rPr>
          <w:i/>
          <w:iCs/>
        </w:rPr>
        <w:t> </w:t>
      </w:r>
      <w:r w:rsidRPr="002E6EA7">
        <w:rPr>
          <w:i/>
          <w:iCs/>
        </w:rPr>
        <w:t>2016-07-01 26.</w:t>
      </w:r>
      <w:r w:rsidR="004A4904">
        <w:rPr>
          <w:i/>
          <w:iCs/>
        </w:rPr>
        <w:t> </w:t>
      </w:r>
      <w:r w:rsidRPr="002E6EA7">
        <w:rPr>
          <w:i/>
          <w:iCs/>
        </w:rPr>
        <w:t>punktu</w:t>
      </w:r>
      <w:r w:rsidR="0080284A">
        <w:t>).</w:t>
      </w:r>
      <w:r w:rsidR="004B5185">
        <w:t xml:space="preserve"> Tādēļ</w:t>
      </w:r>
      <w:r w:rsidR="007E5280" w:rsidRPr="007E5280">
        <w:t xml:space="preserve">, ja indivīds uzskata, ka valsts šo pienākumu nav izpildījusi pienācīgi, viņš var vērsties tiesā ar prasību pret valsti par atbilstīgu atlīdzinājumu </w:t>
      </w:r>
      <w:r w:rsidR="00B96D31">
        <w:t>C</w:t>
      </w:r>
      <w:r w:rsidR="007E5280" w:rsidRPr="007E5280">
        <w:t>ivilprocesa</w:t>
      </w:r>
      <w:r w:rsidR="00B96D31">
        <w:t xml:space="preserve"> likumā noteiktajā</w:t>
      </w:r>
      <w:r w:rsidR="007E5280" w:rsidRPr="007E5280">
        <w:t xml:space="preserve"> kārtībā.</w:t>
      </w:r>
    </w:p>
    <w:p w14:paraId="3F1D29E2" w14:textId="77777777" w:rsidR="004A4904" w:rsidRDefault="004A4904" w:rsidP="00E4633A">
      <w:pPr>
        <w:spacing w:line="276" w:lineRule="auto"/>
        <w:ind w:firstLine="720"/>
        <w:jc w:val="both"/>
      </w:pPr>
    </w:p>
    <w:p w14:paraId="676CEFFB" w14:textId="272863B4" w:rsidR="004A4904" w:rsidRDefault="004A4904" w:rsidP="004A4904">
      <w:pPr>
        <w:spacing w:line="276" w:lineRule="auto"/>
        <w:ind w:firstLine="720"/>
        <w:jc w:val="both"/>
      </w:pPr>
      <w:r>
        <w:t>[8] Ievērojot minēto apsvērumu kopumu, Senāts atzīst, ka Rīgas apgabaltiesas 2025. gada 9. decembra spriedums ir atstājams negrozīts, bet</w:t>
      </w:r>
      <w:r w:rsidR="00170F7C">
        <w:t xml:space="preserve"> </w:t>
      </w:r>
      <w:r w:rsidR="00DD7697">
        <w:t xml:space="preserve">kriminālprocesā </w:t>
      </w:r>
      <w:r w:rsidR="00170F7C" w:rsidRPr="00EA386F">
        <w:t>aizskart</w:t>
      </w:r>
      <w:r w:rsidR="00170F7C">
        <w:t>o</w:t>
      </w:r>
      <w:r w:rsidR="00170F7C" w:rsidRPr="00EA386F">
        <w:t xml:space="preserve"> mantas īpašnieku </w:t>
      </w:r>
      <w:r w:rsidR="0073146D">
        <w:t>[pers. A]</w:t>
      </w:r>
      <w:r w:rsidR="00170F7C" w:rsidRPr="00EA386F">
        <w:t xml:space="preserve"> un </w:t>
      </w:r>
      <w:r w:rsidR="0073146D">
        <w:t>[pers. B]</w:t>
      </w:r>
      <w:r w:rsidR="00170F7C" w:rsidRPr="00EA386F">
        <w:t xml:space="preserve"> </w:t>
      </w:r>
      <w:r w:rsidR="00170F7C">
        <w:t xml:space="preserve">un viņu </w:t>
      </w:r>
      <w:r w:rsidR="00170F7C" w:rsidRPr="00EA386F">
        <w:t>pārstāvja J</w:t>
      </w:r>
      <w:r w:rsidR="00170F7C">
        <w:t>. </w:t>
      </w:r>
      <w:proofErr w:type="spellStart"/>
      <w:r w:rsidR="00170F7C" w:rsidRPr="00EA386F">
        <w:t>Pušpura</w:t>
      </w:r>
      <w:proofErr w:type="spellEnd"/>
      <w:r w:rsidR="00CD0803">
        <w:t xml:space="preserve"> </w:t>
      </w:r>
      <w:r w:rsidR="00170F7C">
        <w:t>kasācijas sūdzība ir noraidāma.</w:t>
      </w:r>
    </w:p>
    <w:p w14:paraId="12CBFC44" w14:textId="54A47F08" w:rsidR="00447EE6" w:rsidRPr="00847F44" w:rsidRDefault="00EA386F" w:rsidP="00CD0A61">
      <w:pPr>
        <w:shd w:val="clear" w:color="auto" w:fill="FFFFFF"/>
        <w:spacing w:before="360" w:after="360" w:line="276" w:lineRule="auto"/>
        <w:jc w:val="center"/>
        <w:rPr>
          <w:b/>
        </w:rPr>
      </w:pPr>
      <w:r>
        <w:rPr>
          <w:b/>
        </w:rPr>
        <w:t>R</w:t>
      </w:r>
      <w:r w:rsidR="00447EE6" w:rsidRPr="00847F44">
        <w:rPr>
          <w:b/>
        </w:rPr>
        <w:t xml:space="preserve">ezolutīvā daļa </w:t>
      </w:r>
    </w:p>
    <w:p w14:paraId="30645C58" w14:textId="73D321EF" w:rsidR="0084599C" w:rsidRDefault="0084599C" w:rsidP="0084599C">
      <w:pPr>
        <w:spacing w:line="276" w:lineRule="auto"/>
        <w:ind w:firstLine="720"/>
        <w:jc w:val="both"/>
      </w:pPr>
      <w:r w:rsidRPr="00F765F8">
        <w:t>Pamatojoties uz Kriminālprocesa likuma 585. pantu un 587. panta pirmās daļas 1. punktu, Senāts</w:t>
      </w:r>
    </w:p>
    <w:p w14:paraId="369988FB" w14:textId="153758D0" w:rsidR="00447EE6" w:rsidRDefault="00447EE6" w:rsidP="00177A7F">
      <w:pPr>
        <w:shd w:val="clear" w:color="auto" w:fill="FFFFFF"/>
        <w:spacing w:line="276" w:lineRule="auto"/>
        <w:ind w:firstLine="720"/>
        <w:jc w:val="both"/>
      </w:pPr>
    </w:p>
    <w:p w14:paraId="297C80CD" w14:textId="55C9658A" w:rsidR="00447EE6" w:rsidRDefault="00447EE6" w:rsidP="00177A7F">
      <w:pPr>
        <w:shd w:val="clear" w:color="auto" w:fill="FFFFFF"/>
        <w:spacing w:line="276" w:lineRule="auto"/>
        <w:contextualSpacing/>
        <w:jc w:val="center"/>
        <w:rPr>
          <w:b/>
        </w:rPr>
      </w:pPr>
      <w:r w:rsidRPr="00A53E41">
        <w:rPr>
          <w:b/>
        </w:rPr>
        <w:t>no</w:t>
      </w:r>
      <w:r w:rsidR="0084599C">
        <w:rPr>
          <w:b/>
        </w:rPr>
        <w:t>lēma</w:t>
      </w:r>
    </w:p>
    <w:p w14:paraId="28660F9E" w14:textId="77777777" w:rsidR="00447EE6" w:rsidRDefault="00447EE6" w:rsidP="006E5B90">
      <w:pPr>
        <w:shd w:val="clear" w:color="auto" w:fill="FFFFFF"/>
        <w:spacing w:line="276" w:lineRule="auto"/>
        <w:contextualSpacing/>
        <w:jc w:val="center"/>
        <w:rPr>
          <w:b/>
        </w:rPr>
      </w:pPr>
    </w:p>
    <w:p w14:paraId="06EA6DA8" w14:textId="3C2D0D4F" w:rsidR="00EA386F" w:rsidRPr="00A53E41" w:rsidRDefault="00170F7C" w:rsidP="00BB78EE">
      <w:pPr>
        <w:spacing w:before="360" w:line="276" w:lineRule="auto"/>
        <w:ind w:firstLine="720"/>
        <w:contextualSpacing/>
        <w:jc w:val="both"/>
        <w:rPr>
          <w:b/>
        </w:rPr>
      </w:pPr>
      <w:r>
        <w:t xml:space="preserve">atstāt negrozītu </w:t>
      </w:r>
      <w:r w:rsidR="00EA386F" w:rsidRPr="00EA386F">
        <w:t xml:space="preserve">Rīgas apgabaltiesas 2025. gada 9. decembra spriedumu, bet </w:t>
      </w:r>
      <w:r w:rsidR="00DD7697">
        <w:t xml:space="preserve">kriminālprocesā </w:t>
      </w:r>
      <w:r w:rsidR="004A4904" w:rsidRPr="00EA386F">
        <w:t>aizskart</w:t>
      </w:r>
      <w:r w:rsidR="004A4904">
        <w:t>o</w:t>
      </w:r>
      <w:r w:rsidR="004A4904" w:rsidRPr="00EA386F">
        <w:t xml:space="preserve"> </w:t>
      </w:r>
      <w:r w:rsidR="00EA386F" w:rsidRPr="00EA386F">
        <w:t xml:space="preserve">mantas īpašnieku </w:t>
      </w:r>
      <w:r w:rsidR="0073146D">
        <w:t>[pers. A]</w:t>
      </w:r>
      <w:r w:rsidR="00EA386F" w:rsidRPr="00EA386F">
        <w:t xml:space="preserve"> un </w:t>
      </w:r>
      <w:r w:rsidR="0073146D">
        <w:t>[pers. B]</w:t>
      </w:r>
      <w:r w:rsidR="00EA386F" w:rsidRPr="00EA386F">
        <w:t xml:space="preserve"> </w:t>
      </w:r>
      <w:r>
        <w:t xml:space="preserve">un viņu </w:t>
      </w:r>
      <w:r w:rsidR="00EA386F" w:rsidRPr="00EA386F">
        <w:t xml:space="preserve">pārstāvja zvērināta advokāta Jāņa </w:t>
      </w:r>
      <w:proofErr w:type="spellStart"/>
      <w:r w:rsidR="00EA386F" w:rsidRPr="00EA386F">
        <w:t>Pušpura</w:t>
      </w:r>
      <w:proofErr w:type="spellEnd"/>
      <w:r w:rsidR="00EA386F" w:rsidRPr="00EA386F">
        <w:t xml:space="preserve"> kasācijas sūdzību noraidīt.</w:t>
      </w:r>
    </w:p>
    <w:p w14:paraId="2F7C4CBE" w14:textId="77777777" w:rsidR="00B96D31" w:rsidRDefault="00B96D31" w:rsidP="00FB16DB">
      <w:pPr>
        <w:spacing w:line="276" w:lineRule="auto"/>
        <w:jc w:val="both"/>
      </w:pPr>
    </w:p>
    <w:p w14:paraId="049D1CB4" w14:textId="27645B9A" w:rsidR="00447EE6" w:rsidRPr="005E392D" w:rsidRDefault="0084599C" w:rsidP="0073146D">
      <w:pPr>
        <w:spacing w:line="276" w:lineRule="auto"/>
        <w:ind w:firstLine="720"/>
        <w:jc w:val="both"/>
      </w:pPr>
      <w:r w:rsidRPr="00F765F8">
        <w:t>Lēmums nav pārsūdzams.</w:t>
      </w:r>
    </w:p>
    <w:sectPr w:rsidR="00447EE6" w:rsidRPr="005E392D" w:rsidSect="00E044C5">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8CF1" w14:textId="77777777" w:rsidR="008707FC" w:rsidRDefault="008707FC" w:rsidP="00440A85">
      <w:r>
        <w:separator/>
      </w:r>
    </w:p>
  </w:endnote>
  <w:endnote w:type="continuationSeparator" w:id="0">
    <w:p w14:paraId="0D52C2B6" w14:textId="77777777" w:rsidR="008707FC" w:rsidRDefault="008707FC" w:rsidP="0044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74351"/>
      <w:docPartObj>
        <w:docPartGallery w:val="Page Numbers (Bottom of Page)"/>
        <w:docPartUnique/>
      </w:docPartObj>
    </w:sdtPr>
    <w:sdtEndPr/>
    <w:sdtContent>
      <w:sdt>
        <w:sdtPr>
          <w:id w:val="1728636285"/>
          <w:docPartObj>
            <w:docPartGallery w:val="Page Numbers (Top of Page)"/>
            <w:docPartUnique/>
          </w:docPartObj>
        </w:sdtPr>
        <w:sdtEndPr/>
        <w:sdtContent>
          <w:p w14:paraId="1AB18589" w14:textId="53A5AB9A" w:rsidR="00440A85" w:rsidRDefault="00440A85">
            <w:pPr>
              <w:pStyle w:val="Footer"/>
              <w:jc w:val="center"/>
            </w:pPr>
            <w:r w:rsidRPr="00440A85">
              <w:rPr>
                <w:sz w:val="20"/>
                <w:szCs w:val="20"/>
              </w:rPr>
              <w:fldChar w:fldCharType="begin"/>
            </w:r>
            <w:r w:rsidRPr="00440A85">
              <w:rPr>
                <w:sz w:val="20"/>
                <w:szCs w:val="20"/>
              </w:rPr>
              <w:instrText xml:space="preserve"> PAGE </w:instrText>
            </w:r>
            <w:r w:rsidRPr="00440A85">
              <w:rPr>
                <w:sz w:val="20"/>
                <w:szCs w:val="20"/>
              </w:rPr>
              <w:fldChar w:fldCharType="separate"/>
            </w:r>
            <w:r w:rsidRPr="00440A85">
              <w:rPr>
                <w:noProof/>
                <w:sz w:val="20"/>
                <w:szCs w:val="20"/>
              </w:rPr>
              <w:t>2</w:t>
            </w:r>
            <w:r w:rsidRPr="00440A85">
              <w:rPr>
                <w:sz w:val="20"/>
                <w:szCs w:val="20"/>
              </w:rPr>
              <w:fldChar w:fldCharType="end"/>
            </w:r>
            <w:r w:rsidRPr="00440A85">
              <w:rPr>
                <w:sz w:val="20"/>
                <w:szCs w:val="20"/>
              </w:rPr>
              <w:t xml:space="preserve"> no </w:t>
            </w:r>
            <w:r w:rsidRPr="00440A85">
              <w:rPr>
                <w:sz w:val="20"/>
                <w:szCs w:val="20"/>
              </w:rPr>
              <w:fldChar w:fldCharType="begin"/>
            </w:r>
            <w:r w:rsidRPr="00440A85">
              <w:rPr>
                <w:sz w:val="20"/>
                <w:szCs w:val="20"/>
              </w:rPr>
              <w:instrText xml:space="preserve"> NUMPAGES  </w:instrText>
            </w:r>
            <w:r w:rsidRPr="00440A85">
              <w:rPr>
                <w:sz w:val="20"/>
                <w:szCs w:val="20"/>
              </w:rPr>
              <w:fldChar w:fldCharType="separate"/>
            </w:r>
            <w:r w:rsidRPr="00440A85">
              <w:rPr>
                <w:noProof/>
                <w:sz w:val="20"/>
                <w:szCs w:val="20"/>
              </w:rPr>
              <w:t>2</w:t>
            </w:r>
            <w:r w:rsidRPr="00440A85">
              <w:rPr>
                <w:sz w:val="20"/>
                <w:szCs w:val="20"/>
              </w:rPr>
              <w:fldChar w:fldCharType="end"/>
            </w:r>
          </w:p>
        </w:sdtContent>
      </w:sdt>
    </w:sdtContent>
  </w:sdt>
  <w:p w14:paraId="6307CC39" w14:textId="77777777" w:rsidR="00440A85" w:rsidRDefault="00440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8AE6" w14:textId="77777777" w:rsidR="008707FC" w:rsidRDefault="008707FC" w:rsidP="00440A85">
      <w:r>
        <w:separator/>
      </w:r>
    </w:p>
  </w:footnote>
  <w:footnote w:type="continuationSeparator" w:id="0">
    <w:p w14:paraId="06ADC7AB" w14:textId="77777777" w:rsidR="008707FC" w:rsidRDefault="008707FC" w:rsidP="00440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AC"/>
    <w:multiLevelType w:val="hybridMultilevel"/>
    <w:tmpl w:val="99C4599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82FB1"/>
    <w:multiLevelType w:val="multilevel"/>
    <w:tmpl w:val="B362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E76AE"/>
    <w:multiLevelType w:val="hybridMultilevel"/>
    <w:tmpl w:val="751085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4" w15:restartNumberingAfterBreak="0">
    <w:nsid w:val="170727D4"/>
    <w:multiLevelType w:val="hybridMultilevel"/>
    <w:tmpl w:val="457E61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CB0B68"/>
    <w:multiLevelType w:val="multilevel"/>
    <w:tmpl w:val="8AF4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582414"/>
    <w:multiLevelType w:val="hybridMultilevel"/>
    <w:tmpl w:val="5C048210"/>
    <w:lvl w:ilvl="0" w:tplc="E38CF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DE02F7"/>
    <w:multiLevelType w:val="hybridMultilevel"/>
    <w:tmpl w:val="92E4CB78"/>
    <w:lvl w:ilvl="0" w:tplc="7F5C6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B62EBA"/>
    <w:multiLevelType w:val="hybridMultilevel"/>
    <w:tmpl w:val="D70A2876"/>
    <w:lvl w:ilvl="0" w:tplc="395CE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914EB7"/>
    <w:multiLevelType w:val="hybridMultilevel"/>
    <w:tmpl w:val="FAC85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C3282D"/>
    <w:multiLevelType w:val="hybridMultilevel"/>
    <w:tmpl w:val="11D213EA"/>
    <w:lvl w:ilvl="0" w:tplc="9790D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0880893">
    <w:abstractNumId w:val="3"/>
  </w:num>
  <w:num w:numId="2" w16cid:durableId="800222635">
    <w:abstractNumId w:val="9"/>
  </w:num>
  <w:num w:numId="3" w16cid:durableId="376512121">
    <w:abstractNumId w:val="10"/>
  </w:num>
  <w:num w:numId="4" w16cid:durableId="1948736024">
    <w:abstractNumId w:val="0"/>
  </w:num>
  <w:num w:numId="5" w16cid:durableId="1253974776">
    <w:abstractNumId w:val="7"/>
  </w:num>
  <w:num w:numId="6" w16cid:durableId="2131511698">
    <w:abstractNumId w:val="5"/>
  </w:num>
  <w:num w:numId="7" w16cid:durableId="516507976">
    <w:abstractNumId w:val="4"/>
  </w:num>
  <w:num w:numId="8" w16cid:durableId="847908388">
    <w:abstractNumId w:val="8"/>
  </w:num>
  <w:num w:numId="9" w16cid:durableId="376248777">
    <w:abstractNumId w:val="1"/>
  </w:num>
  <w:num w:numId="10" w16cid:durableId="1288511176">
    <w:abstractNumId w:val="2"/>
  </w:num>
  <w:num w:numId="11" w16cid:durableId="788553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BA7"/>
    <w:rsid w:val="0000572B"/>
    <w:rsid w:val="00006851"/>
    <w:rsid w:val="00006F08"/>
    <w:rsid w:val="000245E3"/>
    <w:rsid w:val="000250AA"/>
    <w:rsid w:val="0003330E"/>
    <w:rsid w:val="0004689D"/>
    <w:rsid w:val="00046F20"/>
    <w:rsid w:val="00050068"/>
    <w:rsid w:val="00065E35"/>
    <w:rsid w:val="000F158F"/>
    <w:rsid w:val="00112F57"/>
    <w:rsid w:val="00122C67"/>
    <w:rsid w:val="00155664"/>
    <w:rsid w:val="00156D01"/>
    <w:rsid w:val="00161BB2"/>
    <w:rsid w:val="00170F7C"/>
    <w:rsid w:val="00177A7F"/>
    <w:rsid w:val="00180E00"/>
    <w:rsid w:val="00184F11"/>
    <w:rsid w:val="001860A4"/>
    <w:rsid w:val="0019459A"/>
    <w:rsid w:val="001A1324"/>
    <w:rsid w:val="001A23D6"/>
    <w:rsid w:val="001D55DD"/>
    <w:rsid w:val="001E0FBA"/>
    <w:rsid w:val="001F717A"/>
    <w:rsid w:val="00244C61"/>
    <w:rsid w:val="002678A6"/>
    <w:rsid w:val="002905EB"/>
    <w:rsid w:val="002937A4"/>
    <w:rsid w:val="002C33D6"/>
    <w:rsid w:val="002D13F4"/>
    <w:rsid w:val="002D1C46"/>
    <w:rsid w:val="002E6EA7"/>
    <w:rsid w:val="002F13A0"/>
    <w:rsid w:val="002F6C1E"/>
    <w:rsid w:val="002F70D4"/>
    <w:rsid w:val="0030210D"/>
    <w:rsid w:val="0030294F"/>
    <w:rsid w:val="00305940"/>
    <w:rsid w:val="00312C34"/>
    <w:rsid w:val="00321BF6"/>
    <w:rsid w:val="00323306"/>
    <w:rsid w:val="0033550C"/>
    <w:rsid w:val="00346AC9"/>
    <w:rsid w:val="00360E2C"/>
    <w:rsid w:val="00361634"/>
    <w:rsid w:val="003D1296"/>
    <w:rsid w:val="003D675D"/>
    <w:rsid w:val="003F407C"/>
    <w:rsid w:val="00402955"/>
    <w:rsid w:val="00415480"/>
    <w:rsid w:val="00440A85"/>
    <w:rsid w:val="00442206"/>
    <w:rsid w:val="0044782D"/>
    <w:rsid w:val="00447EE6"/>
    <w:rsid w:val="004512BE"/>
    <w:rsid w:val="00455076"/>
    <w:rsid w:val="004604BC"/>
    <w:rsid w:val="0048500B"/>
    <w:rsid w:val="004852F1"/>
    <w:rsid w:val="00485947"/>
    <w:rsid w:val="004A044E"/>
    <w:rsid w:val="004A3E36"/>
    <w:rsid w:val="004A4904"/>
    <w:rsid w:val="004B2A94"/>
    <w:rsid w:val="004B451C"/>
    <w:rsid w:val="004B5185"/>
    <w:rsid w:val="004D432B"/>
    <w:rsid w:val="004F7AEC"/>
    <w:rsid w:val="00540E41"/>
    <w:rsid w:val="00547C02"/>
    <w:rsid w:val="00555F66"/>
    <w:rsid w:val="00557D34"/>
    <w:rsid w:val="0056399A"/>
    <w:rsid w:val="00567597"/>
    <w:rsid w:val="00567624"/>
    <w:rsid w:val="00584634"/>
    <w:rsid w:val="005A126E"/>
    <w:rsid w:val="005D0AAC"/>
    <w:rsid w:val="005D427F"/>
    <w:rsid w:val="005E6D50"/>
    <w:rsid w:val="005F0BF6"/>
    <w:rsid w:val="0061167F"/>
    <w:rsid w:val="00622281"/>
    <w:rsid w:val="006225E2"/>
    <w:rsid w:val="006266C1"/>
    <w:rsid w:val="00656CDA"/>
    <w:rsid w:val="0067291B"/>
    <w:rsid w:val="006814BA"/>
    <w:rsid w:val="006A7086"/>
    <w:rsid w:val="006B5D8E"/>
    <w:rsid w:val="006C2CAE"/>
    <w:rsid w:val="006C720A"/>
    <w:rsid w:val="006E1796"/>
    <w:rsid w:val="006E2CE8"/>
    <w:rsid w:val="006E5B90"/>
    <w:rsid w:val="006E7912"/>
    <w:rsid w:val="00706374"/>
    <w:rsid w:val="00712B3C"/>
    <w:rsid w:val="007133FA"/>
    <w:rsid w:val="0071542F"/>
    <w:rsid w:val="00717A8B"/>
    <w:rsid w:val="0073146D"/>
    <w:rsid w:val="007358D5"/>
    <w:rsid w:val="007454A8"/>
    <w:rsid w:val="007A3C25"/>
    <w:rsid w:val="007A5FA1"/>
    <w:rsid w:val="007A6559"/>
    <w:rsid w:val="007A7935"/>
    <w:rsid w:val="007B7084"/>
    <w:rsid w:val="007C62DE"/>
    <w:rsid w:val="007D287F"/>
    <w:rsid w:val="007E5280"/>
    <w:rsid w:val="007F6625"/>
    <w:rsid w:val="0080284A"/>
    <w:rsid w:val="00802BA1"/>
    <w:rsid w:val="008140AD"/>
    <w:rsid w:val="00815451"/>
    <w:rsid w:val="008262C4"/>
    <w:rsid w:val="0084599C"/>
    <w:rsid w:val="008513CA"/>
    <w:rsid w:val="00852D7D"/>
    <w:rsid w:val="00853B15"/>
    <w:rsid w:val="00862F2D"/>
    <w:rsid w:val="008707FC"/>
    <w:rsid w:val="00873EF3"/>
    <w:rsid w:val="008B5D97"/>
    <w:rsid w:val="008D24BB"/>
    <w:rsid w:val="008D3381"/>
    <w:rsid w:val="008E3182"/>
    <w:rsid w:val="008F0317"/>
    <w:rsid w:val="00921CBB"/>
    <w:rsid w:val="00952742"/>
    <w:rsid w:val="00974F9E"/>
    <w:rsid w:val="00984BD2"/>
    <w:rsid w:val="00985E0B"/>
    <w:rsid w:val="00986134"/>
    <w:rsid w:val="00991B5C"/>
    <w:rsid w:val="009A4AD5"/>
    <w:rsid w:val="009A79E6"/>
    <w:rsid w:val="009C392B"/>
    <w:rsid w:val="009D2AAB"/>
    <w:rsid w:val="009D6548"/>
    <w:rsid w:val="009E57C2"/>
    <w:rsid w:val="009F16D0"/>
    <w:rsid w:val="009F2BF5"/>
    <w:rsid w:val="009F54C3"/>
    <w:rsid w:val="00A05CEC"/>
    <w:rsid w:val="00A31107"/>
    <w:rsid w:val="00A62C22"/>
    <w:rsid w:val="00A77B59"/>
    <w:rsid w:val="00A927CE"/>
    <w:rsid w:val="00AD2435"/>
    <w:rsid w:val="00B039D8"/>
    <w:rsid w:val="00B17F43"/>
    <w:rsid w:val="00B37CD7"/>
    <w:rsid w:val="00B54F4B"/>
    <w:rsid w:val="00B62F4F"/>
    <w:rsid w:val="00B96D31"/>
    <w:rsid w:val="00BA3052"/>
    <w:rsid w:val="00BA4BB1"/>
    <w:rsid w:val="00BB1AB1"/>
    <w:rsid w:val="00BB223A"/>
    <w:rsid w:val="00BB78EE"/>
    <w:rsid w:val="00BD6C83"/>
    <w:rsid w:val="00C37527"/>
    <w:rsid w:val="00C5023B"/>
    <w:rsid w:val="00C60316"/>
    <w:rsid w:val="00C63A63"/>
    <w:rsid w:val="00C74FDB"/>
    <w:rsid w:val="00C80DB1"/>
    <w:rsid w:val="00C91B81"/>
    <w:rsid w:val="00CB01DF"/>
    <w:rsid w:val="00CC6797"/>
    <w:rsid w:val="00CD0803"/>
    <w:rsid w:val="00CD0A61"/>
    <w:rsid w:val="00CD213B"/>
    <w:rsid w:val="00CE01DF"/>
    <w:rsid w:val="00CF7FF4"/>
    <w:rsid w:val="00D13714"/>
    <w:rsid w:val="00D42383"/>
    <w:rsid w:val="00D4574A"/>
    <w:rsid w:val="00D458FA"/>
    <w:rsid w:val="00D50EBF"/>
    <w:rsid w:val="00D530C3"/>
    <w:rsid w:val="00D56BFA"/>
    <w:rsid w:val="00D7145D"/>
    <w:rsid w:val="00D870D8"/>
    <w:rsid w:val="00D977DD"/>
    <w:rsid w:val="00DA3E3E"/>
    <w:rsid w:val="00DB7F85"/>
    <w:rsid w:val="00DD7697"/>
    <w:rsid w:val="00E044C5"/>
    <w:rsid w:val="00E0604B"/>
    <w:rsid w:val="00E135E5"/>
    <w:rsid w:val="00E16DE0"/>
    <w:rsid w:val="00E35CB3"/>
    <w:rsid w:val="00E36F03"/>
    <w:rsid w:val="00E4633A"/>
    <w:rsid w:val="00E5627A"/>
    <w:rsid w:val="00E57EB8"/>
    <w:rsid w:val="00E6346E"/>
    <w:rsid w:val="00E6622D"/>
    <w:rsid w:val="00E71391"/>
    <w:rsid w:val="00E84E0F"/>
    <w:rsid w:val="00EA386F"/>
    <w:rsid w:val="00EA6FF7"/>
    <w:rsid w:val="00EC2643"/>
    <w:rsid w:val="00EC35C2"/>
    <w:rsid w:val="00EF1A18"/>
    <w:rsid w:val="00EF22B3"/>
    <w:rsid w:val="00EF2DFF"/>
    <w:rsid w:val="00EF33E7"/>
    <w:rsid w:val="00EF38B4"/>
    <w:rsid w:val="00F045DE"/>
    <w:rsid w:val="00F10406"/>
    <w:rsid w:val="00F15C68"/>
    <w:rsid w:val="00F21371"/>
    <w:rsid w:val="00F36D92"/>
    <w:rsid w:val="00F51445"/>
    <w:rsid w:val="00F9276D"/>
    <w:rsid w:val="00FA1B20"/>
    <w:rsid w:val="00FA64F3"/>
    <w:rsid w:val="00FB06DB"/>
    <w:rsid w:val="00FB16DB"/>
    <w:rsid w:val="00FB2C4E"/>
    <w:rsid w:val="00FB5C68"/>
    <w:rsid w:val="00FC46B8"/>
    <w:rsid w:val="00FE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customStyle="1" w:styleId="CharStyle10">
    <w:name w:val="Char Style 10"/>
    <w:link w:val="Style2"/>
    <w:uiPriority w:val="99"/>
    <w:unhideWhenUsed/>
    <w:rsid w:val="007F6625"/>
    <w:rPr>
      <w:rFonts w:eastAsia="Times New Roman"/>
      <w:color w:val="262626"/>
      <w:shd w:val="clear" w:color="auto" w:fill="FFFFFF"/>
      <w:lang w:eastAsia="lv-LV"/>
    </w:rPr>
  </w:style>
  <w:style w:type="paragraph" w:customStyle="1" w:styleId="Style2">
    <w:name w:val="Style 2"/>
    <w:basedOn w:val="Normal"/>
    <w:link w:val="CharStyle10"/>
    <w:uiPriority w:val="99"/>
    <w:qFormat/>
    <w:rsid w:val="007F6625"/>
    <w:pPr>
      <w:widowControl w:val="0"/>
      <w:shd w:val="clear" w:color="auto" w:fill="FFFFFF"/>
      <w:spacing w:before="260" w:after="260" w:line="244" w:lineRule="exact"/>
      <w:ind w:hanging="360"/>
    </w:pPr>
    <w:rPr>
      <w:rFonts w:cstheme="minorBidi"/>
      <w:color w:val="262626"/>
      <w:szCs w:val="22"/>
      <w:lang w:val="en-US" w:eastAsia="lv-LV"/>
    </w:rPr>
  </w:style>
  <w:style w:type="paragraph" w:styleId="ListParagraph">
    <w:name w:val="List Paragraph"/>
    <w:basedOn w:val="Normal"/>
    <w:uiPriority w:val="34"/>
    <w:qFormat/>
    <w:rsid w:val="007F6625"/>
    <w:pPr>
      <w:ind w:left="720"/>
      <w:contextualSpacing/>
    </w:pPr>
  </w:style>
  <w:style w:type="character" w:styleId="Hyperlink">
    <w:name w:val="Hyperlink"/>
    <w:basedOn w:val="DefaultParagraphFont"/>
    <w:uiPriority w:val="99"/>
    <w:unhideWhenUsed/>
    <w:rsid w:val="00EA386F"/>
    <w:rPr>
      <w:color w:val="0563C1" w:themeColor="hyperlink"/>
      <w:u w:val="single"/>
    </w:rPr>
  </w:style>
  <w:style w:type="character" w:styleId="CommentReference">
    <w:name w:val="annotation reference"/>
    <w:basedOn w:val="DefaultParagraphFont"/>
    <w:uiPriority w:val="99"/>
    <w:semiHidden/>
    <w:unhideWhenUsed/>
    <w:rsid w:val="00CC6797"/>
    <w:rPr>
      <w:sz w:val="16"/>
      <w:szCs w:val="16"/>
    </w:rPr>
  </w:style>
  <w:style w:type="paragraph" w:styleId="CommentText">
    <w:name w:val="annotation text"/>
    <w:basedOn w:val="Normal"/>
    <w:link w:val="CommentTextChar"/>
    <w:uiPriority w:val="99"/>
    <w:unhideWhenUsed/>
    <w:rsid w:val="00CC6797"/>
    <w:rPr>
      <w:sz w:val="20"/>
      <w:szCs w:val="20"/>
    </w:rPr>
  </w:style>
  <w:style w:type="character" w:customStyle="1" w:styleId="CommentTextChar">
    <w:name w:val="Comment Text Char"/>
    <w:basedOn w:val="DefaultParagraphFont"/>
    <w:link w:val="CommentText"/>
    <w:uiPriority w:val="99"/>
    <w:rsid w:val="00CC679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C6797"/>
    <w:rPr>
      <w:b/>
      <w:bCs/>
    </w:rPr>
  </w:style>
  <w:style w:type="character" w:customStyle="1" w:styleId="CommentSubjectChar">
    <w:name w:val="Comment Subject Char"/>
    <w:basedOn w:val="CommentTextChar"/>
    <w:link w:val="CommentSubject"/>
    <w:uiPriority w:val="99"/>
    <w:semiHidden/>
    <w:rsid w:val="00CC6797"/>
    <w:rPr>
      <w:rFonts w:eastAsia="Times New Roman" w:cs="Times New Roman"/>
      <w:b/>
      <w:bCs/>
      <w:sz w:val="20"/>
      <w:szCs w:val="20"/>
      <w:lang w:val="lv-LV" w:eastAsia="ru-RU"/>
    </w:rPr>
  </w:style>
  <w:style w:type="paragraph" w:styleId="Header">
    <w:name w:val="header"/>
    <w:basedOn w:val="Normal"/>
    <w:link w:val="HeaderChar"/>
    <w:uiPriority w:val="99"/>
    <w:unhideWhenUsed/>
    <w:rsid w:val="00440A85"/>
    <w:pPr>
      <w:tabs>
        <w:tab w:val="center" w:pos="4320"/>
        <w:tab w:val="right" w:pos="8640"/>
      </w:tabs>
    </w:pPr>
  </w:style>
  <w:style w:type="character" w:customStyle="1" w:styleId="HeaderChar">
    <w:name w:val="Header Char"/>
    <w:basedOn w:val="DefaultParagraphFont"/>
    <w:link w:val="Header"/>
    <w:uiPriority w:val="99"/>
    <w:rsid w:val="00440A85"/>
    <w:rPr>
      <w:rFonts w:eastAsia="Times New Roman" w:cs="Times New Roman"/>
      <w:szCs w:val="24"/>
      <w:lang w:val="lv-LV" w:eastAsia="ru-RU"/>
    </w:rPr>
  </w:style>
  <w:style w:type="paragraph" w:styleId="Footer">
    <w:name w:val="footer"/>
    <w:basedOn w:val="Normal"/>
    <w:link w:val="FooterChar"/>
    <w:uiPriority w:val="99"/>
    <w:unhideWhenUsed/>
    <w:rsid w:val="00440A85"/>
    <w:pPr>
      <w:tabs>
        <w:tab w:val="center" w:pos="4320"/>
        <w:tab w:val="right" w:pos="8640"/>
      </w:tabs>
    </w:pPr>
  </w:style>
  <w:style w:type="character" w:customStyle="1" w:styleId="FooterChar">
    <w:name w:val="Footer Char"/>
    <w:basedOn w:val="DefaultParagraphFont"/>
    <w:link w:val="Footer"/>
    <w:uiPriority w:val="99"/>
    <w:rsid w:val="00440A85"/>
    <w:rPr>
      <w:rFonts w:eastAsia="Times New Roman" w:cs="Times New Roman"/>
      <w:szCs w:val="24"/>
      <w:lang w:val="lv-LV" w:eastAsia="ru-RU"/>
    </w:rPr>
  </w:style>
  <w:style w:type="paragraph" w:styleId="Revision">
    <w:name w:val="Revision"/>
    <w:hidden/>
    <w:uiPriority w:val="99"/>
    <w:semiHidden/>
    <w:rsid w:val="00440A85"/>
    <w:pPr>
      <w:spacing w:after="0" w:line="240" w:lineRule="auto"/>
    </w:pPr>
    <w:rPr>
      <w:rFonts w:eastAsia="Times New Roman" w:cs="Times New Roman"/>
      <w:szCs w:val="24"/>
      <w:lang w:val="lv-LV" w:eastAsia="ru-RU"/>
    </w:rPr>
  </w:style>
  <w:style w:type="paragraph" w:styleId="FootnoteText">
    <w:name w:val="footnote text"/>
    <w:aliases w:val="Fußnote"/>
    <w:basedOn w:val="Normal"/>
    <w:link w:val="FootnoteTextChar"/>
    <w:uiPriority w:val="99"/>
    <w:rsid w:val="00DA3E3E"/>
    <w:pPr>
      <w:ind w:left="284" w:hanging="284"/>
    </w:pPr>
    <w:rPr>
      <w:sz w:val="20"/>
      <w:szCs w:val="20"/>
      <w:lang w:eastAsia="lv-LV"/>
    </w:rPr>
  </w:style>
  <w:style w:type="character" w:customStyle="1" w:styleId="FootnoteTextChar">
    <w:name w:val="Footnote Text Char"/>
    <w:aliases w:val="Fußnote Char"/>
    <w:basedOn w:val="DefaultParagraphFont"/>
    <w:link w:val="FootnoteText"/>
    <w:uiPriority w:val="99"/>
    <w:rsid w:val="00DA3E3E"/>
    <w:rPr>
      <w:rFonts w:eastAsia="Times New Roman" w:cs="Times New Roman"/>
      <w:sz w:val="20"/>
      <w:szCs w:val="20"/>
      <w:lang w:val="lv-LV" w:eastAsia="lv-LV"/>
    </w:rPr>
  </w:style>
  <w:style w:type="character" w:styleId="FootnoteReference">
    <w:name w:val="footnote reference"/>
    <w:aliases w:val="Footnote Reference Number,Footnote symbol"/>
    <w:uiPriority w:val="99"/>
    <w:rsid w:val="00DA3E3E"/>
    <w:rPr>
      <w:vertAlign w:val="superscript"/>
    </w:rPr>
  </w:style>
  <w:style w:type="character" w:styleId="UnresolvedMention">
    <w:name w:val="Unresolved Mention"/>
    <w:basedOn w:val="DefaultParagraphFont"/>
    <w:uiPriority w:val="99"/>
    <w:semiHidden/>
    <w:unhideWhenUsed/>
    <w:rsid w:val="0019459A"/>
    <w:rPr>
      <w:color w:val="605E5C"/>
      <w:shd w:val="clear" w:color="auto" w:fill="E1DFDD"/>
    </w:rPr>
  </w:style>
  <w:style w:type="character" w:styleId="FollowedHyperlink">
    <w:name w:val="FollowedHyperlink"/>
    <w:basedOn w:val="DefaultParagraphFont"/>
    <w:uiPriority w:val="99"/>
    <w:semiHidden/>
    <w:unhideWhenUsed/>
    <w:rsid w:val="007314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7704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db7d3fc5-1db8-4085-90e9-891ce06ac8a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61619" TargetMode="External"/><Relationship Id="rId5" Type="http://schemas.openxmlformats.org/officeDocument/2006/relationships/footnotes" Target="footnotes.xml"/><Relationship Id="rId10" Type="http://schemas.openxmlformats.org/officeDocument/2006/relationships/hyperlink" Target="https://likumi.lv/ta/id/50500-civilprocesa-likums" TargetMode="External"/><Relationship Id="rId4" Type="http://schemas.openxmlformats.org/officeDocument/2006/relationships/webSettings" Target="webSettings.xml"/><Relationship Id="rId9" Type="http://schemas.openxmlformats.org/officeDocument/2006/relationships/hyperlink" Target="https://manas.tiesas.lv/eTiesasMvc/nolemumi/pdf/47704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18451</Words>
  <Characters>10518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2026-04-22T06:06:00Z</dcterms:created>
  <dcterms:modified xsi:type="dcterms:W3CDTF">2026-04-22T06:23:00Z</dcterms:modified>
</cp:coreProperties>
</file>