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1FE4" w14:textId="77777777" w:rsidR="00CF7832" w:rsidRDefault="00CF7832" w:rsidP="00CF7832">
      <w:pPr>
        <w:spacing w:line="276" w:lineRule="auto"/>
        <w:jc w:val="both"/>
        <w:rPr>
          <w:lang w:eastAsia="lv-LV"/>
          <w14:ligatures w14:val="standardContextual"/>
        </w:rPr>
      </w:pPr>
      <w:r>
        <w:rPr>
          <w:b/>
          <w:bCs/>
          <w14:ligatures w14:val="standardContextual"/>
        </w:rPr>
        <w:t>Kases aparātiem nepamatoti izsniegta atbilstības apliecinājuma (labvēlīga prettiesiska administratīvā akta) atcelšanas sekas</w:t>
      </w:r>
    </w:p>
    <w:p w14:paraId="38AF432C" w14:textId="77777777" w:rsidR="00CF7832" w:rsidRDefault="00CF7832" w:rsidP="00CF7832">
      <w:pPr>
        <w:spacing w:line="276" w:lineRule="auto"/>
        <w:jc w:val="both"/>
        <w:rPr>
          <w14:ligatures w14:val="standardContextual"/>
        </w:rPr>
      </w:pPr>
      <w:r>
        <w:rPr>
          <w14:ligatures w14:val="standardContextual"/>
        </w:rPr>
        <w:t>1. Ministru kabineta 2014.gada 11.februāra noteikumu Nr. 96 „Nodokļu un citu maksājumu reģistrēšanas elektronisko ierīču un iekārtu lietošanas kārtība” 129.</w:t>
      </w:r>
      <w:r>
        <w:rPr>
          <w:vertAlign w:val="superscript"/>
          <w14:ligatures w14:val="standardContextual"/>
        </w:rPr>
        <w:t>15</w:t>
      </w:r>
      <w:r>
        <w:rPr>
          <w14:ligatures w14:val="standardContextual"/>
        </w:rPr>
        <w:t>punktu attiecībā uz kases aparātu ražotājiem var uzskatīt par tādu normu, kas paredz labvēlīga prettiesiska administratīvā akta atcelšanu Administratīvā procesa likuma 86.panta otrās daļas 2.punkta izpratnē.</w:t>
      </w:r>
    </w:p>
    <w:p w14:paraId="0DDCA283" w14:textId="1A9146D8" w:rsidR="00447EE6" w:rsidRDefault="00CF7832" w:rsidP="00CF7832">
      <w:pPr>
        <w:spacing w:line="276" w:lineRule="auto"/>
        <w:jc w:val="both"/>
        <w:rPr>
          <w:rFonts w:ascii="Calibri" w:hAnsi="Calibri" w:cs="Calibri"/>
          <w:sz w:val="22"/>
          <w:szCs w:val="22"/>
        </w:rPr>
      </w:pPr>
      <w:r>
        <w:rPr>
          <w14:ligatures w14:val="standardContextual"/>
        </w:rPr>
        <w:t>2. Kases aparātu un to lietošanas kontroles sistēmas mērķis ir nodrošināt pareizu nodokļu iekasēšanu. Līdz ar to arī kases aparātu modeļu atbilstības pārbaudes mērķis ir nodrošināt pareizu nodokļu maksāšanu, nevis sniegt kases aparātu ražotājam un apkalpotājam tiesisko paļāvību uz to, ka kases aparāti ir atbilstoši. Primāri tieši ražotāju un apkalpotāju atbildība ir ražot un izplatīt tikai prasībām atbilstošus kases aparātus un nodrošināt to pareizu lietošanu, neatkarīgi no tā, vai atbilstības pārbaudes institūcija ir izsniegusi atbilstības apliecinājumu kases aparātiem. Tādēļ v</w:t>
      </w:r>
      <w:r w:rsidRPr="00CF7832">
        <w:rPr>
          <w14:ligatures w14:val="standardContextual"/>
        </w:rPr>
        <w:t>alstij nav pienākuma nepamatoti</w:t>
      </w:r>
      <w:r>
        <w:rPr>
          <w14:ligatures w14:val="standardContextual"/>
        </w:rPr>
        <w:t xml:space="preserve"> izsniegta atbilstības apliecinājuma gadījumā uzņemties visus zaudējumus, kas kases aparātu reģistrācijas atcelšanas dēļ varētu rasties kases aparātu ražotājiem.</w:t>
      </w:r>
    </w:p>
    <w:p w14:paraId="04D3B60F" w14:textId="77777777" w:rsidR="00CF7832" w:rsidRPr="00CF7832" w:rsidRDefault="00CF7832" w:rsidP="00CF7832">
      <w:pPr>
        <w:spacing w:line="276" w:lineRule="auto"/>
        <w:jc w:val="both"/>
        <w:rPr>
          <w:rFonts w:ascii="Calibri" w:hAnsi="Calibri" w:cs="Calibri"/>
          <w:sz w:val="22"/>
          <w:szCs w:val="22"/>
        </w:rPr>
      </w:pPr>
    </w:p>
    <w:p w14:paraId="645338F4" w14:textId="1B18B747" w:rsidR="00447EE6" w:rsidRPr="00CF7832" w:rsidRDefault="00447EE6" w:rsidP="00CF7832">
      <w:pPr>
        <w:spacing w:line="276" w:lineRule="auto"/>
        <w:jc w:val="center"/>
        <w:rPr>
          <w:b/>
        </w:rPr>
      </w:pPr>
      <w:r w:rsidRPr="00CF7832">
        <w:rPr>
          <w:b/>
        </w:rPr>
        <w:t>Latvijas Republikas Senāt</w:t>
      </w:r>
      <w:r w:rsidR="00CF7832" w:rsidRPr="00CF7832">
        <w:rPr>
          <w:b/>
        </w:rPr>
        <w:t>a</w:t>
      </w:r>
      <w:r w:rsidR="00CF7832" w:rsidRPr="00CF7832">
        <w:rPr>
          <w:b/>
        </w:rPr>
        <w:br/>
        <w:t>Administratīvo lietu departamenta</w:t>
      </w:r>
    </w:p>
    <w:p w14:paraId="7BA1C8D5" w14:textId="6DAAD9B7" w:rsidR="00CF7832" w:rsidRPr="00CF7832" w:rsidRDefault="00CF7832" w:rsidP="00CF7832">
      <w:pPr>
        <w:spacing w:line="276" w:lineRule="auto"/>
        <w:jc w:val="center"/>
        <w:rPr>
          <w:b/>
        </w:rPr>
      </w:pPr>
      <w:r w:rsidRPr="00CF7832">
        <w:rPr>
          <w:b/>
        </w:rPr>
        <w:t>2026.gada 26.marta</w:t>
      </w:r>
    </w:p>
    <w:p w14:paraId="67BCDFC6" w14:textId="05CD971A" w:rsidR="00447EE6" w:rsidRPr="00CF7832" w:rsidRDefault="00793346" w:rsidP="00CF7832">
      <w:pPr>
        <w:spacing w:line="276" w:lineRule="auto"/>
        <w:jc w:val="center"/>
        <w:rPr>
          <w:b/>
        </w:rPr>
      </w:pPr>
      <w:r w:rsidRPr="00CF7832">
        <w:rPr>
          <w:b/>
        </w:rPr>
        <w:t>SPRIEDUMS</w:t>
      </w:r>
    </w:p>
    <w:p w14:paraId="777DB99F" w14:textId="18632374" w:rsidR="00CF7832" w:rsidRPr="00CF7832" w:rsidRDefault="00CF7832" w:rsidP="00CF7832">
      <w:pPr>
        <w:spacing w:line="276" w:lineRule="auto"/>
        <w:contextualSpacing/>
        <w:jc w:val="center"/>
        <w:rPr>
          <w:b/>
          <w:bCs/>
        </w:rPr>
      </w:pPr>
      <w:r w:rsidRPr="00CF7832">
        <w:rPr>
          <w:b/>
          <w:bCs/>
        </w:rPr>
        <w:t>Lieta Nr. A420289219, SKA-95/2026</w:t>
      </w:r>
    </w:p>
    <w:p w14:paraId="0AE57178" w14:textId="0CF0D0D5" w:rsidR="00CF7832" w:rsidRPr="00CF7832" w:rsidRDefault="00CF7832" w:rsidP="00CF7832">
      <w:pPr>
        <w:spacing w:line="276" w:lineRule="auto"/>
        <w:jc w:val="center"/>
      </w:pPr>
      <w:r w:rsidRPr="00CF7832">
        <w:t xml:space="preserve"> </w:t>
      </w:r>
      <w:hyperlink r:id="rId8" w:history="1">
        <w:r w:rsidRPr="00CF7832">
          <w:rPr>
            <w:rStyle w:val="Hyperlink"/>
          </w:rPr>
          <w:t>ECLI:LV:AT:2026:0326.A420289219.22.S</w:t>
        </w:r>
      </w:hyperlink>
    </w:p>
    <w:p w14:paraId="4AF555FC" w14:textId="77777777" w:rsidR="00793346" w:rsidRDefault="00793346" w:rsidP="00CF7832">
      <w:pPr>
        <w:spacing w:line="276" w:lineRule="auto"/>
        <w:ind w:firstLine="720"/>
        <w:jc w:val="both"/>
      </w:pPr>
    </w:p>
    <w:p w14:paraId="0F2A7EBF" w14:textId="52FBD0EB" w:rsidR="00F7588C" w:rsidRDefault="00447EE6" w:rsidP="00CF7832">
      <w:pPr>
        <w:spacing w:line="276" w:lineRule="auto"/>
        <w:ind w:firstLine="720"/>
        <w:jc w:val="both"/>
      </w:pPr>
      <w:r w:rsidRPr="000D1225">
        <w:t>Senāts šādā sastāvā:</w:t>
      </w:r>
      <w:r w:rsidR="00793346" w:rsidRPr="000D1225">
        <w:t xml:space="preserve"> senatore referente </w:t>
      </w:r>
      <w:r w:rsidR="007B38CB">
        <w:t>Rudīte Vīduša</w:t>
      </w:r>
      <w:r w:rsidR="00793346" w:rsidRPr="000D1225">
        <w:t>, senator</w:t>
      </w:r>
      <w:r w:rsidR="007B38CB">
        <w:t xml:space="preserve">i </w:t>
      </w:r>
      <w:r w:rsidR="002C1604">
        <w:t>Anita Kovaļevska</w:t>
      </w:r>
      <w:r w:rsidR="00C218E0" w:rsidRPr="000D1225">
        <w:t xml:space="preserve"> un </w:t>
      </w:r>
      <w:r w:rsidR="007B38CB">
        <w:t>Jānis Pleps</w:t>
      </w:r>
    </w:p>
    <w:p w14:paraId="12EEC9B3" w14:textId="66ABBC6F" w:rsidR="00447EE6" w:rsidRDefault="00447EE6" w:rsidP="00CF7832">
      <w:pPr>
        <w:spacing w:line="276" w:lineRule="auto"/>
        <w:ind w:firstLine="720"/>
        <w:jc w:val="both"/>
        <w:rPr>
          <w:lang w:eastAsia="lv-LV"/>
        </w:rPr>
      </w:pPr>
    </w:p>
    <w:p w14:paraId="224AF355" w14:textId="666B22B9" w:rsidR="000B3B71" w:rsidRDefault="006C785B" w:rsidP="00CF7832">
      <w:pPr>
        <w:spacing w:line="276" w:lineRule="auto"/>
        <w:ind w:firstLine="720"/>
        <w:jc w:val="both"/>
      </w:pPr>
      <w:r w:rsidRPr="006C785B">
        <w:t xml:space="preserve">rakstveida procesā izskatīja administratīvo lietu, kas ierosināta, </w:t>
      </w:r>
      <w:r w:rsidR="009B6BA4" w:rsidRPr="009B6BA4">
        <w:t xml:space="preserve">pamatojoties uz </w:t>
      </w:r>
      <w:r w:rsidR="002C1604" w:rsidRPr="002C1604">
        <w:t xml:space="preserve">sabiedrības ar ierobežotu atbildību „COMPUTER HARDWARE DESIGN” </w:t>
      </w:r>
      <w:r w:rsidR="002C1604">
        <w:t>pieteikumu par zaudējumu 930</w:t>
      </w:r>
      <w:r w:rsidR="0041184F">
        <w:t> </w:t>
      </w:r>
      <w:r w:rsidR="002C1604">
        <w:t>335,68</w:t>
      </w:r>
      <w:r w:rsidR="00933C80">
        <w:t> </w:t>
      </w:r>
      <w:r w:rsidR="002C1604" w:rsidRPr="003036F1">
        <w:rPr>
          <w:i/>
          <w:iCs/>
        </w:rPr>
        <w:t>euro</w:t>
      </w:r>
      <w:r w:rsidR="002C1604">
        <w:t xml:space="preserve"> atlīdzināšanu, sakarā ar sabiedrības ar ierobežotu atbildību „COMPUTER HARDWARE DESIGN”</w:t>
      </w:r>
      <w:r w:rsidR="00846BF0" w:rsidRPr="006A7F13">
        <w:t xml:space="preserve"> </w:t>
      </w:r>
      <w:r w:rsidRPr="006C785B">
        <w:t>kasācijas sūdzīb</w:t>
      </w:r>
      <w:r w:rsidR="007E2536">
        <w:t>u</w:t>
      </w:r>
      <w:r w:rsidRPr="006C785B">
        <w:t xml:space="preserve"> par Administratīvās apgabaltiesas </w:t>
      </w:r>
      <w:r w:rsidR="000F5382" w:rsidRPr="000F5382">
        <w:t>202</w:t>
      </w:r>
      <w:r w:rsidR="002C1604">
        <w:t>4</w:t>
      </w:r>
      <w:r w:rsidR="000F5382" w:rsidRPr="000F5382">
        <w:t xml:space="preserve">.gada </w:t>
      </w:r>
      <w:r w:rsidR="002C1604">
        <w:t xml:space="preserve">1.jūlija </w:t>
      </w:r>
      <w:r w:rsidRPr="006C785B">
        <w:t>spriedumu.</w:t>
      </w:r>
    </w:p>
    <w:p w14:paraId="79B5D1B4" w14:textId="77777777" w:rsidR="00846BF0" w:rsidRDefault="00846BF0" w:rsidP="00CF7832">
      <w:pPr>
        <w:spacing w:line="276" w:lineRule="auto"/>
        <w:ind w:firstLine="720"/>
        <w:jc w:val="both"/>
      </w:pPr>
    </w:p>
    <w:p w14:paraId="0AD60069" w14:textId="77777777" w:rsidR="008F79A9" w:rsidRDefault="008F79A9" w:rsidP="00CF7832">
      <w:pPr>
        <w:spacing w:line="276" w:lineRule="auto"/>
        <w:jc w:val="center"/>
        <w:rPr>
          <w:b/>
          <w:shd w:val="clear" w:color="auto" w:fill="FFFFFF"/>
        </w:rPr>
      </w:pPr>
      <w:r w:rsidRPr="008F79A9">
        <w:rPr>
          <w:b/>
          <w:shd w:val="clear" w:color="auto" w:fill="FFFFFF"/>
        </w:rPr>
        <w:t>Aprakstošā</w:t>
      </w:r>
      <w:r w:rsidRPr="008F79A9">
        <w:rPr>
          <w:noProof/>
        </w:rPr>
        <w:t xml:space="preserve"> </w:t>
      </w:r>
      <w:r w:rsidRPr="008F79A9">
        <w:rPr>
          <w:b/>
          <w:shd w:val="clear" w:color="auto" w:fill="FFFFFF"/>
        </w:rPr>
        <w:t>daļa</w:t>
      </w:r>
    </w:p>
    <w:p w14:paraId="047E744E" w14:textId="77777777" w:rsidR="00AB3427" w:rsidRDefault="00AB3427" w:rsidP="00CF7832">
      <w:pPr>
        <w:spacing w:line="276" w:lineRule="auto"/>
        <w:ind w:firstLine="720"/>
        <w:jc w:val="center"/>
        <w:rPr>
          <w:b/>
          <w:shd w:val="clear" w:color="auto" w:fill="FFFFFF"/>
        </w:rPr>
      </w:pPr>
    </w:p>
    <w:p w14:paraId="2CDB8132" w14:textId="5D3D8EA6" w:rsidR="000D323C" w:rsidRPr="000D323C" w:rsidRDefault="000D323C" w:rsidP="00CF7832">
      <w:pPr>
        <w:spacing w:line="276" w:lineRule="auto"/>
        <w:ind w:firstLine="720"/>
        <w:rPr>
          <w:bCs/>
          <w:i/>
          <w:iCs/>
          <w:shd w:val="clear" w:color="auto" w:fill="FFFFFF"/>
        </w:rPr>
      </w:pPr>
      <w:r w:rsidRPr="000D323C">
        <w:rPr>
          <w:bCs/>
          <w:i/>
          <w:iCs/>
          <w:shd w:val="clear" w:color="auto" w:fill="FFFFFF"/>
        </w:rPr>
        <w:t>Lietas apstākļi</w:t>
      </w:r>
    </w:p>
    <w:p w14:paraId="6EFA6E51" w14:textId="0F05E76E" w:rsidR="002C1604" w:rsidRPr="002C1604" w:rsidRDefault="002C1604" w:rsidP="00CF7832">
      <w:pPr>
        <w:tabs>
          <w:tab w:val="left" w:pos="1276"/>
        </w:tabs>
        <w:spacing w:line="276" w:lineRule="auto"/>
        <w:ind w:firstLine="720"/>
        <w:jc w:val="both"/>
        <w:rPr>
          <w:rFonts w:eastAsia="Calibri"/>
          <w:lang w:eastAsia="en-US"/>
        </w:rPr>
      </w:pPr>
      <w:r w:rsidRPr="002C1604">
        <w:rPr>
          <w:rFonts w:eastAsia="Calibri"/>
          <w:lang w:eastAsia="en-US"/>
        </w:rPr>
        <w:t>[1] Pieteicēja – sabiedrība ar ierobežotu atbildību</w:t>
      </w:r>
      <w:r>
        <w:rPr>
          <w:rFonts w:eastAsia="Calibri"/>
          <w:lang w:eastAsia="en-US"/>
        </w:rPr>
        <w:t> </w:t>
      </w:r>
      <w:r w:rsidRPr="002C1604">
        <w:rPr>
          <w:rFonts w:eastAsia="Calibri"/>
          <w:lang w:eastAsia="en-US"/>
        </w:rPr>
        <w:t xml:space="preserve">„COMPUTER HARDWARE DESIGN” – ir komersants, kas </w:t>
      </w:r>
      <w:r w:rsidR="00CF5D58">
        <w:rPr>
          <w:rFonts w:eastAsia="Calibri"/>
          <w:lang w:eastAsia="en-US"/>
        </w:rPr>
        <w:t xml:space="preserve">izgatavo un </w:t>
      </w:r>
      <w:r w:rsidRPr="002C1604">
        <w:rPr>
          <w:rFonts w:eastAsia="Calibri"/>
          <w:lang w:eastAsia="en-US"/>
        </w:rPr>
        <w:t>apkalpo kases aparātus</w:t>
      </w:r>
      <w:r w:rsidR="00CF5D58">
        <w:rPr>
          <w:rFonts w:eastAsia="Calibri"/>
          <w:lang w:eastAsia="en-US"/>
        </w:rPr>
        <w:t>, kā arī izstrādā tiem programmatūru</w:t>
      </w:r>
      <w:r w:rsidRPr="002C1604">
        <w:rPr>
          <w:rFonts w:eastAsia="Calibri"/>
          <w:lang w:eastAsia="en-US"/>
        </w:rPr>
        <w:t xml:space="preserve">. Valsts ieņēmumu dienests, pamatojoties uz pieteicējas iesniegumu un atbilstības pārbaudes institūcijas „ERNST &amp; YOUNG BALTIC” apliecinājumiem, ar 2017.gada 28.aprīļa, 9.maija un 12.maija lēmumiem dienesta vienotajā datubāzē (reģistrā) </w:t>
      </w:r>
      <w:r w:rsidRPr="002C1604">
        <w:rPr>
          <w:rFonts w:eastAsia="Calibri"/>
          <w:lang w:eastAsia="en-US"/>
        </w:rPr>
        <w:lastRenderedPageBreak/>
        <w:t>(turpmāk – reģistrs) reģistrēja virkni kases aparātu modeļu (modifikāciju)</w:t>
      </w:r>
      <w:r w:rsidR="003036F1">
        <w:rPr>
          <w:rFonts w:eastAsia="Calibri"/>
          <w:lang w:eastAsia="en-US"/>
        </w:rPr>
        <w:t xml:space="preserve"> (turpmāk – strīdus kases aparāti)</w:t>
      </w:r>
      <w:r w:rsidRPr="002C1604">
        <w:rPr>
          <w:rFonts w:eastAsia="Calibri"/>
          <w:lang w:eastAsia="en-US"/>
        </w:rPr>
        <w:t xml:space="preserve">. </w:t>
      </w:r>
    </w:p>
    <w:p w14:paraId="1866FE48" w14:textId="3B158E8D" w:rsidR="002C1604" w:rsidRPr="002C1604" w:rsidRDefault="002C1604" w:rsidP="00CF7832">
      <w:pPr>
        <w:tabs>
          <w:tab w:val="left" w:pos="1276"/>
        </w:tabs>
        <w:spacing w:line="276" w:lineRule="auto"/>
        <w:ind w:firstLine="720"/>
        <w:jc w:val="both"/>
        <w:rPr>
          <w:rFonts w:eastAsia="Calibri"/>
          <w:lang w:eastAsia="en-US"/>
        </w:rPr>
      </w:pPr>
      <w:r w:rsidRPr="002C1604">
        <w:rPr>
          <w:rFonts w:eastAsia="Calibri"/>
          <w:lang w:eastAsia="en-US"/>
        </w:rPr>
        <w:t xml:space="preserve">Pēc tam, kad Valsts ieņēmumu dienests pārbaudēs konstatēja </w:t>
      </w:r>
      <w:r w:rsidR="003036F1">
        <w:rPr>
          <w:rFonts w:eastAsia="Calibri"/>
          <w:lang w:eastAsia="en-US"/>
        </w:rPr>
        <w:t xml:space="preserve">strīdus </w:t>
      </w:r>
      <w:r w:rsidRPr="002C1604">
        <w:rPr>
          <w:rFonts w:eastAsia="Calibri"/>
          <w:lang w:eastAsia="en-US"/>
        </w:rPr>
        <w:t xml:space="preserve">kases aparātu neatbilstību normatīvo aktu prasībām, atbilstības pārbaudes institūcija atsauca iepriekš izsniegtos apliecinājumus, savukārt Valsts ieņēmumu dienests ar 2018.gada 9.februāra lēmumu </w:t>
      </w:r>
      <w:r w:rsidR="003036F1">
        <w:rPr>
          <w:rFonts w:eastAsia="Calibri"/>
          <w:lang w:eastAsia="en-US"/>
        </w:rPr>
        <w:t>strīdus kases aparātus</w:t>
      </w:r>
      <w:r w:rsidRPr="002C1604">
        <w:rPr>
          <w:rFonts w:eastAsia="Calibri"/>
          <w:lang w:eastAsia="en-US"/>
        </w:rPr>
        <w:t xml:space="preserve"> izslēdza no reģistra. Pieteicēja lēmumu par izslēgšanu apstrīdēja, bet tas tika atstāts negrozīts ar Valsts ieņēmumu dienesta 2018.gada 14.marta lēmumu. Pieteicēja šo lēmumu pārsūdzēja tiesā, un Administratīvā rajona tiesa, interpretējot prasījumu, ierosināja lietu par labvēlīga administratīva akta izdošanu, ar kuru </w:t>
      </w:r>
      <w:r w:rsidR="003036F1">
        <w:rPr>
          <w:rFonts w:eastAsia="Calibri"/>
          <w:lang w:eastAsia="en-US"/>
        </w:rPr>
        <w:t xml:space="preserve">strīdus </w:t>
      </w:r>
      <w:r w:rsidRPr="002C1604">
        <w:rPr>
          <w:rFonts w:eastAsia="Calibri"/>
          <w:lang w:eastAsia="en-US"/>
        </w:rPr>
        <w:t>kases aparāt</w:t>
      </w:r>
      <w:r w:rsidR="003036F1">
        <w:rPr>
          <w:rFonts w:eastAsia="Calibri"/>
          <w:lang w:eastAsia="en-US"/>
        </w:rPr>
        <w:t>i</w:t>
      </w:r>
      <w:r w:rsidRPr="002C1604">
        <w:rPr>
          <w:rFonts w:eastAsia="Calibri"/>
          <w:lang w:eastAsia="en-US"/>
        </w:rPr>
        <w:t xml:space="preserve"> tiktu atjaunoti reģistrā. Tiesvedība vēlāk tika izbeigta, jo pieteicēja izšķīrās par </w:t>
      </w:r>
      <w:r w:rsidR="003036F1">
        <w:rPr>
          <w:rFonts w:eastAsia="Calibri"/>
          <w:lang w:eastAsia="en-US"/>
        </w:rPr>
        <w:t xml:space="preserve">strīdus </w:t>
      </w:r>
      <w:r w:rsidRPr="002C1604">
        <w:rPr>
          <w:rFonts w:eastAsia="Calibri"/>
          <w:lang w:eastAsia="en-US"/>
        </w:rPr>
        <w:t>kases aparātu pielāgošanu un atsauca tiesā iesniegto pieteikumu.</w:t>
      </w:r>
    </w:p>
    <w:p w14:paraId="4235D684" w14:textId="7D612FEC" w:rsidR="002C1604" w:rsidRPr="002C1604" w:rsidRDefault="002C1604" w:rsidP="00CF7832">
      <w:pPr>
        <w:tabs>
          <w:tab w:val="left" w:pos="1276"/>
        </w:tabs>
        <w:spacing w:line="276" w:lineRule="auto"/>
        <w:ind w:firstLine="720"/>
        <w:jc w:val="both"/>
        <w:rPr>
          <w:rFonts w:eastAsia="Calibri"/>
          <w:lang w:eastAsia="en-US"/>
        </w:rPr>
      </w:pPr>
      <w:r w:rsidRPr="002C1604">
        <w:rPr>
          <w:rFonts w:eastAsia="Calibri"/>
          <w:lang w:eastAsia="en-US"/>
        </w:rPr>
        <w:t xml:space="preserve">Uzskatot, ka Valsts ieņēmumu dienests, vispirms reģistrējot, bet pēc tam izslēdzot no reģistra </w:t>
      </w:r>
      <w:r w:rsidR="003036F1">
        <w:rPr>
          <w:rFonts w:eastAsia="Calibri"/>
          <w:lang w:eastAsia="en-US"/>
        </w:rPr>
        <w:t xml:space="preserve">strīdus </w:t>
      </w:r>
      <w:r w:rsidRPr="002C1604">
        <w:rPr>
          <w:rFonts w:eastAsia="Calibri"/>
          <w:lang w:eastAsia="en-US"/>
        </w:rPr>
        <w:t>kases aparātu</w:t>
      </w:r>
      <w:r w:rsidR="003036F1">
        <w:rPr>
          <w:rFonts w:eastAsia="Calibri"/>
          <w:lang w:eastAsia="en-US"/>
        </w:rPr>
        <w:t>s</w:t>
      </w:r>
      <w:r w:rsidRPr="002C1604">
        <w:rPr>
          <w:rFonts w:eastAsia="Calibri"/>
          <w:lang w:eastAsia="en-US"/>
        </w:rPr>
        <w:t>, radījis pieteicējai zaudējumus, pieteicēja vērsās Valsts ieņēmumu dienestā un lūdza atlīdzināt zaudējumus.</w:t>
      </w:r>
    </w:p>
    <w:p w14:paraId="26734EEF" w14:textId="26789EA6" w:rsidR="002C1604" w:rsidRPr="002C1604" w:rsidRDefault="002C1604" w:rsidP="00CF7832">
      <w:pPr>
        <w:tabs>
          <w:tab w:val="left" w:pos="1276"/>
        </w:tabs>
        <w:spacing w:line="276" w:lineRule="auto"/>
        <w:ind w:firstLine="720"/>
        <w:jc w:val="both"/>
        <w:rPr>
          <w:rFonts w:eastAsia="Calibri"/>
          <w:lang w:eastAsia="en-US"/>
        </w:rPr>
      </w:pPr>
      <w:r w:rsidRPr="002C1604">
        <w:rPr>
          <w:rFonts w:eastAsia="Calibri"/>
          <w:lang w:eastAsia="en-US"/>
        </w:rPr>
        <w:t xml:space="preserve">Valsts ieņēmumu dienests ar 2019.gada 18.aprīļa lēmumu šo iesniegumu noraidīja. Dienests uzskatīja, ka, tā kā pieteicējas apkalpoto </w:t>
      </w:r>
      <w:r w:rsidR="003036F1">
        <w:rPr>
          <w:rFonts w:eastAsia="Calibri"/>
          <w:lang w:eastAsia="en-US"/>
        </w:rPr>
        <w:t xml:space="preserve">strīdus </w:t>
      </w:r>
      <w:r w:rsidRPr="002C1604">
        <w:rPr>
          <w:rFonts w:eastAsia="Calibri"/>
          <w:lang w:eastAsia="en-US"/>
        </w:rPr>
        <w:t xml:space="preserve">kases aparātu atbilstību bija apliecinājusi atbilstības pārbaudes institūcija, dienesta lēmums par to iekļaušanu reģistrā bija tiesisks, un tas ir atcelts, pamatojoties uz Administratīvā procesa likuma 85.panta otrās daļas 1.punktu kā labvēlīgs tiesisks administratīvais akts. </w:t>
      </w:r>
    </w:p>
    <w:p w14:paraId="30A7FD84" w14:textId="77777777" w:rsidR="002C1604" w:rsidRPr="002C1604" w:rsidRDefault="002C1604" w:rsidP="00CF7832">
      <w:pPr>
        <w:tabs>
          <w:tab w:val="left" w:pos="1276"/>
        </w:tabs>
        <w:spacing w:line="276" w:lineRule="auto"/>
        <w:ind w:firstLine="720"/>
        <w:jc w:val="both"/>
        <w:rPr>
          <w:rFonts w:eastAsia="Calibri"/>
          <w:lang w:eastAsia="en-US"/>
        </w:rPr>
      </w:pPr>
      <w:r w:rsidRPr="002C1604">
        <w:rPr>
          <w:rFonts w:eastAsia="Calibri"/>
          <w:lang w:eastAsia="en-US"/>
        </w:rPr>
        <w:t>Pieteicēja vērsās administratīvajā tiesā, lūdzot atlīdzināt zaudējumus.</w:t>
      </w:r>
    </w:p>
    <w:p w14:paraId="2F66AD34" w14:textId="77777777" w:rsidR="005B03F6" w:rsidRDefault="005B03F6" w:rsidP="00CF7832">
      <w:pPr>
        <w:spacing w:line="276" w:lineRule="auto"/>
        <w:ind w:firstLine="720"/>
        <w:contextualSpacing/>
        <w:jc w:val="both"/>
        <w:rPr>
          <w:shd w:val="clear" w:color="auto" w:fill="FFFFFF"/>
        </w:rPr>
      </w:pPr>
    </w:p>
    <w:p w14:paraId="6D55F2D8" w14:textId="786B5B2D" w:rsidR="000D323C" w:rsidRPr="00A84EBB" w:rsidRDefault="000D323C" w:rsidP="00CF7832">
      <w:pPr>
        <w:spacing w:line="276" w:lineRule="auto"/>
        <w:ind w:firstLine="720"/>
        <w:contextualSpacing/>
        <w:jc w:val="both"/>
        <w:rPr>
          <w:i/>
          <w:iCs/>
          <w:shd w:val="clear" w:color="auto" w:fill="FFFFFF"/>
        </w:rPr>
      </w:pPr>
      <w:r w:rsidRPr="00A84EBB">
        <w:rPr>
          <w:i/>
          <w:iCs/>
          <w:shd w:val="clear" w:color="auto" w:fill="FFFFFF"/>
        </w:rPr>
        <w:t>Apelācijas instances tiesas spriedums</w:t>
      </w:r>
    </w:p>
    <w:p w14:paraId="586BA582" w14:textId="7FEC9303" w:rsidR="00D515CF" w:rsidRDefault="003C35E6" w:rsidP="00CF7832">
      <w:pPr>
        <w:spacing w:line="276" w:lineRule="auto"/>
        <w:ind w:firstLine="720"/>
        <w:jc w:val="both"/>
        <w:rPr>
          <w:lang w:eastAsia="lv-LV"/>
        </w:rPr>
      </w:pPr>
      <w:r>
        <w:rPr>
          <w:shd w:val="clear" w:color="auto" w:fill="FFFFFF"/>
        </w:rPr>
        <w:t>[</w:t>
      </w:r>
      <w:r w:rsidR="00D563C6">
        <w:rPr>
          <w:shd w:val="clear" w:color="auto" w:fill="FFFFFF"/>
        </w:rPr>
        <w:t>2</w:t>
      </w:r>
      <w:r>
        <w:rPr>
          <w:shd w:val="clear" w:color="auto" w:fill="FFFFFF"/>
        </w:rPr>
        <w:t>]</w:t>
      </w:r>
      <w:r w:rsidR="003036F1">
        <w:rPr>
          <w:shd w:val="clear" w:color="auto" w:fill="FFFFFF"/>
        </w:rPr>
        <w:t xml:space="preserve"> </w:t>
      </w:r>
      <w:r w:rsidR="00D515CF" w:rsidRPr="00402239">
        <w:rPr>
          <w:lang w:eastAsia="lv-LV"/>
        </w:rPr>
        <w:t xml:space="preserve">Administratīvā apgabaltiesa </w:t>
      </w:r>
      <w:r w:rsidR="002C1604">
        <w:rPr>
          <w:lang w:eastAsia="lv-LV"/>
        </w:rPr>
        <w:t xml:space="preserve">ar 2024.gada 1.jūlija spriedumu </w:t>
      </w:r>
      <w:r w:rsidR="00D515CF" w:rsidRPr="00402239">
        <w:rPr>
          <w:lang w:eastAsia="lv-LV"/>
        </w:rPr>
        <w:t xml:space="preserve">pieteikumu </w:t>
      </w:r>
      <w:r w:rsidR="00D515CF">
        <w:rPr>
          <w:lang w:eastAsia="lv-LV"/>
        </w:rPr>
        <w:t>noraidīja</w:t>
      </w:r>
      <w:r w:rsidR="002C1604">
        <w:rPr>
          <w:lang w:eastAsia="lv-LV"/>
        </w:rPr>
        <w:t>, pamatojoties uz turpmāk minētajiem apsvērumiem</w:t>
      </w:r>
      <w:r w:rsidR="0067706F">
        <w:rPr>
          <w:lang w:eastAsia="lv-LV"/>
        </w:rPr>
        <w:t>, kuri daļēji ietver atsauces uz pirmās instances tiesas sprieduma motivāciju</w:t>
      </w:r>
      <w:r w:rsidR="002C1604">
        <w:rPr>
          <w:lang w:eastAsia="lv-LV"/>
        </w:rPr>
        <w:t>.</w:t>
      </w:r>
    </w:p>
    <w:p w14:paraId="4686596B" w14:textId="7CF4194A" w:rsidR="002C1604" w:rsidRDefault="00BB6702" w:rsidP="00CF7832">
      <w:pPr>
        <w:spacing w:line="276" w:lineRule="auto"/>
        <w:ind w:firstLine="720"/>
        <w:contextualSpacing/>
        <w:jc w:val="both"/>
      </w:pPr>
      <w:r>
        <w:t>[2.</w:t>
      </w:r>
      <w:r w:rsidR="00331FE1">
        <w:t>1</w:t>
      </w:r>
      <w:r>
        <w:t>]</w:t>
      </w:r>
      <w:r w:rsidR="003036F1">
        <w:t xml:space="preserve"> </w:t>
      </w:r>
      <w:r w:rsidR="002C1604">
        <w:t>Lai izlemtu jautājumu par pieteicējas tiesībām saņemt atlīdzinājumu par zaudējumiem, kas tai nodarīti, Valsts ieņēmumu dienestam atceļot iepriekš izdotu labvēlīgu administratīvo aktu par strīdus kases aparātu reģistrāciju, ir jānoskaidro, vai tika atcelts pieteicējai labvēlīgs tiesisks (kā uzskata dienests) vai prettiesisks (kā uzskata pieteicēja) administratīvais akts, un vai atcelšanas pamatojums ir bijis tāds, kas dod pamatu prasīt arī zaudējumu atlīdzinājumu.</w:t>
      </w:r>
      <w:r w:rsidR="0067706F">
        <w:t xml:space="preserve"> </w:t>
      </w:r>
    </w:p>
    <w:p w14:paraId="3663BCD5" w14:textId="62502099" w:rsidR="004861C3" w:rsidRDefault="002C1604" w:rsidP="00CF7832">
      <w:pPr>
        <w:spacing w:line="276" w:lineRule="auto"/>
        <w:ind w:firstLine="720"/>
        <w:contextualSpacing/>
        <w:jc w:val="both"/>
      </w:pPr>
      <w:r>
        <w:t xml:space="preserve">[2.2] </w:t>
      </w:r>
      <w:r w:rsidR="00DB16CB">
        <w:t xml:space="preserve">Strīdus kases aparātu neatbilstības Ministru kabineta 2014.gada 11.februāra noteikumu Nr. 95 „Noteikumi par nodokļu un citu maksājumu reģistrēšanas elektronisko ierīču un iekārtu tehniskajām prasībām” (turpmāk – noteikumi Nr. 95) tehniskajām prasībām pastāvēja jau brīdī, kad tiem tika izsniegti atbilstības apliecinājumi, uz kuru pamata dienests kases aparātus iekļāva reģistrā. </w:t>
      </w:r>
      <w:r w:rsidR="004861C3">
        <w:t>Proti, atbilstības pārbaudes institūcija kļūdaini atzina, ka strīdus kases aparāti atbilst noteikumu Nr. 95 tehniskajām prasībām, tam par cēloni bija no Valsts ieņēmumu dienesta atšķirīg</w:t>
      </w:r>
      <w:r w:rsidR="003036F1">
        <w:t>a</w:t>
      </w:r>
      <w:r w:rsidR="004861C3">
        <w:t xml:space="preserve"> noteikumu Nr. 95 normu interpretācija. Savukārt dienests strīdus kases aparātu reģistrēšanas brīdī nezināja, ka tie neatbilst noteikumu Nr. 95 tehniskajām prasībām, attiecīgi prettiesiskums tika atklāts vēlāk, dienestam veicot kontroles pasākumus nodokļu maksātājiem, kuri darījumu reģistrēšanai izmanto</w:t>
      </w:r>
      <w:r w:rsidR="003036F1">
        <w:t>ja</w:t>
      </w:r>
      <w:r w:rsidR="004861C3">
        <w:t xml:space="preserve"> strīdus kases aparātus. Lēmumi par strīdus kases aparātu reģistrēšanu tika atcelti, lai labotu sākotnējo kļūdu, kas radās, atbilstības pārbaudes iestādei kļūdaini interpretējot noteikumu Nr.95 tehniskās prasības un nepamatoti izsniedzot pieteicējai atbilstības apliecinājumus, kas savukārt bija par pamatu strīdus kases aparātu iekļaušanai reģistrā.</w:t>
      </w:r>
    </w:p>
    <w:p w14:paraId="14D27E5F" w14:textId="680981F6" w:rsidR="002C1604" w:rsidRDefault="00DB16CB" w:rsidP="00CF7832">
      <w:pPr>
        <w:spacing w:line="276" w:lineRule="auto"/>
        <w:ind w:firstLine="720"/>
        <w:contextualSpacing/>
        <w:jc w:val="both"/>
      </w:pPr>
      <w:r>
        <w:t xml:space="preserve">Tādējādi dienesta lēmumi par strīdus kases aparātu iekļaušanu reģistrā ir labvēlīgi prettiesiski administratīvie akti, kuru atcelšana – kases aparātu izslēgšana no </w:t>
      </w:r>
      <w:r w:rsidR="003036F1">
        <w:t>reģistra</w:t>
      </w:r>
      <w:r>
        <w:t xml:space="preserve"> – vērtējama atbilstoši Administratīvā procesa likuma 86.pantam.</w:t>
      </w:r>
      <w:r w:rsidR="004861C3">
        <w:t xml:space="preserve"> </w:t>
      </w:r>
    </w:p>
    <w:p w14:paraId="198D068B" w14:textId="72F88622" w:rsidR="004861C3" w:rsidRDefault="004861C3" w:rsidP="00CF7832">
      <w:pPr>
        <w:spacing w:line="276" w:lineRule="auto"/>
        <w:ind w:firstLine="720"/>
        <w:contextualSpacing/>
        <w:jc w:val="both"/>
      </w:pPr>
      <w:r>
        <w:t xml:space="preserve">[2.3] </w:t>
      </w:r>
      <w:r w:rsidR="00F27515">
        <w:t xml:space="preserve">Tiesību norma – </w:t>
      </w:r>
      <w:r w:rsidR="000003EF">
        <w:t xml:space="preserve">Ministru kabineta 2014.gada 11.februāra noteikumu Nr. 96 „Nodokļu un citu maksājumu reģistrēšanas elektronisko ierīču un iekārtu lietošanas kārtība” (turpmāk – noteikumi Nr. 96) </w:t>
      </w:r>
      <w:r w:rsidR="00F27515">
        <w:t>129.</w:t>
      </w:r>
      <w:r w:rsidR="00F27515" w:rsidRPr="00F27515">
        <w:rPr>
          <w:vertAlign w:val="superscript"/>
        </w:rPr>
        <w:t>15</w:t>
      </w:r>
      <w:r w:rsidR="00F27515">
        <w:t xml:space="preserve">punkts – paredz lēmuma par kases aparātu iekļaušanu reģistrā atcelšanu (jau reģistrētu kases aparātu izslēgšanu no </w:t>
      </w:r>
      <w:r w:rsidR="003036F1">
        <w:t>reģistra</w:t>
      </w:r>
      <w:r w:rsidR="00F27515">
        <w:t xml:space="preserve">) un tādējādi minēto lēmumu atcelšanas pamatojums ir Administratīvā procesa likuma 86.panta otrās daļas 2.punkts, nevis 3.punkts, kā uzskata pieteicēja. </w:t>
      </w:r>
    </w:p>
    <w:p w14:paraId="2BDD171C" w14:textId="5D2AD652" w:rsidR="002207F3" w:rsidRDefault="002207F3" w:rsidP="00CF7832">
      <w:pPr>
        <w:spacing w:line="276" w:lineRule="auto"/>
        <w:ind w:firstLine="720"/>
        <w:contextualSpacing/>
        <w:jc w:val="both"/>
      </w:pPr>
      <w:r>
        <w:t xml:space="preserve">[2.4] Pieteicēja argumentē, ka kases aparātu izslēgšana no </w:t>
      </w:r>
      <w:r w:rsidR="003036F1">
        <w:t>reģistra</w:t>
      </w:r>
      <w:r>
        <w:t xml:space="preserve"> rada tiesiskās paļāvības principa pārkāpumu, jo konkrētā situācija radusies atbilstības pārbaudes institūcijas kļūdas dēļ.</w:t>
      </w:r>
    </w:p>
    <w:p w14:paraId="5537E177" w14:textId="3BB9652E" w:rsidR="00321D2D" w:rsidRDefault="009C216D" w:rsidP="00CF7832">
      <w:pPr>
        <w:spacing w:line="276" w:lineRule="auto"/>
        <w:ind w:firstLine="720"/>
        <w:contextualSpacing/>
        <w:jc w:val="both"/>
      </w:pPr>
      <w:r>
        <w:t>Šajā sakarā secinājums par tiesisko paļāvību izdarāms, n</w:t>
      </w:r>
      <w:r w:rsidR="00321D2D">
        <w:t xml:space="preserve">ovērtējot savstarpējā kopsakarā </w:t>
      </w:r>
      <w:r>
        <w:t xml:space="preserve">vairākus apstākļus – </w:t>
      </w:r>
      <w:r w:rsidR="00321D2D">
        <w:t>kases aparātu atbilstības tehniskajām prasībām uzraudzības sistēmu, pieteicējas iesniegtās informācijas apjomu, laiku, kāds bija pagājis no kases aparātu iekļaušan</w:t>
      </w:r>
      <w:r w:rsidR="003D0B47">
        <w:t>as</w:t>
      </w:r>
      <w:r w:rsidR="00321D2D">
        <w:t xml:space="preserve"> reģistrā </w:t>
      </w:r>
      <w:r w:rsidR="003D0B47">
        <w:t xml:space="preserve">līdz </w:t>
      </w:r>
      <w:r w:rsidR="00321D2D">
        <w:t>pieteicējas rīcīb</w:t>
      </w:r>
      <w:r w:rsidR="003D0B47">
        <w:t xml:space="preserve">ai </w:t>
      </w:r>
      <w:r w:rsidR="00321D2D">
        <w:t xml:space="preserve">neatbilstību novēršanā, sabiedrības interešu aizskārumu, </w:t>
      </w:r>
      <w:r>
        <w:t xml:space="preserve">kases aparātu modeļu </w:t>
      </w:r>
      <w:r w:rsidR="00321D2D">
        <w:t>izslēgšan</w:t>
      </w:r>
      <w:r>
        <w:t>as</w:t>
      </w:r>
      <w:r w:rsidR="00321D2D">
        <w:t xml:space="preserve"> radīto seku novēršanas iespēju</w:t>
      </w:r>
      <w:r w:rsidR="003D0B47">
        <w:t xml:space="preserve"> kontekstā ar pieteicējas rīcību. </w:t>
      </w:r>
      <w:r w:rsidR="00155999">
        <w:t xml:space="preserve">Tāpat jāņem </w:t>
      </w:r>
      <w:r w:rsidR="00B75B44">
        <w:t>vērā pieteicējas dalīb</w:t>
      </w:r>
      <w:r w:rsidR="00155999">
        <w:t>a</w:t>
      </w:r>
      <w:r w:rsidR="00B75B44">
        <w:t xml:space="preserve"> noteikumu Nr.</w:t>
      </w:r>
      <w:r w:rsidR="000003EF">
        <w:t> </w:t>
      </w:r>
      <w:r w:rsidR="00B75B44">
        <w:t>95 izstrādē, tās profesionāl</w:t>
      </w:r>
      <w:r w:rsidR="00155999">
        <w:t>ā</w:t>
      </w:r>
      <w:r w:rsidR="00B75B44">
        <w:t xml:space="preserve"> kvalifikācij</w:t>
      </w:r>
      <w:r w:rsidR="00155999">
        <w:t>a</w:t>
      </w:r>
      <w:r w:rsidR="00B75B44">
        <w:t>, zināšanas un pieredz</w:t>
      </w:r>
      <w:r w:rsidR="00155999">
        <w:t>e</w:t>
      </w:r>
      <w:r w:rsidR="00B75B44">
        <w:t xml:space="preserve"> attiecīgajā jomā, strīdus kases aparātiem konstatēto neatbilstību rakstur</w:t>
      </w:r>
      <w:r w:rsidR="00155999">
        <w:t xml:space="preserve">s – visi šie apstākļi kopsakarā </w:t>
      </w:r>
      <w:r w:rsidR="00B75B44">
        <w:t>ir pamats atzīt, ka pieteicējai vajadzēja apzināties, ka strīdus kases aparātu</w:t>
      </w:r>
      <w:r w:rsidR="00155999">
        <w:t xml:space="preserve"> </w:t>
      </w:r>
      <w:r w:rsidR="00B75B44">
        <w:t>iekļaušana reģistrā bija prettiesiska.</w:t>
      </w:r>
      <w:r w:rsidR="00B51A8B">
        <w:t xml:space="preserve"> Lai arī noteikumi Nr. 95 ir pietiekami sarežģīti un grūti uztverami, kas tādējādi var radīt neskaidrības un nevienādu </w:t>
      </w:r>
      <w:r w:rsidR="003036F1">
        <w:t xml:space="preserve">tajā ietverto </w:t>
      </w:r>
      <w:r w:rsidR="00B51A8B">
        <w:t xml:space="preserve">normu pielietojumu praksē, tomēr pieteicējai kā </w:t>
      </w:r>
      <w:r w:rsidR="003036F1">
        <w:t xml:space="preserve">kases aparātus </w:t>
      </w:r>
      <w:r w:rsidR="00B51A8B">
        <w:t>apkalpojošam dienestam ir izvirzītas īpašas prasības attiecībā uz tās kvalifikāciju un zināšanām attiecīgajā jomā. Pieteicējai kā attiecīgās nozares pieredzējušai profesionālei un reģistrētam apkalpojošam dienestam bija saprotamas tiesību normās noteiktās tehniskās prasības nodokļu un citu maksājumu reģistrēšanas elektroniskajām ierīcēm un iekārtām.</w:t>
      </w:r>
    </w:p>
    <w:p w14:paraId="31CB10AA" w14:textId="7131F30E" w:rsidR="002C1604" w:rsidRDefault="00155999" w:rsidP="00CF7832">
      <w:pPr>
        <w:spacing w:line="276" w:lineRule="auto"/>
        <w:ind w:firstLine="720"/>
        <w:contextualSpacing/>
        <w:jc w:val="both"/>
      </w:pPr>
      <w:r>
        <w:t>Līdz ar to pieteicējas tiesiskā paļāvība konkrētajā gadījumā nav aizsargājama.</w:t>
      </w:r>
    </w:p>
    <w:p w14:paraId="1A7F2352" w14:textId="77777777" w:rsidR="002C1604" w:rsidRDefault="002C1604" w:rsidP="00CF7832">
      <w:pPr>
        <w:spacing w:line="276" w:lineRule="auto"/>
        <w:ind w:firstLine="720"/>
        <w:contextualSpacing/>
        <w:jc w:val="both"/>
      </w:pPr>
    </w:p>
    <w:p w14:paraId="6F73D11B" w14:textId="7DF32AD2" w:rsidR="002C1604" w:rsidRPr="00632E71" w:rsidRDefault="00B20946" w:rsidP="00CF7832">
      <w:pPr>
        <w:spacing w:line="276" w:lineRule="auto"/>
        <w:ind w:firstLine="720"/>
        <w:contextualSpacing/>
        <w:jc w:val="both"/>
        <w:rPr>
          <w:i/>
          <w:iCs/>
        </w:rPr>
      </w:pPr>
      <w:r w:rsidRPr="00632E71">
        <w:rPr>
          <w:i/>
          <w:iCs/>
        </w:rPr>
        <w:t>Pieteicējas kasācijas sūdzība</w:t>
      </w:r>
    </w:p>
    <w:p w14:paraId="5147E513" w14:textId="3DC9E795" w:rsidR="00B20946" w:rsidRDefault="00B20946" w:rsidP="00CF7832">
      <w:pPr>
        <w:spacing w:line="276" w:lineRule="auto"/>
        <w:ind w:firstLine="720"/>
        <w:contextualSpacing/>
        <w:jc w:val="both"/>
      </w:pPr>
      <w:r>
        <w:t>[</w:t>
      </w:r>
      <w:r w:rsidR="00582969">
        <w:t>3</w:t>
      </w:r>
      <w:r>
        <w:t xml:space="preserve">] </w:t>
      </w:r>
      <w:r w:rsidR="00582969">
        <w:t>Pieteicēja par apgabaltiesas spriedumu iesniegusi kasācijas sūdzību, kurā norāda</w:t>
      </w:r>
      <w:r w:rsidR="002F08F5">
        <w:t xml:space="preserve">, ka tiesa </w:t>
      </w:r>
      <w:r w:rsidR="002F08F5" w:rsidRPr="002F08F5">
        <w:t>ir nepareizi interpretējusi noteikumu Nr.</w:t>
      </w:r>
      <w:r w:rsidR="002F08F5">
        <w:t> </w:t>
      </w:r>
      <w:r w:rsidR="002F08F5" w:rsidRPr="002F08F5">
        <w:t>96 89. un 129.</w:t>
      </w:r>
      <w:r w:rsidR="002F08F5" w:rsidRPr="002F08F5">
        <w:rPr>
          <w:vertAlign w:val="superscript"/>
        </w:rPr>
        <w:t>15</w:t>
      </w:r>
      <w:r w:rsidR="002F08F5" w:rsidRPr="002F08F5">
        <w:t>punktu, kā arī Administratīvā procesa likuma 10.pantu</w:t>
      </w:r>
      <w:r w:rsidR="002F08F5">
        <w:t xml:space="preserve"> (tiesiskās paļāvības princips)</w:t>
      </w:r>
      <w:r w:rsidR="002F08F5" w:rsidRPr="002F08F5">
        <w:t xml:space="preserve"> un 86.panta otrās daļas 2. un 3.punktu</w:t>
      </w:r>
      <w:r w:rsidR="00582969">
        <w:t>.</w:t>
      </w:r>
      <w:r w:rsidR="002F08F5">
        <w:t xml:space="preserve"> Pieteicēja to pamato ar turpmāk minētajiem apsvērumiem.</w:t>
      </w:r>
    </w:p>
    <w:p w14:paraId="03AC3338" w14:textId="46762E34" w:rsidR="00582969" w:rsidRDefault="00582969" w:rsidP="00CF7832">
      <w:pPr>
        <w:spacing w:line="276" w:lineRule="auto"/>
        <w:ind w:firstLine="720"/>
        <w:contextualSpacing/>
        <w:jc w:val="both"/>
      </w:pPr>
      <w:r>
        <w:t xml:space="preserve">[3.1] </w:t>
      </w:r>
      <w:r w:rsidR="00CF5D58">
        <w:t>B</w:t>
      </w:r>
      <w:r w:rsidR="00CF5D58" w:rsidRPr="00CF5D58">
        <w:t>ūtiska nozīme bija</w:t>
      </w:r>
      <w:r w:rsidR="00101822">
        <w:t xml:space="preserve"> tam, </w:t>
      </w:r>
      <w:r w:rsidR="00CF5D58" w:rsidRPr="00CF5D58">
        <w:t xml:space="preserve">vai </w:t>
      </w:r>
      <w:r w:rsidR="00CF5D58">
        <w:t>p</w:t>
      </w:r>
      <w:r w:rsidR="00CF5D58" w:rsidRPr="00CF5D58">
        <w:t xml:space="preserve">ieteicējai labvēlīgie administratīvie akti par </w:t>
      </w:r>
      <w:r w:rsidR="00CF5D58">
        <w:t>p</w:t>
      </w:r>
      <w:r w:rsidR="00CF5D58" w:rsidRPr="00CF5D58">
        <w:t>ieteicējas izgatavoto kases aparātu reģistrēšanu bija tiesiski vai prettiesiski, jo tas ir pamats tālākam vērtējumam par to</w:t>
      </w:r>
      <w:r w:rsidR="00101822">
        <w:t>,</w:t>
      </w:r>
      <w:r w:rsidR="00CF5D58" w:rsidRPr="00CF5D58">
        <w:t xml:space="preserve"> vai </w:t>
      </w:r>
      <w:r w:rsidR="00CF5D58">
        <w:t>p</w:t>
      </w:r>
      <w:r w:rsidR="00CF5D58" w:rsidRPr="00CF5D58">
        <w:t>ieteicējas paļāvība ir bijusi aizsardzības vērta.</w:t>
      </w:r>
      <w:r w:rsidR="00CF5D58">
        <w:t xml:space="preserve"> </w:t>
      </w:r>
    </w:p>
    <w:p w14:paraId="69B5E03F" w14:textId="385DF5CB" w:rsidR="002C1604" w:rsidRDefault="00B83797" w:rsidP="00CF7832">
      <w:pPr>
        <w:spacing w:line="276" w:lineRule="auto"/>
        <w:ind w:firstLine="720"/>
        <w:contextualSpacing/>
        <w:jc w:val="both"/>
      </w:pPr>
      <w:r>
        <w:t>Ņ</w:t>
      </w:r>
      <w:r w:rsidRPr="00B83797">
        <w:t xml:space="preserve">emot vērā, ka </w:t>
      </w:r>
      <w:r>
        <w:t>Valsts ieņēmumu dienests</w:t>
      </w:r>
      <w:r w:rsidRPr="00B83797">
        <w:t xml:space="preserve"> ir deleģējis </w:t>
      </w:r>
      <w:r>
        <w:t>a</w:t>
      </w:r>
      <w:r w:rsidRPr="00B83797">
        <w:t xml:space="preserve">tbilstības pārbaudes institūcijai veikt kases aparātu atbilstības pārbaudi, kā arī izsniegt atbilstības apliecinājumus, secināms, ka </w:t>
      </w:r>
      <w:r>
        <w:t>dienests</w:t>
      </w:r>
      <w:r w:rsidRPr="00B83797">
        <w:t xml:space="preserve"> ir atbildīgs gan par minētās funkcijas izpildi kopumā, gan par trešajai personai nodarītajiem zaudējumiem, kas radušies </w:t>
      </w:r>
      <w:r>
        <w:t>a</w:t>
      </w:r>
      <w:r w:rsidRPr="00B83797">
        <w:t>tbilstības pārbaudes institūcijas kā pilnvarotās personas rīcības rezultātā</w:t>
      </w:r>
      <w:r>
        <w:t xml:space="preserve">. </w:t>
      </w:r>
    </w:p>
    <w:p w14:paraId="59EDB39E" w14:textId="213BA875" w:rsidR="00B83797" w:rsidRDefault="00C049D3" w:rsidP="00CF7832">
      <w:pPr>
        <w:spacing w:line="276" w:lineRule="auto"/>
        <w:ind w:firstLine="720"/>
        <w:contextualSpacing/>
        <w:jc w:val="both"/>
      </w:pPr>
      <w:r>
        <w:t xml:space="preserve">[3.2] Tiesa pretēji tiesiskās paļāvības principam atzinusi, </w:t>
      </w:r>
      <w:r w:rsidR="00B83797">
        <w:t>ka apstākļos, kad noteikumos Nr. 96 ietvertais tiesiskais regulējums ir sarežģīts un grūti uztverams</w:t>
      </w:r>
      <w:r w:rsidR="00C07C5B">
        <w:t>, ko atzīst gan Valsts kontrole, gan a</w:t>
      </w:r>
      <w:r w:rsidR="00C07C5B" w:rsidRPr="00C07C5B">
        <w:t>tbilstības pārbaudes institūcija</w:t>
      </w:r>
      <w:r w:rsidR="00B83797">
        <w:t xml:space="preserve">, pieteicējai kā </w:t>
      </w:r>
      <w:r w:rsidR="003036F1">
        <w:t xml:space="preserve">kases aparātus </w:t>
      </w:r>
      <w:r w:rsidR="00B83797">
        <w:t xml:space="preserve">apkalpojošam dienestam būtu jāatbild par kases aparātu konstrukcijas, programmas un plombu atbilstību. </w:t>
      </w:r>
    </w:p>
    <w:p w14:paraId="106C3F26" w14:textId="088DEEED" w:rsidR="00C049D3" w:rsidRDefault="002875F0" w:rsidP="00CF7832">
      <w:pPr>
        <w:spacing w:line="276" w:lineRule="auto"/>
        <w:ind w:firstLine="720"/>
        <w:contextualSpacing/>
        <w:jc w:val="both"/>
      </w:pPr>
      <w:r>
        <w:t>L</w:t>
      </w:r>
      <w:r w:rsidR="00FE1A39" w:rsidRPr="00FE1A39">
        <w:t xml:space="preserve">ai </w:t>
      </w:r>
      <w:r w:rsidR="00FE1A39">
        <w:t xml:space="preserve">atzītu, ka </w:t>
      </w:r>
      <w:r w:rsidR="00FE1A39" w:rsidRPr="00FE1A39">
        <w:t>persona zināja vai tai vajadzēja zināt tieši par administratīvā akta prettiesiskumu</w:t>
      </w:r>
      <w:r w:rsidR="00FE1A39">
        <w:t xml:space="preserve">, </w:t>
      </w:r>
      <w:r>
        <w:t xml:space="preserve">tam </w:t>
      </w:r>
      <w:r w:rsidR="00FE1A39" w:rsidRPr="00FE1A39">
        <w:t>ir jābūt acīmredzamam</w:t>
      </w:r>
      <w:r w:rsidR="00B627AA">
        <w:t xml:space="preserve">. </w:t>
      </w:r>
      <w:r w:rsidR="00B05E89">
        <w:t>P</w:t>
      </w:r>
      <w:r w:rsidR="00B05E89" w:rsidRPr="00B05E89">
        <w:t xml:space="preserve">rivātpersonai, darbojoties tirgū, kuru uzrauga valsts institūcija – Valsts ieņēmumu dienests, kas atbilstības pārbaudes veikšanu ir deleģējis speciāli atlasītiem, kompetentiem komersantiem, </w:t>
      </w:r>
      <w:r w:rsidR="00B05E89">
        <w:t xml:space="preserve">– nav </w:t>
      </w:r>
      <w:r w:rsidR="00B05E89" w:rsidRPr="00B05E89">
        <w:t>jāiejaucas publisko tiesību sfērā, pašiem sākot kontrolēt atbilstības pārbaudes veicēju kompetenci un pieņemto lēmumu pamatotību.</w:t>
      </w:r>
      <w:r w:rsidR="00087AAC" w:rsidRPr="00087AAC">
        <w:t xml:space="preserve"> </w:t>
      </w:r>
      <w:r w:rsidR="00087AAC">
        <w:t xml:space="preserve">Turklāt </w:t>
      </w:r>
      <w:r w:rsidR="00087AAC" w:rsidRPr="007D0155">
        <w:t>izskatām</w:t>
      </w:r>
      <w:r w:rsidR="00087AAC">
        <w:t>ā</w:t>
      </w:r>
      <w:r w:rsidR="00087AAC" w:rsidRPr="007D0155">
        <w:t xml:space="preserve"> lieta ir par </w:t>
      </w:r>
      <w:r w:rsidR="00087AAC">
        <w:t>p</w:t>
      </w:r>
      <w:r w:rsidR="00087AAC" w:rsidRPr="007D0155">
        <w:t xml:space="preserve">ieteicējas nevis kā </w:t>
      </w:r>
      <w:r w:rsidR="003036F1">
        <w:t>apkalpojošā dienesta</w:t>
      </w:r>
      <w:r w:rsidR="00087AAC">
        <w:t>, uz kuras funkcijām norādījusi apgabaltiesa</w:t>
      </w:r>
      <w:r w:rsidR="00087AAC" w:rsidRPr="007D0155">
        <w:t xml:space="preserve">, bet gan kā ierīču un iekārtu ražotāja paļaušanos uz atbilstības pārbaudes institūcijas un </w:t>
      </w:r>
      <w:r w:rsidR="00087AAC">
        <w:t>Valsts ieņēmumu dienesta</w:t>
      </w:r>
      <w:r w:rsidR="00087AAC" w:rsidRPr="007D0155">
        <w:t xml:space="preserve"> kompetenci, veicot pārbaudi par </w:t>
      </w:r>
      <w:r w:rsidR="00087AAC">
        <w:t>p</w:t>
      </w:r>
      <w:r w:rsidR="00087AAC" w:rsidRPr="007D0155">
        <w:t>ieteicējas izgatavoto kases aparātu iekļaušanu reģistrā.</w:t>
      </w:r>
    </w:p>
    <w:p w14:paraId="5F609E36" w14:textId="67C55BDC" w:rsidR="00F76B78" w:rsidRDefault="00CD6B04" w:rsidP="00CF7832">
      <w:pPr>
        <w:spacing w:line="276" w:lineRule="auto"/>
        <w:ind w:firstLine="720"/>
        <w:contextualSpacing/>
        <w:jc w:val="both"/>
      </w:pPr>
      <w:r>
        <w:t>[3.3] J</w:t>
      </w:r>
      <w:r w:rsidRPr="00CD6B04">
        <w:t>autājum</w:t>
      </w:r>
      <w:r>
        <w:t>s, vai</w:t>
      </w:r>
      <w:r w:rsidRPr="00CD6B04">
        <w:t xml:space="preserve"> personai labvēlīgais prettiesiskais akts ir ticis atcelts tāpēc, ka atcelšana ir paredzēta tiesību normā (</w:t>
      </w:r>
      <w:r>
        <w:t xml:space="preserve">Administratīvā procesa likuma </w:t>
      </w:r>
      <w:r w:rsidRPr="00CD6B04">
        <w:t>86.p</w:t>
      </w:r>
      <w:r>
        <w:t xml:space="preserve">anta </w:t>
      </w:r>
      <w:r w:rsidRPr="00CD6B04">
        <w:t>otrās daļas 2.punkts) vai tāpēc, ka administratīvā akta palikšana spēkā skāra būtiskas sabiedrības intereses</w:t>
      </w:r>
      <w:r>
        <w:t xml:space="preserve"> (Administratīvā procesa likuma </w:t>
      </w:r>
      <w:r w:rsidRPr="00CD6B04">
        <w:t>86.p</w:t>
      </w:r>
      <w:r>
        <w:t xml:space="preserve">anta </w:t>
      </w:r>
      <w:r w:rsidRPr="00CD6B04">
        <w:t>otrās daļas 3.punkts</w:t>
      </w:r>
      <w:r>
        <w:t>, kas paredz tiesības uz zaudējumu atlīdzību)</w:t>
      </w:r>
      <w:r w:rsidRPr="00CD6B04">
        <w:t xml:space="preserve">, </w:t>
      </w:r>
      <w:r>
        <w:t>ir atkarīgs no n</w:t>
      </w:r>
      <w:r w:rsidRPr="00CD6B04">
        <w:t>oteikumu Nr.</w:t>
      </w:r>
      <w:r>
        <w:t> </w:t>
      </w:r>
      <w:r w:rsidRPr="00CD6B04">
        <w:t>96 129.</w:t>
      </w:r>
      <w:r w:rsidRPr="00CD6B04">
        <w:rPr>
          <w:vertAlign w:val="superscript"/>
        </w:rPr>
        <w:t>15</w:t>
      </w:r>
      <w:r w:rsidRPr="00CD6B04">
        <w:t xml:space="preserve">punkta </w:t>
      </w:r>
      <w:r>
        <w:t>interpretācijas</w:t>
      </w:r>
      <w:r w:rsidRPr="00CD6B04">
        <w:t>.</w:t>
      </w:r>
      <w:r w:rsidR="00F6582D">
        <w:t xml:space="preserve"> </w:t>
      </w:r>
      <w:r w:rsidR="00087AAC">
        <w:t>I</w:t>
      </w:r>
      <w:r w:rsidR="007F6A33">
        <w:t xml:space="preserve">zslēgšana no </w:t>
      </w:r>
      <w:r w:rsidR="003036F1">
        <w:t>reģistra</w:t>
      </w:r>
      <w:r w:rsidR="007F6A33">
        <w:t xml:space="preserve"> atbilstoši 129.</w:t>
      </w:r>
      <w:r w:rsidR="007F6A33" w:rsidRPr="00AC4E20">
        <w:rPr>
          <w:vertAlign w:val="superscript"/>
        </w:rPr>
        <w:t>15</w:t>
      </w:r>
      <w:r w:rsidR="007F6A33">
        <w:t>punktam ir pieļaujama, ja kases aparāta programmatūra neatbilst prasībām, bet</w:t>
      </w:r>
      <w:r w:rsidR="00087AAC">
        <w:t>,</w:t>
      </w:r>
      <w:r w:rsidR="007F6A33">
        <w:t xml:space="preserve"> tā kā kopš 2015.gada 15.decembra šādu atbilstību pārbauda atbilstības pārbaudes institūcija, </w:t>
      </w:r>
      <w:r w:rsidR="003036F1">
        <w:t xml:space="preserve">šī tiesību </w:t>
      </w:r>
      <w:r w:rsidR="007F6A33">
        <w:t>norma būtu piemērojama tika</w:t>
      </w:r>
      <w:r w:rsidR="003036F1">
        <w:t>i</w:t>
      </w:r>
      <w:r w:rsidR="007F6A33">
        <w:t xml:space="preserve"> tajos gadījumos, kad kases aparāti kļūst neatbilstoši vēlāku tiesiskā regulējuma izmaiņu dēļ vai kad </w:t>
      </w:r>
      <w:r w:rsidR="00A95CDB">
        <w:t>lietošanā nodotais</w:t>
      </w:r>
      <w:r w:rsidR="007F6A33">
        <w:t xml:space="preserve"> modelis atšķiras no pārbaudītā.</w:t>
      </w:r>
      <w:r w:rsidR="00446C50">
        <w:t xml:space="preserve"> </w:t>
      </w:r>
      <w:r w:rsidR="003036F1">
        <w:t>Noteikumu Nr. 96 129.</w:t>
      </w:r>
      <w:r w:rsidR="003036F1" w:rsidRPr="003036F1">
        <w:rPr>
          <w:vertAlign w:val="superscript"/>
        </w:rPr>
        <w:t>15</w:t>
      </w:r>
      <w:r w:rsidR="003036F1">
        <w:t xml:space="preserve">punkts </w:t>
      </w:r>
      <w:r w:rsidR="00AC4E20">
        <w:t>nav uzskatām</w:t>
      </w:r>
      <w:r w:rsidR="003036F1">
        <w:t>s</w:t>
      </w:r>
      <w:r w:rsidR="00AC4E20">
        <w:t xml:space="preserve"> par normu, kas paredz izslēgt kases aparātus no saraksta arī tad, ja tie sākotnēji nepareizi iekļauti sarakstā kļūdainas tiesību normu interpretācijas dēļ. </w:t>
      </w:r>
      <w:r w:rsidR="00F76B78">
        <w:t>Pretējā gadījumā zūd jēga atbilstības pārbaudes institūcijai.</w:t>
      </w:r>
    </w:p>
    <w:p w14:paraId="74CEA380" w14:textId="77777777" w:rsidR="00F76B78" w:rsidRDefault="00F76B78" w:rsidP="00CF7832">
      <w:pPr>
        <w:spacing w:line="276" w:lineRule="auto"/>
        <w:ind w:firstLine="720"/>
        <w:contextualSpacing/>
        <w:jc w:val="both"/>
      </w:pPr>
    </w:p>
    <w:p w14:paraId="053E8CC2" w14:textId="1194C622" w:rsidR="00164165" w:rsidRPr="00164165" w:rsidRDefault="00164165" w:rsidP="00CF7832">
      <w:pPr>
        <w:spacing w:line="276" w:lineRule="auto"/>
        <w:ind w:firstLine="720"/>
        <w:contextualSpacing/>
        <w:jc w:val="both"/>
        <w:rPr>
          <w:i/>
          <w:iCs/>
        </w:rPr>
      </w:pPr>
      <w:r w:rsidRPr="00164165">
        <w:rPr>
          <w:i/>
          <w:iCs/>
        </w:rPr>
        <w:t>Valsts ieņēmumu dienesta paskaidrojumi</w:t>
      </w:r>
    </w:p>
    <w:p w14:paraId="72331227" w14:textId="2CAA4FCD" w:rsidR="00164165" w:rsidRDefault="00164165" w:rsidP="00CF7832">
      <w:pPr>
        <w:spacing w:line="276" w:lineRule="auto"/>
        <w:ind w:firstLine="720"/>
        <w:contextualSpacing/>
        <w:jc w:val="both"/>
      </w:pPr>
      <w:r>
        <w:t>[4] Valsts ieņēmumu dienests paskaidrojumos par kasācijas sūdzību to neatzīst.</w:t>
      </w:r>
    </w:p>
    <w:p w14:paraId="4BE967E8" w14:textId="50B0386C" w:rsidR="008F79A9" w:rsidRDefault="00304B7B" w:rsidP="00CF7832">
      <w:pPr>
        <w:spacing w:before="360" w:after="360" w:line="276" w:lineRule="auto"/>
        <w:jc w:val="center"/>
        <w:rPr>
          <w:b/>
          <w:shd w:val="clear" w:color="auto" w:fill="FFFFFF"/>
        </w:rPr>
      </w:pPr>
      <w:r>
        <w:rPr>
          <w:b/>
          <w:shd w:val="clear" w:color="auto" w:fill="FFFFFF"/>
        </w:rPr>
        <w:t>M</w:t>
      </w:r>
      <w:r w:rsidR="008F79A9" w:rsidRPr="008F79A9">
        <w:rPr>
          <w:b/>
          <w:shd w:val="clear" w:color="auto" w:fill="FFFFFF"/>
        </w:rPr>
        <w:t>otīvu daļa</w:t>
      </w:r>
    </w:p>
    <w:p w14:paraId="1059E686" w14:textId="31EEFC9E" w:rsidR="00856BDB" w:rsidRDefault="00927F11" w:rsidP="00CF7832">
      <w:pPr>
        <w:shd w:val="clear" w:color="auto" w:fill="FFFFFF"/>
        <w:spacing w:line="276" w:lineRule="auto"/>
        <w:ind w:firstLine="720"/>
        <w:jc w:val="both"/>
        <w:rPr>
          <w:bCs/>
        </w:rPr>
      </w:pPr>
      <w:bookmarkStart w:id="0" w:name="_Hlk126135345"/>
      <w:r>
        <w:rPr>
          <w:bCs/>
        </w:rPr>
        <w:t>[</w:t>
      </w:r>
      <w:r w:rsidR="00880091">
        <w:rPr>
          <w:bCs/>
        </w:rPr>
        <w:t>5</w:t>
      </w:r>
      <w:r>
        <w:rPr>
          <w:bCs/>
        </w:rPr>
        <w:t>]</w:t>
      </w:r>
      <w:r w:rsidR="003036F1">
        <w:rPr>
          <w:bCs/>
        </w:rPr>
        <w:t xml:space="preserve"> </w:t>
      </w:r>
      <w:r w:rsidR="0035114F">
        <w:rPr>
          <w:bCs/>
        </w:rPr>
        <w:t xml:space="preserve">Senātam jāpārbauda, vai </w:t>
      </w:r>
      <w:r w:rsidR="00856BDB">
        <w:rPr>
          <w:bCs/>
        </w:rPr>
        <w:t>apgabaltiesa pareizi interpretējusi noteikumu Nr. 96 129.</w:t>
      </w:r>
      <w:r w:rsidR="00856BDB" w:rsidRPr="00911D1A">
        <w:rPr>
          <w:bCs/>
          <w:vertAlign w:val="superscript"/>
        </w:rPr>
        <w:t>15</w:t>
      </w:r>
      <w:r w:rsidR="00856BDB">
        <w:rPr>
          <w:bCs/>
        </w:rPr>
        <w:t>punktu, atzīstot to par tiesību normu, kas paredz labvēlīga prettiesiska administratīvā akta atcelšanu Administratīvā procesa likuma 86.panta otrās daļas 2.punkta izpratnē. Tāpat ir jāpārbauda, vai apgabaltiesa pienācīgi apsvērusi, vai ir konkrētajā gadījumā ir aizsargājama pieteicējas tiesiskā paļāvība uz iepriekš izdoto labvēlīgo administratīvo aktu.</w:t>
      </w:r>
    </w:p>
    <w:p w14:paraId="687B1040" w14:textId="77777777" w:rsidR="0035114F" w:rsidRDefault="0035114F" w:rsidP="00CF7832">
      <w:pPr>
        <w:shd w:val="clear" w:color="auto" w:fill="FFFFFF"/>
        <w:spacing w:line="276" w:lineRule="auto"/>
        <w:ind w:firstLine="720"/>
        <w:jc w:val="both"/>
        <w:rPr>
          <w:bCs/>
        </w:rPr>
      </w:pPr>
    </w:p>
    <w:p w14:paraId="1B66F5C7" w14:textId="3E901E5A" w:rsidR="0035114F" w:rsidRDefault="0035114F" w:rsidP="00CF7832">
      <w:pPr>
        <w:shd w:val="clear" w:color="auto" w:fill="FFFFFF"/>
        <w:spacing w:line="276" w:lineRule="auto"/>
        <w:ind w:firstLine="720"/>
        <w:jc w:val="both"/>
        <w:rPr>
          <w:bCs/>
        </w:rPr>
      </w:pPr>
      <w:r>
        <w:rPr>
          <w:bCs/>
        </w:rPr>
        <w:t>[6] Apgabaltiesa ir atzinusi, ka</w:t>
      </w:r>
      <w:r w:rsidR="00777CEE">
        <w:rPr>
          <w:bCs/>
        </w:rPr>
        <w:t xml:space="preserve"> Valsts ieņēmumu dienesta 2017.gada </w:t>
      </w:r>
      <w:r w:rsidR="00777CEE" w:rsidRPr="00777CEE">
        <w:rPr>
          <w:bCs/>
        </w:rPr>
        <w:t>28.aprīļa, 9.maija un 12.maija</w:t>
      </w:r>
      <w:r w:rsidR="00777CEE">
        <w:rPr>
          <w:bCs/>
        </w:rPr>
        <w:t xml:space="preserve"> lēmumi par </w:t>
      </w:r>
      <w:r w:rsidR="003036F1">
        <w:rPr>
          <w:bCs/>
        </w:rPr>
        <w:t>strīdus</w:t>
      </w:r>
      <w:r w:rsidR="00777CEE">
        <w:rPr>
          <w:bCs/>
        </w:rPr>
        <w:t xml:space="preserve"> kases aparātu reģistrēšanu</w:t>
      </w:r>
      <w:r w:rsidR="00350F59">
        <w:rPr>
          <w:bCs/>
        </w:rPr>
        <w:t xml:space="preserve"> bija labvēlīgi prettiesiski administratīvie akti, jo vēlāk konstatētās neatbilstības noteikumu Nr. 95 prasībām pastāvēja jau reģistrēšanas laikā. Par to būtībā vairs nav strīda. </w:t>
      </w:r>
    </w:p>
    <w:p w14:paraId="30C6C6E1" w14:textId="77777777" w:rsidR="00AE6948" w:rsidRDefault="00AE6948" w:rsidP="00CF7832">
      <w:pPr>
        <w:shd w:val="clear" w:color="auto" w:fill="FFFFFF"/>
        <w:spacing w:line="276" w:lineRule="auto"/>
        <w:ind w:firstLine="720"/>
        <w:jc w:val="both"/>
        <w:rPr>
          <w:bCs/>
        </w:rPr>
      </w:pPr>
    </w:p>
    <w:p w14:paraId="29AB0FC2" w14:textId="1C4E68F8" w:rsidR="00AE6948" w:rsidRDefault="00AE6948" w:rsidP="00CF7832">
      <w:pPr>
        <w:shd w:val="clear" w:color="auto" w:fill="FFFFFF"/>
        <w:spacing w:line="276" w:lineRule="auto"/>
        <w:ind w:firstLine="720"/>
        <w:jc w:val="both"/>
        <w:rPr>
          <w:bCs/>
        </w:rPr>
      </w:pPr>
      <w:r>
        <w:rPr>
          <w:bCs/>
        </w:rPr>
        <w:t xml:space="preserve">[7] </w:t>
      </w:r>
      <w:r w:rsidR="00911D1A">
        <w:rPr>
          <w:bCs/>
        </w:rPr>
        <w:t>Tālāk a</w:t>
      </w:r>
      <w:r>
        <w:rPr>
          <w:bCs/>
        </w:rPr>
        <w:t>pgabaltiesa ir atzinusi, ka Valsts ieņēmumu dienests ir atcēlis šos labvēlīgos administratīvos aktus, pamatojoties uz Administratīvā procesa likuma 86.panta otrās daļas 2.punktu, kas paredz, ka atcelšana pieļaujama, ja tiesību norma to tieši paredz. Gadījumā, ja labvēlīgas prettiesisks administratīvais akts tiek atcelts uz šāda pamata, Administratīvā procesa likums neparedz atlīdzināt privātpersonai radušos zaudējumus. Savukārt pieteicēja nepiekrīt, ka noteikumu Nr. 96 129.</w:t>
      </w:r>
      <w:r w:rsidRPr="00AE6948">
        <w:rPr>
          <w:bCs/>
          <w:vertAlign w:val="superscript"/>
        </w:rPr>
        <w:t>15</w:t>
      </w:r>
      <w:r>
        <w:rPr>
          <w:bCs/>
        </w:rPr>
        <w:t>punkts būtu šāda norma, kas paredz administratīvā akta atcelšanu tā sākotnēja prettiesiskuma gadījumā.</w:t>
      </w:r>
      <w:r w:rsidR="0081580D">
        <w:rPr>
          <w:bCs/>
        </w:rPr>
        <w:t xml:space="preserve"> Līdz ar to ir jānoskaidro noteikumu Nr. 96 129.</w:t>
      </w:r>
      <w:r w:rsidR="0081580D" w:rsidRPr="0081580D">
        <w:rPr>
          <w:bCs/>
          <w:vertAlign w:val="superscript"/>
        </w:rPr>
        <w:t>15</w:t>
      </w:r>
      <w:r w:rsidR="0081580D">
        <w:rPr>
          <w:bCs/>
        </w:rPr>
        <w:t>punkta tvērums.</w:t>
      </w:r>
    </w:p>
    <w:p w14:paraId="7EDE512E" w14:textId="77777777" w:rsidR="003B69AA" w:rsidRDefault="003B69AA" w:rsidP="00CF7832">
      <w:pPr>
        <w:shd w:val="clear" w:color="auto" w:fill="FFFFFF"/>
        <w:spacing w:line="276" w:lineRule="auto"/>
        <w:ind w:firstLine="720"/>
        <w:jc w:val="both"/>
        <w:rPr>
          <w:bCs/>
        </w:rPr>
      </w:pPr>
    </w:p>
    <w:p w14:paraId="10016DC3" w14:textId="0DC8D4BB" w:rsidR="003B69AA" w:rsidRDefault="003B69AA" w:rsidP="00CF7832">
      <w:pPr>
        <w:shd w:val="clear" w:color="auto" w:fill="FFFFFF"/>
        <w:spacing w:line="276" w:lineRule="auto"/>
        <w:ind w:firstLine="720"/>
        <w:jc w:val="both"/>
        <w:rPr>
          <w:bCs/>
        </w:rPr>
      </w:pPr>
      <w:r>
        <w:rPr>
          <w:bCs/>
        </w:rPr>
        <w:t>[</w:t>
      </w:r>
      <w:r w:rsidR="00913F70">
        <w:rPr>
          <w:bCs/>
        </w:rPr>
        <w:t>8</w:t>
      </w:r>
      <w:r>
        <w:rPr>
          <w:bCs/>
        </w:rPr>
        <w:t xml:space="preserve">] </w:t>
      </w:r>
      <w:r w:rsidR="001958EC">
        <w:rPr>
          <w:bCs/>
        </w:rPr>
        <w:t>Likuma „Par nodokļiem un nodevām” 28.</w:t>
      </w:r>
      <w:r w:rsidR="001958EC" w:rsidRPr="001958EC">
        <w:rPr>
          <w:bCs/>
          <w:vertAlign w:val="superscript"/>
        </w:rPr>
        <w:t>1</w:t>
      </w:r>
      <w:r w:rsidR="001958EC">
        <w:rPr>
          <w:bCs/>
        </w:rPr>
        <w:t xml:space="preserve">pants </w:t>
      </w:r>
      <w:r w:rsidR="00911D1A">
        <w:rPr>
          <w:bCs/>
        </w:rPr>
        <w:t xml:space="preserve">paredz </w:t>
      </w:r>
      <w:r w:rsidR="001958EC">
        <w:rPr>
          <w:bCs/>
        </w:rPr>
        <w:t>n</w:t>
      </w:r>
      <w:r w:rsidR="001958EC" w:rsidRPr="001958EC">
        <w:rPr>
          <w:bCs/>
        </w:rPr>
        <w:t>odokļu un citu maksājumu reģistrēšanas elektronisko ierīču un iekārtu</w:t>
      </w:r>
      <w:r w:rsidR="001958EC">
        <w:rPr>
          <w:bCs/>
        </w:rPr>
        <w:t>, tostarp kases aparātu,</w:t>
      </w:r>
      <w:r w:rsidR="001958EC" w:rsidRPr="001958EC">
        <w:rPr>
          <w:bCs/>
        </w:rPr>
        <w:t xml:space="preserve"> lietošan</w:t>
      </w:r>
      <w:r w:rsidR="001958EC">
        <w:rPr>
          <w:bCs/>
        </w:rPr>
        <w:t>u</w:t>
      </w:r>
      <w:r w:rsidR="001958EC" w:rsidRPr="001958EC">
        <w:rPr>
          <w:bCs/>
        </w:rPr>
        <w:t xml:space="preserve"> nodokļu un nodevu aprēķināšanai</w:t>
      </w:r>
      <w:r w:rsidR="00911D1A">
        <w:rPr>
          <w:bCs/>
        </w:rPr>
        <w:t xml:space="preserve">, kā arī </w:t>
      </w:r>
      <w:r w:rsidR="001958EC">
        <w:rPr>
          <w:bCs/>
        </w:rPr>
        <w:t xml:space="preserve">deleģē Ministru kabinetam šos jautājumus detalizēti noregulēt, tostarp paredzot </w:t>
      </w:r>
      <w:r w:rsidR="001958EC" w:rsidRPr="001958EC">
        <w:rPr>
          <w:bCs/>
        </w:rPr>
        <w:t>no</w:t>
      </w:r>
      <w:r w:rsidR="001958EC">
        <w:rPr>
          <w:bCs/>
        </w:rPr>
        <w:t>teikt</w:t>
      </w:r>
      <w:r w:rsidR="001958EC" w:rsidRPr="001958EC">
        <w:rPr>
          <w:bCs/>
        </w:rPr>
        <w:t xml:space="preserve"> kārtību, kādā veic elektronisko ierīču un iekārtu atbilstības pārbaudi un apliecina to atbilstību normatīvajiem aktiem, kuri nosaka </w:t>
      </w:r>
      <w:r w:rsidR="00911D1A">
        <w:rPr>
          <w:bCs/>
        </w:rPr>
        <w:t xml:space="preserve">šādu </w:t>
      </w:r>
      <w:r w:rsidR="001958EC" w:rsidRPr="001958EC">
        <w:rPr>
          <w:bCs/>
        </w:rPr>
        <w:t>ierīču un iekārtu tehniskās prasības.</w:t>
      </w:r>
      <w:r w:rsidR="001958EC">
        <w:rPr>
          <w:bCs/>
        </w:rPr>
        <w:t xml:space="preserve"> Attiecīgi ir izdoti noteikumi Nr. 95 (</w:t>
      </w:r>
      <w:r w:rsidR="00ED13A4">
        <w:rPr>
          <w:bCs/>
        </w:rPr>
        <w:t xml:space="preserve">tehniskās prasības </w:t>
      </w:r>
      <w:r w:rsidR="001958EC">
        <w:rPr>
          <w:bCs/>
        </w:rPr>
        <w:t>ierīcēm un iekārtām) un Nr. 96 (</w:t>
      </w:r>
      <w:r w:rsidR="00ED13A4">
        <w:rPr>
          <w:bCs/>
        </w:rPr>
        <w:t xml:space="preserve">ierīču un iekārtu lietošanas </w:t>
      </w:r>
      <w:r w:rsidR="001958EC">
        <w:rPr>
          <w:bCs/>
        </w:rPr>
        <w:t>kārtīb</w:t>
      </w:r>
      <w:r w:rsidR="00ED13A4">
        <w:rPr>
          <w:bCs/>
        </w:rPr>
        <w:t>a</w:t>
      </w:r>
      <w:r w:rsidR="001958EC">
        <w:rPr>
          <w:bCs/>
        </w:rPr>
        <w:t>)</w:t>
      </w:r>
      <w:r w:rsidR="00ED13A4">
        <w:rPr>
          <w:bCs/>
        </w:rPr>
        <w:t>.</w:t>
      </w:r>
    </w:p>
    <w:p w14:paraId="5F0F7831" w14:textId="541CCA10" w:rsidR="00ED13A4" w:rsidRDefault="00ED13A4" w:rsidP="00CF7832">
      <w:pPr>
        <w:shd w:val="clear" w:color="auto" w:fill="FFFFFF"/>
        <w:spacing w:line="276" w:lineRule="auto"/>
        <w:ind w:firstLine="720"/>
        <w:jc w:val="both"/>
        <w:rPr>
          <w:bCs/>
        </w:rPr>
      </w:pPr>
      <w:r>
        <w:rPr>
          <w:bCs/>
        </w:rPr>
        <w:t>N</w:t>
      </w:r>
      <w:r w:rsidRPr="001958EC">
        <w:rPr>
          <w:bCs/>
        </w:rPr>
        <w:t>odokļu un citu maksājumu reģistrēšanas elektronisko ierīču un iekārtu</w:t>
      </w:r>
      <w:r>
        <w:rPr>
          <w:bCs/>
        </w:rPr>
        <w:t xml:space="preserve"> (turpmāk šīs lietas kontekstā – kases aparāti) lietošanas mērķis ir uzskaitīt maksājumus un nodokļus, tātad nodrošināt, lai tiktu pareizi iekasēti nodokļi. T</w:t>
      </w:r>
      <w:r w:rsidR="00C2060D">
        <w:rPr>
          <w:bCs/>
        </w:rPr>
        <w:t>ieši t</w:t>
      </w:r>
      <w:r>
        <w:rPr>
          <w:bCs/>
        </w:rPr>
        <w:t>ā ir leģitīmā interese, kuras dēļ ir strikti regulētas tehniskās prasības kases aparātiem, to atbilstības pārbaudei un lietošanai, proti, lai nebūtu iespējama krāpšanās ar maksājumu un nodokļu uzskaiti.</w:t>
      </w:r>
    </w:p>
    <w:p w14:paraId="3AF0CD37" w14:textId="77777777" w:rsidR="00847D47" w:rsidRDefault="00847D47" w:rsidP="00CF7832">
      <w:pPr>
        <w:shd w:val="clear" w:color="auto" w:fill="FFFFFF"/>
        <w:spacing w:line="276" w:lineRule="auto"/>
        <w:ind w:firstLine="720"/>
        <w:jc w:val="both"/>
        <w:rPr>
          <w:bCs/>
        </w:rPr>
      </w:pPr>
    </w:p>
    <w:p w14:paraId="500BA58D" w14:textId="5CC40965" w:rsidR="00C8572F" w:rsidRDefault="00C2060D" w:rsidP="00CF7832">
      <w:pPr>
        <w:shd w:val="clear" w:color="auto" w:fill="FFFFFF"/>
        <w:spacing w:line="276" w:lineRule="auto"/>
        <w:ind w:firstLine="720"/>
        <w:jc w:val="both"/>
        <w:rPr>
          <w:bCs/>
        </w:rPr>
      </w:pPr>
      <w:r>
        <w:rPr>
          <w:bCs/>
        </w:rPr>
        <w:t>[</w:t>
      </w:r>
      <w:r w:rsidR="00913F70">
        <w:rPr>
          <w:bCs/>
        </w:rPr>
        <w:t>9</w:t>
      </w:r>
      <w:r>
        <w:rPr>
          <w:bCs/>
        </w:rPr>
        <w:t xml:space="preserve">] </w:t>
      </w:r>
      <w:r w:rsidR="009C68BA">
        <w:rPr>
          <w:bCs/>
        </w:rPr>
        <w:t xml:space="preserve">Noteikumi Nr. 96 </w:t>
      </w:r>
      <w:r w:rsidR="00C8572F" w:rsidRPr="00933C80">
        <w:rPr>
          <w:bCs/>
        </w:rPr>
        <w:t>(</w:t>
      </w:r>
      <w:r w:rsidR="00C8572F" w:rsidRPr="009553B1">
        <w:rPr>
          <w:bCs/>
          <w:i/>
          <w:iCs/>
        </w:rPr>
        <w:t xml:space="preserve">šeit un turpmāk redakcijā, kas bija spēkā, kad </w:t>
      </w:r>
      <w:r w:rsidR="003036F1">
        <w:rPr>
          <w:bCs/>
          <w:i/>
          <w:iCs/>
        </w:rPr>
        <w:t xml:space="preserve">strīdus </w:t>
      </w:r>
      <w:r w:rsidR="00C8572F" w:rsidRPr="009553B1">
        <w:rPr>
          <w:bCs/>
          <w:i/>
          <w:iCs/>
        </w:rPr>
        <w:t>kases aparāti tika reģistrēti</w:t>
      </w:r>
      <w:r w:rsidR="00C8572F">
        <w:rPr>
          <w:bCs/>
        </w:rPr>
        <w:t xml:space="preserve">) </w:t>
      </w:r>
      <w:r w:rsidR="009C68BA">
        <w:rPr>
          <w:bCs/>
        </w:rPr>
        <w:t>paredz k</w:t>
      </w:r>
      <w:r w:rsidR="009C68BA" w:rsidRPr="009C68BA">
        <w:rPr>
          <w:bCs/>
        </w:rPr>
        <w:t>ases aparātu modeļa, modifikācijas un programmas versijas atbilstības pārbaud</w:t>
      </w:r>
      <w:r w:rsidR="009C68BA">
        <w:rPr>
          <w:bCs/>
        </w:rPr>
        <w:t xml:space="preserve">i, kura tiek veikta, </w:t>
      </w:r>
      <w:r w:rsidR="009C68BA" w:rsidRPr="009C68BA">
        <w:rPr>
          <w:bCs/>
        </w:rPr>
        <w:t>lai pārliecinātos par atbilstību nodokļu un citu maksājumu reģistrēšanas elektronisko ierīču un iekārtu tehniskajām prasībām</w:t>
      </w:r>
      <w:r w:rsidR="009C68BA">
        <w:rPr>
          <w:bCs/>
        </w:rPr>
        <w:t xml:space="preserve"> (</w:t>
      </w:r>
      <w:r w:rsidR="009C68BA" w:rsidRPr="0043541D">
        <w:rPr>
          <w:bCs/>
          <w:i/>
          <w:iCs/>
        </w:rPr>
        <w:t>noteikumu Nr. 96 121.</w:t>
      </w:r>
      <w:r w:rsidR="009C68BA" w:rsidRPr="0043541D">
        <w:rPr>
          <w:bCs/>
          <w:i/>
          <w:iCs/>
          <w:vertAlign w:val="superscript"/>
        </w:rPr>
        <w:t>1</w:t>
      </w:r>
      <w:r w:rsidR="009C68BA" w:rsidRPr="0043541D">
        <w:rPr>
          <w:bCs/>
          <w:i/>
          <w:iCs/>
        </w:rPr>
        <w:t>punkts</w:t>
      </w:r>
      <w:r w:rsidR="009C68BA">
        <w:rPr>
          <w:bCs/>
        </w:rPr>
        <w:t>).</w:t>
      </w:r>
      <w:r w:rsidR="00BD4E49">
        <w:rPr>
          <w:bCs/>
        </w:rPr>
        <w:t xml:space="preserve"> Kā pareizi norāda pieteicēja, atbilstības pārbaude ir uzticēta atbilstības pārbaudes institūcijām, kurām tiek izvirzītas augstas kompetences prasības un prasība reģistrēties Valsts ieņēmumu dienestā</w:t>
      </w:r>
      <w:r w:rsidR="00A46F51">
        <w:rPr>
          <w:bCs/>
        </w:rPr>
        <w:t>, turklāt paredzēta institūcijas kompetences izvērtēšana Valsts ieņēmumu dienestā</w:t>
      </w:r>
      <w:r w:rsidR="00BD4E49">
        <w:rPr>
          <w:bCs/>
        </w:rPr>
        <w:t xml:space="preserve"> (</w:t>
      </w:r>
      <w:r w:rsidR="00BD4E49" w:rsidRPr="0043541D">
        <w:rPr>
          <w:bCs/>
          <w:i/>
          <w:iCs/>
        </w:rPr>
        <w:t>noteikumu Nr. 96 121.</w:t>
      </w:r>
      <w:r w:rsidR="00BD4E49" w:rsidRPr="0043541D">
        <w:rPr>
          <w:bCs/>
          <w:i/>
          <w:iCs/>
          <w:vertAlign w:val="superscript"/>
        </w:rPr>
        <w:t>2</w:t>
      </w:r>
      <w:r w:rsidR="00BD4E49" w:rsidRPr="0043541D">
        <w:rPr>
          <w:bCs/>
          <w:i/>
          <w:iCs/>
        </w:rPr>
        <w:t>–121.</w:t>
      </w:r>
      <w:r w:rsidR="00BD4E49" w:rsidRPr="0043541D">
        <w:rPr>
          <w:bCs/>
          <w:i/>
          <w:iCs/>
          <w:vertAlign w:val="superscript"/>
        </w:rPr>
        <w:t>3</w:t>
      </w:r>
      <w:r w:rsidR="00A46F51">
        <w:rPr>
          <w:bCs/>
          <w:i/>
          <w:iCs/>
        </w:rPr>
        <w:t>, 124.p</w:t>
      </w:r>
      <w:r w:rsidR="00BD4E49" w:rsidRPr="0043541D">
        <w:rPr>
          <w:bCs/>
          <w:i/>
          <w:iCs/>
        </w:rPr>
        <w:t>unkts</w:t>
      </w:r>
      <w:r w:rsidR="00BD4E49">
        <w:rPr>
          <w:bCs/>
        </w:rPr>
        <w:t xml:space="preserve">). </w:t>
      </w:r>
      <w:r w:rsidR="00B84BB4">
        <w:rPr>
          <w:bCs/>
        </w:rPr>
        <w:t>Atbilstības apliecinājumu šāda institūcija izsniedz pēc kases aparātus apkalpojošā dienesta iesniegtās tehniskās dokumentācijas</w:t>
      </w:r>
      <w:r w:rsidR="00D837D7">
        <w:rPr>
          <w:bCs/>
        </w:rPr>
        <w:t xml:space="preserve"> pārbaudes</w:t>
      </w:r>
      <w:r w:rsidR="00356536">
        <w:rPr>
          <w:bCs/>
        </w:rPr>
        <w:t xml:space="preserve">; </w:t>
      </w:r>
      <w:r w:rsidR="00D837D7">
        <w:rPr>
          <w:bCs/>
        </w:rPr>
        <w:t xml:space="preserve">atbilstības </w:t>
      </w:r>
      <w:r w:rsidR="00356536">
        <w:rPr>
          <w:bCs/>
        </w:rPr>
        <w:t>apliecinājumu</w:t>
      </w:r>
      <w:r w:rsidR="00D837D7">
        <w:rPr>
          <w:bCs/>
        </w:rPr>
        <w:t>, ja tādu ir pamats izsniegt,</w:t>
      </w:r>
      <w:r w:rsidR="00356536">
        <w:rPr>
          <w:bCs/>
        </w:rPr>
        <w:t xml:space="preserve"> nosūt</w:t>
      </w:r>
      <w:r w:rsidR="00387E86">
        <w:rPr>
          <w:bCs/>
        </w:rPr>
        <w:t>a</w:t>
      </w:r>
      <w:r w:rsidR="00356536">
        <w:rPr>
          <w:bCs/>
        </w:rPr>
        <w:t xml:space="preserve"> arī  Valsts ieņēmumu dienestam</w:t>
      </w:r>
      <w:r w:rsidR="00B84BB4">
        <w:rPr>
          <w:bCs/>
        </w:rPr>
        <w:t xml:space="preserve"> (</w:t>
      </w:r>
      <w:r w:rsidR="00B84BB4" w:rsidRPr="0043541D">
        <w:rPr>
          <w:bCs/>
          <w:i/>
          <w:iCs/>
        </w:rPr>
        <w:t>noteikumu Nr. 96 121.</w:t>
      </w:r>
      <w:r w:rsidR="00B84BB4" w:rsidRPr="0043541D">
        <w:rPr>
          <w:bCs/>
          <w:i/>
          <w:iCs/>
          <w:vertAlign w:val="superscript"/>
        </w:rPr>
        <w:t>4</w:t>
      </w:r>
      <w:r w:rsidR="00B84BB4" w:rsidRPr="0043541D">
        <w:rPr>
          <w:bCs/>
          <w:i/>
          <w:iCs/>
        </w:rPr>
        <w:t>–121.</w:t>
      </w:r>
      <w:r w:rsidR="00B84BB4" w:rsidRPr="0043541D">
        <w:rPr>
          <w:bCs/>
          <w:i/>
          <w:iCs/>
          <w:vertAlign w:val="superscript"/>
        </w:rPr>
        <w:t>5</w:t>
      </w:r>
      <w:r w:rsidR="0043541D" w:rsidRPr="0043541D">
        <w:rPr>
          <w:bCs/>
          <w:i/>
          <w:iCs/>
        </w:rPr>
        <w:t>, 121.</w:t>
      </w:r>
      <w:r w:rsidR="0043541D" w:rsidRPr="0043541D">
        <w:rPr>
          <w:bCs/>
          <w:i/>
          <w:iCs/>
          <w:vertAlign w:val="superscript"/>
        </w:rPr>
        <w:t>8</w:t>
      </w:r>
      <w:r w:rsidR="00B84BB4" w:rsidRPr="0043541D">
        <w:rPr>
          <w:bCs/>
          <w:i/>
          <w:iCs/>
        </w:rPr>
        <w:t>punkts</w:t>
      </w:r>
      <w:r w:rsidR="00B84BB4">
        <w:rPr>
          <w:bCs/>
        </w:rPr>
        <w:t xml:space="preserve">). </w:t>
      </w:r>
      <w:r w:rsidR="00356536">
        <w:rPr>
          <w:bCs/>
        </w:rPr>
        <w:t>Pēc vēl citu papildu dokumentu iesniegšanas Valsts ieņēmumu dienestā dienests var reģistrēt attiecīgos kases aparātu</w:t>
      </w:r>
      <w:r w:rsidR="00387E86">
        <w:rPr>
          <w:bCs/>
        </w:rPr>
        <w:t>s</w:t>
      </w:r>
      <w:r w:rsidR="00356536">
        <w:rPr>
          <w:bCs/>
        </w:rPr>
        <w:t xml:space="preserve"> reģistrā (</w:t>
      </w:r>
      <w:r w:rsidR="00356536" w:rsidRPr="002A07B1">
        <w:rPr>
          <w:bCs/>
          <w:i/>
          <w:iCs/>
        </w:rPr>
        <w:t>noteikumu Nr. 96 129.</w:t>
      </w:r>
      <w:r w:rsidR="00356536" w:rsidRPr="002A07B1">
        <w:rPr>
          <w:bCs/>
          <w:i/>
          <w:iCs/>
          <w:vertAlign w:val="superscript"/>
        </w:rPr>
        <w:t>2</w:t>
      </w:r>
      <w:r w:rsidR="00356536" w:rsidRPr="002A07B1">
        <w:rPr>
          <w:bCs/>
          <w:i/>
          <w:iCs/>
        </w:rPr>
        <w:t>–</w:t>
      </w:r>
      <w:r w:rsidR="002A07B1" w:rsidRPr="002A07B1">
        <w:rPr>
          <w:bCs/>
          <w:i/>
          <w:iCs/>
        </w:rPr>
        <w:t>129.</w:t>
      </w:r>
      <w:r w:rsidR="002A07B1" w:rsidRPr="002A07B1">
        <w:rPr>
          <w:bCs/>
          <w:i/>
          <w:iCs/>
          <w:vertAlign w:val="superscript"/>
        </w:rPr>
        <w:t>9</w:t>
      </w:r>
      <w:r w:rsidR="002A07B1" w:rsidRPr="002A07B1">
        <w:rPr>
          <w:bCs/>
          <w:i/>
          <w:iCs/>
        </w:rPr>
        <w:t>punkts</w:t>
      </w:r>
      <w:r w:rsidR="002A07B1">
        <w:rPr>
          <w:bCs/>
        </w:rPr>
        <w:t xml:space="preserve">). </w:t>
      </w:r>
    </w:p>
    <w:p w14:paraId="10AFDBB1" w14:textId="62F63391" w:rsidR="00C8572F" w:rsidRDefault="009E43BF" w:rsidP="00CF7832">
      <w:pPr>
        <w:shd w:val="clear" w:color="auto" w:fill="FFFFFF"/>
        <w:spacing w:line="276" w:lineRule="auto"/>
        <w:ind w:firstLine="720"/>
        <w:jc w:val="both"/>
        <w:rPr>
          <w:bCs/>
        </w:rPr>
      </w:pPr>
      <w:r>
        <w:rPr>
          <w:bCs/>
        </w:rPr>
        <w:t xml:space="preserve">Dienests var atteikt reģistrāciju, ja netiek saņemti </w:t>
      </w:r>
      <w:r w:rsidRPr="009E43BF">
        <w:rPr>
          <w:bCs/>
        </w:rPr>
        <w:t>nepieciešamie dokumenti</w:t>
      </w:r>
      <w:r>
        <w:rPr>
          <w:bCs/>
        </w:rPr>
        <w:t xml:space="preserve">, </w:t>
      </w:r>
      <w:r w:rsidRPr="009E43BF">
        <w:rPr>
          <w:bCs/>
        </w:rPr>
        <w:t xml:space="preserve">tie nav pilnīgi, tajos sniegtā informācija nav pietiekama un patiesa vai </w:t>
      </w:r>
      <w:r>
        <w:rPr>
          <w:bCs/>
        </w:rPr>
        <w:t xml:space="preserve">– attiecībā uz kases aparātiem – </w:t>
      </w:r>
      <w:r w:rsidRPr="009E43BF">
        <w:rPr>
          <w:bCs/>
        </w:rPr>
        <w:t>ir iestājušies šo noteikumu 129.</w:t>
      </w:r>
      <w:r w:rsidRPr="009E43BF">
        <w:rPr>
          <w:bCs/>
          <w:vertAlign w:val="superscript"/>
        </w:rPr>
        <w:t>14</w:t>
      </w:r>
      <w:r w:rsidRPr="009E43BF">
        <w:rPr>
          <w:bCs/>
        </w:rPr>
        <w:t xml:space="preserve"> un 129.</w:t>
      </w:r>
      <w:r w:rsidRPr="009E43BF">
        <w:rPr>
          <w:bCs/>
          <w:vertAlign w:val="superscript"/>
        </w:rPr>
        <w:t>15</w:t>
      </w:r>
      <w:r w:rsidRPr="009E43BF">
        <w:rPr>
          <w:bCs/>
        </w:rPr>
        <w:t>punktā minētie apstākļi</w:t>
      </w:r>
      <w:r>
        <w:rPr>
          <w:bCs/>
        </w:rPr>
        <w:t xml:space="preserve"> (</w:t>
      </w:r>
      <w:r w:rsidRPr="007238A3">
        <w:rPr>
          <w:bCs/>
          <w:i/>
          <w:iCs/>
        </w:rPr>
        <w:t>noteikumu Nr. 96 129.</w:t>
      </w:r>
      <w:r w:rsidRPr="007238A3">
        <w:rPr>
          <w:bCs/>
          <w:i/>
          <w:iCs/>
          <w:vertAlign w:val="superscript"/>
        </w:rPr>
        <w:t>12</w:t>
      </w:r>
      <w:r w:rsidRPr="007238A3">
        <w:rPr>
          <w:bCs/>
          <w:i/>
          <w:iCs/>
        </w:rPr>
        <w:t>punkts</w:t>
      </w:r>
      <w:r>
        <w:rPr>
          <w:bCs/>
        </w:rPr>
        <w:t>).</w:t>
      </w:r>
      <w:r w:rsidR="007238A3">
        <w:rPr>
          <w:bCs/>
        </w:rPr>
        <w:t xml:space="preserve"> </w:t>
      </w:r>
      <w:r w:rsidR="00C8572F">
        <w:rPr>
          <w:bCs/>
        </w:rPr>
        <w:t>Pirmais no abiem punktiem atti</w:t>
      </w:r>
      <w:r w:rsidR="00387E86">
        <w:rPr>
          <w:bCs/>
        </w:rPr>
        <w:t>e</w:t>
      </w:r>
      <w:r w:rsidR="00C8572F">
        <w:rPr>
          <w:bCs/>
        </w:rPr>
        <w:t xml:space="preserve">cas uz gadījumiem, kad dienests konstatē tādu kases aparāta neatbilstību, ko </w:t>
      </w:r>
      <w:r w:rsidR="00C8572F" w:rsidRPr="00C8572F">
        <w:rPr>
          <w:bCs/>
        </w:rPr>
        <w:t>ir iespējams novērst, nemainot programmatūru</w:t>
      </w:r>
      <w:r w:rsidR="00C8572F">
        <w:rPr>
          <w:bCs/>
        </w:rPr>
        <w:t>, otrais – uz gadījumiem, kad neatbilstības novēršana nav iespējama bez programmatūras maiņas.</w:t>
      </w:r>
    </w:p>
    <w:p w14:paraId="651C59FB" w14:textId="469F7BF5" w:rsidR="00C8572F" w:rsidRDefault="00C8572F" w:rsidP="00CF7832">
      <w:pPr>
        <w:shd w:val="clear" w:color="auto" w:fill="FFFFFF"/>
        <w:spacing w:line="276" w:lineRule="auto"/>
        <w:ind w:firstLine="720"/>
        <w:jc w:val="both"/>
        <w:rPr>
          <w:bCs/>
        </w:rPr>
      </w:pPr>
      <w:r>
        <w:rPr>
          <w:bCs/>
        </w:rPr>
        <w:t>Noteikumu Nr. 96 129.</w:t>
      </w:r>
      <w:r w:rsidRPr="00C8572F">
        <w:rPr>
          <w:bCs/>
          <w:vertAlign w:val="superscript"/>
        </w:rPr>
        <w:t>15</w:t>
      </w:r>
      <w:r>
        <w:rPr>
          <w:bCs/>
        </w:rPr>
        <w:t xml:space="preserve">punkts, kuru apgabaltiesa uzskatījusi par tādu tiesību normu, kas paredz labvēlīga administratīvā akta atcelšanu, nosaka: </w:t>
      </w:r>
    </w:p>
    <w:p w14:paraId="4B33AE8F" w14:textId="3A661964" w:rsidR="00C8572F" w:rsidRDefault="00C8572F" w:rsidP="00CF7832">
      <w:pPr>
        <w:shd w:val="clear" w:color="auto" w:fill="FFFFFF"/>
        <w:spacing w:line="276" w:lineRule="auto"/>
        <w:ind w:firstLine="720"/>
        <w:jc w:val="both"/>
        <w:rPr>
          <w:bCs/>
        </w:rPr>
      </w:pPr>
      <w:r>
        <w:rPr>
          <w:bCs/>
        </w:rPr>
        <w:t>„</w:t>
      </w:r>
      <w:r w:rsidRPr="00C8572F">
        <w:rPr>
          <w:bCs/>
        </w:rPr>
        <w:t>Ja Valsts ieņēmumu dienests, pamatojoties uz šo noteikumu 121.</w:t>
      </w:r>
      <w:r w:rsidRPr="00C8572F">
        <w:rPr>
          <w:bCs/>
          <w:vertAlign w:val="superscript"/>
        </w:rPr>
        <w:t>5</w:t>
      </w:r>
      <w:r w:rsidRPr="00C8572F">
        <w:rPr>
          <w:bCs/>
        </w:rPr>
        <w:t>, 125., 126., 129.</w:t>
      </w:r>
      <w:r w:rsidRPr="00C8572F">
        <w:rPr>
          <w:bCs/>
          <w:vertAlign w:val="superscript"/>
        </w:rPr>
        <w:t>2</w:t>
      </w:r>
      <w:r w:rsidRPr="00C8572F">
        <w:rPr>
          <w:bCs/>
        </w:rPr>
        <w:t>, 129.</w:t>
      </w:r>
      <w:r w:rsidRPr="00C8572F">
        <w:rPr>
          <w:bCs/>
          <w:vertAlign w:val="superscript"/>
        </w:rPr>
        <w:t>3</w:t>
      </w:r>
      <w:r w:rsidRPr="00C8572F">
        <w:rPr>
          <w:bCs/>
        </w:rPr>
        <w:t>, 129.</w:t>
      </w:r>
      <w:r w:rsidRPr="00C8572F">
        <w:rPr>
          <w:bCs/>
          <w:vertAlign w:val="superscript"/>
        </w:rPr>
        <w:t>4</w:t>
      </w:r>
      <w:r w:rsidRPr="00C8572F">
        <w:rPr>
          <w:bCs/>
        </w:rPr>
        <w:t>, 129.</w:t>
      </w:r>
      <w:r w:rsidRPr="00C8572F">
        <w:rPr>
          <w:bCs/>
          <w:vertAlign w:val="superscript"/>
        </w:rPr>
        <w:t>5</w:t>
      </w:r>
      <w:r w:rsidRPr="00C8572F">
        <w:rPr>
          <w:bCs/>
        </w:rPr>
        <w:t>, 129.</w:t>
      </w:r>
      <w:r w:rsidRPr="00C8572F">
        <w:rPr>
          <w:bCs/>
          <w:vertAlign w:val="superscript"/>
        </w:rPr>
        <w:t>7</w:t>
      </w:r>
      <w:r w:rsidRPr="00C8572F">
        <w:rPr>
          <w:bCs/>
        </w:rPr>
        <w:t xml:space="preserve"> un 129.</w:t>
      </w:r>
      <w:r w:rsidRPr="00C8572F">
        <w:rPr>
          <w:bCs/>
          <w:vertAlign w:val="superscript"/>
        </w:rPr>
        <w:t>8</w:t>
      </w:r>
      <w:r w:rsidRPr="00C8572F">
        <w:rPr>
          <w:bCs/>
        </w:rPr>
        <w:t>punktā minēto informāciju vai veicot kontroles pasākumus, konstatē, ka kases aparāta</w:t>
      </w:r>
      <w:r w:rsidR="00D84DD6">
        <w:rPr>
          <w:bCs/>
        </w:rPr>
        <w:t xml:space="preserve"> (..) </w:t>
      </w:r>
      <w:r w:rsidRPr="00C8572F">
        <w:rPr>
          <w:bCs/>
        </w:rPr>
        <w:t>modelis vai modifikācija neatbilst normatīvajiem aktiem par nodokļu un citu maksājumu reģistrēšanas elektronisko ierīču un iekārtu tehniskajām prasībām un neatbilstības novēršana visiem konkrētā modeļa vai modifikācijas kases aparātiem, hibrīda kases aparātiem, kases sistēmām, specializētajām ierīcēm vai iekārtām, nemainot programmatūru, nav iespējama, Valsts ieņēmumu dienests 15 darbdienu laikā informē visus konkrētā kases aparāta, hibrīda kases aparāta, kases sistēmas, specializētās ierīces vai iekārtas modeļa vai modifikācijas lietotājus un apkalpojošos dienestus par konstatēto neatbilstību, nereģistrē kases aparāta, hibrīda kases aparāta, kases sistēmas, specializētās ierīces vai iekārtas modeli (modifikāciju) Valsts ieņēmumu dienesta vienotajā datubāzē (reģistrā) un (vai) izslēdz no tās.</w:t>
      </w:r>
      <w:r w:rsidR="00D84DD6">
        <w:rPr>
          <w:bCs/>
        </w:rPr>
        <w:t>”</w:t>
      </w:r>
    </w:p>
    <w:p w14:paraId="44218CBD" w14:textId="7A0A7E68" w:rsidR="00D84DD6" w:rsidRDefault="00D84DD6" w:rsidP="00CF7832">
      <w:pPr>
        <w:shd w:val="clear" w:color="auto" w:fill="FFFFFF"/>
        <w:spacing w:line="276" w:lineRule="auto"/>
        <w:ind w:firstLine="720"/>
        <w:jc w:val="both"/>
        <w:rPr>
          <w:bCs/>
        </w:rPr>
      </w:pPr>
      <w:r>
        <w:rPr>
          <w:bCs/>
        </w:rPr>
        <w:t xml:space="preserve">Pieteicēja uzskata, ka </w:t>
      </w:r>
      <w:r w:rsidR="00387E86">
        <w:rPr>
          <w:bCs/>
        </w:rPr>
        <w:t xml:space="preserve">šī tiesību </w:t>
      </w:r>
      <w:r>
        <w:rPr>
          <w:bCs/>
        </w:rPr>
        <w:t xml:space="preserve">norma ir jāskata kopsakarā ar citām </w:t>
      </w:r>
      <w:r w:rsidR="00387E86">
        <w:rPr>
          <w:bCs/>
        </w:rPr>
        <w:t xml:space="preserve">noteikumu Nr. 96 </w:t>
      </w:r>
      <w:r>
        <w:rPr>
          <w:bCs/>
        </w:rPr>
        <w:t xml:space="preserve">normām, kuru mērķis ir veikt pārbaudi pirms reģistrācijas, un tādēļ </w:t>
      </w:r>
      <w:r w:rsidR="00387E86">
        <w:rPr>
          <w:bCs/>
        </w:rPr>
        <w:t>noteikumu Nr. 96 129.</w:t>
      </w:r>
      <w:r w:rsidR="00387E86" w:rsidRPr="00387E86">
        <w:rPr>
          <w:bCs/>
          <w:vertAlign w:val="superscript"/>
        </w:rPr>
        <w:t>15</w:t>
      </w:r>
      <w:r w:rsidR="00387E86">
        <w:rPr>
          <w:bCs/>
        </w:rPr>
        <w:t>punkts</w:t>
      </w:r>
      <w:r>
        <w:rPr>
          <w:bCs/>
        </w:rPr>
        <w:t xml:space="preserve"> ļauj</w:t>
      </w:r>
      <w:r w:rsidR="0013524B">
        <w:rPr>
          <w:bCs/>
        </w:rPr>
        <w:t xml:space="preserve"> vai nu</w:t>
      </w:r>
      <w:r>
        <w:rPr>
          <w:bCs/>
        </w:rPr>
        <w:t xml:space="preserve"> nereģistrēt kases aparātu modeļus pie prasību neizpildes, </w:t>
      </w:r>
      <w:r w:rsidR="0013524B">
        <w:rPr>
          <w:bCs/>
        </w:rPr>
        <w:t>vai arī</w:t>
      </w:r>
      <w:r>
        <w:rPr>
          <w:bCs/>
        </w:rPr>
        <w:t xml:space="preserve"> izslēgt no reģistra</w:t>
      </w:r>
      <w:r w:rsidR="0013524B">
        <w:rPr>
          <w:bCs/>
        </w:rPr>
        <w:t>, bet tikai</w:t>
      </w:r>
      <w:r>
        <w:rPr>
          <w:bCs/>
        </w:rPr>
        <w:t xml:space="preserve"> vēlākas neatbilstības rašanās gadījumā. Pieteicēja to pamato ar apsvērumu, ka pirms reģistrācijas tiek veikta atbilstības pārbaude īpašā atbilstības pārbaudes institūcijā un citādi tādai pārbaudei un atbilstīb</w:t>
      </w:r>
      <w:r w:rsidR="00A63E72">
        <w:rPr>
          <w:bCs/>
        </w:rPr>
        <w:t>a</w:t>
      </w:r>
      <w:r>
        <w:rPr>
          <w:bCs/>
        </w:rPr>
        <w:t>s apliecinājumam nebūtu jēgas.</w:t>
      </w:r>
    </w:p>
    <w:p w14:paraId="6649CF15" w14:textId="7E662D90" w:rsidR="003D5022" w:rsidRDefault="00D84DD6" w:rsidP="00CF7832">
      <w:pPr>
        <w:shd w:val="clear" w:color="auto" w:fill="FFFFFF"/>
        <w:spacing w:line="276" w:lineRule="auto"/>
        <w:ind w:firstLine="720"/>
        <w:jc w:val="both"/>
        <w:rPr>
          <w:bCs/>
        </w:rPr>
      </w:pPr>
      <w:r>
        <w:rPr>
          <w:bCs/>
        </w:rPr>
        <w:t xml:space="preserve">Senāts tam nepiekrīt. </w:t>
      </w:r>
      <w:r w:rsidR="00387E86">
        <w:rPr>
          <w:bCs/>
        </w:rPr>
        <w:t xml:space="preserve">Noteikumu Nr. 96 </w:t>
      </w:r>
      <w:r w:rsidR="00A63E72">
        <w:rPr>
          <w:bCs/>
        </w:rPr>
        <w:t>129.</w:t>
      </w:r>
      <w:r w:rsidR="00A63E72" w:rsidRPr="008A5835">
        <w:rPr>
          <w:bCs/>
          <w:vertAlign w:val="superscript"/>
        </w:rPr>
        <w:t>15</w:t>
      </w:r>
      <w:r w:rsidR="00A63E72">
        <w:rPr>
          <w:bCs/>
        </w:rPr>
        <w:t>punkta teksts šādu ierobežojumu neparedz. Tas paredz, ka kases aparātu modeļus izslēgt no reģistra var</w:t>
      </w:r>
      <w:r w:rsidR="008A5835">
        <w:rPr>
          <w:bCs/>
        </w:rPr>
        <w:t>,</w:t>
      </w:r>
      <w:r w:rsidR="00A63E72">
        <w:rPr>
          <w:bCs/>
        </w:rPr>
        <w:t xml:space="preserve"> arī pamatojoties uz kontroles pasākumos konstatētām neatbilstībām, nesašaurinot to uz kādiem konkrētiem gadījumiem. Nav pamata </w:t>
      </w:r>
      <w:r w:rsidR="00387E86">
        <w:rPr>
          <w:bCs/>
        </w:rPr>
        <w:t>ierobežoja esību</w:t>
      </w:r>
      <w:r w:rsidR="00A63E72">
        <w:rPr>
          <w:bCs/>
        </w:rPr>
        <w:t xml:space="preserve"> secināt ar</w:t>
      </w:r>
      <w:r w:rsidR="0013524B">
        <w:rPr>
          <w:bCs/>
        </w:rPr>
        <w:t>ī</w:t>
      </w:r>
      <w:r w:rsidR="00A63E72">
        <w:rPr>
          <w:bCs/>
        </w:rPr>
        <w:t xml:space="preserve"> </w:t>
      </w:r>
      <w:r w:rsidR="00387E86">
        <w:rPr>
          <w:bCs/>
        </w:rPr>
        <w:t>n</w:t>
      </w:r>
      <w:r w:rsidR="00A63E72">
        <w:rPr>
          <w:bCs/>
        </w:rPr>
        <w:t>o tā apstākļa vien, ka pastāv atbilstības pārbaude atbilstības pārbaudes institūcijā. Nepieciešamība ātri un efektīvi novērst nodokļu neiekasēšanas risku, kā arī noteikumu Nr. 96 detalizētais procesa noregulējums liek domāt, ka šis regulējums aptver jebkuru apstākļu dēļ radītu nepieciešamību novērst neatbilstošu kases aparātu modeļu lietošanu.</w:t>
      </w:r>
      <w:r w:rsidR="003D5022">
        <w:rPr>
          <w:bCs/>
        </w:rPr>
        <w:t xml:space="preserve"> </w:t>
      </w:r>
    </w:p>
    <w:p w14:paraId="5A4A1F96" w14:textId="7D686E78" w:rsidR="00D84DD6" w:rsidRDefault="003D5022" w:rsidP="00CF7832">
      <w:pPr>
        <w:shd w:val="clear" w:color="auto" w:fill="FFFFFF"/>
        <w:spacing w:line="276" w:lineRule="auto"/>
        <w:ind w:firstLine="720"/>
        <w:jc w:val="both"/>
        <w:rPr>
          <w:bCs/>
        </w:rPr>
      </w:pPr>
      <w:r>
        <w:rPr>
          <w:bCs/>
        </w:rPr>
        <w:t>Līdz ar to Administratīvā procesa likuma 86.panta otrās daļas 2.punkts ir piemērots pamatoti.</w:t>
      </w:r>
    </w:p>
    <w:p w14:paraId="5B07F739" w14:textId="77777777" w:rsidR="008A5835" w:rsidRDefault="008A5835" w:rsidP="00CF7832">
      <w:pPr>
        <w:shd w:val="clear" w:color="auto" w:fill="FFFFFF"/>
        <w:spacing w:line="276" w:lineRule="auto"/>
        <w:ind w:firstLine="720"/>
        <w:jc w:val="both"/>
        <w:rPr>
          <w:bCs/>
        </w:rPr>
      </w:pPr>
    </w:p>
    <w:p w14:paraId="41CB55FF" w14:textId="22D046DE" w:rsidR="008A5835" w:rsidRDefault="008A5835" w:rsidP="00CF7832">
      <w:pPr>
        <w:shd w:val="clear" w:color="auto" w:fill="FFFFFF"/>
        <w:spacing w:line="276" w:lineRule="auto"/>
        <w:ind w:firstLine="720"/>
        <w:jc w:val="both"/>
        <w:rPr>
          <w:bCs/>
        </w:rPr>
      </w:pPr>
      <w:r>
        <w:rPr>
          <w:bCs/>
        </w:rPr>
        <w:t>[</w:t>
      </w:r>
      <w:r w:rsidR="00913F70">
        <w:rPr>
          <w:bCs/>
        </w:rPr>
        <w:t>10</w:t>
      </w:r>
      <w:r>
        <w:rPr>
          <w:bCs/>
        </w:rPr>
        <w:t xml:space="preserve">] Pieteicēja norāda, ka </w:t>
      </w:r>
      <w:r w:rsidR="003D5022">
        <w:rPr>
          <w:bCs/>
        </w:rPr>
        <w:t>arī šādā gadījumā ir jāizvērtē tās kā kases aparātu ražotājas tiesiskā paļāvība uz to, ka kases aparāti</w:t>
      </w:r>
      <w:r w:rsidR="0013524B">
        <w:rPr>
          <w:bCs/>
        </w:rPr>
        <w:t xml:space="preserve"> ir atzīti par atbilstošiem ar īpašas kompetentas atbilstības pārbaudes institūcijas apliecinājumu</w:t>
      </w:r>
      <w:r w:rsidR="003D5022">
        <w:rPr>
          <w:bCs/>
        </w:rPr>
        <w:t>.</w:t>
      </w:r>
    </w:p>
    <w:p w14:paraId="7C4F5D6A" w14:textId="7BD8EB51" w:rsidR="00CE4A28" w:rsidRDefault="003D5022" w:rsidP="00CF7832">
      <w:pPr>
        <w:shd w:val="clear" w:color="auto" w:fill="FFFFFF"/>
        <w:spacing w:line="276" w:lineRule="auto"/>
        <w:ind w:firstLine="720"/>
        <w:jc w:val="both"/>
        <w:rPr>
          <w:bCs/>
        </w:rPr>
      </w:pPr>
      <w:r>
        <w:rPr>
          <w:bCs/>
        </w:rPr>
        <w:t xml:space="preserve">Vispārīgi tam var piekrist. Pieteicēja pamatoti norāda uz Senāta judikatūras atziņu, ka </w:t>
      </w:r>
      <w:r w:rsidR="00CE4A28">
        <w:rPr>
          <w:bCs/>
        </w:rPr>
        <w:t xml:space="preserve">arī gadījumos, kad tiesību norma paredz administratīvā akta atcelšanu, var būt vērtējami apstākļi, </w:t>
      </w:r>
      <w:r w:rsidR="00CE4A28" w:rsidRPr="00CE4A28">
        <w:rPr>
          <w:bCs/>
        </w:rPr>
        <w:t>īpaši situācijā, kad speciālā tiesību norma aptver plašu situāciju loku</w:t>
      </w:r>
      <w:r w:rsidR="00CE4A28">
        <w:rPr>
          <w:bCs/>
        </w:rPr>
        <w:t xml:space="preserve"> (</w:t>
      </w:r>
      <w:r w:rsidR="00CE4A28" w:rsidRPr="00CE4A28">
        <w:rPr>
          <w:bCs/>
          <w:i/>
          <w:iCs/>
        </w:rPr>
        <w:t xml:space="preserve">Senāta 2023.gada 17.jūlija sprieduma lietā Nr. SKA-100/2023, </w:t>
      </w:r>
      <w:hyperlink r:id="rId9" w:history="1">
        <w:r w:rsidR="00CE4A28" w:rsidRPr="00CE4A28">
          <w:rPr>
            <w:rStyle w:val="Hyperlink"/>
            <w:bCs/>
            <w:i/>
            <w:iCs/>
          </w:rPr>
          <w:t>ECLI:LV:AT:2023:0717.A420169319.13.S</w:t>
        </w:r>
      </w:hyperlink>
      <w:r w:rsidR="00CE4A28" w:rsidRPr="00CE4A28">
        <w:rPr>
          <w:bCs/>
          <w:i/>
          <w:iCs/>
        </w:rPr>
        <w:t>, 8.punkts</w:t>
      </w:r>
      <w:r w:rsidR="00CE4A28">
        <w:rPr>
          <w:bCs/>
        </w:rPr>
        <w:t>). Šajā ziņā būtu jāvērtē gan speciālā</w:t>
      </w:r>
      <w:r w:rsidR="00387E86">
        <w:rPr>
          <w:bCs/>
        </w:rPr>
        <w:t>s tiesību normas</w:t>
      </w:r>
      <w:r w:rsidR="00CE4A28">
        <w:rPr>
          <w:bCs/>
        </w:rPr>
        <w:t xml:space="preserve"> jēga un mērķis kopsakarā ar citām tiesību normām, gan konkrētās situācijas apstākļi. Tāpat nebūtu pieļaujams, ka </w:t>
      </w:r>
      <w:r w:rsidR="000604C3">
        <w:rPr>
          <w:bCs/>
        </w:rPr>
        <w:t>speciālās tiesību normas</w:t>
      </w:r>
      <w:r w:rsidR="002C7B33">
        <w:rPr>
          <w:bCs/>
        </w:rPr>
        <w:t>, kura paredz administratīvā akta atcelšanu,</w:t>
      </w:r>
      <w:r w:rsidR="000604C3">
        <w:rPr>
          <w:bCs/>
        </w:rPr>
        <w:t xml:space="preserve"> vienīgais mērķis ir vienkārši atbrīvot valsti no atbildības par iepriekš pieļautām kļūdām, kurās privātpersona nav vainojama – tas pašos pamatos būtu pretrunā tiesiskās paļāvības principam, kas tieši iedibina, ka privātpersonas uz valsts rīcību un lēmumiem var paļauties.</w:t>
      </w:r>
    </w:p>
    <w:p w14:paraId="6E7086C4" w14:textId="77777777" w:rsidR="000604C3" w:rsidRDefault="000604C3" w:rsidP="00CF7832">
      <w:pPr>
        <w:shd w:val="clear" w:color="auto" w:fill="FFFFFF"/>
        <w:spacing w:line="276" w:lineRule="auto"/>
        <w:ind w:firstLine="720"/>
        <w:jc w:val="both"/>
        <w:rPr>
          <w:bCs/>
        </w:rPr>
      </w:pPr>
    </w:p>
    <w:p w14:paraId="0317FC24" w14:textId="4DD77959" w:rsidR="000604C3" w:rsidRDefault="000604C3" w:rsidP="00CF7832">
      <w:pPr>
        <w:shd w:val="clear" w:color="auto" w:fill="FFFFFF"/>
        <w:spacing w:line="276" w:lineRule="auto"/>
        <w:ind w:firstLine="720"/>
        <w:jc w:val="both"/>
        <w:rPr>
          <w:bCs/>
        </w:rPr>
      </w:pPr>
      <w:r>
        <w:rPr>
          <w:bCs/>
        </w:rPr>
        <w:t>[</w:t>
      </w:r>
      <w:r w:rsidR="00913F70">
        <w:rPr>
          <w:bCs/>
        </w:rPr>
        <w:t>11</w:t>
      </w:r>
      <w:r>
        <w:rPr>
          <w:bCs/>
        </w:rPr>
        <w:t xml:space="preserve">] Izvērtējot tiesisko regulējumu, Senāts uzskata par būtisku to, ka ar noteikumiem Nr. 95 un noteikumiem Nr. 96 radītās kases aparātu </w:t>
      </w:r>
      <w:r w:rsidR="00A436FC">
        <w:rPr>
          <w:bCs/>
        </w:rPr>
        <w:t xml:space="preserve">un to </w:t>
      </w:r>
      <w:r>
        <w:rPr>
          <w:bCs/>
        </w:rPr>
        <w:t xml:space="preserve">lietošanas kontroles sistēmas mērķis ir nodrošināt pareizu nodokļu iekasēšanu. Līdz ar to arī kases aparātu modeļu atbilstības pārbaudes mērķis ir tieši </w:t>
      </w:r>
      <w:r w:rsidR="00387E86">
        <w:rPr>
          <w:bCs/>
        </w:rPr>
        <w:t>(</w:t>
      </w:r>
      <w:r>
        <w:rPr>
          <w:bCs/>
        </w:rPr>
        <w:t>un tikai</w:t>
      </w:r>
      <w:r w:rsidR="00387E86">
        <w:rPr>
          <w:bCs/>
        </w:rPr>
        <w:t>)</w:t>
      </w:r>
      <w:r>
        <w:rPr>
          <w:bCs/>
        </w:rPr>
        <w:t xml:space="preserve"> nodrošināt pareizu nodokļu maksāšanu. Tā ir valsts interese, lai tiktu mazināti nodokļu nepareizas uzskaites riski, tostarp nosakot preventīvu kases aparātu atbilstības pārbaudi, kā arī nosakot pienākumus katrai iesaistītajai personai. Šā regulējuma mērķis nav mazināt vai izslēgt komercdarbīb</w:t>
      </w:r>
      <w:r w:rsidR="002C7B33">
        <w:rPr>
          <w:bCs/>
        </w:rPr>
        <w:t>as</w:t>
      </w:r>
      <w:r>
        <w:rPr>
          <w:bCs/>
        </w:rPr>
        <w:t xml:space="preserve"> </w:t>
      </w:r>
      <w:r w:rsidR="002C7B33">
        <w:rPr>
          <w:bCs/>
        </w:rPr>
        <w:t xml:space="preserve">riskus </w:t>
      </w:r>
      <w:r>
        <w:rPr>
          <w:bCs/>
        </w:rPr>
        <w:t>kases aparātu ražotājiem vai apkalpotājiem</w:t>
      </w:r>
      <w:r w:rsidR="002C7B33">
        <w:rPr>
          <w:bCs/>
        </w:rPr>
        <w:t xml:space="preserve"> un to komercdarbības drošības labad apliecināt,</w:t>
      </w:r>
      <w:r>
        <w:rPr>
          <w:bCs/>
        </w:rPr>
        <w:t xml:space="preserve"> ka ražotie vai apkalpotie kases aparāti ir atbilstoši tiesību normās noteiktajām prasībām.</w:t>
      </w:r>
      <w:r w:rsidR="00BF02EA">
        <w:rPr>
          <w:bCs/>
        </w:rPr>
        <w:t xml:space="preserve"> Tieši otrādi, primāri tieši ražotāju un apkalpotāju atbildība ir attiecīgi ražot</w:t>
      </w:r>
      <w:r w:rsidR="00387E86">
        <w:rPr>
          <w:bCs/>
        </w:rPr>
        <w:t xml:space="preserve"> un</w:t>
      </w:r>
      <w:r w:rsidR="00BF02EA">
        <w:rPr>
          <w:bCs/>
        </w:rPr>
        <w:t xml:space="preserve"> izplatīt tikai prasībām atbilstošus kases aparātus </w:t>
      </w:r>
      <w:r w:rsidR="00387E86">
        <w:rPr>
          <w:bCs/>
        </w:rPr>
        <w:t>un</w:t>
      </w:r>
      <w:r w:rsidR="00BF02EA">
        <w:rPr>
          <w:bCs/>
        </w:rPr>
        <w:t xml:space="preserve"> nodrošināt to pareizu lietošanu. </w:t>
      </w:r>
      <w:r w:rsidR="00C25614">
        <w:rPr>
          <w:bCs/>
        </w:rPr>
        <w:t xml:space="preserve">Apgabaltiesa pamatoti ir uzsvērusi to, ka ar vispārsaistošām tiesību normām </w:t>
      </w:r>
      <w:r w:rsidR="00A436FC">
        <w:rPr>
          <w:bCs/>
        </w:rPr>
        <w:t xml:space="preserve">(noteikumi Nr. 95) </w:t>
      </w:r>
      <w:r w:rsidR="00C25614">
        <w:rPr>
          <w:bCs/>
        </w:rPr>
        <w:t xml:space="preserve">ir noteiktas konkrētas prasības, kuras arī pieteicējai bija pienākums ievērot kases aparātu ražošanā neatkarīgi no tā, vai atbilstības pārbaudes institūcija ir izsniegusi atbilstības apliecinājumu. </w:t>
      </w:r>
      <w:r w:rsidR="00A436FC">
        <w:rPr>
          <w:bCs/>
        </w:rPr>
        <w:t xml:space="preserve">Pat ja </w:t>
      </w:r>
      <w:r w:rsidR="00387E86">
        <w:rPr>
          <w:bCs/>
        </w:rPr>
        <w:t>noteikumu Nr. 95</w:t>
      </w:r>
      <w:r w:rsidR="00A436FC">
        <w:rPr>
          <w:bCs/>
        </w:rPr>
        <w:t xml:space="preserve"> normas ir tehniski sarežģītas, arī pieteicējai ir pienākums tās ievērot. </w:t>
      </w:r>
      <w:r w:rsidR="00C25614">
        <w:rPr>
          <w:bCs/>
        </w:rPr>
        <w:t>Atbilstības apliecinājums ir adresēts</w:t>
      </w:r>
      <w:r w:rsidR="00284CE2">
        <w:rPr>
          <w:bCs/>
        </w:rPr>
        <w:t xml:space="preserve"> visupirms </w:t>
      </w:r>
      <w:r w:rsidR="00C25614">
        <w:rPr>
          <w:bCs/>
        </w:rPr>
        <w:t>valstij, kuras interese ir iekasēt nodokļus</w:t>
      </w:r>
      <w:r w:rsidR="00284CE2">
        <w:rPr>
          <w:bCs/>
        </w:rPr>
        <w:t xml:space="preserve">. </w:t>
      </w:r>
      <w:r w:rsidR="00387E86">
        <w:rPr>
          <w:bCs/>
        </w:rPr>
        <w:t>Citādi varētu raudzīties uz to personu tiesisko paļāvību, kuras iegādājas reģistrētus kases aparātus: tām nav iespēju ietekmēt kases aparātu atbilstību noteikumu Nr. 95 prasībām</w:t>
      </w:r>
      <w:r w:rsidR="00F20638">
        <w:rPr>
          <w:bCs/>
        </w:rPr>
        <w:t>,</w:t>
      </w:r>
      <w:r w:rsidR="00387E86">
        <w:rPr>
          <w:bCs/>
        </w:rPr>
        <w:t xml:space="preserve"> un tās varētu paļauties uz to, ka reģistrētos kases aparātus ir pieļaujams izmantot saimnieciskajā darbībā, taču tas nav šīs lietas izskatīšanas priekšmets.</w:t>
      </w:r>
    </w:p>
    <w:p w14:paraId="2F1961AD" w14:textId="0623CE0B" w:rsidR="002C7B33" w:rsidRDefault="007F272A" w:rsidP="00CF7832">
      <w:pPr>
        <w:shd w:val="clear" w:color="auto" w:fill="FFFFFF"/>
        <w:spacing w:line="276" w:lineRule="auto"/>
        <w:ind w:firstLine="720"/>
        <w:jc w:val="both"/>
        <w:rPr>
          <w:bCs/>
        </w:rPr>
      </w:pPr>
      <w:r>
        <w:rPr>
          <w:bCs/>
        </w:rPr>
        <w:t>Līdz ar to Senāts nesaskata, ka sistēmā, kurā atbilstības pārbaudes institūcija pārbauda kases aparātu atbilstību, visa atbildība un riski par vēlāk konstatētām neatbilstībām šādas pārbaudes dēļ pārietu uz valsti, respektīvi, ka valstij būtu pienākums nepamatoti izsniegta atbildības apliecinājuma gadījumā uzņemties visus zaudējumus, kas kases aparātu reģistrācijas atcelšanas dēļ varētu rasties kases aparātu ražotājiem.</w:t>
      </w:r>
    </w:p>
    <w:p w14:paraId="1516D33C" w14:textId="1771D591" w:rsidR="002C7B33" w:rsidRDefault="002C7B33" w:rsidP="00CF7832">
      <w:pPr>
        <w:shd w:val="clear" w:color="auto" w:fill="FFFFFF"/>
        <w:spacing w:line="276" w:lineRule="auto"/>
        <w:ind w:firstLine="720"/>
        <w:jc w:val="both"/>
        <w:rPr>
          <w:bCs/>
        </w:rPr>
      </w:pPr>
      <w:r>
        <w:rPr>
          <w:bCs/>
        </w:rPr>
        <w:t>Tādēļ noteikumu Nr. 96 129.</w:t>
      </w:r>
      <w:r w:rsidRPr="002C7B33">
        <w:rPr>
          <w:bCs/>
          <w:vertAlign w:val="superscript"/>
        </w:rPr>
        <w:t>15</w:t>
      </w:r>
      <w:r>
        <w:rPr>
          <w:bCs/>
        </w:rPr>
        <w:t>punktu attiecībā uz kases aparātu ražotājiem var uzskatīt par tādu normu, kas paredz administratīvā akta atcelšanu Administratīvā procesa likuma 86.panta otrās daļas 2.punkta izpratnē.</w:t>
      </w:r>
    </w:p>
    <w:p w14:paraId="531CAB25" w14:textId="1AB2FB9C" w:rsidR="00A436FC" w:rsidRDefault="00A436FC" w:rsidP="00CF7832">
      <w:pPr>
        <w:shd w:val="clear" w:color="auto" w:fill="FFFFFF"/>
        <w:spacing w:line="276" w:lineRule="auto"/>
        <w:ind w:firstLine="720"/>
        <w:jc w:val="both"/>
        <w:rPr>
          <w:bCs/>
        </w:rPr>
      </w:pPr>
    </w:p>
    <w:p w14:paraId="30CA7E71" w14:textId="77777777" w:rsidR="002C7B33" w:rsidRPr="00F20638" w:rsidRDefault="007F272A" w:rsidP="00CF7832">
      <w:pPr>
        <w:shd w:val="clear" w:color="auto" w:fill="FFFFFF"/>
        <w:spacing w:line="276" w:lineRule="auto"/>
        <w:ind w:firstLine="720"/>
        <w:jc w:val="both"/>
        <w:rPr>
          <w:bCs/>
        </w:rPr>
      </w:pPr>
      <w:r>
        <w:rPr>
          <w:bCs/>
        </w:rPr>
        <w:t>[</w:t>
      </w:r>
      <w:r w:rsidR="00913F70">
        <w:rPr>
          <w:bCs/>
        </w:rPr>
        <w:t>12</w:t>
      </w:r>
      <w:r>
        <w:rPr>
          <w:bCs/>
        </w:rPr>
        <w:t xml:space="preserve">] </w:t>
      </w:r>
      <w:r w:rsidR="002C7B33">
        <w:rPr>
          <w:bCs/>
        </w:rPr>
        <w:t xml:space="preserve">Apgabaltiesa ir izvērsti vērtējusi, vai tomēr arī šādā gadījumā nav aizsargājam </w:t>
      </w:r>
      <w:r w:rsidR="002C7B33" w:rsidRPr="00F20638">
        <w:rPr>
          <w:bCs/>
        </w:rPr>
        <w:t xml:space="preserve">pieteicējas tiesiskā paļāvība, proti, izvērtējusi konkrētā gadījuma apstākļus. </w:t>
      </w:r>
    </w:p>
    <w:p w14:paraId="3268EA0E" w14:textId="1CF8285D" w:rsidR="007F272A" w:rsidRDefault="00D4179A" w:rsidP="00CF7832">
      <w:pPr>
        <w:shd w:val="clear" w:color="auto" w:fill="FFFFFF"/>
        <w:spacing w:line="276" w:lineRule="auto"/>
        <w:ind w:firstLine="720"/>
        <w:jc w:val="both"/>
        <w:rPr>
          <w:bCs/>
        </w:rPr>
      </w:pPr>
      <w:r w:rsidRPr="00F20638">
        <w:rPr>
          <w:bCs/>
        </w:rPr>
        <w:t xml:space="preserve">Pārbaudot, vai vispārīgi apsvērumi par </w:t>
      </w:r>
      <w:r w:rsidR="00F20638" w:rsidRPr="00F20638">
        <w:rPr>
          <w:bCs/>
        </w:rPr>
        <w:t xml:space="preserve">aizsargājamu </w:t>
      </w:r>
      <w:r w:rsidRPr="00F20638">
        <w:rPr>
          <w:bCs/>
        </w:rPr>
        <w:t>tiesisko paļāvību varētu būt pamats nepiemērot Administratīvā procesa likuma 86.panta otrās daļas 2.punktu, Senāts ne</w:t>
      </w:r>
      <w:r w:rsidR="007F272A" w:rsidRPr="00F20638">
        <w:rPr>
          <w:bCs/>
        </w:rPr>
        <w:t xml:space="preserve">var piekrist pieteicējas argumentam, ka </w:t>
      </w:r>
      <w:r w:rsidR="002C7B33" w:rsidRPr="00F20638">
        <w:rPr>
          <w:bCs/>
        </w:rPr>
        <w:t>šajā</w:t>
      </w:r>
      <w:r w:rsidR="002C7B33">
        <w:rPr>
          <w:bCs/>
        </w:rPr>
        <w:t xml:space="preserve"> izvērtējumā </w:t>
      </w:r>
      <w:r w:rsidR="007F272A">
        <w:rPr>
          <w:bCs/>
        </w:rPr>
        <w:t>Administratīvā procesa likuma 86.panta otrās daļas 2.punkta piem</w:t>
      </w:r>
      <w:r w:rsidR="009553B1">
        <w:rPr>
          <w:bCs/>
        </w:rPr>
        <w:t xml:space="preserve">ērošana būtu pamatota tikai tad, ja privātpersona – un šai ziņā kā etalons būtu jāņem „vienkāršais cilvēks” – zināja vai tai vajadzēja zināt par administratīvā akta prettiesiskumu. </w:t>
      </w:r>
    </w:p>
    <w:p w14:paraId="0D06AEBF" w14:textId="72FF40A7" w:rsidR="009553B1" w:rsidRDefault="009553B1" w:rsidP="00CF7832">
      <w:pPr>
        <w:shd w:val="clear" w:color="auto" w:fill="FFFFFF"/>
        <w:spacing w:line="276" w:lineRule="auto"/>
        <w:ind w:firstLine="720"/>
        <w:jc w:val="both"/>
        <w:rPr>
          <w:bCs/>
        </w:rPr>
      </w:pPr>
      <w:r>
        <w:rPr>
          <w:bCs/>
        </w:rPr>
        <w:t xml:space="preserve">Pirmkārt, šis kritērijs ir jāvērtē gadījumā, ja tiek piemērots Administratīvā procesa likuma 86.panta otrās daļas 5.punkts, proti, vienā no likumā </w:t>
      </w:r>
      <w:r w:rsidR="002C7B33">
        <w:rPr>
          <w:bCs/>
        </w:rPr>
        <w:t xml:space="preserve">tieši </w:t>
      </w:r>
      <w:r>
        <w:rPr>
          <w:bCs/>
        </w:rPr>
        <w:t xml:space="preserve">paredzētajiem gadījumiem, kad </w:t>
      </w:r>
      <w:r w:rsidR="002C7B33">
        <w:rPr>
          <w:bCs/>
        </w:rPr>
        <w:t xml:space="preserve">arī </w:t>
      </w:r>
      <w:r>
        <w:rPr>
          <w:bCs/>
        </w:rPr>
        <w:t xml:space="preserve">privātpersona pati bijusi vainojama pie prettiesiska administratīvā akta izdošanas. Šajā gadījumā nav pamata šo </w:t>
      </w:r>
      <w:r w:rsidR="00F20638">
        <w:rPr>
          <w:bCs/>
        </w:rPr>
        <w:t xml:space="preserve">tiesību </w:t>
      </w:r>
      <w:r>
        <w:rPr>
          <w:bCs/>
        </w:rPr>
        <w:t>normu piemērot. Tā kā Senāts pievienojas apgabaltiesas secinājuma, ka administratīvā akta atcelšana bija paredzēta tiesību normā un pieteicēja nav to personu lokā, kurai vispārīgi būtu pamats tiesiski paļauties uz atbilstības apliecinājumu un kases aparātu modeļu iekļaušanu reģistrā, tad nav pamata piemērot 86.panta otrās daļas 5.punktu. Savukārt, pat ja to piemērotu, Administratīvā procesa likuma komentāros, uz kuriem atsauc</w:t>
      </w:r>
      <w:r w:rsidR="002C7B33">
        <w:rPr>
          <w:bCs/>
        </w:rPr>
        <w:t>a</w:t>
      </w:r>
      <w:r>
        <w:rPr>
          <w:bCs/>
        </w:rPr>
        <w:t xml:space="preserve">s pieteicēja, ir norādīts, ka tomēr ir jāvērtē arī labuma guvēja personiskās spējas, tostarp profesionalitāte (sk. </w:t>
      </w:r>
      <w:r w:rsidRPr="002C7B33">
        <w:rPr>
          <w:bCs/>
          <w:i/>
          <w:iCs/>
        </w:rPr>
        <w:t>Briede J. 86.panta komentārs. Grām.: Administratīvā procesa likuma komentāri. A un B daļa. Briede J. (Zin. red.) Rīga: Tiesu namu aģentūra, 2013, 866.lpp.</w:t>
      </w:r>
      <w:r>
        <w:rPr>
          <w:bCs/>
        </w:rPr>
        <w:t xml:space="preserve">). </w:t>
      </w:r>
    </w:p>
    <w:p w14:paraId="0F63AAC7" w14:textId="035C9E87" w:rsidR="009553B1" w:rsidRDefault="002C7B33" w:rsidP="00CF7832">
      <w:pPr>
        <w:shd w:val="clear" w:color="auto" w:fill="FFFFFF"/>
        <w:spacing w:line="276" w:lineRule="auto"/>
        <w:ind w:firstLine="720"/>
        <w:jc w:val="both"/>
        <w:rPr>
          <w:bCs/>
        </w:rPr>
      </w:pPr>
      <w:r>
        <w:rPr>
          <w:bCs/>
        </w:rPr>
        <w:t xml:space="preserve">Senāts nekonstatē trūkumus apgabaltiesas veiktajā </w:t>
      </w:r>
      <w:r w:rsidR="009553B1">
        <w:rPr>
          <w:bCs/>
        </w:rPr>
        <w:t xml:space="preserve">tiesiskās paļāvības izvērtējumā atbilstoši administratīvajā tiesā iedibinātajai </w:t>
      </w:r>
      <w:r w:rsidR="00F20638">
        <w:rPr>
          <w:bCs/>
        </w:rPr>
        <w:t>judikatūrai</w:t>
      </w:r>
      <w:r>
        <w:rPr>
          <w:bCs/>
        </w:rPr>
        <w:t>.</w:t>
      </w:r>
      <w:r w:rsidR="009553B1">
        <w:rPr>
          <w:bCs/>
        </w:rPr>
        <w:t xml:space="preserve"> </w:t>
      </w:r>
      <w:r>
        <w:rPr>
          <w:bCs/>
        </w:rPr>
        <w:t>Ap</w:t>
      </w:r>
      <w:r w:rsidR="009553B1">
        <w:rPr>
          <w:bCs/>
        </w:rPr>
        <w:t>gabaltiesa ir apsvērusi plašu apstākļu loku un pienācīgi pamatojusi, kādēļ konkrētajā gadījumā pieteicējas tiesiskā paļāvība nav aizsargājama.</w:t>
      </w:r>
    </w:p>
    <w:p w14:paraId="6BABA73B" w14:textId="77777777" w:rsidR="00B567D1" w:rsidRDefault="00B567D1" w:rsidP="00CF7832">
      <w:pPr>
        <w:spacing w:line="276" w:lineRule="auto"/>
        <w:ind w:firstLine="720"/>
        <w:contextualSpacing/>
        <w:jc w:val="both"/>
      </w:pPr>
    </w:p>
    <w:p w14:paraId="7DEA0FD0" w14:textId="0972AD9E" w:rsidR="002D7C02" w:rsidRDefault="002D7C02" w:rsidP="00CF7832">
      <w:pPr>
        <w:spacing w:line="276" w:lineRule="auto"/>
        <w:ind w:firstLine="720"/>
        <w:jc w:val="both"/>
      </w:pPr>
      <w:r>
        <w:t>[</w:t>
      </w:r>
      <w:r w:rsidR="00913F70">
        <w:t>13</w:t>
      </w:r>
      <w:r>
        <w:t>] </w:t>
      </w:r>
      <w:r w:rsidR="00776BF9">
        <w:rPr>
          <w:rFonts w:cstheme="minorHAnsi"/>
        </w:rPr>
        <w:t>Ievērojot minēto</w:t>
      </w:r>
      <w:r w:rsidR="000721EE">
        <w:rPr>
          <w:rFonts w:cstheme="minorHAnsi"/>
        </w:rPr>
        <w:t>,</w:t>
      </w:r>
      <w:r w:rsidR="00776BF9">
        <w:rPr>
          <w:rFonts w:cstheme="minorHAnsi"/>
        </w:rPr>
        <w:t xml:space="preserve"> </w:t>
      </w:r>
      <w:r w:rsidR="00776BF9" w:rsidRPr="00D101EA">
        <w:rPr>
          <w:rFonts w:cstheme="minorHAnsi"/>
        </w:rPr>
        <w:t>Senāts</w:t>
      </w:r>
      <w:r w:rsidR="00776BF9">
        <w:rPr>
          <w:rFonts w:cstheme="minorHAnsi"/>
        </w:rPr>
        <w:t xml:space="preserve"> atzīst, ka </w:t>
      </w:r>
      <w:r w:rsidR="00FD51AD">
        <w:rPr>
          <w:rFonts w:cstheme="minorHAnsi"/>
        </w:rPr>
        <w:t>kasācijas sūdzības argumenti nav pamats apgabaltiesas sprieduma atcelšanai</w:t>
      </w:r>
      <w:r w:rsidRPr="00645D73">
        <w:t>.</w:t>
      </w:r>
    </w:p>
    <w:p w14:paraId="1DCDDF07" w14:textId="176D904E" w:rsidR="00927F11" w:rsidRDefault="00927F11" w:rsidP="00CF7832">
      <w:pPr>
        <w:spacing w:line="276" w:lineRule="auto"/>
        <w:ind w:firstLine="720"/>
        <w:contextualSpacing/>
        <w:jc w:val="both"/>
      </w:pPr>
    </w:p>
    <w:p w14:paraId="184B2DD6" w14:textId="77777777" w:rsidR="00BC32B4" w:rsidRPr="0036770F" w:rsidRDefault="00BC32B4" w:rsidP="00CF7832">
      <w:pPr>
        <w:spacing w:line="276" w:lineRule="auto"/>
        <w:jc w:val="center"/>
        <w:rPr>
          <w:b/>
        </w:rPr>
      </w:pPr>
      <w:r w:rsidRPr="0036770F">
        <w:rPr>
          <w:b/>
        </w:rPr>
        <w:t>Rezolutīvā daļa</w:t>
      </w:r>
    </w:p>
    <w:p w14:paraId="4EF1B1D7" w14:textId="77777777" w:rsidR="00685DD6" w:rsidRPr="003B2DA9" w:rsidRDefault="00685DD6" w:rsidP="00CF7832">
      <w:pPr>
        <w:shd w:val="clear" w:color="auto" w:fill="FFFFFF"/>
        <w:spacing w:line="276" w:lineRule="auto"/>
        <w:ind w:firstLine="720"/>
        <w:jc w:val="both"/>
        <w:rPr>
          <w:rFonts w:asciiTheme="majorBidi" w:hAnsiTheme="majorBidi" w:cstheme="majorBidi"/>
          <w:bCs/>
        </w:rPr>
      </w:pPr>
    </w:p>
    <w:p w14:paraId="2940726D" w14:textId="60428D76" w:rsidR="00685DD6" w:rsidRPr="003B2DA9" w:rsidRDefault="00685DD6" w:rsidP="00CF7832">
      <w:pPr>
        <w:spacing w:line="276" w:lineRule="auto"/>
        <w:ind w:firstLine="720"/>
        <w:jc w:val="both"/>
        <w:rPr>
          <w:rFonts w:asciiTheme="majorBidi" w:hAnsiTheme="majorBidi" w:cstheme="majorBidi"/>
        </w:rPr>
      </w:pPr>
      <w:r w:rsidRPr="003B2DA9">
        <w:rPr>
          <w:rFonts w:asciiTheme="majorBidi" w:hAnsiTheme="majorBidi" w:cstheme="majorBidi"/>
        </w:rPr>
        <w:t xml:space="preserve">Pamatojoties uz </w:t>
      </w:r>
      <w:r w:rsidRPr="003B2DA9">
        <w:rPr>
          <w:rFonts w:asciiTheme="majorBidi" w:eastAsia="Calibri" w:hAnsiTheme="majorBidi" w:cstheme="majorBidi"/>
          <w:lang w:eastAsia="en-US"/>
        </w:rPr>
        <w:t xml:space="preserve">Administratīvā procesa likuma 348.panta pirmās daļas </w:t>
      </w:r>
      <w:r w:rsidR="00FD51AD">
        <w:rPr>
          <w:rFonts w:asciiTheme="majorBidi" w:eastAsia="Calibri" w:hAnsiTheme="majorBidi" w:cstheme="majorBidi"/>
          <w:lang w:eastAsia="en-US"/>
        </w:rPr>
        <w:t>1</w:t>
      </w:r>
      <w:r w:rsidRPr="003B2DA9">
        <w:rPr>
          <w:rFonts w:asciiTheme="majorBidi" w:eastAsia="Calibri" w:hAnsiTheme="majorBidi" w:cstheme="majorBidi"/>
          <w:lang w:eastAsia="en-US"/>
        </w:rPr>
        <w:t>.punktu un 351.pantu</w:t>
      </w:r>
      <w:r w:rsidRPr="003B2DA9">
        <w:rPr>
          <w:rFonts w:asciiTheme="majorBidi" w:hAnsiTheme="majorBidi" w:cstheme="majorBidi"/>
        </w:rPr>
        <w:t>, Senāts</w:t>
      </w:r>
    </w:p>
    <w:p w14:paraId="287299F7" w14:textId="77777777" w:rsidR="00685DD6" w:rsidRPr="003B2DA9" w:rsidRDefault="00685DD6" w:rsidP="00CF7832">
      <w:pPr>
        <w:shd w:val="clear" w:color="auto" w:fill="FFFFFF"/>
        <w:spacing w:line="276" w:lineRule="auto"/>
        <w:ind w:firstLine="720"/>
        <w:jc w:val="both"/>
        <w:rPr>
          <w:rFonts w:asciiTheme="majorBidi" w:hAnsiTheme="majorBidi" w:cstheme="majorBidi"/>
        </w:rPr>
      </w:pPr>
    </w:p>
    <w:p w14:paraId="68F5D2D5" w14:textId="77777777" w:rsidR="000B259E" w:rsidRPr="00A53E41" w:rsidRDefault="000B259E" w:rsidP="00CF7832">
      <w:pPr>
        <w:shd w:val="clear" w:color="auto" w:fill="FFFFFF"/>
        <w:spacing w:line="276" w:lineRule="auto"/>
        <w:jc w:val="center"/>
        <w:rPr>
          <w:b/>
        </w:rPr>
      </w:pPr>
      <w:r w:rsidRPr="00A53E41">
        <w:rPr>
          <w:b/>
        </w:rPr>
        <w:t>nosprieda</w:t>
      </w:r>
    </w:p>
    <w:p w14:paraId="39A62A31" w14:textId="77777777" w:rsidR="000B259E" w:rsidRDefault="000B259E" w:rsidP="00CF7832">
      <w:pPr>
        <w:spacing w:line="276" w:lineRule="auto"/>
        <w:ind w:firstLine="720"/>
      </w:pPr>
    </w:p>
    <w:p w14:paraId="00C810B2" w14:textId="488443D3" w:rsidR="000B259E" w:rsidRDefault="00BC32B4" w:rsidP="00CF7832">
      <w:pPr>
        <w:spacing w:line="276" w:lineRule="auto"/>
        <w:ind w:firstLine="720"/>
        <w:jc w:val="both"/>
      </w:pPr>
      <w:r>
        <w:t>at</w:t>
      </w:r>
      <w:r w:rsidR="00FD51AD">
        <w:t xml:space="preserve">stāt negrozītu </w:t>
      </w:r>
      <w:r w:rsidR="00AE4165" w:rsidRPr="00DA6864">
        <w:t xml:space="preserve">Administratīvās apgabaltiesas </w:t>
      </w:r>
      <w:r w:rsidR="00685DD6" w:rsidRPr="000F5382">
        <w:t>202</w:t>
      </w:r>
      <w:r w:rsidR="00FD51AD">
        <w:t>4</w:t>
      </w:r>
      <w:r w:rsidR="00685DD6" w:rsidRPr="000F5382">
        <w:t xml:space="preserve">.gada </w:t>
      </w:r>
      <w:r w:rsidR="00FD51AD">
        <w:t xml:space="preserve">1.jūlija </w:t>
      </w:r>
      <w:r w:rsidR="00AE4165" w:rsidRPr="00DA6864">
        <w:t>spriedumu</w:t>
      </w:r>
      <w:r w:rsidR="00FD51AD">
        <w:t>, bet sabiedrības ar ierobežotu atbildību „COMPUTER HARDWARE DESIGN” kasācijas sūdzību noraidīt</w:t>
      </w:r>
      <w:r>
        <w:t>.</w:t>
      </w:r>
    </w:p>
    <w:p w14:paraId="107078DF" w14:textId="77777777" w:rsidR="00BC32B4" w:rsidRPr="00793346" w:rsidRDefault="00BC32B4" w:rsidP="00CF7832">
      <w:pPr>
        <w:spacing w:line="276" w:lineRule="auto"/>
        <w:ind w:firstLine="720"/>
        <w:jc w:val="both"/>
        <w:rPr>
          <w:bCs/>
        </w:rPr>
      </w:pPr>
    </w:p>
    <w:p w14:paraId="36E5EFB6" w14:textId="029DEEF2" w:rsidR="000B259E" w:rsidRPr="00CF7832" w:rsidRDefault="000B259E" w:rsidP="00CF7832">
      <w:pPr>
        <w:spacing w:line="276" w:lineRule="auto"/>
        <w:ind w:firstLine="720"/>
        <w:rPr>
          <w:bCs/>
        </w:rPr>
      </w:pPr>
      <w:r w:rsidRPr="00793346">
        <w:rPr>
          <w:bCs/>
        </w:rPr>
        <w:t>Spriedums nav pārsūdzams.</w:t>
      </w:r>
      <w:bookmarkEnd w:id="0"/>
    </w:p>
    <w:sectPr w:rsidR="000B259E" w:rsidRPr="00CF7832" w:rsidSect="007D0E74">
      <w:headerReference w:type="even" r:id="rId10"/>
      <w:footerReference w:type="even" r:id="rId11"/>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AE45" w14:textId="77777777" w:rsidR="00E11522" w:rsidRDefault="00E11522" w:rsidP="0082608C">
      <w:r>
        <w:separator/>
      </w:r>
    </w:p>
  </w:endnote>
  <w:endnote w:type="continuationSeparator" w:id="0">
    <w:p w14:paraId="52CC7651" w14:textId="77777777" w:rsidR="00E11522" w:rsidRDefault="00E11522"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23903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D3A2867" w14:textId="6F315256" w:rsidR="00AD479B" w:rsidRPr="00EE6D12" w:rsidRDefault="00A94FA4" w:rsidP="00EE6D12">
            <w:pPr>
              <w:pStyle w:val="Footer"/>
              <w:jc w:val="center"/>
              <w:rPr>
                <w:sz w:val="20"/>
                <w:szCs w:val="20"/>
              </w:rPr>
            </w:pPr>
            <w:r w:rsidRPr="00CD334C">
              <w:rPr>
                <w:sz w:val="20"/>
                <w:szCs w:val="20"/>
              </w:rPr>
              <w:fldChar w:fldCharType="begin"/>
            </w:r>
            <w:r w:rsidRPr="00CD334C">
              <w:rPr>
                <w:sz w:val="20"/>
                <w:szCs w:val="20"/>
              </w:rPr>
              <w:instrText xml:space="preserve"> PAGE </w:instrText>
            </w:r>
            <w:r w:rsidRPr="00CD334C">
              <w:rPr>
                <w:sz w:val="20"/>
                <w:szCs w:val="20"/>
              </w:rPr>
              <w:fldChar w:fldCharType="separate"/>
            </w:r>
            <w:r w:rsidRPr="00CD334C">
              <w:rPr>
                <w:noProof/>
                <w:sz w:val="20"/>
                <w:szCs w:val="20"/>
              </w:rPr>
              <w:t>2</w:t>
            </w:r>
            <w:r w:rsidRPr="00CD334C">
              <w:rPr>
                <w:sz w:val="20"/>
                <w:szCs w:val="20"/>
              </w:rPr>
              <w:fldChar w:fldCharType="end"/>
            </w:r>
            <w:r w:rsidRPr="00CD334C">
              <w:rPr>
                <w:sz w:val="20"/>
                <w:szCs w:val="20"/>
              </w:rPr>
              <w:t xml:space="preserve"> no </w:t>
            </w:r>
            <w:r w:rsidRPr="00CD334C">
              <w:rPr>
                <w:sz w:val="20"/>
                <w:szCs w:val="20"/>
              </w:rPr>
              <w:fldChar w:fldCharType="begin"/>
            </w:r>
            <w:r w:rsidRPr="00CD334C">
              <w:rPr>
                <w:sz w:val="20"/>
                <w:szCs w:val="20"/>
              </w:rPr>
              <w:instrText xml:space="preserve"> NUMPAGES  </w:instrText>
            </w:r>
            <w:r w:rsidRPr="00CD334C">
              <w:rPr>
                <w:sz w:val="20"/>
                <w:szCs w:val="20"/>
              </w:rPr>
              <w:fldChar w:fldCharType="separate"/>
            </w:r>
            <w:r w:rsidRPr="00CD334C">
              <w:rPr>
                <w:noProof/>
                <w:sz w:val="20"/>
                <w:szCs w:val="20"/>
              </w:rPr>
              <w:t>2</w:t>
            </w:r>
            <w:r w:rsidRPr="00CD33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B6CD" w14:textId="77777777" w:rsidR="00E11522" w:rsidRDefault="00E11522" w:rsidP="0082608C">
      <w:r>
        <w:separator/>
      </w:r>
    </w:p>
  </w:footnote>
  <w:footnote w:type="continuationSeparator" w:id="0">
    <w:p w14:paraId="397F13BE" w14:textId="77777777" w:rsidR="00E11522" w:rsidRDefault="00E11522"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1A5C7256"/>
    <w:multiLevelType w:val="multilevel"/>
    <w:tmpl w:val="AD10ADD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val="0"/>
        <w:sz w:val="20"/>
        <w:szCs w:val="20"/>
      </w:rPr>
    </w:lvl>
    <w:lvl w:ilvl="2">
      <w:start w:val="1"/>
      <w:numFmt w:val="lowerLetter"/>
      <w:lvlText w:val="%3)"/>
      <w:lvlJc w:val="left"/>
      <w:pPr>
        <w:ind w:left="1224" w:hanging="504"/>
      </w:pPr>
      <w:rPr>
        <w:rFonts w:hint="default"/>
      </w:rPr>
    </w:lvl>
    <w:lvl w:ilvl="3">
      <w:start w:val="1"/>
      <w:numFmt w:val="decimal"/>
      <w:lvlText w:val="%1.%2.%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5695882">
    <w:abstractNumId w:val="1"/>
  </w:num>
  <w:num w:numId="2" w16cid:durableId="821627640">
    <w:abstractNumId w:val="0"/>
  </w:num>
  <w:num w:numId="3" w16cid:durableId="1283414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2B4"/>
    <w:rsid w:val="000003EF"/>
    <w:rsid w:val="00000803"/>
    <w:rsid w:val="00011A37"/>
    <w:rsid w:val="00016405"/>
    <w:rsid w:val="0001676E"/>
    <w:rsid w:val="00016F23"/>
    <w:rsid w:val="0001779C"/>
    <w:rsid w:val="00020293"/>
    <w:rsid w:val="000203CA"/>
    <w:rsid w:val="000219F0"/>
    <w:rsid w:val="00021F46"/>
    <w:rsid w:val="00024EF5"/>
    <w:rsid w:val="00025083"/>
    <w:rsid w:val="00030179"/>
    <w:rsid w:val="000307A0"/>
    <w:rsid w:val="00030FF5"/>
    <w:rsid w:val="0003131F"/>
    <w:rsid w:val="00031347"/>
    <w:rsid w:val="000313B3"/>
    <w:rsid w:val="00031EDA"/>
    <w:rsid w:val="000332FE"/>
    <w:rsid w:val="00034D9B"/>
    <w:rsid w:val="00035355"/>
    <w:rsid w:val="00037AC1"/>
    <w:rsid w:val="00037BE9"/>
    <w:rsid w:val="0004009E"/>
    <w:rsid w:val="0004050C"/>
    <w:rsid w:val="00042BF7"/>
    <w:rsid w:val="000445E5"/>
    <w:rsid w:val="0004490C"/>
    <w:rsid w:val="00044A5E"/>
    <w:rsid w:val="0004551A"/>
    <w:rsid w:val="000466A1"/>
    <w:rsid w:val="00047361"/>
    <w:rsid w:val="000504EB"/>
    <w:rsid w:val="00050750"/>
    <w:rsid w:val="000509EA"/>
    <w:rsid w:val="000536AF"/>
    <w:rsid w:val="00053F03"/>
    <w:rsid w:val="00054744"/>
    <w:rsid w:val="000562A0"/>
    <w:rsid w:val="000575DC"/>
    <w:rsid w:val="00057723"/>
    <w:rsid w:val="00057BC1"/>
    <w:rsid w:val="00057F83"/>
    <w:rsid w:val="00057FAF"/>
    <w:rsid w:val="0006024F"/>
    <w:rsid w:val="000604C3"/>
    <w:rsid w:val="00062496"/>
    <w:rsid w:val="000624D8"/>
    <w:rsid w:val="0006270A"/>
    <w:rsid w:val="000640BA"/>
    <w:rsid w:val="000641BC"/>
    <w:rsid w:val="000645B1"/>
    <w:rsid w:val="00064F9C"/>
    <w:rsid w:val="000679FE"/>
    <w:rsid w:val="000701E1"/>
    <w:rsid w:val="000721EE"/>
    <w:rsid w:val="000722B7"/>
    <w:rsid w:val="00072850"/>
    <w:rsid w:val="00073524"/>
    <w:rsid w:val="00073B7D"/>
    <w:rsid w:val="00074B50"/>
    <w:rsid w:val="00075759"/>
    <w:rsid w:val="00076247"/>
    <w:rsid w:val="000771EC"/>
    <w:rsid w:val="00077B2B"/>
    <w:rsid w:val="0008043E"/>
    <w:rsid w:val="000805D9"/>
    <w:rsid w:val="00080885"/>
    <w:rsid w:val="00080D1F"/>
    <w:rsid w:val="0008110A"/>
    <w:rsid w:val="0008195A"/>
    <w:rsid w:val="00081FA4"/>
    <w:rsid w:val="000822E8"/>
    <w:rsid w:val="00082752"/>
    <w:rsid w:val="000837FF"/>
    <w:rsid w:val="00083BA9"/>
    <w:rsid w:val="0008452B"/>
    <w:rsid w:val="00087AAC"/>
    <w:rsid w:val="00091D7E"/>
    <w:rsid w:val="0009282B"/>
    <w:rsid w:val="00094505"/>
    <w:rsid w:val="000948B0"/>
    <w:rsid w:val="00094C31"/>
    <w:rsid w:val="00095513"/>
    <w:rsid w:val="0009651C"/>
    <w:rsid w:val="00096F1A"/>
    <w:rsid w:val="000A064D"/>
    <w:rsid w:val="000A32C1"/>
    <w:rsid w:val="000A3BB3"/>
    <w:rsid w:val="000A3C93"/>
    <w:rsid w:val="000A50B2"/>
    <w:rsid w:val="000A5715"/>
    <w:rsid w:val="000A57F2"/>
    <w:rsid w:val="000A59D9"/>
    <w:rsid w:val="000A6479"/>
    <w:rsid w:val="000A6F89"/>
    <w:rsid w:val="000B06EE"/>
    <w:rsid w:val="000B1EB2"/>
    <w:rsid w:val="000B1FA8"/>
    <w:rsid w:val="000B259E"/>
    <w:rsid w:val="000B3B71"/>
    <w:rsid w:val="000B4923"/>
    <w:rsid w:val="000B542F"/>
    <w:rsid w:val="000B5B8B"/>
    <w:rsid w:val="000B5EAD"/>
    <w:rsid w:val="000B6B4E"/>
    <w:rsid w:val="000B6C17"/>
    <w:rsid w:val="000B6C5A"/>
    <w:rsid w:val="000B6FCF"/>
    <w:rsid w:val="000B72C7"/>
    <w:rsid w:val="000B75F8"/>
    <w:rsid w:val="000C2EC0"/>
    <w:rsid w:val="000C441E"/>
    <w:rsid w:val="000C53C7"/>
    <w:rsid w:val="000C5D90"/>
    <w:rsid w:val="000D081E"/>
    <w:rsid w:val="000D0A58"/>
    <w:rsid w:val="000D1225"/>
    <w:rsid w:val="000D31CE"/>
    <w:rsid w:val="000D323C"/>
    <w:rsid w:val="000D32C5"/>
    <w:rsid w:val="000D3E47"/>
    <w:rsid w:val="000D50EA"/>
    <w:rsid w:val="000D5537"/>
    <w:rsid w:val="000D665B"/>
    <w:rsid w:val="000D72AA"/>
    <w:rsid w:val="000E0BE4"/>
    <w:rsid w:val="000E25EC"/>
    <w:rsid w:val="000E275F"/>
    <w:rsid w:val="000E283E"/>
    <w:rsid w:val="000E2E7E"/>
    <w:rsid w:val="000E39CB"/>
    <w:rsid w:val="000E4039"/>
    <w:rsid w:val="000E4CE2"/>
    <w:rsid w:val="000E4EF4"/>
    <w:rsid w:val="000E658C"/>
    <w:rsid w:val="000E6BDD"/>
    <w:rsid w:val="000E7322"/>
    <w:rsid w:val="000F3111"/>
    <w:rsid w:val="000F44A2"/>
    <w:rsid w:val="000F4BCA"/>
    <w:rsid w:val="000F5382"/>
    <w:rsid w:val="000F5B44"/>
    <w:rsid w:val="001001F0"/>
    <w:rsid w:val="00100DED"/>
    <w:rsid w:val="00101822"/>
    <w:rsid w:val="001025AD"/>
    <w:rsid w:val="0010264B"/>
    <w:rsid w:val="001032A9"/>
    <w:rsid w:val="00103B6D"/>
    <w:rsid w:val="00103DE3"/>
    <w:rsid w:val="0010552C"/>
    <w:rsid w:val="001055C5"/>
    <w:rsid w:val="00105829"/>
    <w:rsid w:val="00105EE1"/>
    <w:rsid w:val="00106B57"/>
    <w:rsid w:val="00106FB7"/>
    <w:rsid w:val="00107652"/>
    <w:rsid w:val="00107C09"/>
    <w:rsid w:val="001100F8"/>
    <w:rsid w:val="0011286F"/>
    <w:rsid w:val="001141B5"/>
    <w:rsid w:val="00114EB7"/>
    <w:rsid w:val="00115691"/>
    <w:rsid w:val="00115D3F"/>
    <w:rsid w:val="00121B3B"/>
    <w:rsid w:val="00121B83"/>
    <w:rsid w:val="00123F7F"/>
    <w:rsid w:val="00125597"/>
    <w:rsid w:val="001258F1"/>
    <w:rsid w:val="00125A4E"/>
    <w:rsid w:val="0012610F"/>
    <w:rsid w:val="00126AA3"/>
    <w:rsid w:val="001277EB"/>
    <w:rsid w:val="0013022B"/>
    <w:rsid w:val="0013042E"/>
    <w:rsid w:val="00130EC2"/>
    <w:rsid w:val="001319EA"/>
    <w:rsid w:val="00131CE8"/>
    <w:rsid w:val="0013203F"/>
    <w:rsid w:val="0013204E"/>
    <w:rsid w:val="0013211F"/>
    <w:rsid w:val="0013240B"/>
    <w:rsid w:val="00133144"/>
    <w:rsid w:val="00133CF7"/>
    <w:rsid w:val="0013524B"/>
    <w:rsid w:val="00135C29"/>
    <w:rsid w:val="00136DEE"/>
    <w:rsid w:val="0013715E"/>
    <w:rsid w:val="00142579"/>
    <w:rsid w:val="00143921"/>
    <w:rsid w:val="00143F28"/>
    <w:rsid w:val="00146BEF"/>
    <w:rsid w:val="001476CD"/>
    <w:rsid w:val="00150876"/>
    <w:rsid w:val="00150C18"/>
    <w:rsid w:val="00151882"/>
    <w:rsid w:val="00152927"/>
    <w:rsid w:val="001533EC"/>
    <w:rsid w:val="0015382A"/>
    <w:rsid w:val="00155999"/>
    <w:rsid w:val="00155B03"/>
    <w:rsid w:val="001571E1"/>
    <w:rsid w:val="00160A0D"/>
    <w:rsid w:val="00161B23"/>
    <w:rsid w:val="001636B6"/>
    <w:rsid w:val="0016394B"/>
    <w:rsid w:val="00163DEF"/>
    <w:rsid w:val="00164054"/>
    <w:rsid w:val="00164165"/>
    <w:rsid w:val="00164BF5"/>
    <w:rsid w:val="001657B6"/>
    <w:rsid w:val="001677C0"/>
    <w:rsid w:val="001678AF"/>
    <w:rsid w:val="00167B32"/>
    <w:rsid w:val="00170584"/>
    <w:rsid w:val="001706EE"/>
    <w:rsid w:val="001713F3"/>
    <w:rsid w:val="0017184A"/>
    <w:rsid w:val="0017192B"/>
    <w:rsid w:val="00171E55"/>
    <w:rsid w:val="001728F4"/>
    <w:rsid w:val="00173694"/>
    <w:rsid w:val="00173D09"/>
    <w:rsid w:val="00173D90"/>
    <w:rsid w:val="00175B21"/>
    <w:rsid w:val="00176FF8"/>
    <w:rsid w:val="00177BB6"/>
    <w:rsid w:val="00180043"/>
    <w:rsid w:val="0018234B"/>
    <w:rsid w:val="00182940"/>
    <w:rsid w:val="001845D0"/>
    <w:rsid w:val="00184BEF"/>
    <w:rsid w:val="0018591F"/>
    <w:rsid w:val="001860B1"/>
    <w:rsid w:val="001862EA"/>
    <w:rsid w:val="00186B85"/>
    <w:rsid w:val="0018704C"/>
    <w:rsid w:val="001872ED"/>
    <w:rsid w:val="001904E8"/>
    <w:rsid w:val="0019130E"/>
    <w:rsid w:val="00192854"/>
    <w:rsid w:val="00193302"/>
    <w:rsid w:val="001936CA"/>
    <w:rsid w:val="00193887"/>
    <w:rsid w:val="00193A54"/>
    <w:rsid w:val="00193A85"/>
    <w:rsid w:val="00195617"/>
    <w:rsid w:val="001958EC"/>
    <w:rsid w:val="0019627F"/>
    <w:rsid w:val="001A0083"/>
    <w:rsid w:val="001A01B9"/>
    <w:rsid w:val="001A101C"/>
    <w:rsid w:val="001A2722"/>
    <w:rsid w:val="001A4E26"/>
    <w:rsid w:val="001A5D0A"/>
    <w:rsid w:val="001A61A7"/>
    <w:rsid w:val="001A6387"/>
    <w:rsid w:val="001A6410"/>
    <w:rsid w:val="001A740B"/>
    <w:rsid w:val="001A7566"/>
    <w:rsid w:val="001A75B8"/>
    <w:rsid w:val="001B0003"/>
    <w:rsid w:val="001B079E"/>
    <w:rsid w:val="001B26A2"/>
    <w:rsid w:val="001B2F53"/>
    <w:rsid w:val="001B3B63"/>
    <w:rsid w:val="001B3BD7"/>
    <w:rsid w:val="001B57F9"/>
    <w:rsid w:val="001C1021"/>
    <w:rsid w:val="001C1453"/>
    <w:rsid w:val="001C2692"/>
    <w:rsid w:val="001C53C2"/>
    <w:rsid w:val="001C56A8"/>
    <w:rsid w:val="001C59DC"/>
    <w:rsid w:val="001C5F37"/>
    <w:rsid w:val="001C65A4"/>
    <w:rsid w:val="001C76D4"/>
    <w:rsid w:val="001D0851"/>
    <w:rsid w:val="001D0F36"/>
    <w:rsid w:val="001D1126"/>
    <w:rsid w:val="001D12BA"/>
    <w:rsid w:val="001D2429"/>
    <w:rsid w:val="001D357B"/>
    <w:rsid w:val="001D3900"/>
    <w:rsid w:val="001D465D"/>
    <w:rsid w:val="001D47AE"/>
    <w:rsid w:val="001D4FF0"/>
    <w:rsid w:val="001D54F1"/>
    <w:rsid w:val="001D6E16"/>
    <w:rsid w:val="001D7274"/>
    <w:rsid w:val="001D797D"/>
    <w:rsid w:val="001D7C41"/>
    <w:rsid w:val="001E015C"/>
    <w:rsid w:val="001E0867"/>
    <w:rsid w:val="001E44D4"/>
    <w:rsid w:val="001E4897"/>
    <w:rsid w:val="001E4C74"/>
    <w:rsid w:val="001E5796"/>
    <w:rsid w:val="001E7FB1"/>
    <w:rsid w:val="001E7FCA"/>
    <w:rsid w:val="001F09E1"/>
    <w:rsid w:val="001F1C64"/>
    <w:rsid w:val="001F3F01"/>
    <w:rsid w:val="001F586C"/>
    <w:rsid w:val="001F6D7C"/>
    <w:rsid w:val="001F7A7A"/>
    <w:rsid w:val="00200220"/>
    <w:rsid w:val="00200411"/>
    <w:rsid w:val="00201971"/>
    <w:rsid w:val="00206217"/>
    <w:rsid w:val="002103B4"/>
    <w:rsid w:val="002103C6"/>
    <w:rsid w:val="0021040B"/>
    <w:rsid w:val="00210707"/>
    <w:rsid w:val="002127FD"/>
    <w:rsid w:val="00212B80"/>
    <w:rsid w:val="00216C3A"/>
    <w:rsid w:val="0021705B"/>
    <w:rsid w:val="00217C84"/>
    <w:rsid w:val="002207F3"/>
    <w:rsid w:val="002211CF"/>
    <w:rsid w:val="002220A8"/>
    <w:rsid w:val="00225028"/>
    <w:rsid w:val="002258BD"/>
    <w:rsid w:val="00225EDA"/>
    <w:rsid w:val="002268D6"/>
    <w:rsid w:val="00226F0D"/>
    <w:rsid w:val="002271FA"/>
    <w:rsid w:val="00227D9A"/>
    <w:rsid w:val="00230A21"/>
    <w:rsid w:val="00231835"/>
    <w:rsid w:val="00232319"/>
    <w:rsid w:val="00232B8C"/>
    <w:rsid w:val="00233E26"/>
    <w:rsid w:val="002341AD"/>
    <w:rsid w:val="00234555"/>
    <w:rsid w:val="00234F56"/>
    <w:rsid w:val="0023605E"/>
    <w:rsid w:val="002364AD"/>
    <w:rsid w:val="00237769"/>
    <w:rsid w:val="00237E9E"/>
    <w:rsid w:val="00240A55"/>
    <w:rsid w:val="00242A7A"/>
    <w:rsid w:val="002434C4"/>
    <w:rsid w:val="00243EF1"/>
    <w:rsid w:val="0024471A"/>
    <w:rsid w:val="0025003B"/>
    <w:rsid w:val="00250E50"/>
    <w:rsid w:val="002510C8"/>
    <w:rsid w:val="00251408"/>
    <w:rsid w:val="002523E5"/>
    <w:rsid w:val="0025297B"/>
    <w:rsid w:val="00253B2F"/>
    <w:rsid w:val="00256FC3"/>
    <w:rsid w:val="00257605"/>
    <w:rsid w:val="0026246F"/>
    <w:rsid w:val="002628C4"/>
    <w:rsid w:val="00262B45"/>
    <w:rsid w:val="00262F08"/>
    <w:rsid w:val="00263471"/>
    <w:rsid w:val="00263D10"/>
    <w:rsid w:val="0026472D"/>
    <w:rsid w:val="0027231C"/>
    <w:rsid w:val="00272482"/>
    <w:rsid w:val="00274227"/>
    <w:rsid w:val="0027495B"/>
    <w:rsid w:val="002756D7"/>
    <w:rsid w:val="0027574B"/>
    <w:rsid w:val="00276286"/>
    <w:rsid w:val="0027681A"/>
    <w:rsid w:val="0027726D"/>
    <w:rsid w:val="00280507"/>
    <w:rsid w:val="002811FE"/>
    <w:rsid w:val="002817D5"/>
    <w:rsid w:val="00281842"/>
    <w:rsid w:val="002821ED"/>
    <w:rsid w:val="002834A5"/>
    <w:rsid w:val="00283571"/>
    <w:rsid w:val="002840A3"/>
    <w:rsid w:val="002840E9"/>
    <w:rsid w:val="00284CE2"/>
    <w:rsid w:val="002854EA"/>
    <w:rsid w:val="00285BE9"/>
    <w:rsid w:val="0028646C"/>
    <w:rsid w:val="002867AD"/>
    <w:rsid w:val="002875F0"/>
    <w:rsid w:val="00287789"/>
    <w:rsid w:val="00290F0C"/>
    <w:rsid w:val="00292E06"/>
    <w:rsid w:val="00295586"/>
    <w:rsid w:val="00296371"/>
    <w:rsid w:val="00297D7D"/>
    <w:rsid w:val="002A03D3"/>
    <w:rsid w:val="002A07B1"/>
    <w:rsid w:val="002A202A"/>
    <w:rsid w:val="002A2CE8"/>
    <w:rsid w:val="002A417B"/>
    <w:rsid w:val="002A4479"/>
    <w:rsid w:val="002A46F7"/>
    <w:rsid w:val="002A4E67"/>
    <w:rsid w:val="002A56C7"/>
    <w:rsid w:val="002B028D"/>
    <w:rsid w:val="002B0F9B"/>
    <w:rsid w:val="002B194D"/>
    <w:rsid w:val="002B315F"/>
    <w:rsid w:val="002B37D6"/>
    <w:rsid w:val="002B395D"/>
    <w:rsid w:val="002B3DB5"/>
    <w:rsid w:val="002B4F2E"/>
    <w:rsid w:val="002B50C1"/>
    <w:rsid w:val="002B561D"/>
    <w:rsid w:val="002B5C2C"/>
    <w:rsid w:val="002B641A"/>
    <w:rsid w:val="002C0431"/>
    <w:rsid w:val="002C091E"/>
    <w:rsid w:val="002C1313"/>
    <w:rsid w:val="002C1524"/>
    <w:rsid w:val="002C1604"/>
    <w:rsid w:val="002C27C8"/>
    <w:rsid w:val="002C3812"/>
    <w:rsid w:val="002C3BD8"/>
    <w:rsid w:val="002C5490"/>
    <w:rsid w:val="002C5707"/>
    <w:rsid w:val="002C5968"/>
    <w:rsid w:val="002C7B33"/>
    <w:rsid w:val="002D04A9"/>
    <w:rsid w:val="002D1258"/>
    <w:rsid w:val="002D134F"/>
    <w:rsid w:val="002D17B0"/>
    <w:rsid w:val="002D202D"/>
    <w:rsid w:val="002D20A9"/>
    <w:rsid w:val="002D21F1"/>
    <w:rsid w:val="002D40F8"/>
    <w:rsid w:val="002D5D3F"/>
    <w:rsid w:val="002D62FA"/>
    <w:rsid w:val="002D63BC"/>
    <w:rsid w:val="002D655B"/>
    <w:rsid w:val="002D6C27"/>
    <w:rsid w:val="002D7C02"/>
    <w:rsid w:val="002E1618"/>
    <w:rsid w:val="002E2220"/>
    <w:rsid w:val="002E2761"/>
    <w:rsid w:val="002E2826"/>
    <w:rsid w:val="002E3AB6"/>
    <w:rsid w:val="002E3ADE"/>
    <w:rsid w:val="002E416D"/>
    <w:rsid w:val="002E580B"/>
    <w:rsid w:val="002E7C67"/>
    <w:rsid w:val="002F0210"/>
    <w:rsid w:val="002F08F5"/>
    <w:rsid w:val="002F2773"/>
    <w:rsid w:val="002F30C9"/>
    <w:rsid w:val="002F357A"/>
    <w:rsid w:val="002F43A9"/>
    <w:rsid w:val="002F43ED"/>
    <w:rsid w:val="002F6055"/>
    <w:rsid w:val="002F6828"/>
    <w:rsid w:val="002F7A2C"/>
    <w:rsid w:val="00300E82"/>
    <w:rsid w:val="00302131"/>
    <w:rsid w:val="003036F1"/>
    <w:rsid w:val="00304B7B"/>
    <w:rsid w:val="00304FF9"/>
    <w:rsid w:val="00306E14"/>
    <w:rsid w:val="00310063"/>
    <w:rsid w:val="003105DA"/>
    <w:rsid w:val="00310DBA"/>
    <w:rsid w:val="00310FB0"/>
    <w:rsid w:val="00312D5A"/>
    <w:rsid w:val="00312D70"/>
    <w:rsid w:val="00314F45"/>
    <w:rsid w:val="003151E6"/>
    <w:rsid w:val="00315F74"/>
    <w:rsid w:val="00315FD6"/>
    <w:rsid w:val="003160BE"/>
    <w:rsid w:val="00317928"/>
    <w:rsid w:val="00321D2D"/>
    <w:rsid w:val="0032339A"/>
    <w:rsid w:val="003233AC"/>
    <w:rsid w:val="00325677"/>
    <w:rsid w:val="003258C5"/>
    <w:rsid w:val="003268AF"/>
    <w:rsid w:val="00331FE1"/>
    <w:rsid w:val="0033379E"/>
    <w:rsid w:val="00335E61"/>
    <w:rsid w:val="003376FD"/>
    <w:rsid w:val="00337C16"/>
    <w:rsid w:val="00337E25"/>
    <w:rsid w:val="0034385C"/>
    <w:rsid w:val="00343D67"/>
    <w:rsid w:val="0034457C"/>
    <w:rsid w:val="003450AB"/>
    <w:rsid w:val="003458CE"/>
    <w:rsid w:val="003469ED"/>
    <w:rsid w:val="00350F59"/>
    <w:rsid w:val="0035114F"/>
    <w:rsid w:val="003518A7"/>
    <w:rsid w:val="00353288"/>
    <w:rsid w:val="00353377"/>
    <w:rsid w:val="0035367E"/>
    <w:rsid w:val="00353E36"/>
    <w:rsid w:val="00355AE1"/>
    <w:rsid w:val="00356536"/>
    <w:rsid w:val="00356A82"/>
    <w:rsid w:val="00357DAA"/>
    <w:rsid w:val="00360A3D"/>
    <w:rsid w:val="00360C33"/>
    <w:rsid w:val="0036226B"/>
    <w:rsid w:val="003623F4"/>
    <w:rsid w:val="003651C3"/>
    <w:rsid w:val="00365571"/>
    <w:rsid w:val="00365622"/>
    <w:rsid w:val="00366401"/>
    <w:rsid w:val="0036655C"/>
    <w:rsid w:val="003667FD"/>
    <w:rsid w:val="003711AA"/>
    <w:rsid w:val="00371EF9"/>
    <w:rsid w:val="00374013"/>
    <w:rsid w:val="003756D0"/>
    <w:rsid w:val="003778E4"/>
    <w:rsid w:val="00377D7D"/>
    <w:rsid w:val="0038030C"/>
    <w:rsid w:val="003811D5"/>
    <w:rsid w:val="00381AC4"/>
    <w:rsid w:val="00381C67"/>
    <w:rsid w:val="0038282C"/>
    <w:rsid w:val="00383578"/>
    <w:rsid w:val="00383E72"/>
    <w:rsid w:val="003856CE"/>
    <w:rsid w:val="003865CD"/>
    <w:rsid w:val="00386A64"/>
    <w:rsid w:val="003875BC"/>
    <w:rsid w:val="00387642"/>
    <w:rsid w:val="00387CE1"/>
    <w:rsid w:val="00387E86"/>
    <w:rsid w:val="00391DE7"/>
    <w:rsid w:val="0039235D"/>
    <w:rsid w:val="00393298"/>
    <w:rsid w:val="0039363E"/>
    <w:rsid w:val="0039420F"/>
    <w:rsid w:val="00395277"/>
    <w:rsid w:val="00395538"/>
    <w:rsid w:val="003958F5"/>
    <w:rsid w:val="00396E0D"/>
    <w:rsid w:val="00396FCC"/>
    <w:rsid w:val="003A1B55"/>
    <w:rsid w:val="003A1BC2"/>
    <w:rsid w:val="003A3A19"/>
    <w:rsid w:val="003A3B9D"/>
    <w:rsid w:val="003A4C1D"/>
    <w:rsid w:val="003A4DF2"/>
    <w:rsid w:val="003A612B"/>
    <w:rsid w:val="003A65E9"/>
    <w:rsid w:val="003A77EB"/>
    <w:rsid w:val="003B00AF"/>
    <w:rsid w:val="003B0AD4"/>
    <w:rsid w:val="003B0B87"/>
    <w:rsid w:val="003B0BBF"/>
    <w:rsid w:val="003B4F9B"/>
    <w:rsid w:val="003B4FFC"/>
    <w:rsid w:val="003B69AA"/>
    <w:rsid w:val="003B6FAA"/>
    <w:rsid w:val="003B6FF4"/>
    <w:rsid w:val="003B72A5"/>
    <w:rsid w:val="003C140D"/>
    <w:rsid w:val="003C1CD7"/>
    <w:rsid w:val="003C3043"/>
    <w:rsid w:val="003C3354"/>
    <w:rsid w:val="003C35E6"/>
    <w:rsid w:val="003C443B"/>
    <w:rsid w:val="003C561D"/>
    <w:rsid w:val="003C6806"/>
    <w:rsid w:val="003C705C"/>
    <w:rsid w:val="003D08E5"/>
    <w:rsid w:val="003D0B47"/>
    <w:rsid w:val="003D0CAB"/>
    <w:rsid w:val="003D317F"/>
    <w:rsid w:val="003D36CB"/>
    <w:rsid w:val="003D3D2B"/>
    <w:rsid w:val="003D45D6"/>
    <w:rsid w:val="003D5022"/>
    <w:rsid w:val="003D54EB"/>
    <w:rsid w:val="003D6B4C"/>
    <w:rsid w:val="003D6FCF"/>
    <w:rsid w:val="003E0097"/>
    <w:rsid w:val="003E0796"/>
    <w:rsid w:val="003E107C"/>
    <w:rsid w:val="003E2021"/>
    <w:rsid w:val="003E2483"/>
    <w:rsid w:val="003E51A8"/>
    <w:rsid w:val="003E5A4C"/>
    <w:rsid w:val="003E61CC"/>
    <w:rsid w:val="003E700D"/>
    <w:rsid w:val="003E7FB9"/>
    <w:rsid w:val="003F00C8"/>
    <w:rsid w:val="003F01BE"/>
    <w:rsid w:val="003F0715"/>
    <w:rsid w:val="003F1BD8"/>
    <w:rsid w:val="003F1DE6"/>
    <w:rsid w:val="003F22B7"/>
    <w:rsid w:val="003F311C"/>
    <w:rsid w:val="003F4F3B"/>
    <w:rsid w:val="003F523F"/>
    <w:rsid w:val="003F57FA"/>
    <w:rsid w:val="003F5993"/>
    <w:rsid w:val="003F63FC"/>
    <w:rsid w:val="003F7FE0"/>
    <w:rsid w:val="004008ED"/>
    <w:rsid w:val="004015C7"/>
    <w:rsid w:val="0040163B"/>
    <w:rsid w:val="004025E4"/>
    <w:rsid w:val="004028A6"/>
    <w:rsid w:val="0040356D"/>
    <w:rsid w:val="00403D0E"/>
    <w:rsid w:val="00405225"/>
    <w:rsid w:val="0040539B"/>
    <w:rsid w:val="00405ECD"/>
    <w:rsid w:val="0041184F"/>
    <w:rsid w:val="0041195F"/>
    <w:rsid w:val="00412E4C"/>
    <w:rsid w:val="00413B27"/>
    <w:rsid w:val="00413B8F"/>
    <w:rsid w:val="004150B8"/>
    <w:rsid w:val="0041539C"/>
    <w:rsid w:val="0041559D"/>
    <w:rsid w:val="004175A6"/>
    <w:rsid w:val="00417A8F"/>
    <w:rsid w:val="00420917"/>
    <w:rsid w:val="004219AF"/>
    <w:rsid w:val="004223B3"/>
    <w:rsid w:val="00423C6D"/>
    <w:rsid w:val="0042579F"/>
    <w:rsid w:val="0042599D"/>
    <w:rsid w:val="0042687A"/>
    <w:rsid w:val="00427CDC"/>
    <w:rsid w:val="00427F1F"/>
    <w:rsid w:val="004305E6"/>
    <w:rsid w:val="00430F36"/>
    <w:rsid w:val="00431066"/>
    <w:rsid w:val="00431641"/>
    <w:rsid w:val="0043541D"/>
    <w:rsid w:val="00436162"/>
    <w:rsid w:val="0044080B"/>
    <w:rsid w:val="00441246"/>
    <w:rsid w:val="0044184F"/>
    <w:rsid w:val="00442A9C"/>
    <w:rsid w:val="00443031"/>
    <w:rsid w:val="00443B41"/>
    <w:rsid w:val="004453B9"/>
    <w:rsid w:val="00445423"/>
    <w:rsid w:val="00445545"/>
    <w:rsid w:val="00445839"/>
    <w:rsid w:val="004459D0"/>
    <w:rsid w:val="00446C50"/>
    <w:rsid w:val="00446DA7"/>
    <w:rsid w:val="004479E7"/>
    <w:rsid w:val="00447EE6"/>
    <w:rsid w:val="004503AA"/>
    <w:rsid w:val="00450E2A"/>
    <w:rsid w:val="00450F43"/>
    <w:rsid w:val="0045157D"/>
    <w:rsid w:val="004522F3"/>
    <w:rsid w:val="0045267B"/>
    <w:rsid w:val="0045269B"/>
    <w:rsid w:val="0045456D"/>
    <w:rsid w:val="004548E9"/>
    <w:rsid w:val="00456DCD"/>
    <w:rsid w:val="00461CCD"/>
    <w:rsid w:val="00461D8F"/>
    <w:rsid w:val="00462359"/>
    <w:rsid w:val="00462D3C"/>
    <w:rsid w:val="0046308B"/>
    <w:rsid w:val="004633AB"/>
    <w:rsid w:val="00463868"/>
    <w:rsid w:val="00464849"/>
    <w:rsid w:val="00464D33"/>
    <w:rsid w:val="004654E4"/>
    <w:rsid w:val="00465A9B"/>
    <w:rsid w:val="00465D98"/>
    <w:rsid w:val="00466D03"/>
    <w:rsid w:val="004700D6"/>
    <w:rsid w:val="00470589"/>
    <w:rsid w:val="00470FD6"/>
    <w:rsid w:val="00471863"/>
    <w:rsid w:val="00472201"/>
    <w:rsid w:val="00473C60"/>
    <w:rsid w:val="00474233"/>
    <w:rsid w:val="0047552C"/>
    <w:rsid w:val="0047662E"/>
    <w:rsid w:val="004777D1"/>
    <w:rsid w:val="00483036"/>
    <w:rsid w:val="00483A3C"/>
    <w:rsid w:val="00483F52"/>
    <w:rsid w:val="00484440"/>
    <w:rsid w:val="0048515D"/>
    <w:rsid w:val="004853EC"/>
    <w:rsid w:val="0048590D"/>
    <w:rsid w:val="0048592C"/>
    <w:rsid w:val="00485B75"/>
    <w:rsid w:val="004861C3"/>
    <w:rsid w:val="004870F5"/>
    <w:rsid w:val="00490B3F"/>
    <w:rsid w:val="00491823"/>
    <w:rsid w:val="00492813"/>
    <w:rsid w:val="00492EB7"/>
    <w:rsid w:val="00493FF9"/>
    <w:rsid w:val="0049402F"/>
    <w:rsid w:val="00494FF7"/>
    <w:rsid w:val="0049551D"/>
    <w:rsid w:val="00495845"/>
    <w:rsid w:val="004958BB"/>
    <w:rsid w:val="00495A73"/>
    <w:rsid w:val="00495B57"/>
    <w:rsid w:val="00495CAC"/>
    <w:rsid w:val="00496895"/>
    <w:rsid w:val="00497496"/>
    <w:rsid w:val="00497AD2"/>
    <w:rsid w:val="004A0887"/>
    <w:rsid w:val="004A08CE"/>
    <w:rsid w:val="004A0F61"/>
    <w:rsid w:val="004A1AD3"/>
    <w:rsid w:val="004A3365"/>
    <w:rsid w:val="004A50BA"/>
    <w:rsid w:val="004A563B"/>
    <w:rsid w:val="004A6C08"/>
    <w:rsid w:val="004B010C"/>
    <w:rsid w:val="004B0580"/>
    <w:rsid w:val="004B0DB9"/>
    <w:rsid w:val="004B2745"/>
    <w:rsid w:val="004B29DC"/>
    <w:rsid w:val="004B2A94"/>
    <w:rsid w:val="004B31B0"/>
    <w:rsid w:val="004B4B7A"/>
    <w:rsid w:val="004B4F96"/>
    <w:rsid w:val="004B52A3"/>
    <w:rsid w:val="004B5DEF"/>
    <w:rsid w:val="004B5FC4"/>
    <w:rsid w:val="004C1B8B"/>
    <w:rsid w:val="004C257C"/>
    <w:rsid w:val="004C2D6C"/>
    <w:rsid w:val="004C321B"/>
    <w:rsid w:val="004C33A8"/>
    <w:rsid w:val="004C54E7"/>
    <w:rsid w:val="004C5769"/>
    <w:rsid w:val="004C64AF"/>
    <w:rsid w:val="004D1B52"/>
    <w:rsid w:val="004D3D04"/>
    <w:rsid w:val="004D3DC0"/>
    <w:rsid w:val="004D4B69"/>
    <w:rsid w:val="004D4F4C"/>
    <w:rsid w:val="004D5B2E"/>
    <w:rsid w:val="004D5B5B"/>
    <w:rsid w:val="004D5EA0"/>
    <w:rsid w:val="004D684D"/>
    <w:rsid w:val="004D6908"/>
    <w:rsid w:val="004D6DC1"/>
    <w:rsid w:val="004D6FD8"/>
    <w:rsid w:val="004E059C"/>
    <w:rsid w:val="004E12E0"/>
    <w:rsid w:val="004E1BDC"/>
    <w:rsid w:val="004E673B"/>
    <w:rsid w:val="004E7EB9"/>
    <w:rsid w:val="004E7EF6"/>
    <w:rsid w:val="004E7F15"/>
    <w:rsid w:val="004F016D"/>
    <w:rsid w:val="004F60F0"/>
    <w:rsid w:val="00500A96"/>
    <w:rsid w:val="00501031"/>
    <w:rsid w:val="00502723"/>
    <w:rsid w:val="00502CA9"/>
    <w:rsid w:val="00502F81"/>
    <w:rsid w:val="00503023"/>
    <w:rsid w:val="00504E4B"/>
    <w:rsid w:val="00505EF9"/>
    <w:rsid w:val="00506B16"/>
    <w:rsid w:val="00506D5B"/>
    <w:rsid w:val="00506FCF"/>
    <w:rsid w:val="00507117"/>
    <w:rsid w:val="005100A8"/>
    <w:rsid w:val="0051030C"/>
    <w:rsid w:val="005112C2"/>
    <w:rsid w:val="00511B56"/>
    <w:rsid w:val="00511C72"/>
    <w:rsid w:val="0051225C"/>
    <w:rsid w:val="00512845"/>
    <w:rsid w:val="005131A1"/>
    <w:rsid w:val="005157B2"/>
    <w:rsid w:val="00515F3A"/>
    <w:rsid w:val="00516BCC"/>
    <w:rsid w:val="00516FDB"/>
    <w:rsid w:val="0052109D"/>
    <w:rsid w:val="00522D68"/>
    <w:rsid w:val="00524A16"/>
    <w:rsid w:val="005251A3"/>
    <w:rsid w:val="00525381"/>
    <w:rsid w:val="005254D2"/>
    <w:rsid w:val="0052627C"/>
    <w:rsid w:val="00526681"/>
    <w:rsid w:val="005268D5"/>
    <w:rsid w:val="005272B6"/>
    <w:rsid w:val="005274F4"/>
    <w:rsid w:val="00527F60"/>
    <w:rsid w:val="005316AE"/>
    <w:rsid w:val="00531789"/>
    <w:rsid w:val="00531A17"/>
    <w:rsid w:val="0053236B"/>
    <w:rsid w:val="00532AC1"/>
    <w:rsid w:val="0053394F"/>
    <w:rsid w:val="0053560B"/>
    <w:rsid w:val="0053674E"/>
    <w:rsid w:val="00536CCA"/>
    <w:rsid w:val="00542715"/>
    <w:rsid w:val="00543D8A"/>
    <w:rsid w:val="00543EB6"/>
    <w:rsid w:val="00544333"/>
    <w:rsid w:val="00544D20"/>
    <w:rsid w:val="00544EC0"/>
    <w:rsid w:val="0054513B"/>
    <w:rsid w:val="005452A9"/>
    <w:rsid w:val="00545B65"/>
    <w:rsid w:val="00546964"/>
    <w:rsid w:val="005479E8"/>
    <w:rsid w:val="00547C02"/>
    <w:rsid w:val="00547F6E"/>
    <w:rsid w:val="00550E9C"/>
    <w:rsid w:val="0055107F"/>
    <w:rsid w:val="005510AC"/>
    <w:rsid w:val="005519DF"/>
    <w:rsid w:val="00552140"/>
    <w:rsid w:val="00552831"/>
    <w:rsid w:val="00552AAE"/>
    <w:rsid w:val="00553346"/>
    <w:rsid w:val="00553A77"/>
    <w:rsid w:val="00553FDF"/>
    <w:rsid w:val="00554733"/>
    <w:rsid w:val="00554989"/>
    <w:rsid w:val="00555A48"/>
    <w:rsid w:val="00555AB6"/>
    <w:rsid w:val="00555B1C"/>
    <w:rsid w:val="0055697F"/>
    <w:rsid w:val="00557FE6"/>
    <w:rsid w:val="00560724"/>
    <w:rsid w:val="005611AD"/>
    <w:rsid w:val="00561A0F"/>
    <w:rsid w:val="0056397E"/>
    <w:rsid w:val="00563D5D"/>
    <w:rsid w:val="005651C4"/>
    <w:rsid w:val="00565F8E"/>
    <w:rsid w:val="0056729E"/>
    <w:rsid w:val="00570AD1"/>
    <w:rsid w:val="0057120E"/>
    <w:rsid w:val="005712BD"/>
    <w:rsid w:val="00571D6F"/>
    <w:rsid w:val="00572284"/>
    <w:rsid w:val="0057405F"/>
    <w:rsid w:val="00574C6A"/>
    <w:rsid w:val="00575B08"/>
    <w:rsid w:val="005770A1"/>
    <w:rsid w:val="00577221"/>
    <w:rsid w:val="005807AD"/>
    <w:rsid w:val="00580F0B"/>
    <w:rsid w:val="00581F5A"/>
    <w:rsid w:val="00581F98"/>
    <w:rsid w:val="00582969"/>
    <w:rsid w:val="0058464F"/>
    <w:rsid w:val="0058557F"/>
    <w:rsid w:val="00586294"/>
    <w:rsid w:val="0058633A"/>
    <w:rsid w:val="005863F2"/>
    <w:rsid w:val="005867E6"/>
    <w:rsid w:val="005875C0"/>
    <w:rsid w:val="005878CC"/>
    <w:rsid w:val="00590E0A"/>
    <w:rsid w:val="00591169"/>
    <w:rsid w:val="00592F2A"/>
    <w:rsid w:val="00593E5C"/>
    <w:rsid w:val="0059550C"/>
    <w:rsid w:val="00595852"/>
    <w:rsid w:val="00595AFB"/>
    <w:rsid w:val="00595EA4"/>
    <w:rsid w:val="00597EFA"/>
    <w:rsid w:val="005A2F1B"/>
    <w:rsid w:val="005A60B3"/>
    <w:rsid w:val="005A6456"/>
    <w:rsid w:val="005A7086"/>
    <w:rsid w:val="005A75FD"/>
    <w:rsid w:val="005B03F6"/>
    <w:rsid w:val="005B195F"/>
    <w:rsid w:val="005B2605"/>
    <w:rsid w:val="005B3B75"/>
    <w:rsid w:val="005B3F62"/>
    <w:rsid w:val="005B59C7"/>
    <w:rsid w:val="005B5B85"/>
    <w:rsid w:val="005B710A"/>
    <w:rsid w:val="005B78FD"/>
    <w:rsid w:val="005C0184"/>
    <w:rsid w:val="005C0CCB"/>
    <w:rsid w:val="005C1577"/>
    <w:rsid w:val="005C329E"/>
    <w:rsid w:val="005C36F7"/>
    <w:rsid w:val="005C4093"/>
    <w:rsid w:val="005C6F09"/>
    <w:rsid w:val="005C7062"/>
    <w:rsid w:val="005D09F1"/>
    <w:rsid w:val="005D2D27"/>
    <w:rsid w:val="005D3030"/>
    <w:rsid w:val="005D4C93"/>
    <w:rsid w:val="005D579B"/>
    <w:rsid w:val="005D5F25"/>
    <w:rsid w:val="005D7C33"/>
    <w:rsid w:val="005E0209"/>
    <w:rsid w:val="005E1048"/>
    <w:rsid w:val="005E417B"/>
    <w:rsid w:val="005E4CAD"/>
    <w:rsid w:val="005E5672"/>
    <w:rsid w:val="005E60A8"/>
    <w:rsid w:val="005E6448"/>
    <w:rsid w:val="005E7665"/>
    <w:rsid w:val="005E791D"/>
    <w:rsid w:val="005F0852"/>
    <w:rsid w:val="005F1BE1"/>
    <w:rsid w:val="005F2F73"/>
    <w:rsid w:val="005F378F"/>
    <w:rsid w:val="005F432A"/>
    <w:rsid w:val="005F5C55"/>
    <w:rsid w:val="005F7A40"/>
    <w:rsid w:val="00601494"/>
    <w:rsid w:val="00603EEB"/>
    <w:rsid w:val="00604FF5"/>
    <w:rsid w:val="0061027D"/>
    <w:rsid w:val="006117D3"/>
    <w:rsid w:val="0061239F"/>
    <w:rsid w:val="00612728"/>
    <w:rsid w:val="006131AA"/>
    <w:rsid w:val="00615275"/>
    <w:rsid w:val="006216CF"/>
    <w:rsid w:val="00622F73"/>
    <w:rsid w:val="00623310"/>
    <w:rsid w:val="006239B4"/>
    <w:rsid w:val="00624E0A"/>
    <w:rsid w:val="00624F7F"/>
    <w:rsid w:val="006266C1"/>
    <w:rsid w:val="00627D81"/>
    <w:rsid w:val="00630877"/>
    <w:rsid w:val="00631A0F"/>
    <w:rsid w:val="00632554"/>
    <w:rsid w:val="0063289D"/>
    <w:rsid w:val="00632E71"/>
    <w:rsid w:val="00634541"/>
    <w:rsid w:val="00636CB3"/>
    <w:rsid w:val="006406C6"/>
    <w:rsid w:val="006406D1"/>
    <w:rsid w:val="0064077C"/>
    <w:rsid w:val="006408A7"/>
    <w:rsid w:val="00640AB6"/>
    <w:rsid w:val="006415BA"/>
    <w:rsid w:val="006419EA"/>
    <w:rsid w:val="00642058"/>
    <w:rsid w:val="0064297A"/>
    <w:rsid w:val="00642C7B"/>
    <w:rsid w:val="006454DD"/>
    <w:rsid w:val="0064565D"/>
    <w:rsid w:val="00646AE3"/>
    <w:rsid w:val="006509C9"/>
    <w:rsid w:val="00650F74"/>
    <w:rsid w:val="0065110D"/>
    <w:rsid w:val="006530E1"/>
    <w:rsid w:val="006539E2"/>
    <w:rsid w:val="00653EA0"/>
    <w:rsid w:val="00654DCD"/>
    <w:rsid w:val="00655935"/>
    <w:rsid w:val="00656C32"/>
    <w:rsid w:val="00656CBE"/>
    <w:rsid w:val="00657152"/>
    <w:rsid w:val="006578C1"/>
    <w:rsid w:val="006610B4"/>
    <w:rsid w:val="00661154"/>
    <w:rsid w:val="006621D1"/>
    <w:rsid w:val="0066467D"/>
    <w:rsid w:val="00665729"/>
    <w:rsid w:val="00665805"/>
    <w:rsid w:val="00666797"/>
    <w:rsid w:val="0066711E"/>
    <w:rsid w:val="006675A4"/>
    <w:rsid w:val="00667833"/>
    <w:rsid w:val="00667884"/>
    <w:rsid w:val="00667B95"/>
    <w:rsid w:val="00670F53"/>
    <w:rsid w:val="006718E1"/>
    <w:rsid w:val="006720D5"/>
    <w:rsid w:val="00672D5E"/>
    <w:rsid w:val="0067367C"/>
    <w:rsid w:val="00675EF4"/>
    <w:rsid w:val="0067706F"/>
    <w:rsid w:val="00677C08"/>
    <w:rsid w:val="00677C61"/>
    <w:rsid w:val="00677D86"/>
    <w:rsid w:val="00680398"/>
    <w:rsid w:val="0068046C"/>
    <w:rsid w:val="00680B02"/>
    <w:rsid w:val="00680E52"/>
    <w:rsid w:val="00680E9E"/>
    <w:rsid w:val="00681644"/>
    <w:rsid w:val="00682A81"/>
    <w:rsid w:val="00682CC5"/>
    <w:rsid w:val="00682E50"/>
    <w:rsid w:val="00683FF6"/>
    <w:rsid w:val="00685DD6"/>
    <w:rsid w:val="0068777A"/>
    <w:rsid w:val="00687ED2"/>
    <w:rsid w:val="00695E07"/>
    <w:rsid w:val="00696B61"/>
    <w:rsid w:val="00696DC9"/>
    <w:rsid w:val="00697F9C"/>
    <w:rsid w:val="006A067D"/>
    <w:rsid w:val="006A0FD6"/>
    <w:rsid w:val="006A355B"/>
    <w:rsid w:val="006A357F"/>
    <w:rsid w:val="006A6364"/>
    <w:rsid w:val="006A792F"/>
    <w:rsid w:val="006A7B64"/>
    <w:rsid w:val="006B0DA6"/>
    <w:rsid w:val="006B137C"/>
    <w:rsid w:val="006B19C2"/>
    <w:rsid w:val="006B378F"/>
    <w:rsid w:val="006B3C6F"/>
    <w:rsid w:val="006B3D9A"/>
    <w:rsid w:val="006B49DE"/>
    <w:rsid w:val="006B64E0"/>
    <w:rsid w:val="006B6BCE"/>
    <w:rsid w:val="006B7519"/>
    <w:rsid w:val="006B7647"/>
    <w:rsid w:val="006B7818"/>
    <w:rsid w:val="006C19D2"/>
    <w:rsid w:val="006C1FAF"/>
    <w:rsid w:val="006C3677"/>
    <w:rsid w:val="006C3EE9"/>
    <w:rsid w:val="006C549B"/>
    <w:rsid w:val="006C6650"/>
    <w:rsid w:val="006C6972"/>
    <w:rsid w:val="006C70A0"/>
    <w:rsid w:val="006C785B"/>
    <w:rsid w:val="006C7F22"/>
    <w:rsid w:val="006D02D7"/>
    <w:rsid w:val="006D0696"/>
    <w:rsid w:val="006D240F"/>
    <w:rsid w:val="006D4FC0"/>
    <w:rsid w:val="006D75DC"/>
    <w:rsid w:val="006E129C"/>
    <w:rsid w:val="006E2066"/>
    <w:rsid w:val="006E26BB"/>
    <w:rsid w:val="006E2B94"/>
    <w:rsid w:val="006E32D1"/>
    <w:rsid w:val="006E3BDD"/>
    <w:rsid w:val="006E46AC"/>
    <w:rsid w:val="006E62DA"/>
    <w:rsid w:val="006E66B6"/>
    <w:rsid w:val="006E719E"/>
    <w:rsid w:val="006F093E"/>
    <w:rsid w:val="006F16CA"/>
    <w:rsid w:val="006F28C4"/>
    <w:rsid w:val="006F2E76"/>
    <w:rsid w:val="006F6EAF"/>
    <w:rsid w:val="007009D6"/>
    <w:rsid w:val="00701FC7"/>
    <w:rsid w:val="0070215D"/>
    <w:rsid w:val="00703415"/>
    <w:rsid w:val="0070676B"/>
    <w:rsid w:val="00707552"/>
    <w:rsid w:val="00710394"/>
    <w:rsid w:val="0071057F"/>
    <w:rsid w:val="007110BF"/>
    <w:rsid w:val="00711107"/>
    <w:rsid w:val="00711873"/>
    <w:rsid w:val="00711904"/>
    <w:rsid w:val="007129E8"/>
    <w:rsid w:val="007130CB"/>
    <w:rsid w:val="00713BEF"/>
    <w:rsid w:val="007143EC"/>
    <w:rsid w:val="00716335"/>
    <w:rsid w:val="007167A8"/>
    <w:rsid w:val="0071722E"/>
    <w:rsid w:val="007206FD"/>
    <w:rsid w:val="00721D21"/>
    <w:rsid w:val="00721E81"/>
    <w:rsid w:val="007238A3"/>
    <w:rsid w:val="007238D9"/>
    <w:rsid w:val="007252C2"/>
    <w:rsid w:val="0072542D"/>
    <w:rsid w:val="007261D5"/>
    <w:rsid w:val="00727296"/>
    <w:rsid w:val="00727B73"/>
    <w:rsid w:val="00730439"/>
    <w:rsid w:val="00731FEF"/>
    <w:rsid w:val="007325D3"/>
    <w:rsid w:val="007341EF"/>
    <w:rsid w:val="00735254"/>
    <w:rsid w:val="00740285"/>
    <w:rsid w:val="0074160A"/>
    <w:rsid w:val="0074229B"/>
    <w:rsid w:val="00744CA1"/>
    <w:rsid w:val="00745A93"/>
    <w:rsid w:val="00745EE5"/>
    <w:rsid w:val="00747C55"/>
    <w:rsid w:val="00750800"/>
    <w:rsid w:val="007508B2"/>
    <w:rsid w:val="007513E5"/>
    <w:rsid w:val="00751EBB"/>
    <w:rsid w:val="007522F6"/>
    <w:rsid w:val="0075365B"/>
    <w:rsid w:val="00755737"/>
    <w:rsid w:val="007564AE"/>
    <w:rsid w:val="00757358"/>
    <w:rsid w:val="00757786"/>
    <w:rsid w:val="00757C90"/>
    <w:rsid w:val="00760227"/>
    <w:rsid w:val="0076115D"/>
    <w:rsid w:val="007611A9"/>
    <w:rsid w:val="007612AD"/>
    <w:rsid w:val="00763AED"/>
    <w:rsid w:val="007647A2"/>
    <w:rsid w:val="007650E2"/>
    <w:rsid w:val="007656FB"/>
    <w:rsid w:val="007660C5"/>
    <w:rsid w:val="00767BDB"/>
    <w:rsid w:val="00772805"/>
    <w:rsid w:val="00773585"/>
    <w:rsid w:val="00774BF4"/>
    <w:rsid w:val="007754B6"/>
    <w:rsid w:val="00775DAF"/>
    <w:rsid w:val="00776453"/>
    <w:rsid w:val="0077667E"/>
    <w:rsid w:val="00776BDD"/>
    <w:rsid w:val="00776BF9"/>
    <w:rsid w:val="00776E2C"/>
    <w:rsid w:val="00777CEE"/>
    <w:rsid w:val="00780899"/>
    <w:rsid w:val="00781D55"/>
    <w:rsid w:val="00782258"/>
    <w:rsid w:val="00782A2A"/>
    <w:rsid w:val="00782BF1"/>
    <w:rsid w:val="007837FD"/>
    <w:rsid w:val="007849BB"/>
    <w:rsid w:val="0078518D"/>
    <w:rsid w:val="007853F2"/>
    <w:rsid w:val="00785A52"/>
    <w:rsid w:val="00785D29"/>
    <w:rsid w:val="00786A28"/>
    <w:rsid w:val="00786EE7"/>
    <w:rsid w:val="007900DD"/>
    <w:rsid w:val="00793346"/>
    <w:rsid w:val="00793701"/>
    <w:rsid w:val="00796A1A"/>
    <w:rsid w:val="007A0130"/>
    <w:rsid w:val="007A01DD"/>
    <w:rsid w:val="007A022E"/>
    <w:rsid w:val="007A0E2B"/>
    <w:rsid w:val="007A11CB"/>
    <w:rsid w:val="007A1218"/>
    <w:rsid w:val="007A2173"/>
    <w:rsid w:val="007A3BAF"/>
    <w:rsid w:val="007A546E"/>
    <w:rsid w:val="007A5ED0"/>
    <w:rsid w:val="007A77DB"/>
    <w:rsid w:val="007B22E7"/>
    <w:rsid w:val="007B2729"/>
    <w:rsid w:val="007B38CB"/>
    <w:rsid w:val="007B4B93"/>
    <w:rsid w:val="007B5962"/>
    <w:rsid w:val="007B5B5B"/>
    <w:rsid w:val="007C3D84"/>
    <w:rsid w:val="007C4638"/>
    <w:rsid w:val="007C4ECB"/>
    <w:rsid w:val="007C566F"/>
    <w:rsid w:val="007C586A"/>
    <w:rsid w:val="007C5E77"/>
    <w:rsid w:val="007C74DC"/>
    <w:rsid w:val="007C7C81"/>
    <w:rsid w:val="007D0155"/>
    <w:rsid w:val="007D060A"/>
    <w:rsid w:val="007D0E74"/>
    <w:rsid w:val="007D120F"/>
    <w:rsid w:val="007D34A3"/>
    <w:rsid w:val="007D46FD"/>
    <w:rsid w:val="007D4EC1"/>
    <w:rsid w:val="007D4FF6"/>
    <w:rsid w:val="007D5406"/>
    <w:rsid w:val="007D7382"/>
    <w:rsid w:val="007D7D2C"/>
    <w:rsid w:val="007E0423"/>
    <w:rsid w:val="007E07B1"/>
    <w:rsid w:val="007E11CE"/>
    <w:rsid w:val="007E145E"/>
    <w:rsid w:val="007E1C7A"/>
    <w:rsid w:val="007E2536"/>
    <w:rsid w:val="007E30F3"/>
    <w:rsid w:val="007E412C"/>
    <w:rsid w:val="007E4EC3"/>
    <w:rsid w:val="007E5006"/>
    <w:rsid w:val="007E6347"/>
    <w:rsid w:val="007E63F3"/>
    <w:rsid w:val="007E6CA3"/>
    <w:rsid w:val="007F0B3C"/>
    <w:rsid w:val="007F20AF"/>
    <w:rsid w:val="007F272A"/>
    <w:rsid w:val="007F280E"/>
    <w:rsid w:val="007F40E0"/>
    <w:rsid w:val="007F5789"/>
    <w:rsid w:val="007F6497"/>
    <w:rsid w:val="007F6A33"/>
    <w:rsid w:val="007F7744"/>
    <w:rsid w:val="007F7EF8"/>
    <w:rsid w:val="00801297"/>
    <w:rsid w:val="0080142C"/>
    <w:rsid w:val="0080482C"/>
    <w:rsid w:val="00804F95"/>
    <w:rsid w:val="00805EAE"/>
    <w:rsid w:val="00806D74"/>
    <w:rsid w:val="00806FDD"/>
    <w:rsid w:val="00807DEF"/>
    <w:rsid w:val="0081054E"/>
    <w:rsid w:val="008135AF"/>
    <w:rsid w:val="008139D4"/>
    <w:rsid w:val="00813C04"/>
    <w:rsid w:val="0081421A"/>
    <w:rsid w:val="00814DB0"/>
    <w:rsid w:val="0081580D"/>
    <w:rsid w:val="00815F85"/>
    <w:rsid w:val="00816866"/>
    <w:rsid w:val="008176EC"/>
    <w:rsid w:val="00817984"/>
    <w:rsid w:val="0082121B"/>
    <w:rsid w:val="008220CC"/>
    <w:rsid w:val="008221FA"/>
    <w:rsid w:val="008242BF"/>
    <w:rsid w:val="008248FC"/>
    <w:rsid w:val="00824DA1"/>
    <w:rsid w:val="008250BC"/>
    <w:rsid w:val="0082608C"/>
    <w:rsid w:val="00826A95"/>
    <w:rsid w:val="008276AA"/>
    <w:rsid w:val="00830EEF"/>
    <w:rsid w:val="00831209"/>
    <w:rsid w:val="00832826"/>
    <w:rsid w:val="00832DCB"/>
    <w:rsid w:val="00833A66"/>
    <w:rsid w:val="0083606A"/>
    <w:rsid w:val="00836A30"/>
    <w:rsid w:val="00836FFC"/>
    <w:rsid w:val="008374B5"/>
    <w:rsid w:val="00840925"/>
    <w:rsid w:val="00840A4C"/>
    <w:rsid w:val="0084283B"/>
    <w:rsid w:val="008428E9"/>
    <w:rsid w:val="00846BF0"/>
    <w:rsid w:val="008476A8"/>
    <w:rsid w:val="00847D47"/>
    <w:rsid w:val="0085018B"/>
    <w:rsid w:val="008506DB"/>
    <w:rsid w:val="00850AF6"/>
    <w:rsid w:val="00850B75"/>
    <w:rsid w:val="00851BC4"/>
    <w:rsid w:val="00852181"/>
    <w:rsid w:val="00853444"/>
    <w:rsid w:val="008543CB"/>
    <w:rsid w:val="00854D68"/>
    <w:rsid w:val="008556F2"/>
    <w:rsid w:val="00855C35"/>
    <w:rsid w:val="00855F78"/>
    <w:rsid w:val="00856BDB"/>
    <w:rsid w:val="008600DC"/>
    <w:rsid w:val="00860251"/>
    <w:rsid w:val="00860983"/>
    <w:rsid w:val="00861671"/>
    <w:rsid w:val="00861EE8"/>
    <w:rsid w:val="00862A78"/>
    <w:rsid w:val="00863080"/>
    <w:rsid w:val="0086325E"/>
    <w:rsid w:val="00864270"/>
    <w:rsid w:val="00864913"/>
    <w:rsid w:val="008656F8"/>
    <w:rsid w:val="00867A30"/>
    <w:rsid w:val="00867C69"/>
    <w:rsid w:val="00870F57"/>
    <w:rsid w:val="00871821"/>
    <w:rsid w:val="00871AFD"/>
    <w:rsid w:val="00871D2C"/>
    <w:rsid w:val="008721F5"/>
    <w:rsid w:val="00874714"/>
    <w:rsid w:val="00874C8D"/>
    <w:rsid w:val="00874CAB"/>
    <w:rsid w:val="00874F86"/>
    <w:rsid w:val="00876062"/>
    <w:rsid w:val="00877DCD"/>
    <w:rsid w:val="00877F2A"/>
    <w:rsid w:val="00880091"/>
    <w:rsid w:val="00880256"/>
    <w:rsid w:val="00880262"/>
    <w:rsid w:val="008841C7"/>
    <w:rsid w:val="00884C0D"/>
    <w:rsid w:val="008857C5"/>
    <w:rsid w:val="008857F9"/>
    <w:rsid w:val="008902D2"/>
    <w:rsid w:val="0089047A"/>
    <w:rsid w:val="00890821"/>
    <w:rsid w:val="0089248C"/>
    <w:rsid w:val="00895ED5"/>
    <w:rsid w:val="00896D77"/>
    <w:rsid w:val="0089723A"/>
    <w:rsid w:val="00897DBB"/>
    <w:rsid w:val="008A0263"/>
    <w:rsid w:val="008A151D"/>
    <w:rsid w:val="008A2A9C"/>
    <w:rsid w:val="008A326B"/>
    <w:rsid w:val="008A3B5F"/>
    <w:rsid w:val="008A4BAC"/>
    <w:rsid w:val="008A4C00"/>
    <w:rsid w:val="008A513F"/>
    <w:rsid w:val="008A5835"/>
    <w:rsid w:val="008A67CE"/>
    <w:rsid w:val="008A77AE"/>
    <w:rsid w:val="008B0DA0"/>
    <w:rsid w:val="008B1002"/>
    <w:rsid w:val="008B612F"/>
    <w:rsid w:val="008B64D8"/>
    <w:rsid w:val="008B6BAB"/>
    <w:rsid w:val="008C130E"/>
    <w:rsid w:val="008C1F05"/>
    <w:rsid w:val="008C2FCF"/>
    <w:rsid w:val="008C37DC"/>
    <w:rsid w:val="008C4247"/>
    <w:rsid w:val="008C4743"/>
    <w:rsid w:val="008C7BF1"/>
    <w:rsid w:val="008C7E2F"/>
    <w:rsid w:val="008D106B"/>
    <w:rsid w:val="008D3079"/>
    <w:rsid w:val="008D3898"/>
    <w:rsid w:val="008D4081"/>
    <w:rsid w:val="008D4BA4"/>
    <w:rsid w:val="008D5E1E"/>
    <w:rsid w:val="008D7E04"/>
    <w:rsid w:val="008E1577"/>
    <w:rsid w:val="008E4005"/>
    <w:rsid w:val="008E4EA7"/>
    <w:rsid w:val="008E4F7F"/>
    <w:rsid w:val="008E677E"/>
    <w:rsid w:val="008E7617"/>
    <w:rsid w:val="008F0317"/>
    <w:rsid w:val="008F1878"/>
    <w:rsid w:val="008F2029"/>
    <w:rsid w:val="008F237F"/>
    <w:rsid w:val="008F4707"/>
    <w:rsid w:val="008F6C5C"/>
    <w:rsid w:val="008F7216"/>
    <w:rsid w:val="008F79A9"/>
    <w:rsid w:val="008F7AAE"/>
    <w:rsid w:val="009035B5"/>
    <w:rsid w:val="009057B4"/>
    <w:rsid w:val="009059D4"/>
    <w:rsid w:val="00907960"/>
    <w:rsid w:val="00910DD4"/>
    <w:rsid w:val="00911D1A"/>
    <w:rsid w:val="00912916"/>
    <w:rsid w:val="009134EB"/>
    <w:rsid w:val="00913F70"/>
    <w:rsid w:val="009143F0"/>
    <w:rsid w:val="0091464F"/>
    <w:rsid w:val="009167C5"/>
    <w:rsid w:val="00916DB3"/>
    <w:rsid w:val="00917C7B"/>
    <w:rsid w:val="009216EA"/>
    <w:rsid w:val="00923EF6"/>
    <w:rsid w:val="00927F11"/>
    <w:rsid w:val="00930081"/>
    <w:rsid w:val="009301B6"/>
    <w:rsid w:val="00930B54"/>
    <w:rsid w:val="009328CC"/>
    <w:rsid w:val="00933919"/>
    <w:rsid w:val="00933B25"/>
    <w:rsid w:val="00933C80"/>
    <w:rsid w:val="00934CDE"/>
    <w:rsid w:val="00935330"/>
    <w:rsid w:val="009353FB"/>
    <w:rsid w:val="00935C6C"/>
    <w:rsid w:val="009365CA"/>
    <w:rsid w:val="00937915"/>
    <w:rsid w:val="00937C40"/>
    <w:rsid w:val="00937F49"/>
    <w:rsid w:val="00943062"/>
    <w:rsid w:val="00943525"/>
    <w:rsid w:val="00944735"/>
    <w:rsid w:val="00944EEB"/>
    <w:rsid w:val="00945539"/>
    <w:rsid w:val="00946F3B"/>
    <w:rsid w:val="0094734F"/>
    <w:rsid w:val="00952BC2"/>
    <w:rsid w:val="00953989"/>
    <w:rsid w:val="0095431F"/>
    <w:rsid w:val="009553B1"/>
    <w:rsid w:val="009559E0"/>
    <w:rsid w:val="009600E3"/>
    <w:rsid w:val="0096090C"/>
    <w:rsid w:val="00960D4C"/>
    <w:rsid w:val="009624D9"/>
    <w:rsid w:val="0096374A"/>
    <w:rsid w:val="00963859"/>
    <w:rsid w:val="00963D37"/>
    <w:rsid w:val="00967384"/>
    <w:rsid w:val="00967D65"/>
    <w:rsid w:val="00971795"/>
    <w:rsid w:val="00971CBD"/>
    <w:rsid w:val="00971EA1"/>
    <w:rsid w:val="00972596"/>
    <w:rsid w:val="009732B5"/>
    <w:rsid w:val="00973A5E"/>
    <w:rsid w:val="00974BC2"/>
    <w:rsid w:val="00975C32"/>
    <w:rsid w:val="00975E24"/>
    <w:rsid w:val="00980351"/>
    <w:rsid w:val="00980CFE"/>
    <w:rsid w:val="00981656"/>
    <w:rsid w:val="00981C0A"/>
    <w:rsid w:val="0098201A"/>
    <w:rsid w:val="00983DD8"/>
    <w:rsid w:val="009847C5"/>
    <w:rsid w:val="009862FA"/>
    <w:rsid w:val="0098649E"/>
    <w:rsid w:val="009864BC"/>
    <w:rsid w:val="009864EB"/>
    <w:rsid w:val="00987C9F"/>
    <w:rsid w:val="00991568"/>
    <w:rsid w:val="009919CC"/>
    <w:rsid w:val="00991B03"/>
    <w:rsid w:val="009922B8"/>
    <w:rsid w:val="00992539"/>
    <w:rsid w:val="00992BB2"/>
    <w:rsid w:val="009948B2"/>
    <w:rsid w:val="00994BDD"/>
    <w:rsid w:val="00996829"/>
    <w:rsid w:val="00996CE4"/>
    <w:rsid w:val="009A0C4B"/>
    <w:rsid w:val="009A17A5"/>
    <w:rsid w:val="009A1C5D"/>
    <w:rsid w:val="009A1EE5"/>
    <w:rsid w:val="009A289C"/>
    <w:rsid w:val="009A4869"/>
    <w:rsid w:val="009A4AD5"/>
    <w:rsid w:val="009A6912"/>
    <w:rsid w:val="009A6B9C"/>
    <w:rsid w:val="009A6FB5"/>
    <w:rsid w:val="009A7200"/>
    <w:rsid w:val="009B0D6D"/>
    <w:rsid w:val="009B1B5C"/>
    <w:rsid w:val="009B3798"/>
    <w:rsid w:val="009B4668"/>
    <w:rsid w:val="009B4F5F"/>
    <w:rsid w:val="009B5A28"/>
    <w:rsid w:val="009B63A5"/>
    <w:rsid w:val="009B6BA4"/>
    <w:rsid w:val="009B7021"/>
    <w:rsid w:val="009C0CBE"/>
    <w:rsid w:val="009C216D"/>
    <w:rsid w:val="009C25AA"/>
    <w:rsid w:val="009C3822"/>
    <w:rsid w:val="009C39A9"/>
    <w:rsid w:val="009C4968"/>
    <w:rsid w:val="009C4A70"/>
    <w:rsid w:val="009C527F"/>
    <w:rsid w:val="009C68BA"/>
    <w:rsid w:val="009D1C3D"/>
    <w:rsid w:val="009D1DEC"/>
    <w:rsid w:val="009D30BB"/>
    <w:rsid w:val="009D3656"/>
    <w:rsid w:val="009D3E23"/>
    <w:rsid w:val="009D499A"/>
    <w:rsid w:val="009D49B7"/>
    <w:rsid w:val="009D6402"/>
    <w:rsid w:val="009D682E"/>
    <w:rsid w:val="009D6AE2"/>
    <w:rsid w:val="009E074B"/>
    <w:rsid w:val="009E2B6D"/>
    <w:rsid w:val="009E37D4"/>
    <w:rsid w:val="009E40EB"/>
    <w:rsid w:val="009E43BF"/>
    <w:rsid w:val="009E4AC6"/>
    <w:rsid w:val="009E4E73"/>
    <w:rsid w:val="009E6A87"/>
    <w:rsid w:val="009E7311"/>
    <w:rsid w:val="009F0472"/>
    <w:rsid w:val="009F0B46"/>
    <w:rsid w:val="009F128C"/>
    <w:rsid w:val="009F1A7A"/>
    <w:rsid w:val="009F257F"/>
    <w:rsid w:val="009F45B7"/>
    <w:rsid w:val="009F792D"/>
    <w:rsid w:val="009F7D9A"/>
    <w:rsid w:val="00A008A7"/>
    <w:rsid w:val="00A00E1E"/>
    <w:rsid w:val="00A03F14"/>
    <w:rsid w:val="00A04D5E"/>
    <w:rsid w:val="00A053C6"/>
    <w:rsid w:val="00A05867"/>
    <w:rsid w:val="00A059A3"/>
    <w:rsid w:val="00A05CE9"/>
    <w:rsid w:val="00A0628F"/>
    <w:rsid w:val="00A07D53"/>
    <w:rsid w:val="00A10BA3"/>
    <w:rsid w:val="00A117A9"/>
    <w:rsid w:val="00A11985"/>
    <w:rsid w:val="00A12454"/>
    <w:rsid w:val="00A12D74"/>
    <w:rsid w:val="00A1434A"/>
    <w:rsid w:val="00A14FAA"/>
    <w:rsid w:val="00A15839"/>
    <w:rsid w:val="00A15BA0"/>
    <w:rsid w:val="00A1787A"/>
    <w:rsid w:val="00A17DED"/>
    <w:rsid w:val="00A20027"/>
    <w:rsid w:val="00A202CB"/>
    <w:rsid w:val="00A202D0"/>
    <w:rsid w:val="00A2170D"/>
    <w:rsid w:val="00A2198F"/>
    <w:rsid w:val="00A220DD"/>
    <w:rsid w:val="00A22564"/>
    <w:rsid w:val="00A2311E"/>
    <w:rsid w:val="00A25898"/>
    <w:rsid w:val="00A26286"/>
    <w:rsid w:val="00A263FA"/>
    <w:rsid w:val="00A3002B"/>
    <w:rsid w:val="00A33BD3"/>
    <w:rsid w:val="00A33EA0"/>
    <w:rsid w:val="00A35A81"/>
    <w:rsid w:val="00A36381"/>
    <w:rsid w:val="00A3781E"/>
    <w:rsid w:val="00A40916"/>
    <w:rsid w:val="00A40B41"/>
    <w:rsid w:val="00A40DF5"/>
    <w:rsid w:val="00A4134F"/>
    <w:rsid w:val="00A42A2B"/>
    <w:rsid w:val="00A436FC"/>
    <w:rsid w:val="00A45A66"/>
    <w:rsid w:val="00A45EAF"/>
    <w:rsid w:val="00A46ED1"/>
    <w:rsid w:val="00A46F51"/>
    <w:rsid w:val="00A476CE"/>
    <w:rsid w:val="00A50206"/>
    <w:rsid w:val="00A50BCD"/>
    <w:rsid w:val="00A5299E"/>
    <w:rsid w:val="00A53AD1"/>
    <w:rsid w:val="00A54E10"/>
    <w:rsid w:val="00A55A25"/>
    <w:rsid w:val="00A60218"/>
    <w:rsid w:val="00A60C6F"/>
    <w:rsid w:val="00A60E15"/>
    <w:rsid w:val="00A617CB"/>
    <w:rsid w:val="00A61D05"/>
    <w:rsid w:val="00A62B6A"/>
    <w:rsid w:val="00A634F9"/>
    <w:rsid w:val="00A63E72"/>
    <w:rsid w:val="00A64825"/>
    <w:rsid w:val="00A66226"/>
    <w:rsid w:val="00A667E6"/>
    <w:rsid w:val="00A71E62"/>
    <w:rsid w:val="00A72451"/>
    <w:rsid w:val="00A74010"/>
    <w:rsid w:val="00A74EB7"/>
    <w:rsid w:val="00A75063"/>
    <w:rsid w:val="00A75487"/>
    <w:rsid w:val="00A75714"/>
    <w:rsid w:val="00A77241"/>
    <w:rsid w:val="00A77F91"/>
    <w:rsid w:val="00A80D4D"/>
    <w:rsid w:val="00A817B5"/>
    <w:rsid w:val="00A824E7"/>
    <w:rsid w:val="00A8284A"/>
    <w:rsid w:val="00A82BDC"/>
    <w:rsid w:val="00A83997"/>
    <w:rsid w:val="00A83AF9"/>
    <w:rsid w:val="00A83D57"/>
    <w:rsid w:val="00A84127"/>
    <w:rsid w:val="00A84EBB"/>
    <w:rsid w:val="00A87D9F"/>
    <w:rsid w:val="00A91EC2"/>
    <w:rsid w:val="00A9233B"/>
    <w:rsid w:val="00A94830"/>
    <w:rsid w:val="00A94F20"/>
    <w:rsid w:val="00A94FA4"/>
    <w:rsid w:val="00A95CDB"/>
    <w:rsid w:val="00A96D86"/>
    <w:rsid w:val="00A970BE"/>
    <w:rsid w:val="00A97B0F"/>
    <w:rsid w:val="00AA1826"/>
    <w:rsid w:val="00AA2C00"/>
    <w:rsid w:val="00AA36B7"/>
    <w:rsid w:val="00AA5D91"/>
    <w:rsid w:val="00AA5FDD"/>
    <w:rsid w:val="00AA69A1"/>
    <w:rsid w:val="00AA7981"/>
    <w:rsid w:val="00AB0815"/>
    <w:rsid w:val="00AB122E"/>
    <w:rsid w:val="00AB3427"/>
    <w:rsid w:val="00AB5B0F"/>
    <w:rsid w:val="00AB65A7"/>
    <w:rsid w:val="00AB770F"/>
    <w:rsid w:val="00AC21CD"/>
    <w:rsid w:val="00AC2884"/>
    <w:rsid w:val="00AC4A8A"/>
    <w:rsid w:val="00AC4B91"/>
    <w:rsid w:val="00AC4E20"/>
    <w:rsid w:val="00AC5CE5"/>
    <w:rsid w:val="00AC77E2"/>
    <w:rsid w:val="00AC7C48"/>
    <w:rsid w:val="00AD013B"/>
    <w:rsid w:val="00AD0404"/>
    <w:rsid w:val="00AD1653"/>
    <w:rsid w:val="00AD233D"/>
    <w:rsid w:val="00AD3669"/>
    <w:rsid w:val="00AD3D7C"/>
    <w:rsid w:val="00AD479B"/>
    <w:rsid w:val="00AD4D8B"/>
    <w:rsid w:val="00AD6DCF"/>
    <w:rsid w:val="00AD7337"/>
    <w:rsid w:val="00AD76EB"/>
    <w:rsid w:val="00AE0292"/>
    <w:rsid w:val="00AE0C17"/>
    <w:rsid w:val="00AE2291"/>
    <w:rsid w:val="00AE29D9"/>
    <w:rsid w:val="00AE2FE1"/>
    <w:rsid w:val="00AE4165"/>
    <w:rsid w:val="00AE43B8"/>
    <w:rsid w:val="00AE63B6"/>
    <w:rsid w:val="00AE6855"/>
    <w:rsid w:val="00AE6948"/>
    <w:rsid w:val="00AE6F20"/>
    <w:rsid w:val="00AE75CA"/>
    <w:rsid w:val="00AF28C0"/>
    <w:rsid w:val="00AF2A94"/>
    <w:rsid w:val="00AF2ED6"/>
    <w:rsid w:val="00AF4811"/>
    <w:rsid w:val="00AF5C6F"/>
    <w:rsid w:val="00AF61A1"/>
    <w:rsid w:val="00AF66E8"/>
    <w:rsid w:val="00AF79FE"/>
    <w:rsid w:val="00B00EC3"/>
    <w:rsid w:val="00B00F6B"/>
    <w:rsid w:val="00B0153E"/>
    <w:rsid w:val="00B0230A"/>
    <w:rsid w:val="00B04CED"/>
    <w:rsid w:val="00B05B40"/>
    <w:rsid w:val="00B05E89"/>
    <w:rsid w:val="00B0606C"/>
    <w:rsid w:val="00B0684D"/>
    <w:rsid w:val="00B06F2D"/>
    <w:rsid w:val="00B071B8"/>
    <w:rsid w:val="00B10A9A"/>
    <w:rsid w:val="00B138F9"/>
    <w:rsid w:val="00B1413F"/>
    <w:rsid w:val="00B141A2"/>
    <w:rsid w:val="00B147AA"/>
    <w:rsid w:val="00B14D8D"/>
    <w:rsid w:val="00B15830"/>
    <w:rsid w:val="00B17815"/>
    <w:rsid w:val="00B17E19"/>
    <w:rsid w:val="00B20946"/>
    <w:rsid w:val="00B21A36"/>
    <w:rsid w:val="00B2233C"/>
    <w:rsid w:val="00B22AA2"/>
    <w:rsid w:val="00B23091"/>
    <w:rsid w:val="00B26B72"/>
    <w:rsid w:val="00B2725D"/>
    <w:rsid w:val="00B27E12"/>
    <w:rsid w:val="00B300D9"/>
    <w:rsid w:val="00B312DB"/>
    <w:rsid w:val="00B31CF9"/>
    <w:rsid w:val="00B32863"/>
    <w:rsid w:val="00B32A6C"/>
    <w:rsid w:val="00B338C2"/>
    <w:rsid w:val="00B340E1"/>
    <w:rsid w:val="00B34F81"/>
    <w:rsid w:val="00B359EE"/>
    <w:rsid w:val="00B362E5"/>
    <w:rsid w:val="00B379D5"/>
    <w:rsid w:val="00B4037F"/>
    <w:rsid w:val="00B41CE4"/>
    <w:rsid w:val="00B42793"/>
    <w:rsid w:val="00B43FEC"/>
    <w:rsid w:val="00B44D5D"/>
    <w:rsid w:val="00B47A6D"/>
    <w:rsid w:val="00B50733"/>
    <w:rsid w:val="00B51A8B"/>
    <w:rsid w:val="00B5292A"/>
    <w:rsid w:val="00B53A63"/>
    <w:rsid w:val="00B5414B"/>
    <w:rsid w:val="00B5469F"/>
    <w:rsid w:val="00B54F4B"/>
    <w:rsid w:val="00B54F75"/>
    <w:rsid w:val="00B567D1"/>
    <w:rsid w:val="00B56913"/>
    <w:rsid w:val="00B5702F"/>
    <w:rsid w:val="00B6257D"/>
    <w:rsid w:val="00B627AA"/>
    <w:rsid w:val="00B63060"/>
    <w:rsid w:val="00B63F4A"/>
    <w:rsid w:val="00B64420"/>
    <w:rsid w:val="00B66EAC"/>
    <w:rsid w:val="00B6717A"/>
    <w:rsid w:val="00B7034E"/>
    <w:rsid w:val="00B703A9"/>
    <w:rsid w:val="00B705C5"/>
    <w:rsid w:val="00B7143B"/>
    <w:rsid w:val="00B727D1"/>
    <w:rsid w:val="00B731FB"/>
    <w:rsid w:val="00B73C70"/>
    <w:rsid w:val="00B75B44"/>
    <w:rsid w:val="00B76476"/>
    <w:rsid w:val="00B77D7A"/>
    <w:rsid w:val="00B77E93"/>
    <w:rsid w:val="00B80A9D"/>
    <w:rsid w:val="00B8106D"/>
    <w:rsid w:val="00B8290F"/>
    <w:rsid w:val="00B82A9E"/>
    <w:rsid w:val="00B83312"/>
    <w:rsid w:val="00B83797"/>
    <w:rsid w:val="00B845DD"/>
    <w:rsid w:val="00B84BB4"/>
    <w:rsid w:val="00B86583"/>
    <w:rsid w:val="00B86D8F"/>
    <w:rsid w:val="00B91A46"/>
    <w:rsid w:val="00B91EA7"/>
    <w:rsid w:val="00B921D5"/>
    <w:rsid w:val="00B942DC"/>
    <w:rsid w:val="00B94EB1"/>
    <w:rsid w:val="00B95CB6"/>
    <w:rsid w:val="00B95CD8"/>
    <w:rsid w:val="00B97352"/>
    <w:rsid w:val="00B9782B"/>
    <w:rsid w:val="00B97C08"/>
    <w:rsid w:val="00BA1006"/>
    <w:rsid w:val="00BA1C4A"/>
    <w:rsid w:val="00BA1C65"/>
    <w:rsid w:val="00BA2745"/>
    <w:rsid w:val="00BA2BD3"/>
    <w:rsid w:val="00BA2C89"/>
    <w:rsid w:val="00BA3879"/>
    <w:rsid w:val="00BA3ED8"/>
    <w:rsid w:val="00BA4711"/>
    <w:rsid w:val="00BA488B"/>
    <w:rsid w:val="00BA5EEE"/>
    <w:rsid w:val="00BA703E"/>
    <w:rsid w:val="00BA74CA"/>
    <w:rsid w:val="00BB0034"/>
    <w:rsid w:val="00BB1E1C"/>
    <w:rsid w:val="00BB2A66"/>
    <w:rsid w:val="00BB32E1"/>
    <w:rsid w:val="00BB358A"/>
    <w:rsid w:val="00BB4D26"/>
    <w:rsid w:val="00BB6290"/>
    <w:rsid w:val="00BB657A"/>
    <w:rsid w:val="00BB6702"/>
    <w:rsid w:val="00BB7CC6"/>
    <w:rsid w:val="00BC0E02"/>
    <w:rsid w:val="00BC1CBE"/>
    <w:rsid w:val="00BC1D03"/>
    <w:rsid w:val="00BC32B4"/>
    <w:rsid w:val="00BC391D"/>
    <w:rsid w:val="00BC3B5C"/>
    <w:rsid w:val="00BC567E"/>
    <w:rsid w:val="00BC6082"/>
    <w:rsid w:val="00BD297C"/>
    <w:rsid w:val="00BD2B70"/>
    <w:rsid w:val="00BD480E"/>
    <w:rsid w:val="00BD4E49"/>
    <w:rsid w:val="00BD675F"/>
    <w:rsid w:val="00BD73DD"/>
    <w:rsid w:val="00BE072D"/>
    <w:rsid w:val="00BE1455"/>
    <w:rsid w:val="00BE191A"/>
    <w:rsid w:val="00BE2926"/>
    <w:rsid w:val="00BE29D7"/>
    <w:rsid w:val="00BE323F"/>
    <w:rsid w:val="00BE367C"/>
    <w:rsid w:val="00BE3D5D"/>
    <w:rsid w:val="00BE4A29"/>
    <w:rsid w:val="00BE4CF4"/>
    <w:rsid w:val="00BE5475"/>
    <w:rsid w:val="00BE597B"/>
    <w:rsid w:val="00BE6A6E"/>
    <w:rsid w:val="00BE6E72"/>
    <w:rsid w:val="00BF02EA"/>
    <w:rsid w:val="00BF1B46"/>
    <w:rsid w:val="00BF2726"/>
    <w:rsid w:val="00BF4125"/>
    <w:rsid w:val="00BF429F"/>
    <w:rsid w:val="00BF49F0"/>
    <w:rsid w:val="00BF4ECA"/>
    <w:rsid w:val="00BF588D"/>
    <w:rsid w:val="00BF59A6"/>
    <w:rsid w:val="00C0067B"/>
    <w:rsid w:val="00C022F6"/>
    <w:rsid w:val="00C03342"/>
    <w:rsid w:val="00C03673"/>
    <w:rsid w:val="00C03BC2"/>
    <w:rsid w:val="00C049D3"/>
    <w:rsid w:val="00C05053"/>
    <w:rsid w:val="00C064D1"/>
    <w:rsid w:val="00C07C5B"/>
    <w:rsid w:val="00C10F35"/>
    <w:rsid w:val="00C11361"/>
    <w:rsid w:val="00C11657"/>
    <w:rsid w:val="00C1180F"/>
    <w:rsid w:val="00C127AE"/>
    <w:rsid w:val="00C12D0F"/>
    <w:rsid w:val="00C1577E"/>
    <w:rsid w:val="00C15C6B"/>
    <w:rsid w:val="00C15EAE"/>
    <w:rsid w:val="00C17EC8"/>
    <w:rsid w:val="00C202C8"/>
    <w:rsid w:val="00C2060D"/>
    <w:rsid w:val="00C218E0"/>
    <w:rsid w:val="00C21CC4"/>
    <w:rsid w:val="00C23D69"/>
    <w:rsid w:val="00C25614"/>
    <w:rsid w:val="00C30C6D"/>
    <w:rsid w:val="00C31AE9"/>
    <w:rsid w:val="00C324C9"/>
    <w:rsid w:val="00C326D9"/>
    <w:rsid w:val="00C326F3"/>
    <w:rsid w:val="00C32A91"/>
    <w:rsid w:val="00C3657D"/>
    <w:rsid w:val="00C36D3B"/>
    <w:rsid w:val="00C373BD"/>
    <w:rsid w:val="00C4151F"/>
    <w:rsid w:val="00C424D6"/>
    <w:rsid w:val="00C42942"/>
    <w:rsid w:val="00C42E1F"/>
    <w:rsid w:val="00C4303A"/>
    <w:rsid w:val="00C43265"/>
    <w:rsid w:val="00C43A94"/>
    <w:rsid w:val="00C43DF4"/>
    <w:rsid w:val="00C45089"/>
    <w:rsid w:val="00C45347"/>
    <w:rsid w:val="00C454A8"/>
    <w:rsid w:val="00C459C4"/>
    <w:rsid w:val="00C47B11"/>
    <w:rsid w:val="00C5023B"/>
    <w:rsid w:val="00C510CB"/>
    <w:rsid w:val="00C51F30"/>
    <w:rsid w:val="00C53029"/>
    <w:rsid w:val="00C5354A"/>
    <w:rsid w:val="00C54E50"/>
    <w:rsid w:val="00C56E8C"/>
    <w:rsid w:val="00C578A4"/>
    <w:rsid w:val="00C57ED9"/>
    <w:rsid w:val="00C57F59"/>
    <w:rsid w:val="00C604FD"/>
    <w:rsid w:val="00C6059C"/>
    <w:rsid w:val="00C60A8C"/>
    <w:rsid w:val="00C61CCB"/>
    <w:rsid w:val="00C6293C"/>
    <w:rsid w:val="00C62DBE"/>
    <w:rsid w:val="00C70499"/>
    <w:rsid w:val="00C7061F"/>
    <w:rsid w:val="00C70D30"/>
    <w:rsid w:val="00C7364D"/>
    <w:rsid w:val="00C73BDB"/>
    <w:rsid w:val="00C76E5A"/>
    <w:rsid w:val="00C7713A"/>
    <w:rsid w:val="00C7724E"/>
    <w:rsid w:val="00C7732A"/>
    <w:rsid w:val="00C8075E"/>
    <w:rsid w:val="00C819FA"/>
    <w:rsid w:val="00C81A7E"/>
    <w:rsid w:val="00C81FB7"/>
    <w:rsid w:val="00C8215A"/>
    <w:rsid w:val="00C824DA"/>
    <w:rsid w:val="00C83FF9"/>
    <w:rsid w:val="00C854A2"/>
    <w:rsid w:val="00C8572F"/>
    <w:rsid w:val="00C85A96"/>
    <w:rsid w:val="00C86127"/>
    <w:rsid w:val="00C9014D"/>
    <w:rsid w:val="00C908DF"/>
    <w:rsid w:val="00C92D00"/>
    <w:rsid w:val="00C92DA9"/>
    <w:rsid w:val="00C93BE8"/>
    <w:rsid w:val="00C93C1A"/>
    <w:rsid w:val="00C9490C"/>
    <w:rsid w:val="00C95C32"/>
    <w:rsid w:val="00C9618A"/>
    <w:rsid w:val="00C9748C"/>
    <w:rsid w:val="00C97E94"/>
    <w:rsid w:val="00CA0A77"/>
    <w:rsid w:val="00CA0B15"/>
    <w:rsid w:val="00CA1CC7"/>
    <w:rsid w:val="00CA25DF"/>
    <w:rsid w:val="00CA2860"/>
    <w:rsid w:val="00CA2C82"/>
    <w:rsid w:val="00CA374A"/>
    <w:rsid w:val="00CA3827"/>
    <w:rsid w:val="00CA48A7"/>
    <w:rsid w:val="00CA559B"/>
    <w:rsid w:val="00CA5BE9"/>
    <w:rsid w:val="00CB0879"/>
    <w:rsid w:val="00CB36E5"/>
    <w:rsid w:val="00CB3752"/>
    <w:rsid w:val="00CB4421"/>
    <w:rsid w:val="00CB5159"/>
    <w:rsid w:val="00CB5AEB"/>
    <w:rsid w:val="00CB5B25"/>
    <w:rsid w:val="00CB5B8F"/>
    <w:rsid w:val="00CB6DD6"/>
    <w:rsid w:val="00CB7276"/>
    <w:rsid w:val="00CC00B2"/>
    <w:rsid w:val="00CC02B4"/>
    <w:rsid w:val="00CC1637"/>
    <w:rsid w:val="00CC17FF"/>
    <w:rsid w:val="00CC1D19"/>
    <w:rsid w:val="00CC38D9"/>
    <w:rsid w:val="00CC5193"/>
    <w:rsid w:val="00CD01B9"/>
    <w:rsid w:val="00CD1573"/>
    <w:rsid w:val="00CD179E"/>
    <w:rsid w:val="00CD1D20"/>
    <w:rsid w:val="00CD2192"/>
    <w:rsid w:val="00CD334C"/>
    <w:rsid w:val="00CD3A24"/>
    <w:rsid w:val="00CD455B"/>
    <w:rsid w:val="00CD4B8E"/>
    <w:rsid w:val="00CD5942"/>
    <w:rsid w:val="00CD6B04"/>
    <w:rsid w:val="00CD75CA"/>
    <w:rsid w:val="00CD76DB"/>
    <w:rsid w:val="00CD7D69"/>
    <w:rsid w:val="00CD7E25"/>
    <w:rsid w:val="00CE26D8"/>
    <w:rsid w:val="00CE2860"/>
    <w:rsid w:val="00CE47EA"/>
    <w:rsid w:val="00CE4A28"/>
    <w:rsid w:val="00CE6FB1"/>
    <w:rsid w:val="00CE7372"/>
    <w:rsid w:val="00CF10DE"/>
    <w:rsid w:val="00CF1AF3"/>
    <w:rsid w:val="00CF4609"/>
    <w:rsid w:val="00CF4B9F"/>
    <w:rsid w:val="00CF5CEA"/>
    <w:rsid w:val="00CF5D58"/>
    <w:rsid w:val="00CF72D1"/>
    <w:rsid w:val="00CF7832"/>
    <w:rsid w:val="00D00F71"/>
    <w:rsid w:val="00D028E4"/>
    <w:rsid w:val="00D033D3"/>
    <w:rsid w:val="00D04413"/>
    <w:rsid w:val="00D04C21"/>
    <w:rsid w:val="00D101EA"/>
    <w:rsid w:val="00D1108D"/>
    <w:rsid w:val="00D1180B"/>
    <w:rsid w:val="00D1489F"/>
    <w:rsid w:val="00D16DF9"/>
    <w:rsid w:val="00D17D08"/>
    <w:rsid w:val="00D17E2D"/>
    <w:rsid w:val="00D200F7"/>
    <w:rsid w:val="00D2222B"/>
    <w:rsid w:val="00D2258F"/>
    <w:rsid w:val="00D26ABA"/>
    <w:rsid w:val="00D27B59"/>
    <w:rsid w:val="00D32942"/>
    <w:rsid w:val="00D32EB3"/>
    <w:rsid w:val="00D33DAD"/>
    <w:rsid w:val="00D34154"/>
    <w:rsid w:val="00D34872"/>
    <w:rsid w:val="00D35183"/>
    <w:rsid w:val="00D35B24"/>
    <w:rsid w:val="00D36C35"/>
    <w:rsid w:val="00D37127"/>
    <w:rsid w:val="00D37145"/>
    <w:rsid w:val="00D37A13"/>
    <w:rsid w:val="00D4179A"/>
    <w:rsid w:val="00D42064"/>
    <w:rsid w:val="00D4297D"/>
    <w:rsid w:val="00D44408"/>
    <w:rsid w:val="00D44BC2"/>
    <w:rsid w:val="00D44E19"/>
    <w:rsid w:val="00D44F22"/>
    <w:rsid w:val="00D469C9"/>
    <w:rsid w:val="00D46B28"/>
    <w:rsid w:val="00D46F5C"/>
    <w:rsid w:val="00D47462"/>
    <w:rsid w:val="00D50EEC"/>
    <w:rsid w:val="00D51272"/>
    <w:rsid w:val="00D515CF"/>
    <w:rsid w:val="00D532C7"/>
    <w:rsid w:val="00D53DE5"/>
    <w:rsid w:val="00D54858"/>
    <w:rsid w:val="00D5486D"/>
    <w:rsid w:val="00D54E06"/>
    <w:rsid w:val="00D557A9"/>
    <w:rsid w:val="00D55BB2"/>
    <w:rsid w:val="00D563C6"/>
    <w:rsid w:val="00D56D04"/>
    <w:rsid w:val="00D571F1"/>
    <w:rsid w:val="00D57A8A"/>
    <w:rsid w:val="00D57A95"/>
    <w:rsid w:val="00D57E85"/>
    <w:rsid w:val="00D57F77"/>
    <w:rsid w:val="00D6031B"/>
    <w:rsid w:val="00D62065"/>
    <w:rsid w:val="00D63D3D"/>
    <w:rsid w:val="00D642A2"/>
    <w:rsid w:val="00D64F1A"/>
    <w:rsid w:val="00D65562"/>
    <w:rsid w:val="00D66230"/>
    <w:rsid w:val="00D66675"/>
    <w:rsid w:val="00D710AC"/>
    <w:rsid w:val="00D727DF"/>
    <w:rsid w:val="00D73EED"/>
    <w:rsid w:val="00D75269"/>
    <w:rsid w:val="00D77A37"/>
    <w:rsid w:val="00D811C8"/>
    <w:rsid w:val="00D837D7"/>
    <w:rsid w:val="00D83F7E"/>
    <w:rsid w:val="00D84357"/>
    <w:rsid w:val="00D845E6"/>
    <w:rsid w:val="00D84D03"/>
    <w:rsid w:val="00D84D6A"/>
    <w:rsid w:val="00D84DD6"/>
    <w:rsid w:val="00D8528A"/>
    <w:rsid w:val="00D862CD"/>
    <w:rsid w:val="00D86654"/>
    <w:rsid w:val="00D8762E"/>
    <w:rsid w:val="00D87D4D"/>
    <w:rsid w:val="00D9097E"/>
    <w:rsid w:val="00D90EA2"/>
    <w:rsid w:val="00D91A37"/>
    <w:rsid w:val="00D91DB8"/>
    <w:rsid w:val="00D92220"/>
    <w:rsid w:val="00D93611"/>
    <w:rsid w:val="00D9431E"/>
    <w:rsid w:val="00D9474A"/>
    <w:rsid w:val="00D94EB0"/>
    <w:rsid w:val="00D950A8"/>
    <w:rsid w:val="00D96011"/>
    <w:rsid w:val="00D96853"/>
    <w:rsid w:val="00D979D1"/>
    <w:rsid w:val="00DA1096"/>
    <w:rsid w:val="00DB1346"/>
    <w:rsid w:val="00DB16CB"/>
    <w:rsid w:val="00DB1992"/>
    <w:rsid w:val="00DB1FDC"/>
    <w:rsid w:val="00DB25E9"/>
    <w:rsid w:val="00DB282D"/>
    <w:rsid w:val="00DB2A35"/>
    <w:rsid w:val="00DB314F"/>
    <w:rsid w:val="00DB3D79"/>
    <w:rsid w:val="00DB3DD6"/>
    <w:rsid w:val="00DB52C4"/>
    <w:rsid w:val="00DB6479"/>
    <w:rsid w:val="00DB6971"/>
    <w:rsid w:val="00DB7167"/>
    <w:rsid w:val="00DC0511"/>
    <w:rsid w:val="00DC0806"/>
    <w:rsid w:val="00DC11C2"/>
    <w:rsid w:val="00DC16E8"/>
    <w:rsid w:val="00DC38D6"/>
    <w:rsid w:val="00DC43F4"/>
    <w:rsid w:val="00DC4D1E"/>
    <w:rsid w:val="00DC76ED"/>
    <w:rsid w:val="00DC796E"/>
    <w:rsid w:val="00DC7E8D"/>
    <w:rsid w:val="00DD47FE"/>
    <w:rsid w:val="00DD52DC"/>
    <w:rsid w:val="00DD6400"/>
    <w:rsid w:val="00DD6C26"/>
    <w:rsid w:val="00DD779E"/>
    <w:rsid w:val="00DE08CA"/>
    <w:rsid w:val="00DE1D70"/>
    <w:rsid w:val="00DE2A46"/>
    <w:rsid w:val="00DE38E0"/>
    <w:rsid w:val="00DE42DC"/>
    <w:rsid w:val="00DE44FD"/>
    <w:rsid w:val="00DE4C8A"/>
    <w:rsid w:val="00DE53C4"/>
    <w:rsid w:val="00DE6936"/>
    <w:rsid w:val="00DF031E"/>
    <w:rsid w:val="00DF4A97"/>
    <w:rsid w:val="00DF613B"/>
    <w:rsid w:val="00DF765D"/>
    <w:rsid w:val="00E00133"/>
    <w:rsid w:val="00E00935"/>
    <w:rsid w:val="00E00E0F"/>
    <w:rsid w:val="00E01871"/>
    <w:rsid w:val="00E02A35"/>
    <w:rsid w:val="00E02EFC"/>
    <w:rsid w:val="00E041CC"/>
    <w:rsid w:val="00E04EEB"/>
    <w:rsid w:val="00E055C7"/>
    <w:rsid w:val="00E07384"/>
    <w:rsid w:val="00E07552"/>
    <w:rsid w:val="00E07C74"/>
    <w:rsid w:val="00E10443"/>
    <w:rsid w:val="00E11522"/>
    <w:rsid w:val="00E131F7"/>
    <w:rsid w:val="00E1379C"/>
    <w:rsid w:val="00E14596"/>
    <w:rsid w:val="00E214DF"/>
    <w:rsid w:val="00E21615"/>
    <w:rsid w:val="00E2257C"/>
    <w:rsid w:val="00E22D5A"/>
    <w:rsid w:val="00E23CAA"/>
    <w:rsid w:val="00E32304"/>
    <w:rsid w:val="00E3426C"/>
    <w:rsid w:val="00E3438C"/>
    <w:rsid w:val="00E34772"/>
    <w:rsid w:val="00E3484B"/>
    <w:rsid w:val="00E349CE"/>
    <w:rsid w:val="00E3535F"/>
    <w:rsid w:val="00E35961"/>
    <w:rsid w:val="00E3783C"/>
    <w:rsid w:val="00E40EE6"/>
    <w:rsid w:val="00E419A3"/>
    <w:rsid w:val="00E41B22"/>
    <w:rsid w:val="00E43C28"/>
    <w:rsid w:val="00E45730"/>
    <w:rsid w:val="00E466F2"/>
    <w:rsid w:val="00E472D8"/>
    <w:rsid w:val="00E47D39"/>
    <w:rsid w:val="00E50146"/>
    <w:rsid w:val="00E50306"/>
    <w:rsid w:val="00E50C94"/>
    <w:rsid w:val="00E51352"/>
    <w:rsid w:val="00E51AEA"/>
    <w:rsid w:val="00E51F38"/>
    <w:rsid w:val="00E51F94"/>
    <w:rsid w:val="00E52221"/>
    <w:rsid w:val="00E524D9"/>
    <w:rsid w:val="00E526A7"/>
    <w:rsid w:val="00E52B64"/>
    <w:rsid w:val="00E52FA4"/>
    <w:rsid w:val="00E53FEB"/>
    <w:rsid w:val="00E54A8C"/>
    <w:rsid w:val="00E54B7B"/>
    <w:rsid w:val="00E550B6"/>
    <w:rsid w:val="00E55EAD"/>
    <w:rsid w:val="00E60EE6"/>
    <w:rsid w:val="00E615DF"/>
    <w:rsid w:val="00E632D8"/>
    <w:rsid w:val="00E64E26"/>
    <w:rsid w:val="00E64FD5"/>
    <w:rsid w:val="00E662A8"/>
    <w:rsid w:val="00E67182"/>
    <w:rsid w:val="00E673EA"/>
    <w:rsid w:val="00E6772F"/>
    <w:rsid w:val="00E70EB5"/>
    <w:rsid w:val="00E71DB9"/>
    <w:rsid w:val="00E71FE6"/>
    <w:rsid w:val="00E7276A"/>
    <w:rsid w:val="00E73748"/>
    <w:rsid w:val="00E7592B"/>
    <w:rsid w:val="00E76818"/>
    <w:rsid w:val="00E7792C"/>
    <w:rsid w:val="00E81CA8"/>
    <w:rsid w:val="00E81EE8"/>
    <w:rsid w:val="00E82765"/>
    <w:rsid w:val="00E8293E"/>
    <w:rsid w:val="00E8297D"/>
    <w:rsid w:val="00E83597"/>
    <w:rsid w:val="00E83FED"/>
    <w:rsid w:val="00E87D30"/>
    <w:rsid w:val="00E87DF2"/>
    <w:rsid w:val="00E9089B"/>
    <w:rsid w:val="00E90F09"/>
    <w:rsid w:val="00E936BE"/>
    <w:rsid w:val="00E9540B"/>
    <w:rsid w:val="00E95827"/>
    <w:rsid w:val="00E95EE4"/>
    <w:rsid w:val="00EA1F0F"/>
    <w:rsid w:val="00EA2106"/>
    <w:rsid w:val="00EA3740"/>
    <w:rsid w:val="00EA414E"/>
    <w:rsid w:val="00EA5FDD"/>
    <w:rsid w:val="00EA67DF"/>
    <w:rsid w:val="00EA7291"/>
    <w:rsid w:val="00EA7885"/>
    <w:rsid w:val="00EB1880"/>
    <w:rsid w:val="00EB1B3C"/>
    <w:rsid w:val="00EB1F8A"/>
    <w:rsid w:val="00EB2723"/>
    <w:rsid w:val="00EB2747"/>
    <w:rsid w:val="00EB2D67"/>
    <w:rsid w:val="00EB36D6"/>
    <w:rsid w:val="00EB3F3A"/>
    <w:rsid w:val="00EB4505"/>
    <w:rsid w:val="00EB4ECE"/>
    <w:rsid w:val="00EB6006"/>
    <w:rsid w:val="00EB62F2"/>
    <w:rsid w:val="00EC25D7"/>
    <w:rsid w:val="00EC2A8B"/>
    <w:rsid w:val="00EC2BF2"/>
    <w:rsid w:val="00EC38CF"/>
    <w:rsid w:val="00EC4012"/>
    <w:rsid w:val="00EC4C30"/>
    <w:rsid w:val="00EC5259"/>
    <w:rsid w:val="00EC68F4"/>
    <w:rsid w:val="00ED02B0"/>
    <w:rsid w:val="00ED121F"/>
    <w:rsid w:val="00ED13A4"/>
    <w:rsid w:val="00ED1841"/>
    <w:rsid w:val="00ED1930"/>
    <w:rsid w:val="00ED195C"/>
    <w:rsid w:val="00ED389E"/>
    <w:rsid w:val="00ED3C5D"/>
    <w:rsid w:val="00ED55C6"/>
    <w:rsid w:val="00ED7227"/>
    <w:rsid w:val="00ED750E"/>
    <w:rsid w:val="00ED7FFD"/>
    <w:rsid w:val="00EE0CC0"/>
    <w:rsid w:val="00EE1050"/>
    <w:rsid w:val="00EE2A77"/>
    <w:rsid w:val="00EE37A1"/>
    <w:rsid w:val="00EE4A82"/>
    <w:rsid w:val="00EE4E35"/>
    <w:rsid w:val="00EE5B48"/>
    <w:rsid w:val="00EE656D"/>
    <w:rsid w:val="00EE69A7"/>
    <w:rsid w:val="00EE6D12"/>
    <w:rsid w:val="00EE78D7"/>
    <w:rsid w:val="00EE7B05"/>
    <w:rsid w:val="00EF1922"/>
    <w:rsid w:val="00EF4BC6"/>
    <w:rsid w:val="00EF6E7E"/>
    <w:rsid w:val="00EF7046"/>
    <w:rsid w:val="00F00FA9"/>
    <w:rsid w:val="00F01F19"/>
    <w:rsid w:val="00F028E4"/>
    <w:rsid w:val="00F02CA2"/>
    <w:rsid w:val="00F036D5"/>
    <w:rsid w:val="00F03D26"/>
    <w:rsid w:val="00F03E7F"/>
    <w:rsid w:val="00F04450"/>
    <w:rsid w:val="00F04C93"/>
    <w:rsid w:val="00F05094"/>
    <w:rsid w:val="00F05FF0"/>
    <w:rsid w:val="00F06A3F"/>
    <w:rsid w:val="00F06DE0"/>
    <w:rsid w:val="00F072CB"/>
    <w:rsid w:val="00F072F7"/>
    <w:rsid w:val="00F073BD"/>
    <w:rsid w:val="00F07600"/>
    <w:rsid w:val="00F07F1E"/>
    <w:rsid w:val="00F101DF"/>
    <w:rsid w:val="00F10A00"/>
    <w:rsid w:val="00F119E5"/>
    <w:rsid w:val="00F13FE7"/>
    <w:rsid w:val="00F14FAB"/>
    <w:rsid w:val="00F15094"/>
    <w:rsid w:val="00F162FC"/>
    <w:rsid w:val="00F177A8"/>
    <w:rsid w:val="00F20451"/>
    <w:rsid w:val="00F20638"/>
    <w:rsid w:val="00F22B69"/>
    <w:rsid w:val="00F2749F"/>
    <w:rsid w:val="00F27515"/>
    <w:rsid w:val="00F31484"/>
    <w:rsid w:val="00F32522"/>
    <w:rsid w:val="00F32B7D"/>
    <w:rsid w:val="00F333B9"/>
    <w:rsid w:val="00F333D7"/>
    <w:rsid w:val="00F334DD"/>
    <w:rsid w:val="00F33B9E"/>
    <w:rsid w:val="00F340AE"/>
    <w:rsid w:val="00F341D3"/>
    <w:rsid w:val="00F3502D"/>
    <w:rsid w:val="00F36648"/>
    <w:rsid w:val="00F36A2A"/>
    <w:rsid w:val="00F379F5"/>
    <w:rsid w:val="00F41A45"/>
    <w:rsid w:val="00F4212C"/>
    <w:rsid w:val="00F43EC1"/>
    <w:rsid w:val="00F45CDD"/>
    <w:rsid w:val="00F46C21"/>
    <w:rsid w:val="00F473E6"/>
    <w:rsid w:val="00F50804"/>
    <w:rsid w:val="00F55240"/>
    <w:rsid w:val="00F55DF2"/>
    <w:rsid w:val="00F6027A"/>
    <w:rsid w:val="00F60A29"/>
    <w:rsid w:val="00F621AA"/>
    <w:rsid w:val="00F6324F"/>
    <w:rsid w:val="00F64B1F"/>
    <w:rsid w:val="00F654F5"/>
    <w:rsid w:val="00F6582D"/>
    <w:rsid w:val="00F66BE2"/>
    <w:rsid w:val="00F67839"/>
    <w:rsid w:val="00F67D86"/>
    <w:rsid w:val="00F70326"/>
    <w:rsid w:val="00F71384"/>
    <w:rsid w:val="00F7139D"/>
    <w:rsid w:val="00F750CD"/>
    <w:rsid w:val="00F7588C"/>
    <w:rsid w:val="00F75C55"/>
    <w:rsid w:val="00F76011"/>
    <w:rsid w:val="00F76B78"/>
    <w:rsid w:val="00F81532"/>
    <w:rsid w:val="00F8273A"/>
    <w:rsid w:val="00F83246"/>
    <w:rsid w:val="00F845C9"/>
    <w:rsid w:val="00F85EE4"/>
    <w:rsid w:val="00F906BA"/>
    <w:rsid w:val="00F916F3"/>
    <w:rsid w:val="00F91CDC"/>
    <w:rsid w:val="00F93118"/>
    <w:rsid w:val="00F938AF"/>
    <w:rsid w:val="00F93C23"/>
    <w:rsid w:val="00F948D1"/>
    <w:rsid w:val="00F94BAD"/>
    <w:rsid w:val="00F94CF3"/>
    <w:rsid w:val="00F94D71"/>
    <w:rsid w:val="00F958D9"/>
    <w:rsid w:val="00F95E77"/>
    <w:rsid w:val="00F9675E"/>
    <w:rsid w:val="00F967AF"/>
    <w:rsid w:val="00F96B02"/>
    <w:rsid w:val="00F96F61"/>
    <w:rsid w:val="00F97F14"/>
    <w:rsid w:val="00F97F70"/>
    <w:rsid w:val="00FA020F"/>
    <w:rsid w:val="00FA04C6"/>
    <w:rsid w:val="00FA09FB"/>
    <w:rsid w:val="00FA4864"/>
    <w:rsid w:val="00FA5C80"/>
    <w:rsid w:val="00FA6438"/>
    <w:rsid w:val="00FA69C5"/>
    <w:rsid w:val="00FA6EA4"/>
    <w:rsid w:val="00FA7A05"/>
    <w:rsid w:val="00FB1463"/>
    <w:rsid w:val="00FB2408"/>
    <w:rsid w:val="00FB5323"/>
    <w:rsid w:val="00FB585E"/>
    <w:rsid w:val="00FB5FFA"/>
    <w:rsid w:val="00FB6DF6"/>
    <w:rsid w:val="00FB70AA"/>
    <w:rsid w:val="00FC0BCE"/>
    <w:rsid w:val="00FC180B"/>
    <w:rsid w:val="00FC22AF"/>
    <w:rsid w:val="00FC2687"/>
    <w:rsid w:val="00FC456C"/>
    <w:rsid w:val="00FC4793"/>
    <w:rsid w:val="00FC4F8A"/>
    <w:rsid w:val="00FC5213"/>
    <w:rsid w:val="00FC60BC"/>
    <w:rsid w:val="00FD0548"/>
    <w:rsid w:val="00FD0A03"/>
    <w:rsid w:val="00FD37EF"/>
    <w:rsid w:val="00FD51AD"/>
    <w:rsid w:val="00FD66F7"/>
    <w:rsid w:val="00FD73A2"/>
    <w:rsid w:val="00FD7B0F"/>
    <w:rsid w:val="00FD7EA1"/>
    <w:rsid w:val="00FE0520"/>
    <w:rsid w:val="00FE0DB7"/>
    <w:rsid w:val="00FE1A39"/>
    <w:rsid w:val="00FE324F"/>
    <w:rsid w:val="00FE37C9"/>
    <w:rsid w:val="00FE4A17"/>
    <w:rsid w:val="00FE4E35"/>
    <w:rsid w:val="00FE5D24"/>
    <w:rsid w:val="00FE6311"/>
    <w:rsid w:val="00FE69AB"/>
    <w:rsid w:val="00FE7048"/>
    <w:rsid w:val="00FE7D18"/>
    <w:rsid w:val="00FF13ED"/>
    <w:rsid w:val="00FF1524"/>
    <w:rsid w:val="00FF1797"/>
    <w:rsid w:val="00FF2403"/>
    <w:rsid w:val="00FF3CA7"/>
    <w:rsid w:val="00FF461D"/>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B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7754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aliases w:val="2,Strip,H&amp;P List Paragraph,Saraksta rindkopa1"/>
    <w:basedOn w:val="Normal"/>
    <w:link w:val="ListParagraphChar"/>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 w:type="character" w:customStyle="1" w:styleId="Heading3Char">
    <w:name w:val="Heading 3 Char"/>
    <w:basedOn w:val="DefaultParagraphFont"/>
    <w:link w:val="Heading3"/>
    <w:uiPriority w:val="9"/>
    <w:semiHidden/>
    <w:rsid w:val="007754B6"/>
    <w:rPr>
      <w:rFonts w:asciiTheme="majorHAnsi" w:eastAsiaTheme="majorEastAsia" w:hAnsiTheme="majorHAnsi" w:cstheme="majorBidi"/>
      <w:color w:val="1F4D78" w:themeColor="accent1" w:themeShade="7F"/>
      <w:szCs w:val="24"/>
      <w:lang w:val="lv-LV" w:eastAsia="ru-RU"/>
    </w:rPr>
  </w:style>
  <w:style w:type="character" w:customStyle="1" w:styleId="ListParagraphChar">
    <w:name w:val="List Paragraph Char"/>
    <w:aliases w:val="2 Char,Strip Char,H&amp;P List Paragraph Char,Saraksta rindkopa1 Char"/>
    <w:link w:val="ListParagraph"/>
    <w:uiPriority w:val="34"/>
    <w:locked/>
    <w:rsid w:val="00D56D04"/>
    <w:rPr>
      <w:rFonts w:eastAsia="Times New Roman" w:cs="Times New Roman"/>
      <w:szCs w:val="24"/>
      <w:lang w:val="lv-LV" w:eastAsia="ru-RU"/>
    </w:rPr>
  </w:style>
  <w:style w:type="paragraph" w:customStyle="1" w:styleId="Default">
    <w:name w:val="Default"/>
    <w:rsid w:val="00CF7832"/>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602">
      <w:bodyDiv w:val="1"/>
      <w:marLeft w:val="0"/>
      <w:marRight w:val="0"/>
      <w:marTop w:val="0"/>
      <w:marBottom w:val="0"/>
      <w:divBdr>
        <w:top w:val="none" w:sz="0" w:space="0" w:color="auto"/>
        <w:left w:val="none" w:sz="0" w:space="0" w:color="auto"/>
        <w:bottom w:val="none" w:sz="0" w:space="0" w:color="auto"/>
        <w:right w:val="none" w:sz="0" w:space="0" w:color="auto"/>
      </w:divBdr>
    </w:div>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388648669">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1256016058">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934479150">
          <w:marLeft w:val="0"/>
          <w:marRight w:val="0"/>
          <w:marTop w:val="0"/>
          <w:marBottom w:val="0"/>
          <w:divBdr>
            <w:top w:val="none" w:sz="0" w:space="0" w:color="auto"/>
            <w:left w:val="none" w:sz="0" w:space="0" w:color="auto"/>
            <w:bottom w:val="none" w:sz="0" w:space="0" w:color="auto"/>
            <w:right w:val="none" w:sz="0" w:space="0" w:color="auto"/>
          </w:divBdr>
        </w:div>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02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d9d0a49-e446-439f-9937-a6dffba740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ateway.elieta.lv/api/v1/PublicMaterialDownload/ebe6ec66-92a5-49cf-8fba-b744f50b0b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3299-A08E-425C-AF49-A74F1A21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15501</Words>
  <Characters>8837</Characters>
  <Application>Microsoft Office Word</Application>
  <DocSecurity>0</DocSecurity>
  <Lines>73</Lines>
  <Paragraphs>48</Paragraphs>
  <ScaleCrop>false</ScaleCrop>
  <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2026-04-24T11:05:00Z</dcterms:created>
  <dcterms:modified xsi:type="dcterms:W3CDTF">2026-04-24T11:05:00Z</dcterms:modified>
</cp:coreProperties>
</file>