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2FE55" w14:textId="77777777" w:rsidR="00362487" w:rsidRDefault="00362487" w:rsidP="005C0D44">
      <w:pPr>
        <w:spacing w:line="276" w:lineRule="auto"/>
        <w:jc w:val="both"/>
        <w:rPr>
          <w:b/>
          <w:bCs/>
          <w:lang w:eastAsia="lv-LV"/>
        </w:rPr>
      </w:pPr>
      <w:r>
        <w:rPr>
          <w:b/>
          <w:bCs/>
        </w:rPr>
        <w:t>Nozāģēta aizsargājamā koka stumbra novākšana</w:t>
      </w:r>
    </w:p>
    <w:p w14:paraId="7573FC43" w14:textId="77777777" w:rsidR="00362487" w:rsidRDefault="00362487" w:rsidP="005C0D44">
      <w:pPr>
        <w:spacing w:line="276" w:lineRule="auto"/>
        <w:jc w:val="both"/>
      </w:pPr>
      <w:r>
        <w:t>Tiesību normas neparedz, ka aizsargājami var būt tikai augtspējīgi koki. Ja aizsargājamais koks ir ticis nozāģēts, tad, lemjot par šā koka stumbra novākšanu, ir jāizvērtē, vai tam joprojām piemīt zinātniska, kultūrvēsturiska, estētiska vai ekoloģiska vērtība.</w:t>
      </w:r>
    </w:p>
    <w:p w14:paraId="64B6DA48" w14:textId="7E32E935" w:rsidR="00447EE6" w:rsidRPr="00011547" w:rsidRDefault="00362487" w:rsidP="005C0D44">
      <w:pPr>
        <w:spacing w:line="276" w:lineRule="auto"/>
        <w:jc w:val="both"/>
      </w:pPr>
      <w:r>
        <w:t>No Ministru kabineta 2010.gada 16.marta noteikumu Nr. 264 „Īpaši aizsargājamo dabas teritoriju vispārējie aizsardzības un izmantošanas noteikumi” 46.2.apakšpunkta izriet, ka arī pretlikumīgi nozāģēta aizsargājamā koka stumbru atļauts novākt tikai tad, ja šis koks nav dzīvotne kādai īpaši aizsargājamai sugai.</w:t>
      </w:r>
    </w:p>
    <w:p w14:paraId="55E0E475" w14:textId="040135CD" w:rsidR="00447EE6" w:rsidRPr="00362487" w:rsidRDefault="00447EE6" w:rsidP="005C0D44">
      <w:pPr>
        <w:spacing w:before="240" w:line="276" w:lineRule="auto"/>
        <w:jc w:val="center"/>
        <w:rPr>
          <w:b/>
        </w:rPr>
      </w:pPr>
      <w:r w:rsidRPr="00362487">
        <w:rPr>
          <w:b/>
        </w:rPr>
        <w:t>Latvijas Republikas Senāt</w:t>
      </w:r>
      <w:r w:rsidR="00362487" w:rsidRPr="00362487">
        <w:rPr>
          <w:b/>
        </w:rPr>
        <w:t>a</w:t>
      </w:r>
      <w:r w:rsidR="00362487" w:rsidRPr="00362487">
        <w:rPr>
          <w:b/>
        </w:rPr>
        <w:br/>
        <w:t>Administratīvo lietu departamenta</w:t>
      </w:r>
      <w:r w:rsidR="00362487" w:rsidRPr="00362487">
        <w:rPr>
          <w:b/>
        </w:rPr>
        <w:br/>
        <w:t>2026.gada 18.marta lēmums</w:t>
      </w:r>
    </w:p>
    <w:p w14:paraId="2FA9305A" w14:textId="77777777" w:rsidR="00447EE6" w:rsidRPr="00362487" w:rsidRDefault="000E008F" w:rsidP="005C0D44">
      <w:pPr>
        <w:spacing w:line="276" w:lineRule="auto"/>
        <w:jc w:val="center"/>
        <w:rPr>
          <w:b/>
        </w:rPr>
      </w:pPr>
      <w:r w:rsidRPr="00362487">
        <w:rPr>
          <w:b/>
        </w:rPr>
        <w:t>RĪCĪBAS SĒDES LĒMUMS</w:t>
      </w:r>
    </w:p>
    <w:p w14:paraId="2E12274C" w14:textId="57F74D1D" w:rsidR="00362487" w:rsidRPr="00362487" w:rsidRDefault="00362487" w:rsidP="005C0D44">
      <w:pPr>
        <w:spacing w:line="276" w:lineRule="auto"/>
        <w:jc w:val="center"/>
        <w:rPr>
          <w:b/>
          <w:bCs/>
        </w:rPr>
      </w:pPr>
      <w:r w:rsidRPr="00362487">
        <w:rPr>
          <w:b/>
          <w:bCs/>
        </w:rPr>
        <w:t>Lieta Nr. </w:t>
      </w:r>
      <w:r w:rsidRPr="00362487">
        <w:rPr>
          <w:b/>
          <w:bCs/>
          <w:lang w:eastAsia="lv-LV"/>
        </w:rPr>
        <w:t xml:space="preserve">A420142823, </w:t>
      </w:r>
      <w:r w:rsidRPr="00362487">
        <w:rPr>
          <w:b/>
          <w:bCs/>
        </w:rPr>
        <w:t>SKA-129/2026</w:t>
      </w:r>
    </w:p>
    <w:p w14:paraId="2F4A7A8B" w14:textId="09AED819" w:rsidR="00362487" w:rsidRPr="00362487" w:rsidRDefault="00362487" w:rsidP="005C0D44">
      <w:pPr>
        <w:spacing w:line="276" w:lineRule="auto"/>
        <w:jc w:val="center"/>
        <w:rPr>
          <w:b/>
        </w:rPr>
      </w:pPr>
      <w:r w:rsidRPr="00362487">
        <w:t xml:space="preserve"> </w:t>
      </w:r>
      <w:hyperlink r:id="rId7" w:history="1">
        <w:r w:rsidRPr="005C0D44">
          <w:rPr>
            <w:rStyle w:val="Hyperlink"/>
          </w:rPr>
          <w:t>ECLI:LV:AT:2026:0318.A420142823.16.L</w:t>
        </w:r>
      </w:hyperlink>
    </w:p>
    <w:p w14:paraId="7C7618B6" w14:textId="77777777" w:rsidR="00411CD0" w:rsidRPr="00011547" w:rsidRDefault="00411CD0" w:rsidP="005C0D44">
      <w:pPr>
        <w:spacing w:line="276" w:lineRule="auto"/>
        <w:ind w:firstLine="720"/>
        <w:jc w:val="center"/>
      </w:pPr>
    </w:p>
    <w:p w14:paraId="599EFB19" w14:textId="417BB258" w:rsidR="00A50150" w:rsidRPr="00A50150" w:rsidRDefault="00A50150" w:rsidP="005C0D44">
      <w:pPr>
        <w:spacing w:line="276" w:lineRule="auto"/>
        <w:ind w:firstLine="720"/>
        <w:jc w:val="both"/>
        <w:rPr>
          <w:rFonts w:asciiTheme="majorBidi" w:hAnsiTheme="majorBidi" w:cstheme="majorBidi"/>
        </w:rPr>
      </w:pPr>
      <w:r w:rsidRPr="00A50150">
        <w:rPr>
          <w:rFonts w:asciiTheme="majorBidi" w:hAnsiTheme="majorBidi" w:cstheme="majorBidi"/>
        </w:rPr>
        <w:t xml:space="preserve">[1] Senātā saņemta </w:t>
      </w:r>
      <w:r w:rsidR="00E120A5">
        <w:rPr>
          <w:rFonts w:asciiTheme="majorBidi" w:hAnsiTheme="majorBidi" w:cstheme="majorBidi"/>
        </w:rPr>
        <w:t xml:space="preserve">pieteicējas </w:t>
      </w:r>
      <w:r w:rsidR="00B2371C">
        <w:rPr>
          <w:rFonts w:asciiTheme="majorBidi" w:hAnsiTheme="majorBidi" w:cstheme="majorBidi"/>
        </w:rPr>
        <w:t xml:space="preserve">– </w:t>
      </w:r>
      <w:r w:rsidR="00E120A5">
        <w:rPr>
          <w:rFonts w:asciiTheme="majorBidi" w:hAnsiTheme="majorBidi" w:cstheme="majorBidi"/>
        </w:rPr>
        <w:t>SIA „Zeninvest”</w:t>
      </w:r>
      <w:r w:rsidR="00B2371C">
        <w:rPr>
          <w:rFonts w:asciiTheme="majorBidi" w:hAnsiTheme="majorBidi" w:cstheme="majorBidi"/>
        </w:rPr>
        <w:t xml:space="preserve"> –</w:t>
      </w:r>
      <w:r w:rsidRPr="00A50150">
        <w:rPr>
          <w:rFonts w:asciiTheme="majorBidi" w:hAnsiTheme="majorBidi" w:cstheme="majorBidi"/>
        </w:rPr>
        <w:t xml:space="preserve"> kasācijas sūdzība par Administratīvās </w:t>
      </w:r>
      <w:r w:rsidR="00E120A5">
        <w:rPr>
          <w:rFonts w:asciiTheme="majorBidi" w:hAnsiTheme="majorBidi" w:cstheme="majorBidi"/>
        </w:rPr>
        <w:t>apgabaltiesas</w:t>
      </w:r>
      <w:r w:rsidRPr="00A50150">
        <w:rPr>
          <w:rFonts w:asciiTheme="majorBidi" w:hAnsiTheme="majorBidi" w:cstheme="majorBidi"/>
        </w:rPr>
        <w:t xml:space="preserve"> </w:t>
      </w:r>
      <w:r w:rsidR="00E120A5">
        <w:rPr>
          <w:rFonts w:asciiTheme="majorBidi" w:hAnsiTheme="majorBidi" w:cstheme="majorBidi"/>
        </w:rPr>
        <w:t>2024.gada 28.novembra</w:t>
      </w:r>
      <w:r w:rsidRPr="00A50150">
        <w:rPr>
          <w:rFonts w:asciiTheme="majorBidi" w:hAnsiTheme="majorBidi" w:cstheme="majorBidi"/>
        </w:rPr>
        <w:t xml:space="preserve"> spriedumu, ar kuru </w:t>
      </w:r>
      <w:r w:rsidR="00E120A5">
        <w:rPr>
          <w:rFonts w:asciiTheme="majorBidi" w:hAnsiTheme="majorBidi" w:cstheme="majorBidi"/>
        </w:rPr>
        <w:t>noraidīts pieteikums par pienākuma uzlikšanu Dabas aizsardzības pārvaldei</w:t>
      </w:r>
      <w:r w:rsidR="008A6F24">
        <w:rPr>
          <w:rFonts w:asciiTheme="majorBidi" w:hAnsiTheme="majorBidi" w:cstheme="majorBidi"/>
        </w:rPr>
        <w:t xml:space="preserve"> (turpmāk – pārvalde)</w:t>
      </w:r>
      <w:r w:rsidR="00E120A5">
        <w:rPr>
          <w:rFonts w:asciiTheme="majorBidi" w:hAnsiTheme="majorBidi" w:cstheme="majorBidi"/>
        </w:rPr>
        <w:t xml:space="preserve"> izdot atļauju nozāģēta aizsargājamā parastā ozola novākšanai nekustamajā īpašumā</w:t>
      </w:r>
      <w:r w:rsidR="005C0D44">
        <w:rPr>
          <w:rFonts w:asciiTheme="majorBidi" w:hAnsiTheme="majorBidi" w:cstheme="majorBidi"/>
        </w:rPr>
        <w:t xml:space="preserve"> [Adrese A]</w:t>
      </w:r>
      <w:r w:rsidR="00E120A5">
        <w:rPr>
          <w:rFonts w:asciiTheme="majorBidi" w:hAnsiTheme="majorBidi" w:cstheme="majorBidi"/>
        </w:rPr>
        <w:t>, un ziņu par šo koku dzēšanu no dabas datu pārvaldības sistēmas „Ozols”</w:t>
      </w:r>
      <w:r w:rsidRPr="00A50150">
        <w:rPr>
          <w:rFonts w:asciiTheme="majorBidi" w:hAnsiTheme="majorBidi" w:cstheme="majorBidi"/>
        </w:rPr>
        <w:t>.</w:t>
      </w:r>
    </w:p>
    <w:p w14:paraId="1CE061F2" w14:textId="733A7488" w:rsidR="00A50150" w:rsidRDefault="00B5288D" w:rsidP="005C0D44">
      <w:pPr>
        <w:spacing w:line="276" w:lineRule="auto"/>
        <w:jc w:val="both"/>
        <w:rPr>
          <w:rFonts w:asciiTheme="majorBidi" w:hAnsiTheme="majorBidi" w:cstheme="majorBidi"/>
        </w:rPr>
      </w:pPr>
      <w:r>
        <w:rPr>
          <w:rFonts w:asciiTheme="majorBidi" w:hAnsiTheme="majorBidi" w:cstheme="majorBidi"/>
        </w:rPr>
        <w:tab/>
        <w:t xml:space="preserve">Apgabaltiesa pievienojās rajona tiesas sprieduma motivācijai </w:t>
      </w:r>
      <w:r w:rsidR="008A6F24">
        <w:rPr>
          <w:rFonts w:asciiTheme="majorBidi" w:hAnsiTheme="majorBidi" w:cstheme="majorBidi"/>
        </w:rPr>
        <w:t xml:space="preserve">un secināja, ka </w:t>
      </w:r>
      <w:r w:rsidR="006C7156">
        <w:rPr>
          <w:rFonts w:asciiTheme="majorBidi" w:hAnsiTheme="majorBidi" w:cstheme="majorBidi"/>
        </w:rPr>
        <w:t>likum</w:t>
      </w:r>
      <w:r w:rsidR="00065D5F">
        <w:rPr>
          <w:rFonts w:asciiTheme="majorBidi" w:hAnsiTheme="majorBidi" w:cstheme="majorBidi"/>
        </w:rPr>
        <w:t>s</w:t>
      </w:r>
      <w:r w:rsidR="006C7156">
        <w:rPr>
          <w:rFonts w:asciiTheme="majorBidi" w:hAnsiTheme="majorBidi" w:cstheme="majorBidi"/>
        </w:rPr>
        <w:t xml:space="preserve"> „Par īpaši aizsargājamām dabas teritorijām” (turpmāk – Aizsargājamo teritoriju likums)</w:t>
      </w:r>
      <w:r w:rsidR="00065D5F">
        <w:rPr>
          <w:rFonts w:asciiTheme="majorBidi" w:hAnsiTheme="majorBidi" w:cstheme="majorBidi"/>
        </w:rPr>
        <w:t xml:space="preserve"> un </w:t>
      </w:r>
      <w:r w:rsidR="006C7156">
        <w:rPr>
          <w:rFonts w:asciiTheme="majorBidi" w:hAnsiTheme="majorBidi" w:cstheme="majorBidi"/>
        </w:rPr>
        <w:t>Ministru kabineta 2010.gada 16.marta noteikum</w:t>
      </w:r>
      <w:r w:rsidR="00065D5F">
        <w:rPr>
          <w:rFonts w:asciiTheme="majorBidi" w:hAnsiTheme="majorBidi" w:cstheme="majorBidi"/>
        </w:rPr>
        <w:t>i</w:t>
      </w:r>
      <w:r w:rsidR="006C7156">
        <w:rPr>
          <w:rFonts w:asciiTheme="majorBidi" w:hAnsiTheme="majorBidi" w:cstheme="majorBidi"/>
        </w:rPr>
        <w:t xml:space="preserve"> Nr. 264 „Īpaši aizsargājamo dabas teritoriju vispārējie aizsardzības un izmantošanas noteikumi” (turpmāk – Aizsargājamo teritoriju noteikumi) </w:t>
      </w:r>
      <w:r w:rsidR="00065D5F">
        <w:rPr>
          <w:rFonts w:asciiTheme="majorBidi" w:hAnsiTheme="majorBidi" w:cstheme="majorBidi"/>
        </w:rPr>
        <w:t>neparedz</w:t>
      </w:r>
      <w:r w:rsidR="006C7156">
        <w:rPr>
          <w:rFonts w:asciiTheme="majorBidi" w:hAnsiTheme="majorBidi" w:cstheme="majorBidi"/>
        </w:rPr>
        <w:t>, ka aizsargājams būtu tikai augtspējīgs koks.</w:t>
      </w:r>
      <w:r w:rsidR="00065D5F">
        <w:rPr>
          <w:rFonts w:asciiTheme="majorBidi" w:hAnsiTheme="majorBidi" w:cstheme="majorBidi"/>
        </w:rPr>
        <w:t xml:space="preserve"> Konkrētajā gadījumā nozāģētā dižkoka</w:t>
      </w:r>
      <w:r w:rsidR="0020790E">
        <w:rPr>
          <w:rFonts w:asciiTheme="majorBidi" w:hAnsiTheme="majorBidi" w:cstheme="majorBidi"/>
        </w:rPr>
        <w:t xml:space="preserve"> vērtība nav zudusi arī pēc tā nozāģēšanas (tā</w:t>
      </w:r>
      <w:r w:rsidR="00065D5F">
        <w:rPr>
          <w:rFonts w:asciiTheme="majorBidi" w:hAnsiTheme="majorBidi" w:cstheme="majorBidi"/>
        </w:rPr>
        <w:t xml:space="preserve"> stumbrā ir konstatētas īpaši aizsargājamu sugu </w:t>
      </w:r>
      <w:r w:rsidR="00AA038F">
        <w:rPr>
          <w:rFonts w:asciiTheme="majorBidi" w:hAnsiTheme="majorBidi" w:cstheme="majorBidi"/>
        </w:rPr>
        <w:t>– spož</w:t>
      </w:r>
      <w:r w:rsidR="00517D0C">
        <w:rPr>
          <w:rFonts w:asciiTheme="majorBidi" w:hAnsiTheme="majorBidi" w:cstheme="majorBidi"/>
        </w:rPr>
        <w:t>ās</w:t>
      </w:r>
      <w:r w:rsidR="00AA038F">
        <w:rPr>
          <w:rFonts w:asciiTheme="majorBidi" w:hAnsiTheme="majorBidi" w:cstheme="majorBidi"/>
        </w:rPr>
        <w:t xml:space="preserve"> skudr</w:t>
      </w:r>
      <w:r w:rsidR="00517D0C">
        <w:rPr>
          <w:rFonts w:asciiTheme="majorBidi" w:hAnsiTheme="majorBidi" w:cstheme="majorBidi"/>
        </w:rPr>
        <w:t>as</w:t>
      </w:r>
      <w:r w:rsidR="00AA038F">
        <w:rPr>
          <w:rFonts w:asciiTheme="majorBidi" w:hAnsiTheme="majorBidi" w:cstheme="majorBidi"/>
        </w:rPr>
        <w:t xml:space="preserve"> un kausveida </w:t>
      </w:r>
      <w:r w:rsidR="00E161FD">
        <w:rPr>
          <w:rFonts w:asciiTheme="majorBidi" w:hAnsiTheme="majorBidi" w:cstheme="majorBidi"/>
        </w:rPr>
        <w:t>pleirostiktas</w:t>
      </w:r>
      <w:r w:rsidR="00E8413F">
        <w:rPr>
          <w:rFonts w:asciiTheme="majorBidi" w:hAnsiTheme="majorBidi" w:cstheme="majorBidi"/>
        </w:rPr>
        <w:t xml:space="preserve"> </w:t>
      </w:r>
      <w:r w:rsidR="00E161FD">
        <w:rPr>
          <w:rFonts w:asciiTheme="majorBidi" w:hAnsiTheme="majorBidi" w:cstheme="majorBidi"/>
        </w:rPr>
        <w:t xml:space="preserve">– </w:t>
      </w:r>
      <w:r w:rsidR="00065D5F">
        <w:rPr>
          <w:rFonts w:asciiTheme="majorBidi" w:hAnsiTheme="majorBidi" w:cstheme="majorBidi"/>
        </w:rPr>
        <w:t>dzīvotnes</w:t>
      </w:r>
      <w:r w:rsidR="0020790E">
        <w:rPr>
          <w:rFonts w:asciiTheme="majorBidi" w:hAnsiTheme="majorBidi" w:cstheme="majorBidi"/>
        </w:rPr>
        <w:t>)</w:t>
      </w:r>
      <w:r w:rsidR="00065D5F">
        <w:rPr>
          <w:rFonts w:asciiTheme="majorBidi" w:hAnsiTheme="majorBidi" w:cstheme="majorBidi"/>
        </w:rPr>
        <w:t>, kas saskaņā ar Aizsargājamo teritoriju noteikumu 46.2.apakšpunktu ir pamats aizliegumam pārvietot aizsargājamo koku.</w:t>
      </w:r>
    </w:p>
    <w:p w14:paraId="2AF6E337" w14:textId="77777777" w:rsidR="003B080C" w:rsidRDefault="003B080C" w:rsidP="005C0D44">
      <w:pPr>
        <w:spacing w:line="276" w:lineRule="auto"/>
        <w:jc w:val="both"/>
        <w:rPr>
          <w:rFonts w:asciiTheme="majorBidi" w:hAnsiTheme="majorBidi" w:cstheme="majorBidi"/>
        </w:rPr>
      </w:pPr>
    </w:p>
    <w:p w14:paraId="2D5CB4B1" w14:textId="195949D4" w:rsidR="003B080C" w:rsidRDefault="0014426B" w:rsidP="005C0D44">
      <w:pPr>
        <w:spacing w:line="276" w:lineRule="auto"/>
        <w:jc w:val="both"/>
        <w:rPr>
          <w:rFonts w:asciiTheme="majorBidi" w:hAnsiTheme="majorBidi" w:cstheme="majorBidi"/>
        </w:rPr>
      </w:pPr>
      <w:r>
        <w:rPr>
          <w:rFonts w:asciiTheme="majorBidi" w:hAnsiTheme="majorBidi" w:cstheme="majorBidi"/>
        </w:rPr>
        <w:tab/>
        <w:t>[2] Pieteicēj</w:t>
      </w:r>
      <w:r w:rsidR="0015428F">
        <w:rPr>
          <w:rFonts w:asciiTheme="majorBidi" w:hAnsiTheme="majorBidi" w:cstheme="majorBidi"/>
        </w:rPr>
        <w:t>a</w:t>
      </w:r>
      <w:r>
        <w:rPr>
          <w:rFonts w:asciiTheme="majorBidi" w:hAnsiTheme="majorBidi" w:cstheme="majorBidi"/>
        </w:rPr>
        <w:t xml:space="preserve"> kasācijas sūdzībā ir norādīj</w:t>
      </w:r>
      <w:r w:rsidR="0015428F">
        <w:rPr>
          <w:rFonts w:asciiTheme="majorBidi" w:hAnsiTheme="majorBidi" w:cstheme="majorBidi"/>
        </w:rPr>
        <w:t>usi</w:t>
      </w:r>
      <w:r>
        <w:rPr>
          <w:rFonts w:asciiTheme="majorBidi" w:hAnsiTheme="majorBidi" w:cstheme="majorBidi"/>
        </w:rPr>
        <w:t xml:space="preserve">, ka tiesa ir nepareizi interpretējusi Aizsargājamo teritoriju noteikumu 38.2.apakšpunktu, atzīstot, ka nozāģētais </w:t>
      </w:r>
      <w:r w:rsidR="00033458">
        <w:rPr>
          <w:rFonts w:asciiTheme="majorBidi" w:hAnsiTheme="majorBidi" w:cstheme="majorBidi"/>
        </w:rPr>
        <w:t>ozols</w:t>
      </w:r>
      <w:r>
        <w:rPr>
          <w:rFonts w:asciiTheme="majorBidi" w:hAnsiTheme="majorBidi" w:cstheme="majorBidi"/>
        </w:rPr>
        <w:t xml:space="preserve"> ir aizsargājams koks. No šīs tiesību normas kopsakarā ar citām tiesību normām izriet</w:t>
      </w:r>
      <w:r w:rsidR="0015428F">
        <w:rPr>
          <w:rFonts w:asciiTheme="majorBidi" w:hAnsiTheme="majorBidi" w:cstheme="majorBidi"/>
        </w:rPr>
        <w:t>ot</w:t>
      </w:r>
      <w:r>
        <w:rPr>
          <w:rFonts w:asciiTheme="majorBidi" w:hAnsiTheme="majorBidi" w:cstheme="majorBidi"/>
        </w:rPr>
        <w:t xml:space="preserve">, ka dižkoka obligāta pazīme ir dzīvotspēja un konkrēti platuma un augstuma parametri. </w:t>
      </w:r>
      <w:r w:rsidR="00033458">
        <w:rPr>
          <w:rFonts w:asciiTheme="majorBidi" w:hAnsiTheme="majorBidi" w:cstheme="majorBidi"/>
        </w:rPr>
        <w:t>Savukārt Aizsargājamo teritoriju likuma 6.panta pirmajā daļā ietvertais palīgteikums „kam ir zinātniska, kultūrvēsturiska, estētiska vai ekoloģiska vērtība” attiec</w:t>
      </w:r>
      <w:r w:rsidR="0015428F">
        <w:rPr>
          <w:rFonts w:asciiTheme="majorBidi" w:hAnsiTheme="majorBidi" w:cstheme="majorBidi"/>
        </w:rPr>
        <w:t>oties</w:t>
      </w:r>
      <w:r w:rsidR="00033458">
        <w:rPr>
          <w:rFonts w:asciiTheme="majorBidi" w:hAnsiTheme="majorBidi" w:cstheme="majorBidi"/>
        </w:rPr>
        <w:t xml:space="preserve"> tikai uz </w:t>
      </w:r>
      <w:r w:rsidR="00FA1BFF">
        <w:rPr>
          <w:rFonts w:asciiTheme="majorBidi" w:hAnsiTheme="majorBidi" w:cstheme="majorBidi"/>
        </w:rPr>
        <w:t xml:space="preserve">šajā </w:t>
      </w:r>
      <w:r w:rsidR="00127A9C">
        <w:rPr>
          <w:rFonts w:asciiTheme="majorBidi" w:hAnsiTheme="majorBidi" w:cstheme="majorBidi"/>
        </w:rPr>
        <w:t xml:space="preserve">tiesību </w:t>
      </w:r>
      <w:r w:rsidR="00FA1BFF">
        <w:rPr>
          <w:rFonts w:asciiTheme="majorBidi" w:hAnsiTheme="majorBidi" w:cstheme="majorBidi"/>
        </w:rPr>
        <w:t>normā minētajiem „</w:t>
      </w:r>
      <w:r w:rsidR="00033458">
        <w:rPr>
          <w:rFonts w:asciiTheme="majorBidi" w:hAnsiTheme="majorBidi" w:cstheme="majorBidi"/>
        </w:rPr>
        <w:t>citiem dabas retumiem</w:t>
      </w:r>
      <w:r w:rsidR="00FA1BFF">
        <w:rPr>
          <w:rFonts w:asciiTheme="majorBidi" w:hAnsiTheme="majorBidi" w:cstheme="majorBidi"/>
        </w:rPr>
        <w:t>”</w:t>
      </w:r>
      <w:r w:rsidR="00033458">
        <w:rPr>
          <w:rFonts w:asciiTheme="majorBidi" w:hAnsiTheme="majorBidi" w:cstheme="majorBidi"/>
        </w:rPr>
        <w:t>, nevis aizsargājamiem kokiem.</w:t>
      </w:r>
    </w:p>
    <w:p w14:paraId="73BCB89A" w14:textId="045187FA" w:rsidR="0015428F" w:rsidRDefault="00033458" w:rsidP="005C0D44">
      <w:pPr>
        <w:spacing w:line="276" w:lineRule="auto"/>
        <w:jc w:val="both"/>
        <w:rPr>
          <w:rFonts w:asciiTheme="majorBidi" w:hAnsiTheme="majorBidi" w:cstheme="majorBidi"/>
        </w:rPr>
      </w:pPr>
      <w:r>
        <w:rPr>
          <w:rFonts w:asciiTheme="majorBidi" w:hAnsiTheme="majorBidi" w:cstheme="majorBidi"/>
        </w:rPr>
        <w:tab/>
        <w:t xml:space="preserve">Senatoru kolēģija </w:t>
      </w:r>
      <w:r w:rsidR="00065F20">
        <w:rPr>
          <w:rFonts w:asciiTheme="majorBidi" w:hAnsiTheme="majorBidi" w:cstheme="majorBidi"/>
        </w:rPr>
        <w:t>atzīst</w:t>
      </w:r>
      <w:r>
        <w:rPr>
          <w:rFonts w:asciiTheme="majorBidi" w:hAnsiTheme="majorBidi" w:cstheme="majorBidi"/>
        </w:rPr>
        <w:t xml:space="preserve">, ka apgabaltiesa ir pareizi interpretējusi minētās tiesību normas, savukārt </w:t>
      </w:r>
      <w:r w:rsidR="00A723B7">
        <w:rPr>
          <w:rFonts w:asciiTheme="majorBidi" w:hAnsiTheme="majorBidi" w:cstheme="majorBidi"/>
        </w:rPr>
        <w:t xml:space="preserve">šis kasācijas sūdzības arguments ir nepamatots. No Aizsargājamo teritoriju noteikumu 38.2.apakšpunkta, pat iztulkojot to </w:t>
      </w:r>
      <w:r w:rsidR="00E8413F">
        <w:rPr>
          <w:rFonts w:asciiTheme="majorBidi" w:hAnsiTheme="majorBidi" w:cstheme="majorBidi"/>
        </w:rPr>
        <w:t>sašaurināti</w:t>
      </w:r>
      <w:r w:rsidR="00A723B7">
        <w:rPr>
          <w:rFonts w:asciiTheme="majorBidi" w:hAnsiTheme="majorBidi" w:cstheme="majorBidi"/>
        </w:rPr>
        <w:t xml:space="preserve">, nevar secināt, ka aizsargājami </w:t>
      </w:r>
      <w:r w:rsidR="00F67A5C">
        <w:rPr>
          <w:rFonts w:asciiTheme="majorBidi" w:hAnsiTheme="majorBidi" w:cstheme="majorBidi"/>
        </w:rPr>
        <w:t>var būt</w:t>
      </w:r>
      <w:r w:rsidR="00A723B7">
        <w:rPr>
          <w:rFonts w:asciiTheme="majorBidi" w:hAnsiTheme="majorBidi" w:cstheme="majorBidi"/>
        </w:rPr>
        <w:t xml:space="preserve"> tikai augtspējīgi koki.</w:t>
      </w:r>
      <w:r w:rsidR="0015428F">
        <w:rPr>
          <w:rFonts w:asciiTheme="majorBidi" w:hAnsiTheme="majorBidi" w:cstheme="majorBidi"/>
        </w:rPr>
        <w:t xml:space="preserve"> Tāpat šādu secinājumu nevar izdarīt no </w:t>
      </w:r>
      <w:r w:rsidR="00EB6723">
        <w:rPr>
          <w:rFonts w:asciiTheme="majorBidi" w:hAnsiTheme="majorBidi" w:cstheme="majorBidi"/>
        </w:rPr>
        <w:t xml:space="preserve">citām </w:t>
      </w:r>
      <w:r w:rsidR="0015428F">
        <w:rPr>
          <w:rFonts w:asciiTheme="majorBidi" w:hAnsiTheme="majorBidi" w:cstheme="majorBidi"/>
        </w:rPr>
        <w:t>pieteicējas norādītajām tiesību normām.</w:t>
      </w:r>
    </w:p>
    <w:p w14:paraId="54CC2D9B" w14:textId="215F74A1" w:rsidR="003B0FF6" w:rsidRDefault="0015428F" w:rsidP="005C0D44">
      <w:pPr>
        <w:spacing w:line="276" w:lineRule="auto"/>
        <w:ind w:firstLine="720"/>
        <w:jc w:val="both"/>
        <w:rPr>
          <w:rFonts w:asciiTheme="majorBidi" w:hAnsiTheme="majorBidi" w:cstheme="majorBidi"/>
        </w:rPr>
      </w:pPr>
      <w:r>
        <w:rPr>
          <w:rFonts w:asciiTheme="majorBidi" w:hAnsiTheme="majorBidi" w:cstheme="majorBidi"/>
        </w:rPr>
        <w:t xml:space="preserve">Pieteicēja arī kļūdās, uzskatot, ka Aizsargājamo teritoriju likuma 6.panta pirmajā daļā ietvertajā palīgteikumā minētā </w:t>
      </w:r>
      <w:r w:rsidR="00075F46">
        <w:rPr>
          <w:rFonts w:asciiTheme="majorBidi" w:hAnsiTheme="majorBidi" w:cstheme="majorBidi"/>
        </w:rPr>
        <w:t xml:space="preserve">zinātniska, kultūrvēsturiska, estētiska vai ekoloģiska </w:t>
      </w:r>
      <w:r>
        <w:rPr>
          <w:rFonts w:asciiTheme="majorBidi" w:hAnsiTheme="majorBidi" w:cstheme="majorBidi"/>
        </w:rPr>
        <w:t xml:space="preserve">vērtība ir raksturīga tikai </w:t>
      </w:r>
      <w:r w:rsidR="00FA1BFF">
        <w:rPr>
          <w:rFonts w:asciiTheme="majorBidi" w:hAnsiTheme="majorBidi" w:cstheme="majorBidi"/>
        </w:rPr>
        <w:t>„</w:t>
      </w:r>
      <w:r>
        <w:rPr>
          <w:rFonts w:asciiTheme="majorBidi" w:hAnsiTheme="majorBidi" w:cstheme="majorBidi"/>
        </w:rPr>
        <w:t>citiem dabas retumiem</w:t>
      </w:r>
      <w:r w:rsidR="00FA1BFF">
        <w:rPr>
          <w:rFonts w:asciiTheme="majorBidi" w:hAnsiTheme="majorBidi" w:cstheme="majorBidi"/>
        </w:rPr>
        <w:t>”</w:t>
      </w:r>
      <w:r>
        <w:rPr>
          <w:rFonts w:asciiTheme="majorBidi" w:hAnsiTheme="majorBidi" w:cstheme="majorBidi"/>
        </w:rPr>
        <w:t xml:space="preserve">. Šāda vērtība ir raksturīga visiem dabas </w:t>
      </w:r>
      <w:r>
        <w:rPr>
          <w:rFonts w:asciiTheme="majorBidi" w:hAnsiTheme="majorBidi" w:cstheme="majorBidi"/>
        </w:rPr>
        <w:lastRenderedPageBreak/>
        <w:t>pieminekļiem</w:t>
      </w:r>
      <w:r w:rsidR="006F32AA">
        <w:rPr>
          <w:rFonts w:asciiTheme="majorBidi" w:hAnsiTheme="majorBidi" w:cstheme="majorBidi"/>
        </w:rPr>
        <w:t>, kas uzskaitīti Aizsargājamo teritoriju likuma 6.panta pirmajā daļā</w:t>
      </w:r>
      <w:r>
        <w:rPr>
          <w:rFonts w:asciiTheme="majorBidi" w:hAnsiTheme="majorBidi" w:cstheme="majorBidi"/>
        </w:rPr>
        <w:t xml:space="preserve">. </w:t>
      </w:r>
      <w:r w:rsidR="003B0FF6">
        <w:rPr>
          <w:rFonts w:asciiTheme="majorBidi" w:hAnsiTheme="majorBidi" w:cstheme="majorBidi"/>
        </w:rPr>
        <w:t>Aizsargājamo teritoriju likuma 2.panta otrajā daļā ir noteikts, ka aizsargājamās</w:t>
      </w:r>
      <w:r w:rsidR="00936F92">
        <w:rPr>
          <w:rFonts w:asciiTheme="majorBidi" w:hAnsiTheme="majorBidi" w:cstheme="majorBidi"/>
        </w:rPr>
        <w:t xml:space="preserve"> dabas</w:t>
      </w:r>
      <w:r w:rsidR="003B0FF6">
        <w:rPr>
          <w:rFonts w:asciiTheme="majorBidi" w:hAnsiTheme="majorBidi" w:cstheme="majorBidi"/>
        </w:rPr>
        <w:t xml:space="preserve"> teritorijas (tostarp </w:t>
      </w:r>
      <w:r w:rsidR="00936F92">
        <w:rPr>
          <w:rFonts w:asciiTheme="majorBidi" w:hAnsiTheme="majorBidi" w:cstheme="majorBidi"/>
        </w:rPr>
        <w:t>dabas pieminekļi</w:t>
      </w:r>
      <w:r w:rsidR="003B0FF6">
        <w:rPr>
          <w:rFonts w:asciiTheme="majorBidi" w:hAnsiTheme="majorBidi" w:cstheme="majorBidi"/>
        </w:rPr>
        <w:t>) tiek</w:t>
      </w:r>
      <w:r w:rsidR="00936F92">
        <w:rPr>
          <w:rFonts w:asciiTheme="majorBidi" w:hAnsiTheme="majorBidi" w:cstheme="majorBidi"/>
        </w:rPr>
        <w:t xml:space="preserve"> izveidotas, aizsargātas un apsaimniekotas</w:t>
      </w:r>
      <w:r w:rsidR="003B0FF6">
        <w:rPr>
          <w:rFonts w:asciiTheme="majorBidi" w:hAnsiTheme="majorBidi" w:cstheme="majorBidi"/>
        </w:rPr>
        <w:t xml:space="preserve"> nolūkā aizsargāt un saglabāt dabas daudzveidību, nodrošināt zinātniskos pētījumus un vides pārraudzību, kā arī saglabāt sabiedrības atpūtai, izglītošanai un audzināšanai nozīmīgas teritorijas. </w:t>
      </w:r>
      <w:r w:rsidR="003B0FF6" w:rsidRPr="003B0FF6">
        <w:rPr>
          <w:rFonts w:asciiTheme="majorBidi" w:hAnsiTheme="majorBidi" w:cstheme="majorBidi"/>
        </w:rPr>
        <w:t xml:space="preserve">Augstākās Padomes sēdē, </w:t>
      </w:r>
      <w:r w:rsidR="005C3DF0">
        <w:rPr>
          <w:rFonts w:asciiTheme="majorBidi" w:hAnsiTheme="majorBidi" w:cstheme="majorBidi"/>
        </w:rPr>
        <w:t>skaidrojot likumprojekta mērķi</w:t>
      </w:r>
      <w:r w:rsidR="003B0FF6" w:rsidRPr="003B0FF6">
        <w:rPr>
          <w:rFonts w:asciiTheme="majorBidi" w:hAnsiTheme="majorBidi" w:cstheme="majorBidi"/>
        </w:rPr>
        <w:t xml:space="preserve">, deputāte </w:t>
      </w:r>
      <w:r w:rsidR="005C0D44">
        <w:rPr>
          <w:rFonts w:asciiTheme="majorBidi" w:hAnsiTheme="majorBidi" w:cstheme="majorBidi"/>
        </w:rPr>
        <w:t xml:space="preserve">[Pers. A] </w:t>
      </w:r>
      <w:r w:rsidR="003B0FF6" w:rsidRPr="003B0FF6">
        <w:rPr>
          <w:rFonts w:asciiTheme="majorBidi" w:hAnsiTheme="majorBidi" w:cstheme="majorBidi"/>
        </w:rPr>
        <w:t>norādīja</w:t>
      </w:r>
      <w:r w:rsidR="005C3DF0">
        <w:rPr>
          <w:rFonts w:asciiTheme="majorBidi" w:hAnsiTheme="majorBidi" w:cstheme="majorBidi"/>
        </w:rPr>
        <w:t>, ka „</w:t>
      </w:r>
      <w:r w:rsidR="005C3DF0" w:rsidRPr="005C3DF0">
        <w:rPr>
          <w:rFonts w:asciiTheme="majorBidi" w:hAnsiTheme="majorBidi" w:cstheme="majorBidi"/>
        </w:rPr>
        <w:t xml:space="preserve">Latvijas valstī īpaši aizsargājamo dabas objektu tiesiskajai aizsardzībai ir ļoti sena vēsture. Neskatoties uz kariem un tautsaimniecības vētraino attīstību, mēs šodien esam spējuši saglabāt teritorijas ar estētisku, kultūrvēsturisku un zinātnisku vērtību. </w:t>
      </w:r>
      <w:r w:rsidR="005C3DF0">
        <w:rPr>
          <w:rFonts w:asciiTheme="majorBidi" w:hAnsiTheme="majorBidi" w:cstheme="majorBidi"/>
        </w:rPr>
        <w:t>[..] </w:t>
      </w:r>
      <w:r w:rsidR="005C3DF0" w:rsidRPr="005C3DF0">
        <w:rPr>
          <w:rFonts w:asciiTheme="majorBidi" w:hAnsiTheme="majorBidi" w:cstheme="majorBidi"/>
        </w:rPr>
        <w:t>Sakarā ar zemes reformu gan laukos, gan pilsētās ir nepieciešams jauns likums, kas noteiktu šo īpaši aizsargājamo dabas teritoriju tiesisko statusu dabas resursu privatizācijas apstākļos</w:t>
      </w:r>
      <w:r w:rsidR="005C3DF0">
        <w:rPr>
          <w:rFonts w:asciiTheme="majorBidi" w:hAnsiTheme="majorBidi" w:cstheme="majorBidi"/>
        </w:rPr>
        <w:t>” (</w:t>
      </w:r>
      <w:r w:rsidR="005C3DF0" w:rsidRPr="005C3DF0">
        <w:rPr>
          <w:rFonts w:asciiTheme="majorBidi" w:hAnsiTheme="majorBidi" w:cstheme="majorBidi"/>
          <w:i/>
          <w:iCs/>
        </w:rPr>
        <w:t xml:space="preserve">Latvijas Republikas Augstākās padomes 1993.gada 12.janvāra sēdes </w:t>
      </w:r>
      <w:hyperlink r:id="rId8" w:history="1">
        <w:r w:rsidR="005C3DF0" w:rsidRPr="005C3DF0">
          <w:rPr>
            <w:rStyle w:val="Hyperlink"/>
            <w:rFonts w:asciiTheme="majorBidi" w:hAnsiTheme="majorBidi" w:cstheme="majorBidi"/>
            <w:i/>
            <w:iCs/>
          </w:rPr>
          <w:t>stenogramma</w:t>
        </w:r>
      </w:hyperlink>
      <w:r w:rsidR="005C3DF0">
        <w:rPr>
          <w:rFonts w:asciiTheme="majorBidi" w:hAnsiTheme="majorBidi" w:cstheme="majorBidi"/>
        </w:rPr>
        <w:t xml:space="preserve">). </w:t>
      </w:r>
      <w:r w:rsidR="00936F92">
        <w:rPr>
          <w:rFonts w:asciiTheme="majorBidi" w:hAnsiTheme="majorBidi" w:cstheme="majorBidi"/>
        </w:rPr>
        <w:t>Līdz ar to, interpretējot Aizsargājamo teritoriju likuma 6.panta pirmo daļu kopsakarā ar šā likuma mērķi, neiztur kritiku arguments, ka likumdevējs ir izvēlējies atzīt aizsargājamos kokus par aizsargājamām dabas teritorijām, pamatojoties tikai uz formāliem parametriem</w:t>
      </w:r>
      <w:r w:rsidR="00F6567F">
        <w:rPr>
          <w:rFonts w:asciiTheme="majorBidi" w:hAnsiTheme="majorBidi" w:cstheme="majorBidi"/>
        </w:rPr>
        <w:t xml:space="preserve"> (dzīvotspēja, platums un augstums)</w:t>
      </w:r>
      <w:r w:rsidR="00936F92">
        <w:rPr>
          <w:rFonts w:asciiTheme="majorBidi" w:hAnsiTheme="majorBidi" w:cstheme="majorBidi"/>
        </w:rPr>
        <w:t xml:space="preserve"> un neņemot vērā šo koku vērtību.</w:t>
      </w:r>
      <w:r w:rsidR="00CA383B">
        <w:rPr>
          <w:rFonts w:asciiTheme="majorBidi" w:hAnsiTheme="majorBidi" w:cstheme="majorBidi"/>
        </w:rPr>
        <w:t xml:space="preserve"> Savukārt Aizsargājamo teritoriju noteikumi nav interpretējami atrauti no šā likuma mērķa.</w:t>
      </w:r>
    </w:p>
    <w:p w14:paraId="551C7318" w14:textId="289912FF" w:rsidR="00DE277D" w:rsidRDefault="00CA383B" w:rsidP="005C0D44">
      <w:pPr>
        <w:spacing w:line="276" w:lineRule="auto"/>
        <w:ind w:firstLine="720"/>
        <w:jc w:val="both"/>
        <w:rPr>
          <w:rFonts w:asciiTheme="majorBidi" w:hAnsiTheme="majorBidi" w:cstheme="majorBidi"/>
        </w:rPr>
      </w:pPr>
      <w:r>
        <w:rPr>
          <w:rFonts w:asciiTheme="majorBidi" w:hAnsiTheme="majorBidi" w:cstheme="majorBidi"/>
        </w:rPr>
        <w:t xml:space="preserve">Šādu Aizsargājamo teritoriju likuma 6.panta pirmās daļas interpretāciju apstiprina arī </w:t>
      </w:r>
      <w:r w:rsidR="0015428F">
        <w:rPr>
          <w:rFonts w:asciiTheme="majorBidi" w:hAnsiTheme="majorBidi" w:cstheme="majorBidi"/>
        </w:rPr>
        <w:t>š</w:t>
      </w:r>
      <w:r w:rsidR="00CA5B78">
        <w:rPr>
          <w:rFonts w:asciiTheme="majorBidi" w:hAnsiTheme="majorBidi" w:cstheme="majorBidi"/>
        </w:rPr>
        <w:t>ī</w:t>
      </w:r>
      <w:r w:rsidR="0015428F">
        <w:rPr>
          <w:rFonts w:asciiTheme="majorBidi" w:hAnsiTheme="majorBidi" w:cstheme="majorBidi"/>
        </w:rPr>
        <w:t xml:space="preserve">s tiesību normas sākotnējā redakcija, kurā </w:t>
      </w:r>
      <w:r w:rsidR="00D92AF3">
        <w:rPr>
          <w:rFonts w:asciiTheme="majorBidi" w:hAnsiTheme="majorBidi" w:cstheme="majorBidi"/>
        </w:rPr>
        <w:t xml:space="preserve">likumdevējs sasaistījis dabas veidojumus ar prasību, ka tiem ir jābūt zinātniskai, kultūrvēsturiskai, estētiskai vai ekoloģiskai vērtībai, lai tos varētu atzīt par dabas pieminekļiem. Savukārt labākai dabas veidojumu izpratnei </w:t>
      </w:r>
      <w:r w:rsidR="00A74201">
        <w:rPr>
          <w:rFonts w:asciiTheme="majorBidi" w:hAnsiTheme="majorBidi" w:cstheme="majorBidi"/>
        </w:rPr>
        <w:t>tiesību normā lietots</w:t>
      </w:r>
      <w:r w:rsidR="00D92AF3">
        <w:rPr>
          <w:rFonts w:asciiTheme="majorBidi" w:hAnsiTheme="majorBidi" w:cstheme="majorBidi"/>
        </w:rPr>
        <w:t xml:space="preserve"> atvērt</w:t>
      </w:r>
      <w:r w:rsidR="00E16306">
        <w:rPr>
          <w:rFonts w:asciiTheme="majorBidi" w:hAnsiTheme="majorBidi" w:cstheme="majorBidi"/>
        </w:rPr>
        <w:t>s</w:t>
      </w:r>
      <w:r w:rsidR="00D92AF3">
        <w:rPr>
          <w:rFonts w:asciiTheme="majorBidi" w:hAnsiTheme="majorBidi" w:cstheme="majorBidi"/>
        </w:rPr>
        <w:t xml:space="preserve"> piemērveida uzskaitījum</w:t>
      </w:r>
      <w:r w:rsidR="00FA208A">
        <w:rPr>
          <w:rFonts w:asciiTheme="majorBidi" w:hAnsiTheme="majorBidi" w:cstheme="majorBidi"/>
        </w:rPr>
        <w:t>s</w:t>
      </w:r>
      <w:r w:rsidR="00295DF8">
        <w:rPr>
          <w:rFonts w:asciiTheme="majorBidi" w:hAnsiTheme="majorBidi" w:cstheme="majorBidi"/>
        </w:rPr>
        <w:t xml:space="preserve"> – </w:t>
      </w:r>
      <w:r w:rsidR="00D92AF3">
        <w:rPr>
          <w:rFonts w:asciiTheme="majorBidi" w:hAnsiTheme="majorBidi" w:cstheme="majorBidi"/>
        </w:rPr>
        <w:t>kok</w:t>
      </w:r>
      <w:r w:rsidR="00295DF8">
        <w:rPr>
          <w:rFonts w:asciiTheme="majorBidi" w:hAnsiTheme="majorBidi" w:cstheme="majorBidi"/>
        </w:rPr>
        <w:t>i</w:t>
      </w:r>
      <w:r w:rsidR="00D92AF3">
        <w:rPr>
          <w:rFonts w:asciiTheme="majorBidi" w:hAnsiTheme="majorBidi" w:cstheme="majorBidi"/>
        </w:rPr>
        <w:t>, alas, avot</w:t>
      </w:r>
      <w:r w:rsidR="00295DF8">
        <w:rPr>
          <w:rFonts w:asciiTheme="majorBidi" w:hAnsiTheme="majorBidi" w:cstheme="majorBidi"/>
        </w:rPr>
        <w:t>i</w:t>
      </w:r>
      <w:r w:rsidR="00D92AF3">
        <w:rPr>
          <w:rFonts w:asciiTheme="majorBidi" w:hAnsiTheme="majorBidi" w:cstheme="majorBidi"/>
        </w:rPr>
        <w:t>, gravas, klintis, ūdenskritum</w:t>
      </w:r>
      <w:r w:rsidR="00295DF8">
        <w:rPr>
          <w:rFonts w:asciiTheme="majorBidi" w:hAnsiTheme="majorBidi" w:cstheme="majorBidi"/>
        </w:rPr>
        <w:t>i</w:t>
      </w:r>
      <w:r w:rsidR="00295DA0">
        <w:rPr>
          <w:rFonts w:asciiTheme="majorBidi" w:hAnsiTheme="majorBidi" w:cstheme="majorBidi"/>
        </w:rPr>
        <w:t>, akmeņi</w:t>
      </w:r>
      <w:r w:rsidR="00D92AF3">
        <w:rPr>
          <w:rFonts w:asciiTheme="majorBidi" w:hAnsiTheme="majorBidi" w:cstheme="majorBidi"/>
        </w:rPr>
        <w:t xml:space="preserve"> un cit</w:t>
      </w:r>
      <w:r w:rsidR="00295DF8">
        <w:rPr>
          <w:rFonts w:asciiTheme="majorBidi" w:hAnsiTheme="majorBidi" w:cstheme="majorBidi"/>
        </w:rPr>
        <w:t>i</w:t>
      </w:r>
      <w:r w:rsidR="00D92AF3">
        <w:rPr>
          <w:rFonts w:asciiTheme="majorBidi" w:hAnsiTheme="majorBidi" w:cstheme="majorBidi"/>
        </w:rPr>
        <w:t xml:space="preserve"> dabas retum</w:t>
      </w:r>
      <w:r w:rsidR="00295DF8">
        <w:rPr>
          <w:rFonts w:asciiTheme="majorBidi" w:hAnsiTheme="majorBidi" w:cstheme="majorBidi"/>
        </w:rPr>
        <w:t>i</w:t>
      </w:r>
      <w:r w:rsidR="00D92AF3">
        <w:rPr>
          <w:rFonts w:asciiTheme="majorBidi" w:hAnsiTheme="majorBidi" w:cstheme="majorBidi"/>
        </w:rPr>
        <w:t xml:space="preserve">. </w:t>
      </w:r>
      <w:r w:rsidR="003A0E34">
        <w:rPr>
          <w:rFonts w:asciiTheme="majorBidi" w:hAnsiTheme="majorBidi" w:cstheme="majorBidi"/>
        </w:rPr>
        <w:t>Līdz ar to n</w:t>
      </w:r>
      <w:r w:rsidR="002D007E">
        <w:rPr>
          <w:rFonts w:asciiTheme="majorBidi" w:hAnsiTheme="majorBidi" w:cstheme="majorBidi"/>
        </w:rPr>
        <w:t>e katrs šajā uzskaitījumā ietvertais</w:t>
      </w:r>
      <w:r w:rsidR="00E07B93">
        <w:rPr>
          <w:rFonts w:asciiTheme="majorBidi" w:hAnsiTheme="majorBidi" w:cstheme="majorBidi"/>
        </w:rPr>
        <w:t xml:space="preserve"> </w:t>
      </w:r>
      <w:r w:rsidR="000A5C94">
        <w:rPr>
          <w:rFonts w:asciiTheme="majorBidi" w:hAnsiTheme="majorBidi" w:cstheme="majorBidi"/>
        </w:rPr>
        <w:t>dabas veidojum</w:t>
      </w:r>
      <w:r w:rsidR="00790BB2">
        <w:rPr>
          <w:rFonts w:asciiTheme="majorBidi" w:hAnsiTheme="majorBidi" w:cstheme="majorBidi"/>
        </w:rPr>
        <w:t>s</w:t>
      </w:r>
      <w:r w:rsidR="00914A01">
        <w:rPr>
          <w:rFonts w:asciiTheme="majorBidi" w:hAnsiTheme="majorBidi" w:cstheme="majorBidi"/>
        </w:rPr>
        <w:t xml:space="preserve"> </w:t>
      </w:r>
      <w:r w:rsidR="004D1A8B">
        <w:rPr>
          <w:rFonts w:asciiTheme="majorBidi" w:hAnsiTheme="majorBidi" w:cstheme="majorBidi"/>
        </w:rPr>
        <w:t>būtu atzīstam</w:t>
      </w:r>
      <w:r w:rsidR="009F036C">
        <w:rPr>
          <w:rFonts w:asciiTheme="majorBidi" w:hAnsiTheme="majorBidi" w:cstheme="majorBidi"/>
        </w:rPr>
        <w:t>s</w:t>
      </w:r>
      <w:r w:rsidR="004D1A8B">
        <w:rPr>
          <w:rFonts w:asciiTheme="majorBidi" w:hAnsiTheme="majorBidi" w:cstheme="majorBidi"/>
        </w:rPr>
        <w:t xml:space="preserve"> par dabas </w:t>
      </w:r>
      <w:r w:rsidR="00914A01">
        <w:rPr>
          <w:rFonts w:asciiTheme="majorBidi" w:hAnsiTheme="majorBidi" w:cstheme="majorBidi"/>
        </w:rPr>
        <w:t>pieminekli</w:t>
      </w:r>
      <w:r w:rsidR="004D1A8B">
        <w:rPr>
          <w:rFonts w:asciiTheme="majorBidi" w:hAnsiTheme="majorBidi" w:cstheme="majorBidi"/>
        </w:rPr>
        <w:t>, ja t</w:t>
      </w:r>
      <w:r w:rsidR="00914A01">
        <w:rPr>
          <w:rFonts w:asciiTheme="majorBidi" w:hAnsiTheme="majorBidi" w:cstheme="majorBidi"/>
        </w:rPr>
        <w:t>a</w:t>
      </w:r>
      <w:r w:rsidR="004D1A8B">
        <w:rPr>
          <w:rFonts w:asciiTheme="majorBidi" w:hAnsiTheme="majorBidi" w:cstheme="majorBidi"/>
        </w:rPr>
        <w:t>m nebūtu attiecīgas vērtības</w:t>
      </w:r>
      <w:r w:rsidR="00075F46">
        <w:rPr>
          <w:rFonts w:asciiTheme="majorBidi" w:hAnsiTheme="majorBidi" w:cstheme="majorBidi"/>
        </w:rPr>
        <w:t>. Lai gan šobrīd šajā tiesību normā ir ietverts precizēts dabas veidojumu uzskaitījums, nav mainīj</w:t>
      </w:r>
      <w:r w:rsidR="00163A4D">
        <w:rPr>
          <w:rFonts w:asciiTheme="majorBidi" w:hAnsiTheme="majorBidi" w:cstheme="majorBidi"/>
        </w:rPr>
        <w:t>ies</w:t>
      </w:r>
      <w:r w:rsidR="00075F46">
        <w:rPr>
          <w:rFonts w:asciiTheme="majorBidi" w:hAnsiTheme="majorBidi" w:cstheme="majorBidi"/>
        </w:rPr>
        <w:t xml:space="preserve"> tiesību normas mērķis aizsargāt tieši tos dabas veidojumus, kuriem</w:t>
      </w:r>
      <w:r w:rsidR="00075F46" w:rsidRPr="00075F46">
        <w:rPr>
          <w:rFonts w:asciiTheme="majorBidi" w:hAnsiTheme="majorBidi" w:cstheme="majorBidi"/>
        </w:rPr>
        <w:t xml:space="preserve"> ir zinātniska, kultūrvēsturiska, estētiska vai ekoloģiska vērtība</w:t>
      </w:r>
      <w:r w:rsidR="00075F46">
        <w:rPr>
          <w:rFonts w:asciiTheme="majorBidi" w:hAnsiTheme="majorBidi" w:cstheme="majorBidi"/>
        </w:rPr>
        <w:t>.</w:t>
      </w:r>
      <w:r>
        <w:rPr>
          <w:rFonts w:asciiTheme="majorBidi" w:hAnsiTheme="majorBidi" w:cstheme="majorBidi"/>
        </w:rPr>
        <w:t xml:space="preserve"> </w:t>
      </w:r>
      <w:r w:rsidR="003B0FF6">
        <w:rPr>
          <w:rFonts w:asciiTheme="majorBidi" w:hAnsiTheme="majorBidi" w:cstheme="majorBidi"/>
        </w:rPr>
        <w:t xml:space="preserve">Tiesa </w:t>
      </w:r>
      <w:r>
        <w:rPr>
          <w:rFonts w:asciiTheme="majorBidi" w:hAnsiTheme="majorBidi" w:cstheme="majorBidi"/>
        </w:rPr>
        <w:t xml:space="preserve">spriedumā ir sniegusi izsmeļošu izvērtējumu šim aspektam un pamatoti secinājusi, ka </w:t>
      </w:r>
      <w:r w:rsidR="00936F92">
        <w:rPr>
          <w:rFonts w:asciiTheme="majorBidi" w:hAnsiTheme="majorBidi" w:cstheme="majorBidi"/>
        </w:rPr>
        <w:t xml:space="preserve">nozāģētajam dižkokam joprojām piemīt </w:t>
      </w:r>
      <w:r>
        <w:rPr>
          <w:rFonts w:asciiTheme="majorBidi" w:hAnsiTheme="majorBidi" w:cstheme="majorBidi"/>
        </w:rPr>
        <w:t xml:space="preserve">šāda vērtība </w:t>
      </w:r>
      <w:r w:rsidR="003B0FF6">
        <w:rPr>
          <w:rFonts w:asciiTheme="majorBidi" w:hAnsiTheme="majorBidi" w:cstheme="majorBidi"/>
        </w:rPr>
        <w:t>(</w:t>
      </w:r>
      <w:r w:rsidR="003B0FF6" w:rsidRPr="00442F09">
        <w:rPr>
          <w:rFonts w:asciiTheme="majorBidi" w:hAnsiTheme="majorBidi" w:cstheme="majorBidi"/>
          <w:i/>
          <w:iCs/>
        </w:rPr>
        <w:t>pārsūdzētā sprieduma 4.4., 4.5., 9., 15. un 16.punkts</w:t>
      </w:r>
      <w:r w:rsidR="003B0FF6">
        <w:rPr>
          <w:rFonts w:asciiTheme="majorBidi" w:hAnsiTheme="majorBidi" w:cstheme="majorBidi"/>
        </w:rPr>
        <w:t>).</w:t>
      </w:r>
    </w:p>
    <w:p w14:paraId="45D223AC" w14:textId="37C3DE3D" w:rsidR="00727077" w:rsidRDefault="00727077" w:rsidP="005C0D44">
      <w:pPr>
        <w:spacing w:line="276" w:lineRule="auto"/>
        <w:ind w:firstLine="720"/>
        <w:jc w:val="both"/>
        <w:rPr>
          <w:rFonts w:asciiTheme="majorBidi" w:hAnsiTheme="majorBidi" w:cstheme="majorBidi"/>
        </w:rPr>
      </w:pPr>
      <w:r>
        <w:rPr>
          <w:rFonts w:asciiTheme="majorBidi" w:hAnsiTheme="majorBidi" w:cstheme="majorBidi"/>
        </w:rPr>
        <w:t>Senatoru kolēģija secina, ka šis kasācijas sūdzības arguments nerada šaubas par pārsūdzētā sprieduma tiesiskumu.</w:t>
      </w:r>
    </w:p>
    <w:p w14:paraId="671A379C" w14:textId="77777777" w:rsidR="00A50150" w:rsidRDefault="00A50150" w:rsidP="005C0D44">
      <w:pPr>
        <w:spacing w:line="276" w:lineRule="auto"/>
        <w:ind w:firstLine="720"/>
        <w:rPr>
          <w:rFonts w:asciiTheme="majorBidi" w:hAnsiTheme="majorBidi" w:cstheme="majorBidi"/>
        </w:rPr>
      </w:pPr>
    </w:p>
    <w:p w14:paraId="73D44C70" w14:textId="2420F8F7" w:rsidR="00A50150" w:rsidRDefault="00D27BEF" w:rsidP="005C0D44">
      <w:pPr>
        <w:spacing w:line="276" w:lineRule="auto"/>
        <w:ind w:firstLine="720"/>
        <w:jc w:val="both"/>
        <w:rPr>
          <w:rFonts w:asciiTheme="majorBidi" w:hAnsiTheme="majorBidi" w:cstheme="majorBidi"/>
        </w:rPr>
      </w:pPr>
      <w:r>
        <w:rPr>
          <w:rFonts w:asciiTheme="majorBidi" w:hAnsiTheme="majorBidi" w:cstheme="majorBidi"/>
        </w:rPr>
        <w:t>[3] </w:t>
      </w:r>
      <w:r w:rsidR="00434C2E">
        <w:rPr>
          <w:rFonts w:asciiTheme="majorBidi" w:hAnsiTheme="majorBidi" w:cstheme="majorBidi"/>
        </w:rPr>
        <w:t>Pieteicējas ieskatā tiesa ir nepareizi interpretējusi un nepamatoti piemērojusi Aizsargājamo teritoriju noteikumu 46.2.apakšpunktu</w:t>
      </w:r>
      <w:r w:rsidR="009D587E">
        <w:rPr>
          <w:rFonts w:asciiTheme="majorBidi" w:hAnsiTheme="majorBidi" w:cstheme="majorBidi"/>
        </w:rPr>
        <w:t>.</w:t>
      </w:r>
      <w:r w:rsidR="001A50DA">
        <w:rPr>
          <w:rFonts w:asciiTheme="majorBidi" w:hAnsiTheme="majorBidi" w:cstheme="majorBidi"/>
        </w:rPr>
        <w:t xml:space="preserve"> Šī tiesību norma neattiecoties uz situācijām, kad jālemj par jau bojā gājuša koka pārvietošanu. Pieteicēja</w:t>
      </w:r>
      <w:r w:rsidR="00A474C9">
        <w:rPr>
          <w:rFonts w:asciiTheme="majorBidi" w:hAnsiTheme="majorBidi" w:cstheme="majorBidi"/>
        </w:rPr>
        <w:t>s</w:t>
      </w:r>
      <w:r w:rsidR="001A50DA">
        <w:rPr>
          <w:rFonts w:asciiTheme="majorBidi" w:hAnsiTheme="majorBidi" w:cstheme="majorBidi"/>
        </w:rPr>
        <w:t xml:space="preserve"> ieskatā šajā normā ietvertais jēdziens „novākt” </w:t>
      </w:r>
      <w:r w:rsidR="00686785">
        <w:rPr>
          <w:rFonts w:asciiTheme="majorBidi" w:hAnsiTheme="majorBidi" w:cstheme="majorBidi"/>
        </w:rPr>
        <w:t xml:space="preserve">vien </w:t>
      </w:r>
      <w:r w:rsidR="001A50DA">
        <w:rPr>
          <w:rFonts w:asciiTheme="majorBidi" w:hAnsiTheme="majorBidi" w:cstheme="majorBidi"/>
        </w:rPr>
        <w:t xml:space="preserve">paskaidro vārdu „nocirst”. No Aizsargājamo teritoriju noteikumu grozījumu anotācijas izrietot, ka šīs </w:t>
      </w:r>
      <w:r w:rsidR="00B10607">
        <w:rPr>
          <w:rFonts w:asciiTheme="majorBidi" w:hAnsiTheme="majorBidi" w:cstheme="majorBidi"/>
        </w:rPr>
        <w:t xml:space="preserve">tiesību </w:t>
      </w:r>
      <w:r w:rsidR="001A50DA">
        <w:rPr>
          <w:rFonts w:asciiTheme="majorBidi" w:hAnsiTheme="majorBidi" w:cstheme="majorBidi"/>
        </w:rPr>
        <w:t>normas mērķis bija risināt jautājumus par augošu dižkoku nociršanu un novākšanu, kad tas nepieciešams dažādas valsts vai reģionālās nozīmes infrastruktūras būvniecībai</w:t>
      </w:r>
      <w:r w:rsidR="00434516">
        <w:rPr>
          <w:rFonts w:asciiTheme="majorBidi" w:hAnsiTheme="majorBidi" w:cstheme="majorBidi"/>
        </w:rPr>
        <w:t>. Šī tiesību norma esot jāinterpretē, izmantojot</w:t>
      </w:r>
      <w:r w:rsidR="00686785">
        <w:rPr>
          <w:rFonts w:asciiTheme="majorBidi" w:hAnsiTheme="majorBidi" w:cstheme="majorBidi"/>
        </w:rPr>
        <w:t xml:space="preserve"> arī</w:t>
      </w:r>
      <w:r w:rsidR="00434516">
        <w:rPr>
          <w:rFonts w:asciiTheme="majorBidi" w:hAnsiTheme="majorBidi" w:cstheme="majorBidi"/>
        </w:rPr>
        <w:t xml:space="preserve"> teleoloģisko metodi, un šīs neskaidrās tiesību normas ietvaros esot jāveicina privātpersonas tiesību un tiesisko interešu aizsardzība atbilstoši privātpersonas tiesību ievērošanas principam</w:t>
      </w:r>
      <w:r w:rsidR="00FA54F8">
        <w:rPr>
          <w:rFonts w:asciiTheme="majorBidi" w:hAnsiTheme="majorBidi" w:cstheme="majorBidi"/>
        </w:rPr>
        <w:t xml:space="preserve"> (</w:t>
      </w:r>
      <w:r w:rsidR="00FA54F8" w:rsidRPr="00056050">
        <w:rPr>
          <w:rFonts w:asciiTheme="majorBidi" w:hAnsiTheme="majorBidi" w:cstheme="majorBidi"/>
          <w:i/>
          <w:iCs/>
        </w:rPr>
        <w:t>in dubio pro civis</w:t>
      </w:r>
      <w:r w:rsidR="00FA54F8">
        <w:rPr>
          <w:rFonts w:asciiTheme="majorBidi" w:hAnsiTheme="majorBidi" w:cstheme="majorBidi"/>
        </w:rPr>
        <w:t>)</w:t>
      </w:r>
      <w:r w:rsidR="00434516">
        <w:rPr>
          <w:rFonts w:asciiTheme="majorBidi" w:hAnsiTheme="majorBidi" w:cstheme="majorBidi"/>
        </w:rPr>
        <w:t>.</w:t>
      </w:r>
    </w:p>
    <w:p w14:paraId="67DD3D8F" w14:textId="5E942A7A" w:rsidR="00120DB9" w:rsidRDefault="00A474C9" w:rsidP="005C0D44">
      <w:pPr>
        <w:spacing w:line="276" w:lineRule="auto"/>
        <w:ind w:firstLine="720"/>
        <w:jc w:val="both"/>
        <w:rPr>
          <w:rFonts w:asciiTheme="majorBidi" w:hAnsiTheme="majorBidi" w:cstheme="majorBidi"/>
        </w:rPr>
      </w:pPr>
      <w:r w:rsidRPr="004A3029">
        <w:rPr>
          <w:rFonts w:asciiTheme="majorBidi" w:hAnsiTheme="majorBidi" w:cstheme="majorBidi"/>
        </w:rPr>
        <w:t xml:space="preserve">Senatoru kolēģija </w:t>
      </w:r>
      <w:r w:rsidR="00B85351" w:rsidRPr="004A3029">
        <w:rPr>
          <w:rFonts w:asciiTheme="majorBidi" w:hAnsiTheme="majorBidi" w:cstheme="majorBidi"/>
        </w:rPr>
        <w:t>atzīst</w:t>
      </w:r>
      <w:r w:rsidRPr="004A3029">
        <w:rPr>
          <w:rFonts w:asciiTheme="majorBidi" w:hAnsiTheme="majorBidi" w:cstheme="majorBidi"/>
        </w:rPr>
        <w:t>, ka apgabaltiesa ir pareizi interpretējusi</w:t>
      </w:r>
      <w:r>
        <w:rPr>
          <w:rFonts w:asciiTheme="majorBidi" w:hAnsiTheme="majorBidi" w:cstheme="majorBidi"/>
        </w:rPr>
        <w:t xml:space="preserve"> Aizsargājamo teritoriju noteikumu 46.2.apakšpunktu</w:t>
      </w:r>
      <w:r w:rsidR="00944D4C">
        <w:rPr>
          <w:rFonts w:asciiTheme="majorBidi" w:hAnsiTheme="majorBidi" w:cstheme="majorBidi"/>
        </w:rPr>
        <w:t xml:space="preserve"> (</w:t>
      </w:r>
      <w:r w:rsidR="00944D4C" w:rsidRPr="00FA6FD3">
        <w:rPr>
          <w:rFonts w:asciiTheme="majorBidi" w:hAnsiTheme="majorBidi" w:cstheme="majorBidi"/>
          <w:i/>
          <w:iCs/>
        </w:rPr>
        <w:t xml:space="preserve">pārsūdzētā sprieduma 4.4., </w:t>
      </w:r>
      <w:r w:rsidR="00FA6FD3" w:rsidRPr="00FA6FD3">
        <w:rPr>
          <w:rFonts w:asciiTheme="majorBidi" w:hAnsiTheme="majorBidi" w:cstheme="majorBidi"/>
          <w:i/>
          <w:iCs/>
        </w:rPr>
        <w:t xml:space="preserve">9. un </w:t>
      </w:r>
      <w:r w:rsidR="00944D4C" w:rsidRPr="00FA6FD3">
        <w:rPr>
          <w:rFonts w:asciiTheme="majorBidi" w:hAnsiTheme="majorBidi" w:cstheme="majorBidi"/>
          <w:i/>
          <w:iCs/>
        </w:rPr>
        <w:t>13.</w:t>
      </w:r>
      <w:r w:rsidR="00FA6FD3" w:rsidRPr="00FA6FD3">
        <w:rPr>
          <w:rFonts w:asciiTheme="majorBidi" w:hAnsiTheme="majorBidi" w:cstheme="majorBidi"/>
          <w:i/>
          <w:iCs/>
        </w:rPr>
        <w:t>punkts</w:t>
      </w:r>
      <w:r w:rsidR="00FA6FD3">
        <w:rPr>
          <w:rFonts w:asciiTheme="majorBidi" w:hAnsiTheme="majorBidi" w:cstheme="majorBidi"/>
        </w:rPr>
        <w:t>)</w:t>
      </w:r>
      <w:r>
        <w:rPr>
          <w:rFonts w:asciiTheme="majorBidi" w:hAnsiTheme="majorBidi" w:cstheme="majorBidi"/>
        </w:rPr>
        <w:t>.</w:t>
      </w:r>
    </w:p>
    <w:p w14:paraId="1C63ACA8" w14:textId="67018B3D" w:rsidR="00A50150" w:rsidRDefault="00A474C9" w:rsidP="005C0D44">
      <w:pPr>
        <w:spacing w:line="276" w:lineRule="auto"/>
        <w:ind w:firstLine="720"/>
        <w:jc w:val="both"/>
        <w:rPr>
          <w:rFonts w:asciiTheme="majorBidi" w:hAnsiTheme="majorBidi" w:cstheme="majorBidi"/>
        </w:rPr>
      </w:pPr>
      <w:r>
        <w:rPr>
          <w:rFonts w:asciiTheme="majorBidi" w:hAnsiTheme="majorBidi" w:cstheme="majorBidi"/>
        </w:rPr>
        <w:t xml:space="preserve">Senatoru kolēģija piekrīt pieteicējai, ka no </w:t>
      </w:r>
      <w:r w:rsidR="003A5E8E">
        <w:rPr>
          <w:rFonts w:asciiTheme="majorBidi" w:hAnsiTheme="majorBidi" w:cstheme="majorBidi"/>
        </w:rPr>
        <w:t xml:space="preserve">Aizsargājamo teritoriju noteikumu </w:t>
      </w:r>
      <w:r>
        <w:rPr>
          <w:rFonts w:asciiTheme="majorBidi" w:hAnsiTheme="majorBidi" w:cstheme="majorBidi"/>
        </w:rPr>
        <w:t xml:space="preserve">2023.gada 27.jūnija grozījumu anotācijas izriet, ka šo noteikumu 46.punkta grozīšanas galvenais mērķis bija </w:t>
      </w:r>
      <w:r w:rsidRPr="00A474C9">
        <w:rPr>
          <w:rFonts w:asciiTheme="majorBidi" w:hAnsiTheme="majorBidi" w:cstheme="majorBidi"/>
        </w:rPr>
        <w:t>noteikt pamatotus izņēmuma gadījumus, kuros pieļaujama aizsargājamo koku nociršan</w:t>
      </w:r>
      <w:r>
        <w:rPr>
          <w:rFonts w:asciiTheme="majorBidi" w:hAnsiTheme="majorBidi" w:cstheme="majorBidi"/>
        </w:rPr>
        <w:t>a</w:t>
      </w:r>
      <w:r w:rsidRPr="00A474C9">
        <w:rPr>
          <w:rFonts w:asciiTheme="majorBidi" w:hAnsiTheme="majorBidi" w:cstheme="majorBidi"/>
        </w:rPr>
        <w:t xml:space="preserve"> (novākšan</w:t>
      </w:r>
      <w:r>
        <w:rPr>
          <w:rFonts w:asciiTheme="majorBidi" w:hAnsiTheme="majorBidi" w:cstheme="majorBidi"/>
        </w:rPr>
        <w:t>a</w:t>
      </w:r>
      <w:r w:rsidRPr="00A474C9">
        <w:rPr>
          <w:rFonts w:asciiTheme="majorBidi" w:hAnsiTheme="majorBidi" w:cstheme="majorBidi"/>
        </w:rPr>
        <w:t>)</w:t>
      </w:r>
      <w:r>
        <w:rPr>
          <w:rFonts w:asciiTheme="majorBidi" w:hAnsiTheme="majorBidi" w:cstheme="majorBidi"/>
        </w:rPr>
        <w:t>,</w:t>
      </w:r>
      <w:r w:rsidRPr="00A474C9">
        <w:rPr>
          <w:rFonts w:asciiTheme="majorBidi" w:hAnsiTheme="majorBidi" w:cstheme="majorBidi"/>
        </w:rPr>
        <w:t xml:space="preserve"> arī kad tas ir nepieciešams dažādas valsts nozīmes infrastruktūras būvniecībai</w:t>
      </w:r>
      <w:r>
        <w:rPr>
          <w:rFonts w:asciiTheme="majorBidi" w:hAnsiTheme="majorBidi" w:cstheme="majorBidi"/>
        </w:rPr>
        <w:t xml:space="preserve"> (</w:t>
      </w:r>
      <w:r w:rsidRPr="00A474C9">
        <w:rPr>
          <w:rFonts w:asciiTheme="majorBidi" w:hAnsiTheme="majorBidi" w:cstheme="majorBidi"/>
          <w:i/>
          <w:iCs/>
        </w:rPr>
        <w:t>Ministru kabineta noteikumu projekta Nr. 22</w:t>
      </w:r>
      <w:r w:rsidRPr="00A474C9">
        <w:rPr>
          <w:rFonts w:asciiTheme="majorBidi" w:hAnsiTheme="majorBidi" w:cstheme="majorBidi"/>
          <w:i/>
          <w:iCs/>
        </w:rPr>
        <w:noBreakHyphen/>
        <w:t>TA</w:t>
      </w:r>
      <w:r w:rsidRPr="00A474C9">
        <w:rPr>
          <w:rFonts w:asciiTheme="majorBidi" w:hAnsiTheme="majorBidi" w:cstheme="majorBidi"/>
          <w:i/>
          <w:iCs/>
        </w:rPr>
        <w:noBreakHyphen/>
        <w:t xml:space="preserve">3576 </w:t>
      </w:r>
      <w:hyperlink r:id="rId9" w:history="1">
        <w:r w:rsidRPr="00A474C9">
          <w:rPr>
            <w:rStyle w:val="Hyperlink"/>
            <w:rFonts w:asciiTheme="majorBidi" w:hAnsiTheme="majorBidi" w:cstheme="majorBidi"/>
            <w:i/>
            <w:iCs/>
          </w:rPr>
          <w:t>anotācija</w:t>
        </w:r>
      </w:hyperlink>
      <w:r>
        <w:rPr>
          <w:rFonts w:asciiTheme="majorBidi" w:hAnsiTheme="majorBidi" w:cstheme="majorBidi"/>
        </w:rPr>
        <w:t>). Vienlaikus Senāts ir atzinis, ka normatīvā akta projekta</w:t>
      </w:r>
      <w:r w:rsidRPr="00A474C9">
        <w:rPr>
          <w:rFonts w:asciiTheme="majorBidi" w:hAnsiTheme="majorBidi" w:cstheme="majorBidi"/>
        </w:rPr>
        <w:t xml:space="preserve"> anotācija kā tiesību palīgavots var tikt izmantot</w:t>
      </w:r>
      <w:r>
        <w:rPr>
          <w:rFonts w:asciiTheme="majorBidi" w:hAnsiTheme="majorBidi" w:cstheme="majorBidi"/>
        </w:rPr>
        <w:t>s</w:t>
      </w:r>
      <w:r w:rsidRPr="00A474C9">
        <w:rPr>
          <w:rFonts w:asciiTheme="majorBidi" w:hAnsiTheme="majorBidi" w:cstheme="majorBidi"/>
        </w:rPr>
        <w:t xml:space="preserve"> </w:t>
      </w:r>
      <w:r w:rsidR="002B2E97">
        <w:rPr>
          <w:rFonts w:asciiTheme="majorBidi" w:hAnsiTheme="majorBidi" w:cstheme="majorBidi"/>
        </w:rPr>
        <w:t>normatīvajā aktā</w:t>
      </w:r>
      <w:r w:rsidRPr="00A474C9">
        <w:rPr>
          <w:rFonts w:asciiTheme="majorBidi" w:hAnsiTheme="majorBidi" w:cstheme="majorBidi"/>
        </w:rPr>
        <w:t xml:space="preserve"> ietvertas tiesību normas jēgas un mērķa noskaidrošanā, bet tikai tiktāl, ciktāl anotācijā ietvertie apsvērumi un ieceres atspoguļotas pieņemtā </w:t>
      </w:r>
      <w:r w:rsidR="002B2E97">
        <w:rPr>
          <w:rFonts w:asciiTheme="majorBidi" w:hAnsiTheme="majorBidi" w:cstheme="majorBidi"/>
        </w:rPr>
        <w:t>normatīvā akta</w:t>
      </w:r>
      <w:r w:rsidRPr="00A474C9">
        <w:rPr>
          <w:rFonts w:asciiTheme="majorBidi" w:hAnsiTheme="majorBidi" w:cstheme="majorBidi"/>
        </w:rPr>
        <w:t xml:space="preserve"> tekstā</w:t>
      </w:r>
      <w:r>
        <w:rPr>
          <w:rFonts w:asciiTheme="majorBidi" w:hAnsiTheme="majorBidi" w:cstheme="majorBidi"/>
        </w:rPr>
        <w:t xml:space="preserve"> (</w:t>
      </w:r>
      <w:r w:rsidR="00120DB9" w:rsidRPr="00120DB9">
        <w:rPr>
          <w:rFonts w:asciiTheme="majorBidi" w:hAnsiTheme="majorBidi" w:cstheme="majorBidi"/>
          <w:i/>
          <w:iCs/>
        </w:rPr>
        <w:t>Senāta 2024.gada 27.februāra sprieduma lietā Nr. SKA</w:t>
      </w:r>
      <w:r w:rsidR="00120DB9" w:rsidRPr="00120DB9">
        <w:rPr>
          <w:rFonts w:asciiTheme="majorBidi" w:hAnsiTheme="majorBidi" w:cstheme="majorBidi"/>
          <w:i/>
          <w:iCs/>
        </w:rPr>
        <w:noBreakHyphen/>
        <w:t xml:space="preserve">335/2024, </w:t>
      </w:r>
      <w:hyperlink r:id="rId10" w:history="1">
        <w:r w:rsidR="00120DB9" w:rsidRPr="00120DB9">
          <w:rPr>
            <w:rStyle w:val="Hyperlink"/>
            <w:rFonts w:asciiTheme="majorBidi" w:hAnsiTheme="majorBidi" w:cstheme="majorBidi"/>
            <w:i/>
            <w:iCs/>
          </w:rPr>
          <w:t>ECLI:LV:AT:2024:0227.A420214322.9.S</w:t>
        </w:r>
      </w:hyperlink>
      <w:r w:rsidR="00120DB9" w:rsidRPr="00120DB9">
        <w:rPr>
          <w:rFonts w:asciiTheme="majorBidi" w:hAnsiTheme="majorBidi" w:cstheme="majorBidi"/>
          <w:i/>
          <w:iCs/>
        </w:rPr>
        <w:t>, 8.punkts</w:t>
      </w:r>
      <w:r w:rsidR="00120DB9">
        <w:rPr>
          <w:rFonts w:asciiTheme="majorBidi" w:hAnsiTheme="majorBidi" w:cstheme="majorBidi"/>
        </w:rPr>
        <w:t>)</w:t>
      </w:r>
      <w:r w:rsidRPr="00A474C9">
        <w:rPr>
          <w:rFonts w:asciiTheme="majorBidi" w:hAnsiTheme="majorBidi" w:cstheme="majorBidi"/>
        </w:rPr>
        <w:t>.</w:t>
      </w:r>
      <w:r w:rsidR="00120DB9">
        <w:rPr>
          <w:rFonts w:asciiTheme="majorBidi" w:hAnsiTheme="majorBidi" w:cstheme="majorBidi"/>
        </w:rPr>
        <w:t xml:space="preserve"> Aizsargājamo teritoriju noteikumu 46.punktā ir ietverti trīs gadījumi, kuros ir atļauts nocirst, novākt vai pārstādīt aizsargājamo koku, savukārt anotācijā izklāstītais mērķis </w:t>
      </w:r>
      <w:r w:rsidR="002B2E97">
        <w:rPr>
          <w:rFonts w:asciiTheme="majorBidi" w:hAnsiTheme="majorBidi" w:cstheme="majorBidi"/>
        </w:rPr>
        <w:t xml:space="preserve">pamatā </w:t>
      </w:r>
      <w:r w:rsidR="00120DB9">
        <w:rPr>
          <w:rFonts w:asciiTheme="majorBidi" w:hAnsiTheme="majorBidi" w:cstheme="majorBidi"/>
        </w:rPr>
        <w:t>attiecas tikai uz vienu no šiem gadījumiem</w:t>
      </w:r>
      <w:r w:rsidR="001F0583">
        <w:rPr>
          <w:rFonts w:asciiTheme="majorBidi" w:hAnsiTheme="majorBidi" w:cstheme="majorBidi"/>
        </w:rPr>
        <w:t xml:space="preserve"> (46.3.apakšpunktu)</w:t>
      </w:r>
      <w:r w:rsidR="00120DB9">
        <w:rPr>
          <w:rFonts w:asciiTheme="majorBidi" w:hAnsiTheme="majorBidi" w:cstheme="majorBidi"/>
        </w:rPr>
        <w:t xml:space="preserve">. Līdz ar to anotācija pati par sevi </w:t>
      </w:r>
      <w:r w:rsidR="00A402D7">
        <w:rPr>
          <w:rFonts w:asciiTheme="majorBidi" w:hAnsiTheme="majorBidi" w:cstheme="majorBidi"/>
        </w:rPr>
        <w:t xml:space="preserve">konkrētajā gadījumā </w:t>
      </w:r>
      <w:r w:rsidR="00120DB9">
        <w:rPr>
          <w:rFonts w:asciiTheme="majorBidi" w:hAnsiTheme="majorBidi" w:cstheme="majorBidi"/>
        </w:rPr>
        <w:t xml:space="preserve">nav </w:t>
      </w:r>
      <w:r w:rsidR="00E11DC3">
        <w:rPr>
          <w:rFonts w:asciiTheme="majorBidi" w:hAnsiTheme="majorBidi" w:cstheme="majorBidi"/>
        </w:rPr>
        <w:t>pieti</w:t>
      </w:r>
      <w:r w:rsidR="009A6D43">
        <w:rPr>
          <w:rFonts w:asciiTheme="majorBidi" w:hAnsiTheme="majorBidi" w:cstheme="majorBidi"/>
        </w:rPr>
        <w:t>e</w:t>
      </w:r>
      <w:r w:rsidR="00E11DC3">
        <w:rPr>
          <w:rFonts w:asciiTheme="majorBidi" w:hAnsiTheme="majorBidi" w:cstheme="majorBidi"/>
        </w:rPr>
        <w:t xml:space="preserve">kams </w:t>
      </w:r>
      <w:r w:rsidR="00120DB9">
        <w:rPr>
          <w:rFonts w:asciiTheme="majorBidi" w:hAnsiTheme="majorBidi" w:cstheme="majorBidi"/>
        </w:rPr>
        <w:t>p</w:t>
      </w:r>
      <w:r w:rsidR="00CD039A">
        <w:rPr>
          <w:rFonts w:asciiTheme="majorBidi" w:hAnsiTheme="majorBidi" w:cstheme="majorBidi"/>
        </w:rPr>
        <w:t xml:space="preserve">amats izdarīt </w:t>
      </w:r>
      <w:r w:rsidR="00480C74">
        <w:rPr>
          <w:rFonts w:asciiTheme="majorBidi" w:hAnsiTheme="majorBidi" w:cstheme="majorBidi"/>
        </w:rPr>
        <w:t xml:space="preserve">tiesību normas tekstam </w:t>
      </w:r>
      <w:r w:rsidR="00CD039A">
        <w:rPr>
          <w:rFonts w:asciiTheme="majorBidi" w:hAnsiTheme="majorBidi" w:cstheme="majorBidi"/>
        </w:rPr>
        <w:t>pretējus secinājumus par šo noteikumu 46.2.apakšpunkta mērķi</w:t>
      </w:r>
      <w:r w:rsidR="00120DB9">
        <w:rPr>
          <w:rFonts w:asciiTheme="majorBidi" w:hAnsiTheme="majorBidi" w:cstheme="majorBidi"/>
        </w:rPr>
        <w:t>.</w:t>
      </w:r>
    </w:p>
    <w:p w14:paraId="108620A3" w14:textId="24958157" w:rsidR="00125F38" w:rsidRDefault="00125F38" w:rsidP="005C0D44">
      <w:pPr>
        <w:spacing w:line="276" w:lineRule="auto"/>
        <w:ind w:firstLine="720"/>
        <w:jc w:val="both"/>
        <w:rPr>
          <w:rFonts w:asciiTheme="majorBidi" w:hAnsiTheme="majorBidi" w:cstheme="majorBidi"/>
        </w:rPr>
      </w:pPr>
      <w:r>
        <w:rPr>
          <w:rFonts w:asciiTheme="majorBidi" w:hAnsiTheme="majorBidi" w:cstheme="majorBidi"/>
        </w:rPr>
        <w:t>Senatoru kolēģija arī nepiekrīt pieteicēja</w:t>
      </w:r>
      <w:r w:rsidR="00C46BF8">
        <w:rPr>
          <w:rFonts w:asciiTheme="majorBidi" w:hAnsiTheme="majorBidi" w:cstheme="majorBidi"/>
        </w:rPr>
        <w:t>i</w:t>
      </w:r>
      <w:r>
        <w:rPr>
          <w:rFonts w:asciiTheme="majorBidi" w:hAnsiTheme="majorBidi" w:cstheme="majorBidi"/>
        </w:rPr>
        <w:t>, ka šī tiesību norma būtu jāinterpretē pieteicēja</w:t>
      </w:r>
      <w:r w:rsidR="00C46BF8">
        <w:rPr>
          <w:rFonts w:asciiTheme="majorBidi" w:hAnsiTheme="majorBidi" w:cstheme="majorBidi"/>
        </w:rPr>
        <w:t>i</w:t>
      </w:r>
      <w:r>
        <w:rPr>
          <w:rFonts w:asciiTheme="majorBidi" w:hAnsiTheme="majorBidi" w:cstheme="majorBidi"/>
        </w:rPr>
        <w:t xml:space="preserve"> par labu, pamatojoties uz privātpersonas tiesību ievērošanas principu. Senāta judikatūrā ir atzīts princips </w:t>
      </w:r>
      <w:r w:rsidRPr="00125F38">
        <w:rPr>
          <w:rFonts w:asciiTheme="majorBidi" w:hAnsiTheme="majorBidi" w:cstheme="majorBidi"/>
          <w:i/>
          <w:iCs/>
        </w:rPr>
        <w:t>in dubio pro natura</w:t>
      </w:r>
      <w:r w:rsidR="00603234">
        <w:rPr>
          <w:rFonts w:asciiTheme="majorBidi" w:hAnsiTheme="majorBidi" w:cstheme="majorBidi"/>
          <w:i/>
          <w:iCs/>
        </w:rPr>
        <w:t xml:space="preserve"> </w:t>
      </w:r>
      <w:r w:rsidR="00603234">
        <w:rPr>
          <w:rFonts w:asciiTheme="majorBidi" w:hAnsiTheme="majorBidi" w:cstheme="majorBidi"/>
        </w:rPr>
        <w:t>(šaubas par labu vides aizsardzībai)</w:t>
      </w:r>
      <w:r>
        <w:rPr>
          <w:rFonts w:asciiTheme="majorBidi" w:hAnsiTheme="majorBidi" w:cstheme="majorBidi"/>
        </w:rPr>
        <w:t>. Attiecīgi</w:t>
      </w:r>
      <w:r w:rsidR="00D566B1">
        <w:rPr>
          <w:rFonts w:asciiTheme="majorBidi" w:hAnsiTheme="majorBidi" w:cstheme="majorBidi"/>
        </w:rPr>
        <w:t xml:space="preserve"> </w:t>
      </w:r>
      <w:r>
        <w:rPr>
          <w:rFonts w:asciiTheme="majorBidi" w:hAnsiTheme="majorBidi" w:cstheme="majorBidi"/>
        </w:rPr>
        <w:t xml:space="preserve">– </w:t>
      </w:r>
      <w:r w:rsidRPr="00125F38">
        <w:rPr>
          <w:rFonts w:asciiTheme="majorBidi" w:hAnsiTheme="majorBidi" w:cstheme="majorBidi"/>
        </w:rPr>
        <w:t>lai atsvērtu vides aizsardzības interesi, ekonomiskajām un sociālajām interesēm attiecībā uz konkrētas teritorijas izmantošanu ir jābūt nozīmīgām, šaubu gadījumā nosveroties par labu vides aizsardzībai</w:t>
      </w:r>
      <w:r>
        <w:rPr>
          <w:rFonts w:asciiTheme="majorBidi" w:hAnsiTheme="majorBidi" w:cstheme="majorBidi"/>
        </w:rPr>
        <w:t xml:space="preserve"> (</w:t>
      </w:r>
      <w:r w:rsidRPr="00125F38">
        <w:rPr>
          <w:rFonts w:asciiTheme="majorBidi" w:hAnsiTheme="majorBidi" w:cstheme="majorBidi"/>
          <w:i/>
          <w:iCs/>
        </w:rPr>
        <w:t>Senāta 2022.gada 20.decembra sprieduma lietā Nr. SKA</w:t>
      </w:r>
      <w:r w:rsidRPr="00125F38">
        <w:rPr>
          <w:rFonts w:asciiTheme="majorBidi" w:hAnsiTheme="majorBidi" w:cstheme="majorBidi"/>
          <w:i/>
          <w:iCs/>
        </w:rPr>
        <w:noBreakHyphen/>
        <w:t xml:space="preserve">212/2022, </w:t>
      </w:r>
      <w:hyperlink r:id="rId11" w:history="1">
        <w:r w:rsidRPr="00125F38">
          <w:rPr>
            <w:rStyle w:val="Hyperlink"/>
            <w:rFonts w:asciiTheme="majorBidi" w:hAnsiTheme="majorBidi" w:cstheme="majorBidi"/>
            <w:i/>
            <w:iCs/>
          </w:rPr>
          <w:t>ECLI:LV:AT:2022:1220.A420220618.10.S</w:t>
        </w:r>
      </w:hyperlink>
      <w:r w:rsidRPr="00125F38">
        <w:rPr>
          <w:rFonts w:asciiTheme="majorBidi" w:hAnsiTheme="majorBidi" w:cstheme="majorBidi"/>
          <w:i/>
          <w:iCs/>
        </w:rPr>
        <w:t>, 13.punkts</w:t>
      </w:r>
      <w:r>
        <w:rPr>
          <w:rFonts w:asciiTheme="majorBidi" w:hAnsiTheme="majorBidi" w:cstheme="majorBidi"/>
        </w:rPr>
        <w:t xml:space="preserve">). Ņemot vērā šīs lietas apstākļus, kurus tiesa jau ir vispusīgi izvērtējusi, principam </w:t>
      </w:r>
      <w:r w:rsidRPr="00125F38">
        <w:rPr>
          <w:rFonts w:asciiTheme="majorBidi" w:hAnsiTheme="majorBidi" w:cstheme="majorBidi"/>
          <w:i/>
          <w:iCs/>
        </w:rPr>
        <w:t>in dubio pro natura</w:t>
      </w:r>
      <w:r>
        <w:rPr>
          <w:rFonts w:asciiTheme="majorBidi" w:hAnsiTheme="majorBidi" w:cstheme="majorBidi"/>
        </w:rPr>
        <w:t xml:space="preserve"> </w:t>
      </w:r>
      <w:r w:rsidR="000B5032">
        <w:rPr>
          <w:rFonts w:asciiTheme="majorBidi" w:hAnsiTheme="majorBidi" w:cstheme="majorBidi"/>
        </w:rPr>
        <w:t xml:space="preserve">konkrētajā </w:t>
      </w:r>
      <w:r>
        <w:rPr>
          <w:rFonts w:asciiTheme="majorBidi" w:hAnsiTheme="majorBidi" w:cstheme="majorBidi"/>
        </w:rPr>
        <w:t xml:space="preserve">gadījumā ir piešķirams lielāks svars nekā privātpersonas tiesību </w:t>
      </w:r>
      <w:r w:rsidR="00104700">
        <w:rPr>
          <w:rFonts w:asciiTheme="majorBidi" w:hAnsiTheme="majorBidi" w:cstheme="majorBidi"/>
        </w:rPr>
        <w:t>ievērošanas</w:t>
      </w:r>
      <w:r>
        <w:rPr>
          <w:rFonts w:asciiTheme="majorBidi" w:hAnsiTheme="majorBidi" w:cstheme="majorBidi"/>
        </w:rPr>
        <w:t xml:space="preserve"> principam. </w:t>
      </w:r>
      <w:r w:rsidR="00727077">
        <w:rPr>
          <w:rFonts w:asciiTheme="majorBidi" w:hAnsiTheme="majorBidi" w:cstheme="majorBidi"/>
        </w:rPr>
        <w:t xml:space="preserve">Senatoru kolēģija pievienojas tiesas izteiktajai atziņai – </w:t>
      </w:r>
      <w:r w:rsidR="00727077">
        <w:t xml:space="preserve">nav pieļaujams, ka gadījumā, kad ļaunprātīgas rīcības vai nolaidības rezultātā ir ticis pretlikumīgi nocirsts dižkoks, šajā vietā </w:t>
      </w:r>
      <w:r w:rsidR="00CB3556">
        <w:t xml:space="preserve">papildus tam </w:t>
      </w:r>
      <w:r w:rsidR="00727077">
        <w:t xml:space="preserve">tiktu iznīcināta </w:t>
      </w:r>
      <w:r w:rsidR="0082590C">
        <w:t xml:space="preserve">vēl </w:t>
      </w:r>
      <w:r w:rsidR="00727077">
        <w:t>arī īpaši aizsargājama suga</w:t>
      </w:r>
      <w:r w:rsidR="00994667">
        <w:t>, vairojot dabai nodarīto kaitējumu</w:t>
      </w:r>
      <w:r w:rsidR="00727077">
        <w:t xml:space="preserve"> (</w:t>
      </w:r>
      <w:r w:rsidR="00727077" w:rsidRPr="00727077">
        <w:rPr>
          <w:i/>
          <w:iCs/>
        </w:rPr>
        <w:t>pārsūdzētā sprieduma 4.9. un 9.punkts</w:t>
      </w:r>
      <w:r w:rsidR="00727077">
        <w:t>).</w:t>
      </w:r>
    </w:p>
    <w:p w14:paraId="36E3614E" w14:textId="2AB8002B" w:rsidR="00A50150" w:rsidRDefault="00727077" w:rsidP="005C0D44">
      <w:pPr>
        <w:spacing w:line="276" w:lineRule="auto"/>
        <w:ind w:firstLine="720"/>
        <w:rPr>
          <w:rFonts w:asciiTheme="majorBidi" w:hAnsiTheme="majorBidi" w:cstheme="majorBidi"/>
        </w:rPr>
      </w:pPr>
      <w:r>
        <w:rPr>
          <w:rFonts w:asciiTheme="majorBidi" w:hAnsiTheme="majorBidi" w:cstheme="majorBidi"/>
        </w:rPr>
        <w:t>Līdz ar to šie kasācijas sūdzības argumenti ir noraidāmi.</w:t>
      </w:r>
    </w:p>
    <w:p w14:paraId="4C18B09F" w14:textId="77777777" w:rsidR="00A50150" w:rsidRDefault="00A50150" w:rsidP="005C0D44">
      <w:pPr>
        <w:spacing w:line="276" w:lineRule="auto"/>
        <w:ind w:firstLine="720"/>
        <w:rPr>
          <w:rFonts w:asciiTheme="majorBidi" w:hAnsiTheme="majorBidi" w:cstheme="majorBidi"/>
        </w:rPr>
      </w:pPr>
    </w:p>
    <w:p w14:paraId="6A3CA1F2" w14:textId="1FE5CCB8" w:rsidR="00A50150" w:rsidRDefault="00727077" w:rsidP="005C0D44">
      <w:pPr>
        <w:spacing w:line="276" w:lineRule="auto"/>
        <w:ind w:firstLine="720"/>
        <w:jc w:val="both"/>
        <w:rPr>
          <w:rFonts w:asciiTheme="majorBidi" w:hAnsiTheme="majorBidi" w:cstheme="majorBidi"/>
        </w:rPr>
      </w:pPr>
      <w:r>
        <w:rPr>
          <w:rFonts w:asciiTheme="majorBidi" w:hAnsiTheme="majorBidi" w:cstheme="majorBidi"/>
        </w:rPr>
        <w:t xml:space="preserve">[4] Kasācijas sūdzībā ir norādīts, ka tiesa ir </w:t>
      </w:r>
      <w:r w:rsidR="00F570C2">
        <w:rPr>
          <w:rFonts w:asciiTheme="majorBidi" w:hAnsiTheme="majorBidi" w:cstheme="majorBidi"/>
        </w:rPr>
        <w:t xml:space="preserve">nepareizi interpretējusi </w:t>
      </w:r>
      <w:r>
        <w:rPr>
          <w:rFonts w:asciiTheme="majorBidi" w:hAnsiTheme="majorBidi" w:cstheme="majorBidi"/>
        </w:rPr>
        <w:t>Administratīvā procesa likuma 249.pantu</w:t>
      </w:r>
      <w:r w:rsidR="00144D95">
        <w:rPr>
          <w:rFonts w:asciiTheme="majorBidi" w:hAnsiTheme="majorBidi" w:cstheme="majorBidi"/>
        </w:rPr>
        <w:t>.</w:t>
      </w:r>
      <w:r w:rsidR="003868E2">
        <w:rPr>
          <w:rFonts w:asciiTheme="majorBidi" w:hAnsiTheme="majorBidi" w:cstheme="majorBidi"/>
        </w:rPr>
        <w:t xml:space="preserve"> Pieteicēja esot arī vēlējusies, lai pārvaldei ti</w:t>
      </w:r>
      <w:r w:rsidR="00295DF8">
        <w:rPr>
          <w:rFonts w:asciiTheme="majorBidi" w:hAnsiTheme="majorBidi" w:cstheme="majorBidi"/>
        </w:rPr>
        <w:t>ktu</w:t>
      </w:r>
      <w:r w:rsidR="003868E2">
        <w:rPr>
          <w:rFonts w:asciiTheme="majorBidi" w:hAnsiTheme="majorBidi" w:cstheme="majorBidi"/>
        </w:rPr>
        <w:t xml:space="preserve"> uzlikts pienākums precizēt aizsargājamās teritorijas robežas. </w:t>
      </w:r>
      <w:r w:rsidR="00144D95">
        <w:rPr>
          <w:rFonts w:asciiTheme="majorBidi" w:hAnsiTheme="majorBidi" w:cstheme="majorBidi"/>
        </w:rPr>
        <w:t>Apgabaltiesa esot atzinusi, ka rajona tiesa pamatoti neesot</w:t>
      </w:r>
      <w:r>
        <w:rPr>
          <w:rFonts w:asciiTheme="majorBidi" w:hAnsiTheme="majorBidi" w:cstheme="majorBidi"/>
        </w:rPr>
        <w:t xml:space="preserve"> precizējusi pieteikuma priekšmetu</w:t>
      </w:r>
      <w:r w:rsidR="00144D95">
        <w:rPr>
          <w:rFonts w:asciiTheme="majorBidi" w:hAnsiTheme="majorBidi" w:cstheme="majorBidi"/>
        </w:rPr>
        <w:t>, jo pieteicēja nebija pieteikusi šādu</w:t>
      </w:r>
      <w:r w:rsidR="003868E2">
        <w:rPr>
          <w:rFonts w:asciiTheme="majorBidi" w:hAnsiTheme="majorBidi" w:cstheme="majorBidi"/>
        </w:rPr>
        <w:t xml:space="preserve"> prasījumu pieteikumā</w:t>
      </w:r>
      <w:r>
        <w:rPr>
          <w:rFonts w:asciiTheme="majorBidi" w:hAnsiTheme="majorBidi" w:cstheme="majorBidi"/>
        </w:rPr>
        <w:t>.</w:t>
      </w:r>
      <w:r w:rsidR="003868E2">
        <w:rPr>
          <w:rFonts w:asciiTheme="majorBidi" w:hAnsiTheme="majorBidi" w:cstheme="majorBidi"/>
        </w:rPr>
        <w:t xml:space="preserve"> Šāda tiesas rīcība esot pretrunā ar objektīvās izmeklēšanas principu. Turklāt pārvaldes bezdarbība šīs situācijas risināšanā pārkāpjot labas pārvaldības principu un privātpersonas tiesību ievērošanas principu.</w:t>
      </w:r>
    </w:p>
    <w:p w14:paraId="13A0FA73" w14:textId="4E1D0E7B" w:rsidR="00A50150" w:rsidRDefault="003868E2" w:rsidP="005C0D44">
      <w:pPr>
        <w:spacing w:line="276" w:lineRule="auto"/>
        <w:ind w:firstLine="720"/>
        <w:jc w:val="both"/>
        <w:rPr>
          <w:rFonts w:asciiTheme="majorBidi" w:hAnsiTheme="majorBidi" w:cstheme="majorBidi"/>
        </w:rPr>
      </w:pPr>
      <w:r>
        <w:rPr>
          <w:rFonts w:asciiTheme="majorBidi" w:hAnsiTheme="majorBidi" w:cstheme="majorBidi"/>
        </w:rPr>
        <w:t>Senatoru kolēģija konstatē, ka pieteicēja ir nepareizi izpratusi apgabaltiesas argumentāciju. Apgabaltiesa norādīja, ka rajona tiesa pamatoti neprecizēja pieteikuma priekšmetu, jo jaunais pieteicējas prasījums bija pretrunā ar sākotnējo pieteikuma priekšmetu</w:t>
      </w:r>
      <w:r w:rsidR="00413762">
        <w:rPr>
          <w:rFonts w:asciiTheme="majorBidi" w:hAnsiTheme="majorBidi" w:cstheme="majorBidi"/>
        </w:rPr>
        <w:t xml:space="preserve">, ņemot vērā, ka pieteicēja citstarp bija vērsusies tiesā ar prasījumu </w:t>
      </w:r>
      <w:r w:rsidR="00413762" w:rsidRPr="003868E2">
        <w:rPr>
          <w:rFonts w:asciiTheme="majorBidi" w:hAnsiTheme="majorBidi" w:cstheme="majorBidi"/>
        </w:rPr>
        <w:t xml:space="preserve">par ziņu par </w:t>
      </w:r>
      <w:r w:rsidR="00413762">
        <w:rPr>
          <w:rFonts w:asciiTheme="majorBidi" w:hAnsiTheme="majorBidi" w:cstheme="majorBidi"/>
        </w:rPr>
        <w:t>nozāģēto</w:t>
      </w:r>
      <w:r w:rsidR="00413762" w:rsidRPr="003868E2">
        <w:rPr>
          <w:rFonts w:asciiTheme="majorBidi" w:hAnsiTheme="majorBidi" w:cstheme="majorBidi"/>
        </w:rPr>
        <w:t xml:space="preserve"> koku dzēšanu</w:t>
      </w:r>
      <w:r w:rsidR="00460E2F">
        <w:rPr>
          <w:rFonts w:asciiTheme="majorBidi" w:hAnsiTheme="majorBidi" w:cstheme="majorBidi"/>
        </w:rPr>
        <w:t xml:space="preserve"> dabas datu pārvaldības</w:t>
      </w:r>
      <w:r w:rsidR="00413762" w:rsidRPr="003868E2">
        <w:rPr>
          <w:rFonts w:asciiTheme="majorBidi" w:hAnsiTheme="majorBidi" w:cstheme="majorBidi"/>
        </w:rPr>
        <w:t xml:space="preserve"> sistēmā</w:t>
      </w:r>
      <w:r w:rsidR="00413762">
        <w:rPr>
          <w:rFonts w:asciiTheme="majorBidi" w:hAnsiTheme="majorBidi" w:cstheme="majorBidi"/>
        </w:rPr>
        <w:t xml:space="preserve"> (</w:t>
      </w:r>
      <w:r w:rsidR="00413762" w:rsidRPr="00413762">
        <w:rPr>
          <w:rFonts w:asciiTheme="majorBidi" w:hAnsiTheme="majorBidi" w:cstheme="majorBidi"/>
          <w:i/>
          <w:iCs/>
        </w:rPr>
        <w:t>pārsūdzētā sprieduma 10.punkts</w:t>
      </w:r>
      <w:r w:rsidR="00413762">
        <w:rPr>
          <w:rFonts w:asciiTheme="majorBidi" w:hAnsiTheme="majorBidi" w:cstheme="majorBidi"/>
        </w:rPr>
        <w:t>)</w:t>
      </w:r>
      <w:r>
        <w:rPr>
          <w:rFonts w:asciiTheme="majorBidi" w:hAnsiTheme="majorBidi" w:cstheme="majorBidi"/>
        </w:rPr>
        <w:t xml:space="preserve">. Senatoru kolēģija </w:t>
      </w:r>
      <w:r w:rsidR="00413762">
        <w:rPr>
          <w:rFonts w:asciiTheme="majorBidi" w:hAnsiTheme="majorBidi" w:cstheme="majorBidi"/>
        </w:rPr>
        <w:t xml:space="preserve">atzīst, ka tiesai nebija pamata pieteikuma priekšmetā </w:t>
      </w:r>
      <w:r w:rsidR="00134E18">
        <w:rPr>
          <w:rFonts w:asciiTheme="majorBidi" w:hAnsiTheme="majorBidi" w:cstheme="majorBidi"/>
        </w:rPr>
        <w:t>ielasīt</w:t>
      </w:r>
      <w:r w:rsidR="00413762">
        <w:rPr>
          <w:rFonts w:asciiTheme="majorBidi" w:hAnsiTheme="majorBidi" w:cstheme="majorBidi"/>
        </w:rPr>
        <w:t xml:space="preserve"> arī aizsargājamās teritorijas robežu precizēšanu, ja pieteicēja prasīja, lai ziņas par šo teritoriju tiktu pilnībā dzēstas.</w:t>
      </w:r>
    </w:p>
    <w:p w14:paraId="21B4CB5F" w14:textId="66CE97E8" w:rsidR="00A50150" w:rsidRDefault="007A634B" w:rsidP="005C0D44">
      <w:pPr>
        <w:spacing w:line="276" w:lineRule="auto"/>
        <w:ind w:firstLine="720"/>
        <w:jc w:val="both"/>
        <w:rPr>
          <w:rFonts w:asciiTheme="majorBidi" w:hAnsiTheme="majorBidi" w:cstheme="majorBidi"/>
        </w:rPr>
      </w:pPr>
      <w:r>
        <w:rPr>
          <w:rFonts w:asciiTheme="majorBidi" w:hAnsiTheme="majorBidi" w:cstheme="majorBidi"/>
        </w:rPr>
        <w:t>Senatoru kolēģija nevērtēs pieteicējas argumentus par pārvaldes rīcību, jo kasācijas tiesvedības ietvaros tiek pārbaudīts apelācijas instances tiesas sprieduma, nevis iestādes rīcības tiesiskums.</w:t>
      </w:r>
    </w:p>
    <w:p w14:paraId="13B79F51" w14:textId="6599AA4F" w:rsidR="007A634B" w:rsidRDefault="008A49A1" w:rsidP="005C0D44">
      <w:pPr>
        <w:spacing w:line="276" w:lineRule="auto"/>
        <w:ind w:firstLine="720"/>
        <w:jc w:val="both"/>
        <w:rPr>
          <w:rFonts w:asciiTheme="majorBidi" w:hAnsiTheme="majorBidi" w:cstheme="majorBidi"/>
        </w:rPr>
      </w:pPr>
      <w:r>
        <w:rPr>
          <w:rFonts w:asciiTheme="majorBidi" w:hAnsiTheme="majorBidi" w:cstheme="majorBidi"/>
        </w:rPr>
        <w:t>Līdz ar to</w:t>
      </w:r>
      <w:r w:rsidR="007A634B">
        <w:rPr>
          <w:rFonts w:asciiTheme="majorBidi" w:hAnsiTheme="majorBidi" w:cstheme="majorBidi"/>
        </w:rPr>
        <w:t xml:space="preserve"> šie kasācijas sūdzības argumenti nerada šaubas par pārsūdzētā sprieduma pareizību.</w:t>
      </w:r>
    </w:p>
    <w:p w14:paraId="449913FE" w14:textId="77777777" w:rsidR="007A634B" w:rsidRDefault="007A634B" w:rsidP="005C0D44">
      <w:pPr>
        <w:spacing w:line="276" w:lineRule="auto"/>
        <w:ind w:firstLine="720"/>
        <w:jc w:val="both"/>
        <w:rPr>
          <w:rFonts w:asciiTheme="majorBidi" w:hAnsiTheme="majorBidi" w:cstheme="majorBidi"/>
        </w:rPr>
      </w:pPr>
    </w:p>
    <w:p w14:paraId="548EB9FC" w14:textId="5FA17F59" w:rsidR="007A634B" w:rsidRDefault="007A634B" w:rsidP="005C0D44">
      <w:pPr>
        <w:spacing w:line="276" w:lineRule="auto"/>
        <w:ind w:firstLine="720"/>
        <w:jc w:val="both"/>
        <w:rPr>
          <w:rFonts w:asciiTheme="majorBidi" w:hAnsiTheme="majorBidi" w:cstheme="majorBidi"/>
        </w:rPr>
      </w:pPr>
      <w:r>
        <w:rPr>
          <w:rFonts w:asciiTheme="majorBidi" w:hAnsiTheme="majorBidi" w:cstheme="majorBidi"/>
        </w:rPr>
        <w:t>[5] </w:t>
      </w:r>
      <w:r w:rsidR="00457C23">
        <w:rPr>
          <w:rFonts w:asciiTheme="majorBidi" w:hAnsiTheme="majorBidi" w:cstheme="majorBidi"/>
        </w:rPr>
        <w:t xml:space="preserve">Pieteicēja uzskata, ka tiesa ir nepareizi izvērtējusi lietā esošos pierādījumus, tostarp liecinieka </w:t>
      </w:r>
      <w:r w:rsidR="005C0D44">
        <w:rPr>
          <w:rFonts w:asciiTheme="majorBidi" w:hAnsiTheme="majorBidi" w:cstheme="majorBidi"/>
        </w:rPr>
        <w:t xml:space="preserve">[pers. B] </w:t>
      </w:r>
      <w:r w:rsidR="00457C23">
        <w:rPr>
          <w:rFonts w:asciiTheme="majorBidi" w:hAnsiTheme="majorBidi" w:cstheme="majorBidi"/>
        </w:rPr>
        <w:t xml:space="preserve">sniegtās liecības, un nepietiekami motivējusi spriedumu. Tādējādi tiesa esot pārkāpusi Administratīvā procesa likuma </w:t>
      </w:r>
      <w:r w:rsidR="004E123C">
        <w:rPr>
          <w:rFonts w:asciiTheme="majorBidi" w:hAnsiTheme="majorBidi" w:cstheme="majorBidi"/>
        </w:rPr>
        <w:t>154.pantu un 251.panta piekto daļu. Tāpat tiesa esot pārkāpusi samērīguma principu, nepareizi vērtējot sabiedrības ieguvumu iepretim pieteicējas tiesību ierobežojumam.</w:t>
      </w:r>
    </w:p>
    <w:p w14:paraId="58DA0C61" w14:textId="66159943" w:rsidR="004E123C" w:rsidRDefault="004E123C" w:rsidP="005C0D44">
      <w:pPr>
        <w:spacing w:line="276" w:lineRule="auto"/>
        <w:ind w:firstLine="720"/>
        <w:jc w:val="both"/>
        <w:rPr>
          <w:rFonts w:asciiTheme="majorBidi" w:hAnsiTheme="majorBidi" w:cstheme="majorBidi"/>
        </w:rPr>
      </w:pPr>
      <w:r>
        <w:rPr>
          <w:rFonts w:asciiTheme="majorBidi" w:hAnsiTheme="majorBidi" w:cstheme="majorBidi"/>
        </w:rPr>
        <w:t>Senatoru kolēģija konstatē, ka šie argumenti attiecas uz lietas faktisko apstākļu un lietā esošo pierādījumu novērtēšanu. Kasācijas instances tiesas kompetencē neietilpst lietas faktisko apstākļu un pierādījumu pārvērtēšana, un senatoru kolēģija nesaskata acīmredzamas kļūdas tiesas vērtējumā. Pieteicējas subjektīva nepiekrišana tiesas secinājumiem un atšķirīgs viedoklis par lietderīgāko un saprātīgāko risinājumu nav pamats ierosināt kasācijas tiesvedību.</w:t>
      </w:r>
    </w:p>
    <w:p w14:paraId="4E669D35" w14:textId="77777777" w:rsidR="005223EC" w:rsidRDefault="005223EC" w:rsidP="005C0D44">
      <w:pPr>
        <w:spacing w:line="276" w:lineRule="auto"/>
        <w:ind w:firstLine="720"/>
        <w:jc w:val="both"/>
        <w:rPr>
          <w:rFonts w:asciiTheme="majorBidi" w:hAnsiTheme="majorBidi" w:cstheme="majorBidi"/>
        </w:rPr>
      </w:pPr>
    </w:p>
    <w:p w14:paraId="1D0A2F2D" w14:textId="2A041F0C" w:rsidR="005223EC" w:rsidRPr="00A50150" w:rsidRDefault="005223EC" w:rsidP="005C0D44">
      <w:pPr>
        <w:spacing w:line="276" w:lineRule="auto"/>
        <w:ind w:firstLine="720"/>
        <w:jc w:val="both"/>
        <w:rPr>
          <w:rFonts w:asciiTheme="majorBidi" w:hAnsiTheme="majorBidi" w:cstheme="majorBidi"/>
        </w:rPr>
      </w:pPr>
      <w:r w:rsidRPr="00A50150">
        <w:rPr>
          <w:rFonts w:asciiTheme="majorBidi" w:hAnsiTheme="majorBidi" w:cstheme="majorBidi"/>
        </w:rPr>
        <w:t>[</w:t>
      </w:r>
      <w:r>
        <w:rPr>
          <w:rFonts w:asciiTheme="majorBidi" w:hAnsiTheme="majorBidi" w:cstheme="majorBidi"/>
        </w:rPr>
        <w:t>6</w:t>
      </w:r>
      <w:r w:rsidRPr="00A50150">
        <w:rPr>
          <w:rFonts w:asciiTheme="majorBidi" w:hAnsiTheme="majorBidi" w:cstheme="majorBidi"/>
        </w:rPr>
        <w:t xml:space="preserve">] Rezumējot minēto, senatoru kolēģija atzīst, ka </w:t>
      </w:r>
      <w:r w:rsidR="007646F7">
        <w:rPr>
          <w:rFonts w:asciiTheme="majorBidi" w:hAnsiTheme="majorBidi" w:cstheme="majorBidi"/>
        </w:rPr>
        <w:t>pieteicējas</w:t>
      </w:r>
      <w:r w:rsidRPr="00A50150">
        <w:rPr>
          <w:rFonts w:asciiTheme="majorBidi" w:hAnsiTheme="majorBidi" w:cstheme="majorBidi"/>
        </w:rPr>
        <w:t xml:space="preserve"> kasācijas sūdzībā norādītie apsvērumi nerada šaubas par </w:t>
      </w:r>
      <w:r w:rsidR="007646F7">
        <w:rPr>
          <w:rFonts w:asciiTheme="majorBidi" w:hAnsiTheme="majorBidi" w:cstheme="majorBidi"/>
        </w:rPr>
        <w:t>apgabaltiesas</w:t>
      </w:r>
      <w:r w:rsidRPr="00A50150">
        <w:rPr>
          <w:rFonts w:asciiTheme="majorBidi" w:hAnsiTheme="majorBidi" w:cstheme="majorBidi"/>
        </w:rPr>
        <w:t xml:space="preserve"> sprieduma tiesiskumu. Izskatāmajai lietai arī nav nozīmes judikatūras veidošanā. Tas ir pamats atteikt ierosināt kasācijas tiesvedību.</w:t>
      </w:r>
    </w:p>
    <w:p w14:paraId="20E71A0F" w14:textId="77777777" w:rsidR="004E123C" w:rsidRDefault="004E123C" w:rsidP="005C0D44">
      <w:pPr>
        <w:spacing w:line="276" w:lineRule="auto"/>
        <w:ind w:firstLine="720"/>
        <w:jc w:val="both"/>
        <w:rPr>
          <w:rFonts w:asciiTheme="majorBidi" w:hAnsiTheme="majorBidi" w:cstheme="majorBidi"/>
        </w:rPr>
      </w:pPr>
    </w:p>
    <w:p w14:paraId="724519E4" w14:textId="6498B454" w:rsidR="004E123C" w:rsidRDefault="004E123C" w:rsidP="005C0D44">
      <w:pPr>
        <w:spacing w:line="276" w:lineRule="auto"/>
        <w:ind w:firstLine="720"/>
        <w:jc w:val="both"/>
        <w:rPr>
          <w:rFonts w:asciiTheme="majorBidi" w:hAnsiTheme="majorBidi" w:cstheme="majorBidi"/>
        </w:rPr>
      </w:pPr>
      <w:r>
        <w:rPr>
          <w:rFonts w:asciiTheme="majorBidi" w:hAnsiTheme="majorBidi" w:cstheme="majorBidi"/>
        </w:rPr>
        <w:t>[</w:t>
      </w:r>
      <w:r w:rsidR="005223EC">
        <w:rPr>
          <w:rFonts w:asciiTheme="majorBidi" w:hAnsiTheme="majorBidi" w:cstheme="majorBidi"/>
        </w:rPr>
        <w:t>7</w:t>
      </w:r>
      <w:r>
        <w:rPr>
          <w:rFonts w:asciiTheme="majorBidi" w:hAnsiTheme="majorBidi" w:cstheme="majorBidi"/>
        </w:rPr>
        <w:t xml:space="preserve">] Senatoru kolēģija konstatē, ka </w:t>
      </w:r>
      <w:r w:rsidR="0022107A">
        <w:rPr>
          <w:rFonts w:asciiTheme="majorBidi" w:hAnsiTheme="majorBidi" w:cstheme="majorBidi"/>
        </w:rPr>
        <w:t>pieteicēj</w:t>
      </w:r>
      <w:r w:rsidR="00535F3E">
        <w:rPr>
          <w:rFonts w:asciiTheme="majorBidi" w:hAnsiTheme="majorBidi" w:cstheme="majorBidi"/>
        </w:rPr>
        <w:t>a</w:t>
      </w:r>
      <w:r w:rsidR="0022107A">
        <w:rPr>
          <w:rFonts w:asciiTheme="majorBidi" w:hAnsiTheme="majorBidi" w:cstheme="majorBidi"/>
        </w:rPr>
        <w:t xml:space="preserve"> </w:t>
      </w:r>
      <w:r w:rsidR="00B170B8">
        <w:rPr>
          <w:rFonts w:asciiTheme="majorBidi" w:hAnsiTheme="majorBidi" w:cstheme="majorBidi"/>
        </w:rPr>
        <w:t xml:space="preserve">2025.gada 20.maijā Senātā </w:t>
      </w:r>
      <w:r w:rsidR="00675DCE">
        <w:rPr>
          <w:rFonts w:asciiTheme="majorBidi" w:hAnsiTheme="majorBidi" w:cstheme="majorBidi"/>
        </w:rPr>
        <w:t>iesnie</w:t>
      </w:r>
      <w:r w:rsidR="00535F3E">
        <w:rPr>
          <w:rFonts w:asciiTheme="majorBidi" w:hAnsiTheme="majorBidi" w:cstheme="majorBidi"/>
        </w:rPr>
        <w:t>gusi</w:t>
      </w:r>
      <w:r w:rsidR="00675DCE">
        <w:rPr>
          <w:rFonts w:asciiTheme="majorBidi" w:hAnsiTheme="majorBidi" w:cstheme="majorBidi"/>
        </w:rPr>
        <w:t xml:space="preserve"> papildu paskaidrojumus, kuriem pielikumā </w:t>
      </w:r>
      <w:r w:rsidR="005223EC">
        <w:rPr>
          <w:rFonts w:asciiTheme="majorBidi" w:hAnsiTheme="majorBidi" w:cstheme="majorBidi"/>
        </w:rPr>
        <w:t xml:space="preserve">kā pierādījumi </w:t>
      </w:r>
      <w:r w:rsidR="00675DCE">
        <w:rPr>
          <w:rFonts w:asciiTheme="majorBidi" w:hAnsiTheme="majorBidi" w:cstheme="majorBidi"/>
        </w:rPr>
        <w:t>pievienoti vairāki dokumenti.</w:t>
      </w:r>
    </w:p>
    <w:p w14:paraId="289EC1E0" w14:textId="095CD734" w:rsidR="00D9786F" w:rsidRDefault="0022107A" w:rsidP="005C0D44">
      <w:pPr>
        <w:spacing w:line="276" w:lineRule="auto"/>
        <w:ind w:firstLine="720"/>
        <w:jc w:val="both"/>
        <w:rPr>
          <w:rFonts w:asciiTheme="majorBidi" w:hAnsiTheme="majorBidi" w:cstheme="majorBidi"/>
        </w:rPr>
      </w:pPr>
      <w:r>
        <w:rPr>
          <w:rFonts w:asciiTheme="majorBidi" w:hAnsiTheme="majorBidi" w:cstheme="majorBidi"/>
        </w:rPr>
        <w:t xml:space="preserve">Šie </w:t>
      </w:r>
      <w:r w:rsidR="00D9786F">
        <w:rPr>
          <w:rFonts w:asciiTheme="majorBidi" w:hAnsiTheme="majorBidi" w:cstheme="majorBidi"/>
        </w:rPr>
        <w:t>paskaidrojumi</w:t>
      </w:r>
      <w:r>
        <w:rPr>
          <w:rFonts w:asciiTheme="majorBidi" w:hAnsiTheme="majorBidi" w:cstheme="majorBidi"/>
        </w:rPr>
        <w:t xml:space="preserve"> satur jaunu argumentāciju, tāpēc tie ir uzskatāmi par kasācijas sūdzības papildinājumiem. </w:t>
      </w:r>
      <w:r w:rsidRPr="00EB2E8F">
        <w:rPr>
          <w:rFonts w:asciiTheme="majorBidi" w:hAnsiTheme="majorBidi" w:cstheme="majorBidi"/>
        </w:rPr>
        <w:t xml:space="preserve">Administratīvā procesa likuma normas nepieļauj kasācijas sūdzības papildinājumu iesniegšanu pēc </w:t>
      </w:r>
      <w:r>
        <w:rPr>
          <w:rFonts w:asciiTheme="majorBidi" w:hAnsiTheme="majorBidi" w:cstheme="majorBidi"/>
        </w:rPr>
        <w:t xml:space="preserve">šā </w:t>
      </w:r>
      <w:r w:rsidRPr="00EB2E8F">
        <w:rPr>
          <w:rFonts w:asciiTheme="majorBidi" w:hAnsiTheme="majorBidi" w:cstheme="majorBidi"/>
        </w:rPr>
        <w:t xml:space="preserve">likuma 329.panta pirmajā daļā kasācijas sūdzības iesniegšanai noteiktā termiņa beigām, </w:t>
      </w:r>
      <w:r w:rsidR="00D9786F">
        <w:rPr>
          <w:rFonts w:asciiTheme="majorBidi" w:hAnsiTheme="majorBidi" w:cstheme="majorBidi"/>
        </w:rPr>
        <w:t>tāpēc šie paskaidrojumi</w:t>
      </w:r>
      <w:r w:rsidRPr="002D4C77">
        <w:rPr>
          <w:rFonts w:asciiTheme="majorBidi" w:hAnsiTheme="majorBidi" w:cstheme="majorBidi"/>
        </w:rPr>
        <w:t xml:space="preserve"> </w:t>
      </w:r>
      <w:r w:rsidRPr="00EB2E8F">
        <w:rPr>
          <w:rFonts w:asciiTheme="majorBidi" w:hAnsiTheme="majorBidi" w:cstheme="majorBidi"/>
        </w:rPr>
        <w:t>nav pievienojam</w:t>
      </w:r>
      <w:r>
        <w:rPr>
          <w:rFonts w:asciiTheme="majorBidi" w:hAnsiTheme="majorBidi" w:cstheme="majorBidi"/>
        </w:rPr>
        <w:t>i</w:t>
      </w:r>
      <w:r w:rsidRPr="00EB2E8F">
        <w:rPr>
          <w:rFonts w:asciiTheme="majorBidi" w:hAnsiTheme="majorBidi" w:cstheme="majorBidi"/>
        </w:rPr>
        <w:t xml:space="preserve"> lietai</w:t>
      </w:r>
      <w:r>
        <w:rPr>
          <w:rFonts w:asciiTheme="majorBidi" w:hAnsiTheme="majorBidi" w:cstheme="majorBidi"/>
        </w:rPr>
        <w:t>.</w:t>
      </w:r>
      <w:r w:rsidR="00D9786F">
        <w:rPr>
          <w:rFonts w:asciiTheme="majorBidi" w:hAnsiTheme="majorBidi" w:cstheme="majorBidi"/>
        </w:rPr>
        <w:t xml:space="preserve"> Ņemot vērā, ka paskaidrojumus ir atsakāms pieņemt un pierādījumu vērtēšana neietilpst kasācijas instances tiesas kompetencē, ir atsakāms pieņemt arī paskaidrojumiem pievienotos dokumentus.</w:t>
      </w:r>
    </w:p>
    <w:p w14:paraId="2FEABAD4" w14:textId="58590EB6" w:rsidR="00A50150" w:rsidRPr="00A50150" w:rsidRDefault="0022107A" w:rsidP="005C0D44">
      <w:pPr>
        <w:spacing w:line="276" w:lineRule="auto"/>
        <w:ind w:firstLine="720"/>
        <w:jc w:val="both"/>
        <w:rPr>
          <w:rFonts w:asciiTheme="majorBidi" w:hAnsiTheme="majorBidi" w:cstheme="majorBidi"/>
        </w:rPr>
      </w:pPr>
      <w:r w:rsidRPr="002D4C77">
        <w:rPr>
          <w:rFonts w:asciiTheme="majorBidi" w:hAnsiTheme="majorBidi" w:cstheme="majorBidi"/>
        </w:rPr>
        <w:t>Atbilstoši Administratīvā procesa likuma 114.</w:t>
      </w:r>
      <w:r w:rsidRPr="002D4C77">
        <w:rPr>
          <w:rFonts w:asciiTheme="majorBidi" w:hAnsiTheme="majorBidi" w:cstheme="majorBidi"/>
          <w:vertAlign w:val="superscript"/>
        </w:rPr>
        <w:t>1</w:t>
      </w:r>
      <w:r w:rsidRPr="002D4C77">
        <w:rPr>
          <w:rFonts w:asciiTheme="majorBidi" w:hAnsiTheme="majorBidi" w:cstheme="majorBidi"/>
        </w:rPr>
        <w:t xml:space="preserve">panta otrajai daļai </w:t>
      </w:r>
      <w:r w:rsidR="00C37AD3">
        <w:rPr>
          <w:rFonts w:asciiTheme="majorBidi" w:hAnsiTheme="majorBidi" w:cstheme="majorBidi"/>
        </w:rPr>
        <w:t>d</w:t>
      </w:r>
      <w:r w:rsidR="00C37AD3" w:rsidRPr="00C37AD3">
        <w:rPr>
          <w:rFonts w:asciiTheme="majorBidi" w:hAnsiTheme="majorBidi" w:cstheme="majorBidi"/>
        </w:rPr>
        <w:t>okumentus, kas tiesā iesniegti elektroniski, iesniedzējam neatdod</w:t>
      </w:r>
      <w:r w:rsidRPr="002D4C77">
        <w:rPr>
          <w:rFonts w:asciiTheme="majorBidi" w:hAnsiTheme="majorBidi" w:cstheme="majorBidi"/>
        </w:rPr>
        <w:t>.</w:t>
      </w:r>
    </w:p>
    <w:p w14:paraId="4781153E" w14:textId="77777777" w:rsidR="00A50150" w:rsidRPr="00A50150" w:rsidRDefault="00A50150" w:rsidP="005C0D44">
      <w:pPr>
        <w:spacing w:line="276" w:lineRule="auto"/>
        <w:ind w:firstLine="720"/>
        <w:jc w:val="both"/>
        <w:rPr>
          <w:rFonts w:asciiTheme="majorBidi" w:hAnsiTheme="majorBidi" w:cstheme="majorBidi"/>
        </w:rPr>
      </w:pPr>
    </w:p>
    <w:p w14:paraId="3E18CE94" w14:textId="473502CD" w:rsidR="00A50150" w:rsidRPr="00A50150" w:rsidRDefault="00A50150" w:rsidP="005C0D44">
      <w:pPr>
        <w:spacing w:line="276" w:lineRule="auto"/>
        <w:ind w:firstLine="720"/>
        <w:jc w:val="both"/>
        <w:rPr>
          <w:rFonts w:asciiTheme="majorBidi" w:hAnsiTheme="majorBidi" w:cstheme="majorBidi"/>
          <w:strike/>
        </w:rPr>
      </w:pPr>
      <w:r w:rsidRPr="00A50150">
        <w:rPr>
          <w:rFonts w:asciiTheme="majorBidi" w:hAnsiTheme="majorBidi" w:cstheme="majorBidi"/>
        </w:rPr>
        <w:t>Pamatojoties uz Administratīvā procesa likuma 338.panta otro daļu un 338.</w:t>
      </w:r>
      <w:r w:rsidRPr="00A50150">
        <w:rPr>
          <w:rFonts w:asciiTheme="majorBidi" w:hAnsiTheme="majorBidi" w:cstheme="majorBidi"/>
          <w:vertAlign w:val="superscript"/>
        </w:rPr>
        <w:t>1</w:t>
      </w:r>
      <w:r w:rsidRPr="00A50150">
        <w:rPr>
          <w:rFonts w:asciiTheme="majorBidi" w:hAnsiTheme="majorBidi" w:cstheme="majorBidi"/>
        </w:rPr>
        <w:t xml:space="preserve">panta </w:t>
      </w:r>
      <w:r w:rsidR="00CB08D6">
        <w:rPr>
          <w:rFonts w:asciiTheme="majorBidi" w:hAnsiTheme="majorBidi" w:cstheme="majorBidi"/>
        </w:rPr>
        <w:t>otrās daļas 2.punktu</w:t>
      </w:r>
      <w:r w:rsidRPr="00A50150">
        <w:rPr>
          <w:rFonts w:asciiTheme="majorBidi" w:hAnsiTheme="majorBidi" w:cstheme="majorBidi"/>
        </w:rPr>
        <w:t>, senatoru kolēģija</w:t>
      </w:r>
    </w:p>
    <w:p w14:paraId="6E266C77" w14:textId="77777777" w:rsidR="00A50150" w:rsidRPr="009A6A06" w:rsidRDefault="00A50150" w:rsidP="005C0D44">
      <w:pPr>
        <w:spacing w:line="276" w:lineRule="auto"/>
        <w:jc w:val="both"/>
        <w:rPr>
          <w:strike/>
        </w:rPr>
      </w:pPr>
    </w:p>
    <w:p w14:paraId="531C090A" w14:textId="77777777" w:rsidR="00A50150" w:rsidRPr="00B17B0C" w:rsidRDefault="00A50150" w:rsidP="005C0D44">
      <w:pPr>
        <w:spacing w:line="276" w:lineRule="auto"/>
        <w:jc w:val="center"/>
        <w:rPr>
          <w:b/>
        </w:rPr>
      </w:pPr>
      <w:r w:rsidRPr="00B17B0C">
        <w:rPr>
          <w:b/>
        </w:rPr>
        <w:t>nolēma</w:t>
      </w:r>
    </w:p>
    <w:p w14:paraId="7593AF8D" w14:textId="77777777" w:rsidR="00A50150" w:rsidRPr="00B17B0C" w:rsidRDefault="00A50150" w:rsidP="005C0D44">
      <w:pPr>
        <w:spacing w:line="276" w:lineRule="auto"/>
        <w:jc w:val="center"/>
        <w:rPr>
          <w:b/>
        </w:rPr>
      </w:pPr>
    </w:p>
    <w:p w14:paraId="3DC2BC25" w14:textId="2C869993" w:rsidR="00A50150" w:rsidRDefault="00A50150" w:rsidP="005C0D44">
      <w:pPr>
        <w:spacing w:line="276" w:lineRule="auto"/>
        <w:ind w:firstLine="720"/>
        <w:jc w:val="both"/>
      </w:pPr>
      <w:r>
        <w:t xml:space="preserve">atteikt ierosināt kasācijas tiesvedību sakarā ar </w:t>
      </w:r>
      <w:r w:rsidR="005223EC">
        <w:t>SIA „Zeninvest”</w:t>
      </w:r>
      <w:r>
        <w:t xml:space="preserve"> kasācijas sūdzību par Administratīvās </w:t>
      </w:r>
      <w:r w:rsidR="005223EC">
        <w:t>apgabaltiesas</w:t>
      </w:r>
      <w:r>
        <w:t xml:space="preserve"> </w:t>
      </w:r>
      <w:r w:rsidR="005223EC" w:rsidRPr="005223EC">
        <w:t>2024.gada 28.novembra</w:t>
      </w:r>
      <w:r>
        <w:t xml:space="preserve"> spriedumu</w:t>
      </w:r>
      <w:r w:rsidR="00DD0455">
        <w:t>;</w:t>
      </w:r>
    </w:p>
    <w:p w14:paraId="403C60E0" w14:textId="313DC838" w:rsidR="00DD0455" w:rsidRDefault="00DD0455" w:rsidP="005C0D44">
      <w:pPr>
        <w:spacing w:line="276" w:lineRule="auto"/>
        <w:ind w:firstLine="720"/>
        <w:jc w:val="both"/>
      </w:pPr>
      <w:r>
        <w:t xml:space="preserve">atteikt pieņemt šā lēmuma </w:t>
      </w:r>
      <w:r w:rsidR="005223EC">
        <w:t>7</w:t>
      </w:r>
      <w:r>
        <w:t>.punktā norādītos dokumentus.</w:t>
      </w:r>
    </w:p>
    <w:p w14:paraId="72B89E19" w14:textId="77777777" w:rsidR="00A50150" w:rsidRDefault="00A50150" w:rsidP="005C0D44">
      <w:pPr>
        <w:spacing w:line="276" w:lineRule="auto"/>
        <w:ind w:firstLine="720"/>
        <w:jc w:val="both"/>
      </w:pPr>
    </w:p>
    <w:p w14:paraId="67EF9184" w14:textId="77777777" w:rsidR="00D566B1" w:rsidRDefault="00D566B1" w:rsidP="005C0D44">
      <w:pPr>
        <w:spacing w:after="160" w:line="276" w:lineRule="auto"/>
      </w:pPr>
      <w:r>
        <w:br w:type="page"/>
      </w:r>
    </w:p>
    <w:p w14:paraId="2F9609F0" w14:textId="09D26815" w:rsidR="00A50150" w:rsidRDefault="00A50150" w:rsidP="005C0D44">
      <w:pPr>
        <w:spacing w:line="276" w:lineRule="auto"/>
        <w:ind w:firstLine="720"/>
        <w:jc w:val="both"/>
      </w:pPr>
      <w:r w:rsidRPr="00B17B0C">
        <w:t xml:space="preserve">Lēmums </w:t>
      </w:r>
      <w:r w:rsidRPr="001F40A0">
        <w:t>nav pārsūdzams.</w:t>
      </w:r>
    </w:p>
    <w:p w14:paraId="2A08028C" w14:textId="77777777" w:rsidR="00A50150" w:rsidRDefault="00A50150" w:rsidP="005C0D44">
      <w:pPr>
        <w:spacing w:line="276" w:lineRule="auto"/>
        <w:ind w:firstLine="720"/>
        <w:jc w:val="both"/>
      </w:pPr>
    </w:p>
    <w:p w14:paraId="291A5F8D" w14:textId="77777777" w:rsidR="001B2F01" w:rsidRDefault="001B2F01" w:rsidP="005C0D44">
      <w:pPr>
        <w:spacing w:line="276" w:lineRule="auto"/>
        <w:jc w:val="both"/>
      </w:pPr>
    </w:p>
    <w:p w14:paraId="03BE8486" w14:textId="77777777" w:rsidR="001B2F01" w:rsidRDefault="001B2F01" w:rsidP="005C0D44">
      <w:pPr>
        <w:spacing w:line="276" w:lineRule="auto"/>
        <w:jc w:val="both"/>
      </w:pPr>
    </w:p>
    <w:p w14:paraId="7E18D50E" w14:textId="77777777" w:rsidR="001B2F01" w:rsidRDefault="001B2F01" w:rsidP="005C0D44">
      <w:pPr>
        <w:spacing w:line="276"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6"/>
        <w:gridCol w:w="2850"/>
        <w:gridCol w:w="2828"/>
      </w:tblGrid>
      <w:tr w:rsidR="001B2F01" w14:paraId="4A4DEA74" w14:textId="77777777" w:rsidTr="001B2F01">
        <w:tc>
          <w:tcPr>
            <w:tcW w:w="2942" w:type="dxa"/>
            <w:vAlign w:val="center"/>
          </w:tcPr>
          <w:p w14:paraId="118F7FD9" w14:textId="7A4AECD7" w:rsidR="001B2F01" w:rsidRPr="001B2F01" w:rsidRDefault="001B2F01" w:rsidP="005C0D44">
            <w:pPr>
              <w:spacing w:line="276" w:lineRule="auto"/>
              <w:rPr>
                <w:sz w:val="24"/>
                <w:szCs w:val="32"/>
              </w:rPr>
            </w:pPr>
            <w:r w:rsidRPr="001B2F01">
              <w:rPr>
                <w:sz w:val="24"/>
                <w:szCs w:val="32"/>
              </w:rPr>
              <w:t>Senators J. Pleps</w:t>
            </w:r>
          </w:p>
        </w:tc>
        <w:tc>
          <w:tcPr>
            <w:tcW w:w="2943" w:type="dxa"/>
            <w:vAlign w:val="center"/>
          </w:tcPr>
          <w:p w14:paraId="49286952" w14:textId="529FE0ED" w:rsidR="001B2F01" w:rsidRPr="001B2F01" w:rsidRDefault="001B2F01" w:rsidP="005C0D44">
            <w:pPr>
              <w:spacing w:line="276" w:lineRule="auto"/>
              <w:jc w:val="center"/>
              <w:rPr>
                <w:sz w:val="24"/>
                <w:szCs w:val="32"/>
              </w:rPr>
            </w:pPr>
            <w:r w:rsidRPr="001B2F01">
              <w:rPr>
                <w:sz w:val="24"/>
                <w:szCs w:val="32"/>
              </w:rPr>
              <w:t>Senator</w:t>
            </w:r>
            <w:r w:rsidR="00E97506">
              <w:rPr>
                <w:sz w:val="24"/>
                <w:szCs w:val="32"/>
              </w:rPr>
              <w:t>e L. Konošonoka</w:t>
            </w:r>
          </w:p>
        </w:tc>
        <w:tc>
          <w:tcPr>
            <w:tcW w:w="2943" w:type="dxa"/>
            <w:vAlign w:val="center"/>
          </w:tcPr>
          <w:p w14:paraId="2E5D3F30" w14:textId="4A6779BE" w:rsidR="001B2F01" w:rsidRPr="001B2F01" w:rsidRDefault="001B2F01" w:rsidP="005C0D44">
            <w:pPr>
              <w:spacing w:line="276" w:lineRule="auto"/>
              <w:jc w:val="right"/>
              <w:rPr>
                <w:sz w:val="24"/>
                <w:szCs w:val="32"/>
              </w:rPr>
            </w:pPr>
            <w:r w:rsidRPr="001B2F01">
              <w:rPr>
                <w:sz w:val="24"/>
                <w:szCs w:val="32"/>
              </w:rPr>
              <w:t>Senator</w:t>
            </w:r>
            <w:r w:rsidR="00E97506">
              <w:rPr>
                <w:sz w:val="24"/>
                <w:szCs w:val="32"/>
              </w:rPr>
              <w:t>e R. Vīduša</w:t>
            </w:r>
          </w:p>
        </w:tc>
      </w:tr>
    </w:tbl>
    <w:p w14:paraId="1DC169D9" w14:textId="77777777" w:rsidR="00B54F4B" w:rsidRDefault="00B54F4B"/>
    <w:sectPr w:rsidR="00B54F4B" w:rsidSect="00BD286D">
      <w:footerReference w:type="default" r:id="rId12"/>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77E88" w14:textId="77777777" w:rsidR="00E84FB2" w:rsidRDefault="00E84FB2" w:rsidP="009F7ACE">
      <w:r>
        <w:separator/>
      </w:r>
    </w:p>
  </w:endnote>
  <w:endnote w:type="continuationSeparator" w:id="0">
    <w:p w14:paraId="1713C9FB" w14:textId="77777777" w:rsidR="00E84FB2" w:rsidRDefault="00E84FB2" w:rsidP="009F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8278" w14:textId="7FBFBB19" w:rsidR="009F7ACE" w:rsidRPr="009F7ACE" w:rsidRDefault="009F7ACE"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E84FB2">
      <w:rPr>
        <w:rStyle w:val="PageNumber"/>
        <w:noProof/>
        <w:sz w:val="20"/>
        <w:szCs w:val="20"/>
      </w:rPr>
      <w:t>1</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51F98" w14:textId="77777777" w:rsidR="00E84FB2" w:rsidRDefault="00E84FB2" w:rsidP="009F7ACE">
      <w:r>
        <w:separator/>
      </w:r>
    </w:p>
  </w:footnote>
  <w:footnote w:type="continuationSeparator" w:id="0">
    <w:p w14:paraId="43947F81" w14:textId="77777777" w:rsidR="00E84FB2" w:rsidRDefault="00E84FB2" w:rsidP="009F7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205838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lv-LV" w:vendorID="71" w:dllVersion="512" w:checkStyle="1"/>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33458"/>
    <w:rsid w:val="00056050"/>
    <w:rsid w:val="00065D5F"/>
    <w:rsid w:val="00065F20"/>
    <w:rsid w:val="00070717"/>
    <w:rsid w:val="00075F46"/>
    <w:rsid w:val="00093086"/>
    <w:rsid w:val="000A5C94"/>
    <w:rsid w:val="000A65CA"/>
    <w:rsid w:val="000B5032"/>
    <w:rsid w:val="000B7078"/>
    <w:rsid w:val="000E008F"/>
    <w:rsid w:val="00104700"/>
    <w:rsid w:val="00120DB9"/>
    <w:rsid w:val="00125F38"/>
    <w:rsid w:val="00127A9C"/>
    <w:rsid w:val="00134E18"/>
    <w:rsid w:val="0014426B"/>
    <w:rsid w:val="00144D95"/>
    <w:rsid w:val="0015428F"/>
    <w:rsid w:val="00163A4D"/>
    <w:rsid w:val="00193164"/>
    <w:rsid w:val="00194C45"/>
    <w:rsid w:val="001A50DA"/>
    <w:rsid w:val="001B2F01"/>
    <w:rsid w:val="001F0583"/>
    <w:rsid w:val="0020790E"/>
    <w:rsid w:val="0022107A"/>
    <w:rsid w:val="00242CB5"/>
    <w:rsid w:val="00273A50"/>
    <w:rsid w:val="00295DA0"/>
    <w:rsid w:val="00295DF8"/>
    <w:rsid w:val="002B26F3"/>
    <w:rsid w:val="002B2E97"/>
    <w:rsid w:val="002D007E"/>
    <w:rsid w:val="00307B8A"/>
    <w:rsid w:val="00333601"/>
    <w:rsid w:val="00362487"/>
    <w:rsid w:val="00372702"/>
    <w:rsid w:val="003728CD"/>
    <w:rsid w:val="003732BA"/>
    <w:rsid w:val="003868E2"/>
    <w:rsid w:val="003928E2"/>
    <w:rsid w:val="00397282"/>
    <w:rsid w:val="003A0E34"/>
    <w:rsid w:val="003A5E8E"/>
    <w:rsid w:val="003B080C"/>
    <w:rsid w:val="003B0FF6"/>
    <w:rsid w:val="003D6244"/>
    <w:rsid w:val="00411CD0"/>
    <w:rsid w:val="00413762"/>
    <w:rsid w:val="00434516"/>
    <w:rsid w:val="00434C2E"/>
    <w:rsid w:val="00442F09"/>
    <w:rsid w:val="00447EE6"/>
    <w:rsid w:val="00457C23"/>
    <w:rsid w:val="00460E2F"/>
    <w:rsid w:val="00480C74"/>
    <w:rsid w:val="00491138"/>
    <w:rsid w:val="004A3029"/>
    <w:rsid w:val="004A5EB0"/>
    <w:rsid w:val="004B2A94"/>
    <w:rsid w:val="004D07D5"/>
    <w:rsid w:val="004D1A8B"/>
    <w:rsid w:val="004E123C"/>
    <w:rsid w:val="00506F4C"/>
    <w:rsid w:val="00510EF0"/>
    <w:rsid w:val="00517D0C"/>
    <w:rsid w:val="005223EC"/>
    <w:rsid w:val="00535F3E"/>
    <w:rsid w:val="00547C02"/>
    <w:rsid w:val="0055338A"/>
    <w:rsid w:val="005628AC"/>
    <w:rsid w:val="005978E7"/>
    <w:rsid w:val="005C0D44"/>
    <w:rsid w:val="005C2983"/>
    <w:rsid w:val="005C3C2D"/>
    <w:rsid w:val="005C3DF0"/>
    <w:rsid w:val="005F053F"/>
    <w:rsid w:val="005F31FD"/>
    <w:rsid w:val="00603234"/>
    <w:rsid w:val="006266C1"/>
    <w:rsid w:val="00633186"/>
    <w:rsid w:val="006434F8"/>
    <w:rsid w:val="0064653E"/>
    <w:rsid w:val="006555EC"/>
    <w:rsid w:val="0067152D"/>
    <w:rsid w:val="00675DCE"/>
    <w:rsid w:val="00686785"/>
    <w:rsid w:val="006C7156"/>
    <w:rsid w:val="006D2005"/>
    <w:rsid w:val="006F32AA"/>
    <w:rsid w:val="00701B84"/>
    <w:rsid w:val="00723D3D"/>
    <w:rsid w:val="00726606"/>
    <w:rsid w:val="00727077"/>
    <w:rsid w:val="0073071A"/>
    <w:rsid w:val="0073712D"/>
    <w:rsid w:val="00750BCB"/>
    <w:rsid w:val="007646F7"/>
    <w:rsid w:val="00767379"/>
    <w:rsid w:val="00790BB2"/>
    <w:rsid w:val="00794190"/>
    <w:rsid w:val="007A634B"/>
    <w:rsid w:val="007C32C8"/>
    <w:rsid w:val="007F30DA"/>
    <w:rsid w:val="007F57CA"/>
    <w:rsid w:val="00815374"/>
    <w:rsid w:val="0082117B"/>
    <w:rsid w:val="008219D8"/>
    <w:rsid w:val="0082315C"/>
    <w:rsid w:val="008244E4"/>
    <w:rsid w:val="0082590C"/>
    <w:rsid w:val="00826624"/>
    <w:rsid w:val="008744A3"/>
    <w:rsid w:val="008774FB"/>
    <w:rsid w:val="00893054"/>
    <w:rsid w:val="008A49A1"/>
    <w:rsid w:val="008A6F24"/>
    <w:rsid w:val="008B496F"/>
    <w:rsid w:val="008C13F5"/>
    <w:rsid w:val="008C43F1"/>
    <w:rsid w:val="008E1777"/>
    <w:rsid w:val="008E23E0"/>
    <w:rsid w:val="008F0317"/>
    <w:rsid w:val="008F470D"/>
    <w:rsid w:val="00914A01"/>
    <w:rsid w:val="00924126"/>
    <w:rsid w:val="00936F92"/>
    <w:rsid w:val="00944D4C"/>
    <w:rsid w:val="00951F89"/>
    <w:rsid w:val="00955437"/>
    <w:rsid w:val="00994667"/>
    <w:rsid w:val="009A43B4"/>
    <w:rsid w:val="009A4AD5"/>
    <w:rsid w:val="009A6D43"/>
    <w:rsid w:val="009D587E"/>
    <w:rsid w:val="009E4E1E"/>
    <w:rsid w:val="009E6DA7"/>
    <w:rsid w:val="009F036C"/>
    <w:rsid w:val="009F7ACE"/>
    <w:rsid w:val="00A0088B"/>
    <w:rsid w:val="00A11873"/>
    <w:rsid w:val="00A16E8D"/>
    <w:rsid w:val="00A402D7"/>
    <w:rsid w:val="00A474C9"/>
    <w:rsid w:val="00A50150"/>
    <w:rsid w:val="00A563B3"/>
    <w:rsid w:val="00A723B7"/>
    <w:rsid w:val="00A74201"/>
    <w:rsid w:val="00AA038F"/>
    <w:rsid w:val="00AB320C"/>
    <w:rsid w:val="00B040E8"/>
    <w:rsid w:val="00B04282"/>
    <w:rsid w:val="00B10607"/>
    <w:rsid w:val="00B170B8"/>
    <w:rsid w:val="00B2371C"/>
    <w:rsid w:val="00B431FB"/>
    <w:rsid w:val="00B5288D"/>
    <w:rsid w:val="00B54F4B"/>
    <w:rsid w:val="00B85351"/>
    <w:rsid w:val="00BD286D"/>
    <w:rsid w:val="00BF21E2"/>
    <w:rsid w:val="00C1458D"/>
    <w:rsid w:val="00C1752C"/>
    <w:rsid w:val="00C25E52"/>
    <w:rsid w:val="00C37AD3"/>
    <w:rsid w:val="00C46BF8"/>
    <w:rsid w:val="00C5023B"/>
    <w:rsid w:val="00C64443"/>
    <w:rsid w:val="00C7409C"/>
    <w:rsid w:val="00C80098"/>
    <w:rsid w:val="00CA2D69"/>
    <w:rsid w:val="00CA383B"/>
    <w:rsid w:val="00CA5B78"/>
    <w:rsid w:val="00CB08D6"/>
    <w:rsid w:val="00CB3556"/>
    <w:rsid w:val="00CB3D76"/>
    <w:rsid w:val="00CC5F76"/>
    <w:rsid w:val="00CD039A"/>
    <w:rsid w:val="00CE126D"/>
    <w:rsid w:val="00CF39E3"/>
    <w:rsid w:val="00D25D87"/>
    <w:rsid w:val="00D27BEF"/>
    <w:rsid w:val="00D4276D"/>
    <w:rsid w:val="00D566B1"/>
    <w:rsid w:val="00D92AF3"/>
    <w:rsid w:val="00D9786F"/>
    <w:rsid w:val="00DB1A2C"/>
    <w:rsid w:val="00DD0455"/>
    <w:rsid w:val="00DE277D"/>
    <w:rsid w:val="00DF1A47"/>
    <w:rsid w:val="00DF7CB2"/>
    <w:rsid w:val="00E07B93"/>
    <w:rsid w:val="00E11181"/>
    <w:rsid w:val="00E11DC3"/>
    <w:rsid w:val="00E120A5"/>
    <w:rsid w:val="00E161FD"/>
    <w:rsid w:val="00E16306"/>
    <w:rsid w:val="00E8413F"/>
    <w:rsid w:val="00E84FB2"/>
    <w:rsid w:val="00E8617F"/>
    <w:rsid w:val="00E90EE9"/>
    <w:rsid w:val="00E97506"/>
    <w:rsid w:val="00EB6723"/>
    <w:rsid w:val="00EC1337"/>
    <w:rsid w:val="00EF09EE"/>
    <w:rsid w:val="00F27433"/>
    <w:rsid w:val="00F41C2D"/>
    <w:rsid w:val="00F570C2"/>
    <w:rsid w:val="00F57659"/>
    <w:rsid w:val="00F6567F"/>
    <w:rsid w:val="00F67A5C"/>
    <w:rsid w:val="00F80892"/>
    <w:rsid w:val="00FA1BFF"/>
    <w:rsid w:val="00FA208A"/>
    <w:rsid w:val="00FA54F8"/>
    <w:rsid w:val="00FA6FD3"/>
    <w:rsid w:val="00FD3BB8"/>
    <w:rsid w:val="00FE2871"/>
    <w:rsid w:val="00FE4B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82D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9F7ACE"/>
    <w:pPr>
      <w:tabs>
        <w:tab w:val="center" w:pos="4513"/>
        <w:tab w:val="right" w:pos="9026"/>
      </w:tabs>
    </w:pPr>
  </w:style>
  <w:style w:type="character" w:customStyle="1" w:styleId="HeaderChar">
    <w:name w:val="Header Char"/>
    <w:basedOn w:val="DefaultParagraphFont"/>
    <w:link w:val="Header"/>
    <w:uiPriority w:val="99"/>
    <w:rsid w:val="009F7ACE"/>
    <w:rPr>
      <w:rFonts w:eastAsia="Times New Roman" w:cs="Times New Roman"/>
      <w:szCs w:val="24"/>
      <w:lang w:val="lv-LV" w:eastAsia="ru-RU"/>
    </w:rPr>
  </w:style>
  <w:style w:type="paragraph" w:styleId="Footer">
    <w:name w:val="footer"/>
    <w:basedOn w:val="Normal"/>
    <w:link w:val="FooterChar"/>
    <w:unhideWhenUsed/>
    <w:rsid w:val="009F7ACE"/>
    <w:pPr>
      <w:tabs>
        <w:tab w:val="center" w:pos="4513"/>
        <w:tab w:val="right" w:pos="9026"/>
      </w:tabs>
    </w:pPr>
  </w:style>
  <w:style w:type="character" w:customStyle="1" w:styleId="FooterChar">
    <w:name w:val="Footer Char"/>
    <w:basedOn w:val="DefaultParagraphFont"/>
    <w:link w:val="Footer"/>
    <w:rsid w:val="009F7ACE"/>
    <w:rPr>
      <w:rFonts w:eastAsia="Times New Roman" w:cs="Times New Roman"/>
      <w:szCs w:val="24"/>
      <w:lang w:val="lv-LV" w:eastAsia="ru-RU"/>
    </w:rPr>
  </w:style>
  <w:style w:type="character" w:styleId="PageNumber">
    <w:name w:val="page number"/>
    <w:basedOn w:val="DefaultParagraphFont"/>
    <w:semiHidden/>
    <w:unhideWhenUsed/>
    <w:rsid w:val="009F7ACE"/>
  </w:style>
  <w:style w:type="character" w:styleId="Hyperlink">
    <w:name w:val="Hyperlink"/>
    <w:basedOn w:val="DefaultParagraphFont"/>
    <w:uiPriority w:val="99"/>
    <w:unhideWhenUsed/>
    <w:rsid w:val="005C3DF0"/>
    <w:rPr>
      <w:color w:val="0563C1" w:themeColor="hyperlink"/>
      <w:u w:val="single"/>
    </w:rPr>
  </w:style>
  <w:style w:type="character" w:styleId="UnresolvedMention">
    <w:name w:val="Unresolved Mention"/>
    <w:basedOn w:val="DefaultParagraphFont"/>
    <w:uiPriority w:val="99"/>
    <w:semiHidden/>
    <w:unhideWhenUsed/>
    <w:rsid w:val="005C3DF0"/>
    <w:rPr>
      <w:color w:val="605E5C"/>
      <w:shd w:val="clear" w:color="auto" w:fill="E1DFDD"/>
    </w:rPr>
  </w:style>
  <w:style w:type="character" w:styleId="CommentReference">
    <w:name w:val="annotation reference"/>
    <w:basedOn w:val="DefaultParagraphFont"/>
    <w:uiPriority w:val="99"/>
    <w:semiHidden/>
    <w:unhideWhenUsed/>
    <w:rsid w:val="00815374"/>
    <w:rPr>
      <w:sz w:val="16"/>
      <w:szCs w:val="16"/>
    </w:rPr>
  </w:style>
  <w:style w:type="paragraph" w:styleId="CommentText">
    <w:name w:val="annotation text"/>
    <w:basedOn w:val="Normal"/>
    <w:link w:val="CommentTextChar"/>
    <w:uiPriority w:val="99"/>
    <w:unhideWhenUsed/>
    <w:rsid w:val="00815374"/>
    <w:rPr>
      <w:sz w:val="20"/>
      <w:szCs w:val="20"/>
    </w:rPr>
  </w:style>
  <w:style w:type="character" w:customStyle="1" w:styleId="CommentTextChar">
    <w:name w:val="Comment Text Char"/>
    <w:basedOn w:val="DefaultParagraphFont"/>
    <w:link w:val="CommentText"/>
    <w:uiPriority w:val="99"/>
    <w:rsid w:val="00815374"/>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815374"/>
    <w:rPr>
      <w:b/>
      <w:bCs/>
    </w:rPr>
  </w:style>
  <w:style w:type="character" w:customStyle="1" w:styleId="CommentSubjectChar">
    <w:name w:val="Comment Subject Char"/>
    <w:basedOn w:val="CommentTextChar"/>
    <w:link w:val="CommentSubject"/>
    <w:uiPriority w:val="99"/>
    <w:semiHidden/>
    <w:rsid w:val="00815374"/>
    <w:rPr>
      <w:rFonts w:eastAsia="Times New Roman" w:cs="Times New Roman"/>
      <w:b/>
      <w:bCs/>
      <w:sz w:val="20"/>
      <w:szCs w:val="20"/>
      <w:lang w:val="lv-LV" w:eastAsia="ru-RU"/>
    </w:rPr>
  </w:style>
  <w:style w:type="paragraph" w:styleId="Revision">
    <w:name w:val="Revision"/>
    <w:hidden/>
    <w:uiPriority w:val="99"/>
    <w:semiHidden/>
    <w:rsid w:val="00B431FB"/>
    <w:pPr>
      <w:spacing w:after="0" w:line="240" w:lineRule="auto"/>
    </w:pPr>
    <w:rPr>
      <w:rFonts w:eastAsia="Times New Roman" w:cs="Times New Roman"/>
      <w:szCs w:val="24"/>
      <w:lang w:val="lv-LV" w:eastAsia="ru-RU"/>
    </w:rPr>
  </w:style>
  <w:style w:type="character" w:styleId="FollowedHyperlink">
    <w:name w:val="FollowedHyperlink"/>
    <w:basedOn w:val="DefaultParagraphFont"/>
    <w:uiPriority w:val="99"/>
    <w:semiHidden/>
    <w:unhideWhenUsed/>
    <w:rsid w:val="00065F20"/>
    <w:rPr>
      <w:color w:val="954F72" w:themeColor="followedHyperlink"/>
      <w:u w:val="single"/>
    </w:rPr>
  </w:style>
  <w:style w:type="paragraph" w:customStyle="1" w:styleId="Default">
    <w:name w:val="Default"/>
    <w:rsid w:val="00362487"/>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70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stnesis.lv/ta/id/15904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ateway.elieta.lv/api/v1/PublicMaterialDownload/70d3fdfa-b287-48e2-bed4-baec9bb240a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ateway.elieta.lv/api/v1/PublicMaterialDownload/d72d2383-17ac-49e4-ab55-5b186f413d3b" TargetMode="External"/><Relationship Id="rId5" Type="http://schemas.openxmlformats.org/officeDocument/2006/relationships/footnotes" Target="footnotes.xml"/><Relationship Id="rId10" Type="http://schemas.openxmlformats.org/officeDocument/2006/relationships/hyperlink" Target="https://gateway.elieta.lv/api/v1/PublicMaterialDownload/1a1f86fc-91b7-4c95-b101-63686c137593" TargetMode="External"/><Relationship Id="rId4" Type="http://schemas.openxmlformats.org/officeDocument/2006/relationships/webSettings" Target="webSettings.xml"/><Relationship Id="rId9" Type="http://schemas.openxmlformats.org/officeDocument/2006/relationships/hyperlink" Target="https://tapportals.mk.gov.lv/annotation/23d16c14-2449-450c-82e9-e47156afce1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8697</Words>
  <Characters>4958</Characters>
  <Application>Microsoft Office Word</Application>
  <DocSecurity>0</DocSecurity>
  <Lines>41</Lines>
  <Paragraphs>27</Paragraphs>
  <ScaleCrop>false</ScaleCrop>
  <Company/>
  <LinksUpToDate>false</LinksUpToDate>
  <CharactersWithSpaces>13628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2026-04-23T13:53:00Z</dcterms:created>
  <dcterms:modified xsi:type="dcterms:W3CDTF">2026-04-23T13:53:00Z</dcterms:modified>
</cp:coreProperties>
</file>