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903B2" w14:textId="77777777" w:rsidR="005E549E" w:rsidRPr="00F72A0E" w:rsidRDefault="005E549E" w:rsidP="005E549E">
      <w:pPr>
        <w:pStyle w:val="ListParagraph"/>
        <w:spacing w:after="0" w:line="276" w:lineRule="auto"/>
        <w:ind w:left="0"/>
        <w:jc w:val="both"/>
        <w:rPr>
          <w:i/>
          <w:iCs/>
        </w:rPr>
      </w:pPr>
      <w:r w:rsidRPr="00F72A0E">
        <w:rPr>
          <w:b/>
          <w:bCs/>
        </w:rPr>
        <w:t>Darbību ar vielu maisījumu, kura sastāvā ir narkotiskās vielas jebkurā daudzumā, kas nav nodalāms no vielu maisījuma kopējā daudzuma, kvalifikācija</w:t>
      </w:r>
    </w:p>
    <w:p w14:paraId="29F005FC" w14:textId="729D0CAA" w:rsidR="005E549E" w:rsidRDefault="005E549E" w:rsidP="00F5007A">
      <w:pPr>
        <w:pStyle w:val="ListParagraph"/>
        <w:spacing w:after="0" w:line="276" w:lineRule="auto"/>
        <w:ind w:left="0"/>
        <w:jc w:val="both"/>
      </w:pPr>
      <w:r w:rsidRPr="00F72A0E">
        <w:t xml:space="preserve">Gadījumos, kad vielu maisījuma sastāvā ir konstatēts </w:t>
      </w:r>
      <w:proofErr w:type="spellStart"/>
      <w:r w:rsidRPr="00F72A0E">
        <w:t>dronabinols</w:t>
      </w:r>
      <w:proofErr w:type="spellEnd"/>
      <w:r w:rsidRPr="00F72A0E">
        <w:t xml:space="preserve"> (delta-9-tetrahidrokanabinols) jebkurā daudzumā un tas nav nodalāms no vielu maisījuma kopējā daudzuma, tad, kvalificējot noziedzīgu nodarījumu, jāņem vērā visa maisījuma kopējais apmērs. Līdz ar to liela apmēra konstatēšanai noteicošais kritērijs ir personas darbības ar vielu maisījuma kopējo daudzumu (sasniedzot 50 gramus), nevis tajā esošās narkotiskās vai psihotropās vielas – </w:t>
      </w:r>
      <w:proofErr w:type="spellStart"/>
      <w:r w:rsidRPr="00F72A0E">
        <w:t>dronabinola</w:t>
      </w:r>
      <w:proofErr w:type="spellEnd"/>
      <w:r w:rsidRPr="00F72A0E">
        <w:t xml:space="preserve"> – faktiskais apmērs.</w:t>
      </w:r>
    </w:p>
    <w:p w14:paraId="67E65A57" w14:textId="77777777" w:rsidR="005E549E" w:rsidRPr="00F72A0E" w:rsidRDefault="005E549E" w:rsidP="005E549E">
      <w:pPr>
        <w:pStyle w:val="ListParagraph"/>
        <w:spacing w:after="0" w:line="276" w:lineRule="auto"/>
        <w:ind w:left="0"/>
        <w:jc w:val="both"/>
      </w:pPr>
    </w:p>
    <w:p w14:paraId="7CD3E6EE" w14:textId="77777777" w:rsidR="005E549E" w:rsidRPr="00F72A0E" w:rsidRDefault="005E549E" w:rsidP="005E549E">
      <w:pPr>
        <w:pStyle w:val="ListParagraph"/>
        <w:spacing w:after="0" w:line="276" w:lineRule="auto"/>
        <w:ind w:left="0"/>
        <w:jc w:val="both"/>
        <w:rPr>
          <w:b/>
          <w:bCs/>
        </w:rPr>
      </w:pPr>
      <w:r w:rsidRPr="00F72A0E">
        <w:rPr>
          <w:b/>
          <w:bCs/>
        </w:rPr>
        <w:t>Krimināllikuma 253.</w:t>
      </w:r>
      <w:r w:rsidRPr="00F72A0E">
        <w:rPr>
          <w:b/>
          <w:bCs/>
          <w:vertAlign w:val="superscript"/>
        </w:rPr>
        <w:t>1</w:t>
      </w:r>
      <w:r>
        <w:rPr>
          <w:b/>
          <w:bCs/>
        </w:rPr>
        <w:t> </w:t>
      </w:r>
      <w:r w:rsidRPr="00F72A0E">
        <w:rPr>
          <w:b/>
          <w:bCs/>
        </w:rPr>
        <w:t>panta trešajā daļā paredzētā soda smaguma samērīguma vērtējums attiecībā pret noziedzīgā nodarījuma smagumu Eiropas Savienības tiesību kontekstā</w:t>
      </w:r>
    </w:p>
    <w:p w14:paraId="684F3417" w14:textId="77777777" w:rsidR="005E549E" w:rsidRPr="00F72A0E" w:rsidRDefault="005E549E" w:rsidP="005E549E">
      <w:pPr>
        <w:pStyle w:val="ListParagraph"/>
        <w:spacing w:after="0" w:line="276" w:lineRule="auto"/>
        <w:ind w:left="0"/>
        <w:jc w:val="both"/>
      </w:pPr>
      <w:r w:rsidRPr="00F72A0E">
        <w:t>Pamatlēmumā 2004/757/TI (turpmāk – Pamatlēmums), ar ko paredz minimuma noteikumus par noziedzīgu darbību pazīmēm un sodiem narkotisko vielu nelikumīgas tirdzniecības jomā, noteikti vienīgi minimālie standarti attiecībā uz noziedzīgu nodarījumu sastāva pazīmēm un piemērojamiem sodiem narkotiku un prekursoru nelikumīgas aprites jomā, lai nodrošinātu vienotu pieeju Eiropas Savienības līmenī cīņā pret nelegālu narkotiku tirdzniecību.</w:t>
      </w:r>
    </w:p>
    <w:p w14:paraId="418E4B78" w14:textId="77777777" w:rsidR="005E549E" w:rsidRPr="00F72A0E" w:rsidRDefault="005E549E" w:rsidP="005E549E">
      <w:pPr>
        <w:pStyle w:val="ListParagraph"/>
        <w:spacing w:after="0" w:line="276" w:lineRule="auto"/>
        <w:ind w:left="0"/>
        <w:jc w:val="both"/>
      </w:pPr>
      <w:r w:rsidRPr="00F72A0E">
        <w:t xml:space="preserve">Dalībvalstīm Pamatlēmums ir saistošs tikai attiecībā uz sasniedzamo rezultātu, bet atstāj brīvību izvēlēties to īstenošanas formu un metodes. </w:t>
      </w:r>
    </w:p>
    <w:p w14:paraId="0AF210C4" w14:textId="34B48099" w:rsidR="005E549E" w:rsidRPr="00F72A0E" w:rsidRDefault="005E549E" w:rsidP="005E549E">
      <w:pPr>
        <w:pStyle w:val="ListParagraph"/>
        <w:spacing w:after="0" w:line="276" w:lineRule="auto"/>
        <w:ind w:left="0"/>
        <w:jc w:val="both"/>
      </w:pPr>
      <w:r w:rsidRPr="00F72A0E">
        <w:t>Latvijā Krimināllikuma 253.</w:t>
      </w:r>
      <w:r w:rsidRPr="00F72A0E">
        <w:rPr>
          <w:vertAlign w:val="superscript"/>
        </w:rPr>
        <w:t>1</w:t>
      </w:r>
      <w:r>
        <w:t> </w:t>
      </w:r>
      <w:r w:rsidRPr="00F72A0E">
        <w:t>pants nosaka aizliegtās darbības (narkotisko un psihotropo vielu neatļauta izgatavošana, iegādāšanās, glabāšana, pārvadāšana un pārsūtīšana realizācijas nolūkā un neatļauta realizēšana) un par tām paredzētos sodus. Savukārt Latvijā kontrolējamo narkotisko vielu, psihotropo vielu un prekursoru saraksti ir noteikti likuma „Par Krimināllikuma spēkā stāšanās un piemērošanas kārtību” 2.</w:t>
      </w:r>
      <w:r>
        <w:t> </w:t>
      </w:r>
      <w:r w:rsidRPr="00F72A0E">
        <w:t>pielikumā „Latvijā kontrolējamās narkotiskās vielas, psihotropās vielas un prekursori un to nelikumīgas aprites iedalījuma apmēri”.</w:t>
      </w:r>
    </w:p>
    <w:p w14:paraId="0379DE56" w14:textId="77777777" w:rsidR="005E549E" w:rsidRDefault="005E549E" w:rsidP="005E549E">
      <w:pPr>
        <w:pStyle w:val="ListParagraph"/>
        <w:spacing w:after="0" w:line="276" w:lineRule="auto"/>
        <w:ind w:left="0"/>
        <w:jc w:val="both"/>
      </w:pPr>
      <w:r w:rsidRPr="00F72A0E">
        <w:t>Ievērojot to, ka Pamatlēmuma mērķis ir noteikt minimuma noteikumus par noziedzīgiem nodarījumiem un par tiem paredzētajiem sodiem narkotisko vielu nelikumīgas tirdzniecības jomā un ka tieši dalībvalstīm ir pienākums nodrošināt efektīvu cīņu pret narkotisko vielu nelikumīgu apriti, Krimināllikuma 253.</w:t>
      </w:r>
      <w:r w:rsidRPr="00F72A0E">
        <w:rPr>
          <w:vertAlign w:val="superscript"/>
        </w:rPr>
        <w:t>1</w:t>
      </w:r>
      <w:r>
        <w:t> </w:t>
      </w:r>
      <w:r w:rsidRPr="00F72A0E">
        <w:t>panta trešās daļas sankcijā paredzētais sods atbilst Pamatlēmuma 4. panta prasībām, no kurām izriet, ka gadījumos, kad noziedzīgais nodarījums ir saistīts ar lielu narkotisko vielu daudzumu, dalībvalstīm jāparedz būtiski bargāks sods – brīvības atņemšana, kuras maksimālais termiņš ir vismaz pieci līdz desmit gadi.</w:t>
      </w:r>
    </w:p>
    <w:p w14:paraId="15D96457" w14:textId="77777777" w:rsidR="005E549E" w:rsidRDefault="005E549E" w:rsidP="005E549E">
      <w:pPr>
        <w:pStyle w:val="ListParagraph"/>
        <w:spacing w:after="0" w:line="276" w:lineRule="auto"/>
        <w:ind w:left="0"/>
        <w:jc w:val="both"/>
      </w:pPr>
    </w:p>
    <w:p w14:paraId="450B9BD5" w14:textId="77777777" w:rsidR="005E549E" w:rsidRDefault="005E549E" w:rsidP="005E549E">
      <w:pPr>
        <w:pStyle w:val="ListParagraph"/>
        <w:spacing w:after="0" w:line="276" w:lineRule="auto"/>
        <w:ind w:left="0"/>
        <w:jc w:val="both"/>
        <w:rPr>
          <w:b/>
          <w:bCs/>
        </w:rPr>
      </w:pPr>
      <w:r w:rsidRPr="00B7023C">
        <w:rPr>
          <w:b/>
          <w:bCs/>
        </w:rPr>
        <w:t>Pamatojums atteikumam vērsties Eiropas Savienības Tiesā ar prejudiciālu jautājumu</w:t>
      </w:r>
    </w:p>
    <w:p w14:paraId="52358573" w14:textId="77777777" w:rsidR="005E549E" w:rsidRPr="00B7023C" w:rsidRDefault="005E549E" w:rsidP="005E549E">
      <w:pPr>
        <w:pStyle w:val="ListParagraph"/>
        <w:spacing w:after="0" w:line="276" w:lineRule="auto"/>
        <w:ind w:left="0"/>
        <w:jc w:val="both"/>
        <w:rPr>
          <w:b/>
          <w:bCs/>
        </w:rPr>
      </w:pPr>
    </w:p>
    <w:p w14:paraId="290D9479" w14:textId="3F173472" w:rsidR="00BA55DF" w:rsidRPr="00111C2D" w:rsidRDefault="00BA55DF" w:rsidP="005E549E">
      <w:pPr>
        <w:widowControl w:val="0"/>
        <w:spacing w:after="0" w:line="276" w:lineRule="auto"/>
        <w:jc w:val="center"/>
        <w:rPr>
          <w:rFonts w:cs="Times New Roman"/>
          <w:b/>
          <w:szCs w:val="24"/>
        </w:rPr>
      </w:pPr>
      <w:r w:rsidRPr="00111C2D">
        <w:rPr>
          <w:rFonts w:cs="Times New Roman"/>
          <w:b/>
          <w:szCs w:val="24"/>
        </w:rPr>
        <w:t>Latvijas Republikas Senāt</w:t>
      </w:r>
      <w:r w:rsidR="00111C2D" w:rsidRPr="00111C2D">
        <w:rPr>
          <w:rFonts w:cs="Times New Roman"/>
          <w:b/>
          <w:szCs w:val="24"/>
        </w:rPr>
        <w:t>a</w:t>
      </w:r>
    </w:p>
    <w:p w14:paraId="5E42A851" w14:textId="31527865" w:rsidR="00111C2D" w:rsidRPr="00111C2D" w:rsidRDefault="00111C2D" w:rsidP="00111C2D">
      <w:pPr>
        <w:widowControl w:val="0"/>
        <w:spacing w:after="0" w:line="276" w:lineRule="auto"/>
        <w:jc w:val="center"/>
        <w:rPr>
          <w:rFonts w:eastAsia="Times New Roman" w:cs="Times New Roman"/>
          <w:b/>
          <w:szCs w:val="24"/>
        </w:rPr>
      </w:pPr>
      <w:r w:rsidRPr="00111C2D">
        <w:rPr>
          <w:rFonts w:eastAsia="Times New Roman" w:cs="Times New Roman"/>
          <w:b/>
          <w:szCs w:val="24"/>
        </w:rPr>
        <w:t>Krimināllietu departamenta</w:t>
      </w:r>
    </w:p>
    <w:p w14:paraId="3CF29AC6" w14:textId="12D4E4A6" w:rsidR="00111C2D" w:rsidRPr="00111C2D" w:rsidRDefault="00111C2D" w:rsidP="00111C2D">
      <w:pPr>
        <w:widowControl w:val="0"/>
        <w:spacing w:after="0" w:line="276" w:lineRule="auto"/>
        <w:jc w:val="center"/>
        <w:rPr>
          <w:rFonts w:cs="Times New Roman"/>
          <w:b/>
          <w:szCs w:val="24"/>
        </w:rPr>
      </w:pPr>
      <w:r w:rsidRPr="00111C2D">
        <w:rPr>
          <w:rFonts w:eastAsia="Times New Roman" w:cs="Times New Roman"/>
          <w:b/>
          <w:szCs w:val="24"/>
        </w:rPr>
        <w:t>2026. gada 23. aprī</w:t>
      </w:r>
      <w:r w:rsidR="00FF134F">
        <w:rPr>
          <w:rFonts w:eastAsia="Times New Roman" w:cs="Times New Roman"/>
          <w:b/>
          <w:szCs w:val="24"/>
        </w:rPr>
        <w:t>ļa</w:t>
      </w:r>
    </w:p>
    <w:p w14:paraId="07C8A8AA" w14:textId="77777777" w:rsidR="00111C2D" w:rsidRPr="00111C2D" w:rsidRDefault="00BA55DF" w:rsidP="00111C2D">
      <w:pPr>
        <w:widowControl w:val="0"/>
        <w:spacing w:after="0" w:line="276" w:lineRule="auto"/>
        <w:jc w:val="center"/>
        <w:rPr>
          <w:rFonts w:cs="Times New Roman"/>
          <w:b/>
          <w:szCs w:val="24"/>
        </w:rPr>
      </w:pPr>
      <w:r w:rsidRPr="00111C2D">
        <w:rPr>
          <w:rFonts w:cs="Times New Roman"/>
          <w:b/>
          <w:szCs w:val="24"/>
        </w:rPr>
        <w:t>LĒMUMS</w:t>
      </w:r>
    </w:p>
    <w:p w14:paraId="60A642D4" w14:textId="3ED83727" w:rsidR="007C3205" w:rsidRDefault="00111C2D" w:rsidP="00111C2D">
      <w:pPr>
        <w:widowControl w:val="0"/>
        <w:spacing w:after="0" w:line="276" w:lineRule="auto"/>
        <w:jc w:val="center"/>
        <w:rPr>
          <w:rFonts w:eastAsia="Times New Roman" w:cs="Times New Roman"/>
          <w:b/>
          <w:color w:val="000000" w:themeColor="text1"/>
          <w:szCs w:val="24"/>
        </w:rPr>
      </w:pPr>
      <w:r w:rsidRPr="00111C2D">
        <w:rPr>
          <w:rFonts w:eastAsia="Times New Roman" w:cs="Times New Roman"/>
          <w:b/>
          <w:color w:val="000000" w:themeColor="text1"/>
          <w:szCs w:val="24"/>
        </w:rPr>
        <w:t>Lieta Nr. 10910083123, SKK</w:t>
      </w:r>
      <w:r w:rsidRPr="00111C2D">
        <w:rPr>
          <w:rFonts w:eastAsia="Times New Roman" w:cs="Times New Roman"/>
          <w:b/>
          <w:color w:val="000000" w:themeColor="text1"/>
          <w:szCs w:val="24"/>
        </w:rPr>
        <w:noBreakHyphen/>
        <w:t>36/2026</w:t>
      </w:r>
      <w:bookmarkStart w:id="0" w:name="_Hlk142035488"/>
    </w:p>
    <w:p w14:paraId="3CA8DFC9" w14:textId="431B7CBB" w:rsidR="00111C2D" w:rsidRPr="00111C2D" w:rsidRDefault="00111C2D" w:rsidP="00111C2D">
      <w:pPr>
        <w:widowControl w:val="0"/>
        <w:spacing w:after="0" w:line="276" w:lineRule="auto"/>
        <w:jc w:val="center"/>
        <w:rPr>
          <w:rFonts w:cs="Times New Roman"/>
          <w:bCs/>
          <w:szCs w:val="24"/>
        </w:rPr>
      </w:pPr>
      <w:hyperlink r:id="rId8" w:history="1">
        <w:r w:rsidRPr="00111C2D">
          <w:rPr>
            <w:rStyle w:val="Hyperlink"/>
            <w:rFonts w:cs="Times New Roman"/>
            <w:bCs/>
            <w:szCs w:val="24"/>
          </w:rPr>
          <w:t>ECLI:LV:AT:2026:042</w:t>
        </w:r>
        <w:r w:rsidRPr="00111C2D">
          <w:rPr>
            <w:rStyle w:val="Hyperlink"/>
            <w:rFonts w:cs="Times New Roman"/>
            <w:bCs/>
            <w:szCs w:val="24"/>
          </w:rPr>
          <w:t>3</w:t>
        </w:r>
        <w:r w:rsidRPr="00111C2D">
          <w:rPr>
            <w:rStyle w:val="Hyperlink"/>
            <w:rFonts w:cs="Times New Roman"/>
            <w:bCs/>
            <w:szCs w:val="24"/>
          </w:rPr>
          <w:t>.10910083123.5.L</w:t>
        </w:r>
      </w:hyperlink>
    </w:p>
    <w:p w14:paraId="38EC5483" w14:textId="77777777" w:rsidR="00E71924" w:rsidRPr="000452C2" w:rsidRDefault="00E71924" w:rsidP="006446AE">
      <w:pPr>
        <w:widowControl w:val="0"/>
        <w:spacing w:after="0" w:line="276" w:lineRule="auto"/>
        <w:ind w:firstLine="720"/>
        <w:jc w:val="both"/>
        <w:rPr>
          <w:rFonts w:eastAsia="Times New Roman" w:cs="Times New Roman"/>
          <w:szCs w:val="24"/>
        </w:rPr>
      </w:pPr>
    </w:p>
    <w:p w14:paraId="2C01BA4D" w14:textId="0EF203E1" w:rsidR="00BA55DF" w:rsidRPr="000452C2" w:rsidRDefault="00E31163" w:rsidP="006446AE">
      <w:pPr>
        <w:widowControl w:val="0"/>
        <w:tabs>
          <w:tab w:val="left" w:pos="1710"/>
        </w:tabs>
        <w:spacing w:after="0" w:line="276" w:lineRule="auto"/>
        <w:ind w:firstLine="720"/>
        <w:jc w:val="both"/>
        <w:rPr>
          <w:rFonts w:cs="Times New Roman"/>
          <w:szCs w:val="24"/>
        </w:rPr>
      </w:pPr>
      <w:r w:rsidRPr="000452C2">
        <w:rPr>
          <w:rFonts w:cs="Times New Roman"/>
          <w:szCs w:val="24"/>
        </w:rPr>
        <w:lastRenderedPageBreak/>
        <w:t>Senāts</w:t>
      </w:r>
      <w:r w:rsidR="00BA55DF" w:rsidRPr="000452C2">
        <w:rPr>
          <w:rFonts w:cs="Times New Roman"/>
          <w:szCs w:val="24"/>
        </w:rPr>
        <w:t xml:space="preserve"> šādā sastāvā: senator</w:t>
      </w:r>
      <w:r w:rsidRPr="000452C2">
        <w:rPr>
          <w:rFonts w:cs="Times New Roman"/>
          <w:szCs w:val="24"/>
        </w:rPr>
        <w:t>e referente</w:t>
      </w:r>
      <w:r w:rsidR="00BA55DF" w:rsidRPr="000452C2">
        <w:rPr>
          <w:rFonts w:cs="Times New Roman"/>
          <w:szCs w:val="24"/>
        </w:rPr>
        <w:t xml:space="preserve"> </w:t>
      </w:r>
      <w:r w:rsidR="003A4FEB" w:rsidRPr="000452C2">
        <w:rPr>
          <w:rFonts w:cs="Times New Roman"/>
          <w:szCs w:val="24"/>
        </w:rPr>
        <w:t>Sandra Kaija</w:t>
      </w:r>
      <w:r w:rsidR="00966258" w:rsidRPr="00B03927">
        <w:rPr>
          <w:rFonts w:cs="Times New Roman"/>
          <w:szCs w:val="24"/>
        </w:rPr>
        <w:t>,</w:t>
      </w:r>
      <w:r w:rsidR="00A34FC9" w:rsidRPr="00B03927">
        <w:rPr>
          <w:rFonts w:cs="Times New Roman"/>
          <w:szCs w:val="24"/>
        </w:rPr>
        <w:t xml:space="preserve"> </w:t>
      </w:r>
      <w:r w:rsidRPr="00B03927">
        <w:rPr>
          <w:rFonts w:cs="Times New Roman"/>
          <w:szCs w:val="24"/>
        </w:rPr>
        <w:t>senator</w:t>
      </w:r>
      <w:r w:rsidR="00610ECC" w:rsidRPr="00B03927">
        <w:rPr>
          <w:rFonts w:cs="Times New Roman"/>
          <w:szCs w:val="24"/>
        </w:rPr>
        <w:t xml:space="preserve">es </w:t>
      </w:r>
      <w:r w:rsidR="00B03927" w:rsidRPr="00B03927">
        <w:rPr>
          <w:rFonts w:cs="Times New Roman"/>
          <w:szCs w:val="24"/>
        </w:rPr>
        <w:t>Irīna</w:t>
      </w:r>
      <w:r w:rsidR="00B03927">
        <w:rPr>
          <w:rFonts w:cs="Times New Roman"/>
          <w:szCs w:val="24"/>
        </w:rPr>
        <w:t xml:space="preserve"> Jansone</w:t>
      </w:r>
      <w:r w:rsidR="003A4FEB" w:rsidRPr="000452C2">
        <w:rPr>
          <w:rFonts w:cs="Times New Roman"/>
          <w:szCs w:val="24"/>
        </w:rPr>
        <w:t xml:space="preserve"> </w:t>
      </w:r>
      <w:r w:rsidR="00610ECC" w:rsidRPr="000452C2">
        <w:rPr>
          <w:rFonts w:cs="Times New Roman"/>
          <w:szCs w:val="24"/>
        </w:rPr>
        <w:t xml:space="preserve">un </w:t>
      </w:r>
      <w:r w:rsidR="003A4FEB" w:rsidRPr="000452C2">
        <w:rPr>
          <w:rFonts w:cs="Times New Roman"/>
          <w:szCs w:val="24"/>
        </w:rPr>
        <w:t>Inguna Radzeviča</w:t>
      </w:r>
    </w:p>
    <w:p w14:paraId="5C1143BF" w14:textId="77777777" w:rsidR="00E71924" w:rsidRPr="000452C2" w:rsidRDefault="00E71924" w:rsidP="006446AE">
      <w:pPr>
        <w:widowControl w:val="0"/>
        <w:tabs>
          <w:tab w:val="left" w:pos="1710"/>
        </w:tabs>
        <w:spacing w:after="0" w:line="276" w:lineRule="auto"/>
        <w:ind w:firstLine="720"/>
        <w:jc w:val="both"/>
        <w:rPr>
          <w:rFonts w:cs="Times New Roman"/>
          <w:szCs w:val="24"/>
        </w:rPr>
      </w:pPr>
    </w:p>
    <w:p w14:paraId="2A58CA65" w14:textId="1B600FED" w:rsidR="00BA55DF" w:rsidRPr="000452C2" w:rsidRDefault="00BA55DF" w:rsidP="006446AE">
      <w:pPr>
        <w:widowControl w:val="0"/>
        <w:tabs>
          <w:tab w:val="left" w:pos="1710"/>
        </w:tabs>
        <w:spacing w:after="0" w:line="276" w:lineRule="auto"/>
        <w:ind w:firstLine="720"/>
        <w:jc w:val="both"/>
        <w:rPr>
          <w:rFonts w:eastAsia="Times New Roman" w:cs="Times New Roman"/>
          <w:szCs w:val="24"/>
        </w:rPr>
      </w:pPr>
      <w:r w:rsidRPr="000452C2">
        <w:rPr>
          <w:rFonts w:cs="Times New Roman"/>
          <w:szCs w:val="24"/>
        </w:rPr>
        <w:t xml:space="preserve">rakstveida procesā </w:t>
      </w:r>
      <w:r w:rsidR="006446AE" w:rsidRPr="000452C2">
        <w:rPr>
          <w:rFonts w:cs="Times New Roman"/>
          <w:szCs w:val="24"/>
        </w:rPr>
        <w:t xml:space="preserve">izskatīja </w:t>
      </w:r>
      <w:r w:rsidRPr="000452C2">
        <w:rPr>
          <w:rFonts w:cs="Times New Roman"/>
          <w:szCs w:val="24"/>
        </w:rPr>
        <w:t>krimināllietu sakarā ar</w:t>
      </w:r>
      <w:r w:rsidR="00610ECC" w:rsidRPr="000452C2">
        <w:rPr>
          <w:rFonts w:cs="Times New Roman"/>
          <w:szCs w:val="24"/>
        </w:rPr>
        <w:t xml:space="preserve"> apsūdzētā </w:t>
      </w:r>
      <w:r w:rsidR="00111C2D">
        <w:rPr>
          <w:rFonts w:cs="Times New Roman"/>
          <w:szCs w:val="24"/>
        </w:rPr>
        <w:t>[pers. A]</w:t>
      </w:r>
      <w:r w:rsidR="00610ECC" w:rsidRPr="000452C2">
        <w:rPr>
          <w:rFonts w:cs="Times New Roman"/>
          <w:szCs w:val="24"/>
        </w:rPr>
        <w:t xml:space="preserve"> aizstāvja zvērināta advokāta </w:t>
      </w:r>
      <w:r w:rsidR="00BF2B44" w:rsidRPr="000452C2">
        <w:rPr>
          <w:rFonts w:cs="Times New Roman"/>
          <w:szCs w:val="24"/>
        </w:rPr>
        <w:t>Artūra Zvejsalnieka</w:t>
      </w:r>
      <w:r w:rsidR="00610ECC" w:rsidRPr="000452C2">
        <w:rPr>
          <w:rFonts w:cs="Times New Roman"/>
          <w:szCs w:val="24"/>
        </w:rPr>
        <w:t xml:space="preserve"> kasācijas sūdzību </w:t>
      </w:r>
      <w:r w:rsidR="00C74359" w:rsidRPr="000452C2">
        <w:rPr>
          <w:rFonts w:cs="Times New Roman"/>
          <w:szCs w:val="24"/>
        </w:rPr>
        <w:t xml:space="preserve">par </w:t>
      </w:r>
      <w:r w:rsidR="00BF2B44" w:rsidRPr="000452C2">
        <w:rPr>
          <w:rFonts w:cs="Times New Roman"/>
          <w:szCs w:val="24"/>
        </w:rPr>
        <w:t>Rīgas</w:t>
      </w:r>
      <w:r w:rsidR="00C74359" w:rsidRPr="000452C2">
        <w:rPr>
          <w:rFonts w:cs="Times New Roman"/>
          <w:szCs w:val="24"/>
        </w:rPr>
        <w:t xml:space="preserve"> apgabaltiesas 202</w:t>
      </w:r>
      <w:r w:rsidR="00BF2B44" w:rsidRPr="000452C2">
        <w:rPr>
          <w:rFonts w:cs="Times New Roman"/>
          <w:szCs w:val="24"/>
        </w:rPr>
        <w:t>5</w:t>
      </w:r>
      <w:r w:rsidR="00C74359" w:rsidRPr="000452C2">
        <w:rPr>
          <w:rFonts w:cs="Times New Roman"/>
          <w:szCs w:val="24"/>
        </w:rPr>
        <w:t xml:space="preserve">. gada </w:t>
      </w:r>
      <w:r w:rsidR="00BF2B44" w:rsidRPr="000452C2">
        <w:rPr>
          <w:rFonts w:cs="Times New Roman"/>
          <w:szCs w:val="24"/>
        </w:rPr>
        <w:t>19</w:t>
      </w:r>
      <w:r w:rsidR="00C74359" w:rsidRPr="000452C2">
        <w:rPr>
          <w:rFonts w:cs="Times New Roman"/>
          <w:szCs w:val="24"/>
        </w:rPr>
        <w:t>.</w:t>
      </w:r>
      <w:r w:rsidR="00610ECC" w:rsidRPr="000452C2">
        <w:rPr>
          <w:rFonts w:cs="Times New Roman"/>
          <w:szCs w:val="24"/>
        </w:rPr>
        <w:t> </w:t>
      </w:r>
      <w:r w:rsidR="00BF2B44" w:rsidRPr="000452C2">
        <w:rPr>
          <w:rFonts w:cs="Times New Roman"/>
          <w:szCs w:val="24"/>
        </w:rPr>
        <w:t>marta</w:t>
      </w:r>
      <w:r w:rsidR="00610ECC" w:rsidRPr="000452C2">
        <w:rPr>
          <w:rFonts w:cs="Times New Roman"/>
          <w:szCs w:val="24"/>
        </w:rPr>
        <w:t xml:space="preserve"> lēmumu.</w:t>
      </w:r>
    </w:p>
    <w:p w14:paraId="626B1681" w14:textId="77777777" w:rsidR="00A34FC9" w:rsidRPr="000452C2" w:rsidRDefault="00A34FC9" w:rsidP="006446AE">
      <w:pPr>
        <w:widowControl w:val="0"/>
        <w:spacing w:after="0" w:line="276" w:lineRule="auto"/>
        <w:ind w:firstLine="720"/>
        <w:jc w:val="both"/>
        <w:rPr>
          <w:rFonts w:cs="Times New Roman"/>
          <w:szCs w:val="24"/>
        </w:rPr>
      </w:pPr>
    </w:p>
    <w:p w14:paraId="2B593B77" w14:textId="77777777" w:rsidR="00BA55DF" w:rsidRPr="000452C2" w:rsidRDefault="00BA55DF" w:rsidP="006446AE">
      <w:pPr>
        <w:widowControl w:val="0"/>
        <w:autoSpaceDE w:val="0"/>
        <w:autoSpaceDN w:val="0"/>
        <w:adjustRightInd w:val="0"/>
        <w:spacing w:after="0" w:line="276" w:lineRule="auto"/>
        <w:jc w:val="center"/>
        <w:rPr>
          <w:rFonts w:cs="Times New Roman"/>
          <w:b/>
          <w:bCs/>
          <w:szCs w:val="24"/>
        </w:rPr>
      </w:pPr>
      <w:r w:rsidRPr="000452C2">
        <w:rPr>
          <w:rFonts w:cs="Times New Roman"/>
          <w:b/>
          <w:bCs/>
          <w:szCs w:val="24"/>
        </w:rPr>
        <w:t>Aprakstošā daļa</w:t>
      </w:r>
    </w:p>
    <w:p w14:paraId="194B159B" w14:textId="77777777" w:rsidR="00BA55DF" w:rsidRPr="000452C2" w:rsidRDefault="00BA55DF" w:rsidP="006446AE">
      <w:pPr>
        <w:widowControl w:val="0"/>
        <w:autoSpaceDE w:val="0"/>
        <w:autoSpaceDN w:val="0"/>
        <w:adjustRightInd w:val="0"/>
        <w:spacing w:after="0" w:line="276" w:lineRule="auto"/>
        <w:ind w:firstLine="720"/>
        <w:jc w:val="both"/>
        <w:rPr>
          <w:rFonts w:cs="Times New Roman"/>
          <w:szCs w:val="24"/>
        </w:rPr>
      </w:pPr>
    </w:p>
    <w:p w14:paraId="66478649" w14:textId="0326AE16" w:rsidR="008B52F0" w:rsidRPr="000452C2" w:rsidRDefault="00CC665C" w:rsidP="006446AE">
      <w:pPr>
        <w:widowControl w:val="0"/>
        <w:tabs>
          <w:tab w:val="left" w:pos="1710"/>
        </w:tabs>
        <w:spacing w:after="0" w:line="276" w:lineRule="auto"/>
        <w:ind w:firstLine="720"/>
        <w:jc w:val="both"/>
        <w:rPr>
          <w:rFonts w:cs="Times New Roman"/>
          <w:szCs w:val="24"/>
        </w:rPr>
      </w:pPr>
      <w:r w:rsidRPr="000452C2">
        <w:rPr>
          <w:rFonts w:cs="Times New Roman"/>
          <w:szCs w:val="24"/>
        </w:rPr>
        <w:t>[1]</w:t>
      </w:r>
      <w:r w:rsidR="0052546C" w:rsidRPr="000452C2">
        <w:rPr>
          <w:rFonts w:cs="Times New Roman"/>
          <w:szCs w:val="24"/>
        </w:rPr>
        <w:t> </w:t>
      </w:r>
      <w:r w:rsidR="00BA55DF" w:rsidRPr="000452C2">
        <w:rPr>
          <w:rFonts w:cs="Times New Roman"/>
          <w:szCs w:val="24"/>
        </w:rPr>
        <w:t xml:space="preserve">Ar </w:t>
      </w:r>
      <w:r w:rsidR="001148E0" w:rsidRPr="000452C2">
        <w:rPr>
          <w:rFonts w:cs="Times New Roman"/>
          <w:szCs w:val="24"/>
        </w:rPr>
        <w:t>Rīgas pilsētas</w:t>
      </w:r>
      <w:r w:rsidR="00C74359" w:rsidRPr="000452C2">
        <w:rPr>
          <w:rFonts w:cs="Times New Roman"/>
          <w:szCs w:val="24"/>
        </w:rPr>
        <w:t xml:space="preserve"> </w:t>
      </w:r>
      <w:r w:rsidR="00A34FC9" w:rsidRPr="000452C2">
        <w:rPr>
          <w:rFonts w:cs="Times New Roman"/>
          <w:szCs w:val="24"/>
        </w:rPr>
        <w:t>tiesas 202</w:t>
      </w:r>
      <w:r w:rsidR="001148E0" w:rsidRPr="000452C2">
        <w:rPr>
          <w:rFonts w:cs="Times New Roman"/>
          <w:szCs w:val="24"/>
        </w:rPr>
        <w:t>4</w:t>
      </w:r>
      <w:r w:rsidR="002B3608" w:rsidRPr="000452C2">
        <w:rPr>
          <w:rFonts w:cs="Times New Roman"/>
          <w:szCs w:val="24"/>
        </w:rPr>
        <w:t xml:space="preserve">. gada </w:t>
      </w:r>
      <w:r w:rsidR="001148E0" w:rsidRPr="000452C2">
        <w:rPr>
          <w:rFonts w:cs="Times New Roman"/>
          <w:szCs w:val="24"/>
        </w:rPr>
        <w:t>16</w:t>
      </w:r>
      <w:r w:rsidR="00610ECC" w:rsidRPr="000452C2">
        <w:rPr>
          <w:rFonts w:cs="Times New Roman"/>
          <w:szCs w:val="24"/>
        </w:rPr>
        <w:t>. </w:t>
      </w:r>
      <w:r w:rsidR="001148E0" w:rsidRPr="000452C2">
        <w:rPr>
          <w:rFonts w:cs="Times New Roman"/>
          <w:szCs w:val="24"/>
        </w:rPr>
        <w:t>septembra</w:t>
      </w:r>
      <w:r w:rsidR="00C74359" w:rsidRPr="000452C2">
        <w:rPr>
          <w:rFonts w:cs="Times New Roman"/>
          <w:szCs w:val="24"/>
        </w:rPr>
        <w:t xml:space="preserve"> spriedumu</w:t>
      </w:r>
    </w:p>
    <w:p w14:paraId="6DE0DDA6" w14:textId="3D80508E" w:rsidR="008B52F0" w:rsidRPr="000452C2" w:rsidRDefault="00111C2D" w:rsidP="006446AE">
      <w:pPr>
        <w:widowControl w:val="0"/>
        <w:tabs>
          <w:tab w:val="left" w:pos="1710"/>
        </w:tabs>
        <w:spacing w:after="0" w:line="276" w:lineRule="auto"/>
        <w:ind w:firstLine="720"/>
        <w:jc w:val="both"/>
        <w:rPr>
          <w:rFonts w:cs="Times New Roman"/>
          <w:szCs w:val="24"/>
        </w:rPr>
      </w:pPr>
      <w:r>
        <w:rPr>
          <w:rFonts w:cs="Times New Roman"/>
          <w:szCs w:val="24"/>
        </w:rPr>
        <w:t>[pers. A]</w:t>
      </w:r>
      <w:r w:rsidR="008B52F0" w:rsidRPr="000452C2">
        <w:rPr>
          <w:rFonts w:cs="Times New Roman"/>
          <w:szCs w:val="24"/>
        </w:rPr>
        <w:t>, personas kods</w:t>
      </w:r>
      <w:r w:rsidR="00983A49" w:rsidRPr="000452C2">
        <w:rPr>
          <w:rFonts w:cs="Times New Roman"/>
          <w:szCs w:val="24"/>
        </w:rPr>
        <w:t xml:space="preserve"> </w:t>
      </w:r>
      <w:r>
        <w:rPr>
          <w:rFonts w:cs="Times New Roman"/>
          <w:szCs w:val="24"/>
        </w:rPr>
        <w:t>[..]</w:t>
      </w:r>
      <w:r w:rsidR="00983A49" w:rsidRPr="000452C2">
        <w:rPr>
          <w:rFonts w:cs="Times New Roman"/>
          <w:szCs w:val="24"/>
        </w:rPr>
        <w:t>,</w:t>
      </w:r>
    </w:p>
    <w:p w14:paraId="00CE159D" w14:textId="56C64CB5" w:rsidR="00983A49" w:rsidRPr="000452C2" w:rsidRDefault="00983A49" w:rsidP="006446AE">
      <w:pPr>
        <w:widowControl w:val="0"/>
        <w:tabs>
          <w:tab w:val="left" w:pos="1710"/>
        </w:tabs>
        <w:spacing w:after="0" w:line="276" w:lineRule="auto"/>
        <w:ind w:firstLine="720"/>
        <w:jc w:val="both"/>
        <w:rPr>
          <w:rFonts w:cs="Times New Roman"/>
          <w:szCs w:val="24"/>
        </w:rPr>
      </w:pPr>
      <w:r w:rsidRPr="000452C2">
        <w:rPr>
          <w:rFonts w:cs="Times New Roman"/>
          <w:szCs w:val="24"/>
        </w:rPr>
        <w:t xml:space="preserve">atzīts par vainīgu Krimināllikuma </w:t>
      </w:r>
      <w:r w:rsidR="00066FF3" w:rsidRPr="000452C2">
        <w:rPr>
          <w:rFonts w:cs="Times New Roman"/>
          <w:szCs w:val="24"/>
        </w:rPr>
        <w:t>2</w:t>
      </w:r>
      <w:r w:rsidR="00610ECC" w:rsidRPr="000452C2">
        <w:rPr>
          <w:rFonts w:cs="Times New Roman"/>
          <w:szCs w:val="24"/>
        </w:rPr>
        <w:t>53.</w:t>
      </w:r>
      <w:r w:rsidR="00610ECC" w:rsidRPr="000452C2">
        <w:rPr>
          <w:rFonts w:cs="Times New Roman"/>
          <w:szCs w:val="24"/>
          <w:vertAlign w:val="superscript"/>
        </w:rPr>
        <w:t>1</w:t>
      </w:r>
      <w:r w:rsidR="00610ECC" w:rsidRPr="000452C2">
        <w:rPr>
          <w:rFonts w:cs="Times New Roman"/>
          <w:szCs w:val="24"/>
        </w:rPr>
        <w:t xml:space="preserve"> panta trešajā daļā </w:t>
      </w:r>
      <w:r w:rsidRPr="000452C2">
        <w:rPr>
          <w:rFonts w:cs="Times New Roman"/>
          <w:szCs w:val="24"/>
        </w:rPr>
        <w:t xml:space="preserve">paredzētajā noziedzīgajā nodarījumā un sodīts ar </w:t>
      </w:r>
      <w:r w:rsidR="00066FF3" w:rsidRPr="000452C2">
        <w:rPr>
          <w:rFonts w:cs="Times New Roman"/>
          <w:szCs w:val="24"/>
        </w:rPr>
        <w:t xml:space="preserve">brīvības atņemšanu uz </w:t>
      </w:r>
      <w:r w:rsidR="00610ECC" w:rsidRPr="000452C2">
        <w:rPr>
          <w:rFonts w:cs="Times New Roman"/>
          <w:szCs w:val="24"/>
        </w:rPr>
        <w:t>5</w:t>
      </w:r>
      <w:r w:rsidR="005003DD" w:rsidRPr="000452C2">
        <w:rPr>
          <w:rFonts w:cs="Times New Roman"/>
          <w:szCs w:val="24"/>
        </w:rPr>
        <w:t> </w:t>
      </w:r>
      <w:r w:rsidR="00066FF3" w:rsidRPr="000452C2">
        <w:rPr>
          <w:rFonts w:cs="Times New Roman"/>
          <w:szCs w:val="24"/>
        </w:rPr>
        <w:t>gadiem</w:t>
      </w:r>
      <w:r w:rsidR="00610ECC" w:rsidRPr="000452C2">
        <w:rPr>
          <w:rFonts w:cs="Times New Roman"/>
          <w:szCs w:val="24"/>
        </w:rPr>
        <w:t xml:space="preserve"> </w:t>
      </w:r>
      <w:r w:rsidR="001148E0" w:rsidRPr="000452C2">
        <w:rPr>
          <w:rFonts w:cs="Times New Roman"/>
          <w:szCs w:val="24"/>
        </w:rPr>
        <w:t>1</w:t>
      </w:r>
      <w:r w:rsidR="005003DD" w:rsidRPr="000452C2">
        <w:rPr>
          <w:rFonts w:cs="Times New Roman"/>
          <w:szCs w:val="24"/>
        </w:rPr>
        <w:t> </w:t>
      </w:r>
      <w:r w:rsidR="00610ECC" w:rsidRPr="000452C2">
        <w:rPr>
          <w:rFonts w:cs="Times New Roman"/>
          <w:szCs w:val="24"/>
        </w:rPr>
        <w:t>mēne</w:t>
      </w:r>
      <w:r w:rsidR="001148E0" w:rsidRPr="000452C2">
        <w:rPr>
          <w:rFonts w:cs="Times New Roman"/>
          <w:szCs w:val="24"/>
        </w:rPr>
        <w:t>si</w:t>
      </w:r>
      <w:r w:rsidR="00610ECC" w:rsidRPr="000452C2">
        <w:rPr>
          <w:rFonts w:cs="Times New Roman"/>
          <w:szCs w:val="24"/>
        </w:rPr>
        <w:t xml:space="preserve"> un probācijas uzraudzību uz 1</w:t>
      </w:r>
      <w:r w:rsidR="005003DD" w:rsidRPr="000452C2">
        <w:rPr>
          <w:rFonts w:cs="Times New Roman"/>
          <w:szCs w:val="24"/>
        </w:rPr>
        <w:t> </w:t>
      </w:r>
      <w:r w:rsidR="00610ECC" w:rsidRPr="000452C2">
        <w:rPr>
          <w:rFonts w:cs="Times New Roman"/>
          <w:szCs w:val="24"/>
        </w:rPr>
        <w:t>gadu</w:t>
      </w:r>
      <w:r w:rsidR="001148E0" w:rsidRPr="000452C2">
        <w:rPr>
          <w:rFonts w:cs="Times New Roman"/>
          <w:szCs w:val="24"/>
        </w:rPr>
        <w:t>.</w:t>
      </w:r>
    </w:p>
    <w:p w14:paraId="66D7A2C0" w14:textId="77777777" w:rsidR="00A97806" w:rsidRPr="000452C2" w:rsidRDefault="00A97806" w:rsidP="006446AE">
      <w:pPr>
        <w:widowControl w:val="0"/>
        <w:tabs>
          <w:tab w:val="left" w:pos="1710"/>
        </w:tabs>
        <w:spacing w:after="0" w:line="276" w:lineRule="auto"/>
        <w:ind w:firstLine="720"/>
        <w:jc w:val="both"/>
        <w:rPr>
          <w:rFonts w:cs="Times New Roman"/>
          <w:szCs w:val="24"/>
        </w:rPr>
      </w:pPr>
    </w:p>
    <w:p w14:paraId="25F55CDA" w14:textId="3C5A72B8" w:rsidR="00035871" w:rsidRPr="000452C2" w:rsidRDefault="00526A7F" w:rsidP="006446AE">
      <w:pPr>
        <w:widowControl w:val="0"/>
        <w:tabs>
          <w:tab w:val="left" w:pos="1710"/>
        </w:tabs>
        <w:spacing w:after="0" w:line="276" w:lineRule="auto"/>
        <w:ind w:firstLine="720"/>
        <w:jc w:val="both"/>
        <w:rPr>
          <w:rFonts w:cs="Times New Roman"/>
          <w:szCs w:val="24"/>
        </w:rPr>
      </w:pPr>
      <w:r w:rsidRPr="000452C2">
        <w:rPr>
          <w:rFonts w:cs="Times New Roman"/>
          <w:szCs w:val="24"/>
        </w:rPr>
        <w:t>[2]</w:t>
      </w:r>
      <w:r w:rsidR="009E0946" w:rsidRPr="000452C2">
        <w:rPr>
          <w:rFonts w:cs="Times New Roman"/>
          <w:szCs w:val="24"/>
        </w:rPr>
        <w:t> </w:t>
      </w:r>
      <w:r w:rsidRPr="000452C2">
        <w:rPr>
          <w:rFonts w:cs="Times New Roman"/>
          <w:szCs w:val="24"/>
        </w:rPr>
        <w:t xml:space="preserve">Ar </w:t>
      </w:r>
      <w:r w:rsidR="002F75F1" w:rsidRPr="000452C2">
        <w:rPr>
          <w:rFonts w:cs="Times New Roman"/>
          <w:szCs w:val="24"/>
        </w:rPr>
        <w:t>pirmās instances tie</w:t>
      </w:r>
      <w:r w:rsidR="00EC64BD" w:rsidRPr="000452C2">
        <w:rPr>
          <w:rFonts w:cs="Times New Roman"/>
          <w:szCs w:val="24"/>
        </w:rPr>
        <w:t>s</w:t>
      </w:r>
      <w:r w:rsidR="002F75F1" w:rsidRPr="000452C2">
        <w:rPr>
          <w:rFonts w:cs="Times New Roman"/>
          <w:szCs w:val="24"/>
        </w:rPr>
        <w:t>as</w:t>
      </w:r>
      <w:r w:rsidR="00DB1ED3" w:rsidRPr="000452C2">
        <w:rPr>
          <w:rFonts w:cs="Times New Roman"/>
          <w:szCs w:val="24"/>
        </w:rPr>
        <w:t xml:space="preserve"> spriedumu</w:t>
      </w:r>
      <w:r w:rsidRPr="000452C2">
        <w:rPr>
          <w:rFonts w:cs="Times New Roman"/>
          <w:szCs w:val="24"/>
        </w:rPr>
        <w:t xml:space="preserve"> </w:t>
      </w:r>
      <w:r w:rsidR="00111C2D">
        <w:rPr>
          <w:rFonts w:cs="Times New Roman"/>
          <w:szCs w:val="24"/>
        </w:rPr>
        <w:t>[pers. A]</w:t>
      </w:r>
      <w:r w:rsidR="00DB1ED3" w:rsidRPr="000452C2">
        <w:rPr>
          <w:rFonts w:cs="Times New Roman"/>
          <w:szCs w:val="24"/>
        </w:rPr>
        <w:t xml:space="preserve"> atzīts par vainīgu un sodīts pēc Krimināllikuma 2</w:t>
      </w:r>
      <w:r w:rsidR="00035871" w:rsidRPr="000452C2">
        <w:rPr>
          <w:rFonts w:cs="Times New Roman"/>
          <w:szCs w:val="24"/>
        </w:rPr>
        <w:t>53.</w:t>
      </w:r>
      <w:r w:rsidR="00035871" w:rsidRPr="000452C2">
        <w:rPr>
          <w:rFonts w:cs="Times New Roman"/>
          <w:szCs w:val="24"/>
          <w:vertAlign w:val="superscript"/>
        </w:rPr>
        <w:t>1</w:t>
      </w:r>
      <w:r w:rsidR="00035871" w:rsidRPr="000452C2">
        <w:rPr>
          <w:rFonts w:cs="Times New Roman"/>
          <w:szCs w:val="24"/>
        </w:rPr>
        <w:t> panta trešās daļas par narkotisk</w:t>
      </w:r>
      <w:r w:rsidR="004D35BA">
        <w:rPr>
          <w:rFonts w:cs="Times New Roman"/>
          <w:szCs w:val="24"/>
        </w:rPr>
        <w:t>ās</w:t>
      </w:r>
      <w:r w:rsidR="00035871" w:rsidRPr="000452C2">
        <w:rPr>
          <w:rFonts w:cs="Times New Roman"/>
          <w:szCs w:val="24"/>
        </w:rPr>
        <w:t xml:space="preserve"> viel</w:t>
      </w:r>
      <w:r w:rsidR="004D35BA">
        <w:rPr>
          <w:rFonts w:cs="Times New Roman"/>
          <w:szCs w:val="24"/>
        </w:rPr>
        <w:t>as</w:t>
      </w:r>
      <w:r w:rsidR="00035871" w:rsidRPr="000452C2">
        <w:rPr>
          <w:rFonts w:cs="Times New Roman"/>
          <w:szCs w:val="24"/>
        </w:rPr>
        <w:t xml:space="preserve"> neatļautu </w:t>
      </w:r>
      <w:r w:rsidR="008D6765" w:rsidRPr="000452C2">
        <w:rPr>
          <w:rFonts w:cs="Times New Roman"/>
          <w:szCs w:val="24"/>
        </w:rPr>
        <w:t xml:space="preserve">izgatavošanu, </w:t>
      </w:r>
      <w:r w:rsidR="00035871" w:rsidRPr="000452C2">
        <w:rPr>
          <w:rFonts w:cs="Times New Roman"/>
          <w:szCs w:val="24"/>
        </w:rPr>
        <w:t>glabāšanu realizācijas nolūkā</w:t>
      </w:r>
      <w:r w:rsidR="00E24160" w:rsidRPr="000452C2">
        <w:rPr>
          <w:rFonts w:cs="Times New Roman"/>
          <w:szCs w:val="24"/>
        </w:rPr>
        <w:t xml:space="preserve"> lielā apmērā</w:t>
      </w:r>
      <w:r w:rsidR="008D6765" w:rsidRPr="000452C2">
        <w:rPr>
          <w:rFonts w:cs="Times New Roman"/>
          <w:szCs w:val="24"/>
        </w:rPr>
        <w:t xml:space="preserve"> un narkotisk</w:t>
      </w:r>
      <w:r w:rsidR="004D35BA">
        <w:rPr>
          <w:rFonts w:cs="Times New Roman"/>
          <w:szCs w:val="24"/>
        </w:rPr>
        <w:t>ās</w:t>
      </w:r>
      <w:r w:rsidR="008D6765" w:rsidRPr="000452C2">
        <w:rPr>
          <w:rFonts w:cs="Times New Roman"/>
          <w:szCs w:val="24"/>
        </w:rPr>
        <w:t xml:space="preserve"> viel</w:t>
      </w:r>
      <w:r w:rsidR="004D35BA">
        <w:rPr>
          <w:rFonts w:cs="Times New Roman"/>
          <w:szCs w:val="24"/>
        </w:rPr>
        <w:t>as</w:t>
      </w:r>
      <w:r w:rsidR="008D6765" w:rsidRPr="000452C2">
        <w:rPr>
          <w:rFonts w:cs="Times New Roman"/>
          <w:szCs w:val="24"/>
        </w:rPr>
        <w:t xml:space="preserve"> neatļautu realizēšanu lielā apmērā</w:t>
      </w:r>
      <w:r w:rsidR="00B32F77" w:rsidRPr="000452C2">
        <w:rPr>
          <w:rFonts w:cs="Times New Roman"/>
          <w:szCs w:val="24"/>
        </w:rPr>
        <w:t>.</w:t>
      </w:r>
    </w:p>
    <w:p w14:paraId="11369DC5" w14:textId="77777777" w:rsidR="007C5F60" w:rsidRPr="000452C2" w:rsidRDefault="007C5F60" w:rsidP="006446AE">
      <w:pPr>
        <w:widowControl w:val="0"/>
        <w:tabs>
          <w:tab w:val="left" w:pos="1710"/>
        </w:tabs>
        <w:spacing w:after="0" w:line="276" w:lineRule="auto"/>
        <w:ind w:firstLine="720"/>
        <w:jc w:val="both"/>
        <w:rPr>
          <w:rFonts w:cs="Times New Roman"/>
          <w:szCs w:val="24"/>
        </w:rPr>
      </w:pPr>
    </w:p>
    <w:p w14:paraId="58B944E4" w14:textId="5FEF8429" w:rsidR="007E274C" w:rsidRPr="000452C2" w:rsidRDefault="007C5F60" w:rsidP="006446AE">
      <w:pPr>
        <w:widowControl w:val="0"/>
        <w:tabs>
          <w:tab w:val="left" w:pos="1710"/>
        </w:tabs>
        <w:spacing w:after="0" w:line="276" w:lineRule="auto"/>
        <w:ind w:firstLine="720"/>
        <w:jc w:val="both"/>
        <w:rPr>
          <w:rFonts w:cs="Times New Roman"/>
          <w:szCs w:val="24"/>
        </w:rPr>
      </w:pPr>
      <w:r w:rsidRPr="000452C2">
        <w:rPr>
          <w:rFonts w:cs="Times New Roman"/>
          <w:szCs w:val="24"/>
        </w:rPr>
        <w:t>[3]</w:t>
      </w:r>
      <w:r w:rsidR="009E0946" w:rsidRPr="000452C2">
        <w:rPr>
          <w:rFonts w:cs="Times New Roman"/>
          <w:szCs w:val="24"/>
        </w:rPr>
        <w:t> </w:t>
      </w:r>
      <w:r w:rsidRPr="000452C2">
        <w:rPr>
          <w:rFonts w:cs="Times New Roman"/>
          <w:szCs w:val="24"/>
        </w:rPr>
        <w:t xml:space="preserve">Ar </w:t>
      </w:r>
      <w:r w:rsidR="007E27FF" w:rsidRPr="000452C2">
        <w:rPr>
          <w:rFonts w:cs="Times New Roman"/>
          <w:szCs w:val="24"/>
        </w:rPr>
        <w:t>Rīgas</w:t>
      </w:r>
      <w:r w:rsidRPr="000452C2">
        <w:rPr>
          <w:rFonts w:cs="Times New Roman"/>
          <w:szCs w:val="24"/>
        </w:rPr>
        <w:t xml:space="preserve"> apgabaltiesas</w:t>
      </w:r>
      <w:r w:rsidR="002F5BB2" w:rsidRPr="000452C2">
        <w:rPr>
          <w:rFonts w:cs="Times New Roman"/>
          <w:szCs w:val="24"/>
        </w:rPr>
        <w:t xml:space="preserve"> 202</w:t>
      </w:r>
      <w:r w:rsidR="007E27FF" w:rsidRPr="000452C2">
        <w:rPr>
          <w:rFonts w:cs="Times New Roman"/>
          <w:szCs w:val="24"/>
        </w:rPr>
        <w:t>5</w:t>
      </w:r>
      <w:r w:rsidR="002F5BB2" w:rsidRPr="000452C2">
        <w:rPr>
          <w:rFonts w:cs="Times New Roman"/>
          <w:szCs w:val="24"/>
        </w:rPr>
        <w:t>. gada</w:t>
      </w:r>
      <w:r w:rsidR="00B32F77" w:rsidRPr="000452C2">
        <w:rPr>
          <w:rFonts w:cs="Times New Roman"/>
          <w:szCs w:val="24"/>
        </w:rPr>
        <w:t xml:space="preserve"> 1</w:t>
      </w:r>
      <w:r w:rsidR="007E27FF" w:rsidRPr="000452C2">
        <w:rPr>
          <w:rFonts w:cs="Times New Roman"/>
          <w:szCs w:val="24"/>
        </w:rPr>
        <w:t>9</w:t>
      </w:r>
      <w:r w:rsidR="00B32F77" w:rsidRPr="000452C2">
        <w:rPr>
          <w:rFonts w:cs="Times New Roman"/>
          <w:szCs w:val="24"/>
        </w:rPr>
        <w:t>. </w:t>
      </w:r>
      <w:r w:rsidR="007E27FF" w:rsidRPr="000452C2">
        <w:rPr>
          <w:rFonts w:cs="Times New Roman"/>
          <w:szCs w:val="24"/>
        </w:rPr>
        <w:t>marta</w:t>
      </w:r>
      <w:r w:rsidR="00B32F77" w:rsidRPr="000452C2">
        <w:rPr>
          <w:rFonts w:cs="Times New Roman"/>
          <w:szCs w:val="24"/>
        </w:rPr>
        <w:t xml:space="preserve"> lēmumu</w:t>
      </w:r>
      <w:r w:rsidR="002F5BB2" w:rsidRPr="000452C2">
        <w:rPr>
          <w:rFonts w:cs="Times New Roman"/>
          <w:szCs w:val="24"/>
        </w:rPr>
        <w:t>, iztiesājot lietu apelācijas kārtībā</w:t>
      </w:r>
      <w:r w:rsidR="00B32F77" w:rsidRPr="000452C2">
        <w:rPr>
          <w:rFonts w:cs="Times New Roman"/>
          <w:szCs w:val="24"/>
        </w:rPr>
        <w:t xml:space="preserve"> sakarā ar apsūdzētā </w:t>
      </w:r>
      <w:r w:rsidR="00111C2D">
        <w:rPr>
          <w:rFonts w:cs="Times New Roman"/>
          <w:szCs w:val="24"/>
        </w:rPr>
        <w:t>[pers. A]</w:t>
      </w:r>
      <w:r w:rsidR="00B32F77" w:rsidRPr="000452C2">
        <w:rPr>
          <w:rFonts w:cs="Times New Roman"/>
          <w:szCs w:val="24"/>
        </w:rPr>
        <w:t xml:space="preserve"> </w:t>
      </w:r>
      <w:r w:rsidR="00A4622F">
        <w:rPr>
          <w:rFonts w:cs="Times New Roman"/>
          <w:szCs w:val="24"/>
        </w:rPr>
        <w:t xml:space="preserve">un viņa </w:t>
      </w:r>
      <w:r w:rsidR="00B32F77" w:rsidRPr="000452C2">
        <w:rPr>
          <w:rFonts w:cs="Times New Roman"/>
          <w:szCs w:val="24"/>
        </w:rPr>
        <w:t xml:space="preserve">aizstāvja </w:t>
      </w:r>
      <w:r w:rsidR="007E27FF" w:rsidRPr="000452C2">
        <w:rPr>
          <w:rFonts w:cs="Times New Roman"/>
          <w:szCs w:val="24"/>
        </w:rPr>
        <w:t>zvērināta advokāta J</w:t>
      </w:r>
      <w:r w:rsidR="00230645" w:rsidRPr="000452C2">
        <w:rPr>
          <w:rFonts w:cs="Times New Roman"/>
          <w:szCs w:val="24"/>
        </w:rPr>
        <w:t>ura</w:t>
      </w:r>
      <w:r w:rsidR="00823A0A">
        <w:rPr>
          <w:rFonts w:cs="Times New Roman"/>
          <w:szCs w:val="24"/>
        </w:rPr>
        <w:t xml:space="preserve"> </w:t>
      </w:r>
      <w:r w:rsidR="007E27FF" w:rsidRPr="000452C2">
        <w:rPr>
          <w:rFonts w:cs="Times New Roman"/>
          <w:szCs w:val="24"/>
        </w:rPr>
        <w:t>Puriņa</w:t>
      </w:r>
      <w:r w:rsidR="00B32F77" w:rsidRPr="000452C2">
        <w:rPr>
          <w:rFonts w:cs="Times New Roman"/>
          <w:szCs w:val="24"/>
        </w:rPr>
        <w:t xml:space="preserve"> </w:t>
      </w:r>
      <w:r w:rsidR="0083668B" w:rsidRPr="000452C2">
        <w:rPr>
          <w:rFonts w:cs="Times New Roman"/>
          <w:szCs w:val="24"/>
        </w:rPr>
        <w:t>apelācijas sūdzīb</w:t>
      </w:r>
      <w:r w:rsidR="007E27FF" w:rsidRPr="000452C2">
        <w:rPr>
          <w:rFonts w:cs="Times New Roman"/>
          <w:szCs w:val="24"/>
        </w:rPr>
        <w:t>ām</w:t>
      </w:r>
      <w:r w:rsidR="002F5BB2" w:rsidRPr="000452C2">
        <w:rPr>
          <w:rFonts w:cs="Times New Roman"/>
          <w:szCs w:val="24"/>
        </w:rPr>
        <w:t xml:space="preserve">, </w:t>
      </w:r>
      <w:r w:rsidR="007E27FF" w:rsidRPr="000452C2">
        <w:rPr>
          <w:rFonts w:cs="Times New Roman"/>
          <w:szCs w:val="24"/>
        </w:rPr>
        <w:t>Rīgas</w:t>
      </w:r>
      <w:r w:rsidR="0083668B" w:rsidRPr="000452C2">
        <w:rPr>
          <w:rFonts w:cs="Times New Roman"/>
          <w:szCs w:val="24"/>
        </w:rPr>
        <w:t xml:space="preserve"> </w:t>
      </w:r>
      <w:r w:rsidR="007E27FF" w:rsidRPr="000452C2">
        <w:rPr>
          <w:rFonts w:cs="Times New Roman"/>
          <w:szCs w:val="24"/>
        </w:rPr>
        <w:t>pilsētas</w:t>
      </w:r>
      <w:r w:rsidR="0083668B" w:rsidRPr="000452C2">
        <w:rPr>
          <w:rFonts w:cs="Times New Roman"/>
          <w:szCs w:val="24"/>
        </w:rPr>
        <w:t xml:space="preserve"> tiesas 202</w:t>
      </w:r>
      <w:r w:rsidR="007E27FF" w:rsidRPr="000452C2">
        <w:rPr>
          <w:rFonts w:cs="Times New Roman"/>
          <w:szCs w:val="24"/>
        </w:rPr>
        <w:t>4</w:t>
      </w:r>
      <w:r w:rsidR="0083668B" w:rsidRPr="000452C2">
        <w:rPr>
          <w:rFonts w:cs="Times New Roman"/>
          <w:szCs w:val="24"/>
        </w:rPr>
        <w:t xml:space="preserve">. gada </w:t>
      </w:r>
      <w:r w:rsidR="007E27FF" w:rsidRPr="000452C2">
        <w:rPr>
          <w:rFonts w:cs="Times New Roman"/>
          <w:szCs w:val="24"/>
        </w:rPr>
        <w:t>16</w:t>
      </w:r>
      <w:r w:rsidR="00B32F77" w:rsidRPr="000452C2">
        <w:rPr>
          <w:rFonts w:cs="Times New Roman"/>
          <w:szCs w:val="24"/>
        </w:rPr>
        <w:t>. </w:t>
      </w:r>
      <w:r w:rsidR="007E27FF" w:rsidRPr="000452C2">
        <w:rPr>
          <w:rFonts w:cs="Times New Roman"/>
          <w:szCs w:val="24"/>
        </w:rPr>
        <w:t>septembra</w:t>
      </w:r>
      <w:r w:rsidR="00B32F77" w:rsidRPr="000452C2">
        <w:rPr>
          <w:rFonts w:cs="Times New Roman"/>
          <w:szCs w:val="24"/>
        </w:rPr>
        <w:t xml:space="preserve"> </w:t>
      </w:r>
      <w:r w:rsidR="0083668B" w:rsidRPr="000452C2">
        <w:rPr>
          <w:rFonts w:cs="Times New Roman"/>
          <w:szCs w:val="24"/>
        </w:rPr>
        <w:t xml:space="preserve">spriedums </w:t>
      </w:r>
      <w:r w:rsidR="00B32F77" w:rsidRPr="000452C2">
        <w:rPr>
          <w:rFonts w:cs="Times New Roman"/>
          <w:szCs w:val="24"/>
        </w:rPr>
        <w:t>atstāts negrozīts.</w:t>
      </w:r>
    </w:p>
    <w:p w14:paraId="0326CF6C" w14:textId="77777777" w:rsidR="002F5BB2" w:rsidRPr="000452C2" w:rsidRDefault="002F5BB2" w:rsidP="006446AE">
      <w:pPr>
        <w:widowControl w:val="0"/>
        <w:tabs>
          <w:tab w:val="left" w:pos="1710"/>
        </w:tabs>
        <w:spacing w:after="0" w:line="276" w:lineRule="auto"/>
        <w:ind w:firstLine="720"/>
        <w:jc w:val="both"/>
        <w:rPr>
          <w:rFonts w:cs="Times New Roman"/>
          <w:szCs w:val="24"/>
        </w:rPr>
      </w:pPr>
    </w:p>
    <w:p w14:paraId="68AA566C" w14:textId="699E816D" w:rsidR="00AE0251" w:rsidRDefault="002F5BB2" w:rsidP="00AE0251">
      <w:pPr>
        <w:widowControl w:val="0"/>
        <w:tabs>
          <w:tab w:val="left" w:pos="1710"/>
        </w:tabs>
        <w:spacing w:after="0" w:line="276" w:lineRule="auto"/>
        <w:ind w:firstLine="720"/>
        <w:jc w:val="both"/>
        <w:rPr>
          <w:rFonts w:cs="Times New Roman"/>
          <w:iCs/>
          <w:szCs w:val="24"/>
        </w:rPr>
      </w:pPr>
      <w:r w:rsidRPr="000452C2">
        <w:rPr>
          <w:rFonts w:cs="Times New Roman"/>
          <w:szCs w:val="24"/>
        </w:rPr>
        <w:t>[4]</w:t>
      </w:r>
      <w:r w:rsidR="009E0946" w:rsidRPr="000452C2">
        <w:rPr>
          <w:rFonts w:cs="Times New Roman"/>
          <w:szCs w:val="24"/>
        </w:rPr>
        <w:t> </w:t>
      </w:r>
      <w:r w:rsidR="00E355FB" w:rsidRPr="000452C2">
        <w:rPr>
          <w:rFonts w:cs="Times New Roman"/>
          <w:szCs w:val="24"/>
        </w:rPr>
        <w:t xml:space="preserve">Par </w:t>
      </w:r>
      <w:r w:rsidR="002A31C5" w:rsidRPr="000452C2">
        <w:rPr>
          <w:rFonts w:cs="Times New Roman"/>
          <w:szCs w:val="24"/>
        </w:rPr>
        <w:t>Rīgas</w:t>
      </w:r>
      <w:r w:rsidR="00757621" w:rsidRPr="000452C2">
        <w:rPr>
          <w:rFonts w:cs="Times New Roman"/>
          <w:szCs w:val="24"/>
        </w:rPr>
        <w:t xml:space="preserve"> apgabaltiesas 202</w:t>
      </w:r>
      <w:r w:rsidR="002A31C5" w:rsidRPr="000452C2">
        <w:rPr>
          <w:rFonts w:cs="Times New Roman"/>
          <w:szCs w:val="24"/>
        </w:rPr>
        <w:t>5</w:t>
      </w:r>
      <w:r w:rsidR="00757621" w:rsidRPr="000452C2">
        <w:rPr>
          <w:rFonts w:cs="Times New Roman"/>
          <w:szCs w:val="24"/>
        </w:rPr>
        <w:t xml:space="preserve">. gada </w:t>
      </w:r>
      <w:r w:rsidR="00B32F77" w:rsidRPr="000452C2">
        <w:rPr>
          <w:rFonts w:cs="Times New Roman"/>
          <w:szCs w:val="24"/>
        </w:rPr>
        <w:t>1</w:t>
      </w:r>
      <w:r w:rsidR="002A31C5" w:rsidRPr="000452C2">
        <w:rPr>
          <w:rFonts w:cs="Times New Roman"/>
          <w:szCs w:val="24"/>
        </w:rPr>
        <w:t>9</w:t>
      </w:r>
      <w:r w:rsidR="00B32F77" w:rsidRPr="000452C2">
        <w:rPr>
          <w:rFonts w:cs="Times New Roman"/>
          <w:szCs w:val="24"/>
        </w:rPr>
        <w:t>. </w:t>
      </w:r>
      <w:r w:rsidR="002A31C5" w:rsidRPr="000452C2">
        <w:rPr>
          <w:rFonts w:cs="Times New Roman"/>
          <w:szCs w:val="24"/>
        </w:rPr>
        <w:t>marta</w:t>
      </w:r>
      <w:r w:rsidR="00B32F77" w:rsidRPr="000452C2">
        <w:rPr>
          <w:rFonts w:cs="Times New Roman"/>
          <w:szCs w:val="24"/>
        </w:rPr>
        <w:t xml:space="preserve"> lēmumu</w:t>
      </w:r>
      <w:r w:rsidR="00757621" w:rsidRPr="000452C2">
        <w:rPr>
          <w:rFonts w:cs="Times New Roman"/>
          <w:szCs w:val="24"/>
        </w:rPr>
        <w:t xml:space="preserve"> </w:t>
      </w:r>
      <w:r w:rsidR="00F51F1A" w:rsidRPr="000452C2">
        <w:rPr>
          <w:rFonts w:cs="Times New Roman"/>
          <w:szCs w:val="24"/>
        </w:rPr>
        <w:t xml:space="preserve">apsūdzētā </w:t>
      </w:r>
      <w:r w:rsidR="00111C2D">
        <w:rPr>
          <w:rFonts w:cs="Times New Roman"/>
          <w:szCs w:val="24"/>
        </w:rPr>
        <w:t>[pers. A]</w:t>
      </w:r>
      <w:r w:rsidR="00F51F1A" w:rsidRPr="000452C2">
        <w:rPr>
          <w:rFonts w:cs="Times New Roman"/>
          <w:szCs w:val="24"/>
        </w:rPr>
        <w:t xml:space="preserve"> aizstāvis </w:t>
      </w:r>
      <w:r w:rsidR="002A31C5" w:rsidRPr="000452C2">
        <w:rPr>
          <w:rFonts w:cs="Times New Roman"/>
          <w:szCs w:val="24"/>
        </w:rPr>
        <w:t>A. Zvejsalnieks</w:t>
      </w:r>
      <w:r w:rsidR="00F51F1A" w:rsidRPr="000452C2">
        <w:rPr>
          <w:rFonts w:cs="Times New Roman"/>
          <w:szCs w:val="24"/>
        </w:rPr>
        <w:t xml:space="preserve"> iesniedzis kasācijas sūdzību</w:t>
      </w:r>
      <w:r w:rsidR="00AE0251">
        <w:rPr>
          <w:rFonts w:cs="Times New Roman"/>
          <w:szCs w:val="24"/>
        </w:rPr>
        <w:t xml:space="preserve">, kurā </w:t>
      </w:r>
      <w:r w:rsidR="00BE7AA3" w:rsidRPr="000452C2">
        <w:rPr>
          <w:rFonts w:cs="Times New Roman"/>
          <w:szCs w:val="24"/>
        </w:rPr>
        <w:t xml:space="preserve">lūdz atcelt </w:t>
      </w:r>
      <w:r w:rsidR="00757621" w:rsidRPr="000452C2">
        <w:rPr>
          <w:rFonts w:cs="Times New Roman"/>
          <w:szCs w:val="24"/>
        </w:rPr>
        <w:t>tiesas</w:t>
      </w:r>
      <w:r w:rsidR="00F51F1A" w:rsidRPr="000452C2">
        <w:rPr>
          <w:rFonts w:cs="Times New Roman"/>
          <w:szCs w:val="24"/>
        </w:rPr>
        <w:t xml:space="preserve"> lēmumu </w:t>
      </w:r>
      <w:r w:rsidR="007E274C" w:rsidRPr="000452C2">
        <w:rPr>
          <w:rFonts w:cs="Times New Roman"/>
          <w:szCs w:val="24"/>
        </w:rPr>
        <w:t>pilnībā un</w:t>
      </w:r>
      <w:r w:rsidR="0083668B" w:rsidRPr="000452C2">
        <w:rPr>
          <w:rFonts w:cs="Times New Roman"/>
          <w:szCs w:val="24"/>
        </w:rPr>
        <w:t xml:space="preserve"> nosūtīt lietu jaunai izskatīšanai</w:t>
      </w:r>
      <w:r w:rsidR="00757621" w:rsidRPr="000452C2">
        <w:rPr>
          <w:rFonts w:cs="Times New Roman"/>
          <w:szCs w:val="24"/>
        </w:rPr>
        <w:t xml:space="preserve"> apelācijas instances tiesā</w:t>
      </w:r>
      <w:r w:rsidR="00876E20" w:rsidRPr="000452C2">
        <w:rPr>
          <w:rFonts w:cs="Times New Roman"/>
          <w:szCs w:val="24"/>
        </w:rPr>
        <w:t>.</w:t>
      </w:r>
      <w:bookmarkStart w:id="1" w:name="OLE_LINK81"/>
      <w:r w:rsidR="00A966ED">
        <w:rPr>
          <w:rFonts w:cs="Times New Roman"/>
          <w:iCs/>
          <w:szCs w:val="24"/>
        </w:rPr>
        <w:t xml:space="preserve"> </w:t>
      </w:r>
    </w:p>
    <w:p w14:paraId="790A5F68" w14:textId="71FF4296" w:rsidR="00EB16D4" w:rsidRPr="000452C2" w:rsidRDefault="00EB16D4" w:rsidP="00A966ED">
      <w:pPr>
        <w:widowControl w:val="0"/>
        <w:tabs>
          <w:tab w:val="left" w:pos="1710"/>
        </w:tabs>
        <w:spacing w:after="0" w:line="276" w:lineRule="auto"/>
        <w:ind w:firstLine="720"/>
        <w:jc w:val="both"/>
        <w:rPr>
          <w:rFonts w:cs="Times New Roman"/>
          <w:iCs/>
          <w:szCs w:val="24"/>
        </w:rPr>
      </w:pPr>
      <w:r w:rsidRPr="000452C2">
        <w:rPr>
          <w:rFonts w:cs="Times New Roman"/>
          <w:iCs/>
          <w:szCs w:val="24"/>
        </w:rPr>
        <w:t xml:space="preserve">Savu lūgumu </w:t>
      </w:r>
      <w:r w:rsidR="00F51F1A" w:rsidRPr="000452C2">
        <w:rPr>
          <w:rFonts w:cs="Times New Roman"/>
          <w:iCs/>
          <w:szCs w:val="24"/>
        </w:rPr>
        <w:t xml:space="preserve">aizstāvis </w:t>
      </w:r>
      <w:r w:rsidRPr="000452C2">
        <w:rPr>
          <w:rFonts w:cs="Times New Roman"/>
          <w:iCs/>
          <w:szCs w:val="24"/>
        </w:rPr>
        <w:t>pamatojis ar šādiem argumentiem.</w:t>
      </w:r>
    </w:p>
    <w:p w14:paraId="1723CCA8" w14:textId="00FF4CB4" w:rsidR="00A966ED" w:rsidRDefault="00F51F1A" w:rsidP="007813BF">
      <w:pPr>
        <w:widowControl w:val="0"/>
        <w:tabs>
          <w:tab w:val="left" w:pos="1710"/>
        </w:tabs>
        <w:spacing w:after="0" w:line="276" w:lineRule="auto"/>
        <w:ind w:firstLine="720"/>
        <w:jc w:val="both"/>
      </w:pPr>
      <w:r w:rsidRPr="000452C2">
        <w:rPr>
          <w:rFonts w:cs="Times New Roman"/>
          <w:iCs/>
          <w:szCs w:val="24"/>
        </w:rPr>
        <w:t>[4.1]</w:t>
      </w:r>
      <w:r w:rsidR="00A5247D" w:rsidRPr="000452C2">
        <w:rPr>
          <w:rFonts w:cs="Times New Roman"/>
          <w:iCs/>
          <w:szCs w:val="24"/>
        </w:rPr>
        <w:t> </w:t>
      </w:r>
      <w:r w:rsidR="00620D32" w:rsidRPr="000452C2">
        <w:rPr>
          <w:rFonts w:cs="Times New Roman"/>
          <w:szCs w:val="24"/>
        </w:rPr>
        <w:t xml:space="preserve">Apelācijas instances tiesa </w:t>
      </w:r>
      <w:r w:rsidR="00A36B52" w:rsidRPr="000452C2">
        <w:rPr>
          <w:rFonts w:cs="Times New Roman"/>
          <w:szCs w:val="24"/>
        </w:rPr>
        <w:t xml:space="preserve">kļūdaini kvalificējusi </w:t>
      </w:r>
      <w:r w:rsidR="00111C2D">
        <w:rPr>
          <w:rFonts w:cs="Times New Roman"/>
          <w:szCs w:val="24"/>
        </w:rPr>
        <w:t>[pers. A]</w:t>
      </w:r>
      <w:r w:rsidR="00A36B52" w:rsidRPr="000452C2">
        <w:rPr>
          <w:rFonts w:cs="Times New Roman"/>
          <w:szCs w:val="24"/>
        </w:rPr>
        <w:t xml:space="preserve"> darbības pēc</w:t>
      </w:r>
      <w:r w:rsidR="00620D32" w:rsidRPr="000452C2">
        <w:rPr>
          <w:rFonts w:cs="Times New Roman"/>
          <w:szCs w:val="24"/>
        </w:rPr>
        <w:t xml:space="preserve"> Krimināllikuma 253.</w:t>
      </w:r>
      <w:r w:rsidR="00620D32" w:rsidRPr="000452C2">
        <w:rPr>
          <w:rFonts w:cs="Times New Roman"/>
          <w:szCs w:val="24"/>
          <w:vertAlign w:val="superscript"/>
        </w:rPr>
        <w:t>1</w:t>
      </w:r>
      <w:r w:rsidR="00167198" w:rsidRPr="000452C2">
        <w:rPr>
          <w:rFonts w:cs="Times New Roman"/>
          <w:szCs w:val="24"/>
        </w:rPr>
        <w:t> </w:t>
      </w:r>
      <w:r w:rsidR="00620D32" w:rsidRPr="000452C2">
        <w:rPr>
          <w:rFonts w:cs="Times New Roman"/>
          <w:szCs w:val="24"/>
        </w:rPr>
        <w:t>pant</w:t>
      </w:r>
      <w:r w:rsidR="00D372AE" w:rsidRPr="000452C2">
        <w:rPr>
          <w:rFonts w:cs="Times New Roman"/>
          <w:szCs w:val="24"/>
        </w:rPr>
        <w:t>a treš</w:t>
      </w:r>
      <w:r w:rsidR="00A36B52" w:rsidRPr="000452C2">
        <w:rPr>
          <w:rFonts w:cs="Times New Roman"/>
          <w:szCs w:val="24"/>
        </w:rPr>
        <w:t>ās</w:t>
      </w:r>
      <w:r w:rsidR="00D372AE" w:rsidRPr="000452C2">
        <w:rPr>
          <w:rFonts w:cs="Times New Roman"/>
          <w:szCs w:val="24"/>
        </w:rPr>
        <w:t xml:space="preserve"> daļ</w:t>
      </w:r>
      <w:r w:rsidR="00A36B52" w:rsidRPr="000452C2">
        <w:rPr>
          <w:rFonts w:cs="Times New Roman"/>
          <w:szCs w:val="24"/>
        </w:rPr>
        <w:t xml:space="preserve">as, </w:t>
      </w:r>
      <w:r w:rsidR="008F308B">
        <w:rPr>
          <w:rFonts w:cs="Times New Roman"/>
          <w:szCs w:val="24"/>
        </w:rPr>
        <w:t xml:space="preserve">jo </w:t>
      </w:r>
      <w:r w:rsidR="00431909" w:rsidRPr="000452C2">
        <w:rPr>
          <w:rFonts w:cs="Times New Roman"/>
          <w:szCs w:val="24"/>
        </w:rPr>
        <w:t>narkotisk</w:t>
      </w:r>
      <w:r w:rsidR="004D35BA">
        <w:rPr>
          <w:rFonts w:cs="Times New Roman"/>
          <w:szCs w:val="24"/>
        </w:rPr>
        <w:t>ās</w:t>
      </w:r>
      <w:r w:rsidR="00431909" w:rsidRPr="000452C2">
        <w:rPr>
          <w:rFonts w:cs="Times New Roman"/>
          <w:szCs w:val="24"/>
        </w:rPr>
        <w:t xml:space="preserve"> viel</w:t>
      </w:r>
      <w:r w:rsidR="004D35BA">
        <w:rPr>
          <w:rFonts w:cs="Times New Roman"/>
          <w:szCs w:val="24"/>
        </w:rPr>
        <w:t>as</w:t>
      </w:r>
      <w:r w:rsidR="00431909" w:rsidRPr="000452C2">
        <w:rPr>
          <w:rFonts w:cs="Times New Roman"/>
          <w:szCs w:val="24"/>
        </w:rPr>
        <w:t xml:space="preserve"> apmē</w:t>
      </w:r>
      <w:r w:rsidR="00753BF2" w:rsidRPr="000452C2">
        <w:rPr>
          <w:rFonts w:cs="Times New Roman"/>
          <w:szCs w:val="24"/>
        </w:rPr>
        <w:t>ru</w:t>
      </w:r>
      <w:r w:rsidR="00431909" w:rsidRPr="000452C2">
        <w:rPr>
          <w:rFonts w:cs="Times New Roman"/>
          <w:szCs w:val="24"/>
        </w:rPr>
        <w:t xml:space="preserve"> </w:t>
      </w:r>
      <w:r w:rsidR="008F308B">
        <w:rPr>
          <w:rFonts w:cs="Times New Roman"/>
          <w:szCs w:val="24"/>
        </w:rPr>
        <w:t>noteikusi</w:t>
      </w:r>
      <w:r w:rsidR="008F308B" w:rsidRPr="000452C2">
        <w:rPr>
          <w:rFonts w:cs="Times New Roman"/>
          <w:szCs w:val="24"/>
        </w:rPr>
        <w:t xml:space="preserve"> </w:t>
      </w:r>
      <w:r w:rsidR="00431909" w:rsidRPr="000452C2">
        <w:rPr>
          <w:rFonts w:cs="Times New Roman"/>
          <w:szCs w:val="24"/>
        </w:rPr>
        <w:t xml:space="preserve">pēc vielu maisījuma </w:t>
      </w:r>
      <w:r w:rsidR="006A65EA" w:rsidRPr="000452C2">
        <w:rPr>
          <w:rFonts w:cs="Times New Roman"/>
          <w:szCs w:val="24"/>
        </w:rPr>
        <w:t xml:space="preserve">(konditorejas izstrādājumu) kopējā </w:t>
      </w:r>
      <w:r w:rsidR="00CE1A70">
        <w:rPr>
          <w:rFonts w:cs="Times New Roman"/>
          <w:szCs w:val="24"/>
        </w:rPr>
        <w:t>daudzuma</w:t>
      </w:r>
      <w:r w:rsidR="00431909" w:rsidRPr="000452C2">
        <w:rPr>
          <w:rFonts w:cs="Times New Roman"/>
          <w:szCs w:val="24"/>
        </w:rPr>
        <w:t xml:space="preserve">, nevis pēc </w:t>
      </w:r>
      <w:r w:rsidR="006A65EA" w:rsidRPr="000452C2">
        <w:rPr>
          <w:rFonts w:cs="Times New Roman"/>
          <w:szCs w:val="24"/>
        </w:rPr>
        <w:t xml:space="preserve">tajā </w:t>
      </w:r>
      <w:r w:rsidR="008F308B" w:rsidRPr="000452C2">
        <w:rPr>
          <w:rFonts w:cs="Times New Roman"/>
          <w:szCs w:val="24"/>
        </w:rPr>
        <w:t>esoš</w:t>
      </w:r>
      <w:r w:rsidR="008F308B">
        <w:rPr>
          <w:rFonts w:cs="Times New Roman"/>
          <w:szCs w:val="24"/>
        </w:rPr>
        <w:t>ās</w:t>
      </w:r>
      <w:r w:rsidR="008F308B" w:rsidRPr="000452C2">
        <w:rPr>
          <w:rFonts w:cs="Times New Roman"/>
          <w:szCs w:val="24"/>
        </w:rPr>
        <w:t xml:space="preserve"> narkotisk</w:t>
      </w:r>
      <w:r w:rsidR="008F308B">
        <w:rPr>
          <w:rFonts w:cs="Times New Roman"/>
          <w:szCs w:val="24"/>
        </w:rPr>
        <w:t>ās</w:t>
      </w:r>
      <w:r w:rsidR="008F308B" w:rsidRPr="000452C2">
        <w:rPr>
          <w:rFonts w:cs="Times New Roman"/>
          <w:szCs w:val="24"/>
        </w:rPr>
        <w:t xml:space="preserve"> viel</w:t>
      </w:r>
      <w:r w:rsidR="008F308B">
        <w:rPr>
          <w:rFonts w:cs="Times New Roman"/>
          <w:szCs w:val="24"/>
        </w:rPr>
        <w:t xml:space="preserve">as </w:t>
      </w:r>
      <w:r w:rsidR="00431909" w:rsidRPr="000452C2">
        <w:rPr>
          <w:rFonts w:cs="Times New Roman"/>
          <w:szCs w:val="24"/>
        </w:rPr>
        <w:t>daudzuma</w:t>
      </w:r>
      <w:r w:rsidR="00A36B52" w:rsidRPr="000452C2">
        <w:rPr>
          <w:rFonts w:cs="Times New Roman"/>
          <w:szCs w:val="24"/>
        </w:rPr>
        <w:t>.</w:t>
      </w:r>
      <w:r w:rsidR="00A966ED">
        <w:rPr>
          <w:rFonts w:cs="Times New Roman"/>
          <w:szCs w:val="24"/>
        </w:rPr>
        <w:t xml:space="preserve"> Tiesa nav ņēmusi vērā, ka </w:t>
      </w:r>
      <w:r w:rsidR="008F308B">
        <w:t>likuma „</w:t>
      </w:r>
      <w:r w:rsidR="00A966ED">
        <w:t>Par Krimināllikuma spēkā stāšanās</w:t>
      </w:r>
      <w:r w:rsidR="008F308B">
        <w:t xml:space="preserve"> un piemērošanas kārtību”</w:t>
      </w:r>
      <w:r w:rsidR="00A966ED">
        <w:t xml:space="preserve"> 2. pielikuma</w:t>
      </w:r>
      <w:r w:rsidR="002C7992">
        <w:t xml:space="preserve"> II nodaļas</w:t>
      </w:r>
      <w:r w:rsidR="00A966ED">
        <w:t xml:space="preserve"> 7. panta 4. punkta </w:t>
      </w:r>
      <w:r w:rsidR="00A966ED">
        <w:rPr>
          <w:rFonts w:cs="Times New Roman"/>
          <w:szCs w:val="24"/>
        </w:rPr>
        <w:t>g) </w:t>
      </w:r>
      <w:r w:rsidR="00A966ED" w:rsidRPr="000452C2">
        <w:rPr>
          <w:rFonts w:cs="Times New Roman"/>
          <w:szCs w:val="24"/>
        </w:rPr>
        <w:t xml:space="preserve">apakšpunkts </w:t>
      </w:r>
      <w:r w:rsidR="00A966ED">
        <w:t xml:space="preserve">paplašina Krimināllikuma </w:t>
      </w:r>
      <w:r w:rsidR="00A966ED" w:rsidRPr="000452C2">
        <w:rPr>
          <w:rFonts w:cs="Times New Roman"/>
          <w:szCs w:val="24"/>
        </w:rPr>
        <w:t>253.</w:t>
      </w:r>
      <w:r w:rsidR="00A966ED" w:rsidRPr="000452C2">
        <w:rPr>
          <w:rFonts w:cs="Times New Roman"/>
          <w:szCs w:val="24"/>
          <w:vertAlign w:val="superscript"/>
        </w:rPr>
        <w:t>1</w:t>
      </w:r>
      <w:r w:rsidR="00A966ED" w:rsidRPr="000452C2">
        <w:rPr>
          <w:rFonts w:cs="Times New Roman"/>
          <w:szCs w:val="24"/>
        </w:rPr>
        <w:t xml:space="preserve"> panta </w:t>
      </w:r>
      <w:r w:rsidR="00A966ED">
        <w:t xml:space="preserve">tvērumu, paredzot atbildību ne tikai par </w:t>
      </w:r>
      <w:r w:rsidR="00A966ED" w:rsidRPr="00545EE0">
        <w:t>narkotisko vai psihotropo vielu neatļautu izgatavošanu, iegādāšanos, glabāšanu, pārvadāšanu vai pārsūtīšanu</w:t>
      </w:r>
      <w:r w:rsidR="00A966ED">
        <w:t>, bet arī par darbībām ar citu vielu (šajā gadījumā – konditorejas izstrādājuma mīklu). Tādā veidā tiesa ir noteikusi atbil</w:t>
      </w:r>
      <w:r w:rsidR="00B50C17">
        <w:t>d</w:t>
      </w:r>
      <w:r w:rsidR="00A966ED">
        <w:t>ību arī par darbībām ar vielām, kas nav narkotiskās vielas.</w:t>
      </w:r>
    </w:p>
    <w:p w14:paraId="2A69BAFC" w14:textId="263286A2" w:rsidR="008F308B" w:rsidRDefault="008F308B" w:rsidP="006446AE">
      <w:pPr>
        <w:widowControl w:val="0"/>
        <w:tabs>
          <w:tab w:val="left" w:pos="1710"/>
        </w:tabs>
        <w:spacing w:after="0" w:line="276" w:lineRule="auto"/>
        <w:ind w:firstLine="720"/>
        <w:jc w:val="both"/>
        <w:rPr>
          <w:rFonts w:cs="Times New Roman"/>
          <w:szCs w:val="24"/>
        </w:rPr>
      </w:pPr>
      <w:r w:rsidRPr="000452C2">
        <w:rPr>
          <w:rFonts w:cs="Times New Roman"/>
          <w:szCs w:val="24"/>
        </w:rPr>
        <w:t xml:space="preserve">Turklāt aizstāvis lūdz apturēt tiesvedību lietā un vērsties </w:t>
      </w:r>
      <w:r w:rsidR="00A32DA2">
        <w:rPr>
          <w:rFonts w:cs="Times New Roman"/>
          <w:szCs w:val="24"/>
        </w:rPr>
        <w:t xml:space="preserve">ar pieteikumu </w:t>
      </w:r>
      <w:r w:rsidRPr="000452C2">
        <w:rPr>
          <w:rFonts w:cs="Times New Roman"/>
          <w:szCs w:val="24"/>
        </w:rPr>
        <w:t>Satversmes tiesā</w:t>
      </w:r>
      <w:r>
        <w:rPr>
          <w:rFonts w:cs="Times New Roman"/>
          <w:szCs w:val="24"/>
        </w:rPr>
        <w:t>, kā arī</w:t>
      </w:r>
      <w:r w:rsidRPr="000452C2">
        <w:rPr>
          <w:rFonts w:cs="Times New Roman"/>
          <w:szCs w:val="24"/>
        </w:rPr>
        <w:t xml:space="preserve"> uzdot prejudiciālu jautājumu Eiropas Savienības </w:t>
      </w:r>
      <w:r w:rsidRPr="00B03927">
        <w:rPr>
          <w:rFonts w:cs="Times New Roman"/>
          <w:szCs w:val="24"/>
        </w:rPr>
        <w:t xml:space="preserve">Tiesai, jo likuma „Par Krimināllikuma spēkā stāšanos un piemērošanas kārtību” 2. pielikuma </w:t>
      </w:r>
      <w:r w:rsidR="008C00B8">
        <w:rPr>
          <w:rFonts w:cs="Times New Roman"/>
          <w:szCs w:val="24"/>
        </w:rPr>
        <w:t>II</w:t>
      </w:r>
      <w:r w:rsidRPr="00B03927">
        <w:rPr>
          <w:rFonts w:cs="Times New Roman"/>
          <w:szCs w:val="24"/>
        </w:rPr>
        <w:t xml:space="preserve"> nodaļas 7. </w:t>
      </w:r>
      <w:r w:rsidR="008C00B8">
        <w:rPr>
          <w:rFonts w:cs="Times New Roman"/>
          <w:szCs w:val="24"/>
        </w:rPr>
        <w:t>panta 4. punkta</w:t>
      </w:r>
      <w:r w:rsidRPr="00B03927">
        <w:rPr>
          <w:rFonts w:cs="Times New Roman"/>
          <w:szCs w:val="24"/>
        </w:rPr>
        <w:t xml:space="preserve"> g) apakšpunkts, kas paredz narkotisko vielu daudzumu maisījumā noteikt pēc visa maisījuma masas, neņemot vērā tajā pievienoto narkotisko vielu daudzumu, neatbilst Latvijas Republikas Satversmes 1., 89., 92. pantam, Eiropas Cilvēktiesību un pamatbrīvību aizsardzības konvencijas 7. pantam, kā arī Eiropas </w:t>
      </w:r>
      <w:r w:rsidRPr="00B03927">
        <w:rPr>
          <w:rFonts w:cs="Times New Roman"/>
          <w:szCs w:val="24"/>
        </w:rPr>
        <w:lastRenderedPageBreak/>
        <w:t>Savienības Pamattiesību hartas 49. panta trešajai daļai, kas noteic, ka sodu smagums nedrīkst būt nesamērīgs ar noziedzīgā nodarījuma smagumu.</w:t>
      </w:r>
      <w:r w:rsidRPr="000452C2">
        <w:rPr>
          <w:rFonts w:cs="Times New Roman"/>
          <w:szCs w:val="24"/>
        </w:rPr>
        <w:t xml:space="preserve"> </w:t>
      </w:r>
    </w:p>
    <w:p w14:paraId="04830833" w14:textId="185DDF49" w:rsidR="00B66609" w:rsidRPr="000452C2" w:rsidRDefault="003778C9" w:rsidP="006446AE">
      <w:pPr>
        <w:widowControl w:val="0"/>
        <w:tabs>
          <w:tab w:val="left" w:pos="1710"/>
        </w:tabs>
        <w:spacing w:after="0" w:line="276" w:lineRule="auto"/>
        <w:ind w:firstLine="720"/>
        <w:jc w:val="both"/>
        <w:rPr>
          <w:rFonts w:cs="Times New Roman"/>
          <w:szCs w:val="24"/>
        </w:rPr>
      </w:pPr>
      <w:r w:rsidRPr="000452C2">
        <w:rPr>
          <w:rFonts w:cs="Times New Roman"/>
          <w:szCs w:val="24"/>
        </w:rPr>
        <w:t>[4.2] </w:t>
      </w:r>
      <w:r w:rsidR="007338FB" w:rsidRPr="000452C2">
        <w:rPr>
          <w:rFonts w:cs="Times New Roman"/>
          <w:szCs w:val="24"/>
        </w:rPr>
        <w:t xml:space="preserve">Apelācijas instances tiesa nepareizi </w:t>
      </w:r>
      <w:r w:rsidR="00E3782F" w:rsidRPr="000452C2">
        <w:rPr>
          <w:rFonts w:cs="Times New Roman"/>
          <w:szCs w:val="24"/>
        </w:rPr>
        <w:t>tulkojusi</w:t>
      </w:r>
      <w:r w:rsidR="007338FB" w:rsidRPr="000452C2">
        <w:rPr>
          <w:rFonts w:cs="Times New Roman"/>
          <w:szCs w:val="24"/>
        </w:rPr>
        <w:t xml:space="preserve"> Krimināllikuma </w:t>
      </w:r>
      <w:r w:rsidR="00D950D0">
        <w:rPr>
          <w:rFonts w:cs="Times New Roman"/>
          <w:szCs w:val="24"/>
        </w:rPr>
        <w:t>p</w:t>
      </w:r>
      <w:r w:rsidR="00D950D0" w:rsidRPr="000452C2">
        <w:rPr>
          <w:rFonts w:cs="Times New Roman"/>
          <w:szCs w:val="24"/>
        </w:rPr>
        <w:t xml:space="preserve">ārejas </w:t>
      </w:r>
      <w:r w:rsidR="007338FB" w:rsidRPr="000452C2">
        <w:rPr>
          <w:rFonts w:cs="Times New Roman"/>
          <w:szCs w:val="24"/>
        </w:rPr>
        <w:t xml:space="preserve">noteikumu 33. punktu, </w:t>
      </w:r>
      <w:r w:rsidR="0089734D">
        <w:rPr>
          <w:rFonts w:cs="Times New Roman"/>
          <w:szCs w:val="24"/>
        </w:rPr>
        <w:t xml:space="preserve">tādēļ </w:t>
      </w:r>
      <w:r w:rsidR="007338FB" w:rsidRPr="000452C2">
        <w:rPr>
          <w:rFonts w:cs="Times New Roman"/>
          <w:szCs w:val="24"/>
        </w:rPr>
        <w:t xml:space="preserve">nav izvērtējusi iespēju apsūdzētajam piemērot </w:t>
      </w:r>
      <w:r w:rsidR="00E3782F" w:rsidRPr="000452C2">
        <w:rPr>
          <w:rFonts w:cs="Times New Roman"/>
          <w:szCs w:val="24"/>
        </w:rPr>
        <w:t>pamat</w:t>
      </w:r>
      <w:r w:rsidR="007338FB" w:rsidRPr="000452C2">
        <w:rPr>
          <w:rFonts w:cs="Times New Roman"/>
          <w:szCs w:val="24"/>
        </w:rPr>
        <w:t>sodu</w:t>
      </w:r>
      <w:r w:rsidR="00E3782F" w:rsidRPr="000452C2">
        <w:rPr>
          <w:rFonts w:cs="Times New Roman"/>
          <w:szCs w:val="24"/>
        </w:rPr>
        <w:t xml:space="preserve"> – probācijas uzraudzīb</w:t>
      </w:r>
      <w:r w:rsidR="00FA4ABD">
        <w:rPr>
          <w:rFonts w:cs="Times New Roman"/>
          <w:szCs w:val="24"/>
        </w:rPr>
        <w:t>u</w:t>
      </w:r>
      <w:r w:rsidR="00E3782F" w:rsidRPr="000452C2">
        <w:rPr>
          <w:rFonts w:cs="Times New Roman"/>
          <w:szCs w:val="24"/>
        </w:rPr>
        <w:t>.</w:t>
      </w:r>
    </w:p>
    <w:p w14:paraId="30262498" w14:textId="2E56DCE8" w:rsidR="007338FB" w:rsidRPr="000452C2" w:rsidRDefault="007C6319" w:rsidP="006446AE">
      <w:pPr>
        <w:widowControl w:val="0"/>
        <w:tabs>
          <w:tab w:val="left" w:pos="1710"/>
        </w:tabs>
        <w:spacing w:after="0" w:line="276" w:lineRule="auto"/>
        <w:ind w:firstLine="720"/>
        <w:jc w:val="both"/>
        <w:rPr>
          <w:rFonts w:cs="Times New Roman"/>
          <w:szCs w:val="24"/>
        </w:rPr>
      </w:pPr>
      <w:r w:rsidRPr="000452C2">
        <w:rPr>
          <w:rFonts w:cs="Times New Roman"/>
          <w:szCs w:val="24"/>
        </w:rPr>
        <w:t>[4.3] </w:t>
      </w:r>
      <w:r w:rsidR="00C67E6B" w:rsidRPr="000452C2">
        <w:rPr>
          <w:rFonts w:cs="Times New Roman"/>
          <w:szCs w:val="24"/>
        </w:rPr>
        <w:t>T</w:t>
      </w:r>
      <w:r w:rsidR="00BF2D91" w:rsidRPr="000452C2">
        <w:rPr>
          <w:rFonts w:cs="Times New Roman"/>
          <w:szCs w:val="24"/>
        </w:rPr>
        <w:t>iesa nepamatoti par apsūdzētā atbildību mīkstinoš</w:t>
      </w:r>
      <w:r w:rsidR="00745E22">
        <w:rPr>
          <w:rFonts w:cs="Times New Roman"/>
          <w:szCs w:val="24"/>
        </w:rPr>
        <w:t>iem</w:t>
      </w:r>
      <w:r w:rsidR="00BF2D91" w:rsidRPr="000452C2">
        <w:rPr>
          <w:rFonts w:cs="Times New Roman"/>
          <w:szCs w:val="24"/>
        </w:rPr>
        <w:t xml:space="preserve"> apstāk</w:t>
      </w:r>
      <w:r w:rsidR="00745E22">
        <w:rPr>
          <w:rFonts w:cs="Times New Roman"/>
          <w:szCs w:val="24"/>
        </w:rPr>
        <w:t>ļiem</w:t>
      </w:r>
      <w:r w:rsidR="00BF2D91" w:rsidRPr="000452C2">
        <w:rPr>
          <w:rFonts w:cs="Times New Roman"/>
          <w:szCs w:val="24"/>
        </w:rPr>
        <w:t xml:space="preserve"> saskaņā ar Krimināllikuma 47</w:t>
      </w:r>
      <w:r w:rsidR="008F308B" w:rsidRPr="000452C2">
        <w:rPr>
          <w:rFonts w:cs="Times New Roman"/>
          <w:szCs w:val="24"/>
        </w:rPr>
        <w:t>.</w:t>
      </w:r>
      <w:r w:rsidR="008F308B">
        <w:rPr>
          <w:rFonts w:cs="Times New Roman"/>
          <w:szCs w:val="24"/>
        </w:rPr>
        <w:t> </w:t>
      </w:r>
      <w:r w:rsidR="00BF2D91" w:rsidRPr="000452C2">
        <w:rPr>
          <w:rFonts w:cs="Times New Roman"/>
          <w:szCs w:val="24"/>
        </w:rPr>
        <w:t xml:space="preserve">panta </w:t>
      </w:r>
      <w:r w:rsidR="009D041D">
        <w:rPr>
          <w:rFonts w:cs="Times New Roman"/>
          <w:szCs w:val="24"/>
        </w:rPr>
        <w:t xml:space="preserve">pirmās daļas 2. punktu </w:t>
      </w:r>
      <w:r w:rsidR="00BF2D91" w:rsidRPr="000452C2">
        <w:rPr>
          <w:rFonts w:cs="Times New Roman"/>
          <w:szCs w:val="24"/>
        </w:rPr>
        <w:t xml:space="preserve">nav atzinusi </w:t>
      </w:r>
      <w:r w:rsidR="00AE0251">
        <w:rPr>
          <w:rFonts w:cs="Times New Roman"/>
          <w:szCs w:val="24"/>
        </w:rPr>
        <w:t xml:space="preserve">to, ka apsūdzētais </w:t>
      </w:r>
      <w:r w:rsidR="0089734D">
        <w:rPr>
          <w:rFonts w:cs="Times New Roman"/>
          <w:szCs w:val="24"/>
        </w:rPr>
        <w:t xml:space="preserve">ir </w:t>
      </w:r>
      <w:r w:rsidR="00AE0251">
        <w:rPr>
          <w:rFonts w:cs="Times New Roman"/>
          <w:szCs w:val="24"/>
        </w:rPr>
        <w:t>aktīvi veicinājis noziedzīgā nodarījuma</w:t>
      </w:r>
      <w:r w:rsidR="008F308B">
        <w:rPr>
          <w:rFonts w:cs="Times New Roman"/>
          <w:szCs w:val="24"/>
        </w:rPr>
        <w:t xml:space="preserve"> </w:t>
      </w:r>
      <w:r w:rsidR="00BF2D91" w:rsidRPr="000452C2">
        <w:rPr>
          <w:rFonts w:cs="Times New Roman"/>
          <w:szCs w:val="24"/>
        </w:rPr>
        <w:t>izmeklēšanu</w:t>
      </w:r>
      <w:r w:rsidR="00E0497F">
        <w:rPr>
          <w:rFonts w:cs="Times New Roman"/>
          <w:szCs w:val="24"/>
        </w:rPr>
        <w:t xml:space="preserve">, </w:t>
      </w:r>
      <w:r w:rsidR="00AE0251">
        <w:rPr>
          <w:rFonts w:cs="Times New Roman"/>
          <w:szCs w:val="24"/>
        </w:rPr>
        <w:t xml:space="preserve">un saskaņā ar </w:t>
      </w:r>
      <w:r w:rsidR="0089734D">
        <w:rPr>
          <w:rFonts w:cs="Times New Roman"/>
          <w:szCs w:val="24"/>
        </w:rPr>
        <w:t xml:space="preserve">šā panta </w:t>
      </w:r>
      <w:r w:rsidR="00AE0251" w:rsidRPr="000452C2">
        <w:rPr>
          <w:rFonts w:cs="Times New Roman"/>
          <w:szCs w:val="24"/>
        </w:rPr>
        <w:t>otro daļu</w:t>
      </w:r>
      <w:r w:rsidR="00AE0251">
        <w:rPr>
          <w:rFonts w:cs="Times New Roman"/>
          <w:szCs w:val="24"/>
        </w:rPr>
        <w:t xml:space="preserve"> to, ka apsūdzētais </w:t>
      </w:r>
      <w:r w:rsidR="0089734D">
        <w:rPr>
          <w:rFonts w:cs="Times New Roman"/>
          <w:szCs w:val="24"/>
        </w:rPr>
        <w:t xml:space="preserve">ir </w:t>
      </w:r>
      <w:r w:rsidR="00AE0251">
        <w:rPr>
          <w:rFonts w:cs="Times New Roman"/>
          <w:szCs w:val="24"/>
        </w:rPr>
        <w:t>atzin</w:t>
      </w:r>
      <w:r w:rsidR="008F308B">
        <w:rPr>
          <w:rFonts w:cs="Times New Roman"/>
          <w:szCs w:val="24"/>
        </w:rPr>
        <w:t>is</w:t>
      </w:r>
      <w:r w:rsidR="00AE0251">
        <w:rPr>
          <w:rFonts w:cs="Times New Roman"/>
          <w:szCs w:val="24"/>
        </w:rPr>
        <w:t xml:space="preserve"> vainīgumu un nožēloj</w:t>
      </w:r>
      <w:r w:rsidR="008F308B">
        <w:rPr>
          <w:rFonts w:cs="Times New Roman"/>
          <w:szCs w:val="24"/>
        </w:rPr>
        <w:t>is</w:t>
      </w:r>
      <w:r w:rsidR="00AE0251">
        <w:rPr>
          <w:rFonts w:cs="Times New Roman"/>
          <w:szCs w:val="24"/>
        </w:rPr>
        <w:t xml:space="preserve"> izdarīto</w:t>
      </w:r>
      <w:r w:rsidR="0089734D">
        <w:rPr>
          <w:rFonts w:cs="Times New Roman"/>
          <w:szCs w:val="24"/>
        </w:rPr>
        <w:t>, jo</w:t>
      </w:r>
      <w:r w:rsidR="00AE0251">
        <w:rPr>
          <w:rFonts w:cs="Times New Roman"/>
          <w:szCs w:val="24"/>
        </w:rPr>
        <w:t xml:space="preserve"> </w:t>
      </w:r>
      <w:r w:rsidR="00111C2D">
        <w:rPr>
          <w:rFonts w:cs="Times New Roman"/>
          <w:szCs w:val="24"/>
        </w:rPr>
        <w:t>[pers. A]</w:t>
      </w:r>
      <w:r w:rsidR="00BF2D91" w:rsidRPr="000452C2">
        <w:rPr>
          <w:rFonts w:cs="Times New Roman"/>
          <w:szCs w:val="24"/>
        </w:rPr>
        <w:t xml:space="preserve"> </w:t>
      </w:r>
      <w:r w:rsidR="00C67E6B" w:rsidRPr="000452C2">
        <w:rPr>
          <w:rFonts w:cs="Times New Roman"/>
          <w:szCs w:val="24"/>
        </w:rPr>
        <w:t xml:space="preserve">ir </w:t>
      </w:r>
      <w:r w:rsidR="00BF2D91" w:rsidRPr="000452C2">
        <w:rPr>
          <w:rFonts w:cs="Times New Roman"/>
          <w:szCs w:val="24"/>
        </w:rPr>
        <w:t>atzinis noziedzīgā nodarījuma faktiskos apstākļus un sniedzis patiesas liecības</w:t>
      </w:r>
      <w:r w:rsidR="00C67E6B" w:rsidRPr="000452C2">
        <w:rPr>
          <w:rFonts w:cs="Times New Roman"/>
          <w:szCs w:val="24"/>
        </w:rPr>
        <w:t xml:space="preserve">. </w:t>
      </w:r>
      <w:r w:rsidR="00E0497F">
        <w:rPr>
          <w:rFonts w:cs="Times New Roman"/>
          <w:szCs w:val="24"/>
        </w:rPr>
        <w:t>Savukārt a</w:t>
      </w:r>
      <w:r w:rsidR="00BF2D91" w:rsidRPr="000452C2">
        <w:rPr>
          <w:rFonts w:cs="Times New Roman"/>
          <w:szCs w:val="24"/>
        </w:rPr>
        <w:t>psūdzētā procesuālo tiesību izmantošana, nepiekrītot nodarījuma kvalifikācijai un soda veidam, n</w:t>
      </w:r>
      <w:r w:rsidR="00C67E6B" w:rsidRPr="000452C2">
        <w:rPr>
          <w:rFonts w:cs="Times New Roman"/>
          <w:szCs w:val="24"/>
        </w:rPr>
        <w:t>evar i</w:t>
      </w:r>
      <w:r w:rsidR="00BF2D91" w:rsidRPr="000452C2">
        <w:rPr>
          <w:rFonts w:cs="Times New Roman"/>
          <w:szCs w:val="24"/>
        </w:rPr>
        <w:t>zslē</w:t>
      </w:r>
      <w:r w:rsidR="00C67E6B" w:rsidRPr="000452C2">
        <w:rPr>
          <w:rFonts w:cs="Times New Roman"/>
          <w:szCs w:val="24"/>
        </w:rPr>
        <w:t>gt</w:t>
      </w:r>
      <w:r w:rsidR="00BF2D91" w:rsidRPr="000452C2">
        <w:rPr>
          <w:rFonts w:cs="Times New Roman"/>
          <w:szCs w:val="24"/>
        </w:rPr>
        <w:t xml:space="preserve"> minēt</w:t>
      </w:r>
      <w:r w:rsidR="00150A05">
        <w:rPr>
          <w:rFonts w:cs="Times New Roman"/>
          <w:szCs w:val="24"/>
        </w:rPr>
        <w:t>o</w:t>
      </w:r>
      <w:r w:rsidR="00BF2D91" w:rsidRPr="000452C2">
        <w:rPr>
          <w:rFonts w:cs="Times New Roman"/>
          <w:szCs w:val="24"/>
        </w:rPr>
        <w:t xml:space="preserve"> </w:t>
      </w:r>
      <w:r w:rsidR="0089734D">
        <w:rPr>
          <w:rFonts w:cs="Times New Roman"/>
          <w:szCs w:val="24"/>
        </w:rPr>
        <w:t xml:space="preserve">atbildību </w:t>
      </w:r>
      <w:r w:rsidR="00BF2D91" w:rsidRPr="000452C2">
        <w:rPr>
          <w:rFonts w:cs="Times New Roman"/>
          <w:szCs w:val="24"/>
        </w:rPr>
        <w:t>mīkstinoš</w:t>
      </w:r>
      <w:r w:rsidR="00150A05">
        <w:rPr>
          <w:rFonts w:cs="Times New Roman"/>
          <w:szCs w:val="24"/>
        </w:rPr>
        <w:t>o</w:t>
      </w:r>
      <w:r w:rsidR="00BF2D91" w:rsidRPr="000452C2">
        <w:rPr>
          <w:rFonts w:cs="Times New Roman"/>
          <w:szCs w:val="24"/>
        </w:rPr>
        <w:t xml:space="preserve"> apstākļ</w:t>
      </w:r>
      <w:r w:rsidR="00150A05">
        <w:rPr>
          <w:rFonts w:cs="Times New Roman"/>
          <w:szCs w:val="24"/>
        </w:rPr>
        <w:t>u</w:t>
      </w:r>
      <w:r w:rsidR="00BF2D91" w:rsidRPr="000452C2">
        <w:rPr>
          <w:rFonts w:cs="Times New Roman"/>
          <w:szCs w:val="24"/>
        </w:rPr>
        <w:t xml:space="preserve"> atzīšanu.</w:t>
      </w:r>
    </w:p>
    <w:bookmarkEnd w:id="1"/>
    <w:p w14:paraId="7DC87CD5" w14:textId="77777777" w:rsidR="00651E7A" w:rsidRPr="00B03927" w:rsidRDefault="00651E7A" w:rsidP="00C36717">
      <w:pPr>
        <w:widowControl w:val="0"/>
        <w:tabs>
          <w:tab w:val="left" w:pos="1710"/>
        </w:tabs>
        <w:spacing w:after="0" w:line="276" w:lineRule="auto"/>
        <w:ind w:firstLine="720"/>
        <w:jc w:val="both"/>
        <w:rPr>
          <w:rFonts w:cs="Times New Roman"/>
          <w:szCs w:val="24"/>
        </w:rPr>
      </w:pPr>
    </w:p>
    <w:p w14:paraId="3C3D90F2" w14:textId="334187F3" w:rsidR="00526A7F" w:rsidRPr="00B03927" w:rsidRDefault="001B1FA3" w:rsidP="007860C0">
      <w:pPr>
        <w:widowControl w:val="0"/>
        <w:tabs>
          <w:tab w:val="left" w:pos="1710"/>
        </w:tabs>
        <w:spacing w:after="0" w:line="276" w:lineRule="auto"/>
        <w:jc w:val="center"/>
        <w:rPr>
          <w:rFonts w:cs="Times New Roman"/>
          <w:szCs w:val="24"/>
        </w:rPr>
      </w:pPr>
      <w:r w:rsidRPr="00B03927">
        <w:rPr>
          <w:rFonts w:cs="Times New Roman"/>
          <w:b/>
          <w:bCs/>
          <w:szCs w:val="24"/>
        </w:rPr>
        <w:t>Motīvu daļa</w:t>
      </w:r>
    </w:p>
    <w:p w14:paraId="26BAA793" w14:textId="77777777" w:rsidR="00E96174" w:rsidRPr="00B03927" w:rsidRDefault="00E96174" w:rsidP="006446AE">
      <w:pPr>
        <w:widowControl w:val="0"/>
        <w:tabs>
          <w:tab w:val="left" w:pos="1710"/>
        </w:tabs>
        <w:spacing w:after="0" w:line="276" w:lineRule="auto"/>
        <w:ind w:firstLine="720"/>
        <w:jc w:val="both"/>
        <w:rPr>
          <w:rFonts w:cs="Times New Roman"/>
          <w:szCs w:val="24"/>
        </w:rPr>
      </w:pPr>
    </w:p>
    <w:p w14:paraId="0192B13B" w14:textId="64E1E64F" w:rsidR="006D368E" w:rsidRPr="00B03927" w:rsidRDefault="006A437C" w:rsidP="003141E4">
      <w:pPr>
        <w:widowControl w:val="0"/>
        <w:spacing w:after="0" w:line="276" w:lineRule="auto"/>
        <w:ind w:firstLine="720"/>
        <w:jc w:val="both"/>
        <w:rPr>
          <w:rFonts w:cs="Times New Roman"/>
          <w:szCs w:val="24"/>
        </w:rPr>
      </w:pPr>
      <w:r w:rsidRPr="00B03927">
        <w:rPr>
          <w:rFonts w:cs="Times New Roman"/>
          <w:szCs w:val="24"/>
        </w:rPr>
        <w:t>[5] </w:t>
      </w:r>
      <w:bookmarkStart w:id="2" w:name="_Hlk128917769"/>
      <w:r w:rsidR="00751BEF" w:rsidRPr="00B03927">
        <w:rPr>
          <w:rFonts w:cs="Times New Roman"/>
          <w:szCs w:val="24"/>
        </w:rPr>
        <w:t xml:space="preserve">Senāts konstatē, ka vispirms kasācijas instances tiesas kompetencē ir sniegt atbildi, vai </w:t>
      </w:r>
      <w:r w:rsidR="006D368E" w:rsidRPr="007813BF">
        <w:rPr>
          <w:rFonts w:cs="Times New Roman"/>
          <w:szCs w:val="24"/>
        </w:rPr>
        <w:t>apelācijas instances tiesa pamatoti n</w:t>
      </w:r>
      <w:r w:rsidR="003141E4" w:rsidRPr="007813BF">
        <w:rPr>
          <w:rFonts w:cs="Times New Roman"/>
          <w:szCs w:val="24"/>
        </w:rPr>
        <w:t>oraidījusi</w:t>
      </w:r>
      <w:r w:rsidR="006D368E" w:rsidRPr="007813BF">
        <w:rPr>
          <w:rFonts w:cs="Times New Roman"/>
          <w:szCs w:val="24"/>
        </w:rPr>
        <w:t xml:space="preserve"> Krimināllikuma </w:t>
      </w:r>
      <w:r w:rsidR="002C7992">
        <w:rPr>
          <w:rFonts w:cs="Times New Roman"/>
          <w:szCs w:val="24"/>
        </w:rPr>
        <w:t>p</w:t>
      </w:r>
      <w:r w:rsidR="002C7992" w:rsidRPr="007813BF">
        <w:rPr>
          <w:rFonts w:cs="Times New Roman"/>
          <w:szCs w:val="24"/>
        </w:rPr>
        <w:t xml:space="preserve">ārejas </w:t>
      </w:r>
      <w:r w:rsidR="006D368E" w:rsidRPr="007813BF">
        <w:rPr>
          <w:rFonts w:cs="Times New Roman"/>
          <w:szCs w:val="24"/>
        </w:rPr>
        <w:t xml:space="preserve">noteikumu </w:t>
      </w:r>
      <w:r w:rsidR="003141E4" w:rsidRPr="007813BF">
        <w:rPr>
          <w:rFonts w:cs="Times New Roman"/>
          <w:szCs w:val="24"/>
        </w:rPr>
        <w:t xml:space="preserve">32. un </w:t>
      </w:r>
      <w:r w:rsidR="006D368E" w:rsidRPr="007813BF">
        <w:rPr>
          <w:rFonts w:cs="Times New Roman"/>
          <w:szCs w:val="24"/>
        </w:rPr>
        <w:t>33</w:t>
      </w:r>
      <w:r w:rsidR="00231C3D" w:rsidRPr="007813BF">
        <w:rPr>
          <w:rFonts w:cs="Times New Roman"/>
          <w:szCs w:val="24"/>
        </w:rPr>
        <w:t>.</w:t>
      </w:r>
      <w:r w:rsidR="00231C3D">
        <w:rPr>
          <w:rFonts w:cs="Times New Roman"/>
          <w:szCs w:val="24"/>
        </w:rPr>
        <w:t> </w:t>
      </w:r>
      <w:r w:rsidR="006D368E" w:rsidRPr="007813BF">
        <w:rPr>
          <w:rFonts w:cs="Times New Roman"/>
          <w:szCs w:val="24"/>
        </w:rPr>
        <w:t xml:space="preserve">punkta piemērošanas iespēju, nosakot </w:t>
      </w:r>
      <w:r w:rsidR="00111C2D">
        <w:rPr>
          <w:rFonts w:cs="Times New Roman"/>
          <w:szCs w:val="24"/>
        </w:rPr>
        <w:t>[pers. A]</w:t>
      </w:r>
      <w:r w:rsidR="00231C3D">
        <w:rPr>
          <w:rFonts w:cs="Times New Roman"/>
          <w:szCs w:val="24"/>
        </w:rPr>
        <w:t xml:space="preserve"> </w:t>
      </w:r>
      <w:r w:rsidR="006D368E" w:rsidRPr="007813BF">
        <w:rPr>
          <w:rFonts w:cs="Times New Roman"/>
          <w:szCs w:val="24"/>
        </w:rPr>
        <w:t>pamatsodu</w:t>
      </w:r>
      <w:r w:rsidR="003141E4" w:rsidRPr="00B03927">
        <w:rPr>
          <w:rFonts w:cs="Times New Roman"/>
          <w:szCs w:val="24"/>
        </w:rPr>
        <w:t>.</w:t>
      </w:r>
    </w:p>
    <w:p w14:paraId="69CD3F74" w14:textId="2E1AC174" w:rsidR="004811B9" w:rsidRPr="000452C2" w:rsidRDefault="0025413E" w:rsidP="00A05EDA">
      <w:pPr>
        <w:widowControl w:val="0"/>
        <w:spacing w:after="0" w:line="276" w:lineRule="auto"/>
        <w:ind w:firstLine="720"/>
        <w:jc w:val="both"/>
        <w:rPr>
          <w:rFonts w:cs="Times New Roman"/>
          <w:szCs w:val="24"/>
        </w:rPr>
      </w:pPr>
      <w:r w:rsidRPr="00B03927">
        <w:rPr>
          <w:rFonts w:cs="Times New Roman"/>
          <w:szCs w:val="24"/>
        </w:rPr>
        <w:t>[5.1] </w:t>
      </w:r>
      <w:bookmarkEnd w:id="2"/>
      <w:r w:rsidR="004811B9" w:rsidRPr="000452C2">
        <w:rPr>
          <w:rFonts w:cs="Times New Roman"/>
          <w:szCs w:val="24"/>
        </w:rPr>
        <w:t>Ar pirmās instances tiesas spriedumu</w:t>
      </w:r>
      <w:r w:rsidR="00345DAD">
        <w:rPr>
          <w:rFonts w:cs="Times New Roman"/>
          <w:szCs w:val="24"/>
        </w:rPr>
        <w:t>, kuru apelācijas instances tiesa atstājusi negrozītu,</w:t>
      </w:r>
      <w:r w:rsidR="004811B9" w:rsidRPr="000452C2">
        <w:rPr>
          <w:rFonts w:cs="Times New Roman"/>
          <w:szCs w:val="24"/>
        </w:rPr>
        <w:t xml:space="preserve"> apsūdzētais </w:t>
      </w:r>
      <w:r w:rsidR="00111C2D">
        <w:rPr>
          <w:rFonts w:cs="Times New Roman"/>
          <w:szCs w:val="24"/>
        </w:rPr>
        <w:t>[pers. A]</w:t>
      </w:r>
      <w:r w:rsidR="004811B9" w:rsidRPr="000452C2">
        <w:rPr>
          <w:rFonts w:cs="Times New Roman"/>
          <w:szCs w:val="24"/>
        </w:rPr>
        <w:t xml:space="preserve"> atzīts par vainīgu Krimināllikuma 253.</w:t>
      </w:r>
      <w:r w:rsidR="004811B9" w:rsidRPr="000452C2">
        <w:rPr>
          <w:rFonts w:cs="Times New Roman"/>
          <w:szCs w:val="24"/>
          <w:vertAlign w:val="superscript"/>
        </w:rPr>
        <w:t>1</w:t>
      </w:r>
      <w:r w:rsidR="004811B9" w:rsidRPr="000452C2">
        <w:rPr>
          <w:rFonts w:cs="Times New Roman"/>
          <w:szCs w:val="24"/>
        </w:rPr>
        <w:t> panta trešajā daļā paredzētajā</w:t>
      </w:r>
      <w:r w:rsidR="00231C3D">
        <w:rPr>
          <w:rFonts w:cs="Times New Roman"/>
          <w:szCs w:val="24"/>
        </w:rPr>
        <w:t xml:space="preserve"> noziedzīgajā</w:t>
      </w:r>
      <w:r w:rsidR="004811B9" w:rsidRPr="000452C2">
        <w:rPr>
          <w:rFonts w:cs="Times New Roman"/>
          <w:szCs w:val="24"/>
        </w:rPr>
        <w:t xml:space="preserve"> </w:t>
      </w:r>
      <w:r w:rsidR="00231C3D">
        <w:rPr>
          <w:rFonts w:cs="Times New Roman"/>
          <w:szCs w:val="24"/>
        </w:rPr>
        <w:t>nodarījumā</w:t>
      </w:r>
      <w:r w:rsidR="00231C3D" w:rsidRPr="000452C2">
        <w:rPr>
          <w:rFonts w:cs="Times New Roman"/>
          <w:szCs w:val="24"/>
        </w:rPr>
        <w:t xml:space="preserve"> </w:t>
      </w:r>
      <w:r w:rsidR="00231C3D">
        <w:rPr>
          <w:rFonts w:cs="Times New Roman"/>
          <w:szCs w:val="24"/>
        </w:rPr>
        <w:t>par to, ka viņš realizācijas nolūkā neatļauti izgatavoja, glabāja narkotisk</w:t>
      </w:r>
      <w:r w:rsidR="004D35BA">
        <w:rPr>
          <w:rFonts w:cs="Times New Roman"/>
          <w:szCs w:val="24"/>
        </w:rPr>
        <w:t>o</w:t>
      </w:r>
      <w:r w:rsidR="00231C3D">
        <w:rPr>
          <w:rFonts w:cs="Times New Roman"/>
          <w:szCs w:val="24"/>
        </w:rPr>
        <w:t xml:space="preserve"> viel</w:t>
      </w:r>
      <w:r w:rsidR="004D35BA">
        <w:rPr>
          <w:rFonts w:cs="Times New Roman"/>
          <w:szCs w:val="24"/>
        </w:rPr>
        <w:t>u</w:t>
      </w:r>
      <w:r w:rsidR="00231C3D">
        <w:rPr>
          <w:rFonts w:cs="Times New Roman"/>
          <w:szCs w:val="24"/>
        </w:rPr>
        <w:t xml:space="preserve"> lielā apmērā un neatļauti realizēja narkotisk</w:t>
      </w:r>
      <w:r w:rsidR="004D35BA">
        <w:rPr>
          <w:rFonts w:cs="Times New Roman"/>
          <w:szCs w:val="24"/>
        </w:rPr>
        <w:t>o</w:t>
      </w:r>
      <w:r w:rsidR="00231C3D">
        <w:rPr>
          <w:rFonts w:cs="Times New Roman"/>
          <w:szCs w:val="24"/>
        </w:rPr>
        <w:t xml:space="preserve"> viel</w:t>
      </w:r>
      <w:r w:rsidR="004D35BA">
        <w:rPr>
          <w:rFonts w:cs="Times New Roman"/>
          <w:szCs w:val="24"/>
        </w:rPr>
        <w:t>u</w:t>
      </w:r>
      <w:r w:rsidR="00231C3D">
        <w:rPr>
          <w:rFonts w:cs="Times New Roman"/>
          <w:szCs w:val="24"/>
        </w:rPr>
        <w:t xml:space="preserve"> lielā apmērā. </w:t>
      </w:r>
    </w:p>
    <w:p w14:paraId="7A1AF61C" w14:textId="6018D8C6" w:rsidR="00D10CFA" w:rsidRPr="000452C2" w:rsidRDefault="004811B9" w:rsidP="00D10CFA">
      <w:pPr>
        <w:widowControl w:val="0"/>
        <w:tabs>
          <w:tab w:val="left" w:pos="1710"/>
        </w:tabs>
        <w:spacing w:after="0" w:line="276" w:lineRule="auto"/>
        <w:ind w:firstLine="720"/>
        <w:jc w:val="both"/>
        <w:rPr>
          <w:rFonts w:cs="Times New Roman"/>
          <w:szCs w:val="24"/>
        </w:rPr>
      </w:pPr>
      <w:r w:rsidRPr="000452C2">
        <w:rPr>
          <w:rFonts w:cs="Times New Roman"/>
          <w:szCs w:val="24"/>
        </w:rPr>
        <w:t xml:space="preserve">Ar pirmās instances tiesas spriedumu apsūdzētais </w:t>
      </w:r>
      <w:r w:rsidR="00111C2D">
        <w:rPr>
          <w:rFonts w:cs="Times New Roman"/>
          <w:szCs w:val="24"/>
        </w:rPr>
        <w:t>[pers. A]</w:t>
      </w:r>
      <w:r w:rsidRPr="000452C2">
        <w:rPr>
          <w:rFonts w:cs="Times New Roman"/>
          <w:szCs w:val="24"/>
        </w:rPr>
        <w:t xml:space="preserve"> par Krimināllikuma </w:t>
      </w:r>
      <w:r w:rsidR="0004279A" w:rsidRPr="000452C2">
        <w:rPr>
          <w:rFonts w:cs="Times New Roman"/>
          <w:szCs w:val="24"/>
        </w:rPr>
        <w:t>253.</w:t>
      </w:r>
      <w:r w:rsidR="0004279A" w:rsidRPr="000452C2">
        <w:rPr>
          <w:rFonts w:cs="Times New Roman"/>
          <w:szCs w:val="24"/>
          <w:vertAlign w:val="superscript"/>
        </w:rPr>
        <w:t>1</w:t>
      </w:r>
      <w:r w:rsidR="0004279A" w:rsidRPr="000452C2">
        <w:rPr>
          <w:rFonts w:cs="Times New Roman"/>
          <w:szCs w:val="24"/>
        </w:rPr>
        <w:t> </w:t>
      </w:r>
      <w:r w:rsidRPr="000452C2">
        <w:rPr>
          <w:rFonts w:cs="Times New Roman"/>
          <w:szCs w:val="24"/>
        </w:rPr>
        <w:t xml:space="preserve">panta </w:t>
      </w:r>
      <w:r w:rsidR="0004279A" w:rsidRPr="000452C2">
        <w:rPr>
          <w:rFonts w:cs="Times New Roman"/>
          <w:szCs w:val="24"/>
        </w:rPr>
        <w:t>trešajā</w:t>
      </w:r>
      <w:r w:rsidRPr="000452C2">
        <w:rPr>
          <w:rFonts w:cs="Times New Roman"/>
          <w:szCs w:val="24"/>
        </w:rPr>
        <w:t xml:space="preserve"> daļā paredzēto noziegumu sodīts ar </w:t>
      </w:r>
      <w:r w:rsidR="0004279A" w:rsidRPr="000452C2">
        <w:rPr>
          <w:rFonts w:cs="Times New Roman"/>
          <w:szCs w:val="24"/>
        </w:rPr>
        <w:t>brīvības atņemšanu uz 5 gadiem 1 mēnesi un probācijas uzraudzību uz 1 gadu</w:t>
      </w:r>
      <w:r w:rsidRPr="000452C2">
        <w:rPr>
          <w:rFonts w:cs="Times New Roman"/>
          <w:szCs w:val="24"/>
        </w:rPr>
        <w:t>.</w:t>
      </w:r>
    </w:p>
    <w:p w14:paraId="330214A9" w14:textId="3850582C" w:rsidR="004E1C52" w:rsidRPr="000452C2" w:rsidRDefault="00A05EDA" w:rsidP="004E1C52">
      <w:pPr>
        <w:widowControl w:val="0"/>
        <w:tabs>
          <w:tab w:val="left" w:pos="1710"/>
        </w:tabs>
        <w:spacing w:after="0" w:line="276" w:lineRule="auto"/>
        <w:ind w:firstLine="720"/>
        <w:jc w:val="both"/>
      </w:pPr>
      <w:r>
        <w:rPr>
          <w:rFonts w:cs="Times New Roman"/>
          <w:szCs w:val="24"/>
        </w:rPr>
        <w:t>[5.2] </w:t>
      </w:r>
      <w:r w:rsidR="00D10CFA" w:rsidRPr="000452C2">
        <w:rPr>
          <w:rFonts w:cs="Times New Roman"/>
          <w:szCs w:val="24"/>
        </w:rPr>
        <w:t>A</w:t>
      </w:r>
      <w:r w:rsidR="007362A2" w:rsidRPr="000452C2">
        <w:rPr>
          <w:rFonts w:cs="Times New Roman"/>
          <w:szCs w:val="24"/>
        </w:rPr>
        <w:t xml:space="preserve">pelācijas instances tiesa atzinusi, ka pirmās instances tiesa, nosakot apsūdzētajam </w:t>
      </w:r>
      <w:r w:rsidR="00111C2D">
        <w:rPr>
          <w:rFonts w:cs="Times New Roman"/>
          <w:szCs w:val="24"/>
        </w:rPr>
        <w:t>[pers. A]</w:t>
      </w:r>
      <w:r w:rsidR="007362A2" w:rsidRPr="000452C2">
        <w:rPr>
          <w:rFonts w:cs="Times New Roman"/>
          <w:szCs w:val="24"/>
        </w:rPr>
        <w:t xml:space="preserve"> sodu, ir ņēmusi vērā Krimināllikuma 35.</w:t>
      </w:r>
      <w:r w:rsidR="00CB1954" w:rsidRPr="000452C2">
        <w:rPr>
          <w:rFonts w:cs="Times New Roman"/>
          <w:szCs w:val="24"/>
        </w:rPr>
        <w:t> </w:t>
      </w:r>
      <w:r w:rsidR="007362A2" w:rsidRPr="000452C2">
        <w:rPr>
          <w:rFonts w:cs="Times New Roman"/>
          <w:szCs w:val="24"/>
        </w:rPr>
        <w:t>pantā definēto soda mērķi, Krimināllikuma 46.</w:t>
      </w:r>
      <w:r w:rsidR="00CB1954" w:rsidRPr="000452C2">
        <w:rPr>
          <w:rFonts w:cs="Times New Roman"/>
          <w:szCs w:val="24"/>
        </w:rPr>
        <w:t> </w:t>
      </w:r>
      <w:r w:rsidR="007362A2" w:rsidRPr="000452C2">
        <w:rPr>
          <w:rFonts w:cs="Times New Roman"/>
          <w:szCs w:val="24"/>
        </w:rPr>
        <w:t>pantā norādītos soda noteikšanas vispārīgos principus.</w:t>
      </w:r>
      <w:r w:rsidR="00BB6EE2" w:rsidRPr="000452C2">
        <w:rPr>
          <w:rFonts w:cs="Times New Roman"/>
          <w:szCs w:val="24"/>
        </w:rPr>
        <w:t xml:space="preserve"> </w:t>
      </w:r>
      <w:r w:rsidR="00D10CFA" w:rsidRPr="000452C2">
        <w:t>Apelācijas instances tiesa</w:t>
      </w:r>
      <w:r w:rsidR="00BB6EE2" w:rsidRPr="000452C2">
        <w:t xml:space="preserve"> pievienojusies pirmās instances tiesas </w:t>
      </w:r>
      <w:r w:rsidR="00D3113C">
        <w:t>atzinumam</w:t>
      </w:r>
      <w:r w:rsidR="00BB6EE2" w:rsidRPr="000452C2">
        <w:t xml:space="preserve">, </w:t>
      </w:r>
      <w:r w:rsidR="00BB6EE2" w:rsidRPr="00B03927">
        <w:t>ka, ņemot vērā izdarīt</w:t>
      </w:r>
      <w:r w:rsidR="006B204E" w:rsidRPr="00B03927">
        <w:t>ā</w:t>
      </w:r>
      <w:r w:rsidR="00BB6EE2" w:rsidRPr="00B03927">
        <w:t xml:space="preserve"> noziedzīg</w:t>
      </w:r>
      <w:r w:rsidR="006B204E" w:rsidRPr="00B03927">
        <w:t>ā</w:t>
      </w:r>
      <w:r w:rsidR="00BB6EE2" w:rsidRPr="00B03927">
        <w:t xml:space="preserve"> nodarījum</w:t>
      </w:r>
      <w:r w:rsidR="006B204E" w:rsidRPr="00B03927">
        <w:t>a</w:t>
      </w:r>
      <w:r w:rsidR="00BB6EE2" w:rsidRPr="00B03927">
        <w:t xml:space="preserve"> raksturu un radīto kaitējumu, apsūdzētaj</w:t>
      </w:r>
      <w:r w:rsidR="00594B79" w:rsidRPr="00B03927">
        <w:t>a</w:t>
      </w:r>
      <w:r w:rsidR="00BB6EE2" w:rsidRPr="00B03927">
        <w:t xml:space="preserve">m piemērojams </w:t>
      </w:r>
      <w:r w:rsidR="00AC0D84" w:rsidRPr="00B03927">
        <w:t>panta sankcijā paredzētais vienīgais pamat</w:t>
      </w:r>
      <w:r w:rsidR="00BB6EE2" w:rsidRPr="00B03927">
        <w:t>soda veids – brīvības atņemšana.</w:t>
      </w:r>
    </w:p>
    <w:p w14:paraId="51D8006C" w14:textId="386D5C11" w:rsidR="002E790C" w:rsidRPr="000452C2" w:rsidRDefault="00345DAD" w:rsidP="006C1A3B">
      <w:pPr>
        <w:spacing w:after="0" w:line="276" w:lineRule="auto"/>
        <w:ind w:firstLine="720"/>
        <w:jc w:val="both"/>
      </w:pPr>
      <w:r>
        <w:t>Apelācijas</w:t>
      </w:r>
      <w:r w:rsidR="00E2683F" w:rsidRPr="000452C2">
        <w:t xml:space="preserve"> instances tiesa</w:t>
      </w:r>
      <w:r>
        <w:t xml:space="preserve">, noraidot apsūdzētā un aizstāvja apelācijas sūdzībās izteiktos lūgumus par iespēju piemērot </w:t>
      </w:r>
      <w:r w:rsidR="00111C2D">
        <w:t>[pers. A]</w:t>
      </w:r>
      <w:r>
        <w:t xml:space="preserve"> probācijas uzraudzību kā pamatsodu</w:t>
      </w:r>
      <w:r w:rsidR="00E2683F" w:rsidRPr="000452C2">
        <w:t xml:space="preserve">, </w:t>
      </w:r>
      <w:r w:rsidR="007167ED">
        <w:t xml:space="preserve">norādījusi, </w:t>
      </w:r>
      <w:r w:rsidR="00E2683F" w:rsidRPr="000452C2">
        <w:t>ka probācijas uzraudzība kā pamatsods pilngadīg</w:t>
      </w:r>
      <w:r w:rsidR="006C1A3B">
        <w:t>ām</w:t>
      </w:r>
      <w:r w:rsidR="00E2683F" w:rsidRPr="000452C2">
        <w:t xml:space="preserve"> person</w:t>
      </w:r>
      <w:r w:rsidR="006C1A3B">
        <w:t xml:space="preserve">ām </w:t>
      </w:r>
      <w:r w:rsidR="000C749B">
        <w:t xml:space="preserve">var tikt </w:t>
      </w:r>
      <w:r w:rsidR="00E2683F" w:rsidRPr="000452C2">
        <w:t>piemēro</w:t>
      </w:r>
      <w:r w:rsidR="000C749B">
        <w:t>ta</w:t>
      </w:r>
      <w:r w:rsidR="00E2683F" w:rsidRPr="000452C2">
        <w:t xml:space="preserve"> atbilstoši Krimināllikuma </w:t>
      </w:r>
      <w:r w:rsidR="00D950D0">
        <w:t>p</w:t>
      </w:r>
      <w:r w:rsidR="00D950D0" w:rsidRPr="000452C2">
        <w:t xml:space="preserve">ārejas </w:t>
      </w:r>
      <w:r w:rsidR="00E2683F" w:rsidRPr="000452C2">
        <w:t>noteikumu 32. punktam par noziedzīgiem nodarījumiem, kas izdarīti pēc 2024. gada 31. decembra.</w:t>
      </w:r>
      <w:r w:rsidR="00150C42" w:rsidRPr="000452C2">
        <w:t xml:space="preserve"> </w:t>
      </w:r>
      <w:r w:rsidR="00E0497F">
        <w:t>A</w:t>
      </w:r>
      <w:r w:rsidR="00E2683F" w:rsidRPr="000452C2">
        <w:t>t</w:t>
      </w:r>
      <w:r w:rsidR="002C75B0">
        <w:t>sau</w:t>
      </w:r>
      <w:r w:rsidR="00733C34">
        <w:t xml:space="preserve">coties </w:t>
      </w:r>
      <w:r w:rsidR="002C75B0">
        <w:t>uz</w:t>
      </w:r>
      <w:r w:rsidR="00E2683F" w:rsidRPr="000452C2">
        <w:t xml:space="preserve"> Krimināllikuma </w:t>
      </w:r>
      <w:r w:rsidR="00D950D0">
        <w:t>p</w:t>
      </w:r>
      <w:r w:rsidR="00D950D0" w:rsidRPr="000452C2">
        <w:t xml:space="preserve">ārejas </w:t>
      </w:r>
      <w:r w:rsidR="00E2683F" w:rsidRPr="000452C2">
        <w:t>noteikumu 33. punkt</w:t>
      </w:r>
      <w:r w:rsidR="00733C34">
        <w:t xml:space="preserve">u, </w:t>
      </w:r>
      <w:r w:rsidR="000A653E">
        <w:t xml:space="preserve">tiesa </w:t>
      </w:r>
      <w:r w:rsidR="00733C34">
        <w:t xml:space="preserve">norādījusi, ka </w:t>
      </w:r>
      <w:r w:rsidR="005C13B2">
        <w:t>šajā punktā noteiktais</w:t>
      </w:r>
      <w:r w:rsidR="00733C34">
        <w:t xml:space="preserve"> </w:t>
      </w:r>
      <w:r w:rsidR="00E2683F" w:rsidRPr="000452C2">
        <w:t>nav attiecināms uz apsūdzēto</w:t>
      </w:r>
      <w:r w:rsidR="00B762E4">
        <w:t xml:space="preserve"> </w:t>
      </w:r>
      <w:r w:rsidR="00111C2D">
        <w:t>[pers. A]</w:t>
      </w:r>
      <w:r w:rsidR="00E2683F" w:rsidRPr="000452C2">
        <w:t xml:space="preserve">, jo viņš </w:t>
      </w:r>
      <w:r w:rsidR="004131E9" w:rsidRPr="000452C2">
        <w:t>ir ticis</w:t>
      </w:r>
      <w:r w:rsidR="00E2683F" w:rsidRPr="000452C2">
        <w:t xml:space="preserve"> notiesāts </w:t>
      </w:r>
      <w:r w:rsidR="006C1A3B" w:rsidRPr="000452C2">
        <w:t>2024. gada 16. septembrī</w:t>
      </w:r>
      <w:r w:rsidR="006C1A3B">
        <w:t xml:space="preserve">, </w:t>
      </w:r>
      <w:r w:rsidR="00723D0D">
        <w:t>proti</w:t>
      </w:r>
      <w:r w:rsidR="006C1A3B">
        <w:t xml:space="preserve">, </w:t>
      </w:r>
      <w:r w:rsidR="00E2683F" w:rsidRPr="000452C2">
        <w:t>pirms minētā termiņa</w:t>
      </w:r>
      <w:r w:rsidR="006C1A3B">
        <w:t xml:space="preserve"> – 2024. gada 31. decemb</w:t>
      </w:r>
      <w:r w:rsidR="006B204E">
        <w:t>ra</w:t>
      </w:r>
      <w:r w:rsidR="004131E9" w:rsidRPr="000452C2">
        <w:t>,</w:t>
      </w:r>
      <w:r w:rsidR="00733C34">
        <w:t xml:space="preserve"> </w:t>
      </w:r>
      <w:r w:rsidR="00E2683F" w:rsidRPr="000452C2">
        <w:t xml:space="preserve">turklāt minētā </w:t>
      </w:r>
      <w:r w:rsidR="001E2D82" w:rsidRPr="000452C2">
        <w:t xml:space="preserve">tiesību </w:t>
      </w:r>
      <w:r w:rsidR="00E2683F" w:rsidRPr="000452C2">
        <w:t xml:space="preserve">norma </w:t>
      </w:r>
      <w:r w:rsidR="001E2D82" w:rsidRPr="000452C2">
        <w:t>attiecināma uz</w:t>
      </w:r>
      <w:r w:rsidR="00E2683F" w:rsidRPr="000452C2">
        <w:t xml:space="preserve"> personām, kuras izdarījušas Krimināllikuma 38.</w:t>
      </w:r>
      <w:r w:rsidR="00E2683F" w:rsidRPr="000452C2">
        <w:rPr>
          <w:vertAlign w:val="superscript"/>
        </w:rPr>
        <w:t>1</w:t>
      </w:r>
      <w:r w:rsidR="00E2683F" w:rsidRPr="000452C2">
        <w:t>panta 2.</w:t>
      </w:r>
      <w:r w:rsidR="00E2683F" w:rsidRPr="000452C2">
        <w:rPr>
          <w:vertAlign w:val="superscript"/>
        </w:rPr>
        <w:t>2</w:t>
      </w:r>
      <w:r w:rsidR="00E2683F" w:rsidRPr="000452C2">
        <w:t> daļā paredzētos sevišķi smagus noziegumus.</w:t>
      </w:r>
      <w:r w:rsidR="00CA5FEA" w:rsidRPr="000452C2">
        <w:t xml:space="preserve"> </w:t>
      </w:r>
    </w:p>
    <w:p w14:paraId="5B68CC43" w14:textId="6A1967CA" w:rsidR="001778BF" w:rsidRPr="002268F7" w:rsidRDefault="006D1FCD" w:rsidP="001778BF">
      <w:pPr>
        <w:spacing w:after="0" w:line="276" w:lineRule="auto"/>
        <w:ind w:firstLine="720"/>
        <w:jc w:val="both"/>
        <w:rPr>
          <w:rFonts w:cs="Times New Roman"/>
          <w:szCs w:val="24"/>
        </w:rPr>
      </w:pPr>
      <w:r>
        <w:t>[5.3] </w:t>
      </w:r>
      <w:r w:rsidR="001778BF">
        <w:rPr>
          <w:rFonts w:cs="Times New Roman"/>
          <w:szCs w:val="24"/>
        </w:rPr>
        <w:t xml:space="preserve">Krimināllikuma </w:t>
      </w:r>
      <w:r w:rsidR="00D950D0">
        <w:rPr>
          <w:rFonts w:cs="Times New Roman"/>
          <w:szCs w:val="24"/>
        </w:rPr>
        <w:t>p</w:t>
      </w:r>
      <w:r w:rsidR="00D950D0" w:rsidRPr="007813BF">
        <w:rPr>
          <w:szCs w:val="24"/>
        </w:rPr>
        <w:t xml:space="preserve">ārejas </w:t>
      </w:r>
      <w:r w:rsidR="001778BF" w:rsidRPr="007813BF">
        <w:rPr>
          <w:szCs w:val="24"/>
        </w:rPr>
        <w:t>noteikumu 32. punkts noteic, ka p</w:t>
      </w:r>
      <w:r w:rsidR="001778BF" w:rsidRPr="002268F7">
        <w:rPr>
          <w:rFonts w:cs="Times New Roman"/>
          <w:szCs w:val="24"/>
        </w:rPr>
        <w:t xml:space="preserve">amatsodu – probācijas uzraudzība – pilngadīgām personām sāk piemērot par noziedzīgiem nodarījumiem, kas izdarīti pēc 2024. gada 31. decembra, kā arī pilngadīgām personām, </w:t>
      </w:r>
      <w:r w:rsidR="001778BF" w:rsidRPr="002268F7">
        <w:rPr>
          <w:rFonts w:cs="Times New Roman"/>
          <w:szCs w:val="24"/>
        </w:rPr>
        <w:lastRenderedPageBreak/>
        <w:t>kuras noziedzīgu nodarījumu izdarījušas līdz 2024. gada 31. decembrim, bet vēl nav notiesātas.</w:t>
      </w:r>
    </w:p>
    <w:p w14:paraId="6FA54782" w14:textId="3C14FA16" w:rsidR="00533CD1" w:rsidRDefault="002E4739" w:rsidP="00533CD1">
      <w:pPr>
        <w:spacing w:after="0" w:line="276" w:lineRule="auto"/>
        <w:ind w:firstLine="720"/>
        <w:jc w:val="both"/>
      </w:pPr>
      <w:r w:rsidRPr="002268F7">
        <w:t>Senāts norāda, ka</w:t>
      </w:r>
      <w:r w:rsidR="00A73CB8" w:rsidRPr="002268F7">
        <w:t xml:space="preserve"> saskaņā ar </w:t>
      </w:r>
      <w:r w:rsidR="00D3113C" w:rsidRPr="007813BF">
        <w:rPr>
          <w:rFonts w:cs="Times New Roman"/>
          <w:szCs w:val="24"/>
        </w:rPr>
        <w:t>2024. gada 13. </w:t>
      </w:r>
      <w:r w:rsidR="00D3113C" w:rsidRPr="002268F7">
        <w:rPr>
          <w:rFonts w:cs="Times New Roman"/>
          <w:szCs w:val="24"/>
        </w:rPr>
        <w:t>j</w:t>
      </w:r>
      <w:r w:rsidR="00D3113C" w:rsidRPr="007813BF">
        <w:rPr>
          <w:rFonts w:cs="Times New Roman"/>
          <w:szCs w:val="24"/>
        </w:rPr>
        <w:t>ūnij</w:t>
      </w:r>
      <w:r w:rsidR="00D3113C">
        <w:rPr>
          <w:rFonts w:cs="Times New Roman"/>
          <w:szCs w:val="24"/>
        </w:rPr>
        <w:t>a</w:t>
      </w:r>
      <w:r w:rsidR="00D3113C" w:rsidRPr="002268F7">
        <w:rPr>
          <w:rFonts w:cs="Times New Roman"/>
          <w:szCs w:val="24"/>
        </w:rPr>
        <w:t xml:space="preserve"> </w:t>
      </w:r>
      <w:r w:rsidR="00A73CB8" w:rsidRPr="002268F7">
        <w:t xml:space="preserve">likumu „Grozījumi Krimināllikumā”, kas </w:t>
      </w:r>
      <w:r w:rsidR="00D3113C">
        <w:rPr>
          <w:rFonts w:cs="Times New Roman"/>
          <w:szCs w:val="24"/>
        </w:rPr>
        <w:t>stājies</w:t>
      </w:r>
      <w:r w:rsidR="00F35D7F">
        <w:rPr>
          <w:rFonts w:cs="Times New Roman"/>
          <w:szCs w:val="24"/>
        </w:rPr>
        <w:t xml:space="preserve"> spēkā</w:t>
      </w:r>
      <w:r w:rsidR="00A73CB8" w:rsidRPr="002268F7">
        <w:rPr>
          <w:rFonts w:cs="Times New Roman"/>
          <w:szCs w:val="24"/>
        </w:rPr>
        <w:t xml:space="preserve"> 2025. gada 1. janvārī, Krimināllikuma </w:t>
      </w:r>
      <w:r w:rsidR="00D950D0">
        <w:rPr>
          <w:szCs w:val="24"/>
        </w:rPr>
        <w:t>p</w:t>
      </w:r>
      <w:r w:rsidR="00D950D0" w:rsidRPr="007813BF">
        <w:rPr>
          <w:szCs w:val="24"/>
        </w:rPr>
        <w:t xml:space="preserve">ārejas </w:t>
      </w:r>
      <w:r w:rsidR="00A73CB8" w:rsidRPr="007813BF">
        <w:rPr>
          <w:szCs w:val="24"/>
        </w:rPr>
        <w:t>noteikumi</w:t>
      </w:r>
      <w:r w:rsidR="00A73CB8" w:rsidRPr="002268F7">
        <w:rPr>
          <w:rFonts w:cs="Times New Roman"/>
          <w:szCs w:val="24"/>
        </w:rPr>
        <w:t xml:space="preserve"> tika </w:t>
      </w:r>
      <w:r w:rsidR="00A73CB8" w:rsidRPr="002268F7">
        <w:rPr>
          <w:szCs w:val="24"/>
        </w:rPr>
        <w:t>papildināti ar</w:t>
      </w:r>
      <w:r w:rsidR="00A73CB8" w:rsidRPr="007813BF">
        <w:rPr>
          <w:szCs w:val="24"/>
        </w:rPr>
        <w:t xml:space="preserve"> 32. punktu</w:t>
      </w:r>
      <w:r w:rsidR="00A73CB8" w:rsidRPr="002268F7">
        <w:rPr>
          <w:szCs w:val="24"/>
        </w:rPr>
        <w:t>, kurā tika noteikts, ka pamatsodu – probācijas uzraudzība – pilngadīgām personām sāk</w:t>
      </w:r>
      <w:r w:rsidR="00A73CB8" w:rsidRPr="00674443">
        <w:rPr>
          <w:szCs w:val="24"/>
        </w:rPr>
        <w:t xml:space="preserve"> piemērot par noziedzīgiem nodarījumiem, </w:t>
      </w:r>
      <w:r w:rsidR="00A73CB8" w:rsidRPr="00C36717">
        <w:rPr>
          <w:szCs w:val="24"/>
        </w:rPr>
        <w:t>kas izdarīti pēc 2024. gada 31. decembra</w:t>
      </w:r>
      <w:r w:rsidR="00A73CB8" w:rsidRPr="00674443">
        <w:rPr>
          <w:szCs w:val="24"/>
        </w:rPr>
        <w:t>.</w:t>
      </w:r>
      <w:r w:rsidR="00A73CB8" w:rsidRPr="00674443">
        <w:t xml:space="preserve"> </w:t>
      </w:r>
    </w:p>
    <w:p w14:paraId="1902A25F" w14:textId="4541C4FB" w:rsidR="00533CD1" w:rsidRDefault="00533CD1" w:rsidP="00533CD1">
      <w:pPr>
        <w:spacing w:after="0" w:line="276" w:lineRule="auto"/>
        <w:ind w:firstLine="720"/>
        <w:jc w:val="both"/>
      </w:pPr>
      <w:r>
        <w:t>Pēc neilga brīža likumdevējs konstatēj</w:t>
      </w:r>
      <w:r w:rsidR="00C36717">
        <w:t>is</w:t>
      </w:r>
      <w:r>
        <w:t xml:space="preserve">, ka </w:t>
      </w:r>
      <w:r w:rsidR="00D950D0">
        <w:t>„</w:t>
      </w:r>
      <w:r>
        <w:t>i</w:t>
      </w:r>
      <w:r w:rsidRPr="00533CD1">
        <w:t xml:space="preserve">r izveidojusies situācija, ka attiecībā uz tiem noziedzīga nodarījuma veidiem, kas nav minēti Krimināllikuma </w:t>
      </w:r>
      <w:r w:rsidR="001778BF" w:rsidRPr="000452C2">
        <w:t>38.</w:t>
      </w:r>
      <w:r w:rsidR="001778BF" w:rsidRPr="000452C2">
        <w:rPr>
          <w:vertAlign w:val="superscript"/>
        </w:rPr>
        <w:t>1</w:t>
      </w:r>
      <w:r w:rsidR="00F35D7F">
        <w:rPr>
          <w:vertAlign w:val="superscript"/>
        </w:rPr>
        <w:t> </w:t>
      </w:r>
      <w:r w:rsidR="001778BF" w:rsidRPr="000452C2">
        <w:t>panta 2.</w:t>
      </w:r>
      <w:r w:rsidR="001778BF" w:rsidRPr="000452C2">
        <w:rPr>
          <w:vertAlign w:val="superscript"/>
        </w:rPr>
        <w:t>2</w:t>
      </w:r>
      <w:r w:rsidR="001778BF" w:rsidRPr="000452C2">
        <w:t xml:space="preserve"> daļā </w:t>
      </w:r>
      <w:r w:rsidRPr="00533CD1">
        <w:t>vai citos Krimināllikuma pārejas noteikumu punktos</w:t>
      </w:r>
      <w:r w:rsidR="00F35D7F">
        <w:t>,</w:t>
      </w:r>
      <w:r w:rsidRPr="00533CD1">
        <w:t xml:space="preserve"> nav noteikts pārejas periods, kas pieļauj iespēju pilngadīgām personām piemērot probācijas uzraudzības pamatsodu par nodarījumiem, kas izdarīti līdz 2024</w:t>
      </w:r>
      <w:r w:rsidR="00D950D0" w:rsidRPr="00533CD1">
        <w:t>.</w:t>
      </w:r>
      <w:r w:rsidR="00D950D0">
        <w:t> </w:t>
      </w:r>
      <w:r w:rsidRPr="00533CD1">
        <w:t>gada 31</w:t>
      </w:r>
      <w:r w:rsidR="00D950D0" w:rsidRPr="00533CD1">
        <w:t>.</w:t>
      </w:r>
      <w:r w:rsidR="00D950D0">
        <w:t> </w:t>
      </w:r>
      <w:r w:rsidRPr="00533CD1">
        <w:t>decembrim, ja šīs personas vēl nav notiesātas. Tādējādi tiesību normu piemērošanas procesā potenciāli varētu rasties problēmsituācijas un neskaidrības par to, vai būs iespējama probācijas uzraudzības soda piemērošana pilngadīgām personām, kuras noziedzīgu nodarījumu izdarījušas līdz 2024</w:t>
      </w:r>
      <w:r w:rsidR="00D950D0" w:rsidRPr="00533CD1">
        <w:t>.</w:t>
      </w:r>
      <w:r w:rsidR="00D950D0">
        <w:t> </w:t>
      </w:r>
      <w:r w:rsidRPr="00533CD1">
        <w:t>gada 31</w:t>
      </w:r>
      <w:r w:rsidR="00D950D0" w:rsidRPr="00533CD1">
        <w:t>.</w:t>
      </w:r>
      <w:r w:rsidR="00D950D0">
        <w:t> </w:t>
      </w:r>
      <w:r w:rsidRPr="00533CD1">
        <w:t>decembrim, bet vēl nav notiesātas. Izvērtējot Krimināllikuma pārejas noteikumu 32. un 33</w:t>
      </w:r>
      <w:r w:rsidR="00D950D0" w:rsidRPr="00533CD1">
        <w:t>.</w:t>
      </w:r>
      <w:r w:rsidR="00D950D0">
        <w:t> </w:t>
      </w:r>
      <w:r w:rsidRPr="00533CD1">
        <w:t>punktu sistēmiski, secināms, ka, ja tiek nodrošināta iespēja personām, kuras vēl nav notiesātas, piemērot probācijas uzraudzību par Krimināllikuma 38.</w:t>
      </w:r>
      <w:r w:rsidR="00D950D0" w:rsidRPr="00C36717">
        <w:rPr>
          <w:vertAlign w:val="superscript"/>
        </w:rPr>
        <w:t>1</w:t>
      </w:r>
      <w:r w:rsidR="00D950D0">
        <w:t> </w:t>
      </w:r>
      <w:r w:rsidRPr="00533CD1">
        <w:t>panta 2.</w:t>
      </w:r>
      <w:r w:rsidR="00D950D0" w:rsidRPr="00C36717">
        <w:rPr>
          <w:vertAlign w:val="superscript"/>
        </w:rPr>
        <w:t>2</w:t>
      </w:r>
      <w:r w:rsidR="00D950D0">
        <w:t> </w:t>
      </w:r>
      <w:r w:rsidRPr="00533CD1">
        <w:t>daļā minētajiem sevišķi smagajiem noziegumiem, kas izdarīti līdz 2024</w:t>
      </w:r>
      <w:r w:rsidR="00D950D0" w:rsidRPr="00533CD1">
        <w:t>.</w:t>
      </w:r>
      <w:r w:rsidR="00D950D0">
        <w:t> </w:t>
      </w:r>
      <w:r w:rsidRPr="00533CD1">
        <w:t>gada 31</w:t>
      </w:r>
      <w:r w:rsidR="00D950D0" w:rsidRPr="00533CD1">
        <w:t>.</w:t>
      </w:r>
      <w:r w:rsidR="00D950D0">
        <w:t> </w:t>
      </w:r>
      <w:r w:rsidRPr="00533CD1">
        <w:t>decembrim, tad probācijas uzraudzību būtu jāļauj piemērot personām, kuras vēl nav notiesātas, arī par citiem noziedzīgiem nodarījumiem, kas izdarīti līdz 2024</w:t>
      </w:r>
      <w:r w:rsidR="00D950D0" w:rsidRPr="00533CD1">
        <w:t>.</w:t>
      </w:r>
      <w:r w:rsidR="00D950D0">
        <w:t> </w:t>
      </w:r>
      <w:r w:rsidRPr="00533CD1">
        <w:t>gada 31</w:t>
      </w:r>
      <w:r w:rsidR="00D950D0" w:rsidRPr="00533CD1">
        <w:t>.</w:t>
      </w:r>
      <w:r w:rsidR="00D950D0">
        <w:t> </w:t>
      </w:r>
      <w:r w:rsidRPr="00533CD1">
        <w:t>decembrim</w:t>
      </w:r>
      <w:r>
        <w:t>”</w:t>
      </w:r>
      <w:r w:rsidRPr="00533CD1">
        <w:rPr>
          <w:rFonts w:cs="Times New Roman"/>
          <w:szCs w:val="24"/>
        </w:rPr>
        <w:t xml:space="preserve"> </w:t>
      </w:r>
      <w:r w:rsidRPr="000452C2">
        <w:rPr>
          <w:rFonts w:cs="Times New Roman"/>
          <w:szCs w:val="24"/>
        </w:rPr>
        <w:t>(</w:t>
      </w:r>
      <w:r w:rsidRPr="000452C2">
        <w:rPr>
          <w:rFonts w:cs="Times New Roman"/>
          <w:i/>
          <w:iCs/>
          <w:szCs w:val="24"/>
        </w:rPr>
        <w:t>14. Saeimas likumprojekta Nr. </w:t>
      </w:r>
      <w:r w:rsidR="00E358B0" w:rsidRPr="00C36717">
        <w:rPr>
          <w:rFonts w:cs="Times New Roman"/>
          <w:i/>
          <w:iCs/>
          <w:szCs w:val="24"/>
        </w:rPr>
        <w:t>808/Lp14</w:t>
      </w:r>
      <w:r w:rsidR="00C36717">
        <w:t xml:space="preserve"> </w:t>
      </w:r>
      <w:r w:rsidRPr="000452C2">
        <w:rPr>
          <w:rFonts w:cs="Times New Roman"/>
          <w:i/>
          <w:iCs/>
          <w:szCs w:val="24"/>
        </w:rPr>
        <w:t>„Grozījumi Krimināllikumā”</w:t>
      </w:r>
      <w:r w:rsidRPr="00D950D0">
        <w:rPr>
          <w:rFonts w:cs="Times New Roman"/>
          <w:i/>
          <w:iCs/>
          <w:szCs w:val="24"/>
        </w:rPr>
        <w:t xml:space="preserve"> </w:t>
      </w:r>
      <w:hyperlink r:id="rId9" w:history="1">
        <w:r w:rsidRPr="00D950D0">
          <w:rPr>
            <w:rStyle w:val="Hyperlink"/>
            <w:i/>
            <w:iCs/>
          </w:rPr>
          <w:t>anotācija</w:t>
        </w:r>
      </w:hyperlink>
      <w:r w:rsidRPr="000452C2">
        <w:rPr>
          <w:rFonts w:cs="Times New Roman"/>
          <w:szCs w:val="24"/>
        </w:rPr>
        <w:t>).</w:t>
      </w:r>
    </w:p>
    <w:p w14:paraId="6B47A40C" w14:textId="6355B486" w:rsidR="0055547A" w:rsidRDefault="001778BF" w:rsidP="001778BF">
      <w:pPr>
        <w:spacing w:after="0" w:line="276" w:lineRule="auto"/>
        <w:ind w:firstLine="720"/>
        <w:jc w:val="both"/>
        <w:rPr>
          <w:szCs w:val="24"/>
        </w:rPr>
      </w:pPr>
      <w:r>
        <w:t xml:space="preserve">Ievērojot minēto, </w:t>
      </w:r>
      <w:r w:rsidR="00533CD1">
        <w:t xml:space="preserve">saskaņā ar </w:t>
      </w:r>
      <w:r w:rsidR="00CA3D85" w:rsidRPr="00755557">
        <w:rPr>
          <w:rFonts w:cs="Times New Roman"/>
          <w:szCs w:val="24"/>
        </w:rPr>
        <w:t xml:space="preserve">2024. gada </w:t>
      </w:r>
      <w:r w:rsidR="00CA3D85" w:rsidRPr="007813BF">
        <w:t>12. decembr</w:t>
      </w:r>
      <w:r w:rsidR="00F35D7F">
        <w:t>a</w:t>
      </w:r>
      <w:r w:rsidR="00CA3D85">
        <w:rPr>
          <w:rFonts w:cs="Times New Roman"/>
          <w:szCs w:val="24"/>
        </w:rPr>
        <w:t xml:space="preserve"> </w:t>
      </w:r>
      <w:r w:rsidR="00533CD1">
        <w:t>likumu „Grozījumi Krimināllikumā”, kas</w:t>
      </w:r>
      <w:r w:rsidR="00F35D7F">
        <w:rPr>
          <w:rFonts w:cs="Times New Roman"/>
          <w:szCs w:val="24"/>
        </w:rPr>
        <w:t xml:space="preserve"> </w:t>
      </w:r>
      <w:r w:rsidR="00533CD1">
        <w:rPr>
          <w:rFonts w:cs="Times New Roman"/>
          <w:szCs w:val="24"/>
        </w:rPr>
        <w:t xml:space="preserve">stājās spēkā </w:t>
      </w:r>
      <w:r w:rsidR="00533CD1" w:rsidRPr="00755557">
        <w:rPr>
          <w:rFonts w:cs="Times New Roman"/>
          <w:szCs w:val="24"/>
        </w:rPr>
        <w:t>2025. gada 1. janvārī</w:t>
      </w:r>
      <w:r w:rsidR="00533CD1">
        <w:rPr>
          <w:rFonts w:cs="Times New Roman"/>
          <w:szCs w:val="24"/>
        </w:rPr>
        <w:t xml:space="preserve">, Krimināllikuma </w:t>
      </w:r>
      <w:r w:rsidR="00705AB2">
        <w:rPr>
          <w:rFonts w:cs="Times New Roman"/>
          <w:szCs w:val="24"/>
        </w:rPr>
        <w:t>p</w:t>
      </w:r>
      <w:r w:rsidR="00533CD1" w:rsidRPr="007813BF">
        <w:rPr>
          <w:szCs w:val="24"/>
        </w:rPr>
        <w:t>ārejas noteikumu</w:t>
      </w:r>
      <w:r w:rsidR="00533CD1" w:rsidRPr="002268F7">
        <w:rPr>
          <w:rFonts w:cs="Times New Roman"/>
          <w:szCs w:val="24"/>
        </w:rPr>
        <w:t xml:space="preserve"> </w:t>
      </w:r>
      <w:r w:rsidR="00533CD1" w:rsidRPr="007813BF">
        <w:rPr>
          <w:szCs w:val="24"/>
        </w:rPr>
        <w:t>32. punkts</w:t>
      </w:r>
      <w:r w:rsidR="00E358B0" w:rsidRPr="00FD1DD3">
        <w:rPr>
          <w:szCs w:val="24"/>
        </w:rPr>
        <w:t xml:space="preserve"> </w:t>
      </w:r>
      <w:r w:rsidR="00533CD1">
        <w:rPr>
          <w:rFonts w:cs="Times New Roman"/>
          <w:szCs w:val="24"/>
        </w:rPr>
        <w:t xml:space="preserve">tika </w:t>
      </w:r>
      <w:r w:rsidR="00533CD1" w:rsidRPr="00674443">
        <w:rPr>
          <w:szCs w:val="24"/>
        </w:rPr>
        <w:t>papildināt</w:t>
      </w:r>
      <w:r w:rsidR="00705AB2">
        <w:rPr>
          <w:szCs w:val="24"/>
        </w:rPr>
        <w:t>s</w:t>
      </w:r>
      <w:r w:rsidR="00533CD1" w:rsidRPr="00674443">
        <w:rPr>
          <w:szCs w:val="24"/>
        </w:rPr>
        <w:t xml:space="preserve"> ar</w:t>
      </w:r>
      <w:r w:rsidR="00533CD1">
        <w:rPr>
          <w:szCs w:val="24"/>
        </w:rPr>
        <w:t xml:space="preserve"> </w:t>
      </w:r>
      <w:r w:rsidR="00533CD1" w:rsidRPr="00533CD1">
        <w:rPr>
          <w:szCs w:val="24"/>
        </w:rPr>
        <w:t xml:space="preserve">vārdiem un skaitļiem </w:t>
      </w:r>
      <w:r w:rsidR="00C547BB">
        <w:rPr>
          <w:szCs w:val="24"/>
        </w:rPr>
        <w:t>„</w:t>
      </w:r>
      <w:r w:rsidR="00533CD1" w:rsidRPr="00533CD1">
        <w:rPr>
          <w:szCs w:val="24"/>
        </w:rPr>
        <w:t xml:space="preserve">kā arī pilngadīgām personām, kuras noziedzīgu nodarījumu izdarījušas </w:t>
      </w:r>
      <w:r w:rsidR="00533CD1" w:rsidRPr="00FD1DD3">
        <w:rPr>
          <w:szCs w:val="24"/>
        </w:rPr>
        <w:t>līdz 2024. gada 31. decembrim</w:t>
      </w:r>
      <w:r w:rsidR="00533CD1" w:rsidRPr="00533CD1">
        <w:rPr>
          <w:szCs w:val="24"/>
        </w:rPr>
        <w:t>, bet vēl nav notiesātas</w:t>
      </w:r>
      <w:r w:rsidR="00533CD1">
        <w:rPr>
          <w:szCs w:val="24"/>
        </w:rPr>
        <w:t>”.</w:t>
      </w:r>
      <w:r>
        <w:rPr>
          <w:szCs w:val="24"/>
        </w:rPr>
        <w:t xml:space="preserve"> </w:t>
      </w:r>
    </w:p>
    <w:p w14:paraId="53A3ADEF" w14:textId="38E2C96F" w:rsidR="0055547A" w:rsidRDefault="001778BF" w:rsidP="0055547A">
      <w:pPr>
        <w:spacing w:after="0" w:line="276" w:lineRule="auto"/>
        <w:ind w:firstLine="720"/>
        <w:jc w:val="both"/>
        <w:rPr>
          <w:szCs w:val="24"/>
        </w:rPr>
      </w:pPr>
      <w:r>
        <w:rPr>
          <w:szCs w:val="24"/>
        </w:rPr>
        <w:t xml:space="preserve">Senāts konstatē, ka apelācijas instances tiesa nav ņēmusi vērā minētos </w:t>
      </w:r>
      <w:r w:rsidR="00E358B0">
        <w:rPr>
          <w:szCs w:val="24"/>
        </w:rPr>
        <w:t xml:space="preserve">likuma </w:t>
      </w:r>
      <w:r>
        <w:rPr>
          <w:szCs w:val="24"/>
        </w:rPr>
        <w:t xml:space="preserve">grozījumus un nepamatoti norādījusi, ka pilngadīgām personām probācijas uzraudzību var piemērot tikai par noziedzīgiem nodarījumiem, kas izdarīti </w:t>
      </w:r>
      <w:r w:rsidRPr="007813BF">
        <w:rPr>
          <w:szCs w:val="24"/>
        </w:rPr>
        <w:t>pēc 2024. gada 31. decembra.</w:t>
      </w:r>
      <w:r w:rsidR="0055547A">
        <w:rPr>
          <w:szCs w:val="24"/>
        </w:rPr>
        <w:t xml:space="preserve"> </w:t>
      </w:r>
    </w:p>
    <w:p w14:paraId="5B660D4E" w14:textId="66677435" w:rsidR="001778BF" w:rsidRDefault="00DF3860" w:rsidP="00DF3860">
      <w:pPr>
        <w:spacing w:after="0" w:line="276" w:lineRule="auto"/>
        <w:ind w:firstLine="720"/>
        <w:jc w:val="both"/>
        <w:rPr>
          <w:szCs w:val="24"/>
        </w:rPr>
      </w:pPr>
      <w:r w:rsidRPr="0055547A">
        <w:rPr>
          <w:szCs w:val="24"/>
        </w:rPr>
        <w:t>Pārejas no</w:t>
      </w:r>
      <w:r>
        <w:rPr>
          <w:szCs w:val="24"/>
        </w:rPr>
        <w:t>teikumi</w:t>
      </w:r>
      <w:r w:rsidRPr="0055547A">
        <w:rPr>
          <w:szCs w:val="24"/>
        </w:rPr>
        <w:t xml:space="preserve"> ir būtiska tiesiskā regulējuma sastāvdaļa, kas nosaka </w:t>
      </w:r>
      <w:r>
        <w:rPr>
          <w:szCs w:val="24"/>
        </w:rPr>
        <w:t>Krimināl</w:t>
      </w:r>
      <w:r w:rsidRPr="0055547A">
        <w:rPr>
          <w:szCs w:val="24"/>
        </w:rPr>
        <w:t xml:space="preserve">likuma piemērošanu laikā un nodrošina skaidrību par jaunā regulējuma attiecināšanu uz </w:t>
      </w:r>
      <w:r w:rsidRPr="009922D5">
        <w:rPr>
          <w:szCs w:val="24"/>
        </w:rPr>
        <w:t xml:space="preserve">agrāk </w:t>
      </w:r>
      <w:r w:rsidRPr="0055547A">
        <w:rPr>
          <w:szCs w:val="24"/>
        </w:rPr>
        <w:t xml:space="preserve">izdarītiem noziedzīgiem nodarījumiem. </w:t>
      </w:r>
      <w:r w:rsidR="0055547A" w:rsidRPr="0055547A">
        <w:rPr>
          <w:szCs w:val="24"/>
        </w:rPr>
        <w:t xml:space="preserve">Tādējādi tiesa </w:t>
      </w:r>
      <w:r>
        <w:rPr>
          <w:szCs w:val="24"/>
        </w:rPr>
        <w:t xml:space="preserve">nepamatoti </w:t>
      </w:r>
      <w:r w:rsidR="0055547A" w:rsidRPr="0055547A">
        <w:rPr>
          <w:szCs w:val="24"/>
        </w:rPr>
        <w:t xml:space="preserve">nav apsvērusi tāda tiesiskā regulējuma piemērošanu, </w:t>
      </w:r>
      <w:r w:rsidR="0055547A" w:rsidRPr="007813BF">
        <w:rPr>
          <w:szCs w:val="24"/>
        </w:rPr>
        <w:t xml:space="preserve">kas </w:t>
      </w:r>
      <w:r w:rsidR="0055547A">
        <w:rPr>
          <w:szCs w:val="24"/>
        </w:rPr>
        <w:t>ir</w:t>
      </w:r>
      <w:r w:rsidR="0055547A" w:rsidRPr="007813BF">
        <w:rPr>
          <w:szCs w:val="24"/>
        </w:rPr>
        <w:t xml:space="preserve"> labvēlīgāks personai, proti, </w:t>
      </w:r>
      <w:r>
        <w:rPr>
          <w:szCs w:val="24"/>
        </w:rPr>
        <w:t>i</w:t>
      </w:r>
      <w:r w:rsidR="0055547A" w:rsidRPr="007813BF">
        <w:rPr>
          <w:szCs w:val="24"/>
        </w:rPr>
        <w:t>espēj</w:t>
      </w:r>
      <w:r>
        <w:rPr>
          <w:szCs w:val="24"/>
        </w:rPr>
        <w:t>u</w:t>
      </w:r>
      <w:r w:rsidR="0055547A" w:rsidRPr="007813BF">
        <w:rPr>
          <w:szCs w:val="24"/>
        </w:rPr>
        <w:t xml:space="preserve"> piemērot probācijas uzraudzību kā pamatsodu</w:t>
      </w:r>
      <w:r>
        <w:rPr>
          <w:szCs w:val="24"/>
        </w:rPr>
        <w:t xml:space="preserve"> arī </w:t>
      </w:r>
      <w:r w:rsidRPr="00533CD1">
        <w:rPr>
          <w:szCs w:val="24"/>
        </w:rPr>
        <w:t xml:space="preserve">pilngadīgām personām, kuras noziedzīgu nodarījumu izdarījušas </w:t>
      </w:r>
      <w:r w:rsidRPr="007813BF">
        <w:rPr>
          <w:szCs w:val="24"/>
        </w:rPr>
        <w:t>līdz 2024. gada 31. decembrim</w:t>
      </w:r>
      <w:r w:rsidRPr="00DF3860">
        <w:rPr>
          <w:szCs w:val="24"/>
        </w:rPr>
        <w:t>,</w:t>
      </w:r>
      <w:r w:rsidRPr="00533CD1">
        <w:rPr>
          <w:szCs w:val="24"/>
        </w:rPr>
        <w:t xml:space="preserve"> bet vēl nav notiesātas</w:t>
      </w:r>
      <w:r>
        <w:rPr>
          <w:szCs w:val="24"/>
        </w:rPr>
        <w:t>.</w:t>
      </w:r>
    </w:p>
    <w:p w14:paraId="7DE3680F" w14:textId="09136E88" w:rsidR="00DF3860" w:rsidRDefault="00DF3860" w:rsidP="00DF3860">
      <w:pPr>
        <w:spacing w:after="0" w:line="276" w:lineRule="auto"/>
        <w:ind w:firstLine="720"/>
        <w:jc w:val="both"/>
        <w:rPr>
          <w:rFonts w:cs="Times New Roman"/>
          <w:szCs w:val="24"/>
        </w:rPr>
      </w:pPr>
      <w:r>
        <w:t>[5.4] </w:t>
      </w:r>
      <w:r>
        <w:rPr>
          <w:rFonts w:cs="Times New Roman"/>
          <w:szCs w:val="24"/>
        </w:rPr>
        <w:t>Krimināllikuma 38.</w:t>
      </w:r>
      <w:r>
        <w:rPr>
          <w:rFonts w:cs="Times New Roman"/>
          <w:szCs w:val="24"/>
          <w:vertAlign w:val="superscript"/>
        </w:rPr>
        <w:t>1</w:t>
      </w:r>
      <w:r>
        <w:rPr>
          <w:rFonts w:cs="Times New Roman"/>
          <w:szCs w:val="24"/>
        </w:rPr>
        <w:t> panta 2.</w:t>
      </w:r>
      <w:r>
        <w:rPr>
          <w:rFonts w:cs="Times New Roman"/>
          <w:szCs w:val="24"/>
          <w:vertAlign w:val="superscript"/>
        </w:rPr>
        <w:t>1</w:t>
      </w:r>
      <w:r>
        <w:rPr>
          <w:rFonts w:cs="Times New Roman"/>
          <w:szCs w:val="24"/>
        </w:rPr>
        <w:t> daļa noteic</w:t>
      </w:r>
      <w:r w:rsidR="007D7DC2">
        <w:rPr>
          <w:rFonts w:cs="Times New Roman"/>
          <w:szCs w:val="24"/>
        </w:rPr>
        <w:t>:</w:t>
      </w:r>
      <w:r w:rsidR="00CA3D85">
        <w:rPr>
          <w:rFonts w:cs="Times New Roman"/>
          <w:szCs w:val="24"/>
        </w:rPr>
        <w:t xml:space="preserve"> </w:t>
      </w:r>
      <w:r>
        <w:rPr>
          <w:rFonts w:cs="Times New Roman"/>
          <w:szCs w:val="24"/>
        </w:rPr>
        <w:t>ja tiesa, ņemot vērā izdarītā noziedzīgā nodarījuma raksturu un radīto kaitējumu, vainīgā personību un citus lietas apstākļus, iegūst pārliecību, ka vainīgais, neizciešot brīvības atņemšanu, turpmāk neizdarīs likumpārkāpumus, tā var piemērot probācijas uzraudzību kā pamatsodu no trim līdz sešiem gadiem arī par tāda smaga nozieguma izdarīšanu, par kuru šajā likumā paredzēta brīvības atņemšana uz laiku, ilgāku par pieciem gadiem, vai par sevišķi smaga nozieguma izdarīšanu. Savukārt saskaņā ar minētā panta 2.</w:t>
      </w:r>
      <w:r>
        <w:rPr>
          <w:rFonts w:cs="Times New Roman"/>
          <w:szCs w:val="24"/>
          <w:vertAlign w:val="superscript"/>
        </w:rPr>
        <w:t>2</w:t>
      </w:r>
      <w:r>
        <w:rPr>
          <w:rFonts w:cs="Times New Roman"/>
          <w:szCs w:val="24"/>
        </w:rPr>
        <w:t xml:space="preserve"> daļu noteikts aizliegums probācijas uzraudzību kā pamatsodu piemērot par sevišķi smaga nozieguma izdarīšanu, </w:t>
      </w:r>
      <w:r>
        <w:rPr>
          <w:rFonts w:cs="Times New Roman"/>
          <w:szCs w:val="24"/>
        </w:rPr>
        <w:lastRenderedPageBreak/>
        <w:t>ja: 1) noziegums izraisījis cilvēka nāvi; 2) noziegums izdarīts pret nepilngadīgo, lietojot vardarbību; 3) noziegums izdarīts organizētā grupā; 4) izdarīts kāds no Krimināllikuma IX, IX</w:t>
      </w:r>
      <w:r>
        <w:rPr>
          <w:rFonts w:cs="Times New Roman"/>
          <w:szCs w:val="24"/>
          <w:vertAlign w:val="superscript"/>
        </w:rPr>
        <w:t>1</w:t>
      </w:r>
      <w:r>
        <w:rPr>
          <w:rFonts w:cs="Times New Roman"/>
          <w:szCs w:val="24"/>
        </w:rPr>
        <w:t xml:space="preserve"> vai X nodaļā paredzētajiem noziegumiem; 5) izdarīts šā likuma 159., 160., 105. vai </w:t>
      </w:r>
      <w:r w:rsidRPr="006111E9">
        <w:rPr>
          <w:rFonts w:cs="Times New Roman"/>
          <w:szCs w:val="24"/>
        </w:rPr>
        <w:t>253.</w:t>
      </w:r>
      <w:r w:rsidRPr="006111E9">
        <w:rPr>
          <w:rFonts w:cs="Times New Roman"/>
          <w:szCs w:val="24"/>
          <w:vertAlign w:val="superscript"/>
        </w:rPr>
        <w:t>1</w:t>
      </w:r>
      <w:r w:rsidRPr="006111E9">
        <w:rPr>
          <w:rFonts w:cs="Times New Roman"/>
          <w:szCs w:val="24"/>
        </w:rPr>
        <w:t> pantā</w:t>
      </w:r>
      <w:r>
        <w:rPr>
          <w:rFonts w:cs="Times New Roman"/>
          <w:szCs w:val="24"/>
        </w:rPr>
        <w:t xml:space="preserve"> paredzētais noziegums.</w:t>
      </w:r>
    </w:p>
    <w:p w14:paraId="181C1178" w14:textId="6BA2154C" w:rsidR="00DF3860" w:rsidRDefault="00DF3860" w:rsidP="00DF3860">
      <w:pPr>
        <w:spacing w:after="0" w:line="276" w:lineRule="auto"/>
        <w:ind w:firstLine="720"/>
        <w:jc w:val="both"/>
      </w:pPr>
      <w:r>
        <w:t xml:space="preserve">Tomēr no </w:t>
      </w:r>
      <w:r w:rsidRPr="000452C2">
        <w:t xml:space="preserve">Krimināllikuma </w:t>
      </w:r>
      <w:r w:rsidR="008B08A2">
        <w:t>p</w:t>
      </w:r>
      <w:r w:rsidR="008B08A2" w:rsidRPr="000452C2">
        <w:t xml:space="preserve">ārejas </w:t>
      </w:r>
      <w:r w:rsidRPr="000452C2">
        <w:t>noteikumu 33.</w:t>
      </w:r>
      <w:r>
        <w:t> </w:t>
      </w:r>
      <w:r w:rsidRPr="000452C2">
        <w:t>punkt</w:t>
      </w:r>
      <w:r>
        <w:t>a izriet</w:t>
      </w:r>
      <w:r w:rsidRPr="000452C2">
        <w:t>, ka personām, kuras līdz 2024. gada 31. decembrim izdarījušas šā likuma 38.</w:t>
      </w:r>
      <w:r w:rsidRPr="000452C2">
        <w:rPr>
          <w:vertAlign w:val="superscript"/>
        </w:rPr>
        <w:t>1</w:t>
      </w:r>
      <w:r w:rsidRPr="000452C2">
        <w:t> panta 2.</w:t>
      </w:r>
      <w:r w:rsidRPr="000452C2">
        <w:rPr>
          <w:vertAlign w:val="superscript"/>
        </w:rPr>
        <w:t>2</w:t>
      </w:r>
      <w:r w:rsidRPr="000452C2">
        <w:t> daļā minētos sevišķi smagos noziegumus, izņemot šā likuma 159. vai 160. pantā paredzēto noziegumu, un vēl nav notiesātas, no 2025. gada 1. janvāra var piemērot pamatsodu – probācijas uzraudzīb</w:t>
      </w:r>
      <w:r>
        <w:t>u</w:t>
      </w:r>
      <w:r w:rsidRPr="000452C2">
        <w:t>. Šādos gadījumos probācijas uzraudzība nav piemērojama personai, kura agrāk bijusi notiesāta ar brīvības atņemšanu un kurai sodāmība nav noņemta vai dzēsta likumā noteiktajā kārtībā.</w:t>
      </w:r>
    </w:p>
    <w:p w14:paraId="07DD9F03" w14:textId="49840483" w:rsidR="00DF3860" w:rsidRDefault="00DF3860" w:rsidP="00DF3860">
      <w:pPr>
        <w:spacing w:after="0" w:line="276" w:lineRule="auto"/>
        <w:ind w:firstLine="720"/>
        <w:jc w:val="both"/>
        <w:rPr>
          <w:rFonts w:cs="Times New Roman"/>
          <w:szCs w:val="24"/>
        </w:rPr>
      </w:pPr>
      <w:r>
        <w:t xml:space="preserve">Izstrādājot </w:t>
      </w:r>
      <w:r w:rsidR="006111E9">
        <w:t xml:space="preserve">likumprojektu </w:t>
      </w:r>
      <w:r>
        <w:t>„Grozījumi Krimināllikumā”, kas stājās spēkā 20</w:t>
      </w:r>
      <w:r w:rsidR="007D7DC2">
        <w:t>2</w:t>
      </w:r>
      <w:r>
        <w:t xml:space="preserve">5. gada 1. janvārī, likumdevējs </w:t>
      </w:r>
      <w:r w:rsidR="00CA3D85">
        <w:t xml:space="preserve">konstatējis </w:t>
      </w:r>
      <w:r w:rsidR="00052F50">
        <w:t xml:space="preserve">nepieciešamību </w:t>
      </w:r>
      <w:r>
        <w:t xml:space="preserve">paredzēt iespēju pie noteiktiem apstākļiem piemērot probācijas uzraudzību kā pamatsodu arī par smaga vai sevišķi smaga nozieguma izdarīšanu. Vienlaikus tika atzīts, ka probācijas uzraudzību kā pamatsodu par sevišķi smagiem noziegumiem drīkst piemērot vienīgi izņēmuma gadījumā </w:t>
      </w:r>
      <w:r w:rsidRPr="000452C2">
        <w:rPr>
          <w:rFonts w:cs="Times New Roman"/>
          <w:szCs w:val="24"/>
        </w:rPr>
        <w:t>(</w:t>
      </w:r>
      <w:r w:rsidRPr="000452C2">
        <w:rPr>
          <w:rFonts w:cs="Times New Roman"/>
          <w:i/>
          <w:iCs/>
          <w:szCs w:val="24"/>
        </w:rPr>
        <w:t>14. Saeimas likumprojekta Nr. </w:t>
      </w:r>
      <w:r w:rsidR="008B08A2" w:rsidRPr="00FD1DD3">
        <w:rPr>
          <w:i/>
          <w:iCs/>
        </w:rPr>
        <w:t>463/Lp14</w:t>
      </w:r>
      <w:r w:rsidRPr="006D1FCD">
        <w:rPr>
          <w:rFonts w:cs="Times New Roman"/>
          <w:i/>
          <w:iCs/>
          <w:szCs w:val="24"/>
        </w:rPr>
        <w:t> </w:t>
      </w:r>
      <w:r w:rsidRPr="000452C2">
        <w:rPr>
          <w:rFonts w:cs="Times New Roman"/>
          <w:i/>
          <w:iCs/>
          <w:szCs w:val="24"/>
        </w:rPr>
        <w:t xml:space="preserve">„Grozījumi Krimināllikumā” </w:t>
      </w:r>
      <w:hyperlink r:id="rId10" w:history="1">
        <w:r w:rsidRPr="00FD1DD3">
          <w:rPr>
            <w:rStyle w:val="Hyperlink"/>
            <w:rFonts w:cs="Times New Roman"/>
            <w:i/>
            <w:iCs/>
            <w:szCs w:val="24"/>
          </w:rPr>
          <w:t>papildinātā anotācija</w:t>
        </w:r>
      </w:hyperlink>
      <w:r w:rsidRPr="000452C2">
        <w:rPr>
          <w:rFonts w:cs="Times New Roman"/>
          <w:szCs w:val="24"/>
        </w:rPr>
        <w:t>).</w:t>
      </w:r>
    </w:p>
    <w:p w14:paraId="07D6F28D" w14:textId="1848454F" w:rsidR="00DF3860" w:rsidRDefault="00DF3860" w:rsidP="00B03927">
      <w:pPr>
        <w:spacing w:after="0" w:line="276" w:lineRule="auto"/>
        <w:ind w:firstLine="720"/>
        <w:jc w:val="both"/>
      </w:pPr>
      <w:r w:rsidRPr="000452C2">
        <w:t xml:space="preserve">No </w:t>
      </w:r>
      <w:r>
        <w:t>minētā</w:t>
      </w:r>
      <w:r w:rsidRPr="000452C2">
        <w:t xml:space="preserve"> secināms, ka likumdevējs ir paplašinā</w:t>
      </w:r>
      <w:r>
        <w:t>jis</w:t>
      </w:r>
      <w:r w:rsidRPr="000452C2">
        <w:t xml:space="preserve"> probācijas uzraudzības kā pamatsoda piemērošanas iespējas atsevišķos gadījumos</w:t>
      </w:r>
      <w:r>
        <w:t xml:space="preserve">, arī par </w:t>
      </w:r>
      <w:r w:rsidRPr="000452C2">
        <w:rPr>
          <w:rFonts w:cs="Times New Roman"/>
          <w:szCs w:val="24"/>
        </w:rPr>
        <w:t>Krimināllikuma 253.</w:t>
      </w:r>
      <w:r w:rsidRPr="000452C2">
        <w:rPr>
          <w:rFonts w:cs="Times New Roman"/>
          <w:szCs w:val="24"/>
          <w:vertAlign w:val="superscript"/>
        </w:rPr>
        <w:t>1</w:t>
      </w:r>
      <w:r w:rsidRPr="000452C2">
        <w:rPr>
          <w:rFonts w:cs="Times New Roman"/>
          <w:szCs w:val="24"/>
        </w:rPr>
        <w:t> panta trešajā daļā paredzēt</w:t>
      </w:r>
      <w:r w:rsidR="00412BA1">
        <w:rPr>
          <w:rFonts w:cs="Times New Roman"/>
          <w:szCs w:val="24"/>
        </w:rPr>
        <w:t>o</w:t>
      </w:r>
      <w:r w:rsidRPr="000452C2">
        <w:rPr>
          <w:rFonts w:cs="Times New Roman"/>
          <w:szCs w:val="24"/>
        </w:rPr>
        <w:t xml:space="preserve"> noziedzīg</w:t>
      </w:r>
      <w:r w:rsidR="00412BA1">
        <w:rPr>
          <w:rFonts w:cs="Times New Roman"/>
          <w:szCs w:val="24"/>
        </w:rPr>
        <w:t>o</w:t>
      </w:r>
      <w:r w:rsidRPr="000452C2">
        <w:rPr>
          <w:rFonts w:cs="Times New Roman"/>
          <w:szCs w:val="24"/>
        </w:rPr>
        <w:t xml:space="preserve"> nodarījum</w:t>
      </w:r>
      <w:r w:rsidR="00412BA1">
        <w:rPr>
          <w:rFonts w:cs="Times New Roman"/>
          <w:szCs w:val="24"/>
        </w:rPr>
        <w:t>u</w:t>
      </w:r>
      <w:r w:rsidRPr="000452C2">
        <w:t>.</w:t>
      </w:r>
      <w:r>
        <w:t xml:space="preserve"> Tādējādi probācijas uzraudzību kā pamatsodu par sevišķi smagu noziegumu, izņemot Krimināllikuma 159. un 160. pantā paredzētos noziegumus, var piemērot, ja persona minēto nodarījumu izdarījusi līdz 2024. gada 31. decembrim un vēl nav notiesāta un ja tiesa, ņemot vērā noziedzīgā nodarījuma raksturu un radīto kaitējumu, vainīgā personību un citus lietas apstākļus, ir ieguvusi pārliecību, ka vainīgais, neizciešot brīvības atņemšanu, turpmāk neizdarīs likumpārkāpumus</w:t>
      </w:r>
      <w:r w:rsidR="00B03927">
        <w:t xml:space="preserve"> </w:t>
      </w:r>
      <w:r w:rsidR="00B03927" w:rsidRPr="005B31C6">
        <w:rPr>
          <w:szCs w:val="24"/>
        </w:rPr>
        <w:t>(</w:t>
      </w:r>
      <w:r w:rsidR="00B03927" w:rsidRPr="005B31C6">
        <w:rPr>
          <w:i/>
          <w:iCs/>
          <w:szCs w:val="24"/>
        </w:rPr>
        <w:t>Senāta 202</w:t>
      </w:r>
      <w:r w:rsidR="00B03927">
        <w:rPr>
          <w:i/>
          <w:iCs/>
          <w:szCs w:val="24"/>
        </w:rPr>
        <w:t>6</w:t>
      </w:r>
      <w:r w:rsidR="00B03927" w:rsidRPr="005B31C6">
        <w:rPr>
          <w:i/>
          <w:iCs/>
          <w:szCs w:val="24"/>
        </w:rPr>
        <w:t xml:space="preserve">. gada </w:t>
      </w:r>
      <w:r w:rsidR="00B03927">
        <w:rPr>
          <w:i/>
          <w:iCs/>
          <w:szCs w:val="24"/>
        </w:rPr>
        <w:t>27</w:t>
      </w:r>
      <w:r w:rsidR="00B03927" w:rsidRPr="005B31C6">
        <w:rPr>
          <w:i/>
          <w:iCs/>
          <w:szCs w:val="24"/>
        </w:rPr>
        <w:t>. </w:t>
      </w:r>
      <w:r w:rsidR="00B03927">
        <w:rPr>
          <w:i/>
          <w:iCs/>
          <w:szCs w:val="24"/>
        </w:rPr>
        <w:t>februāra</w:t>
      </w:r>
      <w:r w:rsidR="00B03927" w:rsidRPr="005B31C6">
        <w:rPr>
          <w:i/>
          <w:iCs/>
          <w:szCs w:val="24"/>
        </w:rPr>
        <w:t xml:space="preserve"> lēmuma lietā Nr. SKK-</w:t>
      </w:r>
      <w:r w:rsidR="00B03927">
        <w:rPr>
          <w:i/>
          <w:iCs/>
          <w:szCs w:val="24"/>
        </w:rPr>
        <w:t>60</w:t>
      </w:r>
      <w:r w:rsidR="00B03927" w:rsidRPr="005B31C6">
        <w:rPr>
          <w:i/>
          <w:iCs/>
          <w:szCs w:val="24"/>
        </w:rPr>
        <w:t>/202</w:t>
      </w:r>
      <w:r w:rsidR="00B03927">
        <w:rPr>
          <w:i/>
          <w:iCs/>
          <w:szCs w:val="24"/>
        </w:rPr>
        <w:t>6</w:t>
      </w:r>
      <w:r w:rsidR="00B03927" w:rsidRPr="005B31C6">
        <w:rPr>
          <w:i/>
          <w:iCs/>
          <w:szCs w:val="24"/>
        </w:rPr>
        <w:t xml:space="preserve">, </w:t>
      </w:r>
      <w:hyperlink r:id="rId11" w:history="1">
        <w:r w:rsidR="008B08A2" w:rsidRPr="008B08A2">
          <w:rPr>
            <w:rStyle w:val="Hyperlink"/>
            <w:i/>
            <w:iCs/>
          </w:rPr>
          <w:t>ECLI:LV:AT:2026:0227.11355027721.6.</w:t>
        </w:r>
        <w:r w:rsidR="00B03927" w:rsidRPr="008B08A2">
          <w:rPr>
            <w:rStyle w:val="Hyperlink"/>
            <w:i/>
            <w:iCs/>
          </w:rPr>
          <w:t>L</w:t>
        </w:r>
      </w:hyperlink>
      <w:r w:rsidR="00B03927" w:rsidRPr="005B31C6">
        <w:rPr>
          <w:i/>
          <w:iCs/>
          <w:szCs w:val="24"/>
        </w:rPr>
        <w:t xml:space="preserve">, </w:t>
      </w:r>
      <w:r w:rsidR="00B03927">
        <w:rPr>
          <w:i/>
          <w:iCs/>
          <w:szCs w:val="24"/>
        </w:rPr>
        <w:t>6.2</w:t>
      </w:r>
      <w:r w:rsidR="00B03927" w:rsidRPr="005B31C6">
        <w:rPr>
          <w:i/>
          <w:iCs/>
          <w:szCs w:val="24"/>
        </w:rPr>
        <w:t>. punkts</w:t>
      </w:r>
      <w:r w:rsidR="00B03927" w:rsidRPr="005B31C6">
        <w:rPr>
          <w:szCs w:val="24"/>
        </w:rPr>
        <w:t>).</w:t>
      </w:r>
    </w:p>
    <w:p w14:paraId="05FDB0EC" w14:textId="693F01DA" w:rsidR="003C2A6D" w:rsidRDefault="00D9501D" w:rsidP="002268F7">
      <w:pPr>
        <w:spacing w:after="0" w:line="276" w:lineRule="auto"/>
        <w:ind w:firstLine="720"/>
        <w:jc w:val="both"/>
      </w:pPr>
      <w:r>
        <w:t>[5.5] </w:t>
      </w:r>
      <w:r w:rsidR="002268F7">
        <w:t>Senāts konstatē, ka a</w:t>
      </w:r>
      <w:r w:rsidR="00DF3860">
        <w:t xml:space="preserve">pelācijas instances tiesa </w:t>
      </w:r>
      <w:r w:rsidR="002268F7">
        <w:t xml:space="preserve">nepamatoti atzinusi, ka </w:t>
      </w:r>
      <w:r w:rsidR="00DF3860" w:rsidRPr="000452C2">
        <w:t xml:space="preserve">Krimināllikuma </w:t>
      </w:r>
      <w:r w:rsidR="008B08A2">
        <w:t>p</w:t>
      </w:r>
      <w:r w:rsidR="008B08A2" w:rsidRPr="000452C2">
        <w:t xml:space="preserve">ārejas </w:t>
      </w:r>
      <w:r w:rsidR="00DF3860" w:rsidRPr="000452C2">
        <w:t>noteikumu 33.</w:t>
      </w:r>
      <w:r w:rsidR="003C2A6D">
        <w:t> </w:t>
      </w:r>
      <w:r w:rsidR="00DF3860" w:rsidRPr="000452C2">
        <w:t>punkt</w:t>
      </w:r>
      <w:r w:rsidR="003C2A6D">
        <w:t>s</w:t>
      </w:r>
      <w:r w:rsidR="00412BA1">
        <w:t xml:space="preserve"> nav attiecinām</w:t>
      </w:r>
      <w:r w:rsidR="003C2A6D">
        <w:t>s</w:t>
      </w:r>
      <w:r w:rsidR="00412BA1">
        <w:t xml:space="preserve"> uz </w:t>
      </w:r>
      <w:r w:rsidR="00111C2D">
        <w:rPr>
          <w:rFonts w:cs="Times New Roman"/>
          <w:szCs w:val="24"/>
        </w:rPr>
        <w:t>[pers. A]</w:t>
      </w:r>
      <w:r w:rsidR="00412BA1">
        <w:rPr>
          <w:rFonts w:cs="Times New Roman"/>
          <w:szCs w:val="24"/>
        </w:rPr>
        <w:t xml:space="preserve">, jo </w:t>
      </w:r>
      <w:r w:rsidR="002268F7" w:rsidRPr="007813BF">
        <w:t>viņš par izdarīto noziedzīgo nodarījumu notiesāts 2024.</w:t>
      </w:r>
      <w:r w:rsidR="003C2A6D">
        <w:t> </w:t>
      </w:r>
      <w:r w:rsidR="002268F7" w:rsidRPr="007813BF">
        <w:t>gada 16.</w:t>
      </w:r>
      <w:r w:rsidR="003C2A6D">
        <w:t> </w:t>
      </w:r>
      <w:r w:rsidR="002268F7" w:rsidRPr="007813BF">
        <w:t>septembrī, tas ir, pirms 2024.</w:t>
      </w:r>
      <w:r w:rsidR="003C2A6D">
        <w:t> </w:t>
      </w:r>
      <w:r w:rsidR="002268F7" w:rsidRPr="007813BF">
        <w:t>gada 31.</w:t>
      </w:r>
      <w:r w:rsidR="003C2A6D">
        <w:t> </w:t>
      </w:r>
      <w:r w:rsidR="002268F7" w:rsidRPr="007813BF">
        <w:t>decembra</w:t>
      </w:r>
      <w:r w:rsidR="002268F7">
        <w:t xml:space="preserve">. </w:t>
      </w:r>
    </w:p>
    <w:p w14:paraId="4FCAD18F" w14:textId="3EEF223C" w:rsidR="002268F7" w:rsidRDefault="002268F7" w:rsidP="002268F7">
      <w:pPr>
        <w:spacing w:after="0" w:line="276" w:lineRule="auto"/>
        <w:ind w:firstLine="720"/>
        <w:jc w:val="both"/>
      </w:pPr>
      <w:r>
        <w:t xml:space="preserve">Senāts norāda, ka pirmās instances tiesa taisījusi spriedumu </w:t>
      </w:r>
      <w:r w:rsidRPr="009922D5">
        <w:t>2024.</w:t>
      </w:r>
      <w:r w:rsidR="003C2A6D">
        <w:t> </w:t>
      </w:r>
      <w:r w:rsidRPr="009922D5">
        <w:t>gada 16.</w:t>
      </w:r>
      <w:r w:rsidR="003C2A6D">
        <w:t> </w:t>
      </w:r>
      <w:r w:rsidRPr="009922D5">
        <w:t>septembrī</w:t>
      </w:r>
      <w:r>
        <w:t xml:space="preserve">, minētais spriedums ir ticis pārsūdzēts apelācijas kārtībā, līdz ar to tas nav stājies spēkā un </w:t>
      </w:r>
      <w:r w:rsidR="00111C2D">
        <w:rPr>
          <w:rFonts w:cs="Times New Roman"/>
          <w:szCs w:val="24"/>
        </w:rPr>
        <w:t>[pers. A]</w:t>
      </w:r>
      <w:r>
        <w:rPr>
          <w:rFonts w:cs="Times New Roman"/>
          <w:szCs w:val="24"/>
        </w:rPr>
        <w:t xml:space="preserve"> joprojām ir apsūdzētā statusā. Ar spēkā nestājušos notiesājoša sprieduma taisīšanu apsūdzētais neiegūst notiesātā statusu. </w:t>
      </w:r>
      <w:r w:rsidR="003C2A6D">
        <w:rPr>
          <w:rFonts w:cs="Times New Roman"/>
          <w:szCs w:val="24"/>
        </w:rPr>
        <w:t>N</w:t>
      </w:r>
      <w:r>
        <w:rPr>
          <w:rFonts w:cs="Times New Roman"/>
          <w:szCs w:val="24"/>
        </w:rPr>
        <w:t xml:space="preserve">otiesātā statusa </w:t>
      </w:r>
      <w:r w:rsidR="003C2A6D">
        <w:rPr>
          <w:rFonts w:cs="Times New Roman"/>
          <w:szCs w:val="24"/>
        </w:rPr>
        <w:t>apsūdzētais iegūst tikai n</w:t>
      </w:r>
      <w:r w:rsidR="003C2A6D" w:rsidRPr="002268F7">
        <w:t>o notiesājoša sprieduma vai prokurora priekšraksta par sodu spēkā stāšanās dienas</w:t>
      </w:r>
      <w:r w:rsidR="003C2A6D">
        <w:t>.</w:t>
      </w:r>
    </w:p>
    <w:p w14:paraId="63E3946B" w14:textId="2DC3DC51" w:rsidR="00957500" w:rsidRPr="00E92F00" w:rsidRDefault="003C2A6D" w:rsidP="00705AB2">
      <w:pPr>
        <w:spacing w:after="0" w:line="276" w:lineRule="auto"/>
        <w:ind w:firstLine="720"/>
        <w:jc w:val="both"/>
        <w:rPr>
          <w:rFonts w:asciiTheme="majorBidi" w:hAnsiTheme="majorBidi" w:cstheme="majorBidi"/>
          <w:szCs w:val="24"/>
        </w:rPr>
      </w:pPr>
      <w:r>
        <w:t>[5.</w:t>
      </w:r>
      <w:r w:rsidR="00D9501D">
        <w:t>6</w:t>
      </w:r>
      <w:r>
        <w:t xml:space="preserve">] Ievērojot minēto, </w:t>
      </w:r>
      <w:r w:rsidRPr="000452C2">
        <w:rPr>
          <w:rFonts w:cs="Times New Roman"/>
          <w:szCs w:val="24"/>
        </w:rPr>
        <w:t xml:space="preserve">Senāts </w:t>
      </w:r>
      <w:r>
        <w:rPr>
          <w:rFonts w:cs="Times New Roman"/>
          <w:szCs w:val="24"/>
        </w:rPr>
        <w:t xml:space="preserve">atzīst, ka </w:t>
      </w:r>
      <w:r w:rsidRPr="007813BF">
        <w:rPr>
          <w:rFonts w:cs="Times New Roman"/>
          <w:szCs w:val="24"/>
        </w:rPr>
        <w:t xml:space="preserve">apelācijas instances tiesa nepamatoti noraidījusi Krimināllikuma </w:t>
      </w:r>
      <w:r w:rsidR="00D9501D">
        <w:rPr>
          <w:rFonts w:cs="Times New Roman"/>
          <w:szCs w:val="24"/>
        </w:rPr>
        <w:t>p</w:t>
      </w:r>
      <w:r w:rsidRPr="007813BF">
        <w:rPr>
          <w:rFonts w:cs="Times New Roman"/>
          <w:szCs w:val="24"/>
        </w:rPr>
        <w:t>ārejas noteikumu 32. un 33</w:t>
      </w:r>
      <w:r w:rsidR="00516E1E" w:rsidRPr="007813BF">
        <w:rPr>
          <w:rFonts w:cs="Times New Roman"/>
          <w:szCs w:val="24"/>
        </w:rPr>
        <w:t>.</w:t>
      </w:r>
      <w:r w:rsidR="00516E1E">
        <w:rPr>
          <w:rFonts w:cs="Times New Roman"/>
          <w:szCs w:val="24"/>
        </w:rPr>
        <w:t> </w:t>
      </w:r>
      <w:r w:rsidRPr="007813BF">
        <w:rPr>
          <w:rFonts w:cs="Times New Roman"/>
          <w:szCs w:val="24"/>
        </w:rPr>
        <w:t>punkta piemērošanas iespēju, nosakot pamatsodu</w:t>
      </w:r>
      <w:r w:rsidR="007D073B">
        <w:rPr>
          <w:rFonts w:cs="Times New Roman"/>
          <w:szCs w:val="24"/>
        </w:rPr>
        <w:t>,</w:t>
      </w:r>
      <w:r w:rsidR="00705AB2">
        <w:rPr>
          <w:rFonts w:cs="Times New Roman"/>
          <w:szCs w:val="24"/>
        </w:rPr>
        <w:t xml:space="preserve"> </w:t>
      </w:r>
      <w:r w:rsidR="00705AB2" w:rsidRPr="00705AB2">
        <w:rPr>
          <w:rFonts w:cs="Times New Roman"/>
          <w:szCs w:val="24"/>
        </w:rPr>
        <w:t>kas atzīstams par Krimināllikuma pārkāpumu Kriminālprocesa likuma 574.</w:t>
      </w:r>
      <w:r w:rsidR="00FD1DD3">
        <w:rPr>
          <w:rFonts w:cs="Times New Roman"/>
          <w:szCs w:val="24"/>
        </w:rPr>
        <w:t> </w:t>
      </w:r>
      <w:r w:rsidR="00705AB2" w:rsidRPr="00705AB2">
        <w:rPr>
          <w:rFonts w:cs="Times New Roman"/>
          <w:szCs w:val="24"/>
        </w:rPr>
        <w:t>panta 1.</w:t>
      </w:r>
      <w:r w:rsidR="00FD1DD3">
        <w:rPr>
          <w:rFonts w:cs="Times New Roman"/>
          <w:szCs w:val="24"/>
        </w:rPr>
        <w:t> </w:t>
      </w:r>
      <w:r w:rsidR="00705AB2" w:rsidRPr="00705AB2">
        <w:rPr>
          <w:rFonts w:cs="Times New Roman"/>
          <w:szCs w:val="24"/>
        </w:rPr>
        <w:t>punkta</w:t>
      </w:r>
      <w:r w:rsidR="00FD1DD3">
        <w:rPr>
          <w:rFonts w:cs="Times New Roman"/>
          <w:szCs w:val="24"/>
        </w:rPr>
        <w:t xml:space="preserve"> izpratnē</w:t>
      </w:r>
      <w:r w:rsidR="00705AB2">
        <w:rPr>
          <w:rFonts w:cs="Times New Roman"/>
          <w:szCs w:val="24"/>
        </w:rPr>
        <w:t xml:space="preserve">, </w:t>
      </w:r>
      <w:r w:rsidR="007D073B">
        <w:rPr>
          <w:rFonts w:cs="Times New Roman"/>
          <w:szCs w:val="24"/>
        </w:rPr>
        <w:t>l</w:t>
      </w:r>
      <w:r w:rsidR="00957500">
        <w:rPr>
          <w:rFonts w:cs="Times New Roman"/>
          <w:szCs w:val="24"/>
        </w:rPr>
        <w:t xml:space="preserve">īdz ar to </w:t>
      </w:r>
      <w:r w:rsidR="007D073B">
        <w:rPr>
          <w:rFonts w:cs="Times New Roman"/>
          <w:szCs w:val="24"/>
        </w:rPr>
        <w:t xml:space="preserve">ir pamats </w:t>
      </w:r>
      <w:r w:rsidR="007D073B" w:rsidRPr="000452C2">
        <w:rPr>
          <w:rFonts w:cs="Times New Roman"/>
          <w:szCs w:val="24"/>
        </w:rPr>
        <w:t>Rīgas apgabaltiesas 2025. gada 19. marta</w:t>
      </w:r>
      <w:r w:rsidR="007D073B">
        <w:rPr>
          <w:rFonts w:cs="Times New Roman"/>
          <w:szCs w:val="24"/>
        </w:rPr>
        <w:t xml:space="preserve"> lēmuma</w:t>
      </w:r>
      <w:r w:rsidR="007D073B" w:rsidRPr="000452C2">
        <w:rPr>
          <w:rFonts w:cs="Times New Roman"/>
          <w:szCs w:val="24"/>
        </w:rPr>
        <w:t xml:space="preserve"> </w:t>
      </w:r>
      <w:r w:rsidR="00957500" w:rsidRPr="00E92F00">
        <w:rPr>
          <w:rFonts w:asciiTheme="majorBidi" w:hAnsiTheme="majorBidi" w:cstheme="majorBidi"/>
          <w:szCs w:val="24"/>
        </w:rPr>
        <w:t xml:space="preserve">atcelšanai daļā par apsūdzētajam noteikto sodu, un šajā daļā lietas nosūtīšanai jaunai izskatīšanai apelācijas instances tiesā. </w:t>
      </w:r>
    </w:p>
    <w:p w14:paraId="2CC1AEBB" w14:textId="6A41CA82" w:rsidR="00957500" w:rsidRPr="00E92F00" w:rsidRDefault="00CA3D85" w:rsidP="007D073B">
      <w:pPr>
        <w:spacing w:after="0" w:line="276" w:lineRule="auto"/>
        <w:ind w:firstLine="720"/>
        <w:jc w:val="both"/>
        <w:rPr>
          <w:rFonts w:asciiTheme="majorBidi" w:hAnsiTheme="majorBidi" w:cstheme="majorBidi"/>
          <w:szCs w:val="24"/>
        </w:rPr>
      </w:pPr>
      <w:r>
        <w:rPr>
          <w:rFonts w:asciiTheme="majorBidi" w:hAnsiTheme="majorBidi" w:cstheme="majorBidi"/>
          <w:szCs w:val="24"/>
        </w:rPr>
        <w:t>A</w:t>
      </w:r>
      <w:r w:rsidRPr="00E92F00">
        <w:rPr>
          <w:rFonts w:asciiTheme="majorBidi" w:hAnsiTheme="majorBidi" w:cstheme="majorBidi"/>
          <w:szCs w:val="24"/>
        </w:rPr>
        <w:t xml:space="preserve">pelācijas </w:t>
      </w:r>
      <w:r w:rsidR="00957500" w:rsidRPr="00E92F00">
        <w:rPr>
          <w:rFonts w:asciiTheme="majorBidi" w:hAnsiTheme="majorBidi" w:cstheme="majorBidi"/>
          <w:szCs w:val="24"/>
        </w:rPr>
        <w:t>instances tiesai</w:t>
      </w:r>
      <w:r>
        <w:rPr>
          <w:rFonts w:asciiTheme="majorBidi" w:hAnsiTheme="majorBidi" w:cstheme="majorBidi"/>
          <w:szCs w:val="24"/>
        </w:rPr>
        <w:t>,</w:t>
      </w:r>
      <w:r w:rsidR="00957500" w:rsidRPr="00E92F00">
        <w:rPr>
          <w:rFonts w:asciiTheme="majorBidi" w:hAnsiTheme="majorBidi" w:cstheme="majorBidi"/>
          <w:szCs w:val="24"/>
        </w:rPr>
        <w:t xml:space="preserve"> </w:t>
      </w:r>
      <w:r w:rsidRPr="00E92F00">
        <w:rPr>
          <w:rFonts w:asciiTheme="majorBidi" w:hAnsiTheme="majorBidi" w:cstheme="majorBidi"/>
          <w:szCs w:val="24"/>
        </w:rPr>
        <w:t xml:space="preserve">izskatot lietu </w:t>
      </w:r>
      <w:r w:rsidR="00957500" w:rsidRPr="00E92F00">
        <w:rPr>
          <w:rFonts w:asciiTheme="majorBidi" w:hAnsiTheme="majorBidi" w:cstheme="majorBidi"/>
          <w:szCs w:val="24"/>
        </w:rPr>
        <w:t>no jauna</w:t>
      </w:r>
      <w:r>
        <w:rPr>
          <w:rFonts w:asciiTheme="majorBidi" w:hAnsiTheme="majorBidi" w:cstheme="majorBidi"/>
          <w:szCs w:val="24"/>
        </w:rPr>
        <w:t>,</w:t>
      </w:r>
      <w:r w:rsidR="00957500" w:rsidRPr="00E92F00">
        <w:rPr>
          <w:rFonts w:asciiTheme="majorBidi" w:hAnsiTheme="majorBidi" w:cstheme="majorBidi"/>
          <w:szCs w:val="24"/>
        </w:rPr>
        <w:t xml:space="preserve"> jāizvērtē sodu ietekmējošie apstākļi un jānosaka apsūdzētajam </w:t>
      </w:r>
      <w:r w:rsidR="00111C2D">
        <w:rPr>
          <w:rFonts w:cs="Times New Roman"/>
          <w:szCs w:val="24"/>
        </w:rPr>
        <w:t>[pers. A]</w:t>
      </w:r>
      <w:r w:rsidR="007D073B">
        <w:rPr>
          <w:rFonts w:cs="Times New Roman"/>
          <w:szCs w:val="24"/>
        </w:rPr>
        <w:t xml:space="preserve"> </w:t>
      </w:r>
      <w:r w:rsidR="00957500" w:rsidRPr="00E92F00">
        <w:rPr>
          <w:rFonts w:asciiTheme="majorBidi" w:hAnsiTheme="majorBidi" w:cstheme="majorBidi"/>
          <w:szCs w:val="24"/>
        </w:rPr>
        <w:t xml:space="preserve">sods, ievērojot </w:t>
      </w:r>
      <w:r w:rsidR="00010B8C" w:rsidRPr="009C7A0A">
        <w:rPr>
          <w:bCs/>
        </w:rPr>
        <w:t xml:space="preserve">Krimināllikuma 35. pantā </w:t>
      </w:r>
      <w:r w:rsidR="00010B8C" w:rsidRPr="009C7A0A">
        <w:rPr>
          <w:bCs/>
        </w:rPr>
        <w:lastRenderedPageBreak/>
        <w:t>no</w:t>
      </w:r>
      <w:r w:rsidR="00010B8C">
        <w:rPr>
          <w:bCs/>
        </w:rPr>
        <w:t>teikto</w:t>
      </w:r>
      <w:r w:rsidR="00010B8C" w:rsidRPr="009C7A0A">
        <w:rPr>
          <w:bCs/>
        </w:rPr>
        <w:t xml:space="preserve"> soda mērķi</w:t>
      </w:r>
      <w:r w:rsidR="00010B8C">
        <w:rPr>
          <w:bCs/>
        </w:rPr>
        <w:t>,</w:t>
      </w:r>
      <w:r w:rsidR="00010B8C" w:rsidRPr="00E92F00">
        <w:rPr>
          <w:rFonts w:asciiTheme="majorBidi" w:hAnsiTheme="majorBidi" w:cstheme="majorBidi"/>
          <w:szCs w:val="24"/>
        </w:rPr>
        <w:t xml:space="preserve"> </w:t>
      </w:r>
      <w:r w:rsidR="00957500" w:rsidRPr="00E92F00">
        <w:rPr>
          <w:rFonts w:asciiTheme="majorBidi" w:hAnsiTheme="majorBidi" w:cstheme="majorBidi"/>
          <w:szCs w:val="24"/>
        </w:rPr>
        <w:t xml:space="preserve">Krimināllikuma 46. pantā norādītos soda noteikšanas vispārīgos principus un Krimināllikuma </w:t>
      </w:r>
      <w:r w:rsidR="008B08A2">
        <w:rPr>
          <w:rFonts w:cs="Times New Roman"/>
          <w:szCs w:val="24"/>
        </w:rPr>
        <w:t>p</w:t>
      </w:r>
      <w:r w:rsidR="008B08A2" w:rsidRPr="009922D5">
        <w:rPr>
          <w:rFonts w:cs="Times New Roman"/>
          <w:szCs w:val="24"/>
        </w:rPr>
        <w:t xml:space="preserve">ārejas </w:t>
      </w:r>
      <w:r w:rsidR="007D073B" w:rsidRPr="009922D5">
        <w:rPr>
          <w:rFonts w:cs="Times New Roman"/>
          <w:szCs w:val="24"/>
        </w:rPr>
        <w:t>noteikumu 32. un 33</w:t>
      </w:r>
      <w:r w:rsidR="008B08A2" w:rsidRPr="009922D5">
        <w:rPr>
          <w:rFonts w:cs="Times New Roman"/>
          <w:szCs w:val="24"/>
        </w:rPr>
        <w:t>.</w:t>
      </w:r>
      <w:r w:rsidR="008B08A2">
        <w:rPr>
          <w:rFonts w:cs="Times New Roman"/>
          <w:szCs w:val="24"/>
        </w:rPr>
        <w:t> </w:t>
      </w:r>
      <w:r w:rsidR="00D9501D" w:rsidRPr="009922D5">
        <w:rPr>
          <w:rFonts w:cs="Times New Roman"/>
          <w:szCs w:val="24"/>
        </w:rPr>
        <w:t>punkt</w:t>
      </w:r>
      <w:r w:rsidR="00D9501D">
        <w:rPr>
          <w:rFonts w:cs="Times New Roman"/>
          <w:szCs w:val="24"/>
        </w:rPr>
        <w:t xml:space="preserve">a </w:t>
      </w:r>
      <w:r w:rsidR="00957500" w:rsidRPr="00E92F00">
        <w:rPr>
          <w:rFonts w:asciiTheme="majorBidi" w:hAnsiTheme="majorBidi" w:cstheme="majorBidi"/>
          <w:szCs w:val="24"/>
        </w:rPr>
        <w:t>nosacījumus</w:t>
      </w:r>
      <w:r w:rsidR="007D073B">
        <w:rPr>
          <w:rFonts w:asciiTheme="majorBidi" w:hAnsiTheme="majorBidi" w:cstheme="majorBidi"/>
          <w:szCs w:val="24"/>
        </w:rPr>
        <w:t>.</w:t>
      </w:r>
    </w:p>
    <w:p w14:paraId="27E822DD" w14:textId="77777777" w:rsidR="00D3229C" w:rsidRDefault="00D3229C" w:rsidP="007D073B">
      <w:pPr>
        <w:widowControl w:val="0"/>
        <w:tabs>
          <w:tab w:val="left" w:pos="1710"/>
        </w:tabs>
        <w:spacing w:after="0" w:line="276" w:lineRule="auto"/>
        <w:ind w:firstLine="720"/>
        <w:jc w:val="both"/>
        <w:rPr>
          <w:rFonts w:cs="Times New Roman"/>
          <w:szCs w:val="24"/>
        </w:rPr>
      </w:pPr>
    </w:p>
    <w:p w14:paraId="1F1C0D89" w14:textId="001E6554" w:rsidR="00D3229C" w:rsidRPr="000452C2" w:rsidRDefault="00D3229C" w:rsidP="00D3229C">
      <w:pPr>
        <w:widowControl w:val="0"/>
        <w:tabs>
          <w:tab w:val="left" w:pos="1710"/>
        </w:tabs>
        <w:spacing w:after="0" w:line="276" w:lineRule="auto"/>
        <w:ind w:firstLine="720"/>
        <w:jc w:val="both"/>
        <w:rPr>
          <w:rFonts w:cs="Times New Roman"/>
          <w:szCs w:val="24"/>
        </w:rPr>
      </w:pPr>
      <w:bookmarkStart w:id="3" w:name="_Hlk222755345"/>
      <w:r>
        <w:rPr>
          <w:rFonts w:cs="Times New Roman"/>
          <w:szCs w:val="24"/>
        </w:rPr>
        <w:t xml:space="preserve">[6] Senāts konstatē, ka kasācijas instances tiesas kompetencē ir sniegt atbildi arī uz jautājumu, vai tiesa </w:t>
      </w:r>
      <w:r w:rsidR="00C70A49">
        <w:rPr>
          <w:rFonts w:cs="Times New Roman"/>
          <w:szCs w:val="24"/>
        </w:rPr>
        <w:t>pamatoti kvalificējusi apsūdzētā darbības pēc Krimināllikuma 253.</w:t>
      </w:r>
      <w:r w:rsidR="00C70A49">
        <w:rPr>
          <w:rFonts w:cs="Times New Roman"/>
          <w:szCs w:val="24"/>
          <w:vertAlign w:val="superscript"/>
        </w:rPr>
        <w:t>1</w:t>
      </w:r>
      <w:r w:rsidR="00C70A49">
        <w:t xml:space="preserve"> panta trešās daļas, </w:t>
      </w:r>
      <w:r w:rsidRPr="000452C2">
        <w:rPr>
          <w:rFonts w:cs="Times New Roman"/>
          <w:szCs w:val="24"/>
        </w:rPr>
        <w:t>narkotisk</w:t>
      </w:r>
      <w:r w:rsidR="007D7DC2">
        <w:rPr>
          <w:rFonts w:cs="Times New Roman"/>
          <w:szCs w:val="24"/>
        </w:rPr>
        <w:t>ās</w:t>
      </w:r>
      <w:r w:rsidRPr="000452C2">
        <w:rPr>
          <w:rFonts w:cs="Times New Roman"/>
          <w:szCs w:val="24"/>
        </w:rPr>
        <w:t xml:space="preserve"> viel</w:t>
      </w:r>
      <w:r w:rsidR="007D7DC2">
        <w:rPr>
          <w:rFonts w:cs="Times New Roman"/>
          <w:szCs w:val="24"/>
        </w:rPr>
        <w:t>as</w:t>
      </w:r>
      <w:r w:rsidRPr="000452C2">
        <w:rPr>
          <w:rFonts w:cs="Times New Roman"/>
          <w:szCs w:val="24"/>
        </w:rPr>
        <w:t xml:space="preserve"> apmēru </w:t>
      </w:r>
      <w:r w:rsidR="00E90A59">
        <w:rPr>
          <w:rFonts w:cs="Times New Roman"/>
          <w:szCs w:val="24"/>
        </w:rPr>
        <w:t xml:space="preserve">nosakot </w:t>
      </w:r>
      <w:r w:rsidRPr="000452C2">
        <w:rPr>
          <w:rFonts w:cs="Times New Roman"/>
          <w:szCs w:val="24"/>
        </w:rPr>
        <w:t xml:space="preserve">pēc visa vielu maisījuma </w:t>
      </w:r>
      <w:r w:rsidR="00CA3D85">
        <w:rPr>
          <w:rFonts w:cs="Times New Roman"/>
          <w:szCs w:val="24"/>
        </w:rPr>
        <w:t>daudzuma</w:t>
      </w:r>
      <w:r w:rsidRPr="000452C2">
        <w:rPr>
          <w:rFonts w:cs="Times New Roman"/>
          <w:szCs w:val="24"/>
        </w:rPr>
        <w:t>.</w:t>
      </w:r>
    </w:p>
    <w:p w14:paraId="657310F2" w14:textId="474352BC" w:rsidR="00B95E8A" w:rsidRDefault="00E90A59" w:rsidP="00324415">
      <w:pPr>
        <w:widowControl w:val="0"/>
        <w:tabs>
          <w:tab w:val="left" w:pos="1710"/>
        </w:tabs>
        <w:spacing w:after="0" w:line="276" w:lineRule="auto"/>
        <w:ind w:firstLine="720"/>
        <w:jc w:val="both"/>
        <w:rPr>
          <w:rFonts w:cs="Times New Roman"/>
          <w:szCs w:val="24"/>
        </w:rPr>
      </w:pPr>
      <w:r>
        <w:rPr>
          <w:rFonts w:cs="Times New Roman"/>
          <w:szCs w:val="24"/>
        </w:rPr>
        <w:t>[6.1] </w:t>
      </w:r>
      <w:r w:rsidR="00B95E8A">
        <w:rPr>
          <w:rFonts w:cs="Times New Roman"/>
          <w:szCs w:val="24"/>
        </w:rPr>
        <w:t>Krimināllikuma 253.</w:t>
      </w:r>
      <w:r w:rsidR="00B95E8A">
        <w:rPr>
          <w:rFonts w:cs="Times New Roman"/>
          <w:szCs w:val="24"/>
          <w:vertAlign w:val="superscript"/>
        </w:rPr>
        <w:t>1</w:t>
      </w:r>
      <w:r w:rsidR="00B95E8A">
        <w:rPr>
          <w:rFonts w:cs="Times New Roman"/>
          <w:szCs w:val="24"/>
        </w:rPr>
        <w:t xml:space="preserve"> panta trešajā daļā paredzēta kriminālatbildība par </w:t>
      </w:r>
      <w:r w:rsidR="00B95E8A" w:rsidRPr="00B95E8A">
        <w:rPr>
          <w:rFonts w:cs="Times New Roman"/>
          <w:szCs w:val="24"/>
        </w:rPr>
        <w:t xml:space="preserve">narkotisko vai psihotropo vielu neatļautu izgatavošanu, iegādāšanos, glabāšanu, pārvadāšanu vai pārsūtīšanu realizācijas nolūkā vai par narkotisko vai psihotropo vielu neatļautu realizēšanu, </w:t>
      </w:r>
      <w:r w:rsidR="0038084C">
        <w:rPr>
          <w:rFonts w:cs="Times New Roman"/>
          <w:szCs w:val="24"/>
        </w:rPr>
        <w:t>[..]</w:t>
      </w:r>
      <w:r w:rsidR="00B95E8A" w:rsidRPr="00B95E8A">
        <w:rPr>
          <w:rFonts w:cs="Times New Roman"/>
          <w:szCs w:val="24"/>
        </w:rPr>
        <w:t xml:space="preserve"> ja tās izdarītas ar narkotiskajām vai psihotropajām vielām lielā apmērā</w:t>
      </w:r>
      <w:r w:rsidR="0038084C">
        <w:rPr>
          <w:rFonts w:cs="Times New Roman"/>
          <w:szCs w:val="24"/>
        </w:rPr>
        <w:t>.</w:t>
      </w:r>
    </w:p>
    <w:p w14:paraId="622EF946" w14:textId="043BC77E" w:rsidR="002E7AF2" w:rsidRDefault="00110651" w:rsidP="00010B8C">
      <w:pPr>
        <w:widowControl w:val="0"/>
        <w:tabs>
          <w:tab w:val="left" w:pos="1710"/>
        </w:tabs>
        <w:spacing w:after="0" w:line="276" w:lineRule="auto"/>
        <w:ind w:firstLine="720"/>
        <w:jc w:val="both"/>
      </w:pPr>
      <w:r>
        <w:rPr>
          <w:rFonts w:cs="Times New Roman"/>
          <w:szCs w:val="24"/>
        </w:rPr>
        <w:t xml:space="preserve">Apelācijas instances tiesa atzinusi, ka </w:t>
      </w:r>
      <w:r w:rsidR="00111C2D">
        <w:rPr>
          <w:rFonts w:cs="Times New Roman"/>
          <w:szCs w:val="24"/>
        </w:rPr>
        <w:t>[pers. A]</w:t>
      </w:r>
      <w:r>
        <w:rPr>
          <w:rFonts w:cs="Times New Roman"/>
          <w:szCs w:val="24"/>
        </w:rPr>
        <w:t xml:space="preserve"> ir izdarījis Krimināllikuma 253.</w:t>
      </w:r>
      <w:r>
        <w:rPr>
          <w:rFonts w:cs="Times New Roman"/>
          <w:szCs w:val="24"/>
          <w:vertAlign w:val="superscript"/>
        </w:rPr>
        <w:t>1</w:t>
      </w:r>
      <w:r>
        <w:rPr>
          <w:rFonts w:cs="Times New Roman"/>
          <w:szCs w:val="24"/>
        </w:rPr>
        <w:t xml:space="preserve"> panta trešajā daļā paredzēto noziedzīgo nodarījumu, proti, </w:t>
      </w:r>
      <w:r w:rsidR="002E7AF2">
        <w:t>a</w:t>
      </w:r>
      <w:r w:rsidR="002E7AF2" w:rsidRPr="00520A5E">
        <w:t xml:space="preserve">psūdzētais </w:t>
      </w:r>
      <w:r w:rsidR="00B17E74">
        <w:t xml:space="preserve">realizācijas nolūkā </w:t>
      </w:r>
      <w:r w:rsidR="002E7AF2" w:rsidRPr="00520A5E">
        <w:t xml:space="preserve">neatļauti </w:t>
      </w:r>
      <w:r w:rsidR="00CA3D85" w:rsidRPr="00520A5E">
        <w:t>izgatavoj</w:t>
      </w:r>
      <w:r w:rsidR="00CA3D85">
        <w:t>is</w:t>
      </w:r>
      <w:r w:rsidR="00CA3D85" w:rsidRPr="00520A5E">
        <w:t xml:space="preserve"> </w:t>
      </w:r>
      <w:r w:rsidR="002E7AF2">
        <w:t xml:space="preserve">un </w:t>
      </w:r>
      <w:r w:rsidR="00CA3D85" w:rsidRPr="00520A5E">
        <w:t>glabāj</w:t>
      </w:r>
      <w:r w:rsidR="00CA3D85">
        <w:t>is</w:t>
      </w:r>
      <w:r w:rsidR="00CA3D85" w:rsidRPr="00520A5E">
        <w:t xml:space="preserve"> </w:t>
      </w:r>
      <w:r w:rsidR="002E7AF2" w:rsidRPr="00520A5E">
        <w:t>transportlīdzeklī ne mazāk kā 493,0297</w:t>
      </w:r>
      <w:r w:rsidR="002E7AF2">
        <w:t> </w:t>
      </w:r>
      <w:r w:rsidR="002E7AF2" w:rsidRPr="00520A5E">
        <w:t>g</w:t>
      </w:r>
      <w:r w:rsidR="002E7AF2">
        <w:t xml:space="preserve"> </w:t>
      </w:r>
      <w:r w:rsidR="002E7AF2" w:rsidRPr="00520A5E">
        <w:t>brūn</w:t>
      </w:r>
      <w:r w:rsidR="00B17E74">
        <w:t>u</w:t>
      </w:r>
      <w:r w:rsidR="002E7AF2" w:rsidRPr="00520A5E">
        <w:t xml:space="preserve"> </w:t>
      </w:r>
      <w:proofErr w:type="spellStart"/>
      <w:r w:rsidR="002E7AF2" w:rsidRPr="00520A5E">
        <w:t>braunijiem</w:t>
      </w:r>
      <w:proofErr w:type="spellEnd"/>
      <w:r w:rsidR="002E7AF2" w:rsidRPr="00520A5E">
        <w:t xml:space="preserve"> līdzīgu konditorejas izstrādājumu,</w:t>
      </w:r>
      <w:r w:rsidR="002E7AF2">
        <w:t xml:space="preserve"> </w:t>
      </w:r>
      <w:r w:rsidR="00FF5186">
        <w:t xml:space="preserve">kā arī </w:t>
      </w:r>
      <w:r w:rsidR="00516E1E" w:rsidRPr="00516E1E">
        <w:t>2023.</w:t>
      </w:r>
      <w:r w:rsidR="00516E1E">
        <w:t> </w:t>
      </w:r>
      <w:r w:rsidR="00516E1E" w:rsidRPr="00516E1E">
        <w:t>gada 7.</w:t>
      </w:r>
      <w:r w:rsidR="00516E1E">
        <w:t> </w:t>
      </w:r>
      <w:r w:rsidR="00516E1E" w:rsidRPr="00516E1E">
        <w:t>februārī</w:t>
      </w:r>
      <w:r w:rsidR="00516E1E" w:rsidRPr="00520A5E">
        <w:t xml:space="preserve"> </w:t>
      </w:r>
      <w:r w:rsidR="004331D1">
        <w:t xml:space="preserve">neatļauti </w:t>
      </w:r>
      <w:r w:rsidR="00CA3D85" w:rsidRPr="00315292">
        <w:t>realizēj</w:t>
      </w:r>
      <w:r w:rsidR="00CA3D85">
        <w:t xml:space="preserve">is </w:t>
      </w:r>
      <w:r w:rsidR="00B17E74">
        <w:t xml:space="preserve">106,5624 g </w:t>
      </w:r>
      <w:r w:rsidR="00FF5186">
        <w:t>šādu izstrādājumu</w:t>
      </w:r>
      <w:r w:rsidR="003966C6">
        <w:t xml:space="preserve">, </w:t>
      </w:r>
      <w:r w:rsidR="00B30B5A">
        <w:t xml:space="preserve">proti, </w:t>
      </w:r>
      <w:r w:rsidR="004331D1">
        <w:t xml:space="preserve">neatļauti </w:t>
      </w:r>
      <w:r w:rsidR="00B30B5A">
        <w:t xml:space="preserve">realizējis </w:t>
      </w:r>
      <w:r w:rsidR="002E7AF2" w:rsidRPr="00315292">
        <w:t>vielu maisījum</w:t>
      </w:r>
      <w:r w:rsidR="00B30B5A">
        <w:t>u</w:t>
      </w:r>
      <w:r w:rsidR="003966C6">
        <w:t>, kas</w:t>
      </w:r>
      <w:r w:rsidR="00A86A80">
        <w:t xml:space="preserve"> </w:t>
      </w:r>
      <w:r w:rsidR="002E7AF2" w:rsidRPr="00315292">
        <w:t xml:space="preserve">satur </w:t>
      </w:r>
      <w:r w:rsidR="006F426B">
        <w:t>narkotisko</w:t>
      </w:r>
      <w:r w:rsidR="002E7AF2" w:rsidRPr="00315292">
        <w:t xml:space="preserve"> vielu</w:t>
      </w:r>
      <w:r w:rsidR="00A86A80">
        <w:t xml:space="preserve"> </w:t>
      </w:r>
      <w:r w:rsidR="004331D1">
        <w:t> </w:t>
      </w:r>
      <w:r w:rsidR="00A86A80">
        <w:t xml:space="preserve">– </w:t>
      </w:r>
      <w:proofErr w:type="spellStart"/>
      <w:r w:rsidR="002E7AF2" w:rsidRPr="00315292">
        <w:t>dronabinolu</w:t>
      </w:r>
      <w:proofErr w:type="spellEnd"/>
      <w:r w:rsidR="00A86A80">
        <w:t xml:space="preserve"> – </w:t>
      </w:r>
      <w:r w:rsidR="002E7AF2" w:rsidRPr="00315292">
        <w:t>jebkurā daudzumā, kas nav nodalām</w:t>
      </w:r>
      <w:r w:rsidR="00796DA1">
        <w:t>s</w:t>
      </w:r>
      <w:r w:rsidR="002E7AF2" w:rsidRPr="00315292">
        <w:t xml:space="preserve"> no vielu maisījuma kopējā daudzuma</w:t>
      </w:r>
      <w:r w:rsidR="00A86A80">
        <w:t>. Saskaņā ar</w:t>
      </w:r>
      <w:r w:rsidR="002E7AF2" w:rsidRPr="00315292">
        <w:t xml:space="preserve"> likuma</w:t>
      </w:r>
      <w:r w:rsidR="00A86A80">
        <w:t> </w:t>
      </w:r>
      <w:r w:rsidR="002E7AF2" w:rsidRPr="00315292">
        <w:t>„Par Krimināllikuma spēkā stāšanās un piemērošanas kārtību” 2.</w:t>
      </w:r>
      <w:r w:rsidR="00D9167C">
        <w:t> </w:t>
      </w:r>
      <w:r w:rsidR="002E7AF2" w:rsidRPr="00315292">
        <w:t>pielikumu</w:t>
      </w:r>
      <w:r w:rsidR="005B00C2">
        <w:t xml:space="preserve"> </w:t>
      </w:r>
      <w:r w:rsidR="00A86A80">
        <w:t>šād</w:t>
      </w:r>
      <w:r w:rsidR="00010B8C">
        <w:t>a</w:t>
      </w:r>
      <w:r w:rsidR="00A86A80">
        <w:t>s</w:t>
      </w:r>
      <w:r w:rsidR="00010B8C" w:rsidRPr="00010B8C">
        <w:t xml:space="preserve"> darbības ar vielu maisījumu, kas satur narkotisko vielu </w:t>
      </w:r>
      <w:proofErr w:type="spellStart"/>
      <w:r w:rsidR="00010B8C" w:rsidRPr="00010B8C">
        <w:t>dronabinolu</w:t>
      </w:r>
      <w:proofErr w:type="spellEnd"/>
      <w:r w:rsidR="00010B8C" w:rsidRPr="00010B8C">
        <w:t xml:space="preserve"> jebkurā daudzumā, kas nav nodalāms no vielu maisījuma kopējā svara, atzīstamas par </w:t>
      </w:r>
      <w:r w:rsidR="00010B8C">
        <w:t>tādām</w:t>
      </w:r>
      <w:r w:rsidR="00010B8C" w:rsidRPr="00010B8C">
        <w:t xml:space="preserve">, kas izdarītas ar narkotisko </w:t>
      </w:r>
      <w:r w:rsidR="00A86A80">
        <w:t xml:space="preserve">vielu </w:t>
      </w:r>
      <w:r w:rsidR="002E7AF2" w:rsidRPr="00315292">
        <w:t>liel</w:t>
      </w:r>
      <w:r w:rsidR="00010B8C">
        <w:t>ā</w:t>
      </w:r>
      <w:r w:rsidR="002E7AF2" w:rsidRPr="00315292">
        <w:t xml:space="preserve"> apmēr</w:t>
      </w:r>
      <w:r w:rsidR="00010B8C">
        <w:t>ā</w:t>
      </w:r>
      <w:r w:rsidR="002E7AF2" w:rsidRPr="00315292">
        <w:t>.</w:t>
      </w:r>
    </w:p>
    <w:p w14:paraId="1F245A3F" w14:textId="459C7CCE" w:rsidR="00AC2069" w:rsidRDefault="00505B73" w:rsidP="00AA145E">
      <w:pPr>
        <w:widowControl w:val="0"/>
        <w:tabs>
          <w:tab w:val="left" w:pos="1710"/>
        </w:tabs>
        <w:spacing w:after="0" w:line="276" w:lineRule="auto"/>
        <w:ind w:firstLine="720"/>
        <w:jc w:val="both"/>
      </w:pPr>
      <w:r>
        <w:t>[6.2] Likuma „Par Krimināllikuma spēkā stāšanās un piemērošanas kārtību” 2. pielikumā noteikti</w:t>
      </w:r>
      <w:r w:rsidR="005221F1" w:rsidRPr="005221F1">
        <w:t xml:space="preserve"> Latvijā kontrolējamās narkotiskās vielas, psihotropās vielas un prekursori un to nelikumīgas aprites iedalījuma apmēri</w:t>
      </w:r>
      <w:r w:rsidR="005221F1">
        <w:t xml:space="preserve">. </w:t>
      </w:r>
      <w:r w:rsidR="00E367C2">
        <w:t xml:space="preserve">Minētā </w:t>
      </w:r>
      <w:r w:rsidR="00B005A3">
        <w:t xml:space="preserve">pielikuma </w:t>
      </w:r>
      <w:r w:rsidR="00AC2069">
        <w:t>II nodaļas 7</w:t>
      </w:r>
      <w:r w:rsidR="00B005A3">
        <w:t>. </w:t>
      </w:r>
      <w:r w:rsidR="008C00B8">
        <w:t xml:space="preserve">panta </w:t>
      </w:r>
      <w:r w:rsidR="005221F1">
        <w:t>4</w:t>
      </w:r>
      <w:r w:rsidR="008C00B8">
        <w:t xml:space="preserve">. punkta </w:t>
      </w:r>
      <w:r w:rsidR="00AC2069">
        <w:t>g) apakš</w:t>
      </w:r>
      <w:r w:rsidR="00B005A3">
        <w:t>punktā noteikts, ka vielu maisījum</w:t>
      </w:r>
      <w:r w:rsidR="00A97C91">
        <w:t>a</w:t>
      </w:r>
      <w:r w:rsidR="00B005A3">
        <w:t xml:space="preserve">, kas satur </w:t>
      </w:r>
      <w:proofErr w:type="spellStart"/>
      <w:r w:rsidR="00B005A3">
        <w:t>dronabinolu</w:t>
      </w:r>
      <w:proofErr w:type="spellEnd"/>
      <w:r w:rsidR="00AC2069">
        <w:t xml:space="preserve"> (delta-9-</w:t>
      </w:r>
      <w:r w:rsidR="00994E1A" w:rsidRPr="00994E1A">
        <w:t>tetrahidrokanabinolu</w:t>
      </w:r>
      <w:r w:rsidR="00AC2069">
        <w:t>)</w:t>
      </w:r>
      <w:r w:rsidR="00B005A3">
        <w:t xml:space="preserve"> jebkurā daudzumā</w:t>
      </w:r>
      <w:r w:rsidR="00AC2069">
        <w:t xml:space="preserve">, kas </w:t>
      </w:r>
      <w:r w:rsidR="00B005A3">
        <w:t xml:space="preserve">nav nodalāms no vielu maisījuma kopējā </w:t>
      </w:r>
      <w:r w:rsidR="00AC2069">
        <w:t>daudzuma</w:t>
      </w:r>
      <w:r w:rsidR="00B005A3">
        <w:t xml:space="preserve">, </w:t>
      </w:r>
      <w:r w:rsidR="00283523" w:rsidRPr="00283523">
        <w:t>apmērs atzīstams par lielu sākot no 50 gramiem</w:t>
      </w:r>
      <w:r w:rsidR="00283523">
        <w:t>.</w:t>
      </w:r>
      <w:r w:rsidR="00283523" w:rsidDel="00283523">
        <w:t xml:space="preserve"> </w:t>
      </w:r>
    </w:p>
    <w:p w14:paraId="0060F23A" w14:textId="582E6E96" w:rsidR="007D073B" w:rsidRDefault="002C7723" w:rsidP="003519DB">
      <w:pPr>
        <w:widowControl w:val="0"/>
        <w:tabs>
          <w:tab w:val="left" w:pos="1710"/>
        </w:tabs>
        <w:spacing w:after="0" w:line="276" w:lineRule="auto"/>
        <w:ind w:firstLine="720"/>
        <w:jc w:val="both"/>
      </w:pPr>
      <w:r>
        <w:t xml:space="preserve">Senāts konstatē, </w:t>
      </w:r>
      <w:r w:rsidR="007D073B" w:rsidRPr="007D073B">
        <w:t xml:space="preserve">ka gadījumos, kad vielu maisījuma sastāvā ir konstatēts </w:t>
      </w:r>
      <w:proofErr w:type="spellStart"/>
      <w:r w:rsidR="007D073B" w:rsidRPr="007D073B">
        <w:t>dronabinols</w:t>
      </w:r>
      <w:proofErr w:type="spellEnd"/>
      <w:r w:rsidR="007D073B" w:rsidRPr="007D073B">
        <w:t xml:space="preserve"> (delta-9-tetrahidrokanabinols) jebkurā daudzumā un tas nav nodalāms no </w:t>
      </w:r>
      <w:r w:rsidR="00153B13">
        <w:t xml:space="preserve">vielu maisījuma </w:t>
      </w:r>
      <w:r w:rsidR="007D073B" w:rsidRPr="007D073B">
        <w:t xml:space="preserve">kopējā </w:t>
      </w:r>
      <w:r w:rsidR="00153B13">
        <w:t xml:space="preserve">daudzuma, kurš </w:t>
      </w:r>
      <w:r w:rsidR="00153B13" w:rsidRPr="007D073B">
        <w:t>sasniedz 50 gramus</w:t>
      </w:r>
      <w:r w:rsidR="007D073B" w:rsidRPr="007D073B">
        <w:t xml:space="preserve">, </w:t>
      </w:r>
      <w:r w:rsidR="00E367C2">
        <w:t>tad, kvalificējot noziedzīgu nodarījumu, jāņem vērā</w:t>
      </w:r>
      <w:r w:rsidR="007D073B" w:rsidRPr="007D073B">
        <w:t xml:space="preserve"> visa maisījuma kopējais </w:t>
      </w:r>
      <w:r w:rsidR="00E367C2">
        <w:t>apmērs</w:t>
      </w:r>
      <w:r w:rsidR="007D073B" w:rsidRPr="007D073B">
        <w:t>. Līdz ar to liel</w:t>
      </w:r>
      <w:r w:rsidR="007D073B">
        <w:t>a</w:t>
      </w:r>
      <w:r w:rsidR="007D073B" w:rsidRPr="007D073B">
        <w:t xml:space="preserve"> apmēr</w:t>
      </w:r>
      <w:r w:rsidR="007D073B">
        <w:t>a konstat</w:t>
      </w:r>
      <w:r w:rsidR="00E367C2">
        <w:t>ēšanai</w:t>
      </w:r>
      <w:r w:rsidR="007D073B">
        <w:t xml:space="preserve"> </w:t>
      </w:r>
      <w:r w:rsidR="007D073B" w:rsidRPr="007D073B">
        <w:t xml:space="preserve">noteicošais kritērijs ir </w:t>
      </w:r>
      <w:r w:rsidR="00153B13">
        <w:t xml:space="preserve">personas darbības ar </w:t>
      </w:r>
      <w:r w:rsidR="00283523">
        <w:t xml:space="preserve">vielu </w:t>
      </w:r>
      <w:r w:rsidR="007D073B" w:rsidRPr="007D073B">
        <w:t>maisījum</w:t>
      </w:r>
      <w:r w:rsidR="003519DB">
        <w:t>a</w:t>
      </w:r>
      <w:r w:rsidR="007D073B" w:rsidRPr="007D073B">
        <w:t xml:space="preserve"> kopēj</w:t>
      </w:r>
      <w:r w:rsidR="00153B13">
        <w:t>o</w:t>
      </w:r>
      <w:r w:rsidR="007D073B" w:rsidRPr="007D073B">
        <w:t xml:space="preserve"> daudzum</w:t>
      </w:r>
      <w:r w:rsidR="003519DB">
        <w:t>u</w:t>
      </w:r>
      <w:r w:rsidR="007D073B" w:rsidRPr="007D073B">
        <w:t xml:space="preserve"> (sasniedzot 50 gramus), nevis tajā esošās </w:t>
      </w:r>
      <w:r w:rsidR="007D073B">
        <w:t xml:space="preserve">narkotiskās </w:t>
      </w:r>
      <w:r w:rsidR="008E4B20">
        <w:t>vai</w:t>
      </w:r>
      <w:r w:rsidR="007D073B">
        <w:t xml:space="preserve"> psihotropās </w:t>
      </w:r>
      <w:r w:rsidR="007D073B" w:rsidRPr="007D073B">
        <w:t xml:space="preserve">vielas </w:t>
      </w:r>
      <w:r w:rsidR="003519DB">
        <w:t xml:space="preserve">– </w:t>
      </w:r>
      <w:proofErr w:type="spellStart"/>
      <w:r w:rsidR="003519DB">
        <w:t>dronabinola</w:t>
      </w:r>
      <w:proofErr w:type="spellEnd"/>
      <w:r w:rsidR="003519DB">
        <w:t xml:space="preserve"> – </w:t>
      </w:r>
      <w:r w:rsidR="007D073B" w:rsidRPr="007D073B">
        <w:t>faktisk</w:t>
      </w:r>
      <w:r w:rsidR="007D073B">
        <w:t xml:space="preserve">ais </w:t>
      </w:r>
      <w:r w:rsidR="00283523">
        <w:t>apmērs</w:t>
      </w:r>
      <w:r w:rsidR="007D073B">
        <w:t>.</w:t>
      </w:r>
    </w:p>
    <w:p w14:paraId="642EE587" w14:textId="0C0B2BE9" w:rsidR="007E18E4" w:rsidRDefault="007D073B" w:rsidP="00AA145E">
      <w:pPr>
        <w:widowControl w:val="0"/>
        <w:tabs>
          <w:tab w:val="left" w:pos="1710"/>
        </w:tabs>
        <w:spacing w:after="0" w:line="276" w:lineRule="auto"/>
        <w:ind w:firstLine="720"/>
        <w:jc w:val="both"/>
      </w:pPr>
      <w:r>
        <w:t>[6.3] </w:t>
      </w:r>
      <w:r w:rsidR="00B005A3">
        <w:t xml:space="preserve">Apelācijas instances tiesa, vērtējot lietā </w:t>
      </w:r>
      <w:r w:rsidR="008A6DCA">
        <w:t>esošos</w:t>
      </w:r>
      <w:r w:rsidR="00B005A3">
        <w:t xml:space="preserve"> pierādījums, </w:t>
      </w:r>
      <w:r w:rsidR="008A6DCA">
        <w:t xml:space="preserve">arī </w:t>
      </w:r>
      <w:r w:rsidR="00B005A3">
        <w:t>ekspert</w:t>
      </w:r>
      <w:r w:rsidR="00AE5827">
        <w:t>es</w:t>
      </w:r>
      <w:r w:rsidR="00B005A3">
        <w:t xml:space="preserve"> </w:t>
      </w:r>
      <w:r w:rsidR="00111C2D">
        <w:t>[pers. B]</w:t>
      </w:r>
      <w:r w:rsidR="00FF7208">
        <w:t xml:space="preserve"> </w:t>
      </w:r>
      <w:r w:rsidR="00B005A3">
        <w:t>atzinumus un liecības</w:t>
      </w:r>
      <w:r w:rsidR="00FF7208">
        <w:t xml:space="preserve"> tiesas sēdē</w:t>
      </w:r>
      <w:r w:rsidR="00B005A3">
        <w:t>, konstatējusi, ka</w:t>
      </w:r>
      <w:r w:rsidR="00FF7208">
        <w:t xml:space="preserve"> </w:t>
      </w:r>
      <w:r w:rsidR="00B005A3">
        <w:t xml:space="preserve">apsūdzētais </w:t>
      </w:r>
      <w:r w:rsidR="00111C2D">
        <w:t>[pers. A]</w:t>
      </w:r>
      <w:r w:rsidR="00B005A3">
        <w:t xml:space="preserve"> </w:t>
      </w:r>
      <w:r w:rsidR="00E367C2">
        <w:t xml:space="preserve">izdarījis </w:t>
      </w:r>
      <w:r w:rsidR="00AE5827">
        <w:t>apsūdzībā minētās darbības</w:t>
      </w:r>
      <w:r w:rsidR="00B005A3">
        <w:t xml:space="preserve"> ar vielu maisījumu, kura sastāvā </w:t>
      </w:r>
      <w:r w:rsidR="007E18E4">
        <w:t>konstatēta</w:t>
      </w:r>
      <w:r w:rsidR="00B005A3">
        <w:t xml:space="preserve"> viela </w:t>
      </w:r>
      <w:r w:rsidR="00FF7208">
        <w:t xml:space="preserve">– </w:t>
      </w:r>
      <w:proofErr w:type="spellStart"/>
      <w:r w:rsidR="00FF7208" w:rsidRPr="00E0497F">
        <w:t>dronabinols</w:t>
      </w:r>
      <w:proofErr w:type="spellEnd"/>
      <w:r w:rsidR="00FF7208" w:rsidRPr="00E0497F">
        <w:t xml:space="preserve"> –</w:t>
      </w:r>
      <w:r w:rsidR="007E18E4" w:rsidRPr="00E0497F">
        <w:t xml:space="preserve">, </w:t>
      </w:r>
      <w:r w:rsidR="007E18E4" w:rsidRPr="007E18E4">
        <w:t xml:space="preserve">kas ir </w:t>
      </w:r>
      <w:r w:rsidR="007E18E4" w:rsidRPr="00AE5827">
        <w:t>kanabisa produkt</w:t>
      </w:r>
      <w:r w:rsidR="006D368E">
        <w:t>a</w:t>
      </w:r>
      <w:r w:rsidR="007E18E4" w:rsidRPr="00AE5827">
        <w:t>, tajā skaitā hašiš</w:t>
      </w:r>
      <w:r w:rsidR="007E18E4" w:rsidRPr="006D368E">
        <w:t>a,</w:t>
      </w:r>
      <w:r w:rsidR="007E18E4" w:rsidRPr="00AE5827">
        <w:t xml:space="preserve"> aktīv</w:t>
      </w:r>
      <w:r w:rsidR="007E18E4">
        <w:t xml:space="preserve">a </w:t>
      </w:r>
      <w:r w:rsidR="007E18E4" w:rsidRPr="00AE5827">
        <w:t>sastāvdaļa</w:t>
      </w:r>
      <w:r w:rsidR="007E18E4">
        <w:t xml:space="preserve">, un tā </w:t>
      </w:r>
      <w:r w:rsidR="00B005A3" w:rsidRPr="007E18E4">
        <w:t xml:space="preserve">nav nodalāma no </w:t>
      </w:r>
      <w:r w:rsidR="00A97C91">
        <w:t xml:space="preserve">vielu maisījuma </w:t>
      </w:r>
      <w:r w:rsidR="00B005A3" w:rsidRPr="007E18E4">
        <w:t>kopējās masas.</w:t>
      </w:r>
    </w:p>
    <w:p w14:paraId="54557B2F" w14:textId="7BFA82D9" w:rsidR="008E4B20" w:rsidRDefault="008E4B20" w:rsidP="008E4B20">
      <w:pPr>
        <w:widowControl w:val="0"/>
        <w:tabs>
          <w:tab w:val="left" w:pos="1710"/>
        </w:tabs>
        <w:spacing w:after="0" w:line="276" w:lineRule="auto"/>
        <w:ind w:firstLine="720"/>
        <w:jc w:val="both"/>
      </w:pPr>
      <w:r>
        <w:t>Lai arī a</w:t>
      </w:r>
      <w:r w:rsidR="007E18E4">
        <w:t xml:space="preserve">pelācijas instances tiesa </w:t>
      </w:r>
      <w:r>
        <w:t xml:space="preserve">kļūdaini </w:t>
      </w:r>
      <w:r w:rsidR="007E18E4">
        <w:t xml:space="preserve">atsaukusies uz likuma „Par Krimināllikuma spēkā stāšanās un piemērošanas kārtību” 2. pielikuma </w:t>
      </w:r>
      <w:r w:rsidR="004E0778">
        <w:t xml:space="preserve">III nodaļas </w:t>
      </w:r>
      <w:r w:rsidR="007E18E4">
        <w:t>14. </w:t>
      </w:r>
      <w:r w:rsidR="008C00B8">
        <w:t xml:space="preserve">panta </w:t>
      </w:r>
      <w:r w:rsidR="004E0778">
        <w:t>6</w:t>
      </w:r>
      <w:r w:rsidR="008C00B8">
        <w:t>. </w:t>
      </w:r>
      <w:r w:rsidR="004E0778">
        <w:t xml:space="preserve">punktu, kurā noteikts, ka </w:t>
      </w:r>
      <w:proofErr w:type="spellStart"/>
      <w:r w:rsidR="004E0778">
        <w:t>dronabinola</w:t>
      </w:r>
      <w:proofErr w:type="spellEnd"/>
      <w:r w:rsidR="004E0778">
        <w:t xml:space="preserve"> </w:t>
      </w:r>
      <w:r w:rsidR="00283523">
        <w:t xml:space="preserve">apmērs </w:t>
      </w:r>
      <w:r w:rsidR="004E0778">
        <w:t>atzīstams par lielu</w:t>
      </w:r>
      <w:r w:rsidR="00A97C91">
        <w:t>,</w:t>
      </w:r>
      <w:r w:rsidR="004E0778">
        <w:t xml:space="preserve"> sākot no 10 gramiem</w:t>
      </w:r>
      <w:r>
        <w:t xml:space="preserve">, </w:t>
      </w:r>
      <w:r w:rsidR="004E0778">
        <w:t xml:space="preserve">Senāts atzīst, ka minētā apelācijas instances tiesas </w:t>
      </w:r>
      <w:r>
        <w:t xml:space="preserve">kļūdainā </w:t>
      </w:r>
      <w:r w:rsidR="004E0778">
        <w:t xml:space="preserve">atsauce </w:t>
      </w:r>
      <w:r>
        <w:t xml:space="preserve">lēmuma motīvu daļā </w:t>
      </w:r>
      <w:r w:rsidRPr="007813BF">
        <w:t>nav uzskatāma par būtisku pārkāpumu</w:t>
      </w:r>
      <w:r w:rsidR="00283523">
        <w:t>, jo t</w:t>
      </w:r>
      <w:r w:rsidRPr="007813BF">
        <w:t>ā nav ietekmējusi juridisko kvalifikāciju un lielā apmēra konstatēšanu</w:t>
      </w:r>
      <w:r w:rsidR="00283523">
        <w:t>.</w:t>
      </w:r>
    </w:p>
    <w:p w14:paraId="30F51710" w14:textId="1FD3ED31" w:rsidR="00615CE6" w:rsidRDefault="008E4B20" w:rsidP="003519DB">
      <w:pPr>
        <w:widowControl w:val="0"/>
        <w:tabs>
          <w:tab w:val="left" w:pos="1710"/>
        </w:tabs>
        <w:spacing w:after="0" w:line="276" w:lineRule="auto"/>
        <w:ind w:firstLine="720"/>
        <w:jc w:val="both"/>
      </w:pPr>
      <w:r>
        <w:rPr>
          <w:rFonts w:cs="Times New Roman"/>
          <w:szCs w:val="24"/>
        </w:rPr>
        <w:lastRenderedPageBreak/>
        <w:t>[6.4] </w:t>
      </w:r>
      <w:r w:rsidR="00223BB4">
        <w:t>Senāts norāda, ka tiesa pamatoti ņēmusi vērā vielu maisījum</w:t>
      </w:r>
      <w:r w:rsidR="00994E1A">
        <w:t>a</w:t>
      </w:r>
      <w:r w:rsidR="00A97C91">
        <w:t xml:space="preserve"> kopējo</w:t>
      </w:r>
      <w:r w:rsidR="00994E1A">
        <w:t xml:space="preserve"> </w:t>
      </w:r>
      <w:r w:rsidR="00283523">
        <w:t xml:space="preserve">apmēru </w:t>
      </w:r>
      <w:r w:rsidR="00A97C91">
        <w:t> </w:t>
      </w:r>
      <w:r w:rsidR="00994E1A">
        <w:t>–</w:t>
      </w:r>
      <w:r w:rsidR="00223BB4">
        <w:t xml:space="preserve"> </w:t>
      </w:r>
      <w:r w:rsidR="00223BB4" w:rsidRPr="00E0497F">
        <w:t>493,0297 </w:t>
      </w:r>
      <w:r w:rsidR="00223BB4" w:rsidRPr="000D6D2B">
        <w:t>g</w:t>
      </w:r>
      <w:r w:rsidR="00022BD7">
        <w:t xml:space="preserve"> –</w:t>
      </w:r>
      <w:r w:rsidR="00407E3F">
        <w:t xml:space="preserve">, kura sastāvā ir ne tikai </w:t>
      </w:r>
      <w:proofErr w:type="spellStart"/>
      <w:r w:rsidR="00407E3F">
        <w:t>dronabinols</w:t>
      </w:r>
      <w:proofErr w:type="spellEnd"/>
      <w:r w:rsidR="00407E3F">
        <w:t>, bet arī citas vielas, jo saskaņā ar iepriekšminētajā 2. pielikumā noteikto</w:t>
      </w:r>
      <w:r w:rsidR="0026296D">
        <w:t xml:space="preserve"> </w:t>
      </w:r>
      <w:r w:rsidR="0026296D" w:rsidRPr="00010B8C">
        <w:t xml:space="preserve">darbības ar vielu maisījumu, kas satur narkotisko vielu </w:t>
      </w:r>
      <w:proofErr w:type="spellStart"/>
      <w:r w:rsidR="0026296D" w:rsidRPr="00010B8C">
        <w:t>dronabinolu</w:t>
      </w:r>
      <w:proofErr w:type="spellEnd"/>
      <w:r w:rsidR="0026296D" w:rsidRPr="00010B8C">
        <w:t xml:space="preserve"> jebkurā daudzumā, kas nav nodalāms no vielu maisījuma kopējā svara, atzīstamas par </w:t>
      </w:r>
      <w:r w:rsidR="0026296D">
        <w:t>tādām</w:t>
      </w:r>
      <w:r w:rsidR="0026296D" w:rsidRPr="00010B8C">
        <w:t xml:space="preserve">, kas izdarītas ar narkotisko </w:t>
      </w:r>
      <w:r w:rsidR="0026296D">
        <w:t xml:space="preserve">vielu </w:t>
      </w:r>
      <w:r w:rsidR="0026296D" w:rsidRPr="00315292">
        <w:t xml:space="preserve"> liel</w:t>
      </w:r>
      <w:r w:rsidR="0026296D">
        <w:t>ā</w:t>
      </w:r>
      <w:r w:rsidR="0026296D" w:rsidRPr="00315292">
        <w:t xml:space="preserve"> apmēr</w:t>
      </w:r>
      <w:r w:rsidR="0026296D">
        <w:t>ā, ja</w:t>
      </w:r>
      <w:r w:rsidR="00407E3F">
        <w:t xml:space="preserve"> vielu maisījum</w:t>
      </w:r>
      <w:r w:rsidR="00A97C91">
        <w:t>a</w:t>
      </w:r>
      <w:r w:rsidR="00407E3F">
        <w:t xml:space="preserve">, kas satur </w:t>
      </w:r>
      <w:proofErr w:type="spellStart"/>
      <w:r w:rsidR="00407E3F" w:rsidRPr="00407E3F">
        <w:t>dronabinolu</w:t>
      </w:r>
      <w:proofErr w:type="spellEnd"/>
      <w:r w:rsidR="00407E3F" w:rsidRPr="00407E3F">
        <w:t xml:space="preserve"> (delta-9-tetrahidrokanabinolu) jebkurā daudzumā, kas nav nodalāms no vielu maisījuma kopējā daudzuma</w:t>
      </w:r>
      <w:r w:rsidR="00407E3F">
        <w:t xml:space="preserve">, apmērs </w:t>
      </w:r>
      <w:r w:rsidR="003519DB">
        <w:t>sasniedz</w:t>
      </w:r>
      <w:r w:rsidR="00407E3F">
        <w:t xml:space="preserve"> 50 gram</w:t>
      </w:r>
      <w:r w:rsidR="003519DB">
        <w:t>us</w:t>
      </w:r>
      <w:r w:rsidR="00407E3F">
        <w:t xml:space="preserve">. </w:t>
      </w:r>
      <w:r w:rsidR="00407E3F" w:rsidRPr="003D139C">
        <w:t xml:space="preserve">Tādējādi nav izšķirošas nozīmes faktam, ka </w:t>
      </w:r>
      <w:r w:rsidR="005A3048">
        <w:t xml:space="preserve">vielu </w:t>
      </w:r>
      <w:r w:rsidR="00407E3F" w:rsidRPr="003D139C">
        <w:t>maisījumā var būt klāt kāda cita viela</w:t>
      </w:r>
      <w:r w:rsidR="00407E3F">
        <w:t xml:space="preserve">. </w:t>
      </w:r>
      <w:r w:rsidR="003D139C" w:rsidRPr="003D139C">
        <w:t xml:space="preserve">Izšķiroša nozīme ir </w:t>
      </w:r>
      <w:r w:rsidR="005A3048">
        <w:t xml:space="preserve">vielu </w:t>
      </w:r>
      <w:r w:rsidR="003D139C" w:rsidRPr="003D139C">
        <w:t xml:space="preserve">maisījuma </w:t>
      </w:r>
      <w:r w:rsidR="005A3048">
        <w:t xml:space="preserve">kopējam </w:t>
      </w:r>
      <w:r w:rsidR="003D139C" w:rsidRPr="003D139C">
        <w:t xml:space="preserve">apmēram neatkarīgi no tā, cik daudz </w:t>
      </w:r>
      <w:proofErr w:type="spellStart"/>
      <w:r w:rsidR="005A3048">
        <w:t>dronabinola</w:t>
      </w:r>
      <w:proofErr w:type="spellEnd"/>
      <w:r w:rsidR="005A3048">
        <w:t xml:space="preserve"> ir </w:t>
      </w:r>
      <w:r w:rsidR="003D139C" w:rsidRPr="003D139C">
        <w:t>šajā maisījumā</w:t>
      </w:r>
      <w:r w:rsidR="005A3048">
        <w:t>.</w:t>
      </w:r>
      <w:r w:rsidR="003D139C" w:rsidRPr="003D139C">
        <w:t xml:space="preserve"> Tādējādi noziedzīgā nodarījuma kvalifikācija pēc Krimināllikuma 253.</w:t>
      </w:r>
      <w:r w:rsidR="00407E3F">
        <w:rPr>
          <w:vertAlign w:val="superscript"/>
        </w:rPr>
        <w:t>1</w:t>
      </w:r>
      <w:r w:rsidR="00407E3F">
        <w:t> </w:t>
      </w:r>
      <w:r w:rsidR="003D139C" w:rsidRPr="003D139C">
        <w:t xml:space="preserve">panta </w:t>
      </w:r>
      <w:r w:rsidR="00407E3F">
        <w:t>trešās</w:t>
      </w:r>
      <w:r w:rsidR="003D139C" w:rsidRPr="003D139C">
        <w:t xml:space="preserve"> daļas konkrētajā gadījumā ir pareiza.</w:t>
      </w:r>
    </w:p>
    <w:p w14:paraId="6A66A4F8" w14:textId="77777777" w:rsidR="003519DB" w:rsidRDefault="003519DB" w:rsidP="00266868">
      <w:pPr>
        <w:widowControl w:val="0"/>
        <w:tabs>
          <w:tab w:val="left" w:pos="1710"/>
        </w:tabs>
        <w:spacing w:after="0" w:line="276" w:lineRule="auto"/>
        <w:ind w:firstLine="720"/>
        <w:jc w:val="both"/>
        <w:rPr>
          <w:rFonts w:asciiTheme="majorBidi" w:hAnsiTheme="majorBidi" w:cstheme="majorBidi"/>
          <w:color w:val="000000" w:themeColor="text1"/>
          <w:szCs w:val="24"/>
        </w:rPr>
      </w:pPr>
    </w:p>
    <w:p w14:paraId="104D8C39" w14:textId="779D58DA" w:rsidR="00266868" w:rsidRDefault="00266868" w:rsidP="00266868">
      <w:pPr>
        <w:widowControl w:val="0"/>
        <w:tabs>
          <w:tab w:val="left" w:pos="1710"/>
        </w:tabs>
        <w:spacing w:after="0" w:line="276" w:lineRule="auto"/>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w:t>
      </w:r>
      <w:r w:rsidR="008E4B20">
        <w:rPr>
          <w:rFonts w:asciiTheme="majorBidi" w:hAnsiTheme="majorBidi" w:cstheme="majorBidi"/>
          <w:color w:val="000000" w:themeColor="text1"/>
          <w:szCs w:val="24"/>
        </w:rPr>
        <w:t>7</w:t>
      </w:r>
      <w:r>
        <w:rPr>
          <w:rFonts w:asciiTheme="majorBidi" w:hAnsiTheme="majorBidi" w:cstheme="majorBidi"/>
          <w:color w:val="000000" w:themeColor="text1"/>
          <w:szCs w:val="24"/>
        </w:rPr>
        <w:t>] Senāt</w:t>
      </w:r>
      <w:r w:rsidR="009C0407">
        <w:rPr>
          <w:rFonts w:asciiTheme="majorBidi" w:hAnsiTheme="majorBidi" w:cstheme="majorBidi"/>
          <w:color w:val="000000" w:themeColor="text1"/>
          <w:szCs w:val="24"/>
        </w:rPr>
        <w:t xml:space="preserve">am izskatāmajā lietā jāsniedz atbilde, vai ir pamats </w:t>
      </w:r>
      <w:r>
        <w:rPr>
          <w:rFonts w:asciiTheme="majorBidi" w:hAnsiTheme="majorBidi" w:cstheme="majorBidi"/>
          <w:color w:val="000000" w:themeColor="text1"/>
          <w:szCs w:val="24"/>
        </w:rPr>
        <w:t>iesniegt pieteikumu par lietas ierosināšanu Satversmes tiesā</w:t>
      </w:r>
      <w:r w:rsidR="00C91284">
        <w:rPr>
          <w:rFonts w:asciiTheme="majorBidi" w:hAnsiTheme="majorBidi" w:cstheme="majorBidi"/>
          <w:color w:val="000000" w:themeColor="text1"/>
          <w:szCs w:val="24"/>
        </w:rPr>
        <w:t xml:space="preserve"> un </w:t>
      </w:r>
      <w:r w:rsidR="00C91284" w:rsidRPr="000452C2">
        <w:rPr>
          <w:rFonts w:cs="Times New Roman"/>
          <w:szCs w:val="24"/>
        </w:rPr>
        <w:t>uzdot prejudiciālu jautājumu Eiropas Savienības Tiesai</w:t>
      </w:r>
      <w:r>
        <w:rPr>
          <w:rFonts w:asciiTheme="majorBidi" w:hAnsiTheme="majorBidi" w:cstheme="majorBidi"/>
          <w:color w:val="000000" w:themeColor="text1"/>
          <w:szCs w:val="24"/>
        </w:rPr>
        <w:t>.</w:t>
      </w:r>
    </w:p>
    <w:p w14:paraId="14E8A632" w14:textId="22830699" w:rsidR="00052DF4" w:rsidRDefault="00C34AD6" w:rsidP="00A87CCC">
      <w:pPr>
        <w:widowControl w:val="0"/>
        <w:tabs>
          <w:tab w:val="left" w:pos="1710"/>
        </w:tabs>
        <w:spacing w:after="0" w:line="276" w:lineRule="auto"/>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w:t>
      </w:r>
      <w:r w:rsidR="008E4B20">
        <w:rPr>
          <w:rFonts w:asciiTheme="majorBidi" w:hAnsiTheme="majorBidi" w:cstheme="majorBidi"/>
          <w:color w:val="000000" w:themeColor="text1"/>
          <w:szCs w:val="24"/>
        </w:rPr>
        <w:t>7</w:t>
      </w:r>
      <w:r>
        <w:rPr>
          <w:rFonts w:asciiTheme="majorBidi" w:hAnsiTheme="majorBidi" w:cstheme="majorBidi"/>
          <w:color w:val="000000" w:themeColor="text1"/>
          <w:szCs w:val="24"/>
        </w:rPr>
        <w:t>.1]</w:t>
      </w:r>
      <w:r w:rsidR="00A87CCC">
        <w:rPr>
          <w:rFonts w:asciiTheme="majorBidi" w:hAnsiTheme="majorBidi" w:cstheme="majorBidi"/>
          <w:color w:val="000000" w:themeColor="text1"/>
          <w:szCs w:val="24"/>
        </w:rPr>
        <w:t> </w:t>
      </w:r>
      <w:r w:rsidR="000F6FD6">
        <w:rPr>
          <w:rFonts w:asciiTheme="majorBidi" w:hAnsiTheme="majorBidi" w:cstheme="majorBidi"/>
          <w:color w:val="000000" w:themeColor="text1"/>
          <w:szCs w:val="24"/>
        </w:rPr>
        <w:t>Kriminālprocesa likuma 478. panta pirm</w:t>
      </w:r>
      <w:r w:rsidR="00A87CCC">
        <w:rPr>
          <w:rFonts w:asciiTheme="majorBidi" w:hAnsiTheme="majorBidi" w:cstheme="majorBidi"/>
          <w:color w:val="000000" w:themeColor="text1"/>
          <w:szCs w:val="24"/>
        </w:rPr>
        <w:t>ā</w:t>
      </w:r>
      <w:r w:rsidR="000F6FD6">
        <w:rPr>
          <w:rFonts w:asciiTheme="majorBidi" w:hAnsiTheme="majorBidi" w:cstheme="majorBidi"/>
          <w:color w:val="000000" w:themeColor="text1"/>
          <w:szCs w:val="24"/>
        </w:rPr>
        <w:t xml:space="preserve"> daļ</w:t>
      </w:r>
      <w:r w:rsidR="00A87CCC">
        <w:rPr>
          <w:rFonts w:asciiTheme="majorBidi" w:hAnsiTheme="majorBidi" w:cstheme="majorBidi"/>
          <w:color w:val="000000" w:themeColor="text1"/>
          <w:szCs w:val="24"/>
        </w:rPr>
        <w:t>a noteic</w:t>
      </w:r>
      <w:r w:rsidR="000F6FD6">
        <w:rPr>
          <w:rFonts w:asciiTheme="majorBidi" w:hAnsiTheme="majorBidi" w:cstheme="majorBidi"/>
          <w:color w:val="000000" w:themeColor="text1"/>
          <w:szCs w:val="24"/>
        </w:rPr>
        <w:t xml:space="preserve">, </w:t>
      </w:r>
      <w:r w:rsidR="00A87CCC">
        <w:rPr>
          <w:rFonts w:asciiTheme="majorBidi" w:hAnsiTheme="majorBidi" w:cstheme="majorBidi"/>
          <w:color w:val="000000" w:themeColor="text1"/>
          <w:szCs w:val="24"/>
        </w:rPr>
        <w:t xml:space="preserve">ka </w:t>
      </w:r>
      <w:r w:rsidR="000F6FD6">
        <w:rPr>
          <w:rFonts w:asciiTheme="majorBidi" w:hAnsiTheme="majorBidi" w:cstheme="majorBidi"/>
          <w:color w:val="000000" w:themeColor="text1"/>
          <w:szCs w:val="24"/>
        </w:rPr>
        <w:t xml:space="preserve">gadījumā, ja </w:t>
      </w:r>
      <w:r w:rsidR="000F6FD6" w:rsidRPr="000F6FD6">
        <w:rPr>
          <w:rFonts w:asciiTheme="majorBidi" w:hAnsiTheme="majorBidi" w:cstheme="majorBidi"/>
          <w:color w:val="000000" w:themeColor="text1"/>
          <w:szCs w:val="24"/>
        </w:rPr>
        <w:t>tiesa uzskata, ka tiesību norma, kas piemērota konkrētajā krimināllietā, neatbilst augstāka juridiskā spēka tiesību normai (aktam), tā iesniedz pieteikumu par lietas ierosināšanu Satversmes tiesā. Vienlaikus tiesa var apturēt tiesvedību krimināllietā, līdz stājas spēkā Satversmes tiesas nolēmums.</w:t>
      </w:r>
    </w:p>
    <w:p w14:paraId="6482B093" w14:textId="662E0850" w:rsidR="00A87CCC" w:rsidRPr="00A87CCC" w:rsidRDefault="00A87CCC" w:rsidP="00A87CCC">
      <w:pPr>
        <w:widowControl w:val="0"/>
        <w:tabs>
          <w:tab w:val="left" w:pos="1710"/>
        </w:tabs>
        <w:spacing w:after="0" w:line="276" w:lineRule="auto"/>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Senāts jau agrāk norādījis, ka tiesai nav pienākuma ikreiz, kad kāda no procesā iesaistītajām personām izteikusi lūgumu par lietas ierosināšanu Satversmes tiesā, šādu lūgumu apmierināt. Šādas tiesības un pienākums rodas tad, ja tiesa, izvērtējusi pieteikto lūgumu vai arī pati pēc savas iniciatīvas, uzskata, ka konkrētajā kriminālprocesā piemērotā tiesību norma neatbilst augstāka juridiskā spēka tiesību normai. Ja tiesa, tulkojot tiesību normu atbilstoši tiesību normu iztulkošanas (interpretācijas) metodēm, nekonstatē pretrunas ar augstāka juridiskā spēka tiesību normu, tā šādu lūgumu noraida (</w:t>
      </w:r>
      <w:r>
        <w:rPr>
          <w:rFonts w:asciiTheme="majorBidi" w:hAnsiTheme="majorBidi" w:cstheme="majorBidi"/>
          <w:i/>
          <w:iCs/>
          <w:color w:val="000000" w:themeColor="text1"/>
          <w:szCs w:val="24"/>
        </w:rPr>
        <w:t>Senāta 2012. gada 10. maija lēmums lietā Nr. </w:t>
      </w:r>
      <w:hyperlink r:id="rId12" w:history="1">
        <w:r w:rsidRPr="009F45A1">
          <w:rPr>
            <w:rStyle w:val="Hyperlink"/>
            <w:rFonts w:asciiTheme="majorBidi" w:hAnsiTheme="majorBidi" w:cstheme="majorBidi"/>
            <w:i/>
            <w:iCs/>
            <w:szCs w:val="24"/>
          </w:rPr>
          <w:t>SKK</w:t>
        </w:r>
        <w:r w:rsidRPr="009F45A1">
          <w:rPr>
            <w:rStyle w:val="Hyperlink"/>
            <w:rFonts w:asciiTheme="majorBidi" w:hAnsiTheme="majorBidi" w:cstheme="majorBidi"/>
            <w:i/>
            <w:iCs/>
            <w:szCs w:val="24"/>
          </w:rPr>
          <w:noBreakHyphen/>
          <w:t>132/2012</w:t>
        </w:r>
      </w:hyperlink>
      <w:r w:rsidR="006C0611">
        <w:rPr>
          <w:rFonts w:asciiTheme="majorBidi" w:hAnsiTheme="majorBidi" w:cstheme="majorBidi"/>
          <w:i/>
          <w:iCs/>
          <w:color w:val="000000" w:themeColor="text1"/>
          <w:szCs w:val="24"/>
        </w:rPr>
        <w:t>, 118400000909</w:t>
      </w:r>
      <w:r>
        <w:rPr>
          <w:rFonts w:asciiTheme="majorBidi" w:hAnsiTheme="majorBidi" w:cstheme="majorBidi"/>
          <w:color w:val="000000" w:themeColor="text1"/>
          <w:szCs w:val="24"/>
        </w:rPr>
        <w:t>).</w:t>
      </w:r>
    </w:p>
    <w:p w14:paraId="65E88CB8" w14:textId="35B3C8CE" w:rsidR="003E4F49" w:rsidRDefault="00052DF4" w:rsidP="003E4F49">
      <w:pPr>
        <w:widowControl w:val="0"/>
        <w:tabs>
          <w:tab w:val="left" w:pos="1710"/>
        </w:tabs>
        <w:spacing w:after="0" w:line="276" w:lineRule="auto"/>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w:t>
      </w:r>
      <w:r w:rsidR="008E4B20">
        <w:rPr>
          <w:rFonts w:asciiTheme="majorBidi" w:hAnsiTheme="majorBidi" w:cstheme="majorBidi"/>
          <w:color w:val="000000" w:themeColor="text1"/>
          <w:szCs w:val="24"/>
        </w:rPr>
        <w:t>7</w:t>
      </w:r>
      <w:r>
        <w:rPr>
          <w:rFonts w:asciiTheme="majorBidi" w:hAnsiTheme="majorBidi" w:cstheme="majorBidi"/>
          <w:color w:val="000000" w:themeColor="text1"/>
          <w:szCs w:val="24"/>
        </w:rPr>
        <w:t>.2] </w:t>
      </w:r>
      <w:r w:rsidR="007649A4">
        <w:rPr>
          <w:rFonts w:asciiTheme="majorBidi" w:hAnsiTheme="majorBidi" w:cstheme="majorBidi"/>
          <w:color w:val="000000" w:themeColor="text1"/>
          <w:szCs w:val="24"/>
        </w:rPr>
        <w:t>Atbilstoši</w:t>
      </w:r>
      <w:r w:rsidR="00E730D1">
        <w:rPr>
          <w:rFonts w:asciiTheme="majorBidi" w:hAnsiTheme="majorBidi" w:cstheme="majorBidi"/>
          <w:color w:val="000000" w:themeColor="text1"/>
          <w:szCs w:val="24"/>
        </w:rPr>
        <w:t xml:space="preserve"> Kriminālprocesa likuma 478. panta</w:t>
      </w:r>
      <w:r w:rsidR="00B46A2D">
        <w:rPr>
          <w:rFonts w:asciiTheme="majorBidi" w:hAnsiTheme="majorBidi" w:cstheme="majorBidi"/>
          <w:color w:val="000000" w:themeColor="text1"/>
          <w:szCs w:val="24"/>
        </w:rPr>
        <w:t xml:space="preserve"> </w:t>
      </w:r>
      <w:r w:rsidR="00C91284">
        <w:rPr>
          <w:rFonts w:asciiTheme="majorBidi" w:hAnsiTheme="majorBidi" w:cstheme="majorBidi"/>
          <w:color w:val="000000" w:themeColor="text1"/>
          <w:szCs w:val="24"/>
        </w:rPr>
        <w:t>otr</w:t>
      </w:r>
      <w:r w:rsidR="007649A4">
        <w:rPr>
          <w:rFonts w:asciiTheme="majorBidi" w:hAnsiTheme="majorBidi" w:cstheme="majorBidi"/>
          <w:color w:val="000000" w:themeColor="text1"/>
          <w:szCs w:val="24"/>
        </w:rPr>
        <w:t>ajai</w:t>
      </w:r>
      <w:r w:rsidR="00C91284">
        <w:rPr>
          <w:rFonts w:asciiTheme="majorBidi" w:hAnsiTheme="majorBidi" w:cstheme="majorBidi"/>
          <w:color w:val="000000" w:themeColor="text1"/>
          <w:szCs w:val="24"/>
        </w:rPr>
        <w:t xml:space="preserve"> daļa</w:t>
      </w:r>
      <w:r w:rsidR="007649A4">
        <w:rPr>
          <w:rFonts w:asciiTheme="majorBidi" w:hAnsiTheme="majorBidi" w:cstheme="majorBidi"/>
          <w:color w:val="000000" w:themeColor="text1"/>
          <w:szCs w:val="24"/>
        </w:rPr>
        <w:t>i</w:t>
      </w:r>
      <w:r w:rsidR="00C91284">
        <w:rPr>
          <w:rFonts w:asciiTheme="majorBidi" w:hAnsiTheme="majorBidi" w:cstheme="majorBidi"/>
          <w:color w:val="000000" w:themeColor="text1"/>
          <w:szCs w:val="24"/>
        </w:rPr>
        <w:t xml:space="preserve">, ja </w:t>
      </w:r>
      <w:r w:rsidR="00C91284" w:rsidRPr="00C91284">
        <w:rPr>
          <w:rFonts w:asciiTheme="majorBidi" w:hAnsiTheme="majorBidi" w:cstheme="majorBidi"/>
          <w:color w:val="000000" w:themeColor="text1"/>
          <w:szCs w:val="24"/>
        </w:rPr>
        <w:t>konkrētās lietas izspriešanai ir nepieciešams Eiropas Savienības Tiesas prejudiciāls nolēmums par Eiropas Savienības tiesību normas interpretāciju un spēkā esamību, tiesa nosūta Eiropas Savienības Tiesai neskaidro jautājumu motivēta lēmuma formā</w:t>
      </w:r>
      <w:r w:rsidR="00C91284">
        <w:rPr>
          <w:rFonts w:asciiTheme="majorBidi" w:hAnsiTheme="majorBidi" w:cstheme="majorBidi"/>
          <w:color w:val="000000" w:themeColor="text1"/>
          <w:szCs w:val="24"/>
        </w:rPr>
        <w:t>.</w:t>
      </w:r>
    </w:p>
    <w:p w14:paraId="168FE349" w14:textId="11FCF6F5" w:rsidR="003E6949" w:rsidRDefault="003E6949" w:rsidP="003E6949">
      <w:pPr>
        <w:widowControl w:val="0"/>
        <w:tabs>
          <w:tab w:val="left" w:pos="1710"/>
        </w:tabs>
        <w:spacing w:after="0" w:line="276" w:lineRule="auto"/>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Senāta judikatūrā pausta atziņa, ka tiesai nav pienākuma ikreiz vērsties Eiropas Savienības Tiesā, ja kāda no procesā iesaistītajām personā</w:t>
      </w:r>
      <w:r w:rsidR="00F93658">
        <w:rPr>
          <w:rFonts w:asciiTheme="majorBidi" w:hAnsiTheme="majorBidi" w:cstheme="majorBidi"/>
          <w:color w:val="000000" w:themeColor="text1"/>
          <w:szCs w:val="24"/>
        </w:rPr>
        <w:t>m</w:t>
      </w:r>
      <w:r>
        <w:rPr>
          <w:rFonts w:asciiTheme="majorBidi" w:hAnsiTheme="majorBidi" w:cstheme="majorBidi"/>
          <w:color w:val="000000" w:themeColor="text1"/>
          <w:szCs w:val="24"/>
        </w:rPr>
        <w:t xml:space="preserve"> ir izteikusi šādu viedokli. Šādas tiesības un likumā noteiktos gadījumos arī pienākums rodas tad, ja tiesa uzskata, ka konkrētajā kriminālprocesā ir nepieciešams Eiropas Savienības Tiesas prejudiciāls nolēmums par Eiropas Savienības tiesību normas interpretāciju un spēkā esību (</w:t>
      </w:r>
      <w:r>
        <w:rPr>
          <w:rFonts w:asciiTheme="majorBidi" w:hAnsiTheme="majorBidi" w:cstheme="majorBidi"/>
          <w:i/>
          <w:iCs/>
          <w:color w:val="000000" w:themeColor="text1"/>
          <w:szCs w:val="24"/>
        </w:rPr>
        <w:t>Senāta 2021. gada 21. septembra lēmuma lietā Nr. SKK</w:t>
      </w:r>
      <w:r>
        <w:rPr>
          <w:rFonts w:asciiTheme="majorBidi" w:hAnsiTheme="majorBidi" w:cstheme="majorBidi"/>
          <w:i/>
          <w:iCs/>
          <w:color w:val="000000" w:themeColor="text1"/>
          <w:szCs w:val="24"/>
        </w:rPr>
        <w:noBreakHyphen/>
        <w:t xml:space="preserve">9/2021, </w:t>
      </w:r>
      <w:hyperlink r:id="rId13" w:history="1">
        <w:r w:rsidRPr="007649A4">
          <w:rPr>
            <w:rStyle w:val="Hyperlink"/>
            <w:rFonts w:asciiTheme="majorBidi" w:hAnsiTheme="majorBidi" w:cstheme="majorBidi"/>
            <w:i/>
            <w:iCs/>
            <w:szCs w:val="24"/>
          </w:rPr>
          <w:t>ECLI:LV:AT:2021:0921.11816005315.3.L</w:t>
        </w:r>
      </w:hyperlink>
      <w:r>
        <w:rPr>
          <w:rFonts w:asciiTheme="majorBidi" w:hAnsiTheme="majorBidi" w:cstheme="majorBidi"/>
          <w:i/>
          <w:iCs/>
          <w:color w:val="000000" w:themeColor="text1"/>
          <w:szCs w:val="24"/>
        </w:rPr>
        <w:t>, 8.1. punkts</w:t>
      </w:r>
      <w:r>
        <w:rPr>
          <w:rFonts w:asciiTheme="majorBidi" w:hAnsiTheme="majorBidi" w:cstheme="majorBidi"/>
          <w:color w:val="000000" w:themeColor="text1"/>
          <w:szCs w:val="24"/>
        </w:rPr>
        <w:t>).</w:t>
      </w:r>
    </w:p>
    <w:p w14:paraId="1DAE824F" w14:textId="4717A88E" w:rsidR="00320625" w:rsidRDefault="003E6949" w:rsidP="008F1B4E">
      <w:pPr>
        <w:widowControl w:val="0"/>
        <w:tabs>
          <w:tab w:val="left" w:pos="1710"/>
        </w:tabs>
        <w:spacing w:after="0" w:line="276" w:lineRule="auto"/>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w:t>
      </w:r>
      <w:r w:rsidR="008E4B20">
        <w:rPr>
          <w:rFonts w:asciiTheme="majorBidi" w:hAnsiTheme="majorBidi" w:cstheme="majorBidi"/>
          <w:color w:val="000000" w:themeColor="text1"/>
          <w:szCs w:val="24"/>
        </w:rPr>
        <w:t>7</w:t>
      </w:r>
      <w:r>
        <w:rPr>
          <w:rFonts w:asciiTheme="majorBidi" w:hAnsiTheme="majorBidi" w:cstheme="majorBidi"/>
          <w:color w:val="000000" w:themeColor="text1"/>
          <w:szCs w:val="24"/>
        </w:rPr>
        <w:t>.3] </w:t>
      </w:r>
      <w:bookmarkStart w:id="4" w:name="_Hlk227071333"/>
      <w:r w:rsidR="00320625" w:rsidRPr="00320625">
        <w:rPr>
          <w:rFonts w:asciiTheme="majorBidi" w:hAnsiTheme="majorBidi" w:cstheme="majorBidi"/>
          <w:color w:val="000000" w:themeColor="text1"/>
          <w:szCs w:val="24"/>
        </w:rPr>
        <w:t>No prejudiciālā nolēmuma sistēmas, kas ieviesta ar Līguma par Eiropas Savienības darbību 267.</w:t>
      </w:r>
      <w:r w:rsidR="00320625">
        <w:rPr>
          <w:rFonts w:asciiTheme="majorBidi" w:hAnsiTheme="majorBidi" w:cstheme="majorBidi"/>
          <w:color w:val="000000" w:themeColor="text1"/>
          <w:szCs w:val="24"/>
        </w:rPr>
        <w:t> </w:t>
      </w:r>
      <w:r w:rsidR="00320625" w:rsidRPr="00320625">
        <w:rPr>
          <w:rFonts w:asciiTheme="majorBidi" w:hAnsiTheme="majorBidi" w:cstheme="majorBidi"/>
          <w:color w:val="000000" w:themeColor="text1"/>
          <w:szCs w:val="24"/>
        </w:rPr>
        <w:t>pantu, lasot to kopsakarā ar Eiropas Savienības Pamattiesību hartas 47.</w:t>
      </w:r>
      <w:r w:rsidR="00320625">
        <w:rPr>
          <w:rFonts w:asciiTheme="majorBidi" w:hAnsiTheme="majorBidi" w:cstheme="majorBidi"/>
          <w:color w:val="000000" w:themeColor="text1"/>
          <w:szCs w:val="24"/>
        </w:rPr>
        <w:t> </w:t>
      </w:r>
      <w:r w:rsidR="00320625" w:rsidRPr="00320625">
        <w:rPr>
          <w:rFonts w:asciiTheme="majorBidi" w:hAnsiTheme="majorBidi" w:cstheme="majorBidi"/>
          <w:color w:val="000000" w:themeColor="text1"/>
          <w:szCs w:val="24"/>
        </w:rPr>
        <w:t xml:space="preserve">panta otro daļu, izriet, ka tad, ja valsts tiesa, kuras nolēmumus nevar pārsūdzēt, atzīst, ka tā ir vienam no trim </w:t>
      </w:r>
      <w:proofErr w:type="spellStart"/>
      <w:r w:rsidR="00320625" w:rsidRPr="00320625">
        <w:rPr>
          <w:rFonts w:asciiTheme="majorBidi" w:hAnsiTheme="majorBidi" w:cstheme="majorBidi"/>
          <w:color w:val="000000" w:themeColor="text1"/>
          <w:szCs w:val="24"/>
        </w:rPr>
        <w:t>Cilfit</w:t>
      </w:r>
      <w:proofErr w:type="spellEnd"/>
      <w:r w:rsidR="00320625" w:rsidRPr="00320625">
        <w:rPr>
          <w:rFonts w:asciiTheme="majorBidi" w:hAnsiTheme="majorBidi" w:cstheme="majorBidi"/>
          <w:color w:val="000000" w:themeColor="text1"/>
          <w:szCs w:val="24"/>
        </w:rPr>
        <w:t xml:space="preserve"> izņēmumam atbilstošā situācijā, un tādējādi uzskata, ka ir atbrīvota no Līguma par Eiropas Savienības darbību 267.</w:t>
      </w:r>
      <w:r w:rsidR="00320625">
        <w:rPr>
          <w:rFonts w:asciiTheme="majorBidi" w:hAnsiTheme="majorBidi" w:cstheme="majorBidi"/>
          <w:color w:val="000000" w:themeColor="text1"/>
          <w:szCs w:val="24"/>
        </w:rPr>
        <w:t> </w:t>
      </w:r>
      <w:r w:rsidR="00320625" w:rsidRPr="00320625">
        <w:rPr>
          <w:rFonts w:asciiTheme="majorBidi" w:hAnsiTheme="majorBidi" w:cstheme="majorBidi"/>
          <w:color w:val="000000" w:themeColor="text1"/>
          <w:szCs w:val="24"/>
        </w:rPr>
        <w:t xml:space="preserve">panta trešajā daļā paredzētā pienākuma vērsties Eiropas Savienības Tiesā ar lūgumu sniegt prejudiciālu nolēmumu, tiesas nolēmuma pamatojumā jānorāda vai nu tas, ka izvirzītajam Eiropas </w:t>
      </w:r>
      <w:r w:rsidR="00320625" w:rsidRPr="00320625">
        <w:rPr>
          <w:rFonts w:asciiTheme="majorBidi" w:hAnsiTheme="majorBidi" w:cstheme="majorBidi"/>
          <w:color w:val="000000" w:themeColor="text1"/>
          <w:szCs w:val="24"/>
        </w:rPr>
        <w:lastRenderedPageBreak/>
        <w:t xml:space="preserve">Savienības tiesību jautājumam nav nozīmes strīda atrisināšanā, vai tas, ka attiecīgās Eiropas Savienības tiesību normas interpretācija ir balstīta uz Eiropas Savienības Tiesas judikatūru, vai arī, ja šādas judikatūras nav, tas, ka Eiropas Savienības tiesību interpretācija tai ir tik acīmredzama, ka nerodas nekādas saprātīgas šaubas (sk. </w:t>
      </w:r>
      <w:r w:rsidR="00320625" w:rsidRPr="00320625">
        <w:rPr>
          <w:rFonts w:asciiTheme="majorBidi" w:hAnsiTheme="majorBidi" w:cstheme="majorBidi"/>
          <w:i/>
          <w:iCs/>
          <w:color w:val="000000" w:themeColor="text1"/>
          <w:szCs w:val="24"/>
        </w:rPr>
        <w:t>Eiropas Savienības Tiesas 2026. gada 24. marta sprieduma lietā „</w:t>
      </w:r>
      <w:proofErr w:type="spellStart"/>
      <w:r w:rsidR="00320625" w:rsidRPr="00320625">
        <w:rPr>
          <w:rFonts w:asciiTheme="majorBidi" w:hAnsiTheme="majorBidi" w:cstheme="majorBidi"/>
          <w:i/>
          <w:iCs/>
          <w:color w:val="000000" w:themeColor="text1"/>
          <w:szCs w:val="24"/>
        </w:rPr>
        <w:t>Remlig</w:t>
      </w:r>
      <w:proofErr w:type="spellEnd"/>
      <w:r w:rsidR="00320625" w:rsidRPr="00320625">
        <w:rPr>
          <w:rFonts w:asciiTheme="majorBidi" w:hAnsiTheme="majorBidi" w:cstheme="majorBidi"/>
          <w:i/>
          <w:iCs/>
          <w:color w:val="000000" w:themeColor="text1"/>
          <w:szCs w:val="24"/>
        </w:rPr>
        <w:t xml:space="preserve">”, C-767/23, </w:t>
      </w:r>
      <w:hyperlink r:id="rId14" w:history="1">
        <w:r w:rsidR="00320625" w:rsidRPr="00320625">
          <w:rPr>
            <w:rStyle w:val="Hyperlink"/>
            <w:rFonts w:asciiTheme="majorBidi" w:hAnsiTheme="majorBidi" w:cstheme="majorBidi"/>
            <w:i/>
            <w:iCs/>
            <w:szCs w:val="24"/>
          </w:rPr>
          <w:t>ECLI:EU:C:2026:243</w:t>
        </w:r>
      </w:hyperlink>
      <w:r w:rsidR="00320625" w:rsidRPr="00320625">
        <w:rPr>
          <w:rFonts w:asciiTheme="majorBidi" w:hAnsiTheme="majorBidi" w:cstheme="majorBidi"/>
          <w:i/>
          <w:iCs/>
          <w:color w:val="000000" w:themeColor="text1"/>
          <w:szCs w:val="24"/>
        </w:rPr>
        <w:t xml:space="preserve">, 23. punktu </w:t>
      </w:r>
      <w:r w:rsidR="00320625" w:rsidRPr="00C85454">
        <w:rPr>
          <w:rFonts w:asciiTheme="majorBidi" w:hAnsiTheme="majorBidi" w:cstheme="majorBidi"/>
          <w:color w:val="000000" w:themeColor="text1"/>
          <w:szCs w:val="24"/>
        </w:rPr>
        <w:t>un tajā norādīto judikatūru</w:t>
      </w:r>
      <w:r w:rsidR="00320625" w:rsidRPr="00320625">
        <w:rPr>
          <w:rFonts w:asciiTheme="majorBidi" w:hAnsiTheme="majorBidi" w:cstheme="majorBidi"/>
          <w:color w:val="000000" w:themeColor="text1"/>
          <w:szCs w:val="24"/>
        </w:rPr>
        <w:t>).</w:t>
      </w:r>
    </w:p>
    <w:bookmarkEnd w:id="4"/>
    <w:p w14:paraId="2105A4E0" w14:textId="0988E887" w:rsidR="003E6949" w:rsidRDefault="003E6949" w:rsidP="003E6949">
      <w:pPr>
        <w:widowControl w:val="0"/>
        <w:tabs>
          <w:tab w:val="left" w:pos="1710"/>
        </w:tabs>
        <w:spacing w:after="0" w:line="276" w:lineRule="auto"/>
        <w:ind w:firstLine="720"/>
        <w:jc w:val="both"/>
        <w:rPr>
          <w:rFonts w:asciiTheme="majorBidi" w:hAnsiTheme="majorBidi" w:cstheme="majorBidi"/>
          <w:color w:val="000000" w:themeColor="text1"/>
          <w:szCs w:val="24"/>
        </w:rPr>
      </w:pPr>
      <w:r>
        <w:rPr>
          <w:rFonts w:asciiTheme="majorBidi" w:hAnsiTheme="majorBidi"/>
        </w:rPr>
        <w:t>[</w:t>
      </w:r>
      <w:r w:rsidR="008E4B20">
        <w:rPr>
          <w:rFonts w:asciiTheme="majorBidi" w:hAnsiTheme="majorBidi"/>
        </w:rPr>
        <w:t>7</w:t>
      </w:r>
      <w:r>
        <w:rPr>
          <w:rFonts w:asciiTheme="majorBidi" w:hAnsiTheme="majorBidi"/>
        </w:rPr>
        <w:t>.4] </w:t>
      </w:r>
      <w:r w:rsidRPr="007813BF">
        <w:t>Eiropas Savienības Pamattiesību harta</w:t>
      </w:r>
      <w:r w:rsidR="00C57C81">
        <w:rPr>
          <w:rFonts w:asciiTheme="majorBidi" w:hAnsiTheme="majorBidi" w:cstheme="majorBidi"/>
          <w:color w:val="000000" w:themeColor="text1"/>
          <w:szCs w:val="24"/>
        </w:rPr>
        <w:t>s</w:t>
      </w:r>
      <w:r w:rsidR="00041E2A">
        <w:rPr>
          <w:rFonts w:asciiTheme="majorBidi" w:hAnsiTheme="majorBidi" w:cstheme="majorBidi"/>
          <w:color w:val="000000" w:themeColor="text1"/>
          <w:szCs w:val="24"/>
        </w:rPr>
        <w:t xml:space="preserve"> </w:t>
      </w:r>
      <w:r w:rsidR="00C57C81">
        <w:rPr>
          <w:rFonts w:asciiTheme="majorBidi" w:hAnsiTheme="majorBidi" w:cstheme="majorBidi"/>
          <w:color w:val="000000" w:themeColor="text1"/>
          <w:szCs w:val="24"/>
        </w:rPr>
        <w:t xml:space="preserve">49. pants noteic </w:t>
      </w:r>
      <w:r w:rsidR="00C57C81" w:rsidRPr="003E4F49">
        <w:rPr>
          <w:rFonts w:asciiTheme="majorBidi" w:hAnsiTheme="majorBidi" w:cstheme="majorBidi"/>
          <w:color w:val="000000" w:themeColor="text1"/>
          <w:szCs w:val="24"/>
        </w:rPr>
        <w:t>n</w:t>
      </w:r>
      <w:r w:rsidR="00C57C81" w:rsidRPr="00DA3EA0">
        <w:rPr>
          <w:rFonts w:asciiTheme="majorBidi" w:hAnsiTheme="majorBidi" w:cstheme="majorBidi"/>
          <w:color w:val="000000" w:themeColor="text1"/>
          <w:szCs w:val="24"/>
        </w:rPr>
        <w:t>oziedzīgu nodarījumu un sodu likumības un samērīguma principus. Saskaņā ar minētā panta trešo daļu</w:t>
      </w:r>
      <w:r w:rsidR="00041E2A" w:rsidRPr="001734CD">
        <w:rPr>
          <w:rFonts w:asciiTheme="majorBidi" w:hAnsiTheme="majorBidi" w:cstheme="majorBidi"/>
          <w:color w:val="000000" w:themeColor="text1"/>
          <w:szCs w:val="24"/>
        </w:rPr>
        <w:t xml:space="preserve"> </w:t>
      </w:r>
      <w:r w:rsidR="00C57C81" w:rsidRPr="00DA3EA0">
        <w:rPr>
          <w:rFonts w:asciiTheme="majorBidi" w:hAnsiTheme="majorBidi" w:cstheme="majorBidi"/>
          <w:color w:val="000000" w:themeColor="text1"/>
          <w:szCs w:val="24"/>
        </w:rPr>
        <w:t>sodu smagums nedrīkst būt nesamērīgs ar noziedzīgā nodarījuma smagumu.</w:t>
      </w:r>
    </w:p>
    <w:p w14:paraId="454548C7" w14:textId="7D4EFED7" w:rsidR="00C57C81" w:rsidRDefault="00C57C81" w:rsidP="00041E2A">
      <w:pPr>
        <w:widowControl w:val="0"/>
        <w:tabs>
          <w:tab w:val="left" w:pos="1710"/>
        </w:tabs>
        <w:spacing w:after="0" w:line="276" w:lineRule="auto"/>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Savukārt Padomes 2004. gada 25. oktobra Pamatlēmums 2004/757/TI </w:t>
      </w:r>
      <w:r w:rsidR="00616D11">
        <w:rPr>
          <w:rFonts w:asciiTheme="majorBidi" w:hAnsiTheme="majorBidi" w:cstheme="majorBidi"/>
          <w:color w:val="000000" w:themeColor="text1"/>
          <w:szCs w:val="24"/>
        </w:rPr>
        <w:t>(turpmāk –</w:t>
      </w:r>
      <w:r w:rsidR="00041E2A">
        <w:rPr>
          <w:rFonts w:asciiTheme="majorBidi" w:hAnsiTheme="majorBidi" w:cstheme="majorBidi"/>
          <w:color w:val="000000" w:themeColor="text1"/>
          <w:szCs w:val="24"/>
        </w:rPr>
        <w:t xml:space="preserve"> </w:t>
      </w:r>
      <w:r w:rsidR="00616D11">
        <w:rPr>
          <w:rFonts w:asciiTheme="majorBidi" w:hAnsiTheme="majorBidi" w:cstheme="majorBidi"/>
          <w:color w:val="000000" w:themeColor="text1"/>
          <w:szCs w:val="24"/>
        </w:rPr>
        <w:t xml:space="preserve">Pamatlēmums) </w:t>
      </w:r>
      <w:r>
        <w:rPr>
          <w:rFonts w:asciiTheme="majorBidi" w:hAnsiTheme="majorBidi" w:cstheme="majorBidi"/>
          <w:color w:val="000000" w:themeColor="text1"/>
          <w:szCs w:val="24"/>
        </w:rPr>
        <w:t>paredz minimuma noteikumus par noziedzīgu darbību pazīmēm un sodiem narkotisko vielu nelikumīgas tirdzniecības jomā, nosakot dalībvalstīm pienākumu paredzēt efektīvus, samērīgus un preventīvus sodus.</w:t>
      </w:r>
    </w:p>
    <w:p w14:paraId="0E05D88E" w14:textId="1C687814" w:rsidR="00C57C81" w:rsidRDefault="009B5E2A" w:rsidP="00C57C81">
      <w:pPr>
        <w:widowControl w:val="0"/>
        <w:tabs>
          <w:tab w:val="left" w:pos="1710"/>
        </w:tabs>
        <w:spacing w:after="0" w:line="276" w:lineRule="auto"/>
        <w:ind w:firstLine="720"/>
        <w:jc w:val="both"/>
        <w:rPr>
          <w:rFonts w:asciiTheme="majorBidi" w:hAnsiTheme="majorBidi" w:cstheme="majorBidi"/>
        </w:rPr>
      </w:pPr>
      <w:r>
        <w:rPr>
          <w:rFonts w:asciiTheme="majorBidi" w:hAnsiTheme="majorBidi" w:cstheme="majorBidi"/>
        </w:rPr>
        <w:t xml:space="preserve">Ievērojot minēto, </w:t>
      </w:r>
      <w:r w:rsidR="00C57C81" w:rsidRPr="008B0EDD">
        <w:rPr>
          <w:rFonts w:asciiTheme="majorBidi" w:hAnsiTheme="majorBidi" w:cstheme="majorBidi"/>
        </w:rPr>
        <w:t xml:space="preserve">Pamatlēmuma normas, </w:t>
      </w:r>
      <w:r w:rsidR="00C57C81" w:rsidRPr="00D22151">
        <w:rPr>
          <w:rFonts w:asciiTheme="majorBidi" w:hAnsiTheme="majorBidi" w:cstheme="majorBidi"/>
        </w:rPr>
        <w:t>proti,</w:t>
      </w:r>
      <w:r w:rsidR="00C57C81" w:rsidRPr="008B0EDD">
        <w:rPr>
          <w:rFonts w:asciiTheme="majorBidi" w:hAnsiTheme="majorBidi" w:cstheme="majorBidi"/>
        </w:rPr>
        <w:t xml:space="preserve"> </w:t>
      </w:r>
      <w:r w:rsidR="00C57C81" w:rsidRPr="00D22151">
        <w:rPr>
          <w:rFonts w:asciiTheme="majorBidi" w:hAnsiTheme="majorBidi" w:cstheme="majorBidi"/>
        </w:rPr>
        <w:t>Eiropas Savienības tiesības,</w:t>
      </w:r>
      <w:r w:rsidR="00C57C81" w:rsidRPr="008B0EDD">
        <w:rPr>
          <w:rFonts w:asciiTheme="majorBidi" w:hAnsiTheme="majorBidi" w:cstheme="majorBidi"/>
        </w:rPr>
        <w:t xml:space="preserve"> attiecas arī uz Krimināllikuma 253.</w:t>
      </w:r>
      <w:r w:rsidR="00C57C81">
        <w:rPr>
          <w:rFonts w:asciiTheme="majorBidi" w:hAnsiTheme="majorBidi" w:cstheme="majorBidi"/>
          <w:vertAlign w:val="superscript"/>
        </w:rPr>
        <w:t>1</w:t>
      </w:r>
      <w:r w:rsidR="00C57C81" w:rsidRPr="008B0EDD">
        <w:rPr>
          <w:rFonts w:asciiTheme="majorBidi" w:hAnsiTheme="majorBidi" w:cstheme="majorBidi"/>
          <w:vertAlign w:val="superscript"/>
        </w:rPr>
        <w:t> </w:t>
      </w:r>
      <w:r w:rsidR="00C57C81" w:rsidRPr="008B0EDD">
        <w:rPr>
          <w:rFonts w:asciiTheme="majorBidi" w:hAnsiTheme="majorBidi" w:cstheme="majorBidi"/>
        </w:rPr>
        <w:t>pantu</w:t>
      </w:r>
      <w:r w:rsidR="00C57C81">
        <w:rPr>
          <w:rFonts w:asciiTheme="majorBidi" w:hAnsiTheme="majorBidi" w:cstheme="majorBidi"/>
        </w:rPr>
        <w:t>.</w:t>
      </w:r>
    </w:p>
    <w:p w14:paraId="4B5C00F4" w14:textId="759C415F" w:rsidR="00DF3CC3" w:rsidRDefault="00DF3CC3" w:rsidP="00DF3CC3">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rPr>
        <w:t>[</w:t>
      </w:r>
      <w:r w:rsidR="008E4B20">
        <w:rPr>
          <w:rFonts w:asciiTheme="majorBidi" w:hAnsiTheme="majorBidi" w:cstheme="majorBidi"/>
        </w:rPr>
        <w:t>7</w:t>
      </w:r>
      <w:r>
        <w:rPr>
          <w:rFonts w:asciiTheme="majorBidi" w:hAnsiTheme="majorBidi" w:cstheme="majorBidi"/>
        </w:rPr>
        <w:t>.5</w:t>
      </w:r>
      <w:r w:rsidR="00041E2A">
        <w:rPr>
          <w:rFonts w:asciiTheme="majorBidi" w:hAnsiTheme="majorBidi" w:cstheme="majorBidi"/>
        </w:rPr>
        <w:t>] </w:t>
      </w:r>
      <w:r w:rsidRPr="00D22151">
        <w:rPr>
          <w:rFonts w:asciiTheme="majorBidi" w:hAnsiTheme="majorBidi" w:cstheme="majorBidi"/>
          <w:szCs w:val="24"/>
        </w:rPr>
        <w:t>Krimināllikuma 1.</w:t>
      </w:r>
      <w:r>
        <w:rPr>
          <w:rFonts w:asciiTheme="majorBidi" w:hAnsiTheme="majorBidi" w:cstheme="majorBidi"/>
          <w:szCs w:val="24"/>
        </w:rPr>
        <w:t> </w:t>
      </w:r>
      <w:r w:rsidRPr="00D22151">
        <w:rPr>
          <w:rFonts w:asciiTheme="majorBidi" w:hAnsiTheme="majorBidi" w:cstheme="majorBidi"/>
          <w:szCs w:val="24"/>
        </w:rPr>
        <w:t xml:space="preserve">panta pirmā daļa nosaka, ka persona pie kriminālatbildības saucama par noziedzīga nodarījuma izdarīšanu, kas paredzēts Krimināllikumā, kam ir visas noziedzīgā nodarījuma sastāva pazīmes. </w:t>
      </w:r>
    </w:p>
    <w:p w14:paraId="3CD95A25" w14:textId="77777777" w:rsidR="00DF3CC3" w:rsidRDefault="00DF3CC3" w:rsidP="00DF3CC3">
      <w:pPr>
        <w:widowControl w:val="0"/>
        <w:tabs>
          <w:tab w:val="left" w:pos="1710"/>
        </w:tabs>
        <w:spacing w:after="0" w:line="276" w:lineRule="auto"/>
        <w:ind w:firstLine="720"/>
        <w:jc w:val="both"/>
        <w:rPr>
          <w:rFonts w:asciiTheme="majorBidi" w:hAnsiTheme="majorBidi" w:cstheme="majorBidi"/>
          <w:color w:val="000000" w:themeColor="text1"/>
          <w:szCs w:val="24"/>
        </w:rPr>
      </w:pPr>
      <w:r w:rsidRPr="00D06A01">
        <w:rPr>
          <w:rFonts w:asciiTheme="majorBidi" w:hAnsiTheme="majorBidi" w:cstheme="majorBidi"/>
        </w:rPr>
        <w:t>K</w:t>
      </w:r>
      <w:r>
        <w:rPr>
          <w:rFonts w:asciiTheme="majorBidi" w:hAnsiTheme="majorBidi" w:cstheme="majorBidi"/>
        </w:rPr>
        <w:t>rimināllikuma</w:t>
      </w:r>
      <w:r w:rsidRPr="00D06A01">
        <w:rPr>
          <w:rFonts w:asciiTheme="majorBidi" w:hAnsiTheme="majorBidi" w:cstheme="majorBidi"/>
        </w:rPr>
        <w:t xml:space="preserve"> 253.</w:t>
      </w:r>
      <w:r>
        <w:rPr>
          <w:rFonts w:asciiTheme="majorBidi" w:hAnsiTheme="majorBidi" w:cstheme="majorBidi"/>
          <w:vertAlign w:val="superscript"/>
        </w:rPr>
        <w:t>1</w:t>
      </w:r>
      <w:r w:rsidRPr="00D06A01">
        <w:rPr>
          <w:rFonts w:asciiTheme="majorBidi" w:hAnsiTheme="majorBidi" w:cstheme="majorBidi"/>
        </w:rPr>
        <w:t> pant</w:t>
      </w:r>
      <w:r>
        <w:rPr>
          <w:rFonts w:asciiTheme="majorBidi" w:hAnsiTheme="majorBidi" w:cstheme="majorBidi"/>
        </w:rPr>
        <w:t>a trešā daļa paredz kriminālatbildību par</w:t>
      </w:r>
      <w:r w:rsidRPr="007C13CF">
        <w:rPr>
          <w:rFonts w:asciiTheme="majorBidi" w:hAnsiTheme="majorBidi" w:cstheme="majorBidi"/>
        </w:rPr>
        <w:t xml:space="preserve"> narkotisko vai psihotropo vielu neatļautu izgatavošanu, iegādāšanos, glabāšanu, pārvadāšanu vai pārsūtīšanu realizācijas nolūkā vai par narkotisko vai psihotropo vielu neatļautu realizēšanu, </w:t>
      </w:r>
      <w:r>
        <w:rPr>
          <w:rFonts w:asciiTheme="majorBidi" w:hAnsiTheme="majorBidi" w:cstheme="majorBidi"/>
        </w:rPr>
        <w:t>j</w:t>
      </w:r>
      <w:r w:rsidRPr="00DA3EA0">
        <w:rPr>
          <w:rFonts w:asciiTheme="majorBidi" w:hAnsiTheme="majorBidi" w:cstheme="majorBidi"/>
          <w:color w:val="000000" w:themeColor="text1"/>
          <w:szCs w:val="24"/>
        </w:rPr>
        <w:t>a tās izdarījusi organizēta grupa vai ja tās izdarītas ar narkotiskajām vai psihotropajām vielām lielā apmērā, vai ja tās izraisījušas smagas sekas, kā arī par narkotisko vai psihotropo vielu realizāciju nepilngadīgai personai, izglītības iestādēs vai to teritorijā, restorānos, kafejnīcās, bāros, publiskās izklaides vai svētku pasākumu norises vietās</w:t>
      </w:r>
      <w:r>
        <w:rPr>
          <w:rFonts w:asciiTheme="majorBidi" w:hAnsiTheme="majorBidi" w:cstheme="majorBidi"/>
          <w:color w:val="000000" w:themeColor="text1"/>
          <w:szCs w:val="24"/>
        </w:rPr>
        <w:t xml:space="preserve">. </w:t>
      </w:r>
    </w:p>
    <w:p w14:paraId="66A1AD2F" w14:textId="753B4A19" w:rsidR="00DF3CC3" w:rsidRPr="009C0407" w:rsidRDefault="00DF3CC3" w:rsidP="00DF3CC3">
      <w:pPr>
        <w:widowControl w:val="0"/>
        <w:tabs>
          <w:tab w:val="left" w:pos="1710"/>
        </w:tabs>
        <w:spacing w:after="0" w:line="276" w:lineRule="auto"/>
        <w:ind w:firstLine="720"/>
        <w:jc w:val="both"/>
        <w:rPr>
          <w:rFonts w:asciiTheme="majorBidi" w:hAnsiTheme="majorBidi" w:cstheme="majorBidi"/>
          <w:color w:val="000000" w:themeColor="text1"/>
          <w:szCs w:val="24"/>
        </w:rPr>
      </w:pPr>
      <w:r w:rsidRPr="007C13CF">
        <w:rPr>
          <w:rFonts w:asciiTheme="majorBidi" w:hAnsiTheme="majorBidi" w:cstheme="majorBidi"/>
          <w:color w:val="000000" w:themeColor="text1"/>
          <w:szCs w:val="24"/>
        </w:rPr>
        <w:t>Saskaņā ar minēto tiesību normu par šād</w:t>
      </w:r>
      <w:r>
        <w:rPr>
          <w:rFonts w:asciiTheme="majorBidi" w:hAnsiTheme="majorBidi" w:cstheme="majorBidi"/>
          <w:color w:val="000000" w:themeColor="text1"/>
          <w:szCs w:val="24"/>
        </w:rPr>
        <w:t>u</w:t>
      </w:r>
      <w:r w:rsidRPr="007C13CF">
        <w:rPr>
          <w:rFonts w:asciiTheme="majorBidi" w:hAnsiTheme="majorBidi" w:cstheme="majorBidi"/>
          <w:color w:val="000000" w:themeColor="text1"/>
          <w:szCs w:val="24"/>
        </w:rPr>
        <w:t xml:space="preserve"> noziedzīg</w:t>
      </w:r>
      <w:r>
        <w:rPr>
          <w:rFonts w:asciiTheme="majorBidi" w:hAnsiTheme="majorBidi" w:cstheme="majorBidi"/>
          <w:color w:val="000000" w:themeColor="text1"/>
          <w:szCs w:val="24"/>
        </w:rPr>
        <w:t>u</w:t>
      </w:r>
      <w:r w:rsidRPr="007C13CF">
        <w:rPr>
          <w:rFonts w:asciiTheme="majorBidi" w:hAnsiTheme="majorBidi" w:cstheme="majorBidi"/>
          <w:color w:val="000000" w:themeColor="text1"/>
          <w:szCs w:val="24"/>
        </w:rPr>
        <w:t xml:space="preserve"> nodarījum</w:t>
      </w:r>
      <w:r>
        <w:rPr>
          <w:rFonts w:asciiTheme="majorBidi" w:hAnsiTheme="majorBidi" w:cstheme="majorBidi"/>
          <w:color w:val="000000" w:themeColor="text1"/>
          <w:szCs w:val="24"/>
        </w:rPr>
        <w:t>u</w:t>
      </w:r>
      <w:r w:rsidRPr="007C13CF">
        <w:rPr>
          <w:rFonts w:asciiTheme="majorBidi" w:hAnsiTheme="majorBidi" w:cstheme="majorBidi"/>
          <w:color w:val="000000" w:themeColor="text1"/>
          <w:szCs w:val="24"/>
        </w:rPr>
        <w:t xml:space="preserve"> personai var tikt piemērots sods – brīvības atņemšana uz laiku </w:t>
      </w:r>
      <w:r w:rsidRPr="007813BF">
        <w:rPr>
          <w:rFonts w:asciiTheme="majorBidi" w:hAnsiTheme="majorBidi" w:cstheme="majorBidi"/>
          <w:color w:val="000000" w:themeColor="text1"/>
          <w:szCs w:val="24"/>
        </w:rPr>
        <w:t xml:space="preserve">no </w:t>
      </w:r>
      <w:r w:rsidR="00F83AF7">
        <w:rPr>
          <w:rFonts w:asciiTheme="majorBidi" w:hAnsiTheme="majorBidi" w:cstheme="majorBidi"/>
          <w:color w:val="000000" w:themeColor="text1"/>
          <w:szCs w:val="24"/>
        </w:rPr>
        <w:t>pieciem</w:t>
      </w:r>
      <w:r w:rsidR="00F83AF7" w:rsidRPr="007813BF">
        <w:rPr>
          <w:rFonts w:asciiTheme="majorBidi" w:hAnsiTheme="majorBidi" w:cstheme="majorBidi"/>
          <w:color w:val="000000" w:themeColor="text1"/>
          <w:szCs w:val="24"/>
        </w:rPr>
        <w:t xml:space="preserve"> </w:t>
      </w:r>
      <w:r w:rsidRPr="007813BF">
        <w:rPr>
          <w:rFonts w:asciiTheme="majorBidi" w:hAnsiTheme="majorBidi" w:cstheme="majorBidi"/>
          <w:color w:val="000000" w:themeColor="text1"/>
          <w:szCs w:val="24"/>
        </w:rPr>
        <w:t xml:space="preserve">līdz </w:t>
      </w:r>
      <w:r w:rsidR="00F83AF7">
        <w:rPr>
          <w:rFonts w:asciiTheme="majorBidi" w:hAnsiTheme="majorBidi" w:cstheme="majorBidi"/>
          <w:color w:val="000000" w:themeColor="text1"/>
          <w:szCs w:val="24"/>
        </w:rPr>
        <w:t>piecpadsmit</w:t>
      </w:r>
      <w:r w:rsidR="00F83AF7" w:rsidRPr="007813BF">
        <w:rPr>
          <w:rFonts w:asciiTheme="majorBidi" w:hAnsiTheme="majorBidi" w:cstheme="majorBidi"/>
          <w:color w:val="000000" w:themeColor="text1"/>
          <w:szCs w:val="24"/>
        </w:rPr>
        <w:t xml:space="preserve"> </w:t>
      </w:r>
      <w:r w:rsidRPr="007813BF">
        <w:rPr>
          <w:rFonts w:asciiTheme="majorBidi" w:hAnsiTheme="majorBidi" w:cstheme="majorBidi"/>
          <w:color w:val="000000" w:themeColor="text1"/>
          <w:szCs w:val="24"/>
        </w:rPr>
        <w:t>gadiem</w:t>
      </w:r>
      <w:r w:rsidRPr="009C0407">
        <w:rPr>
          <w:rFonts w:asciiTheme="majorBidi" w:hAnsiTheme="majorBidi" w:cstheme="majorBidi"/>
          <w:color w:val="000000" w:themeColor="text1"/>
          <w:szCs w:val="24"/>
        </w:rPr>
        <w:t xml:space="preserve">, konfiscējot mantu vai bez mantas konfiskācijas, un probācijas </w:t>
      </w:r>
      <w:r w:rsidR="00F83AF7" w:rsidRPr="009C0407">
        <w:rPr>
          <w:rFonts w:asciiTheme="majorBidi" w:hAnsiTheme="majorBidi" w:cstheme="majorBidi"/>
          <w:color w:val="000000" w:themeColor="text1"/>
          <w:szCs w:val="24"/>
        </w:rPr>
        <w:t>uzraudzīb</w:t>
      </w:r>
      <w:r w:rsidR="00F83AF7">
        <w:rPr>
          <w:rFonts w:asciiTheme="majorBidi" w:hAnsiTheme="majorBidi" w:cstheme="majorBidi"/>
          <w:color w:val="000000" w:themeColor="text1"/>
          <w:szCs w:val="24"/>
        </w:rPr>
        <w:t>a</w:t>
      </w:r>
      <w:r w:rsidR="00F83AF7" w:rsidRPr="009C0407">
        <w:rPr>
          <w:rFonts w:asciiTheme="majorBidi" w:hAnsiTheme="majorBidi" w:cstheme="majorBidi"/>
          <w:color w:val="000000" w:themeColor="text1"/>
          <w:szCs w:val="24"/>
        </w:rPr>
        <w:t xml:space="preserve"> </w:t>
      </w:r>
      <w:r w:rsidRPr="009C0407">
        <w:rPr>
          <w:rFonts w:asciiTheme="majorBidi" w:hAnsiTheme="majorBidi" w:cstheme="majorBidi"/>
          <w:color w:val="000000" w:themeColor="text1"/>
          <w:szCs w:val="24"/>
        </w:rPr>
        <w:t>uz laiku līdz trim gadiem.</w:t>
      </w:r>
    </w:p>
    <w:p w14:paraId="3A4A8183" w14:textId="27497FBA" w:rsidR="00DF3CC3" w:rsidRPr="009C0407" w:rsidRDefault="00DF3CC3" w:rsidP="00DF3CC3">
      <w:pPr>
        <w:widowControl w:val="0"/>
        <w:tabs>
          <w:tab w:val="left" w:pos="1710"/>
        </w:tabs>
        <w:spacing w:after="0" w:line="276" w:lineRule="auto"/>
        <w:ind w:firstLine="720"/>
        <w:jc w:val="both"/>
        <w:rPr>
          <w:rFonts w:cs="Times New Roman"/>
          <w:szCs w:val="24"/>
        </w:rPr>
      </w:pPr>
      <w:r w:rsidRPr="009C0407">
        <w:rPr>
          <w:rFonts w:asciiTheme="majorBidi" w:hAnsiTheme="majorBidi" w:cstheme="majorBidi"/>
          <w:color w:val="000000" w:themeColor="text1"/>
          <w:szCs w:val="24"/>
        </w:rPr>
        <w:t xml:space="preserve">Izskatāmajā lietā </w:t>
      </w:r>
      <w:r w:rsidR="00111C2D">
        <w:rPr>
          <w:rFonts w:asciiTheme="majorBidi" w:hAnsiTheme="majorBidi" w:cstheme="majorBidi"/>
          <w:color w:val="000000" w:themeColor="text1"/>
          <w:szCs w:val="24"/>
        </w:rPr>
        <w:t>[pers. A]</w:t>
      </w:r>
      <w:r w:rsidRPr="009C0407">
        <w:rPr>
          <w:rFonts w:asciiTheme="majorBidi" w:hAnsiTheme="majorBidi" w:cstheme="majorBidi"/>
          <w:color w:val="000000" w:themeColor="text1"/>
          <w:szCs w:val="24"/>
        </w:rPr>
        <w:t xml:space="preserve"> apsūdzēts </w:t>
      </w:r>
      <w:r w:rsidRPr="009C0407">
        <w:rPr>
          <w:rFonts w:cs="Times New Roman"/>
          <w:szCs w:val="24"/>
        </w:rPr>
        <w:t>par narkotisk</w:t>
      </w:r>
      <w:r w:rsidR="005A3048">
        <w:rPr>
          <w:rFonts w:cs="Times New Roman"/>
          <w:szCs w:val="24"/>
        </w:rPr>
        <w:t>ās</w:t>
      </w:r>
      <w:r w:rsidRPr="009C0407">
        <w:rPr>
          <w:rFonts w:cs="Times New Roman"/>
          <w:szCs w:val="24"/>
        </w:rPr>
        <w:t xml:space="preserve"> viel</w:t>
      </w:r>
      <w:r w:rsidR="005A3048">
        <w:rPr>
          <w:rFonts w:cs="Times New Roman"/>
          <w:szCs w:val="24"/>
        </w:rPr>
        <w:t>as</w:t>
      </w:r>
      <w:r w:rsidRPr="009C0407">
        <w:rPr>
          <w:rFonts w:cs="Times New Roman"/>
          <w:szCs w:val="24"/>
        </w:rPr>
        <w:t xml:space="preserve"> neatļautu izgatavošanu, glabāšanu realizācijas nolūkā </w:t>
      </w:r>
      <w:r w:rsidRPr="007813BF">
        <w:rPr>
          <w:rFonts w:cs="Times New Roman"/>
          <w:szCs w:val="24"/>
        </w:rPr>
        <w:t>lielā apmērā</w:t>
      </w:r>
      <w:r w:rsidRPr="009C0407">
        <w:rPr>
          <w:rFonts w:cs="Times New Roman"/>
          <w:szCs w:val="24"/>
        </w:rPr>
        <w:t xml:space="preserve"> un narkotisk</w:t>
      </w:r>
      <w:r w:rsidR="005A3048">
        <w:rPr>
          <w:rFonts w:cs="Times New Roman"/>
          <w:szCs w:val="24"/>
        </w:rPr>
        <w:t>ās</w:t>
      </w:r>
      <w:r w:rsidRPr="009C0407">
        <w:rPr>
          <w:rFonts w:cs="Times New Roman"/>
          <w:szCs w:val="24"/>
        </w:rPr>
        <w:t xml:space="preserve"> vielu neatļautu realizēšanu lielā apmērā.</w:t>
      </w:r>
    </w:p>
    <w:p w14:paraId="5CB3C6FE" w14:textId="3E125C75" w:rsidR="005D0D0A" w:rsidRDefault="005D0D0A" w:rsidP="005D0D0A">
      <w:pPr>
        <w:widowControl w:val="0"/>
        <w:tabs>
          <w:tab w:val="left" w:pos="1710"/>
        </w:tabs>
        <w:spacing w:after="0" w:line="276" w:lineRule="auto"/>
        <w:ind w:firstLine="720"/>
        <w:jc w:val="both"/>
      </w:pPr>
      <w:r w:rsidRPr="007813BF">
        <w:t>[</w:t>
      </w:r>
      <w:r w:rsidR="008E4B20">
        <w:t>7</w:t>
      </w:r>
      <w:r w:rsidRPr="007813BF">
        <w:t>.6.] </w:t>
      </w:r>
      <w:r w:rsidR="00616D11" w:rsidRPr="009C0407">
        <w:rPr>
          <w:rFonts w:cs="Times New Roman"/>
          <w:szCs w:val="24"/>
        </w:rPr>
        <w:t xml:space="preserve">Senāts vērš uzmanību, ka </w:t>
      </w:r>
      <w:r w:rsidR="00616D11" w:rsidRPr="009C0407">
        <w:t>no Pamatlēmuma</w:t>
      </w:r>
      <w:r w:rsidR="00616D11" w:rsidRPr="008B3A56">
        <w:t xml:space="preserve"> 3.</w:t>
      </w:r>
      <w:r w:rsidR="00616D11">
        <w:t> </w:t>
      </w:r>
      <w:r w:rsidR="00616D11" w:rsidRPr="008B3A56">
        <w:t>apsvēruma izriet, ka ar šo tiesību aktu tiek noteikti vienīgi minimālie standarti attiecībā uz noziedzīgu nodarījumu sastāva pazīmēm un piemērojamajiem sodiem narkotiku un prekursoru nelikumīgas aprites jomā, lai nodrošinātu vienotu pieeju Eiropas Savienības līmenī cīņā pret nelegālu narkotiku tirdzniecību.</w:t>
      </w:r>
      <w:r w:rsidR="00616D11">
        <w:t xml:space="preserve"> </w:t>
      </w:r>
      <w:r w:rsidR="00616D11" w:rsidRPr="008B3A56">
        <w:t xml:space="preserve">Savukārt no </w:t>
      </w:r>
      <w:r w:rsidR="007A6E20">
        <w:t>P</w:t>
      </w:r>
      <w:r w:rsidR="00616D11" w:rsidRPr="008B3A56">
        <w:t>amatlēmuma 2</w:t>
      </w:r>
      <w:r w:rsidR="008C00B8" w:rsidRPr="008B3A56">
        <w:t>.</w:t>
      </w:r>
      <w:r w:rsidR="008C00B8">
        <w:t> </w:t>
      </w:r>
      <w:r w:rsidR="00616D11" w:rsidRPr="008B3A56">
        <w:t>panta 1</w:t>
      </w:r>
      <w:r w:rsidR="008C00B8" w:rsidRPr="008B3A56">
        <w:t>.</w:t>
      </w:r>
      <w:r w:rsidR="008C00B8">
        <w:t> </w:t>
      </w:r>
      <w:r w:rsidR="00616D11" w:rsidRPr="008B3A56">
        <w:t>punkta a) un c)</w:t>
      </w:r>
      <w:r w:rsidR="001734CD">
        <w:t> </w:t>
      </w:r>
      <w:r w:rsidR="00616D11" w:rsidRPr="008B3A56">
        <w:t>apakšpunkta, kā arī 4</w:t>
      </w:r>
      <w:r w:rsidR="00041E2A" w:rsidRPr="008B3A56">
        <w:t>.</w:t>
      </w:r>
      <w:r w:rsidR="00041E2A">
        <w:t> </w:t>
      </w:r>
      <w:r w:rsidR="00616D11" w:rsidRPr="008B3A56">
        <w:t>panta 1</w:t>
      </w:r>
      <w:r w:rsidR="00041E2A" w:rsidRPr="008B3A56">
        <w:t>.</w:t>
      </w:r>
      <w:r w:rsidR="00041E2A">
        <w:t> </w:t>
      </w:r>
      <w:r w:rsidR="00616D11" w:rsidRPr="008B3A56">
        <w:t xml:space="preserve">punkta izriet, ka </w:t>
      </w:r>
      <w:r w:rsidR="00616D11">
        <w:t xml:space="preserve">kā </w:t>
      </w:r>
      <w:r w:rsidR="00616D11" w:rsidRPr="008B3A56">
        <w:t>noziedzīg</w:t>
      </w:r>
      <w:r w:rsidR="00616D11">
        <w:t>s</w:t>
      </w:r>
      <w:r w:rsidR="00616D11" w:rsidRPr="008B3A56">
        <w:t xml:space="preserve"> nodarījum</w:t>
      </w:r>
      <w:r w:rsidR="00616D11">
        <w:t>s</w:t>
      </w:r>
      <w:r w:rsidR="00616D11" w:rsidRPr="008B3A56">
        <w:t xml:space="preserve"> kvalificējam</w:t>
      </w:r>
      <w:r w:rsidR="00616D11">
        <w:t>s</w:t>
      </w:r>
      <w:r w:rsidR="00616D11" w:rsidRPr="008B3A56">
        <w:t xml:space="preserve"> </w:t>
      </w:r>
      <w:r w:rsidR="00616D11">
        <w:t>arī</w:t>
      </w:r>
      <w:r w:rsidR="00616D11" w:rsidRPr="008B3A56">
        <w:t xml:space="preserve"> </w:t>
      </w:r>
      <w:r w:rsidR="00616D11" w:rsidRPr="00DF3CC3">
        <w:rPr>
          <w:rFonts w:cs="Times New Roman"/>
          <w:szCs w:val="24"/>
        </w:rPr>
        <w:t>narkotisko vielu glabāšana ražošanas, izgatavošanas, ekstrakcijas, sagatavošanas, piedāvāšanas, piedāvāšanas pārdošanai, izplatīšanas, pārdošanas, piegādes ar jebkādiem noteikumiem, starpniecības, nosūtīšanas, nosūtīšanas tranzītā, pārvadāšanas, importa vai eksporta nolūkos</w:t>
      </w:r>
      <w:r w:rsidR="00616D11" w:rsidRPr="008B3A56">
        <w:t xml:space="preserve">. Par šādiem nodarījumiem dalībvalstīm ir jāparedz brīvības atņemšana, kuras maksimālais termiņš </w:t>
      </w:r>
      <w:r w:rsidR="00616D11">
        <w:t xml:space="preserve">ir </w:t>
      </w:r>
      <w:r w:rsidR="00616D11" w:rsidRPr="008B3A56">
        <w:t xml:space="preserve">vismaz </w:t>
      </w:r>
      <w:r w:rsidR="00616D11">
        <w:t xml:space="preserve">no </w:t>
      </w:r>
      <w:r w:rsidR="00616D11" w:rsidRPr="008B3A56">
        <w:t>vien</w:t>
      </w:r>
      <w:r w:rsidR="00616D11">
        <w:t>a</w:t>
      </w:r>
      <w:r w:rsidR="00616D11" w:rsidRPr="008B3A56">
        <w:t xml:space="preserve"> līdz tr</w:t>
      </w:r>
      <w:r w:rsidR="00616D11">
        <w:t>im</w:t>
      </w:r>
      <w:r w:rsidR="00616D11" w:rsidRPr="008B3A56">
        <w:t xml:space="preserve"> gad</w:t>
      </w:r>
      <w:r w:rsidR="00616D11">
        <w:t>iem</w:t>
      </w:r>
      <w:r w:rsidR="00616D11" w:rsidRPr="008B3A56">
        <w:t>.</w:t>
      </w:r>
      <w:r w:rsidR="00616D11">
        <w:t xml:space="preserve"> </w:t>
      </w:r>
      <w:r w:rsidR="00616D11" w:rsidRPr="008B3A56">
        <w:t xml:space="preserve">Papildus tam no </w:t>
      </w:r>
      <w:r w:rsidR="007A6E20">
        <w:t>P</w:t>
      </w:r>
      <w:r w:rsidR="00616D11" w:rsidRPr="008B3A56">
        <w:t>amatlēmuma 4</w:t>
      </w:r>
      <w:r w:rsidR="00F83AF7" w:rsidRPr="008B3A56">
        <w:t>.</w:t>
      </w:r>
      <w:r w:rsidR="00F83AF7">
        <w:t> </w:t>
      </w:r>
      <w:r w:rsidR="00616D11" w:rsidRPr="008B3A56">
        <w:t>panta 2</w:t>
      </w:r>
      <w:r w:rsidR="00F83AF7" w:rsidRPr="008B3A56">
        <w:t>.</w:t>
      </w:r>
      <w:r w:rsidR="00F83AF7">
        <w:t> </w:t>
      </w:r>
      <w:r w:rsidR="00616D11" w:rsidRPr="008B3A56">
        <w:t>punkta a</w:t>
      </w:r>
      <w:r w:rsidR="00F83AF7" w:rsidRPr="008B3A56">
        <w:t>)</w:t>
      </w:r>
      <w:r w:rsidR="00F83AF7">
        <w:t> </w:t>
      </w:r>
      <w:r w:rsidR="00616D11" w:rsidRPr="008B3A56">
        <w:t xml:space="preserve">apakšpunkta izriet, ka gadījumos, kad noziedzīgais nodarījums ir saistīts ar lielu narkotisko vielu daudzumu, dalībvalstīm jāparedz būtiski </w:t>
      </w:r>
      <w:r w:rsidR="00616D11">
        <w:lastRenderedPageBreak/>
        <w:t>bargāks</w:t>
      </w:r>
      <w:r w:rsidR="00616D11" w:rsidRPr="008B3A56">
        <w:t xml:space="preserve"> sods – brīvības atņemšana, kuras maksimālais termiņš ir vismaz pieci līdz desmit gadi.</w:t>
      </w:r>
    </w:p>
    <w:p w14:paraId="77AA1E15" w14:textId="7BF80271" w:rsidR="0002676C" w:rsidRPr="00B03927" w:rsidRDefault="00616D11" w:rsidP="0002676C">
      <w:pPr>
        <w:widowControl w:val="0"/>
        <w:tabs>
          <w:tab w:val="left" w:pos="1710"/>
        </w:tabs>
        <w:spacing w:after="0" w:line="276" w:lineRule="auto"/>
        <w:ind w:firstLine="720"/>
        <w:jc w:val="both"/>
      </w:pPr>
      <w:r>
        <w:t xml:space="preserve">Eiropas Savienības </w:t>
      </w:r>
      <w:r w:rsidR="004331D1">
        <w:t>T</w:t>
      </w:r>
      <w:r>
        <w:t xml:space="preserve">iesa ir norādījusi, ka </w:t>
      </w:r>
      <w:r w:rsidRPr="0079552E">
        <w:t xml:space="preserve">pamatlēmumi ir pieņemti, pamatojoties uz agrāko Savienības trešo pīlāru, konkrēti – piemērojot Līguma par </w:t>
      </w:r>
      <w:r w:rsidR="00DC6118" w:rsidRPr="0079552E">
        <w:t>E</w:t>
      </w:r>
      <w:r w:rsidR="00DC6118">
        <w:t>iropas Savienību</w:t>
      </w:r>
      <w:r w:rsidR="00DC6118" w:rsidRPr="0079552E">
        <w:t xml:space="preserve"> </w:t>
      </w:r>
      <w:r w:rsidRPr="0079552E">
        <w:t xml:space="preserve">34. panta 2. punkta b) apakšpunktu. Šajā tiesību normā pirmām kārtām bija paredzēts, ka pamatlēmumi ir saistoši dalībvalstīm attiecībā uz sasniedzamo rezultātu, </w:t>
      </w:r>
      <w:r w:rsidRPr="00B03927">
        <w:t>bet ļauj šo valstu iestādēm noteikt to īstenošanas formas un metodes</w:t>
      </w:r>
      <w:r w:rsidR="007A6E20">
        <w:t>,</w:t>
      </w:r>
      <w:r w:rsidRPr="00B03927">
        <w:t xml:space="preserve"> un otrām kārtām, ka pamatlēmumiem nevar būt tieša iedarbība (</w:t>
      </w:r>
      <w:r w:rsidR="00987E67" w:rsidRPr="001734CD">
        <w:rPr>
          <w:i/>
          <w:iCs/>
        </w:rPr>
        <w:t xml:space="preserve">Eiropas Savienības Tiesas </w:t>
      </w:r>
      <w:r w:rsidRPr="001734CD">
        <w:rPr>
          <w:i/>
          <w:iCs/>
        </w:rPr>
        <w:t>2019. gada 24. </w:t>
      </w:r>
      <w:r w:rsidR="00987E67" w:rsidRPr="001734CD">
        <w:rPr>
          <w:i/>
          <w:iCs/>
        </w:rPr>
        <w:t>jūnija sprieduma lietā „</w:t>
      </w:r>
      <w:proofErr w:type="spellStart"/>
      <w:r w:rsidR="00987E67" w:rsidRPr="001734CD">
        <w:rPr>
          <w:i/>
          <w:iCs/>
        </w:rPr>
        <w:t>Popławski</w:t>
      </w:r>
      <w:proofErr w:type="spellEnd"/>
      <w:r w:rsidR="001734CD">
        <w:rPr>
          <w:i/>
          <w:iCs/>
        </w:rPr>
        <w:t>”</w:t>
      </w:r>
      <w:r w:rsidRPr="001734CD">
        <w:rPr>
          <w:i/>
          <w:iCs/>
        </w:rPr>
        <w:t>,</w:t>
      </w:r>
      <w:r w:rsidR="001734CD">
        <w:rPr>
          <w:i/>
          <w:iCs/>
        </w:rPr>
        <w:t xml:space="preserve"> </w:t>
      </w:r>
      <w:r w:rsidR="00987E67" w:rsidRPr="001734CD">
        <w:rPr>
          <w:i/>
          <w:iCs/>
        </w:rPr>
        <w:t>C</w:t>
      </w:r>
      <w:r w:rsidR="00987E67" w:rsidRPr="001734CD">
        <w:rPr>
          <w:i/>
          <w:iCs/>
        </w:rPr>
        <w:noBreakHyphen/>
        <w:t>573/17</w:t>
      </w:r>
      <w:r w:rsidRPr="001734CD">
        <w:rPr>
          <w:i/>
          <w:iCs/>
        </w:rPr>
        <w:t>,</w:t>
      </w:r>
      <w:r w:rsidR="00987E67" w:rsidRPr="001734CD" w:rsidDel="00987E67">
        <w:rPr>
          <w:i/>
          <w:iCs/>
        </w:rPr>
        <w:t xml:space="preserve"> </w:t>
      </w:r>
      <w:hyperlink r:id="rId15" w:history="1">
        <w:r w:rsidR="001734CD" w:rsidRPr="001734CD">
          <w:rPr>
            <w:rStyle w:val="Hyperlink"/>
            <w:i/>
            <w:iCs/>
          </w:rPr>
          <w:t>ECLI:</w:t>
        </w:r>
        <w:r w:rsidRPr="001734CD">
          <w:rPr>
            <w:rStyle w:val="Hyperlink"/>
            <w:i/>
            <w:iCs/>
          </w:rPr>
          <w:t>EU:C:2019:530</w:t>
        </w:r>
      </w:hyperlink>
      <w:r w:rsidR="00987E67" w:rsidRPr="001734CD">
        <w:rPr>
          <w:i/>
          <w:iCs/>
        </w:rPr>
        <w:t>, 69.</w:t>
      </w:r>
      <w:r w:rsidRPr="001734CD">
        <w:rPr>
          <w:i/>
          <w:iCs/>
        </w:rPr>
        <w:t> punkts</w:t>
      </w:r>
      <w:r w:rsidRPr="007813BF">
        <w:t xml:space="preserve">). </w:t>
      </w:r>
    </w:p>
    <w:p w14:paraId="77AABA58" w14:textId="68D00F0B" w:rsidR="0002676C" w:rsidRDefault="0002676C" w:rsidP="007813BF">
      <w:pPr>
        <w:widowControl w:val="0"/>
        <w:tabs>
          <w:tab w:val="left" w:pos="1710"/>
        </w:tabs>
        <w:spacing w:after="0" w:line="276" w:lineRule="auto"/>
        <w:ind w:firstLine="720"/>
        <w:jc w:val="both"/>
      </w:pPr>
      <w:r w:rsidRPr="00B03927">
        <w:t xml:space="preserve">Tāpat </w:t>
      </w:r>
      <w:r w:rsidRPr="00B03927">
        <w:rPr>
          <w:rFonts w:asciiTheme="majorBidi" w:eastAsia="Times New Roman" w:hAnsiTheme="majorBidi" w:cstheme="majorBidi"/>
          <w:szCs w:val="24"/>
          <w:lang w:eastAsia="ru-RU"/>
        </w:rPr>
        <w:t>Eiropas Savienības Tiesa atzinusi, ka likumā ir skaidri</w:t>
      </w:r>
      <w:r w:rsidRPr="008B0EDD">
        <w:rPr>
          <w:rFonts w:asciiTheme="majorBidi" w:eastAsia="Times New Roman" w:hAnsiTheme="majorBidi" w:cstheme="majorBidi"/>
          <w:szCs w:val="24"/>
          <w:lang w:eastAsia="ru-RU"/>
        </w:rPr>
        <w:t xml:space="preserve"> jādefinē pārkāpumi un par tiem paredzētie sodi. Šī prasība ir izpildīta tad, ja attiecīgā persona no atbilstošās normas formulējuma, vajadzības gadījumā izmantojot tiesu sniegto normas interpretāciju, var uzzināt, par kādām darbībām vai bezdarbību tai iestāsies kriminālatbildība</w:t>
      </w:r>
      <w:r w:rsidRPr="00D22151">
        <w:rPr>
          <w:rFonts w:asciiTheme="majorBidi" w:eastAsia="Times New Roman" w:hAnsiTheme="majorBidi" w:cstheme="majorBidi"/>
          <w:szCs w:val="24"/>
          <w:lang w:eastAsia="ru-RU"/>
        </w:rPr>
        <w:t>. Turklāt piemērojamo tiesību aktu precizitātes princips nevar tikt interpretēts tādējādi, ka tas aizliegtu to normu saturu, kurās paredzēta kriminālatbildība, noskaidrot pakāpeniski, tiesām sniedzot interpretāciju, ja vien šī interpretācija ir saprātīgi paredzama</w:t>
      </w:r>
      <w:r w:rsidRPr="008B0EDD">
        <w:rPr>
          <w:rFonts w:asciiTheme="majorBidi" w:eastAsia="Times New Roman" w:hAnsiTheme="majorBidi" w:cstheme="majorBidi"/>
          <w:szCs w:val="24"/>
          <w:lang w:eastAsia="ru-RU"/>
        </w:rPr>
        <w:t xml:space="preserve"> (</w:t>
      </w:r>
      <w:r w:rsidRPr="008B0EDD">
        <w:rPr>
          <w:rFonts w:asciiTheme="majorBidi" w:eastAsia="Times New Roman" w:hAnsiTheme="majorBidi" w:cstheme="majorBidi"/>
          <w:i/>
          <w:iCs/>
          <w:szCs w:val="24"/>
          <w:lang w:eastAsia="ru-RU"/>
        </w:rPr>
        <w:t>Eiropas Savienības Tiesas 2020. gada 11. jūnija sprieduma lietā „</w:t>
      </w:r>
      <w:proofErr w:type="spellStart"/>
      <w:r w:rsidRPr="008B0EDD">
        <w:rPr>
          <w:rFonts w:asciiTheme="majorBidi" w:eastAsia="Times New Roman" w:hAnsiTheme="majorBidi" w:cstheme="majorBidi"/>
          <w:i/>
          <w:iCs/>
          <w:szCs w:val="24"/>
          <w:lang w:eastAsia="ru-RU"/>
        </w:rPr>
        <w:t>Prokuratura</w:t>
      </w:r>
      <w:proofErr w:type="spellEnd"/>
      <w:r w:rsidRPr="008B0EDD">
        <w:rPr>
          <w:rFonts w:asciiTheme="majorBidi" w:eastAsia="Times New Roman" w:hAnsiTheme="majorBidi" w:cstheme="majorBidi"/>
          <w:i/>
          <w:iCs/>
          <w:szCs w:val="24"/>
          <w:lang w:eastAsia="ru-RU"/>
        </w:rPr>
        <w:t xml:space="preserve"> </w:t>
      </w:r>
      <w:proofErr w:type="spellStart"/>
      <w:r w:rsidRPr="008B0EDD">
        <w:rPr>
          <w:rFonts w:asciiTheme="majorBidi" w:eastAsia="Times New Roman" w:hAnsiTheme="majorBidi" w:cstheme="majorBidi"/>
          <w:i/>
          <w:iCs/>
          <w:szCs w:val="24"/>
          <w:lang w:eastAsia="ru-RU"/>
        </w:rPr>
        <w:t>Rejonowa</w:t>
      </w:r>
      <w:proofErr w:type="spellEnd"/>
      <w:r w:rsidRPr="008B0EDD">
        <w:rPr>
          <w:rFonts w:asciiTheme="majorBidi" w:eastAsia="Times New Roman" w:hAnsiTheme="majorBidi" w:cstheme="majorBidi"/>
          <w:i/>
          <w:iCs/>
          <w:szCs w:val="24"/>
          <w:lang w:eastAsia="ru-RU"/>
        </w:rPr>
        <w:t xml:space="preserve"> w </w:t>
      </w:r>
      <w:proofErr w:type="spellStart"/>
      <w:r w:rsidRPr="008B0EDD">
        <w:rPr>
          <w:rFonts w:asciiTheme="majorBidi" w:eastAsia="Times New Roman" w:hAnsiTheme="majorBidi" w:cstheme="majorBidi"/>
          <w:i/>
          <w:iCs/>
          <w:szCs w:val="24"/>
          <w:lang w:eastAsia="ru-RU"/>
        </w:rPr>
        <w:t>Słupsku</w:t>
      </w:r>
      <w:proofErr w:type="spellEnd"/>
      <w:r w:rsidRPr="008B0EDD">
        <w:rPr>
          <w:rFonts w:asciiTheme="majorBidi" w:eastAsia="Times New Roman" w:hAnsiTheme="majorBidi" w:cstheme="majorBidi"/>
          <w:i/>
          <w:iCs/>
          <w:szCs w:val="24"/>
          <w:lang w:eastAsia="ru-RU"/>
        </w:rPr>
        <w:t xml:space="preserve">”, C-634/18, </w:t>
      </w:r>
      <w:hyperlink r:id="rId16" w:history="1">
        <w:r w:rsidRPr="008B0EDD">
          <w:rPr>
            <w:rStyle w:val="Hyperlink"/>
            <w:rFonts w:asciiTheme="majorBidi" w:eastAsia="Times New Roman" w:hAnsiTheme="majorBidi" w:cstheme="majorBidi"/>
            <w:i/>
            <w:iCs/>
            <w:szCs w:val="24"/>
            <w:lang w:eastAsia="ru-RU"/>
          </w:rPr>
          <w:t>ECLI:EU:C:2020:455</w:t>
        </w:r>
      </w:hyperlink>
      <w:r w:rsidRPr="008B0EDD">
        <w:rPr>
          <w:rFonts w:asciiTheme="majorBidi" w:eastAsia="Times New Roman" w:hAnsiTheme="majorBidi" w:cstheme="majorBidi"/>
          <w:i/>
          <w:iCs/>
          <w:szCs w:val="24"/>
          <w:lang w:eastAsia="ru-RU"/>
        </w:rPr>
        <w:t>, 49., 50.</w:t>
      </w:r>
      <w:r>
        <w:rPr>
          <w:rFonts w:asciiTheme="majorBidi" w:eastAsia="Times New Roman" w:hAnsiTheme="majorBidi" w:cstheme="majorBidi"/>
          <w:i/>
          <w:iCs/>
          <w:szCs w:val="24"/>
          <w:lang w:eastAsia="ru-RU"/>
        </w:rPr>
        <w:t> </w:t>
      </w:r>
      <w:r w:rsidRPr="008B0EDD">
        <w:rPr>
          <w:rFonts w:asciiTheme="majorBidi" w:eastAsia="Times New Roman" w:hAnsiTheme="majorBidi" w:cstheme="majorBidi"/>
          <w:i/>
          <w:iCs/>
          <w:szCs w:val="24"/>
          <w:lang w:eastAsia="ru-RU"/>
        </w:rPr>
        <w:t>punkts</w:t>
      </w:r>
      <w:r w:rsidRPr="00DA3EA0">
        <w:rPr>
          <w:rFonts w:asciiTheme="majorBidi" w:eastAsia="Times New Roman" w:hAnsiTheme="majorBidi" w:cstheme="majorBidi"/>
          <w:szCs w:val="24"/>
          <w:lang w:eastAsia="ru-RU"/>
        </w:rPr>
        <w:t>)</w:t>
      </w:r>
      <w:r w:rsidRPr="008B0EDD">
        <w:rPr>
          <w:rFonts w:asciiTheme="majorBidi" w:eastAsia="Times New Roman" w:hAnsiTheme="majorBidi" w:cstheme="majorBidi"/>
          <w:szCs w:val="24"/>
          <w:lang w:eastAsia="ru-RU"/>
        </w:rPr>
        <w:t>.</w:t>
      </w:r>
      <w:r w:rsidRPr="00D22151">
        <w:rPr>
          <w:rFonts w:asciiTheme="majorBidi" w:eastAsia="Times New Roman" w:hAnsiTheme="majorBidi" w:cstheme="majorBidi"/>
          <w:szCs w:val="24"/>
          <w:lang w:eastAsia="ru-RU"/>
        </w:rPr>
        <w:t xml:space="preserve"> </w:t>
      </w:r>
    </w:p>
    <w:p w14:paraId="6ED09388" w14:textId="2AA3ED34" w:rsidR="0002676C" w:rsidRDefault="005D0D0A" w:rsidP="0002676C">
      <w:pPr>
        <w:widowControl w:val="0"/>
        <w:tabs>
          <w:tab w:val="left" w:pos="1710"/>
        </w:tabs>
        <w:spacing w:after="0" w:line="276" w:lineRule="auto"/>
        <w:ind w:firstLine="720"/>
        <w:jc w:val="both"/>
      </w:pPr>
      <w:r>
        <w:t>[</w:t>
      </w:r>
      <w:r w:rsidR="008E4B20">
        <w:t>7</w:t>
      </w:r>
      <w:r>
        <w:t>.</w:t>
      </w:r>
      <w:r w:rsidR="008F1B4E">
        <w:t>7</w:t>
      </w:r>
      <w:r>
        <w:t>] Ievērojot</w:t>
      </w:r>
      <w:r w:rsidR="004331D1">
        <w:t xml:space="preserve"> to, ka</w:t>
      </w:r>
      <w:r w:rsidRPr="008B3A56">
        <w:t xml:space="preserve"> </w:t>
      </w:r>
      <w:r w:rsidRPr="00BD3C0F">
        <w:t>dalībvalstīm</w:t>
      </w:r>
      <w:r w:rsidR="004331D1">
        <w:t xml:space="preserve"> Pamatlēmums</w:t>
      </w:r>
      <w:r w:rsidRPr="00BD3C0F">
        <w:t xml:space="preserve"> ir saistoš</w:t>
      </w:r>
      <w:r>
        <w:t>s</w:t>
      </w:r>
      <w:r w:rsidRPr="00BD3C0F">
        <w:t xml:space="preserve"> tikai attiecībā uz sasniedzamo rezultātu, bet atstāj brīvību izvēlēties to īstenošanas formu un metodes</w:t>
      </w:r>
      <w:r>
        <w:t xml:space="preserve">, </w:t>
      </w:r>
      <w:r w:rsidRPr="00BD3C0F">
        <w:t>Latvija</w:t>
      </w:r>
      <w:r>
        <w:t xml:space="preserve"> ir </w:t>
      </w:r>
      <w:r w:rsidRPr="00BD3C0F">
        <w:t>noteik</w:t>
      </w:r>
      <w:r>
        <w:t>usi</w:t>
      </w:r>
      <w:r w:rsidRPr="00BD3C0F">
        <w:t>, kādā veidā klasificēt narkotiskās un psihotropās vielas un noteikt to apmērus krimināltiesiskajām vajadzībām.</w:t>
      </w:r>
    </w:p>
    <w:p w14:paraId="1853681A" w14:textId="616DC65B" w:rsidR="0002676C" w:rsidRDefault="0002676C" w:rsidP="00722F8F">
      <w:pPr>
        <w:widowControl w:val="0"/>
        <w:tabs>
          <w:tab w:val="left" w:pos="1710"/>
        </w:tabs>
        <w:spacing w:after="0" w:line="276" w:lineRule="auto"/>
        <w:ind w:firstLine="720"/>
        <w:jc w:val="both"/>
      </w:pPr>
      <w:r w:rsidRPr="007813BF">
        <w:t xml:space="preserve">Krimināllikuma </w:t>
      </w:r>
      <w:r w:rsidRPr="008B0EDD">
        <w:rPr>
          <w:rFonts w:asciiTheme="majorBidi" w:hAnsiTheme="majorBidi" w:cstheme="majorBidi"/>
        </w:rPr>
        <w:t>253.</w:t>
      </w:r>
      <w:r>
        <w:rPr>
          <w:rFonts w:asciiTheme="majorBidi" w:hAnsiTheme="majorBidi" w:cstheme="majorBidi"/>
          <w:vertAlign w:val="superscript"/>
        </w:rPr>
        <w:t>1</w:t>
      </w:r>
      <w:r w:rsidRPr="008B0EDD">
        <w:rPr>
          <w:rFonts w:asciiTheme="majorBidi" w:hAnsiTheme="majorBidi" w:cstheme="majorBidi"/>
          <w:vertAlign w:val="superscript"/>
        </w:rPr>
        <w:t> </w:t>
      </w:r>
      <w:r w:rsidRPr="008B0EDD">
        <w:rPr>
          <w:rFonts w:asciiTheme="majorBidi" w:hAnsiTheme="majorBidi" w:cstheme="majorBidi"/>
        </w:rPr>
        <w:t>pant</w:t>
      </w:r>
      <w:r>
        <w:rPr>
          <w:rFonts w:asciiTheme="majorBidi" w:hAnsiTheme="majorBidi" w:cstheme="majorBidi"/>
        </w:rPr>
        <w:t>s n</w:t>
      </w:r>
      <w:r w:rsidRPr="007813BF">
        <w:t>osaka aizliegtās darbības (</w:t>
      </w:r>
      <w:r w:rsidR="000D6756">
        <w:t>n</w:t>
      </w:r>
      <w:r w:rsidRPr="007813BF">
        <w:t>arkotisko un psihotropo vielu neatļauta izgatavošana, iegādāšanās, glabāšana, pārvadāšana un pārsūtīšana realizācijas nolūkā un neatļauta realizēšana) un</w:t>
      </w:r>
      <w:r w:rsidRPr="008F1B4E">
        <w:t xml:space="preserve"> par tām</w:t>
      </w:r>
      <w:r w:rsidRPr="007813BF">
        <w:t xml:space="preserve"> paredzētos sodus</w:t>
      </w:r>
      <w:r w:rsidRPr="008F1B4E">
        <w:t xml:space="preserve">. Savukārt </w:t>
      </w:r>
      <w:r w:rsidR="005D0D0A" w:rsidRPr="007813BF">
        <w:t>Latvijā kontrolējamo narkotisko vielu, psihotropo vielu un prekursoru saraksti ir noteikti likuma „Par Krimināllikuma spēkā stāšanās un piemērošanas kārtību” 2. pielikum</w:t>
      </w:r>
      <w:r w:rsidR="005D0D0A" w:rsidRPr="008F1B4E">
        <w:t xml:space="preserve">ā </w:t>
      </w:r>
      <w:r w:rsidR="008C00B8">
        <w:t>„</w:t>
      </w:r>
      <w:r w:rsidR="005D0D0A" w:rsidRPr="008F1B4E">
        <w:rPr>
          <w:rFonts w:asciiTheme="majorBidi" w:hAnsiTheme="majorBidi" w:cstheme="majorBidi"/>
          <w:color w:val="000000" w:themeColor="text1"/>
          <w:szCs w:val="24"/>
        </w:rPr>
        <w:t>Lat</w:t>
      </w:r>
      <w:r w:rsidR="005D0D0A" w:rsidRPr="00DA3EA0">
        <w:rPr>
          <w:rFonts w:asciiTheme="majorBidi" w:hAnsiTheme="majorBidi" w:cstheme="majorBidi"/>
          <w:color w:val="000000" w:themeColor="text1"/>
          <w:szCs w:val="24"/>
        </w:rPr>
        <w:t>vijā kontrolējamās narkotiskās vielas, psihotropās vielas un prekursori un to nelikumīgas aprites iedalījuma apmēri”.</w:t>
      </w:r>
      <w:r w:rsidR="005D0D0A">
        <w:rPr>
          <w:rFonts w:asciiTheme="majorBidi" w:hAnsiTheme="majorBidi" w:cstheme="majorBidi"/>
          <w:color w:val="000000" w:themeColor="text1"/>
          <w:szCs w:val="24"/>
        </w:rPr>
        <w:t xml:space="preserve"> Saskaņā ar </w:t>
      </w:r>
      <w:r w:rsidR="000D6756">
        <w:rPr>
          <w:rFonts w:asciiTheme="majorBidi" w:hAnsiTheme="majorBidi" w:cstheme="majorBidi"/>
          <w:color w:val="000000" w:themeColor="text1"/>
          <w:szCs w:val="24"/>
        </w:rPr>
        <w:t>šā pielikuma</w:t>
      </w:r>
      <w:r w:rsidR="005D0D0A">
        <w:rPr>
          <w:rFonts w:asciiTheme="majorBidi" w:hAnsiTheme="majorBidi" w:cstheme="majorBidi"/>
          <w:color w:val="000000" w:themeColor="text1"/>
          <w:szCs w:val="24"/>
        </w:rPr>
        <w:t xml:space="preserve"> </w:t>
      </w:r>
      <w:r w:rsidR="005D0D0A">
        <w:t>I nodaļas 1. </w:t>
      </w:r>
      <w:r w:rsidR="00F83AF7">
        <w:t xml:space="preserve">pantu </w:t>
      </w:r>
      <w:r w:rsidR="005D0D0A" w:rsidRPr="006B306D">
        <w:rPr>
          <w:rFonts w:asciiTheme="majorBidi" w:hAnsiTheme="majorBidi" w:cstheme="majorBidi"/>
          <w:color w:val="000000" w:themeColor="text1"/>
          <w:szCs w:val="24"/>
        </w:rPr>
        <w:t>Latvijā kontrolējamo narkotisko vielu, psihotropo vielu un prekursoru I, II, III un IV sarakstā iekļauto narkotisko augu, vielu un zāļu un psihotropo vielu un zāļu, kā arī prekursoru iedalījuma apmēri noteikti, ņemot vērā nelikumīgā apritē esošo narkotisko un psihotropo vielu kaitējumu cilvēka veselībai un bīstamības pakāpi atbilstoši I, II, III un IV sarakstam</w:t>
      </w:r>
      <w:r w:rsidR="005D0D0A">
        <w:rPr>
          <w:rFonts w:asciiTheme="majorBidi" w:hAnsiTheme="majorBidi" w:cstheme="majorBidi"/>
          <w:color w:val="000000" w:themeColor="text1"/>
          <w:szCs w:val="24"/>
        </w:rPr>
        <w:t xml:space="preserve">. </w:t>
      </w:r>
      <w:r>
        <w:rPr>
          <w:rFonts w:asciiTheme="majorBidi" w:hAnsiTheme="majorBidi" w:cstheme="majorBidi"/>
          <w:color w:val="000000" w:themeColor="text1"/>
          <w:szCs w:val="24"/>
        </w:rPr>
        <w:t xml:space="preserve">Senāts atzīst, ka </w:t>
      </w:r>
      <w:r w:rsidR="00DC6118">
        <w:rPr>
          <w:rFonts w:asciiTheme="majorBidi" w:hAnsiTheme="majorBidi" w:cstheme="majorBidi"/>
          <w:color w:val="000000" w:themeColor="text1"/>
          <w:szCs w:val="24"/>
        </w:rPr>
        <w:t xml:space="preserve">minētās normas ļauj noteikt </w:t>
      </w:r>
      <w:r>
        <w:rPr>
          <w:rFonts w:asciiTheme="majorBidi" w:hAnsiTheme="majorBidi" w:cstheme="majorBidi"/>
          <w:color w:val="000000" w:themeColor="text1"/>
          <w:szCs w:val="24"/>
        </w:rPr>
        <w:t>par kādām darbībām personai paredzēta kriminālatbildīb</w:t>
      </w:r>
      <w:r w:rsidR="00722F8F">
        <w:rPr>
          <w:rFonts w:asciiTheme="majorBidi" w:hAnsiTheme="majorBidi" w:cstheme="majorBidi"/>
          <w:color w:val="000000" w:themeColor="text1"/>
          <w:szCs w:val="24"/>
        </w:rPr>
        <w:t>a</w:t>
      </w:r>
      <w:r>
        <w:rPr>
          <w:rFonts w:asciiTheme="majorBidi" w:hAnsiTheme="majorBidi" w:cstheme="majorBidi"/>
          <w:color w:val="000000" w:themeColor="text1"/>
          <w:szCs w:val="24"/>
        </w:rPr>
        <w:t xml:space="preserve"> </w:t>
      </w:r>
      <w:r w:rsidR="005D0D0A" w:rsidRPr="00BD3C0F">
        <w:t xml:space="preserve">un kad </w:t>
      </w:r>
      <w:r w:rsidR="00722F8F">
        <w:t>konstatējam</w:t>
      </w:r>
      <w:r w:rsidR="00F83AF7">
        <w:t>a</w:t>
      </w:r>
      <w:r w:rsidR="005D0D0A" w:rsidRPr="00BD3C0F">
        <w:t xml:space="preserve"> kvalificējošā pazīme</w:t>
      </w:r>
      <w:r w:rsidR="00722F8F">
        <w:t xml:space="preserve"> – </w:t>
      </w:r>
      <w:r w:rsidR="005D0D0A" w:rsidRPr="00BD3C0F">
        <w:t>liels apmērs</w:t>
      </w:r>
      <w:r>
        <w:t>.</w:t>
      </w:r>
    </w:p>
    <w:p w14:paraId="3F52B413" w14:textId="11A25609" w:rsidR="00D56E6C" w:rsidRPr="008F1B4E" w:rsidRDefault="009A110C" w:rsidP="0098396D">
      <w:pPr>
        <w:widowControl w:val="0"/>
        <w:tabs>
          <w:tab w:val="left" w:pos="1710"/>
        </w:tabs>
        <w:spacing w:after="0" w:line="276" w:lineRule="auto"/>
        <w:ind w:firstLine="720"/>
        <w:jc w:val="both"/>
      </w:pPr>
      <w:r>
        <w:t>[</w:t>
      </w:r>
      <w:r w:rsidR="008E4B20">
        <w:t>7</w:t>
      </w:r>
      <w:r>
        <w:t>.</w:t>
      </w:r>
      <w:r w:rsidR="008F1B4E">
        <w:t>8</w:t>
      </w:r>
      <w:r>
        <w:t>] </w:t>
      </w:r>
      <w:r w:rsidR="00722F8F">
        <w:t>Izv</w:t>
      </w:r>
      <w:r w:rsidRPr="00175E66">
        <w:t>ērtējot</w:t>
      </w:r>
      <w:r>
        <w:t xml:space="preserve"> sankciju par</w:t>
      </w:r>
      <w:r w:rsidRPr="00175E66">
        <w:t xml:space="preserve"> </w:t>
      </w:r>
      <w:r w:rsidRPr="00D06A01">
        <w:rPr>
          <w:rFonts w:asciiTheme="majorBidi" w:hAnsiTheme="majorBidi" w:cstheme="majorBidi"/>
        </w:rPr>
        <w:t>K</w:t>
      </w:r>
      <w:r>
        <w:rPr>
          <w:rFonts w:asciiTheme="majorBidi" w:hAnsiTheme="majorBidi" w:cstheme="majorBidi"/>
        </w:rPr>
        <w:t>rimināllikuma</w:t>
      </w:r>
      <w:r w:rsidRPr="00D06A01">
        <w:rPr>
          <w:rFonts w:asciiTheme="majorBidi" w:hAnsiTheme="majorBidi" w:cstheme="majorBidi"/>
        </w:rPr>
        <w:t xml:space="preserve"> 253.</w:t>
      </w:r>
      <w:r>
        <w:rPr>
          <w:rFonts w:asciiTheme="majorBidi" w:hAnsiTheme="majorBidi" w:cstheme="majorBidi"/>
          <w:vertAlign w:val="superscript"/>
        </w:rPr>
        <w:t>1</w:t>
      </w:r>
      <w:r w:rsidRPr="00D06A01">
        <w:rPr>
          <w:rFonts w:asciiTheme="majorBidi" w:hAnsiTheme="majorBidi" w:cstheme="majorBidi"/>
        </w:rPr>
        <w:t> pant</w:t>
      </w:r>
      <w:r>
        <w:rPr>
          <w:rFonts w:asciiTheme="majorBidi" w:hAnsiTheme="majorBidi" w:cstheme="majorBidi"/>
        </w:rPr>
        <w:t xml:space="preserve">a trešā daļa paredzēto noziedzīgo nodarījumu, Senāts </w:t>
      </w:r>
      <w:r w:rsidR="00722F8F">
        <w:rPr>
          <w:rFonts w:asciiTheme="majorBidi" w:hAnsiTheme="majorBidi" w:cstheme="majorBidi"/>
        </w:rPr>
        <w:t>konstatē</w:t>
      </w:r>
      <w:r>
        <w:rPr>
          <w:rFonts w:asciiTheme="majorBidi" w:hAnsiTheme="majorBidi" w:cstheme="majorBidi"/>
        </w:rPr>
        <w:t xml:space="preserve">, ka </w:t>
      </w:r>
      <w:r w:rsidRPr="00175E66">
        <w:t>Latvijas regulējums atbilst Pamatlēmuma 4</w:t>
      </w:r>
      <w:r w:rsidR="008C00B8" w:rsidRPr="00175E66">
        <w:t>.</w:t>
      </w:r>
      <w:r w:rsidR="008C00B8">
        <w:t> </w:t>
      </w:r>
      <w:r w:rsidRPr="00175E66">
        <w:t xml:space="preserve">panta prasībām par efektīviem, samērīgiem un preventīviem sodiem. </w:t>
      </w:r>
      <w:r w:rsidR="00D56E6C">
        <w:t>Paredzētais sods</w:t>
      </w:r>
      <w:r w:rsidR="000D6756">
        <w:t> </w:t>
      </w:r>
      <w:r w:rsidRPr="00175E66">
        <w:t xml:space="preserve">– brīvības </w:t>
      </w:r>
      <w:r w:rsidRPr="008F1B4E">
        <w:t xml:space="preserve">atņemšana </w:t>
      </w:r>
      <w:r w:rsidR="00D56E6C" w:rsidRPr="007813BF">
        <w:rPr>
          <w:rFonts w:asciiTheme="majorBidi" w:hAnsiTheme="majorBidi" w:cstheme="majorBidi"/>
          <w:color w:val="000000" w:themeColor="text1"/>
          <w:szCs w:val="24"/>
        </w:rPr>
        <w:t>no pieciem līdz piecpadsmit gadiem</w:t>
      </w:r>
      <w:r w:rsidRPr="008F1B4E">
        <w:t xml:space="preserve"> – nodrošina pietiekamu atturošu efektu un </w:t>
      </w:r>
      <w:r w:rsidR="00111C2D">
        <w:t>[pers. A]</w:t>
      </w:r>
      <w:r w:rsidRPr="008F1B4E">
        <w:t xml:space="preserve"> izdarītais noziedzīgais nodarījums ne tikai atbilst Pamatlēmuma </w:t>
      </w:r>
      <w:proofErr w:type="spellStart"/>
      <w:r w:rsidRPr="008F1B4E">
        <w:t>materiāltiesiskajam</w:t>
      </w:r>
      <w:proofErr w:type="spellEnd"/>
      <w:r w:rsidRPr="008F1B4E">
        <w:t xml:space="preserve"> tvērumam, bet arī kvalificējas kā tāds, kuram saskaņā ar ES tiesībām jāpiemēro </w:t>
      </w:r>
      <w:r w:rsidR="00D56E6C" w:rsidRPr="008F1B4E">
        <w:t xml:space="preserve">bargāks sods – brīvības atņemšana vismaz </w:t>
      </w:r>
      <w:r w:rsidR="0098396D" w:rsidRPr="008F1B4E">
        <w:t xml:space="preserve">uz </w:t>
      </w:r>
      <w:r w:rsidR="00D56E6C" w:rsidRPr="008F1B4E">
        <w:t>pieci</w:t>
      </w:r>
      <w:r w:rsidR="0098396D" w:rsidRPr="008F1B4E">
        <w:t>em</w:t>
      </w:r>
      <w:r w:rsidR="00D56E6C" w:rsidRPr="008F1B4E">
        <w:t xml:space="preserve"> līdz desmit gadi</w:t>
      </w:r>
      <w:r w:rsidR="0098396D" w:rsidRPr="008F1B4E">
        <w:t>em</w:t>
      </w:r>
      <w:r w:rsidR="00D56E6C" w:rsidRPr="008F1B4E">
        <w:t xml:space="preserve">. Latvijā likumdevējs ir izmantojis savu rīcības brīvību noteikt </w:t>
      </w:r>
      <w:r w:rsidR="00D56E6C" w:rsidRPr="007813BF">
        <w:t>stingrāku krimināltiesisko regulējumu</w:t>
      </w:r>
      <w:r w:rsidR="00D56E6C" w:rsidRPr="008F1B4E">
        <w:t>, ievērojot to, ka Pamatlēmuma mērķis ir noteikt minimuma noteikumus par noziedzīgiem nodarījumiem un par tiem paredzētajiem sodiem narkotisko vielu nelikumīgas tirdzniecības jomā.</w:t>
      </w:r>
      <w:r w:rsidR="00280E72" w:rsidRPr="008F1B4E">
        <w:t xml:space="preserve"> </w:t>
      </w:r>
      <w:r w:rsidR="0098396D" w:rsidRPr="008F1B4E">
        <w:t xml:space="preserve">Turklāt tieši dalībvalstīm ir pienākums nodrošināt </w:t>
      </w:r>
      <w:r w:rsidR="0098396D" w:rsidRPr="008F1B4E">
        <w:lastRenderedPageBreak/>
        <w:t xml:space="preserve">efektīvu cīņu pret narkotisko vielu nelikumīgu apriti, jo, kā izriet no Pamatlēmuma 9. apsvēruma, tās ir </w:t>
      </w:r>
      <w:r w:rsidR="00280E72" w:rsidRPr="008F1B4E">
        <w:t>mudinātas nodrošināt to centienu efektivitāti, kas vērsti pret narkotisko vielu nelikumīgu tirdzniecību.</w:t>
      </w:r>
    </w:p>
    <w:p w14:paraId="3FBFA41A" w14:textId="047428EC" w:rsidR="00280E72" w:rsidRDefault="00D56E6C" w:rsidP="00D56E6C">
      <w:pPr>
        <w:widowControl w:val="0"/>
        <w:tabs>
          <w:tab w:val="left" w:pos="1710"/>
        </w:tabs>
        <w:spacing w:after="0" w:line="276" w:lineRule="auto"/>
        <w:ind w:firstLine="720"/>
        <w:jc w:val="both"/>
      </w:pPr>
      <w:r w:rsidRPr="008F1B4E">
        <w:t xml:space="preserve">Arī Eiropas Savienības Tiesa ir atzinusi, ka </w:t>
      </w:r>
      <w:r w:rsidRPr="007813BF">
        <w:t xml:space="preserve">atšķirību esība </w:t>
      </w:r>
      <w:r w:rsidR="00875CE9">
        <w:t>P</w:t>
      </w:r>
      <w:r w:rsidRPr="007813BF">
        <w:t xml:space="preserve">amatlēmuma īstenošanas pasākumos dažādās valstu tiesību sistēmās nav uzskatāma par nediskriminācijas principa pārkāpumu </w:t>
      </w:r>
      <w:r w:rsidR="00280E72" w:rsidRPr="008F1B4E">
        <w:rPr>
          <w:rFonts w:asciiTheme="majorBidi" w:hAnsiTheme="majorBidi" w:cstheme="majorBidi"/>
          <w:color w:val="000000" w:themeColor="text1"/>
          <w:szCs w:val="24"/>
        </w:rPr>
        <w:t>(</w:t>
      </w:r>
      <w:r w:rsidR="008C00B8">
        <w:rPr>
          <w:rFonts w:asciiTheme="majorBidi" w:hAnsiTheme="majorBidi" w:cstheme="majorBidi"/>
          <w:color w:val="000000" w:themeColor="text1"/>
          <w:szCs w:val="24"/>
        </w:rPr>
        <w:t xml:space="preserve">sk. </w:t>
      </w:r>
      <w:r w:rsidR="00280E72" w:rsidRPr="008F1B4E">
        <w:rPr>
          <w:rFonts w:asciiTheme="majorBidi" w:hAnsiTheme="majorBidi" w:cstheme="majorBidi"/>
          <w:i/>
          <w:iCs/>
          <w:color w:val="000000" w:themeColor="text1"/>
          <w:szCs w:val="24"/>
        </w:rPr>
        <w:t>Eiropas Savienības Tiesas 2020. gada 11. jūnija sprieduma lietā</w:t>
      </w:r>
      <w:r w:rsidR="00E95BB8">
        <w:rPr>
          <w:rFonts w:asciiTheme="majorBidi" w:hAnsiTheme="majorBidi" w:cstheme="majorBidi"/>
          <w:i/>
          <w:iCs/>
          <w:color w:val="000000" w:themeColor="text1"/>
          <w:szCs w:val="24"/>
        </w:rPr>
        <w:t xml:space="preserve"> </w:t>
      </w:r>
      <w:r w:rsidR="00280E72" w:rsidRPr="008F1B4E">
        <w:rPr>
          <w:rFonts w:asciiTheme="majorBidi" w:hAnsiTheme="majorBidi" w:cstheme="majorBidi"/>
          <w:i/>
          <w:iCs/>
          <w:color w:val="000000" w:themeColor="text1"/>
          <w:szCs w:val="24"/>
        </w:rPr>
        <w:t>,,</w:t>
      </w:r>
      <w:proofErr w:type="spellStart"/>
      <w:r w:rsidR="00280E72" w:rsidRPr="008F1B4E">
        <w:rPr>
          <w:rFonts w:asciiTheme="majorBidi" w:hAnsiTheme="majorBidi" w:cstheme="majorBidi"/>
          <w:i/>
          <w:iCs/>
          <w:color w:val="000000" w:themeColor="text1"/>
          <w:szCs w:val="24"/>
        </w:rPr>
        <w:t>Prokuratura</w:t>
      </w:r>
      <w:proofErr w:type="spellEnd"/>
      <w:r w:rsidR="00280E72" w:rsidRPr="008F1B4E">
        <w:rPr>
          <w:rFonts w:asciiTheme="majorBidi" w:hAnsiTheme="majorBidi" w:cstheme="majorBidi"/>
          <w:i/>
          <w:iCs/>
          <w:color w:val="000000" w:themeColor="text1"/>
          <w:szCs w:val="24"/>
        </w:rPr>
        <w:t xml:space="preserve"> </w:t>
      </w:r>
      <w:proofErr w:type="spellStart"/>
      <w:r w:rsidR="00280E72" w:rsidRPr="008F1B4E">
        <w:rPr>
          <w:rFonts w:asciiTheme="majorBidi" w:hAnsiTheme="majorBidi" w:cstheme="majorBidi"/>
          <w:i/>
          <w:iCs/>
          <w:color w:val="000000" w:themeColor="text1"/>
          <w:szCs w:val="24"/>
        </w:rPr>
        <w:t>Rejonowa</w:t>
      </w:r>
      <w:proofErr w:type="spellEnd"/>
      <w:r w:rsidR="00280E72" w:rsidRPr="008F1B4E">
        <w:rPr>
          <w:rFonts w:asciiTheme="majorBidi" w:hAnsiTheme="majorBidi" w:cstheme="majorBidi"/>
          <w:i/>
          <w:iCs/>
          <w:color w:val="000000" w:themeColor="text1"/>
          <w:szCs w:val="24"/>
        </w:rPr>
        <w:t xml:space="preserve"> w </w:t>
      </w:r>
      <w:proofErr w:type="spellStart"/>
      <w:r w:rsidR="00280E72" w:rsidRPr="008F1B4E">
        <w:rPr>
          <w:rFonts w:asciiTheme="majorBidi" w:hAnsiTheme="majorBidi" w:cstheme="majorBidi"/>
          <w:i/>
          <w:iCs/>
          <w:color w:val="000000" w:themeColor="text1"/>
          <w:szCs w:val="24"/>
        </w:rPr>
        <w:t>Słupsku</w:t>
      </w:r>
      <w:proofErr w:type="spellEnd"/>
      <w:r w:rsidR="00280E72" w:rsidRPr="008F1B4E">
        <w:rPr>
          <w:rFonts w:asciiTheme="majorBidi" w:hAnsiTheme="majorBidi" w:cstheme="majorBidi"/>
          <w:i/>
          <w:iCs/>
          <w:color w:val="000000" w:themeColor="text1"/>
          <w:szCs w:val="24"/>
        </w:rPr>
        <w:t xml:space="preserve">”, C-634/18, </w:t>
      </w:r>
      <w:hyperlink r:id="rId17" w:history="1">
        <w:r w:rsidR="00280E72" w:rsidRPr="008F1B4E">
          <w:rPr>
            <w:rStyle w:val="Hyperlink"/>
            <w:rFonts w:asciiTheme="majorBidi" w:hAnsiTheme="majorBidi" w:cstheme="majorBidi"/>
            <w:i/>
            <w:iCs/>
            <w:szCs w:val="24"/>
          </w:rPr>
          <w:t>ECLI:EU:C:2020:455</w:t>
        </w:r>
      </w:hyperlink>
      <w:r w:rsidR="00280E72" w:rsidRPr="008F1B4E">
        <w:rPr>
          <w:rFonts w:asciiTheme="majorBidi" w:hAnsiTheme="majorBidi" w:cstheme="majorBidi"/>
          <w:i/>
          <w:iCs/>
          <w:color w:val="000000" w:themeColor="text1"/>
          <w:szCs w:val="24"/>
        </w:rPr>
        <w:t>, 46.</w:t>
      </w:r>
      <w:r w:rsidR="001734CD">
        <w:rPr>
          <w:rFonts w:asciiTheme="majorBidi" w:hAnsiTheme="majorBidi" w:cstheme="majorBidi"/>
          <w:i/>
          <w:iCs/>
          <w:color w:val="000000" w:themeColor="text1"/>
          <w:szCs w:val="24"/>
        </w:rPr>
        <w:t> </w:t>
      </w:r>
      <w:r w:rsidR="008C00B8" w:rsidRPr="008F1B4E">
        <w:rPr>
          <w:rFonts w:asciiTheme="majorBidi" w:hAnsiTheme="majorBidi" w:cstheme="majorBidi"/>
          <w:i/>
          <w:iCs/>
          <w:color w:val="000000" w:themeColor="text1"/>
          <w:szCs w:val="24"/>
        </w:rPr>
        <w:t>punkt</w:t>
      </w:r>
      <w:r w:rsidR="008C00B8">
        <w:rPr>
          <w:rFonts w:asciiTheme="majorBidi" w:hAnsiTheme="majorBidi" w:cstheme="majorBidi"/>
          <w:i/>
          <w:iCs/>
          <w:color w:val="000000" w:themeColor="text1"/>
          <w:szCs w:val="24"/>
        </w:rPr>
        <w:t>u</w:t>
      </w:r>
      <w:r w:rsidR="008C00B8" w:rsidRPr="008F1B4E">
        <w:rPr>
          <w:rFonts w:asciiTheme="majorBidi" w:hAnsiTheme="majorBidi" w:cstheme="majorBidi"/>
          <w:i/>
          <w:iCs/>
          <w:color w:val="000000" w:themeColor="text1"/>
          <w:szCs w:val="24"/>
        </w:rPr>
        <w:t xml:space="preserve"> </w:t>
      </w:r>
      <w:r w:rsidR="00280E72" w:rsidRPr="00C85454">
        <w:rPr>
          <w:rFonts w:asciiTheme="majorBidi" w:hAnsiTheme="majorBidi" w:cstheme="majorBidi"/>
          <w:color w:val="000000" w:themeColor="text1"/>
          <w:szCs w:val="24"/>
        </w:rPr>
        <w:t xml:space="preserve">un tajā </w:t>
      </w:r>
      <w:r w:rsidR="00E95BB8" w:rsidRPr="00C85454">
        <w:rPr>
          <w:rFonts w:asciiTheme="majorBidi" w:hAnsiTheme="majorBidi" w:cstheme="majorBidi"/>
          <w:color w:val="000000" w:themeColor="text1"/>
          <w:szCs w:val="24"/>
        </w:rPr>
        <w:t>norādīto</w:t>
      </w:r>
      <w:r w:rsidR="008C00B8" w:rsidRPr="00C85454">
        <w:rPr>
          <w:rFonts w:asciiTheme="majorBidi" w:hAnsiTheme="majorBidi" w:cstheme="majorBidi"/>
          <w:color w:val="000000" w:themeColor="text1"/>
          <w:szCs w:val="24"/>
        </w:rPr>
        <w:t xml:space="preserve"> judikatūru</w:t>
      </w:r>
      <w:r w:rsidR="00280E72" w:rsidRPr="008F1B4E">
        <w:rPr>
          <w:rFonts w:asciiTheme="majorBidi" w:hAnsiTheme="majorBidi" w:cstheme="majorBidi"/>
          <w:color w:val="000000" w:themeColor="text1"/>
          <w:szCs w:val="24"/>
        </w:rPr>
        <w:t>).</w:t>
      </w:r>
      <w:r w:rsidR="00280E72" w:rsidRPr="007813BF">
        <w:t xml:space="preserve"> </w:t>
      </w:r>
    </w:p>
    <w:p w14:paraId="631358F2" w14:textId="0DB5EF9D" w:rsidR="009C0407" w:rsidRPr="007813BF" w:rsidRDefault="009C0407" w:rsidP="00D56E6C">
      <w:pPr>
        <w:widowControl w:val="0"/>
        <w:tabs>
          <w:tab w:val="left" w:pos="1710"/>
        </w:tabs>
        <w:spacing w:after="0" w:line="276" w:lineRule="auto"/>
        <w:ind w:firstLine="720"/>
        <w:jc w:val="both"/>
      </w:pPr>
      <w:r>
        <w:rPr>
          <w:rFonts w:asciiTheme="majorBidi" w:hAnsiTheme="majorBidi"/>
        </w:rPr>
        <w:t xml:space="preserve">Tādējādi Eiropas Savienības </w:t>
      </w:r>
      <w:r w:rsidRPr="00755557">
        <w:rPr>
          <w:rFonts w:asciiTheme="majorBidi" w:hAnsiTheme="majorBidi"/>
        </w:rPr>
        <w:t>Tiesa</w:t>
      </w:r>
      <w:r>
        <w:rPr>
          <w:rFonts w:asciiTheme="majorBidi" w:hAnsiTheme="majorBidi"/>
        </w:rPr>
        <w:t xml:space="preserve"> savos </w:t>
      </w:r>
      <w:r w:rsidRPr="00755557">
        <w:rPr>
          <w:rFonts w:asciiTheme="majorBidi" w:hAnsiTheme="majorBidi"/>
        </w:rPr>
        <w:t>nolēmum</w:t>
      </w:r>
      <w:r>
        <w:rPr>
          <w:rFonts w:asciiTheme="majorBidi" w:hAnsiTheme="majorBidi"/>
        </w:rPr>
        <w:t>o</w:t>
      </w:r>
      <w:r w:rsidRPr="00755557">
        <w:rPr>
          <w:rFonts w:asciiTheme="majorBidi" w:hAnsiTheme="majorBidi"/>
        </w:rPr>
        <w:t>s</w:t>
      </w:r>
      <w:r>
        <w:rPr>
          <w:rFonts w:asciiTheme="majorBidi" w:hAnsiTheme="majorBidi"/>
        </w:rPr>
        <w:t xml:space="preserve"> ir interpretējusī izskatāmajā lietā piemērojamās Eiropas </w:t>
      </w:r>
      <w:r w:rsidRPr="00755557">
        <w:rPr>
          <w:rFonts w:asciiTheme="majorBidi" w:hAnsiTheme="majorBidi"/>
        </w:rPr>
        <w:t>Savienības tiesību norma</w:t>
      </w:r>
      <w:r>
        <w:rPr>
          <w:rFonts w:asciiTheme="majorBidi" w:hAnsiTheme="majorBidi"/>
        </w:rPr>
        <w:t>s.</w:t>
      </w:r>
    </w:p>
    <w:p w14:paraId="03CA10B9" w14:textId="7B3DCA2F" w:rsidR="008F1B4E" w:rsidRPr="008F1B4E" w:rsidRDefault="00114A23" w:rsidP="008F1B4E">
      <w:pPr>
        <w:widowControl w:val="0"/>
        <w:tabs>
          <w:tab w:val="left" w:pos="1710"/>
        </w:tabs>
        <w:spacing w:after="0" w:line="276" w:lineRule="auto"/>
        <w:ind w:firstLine="720"/>
        <w:jc w:val="both"/>
        <w:rPr>
          <w:rFonts w:asciiTheme="majorBidi" w:hAnsiTheme="majorBidi" w:cstheme="majorBidi"/>
          <w:color w:val="000000" w:themeColor="text1"/>
          <w:szCs w:val="24"/>
        </w:rPr>
      </w:pPr>
      <w:r w:rsidRPr="007813BF">
        <w:t>[</w:t>
      </w:r>
      <w:r w:rsidR="008E4B20">
        <w:t>7</w:t>
      </w:r>
      <w:r w:rsidRPr="007813BF">
        <w:t>.</w:t>
      </w:r>
      <w:r w:rsidR="008F1B4E">
        <w:t>9</w:t>
      </w:r>
      <w:r w:rsidRPr="007813BF">
        <w:t>] </w:t>
      </w:r>
      <w:r w:rsidR="008F1B4E" w:rsidRPr="007813BF">
        <w:t>Ievērojot minēto, i</w:t>
      </w:r>
      <w:r w:rsidR="008F1B4E" w:rsidRPr="007813BF">
        <w:rPr>
          <w:rFonts w:asciiTheme="majorBidi" w:hAnsiTheme="majorBidi" w:cstheme="majorBidi"/>
          <w:color w:val="000000" w:themeColor="text1"/>
          <w:szCs w:val="24"/>
        </w:rPr>
        <w:t>zskatāmajā lietā Senāts nekonstatē pamatu, lai vērstos Satversmes tiesā</w:t>
      </w:r>
      <w:r w:rsidR="008F1B4E" w:rsidRPr="008F1B4E">
        <w:rPr>
          <w:rFonts w:asciiTheme="majorBidi" w:hAnsiTheme="majorBidi" w:cstheme="majorBidi"/>
          <w:color w:val="000000" w:themeColor="text1"/>
          <w:szCs w:val="24"/>
        </w:rPr>
        <w:t xml:space="preserve"> vai Eiropas Savienības Tiesā.</w:t>
      </w:r>
    </w:p>
    <w:bookmarkEnd w:id="3"/>
    <w:p w14:paraId="1F1BF897" w14:textId="77777777" w:rsidR="008C00B8" w:rsidRDefault="008C00B8" w:rsidP="00B03927">
      <w:pPr>
        <w:widowControl w:val="0"/>
        <w:tabs>
          <w:tab w:val="left" w:pos="709"/>
        </w:tabs>
        <w:spacing w:after="0" w:line="276" w:lineRule="auto"/>
        <w:ind w:firstLine="720"/>
        <w:jc w:val="both"/>
        <w:rPr>
          <w:rFonts w:asciiTheme="majorBidi" w:hAnsiTheme="majorBidi" w:cstheme="majorBidi"/>
          <w:color w:val="000000" w:themeColor="text1"/>
          <w:szCs w:val="24"/>
        </w:rPr>
      </w:pPr>
    </w:p>
    <w:p w14:paraId="4F912D21" w14:textId="7C9F8605" w:rsidR="00B03927" w:rsidRPr="00B63CAB" w:rsidRDefault="00B03927" w:rsidP="00B03927">
      <w:pPr>
        <w:widowControl w:val="0"/>
        <w:tabs>
          <w:tab w:val="left" w:pos="709"/>
        </w:tabs>
        <w:spacing w:after="0" w:line="276" w:lineRule="auto"/>
        <w:ind w:firstLine="720"/>
        <w:jc w:val="both"/>
      </w:pPr>
      <w:r>
        <w:rPr>
          <w:rFonts w:asciiTheme="majorBidi" w:hAnsiTheme="majorBidi" w:cstheme="majorBidi"/>
          <w:szCs w:val="24"/>
        </w:rPr>
        <w:t>[8] </w:t>
      </w:r>
      <w:r w:rsidRPr="00B63CAB">
        <w:rPr>
          <w:rFonts w:asciiTheme="majorBidi" w:hAnsiTheme="majorBidi" w:cstheme="majorBidi"/>
          <w:szCs w:val="24"/>
        </w:rPr>
        <w:t>Ievērojot to, ka apelācijas instances tiesas lēmums tiek atcelts daļā</w:t>
      </w:r>
      <w:r>
        <w:rPr>
          <w:rFonts w:asciiTheme="majorBidi" w:hAnsiTheme="majorBidi" w:cstheme="majorBidi"/>
          <w:szCs w:val="24"/>
        </w:rPr>
        <w:t xml:space="preserve"> par </w:t>
      </w:r>
      <w:r w:rsidRPr="000452C2">
        <w:rPr>
          <w:rFonts w:cs="Times New Roman"/>
          <w:szCs w:val="24"/>
        </w:rPr>
        <w:t xml:space="preserve">apsūdzētajam </w:t>
      </w:r>
      <w:r w:rsidR="00111C2D">
        <w:rPr>
          <w:rFonts w:cs="Times New Roman"/>
          <w:szCs w:val="24"/>
        </w:rPr>
        <w:t>[pers. A]</w:t>
      </w:r>
      <w:r>
        <w:rPr>
          <w:rFonts w:cs="Times New Roman"/>
          <w:szCs w:val="24"/>
        </w:rPr>
        <w:t xml:space="preserve"> </w:t>
      </w:r>
      <w:r w:rsidRPr="000452C2">
        <w:rPr>
          <w:rFonts w:cs="Times New Roman"/>
          <w:szCs w:val="24"/>
        </w:rPr>
        <w:t>noteikto sodu</w:t>
      </w:r>
      <w:r>
        <w:rPr>
          <w:rFonts w:asciiTheme="majorBidi" w:hAnsiTheme="majorBidi" w:cstheme="majorBidi"/>
          <w:szCs w:val="24"/>
        </w:rPr>
        <w:t xml:space="preserve"> un lieta šajā daļā tiesai ir jāizskata no jauna atbilstoši Kriminālprocesa likuma 53. nodaļas prasībām</w:t>
      </w:r>
      <w:r w:rsidRPr="00B63CAB">
        <w:rPr>
          <w:rFonts w:asciiTheme="majorBidi" w:hAnsiTheme="majorBidi" w:cstheme="majorBidi"/>
          <w:szCs w:val="24"/>
        </w:rPr>
        <w:t>, pārējie aizstāvja kasācijas sūdzībā norādītie argumenti ir izvērtējami apelācijas instances tiesā.</w:t>
      </w:r>
    </w:p>
    <w:p w14:paraId="5F10047F" w14:textId="77777777" w:rsidR="007C13CF" w:rsidRDefault="007C13CF" w:rsidP="000B1F17">
      <w:pPr>
        <w:widowControl w:val="0"/>
        <w:tabs>
          <w:tab w:val="left" w:pos="1710"/>
        </w:tabs>
        <w:spacing w:after="0" w:line="276" w:lineRule="auto"/>
        <w:ind w:firstLine="720"/>
        <w:jc w:val="both"/>
        <w:rPr>
          <w:rFonts w:asciiTheme="majorBidi" w:hAnsiTheme="majorBidi" w:cstheme="majorBidi"/>
          <w:color w:val="000000" w:themeColor="text1"/>
          <w:szCs w:val="24"/>
        </w:rPr>
      </w:pPr>
    </w:p>
    <w:p w14:paraId="5B9637CA" w14:textId="116D1691" w:rsidR="004838EC" w:rsidRPr="000452C2" w:rsidRDefault="00760AC9" w:rsidP="000B1F17">
      <w:pPr>
        <w:widowControl w:val="0"/>
        <w:tabs>
          <w:tab w:val="left" w:pos="1710"/>
        </w:tabs>
        <w:spacing w:after="0" w:line="276" w:lineRule="auto"/>
        <w:ind w:firstLine="720"/>
        <w:jc w:val="both"/>
        <w:rPr>
          <w:rFonts w:cs="Times New Roman"/>
          <w:szCs w:val="24"/>
        </w:rPr>
      </w:pPr>
      <w:r w:rsidRPr="000452C2">
        <w:rPr>
          <w:rFonts w:cs="Times New Roman"/>
          <w:szCs w:val="24"/>
        </w:rPr>
        <w:t>[</w:t>
      </w:r>
      <w:r w:rsidR="00B03927">
        <w:rPr>
          <w:rFonts w:cs="Times New Roman"/>
          <w:szCs w:val="24"/>
        </w:rPr>
        <w:t>9</w:t>
      </w:r>
      <w:r w:rsidRPr="000452C2">
        <w:rPr>
          <w:rFonts w:cs="Times New Roman"/>
          <w:szCs w:val="24"/>
        </w:rPr>
        <w:t>]</w:t>
      </w:r>
      <w:r w:rsidR="000B1F17">
        <w:rPr>
          <w:rFonts w:cs="Times New Roman"/>
          <w:szCs w:val="24"/>
        </w:rPr>
        <w:t> A</w:t>
      </w:r>
      <w:r w:rsidR="004838EC" w:rsidRPr="000452C2">
        <w:rPr>
          <w:rFonts w:cs="Times New Roman"/>
          <w:szCs w:val="24"/>
        </w:rPr>
        <w:t xml:space="preserve">psūdzētajam </w:t>
      </w:r>
      <w:r w:rsidR="00111C2D">
        <w:rPr>
          <w:rFonts w:cs="Times New Roman"/>
          <w:szCs w:val="24"/>
        </w:rPr>
        <w:t>[pers. A]</w:t>
      </w:r>
      <w:r w:rsidR="000B1F17">
        <w:rPr>
          <w:rFonts w:cs="Times New Roman"/>
          <w:szCs w:val="24"/>
        </w:rPr>
        <w:t xml:space="preserve"> </w:t>
      </w:r>
      <w:proofErr w:type="spellStart"/>
      <w:r w:rsidR="000B1F17">
        <w:rPr>
          <w:rFonts w:cs="Times New Roman"/>
          <w:szCs w:val="24"/>
        </w:rPr>
        <w:t>pirmstiesas</w:t>
      </w:r>
      <w:proofErr w:type="spellEnd"/>
      <w:r w:rsidR="000B1F17">
        <w:rPr>
          <w:rFonts w:cs="Times New Roman"/>
          <w:szCs w:val="24"/>
        </w:rPr>
        <w:t xml:space="preserve"> kriminālprocesā </w:t>
      </w:r>
      <w:r w:rsidR="004838EC" w:rsidRPr="000452C2">
        <w:rPr>
          <w:rFonts w:cs="Times New Roman"/>
          <w:szCs w:val="24"/>
        </w:rPr>
        <w:t xml:space="preserve">piemēroti drošības līdzekļi – </w:t>
      </w:r>
      <w:r w:rsidR="000B1F17">
        <w:rPr>
          <w:rFonts w:cs="Times New Roman"/>
          <w:szCs w:val="24"/>
        </w:rPr>
        <w:t>dzīvesvietas maiņas paziņošana</w:t>
      </w:r>
      <w:r w:rsidR="004838EC" w:rsidRPr="000452C2">
        <w:rPr>
          <w:rFonts w:cs="Times New Roman"/>
          <w:szCs w:val="24"/>
        </w:rPr>
        <w:t xml:space="preserve"> un aizliegums izbraukt no valsts</w:t>
      </w:r>
      <w:r w:rsidR="000B1F17">
        <w:rPr>
          <w:rFonts w:cs="Times New Roman"/>
          <w:szCs w:val="24"/>
        </w:rPr>
        <w:t xml:space="preserve"> –, kas ar pirmās un apelācijas instances tiesu nolēmumiem atstāti negrozīti.</w:t>
      </w:r>
    </w:p>
    <w:p w14:paraId="4FFE1739" w14:textId="1FB16347" w:rsidR="004838EC" w:rsidRPr="000452C2" w:rsidRDefault="004838EC" w:rsidP="006446AE">
      <w:pPr>
        <w:pStyle w:val="NoSpacing"/>
        <w:spacing w:line="276" w:lineRule="auto"/>
        <w:ind w:firstLine="720"/>
        <w:jc w:val="both"/>
        <w:rPr>
          <w:rFonts w:cs="Times New Roman"/>
          <w:szCs w:val="24"/>
        </w:rPr>
      </w:pPr>
      <w:r w:rsidRPr="000452C2">
        <w:rPr>
          <w:rFonts w:cs="Times New Roman"/>
          <w:szCs w:val="24"/>
        </w:rPr>
        <w:t>Senāts atzīst, ka apsūdzētajam</w:t>
      </w:r>
      <w:r w:rsidR="009F1FDB" w:rsidRPr="000452C2">
        <w:rPr>
          <w:rFonts w:cs="Times New Roman"/>
          <w:szCs w:val="24"/>
        </w:rPr>
        <w:t xml:space="preserve"> </w:t>
      </w:r>
      <w:r w:rsidR="000B1F17">
        <w:rPr>
          <w:rFonts w:cs="Times New Roman"/>
          <w:szCs w:val="24"/>
        </w:rPr>
        <w:t>noteikto</w:t>
      </w:r>
      <w:r w:rsidRPr="000452C2">
        <w:rPr>
          <w:rFonts w:cs="Times New Roman"/>
          <w:szCs w:val="24"/>
        </w:rPr>
        <w:t xml:space="preserve"> drošības līdzekļu piemērošana</w:t>
      </w:r>
      <w:r w:rsidR="000B1F17">
        <w:rPr>
          <w:rFonts w:cs="Times New Roman"/>
          <w:szCs w:val="24"/>
        </w:rPr>
        <w:t xml:space="preserve"> turpināma</w:t>
      </w:r>
      <w:r w:rsidRPr="000452C2">
        <w:rPr>
          <w:rFonts w:cs="Times New Roman"/>
          <w:szCs w:val="24"/>
        </w:rPr>
        <w:t xml:space="preserve">. Piemērotie drošības līdzekļi </w:t>
      </w:r>
      <w:r w:rsidR="000B1F17">
        <w:rPr>
          <w:rFonts w:cs="Times New Roman"/>
          <w:szCs w:val="24"/>
        </w:rPr>
        <w:t>izskatāmajā lietā atzīstami par samērīgiem</w:t>
      </w:r>
      <w:r w:rsidRPr="000452C2">
        <w:rPr>
          <w:rFonts w:cs="Times New Roman"/>
          <w:szCs w:val="24"/>
        </w:rPr>
        <w:t>.</w:t>
      </w:r>
    </w:p>
    <w:p w14:paraId="707740BB" w14:textId="77777777" w:rsidR="004838EC" w:rsidRPr="000452C2" w:rsidRDefault="004838EC" w:rsidP="006446AE">
      <w:pPr>
        <w:pStyle w:val="NoSpacing"/>
        <w:widowControl w:val="0"/>
        <w:spacing w:line="276" w:lineRule="auto"/>
        <w:ind w:firstLine="720"/>
        <w:jc w:val="both"/>
        <w:rPr>
          <w:rFonts w:cs="Times New Roman"/>
          <w:szCs w:val="24"/>
        </w:rPr>
      </w:pPr>
    </w:p>
    <w:p w14:paraId="7D84EF18" w14:textId="5D7FA599" w:rsidR="00BA55DF" w:rsidRPr="000452C2" w:rsidRDefault="00376064" w:rsidP="006446AE">
      <w:pPr>
        <w:widowControl w:val="0"/>
        <w:spacing w:after="0" w:line="276" w:lineRule="auto"/>
        <w:jc w:val="center"/>
        <w:rPr>
          <w:rFonts w:eastAsia="Times New Roman" w:cs="Times New Roman"/>
          <w:b/>
          <w:szCs w:val="24"/>
        </w:rPr>
      </w:pPr>
      <w:r w:rsidRPr="000452C2">
        <w:rPr>
          <w:rFonts w:eastAsia="Times New Roman" w:cs="Times New Roman"/>
          <w:b/>
          <w:szCs w:val="24"/>
        </w:rPr>
        <w:t>R</w:t>
      </w:r>
      <w:r w:rsidR="00BA55DF" w:rsidRPr="000452C2">
        <w:rPr>
          <w:rFonts w:eastAsia="Times New Roman" w:cs="Times New Roman"/>
          <w:b/>
          <w:szCs w:val="24"/>
        </w:rPr>
        <w:t>ezolutīvā daļa</w:t>
      </w:r>
    </w:p>
    <w:p w14:paraId="42A4D00C" w14:textId="77777777" w:rsidR="00E71924" w:rsidRPr="000452C2" w:rsidRDefault="00E71924" w:rsidP="006446AE">
      <w:pPr>
        <w:widowControl w:val="0"/>
        <w:spacing w:after="0" w:line="276" w:lineRule="auto"/>
        <w:ind w:firstLine="720"/>
        <w:jc w:val="both"/>
        <w:rPr>
          <w:rFonts w:eastAsia="Times New Roman" w:cs="Times New Roman"/>
          <w:bCs/>
          <w:szCs w:val="24"/>
        </w:rPr>
      </w:pPr>
    </w:p>
    <w:p w14:paraId="6FD55597" w14:textId="108B851E" w:rsidR="00BA55DF" w:rsidRDefault="00BA55DF" w:rsidP="006446AE">
      <w:pPr>
        <w:widowControl w:val="0"/>
        <w:tabs>
          <w:tab w:val="left" w:pos="709"/>
        </w:tabs>
        <w:spacing w:after="0" w:line="276" w:lineRule="auto"/>
        <w:ind w:firstLine="720"/>
        <w:jc w:val="both"/>
        <w:rPr>
          <w:rFonts w:eastAsia="Times New Roman" w:cs="Times New Roman"/>
          <w:bCs/>
          <w:szCs w:val="24"/>
        </w:rPr>
      </w:pPr>
      <w:r w:rsidRPr="000452C2">
        <w:rPr>
          <w:rFonts w:eastAsia="Times New Roman" w:cs="Times New Roman"/>
          <w:szCs w:val="24"/>
        </w:rPr>
        <w:t>P</w:t>
      </w:r>
      <w:r w:rsidRPr="000452C2">
        <w:rPr>
          <w:rFonts w:eastAsia="Times New Roman" w:cs="Times New Roman"/>
          <w:bCs/>
          <w:szCs w:val="24"/>
        </w:rPr>
        <w:t xml:space="preserve">amatojoties uz </w:t>
      </w:r>
      <w:r w:rsidRPr="000452C2">
        <w:rPr>
          <w:rFonts w:cs="Times New Roman"/>
          <w:szCs w:val="24"/>
        </w:rPr>
        <w:t>Kriminālprocesa</w:t>
      </w:r>
      <w:r w:rsidRPr="000452C2">
        <w:rPr>
          <w:rFonts w:eastAsia="Times New Roman" w:cs="Times New Roman"/>
          <w:bCs/>
          <w:szCs w:val="24"/>
        </w:rPr>
        <w:t xml:space="preserve"> likuma 585.</w:t>
      </w:r>
      <w:r w:rsidR="004838EC" w:rsidRPr="000452C2">
        <w:rPr>
          <w:rFonts w:eastAsia="Times New Roman" w:cs="Times New Roman"/>
          <w:bCs/>
          <w:szCs w:val="24"/>
        </w:rPr>
        <w:t> pantu</w:t>
      </w:r>
      <w:r w:rsidRPr="000452C2">
        <w:rPr>
          <w:rFonts w:eastAsia="Times New Roman" w:cs="Times New Roman"/>
          <w:bCs/>
          <w:szCs w:val="24"/>
        </w:rPr>
        <w:t xml:space="preserve"> un 587.</w:t>
      </w:r>
      <w:r w:rsidR="00613849" w:rsidRPr="000452C2">
        <w:rPr>
          <w:rFonts w:eastAsia="Times New Roman" w:cs="Times New Roman"/>
          <w:bCs/>
          <w:szCs w:val="24"/>
        </w:rPr>
        <w:t> </w:t>
      </w:r>
      <w:r w:rsidRPr="000452C2">
        <w:rPr>
          <w:rFonts w:eastAsia="Times New Roman" w:cs="Times New Roman"/>
          <w:bCs/>
          <w:szCs w:val="24"/>
        </w:rPr>
        <w:t>pant</w:t>
      </w:r>
      <w:r w:rsidR="004838EC" w:rsidRPr="000452C2">
        <w:rPr>
          <w:rFonts w:eastAsia="Times New Roman" w:cs="Times New Roman"/>
          <w:bCs/>
          <w:szCs w:val="24"/>
        </w:rPr>
        <w:t>a pirmās daļas 2. punktu</w:t>
      </w:r>
      <w:r w:rsidRPr="000452C2">
        <w:rPr>
          <w:rFonts w:eastAsia="Times New Roman" w:cs="Times New Roman"/>
          <w:bCs/>
          <w:szCs w:val="24"/>
        </w:rPr>
        <w:t xml:space="preserve">, </w:t>
      </w:r>
      <w:r w:rsidR="00B26231" w:rsidRPr="000452C2">
        <w:rPr>
          <w:rFonts w:eastAsia="Times New Roman" w:cs="Times New Roman"/>
          <w:bCs/>
          <w:szCs w:val="24"/>
        </w:rPr>
        <w:t>Senāts</w:t>
      </w:r>
    </w:p>
    <w:p w14:paraId="399B81F7" w14:textId="77777777" w:rsidR="009A2AF8" w:rsidRDefault="009A2AF8" w:rsidP="006446AE">
      <w:pPr>
        <w:widowControl w:val="0"/>
        <w:tabs>
          <w:tab w:val="left" w:pos="709"/>
        </w:tabs>
        <w:spacing w:after="0" w:line="276" w:lineRule="auto"/>
        <w:ind w:firstLine="720"/>
        <w:jc w:val="both"/>
        <w:rPr>
          <w:rFonts w:eastAsia="Times New Roman" w:cs="Times New Roman"/>
          <w:bCs/>
          <w:szCs w:val="24"/>
        </w:rPr>
      </w:pPr>
    </w:p>
    <w:p w14:paraId="383F4D9B" w14:textId="77777777" w:rsidR="00E95BB8" w:rsidRDefault="00E95BB8" w:rsidP="006446AE">
      <w:pPr>
        <w:widowControl w:val="0"/>
        <w:tabs>
          <w:tab w:val="left" w:pos="709"/>
        </w:tabs>
        <w:spacing w:after="0" w:line="276" w:lineRule="auto"/>
        <w:ind w:firstLine="720"/>
        <w:jc w:val="both"/>
        <w:rPr>
          <w:rFonts w:eastAsia="Times New Roman" w:cs="Times New Roman"/>
          <w:bCs/>
          <w:szCs w:val="24"/>
        </w:rPr>
      </w:pPr>
    </w:p>
    <w:p w14:paraId="2B75B3AF" w14:textId="77777777" w:rsidR="00E95BB8" w:rsidRPr="000452C2" w:rsidRDefault="00E95BB8" w:rsidP="006446AE">
      <w:pPr>
        <w:widowControl w:val="0"/>
        <w:tabs>
          <w:tab w:val="left" w:pos="709"/>
        </w:tabs>
        <w:spacing w:after="0" w:line="276" w:lineRule="auto"/>
        <w:ind w:firstLine="720"/>
        <w:jc w:val="both"/>
        <w:rPr>
          <w:rFonts w:eastAsia="Times New Roman" w:cs="Times New Roman"/>
          <w:bCs/>
          <w:szCs w:val="24"/>
        </w:rPr>
      </w:pPr>
    </w:p>
    <w:p w14:paraId="783321B2" w14:textId="0A9EA081" w:rsidR="00BA55DF" w:rsidRPr="000452C2" w:rsidRDefault="004A37BC" w:rsidP="006446AE">
      <w:pPr>
        <w:pStyle w:val="tv213"/>
        <w:widowControl w:val="0"/>
        <w:spacing w:before="0" w:beforeAutospacing="0" w:after="0" w:afterAutospacing="0" w:line="276" w:lineRule="auto"/>
        <w:jc w:val="center"/>
        <w:rPr>
          <w:b/>
        </w:rPr>
      </w:pPr>
      <w:r w:rsidRPr="000452C2">
        <w:rPr>
          <w:b/>
        </w:rPr>
        <w:t>n</w:t>
      </w:r>
      <w:r w:rsidR="00BA55DF" w:rsidRPr="000452C2">
        <w:rPr>
          <w:b/>
        </w:rPr>
        <w:t>olēma</w:t>
      </w:r>
    </w:p>
    <w:p w14:paraId="2DC4301C" w14:textId="77777777" w:rsidR="00344A6F" w:rsidRPr="000452C2" w:rsidRDefault="00344A6F" w:rsidP="006446AE">
      <w:pPr>
        <w:pStyle w:val="tv213"/>
        <w:widowControl w:val="0"/>
        <w:spacing w:before="0" w:beforeAutospacing="0" w:after="0" w:afterAutospacing="0" w:line="276" w:lineRule="auto"/>
        <w:ind w:firstLine="720"/>
        <w:jc w:val="both"/>
        <w:rPr>
          <w:bCs/>
        </w:rPr>
      </w:pPr>
    </w:p>
    <w:p w14:paraId="3B384D11" w14:textId="312C9B7B" w:rsidR="00091641" w:rsidRPr="000452C2" w:rsidRDefault="00344A6F" w:rsidP="001903EC">
      <w:pPr>
        <w:widowControl w:val="0"/>
        <w:spacing w:after="0" w:line="276" w:lineRule="auto"/>
        <w:ind w:firstLine="720"/>
        <w:jc w:val="both"/>
        <w:rPr>
          <w:rFonts w:cs="Times New Roman"/>
          <w:szCs w:val="24"/>
        </w:rPr>
      </w:pPr>
      <w:r w:rsidRPr="000452C2">
        <w:rPr>
          <w:rFonts w:eastAsia="Calibri" w:cs="Times New Roman"/>
          <w:iCs/>
          <w:szCs w:val="24"/>
        </w:rPr>
        <w:t xml:space="preserve">atcelt </w:t>
      </w:r>
      <w:r w:rsidR="00A5320D">
        <w:rPr>
          <w:rFonts w:cs="Times New Roman"/>
          <w:szCs w:val="24"/>
        </w:rPr>
        <w:t>Rīgas</w:t>
      </w:r>
      <w:r w:rsidR="00D46F6D" w:rsidRPr="000452C2">
        <w:rPr>
          <w:rFonts w:cs="Times New Roman"/>
          <w:szCs w:val="24"/>
        </w:rPr>
        <w:t xml:space="preserve"> apgabaltiesas 202</w:t>
      </w:r>
      <w:r w:rsidR="00A5320D">
        <w:rPr>
          <w:rFonts w:cs="Times New Roman"/>
          <w:szCs w:val="24"/>
        </w:rPr>
        <w:t>5</w:t>
      </w:r>
      <w:r w:rsidR="00D46F6D" w:rsidRPr="000452C2">
        <w:rPr>
          <w:rFonts w:cs="Times New Roman"/>
          <w:szCs w:val="24"/>
        </w:rPr>
        <w:t xml:space="preserve">. gada </w:t>
      </w:r>
      <w:r w:rsidR="00091641" w:rsidRPr="000452C2">
        <w:rPr>
          <w:rFonts w:cs="Times New Roman"/>
          <w:szCs w:val="24"/>
        </w:rPr>
        <w:t>1</w:t>
      </w:r>
      <w:r w:rsidR="00A5320D">
        <w:rPr>
          <w:rFonts w:cs="Times New Roman"/>
          <w:szCs w:val="24"/>
        </w:rPr>
        <w:t>9</w:t>
      </w:r>
      <w:r w:rsidR="00091641" w:rsidRPr="000452C2">
        <w:rPr>
          <w:rFonts w:cs="Times New Roman"/>
          <w:szCs w:val="24"/>
        </w:rPr>
        <w:t>. </w:t>
      </w:r>
      <w:r w:rsidR="00A5320D">
        <w:rPr>
          <w:rFonts w:cs="Times New Roman"/>
          <w:szCs w:val="24"/>
        </w:rPr>
        <w:t>marta</w:t>
      </w:r>
      <w:r w:rsidR="00091641" w:rsidRPr="000452C2">
        <w:rPr>
          <w:rFonts w:cs="Times New Roman"/>
          <w:szCs w:val="24"/>
        </w:rPr>
        <w:t xml:space="preserve"> lēmumu daļā par apsūdzētajam </w:t>
      </w:r>
      <w:r w:rsidR="001903EC">
        <w:rPr>
          <w:rFonts w:cs="Times New Roman"/>
          <w:szCs w:val="24"/>
        </w:rPr>
        <w:t>[pers. A]</w:t>
      </w:r>
      <w:r w:rsidR="00A5320D" w:rsidRPr="000452C2">
        <w:rPr>
          <w:rFonts w:cs="Times New Roman"/>
          <w:szCs w:val="24"/>
        </w:rPr>
        <w:t xml:space="preserve"> </w:t>
      </w:r>
      <w:r w:rsidR="00091641" w:rsidRPr="000452C2">
        <w:rPr>
          <w:rFonts w:cs="Times New Roman"/>
          <w:szCs w:val="24"/>
        </w:rPr>
        <w:t>noteikto sodu</w:t>
      </w:r>
      <w:r w:rsidR="005E176C">
        <w:rPr>
          <w:rFonts w:cs="Times New Roman"/>
          <w:szCs w:val="24"/>
        </w:rPr>
        <w:t xml:space="preserve"> pēc Krimināllikuma 253.</w:t>
      </w:r>
      <w:r w:rsidR="005E176C" w:rsidRPr="001734CD">
        <w:rPr>
          <w:rFonts w:cs="Times New Roman"/>
          <w:szCs w:val="24"/>
          <w:vertAlign w:val="superscript"/>
        </w:rPr>
        <w:t>1</w:t>
      </w:r>
      <w:r w:rsidR="00875CE9">
        <w:rPr>
          <w:rFonts w:cs="Times New Roman"/>
          <w:szCs w:val="24"/>
          <w:vertAlign w:val="superscript"/>
        </w:rPr>
        <w:t> </w:t>
      </w:r>
      <w:r w:rsidR="005E176C">
        <w:rPr>
          <w:rFonts w:cs="Times New Roman"/>
          <w:szCs w:val="24"/>
        </w:rPr>
        <w:t>panta trešās daļas</w:t>
      </w:r>
      <w:r w:rsidR="00091641" w:rsidRPr="000452C2">
        <w:rPr>
          <w:rFonts w:cs="Times New Roman"/>
          <w:szCs w:val="24"/>
        </w:rPr>
        <w:t xml:space="preserve">; </w:t>
      </w:r>
    </w:p>
    <w:p w14:paraId="45F59810" w14:textId="77777777" w:rsidR="00A5320D" w:rsidRDefault="00A5320D" w:rsidP="006446AE">
      <w:pPr>
        <w:widowControl w:val="0"/>
        <w:spacing w:after="0" w:line="276" w:lineRule="auto"/>
        <w:ind w:firstLine="720"/>
        <w:jc w:val="both"/>
        <w:rPr>
          <w:rFonts w:cs="Times New Roman"/>
          <w:szCs w:val="24"/>
        </w:rPr>
      </w:pPr>
      <w:r>
        <w:rPr>
          <w:rFonts w:cs="Times New Roman"/>
          <w:szCs w:val="24"/>
        </w:rPr>
        <w:t xml:space="preserve">lietu </w:t>
      </w:r>
      <w:r w:rsidR="00091641" w:rsidRPr="000452C2">
        <w:rPr>
          <w:rFonts w:cs="Times New Roman"/>
          <w:szCs w:val="24"/>
        </w:rPr>
        <w:t xml:space="preserve">atceltajā daļā nosūtīt jaunai izskatīšanai </w:t>
      </w:r>
      <w:r>
        <w:rPr>
          <w:rFonts w:cs="Times New Roman"/>
          <w:szCs w:val="24"/>
        </w:rPr>
        <w:t>Rīgas</w:t>
      </w:r>
      <w:r w:rsidR="00091641" w:rsidRPr="000452C2">
        <w:rPr>
          <w:rFonts w:cs="Times New Roman"/>
          <w:szCs w:val="24"/>
        </w:rPr>
        <w:t xml:space="preserve"> apgabaltiesā</w:t>
      </w:r>
      <w:r>
        <w:rPr>
          <w:rFonts w:cs="Times New Roman"/>
          <w:szCs w:val="24"/>
        </w:rPr>
        <w:t>;</w:t>
      </w:r>
    </w:p>
    <w:p w14:paraId="23755636" w14:textId="0923B803" w:rsidR="00091641" w:rsidRPr="000452C2" w:rsidRDefault="00091641" w:rsidP="006446AE">
      <w:pPr>
        <w:widowControl w:val="0"/>
        <w:spacing w:after="0" w:line="276" w:lineRule="auto"/>
        <w:ind w:firstLine="720"/>
        <w:jc w:val="both"/>
        <w:rPr>
          <w:rFonts w:cs="Times New Roman"/>
          <w:szCs w:val="24"/>
        </w:rPr>
      </w:pPr>
      <w:r w:rsidRPr="000452C2">
        <w:rPr>
          <w:rFonts w:cs="Times New Roman"/>
          <w:szCs w:val="24"/>
        </w:rPr>
        <w:t xml:space="preserve">pārējā daļā </w:t>
      </w:r>
      <w:r w:rsidR="00A5320D">
        <w:rPr>
          <w:rFonts w:cs="Times New Roman"/>
          <w:szCs w:val="24"/>
        </w:rPr>
        <w:t>Rīgas apgabal</w:t>
      </w:r>
      <w:r w:rsidRPr="000452C2">
        <w:rPr>
          <w:rFonts w:cs="Times New Roman"/>
          <w:szCs w:val="24"/>
        </w:rPr>
        <w:t>tiesas</w:t>
      </w:r>
      <w:r w:rsidR="00A5320D">
        <w:rPr>
          <w:rFonts w:cs="Times New Roman"/>
          <w:szCs w:val="24"/>
        </w:rPr>
        <w:t xml:space="preserve"> </w:t>
      </w:r>
      <w:r w:rsidR="00A5320D" w:rsidRPr="000452C2">
        <w:rPr>
          <w:rFonts w:cs="Times New Roman"/>
          <w:szCs w:val="24"/>
        </w:rPr>
        <w:t>2025. gada 19. marta</w:t>
      </w:r>
      <w:r w:rsidRPr="000452C2">
        <w:rPr>
          <w:rFonts w:cs="Times New Roman"/>
          <w:szCs w:val="24"/>
        </w:rPr>
        <w:t xml:space="preserve"> lēmumu atstāt negrozītu;</w:t>
      </w:r>
    </w:p>
    <w:p w14:paraId="13B44E39" w14:textId="0246EE81" w:rsidR="00091641" w:rsidRPr="000452C2" w:rsidRDefault="006F5E03" w:rsidP="001903EC">
      <w:pPr>
        <w:widowControl w:val="0"/>
        <w:spacing w:after="0" w:line="276" w:lineRule="auto"/>
        <w:ind w:firstLine="720"/>
        <w:jc w:val="both"/>
        <w:rPr>
          <w:rFonts w:cs="Times New Roman"/>
          <w:szCs w:val="24"/>
        </w:rPr>
      </w:pPr>
      <w:r>
        <w:rPr>
          <w:rFonts w:cs="Times New Roman"/>
          <w:szCs w:val="24"/>
        </w:rPr>
        <w:t>turpināt</w:t>
      </w:r>
      <w:r w:rsidR="00091641" w:rsidRPr="000452C2">
        <w:rPr>
          <w:rFonts w:cs="Times New Roman"/>
          <w:szCs w:val="24"/>
        </w:rPr>
        <w:t xml:space="preserve"> </w:t>
      </w:r>
      <w:r w:rsidR="001903EC">
        <w:rPr>
          <w:rFonts w:cs="Times New Roman"/>
          <w:szCs w:val="24"/>
        </w:rPr>
        <w:t>[pers. A]</w:t>
      </w:r>
      <w:r w:rsidR="00091641" w:rsidRPr="000452C2">
        <w:rPr>
          <w:rFonts w:cs="Times New Roman"/>
          <w:szCs w:val="24"/>
        </w:rPr>
        <w:t xml:space="preserve"> piemērot drošības līdzekļus – </w:t>
      </w:r>
      <w:r>
        <w:rPr>
          <w:rFonts w:cs="Times New Roman"/>
          <w:szCs w:val="24"/>
        </w:rPr>
        <w:t>dzīvesvietas maiņas paz</w:t>
      </w:r>
      <w:r w:rsidR="00A5320D">
        <w:rPr>
          <w:rFonts w:cs="Times New Roman"/>
          <w:szCs w:val="24"/>
        </w:rPr>
        <w:t>iņ</w:t>
      </w:r>
      <w:r>
        <w:rPr>
          <w:rFonts w:cs="Times New Roman"/>
          <w:szCs w:val="24"/>
        </w:rPr>
        <w:t>ošanu</w:t>
      </w:r>
      <w:r w:rsidR="00091641" w:rsidRPr="000452C2">
        <w:rPr>
          <w:rFonts w:cs="Times New Roman"/>
          <w:szCs w:val="24"/>
        </w:rPr>
        <w:t xml:space="preserve"> un aizliegumu izbraukt no valsts.</w:t>
      </w:r>
    </w:p>
    <w:p w14:paraId="6D7BE2D7" w14:textId="77777777" w:rsidR="009A2AF8" w:rsidRDefault="009A2AF8" w:rsidP="00DC6118">
      <w:pPr>
        <w:widowControl w:val="0"/>
        <w:tabs>
          <w:tab w:val="left" w:pos="-3120"/>
        </w:tabs>
        <w:spacing w:after="0" w:line="276" w:lineRule="auto"/>
        <w:jc w:val="both"/>
        <w:rPr>
          <w:rFonts w:cs="Times New Roman"/>
          <w:color w:val="000000"/>
          <w:szCs w:val="24"/>
        </w:rPr>
      </w:pPr>
    </w:p>
    <w:p w14:paraId="1E3F39A9" w14:textId="76387293" w:rsidR="00EF7919" w:rsidRPr="001903EC" w:rsidRDefault="00BA55DF" w:rsidP="001903EC">
      <w:pPr>
        <w:widowControl w:val="0"/>
        <w:tabs>
          <w:tab w:val="left" w:pos="-3120"/>
        </w:tabs>
        <w:spacing w:after="0" w:line="276" w:lineRule="auto"/>
        <w:ind w:firstLine="720"/>
        <w:jc w:val="both"/>
        <w:rPr>
          <w:rFonts w:cs="Times New Roman"/>
          <w:color w:val="000000"/>
          <w:szCs w:val="24"/>
        </w:rPr>
      </w:pPr>
      <w:r w:rsidRPr="000452C2">
        <w:rPr>
          <w:rFonts w:cs="Times New Roman"/>
          <w:color w:val="000000"/>
          <w:szCs w:val="24"/>
        </w:rPr>
        <w:t>Lēmums nav pārsūdzams.</w:t>
      </w:r>
      <w:bookmarkEnd w:id="0"/>
    </w:p>
    <w:sectPr w:rsidR="00EF7919" w:rsidRPr="001903EC" w:rsidSect="006446AE">
      <w:footerReference w:type="default" r:id="rId18"/>
      <w:pgSz w:w="11906" w:h="16838" w:code="9"/>
      <w:pgMar w:top="1134" w:right="1701" w:bottom="1134" w:left="170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21A7" w14:textId="77777777" w:rsidR="00C04B5D" w:rsidRPr="000452C2" w:rsidRDefault="00C04B5D" w:rsidP="00EE3783">
      <w:pPr>
        <w:spacing w:after="0" w:line="240" w:lineRule="auto"/>
      </w:pPr>
      <w:r w:rsidRPr="000452C2">
        <w:separator/>
      </w:r>
    </w:p>
  </w:endnote>
  <w:endnote w:type="continuationSeparator" w:id="0">
    <w:p w14:paraId="0237BE4F" w14:textId="77777777" w:rsidR="00C04B5D" w:rsidRPr="000452C2" w:rsidRDefault="00C04B5D" w:rsidP="00EE3783">
      <w:pPr>
        <w:spacing w:after="0" w:line="240" w:lineRule="auto"/>
      </w:pPr>
      <w:r w:rsidRPr="000452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956732"/>
      <w:docPartObj>
        <w:docPartGallery w:val="Page Numbers (Bottom of Page)"/>
        <w:docPartUnique/>
      </w:docPartObj>
    </w:sdtPr>
    <w:sdtEndPr>
      <w:rPr>
        <w:szCs w:val="24"/>
      </w:rPr>
    </w:sdtEndPr>
    <w:sdtContent>
      <w:p w14:paraId="5E3FD88F" w14:textId="77777777" w:rsidR="00FF1E96" w:rsidRPr="000452C2" w:rsidRDefault="00C04B5D" w:rsidP="004045D9">
        <w:pPr>
          <w:pStyle w:val="Footer"/>
          <w:jc w:val="center"/>
          <w:rPr>
            <w:szCs w:val="24"/>
          </w:rPr>
        </w:pPr>
        <w:sdt>
          <w:sdtPr>
            <w:rPr>
              <w:sz w:val="20"/>
              <w:szCs w:val="20"/>
            </w:rPr>
            <w:id w:val="1728636285"/>
            <w:docPartObj>
              <w:docPartGallery w:val="Page Numbers (Top of Page)"/>
              <w:docPartUnique/>
            </w:docPartObj>
          </w:sdtPr>
          <w:sdtEndPr/>
          <w:sdtContent>
            <w:r w:rsidR="00FF1E96" w:rsidRPr="000452C2">
              <w:rPr>
                <w:sz w:val="20"/>
                <w:szCs w:val="20"/>
              </w:rPr>
              <w:fldChar w:fldCharType="begin"/>
            </w:r>
            <w:r w:rsidR="00FF1E96" w:rsidRPr="000452C2">
              <w:rPr>
                <w:sz w:val="20"/>
                <w:szCs w:val="20"/>
              </w:rPr>
              <w:instrText xml:space="preserve"> PAGE </w:instrText>
            </w:r>
            <w:r w:rsidR="00FF1E96" w:rsidRPr="000452C2">
              <w:rPr>
                <w:sz w:val="20"/>
                <w:szCs w:val="20"/>
              </w:rPr>
              <w:fldChar w:fldCharType="separate"/>
            </w:r>
            <w:r w:rsidR="00722A3B" w:rsidRPr="000452C2">
              <w:rPr>
                <w:sz w:val="20"/>
                <w:szCs w:val="20"/>
              </w:rPr>
              <w:t>1</w:t>
            </w:r>
            <w:r w:rsidR="00FF1E96" w:rsidRPr="000452C2">
              <w:rPr>
                <w:sz w:val="20"/>
                <w:szCs w:val="20"/>
              </w:rPr>
              <w:fldChar w:fldCharType="end"/>
            </w:r>
            <w:r w:rsidR="00FF1E96" w:rsidRPr="000452C2">
              <w:rPr>
                <w:sz w:val="20"/>
                <w:szCs w:val="20"/>
              </w:rPr>
              <w:t xml:space="preserve"> no </w:t>
            </w:r>
            <w:r w:rsidR="00FF1E96" w:rsidRPr="000452C2">
              <w:rPr>
                <w:sz w:val="20"/>
                <w:szCs w:val="20"/>
              </w:rPr>
              <w:fldChar w:fldCharType="begin"/>
            </w:r>
            <w:r w:rsidR="00FF1E96" w:rsidRPr="000452C2">
              <w:rPr>
                <w:sz w:val="20"/>
                <w:szCs w:val="20"/>
              </w:rPr>
              <w:instrText xml:space="preserve"> NUMPAGES  </w:instrText>
            </w:r>
            <w:r w:rsidR="00FF1E96" w:rsidRPr="000452C2">
              <w:rPr>
                <w:sz w:val="20"/>
                <w:szCs w:val="20"/>
              </w:rPr>
              <w:fldChar w:fldCharType="separate"/>
            </w:r>
            <w:r w:rsidR="00722A3B" w:rsidRPr="000452C2">
              <w:rPr>
                <w:sz w:val="20"/>
                <w:szCs w:val="20"/>
              </w:rPr>
              <w:t>7</w:t>
            </w:r>
            <w:r w:rsidR="00FF1E96" w:rsidRPr="000452C2">
              <w:rPr>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C5BBC" w14:textId="77777777" w:rsidR="00C04B5D" w:rsidRPr="000452C2" w:rsidRDefault="00C04B5D" w:rsidP="00EE3783">
      <w:pPr>
        <w:spacing w:after="0" w:line="240" w:lineRule="auto"/>
      </w:pPr>
      <w:r w:rsidRPr="000452C2">
        <w:separator/>
      </w:r>
    </w:p>
  </w:footnote>
  <w:footnote w:type="continuationSeparator" w:id="0">
    <w:p w14:paraId="29FF81A0" w14:textId="77777777" w:rsidR="00C04B5D" w:rsidRPr="000452C2" w:rsidRDefault="00C04B5D" w:rsidP="00EE3783">
      <w:pPr>
        <w:spacing w:after="0" w:line="240" w:lineRule="auto"/>
      </w:pPr>
      <w:r w:rsidRPr="000452C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7203"/>
    <w:multiLevelType w:val="multilevel"/>
    <w:tmpl w:val="7EF4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2312B"/>
    <w:multiLevelType w:val="hybridMultilevel"/>
    <w:tmpl w:val="728023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BF362D7"/>
    <w:multiLevelType w:val="multilevel"/>
    <w:tmpl w:val="404A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11439"/>
    <w:multiLevelType w:val="hybridMultilevel"/>
    <w:tmpl w:val="6CF8F4C8"/>
    <w:lvl w:ilvl="0" w:tplc="74C06D9C">
      <w:start w:val="1"/>
      <w:numFmt w:val="decimal"/>
      <w:lvlText w:val="%1)"/>
      <w:lvlJc w:val="left"/>
      <w:pPr>
        <w:ind w:left="1080" w:hanging="360"/>
      </w:pPr>
      <w:rPr>
        <w:rFonts w:ascii="Times New Roman" w:hAnsi="Times New Roman"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535C4B"/>
    <w:multiLevelType w:val="multilevel"/>
    <w:tmpl w:val="EDBC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9F67CD"/>
    <w:multiLevelType w:val="hybridMultilevel"/>
    <w:tmpl w:val="E8989CFE"/>
    <w:lvl w:ilvl="0" w:tplc="32BE1FBC">
      <w:start w:val="1"/>
      <w:numFmt w:val="bullet"/>
      <w:lvlText w:val=""/>
      <w:lvlJc w:val="left"/>
      <w:pPr>
        <w:ind w:left="1080" w:hanging="360"/>
      </w:pPr>
      <w:rPr>
        <w:rFonts w:ascii="Symbol" w:hAnsi="Symbol"/>
      </w:rPr>
    </w:lvl>
    <w:lvl w:ilvl="1" w:tplc="CF826A2E">
      <w:start w:val="1"/>
      <w:numFmt w:val="bullet"/>
      <w:lvlText w:val=""/>
      <w:lvlJc w:val="left"/>
      <w:pPr>
        <w:ind w:left="1080" w:hanging="360"/>
      </w:pPr>
      <w:rPr>
        <w:rFonts w:ascii="Symbol" w:hAnsi="Symbol"/>
      </w:rPr>
    </w:lvl>
    <w:lvl w:ilvl="2" w:tplc="FBB4C802">
      <w:start w:val="1"/>
      <w:numFmt w:val="bullet"/>
      <w:lvlText w:val=""/>
      <w:lvlJc w:val="left"/>
      <w:pPr>
        <w:ind w:left="1080" w:hanging="360"/>
      </w:pPr>
      <w:rPr>
        <w:rFonts w:ascii="Symbol" w:hAnsi="Symbol"/>
      </w:rPr>
    </w:lvl>
    <w:lvl w:ilvl="3" w:tplc="68341AB2">
      <w:start w:val="1"/>
      <w:numFmt w:val="bullet"/>
      <w:lvlText w:val=""/>
      <w:lvlJc w:val="left"/>
      <w:pPr>
        <w:ind w:left="1080" w:hanging="360"/>
      </w:pPr>
      <w:rPr>
        <w:rFonts w:ascii="Symbol" w:hAnsi="Symbol"/>
      </w:rPr>
    </w:lvl>
    <w:lvl w:ilvl="4" w:tplc="700C0BD8">
      <w:start w:val="1"/>
      <w:numFmt w:val="bullet"/>
      <w:lvlText w:val=""/>
      <w:lvlJc w:val="left"/>
      <w:pPr>
        <w:ind w:left="1080" w:hanging="360"/>
      </w:pPr>
      <w:rPr>
        <w:rFonts w:ascii="Symbol" w:hAnsi="Symbol"/>
      </w:rPr>
    </w:lvl>
    <w:lvl w:ilvl="5" w:tplc="A11A1110">
      <w:start w:val="1"/>
      <w:numFmt w:val="bullet"/>
      <w:lvlText w:val=""/>
      <w:lvlJc w:val="left"/>
      <w:pPr>
        <w:ind w:left="1080" w:hanging="360"/>
      </w:pPr>
      <w:rPr>
        <w:rFonts w:ascii="Symbol" w:hAnsi="Symbol"/>
      </w:rPr>
    </w:lvl>
    <w:lvl w:ilvl="6" w:tplc="13EE0882">
      <w:start w:val="1"/>
      <w:numFmt w:val="bullet"/>
      <w:lvlText w:val=""/>
      <w:lvlJc w:val="left"/>
      <w:pPr>
        <w:ind w:left="1080" w:hanging="360"/>
      </w:pPr>
      <w:rPr>
        <w:rFonts w:ascii="Symbol" w:hAnsi="Symbol"/>
      </w:rPr>
    </w:lvl>
    <w:lvl w:ilvl="7" w:tplc="B79C8D18">
      <w:start w:val="1"/>
      <w:numFmt w:val="bullet"/>
      <w:lvlText w:val=""/>
      <w:lvlJc w:val="left"/>
      <w:pPr>
        <w:ind w:left="1080" w:hanging="360"/>
      </w:pPr>
      <w:rPr>
        <w:rFonts w:ascii="Symbol" w:hAnsi="Symbol"/>
      </w:rPr>
    </w:lvl>
    <w:lvl w:ilvl="8" w:tplc="4B64B512">
      <w:start w:val="1"/>
      <w:numFmt w:val="bullet"/>
      <w:lvlText w:val=""/>
      <w:lvlJc w:val="left"/>
      <w:pPr>
        <w:ind w:left="1080" w:hanging="360"/>
      </w:pPr>
      <w:rPr>
        <w:rFonts w:ascii="Symbol" w:hAnsi="Symbol"/>
      </w:rPr>
    </w:lvl>
  </w:abstractNum>
  <w:abstractNum w:abstractNumId="6" w15:restartNumberingAfterBreak="0">
    <w:nsid w:val="2E43027F"/>
    <w:multiLevelType w:val="hybridMultilevel"/>
    <w:tmpl w:val="EC74DE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411285C"/>
    <w:multiLevelType w:val="hybridMultilevel"/>
    <w:tmpl w:val="00B8E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A4652A"/>
    <w:multiLevelType w:val="hybridMultilevel"/>
    <w:tmpl w:val="728023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DD410DC"/>
    <w:multiLevelType w:val="multilevel"/>
    <w:tmpl w:val="BE86A6DC"/>
    <w:lvl w:ilvl="0">
      <w:start w:val="1"/>
      <w:numFmt w:val="decimal"/>
      <w:lvlText w:val="%1."/>
      <w:lvlJc w:val="left"/>
      <w:pPr>
        <w:ind w:left="927" w:hanging="360"/>
      </w:pPr>
      <w:rPr>
        <w:rFonts w:hint="default"/>
        <w:color w:val="auto"/>
      </w:rPr>
    </w:lvl>
    <w:lvl w:ilvl="1">
      <w:start w:val="1"/>
      <w:numFmt w:val="decimal"/>
      <w:isLgl/>
      <w:lvlText w:val="%1.%2."/>
      <w:lvlJc w:val="left"/>
      <w:pPr>
        <w:ind w:left="7241"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4EA43A79"/>
    <w:multiLevelType w:val="hybridMultilevel"/>
    <w:tmpl w:val="728023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24739A9"/>
    <w:multiLevelType w:val="hybridMultilevel"/>
    <w:tmpl w:val="9BF45D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A8703CA"/>
    <w:multiLevelType w:val="hybridMultilevel"/>
    <w:tmpl w:val="72802354"/>
    <w:lvl w:ilvl="0" w:tplc="2B8E58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7D502B"/>
    <w:multiLevelType w:val="hybridMultilevel"/>
    <w:tmpl w:val="728023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1EB035B"/>
    <w:multiLevelType w:val="hybridMultilevel"/>
    <w:tmpl w:val="728023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59C2030"/>
    <w:multiLevelType w:val="hybridMultilevel"/>
    <w:tmpl w:val="728023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D810789"/>
    <w:multiLevelType w:val="hybridMultilevel"/>
    <w:tmpl w:val="70C6FC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38472330">
    <w:abstractNumId w:val="9"/>
  </w:num>
  <w:num w:numId="2" w16cid:durableId="1445419076">
    <w:abstractNumId w:val="16"/>
  </w:num>
  <w:num w:numId="3" w16cid:durableId="425158373">
    <w:abstractNumId w:val="7"/>
  </w:num>
  <w:num w:numId="4" w16cid:durableId="350643632">
    <w:abstractNumId w:val="6"/>
  </w:num>
  <w:num w:numId="5" w16cid:durableId="158232044">
    <w:abstractNumId w:val="11"/>
  </w:num>
  <w:num w:numId="6" w16cid:durableId="70735205">
    <w:abstractNumId w:val="3"/>
  </w:num>
  <w:num w:numId="7" w16cid:durableId="1207836857">
    <w:abstractNumId w:val="12"/>
  </w:num>
  <w:num w:numId="8" w16cid:durableId="1797063097">
    <w:abstractNumId w:val="10"/>
  </w:num>
  <w:num w:numId="9" w16cid:durableId="1212308999">
    <w:abstractNumId w:val="8"/>
  </w:num>
  <w:num w:numId="10" w16cid:durableId="1615286502">
    <w:abstractNumId w:val="14"/>
  </w:num>
  <w:num w:numId="11" w16cid:durableId="1424566572">
    <w:abstractNumId w:val="13"/>
  </w:num>
  <w:num w:numId="12" w16cid:durableId="351732630">
    <w:abstractNumId w:val="15"/>
  </w:num>
  <w:num w:numId="13" w16cid:durableId="1924336154">
    <w:abstractNumId w:val="1"/>
  </w:num>
  <w:num w:numId="14" w16cid:durableId="1878465521">
    <w:abstractNumId w:val="5"/>
  </w:num>
  <w:num w:numId="15" w16cid:durableId="1619994002">
    <w:abstractNumId w:val="2"/>
  </w:num>
  <w:num w:numId="16" w16cid:durableId="386687758">
    <w:abstractNumId w:val="4"/>
  </w:num>
  <w:num w:numId="17" w16cid:durableId="84110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DF"/>
    <w:rsid w:val="000007C6"/>
    <w:rsid w:val="00000B73"/>
    <w:rsid w:val="0000172B"/>
    <w:rsid w:val="0000186F"/>
    <w:rsid w:val="00002A91"/>
    <w:rsid w:val="000030AA"/>
    <w:rsid w:val="00005229"/>
    <w:rsid w:val="00005C3B"/>
    <w:rsid w:val="00005E48"/>
    <w:rsid w:val="00005F4B"/>
    <w:rsid w:val="000070EE"/>
    <w:rsid w:val="00007BAC"/>
    <w:rsid w:val="00007DAA"/>
    <w:rsid w:val="00007EB0"/>
    <w:rsid w:val="00010B8C"/>
    <w:rsid w:val="0001260D"/>
    <w:rsid w:val="0001283C"/>
    <w:rsid w:val="00013A02"/>
    <w:rsid w:val="00014898"/>
    <w:rsid w:val="000160B6"/>
    <w:rsid w:val="000160F6"/>
    <w:rsid w:val="00016836"/>
    <w:rsid w:val="0002073C"/>
    <w:rsid w:val="00020BD4"/>
    <w:rsid w:val="00022BD7"/>
    <w:rsid w:val="000239AA"/>
    <w:rsid w:val="0002459C"/>
    <w:rsid w:val="00024CCE"/>
    <w:rsid w:val="00025600"/>
    <w:rsid w:val="00025ABA"/>
    <w:rsid w:val="00025AFA"/>
    <w:rsid w:val="0002676C"/>
    <w:rsid w:val="00026881"/>
    <w:rsid w:val="000268E2"/>
    <w:rsid w:val="00030026"/>
    <w:rsid w:val="00030370"/>
    <w:rsid w:val="000312C9"/>
    <w:rsid w:val="00031BA8"/>
    <w:rsid w:val="000345E4"/>
    <w:rsid w:val="000348B0"/>
    <w:rsid w:val="00035871"/>
    <w:rsid w:val="000369A0"/>
    <w:rsid w:val="00036C1B"/>
    <w:rsid w:val="0003721C"/>
    <w:rsid w:val="00037877"/>
    <w:rsid w:val="00040116"/>
    <w:rsid w:val="000402CB"/>
    <w:rsid w:val="00040F88"/>
    <w:rsid w:val="000418E8"/>
    <w:rsid w:val="00041E2A"/>
    <w:rsid w:val="00041E4C"/>
    <w:rsid w:val="00041E5D"/>
    <w:rsid w:val="0004279A"/>
    <w:rsid w:val="00043602"/>
    <w:rsid w:val="0004401F"/>
    <w:rsid w:val="00044057"/>
    <w:rsid w:val="00044CA9"/>
    <w:rsid w:val="000452C2"/>
    <w:rsid w:val="0004581F"/>
    <w:rsid w:val="00046072"/>
    <w:rsid w:val="00046547"/>
    <w:rsid w:val="00046757"/>
    <w:rsid w:val="00046FC0"/>
    <w:rsid w:val="000477C6"/>
    <w:rsid w:val="0005079E"/>
    <w:rsid w:val="0005149E"/>
    <w:rsid w:val="00051ECB"/>
    <w:rsid w:val="000528AF"/>
    <w:rsid w:val="00052DF4"/>
    <w:rsid w:val="00052F50"/>
    <w:rsid w:val="00054629"/>
    <w:rsid w:val="000555B2"/>
    <w:rsid w:val="0005574C"/>
    <w:rsid w:val="0005606F"/>
    <w:rsid w:val="00056584"/>
    <w:rsid w:val="0005688D"/>
    <w:rsid w:val="000576E0"/>
    <w:rsid w:val="00057FDC"/>
    <w:rsid w:val="000613B3"/>
    <w:rsid w:val="00061F0A"/>
    <w:rsid w:val="00062466"/>
    <w:rsid w:val="0006283D"/>
    <w:rsid w:val="00063E07"/>
    <w:rsid w:val="00064ACC"/>
    <w:rsid w:val="000657C7"/>
    <w:rsid w:val="00065D4F"/>
    <w:rsid w:val="0006627F"/>
    <w:rsid w:val="00066FF3"/>
    <w:rsid w:val="00067A62"/>
    <w:rsid w:val="00070C6B"/>
    <w:rsid w:val="00070F57"/>
    <w:rsid w:val="00072695"/>
    <w:rsid w:val="000726B9"/>
    <w:rsid w:val="00073AA6"/>
    <w:rsid w:val="00075218"/>
    <w:rsid w:val="00075734"/>
    <w:rsid w:val="000758E8"/>
    <w:rsid w:val="00075CE9"/>
    <w:rsid w:val="00075FD9"/>
    <w:rsid w:val="00076CF9"/>
    <w:rsid w:val="000809D0"/>
    <w:rsid w:val="00080A4C"/>
    <w:rsid w:val="00080D86"/>
    <w:rsid w:val="0008147D"/>
    <w:rsid w:val="00085ACB"/>
    <w:rsid w:val="0008707B"/>
    <w:rsid w:val="0008771B"/>
    <w:rsid w:val="00087C01"/>
    <w:rsid w:val="00087DAB"/>
    <w:rsid w:val="0009001F"/>
    <w:rsid w:val="00090860"/>
    <w:rsid w:val="00091641"/>
    <w:rsid w:val="00091E69"/>
    <w:rsid w:val="00091F7F"/>
    <w:rsid w:val="000928B8"/>
    <w:rsid w:val="00092B64"/>
    <w:rsid w:val="0009362A"/>
    <w:rsid w:val="00095E64"/>
    <w:rsid w:val="00096007"/>
    <w:rsid w:val="00096110"/>
    <w:rsid w:val="000966BB"/>
    <w:rsid w:val="000978FE"/>
    <w:rsid w:val="000A0143"/>
    <w:rsid w:val="000A029B"/>
    <w:rsid w:val="000A1313"/>
    <w:rsid w:val="000A2D02"/>
    <w:rsid w:val="000A2D49"/>
    <w:rsid w:val="000A3DDF"/>
    <w:rsid w:val="000A4838"/>
    <w:rsid w:val="000A4EE3"/>
    <w:rsid w:val="000A51AF"/>
    <w:rsid w:val="000A58B9"/>
    <w:rsid w:val="000A653E"/>
    <w:rsid w:val="000A768E"/>
    <w:rsid w:val="000B0ED8"/>
    <w:rsid w:val="000B185E"/>
    <w:rsid w:val="000B1F17"/>
    <w:rsid w:val="000B2D89"/>
    <w:rsid w:val="000B35C2"/>
    <w:rsid w:val="000B3613"/>
    <w:rsid w:val="000B4A44"/>
    <w:rsid w:val="000B4AFC"/>
    <w:rsid w:val="000B56FA"/>
    <w:rsid w:val="000B67B0"/>
    <w:rsid w:val="000B6D67"/>
    <w:rsid w:val="000B7591"/>
    <w:rsid w:val="000B7619"/>
    <w:rsid w:val="000C0E8F"/>
    <w:rsid w:val="000C0F0E"/>
    <w:rsid w:val="000C19E0"/>
    <w:rsid w:val="000C1AB5"/>
    <w:rsid w:val="000C3603"/>
    <w:rsid w:val="000C4FBA"/>
    <w:rsid w:val="000C593E"/>
    <w:rsid w:val="000C68FE"/>
    <w:rsid w:val="000C6BF7"/>
    <w:rsid w:val="000C6C79"/>
    <w:rsid w:val="000C701F"/>
    <w:rsid w:val="000C749B"/>
    <w:rsid w:val="000C7658"/>
    <w:rsid w:val="000C7819"/>
    <w:rsid w:val="000C7C39"/>
    <w:rsid w:val="000D1FE4"/>
    <w:rsid w:val="000D2F13"/>
    <w:rsid w:val="000D339E"/>
    <w:rsid w:val="000D44CA"/>
    <w:rsid w:val="000D5343"/>
    <w:rsid w:val="000D6756"/>
    <w:rsid w:val="000D6907"/>
    <w:rsid w:val="000D6B1D"/>
    <w:rsid w:val="000D6D2B"/>
    <w:rsid w:val="000E1A9C"/>
    <w:rsid w:val="000E1DA8"/>
    <w:rsid w:val="000E2643"/>
    <w:rsid w:val="000E28FF"/>
    <w:rsid w:val="000E4118"/>
    <w:rsid w:val="000E466D"/>
    <w:rsid w:val="000E4B53"/>
    <w:rsid w:val="000E4FA5"/>
    <w:rsid w:val="000E5381"/>
    <w:rsid w:val="000E6358"/>
    <w:rsid w:val="000E6595"/>
    <w:rsid w:val="000E6A3D"/>
    <w:rsid w:val="000E6CCA"/>
    <w:rsid w:val="000E7228"/>
    <w:rsid w:val="000E7A57"/>
    <w:rsid w:val="000F0388"/>
    <w:rsid w:val="000F24BA"/>
    <w:rsid w:val="000F3A71"/>
    <w:rsid w:val="000F4F90"/>
    <w:rsid w:val="000F613E"/>
    <w:rsid w:val="000F61F5"/>
    <w:rsid w:val="000F6FD6"/>
    <w:rsid w:val="00100F91"/>
    <w:rsid w:val="001029EE"/>
    <w:rsid w:val="00102A5C"/>
    <w:rsid w:val="00102E49"/>
    <w:rsid w:val="001032C9"/>
    <w:rsid w:val="00103D10"/>
    <w:rsid w:val="00103EFF"/>
    <w:rsid w:val="00104307"/>
    <w:rsid w:val="00105312"/>
    <w:rsid w:val="00106710"/>
    <w:rsid w:val="00110651"/>
    <w:rsid w:val="00110811"/>
    <w:rsid w:val="00111025"/>
    <w:rsid w:val="00111C2D"/>
    <w:rsid w:val="0011315C"/>
    <w:rsid w:val="001141F7"/>
    <w:rsid w:val="001147D1"/>
    <w:rsid w:val="001148E0"/>
    <w:rsid w:val="00114A23"/>
    <w:rsid w:val="00114C35"/>
    <w:rsid w:val="00115BF9"/>
    <w:rsid w:val="001176B1"/>
    <w:rsid w:val="00120601"/>
    <w:rsid w:val="001213C5"/>
    <w:rsid w:val="0012233F"/>
    <w:rsid w:val="00123459"/>
    <w:rsid w:val="00124E8B"/>
    <w:rsid w:val="0012526B"/>
    <w:rsid w:val="00125627"/>
    <w:rsid w:val="001269CC"/>
    <w:rsid w:val="00127DC0"/>
    <w:rsid w:val="00130AB7"/>
    <w:rsid w:val="00130AF9"/>
    <w:rsid w:val="00130BB6"/>
    <w:rsid w:val="001315DA"/>
    <w:rsid w:val="00131B74"/>
    <w:rsid w:val="00131CF9"/>
    <w:rsid w:val="00132779"/>
    <w:rsid w:val="00133479"/>
    <w:rsid w:val="001335CE"/>
    <w:rsid w:val="00134823"/>
    <w:rsid w:val="00135573"/>
    <w:rsid w:val="00136606"/>
    <w:rsid w:val="00137B0C"/>
    <w:rsid w:val="00137B31"/>
    <w:rsid w:val="00137FF9"/>
    <w:rsid w:val="00140495"/>
    <w:rsid w:val="001413B0"/>
    <w:rsid w:val="00141FC9"/>
    <w:rsid w:val="00142137"/>
    <w:rsid w:val="00142DAE"/>
    <w:rsid w:val="001434D0"/>
    <w:rsid w:val="00143B4A"/>
    <w:rsid w:val="00143EC3"/>
    <w:rsid w:val="0014407D"/>
    <w:rsid w:val="00144A9C"/>
    <w:rsid w:val="00145150"/>
    <w:rsid w:val="0014544D"/>
    <w:rsid w:val="00145E31"/>
    <w:rsid w:val="00146E19"/>
    <w:rsid w:val="00147013"/>
    <w:rsid w:val="001472DF"/>
    <w:rsid w:val="00147EDC"/>
    <w:rsid w:val="001503B8"/>
    <w:rsid w:val="00150697"/>
    <w:rsid w:val="00150845"/>
    <w:rsid w:val="00150A05"/>
    <w:rsid w:val="00150C42"/>
    <w:rsid w:val="0015175C"/>
    <w:rsid w:val="001517C5"/>
    <w:rsid w:val="001517D9"/>
    <w:rsid w:val="00152CBB"/>
    <w:rsid w:val="00153153"/>
    <w:rsid w:val="00153B13"/>
    <w:rsid w:val="00154411"/>
    <w:rsid w:val="001553DC"/>
    <w:rsid w:val="00155AF1"/>
    <w:rsid w:val="00155DAC"/>
    <w:rsid w:val="00155EDF"/>
    <w:rsid w:val="0015682D"/>
    <w:rsid w:val="0016002D"/>
    <w:rsid w:val="00160046"/>
    <w:rsid w:val="001601DC"/>
    <w:rsid w:val="00161A8D"/>
    <w:rsid w:val="001626C6"/>
    <w:rsid w:val="001626CC"/>
    <w:rsid w:val="001633A7"/>
    <w:rsid w:val="0016434B"/>
    <w:rsid w:val="001643BC"/>
    <w:rsid w:val="00165A5C"/>
    <w:rsid w:val="0016643A"/>
    <w:rsid w:val="00167198"/>
    <w:rsid w:val="001714E5"/>
    <w:rsid w:val="001717F2"/>
    <w:rsid w:val="00171C2A"/>
    <w:rsid w:val="00172069"/>
    <w:rsid w:val="00172ABE"/>
    <w:rsid w:val="001733D7"/>
    <w:rsid w:val="001734B9"/>
    <w:rsid w:val="001734CD"/>
    <w:rsid w:val="0017391B"/>
    <w:rsid w:val="00173C2F"/>
    <w:rsid w:val="0017446C"/>
    <w:rsid w:val="00176CC2"/>
    <w:rsid w:val="001778BF"/>
    <w:rsid w:val="00177D06"/>
    <w:rsid w:val="00177E3A"/>
    <w:rsid w:val="00182CD3"/>
    <w:rsid w:val="00183C7F"/>
    <w:rsid w:val="001840BA"/>
    <w:rsid w:val="001849D1"/>
    <w:rsid w:val="00184E1F"/>
    <w:rsid w:val="00185A95"/>
    <w:rsid w:val="00186592"/>
    <w:rsid w:val="00187AF3"/>
    <w:rsid w:val="00187DDD"/>
    <w:rsid w:val="00190085"/>
    <w:rsid w:val="001903EC"/>
    <w:rsid w:val="001907E6"/>
    <w:rsid w:val="0019131A"/>
    <w:rsid w:val="0019239F"/>
    <w:rsid w:val="001924FA"/>
    <w:rsid w:val="00192643"/>
    <w:rsid w:val="00193011"/>
    <w:rsid w:val="00193778"/>
    <w:rsid w:val="00193CB0"/>
    <w:rsid w:val="00193D41"/>
    <w:rsid w:val="00194FA1"/>
    <w:rsid w:val="00195455"/>
    <w:rsid w:val="00196103"/>
    <w:rsid w:val="00196546"/>
    <w:rsid w:val="001969CF"/>
    <w:rsid w:val="00197448"/>
    <w:rsid w:val="00197C8B"/>
    <w:rsid w:val="00197FE9"/>
    <w:rsid w:val="001A017E"/>
    <w:rsid w:val="001A0D77"/>
    <w:rsid w:val="001A1D87"/>
    <w:rsid w:val="001A2878"/>
    <w:rsid w:val="001A2F3B"/>
    <w:rsid w:val="001A44F9"/>
    <w:rsid w:val="001A45D8"/>
    <w:rsid w:val="001A4E4F"/>
    <w:rsid w:val="001A4FCA"/>
    <w:rsid w:val="001A57B6"/>
    <w:rsid w:val="001A5E36"/>
    <w:rsid w:val="001A5E94"/>
    <w:rsid w:val="001A61B4"/>
    <w:rsid w:val="001B0EFE"/>
    <w:rsid w:val="001B1329"/>
    <w:rsid w:val="001B1FA3"/>
    <w:rsid w:val="001B3434"/>
    <w:rsid w:val="001B3F17"/>
    <w:rsid w:val="001B42B2"/>
    <w:rsid w:val="001B4BCE"/>
    <w:rsid w:val="001B4DEF"/>
    <w:rsid w:val="001B4F7E"/>
    <w:rsid w:val="001B4F9B"/>
    <w:rsid w:val="001B5140"/>
    <w:rsid w:val="001B56F5"/>
    <w:rsid w:val="001B5C5F"/>
    <w:rsid w:val="001B642A"/>
    <w:rsid w:val="001B6EF2"/>
    <w:rsid w:val="001B768B"/>
    <w:rsid w:val="001B77A6"/>
    <w:rsid w:val="001C10AF"/>
    <w:rsid w:val="001C16EF"/>
    <w:rsid w:val="001C19FE"/>
    <w:rsid w:val="001C2194"/>
    <w:rsid w:val="001C2277"/>
    <w:rsid w:val="001C2372"/>
    <w:rsid w:val="001C2553"/>
    <w:rsid w:val="001C37BA"/>
    <w:rsid w:val="001C3FD8"/>
    <w:rsid w:val="001C4822"/>
    <w:rsid w:val="001C4B93"/>
    <w:rsid w:val="001C4C46"/>
    <w:rsid w:val="001C5225"/>
    <w:rsid w:val="001C62E3"/>
    <w:rsid w:val="001C6D67"/>
    <w:rsid w:val="001D0DC2"/>
    <w:rsid w:val="001D0DE5"/>
    <w:rsid w:val="001D1005"/>
    <w:rsid w:val="001D162D"/>
    <w:rsid w:val="001D1A51"/>
    <w:rsid w:val="001D1A69"/>
    <w:rsid w:val="001D1A83"/>
    <w:rsid w:val="001D1FE2"/>
    <w:rsid w:val="001D287E"/>
    <w:rsid w:val="001D3169"/>
    <w:rsid w:val="001D336D"/>
    <w:rsid w:val="001D3492"/>
    <w:rsid w:val="001D3562"/>
    <w:rsid w:val="001D3FD2"/>
    <w:rsid w:val="001D4EB2"/>
    <w:rsid w:val="001D592A"/>
    <w:rsid w:val="001D6268"/>
    <w:rsid w:val="001D64C9"/>
    <w:rsid w:val="001D6C67"/>
    <w:rsid w:val="001D7092"/>
    <w:rsid w:val="001D7981"/>
    <w:rsid w:val="001D79F9"/>
    <w:rsid w:val="001E0986"/>
    <w:rsid w:val="001E194B"/>
    <w:rsid w:val="001E1ABF"/>
    <w:rsid w:val="001E20BF"/>
    <w:rsid w:val="001E2326"/>
    <w:rsid w:val="001E2D79"/>
    <w:rsid w:val="001E2D82"/>
    <w:rsid w:val="001E307B"/>
    <w:rsid w:val="001E5F70"/>
    <w:rsid w:val="001E6DC4"/>
    <w:rsid w:val="001E7D91"/>
    <w:rsid w:val="001F0844"/>
    <w:rsid w:val="001F09B3"/>
    <w:rsid w:val="001F0B61"/>
    <w:rsid w:val="001F21DC"/>
    <w:rsid w:val="001F223C"/>
    <w:rsid w:val="001F2BF3"/>
    <w:rsid w:val="001F3373"/>
    <w:rsid w:val="001F3772"/>
    <w:rsid w:val="001F3948"/>
    <w:rsid w:val="001F3C70"/>
    <w:rsid w:val="001F54E1"/>
    <w:rsid w:val="001F5A04"/>
    <w:rsid w:val="001F5A50"/>
    <w:rsid w:val="001F5BFD"/>
    <w:rsid w:val="001F5E62"/>
    <w:rsid w:val="001F61B7"/>
    <w:rsid w:val="001F6254"/>
    <w:rsid w:val="001F62F0"/>
    <w:rsid w:val="001F69AF"/>
    <w:rsid w:val="001F7582"/>
    <w:rsid w:val="001F7710"/>
    <w:rsid w:val="00201EA7"/>
    <w:rsid w:val="00202D43"/>
    <w:rsid w:val="002032A9"/>
    <w:rsid w:val="002033C6"/>
    <w:rsid w:val="002047F9"/>
    <w:rsid w:val="00204A79"/>
    <w:rsid w:val="0020627A"/>
    <w:rsid w:val="00207454"/>
    <w:rsid w:val="002076BB"/>
    <w:rsid w:val="002103A9"/>
    <w:rsid w:val="00212289"/>
    <w:rsid w:val="002130FD"/>
    <w:rsid w:val="00213282"/>
    <w:rsid w:val="002151B5"/>
    <w:rsid w:val="00215375"/>
    <w:rsid w:val="00215736"/>
    <w:rsid w:val="00220004"/>
    <w:rsid w:val="002208F7"/>
    <w:rsid w:val="00222414"/>
    <w:rsid w:val="002237DF"/>
    <w:rsid w:val="00223BB4"/>
    <w:rsid w:val="002246D4"/>
    <w:rsid w:val="00225E78"/>
    <w:rsid w:val="00226460"/>
    <w:rsid w:val="002265B6"/>
    <w:rsid w:val="002268F7"/>
    <w:rsid w:val="00226D71"/>
    <w:rsid w:val="00230645"/>
    <w:rsid w:val="00230D1E"/>
    <w:rsid w:val="00231C3D"/>
    <w:rsid w:val="00231FFB"/>
    <w:rsid w:val="0023206D"/>
    <w:rsid w:val="00232287"/>
    <w:rsid w:val="00233272"/>
    <w:rsid w:val="002332A6"/>
    <w:rsid w:val="002333D3"/>
    <w:rsid w:val="0023465A"/>
    <w:rsid w:val="00234D5D"/>
    <w:rsid w:val="00234D9F"/>
    <w:rsid w:val="002351A5"/>
    <w:rsid w:val="00235D03"/>
    <w:rsid w:val="002361CD"/>
    <w:rsid w:val="002362CD"/>
    <w:rsid w:val="002367E2"/>
    <w:rsid w:val="00236972"/>
    <w:rsid w:val="00237DD3"/>
    <w:rsid w:val="0024025D"/>
    <w:rsid w:val="002417B9"/>
    <w:rsid w:val="002424F7"/>
    <w:rsid w:val="002429DA"/>
    <w:rsid w:val="00243161"/>
    <w:rsid w:val="00245A3F"/>
    <w:rsid w:val="00246C7E"/>
    <w:rsid w:val="00246E0B"/>
    <w:rsid w:val="00247C9E"/>
    <w:rsid w:val="00250050"/>
    <w:rsid w:val="0025141D"/>
    <w:rsid w:val="0025146E"/>
    <w:rsid w:val="002519B5"/>
    <w:rsid w:val="0025239D"/>
    <w:rsid w:val="00253100"/>
    <w:rsid w:val="0025413E"/>
    <w:rsid w:val="00254238"/>
    <w:rsid w:val="002545DD"/>
    <w:rsid w:val="00254673"/>
    <w:rsid w:val="0025600F"/>
    <w:rsid w:val="00260030"/>
    <w:rsid w:val="00260D1A"/>
    <w:rsid w:val="002612F9"/>
    <w:rsid w:val="00261331"/>
    <w:rsid w:val="002613C2"/>
    <w:rsid w:val="002616C8"/>
    <w:rsid w:val="002626F3"/>
    <w:rsid w:val="0026296D"/>
    <w:rsid w:val="002632FA"/>
    <w:rsid w:val="002645F4"/>
    <w:rsid w:val="00264626"/>
    <w:rsid w:val="00264CB0"/>
    <w:rsid w:val="002666BD"/>
    <w:rsid w:val="00266868"/>
    <w:rsid w:val="002677E6"/>
    <w:rsid w:val="002701F5"/>
    <w:rsid w:val="00270941"/>
    <w:rsid w:val="00270BC4"/>
    <w:rsid w:val="0027185C"/>
    <w:rsid w:val="002727AC"/>
    <w:rsid w:val="00272EB0"/>
    <w:rsid w:val="00272F87"/>
    <w:rsid w:val="00273810"/>
    <w:rsid w:val="00273DC4"/>
    <w:rsid w:val="00273F54"/>
    <w:rsid w:val="002742EB"/>
    <w:rsid w:val="002755E1"/>
    <w:rsid w:val="00275E09"/>
    <w:rsid w:val="00275F9A"/>
    <w:rsid w:val="00275FB6"/>
    <w:rsid w:val="00277F90"/>
    <w:rsid w:val="00280111"/>
    <w:rsid w:val="00280E63"/>
    <w:rsid w:val="00280E72"/>
    <w:rsid w:val="00281697"/>
    <w:rsid w:val="002832B9"/>
    <w:rsid w:val="00283523"/>
    <w:rsid w:val="00283754"/>
    <w:rsid w:val="00283BA3"/>
    <w:rsid w:val="00283BF8"/>
    <w:rsid w:val="00283E5B"/>
    <w:rsid w:val="002849C2"/>
    <w:rsid w:val="00285195"/>
    <w:rsid w:val="00286CFC"/>
    <w:rsid w:val="00286D6D"/>
    <w:rsid w:val="00287DD0"/>
    <w:rsid w:val="00290B50"/>
    <w:rsid w:val="00291498"/>
    <w:rsid w:val="0029233D"/>
    <w:rsid w:val="002930CA"/>
    <w:rsid w:val="00295960"/>
    <w:rsid w:val="00296284"/>
    <w:rsid w:val="00296FDC"/>
    <w:rsid w:val="002A0172"/>
    <w:rsid w:val="002A04C9"/>
    <w:rsid w:val="002A1E5F"/>
    <w:rsid w:val="002A25C0"/>
    <w:rsid w:val="002A31C5"/>
    <w:rsid w:val="002A3401"/>
    <w:rsid w:val="002A34CA"/>
    <w:rsid w:val="002A34FD"/>
    <w:rsid w:val="002A4BDF"/>
    <w:rsid w:val="002A5206"/>
    <w:rsid w:val="002A55C9"/>
    <w:rsid w:val="002A61C2"/>
    <w:rsid w:val="002A65E7"/>
    <w:rsid w:val="002A6910"/>
    <w:rsid w:val="002A7748"/>
    <w:rsid w:val="002B047C"/>
    <w:rsid w:val="002B0DAB"/>
    <w:rsid w:val="002B1C36"/>
    <w:rsid w:val="002B2619"/>
    <w:rsid w:val="002B3608"/>
    <w:rsid w:val="002B36DD"/>
    <w:rsid w:val="002B3D08"/>
    <w:rsid w:val="002B3F1F"/>
    <w:rsid w:val="002B4128"/>
    <w:rsid w:val="002B49CF"/>
    <w:rsid w:val="002B7C71"/>
    <w:rsid w:val="002B7F63"/>
    <w:rsid w:val="002B7F83"/>
    <w:rsid w:val="002C0EA3"/>
    <w:rsid w:val="002C120D"/>
    <w:rsid w:val="002C18A4"/>
    <w:rsid w:val="002C1C5B"/>
    <w:rsid w:val="002C23E6"/>
    <w:rsid w:val="002C2688"/>
    <w:rsid w:val="002C2ED1"/>
    <w:rsid w:val="002C38D1"/>
    <w:rsid w:val="002C38F7"/>
    <w:rsid w:val="002C4556"/>
    <w:rsid w:val="002C4B11"/>
    <w:rsid w:val="002C4EF1"/>
    <w:rsid w:val="002C5139"/>
    <w:rsid w:val="002C577F"/>
    <w:rsid w:val="002C57AB"/>
    <w:rsid w:val="002C5D9D"/>
    <w:rsid w:val="002C5DE5"/>
    <w:rsid w:val="002C64A8"/>
    <w:rsid w:val="002C6587"/>
    <w:rsid w:val="002C6CBF"/>
    <w:rsid w:val="002C7013"/>
    <w:rsid w:val="002C75B0"/>
    <w:rsid w:val="002C7723"/>
    <w:rsid w:val="002C7992"/>
    <w:rsid w:val="002C7C5D"/>
    <w:rsid w:val="002D14CD"/>
    <w:rsid w:val="002D2263"/>
    <w:rsid w:val="002D230F"/>
    <w:rsid w:val="002D25BB"/>
    <w:rsid w:val="002D339E"/>
    <w:rsid w:val="002D3746"/>
    <w:rsid w:val="002D3827"/>
    <w:rsid w:val="002D3884"/>
    <w:rsid w:val="002D3913"/>
    <w:rsid w:val="002D44C1"/>
    <w:rsid w:val="002D51D9"/>
    <w:rsid w:val="002D6903"/>
    <w:rsid w:val="002E04CB"/>
    <w:rsid w:val="002E2D25"/>
    <w:rsid w:val="002E3140"/>
    <w:rsid w:val="002E4739"/>
    <w:rsid w:val="002E4A86"/>
    <w:rsid w:val="002E5CE5"/>
    <w:rsid w:val="002E62BA"/>
    <w:rsid w:val="002E7491"/>
    <w:rsid w:val="002E790C"/>
    <w:rsid w:val="002E7AF2"/>
    <w:rsid w:val="002F0277"/>
    <w:rsid w:val="002F09E4"/>
    <w:rsid w:val="002F14D9"/>
    <w:rsid w:val="002F1904"/>
    <w:rsid w:val="002F2A9D"/>
    <w:rsid w:val="002F3DBF"/>
    <w:rsid w:val="002F41C5"/>
    <w:rsid w:val="002F457A"/>
    <w:rsid w:val="002F47E2"/>
    <w:rsid w:val="002F5BB2"/>
    <w:rsid w:val="002F5D88"/>
    <w:rsid w:val="002F6375"/>
    <w:rsid w:val="002F6E8B"/>
    <w:rsid w:val="002F6F7E"/>
    <w:rsid w:val="002F73F6"/>
    <w:rsid w:val="002F75F1"/>
    <w:rsid w:val="002F7743"/>
    <w:rsid w:val="00300858"/>
    <w:rsid w:val="003025F3"/>
    <w:rsid w:val="00302AF4"/>
    <w:rsid w:val="0030312A"/>
    <w:rsid w:val="00303757"/>
    <w:rsid w:val="00304ED9"/>
    <w:rsid w:val="00305C40"/>
    <w:rsid w:val="0030632D"/>
    <w:rsid w:val="00306C64"/>
    <w:rsid w:val="00310ECE"/>
    <w:rsid w:val="003118E0"/>
    <w:rsid w:val="00311F42"/>
    <w:rsid w:val="00313492"/>
    <w:rsid w:val="003136D4"/>
    <w:rsid w:val="003141E4"/>
    <w:rsid w:val="00315693"/>
    <w:rsid w:val="00315C63"/>
    <w:rsid w:val="00315E98"/>
    <w:rsid w:val="00317041"/>
    <w:rsid w:val="003175A7"/>
    <w:rsid w:val="003200C9"/>
    <w:rsid w:val="00320625"/>
    <w:rsid w:val="00320A3B"/>
    <w:rsid w:val="00321BEF"/>
    <w:rsid w:val="00322769"/>
    <w:rsid w:val="00324415"/>
    <w:rsid w:val="003249EF"/>
    <w:rsid w:val="00324B34"/>
    <w:rsid w:val="00325A13"/>
    <w:rsid w:val="003263A8"/>
    <w:rsid w:val="00326879"/>
    <w:rsid w:val="003276AF"/>
    <w:rsid w:val="00330D64"/>
    <w:rsid w:val="00331C7E"/>
    <w:rsid w:val="00332430"/>
    <w:rsid w:val="003328A0"/>
    <w:rsid w:val="003329A0"/>
    <w:rsid w:val="0033433F"/>
    <w:rsid w:val="0033523A"/>
    <w:rsid w:val="003359DD"/>
    <w:rsid w:val="0033625B"/>
    <w:rsid w:val="00336400"/>
    <w:rsid w:val="00336CF6"/>
    <w:rsid w:val="00336F9F"/>
    <w:rsid w:val="00337617"/>
    <w:rsid w:val="003378FE"/>
    <w:rsid w:val="00337ECB"/>
    <w:rsid w:val="003403EE"/>
    <w:rsid w:val="003409E9"/>
    <w:rsid w:val="00340E5F"/>
    <w:rsid w:val="0034135F"/>
    <w:rsid w:val="00342F95"/>
    <w:rsid w:val="00344022"/>
    <w:rsid w:val="00344655"/>
    <w:rsid w:val="00344A6F"/>
    <w:rsid w:val="0034563E"/>
    <w:rsid w:val="00345DAD"/>
    <w:rsid w:val="0034611B"/>
    <w:rsid w:val="003469A6"/>
    <w:rsid w:val="00346E83"/>
    <w:rsid w:val="00346F00"/>
    <w:rsid w:val="00347463"/>
    <w:rsid w:val="0034781B"/>
    <w:rsid w:val="003508DC"/>
    <w:rsid w:val="003519DB"/>
    <w:rsid w:val="00352100"/>
    <w:rsid w:val="00352285"/>
    <w:rsid w:val="00352851"/>
    <w:rsid w:val="00353011"/>
    <w:rsid w:val="003531E5"/>
    <w:rsid w:val="00354128"/>
    <w:rsid w:val="003552B7"/>
    <w:rsid w:val="0035571A"/>
    <w:rsid w:val="0035590E"/>
    <w:rsid w:val="00355E7B"/>
    <w:rsid w:val="003566FB"/>
    <w:rsid w:val="003606D7"/>
    <w:rsid w:val="003615E4"/>
    <w:rsid w:val="0036211D"/>
    <w:rsid w:val="00363E0E"/>
    <w:rsid w:val="00367B5A"/>
    <w:rsid w:val="00372A33"/>
    <w:rsid w:val="0037342D"/>
    <w:rsid w:val="003744DA"/>
    <w:rsid w:val="003746F5"/>
    <w:rsid w:val="00374A17"/>
    <w:rsid w:val="0037507D"/>
    <w:rsid w:val="00376064"/>
    <w:rsid w:val="00376BC2"/>
    <w:rsid w:val="0037729D"/>
    <w:rsid w:val="003777A8"/>
    <w:rsid w:val="003778C9"/>
    <w:rsid w:val="0038084C"/>
    <w:rsid w:val="00380D58"/>
    <w:rsid w:val="00380E8E"/>
    <w:rsid w:val="00381DE7"/>
    <w:rsid w:val="00382136"/>
    <w:rsid w:val="00387150"/>
    <w:rsid w:val="00387AA0"/>
    <w:rsid w:val="0039127B"/>
    <w:rsid w:val="003920A6"/>
    <w:rsid w:val="00392E23"/>
    <w:rsid w:val="0039439B"/>
    <w:rsid w:val="00394DB4"/>
    <w:rsid w:val="003953EC"/>
    <w:rsid w:val="00395E2F"/>
    <w:rsid w:val="00395FFB"/>
    <w:rsid w:val="003966C6"/>
    <w:rsid w:val="00396F55"/>
    <w:rsid w:val="003A029B"/>
    <w:rsid w:val="003A02FF"/>
    <w:rsid w:val="003A0A9A"/>
    <w:rsid w:val="003A137E"/>
    <w:rsid w:val="003A1561"/>
    <w:rsid w:val="003A1B87"/>
    <w:rsid w:val="003A1E16"/>
    <w:rsid w:val="003A2107"/>
    <w:rsid w:val="003A2875"/>
    <w:rsid w:val="003A2C2B"/>
    <w:rsid w:val="003A3370"/>
    <w:rsid w:val="003A3780"/>
    <w:rsid w:val="003A3D4B"/>
    <w:rsid w:val="003A4546"/>
    <w:rsid w:val="003A474B"/>
    <w:rsid w:val="003A4D92"/>
    <w:rsid w:val="003A4FEB"/>
    <w:rsid w:val="003A56E9"/>
    <w:rsid w:val="003B03AF"/>
    <w:rsid w:val="003B0CFD"/>
    <w:rsid w:val="003B2223"/>
    <w:rsid w:val="003B31E4"/>
    <w:rsid w:val="003B354B"/>
    <w:rsid w:val="003B4F9A"/>
    <w:rsid w:val="003B59BC"/>
    <w:rsid w:val="003B6F6D"/>
    <w:rsid w:val="003B7675"/>
    <w:rsid w:val="003B7CC7"/>
    <w:rsid w:val="003C0BE3"/>
    <w:rsid w:val="003C122C"/>
    <w:rsid w:val="003C2060"/>
    <w:rsid w:val="003C2A6D"/>
    <w:rsid w:val="003C391C"/>
    <w:rsid w:val="003C415D"/>
    <w:rsid w:val="003C5556"/>
    <w:rsid w:val="003C57B5"/>
    <w:rsid w:val="003C7BFA"/>
    <w:rsid w:val="003D0B9B"/>
    <w:rsid w:val="003D0D68"/>
    <w:rsid w:val="003D139C"/>
    <w:rsid w:val="003D13A6"/>
    <w:rsid w:val="003D2890"/>
    <w:rsid w:val="003D4050"/>
    <w:rsid w:val="003D44A5"/>
    <w:rsid w:val="003D7C4B"/>
    <w:rsid w:val="003E08E4"/>
    <w:rsid w:val="003E091A"/>
    <w:rsid w:val="003E0B75"/>
    <w:rsid w:val="003E2458"/>
    <w:rsid w:val="003E3094"/>
    <w:rsid w:val="003E3346"/>
    <w:rsid w:val="003E3B0E"/>
    <w:rsid w:val="003E4161"/>
    <w:rsid w:val="003E49F0"/>
    <w:rsid w:val="003E4F49"/>
    <w:rsid w:val="003E51AF"/>
    <w:rsid w:val="003E5DDD"/>
    <w:rsid w:val="003E6333"/>
    <w:rsid w:val="003E6949"/>
    <w:rsid w:val="003E6DF9"/>
    <w:rsid w:val="003E764C"/>
    <w:rsid w:val="003E7744"/>
    <w:rsid w:val="003E7882"/>
    <w:rsid w:val="003E78BE"/>
    <w:rsid w:val="003E7E13"/>
    <w:rsid w:val="003F032E"/>
    <w:rsid w:val="003F0C80"/>
    <w:rsid w:val="003F0D1C"/>
    <w:rsid w:val="003F114F"/>
    <w:rsid w:val="003F2017"/>
    <w:rsid w:val="003F2105"/>
    <w:rsid w:val="003F36FB"/>
    <w:rsid w:val="003F5D3B"/>
    <w:rsid w:val="003F5F1C"/>
    <w:rsid w:val="003F60D2"/>
    <w:rsid w:val="003F6E00"/>
    <w:rsid w:val="003F7113"/>
    <w:rsid w:val="003F7C6A"/>
    <w:rsid w:val="003F7ED2"/>
    <w:rsid w:val="004005F1"/>
    <w:rsid w:val="00400813"/>
    <w:rsid w:val="00400A59"/>
    <w:rsid w:val="00400D75"/>
    <w:rsid w:val="00402D1B"/>
    <w:rsid w:val="004045D9"/>
    <w:rsid w:val="00404C7F"/>
    <w:rsid w:val="0040514D"/>
    <w:rsid w:val="004052E6"/>
    <w:rsid w:val="0040581C"/>
    <w:rsid w:val="004058E7"/>
    <w:rsid w:val="004066D9"/>
    <w:rsid w:val="00407088"/>
    <w:rsid w:val="00407811"/>
    <w:rsid w:val="00407D11"/>
    <w:rsid w:val="00407E3F"/>
    <w:rsid w:val="00410865"/>
    <w:rsid w:val="00410E3F"/>
    <w:rsid w:val="004113AA"/>
    <w:rsid w:val="00412BA1"/>
    <w:rsid w:val="00412E74"/>
    <w:rsid w:val="004131E9"/>
    <w:rsid w:val="00413525"/>
    <w:rsid w:val="00414561"/>
    <w:rsid w:val="0041519C"/>
    <w:rsid w:val="0041687E"/>
    <w:rsid w:val="00416940"/>
    <w:rsid w:val="00416B68"/>
    <w:rsid w:val="00417294"/>
    <w:rsid w:val="00420ED2"/>
    <w:rsid w:val="004215CE"/>
    <w:rsid w:val="004217A3"/>
    <w:rsid w:val="004225FD"/>
    <w:rsid w:val="00422894"/>
    <w:rsid w:val="00422C2C"/>
    <w:rsid w:val="00422C89"/>
    <w:rsid w:val="00422F7F"/>
    <w:rsid w:val="004231A6"/>
    <w:rsid w:val="00423310"/>
    <w:rsid w:val="004237AB"/>
    <w:rsid w:val="004266F7"/>
    <w:rsid w:val="004271B8"/>
    <w:rsid w:val="00427433"/>
    <w:rsid w:val="00427D4A"/>
    <w:rsid w:val="0043076E"/>
    <w:rsid w:val="00431870"/>
    <w:rsid w:val="00431909"/>
    <w:rsid w:val="00432AA6"/>
    <w:rsid w:val="00432C08"/>
    <w:rsid w:val="00432D64"/>
    <w:rsid w:val="00432F7B"/>
    <w:rsid w:val="004331D1"/>
    <w:rsid w:val="00435058"/>
    <w:rsid w:val="00435BC5"/>
    <w:rsid w:val="00435DE3"/>
    <w:rsid w:val="004408D6"/>
    <w:rsid w:val="00440B27"/>
    <w:rsid w:val="00440E2C"/>
    <w:rsid w:val="004414BD"/>
    <w:rsid w:val="00442B7F"/>
    <w:rsid w:val="00443097"/>
    <w:rsid w:val="004457EB"/>
    <w:rsid w:val="004458DC"/>
    <w:rsid w:val="00446423"/>
    <w:rsid w:val="00446EA5"/>
    <w:rsid w:val="00447EF4"/>
    <w:rsid w:val="00450B35"/>
    <w:rsid w:val="00450E80"/>
    <w:rsid w:val="00450E9F"/>
    <w:rsid w:val="00450FAC"/>
    <w:rsid w:val="00451FCF"/>
    <w:rsid w:val="00452411"/>
    <w:rsid w:val="00452641"/>
    <w:rsid w:val="00453BB3"/>
    <w:rsid w:val="00453DEA"/>
    <w:rsid w:val="0045481B"/>
    <w:rsid w:val="00454CB1"/>
    <w:rsid w:val="00455629"/>
    <w:rsid w:val="00456294"/>
    <w:rsid w:val="004563C4"/>
    <w:rsid w:val="004575A4"/>
    <w:rsid w:val="00457818"/>
    <w:rsid w:val="00460BAE"/>
    <w:rsid w:val="00460BD8"/>
    <w:rsid w:val="00460EC4"/>
    <w:rsid w:val="00464F61"/>
    <w:rsid w:val="00464F69"/>
    <w:rsid w:val="00465FD3"/>
    <w:rsid w:val="004661A4"/>
    <w:rsid w:val="00466B14"/>
    <w:rsid w:val="004701E9"/>
    <w:rsid w:val="004713A4"/>
    <w:rsid w:val="00471F1F"/>
    <w:rsid w:val="004726DE"/>
    <w:rsid w:val="00472980"/>
    <w:rsid w:val="00473147"/>
    <w:rsid w:val="00473A5A"/>
    <w:rsid w:val="00473D8C"/>
    <w:rsid w:val="00474A9D"/>
    <w:rsid w:val="004750A2"/>
    <w:rsid w:val="004754F8"/>
    <w:rsid w:val="00475B87"/>
    <w:rsid w:val="00476344"/>
    <w:rsid w:val="0047761C"/>
    <w:rsid w:val="004779BE"/>
    <w:rsid w:val="00480D57"/>
    <w:rsid w:val="004811B9"/>
    <w:rsid w:val="0048191B"/>
    <w:rsid w:val="00483550"/>
    <w:rsid w:val="0048383E"/>
    <w:rsid w:val="004838EC"/>
    <w:rsid w:val="00483AA4"/>
    <w:rsid w:val="0048554D"/>
    <w:rsid w:val="004856D2"/>
    <w:rsid w:val="004865E6"/>
    <w:rsid w:val="00486C0A"/>
    <w:rsid w:val="004878D1"/>
    <w:rsid w:val="00487A9F"/>
    <w:rsid w:val="004906AD"/>
    <w:rsid w:val="00490DBC"/>
    <w:rsid w:val="00491085"/>
    <w:rsid w:val="00491EDA"/>
    <w:rsid w:val="0049315B"/>
    <w:rsid w:val="00493630"/>
    <w:rsid w:val="00493683"/>
    <w:rsid w:val="00494E56"/>
    <w:rsid w:val="00494F55"/>
    <w:rsid w:val="00496714"/>
    <w:rsid w:val="004970BE"/>
    <w:rsid w:val="004A01A2"/>
    <w:rsid w:val="004A0335"/>
    <w:rsid w:val="004A0FD6"/>
    <w:rsid w:val="004A104D"/>
    <w:rsid w:val="004A1B54"/>
    <w:rsid w:val="004A22DD"/>
    <w:rsid w:val="004A242D"/>
    <w:rsid w:val="004A263C"/>
    <w:rsid w:val="004A26CE"/>
    <w:rsid w:val="004A29A0"/>
    <w:rsid w:val="004A2AD3"/>
    <w:rsid w:val="004A2DCC"/>
    <w:rsid w:val="004A37BC"/>
    <w:rsid w:val="004A398B"/>
    <w:rsid w:val="004A7357"/>
    <w:rsid w:val="004A7893"/>
    <w:rsid w:val="004A7E6A"/>
    <w:rsid w:val="004A7F81"/>
    <w:rsid w:val="004B02C9"/>
    <w:rsid w:val="004B0334"/>
    <w:rsid w:val="004B067F"/>
    <w:rsid w:val="004B188C"/>
    <w:rsid w:val="004B198A"/>
    <w:rsid w:val="004B36CE"/>
    <w:rsid w:val="004B3C9F"/>
    <w:rsid w:val="004B3CE2"/>
    <w:rsid w:val="004B406A"/>
    <w:rsid w:val="004B4576"/>
    <w:rsid w:val="004B5611"/>
    <w:rsid w:val="004B64F8"/>
    <w:rsid w:val="004B65F7"/>
    <w:rsid w:val="004B6BED"/>
    <w:rsid w:val="004B6F86"/>
    <w:rsid w:val="004B7292"/>
    <w:rsid w:val="004C4A7C"/>
    <w:rsid w:val="004C4C1E"/>
    <w:rsid w:val="004C4F63"/>
    <w:rsid w:val="004C57D8"/>
    <w:rsid w:val="004C593E"/>
    <w:rsid w:val="004C7F90"/>
    <w:rsid w:val="004D0D9B"/>
    <w:rsid w:val="004D1304"/>
    <w:rsid w:val="004D151B"/>
    <w:rsid w:val="004D1AE6"/>
    <w:rsid w:val="004D35BA"/>
    <w:rsid w:val="004D5A4B"/>
    <w:rsid w:val="004D5B55"/>
    <w:rsid w:val="004D6AA0"/>
    <w:rsid w:val="004D6B2B"/>
    <w:rsid w:val="004E0778"/>
    <w:rsid w:val="004E1C52"/>
    <w:rsid w:val="004E1F9E"/>
    <w:rsid w:val="004E28D7"/>
    <w:rsid w:val="004E2957"/>
    <w:rsid w:val="004E2B1C"/>
    <w:rsid w:val="004E2EDC"/>
    <w:rsid w:val="004E3C5F"/>
    <w:rsid w:val="004E4107"/>
    <w:rsid w:val="004E5168"/>
    <w:rsid w:val="004E6CF3"/>
    <w:rsid w:val="004E77C6"/>
    <w:rsid w:val="004F1303"/>
    <w:rsid w:val="004F13D7"/>
    <w:rsid w:val="004F195F"/>
    <w:rsid w:val="004F219A"/>
    <w:rsid w:val="004F21EC"/>
    <w:rsid w:val="004F2330"/>
    <w:rsid w:val="004F2EC8"/>
    <w:rsid w:val="004F3A21"/>
    <w:rsid w:val="004F6292"/>
    <w:rsid w:val="004F6433"/>
    <w:rsid w:val="004F662E"/>
    <w:rsid w:val="004F7B08"/>
    <w:rsid w:val="004F7FBA"/>
    <w:rsid w:val="005003DD"/>
    <w:rsid w:val="00502115"/>
    <w:rsid w:val="00502E8E"/>
    <w:rsid w:val="005044A7"/>
    <w:rsid w:val="00504D51"/>
    <w:rsid w:val="00504F53"/>
    <w:rsid w:val="00505B73"/>
    <w:rsid w:val="005063D0"/>
    <w:rsid w:val="00507686"/>
    <w:rsid w:val="0050796F"/>
    <w:rsid w:val="005103BB"/>
    <w:rsid w:val="005106FA"/>
    <w:rsid w:val="0051075C"/>
    <w:rsid w:val="00510F24"/>
    <w:rsid w:val="00511041"/>
    <w:rsid w:val="005110C0"/>
    <w:rsid w:val="00511278"/>
    <w:rsid w:val="005114D2"/>
    <w:rsid w:val="0051209F"/>
    <w:rsid w:val="00512413"/>
    <w:rsid w:val="00512B29"/>
    <w:rsid w:val="005147CA"/>
    <w:rsid w:val="00514C3D"/>
    <w:rsid w:val="00514D71"/>
    <w:rsid w:val="005160CE"/>
    <w:rsid w:val="00516E1E"/>
    <w:rsid w:val="00516EB6"/>
    <w:rsid w:val="0051760B"/>
    <w:rsid w:val="0052101B"/>
    <w:rsid w:val="005221F1"/>
    <w:rsid w:val="005224E6"/>
    <w:rsid w:val="005235D8"/>
    <w:rsid w:val="00523F8C"/>
    <w:rsid w:val="00525225"/>
    <w:rsid w:val="0052546C"/>
    <w:rsid w:val="00525960"/>
    <w:rsid w:val="00526A7F"/>
    <w:rsid w:val="005300FA"/>
    <w:rsid w:val="005302A9"/>
    <w:rsid w:val="005317D4"/>
    <w:rsid w:val="00531A08"/>
    <w:rsid w:val="005331F8"/>
    <w:rsid w:val="00533856"/>
    <w:rsid w:val="00533B8C"/>
    <w:rsid w:val="00533CD1"/>
    <w:rsid w:val="0053465E"/>
    <w:rsid w:val="005373D8"/>
    <w:rsid w:val="00537B30"/>
    <w:rsid w:val="00537B7C"/>
    <w:rsid w:val="00537D3A"/>
    <w:rsid w:val="005400A1"/>
    <w:rsid w:val="0054055D"/>
    <w:rsid w:val="0054064C"/>
    <w:rsid w:val="005407A4"/>
    <w:rsid w:val="00540FCB"/>
    <w:rsid w:val="00541243"/>
    <w:rsid w:val="00541331"/>
    <w:rsid w:val="00541ECB"/>
    <w:rsid w:val="005422A6"/>
    <w:rsid w:val="005426B7"/>
    <w:rsid w:val="00542FCA"/>
    <w:rsid w:val="0054396D"/>
    <w:rsid w:val="00543C38"/>
    <w:rsid w:val="00543C45"/>
    <w:rsid w:val="00543DD2"/>
    <w:rsid w:val="00543F87"/>
    <w:rsid w:val="00545360"/>
    <w:rsid w:val="00546CA4"/>
    <w:rsid w:val="00546E2B"/>
    <w:rsid w:val="0055081B"/>
    <w:rsid w:val="005513BC"/>
    <w:rsid w:val="00551A7D"/>
    <w:rsid w:val="00551BA8"/>
    <w:rsid w:val="0055232E"/>
    <w:rsid w:val="00552533"/>
    <w:rsid w:val="0055269E"/>
    <w:rsid w:val="00552F04"/>
    <w:rsid w:val="0055472B"/>
    <w:rsid w:val="0055506E"/>
    <w:rsid w:val="0055547A"/>
    <w:rsid w:val="0055602D"/>
    <w:rsid w:val="005571A4"/>
    <w:rsid w:val="00560EDB"/>
    <w:rsid w:val="00561B2F"/>
    <w:rsid w:val="00562066"/>
    <w:rsid w:val="0056239C"/>
    <w:rsid w:val="00562745"/>
    <w:rsid w:val="00563C36"/>
    <w:rsid w:val="00565D60"/>
    <w:rsid w:val="005660E5"/>
    <w:rsid w:val="00566609"/>
    <w:rsid w:val="00567106"/>
    <w:rsid w:val="005671CD"/>
    <w:rsid w:val="00567698"/>
    <w:rsid w:val="00567C09"/>
    <w:rsid w:val="005702D3"/>
    <w:rsid w:val="00570489"/>
    <w:rsid w:val="00570E81"/>
    <w:rsid w:val="00571450"/>
    <w:rsid w:val="00571607"/>
    <w:rsid w:val="00572E80"/>
    <w:rsid w:val="00573D10"/>
    <w:rsid w:val="00573D88"/>
    <w:rsid w:val="00573D98"/>
    <w:rsid w:val="00574695"/>
    <w:rsid w:val="00574DF2"/>
    <w:rsid w:val="005751AF"/>
    <w:rsid w:val="00575B45"/>
    <w:rsid w:val="00576194"/>
    <w:rsid w:val="00576689"/>
    <w:rsid w:val="0057723C"/>
    <w:rsid w:val="00577263"/>
    <w:rsid w:val="00577304"/>
    <w:rsid w:val="0057748C"/>
    <w:rsid w:val="005779BA"/>
    <w:rsid w:val="00577B31"/>
    <w:rsid w:val="00577C35"/>
    <w:rsid w:val="005800E6"/>
    <w:rsid w:val="0058026C"/>
    <w:rsid w:val="00580A95"/>
    <w:rsid w:val="005812CC"/>
    <w:rsid w:val="00581420"/>
    <w:rsid w:val="00581EAF"/>
    <w:rsid w:val="00583C8B"/>
    <w:rsid w:val="00584294"/>
    <w:rsid w:val="005846D0"/>
    <w:rsid w:val="00584A54"/>
    <w:rsid w:val="005851E9"/>
    <w:rsid w:val="00585F86"/>
    <w:rsid w:val="00586D87"/>
    <w:rsid w:val="00587611"/>
    <w:rsid w:val="00590576"/>
    <w:rsid w:val="00590595"/>
    <w:rsid w:val="00591052"/>
    <w:rsid w:val="00591352"/>
    <w:rsid w:val="0059322F"/>
    <w:rsid w:val="00594B79"/>
    <w:rsid w:val="00595539"/>
    <w:rsid w:val="0059588D"/>
    <w:rsid w:val="0059643B"/>
    <w:rsid w:val="00596CCD"/>
    <w:rsid w:val="00597AD9"/>
    <w:rsid w:val="005A082F"/>
    <w:rsid w:val="005A0CE8"/>
    <w:rsid w:val="005A2794"/>
    <w:rsid w:val="005A27D6"/>
    <w:rsid w:val="005A287B"/>
    <w:rsid w:val="005A2DB1"/>
    <w:rsid w:val="005A3048"/>
    <w:rsid w:val="005A3454"/>
    <w:rsid w:val="005A44E0"/>
    <w:rsid w:val="005A4B63"/>
    <w:rsid w:val="005A4BBB"/>
    <w:rsid w:val="005A4EBA"/>
    <w:rsid w:val="005A4F0A"/>
    <w:rsid w:val="005A6190"/>
    <w:rsid w:val="005A62F1"/>
    <w:rsid w:val="005A643D"/>
    <w:rsid w:val="005A705F"/>
    <w:rsid w:val="005A73AC"/>
    <w:rsid w:val="005B00C2"/>
    <w:rsid w:val="005B0EA4"/>
    <w:rsid w:val="005B1970"/>
    <w:rsid w:val="005B1C93"/>
    <w:rsid w:val="005B1E55"/>
    <w:rsid w:val="005B2261"/>
    <w:rsid w:val="005B2CA0"/>
    <w:rsid w:val="005B31C6"/>
    <w:rsid w:val="005B3947"/>
    <w:rsid w:val="005B4961"/>
    <w:rsid w:val="005B4FDC"/>
    <w:rsid w:val="005B509C"/>
    <w:rsid w:val="005B644A"/>
    <w:rsid w:val="005B6831"/>
    <w:rsid w:val="005B6D2B"/>
    <w:rsid w:val="005B7074"/>
    <w:rsid w:val="005B72ED"/>
    <w:rsid w:val="005C0364"/>
    <w:rsid w:val="005C1008"/>
    <w:rsid w:val="005C12A1"/>
    <w:rsid w:val="005C13B2"/>
    <w:rsid w:val="005C1413"/>
    <w:rsid w:val="005C2096"/>
    <w:rsid w:val="005C26E8"/>
    <w:rsid w:val="005C31FE"/>
    <w:rsid w:val="005C3801"/>
    <w:rsid w:val="005C3B60"/>
    <w:rsid w:val="005C4C03"/>
    <w:rsid w:val="005C636C"/>
    <w:rsid w:val="005C7234"/>
    <w:rsid w:val="005C7504"/>
    <w:rsid w:val="005C755D"/>
    <w:rsid w:val="005C7C5C"/>
    <w:rsid w:val="005D0D0A"/>
    <w:rsid w:val="005D2AE6"/>
    <w:rsid w:val="005D2B2C"/>
    <w:rsid w:val="005D313E"/>
    <w:rsid w:val="005D3999"/>
    <w:rsid w:val="005D3B95"/>
    <w:rsid w:val="005D7616"/>
    <w:rsid w:val="005E0048"/>
    <w:rsid w:val="005E0DCB"/>
    <w:rsid w:val="005E0ED8"/>
    <w:rsid w:val="005E10BB"/>
    <w:rsid w:val="005E117A"/>
    <w:rsid w:val="005E176C"/>
    <w:rsid w:val="005E2E74"/>
    <w:rsid w:val="005E2E90"/>
    <w:rsid w:val="005E3028"/>
    <w:rsid w:val="005E3978"/>
    <w:rsid w:val="005E4079"/>
    <w:rsid w:val="005E549E"/>
    <w:rsid w:val="005E5DCA"/>
    <w:rsid w:val="005E62D7"/>
    <w:rsid w:val="005E7927"/>
    <w:rsid w:val="005E794F"/>
    <w:rsid w:val="005F119A"/>
    <w:rsid w:val="005F1735"/>
    <w:rsid w:val="005F1857"/>
    <w:rsid w:val="005F1D1B"/>
    <w:rsid w:val="005F2032"/>
    <w:rsid w:val="005F2112"/>
    <w:rsid w:val="005F26C3"/>
    <w:rsid w:val="005F4699"/>
    <w:rsid w:val="005F4A6F"/>
    <w:rsid w:val="005F63CA"/>
    <w:rsid w:val="005F6589"/>
    <w:rsid w:val="005F7111"/>
    <w:rsid w:val="0060037B"/>
    <w:rsid w:val="00601C23"/>
    <w:rsid w:val="006022E4"/>
    <w:rsid w:val="00602305"/>
    <w:rsid w:val="0060285E"/>
    <w:rsid w:val="00602CDF"/>
    <w:rsid w:val="00603283"/>
    <w:rsid w:val="006035B1"/>
    <w:rsid w:val="00603A3B"/>
    <w:rsid w:val="00605D96"/>
    <w:rsid w:val="0060636D"/>
    <w:rsid w:val="00606E42"/>
    <w:rsid w:val="006076B7"/>
    <w:rsid w:val="00610E38"/>
    <w:rsid w:val="00610ECC"/>
    <w:rsid w:val="006111E9"/>
    <w:rsid w:val="00611B04"/>
    <w:rsid w:val="00611C04"/>
    <w:rsid w:val="00613447"/>
    <w:rsid w:val="00613849"/>
    <w:rsid w:val="00614806"/>
    <w:rsid w:val="00615B8B"/>
    <w:rsid w:val="00615CE6"/>
    <w:rsid w:val="00616265"/>
    <w:rsid w:val="006168F8"/>
    <w:rsid w:val="00616D11"/>
    <w:rsid w:val="006175E8"/>
    <w:rsid w:val="00620D32"/>
    <w:rsid w:val="00621530"/>
    <w:rsid w:val="006221BB"/>
    <w:rsid w:val="006230C2"/>
    <w:rsid w:val="0062412F"/>
    <w:rsid w:val="00624E48"/>
    <w:rsid w:val="006266F4"/>
    <w:rsid w:val="00626730"/>
    <w:rsid w:val="00630037"/>
    <w:rsid w:val="0063026F"/>
    <w:rsid w:val="00630438"/>
    <w:rsid w:val="0063097A"/>
    <w:rsid w:val="00630F43"/>
    <w:rsid w:val="006316EB"/>
    <w:rsid w:val="00631D3D"/>
    <w:rsid w:val="00632ED7"/>
    <w:rsid w:val="00633168"/>
    <w:rsid w:val="006333BE"/>
    <w:rsid w:val="00633C17"/>
    <w:rsid w:val="00633C96"/>
    <w:rsid w:val="00633D25"/>
    <w:rsid w:val="0063425C"/>
    <w:rsid w:val="00634C7A"/>
    <w:rsid w:val="006354DD"/>
    <w:rsid w:val="00635E24"/>
    <w:rsid w:val="00635FE8"/>
    <w:rsid w:val="006362E4"/>
    <w:rsid w:val="00636CE8"/>
    <w:rsid w:val="00637601"/>
    <w:rsid w:val="00640122"/>
    <w:rsid w:val="006409A9"/>
    <w:rsid w:val="00640BFA"/>
    <w:rsid w:val="00641385"/>
    <w:rsid w:val="00641443"/>
    <w:rsid w:val="006416AB"/>
    <w:rsid w:val="006425F7"/>
    <w:rsid w:val="00642E85"/>
    <w:rsid w:val="00644229"/>
    <w:rsid w:val="006446AE"/>
    <w:rsid w:val="0064535D"/>
    <w:rsid w:val="00646761"/>
    <w:rsid w:val="006467A5"/>
    <w:rsid w:val="00646D77"/>
    <w:rsid w:val="00647DB0"/>
    <w:rsid w:val="006507CC"/>
    <w:rsid w:val="006519FF"/>
    <w:rsid w:val="00651E7A"/>
    <w:rsid w:val="006522DD"/>
    <w:rsid w:val="0065245D"/>
    <w:rsid w:val="00652BBE"/>
    <w:rsid w:val="006546FE"/>
    <w:rsid w:val="00654D61"/>
    <w:rsid w:val="00654FBC"/>
    <w:rsid w:val="006554E7"/>
    <w:rsid w:val="00655AA7"/>
    <w:rsid w:val="00655C4C"/>
    <w:rsid w:val="006564EA"/>
    <w:rsid w:val="00656A35"/>
    <w:rsid w:val="00656DA4"/>
    <w:rsid w:val="00656E42"/>
    <w:rsid w:val="00661679"/>
    <w:rsid w:val="00661D82"/>
    <w:rsid w:val="00663CFF"/>
    <w:rsid w:val="006645C0"/>
    <w:rsid w:val="006646AF"/>
    <w:rsid w:val="00665BC7"/>
    <w:rsid w:val="00665E54"/>
    <w:rsid w:val="00667FC9"/>
    <w:rsid w:val="0067272A"/>
    <w:rsid w:val="00673331"/>
    <w:rsid w:val="0067477B"/>
    <w:rsid w:val="00675C9F"/>
    <w:rsid w:val="0067679B"/>
    <w:rsid w:val="00676D06"/>
    <w:rsid w:val="006777FA"/>
    <w:rsid w:val="00677D36"/>
    <w:rsid w:val="00682122"/>
    <w:rsid w:val="00682D04"/>
    <w:rsid w:val="00682F72"/>
    <w:rsid w:val="00683779"/>
    <w:rsid w:val="006842AF"/>
    <w:rsid w:val="00684969"/>
    <w:rsid w:val="00685EEB"/>
    <w:rsid w:val="00686909"/>
    <w:rsid w:val="006902C9"/>
    <w:rsid w:val="0069067A"/>
    <w:rsid w:val="00690F0E"/>
    <w:rsid w:val="00691686"/>
    <w:rsid w:val="006927E6"/>
    <w:rsid w:val="00692E07"/>
    <w:rsid w:val="006934A2"/>
    <w:rsid w:val="0069491A"/>
    <w:rsid w:val="00695002"/>
    <w:rsid w:val="00695D6F"/>
    <w:rsid w:val="00696149"/>
    <w:rsid w:val="0069740C"/>
    <w:rsid w:val="006975F9"/>
    <w:rsid w:val="006A0DC5"/>
    <w:rsid w:val="006A1C55"/>
    <w:rsid w:val="006A1DE0"/>
    <w:rsid w:val="006A27D5"/>
    <w:rsid w:val="006A3297"/>
    <w:rsid w:val="006A350A"/>
    <w:rsid w:val="006A3670"/>
    <w:rsid w:val="006A388C"/>
    <w:rsid w:val="006A3CE1"/>
    <w:rsid w:val="006A3D71"/>
    <w:rsid w:val="006A437C"/>
    <w:rsid w:val="006A4846"/>
    <w:rsid w:val="006A561B"/>
    <w:rsid w:val="006A57BF"/>
    <w:rsid w:val="006A65EA"/>
    <w:rsid w:val="006A6D65"/>
    <w:rsid w:val="006A74D3"/>
    <w:rsid w:val="006A7711"/>
    <w:rsid w:val="006A7BD3"/>
    <w:rsid w:val="006B0120"/>
    <w:rsid w:val="006B204E"/>
    <w:rsid w:val="006B2710"/>
    <w:rsid w:val="006B28C0"/>
    <w:rsid w:val="006B3023"/>
    <w:rsid w:val="006B306D"/>
    <w:rsid w:val="006B36B8"/>
    <w:rsid w:val="006B48C5"/>
    <w:rsid w:val="006B643A"/>
    <w:rsid w:val="006B669D"/>
    <w:rsid w:val="006B6A5F"/>
    <w:rsid w:val="006B7F29"/>
    <w:rsid w:val="006C0611"/>
    <w:rsid w:val="006C08ED"/>
    <w:rsid w:val="006C1067"/>
    <w:rsid w:val="006C1831"/>
    <w:rsid w:val="006C1A3B"/>
    <w:rsid w:val="006C2C45"/>
    <w:rsid w:val="006C3381"/>
    <w:rsid w:val="006C3BD8"/>
    <w:rsid w:val="006C420A"/>
    <w:rsid w:val="006C4300"/>
    <w:rsid w:val="006C4306"/>
    <w:rsid w:val="006C431A"/>
    <w:rsid w:val="006C4B26"/>
    <w:rsid w:val="006C4EC6"/>
    <w:rsid w:val="006C53F3"/>
    <w:rsid w:val="006C5B30"/>
    <w:rsid w:val="006C5B7A"/>
    <w:rsid w:val="006C5F61"/>
    <w:rsid w:val="006C6EB8"/>
    <w:rsid w:val="006D0327"/>
    <w:rsid w:val="006D0549"/>
    <w:rsid w:val="006D115E"/>
    <w:rsid w:val="006D1B36"/>
    <w:rsid w:val="006D1E5D"/>
    <w:rsid w:val="006D1FCD"/>
    <w:rsid w:val="006D2254"/>
    <w:rsid w:val="006D2AD7"/>
    <w:rsid w:val="006D2D0E"/>
    <w:rsid w:val="006D2ED1"/>
    <w:rsid w:val="006D368E"/>
    <w:rsid w:val="006D41F3"/>
    <w:rsid w:val="006D4D5A"/>
    <w:rsid w:val="006D5077"/>
    <w:rsid w:val="006D63A3"/>
    <w:rsid w:val="006D6446"/>
    <w:rsid w:val="006D6E5B"/>
    <w:rsid w:val="006D72E5"/>
    <w:rsid w:val="006D793E"/>
    <w:rsid w:val="006E0634"/>
    <w:rsid w:val="006E0FE7"/>
    <w:rsid w:val="006E0FF7"/>
    <w:rsid w:val="006E255B"/>
    <w:rsid w:val="006E2A5E"/>
    <w:rsid w:val="006E36C2"/>
    <w:rsid w:val="006E3756"/>
    <w:rsid w:val="006E443A"/>
    <w:rsid w:val="006E5455"/>
    <w:rsid w:val="006E56F7"/>
    <w:rsid w:val="006E5B7B"/>
    <w:rsid w:val="006E608D"/>
    <w:rsid w:val="006E68EE"/>
    <w:rsid w:val="006F07D9"/>
    <w:rsid w:val="006F08AA"/>
    <w:rsid w:val="006F0E69"/>
    <w:rsid w:val="006F110C"/>
    <w:rsid w:val="006F1602"/>
    <w:rsid w:val="006F19C0"/>
    <w:rsid w:val="006F1D8B"/>
    <w:rsid w:val="006F23A6"/>
    <w:rsid w:val="006F23E5"/>
    <w:rsid w:val="006F2524"/>
    <w:rsid w:val="006F26A1"/>
    <w:rsid w:val="006F2B8C"/>
    <w:rsid w:val="006F2F3A"/>
    <w:rsid w:val="006F4201"/>
    <w:rsid w:val="006F426B"/>
    <w:rsid w:val="006F5142"/>
    <w:rsid w:val="006F55F0"/>
    <w:rsid w:val="006F5E03"/>
    <w:rsid w:val="006F5E1C"/>
    <w:rsid w:val="006F5F56"/>
    <w:rsid w:val="006F6D99"/>
    <w:rsid w:val="006F7068"/>
    <w:rsid w:val="006F7495"/>
    <w:rsid w:val="006F794C"/>
    <w:rsid w:val="006F7C85"/>
    <w:rsid w:val="00701106"/>
    <w:rsid w:val="0070114E"/>
    <w:rsid w:val="00701853"/>
    <w:rsid w:val="007024C3"/>
    <w:rsid w:val="00703D7C"/>
    <w:rsid w:val="0070491F"/>
    <w:rsid w:val="00705AB2"/>
    <w:rsid w:val="00705C32"/>
    <w:rsid w:val="00705D04"/>
    <w:rsid w:val="00706491"/>
    <w:rsid w:val="007070AF"/>
    <w:rsid w:val="00707F04"/>
    <w:rsid w:val="00710E3E"/>
    <w:rsid w:val="00710EEF"/>
    <w:rsid w:val="0071147B"/>
    <w:rsid w:val="00711674"/>
    <w:rsid w:val="00712A86"/>
    <w:rsid w:val="00714A48"/>
    <w:rsid w:val="00714AB0"/>
    <w:rsid w:val="0071531B"/>
    <w:rsid w:val="007156EB"/>
    <w:rsid w:val="00715774"/>
    <w:rsid w:val="007167ED"/>
    <w:rsid w:val="00717846"/>
    <w:rsid w:val="00720082"/>
    <w:rsid w:val="00721483"/>
    <w:rsid w:val="007215CF"/>
    <w:rsid w:val="00721FE8"/>
    <w:rsid w:val="007220D8"/>
    <w:rsid w:val="00722108"/>
    <w:rsid w:val="00722A3B"/>
    <w:rsid w:val="00722F8F"/>
    <w:rsid w:val="00723D0D"/>
    <w:rsid w:val="00723FAC"/>
    <w:rsid w:val="00723FF4"/>
    <w:rsid w:val="007244BA"/>
    <w:rsid w:val="007257CB"/>
    <w:rsid w:val="00726261"/>
    <w:rsid w:val="00726494"/>
    <w:rsid w:val="00726767"/>
    <w:rsid w:val="00726BFD"/>
    <w:rsid w:val="0072725B"/>
    <w:rsid w:val="00727D5A"/>
    <w:rsid w:val="00730715"/>
    <w:rsid w:val="00730F7B"/>
    <w:rsid w:val="0073121D"/>
    <w:rsid w:val="00731933"/>
    <w:rsid w:val="007321AC"/>
    <w:rsid w:val="0073305E"/>
    <w:rsid w:val="00733813"/>
    <w:rsid w:val="007338FB"/>
    <w:rsid w:val="0073397C"/>
    <w:rsid w:val="00733C34"/>
    <w:rsid w:val="00735DE9"/>
    <w:rsid w:val="007362A2"/>
    <w:rsid w:val="00736E12"/>
    <w:rsid w:val="0073710E"/>
    <w:rsid w:val="00737CE4"/>
    <w:rsid w:val="00740B53"/>
    <w:rsid w:val="00741F58"/>
    <w:rsid w:val="0074230C"/>
    <w:rsid w:val="0074262E"/>
    <w:rsid w:val="00743328"/>
    <w:rsid w:val="00743524"/>
    <w:rsid w:val="00743B60"/>
    <w:rsid w:val="0074450C"/>
    <w:rsid w:val="00744800"/>
    <w:rsid w:val="00745A67"/>
    <w:rsid w:val="00745E22"/>
    <w:rsid w:val="007464FA"/>
    <w:rsid w:val="00746BB5"/>
    <w:rsid w:val="0074761E"/>
    <w:rsid w:val="0075120C"/>
    <w:rsid w:val="00751BEF"/>
    <w:rsid w:val="00752E1E"/>
    <w:rsid w:val="00752F71"/>
    <w:rsid w:val="00753AE2"/>
    <w:rsid w:val="00753BF2"/>
    <w:rsid w:val="00755F7E"/>
    <w:rsid w:val="00756CF0"/>
    <w:rsid w:val="00756DA9"/>
    <w:rsid w:val="00757621"/>
    <w:rsid w:val="0075769C"/>
    <w:rsid w:val="00757D08"/>
    <w:rsid w:val="00760AC9"/>
    <w:rsid w:val="00760D9F"/>
    <w:rsid w:val="00762027"/>
    <w:rsid w:val="00762C50"/>
    <w:rsid w:val="007630B4"/>
    <w:rsid w:val="007630F2"/>
    <w:rsid w:val="00763298"/>
    <w:rsid w:val="00763886"/>
    <w:rsid w:val="00763DD6"/>
    <w:rsid w:val="007640DA"/>
    <w:rsid w:val="007647B5"/>
    <w:rsid w:val="007649A4"/>
    <w:rsid w:val="00765A08"/>
    <w:rsid w:val="007666B2"/>
    <w:rsid w:val="007669C8"/>
    <w:rsid w:val="0076770E"/>
    <w:rsid w:val="00770005"/>
    <w:rsid w:val="00771434"/>
    <w:rsid w:val="00772A7A"/>
    <w:rsid w:val="00772FED"/>
    <w:rsid w:val="00773380"/>
    <w:rsid w:val="0077342B"/>
    <w:rsid w:val="00775487"/>
    <w:rsid w:val="00775714"/>
    <w:rsid w:val="00775B07"/>
    <w:rsid w:val="00776634"/>
    <w:rsid w:val="00776734"/>
    <w:rsid w:val="00776E49"/>
    <w:rsid w:val="0078118F"/>
    <w:rsid w:val="007813BF"/>
    <w:rsid w:val="007824B8"/>
    <w:rsid w:val="00782669"/>
    <w:rsid w:val="00782A21"/>
    <w:rsid w:val="00782A5A"/>
    <w:rsid w:val="00782EF7"/>
    <w:rsid w:val="00783865"/>
    <w:rsid w:val="00783FDF"/>
    <w:rsid w:val="00784198"/>
    <w:rsid w:val="00784B49"/>
    <w:rsid w:val="007851D3"/>
    <w:rsid w:val="007852FF"/>
    <w:rsid w:val="007857E4"/>
    <w:rsid w:val="007860C0"/>
    <w:rsid w:val="00786E0A"/>
    <w:rsid w:val="00786F3F"/>
    <w:rsid w:val="00787375"/>
    <w:rsid w:val="007875EA"/>
    <w:rsid w:val="0079042D"/>
    <w:rsid w:val="00790BB3"/>
    <w:rsid w:val="00792167"/>
    <w:rsid w:val="007923E6"/>
    <w:rsid w:val="00795496"/>
    <w:rsid w:val="007958D5"/>
    <w:rsid w:val="00795F39"/>
    <w:rsid w:val="00796DA1"/>
    <w:rsid w:val="00797D9F"/>
    <w:rsid w:val="007A0F38"/>
    <w:rsid w:val="007A1CE3"/>
    <w:rsid w:val="007A1D28"/>
    <w:rsid w:val="007A27BD"/>
    <w:rsid w:val="007A4003"/>
    <w:rsid w:val="007A488C"/>
    <w:rsid w:val="007A5094"/>
    <w:rsid w:val="007A543B"/>
    <w:rsid w:val="007A57C3"/>
    <w:rsid w:val="007A6976"/>
    <w:rsid w:val="007A6E20"/>
    <w:rsid w:val="007A78DC"/>
    <w:rsid w:val="007B04EC"/>
    <w:rsid w:val="007B0BBE"/>
    <w:rsid w:val="007B1341"/>
    <w:rsid w:val="007B1B66"/>
    <w:rsid w:val="007B1C47"/>
    <w:rsid w:val="007B2C0D"/>
    <w:rsid w:val="007B3160"/>
    <w:rsid w:val="007B43D2"/>
    <w:rsid w:val="007B65E2"/>
    <w:rsid w:val="007C01B8"/>
    <w:rsid w:val="007C0ECD"/>
    <w:rsid w:val="007C10FE"/>
    <w:rsid w:val="007C13CF"/>
    <w:rsid w:val="007C1638"/>
    <w:rsid w:val="007C1AC2"/>
    <w:rsid w:val="007C1EC7"/>
    <w:rsid w:val="007C2718"/>
    <w:rsid w:val="007C3205"/>
    <w:rsid w:val="007C3DFE"/>
    <w:rsid w:val="007C3E30"/>
    <w:rsid w:val="007C45A5"/>
    <w:rsid w:val="007C4E57"/>
    <w:rsid w:val="007C58FB"/>
    <w:rsid w:val="007C5F60"/>
    <w:rsid w:val="007C60EC"/>
    <w:rsid w:val="007C6319"/>
    <w:rsid w:val="007C6533"/>
    <w:rsid w:val="007C7403"/>
    <w:rsid w:val="007D01AD"/>
    <w:rsid w:val="007D0666"/>
    <w:rsid w:val="007D073B"/>
    <w:rsid w:val="007D193B"/>
    <w:rsid w:val="007D2914"/>
    <w:rsid w:val="007D3A63"/>
    <w:rsid w:val="007D4303"/>
    <w:rsid w:val="007D4846"/>
    <w:rsid w:val="007D5142"/>
    <w:rsid w:val="007D5A4C"/>
    <w:rsid w:val="007D5DF4"/>
    <w:rsid w:val="007D60E4"/>
    <w:rsid w:val="007D633E"/>
    <w:rsid w:val="007D6912"/>
    <w:rsid w:val="007D6D32"/>
    <w:rsid w:val="007D6FFF"/>
    <w:rsid w:val="007D7CA4"/>
    <w:rsid w:val="007D7DC2"/>
    <w:rsid w:val="007E037F"/>
    <w:rsid w:val="007E147E"/>
    <w:rsid w:val="007E18E4"/>
    <w:rsid w:val="007E1925"/>
    <w:rsid w:val="007E1A26"/>
    <w:rsid w:val="007E1F3A"/>
    <w:rsid w:val="007E274C"/>
    <w:rsid w:val="007E27FF"/>
    <w:rsid w:val="007E36E1"/>
    <w:rsid w:val="007E3C09"/>
    <w:rsid w:val="007E4857"/>
    <w:rsid w:val="007E502E"/>
    <w:rsid w:val="007E5973"/>
    <w:rsid w:val="007E5FB7"/>
    <w:rsid w:val="007E5FE7"/>
    <w:rsid w:val="007E6CD0"/>
    <w:rsid w:val="007E7637"/>
    <w:rsid w:val="007E7F4A"/>
    <w:rsid w:val="007F02DC"/>
    <w:rsid w:val="007F02E2"/>
    <w:rsid w:val="007F05B3"/>
    <w:rsid w:val="007F0FA8"/>
    <w:rsid w:val="007F182A"/>
    <w:rsid w:val="007F1BA3"/>
    <w:rsid w:val="007F211E"/>
    <w:rsid w:val="007F2912"/>
    <w:rsid w:val="007F2BB8"/>
    <w:rsid w:val="007F3160"/>
    <w:rsid w:val="007F3498"/>
    <w:rsid w:val="007F3753"/>
    <w:rsid w:val="007F49FF"/>
    <w:rsid w:val="007F4DDF"/>
    <w:rsid w:val="007F5ADA"/>
    <w:rsid w:val="007F7217"/>
    <w:rsid w:val="007F7D93"/>
    <w:rsid w:val="007F7FA2"/>
    <w:rsid w:val="0080208C"/>
    <w:rsid w:val="00802417"/>
    <w:rsid w:val="00802956"/>
    <w:rsid w:val="00802CF7"/>
    <w:rsid w:val="00803480"/>
    <w:rsid w:val="008104AB"/>
    <w:rsid w:val="008104CC"/>
    <w:rsid w:val="00811253"/>
    <w:rsid w:val="00811C7A"/>
    <w:rsid w:val="00812F10"/>
    <w:rsid w:val="00812F4D"/>
    <w:rsid w:val="00813064"/>
    <w:rsid w:val="008130FA"/>
    <w:rsid w:val="008133B3"/>
    <w:rsid w:val="00813C35"/>
    <w:rsid w:val="00814645"/>
    <w:rsid w:val="008152DC"/>
    <w:rsid w:val="008158AD"/>
    <w:rsid w:val="00816903"/>
    <w:rsid w:val="00817299"/>
    <w:rsid w:val="00820025"/>
    <w:rsid w:val="00820B8B"/>
    <w:rsid w:val="00822152"/>
    <w:rsid w:val="00823A0A"/>
    <w:rsid w:val="0082400D"/>
    <w:rsid w:val="00824117"/>
    <w:rsid w:val="008247E2"/>
    <w:rsid w:val="008249C4"/>
    <w:rsid w:val="00827E06"/>
    <w:rsid w:val="008316A6"/>
    <w:rsid w:val="008318D5"/>
    <w:rsid w:val="00831C76"/>
    <w:rsid w:val="00832B4B"/>
    <w:rsid w:val="008331C5"/>
    <w:rsid w:val="0083353C"/>
    <w:rsid w:val="00834646"/>
    <w:rsid w:val="00834B60"/>
    <w:rsid w:val="008358AB"/>
    <w:rsid w:val="00835DCC"/>
    <w:rsid w:val="0083668B"/>
    <w:rsid w:val="00836812"/>
    <w:rsid w:val="008370BA"/>
    <w:rsid w:val="00837E77"/>
    <w:rsid w:val="008403CA"/>
    <w:rsid w:val="00840B26"/>
    <w:rsid w:val="008421F3"/>
    <w:rsid w:val="0084343E"/>
    <w:rsid w:val="00843AF5"/>
    <w:rsid w:val="008442A3"/>
    <w:rsid w:val="00844D9A"/>
    <w:rsid w:val="0084649C"/>
    <w:rsid w:val="00847C28"/>
    <w:rsid w:val="00847F9A"/>
    <w:rsid w:val="008509A7"/>
    <w:rsid w:val="00850C9E"/>
    <w:rsid w:val="00850F3B"/>
    <w:rsid w:val="0085107A"/>
    <w:rsid w:val="0085213B"/>
    <w:rsid w:val="00852DA8"/>
    <w:rsid w:val="0085355C"/>
    <w:rsid w:val="008553EE"/>
    <w:rsid w:val="00855A54"/>
    <w:rsid w:val="00855C6F"/>
    <w:rsid w:val="008571CE"/>
    <w:rsid w:val="00857728"/>
    <w:rsid w:val="00860864"/>
    <w:rsid w:val="00861491"/>
    <w:rsid w:val="00861C71"/>
    <w:rsid w:val="00862713"/>
    <w:rsid w:val="008628B2"/>
    <w:rsid w:val="00862F06"/>
    <w:rsid w:val="00863D22"/>
    <w:rsid w:val="0086434D"/>
    <w:rsid w:val="008655FB"/>
    <w:rsid w:val="00867089"/>
    <w:rsid w:val="00867654"/>
    <w:rsid w:val="00867673"/>
    <w:rsid w:val="00867A9C"/>
    <w:rsid w:val="00870289"/>
    <w:rsid w:val="00871192"/>
    <w:rsid w:val="00871715"/>
    <w:rsid w:val="00871B01"/>
    <w:rsid w:val="00871D8A"/>
    <w:rsid w:val="00874CE7"/>
    <w:rsid w:val="00874F7D"/>
    <w:rsid w:val="00875CE9"/>
    <w:rsid w:val="00875F74"/>
    <w:rsid w:val="008767C5"/>
    <w:rsid w:val="00876835"/>
    <w:rsid w:val="00876C72"/>
    <w:rsid w:val="00876E20"/>
    <w:rsid w:val="008814EC"/>
    <w:rsid w:val="00881916"/>
    <w:rsid w:val="0088206E"/>
    <w:rsid w:val="0088220F"/>
    <w:rsid w:val="00883840"/>
    <w:rsid w:val="00884206"/>
    <w:rsid w:val="00884B1F"/>
    <w:rsid w:val="00884F1B"/>
    <w:rsid w:val="00887F71"/>
    <w:rsid w:val="00890973"/>
    <w:rsid w:val="00892151"/>
    <w:rsid w:val="008938CE"/>
    <w:rsid w:val="0089439C"/>
    <w:rsid w:val="00894F02"/>
    <w:rsid w:val="00895314"/>
    <w:rsid w:val="008958CD"/>
    <w:rsid w:val="00895A06"/>
    <w:rsid w:val="00895F6A"/>
    <w:rsid w:val="00896255"/>
    <w:rsid w:val="008971F9"/>
    <w:rsid w:val="00897318"/>
    <w:rsid w:val="0089734D"/>
    <w:rsid w:val="00897AA4"/>
    <w:rsid w:val="008A0EBD"/>
    <w:rsid w:val="008A140F"/>
    <w:rsid w:val="008A18AE"/>
    <w:rsid w:val="008A2BC4"/>
    <w:rsid w:val="008A50E8"/>
    <w:rsid w:val="008A6DCA"/>
    <w:rsid w:val="008B0720"/>
    <w:rsid w:val="008B08A2"/>
    <w:rsid w:val="008B0AD7"/>
    <w:rsid w:val="008B0C4B"/>
    <w:rsid w:val="008B0FB7"/>
    <w:rsid w:val="008B106D"/>
    <w:rsid w:val="008B355F"/>
    <w:rsid w:val="008B4497"/>
    <w:rsid w:val="008B4ECB"/>
    <w:rsid w:val="008B52F0"/>
    <w:rsid w:val="008B5C1D"/>
    <w:rsid w:val="008B5EA4"/>
    <w:rsid w:val="008B6502"/>
    <w:rsid w:val="008B6726"/>
    <w:rsid w:val="008B740F"/>
    <w:rsid w:val="008B7AAF"/>
    <w:rsid w:val="008C00B8"/>
    <w:rsid w:val="008C0655"/>
    <w:rsid w:val="008C0B2C"/>
    <w:rsid w:val="008C107C"/>
    <w:rsid w:val="008C11E0"/>
    <w:rsid w:val="008C192A"/>
    <w:rsid w:val="008C1A25"/>
    <w:rsid w:val="008C3C17"/>
    <w:rsid w:val="008C3C3C"/>
    <w:rsid w:val="008C4F7F"/>
    <w:rsid w:val="008C7066"/>
    <w:rsid w:val="008C7479"/>
    <w:rsid w:val="008C78A4"/>
    <w:rsid w:val="008D0580"/>
    <w:rsid w:val="008D11D7"/>
    <w:rsid w:val="008D13B1"/>
    <w:rsid w:val="008D1E9A"/>
    <w:rsid w:val="008D1FFF"/>
    <w:rsid w:val="008D2449"/>
    <w:rsid w:val="008D2527"/>
    <w:rsid w:val="008D2F6D"/>
    <w:rsid w:val="008D36FC"/>
    <w:rsid w:val="008D475A"/>
    <w:rsid w:val="008D4F12"/>
    <w:rsid w:val="008D6765"/>
    <w:rsid w:val="008D717B"/>
    <w:rsid w:val="008D71C2"/>
    <w:rsid w:val="008D7A19"/>
    <w:rsid w:val="008D7FCD"/>
    <w:rsid w:val="008E045F"/>
    <w:rsid w:val="008E06E7"/>
    <w:rsid w:val="008E1C59"/>
    <w:rsid w:val="008E2647"/>
    <w:rsid w:val="008E2914"/>
    <w:rsid w:val="008E3ABB"/>
    <w:rsid w:val="008E4B20"/>
    <w:rsid w:val="008E5055"/>
    <w:rsid w:val="008E693D"/>
    <w:rsid w:val="008E7A65"/>
    <w:rsid w:val="008F008E"/>
    <w:rsid w:val="008F0579"/>
    <w:rsid w:val="008F08D6"/>
    <w:rsid w:val="008F1B4E"/>
    <w:rsid w:val="008F20C5"/>
    <w:rsid w:val="008F21EB"/>
    <w:rsid w:val="008F308B"/>
    <w:rsid w:val="008F3155"/>
    <w:rsid w:val="008F402D"/>
    <w:rsid w:val="008F5231"/>
    <w:rsid w:val="008F59BC"/>
    <w:rsid w:val="008F5FDD"/>
    <w:rsid w:val="008F6ADA"/>
    <w:rsid w:val="008F756C"/>
    <w:rsid w:val="009001F2"/>
    <w:rsid w:val="009006CD"/>
    <w:rsid w:val="0090125A"/>
    <w:rsid w:val="00901342"/>
    <w:rsid w:val="009018F1"/>
    <w:rsid w:val="00901E1C"/>
    <w:rsid w:val="009024E9"/>
    <w:rsid w:val="00902EFA"/>
    <w:rsid w:val="0090430D"/>
    <w:rsid w:val="00905697"/>
    <w:rsid w:val="0090581C"/>
    <w:rsid w:val="00906410"/>
    <w:rsid w:val="0090664A"/>
    <w:rsid w:val="009078F1"/>
    <w:rsid w:val="0091009C"/>
    <w:rsid w:val="00910D26"/>
    <w:rsid w:val="0091100D"/>
    <w:rsid w:val="009110D2"/>
    <w:rsid w:val="00912533"/>
    <w:rsid w:val="0091286B"/>
    <w:rsid w:val="009128A8"/>
    <w:rsid w:val="00913F58"/>
    <w:rsid w:val="00914331"/>
    <w:rsid w:val="00914C3A"/>
    <w:rsid w:val="00914F18"/>
    <w:rsid w:val="00916245"/>
    <w:rsid w:val="00916A6D"/>
    <w:rsid w:val="00916E44"/>
    <w:rsid w:val="009178EB"/>
    <w:rsid w:val="00920D29"/>
    <w:rsid w:val="00921E13"/>
    <w:rsid w:val="00922DAC"/>
    <w:rsid w:val="009231D6"/>
    <w:rsid w:val="00923A8E"/>
    <w:rsid w:val="00923B20"/>
    <w:rsid w:val="00923DA3"/>
    <w:rsid w:val="00923F22"/>
    <w:rsid w:val="00924078"/>
    <w:rsid w:val="00925C6F"/>
    <w:rsid w:val="0092642E"/>
    <w:rsid w:val="00926995"/>
    <w:rsid w:val="00926C9B"/>
    <w:rsid w:val="009315A0"/>
    <w:rsid w:val="00932943"/>
    <w:rsid w:val="00932FAF"/>
    <w:rsid w:val="00933093"/>
    <w:rsid w:val="0093360E"/>
    <w:rsid w:val="009339A3"/>
    <w:rsid w:val="009343C1"/>
    <w:rsid w:val="00934CA4"/>
    <w:rsid w:val="00934DD1"/>
    <w:rsid w:val="00934FBB"/>
    <w:rsid w:val="009350FA"/>
    <w:rsid w:val="009351D9"/>
    <w:rsid w:val="00935AFF"/>
    <w:rsid w:val="00935C72"/>
    <w:rsid w:val="00935F82"/>
    <w:rsid w:val="009361FC"/>
    <w:rsid w:val="0093622B"/>
    <w:rsid w:val="00936ED9"/>
    <w:rsid w:val="009416EE"/>
    <w:rsid w:val="00941BB2"/>
    <w:rsid w:val="0094286F"/>
    <w:rsid w:val="0094291A"/>
    <w:rsid w:val="00942959"/>
    <w:rsid w:val="00942F9F"/>
    <w:rsid w:val="00943E24"/>
    <w:rsid w:val="009443D8"/>
    <w:rsid w:val="00945301"/>
    <w:rsid w:val="009468D1"/>
    <w:rsid w:val="00946AF4"/>
    <w:rsid w:val="0094756F"/>
    <w:rsid w:val="00947671"/>
    <w:rsid w:val="0094773E"/>
    <w:rsid w:val="00950051"/>
    <w:rsid w:val="009506A7"/>
    <w:rsid w:val="00950C88"/>
    <w:rsid w:val="009515FD"/>
    <w:rsid w:val="00952CC2"/>
    <w:rsid w:val="00953683"/>
    <w:rsid w:val="009537E0"/>
    <w:rsid w:val="00953C9E"/>
    <w:rsid w:val="00954593"/>
    <w:rsid w:val="00955B9E"/>
    <w:rsid w:val="0095607D"/>
    <w:rsid w:val="0095634B"/>
    <w:rsid w:val="0095647C"/>
    <w:rsid w:val="00956F9E"/>
    <w:rsid w:val="009570AA"/>
    <w:rsid w:val="00957500"/>
    <w:rsid w:val="00960654"/>
    <w:rsid w:val="00960B5B"/>
    <w:rsid w:val="00961893"/>
    <w:rsid w:val="00961B87"/>
    <w:rsid w:val="00961F5A"/>
    <w:rsid w:val="00962835"/>
    <w:rsid w:val="009630BA"/>
    <w:rsid w:val="0096326F"/>
    <w:rsid w:val="00963E71"/>
    <w:rsid w:val="00964CE2"/>
    <w:rsid w:val="00964E40"/>
    <w:rsid w:val="0096537F"/>
    <w:rsid w:val="0096565A"/>
    <w:rsid w:val="00965C17"/>
    <w:rsid w:val="00966258"/>
    <w:rsid w:val="009662B2"/>
    <w:rsid w:val="009669A7"/>
    <w:rsid w:val="0096703D"/>
    <w:rsid w:val="0096735E"/>
    <w:rsid w:val="009706B8"/>
    <w:rsid w:val="00970736"/>
    <w:rsid w:val="00970F17"/>
    <w:rsid w:val="00971E71"/>
    <w:rsid w:val="009734DB"/>
    <w:rsid w:val="00973C84"/>
    <w:rsid w:val="00973FF1"/>
    <w:rsid w:val="00974449"/>
    <w:rsid w:val="00974680"/>
    <w:rsid w:val="00974A54"/>
    <w:rsid w:val="00974AA1"/>
    <w:rsid w:val="00976CEC"/>
    <w:rsid w:val="0097762A"/>
    <w:rsid w:val="009778FB"/>
    <w:rsid w:val="00977CA0"/>
    <w:rsid w:val="0098220F"/>
    <w:rsid w:val="009823DC"/>
    <w:rsid w:val="00983025"/>
    <w:rsid w:val="0098396D"/>
    <w:rsid w:val="00983A49"/>
    <w:rsid w:val="00986214"/>
    <w:rsid w:val="00986E8E"/>
    <w:rsid w:val="00986FF9"/>
    <w:rsid w:val="009874CD"/>
    <w:rsid w:val="0098790B"/>
    <w:rsid w:val="00987E67"/>
    <w:rsid w:val="00990544"/>
    <w:rsid w:val="009908C1"/>
    <w:rsid w:val="00990FD3"/>
    <w:rsid w:val="00991933"/>
    <w:rsid w:val="00994171"/>
    <w:rsid w:val="00994E1A"/>
    <w:rsid w:val="00994EFA"/>
    <w:rsid w:val="00995F0C"/>
    <w:rsid w:val="00995F24"/>
    <w:rsid w:val="00997463"/>
    <w:rsid w:val="009979C6"/>
    <w:rsid w:val="00997D0A"/>
    <w:rsid w:val="009A110C"/>
    <w:rsid w:val="009A1B21"/>
    <w:rsid w:val="009A23D8"/>
    <w:rsid w:val="009A2476"/>
    <w:rsid w:val="009A2AF8"/>
    <w:rsid w:val="009A3246"/>
    <w:rsid w:val="009A4476"/>
    <w:rsid w:val="009A4B04"/>
    <w:rsid w:val="009B17BA"/>
    <w:rsid w:val="009B18A6"/>
    <w:rsid w:val="009B1C59"/>
    <w:rsid w:val="009B2BD8"/>
    <w:rsid w:val="009B378E"/>
    <w:rsid w:val="009B3ACB"/>
    <w:rsid w:val="009B50FA"/>
    <w:rsid w:val="009B5E2A"/>
    <w:rsid w:val="009B707E"/>
    <w:rsid w:val="009B72E3"/>
    <w:rsid w:val="009B75FD"/>
    <w:rsid w:val="009B7BBA"/>
    <w:rsid w:val="009C0407"/>
    <w:rsid w:val="009C079D"/>
    <w:rsid w:val="009C0A4B"/>
    <w:rsid w:val="009C2AA6"/>
    <w:rsid w:val="009C3E1F"/>
    <w:rsid w:val="009C6B95"/>
    <w:rsid w:val="009D0098"/>
    <w:rsid w:val="009D041D"/>
    <w:rsid w:val="009D1A1B"/>
    <w:rsid w:val="009D1BF1"/>
    <w:rsid w:val="009D2CBF"/>
    <w:rsid w:val="009D3FCC"/>
    <w:rsid w:val="009D4A74"/>
    <w:rsid w:val="009D4D00"/>
    <w:rsid w:val="009D4D3C"/>
    <w:rsid w:val="009D5539"/>
    <w:rsid w:val="009D69FD"/>
    <w:rsid w:val="009D76C0"/>
    <w:rsid w:val="009D76EB"/>
    <w:rsid w:val="009D7A40"/>
    <w:rsid w:val="009D7ABD"/>
    <w:rsid w:val="009E023B"/>
    <w:rsid w:val="009E0733"/>
    <w:rsid w:val="009E0946"/>
    <w:rsid w:val="009E1660"/>
    <w:rsid w:val="009E192F"/>
    <w:rsid w:val="009E1A46"/>
    <w:rsid w:val="009E29FC"/>
    <w:rsid w:val="009E469B"/>
    <w:rsid w:val="009E4A9F"/>
    <w:rsid w:val="009E50AF"/>
    <w:rsid w:val="009E5B6B"/>
    <w:rsid w:val="009E6018"/>
    <w:rsid w:val="009E6019"/>
    <w:rsid w:val="009E63BB"/>
    <w:rsid w:val="009E713E"/>
    <w:rsid w:val="009E7846"/>
    <w:rsid w:val="009E7AE8"/>
    <w:rsid w:val="009F0069"/>
    <w:rsid w:val="009F0BC9"/>
    <w:rsid w:val="009F1058"/>
    <w:rsid w:val="009F1FDB"/>
    <w:rsid w:val="009F2319"/>
    <w:rsid w:val="009F2609"/>
    <w:rsid w:val="009F29C8"/>
    <w:rsid w:val="009F2E5F"/>
    <w:rsid w:val="009F45A1"/>
    <w:rsid w:val="009F5246"/>
    <w:rsid w:val="009F5DEC"/>
    <w:rsid w:val="009F5EAA"/>
    <w:rsid w:val="009F61DE"/>
    <w:rsid w:val="009F6A37"/>
    <w:rsid w:val="009F6CC8"/>
    <w:rsid w:val="009F7049"/>
    <w:rsid w:val="009F775F"/>
    <w:rsid w:val="009F7B40"/>
    <w:rsid w:val="00A0248A"/>
    <w:rsid w:val="00A044E5"/>
    <w:rsid w:val="00A0457E"/>
    <w:rsid w:val="00A04B57"/>
    <w:rsid w:val="00A04CAB"/>
    <w:rsid w:val="00A04EEC"/>
    <w:rsid w:val="00A05EDA"/>
    <w:rsid w:val="00A0643E"/>
    <w:rsid w:val="00A07198"/>
    <w:rsid w:val="00A0772E"/>
    <w:rsid w:val="00A10D1F"/>
    <w:rsid w:val="00A1249D"/>
    <w:rsid w:val="00A12B11"/>
    <w:rsid w:val="00A146F3"/>
    <w:rsid w:val="00A15117"/>
    <w:rsid w:val="00A15690"/>
    <w:rsid w:val="00A157CA"/>
    <w:rsid w:val="00A15D01"/>
    <w:rsid w:val="00A17B2D"/>
    <w:rsid w:val="00A20221"/>
    <w:rsid w:val="00A20314"/>
    <w:rsid w:val="00A20B21"/>
    <w:rsid w:val="00A22EC8"/>
    <w:rsid w:val="00A23585"/>
    <w:rsid w:val="00A23ACC"/>
    <w:rsid w:val="00A23DEB"/>
    <w:rsid w:val="00A240AC"/>
    <w:rsid w:val="00A2446F"/>
    <w:rsid w:val="00A2612F"/>
    <w:rsid w:val="00A267E8"/>
    <w:rsid w:val="00A2698B"/>
    <w:rsid w:val="00A2715F"/>
    <w:rsid w:val="00A2724A"/>
    <w:rsid w:val="00A27ABE"/>
    <w:rsid w:val="00A27D14"/>
    <w:rsid w:val="00A30022"/>
    <w:rsid w:val="00A30362"/>
    <w:rsid w:val="00A30B8D"/>
    <w:rsid w:val="00A31042"/>
    <w:rsid w:val="00A32DA2"/>
    <w:rsid w:val="00A33DFD"/>
    <w:rsid w:val="00A34FC9"/>
    <w:rsid w:val="00A35806"/>
    <w:rsid w:val="00A36B52"/>
    <w:rsid w:val="00A414B6"/>
    <w:rsid w:val="00A41BD2"/>
    <w:rsid w:val="00A41C43"/>
    <w:rsid w:val="00A42600"/>
    <w:rsid w:val="00A42AAF"/>
    <w:rsid w:val="00A42E75"/>
    <w:rsid w:val="00A437AD"/>
    <w:rsid w:val="00A438D3"/>
    <w:rsid w:val="00A44E97"/>
    <w:rsid w:val="00A45121"/>
    <w:rsid w:val="00A45DC6"/>
    <w:rsid w:val="00A45EFA"/>
    <w:rsid w:val="00A4622F"/>
    <w:rsid w:val="00A46412"/>
    <w:rsid w:val="00A465B6"/>
    <w:rsid w:val="00A4743C"/>
    <w:rsid w:val="00A47C9F"/>
    <w:rsid w:val="00A51070"/>
    <w:rsid w:val="00A512A0"/>
    <w:rsid w:val="00A516AD"/>
    <w:rsid w:val="00A5247D"/>
    <w:rsid w:val="00A52728"/>
    <w:rsid w:val="00A5320D"/>
    <w:rsid w:val="00A53902"/>
    <w:rsid w:val="00A53AC1"/>
    <w:rsid w:val="00A541C2"/>
    <w:rsid w:val="00A5427D"/>
    <w:rsid w:val="00A557CE"/>
    <w:rsid w:val="00A55DD9"/>
    <w:rsid w:val="00A56185"/>
    <w:rsid w:val="00A56268"/>
    <w:rsid w:val="00A57011"/>
    <w:rsid w:val="00A5796E"/>
    <w:rsid w:val="00A57A1B"/>
    <w:rsid w:val="00A60B8B"/>
    <w:rsid w:val="00A60BF9"/>
    <w:rsid w:val="00A6128A"/>
    <w:rsid w:val="00A6144F"/>
    <w:rsid w:val="00A62DBA"/>
    <w:rsid w:val="00A63A7F"/>
    <w:rsid w:val="00A64323"/>
    <w:rsid w:val="00A64999"/>
    <w:rsid w:val="00A64D9F"/>
    <w:rsid w:val="00A6557F"/>
    <w:rsid w:val="00A66310"/>
    <w:rsid w:val="00A663F3"/>
    <w:rsid w:val="00A6752C"/>
    <w:rsid w:val="00A67A7A"/>
    <w:rsid w:val="00A7073A"/>
    <w:rsid w:val="00A71CA2"/>
    <w:rsid w:val="00A71DF7"/>
    <w:rsid w:val="00A724E7"/>
    <w:rsid w:val="00A73CB8"/>
    <w:rsid w:val="00A73DA6"/>
    <w:rsid w:val="00A74052"/>
    <w:rsid w:val="00A7422E"/>
    <w:rsid w:val="00A75523"/>
    <w:rsid w:val="00A75977"/>
    <w:rsid w:val="00A75E4B"/>
    <w:rsid w:val="00A77154"/>
    <w:rsid w:val="00A7788F"/>
    <w:rsid w:val="00A80A14"/>
    <w:rsid w:val="00A824A6"/>
    <w:rsid w:val="00A8252B"/>
    <w:rsid w:val="00A8278F"/>
    <w:rsid w:val="00A82E86"/>
    <w:rsid w:val="00A84499"/>
    <w:rsid w:val="00A84631"/>
    <w:rsid w:val="00A8557E"/>
    <w:rsid w:val="00A85C25"/>
    <w:rsid w:val="00A86A80"/>
    <w:rsid w:val="00A86C7F"/>
    <w:rsid w:val="00A87325"/>
    <w:rsid w:val="00A87328"/>
    <w:rsid w:val="00A87CA4"/>
    <w:rsid w:val="00A87CCC"/>
    <w:rsid w:val="00A9019C"/>
    <w:rsid w:val="00A901A9"/>
    <w:rsid w:val="00A906C9"/>
    <w:rsid w:val="00A90D50"/>
    <w:rsid w:val="00A90E26"/>
    <w:rsid w:val="00A9115A"/>
    <w:rsid w:val="00A9222F"/>
    <w:rsid w:val="00A92905"/>
    <w:rsid w:val="00A93997"/>
    <w:rsid w:val="00A93DE8"/>
    <w:rsid w:val="00A9421F"/>
    <w:rsid w:val="00A9456C"/>
    <w:rsid w:val="00A966ED"/>
    <w:rsid w:val="00A97806"/>
    <w:rsid w:val="00A97C91"/>
    <w:rsid w:val="00A97D35"/>
    <w:rsid w:val="00AA009C"/>
    <w:rsid w:val="00AA0641"/>
    <w:rsid w:val="00AA0FFE"/>
    <w:rsid w:val="00AA145E"/>
    <w:rsid w:val="00AA208D"/>
    <w:rsid w:val="00AA258E"/>
    <w:rsid w:val="00AA3E64"/>
    <w:rsid w:val="00AA40F4"/>
    <w:rsid w:val="00AA431F"/>
    <w:rsid w:val="00AA4DC4"/>
    <w:rsid w:val="00AA578B"/>
    <w:rsid w:val="00AA5D63"/>
    <w:rsid w:val="00AA6563"/>
    <w:rsid w:val="00AA7332"/>
    <w:rsid w:val="00AA767E"/>
    <w:rsid w:val="00AB134A"/>
    <w:rsid w:val="00AB3461"/>
    <w:rsid w:val="00AB46EF"/>
    <w:rsid w:val="00AB48A9"/>
    <w:rsid w:val="00AB4E0D"/>
    <w:rsid w:val="00AB5A6D"/>
    <w:rsid w:val="00AB6E3F"/>
    <w:rsid w:val="00AC0679"/>
    <w:rsid w:val="00AC0D84"/>
    <w:rsid w:val="00AC0DFB"/>
    <w:rsid w:val="00AC13B8"/>
    <w:rsid w:val="00AC2069"/>
    <w:rsid w:val="00AC20A1"/>
    <w:rsid w:val="00AC2E8D"/>
    <w:rsid w:val="00AC3FCE"/>
    <w:rsid w:val="00AC4F95"/>
    <w:rsid w:val="00AC588E"/>
    <w:rsid w:val="00AC62B7"/>
    <w:rsid w:val="00AC6FE2"/>
    <w:rsid w:val="00AC7B98"/>
    <w:rsid w:val="00AD1E40"/>
    <w:rsid w:val="00AD226D"/>
    <w:rsid w:val="00AD27E3"/>
    <w:rsid w:val="00AD2A7C"/>
    <w:rsid w:val="00AD30D6"/>
    <w:rsid w:val="00AD36DB"/>
    <w:rsid w:val="00AD3B84"/>
    <w:rsid w:val="00AD3E23"/>
    <w:rsid w:val="00AD413B"/>
    <w:rsid w:val="00AD49F9"/>
    <w:rsid w:val="00AD4CA3"/>
    <w:rsid w:val="00AD4CCF"/>
    <w:rsid w:val="00AD5786"/>
    <w:rsid w:val="00AD59BF"/>
    <w:rsid w:val="00AD5F3D"/>
    <w:rsid w:val="00AD602D"/>
    <w:rsid w:val="00AD6290"/>
    <w:rsid w:val="00AD7E05"/>
    <w:rsid w:val="00AE00E7"/>
    <w:rsid w:val="00AE0251"/>
    <w:rsid w:val="00AE1022"/>
    <w:rsid w:val="00AE1C19"/>
    <w:rsid w:val="00AE2503"/>
    <w:rsid w:val="00AE3A64"/>
    <w:rsid w:val="00AE4783"/>
    <w:rsid w:val="00AE4B86"/>
    <w:rsid w:val="00AE4D82"/>
    <w:rsid w:val="00AE5827"/>
    <w:rsid w:val="00AE6176"/>
    <w:rsid w:val="00AE72BB"/>
    <w:rsid w:val="00AE7401"/>
    <w:rsid w:val="00AF01E9"/>
    <w:rsid w:val="00AF1462"/>
    <w:rsid w:val="00AF1B7F"/>
    <w:rsid w:val="00AF1EB5"/>
    <w:rsid w:val="00AF23E1"/>
    <w:rsid w:val="00AF354C"/>
    <w:rsid w:val="00AF4B01"/>
    <w:rsid w:val="00AF4B5E"/>
    <w:rsid w:val="00AF5324"/>
    <w:rsid w:val="00AF5E76"/>
    <w:rsid w:val="00AF77AA"/>
    <w:rsid w:val="00B005A3"/>
    <w:rsid w:val="00B00772"/>
    <w:rsid w:val="00B009F8"/>
    <w:rsid w:val="00B00A80"/>
    <w:rsid w:val="00B03927"/>
    <w:rsid w:val="00B0503C"/>
    <w:rsid w:val="00B05115"/>
    <w:rsid w:val="00B05657"/>
    <w:rsid w:val="00B071E6"/>
    <w:rsid w:val="00B07442"/>
    <w:rsid w:val="00B076BA"/>
    <w:rsid w:val="00B07C3C"/>
    <w:rsid w:val="00B10651"/>
    <w:rsid w:val="00B10769"/>
    <w:rsid w:val="00B114A0"/>
    <w:rsid w:val="00B1249F"/>
    <w:rsid w:val="00B131F9"/>
    <w:rsid w:val="00B134B6"/>
    <w:rsid w:val="00B1393D"/>
    <w:rsid w:val="00B14428"/>
    <w:rsid w:val="00B16692"/>
    <w:rsid w:val="00B16E10"/>
    <w:rsid w:val="00B16E98"/>
    <w:rsid w:val="00B17190"/>
    <w:rsid w:val="00B17E74"/>
    <w:rsid w:val="00B21421"/>
    <w:rsid w:val="00B214E1"/>
    <w:rsid w:val="00B21A56"/>
    <w:rsid w:val="00B22E17"/>
    <w:rsid w:val="00B2370E"/>
    <w:rsid w:val="00B23C84"/>
    <w:rsid w:val="00B240E2"/>
    <w:rsid w:val="00B2474E"/>
    <w:rsid w:val="00B24ACB"/>
    <w:rsid w:val="00B24C51"/>
    <w:rsid w:val="00B25AA2"/>
    <w:rsid w:val="00B25CFD"/>
    <w:rsid w:val="00B26217"/>
    <w:rsid w:val="00B26231"/>
    <w:rsid w:val="00B304D4"/>
    <w:rsid w:val="00B30B5A"/>
    <w:rsid w:val="00B32631"/>
    <w:rsid w:val="00B32F77"/>
    <w:rsid w:val="00B34E3F"/>
    <w:rsid w:val="00B35CF1"/>
    <w:rsid w:val="00B4072F"/>
    <w:rsid w:val="00B410E7"/>
    <w:rsid w:val="00B41591"/>
    <w:rsid w:val="00B41CE1"/>
    <w:rsid w:val="00B42C28"/>
    <w:rsid w:val="00B4373E"/>
    <w:rsid w:val="00B442AB"/>
    <w:rsid w:val="00B44582"/>
    <w:rsid w:val="00B4476B"/>
    <w:rsid w:val="00B44DC7"/>
    <w:rsid w:val="00B46253"/>
    <w:rsid w:val="00B46A2D"/>
    <w:rsid w:val="00B46A8F"/>
    <w:rsid w:val="00B46DD5"/>
    <w:rsid w:val="00B47AE6"/>
    <w:rsid w:val="00B5027D"/>
    <w:rsid w:val="00B5035D"/>
    <w:rsid w:val="00B5063A"/>
    <w:rsid w:val="00B508B8"/>
    <w:rsid w:val="00B50C17"/>
    <w:rsid w:val="00B518D3"/>
    <w:rsid w:val="00B51B6D"/>
    <w:rsid w:val="00B52A24"/>
    <w:rsid w:val="00B52E94"/>
    <w:rsid w:val="00B53698"/>
    <w:rsid w:val="00B5404B"/>
    <w:rsid w:val="00B54DEB"/>
    <w:rsid w:val="00B5565E"/>
    <w:rsid w:val="00B55A39"/>
    <w:rsid w:val="00B55B6A"/>
    <w:rsid w:val="00B5670B"/>
    <w:rsid w:val="00B577E8"/>
    <w:rsid w:val="00B60053"/>
    <w:rsid w:val="00B60A70"/>
    <w:rsid w:val="00B612B3"/>
    <w:rsid w:val="00B6165C"/>
    <w:rsid w:val="00B62A90"/>
    <w:rsid w:val="00B62EA0"/>
    <w:rsid w:val="00B63CAB"/>
    <w:rsid w:val="00B64817"/>
    <w:rsid w:val="00B650B8"/>
    <w:rsid w:val="00B65400"/>
    <w:rsid w:val="00B6621B"/>
    <w:rsid w:val="00B66609"/>
    <w:rsid w:val="00B66F5C"/>
    <w:rsid w:val="00B67118"/>
    <w:rsid w:val="00B67377"/>
    <w:rsid w:val="00B674F6"/>
    <w:rsid w:val="00B67EF8"/>
    <w:rsid w:val="00B72124"/>
    <w:rsid w:val="00B72453"/>
    <w:rsid w:val="00B745FA"/>
    <w:rsid w:val="00B74651"/>
    <w:rsid w:val="00B752F5"/>
    <w:rsid w:val="00B75904"/>
    <w:rsid w:val="00B761FD"/>
    <w:rsid w:val="00B762E4"/>
    <w:rsid w:val="00B76359"/>
    <w:rsid w:val="00B77244"/>
    <w:rsid w:val="00B774B4"/>
    <w:rsid w:val="00B779CB"/>
    <w:rsid w:val="00B80456"/>
    <w:rsid w:val="00B80878"/>
    <w:rsid w:val="00B808C7"/>
    <w:rsid w:val="00B828E8"/>
    <w:rsid w:val="00B8369F"/>
    <w:rsid w:val="00B844BE"/>
    <w:rsid w:val="00B854A9"/>
    <w:rsid w:val="00B87219"/>
    <w:rsid w:val="00B872F1"/>
    <w:rsid w:val="00B90884"/>
    <w:rsid w:val="00B914F3"/>
    <w:rsid w:val="00B92585"/>
    <w:rsid w:val="00B93995"/>
    <w:rsid w:val="00B93E45"/>
    <w:rsid w:val="00B93FEE"/>
    <w:rsid w:val="00B940AB"/>
    <w:rsid w:val="00B94BC3"/>
    <w:rsid w:val="00B94D86"/>
    <w:rsid w:val="00B957AB"/>
    <w:rsid w:val="00B95E8A"/>
    <w:rsid w:val="00B96425"/>
    <w:rsid w:val="00B96A53"/>
    <w:rsid w:val="00B96BCE"/>
    <w:rsid w:val="00B9707F"/>
    <w:rsid w:val="00B97F25"/>
    <w:rsid w:val="00BA0781"/>
    <w:rsid w:val="00BA0B68"/>
    <w:rsid w:val="00BA0C21"/>
    <w:rsid w:val="00BA2008"/>
    <w:rsid w:val="00BA230B"/>
    <w:rsid w:val="00BA2542"/>
    <w:rsid w:val="00BA2A71"/>
    <w:rsid w:val="00BA2A76"/>
    <w:rsid w:val="00BA3767"/>
    <w:rsid w:val="00BA3B31"/>
    <w:rsid w:val="00BA4CE6"/>
    <w:rsid w:val="00BA4F54"/>
    <w:rsid w:val="00BA514B"/>
    <w:rsid w:val="00BA51F9"/>
    <w:rsid w:val="00BA53E8"/>
    <w:rsid w:val="00BA5516"/>
    <w:rsid w:val="00BA55DF"/>
    <w:rsid w:val="00BA5759"/>
    <w:rsid w:val="00BA5E6E"/>
    <w:rsid w:val="00BA6FE3"/>
    <w:rsid w:val="00BA70A7"/>
    <w:rsid w:val="00BB002C"/>
    <w:rsid w:val="00BB009A"/>
    <w:rsid w:val="00BB0E81"/>
    <w:rsid w:val="00BB166F"/>
    <w:rsid w:val="00BB1C6A"/>
    <w:rsid w:val="00BB4549"/>
    <w:rsid w:val="00BB4BEC"/>
    <w:rsid w:val="00BB5998"/>
    <w:rsid w:val="00BB654B"/>
    <w:rsid w:val="00BB65F9"/>
    <w:rsid w:val="00BB6BB9"/>
    <w:rsid w:val="00BB6DD8"/>
    <w:rsid w:val="00BB6EE2"/>
    <w:rsid w:val="00BC0126"/>
    <w:rsid w:val="00BC0172"/>
    <w:rsid w:val="00BC185A"/>
    <w:rsid w:val="00BC2080"/>
    <w:rsid w:val="00BC2F41"/>
    <w:rsid w:val="00BC39F3"/>
    <w:rsid w:val="00BC3DD7"/>
    <w:rsid w:val="00BC41C7"/>
    <w:rsid w:val="00BC476B"/>
    <w:rsid w:val="00BC4AFB"/>
    <w:rsid w:val="00BC541E"/>
    <w:rsid w:val="00BC56DC"/>
    <w:rsid w:val="00BC5AD4"/>
    <w:rsid w:val="00BC6049"/>
    <w:rsid w:val="00BC6E22"/>
    <w:rsid w:val="00BC7046"/>
    <w:rsid w:val="00BD0D9A"/>
    <w:rsid w:val="00BD136F"/>
    <w:rsid w:val="00BD1DA3"/>
    <w:rsid w:val="00BD211C"/>
    <w:rsid w:val="00BD23EA"/>
    <w:rsid w:val="00BD23F3"/>
    <w:rsid w:val="00BD2B9B"/>
    <w:rsid w:val="00BD32D1"/>
    <w:rsid w:val="00BD33C1"/>
    <w:rsid w:val="00BD3D64"/>
    <w:rsid w:val="00BD50FE"/>
    <w:rsid w:val="00BD6D0C"/>
    <w:rsid w:val="00BE0729"/>
    <w:rsid w:val="00BE1017"/>
    <w:rsid w:val="00BE2D19"/>
    <w:rsid w:val="00BE2D44"/>
    <w:rsid w:val="00BE3018"/>
    <w:rsid w:val="00BE30AC"/>
    <w:rsid w:val="00BE349A"/>
    <w:rsid w:val="00BE4343"/>
    <w:rsid w:val="00BE7AA3"/>
    <w:rsid w:val="00BE7ACA"/>
    <w:rsid w:val="00BF004D"/>
    <w:rsid w:val="00BF0B8E"/>
    <w:rsid w:val="00BF15DF"/>
    <w:rsid w:val="00BF2B44"/>
    <w:rsid w:val="00BF2D91"/>
    <w:rsid w:val="00BF2FD0"/>
    <w:rsid w:val="00BF32C3"/>
    <w:rsid w:val="00BF3337"/>
    <w:rsid w:val="00BF3B63"/>
    <w:rsid w:val="00BF5114"/>
    <w:rsid w:val="00BF535D"/>
    <w:rsid w:val="00BF73EE"/>
    <w:rsid w:val="00BF769E"/>
    <w:rsid w:val="00C00EA8"/>
    <w:rsid w:val="00C01A32"/>
    <w:rsid w:val="00C03324"/>
    <w:rsid w:val="00C03507"/>
    <w:rsid w:val="00C03EB6"/>
    <w:rsid w:val="00C0465E"/>
    <w:rsid w:val="00C04732"/>
    <w:rsid w:val="00C04B5D"/>
    <w:rsid w:val="00C05BE0"/>
    <w:rsid w:val="00C05C89"/>
    <w:rsid w:val="00C05EBD"/>
    <w:rsid w:val="00C06375"/>
    <w:rsid w:val="00C06FEC"/>
    <w:rsid w:val="00C07997"/>
    <w:rsid w:val="00C111E4"/>
    <w:rsid w:val="00C11895"/>
    <w:rsid w:val="00C12A38"/>
    <w:rsid w:val="00C144EB"/>
    <w:rsid w:val="00C1500D"/>
    <w:rsid w:val="00C15888"/>
    <w:rsid w:val="00C16E32"/>
    <w:rsid w:val="00C17257"/>
    <w:rsid w:val="00C224EA"/>
    <w:rsid w:val="00C229EF"/>
    <w:rsid w:val="00C23C20"/>
    <w:rsid w:val="00C241C4"/>
    <w:rsid w:val="00C250A1"/>
    <w:rsid w:val="00C25EE8"/>
    <w:rsid w:val="00C26936"/>
    <w:rsid w:val="00C26C9C"/>
    <w:rsid w:val="00C26EB3"/>
    <w:rsid w:val="00C2744A"/>
    <w:rsid w:val="00C277FF"/>
    <w:rsid w:val="00C27A76"/>
    <w:rsid w:val="00C302FA"/>
    <w:rsid w:val="00C31283"/>
    <w:rsid w:val="00C31929"/>
    <w:rsid w:val="00C31C6A"/>
    <w:rsid w:val="00C31CFE"/>
    <w:rsid w:val="00C31D0F"/>
    <w:rsid w:val="00C31D29"/>
    <w:rsid w:val="00C3223E"/>
    <w:rsid w:val="00C325F3"/>
    <w:rsid w:val="00C32BA9"/>
    <w:rsid w:val="00C32BD1"/>
    <w:rsid w:val="00C347C2"/>
    <w:rsid w:val="00C34AD6"/>
    <w:rsid w:val="00C358CF"/>
    <w:rsid w:val="00C35E4D"/>
    <w:rsid w:val="00C366ED"/>
    <w:rsid w:val="00C36717"/>
    <w:rsid w:val="00C36848"/>
    <w:rsid w:val="00C36FF1"/>
    <w:rsid w:val="00C4203A"/>
    <w:rsid w:val="00C42229"/>
    <w:rsid w:val="00C43286"/>
    <w:rsid w:val="00C432F2"/>
    <w:rsid w:val="00C435BD"/>
    <w:rsid w:val="00C43A59"/>
    <w:rsid w:val="00C43AAE"/>
    <w:rsid w:val="00C44232"/>
    <w:rsid w:val="00C452DF"/>
    <w:rsid w:val="00C45F2F"/>
    <w:rsid w:val="00C468BA"/>
    <w:rsid w:val="00C50B0A"/>
    <w:rsid w:val="00C50ECA"/>
    <w:rsid w:val="00C51883"/>
    <w:rsid w:val="00C51FC1"/>
    <w:rsid w:val="00C5334F"/>
    <w:rsid w:val="00C54583"/>
    <w:rsid w:val="00C547BB"/>
    <w:rsid w:val="00C550E2"/>
    <w:rsid w:val="00C5541B"/>
    <w:rsid w:val="00C55A32"/>
    <w:rsid w:val="00C55C4B"/>
    <w:rsid w:val="00C5686F"/>
    <w:rsid w:val="00C578CF"/>
    <w:rsid w:val="00C57B32"/>
    <w:rsid w:val="00C57C81"/>
    <w:rsid w:val="00C61E16"/>
    <w:rsid w:val="00C6413D"/>
    <w:rsid w:val="00C642A4"/>
    <w:rsid w:val="00C64E81"/>
    <w:rsid w:val="00C652BD"/>
    <w:rsid w:val="00C65C74"/>
    <w:rsid w:val="00C66372"/>
    <w:rsid w:val="00C6641E"/>
    <w:rsid w:val="00C6659F"/>
    <w:rsid w:val="00C671EF"/>
    <w:rsid w:val="00C67648"/>
    <w:rsid w:val="00C67E6B"/>
    <w:rsid w:val="00C67F0C"/>
    <w:rsid w:val="00C67FF4"/>
    <w:rsid w:val="00C70401"/>
    <w:rsid w:val="00C70A49"/>
    <w:rsid w:val="00C717D1"/>
    <w:rsid w:val="00C72041"/>
    <w:rsid w:val="00C72108"/>
    <w:rsid w:val="00C7240D"/>
    <w:rsid w:val="00C72FCB"/>
    <w:rsid w:val="00C731F2"/>
    <w:rsid w:val="00C74359"/>
    <w:rsid w:val="00C74492"/>
    <w:rsid w:val="00C76799"/>
    <w:rsid w:val="00C76F15"/>
    <w:rsid w:val="00C77AFE"/>
    <w:rsid w:val="00C77D25"/>
    <w:rsid w:val="00C80668"/>
    <w:rsid w:val="00C80848"/>
    <w:rsid w:val="00C80AD1"/>
    <w:rsid w:val="00C8118F"/>
    <w:rsid w:val="00C815F6"/>
    <w:rsid w:val="00C81E0D"/>
    <w:rsid w:val="00C820AD"/>
    <w:rsid w:val="00C82531"/>
    <w:rsid w:val="00C826CF"/>
    <w:rsid w:val="00C82BCD"/>
    <w:rsid w:val="00C82D32"/>
    <w:rsid w:val="00C82F01"/>
    <w:rsid w:val="00C85454"/>
    <w:rsid w:val="00C8545C"/>
    <w:rsid w:val="00C858B4"/>
    <w:rsid w:val="00C87B82"/>
    <w:rsid w:val="00C91284"/>
    <w:rsid w:val="00C91B1D"/>
    <w:rsid w:val="00C934D9"/>
    <w:rsid w:val="00C942D6"/>
    <w:rsid w:val="00C95E60"/>
    <w:rsid w:val="00C96482"/>
    <w:rsid w:val="00C971DE"/>
    <w:rsid w:val="00C97883"/>
    <w:rsid w:val="00C97AC8"/>
    <w:rsid w:val="00CA1543"/>
    <w:rsid w:val="00CA166D"/>
    <w:rsid w:val="00CA22EA"/>
    <w:rsid w:val="00CA292F"/>
    <w:rsid w:val="00CA2C65"/>
    <w:rsid w:val="00CA2C67"/>
    <w:rsid w:val="00CA2E2B"/>
    <w:rsid w:val="00CA2FDF"/>
    <w:rsid w:val="00CA3A1E"/>
    <w:rsid w:val="00CA3A4C"/>
    <w:rsid w:val="00CA3CDB"/>
    <w:rsid w:val="00CA3D85"/>
    <w:rsid w:val="00CA3EF5"/>
    <w:rsid w:val="00CA4A34"/>
    <w:rsid w:val="00CA4A54"/>
    <w:rsid w:val="00CA4D78"/>
    <w:rsid w:val="00CA50DC"/>
    <w:rsid w:val="00CA524C"/>
    <w:rsid w:val="00CA5FEA"/>
    <w:rsid w:val="00CB105C"/>
    <w:rsid w:val="00CB18BF"/>
    <w:rsid w:val="00CB1954"/>
    <w:rsid w:val="00CB19A5"/>
    <w:rsid w:val="00CB1CDF"/>
    <w:rsid w:val="00CB1DAF"/>
    <w:rsid w:val="00CB245D"/>
    <w:rsid w:val="00CB358E"/>
    <w:rsid w:val="00CB36A9"/>
    <w:rsid w:val="00CB470D"/>
    <w:rsid w:val="00CB49EB"/>
    <w:rsid w:val="00CB5570"/>
    <w:rsid w:val="00CB5CB7"/>
    <w:rsid w:val="00CB62CD"/>
    <w:rsid w:val="00CB7170"/>
    <w:rsid w:val="00CC05ED"/>
    <w:rsid w:val="00CC0C3E"/>
    <w:rsid w:val="00CC0D47"/>
    <w:rsid w:val="00CC2158"/>
    <w:rsid w:val="00CC2336"/>
    <w:rsid w:val="00CC242B"/>
    <w:rsid w:val="00CC2864"/>
    <w:rsid w:val="00CC33FB"/>
    <w:rsid w:val="00CC4EB2"/>
    <w:rsid w:val="00CC5CCC"/>
    <w:rsid w:val="00CC665C"/>
    <w:rsid w:val="00CC73A8"/>
    <w:rsid w:val="00CC754C"/>
    <w:rsid w:val="00CC7B20"/>
    <w:rsid w:val="00CD01EA"/>
    <w:rsid w:val="00CD2751"/>
    <w:rsid w:val="00CD3232"/>
    <w:rsid w:val="00CD36E5"/>
    <w:rsid w:val="00CD43FE"/>
    <w:rsid w:val="00CD462A"/>
    <w:rsid w:val="00CD5773"/>
    <w:rsid w:val="00CD5D04"/>
    <w:rsid w:val="00CD6143"/>
    <w:rsid w:val="00CD766E"/>
    <w:rsid w:val="00CD7ABD"/>
    <w:rsid w:val="00CE001D"/>
    <w:rsid w:val="00CE0F99"/>
    <w:rsid w:val="00CE1A70"/>
    <w:rsid w:val="00CE28D7"/>
    <w:rsid w:val="00CE4291"/>
    <w:rsid w:val="00CE4315"/>
    <w:rsid w:val="00CE4C05"/>
    <w:rsid w:val="00CE5D61"/>
    <w:rsid w:val="00CE5DAF"/>
    <w:rsid w:val="00CE672C"/>
    <w:rsid w:val="00CE6839"/>
    <w:rsid w:val="00CE68B2"/>
    <w:rsid w:val="00CE7BBB"/>
    <w:rsid w:val="00CF0135"/>
    <w:rsid w:val="00CF13FD"/>
    <w:rsid w:val="00CF290D"/>
    <w:rsid w:val="00CF2D20"/>
    <w:rsid w:val="00CF2FA2"/>
    <w:rsid w:val="00CF34EB"/>
    <w:rsid w:val="00CF4010"/>
    <w:rsid w:val="00CF42A2"/>
    <w:rsid w:val="00CF4734"/>
    <w:rsid w:val="00CF4E63"/>
    <w:rsid w:val="00CF515D"/>
    <w:rsid w:val="00CF544C"/>
    <w:rsid w:val="00CF58AE"/>
    <w:rsid w:val="00CF6ABD"/>
    <w:rsid w:val="00CF755B"/>
    <w:rsid w:val="00D01100"/>
    <w:rsid w:val="00D022ED"/>
    <w:rsid w:val="00D02D98"/>
    <w:rsid w:val="00D03C6D"/>
    <w:rsid w:val="00D04455"/>
    <w:rsid w:val="00D04CB4"/>
    <w:rsid w:val="00D05327"/>
    <w:rsid w:val="00D05EBF"/>
    <w:rsid w:val="00D06CDF"/>
    <w:rsid w:val="00D0768A"/>
    <w:rsid w:val="00D10027"/>
    <w:rsid w:val="00D10CFA"/>
    <w:rsid w:val="00D10DCE"/>
    <w:rsid w:val="00D1290E"/>
    <w:rsid w:val="00D12D48"/>
    <w:rsid w:val="00D12F33"/>
    <w:rsid w:val="00D144DB"/>
    <w:rsid w:val="00D1590F"/>
    <w:rsid w:val="00D15D2A"/>
    <w:rsid w:val="00D163CF"/>
    <w:rsid w:val="00D16E8D"/>
    <w:rsid w:val="00D1730B"/>
    <w:rsid w:val="00D17C72"/>
    <w:rsid w:val="00D201B0"/>
    <w:rsid w:val="00D20BEA"/>
    <w:rsid w:val="00D210CB"/>
    <w:rsid w:val="00D21709"/>
    <w:rsid w:val="00D21A6B"/>
    <w:rsid w:val="00D21B7A"/>
    <w:rsid w:val="00D234DC"/>
    <w:rsid w:val="00D235F4"/>
    <w:rsid w:val="00D23C8B"/>
    <w:rsid w:val="00D2470E"/>
    <w:rsid w:val="00D259EC"/>
    <w:rsid w:val="00D25A94"/>
    <w:rsid w:val="00D262AE"/>
    <w:rsid w:val="00D271F3"/>
    <w:rsid w:val="00D27F83"/>
    <w:rsid w:val="00D30402"/>
    <w:rsid w:val="00D30AE9"/>
    <w:rsid w:val="00D310C0"/>
    <w:rsid w:val="00D3113C"/>
    <w:rsid w:val="00D31224"/>
    <w:rsid w:val="00D31831"/>
    <w:rsid w:val="00D3206E"/>
    <w:rsid w:val="00D3229C"/>
    <w:rsid w:val="00D3292E"/>
    <w:rsid w:val="00D3316A"/>
    <w:rsid w:val="00D33BBE"/>
    <w:rsid w:val="00D344D1"/>
    <w:rsid w:val="00D345F4"/>
    <w:rsid w:val="00D35DB7"/>
    <w:rsid w:val="00D36277"/>
    <w:rsid w:val="00D36733"/>
    <w:rsid w:val="00D372AE"/>
    <w:rsid w:val="00D3746C"/>
    <w:rsid w:val="00D377D4"/>
    <w:rsid w:val="00D37E94"/>
    <w:rsid w:val="00D40768"/>
    <w:rsid w:val="00D41925"/>
    <w:rsid w:val="00D42CB0"/>
    <w:rsid w:val="00D42E9A"/>
    <w:rsid w:val="00D430E5"/>
    <w:rsid w:val="00D431C0"/>
    <w:rsid w:val="00D43869"/>
    <w:rsid w:val="00D44775"/>
    <w:rsid w:val="00D45476"/>
    <w:rsid w:val="00D4587A"/>
    <w:rsid w:val="00D460E9"/>
    <w:rsid w:val="00D462B6"/>
    <w:rsid w:val="00D46A41"/>
    <w:rsid w:val="00D46F33"/>
    <w:rsid w:val="00D46F6D"/>
    <w:rsid w:val="00D476E0"/>
    <w:rsid w:val="00D503F1"/>
    <w:rsid w:val="00D50511"/>
    <w:rsid w:val="00D5059A"/>
    <w:rsid w:val="00D5091D"/>
    <w:rsid w:val="00D50E64"/>
    <w:rsid w:val="00D50EFA"/>
    <w:rsid w:val="00D5231B"/>
    <w:rsid w:val="00D529D3"/>
    <w:rsid w:val="00D52AC9"/>
    <w:rsid w:val="00D533F7"/>
    <w:rsid w:val="00D539F2"/>
    <w:rsid w:val="00D5605C"/>
    <w:rsid w:val="00D56264"/>
    <w:rsid w:val="00D563F6"/>
    <w:rsid w:val="00D56423"/>
    <w:rsid w:val="00D56E6C"/>
    <w:rsid w:val="00D57013"/>
    <w:rsid w:val="00D57F7D"/>
    <w:rsid w:val="00D60857"/>
    <w:rsid w:val="00D60ABC"/>
    <w:rsid w:val="00D61B20"/>
    <w:rsid w:val="00D6253E"/>
    <w:rsid w:val="00D625E9"/>
    <w:rsid w:val="00D65332"/>
    <w:rsid w:val="00D67196"/>
    <w:rsid w:val="00D67391"/>
    <w:rsid w:val="00D67509"/>
    <w:rsid w:val="00D67791"/>
    <w:rsid w:val="00D706AB"/>
    <w:rsid w:val="00D708D1"/>
    <w:rsid w:val="00D70A36"/>
    <w:rsid w:val="00D71BA2"/>
    <w:rsid w:val="00D71FC2"/>
    <w:rsid w:val="00D72428"/>
    <w:rsid w:val="00D730DC"/>
    <w:rsid w:val="00D737B2"/>
    <w:rsid w:val="00D749BB"/>
    <w:rsid w:val="00D761E1"/>
    <w:rsid w:val="00D7772C"/>
    <w:rsid w:val="00D7781A"/>
    <w:rsid w:val="00D8108D"/>
    <w:rsid w:val="00D81091"/>
    <w:rsid w:val="00D8247B"/>
    <w:rsid w:val="00D82F64"/>
    <w:rsid w:val="00D83008"/>
    <w:rsid w:val="00D83501"/>
    <w:rsid w:val="00D837C1"/>
    <w:rsid w:val="00D85165"/>
    <w:rsid w:val="00D85671"/>
    <w:rsid w:val="00D86260"/>
    <w:rsid w:val="00D86F8C"/>
    <w:rsid w:val="00D874AD"/>
    <w:rsid w:val="00D9046F"/>
    <w:rsid w:val="00D908B2"/>
    <w:rsid w:val="00D90FA7"/>
    <w:rsid w:val="00D9167C"/>
    <w:rsid w:val="00D921FB"/>
    <w:rsid w:val="00D927A5"/>
    <w:rsid w:val="00D92C32"/>
    <w:rsid w:val="00D94DD3"/>
    <w:rsid w:val="00D9501D"/>
    <w:rsid w:val="00D950D0"/>
    <w:rsid w:val="00D9519B"/>
    <w:rsid w:val="00D95459"/>
    <w:rsid w:val="00D96AA5"/>
    <w:rsid w:val="00D96AB0"/>
    <w:rsid w:val="00D96ABA"/>
    <w:rsid w:val="00D96FEE"/>
    <w:rsid w:val="00DA05F4"/>
    <w:rsid w:val="00DA0CF2"/>
    <w:rsid w:val="00DA138F"/>
    <w:rsid w:val="00DA2E6E"/>
    <w:rsid w:val="00DA4367"/>
    <w:rsid w:val="00DA4655"/>
    <w:rsid w:val="00DA5747"/>
    <w:rsid w:val="00DA715A"/>
    <w:rsid w:val="00DA7410"/>
    <w:rsid w:val="00DB12C2"/>
    <w:rsid w:val="00DB14DC"/>
    <w:rsid w:val="00DB1ED3"/>
    <w:rsid w:val="00DB3791"/>
    <w:rsid w:val="00DB3F54"/>
    <w:rsid w:val="00DB49A9"/>
    <w:rsid w:val="00DB4D8C"/>
    <w:rsid w:val="00DB4F2C"/>
    <w:rsid w:val="00DB5606"/>
    <w:rsid w:val="00DB56C6"/>
    <w:rsid w:val="00DB5878"/>
    <w:rsid w:val="00DB61E7"/>
    <w:rsid w:val="00DB64D0"/>
    <w:rsid w:val="00DB69CD"/>
    <w:rsid w:val="00DB6CAE"/>
    <w:rsid w:val="00DB6D87"/>
    <w:rsid w:val="00DB7BB8"/>
    <w:rsid w:val="00DC0149"/>
    <w:rsid w:val="00DC028E"/>
    <w:rsid w:val="00DC0FCD"/>
    <w:rsid w:val="00DC0FF2"/>
    <w:rsid w:val="00DC178B"/>
    <w:rsid w:val="00DC250A"/>
    <w:rsid w:val="00DC2684"/>
    <w:rsid w:val="00DC2BF1"/>
    <w:rsid w:val="00DC31AB"/>
    <w:rsid w:val="00DC34A0"/>
    <w:rsid w:val="00DC5463"/>
    <w:rsid w:val="00DC595B"/>
    <w:rsid w:val="00DC6118"/>
    <w:rsid w:val="00DC634B"/>
    <w:rsid w:val="00DC7246"/>
    <w:rsid w:val="00DC774B"/>
    <w:rsid w:val="00DD0F2A"/>
    <w:rsid w:val="00DD158C"/>
    <w:rsid w:val="00DD17BE"/>
    <w:rsid w:val="00DD2470"/>
    <w:rsid w:val="00DD297F"/>
    <w:rsid w:val="00DD393E"/>
    <w:rsid w:val="00DD47E9"/>
    <w:rsid w:val="00DD78A4"/>
    <w:rsid w:val="00DD7C4F"/>
    <w:rsid w:val="00DE0379"/>
    <w:rsid w:val="00DE15F4"/>
    <w:rsid w:val="00DE1EA5"/>
    <w:rsid w:val="00DE2C16"/>
    <w:rsid w:val="00DE3489"/>
    <w:rsid w:val="00DE39C6"/>
    <w:rsid w:val="00DE432B"/>
    <w:rsid w:val="00DE47CD"/>
    <w:rsid w:val="00DE4DB5"/>
    <w:rsid w:val="00DE5364"/>
    <w:rsid w:val="00DE5AA0"/>
    <w:rsid w:val="00DE6062"/>
    <w:rsid w:val="00DE6B41"/>
    <w:rsid w:val="00DE6BB9"/>
    <w:rsid w:val="00DE7853"/>
    <w:rsid w:val="00DE79E0"/>
    <w:rsid w:val="00DF061B"/>
    <w:rsid w:val="00DF0F27"/>
    <w:rsid w:val="00DF262E"/>
    <w:rsid w:val="00DF2A16"/>
    <w:rsid w:val="00DF30FD"/>
    <w:rsid w:val="00DF3860"/>
    <w:rsid w:val="00DF3CC3"/>
    <w:rsid w:val="00DF3EBD"/>
    <w:rsid w:val="00DF44E4"/>
    <w:rsid w:val="00DF4D59"/>
    <w:rsid w:val="00DF4E20"/>
    <w:rsid w:val="00DF4F6A"/>
    <w:rsid w:val="00DF5798"/>
    <w:rsid w:val="00DF614F"/>
    <w:rsid w:val="00DF656C"/>
    <w:rsid w:val="00DF7460"/>
    <w:rsid w:val="00DF74C8"/>
    <w:rsid w:val="00DF7ABD"/>
    <w:rsid w:val="00DF7D8F"/>
    <w:rsid w:val="00E004C6"/>
    <w:rsid w:val="00E0057C"/>
    <w:rsid w:val="00E00914"/>
    <w:rsid w:val="00E00D6B"/>
    <w:rsid w:val="00E00E93"/>
    <w:rsid w:val="00E01508"/>
    <w:rsid w:val="00E01C65"/>
    <w:rsid w:val="00E01DA4"/>
    <w:rsid w:val="00E01F98"/>
    <w:rsid w:val="00E02BC5"/>
    <w:rsid w:val="00E03380"/>
    <w:rsid w:val="00E0497F"/>
    <w:rsid w:val="00E061A5"/>
    <w:rsid w:val="00E064CA"/>
    <w:rsid w:val="00E06EBB"/>
    <w:rsid w:val="00E077A4"/>
    <w:rsid w:val="00E10CC8"/>
    <w:rsid w:val="00E112E8"/>
    <w:rsid w:val="00E12280"/>
    <w:rsid w:val="00E12CDC"/>
    <w:rsid w:val="00E13EAA"/>
    <w:rsid w:val="00E14727"/>
    <w:rsid w:val="00E15538"/>
    <w:rsid w:val="00E15FF5"/>
    <w:rsid w:val="00E21B06"/>
    <w:rsid w:val="00E21BDA"/>
    <w:rsid w:val="00E22DC4"/>
    <w:rsid w:val="00E22F48"/>
    <w:rsid w:val="00E24088"/>
    <w:rsid w:val="00E24160"/>
    <w:rsid w:val="00E25D35"/>
    <w:rsid w:val="00E2671F"/>
    <w:rsid w:val="00E2683F"/>
    <w:rsid w:val="00E2722E"/>
    <w:rsid w:val="00E27C78"/>
    <w:rsid w:val="00E27F79"/>
    <w:rsid w:val="00E30447"/>
    <w:rsid w:val="00E30562"/>
    <w:rsid w:val="00E30B00"/>
    <w:rsid w:val="00E31163"/>
    <w:rsid w:val="00E31250"/>
    <w:rsid w:val="00E316DC"/>
    <w:rsid w:val="00E31ECA"/>
    <w:rsid w:val="00E33049"/>
    <w:rsid w:val="00E33226"/>
    <w:rsid w:val="00E34781"/>
    <w:rsid w:val="00E34AAF"/>
    <w:rsid w:val="00E3526F"/>
    <w:rsid w:val="00E35529"/>
    <w:rsid w:val="00E355FB"/>
    <w:rsid w:val="00E3563D"/>
    <w:rsid w:val="00E358B0"/>
    <w:rsid w:val="00E367C2"/>
    <w:rsid w:val="00E36D68"/>
    <w:rsid w:val="00E3782F"/>
    <w:rsid w:val="00E407EB"/>
    <w:rsid w:val="00E40D9D"/>
    <w:rsid w:val="00E4132A"/>
    <w:rsid w:val="00E41B34"/>
    <w:rsid w:val="00E42028"/>
    <w:rsid w:val="00E426F2"/>
    <w:rsid w:val="00E43770"/>
    <w:rsid w:val="00E43D5C"/>
    <w:rsid w:val="00E446FC"/>
    <w:rsid w:val="00E447EF"/>
    <w:rsid w:val="00E45208"/>
    <w:rsid w:val="00E4524C"/>
    <w:rsid w:val="00E45F67"/>
    <w:rsid w:val="00E47583"/>
    <w:rsid w:val="00E51209"/>
    <w:rsid w:val="00E51536"/>
    <w:rsid w:val="00E5237F"/>
    <w:rsid w:val="00E52781"/>
    <w:rsid w:val="00E52793"/>
    <w:rsid w:val="00E527CF"/>
    <w:rsid w:val="00E5292B"/>
    <w:rsid w:val="00E531BA"/>
    <w:rsid w:val="00E53917"/>
    <w:rsid w:val="00E53EC9"/>
    <w:rsid w:val="00E55128"/>
    <w:rsid w:val="00E5560B"/>
    <w:rsid w:val="00E55C8E"/>
    <w:rsid w:val="00E568A0"/>
    <w:rsid w:val="00E56902"/>
    <w:rsid w:val="00E5692C"/>
    <w:rsid w:val="00E5694C"/>
    <w:rsid w:val="00E56B8B"/>
    <w:rsid w:val="00E57148"/>
    <w:rsid w:val="00E60008"/>
    <w:rsid w:val="00E6003D"/>
    <w:rsid w:val="00E602F2"/>
    <w:rsid w:val="00E6068D"/>
    <w:rsid w:val="00E612CD"/>
    <w:rsid w:val="00E6201E"/>
    <w:rsid w:val="00E62187"/>
    <w:rsid w:val="00E63820"/>
    <w:rsid w:val="00E63AE1"/>
    <w:rsid w:val="00E64045"/>
    <w:rsid w:val="00E66AE7"/>
    <w:rsid w:val="00E66CAA"/>
    <w:rsid w:val="00E67096"/>
    <w:rsid w:val="00E676B5"/>
    <w:rsid w:val="00E7086C"/>
    <w:rsid w:val="00E71717"/>
    <w:rsid w:val="00E71924"/>
    <w:rsid w:val="00E72FB7"/>
    <w:rsid w:val="00E730D1"/>
    <w:rsid w:val="00E734AF"/>
    <w:rsid w:val="00E74439"/>
    <w:rsid w:val="00E7579F"/>
    <w:rsid w:val="00E77583"/>
    <w:rsid w:val="00E813E2"/>
    <w:rsid w:val="00E821CF"/>
    <w:rsid w:val="00E82DE2"/>
    <w:rsid w:val="00E84647"/>
    <w:rsid w:val="00E85AD4"/>
    <w:rsid w:val="00E8625B"/>
    <w:rsid w:val="00E866AD"/>
    <w:rsid w:val="00E87239"/>
    <w:rsid w:val="00E8728A"/>
    <w:rsid w:val="00E87EED"/>
    <w:rsid w:val="00E90A59"/>
    <w:rsid w:val="00E91017"/>
    <w:rsid w:val="00E91079"/>
    <w:rsid w:val="00E912E5"/>
    <w:rsid w:val="00E91F47"/>
    <w:rsid w:val="00E943C6"/>
    <w:rsid w:val="00E94797"/>
    <w:rsid w:val="00E9560C"/>
    <w:rsid w:val="00E95BB8"/>
    <w:rsid w:val="00E96174"/>
    <w:rsid w:val="00E96322"/>
    <w:rsid w:val="00E9675F"/>
    <w:rsid w:val="00E975F4"/>
    <w:rsid w:val="00EA01B0"/>
    <w:rsid w:val="00EA1356"/>
    <w:rsid w:val="00EA1399"/>
    <w:rsid w:val="00EA1570"/>
    <w:rsid w:val="00EA15A4"/>
    <w:rsid w:val="00EA20B1"/>
    <w:rsid w:val="00EA3B8A"/>
    <w:rsid w:val="00EA47C7"/>
    <w:rsid w:val="00EA4C45"/>
    <w:rsid w:val="00EA590B"/>
    <w:rsid w:val="00EB16D4"/>
    <w:rsid w:val="00EB1B5E"/>
    <w:rsid w:val="00EB3011"/>
    <w:rsid w:val="00EB3359"/>
    <w:rsid w:val="00EB34D9"/>
    <w:rsid w:val="00EB3BE5"/>
    <w:rsid w:val="00EB5BFD"/>
    <w:rsid w:val="00EB77C8"/>
    <w:rsid w:val="00EC09FA"/>
    <w:rsid w:val="00EC0C06"/>
    <w:rsid w:val="00EC1476"/>
    <w:rsid w:val="00EC1EA2"/>
    <w:rsid w:val="00EC3662"/>
    <w:rsid w:val="00EC401B"/>
    <w:rsid w:val="00EC64BD"/>
    <w:rsid w:val="00EC705E"/>
    <w:rsid w:val="00EC7B53"/>
    <w:rsid w:val="00ED04DD"/>
    <w:rsid w:val="00ED0C32"/>
    <w:rsid w:val="00ED0D20"/>
    <w:rsid w:val="00ED1C3B"/>
    <w:rsid w:val="00ED3007"/>
    <w:rsid w:val="00ED352C"/>
    <w:rsid w:val="00ED360E"/>
    <w:rsid w:val="00ED3B73"/>
    <w:rsid w:val="00ED4394"/>
    <w:rsid w:val="00ED482F"/>
    <w:rsid w:val="00ED4FC9"/>
    <w:rsid w:val="00ED6335"/>
    <w:rsid w:val="00ED6765"/>
    <w:rsid w:val="00ED67F2"/>
    <w:rsid w:val="00ED6B0F"/>
    <w:rsid w:val="00ED7251"/>
    <w:rsid w:val="00ED7A2D"/>
    <w:rsid w:val="00ED7C05"/>
    <w:rsid w:val="00EE174C"/>
    <w:rsid w:val="00EE1843"/>
    <w:rsid w:val="00EE1B5F"/>
    <w:rsid w:val="00EE2BDD"/>
    <w:rsid w:val="00EE2D04"/>
    <w:rsid w:val="00EE3783"/>
    <w:rsid w:val="00EE4DC7"/>
    <w:rsid w:val="00EE5C2A"/>
    <w:rsid w:val="00EE764A"/>
    <w:rsid w:val="00EE7AB1"/>
    <w:rsid w:val="00EE7FD5"/>
    <w:rsid w:val="00EF00AB"/>
    <w:rsid w:val="00EF0160"/>
    <w:rsid w:val="00EF018A"/>
    <w:rsid w:val="00EF0224"/>
    <w:rsid w:val="00EF0728"/>
    <w:rsid w:val="00EF14BC"/>
    <w:rsid w:val="00EF1A99"/>
    <w:rsid w:val="00EF1CA3"/>
    <w:rsid w:val="00EF34DE"/>
    <w:rsid w:val="00EF360F"/>
    <w:rsid w:val="00EF3BC4"/>
    <w:rsid w:val="00EF4509"/>
    <w:rsid w:val="00EF545B"/>
    <w:rsid w:val="00EF578B"/>
    <w:rsid w:val="00EF6E7B"/>
    <w:rsid w:val="00EF7919"/>
    <w:rsid w:val="00F01600"/>
    <w:rsid w:val="00F01F09"/>
    <w:rsid w:val="00F0318D"/>
    <w:rsid w:val="00F044B3"/>
    <w:rsid w:val="00F0468C"/>
    <w:rsid w:val="00F065B7"/>
    <w:rsid w:val="00F06BC9"/>
    <w:rsid w:val="00F07B53"/>
    <w:rsid w:val="00F07ED8"/>
    <w:rsid w:val="00F1409B"/>
    <w:rsid w:val="00F14516"/>
    <w:rsid w:val="00F145DF"/>
    <w:rsid w:val="00F14980"/>
    <w:rsid w:val="00F14E8C"/>
    <w:rsid w:val="00F15EF8"/>
    <w:rsid w:val="00F16F95"/>
    <w:rsid w:val="00F1770F"/>
    <w:rsid w:val="00F200CC"/>
    <w:rsid w:val="00F20488"/>
    <w:rsid w:val="00F20E18"/>
    <w:rsid w:val="00F20F6E"/>
    <w:rsid w:val="00F21372"/>
    <w:rsid w:val="00F21770"/>
    <w:rsid w:val="00F21856"/>
    <w:rsid w:val="00F21B82"/>
    <w:rsid w:val="00F22666"/>
    <w:rsid w:val="00F226E4"/>
    <w:rsid w:val="00F22ED9"/>
    <w:rsid w:val="00F23A60"/>
    <w:rsid w:val="00F241DD"/>
    <w:rsid w:val="00F24DB9"/>
    <w:rsid w:val="00F252F4"/>
    <w:rsid w:val="00F2536E"/>
    <w:rsid w:val="00F25453"/>
    <w:rsid w:val="00F255CD"/>
    <w:rsid w:val="00F25811"/>
    <w:rsid w:val="00F2637D"/>
    <w:rsid w:val="00F26829"/>
    <w:rsid w:val="00F26EC7"/>
    <w:rsid w:val="00F302E1"/>
    <w:rsid w:val="00F304F3"/>
    <w:rsid w:val="00F3142C"/>
    <w:rsid w:val="00F317B2"/>
    <w:rsid w:val="00F319D6"/>
    <w:rsid w:val="00F31E72"/>
    <w:rsid w:val="00F3204A"/>
    <w:rsid w:val="00F32975"/>
    <w:rsid w:val="00F32C48"/>
    <w:rsid w:val="00F33A22"/>
    <w:rsid w:val="00F350E6"/>
    <w:rsid w:val="00F35A92"/>
    <w:rsid w:val="00F35C9B"/>
    <w:rsid w:val="00F35D7F"/>
    <w:rsid w:val="00F363ED"/>
    <w:rsid w:val="00F36895"/>
    <w:rsid w:val="00F401B8"/>
    <w:rsid w:val="00F404D2"/>
    <w:rsid w:val="00F4090C"/>
    <w:rsid w:val="00F40AD5"/>
    <w:rsid w:val="00F40C54"/>
    <w:rsid w:val="00F40C97"/>
    <w:rsid w:val="00F40F78"/>
    <w:rsid w:val="00F42119"/>
    <w:rsid w:val="00F42F72"/>
    <w:rsid w:val="00F4494B"/>
    <w:rsid w:val="00F45124"/>
    <w:rsid w:val="00F45D22"/>
    <w:rsid w:val="00F46505"/>
    <w:rsid w:val="00F46A6D"/>
    <w:rsid w:val="00F47C3D"/>
    <w:rsid w:val="00F5007A"/>
    <w:rsid w:val="00F5189F"/>
    <w:rsid w:val="00F51D31"/>
    <w:rsid w:val="00F51F1A"/>
    <w:rsid w:val="00F523B6"/>
    <w:rsid w:val="00F523EE"/>
    <w:rsid w:val="00F530B2"/>
    <w:rsid w:val="00F531F2"/>
    <w:rsid w:val="00F533EB"/>
    <w:rsid w:val="00F535E1"/>
    <w:rsid w:val="00F53752"/>
    <w:rsid w:val="00F54337"/>
    <w:rsid w:val="00F56EB3"/>
    <w:rsid w:val="00F57335"/>
    <w:rsid w:val="00F57A57"/>
    <w:rsid w:val="00F57E53"/>
    <w:rsid w:val="00F6062C"/>
    <w:rsid w:val="00F60768"/>
    <w:rsid w:val="00F61AA0"/>
    <w:rsid w:val="00F62062"/>
    <w:rsid w:val="00F62466"/>
    <w:rsid w:val="00F63A62"/>
    <w:rsid w:val="00F64AFF"/>
    <w:rsid w:val="00F64D35"/>
    <w:rsid w:val="00F64FF8"/>
    <w:rsid w:val="00F67229"/>
    <w:rsid w:val="00F675E1"/>
    <w:rsid w:val="00F67701"/>
    <w:rsid w:val="00F70306"/>
    <w:rsid w:val="00F704E9"/>
    <w:rsid w:val="00F72300"/>
    <w:rsid w:val="00F72C85"/>
    <w:rsid w:val="00F73590"/>
    <w:rsid w:val="00F73F12"/>
    <w:rsid w:val="00F746B3"/>
    <w:rsid w:val="00F74DB0"/>
    <w:rsid w:val="00F75552"/>
    <w:rsid w:val="00F75F64"/>
    <w:rsid w:val="00F76229"/>
    <w:rsid w:val="00F81B19"/>
    <w:rsid w:val="00F81D51"/>
    <w:rsid w:val="00F82938"/>
    <w:rsid w:val="00F83AF7"/>
    <w:rsid w:val="00F87CDC"/>
    <w:rsid w:val="00F9033A"/>
    <w:rsid w:val="00F92437"/>
    <w:rsid w:val="00F92527"/>
    <w:rsid w:val="00F9265B"/>
    <w:rsid w:val="00F93658"/>
    <w:rsid w:val="00F94A1C"/>
    <w:rsid w:val="00F94C3E"/>
    <w:rsid w:val="00F95192"/>
    <w:rsid w:val="00F969DC"/>
    <w:rsid w:val="00F97795"/>
    <w:rsid w:val="00FA09BC"/>
    <w:rsid w:val="00FA0F57"/>
    <w:rsid w:val="00FA112A"/>
    <w:rsid w:val="00FA22EB"/>
    <w:rsid w:val="00FA27C4"/>
    <w:rsid w:val="00FA3714"/>
    <w:rsid w:val="00FA3A13"/>
    <w:rsid w:val="00FA3DF4"/>
    <w:rsid w:val="00FA3F6F"/>
    <w:rsid w:val="00FA3F72"/>
    <w:rsid w:val="00FA4310"/>
    <w:rsid w:val="00FA4774"/>
    <w:rsid w:val="00FA4ABD"/>
    <w:rsid w:val="00FA58D4"/>
    <w:rsid w:val="00FA5B6E"/>
    <w:rsid w:val="00FA5C56"/>
    <w:rsid w:val="00FA637D"/>
    <w:rsid w:val="00FA6537"/>
    <w:rsid w:val="00FB0EA1"/>
    <w:rsid w:val="00FB0EC4"/>
    <w:rsid w:val="00FB0F49"/>
    <w:rsid w:val="00FB1849"/>
    <w:rsid w:val="00FB212E"/>
    <w:rsid w:val="00FB3B51"/>
    <w:rsid w:val="00FB3C58"/>
    <w:rsid w:val="00FB3E0E"/>
    <w:rsid w:val="00FB487F"/>
    <w:rsid w:val="00FB4D4F"/>
    <w:rsid w:val="00FB50E4"/>
    <w:rsid w:val="00FB6617"/>
    <w:rsid w:val="00FB6F7D"/>
    <w:rsid w:val="00FB725C"/>
    <w:rsid w:val="00FB78EB"/>
    <w:rsid w:val="00FC0E09"/>
    <w:rsid w:val="00FC1443"/>
    <w:rsid w:val="00FC146D"/>
    <w:rsid w:val="00FC19B5"/>
    <w:rsid w:val="00FC2334"/>
    <w:rsid w:val="00FC2A36"/>
    <w:rsid w:val="00FC33B1"/>
    <w:rsid w:val="00FC3CE4"/>
    <w:rsid w:val="00FC3D61"/>
    <w:rsid w:val="00FC48D1"/>
    <w:rsid w:val="00FC4B7E"/>
    <w:rsid w:val="00FC6CB6"/>
    <w:rsid w:val="00FC7600"/>
    <w:rsid w:val="00FC7796"/>
    <w:rsid w:val="00FC7BDD"/>
    <w:rsid w:val="00FC7F99"/>
    <w:rsid w:val="00FD0ED4"/>
    <w:rsid w:val="00FD1DD3"/>
    <w:rsid w:val="00FD254C"/>
    <w:rsid w:val="00FD30A4"/>
    <w:rsid w:val="00FD3EB7"/>
    <w:rsid w:val="00FD5556"/>
    <w:rsid w:val="00FD6CB0"/>
    <w:rsid w:val="00FD6E50"/>
    <w:rsid w:val="00FD6F39"/>
    <w:rsid w:val="00FE00F0"/>
    <w:rsid w:val="00FE1323"/>
    <w:rsid w:val="00FE2148"/>
    <w:rsid w:val="00FE29A1"/>
    <w:rsid w:val="00FE2C0B"/>
    <w:rsid w:val="00FE3D9D"/>
    <w:rsid w:val="00FE4253"/>
    <w:rsid w:val="00FE483B"/>
    <w:rsid w:val="00FE4A1A"/>
    <w:rsid w:val="00FE5242"/>
    <w:rsid w:val="00FE58BD"/>
    <w:rsid w:val="00FE6677"/>
    <w:rsid w:val="00FE694E"/>
    <w:rsid w:val="00FE719C"/>
    <w:rsid w:val="00FE7947"/>
    <w:rsid w:val="00FF1021"/>
    <w:rsid w:val="00FF134F"/>
    <w:rsid w:val="00FF1E96"/>
    <w:rsid w:val="00FF273C"/>
    <w:rsid w:val="00FF3A41"/>
    <w:rsid w:val="00FF45E4"/>
    <w:rsid w:val="00FF5186"/>
    <w:rsid w:val="00FF6452"/>
    <w:rsid w:val="00FF6786"/>
    <w:rsid w:val="00FF719D"/>
    <w:rsid w:val="00FF7208"/>
    <w:rsid w:val="00FF72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DF"/>
    <w:pPr>
      <w:spacing w:line="252" w:lineRule="auto"/>
    </w:pPr>
    <w:rPr>
      <w:rFonts w:ascii="Times New Roman" w:hAnsi="Times New Roman"/>
      <w:sz w:val="24"/>
    </w:rPr>
  </w:style>
  <w:style w:type="paragraph" w:styleId="Heading2">
    <w:name w:val="heading 2"/>
    <w:basedOn w:val="Normal"/>
    <w:next w:val="Normal"/>
    <w:link w:val="Heading2Char"/>
    <w:uiPriority w:val="9"/>
    <w:semiHidden/>
    <w:unhideWhenUsed/>
    <w:qFormat/>
    <w:rsid w:val="006B30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A55DF"/>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A55D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878"/>
    <w:rPr>
      <w:sz w:val="16"/>
      <w:szCs w:val="16"/>
    </w:rPr>
  </w:style>
  <w:style w:type="paragraph" w:styleId="CommentText">
    <w:name w:val="annotation text"/>
    <w:basedOn w:val="Normal"/>
    <w:link w:val="CommentTextChar"/>
    <w:uiPriority w:val="99"/>
    <w:unhideWhenUsed/>
    <w:rsid w:val="001A2878"/>
    <w:pPr>
      <w:spacing w:line="240" w:lineRule="auto"/>
    </w:pPr>
    <w:rPr>
      <w:sz w:val="20"/>
      <w:szCs w:val="20"/>
    </w:rPr>
  </w:style>
  <w:style w:type="character" w:customStyle="1" w:styleId="CommentTextChar">
    <w:name w:val="Comment Text Char"/>
    <w:basedOn w:val="DefaultParagraphFont"/>
    <w:link w:val="CommentText"/>
    <w:uiPriority w:val="99"/>
    <w:rsid w:val="001A2878"/>
    <w:rPr>
      <w:rFonts w:ascii="Times New Roman" w:hAnsi="Times New Roman"/>
      <w:sz w:val="20"/>
      <w:szCs w:val="20"/>
    </w:rPr>
  </w:style>
  <w:style w:type="paragraph" w:styleId="Header">
    <w:name w:val="header"/>
    <w:basedOn w:val="Normal"/>
    <w:link w:val="HeaderChar"/>
    <w:uiPriority w:val="99"/>
    <w:unhideWhenUsed/>
    <w:rsid w:val="00EE37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3783"/>
    <w:rPr>
      <w:rFonts w:ascii="Times New Roman" w:hAnsi="Times New Roman"/>
      <w:sz w:val="24"/>
    </w:rPr>
  </w:style>
  <w:style w:type="paragraph" w:styleId="Footer">
    <w:name w:val="footer"/>
    <w:basedOn w:val="Normal"/>
    <w:link w:val="FooterChar"/>
    <w:uiPriority w:val="99"/>
    <w:unhideWhenUsed/>
    <w:rsid w:val="00EE37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3783"/>
    <w:rPr>
      <w:rFonts w:ascii="Times New Roman" w:hAnsi="Times New Roman"/>
      <w:sz w:val="24"/>
    </w:rPr>
  </w:style>
  <w:style w:type="character" w:styleId="Hyperlink">
    <w:name w:val="Hyperlink"/>
    <w:basedOn w:val="DefaultParagraphFont"/>
    <w:uiPriority w:val="99"/>
    <w:unhideWhenUsed/>
    <w:rsid w:val="00CC0C3E"/>
    <w:rPr>
      <w:color w:val="0563C1" w:themeColor="hyperlink"/>
      <w:u w:val="single"/>
    </w:rPr>
  </w:style>
  <w:style w:type="character" w:styleId="FollowedHyperlink">
    <w:name w:val="FollowedHyperlink"/>
    <w:basedOn w:val="DefaultParagraphFont"/>
    <w:uiPriority w:val="99"/>
    <w:semiHidden/>
    <w:unhideWhenUsed/>
    <w:rsid w:val="00CC0C3E"/>
    <w:rPr>
      <w:color w:val="954F72" w:themeColor="followedHyperlink"/>
      <w:u w:val="single"/>
    </w:rPr>
  </w:style>
  <w:style w:type="paragraph" w:styleId="BalloonText">
    <w:name w:val="Balloon Text"/>
    <w:basedOn w:val="Normal"/>
    <w:link w:val="BalloonTextChar"/>
    <w:uiPriority w:val="99"/>
    <w:semiHidden/>
    <w:unhideWhenUsed/>
    <w:rsid w:val="00CB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C"/>
    <w:rPr>
      <w:rFonts w:ascii="Segoe UI" w:hAnsi="Segoe UI" w:cs="Segoe UI"/>
      <w:sz w:val="18"/>
      <w:szCs w:val="18"/>
    </w:rPr>
  </w:style>
  <w:style w:type="paragraph" w:styleId="Revision">
    <w:name w:val="Revision"/>
    <w:hidden/>
    <w:uiPriority w:val="99"/>
    <w:semiHidden/>
    <w:rsid w:val="008B52F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71434"/>
    <w:rPr>
      <w:b/>
      <w:bCs/>
    </w:rPr>
  </w:style>
  <w:style w:type="character" w:customStyle="1" w:styleId="CommentSubjectChar">
    <w:name w:val="Comment Subject Char"/>
    <w:basedOn w:val="CommentTextChar"/>
    <w:link w:val="CommentSubject"/>
    <w:uiPriority w:val="99"/>
    <w:semiHidden/>
    <w:rsid w:val="00771434"/>
    <w:rPr>
      <w:rFonts w:ascii="Times New Roman" w:hAnsi="Times New Roman"/>
      <w:b/>
      <w:bCs/>
      <w:sz w:val="20"/>
      <w:szCs w:val="20"/>
    </w:rPr>
  </w:style>
  <w:style w:type="character" w:styleId="Emphasis">
    <w:name w:val="Emphasis"/>
    <w:basedOn w:val="DefaultParagraphFont"/>
    <w:qFormat/>
    <w:rsid w:val="009A4B04"/>
    <w:rPr>
      <w:i/>
      <w:iCs/>
    </w:rPr>
  </w:style>
  <w:style w:type="paragraph" w:styleId="ListParagraph">
    <w:name w:val="List Paragraph"/>
    <w:basedOn w:val="Normal"/>
    <w:uiPriority w:val="34"/>
    <w:qFormat/>
    <w:rsid w:val="006F5142"/>
    <w:pPr>
      <w:ind w:left="720"/>
      <w:contextualSpacing/>
    </w:pPr>
  </w:style>
  <w:style w:type="paragraph" w:styleId="NoSpacing">
    <w:name w:val="No Spacing"/>
    <w:uiPriority w:val="1"/>
    <w:qFormat/>
    <w:rsid w:val="0048554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55AA7"/>
    <w:rPr>
      <w:color w:val="605E5C"/>
      <w:shd w:val="clear" w:color="auto" w:fill="E1DFDD"/>
    </w:rPr>
  </w:style>
  <w:style w:type="character" w:customStyle="1" w:styleId="svvr">
    <w:name w:val="sv_vr"/>
    <w:basedOn w:val="DefaultParagraphFont"/>
    <w:rsid w:val="006F4201"/>
  </w:style>
  <w:style w:type="character" w:customStyle="1" w:styleId="dictverbalization">
    <w:name w:val="dict_verbalization"/>
    <w:basedOn w:val="DefaultParagraphFont"/>
    <w:rsid w:val="006F4201"/>
  </w:style>
  <w:style w:type="character" w:customStyle="1" w:styleId="entry-collapse-heading">
    <w:name w:val="entry-collapse-heading"/>
    <w:basedOn w:val="DefaultParagraphFont"/>
    <w:rsid w:val="006F4201"/>
  </w:style>
  <w:style w:type="character" w:customStyle="1" w:styleId="dictsensenumber">
    <w:name w:val="dict_sensenumber"/>
    <w:basedOn w:val="DefaultParagraphFont"/>
    <w:rsid w:val="006F4201"/>
  </w:style>
  <w:style w:type="character" w:customStyle="1" w:styleId="dictgloss">
    <w:name w:val="dict_gloss"/>
    <w:basedOn w:val="DefaultParagraphFont"/>
    <w:rsid w:val="006F4201"/>
  </w:style>
  <w:style w:type="paragraph" w:styleId="FootnoteText">
    <w:name w:val="footnote text"/>
    <w:basedOn w:val="Normal"/>
    <w:link w:val="FootnoteTextChar"/>
    <w:uiPriority w:val="99"/>
    <w:semiHidden/>
    <w:unhideWhenUsed/>
    <w:rsid w:val="005373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3D8"/>
    <w:rPr>
      <w:rFonts w:ascii="Times New Roman" w:hAnsi="Times New Roman"/>
      <w:sz w:val="20"/>
      <w:szCs w:val="20"/>
    </w:rPr>
  </w:style>
  <w:style w:type="character" w:styleId="FootnoteReference">
    <w:name w:val="footnote reference"/>
    <w:basedOn w:val="DefaultParagraphFont"/>
    <w:uiPriority w:val="99"/>
    <w:semiHidden/>
    <w:unhideWhenUsed/>
    <w:rsid w:val="005373D8"/>
    <w:rPr>
      <w:vertAlign w:val="superscript"/>
    </w:rPr>
  </w:style>
  <w:style w:type="character" w:customStyle="1" w:styleId="CharStyle10">
    <w:name w:val="Char Style 10"/>
    <w:basedOn w:val="DefaultParagraphFont"/>
    <w:link w:val="Style9"/>
    <w:uiPriority w:val="99"/>
    <w:rsid w:val="00416940"/>
    <w:rPr>
      <w:sz w:val="21"/>
      <w:szCs w:val="21"/>
      <w:shd w:val="clear" w:color="auto" w:fill="FFFFFF"/>
    </w:rPr>
  </w:style>
  <w:style w:type="paragraph" w:customStyle="1" w:styleId="Style9">
    <w:name w:val="Style 9"/>
    <w:basedOn w:val="Normal"/>
    <w:link w:val="CharStyle10"/>
    <w:uiPriority w:val="99"/>
    <w:qFormat/>
    <w:rsid w:val="00416940"/>
    <w:pPr>
      <w:widowControl w:val="0"/>
      <w:shd w:val="clear" w:color="auto" w:fill="FFFFFF"/>
      <w:spacing w:before="260" w:after="120" w:line="227" w:lineRule="exact"/>
      <w:jc w:val="both"/>
    </w:pPr>
    <w:rPr>
      <w:rFonts w:asciiTheme="minorHAnsi" w:hAnsiTheme="minorHAnsi"/>
      <w:sz w:val="21"/>
      <w:szCs w:val="21"/>
    </w:rPr>
  </w:style>
  <w:style w:type="character" w:customStyle="1" w:styleId="apple-converted-space">
    <w:name w:val="apple-converted-space"/>
    <w:basedOn w:val="DefaultParagraphFont"/>
    <w:rsid w:val="00ED352C"/>
  </w:style>
  <w:style w:type="paragraph" w:styleId="NormalWeb">
    <w:name w:val="Normal (Web)"/>
    <w:basedOn w:val="Normal"/>
    <w:uiPriority w:val="99"/>
    <w:semiHidden/>
    <w:unhideWhenUsed/>
    <w:rsid w:val="00E03380"/>
    <w:pPr>
      <w:spacing w:before="100" w:beforeAutospacing="1" w:after="100" w:afterAutospacing="1" w:line="240" w:lineRule="auto"/>
    </w:pPr>
    <w:rPr>
      <w:rFonts w:eastAsia="Times New Roman" w:cs="Times New Roman"/>
      <w:szCs w:val="24"/>
      <w:lang w:val="en-US"/>
    </w:rPr>
  </w:style>
  <w:style w:type="character" w:customStyle="1" w:styleId="cf01">
    <w:name w:val="cf01"/>
    <w:basedOn w:val="DefaultParagraphFont"/>
    <w:rsid w:val="00E03380"/>
    <w:rPr>
      <w:rFonts w:ascii="Segoe UI" w:hAnsi="Segoe UI" w:cs="Segoe UI" w:hint="default"/>
      <w:sz w:val="18"/>
      <w:szCs w:val="18"/>
    </w:rPr>
  </w:style>
  <w:style w:type="character" w:customStyle="1" w:styleId="cf11">
    <w:name w:val="cf11"/>
    <w:basedOn w:val="DefaultParagraphFont"/>
    <w:rsid w:val="00E03380"/>
    <w:rPr>
      <w:rFonts w:ascii="Segoe UI" w:hAnsi="Segoe UI" w:cs="Segoe UI" w:hint="default"/>
      <w:sz w:val="18"/>
      <w:szCs w:val="18"/>
    </w:rPr>
  </w:style>
  <w:style w:type="paragraph" w:styleId="IntenseQuote">
    <w:name w:val="Intense Quote"/>
    <w:basedOn w:val="Normal"/>
    <w:next w:val="Normal"/>
    <w:link w:val="IntenseQuoteChar"/>
    <w:uiPriority w:val="30"/>
    <w:qFormat/>
    <w:rsid w:val="0017391B"/>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eastAsia="Times New Roman" w:cs="Times New Roman"/>
      <w:i/>
      <w:iCs/>
      <w:color w:val="2E74B5" w:themeColor="accent1" w:themeShade="BF"/>
      <w:szCs w:val="24"/>
      <w14:ligatures w14:val="standardContextual"/>
    </w:rPr>
  </w:style>
  <w:style w:type="character" w:customStyle="1" w:styleId="IntenseQuoteChar">
    <w:name w:val="Intense Quote Char"/>
    <w:basedOn w:val="DefaultParagraphFont"/>
    <w:link w:val="IntenseQuote"/>
    <w:uiPriority w:val="30"/>
    <w:rsid w:val="0017391B"/>
    <w:rPr>
      <w:rFonts w:ascii="Times New Roman" w:eastAsia="Times New Roman" w:hAnsi="Times New Roman" w:cs="Times New Roman"/>
      <w:i/>
      <w:iCs/>
      <w:color w:val="2E74B5" w:themeColor="accent1" w:themeShade="BF"/>
      <w:sz w:val="24"/>
      <w:szCs w:val="24"/>
      <w14:ligatures w14:val="standardContextual"/>
    </w:rPr>
  </w:style>
  <w:style w:type="character" w:styleId="IntenseReference">
    <w:name w:val="Intense Reference"/>
    <w:basedOn w:val="DefaultParagraphFont"/>
    <w:uiPriority w:val="32"/>
    <w:qFormat/>
    <w:rsid w:val="00887F71"/>
    <w:rPr>
      <w:b/>
      <w:bCs/>
      <w:smallCaps/>
      <w:color w:val="5B9BD5" w:themeColor="accent1"/>
      <w:spacing w:val="5"/>
    </w:rPr>
  </w:style>
  <w:style w:type="character" w:customStyle="1" w:styleId="Heading2Char">
    <w:name w:val="Heading 2 Char"/>
    <w:basedOn w:val="DefaultParagraphFont"/>
    <w:link w:val="Heading2"/>
    <w:uiPriority w:val="9"/>
    <w:semiHidden/>
    <w:rsid w:val="006B306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30">
      <w:bodyDiv w:val="1"/>
      <w:marLeft w:val="0"/>
      <w:marRight w:val="0"/>
      <w:marTop w:val="0"/>
      <w:marBottom w:val="0"/>
      <w:divBdr>
        <w:top w:val="none" w:sz="0" w:space="0" w:color="auto"/>
        <w:left w:val="none" w:sz="0" w:space="0" w:color="auto"/>
        <w:bottom w:val="none" w:sz="0" w:space="0" w:color="auto"/>
        <w:right w:val="none" w:sz="0" w:space="0" w:color="auto"/>
      </w:divBdr>
    </w:div>
    <w:div w:id="41171770">
      <w:bodyDiv w:val="1"/>
      <w:marLeft w:val="0"/>
      <w:marRight w:val="0"/>
      <w:marTop w:val="0"/>
      <w:marBottom w:val="0"/>
      <w:divBdr>
        <w:top w:val="none" w:sz="0" w:space="0" w:color="auto"/>
        <w:left w:val="none" w:sz="0" w:space="0" w:color="auto"/>
        <w:bottom w:val="none" w:sz="0" w:space="0" w:color="auto"/>
        <w:right w:val="none" w:sz="0" w:space="0" w:color="auto"/>
      </w:divBdr>
      <w:divsChild>
        <w:div w:id="520096189">
          <w:marLeft w:val="0"/>
          <w:marRight w:val="0"/>
          <w:marTop w:val="240"/>
          <w:marBottom w:val="0"/>
          <w:divBdr>
            <w:top w:val="none" w:sz="0" w:space="0" w:color="auto"/>
            <w:left w:val="none" w:sz="0" w:space="0" w:color="auto"/>
            <w:bottom w:val="none" w:sz="0" w:space="0" w:color="auto"/>
            <w:right w:val="none" w:sz="0" w:space="0" w:color="auto"/>
          </w:divBdr>
          <w:divsChild>
            <w:div w:id="404035596">
              <w:marLeft w:val="0"/>
              <w:marRight w:val="0"/>
              <w:marTop w:val="0"/>
              <w:marBottom w:val="0"/>
              <w:divBdr>
                <w:top w:val="none" w:sz="0" w:space="0" w:color="auto"/>
                <w:left w:val="none" w:sz="0" w:space="0" w:color="auto"/>
                <w:bottom w:val="none" w:sz="0" w:space="0" w:color="auto"/>
                <w:right w:val="none" w:sz="0" w:space="0" w:color="auto"/>
              </w:divBdr>
              <w:divsChild>
                <w:div w:id="103129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0618">
          <w:marLeft w:val="0"/>
          <w:marRight w:val="0"/>
          <w:marTop w:val="240"/>
          <w:marBottom w:val="0"/>
          <w:divBdr>
            <w:top w:val="none" w:sz="0" w:space="0" w:color="auto"/>
            <w:left w:val="none" w:sz="0" w:space="0" w:color="auto"/>
            <w:bottom w:val="none" w:sz="0" w:space="0" w:color="auto"/>
            <w:right w:val="none" w:sz="0" w:space="0" w:color="auto"/>
          </w:divBdr>
          <w:divsChild>
            <w:div w:id="2143384834">
              <w:marLeft w:val="480"/>
              <w:marRight w:val="0"/>
              <w:marTop w:val="0"/>
              <w:marBottom w:val="0"/>
              <w:divBdr>
                <w:top w:val="none" w:sz="0" w:space="0" w:color="auto"/>
                <w:left w:val="none" w:sz="0" w:space="0" w:color="auto"/>
                <w:bottom w:val="none" w:sz="0" w:space="0" w:color="auto"/>
                <w:right w:val="none" w:sz="0" w:space="0" w:color="auto"/>
              </w:divBdr>
              <w:divsChild>
                <w:div w:id="874198847">
                  <w:marLeft w:val="0"/>
                  <w:marRight w:val="0"/>
                  <w:marTop w:val="0"/>
                  <w:marBottom w:val="0"/>
                  <w:divBdr>
                    <w:top w:val="none" w:sz="0" w:space="0" w:color="auto"/>
                    <w:left w:val="none" w:sz="0" w:space="0" w:color="auto"/>
                    <w:bottom w:val="none" w:sz="0" w:space="0" w:color="auto"/>
                    <w:right w:val="none" w:sz="0" w:space="0" w:color="auto"/>
                  </w:divBdr>
                  <w:divsChild>
                    <w:div w:id="69110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20567">
          <w:marLeft w:val="0"/>
          <w:marRight w:val="0"/>
          <w:marTop w:val="240"/>
          <w:marBottom w:val="0"/>
          <w:divBdr>
            <w:top w:val="none" w:sz="0" w:space="0" w:color="auto"/>
            <w:left w:val="none" w:sz="0" w:space="0" w:color="auto"/>
            <w:bottom w:val="none" w:sz="0" w:space="0" w:color="auto"/>
            <w:right w:val="none" w:sz="0" w:space="0" w:color="auto"/>
          </w:divBdr>
          <w:divsChild>
            <w:div w:id="1857160108">
              <w:marLeft w:val="480"/>
              <w:marRight w:val="0"/>
              <w:marTop w:val="0"/>
              <w:marBottom w:val="0"/>
              <w:divBdr>
                <w:top w:val="none" w:sz="0" w:space="0" w:color="auto"/>
                <w:left w:val="none" w:sz="0" w:space="0" w:color="auto"/>
                <w:bottom w:val="none" w:sz="0" w:space="0" w:color="auto"/>
                <w:right w:val="none" w:sz="0" w:space="0" w:color="auto"/>
              </w:divBdr>
              <w:divsChild>
                <w:div w:id="1106271828">
                  <w:marLeft w:val="0"/>
                  <w:marRight w:val="0"/>
                  <w:marTop w:val="0"/>
                  <w:marBottom w:val="0"/>
                  <w:divBdr>
                    <w:top w:val="none" w:sz="0" w:space="0" w:color="auto"/>
                    <w:left w:val="none" w:sz="0" w:space="0" w:color="auto"/>
                    <w:bottom w:val="none" w:sz="0" w:space="0" w:color="auto"/>
                    <w:right w:val="none" w:sz="0" w:space="0" w:color="auto"/>
                  </w:divBdr>
                  <w:divsChild>
                    <w:div w:id="7104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47968">
          <w:marLeft w:val="0"/>
          <w:marRight w:val="0"/>
          <w:marTop w:val="240"/>
          <w:marBottom w:val="0"/>
          <w:divBdr>
            <w:top w:val="none" w:sz="0" w:space="0" w:color="auto"/>
            <w:left w:val="none" w:sz="0" w:space="0" w:color="auto"/>
            <w:bottom w:val="none" w:sz="0" w:space="0" w:color="auto"/>
            <w:right w:val="none" w:sz="0" w:space="0" w:color="auto"/>
          </w:divBdr>
          <w:divsChild>
            <w:div w:id="226111288">
              <w:marLeft w:val="480"/>
              <w:marRight w:val="0"/>
              <w:marTop w:val="0"/>
              <w:marBottom w:val="0"/>
              <w:divBdr>
                <w:top w:val="none" w:sz="0" w:space="0" w:color="auto"/>
                <w:left w:val="none" w:sz="0" w:space="0" w:color="auto"/>
                <w:bottom w:val="none" w:sz="0" w:space="0" w:color="auto"/>
                <w:right w:val="none" w:sz="0" w:space="0" w:color="auto"/>
              </w:divBdr>
              <w:divsChild>
                <w:div w:id="366806183">
                  <w:marLeft w:val="0"/>
                  <w:marRight w:val="0"/>
                  <w:marTop w:val="0"/>
                  <w:marBottom w:val="0"/>
                  <w:divBdr>
                    <w:top w:val="none" w:sz="0" w:space="0" w:color="auto"/>
                    <w:left w:val="none" w:sz="0" w:space="0" w:color="auto"/>
                    <w:bottom w:val="none" w:sz="0" w:space="0" w:color="auto"/>
                    <w:right w:val="none" w:sz="0" w:space="0" w:color="auto"/>
                  </w:divBdr>
                  <w:divsChild>
                    <w:div w:id="6497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19229">
      <w:bodyDiv w:val="1"/>
      <w:marLeft w:val="0"/>
      <w:marRight w:val="0"/>
      <w:marTop w:val="0"/>
      <w:marBottom w:val="0"/>
      <w:divBdr>
        <w:top w:val="none" w:sz="0" w:space="0" w:color="auto"/>
        <w:left w:val="none" w:sz="0" w:space="0" w:color="auto"/>
        <w:bottom w:val="none" w:sz="0" w:space="0" w:color="auto"/>
        <w:right w:val="none" w:sz="0" w:space="0" w:color="auto"/>
      </w:divBdr>
    </w:div>
    <w:div w:id="48118588">
      <w:bodyDiv w:val="1"/>
      <w:marLeft w:val="0"/>
      <w:marRight w:val="0"/>
      <w:marTop w:val="0"/>
      <w:marBottom w:val="0"/>
      <w:divBdr>
        <w:top w:val="none" w:sz="0" w:space="0" w:color="auto"/>
        <w:left w:val="none" w:sz="0" w:space="0" w:color="auto"/>
        <w:bottom w:val="none" w:sz="0" w:space="0" w:color="auto"/>
        <w:right w:val="none" w:sz="0" w:space="0" w:color="auto"/>
      </w:divBdr>
    </w:div>
    <w:div w:id="112865933">
      <w:bodyDiv w:val="1"/>
      <w:marLeft w:val="0"/>
      <w:marRight w:val="0"/>
      <w:marTop w:val="0"/>
      <w:marBottom w:val="0"/>
      <w:divBdr>
        <w:top w:val="none" w:sz="0" w:space="0" w:color="auto"/>
        <w:left w:val="none" w:sz="0" w:space="0" w:color="auto"/>
        <w:bottom w:val="none" w:sz="0" w:space="0" w:color="auto"/>
        <w:right w:val="none" w:sz="0" w:space="0" w:color="auto"/>
      </w:divBdr>
    </w:div>
    <w:div w:id="114449119">
      <w:bodyDiv w:val="1"/>
      <w:marLeft w:val="0"/>
      <w:marRight w:val="0"/>
      <w:marTop w:val="0"/>
      <w:marBottom w:val="0"/>
      <w:divBdr>
        <w:top w:val="none" w:sz="0" w:space="0" w:color="auto"/>
        <w:left w:val="none" w:sz="0" w:space="0" w:color="auto"/>
        <w:bottom w:val="none" w:sz="0" w:space="0" w:color="auto"/>
        <w:right w:val="none" w:sz="0" w:space="0" w:color="auto"/>
      </w:divBdr>
    </w:div>
    <w:div w:id="160128395">
      <w:bodyDiv w:val="1"/>
      <w:marLeft w:val="0"/>
      <w:marRight w:val="0"/>
      <w:marTop w:val="0"/>
      <w:marBottom w:val="0"/>
      <w:divBdr>
        <w:top w:val="none" w:sz="0" w:space="0" w:color="auto"/>
        <w:left w:val="none" w:sz="0" w:space="0" w:color="auto"/>
        <w:bottom w:val="none" w:sz="0" w:space="0" w:color="auto"/>
        <w:right w:val="none" w:sz="0" w:space="0" w:color="auto"/>
      </w:divBdr>
      <w:divsChild>
        <w:div w:id="817304785">
          <w:marLeft w:val="0"/>
          <w:marRight w:val="0"/>
          <w:marTop w:val="240"/>
          <w:marBottom w:val="0"/>
          <w:divBdr>
            <w:top w:val="none" w:sz="0" w:space="0" w:color="auto"/>
            <w:left w:val="none" w:sz="0" w:space="0" w:color="auto"/>
            <w:bottom w:val="none" w:sz="0" w:space="0" w:color="auto"/>
            <w:right w:val="none" w:sz="0" w:space="0" w:color="auto"/>
          </w:divBdr>
          <w:divsChild>
            <w:div w:id="647561933">
              <w:marLeft w:val="0"/>
              <w:marRight w:val="0"/>
              <w:marTop w:val="0"/>
              <w:marBottom w:val="240"/>
              <w:divBdr>
                <w:top w:val="none" w:sz="0" w:space="0" w:color="auto"/>
                <w:left w:val="none" w:sz="0" w:space="0" w:color="auto"/>
                <w:bottom w:val="none" w:sz="0" w:space="0" w:color="auto"/>
                <w:right w:val="none" w:sz="0" w:space="0" w:color="auto"/>
              </w:divBdr>
            </w:div>
            <w:div w:id="2003390331">
              <w:marLeft w:val="0"/>
              <w:marRight w:val="0"/>
              <w:marTop w:val="0"/>
              <w:marBottom w:val="0"/>
              <w:divBdr>
                <w:top w:val="none" w:sz="0" w:space="0" w:color="auto"/>
                <w:left w:val="none" w:sz="0" w:space="0" w:color="auto"/>
                <w:bottom w:val="none" w:sz="0" w:space="0" w:color="auto"/>
                <w:right w:val="none" w:sz="0" w:space="0" w:color="auto"/>
              </w:divBdr>
              <w:divsChild>
                <w:div w:id="809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4181">
          <w:marLeft w:val="0"/>
          <w:marRight w:val="0"/>
          <w:marTop w:val="240"/>
          <w:marBottom w:val="0"/>
          <w:divBdr>
            <w:top w:val="none" w:sz="0" w:space="0" w:color="auto"/>
            <w:left w:val="none" w:sz="0" w:space="0" w:color="auto"/>
            <w:bottom w:val="none" w:sz="0" w:space="0" w:color="auto"/>
            <w:right w:val="none" w:sz="0" w:space="0" w:color="auto"/>
          </w:divBdr>
        </w:div>
      </w:divsChild>
    </w:div>
    <w:div w:id="254628524">
      <w:bodyDiv w:val="1"/>
      <w:marLeft w:val="0"/>
      <w:marRight w:val="0"/>
      <w:marTop w:val="0"/>
      <w:marBottom w:val="0"/>
      <w:divBdr>
        <w:top w:val="none" w:sz="0" w:space="0" w:color="auto"/>
        <w:left w:val="none" w:sz="0" w:space="0" w:color="auto"/>
        <w:bottom w:val="none" w:sz="0" w:space="0" w:color="auto"/>
        <w:right w:val="none" w:sz="0" w:space="0" w:color="auto"/>
      </w:divBdr>
    </w:div>
    <w:div w:id="269746416">
      <w:bodyDiv w:val="1"/>
      <w:marLeft w:val="0"/>
      <w:marRight w:val="0"/>
      <w:marTop w:val="0"/>
      <w:marBottom w:val="0"/>
      <w:divBdr>
        <w:top w:val="none" w:sz="0" w:space="0" w:color="auto"/>
        <w:left w:val="none" w:sz="0" w:space="0" w:color="auto"/>
        <w:bottom w:val="none" w:sz="0" w:space="0" w:color="auto"/>
        <w:right w:val="none" w:sz="0" w:space="0" w:color="auto"/>
      </w:divBdr>
    </w:div>
    <w:div w:id="270405652">
      <w:bodyDiv w:val="1"/>
      <w:marLeft w:val="0"/>
      <w:marRight w:val="0"/>
      <w:marTop w:val="0"/>
      <w:marBottom w:val="0"/>
      <w:divBdr>
        <w:top w:val="none" w:sz="0" w:space="0" w:color="auto"/>
        <w:left w:val="none" w:sz="0" w:space="0" w:color="auto"/>
        <w:bottom w:val="none" w:sz="0" w:space="0" w:color="auto"/>
        <w:right w:val="none" w:sz="0" w:space="0" w:color="auto"/>
      </w:divBdr>
    </w:div>
    <w:div w:id="299268655">
      <w:bodyDiv w:val="1"/>
      <w:marLeft w:val="0"/>
      <w:marRight w:val="0"/>
      <w:marTop w:val="0"/>
      <w:marBottom w:val="0"/>
      <w:divBdr>
        <w:top w:val="none" w:sz="0" w:space="0" w:color="auto"/>
        <w:left w:val="none" w:sz="0" w:space="0" w:color="auto"/>
        <w:bottom w:val="none" w:sz="0" w:space="0" w:color="auto"/>
        <w:right w:val="none" w:sz="0" w:space="0" w:color="auto"/>
      </w:divBdr>
    </w:div>
    <w:div w:id="300890849">
      <w:bodyDiv w:val="1"/>
      <w:marLeft w:val="0"/>
      <w:marRight w:val="0"/>
      <w:marTop w:val="0"/>
      <w:marBottom w:val="0"/>
      <w:divBdr>
        <w:top w:val="none" w:sz="0" w:space="0" w:color="auto"/>
        <w:left w:val="none" w:sz="0" w:space="0" w:color="auto"/>
        <w:bottom w:val="none" w:sz="0" w:space="0" w:color="auto"/>
        <w:right w:val="none" w:sz="0" w:space="0" w:color="auto"/>
      </w:divBdr>
    </w:div>
    <w:div w:id="334456883">
      <w:bodyDiv w:val="1"/>
      <w:marLeft w:val="0"/>
      <w:marRight w:val="0"/>
      <w:marTop w:val="0"/>
      <w:marBottom w:val="0"/>
      <w:divBdr>
        <w:top w:val="none" w:sz="0" w:space="0" w:color="auto"/>
        <w:left w:val="none" w:sz="0" w:space="0" w:color="auto"/>
        <w:bottom w:val="none" w:sz="0" w:space="0" w:color="auto"/>
        <w:right w:val="none" w:sz="0" w:space="0" w:color="auto"/>
      </w:divBdr>
    </w:div>
    <w:div w:id="440222768">
      <w:bodyDiv w:val="1"/>
      <w:marLeft w:val="0"/>
      <w:marRight w:val="0"/>
      <w:marTop w:val="0"/>
      <w:marBottom w:val="0"/>
      <w:divBdr>
        <w:top w:val="none" w:sz="0" w:space="0" w:color="auto"/>
        <w:left w:val="none" w:sz="0" w:space="0" w:color="auto"/>
        <w:bottom w:val="none" w:sz="0" w:space="0" w:color="auto"/>
        <w:right w:val="none" w:sz="0" w:space="0" w:color="auto"/>
      </w:divBdr>
    </w:div>
    <w:div w:id="476336979">
      <w:bodyDiv w:val="1"/>
      <w:marLeft w:val="0"/>
      <w:marRight w:val="0"/>
      <w:marTop w:val="0"/>
      <w:marBottom w:val="0"/>
      <w:divBdr>
        <w:top w:val="none" w:sz="0" w:space="0" w:color="auto"/>
        <w:left w:val="none" w:sz="0" w:space="0" w:color="auto"/>
        <w:bottom w:val="none" w:sz="0" w:space="0" w:color="auto"/>
        <w:right w:val="none" w:sz="0" w:space="0" w:color="auto"/>
      </w:divBdr>
      <w:divsChild>
        <w:div w:id="14161779">
          <w:marLeft w:val="0"/>
          <w:marRight w:val="0"/>
          <w:marTop w:val="240"/>
          <w:marBottom w:val="0"/>
          <w:divBdr>
            <w:top w:val="none" w:sz="0" w:space="0" w:color="auto"/>
            <w:left w:val="none" w:sz="0" w:space="0" w:color="auto"/>
            <w:bottom w:val="none" w:sz="0" w:space="0" w:color="auto"/>
            <w:right w:val="none" w:sz="0" w:space="0" w:color="auto"/>
          </w:divBdr>
          <w:divsChild>
            <w:div w:id="806625119">
              <w:marLeft w:val="0"/>
              <w:marRight w:val="0"/>
              <w:marTop w:val="0"/>
              <w:marBottom w:val="0"/>
              <w:divBdr>
                <w:top w:val="none" w:sz="0" w:space="0" w:color="auto"/>
                <w:left w:val="none" w:sz="0" w:space="0" w:color="auto"/>
                <w:bottom w:val="none" w:sz="0" w:space="0" w:color="auto"/>
                <w:right w:val="none" w:sz="0" w:space="0" w:color="auto"/>
              </w:divBdr>
              <w:divsChild>
                <w:div w:id="2031104582">
                  <w:marLeft w:val="0"/>
                  <w:marRight w:val="0"/>
                  <w:marTop w:val="0"/>
                  <w:marBottom w:val="0"/>
                  <w:divBdr>
                    <w:top w:val="none" w:sz="0" w:space="0" w:color="auto"/>
                    <w:left w:val="none" w:sz="0" w:space="0" w:color="auto"/>
                    <w:bottom w:val="none" w:sz="0" w:space="0" w:color="auto"/>
                    <w:right w:val="none" w:sz="0" w:space="0" w:color="auto"/>
                  </w:divBdr>
                  <w:divsChild>
                    <w:div w:id="200134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37756">
          <w:marLeft w:val="0"/>
          <w:marRight w:val="0"/>
          <w:marTop w:val="240"/>
          <w:marBottom w:val="0"/>
          <w:divBdr>
            <w:top w:val="none" w:sz="0" w:space="0" w:color="auto"/>
            <w:left w:val="none" w:sz="0" w:space="0" w:color="auto"/>
            <w:bottom w:val="none" w:sz="0" w:space="0" w:color="auto"/>
            <w:right w:val="none" w:sz="0" w:space="0" w:color="auto"/>
          </w:divBdr>
        </w:div>
      </w:divsChild>
    </w:div>
    <w:div w:id="566497444">
      <w:bodyDiv w:val="1"/>
      <w:marLeft w:val="0"/>
      <w:marRight w:val="0"/>
      <w:marTop w:val="0"/>
      <w:marBottom w:val="0"/>
      <w:divBdr>
        <w:top w:val="none" w:sz="0" w:space="0" w:color="auto"/>
        <w:left w:val="none" w:sz="0" w:space="0" w:color="auto"/>
        <w:bottom w:val="none" w:sz="0" w:space="0" w:color="auto"/>
        <w:right w:val="none" w:sz="0" w:space="0" w:color="auto"/>
      </w:divBdr>
    </w:div>
    <w:div w:id="621307587">
      <w:bodyDiv w:val="1"/>
      <w:marLeft w:val="0"/>
      <w:marRight w:val="0"/>
      <w:marTop w:val="0"/>
      <w:marBottom w:val="0"/>
      <w:divBdr>
        <w:top w:val="none" w:sz="0" w:space="0" w:color="auto"/>
        <w:left w:val="none" w:sz="0" w:space="0" w:color="auto"/>
        <w:bottom w:val="none" w:sz="0" w:space="0" w:color="auto"/>
        <w:right w:val="none" w:sz="0" w:space="0" w:color="auto"/>
      </w:divBdr>
      <w:divsChild>
        <w:div w:id="1018435130">
          <w:marLeft w:val="0"/>
          <w:marRight w:val="0"/>
          <w:marTop w:val="240"/>
          <w:marBottom w:val="0"/>
          <w:divBdr>
            <w:top w:val="none" w:sz="0" w:space="0" w:color="auto"/>
            <w:left w:val="none" w:sz="0" w:space="0" w:color="auto"/>
            <w:bottom w:val="none" w:sz="0" w:space="0" w:color="auto"/>
            <w:right w:val="none" w:sz="0" w:space="0" w:color="auto"/>
          </w:divBdr>
          <w:divsChild>
            <w:div w:id="1548683503">
              <w:marLeft w:val="0"/>
              <w:marRight w:val="0"/>
              <w:marTop w:val="0"/>
              <w:marBottom w:val="0"/>
              <w:divBdr>
                <w:top w:val="none" w:sz="0" w:space="0" w:color="auto"/>
                <w:left w:val="none" w:sz="0" w:space="0" w:color="auto"/>
                <w:bottom w:val="none" w:sz="0" w:space="0" w:color="auto"/>
                <w:right w:val="none" w:sz="0" w:space="0" w:color="auto"/>
              </w:divBdr>
              <w:divsChild>
                <w:div w:id="325210544">
                  <w:marLeft w:val="0"/>
                  <w:marRight w:val="0"/>
                  <w:marTop w:val="0"/>
                  <w:marBottom w:val="0"/>
                  <w:divBdr>
                    <w:top w:val="none" w:sz="0" w:space="0" w:color="auto"/>
                    <w:left w:val="none" w:sz="0" w:space="0" w:color="auto"/>
                    <w:bottom w:val="none" w:sz="0" w:space="0" w:color="auto"/>
                    <w:right w:val="none" w:sz="0" w:space="0" w:color="auto"/>
                  </w:divBdr>
                  <w:divsChild>
                    <w:div w:id="10688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2206">
          <w:marLeft w:val="0"/>
          <w:marRight w:val="0"/>
          <w:marTop w:val="240"/>
          <w:marBottom w:val="0"/>
          <w:divBdr>
            <w:top w:val="none" w:sz="0" w:space="0" w:color="auto"/>
            <w:left w:val="none" w:sz="0" w:space="0" w:color="auto"/>
            <w:bottom w:val="none" w:sz="0" w:space="0" w:color="auto"/>
            <w:right w:val="none" w:sz="0" w:space="0" w:color="auto"/>
          </w:divBdr>
        </w:div>
      </w:divsChild>
    </w:div>
    <w:div w:id="627323214">
      <w:bodyDiv w:val="1"/>
      <w:marLeft w:val="0"/>
      <w:marRight w:val="0"/>
      <w:marTop w:val="0"/>
      <w:marBottom w:val="0"/>
      <w:divBdr>
        <w:top w:val="none" w:sz="0" w:space="0" w:color="auto"/>
        <w:left w:val="none" w:sz="0" w:space="0" w:color="auto"/>
        <w:bottom w:val="none" w:sz="0" w:space="0" w:color="auto"/>
        <w:right w:val="none" w:sz="0" w:space="0" w:color="auto"/>
      </w:divBdr>
    </w:div>
    <w:div w:id="661154199">
      <w:bodyDiv w:val="1"/>
      <w:marLeft w:val="0"/>
      <w:marRight w:val="0"/>
      <w:marTop w:val="0"/>
      <w:marBottom w:val="0"/>
      <w:divBdr>
        <w:top w:val="none" w:sz="0" w:space="0" w:color="auto"/>
        <w:left w:val="none" w:sz="0" w:space="0" w:color="auto"/>
        <w:bottom w:val="none" w:sz="0" w:space="0" w:color="auto"/>
        <w:right w:val="none" w:sz="0" w:space="0" w:color="auto"/>
      </w:divBdr>
    </w:div>
    <w:div w:id="706367412">
      <w:bodyDiv w:val="1"/>
      <w:marLeft w:val="0"/>
      <w:marRight w:val="0"/>
      <w:marTop w:val="0"/>
      <w:marBottom w:val="0"/>
      <w:divBdr>
        <w:top w:val="none" w:sz="0" w:space="0" w:color="auto"/>
        <w:left w:val="none" w:sz="0" w:space="0" w:color="auto"/>
        <w:bottom w:val="none" w:sz="0" w:space="0" w:color="auto"/>
        <w:right w:val="none" w:sz="0" w:space="0" w:color="auto"/>
      </w:divBdr>
    </w:div>
    <w:div w:id="708992177">
      <w:bodyDiv w:val="1"/>
      <w:marLeft w:val="0"/>
      <w:marRight w:val="0"/>
      <w:marTop w:val="0"/>
      <w:marBottom w:val="0"/>
      <w:divBdr>
        <w:top w:val="none" w:sz="0" w:space="0" w:color="auto"/>
        <w:left w:val="none" w:sz="0" w:space="0" w:color="auto"/>
        <w:bottom w:val="none" w:sz="0" w:space="0" w:color="auto"/>
        <w:right w:val="none" w:sz="0" w:space="0" w:color="auto"/>
      </w:divBdr>
    </w:div>
    <w:div w:id="756247722">
      <w:bodyDiv w:val="1"/>
      <w:marLeft w:val="0"/>
      <w:marRight w:val="0"/>
      <w:marTop w:val="0"/>
      <w:marBottom w:val="0"/>
      <w:divBdr>
        <w:top w:val="none" w:sz="0" w:space="0" w:color="auto"/>
        <w:left w:val="none" w:sz="0" w:space="0" w:color="auto"/>
        <w:bottom w:val="none" w:sz="0" w:space="0" w:color="auto"/>
        <w:right w:val="none" w:sz="0" w:space="0" w:color="auto"/>
      </w:divBdr>
    </w:div>
    <w:div w:id="824275674">
      <w:bodyDiv w:val="1"/>
      <w:marLeft w:val="0"/>
      <w:marRight w:val="0"/>
      <w:marTop w:val="0"/>
      <w:marBottom w:val="0"/>
      <w:divBdr>
        <w:top w:val="none" w:sz="0" w:space="0" w:color="auto"/>
        <w:left w:val="none" w:sz="0" w:space="0" w:color="auto"/>
        <w:bottom w:val="none" w:sz="0" w:space="0" w:color="auto"/>
        <w:right w:val="none" w:sz="0" w:space="0" w:color="auto"/>
      </w:divBdr>
    </w:div>
    <w:div w:id="910040682">
      <w:bodyDiv w:val="1"/>
      <w:marLeft w:val="0"/>
      <w:marRight w:val="0"/>
      <w:marTop w:val="0"/>
      <w:marBottom w:val="0"/>
      <w:divBdr>
        <w:top w:val="none" w:sz="0" w:space="0" w:color="auto"/>
        <w:left w:val="none" w:sz="0" w:space="0" w:color="auto"/>
        <w:bottom w:val="none" w:sz="0" w:space="0" w:color="auto"/>
        <w:right w:val="none" w:sz="0" w:space="0" w:color="auto"/>
      </w:divBdr>
    </w:div>
    <w:div w:id="922030998">
      <w:bodyDiv w:val="1"/>
      <w:marLeft w:val="0"/>
      <w:marRight w:val="0"/>
      <w:marTop w:val="0"/>
      <w:marBottom w:val="0"/>
      <w:divBdr>
        <w:top w:val="none" w:sz="0" w:space="0" w:color="auto"/>
        <w:left w:val="none" w:sz="0" w:space="0" w:color="auto"/>
        <w:bottom w:val="none" w:sz="0" w:space="0" w:color="auto"/>
        <w:right w:val="none" w:sz="0" w:space="0" w:color="auto"/>
      </w:divBdr>
    </w:div>
    <w:div w:id="943999235">
      <w:bodyDiv w:val="1"/>
      <w:marLeft w:val="0"/>
      <w:marRight w:val="0"/>
      <w:marTop w:val="0"/>
      <w:marBottom w:val="0"/>
      <w:divBdr>
        <w:top w:val="none" w:sz="0" w:space="0" w:color="auto"/>
        <w:left w:val="none" w:sz="0" w:space="0" w:color="auto"/>
        <w:bottom w:val="none" w:sz="0" w:space="0" w:color="auto"/>
        <w:right w:val="none" w:sz="0" w:space="0" w:color="auto"/>
      </w:divBdr>
    </w:div>
    <w:div w:id="980841194">
      <w:bodyDiv w:val="1"/>
      <w:marLeft w:val="0"/>
      <w:marRight w:val="0"/>
      <w:marTop w:val="0"/>
      <w:marBottom w:val="0"/>
      <w:divBdr>
        <w:top w:val="none" w:sz="0" w:space="0" w:color="auto"/>
        <w:left w:val="none" w:sz="0" w:space="0" w:color="auto"/>
        <w:bottom w:val="none" w:sz="0" w:space="0" w:color="auto"/>
        <w:right w:val="none" w:sz="0" w:space="0" w:color="auto"/>
      </w:divBdr>
    </w:div>
    <w:div w:id="990015667">
      <w:bodyDiv w:val="1"/>
      <w:marLeft w:val="0"/>
      <w:marRight w:val="0"/>
      <w:marTop w:val="0"/>
      <w:marBottom w:val="0"/>
      <w:divBdr>
        <w:top w:val="none" w:sz="0" w:space="0" w:color="auto"/>
        <w:left w:val="none" w:sz="0" w:space="0" w:color="auto"/>
        <w:bottom w:val="none" w:sz="0" w:space="0" w:color="auto"/>
        <w:right w:val="none" w:sz="0" w:space="0" w:color="auto"/>
      </w:divBdr>
    </w:div>
    <w:div w:id="1139498970">
      <w:bodyDiv w:val="1"/>
      <w:marLeft w:val="0"/>
      <w:marRight w:val="0"/>
      <w:marTop w:val="0"/>
      <w:marBottom w:val="0"/>
      <w:divBdr>
        <w:top w:val="none" w:sz="0" w:space="0" w:color="auto"/>
        <w:left w:val="none" w:sz="0" w:space="0" w:color="auto"/>
        <w:bottom w:val="none" w:sz="0" w:space="0" w:color="auto"/>
        <w:right w:val="none" w:sz="0" w:space="0" w:color="auto"/>
      </w:divBdr>
    </w:div>
    <w:div w:id="1143619079">
      <w:bodyDiv w:val="1"/>
      <w:marLeft w:val="0"/>
      <w:marRight w:val="0"/>
      <w:marTop w:val="0"/>
      <w:marBottom w:val="0"/>
      <w:divBdr>
        <w:top w:val="none" w:sz="0" w:space="0" w:color="auto"/>
        <w:left w:val="none" w:sz="0" w:space="0" w:color="auto"/>
        <w:bottom w:val="none" w:sz="0" w:space="0" w:color="auto"/>
        <w:right w:val="none" w:sz="0" w:space="0" w:color="auto"/>
      </w:divBdr>
      <w:divsChild>
        <w:div w:id="1195726577">
          <w:marLeft w:val="0"/>
          <w:marRight w:val="0"/>
          <w:marTop w:val="240"/>
          <w:marBottom w:val="0"/>
          <w:divBdr>
            <w:top w:val="none" w:sz="0" w:space="0" w:color="auto"/>
            <w:left w:val="none" w:sz="0" w:space="0" w:color="auto"/>
            <w:bottom w:val="none" w:sz="0" w:space="0" w:color="auto"/>
            <w:right w:val="none" w:sz="0" w:space="0" w:color="auto"/>
          </w:divBdr>
          <w:divsChild>
            <w:div w:id="957447355">
              <w:marLeft w:val="0"/>
              <w:marRight w:val="0"/>
              <w:marTop w:val="0"/>
              <w:marBottom w:val="0"/>
              <w:divBdr>
                <w:top w:val="none" w:sz="0" w:space="0" w:color="auto"/>
                <w:left w:val="none" w:sz="0" w:space="0" w:color="auto"/>
                <w:bottom w:val="none" w:sz="0" w:space="0" w:color="auto"/>
                <w:right w:val="none" w:sz="0" w:space="0" w:color="auto"/>
              </w:divBdr>
              <w:divsChild>
                <w:div w:id="18109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1697">
          <w:marLeft w:val="0"/>
          <w:marRight w:val="0"/>
          <w:marTop w:val="240"/>
          <w:marBottom w:val="0"/>
          <w:divBdr>
            <w:top w:val="none" w:sz="0" w:space="0" w:color="auto"/>
            <w:left w:val="none" w:sz="0" w:space="0" w:color="auto"/>
            <w:bottom w:val="none" w:sz="0" w:space="0" w:color="auto"/>
            <w:right w:val="none" w:sz="0" w:space="0" w:color="auto"/>
          </w:divBdr>
        </w:div>
      </w:divsChild>
    </w:div>
    <w:div w:id="1252396423">
      <w:bodyDiv w:val="1"/>
      <w:marLeft w:val="0"/>
      <w:marRight w:val="0"/>
      <w:marTop w:val="0"/>
      <w:marBottom w:val="0"/>
      <w:divBdr>
        <w:top w:val="none" w:sz="0" w:space="0" w:color="auto"/>
        <w:left w:val="none" w:sz="0" w:space="0" w:color="auto"/>
        <w:bottom w:val="none" w:sz="0" w:space="0" w:color="auto"/>
        <w:right w:val="none" w:sz="0" w:space="0" w:color="auto"/>
      </w:divBdr>
    </w:div>
    <w:div w:id="1307010586">
      <w:bodyDiv w:val="1"/>
      <w:marLeft w:val="0"/>
      <w:marRight w:val="0"/>
      <w:marTop w:val="0"/>
      <w:marBottom w:val="0"/>
      <w:divBdr>
        <w:top w:val="none" w:sz="0" w:space="0" w:color="auto"/>
        <w:left w:val="none" w:sz="0" w:space="0" w:color="auto"/>
        <w:bottom w:val="none" w:sz="0" w:space="0" w:color="auto"/>
        <w:right w:val="none" w:sz="0" w:space="0" w:color="auto"/>
      </w:divBdr>
    </w:div>
    <w:div w:id="1337726595">
      <w:bodyDiv w:val="1"/>
      <w:marLeft w:val="0"/>
      <w:marRight w:val="0"/>
      <w:marTop w:val="0"/>
      <w:marBottom w:val="0"/>
      <w:divBdr>
        <w:top w:val="none" w:sz="0" w:space="0" w:color="auto"/>
        <w:left w:val="none" w:sz="0" w:space="0" w:color="auto"/>
        <w:bottom w:val="none" w:sz="0" w:space="0" w:color="auto"/>
        <w:right w:val="none" w:sz="0" w:space="0" w:color="auto"/>
      </w:divBdr>
    </w:div>
    <w:div w:id="1402749891">
      <w:bodyDiv w:val="1"/>
      <w:marLeft w:val="0"/>
      <w:marRight w:val="0"/>
      <w:marTop w:val="0"/>
      <w:marBottom w:val="0"/>
      <w:divBdr>
        <w:top w:val="none" w:sz="0" w:space="0" w:color="auto"/>
        <w:left w:val="none" w:sz="0" w:space="0" w:color="auto"/>
        <w:bottom w:val="none" w:sz="0" w:space="0" w:color="auto"/>
        <w:right w:val="none" w:sz="0" w:space="0" w:color="auto"/>
      </w:divBdr>
    </w:div>
    <w:div w:id="1411077932">
      <w:bodyDiv w:val="1"/>
      <w:marLeft w:val="0"/>
      <w:marRight w:val="0"/>
      <w:marTop w:val="0"/>
      <w:marBottom w:val="0"/>
      <w:divBdr>
        <w:top w:val="none" w:sz="0" w:space="0" w:color="auto"/>
        <w:left w:val="none" w:sz="0" w:space="0" w:color="auto"/>
        <w:bottom w:val="none" w:sz="0" w:space="0" w:color="auto"/>
        <w:right w:val="none" w:sz="0" w:space="0" w:color="auto"/>
      </w:divBdr>
    </w:div>
    <w:div w:id="1417828044">
      <w:bodyDiv w:val="1"/>
      <w:marLeft w:val="0"/>
      <w:marRight w:val="0"/>
      <w:marTop w:val="0"/>
      <w:marBottom w:val="0"/>
      <w:divBdr>
        <w:top w:val="none" w:sz="0" w:space="0" w:color="auto"/>
        <w:left w:val="none" w:sz="0" w:space="0" w:color="auto"/>
        <w:bottom w:val="none" w:sz="0" w:space="0" w:color="auto"/>
        <w:right w:val="none" w:sz="0" w:space="0" w:color="auto"/>
      </w:divBdr>
    </w:div>
    <w:div w:id="1480070319">
      <w:bodyDiv w:val="1"/>
      <w:marLeft w:val="0"/>
      <w:marRight w:val="0"/>
      <w:marTop w:val="0"/>
      <w:marBottom w:val="0"/>
      <w:divBdr>
        <w:top w:val="none" w:sz="0" w:space="0" w:color="auto"/>
        <w:left w:val="none" w:sz="0" w:space="0" w:color="auto"/>
        <w:bottom w:val="none" w:sz="0" w:space="0" w:color="auto"/>
        <w:right w:val="none" w:sz="0" w:space="0" w:color="auto"/>
      </w:divBdr>
    </w:div>
    <w:div w:id="1480267790">
      <w:bodyDiv w:val="1"/>
      <w:marLeft w:val="0"/>
      <w:marRight w:val="0"/>
      <w:marTop w:val="0"/>
      <w:marBottom w:val="0"/>
      <w:divBdr>
        <w:top w:val="none" w:sz="0" w:space="0" w:color="auto"/>
        <w:left w:val="none" w:sz="0" w:space="0" w:color="auto"/>
        <w:bottom w:val="none" w:sz="0" w:space="0" w:color="auto"/>
        <w:right w:val="none" w:sz="0" w:space="0" w:color="auto"/>
      </w:divBdr>
    </w:div>
    <w:div w:id="1530217705">
      <w:bodyDiv w:val="1"/>
      <w:marLeft w:val="0"/>
      <w:marRight w:val="0"/>
      <w:marTop w:val="0"/>
      <w:marBottom w:val="0"/>
      <w:divBdr>
        <w:top w:val="none" w:sz="0" w:space="0" w:color="auto"/>
        <w:left w:val="none" w:sz="0" w:space="0" w:color="auto"/>
        <w:bottom w:val="none" w:sz="0" w:space="0" w:color="auto"/>
        <w:right w:val="none" w:sz="0" w:space="0" w:color="auto"/>
      </w:divBdr>
    </w:div>
    <w:div w:id="1533689970">
      <w:bodyDiv w:val="1"/>
      <w:marLeft w:val="0"/>
      <w:marRight w:val="0"/>
      <w:marTop w:val="0"/>
      <w:marBottom w:val="0"/>
      <w:divBdr>
        <w:top w:val="none" w:sz="0" w:space="0" w:color="auto"/>
        <w:left w:val="none" w:sz="0" w:space="0" w:color="auto"/>
        <w:bottom w:val="none" w:sz="0" w:space="0" w:color="auto"/>
        <w:right w:val="none" w:sz="0" w:space="0" w:color="auto"/>
      </w:divBdr>
      <w:divsChild>
        <w:div w:id="73940804">
          <w:marLeft w:val="0"/>
          <w:marRight w:val="0"/>
          <w:marTop w:val="240"/>
          <w:marBottom w:val="0"/>
          <w:divBdr>
            <w:top w:val="none" w:sz="0" w:space="0" w:color="auto"/>
            <w:left w:val="none" w:sz="0" w:space="0" w:color="auto"/>
            <w:bottom w:val="none" w:sz="0" w:space="0" w:color="auto"/>
            <w:right w:val="none" w:sz="0" w:space="0" w:color="auto"/>
          </w:divBdr>
          <w:divsChild>
            <w:div w:id="999232063">
              <w:marLeft w:val="0"/>
              <w:marRight w:val="0"/>
              <w:marTop w:val="0"/>
              <w:marBottom w:val="0"/>
              <w:divBdr>
                <w:top w:val="none" w:sz="0" w:space="0" w:color="auto"/>
                <w:left w:val="none" w:sz="0" w:space="0" w:color="auto"/>
                <w:bottom w:val="none" w:sz="0" w:space="0" w:color="auto"/>
                <w:right w:val="none" w:sz="0" w:space="0" w:color="auto"/>
              </w:divBdr>
              <w:divsChild>
                <w:div w:id="3412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06563">
          <w:marLeft w:val="0"/>
          <w:marRight w:val="0"/>
          <w:marTop w:val="240"/>
          <w:marBottom w:val="0"/>
          <w:divBdr>
            <w:top w:val="none" w:sz="0" w:space="0" w:color="auto"/>
            <w:left w:val="none" w:sz="0" w:space="0" w:color="auto"/>
            <w:bottom w:val="none" w:sz="0" w:space="0" w:color="auto"/>
            <w:right w:val="none" w:sz="0" w:space="0" w:color="auto"/>
          </w:divBdr>
          <w:divsChild>
            <w:div w:id="1953583381">
              <w:marLeft w:val="480"/>
              <w:marRight w:val="0"/>
              <w:marTop w:val="0"/>
              <w:marBottom w:val="0"/>
              <w:divBdr>
                <w:top w:val="none" w:sz="0" w:space="0" w:color="auto"/>
                <w:left w:val="none" w:sz="0" w:space="0" w:color="auto"/>
                <w:bottom w:val="none" w:sz="0" w:space="0" w:color="auto"/>
                <w:right w:val="none" w:sz="0" w:space="0" w:color="auto"/>
              </w:divBdr>
              <w:divsChild>
                <w:div w:id="847478509">
                  <w:marLeft w:val="0"/>
                  <w:marRight w:val="0"/>
                  <w:marTop w:val="0"/>
                  <w:marBottom w:val="0"/>
                  <w:divBdr>
                    <w:top w:val="none" w:sz="0" w:space="0" w:color="auto"/>
                    <w:left w:val="none" w:sz="0" w:space="0" w:color="auto"/>
                    <w:bottom w:val="none" w:sz="0" w:space="0" w:color="auto"/>
                    <w:right w:val="none" w:sz="0" w:space="0" w:color="auto"/>
                  </w:divBdr>
                  <w:divsChild>
                    <w:div w:id="5048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038980">
          <w:marLeft w:val="0"/>
          <w:marRight w:val="0"/>
          <w:marTop w:val="240"/>
          <w:marBottom w:val="0"/>
          <w:divBdr>
            <w:top w:val="none" w:sz="0" w:space="0" w:color="auto"/>
            <w:left w:val="none" w:sz="0" w:space="0" w:color="auto"/>
            <w:bottom w:val="none" w:sz="0" w:space="0" w:color="auto"/>
            <w:right w:val="none" w:sz="0" w:space="0" w:color="auto"/>
          </w:divBdr>
          <w:divsChild>
            <w:div w:id="1719813060">
              <w:marLeft w:val="480"/>
              <w:marRight w:val="0"/>
              <w:marTop w:val="0"/>
              <w:marBottom w:val="0"/>
              <w:divBdr>
                <w:top w:val="none" w:sz="0" w:space="0" w:color="auto"/>
                <w:left w:val="none" w:sz="0" w:space="0" w:color="auto"/>
                <w:bottom w:val="none" w:sz="0" w:space="0" w:color="auto"/>
                <w:right w:val="none" w:sz="0" w:space="0" w:color="auto"/>
              </w:divBdr>
              <w:divsChild>
                <w:div w:id="716129167">
                  <w:marLeft w:val="0"/>
                  <w:marRight w:val="0"/>
                  <w:marTop w:val="0"/>
                  <w:marBottom w:val="0"/>
                  <w:divBdr>
                    <w:top w:val="none" w:sz="0" w:space="0" w:color="auto"/>
                    <w:left w:val="none" w:sz="0" w:space="0" w:color="auto"/>
                    <w:bottom w:val="none" w:sz="0" w:space="0" w:color="auto"/>
                    <w:right w:val="none" w:sz="0" w:space="0" w:color="auto"/>
                  </w:divBdr>
                  <w:divsChild>
                    <w:div w:id="108252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6890">
          <w:marLeft w:val="0"/>
          <w:marRight w:val="0"/>
          <w:marTop w:val="240"/>
          <w:marBottom w:val="0"/>
          <w:divBdr>
            <w:top w:val="none" w:sz="0" w:space="0" w:color="auto"/>
            <w:left w:val="none" w:sz="0" w:space="0" w:color="auto"/>
            <w:bottom w:val="none" w:sz="0" w:space="0" w:color="auto"/>
            <w:right w:val="none" w:sz="0" w:space="0" w:color="auto"/>
          </w:divBdr>
          <w:divsChild>
            <w:div w:id="445345473">
              <w:marLeft w:val="480"/>
              <w:marRight w:val="0"/>
              <w:marTop w:val="0"/>
              <w:marBottom w:val="0"/>
              <w:divBdr>
                <w:top w:val="none" w:sz="0" w:space="0" w:color="auto"/>
                <w:left w:val="none" w:sz="0" w:space="0" w:color="auto"/>
                <w:bottom w:val="none" w:sz="0" w:space="0" w:color="auto"/>
                <w:right w:val="none" w:sz="0" w:space="0" w:color="auto"/>
              </w:divBdr>
              <w:divsChild>
                <w:div w:id="224148358">
                  <w:marLeft w:val="0"/>
                  <w:marRight w:val="0"/>
                  <w:marTop w:val="0"/>
                  <w:marBottom w:val="0"/>
                  <w:divBdr>
                    <w:top w:val="none" w:sz="0" w:space="0" w:color="auto"/>
                    <w:left w:val="none" w:sz="0" w:space="0" w:color="auto"/>
                    <w:bottom w:val="none" w:sz="0" w:space="0" w:color="auto"/>
                    <w:right w:val="none" w:sz="0" w:space="0" w:color="auto"/>
                  </w:divBdr>
                  <w:divsChild>
                    <w:div w:id="130862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310027">
      <w:bodyDiv w:val="1"/>
      <w:marLeft w:val="0"/>
      <w:marRight w:val="0"/>
      <w:marTop w:val="0"/>
      <w:marBottom w:val="0"/>
      <w:divBdr>
        <w:top w:val="none" w:sz="0" w:space="0" w:color="auto"/>
        <w:left w:val="none" w:sz="0" w:space="0" w:color="auto"/>
        <w:bottom w:val="none" w:sz="0" w:space="0" w:color="auto"/>
        <w:right w:val="none" w:sz="0" w:space="0" w:color="auto"/>
      </w:divBdr>
    </w:div>
    <w:div w:id="1626421381">
      <w:bodyDiv w:val="1"/>
      <w:marLeft w:val="0"/>
      <w:marRight w:val="0"/>
      <w:marTop w:val="0"/>
      <w:marBottom w:val="0"/>
      <w:divBdr>
        <w:top w:val="none" w:sz="0" w:space="0" w:color="auto"/>
        <w:left w:val="none" w:sz="0" w:space="0" w:color="auto"/>
        <w:bottom w:val="none" w:sz="0" w:space="0" w:color="auto"/>
        <w:right w:val="none" w:sz="0" w:space="0" w:color="auto"/>
      </w:divBdr>
    </w:div>
    <w:div w:id="1652253457">
      <w:bodyDiv w:val="1"/>
      <w:marLeft w:val="0"/>
      <w:marRight w:val="0"/>
      <w:marTop w:val="0"/>
      <w:marBottom w:val="0"/>
      <w:divBdr>
        <w:top w:val="none" w:sz="0" w:space="0" w:color="auto"/>
        <w:left w:val="none" w:sz="0" w:space="0" w:color="auto"/>
        <w:bottom w:val="none" w:sz="0" w:space="0" w:color="auto"/>
        <w:right w:val="none" w:sz="0" w:space="0" w:color="auto"/>
      </w:divBdr>
      <w:divsChild>
        <w:div w:id="1879778962">
          <w:marLeft w:val="0"/>
          <w:marRight w:val="0"/>
          <w:marTop w:val="240"/>
          <w:marBottom w:val="0"/>
          <w:divBdr>
            <w:top w:val="none" w:sz="0" w:space="0" w:color="auto"/>
            <w:left w:val="none" w:sz="0" w:space="0" w:color="auto"/>
            <w:bottom w:val="none" w:sz="0" w:space="0" w:color="auto"/>
            <w:right w:val="none" w:sz="0" w:space="0" w:color="auto"/>
          </w:divBdr>
          <w:divsChild>
            <w:div w:id="344865253">
              <w:marLeft w:val="0"/>
              <w:marRight w:val="0"/>
              <w:marTop w:val="0"/>
              <w:marBottom w:val="240"/>
              <w:divBdr>
                <w:top w:val="none" w:sz="0" w:space="0" w:color="auto"/>
                <w:left w:val="none" w:sz="0" w:space="0" w:color="auto"/>
                <w:bottom w:val="none" w:sz="0" w:space="0" w:color="auto"/>
                <w:right w:val="none" w:sz="0" w:space="0" w:color="auto"/>
              </w:divBdr>
            </w:div>
            <w:div w:id="1376664803">
              <w:marLeft w:val="0"/>
              <w:marRight w:val="0"/>
              <w:marTop w:val="0"/>
              <w:marBottom w:val="0"/>
              <w:divBdr>
                <w:top w:val="none" w:sz="0" w:space="0" w:color="auto"/>
                <w:left w:val="none" w:sz="0" w:space="0" w:color="auto"/>
                <w:bottom w:val="none" w:sz="0" w:space="0" w:color="auto"/>
                <w:right w:val="none" w:sz="0" w:space="0" w:color="auto"/>
              </w:divBdr>
              <w:divsChild>
                <w:div w:id="72267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4250">
          <w:marLeft w:val="0"/>
          <w:marRight w:val="0"/>
          <w:marTop w:val="240"/>
          <w:marBottom w:val="0"/>
          <w:divBdr>
            <w:top w:val="none" w:sz="0" w:space="0" w:color="auto"/>
            <w:left w:val="none" w:sz="0" w:space="0" w:color="auto"/>
            <w:bottom w:val="none" w:sz="0" w:space="0" w:color="auto"/>
            <w:right w:val="none" w:sz="0" w:space="0" w:color="auto"/>
          </w:divBdr>
        </w:div>
      </w:divsChild>
    </w:div>
    <w:div w:id="1655915708">
      <w:bodyDiv w:val="1"/>
      <w:marLeft w:val="0"/>
      <w:marRight w:val="0"/>
      <w:marTop w:val="0"/>
      <w:marBottom w:val="0"/>
      <w:divBdr>
        <w:top w:val="none" w:sz="0" w:space="0" w:color="auto"/>
        <w:left w:val="none" w:sz="0" w:space="0" w:color="auto"/>
        <w:bottom w:val="none" w:sz="0" w:space="0" w:color="auto"/>
        <w:right w:val="none" w:sz="0" w:space="0" w:color="auto"/>
      </w:divBdr>
    </w:div>
    <w:div w:id="1664043837">
      <w:bodyDiv w:val="1"/>
      <w:marLeft w:val="0"/>
      <w:marRight w:val="0"/>
      <w:marTop w:val="0"/>
      <w:marBottom w:val="0"/>
      <w:divBdr>
        <w:top w:val="none" w:sz="0" w:space="0" w:color="auto"/>
        <w:left w:val="none" w:sz="0" w:space="0" w:color="auto"/>
        <w:bottom w:val="none" w:sz="0" w:space="0" w:color="auto"/>
        <w:right w:val="none" w:sz="0" w:space="0" w:color="auto"/>
      </w:divBdr>
    </w:div>
    <w:div w:id="1698043375">
      <w:bodyDiv w:val="1"/>
      <w:marLeft w:val="0"/>
      <w:marRight w:val="0"/>
      <w:marTop w:val="0"/>
      <w:marBottom w:val="0"/>
      <w:divBdr>
        <w:top w:val="none" w:sz="0" w:space="0" w:color="auto"/>
        <w:left w:val="none" w:sz="0" w:space="0" w:color="auto"/>
        <w:bottom w:val="none" w:sz="0" w:space="0" w:color="auto"/>
        <w:right w:val="none" w:sz="0" w:space="0" w:color="auto"/>
      </w:divBdr>
    </w:div>
    <w:div w:id="1745224142">
      <w:bodyDiv w:val="1"/>
      <w:marLeft w:val="0"/>
      <w:marRight w:val="0"/>
      <w:marTop w:val="0"/>
      <w:marBottom w:val="0"/>
      <w:divBdr>
        <w:top w:val="none" w:sz="0" w:space="0" w:color="auto"/>
        <w:left w:val="none" w:sz="0" w:space="0" w:color="auto"/>
        <w:bottom w:val="none" w:sz="0" w:space="0" w:color="auto"/>
        <w:right w:val="none" w:sz="0" w:space="0" w:color="auto"/>
      </w:divBdr>
    </w:div>
    <w:div w:id="1792478372">
      <w:bodyDiv w:val="1"/>
      <w:marLeft w:val="0"/>
      <w:marRight w:val="0"/>
      <w:marTop w:val="0"/>
      <w:marBottom w:val="0"/>
      <w:divBdr>
        <w:top w:val="none" w:sz="0" w:space="0" w:color="auto"/>
        <w:left w:val="none" w:sz="0" w:space="0" w:color="auto"/>
        <w:bottom w:val="none" w:sz="0" w:space="0" w:color="auto"/>
        <w:right w:val="none" w:sz="0" w:space="0" w:color="auto"/>
      </w:divBdr>
    </w:div>
    <w:div w:id="1794669353">
      <w:bodyDiv w:val="1"/>
      <w:marLeft w:val="0"/>
      <w:marRight w:val="0"/>
      <w:marTop w:val="0"/>
      <w:marBottom w:val="0"/>
      <w:divBdr>
        <w:top w:val="none" w:sz="0" w:space="0" w:color="auto"/>
        <w:left w:val="none" w:sz="0" w:space="0" w:color="auto"/>
        <w:bottom w:val="none" w:sz="0" w:space="0" w:color="auto"/>
        <w:right w:val="none" w:sz="0" w:space="0" w:color="auto"/>
      </w:divBdr>
    </w:div>
    <w:div w:id="1822188036">
      <w:bodyDiv w:val="1"/>
      <w:marLeft w:val="0"/>
      <w:marRight w:val="0"/>
      <w:marTop w:val="0"/>
      <w:marBottom w:val="0"/>
      <w:divBdr>
        <w:top w:val="none" w:sz="0" w:space="0" w:color="auto"/>
        <w:left w:val="none" w:sz="0" w:space="0" w:color="auto"/>
        <w:bottom w:val="none" w:sz="0" w:space="0" w:color="auto"/>
        <w:right w:val="none" w:sz="0" w:space="0" w:color="auto"/>
      </w:divBdr>
      <w:divsChild>
        <w:div w:id="1210847434">
          <w:marLeft w:val="0"/>
          <w:marRight w:val="0"/>
          <w:marTop w:val="240"/>
          <w:marBottom w:val="0"/>
          <w:divBdr>
            <w:top w:val="none" w:sz="0" w:space="0" w:color="auto"/>
            <w:left w:val="none" w:sz="0" w:space="0" w:color="auto"/>
            <w:bottom w:val="none" w:sz="0" w:space="0" w:color="auto"/>
            <w:right w:val="none" w:sz="0" w:space="0" w:color="auto"/>
          </w:divBdr>
          <w:divsChild>
            <w:div w:id="692847288">
              <w:marLeft w:val="0"/>
              <w:marRight w:val="0"/>
              <w:marTop w:val="0"/>
              <w:marBottom w:val="0"/>
              <w:divBdr>
                <w:top w:val="none" w:sz="0" w:space="0" w:color="auto"/>
                <w:left w:val="none" w:sz="0" w:space="0" w:color="auto"/>
                <w:bottom w:val="none" w:sz="0" w:space="0" w:color="auto"/>
                <w:right w:val="none" w:sz="0" w:space="0" w:color="auto"/>
              </w:divBdr>
              <w:divsChild>
                <w:div w:id="20480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99161">
          <w:marLeft w:val="0"/>
          <w:marRight w:val="0"/>
          <w:marTop w:val="240"/>
          <w:marBottom w:val="0"/>
          <w:divBdr>
            <w:top w:val="none" w:sz="0" w:space="0" w:color="auto"/>
            <w:left w:val="none" w:sz="0" w:space="0" w:color="auto"/>
            <w:bottom w:val="none" w:sz="0" w:space="0" w:color="auto"/>
            <w:right w:val="none" w:sz="0" w:space="0" w:color="auto"/>
          </w:divBdr>
        </w:div>
      </w:divsChild>
    </w:div>
    <w:div w:id="1829244892">
      <w:bodyDiv w:val="1"/>
      <w:marLeft w:val="0"/>
      <w:marRight w:val="0"/>
      <w:marTop w:val="0"/>
      <w:marBottom w:val="0"/>
      <w:divBdr>
        <w:top w:val="none" w:sz="0" w:space="0" w:color="auto"/>
        <w:left w:val="none" w:sz="0" w:space="0" w:color="auto"/>
        <w:bottom w:val="none" w:sz="0" w:space="0" w:color="auto"/>
        <w:right w:val="none" w:sz="0" w:space="0" w:color="auto"/>
      </w:divBdr>
    </w:div>
    <w:div w:id="1882938734">
      <w:bodyDiv w:val="1"/>
      <w:marLeft w:val="0"/>
      <w:marRight w:val="0"/>
      <w:marTop w:val="0"/>
      <w:marBottom w:val="0"/>
      <w:divBdr>
        <w:top w:val="none" w:sz="0" w:space="0" w:color="auto"/>
        <w:left w:val="none" w:sz="0" w:space="0" w:color="auto"/>
        <w:bottom w:val="none" w:sz="0" w:space="0" w:color="auto"/>
        <w:right w:val="none" w:sz="0" w:space="0" w:color="auto"/>
      </w:divBdr>
      <w:divsChild>
        <w:div w:id="901256108">
          <w:marLeft w:val="0"/>
          <w:marRight w:val="0"/>
          <w:marTop w:val="240"/>
          <w:marBottom w:val="0"/>
          <w:divBdr>
            <w:top w:val="none" w:sz="0" w:space="0" w:color="auto"/>
            <w:left w:val="none" w:sz="0" w:space="0" w:color="auto"/>
            <w:bottom w:val="none" w:sz="0" w:space="0" w:color="auto"/>
            <w:right w:val="none" w:sz="0" w:space="0" w:color="auto"/>
          </w:divBdr>
          <w:divsChild>
            <w:div w:id="1591505753">
              <w:marLeft w:val="0"/>
              <w:marRight w:val="0"/>
              <w:marTop w:val="0"/>
              <w:marBottom w:val="0"/>
              <w:divBdr>
                <w:top w:val="none" w:sz="0" w:space="0" w:color="auto"/>
                <w:left w:val="none" w:sz="0" w:space="0" w:color="auto"/>
                <w:bottom w:val="none" w:sz="0" w:space="0" w:color="auto"/>
                <w:right w:val="none" w:sz="0" w:space="0" w:color="auto"/>
              </w:divBdr>
              <w:divsChild>
                <w:div w:id="1148549027">
                  <w:marLeft w:val="0"/>
                  <w:marRight w:val="0"/>
                  <w:marTop w:val="0"/>
                  <w:marBottom w:val="0"/>
                  <w:divBdr>
                    <w:top w:val="none" w:sz="0" w:space="0" w:color="auto"/>
                    <w:left w:val="none" w:sz="0" w:space="0" w:color="auto"/>
                    <w:bottom w:val="none" w:sz="0" w:space="0" w:color="auto"/>
                    <w:right w:val="none" w:sz="0" w:space="0" w:color="auto"/>
                  </w:divBdr>
                  <w:divsChild>
                    <w:div w:id="2210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227397">
          <w:marLeft w:val="0"/>
          <w:marRight w:val="0"/>
          <w:marTop w:val="240"/>
          <w:marBottom w:val="0"/>
          <w:divBdr>
            <w:top w:val="none" w:sz="0" w:space="0" w:color="auto"/>
            <w:left w:val="none" w:sz="0" w:space="0" w:color="auto"/>
            <w:bottom w:val="none" w:sz="0" w:space="0" w:color="auto"/>
            <w:right w:val="none" w:sz="0" w:space="0" w:color="auto"/>
          </w:divBdr>
        </w:div>
      </w:divsChild>
    </w:div>
    <w:div w:id="1904025870">
      <w:bodyDiv w:val="1"/>
      <w:marLeft w:val="0"/>
      <w:marRight w:val="0"/>
      <w:marTop w:val="0"/>
      <w:marBottom w:val="0"/>
      <w:divBdr>
        <w:top w:val="none" w:sz="0" w:space="0" w:color="auto"/>
        <w:left w:val="none" w:sz="0" w:space="0" w:color="auto"/>
        <w:bottom w:val="none" w:sz="0" w:space="0" w:color="auto"/>
        <w:right w:val="none" w:sz="0" w:space="0" w:color="auto"/>
      </w:divBdr>
    </w:div>
    <w:div w:id="1947151770">
      <w:bodyDiv w:val="1"/>
      <w:marLeft w:val="0"/>
      <w:marRight w:val="0"/>
      <w:marTop w:val="0"/>
      <w:marBottom w:val="0"/>
      <w:divBdr>
        <w:top w:val="none" w:sz="0" w:space="0" w:color="auto"/>
        <w:left w:val="none" w:sz="0" w:space="0" w:color="auto"/>
        <w:bottom w:val="none" w:sz="0" w:space="0" w:color="auto"/>
        <w:right w:val="none" w:sz="0" w:space="0" w:color="auto"/>
      </w:divBdr>
    </w:div>
    <w:div w:id="1950968561">
      <w:bodyDiv w:val="1"/>
      <w:marLeft w:val="0"/>
      <w:marRight w:val="0"/>
      <w:marTop w:val="0"/>
      <w:marBottom w:val="0"/>
      <w:divBdr>
        <w:top w:val="none" w:sz="0" w:space="0" w:color="auto"/>
        <w:left w:val="none" w:sz="0" w:space="0" w:color="auto"/>
        <w:bottom w:val="none" w:sz="0" w:space="0" w:color="auto"/>
        <w:right w:val="none" w:sz="0" w:space="0" w:color="auto"/>
      </w:divBdr>
    </w:div>
    <w:div w:id="1961571726">
      <w:bodyDiv w:val="1"/>
      <w:marLeft w:val="0"/>
      <w:marRight w:val="0"/>
      <w:marTop w:val="0"/>
      <w:marBottom w:val="0"/>
      <w:divBdr>
        <w:top w:val="none" w:sz="0" w:space="0" w:color="auto"/>
        <w:left w:val="none" w:sz="0" w:space="0" w:color="auto"/>
        <w:bottom w:val="none" w:sz="0" w:space="0" w:color="auto"/>
        <w:right w:val="none" w:sz="0" w:space="0" w:color="auto"/>
      </w:divBdr>
    </w:div>
    <w:div w:id="2012708637">
      <w:bodyDiv w:val="1"/>
      <w:marLeft w:val="0"/>
      <w:marRight w:val="0"/>
      <w:marTop w:val="0"/>
      <w:marBottom w:val="0"/>
      <w:divBdr>
        <w:top w:val="none" w:sz="0" w:space="0" w:color="auto"/>
        <w:left w:val="none" w:sz="0" w:space="0" w:color="auto"/>
        <w:bottom w:val="none" w:sz="0" w:space="0" w:color="auto"/>
        <w:right w:val="none" w:sz="0" w:space="0" w:color="auto"/>
      </w:divBdr>
    </w:div>
    <w:div w:id="2014528615">
      <w:bodyDiv w:val="1"/>
      <w:marLeft w:val="0"/>
      <w:marRight w:val="0"/>
      <w:marTop w:val="0"/>
      <w:marBottom w:val="0"/>
      <w:divBdr>
        <w:top w:val="none" w:sz="0" w:space="0" w:color="auto"/>
        <w:left w:val="none" w:sz="0" w:space="0" w:color="auto"/>
        <w:bottom w:val="none" w:sz="0" w:space="0" w:color="auto"/>
        <w:right w:val="none" w:sz="0" w:space="0" w:color="auto"/>
      </w:divBdr>
    </w:div>
    <w:div w:id="2029715630">
      <w:bodyDiv w:val="1"/>
      <w:marLeft w:val="0"/>
      <w:marRight w:val="0"/>
      <w:marTop w:val="0"/>
      <w:marBottom w:val="0"/>
      <w:divBdr>
        <w:top w:val="none" w:sz="0" w:space="0" w:color="auto"/>
        <w:left w:val="none" w:sz="0" w:space="0" w:color="auto"/>
        <w:bottom w:val="none" w:sz="0" w:space="0" w:color="auto"/>
        <w:right w:val="none" w:sz="0" w:space="0" w:color="auto"/>
      </w:divBdr>
    </w:div>
    <w:div w:id="2086338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b7760360-54ff-4191-835d-daf12bff435f" TargetMode="External"/><Relationship Id="rId13" Type="http://schemas.openxmlformats.org/officeDocument/2006/relationships/hyperlink" Target="https://www.at.gov.lv/downloadlawfile/792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3835" TargetMode="External"/><Relationship Id="rId17" Type="http://schemas.openxmlformats.org/officeDocument/2006/relationships/hyperlink" Target="https://eur-lex.europa.eu/legal-content/LV/TXT/PDF/?uri=CELEX:62018CJ0634" TargetMode="External"/><Relationship Id="rId2" Type="http://schemas.openxmlformats.org/officeDocument/2006/relationships/numbering" Target="numbering.xml"/><Relationship Id="rId16" Type="http://schemas.openxmlformats.org/officeDocument/2006/relationships/hyperlink" Target="https://eur-lex.europa.eu/legal-content/LV/TXT/PDF/?uri=CELEX:62018CJ06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11213" TargetMode="External"/><Relationship Id="rId5" Type="http://schemas.openxmlformats.org/officeDocument/2006/relationships/webSettings" Target="webSettings.xml"/><Relationship Id="rId15" Type="http://schemas.openxmlformats.org/officeDocument/2006/relationships/hyperlink" Target="https://eur-lex.europa.eu/legal-content/LV/TXT/PDF/?uri=CELEX:62017CJ0573" TargetMode="External"/><Relationship Id="rId10" Type="http://schemas.openxmlformats.org/officeDocument/2006/relationships/hyperlink" Target="https://likumi.lv/wwwraksti/LIKUMI/PAPILDINATAS_ANOTACIJAS/TMPAPILD_ANOT_GROZ_KL_463.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itania.saeima.lv/LIVS14/SaeimaLIVS14.nsf/0/763F5B35446FF153C2258BF000440A6F?OpenDocument" TargetMode="External"/><Relationship Id="rId14" Type="http://schemas.openxmlformats.org/officeDocument/2006/relationships/hyperlink" Target="https://eur-lex.europa.eu/legal-content/LV/TXT/?uri=CELEX:62023CJ07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0C9C6-121A-4773-AABA-E041A0AF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21040</Words>
  <Characters>11993</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2026-04-29T10:39:00Z</dcterms:created>
  <dcterms:modified xsi:type="dcterms:W3CDTF">2026-04-30T07:49:00Z</dcterms:modified>
</cp:coreProperties>
</file>