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5F96" w14:textId="77777777" w:rsidR="0088482E" w:rsidRPr="00304435" w:rsidRDefault="0088482E" w:rsidP="0088482E">
      <w:pPr>
        <w:spacing w:line="276" w:lineRule="auto"/>
        <w:jc w:val="both"/>
        <w:rPr>
          <w:b/>
          <w:bCs/>
        </w:rPr>
      </w:pPr>
      <w:r w:rsidRPr="00304435">
        <w:rPr>
          <w:b/>
          <w:bCs/>
        </w:rPr>
        <w:t>Nelikumīgi uzglabātas dīzeļdegvielas vērtības noteikšana</w:t>
      </w:r>
    </w:p>
    <w:p w14:paraId="1D39C161" w14:textId="77777777" w:rsidR="0088482E" w:rsidRPr="00304435" w:rsidRDefault="0088482E" w:rsidP="0088482E">
      <w:pPr>
        <w:spacing w:line="276" w:lineRule="auto"/>
        <w:jc w:val="both"/>
      </w:pPr>
      <w:r w:rsidRPr="00304435">
        <w:t xml:space="preserve">1. Likuma „Par Krimināllikuma spēkā stāšanās un piemērošanas kārtību” 20. panta izpratnē „tirgus cena” ir vērtība, par kādu attiecīgo mantu var iegādāties vai pārdot brīvā tirgū nodarījuma brīdī, savukārt „tirgus cenai pielīdzināta cena” piemērojama tad, ja tirgus cenu objektīvi noteikt nav iespējams, piemēram, unikāliem priekšmetiem – mākslas darbiem vai antīkām monētām, kuru vērtība tiek noteikta, balstoties uz ekspertu novērtējumu. </w:t>
      </w:r>
    </w:p>
    <w:p w14:paraId="4BBC6F71" w14:textId="77777777" w:rsidR="0088482E" w:rsidRPr="00304435" w:rsidRDefault="0088482E" w:rsidP="0088482E">
      <w:pPr>
        <w:spacing w:line="276" w:lineRule="auto"/>
        <w:jc w:val="both"/>
      </w:pPr>
      <w:r w:rsidRPr="00304435">
        <w:t>Dīzeļdegvielas vērtība nosakāma pēc tās tirgus cenas, ko veido mazumtirdzniecības cena.</w:t>
      </w:r>
    </w:p>
    <w:p w14:paraId="170C2DA7" w14:textId="77777777" w:rsidR="0088482E" w:rsidRPr="00304435" w:rsidRDefault="0088482E" w:rsidP="0088482E">
      <w:pPr>
        <w:spacing w:line="276" w:lineRule="auto"/>
        <w:jc w:val="both"/>
      </w:pPr>
      <w:r w:rsidRPr="00304435">
        <w:t>2. Ja noziedzīgais nodarījums izdarīts konkrētā laika periodā, piemēram, konkrētā dienā, tiesai, nosakot tāda noziedzīgā nodarījuma priekšmeta vērtību, kura cena ir mainīga un tiek regulāri fiksēta, piemēram, dīzeļdegvielai, nav pieļaujams bez pamatojuma balstīties uz noziedzīgā nodarījuma priekšmeta vidējo cenu par plašāku laikposmu.</w:t>
      </w:r>
    </w:p>
    <w:p w14:paraId="49400CD9" w14:textId="77777777" w:rsidR="0088482E" w:rsidRPr="00304435" w:rsidRDefault="0088482E" w:rsidP="0088482E">
      <w:pPr>
        <w:spacing w:line="276" w:lineRule="auto"/>
        <w:jc w:val="both"/>
      </w:pPr>
      <w:r w:rsidRPr="00304435">
        <w:t>3. Ja naftas produktu neatļauta uzglabāšana notikusi ilgākā laikā un kriminālatbildība paredzēta tikai tad, ja to daudzums sasniedz lielu apmēru, jākonstatē, ka šī priekšmeta vērtība visā inkriminētajā periodā sasniegusi attiecīgo robežvērtību. Savukārt, ja pastāv saprātīgas šaubas par to, inkriminējams iespējami īsākais periods, par kuru nav saprātīgu šaubu, ka vērtība pārsniegusi attiecīgo robežu.</w:t>
      </w:r>
    </w:p>
    <w:p w14:paraId="79C6271B" w14:textId="77777777" w:rsidR="0088482E" w:rsidRPr="00304435" w:rsidRDefault="0088482E" w:rsidP="0088482E">
      <w:pPr>
        <w:spacing w:line="276" w:lineRule="auto"/>
        <w:jc w:val="both"/>
        <w:rPr>
          <w:b/>
          <w:bCs/>
        </w:rPr>
      </w:pPr>
    </w:p>
    <w:p w14:paraId="41D7324A" w14:textId="77777777" w:rsidR="0088482E" w:rsidRPr="00304435" w:rsidRDefault="0088482E" w:rsidP="0088482E">
      <w:pPr>
        <w:spacing w:line="276" w:lineRule="auto"/>
        <w:jc w:val="both"/>
        <w:rPr>
          <w:b/>
          <w:bCs/>
        </w:rPr>
      </w:pPr>
      <w:r w:rsidRPr="00304435">
        <w:rPr>
          <w:b/>
          <w:bCs/>
        </w:rPr>
        <w:t>Pret valsts iestādi vērsta krāpšana</w:t>
      </w:r>
    </w:p>
    <w:p w14:paraId="77B127E8" w14:textId="77777777" w:rsidR="0088482E" w:rsidRPr="00304435" w:rsidRDefault="0088482E" w:rsidP="0088482E">
      <w:pPr>
        <w:spacing w:line="276" w:lineRule="auto"/>
        <w:jc w:val="both"/>
      </w:pPr>
      <w:r w:rsidRPr="00304435">
        <w:t>Krāpšanas obligāta pazīme ir citas fiziskas personas gribas ietekmēšana ar viltu vai ļaunprātīgi izmantojot uzticēšanos. Līdz ar to krāpšana var būt vērsta arī pret valsts iestādi, ja ar viltu vai ļaunprātīgi izmantojot uzticēšanos tiek maldinātas tās amatpersonas, kuru kompetencē ir lēmumu pieņemšana par mantiska rakstura jautājumiem.</w:t>
      </w:r>
    </w:p>
    <w:p w14:paraId="6E0CEA08" w14:textId="77777777" w:rsidR="0088482E" w:rsidRPr="00304435" w:rsidRDefault="0088482E" w:rsidP="0088482E">
      <w:pPr>
        <w:spacing w:line="276" w:lineRule="auto"/>
        <w:jc w:val="both"/>
      </w:pPr>
    </w:p>
    <w:p w14:paraId="007B2CA5" w14:textId="77777777" w:rsidR="0088482E" w:rsidRPr="00304435" w:rsidRDefault="0088482E" w:rsidP="0088482E">
      <w:pPr>
        <w:spacing w:line="276" w:lineRule="auto"/>
        <w:jc w:val="both"/>
        <w:rPr>
          <w:b/>
          <w:bCs/>
        </w:rPr>
      </w:pPr>
      <w:r w:rsidRPr="00304435">
        <w:rPr>
          <w:b/>
          <w:bCs/>
        </w:rPr>
        <w:t>Piemērojamās likuma redakcijas noteikšana materiāla sastāva noziedzīgos nodarījumos</w:t>
      </w:r>
    </w:p>
    <w:p w14:paraId="106C739C" w14:textId="77777777" w:rsidR="0088482E" w:rsidRPr="00304435" w:rsidRDefault="0088482E" w:rsidP="0088482E">
      <w:pPr>
        <w:spacing w:line="276" w:lineRule="auto"/>
        <w:jc w:val="both"/>
      </w:pPr>
      <w:r w:rsidRPr="00304435">
        <w:t xml:space="preserve">Materiāla sastāva noziedzīga nodarījuma gadījumā, ja starp nodarījumu un kaitīgo seku iestāšanos pastāv ilgāks laikposms, piemērojamā likuma redakcija nosakāma pēc nodarījuma (darbības vai bezdarbības) izdarīšanas laika. </w:t>
      </w:r>
    </w:p>
    <w:p w14:paraId="18049D85" w14:textId="77777777" w:rsidR="0088482E" w:rsidRPr="00304435" w:rsidRDefault="0088482E" w:rsidP="0088482E">
      <w:pPr>
        <w:spacing w:line="276" w:lineRule="auto"/>
        <w:jc w:val="both"/>
      </w:pPr>
    </w:p>
    <w:p w14:paraId="4F13616F" w14:textId="77777777" w:rsidR="001A288C" w:rsidRPr="00304435" w:rsidRDefault="001A288C" w:rsidP="001A288C">
      <w:pPr>
        <w:spacing w:line="276" w:lineRule="auto"/>
        <w:jc w:val="both"/>
        <w:rPr>
          <w:b/>
          <w:bCs/>
        </w:rPr>
      </w:pPr>
      <w:r>
        <w:rPr>
          <w:b/>
          <w:bCs/>
        </w:rPr>
        <w:t>Nolēmuma rezolutīvajā daļā pieļautās p</w:t>
      </w:r>
      <w:r w:rsidRPr="00304435">
        <w:rPr>
          <w:b/>
          <w:bCs/>
        </w:rPr>
        <w:t>ārrakstīšanās kļūdas</w:t>
      </w:r>
      <w:r>
        <w:rPr>
          <w:b/>
          <w:bCs/>
        </w:rPr>
        <w:t xml:space="preserve"> </w:t>
      </w:r>
      <w:r w:rsidRPr="00304435">
        <w:rPr>
          <w:b/>
          <w:bCs/>
        </w:rPr>
        <w:t>izvērtējums</w:t>
      </w:r>
    </w:p>
    <w:p w14:paraId="358DAF59" w14:textId="77777777" w:rsidR="001A288C" w:rsidRPr="00304435" w:rsidRDefault="001A288C" w:rsidP="001A288C">
      <w:pPr>
        <w:spacing w:line="276" w:lineRule="auto"/>
        <w:jc w:val="both"/>
      </w:pPr>
      <w:r w:rsidRPr="00304435">
        <w:t>Tas, vai ir pieļauta pārrakstīšanās kļūda,</w:t>
      </w:r>
      <w:r>
        <w:t xml:space="preserve"> tajā skaitā nolēmuma rezolutīvajā daļā,</w:t>
      </w:r>
      <w:r w:rsidRPr="00304435">
        <w:t xml:space="preserve"> nosakāms, novērtējot attiecīgās nepilnības raksturu kopsakarā ar nolēmuma saturu kopumā. </w:t>
      </w:r>
    </w:p>
    <w:p w14:paraId="498063EE" w14:textId="77777777" w:rsidR="0088482E" w:rsidRPr="00304435" w:rsidRDefault="0088482E" w:rsidP="0088482E">
      <w:pPr>
        <w:spacing w:line="276" w:lineRule="auto"/>
        <w:jc w:val="both"/>
      </w:pPr>
    </w:p>
    <w:p w14:paraId="5D866FFC" w14:textId="77777777" w:rsidR="0088482E" w:rsidRPr="00304435" w:rsidRDefault="0088482E" w:rsidP="0088482E">
      <w:pPr>
        <w:spacing w:line="276" w:lineRule="auto"/>
        <w:jc w:val="both"/>
        <w:rPr>
          <w:b/>
          <w:bCs/>
        </w:rPr>
      </w:pPr>
      <w:r w:rsidRPr="00304435">
        <w:rPr>
          <w:b/>
          <w:bCs/>
        </w:rPr>
        <w:t>Tiesas pienākums izvērtēt apstākļus, kuriem var būt nozīme, lemjot par nosacītas notiesāšanas iespējamību</w:t>
      </w:r>
    </w:p>
    <w:p w14:paraId="4548B707" w14:textId="77777777" w:rsidR="0088482E" w:rsidRDefault="0088482E" w:rsidP="0088482E">
      <w:pPr>
        <w:pStyle w:val="Textbody"/>
        <w:tabs>
          <w:tab w:val="left" w:pos="0"/>
        </w:tabs>
        <w:suppressAutoHyphens w:val="0"/>
        <w:spacing w:after="0" w:line="276" w:lineRule="auto"/>
        <w:jc w:val="center"/>
        <w:rPr>
          <w:rFonts w:asciiTheme="majorBidi" w:hAnsiTheme="majorBidi" w:cstheme="majorBidi"/>
          <w:b/>
          <w:bCs/>
          <w:color w:val="000000"/>
        </w:rPr>
      </w:pPr>
    </w:p>
    <w:p w14:paraId="7B4EBFD4" w14:textId="7D57F30E" w:rsidR="0088482E" w:rsidRPr="0088482E" w:rsidRDefault="00BD057C" w:rsidP="0088482E">
      <w:pPr>
        <w:pStyle w:val="Textbody"/>
        <w:tabs>
          <w:tab w:val="left" w:pos="0"/>
        </w:tabs>
        <w:suppressAutoHyphens w:val="0"/>
        <w:spacing w:after="0" w:line="276" w:lineRule="auto"/>
        <w:jc w:val="center"/>
        <w:rPr>
          <w:rFonts w:asciiTheme="majorBidi" w:hAnsiTheme="majorBidi" w:cstheme="majorBidi"/>
          <w:b/>
          <w:bCs/>
          <w:color w:val="000000"/>
        </w:rPr>
      </w:pPr>
      <w:r w:rsidRPr="0088482E">
        <w:rPr>
          <w:rFonts w:asciiTheme="majorBidi" w:hAnsiTheme="majorBidi" w:cstheme="majorBidi"/>
          <w:b/>
          <w:bCs/>
          <w:color w:val="000000"/>
        </w:rPr>
        <w:t>Latvijas Republikas Senāt</w:t>
      </w:r>
      <w:r w:rsidR="009D5BF4">
        <w:rPr>
          <w:rFonts w:asciiTheme="majorBidi" w:hAnsiTheme="majorBidi" w:cstheme="majorBidi"/>
          <w:b/>
          <w:bCs/>
          <w:color w:val="000000"/>
        </w:rPr>
        <w:t>a</w:t>
      </w:r>
    </w:p>
    <w:p w14:paraId="22ACF05F" w14:textId="49BE6056" w:rsidR="0088482E" w:rsidRPr="0088482E" w:rsidRDefault="0088482E" w:rsidP="0088482E">
      <w:pPr>
        <w:pStyle w:val="Textbody"/>
        <w:tabs>
          <w:tab w:val="left" w:pos="0"/>
        </w:tabs>
        <w:suppressAutoHyphens w:val="0"/>
        <w:spacing w:after="0" w:line="276" w:lineRule="auto"/>
        <w:jc w:val="center"/>
        <w:rPr>
          <w:rFonts w:asciiTheme="majorBidi" w:hAnsiTheme="majorBidi" w:cstheme="majorBidi"/>
          <w:b/>
          <w:bCs/>
          <w:color w:val="000000"/>
        </w:rPr>
      </w:pPr>
      <w:r w:rsidRPr="0088482E">
        <w:rPr>
          <w:rFonts w:asciiTheme="majorBidi" w:hAnsiTheme="majorBidi" w:cstheme="majorBidi"/>
          <w:b/>
          <w:bCs/>
          <w:color w:val="000000" w:themeColor="text1"/>
        </w:rPr>
        <w:t>Krimināllietu departament</w:t>
      </w:r>
      <w:r>
        <w:rPr>
          <w:rFonts w:asciiTheme="majorBidi" w:hAnsiTheme="majorBidi" w:cstheme="majorBidi"/>
          <w:b/>
          <w:bCs/>
          <w:color w:val="000000" w:themeColor="text1"/>
        </w:rPr>
        <w:t>a</w:t>
      </w:r>
    </w:p>
    <w:p w14:paraId="03E4A5F5" w14:textId="5CAA400B" w:rsidR="0088482E" w:rsidRPr="0088482E" w:rsidRDefault="0088482E" w:rsidP="0088482E">
      <w:pPr>
        <w:suppressAutoHyphens w:val="0"/>
        <w:autoSpaceDE w:val="0"/>
        <w:autoSpaceDN w:val="0"/>
        <w:adjustRightInd w:val="0"/>
        <w:spacing w:line="276" w:lineRule="auto"/>
        <w:jc w:val="center"/>
        <w:rPr>
          <w:rFonts w:asciiTheme="majorBidi" w:hAnsiTheme="majorBidi" w:cstheme="majorBidi"/>
          <w:b/>
          <w:bCs/>
          <w:color w:val="000000"/>
        </w:rPr>
      </w:pPr>
      <w:r w:rsidRPr="0088482E">
        <w:rPr>
          <w:rFonts w:asciiTheme="majorBidi" w:hAnsiTheme="majorBidi" w:cstheme="majorBidi"/>
          <w:b/>
          <w:bCs/>
          <w:color w:val="000000"/>
        </w:rPr>
        <w:t xml:space="preserve">2026. gada </w:t>
      </w:r>
      <w:r w:rsidRPr="0088482E">
        <w:rPr>
          <w:rFonts w:asciiTheme="majorBidi" w:hAnsiTheme="majorBidi" w:cstheme="majorBidi"/>
          <w:b/>
          <w:bCs/>
        </w:rPr>
        <w:t>22. aprī</w:t>
      </w:r>
      <w:r>
        <w:rPr>
          <w:rFonts w:asciiTheme="majorBidi" w:hAnsiTheme="majorBidi" w:cstheme="majorBidi"/>
          <w:b/>
          <w:bCs/>
        </w:rPr>
        <w:t>ļa</w:t>
      </w:r>
    </w:p>
    <w:p w14:paraId="2245D41D" w14:textId="77777777" w:rsidR="0088482E" w:rsidRPr="0088482E" w:rsidRDefault="00BD057C" w:rsidP="0088482E">
      <w:pPr>
        <w:suppressAutoHyphens w:val="0"/>
        <w:autoSpaceDE w:val="0"/>
        <w:autoSpaceDN w:val="0"/>
        <w:adjustRightInd w:val="0"/>
        <w:spacing w:line="276" w:lineRule="auto"/>
        <w:jc w:val="center"/>
        <w:rPr>
          <w:rFonts w:asciiTheme="majorBidi" w:hAnsiTheme="majorBidi" w:cstheme="majorBidi"/>
          <w:b/>
          <w:bCs/>
          <w:noProof/>
          <w:color w:val="000000"/>
        </w:rPr>
      </w:pPr>
      <w:r w:rsidRPr="0088482E">
        <w:rPr>
          <w:rFonts w:asciiTheme="majorBidi" w:hAnsiTheme="majorBidi" w:cstheme="majorBidi"/>
          <w:b/>
          <w:bCs/>
          <w:color w:val="000000"/>
        </w:rPr>
        <w:t>LĒMUMS</w:t>
      </w:r>
    </w:p>
    <w:p w14:paraId="63F1975E" w14:textId="120699C5" w:rsidR="0088482E" w:rsidRDefault="0088482E" w:rsidP="0088482E">
      <w:pPr>
        <w:suppressAutoHyphens w:val="0"/>
        <w:autoSpaceDE w:val="0"/>
        <w:autoSpaceDN w:val="0"/>
        <w:adjustRightInd w:val="0"/>
        <w:spacing w:line="276" w:lineRule="auto"/>
        <w:jc w:val="center"/>
        <w:rPr>
          <w:rFonts w:asciiTheme="majorBidi" w:hAnsiTheme="majorBidi" w:cstheme="majorBidi"/>
          <w:b/>
          <w:bCs/>
        </w:rPr>
      </w:pPr>
      <w:r w:rsidRPr="0088482E">
        <w:rPr>
          <w:rFonts w:asciiTheme="majorBidi" w:hAnsiTheme="majorBidi" w:cstheme="majorBidi"/>
          <w:b/>
          <w:bCs/>
          <w:color w:val="000000" w:themeColor="text1"/>
        </w:rPr>
        <w:t>Lieta Nr. 15830019514</w:t>
      </w:r>
      <w:r w:rsidRPr="0088482E">
        <w:rPr>
          <w:rFonts w:asciiTheme="majorBidi" w:hAnsiTheme="majorBidi"/>
          <w:b/>
          <w:bCs/>
        </w:rPr>
        <w:t>, SKK-</w:t>
      </w:r>
      <w:r w:rsidRPr="0088482E">
        <w:rPr>
          <w:rFonts w:asciiTheme="majorBidi" w:hAnsiTheme="majorBidi" w:cstheme="majorBidi"/>
          <w:b/>
          <w:bCs/>
        </w:rPr>
        <w:t>10/2026</w:t>
      </w:r>
    </w:p>
    <w:p w14:paraId="5877E44F" w14:textId="6A034A42" w:rsidR="0088482E" w:rsidRPr="0088482E" w:rsidRDefault="0088482E" w:rsidP="0088482E">
      <w:pPr>
        <w:suppressAutoHyphens w:val="0"/>
        <w:autoSpaceDE w:val="0"/>
        <w:autoSpaceDN w:val="0"/>
        <w:adjustRightInd w:val="0"/>
        <w:spacing w:line="276" w:lineRule="auto"/>
        <w:jc w:val="center"/>
        <w:rPr>
          <w:rFonts w:asciiTheme="majorBidi" w:hAnsiTheme="majorBidi" w:cstheme="majorBidi"/>
          <w:noProof/>
          <w:color w:val="000000"/>
        </w:rPr>
      </w:pPr>
      <w:hyperlink r:id="rId8" w:history="1">
        <w:r w:rsidRPr="0088482E">
          <w:rPr>
            <w:rStyle w:val="Hyperlink"/>
            <w:rFonts w:asciiTheme="majorBidi" w:hAnsiTheme="majorBidi" w:cstheme="majorBidi"/>
            <w:noProof/>
          </w:rPr>
          <w:t>ECLI:LV:AT:2026:0422.15830019514.12.L</w:t>
        </w:r>
      </w:hyperlink>
    </w:p>
    <w:p w14:paraId="3F3DB0A2" w14:textId="77777777" w:rsidR="00BD057C" w:rsidRPr="000D15C5" w:rsidRDefault="00BD057C" w:rsidP="00872AAD">
      <w:pPr>
        <w:suppressAutoHyphens w:val="0"/>
        <w:autoSpaceDE w:val="0"/>
        <w:autoSpaceDN w:val="0"/>
        <w:adjustRightInd w:val="0"/>
        <w:spacing w:line="276" w:lineRule="auto"/>
        <w:ind w:firstLine="720"/>
        <w:jc w:val="both"/>
        <w:rPr>
          <w:rFonts w:asciiTheme="majorBidi" w:hAnsiTheme="majorBidi" w:cstheme="majorBidi"/>
          <w:color w:val="000000"/>
        </w:rPr>
      </w:pPr>
    </w:p>
    <w:p w14:paraId="3CAE138A" w14:textId="46925892" w:rsidR="00BD057C" w:rsidRDefault="00BD057C" w:rsidP="00EE7E71">
      <w:pPr>
        <w:suppressAutoHyphens w:val="0"/>
        <w:spacing w:line="276" w:lineRule="auto"/>
        <w:ind w:firstLine="720"/>
        <w:jc w:val="both"/>
      </w:pPr>
      <w:r w:rsidRPr="002C4588">
        <w:t xml:space="preserve">Senāts šādā sastāvā: </w:t>
      </w:r>
      <w:r w:rsidRPr="0092113C">
        <w:t xml:space="preserve">senators referents </w:t>
      </w:r>
      <w:r>
        <w:t>Māris Leja</w:t>
      </w:r>
      <w:r w:rsidRPr="0092113C">
        <w:t>, senator</w:t>
      </w:r>
      <w:r>
        <w:t>es Irīna Jansone un</w:t>
      </w:r>
      <w:r w:rsidRPr="0092113C">
        <w:t xml:space="preserve"> </w:t>
      </w:r>
      <w:r>
        <w:t>Sandra Kaija</w:t>
      </w:r>
    </w:p>
    <w:p w14:paraId="7D30630E" w14:textId="77777777" w:rsidR="00BD057C" w:rsidRPr="00AD23EC" w:rsidRDefault="00BD057C" w:rsidP="00EE7E71">
      <w:pPr>
        <w:suppressAutoHyphens w:val="0"/>
        <w:spacing w:line="276" w:lineRule="auto"/>
        <w:ind w:firstLine="720"/>
        <w:jc w:val="both"/>
      </w:pPr>
    </w:p>
    <w:p w14:paraId="44550CB1" w14:textId="505C1E31" w:rsidR="00BD057C" w:rsidRPr="00CE3CC2" w:rsidRDefault="00BD057C" w:rsidP="00EE7E71">
      <w:pPr>
        <w:suppressAutoHyphens w:val="0"/>
        <w:spacing w:line="276" w:lineRule="auto"/>
        <w:ind w:firstLine="720"/>
        <w:jc w:val="both"/>
        <w:rPr>
          <w:b/>
          <w:bCs/>
        </w:rPr>
      </w:pPr>
      <w:r w:rsidRPr="00141872">
        <w:t xml:space="preserve">rakstveida procesā izskatīja krimināllietu sakarā ar </w:t>
      </w:r>
      <w:r w:rsidR="00F04B2D">
        <w:t>Nodokļu un muitas lietu prokuratūras prokurores Sniedzes Arhipovas</w:t>
      </w:r>
      <w:r w:rsidRPr="00CE3CC2">
        <w:t xml:space="preserve"> kasācijas protestu</w:t>
      </w:r>
      <w:r w:rsidR="00720AB8">
        <w:t xml:space="preserve"> un </w:t>
      </w:r>
      <w:r w:rsidR="00F04B2D">
        <w:t xml:space="preserve">apsūdzētā </w:t>
      </w:r>
      <w:r w:rsidR="0088482E">
        <w:t>[pers. A]</w:t>
      </w:r>
      <w:r w:rsidR="00F04B2D">
        <w:t xml:space="preserve"> un viņa aizstāves zvērinātas advokātes Daces Ozoliņas kasācijas sūdzībām </w:t>
      </w:r>
      <w:r w:rsidRPr="00CE3CC2">
        <w:t xml:space="preserve">par Rīgas apgabaltiesas </w:t>
      </w:r>
      <w:r w:rsidR="00F04B2D">
        <w:t>2024. gada 9. maija</w:t>
      </w:r>
      <w:r w:rsidRPr="00CE3CC2">
        <w:t xml:space="preserve"> spriedumu.</w:t>
      </w:r>
    </w:p>
    <w:p w14:paraId="0DD4BED7" w14:textId="77777777" w:rsidR="00BD057C" w:rsidRDefault="00BD057C" w:rsidP="00EE7E71">
      <w:pPr>
        <w:suppressAutoHyphens w:val="0"/>
        <w:spacing w:line="276" w:lineRule="auto"/>
        <w:ind w:firstLine="720"/>
        <w:jc w:val="both"/>
        <w:rPr>
          <w:b/>
          <w:bCs/>
          <w:color w:val="000000"/>
        </w:rPr>
      </w:pPr>
    </w:p>
    <w:p w14:paraId="35A9FE18" w14:textId="77777777" w:rsidR="00BD057C" w:rsidRPr="000D15C5" w:rsidRDefault="00BD057C" w:rsidP="00EE7E71">
      <w:pPr>
        <w:suppressAutoHyphens w:val="0"/>
        <w:spacing w:line="276" w:lineRule="auto"/>
        <w:jc w:val="center"/>
        <w:rPr>
          <w:b/>
          <w:bCs/>
          <w:color w:val="000000"/>
        </w:rPr>
      </w:pPr>
      <w:r w:rsidRPr="000D15C5">
        <w:rPr>
          <w:b/>
          <w:bCs/>
          <w:color w:val="000000"/>
        </w:rPr>
        <w:t>Aprakstošā daļa</w:t>
      </w:r>
    </w:p>
    <w:p w14:paraId="5585BD34" w14:textId="77777777" w:rsidR="00BD057C" w:rsidRPr="000D15C5" w:rsidRDefault="00BD057C" w:rsidP="00EE7E71">
      <w:pPr>
        <w:suppressAutoHyphens w:val="0"/>
        <w:spacing w:line="276" w:lineRule="auto"/>
        <w:ind w:firstLine="720"/>
        <w:jc w:val="both"/>
        <w:rPr>
          <w:rFonts w:asciiTheme="majorBidi" w:hAnsiTheme="majorBidi" w:cstheme="majorBidi"/>
          <w:bCs/>
        </w:rPr>
      </w:pPr>
    </w:p>
    <w:p w14:paraId="6D6159B6" w14:textId="1ACE6BA6" w:rsidR="00F04B2D" w:rsidRDefault="00BD057C" w:rsidP="00EE7E71">
      <w:pPr>
        <w:suppressAutoHyphens w:val="0"/>
        <w:spacing w:line="276" w:lineRule="auto"/>
        <w:ind w:firstLine="720"/>
        <w:jc w:val="both"/>
      </w:pPr>
      <w:r w:rsidRPr="00141872">
        <w:t>[</w:t>
      </w:r>
      <w:r w:rsidRPr="0008329F">
        <w:t>1]</w:t>
      </w:r>
      <w:r w:rsidR="00791BD8">
        <w:t> </w:t>
      </w:r>
      <w:r w:rsidR="00F04B2D" w:rsidRPr="00F04B2D">
        <w:t>Ar Rīgas rajona tiesas 2022.</w:t>
      </w:r>
      <w:r w:rsidR="00791BD8">
        <w:t> </w:t>
      </w:r>
      <w:r w:rsidR="00F04B2D" w:rsidRPr="00F04B2D">
        <w:t>gada 1.</w:t>
      </w:r>
      <w:r w:rsidR="00791BD8">
        <w:t> </w:t>
      </w:r>
      <w:r w:rsidR="00F04B2D" w:rsidRPr="00F04B2D">
        <w:t>aprīļa spriedumu</w:t>
      </w:r>
    </w:p>
    <w:p w14:paraId="4BF044E8" w14:textId="1726C5A8" w:rsidR="00F04B2D" w:rsidRDefault="0088482E" w:rsidP="00EE7E71">
      <w:pPr>
        <w:suppressAutoHyphens w:val="0"/>
        <w:spacing w:line="276" w:lineRule="auto"/>
        <w:ind w:firstLine="720"/>
        <w:jc w:val="both"/>
      </w:pPr>
      <w:r>
        <w:t>[pers. A]</w:t>
      </w:r>
      <w:r w:rsidR="00F04B2D" w:rsidRPr="00F04B2D">
        <w:t xml:space="preserve">, personas kods </w:t>
      </w:r>
      <w:r>
        <w:t>[..]</w:t>
      </w:r>
      <w:r w:rsidR="00F04B2D" w:rsidRPr="00F04B2D">
        <w:t>,</w:t>
      </w:r>
    </w:p>
    <w:p w14:paraId="27D74D3E" w14:textId="68F8C8B2" w:rsidR="00F04B2D" w:rsidRDefault="00F04B2D" w:rsidP="00EE7E71">
      <w:pPr>
        <w:suppressAutoHyphens w:val="0"/>
        <w:spacing w:line="276" w:lineRule="auto"/>
        <w:ind w:firstLine="720"/>
        <w:jc w:val="both"/>
      </w:pPr>
      <w:r w:rsidRPr="00F04B2D">
        <w:t>atzīts par vainīgu Krimināllikuma 220.</w:t>
      </w:r>
      <w:r w:rsidRPr="00F04B2D">
        <w:rPr>
          <w:vertAlign w:val="superscript"/>
        </w:rPr>
        <w:t>1</w:t>
      </w:r>
      <w:r>
        <w:t> </w:t>
      </w:r>
      <w:r w:rsidRPr="00F04B2D">
        <w:t>panta otrajā daļā paredzētajā noziedzīgajā nodarījumā</w:t>
      </w:r>
      <w:r>
        <w:t xml:space="preserve"> un</w:t>
      </w:r>
      <w:r w:rsidRPr="00F04B2D">
        <w:t>, piemērojot Krimināllikuma 49.</w:t>
      </w:r>
      <w:r w:rsidRPr="00F04B2D">
        <w:rPr>
          <w:vertAlign w:val="superscript"/>
        </w:rPr>
        <w:t>1</w:t>
      </w:r>
      <w:r>
        <w:t> </w:t>
      </w:r>
      <w:r w:rsidRPr="00F04B2D">
        <w:t>panta pirmās daļas 1.</w:t>
      </w:r>
      <w:r>
        <w:t> </w:t>
      </w:r>
      <w:r w:rsidRPr="00F04B2D">
        <w:t xml:space="preserve">punktu, sodīts ar naudas sodu </w:t>
      </w:r>
      <w:r w:rsidR="00401DA3">
        <w:t>10</w:t>
      </w:r>
      <w:r w:rsidR="00401DA3" w:rsidRPr="00F04B2D">
        <w:t xml:space="preserve"> </w:t>
      </w:r>
      <w:r w:rsidRPr="00F04B2D">
        <w:t>Latvijas Republikā noteikto minimālo mēnešalgu apmērā</w:t>
      </w:r>
      <w:r w:rsidR="00375A5B">
        <w:t>, tas ir,</w:t>
      </w:r>
      <w:r w:rsidRPr="00F04B2D">
        <w:t xml:space="preserve"> 5000</w:t>
      </w:r>
      <w:r w:rsidR="009F2C80">
        <w:t> </w:t>
      </w:r>
      <w:r w:rsidRPr="00F04B2D">
        <w:rPr>
          <w:i/>
          <w:iCs/>
        </w:rPr>
        <w:t>euro</w:t>
      </w:r>
      <w:r w:rsidRPr="00F04B2D">
        <w:t>;</w:t>
      </w:r>
    </w:p>
    <w:p w14:paraId="496BF08B" w14:textId="5E27633F" w:rsidR="00F04B2D" w:rsidRDefault="00F04B2D" w:rsidP="00EE7E71">
      <w:pPr>
        <w:suppressAutoHyphens w:val="0"/>
        <w:spacing w:line="276" w:lineRule="auto"/>
        <w:ind w:firstLine="720"/>
        <w:jc w:val="both"/>
      </w:pPr>
      <w:r w:rsidRPr="00F04B2D">
        <w:t>atzīts par vainīgu Krimināllikuma 177.</w:t>
      </w:r>
      <w:r>
        <w:t> </w:t>
      </w:r>
      <w:r w:rsidRPr="00F04B2D">
        <w:t>panta trešajā daļā paredzētajā noziedzīgajā nodarījumā</w:t>
      </w:r>
      <w:r>
        <w:t xml:space="preserve"> un</w:t>
      </w:r>
      <w:r w:rsidRPr="00F04B2D">
        <w:t>, piemērojot Krimināllikuma 49.</w:t>
      </w:r>
      <w:r w:rsidRPr="00F04B2D">
        <w:rPr>
          <w:vertAlign w:val="superscript"/>
        </w:rPr>
        <w:t>1</w:t>
      </w:r>
      <w:r>
        <w:t> </w:t>
      </w:r>
      <w:r w:rsidRPr="00F04B2D">
        <w:t>panta pirmās daļas 1.</w:t>
      </w:r>
      <w:r>
        <w:t> </w:t>
      </w:r>
      <w:r w:rsidRPr="00F04B2D">
        <w:t>punktu, sodīts ar brīvības atņemšanu uz 3 gadiem.</w:t>
      </w:r>
    </w:p>
    <w:p w14:paraId="79451CC6" w14:textId="38500B4A" w:rsidR="00F04B2D" w:rsidRDefault="00F04B2D" w:rsidP="00EE7E71">
      <w:pPr>
        <w:suppressAutoHyphens w:val="0"/>
        <w:spacing w:line="276" w:lineRule="auto"/>
        <w:ind w:firstLine="720"/>
        <w:jc w:val="both"/>
      </w:pPr>
      <w:r w:rsidRPr="00F04B2D">
        <w:t>Saskaņā ar Krimināllikuma 50.</w:t>
      </w:r>
      <w:r>
        <w:t> </w:t>
      </w:r>
      <w:r w:rsidRPr="00F04B2D">
        <w:t xml:space="preserve">panta pirmo un trešo daļu </w:t>
      </w:r>
      <w:r w:rsidR="007044E4">
        <w:t xml:space="preserve">galīgais sods </w:t>
      </w:r>
      <w:r w:rsidR="0088482E">
        <w:t>[pers. A]</w:t>
      </w:r>
      <w:r>
        <w:t xml:space="preserve"> </w:t>
      </w:r>
      <w:r w:rsidRPr="00F04B2D">
        <w:t xml:space="preserve">noteikts brīvības atņemšana uz </w:t>
      </w:r>
      <w:r w:rsidR="00570468">
        <w:t xml:space="preserve">3 </w:t>
      </w:r>
      <w:r w:rsidRPr="00F04B2D">
        <w:t xml:space="preserve">gadiem un naudas sods </w:t>
      </w:r>
      <w:r w:rsidR="00401DA3">
        <w:t>10</w:t>
      </w:r>
      <w:r w:rsidR="00401DA3" w:rsidRPr="00F04B2D">
        <w:t xml:space="preserve"> </w:t>
      </w:r>
      <w:r w:rsidRPr="00F04B2D">
        <w:t>Latvijas Republikā noteikto minimālo mēnešalgu apmērā</w:t>
      </w:r>
      <w:r w:rsidR="003A5A7D">
        <w:t>, tas ir,</w:t>
      </w:r>
      <w:r w:rsidRPr="00F04B2D">
        <w:t xml:space="preserve"> 5000</w:t>
      </w:r>
      <w:r w:rsidR="00570468">
        <w:t> </w:t>
      </w:r>
      <w:r w:rsidRPr="00F04B2D">
        <w:rPr>
          <w:i/>
          <w:iCs/>
        </w:rPr>
        <w:t>euro</w:t>
      </w:r>
      <w:r w:rsidRPr="00F04B2D">
        <w:t>.</w:t>
      </w:r>
    </w:p>
    <w:p w14:paraId="575A8305" w14:textId="592E568A" w:rsidR="005C0B68" w:rsidRDefault="00F04B2D" w:rsidP="00EE7E71">
      <w:pPr>
        <w:suppressAutoHyphens w:val="0"/>
        <w:spacing w:line="276" w:lineRule="auto"/>
        <w:ind w:firstLine="720"/>
        <w:jc w:val="both"/>
      </w:pPr>
      <w:r>
        <w:t xml:space="preserve">No </w:t>
      </w:r>
      <w:r w:rsidR="0088482E">
        <w:t>[pers. A]</w:t>
      </w:r>
      <w:r w:rsidRPr="00F04B2D">
        <w:t xml:space="preserve"> valsts labā </w:t>
      </w:r>
      <w:r>
        <w:t xml:space="preserve">piedzīta </w:t>
      </w:r>
      <w:r w:rsidR="00570468">
        <w:t>mantiskā zaudējuma</w:t>
      </w:r>
      <w:r w:rsidRPr="00F04B2D">
        <w:t xml:space="preserve"> kompensācija </w:t>
      </w:r>
      <w:r w:rsidR="005C0B68" w:rsidRPr="005C0B68">
        <w:t>3</w:t>
      </w:r>
      <w:r w:rsidR="00570468">
        <w:t> </w:t>
      </w:r>
      <w:r w:rsidR="005C0B68" w:rsidRPr="005C0B68">
        <w:t>962,11</w:t>
      </w:r>
      <w:r w:rsidR="00570468">
        <w:t> </w:t>
      </w:r>
      <w:r w:rsidR="005C0B68" w:rsidRPr="005C0B68">
        <w:rPr>
          <w:i/>
          <w:iCs/>
        </w:rPr>
        <w:t>euro</w:t>
      </w:r>
      <w:r w:rsidR="00570468">
        <w:rPr>
          <w:i/>
          <w:iCs/>
        </w:rPr>
        <w:t xml:space="preserve"> </w:t>
      </w:r>
      <w:r w:rsidR="005C0B68" w:rsidRPr="005C0B68">
        <w:t xml:space="preserve">(par nelikumīgu naftas produktu </w:t>
      </w:r>
      <w:r w:rsidR="00C66B4F">
        <w:t>uz</w:t>
      </w:r>
      <w:r w:rsidR="005C0B68" w:rsidRPr="005C0B68">
        <w:t xml:space="preserve">glabāšanu lielā apmērā) </w:t>
      </w:r>
      <w:r w:rsidR="00570468">
        <w:t xml:space="preserve">un </w:t>
      </w:r>
      <w:r w:rsidR="005C0B68" w:rsidRPr="005C0B68">
        <w:t>29</w:t>
      </w:r>
      <w:r w:rsidR="00570468">
        <w:t> </w:t>
      </w:r>
      <w:r w:rsidR="005C0B68" w:rsidRPr="005C0B68">
        <w:t>340,97</w:t>
      </w:r>
      <w:r w:rsidR="00570468">
        <w:t> </w:t>
      </w:r>
      <w:r w:rsidR="005C0B68" w:rsidRPr="005C0B68">
        <w:rPr>
          <w:i/>
          <w:iCs/>
        </w:rPr>
        <w:t>euro</w:t>
      </w:r>
      <w:r w:rsidR="005C0B68">
        <w:rPr>
          <w:i/>
          <w:iCs/>
        </w:rPr>
        <w:t xml:space="preserve"> </w:t>
      </w:r>
      <w:r w:rsidR="005C0B68" w:rsidRPr="005C0B68">
        <w:t>(par krāpšanu lielā apmērā)</w:t>
      </w:r>
      <w:r w:rsidR="005C0B68">
        <w:t>.</w:t>
      </w:r>
    </w:p>
    <w:p w14:paraId="2F94BA3D" w14:textId="77777777" w:rsidR="00582DC0" w:rsidRDefault="00582DC0" w:rsidP="00EE7E71">
      <w:pPr>
        <w:suppressAutoHyphens w:val="0"/>
        <w:spacing w:line="276" w:lineRule="auto"/>
        <w:ind w:firstLine="720"/>
        <w:jc w:val="both"/>
        <w:rPr>
          <w:kern w:val="0"/>
        </w:rPr>
      </w:pPr>
    </w:p>
    <w:p w14:paraId="0C74BDAB" w14:textId="5E5DA166" w:rsidR="00E45171" w:rsidRDefault="00BD057C" w:rsidP="00EE7E71">
      <w:pPr>
        <w:suppressAutoHyphens w:val="0"/>
        <w:spacing w:line="276" w:lineRule="auto"/>
        <w:ind w:firstLine="720"/>
        <w:jc w:val="both"/>
      </w:pPr>
      <w:r w:rsidRPr="007B3AFD">
        <w:rPr>
          <w:kern w:val="0"/>
        </w:rPr>
        <w:t>[</w:t>
      </w:r>
      <w:r w:rsidR="00582DC0">
        <w:rPr>
          <w:kern w:val="0"/>
        </w:rPr>
        <w:t>2</w:t>
      </w:r>
      <w:r w:rsidRPr="007B3AFD">
        <w:rPr>
          <w:kern w:val="0"/>
        </w:rPr>
        <w:t>]</w:t>
      </w:r>
      <w:r w:rsidR="00570468">
        <w:rPr>
          <w:kern w:val="0"/>
        </w:rPr>
        <w:t> </w:t>
      </w:r>
      <w:r w:rsidRPr="007B3AFD">
        <w:t xml:space="preserve">Ar </w:t>
      </w:r>
      <w:r w:rsidR="00570468">
        <w:t>pirmās instances tiesas</w:t>
      </w:r>
      <w:r w:rsidR="00DA5A81" w:rsidRPr="00F04B2D">
        <w:t xml:space="preserve"> spriedumu</w:t>
      </w:r>
      <w:r w:rsidR="00DA5A81" w:rsidRPr="007B3AFD">
        <w:t xml:space="preserve"> </w:t>
      </w:r>
      <w:r w:rsidR="0088482E">
        <w:t>[pers. A]</w:t>
      </w:r>
      <w:r w:rsidR="00457AB6" w:rsidRPr="005509A7">
        <w:t xml:space="preserve"> atzīts par vainīgu un sodīts</w:t>
      </w:r>
      <w:r w:rsidR="00DA5A81">
        <w:t>:</w:t>
      </w:r>
    </w:p>
    <w:p w14:paraId="6889256E" w14:textId="7DABB016" w:rsidR="002F0233" w:rsidRDefault="00457AB6" w:rsidP="00EE7E71">
      <w:pPr>
        <w:suppressAutoHyphens w:val="0"/>
        <w:spacing w:line="276" w:lineRule="auto"/>
        <w:ind w:firstLine="720"/>
        <w:jc w:val="both"/>
      </w:pPr>
      <w:r w:rsidRPr="005509A7">
        <w:t>pēc Krimināllikuma 220.</w:t>
      </w:r>
      <w:r w:rsidRPr="005509A7">
        <w:rPr>
          <w:vertAlign w:val="superscript"/>
        </w:rPr>
        <w:t>1</w:t>
      </w:r>
      <w:r w:rsidR="00455A9C">
        <w:t> </w:t>
      </w:r>
      <w:r w:rsidRPr="005509A7">
        <w:t>panta otrās daļas</w:t>
      </w:r>
      <w:r>
        <w:t xml:space="preserve"> </w:t>
      </w:r>
      <w:r w:rsidRPr="005509A7">
        <w:t xml:space="preserve">par naftas produktu </w:t>
      </w:r>
      <w:r w:rsidR="00B32FB4">
        <w:t>– dīzeļdegvielas</w:t>
      </w:r>
      <w:r w:rsidR="00872AAD">
        <w:t> </w:t>
      </w:r>
      <w:r w:rsidR="00B32FB4">
        <w:t xml:space="preserve">– </w:t>
      </w:r>
      <w:r w:rsidRPr="005509A7">
        <w:t>nelikumīgu uzglabāšanu lielā apmērā</w:t>
      </w:r>
      <w:r w:rsidR="00B32FB4">
        <w:t xml:space="preserve"> </w:t>
      </w:r>
      <w:r w:rsidR="00DC637B">
        <w:t xml:space="preserve">– </w:t>
      </w:r>
      <w:r w:rsidR="00B32FB4" w:rsidRPr="005509A7">
        <w:t>ne mazāk kā</w:t>
      </w:r>
      <w:r w:rsidR="00B32FB4">
        <w:t xml:space="preserve"> </w:t>
      </w:r>
      <w:r w:rsidR="00B32FB4" w:rsidRPr="005509A7">
        <w:t>11</w:t>
      </w:r>
      <w:r w:rsidR="00B32FB4">
        <w:t> </w:t>
      </w:r>
      <w:r w:rsidR="00B32FB4" w:rsidRPr="005509A7">
        <w:t>900 litr</w:t>
      </w:r>
      <w:r w:rsidR="00B32FB4">
        <w:t>u</w:t>
      </w:r>
      <w:r w:rsidR="002F0233">
        <w:t>, kuru vērtība bija</w:t>
      </w:r>
      <w:r w:rsidR="00C06272">
        <w:t> </w:t>
      </w:r>
      <w:r w:rsidR="00B32FB4" w:rsidRPr="005509A7">
        <w:t>10</w:t>
      </w:r>
      <w:r w:rsidR="00C07044">
        <w:t> </w:t>
      </w:r>
      <w:r w:rsidR="00B32FB4" w:rsidRPr="005509A7">
        <w:t xml:space="preserve">579,10 </w:t>
      </w:r>
      <w:r w:rsidR="00C07044">
        <w:t xml:space="preserve">latu jeb </w:t>
      </w:r>
      <w:r w:rsidR="00B32FB4" w:rsidRPr="005509A7">
        <w:t>15</w:t>
      </w:r>
      <w:r w:rsidR="00BB1CC3">
        <w:t> </w:t>
      </w:r>
      <w:r w:rsidR="00B32FB4" w:rsidRPr="005509A7">
        <w:t>052,70</w:t>
      </w:r>
      <w:r w:rsidR="00C07044">
        <w:t> </w:t>
      </w:r>
      <w:r w:rsidR="00B32FB4" w:rsidRPr="00DA5A81">
        <w:rPr>
          <w:i/>
          <w:iCs/>
        </w:rPr>
        <w:t>euro</w:t>
      </w:r>
      <w:r w:rsidR="00B32FB4">
        <w:t>;</w:t>
      </w:r>
      <w:bookmarkStart w:id="0" w:name="_Hlk218688014"/>
    </w:p>
    <w:p w14:paraId="2F17D577" w14:textId="43DCD0CE" w:rsidR="00AE4B47" w:rsidRDefault="00541E50" w:rsidP="00EE7E71">
      <w:pPr>
        <w:suppressAutoHyphens w:val="0"/>
        <w:spacing w:line="276" w:lineRule="auto"/>
        <w:ind w:firstLine="720"/>
        <w:jc w:val="both"/>
        <w:rPr>
          <w:rFonts w:asciiTheme="majorBidi" w:hAnsiTheme="majorBidi" w:cstheme="majorBidi"/>
        </w:rPr>
      </w:pPr>
      <w:r w:rsidRPr="00541E50">
        <w:rPr>
          <w:kern w:val="0"/>
        </w:rPr>
        <w:t>pēc Krimināllikuma 177.</w:t>
      </w:r>
      <w:r w:rsidR="00570468">
        <w:rPr>
          <w:kern w:val="0"/>
        </w:rPr>
        <w:t> </w:t>
      </w:r>
      <w:r w:rsidRPr="00541E50">
        <w:rPr>
          <w:kern w:val="0"/>
        </w:rPr>
        <w:t>panta trešās daļas</w:t>
      </w:r>
      <w:r>
        <w:rPr>
          <w:kern w:val="0"/>
        </w:rPr>
        <w:t xml:space="preserve"> </w:t>
      </w:r>
      <w:r w:rsidR="00DA5A81">
        <w:rPr>
          <w:kern w:val="0"/>
        </w:rPr>
        <w:t>p</w:t>
      </w:r>
      <w:r>
        <w:rPr>
          <w:kern w:val="0"/>
        </w:rPr>
        <w:t>ar krāpšanu</w:t>
      </w:r>
      <w:r w:rsidRPr="00541E50">
        <w:rPr>
          <w:kern w:val="0"/>
        </w:rPr>
        <w:t xml:space="preserve"> lielā apmērā</w:t>
      </w:r>
      <w:r>
        <w:rPr>
          <w:kern w:val="0"/>
        </w:rPr>
        <w:t xml:space="preserve">, proti, </w:t>
      </w:r>
      <w:bookmarkStart w:id="1" w:name="_Hlk210846720"/>
      <w:r>
        <w:rPr>
          <w:kern w:val="0"/>
        </w:rPr>
        <w:t>par</w:t>
      </w:r>
      <w:r w:rsidR="00B32FB4">
        <w:rPr>
          <w:kern w:val="0"/>
        </w:rPr>
        <w:t xml:space="preserve"> </w:t>
      </w:r>
      <w:r w:rsidR="008B7E58">
        <w:rPr>
          <w:rFonts w:asciiTheme="majorBidi" w:hAnsiTheme="majorBidi" w:cstheme="majorBidi"/>
        </w:rPr>
        <w:t>tr</w:t>
      </w:r>
      <w:r w:rsidR="00DD469B">
        <w:rPr>
          <w:rFonts w:asciiTheme="majorBidi" w:hAnsiTheme="majorBidi" w:cstheme="majorBidi"/>
        </w:rPr>
        <w:t>īs</w:t>
      </w:r>
      <w:r w:rsidR="008B7E58">
        <w:rPr>
          <w:rFonts w:asciiTheme="majorBidi" w:hAnsiTheme="majorBidi" w:cstheme="majorBidi"/>
        </w:rPr>
        <w:t xml:space="preserve"> apzināti nepatiesu </w:t>
      </w:r>
      <w:r w:rsidR="008B7E58" w:rsidRPr="00541E50">
        <w:t>AS</w:t>
      </w:r>
      <w:r w:rsidR="008B7E58">
        <w:t> </w:t>
      </w:r>
      <w:r w:rsidR="008B7E58" w:rsidRPr="00541E50">
        <w:t>„</w:t>
      </w:r>
      <w:r w:rsidR="0088482E">
        <w:t>[Nosaukums A]</w:t>
      </w:r>
      <w:r w:rsidR="008B7E58" w:rsidRPr="00541E50">
        <w:t>”</w:t>
      </w:r>
      <w:r w:rsidR="008B7E58">
        <w:t xml:space="preserve"> </w:t>
      </w:r>
      <w:r w:rsidR="00A951C9">
        <w:rPr>
          <w:rFonts w:asciiTheme="majorBidi" w:hAnsiTheme="majorBidi" w:cstheme="majorBidi"/>
        </w:rPr>
        <w:t xml:space="preserve">pievienotās vērtības nodokļa (turpmāk – </w:t>
      </w:r>
      <w:r w:rsidR="008B7E58">
        <w:rPr>
          <w:rFonts w:asciiTheme="majorBidi" w:hAnsiTheme="majorBidi" w:cstheme="majorBidi"/>
        </w:rPr>
        <w:t>PVN</w:t>
      </w:r>
      <w:r w:rsidR="00A951C9">
        <w:rPr>
          <w:rFonts w:asciiTheme="majorBidi" w:hAnsiTheme="majorBidi" w:cstheme="majorBidi"/>
        </w:rPr>
        <w:t>)</w:t>
      </w:r>
      <w:r w:rsidR="008B7E58">
        <w:rPr>
          <w:rFonts w:asciiTheme="majorBidi" w:hAnsiTheme="majorBidi" w:cstheme="majorBidi"/>
        </w:rPr>
        <w:t xml:space="preserve"> deklarāciju iesniegšan</w:t>
      </w:r>
      <w:r w:rsidR="00A54C15">
        <w:rPr>
          <w:rFonts w:asciiTheme="majorBidi" w:hAnsiTheme="majorBidi" w:cstheme="majorBidi"/>
        </w:rPr>
        <w:t>u</w:t>
      </w:r>
      <w:r w:rsidR="00570468">
        <w:rPr>
          <w:rFonts w:asciiTheme="majorBidi" w:hAnsiTheme="majorBidi" w:cstheme="majorBidi"/>
        </w:rPr>
        <w:t xml:space="preserve"> </w:t>
      </w:r>
      <w:r w:rsidR="008B7E58">
        <w:rPr>
          <w:rFonts w:asciiTheme="majorBidi" w:hAnsiTheme="majorBidi" w:cstheme="majorBidi"/>
        </w:rPr>
        <w:t>Elektroniskās deklarēšanas sistēmā (</w:t>
      </w:r>
      <w:r w:rsidR="00D51E76">
        <w:rPr>
          <w:rFonts w:asciiTheme="majorBidi" w:hAnsiTheme="majorBidi" w:cstheme="majorBidi"/>
        </w:rPr>
        <w:t xml:space="preserve">turpmāk – </w:t>
      </w:r>
      <w:r w:rsidR="008B7E58">
        <w:rPr>
          <w:rFonts w:asciiTheme="majorBidi" w:hAnsiTheme="majorBidi" w:cstheme="majorBidi"/>
        </w:rPr>
        <w:t>EDS)</w:t>
      </w:r>
      <w:r w:rsidR="00570468">
        <w:rPr>
          <w:rFonts w:asciiTheme="majorBidi" w:hAnsiTheme="majorBidi" w:cstheme="majorBidi"/>
        </w:rPr>
        <w:t xml:space="preserve"> ar </w:t>
      </w:r>
      <w:r w:rsidR="00570468" w:rsidRPr="00DD469B">
        <w:rPr>
          <w:rFonts w:asciiTheme="majorBidi" w:hAnsiTheme="majorBidi" w:cstheme="majorBidi"/>
          <w:color w:val="000000" w:themeColor="text1"/>
        </w:rPr>
        <w:t>citas personas starpniecību</w:t>
      </w:r>
      <w:r w:rsidR="008B7E58" w:rsidRPr="00DD469B">
        <w:rPr>
          <w:rFonts w:asciiTheme="majorBidi" w:hAnsiTheme="majorBidi" w:cstheme="majorBidi"/>
          <w:color w:val="000000" w:themeColor="text1"/>
        </w:rPr>
        <w:t xml:space="preserve">, </w:t>
      </w:r>
      <w:r w:rsidR="00F133F3" w:rsidRPr="00DD469B">
        <w:rPr>
          <w:color w:val="000000" w:themeColor="text1"/>
        </w:rPr>
        <w:t xml:space="preserve">deklarācijās nepamatoti </w:t>
      </w:r>
      <w:r w:rsidR="006F4284" w:rsidRPr="00DD469B">
        <w:rPr>
          <w:color w:val="000000" w:themeColor="text1"/>
        </w:rPr>
        <w:t>no</w:t>
      </w:r>
      <w:r w:rsidR="00F133F3" w:rsidRPr="00DD469B">
        <w:rPr>
          <w:color w:val="000000" w:themeColor="text1"/>
        </w:rPr>
        <w:t>rādot priekšnodokli par darījumiem, k</w:t>
      </w:r>
      <w:r w:rsidR="00DD469B" w:rsidRPr="00DD469B">
        <w:rPr>
          <w:color w:val="000000" w:themeColor="text1"/>
        </w:rPr>
        <w:t>uri</w:t>
      </w:r>
      <w:r w:rsidR="00BB1CC3" w:rsidRPr="00DD469B">
        <w:rPr>
          <w:color w:val="000000" w:themeColor="text1"/>
        </w:rPr>
        <w:t>: 1)</w:t>
      </w:r>
      <w:r w:rsidR="00AA5867" w:rsidRPr="00DD469B">
        <w:rPr>
          <w:color w:val="000000" w:themeColor="text1"/>
        </w:rPr>
        <w:t> </w:t>
      </w:r>
      <w:r w:rsidR="00F133F3" w:rsidRPr="00DD469B">
        <w:rPr>
          <w:color w:val="000000" w:themeColor="text1"/>
        </w:rPr>
        <w:t>n</w:t>
      </w:r>
      <w:r w:rsidR="00BB1CC3" w:rsidRPr="00DD469B">
        <w:rPr>
          <w:color w:val="000000" w:themeColor="text1"/>
        </w:rPr>
        <w:t>av</w:t>
      </w:r>
      <w:r w:rsidR="00F133F3" w:rsidRPr="00DD469B">
        <w:rPr>
          <w:color w:val="000000" w:themeColor="text1"/>
        </w:rPr>
        <w:t xml:space="preserve"> notikuši</w:t>
      </w:r>
      <w:r w:rsidR="00BB1CC3" w:rsidRPr="00DD469B">
        <w:rPr>
          <w:color w:val="000000" w:themeColor="text1"/>
        </w:rPr>
        <w:t xml:space="preserve"> attiecīgajā taksācijas periodā; 2)</w:t>
      </w:r>
      <w:r w:rsidR="00AA5867" w:rsidRPr="00DD469B">
        <w:rPr>
          <w:color w:val="000000" w:themeColor="text1"/>
        </w:rPr>
        <w:t> </w:t>
      </w:r>
      <w:r w:rsidR="00BB1CC3" w:rsidRPr="00DD469B">
        <w:rPr>
          <w:color w:val="000000" w:themeColor="text1"/>
        </w:rPr>
        <w:t>nav saistīti ar nodokli apliekamu darījumu nodrošināšan</w:t>
      </w:r>
      <w:r w:rsidR="006F4284" w:rsidRPr="00DD469B">
        <w:rPr>
          <w:color w:val="000000" w:themeColor="text1"/>
        </w:rPr>
        <w:t>u</w:t>
      </w:r>
      <w:r w:rsidR="00BB1CC3" w:rsidRPr="00DD469B">
        <w:rPr>
          <w:color w:val="000000" w:themeColor="text1"/>
        </w:rPr>
        <w:t>; 3)</w:t>
      </w:r>
      <w:r w:rsidR="00AA5867" w:rsidRPr="00DD469B">
        <w:rPr>
          <w:color w:val="000000" w:themeColor="text1"/>
        </w:rPr>
        <w:t> </w:t>
      </w:r>
      <w:r w:rsidR="00BB1CC3" w:rsidRPr="00DD469B">
        <w:rPr>
          <w:color w:val="000000" w:themeColor="text1"/>
        </w:rPr>
        <w:t xml:space="preserve">nav saņemti no </w:t>
      </w:r>
      <w:r w:rsidR="00DD469B" w:rsidRPr="00DD469B">
        <w:rPr>
          <w:color w:val="000000" w:themeColor="text1"/>
        </w:rPr>
        <w:t xml:space="preserve">reģistrētiem </w:t>
      </w:r>
      <w:r w:rsidR="00BB1CC3" w:rsidRPr="00DD469B">
        <w:rPr>
          <w:color w:val="000000" w:themeColor="text1"/>
        </w:rPr>
        <w:t>PVN maksātājiem</w:t>
      </w:r>
      <w:r w:rsidR="007D7076" w:rsidRPr="00DD469B">
        <w:rPr>
          <w:rFonts w:asciiTheme="majorBidi" w:hAnsiTheme="majorBidi" w:cstheme="majorBidi"/>
          <w:color w:val="000000" w:themeColor="text1"/>
        </w:rPr>
        <w:t xml:space="preserve">, </w:t>
      </w:r>
      <w:r w:rsidR="00570468" w:rsidRPr="00DD469B">
        <w:rPr>
          <w:rFonts w:asciiTheme="majorBidi" w:hAnsiTheme="majorBidi" w:cstheme="majorBidi"/>
          <w:color w:val="000000" w:themeColor="text1"/>
        </w:rPr>
        <w:t xml:space="preserve">kā rezultātā </w:t>
      </w:r>
      <w:r w:rsidR="006F4284" w:rsidRPr="00DD469B">
        <w:rPr>
          <w:color w:val="000000" w:themeColor="text1"/>
        </w:rPr>
        <w:t>AS „</w:t>
      </w:r>
      <w:r w:rsidR="0088482E">
        <w:rPr>
          <w:color w:val="000000" w:themeColor="text1"/>
        </w:rPr>
        <w:t>[Nosaukums A]</w:t>
      </w:r>
      <w:r w:rsidR="006F4284" w:rsidRPr="00DD469B">
        <w:rPr>
          <w:color w:val="000000" w:themeColor="text1"/>
        </w:rPr>
        <w:t xml:space="preserve">” </w:t>
      </w:r>
      <w:r w:rsidR="00F174B3">
        <w:rPr>
          <w:color w:val="000000" w:themeColor="text1"/>
        </w:rPr>
        <w:t xml:space="preserve">no valsts budžeta </w:t>
      </w:r>
      <w:r w:rsidR="00570468" w:rsidRPr="00DD469B">
        <w:rPr>
          <w:rFonts w:asciiTheme="majorBidi" w:hAnsiTheme="majorBidi" w:cstheme="majorBidi"/>
          <w:color w:val="000000" w:themeColor="text1"/>
        </w:rPr>
        <w:t xml:space="preserve">tika </w:t>
      </w:r>
      <w:r w:rsidR="00C66B4F" w:rsidRPr="00DD469B">
        <w:rPr>
          <w:rFonts w:asciiTheme="majorBidi" w:hAnsiTheme="majorBidi" w:cstheme="majorBidi"/>
          <w:color w:val="000000" w:themeColor="text1"/>
        </w:rPr>
        <w:t xml:space="preserve">nepamatoti </w:t>
      </w:r>
      <w:r w:rsidR="00570468" w:rsidRPr="00DD469B">
        <w:rPr>
          <w:rFonts w:asciiTheme="majorBidi" w:hAnsiTheme="majorBidi" w:cstheme="majorBidi"/>
          <w:color w:val="000000" w:themeColor="text1"/>
        </w:rPr>
        <w:t>atmaksāt</w:t>
      </w:r>
      <w:r w:rsidR="00F174B3">
        <w:rPr>
          <w:rFonts w:asciiTheme="majorBidi" w:hAnsiTheme="majorBidi" w:cstheme="majorBidi"/>
          <w:color w:val="000000" w:themeColor="text1"/>
        </w:rPr>
        <w:t>i</w:t>
      </w:r>
      <w:r w:rsidR="00BB1CC3" w:rsidRPr="00DD469B">
        <w:rPr>
          <w:rFonts w:asciiTheme="majorBidi" w:hAnsiTheme="majorBidi" w:cstheme="majorBidi"/>
          <w:color w:val="000000" w:themeColor="text1"/>
        </w:rPr>
        <w:t xml:space="preserve"> </w:t>
      </w:r>
      <w:r w:rsidR="008B7E58" w:rsidRPr="00B92467">
        <w:rPr>
          <w:rFonts w:asciiTheme="majorBidi" w:hAnsiTheme="majorBidi" w:cstheme="majorBidi"/>
        </w:rPr>
        <w:t>20</w:t>
      </w:r>
      <w:r w:rsidR="008B7E58">
        <w:rPr>
          <w:rFonts w:asciiTheme="majorBidi" w:hAnsiTheme="majorBidi" w:cstheme="majorBidi"/>
        </w:rPr>
        <w:t> </w:t>
      </w:r>
      <w:r w:rsidR="008B7E58" w:rsidRPr="00B92467">
        <w:rPr>
          <w:rFonts w:asciiTheme="majorBidi" w:hAnsiTheme="majorBidi" w:cstheme="majorBidi"/>
        </w:rPr>
        <w:t>620,95</w:t>
      </w:r>
      <w:r w:rsidR="00570468">
        <w:rPr>
          <w:rFonts w:asciiTheme="majorBidi" w:hAnsiTheme="majorBidi" w:cstheme="majorBidi"/>
        </w:rPr>
        <w:t xml:space="preserve">  </w:t>
      </w:r>
      <w:r w:rsidR="00570468" w:rsidRPr="00570468">
        <w:rPr>
          <w:rFonts w:asciiTheme="majorBidi" w:hAnsiTheme="majorBidi" w:cstheme="majorBidi"/>
        </w:rPr>
        <w:t>lat</w:t>
      </w:r>
      <w:r w:rsidR="00DE6690">
        <w:rPr>
          <w:rFonts w:asciiTheme="majorBidi" w:hAnsiTheme="majorBidi" w:cstheme="majorBidi"/>
        </w:rPr>
        <w:t>i</w:t>
      </w:r>
      <w:r w:rsidR="00570468">
        <w:rPr>
          <w:rFonts w:asciiTheme="majorBidi" w:hAnsiTheme="majorBidi" w:cstheme="majorBidi"/>
        </w:rPr>
        <w:t xml:space="preserve"> jeb </w:t>
      </w:r>
      <w:r w:rsidR="008B7E58" w:rsidRPr="00B92467">
        <w:rPr>
          <w:rFonts w:asciiTheme="majorBidi" w:hAnsiTheme="majorBidi" w:cstheme="majorBidi"/>
        </w:rPr>
        <w:t>29 340</w:t>
      </w:r>
      <w:r w:rsidR="00F174B3">
        <w:rPr>
          <w:rFonts w:asciiTheme="majorBidi" w:hAnsiTheme="majorBidi" w:cstheme="majorBidi"/>
        </w:rPr>
        <w:t>,97</w:t>
      </w:r>
      <w:r w:rsidR="008B7E58" w:rsidRPr="00B92467">
        <w:rPr>
          <w:rFonts w:asciiTheme="majorBidi" w:hAnsiTheme="majorBidi" w:cstheme="majorBidi"/>
          <w:i/>
          <w:iCs/>
        </w:rPr>
        <w:t> euro</w:t>
      </w:r>
      <w:r w:rsidR="008B7E58">
        <w:rPr>
          <w:rFonts w:asciiTheme="majorBidi" w:hAnsiTheme="majorBidi" w:cstheme="majorBidi"/>
        </w:rPr>
        <w:t>.</w:t>
      </w:r>
    </w:p>
    <w:p w14:paraId="6B818094" w14:textId="77777777" w:rsidR="00DD469B" w:rsidRDefault="00DD469B" w:rsidP="00EE7E71">
      <w:pPr>
        <w:suppressAutoHyphens w:val="0"/>
        <w:spacing w:line="276" w:lineRule="auto"/>
        <w:ind w:firstLine="720"/>
        <w:jc w:val="both"/>
        <w:rPr>
          <w:rFonts w:asciiTheme="majorBidi" w:hAnsiTheme="majorBidi" w:cstheme="majorBidi"/>
        </w:rPr>
      </w:pPr>
    </w:p>
    <w:bookmarkEnd w:id="0"/>
    <w:bookmarkEnd w:id="1"/>
    <w:p w14:paraId="2D80FC2E" w14:textId="01DD8745" w:rsidR="007044E4" w:rsidRPr="00AA5867" w:rsidRDefault="00BD057C" w:rsidP="00EE7E71">
      <w:pPr>
        <w:pStyle w:val="NormalWeb"/>
        <w:widowControl w:val="0"/>
        <w:shd w:val="clear" w:color="auto" w:fill="FFFFFF"/>
        <w:spacing w:before="0" w:beforeAutospacing="0" w:after="0" w:afterAutospacing="0" w:line="276" w:lineRule="auto"/>
        <w:ind w:firstLine="720"/>
        <w:jc w:val="both"/>
      </w:pPr>
      <w:r>
        <w:t>[3</w:t>
      </w:r>
      <w:r w:rsidRPr="00853AEC">
        <w:t>]</w:t>
      </w:r>
      <w:r w:rsidR="00C07044">
        <w:t> </w:t>
      </w:r>
      <w:r w:rsidRPr="00D966B8">
        <w:t xml:space="preserve">Ar Rīgas apgabaltiesas </w:t>
      </w:r>
      <w:r w:rsidR="00645FDA">
        <w:t>2024. gada 9. maija</w:t>
      </w:r>
      <w:r w:rsidRPr="00D966B8">
        <w:t xml:space="preserve"> </w:t>
      </w:r>
      <w:r w:rsidRPr="00D966B8">
        <w:rPr>
          <w:rFonts w:asciiTheme="majorBidi" w:hAnsiTheme="majorBidi" w:cstheme="majorBidi"/>
        </w:rPr>
        <w:t>spriedumu,</w:t>
      </w:r>
      <w:r w:rsidRPr="00D966B8">
        <w:t xml:space="preserve"> iz</w:t>
      </w:r>
      <w:r>
        <w:t>tiesājot</w:t>
      </w:r>
      <w:r w:rsidRPr="00D966B8">
        <w:t xml:space="preserve"> lietu</w:t>
      </w:r>
      <w:r>
        <w:t xml:space="preserve"> apelācijas kārtībā</w:t>
      </w:r>
      <w:r w:rsidRPr="00D966B8">
        <w:t xml:space="preserve"> </w:t>
      </w:r>
      <w:r w:rsidR="007044E4" w:rsidRPr="007044E4">
        <w:t xml:space="preserve">sakarā ar apsūdzētā </w:t>
      </w:r>
      <w:r w:rsidR="0088482E">
        <w:t>[pers. A]</w:t>
      </w:r>
      <w:r w:rsidR="007044E4" w:rsidRPr="007044E4">
        <w:t xml:space="preserve"> un viņa aizstāves D</w:t>
      </w:r>
      <w:r w:rsidR="007044E4">
        <w:t>. </w:t>
      </w:r>
      <w:r w:rsidR="007044E4" w:rsidRPr="007044E4">
        <w:t>Ozoliņas apelācijas sūdzībām</w:t>
      </w:r>
      <w:r w:rsidRPr="00D966B8">
        <w:t xml:space="preserve">, </w:t>
      </w:r>
      <w:r w:rsidRPr="00D966B8">
        <w:rPr>
          <w:rFonts w:asciiTheme="majorBidi" w:hAnsiTheme="majorBidi" w:cstheme="majorBidi"/>
        </w:rPr>
        <w:t xml:space="preserve">Rīgas </w:t>
      </w:r>
      <w:r w:rsidR="007044E4">
        <w:rPr>
          <w:rFonts w:asciiTheme="majorBidi" w:hAnsiTheme="majorBidi" w:cstheme="majorBidi"/>
        </w:rPr>
        <w:t xml:space="preserve">rajona tiesas 2022. gada 1. aprīļa spriedums </w:t>
      </w:r>
      <w:r w:rsidR="007044E4" w:rsidRPr="007044E4">
        <w:rPr>
          <w:rFonts w:asciiTheme="majorBidi" w:hAnsiTheme="majorBidi" w:cstheme="majorBidi"/>
        </w:rPr>
        <w:t>atcelt</w:t>
      </w:r>
      <w:r w:rsidR="007044E4">
        <w:rPr>
          <w:rFonts w:asciiTheme="majorBidi" w:hAnsiTheme="majorBidi" w:cstheme="majorBidi"/>
        </w:rPr>
        <w:t>s</w:t>
      </w:r>
      <w:r w:rsidR="007044E4" w:rsidRPr="007044E4">
        <w:rPr>
          <w:rFonts w:asciiTheme="majorBidi" w:hAnsiTheme="majorBidi" w:cstheme="majorBidi"/>
        </w:rPr>
        <w:t xml:space="preserve"> daļā</w:t>
      </w:r>
      <w:r w:rsidR="007044E4">
        <w:rPr>
          <w:rFonts w:asciiTheme="majorBidi" w:hAnsiTheme="majorBidi" w:cstheme="majorBidi"/>
        </w:rPr>
        <w:t>:</w:t>
      </w:r>
      <w:r w:rsidR="00C07044">
        <w:rPr>
          <w:rFonts w:asciiTheme="majorBidi" w:hAnsiTheme="majorBidi" w:cstheme="majorBidi"/>
        </w:rPr>
        <w:t xml:space="preserve"> 1) </w:t>
      </w:r>
      <w:r w:rsidR="007044E4" w:rsidRPr="007044E4">
        <w:rPr>
          <w:rFonts w:asciiTheme="majorBidi" w:hAnsiTheme="majorBidi" w:cstheme="majorBidi"/>
        </w:rPr>
        <w:t xml:space="preserve">par </w:t>
      </w:r>
      <w:r w:rsidR="0088482E">
        <w:rPr>
          <w:rFonts w:asciiTheme="majorBidi" w:hAnsiTheme="majorBidi" w:cstheme="majorBidi"/>
        </w:rPr>
        <w:t>[pers. A]</w:t>
      </w:r>
      <w:r w:rsidR="007044E4" w:rsidRPr="007044E4">
        <w:rPr>
          <w:rFonts w:asciiTheme="majorBidi" w:hAnsiTheme="majorBidi" w:cstheme="majorBidi"/>
        </w:rPr>
        <w:t xml:space="preserve"> noteikto sodu pēc Krimināllikuma 177.</w:t>
      </w:r>
      <w:r w:rsidR="007044E4">
        <w:rPr>
          <w:rFonts w:asciiTheme="majorBidi" w:hAnsiTheme="majorBidi" w:cstheme="majorBidi"/>
        </w:rPr>
        <w:t> </w:t>
      </w:r>
      <w:r w:rsidR="007044E4" w:rsidRPr="007044E4">
        <w:rPr>
          <w:rFonts w:asciiTheme="majorBidi" w:hAnsiTheme="majorBidi" w:cstheme="majorBidi"/>
        </w:rPr>
        <w:t>panta trešās daļas</w:t>
      </w:r>
      <w:r w:rsidR="00F16834">
        <w:rPr>
          <w:rFonts w:asciiTheme="majorBidi" w:hAnsiTheme="majorBidi" w:cstheme="majorBidi"/>
        </w:rPr>
        <w:t xml:space="preserve"> un </w:t>
      </w:r>
      <w:r w:rsidR="007044E4" w:rsidRPr="00BF0DDC">
        <w:t>galīgo sodu</w:t>
      </w:r>
      <w:r w:rsidR="007044E4">
        <w:t>;</w:t>
      </w:r>
      <w:r w:rsidR="003A21E2">
        <w:rPr>
          <w:rFonts w:asciiTheme="majorBidi" w:hAnsiTheme="majorBidi" w:cstheme="majorBidi"/>
        </w:rPr>
        <w:t xml:space="preserve"> </w:t>
      </w:r>
      <w:r w:rsidR="00C07044">
        <w:rPr>
          <w:rFonts w:asciiTheme="majorBidi" w:hAnsiTheme="majorBidi" w:cstheme="majorBidi"/>
        </w:rPr>
        <w:t>2) </w:t>
      </w:r>
      <w:r w:rsidR="007044E4" w:rsidRPr="007044E4">
        <w:rPr>
          <w:rFonts w:asciiTheme="majorBidi" w:hAnsiTheme="majorBidi" w:cstheme="majorBidi"/>
        </w:rPr>
        <w:t xml:space="preserve">par </w:t>
      </w:r>
      <w:r w:rsidR="007B132D">
        <w:rPr>
          <w:rFonts w:asciiTheme="majorBidi" w:hAnsiTheme="majorBidi" w:cstheme="majorBidi"/>
        </w:rPr>
        <w:t xml:space="preserve">mantiskā </w:t>
      </w:r>
      <w:r w:rsidR="00C07044">
        <w:rPr>
          <w:rFonts w:asciiTheme="majorBidi" w:hAnsiTheme="majorBidi" w:cstheme="majorBidi"/>
        </w:rPr>
        <w:t>zaudējuma</w:t>
      </w:r>
      <w:r w:rsidR="00C07044" w:rsidRPr="007044E4">
        <w:rPr>
          <w:rFonts w:asciiTheme="majorBidi" w:hAnsiTheme="majorBidi" w:cstheme="majorBidi"/>
        </w:rPr>
        <w:t xml:space="preserve"> </w:t>
      </w:r>
      <w:r w:rsidR="007044E4" w:rsidRPr="007044E4">
        <w:rPr>
          <w:rFonts w:asciiTheme="majorBidi" w:hAnsiTheme="majorBidi" w:cstheme="majorBidi"/>
        </w:rPr>
        <w:t>kompensācijas 29</w:t>
      </w:r>
      <w:r w:rsidR="007044E4">
        <w:rPr>
          <w:rFonts w:asciiTheme="majorBidi" w:hAnsiTheme="majorBidi" w:cstheme="majorBidi"/>
        </w:rPr>
        <w:t> </w:t>
      </w:r>
      <w:r w:rsidR="007044E4" w:rsidRPr="007044E4">
        <w:rPr>
          <w:rFonts w:asciiTheme="majorBidi" w:hAnsiTheme="majorBidi" w:cstheme="majorBidi"/>
        </w:rPr>
        <w:t>340,97</w:t>
      </w:r>
      <w:r w:rsidR="00C07044">
        <w:rPr>
          <w:rFonts w:asciiTheme="majorBidi" w:hAnsiTheme="majorBidi" w:cstheme="majorBidi"/>
        </w:rPr>
        <w:t> </w:t>
      </w:r>
      <w:r w:rsidR="007044E4" w:rsidRPr="007044E4">
        <w:rPr>
          <w:rFonts w:asciiTheme="majorBidi" w:hAnsiTheme="majorBidi" w:cstheme="majorBidi"/>
          <w:i/>
          <w:iCs/>
        </w:rPr>
        <w:t>euro</w:t>
      </w:r>
      <w:r w:rsidR="007044E4" w:rsidRPr="007044E4">
        <w:rPr>
          <w:rFonts w:asciiTheme="majorBidi" w:hAnsiTheme="majorBidi" w:cstheme="majorBidi"/>
        </w:rPr>
        <w:t xml:space="preserve"> piedziņu</w:t>
      </w:r>
      <w:r w:rsidR="007B132D">
        <w:rPr>
          <w:rFonts w:asciiTheme="majorBidi" w:hAnsiTheme="majorBidi" w:cstheme="majorBidi"/>
        </w:rPr>
        <w:t xml:space="preserve"> valsts labā.</w:t>
      </w:r>
    </w:p>
    <w:p w14:paraId="40941A20" w14:textId="32882193" w:rsidR="007044E4" w:rsidRDefault="0088482E" w:rsidP="00EE7E71">
      <w:pPr>
        <w:suppressAutoHyphens w:val="0"/>
        <w:spacing w:line="276" w:lineRule="auto"/>
        <w:ind w:firstLine="720"/>
        <w:jc w:val="both"/>
        <w:rPr>
          <w:rFonts w:asciiTheme="majorBidi" w:hAnsiTheme="majorBidi" w:cstheme="majorBidi"/>
        </w:rPr>
      </w:pPr>
      <w:r>
        <w:rPr>
          <w:rFonts w:asciiTheme="majorBidi" w:hAnsiTheme="majorBidi" w:cstheme="majorBidi"/>
        </w:rPr>
        <w:t>[</w:t>
      </w:r>
      <w:r w:rsidR="0096782F">
        <w:rPr>
          <w:rFonts w:asciiTheme="majorBidi" w:hAnsiTheme="majorBidi" w:cstheme="majorBidi"/>
        </w:rPr>
        <w:t>P</w:t>
      </w:r>
      <w:r>
        <w:rPr>
          <w:rFonts w:asciiTheme="majorBidi" w:hAnsiTheme="majorBidi" w:cstheme="majorBidi"/>
        </w:rPr>
        <w:t>ers. A]</w:t>
      </w:r>
      <w:r w:rsidR="00C07044">
        <w:rPr>
          <w:rFonts w:asciiTheme="majorBidi" w:hAnsiTheme="majorBidi" w:cstheme="majorBidi"/>
        </w:rPr>
        <w:t xml:space="preserve"> sodīts pēc</w:t>
      </w:r>
      <w:r w:rsidR="009C06EC">
        <w:rPr>
          <w:rFonts w:asciiTheme="majorBidi" w:hAnsiTheme="majorBidi" w:cstheme="majorBidi"/>
        </w:rPr>
        <w:t xml:space="preserve"> </w:t>
      </w:r>
      <w:r w:rsidR="007044E4" w:rsidRPr="007044E4">
        <w:rPr>
          <w:rFonts w:asciiTheme="majorBidi" w:hAnsiTheme="majorBidi" w:cstheme="majorBidi"/>
        </w:rPr>
        <w:t>Krimināllikuma 177.</w:t>
      </w:r>
      <w:r w:rsidR="007044E4">
        <w:rPr>
          <w:rFonts w:asciiTheme="majorBidi" w:hAnsiTheme="majorBidi" w:cstheme="majorBidi"/>
        </w:rPr>
        <w:t> </w:t>
      </w:r>
      <w:r w:rsidR="007044E4" w:rsidRPr="007044E4">
        <w:rPr>
          <w:rFonts w:asciiTheme="majorBidi" w:hAnsiTheme="majorBidi" w:cstheme="majorBidi"/>
        </w:rPr>
        <w:t>panta treš</w:t>
      </w:r>
      <w:r w:rsidR="00C07044">
        <w:rPr>
          <w:rFonts w:asciiTheme="majorBidi" w:hAnsiTheme="majorBidi" w:cstheme="majorBidi"/>
        </w:rPr>
        <w:t>ās</w:t>
      </w:r>
      <w:r w:rsidR="007044E4" w:rsidRPr="007044E4">
        <w:rPr>
          <w:rFonts w:asciiTheme="majorBidi" w:hAnsiTheme="majorBidi" w:cstheme="majorBidi"/>
        </w:rPr>
        <w:t xml:space="preserve"> daļ</w:t>
      </w:r>
      <w:r w:rsidR="00C07044">
        <w:rPr>
          <w:rFonts w:asciiTheme="majorBidi" w:hAnsiTheme="majorBidi" w:cstheme="majorBidi"/>
        </w:rPr>
        <w:t>as</w:t>
      </w:r>
      <w:r w:rsidR="009C06EC">
        <w:rPr>
          <w:rFonts w:asciiTheme="majorBidi" w:hAnsiTheme="majorBidi" w:cstheme="majorBidi"/>
        </w:rPr>
        <w:t xml:space="preserve"> </w:t>
      </w:r>
      <w:r w:rsidR="00C07044">
        <w:rPr>
          <w:rFonts w:asciiTheme="majorBidi" w:hAnsiTheme="majorBidi" w:cstheme="majorBidi"/>
        </w:rPr>
        <w:t>ar</w:t>
      </w:r>
      <w:r w:rsidR="007044E4" w:rsidRPr="007044E4">
        <w:rPr>
          <w:rFonts w:asciiTheme="majorBidi" w:hAnsiTheme="majorBidi" w:cstheme="majorBidi"/>
        </w:rPr>
        <w:t xml:space="preserve"> brīvības atņemšan</w:t>
      </w:r>
      <w:r w:rsidR="00C07044">
        <w:rPr>
          <w:rFonts w:asciiTheme="majorBidi" w:hAnsiTheme="majorBidi" w:cstheme="majorBidi"/>
        </w:rPr>
        <w:t>u</w:t>
      </w:r>
      <w:r w:rsidR="007044E4" w:rsidRPr="007044E4">
        <w:rPr>
          <w:rFonts w:asciiTheme="majorBidi" w:hAnsiTheme="majorBidi" w:cstheme="majorBidi"/>
        </w:rPr>
        <w:t xml:space="preserve"> uz </w:t>
      </w:r>
      <w:r w:rsidR="007044E4">
        <w:rPr>
          <w:rFonts w:asciiTheme="majorBidi" w:hAnsiTheme="majorBidi" w:cstheme="majorBidi"/>
        </w:rPr>
        <w:t>2 </w:t>
      </w:r>
      <w:r w:rsidR="007044E4" w:rsidRPr="007044E4">
        <w:rPr>
          <w:rFonts w:asciiTheme="majorBidi" w:hAnsiTheme="majorBidi" w:cstheme="majorBidi"/>
        </w:rPr>
        <w:t>gadiem.</w:t>
      </w:r>
    </w:p>
    <w:p w14:paraId="3AFB823D" w14:textId="48595C26" w:rsidR="007044E4" w:rsidRDefault="007044E4" w:rsidP="00EE7E71">
      <w:pPr>
        <w:suppressAutoHyphens w:val="0"/>
        <w:spacing w:line="276" w:lineRule="auto"/>
        <w:ind w:firstLine="720"/>
        <w:jc w:val="both"/>
        <w:rPr>
          <w:rFonts w:asciiTheme="majorBidi" w:hAnsiTheme="majorBidi" w:cstheme="majorBidi"/>
        </w:rPr>
      </w:pPr>
      <w:r w:rsidRPr="007044E4">
        <w:rPr>
          <w:rFonts w:asciiTheme="majorBidi" w:hAnsiTheme="majorBidi" w:cstheme="majorBidi"/>
        </w:rPr>
        <w:t>Saskaņā ar Krimināllikuma 50.</w:t>
      </w:r>
      <w:r>
        <w:rPr>
          <w:rFonts w:asciiTheme="majorBidi" w:hAnsiTheme="majorBidi" w:cstheme="majorBidi"/>
        </w:rPr>
        <w:t> </w:t>
      </w:r>
      <w:r w:rsidRPr="007044E4">
        <w:rPr>
          <w:rFonts w:asciiTheme="majorBidi" w:hAnsiTheme="majorBidi" w:cstheme="majorBidi"/>
        </w:rPr>
        <w:t>panta pirmo un trešo daļu</w:t>
      </w:r>
      <w:r>
        <w:rPr>
          <w:rFonts w:asciiTheme="majorBidi" w:hAnsiTheme="majorBidi" w:cstheme="majorBidi"/>
        </w:rPr>
        <w:t xml:space="preserve"> galīgais sods </w:t>
      </w:r>
      <w:r w:rsidR="0088482E">
        <w:rPr>
          <w:rFonts w:asciiTheme="majorBidi" w:hAnsiTheme="majorBidi" w:cstheme="majorBidi"/>
        </w:rPr>
        <w:t>[pers. A]</w:t>
      </w:r>
      <w:r>
        <w:rPr>
          <w:rFonts w:asciiTheme="majorBidi" w:hAnsiTheme="majorBidi" w:cstheme="majorBidi"/>
        </w:rPr>
        <w:t xml:space="preserve"> noteikts </w:t>
      </w:r>
      <w:r w:rsidRPr="007044E4">
        <w:rPr>
          <w:rFonts w:asciiTheme="majorBidi" w:hAnsiTheme="majorBidi" w:cstheme="majorBidi"/>
        </w:rPr>
        <w:t xml:space="preserve">brīvības atņemšana uz </w:t>
      </w:r>
      <w:r>
        <w:rPr>
          <w:rFonts w:asciiTheme="majorBidi" w:hAnsiTheme="majorBidi" w:cstheme="majorBidi"/>
        </w:rPr>
        <w:t>2</w:t>
      </w:r>
      <w:r w:rsidRPr="007044E4">
        <w:rPr>
          <w:rFonts w:asciiTheme="majorBidi" w:hAnsiTheme="majorBidi" w:cstheme="majorBidi"/>
        </w:rPr>
        <w:t xml:space="preserve"> gadiem un naudas sod</w:t>
      </w:r>
      <w:r>
        <w:rPr>
          <w:rFonts w:asciiTheme="majorBidi" w:hAnsiTheme="majorBidi" w:cstheme="majorBidi"/>
        </w:rPr>
        <w:t>s</w:t>
      </w:r>
      <w:r w:rsidRPr="007044E4">
        <w:rPr>
          <w:rFonts w:asciiTheme="majorBidi" w:hAnsiTheme="majorBidi" w:cstheme="majorBidi"/>
        </w:rPr>
        <w:t xml:space="preserve"> 5000</w:t>
      </w:r>
      <w:r w:rsidR="00C07044">
        <w:rPr>
          <w:rFonts w:asciiTheme="majorBidi" w:hAnsiTheme="majorBidi" w:cstheme="majorBidi"/>
        </w:rPr>
        <w:t> </w:t>
      </w:r>
      <w:r w:rsidRPr="007044E4">
        <w:rPr>
          <w:rFonts w:asciiTheme="majorBidi" w:hAnsiTheme="majorBidi" w:cstheme="majorBidi"/>
          <w:i/>
          <w:iCs/>
        </w:rPr>
        <w:t>euro</w:t>
      </w:r>
      <w:r>
        <w:rPr>
          <w:rFonts w:asciiTheme="majorBidi" w:hAnsiTheme="majorBidi" w:cstheme="majorBidi"/>
        </w:rPr>
        <w:t>.</w:t>
      </w:r>
    </w:p>
    <w:p w14:paraId="70940A79" w14:textId="70FC53DE" w:rsidR="007044E4" w:rsidRDefault="007044E4"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Tiesvedība </w:t>
      </w:r>
      <w:r w:rsidRPr="007044E4">
        <w:rPr>
          <w:rFonts w:asciiTheme="majorBidi" w:hAnsiTheme="majorBidi" w:cstheme="majorBidi"/>
        </w:rPr>
        <w:t xml:space="preserve">daļā par mantiskā </w:t>
      </w:r>
      <w:r w:rsidR="00C07044">
        <w:rPr>
          <w:rFonts w:asciiTheme="majorBidi" w:hAnsiTheme="majorBidi" w:cstheme="majorBidi"/>
        </w:rPr>
        <w:t>zaudējuma</w:t>
      </w:r>
      <w:r w:rsidR="00C07044" w:rsidRPr="007044E4">
        <w:rPr>
          <w:rFonts w:asciiTheme="majorBidi" w:hAnsiTheme="majorBidi" w:cstheme="majorBidi"/>
        </w:rPr>
        <w:t xml:space="preserve"> </w:t>
      </w:r>
      <w:r w:rsidRPr="007044E4">
        <w:rPr>
          <w:rFonts w:asciiTheme="majorBidi" w:hAnsiTheme="majorBidi" w:cstheme="majorBidi"/>
        </w:rPr>
        <w:t>kompensācij</w:t>
      </w:r>
      <w:r w:rsidR="00C07044">
        <w:rPr>
          <w:rFonts w:asciiTheme="majorBidi" w:hAnsiTheme="majorBidi" w:cstheme="majorBidi"/>
        </w:rPr>
        <w:t>as</w:t>
      </w:r>
      <w:r w:rsidRPr="007044E4">
        <w:rPr>
          <w:rFonts w:asciiTheme="majorBidi" w:hAnsiTheme="majorBidi" w:cstheme="majorBidi"/>
        </w:rPr>
        <w:t xml:space="preserve"> 29</w:t>
      </w:r>
      <w:r w:rsidR="00C07044">
        <w:rPr>
          <w:rFonts w:asciiTheme="majorBidi" w:hAnsiTheme="majorBidi" w:cstheme="majorBidi"/>
        </w:rPr>
        <w:t> </w:t>
      </w:r>
      <w:r w:rsidRPr="007044E4">
        <w:rPr>
          <w:rFonts w:asciiTheme="majorBidi" w:hAnsiTheme="majorBidi" w:cstheme="majorBidi"/>
        </w:rPr>
        <w:t>340,97</w:t>
      </w:r>
      <w:r w:rsidR="00C07044">
        <w:rPr>
          <w:rFonts w:asciiTheme="majorBidi" w:hAnsiTheme="majorBidi" w:cstheme="majorBidi"/>
        </w:rPr>
        <w:t> </w:t>
      </w:r>
      <w:r w:rsidRPr="007044E4">
        <w:rPr>
          <w:rFonts w:asciiTheme="majorBidi" w:hAnsiTheme="majorBidi" w:cstheme="majorBidi"/>
          <w:i/>
          <w:iCs/>
        </w:rPr>
        <w:t>euro</w:t>
      </w:r>
      <w:r>
        <w:rPr>
          <w:rFonts w:asciiTheme="majorBidi" w:hAnsiTheme="majorBidi" w:cstheme="majorBidi"/>
        </w:rPr>
        <w:t xml:space="preserve"> </w:t>
      </w:r>
      <w:r w:rsidR="009C06EC">
        <w:rPr>
          <w:rFonts w:asciiTheme="majorBidi" w:hAnsiTheme="majorBidi" w:cstheme="majorBidi"/>
        </w:rPr>
        <w:t xml:space="preserve">piedziņu </w:t>
      </w:r>
      <w:r w:rsidR="00C07044">
        <w:rPr>
          <w:rFonts w:asciiTheme="majorBidi" w:hAnsiTheme="majorBidi" w:cstheme="majorBidi"/>
        </w:rPr>
        <w:lastRenderedPageBreak/>
        <w:t xml:space="preserve">valsts labā </w:t>
      </w:r>
      <w:r>
        <w:rPr>
          <w:rFonts w:asciiTheme="majorBidi" w:hAnsiTheme="majorBidi" w:cstheme="majorBidi"/>
        </w:rPr>
        <w:t>izbeigta.</w:t>
      </w:r>
    </w:p>
    <w:p w14:paraId="359EE00D" w14:textId="376FEA50" w:rsidR="00BD057C" w:rsidRDefault="007044E4" w:rsidP="00EE7E71">
      <w:pPr>
        <w:suppressAutoHyphens w:val="0"/>
        <w:spacing w:line="276" w:lineRule="auto"/>
        <w:ind w:firstLine="720"/>
        <w:jc w:val="both"/>
      </w:pPr>
      <w:r w:rsidRPr="007044E4">
        <w:rPr>
          <w:rFonts w:asciiTheme="majorBidi" w:hAnsiTheme="majorBidi" w:cstheme="majorBidi"/>
        </w:rPr>
        <w:t>Pārējā daļā pirmās instances tiesas spriedum</w:t>
      </w:r>
      <w:r>
        <w:rPr>
          <w:rFonts w:asciiTheme="majorBidi" w:hAnsiTheme="majorBidi" w:cstheme="majorBidi"/>
        </w:rPr>
        <w:t>s</w:t>
      </w:r>
      <w:r w:rsidRPr="007044E4">
        <w:rPr>
          <w:rFonts w:asciiTheme="majorBidi" w:hAnsiTheme="majorBidi" w:cstheme="majorBidi"/>
        </w:rPr>
        <w:t xml:space="preserve"> atstāt</w:t>
      </w:r>
      <w:r>
        <w:rPr>
          <w:rFonts w:asciiTheme="majorBidi" w:hAnsiTheme="majorBidi" w:cstheme="majorBidi"/>
        </w:rPr>
        <w:t>s</w:t>
      </w:r>
      <w:r w:rsidRPr="007044E4">
        <w:rPr>
          <w:rFonts w:asciiTheme="majorBidi" w:hAnsiTheme="majorBidi" w:cstheme="majorBidi"/>
        </w:rPr>
        <w:t xml:space="preserve"> negrozīt</w:t>
      </w:r>
      <w:r>
        <w:rPr>
          <w:rFonts w:asciiTheme="majorBidi" w:hAnsiTheme="majorBidi" w:cstheme="majorBidi"/>
        </w:rPr>
        <w:t>s</w:t>
      </w:r>
      <w:r w:rsidRPr="007044E4">
        <w:rPr>
          <w:rFonts w:asciiTheme="majorBidi" w:hAnsiTheme="majorBidi" w:cstheme="majorBidi"/>
        </w:rPr>
        <w:t>.</w:t>
      </w:r>
    </w:p>
    <w:p w14:paraId="5C8C21C5" w14:textId="77777777" w:rsidR="007044E4" w:rsidRPr="00AD23EC" w:rsidRDefault="007044E4" w:rsidP="00EE7E71">
      <w:pPr>
        <w:suppressAutoHyphens w:val="0"/>
        <w:spacing w:line="276" w:lineRule="auto"/>
        <w:ind w:firstLine="720"/>
        <w:jc w:val="both"/>
      </w:pPr>
    </w:p>
    <w:p w14:paraId="38E2C506" w14:textId="5C394B03" w:rsidR="002E0EC6" w:rsidRDefault="002E0EC6" w:rsidP="00EE7E71">
      <w:pPr>
        <w:suppressAutoHyphens w:val="0"/>
        <w:spacing w:line="276" w:lineRule="auto"/>
        <w:ind w:firstLine="720"/>
        <w:jc w:val="both"/>
        <w:rPr>
          <w:rFonts w:asciiTheme="majorBidi" w:hAnsiTheme="majorBidi" w:cstheme="majorBidi"/>
        </w:rPr>
      </w:pPr>
      <w:r>
        <w:rPr>
          <w:rFonts w:asciiTheme="majorBidi" w:hAnsiTheme="majorBidi" w:cstheme="majorBidi"/>
        </w:rPr>
        <w:t>[4]</w:t>
      </w:r>
      <w:r w:rsidR="00266B6D">
        <w:rPr>
          <w:rFonts w:asciiTheme="majorBidi" w:hAnsiTheme="majorBidi" w:cstheme="majorBidi"/>
        </w:rPr>
        <w:t> </w:t>
      </w:r>
      <w:r w:rsidRPr="003D5DD3">
        <w:rPr>
          <w:rFonts w:asciiTheme="majorBidi" w:hAnsiTheme="majorBidi" w:cstheme="majorBidi"/>
        </w:rPr>
        <w:t xml:space="preserve">Par apelācijas instances tiesas spriedumu </w:t>
      </w:r>
      <w:r>
        <w:rPr>
          <w:rFonts w:asciiTheme="majorBidi" w:hAnsiTheme="majorBidi" w:cstheme="majorBidi"/>
        </w:rPr>
        <w:t xml:space="preserve">apsūdzētais </w:t>
      </w:r>
      <w:r w:rsidRPr="003D5DD3">
        <w:rPr>
          <w:rFonts w:asciiTheme="majorBidi" w:hAnsiTheme="majorBidi" w:cstheme="majorBidi"/>
        </w:rPr>
        <w:t>iesnie</w:t>
      </w:r>
      <w:r>
        <w:rPr>
          <w:rFonts w:asciiTheme="majorBidi" w:hAnsiTheme="majorBidi" w:cstheme="majorBidi"/>
        </w:rPr>
        <w:t xml:space="preserve">dzis </w:t>
      </w:r>
      <w:r w:rsidRPr="003D5DD3">
        <w:rPr>
          <w:rFonts w:asciiTheme="majorBidi" w:hAnsiTheme="majorBidi" w:cstheme="majorBidi"/>
        </w:rPr>
        <w:t xml:space="preserve">kasācijas sūdzību, </w:t>
      </w:r>
      <w:r>
        <w:rPr>
          <w:rFonts w:asciiTheme="majorBidi" w:hAnsiTheme="majorBidi" w:cstheme="majorBidi"/>
        </w:rPr>
        <w:t xml:space="preserve">lūdzot </w:t>
      </w:r>
      <w:r w:rsidR="00C06272">
        <w:rPr>
          <w:rFonts w:asciiTheme="majorBidi" w:hAnsiTheme="majorBidi" w:cstheme="majorBidi"/>
        </w:rPr>
        <w:t>spriedumu</w:t>
      </w:r>
      <w:r w:rsidR="00266B6D">
        <w:rPr>
          <w:rFonts w:asciiTheme="majorBidi" w:hAnsiTheme="majorBidi" w:cstheme="majorBidi"/>
        </w:rPr>
        <w:t xml:space="preserve"> </w:t>
      </w:r>
      <w:r>
        <w:rPr>
          <w:rFonts w:asciiTheme="majorBidi" w:hAnsiTheme="majorBidi" w:cstheme="majorBidi"/>
        </w:rPr>
        <w:t>atcelt</w:t>
      </w:r>
      <w:r w:rsidR="00BB1CC3">
        <w:rPr>
          <w:rFonts w:asciiTheme="majorBidi" w:hAnsiTheme="majorBidi" w:cstheme="majorBidi"/>
        </w:rPr>
        <w:t xml:space="preserve"> </w:t>
      </w:r>
      <w:r>
        <w:rPr>
          <w:rFonts w:asciiTheme="majorBidi" w:hAnsiTheme="majorBidi" w:cstheme="majorBidi"/>
        </w:rPr>
        <w:t>un nosūtīt lietu jaunai izskatīšanai apelācijas instances tiesā.</w:t>
      </w:r>
    </w:p>
    <w:p w14:paraId="6EAD39CA" w14:textId="77777777" w:rsidR="002E0EC6" w:rsidRPr="001063D8" w:rsidRDefault="002E0EC6" w:rsidP="00EE7E71">
      <w:pPr>
        <w:suppressAutoHyphens w:val="0"/>
        <w:spacing w:line="276" w:lineRule="auto"/>
        <w:ind w:firstLine="720"/>
        <w:jc w:val="both"/>
      </w:pPr>
      <w:r w:rsidRPr="00211AA2">
        <w:t xml:space="preserve">Kasācijas </w:t>
      </w:r>
      <w:r>
        <w:t>sūdzība</w:t>
      </w:r>
      <w:r w:rsidRPr="00211AA2">
        <w:t xml:space="preserve"> pamatot</w:t>
      </w:r>
      <w:r>
        <w:t>a</w:t>
      </w:r>
      <w:r w:rsidRPr="00211AA2">
        <w:t xml:space="preserve"> ar </w:t>
      </w:r>
      <w:r>
        <w:t xml:space="preserve">šādiem </w:t>
      </w:r>
      <w:r w:rsidRPr="00211AA2">
        <w:t>argumentiem.</w:t>
      </w:r>
    </w:p>
    <w:p w14:paraId="33D9D293" w14:textId="2F0AF575" w:rsidR="00E45171" w:rsidRDefault="009D54CA" w:rsidP="00EE7E71">
      <w:pPr>
        <w:suppressAutoHyphens w:val="0"/>
        <w:spacing w:line="276" w:lineRule="auto"/>
        <w:ind w:firstLine="720"/>
        <w:jc w:val="both"/>
        <w:rPr>
          <w:rFonts w:asciiTheme="majorBidi" w:hAnsiTheme="majorBidi" w:cstheme="majorBidi"/>
        </w:rPr>
      </w:pPr>
      <w:r>
        <w:rPr>
          <w:rFonts w:asciiTheme="majorBidi" w:hAnsiTheme="majorBidi" w:cstheme="majorBidi"/>
        </w:rPr>
        <w:t>[4.1] </w:t>
      </w:r>
      <w:r w:rsidR="006D4F2A">
        <w:rPr>
          <w:rFonts w:asciiTheme="majorBidi" w:hAnsiTheme="majorBidi" w:cstheme="majorBidi"/>
        </w:rPr>
        <w:t>T</w:t>
      </w:r>
      <w:r w:rsidR="002E0EC6">
        <w:rPr>
          <w:rFonts w:asciiTheme="majorBidi" w:hAnsiTheme="majorBidi" w:cstheme="majorBidi"/>
        </w:rPr>
        <w:t xml:space="preserve">iesa apsūdzētā darbībās kļūdaini konstatējusi Krimināllikuma </w:t>
      </w:r>
      <w:r w:rsidR="002E0EC6" w:rsidRPr="00F70464">
        <w:rPr>
          <w:rFonts w:asciiTheme="majorBidi" w:hAnsiTheme="majorBidi" w:cstheme="majorBidi"/>
        </w:rPr>
        <w:t>220.</w:t>
      </w:r>
      <w:r w:rsidR="002E0EC6" w:rsidRPr="00F70464">
        <w:rPr>
          <w:rFonts w:asciiTheme="majorBidi" w:hAnsiTheme="majorBidi" w:cstheme="majorBidi"/>
          <w:vertAlign w:val="superscript"/>
        </w:rPr>
        <w:t>1</w:t>
      </w:r>
      <w:r w:rsidR="002E0EC6">
        <w:rPr>
          <w:rFonts w:asciiTheme="majorBidi" w:hAnsiTheme="majorBidi" w:cstheme="majorBidi"/>
        </w:rPr>
        <w:t> </w:t>
      </w:r>
      <w:r w:rsidR="002E0EC6" w:rsidRPr="00F70464">
        <w:rPr>
          <w:rFonts w:asciiTheme="majorBidi" w:hAnsiTheme="majorBidi" w:cstheme="majorBidi"/>
        </w:rPr>
        <w:t>panta otr</w:t>
      </w:r>
      <w:r w:rsidR="002E0EC6">
        <w:rPr>
          <w:rFonts w:asciiTheme="majorBidi" w:hAnsiTheme="majorBidi" w:cstheme="majorBidi"/>
        </w:rPr>
        <w:t>ajā</w:t>
      </w:r>
      <w:r w:rsidR="002E0EC6" w:rsidRPr="00F70464">
        <w:rPr>
          <w:rFonts w:asciiTheme="majorBidi" w:hAnsiTheme="majorBidi" w:cstheme="majorBidi"/>
        </w:rPr>
        <w:t xml:space="preserve"> daļ</w:t>
      </w:r>
      <w:r w:rsidR="002E0EC6">
        <w:rPr>
          <w:rFonts w:asciiTheme="majorBidi" w:hAnsiTheme="majorBidi" w:cstheme="majorBidi"/>
        </w:rPr>
        <w:t>ā paredzētā</w:t>
      </w:r>
      <w:r w:rsidR="002E0EC6" w:rsidRPr="00F70464">
        <w:rPr>
          <w:rFonts w:asciiTheme="majorBidi" w:hAnsiTheme="majorBidi" w:cstheme="majorBidi"/>
        </w:rPr>
        <w:t xml:space="preserve"> </w:t>
      </w:r>
      <w:r w:rsidR="002E0EC6">
        <w:rPr>
          <w:rFonts w:asciiTheme="majorBidi" w:hAnsiTheme="majorBidi" w:cstheme="majorBidi"/>
        </w:rPr>
        <w:t>noziedzīgā nodarījuma objektīvo pusi, jo</w:t>
      </w:r>
      <w:r w:rsidR="00375A5B">
        <w:rPr>
          <w:rFonts w:asciiTheme="majorBidi" w:hAnsiTheme="majorBidi" w:cstheme="majorBidi"/>
        </w:rPr>
        <w:t>: 1)</w:t>
      </w:r>
      <w:r w:rsidR="003A5A7D">
        <w:rPr>
          <w:rFonts w:asciiTheme="majorBidi" w:hAnsiTheme="majorBidi" w:cstheme="majorBidi"/>
        </w:rPr>
        <w:t> </w:t>
      </w:r>
      <w:r w:rsidR="00EA70EE">
        <w:rPr>
          <w:rFonts w:asciiTheme="majorBidi" w:hAnsiTheme="majorBidi" w:cstheme="majorBidi"/>
        </w:rPr>
        <w:t xml:space="preserve">nepamatoti atzinusi, ka </w:t>
      </w:r>
      <w:r w:rsidR="002E0EC6" w:rsidRPr="00EE4C9C">
        <w:rPr>
          <w:rFonts w:asciiTheme="majorBidi" w:hAnsiTheme="majorBidi" w:cstheme="majorBidi"/>
        </w:rPr>
        <w:t>apsūdzētais</w:t>
      </w:r>
      <w:r w:rsidR="002E0EC6">
        <w:rPr>
          <w:rFonts w:asciiTheme="majorBidi" w:hAnsiTheme="majorBidi" w:cstheme="majorBidi"/>
        </w:rPr>
        <w:t xml:space="preserve"> </w:t>
      </w:r>
      <w:r w:rsidR="00F174B3">
        <w:rPr>
          <w:rFonts w:asciiTheme="majorBidi" w:hAnsiTheme="majorBidi" w:cstheme="majorBidi"/>
        </w:rPr>
        <w:t>bija</w:t>
      </w:r>
      <w:r w:rsidR="002E0EC6" w:rsidRPr="00EE4C9C">
        <w:rPr>
          <w:rFonts w:asciiTheme="majorBidi" w:hAnsiTheme="majorBidi" w:cstheme="majorBidi"/>
        </w:rPr>
        <w:t xml:space="preserve"> </w:t>
      </w:r>
      <w:r w:rsidR="00EA70EE">
        <w:rPr>
          <w:rFonts w:asciiTheme="majorBidi" w:hAnsiTheme="majorBidi" w:cstheme="majorBidi"/>
        </w:rPr>
        <w:t>person</w:t>
      </w:r>
      <w:r w:rsidR="00F174B3">
        <w:rPr>
          <w:rFonts w:asciiTheme="majorBidi" w:hAnsiTheme="majorBidi" w:cstheme="majorBidi"/>
        </w:rPr>
        <w:t>a</w:t>
      </w:r>
      <w:r w:rsidR="00EA70EE">
        <w:rPr>
          <w:rFonts w:asciiTheme="majorBidi" w:hAnsiTheme="majorBidi" w:cstheme="majorBidi"/>
        </w:rPr>
        <w:t>, kas nelikumīgi uzglabāj</w:t>
      </w:r>
      <w:r w:rsidR="00F174B3">
        <w:rPr>
          <w:rFonts w:asciiTheme="majorBidi" w:hAnsiTheme="majorBidi" w:cstheme="majorBidi"/>
        </w:rPr>
        <w:t>a</w:t>
      </w:r>
      <w:r w:rsidR="00EA70EE">
        <w:rPr>
          <w:rFonts w:asciiTheme="majorBidi" w:hAnsiTheme="majorBidi" w:cstheme="majorBidi"/>
        </w:rPr>
        <w:t xml:space="preserve"> </w:t>
      </w:r>
      <w:r w:rsidR="002E0EC6" w:rsidRPr="00EE4C9C">
        <w:rPr>
          <w:rFonts w:asciiTheme="majorBidi" w:hAnsiTheme="majorBidi" w:cstheme="majorBidi"/>
        </w:rPr>
        <w:t>dīzeļdegviel</w:t>
      </w:r>
      <w:r w:rsidR="00EA70EE">
        <w:rPr>
          <w:rFonts w:asciiTheme="majorBidi" w:hAnsiTheme="majorBidi" w:cstheme="majorBidi"/>
        </w:rPr>
        <w:t>u;</w:t>
      </w:r>
      <w:r w:rsidR="002E0EC6">
        <w:rPr>
          <w:rFonts w:asciiTheme="majorBidi" w:hAnsiTheme="majorBidi" w:cstheme="majorBidi"/>
        </w:rPr>
        <w:t xml:space="preserve"> </w:t>
      </w:r>
      <w:r w:rsidR="00723B1D">
        <w:rPr>
          <w:rFonts w:asciiTheme="majorBidi" w:hAnsiTheme="majorBidi" w:cstheme="majorBidi"/>
        </w:rPr>
        <w:t>2)</w:t>
      </w:r>
      <w:r w:rsidR="00266B6D">
        <w:rPr>
          <w:rFonts w:asciiTheme="majorBidi" w:hAnsiTheme="majorBidi" w:cstheme="majorBidi"/>
        </w:rPr>
        <w:t> </w:t>
      </w:r>
      <w:r w:rsidR="002E0EC6" w:rsidRPr="00C830E6">
        <w:rPr>
          <w:rFonts w:asciiTheme="majorBidi" w:hAnsiTheme="majorBidi" w:cstheme="majorBidi"/>
        </w:rPr>
        <w:t xml:space="preserve">nepareizi noteikusi </w:t>
      </w:r>
      <w:r w:rsidR="00EA70EE">
        <w:rPr>
          <w:rFonts w:asciiTheme="majorBidi" w:hAnsiTheme="majorBidi" w:cstheme="majorBidi"/>
        </w:rPr>
        <w:t xml:space="preserve">nelikumīgi uzglabātās </w:t>
      </w:r>
      <w:r w:rsidR="002E0EC6" w:rsidRPr="00C830E6">
        <w:rPr>
          <w:rFonts w:asciiTheme="majorBidi" w:hAnsiTheme="majorBidi" w:cstheme="majorBidi"/>
        </w:rPr>
        <w:t xml:space="preserve">degvielas </w:t>
      </w:r>
      <w:r w:rsidR="009C06EC">
        <w:rPr>
          <w:rFonts w:asciiTheme="majorBidi" w:hAnsiTheme="majorBidi" w:cstheme="majorBidi"/>
        </w:rPr>
        <w:t>daudzumu</w:t>
      </w:r>
      <w:r w:rsidR="009C06EC" w:rsidRPr="00C830E6">
        <w:rPr>
          <w:rFonts w:asciiTheme="majorBidi" w:hAnsiTheme="majorBidi" w:cstheme="majorBidi"/>
        </w:rPr>
        <w:t xml:space="preserve"> </w:t>
      </w:r>
      <w:r w:rsidR="002E0EC6" w:rsidRPr="00C830E6">
        <w:rPr>
          <w:rFonts w:asciiTheme="majorBidi" w:hAnsiTheme="majorBidi" w:cstheme="majorBidi"/>
        </w:rPr>
        <w:t xml:space="preserve">un </w:t>
      </w:r>
      <w:r w:rsidR="002E0EC6" w:rsidRPr="003A21E2">
        <w:rPr>
          <w:rFonts w:asciiTheme="majorBidi" w:hAnsiTheme="majorBidi" w:cstheme="majorBidi"/>
        </w:rPr>
        <w:t>vērtību</w:t>
      </w:r>
      <w:r w:rsidR="002E0EC6" w:rsidRPr="00C830E6">
        <w:rPr>
          <w:rFonts w:asciiTheme="majorBidi" w:hAnsiTheme="majorBidi" w:cstheme="majorBidi"/>
        </w:rPr>
        <w:t>.</w:t>
      </w:r>
      <w:bookmarkStart w:id="2" w:name="_Hlk214544015"/>
    </w:p>
    <w:p w14:paraId="6A85520F" w14:textId="119D8336" w:rsidR="00A52F0F" w:rsidRDefault="00E87B2B" w:rsidP="00EE7E71">
      <w:pPr>
        <w:suppressAutoHyphens w:val="0"/>
        <w:spacing w:line="276" w:lineRule="auto"/>
        <w:ind w:firstLine="720"/>
        <w:jc w:val="both"/>
        <w:rPr>
          <w:rFonts w:asciiTheme="majorBidi" w:hAnsiTheme="majorBidi" w:cstheme="majorBidi"/>
        </w:rPr>
      </w:pPr>
      <w:r>
        <w:rPr>
          <w:rFonts w:asciiTheme="majorBidi" w:hAnsiTheme="majorBidi" w:cstheme="majorBidi"/>
        </w:rPr>
        <w:t>[4.1.1] </w:t>
      </w:r>
      <w:r w:rsidR="005C3CC9">
        <w:rPr>
          <w:rFonts w:asciiTheme="majorBidi" w:hAnsiTheme="majorBidi" w:cstheme="majorBidi"/>
        </w:rPr>
        <w:t>S</w:t>
      </w:r>
      <w:r w:rsidR="007234A6" w:rsidRPr="00E45171">
        <w:rPr>
          <w:rFonts w:asciiTheme="majorBidi" w:hAnsiTheme="majorBidi" w:cstheme="majorBidi"/>
        </w:rPr>
        <w:t xml:space="preserve">ecinot, ka </w:t>
      </w:r>
      <w:r w:rsidR="002E0EC6" w:rsidRPr="00E45171">
        <w:rPr>
          <w:rFonts w:asciiTheme="majorBidi" w:hAnsiTheme="majorBidi" w:cstheme="majorBidi"/>
        </w:rPr>
        <w:t xml:space="preserve">apsūdzētais </w:t>
      </w:r>
      <w:r w:rsidR="00EA70EE">
        <w:rPr>
          <w:rFonts w:asciiTheme="majorBidi" w:hAnsiTheme="majorBidi" w:cstheme="majorBidi"/>
        </w:rPr>
        <w:t>nelikumīgi</w:t>
      </w:r>
      <w:r w:rsidR="006F4284">
        <w:rPr>
          <w:rFonts w:asciiTheme="majorBidi" w:hAnsiTheme="majorBidi" w:cstheme="majorBidi"/>
        </w:rPr>
        <w:t xml:space="preserve"> ir</w:t>
      </w:r>
      <w:r w:rsidR="00EA70EE">
        <w:rPr>
          <w:rFonts w:asciiTheme="majorBidi" w:hAnsiTheme="majorBidi" w:cstheme="majorBidi"/>
        </w:rPr>
        <w:t xml:space="preserve"> uzglabājis </w:t>
      </w:r>
      <w:r w:rsidR="002E0EC6" w:rsidRPr="00E45171">
        <w:rPr>
          <w:rFonts w:asciiTheme="majorBidi" w:hAnsiTheme="majorBidi" w:cstheme="majorBidi"/>
        </w:rPr>
        <w:t>dīzeļdegviel</w:t>
      </w:r>
      <w:r w:rsidR="00EA70EE">
        <w:rPr>
          <w:rFonts w:asciiTheme="majorBidi" w:hAnsiTheme="majorBidi" w:cstheme="majorBidi"/>
        </w:rPr>
        <w:t>u</w:t>
      </w:r>
      <w:r w:rsidR="002E0EC6" w:rsidRPr="00E45171">
        <w:rPr>
          <w:rFonts w:asciiTheme="majorBidi" w:hAnsiTheme="majorBidi" w:cstheme="majorBidi"/>
        </w:rPr>
        <w:t xml:space="preserve">, </w:t>
      </w:r>
      <w:r w:rsidR="005C3CC9">
        <w:rPr>
          <w:rFonts w:asciiTheme="majorBidi" w:hAnsiTheme="majorBidi" w:cstheme="majorBidi"/>
        </w:rPr>
        <w:t xml:space="preserve">tiesa </w:t>
      </w:r>
      <w:r w:rsidR="002E0EC6" w:rsidRPr="00E45171">
        <w:rPr>
          <w:rFonts w:asciiTheme="majorBidi" w:hAnsiTheme="majorBidi" w:cstheme="majorBidi"/>
        </w:rPr>
        <w:t>nav izvērtējusi</w:t>
      </w:r>
      <w:r w:rsidR="007234A6" w:rsidRPr="00E45171">
        <w:rPr>
          <w:rFonts w:asciiTheme="majorBidi" w:hAnsiTheme="majorBidi" w:cstheme="majorBidi"/>
        </w:rPr>
        <w:t>:</w:t>
      </w:r>
    </w:p>
    <w:p w14:paraId="12B60366" w14:textId="7A500A2E" w:rsidR="00A52F0F" w:rsidRDefault="007234A6" w:rsidP="00EE7E71">
      <w:pPr>
        <w:suppressAutoHyphens w:val="0"/>
        <w:spacing w:line="276" w:lineRule="auto"/>
        <w:ind w:firstLine="720"/>
        <w:jc w:val="both"/>
        <w:rPr>
          <w:rFonts w:asciiTheme="majorBidi" w:hAnsiTheme="majorBidi" w:cstheme="majorBidi"/>
        </w:rPr>
      </w:pPr>
      <w:r w:rsidRPr="00E45171">
        <w:rPr>
          <w:rFonts w:asciiTheme="majorBidi" w:hAnsiTheme="majorBidi" w:cstheme="majorBidi"/>
        </w:rPr>
        <w:t xml:space="preserve">1) liecinieku </w:t>
      </w:r>
      <w:r w:rsidR="0096782F">
        <w:rPr>
          <w:rFonts w:asciiTheme="majorBidi" w:hAnsiTheme="majorBidi" w:cstheme="majorBidi"/>
        </w:rPr>
        <w:t>[pers. B]</w:t>
      </w:r>
      <w:r w:rsidR="002E0EC6" w:rsidRPr="00E45171">
        <w:rPr>
          <w:rFonts w:asciiTheme="majorBidi" w:hAnsiTheme="majorBidi" w:cstheme="majorBidi"/>
        </w:rPr>
        <w:t xml:space="preserve"> un </w:t>
      </w:r>
      <w:r w:rsidR="00254AD9">
        <w:rPr>
          <w:rFonts w:asciiTheme="majorBidi" w:hAnsiTheme="majorBidi" w:cstheme="majorBidi"/>
        </w:rPr>
        <w:t>[pers. C]</w:t>
      </w:r>
      <w:r w:rsidR="002E0EC6" w:rsidRPr="00E45171">
        <w:rPr>
          <w:rFonts w:asciiTheme="majorBidi" w:hAnsiTheme="majorBidi" w:cstheme="majorBidi"/>
        </w:rPr>
        <w:t xml:space="preserve"> liec</w:t>
      </w:r>
      <w:r w:rsidR="0036135D">
        <w:rPr>
          <w:rFonts w:asciiTheme="majorBidi" w:hAnsiTheme="majorBidi" w:cstheme="majorBidi"/>
        </w:rPr>
        <w:t>ības par to</w:t>
      </w:r>
      <w:r w:rsidR="002E0EC6" w:rsidRPr="00E45171">
        <w:rPr>
          <w:rFonts w:asciiTheme="majorBidi" w:hAnsiTheme="majorBidi" w:cstheme="majorBidi"/>
        </w:rPr>
        <w:t xml:space="preserve">, ka </w:t>
      </w:r>
      <w:r w:rsidRPr="00E45171">
        <w:rPr>
          <w:rFonts w:asciiTheme="majorBidi" w:hAnsiTheme="majorBidi" w:cstheme="majorBidi"/>
        </w:rPr>
        <w:t>visas darbības ar nel</w:t>
      </w:r>
      <w:r w:rsidR="00A52F0F">
        <w:rPr>
          <w:rFonts w:asciiTheme="majorBidi" w:hAnsiTheme="majorBidi" w:cstheme="majorBidi"/>
        </w:rPr>
        <w:t>ikumīgi uzglabāto</w:t>
      </w:r>
      <w:r w:rsidRPr="00E45171">
        <w:rPr>
          <w:rFonts w:asciiTheme="majorBidi" w:hAnsiTheme="majorBidi" w:cstheme="majorBidi"/>
        </w:rPr>
        <w:t xml:space="preserve"> degvielu </w:t>
      </w:r>
      <w:r w:rsidR="00EA70EE" w:rsidRPr="00E45171">
        <w:rPr>
          <w:rFonts w:asciiTheme="majorBidi" w:hAnsiTheme="majorBidi" w:cstheme="majorBidi"/>
        </w:rPr>
        <w:t xml:space="preserve">veikuši </w:t>
      </w:r>
      <w:r w:rsidR="00254AD9">
        <w:rPr>
          <w:rFonts w:asciiTheme="majorBidi" w:hAnsiTheme="majorBidi" w:cstheme="majorBidi"/>
        </w:rPr>
        <w:t>[pers. D]</w:t>
      </w:r>
      <w:r w:rsidRPr="00E45171">
        <w:rPr>
          <w:rFonts w:asciiTheme="majorBidi" w:hAnsiTheme="majorBidi" w:cstheme="majorBidi"/>
        </w:rPr>
        <w:t xml:space="preserve"> un </w:t>
      </w:r>
      <w:r w:rsidR="00254AD9">
        <w:rPr>
          <w:rFonts w:asciiTheme="majorBidi" w:hAnsiTheme="majorBidi" w:cstheme="majorBidi"/>
        </w:rPr>
        <w:t>[pers. E]</w:t>
      </w:r>
      <w:r w:rsidRPr="00E45171">
        <w:rPr>
          <w:rFonts w:asciiTheme="majorBidi" w:hAnsiTheme="majorBidi" w:cstheme="majorBidi"/>
        </w:rPr>
        <w:t xml:space="preserve"> bez apsūdzētā </w:t>
      </w:r>
      <w:r w:rsidR="00EA70EE">
        <w:rPr>
          <w:rFonts w:asciiTheme="majorBidi" w:hAnsiTheme="majorBidi" w:cstheme="majorBidi"/>
        </w:rPr>
        <w:t>iesaistes</w:t>
      </w:r>
      <w:r w:rsidRPr="00E45171">
        <w:rPr>
          <w:rFonts w:asciiTheme="majorBidi" w:hAnsiTheme="majorBidi" w:cstheme="majorBidi"/>
        </w:rPr>
        <w:t>;</w:t>
      </w:r>
    </w:p>
    <w:p w14:paraId="3B71219B" w14:textId="1236A1D5" w:rsidR="00A52F0F" w:rsidRDefault="007234A6" w:rsidP="00EE7E71">
      <w:pPr>
        <w:suppressAutoHyphens w:val="0"/>
        <w:spacing w:line="276" w:lineRule="auto"/>
        <w:ind w:firstLine="720"/>
        <w:jc w:val="both"/>
        <w:rPr>
          <w:rFonts w:asciiTheme="majorBidi" w:hAnsiTheme="majorBidi" w:cstheme="majorBidi"/>
        </w:rPr>
      </w:pPr>
      <w:r w:rsidRPr="00E45171">
        <w:rPr>
          <w:rFonts w:asciiTheme="majorBidi" w:hAnsiTheme="majorBidi" w:cstheme="majorBidi"/>
        </w:rPr>
        <w:t>2) liec</w:t>
      </w:r>
      <w:r w:rsidR="00E45171" w:rsidRPr="00E45171">
        <w:rPr>
          <w:rFonts w:asciiTheme="majorBidi" w:hAnsiTheme="majorBidi" w:cstheme="majorBidi"/>
        </w:rPr>
        <w:t>in</w:t>
      </w:r>
      <w:r w:rsidRPr="00E45171">
        <w:rPr>
          <w:rFonts w:asciiTheme="majorBidi" w:hAnsiTheme="majorBidi" w:cstheme="majorBidi"/>
        </w:rPr>
        <w:t xml:space="preserve">ieka </w:t>
      </w:r>
      <w:r w:rsidR="00254AD9">
        <w:rPr>
          <w:rFonts w:asciiTheme="majorBidi" w:hAnsiTheme="majorBidi" w:cstheme="majorBidi"/>
        </w:rPr>
        <w:t>[pers. C]</w:t>
      </w:r>
      <w:r w:rsidR="002E0EC6" w:rsidRPr="00E45171">
        <w:rPr>
          <w:rFonts w:asciiTheme="majorBidi" w:hAnsiTheme="majorBidi" w:cstheme="majorBidi"/>
        </w:rPr>
        <w:t xml:space="preserve"> liecības</w:t>
      </w:r>
      <w:r w:rsidR="0036135D">
        <w:rPr>
          <w:rFonts w:asciiTheme="majorBidi" w:hAnsiTheme="majorBidi" w:cstheme="majorBidi"/>
        </w:rPr>
        <w:t xml:space="preserve"> par to</w:t>
      </w:r>
      <w:r w:rsidR="002E0EC6" w:rsidRPr="00E45171">
        <w:rPr>
          <w:rFonts w:asciiTheme="majorBidi" w:hAnsiTheme="majorBidi" w:cstheme="majorBidi"/>
        </w:rPr>
        <w:t>, ka</w:t>
      </w:r>
      <w:r w:rsidR="0036135D">
        <w:rPr>
          <w:rFonts w:asciiTheme="majorBidi" w:hAnsiTheme="majorBidi" w:cstheme="majorBidi"/>
        </w:rPr>
        <w:t xml:space="preserve"> </w:t>
      </w:r>
      <w:r w:rsidR="00254AD9">
        <w:rPr>
          <w:rFonts w:asciiTheme="majorBidi" w:hAnsiTheme="majorBidi" w:cstheme="majorBidi"/>
        </w:rPr>
        <w:t>[pers. E]</w:t>
      </w:r>
      <w:r w:rsidR="002E0EC6" w:rsidRPr="00E45171">
        <w:rPr>
          <w:rFonts w:asciiTheme="majorBidi" w:hAnsiTheme="majorBidi" w:cstheme="majorBidi"/>
        </w:rPr>
        <w:t xml:space="preserve"> </w:t>
      </w:r>
      <w:r w:rsidR="0036135D">
        <w:rPr>
          <w:rFonts w:asciiTheme="majorBidi" w:hAnsiTheme="majorBidi" w:cstheme="majorBidi"/>
        </w:rPr>
        <w:t xml:space="preserve">pieder </w:t>
      </w:r>
      <w:r w:rsidR="00381E91" w:rsidRPr="00E45171">
        <w:rPr>
          <w:rFonts w:asciiTheme="majorBidi" w:hAnsiTheme="majorBidi" w:cstheme="majorBidi"/>
        </w:rPr>
        <w:t>SIA</w:t>
      </w:r>
      <w:r w:rsidR="00266B6D" w:rsidRPr="00E45171">
        <w:rPr>
          <w:rFonts w:asciiTheme="majorBidi" w:hAnsiTheme="majorBidi" w:cstheme="majorBidi"/>
        </w:rPr>
        <w:t> </w:t>
      </w:r>
      <w:r w:rsidR="002E0EC6" w:rsidRPr="00E45171">
        <w:rPr>
          <w:rFonts w:asciiTheme="majorBidi" w:hAnsiTheme="majorBidi" w:cstheme="majorBidi"/>
        </w:rPr>
        <w:t>„</w:t>
      </w:r>
      <w:r w:rsidR="00254AD9">
        <w:rPr>
          <w:rFonts w:asciiTheme="majorBidi" w:hAnsiTheme="majorBidi" w:cstheme="majorBidi"/>
        </w:rPr>
        <w:t>[Nosaukums B]</w:t>
      </w:r>
      <w:r w:rsidR="002E0EC6" w:rsidRPr="00E45171">
        <w:rPr>
          <w:rFonts w:asciiTheme="majorBidi" w:hAnsiTheme="majorBidi" w:cstheme="majorBidi"/>
        </w:rPr>
        <w:t>”, kas sniedza pakalpojumu AS</w:t>
      </w:r>
      <w:r w:rsidR="00266B6D" w:rsidRPr="00E45171">
        <w:rPr>
          <w:rFonts w:asciiTheme="majorBidi" w:hAnsiTheme="majorBidi" w:cstheme="majorBidi"/>
        </w:rPr>
        <w:t> </w:t>
      </w:r>
      <w:r w:rsidR="002E0EC6" w:rsidRPr="00E45171">
        <w:rPr>
          <w:rFonts w:asciiTheme="majorBidi" w:hAnsiTheme="majorBidi" w:cstheme="majorBidi"/>
        </w:rPr>
        <w:t>„</w:t>
      </w:r>
      <w:r w:rsidR="0088482E">
        <w:rPr>
          <w:rFonts w:asciiTheme="majorBidi" w:hAnsiTheme="majorBidi" w:cstheme="majorBidi"/>
        </w:rPr>
        <w:t>[Nosaukums A]</w:t>
      </w:r>
      <w:r w:rsidR="002E0EC6" w:rsidRPr="00E45171">
        <w:rPr>
          <w:rFonts w:asciiTheme="majorBidi" w:hAnsiTheme="majorBidi" w:cstheme="majorBidi"/>
        </w:rPr>
        <w:t>”</w:t>
      </w:r>
      <w:r w:rsidR="00A52F0F">
        <w:rPr>
          <w:rFonts w:asciiTheme="majorBidi" w:hAnsiTheme="majorBidi" w:cstheme="majorBidi"/>
        </w:rPr>
        <w:t>;</w:t>
      </w:r>
    </w:p>
    <w:p w14:paraId="2449D9FA" w14:textId="70726AF7" w:rsidR="00A52F0F" w:rsidRDefault="007234A6" w:rsidP="00EE7E71">
      <w:pPr>
        <w:suppressAutoHyphens w:val="0"/>
        <w:spacing w:line="276" w:lineRule="auto"/>
        <w:ind w:firstLine="720"/>
        <w:jc w:val="both"/>
        <w:rPr>
          <w:rFonts w:asciiTheme="majorBidi" w:hAnsiTheme="majorBidi" w:cstheme="majorBidi"/>
        </w:rPr>
      </w:pPr>
      <w:r>
        <w:rPr>
          <w:rFonts w:asciiTheme="majorBidi" w:hAnsiTheme="majorBidi" w:cstheme="majorBidi"/>
        </w:rPr>
        <w:t>3) </w:t>
      </w:r>
      <w:r w:rsidR="00A52F0F">
        <w:rPr>
          <w:rFonts w:asciiTheme="majorBidi" w:hAnsiTheme="majorBidi" w:cstheme="majorBidi"/>
        </w:rPr>
        <w:t>faktu</w:t>
      </w:r>
      <w:r w:rsidR="002E0EC6" w:rsidRPr="0070474D">
        <w:rPr>
          <w:rFonts w:asciiTheme="majorBidi" w:hAnsiTheme="majorBidi" w:cstheme="majorBidi"/>
        </w:rPr>
        <w:t>, ka AS „</w:t>
      </w:r>
      <w:r w:rsidR="0088482E">
        <w:rPr>
          <w:rFonts w:asciiTheme="majorBidi" w:hAnsiTheme="majorBidi" w:cstheme="majorBidi"/>
        </w:rPr>
        <w:t>[Nosaukums A]</w:t>
      </w:r>
      <w:r w:rsidR="002E0EC6" w:rsidRPr="0070474D">
        <w:rPr>
          <w:rFonts w:asciiTheme="majorBidi" w:hAnsiTheme="majorBidi" w:cstheme="majorBidi"/>
        </w:rPr>
        <w:t xml:space="preserve">” nebija </w:t>
      </w:r>
      <w:r w:rsidR="0036135D">
        <w:rPr>
          <w:rFonts w:asciiTheme="majorBidi" w:hAnsiTheme="majorBidi" w:cstheme="majorBidi"/>
        </w:rPr>
        <w:t>transportlīdzekļu</w:t>
      </w:r>
      <w:r w:rsidR="00723B1D" w:rsidRPr="0070474D">
        <w:rPr>
          <w:rFonts w:asciiTheme="majorBidi" w:hAnsiTheme="majorBidi" w:cstheme="majorBidi"/>
        </w:rPr>
        <w:t xml:space="preserve"> </w:t>
      </w:r>
      <w:r w:rsidR="002E0EC6" w:rsidRPr="0070474D">
        <w:rPr>
          <w:rFonts w:asciiTheme="majorBidi" w:hAnsiTheme="majorBidi" w:cstheme="majorBidi"/>
        </w:rPr>
        <w:t>ne</w:t>
      </w:r>
      <w:r w:rsidR="0036135D">
        <w:rPr>
          <w:rFonts w:asciiTheme="majorBidi" w:hAnsiTheme="majorBidi" w:cstheme="majorBidi"/>
        </w:rPr>
        <w:t xml:space="preserve">likumīgi </w:t>
      </w:r>
      <w:r w:rsidR="00A52F0F">
        <w:rPr>
          <w:rFonts w:asciiTheme="majorBidi" w:hAnsiTheme="majorBidi" w:cstheme="majorBidi"/>
        </w:rPr>
        <w:t>uz</w:t>
      </w:r>
      <w:r w:rsidR="0036135D">
        <w:rPr>
          <w:rFonts w:asciiTheme="majorBidi" w:hAnsiTheme="majorBidi" w:cstheme="majorBidi"/>
        </w:rPr>
        <w:t>glabātās</w:t>
      </w:r>
      <w:r w:rsidR="002E0EC6" w:rsidRPr="0070474D">
        <w:rPr>
          <w:rFonts w:asciiTheme="majorBidi" w:hAnsiTheme="majorBidi" w:cstheme="majorBidi"/>
        </w:rPr>
        <w:t xml:space="preserve"> degviel</w:t>
      </w:r>
      <w:r w:rsidRPr="0070474D">
        <w:rPr>
          <w:rFonts w:asciiTheme="majorBidi" w:hAnsiTheme="majorBidi" w:cstheme="majorBidi"/>
        </w:rPr>
        <w:t xml:space="preserve">as </w:t>
      </w:r>
      <w:r w:rsidR="0036135D">
        <w:rPr>
          <w:rFonts w:asciiTheme="majorBidi" w:hAnsiTheme="majorBidi" w:cstheme="majorBidi"/>
        </w:rPr>
        <w:t>pārvad</w:t>
      </w:r>
      <w:r w:rsidR="00C06272">
        <w:rPr>
          <w:rFonts w:asciiTheme="majorBidi" w:hAnsiTheme="majorBidi" w:cstheme="majorBidi"/>
        </w:rPr>
        <w:t>ā</w:t>
      </w:r>
      <w:r w:rsidR="0036135D">
        <w:rPr>
          <w:rFonts w:asciiTheme="majorBidi" w:hAnsiTheme="majorBidi" w:cstheme="majorBidi"/>
        </w:rPr>
        <w:t>šanai</w:t>
      </w:r>
      <w:r w:rsidR="00651D66" w:rsidRPr="0070474D">
        <w:rPr>
          <w:rFonts w:asciiTheme="majorBidi" w:hAnsiTheme="majorBidi" w:cstheme="majorBidi"/>
        </w:rPr>
        <w:t>;</w:t>
      </w:r>
    </w:p>
    <w:p w14:paraId="5A72C49F" w14:textId="210EC6FB" w:rsidR="00A52F0F" w:rsidRDefault="00651D66" w:rsidP="00EE7E71">
      <w:pPr>
        <w:suppressAutoHyphens w:val="0"/>
        <w:spacing w:line="276" w:lineRule="auto"/>
        <w:ind w:firstLine="720"/>
        <w:jc w:val="both"/>
        <w:rPr>
          <w:rFonts w:asciiTheme="majorBidi" w:hAnsiTheme="majorBidi" w:cstheme="majorBidi"/>
        </w:rPr>
      </w:pPr>
      <w:r w:rsidRPr="0070474D">
        <w:rPr>
          <w:rFonts w:asciiTheme="majorBidi" w:hAnsiTheme="majorBidi" w:cstheme="majorBidi"/>
        </w:rPr>
        <w:t>4) AS „</w:t>
      </w:r>
      <w:r w:rsidR="0088482E">
        <w:rPr>
          <w:rFonts w:asciiTheme="majorBidi" w:hAnsiTheme="majorBidi" w:cstheme="majorBidi"/>
        </w:rPr>
        <w:t>[Nosaukums A]</w:t>
      </w:r>
      <w:r w:rsidRPr="0070474D">
        <w:rPr>
          <w:rFonts w:asciiTheme="majorBidi" w:hAnsiTheme="majorBidi" w:cstheme="majorBidi"/>
        </w:rPr>
        <w:t>”</w:t>
      </w:r>
      <w:r w:rsidR="0036135D">
        <w:rPr>
          <w:rFonts w:asciiTheme="majorBidi" w:hAnsiTheme="majorBidi" w:cstheme="majorBidi"/>
        </w:rPr>
        <w:t xml:space="preserve"> </w:t>
      </w:r>
      <w:r w:rsidRPr="0070474D">
        <w:rPr>
          <w:rFonts w:asciiTheme="majorBidi" w:hAnsiTheme="majorBidi" w:cstheme="majorBidi"/>
        </w:rPr>
        <w:t xml:space="preserve">dokumentus, </w:t>
      </w:r>
      <w:r w:rsidR="0036135D">
        <w:rPr>
          <w:rFonts w:asciiTheme="majorBidi" w:hAnsiTheme="majorBidi" w:cstheme="majorBidi"/>
        </w:rPr>
        <w:t>no kuriem izriet, ka</w:t>
      </w:r>
      <w:r w:rsidR="00254E5E" w:rsidRPr="00254E5E">
        <w:rPr>
          <w:rFonts w:asciiTheme="majorBidi" w:hAnsiTheme="majorBidi" w:cstheme="majorBidi"/>
        </w:rPr>
        <w:t xml:space="preserve"> </w:t>
      </w:r>
      <w:r w:rsidR="00254AD9">
        <w:rPr>
          <w:rFonts w:asciiTheme="majorBidi" w:hAnsiTheme="majorBidi" w:cstheme="majorBidi"/>
        </w:rPr>
        <w:t>[pers. D]</w:t>
      </w:r>
      <w:r w:rsidR="00254E5E">
        <w:rPr>
          <w:rFonts w:asciiTheme="majorBidi" w:hAnsiTheme="majorBidi" w:cstheme="majorBidi"/>
        </w:rPr>
        <w:t xml:space="preserve"> </w:t>
      </w:r>
      <w:r w:rsidR="00254E5E" w:rsidRPr="0070474D">
        <w:rPr>
          <w:rFonts w:asciiTheme="majorBidi" w:hAnsiTheme="majorBidi" w:cstheme="majorBidi"/>
        </w:rPr>
        <w:t xml:space="preserve">un </w:t>
      </w:r>
      <w:r w:rsidR="00254AD9">
        <w:rPr>
          <w:rFonts w:asciiTheme="majorBidi" w:hAnsiTheme="majorBidi" w:cstheme="majorBidi"/>
        </w:rPr>
        <w:t>[pers. E]</w:t>
      </w:r>
      <w:r w:rsidR="00254E5E">
        <w:rPr>
          <w:rFonts w:asciiTheme="majorBidi" w:hAnsiTheme="majorBidi" w:cstheme="majorBidi"/>
        </w:rPr>
        <w:t xml:space="preserve"> n</w:t>
      </w:r>
      <w:r w:rsidR="00C06272">
        <w:rPr>
          <w:rFonts w:asciiTheme="majorBidi" w:hAnsiTheme="majorBidi" w:cstheme="majorBidi"/>
        </w:rPr>
        <w:t xml:space="preserve">ebija </w:t>
      </w:r>
      <w:r w:rsidR="002F0233">
        <w:rPr>
          <w:rFonts w:asciiTheme="majorBidi" w:hAnsiTheme="majorBidi" w:cstheme="majorBidi"/>
        </w:rPr>
        <w:t>šīs sabiedrības</w:t>
      </w:r>
      <w:r w:rsidR="00254E5E">
        <w:rPr>
          <w:rFonts w:asciiTheme="majorBidi" w:hAnsiTheme="majorBidi" w:cstheme="majorBidi"/>
        </w:rPr>
        <w:t xml:space="preserve"> darbinieki</w:t>
      </w:r>
      <w:r w:rsidR="00A52F0F">
        <w:rPr>
          <w:rFonts w:asciiTheme="majorBidi" w:hAnsiTheme="majorBidi" w:cstheme="majorBidi"/>
        </w:rPr>
        <w:t>;</w:t>
      </w:r>
    </w:p>
    <w:p w14:paraId="26A12BFF" w14:textId="034E4739" w:rsidR="002F0233" w:rsidRPr="0070474D" w:rsidRDefault="00A52F0F" w:rsidP="00EE7E71">
      <w:pPr>
        <w:suppressAutoHyphens w:val="0"/>
        <w:spacing w:line="276" w:lineRule="auto"/>
        <w:ind w:firstLine="720"/>
        <w:jc w:val="both"/>
        <w:rPr>
          <w:rFonts w:asciiTheme="majorBidi" w:hAnsiTheme="majorBidi" w:cstheme="majorBidi"/>
        </w:rPr>
      </w:pPr>
      <w:r>
        <w:rPr>
          <w:rFonts w:asciiTheme="majorBidi" w:hAnsiTheme="majorBidi" w:cstheme="majorBidi"/>
        </w:rPr>
        <w:t>5)</w:t>
      </w:r>
      <w:r w:rsidR="00DD469B">
        <w:rPr>
          <w:rFonts w:asciiTheme="majorBidi" w:hAnsiTheme="majorBidi" w:cstheme="majorBidi"/>
        </w:rPr>
        <w:t> </w:t>
      </w:r>
      <w:r>
        <w:rPr>
          <w:rFonts w:asciiTheme="majorBidi" w:hAnsiTheme="majorBidi" w:cstheme="majorBidi"/>
        </w:rPr>
        <w:t xml:space="preserve">to, ka </w:t>
      </w:r>
      <w:r w:rsidR="00651D66" w:rsidRPr="0070474D">
        <w:rPr>
          <w:rFonts w:asciiTheme="majorBidi" w:hAnsiTheme="majorBidi" w:cstheme="majorBidi"/>
        </w:rPr>
        <w:t xml:space="preserve">paskaidrojumus </w:t>
      </w:r>
      <w:r w:rsidR="002717F9">
        <w:rPr>
          <w:rFonts w:asciiTheme="majorBidi" w:hAnsiTheme="majorBidi" w:cstheme="majorBidi"/>
        </w:rPr>
        <w:t>Valsts ieņēmumu dienestam (turpmāk – VID)</w:t>
      </w:r>
      <w:r w:rsidR="00651D66" w:rsidRPr="0070474D">
        <w:rPr>
          <w:rFonts w:asciiTheme="majorBidi" w:hAnsiTheme="majorBidi" w:cstheme="majorBidi"/>
        </w:rPr>
        <w:t xml:space="preserve"> un citām iestādēm </w:t>
      </w:r>
      <w:r w:rsidR="006F4284">
        <w:rPr>
          <w:rFonts w:asciiTheme="majorBidi" w:hAnsiTheme="majorBidi" w:cstheme="majorBidi"/>
        </w:rPr>
        <w:t xml:space="preserve">apsūdzētais </w:t>
      </w:r>
      <w:r w:rsidR="00651D66" w:rsidRPr="0070474D">
        <w:rPr>
          <w:rFonts w:asciiTheme="majorBidi" w:hAnsiTheme="majorBidi" w:cstheme="majorBidi"/>
        </w:rPr>
        <w:t>sniedzis par legāli iegādāt</w:t>
      </w:r>
      <w:r>
        <w:rPr>
          <w:rFonts w:asciiTheme="majorBidi" w:hAnsiTheme="majorBidi" w:cstheme="majorBidi"/>
        </w:rPr>
        <w:t>o</w:t>
      </w:r>
      <w:r w:rsidR="00651D66" w:rsidRPr="0070474D">
        <w:rPr>
          <w:rFonts w:asciiTheme="majorBidi" w:hAnsiTheme="majorBidi" w:cstheme="majorBidi"/>
        </w:rPr>
        <w:t xml:space="preserve"> degvielu</w:t>
      </w:r>
      <w:r>
        <w:rPr>
          <w:rFonts w:asciiTheme="majorBidi" w:hAnsiTheme="majorBidi" w:cstheme="majorBidi"/>
        </w:rPr>
        <w:t>, tādēļ tiesa nebija tiesīga ar</w:t>
      </w:r>
      <w:r w:rsidR="006F4284">
        <w:rPr>
          <w:rFonts w:asciiTheme="majorBidi" w:hAnsiTheme="majorBidi" w:cstheme="majorBidi"/>
        </w:rPr>
        <w:t xml:space="preserve"> šiem paskaidrojumiem</w:t>
      </w:r>
      <w:r>
        <w:rPr>
          <w:rFonts w:asciiTheme="majorBidi" w:hAnsiTheme="majorBidi" w:cstheme="majorBidi"/>
        </w:rPr>
        <w:t xml:space="preserve"> pamatot </w:t>
      </w:r>
      <w:r w:rsidR="008D6DF1">
        <w:rPr>
          <w:rFonts w:asciiTheme="majorBidi" w:hAnsiTheme="majorBidi" w:cstheme="majorBidi"/>
        </w:rPr>
        <w:t xml:space="preserve">atzinumu par </w:t>
      </w:r>
      <w:r>
        <w:rPr>
          <w:rFonts w:asciiTheme="majorBidi" w:hAnsiTheme="majorBidi" w:cstheme="majorBidi"/>
        </w:rPr>
        <w:t xml:space="preserve">nelikumīgi uzglabātās dīzeļdegvielas piederību </w:t>
      </w:r>
      <w:r w:rsidRPr="0070474D">
        <w:rPr>
          <w:rFonts w:asciiTheme="majorBidi" w:hAnsiTheme="majorBidi" w:cstheme="majorBidi"/>
        </w:rPr>
        <w:t>AS „</w:t>
      </w:r>
      <w:r w:rsidR="0088482E">
        <w:rPr>
          <w:rFonts w:asciiTheme="majorBidi" w:hAnsiTheme="majorBidi" w:cstheme="majorBidi"/>
        </w:rPr>
        <w:t>[Nosaukums A]</w:t>
      </w:r>
      <w:r w:rsidRPr="0070474D">
        <w:rPr>
          <w:rFonts w:asciiTheme="majorBidi" w:hAnsiTheme="majorBidi" w:cstheme="majorBidi"/>
        </w:rPr>
        <w:t>”</w:t>
      </w:r>
      <w:r w:rsidR="00D3480C" w:rsidRPr="0070474D">
        <w:rPr>
          <w:rFonts w:asciiTheme="majorBidi" w:hAnsiTheme="majorBidi" w:cstheme="majorBidi"/>
        </w:rPr>
        <w:t>.</w:t>
      </w:r>
    </w:p>
    <w:p w14:paraId="3AE3FD98" w14:textId="5A2E6F02" w:rsidR="00163F75" w:rsidRDefault="002E0EC6" w:rsidP="00EE7E71">
      <w:pPr>
        <w:suppressAutoHyphens w:val="0"/>
        <w:spacing w:line="276" w:lineRule="auto"/>
        <w:ind w:firstLine="720"/>
        <w:jc w:val="both"/>
        <w:rPr>
          <w:rFonts w:asciiTheme="majorBidi" w:hAnsiTheme="majorBidi" w:cstheme="majorBidi"/>
        </w:rPr>
      </w:pPr>
      <w:bookmarkStart w:id="3" w:name="_Hlk216081938"/>
      <w:bookmarkEnd w:id="2"/>
      <w:r w:rsidRPr="00535E11">
        <w:rPr>
          <w:rFonts w:asciiTheme="majorBidi" w:hAnsiTheme="majorBidi" w:cstheme="majorBidi"/>
        </w:rPr>
        <w:t>[</w:t>
      </w:r>
      <w:r>
        <w:rPr>
          <w:rFonts w:asciiTheme="majorBidi" w:hAnsiTheme="majorBidi" w:cstheme="majorBidi"/>
        </w:rPr>
        <w:t>4</w:t>
      </w:r>
      <w:r w:rsidRPr="00535E11">
        <w:rPr>
          <w:rFonts w:asciiTheme="majorBidi" w:hAnsiTheme="majorBidi" w:cstheme="majorBidi"/>
        </w:rPr>
        <w:t>.</w:t>
      </w:r>
      <w:r w:rsidR="00E87B2B">
        <w:rPr>
          <w:rFonts w:asciiTheme="majorBidi" w:hAnsiTheme="majorBidi" w:cstheme="majorBidi"/>
        </w:rPr>
        <w:t>1.</w:t>
      </w:r>
      <w:r>
        <w:rPr>
          <w:rFonts w:asciiTheme="majorBidi" w:hAnsiTheme="majorBidi" w:cstheme="majorBidi"/>
        </w:rPr>
        <w:t>2</w:t>
      </w:r>
      <w:r w:rsidRPr="00535E11">
        <w:rPr>
          <w:rFonts w:asciiTheme="majorBidi" w:hAnsiTheme="majorBidi" w:cstheme="majorBidi"/>
        </w:rPr>
        <w:t>]</w:t>
      </w:r>
      <w:r w:rsidR="009E769E">
        <w:rPr>
          <w:rFonts w:asciiTheme="majorBidi" w:hAnsiTheme="majorBidi" w:cstheme="majorBidi"/>
        </w:rPr>
        <w:t> </w:t>
      </w:r>
      <w:r w:rsidR="00C05650">
        <w:rPr>
          <w:rFonts w:asciiTheme="majorBidi" w:hAnsiTheme="majorBidi" w:cstheme="majorBidi"/>
        </w:rPr>
        <w:t>A</w:t>
      </w:r>
      <w:r w:rsidR="00651D66">
        <w:rPr>
          <w:rFonts w:asciiTheme="majorBidi" w:hAnsiTheme="majorBidi" w:cstheme="majorBidi"/>
        </w:rPr>
        <w:t>tzīstot</w:t>
      </w:r>
      <w:r w:rsidRPr="00EE2582">
        <w:rPr>
          <w:rFonts w:asciiTheme="majorBidi" w:hAnsiTheme="majorBidi" w:cstheme="majorBidi"/>
        </w:rPr>
        <w:t xml:space="preserve"> </w:t>
      </w:r>
      <w:r w:rsidR="00163F75" w:rsidRPr="00163F75">
        <w:rPr>
          <w:rFonts w:asciiTheme="majorBidi" w:hAnsiTheme="majorBidi" w:cstheme="majorBidi"/>
        </w:rPr>
        <w:t>Ekonomisko noziegumu apkarošanas pārvaldes vecāk</w:t>
      </w:r>
      <w:r w:rsidR="00163F75">
        <w:rPr>
          <w:rFonts w:asciiTheme="majorBidi" w:hAnsiTheme="majorBidi" w:cstheme="majorBidi"/>
        </w:rPr>
        <w:t>ā</w:t>
      </w:r>
      <w:r w:rsidR="00163F75" w:rsidRPr="00163F75">
        <w:rPr>
          <w:rFonts w:asciiTheme="majorBidi" w:hAnsiTheme="majorBidi" w:cstheme="majorBidi"/>
        </w:rPr>
        <w:t xml:space="preserve"> inspektor</w:t>
      </w:r>
      <w:r w:rsidR="00163F75">
        <w:rPr>
          <w:rFonts w:asciiTheme="majorBidi" w:hAnsiTheme="majorBidi" w:cstheme="majorBidi"/>
        </w:rPr>
        <w:t>a</w:t>
      </w:r>
      <w:r w:rsidR="00163F75" w:rsidRPr="00163F75">
        <w:rPr>
          <w:rFonts w:asciiTheme="majorBidi" w:hAnsiTheme="majorBidi" w:cstheme="majorBidi"/>
        </w:rPr>
        <w:t xml:space="preserve"> </w:t>
      </w:r>
      <w:r w:rsidR="00254AD9">
        <w:rPr>
          <w:rFonts w:asciiTheme="majorBidi" w:hAnsiTheme="majorBidi" w:cstheme="majorBidi"/>
        </w:rPr>
        <w:t>[pers. F]</w:t>
      </w:r>
      <w:r>
        <w:rPr>
          <w:rFonts w:asciiTheme="majorBidi" w:hAnsiTheme="majorBidi" w:cstheme="majorBidi"/>
        </w:rPr>
        <w:t xml:space="preserve"> </w:t>
      </w:r>
      <w:r w:rsidRPr="00EE2582">
        <w:rPr>
          <w:rFonts w:asciiTheme="majorBidi" w:hAnsiTheme="majorBidi" w:cstheme="majorBidi"/>
        </w:rPr>
        <w:t>acumēr</w:t>
      </w:r>
      <w:r w:rsidR="00651D66">
        <w:rPr>
          <w:rFonts w:asciiTheme="majorBidi" w:hAnsiTheme="majorBidi" w:cstheme="majorBidi"/>
        </w:rPr>
        <w:t>u par</w:t>
      </w:r>
      <w:r w:rsidRPr="00EE2582">
        <w:rPr>
          <w:rFonts w:asciiTheme="majorBidi" w:hAnsiTheme="majorBidi" w:cstheme="majorBidi"/>
        </w:rPr>
        <w:t xml:space="preserve"> pieļaujam</w:t>
      </w:r>
      <w:r w:rsidR="00651D66">
        <w:rPr>
          <w:rFonts w:asciiTheme="majorBidi" w:hAnsiTheme="majorBidi" w:cstheme="majorBidi"/>
        </w:rPr>
        <w:t>u</w:t>
      </w:r>
      <w:r w:rsidRPr="00EE2582">
        <w:rPr>
          <w:rFonts w:asciiTheme="majorBidi" w:hAnsiTheme="majorBidi" w:cstheme="majorBidi"/>
        </w:rPr>
        <w:t xml:space="preserve"> metod</w:t>
      </w:r>
      <w:r w:rsidR="00651D66">
        <w:rPr>
          <w:rFonts w:asciiTheme="majorBidi" w:hAnsiTheme="majorBidi" w:cstheme="majorBidi"/>
        </w:rPr>
        <w:t>i</w:t>
      </w:r>
      <w:r w:rsidRPr="00EE2582">
        <w:rPr>
          <w:rFonts w:asciiTheme="majorBidi" w:hAnsiTheme="majorBidi" w:cstheme="majorBidi"/>
        </w:rPr>
        <w:t xml:space="preserve"> </w:t>
      </w:r>
      <w:r w:rsidR="006F4284">
        <w:rPr>
          <w:rFonts w:asciiTheme="majorBidi" w:hAnsiTheme="majorBidi" w:cstheme="majorBidi"/>
        </w:rPr>
        <w:t xml:space="preserve">izņemtā </w:t>
      </w:r>
      <w:r w:rsidRPr="00EE2582">
        <w:rPr>
          <w:rFonts w:asciiTheme="majorBidi" w:hAnsiTheme="majorBidi" w:cstheme="majorBidi"/>
        </w:rPr>
        <w:t xml:space="preserve">šķidruma </w:t>
      </w:r>
      <w:r w:rsidR="009C06EC">
        <w:rPr>
          <w:rFonts w:asciiTheme="majorBidi" w:hAnsiTheme="majorBidi" w:cstheme="majorBidi"/>
        </w:rPr>
        <w:t xml:space="preserve">daudzuma </w:t>
      </w:r>
      <w:r w:rsidRPr="00EE2582">
        <w:rPr>
          <w:rFonts w:asciiTheme="majorBidi" w:hAnsiTheme="majorBidi" w:cstheme="majorBidi"/>
        </w:rPr>
        <w:t>noteikšanai,</w:t>
      </w:r>
      <w:r w:rsidR="00C05650">
        <w:rPr>
          <w:rFonts w:asciiTheme="majorBidi" w:hAnsiTheme="majorBidi" w:cstheme="majorBidi"/>
        </w:rPr>
        <w:t xml:space="preserve"> t</w:t>
      </w:r>
      <w:r w:rsidR="00C05650" w:rsidRPr="00CA452B">
        <w:rPr>
          <w:rFonts w:asciiTheme="majorBidi" w:hAnsiTheme="majorBidi" w:cstheme="majorBidi"/>
        </w:rPr>
        <w:t xml:space="preserve">iesa </w:t>
      </w:r>
      <w:r w:rsidR="002F0233">
        <w:rPr>
          <w:rFonts w:asciiTheme="majorBidi" w:hAnsiTheme="majorBidi" w:cstheme="majorBidi"/>
        </w:rPr>
        <w:t xml:space="preserve">izdarījusi kļūdainu secinājumu par </w:t>
      </w:r>
      <w:r w:rsidR="00C05650">
        <w:rPr>
          <w:rFonts w:asciiTheme="majorBidi" w:hAnsiTheme="majorBidi" w:cstheme="majorBidi"/>
        </w:rPr>
        <w:t xml:space="preserve">nelikumīgi </w:t>
      </w:r>
      <w:r w:rsidR="00C05650" w:rsidRPr="00CA452B">
        <w:rPr>
          <w:rFonts w:asciiTheme="majorBidi" w:hAnsiTheme="majorBidi" w:cstheme="majorBidi"/>
        </w:rPr>
        <w:t>uzglabātā</w:t>
      </w:r>
      <w:r w:rsidR="00C05650">
        <w:rPr>
          <w:rFonts w:asciiTheme="majorBidi" w:hAnsiTheme="majorBidi" w:cstheme="majorBidi"/>
        </w:rPr>
        <w:t>s dīzeļdegvielas daudzumu, jo</w:t>
      </w:r>
      <w:r w:rsidR="00C05650" w:rsidRPr="00C05650">
        <w:rPr>
          <w:rFonts w:asciiTheme="majorBidi" w:hAnsiTheme="majorBidi" w:cstheme="majorBidi"/>
        </w:rPr>
        <w:t xml:space="preserve"> </w:t>
      </w:r>
      <w:r w:rsidR="00C05650" w:rsidRPr="00EE2582">
        <w:rPr>
          <w:rFonts w:asciiTheme="majorBidi" w:hAnsiTheme="majorBidi" w:cstheme="majorBidi"/>
        </w:rPr>
        <w:t>n</w:t>
      </w:r>
      <w:r w:rsidR="00C05650">
        <w:rPr>
          <w:rFonts w:asciiTheme="majorBidi" w:hAnsiTheme="majorBidi" w:cstheme="majorBidi"/>
        </w:rPr>
        <w:t>av</w:t>
      </w:r>
      <w:r w:rsidR="00C05650" w:rsidRPr="00EE2582">
        <w:rPr>
          <w:rFonts w:asciiTheme="majorBidi" w:hAnsiTheme="majorBidi" w:cstheme="majorBidi"/>
        </w:rPr>
        <w:t xml:space="preserve"> </w:t>
      </w:r>
      <w:r w:rsidR="00C05650">
        <w:rPr>
          <w:rFonts w:asciiTheme="majorBidi" w:hAnsiTheme="majorBidi" w:cstheme="majorBidi"/>
        </w:rPr>
        <w:t>iz</w:t>
      </w:r>
      <w:r w:rsidR="00C05650" w:rsidRPr="00EE2582">
        <w:rPr>
          <w:rFonts w:asciiTheme="majorBidi" w:hAnsiTheme="majorBidi" w:cstheme="majorBidi"/>
        </w:rPr>
        <w:t>vēr</w:t>
      </w:r>
      <w:r w:rsidR="00C05650">
        <w:rPr>
          <w:rFonts w:asciiTheme="majorBidi" w:hAnsiTheme="majorBidi" w:cstheme="majorBidi"/>
        </w:rPr>
        <w:t xml:space="preserve">tējusi šīs metodes iespējamās </w:t>
      </w:r>
      <w:r w:rsidR="00C05650" w:rsidRPr="00EE2582">
        <w:rPr>
          <w:rFonts w:asciiTheme="majorBidi" w:hAnsiTheme="majorBidi" w:cstheme="majorBidi"/>
        </w:rPr>
        <w:t>kļūd</w:t>
      </w:r>
      <w:r w:rsidR="00C05650">
        <w:rPr>
          <w:rFonts w:asciiTheme="majorBidi" w:hAnsiTheme="majorBidi" w:cstheme="majorBidi"/>
        </w:rPr>
        <w:t>as</w:t>
      </w:r>
      <w:r w:rsidR="00C05650" w:rsidRPr="00EE2582">
        <w:rPr>
          <w:rFonts w:asciiTheme="majorBidi" w:hAnsiTheme="majorBidi" w:cstheme="majorBidi"/>
        </w:rPr>
        <w:t xml:space="preserve"> </w:t>
      </w:r>
      <w:r w:rsidR="00C05650">
        <w:rPr>
          <w:rFonts w:asciiTheme="majorBidi" w:hAnsiTheme="majorBidi" w:cstheme="majorBidi"/>
        </w:rPr>
        <w:t>intervālu</w:t>
      </w:r>
      <w:r w:rsidRPr="00EE2582">
        <w:rPr>
          <w:rFonts w:asciiTheme="majorBidi" w:hAnsiTheme="majorBidi" w:cstheme="majorBidi"/>
        </w:rPr>
        <w:t>.</w:t>
      </w:r>
    </w:p>
    <w:p w14:paraId="4679D5C9" w14:textId="5310A938" w:rsidR="002E58FC" w:rsidRDefault="002E58FC" w:rsidP="00EE7E71">
      <w:pPr>
        <w:suppressAutoHyphens w:val="0"/>
        <w:spacing w:line="276" w:lineRule="auto"/>
        <w:ind w:firstLine="720"/>
        <w:jc w:val="both"/>
        <w:rPr>
          <w:rFonts w:asciiTheme="majorBidi" w:hAnsiTheme="majorBidi" w:cstheme="majorBidi"/>
        </w:rPr>
      </w:pPr>
      <w:r w:rsidRPr="00EE2582">
        <w:rPr>
          <w:rFonts w:asciiTheme="majorBidi" w:hAnsiTheme="majorBidi" w:cstheme="majorBidi"/>
        </w:rPr>
        <w:t>T</w:t>
      </w:r>
      <w:r>
        <w:rPr>
          <w:rFonts w:asciiTheme="majorBidi" w:hAnsiTheme="majorBidi" w:cstheme="majorBidi"/>
        </w:rPr>
        <w:t>urklāt t</w:t>
      </w:r>
      <w:r w:rsidRPr="00EE2582">
        <w:rPr>
          <w:rFonts w:asciiTheme="majorBidi" w:hAnsiTheme="majorBidi" w:cstheme="majorBidi"/>
        </w:rPr>
        <w:t xml:space="preserve">iesas </w:t>
      </w:r>
      <w:r>
        <w:rPr>
          <w:rFonts w:asciiTheme="majorBidi" w:hAnsiTheme="majorBidi" w:cstheme="majorBidi"/>
        </w:rPr>
        <w:t xml:space="preserve">secinājums par </w:t>
      </w:r>
      <w:r w:rsidR="00254AD9">
        <w:rPr>
          <w:rFonts w:asciiTheme="majorBidi" w:hAnsiTheme="majorBidi" w:cstheme="majorBidi"/>
        </w:rPr>
        <w:t>[pers. F]</w:t>
      </w:r>
      <w:r>
        <w:rPr>
          <w:rFonts w:asciiTheme="majorBidi" w:hAnsiTheme="majorBidi" w:cstheme="majorBidi"/>
        </w:rPr>
        <w:t xml:space="preserve"> spēju</w:t>
      </w:r>
      <w:r w:rsidRPr="00EE2582">
        <w:rPr>
          <w:rFonts w:asciiTheme="majorBidi" w:hAnsiTheme="majorBidi" w:cstheme="majorBidi"/>
        </w:rPr>
        <w:t xml:space="preserve"> precīzi noteikt </w:t>
      </w:r>
      <w:r>
        <w:rPr>
          <w:rFonts w:asciiTheme="majorBidi" w:hAnsiTheme="majorBidi" w:cstheme="majorBidi"/>
        </w:rPr>
        <w:t xml:space="preserve">šķidruma </w:t>
      </w:r>
      <w:r w:rsidR="00FA10A0">
        <w:rPr>
          <w:rFonts w:asciiTheme="majorBidi" w:hAnsiTheme="majorBidi" w:cstheme="majorBidi"/>
        </w:rPr>
        <w:t>daudzumu</w:t>
      </w:r>
      <w:r w:rsidRPr="00EE2582">
        <w:rPr>
          <w:rFonts w:asciiTheme="majorBidi" w:hAnsiTheme="majorBidi" w:cstheme="majorBidi"/>
        </w:rPr>
        <w:t xml:space="preserve"> ir pretrunā </w:t>
      </w:r>
      <w:r>
        <w:rPr>
          <w:rFonts w:asciiTheme="majorBidi" w:hAnsiTheme="majorBidi" w:cstheme="majorBidi"/>
        </w:rPr>
        <w:t xml:space="preserve">ar </w:t>
      </w:r>
      <w:r w:rsidRPr="00EE2582">
        <w:rPr>
          <w:rFonts w:asciiTheme="majorBidi" w:hAnsiTheme="majorBidi" w:cstheme="majorBidi"/>
        </w:rPr>
        <w:t xml:space="preserve">liecinieku </w:t>
      </w:r>
      <w:r w:rsidR="00254AD9">
        <w:rPr>
          <w:rFonts w:asciiTheme="majorBidi" w:hAnsiTheme="majorBidi" w:cstheme="majorBidi"/>
        </w:rPr>
        <w:t>[pers. E]</w:t>
      </w:r>
      <w:r>
        <w:rPr>
          <w:rFonts w:asciiTheme="majorBidi" w:hAnsiTheme="majorBidi" w:cstheme="majorBidi"/>
        </w:rPr>
        <w:t xml:space="preserve"> </w:t>
      </w:r>
      <w:r w:rsidRPr="00EE2582">
        <w:rPr>
          <w:rFonts w:asciiTheme="majorBidi" w:hAnsiTheme="majorBidi" w:cstheme="majorBidi"/>
        </w:rPr>
        <w:t xml:space="preserve">un </w:t>
      </w:r>
      <w:r w:rsidR="00254AD9">
        <w:rPr>
          <w:rFonts w:asciiTheme="majorBidi" w:hAnsiTheme="majorBidi" w:cstheme="majorBidi"/>
        </w:rPr>
        <w:t>[pers. G]</w:t>
      </w:r>
      <w:r>
        <w:rPr>
          <w:rFonts w:asciiTheme="majorBidi" w:hAnsiTheme="majorBidi" w:cstheme="majorBidi"/>
        </w:rPr>
        <w:t xml:space="preserve"> liecībās norādītajām</w:t>
      </w:r>
      <w:r w:rsidRPr="00EE2582">
        <w:rPr>
          <w:rFonts w:asciiTheme="majorBidi" w:hAnsiTheme="majorBidi" w:cstheme="majorBidi"/>
        </w:rPr>
        <w:t xml:space="preserve"> ziņām</w:t>
      </w:r>
      <w:r>
        <w:rPr>
          <w:rFonts w:asciiTheme="majorBidi" w:hAnsiTheme="majorBidi" w:cstheme="majorBidi"/>
        </w:rPr>
        <w:t xml:space="preserve">. Proti, saskaņā ar </w:t>
      </w:r>
      <w:r w:rsidR="00254AD9">
        <w:rPr>
          <w:rFonts w:asciiTheme="majorBidi" w:hAnsiTheme="majorBidi" w:cstheme="majorBidi"/>
        </w:rPr>
        <w:t>[pers. F]</w:t>
      </w:r>
      <w:r>
        <w:rPr>
          <w:rFonts w:asciiTheme="majorBidi" w:hAnsiTheme="majorBidi" w:cstheme="majorBidi"/>
        </w:rPr>
        <w:t xml:space="preserve"> konstatēto katrā</w:t>
      </w:r>
      <w:r w:rsidR="001C59F7">
        <w:rPr>
          <w:rFonts w:asciiTheme="majorBidi" w:hAnsiTheme="majorBidi" w:cstheme="majorBidi"/>
        </w:rPr>
        <w:t xml:space="preserve"> </w:t>
      </w:r>
      <w:r>
        <w:rPr>
          <w:rFonts w:asciiTheme="majorBidi" w:hAnsiTheme="majorBidi" w:cstheme="majorBidi"/>
        </w:rPr>
        <w:t>tvertnē bija aptuveni 950 litri, bet k</w:t>
      </w:r>
      <w:r w:rsidRPr="00EE2582">
        <w:rPr>
          <w:rFonts w:asciiTheme="majorBidi" w:hAnsiTheme="majorBidi" w:cstheme="majorBidi"/>
        </w:rPr>
        <w:t>onteinerā Nr.</w:t>
      </w:r>
      <w:r>
        <w:rPr>
          <w:rFonts w:asciiTheme="majorBidi" w:hAnsiTheme="majorBidi" w:cstheme="majorBidi"/>
        </w:rPr>
        <w:t> </w:t>
      </w:r>
      <w:r w:rsidRPr="00EE2582">
        <w:rPr>
          <w:rFonts w:asciiTheme="majorBidi" w:hAnsiTheme="majorBidi" w:cstheme="majorBidi"/>
        </w:rPr>
        <w:t xml:space="preserve">12 </w:t>
      </w:r>
      <w:r>
        <w:rPr>
          <w:rFonts w:asciiTheme="majorBidi" w:hAnsiTheme="majorBidi" w:cstheme="majorBidi"/>
        </w:rPr>
        <w:t xml:space="preserve">– </w:t>
      </w:r>
      <w:r w:rsidRPr="00EE2582">
        <w:rPr>
          <w:rFonts w:asciiTheme="majorBidi" w:hAnsiTheme="majorBidi" w:cstheme="majorBidi"/>
        </w:rPr>
        <w:t>ap 650 litriem</w:t>
      </w:r>
      <w:r>
        <w:rPr>
          <w:rFonts w:asciiTheme="majorBidi" w:hAnsiTheme="majorBidi" w:cstheme="majorBidi"/>
        </w:rPr>
        <w:t xml:space="preserve">, </w:t>
      </w:r>
      <w:r w:rsidR="00375A5B">
        <w:rPr>
          <w:rFonts w:asciiTheme="majorBidi" w:hAnsiTheme="majorBidi" w:cstheme="majorBidi"/>
        </w:rPr>
        <w:t xml:space="preserve">turpretim </w:t>
      </w:r>
      <w:r w:rsidRPr="00EE2582">
        <w:rPr>
          <w:rFonts w:asciiTheme="majorBidi" w:hAnsiTheme="majorBidi" w:cstheme="majorBidi"/>
        </w:rPr>
        <w:t>lieciniek</w:t>
      </w:r>
      <w:r>
        <w:rPr>
          <w:rFonts w:asciiTheme="majorBidi" w:hAnsiTheme="majorBidi" w:cstheme="majorBidi"/>
        </w:rPr>
        <w:t>s</w:t>
      </w:r>
      <w:r w:rsidRPr="00EE2582">
        <w:rPr>
          <w:rFonts w:asciiTheme="majorBidi" w:hAnsiTheme="majorBidi" w:cstheme="majorBidi"/>
        </w:rPr>
        <w:t xml:space="preserve"> </w:t>
      </w:r>
      <w:r w:rsidR="00254AD9">
        <w:rPr>
          <w:rFonts w:asciiTheme="majorBidi" w:hAnsiTheme="majorBidi" w:cstheme="majorBidi"/>
        </w:rPr>
        <w:t>[pers. E]</w:t>
      </w:r>
      <w:r>
        <w:rPr>
          <w:rFonts w:asciiTheme="majorBidi" w:hAnsiTheme="majorBidi" w:cstheme="majorBidi"/>
        </w:rPr>
        <w:t xml:space="preserve"> liecināja</w:t>
      </w:r>
      <w:r w:rsidRPr="00EE2582">
        <w:rPr>
          <w:rFonts w:asciiTheme="majorBidi" w:hAnsiTheme="majorBidi" w:cstheme="majorBidi"/>
        </w:rPr>
        <w:t xml:space="preserve">, ka </w:t>
      </w:r>
      <w:r w:rsidR="00FA10A0" w:rsidRPr="00EE2582">
        <w:rPr>
          <w:rFonts w:asciiTheme="majorBidi" w:hAnsiTheme="majorBidi" w:cstheme="majorBidi"/>
        </w:rPr>
        <w:t xml:space="preserve">katrā </w:t>
      </w:r>
      <w:r w:rsidRPr="00EE2582">
        <w:rPr>
          <w:rFonts w:asciiTheme="majorBidi" w:hAnsiTheme="majorBidi" w:cstheme="majorBidi"/>
        </w:rPr>
        <w:t>konteiner</w:t>
      </w:r>
      <w:r w:rsidR="00FA10A0">
        <w:rPr>
          <w:rFonts w:asciiTheme="majorBidi" w:hAnsiTheme="majorBidi" w:cstheme="majorBidi"/>
        </w:rPr>
        <w:t>ā</w:t>
      </w:r>
      <w:r w:rsidRPr="00EE2582">
        <w:rPr>
          <w:rFonts w:asciiTheme="majorBidi" w:hAnsiTheme="majorBidi" w:cstheme="majorBidi"/>
        </w:rPr>
        <w:t xml:space="preserve"> </w:t>
      </w:r>
      <w:r w:rsidR="00E421DE">
        <w:rPr>
          <w:rFonts w:asciiTheme="majorBidi" w:hAnsiTheme="majorBidi" w:cstheme="majorBidi"/>
        </w:rPr>
        <w:t xml:space="preserve">bija </w:t>
      </w:r>
      <w:r w:rsidRPr="00EE2582">
        <w:rPr>
          <w:rFonts w:asciiTheme="majorBidi" w:hAnsiTheme="majorBidi" w:cstheme="majorBidi"/>
        </w:rPr>
        <w:t>iel</w:t>
      </w:r>
      <w:r>
        <w:rPr>
          <w:rFonts w:asciiTheme="majorBidi" w:hAnsiTheme="majorBidi" w:cstheme="majorBidi"/>
        </w:rPr>
        <w:t>ējis</w:t>
      </w:r>
      <w:r w:rsidRPr="00EE2582">
        <w:rPr>
          <w:rFonts w:asciiTheme="majorBidi" w:hAnsiTheme="majorBidi" w:cstheme="majorBidi"/>
        </w:rPr>
        <w:t xml:space="preserve"> ap</w:t>
      </w:r>
      <w:r>
        <w:rPr>
          <w:rFonts w:asciiTheme="majorBidi" w:hAnsiTheme="majorBidi" w:cstheme="majorBidi"/>
        </w:rPr>
        <w:t>tuveni</w:t>
      </w:r>
      <w:r w:rsidRPr="00EE2582">
        <w:rPr>
          <w:rFonts w:asciiTheme="majorBidi" w:hAnsiTheme="majorBidi" w:cstheme="majorBidi"/>
        </w:rPr>
        <w:t xml:space="preserve"> 900 litru</w:t>
      </w:r>
      <w:r w:rsidR="000F5D00">
        <w:rPr>
          <w:rFonts w:asciiTheme="majorBidi" w:hAnsiTheme="majorBidi" w:cstheme="majorBidi"/>
        </w:rPr>
        <w:t>s</w:t>
      </w:r>
      <w:r w:rsidRPr="00EE2582">
        <w:rPr>
          <w:rFonts w:asciiTheme="majorBidi" w:hAnsiTheme="majorBidi" w:cstheme="majorBidi"/>
        </w:rPr>
        <w:t xml:space="preserve"> </w:t>
      </w:r>
      <w:r>
        <w:rPr>
          <w:rFonts w:asciiTheme="majorBidi" w:hAnsiTheme="majorBidi" w:cstheme="majorBidi"/>
        </w:rPr>
        <w:t>degvielas</w:t>
      </w:r>
      <w:r w:rsidRPr="00EE2582">
        <w:rPr>
          <w:rFonts w:asciiTheme="majorBidi" w:hAnsiTheme="majorBidi" w:cstheme="majorBidi"/>
        </w:rPr>
        <w:t>, bet deformētajos</w:t>
      </w:r>
      <w:r>
        <w:rPr>
          <w:rFonts w:asciiTheme="majorBidi" w:hAnsiTheme="majorBidi" w:cstheme="majorBidi"/>
        </w:rPr>
        <w:t xml:space="preserve"> konteineros</w:t>
      </w:r>
      <w:r w:rsidRPr="00EE2582">
        <w:rPr>
          <w:rFonts w:asciiTheme="majorBidi" w:hAnsiTheme="majorBidi" w:cstheme="majorBidi"/>
        </w:rPr>
        <w:t xml:space="preserve"> – ap</w:t>
      </w:r>
      <w:r>
        <w:rPr>
          <w:rFonts w:asciiTheme="majorBidi" w:hAnsiTheme="majorBidi" w:cstheme="majorBidi"/>
        </w:rPr>
        <w:t>tuveni</w:t>
      </w:r>
      <w:r w:rsidRPr="00EE2582">
        <w:rPr>
          <w:rFonts w:asciiTheme="majorBidi" w:hAnsiTheme="majorBidi" w:cstheme="majorBidi"/>
        </w:rPr>
        <w:t xml:space="preserve"> 800 litru</w:t>
      </w:r>
      <w:r w:rsidR="00375A5B">
        <w:rPr>
          <w:rFonts w:asciiTheme="majorBidi" w:hAnsiTheme="majorBidi" w:cstheme="majorBidi"/>
        </w:rPr>
        <w:t>s</w:t>
      </w:r>
      <w:r>
        <w:rPr>
          <w:rFonts w:asciiTheme="majorBidi" w:hAnsiTheme="majorBidi" w:cstheme="majorBidi"/>
        </w:rPr>
        <w:t xml:space="preserve">. Savukārt zvērināta tiesu izpildītāja </w:t>
      </w:r>
      <w:r w:rsidR="00254AD9">
        <w:rPr>
          <w:rFonts w:asciiTheme="majorBidi" w:hAnsiTheme="majorBidi" w:cstheme="majorBidi"/>
        </w:rPr>
        <w:t>[pers. G]</w:t>
      </w:r>
      <w:r>
        <w:rPr>
          <w:rFonts w:asciiTheme="majorBidi" w:hAnsiTheme="majorBidi" w:cstheme="majorBidi"/>
        </w:rPr>
        <w:t xml:space="preserve"> fiksējusi, ka konteinerā Nr. 12 </w:t>
      </w:r>
      <w:r w:rsidR="00822FCF">
        <w:rPr>
          <w:rFonts w:asciiTheme="majorBidi" w:hAnsiTheme="majorBidi" w:cstheme="majorBidi"/>
        </w:rPr>
        <w:t xml:space="preserve">bija </w:t>
      </w:r>
      <w:r>
        <w:rPr>
          <w:rFonts w:asciiTheme="majorBidi" w:hAnsiTheme="majorBidi" w:cstheme="majorBidi"/>
        </w:rPr>
        <w:t>tikai 500 litri.</w:t>
      </w:r>
    </w:p>
    <w:p w14:paraId="0F50914B" w14:textId="4D854F99" w:rsidR="00375A5B" w:rsidRDefault="00253988" w:rsidP="00EE7E71">
      <w:pPr>
        <w:suppressAutoHyphens w:val="0"/>
        <w:spacing w:line="276" w:lineRule="auto"/>
        <w:ind w:firstLine="720"/>
        <w:jc w:val="both"/>
        <w:rPr>
          <w:rFonts w:asciiTheme="majorBidi" w:hAnsiTheme="majorBidi" w:cstheme="majorBidi"/>
        </w:rPr>
      </w:pPr>
      <w:r>
        <w:rPr>
          <w:rFonts w:asciiTheme="majorBidi" w:hAnsiTheme="majorBidi" w:cstheme="majorBidi"/>
        </w:rPr>
        <w:t>T</w:t>
      </w:r>
      <w:r w:rsidR="002E0EC6" w:rsidRPr="00EE2582">
        <w:rPr>
          <w:rFonts w:asciiTheme="majorBidi" w:hAnsiTheme="majorBidi" w:cstheme="majorBidi"/>
        </w:rPr>
        <w:t>iesa nav ņēmusi vērā</w:t>
      </w:r>
      <w:r w:rsidR="0058672F">
        <w:rPr>
          <w:rFonts w:asciiTheme="majorBidi" w:hAnsiTheme="majorBidi" w:cstheme="majorBidi"/>
        </w:rPr>
        <w:t>: 1)</w:t>
      </w:r>
      <w:r w:rsidR="000734BE">
        <w:rPr>
          <w:rFonts w:asciiTheme="majorBidi" w:hAnsiTheme="majorBidi" w:cstheme="majorBidi"/>
        </w:rPr>
        <w:t> </w:t>
      </w:r>
      <w:r w:rsidR="006F4284">
        <w:rPr>
          <w:rFonts w:asciiTheme="majorBidi" w:hAnsiTheme="majorBidi" w:cstheme="majorBidi"/>
        </w:rPr>
        <w:t>to</w:t>
      </w:r>
      <w:r w:rsidR="002E0EC6" w:rsidRPr="00EE2582">
        <w:rPr>
          <w:rFonts w:asciiTheme="majorBidi" w:hAnsiTheme="majorBidi" w:cstheme="majorBidi"/>
        </w:rPr>
        <w:t xml:space="preserve">, ka ekspertīzei </w:t>
      </w:r>
      <w:r w:rsidR="006F4284">
        <w:rPr>
          <w:rFonts w:asciiTheme="majorBidi" w:hAnsiTheme="majorBidi" w:cstheme="majorBidi"/>
        </w:rPr>
        <w:t xml:space="preserve">tika </w:t>
      </w:r>
      <w:r w:rsidR="002E0EC6" w:rsidRPr="00EE2582">
        <w:rPr>
          <w:rFonts w:asciiTheme="majorBidi" w:hAnsiTheme="majorBidi" w:cstheme="majorBidi"/>
        </w:rPr>
        <w:t xml:space="preserve">iesniegti tikai 14 </w:t>
      </w:r>
      <w:r w:rsidR="009955B7">
        <w:rPr>
          <w:rFonts w:asciiTheme="majorBidi" w:hAnsiTheme="majorBidi" w:cstheme="majorBidi"/>
        </w:rPr>
        <w:t xml:space="preserve">izņemtā šķidruma </w:t>
      </w:r>
      <w:r w:rsidR="002E0EC6" w:rsidRPr="00EE2582">
        <w:rPr>
          <w:rFonts w:asciiTheme="majorBidi" w:hAnsiTheme="majorBidi" w:cstheme="majorBidi"/>
        </w:rPr>
        <w:t xml:space="preserve">paraugi, lai gan </w:t>
      </w:r>
      <w:r w:rsidR="002E0EC6">
        <w:rPr>
          <w:rFonts w:asciiTheme="majorBidi" w:hAnsiTheme="majorBidi" w:cstheme="majorBidi"/>
        </w:rPr>
        <w:t>saskaņā ar</w:t>
      </w:r>
      <w:r w:rsidR="002E0EC6" w:rsidRPr="00EE2582">
        <w:rPr>
          <w:rFonts w:asciiTheme="majorBidi" w:hAnsiTheme="majorBidi" w:cstheme="majorBidi"/>
        </w:rPr>
        <w:t xml:space="preserve"> ekspertes </w:t>
      </w:r>
      <w:r w:rsidR="003227FF">
        <w:rPr>
          <w:rFonts w:asciiTheme="majorBidi" w:hAnsiTheme="majorBidi" w:cstheme="majorBidi"/>
        </w:rPr>
        <w:t>[pers. H]</w:t>
      </w:r>
      <w:r w:rsidR="002E0EC6" w:rsidRPr="00EE2582">
        <w:rPr>
          <w:rFonts w:asciiTheme="majorBidi" w:hAnsiTheme="majorBidi" w:cstheme="majorBidi"/>
        </w:rPr>
        <w:t xml:space="preserve"> liecīb</w:t>
      </w:r>
      <w:r w:rsidR="002E0EC6" w:rsidRPr="009E0370">
        <w:rPr>
          <w:rFonts w:asciiTheme="majorBidi" w:hAnsiTheme="majorBidi" w:cstheme="majorBidi"/>
        </w:rPr>
        <w:t>ām</w:t>
      </w:r>
      <w:r w:rsidR="002E0EC6" w:rsidRPr="00EE2582">
        <w:rPr>
          <w:rFonts w:asciiTheme="majorBidi" w:hAnsiTheme="majorBidi" w:cstheme="majorBidi"/>
        </w:rPr>
        <w:t xml:space="preserve"> no katra konteinera</w:t>
      </w:r>
      <w:r w:rsidR="009955B7">
        <w:rPr>
          <w:rFonts w:asciiTheme="majorBidi" w:hAnsiTheme="majorBidi" w:cstheme="majorBidi"/>
        </w:rPr>
        <w:t xml:space="preserve"> </w:t>
      </w:r>
      <w:r w:rsidR="00E421DE">
        <w:rPr>
          <w:rFonts w:asciiTheme="majorBidi" w:hAnsiTheme="majorBidi" w:cstheme="majorBidi"/>
        </w:rPr>
        <w:t xml:space="preserve">bija </w:t>
      </w:r>
      <w:r w:rsidR="009955B7">
        <w:rPr>
          <w:rFonts w:asciiTheme="majorBidi" w:hAnsiTheme="majorBidi" w:cstheme="majorBidi"/>
        </w:rPr>
        <w:t>nepieciešams</w:t>
      </w:r>
      <w:r w:rsidR="002E0EC6" w:rsidRPr="00EE2582">
        <w:rPr>
          <w:rFonts w:asciiTheme="majorBidi" w:hAnsiTheme="majorBidi" w:cstheme="majorBidi"/>
        </w:rPr>
        <w:t xml:space="preserve"> ņem</w:t>
      </w:r>
      <w:r w:rsidR="00D5546D">
        <w:rPr>
          <w:rFonts w:asciiTheme="majorBidi" w:hAnsiTheme="majorBidi" w:cstheme="majorBidi"/>
        </w:rPr>
        <w:t>t</w:t>
      </w:r>
      <w:r w:rsidR="002E0EC6" w:rsidRPr="00EE2582">
        <w:rPr>
          <w:rFonts w:asciiTheme="majorBidi" w:hAnsiTheme="majorBidi" w:cstheme="majorBidi"/>
        </w:rPr>
        <w:t xml:space="preserve"> 3</w:t>
      </w:r>
      <w:r w:rsidR="002A761C">
        <w:rPr>
          <w:rFonts w:asciiTheme="majorBidi" w:hAnsiTheme="majorBidi" w:cstheme="majorBidi"/>
        </w:rPr>
        <w:t xml:space="preserve"> </w:t>
      </w:r>
      <w:r w:rsidR="00D5546D" w:rsidRPr="00EE2582">
        <w:rPr>
          <w:rFonts w:asciiTheme="majorBidi" w:hAnsiTheme="majorBidi" w:cstheme="majorBidi"/>
        </w:rPr>
        <w:t>paraug</w:t>
      </w:r>
      <w:r w:rsidR="00D5546D">
        <w:rPr>
          <w:rFonts w:asciiTheme="majorBidi" w:hAnsiTheme="majorBidi" w:cstheme="majorBidi"/>
        </w:rPr>
        <w:t>us</w:t>
      </w:r>
      <w:r w:rsidR="00F75E50">
        <w:rPr>
          <w:rFonts w:asciiTheme="majorBidi" w:hAnsiTheme="majorBidi" w:cstheme="majorBidi"/>
        </w:rPr>
        <w:t>, proti,</w:t>
      </w:r>
      <w:r w:rsidR="002E0EC6" w:rsidRPr="00EE2582">
        <w:rPr>
          <w:rFonts w:asciiTheme="majorBidi" w:hAnsiTheme="majorBidi" w:cstheme="majorBidi"/>
        </w:rPr>
        <w:t xml:space="preserve"> </w:t>
      </w:r>
      <w:r w:rsidR="00C06272" w:rsidRPr="00C06272">
        <w:rPr>
          <w:rFonts w:asciiTheme="majorBidi" w:hAnsiTheme="majorBidi" w:cstheme="majorBidi"/>
        </w:rPr>
        <w:t xml:space="preserve">no </w:t>
      </w:r>
      <w:r w:rsidR="00C06272" w:rsidRPr="004E5C18">
        <w:rPr>
          <w:rFonts w:asciiTheme="majorBidi" w:hAnsiTheme="majorBidi" w:cstheme="majorBidi"/>
        </w:rPr>
        <w:t>šķidruma apakšējā, vidējā un augšējā slāņa</w:t>
      </w:r>
      <w:r w:rsidR="00D5546D" w:rsidRPr="00C06272">
        <w:rPr>
          <w:rFonts w:asciiTheme="majorBidi" w:hAnsiTheme="majorBidi" w:cstheme="majorBidi"/>
        </w:rPr>
        <w:t>,</w:t>
      </w:r>
      <w:r w:rsidR="009C193D" w:rsidRPr="00C06272">
        <w:rPr>
          <w:rFonts w:asciiTheme="majorBidi" w:hAnsiTheme="majorBidi" w:cstheme="majorBidi"/>
        </w:rPr>
        <w:t xml:space="preserve"> </w:t>
      </w:r>
      <w:r w:rsidR="009C193D">
        <w:rPr>
          <w:rFonts w:asciiTheme="majorBidi" w:hAnsiTheme="majorBidi" w:cstheme="majorBidi"/>
        </w:rPr>
        <w:t xml:space="preserve">tātad </w:t>
      </w:r>
      <w:r w:rsidR="002E0EC6" w:rsidRPr="00EE2582">
        <w:rPr>
          <w:rFonts w:asciiTheme="majorBidi" w:hAnsiTheme="majorBidi" w:cstheme="majorBidi"/>
        </w:rPr>
        <w:t>kopā</w:t>
      </w:r>
      <w:r w:rsidR="00D5546D">
        <w:rPr>
          <w:rFonts w:asciiTheme="majorBidi" w:hAnsiTheme="majorBidi" w:cstheme="majorBidi"/>
        </w:rPr>
        <w:t xml:space="preserve"> </w:t>
      </w:r>
      <w:r w:rsidR="002E0EC6" w:rsidRPr="00EE2582">
        <w:rPr>
          <w:rFonts w:asciiTheme="majorBidi" w:hAnsiTheme="majorBidi" w:cstheme="majorBidi"/>
        </w:rPr>
        <w:t>42 paraug</w:t>
      </w:r>
      <w:r w:rsidR="009955B7">
        <w:rPr>
          <w:rFonts w:asciiTheme="majorBidi" w:hAnsiTheme="majorBidi" w:cstheme="majorBidi"/>
        </w:rPr>
        <w:t>us</w:t>
      </w:r>
      <w:r w:rsidR="0058672F">
        <w:rPr>
          <w:rFonts w:asciiTheme="majorBidi" w:hAnsiTheme="majorBidi" w:cstheme="majorBidi"/>
        </w:rPr>
        <w:t>; 2) </w:t>
      </w:r>
      <w:r w:rsidR="00ED0FF5" w:rsidRPr="00ED0FF5">
        <w:rPr>
          <w:rFonts w:asciiTheme="majorBidi" w:hAnsiTheme="majorBidi" w:cstheme="majorBidi"/>
        </w:rPr>
        <w:t xml:space="preserve">Latvijas sertifikācijas centra </w:t>
      </w:r>
      <w:r w:rsidR="002E0EC6" w:rsidRPr="00EE2582">
        <w:rPr>
          <w:rFonts w:asciiTheme="majorBidi" w:hAnsiTheme="majorBidi" w:cstheme="majorBidi"/>
        </w:rPr>
        <w:t>atzinumu</w:t>
      </w:r>
      <w:r w:rsidR="00ED0FF5">
        <w:rPr>
          <w:rFonts w:asciiTheme="majorBidi" w:hAnsiTheme="majorBidi" w:cstheme="majorBidi"/>
        </w:rPr>
        <w:t xml:space="preserve"> un</w:t>
      </w:r>
      <w:r w:rsidR="002E0EC6" w:rsidRPr="00EE2582">
        <w:rPr>
          <w:rFonts w:asciiTheme="majorBidi" w:hAnsiTheme="majorBidi" w:cstheme="majorBidi"/>
        </w:rPr>
        <w:t xml:space="preserve"> </w:t>
      </w:r>
      <w:r w:rsidR="005F6928">
        <w:rPr>
          <w:rFonts w:asciiTheme="majorBidi" w:hAnsiTheme="majorBidi" w:cstheme="majorBidi"/>
        </w:rPr>
        <w:t>citus pierādījumus</w:t>
      </w:r>
      <w:r w:rsidR="002E0EC6" w:rsidRPr="00EE2582">
        <w:rPr>
          <w:rFonts w:asciiTheme="majorBidi" w:hAnsiTheme="majorBidi" w:cstheme="majorBidi"/>
        </w:rPr>
        <w:t xml:space="preserve">, </w:t>
      </w:r>
      <w:r w:rsidR="00842235">
        <w:rPr>
          <w:rFonts w:asciiTheme="majorBidi" w:hAnsiTheme="majorBidi" w:cstheme="majorBidi"/>
        </w:rPr>
        <w:t>no kuriem izriet</w:t>
      </w:r>
      <w:r w:rsidR="002E0EC6" w:rsidRPr="00EE2582">
        <w:rPr>
          <w:rFonts w:asciiTheme="majorBidi" w:hAnsiTheme="majorBidi" w:cstheme="majorBidi"/>
        </w:rPr>
        <w:t>, ka konteineros varēja atrasties citi šķidrumi.</w:t>
      </w:r>
      <w:bookmarkStart w:id="4" w:name="_Hlk216095646"/>
      <w:bookmarkEnd w:id="3"/>
    </w:p>
    <w:p w14:paraId="06AA2BC7" w14:textId="1EFA9C72" w:rsidR="00FF6E6B" w:rsidRPr="002717F9" w:rsidRDefault="002E0EC6" w:rsidP="00EE7E71">
      <w:pPr>
        <w:suppressAutoHyphens w:val="0"/>
        <w:spacing w:line="276" w:lineRule="auto"/>
        <w:ind w:firstLine="720"/>
        <w:jc w:val="both"/>
        <w:rPr>
          <w:rFonts w:asciiTheme="majorBidi" w:hAnsiTheme="majorBidi" w:cstheme="majorBidi"/>
          <w:color w:val="000000" w:themeColor="text1"/>
        </w:rPr>
      </w:pPr>
      <w:r w:rsidRPr="002717F9">
        <w:rPr>
          <w:rFonts w:asciiTheme="majorBidi" w:hAnsiTheme="majorBidi" w:cstheme="majorBidi"/>
          <w:color w:val="000000" w:themeColor="text1"/>
        </w:rPr>
        <w:t>[4.</w:t>
      </w:r>
      <w:r w:rsidR="00E87B2B">
        <w:rPr>
          <w:rFonts w:asciiTheme="majorBidi" w:hAnsiTheme="majorBidi" w:cstheme="majorBidi"/>
          <w:color w:val="000000" w:themeColor="text1"/>
        </w:rPr>
        <w:t>1.</w:t>
      </w:r>
      <w:r w:rsidRPr="002717F9">
        <w:rPr>
          <w:rFonts w:asciiTheme="majorBidi" w:hAnsiTheme="majorBidi" w:cstheme="majorBidi"/>
          <w:color w:val="000000" w:themeColor="text1"/>
        </w:rPr>
        <w:t>3]</w:t>
      </w:r>
      <w:r w:rsidR="00051EF6" w:rsidRPr="002717F9">
        <w:rPr>
          <w:rFonts w:asciiTheme="majorBidi" w:hAnsiTheme="majorBidi" w:cstheme="majorBidi"/>
          <w:color w:val="000000" w:themeColor="text1"/>
        </w:rPr>
        <w:t> </w:t>
      </w:r>
      <w:r w:rsidR="005C4DFD" w:rsidRPr="002717F9">
        <w:rPr>
          <w:rFonts w:asciiTheme="majorBidi" w:hAnsiTheme="majorBidi"/>
          <w:color w:val="000000" w:themeColor="text1"/>
        </w:rPr>
        <w:t>T</w:t>
      </w:r>
      <w:r w:rsidR="005C4DFD" w:rsidRPr="002717F9">
        <w:rPr>
          <w:color w:val="000000" w:themeColor="text1"/>
        </w:rPr>
        <w:t xml:space="preserve">iesa kļūdaini </w:t>
      </w:r>
      <w:r w:rsidR="009955B7" w:rsidRPr="002717F9">
        <w:rPr>
          <w:color w:val="000000" w:themeColor="text1"/>
        </w:rPr>
        <w:t>atzinusi</w:t>
      </w:r>
      <w:r w:rsidR="005C4DFD" w:rsidRPr="002717F9">
        <w:rPr>
          <w:color w:val="000000" w:themeColor="text1"/>
        </w:rPr>
        <w:t xml:space="preserve">, ka 50 </w:t>
      </w:r>
      <w:r w:rsidR="009955B7" w:rsidRPr="002717F9">
        <w:rPr>
          <w:color w:val="000000" w:themeColor="text1"/>
        </w:rPr>
        <w:t xml:space="preserve">Latvijas Republikā noteikto </w:t>
      </w:r>
      <w:r w:rsidR="005C4DFD" w:rsidRPr="002717F9">
        <w:rPr>
          <w:color w:val="000000" w:themeColor="text1"/>
        </w:rPr>
        <w:t>minimālo mēnešalgu kopsumma ir 14 200 </w:t>
      </w:r>
      <w:r w:rsidR="005C4DFD" w:rsidRPr="002717F9">
        <w:rPr>
          <w:i/>
          <w:iCs/>
          <w:color w:val="000000" w:themeColor="text1"/>
        </w:rPr>
        <w:t>euro</w:t>
      </w:r>
      <w:r w:rsidR="005C4DFD" w:rsidRPr="002717F9">
        <w:rPr>
          <w:color w:val="000000" w:themeColor="text1"/>
        </w:rPr>
        <w:t xml:space="preserve">, jo saskaņā ar </w:t>
      </w:r>
      <w:r w:rsidR="006F4284">
        <w:rPr>
          <w:color w:val="000000" w:themeColor="text1"/>
        </w:rPr>
        <w:t>tiesisko</w:t>
      </w:r>
      <w:r w:rsidR="005C4DFD" w:rsidRPr="002717F9">
        <w:rPr>
          <w:color w:val="000000" w:themeColor="text1"/>
        </w:rPr>
        <w:t xml:space="preserve"> regulējumu noziedzīgā nodarījuma izdarīšanas dienā</w:t>
      </w:r>
      <w:r w:rsidR="009955B7" w:rsidRPr="002717F9">
        <w:rPr>
          <w:color w:val="000000" w:themeColor="text1"/>
        </w:rPr>
        <w:t xml:space="preserve"> tā</w:t>
      </w:r>
      <w:r w:rsidR="005C4DFD" w:rsidRPr="002717F9">
        <w:rPr>
          <w:color w:val="000000" w:themeColor="text1"/>
        </w:rPr>
        <w:t xml:space="preserve"> bija 14 228,72 </w:t>
      </w:r>
      <w:r w:rsidR="005C4DFD" w:rsidRPr="002717F9">
        <w:rPr>
          <w:i/>
          <w:iCs/>
          <w:color w:val="000000" w:themeColor="text1"/>
        </w:rPr>
        <w:t>euro</w:t>
      </w:r>
      <w:r w:rsidR="005C4DFD" w:rsidRPr="002717F9">
        <w:rPr>
          <w:rFonts w:asciiTheme="majorBidi" w:hAnsiTheme="majorBidi" w:cstheme="majorBidi"/>
          <w:color w:val="000000" w:themeColor="text1"/>
        </w:rPr>
        <w:t xml:space="preserve"> </w:t>
      </w:r>
      <w:r w:rsidR="00E421DE" w:rsidRPr="00E421DE">
        <w:rPr>
          <w:rFonts w:asciiTheme="majorBidi" w:hAnsiTheme="majorBidi" w:cstheme="majorBidi"/>
          <w:color w:val="000000" w:themeColor="text1"/>
        </w:rPr>
        <w:t>(</w:t>
      </w:r>
      <w:r w:rsidR="00E421DE" w:rsidRPr="00842235">
        <w:rPr>
          <w:rFonts w:asciiTheme="majorBidi" w:hAnsiTheme="majorBidi" w:cstheme="majorBidi"/>
          <w:color w:val="000000" w:themeColor="text1"/>
        </w:rPr>
        <w:t>200</w:t>
      </w:r>
      <w:r w:rsidR="00842235">
        <w:rPr>
          <w:rFonts w:asciiTheme="majorBidi" w:hAnsiTheme="majorBidi" w:cstheme="majorBidi"/>
          <w:color w:val="000000" w:themeColor="text1"/>
        </w:rPr>
        <w:t> </w:t>
      </w:r>
      <w:r w:rsidR="00E421DE">
        <w:rPr>
          <w:rFonts w:asciiTheme="majorBidi" w:hAnsiTheme="majorBidi" w:cstheme="majorBidi"/>
          <w:color w:val="000000" w:themeColor="text1"/>
        </w:rPr>
        <w:t>lati</w:t>
      </w:r>
      <w:r w:rsidR="00E421DE" w:rsidRPr="00842235">
        <w:rPr>
          <w:rFonts w:asciiTheme="majorBidi" w:hAnsiTheme="majorBidi" w:cstheme="majorBidi"/>
          <w:color w:val="000000" w:themeColor="text1"/>
        </w:rPr>
        <w:t xml:space="preserve"> × 50 = 10</w:t>
      </w:r>
      <w:r w:rsidR="00842235">
        <w:rPr>
          <w:rFonts w:asciiTheme="majorBidi" w:hAnsiTheme="majorBidi" w:cstheme="majorBidi"/>
          <w:color w:val="000000" w:themeColor="text1"/>
        </w:rPr>
        <w:t> </w:t>
      </w:r>
      <w:r w:rsidR="00E421DE" w:rsidRPr="00842235">
        <w:rPr>
          <w:rFonts w:asciiTheme="majorBidi" w:hAnsiTheme="majorBidi" w:cstheme="majorBidi"/>
          <w:color w:val="000000" w:themeColor="text1"/>
        </w:rPr>
        <w:t>000</w:t>
      </w:r>
      <w:r w:rsidR="00842235">
        <w:rPr>
          <w:rFonts w:asciiTheme="majorBidi" w:hAnsiTheme="majorBidi" w:cstheme="majorBidi"/>
          <w:color w:val="000000" w:themeColor="text1"/>
        </w:rPr>
        <w:t> lati</w:t>
      </w:r>
      <w:r w:rsidR="00E421DE" w:rsidRPr="00842235">
        <w:rPr>
          <w:rFonts w:asciiTheme="majorBidi" w:hAnsiTheme="majorBidi" w:cstheme="majorBidi"/>
          <w:color w:val="000000" w:themeColor="text1"/>
        </w:rPr>
        <w:t>; 10</w:t>
      </w:r>
      <w:r w:rsidR="00E421DE">
        <w:rPr>
          <w:rFonts w:asciiTheme="majorBidi" w:hAnsiTheme="majorBidi" w:cstheme="majorBidi"/>
          <w:color w:val="000000" w:themeColor="text1"/>
        </w:rPr>
        <w:t> </w:t>
      </w:r>
      <w:r w:rsidR="00E421DE" w:rsidRPr="00842235">
        <w:rPr>
          <w:rFonts w:asciiTheme="majorBidi" w:hAnsiTheme="majorBidi" w:cstheme="majorBidi"/>
          <w:color w:val="000000" w:themeColor="text1"/>
        </w:rPr>
        <w:t>000</w:t>
      </w:r>
      <w:r w:rsidR="00842235">
        <w:rPr>
          <w:rFonts w:asciiTheme="majorBidi" w:hAnsiTheme="majorBidi" w:cstheme="majorBidi"/>
          <w:color w:val="000000" w:themeColor="text1"/>
        </w:rPr>
        <w:t> </w:t>
      </w:r>
      <w:r w:rsidR="00E421DE">
        <w:rPr>
          <w:rFonts w:asciiTheme="majorBidi" w:hAnsiTheme="majorBidi" w:cstheme="majorBidi"/>
          <w:color w:val="000000" w:themeColor="text1"/>
        </w:rPr>
        <w:t>lati</w:t>
      </w:r>
      <w:r w:rsidR="00842235">
        <w:rPr>
          <w:rFonts w:asciiTheme="majorBidi" w:hAnsiTheme="majorBidi" w:cstheme="majorBidi"/>
          <w:color w:val="000000" w:themeColor="text1"/>
        </w:rPr>
        <w:t> </w:t>
      </w:r>
      <w:r w:rsidR="00E421DE" w:rsidRPr="00842235">
        <w:rPr>
          <w:rFonts w:asciiTheme="majorBidi" w:hAnsiTheme="majorBidi" w:cstheme="majorBidi"/>
          <w:color w:val="000000" w:themeColor="text1"/>
        </w:rPr>
        <w:t>/</w:t>
      </w:r>
      <w:r w:rsidR="00842235">
        <w:rPr>
          <w:rFonts w:asciiTheme="majorBidi" w:hAnsiTheme="majorBidi" w:cstheme="majorBidi"/>
          <w:color w:val="000000" w:themeColor="text1"/>
        </w:rPr>
        <w:t> </w:t>
      </w:r>
      <w:r w:rsidR="00E421DE" w:rsidRPr="00842235">
        <w:rPr>
          <w:rFonts w:asciiTheme="majorBidi" w:hAnsiTheme="majorBidi" w:cstheme="majorBidi"/>
          <w:color w:val="000000" w:themeColor="text1"/>
        </w:rPr>
        <w:t>0,702804 = 14</w:t>
      </w:r>
      <w:r w:rsidR="00842235">
        <w:rPr>
          <w:rFonts w:asciiTheme="majorBidi" w:hAnsiTheme="majorBidi" w:cstheme="majorBidi"/>
          <w:color w:val="000000" w:themeColor="text1"/>
        </w:rPr>
        <w:t> </w:t>
      </w:r>
      <w:r w:rsidR="00E421DE" w:rsidRPr="00842235">
        <w:rPr>
          <w:rFonts w:asciiTheme="majorBidi" w:hAnsiTheme="majorBidi" w:cstheme="majorBidi"/>
          <w:color w:val="000000" w:themeColor="text1"/>
        </w:rPr>
        <w:t>228,72</w:t>
      </w:r>
      <w:r w:rsidR="00E421DE">
        <w:rPr>
          <w:rFonts w:asciiTheme="majorBidi" w:hAnsiTheme="majorBidi" w:cstheme="majorBidi"/>
          <w:color w:val="000000" w:themeColor="text1"/>
        </w:rPr>
        <w:t> </w:t>
      </w:r>
      <w:r w:rsidR="00E421DE" w:rsidRPr="00842235">
        <w:rPr>
          <w:rFonts w:asciiTheme="majorBidi" w:hAnsiTheme="majorBidi" w:cstheme="majorBidi"/>
          <w:i/>
          <w:iCs/>
          <w:color w:val="000000" w:themeColor="text1"/>
        </w:rPr>
        <w:t>euro</w:t>
      </w:r>
      <w:r w:rsidR="00E421DE" w:rsidRPr="00E421DE">
        <w:rPr>
          <w:rFonts w:asciiTheme="majorBidi" w:hAnsiTheme="majorBidi" w:cstheme="majorBidi"/>
          <w:color w:val="000000" w:themeColor="text1"/>
        </w:rPr>
        <w:t>).</w:t>
      </w:r>
    </w:p>
    <w:p w14:paraId="786735FE" w14:textId="77777777" w:rsidR="006A2BA1" w:rsidRDefault="00375A5B" w:rsidP="00EE7E71">
      <w:pPr>
        <w:suppressAutoHyphens w:val="0"/>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[4.1.4]</w:t>
      </w:r>
      <w:r w:rsidR="002A761C">
        <w:rPr>
          <w:rFonts w:asciiTheme="majorBidi" w:hAnsiTheme="majorBidi" w:cstheme="majorBidi"/>
          <w:color w:val="000000" w:themeColor="text1"/>
        </w:rPr>
        <w:t> </w:t>
      </w:r>
      <w:r w:rsidR="006A5768">
        <w:rPr>
          <w:rFonts w:asciiTheme="majorBidi" w:hAnsiTheme="majorBidi" w:cstheme="majorBidi"/>
          <w:color w:val="000000" w:themeColor="text1"/>
        </w:rPr>
        <w:t>T</w:t>
      </w:r>
      <w:r w:rsidR="005C4DFD" w:rsidRPr="002717F9">
        <w:rPr>
          <w:rFonts w:asciiTheme="majorBidi" w:hAnsiTheme="majorBidi" w:cstheme="majorBidi"/>
          <w:color w:val="000000" w:themeColor="text1"/>
        </w:rPr>
        <w:t xml:space="preserve">iesa nepareizi noteikusi </w:t>
      </w:r>
      <w:r w:rsidR="00697BFF" w:rsidRPr="002717F9">
        <w:rPr>
          <w:rFonts w:asciiTheme="majorBidi" w:hAnsiTheme="majorBidi" w:cstheme="majorBidi"/>
          <w:color w:val="000000" w:themeColor="text1"/>
        </w:rPr>
        <w:t xml:space="preserve">nelikumīgi </w:t>
      </w:r>
      <w:r w:rsidR="00FF6E6B" w:rsidRPr="002717F9">
        <w:rPr>
          <w:rFonts w:asciiTheme="majorBidi" w:hAnsiTheme="majorBidi" w:cstheme="majorBidi"/>
          <w:color w:val="000000" w:themeColor="text1"/>
        </w:rPr>
        <w:t>u</w:t>
      </w:r>
      <w:r w:rsidR="00CA452B" w:rsidRPr="002717F9">
        <w:rPr>
          <w:rFonts w:asciiTheme="majorBidi" w:hAnsiTheme="majorBidi" w:cstheme="majorBidi"/>
          <w:color w:val="000000" w:themeColor="text1"/>
        </w:rPr>
        <w:t>zglabātās dīzeļdegvielas</w:t>
      </w:r>
      <w:r w:rsidR="00697BFF" w:rsidRPr="002717F9">
        <w:rPr>
          <w:rFonts w:asciiTheme="majorBidi" w:hAnsiTheme="majorBidi" w:cstheme="majorBidi"/>
          <w:color w:val="000000" w:themeColor="text1"/>
        </w:rPr>
        <w:t xml:space="preserve"> </w:t>
      </w:r>
      <w:r w:rsidR="008518A6" w:rsidRPr="003A21E2">
        <w:rPr>
          <w:rFonts w:asciiTheme="majorBidi" w:hAnsiTheme="majorBidi" w:cstheme="majorBidi"/>
        </w:rPr>
        <w:t>vērtību</w:t>
      </w:r>
      <w:r w:rsidR="008518A6">
        <w:rPr>
          <w:rFonts w:asciiTheme="majorBidi" w:hAnsiTheme="majorBidi" w:cstheme="majorBidi"/>
        </w:rPr>
        <w:t>, jo</w:t>
      </w:r>
      <w:r w:rsidR="006A2BA1">
        <w:rPr>
          <w:rFonts w:asciiTheme="majorBidi" w:hAnsiTheme="majorBidi" w:cstheme="majorBidi"/>
          <w:color w:val="000000" w:themeColor="text1"/>
        </w:rPr>
        <w:t>:</w:t>
      </w:r>
      <w:bookmarkStart w:id="5" w:name="_Hlk213598229"/>
    </w:p>
    <w:p w14:paraId="1CD43E4A" w14:textId="77777777" w:rsidR="006A2BA1" w:rsidRDefault="0013536B" w:rsidP="00EE7E71">
      <w:pPr>
        <w:suppressAutoHyphens w:val="0"/>
        <w:spacing w:line="276" w:lineRule="auto"/>
        <w:ind w:firstLine="720"/>
        <w:jc w:val="both"/>
      </w:pPr>
      <w:r>
        <w:rPr>
          <w:rFonts w:asciiTheme="majorBidi" w:hAnsiTheme="majorBidi" w:cstheme="majorBidi"/>
        </w:rPr>
        <w:t>1) </w:t>
      </w:r>
      <w:r w:rsidR="00BE3BEF" w:rsidRPr="006A2BA1">
        <w:rPr>
          <w:rFonts w:asciiTheme="majorBidi" w:hAnsiTheme="majorBidi" w:cstheme="majorBidi"/>
        </w:rPr>
        <w:t>nepamatoti</w:t>
      </w:r>
      <w:r w:rsidR="00BE3BEF" w:rsidRPr="002A761C">
        <w:t xml:space="preserve"> </w:t>
      </w:r>
      <w:r w:rsidR="008518A6" w:rsidRPr="002A761C">
        <w:t xml:space="preserve">secinājusi, ka tirgus cena ir </w:t>
      </w:r>
      <w:r w:rsidR="00BE3BEF" w:rsidRPr="002A761C">
        <w:t xml:space="preserve">mazumtirdzniecības cena, </w:t>
      </w:r>
      <w:r w:rsidR="008518A6" w:rsidRPr="002A761C">
        <w:t>kur</w:t>
      </w:r>
      <w:r w:rsidR="002E58FC" w:rsidRPr="002A761C">
        <w:t>ā</w:t>
      </w:r>
      <w:r w:rsidR="00697BFF" w:rsidRPr="002A761C">
        <w:t xml:space="preserve"> ietver</w:t>
      </w:r>
      <w:r w:rsidR="008518A6" w:rsidRPr="002A761C">
        <w:t>ti</w:t>
      </w:r>
      <w:r w:rsidR="00697BFF" w:rsidRPr="002A761C">
        <w:t xml:space="preserve"> </w:t>
      </w:r>
      <w:r w:rsidR="00BE3BEF" w:rsidRPr="002A761C">
        <w:t>vis</w:t>
      </w:r>
      <w:r w:rsidR="008518A6" w:rsidRPr="002A761C">
        <w:t>i</w:t>
      </w:r>
      <w:r w:rsidR="00BE3BEF" w:rsidRPr="002A761C">
        <w:t xml:space="preserve"> </w:t>
      </w:r>
      <w:r w:rsidR="00697BFF" w:rsidRPr="002A761C">
        <w:t>nodokļ</w:t>
      </w:r>
      <w:r w:rsidR="008518A6" w:rsidRPr="002A761C">
        <w:t>i</w:t>
      </w:r>
      <w:r w:rsidR="00697BFF" w:rsidRPr="002A761C">
        <w:t xml:space="preserve"> un uzcenojum</w:t>
      </w:r>
      <w:r w:rsidR="008518A6" w:rsidRPr="002A761C">
        <w:t>s, nevis vairumtirdzniecības cena</w:t>
      </w:r>
      <w:r w:rsidR="00BE3BEF" w:rsidRPr="002A761C">
        <w:t>;</w:t>
      </w:r>
    </w:p>
    <w:p w14:paraId="480B1FEB" w14:textId="64FEC4E4" w:rsidR="00FF6E6B" w:rsidRPr="002A761C" w:rsidRDefault="0013536B" w:rsidP="00EE7E71">
      <w:pPr>
        <w:suppressAutoHyphens w:val="0"/>
        <w:spacing w:line="276" w:lineRule="auto"/>
        <w:ind w:firstLine="720"/>
        <w:jc w:val="both"/>
      </w:pPr>
      <w:r>
        <w:lastRenderedPageBreak/>
        <w:t>2) </w:t>
      </w:r>
      <w:r w:rsidR="00FF6E6B" w:rsidRPr="002A761C">
        <w:t xml:space="preserve">tirgus </w:t>
      </w:r>
      <w:r w:rsidR="00FF6E6B" w:rsidRPr="006A2BA1">
        <w:rPr>
          <w:rFonts w:asciiTheme="majorBidi" w:hAnsiTheme="majorBidi" w:cstheme="majorBidi"/>
        </w:rPr>
        <w:t>cenu</w:t>
      </w:r>
      <w:r w:rsidR="00FF6E6B" w:rsidRPr="002A761C">
        <w:t xml:space="preserve"> </w:t>
      </w:r>
      <w:r w:rsidR="008518A6" w:rsidRPr="002A761C">
        <w:t>degvielai noteikusi, aprēķinot vidējo cenu 2013. gada maija mēnesī</w:t>
      </w:r>
      <w:r w:rsidR="006D4F2A" w:rsidRPr="002A761C">
        <w:t>,</w:t>
      </w:r>
      <w:r w:rsidR="008518A6" w:rsidRPr="002A761C">
        <w:t xml:space="preserve"> nevis</w:t>
      </w:r>
      <w:r w:rsidR="00FF6E6B" w:rsidRPr="002A761C">
        <w:t xml:space="preserve"> inkriminētā noziedzīgā nodarījuma izdarīšanas dienā – 2013. gada 8. maijā</w:t>
      </w:r>
      <w:r w:rsidR="00697BFF" w:rsidRPr="002A761C">
        <w:t>.</w:t>
      </w:r>
    </w:p>
    <w:p w14:paraId="5CD5A591" w14:textId="333AA803" w:rsidR="002717F9" w:rsidRPr="002717F9" w:rsidRDefault="006A5768" w:rsidP="00EE7E71">
      <w:pPr>
        <w:suppressAutoHyphens w:val="0"/>
        <w:spacing w:line="276" w:lineRule="auto"/>
        <w:ind w:firstLine="720"/>
        <w:jc w:val="both"/>
        <w:rPr>
          <w:rFonts w:asciiTheme="majorBidi" w:hAnsiTheme="majorBidi" w:cstheme="majorBidi"/>
          <w:color w:val="000000" w:themeColor="text1"/>
        </w:rPr>
      </w:pPr>
      <w:r>
        <w:rPr>
          <w:color w:val="000000" w:themeColor="text1"/>
        </w:rPr>
        <w:t xml:space="preserve">Atbilstoši </w:t>
      </w:r>
      <w:r w:rsidR="00AA2937" w:rsidRPr="002717F9">
        <w:rPr>
          <w:rFonts w:asciiTheme="majorBidi" w:hAnsiTheme="majorBidi" w:cstheme="majorBidi"/>
          <w:color w:val="000000" w:themeColor="text1"/>
        </w:rPr>
        <w:t>SIA „Neste</w:t>
      </w:r>
      <w:r w:rsidR="00326F2C">
        <w:rPr>
          <w:rFonts w:asciiTheme="majorBidi" w:hAnsiTheme="majorBidi" w:cstheme="majorBidi"/>
          <w:color w:val="000000" w:themeColor="text1"/>
        </w:rPr>
        <w:t> </w:t>
      </w:r>
      <w:r w:rsidR="00AA2937" w:rsidRPr="002717F9">
        <w:rPr>
          <w:rFonts w:asciiTheme="majorBidi" w:hAnsiTheme="majorBidi" w:cstheme="majorBidi"/>
          <w:color w:val="000000" w:themeColor="text1"/>
        </w:rPr>
        <w:t xml:space="preserve">Latvija” </w:t>
      </w:r>
      <w:r w:rsidRPr="002717F9">
        <w:rPr>
          <w:rFonts w:asciiTheme="majorBidi" w:hAnsiTheme="majorBidi" w:cstheme="majorBidi"/>
          <w:color w:val="000000" w:themeColor="text1"/>
        </w:rPr>
        <w:t>2013. gada 7. maij</w:t>
      </w:r>
      <w:r>
        <w:rPr>
          <w:rFonts w:asciiTheme="majorBidi" w:hAnsiTheme="majorBidi" w:cstheme="majorBidi"/>
          <w:color w:val="000000" w:themeColor="text1"/>
        </w:rPr>
        <w:t>a</w:t>
      </w:r>
      <w:r w:rsidR="008277C2">
        <w:rPr>
          <w:rFonts w:asciiTheme="majorBidi" w:hAnsiTheme="majorBidi" w:cstheme="majorBidi"/>
          <w:color w:val="000000" w:themeColor="text1"/>
        </w:rPr>
        <w:t xml:space="preserve"> piegādes</w:t>
      </w:r>
      <w:r w:rsidRPr="002717F9">
        <w:rPr>
          <w:rFonts w:asciiTheme="majorBidi" w:hAnsiTheme="majorBidi" w:cstheme="majorBidi"/>
          <w:color w:val="000000" w:themeColor="text1"/>
        </w:rPr>
        <w:t xml:space="preserve"> </w:t>
      </w:r>
      <w:r w:rsidR="0003500C" w:rsidRPr="002717F9">
        <w:rPr>
          <w:rFonts w:asciiTheme="majorBidi" w:hAnsiTheme="majorBidi" w:cstheme="majorBidi"/>
          <w:color w:val="000000" w:themeColor="text1"/>
        </w:rPr>
        <w:t>dokumenti</w:t>
      </w:r>
      <w:r>
        <w:rPr>
          <w:rFonts w:asciiTheme="majorBidi" w:hAnsiTheme="majorBidi" w:cstheme="majorBidi"/>
          <w:color w:val="000000" w:themeColor="text1"/>
        </w:rPr>
        <w:t>em</w:t>
      </w:r>
      <w:r w:rsidR="00AA2937" w:rsidRPr="002717F9">
        <w:rPr>
          <w:rFonts w:asciiTheme="majorBidi" w:hAnsiTheme="majorBidi" w:cstheme="majorBidi"/>
          <w:color w:val="000000" w:themeColor="text1"/>
        </w:rPr>
        <w:t xml:space="preserve"> </w:t>
      </w:r>
      <w:r w:rsidR="00842235" w:rsidRPr="002717F9">
        <w:rPr>
          <w:rFonts w:asciiTheme="majorBidi" w:hAnsiTheme="majorBidi" w:cstheme="majorBidi"/>
          <w:color w:val="000000" w:themeColor="text1"/>
        </w:rPr>
        <w:t xml:space="preserve">dīzeļdegvielas </w:t>
      </w:r>
      <w:r w:rsidR="00AA2937" w:rsidRPr="002717F9">
        <w:rPr>
          <w:rFonts w:asciiTheme="majorBidi" w:hAnsiTheme="majorBidi" w:cstheme="majorBidi"/>
          <w:color w:val="000000" w:themeColor="text1"/>
        </w:rPr>
        <w:t>tirgus cen</w:t>
      </w:r>
      <w:r w:rsidR="00AE1C39" w:rsidRPr="002717F9">
        <w:rPr>
          <w:rFonts w:asciiTheme="majorBidi" w:hAnsiTheme="majorBidi" w:cstheme="majorBidi"/>
          <w:color w:val="000000" w:themeColor="text1"/>
        </w:rPr>
        <w:t xml:space="preserve">a bija </w:t>
      </w:r>
      <w:r w:rsidR="00AA2937" w:rsidRPr="002717F9">
        <w:rPr>
          <w:rFonts w:asciiTheme="majorBidi" w:hAnsiTheme="majorBidi" w:cstheme="majorBidi"/>
          <w:color w:val="000000" w:themeColor="text1"/>
        </w:rPr>
        <w:t>0,4476 lati</w:t>
      </w:r>
      <w:r w:rsidR="00BE3BEF">
        <w:rPr>
          <w:rFonts w:asciiTheme="majorBidi" w:hAnsiTheme="majorBidi" w:cstheme="majorBidi"/>
          <w:color w:val="000000" w:themeColor="text1"/>
        </w:rPr>
        <w:t xml:space="preserve"> </w:t>
      </w:r>
      <w:r>
        <w:rPr>
          <w:rFonts w:asciiTheme="majorBidi" w:hAnsiTheme="majorBidi" w:cstheme="majorBidi"/>
          <w:color w:val="000000" w:themeColor="text1"/>
        </w:rPr>
        <w:t xml:space="preserve">par </w:t>
      </w:r>
      <w:r w:rsidR="00AA2937" w:rsidRPr="002717F9">
        <w:rPr>
          <w:rFonts w:asciiTheme="majorBidi" w:hAnsiTheme="majorBidi" w:cstheme="majorBidi"/>
          <w:color w:val="000000" w:themeColor="text1"/>
        </w:rPr>
        <w:t>litr</w:t>
      </w:r>
      <w:r>
        <w:rPr>
          <w:rFonts w:asciiTheme="majorBidi" w:hAnsiTheme="majorBidi" w:cstheme="majorBidi"/>
          <w:color w:val="000000" w:themeColor="text1"/>
        </w:rPr>
        <w:t>u</w:t>
      </w:r>
      <w:r w:rsidR="00AA2937" w:rsidRPr="002717F9">
        <w:rPr>
          <w:rFonts w:asciiTheme="majorBidi" w:hAnsiTheme="majorBidi" w:cstheme="majorBidi"/>
          <w:color w:val="000000" w:themeColor="text1"/>
        </w:rPr>
        <w:t>.</w:t>
      </w:r>
      <w:r w:rsidR="00777F5E" w:rsidRPr="002717F9">
        <w:rPr>
          <w:rFonts w:asciiTheme="majorBidi" w:hAnsiTheme="majorBidi" w:cstheme="majorBidi"/>
          <w:color w:val="000000" w:themeColor="text1"/>
        </w:rPr>
        <w:t xml:space="preserve"> Atbilstoši šai cenai</w:t>
      </w:r>
      <w:r w:rsidR="000414D3" w:rsidRPr="002717F9">
        <w:rPr>
          <w:rFonts w:asciiTheme="majorBidi" w:hAnsiTheme="majorBidi" w:cstheme="majorBidi"/>
          <w:color w:val="000000" w:themeColor="text1"/>
        </w:rPr>
        <w:t xml:space="preserve"> </w:t>
      </w:r>
      <w:r w:rsidR="00AA2937" w:rsidRPr="002717F9">
        <w:rPr>
          <w:rFonts w:asciiTheme="majorBidi" w:hAnsiTheme="majorBidi" w:cstheme="majorBidi"/>
          <w:color w:val="000000" w:themeColor="text1"/>
        </w:rPr>
        <w:t>11 900 litru degvielas kopējā vērtība bez nodokļiem bija 7 578,84 </w:t>
      </w:r>
      <w:r w:rsidR="00AA2937" w:rsidRPr="002717F9">
        <w:rPr>
          <w:rFonts w:asciiTheme="majorBidi" w:hAnsiTheme="majorBidi" w:cstheme="majorBidi"/>
          <w:i/>
          <w:iCs/>
          <w:color w:val="000000" w:themeColor="text1"/>
        </w:rPr>
        <w:t>euro</w:t>
      </w:r>
      <w:r w:rsidR="00AA2937" w:rsidRPr="002717F9">
        <w:rPr>
          <w:rFonts w:asciiTheme="majorBidi" w:hAnsiTheme="majorBidi" w:cstheme="majorBidi"/>
          <w:color w:val="000000" w:themeColor="text1"/>
        </w:rPr>
        <w:t>, bet ar nodokļiem</w:t>
      </w:r>
      <w:r w:rsidR="00842235">
        <w:rPr>
          <w:rFonts w:asciiTheme="majorBidi" w:hAnsiTheme="majorBidi" w:cstheme="majorBidi"/>
          <w:color w:val="000000" w:themeColor="text1"/>
        </w:rPr>
        <w:t> </w:t>
      </w:r>
      <w:r w:rsidR="00AA2937" w:rsidRPr="002717F9">
        <w:rPr>
          <w:rFonts w:asciiTheme="majorBidi" w:hAnsiTheme="majorBidi" w:cstheme="majorBidi"/>
          <w:color w:val="000000" w:themeColor="text1"/>
        </w:rPr>
        <w:t>– 13 969,39 </w:t>
      </w:r>
      <w:r w:rsidR="00AA2937" w:rsidRPr="002717F9">
        <w:rPr>
          <w:rFonts w:asciiTheme="majorBidi" w:hAnsiTheme="majorBidi" w:cstheme="majorBidi"/>
          <w:i/>
          <w:iCs/>
          <w:color w:val="000000" w:themeColor="text1"/>
        </w:rPr>
        <w:t>euro</w:t>
      </w:r>
      <w:r w:rsidR="00BE3BEF">
        <w:rPr>
          <w:rFonts w:asciiTheme="majorBidi" w:hAnsiTheme="majorBidi" w:cstheme="majorBidi"/>
          <w:color w:val="000000" w:themeColor="text1"/>
        </w:rPr>
        <w:t>.</w:t>
      </w:r>
      <w:r w:rsidR="00AE1C39" w:rsidRPr="002717F9">
        <w:rPr>
          <w:rFonts w:asciiTheme="majorBidi" w:hAnsiTheme="majorBidi" w:cstheme="majorBidi"/>
          <w:color w:val="000000" w:themeColor="text1"/>
        </w:rPr>
        <w:t xml:space="preserve"> </w:t>
      </w:r>
      <w:r w:rsidR="00BE3BEF">
        <w:rPr>
          <w:rFonts w:asciiTheme="majorBidi" w:hAnsiTheme="majorBidi" w:cstheme="majorBidi"/>
          <w:color w:val="000000" w:themeColor="text1"/>
        </w:rPr>
        <w:t>L</w:t>
      </w:r>
      <w:r w:rsidR="00FA5A51" w:rsidRPr="002717F9">
        <w:rPr>
          <w:rFonts w:asciiTheme="majorBidi" w:hAnsiTheme="majorBidi" w:cstheme="majorBidi"/>
          <w:color w:val="000000" w:themeColor="text1"/>
        </w:rPr>
        <w:t xml:space="preserve">īdz ar to </w:t>
      </w:r>
      <w:r w:rsidR="00BE3BEF">
        <w:rPr>
          <w:rFonts w:asciiTheme="majorBidi" w:hAnsiTheme="majorBidi" w:cstheme="majorBidi"/>
          <w:color w:val="000000" w:themeColor="text1"/>
        </w:rPr>
        <w:t>tirgus cena</w:t>
      </w:r>
      <w:r w:rsidR="000A554A" w:rsidRPr="002717F9">
        <w:rPr>
          <w:rFonts w:asciiTheme="majorBidi" w:hAnsiTheme="majorBidi" w:cstheme="majorBidi"/>
          <w:color w:val="000000" w:themeColor="text1"/>
        </w:rPr>
        <w:t xml:space="preserve"> </w:t>
      </w:r>
      <w:r>
        <w:rPr>
          <w:rFonts w:asciiTheme="majorBidi" w:hAnsiTheme="majorBidi" w:cstheme="majorBidi"/>
          <w:color w:val="000000" w:themeColor="text1"/>
        </w:rPr>
        <w:t xml:space="preserve">noziedzīgā nodarījuma izdarīšanas dienā </w:t>
      </w:r>
      <w:r w:rsidR="00BE3BEF">
        <w:rPr>
          <w:rFonts w:asciiTheme="majorBidi" w:hAnsiTheme="majorBidi" w:cstheme="majorBidi"/>
          <w:color w:val="000000" w:themeColor="text1"/>
        </w:rPr>
        <w:t xml:space="preserve">nevienā no aprēķina variantiem </w:t>
      </w:r>
      <w:r w:rsidR="00AA2937" w:rsidRPr="002717F9">
        <w:rPr>
          <w:rFonts w:asciiTheme="majorBidi" w:hAnsiTheme="majorBidi" w:cstheme="majorBidi"/>
          <w:color w:val="000000" w:themeColor="text1"/>
        </w:rPr>
        <w:t>nesasniedz</w:t>
      </w:r>
      <w:r w:rsidR="00842235">
        <w:rPr>
          <w:rFonts w:asciiTheme="majorBidi" w:hAnsiTheme="majorBidi" w:cstheme="majorBidi"/>
          <w:color w:val="000000" w:themeColor="text1"/>
        </w:rPr>
        <w:t>a</w:t>
      </w:r>
      <w:r w:rsidR="00AA2937" w:rsidRPr="002717F9">
        <w:rPr>
          <w:rFonts w:asciiTheme="majorBidi" w:hAnsiTheme="majorBidi" w:cstheme="majorBidi"/>
          <w:color w:val="000000" w:themeColor="text1"/>
        </w:rPr>
        <w:t xml:space="preserve"> lielā apmēra slieksni – 14 228,72 </w:t>
      </w:r>
      <w:r w:rsidR="00AA2937" w:rsidRPr="002717F9">
        <w:rPr>
          <w:rFonts w:asciiTheme="majorBidi" w:hAnsiTheme="majorBidi" w:cstheme="majorBidi"/>
          <w:i/>
          <w:iCs/>
          <w:color w:val="000000" w:themeColor="text1"/>
        </w:rPr>
        <w:t>euro</w:t>
      </w:r>
      <w:r w:rsidR="00AA2937" w:rsidRPr="002717F9">
        <w:rPr>
          <w:rFonts w:asciiTheme="majorBidi" w:hAnsiTheme="majorBidi" w:cstheme="majorBidi"/>
          <w:color w:val="000000" w:themeColor="text1"/>
        </w:rPr>
        <w:t>.</w:t>
      </w:r>
      <w:r w:rsidR="002717F9" w:rsidRPr="002717F9">
        <w:rPr>
          <w:rFonts w:asciiTheme="majorBidi" w:hAnsiTheme="majorBidi" w:cstheme="majorBidi"/>
          <w:color w:val="000000" w:themeColor="text1"/>
        </w:rPr>
        <w:t xml:space="preserve"> </w:t>
      </w:r>
      <w:r>
        <w:rPr>
          <w:rFonts w:asciiTheme="majorBidi" w:hAnsiTheme="majorBidi" w:cstheme="majorBidi"/>
          <w:color w:val="000000" w:themeColor="text1"/>
        </w:rPr>
        <w:t>T</w:t>
      </w:r>
      <w:r w:rsidR="002717F9" w:rsidRPr="002717F9">
        <w:rPr>
          <w:rFonts w:asciiTheme="majorBidi" w:hAnsiTheme="majorBidi" w:cstheme="majorBidi"/>
          <w:color w:val="000000" w:themeColor="text1"/>
        </w:rPr>
        <w:t>iesa nav pamatojusi, kā</w:t>
      </w:r>
      <w:r w:rsidR="00F75E50">
        <w:rPr>
          <w:rFonts w:asciiTheme="majorBidi" w:hAnsiTheme="majorBidi" w:cstheme="majorBidi"/>
          <w:color w:val="000000" w:themeColor="text1"/>
        </w:rPr>
        <w:t>dēļ</w:t>
      </w:r>
      <w:r w:rsidR="002717F9" w:rsidRPr="002717F9">
        <w:rPr>
          <w:rFonts w:asciiTheme="majorBidi" w:hAnsiTheme="majorBidi" w:cstheme="majorBidi"/>
          <w:color w:val="000000" w:themeColor="text1"/>
        </w:rPr>
        <w:t xml:space="preserve"> ši</w:t>
      </w:r>
      <w:r w:rsidR="00BE3BEF">
        <w:rPr>
          <w:rFonts w:asciiTheme="majorBidi" w:hAnsiTheme="majorBidi" w:cstheme="majorBidi"/>
          <w:color w:val="000000" w:themeColor="text1"/>
        </w:rPr>
        <w:t>e</w:t>
      </w:r>
      <w:r w:rsidR="002717F9" w:rsidRPr="002717F9">
        <w:rPr>
          <w:rFonts w:asciiTheme="majorBidi" w:hAnsiTheme="majorBidi" w:cstheme="majorBidi"/>
          <w:color w:val="000000" w:themeColor="text1"/>
        </w:rPr>
        <w:t xml:space="preserve"> dokument</w:t>
      </w:r>
      <w:r w:rsidR="00BE3BEF">
        <w:rPr>
          <w:rFonts w:asciiTheme="majorBidi" w:hAnsiTheme="majorBidi" w:cstheme="majorBidi"/>
          <w:color w:val="000000" w:themeColor="text1"/>
        </w:rPr>
        <w:t>i</w:t>
      </w:r>
      <w:r w:rsidR="002717F9" w:rsidRPr="002717F9">
        <w:rPr>
          <w:rFonts w:asciiTheme="majorBidi" w:hAnsiTheme="majorBidi" w:cstheme="majorBidi"/>
          <w:color w:val="000000" w:themeColor="text1"/>
        </w:rPr>
        <w:t xml:space="preserve"> nav izmantojam</w:t>
      </w:r>
      <w:r w:rsidR="00BE3BEF">
        <w:rPr>
          <w:rFonts w:asciiTheme="majorBidi" w:hAnsiTheme="majorBidi" w:cstheme="majorBidi"/>
          <w:color w:val="000000" w:themeColor="text1"/>
        </w:rPr>
        <w:t>i</w:t>
      </w:r>
      <w:r w:rsidR="002717F9" w:rsidRPr="002717F9">
        <w:rPr>
          <w:rFonts w:asciiTheme="majorBidi" w:hAnsiTheme="majorBidi" w:cstheme="majorBidi"/>
          <w:color w:val="000000" w:themeColor="text1"/>
        </w:rPr>
        <w:t xml:space="preserve"> tirgus cenas noteikšanā.</w:t>
      </w:r>
    </w:p>
    <w:p w14:paraId="3D14FAFE" w14:textId="2B74007F" w:rsidR="002E0EC6" w:rsidRPr="002717F9" w:rsidRDefault="002E0EC6" w:rsidP="00EE7E71">
      <w:pPr>
        <w:suppressAutoHyphens w:val="0"/>
        <w:spacing w:line="276" w:lineRule="auto"/>
        <w:ind w:firstLine="720"/>
        <w:jc w:val="both"/>
        <w:rPr>
          <w:rFonts w:asciiTheme="majorBidi" w:hAnsiTheme="majorBidi" w:cstheme="majorBidi"/>
          <w:color w:val="000000" w:themeColor="text1"/>
        </w:rPr>
      </w:pPr>
      <w:r w:rsidRPr="002717F9">
        <w:rPr>
          <w:rFonts w:asciiTheme="majorBidi" w:hAnsiTheme="majorBidi" w:cstheme="majorBidi"/>
          <w:color w:val="000000" w:themeColor="text1"/>
        </w:rPr>
        <w:t>Turklāt tiesa nav pamatojusi, kāpēc nekvalitatīvai degvielai, kuras realizācija Latvijā ir aizliegta, piemēro</w:t>
      </w:r>
      <w:r w:rsidR="00842235">
        <w:rPr>
          <w:rFonts w:asciiTheme="majorBidi" w:hAnsiTheme="majorBidi" w:cstheme="majorBidi"/>
          <w:color w:val="000000" w:themeColor="text1"/>
        </w:rPr>
        <w:t>jama</w:t>
      </w:r>
      <w:r w:rsidRPr="002717F9">
        <w:rPr>
          <w:rFonts w:asciiTheme="majorBidi" w:hAnsiTheme="majorBidi" w:cstheme="majorBidi"/>
          <w:color w:val="000000" w:themeColor="text1"/>
        </w:rPr>
        <w:t xml:space="preserve"> </w:t>
      </w:r>
      <w:r w:rsidR="002717F9" w:rsidRPr="002717F9">
        <w:rPr>
          <w:rFonts w:asciiTheme="majorBidi" w:hAnsiTheme="majorBidi" w:cstheme="majorBidi"/>
          <w:color w:val="000000" w:themeColor="text1"/>
        </w:rPr>
        <w:t>likuma „Par akcīzes nodokli” 14. pantā paredzēt</w:t>
      </w:r>
      <w:r w:rsidR="002717F9">
        <w:rPr>
          <w:rFonts w:asciiTheme="majorBidi" w:hAnsiTheme="majorBidi" w:cstheme="majorBidi"/>
          <w:color w:val="000000" w:themeColor="text1"/>
        </w:rPr>
        <w:t xml:space="preserve">ā </w:t>
      </w:r>
      <w:r w:rsidRPr="002717F9">
        <w:rPr>
          <w:rFonts w:asciiTheme="majorBidi" w:hAnsiTheme="majorBidi" w:cstheme="majorBidi"/>
          <w:color w:val="000000" w:themeColor="text1"/>
        </w:rPr>
        <w:t>augstākā akcīzes nodokļa likm</w:t>
      </w:r>
      <w:r w:rsidR="002717F9">
        <w:rPr>
          <w:rFonts w:asciiTheme="majorBidi" w:hAnsiTheme="majorBidi" w:cstheme="majorBidi"/>
          <w:color w:val="000000" w:themeColor="text1"/>
        </w:rPr>
        <w:t>e.</w:t>
      </w:r>
    </w:p>
    <w:bookmarkEnd w:id="5"/>
    <w:p w14:paraId="4EE74D24" w14:textId="12E98198" w:rsidR="00375A5B" w:rsidRDefault="002E0EC6" w:rsidP="00EE7E71">
      <w:pPr>
        <w:suppressAutoHyphens w:val="0"/>
        <w:spacing w:line="276" w:lineRule="auto"/>
        <w:ind w:firstLine="720"/>
        <w:jc w:val="both"/>
        <w:rPr>
          <w:rFonts w:asciiTheme="majorBidi" w:hAnsiTheme="majorBidi" w:cstheme="majorBidi"/>
        </w:rPr>
      </w:pPr>
      <w:r>
        <w:rPr>
          <w:rFonts w:asciiTheme="majorBidi" w:hAnsiTheme="majorBidi" w:cstheme="majorBidi"/>
        </w:rPr>
        <w:t>[4.</w:t>
      </w:r>
      <w:r w:rsidR="00104DF8">
        <w:rPr>
          <w:rFonts w:asciiTheme="majorBidi" w:hAnsiTheme="majorBidi" w:cstheme="majorBidi"/>
        </w:rPr>
        <w:t>2</w:t>
      </w:r>
      <w:r>
        <w:rPr>
          <w:rFonts w:asciiTheme="majorBidi" w:hAnsiTheme="majorBidi" w:cstheme="majorBidi"/>
        </w:rPr>
        <w:t>]</w:t>
      </w:r>
      <w:r w:rsidR="00A91DB5">
        <w:rPr>
          <w:rFonts w:asciiTheme="majorBidi" w:hAnsiTheme="majorBidi" w:cstheme="majorBidi"/>
        </w:rPr>
        <w:t> </w:t>
      </w:r>
      <w:r>
        <w:rPr>
          <w:rFonts w:asciiTheme="majorBidi" w:hAnsiTheme="majorBidi" w:cstheme="majorBidi"/>
        </w:rPr>
        <w:t xml:space="preserve">Atzīstot par pamatotu </w:t>
      </w:r>
      <w:r w:rsidR="002717F9">
        <w:rPr>
          <w:rFonts w:asciiTheme="majorBidi" w:hAnsiTheme="majorBidi" w:cstheme="majorBidi"/>
        </w:rPr>
        <w:t xml:space="preserve">VID </w:t>
      </w:r>
      <w:r w:rsidR="00C00D34">
        <w:rPr>
          <w:rFonts w:asciiTheme="majorBidi" w:hAnsiTheme="majorBidi" w:cstheme="majorBidi"/>
        </w:rPr>
        <w:t>pieteikto mantiskā zaudējuma</w:t>
      </w:r>
      <w:r w:rsidR="00746045">
        <w:rPr>
          <w:rFonts w:asciiTheme="majorBidi" w:hAnsiTheme="majorBidi" w:cstheme="majorBidi"/>
        </w:rPr>
        <w:t xml:space="preserve"> </w:t>
      </w:r>
      <w:r>
        <w:rPr>
          <w:rFonts w:asciiTheme="majorBidi" w:hAnsiTheme="majorBidi" w:cstheme="majorBidi"/>
        </w:rPr>
        <w:t>kompensāciju</w:t>
      </w:r>
      <w:r w:rsidR="000E7466">
        <w:rPr>
          <w:rFonts w:asciiTheme="majorBidi" w:hAnsiTheme="majorBidi" w:cstheme="majorBidi"/>
        </w:rPr>
        <w:t xml:space="preserve"> </w:t>
      </w:r>
      <w:r w:rsidR="00DD5369" w:rsidRPr="005C0B68">
        <w:t>3</w:t>
      </w:r>
      <w:r w:rsidR="00DD5369">
        <w:t> </w:t>
      </w:r>
      <w:r w:rsidR="00DD5369" w:rsidRPr="005C0B68">
        <w:t>962,11</w:t>
      </w:r>
      <w:r w:rsidR="00DD5369">
        <w:t> </w:t>
      </w:r>
      <w:r w:rsidR="000E7466" w:rsidRPr="007044E4">
        <w:rPr>
          <w:rFonts w:asciiTheme="majorBidi" w:hAnsiTheme="majorBidi" w:cstheme="majorBidi"/>
          <w:i/>
          <w:iCs/>
        </w:rPr>
        <w:t>euro</w:t>
      </w:r>
      <w:r w:rsidR="00AE1C39">
        <w:rPr>
          <w:rFonts w:asciiTheme="majorBidi" w:hAnsiTheme="majorBidi" w:cstheme="majorBidi"/>
          <w:i/>
          <w:iCs/>
        </w:rPr>
        <w:t xml:space="preserve"> </w:t>
      </w:r>
      <w:r w:rsidR="00AE1C39">
        <w:rPr>
          <w:rFonts w:asciiTheme="majorBidi" w:hAnsiTheme="majorBidi" w:cstheme="majorBidi"/>
        </w:rPr>
        <w:t>par nelikumīgu naftas produktu uzglabāšanu</w:t>
      </w:r>
      <w:r>
        <w:rPr>
          <w:rFonts w:asciiTheme="majorBidi" w:hAnsiTheme="majorBidi" w:cstheme="majorBidi"/>
        </w:rPr>
        <w:t xml:space="preserve">, tiesa nav </w:t>
      </w:r>
      <w:r w:rsidR="00DF7A09">
        <w:rPr>
          <w:rFonts w:asciiTheme="majorBidi" w:hAnsiTheme="majorBidi" w:cstheme="majorBidi"/>
        </w:rPr>
        <w:t>ņēmusi vērā</w:t>
      </w:r>
      <w:r>
        <w:rPr>
          <w:rFonts w:asciiTheme="majorBidi" w:hAnsiTheme="majorBidi" w:cstheme="majorBidi"/>
        </w:rPr>
        <w:t xml:space="preserve"> l</w:t>
      </w:r>
      <w:r w:rsidRPr="00DB616C">
        <w:rPr>
          <w:rFonts w:asciiTheme="majorBidi" w:hAnsiTheme="majorBidi" w:cstheme="majorBidi"/>
        </w:rPr>
        <w:t xml:space="preserve">ikuma </w:t>
      </w:r>
      <w:r>
        <w:rPr>
          <w:rFonts w:asciiTheme="majorBidi" w:hAnsiTheme="majorBidi" w:cstheme="majorBidi"/>
        </w:rPr>
        <w:t>„P</w:t>
      </w:r>
      <w:r w:rsidRPr="00DB616C">
        <w:rPr>
          <w:rFonts w:asciiTheme="majorBidi" w:hAnsiTheme="majorBidi" w:cstheme="majorBidi"/>
        </w:rPr>
        <w:t>ar akcīzes nodokli</w:t>
      </w:r>
      <w:r>
        <w:rPr>
          <w:rFonts w:asciiTheme="majorBidi" w:hAnsiTheme="majorBidi" w:cstheme="majorBidi"/>
        </w:rPr>
        <w:t>”</w:t>
      </w:r>
      <w:r w:rsidRPr="00DB616C">
        <w:rPr>
          <w:rFonts w:asciiTheme="majorBidi" w:hAnsiTheme="majorBidi" w:cstheme="majorBidi"/>
        </w:rPr>
        <w:t xml:space="preserve"> 22.</w:t>
      </w:r>
      <w:r w:rsidR="000734BE">
        <w:rPr>
          <w:rFonts w:asciiTheme="majorBidi" w:hAnsiTheme="majorBidi" w:cstheme="majorBidi"/>
        </w:rPr>
        <w:t> </w:t>
      </w:r>
      <w:r w:rsidRPr="00DB616C">
        <w:rPr>
          <w:rFonts w:asciiTheme="majorBidi" w:hAnsiTheme="majorBidi" w:cstheme="majorBidi"/>
        </w:rPr>
        <w:t>p</w:t>
      </w:r>
      <w:r>
        <w:rPr>
          <w:rFonts w:asciiTheme="majorBidi" w:hAnsiTheme="majorBidi" w:cstheme="majorBidi"/>
        </w:rPr>
        <w:t>anta</w:t>
      </w:r>
      <w:r w:rsidRPr="00DB616C">
        <w:rPr>
          <w:rFonts w:asciiTheme="majorBidi" w:hAnsiTheme="majorBidi" w:cstheme="majorBidi"/>
        </w:rPr>
        <w:t xml:space="preserve"> </w:t>
      </w:r>
      <w:r>
        <w:rPr>
          <w:rFonts w:asciiTheme="majorBidi" w:hAnsiTheme="majorBidi" w:cstheme="majorBidi"/>
        </w:rPr>
        <w:t>piektajā daļā</w:t>
      </w:r>
      <w:r w:rsidRPr="00DB616C">
        <w:rPr>
          <w:rFonts w:asciiTheme="majorBidi" w:hAnsiTheme="majorBidi" w:cstheme="majorBidi"/>
        </w:rPr>
        <w:t xml:space="preserve"> noteikt</w:t>
      </w:r>
      <w:r w:rsidR="00DF7A09">
        <w:rPr>
          <w:rFonts w:asciiTheme="majorBidi" w:hAnsiTheme="majorBidi" w:cstheme="majorBidi"/>
        </w:rPr>
        <w:t>o</w:t>
      </w:r>
      <w:r>
        <w:rPr>
          <w:rFonts w:asciiTheme="majorBidi" w:hAnsiTheme="majorBidi" w:cstheme="majorBidi"/>
        </w:rPr>
        <w:t>, ka, a</w:t>
      </w:r>
      <w:r w:rsidRPr="00DB616C">
        <w:rPr>
          <w:rFonts w:asciiTheme="majorBidi" w:hAnsiTheme="majorBidi" w:cstheme="majorBidi"/>
        </w:rPr>
        <w:t>prēķinot nodokli</w:t>
      </w:r>
      <w:r w:rsidR="00F77060">
        <w:rPr>
          <w:rFonts w:asciiTheme="majorBidi" w:hAnsiTheme="majorBidi" w:cstheme="majorBidi"/>
        </w:rPr>
        <w:t>,</w:t>
      </w:r>
      <w:r>
        <w:rPr>
          <w:rFonts w:asciiTheme="majorBidi" w:hAnsiTheme="majorBidi" w:cstheme="majorBidi"/>
        </w:rPr>
        <w:t xml:space="preserve"> [..]</w:t>
      </w:r>
      <w:r w:rsidRPr="00DB616C">
        <w:rPr>
          <w:rFonts w:asciiTheme="majorBidi" w:hAnsiTheme="majorBidi" w:cstheme="majorBidi"/>
        </w:rPr>
        <w:t xml:space="preserve"> naftas produktu daudzums litros nosakāms atbilstoši to daudzumam </w:t>
      </w:r>
      <w:r>
        <w:rPr>
          <w:rFonts w:asciiTheme="majorBidi" w:hAnsiTheme="majorBidi" w:cstheme="majorBidi"/>
        </w:rPr>
        <w:t xml:space="preserve">pie </w:t>
      </w:r>
      <w:r w:rsidRPr="00DB616C">
        <w:rPr>
          <w:rFonts w:asciiTheme="majorBidi" w:hAnsiTheme="majorBidi" w:cstheme="majorBidi"/>
        </w:rPr>
        <w:t>15°C</w:t>
      </w:r>
      <w:r>
        <w:rPr>
          <w:rFonts w:asciiTheme="majorBidi" w:hAnsiTheme="majorBidi" w:cstheme="majorBidi"/>
        </w:rPr>
        <w:t xml:space="preserve"> temperatūras.</w:t>
      </w:r>
      <w:r w:rsidR="00BE3BEF">
        <w:rPr>
          <w:rFonts w:asciiTheme="majorBidi" w:hAnsiTheme="majorBidi" w:cstheme="majorBidi"/>
        </w:rPr>
        <w:t xml:space="preserve"> </w:t>
      </w:r>
      <w:r w:rsidRPr="00DB616C">
        <w:rPr>
          <w:rFonts w:asciiTheme="majorBidi" w:hAnsiTheme="majorBidi" w:cstheme="majorBidi"/>
        </w:rPr>
        <w:t>Liet</w:t>
      </w:r>
      <w:r w:rsidR="00ED0FF5">
        <w:rPr>
          <w:rFonts w:asciiTheme="majorBidi" w:hAnsiTheme="majorBidi" w:cstheme="majorBidi"/>
        </w:rPr>
        <w:t>ā</w:t>
      </w:r>
      <w:r w:rsidRPr="00DB616C">
        <w:rPr>
          <w:rFonts w:asciiTheme="majorBidi" w:hAnsiTheme="majorBidi" w:cstheme="majorBidi"/>
        </w:rPr>
        <w:t xml:space="preserve"> nav izņemtā šķidruma temperatūras mērījumu</w:t>
      </w:r>
      <w:r>
        <w:rPr>
          <w:rFonts w:asciiTheme="majorBidi" w:hAnsiTheme="majorBidi" w:cstheme="majorBidi"/>
        </w:rPr>
        <w:t>, tādē</w:t>
      </w:r>
      <w:r w:rsidR="00ED0FF5">
        <w:rPr>
          <w:rFonts w:asciiTheme="majorBidi" w:hAnsiTheme="majorBidi" w:cstheme="majorBidi"/>
        </w:rPr>
        <w:t>ļ</w:t>
      </w:r>
      <w:r>
        <w:rPr>
          <w:rFonts w:asciiTheme="majorBidi" w:hAnsiTheme="majorBidi" w:cstheme="majorBidi"/>
        </w:rPr>
        <w:t xml:space="preserve"> nav iespējams</w:t>
      </w:r>
      <w:r w:rsidRPr="00DB616C">
        <w:rPr>
          <w:rFonts w:asciiTheme="majorBidi" w:hAnsiTheme="majorBidi" w:cstheme="majorBidi"/>
        </w:rPr>
        <w:t xml:space="preserve"> aprēķināt akcīzes nodokli normatīv</w:t>
      </w:r>
      <w:r>
        <w:rPr>
          <w:rFonts w:asciiTheme="majorBidi" w:hAnsiTheme="majorBidi" w:cstheme="majorBidi"/>
        </w:rPr>
        <w:t>aj</w:t>
      </w:r>
      <w:r w:rsidRPr="00DB616C">
        <w:rPr>
          <w:rFonts w:asciiTheme="majorBidi" w:hAnsiTheme="majorBidi" w:cstheme="majorBidi"/>
        </w:rPr>
        <w:t xml:space="preserve">os aktos </w:t>
      </w:r>
      <w:r w:rsidRPr="00535E11">
        <w:rPr>
          <w:rFonts w:asciiTheme="majorBidi" w:hAnsiTheme="majorBidi" w:cstheme="majorBidi"/>
        </w:rPr>
        <w:t>noteiktajā kārtībā.</w:t>
      </w:r>
    </w:p>
    <w:p w14:paraId="6F5FC886" w14:textId="17F942BA" w:rsidR="002E0EC6" w:rsidRDefault="002E0EC6" w:rsidP="00EE7E71">
      <w:pPr>
        <w:suppressAutoHyphens w:val="0"/>
        <w:spacing w:line="276" w:lineRule="auto"/>
        <w:ind w:firstLine="720"/>
        <w:jc w:val="both"/>
        <w:rPr>
          <w:rFonts w:asciiTheme="majorBidi" w:hAnsiTheme="majorBidi" w:cstheme="majorBidi"/>
          <w:strike/>
        </w:rPr>
      </w:pPr>
      <w:bookmarkStart w:id="6" w:name="_Hlk216695860"/>
      <w:bookmarkStart w:id="7" w:name="_Hlk210236740"/>
      <w:bookmarkEnd w:id="4"/>
      <w:r>
        <w:rPr>
          <w:rFonts w:asciiTheme="majorBidi" w:hAnsiTheme="majorBidi" w:cstheme="majorBidi"/>
        </w:rPr>
        <w:t>[4.</w:t>
      </w:r>
      <w:r w:rsidR="00C00D34">
        <w:rPr>
          <w:rFonts w:asciiTheme="majorBidi" w:hAnsiTheme="majorBidi" w:cstheme="majorBidi"/>
        </w:rPr>
        <w:t>3</w:t>
      </w:r>
      <w:r>
        <w:rPr>
          <w:rFonts w:asciiTheme="majorBidi" w:hAnsiTheme="majorBidi" w:cstheme="majorBidi"/>
        </w:rPr>
        <w:t>]</w:t>
      </w:r>
      <w:r w:rsidR="00A91DB5">
        <w:rPr>
          <w:rFonts w:asciiTheme="majorBidi" w:hAnsiTheme="majorBidi" w:cstheme="majorBidi"/>
        </w:rPr>
        <w:t> </w:t>
      </w:r>
      <w:r w:rsidR="00F77060">
        <w:rPr>
          <w:rFonts w:asciiTheme="majorBidi" w:hAnsiTheme="majorBidi" w:cstheme="majorBidi"/>
        </w:rPr>
        <w:t>T</w:t>
      </w:r>
      <w:r>
        <w:rPr>
          <w:rFonts w:asciiTheme="majorBidi" w:hAnsiTheme="majorBidi" w:cstheme="majorBidi"/>
        </w:rPr>
        <w:t>iesa</w:t>
      </w:r>
      <w:r w:rsidR="00BC2F3A">
        <w:rPr>
          <w:rFonts w:asciiTheme="majorBidi" w:hAnsiTheme="majorBidi" w:cstheme="majorBidi"/>
        </w:rPr>
        <w:t xml:space="preserve"> </w:t>
      </w:r>
      <w:r>
        <w:rPr>
          <w:rFonts w:asciiTheme="majorBidi" w:hAnsiTheme="majorBidi" w:cstheme="majorBidi"/>
        </w:rPr>
        <w:t>apsūdzētā darbībās kļūdaini konstatējusi Krimināllikuma 177. panta trešajā daļā paredzētā noziedzīgā nodarījuma objektīvo un subjektīvo pusi.</w:t>
      </w:r>
    </w:p>
    <w:p w14:paraId="489CA641" w14:textId="7A844EB7" w:rsidR="002E0EC6" w:rsidRDefault="002E0EC6" w:rsidP="00EE7E71">
      <w:pPr>
        <w:suppressAutoHyphens w:val="0"/>
        <w:spacing w:line="276" w:lineRule="auto"/>
        <w:ind w:firstLine="720"/>
        <w:jc w:val="both"/>
        <w:rPr>
          <w:rFonts w:asciiTheme="majorBidi" w:hAnsiTheme="majorBidi" w:cstheme="majorBidi"/>
        </w:rPr>
      </w:pPr>
      <w:r>
        <w:rPr>
          <w:rFonts w:asciiTheme="majorBidi" w:hAnsiTheme="majorBidi" w:cstheme="majorBidi"/>
        </w:rPr>
        <w:t>[4.</w:t>
      </w:r>
      <w:r w:rsidR="00C00D34">
        <w:rPr>
          <w:rFonts w:asciiTheme="majorBidi" w:hAnsiTheme="majorBidi" w:cstheme="majorBidi"/>
        </w:rPr>
        <w:t>3</w:t>
      </w:r>
      <w:r>
        <w:rPr>
          <w:rFonts w:asciiTheme="majorBidi" w:hAnsiTheme="majorBidi" w:cstheme="majorBidi"/>
        </w:rPr>
        <w:t>.1]</w:t>
      </w:r>
      <w:r w:rsidR="00DF7A09">
        <w:rPr>
          <w:rFonts w:asciiTheme="majorBidi" w:hAnsiTheme="majorBidi" w:cstheme="majorBidi"/>
        </w:rPr>
        <w:t> </w:t>
      </w:r>
      <w:r w:rsidR="00CC101F">
        <w:rPr>
          <w:rFonts w:asciiTheme="majorBidi" w:hAnsiTheme="majorBidi" w:cstheme="majorBidi"/>
        </w:rPr>
        <w:t xml:space="preserve">Apstrīdot krāpšanas objektīvās puses </w:t>
      </w:r>
      <w:r w:rsidR="00C00D34">
        <w:rPr>
          <w:rFonts w:asciiTheme="majorBidi" w:hAnsiTheme="majorBidi" w:cstheme="majorBidi"/>
        </w:rPr>
        <w:t>esību</w:t>
      </w:r>
      <w:r w:rsidR="00CC101F">
        <w:rPr>
          <w:rFonts w:asciiTheme="majorBidi" w:hAnsiTheme="majorBidi" w:cstheme="majorBidi"/>
        </w:rPr>
        <w:t>, apsūdzētais norādījis, ka l</w:t>
      </w:r>
      <w:r w:rsidRPr="00691E6F">
        <w:rPr>
          <w:rFonts w:asciiTheme="majorBidi" w:hAnsiTheme="majorBidi" w:cstheme="majorBidi"/>
        </w:rPr>
        <w:t xml:space="preserve">ietā nav strīda, ka </w:t>
      </w:r>
      <w:r w:rsidR="00A04B8C" w:rsidRPr="000F742E">
        <w:rPr>
          <w:rFonts w:asciiTheme="majorBidi" w:hAnsiTheme="majorBidi" w:cstheme="majorBidi"/>
        </w:rPr>
        <w:t>AS</w:t>
      </w:r>
      <w:r w:rsidR="00DF7A09">
        <w:rPr>
          <w:rFonts w:asciiTheme="majorBidi" w:hAnsiTheme="majorBidi" w:cstheme="majorBidi"/>
        </w:rPr>
        <w:t> </w:t>
      </w:r>
      <w:r w:rsidR="00A04B8C">
        <w:rPr>
          <w:rFonts w:asciiTheme="majorBidi" w:hAnsiTheme="majorBidi" w:cstheme="majorBidi"/>
        </w:rPr>
        <w:t>„</w:t>
      </w:r>
      <w:r w:rsidR="0088482E">
        <w:rPr>
          <w:rFonts w:asciiTheme="majorBidi" w:hAnsiTheme="majorBidi" w:cstheme="majorBidi"/>
        </w:rPr>
        <w:t>[Nosaukums A]</w:t>
      </w:r>
      <w:r w:rsidR="00A04B8C">
        <w:rPr>
          <w:rFonts w:asciiTheme="majorBidi" w:hAnsiTheme="majorBidi" w:cstheme="majorBidi"/>
        </w:rPr>
        <w:t>”</w:t>
      </w:r>
      <w:r w:rsidR="00A04B8C" w:rsidRPr="000F742E">
        <w:rPr>
          <w:rFonts w:asciiTheme="majorBidi" w:hAnsiTheme="majorBidi" w:cstheme="majorBidi"/>
        </w:rPr>
        <w:t xml:space="preserve"> </w:t>
      </w:r>
      <w:r w:rsidR="00A04B8C">
        <w:rPr>
          <w:rFonts w:asciiTheme="majorBidi" w:hAnsiTheme="majorBidi" w:cstheme="majorBidi"/>
        </w:rPr>
        <w:t>PVN deklarācijās</w:t>
      </w:r>
      <w:r w:rsidR="00AE1C39">
        <w:rPr>
          <w:rFonts w:asciiTheme="majorBidi" w:hAnsiTheme="majorBidi" w:cstheme="majorBidi"/>
        </w:rPr>
        <w:t xml:space="preserve"> </w:t>
      </w:r>
      <w:r w:rsidR="002717F9">
        <w:rPr>
          <w:rFonts w:asciiTheme="majorBidi" w:hAnsiTheme="majorBidi" w:cstheme="majorBidi"/>
        </w:rPr>
        <w:t xml:space="preserve">tika </w:t>
      </w:r>
      <w:r w:rsidR="00AE1C39">
        <w:rPr>
          <w:rFonts w:asciiTheme="majorBidi" w:hAnsiTheme="majorBidi" w:cstheme="majorBidi"/>
        </w:rPr>
        <w:t>iekļauti rēķini par reāli notikušiem darījumiem</w:t>
      </w:r>
      <w:r w:rsidR="00A04B8C">
        <w:rPr>
          <w:rFonts w:asciiTheme="majorBidi" w:hAnsiTheme="majorBidi" w:cstheme="majorBidi"/>
        </w:rPr>
        <w:t>, taču t</w:t>
      </w:r>
      <w:r w:rsidRPr="00691E6F">
        <w:rPr>
          <w:rFonts w:asciiTheme="majorBidi" w:hAnsiTheme="majorBidi" w:cstheme="majorBidi"/>
        </w:rPr>
        <w:t xml:space="preserve">iesa </w:t>
      </w:r>
      <w:r w:rsidR="00A04B8C">
        <w:rPr>
          <w:rFonts w:asciiTheme="majorBidi" w:hAnsiTheme="majorBidi" w:cstheme="majorBidi"/>
        </w:rPr>
        <w:t>šo faktu atstājusi bez ievērības.</w:t>
      </w:r>
    </w:p>
    <w:p w14:paraId="7047A730" w14:textId="155213DC" w:rsidR="007933EE" w:rsidRDefault="007933EE" w:rsidP="00EE7E71">
      <w:pPr>
        <w:suppressAutoHyphens w:val="0"/>
        <w:spacing w:line="276" w:lineRule="auto"/>
        <w:ind w:firstLine="720"/>
        <w:jc w:val="both"/>
        <w:rPr>
          <w:rFonts w:asciiTheme="majorBidi" w:hAnsiTheme="majorBidi" w:cstheme="majorBidi"/>
        </w:rPr>
      </w:pPr>
      <w:r>
        <w:rPr>
          <w:rFonts w:asciiTheme="majorBidi" w:hAnsiTheme="majorBidi" w:cstheme="majorBidi"/>
        </w:rPr>
        <w:t>T</w:t>
      </w:r>
      <w:r w:rsidRPr="000D5DD9">
        <w:rPr>
          <w:rFonts w:asciiTheme="majorBidi" w:hAnsiTheme="majorBidi" w:cstheme="majorBidi"/>
        </w:rPr>
        <w:t xml:space="preserve">iesa nav </w:t>
      </w:r>
      <w:r>
        <w:rPr>
          <w:rFonts w:asciiTheme="majorBidi" w:hAnsiTheme="majorBidi" w:cstheme="majorBidi"/>
        </w:rPr>
        <w:t>izvērtējusi</w:t>
      </w:r>
      <w:r w:rsidRPr="000D5DD9">
        <w:rPr>
          <w:rFonts w:asciiTheme="majorBidi" w:hAnsiTheme="majorBidi" w:cstheme="majorBidi"/>
        </w:rPr>
        <w:t xml:space="preserve"> </w:t>
      </w:r>
      <w:r>
        <w:rPr>
          <w:rFonts w:asciiTheme="majorBidi" w:hAnsiTheme="majorBidi" w:cstheme="majorBidi"/>
        </w:rPr>
        <w:t xml:space="preserve">VID </w:t>
      </w:r>
      <w:r w:rsidRPr="000D5DD9">
        <w:rPr>
          <w:rFonts w:asciiTheme="majorBidi" w:hAnsiTheme="majorBidi" w:cstheme="majorBidi"/>
        </w:rPr>
        <w:t xml:space="preserve">auditora </w:t>
      </w:r>
      <w:r w:rsidR="00BF29E4">
        <w:rPr>
          <w:rFonts w:asciiTheme="majorBidi" w:hAnsiTheme="majorBidi" w:cstheme="majorBidi"/>
        </w:rPr>
        <w:t>[pers. I]</w:t>
      </w:r>
      <w:r w:rsidRPr="000D5DD9">
        <w:rPr>
          <w:rFonts w:asciiTheme="majorBidi" w:hAnsiTheme="majorBidi" w:cstheme="majorBidi"/>
        </w:rPr>
        <w:t xml:space="preserve"> </w:t>
      </w:r>
      <w:r>
        <w:rPr>
          <w:rFonts w:asciiTheme="majorBidi" w:hAnsiTheme="majorBidi" w:cstheme="majorBidi"/>
        </w:rPr>
        <w:t>liecināto, ka viņš apstrīdējis darījumus, tos nepārbaudot</w:t>
      </w:r>
      <w:r w:rsidRPr="000D5DD9">
        <w:rPr>
          <w:rFonts w:asciiTheme="majorBidi" w:hAnsiTheme="majorBidi" w:cstheme="majorBidi"/>
        </w:rPr>
        <w:t>.</w:t>
      </w:r>
    </w:p>
    <w:p w14:paraId="1CC5DBA9" w14:textId="248C32AA" w:rsidR="00A04B8C" w:rsidRDefault="00CC101F"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Turklāt pretēji tiesas konstatētajam, ka </w:t>
      </w:r>
      <w:r w:rsidR="00A04B8C" w:rsidRPr="000F742E">
        <w:rPr>
          <w:rFonts w:asciiTheme="majorBidi" w:hAnsiTheme="majorBidi" w:cstheme="majorBidi"/>
        </w:rPr>
        <w:t>AS</w:t>
      </w:r>
      <w:r w:rsidR="00DF7A09">
        <w:rPr>
          <w:rFonts w:asciiTheme="majorBidi" w:hAnsiTheme="majorBidi" w:cstheme="majorBidi"/>
        </w:rPr>
        <w:t> </w:t>
      </w:r>
      <w:r w:rsidR="00A04B8C">
        <w:rPr>
          <w:rFonts w:asciiTheme="majorBidi" w:hAnsiTheme="majorBidi" w:cstheme="majorBidi"/>
        </w:rPr>
        <w:t>„</w:t>
      </w:r>
      <w:r w:rsidR="0088482E">
        <w:rPr>
          <w:rFonts w:asciiTheme="majorBidi" w:hAnsiTheme="majorBidi" w:cstheme="majorBidi"/>
        </w:rPr>
        <w:t>[Nosaukums A]</w:t>
      </w:r>
      <w:r>
        <w:rPr>
          <w:rFonts w:asciiTheme="majorBidi" w:hAnsiTheme="majorBidi" w:cstheme="majorBidi"/>
        </w:rPr>
        <w:t>”</w:t>
      </w:r>
      <w:r w:rsidR="00A04B8C" w:rsidRPr="000F742E">
        <w:rPr>
          <w:rFonts w:asciiTheme="majorBidi" w:hAnsiTheme="majorBidi" w:cstheme="majorBidi"/>
        </w:rPr>
        <w:t xml:space="preserve"> </w:t>
      </w:r>
      <w:r w:rsidRPr="000F742E">
        <w:rPr>
          <w:rFonts w:asciiTheme="majorBidi" w:hAnsiTheme="majorBidi" w:cstheme="majorBidi"/>
        </w:rPr>
        <w:t>ieguva svešu mantu</w:t>
      </w:r>
      <w:r>
        <w:rPr>
          <w:rFonts w:asciiTheme="majorBidi" w:hAnsiTheme="majorBidi" w:cstheme="majorBidi"/>
        </w:rPr>
        <w:t> </w:t>
      </w:r>
      <w:r w:rsidRPr="000F742E">
        <w:rPr>
          <w:rFonts w:asciiTheme="majorBidi" w:hAnsiTheme="majorBidi" w:cstheme="majorBidi"/>
        </w:rPr>
        <w:t>– valst</w:t>
      </w:r>
      <w:r>
        <w:rPr>
          <w:rFonts w:asciiTheme="majorBidi" w:hAnsiTheme="majorBidi" w:cstheme="majorBidi"/>
        </w:rPr>
        <w:t>ij piederošus naudas</w:t>
      </w:r>
      <w:r w:rsidRPr="000F742E">
        <w:rPr>
          <w:rFonts w:asciiTheme="majorBidi" w:hAnsiTheme="majorBidi" w:cstheme="majorBidi"/>
        </w:rPr>
        <w:t xml:space="preserve"> līdzekļus</w:t>
      </w:r>
      <w:r w:rsidR="0073389F">
        <w:rPr>
          <w:rFonts w:asciiTheme="majorBidi" w:hAnsiTheme="majorBidi" w:cstheme="majorBidi"/>
        </w:rPr>
        <w:t xml:space="preserve"> –</w:t>
      </w:r>
      <w:r>
        <w:rPr>
          <w:rFonts w:asciiTheme="majorBidi" w:hAnsiTheme="majorBidi" w:cstheme="majorBidi"/>
        </w:rPr>
        <w:t xml:space="preserve">, faktiski uzņēmums no </w:t>
      </w:r>
      <w:r w:rsidR="003966A6">
        <w:rPr>
          <w:rFonts w:asciiTheme="majorBidi" w:hAnsiTheme="majorBidi" w:cstheme="majorBidi"/>
        </w:rPr>
        <w:t xml:space="preserve">valsts </w:t>
      </w:r>
      <w:r w:rsidR="00A04B8C" w:rsidRPr="000F742E">
        <w:rPr>
          <w:rFonts w:asciiTheme="majorBidi" w:hAnsiTheme="majorBidi" w:cstheme="majorBidi"/>
        </w:rPr>
        <w:t>budžeta saņēma</w:t>
      </w:r>
      <w:r w:rsidR="00A04B8C">
        <w:rPr>
          <w:rFonts w:asciiTheme="majorBidi" w:hAnsiTheme="majorBidi" w:cstheme="majorBidi"/>
        </w:rPr>
        <w:t xml:space="preserve"> </w:t>
      </w:r>
      <w:r w:rsidR="00FA5A51">
        <w:rPr>
          <w:rFonts w:asciiTheme="majorBidi" w:hAnsiTheme="majorBidi" w:cstheme="majorBidi"/>
        </w:rPr>
        <w:t>tam</w:t>
      </w:r>
      <w:r w:rsidR="004330DA">
        <w:rPr>
          <w:rFonts w:asciiTheme="majorBidi" w:hAnsiTheme="majorBidi" w:cstheme="majorBidi"/>
        </w:rPr>
        <w:t xml:space="preserve"> pienākošos </w:t>
      </w:r>
      <w:r w:rsidR="00FB075F">
        <w:rPr>
          <w:rFonts w:asciiTheme="majorBidi" w:hAnsiTheme="majorBidi" w:cstheme="majorBidi"/>
        </w:rPr>
        <w:t>priekšnodokļa atmaksu</w:t>
      </w:r>
      <w:r w:rsidR="00A04B8C" w:rsidRPr="000F742E">
        <w:rPr>
          <w:rFonts w:asciiTheme="majorBidi" w:hAnsiTheme="majorBidi" w:cstheme="majorBidi"/>
        </w:rPr>
        <w:t>.</w:t>
      </w:r>
    </w:p>
    <w:p w14:paraId="1F087C54" w14:textId="77777777" w:rsidR="002210F0" w:rsidRDefault="002E0EC6" w:rsidP="00EE7E71">
      <w:pPr>
        <w:suppressAutoHyphens w:val="0"/>
        <w:spacing w:line="276" w:lineRule="auto"/>
        <w:ind w:firstLine="720"/>
        <w:jc w:val="both"/>
        <w:rPr>
          <w:rFonts w:asciiTheme="majorBidi" w:hAnsiTheme="majorBidi" w:cstheme="majorBidi"/>
        </w:rPr>
      </w:pPr>
      <w:r>
        <w:rPr>
          <w:rFonts w:asciiTheme="majorBidi" w:hAnsiTheme="majorBidi" w:cstheme="majorBidi"/>
        </w:rPr>
        <w:t>[4.</w:t>
      </w:r>
      <w:r w:rsidR="00C00D34">
        <w:rPr>
          <w:rFonts w:asciiTheme="majorBidi" w:hAnsiTheme="majorBidi" w:cstheme="majorBidi"/>
        </w:rPr>
        <w:t>3</w:t>
      </w:r>
      <w:r>
        <w:rPr>
          <w:rFonts w:asciiTheme="majorBidi" w:hAnsiTheme="majorBidi" w:cstheme="majorBidi"/>
        </w:rPr>
        <w:t>.</w:t>
      </w:r>
      <w:r w:rsidR="00640251">
        <w:rPr>
          <w:rFonts w:asciiTheme="majorBidi" w:hAnsiTheme="majorBidi" w:cstheme="majorBidi"/>
        </w:rPr>
        <w:t>2</w:t>
      </w:r>
      <w:r>
        <w:rPr>
          <w:rFonts w:asciiTheme="majorBidi" w:hAnsiTheme="majorBidi" w:cstheme="majorBidi"/>
        </w:rPr>
        <w:t>]</w:t>
      </w:r>
      <w:r w:rsidR="00C00D34">
        <w:rPr>
          <w:rFonts w:asciiTheme="majorBidi" w:hAnsiTheme="majorBidi" w:cstheme="majorBidi"/>
        </w:rPr>
        <w:t xml:space="preserve"> Apsūdzētā </w:t>
      </w:r>
      <w:r w:rsidR="003966A6">
        <w:rPr>
          <w:rFonts w:asciiTheme="majorBidi" w:hAnsiTheme="majorBidi" w:cstheme="majorBidi"/>
        </w:rPr>
        <w:t xml:space="preserve">izdarītajā </w:t>
      </w:r>
      <w:r w:rsidR="00C00D34">
        <w:rPr>
          <w:rFonts w:asciiTheme="majorBidi" w:hAnsiTheme="majorBidi" w:cstheme="majorBidi"/>
        </w:rPr>
        <w:t xml:space="preserve">nodarījumā nav </w:t>
      </w:r>
      <w:r w:rsidR="00A0490A">
        <w:rPr>
          <w:rFonts w:asciiTheme="majorBidi" w:hAnsiTheme="majorBidi" w:cstheme="majorBidi"/>
        </w:rPr>
        <w:t xml:space="preserve">arī </w:t>
      </w:r>
      <w:r w:rsidR="00A04B8C">
        <w:rPr>
          <w:rFonts w:asciiTheme="majorBidi" w:hAnsiTheme="majorBidi" w:cstheme="majorBidi"/>
        </w:rPr>
        <w:t xml:space="preserve">krāpšanas </w:t>
      </w:r>
      <w:r>
        <w:rPr>
          <w:rFonts w:asciiTheme="majorBidi" w:hAnsiTheme="majorBidi" w:cstheme="majorBidi"/>
        </w:rPr>
        <w:t>subjektīvās puses</w:t>
      </w:r>
      <w:r w:rsidR="00C60632">
        <w:rPr>
          <w:rFonts w:asciiTheme="majorBidi" w:hAnsiTheme="majorBidi" w:cstheme="majorBidi"/>
        </w:rPr>
        <w:t>.</w:t>
      </w:r>
    </w:p>
    <w:p w14:paraId="0313579F" w14:textId="7C645E58" w:rsidR="000414D3" w:rsidRDefault="00C60632"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Apsūdzētais, lai arī atzinis pārkāpumu un samaksājis VID pieteiktā kaitējuma kompensāciju, pārkāpumu nav pieļāvis apzināti, tādēļ viņam nav bijis tiešs nodoms </w:t>
      </w:r>
      <w:r w:rsidR="00473937">
        <w:rPr>
          <w:rFonts w:asciiTheme="majorBidi" w:hAnsiTheme="majorBidi" w:cstheme="majorBidi"/>
        </w:rPr>
        <w:t>nepareiz</w:t>
      </w:r>
      <w:r>
        <w:rPr>
          <w:rFonts w:asciiTheme="majorBidi" w:hAnsiTheme="majorBidi" w:cstheme="majorBidi"/>
        </w:rPr>
        <w:t xml:space="preserve">i aizpildīt </w:t>
      </w:r>
      <w:r w:rsidR="00473937">
        <w:rPr>
          <w:rFonts w:asciiTheme="majorBidi" w:hAnsiTheme="majorBidi" w:cstheme="majorBidi"/>
        </w:rPr>
        <w:t>deklarācij</w:t>
      </w:r>
      <w:r>
        <w:rPr>
          <w:rFonts w:asciiTheme="majorBidi" w:hAnsiTheme="majorBidi" w:cstheme="majorBidi"/>
        </w:rPr>
        <w:t>as</w:t>
      </w:r>
      <w:r w:rsidR="00473937">
        <w:rPr>
          <w:rFonts w:asciiTheme="majorBidi" w:hAnsiTheme="majorBidi" w:cstheme="majorBidi"/>
        </w:rPr>
        <w:t>.</w:t>
      </w:r>
    </w:p>
    <w:p w14:paraId="73F68031" w14:textId="4D5BC0E9" w:rsidR="002E0EC6" w:rsidRPr="008D3DB2" w:rsidRDefault="002E0EC6" w:rsidP="00EE7E71">
      <w:pPr>
        <w:suppressAutoHyphens w:val="0"/>
        <w:spacing w:line="276" w:lineRule="auto"/>
        <w:ind w:firstLine="720"/>
        <w:jc w:val="both"/>
        <w:rPr>
          <w:rFonts w:asciiTheme="majorBidi" w:hAnsiTheme="majorBidi" w:cstheme="majorBidi"/>
          <w:color w:val="000000" w:themeColor="text1"/>
        </w:rPr>
      </w:pPr>
      <w:r w:rsidRPr="005C7B3D">
        <w:rPr>
          <w:rFonts w:asciiTheme="majorBidi" w:hAnsiTheme="majorBidi" w:cstheme="majorBidi"/>
          <w:color w:val="000000" w:themeColor="text1"/>
        </w:rPr>
        <w:t xml:space="preserve">Tiesa nav </w:t>
      </w:r>
      <w:r w:rsidR="00F66C13" w:rsidRPr="005C7B3D">
        <w:rPr>
          <w:rFonts w:asciiTheme="majorBidi" w:hAnsiTheme="majorBidi" w:cstheme="majorBidi"/>
          <w:color w:val="000000" w:themeColor="text1"/>
        </w:rPr>
        <w:t>ņēmusi vērā</w:t>
      </w:r>
      <w:r w:rsidRPr="005C7B3D">
        <w:rPr>
          <w:rFonts w:asciiTheme="majorBidi" w:hAnsiTheme="majorBidi" w:cstheme="majorBidi"/>
          <w:color w:val="000000" w:themeColor="text1"/>
        </w:rPr>
        <w:t>, ka 2011. un 2012. gadā AS</w:t>
      </w:r>
      <w:r w:rsidR="00312DA8" w:rsidRPr="005C7B3D">
        <w:rPr>
          <w:rFonts w:asciiTheme="majorBidi" w:hAnsiTheme="majorBidi" w:cstheme="majorBidi"/>
          <w:color w:val="000000" w:themeColor="text1"/>
        </w:rPr>
        <w:t> </w:t>
      </w:r>
      <w:r w:rsidRPr="005C7B3D">
        <w:rPr>
          <w:rFonts w:asciiTheme="majorBidi" w:hAnsiTheme="majorBidi" w:cstheme="majorBidi"/>
          <w:color w:val="000000" w:themeColor="text1"/>
        </w:rPr>
        <w:t>„</w:t>
      </w:r>
      <w:r w:rsidR="0088482E">
        <w:rPr>
          <w:rFonts w:asciiTheme="majorBidi" w:hAnsiTheme="majorBidi" w:cstheme="majorBidi"/>
          <w:color w:val="000000" w:themeColor="text1"/>
        </w:rPr>
        <w:t>[Nosaukums A]</w:t>
      </w:r>
      <w:r w:rsidRPr="005C7B3D">
        <w:rPr>
          <w:rFonts w:asciiTheme="majorBidi" w:hAnsiTheme="majorBidi" w:cstheme="majorBidi"/>
          <w:color w:val="000000" w:themeColor="text1"/>
        </w:rPr>
        <w:t xml:space="preserve">” </w:t>
      </w:r>
      <w:r w:rsidR="00F66C13" w:rsidRPr="005C7B3D">
        <w:rPr>
          <w:rFonts w:asciiTheme="majorBidi" w:hAnsiTheme="majorBidi" w:cstheme="majorBidi"/>
          <w:color w:val="000000" w:themeColor="text1"/>
        </w:rPr>
        <w:t>likumīgi optimizēj</w:t>
      </w:r>
      <w:r w:rsidR="005C7B3D" w:rsidRPr="005C7B3D">
        <w:rPr>
          <w:rFonts w:asciiTheme="majorBidi" w:hAnsiTheme="majorBidi" w:cstheme="majorBidi"/>
          <w:color w:val="000000" w:themeColor="text1"/>
        </w:rPr>
        <w:t>a</w:t>
      </w:r>
      <w:r w:rsidR="00F66C13" w:rsidRPr="005C7B3D">
        <w:rPr>
          <w:rFonts w:asciiTheme="majorBidi" w:hAnsiTheme="majorBidi" w:cstheme="majorBidi"/>
          <w:color w:val="000000" w:themeColor="text1"/>
        </w:rPr>
        <w:t xml:space="preserve"> uzņēmējdarbību, </w:t>
      </w:r>
      <w:r w:rsidRPr="005C7B3D">
        <w:rPr>
          <w:rFonts w:asciiTheme="majorBidi" w:hAnsiTheme="majorBidi" w:cstheme="majorBidi"/>
          <w:color w:val="000000" w:themeColor="text1"/>
        </w:rPr>
        <w:t>izmantoj</w:t>
      </w:r>
      <w:r w:rsidR="00F66C13" w:rsidRPr="005C7B3D">
        <w:rPr>
          <w:rFonts w:asciiTheme="majorBidi" w:hAnsiTheme="majorBidi" w:cstheme="majorBidi"/>
          <w:color w:val="000000" w:themeColor="text1"/>
        </w:rPr>
        <w:t>ot</w:t>
      </w:r>
      <w:r w:rsidRPr="005C7B3D">
        <w:rPr>
          <w:rFonts w:asciiTheme="majorBidi" w:hAnsiTheme="majorBidi" w:cstheme="majorBidi"/>
          <w:color w:val="000000" w:themeColor="text1"/>
        </w:rPr>
        <w:t xml:space="preserve"> mikrouzņēmumu nodokļu režīma priekšrocības.</w:t>
      </w:r>
      <w:r w:rsidR="000414D3" w:rsidRPr="005C7B3D">
        <w:rPr>
          <w:rFonts w:asciiTheme="majorBidi" w:hAnsiTheme="majorBidi" w:cstheme="majorBidi"/>
          <w:color w:val="000000" w:themeColor="text1"/>
        </w:rPr>
        <w:t xml:space="preserve"> </w:t>
      </w:r>
      <w:r w:rsidR="005C7B3D" w:rsidRPr="005C7B3D">
        <w:rPr>
          <w:rFonts w:asciiTheme="majorBidi" w:hAnsiTheme="majorBidi" w:cstheme="majorBidi"/>
          <w:color w:val="000000" w:themeColor="text1"/>
        </w:rPr>
        <w:t xml:space="preserve">Pēc </w:t>
      </w:r>
      <w:r w:rsidR="000414D3" w:rsidRPr="005C7B3D">
        <w:rPr>
          <w:rFonts w:asciiTheme="majorBidi" w:hAnsiTheme="majorBidi" w:cstheme="majorBidi"/>
          <w:color w:val="000000" w:themeColor="text1"/>
        </w:rPr>
        <w:t>apgrozījuma sliekšņa</w:t>
      </w:r>
      <w:r w:rsidR="005C7B3D" w:rsidRPr="005C7B3D">
        <w:rPr>
          <w:rFonts w:asciiTheme="majorBidi" w:hAnsiTheme="majorBidi" w:cstheme="majorBidi"/>
          <w:color w:val="000000" w:themeColor="text1"/>
        </w:rPr>
        <w:t xml:space="preserve">, </w:t>
      </w:r>
      <w:r w:rsidR="00BE3BEF">
        <w:rPr>
          <w:rFonts w:asciiTheme="majorBidi" w:hAnsiTheme="majorBidi" w:cstheme="majorBidi"/>
          <w:color w:val="000000" w:themeColor="text1"/>
        </w:rPr>
        <w:t>no</w:t>
      </w:r>
      <w:r w:rsidR="005C7B3D" w:rsidRPr="005C7B3D">
        <w:rPr>
          <w:rFonts w:asciiTheme="majorBidi" w:hAnsiTheme="majorBidi" w:cstheme="majorBidi"/>
          <w:color w:val="000000" w:themeColor="text1"/>
        </w:rPr>
        <w:t xml:space="preserve"> kura </w:t>
      </w:r>
      <w:r w:rsidR="00BE3BEF">
        <w:rPr>
          <w:rFonts w:asciiTheme="majorBidi" w:hAnsiTheme="majorBidi" w:cstheme="majorBidi"/>
          <w:color w:val="000000" w:themeColor="text1"/>
        </w:rPr>
        <w:t xml:space="preserve">ir </w:t>
      </w:r>
      <w:r w:rsidR="005C7B3D" w:rsidRPr="005C7B3D">
        <w:rPr>
          <w:rFonts w:asciiTheme="majorBidi" w:hAnsiTheme="majorBidi" w:cstheme="majorBidi"/>
          <w:color w:val="000000" w:themeColor="text1"/>
        </w:rPr>
        <w:t>jāmaksā PVN,</w:t>
      </w:r>
      <w:r w:rsidR="000414D3" w:rsidRPr="005C7B3D">
        <w:rPr>
          <w:rFonts w:asciiTheme="majorBidi" w:hAnsiTheme="majorBidi" w:cstheme="majorBidi"/>
          <w:color w:val="000000" w:themeColor="text1"/>
        </w:rPr>
        <w:t xml:space="preserve"> </w:t>
      </w:r>
      <w:r w:rsidR="00473937" w:rsidRPr="005C7B3D">
        <w:rPr>
          <w:rFonts w:asciiTheme="majorBidi" w:hAnsiTheme="majorBidi" w:cstheme="majorBidi"/>
          <w:color w:val="000000" w:themeColor="text1"/>
        </w:rPr>
        <w:t xml:space="preserve">pārsniegšanas </w:t>
      </w:r>
      <w:r w:rsidRPr="005C7B3D">
        <w:rPr>
          <w:rFonts w:asciiTheme="majorBidi" w:hAnsiTheme="majorBidi" w:cstheme="majorBidi"/>
          <w:color w:val="000000" w:themeColor="text1"/>
        </w:rPr>
        <w:t>mikrouzņēmumi</w:t>
      </w:r>
      <w:r w:rsidR="000414D3" w:rsidRPr="005C7B3D">
        <w:rPr>
          <w:rFonts w:asciiTheme="majorBidi" w:hAnsiTheme="majorBidi" w:cstheme="majorBidi"/>
          <w:color w:val="000000" w:themeColor="text1"/>
        </w:rPr>
        <w:t xml:space="preserve"> saņēm</w:t>
      </w:r>
      <w:r w:rsidR="005C7B3D">
        <w:rPr>
          <w:rFonts w:asciiTheme="majorBidi" w:hAnsiTheme="majorBidi" w:cstheme="majorBidi"/>
          <w:color w:val="000000" w:themeColor="text1"/>
        </w:rPr>
        <w:t>a</w:t>
      </w:r>
      <w:r w:rsidR="00541F8C" w:rsidRPr="005C7B3D">
        <w:rPr>
          <w:rFonts w:asciiTheme="majorBidi" w:hAnsiTheme="majorBidi" w:cstheme="majorBidi"/>
          <w:color w:val="000000" w:themeColor="text1"/>
        </w:rPr>
        <w:t xml:space="preserve"> </w:t>
      </w:r>
      <w:r w:rsidR="00F66C13" w:rsidRPr="005C7B3D">
        <w:rPr>
          <w:rFonts w:asciiTheme="majorBidi" w:hAnsiTheme="majorBidi" w:cstheme="majorBidi"/>
          <w:color w:val="000000" w:themeColor="text1"/>
        </w:rPr>
        <w:t xml:space="preserve">VID </w:t>
      </w:r>
      <w:r w:rsidR="00541F8C" w:rsidRPr="005C7B3D">
        <w:rPr>
          <w:rFonts w:asciiTheme="majorBidi" w:hAnsiTheme="majorBidi" w:cstheme="majorBidi"/>
          <w:color w:val="000000" w:themeColor="text1"/>
        </w:rPr>
        <w:t>paziņojumu</w:t>
      </w:r>
      <w:r w:rsidR="00A0490A">
        <w:rPr>
          <w:rFonts w:asciiTheme="majorBidi" w:hAnsiTheme="majorBidi" w:cstheme="majorBidi"/>
          <w:color w:val="000000" w:themeColor="text1"/>
        </w:rPr>
        <w:t>s</w:t>
      </w:r>
      <w:r w:rsidR="00541F8C" w:rsidRPr="005C7B3D">
        <w:rPr>
          <w:rFonts w:asciiTheme="majorBidi" w:hAnsiTheme="majorBidi" w:cstheme="majorBidi"/>
          <w:color w:val="000000" w:themeColor="text1"/>
        </w:rPr>
        <w:t xml:space="preserve"> </w:t>
      </w:r>
      <w:r w:rsidR="00F66C13" w:rsidRPr="005C7B3D">
        <w:rPr>
          <w:rFonts w:asciiTheme="majorBidi" w:hAnsiTheme="majorBidi" w:cstheme="majorBidi"/>
          <w:color w:val="000000" w:themeColor="text1"/>
        </w:rPr>
        <w:t>par pienākumu reģistrēties PVN maksātāju reģistrā</w:t>
      </w:r>
      <w:r w:rsidR="002210F0">
        <w:rPr>
          <w:rFonts w:asciiTheme="majorBidi" w:hAnsiTheme="majorBidi" w:cstheme="majorBidi"/>
          <w:color w:val="000000" w:themeColor="text1"/>
        </w:rPr>
        <w:t>, pēc kā</w:t>
      </w:r>
      <w:r w:rsidR="000414D3" w:rsidRPr="005C7B3D">
        <w:rPr>
          <w:rFonts w:asciiTheme="majorBidi" w:hAnsiTheme="majorBidi" w:cstheme="majorBidi"/>
          <w:color w:val="000000" w:themeColor="text1"/>
        </w:rPr>
        <w:t xml:space="preserve"> </w:t>
      </w:r>
      <w:r w:rsidRPr="005C7B3D">
        <w:rPr>
          <w:rFonts w:asciiTheme="majorBidi" w:hAnsiTheme="majorBidi" w:cstheme="majorBidi"/>
          <w:color w:val="000000" w:themeColor="text1"/>
        </w:rPr>
        <w:t>nekavējoties iesniedza</w:t>
      </w:r>
      <w:r w:rsidR="000414D3" w:rsidRPr="005C7B3D">
        <w:rPr>
          <w:rFonts w:asciiTheme="majorBidi" w:hAnsiTheme="majorBidi" w:cstheme="majorBidi"/>
          <w:color w:val="000000" w:themeColor="text1"/>
        </w:rPr>
        <w:t xml:space="preserve"> </w:t>
      </w:r>
      <w:r w:rsidR="008D3DB2">
        <w:rPr>
          <w:rFonts w:asciiTheme="majorBidi" w:hAnsiTheme="majorBidi" w:cstheme="majorBidi"/>
          <w:color w:val="000000" w:themeColor="text1"/>
        </w:rPr>
        <w:t>attiecīgus</w:t>
      </w:r>
      <w:r w:rsidR="00BE3BEF">
        <w:rPr>
          <w:rFonts w:asciiTheme="majorBidi" w:hAnsiTheme="majorBidi" w:cstheme="majorBidi"/>
          <w:color w:val="000000" w:themeColor="text1"/>
        </w:rPr>
        <w:t xml:space="preserve"> </w:t>
      </w:r>
      <w:r w:rsidRPr="005C7B3D">
        <w:rPr>
          <w:rFonts w:asciiTheme="majorBidi" w:hAnsiTheme="majorBidi" w:cstheme="majorBidi"/>
          <w:color w:val="000000" w:themeColor="text1"/>
        </w:rPr>
        <w:t>pieteikumus</w:t>
      </w:r>
      <w:r w:rsidR="005C7B3D" w:rsidRPr="005C7B3D">
        <w:rPr>
          <w:rFonts w:asciiTheme="majorBidi" w:hAnsiTheme="majorBidi" w:cstheme="majorBidi"/>
          <w:color w:val="000000" w:themeColor="text1"/>
        </w:rPr>
        <w:t xml:space="preserve">. </w:t>
      </w:r>
      <w:r w:rsidR="0028654E">
        <w:rPr>
          <w:rFonts w:asciiTheme="majorBidi" w:hAnsiTheme="majorBidi" w:cstheme="majorBidi"/>
          <w:color w:val="000000" w:themeColor="text1"/>
        </w:rPr>
        <w:t xml:space="preserve">Savukārt nodokļa rēķinus mikrouzņēmumi izrakstīja </w:t>
      </w:r>
      <w:r w:rsidR="0028654E" w:rsidRPr="005C7B3D">
        <w:rPr>
          <w:rFonts w:asciiTheme="majorBidi" w:hAnsiTheme="majorBidi" w:cstheme="majorBidi"/>
          <w:color w:val="000000" w:themeColor="text1"/>
        </w:rPr>
        <w:t>2013. gada sākumā</w:t>
      </w:r>
      <w:r w:rsidR="0028654E">
        <w:rPr>
          <w:rFonts w:asciiTheme="majorBidi" w:hAnsiTheme="majorBidi" w:cstheme="majorBidi"/>
          <w:color w:val="000000" w:themeColor="text1"/>
        </w:rPr>
        <w:t>, proti, p</w:t>
      </w:r>
      <w:r w:rsidR="0028654E" w:rsidRPr="005C7B3D">
        <w:rPr>
          <w:rFonts w:asciiTheme="majorBidi" w:hAnsiTheme="majorBidi" w:cstheme="majorBidi"/>
          <w:color w:val="000000" w:themeColor="text1"/>
        </w:rPr>
        <w:t xml:space="preserve">ēc </w:t>
      </w:r>
      <w:r w:rsidR="00627E00">
        <w:rPr>
          <w:rFonts w:asciiTheme="majorBidi" w:hAnsiTheme="majorBidi" w:cstheme="majorBidi"/>
          <w:color w:val="000000" w:themeColor="text1"/>
        </w:rPr>
        <w:t xml:space="preserve">to </w:t>
      </w:r>
      <w:r w:rsidR="005C7B3D" w:rsidRPr="005C7B3D">
        <w:rPr>
          <w:rFonts w:asciiTheme="majorBidi" w:hAnsiTheme="majorBidi" w:cstheme="majorBidi"/>
          <w:color w:val="000000" w:themeColor="text1"/>
        </w:rPr>
        <w:t>reģistrācijas</w:t>
      </w:r>
      <w:r w:rsidR="000414D3" w:rsidRPr="005C7B3D">
        <w:rPr>
          <w:rFonts w:asciiTheme="majorBidi" w:hAnsiTheme="majorBidi" w:cstheme="majorBidi"/>
          <w:color w:val="000000" w:themeColor="text1"/>
        </w:rPr>
        <w:t xml:space="preserve"> </w:t>
      </w:r>
      <w:r w:rsidR="0028654E">
        <w:rPr>
          <w:rFonts w:asciiTheme="majorBidi" w:hAnsiTheme="majorBidi" w:cstheme="majorBidi"/>
          <w:color w:val="000000" w:themeColor="text1"/>
        </w:rPr>
        <w:t xml:space="preserve">PVN maksātāju reģistrā, </w:t>
      </w:r>
      <w:r w:rsidR="00627E00">
        <w:rPr>
          <w:rFonts w:asciiTheme="majorBidi" w:hAnsiTheme="majorBidi" w:cstheme="majorBidi"/>
          <w:color w:val="000000" w:themeColor="text1"/>
        </w:rPr>
        <w:t>tāpēc</w:t>
      </w:r>
      <w:r w:rsidR="008D3DB2">
        <w:rPr>
          <w:rFonts w:asciiTheme="majorBidi" w:hAnsiTheme="majorBidi" w:cstheme="majorBidi"/>
          <w:color w:val="000000" w:themeColor="text1"/>
        </w:rPr>
        <w:t xml:space="preserve"> </w:t>
      </w:r>
      <w:r w:rsidR="005C7B3D" w:rsidRPr="005C7B3D">
        <w:rPr>
          <w:rFonts w:asciiTheme="majorBidi" w:hAnsiTheme="majorBidi" w:cstheme="majorBidi"/>
          <w:color w:val="000000" w:themeColor="text1"/>
        </w:rPr>
        <w:t>sniegt</w:t>
      </w:r>
      <w:r w:rsidR="004F48F4">
        <w:rPr>
          <w:rFonts w:asciiTheme="majorBidi" w:hAnsiTheme="majorBidi" w:cstheme="majorBidi"/>
          <w:color w:val="000000" w:themeColor="text1"/>
        </w:rPr>
        <w:t>ajiem</w:t>
      </w:r>
      <w:r w:rsidRPr="005C7B3D">
        <w:rPr>
          <w:rFonts w:asciiTheme="majorBidi" w:hAnsiTheme="majorBidi" w:cstheme="majorBidi"/>
          <w:color w:val="000000" w:themeColor="text1"/>
        </w:rPr>
        <w:t xml:space="preserve"> </w:t>
      </w:r>
      <w:bookmarkStart w:id="8" w:name="_Hlk210843645"/>
      <w:r w:rsidR="005C7B3D" w:rsidRPr="005C7B3D">
        <w:rPr>
          <w:rFonts w:asciiTheme="majorBidi" w:hAnsiTheme="majorBidi" w:cstheme="majorBidi"/>
          <w:color w:val="000000" w:themeColor="text1"/>
        </w:rPr>
        <w:t>p</w:t>
      </w:r>
      <w:r w:rsidR="00163F74" w:rsidRPr="005C7B3D">
        <w:rPr>
          <w:rFonts w:asciiTheme="majorBidi" w:hAnsiTheme="majorBidi" w:cstheme="majorBidi"/>
          <w:color w:val="000000" w:themeColor="text1"/>
        </w:rPr>
        <w:t>akalpojumi</w:t>
      </w:r>
      <w:r w:rsidR="004F48F4">
        <w:rPr>
          <w:rFonts w:asciiTheme="majorBidi" w:hAnsiTheme="majorBidi" w:cstheme="majorBidi"/>
          <w:color w:val="000000" w:themeColor="text1"/>
        </w:rPr>
        <w:t>em</w:t>
      </w:r>
      <w:r w:rsidR="00163F74" w:rsidRPr="005C7B3D">
        <w:rPr>
          <w:rFonts w:asciiTheme="majorBidi" w:hAnsiTheme="majorBidi" w:cstheme="majorBidi"/>
          <w:color w:val="000000" w:themeColor="text1"/>
        </w:rPr>
        <w:t xml:space="preserve"> tika </w:t>
      </w:r>
      <w:r w:rsidR="004F48F4">
        <w:rPr>
          <w:rFonts w:asciiTheme="majorBidi" w:hAnsiTheme="majorBidi" w:cstheme="majorBidi"/>
          <w:color w:val="000000" w:themeColor="text1"/>
        </w:rPr>
        <w:t>aprēķināts</w:t>
      </w:r>
      <w:r w:rsidR="00163F74" w:rsidRPr="005C7B3D">
        <w:rPr>
          <w:rFonts w:asciiTheme="majorBidi" w:hAnsiTheme="majorBidi" w:cstheme="majorBidi"/>
          <w:color w:val="000000" w:themeColor="text1"/>
        </w:rPr>
        <w:t xml:space="preserve"> PVN.</w:t>
      </w:r>
      <w:r w:rsidR="00D7622F">
        <w:rPr>
          <w:rFonts w:asciiTheme="majorBidi" w:hAnsiTheme="majorBidi" w:cstheme="majorBidi"/>
          <w:color w:val="000000" w:themeColor="text1"/>
        </w:rPr>
        <w:t xml:space="preserve"> </w:t>
      </w:r>
      <w:r w:rsidRPr="005C7B3D">
        <w:rPr>
          <w:rFonts w:asciiTheme="majorBidi" w:hAnsiTheme="majorBidi" w:cstheme="majorBidi"/>
          <w:color w:val="000000" w:themeColor="text1"/>
        </w:rPr>
        <w:t>Lai gan rēķinu izrakstīšanas termiņš bija nokavēts, nokavējumu nevarēja novērst.</w:t>
      </w:r>
      <w:r w:rsidR="008D3DB2">
        <w:rPr>
          <w:rFonts w:asciiTheme="majorBidi" w:hAnsiTheme="majorBidi" w:cstheme="majorBidi"/>
          <w:color w:val="000000" w:themeColor="text1"/>
        </w:rPr>
        <w:t xml:space="preserve"> </w:t>
      </w:r>
      <w:r>
        <w:rPr>
          <w:rFonts w:asciiTheme="majorBidi" w:hAnsiTheme="majorBidi" w:cstheme="majorBidi"/>
        </w:rPr>
        <w:t>Š</w:t>
      </w:r>
      <w:r w:rsidR="00E21029">
        <w:rPr>
          <w:rFonts w:asciiTheme="majorBidi" w:hAnsiTheme="majorBidi" w:cstheme="majorBidi"/>
        </w:rPr>
        <w:t>āda</w:t>
      </w:r>
      <w:r w:rsidRPr="00340466">
        <w:rPr>
          <w:rFonts w:asciiTheme="majorBidi" w:hAnsiTheme="majorBidi" w:cstheme="majorBidi"/>
        </w:rPr>
        <w:t xml:space="preserve"> rīcība</w:t>
      </w:r>
      <w:r w:rsidR="008D3DB2">
        <w:rPr>
          <w:rFonts w:asciiTheme="majorBidi" w:hAnsiTheme="majorBidi" w:cstheme="majorBidi"/>
        </w:rPr>
        <w:t xml:space="preserve"> </w:t>
      </w:r>
      <w:r w:rsidRPr="00340466">
        <w:rPr>
          <w:rFonts w:asciiTheme="majorBidi" w:hAnsiTheme="majorBidi" w:cstheme="majorBidi"/>
        </w:rPr>
        <w:t>tika saskaņota ar VID nodokļu inspektorēm, k</w:t>
      </w:r>
      <w:r>
        <w:rPr>
          <w:rFonts w:asciiTheme="majorBidi" w:hAnsiTheme="majorBidi" w:cstheme="majorBidi"/>
        </w:rPr>
        <w:t>uras</w:t>
      </w:r>
      <w:r w:rsidRPr="00340466">
        <w:rPr>
          <w:rFonts w:asciiTheme="majorBidi" w:hAnsiTheme="majorBidi" w:cstheme="majorBidi"/>
        </w:rPr>
        <w:t xml:space="preserve"> 2012.</w:t>
      </w:r>
      <w:r w:rsidR="009F19BB">
        <w:rPr>
          <w:rFonts w:asciiTheme="majorBidi" w:hAnsiTheme="majorBidi" w:cstheme="majorBidi"/>
        </w:rPr>
        <w:t> </w:t>
      </w:r>
      <w:r w:rsidRPr="00340466">
        <w:rPr>
          <w:rFonts w:asciiTheme="majorBidi" w:hAnsiTheme="majorBidi" w:cstheme="majorBidi"/>
        </w:rPr>
        <w:t>gada ruden</w:t>
      </w:r>
      <w:r>
        <w:rPr>
          <w:rFonts w:asciiTheme="majorBidi" w:hAnsiTheme="majorBidi" w:cstheme="majorBidi"/>
        </w:rPr>
        <w:t>ī</w:t>
      </w:r>
      <w:r w:rsidR="008D3DB2">
        <w:rPr>
          <w:rFonts w:asciiTheme="majorBidi" w:hAnsiTheme="majorBidi" w:cstheme="majorBidi"/>
        </w:rPr>
        <w:t xml:space="preserve"> mikrouzņēmumos</w:t>
      </w:r>
      <w:r w:rsidRPr="00340466">
        <w:rPr>
          <w:rFonts w:asciiTheme="majorBidi" w:hAnsiTheme="majorBidi" w:cstheme="majorBidi"/>
        </w:rPr>
        <w:t xml:space="preserve"> veica </w:t>
      </w:r>
      <w:r>
        <w:rPr>
          <w:rFonts w:asciiTheme="majorBidi" w:hAnsiTheme="majorBidi" w:cstheme="majorBidi"/>
        </w:rPr>
        <w:t>pārbaudes</w:t>
      </w:r>
      <w:r w:rsidR="00B54780">
        <w:rPr>
          <w:rFonts w:asciiTheme="majorBidi" w:hAnsiTheme="majorBidi" w:cstheme="majorBidi"/>
        </w:rPr>
        <w:t xml:space="preserve">, tādēļ </w:t>
      </w:r>
      <w:bookmarkStart w:id="9" w:name="_Hlk210843619"/>
      <w:r w:rsidR="00B54780">
        <w:rPr>
          <w:rFonts w:asciiTheme="majorBidi" w:hAnsiTheme="majorBidi" w:cstheme="majorBidi"/>
        </w:rPr>
        <w:t>a</w:t>
      </w:r>
      <w:r w:rsidRPr="00691E6F">
        <w:rPr>
          <w:rFonts w:asciiTheme="majorBidi" w:hAnsiTheme="majorBidi" w:cstheme="majorBidi"/>
        </w:rPr>
        <w:t xml:space="preserve">psūdzētajam nebija pamata </w:t>
      </w:r>
      <w:r w:rsidR="00B54780">
        <w:rPr>
          <w:rFonts w:asciiTheme="majorBidi" w:hAnsiTheme="majorBidi" w:cstheme="majorBidi"/>
        </w:rPr>
        <w:t>ap</w:t>
      </w:r>
      <w:r w:rsidRPr="00691E6F">
        <w:rPr>
          <w:rFonts w:asciiTheme="majorBidi" w:hAnsiTheme="majorBidi" w:cstheme="majorBidi"/>
        </w:rPr>
        <w:t xml:space="preserve">šaubīt </w:t>
      </w:r>
      <w:r w:rsidR="003966A6">
        <w:rPr>
          <w:rFonts w:asciiTheme="majorBidi" w:hAnsiTheme="majorBidi" w:cstheme="majorBidi"/>
        </w:rPr>
        <w:t>savas rīcības</w:t>
      </w:r>
      <w:r w:rsidR="00B54780">
        <w:rPr>
          <w:rFonts w:asciiTheme="majorBidi" w:hAnsiTheme="majorBidi" w:cstheme="majorBidi"/>
        </w:rPr>
        <w:t xml:space="preserve"> </w:t>
      </w:r>
      <w:r w:rsidRPr="00691E6F">
        <w:rPr>
          <w:rFonts w:asciiTheme="majorBidi" w:hAnsiTheme="majorBidi" w:cstheme="majorBidi"/>
        </w:rPr>
        <w:t>tiesiskumu.</w:t>
      </w:r>
      <w:bookmarkEnd w:id="8"/>
      <w:bookmarkEnd w:id="9"/>
    </w:p>
    <w:p w14:paraId="35E59BD8" w14:textId="5DE90D1E" w:rsidR="003966A6" w:rsidRDefault="00640251" w:rsidP="00EE7E71">
      <w:pPr>
        <w:suppressAutoHyphens w:val="0"/>
        <w:spacing w:line="276" w:lineRule="auto"/>
        <w:ind w:firstLine="720"/>
        <w:jc w:val="both"/>
        <w:rPr>
          <w:rFonts w:asciiTheme="majorBidi" w:hAnsiTheme="majorBidi" w:cstheme="majorBidi"/>
        </w:rPr>
      </w:pPr>
      <w:r>
        <w:rPr>
          <w:rFonts w:asciiTheme="majorBidi" w:hAnsiTheme="majorBidi" w:cstheme="majorBidi"/>
        </w:rPr>
        <w:t>[4.</w:t>
      </w:r>
      <w:r w:rsidR="00EE35E8">
        <w:rPr>
          <w:rFonts w:asciiTheme="majorBidi" w:hAnsiTheme="majorBidi" w:cstheme="majorBidi"/>
        </w:rPr>
        <w:t>4</w:t>
      </w:r>
      <w:r>
        <w:rPr>
          <w:rFonts w:asciiTheme="majorBidi" w:hAnsiTheme="majorBidi" w:cstheme="majorBidi"/>
        </w:rPr>
        <w:t>]</w:t>
      </w:r>
      <w:r w:rsidR="009F19BB">
        <w:rPr>
          <w:rFonts w:asciiTheme="majorBidi" w:hAnsiTheme="majorBidi" w:cstheme="majorBidi"/>
        </w:rPr>
        <w:t> </w:t>
      </w:r>
      <w:r>
        <w:rPr>
          <w:rFonts w:asciiTheme="majorBidi" w:hAnsiTheme="majorBidi" w:cstheme="majorBidi"/>
        </w:rPr>
        <w:t>T</w:t>
      </w:r>
      <w:r w:rsidRPr="00691E6F">
        <w:rPr>
          <w:rFonts w:asciiTheme="majorBidi" w:hAnsiTheme="majorBidi" w:cstheme="majorBidi"/>
        </w:rPr>
        <w:t>iesa</w:t>
      </w:r>
      <w:r w:rsidR="00B54780">
        <w:rPr>
          <w:rFonts w:asciiTheme="majorBidi" w:hAnsiTheme="majorBidi" w:cstheme="majorBidi"/>
        </w:rPr>
        <w:t>s spriedums ir pretrunīgs, jo</w:t>
      </w:r>
      <w:r>
        <w:rPr>
          <w:rFonts w:asciiTheme="majorBidi" w:hAnsiTheme="majorBidi" w:cstheme="majorBidi"/>
        </w:rPr>
        <w:t xml:space="preserve"> </w:t>
      </w:r>
      <w:r w:rsidRPr="00691E6F">
        <w:rPr>
          <w:rFonts w:asciiTheme="majorBidi" w:hAnsiTheme="majorBidi" w:cstheme="majorBidi"/>
        </w:rPr>
        <w:t xml:space="preserve">priekšnodokļa </w:t>
      </w:r>
      <w:r w:rsidR="0018646F" w:rsidRPr="00691E6F">
        <w:rPr>
          <w:rFonts w:asciiTheme="majorBidi" w:hAnsiTheme="majorBidi" w:cstheme="majorBidi"/>
        </w:rPr>
        <w:t xml:space="preserve">prettiesisku </w:t>
      </w:r>
      <w:r w:rsidR="00EE35E8">
        <w:rPr>
          <w:rFonts w:asciiTheme="majorBidi" w:hAnsiTheme="majorBidi" w:cstheme="majorBidi"/>
        </w:rPr>
        <w:t>pieprasīšanu</w:t>
      </w:r>
      <w:r w:rsidR="00EE35E8" w:rsidRPr="00691E6F">
        <w:rPr>
          <w:rFonts w:asciiTheme="majorBidi" w:hAnsiTheme="majorBidi" w:cstheme="majorBidi"/>
        </w:rPr>
        <w:t xml:space="preserve"> </w:t>
      </w:r>
      <w:r w:rsidR="00B54780">
        <w:rPr>
          <w:rFonts w:asciiTheme="majorBidi" w:hAnsiTheme="majorBidi" w:cstheme="majorBidi"/>
        </w:rPr>
        <w:t xml:space="preserve">tiesa </w:t>
      </w:r>
      <w:r w:rsidRPr="00691E6F">
        <w:rPr>
          <w:rFonts w:asciiTheme="majorBidi" w:hAnsiTheme="majorBidi" w:cstheme="majorBidi"/>
        </w:rPr>
        <w:t xml:space="preserve">vienlaikus </w:t>
      </w:r>
      <w:r w:rsidR="00B54780">
        <w:rPr>
          <w:rFonts w:asciiTheme="majorBidi" w:hAnsiTheme="majorBidi" w:cstheme="majorBidi"/>
        </w:rPr>
        <w:t>saistījusi ar</w:t>
      </w:r>
      <w:r w:rsidR="00B54780" w:rsidRPr="00691E6F">
        <w:rPr>
          <w:rFonts w:asciiTheme="majorBidi" w:hAnsiTheme="majorBidi" w:cstheme="majorBidi"/>
        </w:rPr>
        <w:t xml:space="preserve"> </w:t>
      </w:r>
      <w:r w:rsidRPr="00691E6F">
        <w:rPr>
          <w:rFonts w:asciiTheme="majorBidi" w:hAnsiTheme="majorBidi" w:cstheme="majorBidi"/>
        </w:rPr>
        <w:t>trīs savstarpēji izslēdzoš</w:t>
      </w:r>
      <w:r w:rsidR="00B23623">
        <w:rPr>
          <w:rFonts w:asciiTheme="majorBidi" w:hAnsiTheme="majorBidi" w:cstheme="majorBidi"/>
        </w:rPr>
        <w:t>iem</w:t>
      </w:r>
      <w:r w:rsidRPr="00691E6F">
        <w:rPr>
          <w:rFonts w:asciiTheme="majorBidi" w:hAnsiTheme="majorBidi" w:cstheme="majorBidi"/>
        </w:rPr>
        <w:t xml:space="preserve"> </w:t>
      </w:r>
      <w:r w:rsidR="00EF5B4D">
        <w:rPr>
          <w:rFonts w:asciiTheme="majorBidi" w:hAnsiTheme="majorBidi" w:cstheme="majorBidi"/>
        </w:rPr>
        <w:t>apstākļiem</w:t>
      </w:r>
      <w:r w:rsidRPr="00691E6F">
        <w:rPr>
          <w:rFonts w:asciiTheme="majorBidi" w:hAnsiTheme="majorBidi" w:cstheme="majorBidi"/>
        </w:rPr>
        <w:t>: 1)</w:t>
      </w:r>
      <w:r w:rsidR="009F19BB">
        <w:rPr>
          <w:rFonts w:asciiTheme="majorBidi" w:hAnsiTheme="majorBidi" w:cstheme="majorBidi"/>
        </w:rPr>
        <w:t> </w:t>
      </w:r>
      <w:r w:rsidRPr="00691E6F">
        <w:rPr>
          <w:rFonts w:asciiTheme="majorBidi" w:hAnsiTheme="majorBidi" w:cstheme="majorBidi"/>
        </w:rPr>
        <w:t xml:space="preserve">pakalpojumi nav </w:t>
      </w:r>
      <w:r>
        <w:rPr>
          <w:rFonts w:asciiTheme="majorBidi" w:hAnsiTheme="majorBidi" w:cstheme="majorBidi"/>
        </w:rPr>
        <w:t>sniegti</w:t>
      </w:r>
      <w:r w:rsidRPr="00691E6F">
        <w:rPr>
          <w:rFonts w:asciiTheme="majorBidi" w:hAnsiTheme="majorBidi" w:cstheme="majorBidi"/>
        </w:rPr>
        <w:t>; 2)</w:t>
      </w:r>
      <w:r w:rsidR="009F19BB">
        <w:rPr>
          <w:rFonts w:asciiTheme="majorBidi" w:hAnsiTheme="majorBidi" w:cstheme="majorBidi"/>
        </w:rPr>
        <w:t> </w:t>
      </w:r>
      <w:r w:rsidRPr="00691E6F">
        <w:rPr>
          <w:rFonts w:asciiTheme="majorBidi" w:hAnsiTheme="majorBidi" w:cstheme="majorBidi"/>
        </w:rPr>
        <w:t xml:space="preserve">pakalpojumi </w:t>
      </w:r>
      <w:r>
        <w:rPr>
          <w:rFonts w:asciiTheme="majorBidi" w:hAnsiTheme="majorBidi" w:cstheme="majorBidi"/>
        </w:rPr>
        <w:t>sniegti</w:t>
      </w:r>
      <w:r w:rsidRPr="00691E6F">
        <w:rPr>
          <w:rFonts w:asciiTheme="majorBidi" w:hAnsiTheme="majorBidi" w:cstheme="majorBidi"/>
        </w:rPr>
        <w:t xml:space="preserve"> citā taksācijas periodā; 3)</w:t>
      </w:r>
      <w:r w:rsidR="009F19BB">
        <w:rPr>
          <w:rFonts w:asciiTheme="majorBidi" w:hAnsiTheme="majorBidi" w:cstheme="majorBidi"/>
        </w:rPr>
        <w:t> </w:t>
      </w:r>
      <w:r w:rsidR="00163F74">
        <w:rPr>
          <w:rFonts w:asciiTheme="majorBidi" w:hAnsiTheme="majorBidi" w:cstheme="majorBidi"/>
        </w:rPr>
        <w:t>pakalpojumiem</w:t>
      </w:r>
      <w:r w:rsidRPr="00691E6F">
        <w:rPr>
          <w:rFonts w:asciiTheme="majorBidi" w:hAnsiTheme="majorBidi" w:cstheme="majorBidi"/>
        </w:rPr>
        <w:t xml:space="preserve"> ir </w:t>
      </w:r>
      <w:proofErr w:type="spellStart"/>
      <w:r w:rsidRPr="00691E6F">
        <w:rPr>
          <w:rFonts w:asciiTheme="majorBidi" w:hAnsiTheme="majorBidi" w:cstheme="majorBidi"/>
        </w:rPr>
        <w:t>simulatīvs</w:t>
      </w:r>
      <w:proofErr w:type="spellEnd"/>
      <w:r w:rsidRPr="00691E6F">
        <w:rPr>
          <w:rFonts w:asciiTheme="majorBidi" w:hAnsiTheme="majorBidi" w:cstheme="majorBidi"/>
        </w:rPr>
        <w:t xml:space="preserve"> raksturs.</w:t>
      </w:r>
    </w:p>
    <w:p w14:paraId="3E1B3E33" w14:textId="4C7E4ED8" w:rsidR="00640251" w:rsidRPr="002210F0" w:rsidRDefault="00640251" w:rsidP="00EE7E71">
      <w:pPr>
        <w:suppressAutoHyphens w:val="0"/>
        <w:spacing w:line="276" w:lineRule="auto"/>
        <w:ind w:firstLine="720"/>
        <w:jc w:val="both"/>
        <w:rPr>
          <w:rFonts w:asciiTheme="majorBidi" w:hAnsiTheme="majorBidi" w:cstheme="majorBidi"/>
          <w:color w:val="000000" w:themeColor="text1"/>
        </w:rPr>
      </w:pPr>
      <w:r w:rsidRPr="002210F0">
        <w:rPr>
          <w:rFonts w:asciiTheme="majorBidi" w:hAnsiTheme="majorBidi" w:cstheme="majorBidi"/>
          <w:color w:val="000000" w:themeColor="text1"/>
        </w:rPr>
        <w:t>Š</w:t>
      </w:r>
      <w:r w:rsidR="008D3DB2" w:rsidRPr="002210F0">
        <w:rPr>
          <w:rFonts w:asciiTheme="majorBidi" w:hAnsiTheme="majorBidi" w:cstheme="majorBidi"/>
          <w:color w:val="000000" w:themeColor="text1"/>
        </w:rPr>
        <w:t>o</w:t>
      </w:r>
      <w:r w:rsidRPr="002210F0">
        <w:rPr>
          <w:rFonts w:asciiTheme="majorBidi" w:hAnsiTheme="majorBidi" w:cstheme="majorBidi"/>
          <w:color w:val="000000" w:themeColor="text1"/>
        </w:rPr>
        <w:t xml:space="preserve"> pretrun</w:t>
      </w:r>
      <w:r w:rsidR="008D3DB2" w:rsidRPr="002210F0">
        <w:rPr>
          <w:rFonts w:asciiTheme="majorBidi" w:hAnsiTheme="majorBidi" w:cstheme="majorBidi"/>
          <w:color w:val="000000" w:themeColor="text1"/>
        </w:rPr>
        <w:t>u</w:t>
      </w:r>
      <w:r w:rsidR="00B23623" w:rsidRPr="002210F0">
        <w:rPr>
          <w:rFonts w:asciiTheme="majorBidi" w:hAnsiTheme="majorBidi" w:cstheme="majorBidi"/>
          <w:color w:val="000000" w:themeColor="text1"/>
        </w:rPr>
        <w:t xml:space="preserve"> un</w:t>
      </w:r>
      <w:r w:rsidR="00163F74" w:rsidRPr="002210F0">
        <w:rPr>
          <w:rFonts w:asciiTheme="majorBidi" w:hAnsiTheme="majorBidi" w:cstheme="majorBidi"/>
          <w:color w:val="000000" w:themeColor="text1"/>
        </w:rPr>
        <w:t xml:space="preserve"> vairākkārt grozītās apsūdzības dēļ apsūdzētajam </w:t>
      </w:r>
      <w:r w:rsidR="0018646F" w:rsidRPr="002210F0">
        <w:rPr>
          <w:rFonts w:asciiTheme="majorBidi" w:hAnsiTheme="majorBidi" w:cstheme="majorBidi"/>
          <w:color w:val="000000" w:themeColor="text1"/>
        </w:rPr>
        <w:t xml:space="preserve">tika </w:t>
      </w:r>
      <w:r w:rsidRPr="002210F0">
        <w:rPr>
          <w:rFonts w:asciiTheme="majorBidi" w:hAnsiTheme="majorBidi" w:cstheme="majorBidi"/>
          <w:color w:val="000000" w:themeColor="text1"/>
        </w:rPr>
        <w:t>liegtas tiesības uz aizstāvību.</w:t>
      </w:r>
    </w:p>
    <w:p w14:paraId="52A0C126" w14:textId="7CA8600A" w:rsidR="002E0EC6" w:rsidRDefault="002E0EC6" w:rsidP="00EE7E71">
      <w:pPr>
        <w:suppressAutoHyphens w:val="0"/>
        <w:spacing w:line="276" w:lineRule="auto"/>
        <w:ind w:firstLine="720"/>
        <w:jc w:val="both"/>
        <w:rPr>
          <w:rFonts w:asciiTheme="majorBidi" w:hAnsiTheme="majorBidi" w:cstheme="majorBidi"/>
        </w:rPr>
      </w:pPr>
      <w:r>
        <w:rPr>
          <w:rFonts w:asciiTheme="majorBidi" w:hAnsiTheme="majorBidi" w:cstheme="majorBidi"/>
        </w:rPr>
        <w:lastRenderedPageBreak/>
        <w:t>[4</w:t>
      </w:r>
      <w:r w:rsidRPr="007D700C">
        <w:rPr>
          <w:rFonts w:asciiTheme="majorBidi" w:hAnsiTheme="majorBidi" w:cstheme="majorBidi"/>
        </w:rPr>
        <w:t>.</w:t>
      </w:r>
      <w:r w:rsidR="00EE35E8">
        <w:rPr>
          <w:rFonts w:asciiTheme="majorBidi" w:hAnsiTheme="majorBidi" w:cstheme="majorBidi"/>
        </w:rPr>
        <w:t>5</w:t>
      </w:r>
      <w:r w:rsidRPr="007D700C">
        <w:rPr>
          <w:rFonts w:asciiTheme="majorBidi" w:hAnsiTheme="majorBidi" w:cstheme="majorBidi"/>
        </w:rPr>
        <w:t>]</w:t>
      </w:r>
      <w:r w:rsidR="00D3480C">
        <w:rPr>
          <w:rFonts w:asciiTheme="majorBidi" w:hAnsiTheme="majorBidi" w:cstheme="majorBidi"/>
        </w:rPr>
        <w:t> </w:t>
      </w:r>
      <w:r>
        <w:rPr>
          <w:rFonts w:asciiTheme="majorBidi" w:hAnsiTheme="majorBidi" w:cstheme="majorBidi"/>
        </w:rPr>
        <w:t>VID</w:t>
      </w:r>
      <w:r w:rsidR="006315BD">
        <w:rPr>
          <w:rFonts w:asciiTheme="majorBidi" w:hAnsiTheme="majorBidi" w:cstheme="majorBidi"/>
        </w:rPr>
        <w:t xml:space="preserve"> nepamatoti atzīts par cietušo, jo nodokļu audita likumība</w:t>
      </w:r>
      <w:r w:rsidRPr="00167DC0">
        <w:rPr>
          <w:rFonts w:asciiTheme="majorBidi" w:hAnsiTheme="majorBidi" w:cstheme="majorBidi"/>
        </w:rPr>
        <w:t xml:space="preserve"> </w:t>
      </w:r>
      <w:r w:rsidR="006315BD">
        <w:rPr>
          <w:rFonts w:asciiTheme="majorBidi" w:hAnsiTheme="majorBidi" w:cstheme="majorBidi"/>
        </w:rPr>
        <w:t>netika</w:t>
      </w:r>
      <w:r w:rsidR="006315BD" w:rsidRPr="00167DC0">
        <w:rPr>
          <w:rFonts w:asciiTheme="majorBidi" w:hAnsiTheme="majorBidi" w:cstheme="majorBidi"/>
        </w:rPr>
        <w:t xml:space="preserve"> </w:t>
      </w:r>
      <w:r w:rsidRPr="00167DC0">
        <w:rPr>
          <w:rFonts w:asciiTheme="majorBidi" w:hAnsiTheme="majorBidi" w:cstheme="majorBidi"/>
        </w:rPr>
        <w:t>pārbaudīta</w:t>
      </w:r>
      <w:r w:rsidR="0018646F">
        <w:rPr>
          <w:rFonts w:asciiTheme="majorBidi" w:hAnsiTheme="majorBidi" w:cstheme="majorBidi"/>
        </w:rPr>
        <w:t xml:space="preserve"> </w:t>
      </w:r>
      <w:r w:rsidR="0018646F" w:rsidRPr="00167DC0">
        <w:rPr>
          <w:rFonts w:asciiTheme="majorBidi" w:hAnsiTheme="majorBidi" w:cstheme="majorBidi"/>
        </w:rPr>
        <w:t>administratīvajā tiesā</w:t>
      </w:r>
      <w:r>
        <w:rPr>
          <w:rFonts w:asciiTheme="majorBidi" w:hAnsiTheme="majorBidi" w:cstheme="majorBidi"/>
        </w:rPr>
        <w:t>.</w:t>
      </w:r>
    </w:p>
    <w:p w14:paraId="417779C0" w14:textId="3787B573" w:rsidR="002E0EC6" w:rsidRDefault="00EE35E8"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Turklāt </w:t>
      </w:r>
      <w:r w:rsidR="002E0EC6">
        <w:rPr>
          <w:rFonts w:asciiTheme="majorBidi" w:hAnsiTheme="majorBidi" w:cstheme="majorBidi"/>
        </w:rPr>
        <w:t>VID</w:t>
      </w:r>
      <w:r w:rsidR="007933EE">
        <w:rPr>
          <w:rFonts w:asciiTheme="majorBidi" w:hAnsiTheme="majorBidi" w:cstheme="majorBidi"/>
        </w:rPr>
        <w:t xml:space="preserve"> šajā </w:t>
      </w:r>
      <w:r w:rsidR="00B23623">
        <w:rPr>
          <w:rFonts w:asciiTheme="majorBidi" w:hAnsiTheme="majorBidi" w:cstheme="majorBidi"/>
        </w:rPr>
        <w:t>lietā</w:t>
      </w:r>
      <w:r w:rsidR="00B23623" w:rsidRPr="000D5DD9">
        <w:rPr>
          <w:rFonts w:asciiTheme="majorBidi" w:hAnsiTheme="majorBidi" w:cstheme="majorBidi"/>
        </w:rPr>
        <w:t xml:space="preserve"> </w:t>
      </w:r>
      <w:r w:rsidR="002E0EC6" w:rsidRPr="000D5DD9">
        <w:rPr>
          <w:rFonts w:asciiTheme="majorBidi" w:hAnsiTheme="majorBidi" w:cstheme="majorBidi"/>
        </w:rPr>
        <w:t>bija procesa virzītājs</w:t>
      </w:r>
      <w:r w:rsidR="00B23623">
        <w:rPr>
          <w:rFonts w:asciiTheme="majorBidi" w:hAnsiTheme="majorBidi" w:cstheme="majorBidi"/>
        </w:rPr>
        <w:t>, kas varēja</w:t>
      </w:r>
      <w:r w:rsidR="002E0EC6" w:rsidRPr="000D5DD9">
        <w:rPr>
          <w:rFonts w:asciiTheme="majorBidi" w:hAnsiTheme="majorBidi" w:cstheme="majorBidi"/>
        </w:rPr>
        <w:t xml:space="preserve"> veikt izmeklēšan</w:t>
      </w:r>
      <w:r w:rsidR="007933EE">
        <w:rPr>
          <w:rFonts w:asciiTheme="majorBidi" w:hAnsiTheme="majorBidi" w:cstheme="majorBidi"/>
        </w:rPr>
        <w:t>u</w:t>
      </w:r>
      <w:r w:rsidR="002E0EC6" w:rsidRPr="000D5DD9">
        <w:rPr>
          <w:rFonts w:asciiTheme="majorBidi" w:hAnsiTheme="majorBidi" w:cstheme="majorBidi"/>
        </w:rPr>
        <w:t xml:space="preserve"> sev vēlamā virzienā</w:t>
      </w:r>
      <w:r>
        <w:rPr>
          <w:rFonts w:asciiTheme="majorBidi" w:hAnsiTheme="majorBidi" w:cstheme="majorBidi"/>
        </w:rPr>
        <w:t>, un</w:t>
      </w:r>
      <w:r w:rsidR="002E0EC6">
        <w:rPr>
          <w:rFonts w:asciiTheme="majorBidi" w:hAnsiTheme="majorBidi" w:cstheme="majorBidi"/>
        </w:rPr>
        <w:t xml:space="preserve"> </w:t>
      </w:r>
      <w:r w:rsidR="002E0EC6" w:rsidRPr="000D5DD9">
        <w:rPr>
          <w:rFonts w:asciiTheme="majorBidi" w:hAnsiTheme="majorBidi" w:cstheme="majorBidi"/>
        </w:rPr>
        <w:t xml:space="preserve">VID </w:t>
      </w:r>
      <w:r w:rsidR="002E0EC6">
        <w:rPr>
          <w:rFonts w:asciiTheme="majorBidi" w:hAnsiTheme="majorBidi" w:cstheme="majorBidi"/>
        </w:rPr>
        <w:t>amatpersonas sniegušas liecības tiesā.</w:t>
      </w:r>
      <w:r w:rsidR="00ED0FF5">
        <w:rPr>
          <w:rFonts w:asciiTheme="majorBidi" w:hAnsiTheme="majorBidi" w:cstheme="majorBidi"/>
        </w:rPr>
        <w:t xml:space="preserve"> Līdz ar to</w:t>
      </w:r>
      <w:r w:rsidR="002E0EC6">
        <w:rPr>
          <w:rFonts w:asciiTheme="majorBidi" w:hAnsiTheme="majorBidi" w:cstheme="majorBidi"/>
        </w:rPr>
        <w:t xml:space="preserve"> apsūdzētajam </w:t>
      </w:r>
      <w:r w:rsidR="007933EE">
        <w:rPr>
          <w:rFonts w:asciiTheme="majorBidi" w:hAnsiTheme="majorBidi" w:cstheme="majorBidi"/>
        </w:rPr>
        <w:t xml:space="preserve">tika </w:t>
      </w:r>
      <w:r w:rsidR="002E0EC6">
        <w:rPr>
          <w:rFonts w:asciiTheme="majorBidi" w:hAnsiTheme="majorBidi" w:cstheme="majorBidi"/>
        </w:rPr>
        <w:t>liegtas</w:t>
      </w:r>
      <w:r w:rsidR="002E0EC6" w:rsidRPr="00167DC0">
        <w:rPr>
          <w:rFonts w:asciiTheme="majorBidi" w:hAnsiTheme="majorBidi" w:cstheme="majorBidi"/>
        </w:rPr>
        <w:t xml:space="preserve"> tiesības uz taisn</w:t>
      </w:r>
      <w:r w:rsidR="002E0EC6">
        <w:rPr>
          <w:rFonts w:asciiTheme="majorBidi" w:hAnsiTheme="majorBidi" w:cstheme="majorBidi"/>
        </w:rPr>
        <w:t>īg</w:t>
      </w:r>
      <w:r w:rsidR="002E0EC6" w:rsidRPr="00167DC0">
        <w:rPr>
          <w:rFonts w:asciiTheme="majorBidi" w:hAnsiTheme="majorBidi" w:cstheme="majorBidi"/>
        </w:rPr>
        <w:t>u tiesu</w:t>
      </w:r>
      <w:bookmarkEnd w:id="6"/>
      <w:r w:rsidR="002E0EC6" w:rsidRPr="00167DC0">
        <w:rPr>
          <w:rFonts w:asciiTheme="majorBidi" w:hAnsiTheme="majorBidi" w:cstheme="majorBidi"/>
        </w:rPr>
        <w:t>.</w:t>
      </w:r>
    </w:p>
    <w:bookmarkEnd w:id="7"/>
    <w:p w14:paraId="0F227B59" w14:textId="77777777" w:rsidR="002E0EC6" w:rsidRDefault="002E0EC6" w:rsidP="00EE7E71">
      <w:pPr>
        <w:suppressAutoHyphens w:val="0"/>
        <w:spacing w:line="276" w:lineRule="auto"/>
        <w:ind w:firstLine="720"/>
        <w:jc w:val="both"/>
        <w:rPr>
          <w:kern w:val="0"/>
        </w:rPr>
      </w:pPr>
    </w:p>
    <w:p w14:paraId="2B0628D1" w14:textId="5B1BB9BE" w:rsidR="00BD057C" w:rsidRDefault="00BD057C" w:rsidP="00EE7E71">
      <w:pPr>
        <w:suppressAutoHyphens w:val="0"/>
        <w:spacing w:line="276" w:lineRule="auto"/>
        <w:ind w:firstLine="720"/>
        <w:jc w:val="both"/>
      </w:pPr>
      <w:r w:rsidRPr="00043125">
        <w:rPr>
          <w:kern w:val="0"/>
        </w:rPr>
        <w:t>[</w:t>
      </w:r>
      <w:r w:rsidR="002E0EC6">
        <w:rPr>
          <w:kern w:val="0"/>
        </w:rPr>
        <w:t>5</w:t>
      </w:r>
      <w:r w:rsidRPr="00043125">
        <w:rPr>
          <w:kern w:val="0"/>
        </w:rPr>
        <w:t>]</w:t>
      </w:r>
      <w:r w:rsidR="00D3480C">
        <w:rPr>
          <w:kern w:val="0"/>
        </w:rPr>
        <w:t> </w:t>
      </w:r>
      <w:r w:rsidRPr="00043125">
        <w:t xml:space="preserve">Par Rīgas apgabaltiesas </w:t>
      </w:r>
      <w:r w:rsidR="007044E4">
        <w:t>2024. gada 9. maija</w:t>
      </w:r>
      <w:r w:rsidRPr="00043125">
        <w:t xml:space="preserve"> spriedumu </w:t>
      </w:r>
      <w:r w:rsidR="007044E4">
        <w:t>Nodokļu un muitas lietu prokuratūras prokurore S. Arhipova</w:t>
      </w:r>
      <w:r w:rsidR="007044E4" w:rsidRPr="00CE3CC2">
        <w:t xml:space="preserve"> </w:t>
      </w:r>
      <w:r w:rsidRPr="00043125">
        <w:t>iesnie</w:t>
      </w:r>
      <w:r>
        <w:t>gusi</w:t>
      </w:r>
      <w:r w:rsidRPr="00043125">
        <w:t xml:space="preserve"> </w:t>
      </w:r>
      <w:bookmarkStart w:id="10" w:name="_Hlk227399470"/>
      <w:r w:rsidRPr="00043125">
        <w:t>kasācijas protestu</w:t>
      </w:r>
      <w:bookmarkEnd w:id="10"/>
      <w:r w:rsidRPr="00043125">
        <w:t>, kurā lūdz</w:t>
      </w:r>
      <w:r w:rsidR="0083208F">
        <w:t xml:space="preserve"> </w:t>
      </w:r>
      <w:r w:rsidR="003966A6">
        <w:t xml:space="preserve">spriedumu </w:t>
      </w:r>
      <w:r w:rsidRPr="00043125">
        <w:t>atcelt un nosūtīt lietu jaunai izskatīšanai apelācijas instances tiesā.</w:t>
      </w:r>
    </w:p>
    <w:p w14:paraId="1569A4EB" w14:textId="18015B11" w:rsidR="00945CFC" w:rsidRDefault="00BD057C" w:rsidP="00EE7E71">
      <w:pPr>
        <w:suppressAutoHyphens w:val="0"/>
        <w:spacing w:line="276" w:lineRule="auto"/>
        <w:ind w:firstLine="720"/>
        <w:jc w:val="both"/>
      </w:pPr>
      <w:r w:rsidRPr="00211AA2">
        <w:t xml:space="preserve">Kasācijas protests pamatots ar </w:t>
      </w:r>
      <w:r w:rsidR="005C7ADB">
        <w:t xml:space="preserve">šādiem </w:t>
      </w:r>
      <w:r w:rsidRPr="00211AA2">
        <w:t>argumentiem.</w:t>
      </w:r>
    </w:p>
    <w:p w14:paraId="61FB522D" w14:textId="6A2DCAFE" w:rsidR="00EF5B4D" w:rsidRDefault="00BD057C" w:rsidP="00EE7E71">
      <w:pPr>
        <w:suppressAutoHyphens w:val="0"/>
        <w:spacing w:line="276" w:lineRule="auto"/>
        <w:ind w:firstLine="720"/>
        <w:jc w:val="both"/>
        <w:rPr>
          <w:color w:val="000000"/>
        </w:rPr>
      </w:pPr>
      <w:r w:rsidRPr="00945CFC">
        <w:t>[</w:t>
      </w:r>
      <w:r w:rsidR="002E0EC6">
        <w:t>5</w:t>
      </w:r>
      <w:r w:rsidRPr="00945CFC">
        <w:t>.1]</w:t>
      </w:r>
      <w:r w:rsidR="002A761C">
        <w:t> </w:t>
      </w:r>
      <w:r w:rsidR="00EF5B4D" w:rsidRPr="002210F0">
        <w:rPr>
          <w:rFonts w:asciiTheme="majorBidi" w:hAnsiTheme="majorBidi" w:cstheme="majorBidi"/>
        </w:rPr>
        <w:t>Apelācijas instances tiesa atzinusi, ka pirmās instances tiesas noteiktais sods pēc Krimināllikuma 220.</w:t>
      </w:r>
      <w:r w:rsidR="00EF5B4D" w:rsidRPr="002210F0">
        <w:rPr>
          <w:rFonts w:asciiTheme="majorBidi" w:hAnsiTheme="majorBidi" w:cstheme="majorBidi"/>
          <w:vertAlign w:val="superscript"/>
        </w:rPr>
        <w:t>1</w:t>
      </w:r>
      <w:r w:rsidR="002A761C">
        <w:rPr>
          <w:rFonts w:asciiTheme="majorBidi" w:hAnsiTheme="majorBidi" w:cstheme="majorBidi"/>
        </w:rPr>
        <w:t> </w:t>
      </w:r>
      <w:r w:rsidR="00EF5B4D" w:rsidRPr="002210F0">
        <w:rPr>
          <w:rFonts w:asciiTheme="majorBidi" w:hAnsiTheme="majorBidi" w:cstheme="majorBidi"/>
        </w:rPr>
        <w:t>panta otrās daļas ir samazināms</w:t>
      </w:r>
      <w:r w:rsidR="002210F0">
        <w:rPr>
          <w:rFonts w:asciiTheme="majorBidi" w:hAnsiTheme="majorBidi" w:cstheme="majorBidi"/>
        </w:rPr>
        <w:t xml:space="preserve"> sakarā ar</w:t>
      </w:r>
      <w:r w:rsidR="00EF5B4D" w:rsidRPr="002210F0">
        <w:rPr>
          <w:rFonts w:asciiTheme="majorBidi" w:hAnsiTheme="majorBidi" w:cstheme="majorBidi"/>
        </w:rPr>
        <w:t xml:space="preserve"> atbildību pastiprinoš</w:t>
      </w:r>
      <w:r w:rsidR="002210F0">
        <w:rPr>
          <w:rFonts w:asciiTheme="majorBidi" w:hAnsiTheme="majorBidi" w:cstheme="majorBidi"/>
        </w:rPr>
        <w:t>ā</w:t>
      </w:r>
      <w:r w:rsidR="00EF5B4D" w:rsidRPr="002210F0">
        <w:rPr>
          <w:rFonts w:asciiTheme="majorBidi" w:hAnsiTheme="majorBidi" w:cstheme="majorBidi"/>
        </w:rPr>
        <w:t xml:space="preserve"> apstāk</w:t>
      </w:r>
      <w:r w:rsidR="002210F0">
        <w:rPr>
          <w:rFonts w:asciiTheme="majorBidi" w:hAnsiTheme="majorBidi" w:cstheme="majorBidi"/>
        </w:rPr>
        <w:t>ļa izslēgšanu</w:t>
      </w:r>
      <w:r w:rsidR="00EF5B4D" w:rsidRPr="002210F0">
        <w:rPr>
          <w:rFonts w:asciiTheme="majorBidi" w:hAnsiTheme="majorBidi" w:cstheme="majorBidi"/>
        </w:rPr>
        <w:t>. Vienlaikus tiesa ir atstājusi negrozītu naudas sodu 5000</w:t>
      </w:r>
      <w:r w:rsidR="002A761C">
        <w:rPr>
          <w:rFonts w:asciiTheme="majorBidi" w:hAnsiTheme="majorBidi" w:cstheme="majorBidi"/>
        </w:rPr>
        <w:t> </w:t>
      </w:r>
      <w:r w:rsidR="00EF5B4D" w:rsidRPr="00EF5B4D">
        <w:rPr>
          <w:rFonts w:asciiTheme="majorBidi" w:hAnsiTheme="majorBidi" w:cstheme="majorBidi"/>
          <w:i/>
          <w:iCs/>
        </w:rPr>
        <w:t>euro</w:t>
      </w:r>
      <w:r w:rsidR="00EF5B4D" w:rsidRPr="002210F0">
        <w:rPr>
          <w:rFonts w:asciiTheme="majorBidi" w:hAnsiTheme="majorBidi" w:cstheme="majorBidi"/>
        </w:rPr>
        <w:t>, neievērojot Krimināllikuma 41.</w:t>
      </w:r>
      <w:r w:rsidR="002A761C">
        <w:rPr>
          <w:rFonts w:asciiTheme="majorBidi" w:hAnsiTheme="majorBidi" w:cstheme="majorBidi"/>
        </w:rPr>
        <w:t> </w:t>
      </w:r>
      <w:r w:rsidR="00EF5B4D" w:rsidRPr="002210F0">
        <w:rPr>
          <w:rFonts w:asciiTheme="majorBidi" w:hAnsiTheme="majorBidi" w:cstheme="majorBidi"/>
        </w:rPr>
        <w:t>panta 2.</w:t>
      </w:r>
      <w:r w:rsidR="00EF5B4D" w:rsidRPr="002210F0">
        <w:rPr>
          <w:rFonts w:asciiTheme="majorBidi" w:hAnsiTheme="majorBidi" w:cstheme="majorBidi"/>
          <w:vertAlign w:val="superscript"/>
        </w:rPr>
        <w:t>1</w:t>
      </w:r>
      <w:r w:rsidR="002A761C" w:rsidRPr="002A761C">
        <w:rPr>
          <w:rFonts w:asciiTheme="majorBidi" w:hAnsiTheme="majorBidi" w:cstheme="majorBidi"/>
        </w:rPr>
        <w:t> </w:t>
      </w:r>
      <w:r w:rsidR="00EF5B4D" w:rsidRPr="002210F0">
        <w:rPr>
          <w:rFonts w:asciiTheme="majorBidi" w:hAnsiTheme="majorBidi" w:cstheme="majorBidi"/>
        </w:rPr>
        <w:t>daļu, kas noteic, ka naudas sods nosakāms ne tikai Latvijas Republikas naudas vienībās, bet arī Latvijas Republikā noteikto minimālo mēnešalgu apmērā.</w:t>
      </w:r>
    </w:p>
    <w:p w14:paraId="65440162" w14:textId="24621DF1" w:rsidR="00B548BC" w:rsidRDefault="00136E0F" w:rsidP="00EE7E71">
      <w:pPr>
        <w:suppressAutoHyphens w:val="0"/>
        <w:spacing w:line="276" w:lineRule="auto"/>
        <w:ind w:firstLine="720"/>
        <w:jc w:val="both"/>
        <w:rPr>
          <w:rFonts w:asciiTheme="majorBidi" w:hAnsiTheme="majorBidi" w:cstheme="majorBidi"/>
        </w:rPr>
      </w:pPr>
      <w:bookmarkStart w:id="11" w:name="_Hlk216685709"/>
      <w:r w:rsidRPr="00136E0F">
        <w:rPr>
          <w:color w:val="000000"/>
        </w:rPr>
        <w:t>[5.2]</w:t>
      </w:r>
      <w:r w:rsidR="00D3480C">
        <w:rPr>
          <w:color w:val="000000"/>
        </w:rPr>
        <w:t> </w:t>
      </w:r>
      <w:r w:rsidR="006A2BA1" w:rsidRPr="006A2BA1">
        <w:rPr>
          <w:color w:val="000000"/>
        </w:rPr>
        <w:t>K</w:t>
      </w:r>
      <w:r w:rsidR="007234A6" w:rsidRPr="006A2BA1">
        <w:rPr>
          <w:color w:val="000000"/>
        </w:rPr>
        <w:t>rāpšana</w:t>
      </w:r>
      <w:r w:rsidR="001573F3" w:rsidRPr="006A2BA1">
        <w:rPr>
          <w:color w:val="000000"/>
        </w:rPr>
        <w:t xml:space="preserve"> tika pabeigta</w:t>
      </w:r>
      <w:r w:rsidR="00D7622F" w:rsidRPr="006A2BA1">
        <w:rPr>
          <w:color w:val="000000"/>
        </w:rPr>
        <w:t xml:space="preserve"> </w:t>
      </w:r>
      <w:r w:rsidRPr="006A2BA1">
        <w:rPr>
          <w:color w:val="000000"/>
        </w:rPr>
        <w:t>2013.</w:t>
      </w:r>
      <w:r w:rsidR="004330DA" w:rsidRPr="006A2BA1">
        <w:rPr>
          <w:color w:val="000000"/>
        </w:rPr>
        <w:t> </w:t>
      </w:r>
      <w:r w:rsidRPr="006A2BA1">
        <w:rPr>
          <w:color w:val="000000"/>
        </w:rPr>
        <w:t>gada 22. maij</w:t>
      </w:r>
      <w:r w:rsidR="001573F3" w:rsidRPr="006A2BA1">
        <w:rPr>
          <w:color w:val="000000"/>
        </w:rPr>
        <w:t>ā</w:t>
      </w:r>
      <w:r w:rsidR="001573F3">
        <w:rPr>
          <w:color w:val="000000"/>
        </w:rPr>
        <w:t>, proti, dienā,</w:t>
      </w:r>
      <w:r w:rsidRPr="00136E0F">
        <w:rPr>
          <w:color w:val="000000"/>
        </w:rPr>
        <w:t xml:space="preserve"> kad </w:t>
      </w:r>
      <w:r w:rsidR="001573F3">
        <w:rPr>
          <w:color w:val="000000"/>
        </w:rPr>
        <w:t>pēdējo reizi</w:t>
      </w:r>
      <w:r w:rsidR="001573F3" w:rsidRPr="00136E0F">
        <w:rPr>
          <w:color w:val="000000"/>
        </w:rPr>
        <w:t xml:space="preserve"> </w:t>
      </w:r>
      <w:r w:rsidRPr="00136E0F">
        <w:rPr>
          <w:color w:val="000000"/>
        </w:rPr>
        <w:t>AS</w:t>
      </w:r>
      <w:r w:rsidR="004330DA">
        <w:rPr>
          <w:color w:val="000000"/>
        </w:rPr>
        <w:t> </w:t>
      </w:r>
      <w:r w:rsidRPr="00136E0F">
        <w:rPr>
          <w:color w:val="000000"/>
        </w:rPr>
        <w:t>„</w:t>
      </w:r>
      <w:r w:rsidR="0088482E">
        <w:rPr>
          <w:color w:val="000000"/>
        </w:rPr>
        <w:t>[Nosaukums A]</w:t>
      </w:r>
      <w:r w:rsidRPr="00136E0F">
        <w:rPr>
          <w:color w:val="000000"/>
        </w:rPr>
        <w:t xml:space="preserve">” </w:t>
      </w:r>
      <w:r w:rsidR="00B548BC">
        <w:rPr>
          <w:color w:val="000000"/>
        </w:rPr>
        <w:t>nepamatoti</w:t>
      </w:r>
      <w:r w:rsidR="00D7622F">
        <w:rPr>
          <w:color w:val="000000"/>
        </w:rPr>
        <w:t xml:space="preserve"> tika</w:t>
      </w:r>
      <w:r w:rsidR="00B548BC">
        <w:rPr>
          <w:color w:val="000000"/>
        </w:rPr>
        <w:t xml:space="preserve"> </w:t>
      </w:r>
      <w:r w:rsidR="008D3DB2">
        <w:rPr>
          <w:color w:val="000000"/>
        </w:rPr>
        <w:t>at</w:t>
      </w:r>
      <w:r w:rsidRPr="00136E0F">
        <w:rPr>
          <w:color w:val="000000"/>
        </w:rPr>
        <w:t>maksāt</w:t>
      </w:r>
      <w:r w:rsidR="001573F3">
        <w:rPr>
          <w:color w:val="000000"/>
        </w:rPr>
        <w:t>s</w:t>
      </w:r>
      <w:r w:rsidR="00B548BC">
        <w:rPr>
          <w:color w:val="000000"/>
        </w:rPr>
        <w:t xml:space="preserve"> </w:t>
      </w:r>
      <w:r w:rsidR="00D7622F">
        <w:rPr>
          <w:color w:val="000000"/>
        </w:rPr>
        <w:t>PVN</w:t>
      </w:r>
      <w:r w:rsidRPr="00136E0F">
        <w:rPr>
          <w:color w:val="000000"/>
        </w:rPr>
        <w:t>. Tomēr</w:t>
      </w:r>
      <w:r w:rsidR="00B548BC">
        <w:rPr>
          <w:color w:val="000000"/>
        </w:rPr>
        <w:t>, nosakot sodu,</w:t>
      </w:r>
      <w:r w:rsidRPr="00136E0F">
        <w:rPr>
          <w:color w:val="000000"/>
        </w:rPr>
        <w:t xml:space="preserve"> </w:t>
      </w:r>
      <w:r w:rsidR="00B548BC">
        <w:rPr>
          <w:color w:val="000000"/>
        </w:rPr>
        <w:t xml:space="preserve">tiesa nepamatoti </w:t>
      </w:r>
      <w:r w:rsidRPr="00136E0F">
        <w:rPr>
          <w:color w:val="000000"/>
        </w:rPr>
        <w:t>piemēroj</w:t>
      </w:r>
      <w:r w:rsidR="00B548BC">
        <w:rPr>
          <w:color w:val="000000"/>
        </w:rPr>
        <w:t>usi</w:t>
      </w:r>
      <w:r w:rsidRPr="00136E0F">
        <w:rPr>
          <w:color w:val="000000"/>
        </w:rPr>
        <w:t xml:space="preserve"> Krimināllikuma 177.</w:t>
      </w:r>
      <w:r>
        <w:rPr>
          <w:color w:val="000000"/>
        </w:rPr>
        <w:t> </w:t>
      </w:r>
      <w:r w:rsidRPr="00136E0F">
        <w:rPr>
          <w:color w:val="000000"/>
        </w:rPr>
        <w:t>panta trešo daļu redakcijā</w:t>
      </w:r>
      <w:r w:rsidR="00CB0F23">
        <w:rPr>
          <w:color w:val="000000"/>
        </w:rPr>
        <w:t xml:space="preserve"> </w:t>
      </w:r>
      <w:r w:rsidRPr="00136E0F">
        <w:rPr>
          <w:color w:val="000000"/>
        </w:rPr>
        <w:t>līdz 2013.</w:t>
      </w:r>
      <w:r w:rsidR="00401DA3">
        <w:rPr>
          <w:color w:val="000000"/>
        </w:rPr>
        <w:t> </w:t>
      </w:r>
      <w:r w:rsidRPr="00136E0F">
        <w:rPr>
          <w:color w:val="000000"/>
        </w:rPr>
        <w:t>gada 31.</w:t>
      </w:r>
      <w:r>
        <w:rPr>
          <w:color w:val="000000"/>
        </w:rPr>
        <w:t> </w:t>
      </w:r>
      <w:r w:rsidRPr="00136E0F">
        <w:rPr>
          <w:color w:val="000000"/>
        </w:rPr>
        <w:t xml:space="preserve">martam, </w:t>
      </w:r>
      <w:r w:rsidR="00B548BC">
        <w:rPr>
          <w:color w:val="000000"/>
        </w:rPr>
        <w:t xml:space="preserve">tādējādi </w:t>
      </w:r>
      <w:r w:rsidRPr="00136E0F">
        <w:rPr>
          <w:color w:val="000000"/>
        </w:rPr>
        <w:t>pārkāp</w:t>
      </w:r>
      <w:r w:rsidR="00CB0F23">
        <w:rPr>
          <w:color w:val="000000"/>
        </w:rPr>
        <w:t>usi</w:t>
      </w:r>
      <w:r w:rsidRPr="00136E0F">
        <w:rPr>
          <w:color w:val="000000"/>
        </w:rPr>
        <w:t xml:space="preserve"> Krimināllikuma 5.</w:t>
      </w:r>
      <w:r w:rsidR="00401DA3">
        <w:rPr>
          <w:color w:val="000000"/>
        </w:rPr>
        <w:t> </w:t>
      </w:r>
      <w:r w:rsidRPr="00136E0F">
        <w:rPr>
          <w:color w:val="000000"/>
        </w:rPr>
        <w:t>panta pirmo daļu</w:t>
      </w:r>
      <w:r w:rsidR="00CB0F23">
        <w:rPr>
          <w:color w:val="000000"/>
        </w:rPr>
        <w:t xml:space="preserve">, </w:t>
      </w:r>
      <w:r w:rsidRPr="00136E0F">
        <w:rPr>
          <w:color w:val="000000"/>
        </w:rPr>
        <w:t>pasliktin</w:t>
      </w:r>
      <w:r w:rsidR="00CB0F23">
        <w:rPr>
          <w:color w:val="000000"/>
        </w:rPr>
        <w:t>ot</w:t>
      </w:r>
      <w:r w:rsidRPr="00136E0F">
        <w:rPr>
          <w:color w:val="000000"/>
        </w:rPr>
        <w:t xml:space="preserve"> apsūdzētā stāvokli</w:t>
      </w:r>
      <w:r w:rsidR="00CB0F23">
        <w:rPr>
          <w:color w:val="000000"/>
        </w:rPr>
        <w:t>,</w:t>
      </w:r>
      <w:r w:rsidRPr="00136E0F">
        <w:rPr>
          <w:color w:val="000000"/>
        </w:rPr>
        <w:t xml:space="preserve"> jo </w:t>
      </w:r>
      <w:r w:rsidR="00CB0F23">
        <w:rPr>
          <w:color w:val="000000"/>
        </w:rPr>
        <w:t>minētā</w:t>
      </w:r>
      <w:r w:rsidRPr="00136E0F">
        <w:rPr>
          <w:color w:val="000000"/>
        </w:rPr>
        <w:t xml:space="preserve"> redakcija paredzēja bargāku</w:t>
      </w:r>
      <w:r w:rsidR="008F2386">
        <w:rPr>
          <w:color w:val="000000"/>
        </w:rPr>
        <w:t xml:space="preserve"> </w:t>
      </w:r>
      <w:r w:rsidRPr="00136E0F">
        <w:rPr>
          <w:color w:val="000000"/>
        </w:rPr>
        <w:t xml:space="preserve">sodu </w:t>
      </w:r>
      <w:r w:rsidR="00401DA3">
        <w:rPr>
          <w:color w:val="000000"/>
        </w:rPr>
        <w:t xml:space="preserve">– </w:t>
      </w:r>
      <w:r w:rsidR="00CB0F23">
        <w:rPr>
          <w:color w:val="000000"/>
        </w:rPr>
        <w:t xml:space="preserve">brīvības atņemšanu no </w:t>
      </w:r>
      <w:r w:rsidR="00B46892">
        <w:rPr>
          <w:color w:val="000000"/>
        </w:rPr>
        <w:t>pieciem</w:t>
      </w:r>
      <w:r w:rsidR="00CB0F23">
        <w:rPr>
          <w:color w:val="000000"/>
        </w:rPr>
        <w:t xml:space="preserve"> līdz </w:t>
      </w:r>
      <w:r w:rsidR="00B46892">
        <w:rPr>
          <w:color w:val="000000"/>
        </w:rPr>
        <w:t>trīspadsmit</w:t>
      </w:r>
      <w:r w:rsidR="00B46892" w:rsidRPr="00136E0F">
        <w:rPr>
          <w:color w:val="000000"/>
        </w:rPr>
        <w:t xml:space="preserve"> </w:t>
      </w:r>
      <w:r w:rsidRPr="00136E0F">
        <w:rPr>
          <w:color w:val="000000"/>
        </w:rPr>
        <w:t>gadi</w:t>
      </w:r>
      <w:r w:rsidR="00CB0F23">
        <w:rPr>
          <w:color w:val="000000"/>
        </w:rPr>
        <w:t>em</w:t>
      </w:r>
      <w:r w:rsidR="00401DA3">
        <w:rPr>
          <w:color w:val="000000"/>
        </w:rPr>
        <w:t xml:space="preserve"> –</w:t>
      </w:r>
      <w:r w:rsidR="00CB0F23">
        <w:rPr>
          <w:color w:val="000000"/>
        </w:rPr>
        <w:t>,</w:t>
      </w:r>
      <w:r w:rsidRPr="00136E0F">
        <w:rPr>
          <w:color w:val="000000"/>
        </w:rPr>
        <w:t xml:space="preserve"> nekā</w:t>
      </w:r>
      <w:r>
        <w:rPr>
          <w:color w:val="000000"/>
        </w:rPr>
        <w:t xml:space="preserve"> noziedzīga nodarījuma pabeigšanas </w:t>
      </w:r>
      <w:r w:rsidR="00CB0F23">
        <w:rPr>
          <w:color w:val="000000"/>
        </w:rPr>
        <w:t>laikā spēkā esošā redakcija</w:t>
      </w:r>
      <w:r w:rsidR="008D3DB2">
        <w:rPr>
          <w:color w:val="000000"/>
        </w:rPr>
        <w:t>.</w:t>
      </w:r>
      <w:bookmarkEnd w:id="11"/>
    </w:p>
    <w:p w14:paraId="6E73475F" w14:textId="77777777" w:rsidR="00501158" w:rsidRDefault="00501158" w:rsidP="00EE7E71">
      <w:pPr>
        <w:suppressAutoHyphens w:val="0"/>
        <w:spacing w:line="276" w:lineRule="auto"/>
        <w:ind w:firstLine="720"/>
        <w:jc w:val="both"/>
        <w:rPr>
          <w:rFonts w:asciiTheme="majorBidi" w:hAnsiTheme="majorBidi" w:cstheme="majorBidi"/>
          <w:color w:val="000000"/>
        </w:rPr>
      </w:pPr>
    </w:p>
    <w:p w14:paraId="2C3F029A" w14:textId="7F1547E0" w:rsidR="003D5DD3" w:rsidRDefault="009F2C80" w:rsidP="00EE7E71">
      <w:pPr>
        <w:suppressAutoHyphens w:val="0"/>
        <w:spacing w:line="276" w:lineRule="auto"/>
        <w:ind w:firstLine="720"/>
        <w:jc w:val="both"/>
        <w:rPr>
          <w:rFonts w:asciiTheme="majorBidi" w:hAnsiTheme="majorBidi" w:cstheme="majorBidi"/>
        </w:rPr>
      </w:pPr>
      <w:r w:rsidRPr="003D5DD3">
        <w:rPr>
          <w:rFonts w:asciiTheme="majorBidi" w:hAnsiTheme="majorBidi" w:cstheme="majorBidi"/>
          <w:color w:val="000000"/>
        </w:rPr>
        <w:t>[</w:t>
      </w:r>
      <w:r w:rsidR="002E0EC6">
        <w:rPr>
          <w:rFonts w:asciiTheme="majorBidi" w:hAnsiTheme="majorBidi" w:cstheme="majorBidi"/>
          <w:color w:val="000000"/>
        </w:rPr>
        <w:t>6</w:t>
      </w:r>
      <w:r w:rsidRPr="003D5DD3">
        <w:rPr>
          <w:rFonts w:asciiTheme="majorBidi" w:hAnsiTheme="majorBidi" w:cstheme="majorBidi"/>
          <w:color w:val="000000"/>
        </w:rPr>
        <w:t>]</w:t>
      </w:r>
      <w:r w:rsidR="00D3480C">
        <w:rPr>
          <w:rFonts w:asciiTheme="majorBidi" w:hAnsiTheme="majorBidi" w:cstheme="majorBidi"/>
          <w:color w:val="000000"/>
        </w:rPr>
        <w:t> </w:t>
      </w:r>
      <w:r w:rsidR="003D5DD3" w:rsidRPr="003D5DD3">
        <w:rPr>
          <w:rFonts w:asciiTheme="majorBidi" w:hAnsiTheme="majorBidi" w:cstheme="majorBidi"/>
        </w:rPr>
        <w:t xml:space="preserve">Par apelācijas instances tiesas spriedumu aizstāve D. Ozoliņa iesniegusi kasācijas sūdzību, kurā lūdz atcelt spriedumu daļā par apsūdzētajam noteikto sodu pēc </w:t>
      </w:r>
      <w:r w:rsidR="003D5DD3" w:rsidRPr="003D5DD3">
        <w:rPr>
          <w:rFonts w:asciiTheme="majorBidi" w:hAnsiTheme="majorBidi" w:cstheme="majorBidi"/>
          <w:bCs/>
        </w:rPr>
        <w:t>Krimināllikuma 177.</w:t>
      </w:r>
      <w:r w:rsidR="003D5DD3">
        <w:rPr>
          <w:rFonts w:asciiTheme="majorBidi" w:hAnsiTheme="majorBidi" w:cstheme="majorBidi"/>
          <w:bCs/>
        </w:rPr>
        <w:t> </w:t>
      </w:r>
      <w:r w:rsidR="003D5DD3" w:rsidRPr="003D5DD3">
        <w:rPr>
          <w:rFonts w:asciiTheme="majorBidi" w:hAnsiTheme="majorBidi" w:cstheme="majorBidi"/>
          <w:bCs/>
        </w:rPr>
        <w:t>panta trešās daļas (redakcijā līdz 2013.</w:t>
      </w:r>
      <w:r w:rsidR="003D5DD3">
        <w:rPr>
          <w:rFonts w:asciiTheme="majorBidi" w:hAnsiTheme="majorBidi" w:cstheme="majorBidi"/>
          <w:bCs/>
        </w:rPr>
        <w:t> </w:t>
      </w:r>
      <w:r w:rsidR="003D5DD3" w:rsidRPr="003D5DD3">
        <w:rPr>
          <w:rFonts w:asciiTheme="majorBidi" w:hAnsiTheme="majorBidi" w:cstheme="majorBidi"/>
          <w:bCs/>
        </w:rPr>
        <w:t>gada 31.</w:t>
      </w:r>
      <w:r w:rsidR="003D5DD3">
        <w:rPr>
          <w:rFonts w:asciiTheme="majorBidi" w:hAnsiTheme="majorBidi" w:cstheme="majorBidi"/>
          <w:bCs/>
        </w:rPr>
        <w:t> </w:t>
      </w:r>
      <w:r w:rsidR="003D5DD3" w:rsidRPr="003D5DD3">
        <w:rPr>
          <w:rFonts w:asciiTheme="majorBidi" w:hAnsiTheme="majorBidi" w:cstheme="majorBidi"/>
          <w:bCs/>
        </w:rPr>
        <w:t xml:space="preserve">martam) un par galīgo sodu </w:t>
      </w:r>
      <w:r w:rsidR="003D5DD3" w:rsidRPr="003D5DD3">
        <w:rPr>
          <w:rFonts w:asciiTheme="majorBidi" w:hAnsiTheme="majorBidi" w:cstheme="majorBidi"/>
        </w:rPr>
        <w:t>un</w:t>
      </w:r>
      <w:r w:rsidR="003D5DD3">
        <w:rPr>
          <w:rFonts w:asciiTheme="majorBidi" w:hAnsiTheme="majorBidi" w:cstheme="majorBidi"/>
        </w:rPr>
        <w:t xml:space="preserve"> </w:t>
      </w:r>
      <w:r w:rsidR="00467A38">
        <w:rPr>
          <w:rFonts w:asciiTheme="majorBidi" w:hAnsiTheme="majorBidi" w:cstheme="majorBidi"/>
        </w:rPr>
        <w:t>šajā</w:t>
      </w:r>
      <w:r w:rsidR="003D5DD3">
        <w:rPr>
          <w:rFonts w:asciiTheme="majorBidi" w:hAnsiTheme="majorBidi" w:cstheme="majorBidi"/>
        </w:rPr>
        <w:t xml:space="preserve"> daļā</w:t>
      </w:r>
      <w:r w:rsidR="003D5DD3" w:rsidRPr="003D5DD3">
        <w:rPr>
          <w:rFonts w:asciiTheme="majorBidi" w:hAnsiTheme="majorBidi" w:cstheme="majorBidi"/>
        </w:rPr>
        <w:t xml:space="preserve"> nosūtīt lietu jaunai izskatīšanai apelācijas instances tiesā.</w:t>
      </w:r>
    </w:p>
    <w:p w14:paraId="22164C5D" w14:textId="6E6EFA10" w:rsidR="00843DBE" w:rsidRPr="00A119FE" w:rsidRDefault="00A119FE" w:rsidP="00EE7E71">
      <w:pPr>
        <w:suppressAutoHyphens w:val="0"/>
        <w:spacing w:line="276" w:lineRule="auto"/>
        <w:ind w:firstLine="720"/>
        <w:jc w:val="both"/>
        <w:rPr>
          <w:rFonts w:asciiTheme="majorBidi" w:hAnsiTheme="majorBidi" w:cstheme="majorBidi"/>
        </w:rPr>
      </w:pPr>
      <w:r w:rsidRPr="00A119FE">
        <w:rPr>
          <w:rFonts w:asciiTheme="majorBidi" w:hAnsiTheme="majorBidi" w:cstheme="majorBidi"/>
        </w:rPr>
        <w:t>Kasācijas sūdzībā aizstāve norādījusi tos pašus argumentus, ko prokuror</w:t>
      </w:r>
      <w:r w:rsidR="008D3DB2">
        <w:rPr>
          <w:rFonts w:asciiTheme="majorBidi" w:hAnsiTheme="majorBidi" w:cstheme="majorBidi"/>
        </w:rPr>
        <w:t>e</w:t>
      </w:r>
      <w:r w:rsidRPr="00A119FE">
        <w:rPr>
          <w:rFonts w:asciiTheme="majorBidi" w:hAnsiTheme="majorBidi" w:cstheme="majorBidi"/>
        </w:rPr>
        <w:t xml:space="preserve"> iztei</w:t>
      </w:r>
      <w:r w:rsidR="008D3DB2">
        <w:rPr>
          <w:rFonts w:asciiTheme="majorBidi" w:hAnsiTheme="majorBidi" w:cstheme="majorBidi"/>
        </w:rPr>
        <w:t>kusi</w:t>
      </w:r>
      <w:r w:rsidRPr="00A119FE">
        <w:rPr>
          <w:rFonts w:asciiTheme="majorBidi" w:hAnsiTheme="majorBidi" w:cstheme="majorBidi"/>
        </w:rPr>
        <w:t xml:space="preserve"> kasācijas protestā</w:t>
      </w:r>
      <w:r>
        <w:rPr>
          <w:rFonts w:asciiTheme="majorBidi" w:hAnsiTheme="majorBidi" w:cstheme="majorBidi"/>
        </w:rPr>
        <w:t xml:space="preserve">, </w:t>
      </w:r>
      <w:r w:rsidRPr="00A119FE">
        <w:rPr>
          <w:rFonts w:asciiTheme="majorBidi" w:hAnsiTheme="majorBidi" w:cstheme="majorBidi"/>
        </w:rPr>
        <w:t>un papildus izvirzījusi šādus argumentus.</w:t>
      </w:r>
    </w:p>
    <w:p w14:paraId="2211186F" w14:textId="77777777" w:rsidR="00501158" w:rsidRDefault="0052020D" w:rsidP="00EE7E71">
      <w:pPr>
        <w:suppressAutoHyphens w:val="0"/>
        <w:spacing w:line="276" w:lineRule="auto"/>
        <w:ind w:firstLine="720"/>
        <w:jc w:val="both"/>
        <w:rPr>
          <w:rFonts w:asciiTheme="majorBidi" w:hAnsiTheme="majorBidi" w:cstheme="majorBidi"/>
        </w:rPr>
      </w:pPr>
      <w:r>
        <w:rPr>
          <w:color w:val="000000"/>
        </w:rPr>
        <w:t>[</w:t>
      </w:r>
      <w:r w:rsidR="002E0EC6">
        <w:rPr>
          <w:color w:val="000000"/>
        </w:rPr>
        <w:t>6</w:t>
      </w:r>
      <w:r>
        <w:rPr>
          <w:color w:val="000000"/>
        </w:rPr>
        <w:t>.1]</w:t>
      </w:r>
      <w:r w:rsidR="00D3480C">
        <w:rPr>
          <w:color w:val="000000"/>
        </w:rPr>
        <w:t> </w:t>
      </w:r>
      <w:r w:rsidR="00692957">
        <w:rPr>
          <w:rFonts w:asciiTheme="majorBidi" w:hAnsiTheme="majorBidi" w:cstheme="majorBidi"/>
        </w:rPr>
        <w:t>Apelācijas instances tiesa</w:t>
      </w:r>
      <w:r w:rsidR="00692957" w:rsidRPr="00692957">
        <w:rPr>
          <w:rFonts w:asciiTheme="majorBidi" w:hAnsiTheme="majorBidi" w:cstheme="majorBidi"/>
        </w:rPr>
        <w:t xml:space="preserve"> </w:t>
      </w:r>
      <w:r w:rsidR="00692957" w:rsidRPr="00945CFC">
        <w:rPr>
          <w:color w:val="000000"/>
        </w:rPr>
        <w:t xml:space="preserve">par Krimināllikuma </w:t>
      </w:r>
      <w:r w:rsidR="00692957">
        <w:rPr>
          <w:color w:val="000000"/>
        </w:rPr>
        <w:t>220.</w:t>
      </w:r>
      <w:r w:rsidR="00692957" w:rsidRPr="004B0644">
        <w:rPr>
          <w:color w:val="000000"/>
          <w:vertAlign w:val="superscript"/>
        </w:rPr>
        <w:t>1</w:t>
      </w:r>
      <w:r w:rsidR="00692957">
        <w:rPr>
          <w:color w:val="000000"/>
        </w:rPr>
        <w:t> panta otrajā daļā</w:t>
      </w:r>
      <w:r w:rsidR="00692957" w:rsidRPr="00945CFC">
        <w:rPr>
          <w:color w:val="000000"/>
        </w:rPr>
        <w:t xml:space="preserve"> paredzēt</w:t>
      </w:r>
      <w:r w:rsidR="00692957">
        <w:rPr>
          <w:color w:val="000000"/>
        </w:rPr>
        <w:t>o</w:t>
      </w:r>
      <w:r w:rsidR="00692957" w:rsidRPr="00945CFC">
        <w:rPr>
          <w:color w:val="000000"/>
        </w:rPr>
        <w:t xml:space="preserve"> noziedzīg</w:t>
      </w:r>
      <w:r w:rsidR="00692957">
        <w:rPr>
          <w:color w:val="000000"/>
        </w:rPr>
        <w:t>o</w:t>
      </w:r>
      <w:r w:rsidR="00692957" w:rsidRPr="00945CFC">
        <w:rPr>
          <w:color w:val="000000"/>
        </w:rPr>
        <w:t xml:space="preserve"> nodarījum</w:t>
      </w:r>
      <w:r w:rsidR="00692957">
        <w:rPr>
          <w:color w:val="000000"/>
        </w:rPr>
        <w:t>u</w:t>
      </w:r>
      <w:r w:rsidR="00692957" w:rsidRPr="00945CFC">
        <w:rPr>
          <w:color w:val="000000"/>
        </w:rPr>
        <w:t xml:space="preserve"> </w:t>
      </w:r>
      <w:r w:rsidR="00692957" w:rsidRPr="00692957">
        <w:rPr>
          <w:rFonts w:asciiTheme="majorBidi" w:hAnsiTheme="majorBidi" w:cstheme="majorBidi"/>
        </w:rPr>
        <w:t xml:space="preserve">tikai šķietami </w:t>
      </w:r>
      <w:r w:rsidR="008D3DB2">
        <w:rPr>
          <w:rFonts w:asciiTheme="majorBidi" w:hAnsiTheme="majorBidi" w:cstheme="majorBidi"/>
        </w:rPr>
        <w:t xml:space="preserve">ir </w:t>
      </w:r>
      <w:r w:rsidR="00692957" w:rsidRPr="00692957">
        <w:rPr>
          <w:rFonts w:asciiTheme="majorBidi" w:hAnsiTheme="majorBidi" w:cstheme="majorBidi"/>
        </w:rPr>
        <w:t>samazinājusi sodu</w:t>
      </w:r>
      <w:r w:rsidR="008D3DB2">
        <w:rPr>
          <w:rFonts w:asciiTheme="majorBidi" w:hAnsiTheme="majorBidi" w:cstheme="majorBidi"/>
        </w:rPr>
        <w:t xml:space="preserve"> – </w:t>
      </w:r>
      <w:r w:rsidR="00467A38">
        <w:rPr>
          <w:rFonts w:asciiTheme="majorBidi" w:hAnsiTheme="majorBidi" w:cstheme="majorBidi"/>
        </w:rPr>
        <w:t xml:space="preserve">lai gan </w:t>
      </w:r>
      <w:r w:rsidR="00CB0F23">
        <w:rPr>
          <w:rFonts w:asciiTheme="majorBidi" w:hAnsiTheme="majorBidi" w:cstheme="majorBidi"/>
        </w:rPr>
        <w:t>tas</w:t>
      </w:r>
      <w:r w:rsidR="00467A38">
        <w:rPr>
          <w:rFonts w:asciiTheme="majorBidi" w:hAnsiTheme="majorBidi" w:cstheme="majorBidi"/>
        </w:rPr>
        <w:t xml:space="preserve"> samazināts</w:t>
      </w:r>
      <w:r w:rsidR="00692957" w:rsidRPr="00692957">
        <w:rPr>
          <w:rFonts w:asciiTheme="majorBidi" w:hAnsiTheme="majorBidi" w:cstheme="majorBidi"/>
        </w:rPr>
        <w:t xml:space="preserve"> par </w:t>
      </w:r>
      <w:r w:rsidR="0001120C">
        <w:rPr>
          <w:rFonts w:asciiTheme="majorBidi" w:hAnsiTheme="majorBidi" w:cstheme="majorBidi"/>
        </w:rPr>
        <w:t>2</w:t>
      </w:r>
      <w:r w:rsidR="0001120C" w:rsidRPr="00692957">
        <w:rPr>
          <w:rFonts w:asciiTheme="majorBidi" w:hAnsiTheme="majorBidi" w:cstheme="majorBidi"/>
        </w:rPr>
        <w:t xml:space="preserve"> </w:t>
      </w:r>
      <w:r w:rsidR="008F2386">
        <w:rPr>
          <w:rFonts w:asciiTheme="majorBidi" w:hAnsiTheme="majorBidi" w:cstheme="majorBidi"/>
        </w:rPr>
        <w:t xml:space="preserve">Latvijas Republikā noteiktajām minimālajām </w:t>
      </w:r>
      <w:r w:rsidR="00692957" w:rsidRPr="00692957">
        <w:rPr>
          <w:rFonts w:asciiTheme="majorBidi" w:hAnsiTheme="majorBidi" w:cstheme="majorBidi"/>
        </w:rPr>
        <w:t>mēnešalgām,</w:t>
      </w:r>
      <w:r w:rsidR="00692957">
        <w:rPr>
          <w:rFonts w:asciiTheme="majorBidi" w:hAnsiTheme="majorBidi" w:cstheme="majorBidi"/>
        </w:rPr>
        <w:t xml:space="preserve"> pirmās instances tiesas </w:t>
      </w:r>
      <w:r w:rsidR="008F2386">
        <w:rPr>
          <w:rFonts w:asciiTheme="majorBidi" w:hAnsiTheme="majorBidi" w:cstheme="majorBidi"/>
        </w:rPr>
        <w:t>spriedumā norādīt</w:t>
      </w:r>
      <w:r w:rsidR="00CB0F23">
        <w:rPr>
          <w:rFonts w:asciiTheme="majorBidi" w:hAnsiTheme="majorBidi" w:cstheme="majorBidi"/>
        </w:rPr>
        <w:t>ais</w:t>
      </w:r>
      <w:r w:rsidR="008F2386">
        <w:rPr>
          <w:rFonts w:asciiTheme="majorBidi" w:hAnsiTheme="majorBidi" w:cstheme="majorBidi"/>
        </w:rPr>
        <w:t xml:space="preserve"> naudas </w:t>
      </w:r>
      <w:r w:rsidR="00692957" w:rsidRPr="00692957">
        <w:rPr>
          <w:rFonts w:asciiTheme="majorBidi" w:hAnsiTheme="majorBidi" w:cstheme="majorBidi"/>
        </w:rPr>
        <w:t>sod</w:t>
      </w:r>
      <w:r w:rsidR="00692957">
        <w:rPr>
          <w:rFonts w:asciiTheme="majorBidi" w:hAnsiTheme="majorBidi" w:cstheme="majorBidi"/>
        </w:rPr>
        <w:t xml:space="preserve">a </w:t>
      </w:r>
      <w:r w:rsidR="00CB0F23">
        <w:rPr>
          <w:rFonts w:asciiTheme="majorBidi" w:hAnsiTheme="majorBidi" w:cstheme="majorBidi"/>
        </w:rPr>
        <w:t>mērs</w:t>
      </w:r>
      <w:r w:rsidR="008F2386">
        <w:rPr>
          <w:rFonts w:asciiTheme="majorBidi" w:hAnsiTheme="majorBidi" w:cstheme="majorBidi"/>
        </w:rPr>
        <w:t xml:space="preserve"> – 5000 </w:t>
      </w:r>
      <w:r w:rsidR="008F2386">
        <w:rPr>
          <w:rFonts w:asciiTheme="majorBidi" w:hAnsiTheme="majorBidi" w:cstheme="majorBidi"/>
          <w:i/>
          <w:iCs/>
        </w:rPr>
        <w:t xml:space="preserve">euro </w:t>
      </w:r>
      <w:r w:rsidR="008F2386">
        <w:rPr>
          <w:rFonts w:asciiTheme="majorBidi" w:hAnsiTheme="majorBidi" w:cstheme="majorBidi"/>
        </w:rPr>
        <w:t>– atstāt</w:t>
      </w:r>
      <w:r w:rsidR="00CB0F23">
        <w:rPr>
          <w:rFonts w:asciiTheme="majorBidi" w:hAnsiTheme="majorBidi" w:cstheme="majorBidi"/>
        </w:rPr>
        <w:t>s</w:t>
      </w:r>
      <w:r w:rsidR="008F2386">
        <w:rPr>
          <w:rFonts w:asciiTheme="majorBidi" w:hAnsiTheme="majorBidi" w:cstheme="majorBidi"/>
        </w:rPr>
        <w:t xml:space="preserve"> negrozīt</w:t>
      </w:r>
      <w:r w:rsidR="00CB0F23">
        <w:rPr>
          <w:rFonts w:asciiTheme="majorBidi" w:hAnsiTheme="majorBidi" w:cstheme="majorBidi"/>
        </w:rPr>
        <w:t>s</w:t>
      </w:r>
      <w:r w:rsidR="00467A38">
        <w:rPr>
          <w:rFonts w:asciiTheme="majorBidi" w:hAnsiTheme="majorBidi" w:cstheme="majorBidi"/>
        </w:rPr>
        <w:t>.</w:t>
      </w:r>
      <w:bookmarkStart w:id="12" w:name="_Hlk216685771"/>
      <w:bookmarkStart w:id="13" w:name="_Hlk213168118"/>
    </w:p>
    <w:p w14:paraId="1A68CF5E" w14:textId="314E409A" w:rsidR="005E11CC" w:rsidRDefault="008064BC" w:rsidP="00EE7E71">
      <w:pPr>
        <w:suppressAutoHyphens w:val="0"/>
        <w:spacing w:line="276" w:lineRule="auto"/>
        <w:ind w:firstLine="720"/>
        <w:jc w:val="both"/>
        <w:rPr>
          <w:rFonts w:asciiTheme="majorBidi" w:hAnsiTheme="majorBidi" w:cstheme="majorBidi"/>
        </w:rPr>
      </w:pPr>
      <w:r>
        <w:rPr>
          <w:rFonts w:asciiTheme="majorBidi" w:hAnsiTheme="majorBidi" w:cstheme="majorBidi"/>
        </w:rPr>
        <w:t>[</w:t>
      </w:r>
      <w:r w:rsidR="002E0EC6">
        <w:rPr>
          <w:rFonts w:asciiTheme="majorBidi" w:hAnsiTheme="majorBidi" w:cstheme="majorBidi"/>
        </w:rPr>
        <w:t>6</w:t>
      </w:r>
      <w:r>
        <w:rPr>
          <w:rFonts w:asciiTheme="majorBidi" w:hAnsiTheme="majorBidi" w:cstheme="majorBidi"/>
        </w:rPr>
        <w:t>.</w:t>
      </w:r>
      <w:r w:rsidR="00843DBE">
        <w:rPr>
          <w:rFonts w:asciiTheme="majorBidi" w:hAnsiTheme="majorBidi" w:cstheme="majorBidi"/>
        </w:rPr>
        <w:t>2</w:t>
      </w:r>
      <w:r>
        <w:rPr>
          <w:rFonts w:asciiTheme="majorBidi" w:hAnsiTheme="majorBidi" w:cstheme="majorBidi"/>
        </w:rPr>
        <w:t>]</w:t>
      </w:r>
      <w:r w:rsidR="00D3480C">
        <w:rPr>
          <w:rFonts w:asciiTheme="majorBidi" w:hAnsiTheme="majorBidi" w:cstheme="majorBidi"/>
        </w:rPr>
        <w:t> </w:t>
      </w:r>
      <w:r w:rsidR="00CB0F23">
        <w:rPr>
          <w:rFonts w:asciiTheme="majorBidi" w:hAnsiTheme="majorBidi" w:cstheme="majorBidi"/>
        </w:rPr>
        <w:t>A</w:t>
      </w:r>
      <w:r w:rsidR="0001120C">
        <w:rPr>
          <w:rFonts w:asciiTheme="majorBidi" w:hAnsiTheme="majorBidi" w:cstheme="majorBidi"/>
        </w:rPr>
        <w:t>psūdzēto</w:t>
      </w:r>
      <w:r w:rsidR="00CB0F23">
        <w:rPr>
          <w:rFonts w:asciiTheme="majorBidi" w:hAnsiTheme="majorBidi" w:cstheme="majorBidi"/>
        </w:rPr>
        <w:t xml:space="preserve"> sodot</w:t>
      </w:r>
      <w:r w:rsidR="0001120C">
        <w:rPr>
          <w:rFonts w:asciiTheme="majorBidi" w:hAnsiTheme="majorBidi" w:cstheme="majorBidi"/>
        </w:rPr>
        <w:t xml:space="preserve"> pēc </w:t>
      </w:r>
      <w:r w:rsidR="006D29EB">
        <w:rPr>
          <w:rFonts w:asciiTheme="majorBidi" w:hAnsiTheme="majorBidi" w:cstheme="majorBidi"/>
        </w:rPr>
        <w:t>Krimināllikuma 177. panta treš</w:t>
      </w:r>
      <w:r w:rsidR="0001120C">
        <w:rPr>
          <w:rFonts w:asciiTheme="majorBidi" w:hAnsiTheme="majorBidi" w:cstheme="majorBidi"/>
        </w:rPr>
        <w:t>ās</w:t>
      </w:r>
      <w:r w:rsidR="006D29EB">
        <w:rPr>
          <w:rFonts w:asciiTheme="majorBidi" w:hAnsiTheme="majorBidi" w:cstheme="majorBidi"/>
        </w:rPr>
        <w:t xml:space="preserve"> daļ</w:t>
      </w:r>
      <w:r w:rsidR="0001120C">
        <w:rPr>
          <w:rFonts w:asciiTheme="majorBidi" w:hAnsiTheme="majorBidi" w:cstheme="majorBidi"/>
        </w:rPr>
        <w:t>as ar brīvības atņemšanu</w:t>
      </w:r>
      <w:r w:rsidR="006D29EB">
        <w:rPr>
          <w:rFonts w:asciiTheme="majorBidi" w:hAnsiTheme="majorBidi" w:cstheme="majorBidi"/>
        </w:rPr>
        <w:t>, t</w:t>
      </w:r>
      <w:r w:rsidR="006D29EB" w:rsidRPr="006D29EB">
        <w:rPr>
          <w:rFonts w:asciiTheme="majorBidi" w:hAnsiTheme="majorBidi" w:cstheme="majorBidi"/>
        </w:rPr>
        <w:t>iesa nav izvērtē</w:t>
      </w:r>
      <w:r w:rsidR="006D29EB">
        <w:rPr>
          <w:rFonts w:asciiTheme="majorBidi" w:hAnsiTheme="majorBidi" w:cstheme="majorBidi"/>
        </w:rPr>
        <w:t>jusi</w:t>
      </w:r>
      <w:r w:rsidR="006D29EB" w:rsidRPr="006D29EB">
        <w:rPr>
          <w:rFonts w:asciiTheme="majorBidi" w:hAnsiTheme="majorBidi" w:cstheme="majorBidi"/>
        </w:rPr>
        <w:t xml:space="preserve"> apstākļ</w:t>
      </w:r>
      <w:r w:rsidR="006D29EB">
        <w:rPr>
          <w:rFonts w:asciiTheme="majorBidi" w:hAnsiTheme="majorBidi" w:cstheme="majorBidi"/>
        </w:rPr>
        <w:t xml:space="preserve">us, kas </w:t>
      </w:r>
      <w:r w:rsidR="00A0490A">
        <w:rPr>
          <w:rFonts w:asciiTheme="majorBidi" w:hAnsiTheme="majorBidi" w:cstheme="majorBidi"/>
        </w:rPr>
        <w:t>pamat</w:t>
      </w:r>
      <w:r w:rsidR="00CB0C3F">
        <w:rPr>
          <w:rFonts w:asciiTheme="majorBidi" w:hAnsiTheme="majorBidi" w:cstheme="majorBidi"/>
        </w:rPr>
        <w:t>otu</w:t>
      </w:r>
      <w:r w:rsidR="00467A38">
        <w:rPr>
          <w:rFonts w:asciiTheme="majorBidi" w:hAnsiTheme="majorBidi" w:cstheme="majorBidi"/>
        </w:rPr>
        <w:t xml:space="preserve"> </w:t>
      </w:r>
      <w:r w:rsidR="006D29EB">
        <w:rPr>
          <w:rFonts w:asciiTheme="majorBidi" w:hAnsiTheme="majorBidi" w:cstheme="majorBidi"/>
        </w:rPr>
        <w:t>vieglāka soda veid</w:t>
      </w:r>
      <w:r w:rsidR="0001120C">
        <w:rPr>
          <w:rFonts w:asciiTheme="majorBidi" w:hAnsiTheme="majorBidi" w:cstheme="majorBidi"/>
        </w:rPr>
        <w:t xml:space="preserve">a </w:t>
      </w:r>
      <w:r w:rsidR="00CB0F23">
        <w:rPr>
          <w:rFonts w:asciiTheme="majorBidi" w:hAnsiTheme="majorBidi" w:cstheme="majorBidi"/>
        </w:rPr>
        <w:t>piemērošan</w:t>
      </w:r>
      <w:r w:rsidR="00CB0C3F">
        <w:rPr>
          <w:rFonts w:asciiTheme="majorBidi" w:hAnsiTheme="majorBidi" w:cstheme="majorBidi"/>
        </w:rPr>
        <w:t>u</w:t>
      </w:r>
      <w:r w:rsidR="00467A38">
        <w:rPr>
          <w:rFonts w:asciiTheme="majorBidi" w:hAnsiTheme="majorBidi" w:cstheme="majorBidi"/>
        </w:rPr>
        <w:t>, proti</w:t>
      </w:r>
      <w:r w:rsidR="0001120C">
        <w:rPr>
          <w:rFonts w:asciiTheme="majorBidi" w:hAnsiTheme="majorBidi" w:cstheme="majorBidi"/>
        </w:rPr>
        <w:t xml:space="preserve">: </w:t>
      </w:r>
      <w:r w:rsidR="006D29EB">
        <w:rPr>
          <w:rFonts w:asciiTheme="majorBidi" w:hAnsiTheme="majorBidi" w:cstheme="majorBidi"/>
        </w:rPr>
        <w:t>1)</w:t>
      </w:r>
      <w:r w:rsidR="00D3480C">
        <w:rPr>
          <w:rFonts w:asciiTheme="majorBidi" w:hAnsiTheme="majorBidi" w:cstheme="majorBidi"/>
        </w:rPr>
        <w:t> </w:t>
      </w:r>
      <w:r w:rsidR="006D29EB">
        <w:rPr>
          <w:rFonts w:asciiTheme="majorBidi" w:hAnsiTheme="majorBidi" w:cstheme="majorBidi"/>
        </w:rPr>
        <w:t>apsūdzētais</w:t>
      </w:r>
      <w:r w:rsidR="006D29EB" w:rsidRPr="006D29EB">
        <w:rPr>
          <w:rFonts w:asciiTheme="majorBidi" w:hAnsiTheme="majorBidi" w:cstheme="majorBidi"/>
        </w:rPr>
        <w:t xml:space="preserve"> pilnībā atlīdzinājis valstij radīto kaitējumu 29</w:t>
      </w:r>
      <w:r w:rsidR="00DF13B7">
        <w:rPr>
          <w:rFonts w:asciiTheme="majorBidi" w:hAnsiTheme="majorBidi" w:cstheme="majorBidi"/>
        </w:rPr>
        <w:t> </w:t>
      </w:r>
      <w:r w:rsidR="006D29EB" w:rsidRPr="006D29EB">
        <w:rPr>
          <w:rFonts w:asciiTheme="majorBidi" w:hAnsiTheme="majorBidi" w:cstheme="majorBidi"/>
        </w:rPr>
        <w:t>340,97</w:t>
      </w:r>
      <w:r w:rsidR="00D3480C">
        <w:rPr>
          <w:rFonts w:asciiTheme="majorBidi" w:hAnsiTheme="majorBidi" w:cstheme="majorBidi"/>
        </w:rPr>
        <w:t> </w:t>
      </w:r>
      <w:r w:rsidR="006D29EB" w:rsidRPr="006D29EB">
        <w:rPr>
          <w:rFonts w:asciiTheme="majorBidi" w:hAnsiTheme="majorBidi" w:cstheme="majorBidi"/>
          <w:i/>
          <w:iCs/>
        </w:rPr>
        <w:t>euro</w:t>
      </w:r>
      <w:r w:rsidR="006D29EB">
        <w:rPr>
          <w:rFonts w:asciiTheme="majorBidi" w:hAnsiTheme="majorBidi" w:cstheme="majorBidi"/>
        </w:rPr>
        <w:t>;</w:t>
      </w:r>
      <w:r w:rsidR="006D29EB" w:rsidRPr="006D29EB">
        <w:rPr>
          <w:rFonts w:asciiTheme="majorBidi" w:hAnsiTheme="majorBidi" w:cstheme="majorBidi"/>
        </w:rPr>
        <w:t xml:space="preserve"> </w:t>
      </w:r>
      <w:r w:rsidR="006D29EB">
        <w:rPr>
          <w:rFonts w:asciiTheme="majorBidi" w:hAnsiTheme="majorBidi" w:cstheme="majorBidi"/>
        </w:rPr>
        <w:t>2)</w:t>
      </w:r>
      <w:r w:rsidR="00D3480C">
        <w:rPr>
          <w:rFonts w:asciiTheme="majorBidi" w:hAnsiTheme="majorBidi" w:cstheme="majorBidi"/>
        </w:rPr>
        <w:t> </w:t>
      </w:r>
      <w:r w:rsidR="006D29EB" w:rsidRPr="006D29EB">
        <w:rPr>
          <w:rFonts w:asciiTheme="majorBidi" w:hAnsiTheme="majorBidi" w:cstheme="majorBidi"/>
        </w:rPr>
        <w:t>nav bijis iesaistīts citos kriminālprocesos</w:t>
      </w:r>
      <w:r w:rsidR="006D29EB">
        <w:rPr>
          <w:rFonts w:asciiTheme="majorBidi" w:hAnsiTheme="majorBidi" w:cstheme="majorBidi"/>
        </w:rPr>
        <w:t>;</w:t>
      </w:r>
      <w:r w:rsidR="006D29EB" w:rsidRPr="006D29EB">
        <w:rPr>
          <w:rFonts w:asciiTheme="majorBidi" w:hAnsiTheme="majorBidi" w:cstheme="majorBidi"/>
        </w:rPr>
        <w:t xml:space="preserve"> </w:t>
      </w:r>
      <w:r w:rsidR="006D29EB">
        <w:rPr>
          <w:rFonts w:asciiTheme="majorBidi" w:hAnsiTheme="majorBidi" w:cstheme="majorBidi"/>
        </w:rPr>
        <w:t>3)</w:t>
      </w:r>
      <w:r w:rsidR="00D3480C">
        <w:rPr>
          <w:rFonts w:asciiTheme="majorBidi" w:hAnsiTheme="majorBidi" w:cstheme="majorBidi"/>
        </w:rPr>
        <w:t> </w:t>
      </w:r>
      <w:r w:rsidR="006D29EB" w:rsidRPr="006D29EB">
        <w:rPr>
          <w:rFonts w:asciiTheme="majorBidi" w:hAnsiTheme="majorBidi" w:cstheme="majorBidi"/>
        </w:rPr>
        <w:t>viņa vadītais uzņēmums 2012.</w:t>
      </w:r>
      <w:r w:rsidR="00D3480C">
        <w:rPr>
          <w:rFonts w:asciiTheme="majorBidi" w:hAnsiTheme="majorBidi" w:cstheme="majorBidi"/>
        </w:rPr>
        <w:t> </w:t>
      </w:r>
      <w:r w:rsidR="006D29EB" w:rsidRPr="006D29EB">
        <w:rPr>
          <w:rFonts w:asciiTheme="majorBidi" w:hAnsiTheme="majorBidi" w:cstheme="majorBidi"/>
        </w:rPr>
        <w:t xml:space="preserve">gadā nodokļos </w:t>
      </w:r>
      <w:r w:rsidR="00467A38" w:rsidRPr="006D29EB">
        <w:rPr>
          <w:rFonts w:asciiTheme="majorBidi" w:hAnsiTheme="majorBidi" w:cstheme="majorBidi"/>
        </w:rPr>
        <w:t xml:space="preserve">samaksājis </w:t>
      </w:r>
      <w:r w:rsidR="006D29EB" w:rsidRPr="006D29EB">
        <w:rPr>
          <w:rFonts w:asciiTheme="majorBidi" w:hAnsiTheme="majorBidi" w:cstheme="majorBidi"/>
        </w:rPr>
        <w:t>602</w:t>
      </w:r>
      <w:r w:rsidR="0001120C">
        <w:rPr>
          <w:rFonts w:asciiTheme="majorBidi" w:hAnsiTheme="majorBidi" w:cstheme="majorBidi"/>
        </w:rPr>
        <w:t> </w:t>
      </w:r>
      <w:r w:rsidR="006D29EB" w:rsidRPr="006D29EB">
        <w:rPr>
          <w:rFonts w:asciiTheme="majorBidi" w:hAnsiTheme="majorBidi" w:cstheme="majorBidi"/>
        </w:rPr>
        <w:t>490</w:t>
      </w:r>
      <w:r w:rsidR="00D3480C">
        <w:rPr>
          <w:rFonts w:asciiTheme="majorBidi" w:hAnsiTheme="majorBidi" w:cstheme="majorBidi"/>
        </w:rPr>
        <w:t> </w:t>
      </w:r>
      <w:r w:rsidR="006D29EB" w:rsidRPr="006D29EB">
        <w:rPr>
          <w:rFonts w:asciiTheme="majorBidi" w:hAnsiTheme="majorBidi" w:cstheme="majorBidi"/>
          <w:i/>
          <w:iCs/>
        </w:rPr>
        <w:t>euro</w:t>
      </w:r>
      <w:r w:rsidR="006D29EB" w:rsidRPr="006D29EB">
        <w:rPr>
          <w:rFonts w:asciiTheme="majorBidi" w:hAnsiTheme="majorBidi" w:cstheme="majorBidi"/>
        </w:rPr>
        <w:t>, bet 2013.</w:t>
      </w:r>
      <w:r w:rsidR="00D3480C">
        <w:rPr>
          <w:rFonts w:asciiTheme="majorBidi" w:hAnsiTheme="majorBidi" w:cstheme="majorBidi"/>
        </w:rPr>
        <w:t> </w:t>
      </w:r>
      <w:r w:rsidR="006D29EB" w:rsidRPr="006D29EB">
        <w:rPr>
          <w:rFonts w:asciiTheme="majorBidi" w:hAnsiTheme="majorBidi" w:cstheme="majorBidi"/>
        </w:rPr>
        <w:t>gadā – 581</w:t>
      </w:r>
      <w:r w:rsidR="0001120C">
        <w:rPr>
          <w:rFonts w:asciiTheme="majorBidi" w:hAnsiTheme="majorBidi" w:cstheme="majorBidi"/>
        </w:rPr>
        <w:t> </w:t>
      </w:r>
      <w:r w:rsidR="006D29EB" w:rsidRPr="006D29EB">
        <w:rPr>
          <w:rFonts w:asciiTheme="majorBidi" w:hAnsiTheme="majorBidi" w:cstheme="majorBidi"/>
        </w:rPr>
        <w:t>166</w:t>
      </w:r>
      <w:r w:rsidR="00D3480C">
        <w:rPr>
          <w:rFonts w:asciiTheme="majorBidi" w:hAnsiTheme="majorBidi" w:cstheme="majorBidi"/>
        </w:rPr>
        <w:t> </w:t>
      </w:r>
      <w:r w:rsidR="006D29EB" w:rsidRPr="006D29EB">
        <w:rPr>
          <w:rFonts w:asciiTheme="majorBidi" w:hAnsiTheme="majorBidi" w:cstheme="majorBidi"/>
          <w:i/>
          <w:iCs/>
        </w:rPr>
        <w:t>euro</w:t>
      </w:r>
      <w:r w:rsidR="00A0490A">
        <w:rPr>
          <w:rFonts w:asciiTheme="majorBidi" w:hAnsiTheme="majorBidi" w:cstheme="majorBidi"/>
          <w:i/>
          <w:iCs/>
        </w:rPr>
        <w:t>;</w:t>
      </w:r>
      <w:r w:rsidR="006D29EB" w:rsidRPr="006D29EB">
        <w:rPr>
          <w:rFonts w:asciiTheme="majorBidi" w:hAnsiTheme="majorBidi" w:cstheme="majorBidi"/>
        </w:rPr>
        <w:t xml:space="preserve"> </w:t>
      </w:r>
      <w:r w:rsidR="006D29EB">
        <w:rPr>
          <w:rFonts w:asciiTheme="majorBidi" w:hAnsiTheme="majorBidi" w:cstheme="majorBidi"/>
        </w:rPr>
        <w:t>4)</w:t>
      </w:r>
      <w:r w:rsidR="00D3480C">
        <w:rPr>
          <w:rFonts w:asciiTheme="majorBidi" w:hAnsiTheme="majorBidi" w:cstheme="majorBidi"/>
        </w:rPr>
        <w:t> </w:t>
      </w:r>
      <w:r w:rsidR="006D29EB" w:rsidRPr="006D29EB">
        <w:rPr>
          <w:rFonts w:asciiTheme="majorBidi" w:hAnsiTheme="majorBidi" w:cstheme="majorBidi"/>
        </w:rPr>
        <w:t>apsūdzētajam ir ģimene, pastāvīgs darbs un dzīvesvieta.</w:t>
      </w:r>
    </w:p>
    <w:p w14:paraId="0390FCA2" w14:textId="39AF4ED5" w:rsidR="005C7ADB" w:rsidRDefault="005C7ADB" w:rsidP="00EE7E71">
      <w:pPr>
        <w:suppressAutoHyphens w:val="0"/>
        <w:spacing w:line="276" w:lineRule="auto"/>
        <w:ind w:firstLine="720"/>
        <w:jc w:val="both"/>
        <w:rPr>
          <w:rFonts w:asciiTheme="majorBidi" w:hAnsiTheme="majorBidi" w:cstheme="majorBidi"/>
        </w:rPr>
      </w:pPr>
      <w:r>
        <w:rPr>
          <w:rFonts w:asciiTheme="majorBidi" w:hAnsiTheme="majorBidi" w:cstheme="majorBidi"/>
        </w:rPr>
        <w:t>Tiesa nav</w:t>
      </w:r>
      <w:r w:rsidR="0001120C">
        <w:rPr>
          <w:rFonts w:asciiTheme="majorBidi" w:hAnsiTheme="majorBidi" w:cstheme="majorBidi"/>
        </w:rPr>
        <w:t xml:space="preserve"> izklāstījusi apsvērumus</w:t>
      </w:r>
      <w:r w:rsidR="00DF13B7">
        <w:rPr>
          <w:rFonts w:asciiTheme="majorBidi" w:hAnsiTheme="majorBidi" w:cstheme="majorBidi"/>
        </w:rPr>
        <w:t>, kādēļ tā secinājusi</w:t>
      </w:r>
      <w:r w:rsidR="0001120C">
        <w:rPr>
          <w:rFonts w:asciiTheme="majorBidi" w:hAnsiTheme="majorBidi" w:cstheme="majorBidi"/>
        </w:rPr>
        <w:t>, ka</w:t>
      </w:r>
      <w:r>
        <w:rPr>
          <w:rFonts w:asciiTheme="majorBidi" w:hAnsiTheme="majorBidi" w:cstheme="majorBidi"/>
        </w:rPr>
        <w:t>: 1)</w:t>
      </w:r>
      <w:r w:rsidR="00D3480C">
        <w:rPr>
          <w:rFonts w:asciiTheme="majorBidi" w:hAnsiTheme="majorBidi" w:cstheme="majorBidi"/>
        </w:rPr>
        <w:t> </w:t>
      </w:r>
      <w:r>
        <w:rPr>
          <w:rFonts w:asciiTheme="majorBidi" w:hAnsiTheme="majorBidi" w:cstheme="majorBidi"/>
        </w:rPr>
        <w:t xml:space="preserve">tikai </w:t>
      </w:r>
      <w:r w:rsidR="00A1574F">
        <w:rPr>
          <w:rFonts w:asciiTheme="majorBidi" w:hAnsiTheme="majorBidi" w:cstheme="majorBidi"/>
        </w:rPr>
        <w:t>ar brīvības atņemšanu</w:t>
      </w:r>
      <w:r>
        <w:rPr>
          <w:rFonts w:asciiTheme="majorBidi" w:hAnsiTheme="majorBidi" w:cstheme="majorBidi"/>
        </w:rPr>
        <w:t xml:space="preserve"> </w:t>
      </w:r>
      <w:r w:rsidR="006D29EB">
        <w:rPr>
          <w:rFonts w:asciiTheme="majorBidi" w:hAnsiTheme="majorBidi" w:cstheme="majorBidi"/>
        </w:rPr>
        <w:t>iespējams</w:t>
      </w:r>
      <w:r w:rsidR="00A1574F">
        <w:rPr>
          <w:rFonts w:asciiTheme="majorBidi" w:hAnsiTheme="majorBidi" w:cstheme="majorBidi"/>
        </w:rPr>
        <w:t xml:space="preserve"> </w:t>
      </w:r>
      <w:r>
        <w:rPr>
          <w:rFonts w:asciiTheme="majorBidi" w:hAnsiTheme="majorBidi" w:cstheme="majorBidi"/>
        </w:rPr>
        <w:t>sasniegt resocializācij</w:t>
      </w:r>
      <w:r w:rsidR="006D29EB">
        <w:rPr>
          <w:rFonts w:asciiTheme="majorBidi" w:hAnsiTheme="majorBidi" w:cstheme="majorBidi"/>
        </w:rPr>
        <w:t>as mērķi</w:t>
      </w:r>
      <w:r w:rsidR="00A1574F">
        <w:rPr>
          <w:rFonts w:asciiTheme="majorBidi" w:hAnsiTheme="majorBidi" w:cstheme="majorBidi"/>
        </w:rPr>
        <w:t>;</w:t>
      </w:r>
      <w:r>
        <w:rPr>
          <w:rFonts w:asciiTheme="majorBidi" w:hAnsiTheme="majorBidi" w:cstheme="majorBidi"/>
        </w:rPr>
        <w:t xml:space="preserve"> 2)</w:t>
      </w:r>
      <w:r w:rsidR="0001120C">
        <w:rPr>
          <w:rFonts w:asciiTheme="majorBidi" w:hAnsiTheme="majorBidi" w:cstheme="majorBidi"/>
        </w:rPr>
        <w:t> </w:t>
      </w:r>
      <w:r>
        <w:rPr>
          <w:rFonts w:asciiTheme="majorBidi" w:hAnsiTheme="majorBidi" w:cstheme="majorBidi"/>
        </w:rPr>
        <w:t xml:space="preserve">apsūdzētais </w:t>
      </w:r>
      <w:r w:rsidR="0001120C">
        <w:rPr>
          <w:rFonts w:asciiTheme="majorBidi" w:hAnsiTheme="majorBidi" w:cstheme="majorBidi"/>
        </w:rPr>
        <w:t>ir</w:t>
      </w:r>
      <w:r>
        <w:rPr>
          <w:rFonts w:asciiTheme="majorBidi" w:hAnsiTheme="majorBidi" w:cstheme="majorBidi"/>
        </w:rPr>
        <w:t xml:space="preserve"> bīstams sabiedrībai</w:t>
      </w:r>
      <w:r w:rsidR="00A1574F">
        <w:rPr>
          <w:rFonts w:asciiTheme="majorBidi" w:hAnsiTheme="majorBidi" w:cstheme="majorBidi"/>
        </w:rPr>
        <w:t xml:space="preserve"> </w:t>
      </w:r>
      <w:r w:rsidR="00A0490A">
        <w:rPr>
          <w:rFonts w:asciiTheme="majorBidi" w:hAnsiTheme="majorBidi" w:cstheme="majorBidi"/>
        </w:rPr>
        <w:t xml:space="preserve">un </w:t>
      </w:r>
      <w:r>
        <w:rPr>
          <w:rFonts w:asciiTheme="majorBidi" w:hAnsiTheme="majorBidi" w:cstheme="majorBidi"/>
        </w:rPr>
        <w:t xml:space="preserve">savu attieksmi </w:t>
      </w:r>
      <w:r w:rsidR="00873937">
        <w:rPr>
          <w:rFonts w:asciiTheme="majorBidi" w:hAnsiTheme="majorBidi" w:cstheme="majorBidi"/>
        </w:rPr>
        <w:t xml:space="preserve">pret inkriminēto noziedzīgo nodarījumu </w:t>
      </w:r>
      <w:r>
        <w:rPr>
          <w:rFonts w:asciiTheme="majorBidi" w:hAnsiTheme="majorBidi" w:cstheme="majorBidi"/>
        </w:rPr>
        <w:t xml:space="preserve">nav </w:t>
      </w:r>
      <w:r w:rsidR="005A7861">
        <w:rPr>
          <w:rFonts w:asciiTheme="majorBidi" w:hAnsiTheme="majorBidi" w:cstheme="majorBidi"/>
        </w:rPr>
        <w:t>mainījis</w:t>
      </w:r>
      <w:r w:rsidR="00467A38">
        <w:rPr>
          <w:rFonts w:asciiTheme="majorBidi" w:hAnsiTheme="majorBidi" w:cstheme="majorBidi"/>
        </w:rPr>
        <w:t>.</w:t>
      </w:r>
    </w:p>
    <w:p w14:paraId="321747B4" w14:textId="03699939" w:rsidR="006D29EB" w:rsidRPr="006D29EB" w:rsidRDefault="006D29EB" w:rsidP="00EE7E71">
      <w:pPr>
        <w:suppressAutoHyphens w:val="0"/>
        <w:spacing w:line="276" w:lineRule="auto"/>
        <w:ind w:firstLine="720"/>
        <w:jc w:val="both"/>
        <w:rPr>
          <w:rFonts w:asciiTheme="majorBidi" w:hAnsiTheme="majorBidi" w:cstheme="majorBidi"/>
        </w:rPr>
      </w:pPr>
      <w:r w:rsidRPr="006D29EB">
        <w:rPr>
          <w:rFonts w:asciiTheme="majorBidi" w:hAnsiTheme="majorBidi" w:cstheme="majorBidi"/>
        </w:rPr>
        <w:t>Turklāt</w:t>
      </w:r>
      <w:r w:rsidR="008D3DB2">
        <w:rPr>
          <w:rFonts w:asciiTheme="majorBidi" w:hAnsiTheme="majorBidi" w:cstheme="majorBidi"/>
        </w:rPr>
        <w:t xml:space="preserve"> </w:t>
      </w:r>
      <w:r w:rsidR="0001120C">
        <w:rPr>
          <w:rFonts w:asciiTheme="majorBidi" w:hAnsiTheme="majorBidi" w:cstheme="majorBidi"/>
        </w:rPr>
        <w:t>tiesa</w:t>
      </w:r>
      <w:r w:rsidR="00913C9D">
        <w:rPr>
          <w:rFonts w:asciiTheme="majorBidi" w:hAnsiTheme="majorBidi" w:cstheme="majorBidi"/>
        </w:rPr>
        <w:t>:</w:t>
      </w:r>
      <w:r w:rsidR="0001120C">
        <w:rPr>
          <w:rFonts w:asciiTheme="majorBidi" w:hAnsiTheme="majorBidi" w:cstheme="majorBidi"/>
        </w:rPr>
        <w:t xml:space="preserve"> </w:t>
      </w:r>
      <w:r w:rsidR="005C7ADB">
        <w:rPr>
          <w:rFonts w:asciiTheme="majorBidi" w:hAnsiTheme="majorBidi" w:cstheme="majorBidi"/>
        </w:rPr>
        <w:t>1)</w:t>
      </w:r>
      <w:r w:rsidR="00264DF9">
        <w:rPr>
          <w:rFonts w:asciiTheme="majorBidi" w:hAnsiTheme="majorBidi" w:cstheme="majorBidi"/>
        </w:rPr>
        <w:t> </w:t>
      </w:r>
      <w:r w:rsidR="00D931E7" w:rsidRPr="001773A4">
        <w:rPr>
          <w:rFonts w:asciiTheme="majorBidi" w:hAnsiTheme="majorBidi" w:cstheme="majorBidi"/>
        </w:rPr>
        <w:t>nepamatoti ņēmusi vērā</w:t>
      </w:r>
      <w:r w:rsidR="00D931E7">
        <w:rPr>
          <w:rFonts w:asciiTheme="majorBidi" w:hAnsiTheme="majorBidi" w:cstheme="majorBidi"/>
        </w:rPr>
        <w:t xml:space="preserve">, ka </w:t>
      </w:r>
      <w:r w:rsidR="00D931E7" w:rsidRPr="005E11CC">
        <w:rPr>
          <w:rFonts w:asciiTheme="majorBidi" w:hAnsiTheme="majorBidi" w:cstheme="majorBidi"/>
        </w:rPr>
        <w:t xml:space="preserve">valstij radīts kaitējums lielā apmērā, </w:t>
      </w:r>
      <w:r w:rsidR="00DF13B7">
        <w:rPr>
          <w:rFonts w:asciiTheme="majorBidi" w:hAnsiTheme="majorBidi" w:cstheme="majorBidi"/>
        </w:rPr>
        <w:t xml:space="preserve">jo </w:t>
      </w:r>
      <w:r w:rsidR="00D931E7">
        <w:rPr>
          <w:rFonts w:asciiTheme="majorBidi" w:hAnsiTheme="majorBidi" w:cstheme="majorBidi"/>
        </w:rPr>
        <w:t>šī</w:t>
      </w:r>
      <w:r w:rsidR="00D931E7" w:rsidRPr="005E11CC">
        <w:rPr>
          <w:rFonts w:asciiTheme="majorBidi" w:hAnsiTheme="majorBidi" w:cstheme="majorBidi"/>
        </w:rPr>
        <w:t xml:space="preserve"> pazīme </w:t>
      </w:r>
      <w:r w:rsidR="00D931E7">
        <w:rPr>
          <w:rFonts w:asciiTheme="majorBidi" w:hAnsiTheme="majorBidi" w:cstheme="majorBidi"/>
        </w:rPr>
        <w:t>ietilpst</w:t>
      </w:r>
      <w:r w:rsidR="00D931E7" w:rsidRPr="005E11CC">
        <w:rPr>
          <w:rFonts w:asciiTheme="majorBidi" w:hAnsiTheme="majorBidi" w:cstheme="majorBidi"/>
        </w:rPr>
        <w:t xml:space="preserve"> noziedzīgā nodarījuma sastāvā</w:t>
      </w:r>
      <w:r w:rsidR="005C7ADB">
        <w:rPr>
          <w:rFonts w:asciiTheme="majorBidi" w:hAnsiTheme="majorBidi" w:cstheme="majorBidi"/>
        </w:rPr>
        <w:t>; 2)</w:t>
      </w:r>
      <w:r w:rsidR="00264DF9">
        <w:rPr>
          <w:rFonts w:asciiTheme="majorBidi" w:hAnsiTheme="majorBidi" w:cstheme="majorBidi"/>
        </w:rPr>
        <w:t> </w:t>
      </w:r>
      <w:r w:rsidR="005E11CC" w:rsidRPr="000869E9">
        <w:rPr>
          <w:rFonts w:asciiTheme="majorBidi" w:hAnsiTheme="majorBidi" w:cstheme="majorBidi"/>
        </w:rPr>
        <w:t>nav izvērtējusi, vai apsūdzētā rīcība, atzīstot un nožēlojot savas faktiskās darbības, nav atzīstama par atbildību mīkstinošu apstākli</w:t>
      </w:r>
      <w:r w:rsidR="00264DF9">
        <w:rPr>
          <w:rFonts w:asciiTheme="majorBidi" w:hAnsiTheme="majorBidi" w:cstheme="majorBidi"/>
        </w:rPr>
        <w:t>;</w:t>
      </w:r>
      <w:r w:rsidR="005C7ADB">
        <w:rPr>
          <w:rFonts w:asciiTheme="majorBidi" w:hAnsiTheme="majorBidi" w:cstheme="majorBidi"/>
        </w:rPr>
        <w:t xml:space="preserve"> 3)</w:t>
      </w:r>
      <w:r w:rsidR="00264DF9">
        <w:rPr>
          <w:rFonts w:asciiTheme="majorBidi" w:hAnsiTheme="majorBidi" w:cstheme="majorBidi"/>
        </w:rPr>
        <w:t> </w:t>
      </w:r>
      <w:r w:rsidR="005C7ADB">
        <w:rPr>
          <w:rFonts w:asciiTheme="majorBidi" w:hAnsiTheme="majorBidi" w:cstheme="majorBidi"/>
        </w:rPr>
        <w:t xml:space="preserve">nav ņēmusi vērā, ka </w:t>
      </w:r>
      <w:r w:rsidR="000869E9">
        <w:rPr>
          <w:rFonts w:asciiTheme="majorBidi" w:hAnsiTheme="majorBidi" w:cstheme="majorBidi"/>
        </w:rPr>
        <w:t>apsūdzētā</w:t>
      </w:r>
      <w:r w:rsidR="000869E9" w:rsidRPr="000869E9">
        <w:rPr>
          <w:rFonts w:asciiTheme="majorBidi" w:hAnsiTheme="majorBidi" w:cstheme="majorBidi"/>
        </w:rPr>
        <w:t xml:space="preserve"> vadītais uzņēmums veicis </w:t>
      </w:r>
      <w:r w:rsidR="000869E9" w:rsidRPr="000869E9">
        <w:rPr>
          <w:rFonts w:asciiTheme="majorBidi" w:hAnsiTheme="majorBidi" w:cstheme="majorBidi"/>
        </w:rPr>
        <w:lastRenderedPageBreak/>
        <w:t>ziedojumus labdarībai</w:t>
      </w:r>
      <w:r w:rsidR="00913C9D">
        <w:rPr>
          <w:rFonts w:asciiTheme="majorBidi" w:hAnsiTheme="majorBidi" w:cstheme="majorBidi"/>
        </w:rPr>
        <w:t>; 4) </w:t>
      </w:r>
      <w:r w:rsidR="00890CE9">
        <w:rPr>
          <w:rFonts w:asciiTheme="majorBidi" w:hAnsiTheme="majorBidi" w:cstheme="majorBidi"/>
        </w:rPr>
        <w:t xml:space="preserve">ir </w:t>
      </w:r>
      <w:r w:rsidRPr="006D29EB">
        <w:rPr>
          <w:rFonts w:asciiTheme="majorBidi" w:hAnsiTheme="majorBidi" w:cstheme="majorBidi"/>
        </w:rPr>
        <w:t xml:space="preserve">tikai uzskaitījusi apsūdzētā personību raksturojošās ziņas, </w:t>
      </w:r>
      <w:r w:rsidR="00264DF9">
        <w:rPr>
          <w:rFonts w:asciiTheme="majorBidi" w:hAnsiTheme="majorBidi" w:cstheme="majorBidi"/>
        </w:rPr>
        <w:t xml:space="preserve">bet </w:t>
      </w:r>
      <w:r w:rsidR="00FA2362">
        <w:rPr>
          <w:rFonts w:asciiTheme="majorBidi" w:hAnsiTheme="majorBidi" w:cstheme="majorBidi"/>
        </w:rPr>
        <w:t xml:space="preserve">nav </w:t>
      </w:r>
      <w:r w:rsidR="00DF13B7">
        <w:rPr>
          <w:rFonts w:asciiTheme="majorBidi" w:hAnsiTheme="majorBidi" w:cstheme="majorBidi"/>
        </w:rPr>
        <w:t>atklājusi to nozīmi</w:t>
      </w:r>
      <w:r w:rsidRPr="006D29EB">
        <w:rPr>
          <w:rFonts w:asciiTheme="majorBidi" w:hAnsiTheme="majorBidi" w:cstheme="majorBidi"/>
        </w:rPr>
        <w:t xml:space="preserve"> soda individualiz</w:t>
      </w:r>
      <w:r w:rsidR="00DF13B7">
        <w:rPr>
          <w:rFonts w:asciiTheme="majorBidi" w:hAnsiTheme="majorBidi" w:cstheme="majorBidi"/>
        </w:rPr>
        <w:t>ēšanā</w:t>
      </w:r>
      <w:r w:rsidR="00913C9D">
        <w:rPr>
          <w:rFonts w:asciiTheme="majorBidi" w:hAnsiTheme="majorBidi" w:cstheme="majorBidi"/>
        </w:rPr>
        <w:t>; 5) </w:t>
      </w:r>
      <w:r w:rsidRPr="006D29EB">
        <w:rPr>
          <w:rFonts w:asciiTheme="majorBidi" w:hAnsiTheme="majorBidi" w:cstheme="majorBidi"/>
        </w:rPr>
        <w:t xml:space="preserve">nav izvērtējusi </w:t>
      </w:r>
      <w:r w:rsidR="008D3DB2">
        <w:rPr>
          <w:rFonts w:asciiTheme="majorBidi" w:hAnsiTheme="majorBidi" w:cstheme="majorBidi"/>
        </w:rPr>
        <w:t xml:space="preserve">apsūdzētā kā </w:t>
      </w:r>
      <w:r w:rsidR="00A119FE">
        <w:rPr>
          <w:rFonts w:asciiTheme="majorBidi" w:hAnsiTheme="majorBidi" w:cstheme="majorBidi"/>
        </w:rPr>
        <w:t xml:space="preserve">tēva ilgstošas prombūtnes </w:t>
      </w:r>
      <w:r w:rsidRPr="006D29EB">
        <w:rPr>
          <w:rFonts w:asciiTheme="majorBidi" w:hAnsiTheme="majorBidi" w:cstheme="majorBidi"/>
        </w:rPr>
        <w:t>negatīvo ietekmi</w:t>
      </w:r>
      <w:r w:rsidR="00913C9D">
        <w:rPr>
          <w:rFonts w:asciiTheme="majorBidi" w:hAnsiTheme="majorBidi" w:cstheme="majorBidi"/>
        </w:rPr>
        <w:t xml:space="preserve"> uz</w:t>
      </w:r>
      <w:r w:rsidR="00890CE9">
        <w:rPr>
          <w:rFonts w:asciiTheme="majorBidi" w:hAnsiTheme="majorBidi" w:cstheme="majorBidi"/>
        </w:rPr>
        <w:t xml:space="preserve"> nepilngadīgo bērnu psihoemocionālo stāvokli</w:t>
      </w:r>
      <w:r w:rsidRPr="006D29EB">
        <w:rPr>
          <w:rFonts w:asciiTheme="majorBidi" w:hAnsiTheme="majorBidi" w:cstheme="majorBidi"/>
        </w:rPr>
        <w:t>.</w:t>
      </w:r>
    </w:p>
    <w:p w14:paraId="3FCBDE44" w14:textId="1AC54FBC" w:rsidR="000869E9" w:rsidRPr="00CC36FC" w:rsidRDefault="000869E9" w:rsidP="00EE7E71">
      <w:pPr>
        <w:suppressAutoHyphens w:val="0"/>
        <w:spacing w:line="276" w:lineRule="auto"/>
        <w:ind w:firstLine="720"/>
        <w:jc w:val="both"/>
        <w:rPr>
          <w:rFonts w:asciiTheme="majorBidi" w:hAnsiTheme="majorBidi" w:cstheme="majorBidi"/>
        </w:rPr>
      </w:pPr>
      <w:r>
        <w:rPr>
          <w:rFonts w:asciiTheme="majorBidi" w:hAnsiTheme="majorBidi" w:cstheme="majorBidi"/>
        </w:rPr>
        <w:t>[</w:t>
      </w:r>
      <w:r w:rsidR="002E0EC6">
        <w:rPr>
          <w:rFonts w:asciiTheme="majorBidi" w:hAnsiTheme="majorBidi" w:cstheme="majorBidi"/>
        </w:rPr>
        <w:t>6</w:t>
      </w:r>
      <w:r>
        <w:rPr>
          <w:rFonts w:asciiTheme="majorBidi" w:hAnsiTheme="majorBidi" w:cstheme="majorBidi"/>
        </w:rPr>
        <w:t>.</w:t>
      </w:r>
      <w:r w:rsidR="00692957">
        <w:rPr>
          <w:rFonts w:asciiTheme="majorBidi" w:hAnsiTheme="majorBidi" w:cstheme="majorBidi"/>
        </w:rPr>
        <w:t>3</w:t>
      </w:r>
      <w:r>
        <w:rPr>
          <w:rFonts w:asciiTheme="majorBidi" w:hAnsiTheme="majorBidi" w:cstheme="majorBidi"/>
        </w:rPr>
        <w:t>]</w:t>
      </w:r>
      <w:r w:rsidR="00913C9D">
        <w:rPr>
          <w:rFonts w:asciiTheme="majorBidi" w:hAnsiTheme="majorBidi" w:cstheme="majorBidi"/>
        </w:rPr>
        <w:t> </w:t>
      </w:r>
      <w:r>
        <w:rPr>
          <w:rFonts w:asciiTheme="majorBidi" w:hAnsiTheme="majorBidi" w:cstheme="majorBidi"/>
        </w:rPr>
        <w:t>Atzīstot</w:t>
      </w:r>
      <w:r w:rsidR="00913C9D">
        <w:rPr>
          <w:rFonts w:asciiTheme="majorBidi" w:hAnsiTheme="majorBidi" w:cstheme="majorBidi"/>
        </w:rPr>
        <w:t xml:space="preserve"> par neiespējamu notiesāt apsūdzēto nosacīti</w:t>
      </w:r>
      <w:r>
        <w:rPr>
          <w:rFonts w:asciiTheme="majorBidi" w:hAnsiTheme="majorBidi" w:cstheme="majorBidi"/>
        </w:rPr>
        <w:t>, tiesa formāli uzskaitījusi Krimināllikuma 55. pantā norādītos kritērijus, taču nav tos analizējusi</w:t>
      </w:r>
      <w:r w:rsidR="00A119FE">
        <w:rPr>
          <w:rFonts w:asciiTheme="majorBidi" w:hAnsiTheme="majorBidi" w:cstheme="majorBidi"/>
        </w:rPr>
        <w:t xml:space="preserve">, kā arī </w:t>
      </w:r>
      <w:r w:rsidR="00913C9D">
        <w:rPr>
          <w:rFonts w:asciiTheme="majorBidi" w:hAnsiTheme="majorBidi" w:cstheme="majorBidi"/>
        </w:rPr>
        <w:t xml:space="preserve">bez ievērības </w:t>
      </w:r>
      <w:r w:rsidR="00A119FE">
        <w:rPr>
          <w:rFonts w:asciiTheme="majorBidi" w:hAnsiTheme="majorBidi" w:cstheme="majorBidi"/>
        </w:rPr>
        <w:t>atstājusi</w:t>
      </w:r>
      <w:r>
        <w:rPr>
          <w:rFonts w:asciiTheme="majorBidi" w:hAnsiTheme="majorBidi" w:cstheme="majorBidi"/>
        </w:rPr>
        <w:t>, ka</w:t>
      </w:r>
      <w:r w:rsidR="00A119FE">
        <w:rPr>
          <w:rFonts w:asciiTheme="majorBidi" w:hAnsiTheme="majorBidi" w:cstheme="majorBidi"/>
        </w:rPr>
        <w:t>: 1)</w:t>
      </w:r>
      <w:r w:rsidR="00460F0D">
        <w:rPr>
          <w:rFonts w:asciiTheme="majorBidi" w:hAnsiTheme="majorBidi" w:cstheme="majorBidi"/>
        </w:rPr>
        <w:t> </w:t>
      </w:r>
      <w:r w:rsidRPr="00CC36FC">
        <w:rPr>
          <w:rFonts w:asciiTheme="majorBidi" w:hAnsiTheme="majorBidi" w:cstheme="majorBidi"/>
        </w:rPr>
        <w:t xml:space="preserve">pirmstiesas process un tiesas izmeklēšana ilgusi vairāk </w:t>
      </w:r>
      <w:r w:rsidR="00913C9D">
        <w:rPr>
          <w:rFonts w:asciiTheme="majorBidi" w:hAnsiTheme="majorBidi" w:cstheme="majorBidi"/>
        </w:rPr>
        <w:t>ne</w:t>
      </w:r>
      <w:r w:rsidRPr="00CC36FC">
        <w:rPr>
          <w:rFonts w:asciiTheme="majorBidi" w:hAnsiTheme="majorBidi" w:cstheme="majorBidi"/>
        </w:rPr>
        <w:t>kā 11 gadus</w:t>
      </w:r>
      <w:r w:rsidR="00A119FE">
        <w:rPr>
          <w:rFonts w:asciiTheme="majorBidi" w:hAnsiTheme="majorBidi" w:cstheme="majorBidi"/>
        </w:rPr>
        <w:t>; 2)</w:t>
      </w:r>
      <w:r w:rsidR="00460F0D">
        <w:rPr>
          <w:rFonts w:asciiTheme="majorBidi" w:hAnsiTheme="majorBidi" w:cstheme="majorBidi"/>
        </w:rPr>
        <w:t> </w:t>
      </w:r>
      <w:r w:rsidR="00DF13B7">
        <w:rPr>
          <w:rFonts w:asciiTheme="majorBidi" w:hAnsiTheme="majorBidi" w:cstheme="majorBidi"/>
        </w:rPr>
        <w:t>t</w:t>
      </w:r>
      <w:r w:rsidR="00A119FE">
        <w:rPr>
          <w:rFonts w:asciiTheme="majorBidi" w:hAnsiTheme="majorBidi" w:cstheme="majorBidi"/>
        </w:rPr>
        <w:t>iesa</w:t>
      </w:r>
      <w:r w:rsidR="00DF13B7">
        <w:rPr>
          <w:rFonts w:asciiTheme="majorBidi" w:hAnsiTheme="majorBidi" w:cstheme="majorBidi"/>
        </w:rPr>
        <w:t xml:space="preserve"> izslēgusi </w:t>
      </w:r>
      <w:r w:rsidR="00BA4FD0">
        <w:rPr>
          <w:rFonts w:asciiTheme="majorBidi" w:hAnsiTheme="majorBidi" w:cstheme="majorBidi"/>
        </w:rPr>
        <w:t xml:space="preserve">1 </w:t>
      </w:r>
      <w:r w:rsidR="00DF13B7">
        <w:rPr>
          <w:rFonts w:asciiTheme="majorBidi" w:hAnsiTheme="majorBidi" w:cstheme="majorBidi"/>
        </w:rPr>
        <w:t>apsūdzētā</w:t>
      </w:r>
      <w:r w:rsidRPr="00CC36FC">
        <w:rPr>
          <w:rFonts w:asciiTheme="majorBidi" w:hAnsiTheme="majorBidi" w:cstheme="majorBidi"/>
        </w:rPr>
        <w:t xml:space="preserve"> atbildību pastiprinoš</w:t>
      </w:r>
      <w:r w:rsidR="00A119FE">
        <w:rPr>
          <w:rFonts w:asciiTheme="majorBidi" w:hAnsiTheme="majorBidi" w:cstheme="majorBidi"/>
        </w:rPr>
        <w:t>u</w:t>
      </w:r>
      <w:r w:rsidRPr="00CC36FC">
        <w:rPr>
          <w:rFonts w:asciiTheme="majorBidi" w:hAnsiTheme="majorBidi" w:cstheme="majorBidi"/>
        </w:rPr>
        <w:t xml:space="preserve"> apstāk</w:t>
      </w:r>
      <w:r w:rsidR="00DF13B7">
        <w:rPr>
          <w:rFonts w:asciiTheme="majorBidi" w:hAnsiTheme="majorBidi" w:cstheme="majorBidi"/>
        </w:rPr>
        <w:t>li</w:t>
      </w:r>
      <w:r w:rsidRPr="00CC36FC">
        <w:rPr>
          <w:rFonts w:asciiTheme="majorBidi" w:hAnsiTheme="majorBidi" w:cstheme="majorBidi"/>
        </w:rPr>
        <w:t>.</w:t>
      </w:r>
    </w:p>
    <w:p w14:paraId="1BCB8B08" w14:textId="757F1B3C" w:rsidR="006A29B6"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Tāpat </w:t>
      </w:r>
      <w:r w:rsidR="00F02C77">
        <w:rPr>
          <w:rFonts w:asciiTheme="majorBidi" w:hAnsiTheme="majorBidi" w:cstheme="majorBidi"/>
        </w:rPr>
        <w:t>t</w:t>
      </w:r>
      <w:r w:rsidR="000869E9" w:rsidRPr="000869E9">
        <w:rPr>
          <w:rFonts w:asciiTheme="majorBidi" w:hAnsiTheme="majorBidi" w:cstheme="majorBidi"/>
        </w:rPr>
        <w:t>iesa</w:t>
      </w:r>
      <w:r w:rsidR="00F02C77">
        <w:rPr>
          <w:rFonts w:asciiTheme="majorBidi" w:hAnsiTheme="majorBidi" w:cstheme="majorBidi"/>
        </w:rPr>
        <w:t xml:space="preserve"> </w:t>
      </w:r>
      <w:r w:rsidR="00F02C77" w:rsidRPr="000869E9">
        <w:rPr>
          <w:rFonts w:asciiTheme="majorBidi" w:hAnsiTheme="majorBidi" w:cstheme="majorBidi"/>
        </w:rPr>
        <w:t>nepamatoti</w:t>
      </w:r>
      <w:r w:rsidR="000869E9" w:rsidRPr="000869E9">
        <w:rPr>
          <w:rFonts w:asciiTheme="majorBidi" w:hAnsiTheme="majorBidi" w:cstheme="majorBidi"/>
        </w:rPr>
        <w:t xml:space="preserve"> ņēmusi</w:t>
      </w:r>
      <w:r w:rsidR="00A1574F">
        <w:rPr>
          <w:rFonts w:asciiTheme="majorBidi" w:hAnsiTheme="majorBidi" w:cstheme="majorBidi"/>
        </w:rPr>
        <w:t xml:space="preserve"> vērā</w:t>
      </w:r>
      <w:r w:rsidR="000869E9" w:rsidRPr="000869E9">
        <w:rPr>
          <w:rFonts w:asciiTheme="majorBidi" w:hAnsiTheme="majorBidi" w:cstheme="majorBidi"/>
        </w:rPr>
        <w:t>, ka nodarītais</w:t>
      </w:r>
      <w:r w:rsidR="00F02C77" w:rsidRPr="000869E9">
        <w:rPr>
          <w:rFonts w:asciiTheme="majorBidi" w:hAnsiTheme="majorBidi" w:cstheme="majorBidi"/>
        </w:rPr>
        <w:t xml:space="preserve"> </w:t>
      </w:r>
      <w:r w:rsidR="000869E9" w:rsidRPr="000869E9">
        <w:rPr>
          <w:rFonts w:asciiTheme="majorBidi" w:hAnsiTheme="majorBidi" w:cstheme="majorBidi"/>
        </w:rPr>
        <w:t>kaitējums pārsniedz</w:t>
      </w:r>
      <w:r w:rsidR="00FA2362">
        <w:rPr>
          <w:rFonts w:asciiTheme="majorBidi" w:hAnsiTheme="majorBidi" w:cstheme="majorBidi"/>
        </w:rPr>
        <w:t xml:space="preserve"> liela apmēra</w:t>
      </w:r>
      <w:r w:rsidR="000869E9" w:rsidRPr="000869E9">
        <w:rPr>
          <w:rFonts w:asciiTheme="majorBidi" w:hAnsiTheme="majorBidi" w:cstheme="majorBidi"/>
        </w:rPr>
        <w:t xml:space="preserve"> robežu</w:t>
      </w:r>
      <w:r w:rsidR="00A1574F">
        <w:rPr>
          <w:rFonts w:asciiTheme="majorBidi" w:hAnsiTheme="majorBidi" w:cstheme="majorBidi"/>
        </w:rPr>
        <w:t>, jo ti</w:t>
      </w:r>
      <w:r w:rsidR="000869E9" w:rsidRPr="000869E9">
        <w:rPr>
          <w:rFonts w:asciiTheme="majorBidi" w:hAnsiTheme="majorBidi" w:cstheme="majorBidi"/>
        </w:rPr>
        <w:t xml:space="preserve">esu praksē ir </w:t>
      </w:r>
      <w:r w:rsidR="006A29B6">
        <w:rPr>
          <w:rFonts w:asciiTheme="majorBidi" w:hAnsiTheme="majorBidi" w:cstheme="majorBidi"/>
        </w:rPr>
        <w:t xml:space="preserve">bijuši </w:t>
      </w:r>
      <w:r w:rsidR="00F02C77">
        <w:rPr>
          <w:rFonts w:asciiTheme="majorBidi" w:hAnsiTheme="majorBidi" w:cstheme="majorBidi"/>
        </w:rPr>
        <w:t>gadījumi, ka</w:t>
      </w:r>
      <w:r>
        <w:rPr>
          <w:rFonts w:asciiTheme="majorBidi" w:hAnsiTheme="majorBidi" w:cstheme="majorBidi"/>
        </w:rPr>
        <w:t>d</w:t>
      </w:r>
      <w:r w:rsidR="00F02C77">
        <w:rPr>
          <w:rFonts w:asciiTheme="majorBidi" w:hAnsiTheme="majorBidi" w:cstheme="majorBidi"/>
        </w:rPr>
        <w:t xml:space="preserve"> personas notiesātas nosacīti</w:t>
      </w:r>
      <w:r w:rsidR="00A119FE">
        <w:rPr>
          <w:rFonts w:asciiTheme="majorBidi" w:hAnsiTheme="majorBidi" w:cstheme="majorBidi"/>
        </w:rPr>
        <w:t xml:space="preserve"> arī tad, ja </w:t>
      </w:r>
      <w:r w:rsidR="006A29B6">
        <w:rPr>
          <w:rFonts w:asciiTheme="majorBidi" w:hAnsiTheme="majorBidi" w:cstheme="majorBidi"/>
        </w:rPr>
        <w:t xml:space="preserve">tās </w:t>
      </w:r>
      <w:r w:rsidR="00F02C77">
        <w:rPr>
          <w:rFonts w:asciiTheme="majorBidi" w:hAnsiTheme="majorBidi" w:cstheme="majorBidi"/>
        </w:rPr>
        <w:t>radījušas</w:t>
      </w:r>
      <w:r w:rsidR="006A4939" w:rsidRPr="000869E9">
        <w:rPr>
          <w:rFonts w:asciiTheme="majorBidi" w:hAnsiTheme="majorBidi" w:cstheme="majorBidi"/>
        </w:rPr>
        <w:t xml:space="preserve"> ievērojami lielāku </w:t>
      </w:r>
      <w:r w:rsidR="00F02C77">
        <w:rPr>
          <w:rFonts w:asciiTheme="majorBidi" w:hAnsiTheme="majorBidi" w:cstheme="majorBidi"/>
        </w:rPr>
        <w:t xml:space="preserve">zaudējumu </w:t>
      </w:r>
      <w:r w:rsidR="006A4939" w:rsidRPr="000869E9">
        <w:rPr>
          <w:rFonts w:asciiTheme="majorBidi" w:hAnsiTheme="majorBidi" w:cstheme="majorBidi"/>
        </w:rPr>
        <w:t>valstij</w:t>
      </w:r>
      <w:r w:rsidR="00F02C77">
        <w:rPr>
          <w:rFonts w:asciiTheme="majorBidi" w:hAnsiTheme="majorBidi" w:cstheme="majorBidi"/>
        </w:rPr>
        <w:t xml:space="preserve"> un </w:t>
      </w:r>
      <w:r w:rsidR="00A119FE">
        <w:rPr>
          <w:rFonts w:asciiTheme="majorBidi" w:hAnsiTheme="majorBidi" w:cstheme="majorBidi"/>
        </w:rPr>
        <w:t>to</w:t>
      </w:r>
      <w:r w:rsidR="006A29B6">
        <w:rPr>
          <w:rFonts w:asciiTheme="majorBidi" w:hAnsiTheme="majorBidi" w:cstheme="majorBidi"/>
        </w:rPr>
        <w:t xml:space="preserve"> nav</w:t>
      </w:r>
      <w:r w:rsidR="00A119FE">
        <w:rPr>
          <w:rFonts w:asciiTheme="majorBidi" w:hAnsiTheme="majorBidi" w:cstheme="majorBidi"/>
        </w:rPr>
        <w:t xml:space="preserve"> </w:t>
      </w:r>
      <w:r w:rsidR="00F02C77">
        <w:rPr>
          <w:rFonts w:asciiTheme="majorBidi" w:hAnsiTheme="majorBidi" w:cstheme="majorBidi"/>
        </w:rPr>
        <w:t>atlīdzinājuš</w:t>
      </w:r>
      <w:r w:rsidR="00A119FE">
        <w:rPr>
          <w:rFonts w:asciiTheme="majorBidi" w:hAnsiTheme="majorBidi" w:cstheme="majorBidi"/>
        </w:rPr>
        <w:t>as</w:t>
      </w:r>
      <w:r w:rsidR="000869E9" w:rsidRPr="000869E9">
        <w:rPr>
          <w:rFonts w:asciiTheme="majorBidi" w:hAnsiTheme="majorBidi" w:cstheme="majorBidi"/>
        </w:rPr>
        <w:t>.</w:t>
      </w:r>
    </w:p>
    <w:bookmarkEnd w:id="12"/>
    <w:p w14:paraId="1BAC2595" w14:textId="793AF008" w:rsidR="000869E9" w:rsidRDefault="000869E9" w:rsidP="00EE7E71">
      <w:pPr>
        <w:suppressAutoHyphens w:val="0"/>
        <w:spacing w:line="276" w:lineRule="auto"/>
        <w:ind w:firstLine="720"/>
        <w:jc w:val="both"/>
        <w:rPr>
          <w:rFonts w:asciiTheme="majorBidi" w:eastAsia="Times New Roman" w:hAnsiTheme="majorBidi" w:cstheme="majorBidi"/>
          <w:lang w:eastAsia="lv-LV"/>
        </w:rPr>
      </w:pPr>
      <w:r>
        <w:rPr>
          <w:rFonts w:asciiTheme="majorBidi" w:hAnsiTheme="majorBidi" w:cstheme="majorBidi"/>
        </w:rPr>
        <w:t>[</w:t>
      </w:r>
      <w:r w:rsidR="002E0EC6">
        <w:rPr>
          <w:rFonts w:asciiTheme="majorBidi" w:hAnsiTheme="majorBidi" w:cstheme="majorBidi"/>
        </w:rPr>
        <w:t>6</w:t>
      </w:r>
      <w:r>
        <w:rPr>
          <w:rFonts w:asciiTheme="majorBidi" w:hAnsiTheme="majorBidi" w:cstheme="majorBidi"/>
        </w:rPr>
        <w:t>.</w:t>
      </w:r>
      <w:r w:rsidR="006D29EB">
        <w:rPr>
          <w:rFonts w:asciiTheme="majorBidi" w:hAnsiTheme="majorBidi" w:cstheme="majorBidi"/>
        </w:rPr>
        <w:t>4</w:t>
      </w:r>
      <w:r>
        <w:rPr>
          <w:rFonts w:asciiTheme="majorBidi" w:hAnsiTheme="majorBidi" w:cstheme="majorBidi"/>
        </w:rPr>
        <w:t>]</w:t>
      </w:r>
      <w:r w:rsidR="00F02C77">
        <w:rPr>
          <w:rFonts w:asciiTheme="majorBidi" w:hAnsiTheme="majorBidi" w:cstheme="majorBidi"/>
        </w:rPr>
        <w:t> </w:t>
      </w:r>
      <w:r w:rsidR="00D14A17" w:rsidRPr="00D14A17">
        <w:rPr>
          <w:rFonts w:asciiTheme="majorBidi" w:eastAsia="Calibri" w:hAnsiTheme="majorBidi" w:cstheme="majorBidi"/>
        </w:rPr>
        <w:t>Apelācijas instances tiesa n</w:t>
      </w:r>
      <w:r w:rsidR="003D575A">
        <w:rPr>
          <w:rFonts w:asciiTheme="majorBidi" w:eastAsia="Calibri" w:hAnsiTheme="majorBidi" w:cstheme="majorBidi"/>
        </w:rPr>
        <w:t xml:space="preserve">av </w:t>
      </w:r>
      <w:r w:rsidR="000D6937">
        <w:rPr>
          <w:rFonts w:asciiTheme="majorBidi" w:eastAsia="Calibri" w:hAnsiTheme="majorBidi" w:cstheme="majorBidi"/>
        </w:rPr>
        <w:t>novērsusi pretrunas</w:t>
      </w:r>
      <w:r w:rsidR="000D6937" w:rsidRPr="00D14A17">
        <w:rPr>
          <w:rFonts w:asciiTheme="majorBidi" w:eastAsia="Calibri" w:hAnsiTheme="majorBidi" w:cstheme="majorBidi"/>
        </w:rPr>
        <w:t xml:space="preserve"> </w:t>
      </w:r>
      <w:r w:rsidR="00D14A17" w:rsidRPr="00D14A17">
        <w:rPr>
          <w:rFonts w:asciiTheme="majorBidi" w:eastAsia="Calibri" w:hAnsiTheme="majorBidi" w:cstheme="majorBidi"/>
        </w:rPr>
        <w:t>pirmās instances tiesas</w:t>
      </w:r>
      <w:r w:rsidR="00A119FE">
        <w:rPr>
          <w:rFonts w:asciiTheme="majorBidi" w:eastAsia="Calibri" w:hAnsiTheme="majorBidi" w:cstheme="majorBidi"/>
        </w:rPr>
        <w:t xml:space="preserve"> sp</w:t>
      </w:r>
      <w:r w:rsidR="006A29B6">
        <w:rPr>
          <w:rFonts w:asciiTheme="majorBidi" w:eastAsia="Calibri" w:hAnsiTheme="majorBidi" w:cstheme="majorBidi"/>
        </w:rPr>
        <w:t>r</w:t>
      </w:r>
      <w:r w:rsidR="00A119FE">
        <w:rPr>
          <w:rFonts w:asciiTheme="majorBidi" w:eastAsia="Calibri" w:hAnsiTheme="majorBidi" w:cstheme="majorBidi"/>
        </w:rPr>
        <w:t>iedumā, kurā norādīts</w:t>
      </w:r>
      <w:r w:rsidR="00D14A17" w:rsidRPr="00D14A17">
        <w:rPr>
          <w:rFonts w:asciiTheme="majorBidi" w:eastAsia="Calibri" w:hAnsiTheme="majorBidi" w:cstheme="majorBidi"/>
        </w:rPr>
        <w:t>, ka</w:t>
      </w:r>
      <w:r w:rsidR="00D14A17" w:rsidRPr="00D14A17">
        <w:rPr>
          <w:rFonts w:asciiTheme="majorBidi" w:eastAsia="Times New Roman" w:hAnsiTheme="majorBidi" w:cstheme="majorBidi"/>
          <w:lang w:eastAsia="lv-LV"/>
        </w:rPr>
        <w:t xml:space="preserve"> </w:t>
      </w:r>
      <w:r w:rsidR="00F02C77">
        <w:rPr>
          <w:rFonts w:asciiTheme="majorBidi" w:eastAsia="Times New Roman" w:hAnsiTheme="majorBidi" w:cstheme="majorBidi"/>
          <w:lang w:eastAsia="lv-LV"/>
        </w:rPr>
        <w:t>„</w:t>
      </w:r>
      <w:r w:rsidR="00D14A17" w:rsidRPr="00D14A17">
        <w:rPr>
          <w:rFonts w:asciiTheme="majorBidi" w:eastAsia="Times New Roman" w:hAnsiTheme="majorBidi" w:cstheme="majorBidi"/>
          <w:lang w:eastAsia="lv-LV"/>
        </w:rPr>
        <w:t xml:space="preserve">lietā nav pieļauta neattaisnota </w:t>
      </w:r>
      <w:r w:rsidR="00BA49ED">
        <w:rPr>
          <w:rFonts w:asciiTheme="majorBidi" w:eastAsia="Times New Roman" w:hAnsiTheme="majorBidi" w:cstheme="majorBidi"/>
          <w:lang w:eastAsia="lv-LV"/>
        </w:rPr>
        <w:t xml:space="preserve">kriminālprocesa </w:t>
      </w:r>
      <w:r w:rsidR="00D14A17" w:rsidRPr="00D14A17">
        <w:rPr>
          <w:rFonts w:asciiTheme="majorBidi" w:eastAsia="Times New Roman" w:hAnsiTheme="majorBidi" w:cstheme="majorBidi"/>
          <w:lang w:eastAsia="lv-LV"/>
        </w:rPr>
        <w:t>novilcināšana</w:t>
      </w:r>
      <w:r>
        <w:rPr>
          <w:rFonts w:asciiTheme="majorBidi" w:eastAsia="Times New Roman" w:hAnsiTheme="majorBidi" w:cstheme="majorBidi"/>
          <w:lang w:eastAsia="lv-LV"/>
        </w:rPr>
        <w:t>, taču nav ievērotas personas tiesības uz kriminālprocesa pabeigšanu saprātīgā termiņā”.</w:t>
      </w:r>
    </w:p>
    <w:bookmarkEnd w:id="13"/>
    <w:p w14:paraId="280AC32F" w14:textId="77777777" w:rsidR="00971E7D" w:rsidRDefault="00971E7D" w:rsidP="00EE7E71">
      <w:pPr>
        <w:suppressAutoHyphens w:val="0"/>
        <w:spacing w:line="276" w:lineRule="auto"/>
        <w:ind w:firstLine="720"/>
        <w:jc w:val="both"/>
        <w:rPr>
          <w:rFonts w:asciiTheme="majorBidi" w:hAnsiTheme="majorBidi" w:cstheme="majorBidi"/>
        </w:rPr>
      </w:pPr>
    </w:p>
    <w:p w14:paraId="32FE4716" w14:textId="77777777" w:rsidR="00BD057C" w:rsidRDefault="00BD057C" w:rsidP="00EE7E71">
      <w:pPr>
        <w:suppressAutoHyphens w:val="0"/>
        <w:spacing w:line="276" w:lineRule="auto"/>
        <w:jc w:val="center"/>
        <w:rPr>
          <w:b/>
          <w:bCs/>
        </w:rPr>
      </w:pPr>
      <w:r w:rsidRPr="00DC7A4B">
        <w:rPr>
          <w:b/>
          <w:bCs/>
        </w:rPr>
        <w:t>Motīvu daļa</w:t>
      </w:r>
    </w:p>
    <w:p w14:paraId="1B5414BB" w14:textId="77777777" w:rsidR="0031103E" w:rsidRPr="0031103E" w:rsidRDefault="0031103E" w:rsidP="00EE7E71">
      <w:pPr>
        <w:suppressAutoHyphens w:val="0"/>
        <w:spacing w:line="276" w:lineRule="auto"/>
        <w:ind w:firstLine="720"/>
        <w:jc w:val="both"/>
        <w:rPr>
          <w:b/>
          <w:bCs/>
        </w:rPr>
      </w:pPr>
    </w:p>
    <w:p w14:paraId="0F63E5A7" w14:textId="77241E70" w:rsidR="00DF13B7" w:rsidRDefault="0031103E" w:rsidP="00EE7E71">
      <w:pPr>
        <w:suppressAutoHyphens w:val="0"/>
        <w:spacing w:line="276" w:lineRule="auto"/>
        <w:ind w:firstLine="720"/>
        <w:jc w:val="both"/>
        <w:rPr>
          <w:rFonts w:asciiTheme="majorBidi" w:hAnsiTheme="majorBidi" w:cstheme="majorBidi"/>
        </w:rPr>
      </w:pPr>
      <w:r>
        <w:rPr>
          <w:rFonts w:asciiTheme="majorBidi" w:hAnsiTheme="majorBidi" w:cstheme="majorBidi"/>
        </w:rPr>
        <w:t>[7]</w:t>
      </w:r>
      <w:r w:rsidR="00F02C77">
        <w:rPr>
          <w:rFonts w:asciiTheme="majorBidi" w:hAnsiTheme="majorBidi" w:cstheme="majorBidi"/>
        </w:rPr>
        <w:t> </w:t>
      </w:r>
      <w:bookmarkStart w:id="14" w:name="OLE_LINK77"/>
      <w:r w:rsidR="00F02C77">
        <w:rPr>
          <w:rFonts w:asciiTheme="majorBidi" w:hAnsiTheme="majorBidi" w:cstheme="majorBidi"/>
        </w:rPr>
        <w:t xml:space="preserve">Ievērojot </w:t>
      </w:r>
      <w:r w:rsidR="001C0B1A" w:rsidRPr="001C0B1A">
        <w:rPr>
          <w:rFonts w:asciiTheme="majorBidi" w:hAnsiTheme="majorBidi" w:cstheme="majorBidi"/>
        </w:rPr>
        <w:t>kasācijas sūdzīb</w:t>
      </w:r>
      <w:r w:rsidR="0061158E">
        <w:rPr>
          <w:rFonts w:asciiTheme="majorBidi" w:hAnsiTheme="majorBidi" w:cstheme="majorBidi"/>
        </w:rPr>
        <w:t xml:space="preserve">u un protesta </w:t>
      </w:r>
      <w:r w:rsidR="001C0B1A">
        <w:rPr>
          <w:rFonts w:asciiTheme="majorBidi" w:hAnsiTheme="majorBidi" w:cstheme="majorBidi"/>
        </w:rPr>
        <w:t>argumentu</w:t>
      </w:r>
      <w:r w:rsidR="0061158E">
        <w:rPr>
          <w:rFonts w:asciiTheme="majorBidi" w:hAnsiTheme="majorBidi" w:cstheme="majorBidi"/>
        </w:rPr>
        <w:t xml:space="preserve">s </w:t>
      </w:r>
      <w:r w:rsidR="00BA4FD0">
        <w:rPr>
          <w:rFonts w:asciiTheme="majorBidi" w:hAnsiTheme="majorBidi" w:cstheme="majorBidi"/>
        </w:rPr>
        <w:t>saistībā ar</w:t>
      </w:r>
      <w:r w:rsidR="00BA4FD0" w:rsidRPr="001C0B1A">
        <w:rPr>
          <w:rFonts w:asciiTheme="majorBidi" w:hAnsiTheme="majorBidi" w:cstheme="majorBidi"/>
        </w:rPr>
        <w:t xml:space="preserve"> </w:t>
      </w:r>
      <w:r w:rsidR="001C0B1A" w:rsidRPr="001C0B1A">
        <w:rPr>
          <w:rFonts w:asciiTheme="majorBidi" w:hAnsiTheme="majorBidi" w:cstheme="majorBidi"/>
        </w:rPr>
        <w:t>Krimināllikuma 220</w:t>
      </w:r>
      <w:r w:rsidR="00F02C77">
        <w:rPr>
          <w:rFonts w:asciiTheme="majorBidi" w:hAnsiTheme="majorBidi" w:cstheme="majorBidi"/>
        </w:rPr>
        <w:t>.</w:t>
      </w:r>
      <w:r w:rsidR="00F02C77" w:rsidRPr="0070474D">
        <w:rPr>
          <w:rFonts w:asciiTheme="majorBidi" w:hAnsiTheme="majorBidi" w:cstheme="majorBidi"/>
          <w:vertAlign w:val="superscript"/>
        </w:rPr>
        <w:t>1</w:t>
      </w:r>
      <w:r w:rsidR="00F02C77">
        <w:t> </w:t>
      </w:r>
      <w:r w:rsidR="001C0B1A" w:rsidRPr="001C0B1A">
        <w:rPr>
          <w:rFonts w:asciiTheme="majorBidi" w:hAnsiTheme="majorBidi" w:cstheme="majorBidi"/>
        </w:rPr>
        <w:t>panta otr</w:t>
      </w:r>
      <w:r w:rsidR="00BA4FD0">
        <w:rPr>
          <w:rFonts w:asciiTheme="majorBidi" w:hAnsiTheme="majorBidi" w:cstheme="majorBidi"/>
        </w:rPr>
        <w:t>o daļu</w:t>
      </w:r>
      <w:r w:rsidR="001C0B1A" w:rsidRPr="001C0B1A">
        <w:rPr>
          <w:rFonts w:asciiTheme="majorBidi" w:hAnsiTheme="majorBidi" w:cstheme="majorBidi"/>
        </w:rPr>
        <w:t xml:space="preserve">, </w:t>
      </w:r>
      <w:r w:rsidR="0061158E">
        <w:rPr>
          <w:rFonts w:asciiTheme="majorBidi" w:hAnsiTheme="majorBidi" w:cstheme="majorBidi"/>
        </w:rPr>
        <w:t xml:space="preserve">Senātam </w:t>
      </w:r>
      <w:r w:rsidR="001C0B1A" w:rsidRPr="001C0B1A">
        <w:rPr>
          <w:rFonts w:asciiTheme="majorBidi" w:hAnsiTheme="majorBidi" w:cstheme="majorBidi"/>
        </w:rPr>
        <w:t xml:space="preserve">jāatbild uz </w:t>
      </w:r>
      <w:r w:rsidR="00D7622F">
        <w:rPr>
          <w:rFonts w:asciiTheme="majorBidi" w:hAnsiTheme="majorBidi" w:cstheme="majorBidi"/>
        </w:rPr>
        <w:t>šādiem tiesību jautājumiem</w:t>
      </w:r>
      <w:r w:rsidR="00D92379">
        <w:rPr>
          <w:rFonts w:asciiTheme="majorBidi" w:hAnsiTheme="majorBidi" w:cstheme="majorBidi"/>
        </w:rPr>
        <w:t xml:space="preserve">, </w:t>
      </w:r>
      <w:r w:rsidR="001C5F68">
        <w:rPr>
          <w:rFonts w:asciiTheme="majorBidi" w:hAnsiTheme="majorBidi" w:cstheme="majorBidi"/>
        </w:rPr>
        <w:t xml:space="preserve">proti, </w:t>
      </w:r>
      <w:r w:rsidR="00D92379" w:rsidRPr="00DF13B7">
        <w:rPr>
          <w:rFonts w:asciiTheme="majorBidi" w:hAnsiTheme="majorBidi" w:cstheme="majorBidi"/>
        </w:rPr>
        <w:t>vai apelācijas instances tiesa</w:t>
      </w:r>
      <w:r w:rsidR="001C0B1A" w:rsidRPr="001C0B1A">
        <w:rPr>
          <w:rFonts w:asciiTheme="majorBidi" w:hAnsiTheme="majorBidi" w:cstheme="majorBidi"/>
        </w:rPr>
        <w:t>:</w:t>
      </w:r>
    </w:p>
    <w:p w14:paraId="43B641D5" w14:textId="4E4881F7" w:rsidR="00DF13B7"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1) </w:t>
      </w:r>
      <w:r w:rsidR="000F57B3" w:rsidRPr="00DF13B7">
        <w:rPr>
          <w:rFonts w:asciiTheme="majorBidi" w:hAnsiTheme="majorBidi" w:cstheme="majorBidi"/>
        </w:rPr>
        <w:t xml:space="preserve">atzīstot apsūdzēto par dīzeļdegvielas uzglabātāju un nosakot </w:t>
      </w:r>
      <w:r w:rsidR="00975E41" w:rsidRPr="00DF13B7">
        <w:rPr>
          <w:rFonts w:asciiTheme="majorBidi" w:hAnsiTheme="majorBidi" w:cstheme="majorBidi"/>
        </w:rPr>
        <w:t>tās</w:t>
      </w:r>
      <w:r w:rsidR="000F57B3" w:rsidRPr="00DF13B7">
        <w:rPr>
          <w:rFonts w:asciiTheme="majorBidi" w:hAnsiTheme="majorBidi" w:cstheme="majorBidi"/>
        </w:rPr>
        <w:t xml:space="preserve"> daudzumu,</w:t>
      </w:r>
      <w:r w:rsidR="00A24F5C" w:rsidRPr="00DF13B7">
        <w:rPr>
          <w:rFonts w:asciiTheme="majorBidi" w:hAnsiTheme="majorBidi" w:cstheme="majorBidi"/>
        </w:rPr>
        <w:t xml:space="preserve"> </w:t>
      </w:r>
      <w:r w:rsidR="005802D5" w:rsidRPr="00DF13B7">
        <w:rPr>
          <w:rFonts w:asciiTheme="majorBidi" w:hAnsiTheme="majorBidi" w:cstheme="majorBidi"/>
        </w:rPr>
        <w:t>ir</w:t>
      </w:r>
      <w:r w:rsidR="0061158E">
        <w:rPr>
          <w:rFonts w:asciiTheme="majorBidi" w:hAnsiTheme="majorBidi" w:cstheme="majorBidi"/>
        </w:rPr>
        <w:t xml:space="preserve"> pārkāpusi</w:t>
      </w:r>
      <w:r w:rsidR="00CB2465" w:rsidRPr="00DF13B7">
        <w:rPr>
          <w:rFonts w:asciiTheme="majorBidi" w:hAnsiTheme="majorBidi" w:cstheme="majorBidi"/>
        </w:rPr>
        <w:t xml:space="preserve"> </w:t>
      </w:r>
      <w:r w:rsidR="000F57B3" w:rsidRPr="00DF13B7">
        <w:rPr>
          <w:rFonts w:asciiTheme="majorBidi" w:hAnsiTheme="majorBidi" w:cstheme="majorBidi"/>
        </w:rPr>
        <w:t>Krimināl</w:t>
      </w:r>
      <w:r w:rsidR="00CB2465" w:rsidRPr="00DF13B7">
        <w:rPr>
          <w:rFonts w:asciiTheme="majorBidi" w:hAnsiTheme="majorBidi" w:cstheme="majorBidi"/>
        </w:rPr>
        <w:t>proces</w:t>
      </w:r>
      <w:r w:rsidR="000F57B3" w:rsidRPr="00DF13B7">
        <w:rPr>
          <w:rFonts w:asciiTheme="majorBidi" w:hAnsiTheme="majorBidi" w:cstheme="majorBidi"/>
        </w:rPr>
        <w:t>a likuma norm</w:t>
      </w:r>
      <w:r w:rsidR="0061158E">
        <w:rPr>
          <w:rFonts w:asciiTheme="majorBidi" w:hAnsiTheme="majorBidi" w:cstheme="majorBidi"/>
        </w:rPr>
        <w:t>as par</w:t>
      </w:r>
      <w:r w:rsidR="000F57B3" w:rsidRPr="00DF13B7">
        <w:rPr>
          <w:rFonts w:asciiTheme="majorBidi" w:hAnsiTheme="majorBidi" w:cstheme="majorBidi"/>
        </w:rPr>
        <w:t xml:space="preserve"> pierādījumu vērtēšanu</w:t>
      </w:r>
      <w:r w:rsidR="00CB2465" w:rsidRPr="00DF13B7">
        <w:rPr>
          <w:rFonts w:asciiTheme="majorBidi" w:hAnsiTheme="majorBidi" w:cstheme="majorBidi"/>
        </w:rPr>
        <w:t>;</w:t>
      </w:r>
    </w:p>
    <w:p w14:paraId="5197F4DC" w14:textId="7EC877A2" w:rsidR="00DF13B7"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2) </w:t>
      </w:r>
      <w:r w:rsidR="00A24F5C" w:rsidRPr="00DF13B7">
        <w:rPr>
          <w:rFonts w:asciiTheme="majorBidi" w:hAnsiTheme="majorBidi" w:cstheme="majorBidi"/>
        </w:rPr>
        <w:t>nosakot</w:t>
      </w:r>
      <w:r w:rsidR="00752C80">
        <w:rPr>
          <w:rFonts w:asciiTheme="majorBidi" w:hAnsiTheme="majorBidi" w:cstheme="majorBidi"/>
        </w:rPr>
        <w:t xml:space="preserve"> uzglabātās</w:t>
      </w:r>
      <w:r w:rsidR="00975E41" w:rsidRPr="00DF13B7">
        <w:rPr>
          <w:rFonts w:asciiTheme="majorBidi" w:hAnsiTheme="majorBidi" w:cstheme="majorBidi"/>
        </w:rPr>
        <w:t xml:space="preserve"> </w:t>
      </w:r>
      <w:r w:rsidR="00A24F5C" w:rsidRPr="00DF13B7">
        <w:rPr>
          <w:rFonts w:asciiTheme="majorBidi" w:hAnsiTheme="majorBidi" w:cstheme="majorBidi"/>
        </w:rPr>
        <w:t>dīzeļdegvielas vērtību, pareizi piemērojusi likuma „Par Krimināllikuma spēkā stāšanās un piemērošanas kārtību” (turpmāk – Īpašais likums) 20.</w:t>
      </w:r>
      <w:r w:rsidR="004A3ED9" w:rsidRPr="00DF13B7">
        <w:rPr>
          <w:rFonts w:asciiTheme="majorBidi" w:hAnsiTheme="majorBidi" w:cstheme="majorBidi"/>
        </w:rPr>
        <w:t> </w:t>
      </w:r>
      <w:r w:rsidR="00A24F5C" w:rsidRPr="00DF13B7">
        <w:rPr>
          <w:rFonts w:asciiTheme="majorBidi" w:hAnsiTheme="majorBidi" w:cstheme="majorBidi"/>
        </w:rPr>
        <w:t>pantu</w:t>
      </w:r>
      <w:r w:rsidR="006A29B6">
        <w:rPr>
          <w:rFonts w:asciiTheme="majorBidi" w:hAnsiTheme="majorBidi" w:cstheme="majorBidi"/>
        </w:rPr>
        <w:t>.</w:t>
      </w:r>
    </w:p>
    <w:p w14:paraId="4857D39C" w14:textId="3E60EFB6" w:rsidR="00DF13B7" w:rsidRDefault="00D92379" w:rsidP="00EE7E71">
      <w:pPr>
        <w:suppressAutoHyphens w:val="0"/>
        <w:spacing w:line="276" w:lineRule="auto"/>
        <w:ind w:firstLine="720"/>
        <w:jc w:val="both"/>
        <w:rPr>
          <w:rFonts w:asciiTheme="majorBidi" w:hAnsiTheme="majorBidi" w:cstheme="majorBidi"/>
        </w:rPr>
      </w:pPr>
      <w:r>
        <w:rPr>
          <w:rFonts w:asciiTheme="majorBidi" w:hAnsiTheme="majorBidi" w:cstheme="majorBidi"/>
        </w:rPr>
        <w:t>Savukārt saistībā ar argumentiem par</w:t>
      </w:r>
      <w:r w:rsidR="0061158E" w:rsidRPr="001C0B1A">
        <w:rPr>
          <w:rFonts w:asciiTheme="majorBidi" w:hAnsiTheme="majorBidi" w:cstheme="majorBidi"/>
        </w:rPr>
        <w:t xml:space="preserve"> Krimināllikuma </w:t>
      </w:r>
      <w:r w:rsidR="0061158E">
        <w:rPr>
          <w:rFonts w:asciiTheme="majorBidi" w:hAnsiTheme="majorBidi" w:cstheme="majorBidi"/>
        </w:rPr>
        <w:t>177.</w:t>
      </w:r>
      <w:r w:rsidR="0061158E">
        <w:t> </w:t>
      </w:r>
      <w:r w:rsidR="0061158E" w:rsidRPr="001C0B1A">
        <w:rPr>
          <w:rFonts w:asciiTheme="majorBidi" w:hAnsiTheme="majorBidi" w:cstheme="majorBidi"/>
        </w:rPr>
        <w:t xml:space="preserve">panta </w:t>
      </w:r>
      <w:r w:rsidR="0061158E">
        <w:rPr>
          <w:rFonts w:asciiTheme="majorBidi" w:hAnsiTheme="majorBidi" w:cstheme="majorBidi"/>
        </w:rPr>
        <w:t>trešās</w:t>
      </w:r>
      <w:r w:rsidR="0061158E" w:rsidRPr="001C0B1A">
        <w:rPr>
          <w:rFonts w:asciiTheme="majorBidi" w:hAnsiTheme="majorBidi" w:cstheme="majorBidi"/>
        </w:rPr>
        <w:t xml:space="preserve"> daļas</w:t>
      </w:r>
      <w:r w:rsidR="0061158E">
        <w:rPr>
          <w:rFonts w:asciiTheme="majorBidi" w:hAnsiTheme="majorBidi" w:cstheme="majorBidi"/>
        </w:rPr>
        <w:t xml:space="preserve"> </w:t>
      </w:r>
      <w:r>
        <w:rPr>
          <w:rFonts w:asciiTheme="majorBidi" w:hAnsiTheme="majorBidi" w:cstheme="majorBidi"/>
        </w:rPr>
        <w:t xml:space="preserve">nepamatotu </w:t>
      </w:r>
      <w:r w:rsidR="0061158E">
        <w:rPr>
          <w:rFonts w:asciiTheme="majorBidi" w:hAnsiTheme="majorBidi" w:cstheme="majorBidi"/>
        </w:rPr>
        <w:t>piemērošanu</w:t>
      </w:r>
      <w:r w:rsidR="0061158E" w:rsidRPr="001C0B1A">
        <w:rPr>
          <w:rFonts w:asciiTheme="majorBidi" w:hAnsiTheme="majorBidi" w:cstheme="majorBidi"/>
        </w:rPr>
        <w:t xml:space="preserve"> </w:t>
      </w:r>
      <w:r w:rsidR="001C0B1A" w:rsidRPr="001C0B1A">
        <w:rPr>
          <w:rFonts w:asciiTheme="majorBidi" w:hAnsiTheme="majorBidi" w:cstheme="majorBidi"/>
        </w:rPr>
        <w:t>Senātam jāatbild</w:t>
      </w:r>
      <w:r w:rsidR="00265D1B">
        <w:rPr>
          <w:rFonts w:asciiTheme="majorBidi" w:hAnsiTheme="majorBidi" w:cstheme="majorBidi"/>
        </w:rPr>
        <w:t>,</w:t>
      </w:r>
      <w:bookmarkStart w:id="15" w:name="_Hlk216687189"/>
      <w:r>
        <w:rPr>
          <w:rFonts w:asciiTheme="majorBidi" w:hAnsiTheme="majorBidi" w:cstheme="majorBidi"/>
        </w:rPr>
        <w:t xml:space="preserve"> vai apelācijas instances </w:t>
      </w:r>
      <w:r w:rsidRPr="00A24F5C">
        <w:rPr>
          <w:rFonts w:asciiTheme="majorBidi" w:hAnsiTheme="majorBidi" w:cstheme="majorBidi"/>
        </w:rPr>
        <w:t>tiesa</w:t>
      </w:r>
      <w:r>
        <w:rPr>
          <w:rFonts w:asciiTheme="majorBidi" w:hAnsiTheme="majorBidi" w:cstheme="majorBidi"/>
        </w:rPr>
        <w:t>:</w:t>
      </w:r>
    </w:p>
    <w:p w14:paraId="4DDB1E15" w14:textId="394C9FC2" w:rsidR="00DF13B7"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1) </w:t>
      </w:r>
      <w:r w:rsidR="00A378E5">
        <w:rPr>
          <w:rFonts w:asciiTheme="majorBidi" w:hAnsiTheme="majorBidi" w:cstheme="majorBidi"/>
        </w:rPr>
        <w:t>konstatējot</w:t>
      </w:r>
      <w:r w:rsidR="00A378E5" w:rsidRPr="000B7D12">
        <w:rPr>
          <w:rFonts w:asciiTheme="majorBidi" w:hAnsiTheme="majorBidi" w:cstheme="majorBidi"/>
        </w:rPr>
        <w:t xml:space="preserve"> </w:t>
      </w:r>
      <w:r w:rsidR="00D34E40" w:rsidRPr="000B7D12">
        <w:rPr>
          <w:rFonts w:asciiTheme="majorBidi" w:hAnsiTheme="majorBidi" w:cstheme="majorBidi"/>
        </w:rPr>
        <w:t>apsūdzētā darbībās Krimināllikuma 177. panta trešajā daļā paredzētā noziedzīgā nodarījuma objektīv</w:t>
      </w:r>
      <w:r w:rsidR="001C0B1A">
        <w:rPr>
          <w:rFonts w:asciiTheme="majorBidi" w:hAnsiTheme="majorBidi" w:cstheme="majorBidi"/>
        </w:rPr>
        <w:t>ās</w:t>
      </w:r>
      <w:r w:rsidR="00D34E40" w:rsidRPr="000B7D12">
        <w:rPr>
          <w:rFonts w:asciiTheme="majorBidi" w:hAnsiTheme="majorBidi" w:cstheme="majorBidi"/>
        </w:rPr>
        <w:t xml:space="preserve"> un subjektīv</w:t>
      </w:r>
      <w:r w:rsidR="001C0B1A">
        <w:rPr>
          <w:rFonts w:asciiTheme="majorBidi" w:hAnsiTheme="majorBidi" w:cstheme="majorBidi"/>
        </w:rPr>
        <w:t>ās</w:t>
      </w:r>
      <w:r w:rsidR="00D34E40" w:rsidRPr="000B7D12">
        <w:rPr>
          <w:rFonts w:asciiTheme="majorBidi" w:hAnsiTheme="majorBidi" w:cstheme="majorBidi"/>
        </w:rPr>
        <w:t xml:space="preserve"> pus</w:t>
      </w:r>
      <w:r w:rsidR="001C0B1A">
        <w:rPr>
          <w:rFonts w:asciiTheme="majorBidi" w:hAnsiTheme="majorBidi" w:cstheme="majorBidi"/>
        </w:rPr>
        <w:t>es pazīmes</w:t>
      </w:r>
      <w:r w:rsidR="00A378E5">
        <w:rPr>
          <w:rFonts w:asciiTheme="majorBidi" w:hAnsiTheme="majorBidi" w:cstheme="majorBidi"/>
        </w:rPr>
        <w:t xml:space="preserve"> ir</w:t>
      </w:r>
      <w:r w:rsidR="0061158E">
        <w:rPr>
          <w:rFonts w:asciiTheme="majorBidi" w:hAnsiTheme="majorBidi" w:cstheme="majorBidi"/>
        </w:rPr>
        <w:t xml:space="preserve"> pārkāpusi</w:t>
      </w:r>
      <w:r w:rsidR="0061158E" w:rsidRPr="00DF13B7">
        <w:rPr>
          <w:rFonts w:asciiTheme="majorBidi" w:hAnsiTheme="majorBidi" w:cstheme="majorBidi"/>
        </w:rPr>
        <w:t xml:space="preserve"> Kriminālprocesa likuma norm</w:t>
      </w:r>
      <w:r w:rsidR="0061158E">
        <w:rPr>
          <w:rFonts w:asciiTheme="majorBidi" w:hAnsiTheme="majorBidi" w:cstheme="majorBidi"/>
        </w:rPr>
        <w:t>as par</w:t>
      </w:r>
      <w:r w:rsidR="0061158E" w:rsidRPr="00DF13B7">
        <w:rPr>
          <w:rFonts w:asciiTheme="majorBidi" w:hAnsiTheme="majorBidi" w:cstheme="majorBidi"/>
        </w:rPr>
        <w:t xml:space="preserve"> pierādījumu vērtēšanu;</w:t>
      </w:r>
    </w:p>
    <w:p w14:paraId="3B92E0EE" w14:textId="16DCD2E5" w:rsidR="00DF13B7"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2) </w:t>
      </w:r>
      <w:r w:rsidR="000B7D12">
        <w:rPr>
          <w:rFonts w:asciiTheme="majorBidi" w:hAnsiTheme="majorBidi" w:cstheme="majorBidi"/>
        </w:rPr>
        <w:t>nosakot sod</w:t>
      </w:r>
      <w:r w:rsidR="001C0B1A">
        <w:rPr>
          <w:rFonts w:asciiTheme="majorBidi" w:hAnsiTheme="majorBidi" w:cstheme="majorBidi"/>
        </w:rPr>
        <w:t>a veidu un mēru</w:t>
      </w:r>
      <w:r w:rsidR="000B7D12">
        <w:rPr>
          <w:rFonts w:asciiTheme="majorBidi" w:hAnsiTheme="majorBidi" w:cstheme="majorBidi"/>
        </w:rPr>
        <w:t>, ir pārkāpusi Krimināllikuma 5. panta pirmo un otro daļu</w:t>
      </w:r>
      <w:r w:rsidR="001C0B1A">
        <w:rPr>
          <w:rFonts w:asciiTheme="majorBidi" w:hAnsiTheme="majorBidi" w:cstheme="majorBidi"/>
        </w:rPr>
        <w:t xml:space="preserve"> un </w:t>
      </w:r>
      <w:r w:rsidR="000B7D12" w:rsidRPr="001C0B1A">
        <w:rPr>
          <w:rFonts w:asciiTheme="majorBidi" w:hAnsiTheme="majorBidi" w:cstheme="majorBidi"/>
        </w:rPr>
        <w:t>46. pantu;</w:t>
      </w:r>
    </w:p>
    <w:p w14:paraId="127E6A03" w14:textId="58DEE92A" w:rsidR="000B7D12" w:rsidRPr="000B7D12" w:rsidRDefault="00DF13B7" w:rsidP="00EE7E71">
      <w:pPr>
        <w:suppressAutoHyphens w:val="0"/>
        <w:spacing w:line="276" w:lineRule="auto"/>
        <w:ind w:firstLine="720"/>
        <w:jc w:val="both"/>
        <w:rPr>
          <w:rFonts w:asciiTheme="majorBidi" w:hAnsiTheme="majorBidi" w:cstheme="majorBidi"/>
        </w:rPr>
      </w:pPr>
      <w:r>
        <w:rPr>
          <w:rFonts w:asciiTheme="majorBidi" w:hAnsiTheme="majorBidi" w:cstheme="majorBidi"/>
        </w:rPr>
        <w:t>3) </w:t>
      </w:r>
      <w:r w:rsidR="007C540A">
        <w:rPr>
          <w:rFonts w:asciiTheme="majorBidi" w:hAnsiTheme="majorBidi" w:cstheme="majorBidi"/>
        </w:rPr>
        <w:t>atzīstot par neiespējamu notiesāt apsūdzēto nosacīti,</w:t>
      </w:r>
      <w:r w:rsidR="005802D5">
        <w:rPr>
          <w:rFonts w:asciiTheme="majorBidi" w:hAnsiTheme="majorBidi" w:cstheme="majorBidi"/>
        </w:rPr>
        <w:t xml:space="preserve"> ir pārkāpusi </w:t>
      </w:r>
      <w:r w:rsidR="000B7D12">
        <w:rPr>
          <w:rFonts w:asciiTheme="majorBidi" w:hAnsiTheme="majorBidi" w:cstheme="majorBidi"/>
        </w:rPr>
        <w:t>Krimināllikuma 55.</w:t>
      </w:r>
      <w:r w:rsidR="00F86BFD">
        <w:rPr>
          <w:rFonts w:asciiTheme="majorBidi" w:hAnsiTheme="majorBidi" w:cstheme="majorBidi"/>
        </w:rPr>
        <w:t> </w:t>
      </w:r>
      <w:r w:rsidR="000B7D12">
        <w:rPr>
          <w:rFonts w:asciiTheme="majorBidi" w:hAnsiTheme="majorBidi" w:cstheme="majorBidi"/>
        </w:rPr>
        <w:t>panta</w:t>
      </w:r>
      <w:r w:rsidR="005802D5">
        <w:rPr>
          <w:rFonts w:asciiTheme="majorBidi" w:hAnsiTheme="majorBidi" w:cstheme="majorBidi"/>
        </w:rPr>
        <w:t xml:space="preserve"> pirmo daļu</w:t>
      </w:r>
      <w:r w:rsidR="000B7D12">
        <w:rPr>
          <w:rFonts w:asciiTheme="majorBidi" w:hAnsiTheme="majorBidi" w:cstheme="majorBidi"/>
        </w:rPr>
        <w:t>.</w:t>
      </w:r>
    </w:p>
    <w:bookmarkEnd w:id="15"/>
    <w:p w14:paraId="4FB5994D" w14:textId="77777777" w:rsidR="0031103E" w:rsidRDefault="0031103E" w:rsidP="00EE7E71">
      <w:pPr>
        <w:pStyle w:val="ListParagraph"/>
        <w:suppressAutoHyphens w:val="0"/>
        <w:spacing w:line="276" w:lineRule="auto"/>
        <w:ind w:left="0" w:firstLine="720"/>
        <w:contextualSpacing w:val="0"/>
        <w:jc w:val="both"/>
        <w:rPr>
          <w:rFonts w:asciiTheme="majorBidi" w:hAnsiTheme="majorBidi" w:cstheme="majorBidi"/>
        </w:rPr>
      </w:pPr>
    </w:p>
    <w:p w14:paraId="38433344" w14:textId="05127E24" w:rsidR="00A24F5C" w:rsidRPr="00BF5451" w:rsidRDefault="00A24F5C" w:rsidP="00EE7E71">
      <w:pPr>
        <w:pStyle w:val="ListParagraph"/>
        <w:suppressAutoHyphens w:val="0"/>
        <w:spacing w:line="276" w:lineRule="auto"/>
        <w:ind w:left="0"/>
        <w:contextualSpacing w:val="0"/>
        <w:jc w:val="center"/>
        <w:rPr>
          <w:rFonts w:asciiTheme="majorBidi" w:hAnsiTheme="majorBidi"/>
          <w:b/>
        </w:rPr>
      </w:pPr>
      <w:r w:rsidRPr="00BF5451">
        <w:rPr>
          <w:rFonts w:asciiTheme="majorBidi" w:hAnsiTheme="majorBidi"/>
          <w:b/>
        </w:rPr>
        <w:t>I</w:t>
      </w:r>
    </w:p>
    <w:bookmarkEnd w:id="14"/>
    <w:p w14:paraId="6E356988" w14:textId="168B5074" w:rsidR="00D24D81" w:rsidRDefault="00B64237" w:rsidP="00EE7E71">
      <w:pPr>
        <w:suppressAutoHyphens w:val="0"/>
        <w:spacing w:line="276" w:lineRule="auto"/>
        <w:jc w:val="center"/>
        <w:rPr>
          <w:i/>
          <w:iCs/>
          <w:lang w:eastAsia="zh-CN"/>
        </w:rPr>
      </w:pPr>
      <w:r w:rsidRPr="00B64237">
        <w:rPr>
          <w:i/>
          <w:iCs/>
          <w:lang w:eastAsia="zh-CN"/>
        </w:rPr>
        <w:t xml:space="preserve">Par </w:t>
      </w:r>
      <w:r w:rsidR="00975E41">
        <w:rPr>
          <w:i/>
          <w:iCs/>
          <w:lang w:eastAsia="zh-CN"/>
        </w:rPr>
        <w:t xml:space="preserve">naftas produktu </w:t>
      </w:r>
      <w:r w:rsidR="00975E41" w:rsidRPr="001C0B1A">
        <w:rPr>
          <w:i/>
          <w:iCs/>
          <w:lang w:eastAsia="zh-CN"/>
        </w:rPr>
        <w:t>nelikumīg</w:t>
      </w:r>
      <w:r w:rsidR="00975E41">
        <w:rPr>
          <w:i/>
          <w:iCs/>
          <w:lang w:eastAsia="zh-CN"/>
        </w:rPr>
        <w:t>u uzglabāšanu</w:t>
      </w:r>
    </w:p>
    <w:p w14:paraId="7A71DC71" w14:textId="2CC0E921" w:rsidR="00921B6B" w:rsidRPr="00B64237" w:rsidRDefault="005802D5" w:rsidP="00EE7E71">
      <w:pPr>
        <w:suppressAutoHyphens w:val="0"/>
        <w:spacing w:line="276" w:lineRule="auto"/>
        <w:jc w:val="center"/>
        <w:rPr>
          <w:i/>
          <w:iCs/>
          <w:lang w:eastAsia="zh-CN"/>
        </w:rPr>
      </w:pPr>
      <w:r w:rsidRPr="005802D5">
        <w:rPr>
          <w:i/>
          <w:iCs/>
          <w:lang w:eastAsia="zh-CN"/>
        </w:rPr>
        <w:t>(</w:t>
      </w:r>
      <w:r w:rsidRPr="005802D5">
        <w:rPr>
          <w:rFonts w:asciiTheme="majorBidi" w:hAnsiTheme="majorBidi" w:cstheme="majorBidi"/>
          <w:i/>
          <w:iCs/>
        </w:rPr>
        <w:t>Krimināllikuma 220</w:t>
      </w:r>
      <w:r w:rsidR="002B6BA2">
        <w:rPr>
          <w:rFonts w:asciiTheme="majorBidi" w:hAnsiTheme="majorBidi" w:cstheme="majorBidi"/>
          <w:i/>
          <w:iCs/>
        </w:rPr>
        <w:t>.</w:t>
      </w:r>
      <w:r w:rsidRPr="005802D5">
        <w:rPr>
          <w:rFonts w:asciiTheme="majorBidi" w:hAnsiTheme="majorBidi" w:cstheme="majorBidi"/>
          <w:i/>
          <w:iCs/>
          <w:vertAlign w:val="superscript"/>
        </w:rPr>
        <w:t>1</w:t>
      </w:r>
      <w:r w:rsidRPr="005802D5">
        <w:rPr>
          <w:rFonts w:asciiTheme="majorBidi" w:hAnsiTheme="majorBidi" w:cstheme="majorBidi"/>
          <w:i/>
          <w:iCs/>
        </w:rPr>
        <w:t> panta otrā daļa)</w:t>
      </w:r>
    </w:p>
    <w:p w14:paraId="33F4320E" w14:textId="77777777" w:rsidR="00A24F5C" w:rsidRDefault="00A24F5C" w:rsidP="00EE7E71">
      <w:pPr>
        <w:suppressAutoHyphens w:val="0"/>
        <w:spacing w:line="276" w:lineRule="auto"/>
        <w:ind w:firstLine="720"/>
        <w:jc w:val="both"/>
        <w:rPr>
          <w:lang w:eastAsia="zh-CN"/>
        </w:rPr>
      </w:pPr>
    </w:p>
    <w:p w14:paraId="1182801D" w14:textId="1F6DA607" w:rsidR="00025744" w:rsidRDefault="00B64237" w:rsidP="00EE7E71">
      <w:pPr>
        <w:suppressAutoHyphens w:val="0"/>
        <w:spacing w:line="276" w:lineRule="auto"/>
        <w:ind w:firstLine="720"/>
        <w:jc w:val="both"/>
      </w:pPr>
      <w:bookmarkStart w:id="16" w:name="_Hlk216621100"/>
      <w:bookmarkStart w:id="17" w:name="_Hlk216114796"/>
      <w:r>
        <w:t>[8]</w:t>
      </w:r>
      <w:r w:rsidR="007B3444">
        <w:t> </w:t>
      </w:r>
      <w:r w:rsidR="002207AB">
        <w:rPr>
          <w:rFonts w:asciiTheme="majorBidi" w:hAnsiTheme="majorBidi" w:cstheme="majorBidi"/>
        </w:rPr>
        <w:t>A</w:t>
      </w:r>
      <w:r w:rsidR="00025744">
        <w:rPr>
          <w:rFonts w:asciiTheme="majorBidi" w:hAnsiTheme="majorBidi" w:cstheme="majorBidi"/>
        </w:rPr>
        <w:t xml:space="preserve">psūdzētajam </w:t>
      </w:r>
      <w:r w:rsidR="0088482E">
        <w:rPr>
          <w:rFonts w:asciiTheme="majorBidi" w:hAnsiTheme="majorBidi" w:cstheme="majorBidi"/>
        </w:rPr>
        <w:t>[pers. A]</w:t>
      </w:r>
      <w:r w:rsidR="00320962">
        <w:rPr>
          <w:rFonts w:asciiTheme="majorBidi" w:hAnsiTheme="majorBidi" w:cstheme="majorBidi"/>
        </w:rPr>
        <w:t xml:space="preserve"> </w:t>
      </w:r>
      <w:r w:rsidR="00025744">
        <w:rPr>
          <w:rFonts w:asciiTheme="majorBidi" w:hAnsiTheme="majorBidi" w:cstheme="majorBidi"/>
        </w:rPr>
        <w:t xml:space="preserve">inkriminētā nodarījuma </w:t>
      </w:r>
      <w:r w:rsidR="00320962">
        <w:rPr>
          <w:rFonts w:asciiTheme="majorBidi" w:hAnsiTheme="majorBidi" w:cstheme="majorBidi"/>
        </w:rPr>
        <w:t xml:space="preserve">izdarīšanas </w:t>
      </w:r>
      <w:r w:rsidR="00025744">
        <w:rPr>
          <w:rFonts w:asciiTheme="majorBidi" w:hAnsiTheme="majorBidi" w:cstheme="majorBidi"/>
        </w:rPr>
        <w:t xml:space="preserve">laikā </w:t>
      </w:r>
      <w:r w:rsidR="002207AB">
        <w:t>Krimināllikuma</w:t>
      </w:r>
      <w:r w:rsidR="002207AB">
        <w:rPr>
          <w:rFonts w:asciiTheme="majorBidi" w:hAnsiTheme="majorBidi" w:cstheme="majorBidi"/>
        </w:rPr>
        <w:t xml:space="preserve"> 220.</w:t>
      </w:r>
      <w:r w:rsidR="002207AB" w:rsidRPr="00A24F5C">
        <w:rPr>
          <w:rFonts w:asciiTheme="majorBidi" w:hAnsiTheme="majorBidi" w:cstheme="majorBidi"/>
          <w:vertAlign w:val="superscript"/>
        </w:rPr>
        <w:t>1</w:t>
      </w:r>
      <w:r w:rsidR="002207AB">
        <w:rPr>
          <w:rFonts w:asciiTheme="majorBidi" w:hAnsiTheme="majorBidi" w:cstheme="majorBidi"/>
        </w:rPr>
        <w:t xml:space="preserve"> panta otrā daļa </w:t>
      </w:r>
      <w:r w:rsidR="00025744">
        <w:rPr>
          <w:rFonts w:asciiTheme="majorBidi" w:hAnsiTheme="majorBidi" w:cstheme="majorBidi"/>
        </w:rPr>
        <w:t>paredzēja atbildību</w:t>
      </w:r>
      <w:r w:rsidR="00025744" w:rsidRPr="00025744">
        <w:t xml:space="preserve"> </w:t>
      </w:r>
      <w:r w:rsidR="00025744">
        <w:t>p</w:t>
      </w:r>
      <w:r w:rsidR="00025744" w:rsidRPr="00025744">
        <w:t>ar naftas produktu nelikumīgu uzglabāšanu, pārvietošanu (pārvadāšanu) vai realizāciju, ja tā izdarīta lielā apmērā</w:t>
      </w:r>
      <w:r w:rsidR="00025744">
        <w:t>.</w:t>
      </w:r>
    </w:p>
    <w:p w14:paraId="424F467B" w14:textId="03D724DE" w:rsidR="00D85533" w:rsidRPr="00E66074" w:rsidRDefault="00F27C73" w:rsidP="00EE7E71">
      <w:pPr>
        <w:suppressAutoHyphens w:val="0"/>
        <w:spacing w:line="276" w:lineRule="auto"/>
        <w:ind w:firstLine="720"/>
        <w:jc w:val="both"/>
        <w:rPr>
          <w:rFonts w:asciiTheme="majorBidi" w:hAnsiTheme="majorBidi"/>
        </w:rPr>
      </w:pPr>
      <w:r w:rsidRPr="00326F2C">
        <w:rPr>
          <w:rFonts w:asciiTheme="majorBidi" w:hAnsiTheme="majorBidi"/>
        </w:rPr>
        <w:t xml:space="preserve">Senāts, pārbaudot pārsūdzēto spriedumu daļā par </w:t>
      </w:r>
      <w:r w:rsidR="00F3171F">
        <w:rPr>
          <w:rFonts w:asciiTheme="majorBidi" w:hAnsiTheme="majorBidi"/>
        </w:rPr>
        <w:t xml:space="preserve">to, </w:t>
      </w:r>
      <w:r w:rsidR="00F3171F" w:rsidRPr="00F3171F">
        <w:rPr>
          <w:rFonts w:asciiTheme="majorBidi" w:hAnsiTheme="majorBidi"/>
        </w:rPr>
        <w:t xml:space="preserve">vai tiesa pamatoti atzinusi apsūdzēto </w:t>
      </w:r>
      <w:r w:rsidR="0088482E">
        <w:rPr>
          <w:rFonts w:asciiTheme="majorBidi" w:hAnsiTheme="majorBidi"/>
        </w:rPr>
        <w:t>[pers. A]</w:t>
      </w:r>
      <w:r w:rsidR="00F3171F">
        <w:rPr>
          <w:rFonts w:asciiTheme="majorBidi" w:hAnsiTheme="majorBidi"/>
        </w:rPr>
        <w:t xml:space="preserve"> </w:t>
      </w:r>
      <w:r w:rsidR="00F3171F" w:rsidRPr="00F3171F">
        <w:rPr>
          <w:rFonts w:asciiTheme="majorBidi" w:hAnsiTheme="majorBidi"/>
        </w:rPr>
        <w:t>par</w:t>
      </w:r>
      <w:r w:rsidR="00F3171F">
        <w:rPr>
          <w:rFonts w:asciiTheme="majorBidi" w:hAnsiTheme="majorBidi"/>
        </w:rPr>
        <w:t xml:space="preserve"> </w:t>
      </w:r>
      <w:r w:rsidR="00F3171F" w:rsidRPr="00F3171F">
        <w:rPr>
          <w:rFonts w:asciiTheme="majorBidi" w:hAnsiTheme="majorBidi"/>
        </w:rPr>
        <w:t xml:space="preserve">dīzeļdegvielas </w:t>
      </w:r>
      <w:r w:rsidR="00F3171F">
        <w:rPr>
          <w:rFonts w:asciiTheme="majorBidi" w:hAnsiTheme="majorBidi"/>
        </w:rPr>
        <w:t xml:space="preserve">nelikumīgo </w:t>
      </w:r>
      <w:r w:rsidR="00F3171F" w:rsidRPr="00F3171F">
        <w:rPr>
          <w:rFonts w:asciiTheme="majorBidi" w:hAnsiTheme="majorBidi"/>
        </w:rPr>
        <w:t>uzglabātāju,</w:t>
      </w:r>
      <w:r w:rsidR="00F3171F">
        <w:rPr>
          <w:rFonts w:asciiTheme="majorBidi" w:hAnsiTheme="majorBidi"/>
        </w:rPr>
        <w:t xml:space="preserve"> </w:t>
      </w:r>
      <w:r w:rsidRPr="00326F2C">
        <w:rPr>
          <w:rFonts w:asciiTheme="majorBidi" w:hAnsiTheme="majorBidi"/>
        </w:rPr>
        <w:t>tiesību normu pārkāpumus nekonstatē</w:t>
      </w:r>
      <w:r w:rsidRPr="00460F0D">
        <w:rPr>
          <w:rFonts w:asciiTheme="majorBidi" w:hAnsiTheme="majorBidi" w:cstheme="majorBidi"/>
        </w:rPr>
        <w:t>.</w:t>
      </w:r>
    </w:p>
    <w:p w14:paraId="75E96C8A" w14:textId="4F122692" w:rsidR="006A2BA1" w:rsidRDefault="00025744" w:rsidP="00EE7E71">
      <w:pPr>
        <w:suppressAutoHyphens w:val="0"/>
        <w:spacing w:line="276" w:lineRule="auto"/>
        <w:ind w:firstLine="720"/>
        <w:jc w:val="both"/>
        <w:rPr>
          <w:rFonts w:asciiTheme="majorBidi" w:hAnsiTheme="majorBidi" w:cstheme="majorBidi"/>
        </w:rPr>
      </w:pPr>
      <w:r>
        <w:t>[8.1]</w:t>
      </w:r>
      <w:r w:rsidR="007B3444">
        <w:t xml:space="preserve"> Tiesa </w:t>
      </w:r>
      <w:r w:rsidR="003A5B2B">
        <w:t>šo</w:t>
      </w:r>
      <w:r w:rsidR="00654A6A">
        <w:t xml:space="preserve"> atzinumu </w:t>
      </w:r>
      <w:r w:rsidR="00F30E42">
        <w:t xml:space="preserve">ir pamatojusi </w:t>
      </w:r>
      <w:r w:rsidR="00654A6A">
        <w:t>ar</w:t>
      </w:r>
      <w:r w:rsidR="00C66CD6" w:rsidRPr="00036827">
        <w:t xml:space="preserve"> </w:t>
      </w:r>
      <w:r w:rsidR="00C66CD6">
        <w:t>šād</w:t>
      </w:r>
      <w:r w:rsidR="00654A6A">
        <w:t>ām ziņām</w:t>
      </w:r>
      <w:r w:rsidR="00460F0D">
        <w:t xml:space="preserve"> par faktiem</w:t>
      </w:r>
      <w:r w:rsidR="00320962">
        <w:t>:</w:t>
      </w:r>
    </w:p>
    <w:p w14:paraId="3F2AC6B4" w14:textId="12008C2B" w:rsidR="00921B6B" w:rsidRPr="0013536B" w:rsidRDefault="0013536B" w:rsidP="00EE7E71">
      <w:pPr>
        <w:suppressAutoHyphens w:val="0"/>
        <w:spacing w:line="276" w:lineRule="auto"/>
        <w:ind w:firstLine="720"/>
        <w:jc w:val="both"/>
        <w:rPr>
          <w:rFonts w:asciiTheme="majorBidi" w:hAnsiTheme="majorBidi" w:cstheme="majorBidi"/>
        </w:rPr>
      </w:pPr>
      <w:r>
        <w:rPr>
          <w:rFonts w:asciiTheme="majorBidi" w:hAnsiTheme="majorBidi" w:cstheme="majorBidi"/>
        </w:rPr>
        <w:t>1) </w:t>
      </w:r>
      <w:r w:rsidR="00AB2281" w:rsidRPr="0013536B">
        <w:rPr>
          <w:rFonts w:asciiTheme="majorBidi" w:hAnsiTheme="majorBidi" w:cstheme="majorBidi"/>
        </w:rPr>
        <w:t xml:space="preserve">apsūdzētā vadītā uzņēmuma </w:t>
      </w:r>
      <w:r w:rsidR="00094BDC" w:rsidRPr="0013536B">
        <w:rPr>
          <w:rFonts w:asciiTheme="majorBidi" w:hAnsiTheme="majorBidi" w:cstheme="majorBidi"/>
        </w:rPr>
        <w:t xml:space="preserve">angārā </w:t>
      </w:r>
      <w:r w:rsidR="00B6265E" w:rsidRPr="0013536B">
        <w:rPr>
          <w:rFonts w:asciiTheme="majorBidi" w:hAnsiTheme="majorBidi" w:cstheme="majorBidi"/>
        </w:rPr>
        <w:t xml:space="preserve">tika </w:t>
      </w:r>
      <w:r w:rsidR="003A5B2B" w:rsidRPr="0013536B">
        <w:rPr>
          <w:rFonts w:asciiTheme="majorBidi" w:hAnsiTheme="majorBidi" w:cstheme="majorBidi"/>
        </w:rPr>
        <w:t xml:space="preserve">izņemtas </w:t>
      </w:r>
      <w:r w:rsidR="00595286" w:rsidRPr="0013536B">
        <w:rPr>
          <w:rFonts w:asciiTheme="majorBidi" w:hAnsiTheme="majorBidi" w:cstheme="majorBidi"/>
        </w:rPr>
        <w:t>13 tvertn</w:t>
      </w:r>
      <w:r w:rsidR="00CB1812" w:rsidRPr="0013536B">
        <w:rPr>
          <w:rFonts w:asciiTheme="majorBidi" w:hAnsiTheme="majorBidi" w:cstheme="majorBidi"/>
        </w:rPr>
        <w:t>e</w:t>
      </w:r>
      <w:r w:rsidR="00595286" w:rsidRPr="0013536B">
        <w:rPr>
          <w:rFonts w:asciiTheme="majorBidi" w:hAnsiTheme="majorBidi" w:cstheme="majorBidi"/>
        </w:rPr>
        <w:t>s</w:t>
      </w:r>
      <w:r w:rsidR="00CB1812" w:rsidRPr="0013536B">
        <w:rPr>
          <w:rFonts w:asciiTheme="majorBidi" w:hAnsiTheme="majorBidi" w:cstheme="majorBidi"/>
        </w:rPr>
        <w:t>, kurās</w:t>
      </w:r>
      <w:r w:rsidR="00094BDC" w:rsidRPr="0013536B">
        <w:rPr>
          <w:rFonts w:asciiTheme="majorBidi" w:hAnsiTheme="majorBidi" w:cstheme="majorBidi"/>
        </w:rPr>
        <w:t xml:space="preserve"> </w:t>
      </w:r>
      <w:r w:rsidR="00595286" w:rsidRPr="0013536B">
        <w:rPr>
          <w:rFonts w:asciiTheme="majorBidi" w:hAnsiTheme="majorBidi" w:cstheme="majorBidi"/>
        </w:rPr>
        <w:t>atbilstoši</w:t>
      </w:r>
      <w:r w:rsidR="00532C72" w:rsidRPr="0013536B">
        <w:rPr>
          <w:rFonts w:asciiTheme="majorBidi" w:hAnsiTheme="majorBidi" w:cstheme="majorBidi"/>
        </w:rPr>
        <w:t xml:space="preserve"> </w:t>
      </w:r>
      <w:r w:rsidR="00532C72" w:rsidRPr="0013536B">
        <w:rPr>
          <w:rFonts w:asciiTheme="majorBidi" w:hAnsiTheme="majorBidi" w:cstheme="majorBidi"/>
        </w:rPr>
        <w:lastRenderedPageBreak/>
        <w:t xml:space="preserve">eksperta </w:t>
      </w:r>
      <w:r w:rsidR="00595286" w:rsidRPr="0013536B">
        <w:rPr>
          <w:rFonts w:asciiTheme="majorBidi" w:hAnsiTheme="majorBidi" w:cstheme="majorBidi"/>
        </w:rPr>
        <w:t>atzinumam</w:t>
      </w:r>
      <w:r w:rsidR="00B6265E" w:rsidRPr="0013536B">
        <w:rPr>
          <w:rFonts w:asciiTheme="majorBidi" w:hAnsiTheme="majorBidi" w:cstheme="majorBidi"/>
        </w:rPr>
        <w:t xml:space="preserve"> </w:t>
      </w:r>
      <w:r w:rsidR="00532C72" w:rsidRPr="0013536B">
        <w:rPr>
          <w:rFonts w:asciiTheme="majorBidi" w:hAnsiTheme="majorBidi" w:cstheme="majorBidi"/>
        </w:rPr>
        <w:t>bija dīzeļdegviela</w:t>
      </w:r>
      <w:r w:rsidR="00320962" w:rsidRPr="0013536B">
        <w:rPr>
          <w:rFonts w:asciiTheme="majorBidi" w:hAnsiTheme="majorBidi" w:cstheme="majorBidi"/>
        </w:rPr>
        <w:t>;</w:t>
      </w:r>
      <w:r w:rsidR="002F7725">
        <w:rPr>
          <w:rFonts w:asciiTheme="majorBidi" w:hAnsiTheme="majorBidi" w:cstheme="majorBidi"/>
        </w:rPr>
        <w:t xml:space="preserve"> </w:t>
      </w:r>
      <w:r>
        <w:rPr>
          <w:rFonts w:asciiTheme="majorBidi" w:hAnsiTheme="majorBidi" w:cstheme="majorBidi"/>
        </w:rPr>
        <w:t>2) </w:t>
      </w:r>
      <w:r w:rsidR="008F4277" w:rsidRPr="0013536B">
        <w:rPr>
          <w:rFonts w:asciiTheme="majorBidi" w:hAnsiTheme="majorBidi" w:cstheme="majorBidi"/>
        </w:rPr>
        <w:t xml:space="preserve">no liecinieka </w:t>
      </w:r>
      <w:r w:rsidR="00BF29E4">
        <w:rPr>
          <w:rFonts w:asciiTheme="majorBidi" w:hAnsiTheme="majorBidi" w:cstheme="majorBidi"/>
        </w:rPr>
        <w:t>[pers. J]</w:t>
      </w:r>
      <w:r w:rsidR="008F4277" w:rsidRPr="0013536B">
        <w:rPr>
          <w:rFonts w:asciiTheme="majorBidi" w:hAnsiTheme="majorBidi" w:cstheme="majorBidi"/>
        </w:rPr>
        <w:t xml:space="preserve"> un apsūdzētā 2014. gada 24. marta liecībām izriet, ka </w:t>
      </w:r>
      <w:r w:rsidR="00921B6B" w:rsidRPr="0013536B">
        <w:rPr>
          <w:rFonts w:asciiTheme="majorBidi" w:hAnsiTheme="majorBidi" w:cstheme="majorBidi"/>
        </w:rPr>
        <w:t>apsūdzētais</w:t>
      </w:r>
      <w:r w:rsidR="008F4277" w:rsidRPr="0013536B">
        <w:rPr>
          <w:rFonts w:asciiTheme="majorBidi" w:hAnsiTheme="majorBidi" w:cstheme="majorBidi"/>
        </w:rPr>
        <w:t xml:space="preserve"> </w:t>
      </w:r>
      <w:r w:rsidR="00921B6B" w:rsidRPr="0013536B">
        <w:rPr>
          <w:rFonts w:asciiTheme="majorBidi" w:hAnsiTheme="majorBidi" w:cstheme="majorBidi"/>
        </w:rPr>
        <w:t>bij</w:t>
      </w:r>
      <w:r w:rsidR="00B70799" w:rsidRPr="0013536B">
        <w:rPr>
          <w:rFonts w:asciiTheme="majorBidi" w:hAnsiTheme="majorBidi" w:cstheme="majorBidi"/>
        </w:rPr>
        <w:t>a</w:t>
      </w:r>
      <w:r w:rsidR="00921B6B" w:rsidRPr="0013536B">
        <w:rPr>
          <w:rFonts w:asciiTheme="majorBidi" w:hAnsiTheme="majorBidi" w:cstheme="majorBidi"/>
        </w:rPr>
        <w:t xml:space="preserve"> atbildīgs par degvielas iegādi, glabāšanu, norakstīšanu un izlietojumu</w:t>
      </w:r>
      <w:r w:rsidR="00736912" w:rsidRPr="0013536B">
        <w:rPr>
          <w:rFonts w:asciiTheme="majorBidi" w:hAnsiTheme="majorBidi" w:cstheme="majorBidi"/>
        </w:rPr>
        <w:t>.</w:t>
      </w:r>
    </w:p>
    <w:p w14:paraId="032B0441" w14:textId="68F6553F" w:rsidR="003324DC" w:rsidRDefault="00595286" w:rsidP="00254AD9">
      <w:pPr>
        <w:suppressAutoHyphens w:val="0"/>
        <w:spacing w:line="276" w:lineRule="auto"/>
        <w:ind w:firstLine="720"/>
        <w:jc w:val="both"/>
        <w:rPr>
          <w:rFonts w:asciiTheme="majorBidi" w:hAnsiTheme="majorBidi" w:cstheme="majorBidi"/>
        </w:rPr>
      </w:pPr>
      <w:bookmarkStart w:id="18" w:name="_Hlk215934193"/>
      <w:r>
        <w:rPr>
          <w:rFonts w:asciiTheme="majorBidi" w:hAnsiTheme="majorBidi" w:cstheme="majorBidi"/>
        </w:rPr>
        <w:t>P</w:t>
      </w:r>
      <w:r w:rsidR="008F4277">
        <w:rPr>
          <w:rFonts w:asciiTheme="majorBidi" w:hAnsiTheme="majorBidi" w:cstheme="majorBidi"/>
        </w:rPr>
        <w:t>amatojoties</w:t>
      </w:r>
      <w:r w:rsidR="008F4277" w:rsidRPr="0090122D">
        <w:rPr>
          <w:rFonts w:asciiTheme="majorBidi" w:hAnsiTheme="majorBidi" w:cstheme="majorBidi"/>
        </w:rPr>
        <w:t xml:space="preserve"> </w:t>
      </w:r>
      <w:r w:rsidR="0090122D" w:rsidRPr="0090122D">
        <w:rPr>
          <w:rFonts w:asciiTheme="majorBidi" w:hAnsiTheme="majorBidi" w:cstheme="majorBidi"/>
        </w:rPr>
        <w:t xml:space="preserve">uz liecinieka </w:t>
      </w:r>
      <w:r w:rsidR="00254AD9">
        <w:rPr>
          <w:rFonts w:asciiTheme="majorBidi" w:hAnsiTheme="majorBidi" w:cstheme="majorBidi"/>
        </w:rPr>
        <w:t>[pers. C]</w:t>
      </w:r>
      <w:r w:rsidR="0090122D" w:rsidRPr="0090122D">
        <w:rPr>
          <w:rFonts w:asciiTheme="majorBidi" w:hAnsiTheme="majorBidi" w:cstheme="majorBidi"/>
        </w:rPr>
        <w:t xml:space="preserve"> liecībām, </w:t>
      </w:r>
      <w:r>
        <w:rPr>
          <w:rFonts w:asciiTheme="majorBidi" w:hAnsiTheme="majorBidi" w:cstheme="majorBidi"/>
        </w:rPr>
        <w:t>t</w:t>
      </w:r>
      <w:r w:rsidRPr="0090122D">
        <w:rPr>
          <w:rFonts w:asciiTheme="majorBidi" w:hAnsiTheme="majorBidi" w:cstheme="majorBidi"/>
        </w:rPr>
        <w:t>iesa</w:t>
      </w:r>
      <w:r>
        <w:rPr>
          <w:rFonts w:asciiTheme="majorBidi" w:hAnsiTheme="majorBidi" w:cstheme="majorBidi"/>
        </w:rPr>
        <w:t xml:space="preserve"> </w:t>
      </w:r>
      <w:r w:rsidR="00B70799">
        <w:rPr>
          <w:rFonts w:asciiTheme="majorBidi" w:hAnsiTheme="majorBidi" w:cstheme="majorBidi"/>
        </w:rPr>
        <w:t>konstatējusi</w:t>
      </w:r>
      <w:r w:rsidR="0090122D" w:rsidRPr="0090122D">
        <w:rPr>
          <w:rFonts w:asciiTheme="majorBidi" w:hAnsiTheme="majorBidi" w:cstheme="majorBidi"/>
        </w:rPr>
        <w:t>,</w:t>
      </w:r>
      <w:r w:rsidR="0043169F">
        <w:rPr>
          <w:rFonts w:asciiTheme="majorBidi" w:hAnsiTheme="majorBidi" w:cstheme="majorBidi"/>
        </w:rPr>
        <w:t xml:space="preserve"> ka</w:t>
      </w:r>
      <w:r w:rsidR="0090122D" w:rsidRPr="0090122D">
        <w:rPr>
          <w:rFonts w:asciiTheme="majorBidi" w:hAnsiTheme="majorBidi" w:cstheme="majorBidi"/>
        </w:rPr>
        <w:t xml:space="preserve"> angārā</w:t>
      </w:r>
      <w:r w:rsidR="0083241A">
        <w:rPr>
          <w:rFonts w:asciiTheme="majorBidi" w:hAnsiTheme="majorBidi" w:cstheme="majorBidi"/>
        </w:rPr>
        <w:t xml:space="preserve"> </w:t>
      </w:r>
      <w:r w:rsidR="00320962">
        <w:rPr>
          <w:rFonts w:asciiTheme="majorBidi" w:hAnsiTheme="majorBidi" w:cstheme="majorBidi"/>
        </w:rPr>
        <w:t xml:space="preserve">nelikumīgi </w:t>
      </w:r>
      <w:r w:rsidR="00B70799">
        <w:rPr>
          <w:rFonts w:asciiTheme="majorBidi" w:hAnsiTheme="majorBidi" w:cstheme="majorBidi"/>
        </w:rPr>
        <w:t xml:space="preserve">tika </w:t>
      </w:r>
      <w:r w:rsidR="002C4F69" w:rsidRPr="00F635DC">
        <w:rPr>
          <w:rFonts w:asciiTheme="majorBidi" w:hAnsiTheme="majorBidi" w:cstheme="majorBidi"/>
        </w:rPr>
        <w:t>uzglabāt</w:t>
      </w:r>
      <w:r w:rsidR="006831E1">
        <w:rPr>
          <w:rFonts w:asciiTheme="majorBidi" w:hAnsiTheme="majorBidi" w:cstheme="majorBidi"/>
        </w:rPr>
        <w:t>a</w:t>
      </w:r>
      <w:r w:rsidR="00D41560" w:rsidRPr="00F635DC">
        <w:rPr>
          <w:rFonts w:asciiTheme="majorBidi" w:hAnsiTheme="majorBidi" w:cstheme="majorBidi"/>
        </w:rPr>
        <w:t xml:space="preserve"> dīzeļdegviel</w:t>
      </w:r>
      <w:r w:rsidR="006831E1">
        <w:rPr>
          <w:rFonts w:asciiTheme="majorBidi" w:hAnsiTheme="majorBidi" w:cstheme="majorBidi"/>
        </w:rPr>
        <w:t>a</w:t>
      </w:r>
      <w:r w:rsidR="00D41560" w:rsidRPr="00F635DC">
        <w:rPr>
          <w:rFonts w:asciiTheme="majorBidi" w:hAnsiTheme="majorBidi" w:cstheme="majorBidi"/>
        </w:rPr>
        <w:t>, k</w:t>
      </w:r>
      <w:r>
        <w:rPr>
          <w:rFonts w:asciiTheme="majorBidi" w:hAnsiTheme="majorBidi" w:cstheme="majorBidi"/>
        </w:rPr>
        <w:t>uru</w:t>
      </w:r>
      <w:r w:rsidR="00D41560" w:rsidRPr="00F635DC">
        <w:rPr>
          <w:rFonts w:asciiTheme="majorBidi" w:hAnsiTheme="majorBidi" w:cstheme="majorBidi"/>
        </w:rPr>
        <w:t xml:space="preserve"> </w:t>
      </w:r>
      <w:r w:rsidR="003A5B2B">
        <w:rPr>
          <w:rFonts w:asciiTheme="majorBidi" w:hAnsiTheme="majorBidi" w:cstheme="majorBidi"/>
        </w:rPr>
        <w:t xml:space="preserve">liecinieki </w:t>
      </w:r>
      <w:r w:rsidR="00254AD9">
        <w:rPr>
          <w:rFonts w:asciiTheme="majorBidi" w:hAnsiTheme="majorBidi" w:cstheme="majorBidi"/>
        </w:rPr>
        <w:t>[pers. D]</w:t>
      </w:r>
      <w:r w:rsidR="00D41560" w:rsidRPr="00F635DC">
        <w:rPr>
          <w:rFonts w:asciiTheme="majorBidi" w:hAnsiTheme="majorBidi" w:cstheme="majorBidi"/>
        </w:rPr>
        <w:t xml:space="preserve"> un </w:t>
      </w:r>
      <w:r w:rsidR="00254AD9">
        <w:rPr>
          <w:rFonts w:asciiTheme="majorBidi" w:hAnsiTheme="majorBidi" w:cstheme="majorBidi"/>
        </w:rPr>
        <w:t>[pers. E]</w:t>
      </w:r>
      <w:r w:rsidR="00D41560" w:rsidRPr="00F635DC">
        <w:rPr>
          <w:rFonts w:asciiTheme="majorBidi" w:hAnsiTheme="majorBidi" w:cstheme="majorBidi"/>
        </w:rPr>
        <w:t xml:space="preserve"> pildīj</w:t>
      </w:r>
      <w:r w:rsidR="00B70799">
        <w:rPr>
          <w:rFonts w:asciiTheme="majorBidi" w:hAnsiTheme="majorBidi" w:cstheme="majorBidi"/>
        </w:rPr>
        <w:t>a</w:t>
      </w:r>
      <w:r w:rsidR="00D41560" w:rsidRPr="00F635DC">
        <w:rPr>
          <w:rFonts w:asciiTheme="majorBidi" w:hAnsiTheme="majorBidi" w:cstheme="majorBidi"/>
        </w:rPr>
        <w:t xml:space="preserve"> </w:t>
      </w:r>
      <w:r w:rsidR="002C4F69">
        <w:rPr>
          <w:rFonts w:asciiTheme="majorBidi" w:hAnsiTheme="majorBidi" w:cstheme="majorBidi"/>
        </w:rPr>
        <w:t>kravas</w:t>
      </w:r>
      <w:r w:rsidR="002C4F69" w:rsidRPr="00F635DC">
        <w:rPr>
          <w:rFonts w:asciiTheme="majorBidi" w:hAnsiTheme="majorBidi" w:cstheme="majorBidi"/>
        </w:rPr>
        <w:t xml:space="preserve"> </w:t>
      </w:r>
      <w:r w:rsidR="00D41560" w:rsidRPr="00F635DC">
        <w:rPr>
          <w:rFonts w:asciiTheme="majorBidi" w:hAnsiTheme="majorBidi" w:cstheme="majorBidi"/>
        </w:rPr>
        <w:t>automašīnās.</w:t>
      </w:r>
      <w:r w:rsidR="006831E1">
        <w:rPr>
          <w:rFonts w:asciiTheme="majorBidi" w:hAnsiTheme="majorBidi" w:cstheme="majorBidi"/>
        </w:rPr>
        <w:t xml:space="preserve"> </w:t>
      </w:r>
      <w:r>
        <w:rPr>
          <w:rFonts w:asciiTheme="majorBidi" w:hAnsiTheme="majorBidi" w:cstheme="majorBidi"/>
        </w:rPr>
        <w:t xml:space="preserve">Savukārt apsūdzētais </w:t>
      </w:r>
      <w:r w:rsidR="0043169F">
        <w:rPr>
          <w:rFonts w:asciiTheme="majorBidi" w:hAnsiTheme="majorBidi" w:cstheme="majorBidi"/>
        </w:rPr>
        <w:t>vadīja</w:t>
      </w:r>
      <w:r>
        <w:rPr>
          <w:rFonts w:asciiTheme="majorBidi" w:hAnsiTheme="majorBidi" w:cstheme="majorBidi"/>
        </w:rPr>
        <w:t xml:space="preserve"> viņu darbu un maksāja alg</w:t>
      </w:r>
      <w:r w:rsidR="00451A0C">
        <w:rPr>
          <w:rFonts w:asciiTheme="majorBidi" w:hAnsiTheme="majorBidi" w:cstheme="majorBidi"/>
        </w:rPr>
        <w:t>u</w:t>
      </w:r>
      <w:r w:rsidR="0043169F">
        <w:rPr>
          <w:rFonts w:asciiTheme="majorBidi" w:hAnsiTheme="majorBidi" w:cstheme="majorBidi"/>
        </w:rPr>
        <w:t xml:space="preserve">. </w:t>
      </w:r>
      <w:r w:rsidR="008224D1">
        <w:rPr>
          <w:rFonts w:asciiTheme="majorBidi" w:hAnsiTheme="majorBidi" w:cstheme="majorBidi"/>
        </w:rPr>
        <w:t>Tāpat no liecinieka</w:t>
      </w:r>
      <w:r w:rsidR="003A5B2B">
        <w:rPr>
          <w:rFonts w:asciiTheme="majorBidi" w:hAnsiTheme="majorBidi" w:cstheme="majorBidi"/>
        </w:rPr>
        <w:t xml:space="preserve"> </w:t>
      </w:r>
      <w:r w:rsidR="00254AD9">
        <w:rPr>
          <w:rFonts w:asciiTheme="majorBidi" w:hAnsiTheme="majorBidi" w:cstheme="majorBidi"/>
        </w:rPr>
        <w:t>[pers. C]</w:t>
      </w:r>
      <w:r w:rsidR="008224D1">
        <w:rPr>
          <w:rFonts w:asciiTheme="majorBidi" w:hAnsiTheme="majorBidi" w:cstheme="majorBidi"/>
        </w:rPr>
        <w:t xml:space="preserve"> liecībām par </w:t>
      </w:r>
      <w:r w:rsidR="00F3171F">
        <w:rPr>
          <w:rFonts w:asciiTheme="majorBidi" w:hAnsiTheme="majorBidi" w:cstheme="majorBidi"/>
        </w:rPr>
        <w:t xml:space="preserve">viņa dzirdētajām </w:t>
      </w:r>
      <w:r w:rsidR="00B70799">
        <w:rPr>
          <w:rFonts w:asciiTheme="majorBidi" w:hAnsiTheme="majorBidi" w:cstheme="majorBidi"/>
        </w:rPr>
        <w:t xml:space="preserve">sarunām starp </w:t>
      </w:r>
      <w:r w:rsidR="006831E1">
        <w:rPr>
          <w:rFonts w:asciiTheme="majorBidi" w:hAnsiTheme="majorBidi" w:cstheme="majorBidi"/>
        </w:rPr>
        <w:t>a</w:t>
      </w:r>
      <w:r w:rsidR="002C4F69">
        <w:rPr>
          <w:rFonts w:asciiTheme="majorBidi" w:hAnsiTheme="majorBidi" w:cstheme="majorBidi"/>
        </w:rPr>
        <w:t>psūdzēt</w:t>
      </w:r>
      <w:r w:rsidR="00B70799">
        <w:rPr>
          <w:rFonts w:asciiTheme="majorBidi" w:hAnsiTheme="majorBidi" w:cstheme="majorBidi"/>
        </w:rPr>
        <w:t>o</w:t>
      </w:r>
      <w:r w:rsidR="002C4F69">
        <w:rPr>
          <w:rFonts w:asciiTheme="majorBidi" w:hAnsiTheme="majorBidi" w:cstheme="majorBidi"/>
        </w:rPr>
        <w:t xml:space="preserve"> </w:t>
      </w:r>
      <w:r w:rsidR="00D41560" w:rsidRPr="00F635DC">
        <w:rPr>
          <w:rFonts w:asciiTheme="majorBidi" w:hAnsiTheme="majorBidi" w:cstheme="majorBidi"/>
        </w:rPr>
        <w:t xml:space="preserve">un </w:t>
      </w:r>
      <w:r w:rsidR="00254AD9">
        <w:rPr>
          <w:rFonts w:asciiTheme="majorBidi" w:hAnsiTheme="majorBidi" w:cstheme="majorBidi"/>
        </w:rPr>
        <w:t>[pers. E]</w:t>
      </w:r>
      <w:r w:rsidR="00B70799">
        <w:rPr>
          <w:rFonts w:asciiTheme="majorBidi" w:hAnsiTheme="majorBidi" w:cstheme="majorBidi"/>
        </w:rPr>
        <w:t xml:space="preserve"> </w:t>
      </w:r>
      <w:r w:rsidR="00656150" w:rsidRPr="00F635DC">
        <w:rPr>
          <w:rFonts w:asciiTheme="majorBidi" w:hAnsiTheme="majorBidi" w:cstheme="majorBidi"/>
        </w:rPr>
        <w:t xml:space="preserve">izriet, </w:t>
      </w:r>
      <w:r w:rsidR="008A5904" w:rsidRPr="00F635DC">
        <w:rPr>
          <w:rFonts w:asciiTheme="majorBidi" w:hAnsiTheme="majorBidi" w:cstheme="majorBidi"/>
        </w:rPr>
        <w:t>ka apsūdzētais</w:t>
      </w:r>
      <w:r w:rsidR="00D41560" w:rsidRPr="00F635DC">
        <w:rPr>
          <w:rFonts w:asciiTheme="majorBidi" w:hAnsiTheme="majorBidi" w:cstheme="majorBidi"/>
        </w:rPr>
        <w:t xml:space="preserve"> zin</w:t>
      </w:r>
      <w:r w:rsidR="00656150" w:rsidRPr="00F635DC">
        <w:rPr>
          <w:rFonts w:asciiTheme="majorBidi" w:hAnsiTheme="majorBidi" w:cstheme="majorBidi"/>
        </w:rPr>
        <w:t>āj</w:t>
      </w:r>
      <w:r w:rsidR="00D85533">
        <w:rPr>
          <w:rFonts w:asciiTheme="majorBidi" w:hAnsiTheme="majorBidi" w:cstheme="majorBidi"/>
        </w:rPr>
        <w:t>a</w:t>
      </w:r>
      <w:r w:rsidR="00D41560" w:rsidRPr="00F635DC">
        <w:rPr>
          <w:rFonts w:asciiTheme="majorBidi" w:hAnsiTheme="majorBidi" w:cstheme="majorBidi"/>
        </w:rPr>
        <w:t xml:space="preserve"> par nel</w:t>
      </w:r>
      <w:r w:rsidR="00320962">
        <w:rPr>
          <w:rFonts w:asciiTheme="majorBidi" w:hAnsiTheme="majorBidi" w:cstheme="majorBidi"/>
        </w:rPr>
        <w:t xml:space="preserve">ikumīgi </w:t>
      </w:r>
      <w:r w:rsidR="003A5B2B">
        <w:rPr>
          <w:rFonts w:asciiTheme="majorBidi" w:hAnsiTheme="majorBidi" w:cstheme="majorBidi"/>
        </w:rPr>
        <w:t>uz</w:t>
      </w:r>
      <w:r w:rsidR="00320962">
        <w:rPr>
          <w:rFonts w:asciiTheme="majorBidi" w:hAnsiTheme="majorBidi" w:cstheme="majorBidi"/>
        </w:rPr>
        <w:t>glabāto</w:t>
      </w:r>
      <w:r w:rsidR="00D41560" w:rsidRPr="00F635DC">
        <w:rPr>
          <w:rFonts w:asciiTheme="majorBidi" w:hAnsiTheme="majorBidi" w:cstheme="majorBidi"/>
        </w:rPr>
        <w:t xml:space="preserve"> degvielu un </w:t>
      </w:r>
      <w:r w:rsidR="008A5904" w:rsidRPr="00F635DC">
        <w:rPr>
          <w:rFonts w:asciiTheme="majorBidi" w:hAnsiTheme="majorBidi" w:cstheme="majorBidi"/>
        </w:rPr>
        <w:t>k</w:t>
      </w:r>
      <w:r w:rsidR="00656150" w:rsidRPr="00F635DC">
        <w:rPr>
          <w:rFonts w:asciiTheme="majorBidi" w:hAnsiTheme="majorBidi" w:cstheme="majorBidi"/>
        </w:rPr>
        <w:t>a</w:t>
      </w:r>
      <w:r w:rsidR="008A5904" w:rsidRPr="00F635DC">
        <w:rPr>
          <w:rFonts w:asciiTheme="majorBidi" w:hAnsiTheme="majorBidi" w:cstheme="majorBidi"/>
        </w:rPr>
        <w:t xml:space="preserve"> </w:t>
      </w:r>
      <w:r>
        <w:rPr>
          <w:rFonts w:asciiTheme="majorBidi" w:hAnsiTheme="majorBidi" w:cstheme="majorBidi"/>
        </w:rPr>
        <w:t>„</w:t>
      </w:r>
      <w:r w:rsidR="00D41560" w:rsidRPr="00F635DC">
        <w:rPr>
          <w:rFonts w:asciiTheme="majorBidi" w:hAnsiTheme="majorBidi" w:cstheme="majorBidi"/>
        </w:rPr>
        <w:t xml:space="preserve">tā </w:t>
      </w:r>
      <w:r w:rsidR="00656150" w:rsidRPr="00F635DC">
        <w:rPr>
          <w:rFonts w:asciiTheme="majorBidi" w:hAnsiTheme="majorBidi" w:cstheme="majorBidi"/>
        </w:rPr>
        <w:t>bij</w:t>
      </w:r>
      <w:r w:rsidR="00DD72FF" w:rsidRPr="00F635DC">
        <w:rPr>
          <w:rFonts w:asciiTheme="majorBidi" w:hAnsiTheme="majorBidi" w:cstheme="majorBidi"/>
        </w:rPr>
        <w:t>a</w:t>
      </w:r>
      <w:r w:rsidR="00D41560" w:rsidRPr="00F635DC">
        <w:rPr>
          <w:rFonts w:asciiTheme="majorBidi" w:hAnsiTheme="majorBidi" w:cstheme="majorBidi"/>
        </w:rPr>
        <w:t xml:space="preserve"> viņa iniciatīva</w:t>
      </w:r>
      <w:r w:rsidR="009E7157" w:rsidRPr="00F635DC">
        <w:rPr>
          <w:rFonts w:asciiTheme="majorBidi" w:hAnsiTheme="majorBidi" w:cstheme="majorBidi"/>
        </w:rPr>
        <w:t>”</w:t>
      </w:r>
      <w:r w:rsidR="00D41560" w:rsidRPr="00F635DC">
        <w:rPr>
          <w:rFonts w:asciiTheme="majorBidi" w:hAnsiTheme="majorBidi" w:cstheme="majorBidi"/>
        </w:rPr>
        <w:t>.</w:t>
      </w:r>
      <w:r w:rsidR="00D85533">
        <w:rPr>
          <w:rFonts w:asciiTheme="majorBidi" w:hAnsiTheme="majorBidi" w:cstheme="majorBidi"/>
        </w:rPr>
        <w:t xml:space="preserve"> </w:t>
      </w:r>
      <w:r w:rsidR="00656150">
        <w:rPr>
          <w:rFonts w:asciiTheme="majorBidi" w:hAnsiTheme="majorBidi" w:cstheme="majorBidi"/>
        </w:rPr>
        <w:t xml:space="preserve">Tiesa </w:t>
      </w:r>
      <w:r w:rsidR="00115C21">
        <w:rPr>
          <w:rFonts w:asciiTheme="majorBidi" w:hAnsiTheme="majorBidi" w:cstheme="majorBidi"/>
        </w:rPr>
        <w:t xml:space="preserve">liecinieka </w:t>
      </w:r>
      <w:r w:rsidR="00254AD9">
        <w:rPr>
          <w:rFonts w:asciiTheme="majorBidi" w:hAnsiTheme="majorBidi" w:cstheme="majorBidi"/>
        </w:rPr>
        <w:t>[pers. C]</w:t>
      </w:r>
      <w:r w:rsidR="00656150">
        <w:rPr>
          <w:rFonts w:asciiTheme="majorBidi" w:hAnsiTheme="majorBidi" w:cstheme="majorBidi"/>
        </w:rPr>
        <w:t xml:space="preserve"> liecības </w:t>
      </w:r>
      <w:bookmarkEnd w:id="18"/>
      <w:r w:rsidR="00656150">
        <w:rPr>
          <w:rFonts w:asciiTheme="majorBidi" w:hAnsiTheme="majorBidi" w:cstheme="majorBidi"/>
        </w:rPr>
        <w:t>atzin</w:t>
      </w:r>
      <w:r w:rsidR="00736912">
        <w:rPr>
          <w:rFonts w:asciiTheme="majorBidi" w:hAnsiTheme="majorBidi" w:cstheme="majorBidi"/>
        </w:rPr>
        <w:t>usi</w:t>
      </w:r>
      <w:r w:rsidR="00656150">
        <w:rPr>
          <w:rFonts w:asciiTheme="majorBidi" w:hAnsiTheme="majorBidi" w:cstheme="majorBidi"/>
        </w:rPr>
        <w:t xml:space="preserve"> par ticamām, jo tās </w:t>
      </w:r>
      <w:r w:rsidR="00736912">
        <w:rPr>
          <w:rFonts w:asciiTheme="majorBidi" w:hAnsiTheme="majorBidi" w:cstheme="majorBidi"/>
        </w:rPr>
        <w:t>apstiprina citi pierādījumi</w:t>
      </w:r>
      <w:r w:rsidR="0043169F">
        <w:rPr>
          <w:rFonts w:asciiTheme="majorBidi" w:hAnsiTheme="majorBidi" w:cstheme="majorBidi"/>
        </w:rPr>
        <w:t xml:space="preserve">, tajā skaitā liecinieka </w:t>
      </w:r>
      <w:r w:rsidR="0096782F">
        <w:rPr>
          <w:rFonts w:asciiTheme="majorBidi" w:hAnsiTheme="majorBidi" w:cstheme="majorBidi"/>
        </w:rPr>
        <w:t>[pers. B]</w:t>
      </w:r>
      <w:r w:rsidR="0043169F">
        <w:rPr>
          <w:rFonts w:asciiTheme="majorBidi" w:hAnsiTheme="majorBidi" w:cstheme="majorBidi"/>
        </w:rPr>
        <w:t xml:space="preserve"> </w:t>
      </w:r>
      <w:r w:rsidR="00D85533">
        <w:rPr>
          <w:rFonts w:asciiTheme="majorBidi" w:hAnsiTheme="majorBidi" w:cstheme="majorBidi"/>
        </w:rPr>
        <w:t>liecinātais</w:t>
      </w:r>
      <w:r w:rsidR="0043169F">
        <w:rPr>
          <w:rFonts w:asciiTheme="majorBidi" w:hAnsiTheme="majorBidi" w:cstheme="majorBidi"/>
        </w:rPr>
        <w:t xml:space="preserve">, ka </w:t>
      </w:r>
      <w:r w:rsidR="00AC7407">
        <w:rPr>
          <w:rFonts w:asciiTheme="majorBidi" w:hAnsiTheme="majorBidi" w:cstheme="majorBidi"/>
        </w:rPr>
        <w:t xml:space="preserve">apsūdzētais gandrīz </w:t>
      </w:r>
      <w:r w:rsidR="003A5B2B">
        <w:rPr>
          <w:rFonts w:asciiTheme="majorBidi" w:hAnsiTheme="majorBidi" w:cstheme="majorBidi"/>
        </w:rPr>
        <w:t>ik</w:t>
      </w:r>
      <w:r w:rsidR="000D53EB">
        <w:rPr>
          <w:rFonts w:asciiTheme="majorBidi" w:hAnsiTheme="majorBidi" w:cstheme="majorBidi"/>
        </w:rPr>
        <w:t xml:space="preserve"> </w:t>
      </w:r>
      <w:r w:rsidR="00AC7407" w:rsidRPr="00320962">
        <w:rPr>
          <w:rFonts w:asciiTheme="majorBidi" w:hAnsiTheme="majorBidi" w:cstheme="majorBidi"/>
        </w:rPr>
        <w:t>dienu bij</w:t>
      </w:r>
      <w:r w:rsidR="00D85533">
        <w:rPr>
          <w:rFonts w:asciiTheme="majorBidi" w:hAnsiTheme="majorBidi" w:cstheme="majorBidi"/>
        </w:rPr>
        <w:t>a</w:t>
      </w:r>
      <w:r w:rsidR="00AC7407" w:rsidRPr="00320962">
        <w:rPr>
          <w:rFonts w:asciiTheme="majorBidi" w:hAnsiTheme="majorBidi" w:cstheme="majorBidi"/>
        </w:rPr>
        <w:t xml:space="preserve"> darbā, zināj</w:t>
      </w:r>
      <w:r w:rsidR="00D85533">
        <w:rPr>
          <w:rFonts w:asciiTheme="majorBidi" w:hAnsiTheme="majorBidi" w:cstheme="majorBidi"/>
        </w:rPr>
        <w:t>a</w:t>
      </w:r>
      <w:r w:rsidR="00AC7407" w:rsidRPr="00320962">
        <w:rPr>
          <w:rFonts w:asciiTheme="majorBidi" w:hAnsiTheme="majorBidi" w:cstheme="majorBidi"/>
        </w:rPr>
        <w:t xml:space="preserve"> un redzēj</w:t>
      </w:r>
      <w:r w:rsidR="00D85533">
        <w:rPr>
          <w:rFonts w:asciiTheme="majorBidi" w:hAnsiTheme="majorBidi" w:cstheme="majorBidi"/>
        </w:rPr>
        <w:t>a</w:t>
      </w:r>
      <w:r w:rsidR="00AC7407" w:rsidRPr="00320962">
        <w:rPr>
          <w:rFonts w:asciiTheme="majorBidi" w:hAnsiTheme="majorBidi" w:cstheme="majorBidi"/>
        </w:rPr>
        <w:t>, kas notiek noliktavā un angārā, jo vienmēr</w:t>
      </w:r>
      <w:r w:rsidR="00AC7407">
        <w:rPr>
          <w:rFonts w:asciiTheme="majorBidi" w:hAnsiTheme="majorBidi" w:cstheme="majorBidi"/>
        </w:rPr>
        <w:t xml:space="preserve"> </w:t>
      </w:r>
      <w:r w:rsidR="00AC7407" w:rsidRPr="00320962">
        <w:rPr>
          <w:rFonts w:asciiTheme="majorBidi" w:hAnsiTheme="majorBidi" w:cstheme="majorBidi"/>
        </w:rPr>
        <w:t>cent</w:t>
      </w:r>
      <w:r w:rsidR="00D85533">
        <w:rPr>
          <w:rFonts w:asciiTheme="majorBidi" w:hAnsiTheme="majorBidi" w:cstheme="majorBidi"/>
        </w:rPr>
        <w:t>ās</w:t>
      </w:r>
      <w:r w:rsidR="00AC7407" w:rsidRPr="00320962">
        <w:rPr>
          <w:rFonts w:asciiTheme="majorBidi" w:hAnsiTheme="majorBidi" w:cstheme="majorBidi"/>
        </w:rPr>
        <w:t xml:space="preserve"> visu kontrolēt.</w:t>
      </w:r>
      <w:r w:rsidR="00320962">
        <w:rPr>
          <w:rFonts w:asciiTheme="majorBidi" w:hAnsiTheme="majorBidi" w:cstheme="majorBidi"/>
        </w:rPr>
        <w:t xml:space="preserve"> </w:t>
      </w:r>
      <w:r w:rsidR="002A69F0">
        <w:rPr>
          <w:rFonts w:asciiTheme="majorBidi" w:hAnsiTheme="majorBidi" w:cstheme="majorBidi"/>
        </w:rPr>
        <w:t xml:space="preserve">Savukārt </w:t>
      </w:r>
      <w:r w:rsidR="009E7157">
        <w:rPr>
          <w:rFonts w:asciiTheme="majorBidi" w:hAnsiTheme="majorBidi" w:cstheme="majorBidi"/>
        </w:rPr>
        <w:t>l</w:t>
      </w:r>
      <w:r w:rsidR="00D41560">
        <w:rPr>
          <w:rFonts w:asciiTheme="majorBidi" w:hAnsiTheme="majorBidi" w:cstheme="majorBidi"/>
        </w:rPr>
        <w:t xml:space="preserve">iecinieku </w:t>
      </w:r>
      <w:r w:rsidR="00254AD9">
        <w:rPr>
          <w:rFonts w:asciiTheme="majorBidi" w:hAnsiTheme="majorBidi" w:cstheme="majorBidi"/>
        </w:rPr>
        <w:t>[pers. E]</w:t>
      </w:r>
      <w:r w:rsidR="00D41560" w:rsidRPr="00EA5D91">
        <w:rPr>
          <w:rFonts w:asciiTheme="majorBidi" w:hAnsiTheme="majorBidi" w:cstheme="majorBidi"/>
        </w:rPr>
        <w:t xml:space="preserve"> un</w:t>
      </w:r>
      <w:r w:rsidR="00D41560">
        <w:rPr>
          <w:rFonts w:asciiTheme="majorBidi" w:hAnsiTheme="majorBidi" w:cstheme="majorBidi"/>
        </w:rPr>
        <w:t xml:space="preserve"> </w:t>
      </w:r>
      <w:r w:rsidR="00254AD9">
        <w:rPr>
          <w:rFonts w:asciiTheme="majorBidi" w:hAnsiTheme="majorBidi" w:cstheme="majorBidi"/>
        </w:rPr>
        <w:t>[pers. D]</w:t>
      </w:r>
      <w:r w:rsidR="00D41560">
        <w:rPr>
          <w:rFonts w:asciiTheme="majorBidi" w:hAnsiTheme="majorBidi" w:cstheme="majorBidi"/>
        </w:rPr>
        <w:t xml:space="preserve"> liecības par </w:t>
      </w:r>
      <w:r w:rsidR="003A5B2B">
        <w:rPr>
          <w:rFonts w:asciiTheme="majorBidi" w:hAnsiTheme="majorBidi" w:cstheme="majorBidi"/>
        </w:rPr>
        <w:t>nelikumīgās</w:t>
      </w:r>
      <w:r w:rsidR="00D41560" w:rsidRPr="00C022B3">
        <w:rPr>
          <w:rFonts w:asciiTheme="majorBidi" w:hAnsiTheme="majorBidi" w:cstheme="majorBidi"/>
        </w:rPr>
        <w:t xml:space="preserve"> degvielas piederību SIA</w:t>
      </w:r>
      <w:r w:rsidR="002C4F69">
        <w:rPr>
          <w:rFonts w:asciiTheme="majorBidi" w:hAnsiTheme="majorBidi" w:cstheme="majorBidi"/>
        </w:rPr>
        <w:t> </w:t>
      </w:r>
      <w:r w:rsidR="00D41560" w:rsidRPr="00C022B3">
        <w:rPr>
          <w:rFonts w:asciiTheme="majorBidi" w:hAnsiTheme="majorBidi" w:cstheme="majorBidi"/>
        </w:rPr>
        <w:t>„</w:t>
      </w:r>
      <w:r w:rsidR="00254AD9">
        <w:rPr>
          <w:rFonts w:asciiTheme="majorBidi" w:hAnsiTheme="majorBidi" w:cstheme="majorBidi"/>
        </w:rPr>
        <w:t>[Nosaukums B]</w:t>
      </w:r>
      <w:r w:rsidR="00D41560" w:rsidRPr="00C022B3">
        <w:rPr>
          <w:rFonts w:asciiTheme="majorBidi" w:hAnsiTheme="majorBidi" w:cstheme="majorBidi"/>
        </w:rPr>
        <w:t>”</w:t>
      </w:r>
      <w:r w:rsidR="002A69F0">
        <w:rPr>
          <w:rFonts w:asciiTheme="majorBidi" w:hAnsiTheme="majorBidi" w:cstheme="majorBidi"/>
        </w:rPr>
        <w:t xml:space="preserve"> </w:t>
      </w:r>
      <w:r w:rsidR="00AC7407">
        <w:rPr>
          <w:rFonts w:asciiTheme="majorBidi" w:hAnsiTheme="majorBidi" w:cstheme="majorBidi"/>
        </w:rPr>
        <w:t xml:space="preserve">tiesa </w:t>
      </w:r>
      <w:r w:rsidR="008224D1">
        <w:rPr>
          <w:rFonts w:asciiTheme="majorBidi" w:hAnsiTheme="majorBidi" w:cstheme="majorBidi"/>
        </w:rPr>
        <w:t>noraidījusi, norādot, ka tās ir</w:t>
      </w:r>
      <w:r w:rsidR="002A69F0">
        <w:rPr>
          <w:rFonts w:asciiTheme="majorBidi" w:hAnsiTheme="majorBidi" w:cstheme="majorBidi"/>
        </w:rPr>
        <w:t xml:space="preserve"> </w:t>
      </w:r>
      <w:r w:rsidR="00D41560" w:rsidRPr="00EA5D91">
        <w:rPr>
          <w:rFonts w:asciiTheme="majorBidi" w:hAnsiTheme="majorBidi" w:cstheme="majorBidi"/>
        </w:rPr>
        <w:t>pretrunīg</w:t>
      </w:r>
      <w:r w:rsidR="008224D1">
        <w:rPr>
          <w:rFonts w:asciiTheme="majorBidi" w:hAnsiTheme="majorBidi" w:cstheme="majorBidi"/>
        </w:rPr>
        <w:t>as</w:t>
      </w:r>
      <w:r w:rsidR="00451A0C">
        <w:rPr>
          <w:rFonts w:asciiTheme="majorBidi" w:hAnsiTheme="majorBidi" w:cstheme="majorBidi"/>
        </w:rPr>
        <w:t xml:space="preserve">, citi pierādījumi tās </w:t>
      </w:r>
      <w:r w:rsidR="002A69F0">
        <w:rPr>
          <w:rFonts w:asciiTheme="majorBidi" w:hAnsiTheme="majorBidi" w:cstheme="majorBidi"/>
        </w:rPr>
        <w:t xml:space="preserve">neapstiprina, </w:t>
      </w:r>
      <w:r w:rsidR="003A5B2B">
        <w:rPr>
          <w:rFonts w:asciiTheme="majorBidi" w:hAnsiTheme="majorBidi" w:cstheme="majorBidi"/>
        </w:rPr>
        <w:t>turklāt</w:t>
      </w:r>
      <w:r w:rsidR="0043169F">
        <w:rPr>
          <w:rFonts w:asciiTheme="majorBidi" w:hAnsiTheme="majorBidi" w:cstheme="majorBidi"/>
        </w:rPr>
        <w:t xml:space="preserve"> </w:t>
      </w:r>
      <w:r w:rsidR="008224D1">
        <w:rPr>
          <w:rFonts w:asciiTheme="majorBidi" w:hAnsiTheme="majorBidi" w:cstheme="majorBidi"/>
        </w:rPr>
        <w:t xml:space="preserve">liecinieks </w:t>
      </w:r>
      <w:r w:rsidR="00254AD9">
        <w:rPr>
          <w:rFonts w:asciiTheme="majorBidi" w:hAnsiTheme="majorBidi" w:cstheme="majorBidi"/>
        </w:rPr>
        <w:t>[pers. D]</w:t>
      </w:r>
      <w:r w:rsidR="004175F7">
        <w:rPr>
          <w:rFonts w:asciiTheme="majorBidi" w:hAnsiTheme="majorBidi" w:cstheme="majorBidi"/>
        </w:rPr>
        <w:t xml:space="preserve"> </w:t>
      </w:r>
      <w:r w:rsidR="008224D1">
        <w:rPr>
          <w:rFonts w:asciiTheme="majorBidi" w:hAnsiTheme="majorBidi" w:cstheme="majorBidi"/>
        </w:rPr>
        <w:t>liecinājis</w:t>
      </w:r>
      <w:r w:rsidR="004175F7">
        <w:rPr>
          <w:rFonts w:asciiTheme="majorBidi" w:hAnsiTheme="majorBidi" w:cstheme="majorBidi"/>
        </w:rPr>
        <w:t xml:space="preserve">, ka </w:t>
      </w:r>
      <w:r w:rsidR="002A69F0">
        <w:rPr>
          <w:rFonts w:asciiTheme="majorBidi" w:hAnsiTheme="majorBidi" w:cstheme="majorBidi"/>
        </w:rPr>
        <w:t>savas liecības</w:t>
      </w:r>
      <w:r w:rsidR="00D41560" w:rsidRPr="00EA5D91">
        <w:rPr>
          <w:rFonts w:asciiTheme="majorBidi" w:hAnsiTheme="majorBidi" w:cstheme="majorBidi"/>
        </w:rPr>
        <w:t xml:space="preserve"> </w:t>
      </w:r>
      <w:r w:rsidR="00736912">
        <w:rPr>
          <w:rFonts w:asciiTheme="majorBidi" w:hAnsiTheme="majorBidi" w:cstheme="majorBidi"/>
        </w:rPr>
        <w:t>grozīj</w:t>
      </w:r>
      <w:r w:rsidR="00D85533">
        <w:rPr>
          <w:rFonts w:asciiTheme="majorBidi" w:hAnsiTheme="majorBidi" w:cstheme="majorBidi"/>
        </w:rPr>
        <w:t>a</w:t>
      </w:r>
      <w:r w:rsidR="00736912">
        <w:rPr>
          <w:rFonts w:asciiTheme="majorBidi" w:hAnsiTheme="majorBidi" w:cstheme="majorBidi"/>
        </w:rPr>
        <w:t xml:space="preserve"> </w:t>
      </w:r>
      <w:r w:rsidR="00D41560" w:rsidRPr="00EA5D91">
        <w:rPr>
          <w:rFonts w:asciiTheme="majorBidi" w:hAnsiTheme="majorBidi" w:cstheme="majorBidi"/>
        </w:rPr>
        <w:t xml:space="preserve">pēc brāļa </w:t>
      </w:r>
      <w:r w:rsidR="002A69F0">
        <w:rPr>
          <w:rFonts w:asciiTheme="majorBidi" w:hAnsiTheme="majorBidi" w:cstheme="majorBidi"/>
        </w:rPr>
        <w:t xml:space="preserve">– </w:t>
      </w:r>
      <w:r w:rsidR="00254AD9">
        <w:rPr>
          <w:rFonts w:asciiTheme="majorBidi" w:hAnsiTheme="majorBidi" w:cstheme="majorBidi"/>
        </w:rPr>
        <w:t>[pers. E]</w:t>
      </w:r>
      <w:r w:rsidR="002A69F0">
        <w:rPr>
          <w:rFonts w:asciiTheme="majorBidi" w:hAnsiTheme="majorBidi" w:cstheme="majorBidi"/>
        </w:rPr>
        <w:t xml:space="preserve"> – </w:t>
      </w:r>
      <w:r w:rsidR="00D41560" w:rsidRPr="00EA5D91">
        <w:rPr>
          <w:rFonts w:asciiTheme="majorBidi" w:hAnsiTheme="majorBidi" w:cstheme="majorBidi"/>
        </w:rPr>
        <w:t>lūguma.</w:t>
      </w:r>
    </w:p>
    <w:p w14:paraId="3738B558" w14:textId="4E3C671D" w:rsidR="005843C7" w:rsidRDefault="005843C7" w:rsidP="00EE7E71">
      <w:pPr>
        <w:suppressAutoHyphens w:val="0"/>
        <w:spacing w:line="276" w:lineRule="auto"/>
        <w:ind w:firstLine="720"/>
        <w:jc w:val="both"/>
        <w:rPr>
          <w:rFonts w:asciiTheme="majorBidi" w:hAnsiTheme="majorBidi" w:cstheme="majorBidi"/>
        </w:rPr>
      </w:pPr>
      <w:r w:rsidRPr="005843C7">
        <w:rPr>
          <w:rFonts w:asciiTheme="majorBidi" w:hAnsiTheme="majorBidi" w:cstheme="majorBidi"/>
        </w:rPr>
        <w:t xml:space="preserve">Ievērojot minēto, </w:t>
      </w:r>
      <w:r w:rsidR="003A5B2B">
        <w:rPr>
          <w:rFonts w:asciiTheme="majorBidi" w:hAnsiTheme="majorBidi" w:cstheme="majorBidi"/>
        </w:rPr>
        <w:t xml:space="preserve">apsūdzētā </w:t>
      </w:r>
      <w:r>
        <w:rPr>
          <w:rFonts w:asciiTheme="majorBidi" w:hAnsiTheme="majorBidi" w:cstheme="majorBidi"/>
        </w:rPr>
        <w:t xml:space="preserve">kasācijas sūdzībā </w:t>
      </w:r>
      <w:r w:rsidR="00265D1B">
        <w:rPr>
          <w:rFonts w:asciiTheme="majorBidi" w:hAnsiTheme="majorBidi" w:cstheme="majorBidi"/>
        </w:rPr>
        <w:t xml:space="preserve">paustais apgalvojums, ka </w:t>
      </w:r>
      <w:r>
        <w:rPr>
          <w:rFonts w:asciiTheme="majorBidi" w:hAnsiTheme="majorBidi" w:cstheme="majorBidi"/>
        </w:rPr>
        <w:t xml:space="preserve">tiesa </w:t>
      </w:r>
      <w:r w:rsidR="00265D1B">
        <w:rPr>
          <w:rFonts w:asciiTheme="majorBidi" w:hAnsiTheme="majorBidi" w:cstheme="majorBidi"/>
        </w:rPr>
        <w:t xml:space="preserve">nav </w:t>
      </w:r>
      <w:r>
        <w:rPr>
          <w:rFonts w:asciiTheme="majorBidi" w:hAnsiTheme="majorBidi" w:cstheme="majorBidi"/>
        </w:rPr>
        <w:t xml:space="preserve">izvērtējusi liecinieku </w:t>
      </w:r>
      <w:r w:rsidR="0096782F">
        <w:rPr>
          <w:rFonts w:asciiTheme="majorBidi" w:hAnsiTheme="majorBidi" w:cstheme="majorBidi"/>
        </w:rPr>
        <w:t>[pers. B]</w:t>
      </w:r>
      <w:r w:rsidR="005D10EE">
        <w:rPr>
          <w:rFonts w:asciiTheme="majorBidi" w:hAnsiTheme="majorBidi" w:cstheme="majorBidi"/>
        </w:rPr>
        <w:t>,</w:t>
      </w:r>
      <w:r w:rsidRPr="00EE4C9C">
        <w:rPr>
          <w:rFonts w:asciiTheme="majorBidi" w:hAnsiTheme="majorBidi" w:cstheme="majorBidi"/>
        </w:rPr>
        <w:t xml:space="preserve"> </w:t>
      </w:r>
      <w:r w:rsidR="00254AD9">
        <w:rPr>
          <w:rFonts w:asciiTheme="majorBidi" w:hAnsiTheme="majorBidi" w:cstheme="majorBidi"/>
        </w:rPr>
        <w:t>[pers. C]</w:t>
      </w:r>
      <w:r w:rsidR="000A554A">
        <w:rPr>
          <w:rFonts w:asciiTheme="majorBidi" w:hAnsiTheme="majorBidi" w:cstheme="majorBidi"/>
        </w:rPr>
        <w:t xml:space="preserve"> un</w:t>
      </w:r>
      <w:r w:rsidR="005D10EE">
        <w:rPr>
          <w:rFonts w:asciiTheme="majorBidi" w:hAnsiTheme="majorBidi" w:cstheme="majorBidi"/>
        </w:rPr>
        <w:t xml:space="preserve"> </w:t>
      </w:r>
      <w:r w:rsidR="00254AD9">
        <w:rPr>
          <w:rFonts w:asciiTheme="majorBidi" w:hAnsiTheme="majorBidi" w:cstheme="majorBidi"/>
        </w:rPr>
        <w:t>[pers. E]</w:t>
      </w:r>
      <w:r w:rsidR="005D10EE">
        <w:rPr>
          <w:rFonts w:asciiTheme="majorBidi" w:hAnsiTheme="majorBidi" w:cstheme="majorBidi"/>
        </w:rPr>
        <w:t xml:space="preserve"> liecības</w:t>
      </w:r>
      <w:r w:rsidR="00265D1B">
        <w:rPr>
          <w:rFonts w:asciiTheme="majorBidi" w:hAnsiTheme="majorBidi" w:cstheme="majorBidi"/>
        </w:rPr>
        <w:t>, nav guvis apstiprinājumu</w:t>
      </w:r>
      <w:r w:rsidR="00036827">
        <w:rPr>
          <w:rFonts w:asciiTheme="majorBidi" w:hAnsiTheme="majorBidi" w:cstheme="majorBidi"/>
        </w:rPr>
        <w:t>.</w:t>
      </w:r>
    </w:p>
    <w:p w14:paraId="06A3B8EB" w14:textId="68036CEE" w:rsidR="00680067" w:rsidRPr="0001413E" w:rsidRDefault="00680067" w:rsidP="00EE7E71">
      <w:pPr>
        <w:suppressAutoHyphens w:val="0"/>
        <w:spacing w:line="276" w:lineRule="auto"/>
        <w:ind w:firstLine="720"/>
        <w:jc w:val="both"/>
        <w:rPr>
          <w:rFonts w:asciiTheme="majorBidi" w:hAnsiTheme="majorBidi" w:cstheme="majorBidi"/>
        </w:rPr>
      </w:pPr>
      <w:r w:rsidRPr="00680067">
        <w:rPr>
          <w:rFonts w:asciiTheme="majorBidi" w:hAnsiTheme="majorBidi" w:cstheme="majorBidi"/>
        </w:rPr>
        <w:t>Senāts nepiekrīt</w:t>
      </w:r>
      <w:r>
        <w:rPr>
          <w:rFonts w:asciiTheme="majorBidi" w:hAnsiTheme="majorBidi" w:cstheme="majorBidi"/>
        </w:rPr>
        <w:t xml:space="preserve"> arī</w:t>
      </w:r>
      <w:r w:rsidRPr="00680067">
        <w:rPr>
          <w:rFonts w:asciiTheme="majorBidi" w:hAnsiTheme="majorBidi" w:cstheme="majorBidi"/>
        </w:rPr>
        <w:t xml:space="preserve"> kasācijas sūdzības argumentam, ka </w:t>
      </w:r>
      <w:r>
        <w:rPr>
          <w:rFonts w:asciiTheme="majorBidi" w:hAnsiTheme="majorBidi" w:cstheme="majorBidi"/>
        </w:rPr>
        <w:t xml:space="preserve">oficiāli nenoformētas darba tiesiskās attiecības </w:t>
      </w:r>
      <w:r w:rsidRPr="004E5C18">
        <w:rPr>
          <w:rFonts w:asciiTheme="majorBidi" w:hAnsiTheme="majorBidi" w:cstheme="majorBidi"/>
        </w:rPr>
        <w:t>starp AS „</w:t>
      </w:r>
      <w:r w:rsidR="0088482E">
        <w:rPr>
          <w:rFonts w:asciiTheme="majorBidi" w:hAnsiTheme="majorBidi" w:cstheme="majorBidi"/>
        </w:rPr>
        <w:t>[Nosaukums A]</w:t>
      </w:r>
      <w:r w:rsidRPr="004E5C18">
        <w:rPr>
          <w:rFonts w:asciiTheme="majorBidi" w:hAnsiTheme="majorBidi" w:cstheme="majorBidi"/>
        </w:rPr>
        <w:t xml:space="preserve">” un brāļiem </w:t>
      </w:r>
      <w:r w:rsidR="00254AD9">
        <w:rPr>
          <w:rFonts w:asciiTheme="majorBidi" w:hAnsiTheme="majorBidi" w:cstheme="majorBidi"/>
        </w:rPr>
        <w:t>[Uzvārds]</w:t>
      </w:r>
      <w:r>
        <w:rPr>
          <w:rFonts w:asciiTheme="majorBidi" w:hAnsiTheme="majorBidi" w:cstheme="majorBidi"/>
        </w:rPr>
        <w:t xml:space="preserve"> </w:t>
      </w:r>
      <w:r w:rsidRPr="00680067">
        <w:rPr>
          <w:rFonts w:asciiTheme="majorBidi" w:hAnsiTheme="majorBidi" w:cstheme="majorBidi"/>
        </w:rPr>
        <w:t xml:space="preserve">izslēdz </w:t>
      </w:r>
      <w:r>
        <w:rPr>
          <w:rFonts w:asciiTheme="majorBidi" w:hAnsiTheme="majorBidi" w:cstheme="majorBidi"/>
        </w:rPr>
        <w:t xml:space="preserve">iespēju atzīt </w:t>
      </w:r>
      <w:r w:rsidRPr="00680067">
        <w:rPr>
          <w:rFonts w:asciiTheme="majorBidi" w:hAnsiTheme="majorBidi" w:cstheme="majorBidi"/>
        </w:rPr>
        <w:t>apsūdzēt</w:t>
      </w:r>
      <w:r>
        <w:rPr>
          <w:rFonts w:asciiTheme="majorBidi" w:hAnsiTheme="majorBidi" w:cstheme="majorBidi"/>
        </w:rPr>
        <w:t>o</w:t>
      </w:r>
      <w:r w:rsidRPr="00680067">
        <w:rPr>
          <w:rFonts w:asciiTheme="majorBidi" w:hAnsiTheme="majorBidi" w:cstheme="majorBidi"/>
        </w:rPr>
        <w:t xml:space="preserve"> </w:t>
      </w:r>
      <w:r>
        <w:rPr>
          <w:rFonts w:asciiTheme="majorBidi" w:hAnsiTheme="majorBidi" w:cstheme="majorBidi"/>
        </w:rPr>
        <w:t>p</w:t>
      </w:r>
      <w:r w:rsidRPr="00680067">
        <w:rPr>
          <w:rFonts w:asciiTheme="majorBidi" w:hAnsiTheme="majorBidi" w:cstheme="majorBidi"/>
        </w:rPr>
        <w:t>ar dīzeļdegvielas uzglabā</w:t>
      </w:r>
      <w:r>
        <w:rPr>
          <w:rFonts w:asciiTheme="majorBidi" w:hAnsiTheme="majorBidi" w:cstheme="majorBidi"/>
        </w:rPr>
        <w:t>tāju</w:t>
      </w:r>
      <w:r w:rsidRPr="00680067">
        <w:rPr>
          <w:rFonts w:asciiTheme="majorBidi" w:hAnsiTheme="majorBidi" w:cstheme="majorBidi"/>
        </w:rPr>
        <w:t xml:space="preserve">. Šim apstāklim nav izšķirošas nozīmes, jo uzglabātāja statusu nosaka </w:t>
      </w:r>
      <w:r>
        <w:rPr>
          <w:rFonts w:asciiTheme="majorBidi" w:hAnsiTheme="majorBidi" w:cstheme="majorBidi"/>
        </w:rPr>
        <w:t xml:space="preserve">viņa </w:t>
      </w:r>
      <w:r w:rsidRPr="00680067">
        <w:rPr>
          <w:rFonts w:asciiTheme="majorBidi" w:hAnsiTheme="majorBidi" w:cstheme="majorBidi"/>
        </w:rPr>
        <w:t xml:space="preserve">faktiskā vara pār </w:t>
      </w:r>
      <w:r>
        <w:rPr>
          <w:rFonts w:asciiTheme="majorBidi" w:hAnsiTheme="majorBidi" w:cstheme="majorBidi"/>
        </w:rPr>
        <w:t xml:space="preserve">attiecīgo </w:t>
      </w:r>
      <w:r w:rsidRPr="00680067">
        <w:rPr>
          <w:rFonts w:asciiTheme="majorBidi" w:hAnsiTheme="majorBidi" w:cstheme="majorBidi"/>
        </w:rPr>
        <w:t>priekšmetu, nevis darba tiesisko attiecību formāla esība vai neesība.</w:t>
      </w:r>
    </w:p>
    <w:p w14:paraId="0E79753F" w14:textId="6960D1D3" w:rsidR="00E749FF" w:rsidRDefault="00B64237" w:rsidP="00EE7E71">
      <w:pPr>
        <w:suppressAutoHyphens w:val="0"/>
        <w:spacing w:line="276" w:lineRule="auto"/>
        <w:ind w:firstLine="720"/>
        <w:jc w:val="both"/>
        <w:rPr>
          <w:rFonts w:asciiTheme="majorBidi" w:hAnsiTheme="majorBidi" w:cstheme="majorBidi"/>
        </w:rPr>
      </w:pPr>
      <w:r>
        <w:rPr>
          <w:rFonts w:asciiTheme="majorBidi" w:hAnsiTheme="majorBidi" w:cstheme="majorBidi"/>
        </w:rPr>
        <w:t>[8.2]</w:t>
      </w:r>
      <w:r w:rsidR="009F41CF">
        <w:rPr>
          <w:rFonts w:asciiTheme="majorBidi" w:hAnsiTheme="majorBidi" w:cstheme="majorBidi"/>
        </w:rPr>
        <w:t> </w:t>
      </w:r>
      <w:r w:rsidR="00736912">
        <w:rPr>
          <w:rFonts w:asciiTheme="majorBidi" w:hAnsiTheme="majorBidi" w:cstheme="majorBidi"/>
        </w:rPr>
        <w:t>Tiesa</w:t>
      </w:r>
      <w:r w:rsidR="004E5C18">
        <w:rPr>
          <w:rFonts w:asciiTheme="majorBidi" w:hAnsiTheme="majorBidi" w:cstheme="majorBidi"/>
        </w:rPr>
        <w:t xml:space="preserve"> </w:t>
      </w:r>
      <w:r w:rsidR="00195D69">
        <w:rPr>
          <w:rFonts w:asciiTheme="majorBidi" w:hAnsiTheme="majorBidi" w:cstheme="majorBidi"/>
        </w:rPr>
        <w:t xml:space="preserve">atsaukusies arī uz </w:t>
      </w:r>
      <w:r w:rsidR="003A5B2B">
        <w:rPr>
          <w:rFonts w:asciiTheme="majorBidi" w:hAnsiTheme="majorBidi" w:cstheme="majorBidi"/>
        </w:rPr>
        <w:t>apsūdzētā</w:t>
      </w:r>
      <w:r w:rsidR="00115C21">
        <w:rPr>
          <w:rFonts w:asciiTheme="majorBidi" w:hAnsiTheme="majorBidi" w:cstheme="majorBidi"/>
        </w:rPr>
        <w:t xml:space="preserve"> </w:t>
      </w:r>
      <w:r w:rsidR="00195D69" w:rsidRPr="00AE1398">
        <w:rPr>
          <w:rFonts w:asciiTheme="majorBidi" w:hAnsiTheme="majorBidi" w:cstheme="majorBidi"/>
        </w:rPr>
        <w:t>2013.</w:t>
      </w:r>
      <w:r w:rsidR="00195D69">
        <w:rPr>
          <w:rFonts w:asciiTheme="majorBidi" w:hAnsiTheme="majorBidi" w:cstheme="majorBidi"/>
        </w:rPr>
        <w:t> </w:t>
      </w:r>
      <w:r w:rsidR="00195D69" w:rsidRPr="00AE1398">
        <w:rPr>
          <w:rFonts w:asciiTheme="majorBidi" w:hAnsiTheme="majorBidi" w:cstheme="majorBidi"/>
        </w:rPr>
        <w:t>gada 10.</w:t>
      </w:r>
      <w:r w:rsidR="00195D69">
        <w:rPr>
          <w:rFonts w:asciiTheme="majorBidi" w:hAnsiTheme="majorBidi" w:cstheme="majorBidi"/>
        </w:rPr>
        <w:t> </w:t>
      </w:r>
      <w:r w:rsidR="00195D69" w:rsidRPr="00AE1398">
        <w:rPr>
          <w:rFonts w:asciiTheme="majorBidi" w:hAnsiTheme="majorBidi" w:cstheme="majorBidi"/>
        </w:rPr>
        <w:t>jūnija paskaidrojum</w:t>
      </w:r>
      <w:r w:rsidR="008D467F">
        <w:rPr>
          <w:rFonts w:asciiTheme="majorBidi" w:hAnsiTheme="majorBidi" w:cstheme="majorBidi"/>
        </w:rPr>
        <w:t>u</w:t>
      </w:r>
      <w:r w:rsidR="00195D69" w:rsidRPr="00AE1398">
        <w:rPr>
          <w:rFonts w:asciiTheme="majorBidi" w:hAnsiTheme="majorBidi" w:cstheme="majorBidi"/>
        </w:rPr>
        <w:t>, k</w:t>
      </w:r>
      <w:r w:rsidR="008D467F">
        <w:rPr>
          <w:rFonts w:asciiTheme="majorBidi" w:hAnsiTheme="majorBidi" w:cstheme="majorBidi"/>
        </w:rPr>
        <w:t xml:space="preserve">urā </w:t>
      </w:r>
      <w:r w:rsidR="00E749FF">
        <w:rPr>
          <w:rFonts w:asciiTheme="majorBidi" w:hAnsiTheme="majorBidi" w:cstheme="majorBidi"/>
        </w:rPr>
        <w:t xml:space="preserve">viņš </w:t>
      </w:r>
      <w:r w:rsidR="008D467F">
        <w:rPr>
          <w:rFonts w:asciiTheme="majorBidi" w:hAnsiTheme="majorBidi" w:cstheme="majorBidi"/>
        </w:rPr>
        <w:t>norādī</w:t>
      </w:r>
      <w:r w:rsidR="00E749FF">
        <w:rPr>
          <w:rFonts w:asciiTheme="majorBidi" w:hAnsiTheme="majorBidi" w:cstheme="majorBidi"/>
        </w:rPr>
        <w:t>j</w:t>
      </w:r>
      <w:r w:rsidR="00076141">
        <w:rPr>
          <w:rFonts w:asciiTheme="majorBidi" w:hAnsiTheme="majorBidi" w:cstheme="majorBidi"/>
        </w:rPr>
        <w:t>a</w:t>
      </w:r>
      <w:r w:rsidR="008D467F">
        <w:rPr>
          <w:rFonts w:asciiTheme="majorBidi" w:hAnsiTheme="majorBidi" w:cstheme="majorBidi"/>
        </w:rPr>
        <w:t>, ka Valsts policijas</w:t>
      </w:r>
      <w:r w:rsidR="00195D69" w:rsidRPr="00AE1398">
        <w:rPr>
          <w:rFonts w:asciiTheme="majorBidi" w:hAnsiTheme="majorBidi" w:cstheme="majorBidi"/>
        </w:rPr>
        <w:t xml:space="preserve"> </w:t>
      </w:r>
      <w:r w:rsidR="00E749FF">
        <w:rPr>
          <w:rFonts w:asciiTheme="majorBidi" w:hAnsiTheme="majorBidi" w:cstheme="majorBidi"/>
        </w:rPr>
        <w:t xml:space="preserve">veiktajā </w:t>
      </w:r>
      <w:r w:rsidR="00195D69" w:rsidRPr="00AE1398">
        <w:rPr>
          <w:rFonts w:asciiTheme="majorBidi" w:hAnsiTheme="majorBidi" w:cstheme="majorBidi"/>
        </w:rPr>
        <w:t>pārbaud</w:t>
      </w:r>
      <w:r w:rsidR="00195D69">
        <w:rPr>
          <w:rFonts w:asciiTheme="majorBidi" w:hAnsiTheme="majorBidi" w:cstheme="majorBidi"/>
        </w:rPr>
        <w:t>ē</w:t>
      </w:r>
      <w:r w:rsidR="00195D69" w:rsidRPr="00AE1398">
        <w:rPr>
          <w:rFonts w:asciiTheme="majorBidi" w:hAnsiTheme="majorBidi" w:cstheme="majorBidi"/>
        </w:rPr>
        <w:t xml:space="preserve"> </w:t>
      </w:r>
      <w:r w:rsidR="00F06565">
        <w:rPr>
          <w:rFonts w:asciiTheme="majorBidi" w:hAnsiTheme="majorBidi" w:cstheme="majorBidi"/>
        </w:rPr>
        <w:t xml:space="preserve">angārā atrastā </w:t>
      </w:r>
      <w:r w:rsidR="00195D69" w:rsidRPr="00AE1398">
        <w:rPr>
          <w:rFonts w:asciiTheme="majorBidi" w:hAnsiTheme="majorBidi" w:cstheme="majorBidi"/>
        </w:rPr>
        <w:t>degviel</w:t>
      </w:r>
      <w:r w:rsidR="00195D69">
        <w:rPr>
          <w:rFonts w:asciiTheme="majorBidi" w:hAnsiTheme="majorBidi" w:cstheme="majorBidi"/>
        </w:rPr>
        <w:t>a</w:t>
      </w:r>
      <w:r w:rsidR="00195D69" w:rsidRPr="004F36F8">
        <w:rPr>
          <w:rFonts w:asciiTheme="majorBidi" w:hAnsiTheme="majorBidi" w:cstheme="majorBidi"/>
        </w:rPr>
        <w:t xml:space="preserve"> tika iegādāta AS „</w:t>
      </w:r>
      <w:r w:rsidR="0088482E">
        <w:rPr>
          <w:rFonts w:asciiTheme="majorBidi" w:hAnsiTheme="majorBidi" w:cstheme="majorBidi"/>
        </w:rPr>
        <w:t>[Nosaukums A]</w:t>
      </w:r>
      <w:r w:rsidR="00195D69" w:rsidRPr="004F36F8">
        <w:rPr>
          <w:rFonts w:asciiTheme="majorBidi" w:hAnsiTheme="majorBidi" w:cstheme="majorBidi"/>
        </w:rPr>
        <w:t xml:space="preserve">” </w:t>
      </w:r>
      <w:r w:rsidR="00195D69" w:rsidRPr="00F96B33">
        <w:rPr>
          <w:rFonts w:asciiTheme="majorBidi" w:hAnsiTheme="majorBidi" w:cstheme="majorBidi"/>
        </w:rPr>
        <w:t>vajadzībām</w:t>
      </w:r>
      <w:r w:rsidR="00195D69" w:rsidRPr="004F36F8">
        <w:rPr>
          <w:rFonts w:asciiTheme="majorBidi" w:hAnsiTheme="majorBidi" w:cstheme="majorBidi"/>
        </w:rPr>
        <w:t>.</w:t>
      </w:r>
    </w:p>
    <w:p w14:paraId="75F11B5E" w14:textId="287F5A31" w:rsidR="00195D69" w:rsidRDefault="001F5AE9" w:rsidP="00EE7E71">
      <w:pPr>
        <w:suppressAutoHyphens w:val="0"/>
        <w:spacing w:line="276" w:lineRule="auto"/>
        <w:ind w:firstLine="720"/>
        <w:jc w:val="both"/>
        <w:rPr>
          <w:rFonts w:asciiTheme="majorBidi" w:hAnsiTheme="majorBidi" w:cstheme="majorBidi"/>
        </w:rPr>
      </w:pPr>
      <w:r>
        <w:rPr>
          <w:rFonts w:asciiTheme="majorBidi" w:hAnsiTheme="majorBidi" w:cstheme="majorBidi"/>
        </w:rPr>
        <w:t>N</w:t>
      </w:r>
      <w:r w:rsidR="00211599">
        <w:rPr>
          <w:rFonts w:asciiTheme="majorBidi" w:hAnsiTheme="majorBidi" w:cstheme="majorBidi"/>
        </w:rPr>
        <w:t xml:space="preserve">oraidot apsūdzētā argumentu, ka </w:t>
      </w:r>
      <w:r w:rsidR="0083241A">
        <w:rPr>
          <w:rFonts w:asciiTheme="majorBidi" w:hAnsiTheme="majorBidi" w:cstheme="majorBidi"/>
        </w:rPr>
        <w:t xml:space="preserve">šos </w:t>
      </w:r>
      <w:r w:rsidR="00195D69" w:rsidRPr="00AE21BC">
        <w:rPr>
          <w:rFonts w:asciiTheme="majorBidi" w:hAnsiTheme="majorBidi" w:cstheme="majorBidi"/>
        </w:rPr>
        <w:t>paskaidrojum</w:t>
      </w:r>
      <w:r w:rsidR="00211599">
        <w:rPr>
          <w:rFonts w:asciiTheme="majorBidi" w:hAnsiTheme="majorBidi" w:cstheme="majorBidi"/>
        </w:rPr>
        <w:t xml:space="preserve">us </w:t>
      </w:r>
      <w:r>
        <w:rPr>
          <w:rFonts w:asciiTheme="majorBidi" w:hAnsiTheme="majorBidi" w:cstheme="majorBidi"/>
        </w:rPr>
        <w:t xml:space="preserve">viņš </w:t>
      </w:r>
      <w:r w:rsidR="00211599">
        <w:rPr>
          <w:rFonts w:asciiTheme="majorBidi" w:hAnsiTheme="majorBidi" w:cstheme="majorBidi"/>
        </w:rPr>
        <w:t>sniedz</w:t>
      </w:r>
      <w:r w:rsidR="00F96B33">
        <w:rPr>
          <w:rFonts w:asciiTheme="majorBidi" w:hAnsiTheme="majorBidi" w:cstheme="majorBidi"/>
        </w:rPr>
        <w:t>a</w:t>
      </w:r>
      <w:r w:rsidR="00211599">
        <w:rPr>
          <w:rFonts w:asciiTheme="majorBidi" w:hAnsiTheme="majorBidi" w:cstheme="majorBidi"/>
        </w:rPr>
        <w:t xml:space="preserve"> </w:t>
      </w:r>
      <w:r w:rsidR="00195D69" w:rsidRPr="00AE21BC">
        <w:rPr>
          <w:rFonts w:asciiTheme="majorBidi" w:hAnsiTheme="majorBidi" w:cstheme="majorBidi"/>
        </w:rPr>
        <w:t>par legāli iegādāt</w:t>
      </w:r>
      <w:r w:rsidR="00195D69">
        <w:rPr>
          <w:rFonts w:asciiTheme="majorBidi" w:hAnsiTheme="majorBidi" w:cstheme="majorBidi"/>
        </w:rPr>
        <w:t>o</w:t>
      </w:r>
      <w:r w:rsidR="00195D69" w:rsidRPr="00AE21BC">
        <w:rPr>
          <w:rFonts w:asciiTheme="majorBidi" w:hAnsiTheme="majorBidi" w:cstheme="majorBidi"/>
        </w:rPr>
        <w:t xml:space="preserve"> degvielu</w:t>
      </w:r>
      <w:r w:rsidR="00195D69">
        <w:rPr>
          <w:rFonts w:asciiTheme="majorBidi" w:hAnsiTheme="majorBidi" w:cstheme="majorBidi"/>
        </w:rPr>
        <w:t>,</w:t>
      </w:r>
      <w:r w:rsidR="008D467F">
        <w:rPr>
          <w:rFonts w:asciiTheme="majorBidi" w:hAnsiTheme="majorBidi" w:cstheme="majorBidi"/>
        </w:rPr>
        <w:t xml:space="preserve"> </w:t>
      </w:r>
      <w:r>
        <w:rPr>
          <w:rFonts w:asciiTheme="majorBidi" w:hAnsiTheme="majorBidi" w:cstheme="majorBidi"/>
        </w:rPr>
        <w:t xml:space="preserve">tiesa </w:t>
      </w:r>
      <w:r w:rsidR="00211599">
        <w:rPr>
          <w:rFonts w:asciiTheme="majorBidi" w:hAnsiTheme="majorBidi" w:cstheme="majorBidi"/>
        </w:rPr>
        <w:t>norādījusi, ka</w:t>
      </w:r>
      <w:r w:rsidR="00195D69">
        <w:rPr>
          <w:rFonts w:asciiTheme="majorBidi" w:hAnsiTheme="majorBidi" w:cstheme="majorBidi"/>
        </w:rPr>
        <w:t>: 1)</w:t>
      </w:r>
      <w:r w:rsidR="00261E3A">
        <w:rPr>
          <w:rFonts w:asciiTheme="majorBidi" w:hAnsiTheme="majorBidi" w:cstheme="majorBidi"/>
        </w:rPr>
        <w:t> </w:t>
      </w:r>
      <w:r w:rsidR="00195D69">
        <w:rPr>
          <w:rFonts w:asciiTheme="majorBidi" w:hAnsiTheme="majorBidi" w:cstheme="majorBidi"/>
        </w:rPr>
        <w:t>paskaidrojumā</w:t>
      </w:r>
      <w:r w:rsidR="00195D69" w:rsidRPr="001F7990">
        <w:rPr>
          <w:rFonts w:asciiTheme="majorBidi" w:hAnsiTheme="majorBidi" w:cstheme="majorBidi"/>
        </w:rPr>
        <w:t xml:space="preserve"> </w:t>
      </w:r>
      <w:r w:rsidR="00261E3A">
        <w:rPr>
          <w:rFonts w:asciiTheme="majorBidi" w:hAnsiTheme="majorBidi" w:cstheme="majorBidi"/>
        </w:rPr>
        <w:t xml:space="preserve">apsūdzētais </w:t>
      </w:r>
      <w:r w:rsidR="00195D69" w:rsidRPr="001F7990">
        <w:rPr>
          <w:rFonts w:asciiTheme="majorBidi" w:hAnsiTheme="majorBidi" w:cstheme="majorBidi"/>
        </w:rPr>
        <w:t>skaidri norādī</w:t>
      </w:r>
      <w:r w:rsidR="00195D69">
        <w:rPr>
          <w:rFonts w:asciiTheme="majorBidi" w:hAnsiTheme="majorBidi" w:cstheme="majorBidi"/>
        </w:rPr>
        <w:t>j</w:t>
      </w:r>
      <w:r w:rsidR="00F96B33">
        <w:rPr>
          <w:rFonts w:asciiTheme="majorBidi" w:hAnsiTheme="majorBidi" w:cstheme="majorBidi"/>
        </w:rPr>
        <w:t>a</w:t>
      </w:r>
      <w:r w:rsidR="00195D69" w:rsidRPr="001F7990">
        <w:rPr>
          <w:rFonts w:asciiTheme="majorBidi" w:hAnsiTheme="majorBidi" w:cstheme="majorBidi"/>
        </w:rPr>
        <w:t xml:space="preserve"> degvielas </w:t>
      </w:r>
      <w:r w:rsidR="00E749FF">
        <w:rPr>
          <w:rFonts w:asciiTheme="majorBidi" w:hAnsiTheme="majorBidi" w:cstheme="majorBidi"/>
        </w:rPr>
        <w:t>uz</w:t>
      </w:r>
      <w:r w:rsidR="00195D69" w:rsidRPr="001F7990">
        <w:rPr>
          <w:rFonts w:asciiTheme="majorBidi" w:hAnsiTheme="majorBidi" w:cstheme="majorBidi"/>
        </w:rPr>
        <w:t>glabāšanas viet</w:t>
      </w:r>
      <w:r w:rsidR="00195D69">
        <w:rPr>
          <w:rFonts w:asciiTheme="majorBidi" w:hAnsiTheme="majorBidi" w:cstheme="majorBidi"/>
        </w:rPr>
        <w:t>u</w:t>
      </w:r>
      <w:r w:rsidR="00195D69" w:rsidRPr="001F7990">
        <w:rPr>
          <w:rFonts w:asciiTheme="majorBidi" w:hAnsiTheme="majorBidi" w:cstheme="majorBidi"/>
        </w:rPr>
        <w:t xml:space="preserve"> </w:t>
      </w:r>
      <w:r w:rsidR="00261E3A">
        <w:rPr>
          <w:rFonts w:asciiTheme="majorBidi" w:hAnsiTheme="majorBidi" w:cstheme="majorBidi"/>
        </w:rPr>
        <w:t>–</w:t>
      </w:r>
      <w:r w:rsidR="003324DC">
        <w:rPr>
          <w:rFonts w:asciiTheme="majorBidi" w:hAnsiTheme="majorBidi" w:cstheme="majorBidi"/>
        </w:rPr>
        <w:t xml:space="preserve"> </w:t>
      </w:r>
      <w:r w:rsidR="00195D69" w:rsidRPr="001F7990">
        <w:rPr>
          <w:rFonts w:asciiTheme="majorBidi" w:hAnsiTheme="majorBidi" w:cstheme="majorBidi"/>
        </w:rPr>
        <w:t>angār</w:t>
      </w:r>
      <w:r w:rsidR="003A5B2B">
        <w:rPr>
          <w:rFonts w:asciiTheme="majorBidi" w:hAnsiTheme="majorBidi" w:cstheme="majorBidi"/>
        </w:rPr>
        <w:t>u</w:t>
      </w:r>
      <w:r w:rsidR="00195D69">
        <w:rPr>
          <w:rFonts w:asciiTheme="majorBidi" w:hAnsiTheme="majorBidi" w:cstheme="majorBidi"/>
        </w:rPr>
        <w:t>; 2)</w:t>
      </w:r>
      <w:r w:rsidR="00261E3A">
        <w:rPr>
          <w:rFonts w:asciiTheme="majorBidi" w:hAnsiTheme="majorBidi" w:cstheme="majorBidi"/>
        </w:rPr>
        <w:t> </w:t>
      </w:r>
      <w:r w:rsidR="008D467F">
        <w:rPr>
          <w:rFonts w:asciiTheme="majorBidi" w:hAnsiTheme="majorBidi" w:cstheme="majorBidi"/>
        </w:rPr>
        <w:t xml:space="preserve">saskaņā ar </w:t>
      </w:r>
      <w:r w:rsidR="00195D69">
        <w:rPr>
          <w:rFonts w:asciiTheme="majorBidi" w:hAnsiTheme="majorBidi" w:cstheme="majorBidi"/>
        </w:rPr>
        <w:t xml:space="preserve">liecinieka </w:t>
      </w:r>
      <w:r w:rsidR="00254AD9">
        <w:rPr>
          <w:rFonts w:asciiTheme="majorBidi" w:hAnsiTheme="majorBidi" w:cstheme="majorBidi"/>
        </w:rPr>
        <w:t>[pers. C]</w:t>
      </w:r>
      <w:r w:rsidR="00195D69">
        <w:rPr>
          <w:rFonts w:asciiTheme="majorBidi" w:hAnsiTheme="majorBidi" w:cstheme="majorBidi"/>
        </w:rPr>
        <w:t xml:space="preserve"> </w:t>
      </w:r>
      <w:r w:rsidR="00195D69" w:rsidRPr="00AE1398">
        <w:rPr>
          <w:rFonts w:asciiTheme="majorBidi" w:hAnsiTheme="majorBidi" w:cstheme="majorBidi"/>
        </w:rPr>
        <w:t>liec</w:t>
      </w:r>
      <w:r w:rsidR="008D467F">
        <w:rPr>
          <w:rFonts w:asciiTheme="majorBidi" w:hAnsiTheme="majorBidi" w:cstheme="majorBidi"/>
        </w:rPr>
        <w:t>ināto</w:t>
      </w:r>
      <w:r w:rsidR="00195D69" w:rsidRPr="00AE1398">
        <w:rPr>
          <w:rFonts w:asciiTheme="majorBidi" w:hAnsiTheme="majorBidi" w:cstheme="majorBidi"/>
        </w:rPr>
        <w:t xml:space="preserve"> </w:t>
      </w:r>
      <w:r w:rsidR="002C6E30">
        <w:rPr>
          <w:rFonts w:asciiTheme="majorBidi" w:hAnsiTheme="majorBidi" w:cstheme="majorBidi"/>
        </w:rPr>
        <w:t>legāl</w:t>
      </w:r>
      <w:r w:rsidR="008D467F">
        <w:rPr>
          <w:rFonts w:asciiTheme="majorBidi" w:hAnsiTheme="majorBidi" w:cstheme="majorBidi"/>
        </w:rPr>
        <w:t>i iegādāt</w:t>
      </w:r>
      <w:r w:rsidR="00F96B33">
        <w:rPr>
          <w:rFonts w:asciiTheme="majorBidi" w:hAnsiTheme="majorBidi" w:cstheme="majorBidi"/>
        </w:rPr>
        <w:t>o</w:t>
      </w:r>
      <w:r w:rsidR="002C6E30">
        <w:rPr>
          <w:rFonts w:asciiTheme="majorBidi" w:hAnsiTheme="majorBidi" w:cstheme="majorBidi"/>
        </w:rPr>
        <w:t xml:space="preserve"> </w:t>
      </w:r>
      <w:r w:rsidR="00195D69" w:rsidRPr="00AE1398">
        <w:rPr>
          <w:rFonts w:asciiTheme="majorBidi" w:hAnsiTheme="majorBidi" w:cstheme="majorBidi"/>
        </w:rPr>
        <w:t>degviel</w:t>
      </w:r>
      <w:r w:rsidR="00F96B33">
        <w:rPr>
          <w:rFonts w:asciiTheme="majorBidi" w:hAnsiTheme="majorBidi" w:cstheme="majorBidi"/>
        </w:rPr>
        <w:t>u</w:t>
      </w:r>
      <w:r w:rsidR="00195D69" w:rsidRPr="00AE1398">
        <w:rPr>
          <w:rFonts w:asciiTheme="majorBidi" w:hAnsiTheme="majorBidi" w:cstheme="majorBidi"/>
        </w:rPr>
        <w:t xml:space="preserve"> </w:t>
      </w:r>
      <w:r w:rsidR="008D467F">
        <w:rPr>
          <w:rFonts w:asciiTheme="majorBidi" w:hAnsiTheme="majorBidi" w:cstheme="majorBidi"/>
        </w:rPr>
        <w:t>uz</w:t>
      </w:r>
      <w:r w:rsidR="00195D69" w:rsidRPr="00AE1398">
        <w:rPr>
          <w:rFonts w:asciiTheme="majorBidi" w:hAnsiTheme="majorBidi" w:cstheme="majorBidi"/>
        </w:rPr>
        <w:t>glabā</w:t>
      </w:r>
      <w:r w:rsidR="00F96B33">
        <w:rPr>
          <w:rFonts w:asciiTheme="majorBidi" w:hAnsiTheme="majorBidi" w:cstheme="majorBidi"/>
        </w:rPr>
        <w:t>ja</w:t>
      </w:r>
      <w:r w:rsidR="00195D69">
        <w:rPr>
          <w:rFonts w:asciiTheme="majorBidi" w:hAnsiTheme="majorBidi" w:cstheme="majorBidi"/>
        </w:rPr>
        <w:t xml:space="preserve"> </w:t>
      </w:r>
      <w:r w:rsidR="00F96B33">
        <w:rPr>
          <w:rFonts w:asciiTheme="majorBidi" w:hAnsiTheme="majorBidi" w:cstheme="majorBidi"/>
        </w:rPr>
        <w:t xml:space="preserve">nevis </w:t>
      </w:r>
      <w:r w:rsidR="00195D69" w:rsidRPr="00AE1398">
        <w:rPr>
          <w:rFonts w:asciiTheme="majorBidi" w:hAnsiTheme="majorBidi" w:cstheme="majorBidi"/>
        </w:rPr>
        <w:t>angārā, kur</w:t>
      </w:r>
      <w:r w:rsidR="001A7813">
        <w:rPr>
          <w:rFonts w:asciiTheme="majorBidi" w:hAnsiTheme="majorBidi" w:cstheme="majorBidi"/>
        </w:rPr>
        <w:t>ā Valsts policija</w:t>
      </w:r>
      <w:r w:rsidR="00195D69" w:rsidRPr="00AE1398">
        <w:rPr>
          <w:rFonts w:asciiTheme="majorBidi" w:hAnsiTheme="majorBidi" w:cstheme="majorBidi"/>
        </w:rPr>
        <w:t xml:space="preserve"> vei</w:t>
      </w:r>
      <w:r w:rsidR="001A7813">
        <w:rPr>
          <w:rFonts w:asciiTheme="majorBidi" w:hAnsiTheme="majorBidi" w:cstheme="majorBidi"/>
        </w:rPr>
        <w:t>ca</w:t>
      </w:r>
      <w:r w:rsidR="00195D69" w:rsidRPr="00AE1398">
        <w:rPr>
          <w:rFonts w:asciiTheme="majorBidi" w:hAnsiTheme="majorBidi" w:cstheme="majorBidi"/>
        </w:rPr>
        <w:t xml:space="preserve"> pārbaud</w:t>
      </w:r>
      <w:r w:rsidR="001A7813">
        <w:rPr>
          <w:rFonts w:asciiTheme="majorBidi" w:hAnsiTheme="majorBidi" w:cstheme="majorBidi"/>
        </w:rPr>
        <w:t>i</w:t>
      </w:r>
      <w:r w:rsidR="00195D69" w:rsidRPr="00AE1398">
        <w:rPr>
          <w:rFonts w:asciiTheme="majorBidi" w:hAnsiTheme="majorBidi" w:cstheme="majorBidi"/>
        </w:rPr>
        <w:t xml:space="preserve">, bet </w:t>
      </w:r>
      <w:r w:rsidR="00261E3A">
        <w:rPr>
          <w:rFonts w:asciiTheme="majorBidi" w:hAnsiTheme="majorBidi" w:cstheme="majorBidi"/>
        </w:rPr>
        <w:t xml:space="preserve">gan </w:t>
      </w:r>
      <w:r w:rsidR="00195D69" w:rsidRPr="00AE1398">
        <w:rPr>
          <w:rFonts w:asciiTheme="majorBidi" w:hAnsiTheme="majorBidi" w:cstheme="majorBidi"/>
        </w:rPr>
        <w:t>noliktavā.</w:t>
      </w:r>
    </w:p>
    <w:p w14:paraId="0C9D8F15" w14:textId="4D61E51D" w:rsidR="006F730B" w:rsidRPr="0013536B" w:rsidRDefault="006F730B" w:rsidP="00EE7E71">
      <w:pPr>
        <w:suppressAutoHyphens w:val="0"/>
        <w:spacing w:line="276" w:lineRule="auto"/>
        <w:ind w:firstLine="720"/>
        <w:jc w:val="both"/>
        <w:rPr>
          <w:rFonts w:asciiTheme="majorBidi" w:hAnsiTheme="majorBidi" w:cstheme="majorBidi"/>
        </w:rPr>
      </w:pPr>
      <w:r w:rsidRPr="0013536B">
        <w:rPr>
          <w:rFonts w:asciiTheme="majorBidi" w:hAnsiTheme="majorBidi" w:cstheme="majorBidi"/>
        </w:rPr>
        <w:t xml:space="preserve">Senāts atzīst, ka tiesa bija tiesīga vērtēt šo paskaidrojumu saturu kopsakarā ar citiem lietā esošajiem pierādījumiem un noraidīt apsūdzētā aizstāvības pozīciju, ja </w:t>
      </w:r>
      <w:r w:rsidR="0013536B">
        <w:rPr>
          <w:rFonts w:asciiTheme="majorBidi" w:hAnsiTheme="majorBidi" w:cstheme="majorBidi"/>
        </w:rPr>
        <w:t>lietā nav ziņu, kas to apstiprina</w:t>
      </w:r>
      <w:r w:rsidRPr="0013536B">
        <w:rPr>
          <w:rFonts w:asciiTheme="majorBidi" w:hAnsiTheme="majorBidi" w:cstheme="majorBidi"/>
        </w:rPr>
        <w:t>.</w:t>
      </w:r>
    </w:p>
    <w:p w14:paraId="1C191198" w14:textId="425EB6CC" w:rsidR="00A37B25" w:rsidRPr="0013536B" w:rsidRDefault="00F54975" w:rsidP="00EE7E71">
      <w:pPr>
        <w:suppressAutoHyphens w:val="0"/>
        <w:spacing w:line="276" w:lineRule="auto"/>
        <w:ind w:firstLine="720"/>
        <w:jc w:val="both"/>
        <w:rPr>
          <w:rFonts w:asciiTheme="majorBidi" w:hAnsiTheme="majorBidi" w:cstheme="majorBidi"/>
        </w:rPr>
      </w:pPr>
      <w:r w:rsidRPr="0013536B">
        <w:rPr>
          <w:rFonts w:asciiTheme="majorBidi" w:hAnsiTheme="majorBidi" w:cstheme="majorBidi"/>
        </w:rPr>
        <w:t>Apkopojot izklāstīto, Senāts atzīst, ka tiesa, konstatējot apsūdzētā saistību ar nelikumīgi uzglabāto dīzeļdegvielu</w:t>
      </w:r>
      <w:r w:rsidR="0013536B">
        <w:rPr>
          <w:rFonts w:asciiTheme="majorBidi" w:hAnsiTheme="majorBidi" w:cstheme="majorBidi"/>
        </w:rPr>
        <w:t>,</w:t>
      </w:r>
      <w:r w:rsidRPr="0013536B">
        <w:rPr>
          <w:rFonts w:asciiTheme="majorBidi" w:hAnsiTheme="majorBidi" w:cstheme="majorBidi"/>
        </w:rPr>
        <w:t xml:space="preserve"> procesuālo tiesību normu pārkāpumus nav pieļāvusi.</w:t>
      </w:r>
    </w:p>
    <w:bookmarkEnd w:id="16"/>
    <w:p w14:paraId="0A449E52" w14:textId="38957D81" w:rsidR="004E5C18" w:rsidRDefault="00036827" w:rsidP="00EE7E71">
      <w:pPr>
        <w:suppressAutoHyphens w:val="0"/>
        <w:spacing w:line="276" w:lineRule="auto"/>
        <w:ind w:firstLine="720"/>
        <w:jc w:val="both"/>
      </w:pPr>
      <w:r>
        <w:rPr>
          <w:rFonts w:asciiTheme="majorBidi" w:hAnsiTheme="majorBidi" w:cstheme="majorBidi"/>
        </w:rPr>
        <w:t>[8.3]</w:t>
      </w:r>
      <w:r w:rsidR="00643C80">
        <w:rPr>
          <w:rFonts w:asciiTheme="majorBidi" w:hAnsiTheme="majorBidi" w:cstheme="majorBidi"/>
        </w:rPr>
        <w:t> </w:t>
      </w:r>
      <w:bookmarkEnd w:id="17"/>
      <w:r w:rsidR="00C94989">
        <w:rPr>
          <w:rFonts w:asciiTheme="majorBidi" w:hAnsiTheme="majorBidi" w:cstheme="majorBidi"/>
        </w:rPr>
        <w:t>Tiesa</w:t>
      </w:r>
      <w:r w:rsidR="005629EE">
        <w:rPr>
          <w:rFonts w:asciiTheme="majorBidi" w:hAnsiTheme="majorBidi" w:cstheme="majorBidi"/>
        </w:rPr>
        <w:t xml:space="preserve"> pamatoti secinājusi, ka</w:t>
      </w:r>
      <w:r w:rsidR="00C94989" w:rsidRPr="00C94989">
        <w:rPr>
          <w:rFonts w:asciiTheme="majorBidi" w:hAnsiTheme="majorBidi" w:cstheme="majorBidi"/>
        </w:rPr>
        <w:t xml:space="preserve"> </w:t>
      </w:r>
      <w:r w:rsidR="0013536B">
        <w:rPr>
          <w:rFonts w:asciiTheme="majorBidi" w:hAnsiTheme="majorBidi" w:cstheme="majorBidi"/>
        </w:rPr>
        <w:t>apsūdzētā darbības</w:t>
      </w:r>
      <w:r w:rsidR="007F22F5">
        <w:rPr>
          <w:rFonts w:asciiTheme="majorBidi" w:hAnsiTheme="majorBidi" w:cstheme="majorBidi"/>
        </w:rPr>
        <w:t xml:space="preserve"> atbilst </w:t>
      </w:r>
      <w:r w:rsidR="009464AC">
        <w:t xml:space="preserve">Krimināllikuma </w:t>
      </w:r>
      <w:r w:rsidR="00424279" w:rsidRPr="00424279">
        <w:t>220.</w:t>
      </w:r>
      <w:r w:rsidR="00424279" w:rsidRPr="00424279">
        <w:rPr>
          <w:vertAlign w:val="superscript"/>
        </w:rPr>
        <w:t>1</w:t>
      </w:r>
      <w:r w:rsidR="00424279" w:rsidRPr="001A7813">
        <w:t> </w:t>
      </w:r>
      <w:r w:rsidR="00424279" w:rsidRPr="00424279">
        <w:t>pant</w:t>
      </w:r>
      <w:r w:rsidR="007F22F5">
        <w:t xml:space="preserve">ā </w:t>
      </w:r>
      <w:r w:rsidR="004E5C18">
        <w:t>ietvertajām</w:t>
      </w:r>
      <w:r w:rsidR="004E5C18" w:rsidRPr="007F22F5">
        <w:t xml:space="preserve"> </w:t>
      </w:r>
      <w:r w:rsidR="007F22F5" w:rsidRPr="007F22F5">
        <w:t>nelikumīgas uzglabāšanas pazīm</w:t>
      </w:r>
      <w:r w:rsidR="003E433F">
        <w:t>ēm</w:t>
      </w:r>
      <w:r w:rsidR="007F22F5">
        <w:t>.</w:t>
      </w:r>
    </w:p>
    <w:p w14:paraId="0A505833" w14:textId="782DA5F5" w:rsidR="00A26458" w:rsidRDefault="005A61E2" w:rsidP="00EE7E71">
      <w:pPr>
        <w:suppressAutoHyphens w:val="0"/>
        <w:spacing w:line="276" w:lineRule="auto"/>
        <w:ind w:firstLine="720"/>
        <w:jc w:val="both"/>
      </w:pPr>
      <w:r>
        <w:t>Ar naftas produktu uzglabāšanu saprot jebkuras darbības, kas saistītas ar šo produktu atrašanos vainīgās personas valdījumā – to turēšana speciāli pielāgotās glabātavās vai ārpus tām, kā arī turēšana parastos apstākļos (</w:t>
      </w:r>
      <w:r w:rsidR="00C43E80" w:rsidRPr="00C43E80">
        <w:rPr>
          <w:i/>
          <w:iCs/>
        </w:rPr>
        <w:t>Krastiņš</w:t>
      </w:r>
      <w:r w:rsidR="009464AC">
        <w:rPr>
          <w:i/>
          <w:iCs/>
        </w:rPr>
        <w:t> </w:t>
      </w:r>
      <w:r w:rsidR="00C43E80" w:rsidRPr="00C43E80">
        <w:rPr>
          <w:i/>
          <w:iCs/>
        </w:rPr>
        <w:t xml:space="preserve">U., </w:t>
      </w:r>
      <w:proofErr w:type="spellStart"/>
      <w:r w:rsidR="00C43E80" w:rsidRPr="00C43E80">
        <w:rPr>
          <w:i/>
          <w:iCs/>
        </w:rPr>
        <w:t>Liholaja</w:t>
      </w:r>
      <w:proofErr w:type="spellEnd"/>
      <w:r w:rsidR="009464AC">
        <w:rPr>
          <w:i/>
          <w:iCs/>
        </w:rPr>
        <w:t> </w:t>
      </w:r>
      <w:r w:rsidR="00C43E80" w:rsidRPr="00C43E80">
        <w:rPr>
          <w:i/>
          <w:iCs/>
        </w:rPr>
        <w:t xml:space="preserve">V., </w:t>
      </w:r>
      <w:proofErr w:type="spellStart"/>
      <w:r w:rsidR="00C43E80" w:rsidRPr="00C43E80">
        <w:rPr>
          <w:i/>
          <w:iCs/>
        </w:rPr>
        <w:t>Hamkova</w:t>
      </w:r>
      <w:proofErr w:type="spellEnd"/>
      <w:r w:rsidR="009464AC">
        <w:rPr>
          <w:i/>
          <w:iCs/>
        </w:rPr>
        <w:t> </w:t>
      </w:r>
      <w:r w:rsidR="00C43E80" w:rsidRPr="00C43E80">
        <w:rPr>
          <w:i/>
          <w:iCs/>
        </w:rPr>
        <w:t>D. Krimināllikuma komentāri. Trešā daļa (XVIII–XXV nodaļa). Trešais papildinātais izdevums. Rīga: Tiesu namu aģentūra, 2023, 248. lpp</w:t>
      </w:r>
      <w:r w:rsidR="00C43E80">
        <w:t>.).</w:t>
      </w:r>
      <w:bookmarkStart w:id="19" w:name="_Hlk216204766"/>
    </w:p>
    <w:p w14:paraId="772847BF" w14:textId="77777777" w:rsidR="006A2BA1" w:rsidRDefault="00280784" w:rsidP="00EE7E71">
      <w:pPr>
        <w:suppressAutoHyphens w:val="0"/>
        <w:spacing w:line="276" w:lineRule="auto"/>
        <w:ind w:firstLine="720"/>
        <w:jc w:val="both"/>
        <w:rPr>
          <w:rFonts w:asciiTheme="majorBidi" w:hAnsiTheme="majorBidi" w:cstheme="majorBidi"/>
          <w:iCs/>
        </w:rPr>
      </w:pPr>
      <w:r>
        <w:rPr>
          <w:rFonts w:asciiTheme="majorBidi" w:hAnsiTheme="majorBidi" w:cstheme="majorBidi"/>
          <w:iCs/>
        </w:rPr>
        <w:t xml:space="preserve">Valdījums ir civiltiesisks termins, kas </w:t>
      </w:r>
      <w:r w:rsidRPr="00775CA2">
        <w:rPr>
          <w:rFonts w:asciiTheme="majorBidi" w:hAnsiTheme="majorBidi" w:cstheme="majorBidi"/>
          <w:iCs/>
        </w:rPr>
        <w:t>tiek lietots vairākās nozīmē</w:t>
      </w:r>
      <w:r>
        <w:rPr>
          <w:rFonts w:asciiTheme="majorBidi" w:hAnsiTheme="majorBidi" w:cstheme="majorBidi"/>
          <w:iCs/>
        </w:rPr>
        <w:t>s</w:t>
      </w:r>
      <w:r w:rsidRPr="00775CA2">
        <w:rPr>
          <w:rFonts w:asciiTheme="majorBidi" w:hAnsiTheme="majorBidi" w:cstheme="majorBidi"/>
          <w:iCs/>
        </w:rPr>
        <w:t>:</w:t>
      </w:r>
    </w:p>
    <w:p w14:paraId="2666B1D3" w14:textId="77777777" w:rsidR="006A2BA1" w:rsidRDefault="0013536B" w:rsidP="00EE7E71">
      <w:pPr>
        <w:suppressAutoHyphens w:val="0"/>
        <w:spacing w:line="276" w:lineRule="auto"/>
        <w:ind w:firstLine="720"/>
        <w:jc w:val="both"/>
      </w:pPr>
      <w:r>
        <w:rPr>
          <w:rFonts w:asciiTheme="majorBidi" w:hAnsiTheme="majorBidi" w:cstheme="majorBidi"/>
        </w:rPr>
        <w:t>1) </w:t>
      </w:r>
      <w:r w:rsidR="00280784" w:rsidRPr="006A2BA1">
        <w:t>valdījums kā īpašuma tiesību elements (Civillikuma 927. pants);</w:t>
      </w:r>
    </w:p>
    <w:p w14:paraId="5DB0DADA" w14:textId="77777777" w:rsidR="006A2BA1" w:rsidRDefault="0013536B" w:rsidP="00EE7E71">
      <w:pPr>
        <w:suppressAutoHyphens w:val="0"/>
        <w:spacing w:line="276" w:lineRule="auto"/>
        <w:ind w:firstLine="720"/>
        <w:jc w:val="both"/>
      </w:pPr>
      <w:r w:rsidRPr="006A2BA1">
        <w:t>2) </w:t>
      </w:r>
      <w:r w:rsidR="00280784" w:rsidRPr="006A2BA1">
        <w:t>valdījums kā faktiskā vara pār lietu neatkarīgi no tiesību esības, proti, ja ķermeniska lieta faktiski atrodas kādas personas pilnīgā varā un šī persona izrāda gribu rīkoties ar to līdzīgi īpašniekam (Civillikuma 875. pants un 876. panta pirmā daļa)</w:t>
      </w:r>
      <w:r w:rsidR="003E433F" w:rsidRPr="006A2BA1">
        <w:t xml:space="preserve"> –</w:t>
      </w:r>
      <w:r w:rsidR="00280784" w:rsidRPr="006A2BA1">
        <w:t xml:space="preserve"> šāds </w:t>
      </w:r>
      <w:r w:rsidR="00280784" w:rsidRPr="006A2BA1">
        <w:lastRenderedPageBreak/>
        <w:t>valdījums var būt gan tiesisks, gan prettiesisks (Civillikuma 909. pants);</w:t>
      </w:r>
    </w:p>
    <w:p w14:paraId="5DB5B238" w14:textId="761D50C7" w:rsidR="00280784" w:rsidRDefault="0013536B" w:rsidP="00EE7E71">
      <w:pPr>
        <w:suppressAutoHyphens w:val="0"/>
        <w:spacing w:line="276" w:lineRule="auto"/>
        <w:ind w:firstLine="720"/>
        <w:jc w:val="both"/>
      </w:pPr>
      <w:r w:rsidRPr="006A2BA1">
        <w:t>3) </w:t>
      </w:r>
      <w:r w:rsidR="00280784" w:rsidRPr="006A2BA1">
        <w:t>turējums jeb faktiskais valdījums, proti, ja persona, kuras varā lieta faktiski atrodas, atzīst</w:t>
      </w:r>
      <w:r w:rsidR="00280784" w:rsidRPr="00F96B33">
        <w:rPr>
          <w:rFonts w:asciiTheme="majorBidi" w:hAnsiTheme="majorBidi" w:cstheme="majorBidi"/>
          <w:iCs/>
        </w:rPr>
        <w:t xml:space="preserve"> par tās īpašnieku kādu citu (Civillikuma 876. panta otrā daļa), piemēram, </w:t>
      </w:r>
      <w:r w:rsidR="00280784" w:rsidRPr="00775CA2">
        <w:t>patapinājuma ņēmējs, glabātājs</w:t>
      </w:r>
      <w:r w:rsidR="00280784">
        <w:t xml:space="preserve">, </w:t>
      </w:r>
      <w:r w:rsidR="00280784" w:rsidRPr="00775CA2">
        <w:t>īrnieks, nomnieks</w:t>
      </w:r>
      <w:r w:rsidR="00280784">
        <w:t xml:space="preserve"> u. tml.</w:t>
      </w:r>
    </w:p>
    <w:p w14:paraId="283D9C50" w14:textId="04EC888E" w:rsidR="005F3B46" w:rsidRDefault="00280784" w:rsidP="00EE7E71">
      <w:pPr>
        <w:suppressAutoHyphens w:val="0"/>
        <w:spacing w:line="276" w:lineRule="auto"/>
        <w:ind w:firstLine="720"/>
        <w:jc w:val="both"/>
      </w:pPr>
      <w:r>
        <w:t>Senāts norāda, ka uzg</w:t>
      </w:r>
      <w:r w:rsidRPr="009222DF">
        <w:t xml:space="preserve">labāšanai </w:t>
      </w:r>
      <w:r w:rsidR="00B17BEA">
        <w:t xml:space="preserve">pietiek </w:t>
      </w:r>
      <w:r w:rsidRPr="009222DF">
        <w:t xml:space="preserve">ar personas gribu </w:t>
      </w:r>
      <w:r>
        <w:t>saglabāt lietu (</w:t>
      </w:r>
      <w:r w:rsidRPr="009222DF">
        <w:t>priekšmetu</w:t>
      </w:r>
      <w:r>
        <w:t>)</w:t>
      </w:r>
      <w:r w:rsidRPr="009222DF">
        <w:t xml:space="preserve"> savā faktiskajā </w:t>
      </w:r>
      <w:r>
        <w:t xml:space="preserve">varā (kontrolē), turklāt </w:t>
      </w:r>
      <w:r w:rsidRPr="009222DF">
        <w:t xml:space="preserve">nav nepieciešams, lai </w:t>
      </w:r>
      <w:r w:rsidR="002B6BA2">
        <w:t>šai kontrolei būtu tiesisks pamats</w:t>
      </w:r>
      <w:r>
        <w:t xml:space="preserve"> (</w:t>
      </w:r>
      <w:r w:rsidR="002B6BA2">
        <w:t>piemēram, darījums</w:t>
      </w:r>
      <w:r>
        <w:t>, administratīv</w:t>
      </w:r>
      <w:r w:rsidR="002B6BA2">
        <w:t>s</w:t>
      </w:r>
      <w:r>
        <w:t xml:space="preserve"> akt</w:t>
      </w:r>
      <w:r w:rsidR="002B6BA2">
        <w:t>s</w:t>
      </w:r>
      <w:r>
        <w:t xml:space="preserve"> u. </w:t>
      </w:r>
      <w:r w:rsidR="002B6BA2">
        <w:t>c.</w:t>
      </w:r>
      <w:r>
        <w:t>) vai grib</w:t>
      </w:r>
      <w:r w:rsidR="002B6BA2">
        <w:t>a</w:t>
      </w:r>
      <w:r>
        <w:t xml:space="preserve"> rīkoties ar to kā īpašniekam</w:t>
      </w:r>
      <w:r w:rsidRPr="009222DF">
        <w:t>.</w:t>
      </w:r>
      <w:r>
        <w:t xml:space="preserve"> Piemēram, p</w:t>
      </w:r>
      <w:r w:rsidRPr="00EA19BD">
        <w:t xml:space="preserve">ar </w:t>
      </w:r>
      <w:r w:rsidR="005F3B46">
        <w:t>uz</w:t>
      </w:r>
      <w:r w:rsidRPr="00EA19BD">
        <w:t>glabātāju var tikt atzī</w:t>
      </w:r>
      <w:r>
        <w:t>ts zādzības izdarītājs</w:t>
      </w:r>
      <w:r w:rsidRPr="00EA19BD">
        <w:t>, k</w:t>
      </w:r>
      <w:r>
        <w:t>urš</w:t>
      </w:r>
      <w:r w:rsidRPr="00EA19BD">
        <w:t xml:space="preserve"> </w:t>
      </w:r>
      <w:r>
        <w:t>nozagto priekšmetu patur</w:t>
      </w:r>
      <w:r w:rsidRPr="00EA19BD">
        <w:t xml:space="preserve"> savā rīcībā (</w:t>
      </w:r>
      <w:r>
        <w:t xml:space="preserve">atbilst </w:t>
      </w:r>
      <w:r w:rsidRPr="00EA19BD">
        <w:t>prettiesisk</w:t>
      </w:r>
      <w:r>
        <w:t>am</w:t>
      </w:r>
      <w:r w:rsidRPr="00EA19BD">
        <w:t xml:space="preserve"> valdījum</w:t>
      </w:r>
      <w:r>
        <w:t>am</w:t>
      </w:r>
      <w:r w:rsidRPr="00EA19BD">
        <w:t>)</w:t>
      </w:r>
      <w:r>
        <w:t xml:space="preserve">, vai persona, kura </w:t>
      </w:r>
      <w:r w:rsidR="005F3B46">
        <w:t>uz</w:t>
      </w:r>
      <w:r>
        <w:t>glabā priekšmetu citas personas – arī īpašnieka – interesēs (atbilst faktiskajam valdījumam).</w:t>
      </w:r>
    </w:p>
    <w:p w14:paraId="36C84637" w14:textId="091D9269" w:rsidR="00280784" w:rsidRDefault="00280784" w:rsidP="00EE7E71">
      <w:pPr>
        <w:suppressAutoHyphens w:val="0"/>
        <w:spacing w:line="276" w:lineRule="auto"/>
        <w:ind w:firstLine="720"/>
        <w:jc w:val="both"/>
      </w:pPr>
      <w:r>
        <w:t xml:space="preserve">Uzglabāšanai </w:t>
      </w:r>
      <w:r w:rsidRPr="00803C8B">
        <w:t xml:space="preserve">nav nepieciešama </w:t>
      </w:r>
      <w:r>
        <w:t xml:space="preserve">nedz </w:t>
      </w:r>
      <w:r w:rsidRPr="00803C8B">
        <w:t>tieša fiziska saskare ar priekšmet</w:t>
      </w:r>
      <w:r>
        <w:t>u</w:t>
      </w:r>
      <w:r w:rsidRPr="00803C8B">
        <w:t xml:space="preserve"> </w:t>
      </w:r>
      <w:r>
        <w:t>(turēšana</w:t>
      </w:r>
      <w:r w:rsidRPr="00803C8B">
        <w:t xml:space="preserve"> rokās</w:t>
      </w:r>
      <w:r>
        <w:t>), nedz klātbūtne</w:t>
      </w:r>
      <w:r w:rsidRPr="0029357D">
        <w:t xml:space="preserve"> </w:t>
      </w:r>
      <w:r w:rsidR="005F3B46">
        <w:t>uz</w:t>
      </w:r>
      <w:r w:rsidRPr="0029357D">
        <w:t>glabāšanas vietā</w:t>
      </w:r>
      <w:r>
        <w:t xml:space="preserve">. Turklāt </w:t>
      </w:r>
      <w:r w:rsidR="005F3B46">
        <w:t>uz</w:t>
      </w:r>
      <w:r>
        <w:t xml:space="preserve">glabāšanu </w:t>
      </w:r>
      <w:r w:rsidRPr="0029357D">
        <w:t>iespējams realizēt</w:t>
      </w:r>
      <w:r w:rsidRPr="0029357D">
        <w:rPr>
          <w:b/>
          <w:bCs/>
        </w:rPr>
        <w:t xml:space="preserve"> </w:t>
      </w:r>
      <w:r w:rsidRPr="0029357D">
        <w:t>ar citu personu starpniecību</w:t>
      </w:r>
      <w:r>
        <w:t xml:space="preserve"> (sk.</w:t>
      </w:r>
      <w:r w:rsidR="00A86FEC">
        <w:t> </w:t>
      </w:r>
      <w:r>
        <w:t xml:space="preserve">arī </w:t>
      </w:r>
      <w:r w:rsidRPr="00BF5451">
        <w:rPr>
          <w:i/>
          <w:iCs/>
        </w:rPr>
        <w:t xml:space="preserve">Senāta 2026. gada 30. janvāra lēmuma lietā SKK-22/2026, </w:t>
      </w:r>
      <w:hyperlink r:id="rId9" w:history="1">
        <w:r w:rsidR="005F3B46" w:rsidRPr="005F3B46">
          <w:rPr>
            <w:rFonts w:eastAsia="Times New Roman" w:cs="Times New Roman"/>
            <w:bCs/>
            <w:i/>
            <w:iCs/>
            <w:color w:val="0563C1"/>
            <w:kern w:val="0"/>
            <w:u w:val="single"/>
            <w:lang w:eastAsia="en-US" w:bidi="ar-SA"/>
          </w:rPr>
          <w:t>ECLI:LV:AT:2026:0130.11816012915.13.L</w:t>
        </w:r>
      </w:hyperlink>
      <w:r w:rsidRPr="00BF5451">
        <w:rPr>
          <w:i/>
          <w:iCs/>
        </w:rPr>
        <w:t>, 6.1.</w:t>
      </w:r>
      <w:r w:rsidR="005629EE">
        <w:rPr>
          <w:i/>
          <w:iCs/>
        </w:rPr>
        <w:t> </w:t>
      </w:r>
      <w:r w:rsidRPr="00BF5451">
        <w:rPr>
          <w:i/>
          <w:iCs/>
        </w:rPr>
        <w:t>punktu</w:t>
      </w:r>
      <w:r>
        <w:t>).</w:t>
      </w:r>
    </w:p>
    <w:p w14:paraId="6BC3099D" w14:textId="133016FE" w:rsidR="00741833" w:rsidRDefault="002269D1" w:rsidP="00EE7E71">
      <w:pPr>
        <w:suppressAutoHyphens w:val="0"/>
        <w:spacing w:line="276" w:lineRule="auto"/>
        <w:ind w:firstLine="720"/>
        <w:jc w:val="both"/>
      </w:pPr>
      <w:r>
        <w:t>Izskatāmajā lietā t</w:t>
      </w:r>
      <w:r w:rsidR="00741833">
        <w:t xml:space="preserve">iesa </w:t>
      </w:r>
      <w:r w:rsidR="00C94989">
        <w:t>konstatējusi</w:t>
      </w:r>
      <w:r w:rsidR="00741833">
        <w:t xml:space="preserve">, ka </w:t>
      </w:r>
      <w:r w:rsidR="006078D4" w:rsidRPr="00741833">
        <w:rPr>
          <w:rFonts w:asciiTheme="majorBidi" w:hAnsiTheme="majorBidi" w:cstheme="majorBidi"/>
        </w:rPr>
        <w:t xml:space="preserve">apsūdzētais </w:t>
      </w:r>
      <w:r w:rsidR="005629EE">
        <w:rPr>
          <w:rFonts w:asciiTheme="majorBidi" w:hAnsiTheme="majorBidi" w:cstheme="majorBidi"/>
        </w:rPr>
        <w:t xml:space="preserve">uzņēmumā </w:t>
      </w:r>
      <w:r w:rsidR="006078D4" w:rsidRPr="00741833">
        <w:rPr>
          <w:rFonts w:asciiTheme="majorBidi" w:hAnsiTheme="majorBidi" w:cstheme="majorBidi"/>
        </w:rPr>
        <w:t>bija atbildīgs par degvielas iegādi, glabāšanu, norakstīšanu un izlietojumu</w:t>
      </w:r>
      <w:r w:rsidR="006E0532">
        <w:rPr>
          <w:rFonts w:asciiTheme="majorBidi" w:hAnsiTheme="majorBidi" w:cstheme="majorBidi"/>
        </w:rPr>
        <w:t>,</w:t>
      </w:r>
      <w:r w:rsidR="00C73332">
        <w:rPr>
          <w:rFonts w:asciiTheme="majorBidi" w:hAnsiTheme="majorBidi" w:cstheme="majorBidi"/>
        </w:rPr>
        <w:t xml:space="preserve"> un šīs funkcijas</w:t>
      </w:r>
      <w:r w:rsidR="006E0532">
        <w:rPr>
          <w:rFonts w:asciiTheme="majorBidi" w:hAnsiTheme="majorBidi" w:cstheme="majorBidi"/>
        </w:rPr>
        <w:t xml:space="preserve"> viņš</w:t>
      </w:r>
      <w:r w:rsidR="00C73332">
        <w:rPr>
          <w:rFonts w:asciiTheme="majorBidi" w:hAnsiTheme="majorBidi" w:cstheme="majorBidi"/>
        </w:rPr>
        <w:t xml:space="preserve"> realizēja </w:t>
      </w:r>
      <w:r>
        <w:rPr>
          <w:rFonts w:asciiTheme="majorBidi" w:hAnsiTheme="majorBidi" w:cstheme="majorBidi"/>
        </w:rPr>
        <w:t xml:space="preserve">arī </w:t>
      </w:r>
      <w:r w:rsidR="00C73332">
        <w:rPr>
          <w:rFonts w:asciiTheme="majorBidi" w:hAnsiTheme="majorBidi" w:cstheme="majorBidi"/>
        </w:rPr>
        <w:t>faktiski.</w:t>
      </w:r>
    </w:p>
    <w:p w14:paraId="02747D77" w14:textId="181CEDB6" w:rsidR="00424279" w:rsidRPr="00424279" w:rsidRDefault="00454EC6" w:rsidP="00EE7E71">
      <w:pPr>
        <w:suppressAutoHyphens w:val="0"/>
        <w:spacing w:line="276" w:lineRule="auto"/>
        <w:ind w:firstLine="720"/>
        <w:jc w:val="both"/>
      </w:pPr>
      <w:r>
        <w:t xml:space="preserve">Ievērojot minēto, apelācijas instances tiesa ir konstatējusi </w:t>
      </w:r>
      <w:r w:rsidR="00424279" w:rsidRPr="007C2A24">
        <w:t>apsūdzētā faktisko varu pār nel</w:t>
      </w:r>
      <w:r w:rsidR="00C94989">
        <w:t>ikumīgi uzglabāto</w:t>
      </w:r>
      <w:r w:rsidR="00424279" w:rsidRPr="007C2A24">
        <w:t xml:space="preserve"> dīzeļdegvielu un gribu šo varu īstenot.</w:t>
      </w:r>
    </w:p>
    <w:bookmarkEnd w:id="19"/>
    <w:p w14:paraId="3C7A2801" w14:textId="77777777" w:rsidR="00B50556" w:rsidRDefault="00B50556" w:rsidP="00EE7E71">
      <w:pPr>
        <w:suppressAutoHyphens w:val="0"/>
        <w:spacing w:line="276" w:lineRule="auto"/>
        <w:ind w:firstLine="720"/>
        <w:jc w:val="both"/>
      </w:pPr>
    </w:p>
    <w:p w14:paraId="182F6033" w14:textId="12F42D4A" w:rsidR="00C66CD6" w:rsidRPr="001A7813" w:rsidRDefault="00C66CD6" w:rsidP="00EE7E71">
      <w:pPr>
        <w:suppressAutoHyphens w:val="0"/>
        <w:spacing w:line="276" w:lineRule="auto"/>
        <w:jc w:val="center"/>
        <w:rPr>
          <w:b/>
        </w:rPr>
      </w:pPr>
      <w:r w:rsidRPr="001A7813">
        <w:rPr>
          <w:b/>
        </w:rPr>
        <w:t>II</w:t>
      </w:r>
    </w:p>
    <w:p w14:paraId="7D89367F" w14:textId="77777777" w:rsidR="00D24D81" w:rsidRDefault="00243D7B" w:rsidP="00EE7E71">
      <w:pPr>
        <w:suppressAutoHyphens w:val="0"/>
        <w:spacing w:line="276" w:lineRule="auto"/>
        <w:jc w:val="center"/>
        <w:rPr>
          <w:rFonts w:asciiTheme="majorBidi" w:hAnsiTheme="majorBidi" w:cstheme="majorBidi"/>
          <w:i/>
          <w:iCs/>
        </w:rPr>
      </w:pPr>
      <w:r w:rsidRPr="00243D7B">
        <w:rPr>
          <w:rFonts w:asciiTheme="majorBidi" w:hAnsiTheme="majorBidi" w:cstheme="majorBidi"/>
          <w:i/>
          <w:iCs/>
        </w:rPr>
        <w:t xml:space="preserve">Par </w:t>
      </w:r>
      <w:r w:rsidR="00975E41">
        <w:rPr>
          <w:rFonts w:asciiTheme="majorBidi" w:hAnsiTheme="majorBidi" w:cstheme="majorBidi"/>
          <w:i/>
          <w:iCs/>
        </w:rPr>
        <w:t xml:space="preserve">nelikumīgi </w:t>
      </w:r>
      <w:r w:rsidR="00C66CD6">
        <w:rPr>
          <w:rFonts w:asciiTheme="majorBidi" w:hAnsiTheme="majorBidi" w:cstheme="majorBidi"/>
          <w:i/>
          <w:iCs/>
        </w:rPr>
        <w:t>uz</w:t>
      </w:r>
      <w:r w:rsidRPr="00243D7B">
        <w:rPr>
          <w:rFonts w:asciiTheme="majorBidi" w:hAnsiTheme="majorBidi" w:cstheme="majorBidi"/>
          <w:i/>
          <w:iCs/>
        </w:rPr>
        <w:t>glabāt</w:t>
      </w:r>
      <w:r w:rsidR="00975E41">
        <w:rPr>
          <w:rFonts w:asciiTheme="majorBidi" w:hAnsiTheme="majorBidi" w:cstheme="majorBidi"/>
          <w:i/>
          <w:iCs/>
        </w:rPr>
        <w:t>o</w:t>
      </w:r>
      <w:r w:rsidR="000647D8">
        <w:rPr>
          <w:rFonts w:asciiTheme="majorBidi" w:hAnsiTheme="majorBidi" w:cstheme="majorBidi"/>
          <w:i/>
          <w:iCs/>
        </w:rPr>
        <w:t xml:space="preserve"> </w:t>
      </w:r>
      <w:r w:rsidR="00975E41">
        <w:rPr>
          <w:rFonts w:asciiTheme="majorBidi" w:hAnsiTheme="majorBidi" w:cstheme="majorBidi"/>
          <w:i/>
          <w:iCs/>
        </w:rPr>
        <w:t xml:space="preserve">naftas produktu </w:t>
      </w:r>
      <w:r w:rsidRPr="00243D7B">
        <w:rPr>
          <w:rFonts w:asciiTheme="majorBidi" w:hAnsiTheme="majorBidi" w:cstheme="majorBidi"/>
          <w:i/>
          <w:iCs/>
        </w:rPr>
        <w:t>daudzumu</w:t>
      </w:r>
      <w:r w:rsidR="005802D5">
        <w:rPr>
          <w:rFonts w:asciiTheme="majorBidi" w:hAnsiTheme="majorBidi" w:cstheme="majorBidi"/>
          <w:i/>
          <w:iCs/>
        </w:rPr>
        <w:t xml:space="preserve"> </w:t>
      </w:r>
    </w:p>
    <w:p w14:paraId="262AD60B" w14:textId="455A59AE" w:rsidR="00243D7B" w:rsidRPr="00243D7B" w:rsidRDefault="005802D5" w:rsidP="00EE7E71">
      <w:pPr>
        <w:suppressAutoHyphens w:val="0"/>
        <w:spacing w:line="276" w:lineRule="auto"/>
        <w:jc w:val="center"/>
        <w:rPr>
          <w:rFonts w:asciiTheme="majorBidi" w:hAnsiTheme="majorBidi" w:cstheme="majorBidi"/>
          <w:i/>
          <w:iCs/>
        </w:rPr>
      </w:pPr>
      <w:r w:rsidRPr="005802D5">
        <w:rPr>
          <w:i/>
          <w:iCs/>
          <w:lang w:eastAsia="zh-CN"/>
        </w:rPr>
        <w:t>(</w:t>
      </w:r>
      <w:r w:rsidRPr="005802D5">
        <w:rPr>
          <w:rFonts w:asciiTheme="majorBidi" w:hAnsiTheme="majorBidi" w:cstheme="majorBidi"/>
          <w:i/>
          <w:iCs/>
        </w:rPr>
        <w:t>Krimināllikuma 220</w:t>
      </w:r>
      <w:r w:rsidR="002B6BA2">
        <w:rPr>
          <w:rFonts w:asciiTheme="majorBidi" w:hAnsiTheme="majorBidi" w:cstheme="majorBidi"/>
          <w:i/>
          <w:iCs/>
        </w:rPr>
        <w:t>.</w:t>
      </w:r>
      <w:r w:rsidRPr="005802D5">
        <w:rPr>
          <w:rFonts w:asciiTheme="majorBidi" w:hAnsiTheme="majorBidi" w:cstheme="majorBidi"/>
          <w:i/>
          <w:iCs/>
          <w:vertAlign w:val="superscript"/>
        </w:rPr>
        <w:t>1</w:t>
      </w:r>
      <w:r w:rsidRPr="005802D5">
        <w:rPr>
          <w:rFonts w:asciiTheme="majorBidi" w:hAnsiTheme="majorBidi" w:cstheme="majorBidi"/>
          <w:i/>
          <w:iCs/>
        </w:rPr>
        <w:t> panta otrā daļa)</w:t>
      </w:r>
      <w:r w:rsidR="00EA5D91">
        <w:rPr>
          <w:rFonts w:asciiTheme="majorBidi" w:hAnsiTheme="majorBidi" w:cstheme="majorBidi"/>
          <w:i/>
          <w:iCs/>
        </w:rPr>
        <w:br/>
      </w:r>
    </w:p>
    <w:p w14:paraId="5335ED16" w14:textId="35BEF9C4" w:rsidR="00AE2124" w:rsidRDefault="00C66CD6" w:rsidP="00EE7E71">
      <w:pPr>
        <w:suppressAutoHyphens w:val="0"/>
        <w:spacing w:line="276" w:lineRule="auto"/>
        <w:ind w:firstLine="720"/>
        <w:jc w:val="both"/>
        <w:rPr>
          <w:rFonts w:asciiTheme="majorBidi" w:hAnsiTheme="majorBidi" w:cstheme="majorBidi"/>
        </w:rPr>
      </w:pPr>
      <w:bookmarkStart w:id="20" w:name="_Hlk216626378"/>
      <w:bookmarkStart w:id="21" w:name="_Hlk216086362"/>
      <w:r w:rsidRPr="009F1437">
        <w:rPr>
          <w:rFonts w:asciiTheme="majorBidi" w:hAnsiTheme="majorBidi"/>
        </w:rPr>
        <w:t>[9]</w:t>
      </w:r>
      <w:r w:rsidR="00975E41" w:rsidRPr="009F1437">
        <w:rPr>
          <w:rFonts w:asciiTheme="majorBidi" w:hAnsiTheme="majorBidi" w:cstheme="majorBidi"/>
        </w:rPr>
        <w:t> </w:t>
      </w:r>
      <w:r w:rsidRPr="009F1437">
        <w:rPr>
          <w:rFonts w:asciiTheme="majorBidi" w:hAnsiTheme="majorBidi"/>
        </w:rPr>
        <w:t>Senāts</w:t>
      </w:r>
      <w:r w:rsidR="00AE2124" w:rsidRPr="009F1437">
        <w:rPr>
          <w:rFonts w:asciiTheme="majorBidi" w:hAnsiTheme="majorBidi"/>
        </w:rPr>
        <w:t xml:space="preserve">, pārbaudot pārsūdzēto spriedumu daļā par angārā </w:t>
      </w:r>
      <w:r w:rsidR="009F1437">
        <w:rPr>
          <w:rFonts w:asciiTheme="majorBidi" w:hAnsiTheme="majorBidi"/>
        </w:rPr>
        <w:t>izņemtā</w:t>
      </w:r>
      <w:r w:rsidR="00AE2124" w:rsidRPr="009F1437">
        <w:rPr>
          <w:rFonts w:asciiTheme="majorBidi" w:hAnsiTheme="majorBidi"/>
        </w:rPr>
        <w:t xml:space="preserve"> šķidruma daudzumu, procesuālo tiesību normu pārkāpumus</w:t>
      </w:r>
      <w:r w:rsidR="0045058D">
        <w:rPr>
          <w:rFonts w:asciiTheme="majorBidi" w:hAnsiTheme="majorBidi"/>
        </w:rPr>
        <w:t xml:space="preserve"> nekonstatē</w:t>
      </w:r>
      <w:r w:rsidR="00460D5B" w:rsidRPr="009F1437">
        <w:rPr>
          <w:rFonts w:asciiTheme="majorBidi" w:hAnsiTheme="majorBidi" w:cstheme="majorBidi"/>
        </w:rPr>
        <w:t>.</w:t>
      </w:r>
    </w:p>
    <w:p w14:paraId="2BBCFC3A" w14:textId="0824765A" w:rsidR="006D4DB1" w:rsidRPr="00F51F23" w:rsidRDefault="00AE2124" w:rsidP="00EE7E71">
      <w:pPr>
        <w:suppressAutoHyphens w:val="0"/>
        <w:spacing w:line="276" w:lineRule="auto"/>
        <w:ind w:firstLine="720"/>
        <w:jc w:val="both"/>
        <w:rPr>
          <w:rFonts w:asciiTheme="majorBidi" w:hAnsiTheme="majorBidi" w:cstheme="majorBidi"/>
        </w:rPr>
      </w:pPr>
      <w:r w:rsidRPr="00F51F23">
        <w:rPr>
          <w:rFonts w:asciiTheme="majorBidi" w:hAnsiTheme="majorBidi" w:cstheme="majorBidi"/>
        </w:rPr>
        <w:t>[9.1]</w:t>
      </w:r>
      <w:r w:rsidR="00975E41" w:rsidRPr="00F51F23">
        <w:rPr>
          <w:rFonts w:asciiTheme="majorBidi" w:hAnsiTheme="majorBidi" w:cstheme="majorBidi"/>
        </w:rPr>
        <w:t> </w:t>
      </w:r>
      <w:r w:rsidR="0045058D">
        <w:rPr>
          <w:rFonts w:asciiTheme="majorBidi" w:hAnsiTheme="majorBidi" w:cstheme="majorBidi"/>
        </w:rPr>
        <w:t>Tiesa konstatējusi, ka saskaņā ar</w:t>
      </w:r>
      <w:r w:rsidR="00EA5D91" w:rsidRPr="00F51F23">
        <w:rPr>
          <w:rFonts w:asciiTheme="majorBidi" w:hAnsiTheme="majorBidi" w:cstheme="majorBidi"/>
        </w:rPr>
        <w:t xml:space="preserve"> 2013.</w:t>
      </w:r>
      <w:r w:rsidR="00975E41" w:rsidRPr="00F51F23">
        <w:rPr>
          <w:rFonts w:asciiTheme="majorBidi" w:hAnsiTheme="majorBidi" w:cstheme="majorBidi"/>
        </w:rPr>
        <w:t> </w:t>
      </w:r>
      <w:r w:rsidR="00EA5D91" w:rsidRPr="00F51F23">
        <w:rPr>
          <w:rFonts w:asciiTheme="majorBidi" w:hAnsiTheme="majorBidi" w:cstheme="majorBidi"/>
        </w:rPr>
        <w:t>gada 8.</w:t>
      </w:r>
      <w:r w:rsidR="00975E41" w:rsidRPr="00F51F23">
        <w:rPr>
          <w:rFonts w:asciiTheme="majorBidi" w:hAnsiTheme="majorBidi" w:cstheme="majorBidi"/>
        </w:rPr>
        <w:t> </w:t>
      </w:r>
      <w:r w:rsidR="00EA5D91" w:rsidRPr="00F51F23">
        <w:rPr>
          <w:rFonts w:asciiTheme="majorBidi" w:hAnsiTheme="majorBidi" w:cstheme="majorBidi"/>
        </w:rPr>
        <w:t>maija apskates protokol</w:t>
      </w:r>
      <w:r w:rsidR="0045058D">
        <w:rPr>
          <w:rFonts w:asciiTheme="majorBidi" w:hAnsiTheme="majorBidi" w:cstheme="majorBidi"/>
        </w:rPr>
        <w:t>u</w:t>
      </w:r>
      <w:r w:rsidR="005903CF" w:rsidRPr="00F51F23">
        <w:rPr>
          <w:rFonts w:asciiTheme="majorBidi" w:hAnsiTheme="majorBidi" w:cstheme="majorBidi"/>
        </w:rPr>
        <w:t xml:space="preserve"> </w:t>
      </w:r>
      <w:r w:rsidR="00EA5D91" w:rsidRPr="00F51F23">
        <w:rPr>
          <w:rFonts w:asciiTheme="majorBidi" w:hAnsiTheme="majorBidi" w:cstheme="majorBidi"/>
        </w:rPr>
        <w:t>angārā</w:t>
      </w:r>
      <w:r w:rsidR="00F52E8D" w:rsidRPr="00F51F23">
        <w:rPr>
          <w:rFonts w:asciiTheme="majorBidi" w:hAnsiTheme="majorBidi" w:cstheme="majorBidi"/>
        </w:rPr>
        <w:t xml:space="preserve"> atradās</w:t>
      </w:r>
      <w:r w:rsidR="00EA5D91" w:rsidRPr="00F51F23">
        <w:rPr>
          <w:rFonts w:asciiTheme="majorBidi" w:hAnsiTheme="majorBidi" w:cstheme="majorBidi"/>
        </w:rPr>
        <w:t xml:space="preserve"> 14</w:t>
      </w:r>
      <w:r w:rsidR="0045058D">
        <w:rPr>
          <w:rFonts w:asciiTheme="majorBidi" w:hAnsiTheme="majorBidi" w:cstheme="majorBidi"/>
        </w:rPr>
        <w:t> </w:t>
      </w:r>
      <w:r w:rsidR="00EA5D91" w:rsidRPr="00F51F23">
        <w:rPr>
          <w:rFonts w:asciiTheme="majorBidi" w:hAnsiTheme="majorBidi" w:cstheme="majorBidi"/>
        </w:rPr>
        <w:t>tvertn</w:t>
      </w:r>
      <w:r w:rsidR="00F52E8D" w:rsidRPr="00F51F23">
        <w:rPr>
          <w:rFonts w:asciiTheme="majorBidi" w:hAnsiTheme="majorBidi" w:cstheme="majorBidi"/>
        </w:rPr>
        <w:t>es</w:t>
      </w:r>
      <w:r w:rsidR="00EA5D91" w:rsidRPr="00F51F23">
        <w:rPr>
          <w:rFonts w:asciiTheme="majorBidi" w:hAnsiTheme="majorBidi" w:cstheme="majorBidi"/>
        </w:rPr>
        <w:t xml:space="preserve"> </w:t>
      </w:r>
      <w:r w:rsidR="00F52E8D" w:rsidRPr="00F51F23">
        <w:rPr>
          <w:rFonts w:asciiTheme="majorBidi" w:hAnsiTheme="majorBidi" w:cstheme="majorBidi"/>
        </w:rPr>
        <w:t>ar</w:t>
      </w:r>
      <w:r w:rsidR="00F635DC" w:rsidRPr="00F51F23">
        <w:rPr>
          <w:rFonts w:asciiTheme="majorBidi" w:hAnsiTheme="majorBidi" w:cstheme="majorBidi"/>
        </w:rPr>
        <w:t xml:space="preserve"> </w:t>
      </w:r>
      <w:r w:rsidR="00EA5D91" w:rsidRPr="00F51F23">
        <w:rPr>
          <w:rFonts w:asciiTheme="majorBidi" w:hAnsiTheme="majorBidi" w:cstheme="majorBidi"/>
        </w:rPr>
        <w:t>šķidrum</w:t>
      </w:r>
      <w:r w:rsidR="00F52E8D" w:rsidRPr="00F51F23">
        <w:rPr>
          <w:rFonts w:asciiTheme="majorBidi" w:hAnsiTheme="majorBidi" w:cstheme="majorBidi"/>
        </w:rPr>
        <w:t>u</w:t>
      </w:r>
      <w:r w:rsidR="00577612">
        <w:rPr>
          <w:rFonts w:asciiTheme="majorBidi" w:hAnsiTheme="majorBidi" w:cstheme="majorBidi"/>
        </w:rPr>
        <w:t>:</w:t>
      </w:r>
      <w:r w:rsidR="0083241A">
        <w:rPr>
          <w:rFonts w:asciiTheme="majorBidi" w:hAnsiTheme="majorBidi" w:cstheme="majorBidi"/>
        </w:rPr>
        <w:t xml:space="preserve"> </w:t>
      </w:r>
      <w:r w:rsidR="00975E41" w:rsidRPr="00F51F23">
        <w:rPr>
          <w:rFonts w:asciiTheme="majorBidi" w:hAnsiTheme="majorBidi" w:cstheme="majorBidi"/>
        </w:rPr>
        <w:t xml:space="preserve">11 </w:t>
      </w:r>
      <w:r w:rsidR="00EA5D91" w:rsidRPr="00F51F23">
        <w:rPr>
          <w:rFonts w:asciiTheme="majorBidi" w:hAnsiTheme="majorBidi" w:cstheme="majorBidi"/>
        </w:rPr>
        <w:t>tvertn</w:t>
      </w:r>
      <w:r w:rsidR="00577612">
        <w:rPr>
          <w:rFonts w:asciiTheme="majorBidi" w:hAnsiTheme="majorBidi" w:cstheme="majorBidi"/>
        </w:rPr>
        <w:t>ēs bija</w:t>
      </w:r>
      <w:r w:rsidR="00F52E8D" w:rsidRPr="00F51F23">
        <w:rPr>
          <w:rFonts w:asciiTheme="majorBidi" w:hAnsiTheme="majorBidi" w:cstheme="majorBidi"/>
        </w:rPr>
        <w:t xml:space="preserve"> </w:t>
      </w:r>
      <w:r w:rsidR="00EA5D91" w:rsidRPr="00F51F23">
        <w:rPr>
          <w:rFonts w:asciiTheme="majorBidi" w:hAnsiTheme="majorBidi" w:cstheme="majorBidi"/>
        </w:rPr>
        <w:t>ap</w:t>
      </w:r>
      <w:r w:rsidR="00F52E8D" w:rsidRPr="00F51F23">
        <w:rPr>
          <w:rFonts w:asciiTheme="majorBidi" w:hAnsiTheme="majorBidi" w:cstheme="majorBidi"/>
        </w:rPr>
        <w:t>mēram</w:t>
      </w:r>
      <w:r w:rsidR="00EA5D91" w:rsidRPr="00F51F23">
        <w:rPr>
          <w:rFonts w:asciiTheme="majorBidi" w:hAnsiTheme="majorBidi" w:cstheme="majorBidi"/>
        </w:rPr>
        <w:t xml:space="preserve"> 950 litri,</w:t>
      </w:r>
      <w:r w:rsidR="00BF0801" w:rsidRPr="00F51F23">
        <w:rPr>
          <w:rFonts w:asciiTheme="majorBidi" w:hAnsiTheme="majorBidi" w:cstheme="majorBidi"/>
        </w:rPr>
        <w:t xml:space="preserve"> </w:t>
      </w:r>
      <w:r w:rsidR="00975E41" w:rsidRPr="00F51F23">
        <w:rPr>
          <w:rFonts w:asciiTheme="majorBidi" w:hAnsiTheme="majorBidi" w:cstheme="majorBidi"/>
        </w:rPr>
        <w:t xml:space="preserve">1 </w:t>
      </w:r>
      <w:r w:rsidR="00EA5D91" w:rsidRPr="00F51F23">
        <w:rPr>
          <w:rFonts w:asciiTheme="majorBidi" w:hAnsiTheme="majorBidi" w:cstheme="majorBidi"/>
        </w:rPr>
        <w:t>tvertn</w:t>
      </w:r>
      <w:r w:rsidR="00577612">
        <w:rPr>
          <w:rFonts w:asciiTheme="majorBidi" w:hAnsiTheme="majorBidi" w:cstheme="majorBidi"/>
        </w:rPr>
        <w:t>ē –</w:t>
      </w:r>
      <w:r w:rsidR="00F52E8D" w:rsidRPr="00F51F23">
        <w:rPr>
          <w:rFonts w:asciiTheme="majorBidi" w:hAnsiTheme="majorBidi" w:cstheme="majorBidi"/>
        </w:rPr>
        <w:t xml:space="preserve"> apmēram </w:t>
      </w:r>
      <w:r w:rsidR="00EA5D91" w:rsidRPr="00F51F23">
        <w:rPr>
          <w:rFonts w:asciiTheme="majorBidi" w:hAnsiTheme="majorBidi" w:cstheme="majorBidi"/>
        </w:rPr>
        <w:t>750 litri,</w:t>
      </w:r>
      <w:r w:rsidR="00BF0801" w:rsidRPr="00F51F23">
        <w:rPr>
          <w:rFonts w:asciiTheme="majorBidi" w:hAnsiTheme="majorBidi" w:cstheme="majorBidi"/>
        </w:rPr>
        <w:t xml:space="preserve"> </w:t>
      </w:r>
      <w:r w:rsidR="00975E41" w:rsidRPr="00F51F23">
        <w:rPr>
          <w:rFonts w:asciiTheme="majorBidi" w:hAnsiTheme="majorBidi" w:cstheme="majorBidi"/>
        </w:rPr>
        <w:t>1</w:t>
      </w:r>
      <w:r w:rsidR="001A4F35">
        <w:rPr>
          <w:rFonts w:asciiTheme="majorBidi" w:hAnsiTheme="majorBidi" w:cstheme="majorBidi"/>
        </w:rPr>
        <w:t> </w:t>
      </w:r>
      <w:r w:rsidR="00F52E8D" w:rsidRPr="00F51F23">
        <w:rPr>
          <w:rFonts w:asciiTheme="majorBidi" w:hAnsiTheme="majorBidi" w:cstheme="majorBidi"/>
        </w:rPr>
        <w:t xml:space="preserve">– apmēram </w:t>
      </w:r>
      <w:r w:rsidR="00EA5D91" w:rsidRPr="00F51F23">
        <w:rPr>
          <w:rFonts w:asciiTheme="majorBidi" w:hAnsiTheme="majorBidi" w:cstheme="majorBidi"/>
        </w:rPr>
        <w:t>700 litri un</w:t>
      </w:r>
      <w:r w:rsidR="00BF0801" w:rsidRPr="00F51F23">
        <w:rPr>
          <w:rFonts w:asciiTheme="majorBidi" w:hAnsiTheme="majorBidi" w:cstheme="majorBidi"/>
        </w:rPr>
        <w:t xml:space="preserve"> </w:t>
      </w:r>
      <w:r w:rsidR="00975E41" w:rsidRPr="00F51F23">
        <w:rPr>
          <w:rFonts w:asciiTheme="majorBidi" w:hAnsiTheme="majorBidi" w:cstheme="majorBidi"/>
        </w:rPr>
        <w:t xml:space="preserve">1 </w:t>
      </w:r>
      <w:r w:rsidR="00F52E8D" w:rsidRPr="00F51F23">
        <w:rPr>
          <w:rFonts w:asciiTheme="majorBidi" w:hAnsiTheme="majorBidi" w:cstheme="majorBidi"/>
        </w:rPr>
        <w:t xml:space="preserve">– apmēram </w:t>
      </w:r>
      <w:r w:rsidR="00EA5D91" w:rsidRPr="00F51F23">
        <w:rPr>
          <w:rFonts w:asciiTheme="majorBidi" w:hAnsiTheme="majorBidi" w:cstheme="majorBidi"/>
        </w:rPr>
        <w:t>650 litri šķidruma</w:t>
      </w:r>
      <w:r w:rsidR="00F52E8D" w:rsidRPr="00F51F23">
        <w:rPr>
          <w:rFonts w:asciiTheme="majorBidi" w:hAnsiTheme="majorBidi" w:cstheme="majorBidi"/>
        </w:rPr>
        <w:t>.</w:t>
      </w:r>
    </w:p>
    <w:p w14:paraId="60BE0879" w14:textId="540D5F81" w:rsidR="00F51F23" w:rsidRDefault="00817D55" w:rsidP="00EE7E71">
      <w:pPr>
        <w:suppressAutoHyphens w:val="0"/>
        <w:spacing w:line="276" w:lineRule="auto"/>
        <w:ind w:firstLine="720"/>
        <w:jc w:val="both"/>
        <w:rPr>
          <w:rFonts w:asciiTheme="majorBidi" w:hAnsiTheme="majorBidi" w:cstheme="majorBidi"/>
        </w:rPr>
      </w:pPr>
      <w:r>
        <w:rPr>
          <w:rFonts w:asciiTheme="majorBidi" w:hAnsiTheme="majorBidi" w:cstheme="majorBidi"/>
        </w:rPr>
        <w:t>T</w:t>
      </w:r>
      <w:r w:rsidR="00F346C0" w:rsidRPr="00F346C0">
        <w:rPr>
          <w:rFonts w:asciiTheme="majorBidi" w:hAnsiTheme="majorBidi" w:cstheme="majorBidi"/>
        </w:rPr>
        <w:t>iesa</w:t>
      </w:r>
      <w:r>
        <w:rPr>
          <w:rFonts w:asciiTheme="majorBidi" w:hAnsiTheme="majorBidi" w:cstheme="majorBidi"/>
        </w:rPr>
        <w:t xml:space="preserve">, atzīstot </w:t>
      </w:r>
      <w:r w:rsidR="00D206F9">
        <w:rPr>
          <w:rFonts w:asciiTheme="majorBidi" w:hAnsiTheme="majorBidi" w:cstheme="majorBidi"/>
        </w:rPr>
        <w:t>par pieļaujamu</w:t>
      </w:r>
      <w:r w:rsidR="00F346C0" w:rsidRPr="00F346C0">
        <w:rPr>
          <w:rFonts w:asciiTheme="majorBidi" w:hAnsiTheme="majorBidi" w:cstheme="majorBidi"/>
        </w:rPr>
        <w:t xml:space="preserve"> </w:t>
      </w:r>
      <w:r w:rsidR="00AE2124">
        <w:rPr>
          <w:rFonts w:asciiTheme="majorBidi" w:hAnsiTheme="majorBidi" w:cstheme="majorBidi"/>
        </w:rPr>
        <w:t xml:space="preserve">šķidruma </w:t>
      </w:r>
      <w:r w:rsidR="00AB407B">
        <w:rPr>
          <w:rFonts w:asciiTheme="majorBidi" w:hAnsiTheme="majorBidi" w:cstheme="majorBidi"/>
        </w:rPr>
        <w:t>daudzumu</w:t>
      </w:r>
      <w:r w:rsidR="00F51F23">
        <w:rPr>
          <w:rFonts w:asciiTheme="majorBidi" w:hAnsiTheme="majorBidi" w:cstheme="majorBidi"/>
        </w:rPr>
        <w:t xml:space="preserve"> noteikt</w:t>
      </w:r>
      <w:r w:rsidR="00FE2E99">
        <w:rPr>
          <w:rFonts w:asciiTheme="majorBidi" w:hAnsiTheme="majorBidi" w:cstheme="majorBidi"/>
        </w:rPr>
        <w:t>,</w:t>
      </w:r>
      <w:r w:rsidR="00F27C73">
        <w:rPr>
          <w:rFonts w:asciiTheme="majorBidi" w:hAnsiTheme="majorBidi" w:cstheme="majorBidi"/>
        </w:rPr>
        <w:t xml:space="preserve"> to vizuāli novērtējot,</w:t>
      </w:r>
      <w:r w:rsidR="00FE2E99">
        <w:rPr>
          <w:rFonts w:asciiTheme="majorBidi" w:hAnsiTheme="majorBidi" w:cstheme="majorBidi"/>
        </w:rPr>
        <w:t xml:space="preserve"> </w:t>
      </w:r>
      <w:r>
        <w:rPr>
          <w:rFonts w:asciiTheme="majorBidi" w:hAnsiTheme="majorBidi" w:cstheme="majorBidi"/>
        </w:rPr>
        <w:t>norādījusi, ka</w:t>
      </w:r>
      <w:r w:rsidR="00FE2E99">
        <w:rPr>
          <w:rFonts w:asciiTheme="majorBidi" w:hAnsiTheme="majorBidi" w:cstheme="majorBidi"/>
        </w:rPr>
        <w:t>: 1)</w:t>
      </w:r>
      <w:r>
        <w:rPr>
          <w:rFonts w:asciiTheme="majorBidi" w:hAnsiTheme="majorBidi" w:cstheme="majorBidi"/>
        </w:rPr>
        <w:t> </w:t>
      </w:r>
      <w:r w:rsidR="00FE2E99">
        <w:rPr>
          <w:rFonts w:asciiTheme="majorBidi" w:hAnsiTheme="majorBidi" w:cstheme="majorBidi"/>
        </w:rPr>
        <w:t>t</w:t>
      </w:r>
      <w:r w:rsidR="00F346C0" w:rsidRPr="00F346C0">
        <w:rPr>
          <w:rFonts w:asciiTheme="majorBidi" w:hAnsiTheme="majorBidi" w:cstheme="majorBidi"/>
        </w:rPr>
        <w:t>vertņu nominālais tilpums bij</w:t>
      </w:r>
      <w:r w:rsidR="00AB407B">
        <w:rPr>
          <w:rFonts w:asciiTheme="majorBidi" w:hAnsiTheme="majorBidi" w:cstheme="majorBidi"/>
        </w:rPr>
        <w:t>a</w:t>
      </w:r>
      <w:r w:rsidR="00F346C0" w:rsidRPr="00F346C0">
        <w:rPr>
          <w:rFonts w:asciiTheme="majorBidi" w:hAnsiTheme="majorBidi" w:cstheme="majorBidi"/>
        </w:rPr>
        <w:t xml:space="preserve"> </w:t>
      </w:r>
      <w:r w:rsidR="00F346C0">
        <w:rPr>
          <w:rFonts w:asciiTheme="majorBidi" w:hAnsiTheme="majorBidi" w:cstheme="majorBidi"/>
        </w:rPr>
        <w:t xml:space="preserve">precīzi </w:t>
      </w:r>
      <w:r w:rsidR="00F346C0" w:rsidRPr="00F346C0">
        <w:rPr>
          <w:rFonts w:asciiTheme="majorBidi" w:hAnsiTheme="majorBidi" w:cstheme="majorBidi"/>
        </w:rPr>
        <w:t>zināms</w:t>
      </w:r>
      <w:r w:rsidR="00AE2124">
        <w:rPr>
          <w:rFonts w:asciiTheme="majorBidi" w:hAnsiTheme="majorBidi" w:cstheme="majorBidi"/>
        </w:rPr>
        <w:t>;</w:t>
      </w:r>
      <w:r w:rsidR="00F346C0" w:rsidRPr="00F346C0">
        <w:rPr>
          <w:rFonts w:asciiTheme="majorBidi" w:hAnsiTheme="majorBidi" w:cstheme="majorBidi"/>
        </w:rPr>
        <w:t xml:space="preserve"> </w:t>
      </w:r>
      <w:r w:rsidR="00FE2E99">
        <w:rPr>
          <w:rFonts w:asciiTheme="majorBidi" w:hAnsiTheme="majorBidi" w:cstheme="majorBidi"/>
        </w:rPr>
        <w:t>2)</w:t>
      </w:r>
      <w:r>
        <w:rPr>
          <w:rFonts w:asciiTheme="majorBidi" w:hAnsiTheme="majorBidi" w:cstheme="majorBidi"/>
        </w:rPr>
        <w:t> </w:t>
      </w:r>
      <w:r w:rsidR="00F346C0" w:rsidRPr="00F346C0">
        <w:rPr>
          <w:rFonts w:asciiTheme="majorBidi" w:hAnsiTheme="majorBidi" w:cstheme="majorBidi"/>
        </w:rPr>
        <w:t>tās bij</w:t>
      </w:r>
      <w:r w:rsidR="00AB407B">
        <w:rPr>
          <w:rFonts w:asciiTheme="majorBidi" w:hAnsiTheme="majorBidi" w:cstheme="majorBidi"/>
        </w:rPr>
        <w:t>a</w:t>
      </w:r>
      <w:r w:rsidR="00F346C0" w:rsidRPr="00F346C0">
        <w:rPr>
          <w:rFonts w:asciiTheme="majorBidi" w:hAnsiTheme="majorBidi" w:cstheme="majorBidi"/>
        </w:rPr>
        <w:t xml:space="preserve"> caurspīdīgas</w:t>
      </w:r>
      <w:r w:rsidR="00AE2124">
        <w:rPr>
          <w:rFonts w:asciiTheme="majorBidi" w:hAnsiTheme="majorBidi" w:cstheme="majorBidi"/>
        </w:rPr>
        <w:t>;</w:t>
      </w:r>
      <w:r w:rsidR="00F346C0" w:rsidRPr="00F346C0">
        <w:rPr>
          <w:rFonts w:asciiTheme="majorBidi" w:hAnsiTheme="majorBidi" w:cstheme="majorBidi"/>
        </w:rPr>
        <w:t xml:space="preserve"> </w:t>
      </w:r>
      <w:r w:rsidR="00BD5B98">
        <w:rPr>
          <w:rFonts w:asciiTheme="majorBidi" w:hAnsiTheme="majorBidi" w:cstheme="majorBidi"/>
        </w:rPr>
        <w:t>3)</w:t>
      </w:r>
      <w:r>
        <w:rPr>
          <w:rFonts w:asciiTheme="majorBidi" w:hAnsiTheme="majorBidi" w:cstheme="majorBidi"/>
        </w:rPr>
        <w:t> </w:t>
      </w:r>
      <w:r w:rsidR="00F346C0" w:rsidRPr="00F346C0">
        <w:rPr>
          <w:rFonts w:asciiTheme="majorBidi" w:hAnsiTheme="majorBidi" w:cstheme="majorBidi"/>
        </w:rPr>
        <w:t>šķidruma līmenis bij</w:t>
      </w:r>
      <w:r w:rsidR="00AB407B">
        <w:rPr>
          <w:rFonts w:asciiTheme="majorBidi" w:hAnsiTheme="majorBidi" w:cstheme="majorBidi"/>
        </w:rPr>
        <w:t>a</w:t>
      </w:r>
      <w:r w:rsidR="00F346C0" w:rsidRPr="00F346C0">
        <w:rPr>
          <w:rFonts w:asciiTheme="majorBidi" w:hAnsiTheme="majorBidi" w:cstheme="majorBidi"/>
        </w:rPr>
        <w:t xml:space="preserve"> </w:t>
      </w:r>
      <w:r w:rsidR="00BD5B98">
        <w:rPr>
          <w:rFonts w:asciiTheme="majorBidi" w:hAnsiTheme="majorBidi" w:cstheme="majorBidi"/>
        </w:rPr>
        <w:t>nolasāms</w:t>
      </w:r>
      <w:r w:rsidR="00E87AE0">
        <w:rPr>
          <w:rFonts w:asciiTheme="majorBidi" w:hAnsiTheme="majorBidi" w:cstheme="majorBidi"/>
        </w:rPr>
        <w:t xml:space="preserve"> pēc atzīmēm uz tvertnēm</w:t>
      </w:r>
      <w:r w:rsidR="00FE2E99">
        <w:rPr>
          <w:rFonts w:asciiTheme="majorBidi" w:hAnsiTheme="majorBidi" w:cstheme="majorBidi"/>
        </w:rPr>
        <w:t xml:space="preserve">; </w:t>
      </w:r>
      <w:r w:rsidR="00F51F23">
        <w:rPr>
          <w:rFonts w:asciiTheme="majorBidi" w:hAnsiTheme="majorBidi" w:cstheme="majorBidi"/>
        </w:rPr>
        <w:t>4</w:t>
      </w:r>
      <w:r w:rsidR="00BD5B98">
        <w:rPr>
          <w:rFonts w:asciiTheme="majorBidi" w:hAnsiTheme="majorBidi" w:cstheme="majorBidi"/>
        </w:rPr>
        <w:t>)</w:t>
      </w:r>
      <w:r>
        <w:rPr>
          <w:rFonts w:asciiTheme="majorBidi" w:hAnsiTheme="majorBidi" w:cstheme="majorBidi"/>
        </w:rPr>
        <w:t> </w:t>
      </w:r>
      <w:r w:rsidR="00BD5B98">
        <w:rPr>
          <w:rFonts w:asciiTheme="majorBidi" w:hAnsiTheme="majorBidi" w:cstheme="majorBidi"/>
        </w:rPr>
        <w:t>šķidruma daudzuma</w:t>
      </w:r>
      <w:r w:rsidR="00F346C0" w:rsidRPr="00F346C0">
        <w:rPr>
          <w:rFonts w:asciiTheme="majorBidi" w:hAnsiTheme="majorBidi" w:cstheme="majorBidi"/>
        </w:rPr>
        <w:t xml:space="preserve"> fiksāciju vei</w:t>
      </w:r>
      <w:r w:rsidR="00AB407B">
        <w:rPr>
          <w:rFonts w:asciiTheme="majorBidi" w:hAnsiTheme="majorBidi" w:cstheme="majorBidi"/>
        </w:rPr>
        <w:t>ca</w:t>
      </w:r>
      <w:r w:rsidR="00F346C0" w:rsidRPr="00F346C0">
        <w:rPr>
          <w:rFonts w:asciiTheme="majorBidi" w:hAnsiTheme="majorBidi" w:cstheme="majorBidi"/>
        </w:rPr>
        <w:t xml:space="preserve"> amatpersonas ar pieredzi līdzīgos gadījumos.</w:t>
      </w:r>
    </w:p>
    <w:p w14:paraId="4E14870C" w14:textId="6819121D" w:rsidR="00787DB6" w:rsidRDefault="00A00145"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No minētā </w:t>
      </w:r>
      <w:r w:rsidR="00F51F23">
        <w:rPr>
          <w:rFonts w:asciiTheme="majorBidi" w:hAnsiTheme="majorBidi" w:cstheme="majorBidi"/>
        </w:rPr>
        <w:t xml:space="preserve">Senāts </w:t>
      </w:r>
      <w:r>
        <w:rPr>
          <w:rFonts w:asciiTheme="majorBidi" w:hAnsiTheme="majorBidi" w:cstheme="majorBidi"/>
        </w:rPr>
        <w:t>secina</w:t>
      </w:r>
      <w:r w:rsidR="00577612">
        <w:rPr>
          <w:rFonts w:asciiTheme="majorBidi" w:hAnsiTheme="majorBidi" w:cstheme="majorBidi"/>
        </w:rPr>
        <w:t xml:space="preserve">, ka tiesa </w:t>
      </w:r>
      <w:r w:rsidR="00AB407B">
        <w:rPr>
          <w:rFonts w:asciiTheme="majorBidi" w:hAnsiTheme="majorBidi" w:cstheme="majorBidi"/>
        </w:rPr>
        <w:t xml:space="preserve">savu </w:t>
      </w:r>
      <w:r w:rsidR="00577612">
        <w:rPr>
          <w:rFonts w:asciiTheme="majorBidi" w:hAnsiTheme="majorBidi" w:cstheme="majorBidi"/>
        </w:rPr>
        <w:t xml:space="preserve">atzinumu </w:t>
      </w:r>
      <w:r w:rsidR="005E635E">
        <w:rPr>
          <w:rFonts w:asciiTheme="majorBidi" w:hAnsiTheme="majorBidi" w:cstheme="majorBidi"/>
        </w:rPr>
        <w:t>pamatojusi ar</w:t>
      </w:r>
      <w:r w:rsidR="00F51F23" w:rsidRPr="00F51F23">
        <w:rPr>
          <w:rFonts w:asciiTheme="majorBidi" w:hAnsiTheme="majorBidi" w:cstheme="majorBidi"/>
        </w:rPr>
        <w:t xml:space="preserve"> objektīvi</w:t>
      </w:r>
      <w:r w:rsidR="005E28EF">
        <w:rPr>
          <w:rFonts w:asciiTheme="majorBidi" w:hAnsiTheme="majorBidi" w:cstheme="majorBidi"/>
        </w:rPr>
        <w:t>em</w:t>
      </w:r>
      <w:r w:rsidR="00F51F23" w:rsidRPr="00F51F23">
        <w:rPr>
          <w:rFonts w:asciiTheme="majorBidi" w:hAnsiTheme="majorBidi" w:cstheme="majorBidi"/>
        </w:rPr>
        <w:t xml:space="preserve"> kritērij</w:t>
      </w:r>
      <w:r w:rsidR="0078258A">
        <w:rPr>
          <w:rFonts w:asciiTheme="majorBidi" w:hAnsiTheme="majorBidi" w:cstheme="majorBidi"/>
        </w:rPr>
        <w:t>iem</w:t>
      </w:r>
      <w:r w:rsidR="00F51F23" w:rsidRPr="00F51F23">
        <w:rPr>
          <w:rFonts w:asciiTheme="majorBidi" w:hAnsiTheme="majorBidi" w:cstheme="majorBidi"/>
        </w:rPr>
        <w:t xml:space="preserve"> un amatpersonu </w:t>
      </w:r>
      <w:r w:rsidR="00EF5B4D">
        <w:rPr>
          <w:rFonts w:asciiTheme="majorBidi" w:hAnsiTheme="majorBidi" w:cstheme="majorBidi"/>
        </w:rPr>
        <w:t xml:space="preserve">profesionālo </w:t>
      </w:r>
      <w:r w:rsidR="00F51F23" w:rsidRPr="00F51F23">
        <w:rPr>
          <w:rFonts w:asciiTheme="majorBidi" w:hAnsiTheme="majorBidi" w:cstheme="majorBidi"/>
        </w:rPr>
        <w:t>pieredz</w:t>
      </w:r>
      <w:r w:rsidR="0078258A">
        <w:rPr>
          <w:rFonts w:asciiTheme="majorBidi" w:hAnsiTheme="majorBidi" w:cstheme="majorBidi"/>
        </w:rPr>
        <w:t>i</w:t>
      </w:r>
      <w:r w:rsidR="00F51F23" w:rsidRPr="00F51F23">
        <w:rPr>
          <w:rFonts w:asciiTheme="majorBidi" w:hAnsiTheme="majorBidi" w:cstheme="majorBidi"/>
        </w:rPr>
        <w:t>.</w:t>
      </w:r>
      <w:r w:rsidR="00F63A55">
        <w:rPr>
          <w:rFonts w:asciiTheme="majorBidi" w:hAnsiTheme="majorBidi" w:cstheme="majorBidi"/>
        </w:rPr>
        <w:t xml:space="preserve"> Savukārt l</w:t>
      </w:r>
      <w:r w:rsidR="00787DB6" w:rsidRPr="00FE2E99">
        <w:rPr>
          <w:rFonts w:asciiTheme="majorBidi" w:hAnsiTheme="majorBidi" w:cstheme="majorBidi"/>
        </w:rPr>
        <w:t xml:space="preserve">iecinieka </w:t>
      </w:r>
      <w:r w:rsidR="00254AD9">
        <w:rPr>
          <w:rFonts w:asciiTheme="majorBidi" w:hAnsiTheme="majorBidi" w:cstheme="majorBidi"/>
        </w:rPr>
        <w:t>[pers. E]</w:t>
      </w:r>
      <w:r w:rsidR="00787DB6" w:rsidRPr="00FE2E99">
        <w:rPr>
          <w:rFonts w:asciiTheme="majorBidi" w:hAnsiTheme="majorBidi" w:cstheme="majorBidi"/>
        </w:rPr>
        <w:t xml:space="preserve"> liecības</w:t>
      </w:r>
      <w:r w:rsidR="00787DB6">
        <w:rPr>
          <w:rFonts w:asciiTheme="majorBidi" w:hAnsiTheme="majorBidi" w:cstheme="majorBidi"/>
        </w:rPr>
        <w:t>, ka</w:t>
      </w:r>
      <w:r w:rsidR="00787DB6" w:rsidRPr="00FE2E99">
        <w:rPr>
          <w:rFonts w:asciiTheme="majorBidi" w:hAnsiTheme="majorBidi" w:cstheme="majorBidi"/>
        </w:rPr>
        <w:t xml:space="preserve"> konteinerā iepildīt</w:t>
      </w:r>
      <w:r w:rsidR="00787DB6">
        <w:rPr>
          <w:rFonts w:asciiTheme="majorBidi" w:hAnsiTheme="majorBidi" w:cstheme="majorBidi"/>
        </w:rPr>
        <w:t>s</w:t>
      </w:r>
      <w:r w:rsidR="00787DB6" w:rsidRPr="00FE2E99">
        <w:rPr>
          <w:rFonts w:asciiTheme="majorBidi" w:hAnsiTheme="majorBidi" w:cstheme="majorBidi"/>
        </w:rPr>
        <w:t xml:space="preserve"> mazāk </w:t>
      </w:r>
      <w:r w:rsidR="00787DB6">
        <w:rPr>
          <w:rFonts w:asciiTheme="majorBidi" w:hAnsiTheme="majorBidi" w:cstheme="majorBidi"/>
        </w:rPr>
        <w:t xml:space="preserve">šķidruma, </w:t>
      </w:r>
      <w:r w:rsidR="00787DB6" w:rsidRPr="00FE2E99">
        <w:rPr>
          <w:rFonts w:asciiTheme="majorBidi" w:hAnsiTheme="majorBidi" w:cstheme="majorBidi"/>
        </w:rPr>
        <w:t xml:space="preserve">nekā </w:t>
      </w:r>
      <w:r w:rsidR="00787DB6">
        <w:rPr>
          <w:rFonts w:asciiTheme="majorBidi" w:hAnsiTheme="majorBidi" w:cstheme="majorBidi"/>
        </w:rPr>
        <w:t xml:space="preserve">konstatēts </w:t>
      </w:r>
      <w:r w:rsidR="00787DB6" w:rsidRPr="00FE2E99">
        <w:rPr>
          <w:rFonts w:asciiTheme="majorBidi" w:hAnsiTheme="majorBidi" w:cstheme="majorBidi"/>
        </w:rPr>
        <w:t>apskatē</w:t>
      </w:r>
      <w:r w:rsidR="00787DB6">
        <w:rPr>
          <w:rFonts w:asciiTheme="majorBidi" w:hAnsiTheme="majorBidi" w:cstheme="majorBidi"/>
        </w:rPr>
        <w:t xml:space="preserve">, </w:t>
      </w:r>
      <w:r w:rsidR="00787DB6" w:rsidRPr="00FE2E99">
        <w:rPr>
          <w:rFonts w:asciiTheme="majorBidi" w:hAnsiTheme="majorBidi" w:cstheme="majorBidi"/>
        </w:rPr>
        <w:t>tiesa</w:t>
      </w:r>
      <w:r w:rsidR="00787DB6">
        <w:rPr>
          <w:rFonts w:asciiTheme="majorBidi" w:hAnsiTheme="majorBidi" w:cstheme="majorBidi"/>
        </w:rPr>
        <w:t xml:space="preserve"> </w:t>
      </w:r>
      <w:r w:rsidR="00F54975">
        <w:rPr>
          <w:rFonts w:asciiTheme="majorBidi" w:hAnsiTheme="majorBidi" w:cstheme="majorBidi"/>
        </w:rPr>
        <w:t xml:space="preserve">bija tiesīga </w:t>
      </w:r>
      <w:r w:rsidR="00787DB6">
        <w:rPr>
          <w:rFonts w:asciiTheme="majorBidi" w:hAnsiTheme="majorBidi" w:cstheme="majorBidi"/>
        </w:rPr>
        <w:t>atstā</w:t>
      </w:r>
      <w:r w:rsidR="00F54975">
        <w:rPr>
          <w:rFonts w:asciiTheme="majorBidi" w:hAnsiTheme="majorBidi" w:cstheme="majorBidi"/>
        </w:rPr>
        <w:t>t</w:t>
      </w:r>
      <w:r w:rsidR="00787DB6">
        <w:rPr>
          <w:rFonts w:asciiTheme="majorBidi" w:hAnsiTheme="majorBidi" w:cstheme="majorBidi"/>
        </w:rPr>
        <w:t xml:space="preserve"> bez ievērības, jo nav atzinusi tās par ticamām</w:t>
      </w:r>
      <w:r w:rsidR="00787DB6" w:rsidRPr="00F27C73">
        <w:rPr>
          <w:rFonts w:asciiTheme="majorBidi" w:hAnsiTheme="majorBidi" w:cstheme="majorBidi"/>
        </w:rPr>
        <w:t>.</w:t>
      </w:r>
    </w:p>
    <w:p w14:paraId="7C2308B3" w14:textId="73D4FB13" w:rsidR="00F63A55" w:rsidRDefault="00F63A55" w:rsidP="00EE7E71">
      <w:pPr>
        <w:suppressAutoHyphens w:val="0"/>
        <w:spacing w:line="276" w:lineRule="auto"/>
        <w:ind w:firstLine="720"/>
        <w:jc w:val="both"/>
        <w:rPr>
          <w:rFonts w:asciiTheme="majorBidi" w:hAnsiTheme="majorBidi" w:cstheme="majorBidi"/>
        </w:rPr>
      </w:pPr>
      <w:r w:rsidRPr="00F63A55">
        <w:rPr>
          <w:rFonts w:asciiTheme="majorBidi" w:hAnsiTheme="majorBidi" w:cstheme="majorBidi"/>
        </w:rPr>
        <w:t xml:space="preserve">Ievērojot minēto, </w:t>
      </w:r>
      <w:r>
        <w:rPr>
          <w:rFonts w:asciiTheme="majorBidi" w:hAnsiTheme="majorBidi" w:cstheme="majorBidi"/>
        </w:rPr>
        <w:t xml:space="preserve">šajā daļā </w:t>
      </w:r>
      <w:r w:rsidRPr="00F63A55">
        <w:rPr>
          <w:rFonts w:asciiTheme="majorBidi" w:hAnsiTheme="majorBidi" w:cstheme="majorBidi"/>
        </w:rPr>
        <w:t>tiesa</w:t>
      </w:r>
      <w:r>
        <w:rPr>
          <w:rFonts w:asciiTheme="majorBidi" w:hAnsiTheme="majorBidi" w:cstheme="majorBidi"/>
        </w:rPr>
        <w:t xml:space="preserve"> </w:t>
      </w:r>
      <w:r w:rsidRPr="00F63A55">
        <w:rPr>
          <w:rFonts w:asciiTheme="majorBidi" w:hAnsiTheme="majorBidi" w:cstheme="majorBidi"/>
        </w:rPr>
        <w:t>procesuālo tiesību normas nav pārkāpusi.</w:t>
      </w:r>
    </w:p>
    <w:p w14:paraId="51CC2A73" w14:textId="1F5659DC" w:rsidR="00F63A55" w:rsidRDefault="00F63A55" w:rsidP="00EE7E71">
      <w:pPr>
        <w:suppressAutoHyphens w:val="0"/>
        <w:spacing w:line="276" w:lineRule="auto"/>
        <w:ind w:firstLine="720"/>
        <w:jc w:val="both"/>
        <w:rPr>
          <w:rFonts w:asciiTheme="majorBidi" w:hAnsiTheme="majorBidi" w:cstheme="majorBidi"/>
        </w:rPr>
      </w:pPr>
      <w:r>
        <w:rPr>
          <w:rFonts w:asciiTheme="majorBidi" w:hAnsiTheme="majorBidi" w:cstheme="majorBidi"/>
        </w:rPr>
        <w:t>[9.2]</w:t>
      </w:r>
      <w:r w:rsidR="00AB407B">
        <w:rPr>
          <w:rFonts w:asciiTheme="majorBidi" w:hAnsiTheme="majorBidi" w:cstheme="majorBidi"/>
        </w:rPr>
        <w:t> </w:t>
      </w:r>
      <w:r>
        <w:rPr>
          <w:rFonts w:asciiTheme="majorBidi" w:hAnsiTheme="majorBidi" w:cstheme="majorBidi"/>
        </w:rPr>
        <w:t>K</w:t>
      </w:r>
      <w:r w:rsidRPr="00F51F23">
        <w:rPr>
          <w:rFonts w:asciiTheme="majorBidi" w:hAnsiTheme="majorBidi" w:cstheme="majorBidi"/>
        </w:rPr>
        <w:t>onteinerā Nr. 12, uz kuru kasācijas sūdzībā atsaucies apsūdzētais</w:t>
      </w:r>
      <w:r>
        <w:rPr>
          <w:rFonts w:asciiTheme="majorBidi" w:hAnsiTheme="majorBidi" w:cstheme="majorBidi"/>
        </w:rPr>
        <w:t xml:space="preserve"> </w:t>
      </w:r>
      <w:r w:rsidR="0088482E">
        <w:rPr>
          <w:rFonts w:asciiTheme="majorBidi" w:hAnsiTheme="majorBidi" w:cstheme="majorBidi"/>
        </w:rPr>
        <w:t>[pers. A]</w:t>
      </w:r>
      <w:r w:rsidRPr="00F51F23">
        <w:rPr>
          <w:rFonts w:asciiTheme="majorBidi" w:hAnsiTheme="majorBidi" w:cstheme="majorBidi"/>
        </w:rPr>
        <w:t xml:space="preserve">, esošo šķidrumu </w:t>
      </w:r>
      <w:r>
        <w:rPr>
          <w:rFonts w:asciiTheme="majorBidi" w:hAnsiTheme="majorBidi" w:cstheme="majorBidi"/>
        </w:rPr>
        <w:t>–</w:t>
      </w:r>
      <w:r w:rsidRPr="00F51F23">
        <w:rPr>
          <w:rFonts w:asciiTheme="majorBidi" w:hAnsiTheme="majorBidi" w:cstheme="majorBidi"/>
        </w:rPr>
        <w:t xml:space="preserve"> </w:t>
      </w:r>
      <w:r w:rsidRPr="00F51F23">
        <w:rPr>
          <w:rFonts w:asciiTheme="majorBidi" w:hAnsiTheme="majorBidi"/>
        </w:rPr>
        <w:t>ūdeni ar organisko vielu piemaisījumu</w:t>
      </w:r>
      <w:r w:rsidRPr="00F51F23">
        <w:rPr>
          <w:rFonts w:asciiTheme="majorBidi" w:hAnsiTheme="majorBidi" w:cstheme="majorBidi"/>
        </w:rPr>
        <w:t xml:space="preserve"> </w:t>
      </w:r>
      <w:r>
        <w:rPr>
          <w:rFonts w:asciiTheme="majorBidi" w:hAnsiTheme="majorBidi" w:cstheme="majorBidi"/>
        </w:rPr>
        <w:t xml:space="preserve">– tiesa </w:t>
      </w:r>
      <w:r w:rsidRPr="00F51F23">
        <w:rPr>
          <w:rFonts w:asciiTheme="majorBidi" w:hAnsiTheme="majorBidi" w:cstheme="majorBidi"/>
        </w:rPr>
        <w:t>nav pieskaitījusi nelikumīgi uzglabātās</w:t>
      </w:r>
      <w:r>
        <w:rPr>
          <w:rFonts w:asciiTheme="majorBidi" w:hAnsiTheme="majorBidi" w:cstheme="majorBidi"/>
        </w:rPr>
        <w:t xml:space="preserve"> dīzeļdegvielas apjomam</w:t>
      </w:r>
      <w:r w:rsidRPr="005A332F">
        <w:rPr>
          <w:rFonts w:asciiTheme="majorBidi" w:hAnsiTheme="majorBidi" w:cstheme="majorBidi"/>
        </w:rPr>
        <w:t xml:space="preserve">. Tādēļ </w:t>
      </w:r>
      <w:r>
        <w:rPr>
          <w:rFonts w:asciiTheme="majorBidi" w:hAnsiTheme="majorBidi" w:cstheme="majorBidi"/>
        </w:rPr>
        <w:t>norāde par hipotētiskām neatbilstībām</w:t>
      </w:r>
      <w:r w:rsidRPr="005A332F">
        <w:rPr>
          <w:rFonts w:asciiTheme="majorBidi" w:hAnsiTheme="majorBidi" w:cstheme="majorBidi"/>
        </w:rPr>
        <w:t xml:space="preserve"> šajā konteinerā </w:t>
      </w:r>
      <w:r>
        <w:rPr>
          <w:rFonts w:asciiTheme="majorBidi" w:hAnsiTheme="majorBidi" w:cstheme="majorBidi"/>
        </w:rPr>
        <w:t xml:space="preserve">nevar ietekmēt tiesas </w:t>
      </w:r>
      <w:r w:rsidRPr="005A332F">
        <w:rPr>
          <w:rFonts w:asciiTheme="majorBidi" w:hAnsiTheme="majorBidi" w:cstheme="majorBidi"/>
        </w:rPr>
        <w:t xml:space="preserve">secinājumu par </w:t>
      </w:r>
      <w:r>
        <w:rPr>
          <w:rFonts w:asciiTheme="majorBidi" w:hAnsiTheme="majorBidi" w:cstheme="majorBidi"/>
        </w:rPr>
        <w:t xml:space="preserve">nelikumīgi </w:t>
      </w:r>
      <w:r w:rsidRPr="005A332F">
        <w:rPr>
          <w:rFonts w:asciiTheme="majorBidi" w:hAnsiTheme="majorBidi" w:cstheme="majorBidi"/>
        </w:rPr>
        <w:t xml:space="preserve">uzglabātās dīzeļdegvielas </w:t>
      </w:r>
      <w:r>
        <w:rPr>
          <w:rFonts w:asciiTheme="majorBidi" w:hAnsiTheme="majorBidi" w:cstheme="majorBidi"/>
        </w:rPr>
        <w:t>daudzumu</w:t>
      </w:r>
      <w:r w:rsidRPr="005A332F">
        <w:rPr>
          <w:rFonts w:asciiTheme="majorBidi" w:hAnsiTheme="majorBidi" w:cstheme="majorBidi"/>
        </w:rPr>
        <w:t>.</w:t>
      </w:r>
    </w:p>
    <w:bookmarkEnd w:id="20"/>
    <w:p w14:paraId="0E12A515" w14:textId="7C6891DD" w:rsidR="00A86FEC" w:rsidRDefault="00D206F9" w:rsidP="00EE7E71">
      <w:pPr>
        <w:suppressAutoHyphens w:val="0"/>
        <w:spacing w:line="276" w:lineRule="auto"/>
        <w:ind w:firstLine="720"/>
        <w:jc w:val="both"/>
      </w:pPr>
      <w:r w:rsidRPr="003F0C5A">
        <w:rPr>
          <w:rFonts w:asciiTheme="majorBidi" w:hAnsiTheme="majorBidi" w:cstheme="majorBidi"/>
        </w:rPr>
        <w:t>[9.</w:t>
      </w:r>
      <w:r w:rsidR="00FF73A8" w:rsidRPr="003F0C5A">
        <w:rPr>
          <w:rFonts w:asciiTheme="majorBidi" w:hAnsiTheme="majorBidi" w:cstheme="majorBidi"/>
        </w:rPr>
        <w:t>3</w:t>
      </w:r>
      <w:r w:rsidRPr="003F0C5A">
        <w:rPr>
          <w:rFonts w:asciiTheme="majorBidi" w:hAnsiTheme="majorBidi" w:cstheme="majorBidi"/>
        </w:rPr>
        <w:t>]</w:t>
      </w:r>
      <w:r w:rsidR="00B948E8" w:rsidRPr="003F0C5A">
        <w:rPr>
          <w:rFonts w:asciiTheme="majorBidi" w:hAnsiTheme="majorBidi" w:cstheme="majorBidi"/>
        </w:rPr>
        <w:t> </w:t>
      </w:r>
      <w:r w:rsidR="00A04C94">
        <w:rPr>
          <w:rFonts w:asciiTheme="majorBidi" w:hAnsiTheme="majorBidi" w:cstheme="majorBidi"/>
        </w:rPr>
        <w:t>Vienlaikus</w:t>
      </w:r>
      <w:r w:rsidR="00A04C94" w:rsidRPr="003F0C5A">
        <w:rPr>
          <w:rFonts w:asciiTheme="majorBidi" w:hAnsiTheme="majorBidi" w:cstheme="majorBidi"/>
        </w:rPr>
        <w:t xml:space="preserve"> </w:t>
      </w:r>
      <w:r w:rsidR="000647D8" w:rsidRPr="003F0C5A">
        <w:rPr>
          <w:rFonts w:asciiTheme="majorBidi" w:hAnsiTheme="majorBidi" w:cstheme="majorBidi"/>
        </w:rPr>
        <w:t xml:space="preserve">Senāts konstatē, ka tiesa nav </w:t>
      </w:r>
      <w:r w:rsidR="00BE76CD" w:rsidRPr="003F0C5A">
        <w:rPr>
          <w:rFonts w:asciiTheme="majorBidi" w:hAnsiTheme="majorBidi" w:cstheme="majorBidi"/>
        </w:rPr>
        <w:t>vērtējusi</w:t>
      </w:r>
      <w:r w:rsidR="00CA4F5B">
        <w:rPr>
          <w:rFonts w:asciiTheme="majorBidi" w:hAnsiTheme="majorBidi" w:cstheme="majorBidi"/>
        </w:rPr>
        <w:t xml:space="preserve"> </w:t>
      </w:r>
      <w:r w:rsidR="00CA4F5B" w:rsidRPr="006D0E1C">
        <w:rPr>
          <w:rFonts w:asciiTheme="majorBidi" w:hAnsiTheme="majorBidi" w:cstheme="majorBidi"/>
        </w:rPr>
        <w:t>eksperte</w:t>
      </w:r>
      <w:r w:rsidR="00CA4F5B">
        <w:rPr>
          <w:rFonts w:asciiTheme="majorBidi" w:hAnsiTheme="majorBidi" w:cstheme="majorBidi"/>
        </w:rPr>
        <w:t>s</w:t>
      </w:r>
      <w:r w:rsidR="00CA4F5B" w:rsidRPr="006D0E1C">
        <w:rPr>
          <w:rFonts w:asciiTheme="majorBidi" w:hAnsiTheme="majorBidi" w:cstheme="majorBidi"/>
        </w:rPr>
        <w:t xml:space="preserve"> </w:t>
      </w:r>
      <w:r w:rsidR="003227FF">
        <w:rPr>
          <w:rFonts w:asciiTheme="majorBidi" w:hAnsiTheme="majorBidi" w:cstheme="majorBidi"/>
        </w:rPr>
        <w:t>[pers. H]</w:t>
      </w:r>
      <w:r w:rsidR="00CA4F5B">
        <w:rPr>
          <w:rFonts w:asciiTheme="majorBidi" w:hAnsiTheme="majorBidi" w:cstheme="majorBidi"/>
        </w:rPr>
        <w:t xml:space="preserve"> liecības</w:t>
      </w:r>
      <w:r w:rsidR="00CA4F5B" w:rsidRPr="006D0E1C">
        <w:rPr>
          <w:rFonts w:asciiTheme="majorBidi" w:hAnsiTheme="majorBidi" w:cstheme="majorBidi"/>
        </w:rPr>
        <w:t xml:space="preserve">, ka </w:t>
      </w:r>
      <w:r w:rsidR="00CA4F5B">
        <w:rPr>
          <w:rFonts w:asciiTheme="majorBidi" w:hAnsiTheme="majorBidi" w:cstheme="majorBidi"/>
        </w:rPr>
        <w:t>naftas produkt</w:t>
      </w:r>
      <w:r w:rsidR="00BE6CF6">
        <w:rPr>
          <w:rFonts w:asciiTheme="majorBidi" w:hAnsiTheme="majorBidi" w:cstheme="majorBidi"/>
        </w:rPr>
        <w:t>u</w:t>
      </w:r>
      <w:r w:rsidR="00CA4F5B">
        <w:rPr>
          <w:rFonts w:asciiTheme="majorBidi" w:hAnsiTheme="majorBidi" w:cstheme="majorBidi"/>
        </w:rPr>
        <w:t xml:space="preserve"> </w:t>
      </w:r>
      <w:r w:rsidR="00CA4F5B" w:rsidRPr="006D0E1C">
        <w:rPr>
          <w:rFonts w:asciiTheme="majorBidi" w:hAnsiTheme="majorBidi" w:cstheme="majorBidi"/>
        </w:rPr>
        <w:t>paraug</w:t>
      </w:r>
      <w:r w:rsidR="00810762">
        <w:rPr>
          <w:rFonts w:asciiTheme="majorBidi" w:hAnsiTheme="majorBidi" w:cstheme="majorBidi"/>
        </w:rPr>
        <w:t>i</w:t>
      </w:r>
      <w:r w:rsidR="00CA4F5B">
        <w:rPr>
          <w:rFonts w:asciiTheme="majorBidi" w:hAnsiTheme="majorBidi" w:cstheme="majorBidi"/>
        </w:rPr>
        <w:t xml:space="preserve"> </w:t>
      </w:r>
      <w:r w:rsidR="00CA4F5B" w:rsidRPr="006D0E1C">
        <w:rPr>
          <w:rFonts w:asciiTheme="majorBidi" w:hAnsiTheme="majorBidi" w:cstheme="majorBidi"/>
        </w:rPr>
        <w:t>jāņem no trim slāņiem un ka rezultāts ir atkarīgs no pareizas paraugu izņemšanas</w:t>
      </w:r>
      <w:r w:rsidR="00471143">
        <w:rPr>
          <w:rFonts w:asciiTheme="majorBidi" w:hAnsiTheme="majorBidi" w:cstheme="majorBidi"/>
        </w:rPr>
        <w:t>.</w:t>
      </w:r>
      <w:r w:rsidR="00CA4F5B">
        <w:rPr>
          <w:rFonts w:asciiTheme="majorBidi" w:hAnsiTheme="majorBidi" w:cstheme="majorBidi"/>
        </w:rPr>
        <w:t xml:space="preserve"> </w:t>
      </w:r>
      <w:r w:rsidR="002D1C59">
        <w:rPr>
          <w:rFonts w:asciiTheme="majorBidi" w:hAnsiTheme="majorBidi" w:cstheme="majorBidi"/>
        </w:rPr>
        <w:t>T</w:t>
      </w:r>
      <w:r w:rsidR="002D1C59" w:rsidRPr="00C45105">
        <w:rPr>
          <w:rFonts w:asciiTheme="majorBidi" w:hAnsiTheme="majorBidi" w:cstheme="majorBidi"/>
        </w:rPr>
        <w:t xml:space="preserve">iesa </w:t>
      </w:r>
      <w:r w:rsidR="002D1C59">
        <w:rPr>
          <w:rFonts w:asciiTheme="majorBidi" w:hAnsiTheme="majorBidi" w:cstheme="majorBidi"/>
        </w:rPr>
        <w:t xml:space="preserve">nav </w:t>
      </w:r>
      <w:r w:rsidR="00F63A55">
        <w:rPr>
          <w:rFonts w:asciiTheme="majorBidi" w:hAnsiTheme="majorBidi" w:cstheme="majorBidi"/>
        </w:rPr>
        <w:t>pamatojusi</w:t>
      </w:r>
      <w:r w:rsidR="002D1C59">
        <w:rPr>
          <w:rFonts w:asciiTheme="majorBidi" w:hAnsiTheme="majorBidi" w:cstheme="majorBidi"/>
        </w:rPr>
        <w:t xml:space="preserve">, </w:t>
      </w:r>
      <w:r w:rsidR="002D1C59" w:rsidRPr="00C45105">
        <w:rPr>
          <w:rFonts w:asciiTheme="majorBidi" w:hAnsiTheme="majorBidi" w:cstheme="majorBidi"/>
        </w:rPr>
        <w:t xml:space="preserve">kāpēc, ņemot vērā ekspertes norādīto </w:t>
      </w:r>
      <w:r w:rsidR="002D1C59" w:rsidRPr="00C45105">
        <w:rPr>
          <w:rFonts w:asciiTheme="majorBidi" w:hAnsiTheme="majorBidi" w:cstheme="majorBidi"/>
        </w:rPr>
        <w:lastRenderedPageBreak/>
        <w:t xml:space="preserve">metodiku, </w:t>
      </w:r>
      <w:r w:rsidR="002D1C59">
        <w:rPr>
          <w:rFonts w:asciiTheme="majorBidi" w:hAnsiTheme="majorBidi" w:cstheme="majorBidi"/>
        </w:rPr>
        <w:t>izskatāmajā gadījumā viens šķidruma paraugs no katras tvertnes ir pietiek</w:t>
      </w:r>
      <w:r w:rsidR="00F63A55">
        <w:rPr>
          <w:rFonts w:asciiTheme="majorBidi" w:hAnsiTheme="majorBidi" w:cstheme="majorBidi"/>
        </w:rPr>
        <w:t>ams</w:t>
      </w:r>
      <w:r w:rsidR="002D1C59">
        <w:rPr>
          <w:rFonts w:asciiTheme="majorBidi" w:hAnsiTheme="majorBidi" w:cstheme="majorBidi"/>
        </w:rPr>
        <w:t xml:space="preserve">, lai noteiktu </w:t>
      </w:r>
      <w:r w:rsidR="002D1C59" w:rsidRPr="00151784">
        <w:t>tvertnes</w:t>
      </w:r>
      <w:r w:rsidR="002D1C59">
        <w:t xml:space="preserve"> saturu</w:t>
      </w:r>
      <w:r w:rsidR="002D1C59" w:rsidRPr="00151784">
        <w:t>.</w:t>
      </w:r>
    </w:p>
    <w:p w14:paraId="6AE075C0" w14:textId="6CC9A02C" w:rsidR="003F0C5A" w:rsidRDefault="00471143" w:rsidP="00EE7E71">
      <w:pPr>
        <w:suppressAutoHyphens w:val="0"/>
        <w:spacing w:line="276" w:lineRule="auto"/>
        <w:ind w:firstLine="720"/>
        <w:jc w:val="both"/>
        <w:rPr>
          <w:rFonts w:asciiTheme="majorBidi" w:hAnsiTheme="majorBidi" w:cstheme="majorBidi"/>
        </w:rPr>
      </w:pPr>
      <w:r w:rsidRPr="003F0C5A">
        <w:rPr>
          <w:rFonts w:asciiTheme="majorBidi" w:hAnsiTheme="majorBidi"/>
        </w:rPr>
        <w:t>Neizvērtējot paraugu pietiekamību dīzeļdegvielas konstatēšanai, tiesa priekšlaicīgi ir secinājusi, ka angārā uzglabātās dīzeļdegvielas apjoms bija 11</w:t>
      </w:r>
      <w:r w:rsidRPr="003F0C5A">
        <w:rPr>
          <w:rFonts w:asciiTheme="majorBidi" w:hAnsiTheme="majorBidi" w:cstheme="majorBidi"/>
        </w:rPr>
        <w:t> </w:t>
      </w:r>
      <w:r w:rsidRPr="003F0C5A">
        <w:rPr>
          <w:rFonts w:asciiTheme="majorBidi" w:hAnsiTheme="majorBidi"/>
        </w:rPr>
        <w:t>900 litri.</w:t>
      </w:r>
    </w:p>
    <w:p w14:paraId="040C16F7" w14:textId="6302A73E" w:rsidR="000647D8" w:rsidRPr="00D87991" w:rsidRDefault="002D1C59" w:rsidP="00EE7E71">
      <w:pPr>
        <w:suppressAutoHyphens w:val="0"/>
        <w:spacing w:line="276" w:lineRule="auto"/>
        <w:ind w:firstLine="720"/>
        <w:jc w:val="both"/>
      </w:pPr>
      <w:r>
        <w:rPr>
          <w:rFonts w:asciiTheme="majorBidi" w:hAnsiTheme="majorBidi" w:cstheme="majorBidi"/>
        </w:rPr>
        <w:t xml:space="preserve">Ievērojot minēto, tiesa </w:t>
      </w:r>
      <w:r w:rsidR="00C45105" w:rsidRPr="00C45105">
        <w:rPr>
          <w:rFonts w:asciiTheme="majorBidi" w:hAnsiTheme="majorBidi" w:cstheme="majorBidi"/>
        </w:rPr>
        <w:t>nav izvērtē</w:t>
      </w:r>
      <w:r w:rsidR="000647D8">
        <w:rPr>
          <w:rFonts w:asciiTheme="majorBidi" w:hAnsiTheme="majorBidi" w:cstheme="majorBidi"/>
        </w:rPr>
        <w:t>jusi</w:t>
      </w:r>
      <w:r w:rsidR="00C45105" w:rsidRPr="00C45105">
        <w:rPr>
          <w:rFonts w:asciiTheme="majorBidi" w:hAnsiTheme="majorBidi" w:cstheme="majorBidi"/>
        </w:rPr>
        <w:t xml:space="preserve"> </w:t>
      </w:r>
      <w:r w:rsidR="004A4507">
        <w:rPr>
          <w:rFonts w:asciiTheme="majorBidi" w:hAnsiTheme="majorBidi" w:cstheme="majorBidi"/>
        </w:rPr>
        <w:t xml:space="preserve">pierādījumus to </w:t>
      </w:r>
      <w:r w:rsidR="00C45105" w:rsidRPr="00C45105">
        <w:rPr>
          <w:rFonts w:asciiTheme="majorBidi" w:hAnsiTheme="majorBidi" w:cstheme="majorBidi"/>
        </w:rPr>
        <w:t>kopumā un savstarpējā sakarībā</w:t>
      </w:r>
      <w:r w:rsidR="004A4507">
        <w:rPr>
          <w:rFonts w:asciiTheme="majorBidi" w:hAnsiTheme="majorBidi" w:cstheme="majorBidi"/>
        </w:rPr>
        <w:t xml:space="preserve"> atbilstoši</w:t>
      </w:r>
      <w:r w:rsidR="00C45105" w:rsidRPr="00C45105">
        <w:rPr>
          <w:rFonts w:asciiTheme="majorBidi" w:hAnsiTheme="majorBidi" w:cstheme="majorBidi"/>
        </w:rPr>
        <w:t xml:space="preserve"> Kriminālprocesa likuma 128.</w:t>
      </w:r>
      <w:r w:rsidR="00731C72">
        <w:rPr>
          <w:rFonts w:asciiTheme="majorBidi" w:hAnsiTheme="majorBidi" w:cstheme="majorBidi"/>
        </w:rPr>
        <w:t> </w:t>
      </w:r>
      <w:r w:rsidR="00C45105" w:rsidRPr="00C45105">
        <w:rPr>
          <w:rFonts w:asciiTheme="majorBidi" w:hAnsiTheme="majorBidi" w:cstheme="majorBidi"/>
        </w:rPr>
        <w:t>panta otr</w:t>
      </w:r>
      <w:r w:rsidR="004A4507">
        <w:rPr>
          <w:rFonts w:asciiTheme="majorBidi" w:hAnsiTheme="majorBidi" w:cstheme="majorBidi"/>
        </w:rPr>
        <w:t>ajai</w:t>
      </w:r>
      <w:r w:rsidR="00C45105" w:rsidRPr="00C45105">
        <w:rPr>
          <w:rFonts w:asciiTheme="majorBidi" w:hAnsiTheme="majorBidi" w:cstheme="majorBidi"/>
        </w:rPr>
        <w:t xml:space="preserve"> daļa</w:t>
      </w:r>
      <w:r w:rsidR="004A4507">
        <w:rPr>
          <w:rFonts w:asciiTheme="majorBidi" w:hAnsiTheme="majorBidi" w:cstheme="majorBidi"/>
        </w:rPr>
        <w:t>i</w:t>
      </w:r>
      <w:r w:rsidR="00C45105" w:rsidRPr="00C45105">
        <w:rPr>
          <w:rFonts w:asciiTheme="majorBidi" w:hAnsiTheme="majorBidi" w:cstheme="majorBidi"/>
        </w:rPr>
        <w:t xml:space="preserve"> </w:t>
      </w:r>
      <w:r w:rsidR="000647D8">
        <w:rPr>
          <w:rFonts w:asciiTheme="majorBidi" w:hAnsiTheme="majorBidi" w:cstheme="majorBidi"/>
        </w:rPr>
        <w:t>un</w:t>
      </w:r>
      <w:r w:rsidR="00BE76CD">
        <w:rPr>
          <w:rFonts w:asciiTheme="majorBidi" w:hAnsiTheme="majorBidi" w:cstheme="majorBidi"/>
        </w:rPr>
        <w:t xml:space="preserve"> </w:t>
      </w:r>
      <w:r w:rsidR="000647D8">
        <w:rPr>
          <w:rFonts w:asciiTheme="majorBidi" w:hAnsiTheme="majorBidi" w:cstheme="majorBidi"/>
        </w:rPr>
        <w:t>pieļāvusi</w:t>
      </w:r>
      <w:r w:rsidR="00C45105" w:rsidRPr="00C45105">
        <w:rPr>
          <w:rFonts w:asciiTheme="majorBidi" w:hAnsiTheme="majorBidi" w:cstheme="majorBidi"/>
        </w:rPr>
        <w:t xml:space="preserve"> šā likuma 564. panta ceturtās daļas </w:t>
      </w:r>
      <w:r w:rsidR="000647D8">
        <w:rPr>
          <w:rFonts w:asciiTheme="majorBidi" w:hAnsiTheme="majorBidi" w:cstheme="majorBidi"/>
        </w:rPr>
        <w:t>pārkāpumu</w:t>
      </w:r>
      <w:r w:rsidR="00AE2124">
        <w:rPr>
          <w:rFonts w:asciiTheme="majorBidi" w:hAnsiTheme="majorBidi" w:cstheme="majorBidi"/>
        </w:rPr>
        <w:t xml:space="preserve">, kas </w:t>
      </w:r>
      <w:r w:rsidR="004A4507">
        <w:rPr>
          <w:rFonts w:asciiTheme="majorBidi" w:hAnsiTheme="majorBidi" w:cstheme="majorBidi"/>
        </w:rPr>
        <w:t xml:space="preserve">noteic </w:t>
      </w:r>
      <w:r w:rsidR="00AE2124">
        <w:rPr>
          <w:rFonts w:asciiTheme="majorBidi" w:hAnsiTheme="majorBidi" w:cstheme="majorBidi"/>
        </w:rPr>
        <w:t>tiesa</w:t>
      </w:r>
      <w:r w:rsidR="004A4507">
        <w:rPr>
          <w:rFonts w:asciiTheme="majorBidi" w:hAnsiTheme="majorBidi" w:cstheme="majorBidi"/>
        </w:rPr>
        <w:t>s</w:t>
      </w:r>
      <w:r w:rsidR="00AE2124">
        <w:rPr>
          <w:rFonts w:asciiTheme="majorBidi" w:hAnsiTheme="majorBidi" w:cstheme="majorBidi"/>
        </w:rPr>
        <w:t xml:space="preserve"> pienākumu motivēt, </w:t>
      </w:r>
      <w:r w:rsidR="00AE2124" w:rsidRPr="00AE2124">
        <w:rPr>
          <w:rFonts w:asciiTheme="majorBidi" w:hAnsiTheme="majorBidi" w:cstheme="majorBidi"/>
        </w:rPr>
        <w:t xml:space="preserve">kāpēc </w:t>
      </w:r>
      <w:r w:rsidR="004A4507">
        <w:rPr>
          <w:rFonts w:asciiTheme="majorBidi" w:hAnsiTheme="majorBidi" w:cstheme="majorBidi"/>
        </w:rPr>
        <w:t>tā</w:t>
      </w:r>
      <w:r w:rsidR="004A4507" w:rsidRPr="00AE2124">
        <w:rPr>
          <w:rFonts w:asciiTheme="majorBidi" w:hAnsiTheme="majorBidi" w:cstheme="majorBidi"/>
        </w:rPr>
        <w:t xml:space="preserve"> </w:t>
      </w:r>
      <w:r w:rsidR="00AE2124" w:rsidRPr="00AE2124">
        <w:rPr>
          <w:rFonts w:asciiTheme="majorBidi" w:hAnsiTheme="majorBidi" w:cstheme="majorBidi"/>
        </w:rPr>
        <w:t>noraid</w:t>
      </w:r>
      <w:r w:rsidR="004A4507">
        <w:rPr>
          <w:rFonts w:asciiTheme="majorBidi" w:hAnsiTheme="majorBidi" w:cstheme="majorBidi"/>
        </w:rPr>
        <w:t>ījusi</w:t>
      </w:r>
      <w:r w:rsidR="00AE2124" w:rsidRPr="00AE2124">
        <w:rPr>
          <w:rFonts w:asciiTheme="majorBidi" w:hAnsiTheme="majorBidi" w:cstheme="majorBidi"/>
        </w:rPr>
        <w:t xml:space="preserve"> kādus pierādījumus</w:t>
      </w:r>
      <w:r w:rsidR="00AE2124">
        <w:rPr>
          <w:rFonts w:asciiTheme="majorBidi" w:hAnsiTheme="majorBidi" w:cstheme="majorBidi"/>
        </w:rPr>
        <w:t>.</w:t>
      </w:r>
    </w:p>
    <w:p w14:paraId="55416421" w14:textId="77777777" w:rsidR="00BE76CD" w:rsidRDefault="00BE76CD" w:rsidP="00EE7E71">
      <w:pPr>
        <w:suppressAutoHyphens w:val="0"/>
        <w:spacing w:line="276" w:lineRule="auto"/>
        <w:ind w:firstLine="720"/>
        <w:jc w:val="both"/>
        <w:rPr>
          <w:rFonts w:asciiTheme="majorBidi" w:hAnsiTheme="majorBidi" w:cstheme="majorBidi"/>
        </w:rPr>
      </w:pPr>
    </w:p>
    <w:p w14:paraId="3CCA3057" w14:textId="4AF5DD8E" w:rsidR="000647D8" w:rsidRPr="00BF5451" w:rsidRDefault="000647D8" w:rsidP="00EE7E71">
      <w:pPr>
        <w:suppressAutoHyphens w:val="0"/>
        <w:spacing w:line="276" w:lineRule="auto"/>
        <w:jc w:val="center"/>
        <w:rPr>
          <w:rFonts w:asciiTheme="majorBidi" w:hAnsiTheme="majorBidi"/>
          <w:b/>
        </w:rPr>
      </w:pPr>
      <w:r w:rsidRPr="00BF5451">
        <w:rPr>
          <w:rFonts w:asciiTheme="majorBidi" w:hAnsiTheme="majorBidi"/>
          <w:b/>
        </w:rPr>
        <w:t>III</w:t>
      </w:r>
    </w:p>
    <w:bookmarkEnd w:id="21"/>
    <w:p w14:paraId="1A53E29F" w14:textId="7E10EC99" w:rsidR="00D77E4D" w:rsidRDefault="000003B9" w:rsidP="00EE7E71">
      <w:pPr>
        <w:suppressAutoHyphens w:val="0"/>
        <w:spacing w:line="276" w:lineRule="auto"/>
        <w:jc w:val="center"/>
        <w:rPr>
          <w:rFonts w:asciiTheme="majorBidi" w:hAnsiTheme="majorBidi" w:cstheme="majorBidi"/>
          <w:i/>
          <w:iCs/>
        </w:rPr>
      </w:pPr>
      <w:r w:rsidRPr="000003B9">
        <w:rPr>
          <w:rFonts w:asciiTheme="majorBidi" w:hAnsiTheme="majorBidi" w:cstheme="majorBidi"/>
          <w:i/>
          <w:iCs/>
        </w:rPr>
        <w:t xml:space="preserve">Par </w:t>
      </w:r>
      <w:r w:rsidR="00D77E4D">
        <w:rPr>
          <w:rFonts w:asciiTheme="majorBidi" w:hAnsiTheme="majorBidi" w:cstheme="majorBidi"/>
          <w:i/>
          <w:iCs/>
        </w:rPr>
        <w:t xml:space="preserve">nelikumīgi </w:t>
      </w:r>
      <w:r w:rsidR="005802D5">
        <w:rPr>
          <w:rFonts w:asciiTheme="majorBidi" w:hAnsiTheme="majorBidi" w:cstheme="majorBidi"/>
          <w:i/>
          <w:iCs/>
        </w:rPr>
        <w:t>uzglabāt</w:t>
      </w:r>
      <w:r w:rsidR="00D77E4D">
        <w:rPr>
          <w:rFonts w:asciiTheme="majorBidi" w:hAnsiTheme="majorBidi" w:cstheme="majorBidi"/>
          <w:i/>
          <w:iCs/>
        </w:rPr>
        <w:t>o</w:t>
      </w:r>
      <w:r w:rsidR="005802D5">
        <w:rPr>
          <w:rFonts w:asciiTheme="majorBidi" w:hAnsiTheme="majorBidi" w:cstheme="majorBidi"/>
          <w:i/>
          <w:iCs/>
        </w:rPr>
        <w:t xml:space="preserve"> </w:t>
      </w:r>
      <w:r w:rsidR="00D77E4D">
        <w:rPr>
          <w:rFonts w:asciiTheme="majorBidi" w:hAnsiTheme="majorBidi" w:cstheme="majorBidi"/>
          <w:i/>
          <w:iCs/>
        </w:rPr>
        <w:t xml:space="preserve">naftas produktu </w:t>
      </w:r>
      <w:r w:rsidRPr="000003B9">
        <w:rPr>
          <w:rFonts w:asciiTheme="majorBidi" w:hAnsiTheme="majorBidi" w:cstheme="majorBidi"/>
          <w:i/>
          <w:iCs/>
        </w:rPr>
        <w:t>vērtību</w:t>
      </w:r>
    </w:p>
    <w:p w14:paraId="41708CAC" w14:textId="25CAEA5A" w:rsidR="000003B9" w:rsidRDefault="005802D5" w:rsidP="00EE7E71">
      <w:pPr>
        <w:suppressAutoHyphens w:val="0"/>
        <w:spacing w:line="276" w:lineRule="auto"/>
        <w:jc w:val="center"/>
        <w:rPr>
          <w:rFonts w:asciiTheme="majorBidi" w:hAnsiTheme="majorBidi" w:cstheme="majorBidi"/>
          <w:i/>
          <w:iCs/>
        </w:rPr>
      </w:pPr>
      <w:r w:rsidRPr="005802D5">
        <w:rPr>
          <w:i/>
          <w:iCs/>
          <w:lang w:eastAsia="zh-CN"/>
        </w:rPr>
        <w:t>(</w:t>
      </w:r>
      <w:r w:rsidRPr="005802D5">
        <w:rPr>
          <w:rFonts w:asciiTheme="majorBidi" w:hAnsiTheme="majorBidi" w:cstheme="majorBidi"/>
          <w:i/>
          <w:iCs/>
        </w:rPr>
        <w:t>Krimināllikuma 220</w:t>
      </w:r>
      <w:r w:rsidR="00D77E4D">
        <w:rPr>
          <w:rFonts w:asciiTheme="majorBidi" w:hAnsiTheme="majorBidi" w:cstheme="majorBidi"/>
          <w:i/>
          <w:iCs/>
        </w:rPr>
        <w:t>.</w:t>
      </w:r>
      <w:r w:rsidRPr="005802D5">
        <w:rPr>
          <w:rFonts w:asciiTheme="majorBidi" w:hAnsiTheme="majorBidi" w:cstheme="majorBidi"/>
          <w:i/>
          <w:iCs/>
          <w:vertAlign w:val="superscript"/>
        </w:rPr>
        <w:t>1</w:t>
      </w:r>
      <w:r w:rsidRPr="005802D5">
        <w:rPr>
          <w:rFonts w:asciiTheme="majorBidi" w:hAnsiTheme="majorBidi" w:cstheme="majorBidi"/>
          <w:i/>
          <w:iCs/>
        </w:rPr>
        <w:t> panta otrā daļa)</w:t>
      </w:r>
    </w:p>
    <w:p w14:paraId="572DCC84" w14:textId="77777777" w:rsidR="000647D8" w:rsidRPr="000003B9" w:rsidRDefault="000647D8" w:rsidP="00EE7E71">
      <w:pPr>
        <w:suppressAutoHyphens w:val="0"/>
        <w:spacing w:line="276" w:lineRule="auto"/>
        <w:ind w:firstLine="720"/>
        <w:jc w:val="both"/>
        <w:rPr>
          <w:rFonts w:asciiTheme="majorBidi" w:hAnsiTheme="majorBidi" w:cstheme="majorBidi"/>
          <w:i/>
          <w:iCs/>
        </w:rPr>
      </w:pPr>
      <w:bookmarkStart w:id="22" w:name="_Hlk216631155"/>
    </w:p>
    <w:p w14:paraId="484754D3" w14:textId="123444E8" w:rsidR="004011C3" w:rsidRDefault="000647D8" w:rsidP="00EE7E71">
      <w:pPr>
        <w:suppressAutoHyphens w:val="0"/>
        <w:spacing w:line="276" w:lineRule="auto"/>
        <w:ind w:firstLine="720"/>
        <w:jc w:val="both"/>
        <w:rPr>
          <w:rFonts w:asciiTheme="majorBidi" w:hAnsiTheme="majorBidi"/>
        </w:rPr>
      </w:pPr>
      <w:r w:rsidRPr="003F0C5A">
        <w:rPr>
          <w:rFonts w:asciiTheme="majorBidi" w:hAnsiTheme="majorBidi" w:cstheme="majorBidi"/>
        </w:rPr>
        <w:t>[10]</w:t>
      </w:r>
      <w:r w:rsidR="00D77E4D" w:rsidRPr="003F0C5A">
        <w:rPr>
          <w:rFonts w:asciiTheme="majorBidi" w:hAnsiTheme="majorBidi" w:cstheme="majorBidi"/>
        </w:rPr>
        <w:t> </w:t>
      </w:r>
      <w:r w:rsidR="00500229">
        <w:rPr>
          <w:rFonts w:asciiTheme="majorBidi" w:hAnsiTheme="majorBidi" w:cstheme="majorBidi"/>
        </w:rPr>
        <w:t>Ņemot vērā</w:t>
      </w:r>
      <w:r w:rsidR="003F0C5A">
        <w:rPr>
          <w:rFonts w:asciiTheme="majorBidi" w:hAnsiTheme="majorBidi"/>
        </w:rPr>
        <w:t xml:space="preserve"> </w:t>
      </w:r>
      <w:r w:rsidR="007A67AD">
        <w:rPr>
          <w:rFonts w:asciiTheme="majorBidi" w:hAnsiTheme="majorBidi"/>
        </w:rPr>
        <w:t xml:space="preserve">iepriekš konstatētos likuma </w:t>
      </w:r>
      <w:r w:rsidR="003F0C5A">
        <w:rPr>
          <w:rFonts w:asciiTheme="majorBidi" w:hAnsiTheme="majorBidi"/>
        </w:rPr>
        <w:t xml:space="preserve">pārkāpumus, nosakot </w:t>
      </w:r>
      <w:r w:rsidR="007A67AD">
        <w:rPr>
          <w:rFonts w:asciiTheme="majorBidi" w:hAnsiTheme="majorBidi"/>
        </w:rPr>
        <w:t xml:space="preserve">nelikumīgi </w:t>
      </w:r>
      <w:r w:rsidR="004011C3" w:rsidRPr="003F0C5A">
        <w:rPr>
          <w:rFonts w:asciiTheme="majorBidi" w:hAnsiTheme="majorBidi"/>
        </w:rPr>
        <w:t xml:space="preserve">uzglabātās dīzeļdegvielas </w:t>
      </w:r>
      <w:r w:rsidR="007D692E">
        <w:rPr>
          <w:rFonts w:asciiTheme="majorBidi" w:hAnsiTheme="majorBidi"/>
        </w:rPr>
        <w:t>daudzumu</w:t>
      </w:r>
      <w:r w:rsidR="00D87991" w:rsidRPr="003F0C5A">
        <w:rPr>
          <w:rFonts w:asciiTheme="majorBidi" w:hAnsiTheme="majorBidi"/>
        </w:rPr>
        <w:t>, Senāts</w:t>
      </w:r>
      <w:r w:rsidR="004011C3" w:rsidRPr="003F0C5A">
        <w:rPr>
          <w:rFonts w:asciiTheme="majorBidi" w:hAnsiTheme="majorBidi"/>
        </w:rPr>
        <w:t xml:space="preserve"> </w:t>
      </w:r>
      <w:r w:rsidR="00BD3B82">
        <w:rPr>
          <w:rFonts w:asciiTheme="majorBidi" w:hAnsiTheme="majorBidi"/>
        </w:rPr>
        <w:t xml:space="preserve">nevar atzīt par pamatotu arī </w:t>
      </w:r>
      <w:r w:rsidR="00272721">
        <w:rPr>
          <w:rFonts w:asciiTheme="majorBidi" w:hAnsiTheme="majorBidi"/>
        </w:rPr>
        <w:t>tiesa</w:t>
      </w:r>
      <w:r w:rsidR="00BD3B82">
        <w:rPr>
          <w:rFonts w:asciiTheme="majorBidi" w:hAnsiTheme="majorBidi"/>
        </w:rPr>
        <w:t>s</w:t>
      </w:r>
      <w:r w:rsidR="00272721">
        <w:rPr>
          <w:rFonts w:asciiTheme="majorBidi" w:hAnsiTheme="majorBidi"/>
        </w:rPr>
        <w:t xml:space="preserve"> atzinumu</w:t>
      </w:r>
      <w:r w:rsidR="004011C3" w:rsidRPr="003F0C5A">
        <w:rPr>
          <w:rFonts w:asciiTheme="majorBidi" w:hAnsiTheme="majorBidi"/>
        </w:rPr>
        <w:t xml:space="preserve"> par </w:t>
      </w:r>
      <w:r w:rsidR="00BE6CF6">
        <w:rPr>
          <w:rFonts w:asciiTheme="majorBidi" w:hAnsiTheme="majorBidi"/>
        </w:rPr>
        <w:t>tās</w:t>
      </w:r>
      <w:r w:rsidR="00272721">
        <w:rPr>
          <w:rFonts w:asciiTheme="majorBidi" w:hAnsiTheme="majorBidi"/>
        </w:rPr>
        <w:t xml:space="preserve"> </w:t>
      </w:r>
      <w:r w:rsidR="004011C3" w:rsidRPr="003F0C5A">
        <w:rPr>
          <w:rFonts w:asciiTheme="majorBidi" w:hAnsiTheme="majorBidi"/>
        </w:rPr>
        <w:t>vērtību</w:t>
      </w:r>
      <w:r w:rsidR="00500229">
        <w:rPr>
          <w:rFonts w:asciiTheme="majorBidi" w:hAnsiTheme="majorBidi"/>
        </w:rPr>
        <w:t xml:space="preserve">, </w:t>
      </w:r>
      <w:r w:rsidR="00500229" w:rsidRPr="00500229">
        <w:rPr>
          <w:rFonts w:asciiTheme="majorBidi" w:hAnsiTheme="majorBidi"/>
        </w:rPr>
        <w:t>jo tās noteikšana ir tieši atkarīga no pareizi konstatēta</w:t>
      </w:r>
      <w:r w:rsidR="00500229">
        <w:rPr>
          <w:rFonts w:asciiTheme="majorBidi" w:hAnsiTheme="majorBidi"/>
        </w:rPr>
        <w:t xml:space="preserve"> dīzeļdegvielas</w:t>
      </w:r>
      <w:r w:rsidR="00500229" w:rsidRPr="00500229">
        <w:rPr>
          <w:rFonts w:asciiTheme="majorBidi" w:hAnsiTheme="majorBidi"/>
        </w:rPr>
        <w:t xml:space="preserve"> </w:t>
      </w:r>
      <w:r w:rsidR="005E28EF">
        <w:rPr>
          <w:rFonts w:asciiTheme="majorBidi" w:hAnsiTheme="majorBidi"/>
        </w:rPr>
        <w:t>daudzuma</w:t>
      </w:r>
      <w:r w:rsidR="00500229" w:rsidRPr="00500229">
        <w:rPr>
          <w:rFonts w:asciiTheme="majorBidi" w:hAnsiTheme="majorBidi"/>
        </w:rPr>
        <w:t>.</w:t>
      </w:r>
    </w:p>
    <w:p w14:paraId="50835B57" w14:textId="22B9757F" w:rsidR="00500229" w:rsidRDefault="000E5F26" w:rsidP="00EE7E71">
      <w:pPr>
        <w:suppressAutoHyphens w:val="0"/>
        <w:spacing w:line="276" w:lineRule="auto"/>
        <w:ind w:firstLine="720"/>
        <w:jc w:val="both"/>
        <w:rPr>
          <w:rFonts w:asciiTheme="majorBidi" w:hAnsiTheme="majorBidi" w:cstheme="majorBidi"/>
          <w:color w:val="000000" w:themeColor="text1"/>
        </w:rPr>
      </w:pPr>
      <w:r w:rsidRPr="003F0C5A">
        <w:rPr>
          <w:rFonts w:asciiTheme="majorBidi" w:hAnsiTheme="majorBidi" w:cstheme="majorBidi"/>
          <w:color w:val="000000" w:themeColor="text1"/>
        </w:rPr>
        <w:t>Turklāt Senāts konstatē, ka tiesa</w:t>
      </w:r>
      <w:r w:rsidR="00272721">
        <w:rPr>
          <w:rFonts w:asciiTheme="majorBidi" w:hAnsiTheme="majorBidi" w:cstheme="majorBidi"/>
          <w:color w:val="000000" w:themeColor="text1"/>
        </w:rPr>
        <w:t xml:space="preserve">, lai arī pamatoti </w:t>
      </w:r>
      <w:r w:rsidR="0018733E">
        <w:rPr>
          <w:rFonts w:asciiTheme="majorBidi" w:hAnsiTheme="majorBidi" w:cstheme="majorBidi"/>
          <w:color w:val="000000" w:themeColor="text1"/>
        </w:rPr>
        <w:t xml:space="preserve">noteikusi </w:t>
      </w:r>
      <w:r w:rsidR="00500229">
        <w:rPr>
          <w:rFonts w:asciiTheme="majorBidi" w:hAnsiTheme="majorBidi" w:cstheme="majorBidi"/>
          <w:color w:val="000000" w:themeColor="text1"/>
        </w:rPr>
        <w:t>dīzeļ</w:t>
      </w:r>
      <w:r w:rsidR="0018733E">
        <w:rPr>
          <w:rFonts w:asciiTheme="majorBidi" w:hAnsiTheme="majorBidi" w:cstheme="majorBidi"/>
          <w:color w:val="000000" w:themeColor="text1"/>
        </w:rPr>
        <w:t>degvielas vērtību pēc</w:t>
      </w:r>
      <w:r w:rsidR="00272721">
        <w:rPr>
          <w:rFonts w:asciiTheme="majorBidi" w:hAnsiTheme="majorBidi" w:cstheme="majorBidi"/>
          <w:color w:val="000000" w:themeColor="text1"/>
        </w:rPr>
        <w:t xml:space="preserve"> mazumtirdzniecības cena</w:t>
      </w:r>
      <w:r w:rsidR="0018733E">
        <w:rPr>
          <w:rFonts w:asciiTheme="majorBidi" w:hAnsiTheme="majorBidi" w:cstheme="majorBidi"/>
          <w:color w:val="000000" w:themeColor="text1"/>
        </w:rPr>
        <w:t>s</w:t>
      </w:r>
      <w:r w:rsidR="00272721">
        <w:rPr>
          <w:rFonts w:asciiTheme="majorBidi" w:hAnsiTheme="majorBidi" w:cstheme="majorBidi"/>
          <w:color w:val="000000" w:themeColor="text1"/>
        </w:rPr>
        <w:t>,</w:t>
      </w:r>
      <w:r w:rsidR="00460D5B" w:rsidRPr="003F0C5A">
        <w:rPr>
          <w:rFonts w:asciiTheme="majorBidi" w:hAnsiTheme="majorBidi" w:cstheme="majorBidi"/>
          <w:color w:val="000000" w:themeColor="text1"/>
        </w:rPr>
        <w:t xml:space="preserve"> </w:t>
      </w:r>
      <w:r w:rsidR="00500229">
        <w:rPr>
          <w:rFonts w:asciiTheme="majorBidi" w:hAnsiTheme="majorBidi" w:cstheme="majorBidi"/>
          <w:color w:val="000000" w:themeColor="text1"/>
        </w:rPr>
        <w:t>to nav noteikusi</w:t>
      </w:r>
      <w:r w:rsidR="0018733E">
        <w:rPr>
          <w:rFonts w:asciiTheme="majorBidi" w:hAnsiTheme="majorBidi" w:cstheme="majorBidi"/>
          <w:color w:val="000000" w:themeColor="text1"/>
        </w:rPr>
        <w:t xml:space="preserve"> pēc</w:t>
      </w:r>
      <w:r w:rsidR="00C803A5" w:rsidRPr="003F0C5A">
        <w:rPr>
          <w:rFonts w:asciiTheme="majorBidi" w:hAnsiTheme="majorBidi" w:cstheme="majorBidi"/>
          <w:color w:val="000000" w:themeColor="text1"/>
        </w:rPr>
        <w:t xml:space="preserve"> </w:t>
      </w:r>
      <w:r w:rsidRPr="003F0C5A">
        <w:rPr>
          <w:rFonts w:asciiTheme="majorBidi" w:hAnsiTheme="majorBidi" w:cstheme="majorBidi"/>
          <w:color w:val="000000" w:themeColor="text1"/>
        </w:rPr>
        <w:t>cen</w:t>
      </w:r>
      <w:r w:rsidR="0018733E">
        <w:rPr>
          <w:rFonts w:asciiTheme="majorBidi" w:hAnsiTheme="majorBidi" w:cstheme="majorBidi"/>
          <w:color w:val="000000" w:themeColor="text1"/>
        </w:rPr>
        <w:t>as, kāda</w:t>
      </w:r>
      <w:r w:rsidR="005E28EF">
        <w:rPr>
          <w:rFonts w:asciiTheme="majorBidi" w:hAnsiTheme="majorBidi" w:cstheme="majorBidi"/>
          <w:color w:val="000000" w:themeColor="text1"/>
        </w:rPr>
        <w:t xml:space="preserve"> tai</w:t>
      </w:r>
      <w:r w:rsidR="0018733E">
        <w:rPr>
          <w:rFonts w:asciiTheme="majorBidi" w:hAnsiTheme="majorBidi" w:cstheme="majorBidi"/>
          <w:color w:val="000000" w:themeColor="text1"/>
        </w:rPr>
        <w:t xml:space="preserve"> bija</w:t>
      </w:r>
      <w:r w:rsidRPr="003F0C5A">
        <w:rPr>
          <w:rFonts w:asciiTheme="majorBidi" w:hAnsiTheme="majorBidi" w:cstheme="majorBidi"/>
          <w:color w:val="000000" w:themeColor="text1"/>
        </w:rPr>
        <w:t xml:space="preserve"> noziedzīgā nodarījuma izdarīšanas dienā </w:t>
      </w:r>
      <w:r w:rsidR="00C803A5" w:rsidRPr="003F0C5A">
        <w:rPr>
          <w:rFonts w:asciiTheme="majorBidi" w:hAnsiTheme="majorBidi" w:cstheme="majorBidi"/>
          <w:color w:val="000000" w:themeColor="text1"/>
        </w:rPr>
        <w:t xml:space="preserve">– </w:t>
      </w:r>
      <w:r w:rsidRPr="003F0C5A">
        <w:rPr>
          <w:rFonts w:asciiTheme="majorBidi" w:hAnsiTheme="majorBidi" w:cstheme="majorBidi"/>
          <w:color w:val="000000" w:themeColor="text1"/>
        </w:rPr>
        <w:t>2013.</w:t>
      </w:r>
      <w:r w:rsidR="00D21212" w:rsidRPr="003F0C5A">
        <w:rPr>
          <w:rFonts w:asciiTheme="majorBidi" w:hAnsiTheme="majorBidi" w:cstheme="majorBidi"/>
          <w:color w:val="000000" w:themeColor="text1"/>
        </w:rPr>
        <w:t> </w:t>
      </w:r>
      <w:r w:rsidRPr="003F0C5A">
        <w:rPr>
          <w:rFonts w:asciiTheme="majorBidi" w:hAnsiTheme="majorBidi" w:cstheme="majorBidi"/>
          <w:color w:val="000000" w:themeColor="text1"/>
        </w:rPr>
        <w:t>gada 8.</w:t>
      </w:r>
      <w:r w:rsidR="00D21212" w:rsidRPr="003F0C5A">
        <w:rPr>
          <w:rFonts w:asciiTheme="majorBidi" w:hAnsiTheme="majorBidi" w:cstheme="majorBidi"/>
          <w:color w:val="000000" w:themeColor="text1"/>
        </w:rPr>
        <w:t> </w:t>
      </w:r>
      <w:r w:rsidRPr="003F0C5A">
        <w:rPr>
          <w:rFonts w:asciiTheme="majorBidi" w:hAnsiTheme="majorBidi" w:cstheme="majorBidi"/>
          <w:color w:val="000000" w:themeColor="text1"/>
        </w:rPr>
        <w:t>maijā.</w:t>
      </w:r>
    </w:p>
    <w:p w14:paraId="05984E0B" w14:textId="065D9E02" w:rsidR="009C1DEE" w:rsidRPr="003F0C5A" w:rsidRDefault="00A86FEC" w:rsidP="00EE7E71">
      <w:pPr>
        <w:suppressAutoHyphens w:val="0"/>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Minēto</w:t>
      </w:r>
      <w:r w:rsidR="009C1DEE">
        <w:rPr>
          <w:rFonts w:asciiTheme="majorBidi" w:hAnsiTheme="majorBidi" w:cstheme="majorBidi"/>
          <w:color w:val="000000" w:themeColor="text1"/>
        </w:rPr>
        <w:t xml:space="preserve"> pamato šādi apsvērumi.</w:t>
      </w:r>
    </w:p>
    <w:p w14:paraId="22BFAFA8" w14:textId="7E094861" w:rsidR="000003B9" w:rsidRPr="003E77B6" w:rsidRDefault="003E77B6" w:rsidP="00EE7E71">
      <w:pPr>
        <w:shd w:val="clear" w:color="auto" w:fill="FFFFFF"/>
        <w:suppressAutoHyphens w:val="0"/>
        <w:spacing w:line="276" w:lineRule="auto"/>
        <w:ind w:firstLine="720"/>
        <w:jc w:val="both"/>
        <w:rPr>
          <w:rFonts w:asciiTheme="majorBidi" w:hAnsiTheme="majorBidi" w:cstheme="majorBidi"/>
          <w:b/>
          <w:bCs/>
        </w:rPr>
      </w:pPr>
      <w:r w:rsidRPr="003E77B6">
        <w:rPr>
          <w:rFonts w:asciiTheme="majorBidi" w:hAnsiTheme="majorBidi" w:cstheme="majorBidi"/>
        </w:rPr>
        <w:t>[10.1]</w:t>
      </w:r>
      <w:r w:rsidR="00D21212">
        <w:rPr>
          <w:rFonts w:asciiTheme="majorBidi" w:hAnsiTheme="majorBidi" w:cstheme="majorBidi"/>
          <w:b/>
          <w:bCs/>
        </w:rPr>
        <w:t> </w:t>
      </w:r>
      <w:r w:rsidR="000003B9" w:rsidRPr="00437F4B">
        <w:rPr>
          <w:rFonts w:asciiTheme="majorBidi" w:hAnsiTheme="majorBidi" w:cstheme="majorBidi"/>
        </w:rPr>
        <w:t xml:space="preserve">Saskaņā ar likuma „Par Krimināllikuma spēkā stāšanās un piemērošanas kārtību” (turpmāk – Īpašais likums) 20. pantu redakcijā, kas stājās spēkā 2012. gada 1. janvārī, </w:t>
      </w:r>
      <w:r w:rsidR="000003B9" w:rsidRPr="00437F4B">
        <w:rPr>
          <w:rFonts w:asciiTheme="majorBidi" w:hAnsiTheme="majorBidi" w:cstheme="majorBidi"/>
          <w:spacing w:val="-1"/>
        </w:rPr>
        <w:t>atbildība</w:t>
      </w:r>
      <w:r w:rsidR="000003B9" w:rsidRPr="003D6FC9">
        <w:rPr>
          <w:rFonts w:asciiTheme="majorBidi" w:hAnsiTheme="majorBidi" w:cstheme="majorBidi"/>
        </w:rPr>
        <w:t xml:space="preserve"> pa</w:t>
      </w:r>
      <w:r w:rsidR="000003B9" w:rsidRPr="00437F4B">
        <w:rPr>
          <w:rFonts w:asciiTheme="majorBidi" w:hAnsiTheme="majorBidi" w:cstheme="majorBidi"/>
        </w:rPr>
        <w:t>r Krimināllikumā</w:t>
      </w:r>
      <w:r w:rsidR="000003B9" w:rsidRPr="003D6FC9">
        <w:rPr>
          <w:rFonts w:asciiTheme="majorBidi" w:hAnsiTheme="majorBidi" w:cstheme="majorBidi"/>
        </w:rPr>
        <w:t xml:space="preserve"> paredzēto noziegumu, kas izdarīts lielā apmērā, iestājas, ja nozieguma priekšmeta kopējā vērtība nodarījuma izdarīšanas brīdī nav bijusi mazāka par </w:t>
      </w:r>
      <w:r w:rsidR="00C830E6">
        <w:rPr>
          <w:rFonts w:asciiTheme="majorBidi" w:hAnsiTheme="majorBidi" w:cstheme="majorBidi"/>
        </w:rPr>
        <w:t>50</w:t>
      </w:r>
      <w:r w:rsidR="000003B9" w:rsidRPr="003D6FC9">
        <w:rPr>
          <w:rFonts w:asciiTheme="majorBidi" w:hAnsiTheme="majorBidi" w:cstheme="majorBidi"/>
        </w:rPr>
        <w:t xml:space="preserve"> tai laikā Latvijas Republikā noteikto minimālo mēnešalgu kopsummu. Priekšmetu vērtība nosakāma atbilstoši tirgus cenām vai tām pielīdzinātām cenām nodarījuma izdarīšanas laikā.</w:t>
      </w:r>
    </w:p>
    <w:p w14:paraId="38D5AA79" w14:textId="4113E314" w:rsidR="00A91DB7" w:rsidRDefault="003927BD" w:rsidP="00EE7E71">
      <w:pPr>
        <w:shd w:val="clear" w:color="auto" w:fill="FFFFFF"/>
        <w:suppressAutoHyphens w:val="0"/>
        <w:spacing w:line="276" w:lineRule="auto"/>
        <w:ind w:firstLine="720"/>
        <w:jc w:val="both"/>
        <w:rPr>
          <w:rFonts w:asciiTheme="majorBidi" w:hAnsiTheme="majorBidi" w:cstheme="majorBidi"/>
        </w:rPr>
      </w:pPr>
      <w:r w:rsidRPr="003927BD">
        <w:rPr>
          <w:rFonts w:asciiTheme="majorBidi" w:hAnsiTheme="majorBidi" w:cstheme="majorBidi"/>
        </w:rPr>
        <w:t xml:space="preserve">Īpašais likums </w:t>
      </w:r>
      <w:r w:rsidR="00EF7E79">
        <w:rPr>
          <w:rFonts w:asciiTheme="majorBidi" w:hAnsiTheme="majorBidi" w:cstheme="majorBidi"/>
        </w:rPr>
        <w:t>n</w:t>
      </w:r>
      <w:r w:rsidR="00EF7E79" w:rsidRPr="003927BD">
        <w:rPr>
          <w:rFonts w:asciiTheme="majorBidi" w:hAnsiTheme="majorBidi" w:cstheme="majorBidi"/>
        </w:rPr>
        <w:t xml:space="preserve">aftas produktiem </w:t>
      </w:r>
      <w:r w:rsidRPr="003927BD">
        <w:rPr>
          <w:rFonts w:asciiTheme="majorBidi" w:hAnsiTheme="majorBidi" w:cstheme="majorBidi"/>
        </w:rPr>
        <w:t xml:space="preserve">izņēmumu </w:t>
      </w:r>
      <w:r w:rsidR="00EF7E79">
        <w:rPr>
          <w:rFonts w:asciiTheme="majorBidi" w:hAnsiTheme="majorBidi" w:cstheme="majorBidi"/>
        </w:rPr>
        <w:t xml:space="preserve">no šī noteikuma </w:t>
      </w:r>
      <w:r w:rsidRPr="003927BD">
        <w:rPr>
          <w:rFonts w:asciiTheme="majorBidi" w:hAnsiTheme="majorBidi" w:cstheme="majorBidi"/>
        </w:rPr>
        <w:t>n</w:t>
      </w:r>
      <w:r w:rsidR="004329F0">
        <w:rPr>
          <w:rFonts w:asciiTheme="majorBidi" w:hAnsiTheme="majorBidi" w:cstheme="majorBidi"/>
        </w:rPr>
        <w:t>av paredzējis</w:t>
      </w:r>
      <w:r w:rsidRPr="003927BD">
        <w:rPr>
          <w:rFonts w:asciiTheme="majorBidi" w:hAnsiTheme="majorBidi" w:cstheme="majorBidi"/>
        </w:rPr>
        <w:t xml:space="preserve">, tādēļ </w:t>
      </w:r>
      <w:r w:rsidR="00A91DB7">
        <w:rPr>
          <w:rFonts w:asciiTheme="majorBidi" w:hAnsiTheme="majorBidi" w:cstheme="majorBidi"/>
        </w:rPr>
        <w:t>dīzeļdegvielas</w:t>
      </w:r>
      <w:r w:rsidRPr="003927BD">
        <w:rPr>
          <w:rFonts w:asciiTheme="majorBidi" w:hAnsiTheme="majorBidi" w:cstheme="majorBidi"/>
        </w:rPr>
        <w:t xml:space="preserve"> vērtības noteikšanai piemērojama šā likuma 20.</w:t>
      </w:r>
      <w:r w:rsidR="009D480D">
        <w:rPr>
          <w:rFonts w:asciiTheme="majorBidi" w:hAnsiTheme="majorBidi" w:cstheme="majorBidi"/>
        </w:rPr>
        <w:t> </w:t>
      </w:r>
      <w:r w:rsidRPr="003927BD">
        <w:rPr>
          <w:rFonts w:asciiTheme="majorBidi" w:hAnsiTheme="majorBidi" w:cstheme="majorBidi"/>
        </w:rPr>
        <w:t>pant</w:t>
      </w:r>
      <w:r w:rsidR="00A91DB7">
        <w:rPr>
          <w:rFonts w:asciiTheme="majorBidi" w:hAnsiTheme="majorBidi" w:cstheme="majorBidi"/>
        </w:rPr>
        <w:t xml:space="preserve">ā </w:t>
      </w:r>
      <w:r w:rsidR="00500229">
        <w:rPr>
          <w:rFonts w:asciiTheme="majorBidi" w:hAnsiTheme="majorBidi" w:cstheme="majorBidi"/>
        </w:rPr>
        <w:t>paredzētā</w:t>
      </w:r>
      <w:r w:rsidRPr="003927BD">
        <w:rPr>
          <w:rFonts w:asciiTheme="majorBidi" w:hAnsiTheme="majorBidi" w:cstheme="majorBidi"/>
        </w:rPr>
        <w:t xml:space="preserve"> kārtība</w:t>
      </w:r>
      <w:r>
        <w:rPr>
          <w:rFonts w:asciiTheme="majorBidi" w:hAnsiTheme="majorBidi" w:cstheme="majorBidi"/>
        </w:rPr>
        <w:t>.</w:t>
      </w:r>
    </w:p>
    <w:p w14:paraId="07B159E4" w14:textId="16655557" w:rsidR="003E77B6" w:rsidRPr="00A91DB7" w:rsidRDefault="00A91DB7" w:rsidP="00EE7E71">
      <w:pPr>
        <w:shd w:val="clear" w:color="auto" w:fill="FFFFFF"/>
        <w:suppressAutoHyphens w:val="0"/>
        <w:spacing w:line="276" w:lineRule="auto"/>
        <w:ind w:firstLine="720"/>
        <w:jc w:val="both"/>
        <w:rPr>
          <w:rFonts w:asciiTheme="majorBidi" w:hAnsiTheme="majorBidi" w:cstheme="majorBidi"/>
        </w:rPr>
      </w:pPr>
      <w:r w:rsidRPr="00093B17">
        <w:t>Īpašā likuma 20.</w:t>
      </w:r>
      <w:r w:rsidR="009D480D">
        <w:t> </w:t>
      </w:r>
      <w:r w:rsidRPr="00093B17">
        <w:t xml:space="preserve">panta izpratnē </w:t>
      </w:r>
      <w:r w:rsidR="009D480D">
        <w:t>„</w:t>
      </w:r>
      <w:r w:rsidRPr="00093B17">
        <w:t>tirgus cena” ir vērtība, par kādu attiecīgo mantu var iegādāties vai pārdot brīvā tirgū nodarījuma brīdī</w:t>
      </w:r>
      <w:r>
        <w:t xml:space="preserve">, savukārt </w:t>
      </w:r>
      <w:r w:rsidR="009D480D">
        <w:t>„</w:t>
      </w:r>
      <w:r>
        <w:t>t</w:t>
      </w:r>
      <w:r w:rsidRPr="00093B17">
        <w:t>irgus cenai pielīdzināta cena” piemērojama tad, ja tirgus cenu objektīvi noteikt nav iespējams</w:t>
      </w:r>
      <w:r>
        <w:t xml:space="preserve">, </w:t>
      </w:r>
      <w:r w:rsidR="003E77B6" w:rsidRPr="00A91DB7">
        <w:rPr>
          <w:rFonts w:asciiTheme="majorBidi" w:hAnsiTheme="majorBidi" w:cstheme="majorBidi"/>
        </w:rPr>
        <w:t xml:space="preserve">piemēram, unikāliem priekšmetiem </w:t>
      </w:r>
      <w:r w:rsidR="009D480D">
        <w:rPr>
          <w:rFonts w:asciiTheme="majorBidi" w:hAnsiTheme="majorBidi" w:cstheme="majorBidi"/>
        </w:rPr>
        <w:t>–</w:t>
      </w:r>
      <w:r w:rsidR="003E77B6" w:rsidRPr="00A91DB7">
        <w:rPr>
          <w:rFonts w:asciiTheme="majorBidi" w:hAnsiTheme="majorBidi" w:cstheme="majorBidi"/>
        </w:rPr>
        <w:t xml:space="preserve"> mākslas darbiem, antīkām monētām, kuru vērtība tiek noteikta, balstoties uz ekspertu novērtējumu.</w:t>
      </w:r>
    </w:p>
    <w:p w14:paraId="3233C8F6" w14:textId="5ABEE685" w:rsidR="003E77B6" w:rsidRDefault="00A91DB7"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D</w:t>
      </w:r>
      <w:r w:rsidR="003E77B6" w:rsidRPr="00A91DB7">
        <w:rPr>
          <w:rFonts w:asciiTheme="majorBidi" w:hAnsiTheme="majorBidi" w:cstheme="majorBidi"/>
        </w:rPr>
        <w:t>īzeļdegvielas vērtība nosakāma pēc t</w:t>
      </w:r>
      <w:r w:rsidR="00EF7E79">
        <w:rPr>
          <w:rFonts w:asciiTheme="majorBidi" w:hAnsiTheme="majorBidi" w:cstheme="majorBidi"/>
        </w:rPr>
        <w:t>ās t</w:t>
      </w:r>
      <w:r w:rsidR="003E77B6" w:rsidRPr="00A91DB7">
        <w:rPr>
          <w:rFonts w:asciiTheme="majorBidi" w:hAnsiTheme="majorBidi" w:cstheme="majorBidi"/>
        </w:rPr>
        <w:t>irgus cenas</w:t>
      </w:r>
      <w:r w:rsidR="00EF7E79">
        <w:rPr>
          <w:rFonts w:asciiTheme="majorBidi" w:hAnsiTheme="majorBidi" w:cstheme="majorBidi"/>
        </w:rPr>
        <w:t>.</w:t>
      </w:r>
    </w:p>
    <w:p w14:paraId="7C1E8041" w14:textId="7415BA88" w:rsidR="00494327" w:rsidRPr="00810762" w:rsidRDefault="000647D8" w:rsidP="00EE7E71">
      <w:pPr>
        <w:shd w:val="clear" w:color="auto" w:fill="FFFFFF"/>
        <w:suppressAutoHyphens w:val="0"/>
        <w:spacing w:line="276" w:lineRule="auto"/>
        <w:ind w:firstLine="720"/>
        <w:jc w:val="both"/>
        <w:rPr>
          <w:rFonts w:asciiTheme="majorBidi" w:hAnsiTheme="majorBidi" w:cstheme="majorBidi"/>
        </w:rPr>
      </w:pPr>
      <w:r w:rsidRPr="00810762">
        <w:rPr>
          <w:rFonts w:asciiTheme="majorBidi" w:hAnsiTheme="majorBidi" w:cstheme="majorBidi"/>
        </w:rPr>
        <w:t>[10.2]</w:t>
      </w:r>
      <w:r w:rsidR="009D480D" w:rsidRPr="00810762">
        <w:rPr>
          <w:rFonts w:asciiTheme="majorBidi" w:hAnsiTheme="majorBidi" w:cstheme="majorBidi"/>
        </w:rPr>
        <w:t> </w:t>
      </w:r>
      <w:r w:rsidR="00494327" w:rsidRPr="00810762">
        <w:t>Senāts piekrīt tiesa</w:t>
      </w:r>
      <w:r w:rsidR="00810762">
        <w:t>s</w:t>
      </w:r>
      <w:r w:rsidR="00494327" w:rsidRPr="00810762">
        <w:t xml:space="preserve"> viedoklim, ka dīzeļdegvielas vērtība nosakāma pēc mazumtirdzniecības cenas.</w:t>
      </w:r>
    </w:p>
    <w:p w14:paraId="5741565C" w14:textId="198B4F49" w:rsidR="00D00CDC" w:rsidRDefault="00612B11" w:rsidP="00EE7E71">
      <w:pPr>
        <w:shd w:val="clear" w:color="auto" w:fill="FFFFFF"/>
        <w:suppressAutoHyphens w:val="0"/>
        <w:spacing w:line="276" w:lineRule="auto"/>
        <w:ind w:firstLine="720"/>
        <w:jc w:val="both"/>
        <w:rPr>
          <w:rFonts w:asciiTheme="majorBidi" w:hAnsiTheme="majorBidi" w:cstheme="majorBidi"/>
        </w:rPr>
      </w:pPr>
      <w:r w:rsidRPr="00612B11">
        <w:rPr>
          <w:rFonts w:asciiTheme="majorBidi" w:hAnsiTheme="majorBidi" w:cstheme="majorBidi"/>
        </w:rPr>
        <w:t>Šāds secinājums atbilst Senāta līdzšinējām atziņām</w:t>
      </w:r>
      <w:r w:rsidR="00A91DB7">
        <w:rPr>
          <w:rFonts w:asciiTheme="majorBidi" w:hAnsiTheme="majorBidi" w:cstheme="majorBidi"/>
        </w:rPr>
        <w:t xml:space="preserve"> par </w:t>
      </w:r>
      <w:r w:rsidR="00D00CDC">
        <w:rPr>
          <w:rFonts w:asciiTheme="majorBidi" w:hAnsiTheme="majorBidi" w:cstheme="majorBidi"/>
        </w:rPr>
        <w:t>Īpašā likuma 20. pant</w:t>
      </w:r>
      <w:r w:rsidR="00EF7E79">
        <w:rPr>
          <w:rFonts w:asciiTheme="majorBidi" w:hAnsiTheme="majorBidi" w:cstheme="majorBidi"/>
        </w:rPr>
        <w:t xml:space="preserve">u: </w:t>
      </w:r>
      <w:r w:rsidR="00D00CDC" w:rsidRPr="00437F4B">
        <w:rPr>
          <w:rFonts w:asciiTheme="majorBidi" w:hAnsiTheme="majorBidi" w:cstheme="majorBidi"/>
        </w:rPr>
        <w:t>tirgus ekonomikas apstākļos ir pareiz</w:t>
      </w:r>
      <w:r w:rsidR="00BC1C81">
        <w:rPr>
          <w:rFonts w:asciiTheme="majorBidi" w:hAnsiTheme="majorBidi" w:cstheme="majorBidi"/>
        </w:rPr>
        <w:t xml:space="preserve">i vadīties </w:t>
      </w:r>
      <w:r w:rsidR="00BC1C81">
        <w:t>pēc atbilstošām tirgus cenām vai tām pielīdzinātām cenām nodarījuma izdarīšanas laikā</w:t>
      </w:r>
      <w:r w:rsidR="00D00CDC" w:rsidRPr="00437F4B">
        <w:rPr>
          <w:rFonts w:asciiTheme="majorBidi" w:hAnsiTheme="majorBidi" w:cstheme="majorBidi"/>
        </w:rPr>
        <w:t>, jo</w:t>
      </w:r>
      <w:r w:rsidR="00BC1C81">
        <w:rPr>
          <w:rFonts w:asciiTheme="majorBidi" w:hAnsiTheme="majorBidi" w:cstheme="majorBidi"/>
        </w:rPr>
        <w:t xml:space="preserve"> tas</w:t>
      </w:r>
      <w:r w:rsidR="00D00CDC" w:rsidRPr="00437F4B">
        <w:rPr>
          <w:rFonts w:asciiTheme="majorBidi" w:hAnsiTheme="majorBidi" w:cstheme="majorBidi"/>
        </w:rPr>
        <w:t xml:space="preserve"> no</w:t>
      </w:r>
      <w:r w:rsidR="00BC1C81">
        <w:rPr>
          <w:rFonts w:asciiTheme="majorBidi" w:hAnsiTheme="majorBidi" w:cstheme="majorBidi"/>
        </w:rPr>
        <w:t>drošina</w:t>
      </w:r>
      <w:r w:rsidR="00D00CDC" w:rsidRPr="00437F4B">
        <w:rPr>
          <w:rFonts w:asciiTheme="majorBidi" w:hAnsiTheme="majorBidi" w:cstheme="majorBidi"/>
        </w:rPr>
        <w:t xml:space="preserve"> vienveidīgu pieeju kaitējuma apmēra noteikšanā, ietverot tajā visus komponentus, kas veido attiecīgās mantas vērtību</w:t>
      </w:r>
      <w:r>
        <w:rPr>
          <w:rFonts w:asciiTheme="majorBidi" w:hAnsiTheme="majorBidi" w:cstheme="majorBidi"/>
        </w:rPr>
        <w:t xml:space="preserve"> </w:t>
      </w:r>
      <w:r w:rsidR="00D00CDC" w:rsidRPr="000003B9">
        <w:rPr>
          <w:rFonts w:asciiTheme="majorBidi" w:hAnsiTheme="majorBidi" w:cstheme="majorBidi"/>
        </w:rPr>
        <w:t>(</w:t>
      </w:r>
      <w:r w:rsidR="00D00CDC" w:rsidRPr="00437F4B">
        <w:rPr>
          <w:rFonts w:asciiTheme="majorBidi" w:hAnsiTheme="majorBidi" w:cstheme="majorBidi"/>
          <w:i/>
          <w:iCs/>
        </w:rPr>
        <w:t>Senāta 2015. gada 27. maija lēmums lietā Nr.</w:t>
      </w:r>
      <w:r w:rsidR="002930D6">
        <w:rPr>
          <w:rFonts w:asciiTheme="majorBidi" w:hAnsiTheme="majorBidi" w:cstheme="majorBidi"/>
          <w:i/>
          <w:iCs/>
        </w:rPr>
        <w:t> </w:t>
      </w:r>
      <w:hyperlink r:id="rId10" w:history="1">
        <w:r w:rsidR="00D00CDC" w:rsidRPr="002930D6">
          <w:rPr>
            <w:rStyle w:val="Hyperlink"/>
            <w:rFonts w:asciiTheme="majorBidi" w:hAnsiTheme="majorBidi" w:cstheme="majorBidi"/>
            <w:i/>
            <w:iCs/>
          </w:rPr>
          <w:t>SKK-144/2015</w:t>
        </w:r>
      </w:hyperlink>
      <w:r w:rsidR="00D00CDC" w:rsidRPr="00437F4B">
        <w:rPr>
          <w:rFonts w:asciiTheme="majorBidi" w:hAnsiTheme="majorBidi" w:cstheme="majorBidi"/>
          <w:i/>
          <w:iCs/>
        </w:rPr>
        <w:t xml:space="preserve">, </w:t>
      </w:r>
      <w:r w:rsidR="00D00CDC" w:rsidRPr="00437F4B">
        <w:rPr>
          <w:rFonts w:asciiTheme="majorBidi" w:hAnsiTheme="majorBidi" w:cstheme="majorBidi"/>
          <w:i/>
          <w:iCs/>
          <w:spacing w:val="-2"/>
        </w:rPr>
        <w:t>15890011613</w:t>
      </w:r>
      <w:r w:rsidR="00D00CDC" w:rsidRPr="00437F4B">
        <w:rPr>
          <w:rFonts w:asciiTheme="majorBidi" w:hAnsiTheme="majorBidi" w:cstheme="majorBidi"/>
        </w:rPr>
        <w:t>).</w:t>
      </w:r>
    </w:p>
    <w:p w14:paraId="22C6B006" w14:textId="7960B53B" w:rsidR="00D00CDC" w:rsidRPr="00A91DB7" w:rsidRDefault="008C6DEB"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 xml:space="preserve">Piemēram, Senāts jau iepriekš atzinis par pareizu </w:t>
      </w:r>
      <w:r w:rsidR="00BC1C81">
        <w:rPr>
          <w:rFonts w:asciiTheme="majorBidi" w:hAnsiTheme="majorBidi" w:cstheme="majorBidi"/>
        </w:rPr>
        <w:t>cigarešu</w:t>
      </w:r>
      <w:r w:rsidR="00D00CDC" w:rsidRPr="00D00CDC">
        <w:rPr>
          <w:rFonts w:asciiTheme="majorBidi" w:hAnsiTheme="majorBidi" w:cstheme="majorBidi"/>
        </w:rPr>
        <w:t xml:space="preserve"> vērtīb</w:t>
      </w:r>
      <w:r>
        <w:rPr>
          <w:rFonts w:asciiTheme="majorBidi" w:hAnsiTheme="majorBidi" w:cstheme="majorBidi"/>
        </w:rPr>
        <w:t>u</w:t>
      </w:r>
      <w:r w:rsidR="00BC1C81">
        <w:rPr>
          <w:rFonts w:asciiTheme="majorBidi" w:hAnsiTheme="majorBidi" w:cstheme="majorBidi"/>
        </w:rPr>
        <w:t xml:space="preserve"> </w:t>
      </w:r>
      <w:r>
        <w:rPr>
          <w:rFonts w:asciiTheme="majorBidi" w:hAnsiTheme="majorBidi" w:cstheme="majorBidi"/>
        </w:rPr>
        <w:t>noteikt pēc mazumtirdzniecības cenas</w:t>
      </w:r>
      <w:r w:rsidR="00D00CDC" w:rsidRPr="00D00CDC">
        <w:rPr>
          <w:rFonts w:asciiTheme="majorBidi" w:hAnsiTheme="majorBidi" w:cstheme="majorBidi"/>
        </w:rPr>
        <w:t xml:space="preserve"> (</w:t>
      </w:r>
      <w:r>
        <w:rPr>
          <w:rFonts w:asciiTheme="majorBidi" w:hAnsiTheme="majorBidi" w:cstheme="majorBidi"/>
        </w:rPr>
        <w:t>sk. sal. </w:t>
      </w:r>
      <w:r w:rsidR="00D00CDC" w:rsidRPr="00D00CDC">
        <w:rPr>
          <w:rFonts w:asciiTheme="majorBidi" w:hAnsiTheme="majorBidi" w:cstheme="majorBidi"/>
          <w:i/>
          <w:iCs/>
        </w:rPr>
        <w:t xml:space="preserve">Senāta </w:t>
      </w:r>
      <w:r w:rsidR="00D00CDC" w:rsidRPr="00D00CDC">
        <w:rPr>
          <w:i/>
          <w:iCs/>
        </w:rPr>
        <w:t>2016. gada 21. jūnija lēmum</w:t>
      </w:r>
      <w:r>
        <w:rPr>
          <w:i/>
          <w:iCs/>
        </w:rPr>
        <w:t>u</w:t>
      </w:r>
      <w:r w:rsidR="00D00CDC" w:rsidRPr="00D00CDC">
        <w:rPr>
          <w:i/>
          <w:iCs/>
        </w:rPr>
        <w:t xml:space="preserve"> lietā Nr.</w:t>
      </w:r>
      <w:r w:rsidR="006A2BA1">
        <w:rPr>
          <w:i/>
          <w:iCs/>
        </w:rPr>
        <w:t> </w:t>
      </w:r>
      <w:hyperlink r:id="rId11" w:history="1">
        <w:r w:rsidR="00D00CDC" w:rsidRPr="00C272FD">
          <w:rPr>
            <w:rStyle w:val="Hyperlink"/>
            <w:i/>
            <w:iCs/>
          </w:rPr>
          <w:t>SKK</w:t>
        </w:r>
        <w:r>
          <w:rPr>
            <w:rStyle w:val="Hyperlink"/>
            <w:i/>
            <w:iCs/>
          </w:rPr>
          <w:noBreakHyphen/>
        </w:r>
        <w:r w:rsidR="00D00CDC" w:rsidRPr="00C272FD">
          <w:rPr>
            <w:rStyle w:val="Hyperlink"/>
            <w:i/>
            <w:iCs/>
          </w:rPr>
          <w:t>99/2016</w:t>
        </w:r>
      </w:hyperlink>
      <w:r w:rsidR="00D00CDC" w:rsidRPr="00D00CDC">
        <w:rPr>
          <w:i/>
          <w:iCs/>
        </w:rPr>
        <w:t>, 15890011613</w:t>
      </w:r>
      <w:r w:rsidR="00D00CDC" w:rsidRPr="00D00CDC">
        <w:t>)</w:t>
      </w:r>
      <w:r>
        <w:t>, un norādījis, ka</w:t>
      </w:r>
      <w:r w:rsidR="006A2BA1">
        <w:t xml:space="preserve"> </w:t>
      </w:r>
      <w:r w:rsidR="00BC1C81">
        <w:t>c</w:t>
      </w:r>
      <w:r w:rsidR="00D00CDC">
        <w:t>igarešu vērtību</w:t>
      </w:r>
      <w:r w:rsidR="00D00CDC" w:rsidRPr="00437F4B">
        <w:rPr>
          <w:rFonts w:asciiTheme="majorBidi" w:hAnsiTheme="majorBidi" w:cstheme="majorBidi"/>
          <w:spacing w:val="-1"/>
        </w:rPr>
        <w:t xml:space="preserve"> </w:t>
      </w:r>
      <w:r w:rsidR="00D00CDC">
        <w:rPr>
          <w:rFonts w:asciiTheme="majorBidi" w:hAnsiTheme="majorBidi" w:cstheme="majorBidi"/>
          <w:spacing w:val="-1"/>
        </w:rPr>
        <w:t xml:space="preserve">Īpašā likuma </w:t>
      </w:r>
      <w:r w:rsidR="00D00CDC" w:rsidRPr="00437F4B">
        <w:rPr>
          <w:rFonts w:asciiTheme="majorBidi" w:hAnsiTheme="majorBidi" w:cstheme="majorBidi"/>
        </w:rPr>
        <w:t>20.</w:t>
      </w:r>
      <w:r w:rsidR="00C272FD">
        <w:rPr>
          <w:rFonts w:asciiTheme="majorBidi" w:hAnsiTheme="majorBidi" w:cstheme="majorBidi"/>
        </w:rPr>
        <w:t> </w:t>
      </w:r>
      <w:r w:rsidR="00D00CDC" w:rsidRPr="00437F4B">
        <w:rPr>
          <w:rFonts w:asciiTheme="majorBidi" w:hAnsiTheme="majorBidi" w:cstheme="majorBidi"/>
        </w:rPr>
        <w:t>pant</w:t>
      </w:r>
      <w:r w:rsidR="00D00CDC">
        <w:rPr>
          <w:rFonts w:asciiTheme="majorBidi" w:hAnsiTheme="majorBidi" w:cstheme="majorBidi"/>
        </w:rPr>
        <w:t xml:space="preserve">a </w:t>
      </w:r>
      <w:r w:rsidR="00D00CDC">
        <w:rPr>
          <w:rFonts w:asciiTheme="majorBidi" w:hAnsiTheme="majorBidi" w:cstheme="majorBidi"/>
        </w:rPr>
        <w:lastRenderedPageBreak/>
        <w:t>izpratnē</w:t>
      </w:r>
      <w:r w:rsidR="00D00CDC" w:rsidRPr="00437F4B">
        <w:rPr>
          <w:rFonts w:asciiTheme="majorBidi" w:hAnsiTheme="majorBidi" w:cstheme="majorBidi"/>
        </w:rPr>
        <w:t xml:space="preserve"> veido </w:t>
      </w:r>
      <w:r w:rsidR="00D00CDC">
        <w:rPr>
          <w:rFonts w:asciiTheme="majorBidi" w:hAnsiTheme="majorBidi" w:cstheme="majorBidi"/>
        </w:rPr>
        <w:t>to</w:t>
      </w:r>
      <w:r w:rsidR="00D00CDC" w:rsidRPr="00437F4B">
        <w:rPr>
          <w:rFonts w:asciiTheme="majorBidi" w:hAnsiTheme="majorBidi" w:cstheme="majorBidi"/>
        </w:rPr>
        <w:t xml:space="preserve"> muitas vērtība, muitas nodoklis, akcīzes nodoklis</w:t>
      </w:r>
      <w:r w:rsidR="00A8047A">
        <w:rPr>
          <w:rFonts w:asciiTheme="majorBidi" w:hAnsiTheme="majorBidi" w:cstheme="majorBidi"/>
        </w:rPr>
        <w:t xml:space="preserve"> un</w:t>
      </w:r>
      <w:r w:rsidR="00D00CDC" w:rsidRPr="00437F4B">
        <w:rPr>
          <w:rFonts w:asciiTheme="majorBidi" w:hAnsiTheme="majorBidi" w:cstheme="majorBidi"/>
        </w:rPr>
        <w:t xml:space="preserve"> pievienotās vērtības nodoklis</w:t>
      </w:r>
      <w:r w:rsidR="00D00CDC" w:rsidRPr="00437F4B">
        <w:rPr>
          <w:rFonts w:asciiTheme="majorBidi" w:hAnsiTheme="majorBidi" w:cstheme="majorBidi"/>
          <w:i/>
          <w:iCs/>
        </w:rPr>
        <w:t xml:space="preserve"> </w:t>
      </w:r>
      <w:r w:rsidR="00D00CDC" w:rsidRPr="000003B9">
        <w:rPr>
          <w:rFonts w:asciiTheme="majorBidi" w:hAnsiTheme="majorBidi" w:cstheme="majorBidi"/>
        </w:rPr>
        <w:t>(</w:t>
      </w:r>
      <w:r>
        <w:rPr>
          <w:rFonts w:asciiTheme="majorBidi" w:hAnsiTheme="majorBidi" w:cstheme="majorBidi"/>
        </w:rPr>
        <w:t>sk. </w:t>
      </w:r>
      <w:r w:rsidR="00D00CDC" w:rsidRPr="00437F4B">
        <w:rPr>
          <w:rFonts w:asciiTheme="majorBidi" w:hAnsiTheme="majorBidi" w:cstheme="majorBidi"/>
          <w:i/>
          <w:iCs/>
        </w:rPr>
        <w:t>Senāta 2015. gada 27. maija lēmum</w:t>
      </w:r>
      <w:r>
        <w:rPr>
          <w:rFonts w:asciiTheme="majorBidi" w:hAnsiTheme="majorBidi" w:cstheme="majorBidi"/>
          <w:i/>
          <w:iCs/>
        </w:rPr>
        <w:t>u</w:t>
      </w:r>
      <w:r w:rsidR="00D00CDC" w:rsidRPr="00437F4B">
        <w:rPr>
          <w:rFonts w:asciiTheme="majorBidi" w:hAnsiTheme="majorBidi" w:cstheme="majorBidi"/>
          <w:i/>
          <w:iCs/>
        </w:rPr>
        <w:t xml:space="preserve"> lietā Nr.</w:t>
      </w:r>
      <w:r w:rsidR="00C272FD">
        <w:rPr>
          <w:rFonts w:asciiTheme="majorBidi" w:hAnsiTheme="majorBidi" w:cstheme="majorBidi"/>
          <w:i/>
          <w:iCs/>
        </w:rPr>
        <w:t> </w:t>
      </w:r>
      <w:hyperlink r:id="rId12" w:history="1">
        <w:r w:rsidR="00D00CDC" w:rsidRPr="00C272FD">
          <w:rPr>
            <w:rStyle w:val="Hyperlink"/>
            <w:rFonts w:asciiTheme="majorBidi" w:hAnsiTheme="majorBidi" w:cstheme="majorBidi"/>
            <w:i/>
            <w:iCs/>
          </w:rPr>
          <w:t>SKK-144/2015</w:t>
        </w:r>
      </w:hyperlink>
      <w:r w:rsidR="00D00CDC" w:rsidRPr="00437F4B">
        <w:rPr>
          <w:rFonts w:asciiTheme="majorBidi" w:hAnsiTheme="majorBidi" w:cstheme="majorBidi"/>
          <w:i/>
          <w:iCs/>
        </w:rPr>
        <w:t xml:space="preserve">, </w:t>
      </w:r>
      <w:r w:rsidR="00D00CDC" w:rsidRPr="00437F4B">
        <w:rPr>
          <w:rFonts w:asciiTheme="majorBidi" w:hAnsiTheme="majorBidi" w:cstheme="majorBidi"/>
          <w:i/>
          <w:iCs/>
          <w:spacing w:val="-2"/>
        </w:rPr>
        <w:t>15890011613</w:t>
      </w:r>
      <w:r w:rsidR="00D00CDC" w:rsidRPr="00437F4B">
        <w:rPr>
          <w:rFonts w:asciiTheme="majorBidi" w:hAnsiTheme="majorBidi" w:cstheme="majorBidi"/>
        </w:rPr>
        <w:t xml:space="preserve">, </w:t>
      </w:r>
      <w:r w:rsidR="00D00CDC" w:rsidRPr="00437F4B">
        <w:rPr>
          <w:rFonts w:asciiTheme="majorBidi" w:hAnsiTheme="majorBidi" w:cstheme="majorBidi"/>
          <w:i/>
          <w:iCs/>
        </w:rPr>
        <w:t>2015. gada 14.</w:t>
      </w:r>
      <w:r w:rsidR="00C272FD">
        <w:rPr>
          <w:rFonts w:asciiTheme="majorBidi" w:hAnsiTheme="majorBidi" w:cstheme="majorBidi"/>
          <w:i/>
          <w:iCs/>
        </w:rPr>
        <w:t> </w:t>
      </w:r>
      <w:r w:rsidR="00D00CDC" w:rsidRPr="00437F4B">
        <w:rPr>
          <w:rFonts w:asciiTheme="majorBidi" w:hAnsiTheme="majorBidi" w:cstheme="majorBidi"/>
          <w:i/>
          <w:iCs/>
        </w:rPr>
        <w:t>maija lēmum</w:t>
      </w:r>
      <w:r>
        <w:rPr>
          <w:rFonts w:asciiTheme="majorBidi" w:hAnsiTheme="majorBidi" w:cstheme="majorBidi"/>
          <w:i/>
          <w:iCs/>
        </w:rPr>
        <w:t>u</w:t>
      </w:r>
      <w:r w:rsidR="00D00CDC" w:rsidRPr="00437F4B">
        <w:rPr>
          <w:rFonts w:asciiTheme="majorBidi" w:hAnsiTheme="majorBidi" w:cstheme="majorBidi"/>
          <w:i/>
          <w:iCs/>
        </w:rPr>
        <w:t xml:space="preserve"> lietā Nr.</w:t>
      </w:r>
      <w:r w:rsidR="00C272FD">
        <w:rPr>
          <w:rFonts w:asciiTheme="majorBidi" w:hAnsiTheme="majorBidi" w:cstheme="majorBidi"/>
          <w:i/>
          <w:iCs/>
        </w:rPr>
        <w:t> </w:t>
      </w:r>
      <w:hyperlink r:id="rId13" w:history="1">
        <w:r w:rsidR="00D00CDC" w:rsidRPr="00C272FD">
          <w:rPr>
            <w:rStyle w:val="Hyperlink"/>
            <w:rFonts w:asciiTheme="majorBidi" w:hAnsiTheme="majorBidi" w:cstheme="majorBidi"/>
            <w:i/>
            <w:iCs/>
          </w:rPr>
          <w:t>SKK-58/2015</w:t>
        </w:r>
      </w:hyperlink>
      <w:r w:rsidR="00D00CDC" w:rsidRPr="00437F4B">
        <w:rPr>
          <w:rFonts w:asciiTheme="majorBidi" w:hAnsiTheme="majorBidi" w:cstheme="majorBidi"/>
          <w:i/>
          <w:iCs/>
        </w:rPr>
        <w:t>, 15890017612</w:t>
      </w:r>
      <w:r w:rsidR="00D00CDC" w:rsidRPr="00437F4B">
        <w:rPr>
          <w:rFonts w:asciiTheme="majorBidi" w:hAnsiTheme="majorBidi" w:cstheme="majorBidi"/>
        </w:rPr>
        <w:t>).</w:t>
      </w:r>
      <w:r w:rsidR="00D00CDC">
        <w:t xml:space="preserve"> </w:t>
      </w:r>
      <w:r w:rsidR="00BC1C81">
        <w:t>Turklāt</w:t>
      </w:r>
      <w:r>
        <w:t xml:space="preserve"> vērtības noteikšanā</w:t>
      </w:r>
      <w:r w:rsidR="00D00CDC">
        <w:rPr>
          <w:rFonts w:asciiTheme="majorBidi" w:hAnsiTheme="majorBidi" w:cstheme="majorBidi"/>
        </w:rPr>
        <w:t xml:space="preserve"> nav izšķirošas nozīmes tam</w:t>
      </w:r>
      <w:r w:rsidR="00D00CDC" w:rsidRPr="00437F4B">
        <w:rPr>
          <w:rFonts w:asciiTheme="majorBidi" w:hAnsiTheme="majorBidi" w:cstheme="majorBidi"/>
        </w:rPr>
        <w:t>, ka prece nav laista brīvā apgrozībā</w:t>
      </w:r>
      <w:r w:rsidR="00D00CDC">
        <w:rPr>
          <w:rFonts w:asciiTheme="majorBidi" w:hAnsiTheme="majorBidi" w:cstheme="majorBidi"/>
        </w:rPr>
        <w:t xml:space="preserve"> </w:t>
      </w:r>
      <w:r w:rsidR="00D00CDC" w:rsidRPr="000003B9">
        <w:rPr>
          <w:rFonts w:asciiTheme="majorBidi" w:hAnsiTheme="majorBidi" w:cstheme="majorBidi"/>
        </w:rPr>
        <w:t>(</w:t>
      </w:r>
      <w:r>
        <w:rPr>
          <w:rFonts w:asciiTheme="majorBidi" w:hAnsiTheme="majorBidi" w:cstheme="majorBidi"/>
        </w:rPr>
        <w:t>sk. </w:t>
      </w:r>
      <w:r w:rsidR="00D00CDC" w:rsidRPr="00437F4B">
        <w:rPr>
          <w:rFonts w:asciiTheme="majorBidi" w:hAnsiTheme="majorBidi" w:cstheme="majorBidi"/>
          <w:i/>
          <w:iCs/>
        </w:rPr>
        <w:t>Senāta 2015. gada 27. maija lēmums lietā Nr.</w:t>
      </w:r>
      <w:r w:rsidR="00C272FD">
        <w:rPr>
          <w:rFonts w:asciiTheme="majorBidi" w:hAnsiTheme="majorBidi" w:cstheme="majorBidi"/>
          <w:i/>
          <w:iCs/>
        </w:rPr>
        <w:t> </w:t>
      </w:r>
      <w:hyperlink r:id="rId14" w:history="1">
        <w:r w:rsidR="00D00CDC" w:rsidRPr="00C272FD">
          <w:rPr>
            <w:rStyle w:val="Hyperlink"/>
            <w:rFonts w:asciiTheme="majorBidi" w:hAnsiTheme="majorBidi" w:cstheme="majorBidi"/>
            <w:i/>
            <w:iCs/>
          </w:rPr>
          <w:t>SKK-144/2015</w:t>
        </w:r>
      </w:hyperlink>
      <w:r w:rsidR="00D00CDC" w:rsidRPr="00437F4B">
        <w:rPr>
          <w:rFonts w:asciiTheme="majorBidi" w:hAnsiTheme="majorBidi" w:cstheme="majorBidi"/>
          <w:i/>
          <w:iCs/>
        </w:rPr>
        <w:t xml:space="preserve">, </w:t>
      </w:r>
      <w:r w:rsidR="00D00CDC" w:rsidRPr="00437F4B">
        <w:rPr>
          <w:rFonts w:asciiTheme="majorBidi" w:hAnsiTheme="majorBidi" w:cstheme="majorBidi"/>
          <w:i/>
          <w:iCs/>
          <w:spacing w:val="-2"/>
        </w:rPr>
        <w:t>15890011613</w:t>
      </w:r>
      <w:r w:rsidR="00D00CDC" w:rsidRPr="00437F4B">
        <w:rPr>
          <w:rFonts w:asciiTheme="majorBidi" w:hAnsiTheme="majorBidi" w:cstheme="majorBidi"/>
        </w:rPr>
        <w:t>).</w:t>
      </w:r>
    </w:p>
    <w:p w14:paraId="7CC9FAE5" w14:textId="18DDC9AB" w:rsidR="00660F39" w:rsidRPr="002F7725" w:rsidRDefault="00D9264C" w:rsidP="00EE7E71">
      <w:pPr>
        <w:shd w:val="clear" w:color="auto" w:fill="FFFFFF"/>
        <w:suppressAutoHyphens w:val="0"/>
        <w:spacing w:line="276" w:lineRule="auto"/>
        <w:ind w:firstLine="720"/>
        <w:jc w:val="both"/>
        <w:rPr>
          <w:rFonts w:asciiTheme="majorBidi" w:hAnsiTheme="majorBidi" w:cstheme="majorBidi"/>
        </w:rPr>
      </w:pPr>
      <w:r w:rsidRPr="00802189">
        <w:rPr>
          <w:rFonts w:asciiTheme="majorBidi" w:hAnsiTheme="majorBidi" w:cstheme="majorBidi"/>
        </w:rPr>
        <w:t>[10.3]</w:t>
      </w:r>
      <w:r w:rsidR="00C272FD" w:rsidRPr="00802189">
        <w:rPr>
          <w:rFonts w:asciiTheme="majorBidi" w:hAnsiTheme="majorBidi" w:cstheme="majorBidi"/>
        </w:rPr>
        <w:t> </w:t>
      </w:r>
      <w:r w:rsidR="00660F39" w:rsidRPr="002F7725">
        <w:rPr>
          <w:rFonts w:asciiTheme="majorBidi" w:hAnsiTheme="majorBidi" w:cstheme="majorBidi"/>
        </w:rPr>
        <w:t>Vienlaikus Senāts konstatē, ka tiesa nav noteikusi dīzeļdegvielas vērtību noziedzīgā nodarījuma izdarīšanas laikā.</w:t>
      </w:r>
    </w:p>
    <w:p w14:paraId="6BAB2EA1" w14:textId="77777777" w:rsidR="00660F39" w:rsidRPr="002F7725" w:rsidRDefault="00660F39" w:rsidP="00EE7E71">
      <w:pPr>
        <w:shd w:val="clear" w:color="auto" w:fill="FFFFFF"/>
        <w:suppressAutoHyphens w:val="0"/>
        <w:spacing w:line="276" w:lineRule="auto"/>
        <w:ind w:firstLine="720"/>
        <w:jc w:val="both"/>
        <w:rPr>
          <w:rFonts w:asciiTheme="majorBidi" w:hAnsiTheme="majorBidi" w:cstheme="majorBidi"/>
        </w:rPr>
      </w:pPr>
      <w:r w:rsidRPr="002F7725">
        <w:rPr>
          <w:rFonts w:asciiTheme="majorBidi" w:hAnsiTheme="majorBidi"/>
        </w:rPr>
        <w:t>Saskaņā ar noziedzīgā nodarījuma aprakstu spriedumā apsūdzētais nelikumīgi uzglabājis ne mazāk kā 11 900 litru dīzeļdegvielas no izmeklēšanā precīzi nenoskaidrota laika līdz 2013.</w:t>
      </w:r>
      <w:r w:rsidRPr="002F7725">
        <w:rPr>
          <w:rFonts w:asciiTheme="majorBidi" w:hAnsiTheme="majorBidi" w:cstheme="majorBidi"/>
        </w:rPr>
        <w:t> </w:t>
      </w:r>
      <w:r w:rsidRPr="002F7725">
        <w:rPr>
          <w:rFonts w:asciiTheme="majorBidi" w:hAnsiTheme="majorBidi"/>
        </w:rPr>
        <w:t>gada 8.</w:t>
      </w:r>
      <w:r w:rsidRPr="002F7725">
        <w:rPr>
          <w:rFonts w:asciiTheme="majorBidi" w:hAnsiTheme="majorBidi" w:cstheme="majorBidi"/>
        </w:rPr>
        <w:t> </w:t>
      </w:r>
      <w:r w:rsidRPr="002F7725">
        <w:rPr>
          <w:rFonts w:asciiTheme="majorBidi" w:hAnsiTheme="majorBidi"/>
        </w:rPr>
        <w:t>maija plkst.</w:t>
      </w:r>
      <w:r w:rsidRPr="002F7725">
        <w:rPr>
          <w:rFonts w:asciiTheme="majorBidi" w:hAnsiTheme="majorBidi" w:cstheme="majorBidi"/>
        </w:rPr>
        <w:t> </w:t>
      </w:r>
      <w:r w:rsidRPr="002F7725">
        <w:rPr>
          <w:rFonts w:asciiTheme="majorBidi" w:hAnsiTheme="majorBidi"/>
        </w:rPr>
        <w:t>14.00. Savukārt dīzeļdegvielas vērtību tiesa noteikusi, pamatojoties uz Centrālās statistikas pārvaldes informāciju par dīzeļdegvielas vidējo cenu 2013.</w:t>
      </w:r>
      <w:r w:rsidRPr="002F7725">
        <w:rPr>
          <w:rFonts w:asciiTheme="majorBidi" w:hAnsiTheme="majorBidi" w:cstheme="majorBidi"/>
        </w:rPr>
        <w:t> </w:t>
      </w:r>
      <w:r w:rsidRPr="002F7725">
        <w:rPr>
          <w:rFonts w:asciiTheme="majorBidi" w:hAnsiTheme="majorBidi"/>
        </w:rPr>
        <w:t>gada maijā (sk</w:t>
      </w:r>
      <w:r w:rsidRPr="002F7725">
        <w:rPr>
          <w:rFonts w:asciiTheme="majorBidi" w:hAnsiTheme="majorBidi"/>
          <w:i/>
        </w:rPr>
        <w:t>. apelācijas instances tiesas sprieduma 21. punktu</w:t>
      </w:r>
      <w:r w:rsidRPr="002F7725">
        <w:rPr>
          <w:rFonts w:asciiTheme="majorBidi" w:hAnsiTheme="majorBidi"/>
        </w:rPr>
        <w:t>).</w:t>
      </w:r>
    </w:p>
    <w:p w14:paraId="2128D80B" w14:textId="77777777" w:rsidR="00660F39" w:rsidRPr="002F7725" w:rsidRDefault="00660F39" w:rsidP="00EE7E71">
      <w:pPr>
        <w:shd w:val="clear" w:color="auto" w:fill="FFFFFF"/>
        <w:suppressAutoHyphens w:val="0"/>
        <w:spacing w:line="276" w:lineRule="auto"/>
        <w:ind w:firstLine="720"/>
        <w:jc w:val="both"/>
        <w:rPr>
          <w:rFonts w:asciiTheme="majorBidi" w:hAnsiTheme="majorBidi" w:cstheme="majorBidi"/>
        </w:rPr>
      </w:pPr>
      <w:r w:rsidRPr="002F7725">
        <w:rPr>
          <w:rFonts w:asciiTheme="majorBidi" w:hAnsiTheme="majorBidi" w:cstheme="majorBidi"/>
        </w:rPr>
        <w:t>Naftas produktu nelikumīga uzglabāšana lielā apmērā ir ilgstošs noziedzīgs nodarījums, jo tā objektīvā puse tiek īstenota nepārtraukti noteiktā laika periodā.</w:t>
      </w:r>
    </w:p>
    <w:p w14:paraId="6248410B" w14:textId="68EE4865" w:rsidR="00660F39" w:rsidRPr="002F7725" w:rsidRDefault="00660F39" w:rsidP="00EE7E71">
      <w:pPr>
        <w:shd w:val="clear" w:color="auto" w:fill="FFFFFF"/>
        <w:suppressAutoHyphens w:val="0"/>
        <w:spacing w:line="276" w:lineRule="auto"/>
        <w:ind w:firstLine="720"/>
        <w:jc w:val="both"/>
        <w:rPr>
          <w:rFonts w:asciiTheme="majorBidi" w:hAnsiTheme="majorBidi"/>
        </w:rPr>
      </w:pPr>
      <w:r w:rsidRPr="002F7725">
        <w:rPr>
          <w:rFonts w:asciiTheme="majorBidi" w:hAnsiTheme="majorBidi"/>
        </w:rPr>
        <w:t xml:space="preserve">Ja </w:t>
      </w:r>
      <w:r w:rsidR="00A920B3" w:rsidRPr="002F7725">
        <w:rPr>
          <w:rFonts w:asciiTheme="majorBidi" w:hAnsiTheme="majorBidi"/>
        </w:rPr>
        <w:t xml:space="preserve">šādu produktu </w:t>
      </w:r>
      <w:r w:rsidRPr="002F7725">
        <w:rPr>
          <w:rFonts w:asciiTheme="majorBidi" w:hAnsiTheme="majorBidi"/>
        </w:rPr>
        <w:t>neatļauta uzglabāšana notikusi ilgākā laikā un</w:t>
      </w:r>
      <w:r w:rsidRPr="002F7725">
        <w:rPr>
          <w:rFonts w:asciiTheme="majorBidi" w:hAnsiTheme="majorBidi" w:cstheme="majorBidi"/>
        </w:rPr>
        <w:t xml:space="preserve"> kriminālatbildība paredzēta tikai </w:t>
      </w:r>
      <w:r w:rsidR="00A920B3" w:rsidRPr="002F7725">
        <w:rPr>
          <w:rFonts w:asciiTheme="majorBidi" w:hAnsiTheme="majorBidi" w:cstheme="majorBidi"/>
        </w:rPr>
        <w:t>tad, ja to daudzums sasniedz lielu apmēru</w:t>
      </w:r>
      <w:r w:rsidRPr="002F7725">
        <w:rPr>
          <w:rFonts w:asciiTheme="majorBidi" w:hAnsiTheme="majorBidi" w:cstheme="majorBidi"/>
        </w:rPr>
        <w:t xml:space="preserve">, </w:t>
      </w:r>
      <w:r w:rsidRPr="002F7725">
        <w:rPr>
          <w:rFonts w:asciiTheme="majorBidi" w:hAnsiTheme="majorBidi"/>
        </w:rPr>
        <w:t>jākonstatē, ka šī priekšmeta vērtība visā inkriminētajā periodā sasniegusi attiecīgo robežvērtību</w:t>
      </w:r>
      <w:r w:rsidRPr="002F7725">
        <w:rPr>
          <w:rFonts w:asciiTheme="majorBidi" w:hAnsiTheme="majorBidi" w:cstheme="majorBidi"/>
        </w:rPr>
        <w:t>.</w:t>
      </w:r>
      <w:r w:rsidR="00A920B3" w:rsidRPr="002F7725">
        <w:rPr>
          <w:rFonts w:asciiTheme="majorBidi" w:hAnsiTheme="majorBidi" w:cstheme="majorBidi"/>
        </w:rPr>
        <w:t xml:space="preserve"> </w:t>
      </w:r>
      <w:r w:rsidRPr="002F7725">
        <w:rPr>
          <w:rFonts w:asciiTheme="majorBidi" w:hAnsiTheme="majorBidi"/>
        </w:rPr>
        <w:t>Savukārt, ja pastāv saprātīgas šaubas par to, jāpiemēro Kriminālprocesa likuma 19.</w:t>
      </w:r>
      <w:r w:rsidRPr="002F7725">
        <w:rPr>
          <w:rFonts w:asciiTheme="majorBidi" w:hAnsiTheme="majorBidi" w:cstheme="majorBidi"/>
        </w:rPr>
        <w:t> </w:t>
      </w:r>
      <w:r w:rsidRPr="002F7725">
        <w:rPr>
          <w:rFonts w:asciiTheme="majorBidi" w:hAnsiTheme="majorBidi"/>
        </w:rPr>
        <w:t>panta trešā daļa un inkriminējams iespējami īsākais periods, par kuru nav saprātīgu šaubu, ka vērtība pārsniegusi attiecīgo robežu.</w:t>
      </w:r>
    </w:p>
    <w:p w14:paraId="08F43E8E" w14:textId="717478C7" w:rsidR="00660F39" w:rsidRPr="002F7725" w:rsidRDefault="00660F39" w:rsidP="00EE7E71">
      <w:pPr>
        <w:shd w:val="clear" w:color="auto" w:fill="FFFFFF"/>
        <w:suppressAutoHyphens w:val="0"/>
        <w:spacing w:line="276" w:lineRule="auto"/>
        <w:ind w:firstLine="720"/>
        <w:jc w:val="both"/>
        <w:rPr>
          <w:rFonts w:asciiTheme="majorBidi" w:hAnsiTheme="majorBidi"/>
        </w:rPr>
      </w:pPr>
      <w:r w:rsidRPr="002F7725">
        <w:rPr>
          <w:rFonts w:asciiTheme="majorBidi" w:hAnsiTheme="majorBidi"/>
        </w:rPr>
        <w:t>Senāts norāda, ka noziedzīgā nodarījuma priekšmeta vērtību nav iespējams noteikt par periodu, kas lietā nav noskaidrots.</w:t>
      </w:r>
      <w:r w:rsidR="00A920B3" w:rsidRPr="002F7725">
        <w:rPr>
          <w:rFonts w:asciiTheme="majorBidi" w:hAnsiTheme="majorBidi"/>
        </w:rPr>
        <w:t xml:space="preserve"> Tādēļ, ja lietā nav konstatē</w:t>
      </w:r>
      <w:r w:rsidR="00E3181C" w:rsidRPr="002F7725">
        <w:rPr>
          <w:rFonts w:asciiTheme="majorBidi" w:hAnsiTheme="majorBidi"/>
        </w:rPr>
        <w:t>jams</w:t>
      </w:r>
      <w:r w:rsidR="00A920B3" w:rsidRPr="002F7725">
        <w:rPr>
          <w:rFonts w:asciiTheme="majorBidi" w:hAnsiTheme="majorBidi"/>
        </w:rPr>
        <w:t xml:space="preserve"> precīzāks noziedzīgā nodarījuma izdarīšanas laiks, vērtība nosakāma tikai uz 2013. gada 8.</w:t>
      </w:r>
      <w:r w:rsidR="00E3181C" w:rsidRPr="002F7725">
        <w:rPr>
          <w:rFonts w:asciiTheme="majorBidi" w:hAnsiTheme="majorBidi"/>
        </w:rPr>
        <w:t> </w:t>
      </w:r>
      <w:r w:rsidR="00A920B3" w:rsidRPr="002F7725">
        <w:rPr>
          <w:rFonts w:asciiTheme="majorBidi" w:hAnsiTheme="majorBidi"/>
        </w:rPr>
        <w:t>maiju.</w:t>
      </w:r>
    </w:p>
    <w:p w14:paraId="1D109538" w14:textId="77777777" w:rsidR="00660F39" w:rsidRPr="002F7725" w:rsidRDefault="00660F39" w:rsidP="00EE7E71">
      <w:pPr>
        <w:shd w:val="clear" w:color="auto" w:fill="FFFFFF"/>
        <w:suppressAutoHyphens w:val="0"/>
        <w:spacing w:line="276" w:lineRule="auto"/>
        <w:ind w:firstLine="720"/>
        <w:jc w:val="both"/>
        <w:rPr>
          <w:rFonts w:asciiTheme="majorBidi" w:hAnsiTheme="majorBidi"/>
        </w:rPr>
      </w:pPr>
      <w:r w:rsidRPr="002F7725">
        <w:t>T</w:t>
      </w:r>
      <w:r w:rsidRPr="002F7725">
        <w:rPr>
          <w:rFonts w:asciiTheme="majorBidi" w:hAnsiTheme="majorBidi"/>
        </w:rPr>
        <w:t>iesa dīzeļdegvielas vērtību noteikusi, pamatojoties uz tās vidējo cenu 2013. gada maijā, proti, cenu, kas pārsvarā attiecas uz laiku pēc noziedzīgā nodarījuma pārtraukšanas, taču nav izklāstījusi apsvērumus, kādēļ tā attiecināma uz nodarījuma pabeigšanas laiku – 2013. gada 8. maiju.</w:t>
      </w:r>
    </w:p>
    <w:p w14:paraId="203951B3" w14:textId="3FD4EE9C" w:rsidR="00660F39" w:rsidRPr="002F7725" w:rsidRDefault="00660F39" w:rsidP="00EE7E71">
      <w:pPr>
        <w:shd w:val="clear" w:color="auto" w:fill="FFFFFF"/>
        <w:suppressAutoHyphens w:val="0"/>
        <w:spacing w:line="276" w:lineRule="auto"/>
        <w:ind w:firstLine="720"/>
        <w:jc w:val="both"/>
        <w:rPr>
          <w:rFonts w:asciiTheme="majorBidi" w:hAnsiTheme="majorBidi" w:cstheme="majorBidi"/>
        </w:rPr>
      </w:pPr>
      <w:r w:rsidRPr="002F7725">
        <w:rPr>
          <w:rFonts w:asciiTheme="majorBidi" w:hAnsiTheme="majorBidi" w:cstheme="majorBidi"/>
        </w:rPr>
        <w:t xml:space="preserve">Ja noziedzīgais nodarījums izdarīts konkrētā </w:t>
      </w:r>
      <w:r w:rsidR="00A8341F" w:rsidRPr="002F7725">
        <w:rPr>
          <w:rFonts w:asciiTheme="majorBidi" w:hAnsiTheme="majorBidi" w:cstheme="majorBidi"/>
        </w:rPr>
        <w:t>laika periodā</w:t>
      </w:r>
      <w:r w:rsidRPr="002F7725">
        <w:rPr>
          <w:rFonts w:asciiTheme="majorBidi" w:hAnsiTheme="majorBidi" w:cstheme="majorBidi"/>
        </w:rPr>
        <w:t>, tiesai, nosakot tāda noziedzīgā nodarījuma priekšmeta vērtību, kura cena ir mainīga un tiek regulāri fiksēta, tajā skaitā dīzeļdegvielai, nav pieļaujams bez pamatojuma balstīties uz noziedzīgā nodarījuma priekšmeta vidējo cenu par plašāku laikposmu (šajā lietā – mēneša vidējo cenu).</w:t>
      </w:r>
    </w:p>
    <w:p w14:paraId="51FFF706" w14:textId="6299AF2D" w:rsidR="00660F39" w:rsidRPr="00A8341F" w:rsidRDefault="007E47D1" w:rsidP="00EE7E71">
      <w:pPr>
        <w:shd w:val="clear" w:color="auto" w:fill="FFFFFF"/>
        <w:suppressAutoHyphens w:val="0"/>
        <w:spacing w:line="276" w:lineRule="auto"/>
        <w:ind w:firstLine="720"/>
        <w:jc w:val="both"/>
        <w:rPr>
          <w:rFonts w:asciiTheme="majorBidi" w:hAnsiTheme="majorBidi"/>
        </w:rPr>
      </w:pPr>
      <w:r w:rsidRPr="00A8341F">
        <w:rPr>
          <w:rFonts w:asciiTheme="majorBidi" w:hAnsiTheme="majorBidi"/>
        </w:rPr>
        <w:t>Tiesas motīvi šajā daļā nepieciešami arī tādēļ, lai izvērtētu apsūdzētā iesniegtos SIA „Neste Latvija” dokumentus, no kuriem izriet, ka 11 900 litru dīzeļdegvielas kopējā vērtība, pat ieskaitot nodokļus, bija 13 969,39 </w:t>
      </w:r>
      <w:r w:rsidRPr="00A8341F">
        <w:rPr>
          <w:rFonts w:asciiTheme="majorBidi" w:hAnsiTheme="majorBidi"/>
          <w:i/>
          <w:iCs/>
        </w:rPr>
        <w:t>euro</w:t>
      </w:r>
      <w:r w:rsidRPr="00A8341F">
        <w:rPr>
          <w:rFonts w:asciiTheme="majorBidi" w:hAnsiTheme="majorBidi"/>
        </w:rPr>
        <w:t xml:space="preserve"> un tādējādi nesasniedza liela apmēra robežu – 14 228 </w:t>
      </w:r>
      <w:r w:rsidRPr="00A8341F">
        <w:rPr>
          <w:rFonts w:asciiTheme="majorBidi" w:hAnsiTheme="majorBidi"/>
          <w:i/>
          <w:iCs/>
        </w:rPr>
        <w:t>euro</w:t>
      </w:r>
      <w:r w:rsidR="00660F39" w:rsidRPr="00A8341F">
        <w:rPr>
          <w:rFonts w:asciiTheme="majorBidi" w:hAnsiTheme="majorBidi"/>
          <w:i/>
          <w:iCs/>
        </w:rPr>
        <w:t xml:space="preserve">. </w:t>
      </w:r>
      <w:r w:rsidR="00660F39" w:rsidRPr="00A8341F">
        <w:t>Līdz ar to Senāts secina, ka tiesa bija pareizi izraudzījusies vispārējo pieeju dīzeļdegvielas vērtības noteikšanai, proti, noteikusi to pēc mazumtirdzniecības cenas, taču nav pienācīgi pamatojusi tās vērtību noziedzīgā nodarījuma izdarīšanas laikā.</w:t>
      </w:r>
    </w:p>
    <w:p w14:paraId="4E03A4DC" w14:textId="18406213" w:rsidR="00D55DAB" w:rsidRDefault="00802189" w:rsidP="00EE7E71">
      <w:pPr>
        <w:shd w:val="clear" w:color="auto" w:fill="FFFFFF"/>
        <w:suppressAutoHyphens w:val="0"/>
        <w:spacing w:line="276" w:lineRule="auto"/>
        <w:ind w:firstLine="720"/>
        <w:jc w:val="both"/>
        <w:rPr>
          <w:rFonts w:asciiTheme="majorBidi" w:hAnsiTheme="majorBidi" w:cstheme="majorBidi"/>
          <w:bCs/>
        </w:rPr>
      </w:pPr>
      <w:r>
        <w:rPr>
          <w:rFonts w:asciiTheme="majorBidi" w:hAnsiTheme="majorBidi" w:cstheme="majorBidi"/>
        </w:rPr>
        <w:t>[10.4]</w:t>
      </w:r>
      <w:r w:rsidR="00282FBA">
        <w:rPr>
          <w:rFonts w:asciiTheme="majorBidi" w:hAnsiTheme="majorBidi" w:cstheme="majorBidi"/>
        </w:rPr>
        <w:t> </w:t>
      </w:r>
      <w:r w:rsidR="00D21A29" w:rsidRPr="00D55DAB">
        <w:rPr>
          <w:rFonts w:asciiTheme="majorBidi" w:hAnsiTheme="majorBidi" w:cstheme="majorBidi"/>
        </w:rPr>
        <w:t>Senāts atz</w:t>
      </w:r>
      <w:r w:rsidR="00282FBA">
        <w:rPr>
          <w:rFonts w:asciiTheme="majorBidi" w:hAnsiTheme="majorBidi" w:cstheme="majorBidi"/>
        </w:rPr>
        <w:t xml:space="preserve">īst par pamatotu </w:t>
      </w:r>
      <w:r w:rsidR="009C1DEE">
        <w:rPr>
          <w:rFonts w:asciiTheme="majorBidi" w:hAnsiTheme="majorBidi" w:cstheme="majorBidi"/>
        </w:rPr>
        <w:t xml:space="preserve">arī </w:t>
      </w:r>
      <w:r w:rsidR="00D55DAB" w:rsidRPr="00D55DAB">
        <w:rPr>
          <w:rFonts w:asciiTheme="majorBidi" w:hAnsiTheme="majorBidi" w:cstheme="majorBidi"/>
        </w:rPr>
        <w:t xml:space="preserve">apsūdzētā </w:t>
      </w:r>
      <w:r w:rsidR="0088482E">
        <w:rPr>
          <w:rFonts w:asciiTheme="majorBidi" w:hAnsiTheme="majorBidi" w:cstheme="majorBidi"/>
        </w:rPr>
        <w:t>[pers. A]</w:t>
      </w:r>
      <w:r w:rsidR="00D55DAB" w:rsidRPr="00D55DAB">
        <w:rPr>
          <w:rFonts w:asciiTheme="majorBidi" w:hAnsiTheme="majorBidi" w:cstheme="majorBidi"/>
        </w:rPr>
        <w:t xml:space="preserve"> </w:t>
      </w:r>
      <w:r w:rsidR="00D21A29" w:rsidRPr="00D55DAB">
        <w:rPr>
          <w:rFonts w:asciiTheme="majorBidi" w:hAnsiTheme="majorBidi" w:cstheme="majorBidi"/>
        </w:rPr>
        <w:t xml:space="preserve">kasācijas sūdzībā </w:t>
      </w:r>
      <w:r w:rsidR="00282FBA">
        <w:rPr>
          <w:rFonts w:asciiTheme="majorBidi" w:hAnsiTheme="majorBidi" w:cstheme="majorBidi"/>
        </w:rPr>
        <w:t>norādīto</w:t>
      </w:r>
      <w:r w:rsidR="0001721D">
        <w:rPr>
          <w:rFonts w:asciiTheme="majorBidi" w:hAnsiTheme="majorBidi" w:cstheme="majorBidi"/>
        </w:rPr>
        <w:t xml:space="preserve"> argumentu</w:t>
      </w:r>
      <w:r w:rsidR="00D21A29" w:rsidRPr="00D55DAB">
        <w:rPr>
          <w:rFonts w:asciiTheme="majorBidi" w:hAnsiTheme="majorBidi" w:cstheme="majorBidi"/>
        </w:rPr>
        <w:t xml:space="preserve">, ka </w:t>
      </w:r>
      <w:r w:rsidR="00D55DAB" w:rsidRPr="00D55DAB">
        <w:rPr>
          <w:rFonts w:asciiTheme="majorBidi" w:hAnsiTheme="majorBidi" w:cstheme="majorBidi"/>
        </w:rPr>
        <w:t>t</w:t>
      </w:r>
      <w:r w:rsidR="00D21A29" w:rsidRPr="00D55DAB">
        <w:t xml:space="preserve">iesa kļūdaini konstatējusi, ka </w:t>
      </w:r>
      <w:r w:rsidR="00282FBA">
        <w:t xml:space="preserve">noziedzīgā nodarījuma izdarīšanas brīdī </w:t>
      </w:r>
      <w:r w:rsidR="00D21A29" w:rsidRPr="00D55DAB">
        <w:t>50</w:t>
      </w:r>
      <w:r w:rsidR="0001721D">
        <w:t> </w:t>
      </w:r>
      <w:r w:rsidR="00D21A29" w:rsidRPr="00D55DAB">
        <w:t>minimālo mēnešalgu kopsumma</w:t>
      </w:r>
      <w:r w:rsidR="00282FBA">
        <w:t xml:space="preserve"> – </w:t>
      </w:r>
      <w:r w:rsidR="00282FBA">
        <w:rPr>
          <w:rFonts w:asciiTheme="majorBidi" w:hAnsiTheme="majorBidi" w:cstheme="majorBidi"/>
        </w:rPr>
        <w:t xml:space="preserve">liels apmērs – </w:t>
      </w:r>
      <w:r w:rsidR="00282FBA">
        <w:t>bija</w:t>
      </w:r>
      <w:r w:rsidR="00282FBA" w:rsidRPr="00D55DAB">
        <w:t xml:space="preserve"> </w:t>
      </w:r>
      <w:r w:rsidR="00D21A29" w:rsidRPr="00D55DAB">
        <w:t>14200</w:t>
      </w:r>
      <w:r w:rsidR="00F10B4E">
        <w:t> </w:t>
      </w:r>
      <w:r w:rsidR="00D21A29" w:rsidRPr="00D55DAB">
        <w:rPr>
          <w:i/>
          <w:iCs/>
        </w:rPr>
        <w:t>euro</w:t>
      </w:r>
      <w:r w:rsidR="00282FBA">
        <w:t xml:space="preserve">, jo </w:t>
      </w:r>
      <w:r w:rsidR="00D21A29" w:rsidRPr="00D55DAB">
        <w:t>saskaņā ar normatīvaj</w:t>
      </w:r>
      <w:r w:rsidR="00A64261">
        <w:t>iem</w:t>
      </w:r>
      <w:r w:rsidR="00D21A29" w:rsidRPr="00D55DAB">
        <w:t xml:space="preserve"> akt</w:t>
      </w:r>
      <w:r w:rsidR="00A64261">
        <w:t>iem</w:t>
      </w:r>
      <w:r w:rsidR="00D21A29" w:rsidRPr="00D55DAB">
        <w:t xml:space="preserve"> tā </w:t>
      </w:r>
      <w:r w:rsidR="00A64261">
        <w:t>bija</w:t>
      </w:r>
      <w:r w:rsidR="00D21A29" w:rsidRPr="00D55DAB">
        <w:t xml:space="preserve"> 14</w:t>
      </w:r>
      <w:r w:rsidR="00D55DAB" w:rsidRPr="00D55DAB">
        <w:t> </w:t>
      </w:r>
      <w:r w:rsidR="00D21A29" w:rsidRPr="00D55DAB">
        <w:t>228</w:t>
      </w:r>
      <w:r w:rsidR="00F10B4E">
        <w:t> </w:t>
      </w:r>
      <w:r w:rsidR="00D21A29" w:rsidRPr="00D55DAB">
        <w:rPr>
          <w:i/>
          <w:iCs/>
        </w:rPr>
        <w:t>euro</w:t>
      </w:r>
      <w:r w:rsidR="00D21A29" w:rsidRPr="00D55DAB">
        <w:rPr>
          <w:rFonts w:asciiTheme="majorBidi" w:hAnsiTheme="majorBidi" w:cstheme="majorBidi"/>
        </w:rPr>
        <w:t xml:space="preserve"> </w:t>
      </w:r>
      <w:r w:rsidR="00D55DAB" w:rsidRPr="00D55DAB">
        <w:rPr>
          <w:rFonts w:asciiTheme="majorBidi" w:hAnsiTheme="majorBidi" w:cstheme="majorBidi"/>
        </w:rPr>
        <w:t xml:space="preserve">(sk. arī </w:t>
      </w:r>
      <w:r w:rsidR="00D55DAB" w:rsidRPr="00D55DAB">
        <w:rPr>
          <w:rFonts w:asciiTheme="majorBidi" w:hAnsiTheme="majorBidi" w:cstheme="majorBidi"/>
          <w:i/>
          <w:iCs/>
          <w:spacing w:val="-1"/>
        </w:rPr>
        <w:t xml:space="preserve">Senāta </w:t>
      </w:r>
      <w:r w:rsidR="00D21A29" w:rsidRPr="00D55DAB">
        <w:rPr>
          <w:rFonts w:asciiTheme="majorBidi" w:hAnsiTheme="majorBidi" w:cstheme="majorBidi"/>
          <w:bCs/>
          <w:i/>
          <w:iCs/>
        </w:rPr>
        <w:t>2014.</w:t>
      </w:r>
      <w:r w:rsidR="00D55DAB" w:rsidRPr="00D55DAB">
        <w:rPr>
          <w:rFonts w:asciiTheme="majorBidi" w:hAnsiTheme="majorBidi" w:cstheme="majorBidi"/>
          <w:bCs/>
          <w:i/>
          <w:iCs/>
        </w:rPr>
        <w:t> </w:t>
      </w:r>
      <w:r w:rsidR="00D21A29" w:rsidRPr="00D55DAB">
        <w:rPr>
          <w:rFonts w:asciiTheme="majorBidi" w:hAnsiTheme="majorBidi" w:cstheme="majorBidi"/>
          <w:bCs/>
          <w:i/>
          <w:iCs/>
        </w:rPr>
        <w:t>gada 3.</w:t>
      </w:r>
      <w:r w:rsidR="00D55DAB" w:rsidRPr="00D55DAB">
        <w:rPr>
          <w:rFonts w:asciiTheme="majorBidi" w:hAnsiTheme="majorBidi" w:cstheme="majorBidi"/>
          <w:bCs/>
          <w:i/>
          <w:iCs/>
        </w:rPr>
        <w:t> j</w:t>
      </w:r>
      <w:r w:rsidR="00D21A29" w:rsidRPr="00D55DAB">
        <w:rPr>
          <w:rFonts w:asciiTheme="majorBidi" w:hAnsiTheme="majorBidi" w:cstheme="majorBidi"/>
          <w:bCs/>
          <w:i/>
          <w:iCs/>
        </w:rPr>
        <w:t>ūlija</w:t>
      </w:r>
      <w:r w:rsidR="00D55DAB" w:rsidRPr="00D55DAB">
        <w:rPr>
          <w:rFonts w:asciiTheme="majorBidi" w:hAnsiTheme="majorBidi" w:cstheme="majorBidi"/>
          <w:bCs/>
          <w:i/>
          <w:iCs/>
        </w:rPr>
        <w:t xml:space="preserve"> lēmumu</w:t>
      </w:r>
      <w:r w:rsidR="00D21A29" w:rsidRPr="00D55DAB">
        <w:rPr>
          <w:rFonts w:asciiTheme="majorBidi" w:hAnsiTheme="majorBidi" w:cstheme="majorBidi"/>
          <w:bCs/>
          <w:i/>
          <w:iCs/>
        </w:rPr>
        <w:t xml:space="preserve"> </w:t>
      </w:r>
      <w:r w:rsidR="00D55DAB" w:rsidRPr="00D55DAB">
        <w:rPr>
          <w:rFonts w:asciiTheme="majorBidi" w:hAnsiTheme="majorBidi" w:cstheme="majorBidi"/>
          <w:bCs/>
          <w:i/>
          <w:iCs/>
        </w:rPr>
        <w:t>l</w:t>
      </w:r>
      <w:r w:rsidR="00D21A29" w:rsidRPr="00D55DAB">
        <w:rPr>
          <w:rFonts w:asciiTheme="majorBidi" w:hAnsiTheme="majorBidi" w:cstheme="majorBidi"/>
          <w:bCs/>
          <w:i/>
          <w:iCs/>
        </w:rPr>
        <w:t>ietā Nr.</w:t>
      </w:r>
      <w:r w:rsidR="00F10B4E">
        <w:rPr>
          <w:rFonts w:asciiTheme="majorBidi" w:hAnsiTheme="majorBidi" w:cstheme="majorBidi"/>
          <w:bCs/>
          <w:i/>
          <w:iCs/>
        </w:rPr>
        <w:t> </w:t>
      </w:r>
      <w:hyperlink r:id="rId15" w:history="1">
        <w:r w:rsidR="00D21A29" w:rsidRPr="00F10B4E">
          <w:rPr>
            <w:rStyle w:val="Hyperlink"/>
            <w:rFonts w:asciiTheme="majorBidi" w:hAnsiTheme="majorBidi" w:cstheme="majorBidi"/>
            <w:bCs/>
            <w:i/>
            <w:iCs/>
          </w:rPr>
          <w:t>SKK</w:t>
        </w:r>
        <w:r w:rsidR="00F10B4E" w:rsidRPr="00F10B4E">
          <w:rPr>
            <w:rStyle w:val="Hyperlink"/>
            <w:rFonts w:asciiTheme="majorBidi" w:hAnsiTheme="majorBidi" w:cstheme="majorBidi"/>
            <w:bCs/>
            <w:i/>
            <w:iCs/>
          </w:rPr>
          <w:noBreakHyphen/>
        </w:r>
        <w:r w:rsidR="00D21A29" w:rsidRPr="00F10B4E">
          <w:rPr>
            <w:rStyle w:val="Hyperlink"/>
            <w:rFonts w:asciiTheme="majorBidi" w:hAnsiTheme="majorBidi" w:cstheme="majorBidi"/>
            <w:bCs/>
            <w:i/>
            <w:iCs/>
          </w:rPr>
          <w:t>229/2014</w:t>
        </w:r>
      </w:hyperlink>
      <w:r w:rsidR="00D55DAB" w:rsidRPr="00D55DAB">
        <w:rPr>
          <w:rFonts w:asciiTheme="majorBidi" w:hAnsiTheme="majorBidi" w:cstheme="majorBidi"/>
          <w:bCs/>
          <w:i/>
          <w:iCs/>
        </w:rPr>
        <w:t>,</w:t>
      </w:r>
      <w:r w:rsidR="00D21A29" w:rsidRPr="00D55DAB">
        <w:rPr>
          <w:rFonts w:asciiTheme="majorBidi" w:hAnsiTheme="majorBidi" w:cstheme="majorBidi"/>
          <w:bCs/>
          <w:i/>
          <w:iCs/>
        </w:rPr>
        <w:t xml:space="preserve"> </w:t>
      </w:r>
      <w:r w:rsidR="00D21A29" w:rsidRPr="00D55DAB">
        <w:rPr>
          <w:rFonts w:asciiTheme="majorBidi" w:hAnsiTheme="majorBidi" w:cstheme="majorBidi"/>
          <w:bCs/>
          <w:i/>
          <w:iCs/>
          <w:spacing w:val="-2"/>
        </w:rPr>
        <w:t>15890018311</w:t>
      </w:r>
      <w:r w:rsidR="00D21A29" w:rsidRPr="00D55DAB">
        <w:rPr>
          <w:rFonts w:asciiTheme="majorBidi" w:hAnsiTheme="majorBidi" w:cstheme="majorBidi"/>
          <w:bCs/>
        </w:rPr>
        <w:t>)</w:t>
      </w:r>
      <w:r w:rsidR="00D55DAB" w:rsidRPr="00D55DAB">
        <w:rPr>
          <w:rFonts w:asciiTheme="majorBidi" w:hAnsiTheme="majorBidi" w:cstheme="majorBidi"/>
          <w:bCs/>
        </w:rPr>
        <w:t>.</w:t>
      </w:r>
    </w:p>
    <w:p w14:paraId="07F19FC0" w14:textId="796C340A" w:rsidR="00860C0F" w:rsidRPr="00D55DAB" w:rsidRDefault="00DC4318" w:rsidP="00EE7E71">
      <w:pPr>
        <w:shd w:val="clear" w:color="auto" w:fill="FFFFFF"/>
        <w:suppressAutoHyphens w:val="0"/>
        <w:spacing w:line="276" w:lineRule="auto"/>
        <w:ind w:firstLine="720"/>
        <w:jc w:val="both"/>
        <w:rPr>
          <w:rFonts w:asciiTheme="majorBidi" w:hAnsiTheme="majorBidi" w:cstheme="majorBidi"/>
          <w:bCs/>
        </w:rPr>
      </w:pPr>
      <w:r>
        <w:rPr>
          <w:rFonts w:asciiTheme="majorBidi" w:hAnsiTheme="majorBidi" w:cstheme="majorBidi"/>
        </w:rPr>
        <w:t>[10.5]</w:t>
      </w:r>
      <w:r w:rsidR="00A64261">
        <w:rPr>
          <w:rFonts w:asciiTheme="majorBidi" w:hAnsiTheme="majorBidi" w:cstheme="majorBidi"/>
        </w:rPr>
        <w:t> </w:t>
      </w:r>
      <w:r>
        <w:rPr>
          <w:rFonts w:asciiTheme="majorBidi" w:hAnsiTheme="majorBidi" w:cstheme="majorBidi"/>
        </w:rPr>
        <w:t>Rezumējot</w:t>
      </w:r>
      <w:r w:rsidR="0098608C" w:rsidRPr="0098608C">
        <w:rPr>
          <w:rFonts w:asciiTheme="majorBidi" w:hAnsiTheme="majorBidi" w:cstheme="majorBidi"/>
        </w:rPr>
        <w:t xml:space="preserve"> minēto, Senāts atzīst, ka </w:t>
      </w:r>
      <w:r w:rsidR="0098608C" w:rsidRPr="00F73DDD">
        <w:rPr>
          <w:rFonts w:asciiTheme="majorBidi" w:hAnsiTheme="majorBidi" w:cstheme="majorBidi"/>
        </w:rPr>
        <w:t>apelācijas instances tiesa nepareizi piemērojusi Īpašā likuma 20.</w:t>
      </w:r>
      <w:r w:rsidR="00A64261">
        <w:rPr>
          <w:rFonts w:asciiTheme="majorBidi" w:hAnsiTheme="majorBidi" w:cstheme="majorBidi"/>
        </w:rPr>
        <w:t> </w:t>
      </w:r>
      <w:r w:rsidR="0098608C" w:rsidRPr="00F73DDD">
        <w:rPr>
          <w:rFonts w:asciiTheme="majorBidi" w:hAnsiTheme="majorBidi" w:cstheme="majorBidi"/>
        </w:rPr>
        <w:t>pantu</w:t>
      </w:r>
      <w:r w:rsidR="0098608C" w:rsidRPr="0098608C">
        <w:rPr>
          <w:rFonts w:asciiTheme="majorBidi" w:hAnsiTheme="majorBidi" w:cstheme="majorBidi"/>
        </w:rPr>
        <w:t xml:space="preserve"> un </w:t>
      </w:r>
      <w:r w:rsidR="00D9264C">
        <w:rPr>
          <w:rFonts w:asciiTheme="majorBidi" w:hAnsiTheme="majorBidi" w:cstheme="majorBidi"/>
        </w:rPr>
        <w:t xml:space="preserve">pieļāvusi </w:t>
      </w:r>
      <w:r w:rsidR="0098608C" w:rsidRPr="0098608C">
        <w:rPr>
          <w:rFonts w:asciiTheme="majorBidi" w:hAnsiTheme="majorBidi" w:cstheme="majorBidi"/>
        </w:rPr>
        <w:t>Kriminālprocesa likuma 564.</w:t>
      </w:r>
      <w:r w:rsidR="00F10B4E">
        <w:rPr>
          <w:rFonts w:asciiTheme="majorBidi" w:hAnsiTheme="majorBidi" w:cstheme="majorBidi"/>
        </w:rPr>
        <w:t> </w:t>
      </w:r>
      <w:r w:rsidR="0098608C" w:rsidRPr="0098608C">
        <w:rPr>
          <w:rFonts w:asciiTheme="majorBidi" w:hAnsiTheme="majorBidi" w:cstheme="majorBidi"/>
        </w:rPr>
        <w:t xml:space="preserve">panta </w:t>
      </w:r>
      <w:r w:rsidR="0098608C" w:rsidRPr="0098608C">
        <w:rPr>
          <w:rFonts w:asciiTheme="majorBidi" w:hAnsiTheme="majorBidi" w:cstheme="majorBidi"/>
        </w:rPr>
        <w:lastRenderedPageBreak/>
        <w:t>ceturt</w:t>
      </w:r>
      <w:r w:rsidR="00D9264C">
        <w:rPr>
          <w:rFonts w:asciiTheme="majorBidi" w:hAnsiTheme="majorBidi" w:cstheme="majorBidi"/>
        </w:rPr>
        <w:t>ās</w:t>
      </w:r>
      <w:r w:rsidR="0098608C" w:rsidRPr="0098608C">
        <w:rPr>
          <w:rFonts w:asciiTheme="majorBidi" w:hAnsiTheme="majorBidi" w:cstheme="majorBidi"/>
        </w:rPr>
        <w:t xml:space="preserve"> daļ</w:t>
      </w:r>
      <w:r w:rsidR="00D9264C">
        <w:rPr>
          <w:rFonts w:asciiTheme="majorBidi" w:hAnsiTheme="majorBidi" w:cstheme="majorBidi"/>
        </w:rPr>
        <w:t>as pārkāpumu</w:t>
      </w:r>
      <w:r w:rsidR="0098608C" w:rsidRPr="0098608C">
        <w:rPr>
          <w:rFonts w:asciiTheme="majorBidi" w:hAnsiTheme="majorBidi" w:cstheme="majorBidi"/>
        </w:rPr>
        <w:t>.</w:t>
      </w:r>
    </w:p>
    <w:p w14:paraId="24880936" w14:textId="3E82BF52" w:rsidR="00057BA2" w:rsidRDefault="00DC4318"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Ņemot vērā, ka</w:t>
      </w:r>
      <w:r w:rsidR="00842877">
        <w:rPr>
          <w:rFonts w:asciiTheme="majorBidi" w:hAnsiTheme="majorBidi" w:cstheme="majorBidi"/>
        </w:rPr>
        <w:t xml:space="preserve"> </w:t>
      </w:r>
      <w:r w:rsidR="00842877" w:rsidRPr="00842877">
        <w:rPr>
          <w:rFonts w:asciiTheme="majorBidi" w:hAnsiTheme="majorBidi" w:cstheme="majorBidi"/>
        </w:rPr>
        <w:t>kriminālatbildība par dīzeļdegvielas nelikumīgu uzglabāšanu</w:t>
      </w:r>
      <w:r>
        <w:rPr>
          <w:rFonts w:asciiTheme="majorBidi" w:hAnsiTheme="majorBidi" w:cstheme="majorBidi"/>
        </w:rPr>
        <w:t xml:space="preserve"> inkriminētā nodarījuma laikā</w:t>
      </w:r>
      <w:r w:rsidR="00842877" w:rsidRPr="00842877">
        <w:rPr>
          <w:rFonts w:asciiTheme="majorBidi" w:hAnsiTheme="majorBidi" w:cstheme="majorBidi"/>
        </w:rPr>
        <w:t xml:space="preserve"> </w:t>
      </w:r>
      <w:r w:rsidR="00842877">
        <w:rPr>
          <w:rFonts w:asciiTheme="majorBidi" w:hAnsiTheme="majorBidi" w:cstheme="majorBidi"/>
        </w:rPr>
        <w:t>iestāj</w:t>
      </w:r>
      <w:r w:rsidR="0001721D">
        <w:rPr>
          <w:rFonts w:asciiTheme="majorBidi" w:hAnsiTheme="majorBidi" w:cstheme="majorBidi"/>
        </w:rPr>
        <w:t>ā</w:t>
      </w:r>
      <w:r w:rsidR="00C223A7">
        <w:rPr>
          <w:rFonts w:asciiTheme="majorBidi" w:hAnsiTheme="majorBidi" w:cstheme="majorBidi"/>
        </w:rPr>
        <w:t>s</w:t>
      </w:r>
      <w:r w:rsidR="00842877">
        <w:rPr>
          <w:rFonts w:asciiTheme="majorBidi" w:hAnsiTheme="majorBidi" w:cstheme="majorBidi"/>
        </w:rPr>
        <w:t xml:space="preserve"> </w:t>
      </w:r>
      <w:r w:rsidR="00842877" w:rsidRPr="00842877">
        <w:rPr>
          <w:rFonts w:asciiTheme="majorBidi" w:hAnsiTheme="majorBidi" w:cstheme="majorBidi"/>
        </w:rPr>
        <w:t xml:space="preserve">tikai tad, ja </w:t>
      </w:r>
      <w:r w:rsidR="006B4660">
        <w:rPr>
          <w:rFonts w:asciiTheme="majorBidi" w:hAnsiTheme="majorBidi" w:cstheme="majorBidi"/>
        </w:rPr>
        <w:t xml:space="preserve">uzglabātais </w:t>
      </w:r>
      <w:r w:rsidR="00C223A7">
        <w:rPr>
          <w:rFonts w:asciiTheme="majorBidi" w:hAnsiTheme="majorBidi" w:cstheme="majorBidi"/>
        </w:rPr>
        <w:t>apjoms</w:t>
      </w:r>
      <w:r w:rsidR="00842877" w:rsidRPr="00842877">
        <w:rPr>
          <w:rFonts w:asciiTheme="majorBidi" w:hAnsiTheme="majorBidi" w:cstheme="majorBidi"/>
        </w:rPr>
        <w:t xml:space="preserve"> </w:t>
      </w:r>
      <w:r>
        <w:rPr>
          <w:rFonts w:asciiTheme="majorBidi" w:hAnsiTheme="majorBidi" w:cstheme="majorBidi"/>
        </w:rPr>
        <w:t>sasniedz</w:t>
      </w:r>
      <w:r w:rsidR="0001721D">
        <w:rPr>
          <w:rFonts w:asciiTheme="majorBidi" w:hAnsiTheme="majorBidi" w:cstheme="majorBidi"/>
        </w:rPr>
        <w:t>a</w:t>
      </w:r>
      <w:r>
        <w:rPr>
          <w:rFonts w:asciiTheme="majorBidi" w:hAnsiTheme="majorBidi" w:cstheme="majorBidi"/>
        </w:rPr>
        <w:t xml:space="preserve"> lielu </w:t>
      </w:r>
      <w:r w:rsidRPr="00DC4318">
        <w:rPr>
          <w:rFonts w:asciiTheme="majorBidi" w:hAnsiTheme="majorBidi" w:cstheme="majorBidi"/>
        </w:rPr>
        <w:t>apmēru</w:t>
      </w:r>
      <w:r w:rsidR="00842877" w:rsidRPr="00DC4318">
        <w:rPr>
          <w:rFonts w:asciiTheme="majorBidi" w:hAnsiTheme="majorBidi" w:cstheme="majorBidi"/>
        </w:rPr>
        <w:t xml:space="preserve">, </w:t>
      </w:r>
      <w:r>
        <w:rPr>
          <w:rFonts w:asciiTheme="majorBidi" w:hAnsiTheme="majorBidi"/>
        </w:rPr>
        <w:t>bet</w:t>
      </w:r>
      <w:r w:rsidR="00842877" w:rsidRPr="00DC4318">
        <w:rPr>
          <w:rFonts w:asciiTheme="majorBidi" w:hAnsiTheme="majorBidi"/>
        </w:rPr>
        <w:t xml:space="preserve"> </w:t>
      </w:r>
      <w:r>
        <w:rPr>
          <w:rFonts w:asciiTheme="majorBidi" w:hAnsiTheme="majorBidi"/>
        </w:rPr>
        <w:t xml:space="preserve">šajā </w:t>
      </w:r>
      <w:r w:rsidR="00842877" w:rsidRPr="00DC4318">
        <w:rPr>
          <w:rFonts w:asciiTheme="majorBidi" w:hAnsiTheme="majorBidi"/>
        </w:rPr>
        <w:t xml:space="preserve">lietā </w:t>
      </w:r>
      <w:r w:rsidR="006B4660">
        <w:rPr>
          <w:rFonts w:asciiTheme="majorBidi" w:hAnsiTheme="majorBidi"/>
        </w:rPr>
        <w:t xml:space="preserve">apsūdzētajam </w:t>
      </w:r>
      <w:r w:rsidR="00842877" w:rsidRPr="00DC4318">
        <w:rPr>
          <w:rFonts w:asciiTheme="majorBidi" w:hAnsiTheme="majorBidi"/>
        </w:rPr>
        <w:t xml:space="preserve">inkriminētais </w:t>
      </w:r>
      <w:r w:rsidR="00C223A7" w:rsidRPr="00DC4318">
        <w:rPr>
          <w:rFonts w:asciiTheme="majorBidi" w:hAnsiTheme="majorBidi"/>
        </w:rPr>
        <w:t>apjoms</w:t>
      </w:r>
      <w:r w:rsidR="00842877" w:rsidRPr="00DC4318">
        <w:rPr>
          <w:rFonts w:asciiTheme="majorBidi" w:hAnsiTheme="majorBidi"/>
        </w:rPr>
        <w:t xml:space="preserve"> šo robežvērtību pārsniedz vien nedaudz</w:t>
      </w:r>
      <w:r>
        <w:rPr>
          <w:rFonts w:asciiTheme="majorBidi" w:hAnsiTheme="majorBidi"/>
        </w:rPr>
        <w:t>,</w:t>
      </w:r>
      <w:r>
        <w:rPr>
          <w:rFonts w:asciiTheme="majorBidi" w:hAnsiTheme="majorBidi" w:cstheme="majorBidi"/>
        </w:rPr>
        <w:t xml:space="preserve"> konstatētie pārkāpumi ir atzīstami par Kriminālprocesa likuma būtiskiem pārkāpumiem šā likuma 575.</w:t>
      </w:r>
      <w:r w:rsidR="003B6C64">
        <w:rPr>
          <w:rFonts w:asciiTheme="majorBidi" w:hAnsiTheme="majorBidi" w:cstheme="majorBidi"/>
        </w:rPr>
        <w:t> </w:t>
      </w:r>
      <w:r>
        <w:rPr>
          <w:rFonts w:asciiTheme="majorBidi" w:hAnsiTheme="majorBidi" w:cstheme="majorBidi"/>
        </w:rPr>
        <w:t xml:space="preserve">panta trešās daļas izpratnē. </w:t>
      </w:r>
      <w:r>
        <w:rPr>
          <w:rFonts w:asciiTheme="majorBidi" w:hAnsiTheme="majorBidi"/>
        </w:rPr>
        <w:t xml:space="preserve">Tādēļ </w:t>
      </w:r>
      <w:r w:rsidR="006B4660">
        <w:t xml:space="preserve">apelācijas instances tiesas </w:t>
      </w:r>
      <w:r w:rsidR="00860C0F">
        <w:t xml:space="preserve">spriedums ir atceļams </w:t>
      </w:r>
      <w:r w:rsidR="00D9264C">
        <w:rPr>
          <w:rFonts w:asciiTheme="majorBidi" w:hAnsiTheme="majorBidi" w:cstheme="majorBidi"/>
        </w:rPr>
        <w:t xml:space="preserve">daļā par apsūdzētā atzīšanu par vainīgu </w:t>
      </w:r>
      <w:r w:rsidR="009F78A3">
        <w:rPr>
          <w:rFonts w:asciiTheme="majorBidi" w:hAnsiTheme="majorBidi" w:cstheme="majorBidi"/>
        </w:rPr>
        <w:t xml:space="preserve">un sodīšanu </w:t>
      </w:r>
      <w:r w:rsidR="00D9264C">
        <w:rPr>
          <w:rFonts w:asciiTheme="majorBidi" w:hAnsiTheme="majorBidi" w:cstheme="majorBidi"/>
        </w:rPr>
        <w:t>pēc Krimināllikuma 220</w:t>
      </w:r>
      <w:r w:rsidR="003B6C64">
        <w:rPr>
          <w:rFonts w:asciiTheme="majorBidi" w:hAnsiTheme="majorBidi" w:cstheme="majorBidi"/>
        </w:rPr>
        <w:t>.</w:t>
      </w:r>
      <w:r w:rsidR="00D9264C" w:rsidRPr="00A24F5C">
        <w:rPr>
          <w:rFonts w:asciiTheme="majorBidi" w:hAnsiTheme="majorBidi" w:cstheme="majorBidi"/>
          <w:vertAlign w:val="superscript"/>
        </w:rPr>
        <w:t>1</w:t>
      </w:r>
      <w:r w:rsidR="00D9264C">
        <w:rPr>
          <w:rFonts w:asciiTheme="majorBidi" w:hAnsiTheme="majorBidi" w:cstheme="majorBidi"/>
        </w:rPr>
        <w:t> panta otrās</w:t>
      </w:r>
      <w:r w:rsidR="006B4660">
        <w:rPr>
          <w:rFonts w:asciiTheme="majorBidi" w:hAnsiTheme="majorBidi" w:cstheme="majorBidi"/>
        </w:rPr>
        <w:t xml:space="preserve"> daļas</w:t>
      </w:r>
      <w:r w:rsidR="00D9264C">
        <w:rPr>
          <w:rFonts w:asciiTheme="majorBidi" w:hAnsiTheme="majorBidi" w:cstheme="majorBidi"/>
        </w:rPr>
        <w:t>.</w:t>
      </w:r>
    </w:p>
    <w:p w14:paraId="268D4D50" w14:textId="5458A12E" w:rsidR="0028552B" w:rsidRPr="0028552B" w:rsidRDefault="0028552B" w:rsidP="00EE7E71">
      <w:pPr>
        <w:shd w:val="clear" w:color="auto" w:fill="FFFFFF"/>
        <w:suppressAutoHyphens w:val="0"/>
        <w:spacing w:line="276" w:lineRule="auto"/>
        <w:ind w:firstLine="720"/>
        <w:jc w:val="both"/>
        <w:rPr>
          <w:rFonts w:asciiTheme="majorBidi" w:hAnsiTheme="majorBidi" w:cstheme="majorBidi"/>
        </w:rPr>
      </w:pPr>
      <w:r w:rsidRPr="0028552B">
        <w:rPr>
          <w:rFonts w:asciiTheme="majorBidi" w:hAnsiTheme="majorBidi" w:cstheme="majorBidi"/>
        </w:rPr>
        <w:t>Pārējie apsūdzētā kasācijas sūdzības argumenti</w:t>
      </w:r>
      <w:r w:rsidR="00781B41">
        <w:rPr>
          <w:rFonts w:asciiTheme="majorBidi" w:hAnsiTheme="majorBidi" w:cstheme="majorBidi"/>
        </w:rPr>
        <w:t xml:space="preserve"> šajā daļā</w:t>
      </w:r>
      <w:r w:rsidR="0001413E">
        <w:rPr>
          <w:rFonts w:asciiTheme="majorBidi" w:hAnsiTheme="majorBidi" w:cstheme="majorBidi"/>
        </w:rPr>
        <w:t xml:space="preserve"> </w:t>
      </w:r>
      <w:r w:rsidRPr="0028552B">
        <w:rPr>
          <w:rFonts w:asciiTheme="majorBidi" w:hAnsiTheme="majorBidi" w:cstheme="majorBidi"/>
        </w:rPr>
        <w:t>izvērtējami apelācijas instances tiesā, lietu izskatot no jauna.</w:t>
      </w:r>
    </w:p>
    <w:p w14:paraId="1976CD32" w14:textId="77777777" w:rsidR="0028552B" w:rsidRDefault="0028552B" w:rsidP="00EE7E71">
      <w:pPr>
        <w:shd w:val="clear" w:color="auto" w:fill="FFFFFF"/>
        <w:suppressAutoHyphens w:val="0"/>
        <w:spacing w:line="276" w:lineRule="auto"/>
        <w:ind w:firstLine="720"/>
        <w:jc w:val="both"/>
        <w:rPr>
          <w:rFonts w:asciiTheme="majorBidi" w:hAnsiTheme="majorBidi" w:cstheme="majorBidi"/>
        </w:rPr>
      </w:pPr>
    </w:p>
    <w:p w14:paraId="11087BB2" w14:textId="03A9ADA6" w:rsidR="00FC0714" w:rsidRPr="00FC0714" w:rsidRDefault="00F676B8" w:rsidP="00EE7E71">
      <w:pPr>
        <w:suppressAutoHyphens w:val="0"/>
        <w:spacing w:line="276" w:lineRule="auto"/>
        <w:jc w:val="center"/>
        <w:rPr>
          <w:b/>
          <w:bCs/>
        </w:rPr>
      </w:pPr>
      <w:bookmarkStart w:id="23" w:name="_Hlk218075044"/>
      <w:bookmarkStart w:id="24" w:name="_Hlk218084352"/>
      <w:bookmarkEnd w:id="22"/>
      <w:r>
        <w:rPr>
          <w:b/>
          <w:bCs/>
        </w:rPr>
        <w:t>I</w:t>
      </w:r>
      <w:r w:rsidR="00FC0714" w:rsidRPr="00FC0714">
        <w:rPr>
          <w:b/>
          <w:bCs/>
        </w:rPr>
        <w:t>V</w:t>
      </w:r>
    </w:p>
    <w:p w14:paraId="0BFFB96E" w14:textId="2DD7F5D9" w:rsidR="00C96CEE" w:rsidRDefault="00C96CEE" w:rsidP="00EE7E71">
      <w:pPr>
        <w:suppressAutoHyphens w:val="0"/>
        <w:spacing w:line="276" w:lineRule="auto"/>
        <w:jc w:val="center"/>
        <w:rPr>
          <w:rFonts w:asciiTheme="majorBidi" w:hAnsiTheme="majorBidi" w:cstheme="majorBidi"/>
          <w:i/>
          <w:iCs/>
        </w:rPr>
      </w:pPr>
      <w:r w:rsidRPr="00BC795B">
        <w:rPr>
          <w:i/>
          <w:iCs/>
        </w:rPr>
        <w:t xml:space="preserve">Par </w:t>
      </w:r>
      <w:r>
        <w:rPr>
          <w:rFonts w:asciiTheme="majorBidi" w:hAnsiTheme="majorBidi" w:cstheme="majorBidi"/>
          <w:i/>
          <w:iCs/>
        </w:rPr>
        <w:t>Krimināllikuma 177. panta trešajā daļā paredzētā</w:t>
      </w:r>
    </w:p>
    <w:p w14:paraId="3B3D308F" w14:textId="4730F896" w:rsidR="00C96CEE" w:rsidRPr="00BC795B" w:rsidRDefault="00C96CEE" w:rsidP="00EE7E71">
      <w:pPr>
        <w:suppressAutoHyphens w:val="0"/>
        <w:spacing w:line="276" w:lineRule="auto"/>
        <w:jc w:val="center"/>
        <w:rPr>
          <w:i/>
          <w:iCs/>
        </w:rPr>
      </w:pPr>
      <w:r>
        <w:rPr>
          <w:rFonts w:asciiTheme="majorBidi" w:hAnsiTheme="majorBidi" w:cstheme="majorBidi"/>
          <w:i/>
          <w:iCs/>
        </w:rPr>
        <w:t xml:space="preserve">noziedzīgā nodarījuma </w:t>
      </w:r>
      <w:r>
        <w:rPr>
          <w:i/>
          <w:iCs/>
        </w:rPr>
        <w:t xml:space="preserve">objektīvo </w:t>
      </w:r>
      <w:r w:rsidR="003C7508">
        <w:rPr>
          <w:i/>
          <w:iCs/>
        </w:rPr>
        <w:t xml:space="preserve">un subjektīvo </w:t>
      </w:r>
      <w:r>
        <w:rPr>
          <w:i/>
          <w:iCs/>
        </w:rPr>
        <w:t>pusi</w:t>
      </w:r>
    </w:p>
    <w:p w14:paraId="4D417678" w14:textId="77777777" w:rsidR="0028788A" w:rsidRDefault="0028788A" w:rsidP="00EE7E71">
      <w:pPr>
        <w:suppressAutoHyphens w:val="0"/>
        <w:spacing w:line="276" w:lineRule="auto"/>
        <w:ind w:firstLine="720"/>
        <w:jc w:val="both"/>
      </w:pPr>
    </w:p>
    <w:p w14:paraId="039C3635" w14:textId="0B7C8D75" w:rsidR="00CB6793" w:rsidRDefault="00E7240A" w:rsidP="00EE7E71">
      <w:pPr>
        <w:suppressAutoHyphens w:val="0"/>
        <w:spacing w:line="276" w:lineRule="auto"/>
        <w:ind w:firstLine="720"/>
        <w:jc w:val="both"/>
        <w:rPr>
          <w:rFonts w:asciiTheme="majorBidi" w:hAnsiTheme="majorBidi" w:cstheme="majorBidi"/>
        </w:rPr>
      </w:pPr>
      <w:bookmarkStart w:id="25" w:name="_Hlk216703225"/>
      <w:bookmarkStart w:id="26" w:name="_Hlk213087860"/>
      <w:bookmarkStart w:id="27" w:name="_Hlk216699814"/>
      <w:r>
        <w:rPr>
          <w:rFonts w:eastAsia="TimesNewRomanPSMT"/>
        </w:rPr>
        <w:t>[1</w:t>
      </w:r>
      <w:r w:rsidR="00F676B8">
        <w:rPr>
          <w:rFonts w:eastAsia="TimesNewRomanPSMT"/>
        </w:rPr>
        <w:t>1</w:t>
      </w:r>
      <w:r>
        <w:rPr>
          <w:rFonts w:eastAsia="TimesNewRomanPSMT"/>
        </w:rPr>
        <w:t>]</w:t>
      </w:r>
      <w:r w:rsidR="005760F8">
        <w:rPr>
          <w:rFonts w:eastAsia="TimesNewRomanPSMT"/>
        </w:rPr>
        <w:t> </w:t>
      </w:r>
      <w:bookmarkEnd w:id="23"/>
      <w:bookmarkEnd w:id="25"/>
      <w:bookmarkEnd w:id="26"/>
      <w:bookmarkEnd w:id="27"/>
      <w:r w:rsidR="00D51E76">
        <w:rPr>
          <w:rFonts w:eastAsia="Times New Roman" w:cs="Times New Roman"/>
          <w:kern w:val="0"/>
          <w:szCs w:val="20"/>
          <w:lang w:eastAsia="zh-CN" w:bidi="ar-SA"/>
        </w:rPr>
        <w:t>A</w:t>
      </w:r>
      <w:r w:rsidR="00B92467">
        <w:rPr>
          <w:rFonts w:asciiTheme="majorBidi" w:hAnsiTheme="majorBidi" w:cstheme="majorBidi"/>
        </w:rPr>
        <w:t>pelācijas instances tiesa</w:t>
      </w:r>
      <w:r w:rsidR="00E34BF8">
        <w:t xml:space="preserve"> </w:t>
      </w:r>
      <w:r w:rsidR="00B92467">
        <w:rPr>
          <w:rFonts w:asciiTheme="majorBidi" w:hAnsiTheme="majorBidi" w:cstheme="majorBidi"/>
        </w:rPr>
        <w:t>atzinusi par pierādītu, ka a</w:t>
      </w:r>
      <w:r w:rsidR="00B92467" w:rsidRPr="00B92467">
        <w:rPr>
          <w:rFonts w:asciiTheme="majorBidi" w:hAnsiTheme="majorBidi" w:cstheme="majorBidi"/>
        </w:rPr>
        <w:t>psūdzētais</w:t>
      </w:r>
      <w:r w:rsidR="00CB6793">
        <w:rPr>
          <w:rFonts w:asciiTheme="majorBidi" w:hAnsiTheme="majorBidi" w:cstheme="majorBidi"/>
        </w:rPr>
        <w:t xml:space="preserve"> ar citas personas starpniecību</w:t>
      </w:r>
      <w:r w:rsidR="00B92467">
        <w:rPr>
          <w:rFonts w:asciiTheme="majorBidi" w:hAnsiTheme="majorBidi" w:cstheme="majorBidi"/>
        </w:rPr>
        <w:t xml:space="preserve"> </w:t>
      </w:r>
      <w:r w:rsidR="00D51E76" w:rsidRPr="00CB6793">
        <w:rPr>
          <w:rFonts w:asciiTheme="majorBidi" w:hAnsiTheme="majorBidi" w:cstheme="majorBidi"/>
          <w:color w:val="000000" w:themeColor="text1"/>
        </w:rPr>
        <w:t xml:space="preserve">iesniedza </w:t>
      </w:r>
      <w:r w:rsidR="00FB075F" w:rsidRPr="00CB6793">
        <w:rPr>
          <w:rFonts w:asciiTheme="majorBidi" w:hAnsiTheme="majorBidi" w:cstheme="majorBidi"/>
          <w:color w:val="000000" w:themeColor="text1"/>
        </w:rPr>
        <w:t xml:space="preserve">EDS </w:t>
      </w:r>
      <w:r w:rsidR="00CB6793" w:rsidRPr="00CB6793">
        <w:rPr>
          <w:rFonts w:asciiTheme="majorBidi" w:hAnsiTheme="majorBidi" w:cstheme="majorBidi"/>
          <w:color w:val="000000" w:themeColor="text1"/>
        </w:rPr>
        <w:t xml:space="preserve">trīs apzināti nepatiesas </w:t>
      </w:r>
      <w:r w:rsidR="00CB6793" w:rsidRPr="00CB6793">
        <w:rPr>
          <w:color w:val="000000" w:themeColor="text1"/>
        </w:rPr>
        <w:t>AS „</w:t>
      </w:r>
      <w:r w:rsidR="0088482E">
        <w:rPr>
          <w:color w:val="000000" w:themeColor="text1"/>
        </w:rPr>
        <w:t>[N</w:t>
      </w:r>
      <w:r w:rsidR="001B7EF5">
        <w:rPr>
          <w:color w:val="000000" w:themeColor="text1"/>
        </w:rPr>
        <w:t>osaukums</w:t>
      </w:r>
      <w:r w:rsidR="0088482E">
        <w:rPr>
          <w:color w:val="000000" w:themeColor="text1"/>
        </w:rPr>
        <w:t> A]</w:t>
      </w:r>
      <w:r w:rsidR="00CB6793" w:rsidRPr="00CB6793">
        <w:rPr>
          <w:color w:val="000000" w:themeColor="text1"/>
        </w:rPr>
        <w:t xml:space="preserve">” </w:t>
      </w:r>
      <w:r w:rsidR="00CB6793" w:rsidRPr="00CB6793">
        <w:rPr>
          <w:rFonts w:asciiTheme="majorBidi" w:hAnsiTheme="majorBidi" w:cstheme="majorBidi"/>
          <w:color w:val="000000" w:themeColor="text1"/>
        </w:rPr>
        <w:t xml:space="preserve">PVN deklarācijas, </w:t>
      </w:r>
      <w:r w:rsidR="00CB6793" w:rsidRPr="00CB6793">
        <w:rPr>
          <w:color w:val="000000" w:themeColor="text1"/>
        </w:rPr>
        <w:t>tajās nepamatoti uzrādot priekšnodokli par darījumiem, kas: 1)</w:t>
      </w:r>
      <w:r w:rsidR="00762AB0">
        <w:rPr>
          <w:color w:val="000000" w:themeColor="text1"/>
        </w:rPr>
        <w:t> </w:t>
      </w:r>
      <w:r w:rsidR="00CB6793" w:rsidRPr="00CB6793">
        <w:rPr>
          <w:color w:val="000000" w:themeColor="text1"/>
        </w:rPr>
        <w:t>nav notikuši attiecīgajā taksācijas periodā; 2)</w:t>
      </w:r>
      <w:r w:rsidR="00762AB0">
        <w:rPr>
          <w:color w:val="000000" w:themeColor="text1"/>
        </w:rPr>
        <w:t> </w:t>
      </w:r>
      <w:r w:rsidR="00CB6793" w:rsidRPr="00CB6793">
        <w:rPr>
          <w:color w:val="000000" w:themeColor="text1"/>
        </w:rPr>
        <w:t>nav saistīti ar nodokli apliekamu darījumu nodrošināšan</w:t>
      </w:r>
      <w:r w:rsidR="006B4404">
        <w:rPr>
          <w:color w:val="000000" w:themeColor="text1"/>
        </w:rPr>
        <w:t>u</w:t>
      </w:r>
      <w:r w:rsidR="00CB6793" w:rsidRPr="00CB6793">
        <w:rPr>
          <w:color w:val="000000" w:themeColor="text1"/>
        </w:rPr>
        <w:t>; 3)</w:t>
      </w:r>
      <w:r w:rsidR="00762AB0">
        <w:rPr>
          <w:color w:val="000000" w:themeColor="text1"/>
        </w:rPr>
        <w:t> </w:t>
      </w:r>
      <w:r w:rsidR="00CB6793" w:rsidRPr="00CB6793">
        <w:rPr>
          <w:color w:val="000000" w:themeColor="text1"/>
        </w:rPr>
        <w:t xml:space="preserve">nav saņemti no </w:t>
      </w:r>
      <w:r w:rsidR="00762AB0">
        <w:rPr>
          <w:color w:val="000000" w:themeColor="text1"/>
        </w:rPr>
        <w:t xml:space="preserve">reģistrētiem </w:t>
      </w:r>
      <w:r w:rsidR="00CB6793" w:rsidRPr="00CB6793">
        <w:rPr>
          <w:color w:val="000000" w:themeColor="text1"/>
        </w:rPr>
        <w:t>PVN maksātājiem</w:t>
      </w:r>
      <w:r w:rsidR="00CB6793" w:rsidRPr="00CB6793">
        <w:rPr>
          <w:rFonts w:asciiTheme="majorBidi" w:hAnsiTheme="majorBidi" w:cstheme="majorBidi"/>
          <w:color w:val="000000" w:themeColor="text1"/>
        </w:rPr>
        <w:t xml:space="preserve">, kā rezultātā uzņēmumam </w:t>
      </w:r>
      <w:r w:rsidR="00FB075F">
        <w:rPr>
          <w:rFonts w:asciiTheme="majorBidi" w:hAnsiTheme="majorBidi" w:cstheme="majorBidi"/>
          <w:color w:val="000000" w:themeColor="text1"/>
        </w:rPr>
        <w:t xml:space="preserve">no valsts budžeta </w:t>
      </w:r>
      <w:r w:rsidR="00CB6793" w:rsidRPr="00CB6793">
        <w:rPr>
          <w:rFonts w:asciiTheme="majorBidi" w:hAnsiTheme="majorBidi" w:cstheme="majorBidi"/>
          <w:color w:val="000000" w:themeColor="text1"/>
        </w:rPr>
        <w:t>nepamatoti atmaksāt</w:t>
      </w:r>
      <w:r w:rsidR="00FB075F">
        <w:rPr>
          <w:rFonts w:asciiTheme="majorBidi" w:hAnsiTheme="majorBidi" w:cstheme="majorBidi"/>
          <w:color w:val="000000" w:themeColor="text1"/>
        </w:rPr>
        <w:t>i</w:t>
      </w:r>
      <w:r w:rsidR="00CB6793" w:rsidRPr="00CB6793">
        <w:rPr>
          <w:rFonts w:asciiTheme="majorBidi" w:hAnsiTheme="majorBidi" w:cstheme="majorBidi"/>
          <w:color w:val="000000" w:themeColor="text1"/>
        </w:rPr>
        <w:t xml:space="preserve"> 20 620,95 lati jeb 29 340</w:t>
      </w:r>
      <w:r w:rsidR="000F5D00">
        <w:rPr>
          <w:rFonts w:asciiTheme="majorBidi" w:hAnsiTheme="majorBidi" w:cstheme="majorBidi"/>
          <w:color w:val="000000" w:themeColor="text1"/>
        </w:rPr>
        <w:t>,97</w:t>
      </w:r>
      <w:r w:rsidR="00CB6793" w:rsidRPr="00CB6793">
        <w:rPr>
          <w:rFonts w:asciiTheme="majorBidi" w:hAnsiTheme="majorBidi" w:cstheme="majorBidi"/>
          <w:i/>
          <w:iCs/>
          <w:color w:val="000000" w:themeColor="text1"/>
        </w:rPr>
        <w:t> euro</w:t>
      </w:r>
      <w:r w:rsidR="00CB6793" w:rsidRPr="00CB6793">
        <w:rPr>
          <w:rFonts w:asciiTheme="majorBidi" w:hAnsiTheme="majorBidi" w:cstheme="majorBidi"/>
          <w:color w:val="000000" w:themeColor="text1"/>
        </w:rPr>
        <w:t>.</w:t>
      </w:r>
    </w:p>
    <w:p w14:paraId="1E3851A6" w14:textId="0764D665" w:rsidR="00CB7177" w:rsidRDefault="00CB7177" w:rsidP="00EE7E71">
      <w:pPr>
        <w:shd w:val="clear" w:color="auto" w:fill="FFFFFF"/>
        <w:tabs>
          <w:tab w:val="left" w:pos="284"/>
        </w:tabs>
        <w:suppressAutoHyphens w:val="0"/>
        <w:spacing w:line="276" w:lineRule="auto"/>
        <w:ind w:firstLine="720"/>
        <w:jc w:val="both"/>
        <w:rPr>
          <w:rFonts w:eastAsia="Times New Roman" w:cs="Times New Roman"/>
          <w:kern w:val="0"/>
          <w:szCs w:val="20"/>
          <w:lang w:eastAsia="zh-CN" w:bidi="ar-SA"/>
        </w:rPr>
      </w:pPr>
      <w:r w:rsidRPr="00CB7177">
        <w:rPr>
          <w:rFonts w:eastAsia="Times New Roman" w:cs="Times New Roman"/>
          <w:kern w:val="0"/>
          <w:szCs w:val="20"/>
          <w:lang w:eastAsia="zh-CN" w:bidi="ar-SA"/>
        </w:rPr>
        <w:t>Kasācijas sūdzībā apsūdzētais</w:t>
      </w:r>
      <w:r w:rsidR="00216A65">
        <w:rPr>
          <w:rFonts w:eastAsia="Times New Roman" w:cs="Times New Roman"/>
          <w:kern w:val="0"/>
          <w:szCs w:val="20"/>
          <w:lang w:eastAsia="zh-CN" w:bidi="ar-SA"/>
        </w:rPr>
        <w:t xml:space="preserve"> </w:t>
      </w:r>
      <w:r w:rsidR="0088482E">
        <w:rPr>
          <w:rFonts w:eastAsia="Times New Roman" w:cs="Times New Roman"/>
          <w:kern w:val="0"/>
          <w:szCs w:val="20"/>
          <w:lang w:eastAsia="zh-CN" w:bidi="ar-SA"/>
        </w:rPr>
        <w:t>[pers. A]</w:t>
      </w:r>
      <w:r w:rsidRPr="00CB7177">
        <w:rPr>
          <w:rFonts w:eastAsia="Times New Roman" w:cs="Times New Roman"/>
          <w:kern w:val="0"/>
          <w:szCs w:val="20"/>
          <w:lang w:eastAsia="zh-CN" w:bidi="ar-SA"/>
        </w:rPr>
        <w:t xml:space="preserve"> </w:t>
      </w:r>
      <w:r w:rsidR="002073C2">
        <w:rPr>
          <w:rFonts w:eastAsia="Times New Roman" w:cs="Times New Roman"/>
          <w:kern w:val="0"/>
          <w:szCs w:val="20"/>
          <w:lang w:eastAsia="zh-CN" w:bidi="ar-SA"/>
        </w:rPr>
        <w:t>norādījis</w:t>
      </w:r>
      <w:r>
        <w:rPr>
          <w:rFonts w:asciiTheme="majorBidi" w:hAnsiTheme="majorBidi" w:cstheme="majorBidi"/>
        </w:rPr>
        <w:t>, ka: 1)</w:t>
      </w:r>
      <w:r w:rsidR="002073C2">
        <w:rPr>
          <w:rFonts w:asciiTheme="majorBidi" w:hAnsiTheme="majorBidi" w:cstheme="majorBidi"/>
        </w:rPr>
        <w:t> </w:t>
      </w:r>
      <w:r>
        <w:rPr>
          <w:rFonts w:asciiTheme="majorBidi" w:hAnsiTheme="majorBidi" w:cstheme="majorBidi"/>
        </w:rPr>
        <w:t>AS</w:t>
      </w:r>
      <w:r w:rsidR="002073C2">
        <w:rPr>
          <w:rFonts w:asciiTheme="majorBidi" w:hAnsiTheme="majorBidi" w:cstheme="majorBidi"/>
        </w:rPr>
        <w:t> </w:t>
      </w:r>
      <w:r w:rsidRPr="00DD6D70">
        <w:t>„</w:t>
      </w:r>
      <w:r w:rsidR="0088482E">
        <w:t>[N</w:t>
      </w:r>
      <w:r w:rsidR="001B7EF5">
        <w:t>osaukums</w:t>
      </w:r>
      <w:r w:rsidR="0088482E">
        <w:t> A]</w:t>
      </w:r>
      <w:r w:rsidRPr="00DD6D70">
        <w:t>”</w:t>
      </w:r>
      <w:r>
        <w:rPr>
          <w:rFonts w:asciiTheme="majorBidi" w:hAnsiTheme="majorBidi" w:cstheme="majorBidi"/>
        </w:rPr>
        <w:t xml:space="preserve"> bija tiesī</w:t>
      </w:r>
      <w:r w:rsidR="00FB075F">
        <w:rPr>
          <w:rFonts w:asciiTheme="majorBidi" w:hAnsiTheme="majorBidi" w:cstheme="majorBidi"/>
        </w:rPr>
        <w:t>bas uz priekšnodokļa atmaksu</w:t>
      </w:r>
      <w:r w:rsidR="00CB6793">
        <w:rPr>
          <w:rFonts w:asciiTheme="majorBidi" w:hAnsiTheme="majorBidi" w:cstheme="majorBidi"/>
        </w:rPr>
        <w:t xml:space="preserve"> (nav noziedzīg</w:t>
      </w:r>
      <w:r w:rsidR="006B4404">
        <w:rPr>
          <w:rFonts w:asciiTheme="majorBidi" w:hAnsiTheme="majorBidi" w:cstheme="majorBidi"/>
        </w:rPr>
        <w:t>ā</w:t>
      </w:r>
      <w:r w:rsidR="00CB6793">
        <w:rPr>
          <w:rFonts w:asciiTheme="majorBidi" w:hAnsiTheme="majorBidi" w:cstheme="majorBidi"/>
        </w:rPr>
        <w:t xml:space="preserve"> nodarījuma objektīvās puses)</w:t>
      </w:r>
      <w:r>
        <w:rPr>
          <w:rFonts w:asciiTheme="majorBidi" w:hAnsiTheme="majorBidi" w:cstheme="majorBidi"/>
        </w:rPr>
        <w:t>; 2)</w:t>
      </w:r>
      <w:r w:rsidR="002073C2">
        <w:rPr>
          <w:rFonts w:asciiTheme="majorBidi" w:hAnsiTheme="majorBidi" w:cstheme="majorBidi"/>
        </w:rPr>
        <w:t> </w:t>
      </w:r>
      <w:r>
        <w:rPr>
          <w:rFonts w:asciiTheme="majorBidi" w:hAnsiTheme="majorBidi" w:cstheme="majorBidi"/>
        </w:rPr>
        <w:t xml:space="preserve">viņam nebija nodoma prettiesiski </w:t>
      </w:r>
      <w:r w:rsidR="00FB075F">
        <w:rPr>
          <w:rFonts w:asciiTheme="majorBidi" w:hAnsiTheme="majorBidi" w:cstheme="majorBidi"/>
        </w:rPr>
        <w:t>atgūt priekšnodokli</w:t>
      </w:r>
      <w:r w:rsidR="00CB6793">
        <w:rPr>
          <w:rFonts w:asciiTheme="majorBidi" w:hAnsiTheme="majorBidi" w:cstheme="majorBidi"/>
        </w:rPr>
        <w:t xml:space="preserve"> (nav noziedzīg</w:t>
      </w:r>
      <w:r w:rsidR="006B4404">
        <w:rPr>
          <w:rFonts w:asciiTheme="majorBidi" w:hAnsiTheme="majorBidi" w:cstheme="majorBidi"/>
        </w:rPr>
        <w:t>ā</w:t>
      </w:r>
      <w:r w:rsidR="00CB6793">
        <w:rPr>
          <w:rFonts w:asciiTheme="majorBidi" w:hAnsiTheme="majorBidi" w:cstheme="majorBidi"/>
        </w:rPr>
        <w:t xml:space="preserve"> nodarījuma subjektīvās puses)</w:t>
      </w:r>
      <w:r>
        <w:rPr>
          <w:rFonts w:asciiTheme="majorBidi" w:hAnsiTheme="majorBidi" w:cstheme="majorBidi"/>
        </w:rPr>
        <w:t>.</w:t>
      </w:r>
    </w:p>
    <w:p w14:paraId="44FAA56F" w14:textId="0A36445C" w:rsidR="00B92467" w:rsidRDefault="00B92467" w:rsidP="00EE7E71">
      <w:pPr>
        <w:shd w:val="clear" w:color="auto" w:fill="FFFFFF"/>
        <w:tabs>
          <w:tab w:val="left" w:pos="284"/>
        </w:tabs>
        <w:suppressAutoHyphens w:val="0"/>
        <w:spacing w:line="276" w:lineRule="auto"/>
        <w:ind w:firstLine="720"/>
        <w:jc w:val="both"/>
        <w:rPr>
          <w:rFonts w:eastAsia="Times New Roman" w:cs="Times New Roman"/>
          <w:kern w:val="0"/>
          <w:szCs w:val="20"/>
          <w:lang w:eastAsia="zh-CN" w:bidi="ar-SA"/>
        </w:rPr>
      </w:pPr>
      <w:r w:rsidRPr="00CC6E50">
        <w:rPr>
          <w:rFonts w:eastAsia="Times New Roman" w:cs="Times New Roman"/>
          <w:kern w:val="0"/>
          <w:szCs w:val="20"/>
          <w:lang w:eastAsia="zh-CN" w:bidi="ar-SA"/>
        </w:rPr>
        <w:t>Senāts</w:t>
      </w:r>
      <w:r w:rsidR="002073C2">
        <w:rPr>
          <w:rFonts w:eastAsia="Times New Roman" w:cs="Times New Roman"/>
          <w:kern w:val="0"/>
          <w:szCs w:val="20"/>
          <w:lang w:eastAsia="zh-CN" w:bidi="ar-SA"/>
        </w:rPr>
        <w:t xml:space="preserve"> apsūdzētā argumentus</w:t>
      </w:r>
      <w:r w:rsidR="001F3163">
        <w:rPr>
          <w:rFonts w:eastAsia="Times New Roman" w:cs="Times New Roman"/>
          <w:kern w:val="0"/>
          <w:szCs w:val="20"/>
          <w:lang w:eastAsia="zh-CN" w:bidi="ar-SA"/>
        </w:rPr>
        <w:t xml:space="preserve"> šajā daļā atzīst</w:t>
      </w:r>
      <w:r w:rsidR="002073C2">
        <w:rPr>
          <w:rFonts w:eastAsia="Times New Roman" w:cs="Times New Roman"/>
          <w:kern w:val="0"/>
          <w:szCs w:val="20"/>
          <w:lang w:eastAsia="zh-CN" w:bidi="ar-SA"/>
        </w:rPr>
        <w:t xml:space="preserve"> par nepamatotiem.</w:t>
      </w:r>
    </w:p>
    <w:p w14:paraId="30D4CF56" w14:textId="64102C7D" w:rsidR="001D0C67" w:rsidRDefault="00B92467" w:rsidP="00EE7E71">
      <w:pPr>
        <w:shd w:val="clear" w:color="auto" w:fill="FFFFFF"/>
        <w:suppressAutoHyphens w:val="0"/>
        <w:spacing w:line="276" w:lineRule="auto"/>
        <w:ind w:firstLine="720"/>
        <w:jc w:val="both"/>
        <w:rPr>
          <w:rFonts w:eastAsia="TimesNewRomanPSMT"/>
        </w:rPr>
      </w:pPr>
      <w:r>
        <w:rPr>
          <w:rFonts w:asciiTheme="majorBidi" w:hAnsiTheme="majorBidi" w:cstheme="majorBidi"/>
        </w:rPr>
        <w:t>[1</w:t>
      </w:r>
      <w:r w:rsidR="00F676B8">
        <w:rPr>
          <w:rFonts w:asciiTheme="majorBidi" w:hAnsiTheme="majorBidi" w:cstheme="majorBidi"/>
        </w:rPr>
        <w:t>1</w:t>
      </w:r>
      <w:r>
        <w:rPr>
          <w:rFonts w:asciiTheme="majorBidi" w:hAnsiTheme="majorBidi" w:cstheme="majorBidi"/>
        </w:rPr>
        <w:t>.1]</w:t>
      </w:r>
      <w:r w:rsidR="002073C2">
        <w:rPr>
          <w:rFonts w:asciiTheme="majorBidi" w:hAnsiTheme="majorBidi" w:cstheme="majorBidi"/>
        </w:rPr>
        <w:t> </w:t>
      </w:r>
      <w:r>
        <w:rPr>
          <w:rFonts w:eastAsia="TimesNewRomanPSMT"/>
        </w:rPr>
        <w:t>Krāpšanas</w:t>
      </w:r>
      <w:r w:rsidRPr="00762180">
        <w:rPr>
          <w:rFonts w:eastAsia="TimesNewRomanPSMT"/>
        </w:rPr>
        <w:t xml:space="preserve"> objektīv</w:t>
      </w:r>
      <w:r w:rsidR="002073C2">
        <w:rPr>
          <w:rFonts w:eastAsia="TimesNewRomanPSMT"/>
        </w:rPr>
        <w:t>o</w:t>
      </w:r>
      <w:r w:rsidRPr="00762180">
        <w:rPr>
          <w:rFonts w:eastAsia="TimesNewRomanPSMT"/>
        </w:rPr>
        <w:t xml:space="preserve"> pus</w:t>
      </w:r>
      <w:r w:rsidR="002073C2">
        <w:rPr>
          <w:rFonts w:eastAsia="TimesNewRomanPSMT"/>
        </w:rPr>
        <w:t>i</w:t>
      </w:r>
      <w:r w:rsidRPr="00762180">
        <w:rPr>
          <w:rFonts w:eastAsia="TimesNewRomanPSMT"/>
        </w:rPr>
        <w:t xml:space="preserve"> </w:t>
      </w:r>
      <w:r w:rsidR="002073C2">
        <w:rPr>
          <w:rFonts w:eastAsia="TimesNewRomanPSMT"/>
        </w:rPr>
        <w:t>veido</w:t>
      </w:r>
      <w:r w:rsidRPr="00762180">
        <w:rPr>
          <w:rFonts w:eastAsia="TimesNewRomanPSMT"/>
        </w:rPr>
        <w:t xml:space="preserve"> četras</w:t>
      </w:r>
      <w:r w:rsidRPr="00762180">
        <w:rPr>
          <w:shd w:val="clear" w:color="auto" w:fill="FFFFFF"/>
          <w:lang w:eastAsia="lv-LV"/>
        </w:rPr>
        <w:t xml:space="preserve"> </w:t>
      </w:r>
      <w:r w:rsidRPr="00762180">
        <w:rPr>
          <w:rFonts w:eastAsia="TimesNewRomanPSMT"/>
        </w:rPr>
        <w:t>pazīmes: 1)</w:t>
      </w:r>
      <w:r w:rsidR="002073C2">
        <w:rPr>
          <w:rFonts w:eastAsia="TimesNewRomanPSMT"/>
        </w:rPr>
        <w:t> </w:t>
      </w:r>
      <w:r w:rsidRPr="00762180">
        <w:rPr>
          <w:rFonts w:eastAsia="TimesNewRomanPSMT"/>
        </w:rPr>
        <w:t>viltu</w:t>
      </w:r>
      <w:r w:rsidR="002073C2">
        <w:rPr>
          <w:rFonts w:eastAsia="TimesNewRomanPSMT"/>
        </w:rPr>
        <w:t>s</w:t>
      </w:r>
      <w:r w:rsidRPr="00762180">
        <w:rPr>
          <w:rFonts w:eastAsia="TimesNewRomanPSMT"/>
        </w:rPr>
        <w:t xml:space="preserve"> vai uzticēšanās ļaunprātīg</w:t>
      </w:r>
      <w:r w:rsidR="001A4F35">
        <w:rPr>
          <w:rFonts w:eastAsia="TimesNewRomanPSMT"/>
        </w:rPr>
        <w:t>a</w:t>
      </w:r>
      <w:r w:rsidRPr="00762180">
        <w:rPr>
          <w:rFonts w:eastAsia="TimesNewRomanPSMT"/>
        </w:rPr>
        <w:t xml:space="preserve"> izmantošan</w:t>
      </w:r>
      <w:r w:rsidR="001A4F35">
        <w:rPr>
          <w:rFonts w:eastAsia="TimesNewRomanPSMT"/>
        </w:rPr>
        <w:t>a</w:t>
      </w:r>
      <w:r w:rsidRPr="00762180">
        <w:rPr>
          <w:rFonts w:eastAsia="TimesNewRomanPSMT"/>
        </w:rPr>
        <w:t>; 2)</w:t>
      </w:r>
      <w:r w:rsidR="002073C2">
        <w:rPr>
          <w:rFonts w:eastAsia="TimesNewRomanPSMT"/>
        </w:rPr>
        <w:t> </w:t>
      </w:r>
      <w:r w:rsidRPr="00762180">
        <w:rPr>
          <w:rFonts w:eastAsia="TimesNewRomanPSMT"/>
        </w:rPr>
        <w:t>cietušā maldīb</w:t>
      </w:r>
      <w:r w:rsidR="001A4F35">
        <w:rPr>
          <w:rFonts w:eastAsia="TimesNewRomanPSMT"/>
        </w:rPr>
        <w:t>a</w:t>
      </w:r>
      <w:r w:rsidRPr="00762180">
        <w:rPr>
          <w:rFonts w:eastAsia="TimesNewRomanPSMT"/>
        </w:rPr>
        <w:t>; 3)</w:t>
      </w:r>
      <w:r w:rsidR="002073C2">
        <w:rPr>
          <w:shd w:val="clear" w:color="auto" w:fill="FFFFFF"/>
          <w:lang w:eastAsia="lv-LV"/>
        </w:rPr>
        <w:t> </w:t>
      </w:r>
      <w:r w:rsidRPr="00762180">
        <w:rPr>
          <w:rFonts w:eastAsia="TimesNewRomanPSMT"/>
        </w:rPr>
        <w:t>cietušā rīcīb</w:t>
      </w:r>
      <w:r w:rsidR="001A4F35">
        <w:rPr>
          <w:rFonts w:eastAsia="TimesNewRomanPSMT"/>
        </w:rPr>
        <w:t>a</w:t>
      </w:r>
      <w:r w:rsidRPr="00762180">
        <w:rPr>
          <w:rFonts w:eastAsia="TimesNewRomanPSMT"/>
        </w:rPr>
        <w:t xml:space="preserve"> pretēj</w:t>
      </w:r>
      <w:r w:rsidR="001A4F35">
        <w:rPr>
          <w:rFonts w:eastAsia="TimesNewRomanPSMT"/>
        </w:rPr>
        <w:t>a</w:t>
      </w:r>
      <w:r w:rsidRPr="00762180">
        <w:rPr>
          <w:rFonts w:eastAsia="TimesNewRomanPSMT"/>
        </w:rPr>
        <w:t xml:space="preserve"> viņa interesēm; 4)</w:t>
      </w:r>
      <w:r w:rsidR="002073C2">
        <w:rPr>
          <w:rFonts w:eastAsia="TimesNewRomanPSMT"/>
        </w:rPr>
        <w:t> </w:t>
      </w:r>
      <w:r w:rsidRPr="00762180">
        <w:rPr>
          <w:rFonts w:eastAsia="TimesNewRomanPSMT"/>
        </w:rPr>
        <w:t>mantisk</w:t>
      </w:r>
      <w:r w:rsidR="001A4F35">
        <w:rPr>
          <w:rFonts w:eastAsia="TimesNewRomanPSMT"/>
        </w:rPr>
        <w:t>s</w:t>
      </w:r>
      <w:r w:rsidRPr="00762180">
        <w:rPr>
          <w:rFonts w:eastAsia="TimesNewRomanPSMT"/>
        </w:rPr>
        <w:t xml:space="preserve"> zaudējum</w:t>
      </w:r>
      <w:r w:rsidR="001A4F35">
        <w:rPr>
          <w:rFonts w:eastAsia="TimesNewRomanPSMT"/>
        </w:rPr>
        <w:t>s</w:t>
      </w:r>
      <w:r w:rsidRPr="00762180">
        <w:rPr>
          <w:rFonts w:eastAsia="TimesNewRomanPSMT"/>
        </w:rPr>
        <w:t>. Turklāt starp</w:t>
      </w:r>
      <w:r>
        <w:rPr>
          <w:shd w:val="clear" w:color="auto" w:fill="FFFFFF"/>
          <w:lang w:eastAsia="lv-LV"/>
        </w:rPr>
        <w:t xml:space="preserve"> visām</w:t>
      </w:r>
      <w:r w:rsidRPr="00762180">
        <w:rPr>
          <w:rFonts w:eastAsia="TimesNewRomanPSMT"/>
        </w:rPr>
        <w:t xml:space="preserve"> </w:t>
      </w:r>
      <w:r>
        <w:rPr>
          <w:rFonts w:eastAsia="TimesNewRomanPSMT"/>
        </w:rPr>
        <w:t>šīm</w:t>
      </w:r>
      <w:r w:rsidRPr="00762180">
        <w:rPr>
          <w:rFonts w:eastAsia="TimesNewRomanPSMT"/>
        </w:rPr>
        <w:t xml:space="preserve"> pazīmēm jākonstatē cēloņsakarība – viltus vai</w:t>
      </w:r>
      <w:r w:rsidRPr="00762180">
        <w:rPr>
          <w:shd w:val="clear" w:color="auto" w:fill="FFFFFF"/>
          <w:lang w:eastAsia="lv-LV"/>
        </w:rPr>
        <w:t xml:space="preserve"> </w:t>
      </w:r>
      <w:r w:rsidRPr="00762180">
        <w:rPr>
          <w:rFonts w:eastAsia="TimesNewRomanPSMT"/>
        </w:rPr>
        <w:t>uzticēšanās ļaunprātīga izmantošana rada maldību, maldības ietekmē cietušais, pa</w:t>
      </w:r>
      <w:r>
        <w:rPr>
          <w:rFonts w:eastAsia="TimesNewRomanPSMT"/>
        </w:rPr>
        <w:t>ts</w:t>
      </w:r>
      <w:r w:rsidRPr="00762180">
        <w:rPr>
          <w:shd w:val="clear" w:color="auto" w:fill="FFFFFF"/>
          <w:lang w:eastAsia="lv-LV"/>
        </w:rPr>
        <w:t xml:space="preserve"> </w:t>
      </w:r>
      <w:r w:rsidRPr="00762180">
        <w:rPr>
          <w:rFonts w:eastAsia="TimesNewRomanPSMT"/>
        </w:rPr>
        <w:t xml:space="preserve">neapzinoties, veic darbības pretēji savām interesēm, kā rezultātā, </w:t>
      </w:r>
      <w:r>
        <w:rPr>
          <w:rFonts w:eastAsia="TimesNewRomanPSMT"/>
        </w:rPr>
        <w:t>viņam</w:t>
      </w:r>
      <w:r w:rsidRPr="00762180">
        <w:rPr>
          <w:shd w:val="clear" w:color="auto" w:fill="FFFFFF"/>
          <w:lang w:eastAsia="lv-LV"/>
        </w:rPr>
        <w:t xml:space="preserve"> </w:t>
      </w:r>
      <w:r w:rsidRPr="00762180">
        <w:rPr>
          <w:rFonts w:eastAsia="TimesNewRomanPSMT"/>
        </w:rPr>
        <w:t>neapzinoties</w:t>
      </w:r>
      <w:r>
        <w:rPr>
          <w:rFonts w:eastAsia="TimesNewRomanPSMT"/>
        </w:rPr>
        <w:t>,</w:t>
      </w:r>
      <w:r w:rsidRPr="00762180">
        <w:rPr>
          <w:rFonts w:eastAsia="TimesNewRomanPSMT"/>
        </w:rPr>
        <w:t xml:space="preserve"> tiek radīts mantisks zaudējums (sk.</w:t>
      </w:r>
      <w:r w:rsidR="009238B8">
        <w:rPr>
          <w:rFonts w:eastAsia="TimesNewRomanPSMT"/>
        </w:rPr>
        <w:t> </w:t>
      </w:r>
      <w:r w:rsidRPr="00762180">
        <w:rPr>
          <w:rFonts w:eastAsia="TimesNewRomanPSMT"/>
          <w:i/>
          <w:iCs/>
        </w:rPr>
        <w:t>Senāta 2020. gada 30. oktobra lēmuma lietā Nr. SKK</w:t>
      </w:r>
      <w:r w:rsidR="00F07880">
        <w:rPr>
          <w:rFonts w:eastAsia="TimesNewRomanPSMT"/>
          <w:i/>
          <w:iCs/>
        </w:rPr>
        <w:noBreakHyphen/>
      </w:r>
      <w:r w:rsidRPr="00762180">
        <w:rPr>
          <w:rFonts w:eastAsia="TimesNewRomanPSMT"/>
          <w:i/>
          <w:iCs/>
        </w:rPr>
        <w:t>59/2020</w:t>
      </w:r>
      <w:r>
        <w:rPr>
          <w:rFonts w:eastAsia="TimesNewRomanPSMT"/>
          <w:i/>
          <w:iCs/>
        </w:rPr>
        <w:t xml:space="preserve">, </w:t>
      </w:r>
      <w:hyperlink r:id="rId16" w:history="1">
        <w:r w:rsidRPr="00762180">
          <w:rPr>
            <w:rStyle w:val="Hyperlink"/>
            <w:rFonts w:eastAsia="TimesNewRomanPSMT"/>
            <w:i/>
            <w:iCs/>
          </w:rPr>
          <w:t>ECLI:LV:AT:2020:1030.3870001003.3.L</w:t>
        </w:r>
      </w:hyperlink>
      <w:r>
        <w:rPr>
          <w:rFonts w:eastAsia="TimesNewRomanPSMT"/>
          <w:i/>
          <w:iCs/>
        </w:rPr>
        <w:t>,</w:t>
      </w:r>
      <w:r w:rsidRPr="00762180">
        <w:rPr>
          <w:rFonts w:eastAsia="TimesNewRomanPSMT"/>
          <w:i/>
          <w:iCs/>
        </w:rPr>
        <w:t xml:space="preserve"> 25. punktu</w:t>
      </w:r>
      <w:r w:rsidRPr="00762180">
        <w:rPr>
          <w:rFonts w:eastAsia="TimesNewRomanPSMT"/>
        </w:rPr>
        <w:t>).</w:t>
      </w:r>
    </w:p>
    <w:p w14:paraId="56402FD4" w14:textId="3F85A0EE" w:rsidR="00CB7177" w:rsidRDefault="00CB7177" w:rsidP="00EE7E71">
      <w:pPr>
        <w:shd w:val="clear" w:color="auto" w:fill="FFFFFF"/>
        <w:suppressAutoHyphens w:val="0"/>
        <w:spacing w:line="276" w:lineRule="auto"/>
        <w:ind w:firstLine="720"/>
        <w:jc w:val="both"/>
        <w:rPr>
          <w:rFonts w:eastAsia="TimesNewRomanPSMT"/>
        </w:rPr>
      </w:pPr>
      <w:r>
        <w:rPr>
          <w:rFonts w:eastAsia="TimesNewRomanPSMT"/>
        </w:rPr>
        <w:t>Vainīgā subjektīvā attieksme pret nodarījumu izpaužas tieša nodoma veidā – viņš apzinās savu darbību kaitīgumu, paredz zaudējumu nodarīšanu cietušajam un vēlas iedzīvoties no prettiesiski iegūtā mantiskā labuma (</w:t>
      </w:r>
      <w:r w:rsidRPr="00CB7177">
        <w:rPr>
          <w:rFonts w:eastAsia="TimesNewRomanPSMT"/>
          <w:i/>
          <w:iCs/>
        </w:rPr>
        <w:t>Krastiņš</w:t>
      </w:r>
      <w:r w:rsidR="00F07880">
        <w:rPr>
          <w:rFonts w:eastAsia="TimesNewRomanPSMT"/>
          <w:i/>
          <w:iCs/>
        </w:rPr>
        <w:t> </w:t>
      </w:r>
      <w:r w:rsidRPr="00CB7177">
        <w:rPr>
          <w:rFonts w:eastAsia="TimesNewRomanPSMT"/>
          <w:i/>
          <w:iCs/>
        </w:rPr>
        <w:t xml:space="preserve">U., </w:t>
      </w:r>
      <w:proofErr w:type="spellStart"/>
      <w:r w:rsidRPr="00CB7177">
        <w:rPr>
          <w:rFonts w:eastAsia="TimesNewRomanPSMT"/>
          <w:i/>
          <w:iCs/>
        </w:rPr>
        <w:t>Liholaja</w:t>
      </w:r>
      <w:proofErr w:type="spellEnd"/>
      <w:r w:rsidR="00F07880">
        <w:rPr>
          <w:rFonts w:eastAsia="TimesNewRomanPSMT"/>
          <w:i/>
          <w:iCs/>
        </w:rPr>
        <w:t> </w:t>
      </w:r>
      <w:r w:rsidRPr="00CB7177">
        <w:rPr>
          <w:rFonts w:eastAsia="TimesNewRomanPSMT"/>
          <w:i/>
          <w:iCs/>
        </w:rPr>
        <w:t xml:space="preserve">V., </w:t>
      </w:r>
      <w:proofErr w:type="spellStart"/>
      <w:r w:rsidRPr="00CB7177">
        <w:rPr>
          <w:rFonts w:eastAsia="TimesNewRomanPSMT"/>
          <w:i/>
          <w:iCs/>
        </w:rPr>
        <w:t>Hamkova</w:t>
      </w:r>
      <w:proofErr w:type="spellEnd"/>
      <w:r w:rsidR="00F07880">
        <w:rPr>
          <w:rFonts w:eastAsia="TimesNewRomanPSMT"/>
          <w:i/>
          <w:iCs/>
        </w:rPr>
        <w:t> </w:t>
      </w:r>
      <w:r w:rsidRPr="00CB7177">
        <w:rPr>
          <w:rFonts w:eastAsia="TimesNewRomanPSMT"/>
          <w:i/>
          <w:iCs/>
        </w:rPr>
        <w:t>D. Krimināllikuma komentāri. Trešā daļa (XVIII</w:t>
      </w:r>
      <w:r w:rsidR="00F07880">
        <w:rPr>
          <w:rFonts w:eastAsia="TimesNewRomanPSMT"/>
          <w:i/>
          <w:iCs/>
        </w:rPr>
        <w:t>–</w:t>
      </w:r>
      <w:r w:rsidRPr="00CB7177">
        <w:rPr>
          <w:rFonts w:eastAsia="TimesNewRomanPSMT"/>
          <w:i/>
          <w:iCs/>
        </w:rPr>
        <w:t>XXV nodaļa). Rīga: Tiesu namu aģentūra</w:t>
      </w:r>
      <w:r w:rsidR="00F07880">
        <w:rPr>
          <w:rFonts w:eastAsia="TimesNewRomanPSMT"/>
          <w:i/>
          <w:iCs/>
        </w:rPr>
        <w:t>,</w:t>
      </w:r>
      <w:r w:rsidRPr="00CB7177">
        <w:rPr>
          <w:rFonts w:eastAsia="TimesNewRomanPSMT"/>
          <w:i/>
          <w:iCs/>
        </w:rPr>
        <w:t xml:space="preserve"> 2023, 51.</w:t>
      </w:r>
      <w:r>
        <w:rPr>
          <w:rFonts w:eastAsia="TimesNewRomanPSMT"/>
          <w:i/>
          <w:iCs/>
        </w:rPr>
        <w:t> </w:t>
      </w:r>
      <w:r w:rsidRPr="00CB7177">
        <w:rPr>
          <w:rFonts w:eastAsia="TimesNewRomanPSMT"/>
          <w:i/>
          <w:iCs/>
        </w:rPr>
        <w:t>lpp</w:t>
      </w:r>
      <w:r>
        <w:rPr>
          <w:rFonts w:eastAsia="TimesNewRomanPSMT"/>
        </w:rPr>
        <w:t>.).</w:t>
      </w:r>
    </w:p>
    <w:p w14:paraId="28ABB287" w14:textId="202717B0" w:rsidR="001D0C67" w:rsidRPr="001D0C67" w:rsidRDefault="00CB7177" w:rsidP="00EE7E71">
      <w:pPr>
        <w:shd w:val="clear" w:color="auto" w:fill="FFFFFF"/>
        <w:suppressAutoHyphens w:val="0"/>
        <w:spacing w:line="276" w:lineRule="auto"/>
        <w:ind w:firstLine="720"/>
        <w:jc w:val="both"/>
        <w:rPr>
          <w:rFonts w:eastAsia="TimesNewRomanPSMT"/>
        </w:rPr>
      </w:pPr>
      <w:r>
        <w:t>No minētā izriet, ka</w:t>
      </w:r>
      <w:r w:rsidR="001D0C67">
        <w:t xml:space="preserve"> krāpšanai ir nepieciešams </w:t>
      </w:r>
      <w:r w:rsidR="006B4404">
        <w:t xml:space="preserve">arī </w:t>
      </w:r>
      <w:r w:rsidR="001D0C67">
        <w:t xml:space="preserve">mantkārīgs motīvs jeb nolūks </w:t>
      </w:r>
      <w:r w:rsidR="001D0C67">
        <w:rPr>
          <w:rFonts w:eastAsia="Times New Roman" w:cs="Times New Roman"/>
          <w:kern w:val="0"/>
          <w:szCs w:val="20"/>
          <w:lang w:eastAsia="zh-CN" w:bidi="ar-SA"/>
        </w:rPr>
        <w:t>(</w:t>
      </w:r>
      <w:r w:rsidR="00656304">
        <w:rPr>
          <w:rFonts w:eastAsia="Times New Roman" w:cs="Times New Roman"/>
          <w:kern w:val="0"/>
          <w:szCs w:val="20"/>
          <w:lang w:eastAsia="zh-CN" w:bidi="ar-SA"/>
        </w:rPr>
        <w:t>sk.</w:t>
      </w:r>
      <w:r w:rsidR="009238B8">
        <w:rPr>
          <w:rFonts w:eastAsia="Times New Roman" w:cs="Times New Roman"/>
          <w:kern w:val="0"/>
          <w:szCs w:val="20"/>
          <w:lang w:eastAsia="zh-CN" w:bidi="ar-SA"/>
        </w:rPr>
        <w:t> </w:t>
      </w:r>
      <w:r>
        <w:rPr>
          <w:rFonts w:eastAsia="Times New Roman" w:cs="Times New Roman"/>
          <w:kern w:val="0"/>
          <w:szCs w:val="20"/>
          <w:lang w:eastAsia="zh-CN" w:bidi="ar-SA"/>
        </w:rPr>
        <w:t xml:space="preserve">arī </w:t>
      </w:r>
      <w:r w:rsidR="000D4C33">
        <w:rPr>
          <w:rFonts w:eastAsia="Times New Roman" w:cs="Times New Roman"/>
          <w:i/>
          <w:iCs/>
          <w:kern w:val="0"/>
          <w:szCs w:val="20"/>
          <w:lang w:eastAsia="zh-CN" w:bidi="ar-SA"/>
        </w:rPr>
        <w:t>t</w:t>
      </w:r>
      <w:r w:rsidR="001D0C67" w:rsidRPr="00F9695E">
        <w:rPr>
          <w:rFonts w:eastAsia="Times New Roman" w:cs="Times New Roman"/>
          <w:i/>
          <w:iCs/>
          <w:kern w:val="0"/>
          <w:szCs w:val="20"/>
          <w:lang w:eastAsia="zh-CN" w:bidi="ar-SA"/>
        </w:rPr>
        <w:t>iesu prakses apkopojum</w:t>
      </w:r>
      <w:r w:rsidR="009238B8">
        <w:rPr>
          <w:rFonts w:eastAsia="Times New Roman" w:cs="Times New Roman"/>
          <w:i/>
          <w:iCs/>
          <w:kern w:val="0"/>
          <w:szCs w:val="20"/>
          <w:lang w:eastAsia="zh-CN" w:bidi="ar-SA"/>
        </w:rPr>
        <w:t>u</w:t>
      </w:r>
      <w:r w:rsidR="001D0C67" w:rsidRPr="00F9695E">
        <w:rPr>
          <w:rFonts w:eastAsia="Times New Roman" w:cs="Times New Roman"/>
          <w:i/>
          <w:iCs/>
          <w:kern w:val="0"/>
          <w:szCs w:val="20"/>
          <w:lang w:eastAsia="zh-CN" w:bidi="ar-SA"/>
        </w:rPr>
        <w:t xml:space="preserve"> </w:t>
      </w:r>
      <w:r w:rsidR="000D4C33">
        <w:rPr>
          <w:rFonts w:eastAsia="Times New Roman" w:cs="Times New Roman"/>
          <w:i/>
          <w:iCs/>
          <w:kern w:val="0"/>
          <w:szCs w:val="20"/>
          <w:lang w:eastAsia="zh-CN" w:bidi="ar-SA"/>
        </w:rPr>
        <w:t>„</w:t>
      </w:r>
      <w:hyperlink r:id="rId17" w:history="1">
        <w:r w:rsidR="001D0C67" w:rsidRPr="000D4C33">
          <w:rPr>
            <w:rStyle w:val="Hyperlink"/>
            <w:i/>
            <w:iCs/>
          </w:rPr>
          <w:t>Tiesu prakse lietās par krāpšanu. 2008/2009</w:t>
        </w:r>
      </w:hyperlink>
      <w:r w:rsidR="000D4C33">
        <w:rPr>
          <w:i/>
          <w:iCs/>
        </w:rPr>
        <w:t>”</w:t>
      </w:r>
      <w:r w:rsidR="001D0C67" w:rsidRPr="00F9695E">
        <w:rPr>
          <w:i/>
          <w:iCs/>
        </w:rPr>
        <w:t xml:space="preserve">, </w:t>
      </w:r>
      <w:r w:rsidR="001D0C67">
        <w:rPr>
          <w:i/>
          <w:iCs/>
        </w:rPr>
        <w:t>19</w:t>
      </w:r>
      <w:r w:rsidR="001D0C67" w:rsidRPr="00F9695E">
        <w:rPr>
          <w:i/>
          <w:iCs/>
        </w:rPr>
        <w:t>. lpp</w:t>
      </w:r>
      <w:r w:rsidR="001D0C67" w:rsidRPr="00D15764">
        <w:t>.</w:t>
      </w:r>
      <w:r w:rsidR="001D0C67">
        <w:t>)</w:t>
      </w:r>
      <w:r w:rsidR="001D0C67" w:rsidRPr="00F9695E">
        <w:rPr>
          <w:rFonts w:eastAsia="Times New Roman" w:cs="Times New Roman"/>
          <w:kern w:val="0"/>
          <w:szCs w:val="20"/>
          <w:lang w:eastAsia="zh-CN" w:bidi="ar-SA"/>
        </w:rPr>
        <w:t>.</w:t>
      </w:r>
    </w:p>
    <w:p w14:paraId="50AF2D2C" w14:textId="65C8184F" w:rsidR="00B92467" w:rsidRDefault="00B92467" w:rsidP="00EE7E71">
      <w:pPr>
        <w:shd w:val="clear" w:color="auto" w:fill="FFFFFF"/>
        <w:suppressAutoHyphens w:val="0"/>
        <w:spacing w:line="276" w:lineRule="auto"/>
        <w:ind w:firstLine="720"/>
        <w:jc w:val="both"/>
        <w:rPr>
          <w:rFonts w:eastAsiaTheme="minorHAnsi"/>
          <w:lang w:val="lv"/>
        </w:rPr>
      </w:pPr>
      <w:r>
        <w:rPr>
          <w:rFonts w:eastAsiaTheme="minorHAnsi"/>
          <w:lang w:val="lv"/>
        </w:rPr>
        <w:t>M</w:t>
      </w:r>
      <w:r w:rsidRPr="00502276">
        <w:rPr>
          <w:rFonts w:eastAsiaTheme="minorHAnsi"/>
          <w:lang w:val="lv"/>
        </w:rPr>
        <w:t>antkārīgs nolūks raksturojas ar to, ka persona noziedzīgo</w:t>
      </w:r>
      <w:r w:rsidRPr="00502276">
        <w:rPr>
          <w:rFonts w:eastAsiaTheme="minorHAnsi"/>
        </w:rPr>
        <w:t xml:space="preserve"> </w:t>
      </w:r>
      <w:r w:rsidRPr="00502276">
        <w:rPr>
          <w:rFonts w:eastAsiaTheme="minorHAnsi"/>
          <w:lang w:val="lv"/>
        </w:rPr>
        <w:t>nodarījumu izdarījusi ar mērķi nelikumīgi panākt sava vai citas personas materiālā stāvokļa</w:t>
      </w:r>
      <w:r w:rsidRPr="00502276">
        <w:rPr>
          <w:rFonts w:eastAsiaTheme="minorHAnsi"/>
        </w:rPr>
        <w:t xml:space="preserve"> </w:t>
      </w:r>
      <w:r w:rsidRPr="00502276">
        <w:rPr>
          <w:rFonts w:eastAsiaTheme="minorHAnsi"/>
          <w:lang w:val="lv"/>
        </w:rPr>
        <w:t>uzlabošanu</w:t>
      </w:r>
      <w:r>
        <w:rPr>
          <w:rFonts w:eastAsiaTheme="minorHAnsi"/>
          <w:lang w:val="lv"/>
        </w:rPr>
        <w:t>.</w:t>
      </w:r>
      <w:r>
        <w:rPr>
          <w:rFonts w:eastAsiaTheme="minorHAnsi"/>
          <w:i/>
          <w:iCs/>
          <w:lang w:val="lv"/>
        </w:rPr>
        <w:t xml:space="preserve"> </w:t>
      </w:r>
      <w:r w:rsidRPr="00502276">
        <w:rPr>
          <w:rFonts w:eastAsiaTheme="minorHAnsi"/>
          <w:lang w:val="lv"/>
        </w:rPr>
        <w:t xml:space="preserve">Tādējādi </w:t>
      </w:r>
      <w:r w:rsidR="0089571F">
        <w:rPr>
          <w:rFonts w:eastAsiaTheme="minorHAnsi"/>
          <w:lang w:val="lv"/>
        </w:rPr>
        <w:t>krāpšanu iespējams izdarīt</w:t>
      </w:r>
      <w:r w:rsidRPr="00502276">
        <w:rPr>
          <w:rFonts w:eastAsiaTheme="minorHAnsi"/>
          <w:lang w:val="lv"/>
        </w:rPr>
        <w:t xml:space="preserve"> ar mērķi</w:t>
      </w:r>
      <w:r w:rsidRPr="00502276">
        <w:rPr>
          <w:rFonts w:eastAsiaTheme="minorHAnsi"/>
        </w:rPr>
        <w:t xml:space="preserve"> </w:t>
      </w:r>
      <w:r w:rsidRPr="00502276">
        <w:rPr>
          <w:rFonts w:eastAsiaTheme="minorHAnsi"/>
          <w:lang w:val="lv"/>
        </w:rPr>
        <w:t>nelikumīgi panākt</w:t>
      </w:r>
      <w:r w:rsidRPr="00502276">
        <w:rPr>
          <w:rFonts w:eastAsiaTheme="minorHAnsi"/>
        </w:rPr>
        <w:t xml:space="preserve"> </w:t>
      </w:r>
      <w:r w:rsidR="00CB7177">
        <w:rPr>
          <w:rFonts w:eastAsiaTheme="minorHAnsi"/>
        </w:rPr>
        <w:t xml:space="preserve">arī </w:t>
      </w:r>
      <w:r w:rsidRPr="00502276">
        <w:rPr>
          <w:rFonts w:eastAsiaTheme="minorHAnsi"/>
          <w:lang w:val="lv"/>
        </w:rPr>
        <w:t xml:space="preserve">citas </w:t>
      </w:r>
      <w:r w:rsidR="00E70D6B">
        <w:rPr>
          <w:rFonts w:eastAsiaTheme="minorHAnsi"/>
          <w:lang w:val="lv"/>
        </w:rPr>
        <w:t xml:space="preserve">fiziskas vai juridiskas </w:t>
      </w:r>
      <w:r w:rsidRPr="00502276">
        <w:rPr>
          <w:rFonts w:eastAsiaTheme="minorHAnsi"/>
          <w:lang w:val="lv"/>
        </w:rPr>
        <w:t>personas materiālā stāvokļa uzlabošanu</w:t>
      </w:r>
      <w:r w:rsidRPr="00502276">
        <w:rPr>
          <w:rFonts w:eastAsiaTheme="minorHAnsi"/>
        </w:rPr>
        <w:t xml:space="preserve"> (</w:t>
      </w:r>
      <w:r>
        <w:rPr>
          <w:rFonts w:eastAsiaTheme="minorHAnsi"/>
        </w:rPr>
        <w:t>sk.</w:t>
      </w:r>
      <w:r w:rsidR="009238B8">
        <w:rPr>
          <w:rFonts w:eastAsiaTheme="minorHAnsi"/>
        </w:rPr>
        <w:t> </w:t>
      </w:r>
      <w:r w:rsidRPr="00CC6E50">
        <w:rPr>
          <w:rFonts w:eastAsiaTheme="minorHAnsi"/>
          <w:i/>
          <w:iCs/>
        </w:rPr>
        <w:t xml:space="preserve">Senāta 2023. gada 15. decembra lēmuma lietā SKK-358/2023, </w:t>
      </w:r>
      <w:hyperlink r:id="rId18" w:history="1">
        <w:r w:rsidRPr="000D4C33">
          <w:rPr>
            <w:rStyle w:val="Hyperlink"/>
            <w:rFonts w:eastAsiaTheme="minorHAnsi"/>
            <w:i/>
            <w:iCs/>
          </w:rPr>
          <w:t>ECLI:LV:AT:2023:1215.11816011410.6.L</w:t>
        </w:r>
      </w:hyperlink>
      <w:r>
        <w:rPr>
          <w:rFonts w:eastAsiaTheme="minorHAnsi"/>
          <w:i/>
          <w:iCs/>
        </w:rPr>
        <w:t xml:space="preserve">, </w:t>
      </w:r>
      <w:r w:rsidRPr="00CC6E50">
        <w:rPr>
          <w:rFonts w:eastAsiaTheme="minorHAnsi"/>
          <w:i/>
          <w:iCs/>
        </w:rPr>
        <w:t>7.5. punkt</w:t>
      </w:r>
      <w:r w:rsidR="00E34BF8">
        <w:rPr>
          <w:rFonts w:eastAsiaTheme="minorHAnsi"/>
          <w:i/>
          <w:iCs/>
        </w:rPr>
        <w:t>u</w:t>
      </w:r>
      <w:r w:rsidRPr="00502276">
        <w:rPr>
          <w:rFonts w:eastAsiaTheme="minorHAnsi"/>
        </w:rPr>
        <w:t>)</w:t>
      </w:r>
      <w:r w:rsidRPr="00502276">
        <w:rPr>
          <w:rFonts w:eastAsiaTheme="minorHAnsi"/>
          <w:lang w:val="lv"/>
        </w:rPr>
        <w:t>.</w:t>
      </w:r>
    </w:p>
    <w:p w14:paraId="68CE3615" w14:textId="6290A46C" w:rsidR="00E2773A" w:rsidRPr="009238B8" w:rsidRDefault="00E2773A" w:rsidP="00EE7E71">
      <w:pPr>
        <w:shd w:val="clear" w:color="auto" w:fill="FFFFFF"/>
        <w:suppressAutoHyphens w:val="0"/>
        <w:spacing w:line="276" w:lineRule="auto"/>
        <w:ind w:firstLine="720"/>
        <w:jc w:val="both"/>
        <w:rPr>
          <w:szCs w:val="20"/>
          <w:lang w:eastAsia="zh-CN" w:bidi="ar-SA"/>
        </w:rPr>
      </w:pPr>
      <w:r w:rsidRPr="009238B8">
        <w:rPr>
          <w:szCs w:val="20"/>
          <w:lang w:eastAsia="zh-CN" w:bidi="ar-SA"/>
        </w:rPr>
        <w:t xml:space="preserve">Krāpšana var tikt izdarīta arī pret </w:t>
      </w:r>
      <w:r w:rsidR="009238B8">
        <w:rPr>
          <w:szCs w:val="20"/>
          <w:lang w:eastAsia="zh-CN" w:bidi="ar-SA"/>
        </w:rPr>
        <w:t>valsti</w:t>
      </w:r>
      <w:r w:rsidRPr="009238B8">
        <w:rPr>
          <w:szCs w:val="20"/>
          <w:lang w:eastAsia="zh-CN" w:bidi="ar-SA"/>
        </w:rPr>
        <w:t>, ja ar viltu vai</w:t>
      </w:r>
      <w:r w:rsidR="009238B8">
        <w:rPr>
          <w:szCs w:val="20"/>
          <w:lang w:eastAsia="zh-CN" w:bidi="ar-SA"/>
        </w:rPr>
        <w:t>,</w:t>
      </w:r>
      <w:r w:rsidRPr="009238B8">
        <w:rPr>
          <w:szCs w:val="20"/>
          <w:lang w:eastAsia="zh-CN" w:bidi="ar-SA"/>
        </w:rPr>
        <w:t xml:space="preserve"> ļaunprātīgi izmantojot </w:t>
      </w:r>
      <w:r w:rsidRPr="009238B8">
        <w:rPr>
          <w:szCs w:val="20"/>
          <w:lang w:eastAsia="zh-CN" w:bidi="ar-SA"/>
        </w:rPr>
        <w:lastRenderedPageBreak/>
        <w:t>uzticēšanos</w:t>
      </w:r>
      <w:r w:rsidR="009238B8">
        <w:rPr>
          <w:szCs w:val="20"/>
          <w:lang w:eastAsia="zh-CN" w:bidi="ar-SA"/>
        </w:rPr>
        <w:t>,</w:t>
      </w:r>
      <w:r w:rsidRPr="009238B8">
        <w:rPr>
          <w:szCs w:val="20"/>
          <w:lang w:eastAsia="zh-CN" w:bidi="ar-SA"/>
        </w:rPr>
        <w:t xml:space="preserve"> tiek maldinātas </w:t>
      </w:r>
      <w:r w:rsidR="009238B8">
        <w:rPr>
          <w:szCs w:val="20"/>
          <w:lang w:eastAsia="zh-CN" w:bidi="ar-SA"/>
        </w:rPr>
        <w:t>attiecīgās</w:t>
      </w:r>
      <w:r w:rsidR="009238B8" w:rsidRPr="009238B8">
        <w:rPr>
          <w:szCs w:val="20"/>
          <w:lang w:eastAsia="zh-CN" w:bidi="ar-SA"/>
        </w:rPr>
        <w:t xml:space="preserve"> </w:t>
      </w:r>
      <w:r w:rsidRPr="009238B8">
        <w:rPr>
          <w:szCs w:val="20"/>
          <w:lang w:eastAsia="zh-CN" w:bidi="ar-SA"/>
        </w:rPr>
        <w:t>amatpersonas, kuru kompetencē ir lēmuma par mantiska rakstura jautājumiem</w:t>
      </w:r>
      <w:r w:rsidR="00FB075F" w:rsidRPr="00FB075F">
        <w:rPr>
          <w:szCs w:val="20"/>
          <w:lang w:eastAsia="zh-CN" w:bidi="ar-SA"/>
        </w:rPr>
        <w:t xml:space="preserve"> </w:t>
      </w:r>
      <w:r w:rsidR="00FB075F" w:rsidRPr="009238B8">
        <w:rPr>
          <w:szCs w:val="20"/>
          <w:lang w:eastAsia="zh-CN" w:bidi="ar-SA"/>
        </w:rPr>
        <w:t>pieņemšana</w:t>
      </w:r>
      <w:r w:rsidRPr="009238B8">
        <w:rPr>
          <w:szCs w:val="20"/>
          <w:lang w:eastAsia="zh-CN" w:bidi="ar-SA"/>
        </w:rPr>
        <w:t>.</w:t>
      </w:r>
    </w:p>
    <w:p w14:paraId="63CE6BD0" w14:textId="5762FF3A" w:rsidR="001524A8" w:rsidRPr="009238B8" w:rsidRDefault="00E2773A" w:rsidP="00EE7E71">
      <w:pPr>
        <w:shd w:val="clear" w:color="auto" w:fill="FFFFFF"/>
        <w:suppressAutoHyphens w:val="0"/>
        <w:spacing w:line="276" w:lineRule="auto"/>
        <w:ind w:firstLine="720"/>
        <w:jc w:val="both"/>
        <w:rPr>
          <w:szCs w:val="20"/>
          <w:lang w:eastAsia="zh-CN" w:bidi="ar-SA"/>
        </w:rPr>
      </w:pPr>
      <w:r w:rsidRPr="009238B8">
        <w:rPr>
          <w:szCs w:val="20"/>
          <w:lang w:eastAsia="zh-CN" w:bidi="ar-SA"/>
        </w:rPr>
        <w:t>Šāds secinājums izriet no krāpšanas jēdziena. Proti, krāpšana ir vainīgās personas ie</w:t>
      </w:r>
      <w:r w:rsidR="00EF5B4D">
        <w:rPr>
          <w:szCs w:val="20"/>
          <w:lang w:eastAsia="zh-CN" w:bidi="ar-SA"/>
        </w:rPr>
        <w:t>darbība</w:t>
      </w:r>
      <w:r w:rsidRPr="009238B8">
        <w:rPr>
          <w:szCs w:val="20"/>
          <w:lang w:eastAsia="zh-CN" w:bidi="ar-SA"/>
        </w:rPr>
        <w:t xml:space="preserve"> uz citas fiziskas personas gribu (</w:t>
      </w:r>
      <w:r w:rsidRPr="009238B8">
        <w:rPr>
          <w:i/>
          <w:iCs/>
          <w:szCs w:val="20"/>
          <w:lang w:eastAsia="zh-CN" w:bidi="ar-SA"/>
        </w:rPr>
        <w:t>Senāta 2001.</w:t>
      </w:r>
      <w:r w:rsidR="009238B8">
        <w:rPr>
          <w:i/>
          <w:iCs/>
          <w:szCs w:val="20"/>
          <w:lang w:eastAsia="zh-CN" w:bidi="ar-SA"/>
        </w:rPr>
        <w:t> </w:t>
      </w:r>
      <w:r w:rsidRPr="009238B8">
        <w:rPr>
          <w:i/>
          <w:iCs/>
          <w:szCs w:val="20"/>
          <w:lang w:eastAsia="zh-CN" w:bidi="ar-SA"/>
        </w:rPr>
        <w:t>gada 4.</w:t>
      </w:r>
      <w:r w:rsidR="009238B8">
        <w:rPr>
          <w:i/>
          <w:iCs/>
          <w:szCs w:val="20"/>
          <w:lang w:eastAsia="zh-CN" w:bidi="ar-SA"/>
        </w:rPr>
        <w:t> </w:t>
      </w:r>
      <w:r w:rsidRPr="009238B8">
        <w:rPr>
          <w:i/>
          <w:iCs/>
          <w:szCs w:val="20"/>
          <w:lang w:eastAsia="zh-CN" w:bidi="ar-SA"/>
        </w:rPr>
        <w:t>janvāra lēmums lietā Nr. SKK-3. Latvijas Republikas Augstākās tiesas Senāta Krimināllietu departamenta lēmumi 2001. Rīga: Latvijas Tiesnešu mācību centrs, 2002, 191.–193.</w:t>
      </w:r>
      <w:r w:rsidR="009238B8">
        <w:rPr>
          <w:i/>
          <w:iCs/>
          <w:szCs w:val="20"/>
          <w:lang w:eastAsia="zh-CN" w:bidi="ar-SA"/>
        </w:rPr>
        <w:t> </w:t>
      </w:r>
      <w:r w:rsidRPr="009238B8">
        <w:rPr>
          <w:i/>
          <w:iCs/>
          <w:szCs w:val="20"/>
          <w:lang w:eastAsia="zh-CN" w:bidi="ar-SA"/>
        </w:rPr>
        <w:t>lpp</w:t>
      </w:r>
      <w:r w:rsidRPr="009238B8">
        <w:rPr>
          <w:szCs w:val="20"/>
          <w:lang w:eastAsia="zh-CN" w:bidi="ar-SA"/>
        </w:rPr>
        <w:t>.).</w:t>
      </w:r>
      <w:r w:rsidR="00472185">
        <w:rPr>
          <w:szCs w:val="20"/>
          <w:lang w:eastAsia="zh-CN" w:bidi="ar-SA"/>
        </w:rPr>
        <w:t xml:space="preserve"> </w:t>
      </w:r>
      <w:r w:rsidR="001524A8" w:rsidRPr="009238B8">
        <w:rPr>
          <w:szCs w:val="20"/>
          <w:lang w:eastAsia="zh-CN" w:bidi="ar-SA"/>
        </w:rPr>
        <w:t xml:space="preserve">Kaut arī nav iespējams maldināt valsts iestādi vai juridisku personu kā abstraktu tiesību subjektu, ir iespējams maldināt konkrētu personu vai personu kopumu, kas valsts iestādes vai juridiskas personas vārdā pieņem attiecīgos lēmumus (par krāpšanu pret juridisku personu sk. </w:t>
      </w:r>
      <w:r w:rsidR="001524A8" w:rsidRPr="009238B8">
        <w:t xml:space="preserve">arī </w:t>
      </w:r>
      <w:proofErr w:type="spellStart"/>
      <w:r w:rsidR="001524A8" w:rsidRPr="009238B8">
        <w:rPr>
          <w:i/>
          <w:iCs/>
        </w:rPr>
        <w:t>Mincs</w:t>
      </w:r>
      <w:proofErr w:type="spellEnd"/>
      <w:r w:rsidR="001524A8" w:rsidRPr="009238B8">
        <w:rPr>
          <w:i/>
          <w:iCs/>
        </w:rPr>
        <w:t> P., Lauva J. Sodu likums ar komentāriem.  Valsts tipogrāfijas izdevums, 1937, 310. lpp.</w:t>
      </w:r>
      <w:r w:rsidR="001524A8" w:rsidRPr="009238B8">
        <w:t>).</w:t>
      </w:r>
    </w:p>
    <w:p w14:paraId="77D432CB" w14:textId="4CEEF602" w:rsidR="003C7508" w:rsidRPr="00FB075F" w:rsidRDefault="00695A80" w:rsidP="00EE7E71">
      <w:pPr>
        <w:shd w:val="clear" w:color="auto" w:fill="FFFFFF"/>
        <w:suppressAutoHyphens w:val="0"/>
        <w:spacing w:line="276" w:lineRule="auto"/>
        <w:ind w:firstLine="720"/>
        <w:jc w:val="both"/>
        <w:rPr>
          <w:rFonts w:asciiTheme="majorBidi" w:hAnsiTheme="majorBidi" w:cstheme="majorBidi"/>
        </w:rPr>
      </w:pPr>
      <w:r w:rsidRPr="00FB075F">
        <w:rPr>
          <w:rFonts w:asciiTheme="majorBidi" w:hAnsiTheme="majorBidi" w:cstheme="majorBidi"/>
        </w:rPr>
        <w:t>[1</w:t>
      </w:r>
      <w:r w:rsidR="00F676B8" w:rsidRPr="00FB075F">
        <w:rPr>
          <w:rFonts w:asciiTheme="majorBidi" w:hAnsiTheme="majorBidi" w:cstheme="majorBidi"/>
        </w:rPr>
        <w:t>1</w:t>
      </w:r>
      <w:r w:rsidRPr="00FB075F">
        <w:rPr>
          <w:rFonts w:asciiTheme="majorBidi" w:hAnsiTheme="majorBidi" w:cstheme="majorBidi"/>
        </w:rPr>
        <w:t>.2]</w:t>
      </w:r>
      <w:r w:rsidR="00C07FD4" w:rsidRPr="00FB075F">
        <w:rPr>
          <w:rFonts w:asciiTheme="majorBidi" w:hAnsiTheme="majorBidi" w:cstheme="majorBidi"/>
        </w:rPr>
        <w:t> </w:t>
      </w:r>
      <w:r w:rsidR="000671BB" w:rsidRPr="00FB075F">
        <w:rPr>
          <w:rFonts w:asciiTheme="majorBidi" w:hAnsiTheme="majorBidi" w:cstheme="majorBidi"/>
        </w:rPr>
        <w:t>Senāts atzīst</w:t>
      </w:r>
      <w:r w:rsidR="00CD4663">
        <w:rPr>
          <w:rFonts w:asciiTheme="majorBidi" w:hAnsiTheme="majorBidi" w:cstheme="majorBidi"/>
        </w:rPr>
        <w:t>, ka a</w:t>
      </w:r>
      <w:r w:rsidR="00CD4663" w:rsidRPr="00FB075F">
        <w:rPr>
          <w:rFonts w:asciiTheme="majorBidi" w:hAnsiTheme="majorBidi" w:cstheme="majorBidi"/>
        </w:rPr>
        <w:t xml:space="preserve">pelācijas </w:t>
      </w:r>
      <w:r w:rsidR="003C7508" w:rsidRPr="00FB075F">
        <w:rPr>
          <w:rFonts w:asciiTheme="majorBidi" w:hAnsiTheme="majorBidi" w:cstheme="majorBidi"/>
        </w:rPr>
        <w:t xml:space="preserve">instances tiesa pamatoti </w:t>
      </w:r>
      <w:r w:rsidR="00CD4663">
        <w:rPr>
          <w:rFonts w:asciiTheme="majorBidi" w:hAnsiTheme="majorBidi" w:cstheme="majorBidi"/>
        </w:rPr>
        <w:t>secinājusi</w:t>
      </w:r>
      <w:r w:rsidR="003C7508" w:rsidRPr="00FB075F">
        <w:rPr>
          <w:rFonts w:asciiTheme="majorBidi" w:hAnsiTheme="majorBidi" w:cstheme="majorBidi"/>
        </w:rPr>
        <w:t xml:space="preserve">, ka </w:t>
      </w:r>
      <w:r w:rsidR="00E7240A" w:rsidRPr="00FB075F">
        <w:t>AS</w:t>
      </w:r>
      <w:r w:rsidR="00990C75" w:rsidRPr="00FB075F">
        <w:t> </w:t>
      </w:r>
      <w:r w:rsidR="00E7240A" w:rsidRPr="00FB075F">
        <w:t>„</w:t>
      </w:r>
      <w:r w:rsidR="0088482E">
        <w:t>[Nosaukums A]</w:t>
      </w:r>
      <w:r w:rsidR="00E7240A" w:rsidRPr="00FB075F">
        <w:t xml:space="preserve">” </w:t>
      </w:r>
      <w:r w:rsidR="00E7240A" w:rsidRPr="00FB075F">
        <w:rPr>
          <w:rFonts w:asciiTheme="majorBidi" w:hAnsiTheme="majorBidi" w:cstheme="majorBidi"/>
        </w:rPr>
        <w:t xml:space="preserve">nebija tiesību </w:t>
      </w:r>
      <w:r w:rsidR="00B657DD" w:rsidRPr="00FB075F">
        <w:rPr>
          <w:rFonts w:asciiTheme="majorBidi" w:hAnsiTheme="majorBidi" w:cstheme="majorBidi"/>
        </w:rPr>
        <w:t>uz priekšnodokļa atmaksu</w:t>
      </w:r>
      <w:r w:rsidR="00990C75" w:rsidRPr="00FB075F">
        <w:rPr>
          <w:rFonts w:asciiTheme="majorBidi" w:hAnsiTheme="majorBidi" w:cstheme="majorBidi"/>
        </w:rPr>
        <w:t xml:space="preserve"> </w:t>
      </w:r>
      <w:r w:rsidR="00E7240A" w:rsidRPr="00FB075F">
        <w:rPr>
          <w:rFonts w:asciiTheme="majorBidi" w:hAnsiTheme="majorBidi" w:cstheme="majorBidi"/>
        </w:rPr>
        <w:t xml:space="preserve">par </w:t>
      </w:r>
      <w:r w:rsidR="00C3445B" w:rsidRPr="00FB075F">
        <w:rPr>
          <w:rFonts w:asciiTheme="majorBidi" w:hAnsiTheme="majorBidi" w:cstheme="majorBidi"/>
        </w:rPr>
        <w:t xml:space="preserve">apsūdzībā norādītajiem </w:t>
      </w:r>
      <w:r w:rsidR="00E7240A" w:rsidRPr="00FB075F">
        <w:rPr>
          <w:rFonts w:asciiTheme="majorBidi" w:hAnsiTheme="majorBidi" w:cstheme="majorBidi"/>
        </w:rPr>
        <w:t>darījumiem</w:t>
      </w:r>
      <w:r w:rsidR="00CD4663">
        <w:rPr>
          <w:rFonts w:asciiTheme="majorBidi" w:hAnsiTheme="majorBidi" w:cstheme="majorBidi"/>
        </w:rPr>
        <w:t xml:space="preserve"> šādu apsvērumu dēļ.</w:t>
      </w:r>
    </w:p>
    <w:p w14:paraId="3EC51EB5" w14:textId="30ED9B6D" w:rsidR="001F3163" w:rsidRPr="00030A3E" w:rsidRDefault="00CD4663" w:rsidP="00EE7E71">
      <w:pPr>
        <w:shd w:val="clear" w:color="auto" w:fill="FFFFFF"/>
        <w:suppressAutoHyphens w:val="0"/>
        <w:spacing w:line="276" w:lineRule="auto"/>
        <w:ind w:firstLine="720"/>
        <w:jc w:val="both"/>
        <w:rPr>
          <w:rFonts w:asciiTheme="majorBidi" w:hAnsiTheme="majorBidi" w:cstheme="majorBidi"/>
        </w:rPr>
      </w:pPr>
      <w:r w:rsidRPr="001F3163">
        <w:rPr>
          <w:rFonts w:asciiTheme="majorBidi" w:hAnsiTheme="majorBidi" w:cstheme="majorBidi"/>
        </w:rPr>
        <w:t>[11.2.1] </w:t>
      </w:r>
      <w:r w:rsidR="003C7508" w:rsidRPr="001F3163">
        <w:rPr>
          <w:rFonts w:asciiTheme="majorBidi" w:hAnsiTheme="majorBidi" w:cstheme="majorBidi"/>
        </w:rPr>
        <w:t xml:space="preserve">Saskaņā ar </w:t>
      </w:r>
      <w:r w:rsidRPr="001F3163">
        <w:rPr>
          <w:rFonts w:asciiTheme="majorBidi" w:hAnsiTheme="majorBidi" w:cstheme="majorBidi"/>
        </w:rPr>
        <w:t>Pievienotās vērtības nodokļa likuma 92. panta</w:t>
      </w:r>
      <w:r w:rsidR="003C7508" w:rsidRPr="001F3163">
        <w:rPr>
          <w:rFonts w:asciiTheme="majorBidi" w:hAnsiTheme="majorBidi" w:cstheme="majorBidi"/>
        </w:rPr>
        <w:t xml:space="preserve"> pirmās daļas 1. punktu,</w:t>
      </w:r>
      <w:r w:rsidR="00030A3E">
        <w:rPr>
          <w:rFonts w:asciiTheme="majorBidi" w:hAnsiTheme="majorBidi" w:cstheme="majorBidi"/>
        </w:rPr>
        <w:t xml:space="preserve"> </w:t>
      </w:r>
      <w:r w:rsidR="001F3163" w:rsidRPr="001F3163">
        <w:rPr>
          <w:rFonts w:asciiTheme="majorBidi" w:hAnsiTheme="majorBidi" w:cstheme="majorBidi"/>
        </w:rPr>
        <w:t xml:space="preserve">kas vispārīgi reglamentē priekšnoteikumus priekšnodokļa atskaitīšanai, </w:t>
      </w:r>
      <w:r w:rsidR="003C7508" w:rsidRPr="001F3163">
        <w:rPr>
          <w:rFonts w:asciiTheme="majorBidi" w:hAnsiTheme="majorBidi" w:cstheme="majorBidi"/>
        </w:rPr>
        <w:t xml:space="preserve">ja preces iegādātas un pakalpojumi saņemti ar nodokli apliekamu darījumu nodrošināšanai </w:t>
      </w:r>
      <w:r w:rsidR="001A4F35" w:rsidRPr="001F3163">
        <w:rPr>
          <w:rFonts w:asciiTheme="majorBidi" w:hAnsiTheme="majorBidi" w:cstheme="majorBidi"/>
        </w:rPr>
        <w:t>[..]</w:t>
      </w:r>
      <w:r w:rsidR="003C7508" w:rsidRPr="001F3163">
        <w:rPr>
          <w:rFonts w:asciiTheme="majorBidi" w:hAnsiTheme="majorBidi" w:cstheme="majorBidi"/>
        </w:rPr>
        <w:t>, priekšnodoklis ir no citiem reģistrētiem nodokļa maksātājiem saņemtajos nodokļa rēķinos norādītās nodokļa summas par iegādātajām precēm un saņemtajiem pakalpojumiem.</w:t>
      </w:r>
    </w:p>
    <w:p w14:paraId="274B4C55" w14:textId="3F09773C" w:rsidR="002274AC" w:rsidRPr="00FB075F" w:rsidRDefault="003C7508" w:rsidP="00EE7E71">
      <w:pPr>
        <w:shd w:val="clear" w:color="auto" w:fill="FFFFFF"/>
        <w:suppressAutoHyphens w:val="0"/>
        <w:spacing w:line="276" w:lineRule="auto"/>
        <w:ind w:firstLine="720"/>
        <w:jc w:val="both"/>
        <w:rPr>
          <w:rFonts w:asciiTheme="majorBidi" w:hAnsiTheme="majorBidi" w:cstheme="majorBidi"/>
        </w:rPr>
      </w:pPr>
      <w:r w:rsidRPr="00FB075F">
        <w:rPr>
          <w:rFonts w:asciiTheme="majorBidi" w:hAnsiTheme="majorBidi" w:cstheme="majorBidi"/>
        </w:rPr>
        <w:t>Senāt</w:t>
      </w:r>
      <w:r w:rsidR="00695A80" w:rsidRPr="00FB075F">
        <w:rPr>
          <w:rFonts w:asciiTheme="majorBidi" w:hAnsiTheme="majorBidi" w:cstheme="majorBidi"/>
        </w:rPr>
        <w:t xml:space="preserve">s </w:t>
      </w:r>
      <w:r w:rsidR="00A76CED">
        <w:rPr>
          <w:rFonts w:asciiTheme="majorBidi" w:hAnsiTheme="majorBidi" w:cstheme="majorBidi"/>
        </w:rPr>
        <w:t xml:space="preserve">jau iepriekš </w:t>
      </w:r>
      <w:r w:rsidRPr="00FB075F">
        <w:rPr>
          <w:rFonts w:asciiTheme="majorBidi" w:hAnsiTheme="majorBidi" w:cstheme="majorBidi"/>
        </w:rPr>
        <w:t xml:space="preserve">ir norādījis, ka atbilstoši </w:t>
      </w:r>
      <w:r w:rsidR="00E7240A" w:rsidRPr="00FB075F">
        <w:rPr>
          <w:rFonts w:asciiTheme="majorBidi" w:hAnsiTheme="majorBidi" w:cstheme="majorBidi"/>
        </w:rPr>
        <w:t xml:space="preserve">Pievienotās vērtības nodokļa likuma 92. pantam </w:t>
      </w:r>
      <w:r w:rsidRPr="00FB075F">
        <w:rPr>
          <w:rFonts w:asciiTheme="majorBidi" w:hAnsiTheme="majorBidi" w:cstheme="majorBidi"/>
        </w:rPr>
        <w:t>tiesības uz priekšnodokļa atskaitīšanu personai var liegt tad, ja</w:t>
      </w:r>
      <w:r w:rsidR="002677D5" w:rsidRPr="00FB075F">
        <w:rPr>
          <w:rFonts w:asciiTheme="majorBidi" w:hAnsiTheme="majorBidi" w:cstheme="majorBidi"/>
        </w:rPr>
        <w:t>:</w:t>
      </w:r>
      <w:r w:rsidR="0089571F" w:rsidRPr="00FB075F">
        <w:rPr>
          <w:rFonts w:asciiTheme="majorBidi" w:hAnsiTheme="majorBidi" w:cstheme="majorBidi"/>
        </w:rPr>
        <w:t xml:space="preserve"> 1)</w:t>
      </w:r>
      <w:r w:rsidR="006E794F" w:rsidRPr="00FB075F">
        <w:rPr>
          <w:rFonts w:asciiTheme="majorBidi" w:hAnsiTheme="majorBidi" w:cstheme="majorBidi"/>
        </w:rPr>
        <w:t> </w:t>
      </w:r>
      <w:r w:rsidRPr="00FB075F">
        <w:rPr>
          <w:rFonts w:asciiTheme="majorBidi" w:hAnsiTheme="majorBidi" w:cstheme="majorBidi"/>
        </w:rPr>
        <w:t>preces vai pakalpojumi noformēto dokumentu aizsegā vispār nav piegādāti</w:t>
      </w:r>
      <w:r w:rsidR="002677D5" w:rsidRPr="00FB075F">
        <w:rPr>
          <w:rFonts w:asciiTheme="majorBidi" w:hAnsiTheme="majorBidi" w:cstheme="majorBidi"/>
        </w:rPr>
        <w:t>,</w:t>
      </w:r>
      <w:r w:rsidRPr="00FB075F">
        <w:rPr>
          <w:rFonts w:asciiTheme="majorBidi" w:hAnsiTheme="majorBidi" w:cstheme="majorBidi"/>
        </w:rPr>
        <w:t xml:space="preserve"> vai </w:t>
      </w:r>
      <w:r w:rsidR="0089571F" w:rsidRPr="00FB075F">
        <w:rPr>
          <w:rFonts w:asciiTheme="majorBidi" w:hAnsiTheme="majorBidi" w:cstheme="majorBidi"/>
        </w:rPr>
        <w:t>2)</w:t>
      </w:r>
      <w:r w:rsidR="006E794F" w:rsidRPr="00FB075F">
        <w:rPr>
          <w:rFonts w:asciiTheme="majorBidi" w:hAnsiTheme="majorBidi" w:cstheme="majorBidi"/>
        </w:rPr>
        <w:t> </w:t>
      </w:r>
      <w:r w:rsidRPr="00FB075F">
        <w:rPr>
          <w:rFonts w:asciiTheme="majorBidi" w:hAnsiTheme="majorBidi" w:cstheme="majorBidi"/>
        </w:rPr>
        <w:t xml:space="preserve">preces vai pakalpojumi ir piegādāti, bet to ir darījusi cita darījumu dokumentos nenorādīta persona, un pieteicējs par to zināja vai </w:t>
      </w:r>
      <w:r w:rsidR="0089571F" w:rsidRPr="00FB075F">
        <w:rPr>
          <w:rFonts w:asciiTheme="majorBidi" w:hAnsiTheme="majorBidi" w:cstheme="majorBidi"/>
        </w:rPr>
        <w:t xml:space="preserve">tas </w:t>
      </w:r>
      <w:r w:rsidRPr="00FB075F">
        <w:rPr>
          <w:rFonts w:asciiTheme="majorBidi" w:hAnsiTheme="majorBidi" w:cstheme="majorBidi"/>
        </w:rPr>
        <w:t>bija jāzina (</w:t>
      </w:r>
      <w:r w:rsidR="00CD4663">
        <w:rPr>
          <w:rFonts w:asciiTheme="majorBidi" w:hAnsiTheme="majorBidi" w:cstheme="majorBidi"/>
        </w:rPr>
        <w:t>sk. </w:t>
      </w:r>
      <w:r w:rsidRPr="00FB075F">
        <w:rPr>
          <w:rFonts w:asciiTheme="majorBidi" w:hAnsiTheme="majorBidi" w:cstheme="majorBidi"/>
          <w:i/>
          <w:iCs/>
        </w:rPr>
        <w:t>Senāta 2018. gada 16. maija sprieduma lietā Nr. SKA</w:t>
      </w:r>
      <w:r w:rsidR="006E794F" w:rsidRPr="00FB075F">
        <w:rPr>
          <w:rFonts w:asciiTheme="majorBidi" w:hAnsiTheme="majorBidi" w:cstheme="majorBidi"/>
          <w:i/>
          <w:iCs/>
        </w:rPr>
        <w:noBreakHyphen/>
      </w:r>
      <w:r w:rsidRPr="00FB075F">
        <w:rPr>
          <w:rFonts w:asciiTheme="majorBidi" w:hAnsiTheme="majorBidi" w:cstheme="majorBidi"/>
          <w:i/>
          <w:iCs/>
        </w:rPr>
        <w:t xml:space="preserve">44/2018, </w:t>
      </w:r>
      <w:hyperlink r:id="rId19" w:history="1">
        <w:r w:rsidRPr="00FB075F">
          <w:rPr>
            <w:rStyle w:val="Hyperlink"/>
            <w:rFonts w:asciiTheme="majorBidi" w:hAnsiTheme="majorBidi" w:cstheme="majorBidi"/>
            <w:i/>
            <w:iCs/>
            <w:color w:val="auto"/>
            <w:u w:val="none"/>
          </w:rPr>
          <w:t>ECLI:LV:AT:2018:0516.A420462813.2.S</w:t>
        </w:r>
      </w:hyperlink>
      <w:r w:rsidRPr="00FB075F">
        <w:rPr>
          <w:rFonts w:asciiTheme="majorBidi" w:hAnsiTheme="majorBidi" w:cstheme="majorBidi"/>
          <w:i/>
          <w:iCs/>
        </w:rPr>
        <w:t>, 5.</w:t>
      </w:r>
      <w:r w:rsidR="00216A65" w:rsidRPr="00FB075F">
        <w:rPr>
          <w:rFonts w:asciiTheme="majorBidi" w:hAnsiTheme="majorBidi" w:cstheme="majorBidi"/>
          <w:i/>
          <w:iCs/>
        </w:rPr>
        <w:t> </w:t>
      </w:r>
      <w:r w:rsidRPr="00FB075F">
        <w:rPr>
          <w:rFonts w:asciiTheme="majorBidi" w:hAnsiTheme="majorBidi" w:cstheme="majorBidi"/>
          <w:i/>
          <w:iCs/>
        </w:rPr>
        <w:t>punkt</w:t>
      </w:r>
      <w:r w:rsidR="00CD4663">
        <w:rPr>
          <w:rFonts w:asciiTheme="majorBidi" w:hAnsiTheme="majorBidi" w:cstheme="majorBidi"/>
          <w:i/>
          <w:iCs/>
        </w:rPr>
        <w:t>u</w:t>
      </w:r>
      <w:r w:rsidRPr="00FB075F">
        <w:rPr>
          <w:rFonts w:asciiTheme="majorBidi" w:hAnsiTheme="majorBidi" w:cstheme="majorBidi"/>
          <w:i/>
          <w:iCs/>
        </w:rPr>
        <w:t>, 2025. gada 13. maija sprieduma lietā Nr.</w:t>
      </w:r>
      <w:r w:rsidR="006E794F" w:rsidRPr="00FB075F">
        <w:rPr>
          <w:rFonts w:asciiTheme="majorBidi" w:hAnsiTheme="majorBidi" w:cstheme="majorBidi"/>
          <w:i/>
          <w:iCs/>
        </w:rPr>
        <w:t> </w:t>
      </w:r>
      <w:r w:rsidRPr="00FB075F">
        <w:rPr>
          <w:rFonts w:asciiTheme="majorBidi" w:hAnsiTheme="majorBidi" w:cstheme="majorBidi"/>
          <w:i/>
          <w:iCs/>
        </w:rPr>
        <w:t>SKA</w:t>
      </w:r>
      <w:r w:rsidRPr="00FB075F">
        <w:rPr>
          <w:rFonts w:asciiTheme="majorBidi" w:hAnsiTheme="majorBidi" w:cstheme="majorBidi"/>
          <w:i/>
          <w:iCs/>
        </w:rPr>
        <w:noBreakHyphen/>
        <w:t xml:space="preserve">173/2025, </w:t>
      </w:r>
      <w:hyperlink r:id="rId20" w:history="1">
        <w:r w:rsidRPr="00FB075F">
          <w:rPr>
            <w:rStyle w:val="Hyperlink"/>
            <w:rFonts w:asciiTheme="majorBidi" w:hAnsiTheme="majorBidi" w:cstheme="majorBidi"/>
            <w:i/>
            <w:iCs/>
            <w:color w:val="auto"/>
            <w:u w:val="none"/>
          </w:rPr>
          <w:t>ECLI:LV:AT:2025:0513.A420168118.28.S</w:t>
        </w:r>
      </w:hyperlink>
      <w:r w:rsidR="00472185" w:rsidRPr="00472185">
        <w:rPr>
          <w:i/>
          <w:iCs/>
        </w:rPr>
        <w:t>,</w:t>
      </w:r>
      <w:r w:rsidRPr="00FB075F">
        <w:rPr>
          <w:rFonts w:asciiTheme="majorBidi" w:hAnsiTheme="majorBidi" w:cstheme="majorBidi"/>
          <w:i/>
          <w:iCs/>
        </w:rPr>
        <w:t xml:space="preserve"> 6. punkt</w:t>
      </w:r>
      <w:r w:rsidR="00CD4663">
        <w:rPr>
          <w:rFonts w:asciiTheme="majorBidi" w:hAnsiTheme="majorBidi" w:cstheme="majorBidi"/>
          <w:i/>
          <w:iCs/>
        </w:rPr>
        <w:t>u</w:t>
      </w:r>
      <w:r w:rsidRPr="00FB075F">
        <w:rPr>
          <w:rFonts w:asciiTheme="majorBidi" w:hAnsiTheme="majorBidi" w:cstheme="majorBidi"/>
        </w:rPr>
        <w:t>).</w:t>
      </w:r>
    </w:p>
    <w:p w14:paraId="691A8E91" w14:textId="52737EE4" w:rsidR="008C682A" w:rsidRPr="00FB075F" w:rsidRDefault="002274AC" w:rsidP="00EE7E71">
      <w:pPr>
        <w:shd w:val="clear" w:color="auto" w:fill="FFFFFF"/>
        <w:suppressAutoHyphens w:val="0"/>
        <w:spacing w:line="276" w:lineRule="auto"/>
        <w:ind w:firstLine="720"/>
        <w:jc w:val="both"/>
        <w:rPr>
          <w:rFonts w:asciiTheme="majorBidi" w:hAnsiTheme="majorBidi" w:cstheme="majorBidi"/>
        </w:rPr>
      </w:pPr>
      <w:r w:rsidRPr="00FB075F">
        <w:rPr>
          <w:szCs w:val="20"/>
          <w:lang w:eastAsia="zh-CN" w:bidi="ar-SA"/>
        </w:rPr>
        <w:t>Tā</w:t>
      </w:r>
      <w:r w:rsidR="00CD4663">
        <w:rPr>
          <w:szCs w:val="20"/>
          <w:lang w:eastAsia="zh-CN" w:bidi="ar-SA"/>
        </w:rPr>
        <w:t>d</w:t>
      </w:r>
      <w:r w:rsidR="000671BB" w:rsidRPr="00FB075F">
        <w:rPr>
          <w:szCs w:val="20"/>
          <w:lang w:eastAsia="zh-CN" w:bidi="ar-SA"/>
        </w:rPr>
        <w:t>ējādi</w:t>
      </w:r>
      <w:r w:rsidRPr="00FB075F">
        <w:rPr>
          <w:szCs w:val="20"/>
          <w:lang w:eastAsia="zh-CN" w:bidi="ar-SA"/>
        </w:rPr>
        <w:t xml:space="preserve"> arī </w:t>
      </w:r>
      <w:r w:rsidR="001F3163">
        <w:rPr>
          <w:szCs w:val="20"/>
          <w:lang w:eastAsia="zh-CN" w:bidi="ar-SA"/>
        </w:rPr>
        <w:t>gadījumos</w:t>
      </w:r>
      <w:r w:rsidR="00030A3E">
        <w:rPr>
          <w:szCs w:val="20"/>
          <w:lang w:eastAsia="zh-CN" w:bidi="ar-SA"/>
        </w:rPr>
        <w:t xml:space="preserve">, </w:t>
      </w:r>
      <w:r w:rsidRPr="00FB075F">
        <w:rPr>
          <w:rFonts w:asciiTheme="majorBidi" w:hAnsiTheme="majorBidi" w:cstheme="majorBidi"/>
          <w:lang w:eastAsia="lv-LV"/>
        </w:rPr>
        <w:t>ka</w:t>
      </w:r>
      <w:r w:rsidR="00030A3E">
        <w:rPr>
          <w:rFonts w:asciiTheme="majorBidi" w:hAnsiTheme="majorBidi" w:cstheme="majorBidi"/>
          <w:lang w:eastAsia="lv-LV"/>
        </w:rPr>
        <w:t>d</w:t>
      </w:r>
      <w:r w:rsidRPr="00FB075F">
        <w:rPr>
          <w:rFonts w:asciiTheme="majorBidi" w:hAnsiTheme="majorBidi" w:cstheme="majorBidi"/>
          <w:lang w:eastAsia="lv-LV"/>
        </w:rPr>
        <w:t xml:space="preserve"> prece vai pakalpojums ir piegādāts, tiesai ir jānoskaidro, vai to ir darījusi darījumu dokumentos norādītā persona</w:t>
      </w:r>
      <w:r w:rsidRPr="00FB075F">
        <w:rPr>
          <w:rFonts w:asciiTheme="majorBidi" w:hAnsiTheme="majorBidi" w:cstheme="majorBidi"/>
          <w:i/>
          <w:iCs/>
        </w:rPr>
        <w:t xml:space="preserve"> </w:t>
      </w:r>
      <w:r w:rsidRPr="00FB075F">
        <w:rPr>
          <w:rFonts w:asciiTheme="majorBidi" w:hAnsiTheme="majorBidi" w:cstheme="majorBidi"/>
        </w:rPr>
        <w:t>(</w:t>
      </w:r>
      <w:r w:rsidRPr="00FB075F">
        <w:rPr>
          <w:rFonts w:asciiTheme="majorBidi" w:hAnsiTheme="majorBidi" w:cstheme="majorBidi"/>
          <w:i/>
          <w:iCs/>
        </w:rPr>
        <w:t xml:space="preserve">Senāta 2019. gada 1. marta rīcības sēdes lēmums lietā Nr. SKA-350/2019, </w:t>
      </w:r>
      <w:hyperlink r:id="rId21" w:history="1">
        <w:r w:rsidRPr="00FB075F">
          <w:rPr>
            <w:rStyle w:val="Hyperlink"/>
            <w:rFonts w:asciiTheme="majorBidi" w:hAnsiTheme="majorBidi" w:cstheme="majorBidi"/>
            <w:i/>
            <w:iCs/>
          </w:rPr>
          <w:t>ECLI:LV:AT:2019:0301.A420375414.2.L</w:t>
        </w:r>
      </w:hyperlink>
      <w:r w:rsidRPr="00FB075F">
        <w:rPr>
          <w:i/>
          <w:iCs/>
        </w:rPr>
        <w:t>, 3. punkts</w:t>
      </w:r>
      <w:r w:rsidRPr="00FB075F">
        <w:t>)</w:t>
      </w:r>
      <w:r w:rsidRPr="00FB075F">
        <w:rPr>
          <w:i/>
          <w:iCs/>
        </w:rPr>
        <w:t>.</w:t>
      </w:r>
    </w:p>
    <w:p w14:paraId="06033319" w14:textId="061E6037" w:rsidR="002C7AAC" w:rsidRDefault="00E7240A" w:rsidP="00EE7E71">
      <w:pPr>
        <w:suppressAutoHyphens w:val="0"/>
        <w:spacing w:line="276" w:lineRule="auto"/>
        <w:ind w:firstLine="720"/>
        <w:jc w:val="both"/>
      </w:pPr>
      <w:r w:rsidRPr="002C7AAC">
        <w:rPr>
          <w:rFonts w:asciiTheme="majorBidi" w:hAnsiTheme="majorBidi" w:cstheme="majorBidi"/>
        </w:rPr>
        <w:t>[1</w:t>
      </w:r>
      <w:r w:rsidR="00F676B8" w:rsidRPr="002C7AAC">
        <w:rPr>
          <w:rFonts w:asciiTheme="majorBidi" w:hAnsiTheme="majorBidi" w:cstheme="majorBidi"/>
        </w:rPr>
        <w:t>1</w:t>
      </w:r>
      <w:r w:rsidRPr="002C7AAC">
        <w:rPr>
          <w:rFonts w:asciiTheme="majorBidi" w:hAnsiTheme="majorBidi" w:cstheme="majorBidi"/>
        </w:rPr>
        <w:t>.</w:t>
      </w:r>
      <w:r w:rsidR="00792247" w:rsidRPr="002C7AAC">
        <w:rPr>
          <w:rFonts w:asciiTheme="majorBidi" w:hAnsiTheme="majorBidi" w:cstheme="majorBidi"/>
        </w:rPr>
        <w:t>2.2</w:t>
      </w:r>
      <w:r w:rsidRPr="002C7AAC">
        <w:rPr>
          <w:rFonts w:asciiTheme="majorBidi" w:hAnsiTheme="majorBidi" w:cstheme="majorBidi"/>
        </w:rPr>
        <w:t>]</w:t>
      </w:r>
      <w:r w:rsidR="006E794F" w:rsidRPr="00030A3E">
        <w:rPr>
          <w:rFonts w:asciiTheme="majorBidi" w:hAnsiTheme="majorBidi" w:cstheme="majorBidi"/>
          <w:i/>
          <w:iCs/>
        </w:rPr>
        <w:t> </w:t>
      </w:r>
      <w:r w:rsidR="002C7AAC" w:rsidRPr="00767FFD">
        <w:t>Senāts atzīst, ka apelācijas instances tiesas atzinums par tiesību neesību uz priekšnodokļa atmaksu atbilst lietā esošajiem pierādījumiem un minētajām judikatūras atziņām.</w:t>
      </w:r>
    </w:p>
    <w:p w14:paraId="43CBEADF" w14:textId="4A776271" w:rsidR="002C7AAC" w:rsidRPr="00767FFD" w:rsidRDefault="002C7AAC" w:rsidP="00EE7E71">
      <w:pPr>
        <w:suppressAutoHyphens w:val="0"/>
        <w:spacing w:line="276" w:lineRule="auto"/>
        <w:ind w:firstLine="720"/>
        <w:jc w:val="both"/>
        <w:rPr>
          <w:i/>
          <w:iCs/>
        </w:rPr>
      </w:pPr>
      <w:r w:rsidRPr="00767FFD">
        <w:t>Šo secinājumu tiesa pamatojusi ar Valsts policijas Kriminālistikas pārvaldes eksperta izziņu, VID rakstveida atzinumu un citiem lietā esošiem pierādījumiem, tajā skaitā VID audita pārskatā norādīto, ka AS „</w:t>
      </w:r>
      <w:r w:rsidR="0088482E">
        <w:t>[N</w:t>
      </w:r>
      <w:r w:rsidR="00476BB3">
        <w:t>osaukums </w:t>
      </w:r>
      <w:r w:rsidR="0088482E">
        <w:t>A]</w:t>
      </w:r>
      <w:r w:rsidRPr="00767FFD">
        <w:t>” deklarācijās ir nepamatoti iekļauts priekšnodokli</w:t>
      </w:r>
      <w:r w:rsidR="00030A3E">
        <w:t>s</w:t>
      </w:r>
      <w:r w:rsidRPr="00767FFD">
        <w:t xml:space="preserve"> 20 620,95 lat</w:t>
      </w:r>
      <w:r w:rsidR="00030A3E">
        <w:t>i</w:t>
      </w:r>
      <w:r w:rsidRPr="00767FFD">
        <w:t xml:space="preserve"> (29 340,97 </w:t>
      </w:r>
      <w:r w:rsidRPr="00767FFD">
        <w:rPr>
          <w:i/>
          <w:iCs/>
        </w:rPr>
        <w:t>euro</w:t>
      </w:r>
      <w:r w:rsidRPr="00767FFD">
        <w:t>)</w:t>
      </w:r>
      <w:r w:rsidRPr="00767FFD">
        <w:rPr>
          <w:i/>
          <w:iCs/>
        </w:rPr>
        <w:t>.</w:t>
      </w:r>
    </w:p>
    <w:p w14:paraId="00FE4DF9" w14:textId="77777777" w:rsidR="002C7AAC" w:rsidRPr="00767FFD" w:rsidRDefault="002C7AAC" w:rsidP="00EE7E71">
      <w:pPr>
        <w:suppressAutoHyphens w:val="0"/>
        <w:spacing w:line="276" w:lineRule="auto"/>
        <w:ind w:firstLine="720"/>
        <w:jc w:val="both"/>
      </w:pPr>
      <w:r w:rsidRPr="00767FFD">
        <w:t>Turklāt apsūdzētais apelācijas instances tiesā atzinis pārkāpumu un atlīdzinājis valstij nodarīto zaudējumu pilnā apmērā (</w:t>
      </w:r>
      <w:r w:rsidRPr="00767FFD">
        <w:rPr>
          <w:i/>
          <w:iCs/>
        </w:rPr>
        <w:t>sprieduma 32. punkts</w:t>
      </w:r>
      <w:r w:rsidRPr="00767FFD">
        <w:t>).</w:t>
      </w:r>
    </w:p>
    <w:p w14:paraId="3701FE95" w14:textId="5FD62AF2" w:rsidR="002C7AAC" w:rsidRPr="00767FFD" w:rsidRDefault="002C7AAC" w:rsidP="00EE7E71">
      <w:pPr>
        <w:suppressAutoHyphens w:val="0"/>
        <w:spacing w:line="276" w:lineRule="auto"/>
        <w:ind w:firstLine="720"/>
        <w:jc w:val="both"/>
      </w:pPr>
      <w:r w:rsidRPr="00767FFD">
        <w:t xml:space="preserve">No </w:t>
      </w:r>
      <w:r>
        <w:t>iepriekš citētajām judikatūras atziņām</w:t>
      </w:r>
      <w:r w:rsidRPr="00767FFD">
        <w:t xml:space="preserve"> izriet, ka nav izšķirīgi, vai apsūdzībā norādītajos rēķinos minētie pakalpojumi tika sniegti faktiski, jo arī šādā gadījumā priekšnodokļa atskaitīšanai nav tiesiska pamata, ja šo rēķinu izrakstītāji pakalpojumu sniegšanas laikā nebija reģistrēti PVN maksātāji.</w:t>
      </w:r>
    </w:p>
    <w:p w14:paraId="62906BA6" w14:textId="77777777" w:rsidR="002C7AAC" w:rsidRPr="00767FFD" w:rsidRDefault="002C7AAC" w:rsidP="00EE7E71">
      <w:pPr>
        <w:suppressAutoHyphens w:val="0"/>
        <w:spacing w:line="276" w:lineRule="auto"/>
        <w:ind w:firstLine="720"/>
        <w:jc w:val="both"/>
      </w:pPr>
      <w:r w:rsidRPr="00767FFD">
        <w:t xml:space="preserve">Apelācijas instances tiesa konstatējusi, ka par 2012. gadā sniegtajiem pakalpojumiem, kas bija sniedzami ik mēnesi, rēķini tika izrakstīti tikai 2013. gadā, kad </w:t>
      </w:r>
      <w:r w:rsidRPr="00767FFD">
        <w:lastRenderedPageBreak/>
        <w:t>attiecīgie mikrouzņēmumi bija kļuvuši par PVN maksātājiem (</w:t>
      </w:r>
      <w:r w:rsidRPr="00767FFD">
        <w:rPr>
          <w:i/>
          <w:iCs/>
        </w:rPr>
        <w:t>sprieduma 31. punkts</w:t>
      </w:r>
      <w:r w:rsidRPr="00767FFD">
        <w:t>).</w:t>
      </w:r>
    </w:p>
    <w:p w14:paraId="597EBC95" w14:textId="2584FCF0" w:rsidR="002C7AAC" w:rsidRPr="00767FFD" w:rsidRDefault="002C7AAC" w:rsidP="00EE7E71">
      <w:pPr>
        <w:suppressAutoHyphens w:val="0"/>
        <w:spacing w:line="276" w:lineRule="auto"/>
        <w:ind w:firstLine="720"/>
        <w:jc w:val="both"/>
      </w:pPr>
      <w:r w:rsidRPr="00767FFD">
        <w:t>Turklāt apelācijas instances tiesa konstatējusi, ka pakalpojumus faktiski snieguši paši AS „</w:t>
      </w:r>
      <w:r w:rsidR="0088482E">
        <w:t>[Nosaukums A]</w:t>
      </w:r>
      <w:r w:rsidRPr="00767FFD">
        <w:t>” darbinieki, savukārt mikrouzņēmumi, kas izrakstījuši rēķinus, saimniecisko darbību neveica (</w:t>
      </w:r>
      <w:r w:rsidRPr="00767FFD">
        <w:rPr>
          <w:i/>
          <w:iCs/>
        </w:rPr>
        <w:t>sprieduma 28. un 31. punkts</w:t>
      </w:r>
      <w:r w:rsidRPr="00767FFD">
        <w:t>). Līdz ar to pakalpojumus nav sniegušas darījumu dokumentos norādītās personas.</w:t>
      </w:r>
    </w:p>
    <w:p w14:paraId="14D4061B" w14:textId="24C3B26D" w:rsidR="007172DD" w:rsidRPr="00E70D6B" w:rsidRDefault="007172DD" w:rsidP="00EE7E71">
      <w:pPr>
        <w:shd w:val="clear" w:color="auto" w:fill="FFFFFF"/>
        <w:suppressAutoHyphens w:val="0"/>
        <w:spacing w:line="276" w:lineRule="auto"/>
        <w:ind w:firstLine="720"/>
        <w:jc w:val="both"/>
        <w:rPr>
          <w:szCs w:val="20"/>
          <w:lang w:eastAsia="zh-CN" w:bidi="ar-SA"/>
        </w:rPr>
      </w:pPr>
      <w:bookmarkStart w:id="28" w:name="_Hlk218339245"/>
      <w:r w:rsidRPr="00472185">
        <w:rPr>
          <w:szCs w:val="20"/>
          <w:lang w:eastAsia="zh-CN" w:bidi="ar-SA"/>
        </w:rPr>
        <w:t xml:space="preserve">Ievērojot minēto, </w:t>
      </w:r>
      <w:r w:rsidR="00FA40A3" w:rsidRPr="00472185">
        <w:rPr>
          <w:szCs w:val="20"/>
          <w:lang w:eastAsia="zh-CN" w:bidi="ar-SA"/>
        </w:rPr>
        <w:t xml:space="preserve">Senāts </w:t>
      </w:r>
      <w:r w:rsidR="00B657DD" w:rsidRPr="00472185">
        <w:rPr>
          <w:szCs w:val="20"/>
          <w:lang w:eastAsia="zh-CN" w:bidi="ar-SA"/>
        </w:rPr>
        <w:t>atzīst, ka tiesa</w:t>
      </w:r>
      <w:r w:rsidRPr="00472185">
        <w:rPr>
          <w:szCs w:val="20"/>
          <w:lang w:eastAsia="zh-CN" w:bidi="ar-SA"/>
        </w:rPr>
        <w:t xml:space="preserve"> </w:t>
      </w:r>
      <w:r w:rsidRPr="00472185">
        <w:t>pamatoti secinājusi, ka nav izpildījušies Pievienotās vērtības nodokļa likuma 92. pantā paredzētie priekšnoteikumi tiesībām uz priekšnodokļa atskaitīšanu</w:t>
      </w:r>
      <w:r w:rsidRPr="00472185">
        <w:rPr>
          <w:szCs w:val="20"/>
          <w:lang w:eastAsia="zh-CN" w:bidi="ar-SA"/>
        </w:rPr>
        <w:t>.</w:t>
      </w:r>
    </w:p>
    <w:bookmarkEnd w:id="24"/>
    <w:bookmarkEnd w:id="28"/>
    <w:p w14:paraId="03BC8864" w14:textId="53800D35" w:rsidR="00795465" w:rsidRDefault="00872AAD" w:rsidP="00EE7E71">
      <w:pPr>
        <w:suppressAutoHyphens w:val="0"/>
        <w:spacing w:line="276" w:lineRule="auto"/>
        <w:ind w:firstLine="720"/>
        <w:jc w:val="both"/>
      </w:pPr>
      <w:r>
        <w:t>[1</w:t>
      </w:r>
      <w:r w:rsidR="00F676B8">
        <w:t>1</w:t>
      </w:r>
      <w:r>
        <w:t>.</w:t>
      </w:r>
      <w:r w:rsidR="007172DD">
        <w:t>3</w:t>
      </w:r>
      <w:r>
        <w:t>] </w:t>
      </w:r>
      <w:r w:rsidR="009B67C5">
        <w:t xml:space="preserve">Pamatojot krāpšanas subjektīvās puses esību, </w:t>
      </w:r>
      <w:r w:rsidR="009B67C5">
        <w:rPr>
          <w:szCs w:val="20"/>
          <w:lang w:eastAsia="zh-CN" w:bidi="ar-SA"/>
        </w:rPr>
        <w:t>a</w:t>
      </w:r>
      <w:r>
        <w:rPr>
          <w:szCs w:val="20"/>
          <w:lang w:eastAsia="zh-CN" w:bidi="ar-SA"/>
        </w:rPr>
        <w:t>pelācijas instances tiesa argumentēti atzinusi</w:t>
      </w:r>
      <w:r w:rsidRPr="00D614D7">
        <w:rPr>
          <w:szCs w:val="20"/>
          <w:lang w:eastAsia="zh-CN" w:bidi="ar-SA"/>
        </w:rPr>
        <w:t>, ka apsūdzētajam</w:t>
      </w:r>
      <w:r>
        <w:rPr>
          <w:szCs w:val="20"/>
          <w:lang w:eastAsia="zh-CN" w:bidi="ar-SA"/>
        </w:rPr>
        <w:t xml:space="preserve"> </w:t>
      </w:r>
      <w:r w:rsidR="00F31B7F">
        <w:rPr>
          <w:szCs w:val="20"/>
          <w:lang w:eastAsia="zh-CN" w:bidi="ar-SA"/>
        </w:rPr>
        <w:t xml:space="preserve">iepriekš </w:t>
      </w:r>
      <w:r>
        <w:rPr>
          <w:szCs w:val="20"/>
          <w:lang w:eastAsia="zh-CN" w:bidi="ar-SA"/>
        </w:rPr>
        <w:t>minētie</w:t>
      </w:r>
      <w:r w:rsidRPr="00D614D7">
        <w:rPr>
          <w:szCs w:val="20"/>
          <w:lang w:eastAsia="zh-CN" w:bidi="ar-SA"/>
        </w:rPr>
        <w:t xml:space="preserve"> apstākļi bija ne vien zināmi, bet viņš pats </w:t>
      </w:r>
      <w:r w:rsidR="008C682A">
        <w:rPr>
          <w:szCs w:val="20"/>
          <w:lang w:eastAsia="zh-CN" w:bidi="ar-SA"/>
        </w:rPr>
        <w:t xml:space="preserve">bija </w:t>
      </w:r>
      <w:r w:rsidRPr="00D614D7">
        <w:rPr>
          <w:szCs w:val="20"/>
          <w:lang w:eastAsia="zh-CN" w:bidi="ar-SA"/>
        </w:rPr>
        <w:t>organizēj</w:t>
      </w:r>
      <w:r>
        <w:rPr>
          <w:szCs w:val="20"/>
          <w:lang w:eastAsia="zh-CN" w:bidi="ar-SA"/>
        </w:rPr>
        <w:t>is attiecīgo</w:t>
      </w:r>
      <w:r w:rsidRPr="00D614D7">
        <w:rPr>
          <w:szCs w:val="20"/>
          <w:lang w:eastAsia="zh-CN" w:bidi="ar-SA"/>
        </w:rPr>
        <w:t xml:space="preserve"> darījumu shēmu</w:t>
      </w:r>
      <w:r w:rsidR="00472185">
        <w:rPr>
          <w:szCs w:val="20"/>
          <w:lang w:eastAsia="zh-CN" w:bidi="ar-SA"/>
        </w:rPr>
        <w:t>, secinot</w:t>
      </w:r>
      <w:r>
        <w:rPr>
          <w:szCs w:val="20"/>
          <w:lang w:eastAsia="zh-CN" w:bidi="ar-SA"/>
        </w:rPr>
        <w:t>, ka</w:t>
      </w:r>
      <w:r>
        <w:t>:</w:t>
      </w:r>
    </w:p>
    <w:p w14:paraId="5749534B" w14:textId="7568CD3C" w:rsidR="00795465" w:rsidRDefault="00472185" w:rsidP="00EE7E71">
      <w:pPr>
        <w:suppressAutoHyphens w:val="0"/>
        <w:spacing w:line="276" w:lineRule="auto"/>
        <w:ind w:firstLine="720"/>
        <w:jc w:val="both"/>
      </w:pPr>
      <w:r>
        <w:t>1) </w:t>
      </w:r>
      <w:r w:rsidR="00872AAD" w:rsidRPr="00C7785B">
        <w:t>jau sagatavojot AS</w:t>
      </w:r>
      <w:r w:rsidR="00872AAD">
        <w:t> </w:t>
      </w:r>
      <w:r w:rsidR="00872AAD" w:rsidRPr="00C7785B">
        <w:t>„</w:t>
      </w:r>
      <w:r w:rsidR="0088482E">
        <w:t>[Nosaukums A]</w:t>
      </w:r>
      <w:r w:rsidR="00872AAD" w:rsidRPr="00C7785B">
        <w:t>” sadarbības līgumu</w:t>
      </w:r>
      <w:r w:rsidR="00D738C8">
        <w:t>s</w:t>
      </w:r>
      <w:r w:rsidR="00872AAD" w:rsidRPr="00C7785B">
        <w:t xml:space="preserve"> ar mikrouzņēmumiem, apsūdzētajam bija nodoms radīt vienīgi formālu pamatu darbinieku rotācijai uz viņa dibinātajiem mikrouzņēmumiem, lai samazinātu nodokļu slogu (</w:t>
      </w:r>
      <w:r w:rsidR="00872AAD" w:rsidRPr="006A04EC">
        <w:rPr>
          <w:i/>
          <w:iCs/>
        </w:rPr>
        <w:t>sprieduma 31. punkts</w:t>
      </w:r>
      <w:r w:rsidR="00872AAD" w:rsidRPr="00C7785B">
        <w:t>);</w:t>
      </w:r>
    </w:p>
    <w:p w14:paraId="546F7C1F" w14:textId="7D49E8A6" w:rsidR="00795465" w:rsidRPr="00C7785B" w:rsidRDefault="00472185" w:rsidP="00EE7E71">
      <w:pPr>
        <w:suppressAutoHyphens w:val="0"/>
        <w:spacing w:line="276" w:lineRule="auto"/>
        <w:ind w:firstLine="720"/>
        <w:jc w:val="both"/>
      </w:pPr>
      <w:r>
        <w:t>2) </w:t>
      </w:r>
      <w:r w:rsidR="00872AAD" w:rsidRPr="00C7785B">
        <w:t>mikrouzņēmumi saimniecisko darbību neveica (</w:t>
      </w:r>
      <w:r w:rsidR="00872AAD" w:rsidRPr="006A04EC">
        <w:rPr>
          <w:i/>
          <w:iCs/>
        </w:rPr>
        <w:t>sprieduma 28. punkts</w:t>
      </w:r>
      <w:r w:rsidR="00872AAD" w:rsidRPr="00C7785B">
        <w:t>);</w:t>
      </w:r>
    </w:p>
    <w:p w14:paraId="47A82ABC" w14:textId="0956A95F" w:rsidR="00795465" w:rsidRDefault="00472185" w:rsidP="00EE7E71">
      <w:pPr>
        <w:suppressAutoHyphens w:val="0"/>
        <w:spacing w:line="276" w:lineRule="auto"/>
        <w:ind w:firstLine="720"/>
        <w:jc w:val="both"/>
      </w:pPr>
      <w:r>
        <w:t>3) </w:t>
      </w:r>
      <w:r w:rsidR="00872AAD" w:rsidRPr="00C7785B">
        <w:t>mikrouzņēmumi atradās apsūdzētā tiešā kontrolē, un tieši apsūdzētais pieņēma lēmumus par to, kam, kad un kādu rēķinu izrakstīt, kuru rēķinu apmaksāt un iekļaut deklarācijā (</w:t>
      </w:r>
      <w:r w:rsidR="00872AAD" w:rsidRPr="006A04EC">
        <w:rPr>
          <w:i/>
          <w:iCs/>
        </w:rPr>
        <w:t>sprieduma 35. punkts</w:t>
      </w:r>
      <w:r w:rsidR="00872AAD" w:rsidRPr="00C7785B">
        <w:t>);</w:t>
      </w:r>
    </w:p>
    <w:p w14:paraId="19186183" w14:textId="64128CB9" w:rsidR="00795465" w:rsidRDefault="00472185" w:rsidP="00EE7E71">
      <w:pPr>
        <w:suppressAutoHyphens w:val="0"/>
        <w:spacing w:line="276" w:lineRule="auto"/>
        <w:ind w:firstLine="720"/>
        <w:jc w:val="both"/>
      </w:pPr>
      <w:r>
        <w:t>4) </w:t>
      </w:r>
      <w:r w:rsidR="00872AAD" w:rsidRPr="00C7785B">
        <w:t>dokumenti</w:t>
      </w:r>
      <w:r w:rsidR="00872AAD">
        <w:t xml:space="preserve"> mikrouzņēmumos</w:t>
      </w:r>
      <w:r w:rsidR="00872AAD" w:rsidRPr="00C7785B">
        <w:t xml:space="preserve"> tika noformēti pēc apsūdzētā iniciatīvas un norādījumiem </w:t>
      </w:r>
      <w:r w:rsidR="00872AAD">
        <w:t>(</w:t>
      </w:r>
      <w:r w:rsidR="00872AAD" w:rsidRPr="006A04EC">
        <w:rPr>
          <w:i/>
          <w:iCs/>
        </w:rPr>
        <w:t>sprieduma 28. punkts</w:t>
      </w:r>
      <w:r w:rsidR="00872AAD" w:rsidRPr="00C7785B">
        <w:t>)</w:t>
      </w:r>
      <w:r w:rsidR="00872AAD">
        <w:t>;</w:t>
      </w:r>
    </w:p>
    <w:p w14:paraId="6B407927" w14:textId="503AEE22" w:rsidR="00795465" w:rsidRDefault="00472185" w:rsidP="00EE7E71">
      <w:pPr>
        <w:suppressAutoHyphens w:val="0"/>
        <w:spacing w:line="276" w:lineRule="auto"/>
        <w:ind w:firstLine="720"/>
        <w:jc w:val="both"/>
      </w:pPr>
      <w:r>
        <w:t>5) </w:t>
      </w:r>
      <w:r w:rsidR="00872AAD" w:rsidRPr="00C7785B">
        <w:t>mikrouzņēmumos noformētie darbinieki turpināja strādāt apsūdzētā vadībā, viņš tos uzraudzīja un deva rīkojumus; darbinieku pienākumi bija saistīti tikai ar AS</w:t>
      </w:r>
      <w:r w:rsidR="00872AAD">
        <w:t> </w:t>
      </w:r>
      <w:r w:rsidR="00872AAD" w:rsidRPr="00C7785B">
        <w:t>„</w:t>
      </w:r>
      <w:r w:rsidR="0088482E">
        <w:t>[N</w:t>
      </w:r>
      <w:r w:rsidR="00476BB3">
        <w:t>osaukums</w:t>
      </w:r>
      <w:r w:rsidR="0088482E">
        <w:t> A]</w:t>
      </w:r>
      <w:r w:rsidR="00872AAD" w:rsidRPr="00C7785B">
        <w:t>” saimniecisko darbību (</w:t>
      </w:r>
      <w:r w:rsidR="00872AAD" w:rsidRPr="006A04EC">
        <w:rPr>
          <w:i/>
          <w:iCs/>
        </w:rPr>
        <w:t>sprieduma 27.1.–27.4. punkts</w:t>
      </w:r>
      <w:r w:rsidR="00872AAD" w:rsidRPr="00C7785B">
        <w:t>);</w:t>
      </w:r>
    </w:p>
    <w:p w14:paraId="2694512B" w14:textId="53E15464" w:rsidR="00872AAD" w:rsidRDefault="00472185" w:rsidP="00EE7E71">
      <w:pPr>
        <w:suppressAutoHyphens w:val="0"/>
        <w:spacing w:line="276" w:lineRule="auto"/>
        <w:ind w:firstLine="720"/>
        <w:jc w:val="both"/>
      </w:pPr>
      <w:r>
        <w:t>6) </w:t>
      </w:r>
      <w:r w:rsidR="00872AAD">
        <w:t>a</w:t>
      </w:r>
      <w:r w:rsidR="00872AAD" w:rsidRPr="00326389">
        <w:t>rī</w:t>
      </w:r>
      <w:r w:rsidR="00872AAD">
        <w:t xml:space="preserve"> </w:t>
      </w:r>
      <w:r w:rsidR="00872AAD" w:rsidRPr="00326389">
        <w:t>apsūdzētais</w:t>
      </w:r>
      <w:r w:rsidR="00872AAD">
        <w:t xml:space="preserve"> </w:t>
      </w:r>
      <w:r w:rsidR="00872AAD" w:rsidRPr="00326389">
        <w:t>atzin</w:t>
      </w:r>
      <w:r w:rsidR="00872AAD">
        <w:t>is</w:t>
      </w:r>
      <w:r w:rsidR="00872AAD" w:rsidRPr="00326389">
        <w:t xml:space="preserve">, ka </w:t>
      </w:r>
      <w:r w:rsidR="00872AAD" w:rsidRPr="003D422D">
        <w:t xml:space="preserve">darbinieki, lai gan </w:t>
      </w:r>
      <w:r w:rsidR="00872AAD">
        <w:t xml:space="preserve">dokumentos tika </w:t>
      </w:r>
      <w:r w:rsidR="00872AAD" w:rsidRPr="003D422D">
        <w:t>uzrādīti kā mikrouzņēmum</w:t>
      </w:r>
      <w:r w:rsidR="00872AAD">
        <w:t>a darbinieki</w:t>
      </w:r>
      <w:r w:rsidR="00872AAD" w:rsidRPr="003D422D">
        <w:t xml:space="preserve">, faktiski </w:t>
      </w:r>
      <w:r w:rsidR="00872AAD">
        <w:t>turpināja veikt darbu AS</w:t>
      </w:r>
      <w:r w:rsidR="00210CAF">
        <w:t> </w:t>
      </w:r>
      <w:r w:rsidR="00872AAD" w:rsidRPr="00326389">
        <w:t>„</w:t>
      </w:r>
      <w:r w:rsidR="0088482E">
        <w:t>[Nosaukums A]</w:t>
      </w:r>
      <w:r w:rsidR="00872AAD" w:rsidRPr="00326389">
        <w:t>” (</w:t>
      </w:r>
      <w:r w:rsidR="00872AAD" w:rsidRPr="006A04EC">
        <w:rPr>
          <w:i/>
          <w:iCs/>
        </w:rPr>
        <w:t>sprieduma 31. punkts</w:t>
      </w:r>
      <w:r w:rsidR="00872AAD" w:rsidRPr="00326389">
        <w:t>).</w:t>
      </w:r>
    </w:p>
    <w:p w14:paraId="22FAA38F" w14:textId="70A20FBE" w:rsidR="00872AAD" w:rsidRDefault="00872AAD" w:rsidP="00EE7E71">
      <w:pPr>
        <w:suppressAutoHyphens w:val="0"/>
        <w:spacing w:line="276" w:lineRule="auto"/>
        <w:ind w:firstLine="720"/>
        <w:jc w:val="both"/>
      </w:pPr>
      <w:r>
        <w:t xml:space="preserve">Turklāt, pamatojot krāpšanas subjektīvo pusi, tiesa īpaši uzsvērusi, ka rēķini </w:t>
      </w:r>
      <w:r w:rsidRPr="0064394E">
        <w:t xml:space="preserve">par mikrouzņēmumu </w:t>
      </w:r>
      <w:r>
        <w:t xml:space="preserve">sniegtajiem </w:t>
      </w:r>
      <w:r w:rsidRPr="0064394E">
        <w:t>pakalpojumiem</w:t>
      </w:r>
      <w:r w:rsidR="00210CAF">
        <w:t xml:space="preserve"> </w:t>
      </w:r>
      <w:r w:rsidR="00210CAF" w:rsidRPr="0064394E">
        <w:t>2012.</w:t>
      </w:r>
      <w:r w:rsidR="00210CAF">
        <w:t> </w:t>
      </w:r>
      <w:r w:rsidR="00210CAF" w:rsidRPr="0064394E">
        <w:t>gadā</w:t>
      </w:r>
      <w:r w:rsidRPr="0064394E">
        <w:t xml:space="preserve"> </w:t>
      </w:r>
      <w:r>
        <w:t xml:space="preserve">tika </w:t>
      </w:r>
      <w:r w:rsidRPr="0064394E">
        <w:t>izrakstīti tikai 2013.</w:t>
      </w:r>
      <w:r>
        <w:t> </w:t>
      </w:r>
      <w:r w:rsidRPr="0064394E">
        <w:t>gadā</w:t>
      </w:r>
      <w:r w:rsidR="008F79CD">
        <w:t> </w:t>
      </w:r>
      <w:r>
        <w:t>–</w:t>
      </w:r>
      <w:r w:rsidRPr="0064394E">
        <w:t xml:space="preserve"> pēc tam, kad</w:t>
      </w:r>
      <w:r>
        <w:t xml:space="preserve"> </w:t>
      </w:r>
      <w:r w:rsidR="009B67C5">
        <w:t xml:space="preserve">tie </w:t>
      </w:r>
      <w:r>
        <w:t xml:space="preserve">tika iekļauti </w:t>
      </w:r>
      <w:r w:rsidRPr="0064394E">
        <w:t>PVN maksātāj</w:t>
      </w:r>
      <w:r>
        <w:t xml:space="preserve">u reģistrā –, kaut arī </w:t>
      </w:r>
      <w:r w:rsidR="007A2DC5">
        <w:t xml:space="preserve">pakalpojumi </w:t>
      </w:r>
      <w:r>
        <w:t>bija jāsniedz</w:t>
      </w:r>
      <w:r w:rsidRPr="0064394E">
        <w:t xml:space="preserve"> ik mēne</w:t>
      </w:r>
      <w:r>
        <w:t>si</w:t>
      </w:r>
      <w:r w:rsidR="007A2DC5">
        <w:t>, savukārt</w:t>
      </w:r>
      <w:r w:rsidR="007A2DC5" w:rsidRPr="00D738C8">
        <w:t xml:space="preserve"> izrakstītie rēķini</w:t>
      </w:r>
      <w:r w:rsidR="007A2DC5">
        <w:t xml:space="preserve"> s</w:t>
      </w:r>
      <w:r w:rsidR="007A2DC5" w:rsidRPr="00D738C8">
        <w:t xml:space="preserve">agatavoti formāli – tajos nav norādīts summas aprēķina pamatojums, </w:t>
      </w:r>
      <w:r w:rsidR="00045738">
        <w:t xml:space="preserve">savukārt </w:t>
      </w:r>
      <w:r w:rsidR="007A2DC5" w:rsidRPr="00D738C8">
        <w:t>līgumos nav</w:t>
      </w:r>
      <w:r w:rsidR="007A2DC5">
        <w:t xml:space="preserve"> </w:t>
      </w:r>
      <w:r w:rsidR="007A2DC5" w:rsidRPr="00D738C8">
        <w:t>atspoguļota</w:t>
      </w:r>
      <w:r w:rsidR="0042564C">
        <w:t>s</w:t>
      </w:r>
      <w:r w:rsidR="007A2DC5" w:rsidRPr="00D738C8">
        <w:t xml:space="preserve"> </w:t>
      </w:r>
      <w:r w:rsidR="0042564C">
        <w:t>pakalp</w:t>
      </w:r>
      <w:r w:rsidR="009B67C5">
        <w:t>o</w:t>
      </w:r>
      <w:r w:rsidR="0042564C">
        <w:t>jumu</w:t>
      </w:r>
      <w:r w:rsidR="0042564C" w:rsidRPr="00D738C8">
        <w:t xml:space="preserve"> </w:t>
      </w:r>
      <w:r w:rsidR="0042564C">
        <w:t>cena</w:t>
      </w:r>
      <w:r w:rsidR="0042564C" w:rsidRPr="00D738C8">
        <w:t xml:space="preserve"> </w:t>
      </w:r>
      <w:r w:rsidR="007A2DC5" w:rsidRPr="00D738C8">
        <w:t>un priekšapmaksa</w:t>
      </w:r>
      <w:r w:rsidR="0042564C">
        <w:t>s kārtība</w:t>
      </w:r>
      <w:r w:rsidR="009B67C5">
        <w:t xml:space="preserve"> </w:t>
      </w:r>
      <w:r>
        <w:t>(</w:t>
      </w:r>
      <w:r w:rsidRPr="00190F44">
        <w:rPr>
          <w:i/>
          <w:iCs/>
        </w:rPr>
        <w:t>sprieduma 31. punkts</w:t>
      </w:r>
      <w:r>
        <w:t>).</w:t>
      </w:r>
    </w:p>
    <w:p w14:paraId="04615CA0" w14:textId="7DE557E8" w:rsidR="00872AAD" w:rsidRDefault="00872AAD" w:rsidP="00EE7E71">
      <w:pPr>
        <w:suppressAutoHyphens w:val="0"/>
        <w:spacing w:line="276" w:lineRule="auto"/>
        <w:ind w:firstLine="720"/>
        <w:jc w:val="both"/>
      </w:pPr>
      <w:r>
        <w:t xml:space="preserve">Tāpat tiesa, </w:t>
      </w:r>
      <w:r w:rsidR="00210CAF">
        <w:t>nora</w:t>
      </w:r>
      <w:r w:rsidR="00305D90">
        <w:t>i</w:t>
      </w:r>
      <w:r w:rsidR="00210CAF">
        <w:t xml:space="preserve">dot </w:t>
      </w:r>
      <w:r>
        <w:t>apelācijas sūdzības argumentus</w:t>
      </w:r>
      <w:r w:rsidRPr="008D1E01">
        <w:t xml:space="preserve"> </w:t>
      </w:r>
      <w:r>
        <w:t>par grāmatvede</w:t>
      </w:r>
      <w:r w:rsidR="00210CAF">
        <w:t>s pieļautu kļūdu</w:t>
      </w:r>
      <w:r>
        <w:t xml:space="preserve">, </w:t>
      </w:r>
      <w:r w:rsidR="00210CAF">
        <w:t>motivēti secinājusi, ka mikrouzņēmumi atradušies apsūdzētā kontrolē</w:t>
      </w:r>
      <w:r>
        <w:t xml:space="preserve"> (</w:t>
      </w:r>
      <w:r w:rsidRPr="00D82346">
        <w:rPr>
          <w:i/>
          <w:iCs/>
        </w:rPr>
        <w:t>sprieduma 35. punkt</w:t>
      </w:r>
      <w:r w:rsidR="009B67C5">
        <w:rPr>
          <w:i/>
          <w:iCs/>
        </w:rPr>
        <w:t>s</w:t>
      </w:r>
      <w:r>
        <w:t>).</w:t>
      </w:r>
    </w:p>
    <w:p w14:paraId="262B1807" w14:textId="1657DF72" w:rsidR="00872AAD" w:rsidRDefault="00872AAD" w:rsidP="00EE7E71">
      <w:pPr>
        <w:suppressAutoHyphens w:val="0"/>
        <w:spacing w:line="276" w:lineRule="auto"/>
        <w:ind w:firstLine="720"/>
        <w:jc w:val="both"/>
      </w:pPr>
      <w:r>
        <w:t xml:space="preserve">Ievērojot minēto, apelācijas instances tiesa ir pamatoti konstatējusi visas krāpšanas sastāva objektīvās un subjektīvās puses pazīmes. Līdz ar to pretēji apsūdzētā </w:t>
      </w:r>
      <w:r w:rsidR="00107F1C">
        <w:t xml:space="preserve">kasācijas sūdzībā norādītajam </w:t>
      </w:r>
      <w:r>
        <w:t>viedoklim šādas darbības nevar kvalificēt</w:t>
      </w:r>
      <w:r w:rsidRPr="008A608B">
        <w:t xml:space="preserve"> kā likumīgi atļautu nodokļu optimizāciju</w:t>
      </w:r>
      <w:r>
        <w:t>.</w:t>
      </w:r>
    </w:p>
    <w:p w14:paraId="5E459D55" w14:textId="6351C8BD" w:rsidR="00872AAD" w:rsidRDefault="00872AAD" w:rsidP="00EE7E71">
      <w:pPr>
        <w:suppressAutoHyphens w:val="0"/>
        <w:spacing w:line="276" w:lineRule="auto"/>
        <w:ind w:firstLine="720"/>
        <w:jc w:val="both"/>
      </w:pPr>
      <w:r>
        <w:t>[1</w:t>
      </w:r>
      <w:r w:rsidR="00F676B8">
        <w:t>1</w:t>
      </w:r>
      <w:r>
        <w:t>.</w:t>
      </w:r>
      <w:r w:rsidR="00534CA1">
        <w:t>4</w:t>
      </w:r>
      <w:r>
        <w:t>] Atbildot uz pārējiem</w:t>
      </w:r>
      <w:r w:rsidRPr="00F021C3">
        <w:t xml:space="preserve"> kasācijas sūdzībā izvirzīt</w:t>
      </w:r>
      <w:r>
        <w:t>ajiem</w:t>
      </w:r>
      <w:r w:rsidRPr="00F021C3">
        <w:t xml:space="preserve"> argument</w:t>
      </w:r>
      <w:r>
        <w:t>iem</w:t>
      </w:r>
      <w:r w:rsidRPr="00F021C3">
        <w:t xml:space="preserve">, </w:t>
      </w:r>
      <w:r>
        <w:t xml:space="preserve">Senāts </w:t>
      </w:r>
      <w:r w:rsidRPr="00F021C3">
        <w:t>norāda</w:t>
      </w:r>
      <w:r>
        <w:t xml:space="preserve"> turpmāk izklāstīto.</w:t>
      </w:r>
    </w:p>
    <w:p w14:paraId="47138080" w14:textId="2C144528" w:rsidR="00107F1C" w:rsidRPr="008A36F9" w:rsidRDefault="00872AAD" w:rsidP="00EE7E71">
      <w:pPr>
        <w:suppressAutoHyphens w:val="0"/>
        <w:spacing w:line="276" w:lineRule="auto"/>
        <w:ind w:firstLine="720"/>
        <w:jc w:val="both"/>
        <w:rPr>
          <w:rFonts w:asciiTheme="majorBidi" w:hAnsiTheme="majorBidi" w:cstheme="majorBidi"/>
        </w:rPr>
      </w:pPr>
      <w:r>
        <w:t>[1</w:t>
      </w:r>
      <w:r w:rsidR="00F676B8">
        <w:t>1</w:t>
      </w:r>
      <w:r>
        <w:t>.</w:t>
      </w:r>
      <w:r w:rsidR="00534CA1">
        <w:t>4</w:t>
      </w:r>
      <w:r>
        <w:t>.1] </w:t>
      </w:r>
      <w:r w:rsidR="00107F1C">
        <w:t>Kā konstatēts iepriekš</w:t>
      </w:r>
      <w:r w:rsidR="00534CA1">
        <w:t>,</w:t>
      </w:r>
      <w:r w:rsidR="00107F1C">
        <w:t xml:space="preserve"> t</w:t>
      </w:r>
      <w:r>
        <w:t xml:space="preserve">iesa </w:t>
      </w:r>
      <w:r w:rsidR="00107F1C">
        <w:t xml:space="preserve">pamatoti </w:t>
      </w:r>
      <w:r>
        <w:t xml:space="preserve">atzinusi, ka </w:t>
      </w:r>
      <w:r w:rsidRPr="00DD6D70">
        <w:t>AS</w:t>
      </w:r>
      <w:r>
        <w:t> </w:t>
      </w:r>
      <w:r w:rsidRPr="00DD6D70">
        <w:t>„</w:t>
      </w:r>
      <w:r w:rsidR="0088482E">
        <w:t>[N</w:t>
      </w:r>
      <w:r w:rsidR="00181952">
        <w:t>osaukums</w:t>
      </w:r>
      <w:r w:rsidR="0088482E">
        <w:t> A]</w:t>
      </w:r>
      <w:r w:rsidRPr="00DD6D70">
        <w:t xml:space="preserve">” </w:t>
      </w:r>
      <w:r w:rsidRPr="009D2552">
        <w:t>n</w:t>
      </w:r>
      <w:r>
        <w:t xml:space="preserve">ebija </w:t>
      </w:r>
      <w:r w:rsidRPr="009D2552">
        <w:t>tiesīb</w:t>
      </w:r>
      <w:r>
        <w:t>u</w:t>
      </w:r>
      <w:r w:rsidRPr="009D2552">
        <w:t xml:space="preserve"> </w:t>
      </w:r>
      <w:r>
        <w:t>pieprasīt priekšnodokļa atmaksu</w:t>
      </w:r>
      <w:r w:rsidR="00107F1C">
        <w:t>.</w:t>
      </w:r>
      <w:r w:rsidR="00534CA1">
        <w:t xml:space="preserve"> </w:t>
      </w:r>
      <w:r w:rsidR="00107F1C">
        <w:t>T</w:t>
      </w:r>
      <w:r>
        <w:t xml:space="preserve">ādēļ kasācijas sūdzības arguments, ka </w:t>
      </w:r>
      <w:r w:rsidRPr="000F742E">
        <w:rPr>
          <w:rFonts w:asciiTheme="majorBidi" w:hAnsiTheme="majorBidi" w:cstheme="majorBidi"/>
        </w:rPr>
        <w:t>AS</w:t>
      </w:r>
      <w:r>
        <w:rPr>
          <w:rFonts w:asciiTheme="majorBidi" w:hAnsiTheme="majorBidi" w:cstheme="majorBidi"/>
        </w:rPr>
        <w:t> „</w:t>
      </w:r>
      <w:r w:rsidR="0088482E">
        <w:rPr>
          <w:rFonts w:asciiTheme="majorBidi" w:hAnsiTheme="majorBidi" w:cstheme="majorBidi"/>
        </w:rPr>
        <w:t>[Nosaukums A]</w:t>
      </w:r>
      <w:r>
        <w:rPr>
          <w:rFonts w:asciiTheme="majorBidi" w:hAnsiTheme="majorBidi" w:cstheme="majorBidi"/>
        </w:rPr>
        <w:t>”</w:t>
      </w:r>
      <w:r w:rsidRPr="000F742E">
        <w:rPr>
          <w:rFonts w:asciiTheme="majorBidi" w:hAnsiTheme="majorBidi" w:cstheme="majorBidi"/>
        </w:rPr>
        <w:t xml:space="preserve"> no </w:t>
      </w:r>
      <w:r>
        <w:rPr>
          <w:rFonts w:asciiTheme="majorBidi" w:hAnsiTheme="majorBidi" w:cstheme="majorBidi"/>
        </w:rPr>
        <w:t xml:space="preserve">valsts </w:t>
      </w:r>
      <w:r w:rsidRPr="000F742E">
        <w:rPr>
          <w:rFonts w:asciiTheme="majorBidi" w:hAnsiTheme="majorBidi" w:cstheme="majorBidi"/>
        </w:rPr>
        <w:t>budžeta saņēm</w:t>
      </w:r>
      <w:r w:rsidR="000F5D00">
        <w:rPr>
          <w:rFonts w:asciiTheme="majorBidi" w:hAnsiTheme="majorBidi" w:cstheme="majorBidi"/>
        </w:rPr>
        <w:t>usi</w:t>
      </w:r>
      <w:r>
        <w:rPr>
          <w:rFonts w:asciiTheme="majorBidi" w:hAnsiTheme="majorBidi" w:cstheme="majorBidi"/>
        </w:rPr>
        <w:t xml:space="preserve"> </w:t>
      </w:r>
      <w:r w:rsidRPr="000F742E">
        <w:rPr>
          <w:rFonts w:asciiTheme="majorBidi" w:hAnsiTheme="majorBidi" w:cstheme="majorBidi"/>
        </w:rPr>
        <w:t>s</w:t>
      </w:r>
      <w:r>
        <w:rPr>
          <w:rFonts w:asciiTheme="majorBidi" w:hAnsiTheme="majorBidi" w:cstheme="majorBidi"/>
        </w:rPr>
        <w:t xml:space="preserve">ev pienākošos mantu, </w:t>
      </w:r>
      <w:r w:rsidR="00107F1C">
        <w:rPr>
          <w:rFonts w:asciiTheme="majorBidi" w:hAnsiTheme="majorBidi" w:cstheme="majorBidi"/>
        </w:rPr>
        <w:t xml:space="preserve">pēc būtības ir </w:t>
      </w:r>
      <w:r>
        <w:rPr>
          <w:rFonts w:asciiTheme="majorBidi" w:hAnsiTheme="majorBidi" w:cstheme="majorBidi"/>
        </w:rPr>
        <w:t xml:space="preserve">saistīts ar apsūdzētā neapmierinātību ar tiem secinājumiem, kādus izdarījusi tiesa, izvērtējot lietā esošos pierādījumus. </w:t>
      </w:r>
      <w:r w:rsidR="00107F1C">
        <w:rPr>
          <w:rFonts w:asciiTheme="majorBidi" w:hAnsiTheme="majorBidi" w:cstheme="majorBidi"/>
        </w:rPr>
        <w:t xml:space="preserve">Taču </w:t>
      </w:r>
      <w:r>
        <w:rPr>
          <w:rFonts w:asciiTheme="majorBidi" w:hAnsiTheme="majorBidi" w:cstheme="majorBidi"/>
        </w:rPr>
        <w:t xml:space="preserve">atbilstoši Kriminālprocesa likuma 569. panta </w:t>
      </w:r>
      <w:r>
        <w:rPr>
          <w:rFonts w:asciiTheme="majorBidi" w:hAnsiTheme="majorBidi" w:cstheme="majorBidi"/>
        </w:rPr>
        <w:lastRenderedPageBreak/>
        <w:t>trešajai daļai kasācijas instances tiesa pierādījumus nevērtē.</w:t>
      </w:r>
    </w:p>
    <w:p w14:paraId="4DB07759" w14:textId="0ECDEDC5" w:rsidR="00872AAD" w:rsidRDefault="00872AAD" w:rsidP="00EE7E71">
      <w:pPr>
        <w:shd w:val="clear" w:color="auto" w:fill="FFFFFF"/>
        <w:suppressAutoHyphens w:val="0"/>
        <w:spacing w:line="276" w:lineRule="auto"/>
        <w:ind w:firstLine="720"/>
        <w:jc w:val="both"/>
      </w:pPr>
      <w:r>
        <w:rPr>
          <w:rFonts w:asciiTheme="majorBidi" w:hAnsiTheme="majorBidi" w:cstheme="majorBidi"/>
        </w:rPr>
        <w:t xml:space="preserve">Senāts uzsver, ka no valsts budžeta </w:t>
      </w:r>
      <w:r w:rsidR="00107F1C">
        <w:rPr>
          <w:rFonts w:asciiTheme="majorBidi" w:hAnsiTheme="majorBidi" w:cstheme="majorBidi"/>
        </w:rPr>
        <w:t xml:space="preserve">bez tiesiska pamata </w:t>
      </w:r>
      <w:r>
        <w:rPr>
          <w:rFonts w:asciiTheme="majorBidi" w:hAnsiTheme="majorBidi" w:cstheme="majorBidi"/>
        </w:rPr>
        <w:t xml:space="preserve">saņemta </w:t>
      </w:r>
      <w:r>
        <w:t>n</w:t>
      </w:r>
      <w:r w:rsidRPr="00EB704E">
        <w:t xml:space="preserve">auda ir </w:t>
      </w:r>
      <w:r>
        <w:t xml:space="preserve">ieguvējam </w:t>
      </w:r>
      <w:r w:rsidRPr="00EB704E">
        <w:t>sveša manta</w:t>
      </w:r>
      <w:r>
        <w:t>.</w:t>
      </w:r>
    </w:p>
    <w:p w14:paraId="05DF80AE" w14:textId="729EFEE1" w:rsidR="00872AAD" w:rsidRDefault="00872AAD" w:rsidP="00EE7E71">
      <w:pPr>
        <w:suppressAutoHyphens w:val="0"/>
        <w:spacing w:line="276" w:lineRule="auto"/>
        <w:ind w:firstLine="720"/>
        <w:jc w:val="both"/>
      </w:pPr>
      <w:r>
        <w:t>[1</w:t>
      </w:r>
      <w:r w:rsidR="00F676B8">
        <w:t>1</w:t>
      </w:r>
      <w:r>
        <w:t>.</w:t>
      </w:r>
      <w:r w:rsidR="00045738">
        <w:t>4</w:t>
      </w:r>
      <w:r>
        <w:t>.2] A</w:t>
      </w:r>
      <w:r w:rsidRPr="004331EB">
        <w:t>psūdzētā</w:t>
      </w:r>
      <w:r>
        <w:t xml:space="preserve"> </w:t>
      </w:r>
      <w:r w:rsidRPr="004331EB">
        <w:t xml:space="preserve">arguments par </w:t>
      </w:r>
      <w:r>
        <w:t>tiesas</w:t>
      </w:r>
      <w:r w:rsidRPr="004331EB">
        <w:t xml:space="preserve"> pretrunīgaj</w:t>
      </w:r>
      <w:r>
        <w:t>ā</w:t>
      </w:r>
      <w:r w:rsidRPr="004331EB">
        <w:t>m</w:t>
      </w:r>
      <w:r>
        <w:t xml:space="preserve"> norādēm</w:t>
      </w:r>
      <w:r w:rsidRPr="004331EB">
        <w:t xml:space="preserve">, </w:t>
      </w:r>
      <w:r>
        <w:t xml:space="preserve">ka inkriminētie </w:t>
      </w:r>
      <w:r w:rsidRPr="004331EB">
        <w:t xml:space="preserve">darījumi </w:t>
      </w:r>
      <w:r>
        <w:t>vienlaikus atzīti par</w:t>
      </w:r>
      <w:r w:rsidRPr="004331EB">
        <w:t xml:space="preserve"> nenotikuši</w:t>
      </w:r>
      <w:r>
        <w:t>em</w:t>
      </w:r>
      <w:r w:rsidRPr="004331EB">
        <w:t xml:space="preserve"> (fiktīviem), </w:t>
      </w:r>
      <w:proofErr w:type="spellStart"/>
      <w:r w:rsidRPr="004331EB">
        <w:t>simulatīvi</w:t>
      </w:r>
      <w:r>
        <w:t>em</w:t>
      </w:r>
      <w:proofErr w:type="spellEnd"/>
      <w:r w:rsidRPr="004331EB">
        <w:t xml:space="preserve"> un citā taksācijas periodā notikuši</w:t>
      </w:r>
      <w:r>
        <w:t>em</w:t>
      </w:r>
      <w:r w:rsidRPr="004331EB">
        <w:t xml:space="preserve">, </w:t>
      </w:r>
      <w:r>
        <w:t>nedod pamatu a</w:t>
      </w:r>
      <w:r w:rsidRPr="004331EB">
        <w:t xml:space="preserve">pšaubīt </w:t>
      </w:r>
      <w:r>
        <w:t>tiesas secinājumu par apsūdzētā vainīgumu</w:t>
      </w:r>
      <w:r w:rsidR="00107F1C">
        <w:t>.</w:t>
      </w:r>
    </w:p>
    <w:p w14:paraId="6A58438A" w14:textId="77777777" w:rsidR="00872AAD" w:rsidRPr="007B3214" w:rsidRDefault="00872AAD" w:rsidP="00EE7E71">
      <w:pPr>
        <w:suppressAutoHyphens w:val="0"/>
        <w:spacing w:line="276" w:lineRule="auto"/>
        <w:ind w:firstLine="720"/>
        <w:jc w:val="both"/>
      </w:pPr>
      <w:r w:rsidRPr="007B3214">
        <w:t xml:space="preserve">Senāta judikatūrā ir atzīts: </w:t>
      </w:r>
      <w:r w:rsidRPr="007B3214">
        <w:rPr>
          <w:rFonts w:asciiTheme="majorBidi" w:hAnsiTheme="majorBidi" w:cstheme="majorBidi"/>
        </w:rPr>
        <w:t xml:space="preserve">apstāklis, ka tiesa vērtējusi privāttiesiska darījuma saturu kopsakarā ar citiem pierādījumiem, nenozīmē, ka tā iejaukusies pušu privāttiesiskajās attiecībās. Gadījumā, kad personas privāttiesisks darījums ir saistīts ar nodokļa maksāšanas pienākumu, iestādei un tiesai ir tiesības pārbaudīt šā darījuma faktisku esību, ekonomisko un juridisko būtību. Tiesa </w:t>
      </w:r>
      <w:r>
        <w:rPr>
          <w:rFonts w:asciiTheme="majorBidi" w:hAnsiTheme="majorBidi" w:cstheme="majorBidi"/>
        </w:rPr>
        <w:t xml:space="preserve">šādā veidā </w:t>
      </w:r>
      <w:r w:rsidRPr="007B3214">
        <w:rPr>
          <w:rFonts w:asciiTheme="majorBidi" w:hAnsiTheme="majorBidi" w:cstheme="majorBidi"/>
        </w:rPr>
        <w:t>noteic nodokļa maksātāja tiesības un pienākumus publisko tiesību jomā, tas ir, attiecībā pret valsti (</w:t>
      </w:r>
      <w:r>
        <w:rPr>
          <w:rFonts w:asciiTheme="majorBidi" w:hAnsiTheme="majorBidi" w:cstheme="majorBidi"/>
        </w:rPr>
        <w:t>sk. </w:t>
      </w:r>
      <w:r w:rsidRPr="007B3214">
        <w:rPr>
          <w:rFonts w:asciiTheme="majorBidi" w:hAnsiTheme="majorBidi" w:cstheme="majorBidi"/>
          <w:i/>
          <w:iCs/>
        </w:rPr>
        <w:t>Senāta 2019. gada 21. maija sprieduma lietā Nr.</w:t>
      </w:r>
      <w:r>
        <w:rPr>
          <w:rFonts w:asciiTheme="majorBidi" w:hAnsiTheme="majorBidi" w:cstheme="majorBidi"/>
          <w:i/>
          <w:iCs/>
        </w:rPr>
        <w:t> </w:t>
      </w:r>
      <w:r w:rsidRPr="007B3214">
        <w:rPr>
          <w:rFonts w:asciiTheme="majorBidi" w:hAnsiTheme="majorBidi" w:cstheme="majorBidi"/>
          <w:i/>
          <w:iCs/>
        </w:rPr>
        <w:t xml:space="preserve">SKA-631/2019, </w:t>
      </w:r>
      <w:hyperlink r:id="rId22" w:history="1">
        <w:r w:rsidRPr="007B3214">
          <w:rPr>
            <w:rStyle w:val="Hyperlink"/>
            <w:rFonts w:asciiTheme="majorBidi" w:hAnsiTheme="majorBidi" w:cstheme="majorBidi"/>
            <w:i/>
            <w:iCs/>
            <w:color w:val="auto"/>
            <w:u w:val="none"/>
          </w:rPr>
          <w:t>ECLI:LV:AT:2019:0521.A420289415.5.S</w:t>
        </w:r>
      </w:hyperlink>
      <w:r w:rsidRPr="007B3214">
        <w:rPr>
          <w:i/>
          <w:iCs/>
        </w:rPr>
        <w:t>, 11. punkt</w:t>
      </w:r>
      <w:r>
        <w:rPr>
          <w:i/>
          <w:iCs/>
        </w:rPr>
        <w:t>u</w:t>
      </w:r>
      <w:r w:rsidRPr="007B3214">
        <w:t>)</w:t>
      </w:r>
      <w:r w:rsidRPr="007B3214">
        <w:rPr>
          <w:i/>
          <w:iCs/>
        </w:rPr>
        <w:t>.</w:t>
      </w:r>
    </w:p>
    <w:p w14:paraId="5723E50A" w14:textId="77F4ED59" w:rsidR="00872AAD" w:rsidRDefault="00872AAD" w:rsidP="00EE7E71">
      <w:pPr>
        <w:suppressAutoHyphens w:val="0"/>
        <w:spacing w:line="276" w:lineRule="auto"/>
        <w:ind w:firstLine="720"/>
        <w:jc w:val="both"/>
      </w:pPr>
      <w:r w:rsidRPr="00F02093">
        <w:t xml:space="preserve">No </w:t>
      </w:r>
      <w:r>
        <w:t>pārsūdzētā nolēmuma</w:t>
      </w:r>
      <w:r w:rsidRPr="00F02093">
        <w:t xml:space="preserve"> izriet, ka formulējumi </w:t>
      </w:r>
      <w:r>
        <w:t>„</w:t>
      </w:r>
      <w:r w:rsidRPr="00F02093">
        <w:t xml:space="preserve">darījumi, kas nav notikuši” un </w:t>
      </w:r>
      <w:r>
        <w:t>„</w:t>
      </w:r>
      <w:r w:rsidRPr="00F02093">
        <w:t>darījumi, kas notikuši citā taksācijas periodā”</w:t>
      </w:r>
      <w:r>
        <w:t>,</w:t>
      </w:r>
      <w:r w:rsidRPr="00F02093">
        <w:t xml:space="preserve"> </w:t>
      </w:r>
      <w:r>
        <w:t>ir lietoti kā sinonīmi, proti,</w:t>
      </w:r>
      <w:r w:rsidRPr="00F02093">
        <w:t xml:space="preserve"> pirmais lietots kā </w:t>
      </w:r>
      <w:r>
        <w:t xml:space="preserve">otrā formulējuma </w:t>
      </w:r>
      <w:r w:rsidR="00045738">
        <w:t xml:space="preserve">saīsināts </w:t>
      </w:r>
      <w:r w:rsidRPr="00F02093">
        <w:t>apzīmējums</w:t>
      </w:r>
      <w:r w:rsidRPr="00EB704E">
        <w:t>.</w:t>
      </w:r>
    </w:p>
    <w:p w14:paraId="527E12FD" w14:textId="51A43357" w:rsidR="00915F66" w:rsidRDefault="00872AAD" w:rsidP="00EE7E71">
      <w:pPr>
        <w:suppressAutoHyphens w:val="0"/>
        <w:spacing w:line="276" w:lineRule="auto"/>
        <w:ind w:firstLine="720"/>
        <w:jc w:val="both"/>
        <w:rPr>
          <w:rFonts w:asciiTheme="majorBidi" w:hAnsiTheme="majorBidi" w:cstheme="majorBidi"/>
        </w:rPr>
      </w:pPr>
      <w:r>
        <w:t xml:space="preserve">Vienlaikus Senāts </w:t>
      </w:r>
      <w:r w:rsidR="00107F1C">
        <w:t>piekrīt</w:t>
      </w:r>
      <w:r>
        <w:t xml:space="preserve">, ka apelācijas instances tiesa </w:t>
      </w:r>
      <w:r w:rsidRPr="00091E5D">
        <w:t>pieļāvusi nekonsekvenci</w:t>
      </w:r>
      <w:r>
        <w:t xml:space="preserve"> terminoloģijā, šos darījumus apzīmējot gan kā </w:t>
      </w:r>
      <w:proofErr w:type="spellStart"/>
      <w:r>
        <w:t>simulatīvus</w:t>
      </w:r>
      <w:proofErr w:type="spellEnd"/>
      <w:r>
        <w:t xml:space="preserve"> (</w:t>
      </w:r>
      <w:r w:rsidRPr="00C61A1A">
        <w:rPr>
          <w:i/>
          <w:iCs/>
        </w:rPr>
        <w:t>sprieduma 31. punkt</w:t>
      </w:r>
      <w:r>
        <w:rPr>
          <w:i/>
          <w:iCs/>
        </w:rPr>
        <w:t>s</w:t>
      </w:r>
      <w:r>
        <w:t>), gan kā fiktīvus (</w:t>
      </w:r>
      <w:r w:rsidRPr="00C61A1A">
        <w:rPr>
          <w:i/>
          <w:iCs/>
        </w:rPr>
        <w:t>sprieduma 32. punkt</w:t>
      </w:r>
      <w:r>
        <w:rPr>
          <w:i/>
          <w:iCs/>
        </w:rPr>
        <w:t>s</w:t>
      </w:r>
      <w:r>
        <w:t>), jo tie ir dažādi darījumu veidi (</w:t>
      </w:r>
      <w:r w:rsidRPr="00FD1645">
        <w:t xml:space="preserve">sk. </w:t>
      </w:r>
      <w:r w:rsidRPr="009068F8">
        <w:rPr>
          <w:i/>
          <w:iCs/>
        </w:rPr>
        <w:t>Balodis</w:t>
      </w:r>
      <w:r>
        <w:rPr>
          <w:i/>
          <w:iCs/>
        </w:rPr>
        <w:t> </w:t>
      </w:r>
      <w:r w:rsidRPr="009068F8">
        <w:rPr>
          <w:i/>
          <w:iCs/>
        </w:rPr>
        <w:t>K. Ievads Civiltiesībās. Rīga, Zvaigzne ABC, 2007, 246.</w:t>
      </w:r>
      <w:r>
        <w:rPr>
          <w:i/>
          <w:iCs/>
        </w:rPr>
        <w:t>–</w:t>
      </w:r>
      <w:r w:rsidRPr="009068F8">
        <w:rPr>
          <w:i/>
          <w:iCs/>
        </w:rPr>
        <w:t>250. lpp</w:t>
      </w:r>
      <w:r>
        <w:t xml:space="preserve">.). </w:t>
      </w:r>
      <w:r w:rsidRPr="00303909">
        <w:t>Tomēr š</w:t>
      </w:r>
      <w:r>
        <w:t xml:space="preserve">ai nepilnībai </w:t>
      </w:r>
      <w:r w:rsidR="00915F66">
        <w:t xml:space="preserve">izskatāmajā lietā </w:t>
      </w:r>
      <w:r>
        <w:t>nav juridiskas nozīmes, jo</w:t>
      </w:r>
      <w:r w:rsidRPr="00303909">
        <w:t xml:space="preserve"> </w:t>
      </w:r>
      <w:r>
        <w:t xml:space="preserve">krāpšanas </w:t>
      </w:r>
      <w:r w:rsidRPr="00303909">
        <w:t>konstatēšanai nav nepieciešama darījuma pareiza civiltiesiskā kvalifikācija.</w:t>
      </w:r>
      <w:r>
        <w:t xml:space="preserve"> </w:t>
      </w:r>
      <w:r w:rsidRPr="007B77BF">
        <w:t>Izšķiroš</w:t>
      </w:r>
      <w:r>
        <w:t>a nozīme</w:t>
      </w:r>
      <w:r w:rsidRPr="007B77BF">
        <w:t xml:space="preserve"> ir </w:t>
      </w:r>
      <w:r w:rsidR="00534CA1">
        <w:t>apstāklim</w:t>
      </w:r>
      <w:r w:rsidR="00915F66">
        <w:t xml:space="preserve">, ka </w:t>
      </w:r>
      <w:r w:rsidR="007F0D99">
        <w:t xml:space="preserve">noformētie </w:t>
      </w:r>
      <w:r>
        <w:t>darījum</w:t>
      </w:r>
      <w:r w:rsidR="007F0D99">
        <w:t>u dokumenti</w:t>
      </w:r>
      <w:r w:rsidRPr="007B77BF">
        <w:t xml:space="preserve"> </w:t>
      </w:r>
      <w:r>
        <w:t>un uz tā pamata izrakstīt</w:t>
      </w:r>
      <w:r w:rsidR="00915F66">
        <w:t>ie</w:t>
      </w:r>
      <w:r>
        <w:t xml:space="preserve"> rēķin</w:t>
      </w:r>
      <w:r w:rsidR="00915F66">
        <w:t>i</w:t>
      </w:r>
      <w:r>
        <w:t xml:space="preserve"> </w:t>
      </w:r>
      <w:r w:rsidR="00915F66">
        <w:t xml:space="preserve">bija </w:t>
      </w:r>
      <w:r w:rsidRPr="007B77BF">
        <w:t>maldinoš</w:t>
      </w:r>
      <w:r w:rsidR="00915F66">
        <w:t>a</w:t>
      </w:r>
      <w:r w:rsidRPr="007B77BF">
        <w:t xml:space="preserve"> rakstur</w:t>
      </w:r>
      <w:r w:rsidR="00915F66">
        <w:t>a</w:t>
      </w:r>
      <w:r w:rsidRPr="00DD397E">
        <w:rPr>
          <w:rFonts w:asciiTheme="majorBidi" w:hAnsiTheme="majorBidi" w:cstheme="majorBidi"/>
        </w:rPr>
        <w:t>.</w:t>
      </w:r>
    </w:p>
    <w:p w14:paraId="5B99612D" w14:textId="307F0507" w:rsidR="00915F66" w:rsidRPr="00534CA1" w:rsidRDefault="00915F66" w:rsidP="00EE7E71">
      <w:pPr>
        <w:suppressAutoHyphens w:val="0"/>
        <w:spacing w:line="276" w:lineRule="auto"/>
        <w:ind w:firstLine="720"/>
        <w:jc w:val="both"/>
        <w:rPr>
          <w:rFonts w:asciiTheme="majorBidi" w:hAnsiTheme="majorBidi" w:cstheme="majorBidi"/>
        </w:rPr>
      </w:pPr>
      <w:r>
        <w:rPr>
          <w:rFonts w:asciiTheme="majorBidi" w:hAnsiTheme="majorBidi" w:cstheme="majorBidi"/>
        </w:rPr>
        <w:t>Turklāt p</w:t>
      </w:r>
      <w:r w:rsidR="00872AAD">
        <w:rPr>
          <w:rFonts w:asciiTheme="majorBidi" w:hAnsiTheme="majorBidi" w:cstheme="majorBidi"/>
        </w:rPr>
        <w:t xml:space="preserve">retēji kasācijas sūdzībā norādītajam spriedumā izmantotās terminoloģijas nekonsekvence neierobežo apsūdzētā tiesības uz aizstāvību, jo </w:t>
      </w:r>
      <w:r w:rsidR="00872AAD" w:rsidRPr="00103C2C">
        <w:rPr>
          <w:rFonts w:asciiTheme="majorBidi" w:hAnsiTheme="majorBidi" w:cstheme="majorBidi"/>
        </w:rPr>
        <w:t>apsūdzētais</w:t>
      </w:r>
      <w:r>
        <w:rPr>
          <w:rFonts w:asciiTheme="majorBidi" w:hAnsiTheme="majorBidi" w:cstheme="majorBidi"/>
        </w:rPr>
        <w:t xml:space="preserve"> šīs tiesības</w:t>
      </w:r>
      <w:r w:rsidR="00872AAD" w:rsidRPr="00103C2C">
        <w:rPr>
          <w:rFonts w:asciiTheme="majorBidi" w:hAnsiTheme="majorBidi" w:cstheme="majorBidi"/>
        </w:rPr>
        <w:t xml:space="preserve"> īsteno, aizstāvoties pret izvirzīto apsūdzīb</w:t>
      </w:r>
      <w:r w:rsidR="00872AAD">
        <w:rPr>
          <w:rFonts w:asciiTheme="majorBidi" w:hAnsiTheme="majorBidi" w:cstheme="majorBidi"/>
        </w:rPr>
        <w:t>u.</w:t>
      </w:r>
    </w:p>
    <w:p w14:paraId="0E737EE4" w14:textId="6857050C" w:rsidR="00872AAD" w:rsidRDefault="00872AAD" w:rsidP="00EE7E71">
      <w:pPr>
        <w:shd w:val="clear" w:color="auto" w:fill="FFFFFF"/>
        <w:suppressAutoHyphens w:val="0"/>
        <w:spacing w:line="276" w:lineRule="auto"/>
        <w:ind w:firstLine="720"/>
        <w:jc w:val="both"/>
      </w:pPr>
      <w:r>
        <w:t>[1</w:t>
      </w:r>
      <w:r w:rsidR="00F676B8">
        <w:t>1</w:t>
      </w:r>
      <w:r>
        <w:t>.</w:t>
      </w:r>
      <w:r w:rsidR="00045738">
        <w:t>4</w:t>
      </w:r>
      <w:r>
        <w:t>.3] </w:t>
      </w:r>
      <w:r>
        <w:rPr>
          <w:rFonts w:asciiTheme="majorBidi" w:hAnsiTheme="majorBidi" w:cstheme="majorBidi"/>
        </w:rPr>
        <w:t>K</w:t>
      </w:r>
      <w:r w:rsidRPr="001B5762">
        <w:rPr>
          <w:rFonts w:asciiTheme="majorBidi" w:hAnsiTheme="majorBidi" w:cstheme="majorBidi"/>
        </w:rPr>
        <w:t>asācijas sūdzīb</w:t>
      </w:r>
      <w:r>
        <w:rPr>
          <w:rFonts w:asciiTheme="majorBidi" w:hAnsiTheme="majorBidi" w:cstheme="majorBidi"/>
        </w:rPr>
        <w:t xml:space="preserve">as </w:t>
      </w:r>
      <w:r w:rsidRPr="001B5762">
        <w:rPr>
          <w:rFonts w:asciiTheme="majorBidi" w:hAnsiTheme="majorBidi" w:cstheme="majorBidi"/>
        </w:rPr>
        <w:t xml:space="preserve">argumenti par </w:t>
      </w:r>
      <w:r>
        <w:rPr>
          <w:rFonts w:asciiTheme="majorBidi" w:hAnsiTheme="majorBidi" w:cstheme="majorBidi"/>
        </w:rPr>
        <w:t xml:space="preserve">liecinieka </w:t>
      </w:r>
      <w:r w:rsidR="00BF29E4">
        <w:rPr>
          <w:rFonts w:asciiTheme="majorBidi" w:hAnsiTheme="majorBidi" w:cstheme="majorBidi"/>
        </w:rPr>
        <w:t>[pers. I]</w:t>
      </w:r>
      <w:r w:rsidRPr="001B5762">
        <w:rPr>
          <w:rFonts w:asciiTheme="majorBidi" w:hAnsiTheme="majorBidi" w:cstheme="majorBidi"/>
        </w:rPr>
        <w:t xml:space="preserve"> liecību neizvērtēšanu</w:t>
      </w:r>
      <w:r>
        <w:t xml:space="preserve"> nav pamatoti.</w:t>
      </w:r>
    </w:p>
    <w:p w14:paraId="7FD7ABDE" w14:textId="211823A4" w:rsidR="00872AAD" w:rsidRDefault="00872AAD"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A</w:t>
      </w:r>
      <w:r w:rsidRPr="00B24222">
        <w:rPr>
          <w:rFonts w:asciiTheme="majorBidi" w:hAnsiTheme="majorBidi" w:cstheme="majorBidi"/>
        </w:rPr>
        <w:t xml:space="preserve">pelācijas instances tiesa </w:t>
      </w:r>
      <w:r w:rsidR="00915F66">
        <w:rPr>
          <w:rFonts w:asciiTheme="majorBidi" w:hAnsiTheme="majorBidi" w:cstheme="majorBidi"/>
        </w:rPr>
        <w:t xml:space="preserve">ir </w:t>
      </w:r>
      <w:r w:rsidRPr="00B24222">
        <w:rPr>
          <w:rFonts w:asciiTheme="majorBidi" w:hAnsiTheme="majorBidi" w:cstheme="majorBidi"/>
        </w:rPr>
        <w:t xml:space="preserve">pievienojusies pirmās instances </w:t>
      </w:r>
      <w:r w:rsidR="007F0D99">
        <w:rPr>
          <w:rFonts w:asciiTheme="majorBidi" w:hAnsiTheme="majorBidi" w:cstheme="majorBidi"/>
        </w:rPr>
        <w:t xml:space="preserve">tiesas </w:t>
      </w:r>
      <w:r w:rsidRPr="00B24222">
        <w:rPr>
          <w:rFonts w:asciiTheme="majorBidi" w:hAnsiTheme="majorBidi" w:cstheme="majorBidi"/>
        </w:rPr>
        <w:t xml:space="preserve">spriedumā sniegtajam pierādījumu novērtējumam un </w:t>
      </w:r>
      <w:r>
        <w:rPr>
          <w:rFonts w:asciiTheme="majorBidi" w:hAnsiTheme="majorBidi" w:cstheme="majorBidi"/>
        </w:rPr>
        <w:t xml:space="preserve">atzinumiem un </w:t>
      </w:r>
      <w:r w:rsidRPr="00B24222">
        <w:rPr>
          <w:rFonts w:asciiTheme="majorBidi" w:hAnsiTheme="majorBidi" w:cstheme="majorBidi"/>
        </w:rPr>
        <w:t>saskaņā ar Kriminālprocesa likuma 564.</w:t>
      </w:r>
      <w:r>
        <w:rPr>
          <w:rFonts w:asciiTheme="majorBidi" w:hAnsiTheme="majorBidi" w:cstheme="majorBidi"/>
        </w:rPr>
        <w:t> </w:t>
      </w:r>
      <w:r w:rsidRPr="00B24222">
        <w:rPr>
          <w:rFonts w:asciiTheme="majorBidi" w:hAnsiTheme="majorBidi" w:cstheme="majorBidi"/>
        </w:rPr>
        <w:t xml:space="preserve">panta sesto daļu </w:t>
      </w:r>
      <w:r w:rsidR="007F0D99">
        <w:rPr>
          <w:rFonts w:asciiTheme="majorBidi" w:hAnsiTheme="majorBidi" w:cstheme="majorBidi"/>
        </w:rPr>
        <w:t>no</w:t>
      </w:r>
      <w:r>
        <w:rPr>
          <w:rFonts w:asciiTheme="majorBidi" w:hAnsiTheme="majorBidi" w:cstheme="majorBidi"/>
        </w:rPr>
        <w:t>lēmusi tos neatkārtot</w:t>
      </w:r>
      <w:r w:rsidRPr="00B24222">
        <w:rPr>
          <w:rFonts w:asciiTheme="majorBidi" w:hAnsiTheme="majorBidi" w:cstheme="majorBidi"/>
        </w:rPr>
        <w:t xml:space="preserve"> (</w:t>
      </w:r>
      <w:r w:rsidRPr="001A4F35">
        <w:rPr>
          <w:rFonts w:asciiTheme="majorBidi" w:hAnsiTheme="majorBidi" w:cstheme="majorBidi"/>
          <w:i/>
          <w:iCs/>
        </w:rPr>
        <w:t>sprieduma</w:t>
      </w:r>
      <w:r w:rsidRPr="00B24222">
        <w:rPr>
          <w:rFonts w:asciiTheme="majorBidi" w:hAnsiTheme="majorBidi" w:cstheme="majorBidi"/>
          <w:i/>
          <w:iCs/>
        </w:rPr>
        <w:t xml:space="preserve"> 8. punkts</w:t>
      </w:r>
      <w:r w:rsidRPr="00B24222">
        <w:rPr>
          <w:rFonts w:asciiTheme="majorBidi" w:hAnsiTheme="majorBidi" w:cstheme="majorBidi"/>
        </w:rPr>
        <w:t>).</w:t>
      </w:r>
    </w:p>
    <w:p w14:paraId="5B3BF61C" w14:textId="79D8FDD3" w:rsidR="00D93128" w:rsidRPr="00557DF1" w:rsidRDefault="00CB660C"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Senāts konstatē, ka</w:t>
      </w:r>
      <w:r w:rsidR="00D93128">
        <w:rPr>
          <w:rFonts w:asciiTheme="majorBidi" w:hAnsiTheme="majorBidi" w:cstheme="majorBidi"/>
        </w:rPr>
        <w:t xml:space="preserve"> pirmās instances tiesa liecinieka </w:t>
      </w:r>
      <w:r w:rsidR="00BF29E4">
        <w:rPr>
          <w:rFonts w:asciiTheme="majorBidi" w:hAnsiTheme="majorBidi" w:cstheme="majorBidi"/>
        </w:rPr>
        <w:t>[pers. I]</w:t>
      </w:r>
      <w:r w:rsidR="00D93128">
        <w:rPr>
          <w:rFonts w:asciiTheme="majorBidi" w:hAnsiTheme="majorBidi" w:cstheme="majorBidi"/>
        </w:rPr>
        <w:t xml:space="preserve"> </w:t>
      </w:r>
      <w:r w:rsidR="00D93128" w:rsidRPr="00B24222">
        <w:rPr>
          <w:rFonts w:asciiTheme="majorBidi" w:hAnsiTheme="majorBidi" w:cstheme="majorBidi"/>
        </w:rPr>
        <w:t>liecības ir</w:t>
      </w:r>
      <w:r w:rsidR="00D93128">
        <w:rPr>
          <w:rFonts w:asciiTheme="majorBidi" w:hAnsiTheme="majorBidi" w:cstheme="majorBidi"/>
        </w:rPr>
        <w:t xml:space="preserve"> izvērtējusi, secinot, ka tajās liecinieks </w:t>
      </w:r>
      <w:r w:rsidR="00D93128" w:rsidRPr="00AD085A">
        <w:rPr>
          <w:rFonts w:asciiTheme="majorBidi" w:hAnsiTheme="majorBidi" w:cstheme="majorBidi"/>
        </w:rPr>
        <w:t>ir apstiprinājis auditā konstatēto (sk. </w:t>
      </w:r>
      <w:r w:rsidR="00D93128" w:rsidRPr="00AD085A">
        <w:rPr>
          <w:rFonts w:asciiTheme="majorBidi" w:hAnsiTheme="majorBidi" w:cstheme="majorBidi"/>
          <w:i/>
          <w:iCs/>
        </w:rPr>
        <w:t>sprieduma 24. un 122. punktu</w:t>
      </w:r>
      <w:r w:rsidR="00D93128" w:rsidRPr="00AD085A">
        <w:rPr>
          <w:rFonts w:asciiTheme="majorBidi" w:hAnsiTheme="majorBidi" w:cstheme="majorBidi"/>
        </w:rPr>
        <w:t>).</w:t>
      </w:r>
    </w:p>
    <w:p w14:paraId="3BA5E9E8" w14:textId="0142A363" w:rsidR="00915F66" w:rsidRPr="00534CA1" w:rsidRDefault="00CB660C" w:rsidP="00EE7E71">
      <w:pPr>
        <w:suppressAutoHyphens w:val="0"/>
        <w:spacing w:line="276" w:lineRule="auto"/>
        <w:ind w:firstLine="720"/>
        <w:jc w:val="both"/>
        <w:rPr>
          <w:rFonts w:asciiTheme="majorBidi" w:hAnsiTheme="majorBidi" w:cstheme="majorBidi"/>
          <w:i/>
          <w:iCs/>
        </w:rPr>
      </w:pPr>
      <w:r>
        <w:rPr>
          <w:rFonts w:asciiTheme="majorBidi" w:hAnsiTheme="majorBidi" w:cstheme="majorBidi"/>
        </w:rPr>
        <w:t>A</w:t>
      </w:r>
      <w:r w:rsidR="00915F66" w:rsidRPr="00C914FA">
        <w:rPr>
          <w:rFonts w:asciiTheme="majorBidi" w:hAnsiTheme="majorBidi" w:cstheme="majorBidi"/>
        </w:rPr>
        <w:t>pelācijas instances tiesai pievienojoties pirmās</w:t>
      </w:r>
      <w:r w:rsidR="007F0D99">
        <w:rPr>
          <w:rFonts w:asciiTheme="majorBidi" w:hAnsiTheme="majorBidi" w:cstheme="majorBidi"/>
        </w:rPr>
        <w:t xml:space="preserve"> instances</w:t>
      </w:r>
      <w:r w:rsidR="00915F66" w:rsidRPr="00C914FA">
        <w:rPr>
          <w:rFonts w:asciiTheme="majorBidi" w:hAnsiTheme="majorBidi" w:cstheme="majorBidi"/>
        </w:rPr>
        <w:t xml:space="preserve"> tiesas sprieduma argumentiem, tie kļūst par apelācijas instances tiesas nolēmuma argumentiem (</w:t>
      </w:r>
      <w:r w:rsidR="00915F66" w:rsidRPr="00C914FA">
        <w:rPr>
          <w:rFonts w:asciiTheme="majorBidi" w:hAnsiTheme="majorBidi" w:cstheme="majorBidi"/>
          <w:i/>
        </w:rPr>
        <w:t xml:space="preserve">Senāta </w:t>
      </w:r>
      <w:r w:rsidR="00915F66" w:rsidRPr="00C914FA">
        <w:rPr>
          <w:rFonts w:asciiTheme="majorBidi" w:hAnsiTheme="majorBidi" w:cstheme="majorBidi"/>
          <w:i/>
          <w:iCs/>
        </w:rPr>
        <w:t>2018.</w:t>
      </w:r>
      <w:r w:rsidR="00915F66">
        <w:rPr>
          <w:rFonts w:asciiTheme="majorBidi" w:hAnsiTheme="majorBidi" w:cstheme="majorBidi"/>
          <w:i/>
          <w:iCs/>
        </w:rPr>
        <w:t> </w:t>
      </w:r>
      <w:r w:rsidR="00915F66" w:rsidRPr="00C914FA">
        <w:rPr>
          <w:rFonts w:asciiTheme="majorBidi" w:hAnsiTheme="majorBidi" w:cstheme="majorBidi"/>
          <w:i/>
          <w:iCs/>
        </w:rPr>
        <w:t>gada 8.</w:t>
      </w:r>
      <w:r w:rsidR="00915F66">
        <w:rPr>
          <w:rFonts w:asciiTheme="majorBidi" w:hAnsiTheme="majorBidi" w:cstheme="majorBidi"/>
          <w:i/>
          <w:iCs/>
        </w:rPr>
        <w:t> </w:t>
      </w:r>
      <w:r w:rsidR="00915F66" w:rsidRPr="00C914FA">
        <w:rPr>
          <w:rFonts w:asciiTheme="majorBidi" w:hAnsiTheme="majorBidi" w:cstheme="majorBidi"/>
          <w:i/>
          <w:iCs/>
        </w:rPr>
        <w:t xml:space="preserve">novembra </w:t>
      </w:r>
      <w:r w:rsidR="00915F66">
        <w:rPr>
          <w:rFonts w:asciiTheme="majorBidi" w:hAnsiTheme="majorBidi" w:cstheme="majorBidi"/>
          <w:i/>
          <w:iCs/>
        </w:rPr>
        <w:t xml:space="preserve">spriedums </w:t>
      </w:r>
      <w:r w:rsidR="00915F66" w:rsidRPr="00C914FA">
        <w:rPr>
          <w:rFonts w:asciiTheme="majorBidi" w:hAnsiTheme="majorBidi" w:cstheme="majorBidi"/>
          <w:i/>
          <w:iCs/>
        </w:rPr>
        <w:t>liet</w:t>
      </w:r>
      <w:r w:rsidR="00915F66">
        <w:rPr>
          <w:rFonts w:asciiTheme="majorBidi" w:hAnsiTheme="majorBidi" w:cstheme="majorBidi"/>
          <w:i/>
          <w:iCs/>
        </w:rPr>
        <w:t>ā</w:t>
      </w:r>
      <w:r w:rsidR="00915F66" w:rsidRPr="00C914FA">
        <w:rPr>
          <w:rFonts w:asciiTheme="majorBidi" w:hAnsiTheme="majorBidi" w:cstheme="majorBidi"/>
          <w:i/>
          <w:iCs/>
        </w:rPr>
        <w:t xml:space="preserve"> Nr.</w:t>
      </w:r>
      <w:r w:rsidR="00915F66">
        <w:rPr>
          <w:rFonts w:asciiTheme="majorBidi" w:hAnsiTheme="majorBidi" w:cstheme="majorBidi"/>
          <w:i/>
          <w:iCs/>
        </w:rPr>
        <w:t> </w:t>
      </w:r>
      <w:r w:rsidR="00915F66" w:rsidRPr="00C914FA">
        <w:rPr>
          <w:rFonts w:asciiTheme="majorBidi" w:hAnsiTheme="majorBidi" w:cstheme="majorBidi"/>
          <w:i/>
          <w:iCs/>
        </w:rPr>
        <w:t>SKA-885/2018</w:t>
      </w:r>
      <w:r w:rsidR="00915F66">
        <w:rPr>
          <w:rFonts w:asciiTheme="majorBidi" w:hAnsiTheme="majorBidi" w:cstheme="majorBidi"/>
          <w:i/>
          <w:iCs/>
        </w:rPr>
        <w:t>,</w:t>
      </w:r>
      <w:r w:rsidR="00915F66" w:rsidRPr="00C914FA">
        <w:rPr>
          <w:rFonts w:asciiTheme="majorBidi" w:hAnsiTheme="majorBidi" w:cstheme="majorBidi"/>
          <w:i/>
          <w:iCs/>
        </w:rPr>
        <w:t xml:space="preserve"> </w:t>
      </w:r>
      <w:hyperlink r:id="rId23" w:history="1">
        <w:r w:rsidR="00915F66" w:rsidRPr="00B274BD">
          <w:rPr>
            <w:rStyle w:val="Hyperlink"/>
            <w:rFonts w:asciiTheme="majorBidi" w:hAnsiTheme="majorBidi" w:cstheme="majorBidi"/>
            <w:i/>
            <w:iCs/>
          </w:rPr>
          <w:t>ECLI:LV:AT:2018:1108.A420256416.4.S</w:t>
        </w:r>
      </w:hyperlink>
      <w:r w:rsidR="00915F66">
        <w:rPr>
          <w:rFonts w:asciiTheme="majorBidi" w:hAnsiTheme="majorBidi" w:cstheme="majorBidi"/>
          <w:i/>
          <w:iCs/>
        </w:rPr>
        <w:t>, 20. punkts</w:t>
      </w:r>
      <w:r w:rsidR="00915F66" w:rsidRPr="00C914FA">
        <w:rPr>
          <w:rFonts w:asciiTheme="majorBidi" w:hAnsiTheme="majorBidi" w:cstheme="majorBidi"/>
        </w:rPr>
        <w:t>).</w:t>
      </w:r>
    </w:p>
    <w:p w14:paraId="086BEB27" w14:textId="32DE1B95" w:rsidR="00872AAD" w:rsidRPr="00CF3293" w:rsidRDefault="00872AAD" w:rsidP="00EE7E71">
      <w:pPr>
        <w:shd w:val="clear" w:color="auto" w:fill="FFFFFF"/>
        <w:suppressAutoHyphens w:val="0"/>
        <w:spacing w:line="276" w:lineRule="auto"/>
        <w:ind w:firstLine="720"/>
        <w:jc w:val="both"/>
        <w:rPr>
          <w:rFonts w:asciiTheme="majorBidi" w:hAnsiTheme="majorBidi" w:cstheme="majorBidi"/>
        </w:rPr>
      </w:pPr>
      <w:r>
        <w:rPr>
          <w:rFonts w:asciiTheme="majorBidi" w:hAnsiTheme="majorBidi" w:cstheme="majorBidi"/>
        </w:rPr>
        <w:t>[1</w:t>
      </w:r>
      <w:r w:rsidR="00F676B8">
        <w:rPr>
          <w:rFonts w:asciiTheme="majorBidi" w:hAnsiTheme="majorBidi" w:cstheme="majorBidi"/>
        </w:rPr>
        <w:t>1</w:t>
      </w:r>
      <w:r>
        <w:rPr>
          <w:rFonts w:asciiTheme="majorBidi" w:hAnsiTheme="majorBidi" w:cstheme="majorBidi"/>
        </w:rPr>
        <w:t>.</w:t>
      </w:r>
      <w:r w:rsidR="00045738">
        <w:rPr>
          <w:rFonts w:asciiTheme="majorBidi" w:hAnsiTheme="majorBidi" w:cstheme="majorBidi"/>
        </w:rPr>
        <w:t>4</w:t>
      </w:r>
      <w:r>
        <w:rPr>
          <w:rFonts w:asciiTheme="majorBidi" w:hAnsiTheme="majorBidi" w:cstheme="majorBidi"/>
        </w:rPr>
        <w:t>.4] K</w:t>
      </w:r>
      <w:r w:rsidRPr="001B5762">
        <w:rPr>
          <w:rFonts w:asciiTheme="majorBidi" w:hAnsiTheme="majorBidi" w:cstheme="majorBidi"/>
        </w:rPr>
        <w:t>asācijas sūdzīb</w:t>
      </w:r>
      <w:r>
        <w:rPr>
          <w:rFonts w:asciiTheme="majorBidi" w:hAnsiTheme="majorBidi" w:cstheme="majorBidi"/>
        </w:rPr>
        <w:t xml:space="preserve">as </w:t>
      </w:r>
      <w:r w:rsidRPr="001B5762">
        <w:rPr>
          <w:rFonts w:asciiTheme="majorBidi" w:hAnsiTheme="majorBidi" w:cstheme="majorBidi"/>
        </w:rPr>
        <w:t>argumenti par VID iespējamu ieinteresētību liet</w:t>
      </w:r>
      <w:r>
        <w:rPr>
          <w:rFonts w:asciiTheme="majorBidi" w:hAnsiTheme="majorBidi" w:cstheme="majorBidi"/>
        </w:rPr>
        <w:t>ā</w:t>
      </w:r>
      <w:r w:rsidRPr="001B5762">
        <w:rPr>
          <w:rFonts w:asciiTheme="majorBidi" w:hAnsiTheme="majorBidi" w:cstheme="majorBidi"/>
        </w:rPr>
        <w:t xml:space="preserve"> un VID amatperson</w:t>
      </w:r>
      <w:r>
        <w:rPr>
          <w:rFonts w:asciiTheme="majorBidi" w:hAnsiTheme="majorBidi" w:cstheme="majorBidi"/>
        </w:rPr>
        <w:t>u</w:t>
      </w:r>
      <w:r w:rsidRPr="001B5762">
        <w:rPr>
          <w:rFonts w:asciiTheme="majorBidi" w:hAnsiTheme="majorBidi" w:cstheme="majorBidi"/>
        </w:rPr>
        <w:t xml:space="preserve"> liecīb</w:t>
      </w:r>
      <w:r>
        <w:rPr>
          <w:rFonts w:asciiTheme="majorBidi" w:hAnsiTheme="majorBidi" w:cstheme="majorBidi"/>
        </w:rPr>
        <w:t>ām</w:t>
      </w:r>
      <w:r w:rsidRPr="001B5762">
        <w:rPr>
          <w:rFonts w:asciiTheme="majorBidi" w:hAnsiTheme="majorBidi" w:cstheme="majorBidi"/>
        </w:rPr>
        <w:t xml:space="preserve"> tiesā ir vispārīg</w:t>
      </w:r>
      <w:r>
        <w:rPr>
          <w:rFonts w:asciiTheme="majorBidi" w:hAnsiTheme="majorBidi" w:cstheme="majorBidi"/>
        </w:rPr>
        <w:t>i, jo neatklāj</w:t>
      </w:r>
      <w:r w:rsidRPr="001B5762">
        <w:rPr>
          <w:rFonts w:asciiTheme="majorBidi" w:hAnsiTheme="majorBidi" w:cstheme="majorBidi"/>
        </w:rPr>
        <w:t xml:space="preserve"> konkrēt</w:t>
      </w:r>
      <w:r>
        <w:rPr>
          <w:rFonts w:asciiTheme="majorBidi" w:hAnsiTheme="majorBidi" w:cstheme="majorBidi"/>
        </w:rPr>
        <w:t>us</w:t>
      </w:r>
      <w:r w:rsidRPr="001B5762">
        <w:rPr>
          <w:rFonts w:asciiTheme="majorBidi" w:hAnsiTheme="majorBidi" w:cstheme="majorBidi"/>
        </w:rPr>
        <w:t xml:space="preserve"> objektīv</w:t>
      </w:r>
      <w:r>
        <w:rPr>
          <w:rFonts w:asciiTheme="majorBidi" w:hAnsiTheme="majorBidi" w:cstheme="majorBidi"/>
        </w:rPr>
        <w:t>us</w:t>
      </w:r>
      <w:r w:rsidRPr="001B5762">
        <w:rPr>
          <w:rFonts w:asciiTheme="majorBidi" w:hAnsiTheme="majorBidi" w:cstheme="majorBidi"/>
        </w:rPr>
        <w:t xml:space="preserve"> apstākļ</w:t>
      </w:r>
      <w:r>
        <w:rPr>
          <w:rFonts w:asciiTheme="majorBidi" w:hAnsiTheme="majorBidi" w:cstheme="majorBidi"/>
        </w:rPr>
        <w:t>us</w:t>
      </w:r>
      <w:r w:rsidRPr="001B5762">
        <w:rPr>
          <w:rFonts w:asciiTheme="majorBidi" w:hAnsiTheme="majorBidi" w:cstheme="majorBidi"/>
        </w:rPr>
        <w:t>, kas lieguši apsūdzētajam apšaubīt šo personu liecības iztiesāšanas laikā</w:t>
      </w:r>
      <w:r w:rsidR="00915F66">
        <w:rPr>
          <w:rFonts w:asciiTheme="majorBidi" w:hAnsiTheme="majorBidi" w:cstheme="majorBidi"/>
        </w:rPr>
        <w:t xml:space="preserve"> un</w:t>
      </w:r>
      <w:r w:rsidR="00534CA1">
        <w:rPr>
          <w:rFonts w:asciiTheme="majorBidi" w:hAnsiTheme="majorBidi" w:cstheme="majorBidi"/>
        </w:rPr>
        <w:t xml:space="preserve"> </w:t>
      </w:r>
      <w:r>
        <w:rPr>
          <w:rFonts w:asciiTheme="majorBidi" w:hAnsiTheme="majorBidi" w:cstheme="majorBidi"/>
        </w:rPr>
        <w:t>ierobežo</w:t>
      </w:r>
      <w:r w:rsidR="00915F66">
        <w:rPr>
          <w:rFonts w:asciiTheme="majorBidi" w:hAnsiTheme="majorBidi" w:cstheme="majorBidi"/>
        </w:rPr>
        <w:t>juši</w:t>
      </w:r>
      <w:r>
        <w:rPr>
          <w:rFonts w:asciiTheme="majorBidi" w:hAnsiTheme="majorBidi" w:cstheme="majorBidi"/>
        </w:rPr>
        <w:t xml:space="preserve"> apsūdzētā tiesības uz taisnīgu tiesu</w:t>
      </w:r>
      <w:r w:rsidRPr="001B5762">
        <w:rPr>
          <w:rFonts w:asciiTheme="majorBidi" w:hAnsiTheme="majorBidi" w:cstheme="majorBidi"/>
        </w:rPr>
        <w:t>.</w:t>
      </w:r>
    </w:p>
    <w:p w14:paraId="2F28E57A" w14:textId="786319A6" w:rsidR="00872AAD" w:rsidRDefault="00872AAD" w:rsidP="00EE7E71">
      <w:pPr>
        <w:shd w:val="clear" w:color="auto" w:fill="FFFFFF"/>
        <w:suppressAutoHyphens w:val="0"/>
        <w:spacing w:line="276" w:lineRule="auto"/>
        <w:ind w:firstLine="720"/>
        <w:jc w:val="both"/>
      </w:pPr>
      <w:r>
        <w:t xml:space="preserve">Apsūdzētais </w:t>
      </w:r>
      <w:r w:rsidR="00C46165">
        <w:t xml:space="preserve">kasācijas sūdzībā </w:t>
      </w:r>
      <w:r>
        <w:t>arī</w:t>
      </w:r>
      <w:r w:rsidRPr="00711A70">
        <w:t xml:space="preserve"> nav norādī</w:t>
      </w:r>
      <w:r>
        <w:t>jis</w:t>
      </w:r>
      <w:r w:rsidRPr="00711A70">
        <w:t>, kura VID amatpersona, kad un kād</w:t>
      </w:r>
      <w:r w:rsidR="00EE1221">
        <w:t>a satura</w:t>
      </w:r>
      <w:r w:rsidRPr="00711A70">
        <w:t xml:space="preserve"> skaidrojumu vai norādījumu snie</w:t>
      </w:r>
      <w:r>
        <w:t>gusi</w:t>
      </w:r>
      <w:r w:rsidRPr="00711A70">
        <w:t xml:space="preserve"> </w:t>
      </w:r>
      <w:r>
        <w:t xml:space="preserve">un </w:t>
      </w:r>
      <w:r w:rsidRPr="00711A70">
        <w:t xml:space="preserve">uz kādiem objektīvi pārbaudāmiem pierādījumiem </w:t>
      </w:r>
      <w:r w:rsidR="00915F66">
        <w:t xml:space="preserve">ir </w:t>
      </w:r>
      <w:r>
        <w:t>balstīts</w:t>
      </w:r>
      <w:r w:rsidRPr="00711A70">
        <w:t xml:space="preserve"> </w:t>
      </w:r>
      <w:r w:rsidR="00915F66">
        <w:t xml:space="preserve">viņa </w:t>
      </w:r>
      <w:r w:rsidRPr="00711A70">
        <w:t xml:space="preserve">apgalvojums, ka VID </w:t>
      </w:r>
      <w:r w:rsidR="00915F66">
        <w:t xml:space="preserve">būtu </w:t>
      </w:r>
      <w:r w:rsidRPr="00711A70">
        <w:t>akceptēj</w:t>
      </w:r>
      <w:r>
        <w:t>is</w:t>
      </w:r>
      <w:r w:rsidRPr="00711A70">
        <w:t xml:space="preserve"> nokavēti izrakstītos rēķinus </w:t>
      </w:r>
      <w:r>
        <w:t xml:space="preserve">kā likumīgus. Tādēļ </w:t>
      </w:r>
      <w:r w:rsidRPr="00711A70">
        <w:t>kasācij</w:t>
      </w:r>
      <w:r>
        <w:t xml:space="preserve">as tiesvedības ietvaros šie vispārīgie apgalvojumi nav </w:t>
      </w:r>
      <w:r>
        <w:lastRenderedPageBreak/>
        <w:t>pārbaudāmi.</w:t>
      </w:r>
    </w:p>
    <w:p w14:paraId="4EF83689" w14:textId="77777777" w:rsidR="00872AAD" w:rsidRDefault="00872AAD" w:rsidP="00EE7E71">
      <w:pPr>
        <w:suppressAutoHyphens w:val="0"/>
        <w:spacing w:line="276" w:lineRule="auto"/>
        <w:ind w:firstLine="720"/>
        <w:jc w:val="both"/>
        <w:rPr>
          <w:rFonts w:asciiTheme="majorBidi" w:hAnsiTheme="majorBidi" w:cstheme="majorBidi"/>
          <w:b/>
          <w:bCs/>
        </w:rPr>
      </w:pPr>
    </w:p>
    <w:p w14:paraId="23510EF9" w14:textId="1F776909" w:rsidR="00872AAD" w:rsidRPr="007F50EF" w:rsidRDefault="00872AAD" w:rsidP="00EE7E71">
      <w:pPr>
        <w:suppressAutoHyphens w:val="0"/>
        <w:spacing w:line="276" w:lineRule="auto"/>
        <w:jc w:val="center"/>
        <w:rPr>
          <w:rFonts w:asciiTheme="majorBidi" w:hAnsiTheme="majorBidi" w:cstheme="majorBidi"/>
          <w:b/>
          <w:bCs/>
        </w:rPr>
      </w:pPr>
      <w:r w:rsidRPr="007F50EF">
        <w:rPr>
          <w:rFonts w:asciiTheme="majorBidi" w:hAnsiTheme="majorBidi" w:cstheme="majorBidi"/>
          <w:b/>
          <w:bCs/>
        </w:rPr>
        <w:t>V</w:t>
      </w:r>
    </w:p>
    <w:p w14:paraId="77B81AD4" w14:textId="3AFFE292" w:rsidR="00872AAD" w:rsidRPr="00F032CB" w:rsidRDefault="00872AAD" w:rsidP="00EE7E71">
      <w:pPr>
        <w:pStyle w:val="ListParagraph"/>
        <w:suppressAutoHyphens w:val="0"/>
        <w:spacing w:line="276" w:lineRule="auto"/>
        <w:ind w:left="0"/>
        <w:contextualSpacing w:val="0"/>
        <w:jc w:val="center"/>
        <w:rPr>
          <w:rFonts w:asciiTheme="majorBidi" w:hAnsiTheme="majorBidi" w:cstheme="majorBidi"/>
          <w:i/>
          <w:iCs/>
        </w:rPr>
      </w:pPr>
      <w:r w:rsidRPr="00F032CB">
        <w:rPr>
          <w:rFonts w:asciiTheme="majorBidi" w:hAnsiTheme="majorBidi" w:cstheme="majorBidi"/>
          <w:i/>
          <w:iCs/>
        </w:rPr>
        <w:t>Par piemērojamo Krimināllikuma 177. panta trešās daļas redakciju</w:t>
      </w:r>
    </w:p>
    <w:p w14:paraId="6CEA35F1" w14:textId="77777777" w:rsidR="00872AAD" w:rsidRDefault="00872AAD" w:rsidP="00EE7E71">
      <w:pPr>
        <w:pStyle w:val="ListParagraph"/>
        <w:suppressAutoHyphens w:val="0"/>
        <w:spacing w:line="276" w:lineRule="auto"/>
        <w:ind w:left="0"/>
        <w:contextualSpacing w:val="0"/>
        <w:jc w:val="center"/>
        <w:rPr>
          <w:rFonts w:asciiTheme="majorBidi" w:hAnsiTheme="majorBidi" w:cstheme="majorBidi"/>
        </w:rPr>
      </w:pPr>
      <w:r w:rsidRPr="00F032CB">
        <w:rPr>
          <w:rFonts w:asciiTheme="majorBidi" w:hAnsiTheme="majorBidi" w:cstheme="majorBidi"/>
          <w:i/>
          <w:iCs/>
        </w:rPr>
        <w:t>(Krimināllikuma 5. panta pirmās un otrās daļas ievērošana)</w:t>
      </w:r>
    </w:p>
    <w:p w14:paraId="7024535D" w14:textId="77777777" w:rsidR="00872AAD" w:rsidRPr="005D77EC" w:rsidRDefault="00872AAD" w:rsidP="00EE7E71">
      <w:pPr>
        <w:suppressAutoHyphens w:val="0"/>
        <w:spacing w:line="276" w:lineRule="auto"/>
        <w:ind w:firstLine="720"/>
        <w:jc w:val="both"/>
        <w:rPr>
          <w:rFonts w:asciiTheme="majorBidi" w:hAnsiTheme="majorBidi" w:cstheme="majorBidi"/>
          <w:i/>
          <w:iCs/>
        </w:rPr>
      </w:pPr>
    </w:p>
    <w:p w14:paraId="3C9EF785" w14:textId="2D220B63" w:rsidR="00872AAD" w:rsidRDefault="00872AAD" w:rsidP="00EE7E71">
      <w:pPr>
        <w:suppressAutoHyphens w:val="0"/>
        <w:spacing w:line="276" w:lineRule="auto"/>
        <w:ind w:firstLine="720"/>
        <w:jc w:val="both"/>
        <w:rPr>
          <w:color w:val="000000"/>
        </w:rPr>
      </w:pPr>
      <w:bookmarkStart w:id="29" w:name="_Hlk216709491"/>
      <w:bookmarkStart w:id="30" w:name="_Hlk216712974"/>
      <w:r>
        <w:rPr>
          <w:color w:val="000000"/>
        </w:rPr>
        <w:t>[1</w:t>
      </w:r>
      <w:r w:rsidR="00F676B8">
        <w:rPr>
          <w:color w:val="000000"/>
        </w:rPr>
        <w:t>2</w:t>
      </w:r>
      <w:r>
        <w:rPr>
          <w:color w:val="000000"/>
        </w:rPr>
        <w:t>] Turpinājumā Senāts pārbaudīs, vai apelācijas instances tiesa, nosakot sodu pēc Krimināllikuma 177. panta trešās daļas, pieļāvusi Krimināllikuma 5. panta pirmās un otrās daļas pārkāpumu.</w:t>
      </w:r>
    </w:p>
    <w:p w14:paraId="38968351" w14:textId="1D095C53" w:rsidR="003F7169" w:rsidRDefault="00872AAD" w:rsidP="00EE7E71">
      <w:pPr>
        <w:suppressAutoHyphens w:val="0"/>
        <w:spacing w:line="276" w:lineRule="auto"/>
        <w:ind w:firstLine="720"/>
        <w:jc w:val="both"/>
      </w:pPr>
      <w:r>
        <w:rPr>
          <w:color w:val="000000"/>
        </w:rPr>
        <w:t>[1</w:t>
      </w:r>
      <w:r w:rsidR="00F676B8">
        <w:rPr>
          <w:color w:val="000000"/>
        </w:rPr>
        <w:t>2</w:t>
      </w:r>
      <w:r>
        <w:rPr>
          <w:color w:val="000000"/>
        </w:rPr>
        <w:t>.1] Kasācijas sūdzīb</w:t>
      </w:r>
      <w:r w:rsidR="004141A4">
        <w:rPr>
          <w:color w:val="000000"/>
        </w:rPr>
        <w:t>as un protesta</w:t>
      </w:r>
      <w:r>
        <w:rPr>
          <w:color w:val="000000"/>
        </w:rPr>
        <w:t xml:space="preserve"> argumenti šajā daļā pamatoti ar to, ka </w:t>
      </w:r>
      <w:r w:rsidR="003F7169" w:rsidRPr="003F7169">
        <w:t xml:space="preserve">noziedzīgā nodarījuma pabeigšanas brīdī </w:t>
      </w:r>
      <w:r w:rsidR="00F765D6">
        <w:t xml:space="preserve">– </w:t>
      </w:r>
      <w:r w:rsidR="00F765D6" w:rsidRPr="0062097E">
        <w:t>2013.</w:t>
      </w:r>
      <w:r w:rsidR="00F765D6">
        <w:t> </w:t>
      </w:r>
      <w:r w:rsidR="00F765D6" w:rsidRPr="0062097E">
        <w:t>gada 22.</w:t>
      </w:r>
      <w:r w:rsidR="00F765D6">
        <w:t> </w:t>
      </w:r>
      <w:r w:rsidR="00F765D6" w:rsidRPr="0062097E">
        <w:t>maijā</w:t>
      </w:r>
      <w:r w:rsidR="00F765D6">
        <w:t xml:space="preserve"> – </w:t>
      </w:r>
      <w:r w:rsidR="003F7169" w:rsidRPr="003F7169">
        <w:t>spēkā esošā Krimināllikuma 177.</w:t>
      </w:r>
      <w:r w:rsidR="00F51E53">
        <w:t> </w:t>
      </w:r>
      <w:r w:rsidR="003F7169" w:rsidRPr="003F7169">
        <w:t xml:space="preserve">panta trešās daļas redakcija paredzēja brīvības atņemšanu no diviem līdz </w:t>
      </w:r>
      <w:r w:rsidR="001C51E6">
        <w:t>desmit</w:t>
      </w:r>
      <w:r w:rsidR="001C51E6" w:rsidRPr="003F7169">
        <w:t xml:space="preserve"> </w:t>
      </w:r>
      <w:r w:rsidR="003F7169" w:rsidRPr="003F7169">
        <w:t xml:space="preserve">gadiem. </w:t>
      </w:r>
      <w:r w:rsidR="00F51E53">
        <w:t>Savukārt</w:t>
      </w:r>
      <w:r w:rsidR="00F51E53" w:rsidRPr="003F7169">
        <w:t xml:space="preserve"> </w:t>
      </w:r>
      <w:r w:rsidR="003F7169" w:rsidRPr="003F7169">
        <w:t>tiesa piemēroj</w:t>
      </w:r>
      <w:r w:rsidR="00F51E53">
        <w:t>usi</w:t>
      </w:r>
      <w:r w:rsidR="003F7169" w:rsidRPr="003F7169">
        <w:t xml:space="preserve"> </w:t>
      </w:r>
      <w:r w:rsidR="00F51E53">
        <w:t>likuma</w:t>
      </w:r>
      <w:r w:rsidR="003F7169" w:rsidRPr="003F7169">
        <w:t xml:space="preserve"> redakciju, kas bija spēkā līdz 2013. gada 31. martam un bija apsūdzētajam nelabvēlīgāka</w:t>
      </w:r>
      <w:r w:rsidR="00217B88">
        <w:t xml:space="preserve">, jo </w:t>
      </w:r>
      <w:r w:rsidR="003F7169" w:rsidRPr="003F7169">
        <w:t xml:space="preserve">paredzēja brīvības atņemšanu no </w:t>
      </w:r>
      <w:r w:rsidR="00D93128">
        <w:t>pieciem</w:t>
      </w:r>
      <w:r w:rsidR="00D93128" w:rsidRPr="003F7169">
        <w:t xml:space="preserve"> </w:t>
      </w:r>
      <w:r w:rsidR="003F7169" w:rsidRPr="003F7169">
        <w:t xml:space="preserve">līdz </w:t>
      </w:r>
      <w:r w:rsidR="00D93128">
        <w:t>trīspadsmit</w:t>
      </w:r>
      <w:r w:rsidR="00D93128" w:rsidRPr="003F7169">
        <w:t xml:space="preserve"> </w:t>
      </w:r>
      <w:r w:rsidR="003F7169" w:rsidRPr="003F7169">
        <w:t>gadiem.</w:t>
      </w:r>
    </w:p>
    <w:p w14:paraId="0EF68850" w14:textId="293BFBE4" w:rsidR="00872AAD" w:rsidRDefault="00872AAD" w:rsidP="00EE7E71">
      <w:pPr>
        <w:suppressAutoHyphens w:val="0"/>
        <w:spacing w:line="276" w:lineRule="auto"/>
        <w:ind w:firstLine="720"/>
        <w:jc w:val="both"/>
      </w:pPr>
      <w:r w:rsidRPr="00F51E53">
        <w:rPr>
          <w:color w:val="000000"/>
        </w:rPr>
        <w:t>[1</w:t>
      </w:r>
      <w:r w:rsidR="00F676B8" w:rsidRPr="00F51E53">
        <w:rPr>
          <w:color w:val="000000"/>
        </w:rPr>
        <w:t>2</w:t>
      </w:r>
      <w:r w:rsidRPr="00F51E53">
        <w:rPr>
          <w:color w:val="000000"/>
        </w:rPr>
        <w:t>.2]</w:t>
      </w:r>
      <w:r>
        <w:rPr>
          <w:color w:val="000000"/>
        </w:rPr>
        <w:t> </w:t>
      </w:r>
      <w:r>
        <w:t xml:space="preserve">Senāts konstatē, ka saskaņā ar tiesas sniegto pierādītā noziedzīgā nodarījuma aprakstu </w:t>
      </w:r>
      <w:r w:rsidRPr="003D2462">
        <w:t>pēdējā</w:t>
      </w:r>
      <w:r>
        <w:t xml:space="preserve"> apsūdzētajam inkriminētā darbība –</w:t>
      </w:r>
      <w:r w:rsidRPr="003D2462">
        <w:t xml:space="preserve"> nepaties</w:t>
      </w:r>
      <w:r>
        <w:t>as</w:t>
      </w:r>
      <w:r w:rsidRPr="003D2462">
        <w:t xml:space="preserve"> </w:t>
      </w:r>
      <w:r>
        <w:t xml:space="preserve">PVN </w:t>
      </w:r>
      <w:r w:rsidRPr="003D2462">
        <w:t>deklarācija</w:t>
      </w:r>
      <w:r>
        <w:t>s iesniegšana – izdarīta</w:t>
      </w:r>
      <w:r w:rsidRPr="003D2462">
        <w:t xml:space="preserve"> 2013. gada 22.</w:t>
      </w:r>
      <w:r>
        <w:t> </w:t>
      </w:r>
      <w:r w:rsidRPr="003D2462">
        <w:t>aprīlī</w:t>
      </w:r>
      <w:r>
        <w:t xml:space="preserve">, bet šīs darbības </w:t>
      </w:r>
      <w:r w:rsidRPr="003D2462">
        <w:t xml:space="preserve">sekas </w:t>
      </w:r>
      <w:r w:rsidR="003B6610">
        <w:t>–</w:t>
      </w:r>
      <w:r w:rsidRPr="003D2462">
        <w:t xml:space="preserve"> nepamatot</w:t>
      </w:r>
      <w:r>
        <w:t xml:space="preserve">a </w:t>
      </w:r>
      <w:r w:rsidR="003F7169">
        <w:t>priekšnodokļa atgūšana</w:t>
      </w:r>
      <w:r>
        <w:t xml:space="preserve"> </w:t>
      </w:r>
      <w:r w:rsidR="003B6610">
        <w:t>–</w:t>
      </w:r>
      <w:r w:rsidRPr="003D2462">
        <w:t xml:space="preserve"> iestājās 2013.</w:t>
      </w:r>
      <w:r>
        <w:t> </w:t>
      </w:r>
      <w:r w:rsidRPr="003D2462">
        <w:t>gada 22.</w:t>
      </w:r>
      <w:r>
        <w:t> </w:t>
      </w:r>
      <w:r w:rsidRPr="003D2462">
        <w:t>maijā</w:t>
      </w:r>
      <w:r>
        <w:t>.</w:t>
      </w:r>
    </w:p>
    <w:p w14:paraId="22D82B46" w14:textId="26050880" w:rsidR="00872AAD" w:rsidRDefault="00872AAD" w:rsidP="00EE7E71">
      <w:pPr>
        <w:suppressAutoHyphens w:val="0"/>
        <w:spacing w:line="276" w:lineRule="auto"/>
        <w:ind w:firstLine="720"/>
        <w:jc w:val="both"/>
        <w:rPr>
          <w:color w:val="000000"/>
        </w:rPr>
      </w:pPr>
      <w:r>
        <w:rPr>
          <w:color w:val="000000"/>
        </w:rPr>
        <w:t xml:space="preserve">Senāts vispārīgi piekrīt, ka tiesa, </w:t>
      </w:r>
      <w:r w:rsidRPr="00BF0FC8">
        <w:rPr>
          <w:color w:val="000000"/>
        </w:rPr>
        <w:t>konstatējot</w:t>
      </w:r>
      <w:r>
        <w:rPr>
          <w:color w:val="000000"/>
        </w:rPr>
        <w:t>, ka apsūdzētais noziedzīgās darbības</w:t>
      </w:r>
      <w:r w:rsidR="00AE7821">
        <w:rPr>
          <w:color w:val="000000"/>
        </w:rPr>
        <w:t>, kas atzītas par daļu no turpināta noziedzīga nodarījuma, ir</w:t>
      </w:r>
      <w:r>
        <w:rPr>
          <w:color w:val="000000"/>
        </w:rPr>
        <w:t xml:space="preserve"> turpinājis</w:t>
      </w:r>
      <w:r w:rsidRPr="00BF0FC8">
        <w:rPr>
          <w:color w:val="000000"/>
        </w:rPr>
        <w:t xml:space="preserve"> pēc 2013.</w:t>
      </w:r>
      <w:r>
        <w:rPr>
          <w:color w:val="000000"/>
        </w:rPr>
        <w:t> </w:t>
      </w:r>
      <w:r w:rsidRPr="00BF0FC8">
        <w:rPr>
          <w:color w:val="000000"/>
        </w:rPr>
        <w:t>gada 1.</w:t>
      </w:r>
      <w:r>
        <w:rPr>
          <w:color w:val="000000"/>
        </w:rPr>
        <w:t> </w:t>
      </w:r>
      <w:r w:rsidRPr="003D2462">
        <w:t>aprīļa</w:t>
      </w:r>
      <w:r>
        <w:t xml:space="preserve">, </w:t>
      </w:r>
      <w:r w:rsidRPr="00BF0FC8">
        <w:rPr>
          <w:color w:val="000000"/>
        </w:rPr>
        <w:t>ne</w:t>
      </w:r>
      <w:r>
        <w:rPr>
          <w:color w:val="000000"/>
        </w:rPr>
        <w:t>bija tiesīga</w:t>
      </w:r>
      <w:r w:rsidRPr="00BF0FC8">
        <w:rPr>
          <w:color w:val="000000"/>
        </w:rPr>
        <w:t xml:space="preserve"> noteikt</w:t>
      </w:r>
      <w:r>
        <w:rPr>
          <w:color w:val="000000"/>
        </w:rPr>
        <w:t xml:space="preserve"> sodu</w:t>
      </w:r>
      <w:r w:rsidRPr="00BF0FC8">
        <w:rPr>
          <w:color w:val="000000"/>
        </w:rPr>
        <w:t xml:space="preserve"> pēc</w:t>
      </w:r>
      <w:r>
        <w:rPr>
          <w:color w:val="000000"/>
        </w:rPr>
        <w:t xml:space="preserve"> normas </w:t>
      </w:r>
      <w:r w:rsidRPr="00BF0FC8">
        <w:rPr>
          <w:color w:val="000000"/>
        </w:rPr>
        <w:t>redakcijas, kas bija spēkā līdz 2013.</w:t>
      </w:r>
      <w:r>
        <w:rPr>
          <w:color w:val="000000"/>
        </w:rPr>
        <w:t> </w:t>
      </w:r>
      <w:r w:rsidRPr="00BF0FC8">
        <w:rPr>
          <w:color w:val="000000"/>
        </w:rPr>
        <w:t>gada 31</w:t>
      </w:r>
      <w:r>
        <w:rPr>
          <w:color w:val="000000"/>
        </w:rPr>
        <w:t>. </w:t>
      </w:r>
      <w:r w:rsidRPr="00BF0FC8">
        <w:rPr>
          <w:color w:val="000000"/>
        </w:rPr>
        <w:t>martam.</w:t>
      </w:r>
    </w:p>
    <w:p w14:paraId="7D5BF491" w14:textId="77777777" w:rsidR="00177481" w:rsidRDefault="00872AAD" w:rsidP="00EE7E71">
      <w:pPr>
        <w:suppressAutoHyphens w:val="0"/>
        <w:spacing w:line="276" w:lineRule="auto"/>
        <w:ind w:firstLine="720"/>
        <w:jc w:val="both"/>
        <w:rPr>
          <w:noProof/>
        </w:rPr>
      </w:pPr>
      <w:r>
        <w:rPr>
          <w:color w:val="000000"/>
        </w:rPr>
        <w:t xml:space="preserve">Šāds secinājums izriet no </w:t>
      </w:r>
      <w:r w:rsidRPr="00BF0FC8">
        <w:rPr>
          <w:noProof/>
        </w:rPr>
        <w:t>publisk</w:t>
      </w:r>
      <w:r>
        <w:rPr>
          <w:noProof/>
        </w:rPr>
        <w:t>o</w:t>
      </w:r>
      <w:r w:rsidRPr="00BF0FC8">
        <w:rPr>
          <w:noProof/>
        </w:rPr>
        <w:t xml:space="preserve"> tiesīb</w:t>
      </w:r>
      <w:r>
        <w:rPr>
          <w:noProof/>
        </w:rPr>
        <w:t xml:space="preserve">u </w:t>
      </w:r>
      <w:r w:rsidRPr="00BF0FC8">
        <w:rPr>
          <w:noProof/>
        </w:rPr>
        <w:t>princip</w:t>
      </w:r>
      <w:r>
        <w:rPr>
          <w:noProof/>
        </w:rPr>
        <w:t>a</w:t>
      </w:r>
      <w:r w:rsidRPr="00BF0FC8">
        <w:rPr>
          <w:noProof/>
        </w:rPr>
        <w:t>, ka jauna</w:t>
      </w:r>
      <w:r>
        <w:rPr>
          <w:noProof/>
        </w:rPr>
        <w:t>i</w:t>
      </w:r>
      <w:r w:rsidRPr="00BF0FC8">
        <w:rPr>
          <w:noProof/>
        </w:rPr>
        <w:t xml:space="preserve"> tiesību normai ir tūlītējs spēks</w:t>
      </w:r>
      <w:r>
        <w:rPr>
          <w:noProof/>
        </w:rPr>
        <w:t xml:space="preserve">, kas </w:t>
      </w:r>
      <w:r>
        <w:t>piemērojams</w:t>
      </w:r>
      <w:r>
        <w:rPr>
          <w:noProof/>
        </w:rPr>
        <w:t xml:space="preserve"> arī materiālajās krimināltiesībās.</w:t>
      </w:r>
    </w:p>
    <w:p w14:paraId="29C1DD1A" w14:textId="77777777" w:rsidR="00CB660C" w:rsidRDefault="00872AAD" w:rsidP="00EE7E71">
      <w:pPr>
        <w:suppressAutoHyphens w:val="0"/>
        <w:spacing w:line="276" w:lineRule="auto"/>
        <w:ind w:firstLine="720"/>
        <w:jc w:val="both"/>
        <w:rPr>
          <w:spacing w:val="-3"/>
        </w:rPr>
      </w:pPr>
      <w:r w:rsidRPr="002438D1">
        <w:t>Gadījumos, ja persona nodarījuma</w:t>
      </w:r>
      <w:r w:rsidR="00C05AED">
        <w:t xml:space="preserve"> </w:t>
      </w:r>
      <w:r w:rsidRPr="004141A4">
        <w:t xml:space="preserve">atsevišķas darbības </w:t>
      </w:r>
      <w:r w:rsidR="00C05AED" w:rsidRPr="00DA12DE">
        <w:t>(arī turpināt</w:t>
      </w:r>
      <w:r w:rsidR="00C05AED">
        <w:t>a</w:t>
      </w:r>
      <w:r w:rsidR="00C05AED" w:rsidRPr="00DA12DE">
        <w:t xml:space="preserve"> </w:t>
      </w:r>
      <w:r w:rsidR="00C05AED">
        <w:t>noziedzīga nodarījuma gadījumā</w:t>
      </w:r>
      <w:r w:rsidR="00C05AED" w:rsidRPr="00DA12DE">
        <w:t>)</w:t>
      </w:r>
      <w:r w:rsidR="00C05AED" w:rsidRPr="002438D1">
        <w:t xml:space="preserve"> </w:t>
      </w:r>
      <w:r w:rsidRPr="004141A4">
        <w:t>veikusi iepriekšējā</w:t>
      </w:r>
      <w:r w:rsidRPr="002438D1">
        <w:t xml:space="preserve"> likuma</w:t>
      </w:r>
      <w:r w:rsidRPr="00DA12DE">
        <w:t xml:space="preserve"> redakcijas spēkā esības laikā un turpinājusi tās jaunā </w:t>
      </w:r>
      <w:r>
        <w:t>regulējuma</w:t>
      </w:r>
      <w:r w:rsidRPr="00DA12DE">
        <w:t xml:space="preserve"> spēkā esības laikā,</w:t>
      </w:r>
      <w:r>
        <w:t xml:space="preserve"> krimināltiesībās</w:t>
      </w:r>
      <w:r w:rsidRPr="00DA12DE">
        <w:t xml:space="preserve"> tiek piemērota tā likuma redakcija, kas bija spēkā, kad izdarīta beidzamā no tādām pašām noziedzīgām darbībām.</w:t>
      </w:r>
      <w:r>
        <w:rPr>
          <w:color w:val="000000"/>
        </w:rPr>
        <w:t xml:space="preserve"> </w:t>
      </w:r>
      <w:r w:rsidRPr="003438FF">
        <w:rPr>
          <w:noProof/>
        </w:rPr>
        <w:t>Turklāt šajā gadījumā jaunākā tiesību norma, attiecīgi arī jaunais sods, tiek piemērots neatkarīgi no tā, vai tas ir nelabvēlīgāks nekā iepriekšējais sods (</w:t>
      </w:r>
      <w:r w:rsidRPr="003438FF">
        <w:rPr>
          <w:i/>
          <w:iCs/>
          <w:spacing w:val="-3"/>
        </w:rPr>
        <w:t>Senāta 2006. gada 16. maija sprieduma lietā Nr. </w:t>
      </w:r>
      <w:hyperlink r:id="rId24" w:history="1">
        <w:r w:rsidRPr="00387A6C">
          <w:rPr>
            <w:rStyle w:val="Hyperlink"/>
            <w:i/>
            <w:iCs/>
            <w:spacing w:val="-3"/>
          </w:rPr>
          <w:t>SKA-168</w:t>
        </w:r>
      </w:hyperlink>
      <w:r>
        <w:rPr>
          <w:i/>
          <w:iCs/>
          <w:spacing w:val="-3"/>
        </w:rPr>
        <w:t>,</w:t>
      </w:r>
      <w:r w:rsidRPr="003438FF">
        <w:rPr>
          <w:i/>
          <w:iCs/>
          <w:spacing w:val="-3"/>
        </w:rPr>
        <w:t xml:space="preserve"> 18. punkts</w:t>
      </w:r>
      <w:r w:rsidRPr="003438FF">
        <w:rPr>
          <w:spacing w:val="-3"/>
        </w:rPr>
        <w:t>).</w:t>
      </w:r>
      <w:r w:rsidR="00177481">
        <w:rPr>
          <w:spacing w:val="-3"/>
        </w:rPr>
        <w:t xml:space="preserve"> </w:t>
      </w:r>
      <w:r w:rsidR="00177481" w:rsidRPr="00177481">
        <w:rPr>
          <w:spacing w:val="-3"/>
        </w:rPr>
        <w:t xml:space="preserve">Tādēļ, </w:t>
      </w:r>
      <w:r w:rsidR="006647D7">
        <w:rPr>
          <w:noProof/>
        </w:rPr>
        <w:t>j</w:t>
      </w:r>
      <w:r w:rsidR="006647D7" w:rsidRPr="006647D7">
        <w:rPr>
          <w:noProof/>
        </w:rPr>
        <w:t xml:space="preserve">a </w:t>
      </w:r>
      <w:r w:rsidR="00482919">
        <w:rPr>
          <w:noProof/>
        </w:rPr>
        <w:t xml:space="preserve">izdarīts turpināts </w:t>
      </w:r>
      <w:r w:rsidR="006647D7" w:rsidRPr="006647D7">
        <w:rPr>
          <w:noProof/>
        </w:rPr>
        <w:t xml:space="preserve">noziedzīgs nodarījums, </w:t>
      </w:r>
      <w:r w:rsidR="00482919">
        <w:rPr>
          <w:noProof/>
        </w:rPr>
        <w:t xml:space="preserve">piemērojama tā </w:t>
      </w:r>
      <w:r w:rsidR="006647D7" w:rsidRPr="006647D7">
        <w:rPr>
          <w:noProof/>
        </w:rPr>
        <w:t>Krimināllikuma redakcija, ka</w:t>
      </w:r>
      <w:r w:rsidR="00217B88">
        <w:rPr>
          <w:noProof/>
        </w:rPr>
        <w:t>s bija spēkā, kad</w:t>
      </w:r>
      <w:r w:rsidR="006647D7" w:rsidRPr="006647D7">
        <w:rPr>
          <w:noProof/>
        </w:rPr>
        <w:t xml:space="preserve"> izdarīta pēdējā </w:t>
      </w:r>
      <w:r w:rsidR="006647D7">
        <w:rPr>
          <w:noProof/>
        </w:rPr>
        <w:t xml:space="preserve">ar </w:t>
      </w:r>
      <w:r w:rsidR="006647D7" w:rsidRPr="006647D7">
        <w:rPr>
          <w:noProof/>
        </w:rPr>
        <w:t>vienot</w:t>
      </w:r>
      <w:r w:rsidR="00482919">
        <w:rPr>
          <w:noProof/>
        </w:rPr>
        <w:t>o</w:t>
      </w:r>
      <w:r w:rsidR="006647D7" w:rsidRPr="006647D7">
        <w:rPr>
          <w:noProof/>
        </w:rPr>
        <w:t xml:space="preserve"> nodom</w:t>
      </w:r>
      <w:r w:rsidR="006647D7">
        <w:rPr>
          <w:noProof/>
        </w:rPr>
        <w:t>u</w:t>
      </w:r>
      <w:r w:rsidR="006647D7" w:rsidRPr="006647D7">
        <w:rPr>
          <w:noProof/>
        </w:rPr>
        <w:t xml:space="preserve"> aptvertā darbība, </w:t>
      </w:r>
      <w:r w:rsidR="00482919">
        <w:rPr>
          <w:noProof/>
        </w:rPr>
        <w:t xml:space="preserve">turklāt </w:t>
      </w:r>
      <w:r w:rsidR="006647D7" w:rsidRPr="006647D7">
        <w:rPr>
          <w:noProof/>
        </w:rPr>
        <w:t>arī tad, ja iepriekšējo darbību izdarīšanas laikā bija spēkā vainīgajai personai labvēlīgāks likums</w:t>
      </w:r>
      <w:r w:rsidR="006647D7">
        <w:rPr>
          <w:noProof/>
        </w:rPr>
        <w:t xml:space="preserve"> </w:t>
      </w:r>
      <w:r w:rsidR="00177481" w:rsidRPr="00177481">
        <w:rPr>
          <w:spacing w:val="-3"/>
        </w:rPr>
        <w:t xml:space="preserve">(sk. arī </w:t>
      </w:r>
      <w:r w:rsidR="00177481" w:rsidRPr="00177481">
        <w:rPr>
          <w:i/>
          <w:iCs/>
          <w:spacing w:val="-3"/>
        </w:rPr>
        <w:t>Senāta 2019.</w:t>
      </w:r>
      <w:r w:rsidR="00F765D6">
        <w:rPr>
          <w:i/>
          <w:iCs/>
          <w:spacing w:val="-3"/>
        </w:rPr>
        <w:t> </w:t>
      </w:r>
      <w:r w:rsidR="00177481" w:rsidRPr="00177481">
        <w:rPr>
          <w:i/>
          <w:iCs/>
          <w:spacing w:val="-3"/>
        </w:rPr>
        <w:t>gada 25.</w:t>
      </w:r>
      <w:r w:rsidR="00F765D6">
        <w:rPr>
          <w:i/>
          <w:iCs/>
          <w:spacing w:val="-3"/>
        </w:rPr>
        <w:t> </w:t>
      </w:r>
      <w:r w:rsidR="00177481" w:rsidRPr="00177481">
        <w:rPr>
          <w:i/>
          <w:iCs/>
          <w:spacing w:val="-3"/>
        </w:rPr>
        <w:t>aprīļa lēmuma lietā Nr.</w:t>
      </w:r>
      <w:r w:rsidR="00F765D6">
        <w:rPr>
          <w:i/>
          <w:iCs/>
          <w:spacing w:val="-3"/>
        </w:rPr>
        <w:t> </w:t>
      </w:r>
      <w:r w:rsidR="00177481" w:rsidRPr="00177481">
        <w:rPr>
          <w:i/>
          <w:iCs/>
          <w:spacing w:val="-3"/>
        </w:rPr>
        <w:t xml:space="preserve">SKK-33/2019, </w:t>
      </w:r>
      <w:hyperlink r:id="rId25" w:history="1">
        <w:r w:rsidR="00177481" w:rsidRPr="00177481">
          <w:rPr>
            <w:rStyle w:val="Hyperlink"/>
            <w:i/>
            <w:iCs/>
            <w:shd w:val="clear" w:color="auto" w:fill="FFFFFF"/>
          </w:rPr>
          <w:t>ECLI:LV:AT:2019:0425.12812000713.2.L</w:t>
        </w:r>
      </w:hyperlink>
      <w:r w:rsidR="00177481" w:rsidRPr="00177481">
        <w:rPr>
          <w:i/>
          <w:iCs/>
        </w:rPr>
        <w:t>,</w:t>
      </w:r>
      <w:r w:rsidR="00177481" w:rsidRPr="00177481">
        <w:rPr>
          <w:i/>
          <w:iCs/>
          <w:spacing w:val="-3"/>
        </w:rPr>
        <w:t xml:space="preserve"> 22.</w:t>
      </w:r>
      <w:r w:rsidR="00F765D6">
        <w:rPr>
          <w:i/>
          <w:iCs/>
          <w:spacing w:val="-3"/>
        </w:rPr>
        <w:t> </w:t>
      </w:r>
      <w:r w:rsidR="00177481" w:rsidRPr="00177481">
        <w:rPr>
          <w:i/>
          <w:iCs/>
          <w:spacing w:val="-3"/>
        </w:rPr>
        <w:t>punktu</w:t>
      </w:r>
      <w:r w:rsidR="00177481" w:rsidRPr="00177481">
        <w:rPr>
          <w:spacing w:val="-3"/>
        </w:rPr>
        <w:t>).</w:t>
      </w:r>
    </w:p>
    <w:p w14:paraId="41D5D8FD" w14:textId="77B30488" w:rsidR="00872AAD" w:rsidRDefault="00872AAD" w:rsidP="00EE7E71">
      <w:pPr>
        <w:suppressAutoHyphens w:val="0"/>
        <w:spacing w:line="276" w:lineRule="auto"/>
        <w:ind w:firstLine="720"/>
        <w:jc w:val="both"/>
      </w:pPr>
      <w:r>
        <w:rPr>
          <w:noProof/>
        </w:rPr>
        <w:t>[1</w:t>
      </w:r>
      <w:r w:rsidR="00F676B8">
        <w:rPr>
          <w:noProof/>
        </w:rPr>
        <w:t>2</w:t>
      </w:r>
      <w:r>
        <w:rPr>
          <w:noProof/>
        </w:rPr>
        <w:t>.3] </w:t>
      </w:r>
      <w:r w:rsidRPr="000E49CB">
        <w:rPr>
          <w:noProof/>
        </w:rPr>
        <w:t xml:space="preserve">Senāts konstatē, ka </w:t>
      </w:r>
      <w:r w:rsidR="00AE7821">
        <w:rPr>
          <w:noProof/>
        </w:rPr>
        <w:t xml:space="preserve">kasācijas sūdzībā un protestā ir </w:t>
      </w:r>
      <w:r w:rsidR="00217B88">
        <w:rPr>
          <w:noProof/>
        </w:rPr>
        <w:t>pamatoti</w:t>
      </w:r>
      <w:r w:rsidR="00AE7821">
        <w:rPr>
          <w:noProof/>
        </w:rPr>
        <w:t xml:space="preserve"> norādīts, ka </w:t>
      </w:r>
      <w:r w:rsidRPr="000E49CB">
        <w:rPr>
          <w:noProof/>
        </w:rPr>
        <w:t>apelācijas instances tiesa sprieduma rezolutīvajā daļā</w:t>
      </w:r>
      <w:r>
        <w:rPr>
          <w:noProof/>
        </w:rPr>
        <w:t xml:space="preserve"> atsaukusies uz</w:t>
      </w:r>
      <w:r w:rsidRPr="000E49CB">
        <w:rPr>
          <w:noProof/>
        </w:rPr>
        <w:t xml:space="preserve"> </w:t>
      </w:r>
      <w:r>
        <w:rPr>
          <w:noProof/>
        </w:rPr>
        <w:t xml:space="preserve">Krimināllikuma 177. panta trešās daļas </w:t>
      </w:r>
      <w:r w:rsidRPr="000E49CB">
        <w:rPr>
          <w:noProof/>
        </w:rPr>
        <w:t>redakciju</w:t>
      </w:r>
      <w:r>
        <w:rPr>
          <w:noProof/>
        </w:rPr>
        <w:t>, kas bija spēkā līdz 2013. gada 31. martam</w:t>
      </w:r>
      <w:r>
        <w:t>.</w:t>
      </w:r>
      <w:r>
        <w:rPr>
          <w:noProof/>
        </w:rPr>
        <w:t xml:space="preserve"> T</w:t>
      </w:r>
      <w:r w:rsidRPr="000E49CB">
        <w:rPr>
          <w:noProof/>
        </w:rPr>
        <w:t xml:space="preserve">omēr </w:t>
      </w:r>
      <w:r w:rsidR="00AE7821">
        <w:rPr>
          <w:noProof/>
        </w:rPr>
        <w:t xml:space="preserve">Senāts </w:t>
      </w:r>
      <w:r w:rsidR="00F765D6">
        <w:rPr>
          <w:noProof/>
        </w:rPr>
        <w:t xml:space="preserve">to vērtē kā </w:t>
      </w:r>
      <w:r w:rsidR="00F765D6" w:rsidRPr="000E49CB">
        <w:rPr>
          <w:noProof/>
        </w:rPr>
        <w:t>pārrakstīšanās kļūd</w:t>
      </w:r>
      <w:r w:rsidR="00F765D6">
        <w:rPr>
          <w:noProof/>
        </w:rPr>
        <w:t>u šādu</w:t>
      </w:r>
      <w:r w:rsidR="00AE7821">
        <w:rPr>
          <w:noProof/>
        </w:rPr>
        <w:t xml:space="preserve"> apsvērumu dēļ</w:t>
      </w:r>
      <w:r>
        <w:t>.</w:t>
      </w:r>
    </w:p>
    <w:p w14:paraId="20CC09B9" w14:textId="73033EA3" w:rsidR="00AE7821" w:rsidRDefault="00872AAD" w:rsidP="00EE7E71">
      <w:pPr>
        <w:suppressAutoHyphens w:val="0"/>
        <w:spacing w:line="276" w:lineRule="auto"/>
        <w:ind w:firstLine="720"/>
        <w:jc w:val="both"/>
        <w:rPr>
          <w:color w:val="000000"/>
        </w:rPr>
      </w:pPr>
      <w:r>
        <w:t>S</w:t>
      </w:r>
      <w:r w:rsidRPr="009278DC">
        <w:t xml:space="preserve">prieduma rezolutīvajā daļā tiesa </w:t>
      </w:r>
      <w:r>
        <w:t>atsaukusies uz</w:t>
      </w:r>
      <w:r w:rsidRPr="009278DC">
        <w:t xml:space="preserve"> Krimināllikuma 49.</w:t>
      </w:r>
      <w:r w:rsidRPr="009278DC">
        <w:rPr>
          <w:vertAlign w:val="superscript"/>
        </w:rPr>
        <w:t>1</w:t>
      </w:r>
      <w:r>
        <w:t> </w:t>
      </w:r>
      <w:r w:rsidRPr="009278DC">
        <w:t>panta pirmās daļas 1.</w:t>
      </w:r>
      <w:r>
        <w:t> </w:t>
      </w:r>
      <w:r w:rsidRPr="009278DC">
        <w:t xml:space="preserve">punktu, </w:t>
      </w:r>
      <w:r>
        <w:t xml:space="preserve">kas </w:t>
      </w:r>
      <w:r>
        <w:rPr>
          <w:color w:val="000000"/>
        </w:rPr>
        <w:t>noteic, ka, j</w:t>
      </w:r>
      <w:r w:rsidRPr="00FB0112">
        <w:rPr>
          <w:color w:val="000000"/>
        </w:rPr>
        <w:t>a tiesa konstatē, ka nav ievērotas personas tiesības uz kriminālprocesa pabeigšanu saprātīgā termiņā, tā var</w:t>
      </w:r>
      <w:r>
        <w:rPr>
          <w:color w:val="000000"/>
        </w:rPr>
        <w:t xml:space="preserve"> </w:t>
      </w:r>
      <w:r w:rsidRPr="00FB0112">
        <w:rPr>
          <w:color w:val="000000"/>
        </w:rPr>
        <w:t>šo apstākli ņemt vērā pie soda noteikšanas un sodu mīkstināt</w:t>
      </w:r>
      <w:r>
        <w:rPr>
          <w:color w:val="000000"/>
        </w:rPr>
        <w:t>.</w:t>
      </w:r>
    </w:p>
    <w:p w14:paraId="3D1F1B1D" w14:textId="7F26D019" w:rsidR="00872AAD" w:rsidRDefault="00872AAD" w:rsidP="00EE7E71">
      <w:pPr>
        <w:suppressAutoHyphens w:val="0"/>
        <w:spacing w:line="276" w:lineRule="auto"/>
        <w:ind w:firstLine="720"/>
        <w:jc w:val="both"/>
        <w:rPr>
          <w:color w:val="000000"/>
        </w:rPr>
      </w:pPr>
      <w:r>
        <w:rPr>
          <w:color w:val="000000"/>
        </w:rPr>
        <w:t>Piemērojot šo normu, sods</w:t>
      </w:r>
      <w:r w:rsidR="00217B88">
        <w:rPr>
          <w:color w:val="000000"/>
        </w:rPr>
        <w:t xml:space="preserve"> </w:t>
      </w:r>
      <w:r>
        <w:rPr>
          <w:color w:val="000000"/>
        </w:rPr>
        <w:t>ir mīkstināms, taču nosakāms panta sankcijas robežās.</w:t>
      </w:r>
    </w:p>
    <w:p w14:paraId="182445E9" w14:textId="68E7635C" w:rsidR="00872AAD" w:rsidRDefault="00AE7821" w:rsidP="00EE7E71">
      <w:pPr>
        <w:suppressAutoHyphens w:val="0"/>
        <w:spacing w:line="276" w:lineRule="auto"/>
        <w:ind w:firstLine="720"/>
        <w:jc w:val="both"/>
        <w:rPr>
          <w:color w:val="000000"/>
        </w:rPr>
      </w:pPr>
      <w:r>
        <w:rPr>
          <w:color w:val="000000"/>
        </w:rPr>
        <w:t>T</w:t>
      </w:r>
      <w:r w:rsidR="00872AAD">
        <w:rPr>
          <w:color w:val="000000"/>
        </w:rPr>
        <w:t>iesa note</w:t>
      </w:r>
      <w:r w:rsidR="00217B88">
        <w:rPr>
          <w:color w:val="000000"/>
        </w:rPr>
        <w:t>ica</w:t>
      </w:r>
      <w:r w:rsidR="00872AAD">
        <w:rPr>
          <w:color w:val="000000"/>
        </w:rPr>
        <w:t xml:space="preserve"> brīvības atņemšanu uz 2 gadiem, </w:t>
      </w:r>
      <w:r w:rsidR="00872AAD" w:rsidRPr="000A49D9">
        <w:rPr>
          <w:color w:val="000000"/>
        </w:rPr>
        <w:t xml:space="preserve">kas atbilst </w:t>
      </w:r>
      <w:r w:rsidR="00872AAD">
        <w:rPr>
          <w:color w:val="000000"/>
        </w:rPr>
        <w:t xml:space="preserve">šā soda veida </w:t>
      </w:r>
      <w:r w:rsidR="00872AAD" w:rsidRPr="000A49D9">
        <w:rPr>
          <w:color w:val="000000"/>
        </w:rPr>
        <w:lastRenderedPageBreak/>
        <w:t xml:space="preserve">minimālajam </w:t>
      </w:r>
      <w:r w:rsidR="00872AAD">
        <w:rPr>
          <w:color w:val="000000"/>
        </w:rPr>
        <w:t>mēram</w:t>
      </w:r>
      <w:r w:rsidR="00872AAD" w:rsidRPr="000A49D9">
        <w:rPr>
          <w:color w:val="000000"/>
        </w:rPr>
        <w:t xml:space="preserve"> Krimināllikuma 177. panta trešās daļas redakcijā, kas </w:t>
      </w:r>
      <w:r w:rsidR="00872AAD">
        <w:rPr>
          <w:color w:val="000000"/>
        </w:rPr>
        <w:t xml:space="preserve">bija </w:t>
      </w:r>
      <w:r w:rsidR="00872AAD" w:rsidRPr="000A49D9">
        <w:rPr>
          <w:color w:val="000000"/>
        </w:rPr>
        <w:t>spēkā no 2013. gada 1. aprīļa</w:t>
      </w:r>
      <w:r w:rsidR="005E6AAD">
        <w:rPr>
          <w:color w:val="000000"/>
        </w:rPr>
        <w:t xml:space="preserve">, savukārt, </w:t>
      </w:r>
      <w:r w:rsidR="00095CC9">
        <w:rPr>
          <w:color w:val="000000"/>
        </w:rPr>
        <w:t>piemērojot</w:t>
      </w:r>
      <w:r w:rsidR="005E6AAD">
        <w:rPr>
          <w:color w:val="000000"/>
        </w:rPr>
        <w:t xml:space="preserve"> </w:t>
      </w:r>
      <w:r w:rsidR="005E6AAD" w:rsidRPr="005E6AAD">
        <w:rPr>
          <w:color w:val="000000"/>
        </w:rPr>
        <w:t>iepriekšēj</w:t>
      </w:r>
      <w:r w:rsidR="005E6AAD">
        <w:rPr>
          <w:color w:val="000000"/>
        </w:rPr>
        <w:t>o</w:t>
      </w:r>
      <w:r w:rsidR="005E6AAD" w:rsidRPr="005E6AAD">
        <w:rPr>
          <w:color w:val="000000"/>
        </w:rPr>
        <w:t xml:space="preserve"> redakcij</w:t>
      </w:r>
      <w:r w:rsidR="005E6AAD">
        <w:rPr>
          <w:color w:val="000000"/>
        </w:rPr>
        <w:t xml:space="preserve">u, </w:t>
      </w:r>
      <w:r w:rsidR="005E6AAD" w:rsidRPr="005E6AAD">
        <w:rPr>
          <w:color w:val="000000"/>
        </w:rPr>
        <w:t>sods nevarētu būt mazāks par 5 gadiem</w:t>
      </w:r>
      <w:r w:rsidR="00872AAD" w:rsidRPr="000A49D9">
        <w:rPr>
          <w:color w:val="000000"/>
        </w:rPr>
        <w:t>.</w:t>
      </w:r>
      <w:r>
        <w:rPr>
          <w:color w:val="000000"/>
        </w:rPr>
        <w:t xml:space="preserve"> </w:t>
      </w:r>
      <w:r w:rsidR="000F05D6">
        <w:rPr>
          <w:color w:val="000000"/>
        </w:rPr>
        <w:t xml:space="preserve">Tātad, </w:t>
      </w:r>
      <w:r w:rsidR="000F05D6" w:rsidRPr="000F05D6">
        <w:rPr>
          <w:color w:val="000000"/>
        </w:rPr>
        <w:t xml:space="preserve">vērtējot </w:t>
      </w:r>
      <w:r w:rsidR="000F05D6">
        <w:rPr>
          <w:color w:val="000000"/>
        </w:rPr>
        <w:t xml:space="preserve">tiesas </w:t>
      </w:r>
      <w:r w:rsidR="000F05D6" w:rsidRPr="000F05D6">
        <w:rPr>
          <w:color w:val="000000"/>
        </w:rPr>
        <w:t xml:space="preserve">atsauci </w:t>
      </w:r>
      <w:r w:rsidR="00217B88">
        <w:rPr>
          <w:color w:val="000000"/>
        </w:rPr>
        <w:t xml:space="preserve">rezolutīvajā daļā </w:t>
      </w:r>
      <w:r w:rsidR="000F05D6" w:rsidRPr="000F05D6">
        <w:rPr>
          <w:color w:val="000000"/>
        </w:rPr>
        <w:t>uz Krimināllikuma 49.</w:t>
      </w:r>
      <w:r w:rsidR="000F05D6" w:rsidRPr="000F05D6">
        <w:rPr>
          <w:color w:val="000000"/>
          <w:vertAlign w:val="superscript"/>
        </w:rPr>
        <w:t>1</w:t>
      </w:r>
      <w:r w:rsidR="00F765D6">
        <w:rPr>
          <w:color w:val="000000"/>
        </w:rPr>
        <w:t> </w:t>
      </w:r>
      <w:r w:rsidR="000F05D6" w:rsidRPr="000F05D6">
        <w:rPr>
          <w:color w:val="000000"/>
        </w:rPr>
        <w:t>panta pirmās daļas 1.</w:t>
      </w:r>
      <w:r w:rsidR="00F765D6">
        <w:rPr>
          <w:color w:val="000000"/>
        </w:rPr>
        <w:t> </w:t>
      </w:r>
      <w:r w:rsidR="000F05D6" w:rsidRPr="000F05D6">
        <w:rPr>
          <w:color w:val="000000"/>
        </w:rPr>
        <w:t xml:space="preserve">punktu </w:t>
      </w:r>
      <w:r w:rsidR="00217B88">
        <w:rPr>
          <w:color w:val="000000"/>
        </w:rPr>
        <w:t>kopsakarā ar</w:t>
      </w:r>
      <w:r w:rsidR="000F05D6" w:rsidRPr="000F05D6">
        <w:rPr>
          <w:color w:val="000000"/>
        </w:rPr>
        <w:t xml:space="preserve"> noteikto sodu</w:t>
      </w:r>
      <w:r w:rsidR="000F05D6">
        <w:rPr>
          <w:color w:val="000000"/>
        </w:rPr>
        <w:t xml:space="preserve">, secināms, ka </w:t>
      </w:r>
      <w:r w:rsidR="00872AAD" w:rsidRPr="00CB3086">
        <w:rPr>
          <w:color w:val="000000"/>
        </w:rPr>
        <w:t>tiesa</w:t>
      </w:r>
      <w:r w:rsidR="000F05D6">
        <w:rPr>
          <w:color w:val="000000"/>
        </w:rPr>
        <w:t xml:space="preserve"> </w:t>
      </w:r>
      <w:r w:rsidR="00872AAD" w:rsidRPr="00CB3086">
        <w:rPr>
          <w:color w:val="000000"/>
        </w:rPr>
        <w:t>faktiski piemēroj</w:t>
      </w:r>
      <w:r w:rsidR="00217B88">
        <w:rPr>
          <w:color w:val="000000"/>
        </w:rPr>
        <w:t>a</w:t>
      </w:r>
      <w:r w:rsidR="00872AAD" w:rsidRPr="00CB3086">
        <w:rPr>
          <w:color w:val="000000"/>
        </w:rPr>
        <w:t xml:space="preserve"> </w:t>
      </w:r>
      <w:r w:rsidR="00217B88">
        <w:rPr>
          <w:color w:val="000000"/>
        </w:rPr>
        <w:t xml:space="preserve">to </w:t>
      </w:r>
      <w:r w:rsidR="00872AAD">
        <w:rPr>
          <w:color w:val="000000"/>
        </w:rPr>
        <w:t>nor</w:t>
      </w:r>
      <w:r w:rsidR="000F05D6">
        <w:rPr>
          <w:color w:val="000000"/>
        </w:rPr>
        <w:t>mas redakciju</w:t>
      </w:r>
      <w:r w:rsidR="00872AAD" w:rsidRPr="00CB3086">
        <w:rPr>
          <w:color w:val="000000"/>
        </w:rPr>
        <w:t xml:space="preserve">, </w:t>
      </w:r>
      <w:r w:rsidR="00872AAD">
        <w:rPr>
          <w:color w:val="000000"/>
        </w:rPr>
        <w:t>kas bija spēkā pēdējās noziedzīgās darbības izdarīšanas laikā</w:t>
      </w:r>
      <w:r w:rsidR="0002407D">
        <w:rPr>
          <w:color w:val="000000"/>
        </w:rPr>
        <w:t>.</w:t>
      </w:r>
    </w:p>
    <w:p w14:paraId="717EB2C9" w14:textId="60883934" w:rsidR="00EE1221" w:rsidRDefault="00EE1221" w:rsidP="00EE7E71">
      <w:pPr>
        <w:suppressAutoHyphens w:val="0"/>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Pr="00276051">
        <w:rPr>
          <w:rFonts w:asciiTheme="majorBidi" w:hAnsiTheme="majorBidi" w:cstheme="majorBidi"/>
          <w:color w:val="000000"/>
        </w:rPr>
        <w:t>ārrakstīšanās kļūda var būt pieļauta arī tiesas nolēmuma rezolutīvajā daļā</w:t>
      </w:r>
      <w:r>
        <w:rPr>
          <w:rFonts w:asciiTheme="majorBidi" w:hAnsiTheme="majorBidi" w:cstheme="majorBidi"/>
          <w:color w:val="000000"/>
        </w:rPr>
        <w:t>, jo</w:t>
      </w:r>
      <w:r w:rsidRPr="00276051">
        <w:rPr>
          <w:rFonts w:asciiTheme="majorBidi" w:hAnsiTheme="majorBidi" w:cstheme="majorBidi"/>
          <w:color w:val="000000"/>
        </w:rPr>
        <w:t xml:space="preserve"> Kriminālprocesa likuma 474.</w:t>
      </w:r>
      <w:r>
        <w:rPr>
          <w:rFonts w:asciiTheme="majorBidi" w:hAnsiTheme="majorBidi" w:cstheme="majorBidi"/>
          <w:color w:val="000000"/>
        </w:rPr>
        <w:t> </w:t>
      </w:r>
      <w:r w:rsidRPr="00276051">
        <w:rPr>
          <w:rFonts w:asciiTheme="majorBidi" w:hAnsiTheme="majorBidi" w:cstheme="majorBidi"/>
          <w:color w:val="000000"/>
        </w:rPr>
        <w:t>pants, kas reglamentē pārrakstīšanās un matemātiskā aprēķina kļūdu labošanu, nenosaka, kurā nolēmuma daļā šādas kļūdas var tikt konstatētas. Tādēļ t</w:t>
      </w:r>
      <w:r>
        <w:rPr>
          <w:rFonts w:asciiTheme="majorBidi" w:hAnsiTheme="majorBidi" w:cstheme="majorBidi"/>
          <w:color w:val="000000"/>
        </w:rPr>
        <w:t>o</w:t>
      </w:r>
      <w:r w:rsidRPr="00276051">
        <w:rPr>
          <w:rFonts w:asciiTheme="majorBidi" w:hAnsiTheme="majorBidi" w:cstheme="majorBidi"/>
          <w:color w:val="000000"/>
        </w:rPr>
        <w:t xml:space="preserve">, vai nolēmumā pieļauta pārrakstīšanās kļūda, </w:t>
      </w:r>
      <w:r w:rsidR="00482919">
        <w:rPr>
          <w:rFonts w:asciiTheme="majorBidi" w:hAnsiTheme="majorBidi" w:cstheme="majorBidi"/>
          <w:color w:val="000000"/>
        </w:rPr>
        <w:t>ir jā</w:t>
      </w:r>
      <w:r w:rsidRPr="00276051">
        <w:rPr>
          <w:rFonts w:asciiTheme="majorBidi" w:hAnsiTheme="majorBidi" w:cstheme="majorBidi"/>
          <w:color w:val="000000"/>
        </w:rPr>
        <w:t>nosak</w:t>
      </w:r>
      <w:r>
        <w:rPr>
          <w:rFonts w:asciiTheme="majorBidi" w:hAnsiTheme="majorBidi" w:cstheme="majorBidi"/>
          <w:color w:val="000000"/>
        </w:rPr>
        <w:t>a</w:t>
      </w:r>
      <w:r w:rsidRPr="00276051">
        <w:rPr>
          <w:rFonts w:asciiTheme="majorBidi" w:hAnsiTheme="majorBidi" w:cstheme="majorBidi"/>
          <w:color w:val="000000"/>
        </w:rPr>
        <w:t>, novērtējot nepilnības raksturu kopsakarā ar nolēmuma saturu</w:t>
      </w:r>
      <w:r>
        <w:rPr>
          <w:rFonts w:asciiTheme="majorBidi" w:hAnsiTheme="majorBidi" w:cstheme="majorBidi"/>
          <w:color w:val="000000"/>
        </w:rPr>
        <w:t xml:space="preserve"> kopumā</w:t>
      </w:r>
      <w:r w:rsidRPr="00276051">
        <w:rPr>
          <w:rFonts w:asciiTheme="majorBidi" w:hAnsiTheme="majorBidi" w:cstheme="majorBidi"/>
          <w:color w:val="000000"/>
        </w:rPr>
        <w:t>.</w:t>
      </w:r>
    </w:p>
    <w:p w14:paraId="298F6C17" w14:textId="2CBD243A" w:rsidR="000F05D6" w:rsidRDefault="00EE1221" w:rsidP="00EE7E71">
      <w:pPr>
        <w:suppressAutoHyphens w:val="0"/>
        <w:spacing w:line="276" w:lineRule="auto"/>
        <w:ind w:firstLine="720"/>
        <w:jc w:val="both"/>
        <w:rPr>
          <w:rFonts w:asciiTheme="majorBidi" w:hAnsiTheme="majorBidi" w:cstheme="majorBidi"/>
          <w:color w:val="000000"/>
        </w:rPr>
      </w:pPr>
      <w:r w:rsidRPr="00276051">
        <w:rPr>
          <w:rFonts w:asciiTheme="majorBidi" w:hAnsiTheme="majorBidi" w:cstheme="majorBidi"/>
          <w:color w:val="000000"/>
        </w:rPr>
        <w:t xml:space="preserve">Minēto atziņu apstiprina arī </w:t>
      </w:r>
      <w:r w:rsidR="000F05D6">
        <w:rPr>
          <w:rFonts w:asciiTheme="majorBidi" w:hAnsiTheme="majorBidi" w:cstheme="majorBidi"/>
          <w:color w:val="000000"/>
        </w:rPr>
        <w:t xml:space="preserve">Senāta </w:t>
      </w:r>
      <w:r w:rsidR="008556C7">
        <w:rPr>
          <w:rFonts w:asciiTheme="majorBidi" w:hAnsiTheme="majorBidi" w:cstheme="majorBidi"/>
          <w:color w:val="000000"/>
        </w:rPr>
        <w:t xml:space="preserve">līdzšinējā </w:t>
      </w:r>
      <w:r w:rsidR="000F05D6">
        <w:rPr>
          <w:rFonts w:asciiTheme="majorBidi" w:hAnsiTheme="majorBidi" w:cstheme="majorBidi"/>
          <w:color w:val="000000"/>
        </w:rPr>
        <w:t>judikatūra</w:t>
      </w:r>
      <w:r w:rsidRPr="00276051">
        <w:rPr>
          <w:rFonts w:asciiTheme="majorBidi" w:hAnsiTheme="majorBidi" w:cstheme="majorBidi"/>
          <w:color w:val="000000"/>
        </w:rPr>
        <w:t>.</w:t>
      </w:r>
    </w:p>
    <w:p w14:paraId="3CCEC548" w14:textId="4CB5749F" w:rsidR="00872AAD" w:rsidRDefault="00872AAD" w:rsidP="00EE7E71">
      <w:pPr>
        <w:suppressAutoHyphens w:val="0"/>
        <w:spacing w:line="276" w:lineRule="auto"/>
        <w:ind w:firstLine="720"/>
        <w:jc w:val="both"/>
      </w:pPr>
      <w:r>
        <w:rPr>
          <w:rFonts w:asciiTheme="majorBidi" w:hAnsiTheme="majorBidi" w:cstheme="majorBidi"/>
          <w:color w:val="000000"/>
        </w:rPr>
        <w:t>Piemēram</w:t>
      </w:r>
      <w:r w:rsidR="008556C7">
        <w:rPr>
          <w:rFonts w:asciiTheme="majorBidi" w:hAnsiTheme="majorBidi" w:cstheme="majorBidi"/>
          <w:color w:val="000000"/>
        </w:rPr>
        <w:t>,</w:t>
      </w:r>
      <w:r w:rsidR="008556C7" w:rsidRPr="009A141E">
        <w:t xml:space="preserve"> par pārrakstīšanās kļūdas labošanu</w:t>
      </w:r>
      <w:r>
        <w:rPr>
          <w:rFonts w:asciiTheme="majorBidi" w:hAnsiTheme="majorBidi" w:cstheme="majorBidi"/>
          <w:color w:val="000000"/>
        </w:rPr>
        <w:t xml:space="preserve"> </w:t>
      </w:r>
      <w:r w:rsidR="008556C7">
        <w:rPr>
          <w:rFonts w:asciiTheme="majorBidi" w:hAnsiTheme="majorBidi" w:cstheme="majorBidi"/>
          <w:color w:val="000000"/>
        </w:rPr>
        <w:t xml:space="preserve">atzīta </w:t>
      </w:r>
      <w:r w:rsidRPr="009A141E">
        <w:t xml:space="preserve">kredītiestādes (finanšu iestādes) konta numura, kurā ieskaitāma kaitējuma kompensācija, labošana sprieduma rezolutīvajā daļā </w:t>
      </w:r>
      <w:r>
        <w:rPr>
          <w:rFonts w:asciiTheme="majorBidi" w:hAnsiTheme="majorBidi" w:cstheme="majorBidi"/>
          <w:color w:val="000000"/>
        </w:rPr>
        <w:t>(</w:t>
      </w:r>
      <w:r>
        <w:rPr>
          <w:i/>
          <w:iCs/>
        </w:rPr>
        <w:t>S</w:t>
      </w:r>
      <w:r w:rsidRPr="001A2621">
        <w:rPr>
          <w:i/>
          <w:iCs/>
        </w:rPr>
        <w:t>enator</w:t>
      </w:r>
      <w:r>
        <w:rPr>
          <w:i/>
          <w:iCs/>
        </w:rPr>
        <w:t>a</w:t>
      </w:r>
      <w:r w:rsidRPr="001A2621">
        <w:rPr>
          <w:rFonts w:asciiTheme="majorBidi" w:hAnsiTheme="majorBidi" w:cstheme="majorBidi"/>
          <w:i/>
          <w:iCs/>
          <w:color w:val="000000"/>
        </w:rPr>
        <w:t xml:space="preserve"> </w:t>
      </w:r>
      <w:r w:rsidRPr="001A2621">
        <w:rPr>
          <w:i/>
          <w:iCs/>
        </w:rPr>
        <w:t>2025. gada 20. februāra</w:t>
      </w:r>
      <w:r w:rsidRPr="001A2621">
        <w:rPr>
          <w:rFonts w:asciiTheme="majorBidi" w:hAnsiTheme="majorBidi" w:cstheme="majorBidi"/>
          <w:i/>
          <w:iCs/>
          <w:color w:val="000000"/>
        </w:rPr>
        <w:t xml:space="preserve"> lēmum</w:t>
      </w:r>
      <w:r>
        <w:rPr>
          <w:rFonts w:asciiTheme="majorBidi" w:hAnsiTheme="majorBidi" w:cstheme="majorBidi"/>
          <w:i/>
          <w:iCs/>
          <w:color w:val="000000"/>
        </w:rPr>
        <w:t>s</w:t>
      </w:r>
      <w:r w:rsidRPr="001A2621">
        <w:rPr>
          <w:rFonts w:asciiTheme="majorBidi" w:hAnsiTheme="majorBidi" w:cstheme="majorBidi"/>
          <w:i/>
          <w:iCs/>
          <w:color w:val="000000"/>
        </w:rPr>
        <w:t xml:space="preserve"> </w:t>
      </w:r>
      <w:r w:rsidRPr="001A2621">
        <w:rPr>
          <w:i/>
          <w:iCs/>
        </w:rPr>
        <w:t>lietā Nr.  SKK</w:t>
      </w:r>
      <w:r w:rsidR="004141A4">
        <w:rPr>
          <w:i/>
          <w:iCs/>
        </w:rPr>
        <w:noBreakHyphen/>
      </w:r>
      <w:r w:rsidRPr="001A2621">
        <w:rPr>
          <w:i/>
          <w:iCs/>
        </w:rPr>
        <w:t xml:space="preserve">198/2025, </w:t>
      </w:r>
      <w:hyperlink r:id="rId26" w:history="1">
        <w:r w:rsidRPr="001A2621">
          <w:rPr>
            <w:rStyle w:val="Hyperlink"/>
            <w:i/>
            <w:iCs/>
          </w:rPr>
          <w:t>ECLI:LV:AT:2025:0220.11816012915.12.L</w:t>
        </w:r>
      </w:hyperlink>
      <w:r>
        <w:t>).</w:t>
      </w:r>
    </w:p>
    <w:p w14:paraId="171D8F48" w14:textId="69AB9BAC" w:rsidR="0002407D" w:rsidRDefault="0002407D" w:rsidP="00EE7E71">
      <w:pPr>
        <w:suppressAutoHyphens w:val="0"/>
        <w:spacing w:line="276" w:lineRule="auto"/>
        <w:ind w:firstLine="720"/>
        <w:jc w:val="both"/>
        <w:rPr>
          <w:rFonts w:asciiTheme="majorBidi" w:hAnsiTheme="majorBidi" w:cstheme="majorBidi"/>
          <w:color w:val="000000"/>
        </w:rPr>
      </w:pPr>
      <w:r>
        <w:t xml:space="preserve">Rezumējot minēto, </w:t>
      </w:r>
      <w:r>
        <w:rPr>
          <w:color w:val="000000"/>
        </w:rPr>
        <w:t>Senāts atzīst, ka apelācijas instances tiesa</w:t>
      </w:r>
      <w:r w:rsidRPr="00CB3086">
        <w:rPr>
          <w:color w:val="000000"/>
        </w:rPr>
        <w:t xml:space="preserve"> nav pieļāvusi Krimināllikuma 5.</w:t>
      </w:r>
      <w:r>
        <w:rPr>
          <w:color w:val="000000"/>
        </w:rPr>
        <w:t> </w:t>
      </w:r>
      <w:r w:rsidRPr="00CB3086">
        <w:rPr>
          <w:color w:val="000000"/>
        </w:rPr>
        <w:t xml:space="preserve">panta </w:t>
      </w:r>
      <w:r>
        <w:rPr>
          <w:color w:val="000000"/>
        </w:rPr>
        <w:t xml:space="preserve">pirmās </w:t>
      </w:r>
      <w:r w:rsidRPr="00CB3086">
        <w:rPr>
          <w:color w:val="000000"/>
        </w:rPr>
        <w:t>daļas pārkāpumu</w:t>
      </w:r>
      <w:r>
        <w:rPr>
          <w:color w:val="000000"/>
        </w:rPr>
        <w:t>.</w:t>
      </w:r>
    </w:p>
    <w:p w14:paraId="63734075" w14:textId="31F6078C" w:rsidR="00872AAD" w:rsidRPr="00606342" w:rsidRDefault="00872AAD" w:rsidP="00EE7E71">
      <w:pPr>
        <w:suppressAutoHyphens w:val="0"/>
        <w:spacing w:line="276" w:lineRule="auto"/>
        <w:ind w:firstLine="720"/>
        <w:jc w:val="both"/>
        <w:rPr>
          <w:color w:val="000000"/>
        </w:rPr>
      </w:pPr>
      <w:r>
        <w:rPr>
          <w:color w:val="000000"/>
        </w:rPr>
        <w:t>[1</w:t>
      </w:r>
      <w:r w:rsidR="00F676B8">
        <w:rPr>
          <w:color w:val="000000"/>
        </w:rPr>
        <w:t>2</w:t>
      </w:r>
      <w:r>
        <w:rPr>
          <w:color w:val="000000"/>
        </w:rPr>
        <w:t>.</w:t>
      </w:r>
      <w:r w:rsidR="0002407D">
        <w:rPr>
          <w:color w:val="000000"/>
        </w:rPr>
        <w:t>4</w:t>
      </w:r>
      <w:r>
        <w:rPr>
          <w:color w:val="000000"/>
        </w:rPr>
        <w:t>] </w:t>
      </w:r>
      <w:r w:rsidR="00EE1221">
        <w:rPr>
          <w:color w:val="000000"/>
        </w:rPr>
        <w:t>P</w:t>
      </w:r>
      <w:r w:rsidRPr="00606342">
        <w:rPr>
          <w:color w:val="000000"/>
        </w:rPr>
        <w:t>ēc</w:t>
      </w:r>
      <w:r>
        <w:rPr>
          <w:color w:val="000000"/>
        </w:rPr>
        <w:t xml:space="preserve"> apsūdzētajam inkriminētās </w:t>
      </w:r>
      <w:r w:rsidR="0002407D">
        <w:rPr>
          <w:color w:val="000000"/>
        </w:rPr>
        <w:t xml:space="preserve">pēdējās </w:t>
      </w:r>
      <w:r>
        <w:rPr>
          <w:color w:val="000000"/>
        </w:rPr>
        <w:t xml:space="preserve">noziedzīgās darbības izdarīšanas, proti, pēc </w:t>
      </w:r>
      <w:r w:rsidRPr="00606342">
        <w:rPr>
          <w:color w:val="000000"/>
        </w:rPr>
        <w:t>2013.</w:t>
      </w:r>
      <w:r>
        <w:rPr>
          <w:color w:val="000000"/>
        </w:rPr>
        <w:t> </w:t>
      </w:r>
      <w:r w:rsidRPr="00606342">
        <w:rPr>
          <w:color w:val="000000"/>
        </w:rPr>
        <w:t>gada 22.</w:t>
      </w:r>
      <w:r>
        <w:rPr>
          <w:color w:val="000000"/>
        </w:rPr>
        <w:t> aprīļa,</w:t>
      </w:r>
      <w:r w:rsidRPr="00606342">
        <w:rPr>
          <w:color w:val="000000"/>
        </w:rPr>
        <w:t xml:space="preserve"> Krimināllikuma 177.</w:t>
      </w:r>
      <w:r>
        <w:rPr>
          <w:color w:val="000000"/>
        </w:rPr>
        <w:t> </w:t>
      </w:r>
      <w:r w:rsidRPr="00606342">
        <w:rPr>
          <w:color w:val="000000"/>
        </w:rPr>
        <w:t xml:space="preserve">panta trešās daļas sankcijā paredzētā brīvības atņemšanas soda minimālā un maksimālā robeža </w:t>
      </w:r>
      <w:r w:rsidR="0002407D">
        <w:rPr>
          <w:color w:val="000000"/>
        </w:rPr>
        <w:t xml:space="preserve">līdz apelācijas instances tiesas nolēmuma taisīšanai </w:t>
      </w:r>
      <w:r w:rsidRPr="00606342">
        <w:rPr>
          <w:color w:val="000000"/>
        </w:rPr>
        <w:t>n</w:t>
      </w:r>
      <w:r w:rsidR="0002407D">
        <w:rPr>
          <w:color w:val="000000"/>
        </w:rPr>
        <w:t>etika</w:t>
      </w:r>
      <w:r w:rsidRPr="00606342">
        <w:rPr>
          <w:color w:val="000000"/>
        </w:rPr>
        <w:t xml:space="preserve"> mainīta</w:t>
      </w:r>
      <w:r>
        <w:rPr>
          <w:color w:val="000000"/>
        </w:rPr>
        <w:t>. Līdz ar to</w:t>
      </w:r>
      <w:r w:rsidRPr="00606342">
        <w:rPr>
          <w:color w:val="000000"/>
        </w:rPr>
        <w:t xml:space="preserve"> apelācijas instances tiesai nebija pamata </w:t>
      </w:r>
      <w:r w:rsidR="0002407D">
        <w:rPr>
          <w:color w:val="000000"/>
        </w:rPr>
        <w:t xml:space="preserve">lemt jautājumu par </w:t>
      </w:r>
      <w:r w:rsidRPr="00606342">
        <w:rPr>
          <w:color w:val="000000"/>
        </w:rPr>
        <w:t>labvēlīgāka likuma atpakaļejošu spēk</w:t>
      </w:r>
      <w:r w:rsidR="0002407D">
        <w:rPr>
          <w:color w:val="000000"/>
        </w:rPr>
        <w:t>u</w:t>
      </w:r>
      <w:bookmarkEnd w:id="29"/>
      <w:r>
        <w:rPr>
          <w:color w:val="000000"/>
        </w:rPr>
        <w:t>.</w:t>
      </w:r>
      <w:r w:rsidR="0002407D">
        <w:rPr>
          <w:color w:val="000000"/>
        </w:rPr>
        <w:t xml:space="preserve"> Tādēļ Senāts atzīst, ka apelācijas instances tiesa</w:t>
      </w:r>
      <w:r w:rsidR="0002407D" w:rsidRPr="00CB3086">
        <w:rPr>
          <w:color w:val="000000"/>
        </w:rPr>
        <w:t xml:space="preserve"> nav pieļāvusi </w:t>
      </w:r>
      <w:r w:rsidR="0002407D">
        <w:rPr>
          <w:color w:val="000000"/>
        </w:rPr>
        <w:t xml:space="preserve">arī </w:t>
      </w:r>
      <w:r w:rsidR="0002407D" w:rsidRPr="00CB3086">
        <w:rPr>
          <w:color w:val="000000"/>
        </w:rPr>
        <w:t>Krimināllikuma 5.</w:t>
      </w:r>
      <w:r w:rsidR="0002407D">
        <w:rPr>
          <w:color w:val="000000"/>
        </w:rPr>
        <w:t> </w:t>
      </w:r>
      <w:r w:rsidR="0002407D" w:rsidRPr="00CB3086">
        <w:rPr>
          <w:color w:val="000000"/>
        </w:rPr>
        <w:t xml:space="preserve">panta </w:t>
      </w:r>
      <w:r w:rsidR="0002407D">
        <w:rPr>
          <w:color w:val="000000"/>
        </w:rPr>
        <w:t xml:space="preserve">otrās </w:t>
      </w:r>
      <w:r w:rsidR="0002407D" w:rsidRPr="00CB3086">
        <w:rPr>
          <w:color w:val="000000"/>
        </w:rPr>
        <w:t>daļas pārkāpumu</w:t>
      </w:r>
      <w:r w:rsidR="0002407D">
        <w:rPr>
          <w:color w:val="000000"/>
        </w:rPr>
        <w:t>.</w:t>
      </w:r>
    </w:p>
    <w:p w14:paraId="185C7694" w14:textId="5993BC8D" w:rsidR="009F20FA" w:rsidRDefault="00872AAD" w:rsidP="00EE7E71">
      <w:pPr>
        <w:suppressAutoHyphens w:val="0"/>
        <w:spacing w:line="276" w:lineRule="auto"/>
        <w:ind w:firstLine="720"/>
        <w:jc w:val="both"/>
      </w:pPr>
      <w:r w:rsidRPr="00E449EF">
        <w:t>[1</w:t>
      </w:r>
      <w:r w:rsidR="00F676B8">
        <w:t>2</w:t>
      </w:r>
      <w:r w:rsidRPr="00E449EF">
        <w:t>.</w:t>
      </w:r>
      <w:r w:rsidR="0002407D">
        <w:t>5</w:t>
      </w:r>
      <w:r w:rsidRPr="00E449EF">
        <w:t>]</w:t>
      </w:r>
      <w:r w:rsidR="004A1B5D">
        <w:t> </w:t>
      </w:r>
      <w:r w:rsidRPr="00E449EF">
        <w:t>Senāts</w:t>
      </w:r>
      <w:r w:rsidR="009F20FA">
        <w:t xml:space="preserve"> </w:t>
      </w:r>
      <w:r w:rsidRPr="00E449EF">
        <w:t xml:space="preserve">atzīst par nepieciešamu </w:t>
      </w:r>
      <w:proofErr w:type="spellStart"/>
      <w:r w:rsidRPr="009A3A26">
        <w:rPr>
          <w:i/>
          <w:iCs/>
        </w:rPr>
        <w:t>obiter</w:t>
      </w:r>
      <w:proofErr w:type="spellEnd"/>
      <w:r w:rsidRPr="009A3A26">
        <w:rPr>
          <w:i/>
          <w:iCs/>
        </w:rPr>
        <w:t xml:space="preserve"> </w:t>
      </w:r>
      <w:proofErr w:type="spellStart"/>
      <w:r w:rsidRPr="009A3A26">
        <w:rPr>
          <w:i/>
          <w:iCs/>
        </w:rPr>
        <w:t>dictum</w:t>
      </w:r>
      <w:proofErr w:type="spellEnd"/>
      <w:r>
        <w:t xml:space="preserve"> formā </w:t>
      </w:r>
      <w:r w:rsidR="004A1B5D">
        <w:t xml:space="preserve">papildus </w:t>
      </w:r>
      <w:r w:rsidR="0002407D">
        <w:t>vērst uzmanību</w:t>
      </w:r>
      <w:r w:rsidR="009F20FA">
        <w:t xml:space="preserve"> uz to</w:t>
      </w:r>
      <w:r>
        <w:t xml:space="preserve">, ka </w:t>
      </w:r>
      <w:r w:rsidRPr="00E449EF">
        <w:t xml:space="preserve">kasācijas protestā </w:t>
      </w:r>
      <w:r>
        <w:t>pausta</w:t>
      </w:r>
      <w:r w:rsidR="006647D7">
        <w:t>is</w:t>
      </w:r>
      <w:r w:rsidRPr="00E449EF">
        <w:t xml:space="preserve"> viedokli</w:t>
      </w:r>
      <w:r w:rsidR="006647D7">
        <w:t>s</w:t>
      </w:r>
      <w:r w:rsidRPr="00E449EF">
        <w:t>, ka piemērojama</w:t>
      </w:r>
      <w:r w:rsidR="001D418E">
        <w:t>is</w:t>
      </w:r>
      <w:r w:rsidRPr="00E449EF">
        <w:t xml:space="preserve"> likums nosakāms pēc noziedzīgā nodarījuma pabeigšanas laika</w:t>
      </w:r>
      <w:r w:rsidR="002126D8">
        <w:t xml:space="preserve">, proti, </w:t>
      </w:r>
      <w:r w:rsidR="0002407D">
        <w:t xml:space="preserve">izskatāmajā gadījumā </w:t>
      </w:r>
      <w:r w:rsidR="002126D8">
        <w:t xml:space="preserve">atbilstoši redakcijai, kas bija spēkā </w:t>
      </w:r>
      <w:r w:rsidR="0002407D">
        <w:t>2013. gada 22. maij</w:t>
      </w:r>
      <w:r w:rsidR="002126D8">
        <w:t>ā</w:t>
      </w:r>
      <w:r w:rsidR="0002407D">
        <w:t>, kad</w:t>
      </w:r>
      <w:r>
        <w:t xml:space="preserve"> </w:t>
      </w:r>
      <w:r w:rsidRPr="00DD6D70">
        <w:t>AS</w:t>
      </w:r>
      <w:r>
        <w:t> </w:t>
      </w:r>
      <w:r w:rsidRPr="00DD6D70">
        <w:t>„</w:t>
      </w:r>
      <w:r w:rsidR="0088482E">
        <w:t>[Nosaukums A]</w:t>
      </w:r>
      <w:r w:rsidRPr="00DD6D70">
        <w:t xml:space="preserve">” </w:t>
      </w:r>
      <w:r w:rsidR="00217B88">
        <w:t xml:space="preserve">nepamatoti </w:t>
      </w:r>
      <w:r>
        <w:t xml:space="preserve">saņēma </w:t>
      </w:r>
      <w:r w:rsidRPr="00E449EF">
        <w:t>pēdēj</w:t>
      </w:r>
      <w:r>
        <w:t>o</w:t>
      </w:r>
      <w:r w:rsidR="002126D8">
        <w:t xml:space="preserve"> </w:t>
      </w:r>
      <w:r w:rsidR="00217B88">
        <w:t>p</w:t>
      </w:r>
      <w:r w:rsidR="002126D8">
        <w:t>riekšnodokļa atmaksu,</w:t>
      </w:r>
      <w:r w:rsidR="0002407D">
        <w:t xml:space="preserve"> </w:t>
      </w:r>
      <w:r w:rsidR="002126D8">
        <w:t>nav pareizs</w:t>
      </w:r>
      <w:r w:rsidR="0002407D">
        <w:t>.</w:t>
      </w:r>
    </w:p>
    <w:p w14:paraId="5A7C15BA" w14:textId="61A18478" w:rsidR="001D418E" w:rsidRDefault="009F20FA" w:rsidP="00EE7E71">
      <w:pPr>
        <w:suppressAutoHyphens w:val="0"/>
        <w:spacing w:line="276" w:lineRule="auto"/>
        <w:ind w:firstLine="720"/>
        <w:jc w:val="both"/>
      </w:pPr>
      <w:r>
        <w:t>Lai gan</w:t>
      </w:r>
      <w:r w:rsidRPr="009F20FA">
        <w:t xml:space="preserve"> </w:t>
      </w:r>
      <w:r w:rsidR="00B45DF2">
        <w:t xml:space="preserve">izskatāmajā lietā </w:t>
      </w:r>
      <w:r w:rsidRPr="009F20FA">
        <w:t>secinājumu</w:t>
      </w:r>
      <w:r>
        <w:t xml:space="preserve"> par piemērojamo likuma redakciju</w:t>
      </w:r>
      <w:r w:rsidR="00B45DF2">
        <w:t xml:space="preserve"> neietekmē tas, vai </w:t>
      </w:r>
      <w:r w:rsidR="001D418E">
        <w:t xml:space="preserve">šis </w:t>
      </w:r>
      <w:r w:rsidRPr="009F20FA">
        <w:t>likums ti</w:t>
      </w:r>
      <w:r w:rsidR="00B45DF2">
        <w:t>ek</w:t>
      </w:r>
      <w:r w:rsidRPr="009F20FA">
        <w:t xml:space="preserve"> noteikts pēc </w:t>
      </w:r>
      <w:r w:rsidR="00B45DF2">
        <w:t xml:space="preserve">nodarījuma vai </w:t>
      </w:r>
      <w:r w:rsidRPr="009F20FA">
        <w:t>kaitīgo seku iestāšanās brīža</w:t>
      </w:r>
      <w:r w:rsidR="001D418E">
        <w:t>, jo</w:t>
      </w:r>
      <w:r w:rsidR="00B45DF2">
        <w:t xml:space="preserve"> abos gadījumos būtu </w:t>
      </w:r>
      <w:r>
        <w:t>jāpiemēro</w:t>
      </w:r>
      <w:r w:rsidRPr="009F20FA">
        <w:t xml:space="preserve"> Krimināllikuma 177.</w:t>
      </w:r>
      <w:r w:rsidR="004A1B5D">
        <w:t> </w:t>
      </w:r>
      <w:r w:rsidRPr="009F20FA">
        <w:t>panta trešās daļas redakcija</w:t>
      </w:r>
      <w:r>
        <w:t xml:space="preserve">, kas stājās spēkā 2013. gada 1. aprīlī, </w:t>
      </w:r>
      <w:r w:rsidRPr="009F20FA">
        <w:t xml:space="preserve">Senāts, ņemot vērā </w:t>
      </w:r>
      <w:r w:rsidR="001D418E">
        <w:t xml:space="preserve">šī </w:t>
      </w:r>
      <w:r w:rsidRPr="009F20FA">
        <w:t>jautājuma praktisko nozīmi, uzskata par nepieciešamu izskaidrot</w:t>
      </w:r>
      <w:r w:rsidR="00B45DF2">
        <w:t xml:space="preserve"> kasācijas protestā izteiktā viedokļa nepareizību</w:t>
      </w:r>
      <w:r w:rsidRPr="009F20FA">
        <w:t>.</w:t>
      </w:r>
    </w:p>
    <w:p w14:paraId="5D42434D" w14:textId="25EB9098" w:rsidR="002126D8" w:rsidRDefault="002126D8" w:rsidP="00EE7E71">
      <w:pPr>
        <w:suppressAutoHyphens w:val="0"/>
        <w:spacing w:line="276" w:lineRule="auto"/>
        <w:ind w:firstLine="720"/>
        <w:jc w:val="both"/>
        <w:rPr>
          <w:noProof/>
        </w:rPr>
      </w:pPr>
      <w:r>
        <w:rPr>
          <w:noProof/>
        </w:rPr>
        <w:t>Krimināllikuma 5. panta pirmā daļa noteic, ka n</w:t>
      </w:r>
      <w:r w:rsidRPr="006647D7">
        <w:rPr>
          <w:noProof/>
        </w:rPr>
        <w:t>odarījuma (darbības vai bezdarbības) noziedzīgumu un sodāmību nosaka likums, kas bijis spēkā šā nodarījuma izdarīšanas laikā.</w:t>
      </w:r>
    </w:p>
    <w:p w14:paraId="1289C64C" w14:textId="77777777" w:rsidR="002126D8" w:rsidRDefault="00C6055C" w:rsidP="00EE7E71">
      <w:pPr>
        <w:suppressAutoHyphens w:val="0"/>
        <w:spacing w:line="276" w:lineRule="auto"/>
        <w:ind w:firstLine="720"/>
        <w:jc w:val="both"/>
        <w:rPr>
          <w:noProof/>
        </w:rPr>
      </w:pPr>
      <w:r>
        <w:rPr>
          <w:noProof/>
        </w:rPr>
        <w:t xml:space="preserve">Juridiskajā literatūrā ir atzīts, ka par noziedzīga nodarījuma izdarīšanas laiku tiek atzīts brīdis, kad nodarījums (darbības vai bezdarbības akts) pabeigts vai pārtraukts, neatkarīgi no sastāva veida (formāls vai materiāls). </w:t>
      </w:r>
      <w:r w:rsidR="00872AAD" w:rsidRPr="00294F3C">
        <w:rPr>
          <w:noProof/>
        </w:rPr>
        <w:t xml:space="preserve">Materiālos sastāvos, kuros starp noziedzīga nodarījuma izdarīšanu un likumā paredzēto kaitīgo seku iestāšanos pastāv </w:t>
      </w:r>
      <w:r w:rsidR="00872AAD">
        <w:rPr>
          <w:noProof/>
        </w:rPr>
        <w:t>laika intervāls</w:t>
      </w:r>
      <w:r w:rsidR="00872AAD" w:rsidRPr="00294F3C">
        <w:rPr>
          <w:noProof/>
        </w:rPr>
        <w:t>, seku iestāšanās laikam nav nozīmes (</w:t>
      </w:r>
      <w:r w:rsidR="00872AAD" w:rsidRPr="00294F3C">
        <w:rPr>
          <w:i/>
          <w:iCs/>
          <w:spacing w:val="-3"/>
        </w:rPr>
        <w:t>Krastiņš</w:t>
      </w:r>
      <w:r w:rsidR="00872AAD">
        <w:rPr>
          <w:i/>
          <w:iCs/>
          <w:spacing w:val="-3"/>
        </w:rPr>
        <w:t> </w:t>
      </w:r>
      <w:r w:rsidR="00872AAD" w:rsidRPr="00294F3C">
        <w:rPr>
          <w:i/>
          <w:iCs/>
          <w:spacing w:val="-3"/>
        </w:rPr>
        <w:t xml:space="preserve">U., </w:t>
      </w:r>
      <w:proofErr w:type="spellStart"/>
      <w:r w:rsidR="00872AAD" w:rsidRPr="00294F3C">
        <w:rPr>
          <w:i/>
          <w:iCs/>
          <w:spacing w:val="-3"/>
        </w:rPr>
        <w:t>Liholaja</w:t>
      </w:r>
      <w:proofErr w:type="spellEnd"/>
      <w:r w:rsidR="00872AAD">
        <w:rPr>
          <w:i/>
          <w:iCs/>
          <w:spacing w:val="-3"/>
        </w:rPr>
        <w:t> </w:t>
      </w:r>
      <w:r w:rsidR="00872AAD" w:rsidRPr="00294F3C">
        <w:rPr>
          <w:i/>
          <w:iCs/>
          <w:spacing w:val="-3"/>
        </w:rPr>
        <w:t>V. Krimināllikuma komentāri. Pirmā daļa (I–VIII</w:t>
      </w:r>
      <w:r w:rsidR="00872AAD" w:rsidRPr="00294F3C">
        <w:rPr>
          <w:i/>
          <w:iCs/>
          <w:spacing w:val="-3"/>
          <w:vertAlign w:val="superscript"/>
        </w:rPr>
        <w:t>1</w:t>
      </w:r>
      <w:r w:rsidR="00872AAD">
        <w:rPr>
          <w:i/>
          <w:iCs/>
          <w:spacing w:val="-3"/>
        </w:rPr>
        <w:t> </w:t>
      </w:r>
      <w:r w:rsidR="00872AAD" w:rsidRPr="00294F3C">
        <w:rPr>
          <w:i/>
          <w:iCs/>
          <w:spacing w:val="-3"/>
        </w:rPr>
        <w:t>nodaļa). Rīga: Tiesu namu aģentūra, 2015, 31. lpp</w:t>
      </w:r>
      <w:r w:rsidR="00872AAD" w:rsidRPr="00294F3C">
        <w:rPr>
          <w:spacing w:val="-3"/>
        </w:rPr>
        <w:t>.)</w:t>
      </w:r>
      <w:r w:rsidR="002126D8">
        <w:rPr>
          <w:noProof/>
        </w:rPr>
        <w:t>.</w:t>
      </w:r>
    </w:p>
    <w:p w14:paraId="5BD18E51" w14:textId="15AC758D" w:rsidR="002E690D" w:rsidRDefault="002E690D" w:rsidP="00EE7E71">
      <w:pPr>
        <w:suppressAutoHyphens w:val="0"/>
        <w:spacing w:line="276" w:lineRule="auto"/>
        <w:ind w:firstLine="720"/>
        <w:jc w:val="both"/>
        <w:rPr>
          <w:noProof/>
        </w:rPr>
      </w:pPr>
      <w:r w:rsidRPr="002E690D">
        <w:rPr>
          <w:noProof/>
        </w:rPr>
        <w:t>Šim noteikumam ir būtiska nozīme, lai ievērotu aizliegumu piemērot nelabvēlīgu likumu ar atpakaļejošu spēku.</w:t>
      </w:r>
      <w:r>
        <w:rPr>
          <w:noProof/>
        </w:rPr>
        <w:t xml:space="preserve"> </w:t>
      </w:r>
      <w:r w:rsidR="002126D8" w:rsidRPr="002126D8">
        <w:rPr>
          <w:noProof/>
        </w:rPr>
        <w:t>Pretējā gadījumā, atzīstot par noteicoš</w:t>
      </w:r>
      <w:r>
        <w:rPr>
          <w:noProof/>
        </w:rPr>
        <w:t>u</w:t>
      </w:r>
      <w:r w:rsidR="002126D8" w:rsidRPr="002126D8">
        <w:rPr>
          <w:noProof/>
        </w:rPr>
        <w:t xml:space="preserve"> kaitīgo seku </w:t>
      </w:r>
      <w:r w:rsidR="002126D8" w:rsidRPr="002126D8">
        <w:rPr>
          <w:noProof/>
        </w:rPr>
        <w:lastRenderedPageBreak/>
        <w:t xml:space="preserve">iestāšanās laiku, </w:t>
      </w:r>
      <w:r w:rsidR="00E63AB4">
        <w:rPr>
          <w:noProof/>
        </w:rPr>
        <w:t>šis aizliegums</w:t>
      </w:r>
      <w:r w:rsidR="00E63AB4" w:rsidRPr="002126D8">
        <w:rPr>
          <w:noProof/>
        </w:rPr>
        <w:t xml:space="preserve"> </w:t>
      </w:r>
      <w:r w:rsidR="002126D8" w:rsidRPr="002126D8">
        <w:rPr>
          <w:noProof/>
        </w:rPr>
        <w:t>var</w:t>
      </w:r>
      <w:r w:rsidR="00E63AB4">
        <w:rPr>
          <w:noProof/>
        </w:rPr>
        <w:t>ētu tikt</w:t>
      </w:r>
      <w:r>
        <w:rPr>
          <w:noProof/>
        </w:rPr>
        <w:t xml:space="preserve"> pārkāpts</w:t>
      </w:r>
      <w:r w:rsidR="002126D8" w:rsidRPr="002126D8">
        <w:rPr>
          <w:noProof/>
        </w:rPr>
        <w:t>.</w:t>
      </w:r>
      <w:r w:rsidR="002126D8">
        <w:rPr>
          <w:noProof/>
        </w:rPr>
        <w:t xml:space="preserve"> </w:t>
      </w:r>
      <w:r w:rsidRPr="002E690D">
        <w:rPr>
          <w:noProof/>
        </w:rPr>
        <w:t>Proti, ja laikposmā no nodarījuma izdarīšanas līdz kaitīgo seku iestāšanās brīdim likumdevējs attiecīgo nodarījumu atzītu par krimināli sodāmu vai paredzētu par to bargāku sodu, pirmajā gadījumā pie kriminālatbildības varētu saukt personu par darbību vai bezdarbību, kas tās izdarīšanas brīdī vēl nebija krimināli sodāma, bet otrajā gadījumā personai varētu piemērot bargāku sodu, nekā likums paredzēja nodarījuma izdarīšanas laikā.</w:t>
      </w:r>
    </w:p>
    <w:p w14:paraId="1409A91B" w14:textId="0AC66154" w:rsidR="00B45DF2" w:rsidRDefault="00B45DF2" w:rsidP="00EE7E71">
      <w:pPr>
        <w:suppressAutoHyphens w:val="0"/>
        <w:spacing w:line="276" w:lineRule="auto"/>
        <w:ind w:firstLine="720"/>
        <w:jc w:val="both"/>
        <w:rPr>
          <w:noProof/>
        </w:rPr>
      </w:pPr>
      <w:r>
        <w:rPr>
          <w:noProof/>
        </w:rPr>
        <w:t>T</w:t>
      </w:r>
      <w:r w:rsidRPr="00B45DF2">
        <w:rPr>
          <w:noProof/>
        </w:rPr>
        <w:t>ādējādi, ja starp nodarījum</w:t>
      </w:r>
      <w:r>
        <w:rPr>
          <w:noProof/>
        </w:rPr>
        <w:t>u</w:t>
      </w:r>
      <w:r w:rsidRPr="00B45DF2">
        <w:rPr>
          <w:noProof/>
        </w:rPr>
        <w:t xml:space="preserve"> </w:t>
      </w:r>
      <w:r>
        <w:rPr>
          <w:noProof/>
        </w:rPr>
        <w:t>(darbību vai bezdarbību)</w:t>
      </w:r>
      <w:r w:rsidRPr="00B45DF2">
        <w:rPr>
          <w:noProof/>
        </w:rPr>
        <w:t xml:space="preserve"> un seku iestāšanos ir ilgāks laikposms, noziedzīgā nodarījuma pabeigšanas brīdis nav izšķirošs, nosakot piemērojamo likuma redakciju.</w:t>
      </w:r>
    </w:p>
    <w:p w14:paraId="5A3E3745" w14:textId="6CC26129" w:rsidR="002126D8" w:rsidRPr="002126D8" w:rsidRDefault="002126D8" w:rsidP="00EE7E71">
      <w:pPr>
        <w:suppressAutoHyphens w:val="0"/>
        <w:spacing w:line="276" w:lineRule="auto"/>
        <w:ind w:firstLine="720"/>
        <w:jc w:val="both"/>
      </w:pPr>
      <w:r w:rsidRPr="00294F3C">
        <w:t>Krāpšana ir materiāla sastāva noziedzīgs nodarījums.</w:t>
      </w:r>
      <w:r>
        <w:t xml:space="preserve"> </w:t>
      </w:r>
      <w:r w:rsidR="00B45DF2">
        <w:t>Līdz ar to</w:t>
      </w:r>
      <w:r w:rsidRPr="002126D8">
        <w:t xml:space="preserve"> krāpšanas kā materiāla sastāva noziedzīga nodarījuma gadījumā piemērojamais likums nosakāms pēc pēdējā</w:t>
      </w:r>
      <w:r>
        <w:t xml:space="preserve">s </w:t>
      </w:r>
      <w:r w:rsidRPr="002126D8">
        <w:t>noziedzīg</w:t>
      </w:r>
      <w:r>
        <w:t>ās</w:t>
      </w:r>
      <w:r w:rsidRPr="002126D8">
        <w:t xml:space="preserve"> darbīb</w:t>
      </w:r>
      <w:r>
        <w:t>as</w:t>
      </w:r>
      <w:r w:rsidRPr="002126D8">
        <w:t xml:space="preserve"> izdarīšanas laika, nevis pēc kaitīgo seku iestāšanās brīža.</w:t>
      </w:r>
    </w:p>
    <w:bookmarkEnd w:id="30"/>
    <w:p w14:paraId="429C908F" w14:textId="77777777" w:rsidR="00872AAD" w:rsidRDefault="00872AAD" w:rsidP="00EE7E71">
      <w:pPr>
        <w:suppressAutoHyphens w:val="0"/>
        <w:spacing w:line="276" w:lineRule="auto"/>
        <w:ind w:firstLine="720"/>
        <w:jc w:val="both"/>
        <w:rPr>
          <w:noProof/>
        </w:rPr>
      </w:pPr>
    </w:p>
    <w:p w14:paraId="0B6297DE" w14:textId="43054CCB" w:rsidR="00872AAD" w:rsidRPr="00F87BF4" w:rsidRDefault="00872AAD" w:rsidP="00EE7E71">
      <w:pPr>
        <w:suppressAutoHyphens w:val="0"/>
        <w:spacing w:line="276" w:lineRule="auto"/>
        <w:jc w:val="center"/>
        <w:rPr>
          <w:b/>
          <w:bCs/>
          <w:noProof/>
        </w:rPr>
      </w:pPr>
      <w:r w:rsidRPr="00F87BF4">
        <w:rPr>
          <w:b/>
          <w:bCs/>
          <w:noProof/>
        </w:rPr>
        <w:t>VI</w:t>
      </w:r>
    </w:p>
    <w:p w14:paraId="6068D1EC" w14:textId="77777777" w:rsidR="00872AAD" w:rsidRDefault="00872AAD" w:rsidP="00EE7E71">
      <w:pPr>
        <w:suppressAutoHyphens w:val="0"/>
        <w:spacing w:line="276" w:lineRule="auto"/>
        <w:jc w:val="center"/>
        <w:rPr>
          <w:i/>
          <w:iCs/>
          <w:noProof/>
        </w:rPr>
      </w:pPr>
      <w:r w:rsidRPr="00F87BF4">
        <w:rPr>
          <w:i/>
          <w:iCs/>
          <w:noProof/>
        </w:rPr>
        <w:t xml:space="preserve">Par </w:t>
      </w:r>
      <w:r>
        <w:rPr>
          <w:i/>
          <w:iCs/>
          <w:noProof/>
        </w:rPr>
        <w:t xml:space="preserve">apsūdzētajam noteikto </w:t>
      </w:r>
      <w:r w:rsidRPr="00F87BF4">
        <w:rPr>
          <w:i/>
          <w:iCs/>
          <w:noProof/>
        </w:rPr>
        <w:t>sod</w:t>
      </w:r>
      <w:r>
        <w:rPr>
          <w:i/>
          <w:iCs/>
          <w:noProof/>
        </w:rPr>
        <w:t xml:space="preserve">u pēc </w:t>
      </w:r>
      <w:r>
        <w:rPr>
          <w:rFonts w:asciiTheme="majorBidi" w:hAnsiTheme="majorBidi" w:cstheme="majorBidi"/>
          <w:i/>
          <w:iCs/>
        </w:rPr>
        <w:t>Krimināllikuma 177. panta trešās daļas</w:t>
      </w:r>
    </w:p>
    <w:p w14:paraId="304A465E" w14:textId="77777777" w:rsidR="00872AAD" w:rsidRPr="00F87BF4" w:rsidRDefault="00872AAD" w:rsidP="00EE7E71">
      <w:pPr>
        <w:suppressAutoHyphens w:val="0"/>
        <w:spacing w:line="276" w:lineRule="auto"/>
        <w:ind w:firstLine="720"/>
        <w:jc w:val="both"/>
        <w:rPr>
          <w:i/>
          <w:iCs/>
          <w:noProof/>
        </w:rPr>
      </w:pPr>
    </w:p>
    <w:p w14:paraId="2C7A52C0" w14:textId="537D6543" w:rsidR="00872AAD" w:rsidRDefault="00872AAD" w:rsidP="00EE7E71">
      <w:pPr>
        <w:suppressAutoHyphens w:val="0"/>
        <w:spacing w:line="276" w:lineRule="auto"/>
        <w:ind w:firstLine="720"/>
        <w:jc w:val="both"/>
        <w:rPr>
          <w:noProof/>
        </w:rPr>
      </w:pPr>
      <w:r>
        <w:rPr>
          <w:noProof/>
        </w:rPr>
        <w:t>[1</w:t>
      </w:r>
      <w:r w:rsidR="00F676B8">
        <w:rPr>
          <w:noProof/>
        </w:rPr>
        <w:t>3</w:t>
      </w:r>
      <w:r>
        <w:rPr>
          <w:noProof/>
        </w:rPr>
        <w:t>] </w:t>
      </w:r>
      <w:r>
        <w:rPr>
          <w:color w:val="000000"/>
        </w:rPr>
        <w:t>Tālāk Senāts pārbaudīs, vai apelācijas instances tiesa, nosakot soda veidu – brīvības atņemšanu – par Krimināllikuma 177. panta trešajā daļā paredzētā noziedzīgā nodarījuma izdarīšanu, ir pieļāvusi Krimināllikuma 46. panta pārkāpumu.</w:t>
      </w:r>
    </w:p>
    <w:p w14:paraId="6BC557FB" w14:textId="3C649FD7" w:rsidR="00872AAD" w:rsidRDefault="00872AAD" w:rsidP="00EE7E71">
      <w:pPr>
        <w:suppressAutoHyphens w:val="0"/>
        <w:spacing w:line="276" w:lineRule="auto"/>
        <w:ind w:firstLine="720"/>
        <w:jc w:val="both"/>
        <w:rPr>
          <w:noProof/>
        </w:rPr>
      </w:pPr>
      <w:r>
        <w:rPr>
          <w:noProof/>
        </w:rPr>
        <w:t>[1</w:t>
      </w:r>
      <w:r w:rsidR="00F676B8">
        <w:rPr>
          <w:noProof/>
        </w:rPr>
        <w:t>3</w:t>
      </w:r>
      <w:r>
        <w:rPr>
          <w:noProof/>
        </w:rPr>
        <w:t xml:space="preserve">.1] Senāts konstatē, ka apelācijas instances tiesa ir atzinusi, ka, </w:t>
      </w:r>
      <w:r w:rsidRPr="00612E47">
        <w:rPr>
          <w:noProof/>
        </w:rPr>
        <w:t xml:space="preserve">ar viltu </w:t>
      </w:r>
      <w:r>
        <w:rPr>
          <w:noProof/>
        </w:rPr>
        <w:t xml:space="preserve">iegūstot </w:t>
      </w:r>
      <w:r w:rsidRPr="00612E47">
        <w:rPr>
          <w:noProof/>
        </w:rPr>
        <w:t>no valsts budžeta</w:t>
      </w:r>
      <w:r>
        <w:rPr>
          <w:noProof/>
        </w:rPr>
        <w:t xml:space="preserve"> </w:t>
      </w:r>
      <w:r w:rsidRPr="00612E47">
        <w:rPr>
          <w:noProof/>
        </w:rPr>
        <w:t>naud</w:t>
      </w:r>
      <w:r>
        <w:rPr>
          <w:noProof/>
        </w:rPr>
        <w:t>u</w:t>
      </w:r>
      <w:r w:rsidRPr="00612E47">
        <w:rPr>
          <w:noProof/>
        </w:rPr>
        <w:t xml:space="preserve"> lielā apmērā</w:t>
      </w:r>
      <w:r>
        <w:rPr>
          <w:noProof/>
        </w:rPr>
        <w:t>,</w:t>
      </w:r>
      <w:r w:rsidRPr="00612E47">
        <w:rPr>
          <w:noProof/>
        </w:rPr>
        <w:t xml:space="preserve"> </w:t>
      </w:r>
      <w:r>
        <w:rPr>
          <w:noProof/>
        </w:rPr>
        <w:t xml:space="preserve">apsūdzētais </w:t>
      </w:r>
      <w:r w:rsidRPr="00612E47">
        <w:rPr>
          <w:noProof/>
        </w:rPr>
        <w:t>nodarī</w:t>
      </w:r>
      <w:r>
        <w:rPr>
          <w:noProof/>
        </w:rPr>
        <w:t>jis</w:t>
      </w:r>
      <w:r w:rsidRPr="00612E47">
        <w:rPr>
          <w:noProof/>
        </w:rPr>
        <w:t xml:space="preserve"> mantisk</w:t>
      </w:r>
      <w:r>
        <w:rPr>
          <w:noProof/>
        </w:rPr>
        <w:t>u</w:t>
      </w:r>
      <w:r w:rsidRPr="00612E47">
        <w:rPr>
          <w:noProof/>
        </w:rPr>
        <w:t xml:space="preserve"> zaudējum</w:t>
      </w:r>
      <w:r>
        <w:rPr>
          <w:noProof/>
        </w:rPr>
        <w:t>u</w:t>
      </w:r>
      <w:r w:rsidRPr="00612E47">
        <w:rPr>
          <w:noProof/>
        </w:rPr>
        <w:t xml:space="preserve"> 29</w:t>
      </w:r>
      <w:r>
        <w:rPr>
          <w:noProof/>
        </w:rPr>
        <w:t> </w:t>
      </w:r>
      <w:r w:rsidRPr="00612E47">
        <w:rPr>
          <w:noProof/>
        </w:rPr>
        <w:t>340,97</w:t>
      </w:r>
      <w:r>
        <w:rPr>
          <w:noProof/>
        </w:rPr>
        <w:t> </w:t>
      </w:r>
      <w:r w:rsidRPr="00612E47">
        <w:rPr>
          <w:i/>
          <w:iCs/>
          <w:noProof/>
        </w:rPr>
        <w:t>euro</w:t>
      </w:r>
      <w:r w:rsidRPr="00612E47">
        <w:rPr>
          <w:noProof/>
        </w:rPr>
        <w:t>,</w:t>
      </w:r>
      <w:r w:rsidRPr="00880ABB">
        <w:rPr>
          <w:noProof/>
        </w:rPr>
        <w:t xml:space="preserve"> </w:t>
      </w:r>
      <w:r>
        <w:rPr>
          <w:noProof/>
        </w:rPr>
        <w:t xml:space="preserve">kas </w:t>
      </w:r>
      <w:r w:rsidRPr="00F17030">
        <w:rPr>
          <w:noProof/>
        </w:rPr>
        <w:t>vairāk nekā simtkārtīgi pārsniedz Latvijas Republikā noteiktās minimālās mēnešalgas apmēru.</w:t>
      </w:r>
      <w:r>
        <w:rPr>
          <w:noProof/>
        </w:rPr>
        <w:t xml:space="preserve"> Radītā </w:t>
      </w:r>
      <w:r w:rsidRPr="00880ABB">
        <w:rPr>
          <w:noProof/>
        </w:rPr>
        <w:t>kaitējuma apmērs un apdraudētā objekta nozīmīgums piešķir nodarījumam īpašu raksturu, kas to izceļ Krimināllikuma 177.</w:t>
      </w:r>
      <w:r>
        <w:rPr>
          <w:noProof/>
        </w:rPr>
        <w:t> </w:t>
      </w:r>
      <w:r w:rsidRPr="00880ABB">
        <w:rPr>
          <w:noProof/>
        </w:rPr>
        <w:t>panta trešajā daļā paredzēt</w:t>
      </w:r>
      <w:r>
        <w:rPr>
          <w:noProof/>
        </w:rPr>
        <w:t>o</w:t>
      </w:r>
      <w:r w:rsidRPr="00880ABB">
        <w:rPr>
          <w:noProof/>
        </w:rPr>
        <w:t xml:space="preserve"> noziegum</w:t>
      </w:r>
      <w:r>
        <w:rPr>
          <w:noProof/>
        </w:rPr>
        <w:t>u vidū, proti,</w:t>
      </w:r>
      <w:r w:rsidRPr="00880ABB">
        <w:rPr>
          <w:noProof/>
        </w:rPr>
        <w:t xml:space="preserve"> izkrāpjot </w:t>
      </w:r>
      <w:r>
        <w:rPr>
          <w:noProof/>
        </w:rPr>
        <w:t xml:space="preserve">finanšu </w:t>
      </w:r>
      <w:r w:rsidRPr="00880ABB">
        <w:rPr>
          <w:noProof/>
        </w:rPr>
        <w:t xml:space="preserve">līdzekļus no valsts budžeta, tiešā veidā </w:t>
      </w:r>
      <w:r w:rsidR="00E63AB4">
        <w:rPr>
          <w:noProof/>
        </w:rPr>
        <w:t xml:space="preserve">tiek </w:t>
      </w:r>
      <w:r w:rsidRPr="00880ABB">
        <w:rPr>
          <w:noProof/>
        </w:rPr>
        <w:t>apdraudēta valsts spēja pildīt savas funkcijas un nodrošināt pamattiesības, t</w:t>
      </w:r>
      <w:r>
        <w:rPr>
          <w:noProof/>
        </w:rPr>
        <w:t>ajā skaitā</w:t>
      </w:r>
      <w:r w:rsidRPr="00880ABB">
        <w:rPr>
          <w:noProof/>
        </w:rPr>
        <w:t xml:space="preserve"> </w:t>
      </w:r>
      <w:r w:rsidR="00420F44">
        <w:rPr>
          <w:noProof/>
        </w:rPr>
        <w:t xml:space="preserve">tiesības uz </w:t>
      </w:r>
      <w:r w:rsidRPr="00880ABB">
        <w:rPr>
          <w:noProof/>
        </w:rPr>
        <w:t>sociālo garantiju un labklājības sistēmas nepārtrauktīb</w:t>
      </w:r>
      <w:r w:rsidR="00E63AB4">
        <w:rPr>
          <w:noProof/>
        </w:rPr>
        <w:t>u</w:t>
      </w:r>
      <w:r>
        <w:rPr>
          <w:noProof/>
        </w:rPr>
        <w:t>.</w:t>
      </w:r>
    </w:p>
    <w:p w14:paraId="0CCD15EC" w14:textId="724CB5FE" w:rsidR="00872AAD" w:rsidRDefault="009E1A86" w:rsidP="00EE7E71">
      <w:pPr>
        <w:suppressAutoHyphens w:val="0"/>
        <w:spacing w:line="276" w:lineRule="auto"/>
        <w:ind w:firstLine="720"/>
        <w:jc w:val="both"/>
        <w:rPr>
          <w:noProof/>
        </w:rPr>
      </w:pPr>
      <w:r>
        <w:rPr>
          <w:noProof/>
        </w:rPr>
        <w:t>A</w:t>
      </w:r>
      <w:r w:rsidR="00872AAD" w:rsidRPr="009B00AC">
        <w:rPr>
          <w:noProof/>
        </w:rPr>
        <w:t xml:space="preserve">pelācijas instances tiesa izvērtējusi </w:t>
      </w:r>
      <w:r>
        <w:rPr>
          <w:noProof/>
        </w:rPr>
        <w:t xml:space="preserve">arī </w:t>
      </w:r>
      <w:r w:rsidR="00872AAD">
        <w:rPr>
          <w:noProof/>
        </w:rPr>
        <w:t xml:space="preserve">apsūdzētā </w:t>
      </w:r>
      <w:r w:rsidR="00872AAD" w:rsidRPr="009B00AC">
        <w:rPr>
          <w:noProof/>
        </w:rPr>
        <w:t>personību</w:t>
      </w:r>
      <w:r w:rsidR="00872AAD">
        <w:rPr>
          <w:noProof/>
        </w:rPr>
        <w:t xml:space="preserve"> un</w:t>
      </w:r>
      <w:r w:rsidR="00872AAD" w:rsidRPr="009B00AC">
        <w:rPr>
          <w:noProof/>
        </w:rPr>
        <w:t xml:space="preserve"> atz</w:t>
      </w:r>
      <w:r w:rsidR="00872AAD">
        <w:rPr>
          <w:noProof/>
        </w:rPr>
        <w:t>inusi</w:t>
      </w:r>
      <w:r w:rsidR="00872AAD" w:rsidRPr="009B00AC">
        <w:rPr>
          <w:noProof/>
        </w:rPr>
        <w:t>, ka pirmās instances tiesa pietiekami detalizēti analizējusi</w:t>
      </w:r>
      <w:r w:rsidR="00872AAD">
        <w:rPr>
          <w:noProof/>
        </w:rPr>
        <w:t xml:space="preserve"> </w:t>
      </w:r>
      <w:r w:rsidR="00872AAD" w:rsidRPr="009B00AC">
        <w:rPr>
          <w:noProof/>
        </w:rPr>
        <w:t>personību raksturojošās ziņas</w:t>
      </w:r>
      <w:r w:rsidR="00872AAD">
        <w:rPr>
          <w:noProof/>
        </w:rPr>
        <w:t>.</w:t>
      </w:r>
      <w:r>
        <w:rPr>
          <w:noProof/>
        </w:rPr>
        <w:t xml:space="preserve"> Savukārt a</w:t>
      </w:r>
      <w:r w:rsidR="00872AAD" w:rsidRPr="00961274">
        <w:rPr>
          <w:noProof/>
        </w:rPr>
        <w:t xml:space="preserve">pelācijas instances tiesā </w:t>
      </w:r>
      <w:r w:rsidR="00872AAD">
        <w:rPr>
          <w:noProof/>
        </w:rPr>
        <w:t>jaunas apsūdzētā personību raksturojošas ziņas</w:t>
      </w:r>
      <w:r>
        <w:rPr>
          <w:noProof/>
        </w:rPr>
        <w:t xml:space="preserve"> netika iesniegtas</w:t>
      </w:r>
      <w:r w:rsidR="00872AAD">
        <w:rPr>
          <w:noProof/>
        </w:rPr>
        <w:t>.</w:t>
      </w:r>
    </w:p>
    <w:p w14:paraId="32CEBB34" w14:textId="503BEDE3" w:rsidR="00872AAD" w:rsidRDefault="00872AAD" w:rsidP="00EE7E71">
      <w:pPr>
        <w:suppressAutoHyphens w:val="0"/>
        <w:spacing w:line="276" w:lineRule="auto"/>
        <w:ind w:firstLine="720"/>
        <w:jc w:val="both"/>
        <w:rPr>
          <w:noProof/>
        </w:rPr>
      </w:pPr>
      <w:r>
        <w:rPr>
          <w:noProof/>
        </w:rPr>
        <w:t>[1</w:t>
      </w:r>
      <w:r w:rsidR="00F676B8">
        <w:rPr>
          <w:noProof/>
        </w:rPr>
        <w:t>3</w:t>
      </w:r>
      <w:r>
        <w:rPr>
          <w:noProof/>
        </w:rPr>
        <w:t>.2] Krimināllikuma 46. pants noteic, ka s</w:t>
      </w:r>
      <w:r w:rsidRPr="006505B4">
        <w:rPr>
          <w:noProof/>
        </w:rPr>
        <w:t>odu nosaka tādā apmērā, kādu par izdarīto noziedzīgo nodarījumu paredz šā likuma sevišķās daļas attiecīgā panta sankcija, ievērojot šā likuma vispārīgās daļas noteikumus</w:t>
      </w:r>
      <w:r>
        <w:rPr>
          <w:noProof/>
        </w:rPr>
        <w:t xml:space="preserve"> (panta pirmā daļa). N</w:t>
      </w:r>
      <w:r w:rsidRPr="00612E47">
        <w:rPr>
          <w:noProof/>
        </w:rPr>
        <w:t>osakot soda veidu, ņem vērā</w:t>
      </w:r>
      <w:r>
        <w:rPr>
          <w:noProof/>
        </w:rPr>
        <w:t>: 1) </w:t>
      </w:r>
      <w:r w:rsidRPr="00612E47">
        <w:rPr>
          <w:noProof/>
        </w:rPr>
        <w:t xml:space="preserve">izdarītā noziedzīgā nodarījuma raksturu un radīto kaitējumu, kā arī </w:t>
      </w:r>
      <w:r>
        <w:rPr>
          <w:noProof/>
        </w:rPr>
        <w:t>2) </w:t>
      </w:r>
      <w:r w:rsidRPr="00612E47">
        <w:rPr>
          <w:noProof/>
        </w:rPr>
        <w:t>vainīgā personību</w:t>
      </w:r>
      <w:r>
        <w:rPr>
          <w:noProof/>
        </w:rPr>
        <w:t xml:space="preserve"> (panta otrā daļa).</w:t>
      </w:r>
    </w:p>
    <w:p w14:paraId="3FF083C5" w14:textId="77777777" w:rsidR="00872AAD" w:rsidRDefault="00872AAD" w:rsidP="00EE7E71">
      <w:pPr>
        <w:suppressAutoHyphens w:val="0"/>
        <w:spacing w:line="276" w:lineRule="auto"/>
        <w:ind w:firstLine="720"/>
        <w:jc w:val="both"/>
        <w:rPr>
          <w:noProof/>
        </w:rPr>
      </w:pPr>
      <w:r>
        <w:rPr>
          <w:noProof/>
        </w:rPr>
        <w:t>T</w:t>
      </w:r>
      <w:r w:rsidRPr="00D067BE">
        <w:rPr>
          <w:noProof/>
        </w:rPr>
        <w:t xml:space="preserve">iesas pienākums </w:t>
      </w:r>
      <w:r>
        <w:rPr>
          <w:noProof/>
        </w:rPr>
        <w:t>ir</w:t>
      </w:r>
      <w:r w:rsidRPr="00D067BE">
        <w:rPr>
          <w:noProof/>
        </w:rPr>
        <w:t xml:space="preserve"> nodrošināt, lai </w:t>
      </w:r>
      <w:r>
        <w:rPr>
          <w:noProof/>
        </w:rPr>
        <w:t>nolēmumā būtu izvērtēti svarīgākie</w:t>
      </w:r>
      <w:r w:rsidRPr="006A7079">
        <w:rPr>
          <w:noProof/>
        </w:rPr>
        <w:t xml:space="preserve"> </w:t>
      </w:r>
      <w:r>
        <w:rPr>
          <w:noProof/>
        </w:rPr>
        <w:t xml:space="preserve">abu kategoriju </w:t>
      </w:r>
      <w:r w:rsidRPr="006A7079">
        <w:rPr>
          <w:noProof/>
        </w:rPr>
        <w:t>apstākļi, kas ir būtiski taisnīga un samērīga soda noteikšanai</w:t>
      </w:r>
      <w:r>
        <w:rPr>
          <w:noProof/>
        </w:rPr>
        <w:t>.</w:t>
      </w:r>
    </w:p>
    <w:p w14:paraId="08FBFA28" w14:textId="7F4D2630" w:rsidR="00872AAD" w:rsidRDefault="00872AAD" w:rsidP="00EE7E71">
      <w:pPr>
        <w:suppressAutoHyphens w:val="0"/>
        <w:spacing w:line="276" w:lineRule="auto"/>
        <w:ind w:firstLine="720"/>
        <w:jc w:val="both"/>
        <w:rPr>
          <w:noProof/>
        </w:rPr>
      </w:pPr>
      <w:r>
        <w:rPr>
          <w:noProof/>
        </w:rPr>
        <w:t>[1</w:t>
      </w:r>
      <w:r w:rsidR="00F676B8">
        <w:rPr>
          <w:noProof/>
        </w:rPr>
        <w:t>3</w:t>
      </w:r>
      <w:r>
        <w:rPr>
          <w:noProof/>
        </w:rPr>
        <w:t>.3] Senāts atzīst, ka</w:t>
      </w:r>
      <w:r w:rsidRPr="006868C0">
        <w:rPr>
          <w:noProof/>
        </w:rPr>
        <w:t xml:space="preserve"> </w:t>
      </w:r>
      <w:r>
        <w:rPr>
          <w:noProof/>
        </w:rPr>
        <w:t>apelācijas instances tiesa minētās prasības ir ievērojusi.</w:t>
      </w:r>
    </w:p>
    <w:p w14:paraId="45B87EFD" w14:textId="6AD76A58" w:rsidR="00872AAD" w:rsidRDefault="00872AAD" w:rsidP="00EE7E71">
      <w:pPr>
        <w:suppressAutoHyphens w:val="0"/>
        <w:spacing w:line="276" w:lineRule="auto"/>
        <w:ind w:firstLine="720"/>
        <w:jc w:val="both"/>
        <w:rPr>
          <w:noProof/>
        </w:rPr>
      </w:pPr>
      <w:r w:rsidRPr="00D768D2">
        <w:rPr>
          <w:noProof/>
        </w:rPr>
        <w:t>Krimināllikuma 177.</w:t>
      </w:r>
      <w:r>
        <w:rPr>
          <w:noProof/>
        </w:rPr>
        <w:t> </w:t>
      </w:r>
      <w:r w:rsidRPr="00D768D2">
        <w:rPr>
          <w:noProof/>
        </w:rPr>
        <w:t xml:space="preserve">panta trešajā daļā paredzētā sankcija gan noziedzīgā nodarījuma izdarīšanas laikā, gan </w:t>
      </w:r>
      <w:r>
        <w:rPr>
          <w:noProof/>
        </w:rPr>
        <w:t xml:space="preserve">apelācijas instances nolēmuma taisīšanas laikā </w:t>
      </w:r>
      <w:r w:rsidR="00C6055C">
        <w:rPr>
          <w:noProof/>
        </w:rPr>
        <w:t>paredzēja brīvības atņemšanu</w:t>
      </w:r>
      <w:r>
        <w:rPr>
          <w:noProof/>
        </w:rPr>
        <w:t xml:space="preserve"> no </w:t>
      </w:r>
      <w:r w:rsidR="001C51E6">
        <w:rPr>
          <w:noProof/>
        </w:rPr>
        <w:t>diviem</w:t>
      </w:r>
      <w:r w:rsidR="001C51E6" w:rsidRPr="00D768D2">
        <w:rPr>
          <w:noProof/>
        </w:rPr>
        <w:t xml:space="preserve"> </w:t>
      </w:r>
      <w:r w:rsidRPr="00D768D2">
        <w:rPr>
          <w:noProof/>
        </w:rPr>
        <w:t xml:space="preserve">līdz </w:t>
      </w:r>
      <w:r w:rsidR="001C51E6">
        <w:rPr>
          <w:noProof/>
        </w:rPr>
        <w:t>desmit</w:t>
      </w:r>
      <w:r w:rsidR="001C51E6" w:rsidRPr="00D768D2">
        <w:rPr>
          <w:noProof/>
        </w:rPr>
        <w:t xml:space="preserve"> </w:t>
      </w:r>
      <w:r w:rsidRPr="00D768D2">
        <w:rPr>
          <w:noProof/>
        </w:rPr>
        <w:t>gadiem</w:t>
      </w:r>
      <w:r w:rsidR="00FA02E0">
        <w:rPr>
          <w:noProof/>
        </w:rPr>
        <w:t>,</w:t>
      </w:r>
      <w:r w:rsidRPr="00D768D2">
        <w:rPr>
          <w:noProof/>
        </w:rPr>
        <w:t xml:space="preserve"> un tas bija vienīgais</w:t>
      </w:r>
      <w:r>
        <w:rPr>
          <w:noProof/>
        </w:rPr>
        <w:t xml:space="preserve"> </w:t>
      </w:r>
      <w:r w:rsidRPr="00D768D2">
        <w:rPr>
          <w:noProof/>
        </w:rPr>
        <w:t>pamatsods</w:t>
      </w:r>
      <w:r>
        <w:rPr>
          <w:noProof/>
        </w:rPr>
        <w:t xml:space="preserve">. </w:t>
      </w:r>
      <w:r w:rsidR="009E1A86">
        <w:rPr>
          <w:noProof/>
        </w:rPr>
        <w:t>T</w:t>
      </w:r>
      <w:r w:rsidRPr="00D768D2">
        <w:rPr>
          <w:noProof/>
        </w:rPr>
        <w:t>iesas piespriest</w:t>
      </w:r>
      <w:r>
        <w:rPr>
          <w:noProof/>
        </w:rPr>
        <w:t>ā</w:t>
      </w:r>
      <w:r w:rsidRPr="00D768D2">
        <w:rPr>
          <w:noProof/>
        </w:rPr>
        <w:t xml:space="preserve"> brīvības atņemšana uz </w:t>
      </w:r>
      <w:r w:rsidR="00C6055C">
        <w:rPr>
          <w:noProof/>
        </w:rPr>
        <w:t>2</w:t>
      </w:r>
      <w:r w:rsidR="00C6055C" w:rsidRPr="00D768D2">
        <w:rPr>
          <w:noProof/>
        </w:rPr>
        <w:t xml:space="preserve"> </w:t>
      </w:r>
      <w:r w:rsidRPr="00D768D2">
        <w:rPr>
          <w:noProof/>
        </w:rPr>
        <w:t>gadiem</w:t>
      </w:r>
      <w:r>
        <w:rPr>
          <w:noProof/>
        </w:rPr>
        <w:t xml:space="preserve"> </w:t>
      </w:r>
      <w:r w:rsidRPr="00D768D2">
        <w:rPr>
          <w:noProof/>
        </w:rPr>
        <w:t>atrodas sankcijas zemākajā robežā</w:t>
      </w:r>
      <w:r>
        <w:rPr>
          <w:noProof/>
        </w:rPr>
        <w:t>.</w:t>
      </w:r>
    </w:p>
    <w:p w14:paraId="7839F5C4" w14:textId="2D11B0A6" w:rsidR="00872AAD" w:rsidRDefault="00872AAD" w:rsidP="00EE7E71">
      <w:pPr>
        <w:suppressAutoHyphens w:val="0"/>
        <w:spacing w:line="276" w:lineRule="auto"/>
        <w:ind w:firstLine="720"/>
        <w:jc w:val="both"/>
        <w:rPr>
          <w:noProof/>
        </w:rPr>
      </w:pPr>
      <w:r>
        <w:rPr>
          <w:noProof/>
        </w:rPr>
        <w:t>[1</w:t>
      </w:r>
      <w:r w:rsidR="00F676B8">
        <w:rPr>
          <w:noProof/>
        </w:rPr>
        <w:t>3</w:t>
      </w:r>
      <w:r>
        <w:rPr>
          <w:noProof/>
        </w:rPr>
        <w:t>.4] Atbildot uz pārējiem kasācijas sūdzības argumentiem</w:t>
      </w:r>
      <w:r w:rsidR="009E1A86">
        <w:rPr>
          <w:noProof/>
        </w:rPr>
        <w:t xml:space="preserve"> par soda piemērošanu</w:t>
      </w:r>
      <w:r>
        <w:rPr>
          <w:noProof/>
        </w:rPr>
        <w:t xml:space="preserve"> Senāts norāda turpmāko.</w:t>
      </w:r>
    </w:p>
    <w:p w14:paraId="6296620D" w14:textId="4918B854" w:rsidR="00872AAD" w:rsidRDefault="00872AAD" w:rsidP="00EE7E71">
      <w:pPr>
        <w:suppressAutoHyphens w:val="0"/>
        <w:spacing w:line="276" w:lineRule="auto"/>
        <w:ind w:firstLine="720"/>
        <w:jc w:val="both"/>
        <w:rPr>
          <w:noProof/>
        </w:rPr>
      </w:pPr>
      <w:r>
        <w:rPr>
          <w:noProof/>
        </w:rPr>
        <w:lastRenderedPageBreak/>
        <w:t>[1</w:t>
      </w:r>
      <w:r w:rsidR="00F676B8">
        <w:rPr>
          <w:noProof/>
        </w:rPr>
        <w:t>3</w:t>
      </w:r>
      <w:r>
        <w:rPr>
          <w:noProof/>
        </w:rPr>
        <w:t xml:space="preserve">.4.1] Apsūdzētā </w:t>
      </w:r>
      <w:r w:rsidR="0088482E">
        <w:rPr>
          <w:noProof/>
        </w:rPr>
        <w:t>[pers. A]</w:t>
      </w:r>
      <w:r w:rsidR="00E7624E">
        <w:rPr>
          <w:noProof/>
        </w:rPr>
        <w:t xml:space="preserve"> </w:t>
      </w:r>
      <w:r>
        <w:rPr>
          <w:noProof/>
        </w:rPr>
        <w:t>aizstāve kasācijas sūdzībā pamatoti norādījusi,</w:t>
      </w:r>
      <w:r w:rsidRPr="00551751">
        <w:rPr>
          <w:noProof/>
        </w:rPr>
        <w:t xml:space="preserve"> ka pazīme </w:t>
      </w:r>
      <w:r>
        <w:rPr>
          <w:noProof/>
        </w:rPr>
        <w:t>„</w:t>
      </w:r>
      <w:r w:rsidRPr="00551751">
        <w:rPr>
          <w:noProof/>
        </w:rPr>
        <w:t>liel</w:t>
      </w:r>
      <w:r>
        <w:rPr>
          <w:noProof/>
        </w:rPr>
        <w:t>ā</w:t>
      </w:r>
      <w:r w:rsidRPr="00551751">
        <w:rPr>
          <w:noProof/>
        </w:rPr>
        <w:t xml:space="preserve"> apmēr</w:t>
      </w:r>
      <w:r w:rsidR="00105A26">
        <w:rPr>
          <w:noProof/>
        </w:rPr>
        <w:t>ā</w:t>
      </w:r>
      <w:r w:rsidRPr="00551751">
        <w:rPr>
          <w:noProof/>
        </w:rPr>
        <w:t>” ietilpst Krimināllikuma 177.</w:t>
      </w:r>
      <w:r>
        <w:rPr>
          <w:noProof/>
        </w:rPr>
        <w:t> </w:t>
      </w:r>
      <w:r w:rsidRPr="00551751">
        <w:rPr>
          <w:noProof/>
        </w:rPr>
        <w:t>panta trešajā daļā paredzētā noziedzīgā nodarījuma sastāvā</w:t>
      </w:r>
      <w:r>
        <w:rPr>
          <w:noProof/>
        </w:rPr>
        <w:t>,</w:t>
      </w:r>
      <w:r w:rsidRPr="00551751">
        <w:rPr>
          <w:noProof/>
        </w:rPr>
        <w:t xml:space="preserve"> un tādēļ, atsaucoties vien</w:t>
      </w:r>
      <w:r>
        <w:rPr>
          <w:noProof/>
        </w:rPr>
        <w:t>īgi</w:t>
      </w:r>
      <w:r w:rsidRPr="00551751">
        <w:rPr>
          <w:noProof/>
        </w:rPr>
        <w:t xml:space="preserve"> uz </w:t>
      </w:r>
      <w:r>
        <w:rPr>
          <w:noProof/>
        </w:rPr>
        <w:t>to</w:t>
      </w:r>
      <w:r w:rsidRPr="00551751">
        <w:rPr>
          <w:noProof/>
        </w:rPr>
        <w:t xml:space="preserve">, </w:t>
      </w:r>
      <w:r>
        <w:rPr>
          <w:noProof/>
        </w:rPr>
        <w:t>n</w:t>
      </w:r>
      <w:r w:rsidR="009E1A86">
        <w:rPr>
          <w:noProof/>
        </w:rPr>
        <w:t xml:space="preserve">av pieļaujams </w:t>
      </w:r>
      <w:r>
        <w:rPr>
          <w:noProof/>
        </w:rPr>
        <w:t>noteikt individualizētu sodu</w:t>
      </w:r>
      <w:r w:rsidRPr="00551751">
        <w:rPr>
          <w:noProof/>
        </w:rPr>
        <w:t>.</w:t>
      </w:r>
    </w:p>
    <w:p w14:paraId="3E3C84AF" w14:textId="5F9366EC" w:rsidR="00872AAD" w:rsidRDefault="00C6055C" w:rsidP="00EE7E71">
      <w:pPr>
        <w:suppressAutoHyphens w:val="0"/>
        <w:spacing w:line="276" w:lineRule="auto"/>
        <w:ind w:firstLine="720"/>
        <w:jc w:val="both"/>
        <w:rPr>
          <w:noProof/>
        </w:rPr>
      </w:pPr>
      <w:r>
        <w:rPr>
          <w:noProof/>
        </w:rPr>
        <w:t>Tomēr apelācijas instances tiesa šādi nav rīkojusies, jo</w:t>
      </w:r>
      <w:r w:rsidR="00872AAD">
        <w:rPr>
          <w:noProof/>
        </w:rPr>
        <w:t xml:space="preserve"> </w:t>
      </w:r>
      <w:r w:rsidR="009E1A86">
        <w:rPr>
          <w:noProof/>
        </w:rPr>
        <w:t xml:space="preserve">tā </w:t>
      </w:r>
      <w:r w:rsidR="00872AAD">
        <w:rPr>
          <w:noProof/>
        </w:rPr>
        <w:t>ir iz</w:t>
      </w:r>
      <w:r w:rsidR="00872AAD" w:rsidRPr="00873409">
        <w:rPr>
          <w:noProof/>
        </w:rPr>
        <w:t xml:space="preserve">vērtējusi </w:t>
      </w:r>
      <w:r w:rsidR="00872AAD">
        <w:rPr>
          <w:noProof/>
        </w:rPr>
        <w:t xml:space="preserve">krāpšanas rezultātā </w:t>
      </w:r>
      <w:r w:rsidR="00872AAD" w:rsidRPr="00873409">
        <w:rPr>
          <w:noProof/>
        </w:rPr>
        <w:t>nodarītā mantiskā zaudējuma apmēru</w:t>
      </w:r>
      <w:r w:rsidR="00707B25">
        <w:rPr>
          <w:noProof/>
        </w:rPr>
        <w:t>. Tiesa</w:t>
      </w:r>
      <w:r w:rsidR="00872AAD">
        <w:rPr>
          <w:noProof/>
        </w:rPr>
        <w:t xml:space="preserve"> </w:t>
      </w:r>
      <w:r w:rsidR="00707B25">
        <w:rPr>
          <w:noProof/>
        </w:rPr>
        <w:t>motivēti secinājusi</w:t>
      </w:r>
      <w:r w:rsidR="00872AAD">
        <w:rPr>
          <w:noProof/>
        </w:rPr>
        <w:t xml:space="preserve">, ka </w:t>
      </w:r>
      <w:r w:rsidR="00707B25">
        <w:rPr>
          <w:noProof/>
        </w:rPr>
        <w:t>radītais mantiskais zaudējums</w:t>
      </w:r>
      <w:r w:rsidR="00707B25" w:rsidRPr="00873409">
        <w:rPr>
          <w:noProof/>
        </w:rPr>
        <w:t xml:space="preserve"> </w:t>
      </w:r>
      <w:r w:rsidR="00872AAD" w:rsidRPr="00873409">
        <w:rPr>
          <w:noProof/>
        </w:rPr>
        <w:t>būtiski pārsniedz kvalificējošās pazīmes minimālo robežu</w:t>
      </w:r>
      <w:r w:rsidR="00872AAD">
        <w:rPr>
          <w:noProof/>
        </w:rPr>
        <w:t>, un šo apstākli</w:t>
      </w:r>
      <w:r w:rsidR="009E1A86">
        <w:rPr>
          <w:noProof/>
        </w:rPr>
        <w:t xml:space="preserve"> ņēmusi vērā</w:t>
      </w:r>
      <w:r w:rsidR="00872AAD">
        <w:rPr>
          <w:noProof/>
        </w:rPr>
        <w:t>, individu</w:t>
      </w:r>
      <w:r w:rsidR="00FA02E0">
        <w:rPr>
          <w:noProof/>
        </w:rPr>
        <w:t>a</w:t>
      </w:r>
      <w:r w:rsidR="00872AAD">
        <w:rPr>
          <w:noProof/>
        </w:rPr>
        <w:t>lizējot sodu</w:t>
      </w:r>
      <w:r w:rsidR="008F79CD">
        <w:rPr>
          <w:noProof/>
        </w:rPr>
        <w:t>.</w:t>
      </w:r>
    </w:p>
    <w:p w14:paraId="19A2CFB6" w14:textId="6C482AE4" w:rsidR="009E1A86" w:rsidRDefault="00872AAD" w:rsidP="00EE7E71">
      <w:pPr>
        <w:suppressAutoHyphens w:val="0"/>
        <w:spacing w:line="276" w:lineRule="auto"/>
        <w:ind w:firstLine="720"/>
        <w:jc w:val="both"/>
        <w:rPr>
          <w:noProof/>
        </w:rPr>
      </w:pPr>
      <w:r>
        <w:rPr>
          <w:noProof/>
        </w:rPr>
        <w:t xml:space="preserve">Tiesas rīcība atbilst tās </w:t>
      </w:r>
      <w:r w:rsidRPr="00873409">
        <w:rPr>
          <w:noProof/>
        </w:rPr>
        <w:t>pienākum</w:t>
      </w:r>
      <w:r>
        <w:rPr>
          <w:noProof/>
        </w:rPr>
        <w:t>am</w:t>
      </w:r>
      <w:r w:rsidRPr="00873409">
        <w:rPr>
          <w:noProof/>
        </w:rPr>
        <w:t xml:space="preserve"> izvērtēt, kā noziedzīg</w:t>
      </w:r>
      <w:r>
        <w:rPr>
          <w:noProof/>
        </w:rPr>
        <w:t>ā</w:t>
      </w:r>
      <w:r w:rsidRPr="00873409">
        <w:rPr>
          <w:noProof/>
        </w:rPr>
        <w:t xml:space="preserve"> nodarījuma sastāva pazīme izpaud</w:t>
      </w:r>
      <w:r>
        <w:rPr>
          <w:noProof/>
        </w:rPr>
        <w:t>us</w:t>
      </w:r>
      <w:r w:rsidRPr="00873409">
        <w:rPr>
          <w:noProof/>
        </w:rPr>
        <w:t xml:space="preserve">ies konkrētajā situācijā, proti, kādā apmērā, veidā vai intensitātē tā raksturo izdarīto noziedzīgo nodarījumu un tā </w:t>
      </w:r>
      <w:r>
        <w:rPr>
          <w:noProof/>
        </w:rPr>
        <w:t>kaitīgumu</w:t>
      </w:r>
      <w:r w:rsidRPr="00873409">
        <w:rPr>
          <w:noProof/>
        </w:rPr>
        <w:t>. Šāda pieeja atbilst vainas principam un samērīga soda noteikšanas prasībai</w:t>
      </w:r>
      <w:r>
        <w:rPr>
          <w:noProof/>
        </w:rPr>
        <w:t>.</w:t>
      </w:r>
      <w:r w:rsidR="00420F44">
        <w:rPr>
          <w:noProof/>
        </w:rPr>
        <w:t xml:space="preserve"> </w:t>
      </w:r>
      <w:r w:rsidR="009E1A86" w:rsidRPr="00420F44">
        <w:rPr>
          <w:noProof/>
        </w:rPr>
        <w:t>Proti, jo vairāk ir pārsniegta liela apmēra robeža, jo lielāka nozīme šim apstāklim var būt piemērojamā soda mēra noteikšanā.</w:t>
      </w:r>
    </w:p>
    <w:p w14:paraId="3401ADED" w14:textId="1B0A3701" w:rsidR="00872AAD" w:rsidRPr="000C3376" w:rsidRDefault="00872AAD" w:rsidP="00EE7E71">
      <w:pPr>
        <w:suppressAutoHyphens w:val="0"/>
        <w:spacing w:line="276" w:lineRule="auto"/>
        <w:ind w:firstLine="720"/>
        <w:jc w:val="both"/>
        <w:rPr>
          <w:noProof/>
        </w:rPr>
      </w:pPr>
      <w:r>
        <w:rPr>
          <w:noProof/>
        </w:rPr>
        <w:t>[1</w:t>
      </w:r>
      <w:r w:rsidR="00F676B8">
        <w:rPr>
          <w:noProof/>
        </w:rPr>
        <w:t>3</w:t>
      </w:r>
      <w:r>
        <w:rPr>
          <w:noProof/>
        </w:rPr>
        <w:t>.4.2] </w:t>
      </w:r>
      <w:r>
        <w:rPr>
          <w:rFonts w:asciiTheme="majorBidi" w:hAnsiTheme="majorBidi" w:cstheme="majorBidi"/>
        </w:rPr>
        <w:t>Senāts par kļūdainu atzīst aizstāves viedokli, ka t</w:t>
      </w:r>
      <w:r w:rsidRPr="000869E9">
        <w:rPr>
          <w:rFonts w:asciiTheme="majorBidi" w:hAnsiTheme="majorBidi" w:cstheme="majorBidi"/>
        </w:rPr>
        <w:t xml:space="preserve">iesa </w:t>
      </w:r>
      <w:r>
        <w:rPr>
          <w:rFonts w:asciiTheme="majorBidi" w:hAnsiTheme="majorBidi" w:cstheme="majorBidi"/>
        </w:rPr>
        <w:t xml:space="preserve">nepamatoti par atbildību mīkstinošu apstākli </w:t>
      </w:r>
      <w:r w:rsidR="009E1A86">
        <w:rPr>
          <w:rFonts w:asciiTheme="majorBidi" w:hAnsiTheme="majorBidi" w:cstheme="majorBidi"/>
        </w:rPr>
        <w:t xml:space="preserve">nav atzinusi </w:t>
      </w:r>
      <w:r w:rsidRPr="000869E9">
        <w:rPr>
          <w:rFonts w:asciiTheme="majorBidi" w:hAnsiTheme="majorBidi" w:cstheme="majorBidi"/>
        </w:rPr>
        <w:t xml:space="preserve">apsūdzētā </w:t>
      </w:r>
      <w:r>
        <w:rPr>
          <w:rFonts w:asciiTheme="majorBidi" w:hAnsiTheme="majorBidi" w:cstheme="majorBidi"/>
        </w:rPr>
        <w:t>savas vainas atzīšanu un izdarītā nožēlošanu.</w:t>
      </w:r>
    </w:p>
    <w:p w14:paraId="3F7A2C99" w14:textId="674AA5A3" w:rsidR="00872AAD" w:rsidRDefault="00872AAD" w:rsidP="00EE7E71">
      <w:pPr>
        <w:suppressAutoHyphens w:val="0"/>
        <w:spacing w:line="276" w:lineRule="auto"/>
        <w:ind w:firstLine="720"/>
        <w:jc w:val="both"/>
        <w:rPr>
          <w:rFonts w:cs="Times New Roman"/>
          <w:color w:val="000000" w:themeColor="text1"/>
        </w:rPr>
      </w:pPr>
      <w:r>
        <w:rPr>
          <w:rFonts w:cs="Times New Roman"/>
        </w:rPr>
        <w:t>A</w:t>
      </w:r>
      <w:r w:rsidRPr="00BF3FA5">
        <w:rPr>
          <w:rFonts w:cs="Times New Roman"/>
        </w:rPr>
        <w:t>r vaļsirdīgu atzīšanos Krimināllikuma 47.</w:t>
      </w:r>
      <w:r>
        <w:rPr>
          <w:rFonts w:cs="Times New Roman"/>
        </w:rPr>
        <w:t> </w:t>
      </w:r>
      <w:r w:rsidRPr="00BF3FA5">
        <w:rPr>
          <w:rFonts w:cs="Times New Roman"/>
        </w:rPr>
        <w:t>panta izpratnē jāsaprot apsūdzētā pilnīg</w:t>
      </w:r>
      <w:r w:rsidR="00E7624E">
        <w:rPr>
          <w:rFonts w:cs="Times New Roman"/>
        </w:rPr>
        <w:t>u</w:t>
      </w:r>
      <w:r>
        <w:rPr>
          <w:rFonts w:cs="Times New Roman"/>
        </w:rPr>
        <w:t xml:space="preserve"> </w:t>
      </w:r>
      <w:r w:rsidRPr="00BF3FA5">
        <w:rPr>
          <w:rFonts w:cs="Times New Roman"/>
        </w:rPr>
        <w:t>atzīša</w:t>
      </w:r>
      <w:r>
        <w:rPr>
          <w:rFonts w:cs="Times New Roman"/>
        </w:rPr>
        <w:t>n</w:t>
      </w:r>
      <w:r w:rsidR="00E7624E">
        <w:rPr>
          <w:rFonts w:cs="Times New Roman"/>
        </w:rPr>
        <w:t>o</w:t>
      </w:r>
      <w:r w:rsidR="00B929AB">
        <w:rPr>
          <w:rFonts w:cs="Times New Roman"/>
        </w:rPr>
        <w:t>s</w:t>
      </w:r>
      <w:r w:rsidRPr="00BF3FA5">
        <w:rPr>
          <w:rFonts w:cs="Times New Roman"/>
        </w:rPr>
        <w:t xml:space="preserve"> inkriminētajā noziedzīgajā nodarījumā tādā apjomā, kā to konstatējusi tiesa, noziedzīgā nodarījuma motīvu ieskaitot. Gadījumos, kad šāda vaļsirdīga atzīšanās nav konstatējama, nav pamata atbildību mīkstinoša apstākļa konstatēšanai arī saskaņā ar Krimināllikuma</w:t>
      </w:r>
      <w:r>
        <w:rPr>
          <w:rFonts w:cs="Times New Roman"/>
        </w:rPr>
        <w:t xml:space="preserve"> </w:t>
      </w:r>
      <w:r w:rsidRPr="00BF3FA5">
        <w:rPr>
          <w:rFonts w:cs="Times New Roman"/>
        </w:rPr>
        <w:t>47. panta otro daļu</w:t>
      </w:r>
      <w:r w:rsidRPr="00BF3FA5">
        <w:rPr>
          <w:rFonts w:cs="Times New Roman"/>
          <w:color w:val="000000" w:themeColor="text1"/>
        </w:rPr>
        <w:t xml:space="preserve"> </w:t>
      </w:r>
      <w:r w:rsidRPr="00FE3925">
        <w:rPr>
          <w:rFonts w:cs="Times New Roman"/>
        </w:rPr>
        <w:t>(</w:t>
      </w:r>
      <w:r w:rsidR="00B929AB">
        <w:rPr>
          <w:rFonts w:cs="Times New Roman"/>
        </w:rPr>
        <w:t>sk. </w:t>
      </w:r>
      <w:r w:rsidRPr="00FE3925">
        <w:rPr>
          <w:rFonts w:cs="Times New Roman"/>
          <w:i/>
          <w:iCs/>
        </w:rPr>
        <w:t>Senāta 2021. gada 16. novembra</w:t>
      </w:r>
      <w:r>
        <w:rPr>
          <w:rFonts w:cs="Times New Roman"/>
          <w:i/>
          <w:iCs/>
        </w:rPr>
        <w:t xml:space="preserve"> </w:t>
      </w:r>
      <w:r w:rsidRPr="00FE3925">
        <w:rPr>
          <w:rFonts w:cs="Times New Roman"/>
          <w:i/>
          <w:iCs/>
        </w:rPr>
        <w:t>lēmuma</w:t>
      </w:r>
      <w:r>
        <w:rPr>
          <w:rFonts w:cs="Times New Roman"/>
          <w:i/>
          <w:iCs/>
        </w:rPr>
        <w:t xml:space="preserve"> </w:t>
      </w:r>
      <w:r w:rsidRPr="00FE3925">
        <w:rPr>
          <w:rFonts w:cs="Times New Roman"/>
          <w:i/>
          <w:iCs/>
        </w:rPr>
        <w:t>lietā</w:t>
      </w:r>
      <w:r>
        <w:rPr>
          <w:rFonts w:cs="Times New Roman"/>
          <w:i/>
          <w:iCs/>
        </w:rPr>
        <w:t xml:space="preserve"> </w:t>
      </w:r>
      <w:r w:rsidRPr="00FE3925">
        <w:rPr>
          <w:rFonts w:cs="Times New Roman"/>
          <w:i/>
          <w:iCs/>
        </w:rPr>
        <w:t>Nr. SKK</w:t>
      </w:r>
      <w:r w:rsidRPr="00FE3925">
        <w:rPr>
          <w:rFonts w:cs="Times New Roman"/>
          <w:i/>
          <w:iCs/>
        </w:rPr>
        <w:noBreakHyphen/>
        <w:t>126/2021, </w:t>
      </w:r>
      <w:hyperlink r:id="rId27" w:history="1">
        <w:r w:rsidRPr="00FE3925">
          <w:rPr>
            <w:rStyle w:val="Hyperlink"/>
            <w:rFonts w:cs="Times New Roman"/>
            <w:i/>
            <w:iCs/>
            <w:color w:val="auto"/>
            <w:u w:val="none"/>
            <w:shd w:val="clear" w:color="auto" w:fill="FFFFFF"/>
          </w:rPr>
          <w:t>ECLI:LV:AT:2021:1116.11353039018.3.L</w:t>
        </w:r>
      </w:hyperlink>
      <w:r w:rsidRPr="00FE3925">
        <w:rPr>
          <w:rFonts w:cs="Times New Roman"/>
          <w:i/>
          <w:iCs/>
        </w:rPr>
        <w:t>, 6.3.</w:t>
      </w:r>
      <w:r>
        <w:rPr>
          <w:rFonts w:cs="Times New Roman"/>
          <w:i/>
          <w:iCs/>
        </w:rPr>
        <w:t> </w:t>
      </w:r>
      <w:r w:rsidRPr="00FE3925">
        <w:rPr>
          <w:rFonts w:cs="Times New Roman"/>
          <w:i/>
          <w:iCs/>
        </w:rPr>
        <w:t>punkt</w:t>
      </w:r>
      <w:r w:rsidR="00B929AB">
        <w:rPr>
          <w:rFonts w:cs="Times New Roman"/>
          <w:i/>
          <w:iCs/>
        </w:rPr>
        <w:t>u</w:t>
      </w:r>
      <w:r w:rsidRPr="00FE3925">
        <w:rPr>
          <w:rFonts w:cs="Times New Roman"/>
          <w:i/>
          <w:iCs/>
        </w:rPr>
        <w:t>, 2023. gada 3. marta lēmuma lietā Nr. SKK</w:t>
      </w:r>
      <w:r w:rsidRPr="00FE3925">
        <w:rPr>
          <w:rFonts w:cs="Times New Roman"/>
          <w:i/>
          <w:iCs/>
        </w:rPr>
        <w:noBreakHyphen/>
        <w:t xml:space="preserve">5/2023, </w:t>
      </w:r>
      <w:hyperlink r:id="rId28" w:history="1">
        <w:r w:rsidRPr="00FE3925">
          <w:rPr>
            <w:rStyle w:val="Hyperlink"/>
            <w:rFonts w:cs="Times New Roman"/>
            <w:i/>
            <w:iCs/>
            <w:color w:val="auto"/>
            <w:u w:val="none"/>
          </w:rPr>
          <w:t>ECLI:LV:AT:2023:0303.15830010816.12.L</w:t>
        </w:r>
      </w:hyperlink>
      <w:r w:rsidRPr="00FE3925">
        <w:rPr>
          <w:rFonts w:cs="Times New Roman"/>
          <w:i/>
          <w:iCs/>
        </w:rPr>
        <w:t>, 6.3.</w:t>
      </w:r>
      <w:r>
        <w:rPr>
          <w:rFonts w:cs="Times New Roman"/>
          <w:i/>
          <w:iCs/>
        </w:rPr>
        <w:t> </w:t>
      </w:r>
      <w:r w:rsidRPr="00FE3925">
        <w:rPr>
          <w:rFonts w:cs="Times New Roman"/>
          <w:i/>
          <w:iCs/>
        </w:rPr>
        <w:t>punkt</w:t>
      </w:r>
      <w:r w:rsidR="00B929AB">
        <w:rPr>
          <w:rFonts w:cs="Times New Roman"/>
          <w:i/>
          <w:iCs/>
        </w:rPr>
        <w:t>u</w:t>
      </w:r>
      <w:r w:rsidRPr="00FE3925">
        <w:rPr>
          <w:rFonts w:cs="Times New Roman"/>
        </w:rPr>
        <w:t>).</w:t>
      </w:r>
    </w:p>
    <w:p w14:paraId="4D0DB8B5" w14:textId="77777777" w:rsidR="00872AAD" w:rsidRDefault="00872AAD" w:rsidP="00EE7E71">
      <w:pPr>
        <w:suppressAutoHyphens w:val="0"/>
        <w:spacing w:line="276" w:lineRule="auto"/>
        <w:ind w:firstLine="720"/>
        <w:jc w:val="both"/>
        <w:rPr>
          <w:rFonts w:cs="Times New Roman"/>
          <w:color w:val="000000" w:themeColor="text1"/>
        </w:rPr>
      </w:pPr>
      <w:r>
        <w:rPr>
          <w:rFonts w:cs="Times New Roman"/>
          <w:color w:val="000000" w:themeColor="text1"/>
        </w:rPr>
        <w:t>No pārsūdzētā sprieduma izriet, ka apsūdzētais atzinis kļūdu grāmatvedības dokumentu noformēšanā, taču apgalvojis, ka to pieļāvis aiz neuzmanības, citiem vārdiem, nav atzinis inkriminētā noziedzīgā nodarījuma subjektīvās puses esību.</w:t>
      </w:r>
    </w:p>
    <w:p w14:paraId="4996A2F0" w14:textId="0E99FF23" w:rsidR="00292D5D" w:rsidRDefault="00872AAD" w:rsidP="00EE7E71">
      <w:pPr>
        <w:suppressAutoHyphens w:val="0"/>
        <w:spacing w:line="276" w:lineRule="auto"/>
        <w:ind w:firstLine="720"/>
        <w:jc w:val="both"/>
        <w:rPr>
          <w:rFonts w:cs="Times New Roman"/>
          <w:color w:val="000000" w:themeColor="text1"/>
        </w:rPr>
      </w:pPr>
      <w:r>
        <w:rPr>
          <w:rFonts w:cs="Times New Roman"/>
          <w:color w:val="000000" w:themeColor="text1"/>
        </w:rPr>
        <w:t>Senāts atzīst, ka šād</w:t>
      </w:r>
      <w:r w:rsidR="00B929AB">
        <w:rPr>
          <w:rFonts w:cs="Times New Roman"/>
          <w:color w:val="000000" w:themeColor="text1"/>
        </w:rPr>
        <w:t>os</w:t>
      </w:r>
      <w:r>
        <w:rPr>
          <w:rFonts w:cs="Times New Roman"/>
          <w:color w:val="000000" w:themeColor="text1"/>
        </w:rPr>
        <w:t xml:space="preserve"> apstākļ</w:t>
      </w:r>
      <w:r w:rsidR="00B929AB">
        <w:rPr>
          <w:rFonts w:cs="Times New Roman"/>
          <w:color w:val="000000" w:themeColor="text1"/>
        </w:rPr>
        <w:t>os</w:t>
      </w:r>
      <w:r>
        <w:rPr>
          <w:rFonts w:cs="Times New Roman"/>
          <w:color w:val="000000" w:themeColor="text1"/>
        </w:rPr>
        <w:t xml:space="preserve"> tiesa pamatoti </w:t>
      </w:r>
      <w:r w:rsidRPr="00E76E59">
        <w:rPr>
          <w:rFonts w:cs="Times New Roman"/>
          <w:color w:val="000000" w:themeColor="text1"/>
        </w:rPr>
        <w:t>kļūd</w:t>
      </w:r>
      <w:r>
        <w:rPr>
          <w:rFonts w:cs="Times New Roman"/>
          <w:color w:val="000000" w:themeColor="text1"/>
        </w:rPr>
        <w:t xml:space="preserve">as atzīšanu nav atzinusi par </w:t>
      </w:r>
      <w:r w:rsidR="009E1A86">
        <w:rPr>
          <w:rFonts w:cs="Times New Roman"/>
          <w:color w:val="000000" w:themeColor="text1"/>
        </w:rPr>
        <w:t xml:space="preserve">apsūdzētā </w:t>
      </w:r>
      <w:r>
        <w:rPr>
          <w:rFonts w:cs="Times New Roman"/>
          <w:color w:val="000000" w:themeColor="text1"/>
        </w:rPr>
        <w:t>atbildību mīkstinošu apstākli.</w:t>
      </w:r>
    </w:p>
    <w:p w14:paraId="4F28924E" w14:textId="01B24779" w:rsidR="00872AAD" w:rsidRDefault="00872AAD" w:rsidP="00EE7E71">
      <w:pPr>
        <w:suppressAutoHyphens w:val="0"/>
        <w:spacing w:line="276" w:lineRule="auto"/>
        <w:ind w:firstLine="720"/>
        <w:jc w:val="both"/>
        <w:rPr>
          <w:rFonts w:cs="Times New Roman"/>
          <w:color w:val="000000" w:themeColor="text1"/>
        </w:rPr>
      </w:pPr>
      <w:r>
        <w:rPr>
          <w:rFonts w:cs="Times New Roman"/>
          <w:color w:val="000000" w:themeColor="text1"/>
        </w:rPr>
        <w:t>[1</w:t>
      </w:r>
      <w:r w:rsidR="00F676B8">
        <w:rPr>
          <w:rFonts w:cs="Times New Roman"/>
          <w:color w:val="000000" w:themeColor="text1"/>
        </w:rPr>
        <w:t>3</w:t>
      </w:r>
      <w:r>
        <w:rPr>
          <w:rFonts w:cs="Times New Roman"/>
          <w:color w:val="000000" w:themeColor="text1"/>
        </w:rPr>
        <w:t>.4.3] Senāts konstatē, ka pretēji kasācijas sūdzībā norādītajam tiesa ir izvērtējusi pirmstiesas procesa un iztiesāšanas norisi un konstatējusi apsūdzētā tiesību uz kriminālprocesa pabeigšanu saprātīgā termiņā pārkāpumu</w:t>
      </w:r>
      <w:r w:rsidR="001C51E6">
        <w:rPr>
          <w:rFonts w:cs="Times New Roman"/>
          <w:color w:val="000000" w:themeColor="text1"/>
        </w:rPr>
        <w:t>, un šī iemesla dēļ</w:t>
      </w:r>
      <w:r w:rsidR="009E1A86">
        <w:rPr>
          <w:rFonts w:cs="Times New Roman"/>
          <w:color w:val="000000" w:themeColor="text1"/>
        </w:rPr>
        <w:t xml:space="preserve"> </w:t>
      </w:r>
      <w:r>
        <w:rPr>
          <w:rFonts w:cs="Times New Roman"/>
          <w:color w:val="000000" w:themeColor="text1"/>
        </w:rPr>
        <w:t>gan pirmās, gan apelācijas instances tiesa</w:t>
      </w:r>
      <w:r w:rsidR="00EF5B4D">
        <w:rPr>
          <w:rFonts w:cs="Times New Roman"/>
          <w:color w:val="000000" w:themeColor="text1"/>
        </w:rPr>
        <w:t>, nosakot sodu</w:t>
      </w:r>
      <w:r>
        <w:rPr>
          <w:rFonts w:cs="Times New Roman"/>
          <w:color w:val="000000" w:themeColor="text1"/>
        </w:rPr>
        <w:t xml:space="preserve"> pēc Krimināllikuma 177. panta trešās daļas</w:t>
      </w:r>
      <w:r w:rsidR="00EF5B4D">
        <w:rPr>
          <w:rFonts w:cs="Times New Roman"/>
          <w:color w:val="000000" w:themeColor="text1"/>
        </w:rPr>
        <w:t>,</w:t>
      </w:r>
      <w:r>
        <w:rPr>
          <w:rFonts w:cs="Times New Roman"/>
          <w:color w:val="000000" w:themeColor="text1"/>
        </w:rPr>
        <w:t xml:space="preserve"> </w:t>
      </w:r>
      <w:r w:rsidR="00C6055C">
        <w:rPr>
          <w:rFonts w:cs="Times New Roman"/>
          <w:color w:val="000000" w:themeColor="text1"/>
        </w:rPr>
        <w:t xml:space="preserve">ir samazinājušas brīvības atņemšanas ilgumu </w:t>
      </w:r>
      <w:r>
        <w:rPr>
          <w:rFonts w:cs="Times New Roman"/>
          <w:color w:val="000000" w:themeColor="text1"/>
        </w:rPr>
        <w:t>saskaņā ar Krimināllikuma 49.</w:t>
      </w:r>
      <w:r w:rsidRPr="00C53DB4">
        <w:rPr>
          <w:rFonts w:cs="Times New Roman"/>
          <w:color w:val="000000" w:themeColor="text1"/>
          <w:vertAlign w:val="superscript"/>
        </w:rPr>
        <w:t>1</w:t>
      </w:r>
      <w:r>
        <w:rPr>
          <w:rFonts w:cs="Times New Roman"/>
          <w:color w:val="000000" w:themeColor="text1"/>
        </w:rPr>
        <w:t> panta pirmās daļas 1. punktu.</w:t>
      </w:r>
    </w:p>
    <w:p w14:paraId="62819FB6" w14:textId="7F1FAFDC" w:rsidR="00872AAD" w:rsidRDefault="00872AAD" w:rsidP="00EE7E71">
      <w:pPr>
        <w:suppressAutoHyphens w:val="0"/>
        <w:spacing w:line="276" w:lineRule="auto"/>
        <w:ind w:firstLine="720"/>
        <w:jc w:val="both"/>
        <w:rPr>
          <w:rFonts w:cs="Times New Roman"/>
          <w:color w:val="000000" w:themeColor="text1"/>
        </w:rPr>
      </w:pPr>
      <w:r w:rsidRPr="00D14A17">
        <w:rPr>
          <w:rFonts w:asciiTheme="majorBidi" w:eastAsia="Calibri" w:hAnsiTheme="majorBidi" w:cstheme="majorBidi"/>
        </w:rPr>
        <w:t>A</w:t>
      </w:r>
      <w:r>
        <w:rPr>
          <w:rFonts w:asciiTheme="majorBidi" w:eastAsia="Calibri" w:hAnsiTheme="majorBidi" w:cstheme="majorBidi"/>
        </w:rPr>
        <w:t>tbildot uz apsūdzētā aizstāves argumentu, ka a</w:t>
      </w:r>
      <w:r w:rsidRPr="00D14A17">
        <w:rPr>
          <w:rFonts w:asciiTheme="majorBidi" w:eastAsia="Calibri" w:hAnsiTheme="majorBidi" w:cstheme="majorBidi"/>
        </w:rPr>
        <w:t>pelācijas instances tiesa n</w:t>
      </w:r>
      <w:r>
        <w:rPr>
          <w:rFonts w:asciiTheme="majorBidi" w:eastAsia="Calibri" w:hAnsiTheme="majorBidi" w:cstheme="majorBidi"/>
        </w:rPr>
        <w:t>av novērsusi pretrunas</w:t>
      </w:r>
      <w:r w:rsidRPr="00D14A17">
        <w:rPr>
          <w:rFonts w:asciiTheme="majorBidi" w:eastAsia="Calibri" w:hAnsiTheme="majorBidi" w:cstheme="majorBidi"/>
        </w:rPr>
        <w:t xml:space="preserve"> pirmās instances tiesas </w:t>
      </w:r>
      <w:r w:rsidR="00512EBB">
        <w:rPr>
          <w:rFonts w:asciiTheme="majorBidi" w:eastAsia="Calibri" w:hAnsiTheme="majorBidi" w:cstheme="majorBidi"/>
        </w:rPr>
        <w:t>spriedumā –</w:t>
      </w:r>
      <w:r w:rsidRPr="00D14A17">
        <w:rPr>
          <w:rFonts w:asciiTheme="majorBidi" w:eastAsia="Times New Roman" w:hAnsiTheme="majorBidi" w:cstheme="majorBidi"/>
          <w:lang w:eastAsia="lv-LV"/>
        </w:rPr>
        <w:t xml:space="preserve"> </w:t>
      </w:r>
      <w:r>
        <w:rPr>
          <w:rFonts w:asciiTheme="majorBidi" w:eastAsia="Times New Roman" w:hAnsiTheme="majorBidi" w:cstheme="majorBidi"/>
          <w:lang w:eastAsia="lv-LV"/>
        </w:rPr>
        <w:t>„</w:t>
      </w:r>
      <w:r w:rsidRPr="00D14A17">
        <w:rPr>
          <w:rFonts w:asciiTheme="majorBidi" w:eastAsia="Times New Roman" w:hAnsiTheme="majorBidi" w:cstheme="majorBidi"/>
          <w:lang w:eastAsia="lv-LV"/>
        </w:rPr>
        <w:t xml:space="preserve">lietā nav pieļauta neattaisnota </w:t>
      </w:r>
      <w:r>
        <w:rPr>
          <w:rFonts w:asciiTheme="majorBidi" w:eastAsia="Times New Roman" w:hAnsiTheme="majorBidi" w:cstheme="majorBidi"/>
          <w:lang w:eastAsia="lv-LV"/>
        </w:rPr>
        <w:t xml:space="preserve">kriminālprocesa </w:t>
      </w:r>
      <w:r w:rsidRPr="00D14A17">
        <w:rPr>
          <w:rFonts w:asciiTheme="majorBidi" w:eastAsia="Times New Roman" w:hAnsiTheme="majorBidi" w:cstheme="majorBidi"/>
          <w:lang w:eastAsia="lv-LV"/>
        </w:rPr>
        <w:t>novilcināšana</w:t>
      </w:r>
      <w:r>
        <w:rPr>
          <w:rFonts w:asciiTheme="majorBidi" w:eastAsia="Times New Roman" w:hAnsiTheme="majorBidi" w:cstheme="majorBidi"/>
          <w:lang w:eastAsia="lv-LV"/>
        </w:rPr>
        <w:t>, taču nav ievērotas personas tiesības uz kriminālprocesa pabeigšanu saprātīgā termiņā”</w:t>
      </w:r>
      <w:r w:rsidR="00512EBB">
        <w:rPr>
          <w:rFonts w:asciiTheme="majorBidi" w:eastAsia="Times New Roman" w:hAnsiTheme="majorBidi" w:cstheme="majorBidi"/>
          <w:lang w:eastAsia="lv-LV"/>
        </w:rPr>
        <w:t xml:space="preserve"> </w:t>
      </w:r>
      <w:r w:rsidR="00512EBB">
        <w:rPr>
          <w:rFonts w:asciiTheme="majorBidi" w:eastAsia="Calibri" w:hAnsiTheme="majorBidi" w:cstheme="majorBidi"/>
        </w:rPr>
        <w:t>–</w:t>
      </w:r>
      <w:r>
        <w:rPr>
          <w:rFonts w:asciiTheme="majorBidi" w:eastAsia="Times New Roman" w:hAnsiTheme="majorBidi" w:cstheme="majorBidi"/>
          <w:lang w:eastAsia="lv-LV"/>
        </w:rPr>
        <w:t xml:space="preserve">, </w:t>
      </w:r>
      <w:r>
        <w:rPr>
          <w:rFonts w:cs="Times New Roman"/>
          <w:color w:val="000000" w:themeColor="text1"/>
        </w:rPr>
        <w:t xml:space="preserve">Senāts </w:t>
      </w:r>
      <w:r w:rsidR="00512EBB">
        <w:rPr>
          <w:rFonts w:cs="Times New Roman"/>
          <w:color w:val="000000" w:themeColor="text1"/>
        </w:rPr>
        <w:t>vērš uzmanību</w:t>
      </w:r>
      <w:r w:rsidR="009E1A86">
        <w:rPr>
          <w:rFonts w:cs="Times New Roman"/>
          <w:color w:val="000000" w:themeColor="text1"/>
        </w:rPr>
        <w:t xml:space="preserve"> uz to</w:t>
      </w:r>
      <w:r>
        <w:rPr>
          <w:rFonts w:cs="Times New Roman"/>
          <w:color w:val="000000" w:themeColor="text1"/>
        </w:rPr>
        <w:t xml:space="preserve">, ka apelācijas instances tiesa ir </w:t>
      </w:r>
      <w:r w:rsidR="00512EBB">
        <w:rPr>
          <w:rFonts w:cs="Times New Roman"/>
          <w:color w:val="000000" w:themeColor="text1"/>
        </w:rPr>
        <w:t>konstatējusi</w:t>
      </w:r>
      <w:r>
        <w:rPr>
          <w:rFonts w:cs="Times New Roman"/>
          <w:color w:val="000000" w:themeColor="text1"/>
        </w:rPr>
        <w:t xml:space="preserve">, ka </w:t>
      </w:r>
      <w:r w:rsidRPr="00F56B72">
        <w:rPr>
          <w:rFonts w:cs="Times New Roman"/>
          <w:color w:val="000000" w:themeColor="text1"/>
        </w:rPr>
        <w:t>pirmās instances tiesa ir piemērojusi</w:t>
      </w:r>
      <w:r>
        <w:rPr>
          <w:rFonts w:cs="Times New Roman"/>
          <w:color w:val="000000" w:themeColor="text1"/>
        </w:rPr>
        <w:t> </w:t>
      </w:r>
      <w:r w:rsidRPr="00F56B72">
        <w:rPr>
          <w:rFonts w:cs="Times New Roman"/>
          <w:color w:val="000000" w:themeColor="text1"/>
        </w:rPr>
        <w:t>Krimināllikuma 49.</w:t>
      </w:r>
      <w:r w:rsidRPr="00F56B72">
        <w:rPr>
          <w:rFonts w:cs="Times New Roman"/>
          <w:color w:val="000000" w:themeColor="text1"/>
          <w:vertAlign w:val="superscript"/>
        </w:rPr>
        <w:t>1</w:t>
      </w:r>
      <w:r w:rsidR="00512EBB">
        <w:rPr>
          <w:rFonts w:cs="Times New Roman"/>
          <w:color w:val="000000" w:themeColor="text1"/>
        </w:rPr>
        <w:t> </w:t>
      </w:r>
      <w:r w:rsidRPr="00F56B72">
        <w:rPr>
          <w:rFonts w:cs="Times New Roman"/>
          <w:color w:val="000000" w:themeColor="text1"/>
        </w:rPr>
        <w:t>panta pirmās daļas 1.</w:t>
      </w:r>
      <w:r w:rsidR="00512EBB">
        <w:rPr>
          <w:rFonts w:cs="Times New Roman"/>
          <w:color w:val="000000" w:themeColor="text1"/>
        </w:rPr>
        <w:t> </w:t>
      </w:r>
      <w:r w:rsidRPr="00F56B72">
        <w:rPr>
          <w:rFonts w:cs="Times New Roman"/>
          <w:color w:val="000000" w:themeColor="text1"/>
        </w:rPr>
        <w:t xml:space="preserve">punkta nosacījumus, </w:t>
      </w:r>
      <w:r w:rsidR="00C6055C">
        <w:rPr>
          <w:rFonts w:cs="Times New Roman"/>
          <w:color w:val="000000" w:themeColor="text1"/>
        </w:rPr>
        <w:t>samazinot brīvības atņemšanas ilgumu un</w:t>
      </w:r>
      <w:r w:rsidR="00C6055C" w:rsidRPr="00F56B72">
        <w:rPr>
          <w:rFonts w:cs="Times New Roman"/>
          <w:color w:val="000000" w:themeColor="text1"/>
        </w:rPr>
        <w:t xml:space="preserve"> </w:t>
      </w:r>
      <w:r w:rsidRPr="00F56B72">
        <w:rPr>
          <w:rFonts w:cs="Times New Roman"/>
          <w:color w:val="000000" w:themeColor="text1"/>
        </w:rPr>
        <w:t xml:space="preserve">pietuvinot </w:t>
      </w:r>
      <w:r w:rsidR="00C6055C">
        <w:rPr>
          <w:rFonts w:cs="Times New Roman"/>
          <w:color w:val="000000" w:themeColor="text1"/>
        </w:rPr>
        <w:t>to sankcijas</w:t>
      </w:r>
      <w:r w:rsidR="00C6055C" w:rsidRPr="00F56B72">
        <w:rPr>
          <w:rFonts w:cs="Times New Roman"/>
          <w:color w:val="000000" w:themeColor="text1"/>
        </w:rPr>
        <w:t xml:space="preserve"> </w:t>
      </w:r>
      <w:r w:rsidRPr="00F56B72">
        <w:rPr>
          <w:rFonts w:cs="Times New Roman"/>
          <w:color w:val="000000" w:themeColor="text1"/>
        </w:rPr>
        <w:t xml:space="preserve">minimālajai robežai, </w:t>
      </w:r>
      <w:r w:rsidR="00512EBB">
        <w:rPr>
          <w:rFonts w:cs="Times New Roman"/>
          <w:color w:val="000000" w:themeColor="text1"/>
        </w:rPr>
        <w:t>un atzinusi to par</w:t>
      </w:r>
      <w:r w:rsidRPr="00F56B72">
        <w:rPr>
          <w:rFonts w:cs="Times New Roman"/>
          <w:color w:val="000000" w:themeColor="text1"/>
        </w:rPr>
        <w:t xml:space="preserve"> samērīg</w:t>
      </w:r>
      <w:r w:rsidR="00512EBB">
        <w:rPr>
          <w:rFonts w:cs="Times New Roman"/>
          <w:color w:val="000000" w:themeColor="text1"/>
        </w:rPr>
        <w:t>u</w:t>
      </w:r>
      <w:r w:rsidRPr="00F56B72">
        <w:rPr>
          <w:rFonts w:cs="Times New Roman"/>
          <w:color w:val="000000" w:themeColor="text1"/>
        </w:rPr>
        <w:t xml:space="preserve"> atlīdzinājum</w:t>
      </w:r>
      <w:r w:rsidR="00512EBB">
        <w:rPr>
          <w:rFonts w:cs="Times New Roman"/>
          <w:color w:val="000000" w:themeColor="text1"/>
        </w:rPr>
        <w:t>u</w:t>
      </w:r>
      <w:r w:rsidRPr="00F56B72">
        <w:rPr>
          <w:rFonts w:cs="Times New Roman"/>
          <w:color w:val="000000" w:themeColor="text1"/>
        </w:rPr>
        <w:t xml:space="preserve"> par</w:t>
      </w:r>
      <w:r w:rsidR="00512EBB">
        <w:rPr>
          <w:rFonts w:cs="Times New Roman"/>
          <w:color w:val="000000" w:themeColor="text1"/>
        </w:rPr>
        <w:t xml:space="preserve"> tiesību uz kriminālprocesa pabeigšanu</w:t>
      </w:r>
      <w:r w:rsidRPr="00F56B72">
        <w:rPr>
          <w:rFonts w:cs="Times New Roman"/>
          <w:color w:val="000000" w:themeColor="text1"/>
        </w:rPr>
        <w:t xml:space="preserve"> saprātīg</w:t>
      </w:r>
      <w:r w:rsidR="00512EBB">
        <w:rPr>
          <w:rFonts w:cs="Times New Roman"/>
          <w:color w:val="000000" w:themeColor="text1"/>
        </w:rPr>
        <w:t>ā</w:t>
      </w:r>
      <w:r w:rsidRPr="00F56B72">
        <w:rPr>
          <w:rFonts w:cs="Times New Roman"/>
          <w:color w:val="000000" w:themeColor="text1"/>
        </w:rPr>
        <w:t xml:space="preserve"> termiņ</w:t>
      </w:r>
      <w:r w:rsidR="00512EBB">
        <w:rPr>
          <w:rFonts w:cs="Times New Roman"/>
          <w:color w:val="000000" w:themeColor="text1"/>
        </w:rPr>
        <w:t>ā</w:t>
      </w:r>
      <w:r w:rsidRPr="00F56B72">
        <w:rPr>
          <w:rFonts w:cs="Times New Roman"/>
          <w:color w:val="000000" w:themeColor="text1"/>
        </w:rPr>
        <w:t xml:space="preserve"> neievērošanu.</w:t>
      </w:r>
    </w:p>
    <w:p w14:paraId="6F467185" w14:textId="3EE378E2" w:rsidR="00530A96" w:rsidRDefault="00B40F57" w:rsidP="00EE7E71">
      <w:pPr>
        <w:suppressAutoHyphens w:val="0"/>
        <w:spacing w:line="276" w:lineRule="auto"/>
        <w:ind w:firstLine="720"/>
        <w:jc w:val="both"/>
        <w:rPr>
          <w:rFonts w:cs="Times New Roman"/>
          <w:color w:val="000000" w:themeColor="text1"/>
        </w:rPr>
      </w:pPr>
      <w:r>
        <w:rPr>
          <w:rFonts w:cs="Times New Roman"/>
          <w:color w:val="000000" w:themeColor="text1"/>
        </w:rPr>
        <w:t>A</w:t>
      </w:r>
      <w:r w:rsidR="00530A96">
        <w:rPr>
          <w:rFonts w:cs="Times New Roman"/>
          <w:color w:val="000000" w:themeColor="text1"/>
        </w:rPr>
        <w:t>izstāve kasācijas sūdzībā nav pamatojusi, kā pirmās instances tiesas neveiksmīgi formulētais arguments, varēja ietekmēt apelācijas instances tiesas nolēmuma pamatotību.</w:t>
      </w:r>
    </w:p>
    <w:p w14:paraId="377787B5" w14:textId="08677697" w:rsidR="00872AAD" w:rsidRDefault="00872AAD" w:rsidP="00EE7E71">
      <w:pPr>
        <w:suppressAutoHyphens w:val="0"/>
        <w:spacing w:line="276" w:lineRule="auto"/>
        <w:ind w:firstLine="720"/>
        <w:jc w:val="both"/>
        <w:rPr>
          <w:rFonts w:cs="Times New Roman"/>
          <w:color w:val="000000" w:themeColor="text1"/>
        </w:rPr>
      </w:pPr>
    </w:p>
    <w:p w14:paraId="7F9DF142" w14:textId="3D5FEF5F" w:rsidR="00872AAD" w:rsidRPr="000C3376" w:rsidRDefault="00872AAD" w:rsidP="00EE7E71">
      <w:pPr>
        <w:suppressAutoHyphens w:val="0"/>
        <w:spacing w:line="276" w:lineRule="auto"/>
        <w:jc w:val="center"/>
        <w:rPr>
          <w:rFonts w:cs="Times New Roman"/>
          <w:b/>
          <w:bCs/>
          <w:color w:val="000000" w:themeColor="text1"/>
        </w:rPr>
      </w:pPr>
      <w:r>
        <w:rPr>
          <w:rFonts w:cs="Times New Roman"/>
          <w:b/>
          <w:bCs/>
          <w:color w:val="000000" w:themeColor="text1"/>
        </w:rPr>
        <w:lastRenderedPageBreak/>
        <w:t>VII</w:t>
      </w:r>
    </w:p>
    <w:p w14:paraId="693D6E41" w14:textId="77777777" w:rsidR="00872AAD" w:rsidRPr="000C3376" w:rsidRDefault="00872AAD" w:rsidP="00EE7E71">
      <w:pPr>
        <w:suppressAutoHyphens w:val="0"/>
        <w:spacing w:line="276" w:lineRule="auto"/>
        <w:jc w:val="center"/>
        <w:rPr>
          <w:i/>
          <w:iCs/>
          <w:noProof/>
        </w:rPr>
      </w:pPr>
      <w:r w:rsidRPr="000C3376">
        <w:rPr>
          <w:i/>
          <w:iCs/>
          <w:noProof/>
        </w:rPr>
        <w:t>Par Krimināllikuma 55. panta nepiemērošanu</w:t>
      </w:r>
    </w:p>
    <w:p w14:paraId="74BBA86C" w14:textId="77777777" w:rsidR="00872AAD" w:rsidRDefault="00872AAD" w:rsidP="00EE7E71">
      <w:pPr>
        <w:suppressAutoHyphens w:val="0"/>
        <w:spacing w:line="276" w:lineRule="auto"/>
        <w:ind w:firstLine="720"/>
        <w:jc w:val="both"/>
        <w:rPr>
          <w:rFonts w:cs="Times New Roman"/>
        </w:rPr>
      </w:pPr>
    </w:p>
    <w:p w14:paraId="5E393E41" w14:textId="28323CAD" w:rsidR="00872AAD" w:rsidRDefault="00872AAD" w:rsidP="00EE7E71">
      <w:pPr>
        <w:suppressAutoHyphens w:val="0"/>
        <w:spacing w:line="276" w:lineRule="auto"/>
        <w:ind w:firstLine="720"/>
        <w:jc w:val="both"/>
        <w:rPr>
          <w:rFonts w:asciiTheme="majorBidi" w:hAnsiTheme="majorBidi" w:cstheme="majorBidi"/>
        </w:rPr>
      </w:pPr>
      <w:r>
        <w:rPr>
          <w:rFonts w:asciiTheme="majorBidi" w:hAnsiTheme="majorBidi" w:cstheme="majorBidi"/>
        </w:rPr>
        <w:t>[1</w:t>
      </w:r>
      <w:r w:rsidR="00F676B8">
        <w:rPr>
          <w:rFonts w:asciiTheme="majorBidi" w:hAnsiTheme="majorBidi" w:cstheme="majorBidi"/>
        </w:rPr>
        <w:t>4</w:t>
      </w:r>
      <w:r>
        <w:rPr>
          <w:rFonts w:asciiTheme="majorBidi" w:hAnsiTheme="majorBidi" w:cstheme="majorBidi"/>
        </w:rPr>
        <w:t>] Turpinājumā Senāts pārbaudīs, vai</w:t>
      </w:r>
      <w:r w:rsidRPr="00794843">
        <w:rPr>
          <w:rFonts w:asciiTheme="majorBidi" w:hAnsiTheme="majorBidi" w:cstheme="majorBidi"/>
        </w:rPr>
        <w:t xml:space="preserve"> </w:t>
      </w:r>
      <w:r>
        <w:rPr>
          <w:rFonts w:asciiTheme="majorBidi" w:hAnsiTheme="majorBidi" w:cstheme="majorBidi"/>
        </w:rPr>
        <w:t xml:space="preserve">apelācijas instances tiesa </w:t>
      </w:r>
      <w:r w:rsidRPr="006D2F35">
        <w:rPr>
          <w:rFonts w:asciiTheme="majorBidi" w:hAnsiTheme="majorBidi" w:cstheme="majorBidi"/>
        </w:rPr>
        <w:t>ir pieļāvusi Krimināllikuma 55.</w:t>
      </w:r>
      <w:r>
        <w:rPr>
          <w:rFonts w:asciiTheme="majorBidi" w:hAnsiTheme="majorBidi" w:cstheme="majorBidi"/>
        </w:rPr>
        <w:t> </w:t>
      </w:r>
      <w:r w:rsidRPr="006D2F35">
        <w:rPr>
          <w:rFonts w:asciiTheme="majorBidi" w:hAnsiTheme="majorBidi" w:cstheme="majorBidi"/>
        </w:rPr>
        <w:t>panta pārkāpumu</w:t>
      </w:r>
      <w:r>
        <w:rPr>
          <w:rFonts w:asciiTheme="majorBidi" w:hAnsiTheme="majorBidi" w:cstheme="majorBidi"/>
        </w:rPr>
        <w:t>.</w:t>
      </w:r>
    </w:p>
    <w:p w14:paraId="551629BD" w14:textId="77777777" w:rsidR="00872AAD" w:rsidRDefault="00872AAD" w:rsidP="00EE7E71">
      <w:pPr>
        <w:suppressAutoHyphens w:val="0"/>
        <w:spacing w:line="276" w:lineRule="auto"/>
        <w:ind w:firstLine="720"/>
        <w:jc w:val="both"/>
        <w:rPr>
          <w:rFonts w:cs="Times New Roman"/>
        </w:rPr>
      </w:pPr>
      <w:r>
        <w:rPr>
          <w:rFonts w:cs="Times New Roman"/>
        </w:rPr>
        <w:t>Saskaņā ar Krimināllikuma 55. panta pirmo daļu (</w:t>
      </w:r>
      <w:r w:rsidRPr="00004FA7">
        <w:rPr>
          <w:rFonts w:cs="Times New Roman"/>
        </w:rPr>
        <w:t>redakcijā līdz 2024. gada 31. decembrim</w:t>
      </w:r>
      <w:r>
        <w:rPr>
          <w:rFonts w:cs="Times New Roman"/>
        </w:rPr>
        <w:t>), j</w:t>
      </w:r>
      <w:r w:rsidRPr="00CA682C">
        <w:rPr>
          <w:rFonts w:cs="Times New Roman"/>
        </w:rPr>
        <w:t xml:space="preserve">a, nosakot sodu </w:t>
      </w:r>
      <w:r>
        <w:rPr>
          <w:rFonts w:cs="Times New Roman"/>
        </w:rPr>
        <w:t>–</w:t>
      </w:r>
      <w:r w:rsidRPr="00CA682C">
        <w:rPr>
          <w:rFonts w:cs="Times New Roman"/>
        </w:rPr>
        <w:t xml:space="preserve"> brīvības atņemšan</w:t>
      </w:r>
      <w:r>
        <w:rPr>
          <w:rFonts w:cs="Times New Roman"/>
        </w:rPr>
        <w:t>u</w:t>
      </w:r>
      <w:r w:rsidRPr="00CA682C">
        <w:rPr>
          <w:rFonts w:cs="Times New Roman"/>
        </w:rPr>
        <w:t xml:space="preserve"> </w:t>
      </w:r>
      <w:r>
        <w:rPr>
          <w:rFonts w:cs="Times New Roman"/>
        </w:rPr>
        <w:t xml:space="preserve">– </w:t>
      </w:r>
      <w:r w:rsidRPr="00CA682C">
        <w:rPr>
          <w:rFonts w:cs="Times New Roman"/>
        </w:rPr>
        <w:t>ilgāku par trim mēnešiem, bet ne ilgāku par pieciem gadiem, vai ne ilgāku par trim gadiem, ja izdarīts sevišķi smags noziegums, tiesa, ņemot vērā izdarītā noziedzīgā nodarījuma raksturu un radīto kaitējumu, vainīgā personību un citus lietas apstākļus, iegūst pārliecību, ka vainīgais, sodu neizciešot, turpmāk neizdarīs likumpārkāpumus, tā vainīgo var notiesāt nosacīti.</w:t>
      </w:r>
    </w:p>
    <w:p w14:paraId="4E4C279A" w14:textId="2258A761" w:rsidR="00872AAD" w:rsidRDefault="00872AAD" w:rsidP="00EE7E71">
      <w:pPr>
        <w:suppressAutoHyphens w:val="0"/>
        <w:spacing w:line="276" w:lineRule="auto"/>
        <w:ind w:firstLine="720"/>
        <w:jc w:val="both"/>
        <w:rPr>
          <w:rFonts w:cs="Times New Roman"/>
        </w:rPr>
      </w:pPr>
      <w:r>
        <w:rPr>
          <w:rFonts w:cs="Times New Roman"/>
        </w:rPr>
        <w:t>[1</w:t>
      </w:r>
      <w:r w:rsidR="00F676B8">
        <w:rPr>
          <w:rFonts w:cs="Times New Roman"/>
        </w:rPr>
        <w:t>4</w:t>
      </w:r>
      <w:r>
        <w:rPr>
          <w:rFonts w:cs="Times New Roman"/>
        </w:rPr>
        <w:t xml:space="preserve">.1] Apelācijas instances tiesa, atzīstot, ka šī norma nav piemērojama, atsaukusies uz pirmās instances tiesas secinājumiem par apsūdzētā izdarītā </w:t>
      </w:r>
      <w:r w:rsidRPr="001B06FF">
        <w:rPr>
          <w:rFonts w:cs="Times New Roman"/>
        </w:rPr>
        <w:t>noziedzīgā</w:t>
      </w:r>
      <w:r>
        <w:rPr>
          <w:rFonts w:cs="Times New Roman"/>
        </w:rPr>
        <w:t xml:space="preserve"> </w:t>
      </w:r>
      <w:r w:rsidRPr="001B06FF">
        <w:rPr>
          <w:rFonts w:cs="Times New Roman"/>
        </w:rPr>
        <w:t>nodarījuma raksturu un radīto kaitējum</w:t>
      </w:r>
      <w:r>
        <w:rPr>
          <w:rFonts w:cs="Times New Roman"/>
        </w:rPr>
        <w:t xml:space="preserve">u, un </w:t>
      </w:r>
      <w:r w:rsidRPr="001B06FF">
        <w:rPr>
          <w:rFonts w:cs="Times New Roman"/>
        </w:rPr>
        <w:t>apsūdzētā personību raksturojošā</w:t>
      </w:r>
      <w:r>
        <w:rPr>
          <w:rFonts w:cs="Times New Roman"/>
        </w:rPr>
        <w:t>m</w:t>
      </w:r>
      <w:r w:rsidRPr="001B06FF">
        <w:rPr>
          <w:rFonts w:cs="Times New Roman"/>
        </w:rPr>
        <w:t xml:space="preserve"> ziņ</w:t>
      </w:r>
      <w:r>
        <w:rPr>
          <w:rFonts w:cs="Times New Roman"/>
        </w:rPr>
        <w:t>ām.</w:t>
      </w:r>
    </w:p>
    <w:p w14:paraId="5A982705" w14:textId="31DD3B27" w:rsidR="00872AAD" w:rsidRDefault="00A110A6" w:rsidP="00EE7E71">
      <w:pPr>
        <w:suppressAutoHyphens w:val="0"/>
        <w:spacing w:line="276" w:lineRule="auto"/>
        <w:ind w:firstLine="720"/>
        <w:jc w:val="both"/>
        <w:rPr>
          <w:rFonts w:cs="Times New Roman"/>
        </w:rPr>
      </w:pPr>
      <w:r>
        <w:rPr>
          <w:rFonts w:cs="Times New Roman"/>
        </w:rPr>
        <w:t>A</w:t>
      </w:r>
      <w:r w:rsidR="00872AAD">
        <w:rPr>
          <w:rFonts w:cs="Times New Roman"/>
        </w:rPr>
        <w:t>pelācijas instances tiesa norādī</w:t>
      </w:r>
      <w:r>
        <w:rPr>
          <w:rFonts w:cs="Times New Roman"/>
        </w:rPr>
        <w:t xml:space="preserve">jusi, ka </w:t>
      </w:r>
      <w:r w:rsidR="00872AAD">
        <w:rPr>
          <w:rFonts w:cs="Times New Roman"/>
        </w:rPr>
        <w:t>n</w:t>
      </w:r>
      <w:r w:rsidR="00872AAD" w:rsidRPr="001B06FF">
        <w:rPr>
          <w:rFonts w:cs="Times New Roman"/>
        </w:rPr>
        <w:t>osacīta notiesāšana ne</w:t>
      </w:r>
      <w:r w:rsidR="00872AAD">
        <w:rPr>
          <w:rFonts w:cs="Times New Roman"/>
        </w:rPr>
        <w:t>sasniegs</w:t>
      </w:r>
      <w:r w:rsidR="00872AAD" w:rsidRPr="001B06FF">
        <w:rPr>
          <w:rFonts w:cs="Times New Roman"/>
        </w:rPr>
        <w:t xml:space="preserve"> soda mērķi</w:t>
      </w:r>
      <w:r w:rsidR="00872AAD">
        <w:rPr>
          <w:rFonts w:cs="Times New Roman"/>
        </w:rPr>
        <w:t xml:space="preserve"> – </w:t>
      </w:r>
      <w:r w:rsidR="00872AAD" w:rsidRPr="001B06FF">
        <w:rPr>
          <w:rFonts w:cs="Times New Roman"/>
        </w:rPr>
        <w:t xml:space="preserve">neveicinās </w:t>
      </w:r>
      <w:proofErr w:type="spellStart"/>
      <w:r w:rsidR="00872AAD" w:rsidRPr="001B06FF">
        <w:rPr>
          <w:rFonts w:cs="Times New Roman"/>
        </w:rPr>
        <w:t>prevenciju</w:t>
      </w:r>
      <w:proofErr w:type="spellEnd"/>
      <w:r w:rsidR="001164F9">
        <w:rPr>
          <w:rFonts w:cs="Times New Roman"/>
        </w:rPr>
        <w:t xml:space="preserve"> –</w:t>
      </w:r>
      <w:r w:rsidR="00872AAD" w:rsidRPr="001B06FF">
        <w:rPr>
          <w:rFonts w:cs="Times New Roman"/>
        </w:rPr>
        <w:t>, jo nenostiprinās ne vainīgās personas, ne citu personu pārliecību par</w:t>
      </w:r>
      <w:r w:rsidR="00872AAD">
        <w:rPr>
          <w:rFonts w:cs="Times New Roman"/>
        </w:rPr>
        <w:t xml:space="preserve"> </w:t>
      </w:r>
      <w:r w:rsidR="00872AAD" w:rsidRPr="001B06FF">
        <w:rPr>
          <w:rFonts w:cs="Times New Roman"/>
        </w:rPr>
        <w:t>nepieciešamību atturēties no noziedzīgu nodarījumu izdarīšanas.</w:t>
      </w:r>
    </w:p>
    <w:p w14:paraId="1A1DD01F" w14:textId="4E0DB81D" w:rsidR="00872AAD" w:rsidRDefault="00872AAD" w:rsidP="00EE7E71">
      <w:pPr>
        <w:suppressAutoHyphens w:val="0"/>
        <w:spacing w:line="276" w:lineRule="auto"/>
        <w:ind w:firstLine="720"/>
        <w:jc w:val="both"/>
        <w:rPr>
          <w:rFonts w:cs="Times New Roman"/>
        </w:rPr>
      </w:pPr>
      <w:r>
        <w:rPr>
          <w:rFonts w:cs="Times New Roman"/>
        </w:rPr>
        <w:t>[1</w:t>
      </w:r>
      <w:r w:rsidR="00F676B8">
        <w:rPr>
          <w:rFonts w:cs="Times New Roman"/>
        </w:rPr>
        <w:t>4</w:t>
      </w:r>
      <w:r>
        <w:rPr>
          <w:rFonts w:cs="Times New Roman"/>
        </w:rPr>
        <w:t>.2] </w:t>
      </w:r>
      <w:r w:rsidRPr="00DB7BDD">
        <w:rPr>
          <w:rFonts w:cs="Times New Roman"/>
        </w:rPr>
        <w:t>Senāts piekrīt, ka apelācijas instances tiesa pamatoti</w:t>
      </w:r>
      <w:r>
        <w:rPr>
          <w:rFonts w:cs="Times New Roman"/>
        </w:rPr>
        <w:t xml:space="preserve"> ir</w:t>
      </w:r>
      <w:r w:rsidRPr="00DB7BDD">
        <w:rPr>
          <w:rFonts w:cs="Times New Roman"/>
        </w:rPr>
        <w:t xml:space="preserve"> piešķīrus</w:t>
      </w:r>
      <w:r>
        <w:rPr>
          <w:rFonts w:cs="Times New Roman"/>
        </w:rPr>
        <w:t>i</w:t>
      </w:r>
      <w:r w:rsidRPr="00DB7BDD">
        <w:rPr>
          <w:rFonts w:cs="Times New Roman"/>
        </w:rPr>
        <w:t xml:space="preserve"> nozīmi</w:t>
      </w:r>
      <w:r>
        <w:rPr>
          <w:rFonts w:cs="Times New Roman"/>
        </w:rPr>
        <w:t xml:space="preserve"> </w:t>
      </w:r>
      <w:r w:rsidR="00A110A6">
        <w:rPr>
          <w:rFonts w:cs="Times New Roman"/>
        </w:rPr>
        <w:t>minētajiem apstākļiem</w:t>
      </w:r>
      <w:r w:rsidRPr="00DB7BDD">
        <w:rPr>
          <w:rFonts w:cs="Times New Roman"/>
        </w:rPr>
        <w:t>.</w:t>
      </w:r>
    </w:p>
    <w:p w14:paraId="04C5FEEC" w14:textId="51773D58" w:rsidR="00872AAD" w:rsidRPr="00D676CB" w:rsidRDefault="00872AAD" w:rsidP="00EE7E71">
      <w:pPr>
        <w:suppressAutoHyphens w:val="0"/>
        <w:spacing w:line="276" w:lineRule="auto"/>
        <w:ind w:firstLine="720"/>
        <w:jc w:val="both"/>
        <w:rPr>
          <w:rFonts w:asciiTheme="majorBidi" w:hAnsiTheme="majorBidi" w:cstheme="majorBidi"/>
        </w:rPr>
      </w:pPr>
      <w:r>
        <w:rPr>
          <w:rFonts w:cs="Times New Roman"/>
        </w:rPr>
        <w:t xml:space="preserve">Tiesas argumenti atbilst arī Senāta judikatūrai, saskaņā ar kuru </w:t>
      </w:r>
      <w:r>
        <w:rPr>
          <w:rFonts w:asciiTheme="majorBidi" w:hAnsiTheme="majorBidi" w:cstheme="majorBidi"/>
        </w:rPr>
        <w:t>tiesai</w:t>
      </w:r>
      <w:r w:rsidRPr="00481851">
        <w:rPr>
          <w:rFonts w:asciiTheme="majorBidi" w:hAnsiTheme="majorBidi" w:cstheme="majorBidi"/>
        </w:rPr>
        <w:t xml:space="preserve"> </w:t>
      </w:r>
      <w:r w:rsidR="00A110A6">
        <w:rPr>
          <w:rFonts w:asciiTheme="majorBidi" w:hAnsiTheme="majorBidi" w:cstheme="majorBidi"/>
        </w:rPr>
        <w:t xml:space="preserve">ir </w:t>
      </w:r>
      <w:r w:rsidRPr="00481851">
        <w:rPr>
          <w:rFonts w:asciiTheme="majorBidi" w:hAnsiTheme="majorBidi" w:cstheme="majorBidi"/>
        </w:rPr>
        <w:t xml:space="preserve">piesardzīgi </w:t>
      </w:r>
      <w:r>
        <w:rPr>
          <w:rFonts w:asciiTheme="majorBidi" w:hAnsiTheme="majorBidi" w:cstheme="majorBidi"/>
        </w:rPr>
        <w:t>jā</w:t>
      </w:r>
      <w:r w:rsidRPr="00481851">
        <w:rPr>
          <w:rFonts w:asciiTheme="majorBidi" w:hAnsiTheme="majorBidi" w:cstheme="majorBidi"/>
        </w:rPr>
        <w:t>vērtē</w:t>
      </w:r>
      <w:r>
        <w:rPr>
          <w:rFonts w:asciiTheme="majorBidi" w:hAnsiTheme="majorBidi" w:cstheme="majorBidi"/>
        </w:rPr>
        <w:t xml:space="preserve"> iespēja notiesāt nosacīti, ja </w:t>
      </w:r>
      <w:r w:rsidRPr="00481851">
        <w:rPr>
          <w:rFonts w:asciiTheme="majorBidi" w:hAnsiTheme="majorBidi" w:cstheme="majorBidi"/>
        </w:rPr>
        <w:t>ar noziedzīg</w:t>
      </w:r>
      <w:r>
        <w:rPr>
          <w:rFonts w:asciiTheme="majorBidi" w:hAnsiTheme="majorBidi" w:cstheme="majorBidi"/>
        </w:rPr>
        <w:t>o</w:t>
      </w:r>
      <w:r w:rsidRPr="00481851">
        <w:rPr>
          <w:rFonts w:asciiTheme="majorBidi" w:hAnsiTheme="majorBidi" w:cstheme="majorBidi"/>
        </w:rPr>
        <w:t xml:space="preserve"> nodarījumu radītais kaitējums vairākkārt pārsniedz kvalificējošās pazīmes </w:t>
      </w:r>
      <w:r>
        <w:rPr>
          <w:rFonts w:asciiTheme="majorBidi" w:hAnsiTheme="majorBidi" w:cstheme="majorBidi"/>
        </w:rPr>
        <w:t>„</w:t>
      </w:r>
      <w:r w:rsidRPr="00481851">
        <w:rPr>
          <w:rFonts w:asciiTheme="majorBidi" w:hAnsiTheme="majorBidi" w:cstheme="majorBidi"/>
        </w:rPr>
        <w:t>lielā apmērā” robežu</w:t>
      </w:r>
      <w:r w:rsidRPr="00481851">
        <w:rPr>
          <w:rFonts w:asciiTheme="majorBidi" w:hAnsiTheme="majorBidi" w:cstheme="majorBidi"/>
          <w:color w:val="000000" w:themeColor="text1"/>
        </w:rPr>
        <w:t xml:space="preserve"> (</w:t>
      </w:r>
      <w:r>
        <w:rPr>
          <w:rFonts w:asciiTheme="majorBidi" w:hAnsiTheme="majorBidi" w:cstheme="majorBidi"/>
          <w:color w:val="000000" w:themeColor="text1"/>
        </w:rPr>
        <w:t xml:space="preserve">sk. </w:t>
      </w:r>
      <w:r w:rsidRPr="00481851">
        <w:rPr>
          <w:rFonts w:asciiTheme="majorBidi" w:hAnsiTheme="majorBidi" w:cstheme="majorBidi"/>
          <w:i/>
          <w:iCs/>
          <w:color w:val="000000" w:themeColor="text1"/>
        </w:rPr>
        <w:t>Senāta 2021. gada 3. jūnija lēmum</w:t>
      </w:r>
      <w:r>
        <w:rPr>
          <w:rFonts w:asciiTheme="majorBidi" w:hAnsiTheme="majorBidi" w:cstheme="majorBidi"/>
          <w:i/>
          <w:iCs/>
          <w:color w:val="000000" w:themeColor="text1"/>
        </w:rPr>
        <w:t>u</w:t>
      </w:r>
      <w:r w:rsidRPr="00481851">
        <w:rPr>
          <w:rFonts w:asciiTheme="majorBidi" w:hAnsiTheme="majorBidi" w:cstheme="majorBidi"/>
          <w:i/>
          <w:iCs/>
          <w:color w:val="000000" w:themeColor="text1"/>
        </w:rPr>
        <w:t xml:space="preserve"> lietā Nr.</w:t>
      </w:r>
      <w:r>
        <w:rPr>
          <w:rFonts w:asciiTheme="majorBidi" w:hAnsiTheme="majorBidi" w:cstheme="majorBidi"/>
          <w:i/>
          <w:iCs/>
          <w:color w:val="000000" w:themeColor="text1"/>
        </w:rPr>
        <w:t> </w:t>
      </w:r>
      <w:r w:rsidRPr="00481851">
        <w:rPr>
          <w:rFonts w:asciiTheme="majorBidi" w:hAnsiTheme="majorBidi" w:cstheme="majorBidi"/>
          <w:i/>
          <w:iCs/>
          <w:color w:val="000000" w:themeColor="text1"/>
        </w:rPr>
        <w:t xml:space="preserve">SKK-342/2021, </w:t>
      </w:r>
      <w:hyperlink r:id="rId29" w:history="1">
        <w:r w:rsidRPr="00481851">
          <w:rPr>
            <w:rStyle w:val="Hyperlink"/>
            <w:rFonts w:asciiTheme="majorBidi" w:hAnsiTheme="majorBidi" w:cstheme="majorBidi"/>
            <w:i/>
            <w:iCs/>
            <w:shd w:val="clear" w:color="auto" w:fill="FFFFFF"/>
          </w:rPr>
          <w:t>ECLI:LV:AT:2021:0603.11517018309.14.L</w:t>
        </w:r>
      </w:hyperlink>
      <w:r w:rsidRPr="00481851">
        <w:rPr>
          <w:rFonts w:asciiTheme="majorBidi" w:hAnsiTheme="majorBidi" w:cstheme="majorBidi"/>
          <w:i/>
          <w:iCs/>
          <w:color w:val="000000" w:themeColor="text1"/>
        </w:rPr>
        <w:t xml:space="preserve">, </w:t>
      </w:r>
      <w:r w:rsidRPr="00481851">
        <w:rPr>
          <w:rFonts w:asciiTheme="majorBidi" w:hAnsiTheme="majorBidi" w:cstheme="majorBidi"/>
          <w:i/>
          <w:iCs/>
        </w:rPr>
        <w:t>2021. gada 24. novembra lēmum</w:t>
      </w:r>
      <w:r>
        <w:rPr>
          <w:rFonts w:asciiTheme="majorBidi" w:hAnsiTheme="majorBidi" w:cstheme="majorBidi"/>
          <w:i/>
          <w:iCs/>
        </w:rPr>
        <w:t>u</w:t>
      </w:r>
      <w:r w:rsidRPr="00481851">
        <w:rPr>
          <w:rFonts w:asciiTheme="majorBidi" w:hAnsiTheme="majorBidi" w:cstheme="majorBidi"/>
          <w:i/>
          <w:iCs/>
        </w:rPr>
        <w:t xml:space="preserve"> lietā Nr. SKK-41/2021, </w:t>
      </w:r>
      <w:hyperlink r:id="rId30" w:history="1">
        <w:r w:rsidRPr="00481851">
          <w:rPr>
            <w:rStyle w:val="Hyperlink"/>
            <w:rFonts w:asciiTheme="majorBidi" w:hAnsiTheme="majorBidi" w:cstheme="majorBidi"/>
            <w:i/>
            <w:iCs/>
            <w:shd w:val="clear" w:color="auto" w:fill="FFFFFF"/>
          </w:rPr>
          <w:t>ECLI:LV:AT:2021:1124.15830004912.7.L</w:t>
        </w:r>
      </w:hyperlink>
      <w:r w:rsidRPr="00481851">
        <w:rPr>
          <w:rFonts w:asciiTheme="majorBidi" w:hAnsiTheme="majorBidi" w:cstheme="majorBidi"/>
        </w:rPr>
        <w:t>)</w:t>
      </w:r>
      <w:r>
        <w:rPr>
          <w:rFonts w:asciiTheme="majorBidi" w:hAnsiTheme="majorBidi" w:cstheme="majorBidi"/>
        </w:rPr>
        <w:t>.</w:t>
      </w:r>
    </w:p>
    <w:p w14:paraId="3AD1460D" w14:textId="6F609C8B" w:rsidR="00872AAD" w:rsidRDefault="00872AAD" w:rsidP="00EE7E71">
      <w:pPr>
        <w:suppressAutoHyphens w:val="0"/>
        <w:spacing w:line="276" w:lineRule="auto"/>
        <w:ind w:firstLine="720"/>
        <w:jc w:val="both"/>
        <w:rPr>
          <w:rFonts w:cs="Times New Roman"/>
        </w:rPr>
      </w:pPr>
      <w:r w:rsidRPr="00DB7BDD">
        <w:rPr>
          <w:rFonts w:cs="Times New Roman"/>
        </w:rPr>
        <w:t xml:space="preserve">Tomēr </w:t>
      </w:r>
      <w:r>
        <w:rPr>
          <w:rFonts w:cs="Times New Roman"/>
        </w:rPr>
        <w:t xml:space="preserve">apelācijas instances </w:t>
      </w:r>
      <w:r w:rsidRPr="00DB7BDD">
        <w:rPr>
          <w:rFonts w:cs="Times New Roman"/>
        </w:rPr>
        <w:t xml:space="preserve">tiesa bez ievērības atstājusi vairākus </w:t>
      </w:r>
      <w:r w:rsidR="00A110A6">
        <w:rPr>
          <w:rFonts w:cs="Times New Roman"/>
        </w:rPr>
        <w:t xml:space="preserve">citus </w:t>
      </w:r>
      <w:r w:rsidRPr="00DB7BDD">
        <w:rPr>
          <w:rFonts w:cs="Times New Roman"/>
        </w:rPr>
        <w:t>apstākļus</w:t>
      </w:r>
      <w:r>
        <w:rPr>
          <w:rFonts w:cs="Times New Roman"/>
        </w:rPr>
        <w:t>, kuriem ir nozīme, izlemjot jautājumu par nosacītas notiesāšanas iespējamību.</w:t>
      </w:r>
    </w:p>
    <w:p w14:paraId="097941E9" w14:textId="77777777" w:rsidR="00872AAD" w:rsidRDefault="00872AAD" w:rsidP="00EE7E71">
      <w:pPr>
        <w:suppressAutoHyphens w:val="0"/>
        <w:spacing w:line="276" w:lineRule="auto"/>
        <w:ind w:firstLine="720"/>
        <w:jc w:val="both"/>
        <w:rPr>
          <w:rFonts w:asciiTheme="majorBidi" w:hAnsiTheme="majorBidi" w:cstheme="majorBidi"/>
        </w:rPr>
      </w:pPr>
      <w:r>
        <w:rPr>
          <w:rFonts w:cs="Times New Roman"/>
        </w:rPr>
        <w:t xml:space="preserve">Senāts norāda, ka </w:t>
      </w:r>
      <w:r w:rsidRPr="00451511">
        <w:rPr>
          <w:rFonts w:cs="Times New Roman"/>
        </w:rPr>
        <w:t xml:space="preserve">tiesai vispusīgi jāizvērtē visi apstākļi, kas var pamatot gan reāla soda izpildes nepieciešamību, gan nosacīta soda piemērošanu, un jānosaka, kurai apstākļu grupai konkrētajā gadījumā </w:t>
      </w:r>
      <w:r>
        <w:rPr>
          <w:rFonts w:cs="Times New Roman"/>
        </w:rPr>
        <w:t xml:space="preserve">ir </w:t>
      </w:r>
      <w:r w:rsidRPr="00451511">
        <w:rPr>
          <w:rFonts w:cs="Times New Roman"/>
        </w:rPr>
        <w:t xml:space="preserve">lielāks svars, lai atkarībā no tā izšķirtos starp reāla brīvības atņemšanas soda piemērošanu un nosacītu notiesāšanu </w:t>
      </w:r>
      <w:r w:rsidRPr="00451511">
        <w:rPr>
          <w:rFonts w:asciiTheme="majorBidi" w:hAnsiTheme="majorBidi" w:cstheme="majorBidi"/>
        </w:rPr>
        <w:t>(</w:t>
      </w:r>
      <w:r w:rsidRPr="00451511">
        <w:rPr>
          <w:rFonts w:asciiTheme="majorBidi" w:hAnsiTheme="majorBidi" w:cstheme="majorBidi"/>
          <w:i/>
          <w:iCs/>
        </w:rPr>
        <w:t xml:space="preserve">Senāta 2025. gada 4. novembra lēmuma lietā Nr. SKK-240/2025, </w:t>
      </w:r>
      <w:hyperlink r:id="rId31" w:history="1">
        <w:r w:rsidRPr="00FB07B7">
          <w:rPr>
            <w:rStyle w:val="Hyperlink"/>
            <w:rFonts w:asciiTheme="majorBidi" w:hAnsiTheme="majorBidi" w:cstheme="majorBidi"/>
            <w:i/>
            <w:iCs/>
          </w:rPr>
          <w:t>ECLI:LV:AT:2025:1104.15830013416.9.L</w:t>
        </w:r>
      </w:hyperlink>
      <w:r w:rsidRPr="00451511">
        <w:rPr>
          <w:rFonts w:asciiTheme="majorBidi" w:hAnsiTheme="majorBidi" w:cstheme="majorBidi"/>
          <w:i/>
          <w:iCs/>
        </w:rPr>
        <w:t>, 6.1. punkts</w:t>
      </w:r>
      <w:r w:rsidRPr="00451511">
        <w:rPr>
          <w:rFonts w:asciiTheme="majorBidi" w:hAnsiTheme="majorBidi" w:cstheme="majorBidi"/>
        </w:rPr>
        <w:t>).</w:t>
      </w:r>
    </w:p>
    <w:p w14:paraId="2A62B0F6" w14:textId="3145F806" w:rsidR="00C6055C" w:rsidRDefault="00872AAD" w:rsidP="00EE7E71">
      <w:pPr>
        <w:suppressAutoHyphens w:val="0"/>
        <w:spacing w:line="276" w:lineRule="auto"/>
        <w:ind w:firstLine="720"/>
        <w:jc w:val="both"/>
        <w:rPr>
          <w:rFonts w:asciiTheme="majorBidi" w:hAnsiTheme="majorBidi" w:cstheme="majorBidi"/>
        </w:rPr>
      </w:pPr>
      <w:r w:rsidRPr="00EE1B02">
        <w:rPr>
          <w:rFonts w:asciiTheme="majorBidi" w:hAnsiTheme="majorBidi" w:cstheme="majorBidi"/>
        </w:rPr>
        <w:t xml:space="preserve">Lai gan apelācijas instances tiesa atzinusi, ka </w:t>
      </w:r>
      <w:r>
        <w:rPr>
          <w:rFonts w:asciiTheme="majorBidi" w:hAnsiTheme="majorBidi" w:cstheme="majorBidi"/>
        </w:rPr>
        <w:t xml:space="preserve">tā </w:t>
      </w:r>
      <w:r w:rsidRPr="00EE1B02">
        <w:rPr>
          <w:rFonts w:asciiTheme="majorBidi" w:hAnsiTheme="majorBidi" w:cstheme="majorBidi"/>
        </w:rPr>
        <w:t>nav guvusi likumā noteikto pārliecību, kas pamatotu apsūdzētā notiesāšanu nosacīti, t</w:t>
      </w:r>
      <w:r>
        <w:rPr>
          <w:rFonts w:asciiTheme="majorBidi" w:hAnsiTheme="majorBidi" w:cstheme="majorBidi"/>
        </w:rPr>
        <w:t>ā</w:t>
      </w:r>
      <w:r w:rsidRPr="00EE1B02">
        <w:rPr>
          <w:rFonts w:asciiTheme="majorBidi" w:hAnsiTheme="majorBidi" w:cstheme="majorBidi"/>
        </w:rPr>
        <w:t xml:space="preserve"> bez ievērības atstājusi</w:t>
      </w:r>
      <w:r w:rsidR="008B20D9">
        <w:rPr>
          <w:rFonts w:asciiTheme="majorBidi" w:hAnsiTheme="majorBidi" w:cstheme="majorBidi"/>
        </w:rPr>
        <w:t xml:space="preserve"> </w:t>
      </w:r>
      <w:r w:rsidRPr="00EE1B02">
        <w:rPr>
          <w:rFonts w:asciiTheme="majorBidi" w:hAnsiTheme="majorBidi" w:cstheme="majorBidi"/>
        </w:rPr>
        <w:t>pirmās instances tiesa</w:t>
      </w:r>
      <w:r w:rsidR="008B20D9">
        <w:rPr>
          <w:rFonts w:asciiTheme="majorBidi" w:hAnsiTheme="majorBidi" w:cstheme="majorBidi"/>
        </w:rPr>
        <w:t>s konstatētos apstākļus</w:t>
      </w:r>
      <w:r w:rsidR="0021701E">
        <w:rPr>
          <w:rFonts w:asciiTheme="majorBidi" w:hAnsiTheme="majorBidi" w:cstheme="majorBidi"/>
        </w:rPr>
        <w:t xml:space="preserve"> –</w:t>
      </w:r>
      <w:r w:rsidR="00305D90">
        <w:rPr>
          <w:rFonts w:asciiTheme="majorBidi" w:hAnsiTheme="majorBidi" w:cstheme="majorBidi"/>
        </w:rPr>
        <w:t xml:space="preserve"> </w:t>
      </w:r>
      <w:r>
        <w:rPr>
          <w:rFonts w:asciiTheme="majorBidi" w:hAnsiTheme="majorBidi" w:cstheme="majorBidi"/>
        </w:rPr>
        <w:t>apsūdzētais</w:t>
      </w:r>
      <w:r w:rsidRPr="00EE1B02">
        <w:rPr>
          <w:rFonts w:asciiTheme="majorBidi" w:hAnsiTheme="majorBidi" w:cstheme="majorBidi"/>
        </w:rPr>
        <w:t xml:space="preserve"> visu tiesas izmeklēšanas laiku ir pildījis kriminālprocesuālos pienākumus, nav </w:t>
      </w:r>
      <w:r>
        <w:rPr>
          <w:rFonts w:asciiTheme="majorBidi" w:hAnsiTheme="majorBidi" w:cstheme="majorBidi"/>
        </w:rPr>
        <w:t xml:space="preserve">bijis </w:t>
      </w:r>
      <w:r w:rsidRPr="00EE1B02">
        <w:rPr>
          <w:rFonts w:asciiTheme="majorBidi" w:hAnsiTheme="majorBidi" w:cstheme="majorBidi"/>
        </w:rPr>
        <w:t>iesaistīts jaunā kriminālprocesā un, kā liecina viņa pašreizējais dzīvesveids, nav tendēts uz noziedzīgu nodarījumu izdarīšanu</w:t>
      </w:r>
      <w:r>
        <w:rPr>
          <w:rFonts w:asciiTheme="majorBidi" w:hAnsiTheme="majorBidi" w:cstheme="majorBidi"/>
        </w:rPr>
        <w:t>,</w:t>
      </w:r>
      <w:r w:rsidRPr="00EE1B02">
        <w:rPr>
          <w:rFonts w:asciiTheme="majorBidi" w:hAnsiTheme="majorBidi" w:cstheme="majorBidi"/>
        </w:rPr>
        <w:t xml:space="preserve"> līdz ar to recidīva risks ir zems</w:t>
      </w:r>
      <w:r w:rsidR="00A110A6">
        <w:rPr>
          <w:rFonts w:asciiTheme="majorBidi" w:hAnsiTheme="majorBidi" w:cstheme="majorBidi"/>
        </w:rPr>
        <w:t>.</w:t>
      </w:r>
      <w:r w:rsidR="00B46892">
        <w:rPr>
          <w:rFonts w:asciiTheme="majorBidi" w:hAnsiTheme="majorBidi" w:cstheme="majorBidi"/>
        </w:rPr>
        <w:t xml:space="preserve"> </w:t>
      </w:r>
      <w:r w:rsidR="00A110A6">
        <w:rPr>
          <w:rFonts w:asciiTheme="majorBidi" w:hAnsiTheme="majorBidi" w:cstheme="majorBidi"/>
        </w:rPr>
        <w:t>A</w:t>
      </w:r>
      <w:r w:rsidR="0021701E">
        <w:rPr>
          <w:rFonts w:asciiTheme="majorBidi" w:hAnsiTheme="majorBidi" w:cstheme="majorBidi"/>
        </w:rPr>
        <w:t xml:space="preserve">pelācijas instances tiesa </w:t>
      </w:r>
      <w:r w:rsidR="00A110A6">
        <w:rPr>
          <w:rFonts w:asciiTheme="majorBidi" w:hAnsiTheme="majorBidi" w:cstheme="majorBidi"/>
        </w:rPr>
        <w:t xml:space="preserve">šos apstākļus </w:t>
      </w:r>
      <w:r w:rsidR="0021701E">
        <w:rPr>
          <w:rFonts w:asciiTheme="majorBidi" w:hAnsiTheme="majorBidi" w:cstheme="majorBidi"/>
        </w:rPr>
        <w:t>nav apšaubījusi</w:t>
      </w:r>
      <w:r w:rsidR="00C6055C">
        <w:rPr>
          <w:rFonts w:asciiTheme="majorBidi" w:hAnsiTheme="majorBidi" w:cstheme="majorBidi"/>
        </w:rPr>
        <w:t>.</w:t>
      </w:r>
    </w:p>
    <w:p w14:paraId="0BE22B50" w14:textId="69BCA3AC" w:rsidR="00872AAD" w:rsidRDefault="00A110A6" w:rsidP="00EE7E71">
      <w:pPr>
        <w:suppressAutoHyphens w:val="0"/>
        <w:spacing w:line="276" w:lineRule="auto"/>
        <w:ind w:firstLine="720"/>
        <w:jc w:val="both"/>
        <w:rPr>
          <w:rFonts w:asciiTheme="majorBidi" w:hAnsiTheme="majorBidi" w:cstheme="majorBidi"/>
        </w:rPr>
      </w:pPr>
      <w:r>
        <w:rPr>
          <w:rFonts w:asciiTheme="majorBidi" w:hAnsiTheme="majorBidi" w:cstheme="majorBidi"/>
        </w:rPr>
        <w:t>Senāts atzīst, ka m</w:t>
      </w:r>
      <w:r w:rsidR="00C6055C">
        <w:rPr>
          <w:rFonts w:asciiTheme="majorBidi" w:hAnsiTheme="majorBidi" w:cstheme="majorBidi"/>
        </w:rPr>
        <w:t>inētajiem apstākļiem</w:t>
      </w:r>
      <w:r w:rsidR="0021701E">
        <w:rPr>
          <w:rFonts w:asciiTheme="majorBidi" w:hAnsiTheme="majorBidi" w:cstheme="majorBidi"/>
        </w:rPr>
        <w:t xml:space="preserve"> var būt nozīme taisnīga soda noteikšanā</w:t>
      </w:r>
      <w:r w:rsidR="00872AAD" w:rsidRPr="00EE1B02">
        <w:rPr>
          <w:rFonts w:asciiTheme="majorBidi" w:hAnsiTheme="majorBidi" w:cstheme="majorBidi"/>
        </w:rPr>
        <w:t>.</w:t>
      </w:r>
    </w:p>
    <w:p w14:paraId="0332944A" w14:textId="52D00456" w:rsidR="00872AAD" w:rsidRDefault="00872AAD"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Turklāt apelācijas instances tiesa nav izvērtējusi </w:t>
      </w:r>
      <w:r w:rsidR="00A110A6">
        <w:rPr>
          <w:rFonts w:asciiTheme="majorBidi" w:hAnsiTheme="majorBidi" w:cstheme="majorBidi"/>
        </w:rPr>
        <w:t xml:space="preserve">divus </w:t>
      </w:r>
      <w:r>
        <w:rPr>
          <w:rFonts w:asciiTheme="majorBidi" w:hAnsiTheme="majorBidi" w:cstheme="majorBidi"/>
        </w:rPr>
        <w:t xml:space="preserve">apstākļus, kas </w:t>
      </w:r>
      <w:r w:rsidR="00C6055C">
        <w:rPr>
          <w:rFonts w:asciiTheme="majorBidi" w:hAnsiTheme="majorBidi" w:cstheme="majorBidi"/>
        </w:rPr>
        <w:t xml:space="preserve">nodibināti </w:t>
      </w:r>
      <w:r>
        <w:rPr>
          <w:rFonts w:asciiTheme="majorBidi" w:hAnsiTheme="majorBidi" w:cstheme="majorBidi"/>
        </w:rPr>
        <w:t>pēc lietas izskatīšanas pirmās instances tiesā, proti</w:t>
      </w:r>
      <w:r w:rsidR="00B46892">
        <w:rPr>
          <w:rFonts w:asciiTheme="majorBidi" w:hAnsiTheme="majorBidi" w:cstheme="majorBidi"/>
        </w:rPr>
        <w:t>,</w:t>
      </w:r>
      <w:r w:rsidR="00A110A6">
        <w:rPr>
          <w:rFonts w:asciiTheme="majorBidi" w:hAnsiTheme="majorBidi" w:cstheme="majorBidi"/>
        </w:rPr>
        <w:t xml:space="preserve"> 1)</w:t>
      </w:r>
      <w:r w:rsidR="00B46892">
        <w:rPr>
          <w:rFonts w:asciiTheme="majorBidi" w:hAnsiTheme="majorBidi" w:cstheme="majorBidi"/>
        </w:rPr>
        <w:t> </w:t>
      </w:r>
      <w:r>
        <w:rPr>
          <w:rFonts w:asciiTheme="majorBidi" w:hAnsiTheme="majorBidi" w:cstheme="majorBidi"/>
        </w:rPr>
        <w:t xml:space="preserve">apelācijas instances tiesa </w:t>
      </w:r>
      <w:r w:rsidR="00A110A6">
        <w:rPr>
          <w:rFonts w:asciiTheme="majorBidi" w:hAnsiTheme="majorBidi" w:cstheme="majorBidi"/>
        </w:rPr>
        <w:t xml:space="preserve">ir </w:t>
      </w:r>
      <w:r>
        <w:rPr>
          <w:rFonts w:asciiTheme="majorBidi" w:hAnsiTheme="majorBidi" w:cstheme="majorBidi"/>
        </w:rPr>
        <w:t xml:space="preserve">izslēgusi pirmās instances tiesas nepamatoti konstatēto atbildību pastiprinošo apstākli – apzināti nepatiesas liecības sniegšanu – un </w:t>
      </w:r>
      <w:r w:rsidR="00A110A6">
        <w:rPr>
          <w:rFonts w:asciiTheme="majorBidi" w:hAnsiTheme="majorBidi" w:cstheme="majorBidi"/>
        </w:rPr>
        <w:t>2)</w:t>
      </w:r>
      <w:r w:rsidR="00B46892">
        <w:rPr>
          <w:rFonts w:asciiTheme="majorBidi" w:hAnsiTheme="majorBidi" w:cstheme="majorBidi"/>
        </w:rPr>
        <w:t> </w:t>
      </w:r>
      <w:r>
        <w:rPr>
          <w:rFonts w:asciiTheme="majorBidi" w:hAnsiTheme="majorBidi" w:cstheme="majorBidi"/>
        </w:rPr>
        <w:t>konstatējusi jaunu atbildību mīkstinošu apstākli – radītā mantiskā zaudējuma labprātīgu atlīdzināšanu.</w:t>
      </w:r>
    </w:p>
    <w:p w14:paraId="466F8092" w14:textId="4CD9315D" w:rsidR="00872AAD" w:rsidRDefault="00872AAD"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Tāpat nozīme var būt aizstāves kasācijas sūdzībā norādītajam par </w:t>
      </w:r>
      <w:r w:rsidR="00A110A6">
        <w:rPr>
          <w:rFonts w:asciiTheme="majorBidi" w:hAnsiTheme="majorBidi" w:cstheme="majorBidi"/>
        </w:rPr>
        <w:t xml:space="preserve">apsūdzētā veiktajiem </w:t>
      </w:r>
      <w:r w:rsidRPr="000869E9">
        <w:rPr>
          <w:rFonts w:asciiTheme="majorBidi" w:hAnsiTheme="majorBidi" w:cstheme="majorBidi"/>
        </w:rPr>
        <w:t>ziedo</w:t>
      </w:r>
      <w:r w:rsidR="00A110A6">
        <w:rPr>
          <w:rFonts w:asciiTheme="majorBidi" w:hAnsiTheme="majorBidi" w:cstheme="majorBidi"/>
        </w:rPr>
        <w:t>jumiem</w:t>
      </w:r>
      <w:r w:rsidRPr="000869E9">
        <w:rPr>
          <w:rFonts w:asciiTheme="majorBidi" w:hAnsiTheme="majorBidi" w:cstheme="majorBidi"/>
        </w:rPr>
        <w:t xml:space="preserve"> labdarībai</w:t>
      </w:r>
      <w:r>
        <w:rPr>
          <w:rFonts w:asciiTheme="majorBidi" w:hAnsiTheme="majorBidi" w:cstheme="majorBidi"/>
        </w:rPr>
        <w:t>, kā arī</w:t>
      </w:r>
      <w:r w:rsidRPr="0066492F">
        <w:rPr>
          <w:rFonts w:asciiTheme="majorBidi" w:hAnsiTheme="majorBidi" w:cstheme="majorBidi"/>
        </w:rPr>
        <w:t xml:space="preserve"> </w:t>
      </w:r>
      <w:r>
        <w:rPr>
          <w:rFonts w:asciiTheme="majorBidi" w:hAnsiTheme="majorBidi" w:cstheme="majorBidi"/>
        </w:rPr>
        <w:t xml:space="preserve">apsūdzētā uzvedībai pēc </w:t>
      </w:r>
      <w:r w:rsidRPr="0066492F">
        <w:rPr>
          <w:rFonts w:asciiTheme="majorBidi" w:hAnsiTheme="majorBidi" w:cstheme="majorBidi"/>
        </w:rPr>
        <w:t>noziedzīgā nodarījuma izdarīšanas: jo ilgāk</w:t>
      </w:r>
      <w:r>
        <w:rPr>
          <w:rFonts w:asciiTheme="majorBidi" w:hAnsiTheme="majorBidi" w:cstheme="majorBidi"/>
        </w:rPr>
        <w:t xml:space="preserve">u periodu </w:t>
      </w:r>
      <w:r w:rsidRPr="0066492F">
        <w:rPr>
          <w:rFonts w:asciiTheme="majorBidi" w:hAnsiTheme="majorBidi" w:cstheme="majorBidi"/>
        </w:rPr>
        <w:t xml:space="preserve">persona bijusi </w:t>
      </w:r>
      <w:proofErr w:type="spellStart"/>
      <w:r w:rsidRPr="0066492F">
        <w:rPr>
          <w:rFonts w:asciiTheme="majorBidi" w:hAnsiTheme="majorBidi" w:cstheme="majorBidi"/>
        </w:rPr>
        <w:t>likumpaklausīga</w:t>
      </w:r>
      <w:proofErr w:type="spellEnd"/>
      <w:r w:rsidRPr="0066492F">
        <w:rPr>
          <w:rFonts w:asciiTheme="majorBidi" w:hAnsiTheme="majorBidi" w:cstheme="majorBidi"/>
        </w:rPr>
        <w:t>, jo lielāk</w:t>
      </w:r>
      <w:r>
        <w:rPr>
          <w:rFonts w:asciiTheme="majorBidi" w:hAnsiTheme="majorBidi" w:cstheme="majorBidi"/>
        </w:rPr>
        <w:t>a</w:t>
      </w:r>
      <w:r w:rsidRPr="0066492F">
        <w:rPr>
          <w:rFonts w:asciiTheme="majorBidi" w:hAnsiTheme="majorBidi" w:cstheme="majorBidi"/>
        </w:rPr>
        <w:t xml:space="preserve"> </w:t>
      </w:r>
      <w:r>
        <w:rPr>
          <w:rFonts w:asciiTheme="majorBidi" w:hAnsiTheme="majorBidi" w:cstheme="majorBidi"/>
        </w:rPr>
        <w:t xml:space="preserve">var </w:t>
      </w:r>
      <w:r>
        <w:rPr>
          <w:rFonts w:asciiTheme="majorBidi" w:hAnsiTheme="majorBidi" w:cstheme="majorBidi"/>
        </w:rPr>
        <w:lastRenderedPageBreak/>
        <w:t>būt</w:t>
      </w:r>
      <w:r w:rsidRPr="0066492F">
        <w:rPr>
          <w:rFonts w:asciiTheme="majorBidi" w:hAnsiTheme="majorBidi" w:cstheme="majorBidi"/>
        </w:rPr>
        <w:t xml:space="preserve"> </w:t>
      </w:r>
      <w:r>
        <w:rPr>
          <w:rFonts w:asciiTheme="majorBidi" w:hAnsiTheme="majorBidi" w:cstheme="majorBidi"/>
        </w:rPr>
        <w:t xml:space="preserve">šā apstākļa </w:t>
      </w:r>
      <w:r w:rsidRPr="0066492F">
        <w:rPr>
          <w:rFonts w:asciiTheme="majorBidi" w:hAnsiTheme="majorBidi" w:cstheme="majorBidi"/>
        </w:rPr>
        <w:t>nozīm</w:t>
      </w:r>
      <w:r>
        <w:rPr>
          <w:rFonts w:asciiTheme="majorBidi" w:hAnsiTheme="majorBidi" w:cstheme="majorBidi"/>
        </w:rPr>
        <w:t>e</w:t>
      </w:r>
      <w:r w:rsidRPr="0066492F">
        <w:rPr>
          <w:rFonts w:asciiTheme="majorBidi" w:hAnsiTheme="majorBidi" w:cstheme="majorBidi"/>
        </w:rPr>
        <w:t xml:space="preserve">, lemjot </w:t>
      </w:r>
      <w:r>
        <w:rPr>
          <w:rFonts w:asciiTheme="majorBidi" w:hAnsiTheme="majorBidi" w:cstheme="majorBidi"/>
        </w:rPr>
        <w:t>jautājumu par Krimināllikuma 55. panta pirmās daļas piemērošanas iespējamību</w:t>
      </w:r>
      <w:r w:rsidRPr="0066492F">
        <w:rPr>
          <w:rFonts w:asciiTheme="majorBidi" w:hAnsiTheme="majorBidi" w:cstheme="majorBidi"/>
        </w:rPr>
        <w:t>.</w:t>
      </w:r>
    </w:p>
    <w:p w14:paraId="573284A4" w14:textId="78713853" w:rsidR="00B40F57" w:rsidRDefault="00872AAD" w:rsidP="00EE7E71">
      <w:pPr>
        <w:suppressAutoHyphens w:val="0"/>
        <w:spacing w:line="276" w:lineRule="auto"/>
        <w:ind w:firstLine="720"/>
        <w:jc w:val="both"/>
      </w:pPr>
      <w:r>
        <w:rPr>
          <w:rFonts w:cs="Times New Roman"/>
        </w:rPr>
        <w:t>[1</w:t>
      </w:r>
      <w:r w:rsidR="00F676B8">
        <w:rPr>
          <w:rFonts w:cs="Times New Roman"/>
        </w:rPr>
        <w:t>4</w:t>
      </w:r>
      <w:r>
        <w:rPr>
          <w:rFonts w:cs="Times New Roman"/>
        </w:rPr>
        <w:t>.3] </w:t>
      </w:r>
      <w:r w:rsidRPr="005802D5">
        <w:rPr>
          <w:rFonts w:cs="Times New Roman"/>
        </w:rPr>
        <w:t xml:space="preserve">Senāts vērš uzmanību uz to, ka </w:t>
      </w:r>
      <w:r>
        <w:rPr>
          <w:rFonts w:cs="Times New Roman"/>
        </w:rPr>
        <w:t>iespēja notiesāt nosacīti</w:t>
      </w:r>
      <w:r w:rsidRPr="005802D5">
        <w:t xml:space="preserve"> ir vērtējama, ņemot vērā apstākļus</w:t>
      </w:r>
      <w:r w:rsidR="002F57E7">
        <w:t xml:space="preserve">, kas konstatēti </w:t>
      </w:r>
      <w:r w:rsidR="00B40F57" w:rsidRPr="00B40F57">
        <w:t>lietu iztiesājot pēc būtības, t</w:t>
      </w:r>
      <w:r w:rsidR="00B40F57">
        <w:t>ajā</w:t>
      </w:r>
      <w:r w:rsidR="00B40F57" w:rsidRPr="00B40F57">
        <w:t xml:space="preserve"> apelācijas instanc</w:t>
      </w:r>
      <w:r w:rsidR="00000C63">
        <w:t>es tiesā</w:t>
      </w:r>
      <w:r w:rsidR="00B40F57" w:rsidRPr="00B40F57">
        <w:t>.</w:t>
      </w:r>
    </w:p>
    <w:p w14:paraId="3F8D3A3B" w14:textId="44A319AF" w:rsidR="00872AAD" w:rsidRPr="00B146A7" w:rsidRDefault="00872AAD" w:rsidP="00EE7E71">
      <w:pPr>
        <w:suppressAutoHyphens w:val="0"/>
        <w:spacing w:line="276" w:lineRule="auto"/>
        <w:ind w:firstLine="720"/>
        <w:jc w:val="both"/>
        <w:rPr>
          <w:rFonts w:cs="Times New Roman"/>
        </w:rPr>
      </w:pPr>
      <w:r w:rsidRPr="00B146A7">
        <w:rPr>
          <w:rFonts w:cs="Times New Roman"/>
        </w:rPr>
        <w:t>Nosacītas notiesāšanas priekšnoteikums ir ar faktiem pamatota prognoze, ka vainīgais turpmāk neizdarīs likumpārkāpumus.</w:t>
      </w:r>
    </w:p>
    <w:p w14:paraId="27FFB663" w14:textId="09ADB8B4" w:rsidR="00872AAD" w:rsidRPr="00B146A7" w:rsidRDefault="00872AAD" w:rsidP="00EE7E71">
      <w:pPr>
        <w:suppressAutoHyphens w:val="0"/>
        <w:spacing w:line="276" w:lineRule="auto"/>
        <w:ind w:firstLine="720"/>
        <w:jc w:val="both"/>
        <w:rPr>
          <w:rFonts w:cs="Times New Roman"/>
        </w:rPr>
      </w:pPr>
      <w:r>
        <w:rPr>
          <w:rFonts w:cs="Times New Roman"/>
        </w:rPr>
        <w:t>Senāts ir atzinis, ka l</w:t>
      </w:r>
      <w:r w:rsidRPr="00B146A7">
        <w:rPr>
          <w:rFonts w:cs="Times New Roman"/>
        </w:rPr>
        <w:t xml:space="preserve">ikums neprasa absolūtu garantiju tam, ka vainīgais turpmāk neizdarīs likumpārkāpumus, jo šāda noteiktība prognozes rakstura dēļ nav iespējama, tomēr varbūtībai, ka likumpārkāpumi nākotnē netiks izdarīti, jābūt ievērojami lielākai par varbūtību, ka tie atkārtosies. </w:t>
      </w:r>
      <w:r w:rsidRPr="00B146A7">
        <w:rPr>
          <w:rFonts w:asciiTheme="majorBidi" w:hAnsiTheme="majorBidi" w:cstheme="majorBidi"/>
        </w:rPr>
        <w:t xml:space="preserve">Faktiem, uz kuriem balstīta minētā prognoze, jābūt pierādītiem ārpus saprātīgām šaubām, savukārt attiecībā uz pašu prognozi princips </w:t>
      </w:r>
      <w:proofErr w:type="spellStart"/>
      <w:r w:rsidRPr="00B146A7">
        <w:rPr>
          <w:rFonts w:asciiTheme="majorBidi" w:hAnsiTheme="majorBidi" w:cstheme="majorBidi"/>
          <w:i/>
          <w:iCs/>
        </w:rPr>
        <w:t>in</w:t>
      </w:r>
      <w:proofErr w:type="spellEnd"/>
      <w:r w:rsidRPr="00B146A7">
        <w:rPr>
          <w:rFonts w:asciiTheme="majorBidi" w:hAnsiTheme="majorBidi" w:cstheme="majorBidi"/>
          <w:i/>
          <w:iCs/>
        </w:rPr>
        <w:t xml:space="preserve"> </w:t>
      </w:r>
      <w:proofErr w:type="spellStart"/>
      <w:r w:rsidRPr="00B146A7">
        <w:rPr>
          <w:rFonts w:asciiTheme="majorBidi" w:hAnsiTheme="majorBidi" w:cstheme="majorBidi"/>
          <w:i/>
          <w:iCs/>
        </w:rPr>
        <w:t>dubio</w:t>
      </w:r>
      <w:proofErr w:type="spellEnd"/>
      <w:r w:rsidRPr="00B146A7">
        <w:rPr>
          <w:rFonts w:asciiTheme="majorBidi" w:hAnsiTheme="majorBidi" w:cstheme="majorBidi"/>
          <w:i/>
          <w:iCs/>
        </w:rPr>
        <w:t xml:space="preserve"> </w:t>
      </w:r>
      <w:proofErr w:type="spellStart"/>
      <w:r w:rsidRPr="00B146A7">
        <w:rPr>
          <w:rFonts w:asciiTheme="majorBidi" w:hAnsiTheme="majorBidi" w:cstheme="majorBidi"/>
          <w:i/>
          <w:iCs/>
        </w:rPr>
        <w:t>pro</w:t>
      </w:r>
      <w:proofErr w:type="spellEnd"/>
      <w:r w:rsidRPr="00B146A7">
        <w:rPr>
          <w:rFonts w:asciiTheme="majorBidi" w:hAnsiTheme="majorBidi" w:cstheme="majorBidi"/>
          <w:i/>
          <w:iCs/>
        </w:rPr>
        <w:t xml:space="preserve"> </w:t>
      </w:r>
      <w:proofErr w:type="spellStart"/>
      <w:r w:rsidRPr="00B146A7">
        <w:rPr>
          <w:rFonts w:asciiTheme="majorBidi" w:hAnsiTheme="majorBidi" w:cstheme="majorBidi"/>
          <w:i/>
          <w:iCs/>
        </w:rPr>
        <w:t>reo</w:t>
      </w:r>
      <w:proofErr w:type="spellEnd"/>
      <w:r w:rsidRPr="00B146A7">
        <w:rPr>
          <w:rFonts w:asciiTheme="majorBidi" w:hAnsiTheme="majorBidi" w:cstheme="majorBidi"/>
        </w:rPr>
        <w:t>, proti, ka saprātīgas šaubas, kuras nav iespējams novērst, jāvērtē par labu personai, kurai ir tiesības uz aizstāvību, nav piemērojams</w:t>
      </w:r>
      <w:r>
        <w:rPr>
          <w:rFonts w:asciiTheme="majorBidi" w:hAnsiTheme="majorBidi" w:cstheme="majorBidi"/>
        </w:rPr>
        <w:t xml:space="preserve"> </w:t>
      </w:r>
      <w:r w:rsidRPr="00451511">
        <w:rPr>
          <w:rFonts w:asciiTheme="majorBidi" w:hAnsiTheme="majorBidi" w:cstheme="majorBidi"/>
        </w:rPr>
        <w:t>(</w:t>
      </w:r>
      <w:r w:rsidRPr="00451511">
        <w:rPr>
          <w:rFonts w:asciiTheme="majorBidi" w:hAnsiTheme="majorBidi" w:cstheme="majorBidi"/>
          <w:i/>
          <w:iCs/>
        </w:rPr>
        <w:t xml:space="preserve">Senāta 2025. gada 4. novembra lēmuma lietā Nr. SKK-240/2025, </w:t>
      </w:r>
      <w:hyperlink r:id="rId32" w:history="1">
        <w:r w:rsidRPr="007E6D0A">
          <w:rPr>
            <w:rStyle w:val="Hyperlink"/>
            <w:rFonts w:asciiTheme="majorBidi" w:hAnsiTheme="majorBidi" w:cstheme="majorBidi"/>
            <w:i/>
            <w:iCs/>
          </w:rPr>
          <w:t>ECLI:LV:AT:2025:1104.15830013416.9.L</w:t>
        </w:r>
      </w:hyperlink>
      <w:r w:rsidRPr="00451511">
        <w:rPr>
          <w:rFonts w:asciiTheme="majorBidi" w:hAnsiTheme="majorBidi" w:cstheme="majorBidi"/>
          <w:i/>
          <w:iCs/>
        </w:rPr>
        <w:t>, 6.1. punkts</w:t>
      </w:r>
      <w:r w:rsidRPr="00451511">
        <w:rPr>
          <w:rFonts w:asciiTheme="majorBidi" w:hAnsiTheme="majorBidi" w:cstheme="majorBidi"/>
        </w:rPr>
        <w:t>)</w:t>
      </w:r>
      <w:r w:rsidRPr="00B146A7">
        <w:rPr>
          <w:rFonts w:asciiTheme="majorBidi" w:hAnsiTheme="majorBidi" w:cstheme="majorBidi"/>
        </w:rPr>
        <w:t>.</w:t>
      </w:r>
    </w:p>
    <w:p w14:paraId="1804BC59" w14:textId="57A40A65" w:rsidR="00872AAD" w:rsidRDefault="00872AAD" w:rsidP="00EE7E71">
      <w:pPr>
        <w:suppressAutoHyphens w:val="0"/>
        <w:spacing w:line="276" w:lineRule="auto"/>
        <w:ind w:firstLine="720"/>
        <w:jc w:val="both"/>
        <w:rPr>
          <w:rFonts w:cs="Times New Roman"/>
        </w:rPr>
      </w:pPr>
      <w:r w:rsidRPr="00C43EAE">
        <w:rPr>
          <w:rFonts w:cs="Times New Roman"/>
          <w:color w:val="000000" w:themeColor="text1"/>
        </w:rPr>
        <w:t>A</w:t>
      </w:r>
      <w:r w:rsidRPr="00C43EAE">
        <w:rPr>
          <w:rFonts w:cs="Times New Roman"/>
        </w:rPr>
        <w:t>pstāklis, ka apsūdzētais noliedzis savu vainu</w:t>
      </w:r>
      <w:r w:rsidR="00E771FE">
        <w:rPr>
          <w:rFonts w:cs="Times New Roman"/>
        </w:rPr>
        <w:t>,</w:t>
      </w:r>
      <w:r w:rsidRPr="00C43EAE">
        <w:rPr>
          <w:rFonts w:cs="Times New Roman"/>
        </w:rPr>
        <w:t xml:space="preserve"> pats par sevi nav šķērslis nosacītas notiesāšanas piemērošanai. Vainas neatzīšana nevar pastiprināt personas atbildību un pasliktināt tās stāvokli lietā (</w:t>
      </w:r>
      <w:r w:rsidRPr="00C43EAE">
        <w:rPr>
          <w:rFonts w:cs="Times New Roman"/>
          <w:i/>
          <w:iCs/>
        </w:rPr>
        <w:t>Senāta</w:t>
      </w:r>
      <w:r>
        <w:rPr>
          <w:rFonts w:cs="Times New Roman"/>
          <w:bCs/>
          <w:i/>
          <w:iCs/>
        </w:rPr>
        <w:t xml:space="preserve"> </w:t>
      </w:r>
      <w:r w:rsidRPr="00C43EAE">
        <w:rPr>
          <w:rFonts w:cs="Times New Roman"/>
          <w:bCs/>
          <w:i/>
          <w:iCs/>
        </w:rPr>
        <w:t>2020.</w:t>
      </w:r>
      <w:r>
        <w:rPr>
          <w:rFonts w:cs="Times New Roman"/>
          <w:bCs/>
          <w:i/>
          <w:iCs/>
        </w:rPr>
        <w:t> </w:t>
      </w:r>
      <w:r w:rsidRPr="00C43EAE">
        <w:rPr>
          <w:rFonts w:cs="Times New Roman"/>
          <w:bCs/>
          <w:i/>
          <w:iCs/>
        </w:rPr>
        <w:t>gada 21.</w:t>
      </w:r>
      <w:r>
        <w:rPr>
          <w:rFonts w:cs="Times New Roman"/>
          <w:bCs/>
          <w:i/>
          <w:iCs/>
        </w:rPr>
        <w:t> </w:t>
      </w:r>
      <w:r w:rsidRPr="00C43EAE">
        <w:rPr>
          <w:rFonts w:cs="Times New Roman"/>
          <w:bCs/>
          <w:i/>
          <w:iCs/>
        </w:rPr>
        <w:t>maija lēmum</w:t>
      </w:r>
      <w:r>
        <w:rPr>
          <w:rFonts w:cs="Times New Roman"/>
          <w:bCs/>
          <w:i/>
          <w:iCs/>
        </w:rPr>
        <w:t>a</w:t>
      </w:r>
      <w:r w:rsidRPr="00C43EAE">
        <w:rPr>
          <w:rFonts w:cs="Times New Roman"/>
          <w:bCs/>
          <w:i/>
          <w:iCs/>
        </w:rPr>
        <w:t xml:space="preserve"> lietā Nr.</w:t>
      </w:r>
      <w:r>
        <w:rPr>
          <w:rFonts w:cs="Times New Roman"/>
          <w:bCs/>
          <w:i/>
          <w:iCs/>
        </w:rPr>
        <w:t> </w:t>
      </w:r>
      <w:r w:rsidRPr="00C43EAE">
        <w:rPr>
          <w:rFonts w:cs="Times New Roman"/>
          <w:bCs/>
          <w:i/>
          <w:iCs/>
        </w:rPr>
        <w:t>SKK</w:t>
      </w:r>
      <w:r w:rsidR="000A2B4B">
        <w:rPr>
          <w:rFonts w:cs="Times New Roman"/>
          <w:bCs/>
          <w:i/>
          <w:iCs/>
        </w:rPr>
        <w:noBreakHyphen/>
      </w:r>
      <w:r w:rsidRPr="00C43EAE">
        <w:rPr>
          <w:rFonts w:cs="Times New Roman"/>
          <w:bCs/>
          <w:i/>
          <w:iCs/>
        </w:rPr>
        <w:t xml:space="preserve">173/2020, </w:t>
      </w:r>
      <w:hyperlink r:id="rId33" w:history="1">
        <w:r w:rsidRPr="00794843">
          <w:rPr>
            <w:rStyle w:val="Hyperlink"/>
            <w:rFonts w:asciiTheme="majorBidi" w:hAnsiTheme="majorBidi" w:cstheme="majorBidi"/>
            <w:i/>
            <w:iCs/>
            <w:shd w:val="clear" w:color="auto" w:fill="FFFFFF"/>
          </w:rPr>
          <w:t>ECLI:LV:AT:2020:0521.15830010413.6.L</w:t>
        </w:r>
      </w:hyperlink>
      <w:r w:rsidRPr="00C43EAE">
        <w:rPr>
          <w:rFonts w:cs="Times New Roman"/>
          <w:bCs/>
          <w:i/>
          <w:iCs/>
        </w:rPr>
        <w:t>, 11.1. punkts</w:t>
      </w:r>
      <w:r w:rsidRPr="00C43EAE">
        <w:rPr>
          <w:rFonts w:cs="Times New Roman"/>
          <w:bCs/>
        </w:rPr>
        <w:t>)</w:t>
      </w:r>
      <w:r w:rsidRPr="00C43EAE">
        <w:rPr>
          <w:rFonts w:cs="Times New Roman"/>
        </w:rPr>
        <w:t>.</w:t>
      </w:r>
    </w:p>
    <w:p w14:paraId="08BA67A5" w14:textId="4EDA52C8" w:rsidR="00872AAD" w:rsidRDefault="00872AAD" w:rsidP="00EE7E71">
      <w:pPr>
        <w:suppressAutoHyphens w:val="0"/>
        <w:spacing w:line="276" w:lineRule="auto"/>
        <w:ind w:firstLine="720"/>
        <w:jc w:val="both"/>
        <w:rPr>
          <w:rFonts w:asciiTheme="majorBidi" w:hAnsiTheme="majorBidi" w:cstheme="majorBidi"/>
        </w:rPr>
      </w:pPr>
      <w:r w:rsidRPr="004C5247">
        <w:rPr>
          <w:rFonts w:asciiTheme="majorBidi" w:hAnsiTheme="majorBidi" w:cstheme="majorBidi"/>
        </w:rPr>
        <w:t>Rezumējot minēto, Senāts konstatē, ka apelācijas instances tiesa</w:t>
      </w:r>
      <w:r w:rsidR="00B07B82">
        <w:rPr>
          <w:rFonts w:asciiTheme="majorBidi" w:hAnsiTheme="majorBidi" w:cstheme="majorBidi"/>
        </w:rPr>
        <w:t xml:space="preserve">, neizvērtējot visus lietā </w:t>
      </w:r>
      <w:r w:rsidR="00A110A6">
        <w:rPr>
          <w:rFonts w:asciiTheme="majorBidi" w:hAnsiTheme="majorBidi" w:cstheme="majorBidi"/>
        </w:rPr>
        <w:t xml:space="preserve">nozīmīgos </w:t>
      </w:r>
      <w:r w:rsidR="00B07B82">
        <w:rPr>
          <w:rFonts w:asciiTheme="majorBidi" w:hAnsiTheme="majorBidi" w:cstheme="majorBidi"/>
        </w:rPr>
        <w:t>apstākļus, nepareizi piemērojusi</w:t>
      </w:r>
      <w:r w:rsidRPr="004C5247">
        <w:rPr>
          <w:rFonts w:asciiTheme="majorBidi" w:hAnsiTheme="majorBidi" w:cstheme="majorBidi"/>
        </w:rPr>
        <w:t xml:space="preserve"> Krimināllikuma 55. panta pirm</w:t>
      </w:r>
      <w:r w:rsidR="00B07B82">
        <w:rPr>
          <w:rFonts w:asciiTheme="majorBidi" w:hAnsiTheme="majorBidi" w:cstheme="majorBidi"/>
        </w:rPr>
        <w:t>o</w:t>
      </w:r>
      <w:r w:rsidRPr="004C5247">
        <w:rPr>
          <w:rFonts w:asciiTheme="majorBidi" w:hAnsiTheme="majorBidi" w:cstheme="majorBidi"/>
        </w:rPr>
        <w:t xml:space="preserve"> daļ</w:t>
      </w:r>
      <w:r w:rsidR="00B07B82">
        <w:rPr>
          <w:rFonts w:asciiTheme="majorBidi" w:hAnsiTheme="majorBidi" w:cstheme="majorBidi"/>
        </w:rPr>
        <w:t>u</w:t>
      </w:r>
      <w:r w:rsidRPr="004C5247" w:rsidDel="00162710">
        <w:rPr>
          <w:rFonts w:asciiTheme="majorBidi" w:hAnsiTheme="majorBidi" w:cstheme="majorBidi"/>
        </w:rPr>
        <w:t xml:space="preserve"> </w:t>
      </w:r>
      <w:r w:rsidRPr="004C5247">
        <w:rPr>
          <w:rFonts w:asciiTheme="majorBidi" w:hAnsiTheme="majorBidi" w:cstheme="majorBidi"/>
        </w:rPr>
        <w:t>(redakcijā līdz 2024. gada 31. decembrim)</w:t>
      </w:r>
      <w:r w:rsidR="00B07B82">
        <w:rPr>
          <w:rFonts w:asciiTheme="majorBidi" w:hAnsiTheme="majorBidi" w:cstheme="majorBidi"/>
        </w:rPr>
        <w:t>, un t</w:t>
      </w:r>
      <w:r w:rsidRPr="004C5247">
        <w:rPr>
          <w:rFonts w:asciiTheme="majorBidi" w:hAnsiTheme="majorBidi" w:cstheme="majorBidi"/>
        </w:rPr>
        <w:t>ādējādi pieļ</w:t>
      </w:r>
      <w:r w:rsidR="00B07B82">
        <w:rPr>
          <w:rFonts w:asciiTheme="majorBidi" w:hAnsiTheme="majorBidi" w:cstheme="majorBidi"/>
        </w:rPr>
        <w:t>āvusi</w:t>
      </w:r>
      <w:r w:rsidRPr="004C5247">
        <w:rPr>
          <w:rFonts w:asciiTheme="majorBidi" w:hAnsiTheme="majorBidi" w:cstheme="majorBidi"/>
        </w:rPr>
        <w:t xml:space="preserve"> Kriminālprocesa likuma 574. panta 1. punktā norādīto pārkāpumu</w:t>
      </w:r>
      <w:r w:rsidR="00BF3708">
        <w:rPr>
          <w:rFonts w:asciiTheme="majorBidi" w:hAnsiTheme="majorBidi" w:cstheme="majorBidi"/>
        </w:rPr>
        <w:t>.</w:t>
      </w:r>
    </w:p>
    <w:p w14:paraId="7226D917" w14:textId="53E6576A" w:rsidR="00872AAD" w:rsidRDefault="00953EF0" w:rsidP="00EE7E71">
      <w:pPr>
        <w:suppressAutoHyphens w:val="0"/>
        <w:spacing w:line="276" w:lineRule="auto"/>
        <w:ind w:firstLine="720"/>
        <w:jc w:val="both"/>
        <w:rPr>
          <w:rFonts w:asciiTheme="majorBidi" w:hAnsiTheme="majorBidi" w:cstheme="majorBidi"/>
        </w:rPr>
      </w:pPr>
      <w:r>
        <w:rPr>
          <w:rFonts w:cs="Times New Roman"/>
        </w:rPr>
        <w:t>Ievērojot Krimināllikuma grozījumus, kas stājās spēkā 2025. gada 1. janvār</w:t>
      </w:r>
      <w:r w:rsidR="00000C63">
        <w:rPr>
          <w:rFonts w:cs="Times New Roman"/>
        </w:rPr>
        <w:t>ī</w:t>
      </w:r>
      <w:r>
        <w:rPr>
          <w:rFonts w:cs="Times New Roman"/>
        </w:rPr>
        <w:t>, un</w:t>
      </w:r>
      <w:r w:rsidRPr="00907C15">
        <w:rPr>
          <w:rFonts w:cs="Times New Roman"/>
        </w:rPr>
        <w:t xml:space="preserve"> K</w:t>
      </w:r>
      <w:r>
        <w:rPr>
          <w:rFonts w:cs="Times New Roman"/>
        </w:rPr>
        <w:t>rimināllikuma</w:t>
      </w:r>
      <w:r w:rsidRPr="00907C15">
        <w:rPr>
          <w:rFonts w:cs="Times New Roman"/>
        </w:rPr>
        <w:t xml:space="preserve"> 5.</w:t>
      </w:r>
      <w:r>
        <w:rPr>
          <w:rFonts w:cs="Times New Roman"/>
        </w:rPr>
        <w:t> </w:t>
      </w:r>
      <w:r w:rsidRPr="00907C15">
        <w:rPr>
          <w:rFonts w:cs="Times New Roman"/>
        </w:rPr>
        <w:t xml:space="preserve">panta trešajā daļā noteikto aizliegumu </w:t>
      </w:r>
      <w:r>
        <w:rPr>
          <w:rFonts w:cs="Times New Roman"/>
        </w:rPr>
        <w:t xml:space="preserve">piemērot bargāku sodu, nekā noziedzīgā nodarījuma izdarīšanas laikā spēkā esošais likums, </w:t>
      </w:r>
      <w:r w:rsidRPr="00907C15">
        <w:rPr>
          <w:rFonts w:cs="Times New Roman"/>
        </w:rPr>
        <w:t xml:space="preserve">Senāts atzīst par nepieciešamu atcelt </w:t>
      </w:r>
      <w:r>
        <w:rPr>
          <w:rFonts w:cs="Times New Roman"/>
        </w:rPr>
        <w:t xml:space="preserve">apelācijas instances tiesas spriedumu gan </w:t>
      </w:r>
      <w:r w:rsidRPr="00907C15">
        <w:rPr>
          <w:rFonts w:cs="Times New Roman"/>
        </w:rPr>
        <w:t>daļā par K</w:t>
      </w:r>
      <w:r>
        <w:rPr>
          <w:rFonts w:cs="Times New Roman"/>
        </w:rPr>
        <w:t>rimināllikuma</w:t>
      </w:r>
      <w:r w:rsidRPr="00907C15">
        <w:rPr>
          <w:rFonts w:cs="Times New Roman"/>
        </w:rPr>
        <w:t xml:space="preserve"> 55.</w:t>
      </w:r>
      <w:r>
        <w:rPr>
          <w:rFonts w:cs="Times New Roman"/>
        </w:rPr>
        <w:t> </w:t>
      </w:r>
      <w:r w:rsidRPr="00907C15">
        <w:rPr>
          <w:rFonts w:cs="Times New Roman"/>
        </w:rPr>
        <w:t xml:space="preserve">panta piemērošanu, </w:t>
      </w:r>
      <w:r>
        <w:rPr>
          <w:rFonts w:cs="Times New Roman"/>
        </w:rPr>
        <w:t>gan</w:t>
      </w:r>
      <w:r w:rsidRPr="00907C15">
        <w:rPr>
          <w:rFonts w:cs="Times New Roman"/>
        </w:rPr>
        <w:t xml:space="preserve"> daļā par </w:t>
      </w:r>
      <w:r>
        <w:rPr>
          <w:rFonts w:cs="Times New Roman"/>
        </w:rPr>
        <w:t xml:space="preserve">apsūdzētajam </w:t>
      </w:r>
      <w:r w:rsidR="0088482E">
        <w:rPr>
          <w:rFonts w:cs="Times New Roman"/>
        </w:rPr>
        <w:t>[pers. A]</w:t>
      </w:r>
      <w:r>
        <w:rPr>
          <w:rFonts w:cs="Times New Roman"/>
        </w:rPr>
        <w:t xml:space="preserve"> noteikto </w:t>
      </w:r>
      <w:r w:rsidRPr="00907C15">
        <w:rPr>
          <w:rFonts w:cs="Times New Roman"/>
        </w:rPr>
        <w:t>sod</w:t>
      </w:r>
      <w:r>
        <w:rPr>
          <w:rFonts w:cs="Times New Roman"/>
        </w:rPr>
        <w:t>u</w:t>
      </w:r>
      <w:r w:rsidR="00BF3708">
        <w:rPr>
          <w:rFonts w:cs="Times New Roman"/>
        </w:rPr>
        <w:t xml:space="preserve"> </w:t>
      </w:r>
      <w:r w:rsidR="00BF3708" w:rsidRPr="004C5247">
        <w:rPr>
          <w:rFonts w:asciiTheme="majorBidi" w:hAnsiTheme="majorBidi" w:cstheme="majorBidi"/>
        </w:rPr>
        <w:t>pēc Krimināllikuma 177. panta trešās daļas</w:t>
      </w:r>
      <w:r w:rsidR="00BF3708">
        <w:rPr>
          <w:rFonts w:cs="Times New Roman"/>
        </w:rPr>
        <w:t>.</w:t>
      </w:r>
    </w:p>
    <w:p w14:paraId="57633161" w14:textId="77777777" w:rsidR="00872AAD" w:rsidRDefault="00872AAD" w:rsidP="00EE7E71">
      <w:pPr>
        <w:suppressAutoHyphens w:val="0"/>
        <w:spacing w:line="276" w:lineRule="auto"/>
        <w:ind w:firstLine="720"/>
        <w:jc w:val="both"/>
        <w:rPr>
          <w:rFonts w:cs="Times New Roman"/>
        </w:rPr>
      </w:pPr>
    </w:p>
    <w:p w14:paraId="136A30FB" w14:textId="43520C50" w:rsidR="00872AAD" w:rsidRPr="005C0B68" w:rsidRDefault="00F676B8" w:rsidP="00EE7E71">
      <w:pPr>
        <w:suppressAutoHyphens w:val="0"/>
        <w:spacing w:line="276" w:lineRule="auto"/>
        <w:jc w:val="center"/>
        <w:rPr>
          <w:rFonts w:cs="Times New Roman"/>
          <w:b/>
          <w:bCs/>
        </w:rPr>
      </w:pPr>
      <w:r>
        <w:rPr>
          <w:rFonts w:cs="Times New Roman"/>
          <w:b/>
          <w:bCs/>
        </w:rPr>
        <w:t>VIII</w:t>
      </w:r>
    </w:p>
    <w:p w14:paraId="6BE5BF62" w14:textId="77777777" w:rsidR="00872AAD" w:rsidRPr="00131937" w:rsidRDefault="00872AAD" w:rsidP="00EE7E71">
      <w:pPr>
        <w:suppressAutoHyphens w:val="0"/>
        <w:spacing w:line="276" w:lineRule="auto"/>
        <w:jc w:val="center"/>
        <w:rPr>
          <w:rFonts w:cs="Times New Roman"/>
          <w:i/>
          <w:iCs/>
        </w:rPr>
      </w:pPr>
      <w:r w:rsidRPr="00131937">
        <w:rPr>
          <w:rFonts w:cs="Times New Roman"/>
          <w:i/>
          <w:iCs/>
        </w:rPr>
        <w:t>Citi jautājumi</w:t>
      </w:r>
    </w:p>
    <w:p w14:paraId="67EC0743" w14:textId="77777777" w:rsidR="00872AAD" w:rsidRDefault="00872AAD" w:rsidP="00EE7E71">
      <w:pPr>
        <w:suppressAutoHyphens w:val="0"/>
        <w:spacing w:line="276" w:lineRule="auto"/>
        <w:ind w:firstLine="720"/>
        <w:jc w:val="both"/>
        <w:rPr>
          <w:i/>
          <w:iCs/>
        </w:rPr>
      </w:pPr>
    </w:p>
    <w:p w14:paraId="64DF8E7F" w14:textId="286EC927" w:rsidR="00872AAD" w:rsidRDefault="00872AAD" w:rsidP="00EE7E71">
      <w:pPr>
        <w:suppressAutoHyphens w:val="0"/>
        <w:spacing w:line="276" w:lineRule="auto"/>
        <w:ind w:firstLine="720"/>
        <w:jc w:val="both"/>
        <w:rPr>
          <w:rFonts w:asciiTheme="majorBidi" w:hAnsiTheme="majorBidi" w:cstheme="majorBidi"/>
        </w:rPr>
      </w:pPr>
      <w:r>
        <w:rPr>
          <w:rFonts w:asciiTheme="majorBidi" w:hAnsiTheme="majorBidi" w:cstheme="majorBidi"/>
        </w:rPr>
        <w:t>[1</w:t>
      </w:r>
      <w:r w:rsidR="00F676B8">
        <w:rPr>
          <w:rFonts w:asciiTheme="majorBidi" w:hAnsiTheme="majorBidi" w:cstheme="majorBidi"/>
        </w:rPr>
        <w:t>5</w:t>
      </w:r>
      <w:r>
        <w:rPr>
          <w:rFonts w:asciiTheme="majorBidi" w:hAnsiTheme="majorBidi" w:cstheme="majorBidi"/>
        </w:rPr>
        <w:t xml:space="preserve">] Apsūdzētais </w:t>
      </w:r>
      <w:r w:rsidR="0088482E">
        <w:rPr>
          <w:rFonts w:asciiTheme="majorBidi" w:hAnsiTheme="majorBidi" w:cstheme="majorBidi"/>
        </w:rPr>
        <w:t>[pers. A]</w:t>
      </w:r>
      <w:r>
        <w:rPr>
          <w:rFonts w:asciiTheme="majorBidi" w:hAnsiTheme="majorBidi" w:cstheme="majorBidi"/>
        </w:rPr>
        <w:t xml:space="preserve"> kasācijas sūdzībā izteikto apgalvojumu par apsūdzību vairākkārtīgu grozīšanu (</w:t>
      </w:r>
      <w:r w:rsidRPr="005002BC">
        <w:rPr>
          <w:rFonts w:asciiTheme="majorBidi" w:hAnsiTheme="majorBidi" w:cstheme="majorBidi"/>
        </w:rPr>
        <w:t>pēdēj</w:t>
      </w:r>
      <w:r>
        <w:rPr>
          <w:rFonts w:asciiTheme="majorBidi" w:hAnsiTheme="majorBidi" w:cstheme="majorBidi"/>
        </w:rPr>
        <w:t>o</w:t>
      </w:r>
      <w:r w:rsidRPr="005002BC">
        <w:rPr>
          <w:rFonts w:asciiTheme="majorBidi" w:hAnsiTheme="majorBidi" w:cstheme="majorBidi"/>
        </w:rPr>
        <w:t xml:space="preserve"> </w:t>
      </w:r>
      <w:r>
        <w:rPr>
          <w:rFonts w:asciiTheme="majorBidi" w:hAnsiTheme="majorBidi" w:cstheme="majorBidi"/>
        </w:rPr>
        <w:t>reizi</w:t>
      </w:r>
      <w:r w:rsidRPr="005002BC">
        <w:rPr>
          <w:rFonts w:asciiTheme="majorBidi" w:hAnsiTheme="majorBidi" w:cstheme="majorBidi"/>
        </w:rPr>
        <w:t xml:space="preserve"> </w:t>
      </w:r>
      <w:r>
        <w:rPr>
          <w:rFonts w:asciiTheme="majorBidi" w:hAnsiTheme="majorBidi" w:cstheme="majorBidi"/>
        </w:rPr>
        <w:t>–</w:t>
      </w:r>
      <w:r w:rsidRPr="005002BC">
        <w:rPr>
          <w:rFonts w:asciiTheme="majorBidi" w:hAnsiTheme="majorBidi" w:cstheme="majorBidi"/>
        </w:rPr>
        <w:t xml:space="preserve"> </w:t>
      </w:r>
      <w:r>
        <w:rPr>
          <w:rFonts w:asciiTheme="majorBidi" w:hAnsiTheme="majorBidi" w:cstheme="majorBidi"/>
        </w:rPr>
        <w:t>pēc tiesas izmeklēšanas pabeigšanas) nav sasaistījis ar konkrētu tiesību normu pārkāpumu, tāpēc kasācijas sūdzība šajā daļā neatbilst Kriminālprocesa likuma 572. panta prasībām.</w:t>
      </w:r>
    </w:p>
    <w:p w14:paraId="6F6A9352" w14:textId="77777777" w:rsidR="00872AAD" w:rsidRDefault="00872AAD" w:rsidP="00EE7E71">
      <w:pPr>
        <w:suppressAutoHyphens w:val="0"/>
        <w:spacing w:line="276" w:lineRule="auto"/>
        <w:ind w:firstLine="720"/>
        <w:jc w:val="both"/>
        <w:rPr>
          <w:rFonts w:asciiTheme="majorBidi" w:hAnsiTheme="majorBidi" w:cstheme="majorBidi"/>
        </w:rPr>
      </w:pPr>
    </w:p>
    <w:p w14:paraId="66A2B449" w14:textId="1062392E" w:rsidR="00872AAD" w:rsidRPr="006F4B2F" w:rsidRDefault="00872AAD" w:rsidP="00EE7E71">
      <w:pPr>
        <w:shd w:val="clear" w:color="auto" w:fill="FFFFFF"/>
        <w:suppressAutoHyphens w:val="0"/>
        <w:spacing w:line="276" w:lineRule="auto"/>
        <w:ind w:firstLine="720"/>
        <w:jc w:val="both"/>
        <w:rPr>
          <w:rFonts w:asciiTheme="majorBidi" w:hAnsiTheme="majorBidi" w:cstheme="majorBidi"/>
          <w:shd w:val="clear" w:color="auto" w:fill="FFFFFF"/>
          <w:lang w:eastAsia="lv-LV"/>
        </w:rPr>
      </w:pPr>
      <w:r>
        <w:rPr>
          <w:shd w:val="clear" w:color="auto" w:fill="FFFFFF"/>
        </w:rPr>
        <w:t>[1</w:t>
      </w:r>
      <w:r w:rsidR="00F676B8">
        <w:rPr>
          <w:shd w:val="clear" w:color="auto" w:fill="FFFFFF"/>
        </w:rPr>
        <w:t>6</w:t>
      </w:r>
      <w:r>
        <w:rPr>
          <w:shd w:val="clear" w:color="auto" w:fill="FFFFFF"/>
        </w:rPr>
        <w:t xml:space="preserve">] Apsūdzētajam </w:t>
      </w:r>
      <w:r w:rsidR="0088482E">
        <w:rPr>
          <w:shd w:val="clear" w:color="auto" w:fill="FFFFFF"/>
        </w:rPr>
        <w:t>[pers. A]</w:t>
      </w:r>
      <w:r>
        <w:rPr>
          <w:shd w:val="clear" w:color="auto" w:fill="FFFFFF"/>
        </w:rPr>
        <w:t xml:space="preserve"> drošības līdzeklis nav piemērots.</w:t>
      </w:r>
    </w:p>
    <w:p w14:paraId="0AEB4C55" w14:textId="77777777" w:rsidR="00872AAD" w:rsidRPr="005C0B68" w:rsidRDefault="00872AAD" w:rsidP="00EE7E71">
      <w:pPr>
        <w:shd w:val="clear" w:color="auto" w:fill="FFFFFF"/>
        <w:tabs>
          <w:tab w:val="num" w:pos="720"/>
        </w:tabs>
        <w:suppressAutoHyphens w:val="0"/>
        <w:spacing w:line="276" w:lineRule="auto"/>
        <w:ind w:firstLine="720"/>
        <w:jc w:val="both"/>
        <w:rPr>
          <w:shd w:val="clear" w:color="auto" w:fill="FFFFFF"/>
        </w:rPr>
      </w:pPr>
      <w:r>
        <w:rPr>
          <w:shd w:val="clear" w:color="auto" w:fill="FFFFFF"/>
        </w:rPr>
        <w:t>Senāts atzīst, ka drošības līdzekļa piemērošanai apsūdzētajam šajā kriminālprocesa stadijā nav tiesiska pamata.</w:t>
      </w:r>
    </w:p>
    <w:p w14:paraId="7FDC1D5C" w14:textId="77777777" w:rsidR="00872AAD" w:rsidRPr="00AD23EC" w:rsidRDefault="00872AAD" w:rsidP="00EE7E71">
      <w:pPr>
        <w:suppressAutoHyphens w:val="0"/>
        <w:spacing w:line="276" w:lineRule="auto"/>
        <w:ind w:firstLine="720"/>
        <w:jc w:val="both"/>
      </w:pPr>
    </w:p>
    <w:p w14:paraId="3A5F5360" w14:textId="77777777" w:rsidR="00872AAD" w:rsidRDefault="00872AAD" w:rsidP="00EE7E71">
      <w:pPr>
        <w:suppressAutoHyphens w:val="0"/>
        <w:spacing w:line="276" w:lineRule="auto"/>
        <w:jc w:val="center"/>
        <w:rPr>
          <w:b/>
          <w:bCs/>
        </w:rPr>
      </w:pPr>
      <w:r w:rsidRPr="00086854">
        <w:rPr>
          <w:b/>
          <w:bCs/>
        </w:rPr>
        <w:t>Rezolutīvā daļa</w:t>
      </w:r>
    </w:p>
    <w:p w14:paraId="760E5493" w14:textId="77777777" w:rsidR="00872AAD" w:rsidRPr="00086854" w:rsidRDefault="00872AAD" w:rsidP="00EE7E71">
      <w:pPr>
        <w:suppressAutoHyphens w:val="0"/>
        <w:spacing w:line="276" w:lineRule="auto"/>
        <w:ind w:firstLine="720"/>
        <w:jc w:val="both"/>
        <w:rPr>
          <w:b/>
          <w:bCs/>
        </w:rPr>
      </w:pPr>
    </w:p>
    <w:p w14:paraId="1ECF8F47" w14:textId="77777777" w:rsidR="00872AAD" w:rsidRDefault="00872AAD" w:rsidP="00EE7E71">
      <w:pPr>
        <w:suppressAutoHyphens w:val="0"/>
        <w:spacing w:line="276" w:lineRule="auto"/>
        <w:ind w:firstLine="720"/>
        <w:jc w:val="both"/>
        <w:rPr>
          <w:lang w:eastAsia="ru-RU"/>
        </w:rPr>
      </w:pPr>
      <w:r w:rsidRPr="00F765F8">
        <w:t xml:space="preserve">Pamatojoties uz Kriminālprocesa likuma </w:t>
      </w:r>
      <w:r w:rsidRPr="00F765F8">
        <w:rPr>
          <w:lang w:eastAsia="ru-RU"/>
        </w:rPr>
        <w:t xml:space="preserve">585. pantu un 587. panta pirmās daļas </w:t>
      </w:r>
      <w:r>
        <w:rPr>
          <w:lang w:eastAsia="ru-RU"/>
        </w:rPr>
        <w:t>2</w:t>
      </w:r>
      <w:r w:rsidRPr="00F765F8">
        <w:rPr>
          <w:lang w:eastAsia="ru-RU"/>
        </w:rPr>
        <w:t>. punktu, Senāts</w:t>
      </w:r>
    </w:p>
    <w:p w14:paraId="1BB864A5" w14:textId="77777777" w:rsidR="00872AAD" w:rsidRPr="00F765F8" w:rsidRDefault="00872AAD" w:rsidP="00EE7E71">
      <w:pPr>
        <w:suppressAutoHyphens w:val="0"/>
        <w:spacing w:line="276" w:lineRule="auto"/>
        <w:ind w:firstLine="720"/>
        <w:jc w:val="both"/>
        <w:rPr>
          <w:lang w:eastAsia="ru-RU"/>
        </w:rPr>
      </w:pPr>
    </w:p>
    <w:p w14:paraId="0BF9DD38" w14:textId="77777777" w:rsidR="00872AAD" w:rsidRDefault="00872AAD" w:rsidP="00EE7E71">
      <w:pPr>
        <w:suppressAutoHyphens w:val="0"/>
        <w:spacing w:line="276" w:lineRule="auto"/>
        <w:jc w:val="center"/>
        <w:rPr>
          <w:rFonts w:eastAsia="Times New Roman" w:cs="Times New Roman"/>
          <w:b/>
          <w:lang w:eastAsia="ru-RU"/>
        </w:rPr>
      </w:pPr>
      <w:r>
        <w:rPr>
          <w:b/>
          <w:bCs/>
        </w:rPr>
        <w:lastRenderedPageBreak/>
        <w:t>n</w:t>
      </w:r>
      <w:r w:rsidRPr="00F765F8">
        <w:rPr>
          <w:b/>
          <w:bCs/>
        </w:rPr>
        <w:t>olēm</w:t>
      </w:r>
      <w:r w:rsidRPr="00F765F8">
        <w:rPr>
          <w:rFonts w:eastAsia="Times New Roman" w:cs="Times New Roman"/>
          <w:b/>
          <w:lang w:eastAsia="ru-RU"/>
        </w:rPr>
        <w:t>a</w:t>
      </w:r>
    </w:p>
    <w:p w14:paraId="0BA86791" w14:textId="77777777" w:rsidR="00872AAD" w:rsidRPr="00F765F8" w:rsidRDefault="00872AAD" w:rsidP="00EE7E71">
      <w:pPr>
        <w:suppressAutoHyphens w:val="0"/>
        <w:spacing w:line="276" w:lineRule="auto"/>
        <w:ind w:firstLine="720"/>
        <w:jc w:val="both"/>
        <w:rPr>
          <w:rFonts w:eastAsia="Times New Roman" w:cs="Times New Roman"/>
          <w:b/>
          <w:lang w:eastAsia="ru-RU"/>
        </w:rPr>
      </w:pPr>
    </w:p>
    <w:p w14:paraId="6B8B8F5A" w14:textId="28B6279C" w:rsidR="00872AAD" w:rsidRDefault="00872AAD" w:rsidP="00EE7E71">
      <w:pPr>
        <w:suppressAutoHyphens w:val="0"/>
        <w:spacing w:line="276" w:lineRule="auto"/>
        <w:ind w:firstLine="720"/>
        <w:jc w:val="both"/>
        <w:rPr>
          <w:rFonts w:asciiTheme="majorBidi" w:hAnsiTheme="majorBidi" w:cstheme="majorBidi"/>
        </w:rPr>
      </w:pPr>
      <w:r w:rsidRPr="00561852">
        <w:rPr>
          <w:rFonts w:asciiTheme="majorBidi" w:hAnsiTheme="majorBidi" w:cstheme="majorBidi"/>
        </w:rPr>
        <w:t xml:space="preserve">atcelt </w:t>
      </w:r>
      <w:r w:rsidRPr="00CE3CC2">
        <w:t xml:space="preserve">Rīgas apgabaltiesas </w:t>
      </w:r>
      <w:r>
        <w:t>2024. gada 9. maija</w:t>
      </w:r>
      <w:r w:rsidRPr="00CE3CC2">
        <w:t xml:space="preserve"> </w:t>
      </w:r>
      <w:r w:rsidRPr="00561852">
        <w:rPr>
          <w:rFonts w:asciiTheme="majorBidi" w:hAnsiTheme="majorBidi" w:cstheme="majorBidi"/>
        </w:rPr>
        <w:t>spriedumu</w:t>
      </w:r>
      <w:r w:rsidRPr="00522358">
        <w:rPr>
          <w:rFonts w:asciiTheme="majorBidi" w:hAnsiTheme="majorBidi" w:cstheme="majorBidi"/>
        </w:rPr>
        <w:t xml:space="preserve"> </w:t>
      </w:r>
      <w:r w:rsidRPr="00561852">
        <w:rPr>
          <w:rFonts w:asciiTheme="majorBidi" w:hAnsiTheme="majorBidi" w:cstheme="majorBidi"/>
        </w:rPr>
        <w:t>daļā</w:t>
      </w:r>
      <w:r>
        <w:rPr>
          <w:rFonts w:asciiTheme="majorBidi" w:hAnsiTheme="majorBidi" w:cstheme="majorBidi"/>
        </w:rPr>
        <w:t>:</w:t>
      </w:r>
      <w:r w:rsidR="00CB660C">
        <w:rPr>
          <w:rFonts w:asciiTheme="majorBidi" w:hAnsiTheme="majorBidi" w:cstheme="majorBidi"/>
        </w:rPr>
        <w:t xml:space="preserve"> </w:t>
      </w:r>
      <w:r>
        <w:rPr>
          <w:rFonts w:asciiTheme="majorBidi" w:hAnsiTheme="majorBidi" w:cstheme="majorBidi"/>
        </w:rPr>
        <w:t xml:space="preserve">1) par </w:t>
      </w:r>
      <w:r w:rsidR="0088482E">
        <w:rPr>
          <w:rFonts w:asciiTheme="majorBidi" w:hAnsiTheme="majorBidi" w:cstheme="majorBidi"/>
        </w:rPr>
        <w:t>[pers. A]</w:t>
      </w:r>
      <w:r>
        <w:rPr>
          <w:rFonts w:asciiTheme="majorBidi" w:hAnsiTheme="majorBidi" w:cstheme="majorBidi"/>
        </w:rPr>
        <w:t xml:space="preserve"> </w:t>
      </w:r>
      <w:r w:rsidRPr="00561852">
        <w:rPr>
          <w:rFonts w:asciiTheme="majorBidi" w:hAnsiTheme="majorBidi" w:cstheme="majorBidi"/>
        </w:rPr>
        <w:t>atzīšanu par vainīgu un sodīšanu pēc</w:t>
      </w:r>
      <w:r w:rsidRPr="008C236D">
        <w:rPr>
          <w:color w:val="000000"/>
        </w:rPr>
        <w:t xml:space="preserve"> </w:t>
      </w:r>
      <w:r w:rsidRPr="00945CFC">
        <w:rPr>
          <w:color w:val="000000"/>
        </w:rPr>
        <w:t xml:space="preserve">Krimināllikuma </w:t>
      </w:r>
      <w:r>
        <w:rPr>
          <w:color w:val="000000"/>
        </w:rPr>
        <w:t>220.</w:t>
      </w:r>
      <w:r w:rsidRPr="004B0644">
        <w:rPr>
          <w:color w:val="000000"/>
          <w:vertAlign w:val="superscript"/>
        </w:rPr>
        <w:t>1</w:t>
      </w:r>
      <w:r>
        <w:rPr>
          <w:color w:val="000000"/>
        </w:rPr>
        <w:t> panta otrās daļas;</w:t>
      </w:r>
      <w:r w:rsidR="00095CC9">
        <w:rPr>
          <w:color w:val="000000"/>
        </w:rPr>
        <w:t xml:space="preserve"> </w:t>
      </w:r>
      <w:r>
        <w:rPr>
          <w:color w:val="000000"/>
        </w:rPr>
        <w:t xml:space="preserve">2) ar kuru atstāts negrozīts pirmās instances tiesas spriedums par kaitējuma kompensācijas </w:t>
      </w:r>
      <w:r w:rsidRPr="005C0B68">
        <w:rPr>
          <w:rFonts w:asciiTheme="majorBidi" w:hAnsiTheme="majorBidi" w:cstheme="majorBidi"/>
        </w:rPr>
        <w:t>3962,11</w:t>
      </w:r>
      <w:r>
        <w:rPr>
          <w:rFonts w:asciiTheme="majorBidi" w:hAnsiTheme="majorBidi" w:cstheme="majorBidi"/>
        </w:rPr>
        <w:t> </w:t>
      </w:r>
      <w:r w:rsidRPr="005C0B68">
        <w:rPr>
          <w:rFonts w:asciiTheme="majorBidi" w:hAnsiTheme="majorBidi" w:cstheme="majorBidi"/>
          <w:i/>
          <w:iCs/>
        </w:rPr>
        <w:t>euro</w:t>
      </w:r>
      <w:r>
        <w:rPr>
          <w:rFonts w:asciiTheme="majorBidi" w:hAnsiTheme="majorBidi" w:cstheme="majorBidi"/>
          <w:i/>
          <w:iCs/>
        </w:rPr>
        <w:t xml:space="preserve"> </w:t>
      </w:r>
      <w:r>
        <w:rPr>
          <w:rFonts w:asciiTheme="majorBidi" w:hAnsiTheme="majorBidi" w:cstheme="majorBidi"/>
        </w:rPr>
        <w:t>(</w:t>
      </w:r>
      <w:r w:rsidRPr="005C0B68">
        <w:rPr>
          <w:rFonts w:asciiTheme="majorBidi" w:hAnsiTheme="majorBidi" w:cstheme="majorBidi"/>
        </w:rPr>
        <w:t>par nelikumīgu naftas produktu glabāšanu lielā apmērā</w:t>
      </w:r>
      <w:r>
        <w:rPr>
          <w:rFonts w:asciiTheme="majorBidi" w:hAnsiTheme="majorBidi" w:cstheme="majorBidi"/>
        </w:rPr>
        <w:t>) p</w:t>
      </w:r>
      <w:r w:rsidRPr="005C0B68">
        <w:rPr>
          <w:rFonts w:asciiTheme="majorBidi" w:hAnsiTheme="majorBidi" w:cstheme="majorBidi"/>
        </w:rPr>
        <w:t>iedz</w:t>
      </w:r>
      <w:r>
        <w:rPr>
          <w:rFonts w:asciiTheme="majorBidi" w:hAnsiTheme="majorBidi" w:cstheme="majorBidi"/>
        </w:rPr>
        <w:t>iņu</w:t>
      </w:r>
      <w:r w:rsidRPr="005C0B68">
        <w:rPr>
          <w:rFonts w:asciiTheme="majorBidi" w:hAnsiTheme="majorBidi" w:cstheme="majorBidi"/>
        </w:rPr>
        <w:t xml:space="preserve"> no </w:t>
      </w:r>
      <w:r w:rsidR="0088482E">
        <w:rPr>
          <w:rFonts w:asciiTheme="majorBidi" w:hAnsiTheme="majorBidi" w:cstheme="majorBidi"/>
        </w:rPr>
        <w:t>[pers. A]</w:t>
      </w:r>
      <w:r w:rsidRPr="005C0B68">
        <w:rPr>
          <w:rFonts w:asciiTheme="majorBidi" w:hAnsiTheme="majorBidi" w:cstheme="majorBidi"/>
        </w:rPr>
        <w:t xml:space="preserve"> valsts labā</w:t>
      </w:r>
      <w:r>
        <w:rPr>
          <w:rFonts w:asciiTheme="majorBidi" w:hAnsiTheme="majorBidi" w:cstheme="majorBidi"/>
        </w:rPr>
        <w:t>;</w:t>
      </w:r>
      <w:r w:rsidR="00095CC9">
        <w:rPr>
          <w:rFonts w:asciiTheme="majorBidi" w:hAnsiTheme="majorBidi" w:cstheme="majorBidi"/>
        </w:rPr>
        <w:t xml:space="preserve"> </w:t>
      </w:r>
      <w:r>
        <w:rPr>
          <w:rFonts w:asciiTheme="majorBidi" w:hAnsiTheme="majorBidi" w:cstheme="majorBidi"/>
        </w:rPr>
        <w:t>3) </w:t>
      </w:r>
      <w:r w:rsidR="00EE53AA">
        <w:rPr>
          <w:rFonts w:asciiTheme="majorBidi" w:hAnsiTheme="majorBidi" w:cstheme="majorBidi"/>
        </w:rPr>
        <w:t xml:space="preserve">par </w:t>
      </w:r>
      <w:r w:rsidR="0088482E">
        <w:rPr>
          <w:rFonts w:asciiTheme="majorBidi" w:hAnsiTheme="majorBidi" w:cstheme="majorBidi"/>
        </w:rPr>
        <w:t>[pers. A]</w:t>
      </w:r>
      <w:r>
        <w:rPr>
          <w:rFonts w:asciiTheme="majorBidi" w:hAnsiTheme="majorBidi" w:cstheme="majorBidi"/>
        </w:rPr>
        <w:t xml:space="preserve"> noteikto sodu pēc Krimināllikuma 177. panta trešās daļas un s</w:t>
      </w:r>
      <w:r w:rsidRPr="008C236D">
        <w:rPr>
          <w:rFonts w:asciiTheme="majorBidi" w:hAnsiTheme="majorBidi" w:cstheme="majorBidi"/>
        </w:rPr>
        <w:t>askaņā ar Krimināllikuma 50.</w:t>
      </w:r>
      <w:r>
        <w:rPr>
          <w:rFonts w:asciiTheme="majorBidi" w:hAnsiTheme="majorBidi" w:cstheme="majorBidi"/>
        </w:rPr>
        <w:t> </w:t>
      </w:r>
      <w:r w:rsidRPr="008C236D">
        <w:rPr>
          <w:rFonts w:asciiTheme="majorBidi" w:hAnsiTheme="majorBidi" w:cstheme="majorBidi"/>
        </w:rPr>
        <w:t>panta pirmo un trešo daļu</w:t>
      </w:r>
      <w:r>
        <w:rPr>
          <w:rFonts w:asciiTheme="majorBidi" w:hAnsiTheme="majorBidi" w:cstheme="majorBidi"/>
        </w:rPr>
        <w:t xml:space="preserve"> noteikto galīgo sodu;</w:t>
      </w:r>
    </w:p>
    <w:p w14:paraId="0ECB0C56" w14:textId="278DBF42" w:rsidR="00953EF0" w:rsidRDefault="00953EF0" w:rsidP="00EE7E71">
      <w:pPr>
        <w:suppressAutoHyphens w:val="0"/>
        <w:spacing w:line="276" w:lineRule="auto"/>
        <w:ind w:firstLine="720"/>
        <w:jc w:val="both"/>
        <w:rPr>
          <w:rFonts w:asciiTheme="majorBidi" w:hAnsiTheme="majorBidi" w:cstheme="majorBidi"/>
        </w:rPr>
      </w:pPr>
      <w:r>
        <w:rPr>
          <w:rFonts w:asciiTheme="majorBidi" w:hAnsiTheme="majorBidi" w:cstheme="majorBidi"/>
        </w:rPr>
        <w:t xml:space="preserve">atceltajā daļā nosūtīt lietu jaunai izskatīšanai </w:t>
      </w:r>
      <w:r w:rsidR="005A3776">
        <w:rPr>
          <w:rFonts w:asciiTheme="majorBidi" w:hAnsiTheme="majorBidi" w:cstheme="majorBidi"/>
        </w:rPr>
        <w:t>Rīgas apgabaltiesā</w:t>
      </w:r>
      <w:r>
        <w:rPr>
          <w:rFonts w:asciiTheme="majorBidi" w:hAnsiTheme="majorBidi" w:cstheme="majorBidi"/>
        </w:rPr>
        <w:t>;</w:t>
      </w:r>
    </w:p>
    <w:p w14:paraId="640754FF" w14:textId="77777777" w:rsidR="00872AAD" w:rsidRDefault="00872AAD" w:rsidP="00EE7E71">
      <w:pPr>
        <w:suppressAutoHyphens w:val="0"/>
        <w:spacing w:line="276" w:lineRule="auto"/>
        <w:ind w:firstLine="720"/>
        <w:jc w:val="both"/>
        <w:rPr>
          <w:rFonts w:asciiTheme="majorBidi" w:hAnsiTheme="majorBidi" w:cstheme="majorBidi"/>
        </w:rPr>
      </w:pPr>
      <w:r w:rsidRPr="008812DC">
        <w:rPr>
          <w:rFonts w:asciiTheme="majorBidi" w:hAnsiTheme="majorBidi" w:cstheme="majorBidi"/>
        </w:rPr>
        <w:t>pārējā daļā apelācijas instances tiesas spriedumu atstāt negrozītu</w:t>
      </w:r>
      <w:r>
        <w:rPr>
          <w:rFonts w:asciiTheme="majorBidi" w:hAnsiTheme="majorBidi" w:cstheme="majorBidi"/>
        </w:rPr>
        <w:t>.</w:t>
      </w:r>
    </w:p>
    <w:p w14:paraId="0854AAA9" w14:textId="77777777" w:rsidR="00872AAD" w:rsidRPr="00F765F8" w:rsidRDefault="00872AAD" w:rsidP="00EE7E71">
      <w:pPr>
        <w:suppressAutoHyphens w:val="0"/>
        <w:spacing w:line="276" w:lineRule="auto"/>
        <w:ind w:firstLine="720"/>
        <w:jc w:val="both"/>
      </w:pPr>
    </w:p>
    <w:p w14:paraId="26C5E309" w14:textId="6F1A644F" w:rsidR="002B2DB6" w:rsidRPr="0088482E" w:rsidRDefault="00872AAD" w:rsidP="0088482E">
      <w:pPr>
        <w:suppressAutoHyphens w:val="0"/>
        <w:spacing w:line="276" w:lineRule="auto"/>
        <w:ind w:firstLine="720"/>
        <w:jc w:val="both"/>
      </w:pPr>
      <w:r w:rsidRPr="00F765F8">
        <w:t>Lēmums nav pārsūdzams.</w:t>
      </w:r>
    </w:p>
    <w:sectPr w:rsidR="002B2DB6" w:rsidRPr="0088482E" w:rsidSect="003324DC">
      <w:footerReference w:type="default" r:id="rId34"/>
      <w:footerReference w:type="first" r:id="rId35"/>
      <w:pgSz w:w="11906" w:h="16838" w:code="9"/>
      <w:pgMar w:top="1134" w:right="1701" w:bottom="510"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C031" w14:textId="77777777" w:rsidR="00015541" w:rsidRDefault="00015541">
      <w:r>
        <w:separator/>
      </w:r>
    </w:p>
  </w:endnote>
  <w:endnote w:type="continuationSeparator" w:id="0">
    <w:p w14:paraId="47CD01C5" w14:textId="77777777" w:rsidR="00015541" w:rsidRDefault="0001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61D3138A" w14:textId="77777777" w:rsidR="0050698A" w:rsidRPr="006D0E24" w:rsidRDefault="0050698A"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45838614" w14:textId="77777777" w:rsidR="0050698A" w:rsidRPr="00A0052E" w:rsidRDefault="0050698A"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1054" w14:textId="77777777" w:rsidR="00015541" w:rsidRDefault="00015541">
      <w:r>
        <w:separator/>
      </w:r>
    </w:p>
  </w:footnote>
  <w:footnote w:type="continuationSeparator" w:id="0">
    <w:p w14:paraId="7353B6FC" w14:textId="77777777" w:rsidR="00015541" w:rsidRDefault="0001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9B4"/>
    <w:multiLevelType w:val="hybridMultilevel"/>
    <w:tmpl w:val="9F24A120"/>
    <w:lvl w:ilvl="0" w:tplc="0BD6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2" w15:restartNumberingAfterBreak="0">
    <w:nsid w:val="03D940C0"/>
    <w:multiLevelType w:val="hybridMultilevel"/>
    <w:tmpl w:val="B066CF86"/>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B7CF9"/>
    <w:multiLevelType w:val="hybridMultilevel"/>
    <w:tmpl w:val="77C43D5A"/>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9D1"/>
    <w:multiLevelType w:val="hybridMultilevel"/>
    <w:tmpl w:val="E6F870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F0EB3"/>
    <w:multiLevelType w:val="hybridMultilevel"/>
    <w:tmpl w:val="3E9AE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73CAD"/>
    <w:multiLevelType w:val="hybridMultilevel"/>
    <w:tmpl w:val="0BCE2F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C779E6"/>
    <w:multiLevelType w:val="hybridMultilevel"/>
    <w:tmpl w:val="78A6FDF8"/>
    <w:lvl w:ilvl="0" w:tplc="B5CE2CE0">
      <w:start w:val="1"/>
      <w:numFmt w:val="bullet"/>
      <w:lvlText w:val=""/>
      <w:lvlJc w:val="left"/>
      <w:pPr>
        <w:ind w:left="720" w:hanging="360"/>
      </w:pPr>
      <w:rPr>
        <w:rFonts w:ascii="Symbol" w:hAnsi="Symbol"/>
      </w:rPr>
    </w:lvl>
    <w:lvl w:ilvl="1" w:tplc="0FDE3BE2">
      <w:start w:val="1"/>
      <w:numFmt w:val="bullet"/>
      <w:lvlText w:val=""/>
      <w:lvlJc w:val="left"/>
      <w:pPr>
        <w:ind w:left="720" w:hanging="360"/>
      </w:pPr>
      <w:rPr>
        <w:rFonts w:ascii="Symbol" w:hAnsi="Symbol"/>
      </w:rPr>
    </w:lvl>
    <w:lvl w:ilvl="2" w:tplc="B8BEF89A">
      <w:start w:val="1"/>
      <w:numFmt w:val="bullet"/>
      <w:lvlText w:val=""/>
      <w:lvlJc w:val="left"/>
      <w:pPr>
        <w:ind w:left="720" w:hanging="360"/>
      </w:pPr>
      <w:rPr>
        <w:rFonts w:ascii="Symbol" w:hAnsi="Symbol"/>
      </w:rPr>
    </w:lvl>
    <w:lvl w:ilvl="3" w:tplc="BD46A79A">
      <w:start w:val="1"/>
      <w:numFmt w:val="bullet"/>
      <w:lvlText w:val=""/>
      <w:lvlJc w:val="left"/>
      <w:pPr>
        <w:ind w:left="720" w:hanging="360"/>
      </w:pPr>
      <w:rPr>
        <w:rFonts w:ascii="Symbol" w:hAnsi="Symbol"/>
      </w:rPr>
    </w:lvl>
    <w:lvl w:ilvl="4" w:tplc="6FF8ED64">
      <w:start w:val="1"/>
      <w:numFmt w:val="bullet"/>
      <w:lvlText w:val=""/>
      <w:lvlJc w:val="left"/>
      <w:pPr>
        <w:ind w:left="720" w:hanging="360"/>
      </w:pPr>
      <w:rPr>
        <w:rFonts w:ascii="Symbol" w:hAnsi="Symbol"/>
      </w:rPr>
    </w:lvl>
    <w:lvl w:ilvl="5" w:tplc="A1388A0A">
      <w:start w:val="1"/>
      <w:numFmt w:val="bullet"/>
      <w:lvlText w:val=""/>
      <w:lvlJc w:val="left"/>
      <w:pPr>
        <w:ind w:left="720" w:hanging="360"/>
      </w:pPr>
      <w:rPr>
        <w:rFonts w:ascii="Symbol" w:hAnsi="Symbol"/>
      </w:rPr>
    </w:lvl>
    <w:lvl w:ilvl="6" w:tplc="380A5E10">
      <w:start w:val="1"/>
      <w:numFmt w:val="bullet"/>
      <w:lvlText w:val=""/>
      <w:lvlJc w:val="left"/>
      <w:pPr>
        <w:ind w:left="720" w:hanging="360"/>
      </w:pPr>
      <w:rPr>
        <w:rFonts w:ascii="Symbol" w:hAnsi="Symbol"/>
      </w:rPr>
    </w:lvl>
    <w:lvl w:ilvl="7" w:tplc="EEE8C9E4">
      <w:start w:val="1"/>
      <w:numFmt w:val="bullet"/>
      <w:lvlText w:val=""/>
      <w:lvlJc w:val="left"/>
      <w:pPr>
        <w:ind w:left="720" w:hanging="360"/>
      </w:pPr>
      <w:rPr>
        <w:rFonts w:ascii="Symbol" w:hAnsi="Symbol"/>
      </w:rPr>
    </w:lvl>
    <w:lvl w:ilvl="8" w:tplc="D67CF0EC">
      <w:start w:val="1"/>
      <w:numFmt w:val="bullet"/>
      <w:lvlText w:val=""/>
      <w:lvlJc w:val="left"/>
      <w:pPr>
        <w:ind w:left="720" w:hanging="360"/>
      </w:pPr>
      <w:rPr>
        <w:rFonts w:ascii="Symbol" w:hAnsi="Symbol"/>
      </w:rPr>
    </w:lvl>
  </w:abstractNum>
  <w:abstractNum w:abstractNumId="8" w15:restartNumberingAfterBreak="0">
    <w:nsid w:val="12BC5A9E"/>
    <w:multiLevelType w:val="hybridMultilevel"/>
    <w:tmpl w:val="D74AD0FA"/>
    <w:lvl w:ilvl="0" w:tplc="CBC4A6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20754F"/>
    <w:multiLevelType w:val="hybridMultilevel"/>
    <w:tmpl w:val="2FD68CE6"/>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887ECE"/>
    <w:multiLevelType w:val="hybridMultilevel"/>
    <w:tmpl w:val="3A0EA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51D63"/>
    <w:multiLevelType w:val="hybridMultilevel"/>
    <w:tmpl w:val="93082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568B9"/>
    <w:multiLevelType w:val="hybridMultilevel"/>
    <w:tmpl w:val="BB624B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E442AD"/>
    <w:multiLevelType w:val="multilevel"/>
    <w:tmpl w:val="6080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A3187"/>
    <w:multiLevelType w:val="hybridMultilevel"/>
    <w:tmpl w:val="8712326A"/>
    <w:lvl w:ilvl="0" w:tplc="650CFEF4">
      <w:numFmt w:val="bullet"/>
      <w:lvlText w:val=""/>
      <w:lvlJc w:val="left"/>
      <w:pPr>
        <w:ind w:left="730" w:hanging="3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70E7E"/>
    <w:multiLevelType w:val="multilevel"/>
    <w:tmpl w:val="585A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03880"/>
    <w:multiLevelType w:val="multilevel"/>
    <w:tmpl w:val="7750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3531E"/>
    <w:multiLevelType w:val="hybridMultilevel"/>
    <w:tmpl w:val="B0AC6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75794"/>
    <w:multiLevelType w:val="hybridMultilevel"/>
    <w:tmpl w:val="06C40F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FF61D4"/>
    <w:multiLevelType w:val="hybridMultilevel"/>
    <w:tmpl w:val="AAEE09A2"/>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E31ABC"/>
    <w:multiLevelType w:val="hybridMultilevel"/>
    <w:tmpl w:val="B246DFA2"/>
    <w:lvl w:ilvl="0" w:tplc="FFE6D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CF0972"/>
    <w:multiLevelType w:val="hybridMultilevel"/>
    <w:tmpl w:val="DF6240BC"/>
    <w:lvl w:ilvl="0" w:tplc="04090011">
      <w:start w:val="1"/>
      <w:numFmt w:val="decimal"/>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22" w15:restartNumberingAfterBreak="0">
    <w:nsid w:val="425E54E8"/>
    <w:multiLevelType w:val="hybridMultilevel"/>
    <w:tmpl w:val="84FE97AE"/>
    <w:lvl w:ilvl="0" w:tplc="6E482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AA260B"/>
    <w:multiLevelType w:val="hybridMultilevel"/>
    <w:tmpl w:val="7B18D66A"/>
    <w:lvl w:ilvl="0" w:tplc="61C2B4D8">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65672A"/>
    <w:multiLevelType w:val="hybridMultilevel"/>
    <w:tmpl w:val="573E7A9A"/>
    <w:lvl w:ilvl="0" w:tplc="07546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1C2715"/>
    <w:multiLevelType w:val="hybridMultilevel"/>
    <w:tmpl w:val="6E263998"/>
    <w:lvl w:ilvl="0" w:tplc="F7F62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F1369"/>
    <w:multiLevelType w:val="hybridMultilevel"/>
    <w:tmpl w:val="B2C22F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1605FC"/>
    <w:multiLevelType w:val="multilevel"/>
    <w:tmpl w:val="8DD0EE34"/>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278DB"/>
    <w:multiLevelType w:val="hybridMultilevel"/>
    <w:tmpl w:val="9E5469DE"/>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6086C"/>
    <w:multiLevelType w:val="multilevel"/>
    <w:tmpl w:val="8FC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10BAB"/>
    <w:multiLevelType w:val="hybridMultilevel"/>
    <w:tmpl w:val="41BC265C"/>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876E96"/>
    <w:multiLevelType w:val="hybridMultilevel"/>
    <w:tmpl w:val="E7E49D78"/>
    <w:lvl w:ilvl="0" w:tplc="AC2816D2">
      <w:start w:val="1"/>
      <w:numFmt w:val="decimal"/>
      <w:lvlText w:val="%1."/>
      <w:lvlJc w:val="left"/>
      <w:pPr>
        <w:ind w:left="927" w:hanging="360"/>
      </w:pPr>
      <w:rPr>
        <w:rFonts w:hint="default"/>
      </w:rPr>
    </w:lvl>
    <w:lvl w:ilvl="1" w:tplc="D3808F1C" w:tentative="1">
      <w:start w:val="1"/>
      <w:numFmt w:val="lowerLetter"/>
      <w:lvlText w:val="%2."/>
      <w:lvlJc w:val="left"/>
      <w:pPr>
        <w:ind w:left="1647" w:hanging="360"/>
      </w:pPr>
    </w:lvl>
    <w:lvl w:ilvl="2" w:tplc="A3EACEA0" w:tentative="1">
      <w:start w:val="1"/>
      <w:numFmt w:val="lowerRoman"/>
      <w:lvlText w:val="%3."/>
      <w:lvlJc w:val="right"/>
      <w:pPr>
        <w:ind w:left="2367" w:hanging="180"/>
      </w:pPr>
    </w:lvl>
    <w:lvl w:ilvl="3" w:tplc="4922F9CE" w:tentative="1">
      <w:start w:val="1"/>
      <w:numFmt w:val="decimal"/>
      <w:lvlText w:val="%4."/>
      <w:lvlJc w:val="left"/>
      <w:pPr>
        <w:ind w:left="3087" w:hanging="360"/>
      </w:pPr>
    </w:lvl>
    <w:lvl w:ilvl="4" w:tplc="F942FE20" w:tentative="1">
      <w:start w:val="1"/>
      <w:numFmt w:val="lowerLetter"/>
      <w:lvlText w:val="%5."/>
      <w:lvlJc w:val="left"/>
      <w:pPr>
        <w:ind w:left="3807" w:hanging="360"/>
      </w:pPr>
    </w:lvl>
    <w:lvl w:ilvl="5" w:tplc="AA1C7EDA" w:tentative="1">
      <w:start w:val="1"/>
      <w:numFmt w:val="lowerRoman"/>
      <w:lvlText w:val="%6."/>
      <w:lvlJc w:val="right"/>
      <w:pPr>
        <w:ind w:left="4527" w:hanging="180"/>
      </w:pPr>
    </w:lvl>
    <w:lvl w:ilvl="6" w:tplc="E0F00F00" w:tentative="1">
      <w:start w:val="1"/>
      <w:numFmt w:val="decimal"/>
      <w:lvlText w:val="%7."/>
      <w:lvlJc w:val="left"/>
      <w:pPr>
        <w:ind w:left="5247" w:hanging="360"/>
      </w:pPr>
    </w:lvl>
    <w:lvl w:ilvl="7" w:tplc="F02C4FB8" w:tentative="1">
      <w:start w:val="1"/>
      <w:numFmt w:val="lowerLetter"/>
      <w:lvlText w:val="%8."/>
      <w:lvlJc w:val="left"/>
      <w:pPr>
        <w:ind w:left="5967" w:hanging="360"/>
      </w:pPr>
    </w:lvl>
    <w:lvl w:ilvl="8" w:tplc="AD94ABD0" w:tentative="1">
      <w:start w:val="1"/>
      <w:numFmt w:val="lowerRoman"/>
      <w:lvlText w:val="%9."/>
      <w:lvlJc w:val="right"/>
      <w:pPr>
        <w:ind w:left="6687" w:hanging="180"/>
      </w:pPr>
    </w:lvl>
  </w:abstractNum>
  <w:abstractNum w:abstractNumId="32" w15:restartNumberingAfterBreak="0">
    <w:nsid w:val="66ED617A"/>
    <w:multiLevelType w:val="multilevel"/>
    <w:tmpl w:val="95E0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166B9"/>
    <w:multiLevelType w:val="multilevel"/>
    <w:tmpl w:val="3508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5674D0"/>
    <w:multiLevelType w:val="hybridMultilevel"/>
    <w:tmpl w:val="58147D3A"/>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27A3C"/>
    <w:multiLevelType w:val="multilevel"/>
    <w:tmpl w:val="4488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57759"/>
    <w:multiLevelType w:val="hybridMultilevel"/>
    <w:tmpl w:val="E86E8AEC"/>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017BCB"/>
    <w:multiLevelType w:val="hybridMultilevel"/>
    <w:tmpl w:val="D8FE22D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E92951"/>
    <w:multiLevelType w:val="hybridMultilevel"/>
    <w:tmpl w:val="A3F205CE"/>
    <w:lvl w:ilvl="0" w:tplc="FDA2C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8616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5045D4A"/>
    <w:multiLevelType w:val="hybridMultilevel"/>
    <w:tmpl w:val="561837D8"/>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CC62D2"/>
    <w:multiLevelType w:val="hybridMultilevel"/>
    <w:tmpl w:val="CEF647C2"/>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9832648">
    <w:abstractNumId w:val="31"/>
  </w:num>
  <w:num w:numId="2" w16cid:durableId="1886410153">
    <w:abstractNumId w:val="39"/>
  </w:num>
  <w:num w:numId="3" w16cid:durableId="643389184">
    <w:abstractNumId w:val="40"/>
  </w:num>
  <w:num w:numId="4" w16cid:durableId="2064018754">
    <w:abstractNumId w:val="30"/>
  </w:num>
  <w:num w:numId="5" w16cid:durableId="220792252">
    <w:abstractNumId w:val="19"/>
  </w:num>
  <w:num w:numId="6" w16cid:durableId="47841825">
    <w:abstractNumId w:val="28"/>
  </w:num>
  <w:num w:numId="7" w16cid:durableId="2046519996">
    <w:abstractNumId w:val="3"/>
  </w:num>
  <w:num w:numId="8" w16cid:durableId="1625652192">
    <w:abstractNumId w:val="2"/>
  </w:num>
  <w:num w:numId="9" w16cid:durableId="939410048">
    <w:abstractNumId w:val="41"/>
  </w:num>
  <w:num w:numId="10" w16cid:durableId="2080442436">
    <w:abstractNumId w:val="22"/>
  </w:num>
  <w:num w:numId="11" w16cid:durableId="1008943110">
    <w:abstractNumId w:val="34"/>
  </w:num>
  <w:num w:numId="12" w16cid:durableId="573784360">
    <w:abstractNumId w:val="8"/>
  </w:num>
  <w:num w:numId="13" w16cid:durableId="1721242373">
    <w:abstractNumId w:val="33"/>
  </w:num>
  <w:num w:numId="14" w16cid:durableId="1383797430">
    <w:abstractNumId w:val="9"/>
  </w:num>
  <w:num w:numId="15" w16cid:durableId="320427091">
    <w:abstractNumId w:val="32"/>
  </w:num>
  <w:num w:numId="16" w16cid:durableId="544371448">
    <w:abstractNumId w:val="37"/>
  </w:num>
  <w:num w:numId="17" w16cid:durableId="658534121">
    <w:abstractNumId w:val="14"/>
  </w:num>
  <w:num w:numId="18" w16cid:durableId="1447626704">
    <w:abstractNumId w:val="35"/>
  </w:num>
  <w:num w:numId="19" w16cid:durableId="1081218742">
    <w:abstractNumId w:val="16"/>
  </w:num>
  <w:num w:numId="20" w16cid:durableId="411587406">
    <w:abstractNumId w:val="23"/>
  </w:num>
  <w:num w:numId="21" w16cid:durableId="1782919210">
    <w:abstractNumId w:val="27"/>
  </w:num>
  <w:num w:numId="22" w16cid:durableId="1869832991">
    <w:abstractNumId w:val="36"/>
  </w:num>
  <w:num w:numId="23" w16cid:durableId="1489906975">
    <w:abstractNumId w:val="15"/>
  </w:num>
  <w:num w:numId="24" w16cid:durableId="1838497345">
    <w:abstractNumId w:val="29"/>
  </w:num>
  <w:num w:numId="25" w16cid:durableId="372971116">
    <w:abstractNumId w:val="7"/>
  </w:num>
  <w:num w:numId="26" w16cid:durableId="1346328527">
    <w:abstractNumId w:val="13"/>
  </w:num>
  <w:num w:numId="27" w16cid:durableId="1092510878">
    <w:abstractNumId w:val="17"/>
  </w:num>
  <w:num w:numId="28" w16cid:durableId="1588690749">
    <w:abstractNumId w:val="10"/>
  </w:num>
  <w:num w:numId="29" w16cid:durableId="700011857">
    <w:abstractNumId w:val="11"/>
  </w:num>
  <w:num w:numId="30" w16cid:durableId="831485085">
    <w:abstractNumId w:val="4"/>
  </w:num>
  <w:num w:numId="31" w16cid:durableId="398943047">
    <w:abstractNumId w:val="21"/>
  </w:num>
  <w:num w:numId="32" w16cid:durableId="1621448455">
    <w:abstractNumId w:val="12"/>
  </w:num>
  <w:num w:numId="33" w16cid:durableId="24869328">
    <w:abstractNumId w:val="0"/>
  </w:num>
  <w:num w:numId="34" w16cid:durableId="1582642779">
    <w:abstractNumId w:val="5"/>
  </w:num>
  <w:num w:numId="35" w16cid:durableId="2105345704">
    <w:abstractNumId w:val="25"/>
  </w:num>
  <w:num w:numId="36" w16cid:durableId="1364591809">
    <w:abstractNumId w:val="1"/>
  </w:num>
  <w:num w:numId="37" w16cid:durableId="89157203">
    <w:abstractNumId w:val="18"/>
  </w:num>
  <w:num w:numId="38" w16cid:durableId="1853646601">
    <w:abstractNumId w:val="20"/>
  </w:num>
  <w:num w:numId="39" w16cid:durableId="764038481">
    <w:abstractNumId w:val="26"/>
  </w:num>
  <w:num w:numId="40" w16cid:durableId="2053459289">
    <w:abstractNumId w:val="24"/>
  </w:num>
  <w:num w:numId="41" w16cid:durableId="1415317250">
    <w:abstractNumId w:val="6"/>
  </w:num>
  <w:num w:numId="42" w16cid:durableId="128824401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7C"/>
    <w:rsid w:val="000003B9"/>
    <w:rsid w:val="00000C63"/>
    <w:rsid w:val="00000F78"/>
    <w:rsid w:val="00002607"/>
    <w:rsid w:val="00004762"/>
    <w:rsid w:val="00006CD5"/>
    <w:rsid w:val="000104A4"/>
    <w:rsid w:val="0001102A"/>
    <w:rsid w:val="0001120C"/>
    <w:rsid w:val="000118D3"/>
    <w:rsid w:val="0001413E"/>
    <w:rsid w:val="00015541"/>
    <w:rsid w:val="00015B84"/>
    <w:rsid w:val="00016151"/>
    <w:rsid w:val="0001721D"/>
    <w:rsid w:val="0002407D"/>
    <w:rsid w:val="00025744"/>
    <w:rsid w:val="00026C1C"/>
    <w:rsid w:val="000275BD"/>
    <w:rsid w:val="00027800"/>
    <w:rsid w:val="00030A3E"/>
    <w:rsid w:val="00033EAC"/>
    <w:rsid w:val="0003500C"/>
    <w:rsid w:val="00036827"/>
    <w:rsid w:val="00040BCC"/>
    <w:rsid w:val="000414D3"/>
    <w:rsid w:val="00043212"/>
    <w:rsid w:val="00045738"/>
    <w:rsid w:val="00050A42"/>
    <w:rsid w:val="00051EF6"/>
    <w:rsid w:val="00053C48"/>
    <w:rsid w:val="00054C8D"/>
    <w:rsid w:val="00055C1C"/>
    <w:rsid w:val="0005750A"/>
    <w:rsid w:val="00057B76"/>
    <w:rsid w:val="00057BA2"/>
    <w:rsid w:val="000647D8"/>
    <w:rsid w:val="00064C3D"/>
    <w:rsid w:val="00065A91"/>
    <w:rsid w:val="00065AAC"/>
    <w:rsid w:val="00065DDB"/>
    <w:rsid w:val="000671BB"/>
    <w:rsid w:val="00067745"/>
    <w:rsid w:val="00071A1F"/>
    <w:rsid w:val="000720A8"/>
    <w:rsid w:val="000734BE"/>
    <w:rsid w:val="00073CA6"/>
    <w:rsid w:val="000759EC"/>
    <w:rsid w:val="00076141"/>
    <w:rsid w:val="000829EC"/>
    <w:rsid w:val="000845EF"/>
    <w:rsid w:val="0008551F"/>
    <w:rsid w:val="000869E9"/>
    <w:rsid w:val="00087B5A"/>
    <w:rsid w:val="000901D6"/>
    <w:rsid w:val="00091E5D"/>
    <w:rsid w:val="0009288B"/>
    <w:rsid w:val="00094BDC"/>
    <w:rsid w:val="00095BB7"/>
    <w:rsid w:val="00095CC9"/>
    <w:rsid w:val="000A0C95"/>
    <w:rsid w:val="000A2B4B"/>
    <w:rsid w:val="000A49D9"/>
    <w:rsid w:val="000A554A"/>
    <w:rsid w:val="000B7D12"/>
    <w:rsid w:val="000C3376"/>
    <w:rsid w:val="000C489E"/>
    <w:rsid w:val="000C7D4F"/>
    <w:rsid w:val="000D00BD"/>
    <w:rsid w:val="000D2F1D"/>
    <w:rsid w:val="000D35E6"/>
    <w:rsid w:val="000D3A42"/>
    <w:rsid w:val="000D4C33"/>
    <w:rsid w:val="000D53EB"/>
    <w:rsid w:val="000D5496"/>
    <w:rsid w:val="000D5DD9"/>
    <w:rsid w:val="000D6110"/>
    <w:rsid w:val="000D6937"/>
    <w:rsid w:val="000D7C0C"/>
    <w:rsid w:val="000E0760"/>
    <w:rsid w:val="000E49CB"/>
    <w:rsid w:val="000E5F26"/>
    <w:rsid w:val="000E6986"/>
    <w:rsid w:val="000E7466"/>
    <w:rsid w:val="000F05D6"/>
    <w:rsid w:val="000F1599"/>
    <w:rsid w:val="000F57B3"/>
    <w:rsid w:val="000F59A6"/>
    <w:rsid w:val="000F5D00"/>
    <w:rsid w:val="000F5F0D"/>
    <w:rsid w:val="000F742E"/>
    <w:rsid w:val="00103C2C"/>
    <w:rsid w:val="00104DF8"/>
    <w:rsid w:val="00105A26"/>
    <w:rsid w:val="001063D8"/>
    <w:rsid w:val="00107F1C"/>
    <w:rsid w:val="001153FE"/>
    <w:rsid w:val="00115C21"/>
    <w:rsid w:val="00115F50"/>
    <w:rsid w:val="001161B7"/>
    <w:rsid w:val="001164F9"/>
    <w:rsid w:val="001164FA"/>
    <w:rsid w:val="0012380F"/>
    <w:rsid w:val="00126DF5"/>
    <w:rsid w:val="00127926"/>
    <w:rsid w:val="00130A5E"/>
    <w:rsid w:val="0013309F"/>
    <w:rsid w:val="0013536B"/>
    <w:rsid w:val="00136E0F"/>
    <w:rsid w:val="001374AC"/>
    <w:rsid w:val="001375AE"/>
    <w:rsid w:val="001402A3"/>
    <w:rsid w:val="00140AA6"/>
    <w:rsid w:val="00140B30"/>
    <w:rsid w:val="00141E10"/>
    <w:rsid w:val="001421C8"/>
    <w:rsid w:val="00142542"/>
    <w:rsid w:val="00143976"/>
    <w:rsid w:val="00144324"/>
    <w:rsid w:val="00144F49"/>
    <w:rsid w:val="001524A8"/>
    <w:rsid w:val="00152608"/>
    <w:rsid w:val="00155B93"/>
    <w:rsid w:val="00156596"/>
    <w:rsid w:val="001573F3"/>
    <w:rsid w:val="00161A0B"/>
    <w:rsid w:val="00163F74"/>
    <w:rsid w:val="00163F75"/>
    <w:rsid w:val="0016617B"/>
    <w:rsid w:val="00166E68"/>
    <w:rsid w:val="00167DC0"/>
    <w:rsid w:val="00170851"/>
    <w:rsid w:val="00170940"/>
    <w:rsid w:val="00170B1C"/>
    <w:rsid w:val="001735DE"/>
    <w:rsid w:val="001771A2"/>
    <w:rsid w:val="001773A4"/>
    <w:rsid w:val="00177481"/>
    <w:rsid w:val="00181952"/>
    <w:rsid w:val="00181DF7"/>
    <w:rsid w:val="00183316"/>
    <w:rsid w:val="00185F25"/>
    <w:rsid w:val="00186462"/>
    <w:rsid w:val="0018646F"/>
    <w:rsid w:val="00186A45"/>
    <w:rsid w:val="0018733E"/>
    <w:rsid w:val="001908FF"/>
    <w:rsid w:val="00190DA9"/>
    <w:rsid w:val="00190F44"/>
    <w:rsid w:val="0019388F"/>
    <w:rsid w:val="00195D69"/>
    <w:rsid w:val="00196663"/>
    <w:rsid w:val="001A2621"/>
    <w:rsid w:val="001A288C"/>
    <w:rsid w:val="001A39EC"/>
    <w:rsid w:val="001A48E1"/>
    <w:rsid w:val="001A4F35"/>
    <w:rsid w:val="001A7813"/>
    <w:rsid w:val="001B0149"/>
    <w:rsid w:val="001B06FF"/>
    <w:rsid w:val="001B2CA6"/>
    <w:rsid w:val="001B3156"/>
    <w:rsid w:val="001B40A4"/>
    <w:rsid w:val="001B4572"/>
    <w:rsid w:val="001B5762"/>
    <w:rsid w:val="001B5BD1"/>
    <w:rsid w:val="001B5CB1"/>
    <w:rsid w:val="001B7EF5"/>
    <w:rsid w:val="001C0B1A"/>
    <w:rsid w:val="001C2FC2"/>
    <w:rsid w:val="001C51E6"/>
    <w:rsid w:val="001C59F7"/>
    <w:rsid w:val="001C5F68"/>
    <w:rsid w:val="001D028F"/>
    <w:rsid w:val="001D0C67"/>
    <w:rsid w:val="001D3A70"/>
    <w:rsid w:val="001D418E"/>
    <w:rsid w:val="001D4B97"/>
    <w:rsid w:val="001D7FCA"/>
    <w:rsid w:val="001E2F19"/>
    <w:rsid w:val="001E3A02"/>
    <w:rsid w:val="001E5C03"/>
    <w:rsid w:val="001E6A78"/>
    <w:rsid w:val="001E6AD1"/>
    <w:rsid w:val="001F3038"/>
    <w:rsid w:val="001F3163"/>
    <w:rsid w:val="001F3DE7"/>
    <w:rsid w:val="001F5AE9"/>
    <w:rsid w:val="001F7990"/>
    <w:rsid w:val="002050E7"/>
    <w:rsid w:val="002073C2"/>
    <w:rsid w:val="00210CAF"/>
    <w:rsid w:val="00211599"/>
    <w:rsid w:val="002126D8"/>
    <w:rsid w:val="00213CB2"/>
    <w:rsid w:val="00216A65"/>
    <w:rsid w:val="0021701E"/>
    <w:rsid w:val="00217B88"/>
    <w:rsid w:val="002207AB"/>
    <w:rsid w:val="002209DA"/>
    <w:rsid w:val="002210F0"/>
    <w:rsid w:val="00221A76"/>
    <w:rsid w:val="00222CA0"/>
    <w:rsid w:val="002268EC"/>
    <w:rsid w:val="002269D1"/>
    <w:rsid w:val="00226D22"/>
    <w:rsid w:val="002274AC"/>
    <w:rsid w:val="00234359"/>
    <w:rsid w:val="00237DE2"/>
    <w:rsid w:val="002419F8"/>
    <w:rsid w:val="00243D7B"/>
    <w:rsid w:val="0024696B"/>
    <w:rsid w:val="00250A1E"/>
    <w:rsid w:val="00252F42"/>
    <w:rsid w:val="00253988"/>
    <w:rsid w:val="00254AD9"/>
    <w:rsid w:val="00254D88"/>
    <w:rsid w:val="00254E5E"/>
    <w:rsid w:val="00257770"/>
    <w:rsid w:val="00257C5A"/>
    <w:rsid w:val="00261E3A"/>
    <w:rsid w:val="00262D32"/>
    <w:rsid w:val="00263F85"/>
    <w:rsid w:val="00264DF9"/>
    <w:rsid w:val="00265D1B"/>
    <w:rsid w:val="00266B6D"/>
    <w:rsid w:val="002677D5"/>
    <w:rsid w:val="00267CB8"/>
    <w:rsid w:val="00267DDB"/>
    <w:rsid w:val="00267F20"/>
    <w:rsid w:val="002705BA"/>
    <w:rsid w:val="00270E7B"/>
    <w:rsid w:val="00270E97"/>
    <w:rsid w:val="00270EC2"/>
    <w:rsid w:val="00271369"/>
    <w:rsid w:val="002717F9"/>
    <w:rsid w:val="00272721"/>
    <w:rsid w:val="00277631"/>
    <w:rsid w:val="00280784"/>
    <w:rsid w:val="00281BD5"/>
    <w:rsid w:val="00282FBA"/>
    <w:rsid w:val="00283C97"/>
    <w:rsid w:val="00284B0F"/>
    <w:rsid w:val="0028552B"/>
    <w:rsid w:val="0028654E"/>
    <w:rsid w:val="0028758B"/>
    <w:rsid w:val="0028788A"/>
    <w:rsid w:val="00287A9D"/>
    <w:rsid w:val="0029062E"/>
    <w:rsid w:val="00292D5D"/>
    <w:rsid w:val="00292E75"/>
    <w:rsid w:val="002930D6"/>
    <w:rsid w:val="0029357D"/>
    <w:rsid w:val="00294F3C"/>
    <w:rsid w:val="002A3B0F"/>
    <w:rsid w:val="002A47E5"/>
    <w:rsid w:val="002A5040"/>
    <w:rsid w:val="002A53CD"/>
    <w:rsid w:val="002A5C7F"/>
    <w:rsid w:val="002A69F0"/>
    <w:rsid w:val="002A70DC"/>
    <w:rsid w:val="002A761C"/>
    <w:rsid w:val="002B27A8"/>
    <w:rsid w:val="002B2D85"/>
    <w:rsid w:val="002B2DB6"/>
    <w:rsid w:val="002B36CB"/>
    <w:rsid w:val="002B642B"/>
    <w:rsid w:val="002B6BA2"/>
    <w:rsid w:val="002B77D3"/>
    <w:rsid w:val="002C297E"/>
    <w:rsid w:val="002C2D67"/>
    <w:rsid w:val="002C380C"/>
    <w:rsid w:val="002C4F69"/>
    <w:rsid w:val="002C6310"/>
    <w:rsid w:val="002C67A3"/>
    <w:rsid w:val="002C6E30"/>
    <w:rsid w:val="002C7AAC"/>
    <w:rsid w:val="002D1C59"/>
    <w:rsid w:val="002D2FF7"/>
    <w:rsid w:val="002D3A3A"/>
    <w:rsid w:val="002D7174"/>
    <w:rsid w:val="002D76D4"/>
    <w:rsid w:val="002E0EC6"/>
    <w:rsid w:val="002E42C8"/>
    <w:rsid w:val="002E4FA7"/>
    <w:rsid w:val="002E53E3"/>
    <w:rsid w:val="002E58FC"/>
    <w:rsid w:val="002E690D"/>
    <w:rsid w:val="002F0233"/>
    <w:rsid w:val="002F1944"/>
    <w:rsid w:val="002F57E7"/>
    <w:rsid w:val="002F6367"/>
    <w:rsid w:val="002F7725"/>
    <w:rsid w:val="00301320"/>
    <w:rsid w:val="00302A5B"/>
    <w:rsid w:val="00303909"/>
    <w:rsid w:val="0030517E"/>
    <w:rsid w:val="0030599F"/>
    <w:rsid w:val="00305D90"/>
    <w:rsid w:val="00307425"/>
    <w:rsid w:val="00310485"/>
    <w:rsid w:val="0031103E"/>
    <w:rsid w:val="00312DA8"/>
    <w:rsid w:val="0031301D"/>
    <w:rsid w:val="00315A60"/>
    <w:rsid w:val="00317D19"/>
    <w:rsid w:val="00317F46"/>
    <w:rsid w:val="003200AD"/>
    <w:rsid w:val="00320962"/>
    <w:rsid w:val="003227FF"/>
    <w:rsid w:val="00324835"/>
    <w:rsid w:val="00324D93"/>
    <w:rsid w:val="00326389"/>
    <w:rsid w:val="00326F2C"/>
    <w:rsid w:val="00327158"/>
    <w:rsid w:val="003324DC"/>
    <w:rsid w:val="00335073"/>
    <w:rsid w:val="00336988"/>
    <w:rsid w:val="00340437"/>
    <w:rsid w:val="00340466"/>
    <w:rsid w:val="003406B2"/>
    <w:rsid w:val="0034228A"/>
    <w:rsid w:val="003438FF"/>
    <w:rsid w:val="00343AE3"/>
    <w:rsid w:val="0034566C"/>
    <w:rsid w:val="00347782"/>
    <w:rsid w:val="0035137F"/>
    <w:rsid w:val="00354C5B"/>
    <w:rsid w:val="003601B5"/>
    <w:rsid w:val="0036135D"/>
    <w:rsid w:val="00363302"/>
    <w:rsid w:val="00364379"/>
    <w:rsid w:val="003648DD"/>
    <w:rsid w:val="00372D57"/>
    <w:rsid w:val="00375A5B"/>
    <w:rsid w:val="003765F8"/>
    <w:rsid w:val="00381B6C"/>
    <w:rsid w:val="00381E91"/>
    <w:rsid w:val="003904D6"/>
    <w:rsid w:val="00390575"/>
    <w:rsid w:val="00390D59"/>
    <w:rsid w:val="003926CF"/>
    <w:rsid w:val="003927BD"/>
    <w:rsid w:val="003966A6"/>
    <w:rsid w:val="00397C9D"/>
    <w:rsid w:val="003A173F"/>
    <w:rsid w:val="003A21E2"/>
    <w:rsid w:val="003A416A"/>
    <w:rsid w:val="003A5A7D"/>
    <w:rsid w:val="003A5B2B"/>
    <w:rsid w:val="003A6C67"/>
    <w:rsid w:val="003A6E8E"/>
    <w:rsid w:val="003A7BE0"/>
    <w:rsid w:val="003B0275"/>
    <w:rsid w:val="003B2C09"/>
    <w:rsid w:val="003B3C77"/>
    <w:rsid w:val="003B4A7C"/>
    <w:rsid w:val="003B6610"/>
    <w:rsid w:val="003B6C64"/>
    <w:rsid w:val="003B7563"/>
    <w:rsid w:val="003C0D66"/>
    <w:rsid w:val="003C1ABF"/>
    <w:rsid w:val="003C1D54"/>
    <w:rsid w:val="003C31E4"/>
    <w:rsid w:val="003C4CED"/>
    <w:rsid w:val="003C7508"/>
    <w:rsid w:val="003D012D"/>
    <w:rsid w:val="003D2462"/>
    <w:rsid w:val="003D2987"/>
    <w:rsid w:val="003D56C6"/>
    <w:rsid w:val="003D575A"/>
    <w:rsid w:val="003D5DD3"/>
    <w:rsid w:val="003D63BA"/>
    <w:rsid w:val="003D7C02"/>
    <w:rsid w:val="003E3B90"/>
    <w:rsid w:val="003E433F"/>
    <w:rsid w:val="003E5407"/>
    <w:rsid w:val="003E56F6"/>
    <w:rsid w:val="003E77B6"/>
    <w:rsid w:val="003F0C5A"/>
    <w:rsid w:val="003F2499"/>
    <w:rsid w:val="003F30F1"/>
    <w:rsid w:val="003F50C1"/>
    <w:rsid w:val="003F596A"/>
    <w:rsid w:val="003F6403"/>
    <w:rsid w:val="003F7169"/>
    <w:rsid w:val="004011C3"/>
    <w:rsid w:val="0040194D"/>
    <w:rsid w:val="00401A84"/>
    <w:rsid w:val="00401DA3"/>
    <w:rsid w:val="0040725E"/>
    <w:rsid w:val="0041351A"/>
    <w:rsid w:val="0041376C"/>
    <w:rsid w:val="004141A4"/>
    <w:rsid w:val="004175F7"/>
    <w:rsid w:val="00420F44"/>
    <w:rsid w:val="004210B2"/>
    <w:rsid w:val="004214D8"/>
    <w:rsid w:val="00422862"/>
    <w:rsid w:val="0042307E"/>
    <w:rsid w:val="00424279"/>
    <w:rsid w:val="00425565"/>
    <w:rsid w:val="0042564C"/>
    <w:rsid w:val="00426EC5"/>
    <w:rsid w:val="004278BD"/>
    <w:rsid w:val="0043169F"/>
    <w:rsid w:val="004329F0"/>
    <w:rsid w:val="004330DA"/>
    <w:rsid w:val="004331EB"/>
    <w:rsid w:val="00443E76"/>
    <w:rsid w:val="00445FC9"/>
    <w:rsid w:val="0045058D"/>
    <w:rsid w:val="00451511"/>
    <w:rsid w:val="00451A0C"/>
    <w:rsid w:val="004522A1"/>
    <w:rsid w:val="0045311D"/>
    <w:rsid w:val="00454EC6"/>
    <w:rsid w:val="004555CA"/>
    <w:rsid w:val="00455A9C"/>
    <w:rsid w:val="00456666"/>
    <w:rsid w:val="00457AB6"/>
    <w:rsid w:val="00460D5B"/>
    <w:rsid w:val="00460F0D"/>
    <w:rsid w:val="00461BE8"/>
    <w:rsid w:val="004646A7"/>
    <w:rsid w:val="004662FE"/>
    <w:rsid w:val="00467A38"/>
    <w:rsid w:val="00467EEB"/>
    <w:rsid w:val="00470199"/>
    <w:rsid w:val="00471143"/>
    <w:rsid w:val="00471BE0"/>
    <w:rsid w:val="00472185"/>
    <w:rsid w:val="0047241F"/>
    <w:rsid w:val="00472B26"/>
    <w:rsid w:val="00473937"/>
    <w:rsid w:val="0047430E"/>
    <w:rsid w:val="004743B7"/>
    <w:rsid w:val="0047592C"/>
    <w:rsid w:val="00476BB3"/>
    <w:rsid w:val="00477856"/>
    <w:rsid w:val="004812E0"/>
    <w:rsid w:val="00481958"/>
    <w:rsid w:val="00482919"/>
    <w:rsid w:val="004874E5"/>
    <w:rsid w:val="00494327"/>
    <w:rsid w:val="0049674E"/>
    <w:rsid w:val="004A08ED"/>
    <w:rsid w:val="004A1B5D"/>
    <w:rsid w:val="004A3747"/>
    <w:rsid w:val="004A3ED9"/>
    <w:rsid w:val="004A4507"/>
    <w:rsid w:val="004A4DC3"/>
    <w:rsid w:val="004B0644"/>
    <w:rsid w:val="004B3461"/>
    <w:rsid w:val="004C291C"/>
    <w:rsid w:val="004C5247"/>
    <w:rsid w:val="004C6437"/>
    <w:rsid w:val="004C71A5"/>
    <w:rsid w:val="004D08B5"/>
    <w:rsid w:val="004D5579"/>
    <w:rsid w:val="004E16B1"/>
    <w:rsid w:val="004E2788"/>
    <w:rsid w:val="004E2C9E"/>
    <w:rsid w:val="004E3CD6"/>
    <w:rsid w:val="004E467D"/>
    <w:rsid w:val="004E5C18"/>
    <w:rsid w:val="004F03CF"/>
    <w:rsid w:val="004F2055"/>
    <w:rsid w:val="004F29ED"/>
    <w:rsid w:val="004F36F8"/>
    <w:rsid w:val="004F48F4"/>
    <w:rsid w:val="004F6546"/>
    <w:rsid w:val="004F7D67"/>
    <w:rsid w:val="00500229"/>
    <w:rsid w:val="005002BC"/>
    <w:rsid w:val="00501158"/>
    <w:rsid w:val="00502276"/>
    <w:rsid w:val="00502716"/>
    <w:rsid w:val="00503286"/>
    <w:rsid w:val="00503FB7"/>
    <w:rsid w:val="00505120"/>
    <w:rsid w:val="0050698A"/>
    <w:rsid w:val="0051206B"/>
    <w:rsid w:val="00512EBB"/>
    <w:rsid w:val="0051365D"/>
    <w:rsid w:val="0051499B"/>
    <w:rsid w:val="0052020D"/>
    <w:rsid w:val="00522485"/>
    <w:rsid w:val="0052266D"/>
    <w:rsid w:val="00522D64"/>
    <w:rsid w:val="005305A8"/>
    <w:rsid w:val="00530A96"/>
    <w:rsid w:val="00532C72"/>
    <w:rsid w:val="00533917"/>
    <w:rsid w:val="00534CA1"/>
    <w:rsid w:val="005356C7"/>
    <w:rsid w:val="00535E11"/>
    <w:rsid w:val="00537D5F"/>
    <w:rsid w:val="005415D8"/>
    <w:rsid w:val="00541E50"/>
    <w:rsid w:val="00541F8C"/>
    <w:rsid w:val="00547DC8"/>
    <w:rsid w:val="0055022D"/>
    <w:rsid w:val="00551751"/>
    <w:rsid w:val="00551C7A"/>
    <w:rsid w:val="0055259F"/>
    <w:rsid w:val="00552D36"/>
    <w:rsid w:val="00553850"/>
    <w:rsid w:val="0055647B"/>
    <w:rsid w:val="005610FC"/>
    <w:rsid w:val="005629EE"/>
    <w:rsid w:val="00563345"/>
    <w:rsid w:val="005655EB"/>
    <w:rsid w:val="00570468"/>
    <w:rsid w:val="00573F80"/>
    <w:rsid w:val="00574C57"/>
    <w:rsid w:val="005760F8"/>
    <w:rsid w:val="00577612"/>
    <w:rsid w:val="005802D5"/>
    <w:rsid w:val="00581417"/>
    <w:rsid w:val="00581F65"/>
    <w:rsid w:val="00582D75"/>
    <w:rsid w:val="00582DC0"/>
    <w:rsid w:val="005843C7"/>
    <w:rsid w:val="00584454"/>
    <w:rsid w:val="00584F95"/>
    <w:rsid w:val="00585847"/>
    <w:rsid w:val="005860C0"/>
    <w:rsid w:val="005866EF"/>
    <w:rsid w:val="0058672F"/>
    <w:rsid w:val="005903CF"/>
    <w:rsid w:val="00593C9B"/>
    <w:rsid w:val="00595286"/>
    <w:rsid w:val="005963DC"/>
    <w:rsid w:val="005A0B86"/>
    <w:rsid w:val="005A16F1"/>
    <w:rsid w:val="005A332F"/>
    <w:rsid w:val="005A3776"/>
    <w:rsid w:val="005A3823"/>
    <w:rsid w:val="005A589F"/>
    <w:rsid w:val="005A5D7A"/>
    <w:rsid w:val="005A61E2"/>
    <w:rsid w:val="005A7861"/>
    <w:rsid w:val="005A78A0"/>
    <w:rsid w:val="005B11F3"/>
    <w:rsid w:val="005B1E7B"/>
    <w:rsid w:val="005B2BE7"/>
    <w:rsid w:val="005B3A9E"/>
    <w:rsid w:val="005B695C"/>
    <w:rsid w:val="005C0B68"/>
    <w:rsid w:val="005C160E"/>
    <w:rsid w:val="005C27B7"/>
    <w:rsid w:val="005C28AC"/>
    <w:rsid w:val="005C3048"/>
    <w:rsid w:val="005C3CC9"/>
    <w:rsid w:val="005C4DFD"/>
    <w:rsid w:val="005C7ADB"/>
    <w:rsid w:val="005C7B3D"/>
    <w:rsid w:val="005C7E34"/>
    <w:rsid w:val="005D10EE"/>
    <w:rsid w:val="005D369E"/>
    <w:rsid w:val="005D5C2C"/>
    <w:rsid w:val="005D77EC"/>
    <w:rsid w:val="005E10FD"/>
    <w:rsid w:val="005E11CC"/>
    <w:rsid w:val="005E28EF"/>
    <w:rsid w:val="005E3002"/>
    <w:rsid w:val="005E635E"/>
    <w:rsid w:val="005E6AAD"/>
    <w:rsid w:val="005E7A4C"/>
    <w:rsid w:val="005E7F1A"/>
    <w:rsid w:val="005F114F"/>
    <w:rsid w:val="005F319E"/>
    <w:rsid w:val="005F33FF"/>
    <w:rsid w:val="005F3B46"/>
    <w:rsid w:val="005F6366"/>
    <w:rsid w:val="005F6928"/>
    <w:rsid w:val="006007D8"/>
    <w:rsid w:val="006029AF"/>
    <w:rsid w:val="00606342"/>
    <w:rsid w:val="00606DBC"/>
    <w:rsid w:val="0060709E"/>
    <w:rsid w:val="00607776"/>
    <w:rsid w:val="006078D4"/>
    <w:rsid w:val="0061158E"/>
    <w:rsid w:val="00611F6C"/>
    <w:rsid w:val="00612ACD"/>
    <w:rsid w:val="00612B11"/>
    <w:rsid w:val="00612E47"/>
    <w:rsid w:val="006143FE"/>
    <w:rsid w:val="00615A3B"/>
    <w:rsid w:val="0062097E"/>
    <w:rsid w:val="00621703"/>
    <w:rsid w:val="006220B1"/>
    <w:rsid w:val="00624032"/>
    <w:rsid w:val="00624D02"/>
    <w:rsid w:val="00625886"/>
    <w:rsid w:val="00625BE4"/>
    <w:rsid w:val="00626E33"/>
    <w:rsid w:val="00627DF2"/>
    <w:rsid w:val="00627E00"/>
    <w:rsid w:val="006315BD"/>
    <w:rsid w:val="00633315"/>
    <w:rsid w:val="00633B0E"/>
    <w:rsid w:val="00635E27"/>
    <w:rsid w:val="00640251"/>
    <w:rsid w:val="00640C32"/>
    <w:rsid w:val="006426ED"/>
    <w:rsid w:val="0064394E"/>
    <w:rsid w:val="00643C80"/>
    <w:rsid w:val="00645FDA"/>
    <w:rsid w:val="0064747C"/>
    <w:rsid w:val="006505B4"/>
    <w:rsid w:val="00651D66"/>
    <w:rsid w:val="00653A69"/>
    <w:rsid w:val="006542A9"/>
    <w:rsid w:val="00654A6A"/>
    <w:rsid w:val="00656150"/>
    <w:rsid w:val="00656304"/>
    <w:rsid w:val="00657F59"/>
    <w:rsid w:val="00660005"/>
    <w:rsid w:val="00660F39"/>
    <w:rsid w:val="006622CB"/>
    <w:rsid w:val="00662AA7"/>
    <w:rsid w:val="00663A09"/>
    <w:rsid w:val="006647D7"/>
    <w:rsid w:val="0066492F"/>
    <w:rsid w:val="00667319"/>
    <w:rsid w:val="006714F3"/>
    <w:rsid w:val="00672E1E"/>
    <w:rsid w:val="00673EED"/>
    <w:rsid w:val="006751D4"/>
    <w:rsid w:val="00676C15"/>
    <w:rsid w:val="00680067"/>
    <w:rsid w:val="00680281"/>
    <w:rsid w:val="006831E1"/>
    <w:rsid w:val="006855BD"/>
    <w:rsid w:val="006868C0"/>
    <w:rsid w:val="00691E6F"/>
    <w:rsid w:val="00692957"/>
    <w:rsid w:val="00693E7C"/>
    <w:rsid w:val="006959C1"/>
    <w:rsid w:val="00695A80"/>
    <w:rsid w:val="006965B9"/>
    <w:rsid w:val="00697BFF"/>
    <w:rsid w:val="006A04EC"/>
    <w:rsid w:val="006A07C4"/>
    <w:rsid w:val="006A0842"/>
    <w:rsid w:val="006A0A70"/>
    <w:rsid w:val="006A1A1F"/>
    <w:rsid w:val="006A228A"/>
    <w:rsid w:val="006A238F"/>
    <w:rsid w:val="006A29B6"/>
    <w:rsid w:val="006A2BA1"/>
    <w:rsid w:val="006A4939"/>
    <w:rsid w:val="006A4A41"/>
    <w:rsid w:val="006A5768"/>
    <w:rsid w:val="006A62A2"/>
    <w:rsid w:val="006A7079"/>
    <w:rsid w:val="006A72D7"/>
    <w:rsid w:val="006A77B8"/>
    <w:rsid w:val="006A7A0C"/>
    <w:rsid w:val="006B02B6"/>
    <w:rsid w:val="006B1995"/>
    <w:rsid w:val="006B1AFC"/>
    <w:rsid w:val="006B3E4F"/>
    <w:rsid w:val="006B4404"/>
    <w:rsid w:val="006B4660"/>
    <w:rsid w:val="006B6EF3"/>
    <w:rsid w:val="006C794A"/>
    <w:rsid w:val="006D0E1C"/>
    <w:rsid w:val="006D29EB"/>
    <w:rsid w:val="006D321F"/>
    <w:rsid w:val="006D4DB1"/>
    <w:rsid w:val="006D4F2A"/>
    <w:rsid w:val="006D76BA"/>
    <w:rsid w:val="006E0532"/>
    <w:rsid w:val="006E374A"/>
    <w:rsid w:val="006E3925"/>
    <w:rsid w:val="006E46C4"/>
    <w:rsid w:val="006E794F"/>
    <w:rsid w:val="006F181D"/>
    <w:rsid w:val="006F4284"/>
    <w:rsid w:val="006F54EF"/>
    <w:rsid w:val="006F730B"/>
    <w:rsid w:val="006F75C4"/>
    <w:rsid w:val="006F77B5"/>
    <w:rsid w:val="00701306"/>
    <w:rsid w:val="00701414"/>
    <w:rsid w:val="00701EB1"/>
    <w:rsid w:val="00703312"/>
    <w:rsid w:val="007044E4"/>
    <w:rsid w:val="0070474D"/>
    <w:rsid w:val="00704EAB"/>
    <w:rsid w:val="00706789"/>
    <w:rsid w:val="00706B98"/>
    <w:rsid w:val="00707B25"/>
    <w:rsid w:val="00710CB2"/>
    <w:rsid w:val="00710E3E"/>
    <w:rsid w:val="00711A70"/>
    <w:rsid w:val="0071241B"/>
    <w:rsid w:val="00714B30"/>
    <w:rsid w:val="00714CEC"/>
    <w:rsid w:val="00716454"/>
    <w:rsid w:val="007172DD"/>
    <w:rsid w:val="00720A2C"/>
    <w:rsid w:val="00720AB8"/>
    <w:rsid w:val="00720AF3"/>
    <w:rsid w:val="00721D37"/>
    <w:rsid w:val="00721E59"/>
    <w:rsid w:val="007234A6"/>
    <w:rsid w:val="00723B1D"/>
    <w:rsid w:val="007255C7"/>
    <w:rsid w:val="0072739D"/>
    <w:rsid w:val="00731C72"/>
    <w:rsid w:val="0073389F"/>
    <w:rsid w:val="00733EDE"/>
    <w:rsid w:val="00736912"/>
    <w:rsid w:val="00741833"/>
    <w:rsid w:val="00745201"/>
    <w:rsid w:val="00745A6C"/>
    <w:rsid w:val="00746045"/>
    <w:rsid w:val="0075144C"/>
    <w:rsid w:val="00751F55"/>
    <w:rsid w:val="0075239D"/>
    <w:rsid w:val="0075271B"/>
    <w:rsid w:val="00752C80"/>
    <w:rsid w:val="00753541"/>
    <w:rsid w:val="0076036C"/>
    <w:rsid w:val="00760530"/>
    <w:rsid w:val="00762180"/>
    <w:rsid w:val="00762AB0"/>
    <w:rsid w:val="007643EC"/>
    <w:rsid w:val="00770CE2"/>
    <w:rsid w:val="007736F8"/>
    <w:rsid w:val="00774E1B"/>
    <w:rsid w:val="00776D54"/>
    <w:rsid w:val="00776FE7"/>
    <w:rsid w:val="00777F5E"/>
    <w:rsid w:val="007814CD"/>
    <w:rsid w:val="00781B41"/>
    <w:rsid w:val="0078258A"/>
    <w:rsid w:val="00784316"/>
    <w:rsid w:val="007844F2"/>
    <w:rsid w:val="007854A5"/>
    <w:rsid w:val="00787DB6"/>
    <w:rsid w:val="00791BD8"/>
    <w:rsid w:val="00791FB4"/>
    <w:rsid w:val="00792247"/>
    <w:rsid w:val="00792362"/>
    <w:rsid w:val="00792695"/>
    <w:rsid w:val="007933EE"/>
    <w:rsid w:val="00793D53"/>
    <w:rsid w:val="00795465"/>
    <w:rsid w:val="0079749E"/>
    <w:rsid w:val="007A0002"/>
    <w:rsid w:val="007A07C7"/>
    <w:rsid w:val="007A1723"/>
    <w:rsid w:val="007A2B12"/>
    <w:rsid w:val="007A2DC5"/>
    <w:rsid w:val="007A48BA"/>
    <w:rsid w:val="007A4F65"/>
    <w:rsid w:val="007A67AD"/>
    <w:rsid w:val="007B132D"/>
    <w:rsid w:val="007B3027"/>
    <w:rsid w:val="007B318A"/>
    <w:rsid w:val="007B3214"/>
    <w:rsid w:val="007B3444"/>
    <w:rsid w:val="007B3BDA"/>
    <w:rsid w:val="007B4DBB"/>
    <w:rsid w:val="007B50AC"/>
    <w:rsid w:val="007B5C2A"/>
    <w:rsid w:val="007B77BF"/>
    <w:rsid w:val="007B7EAD"/>
    <w:rsid w:val="007C4F5B"/>
    <w:rsid w:val="007C540A"/>
    <w:rsid w:val="007D0C08"/>
    <w:rsid w:val="007D692E"/>
    <w:rsid w:val="007D700C"/>
    <w:rsid w:val="007D7076"/>
    <w:rsid w:val="007D7848"/>
    <w:rsid w:val="007D7BDF"/>
    <w:rsid w:val="007E07B3"/>
    <w:rsid w:val="007E16A6"/>
    <w:rsid w:val="007E1A74"/>
    <w:rsid w:val="007E1ABE"/>
    <w:rsid w:val="007E321D"/>
    <w:rsid w:val="007E407C"/>
    <w:rsid w:val="007E47D1"/>
    <w:rsid w:val="007F0D99"/>
    <w:rsid w:val="007F22F5"/>
    <w:rsid w:val="007F2956"/>
    <w:rsid w:val="007F2CC5"/>
    <w:rsid w:val="007F3DC0"/>
    <w:rsid w:val="007F4C0C"/>
    <w:rsid w:val="007F50EF"/>
    <w:rsid w:val="007F5EC8"/>
    <w:rsid w:val="007F76A7"/>
    <w:rsid w:val="008007B9"/>
    <w:rsid w:val="0080131E"/>
    <w:rsid w:val="00802189"/>
    <w:rsid w:val="00803C8B"/>
    <w:rsid w:val="00803D79"/>
    <w:rsid w:val="00804025"/>
    <w:rsid w:val="008041D9"/>
    <w:rsid w:val="008056CB"/>
    <w:rsid w:val="0080607C"/>
    <w:rsid w:val="008064BC"/>
    <w:rsid w:val="0080773A"/>
    <w:rsid w:val="00810762"/>
    <w:rsid w:val="008169FF"/>
    <w:rsid w:val="00817D55"/>
    <w:rsid w:val="00820D2E"/>
    <w:rsid w:val="008224D1"/>
    <w:rsid w:val="00822FCF"/>
    <w:rsid w:val="00823210"/>
    <w:rsid w:val="00824184"/>
    <w:rsid w:val="0082526A"/>
    <w:rsid w:val="008277C2"/>
    <w:rsid w:val="00830FB9"/>
    <w:rsid w:val="0083208F"/>
    <w:rsid w:val="0083241A"/>
    <w:rsid w:val="00832518"/>
    <w:rsid w:val="00833E84"/>
    <w:rsid w:val="00836D71"/>
    <w:rsid w:val="00842235"/>
    <w:rsid w:val="00842877"/>
    <w:rsid w:val="00843DBE"/>
    <w:rsid w:val="0084455E"/>
    <w:rsid w:val="008452CF"/>
    <w:rsid w:val="00847CE7"/>
    <w:rsid w:val="008511BA"/>
    <w:rsid w:val="008518A6"/>
    <w:rsid w:val="00852724"/>
    <w:rsid w:val="008556C7"/>
    <w:rsid w:val="008574F3"/>
    <w:rsid w:val="008576EB"/>
    <w:rsid w:val="00860C0F"/>
    <w:rsid w:val="00867234"/>
    <w:rsid w:val="0087132C"/>
    <w:rsid w:val="00872AAD"/>
    <w:rsid w:val="00873409"/>
    <w:rsid w:val="00873937"/>
    <w:rsid w:val="00880483"/>
    <w:rsid w:val="00880ABB"/>
    <w:rsid w:val="00882880"/>
    <w:rsid w:val="0088482E"/>
    <w:rsid w:val="008848A0"/>
    <w:rsid w:val="00886577"/>
    <w:rsid w:val="0089021D"/>
    <w:rsid w:val="008908EE"/>
    <w:rsid w:val="00890CE9"/>
    <w:rsid w:val="00891408"/>
    <w:rsid w:val="008949E1"/>
    <w:rsid w:val="0089571F"/>
    <w:rsid w:val="00896483"/>
    <w:rsid w:val="008A303F"/>
    <w:rsid w:val="008A4A55"/>
    <w:rsid w:val="008A5904"/>
    <w:rsid w:val="008A5E17"/>
    <w:rsid w:val="008A608B"/>
    <w:rsid w:val="008A7BB4"/>
    <w:rsid w:val="008B20D9"/>
    <w:rsid w:val="008B2883"/>
    <w:rsid w:val="008B69A0"/>
    <w:rsid w:val="008B7E58"/>
    <w:rsid w:val="008C02E1"/>
    <w:rsid w:val="008C233C"/>
    <w:rsid w:val="008C236D"/>
    <w:rsid w:val="008C682A"/>
    <w:rsid w:val="008C6928"/>
    <w:rsid w:val="008C6DEB"/>
    <w:rsid w:val="008D1E01"/>
    <w:rsid w:val="008D2AB9"/>
    <w:rsid w:val="008D3DB2"/>
    <w:rsid w:val="008D467F"/>
    <w:rsid w:val="008D4E45"/>
    <w:rsid w:val="008D6DF1"/>
    <w:rsid w:val="008E11F9"/>
    <w:rsid w:val="008E1CB9"/>
    <w:rsid w:val="008E3BFB"/>
    <w:rsid w:val="008E5354"/>
    <w:rsid w:val="008F2386"/>
    <w:rsid w:val="008F3220"/>
    <w:rsid w:val="008F4277"/>
    <w:rsid w:val="008F4B2A"/>
    <w:rsid w:val="008F7548"/>
    <w:rsid w:val="008F79CD"/>
    <w:rsid w:val="008F7F0D"/>
    <w:rsid w:val="008F7F56"/>
    <w:rsid w:val="00900D76"/>
    <w:rsid w:val="0090122D"/>
    <w:rsid w:val="00904420"/>
    <w:rsid w:val="00904908"/>
    <w:rsid w:val="009068F8"/>
    <w:rsid w:val="0091062B"/>
    <w:rsid w:val="00913C9D"/>
    <w:rsid w:val="00915F66"/>
    <w:rsid w:val="00916F93"/>
    <w:rsid w:val="00920476"/>
    <w:rsid w:val="00921B6B"/>
    <w:rsid w:val="00921CBB"/>
    <w:rsid w:val="00922F5D"/>
    <w:rsid w:val="009238B8"/>
    <w:rsid w:val="00932672"/>
    <w:rsid w:val="009369BA"/>
    <w:rsid w:val="009372A9"/>
    <w:rsid w:val="00941E24"/>
    <w:rsid w:val="009420AF"/>
    <w:rsid w:val="00943CCD"/>
    <w:rsid w:val="00944B30"/>
    <w:rsid w:val="00945CFC"/>
    <w:rsid w:val="009462B5"/>
    <w:rsid w:val="009464AC"/>
    <w:rsid w:val="00947B0C"/>
    <w:rsid w:val="00953AA8"/>
    <w:rsid w:val="00953EF0"/>
    <w:rsid w:val="00954FD9"/>
    <w:rsid w:val="00961274"/>
    <w:rsid w:val="0096782F"/>
    <w:rsid w:val="00967CE7"/>
    <w:rsid w:val="009702F5"/>
    <w:rsid w:val="00970A63"/>
    <w:rsid w:val="00970EF4"/>
    <w:rsid w:val="009711D5"/>
    <w:rsid w:val="00971E7D"/>
    <w:rsid w:val="009735A8"/>
    <w:rsid w:val="00973A1E"/>
    <w:rsid w:val="00974DEE"/>
    <w:rsid w:val="00975E41"/>
    <w:rsid w:val="00977767"/>
    <w:rsid w:val="009802DB"/>
    <w:rsid w:val="0098336A"/>
    <w:rsid w:val="00984398"/>
    <w:rsid w:val="0098608C"/>
    <w:rsid w:val="00990C75"/>
    <w:rsid w:val="009919FB"/>
    <w:rsid w:val="009940ED"/>
    <w:rsid w:val="009955B7"/>
    <w:rsid w:val="00995BAB"/>
    <w:rsid w:val="00995BED"/>
    <w:rsid w:val="00995F96"/>
    <w:rsid w:val="009A00A6"/>
    <w:rsid w:val="009A280B"/>
    <w:rsid w:val="009A289A"/>
    <w:rsid w:val="009A3A26"/>
    <w:rsid w:val="009A3F2A"/>
    <w:rsid w:val="009A4703"/>
    <w:rsid w:val="009A779D"/>
    <w:rsid w:val="009B00AC"/>
    <w:rsid w:val="009B10E1"/>
    <w:rsid w:val="009B67C5"/>
    <w:rsid w:val="009C0459"/>
    <w:rsid w:val="009C06EC"/>
    <w:rsid w:val="009C193D"/>
    <w:rsid w:val="009C1DEE"/>
    <w:rsid w:val="009C4152"/>
    <w:rsid w:val="009D2552"/>
    <w:rsid w:val="009D29E7"/>
    <w:rsid w:val="009D3B28"/>
    <w:rsid w:val="009D3E70"/>
    <w:rsid w:val="009D480D"/>
    <w:rsid w:val="009D54CA"/>
    <w:rsid w:val="009D5BF4"/>
    <w:rsid w:val="009D688F"/>
    <w:rsid w:val="009D7620"/>
    <w:rsid w:val="009E0370"/>
    <w:rsid w:val="009E0B78"/>
    <w:rsid w:val="009E182E"/>
    <w:rsid w:val="009E1A86"/>
    <w:rsid w:val="009E7157"/>
    <w:rsid w:val="009E769E"/>
    <w:rsid w:val="009F1437"/>
    <w:rsid w:val="009F19BB"/>
    <w:rsid w:val="009F1A75"/>
    <w:rsid w:val="009F20FA"/>
    <w:rsid w:val="009F2C80"/>
    <w:rsid w:val="009F3266"/>
    <w:rsid w:val="009F41CF"/>
    <w:rsid w:val="009F643F"/>
    <w:rsid w:val="009F78A3"/>
    <w:rsid w:val="009F7B92"/>
    <w:rsid w:val="00A00145"/>
    <w:rsid w:val="00A01CC0"/>
    <w:rsid w:val="00A02292"/>
    <w:rsid w:val="00A02DBE"/>
    <w:rsid w:val="00A0490A"/>
    <w:rsid w:val="00A04B8C"/>
    <w:rsid w:val="00A04C94"/>
    <w:rsid w:val="00A05DA9"/>
    <w:rsid w:val="00A075C2"/>
    <w:rsid w:val="00A100B0"/>
    <w:rsid w:val="00A10BE6"/>
    <w:rsid w:val="00A110A6"/>
    <w:rsid w:val="00A119FE"/>
    <w:rsid w:val="00A11C23"/>
    <w:rsid w:val="00A12D34"/>
    <w:rsid w:val="00A136B6"/>
    <w:rsid w:val="00A1499A"/>
    <w:rsid w:val="00A1574F"/>
    <w:rsid w:val="00A2097A"/>
    <w:rsid w:val="00A2427B"/>
    <w:rsid w:val="00A24F5C"/>
    <w:rsid w:val="00A26458"/>
    <w:rsid w:val="00A3233E"/>
    <w:rsid w:val="00A3652A"/>
    <w:rsid w:val="00A378E5"/>
    <w:rsid w:val="00A37B25"/>
    <w:rsid w:val="00A40684"/>
    <w:rsid w:val="00A43C33"/>
    <w:rsid w:val="00A442E2"/>
    <w:rsid w:val="00A466A6"/>
    <w:rsid w:val="00A50EE9"/>
    <w:rsid w:val="00A51A26"/>
    <w:rsid w:val="00A52F0F"/>
    <w:rsid w:val="00A54C15"/>
    <w:rsid w:val="00A576E3"/>
    <w:rsid w:val="00A64261"/>
    <w:rsid w:val="00A66400"/>
    <w:rsid w:val="00A66748"/>
    <w:rsid w:val="00A7020C"/>
    <w:rsid w:val="00A7147D"/>
    <w:rsid w:val="00A721FF"/>
    <w:rsid w:val="00A737E2"/>
    <w:rsid w:val="00A768AD"/>
    <w:rsid w:val="00A76CED"/>
    <w:rsid w:val="00A8047A"/>
    <w:rsid w:val="00A80ECD"/>
    <w:rsid w:val="00A8341F"/>
    <w:rsid w:val="00A83B46"/>
    <w:rsid w:val="00A83F74"/>
    <w:rsid w:val="00A86059"/>
    <w:rsid w:val="00A86FEC"/>
    <w:rsid w:val="00A91DB5"/>
    <w:rsid w:val="00A91DB7"/>
    <w:rsid w:val="00A920B3"/>
    <w:rsid w:val="00A9261D"/>
    <w:rsid w:val="00A951C9"/>
    <w:rsid w:val="00AA025A"/>
    <w:rsid w:val="00AA2568"/>
    <w:rsid w:val="00AA2937"/>
    <w:rsid w:val="00AA5867"/>
    <w:rsid w:val="00AA5E36"/>
    <w:rsid w:val="00AB2281"/>
    <w:rsid w:val="00AB407B"/>
    <w:rsid w:val="00AB4CAA"/>
    <w:rsid w:val="00AB604D"/>
    <w:rsid w:val="00AC3279"/>
    <w:rsid w:val="00AC5A9E"/>
    <w:rsid w:val="00AC671E"/>
    <w:rsid w:val="00AC7407"/>
    <w:rsid w:val="00AD009F"/>
    <w:rsid w:val="00AD2765"/>
    <w:rsid w:val="00AD2997"/>
    <w:rsid w:val="00AD2BF0"/>
    <w:rsid w:val="00AD75BD"/>
    <w:rsid w:val="00AE1398"/>
    <w:rsid w:val="00AE1C39"/>
    <w:rsid w:val="00AE1DD8"/>
    <w:rsid w:val="00AE2124"/>
    <w:rsid w:val="00AE21BC"/>
    <w:rsid w:val="00AE4B47"/>
    <w:rsid w:val="00AE753A"/>
    <w:rsid w:val="00AE7821"/>
    <w:rsid w:val="00AF41F6"/>
    <w:rsid w:val="00AF6375"/>
    <w:rsid w:val="00AF7BBC"/>
    <w:rsid w:val="00B020D8"/>
    <w:rsid w:val="00B044CE"/>
    <w:rsid w:val="00B06F63"/>
    <w:rsid w:val="00B07045"/>
    <w:rsid w:val="00B07B82"/>
    <w:rsid w:val="00B1291F"/>
    <w:rsid w:val="00B146A7"/>
    <w:rsid w:val="00B158D9"/>
    <w:rsid w:val="00B15DF1"/>
    <w:rsid w:val="00B16BA5"/>
    <w:rsid w:val="00B17BEA"/>
    <w:rsid w:val="00B20144"/>
    <w:rsid w:val="00B20734"/>
    <w:rsid w:val="00B23623"/>
    <w:rsid w:val="00B2397E"/>
    <w:rsid w:val="00B24222"/>
    <w:rsid w:val="00B254A7"/>
    <w:rsid w:val="00B269D8"/>
    <w:rsid w:val="00B273F6"/>
    <w:rsid w:val="00B2783A"/>
    <w:rsid w:val="00B30322"/>
    <w:rsid w:val="00B31D1B"/>
    <w:rsid w:val="00B32B4B"/>
    <w:rsid w:val="00B32FB4"/>
    <w:rsid w:val="00B33B77"/>
    <w:rsid w:val="00B355F7"/>
    <w:rsid w:val="00B37012"/>
    <w:rsid w:val="00B37611"/>
    <w:rsid w:val="00B406FB"/>
    <w:rsid w:val="00B40F57"/>
    <w:rsid w:val="00B41ACA"/>
    <w:rsid w:val="00B41B1F"/>
    <w:rsid w:val="00B45DF2"/>
    <w:rsid w:val="00B46892"/>
    <w:rsid w:val="00B50556"/>
    <w:rsid w:val="00B508D6"/>
    <w:rsid w:val="00B54780"/>
    <w:rsid w:val="00B548BC"/>
    <w:rsid w:val="00B556BD"/>
    <w:rsid w:val="00B567B5"/>
    <w:rsid w:val="00B56AAD"/>
    <w:rsid w:val="00B6089D"/>
    <w:rsid w:val="00B61728"/>
    <w:rsid w:val="00B6265E"/>
    <w:rsid w:val="00B62C94"/>
    <w:rsid w:val="00B64237"/>
    <w:rsid w:val="00B64D9A"/>
    <w:rsid w:val="00B657DD"/>
    <w:rsid w:val="00B66B76"/>
    <w:rsid w:val="00B6730F"/>
    <w:rsid w:val="00B675CF"/>
    <w:rsid w:val="00B67691"/>
    <w:rsid w:val="00B67716"/>
    <w:rsid w:val="00B67EF8"/>
    <w:rsid w:val="00B7035A"/>
    <w:rsid w:val="00B70799"/>
    <w:rsid w:val="00B76CCA"/>
    <w:rsid w:val="00B7708D"/>
    <w:rsid w:val="00B82A7C"/>
    <w:rsid w:val="00B836F0"/>
    <w:rsid w:val="00B91EE6"/>
    <w:rsid w:val="00B92467"/>
    <w:rsid w:val="00B929AB"/>
    <w:rsid w:val="00B92E5C"/>
    <w:rsid w:val="00B93415"/>
    <w:rsid w:val="00B937C6"/>
    <w:rsid w:val="00B94647"/>
    <w:rsid w:val="00B948E8"/>
    <w:rsid w:val="00B978F2"/>
    <w:rsid w:val="00BA21E3"/>
    <w:rsid w:val="00BA40FD"/>
    <w:rsid w:val="00BA49ED"/>
    <w:rsid w:val="00BA4FD0"/>
    <w:rsid w:val="00BB1CC3"/>
    <w:rsid w:val="00BB3A3C"/>
    <w:rsid w:val="00BC0FC4"/>
    <w:rsid w:val="00BC1C81"/>
    <w:rsid w:val="00BC2CE0"/>
    <w:rsid w:val="00BC2F3A"/>
    <w:rsid w:val="00BC4E01"/>
    <w:rsid w:val="00BC6826"/>
    <w:rsid w:val="00BC795B"/>
    <w:rsid w:val="00BD057C"/>
    <w:rsid w:val="00BD211C"/>
    <w:rsid w:val="00BD2FA5"/>
    <w:rsid w:val="00BD31F7"/>
    <w:rsid w:val="00BD3886"/>
    <w:rsid w:val="00BD3B82"/>
    <w:rsid w:val="00BD4B8F"/>
    <w:rsid w:val="00BD57AE"/>
    <w:rsid w:val="00BD5B98"/>
    <w:rsid w:val="00BD73A3"/>
    <w:rsid w:val="00BE0CF1"/>
    <w:rsid w:val="00BE2EC0"/>
    <w:rsid w:val="00BE391C"/>
    <w:rsid w:val="00BE3BEF"/>
    <w:rsid w:val="00BE3D3B"/>
    <w:rsid w:val="00BE5511"/>
    <w:rsid w:val="00BE58DC"/>
    <w:rsid w:val="00BE5F26"/>
    <w:rsid w:val="00BE6CF6"/>
    <w:rsid w:val="00BE76CD"/>
    <w:rsid w:val="00BE7923"/>
    <w:rsid w:val="00BF0801"/>
    <w:rsid w:val="00BF0FC8"/>
    <w:rsid w:val="00BF29E4"/>
    <w:rsid w:val="00BF3708"/>
    <w:rsid w:val="00BF380B"/>
    <w:rsid w:val="00BF3FA5"/>
    <w:rsid w:val="00BF4C76"/>
    <w:rsid w:val="00BF4D11"/>
    <w:rsid w:val="00BF5066"/>
    <w:rsid w:val="00BF5451"/>
    <w:rsid w:val="00BF5796"/>
    <w:rsid w:val="00C00D34"/>
    <w:rsid w:val="00C00E52"/>
    <w:rsid w:val="00C01BC4"/>
    <w:rsid w:val="00C022B3"/>
    <w:rsid w:val="00C0333D"/>
    <w:rsid w:val="00C05650"/>
    <w:rsid w:val="00C05AED"/>
    <w:rsid w:val="00C06272"/>
    <w:rsid w:val="00C06710"/>
    <w:rsid w:val="00C07044"/>
    <w:rsid w:val="00C07FD4"/>
    <w:rsid w:val="00C1363C"/>
    <w:rsid w:val="00C20081"/>
    <w:rsid w:val="00C22199"/>
    <w:rsid w:val="00C223A7"/>
    <w:rsid w:val="00C234CE"/>
    <w:rsid w:val="00C236F7"/>
    <w:rsid w:val="00C24FD3"/>
    <w:rsid w:val="00C272FD"/>
    <w:rsid w:val="00C33380"/>
    <w:rsid w:val="00C3445B"/>
    <w:rsid w:val="00C34BEA"/>
    <w:rsid w:val="00C356A3"/>
    <w:rsid w:val="00C362CF"/>
    <w:rsid w:val="00C404A2"/>
    <w:rsid w:val="00C413D0"/>
    <w:rsid w:val="00C43E80"/>
    <w:rsid w:val="00C44756"/>
    <w:rsid w:val="00C44A8C"/>
    <w:rsid w:val="00C45105"/>
    <w:rsid w:val="00C46165"/>
    <w:rsid w:val="00C53069"/>
    <w:rsid w:val="00C53B21"/>
    <w:rsid w:val="00C53DB4"/>
    <w:rsid w:val="00C54504"/>
    <w:rsid w:val="00C6055C"/>
    <w:rsid w:val="00C60632"/>
    <w:rsid w:val="00C60758"/>
    <w:rsid w:val="00C61A1A"/>
    <w:rsid w:val="00C62EE4"/>
    <w:rsid w:val="00C630D4"/>
    <w:rsid w:val="00C6393B"/>
    <w:rsid w:val="00C66B4F"/>
    <w:rsid w:val="00C66CD6"/>
    <w:rsid w:val="00C67535"/>
    <w:rsid w:val="00C70537"/>
    <w:rsid w:val="00C705A4"/>
    <w:rsid w:val="00C71F9D"/>
    <w:rsid w:val="00C721A8"/>
    <w:rsid w:val="00C7267C"/>
    <w:rsid w:val="00C73332"/>
    <w:rsid w:val="00C751E5"/>
    <w:rsid w:val="00C803A5"/>
    <w:rsid w:val="00C80872"/>
    <w:rsid w:val="00C80AE5"/>
    <w:rsid w:val="00C830E6"/>
    <w:rsid w:val="00C940C0"/>
    <w:rsid w:val="00C94989"/>
    <w:rsid w:val="00C96175"/>
    <w:rsid w:val="00C96CEE"/>
    <w:rsid w:val="00CA452B"/>
    <w:rsid w:val="00CA4F5B"/>
    <w:rsid w:val="00CA5943"/>
    <w:rsid w:val="00CA7150"/>
    <w:rsid w:val="00CA7160"/>
    <w:rsid w:val="00CB0C3F"/>
    <w:rsid w:val="00CB0F23"/>
    <w:rsid w:val="00CB1812"/>
    <w:rsid w:val="00CB2465"/>
    <w:rsid w:val="00CB3086"/>
    <w:rsid w:val="00CB3F3A"/>
    <w:rsid w:val="00CB4769"/>
    <w:rsid w:val="00CB5918"/>
    <w:rsid w:val="00CB660C"/>
    <w:rsid w:val="00CB6793"/>
    <w:rsid w:val="00CB7177"/>
    <w:rsid w:val="00CC0D0B"/>
    <w:rsid w:val="00CC101F"/>
    <w:rsid w:val="00CC2CBE"/>
    <w:rsid w:val="00CC36FC"/>
    <w:rsid w:val="00CC4156"/>
    <w:rsid w:val="00CC4A40"/>
    <w:rsid w:val="00CC6E50"/>
    <w:rsid w:val="00CD1586"/>
    <w:rsid w:val="00CD3290"/>
    <w:rsid w:val="00CD4663"/>
    <w:rsid w:val="00CD51D8"/>
    <w:rsid w:val="00CD7659"/>
    <w:rsid w:val="00CE0DBB"/>
    <w:rsid w:val="00CE4A84"/>
    <w:rsid w:val="00CE73A1"/>
    <w:rsid w:val="00CF1084"/>
    <w:rsid w:val="00CF1839"/>
    <w:rsid w:val="00CF1C56"/>
    <w:rsid w:val="00CF24CE"/>
    <w:rsid w:val="00CF3293"/>
    <w:rsid w:val="00CF5CC4"/>
    <w:rsid w:val="00D00CDC"/>
    <w:rsid w:val="00D02608"/>
    <w:rsid w:val="00D05889"/>
    <w:rsid w:val="00D05B64"/>
    <w:rsid w:val="00D067BE"/>
    <w:rsid w:val="00D1024F"/>
    <w:rsid w:val="00D1042D"/>
    <w:rsid w:val="00D14A17"/>
    <w:rsid w:val="00D17A19"/>
    <w:rsid w:val="00D17C20"/>
    <w:rsid w:val="00D206F9"/>
    <w:rsid w:val="00D21212"/>
    <w:rsid w:val="00D21A29"/>
    <w:rsid w:val="00D22AA4"/>
    <w:rsid w:val="00D2334D"/>
    <w:rsid w:val="00D23947"/>
    <w:rsid w:val="00D24D81"/>
    <w:rsid w:val="00D26E16"/>
    <w:rsid w:val="00D30505"/>
    <w:rsid w:val="00D30A0F"/>
    <w:rsid w:val="00D33924"/>
    <w:rsid w:val="00D34211"/>
    <w:rsid w:val="00D3480C"/>
    <w:rsid w:val="00D34E40"/>
    <w:rsid w:val="00D358B1"/>
    <w:rsid w:val="00D36E52"/>
    <w:rsid w:val="00D37F80"/>
    <w:rsid w:val="00D40ED5"/>
    <w:rsid w:val="00D41474"/>
    <w:rsid w:val="00D41560"/>
    <w:rsid w:val="00D423B2"/>
    <w:rsid w:val="00D44D6E"/>
    <w:rsid w:val="00D46A22"/>
    <w:rsid w:val="00D51E76"/>
    <w:rsid w:val="00D53647"/>
    <w:rsid w:val="00D553C1"/>
    <w:rsid w:val="00D5546D"/>
    <w:rsid w:val="00D55DAB"/>
    <w:rsid w:val="00D57301"/>
    <w:rsid w:val="00D605D5"/>
    <w:rsid w:val="00D6114E"/>
    <w:rsid w:val="00D61295"/>
    <w:rsid w:val="00D614D7"/>
    <w:rsid w:val="00D62040"/>
    <w:rsid w:val="00D632CE"/>
    <w:rsid w:val="00D64FC5"/>
    <w:rsid w:val="00D676CB"/>
    <w:rsid w:val="00D67D55"/>
    <w:rsid w:val="00D73178"/>
    <w:rsid w:val="00D738C8"/>
    <w:rsid w:val="00D7622F"/>
    <w:rsid w:val="00D768D2"/>
    <w:rsid w:val="00D77CCD"/>
    <w:rsid w:val="00D77DBD"/>
    <w:rsid w:val="00D77E1F"/>
    <w:rsid w:val="00D77E4D"/>
    <w:rsid w:val="00D81380"/>
    <w:rsid w:val="00D81706"/>
    <w:rsid w:val="00D81732"/>
    <w:rsid w:val="00D81C15"/>
    <w:rsid w:val="00D835FD"/>
    <w:rsid w:val="00D85533"/>
    <w:rsid w:val="00D87991"/>
    <w:rsid w:val="00D87C76"/>
    <w:rsid w:val="00D91107"/>
    <w:rsid w:val="00D92379"/>
    <w:rsid w:val="00D9264C"/>
    <w:rsid w:val="00D93128"/>
    <w:rsid w:val="00D931E7"/>
    <w:rsid w:val="00D949D1"/>
    <w:rsid w:val="00D9679C"/>
    <w:rsid w:val="00D978E5"/>
    <w:rsid w:val="00D97BE9"/>
    <w:rsid w:val="00DA0305"/>
    <w:rsid w:val="00DA34C0"/>
    <w:rsid w:val="00DA5038"/>
    <w:rsid w:val="00DA5A81"/>
    <w:rsid w:val="00DB3DC8"/>
    <w:rsid w:val="00DB4F12"/>
    <w:rsid w:val="00DB616C"/>
    <w:rsid w:val="00DB67CA"/>
    <w:rsid w:val="00DB7BDD"/>
    <w:rsid w:val="00DC173A"/>
    <w:rsid w:val="00DC18DF"/>
    <w:rsid w:val="00DC1E77"/>
    <w:rsid w:val="00DC2592"/>
    <w:rsid w:val="00DC4318"/>
    <w:rsid w:val="00DC5212"/>
    <w:rsid w:val="00DC5EC9"/>
    <w:rsid w:val="00DC637B"/>
    <w:rsid w:val="00DD2A34"/>
    <w:rsid w:val="00DD397E"/>
    <w:rsid w:val="00DD469B"/>
    <w:rsid w:val="00DD4FC0"/>
    <w:rsid w:val="00DD5369"/>
    <w:rsid w:val="00DD6D70"/>
    <w:rsid w:val="00DD72FF"/>
    <w:rsid w:val="00DD73E3"/>
    <w:rsid w:val="00DE226A"/>
    <w:rsid w:val="00DE29FC"/>
    <w:rsid w:val="00DE39BE"/>
    <w:rsid w:val="00DE3BD8"/>
    <w:rsid w:val="00DE6690"/>
    <w:rsid w:val="00DE76F2"/>
    <w:rsid w:val="00DE7795"/>
    <w:rsid w:val="00DF13B7"/>
    <w:rsid w:val="00DF1F89"/>
    <w:rsid w:val="00DF3267"/>
    <w:rsid w:val="00DF7A09"/>
    <w:rsid w:val="00E002FB"/>
    <w:rsid w:val="00E118B9"/>
    <w:rsid w:val="00E12D8C"/>
    <w:rsid w:val="00E153AB"/>
    <w:rsid w:val="00E20DCF"/>
    <w:rsid w:val="00E21029"/>
    <w:rsid w:val="00E218EE"/>
    <w:rsid w:val="00E2773A"/>
    <w:rsid w:val="00E3046E"/>
    <w:rsid w:val="00E304AA"/>
    <w:rsid w:val="00E31287"/>
    <w:rsid w:val="00E313AB"/>
    <w:rsid w:val="00E3181C"/>
    <w:rsid w:val="00E31FFA"/>
    <w:rsid w:val="00E34BF8"/>
    <w:rsid w:val="00E355E2"/>
    <w:rsid w:val="00E37042"/>
    <w:rsid w:val="00E370ED"/>
    <w:rsid w:val="00E372DA"/>
    <w:rsid w:val="00E376E0"/>
    <w:rsid w:val="00E40C9B"/>
    <w:rsid w:val="00E421DE"/>
    <w:rsid w:val="00E449EF"/>
    <w:rsid w:val="00E45171"/>
    <w:rsid w:val="00E46BE7"/>
    <w:rsid w:val="00E56018"/>
    <w:rsid w:val="00E60FAF"/>
    <w:rsid w:val="00E630D2"/>
    <w:rsid w:val="00E63AB4"/>
    <w:rsid w:val="00E66074"/>
    <w:rsid w:val="00E70D6B"/>
    <w:rsid w:val="00E718D4"/>
    <w:rsid w:val="00E7240A"/>
    <w:rsid w:val="00E743BF"/>
    <w:rsid w:val="00E749FF"/>
    <w:rsid w:val="00E7624E"/>
    <w:rsid w:val="00E76B64"/>
    <w:rsid w:val="00E76E59"/>
    <w:rsid w:val="00E771FE"/>
    <w:rsid w:val="00E84DC0"/>
    <w:rsid w:val="00E8534A"/>
    <w:rsid w:val="00E87AE0"/>
    <w:rsid w:val="00E87B2B"/>
    <w:rsid w:val="00E87F45"/>
    <w:rsid w:val="00E903BD"/>
    <w:rsid w:val="00E91494"/>
    <w:rsid w:val="00E93566"/>
    <w:rsid w:val="00E94A25"/>
    <w:rsid w:val="00E96260"/>
    <w:rsid w:val="00EA17D9"/>
    <w:rsid w:val="00EA40A3"/>
    <w:rsid w:val="00EA57D8"/>
    <w:rsid w:val="00EA59FA"/>
    <w:rsid w:val="00EA5D91"/>
    <w:rsid w:val="00EA70EE"/>
    <w:rsid w:val="00EB66F1"/>
    <w:rsid w:val="00EB704E"/>
    <w:rsid w:val="00EC2CEF"/>
    <w:rsid w:val="00EC411E"/>
    <w:rsid w:val="00EC6613"/>
    <w:rsid w:val="00ED0FF5"/>
    <w:rsid w:val="00ED5FC0"/>
    <w:rsid w:val="00EE055B"/>
    <w:rsid w:val="00EE0DF5"/>
    <w:rsid w:val="00EE1221"/>
    <w:rsid w:val="00EE1B02"/>
    <w:rsid w:val="00EE2582"/>
    <w:rsid w:val="00EE35E8"/>
    <w:rsid w:val="00EE4C9C"/>
    <w:rsid w:val="00EE52DD"/>
    <w:rsid w:val="00EE53AA"/>
    <w:rsid w:val="00EE544B"/>
    <w:rsid w:val="00EE7E71"/>
    <w:rsid w:val="00EF190B"/>
    <w:rsid w:val="00EF4012"/>
    <w:rsid w:val="00EF4D17"/>
    <w:rsid w:val="00EF58CF"/>
    <w:rsid w:val="00EF5B4D"/>
    <w:rsid w:val="00EF7E79"/>
    <w:rsid w:val="00F014BE"/>
    <w:rsid w:val="00F02093"/>
    <w:rsid w:val="00F021C3"/>
    <w:rsid w:val="00F02C77"/>
    <w:rsid w:val="00F032CB"/>
    <w:rsid w:val="00F03A3A"/>
    <w:rsid w:val="00F04B2D"/>
    <w:rsid w:val="00F06565"/>
    <w:rsid w:val="00F07880"/>
    <w:rsid w:val="00F10B4E"/>
    <w:rsid w:val="00F133F3"/>
    <w:rsid w:val="00F147F7"/>
    <w:rsid w:val="00F1516B"/>
    <w:rsid w:val="00F163E2"/>
    <w:rsid w:val="00F16834"/>
    <w:rsid w:val="00F17030"/>
    <w:rsid w:val="00F174B3"/>
    <w:rsid w:val="00F22DC4"/>
    <w:rsid w:val="00F22F37"/>
    <w:rsid w:val="00F230B5"/>
    <w:rsid w:val="00F23118"/>
    <w:rsid w:val="00F239DE"/>
    <w:rsid w:val="00F27C73"/>
    <w:rsid w:val="00F30E42"/>
    <w:rsid w:val="00F3171F"/>
    <w:rsid w:val="00F31B7F"/>
    <w:rsid w:val="00F32DFC"/>
    <w:rsid w:val="00F346C0"/>
    <w:rsid w:val="00F36512"/>
    <w:rsid w:val="00F379E1"/>
    <w:rsid w:val="00F40CF9"/>
    <w:rsid w:val="00F43906"/>
    <w:rsid w:val="00F453D4"/>
    <w:rsid w:val="00F47517"/>
    <w:rsid w:val="00F51E53"/>
    <w:rsid w:val="00F51F23"/>
    <w:rsid w:val="00F52E8D"/>
    <w:rsid w:val="00F53727"/>
    <w:rsid w:val="00F5425A"/>
    <w:rsid w:val="00F54975"/>
    <w:rsid w:val="00F54E3E"/>
    <w:rsid w:val="00F55B5E"/>
    <w:rsid w:val="00F56AFE"/>
    <w:rsid w:val="00F56FCB"/>
    <w:rsid w:val="00F62CD9"/>
    <w:rsid w:val="00F635DC"/>
    <w:rsid w:val="00F63A55"/>
    <w:rsid w:val="00F63D72"/>
    <w:rsid w:val="00F64386"/>
    <w:rsid w:val="00F65495"/>
    <w:rsid w:val="00F65AF4"/>
    <w:rsid w:val="00F65F12"/>
    <w:rsid w:val="00F6667C"/>
    <w:rsid w:val="00F66C13"/>
    <w:rsid w:val="00F676B8"/>
    <w:rsid w:val="00F70464"/>
    <w:rsid w:val="00F710A1"/>
    <w:rsid w:val="00F736C9"/>
    <w:rsid w:val="00F73DDD"/>
    <w:rsid w:val="00F75E50"/>
    <w:rsid w:val="00F765D6"/>
    <w:rsid w:val="00F77060"/>
    <w:rsid w:val="00F77E99"/>
    <w:rsid w:val="00F80377"/>
    <w:rsid w:val="00F81ECC"/>
    <w:rsid w:val="00F83178"/>
    <w:rsid w:val="00F8385D"/>
    <w:rsid w:val="00F845B3"/>
    <w:rsid w:val="00F86BFD"/>
    <w:rsid w:val="00F87A22"/>
    <w:rsid w:val="00F87BF4"/>
    <w:rsid w:val="00F920F4"/>
    <w:rsid w:val="00F95194"/>
    <w:rsid w:val="00F9695E"/>
    <w:rsid w:val="00F96B33"/>
    <w:rsid w:val="00F97B52"/>
    <w:rsid w:val="00FA02E0"/>
    <w:rsid w:val="00FA10A0"/>
    <w:rsid w:val="00FA2362"/>
    <w:rsid w:val="00FA3498"/>
    <w:rsid w:val="00FA366E"/>
    <w:rsid w:val="00FA40A3"/>
    <w:rsid w:val="00FA5A51"/>
    <w:rsid w:val="00FA5FB4"/>
    <w:rsid w:val="00FA7A2E"/>
    <w:rsid w:val="00FB0112"/>
    <w:rsid w:val="00FB075F"/>
    <w:rsid w:val="00FB7329"/>
    <w:rsid w:val="00FB7C65"/>
    <w:rsid w:val="00FC0714"/>
    <w:rsid w:val="00FC15CC"/>
    <w:rsid w:val="00FC2F11"/>
    <w:rsid w:val="00FC3A00"/>
    <w:rsid w:val="00FC63FC"/>
    <w:rsid w:val="00FC6DB2"/>
    <w:rsid w:val="00FD0E0F"/>
    <w:rsid w:val="00FD1645"/>
    <w:rsid w:val="00FD32C2"/>
    <w:rsid w:val="00FD39A4"/>
    <w:rsid w:val="00FD3D4A"/>
    <w:rsid w:val="00FD4355"/>
    <w:rsid w:val="00FE15FD"/>
    <w:rsid w:val="00FE18EB"/>
    <w:rsid w:val="00FE1A76"/>
    <w:rsid w:val="00FE2E99"/>
    <w:rsid w:val="00FE3925"/>
    <w:rsid w:val="00FE5528"/>
    <w:rsid w:val="00FE7794"/>
    <w:rsid w:val="00FF1ADB"/>
    <w:rsid w:val="00FF27A0"/>
    <w:rsid w:val="00FF2A32"/>
    <w:rsid w:val="00FF2D04"/>
    <w:rsid w:val="00FF35FA"/>
    <w:rsid w:val="00FF4F32"/>
    <w:rsid w:val="00FF6AA1"/>
    <w:rsid w:val="00FF6B61"/>
    <w:rsid w:val="00FF6E6B"/>
    <w:rsid w:val="00FF7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6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7C"/>
    <w:pPr>
      <w:widowControl w:val="0"/>
      <w:suppressAutoHyphens/>
      <w:spacing w:after="0" w:line="240" w:lineRule="auto"/>
    </w:pPr>
    <w:rPr>
      <w:rFonts w:eastAsia="SimSun" w:cs="Mangal"/>
      <w:szCs w:val="24"/>
      <w:lang w:val="lv-LV" w:eastAsia="hi-IN" w:bidi="hi-IN"/>
      <w14:ligatures w14:val="none"/>
    </w:rPr>
  </w:style>
  <w:style w:type="paragraph" w:styleId="Heading1">
    <w:name w:val="heading 1"/>
    <w:basedOn w:val="Normal"/>
    <w:next w:val="Normal"/>
    <w:link w:val="Heading1Char"/>
    <w:uiPriority w:val="9"/>
    <w:qFormat/>
    <w:rsid w:val="00BD0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5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5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05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05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5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5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5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5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5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5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5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05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05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5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5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5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5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5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057C"/>
    <w:pPr>
      <w:spacing w:before="160"/>
      <w:jc w:val="center"/>
    </w:pPr>
    <w:rPr>
      <w:i/>
      <w:iCs/>
      <w:color w:val="404040" w:themeColor="text1" w:themeTint="BF"/>
    </w:rPr>
  </w:style>
  <w:style w:type="character" w:customStyle="1" w:styleId="QuoteChar">
    <w:name w:val="Quote Char"/>
    <w:basedOn w:val="DefaultParagraphFont"/>
    <w:link w:val="Quote"/>
    <w:uiPriority w:val="29"/>
    <w:rsid w:val="00BD057C"/>
    <w:rPr>
      <w:i/>
      <w:iCs/>
      <w:color w:val="404040" w:themeColor="text1" w:themeTint="BF"/>
    </w:rPr>
  </w:style>
  <w:style w:type="paragraph" w:styleId="ListParagraph">
    <w:name w:val="List Paragraph"/>
    <w:basedOn w:val="Normal"/>
    <w:uiPriority w:val="34"/>
    <w:qFormat/>
    <w:rsid w:val="00BD057C"/>
    <w:pPr>
      <w:ind w:left="720"/>
      <w:contextualSpacing/>
    </w:pPr>
  </w:style>
  <w:style w:type="character" w:styleId="IntenseEmphasis">
    <w:name w:val="Intense Emphasis"/>
    <w:basedOn w:val="DefaultParagraphFont"/>
    <w:uiPriority w:val="21"/>
    <w:qFormat/>
    <w:rsid w:val="00BD057C"/>
    <w:rPr>
      <w:i/>
      <w:iCs/>
      <w:color w:val="2F5496" w:themeColor="accent1" w:themeShade="BF"/>
    </w:rPr>
  </w:style>
  <w:style w:type="paragraph" w:styleId="IntenseQuote">
    <w:name w:val="Intense Quote"/>
    <w:basedOn w:val="Normal"/>
    <w:next w:val="Normal"/>
    <w:link w:val="IntenseQuoteChar"/>
    <w:uiPriority w:val="30"/>
    <w:qFormat/>
    <w:rsid w:val="00BD0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57C"/>
    <w:rPr>
      <w:i/>
      <w:iCs/>
      <w:color w:val="2F5496" w:themeColor="accent1" w:themeShade="BF"/>
    </w:rPr>
  </w:style>
  <w:style w:type="character" w:styleId="IntenseReference">
    <w:name w:val="Intense Reference"/>
    <w:basedOn w:val="DefaultParagraphFont"/>
    <w:uiPriority w:val="32"/>
    <w:qFormat/>
    <w:rsid w:val="00BD057C"/>
    <w:rPr>
      <w:b/>
      <w:bCs/>
      <w:smallCaps/>
      <w:color w:val="2F5496" w:themeColor="accent1" w:themeShade="BF"/>
      <w:spacing w:val="5"/>
    </w:rPr>
  </w:style>
  <w:style w:type="paragraph" w:customStyle="1" w:styleId="Textbody">
    <w:name w:val="Text body"/>
    <w:basedOn w:val="Normal"/>
    <w:rsid w:val="00BD057C"/>
    <w:pPr>
      <w:autoSpaceDN w:val="0"/>
      <w:spacing w:after="120"/>
    </w:pPr>
    <w:rPr>
      <w:kern w:val="3"/>
      <w:lang w:eastAsia="zh-CN"/>
    </w:rPr>
  </w:style>
  <w:style w:type="paragraph" w:styleId="Footer">
    <w:name w:val="footer"/>
    <w:basedOn w:val="Normal"/>
    <w:link w:val="FooterChar"/>
    <w:uiPriority w:val="99"/>
    <w:unhideWhenUsed/>
    <w:rsid w:val="00BD057C"/>
    <w:pPr>
      <w:tabs>
        <w:tab w:val="center" w:pos="4153"/>
        <w:tab w:val="right" w:pos="8306"/>
      </w:tabs>
    </w:pPr>
    <w:rPr>
      <w:szCs w:val="21"/>
    </w:rPr>
  </w:style>
  <w:style w:type="character" w:customStyle="1" w:styleId="FooterChar">
    <w:name w:val="Footer Char"/>
    <w:basedOn w:val="DefaultParagraphFont"/>
    <w:link w:val="Footer"/>
    <w:uiPriority w:val="99"/>
    <w:rsid w:val="00BD057C"/>
    <w:rPr>
      <w:rFonts w:eastAsia="SimSun" w:cs="Mangal"/>
      <w:szCs w:val="21"/>
      <w:lang w:val="lv-LV" w:eastAsia="hi-IN" w:bidi="hi-IN"/>
      <w14:ligatures w14:val="none"/>
    </w:rPr>
  </w:style>
  <w:style w:type="character" w:styleId="Hyperlink">
    <w:name w:val="Hyperlink"/>
    <w:uiPriority w:val="99"/>
    <w:unhideWhenUsed/>
    <w:qFormat/>
    <w:rsid w:val="00BD057C"/>
    <w:rPr>
      <w:color w:val="0000FF"/>
      <w:u w:val="single"/>
    </w:rPr>
  </w:style>
  <w:style w:type="table" w:styleId="TableGrid">
    <w:name w:val="Table Grid"/>
    <w:basedOn w:val="TableNormal"/>
    <w:rsid w:val="00BD057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044E4"/>
    <w:pPr>
      <w:widowControl/>
      <w:suppressAutoHyphens w:val="0"/>
      <w:spacing w:before="100" w:beforeAutospacing="1" w:after="100" w:afterAutospacing="1"/>
    </w:pPr>
    <w:rPr>
      <w:rFonts w:eastAsia="Times New Roman" w:cs="Times New Roman"/>
      <w:kern w:val="0"/>
      <w:lang w:eastAsia="lv-LV" w:bidi="ar-SA"/>
    </w:rPr>
  </w:style>
  <w:style w:type="character" w:styleId="CommentReference">
    <w:name w:val="annotation reference"/>
    <w:basedOn w:val="DefaultParagraphFont"/>
    <w:uiPriority w:val="99"/>
    <w:semiHidden/>
    <w:unhideWhenUsed/>
    <w:rsid w:val="001773A4"/>
    <w:rPr>
      <w:sz w:val="16"/>
      <w:szCs w:val="16"/>
    </w:rPr>
  </w:style>
  <w:style w:type="paragraph" w:styleId="CommentText">
    <w:name w:val="annotation text"/>
    <w:basedOn w:val="Normal"/>
    <w:link w:val="CommentTextChar"/>
    <w:uiPriority w:val="99"/>
    <w:unhideWhenUsed/>
    <w:rsid w:val="001773A4"/>
    <w:rPr>
      <w:sz w:val="20"/>
      <w:szCs w:val="18"/>
    </w:rPr>
  </w:style>
  <w:style w:type="character" w:customStyle="1" w:styleId="CommentTextChar">
    <w:name w:val="Comment Text Char"/>
    <w:basedOn w:val="DefaultParagraphFont"/>
    <w:link w:val="CommentText"/>
    <w:uiPriority w:val="99"/>
    <w:rsid w:val="001773A4"/>
    <w:rPr>
      <w:rFonts w:eastAsia="SimSun" w:cs="Mangal"/>
      <w:sz w:val="20"/>
      <w:szCs w:val="18"/>
      <w:lang w:val="lv-LV" w:eastAsia="hi-IN" w:bidi="hi-IN"/>
      <w14:ligatures w14:val="none"/>
    </w:rPr>
  </w:style>
  <w:style w:type="paragraph" w:styleId="CommentSubject">
    <w:name w:val="annotation subject"/>
    <w:basedOn w:val="CommentText"/>
    <w:next w:val="CommentText"/>
    <w:link w:val="CommentSubjectChar"/>
    <w:uiPriority w:val="99"/>
    <w:semiHidden/>
    <w:unhideWhenUsed/>
    <w:rsid w:val="001773A4"/>
    <w:rPr>
      <w:b/>
      <w:bCs/>
    </w:rPr>
  </w:style>
  <w:style w:type="character" w:customStyle="1" w:styleId="CommentSubjectChar">
    <w:name w:val="Comment Subject Char"/>
    <w:basedOn w:val="CommentTextChar"/>
    <w:link w:val="CommentSubject"/>
    <w:uiPriority w:val="99"/>
    <w:semiHidden/>
    <w:rsid w:val="001773A4"/>
    <w:rPr>
      <w:rFonts w:eastAsia="SimSun" w:cs="Mangal"/>
      <w:b/>
      <w:bCs/>
      <w:sz w:val="20"/>
      <w:szCs w:val="18"/>
      <w:lang w:val="lv-LV" w:eastAsia="hi-IN" w:bidi="hi-IN"/>
      <w14:ligatures w14:val="none"/>
    </w:rPr>
  </w:style>
  <w:style w:type="character" w:customStyle="1" w:styleId="EndnoteCharacters">
    <w:name w:val="Endnote Characters"/>
    <w:rsid w:val="003200AD"/>
    <w:rPr>
      <w:vertAlign w:val="superscript"/>
    </w:rPr>
  </w:style>
  <w:style w:type="paragraph" w:styleId="FootnoteText">
    <w:name w:val="footnote text"/>
    <w:aliases w:val="Fußnote"/>
    <w:basedOn w:val="Normal"/>
    <w:link w:val="FootnoteTextChar"/>
    <w:rsid w:val="003200AD"/>
    <w:pPr>
      <w:widowControl/>
    </w:pPr>
    <w:rPr>
      <w:rFonts w:eastAsia="Times New Roman" w:cs="Times New Roman"/>
      <w:kern w:val="0"/>
      <w:sz w:val="20"/>
      <w:szCs w:val="20"/>
      <w:lang w:eastAsia="zh-CN" w:bidi="ar-SA"/>
    </w:rPr>
  </w:style>
  <w:style w:type="character" w:customStyle="1" w:styleId="FootnoteTextChar">
    <w:name w:val="Footnote Text Char"/>
    <w:aliases w:val="Fußnote Char"/>
    <w:basedOn w:val="DefaultParagraphFont"/>
    <w:link w:val="FootnoteText"/>
    <w:rsid w:val="003200AD"/>
    <w:rPr>
      <w:rFonts w:eastAsia="Times New Roman" w:cs="Times New Roman"/>
      <w:kern w:val="0"/>
      <w:sz w:val="20"/>
      <w:szCs w:val="20"/>
      <w:lang w:val="lv-LV" w:eastAsia="zh-CN"/>
      <w14:ligatures w14:val="none"/>
    </w:rPr>
  </w:style>
  <w:style w:type="paragraph" w:styleId="BodyText">
    <w:name w:val="Body Text"/>
    <w:basedOn w:val="Normal"/>
    <w:link w:val="BodyTextChar"/>
    <w:rsid w:val="00F9695E"/>
    <w:pPr>
      <w:widowControl/>
      <w:jc w:val="both"/>
    </w:pPr>
    <w:rPr>
      <w:rFonts w:eastAsia="Times New Roman" w:cs="Times New Roman"/>
      <w:kern w:val="0"/>
      <w:szCs w:val="20"/>
      <w:lang w:eastAsia="zh-CN" w:bidi="ar-SA"/>
    </w:rPr>
  </w:style>
  <w:style w:type="character" w:customStyle="1" w:styleId="BodyTextChar">
    <w:name w:val="Body Text Char"/>
    <w:basedOn w:val="DefaultParagraphFont"/>
    <w:link w:val="BodyText"/>
    <w:rsid w:val="00F9695E"/>
    <w:rPr>
      <w:rFonts w:eastAsia="Times New Roman" w:cs="Times New Roman"/>
      <w:kern w:val="0"/>
      <w:szCs w:val="20"/>
      <w:lang w:val="lv-LV" w:eastAsia="zh-CN"/>
      <w14:ligatures w14:val="none"/>
    </w:rPr>
  </w:style>
  <w:style w:type="character" w:styleId="FootnoteReference">
    <w:name w:val="footnote reference"/>
    <w:aliases w:val="Footnote Reference Number,Footnote symbol"/>
    <w:uiPriority w:val="99"/>
    <w:rsid w:val="003438FF"/>
    <w:rPr>
      <w:vertAlign w:val="superscript"/>
    </w:rPr>
  </w:style>
  <w:style w:type="character" w:styleId="Strong">
    <w:name w:val="Strong"/>
    <w:uiPriority w:val="22"/>
    <w:qFormat/>
    <w:rsid w:val="003438FF"/>
    <w:rPr>
      <w:b/>
      <w:bCs/>
    </w:rPr>
  </w:style>
  <w:style w:type="paragraph" w:customStyle="1" w:styleId="tv213">
    <w:name w:val="tv213"/>
    <w:basedOn w:val="Normal"/>
    <w:rsid w:val="00CD1586"/>
    <w:pPr>
      <w:widowControl/>
      <w:suppressAutoHyphens w:val="0"/>
      <w:spacing w:before="100" w:beforeAutospacing="1" w:after="100" w:afterAutospacing="1"/>
    </w:pPr>
    <w:rPr>
      <w:rFonts w:eastAsia="Times New Roman" w:cs="Times New Roman"/>
      <w:kern w:val="0"/>
      <w:lang w:eastAsia="lv-LV" w:bidi="ar-SA"/>
    </w:rPr>
  </w:style>
  <w:style w:type="character" w:styleId="UnresolvedMention">
    <w:name w:val="Unresolved Mention"/>
    <w:basedOn w:val="DefaultParagraphFont"/>
    <w:uiPriority w:val="99"/>
    <w:semiHidden/>
    <w:unhideWhenUsed/>
    <w:rsid w:val="00BF3FA5"/>
    <w:rPr>
      <w:color w:val="605E5C"/>
      <w:shd w:val="clear" w:color="auto" w:fill="E1DFDD"/>
    </w:rPr>
  </w:style>
  <w:style w:type="paragraph" w:styleId="BodyText2">
    <w:name w:val="Body Text 2"/>
    <w:basedOn w:val="Normal"/>
    <w:link w:val="BodyText2Char"/>
    <w:uiPriority w:val="99"/>
    <w:semiHidden/>
    <w:unhideWhenUsed/>
    <w:rsid w:val="00EF4012"/>
    <w:pPr>
      <w:spacing w:after="120" w:line="480" w:lineRule="auto"/>
    </w:pPr>
    <w:rPr>
      <w:szCs w:val="21"/>
    </w:rPr>
  </w:style>
  <w:style w:type="character" w:customStyle="1" w:styleId="BodyText2Char">
    <w:name w:val="Body Text 2 Char"/>
    <w:basedOn w:val="DefaultParagraphFont"/>
    <w:link w:val="BodyText2"/>
    <w:uiPriority w:val="99"/>
    <w:semiHidden/>
    <w:rsid w:val="00EF4012"/>
    <w:rPr>
      <w:rFonts w:eastAsia="SimSun" w:cs="Mangal"/>
      <w:szCs w:val="21"/>
      <w:lang w:val="lv-LV" w:eastAsia="hi-IN" w:bidi="hi-IN"/>
      <w14:ligatures w14:val="none"/>
    </w:rPr>
  </w:style>
  <w:style w:type="paragraph" w:customStyle="1" w:styleId="tv2132">
    <w:name w:val="tv2132"/>
    <w:basedOn w:val="Normal"/>
    <w:rsid w:val="005D10EE"/>
    <w:pPr>
      <w:widowControl/>
      <w:suppressAutoHyphens w:val="0"/>
      <w:spacing w:line="360" w:lineRule="auto"/>
      <w:ind w:firstLine="300"/>
    </w:pPr>
    <w:rPr>
      <w:rFonts w:eastAsia="Times New Roman" w:cs="Times New Roman"/>
      <w:color w:val="414142"/>
      <w:kern w:val="0"/>
      <w:sz w:val="20"/>
      <w:szCs w:val="20"/>
      <w:lang w:eastAsia="lv-LV" w:bidi="ar-SA"/>
    </w:rPr>
  </w:style>
  <w:style w:type="paragraph" w:customStyle="1" w:styleId="ML-4tx-2">
    <w:name w:val="ML-4tx-2"/>
    <w:basedOn w:val="Normal"/>
    <w:link w:val="ML-4tx-2Char"/>
    <w:qFormat/>
    <w:rsid w:val="002B36CB"/>
    <w:pPr>
      <w:widowControl/>
      <w:tabs>
        <w:tab w:val="left" w:pos="851"/>
      </w:tabs>
      <w:suppressAutoHyphens w:val="0"/>
      <w:spacing w:before="60"/>
      <w:ind w:firstLine="567"/>
      <w:jc w:val="both"/>
    </w:pPr>
    <w:rPr>
      <w:rFonts w:eastAsia="Times New Roman" w:cs="Times New Roman"/>
      <w:spacing w:val="-3"/>
      <w:kern w:val="0"/>
      <w:sz w:val="21"/>
      <w:szCs w:val="21"/>
      <w:lang w:eastAsia="lv-LV" w:bidi="ar-SA"/>
    </w:rPr>
  </w:style>
  <w:style w:type="character" w:customStyle="1" w:styleId="ML-4tx-2Char">
    <w:name w:val="ML-4tx-2 Char"/>
    <w:basedOn w:val="DefaultParagraphFont"/>
    <w:link w:val="ML-4tx-2"/>
    <w:rsid w:val="002B36CB"/>
    <w:rPr>
      <w:rFonts w:eastAsia="Times New Roman" w:cs="Times New Roman"/>
      <w:spacing w:val="-3"/>
      <w:kern w:val="0"/>
      <w:sz w:val="21"/>
      <w:szCs w:val="21"/>
      <w:lang w:val="lv-LV" w:eastAsia="lv-LV"/>
      <w14:ligatures w14:val="none"/>
    </w:rPr>
  </w:style>
  <w:style w:type="paragraph" w:styleId="Header">
    <w:name w:val="header"/>
    <w:basedOn w:val="Normal"/>
    <w:link w:val="HeaderChar"/>
    <w:uiPriority w:val="99"/>
    <w:unhideWhenUsed/>
    <w:rsid w:val="00C362CF"/>
    <w:pPr>
      <w:tabs>
        <w:tab w:val="center" w:pos="4680"/>
        <w:tab w:val="right" w:pos="9360"/>
      </w:tabs>
    </w:pPr>
    <w:rPr>
      <w:szCs w:val="21"/>
    </w:rPr>
  </w:style>
  <w:style w:type="character" w:customStyle="1" w:styleId="HeaderChar">
    <w:name w:val="Header Char"/>
    <w:basedOn w:val="DefaultParagraphFont"/>
    <w:link w:val="Header"/>
    <w:uiPriority w:val="99"/>
    <w:rsid w:val="00C362CF"/>
    <w:rPr>
      <w:rFonts w:eastAsia="SimSun" w:cs="Mangal"/>
      <w:szCs w:val="21"/>
      <w:lang w:val="lv-LV" w:eastAsia="hi-IN" w:bidi="hi-IN"/>
      <w14:ligatures w14:val="none"/>
    </w:rPr>
  </w:style>
  <w:style w:type="paragraph" w:styleId="EndnoteText">
    <w:name w:val="endnote text"/>
    <w:aliases w:val="Rakstz. Rakstz. Rakstz. Rakstz.,Rakstz. Rakstz. Rakstz."/>
    <w:basedOn w:val="Normal"/>
    <w:link w:val="EndnoteTextChar"/>
    <w:semiHidden/>
    <w:rsid w:val="00140B30"/>
    <w:pPr>
      <w:widowControl/>
      <w:suppressAutoHyphens w:val="0"/>
      <w:spacing w:after="160" w:line="240" w:lineRule="exact"/>
    </w:pPr>
    <w:rPr>
      <w:rFonts w:eastAsia="Times New Roman" w:cs="Times New Roman"/>
      <w:kern w:val="0"/>
      <w:sz w:val="20"/>
      <w:szCs w:val="20"/>
      <w:lang w:val="en-US" w:eastAsia="x-none" w:bidi="ar-SA"/>
    </w:rPr>
  </w:style>
  <w:style w:type="character" w:customStyle="1" w:styleId="EndnoteTextChar">
    <w:name w:val="Endnote Text Char"/>
    <w:aliases w:val="Rakstz. Rakstz. Rakstz. Rakstz. Char,Rakstz. Rakstz. Rakstz. Char"/>
    <w:basedOn w:val="DefaultParagraphFont"/>
    <w:link w:val="EndnoteText"/>
    <w:semiHidden/>
    <w:rsid w:val="00140B30"/>
    <w:rPr>
      <w:rFonts w:eastAsia="Times New Roman" w:cs="Times New Roman"/>
      <w:kern w:val="0"/>
      <w:sz w:val="20"/>
      <w:szCs w:val="20"/>
      <w:lang w:eastAsia="x-none"/>
      <w14:ligatures w14:val="none"/>
    </w:rPr>
  </w:style>
  <w:style w:type="character" w:styleId="EndnoteReference">
    <w:name w:val="endnote reference"/>
    <w:semiHidden/>
    <w:rsid w:val="00140B30"/>
    <w:rPr>
      <w:rFonts w:cs="Times New Roman"/>
      <w:vertAlign w:val="superscript"/>
    </w:rPr>
  </w:style>
  <w:style w:type="paragraph" w:styleId="NoSpacing">
    <w:name w:val="No Spacing"/>
    <w:uiPriority w:val="1"/>
    <w:qFormat/>
    <w:rsid w:val="00AD75BD"/>
    <w:pPr>
      <w:spacing w:after="0" w:line="240" w:lineRule="auto"/>
    </w:pPr>
    <w:rPr>
      <w:kern w:val="0"/>
      <w:lang w:val="lv-LV"/>
      <w14:ligatures w14:val="none"/>
    </w:rPr>
  </w:style>
  <w:style w:type="character" w:customStyle="1" w:styleId="apple-style-span">
    <w:name w:val="apple-style-span"/>
    <w:basedOn w:val="DefaultParagraphFont"/>
    <w:rsid w:val="001D0C67"/>
  </w:style>
  <w:style w:type="paragraph" w:styleId="Revision">
    <w:name w:val="Revision"/>
    <w:hidden/>
    <w:uiPriority w:val="99"/>
    <w:semiHidden/>
    <w:rsid w:val="00DD73E3"/>
    <w:pPr>
      <w:spacing w:after="0" w:line="240" w:lineRule="auto"/>
    </w:pPr>
    <w:rPr>
      <w:rFonts w:eastAsia="SimSun" w:cs="Mangal"/>
      <w:szCs w:val="21"/>
      <w:lang w:val="lv-LV" w:eastAsia="hi-IN" w:bidi="hi-IN"/>
      <w14:ligatures w14:val="none"/>
    </w:rPr>
  </w:style>
  <w:style w:type="character" w:styleId="FollowedHyperlink">
    <w:name w:val="FollowedHyperlink"/>
    <w:basedOn w:val="DefaultParagraphFont"/>
    <w:uiPriority w:val="99"/>
    <w:semiHidden/>
    <w:unhideWhenUsed/>
    <w:rsid w:val="007514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gov.lv/downloadlawfile/3666" TargetMode="External"/><Relationship Id="rId18" Type="http://schemas.openxmlformats.org/officeDocument/2006/relationships/hyperlink" Target="https://gateway.elieta.lv/api/v1/PublicMaterialDownload/6b5deb60-dfc5-4aaa-bedf-7537223dd222" TargetMode="External"/><Relationship Id="rId26" Type="http://schemas.openxmlformats.org/officeDocument/2006/relationships/hyperlink" Target="https://manas.tiesas.lv/eTiesasMvc/nolemumi/pdf/550452.pdf" TargetMode="External"/><Relationship Id="rId21" Type="http://schemas.openxmlformats.org/officeDocument/2006/relationships/hyperlink" Target="https://manas.tiesas.lv/eTiesasMvc/eclinolemumi/ECLI:LV:AT:2019:0301.A420375414.2.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t.gov.lv/downloadlawfile/3685" TargetMode="External"/><Relationship Id="rId17" Type="http://schemas.openxmlformats.org/officeDocument/2006/relationships/hyperlink" Target="https://www.at.gov.lv/files/uploads/files/6_Judikatura/Tiesu_prakses_apkopojumi/tp_krapsana.doc" TargetMode="External"/><Relationship Id="rId25" Type="http://schemas.openxmlformats.org/officeDocument/2006/relationships/hyperlink" Target="https://manas.tiesas.lv/eTiesasMvc/eclinolemumi/ECLI:LV:AT:2019:0425.12812000713.2.L" TargetMode="External"/><Relationship Id="rId33" Type="http://schemas.openxmlformats.org/officeDocument/2006/relationships/hyperlink" Target="https://www.at.gov.lv/downloadlawfile/6253" TargetMode="External"/><Relationship Id="rId2" Type="http://schemas.openxmlformats.org/officeDocument/2006/relationships/numbering" Target="numbering.xml"/><Relationship Id="rId16" Type="http://schemas.openxmlformats.org/officeDocument/2006/relationships/hyperlink" Target="https://manas.tiesas.lv/eTiesasMvc/nolemumi/pdf/424100.pdf" TargetMode="External"/><Relationship Id="rId20" Type="http://schemas.openxmlformats.org/officeDocument/2006/relationships/hyperlink" Target="https://gateway.elieta.lv/api/v1/PublicMaterialDownload/e6e0dcef-22a5-47c5-9877-d653d971ef2f" TargetMode="External"/><Relationship Id="rId29" Type="http://schemas.openxmlformats.org/officeDocument/2006/relationships/hyperlink" Target="https://www.at.gov.lv/downloadlawfile/7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627" TargetMode="External"/><Relationship Id="rId24" Type="http://schemas.openxmlformats.org/officeDocument/2006/relationships/hyperlink" Target="https://www.at.gov.lv/downloadlawfile/4970" TargetMode="External"/><Relationship Id="rId32" Type="http://schemas.openxmlformats.org/officeDocument/2006/relationships/hyperlink" Target="https://www.at.gov.lv/downloadlawfile/1104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t.gov.lv/downloadlawfile/3704" TargetMode="External"/><Relationship Id="rId23" Type="http://schemas.openxmlformats.org/officeDocument/2006/relationships/hyperlink" Target="https://www.at.gov.lv/downloadlawfile/5653" TargetMode="External"/><Relationship Id="rId28" Type="http://schemas.openxmlformats.org/officeDocument/2006/relationships/hyperlink" Target="https://www.at.gov.lv/downloadlawfile/8928" TargetMode="External"/><Relationship Id="rId36" Type="http://schemas.openxmlformats.org/officeDocument/2006/relationships/fontTable" Target="fontTable.xml"/><Relationship Id="rId10" Type="http://schemas.openxmlformats.org/officeDocument/2006/relationships/hyperlink" Target="https://www.at.gov.lv/downloadlawfile/3685" TargetMode="External"/><Relationship Id="rId19" Type="http://schemas.openxmlformats.org/officeDocument/2006/relationships/hyperlink" Target="https://manas.tiesas.lv/eTiesasMvc/nolemumi/pdf/353381.pdf" TargetMode="External"/><Relationship Id="rId31" Type="http://schemas.openxmlformats.org/officeDocument/2006/relationships/hyperlink" Target="https://www.at.gov.lv/downloadlawfile/11048" TargetMode="External"/><Relationship Id="rId4" Type="http://schemas.openxmlformats.org/officeDocument/2006/relationships/settings" Target="settings.xml"/><Relationship Id="rId9" Type="http://schemas.openxmlformats.org/officeDocument/2006/relationships/hyperlink" Target="https://gateway.elieta.lv/api/v1/PublicMaterialDownload/723543ed-7133-4703-9874-918dd5345197" TargetMode="External"/><Relationship Id="rId14" Type="http://schemas.openxmlformats.org/officeDocument/2006/relationships/hyperlink" Target="https://www.at.gov.lv/downloadlawfile/3685" TargetMode="External"/><Relationship Id="rId22" Type="http://schemas.openxmlformats.org/officeDocument/2006/relationships/hyperlink" Target="https://www.at.gov.lv/downloadlawfile/5843" TargetMode="External"/><Relationship Id="rId27" Type="http://schemas.openxmlformats.org/officeDocument/2006/relationships/hyperlink" Target="https://www.at.gov.lv/downloadlawfile/8139" TargetMode="External"/><Relationship Id="rId30" Type="http://schemas.openxmlformats.org/officeDocument/2006/relationships/hyperlink" Target="https://www.at.gov.lv/downloadlawfile/8125" TargetMode="External"/><Relationship Id="rId35" Type="http://schemas.openxmlformats.org/officeDocument/2006/relationships/footer" Target="footer2.xml"/><Relationship Id="rId8" Type="http://schemas.openxmlformats.org/officeDocument/2006/relationships/hyperlink" Target="https://gateway.elieta.lv/api/v1/PublicMaterialDownload/b972dec8-788c-4f04-93be-b9d30915df3b"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38D81-CD09-4AE3-9874-837BFF42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43026</Words>
  <Characters>24526</Characters>
  <Application>Microsoft Office Word</Application>
  <DocSecurity>4</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2026-04-30T10:31:00Z</dcterms:created>
  <dcterms:modified xsi:type="dcterms:W3CDTF">2026-04-30T10:31:00Z</dcterms:modified>
</cp:coreProperties>
</file>