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D0302" w14:textId="77777777" w:rsidR="007A502E" w:rsidRPr="00B6762E" w:rsidRDefault="007A502E" w:rsidP="007A502E">
      <w:pPr>
        <w:spacing w:after="0" w:line="276" w:lineRule="auto"/>
        <w:jc w:val="both"/>
        <w:rPr>
          <w:rFonts w:cs="Times New Roman"/>
          <w:b/>
          <w:bCs/>
        </w:rPr>
      </w:pPr>
      <w:r w:rsidRPr="00B6762E">
        <w:rPr>
          <w:rFonts w:cs="Times New Roman"/>
          <w:b/>
          <w:bCs/>
        </w:rPr>
        <w:t>Bruņota konflikta finansēšanas atbalstīšana</w:t>
      </w:r>
    </w:p>
    <w:p w14:paraId="32894F2D" w14:textId="77777777" w:rsidR="007A502E" w:rsidRPr="00B6762E" w:rsidRDefault="007A502E" w:rsidP="007A502E">
      <w:pPr>
        <w:spacing w:after="0" w:line="276" w:lineRule="auto"/>
        <w:jc w:val="both"/>
        <w:rPr>
          <w:rFonts w:cs="Times New Roman"/>
        </w:rPr>
      </w:pPr>
      <w:r w:rsidRPr="00B6762E">
        <w:rPr>
          <w:rFonts w:cs="Times New Roman"/>
        </w:rPr>
        <w:t xml:space="preserve">Ziņu, kas ietver aicinājumu vākt finansējumu un mantu Krievijas Federācijas bruņoto spēku vajadzībām, kas īsteno bruņotu agresiju Ukrainā, pārpublicēšana savā ziņojumapmaiņas lietotnes „Telegram” kanālā ir kvalificējama kā bruņota konflikta finansēšanas atbalstīšana. Nav izšķirošas nozīmes tam, vai konkrētā persona, </w:t>
      </w:r>
      <w:r>
        <w:rPr>
          <w:rFonts w:cs="Times New Roman"/>
        </w:rPr>
        <w:t>kuras darbības tiek atbalstītas</w:t>
      </w:r>
      <w:r w:rsidRPr="00B6762E">
        <w:rPr>
          <w:rFonts w:cs="Times New Roman"/>
        </w:rPr>
        <w:t>, ir saukta pie kriminālatbildības. Pārpublicējot minētās ziņas, persona nodrošina to izplatīšanu plašākai auditorijai un tādējādi veicina aicinājumā ietvertā mērķa – finanšu līdzekļu un mantas piesaistes – sasniegšanu.</w:t>
      </w:r>
    </w:p>
    <w:p w14:paraId="2DB93AB9" w14:textId="77777777" w:rsidR="007A502E" w:rsidRDefault="007A502E" w:rsidP="00E77948">
      <w:pPr>
        <w:widowControl w:val="0"/>
        <w:spacing w:after="0" w:line="276" w:lineRule="auto"/>
        <w:jc w:val="center"/>
        <w:rPr>
          <w:b/>
          <w:bCs/>
        </w:rPr>
      </w:pPr>
    </w:p>
    <w:p w14:paraId="25CB073E" w14:textId="579FEFA4" w:rsidR="00E77948" w:rsidRPr="00D91D90" w:rsidRDefault="00E77948" w:rsidP="00E77948">
      <w:pPr>
        <w:widowControl w:val="0"/>
        <w:spacing w:after="0" w:line="276" w:lineRule="auto"/>
        <w:jc w:val="center"/>
        <w:rPr>
          <w:b/>
          <w:bCs/>
        </w:rPr>
      </w:pPr>
      <w:r w:rsidRPr="00D91D90">
        <w:rPr>
          <w:b/>
          <w:bCs/>
        </w:rPr>
        <w:t>Latvijas Republikas Senāt</w:t>
      </w:r>
      <w:r w:rsidR="00637C4F" w:rsidRPr="00D91D90">
        <w:rPr>
          <w:b/>
          <w:bCs/>
        </w:rPr>
        <w:t>a</w:t>
      </w:r>
    </w:p>
    <w:p w14:paraId="25EBA0AA" w14:textId="2F0421EB" w:rsidR="00637C4F" w:rsidRPr="00D91D90" w:rsidRDefault="00637C4F" w:rsidP="00637C4F">
      <w:pPr>
        <w:widowControl w:val="0"/>
        <w:spacing w:after="0" w:line="276" w:lineRule="auto"/>
        <w:jc w:val="center"/>
        <w:rPr>
          <w:b/>
          <w:bCs/>
        </w:rPr>
      </w:pPr>
      <w:r w:rsidRPr="00D91D90">
        <w:rPr>
          <w:b/>
          <w:bCs/>
        </w:rPr>
        <w:t>Krimināllietu departament</w:t>
      </w:r>
      <w:r w:rsidR="00D91D90" w:rsidRPr="00D91D90">
        <w:rPr>
          <w:b/>
          <w:bCs/>
        </w:rPr>
        <w:t>a</w:t>
      </w:r>
    </w:p>
    <w:p w14:paraId="05F60709" w14:textId="77777777" w:rsidR="00637C4F" w:rsidRPr="00D91D90" w:rsidRDefault="00637C4F" w:rsidP="00637C4F">
      <w:pPr>
        <w:widowControl w:val="0"/>
        <w:spacing w:after="0" w:line="276" w:lineRule="auto"/>
        <w:jc w:val="center"/>
        <w:rPr>
          <w:b/>
          <w:bCs/>
        </w:rPr>
      </w:pPr>
      <w:r w:rsidRPr="00D91D90">
        <w:rPr>
          <w:b/>
          <w:bCs/>
        </w:rPr>
        <w:t>2026. gada 23. aprīļa</w:t>
      </w:r>
    </w:p>
    <w:p w14:paraId="78E198E1" w14:textId="77777777" w:rsidR="00E77948" w:rsidRPr="00D91D90" w:rsidRDefault="00E77948" w:rsidP="00E77948">
      <w:pPr>
        <w:widowControl w:val="0"/>
        <w:spacing w:after="0" w:line="276" w:lineRule="auto"/>
        <w:jc w:val="center"/>
        <w:rPr>
          <w:b/>
          <w:bCs/>
        </w:rPr>
      </w:pPr>
      <w:r w:rsidRPr="00D91D90">
        <w:rPr>
          <w:b/>
          <w:bCs/>
        </w:rPr>
        <w:t>LĒMUMS</w:t>
      </w:r>
    </w:p>
    <w:p w14:paraId="5D6B96FC" w14:textId="77777777" w:rsidR="00637C4F" w:rsidRPr="00D91D90" w:rsidRDefault="00637C4F" w:rsidP="00637C4F">
      <w:pPr>
        <w:widowControl w:val="0"/>
        <w:spacing w:after="0" w:line="276" w:lineRule="auto"/>
        <w:jc w:val="center"/>
        <w:rPr>
          <w:b/>
          <w:bCs/>
        </w:rPr>
      </w:pPr>
      <w:r w:rsidRPr="00D91D90">
        <w:rPr>
          <w:b/>
          <w:bCs/>
        </w:rPr>
        <w:t>Lieta Nr. 11840002622, SKK</w:t>
      </w:r>
      <w:r w:rsidRPr="00D91D90">
        <w:rPr>
          <w:b/>
          <w:bCs/>
        </w:rPr>
        <w:noBreakHyphen/>
        <w:t>181/2026</w:t>
      </w:r>
    </w:p>
    <w:p w14:paraId="0D1022F2" w14:textId="77777777" w:rsidR="007A502E" w:rsidRDefault="00637C4F" w:rsidP="007A502E">
      <w:pPr>
        <w:widowControl w:val="0"/>
        <w:spacing w:after="0" w:line="276" w:lineRule="auto"/>
        <w:jc w:val="center"/>
      </w:pPr>
      <w:hyperlink r:id="rId7" w:history="1">
        <w:r w:rsidRPr="00637C4F">
          <w:rPr>
            <w:rStyle w:val="Hyperlink"/>
          </w:rPr>
          <w:t>ECLI:LV:AT:2026:0423.11840002622.6.L</w:t>
        </w:r>
      </w:hyperlink>
    </w:p>
    <w:p w14:paraId="4B51041C" w14:textId="77777777" w:rsidR="007A502E" w:rsidRDefault="007A502E" w:rsidP="00E77948">
      <w:pPr>
        <w:widowControl w:val="0"/>
        <w:spacing w:after="0" w:line="276" w:lineRule="auto"/>
        <w:ind w:firstLine="720"/>
        <w:jc w:val="both"/>
      </w:pPr>
    </w:p>
    <w:p w14:paraId="0BD51355" w14:textId="3F195EA7" w:rsidR="00E77948" w:rsidRPr="006B55FF" w:rsidRDefault="00E77948" w:rsidP="00E77948">
      <w:pPr>
        <w:widowControl w:val="0"/>
        <w:spacing w:after="0" w:line="276" w:lineRule="auto"/>
        <w:ind w:firstLine="720"/>
        <w:jc w:val="both"/>
      </w:pPr>
      <w:r w:rsidRPr="002A6EEE">
        <w:t xml:space="preserve">Senāts šādā sastāvā: </w:t>
      </w:r>
      <w:r w:rsidRPr="00D64DF9">
        <w:t>senator</w:t>
      </w:r>
      <w:r w:rsidR="0080243F">
        <w:t>i</w:t>
      </w:r>
      <w:r w:rsidRPr="00D64DF9">
        <w:t xml:space="preserve"> </w:t>
      </w:r>
      <w:r w:rsidR="00EF4088" w:rsidRPr="006B55FF">
        <w:t>Irīna Jansone</w:t>
      </w:r>
      <w:r w:rsidRPr="006B55FF">
        <w:t xml:space="preserve">, </w:t>
      </w:r>
      <w:r w:rsidR="00EF4088">
        <w:t>Aija Branta</w:t>
      </w:r>
      <w:r w:rsidR="00080190" w:rsidRPr="006B55FF">
        <w:t xml:space="preserve">, </w:t>
      </w:r>
      <w:r w:rsidR="0080243F">
        <w:t>Jānis Rozenbergs</w:t>
      </w:r>
      <w:r w:rsidRPr="006B55FF">
        <w:t>,</w:t>
      </w:r>
    </w:p>
    <w:p w14:paraId="08536CB7" w14:textId="77777777" w:rsidR="00E77948" w:rsidRPr="006B55FF" w:rsidRDefault="00E77948" w:rsidP="00E77948">
      <w:pPr>
        <w:widowControl w:val="0"/>
        <w:spacing w:after="0" w:line="276" w:lineRule="auto"/>
        <w:ind w:firstLine="720"/>
        <w:jc w:val="both"/>
      </w:pPr>
    </w:p>
    <w:p w14:paraId="037E4AE0" w14:textId="453E958C" w:rsidR="00E77948" w:rsidRDefault="00E77948" w:rsidP="00E77948">
      <w:pPr>
        <w:widowControl w:val="0"/>
        <w:spacing w:after="0" w:line="276" w:lineRule="auto"/>
        <w:ind w:firstLine="720"/>
        <w:jc w:val="both"/>
      </w:pPr>
      <w:bookmarkStart w:id="0" w:name="_Hlk225856941"/>
      <w:r w:rsidRPr="006B55FF">
        <w:t xml:space="preserve">iepazinies ar apsūdzētā </w:t>
      </w:r>
      <w:r w:rsidR="00637C4F">
        <w:t>[pers. A]</w:t>
      </w:r>
      <w:r w:rsidRPr="006B55FF">
        <w:t xml:space="preserve"> </w:t>
      </w:r>
      <w:r w:rsidR="009B4FF4">
        <w:t xml:space="preserve">un viņa aizstāves zvērinātas advokātes </w:t>
      </w:r>
      <w:proofErr w:type="spellStart"/>
      <w:r w:rsidR="009B4FF4">
        <w:t>Immas</w:t>
      </w:r>
      <w:proofErr w:type="spellEnd"/>
      <w:r w:rsidR="009B4FF4">
        <w:t xml:space="preserve"> Jansones kasācijas sūdzīb</w:t>
      </w:r>
      <w:r w:rsidR="00D00CC9">
        <w:t>ām</w:t>
      </w:r>
      <w:r w:rsidR="009B4FF4">
        <w:t xml:space="preserve"> </w:t>
      </w:r>
      <w:r w:rsidRPr="006B55FF">
        <w:t xml:space="preserve">par </w:t>
      </w:r>
      <w:r w:rsidR="009B4FF4">
        <w:t>Rīgas</w:t>
      </w:r>
      <w:r w:rsidRPr="006B55FF">
        <w:t xml:space="preserve"> apgabaltiesas 2025. gada </w:t>
      </w:r>
      <w:r w:rsidR="00F327F1" w:rsidRPr="006B55FF">
        <w:t>2</w:t>
      </w:r>
      <w:r w:rsidR="009B4FF4">
        <w:t>8</w:t>
      </w:r>
      <w:r w:rsidRPr="006B55FF">
        <w:t>. </w:t>
      </w:r>
      <w:r w:rsidR="009B4FF4">
        <w:t>oktobra spriedumu,</w:t>
      </w:r>
      <w:r w:rsidRPr="006B55FF">
        <w:t xml:space="preserve"> atzīst, ka ir pamats atteikt ierosināt kasācijas tiesvedību.</w:t>
      </w:r>
    </w:p>
    <w:p w14:paraId="7EA05293" w14:textId="77777777" w:rsidR="004A76E8" w:rsidRPr="006B55FF" w:rsidRDefault="004A76E8" w:rsidP="004A76E8">
      <w:pPr>
        <w:suppressAutoHyphens/>
        <w:autoSpaceDN w:val="0"/>
        <w:spacing w:after="0" w:line="276" w:lineRule="auto"/>
        <w:ind w:firstLine="720"/>
        <w:jc w:val="both"/>
      </w:pPr>
      <w:r w:rsidRPr="006B55FF">
        <w:t>Saskaņā ar Kriminālprocesa likuma 573.</w:t>
      </w:r>
      <w:r w:rsidRPr="006B55FF">
        <w:rPr>
          <w:vertAlign w:val="superscript"/>
        </w:rPr>
        <w:t>1</w:t>
      </w:r>
      <w:r w:rsidRPr="006B55FF">
        <w:t> panta pirmo daļu tiesa atsakās ierosināt kasācijas tiesvedību, ja kasācijas sūdzība vai protests neatbilst šā likuma 569., 571., 572. panta un 573. panta pirmajā daļā minētajām prasībām.</w:t>
      </w:r>
    </w:p>
    <w:p w14:paraId="01F0D994" w14:textId="77777777" w:rsidR="000E0768" w:rsidRDefault="004A76E8" w:rsidP="000E0768">
      <w:pPr>
        <w:widowControl w:val="0"/>
        <w:spacing w:after="0" w:line="276" w:lineRule="auto"/>
        <w:ind w:firstLine="720"/>
        <w:jc w:val="both"/>
      </w:pPr>
      <w:r w:rsidRPr="006B55FF">
        <w:t>Atbilstoši Kriminālprocesa likuma 569. panta pirmajai daļai pārsūdzēšana kasācijas kārtībā ir rakstveida kasācijas protesta vai sūdzības iesniegšana Augstākajā tiesā par tāda apelācijas instances tiesas nolēmuma tiesiskumu, kurš vēl nav stājies spēkā, nolūkā panākt tā atcelšanu pilnībā vai kādā tā daļā vai arī tā grozīšanu juridisku iemeslu dēļ. Šī panta trešā daļa noteic, ka kasācijas instances tiesa pierādījumus lietā no jauna neizvērtē.</w:t>
      </w:r>
      <w:bookmarkStart w:id="1" w:name="_Hlk223965539"/>
    </w:p>
    <w:p w14:paraId="62D45DE1" w14:textId="0F01E6BC" w:rsidR="00C72D4C" w:rsidRDefault="00F8617D" w:rsidP="00C72D4C">
      <w:pPr>
        <w:widowControl w:val="0"/>
        <w:spacing w:after="0" w:line="276" w:lineRule="auto"/>
        <w:ind w:firstLine="720"/>
        <w:jc w:val="both"/>
      </w:pPr>
      <w:bookmarkStart w:id="2" w:name="_Hlk225167402"/>
      <w:bookmarkStart w:id="3" w:name="_Hlk225256942"/>
      <w:bookmarkStart w:id="4" w:name="_Hlk225335762"/>
      <w:r>
        <w:t>Apsūdzēt</w:t>
      </w:r>
      <w:r w:rsidR="005835F0">
        <w:t xml:space="preserve">ais un viņa </w:t>
      </w:r>
      <w:r>
        <w:t>aizstāve kasācijas sūdzībā</w:t>
      </w:r>
      <w:r w:rsidR="005835F0">
        <w:t xml:space="preserve">s </w:t>
      </w:r>
      <w:r w:rsidR="00BE1F3E">
        <w:t xml:space="preserve">lūdz </w:t>
      </w:r>
      <w:r w:rsidR="005835F0">
        <w:t xml:space="preserve">atcelt apelācijas instances tiesas </w:t>
      </w:r>
      <w:r w:rsidR="00EE282A">
        <w:t>spriedumu</w:t>
      </w:r>
      <w:r w:rsidR="005835F0">
        <w:t xml:space="preserve"> pilnībā. Pamatojot savu</w:t>
      </w:r>
      <w:r w:rsidR="002D1A6C">
        <w:t>s</w:t>
      </w:r>
      <w:r w:rsidR="005835F0">
        <w:t xml:space="preserve"> lūgumu</w:t>
      </w:r>
      <w:r w:rsidR="002D1A6C">
        <w:t>s</w:t>
      </w:r>
      <w:r w:rsidR="005835F0">
        <w:t xml:space="preserve">, </w:t>
      </w:r>
      <w:r w:rsidR="00637C4F">
        <w:t xml:space="preserve">[pers. A] </w:t>
      </w:r>
      <w:r w:rsidR="005835F0">
        <w:t>un aizstāve norāda, ka</w:t>
      </w:r>
      <w:r>
        <w:t xml:space="preserve"> </w:t>
      </w:r>
      <w:r w:rsidR="00673BB8">
        <w:t xml:space="preserve">apelācijas instances </w:t>
      </w:r>
      <w:r>
        <w:t xml:space="preserve">tiesa nepamatoti </w:t>
      </w:r>
      <w:r w:rsidR="00056104">
        <w:t xml:space="preserve">konstatējusi </w:t>
      </w:r>
      <w:r>
        <w:t xml:space="preserve">apsūdzētā darbībās Krimināllikuma </w:t>
      </w:r>
      <w:r w:rsidR="0000784F">
        <w:t>20. panta ceturtajā daļā un 77.</w:t>
      </w:r>
      <w:r w:rsidR="0000784F" w:rsidRPr="00515AE0">
        <w:rPr>
          <w:vertAlign w:val="superscript"/>
        </w:rPr>
        <w:t>2</w:t>
      </w:r>
      <w:r w:rsidR="00515AE0">
        <w:t> </w:t>
      </w:r>
      <w:r w:rsidR="0000784F" w:rsidRPr="00515AE0">
        <w:t>pantā</w:t>
      </w:r>
      <w:r w:rsidR="0000784F">
        <w:t xml:space="preserve"> paredzētā noziedzīgā nodarījuma sastāvu</w:t>
      </w:r>
      <w:r w:rsidR="00D74797">
        <w:t>, tādējādi pieļāvusi Kriminālprocesa likuma 574. panta 1. un 2. punktā norādītos Krimināllikuma pārkāpumus.</w:t>
      </w:r>
    </w:p>
    <w:p w14:paraId="5E327E90" w14:textId="11DDB56B" w:rsidR="008101A8" w:rsidRDefault="008724B8" w:rsidP="00C72D4C">
      <w:pPr>
        <w:widowControl w:val="0"/>
        <w:spacing w:after="0" w:line="276" w:lineRule="auto"/>
        <w:ind w:firstLine="720"/>
        <w:jc w:val="both"/>
      </w:pPr>
      <w:r>
        <w:t xml:space="preserve">Apelācijas instances tiesa nepamatoti konstatējusi noziedzīgā nodarījuma objektīvo pusi, </w:t>
      </w:r>
      <w:r w:rsidR="00F705B0">
        <w:t>jo</w:t>
      </w:r>
      <w:r>
        <w:t xml:space="preserve"> publikācijas pārpublicēšana bez komentāra pati par sevi neliecina par atbalsta sniegšanu noziedzīga nodarījuma izdarīšanai, turklāt lietā nav pierādījumu par finansiāla atbalsta sniegšanu, jo nepastāvēja </w:t>
      </w:r>
      <w:r w:rsidR="00F86627">
        <w:t xml:space="preserve">reāla </w:t>
      </w:r>
      <w:r>
        <w:t xml:space="preserve">iespēja veikt </w:t>
      </w:r>
      <w:r w:rsidR="00F705B0">
        <w:t xml:space="preserve">naudas </w:t>
      </w:r>
      <w:r>
        <w:t>pārskaitījumu</w:t>
      </w:r>
      <w:r w:rsidR="00D23800">
        <w:t>s</w:t>
      </w:r>
      <w:r>
        <w:t xml:space="preserve"> uz attiecīgajiem kontiem, kā arī nav konstatē</w:t>
      </w:r>
      <w:r w:rsidR="00E60F94">
        <w:t>ta</w:t>
      </w:r>
      <w:r>
        <w:t>s kaitīgas sekas vai reāls apdraudējums.</w:t>
      </w:r>
    </w:p>
    <w:p w14:paraId="0CC7B61A" w14:textId="32A63335" w:rsidR="0099748C" w:rsidRPr="00460534" w:rsidRDefault="002A65B5" w:rsidP="00347B1E">
      <w:pPr>
        <w:widowControl w:val="0"/>
        <w:spacing w:after="0" w:line="276" w:lineRule="auto"/>
        <w:ind w:firstLine="720"/>
        <w:jc w:val="both"/>
      </w:pPr>
      <w:r>
        <w:t>T</w:t>
      </w:r>
      <w:r w:rsidR="008724B8">
        <w:t>āpat t</w:t>
      </w:r>
      <w:r>
        <w:t xml:space="preserve">iesa </w:t>
      </w:r>
      <w:r w:rsidRPr="00460534">
        <w:t>nepamatoti konstatējusi noziedzīgā nodarījuma</w:t>
      </w:r>
      <w:r w:rsidR="006D1149" w:rsidRPr="00460534">
        <w:t xml:space="preserve"> subjektīv</w:t>
      </w:r>
      <w:r w:rsidRPr="00460534">
        <w:t>o</w:t>
      </w:r>
      <w:r w:rsidR="006D1149" w:rsidRPr="00460534">
        <w:t xml:space="preserve"> pus</w:t>
      </w:r>
      <w:r w:rsidRPr="00460534">
        <w:t>i</w:t>
      </w:r>
      <w:r w:rsidR="00B312D0" w:rsidRPr="00460534">
        <w:t xml:space="preserve">, </w:t>
      </w:r>
      <w:r w:rsidR="00A41FE2" w:rsidRPr="00460534">
        <w:t>proti</w:t>
      </w:r>
      <w:r w:rsidR="00C72D4C" w:rsidRPr="00460534">
        <w:t>,</w:t>
      </w:r>
      <w:r w:rsidR="00B312D0" w:rsidRPr="00460534">
        <w:t xml:space="preserve"> </w:t>
      </w:r>
      <w:r w:rsidR="006D1149" w:rsidRPr="00460534">
        <w:t>tieš</w:t>
      </w:r>
      <w:r w:rsidRPr="00460534">
        <w:t>u</w:t>
      </w:r>
      <w:r w:rsidR="006D1149" w:rsidRPr="00460534">
        <w:t xml:space="preserve"> nodom</w:t>
      </w:r>
      <w:r w:rsidRPr="00460534">
        <w:t>u</w:t>
      </w:r>
      <w:r w:rsidR="008101A8" w:rsidRPr="00460534">
        <w:t>, jo:</w:t>
      </w:r>
      <w:r w:rsidR="008A5E70" w:rsidRPr="00460534">
        <w:t xml:space="preserve"> </w:t>
      </w:r>
      <w:r w:rsidR="008101A8" w:rsidRPr="00460534">
        <w:t>1) apsūdzētais nav rīkojies ar domu</w:t>
      </w:r>
      <w:r w:rsidR="000A4580" w:rsidRPr="00460534">
        <w:t xml:space="preserve"> atbalstīt konkrēta noziedzīga nodarījuma izdarīšanu</w:t>
      </w:r>
      <w:r w:rsidR="008101A8" w:rsidRPr="00460534">
        <w:t>; 2) </w:t>
      </w:r>
      <w:r w:rsidR="00637C4F">
        <w:t>[pers. A]</w:t>
      </w:r>
      <w:r w:rsidR="008101A8" w:rsidRPr="00460534">
        <w:t xml:space="preserve"> nav bijis pazīstams ar noziedzīg</w:t>
      </w:r>
      <w:r w:rsidR="009C1795" w:rsidRPr="00460534">
        <w:t>ā</w:t>
      </w:r>
      <w:r w:rsidR="008101A8" w:rsidRPr="00460534">
        <w:t xml:space="preserve"> nodarījuma izdarītāju</w:t>
      </w:r>
      <w:r w:rsidR="002E31F9" w:rsidRPr="00460534">
        <w:t xml:space="preserve"> un </w:t>
      </w:r>
      <w:r w:rsidR="008101A8" w:rsidRPr="00460534">
        <w:t xml:space="preserve">informēts par </w:t>
      </w:r>
      <w:r w:rsidR="00347B1E">
        <w:t>[pers.</w:t>
      </w:r>
      <w:r w:rsidR="007A502E">
        <w:t> </w:t>
      </w:r>
      <w:r w:rsidR="00347B1E">
        <w:t>B]</w:t>
      </w:r>
      <w:r w:rsidR="008101A8" w:rsidRPr="00460534">
        <w:t xml:space="preserve"> nodomu</w:t>
      </w:r>
      <w:r w:rsidR="00BA3417" w:rsidRPr="00460534">
        <w:t xml:space="preserve">; </w:t>
      </w:r>
      <w:r w:rsidR="00A90C06">
        <w:t>3</w:t>
      </w:r>
      <w:r w:rsidR="00BA3417" w:rsidRPr="00460534">
        <w:t>) </w:t>
      </w:r>
      <w:r w:rsidR="008101A8" w:rsidRPr="00460534">
        <w:t>nav pastāvējusi vienošanās vai iepriekšējs solījums sniegt atbalstu</w:t>
      </w:r>
      <w:r w:rsidR="008A5E70" w:rsidRPr="00460534">
        <w:t xml:space="preserve"> </w:t>
      </w:r>
      <w:r w:rsidR="00347B1E">
        <w:t>[pers. B]</w:t>
      </w:r>
      <w:r w:rsidR="00BA3417" w:rsidRPr="00460534">
        <w:t xml:space="preserve">; </w:t>
      </w:r>
      <w:r w:rsidR="00A90C06">
        <w:t>4</w:t>
      </w:r>
      <w:r w:rsidR="00BA3417" w:rsidRPr="00460534">
        <w:t>) </w:t>
      </w:r>
      <w:r w:rsidR="008101A8" w:rsidRPr="00460534">
        <w:t xml:space="preserve">nav konstatēts kopīgs nodoms ar </w:t>
      </w:r>
      <w:r w:rsidR="008101A8" w:rsidRPr="00460534">
        <w:lastRenderedPageBreak/>
        <w:t>noziedzīg</w:t>
      </w:r>
      <w:r w:rsidR="009C1795" w:rsidRPr="00460534">
        <w:t>ā</w:t>
      </w:r>
      <w:r w:rsidR="008101A8" w:rsidRPr="00460534">
        <w:t xml:space="preserve"> nodarījuma izdarītāju</w:t>
      </w:r>
      <w:r w:rsidR="00BA3417" w:rsidRPr="00460534">
        <w:t xml:space="preserve">. Savukārt </w:t>
      </w:r>
      <w:r w:rsidR="008101A8" w:rsidRPr="00460534">
        <w:t xml:space="preserve">apsūdzētā </w:t>
      </w:r>
      <w:r w:rsidR="00637C4F">
        <w:t>[pers. A]</w:t>
      </w:r>
      <w:r w:rsidR="009C1795" w:rsidRPr="00460534">
        <w:t xml:space="preserve"> </w:t>
      </w:r>
      <w:r w:rsidR="008101A8" w:rsidRPr="00460534">
        <w:t>saistība ar tā dēvēto „Krievu pasaul</w:t>
      </w:r>
      <w:r w:rsidR="001F26A1">
        <w:t>i</w:t>
      </w:r>
      <w:r w:rsidR="008101A8" w:rsidRPr="00460534">
        <w:t>” un viņa paustie uzskati paši par sev</w:t>
      </w:r>
      <w:r w:rsidR="001F26A1">
        <w:t>i</w:t>
      </w:r>
      <w:r w:rsidR="008101A8" w:rsidRPr="00460534">
        <w:t xml:space="preserve"> neliecina par tiešu nodomu.</w:t>
      </w:r>
      <w:bookmarkEnd w:id="2"/>
      <w:bookmarkEnd w:id="3"/>
    </w:p>
    <w:p w14:paraId="0A17C7F7" w14:textId="36ACF9AA" w:rsidR="006B5969" w:rsidRDefault="0039370A" w:rsidP="009229EE">
      <w:pPr>
        <w:widowControl w:val="0"/>
        <w:spacing w:after="0" w:line="276" w:lineRule="auto"/>
        <w:ind w:firstLine="720"/>
        <w:jc w:val="both"/>
      </w:pPr>
      <w:r w:rsidRPr="00460534">
        <w:t xml:space="preserve">Apelācijas instances tiesa </w:t>
      </w:r>
      <w:r w:rsidR="0099748C" w:rsidRPr="00460534">
        <w:t xml:space="preserve">arī </w:t>
      </w:r>
      <w:r w:rsidRPr="00460534">
        <w:t>ir</w:t>
      </w:r>
      <w:r>
        <w:t xml:space="preserve"> pārkāpusi </w:t>
      </w:r>
      <w:r w:rsidR="0099748C">
        <w:t xml:space="preserve">apsūdzētā </w:t>
      </w:r>
      <w:r>
        <w:t>tiesīb</w:t>
      </w:r>
      <w:r w:rsidR="00194650">
        <w:t>as</w:t>
      </w:r>
      <w:r>
        <w:t xml:space="preserve"> uz vārda brīvību, neņemot vērā, ka </w:t>
      </w:r>
      <w:r w:rsidR="00637C4F">
        <w:t>[pers. A]</w:t>
      </w:r>
      <w:r w:rsidR="0099748C">
        <w:t xml:space="preserve"> </w:t>
      </w:r>
      <w:r>
        <w:t>rīcība izpaudusies kā politiska rakstura informācijas izplatīšana.</w:t>
      </w:r>
      <w:bookmarkStart w:id="5" w:name="_Hlk225778761"/>
    </w:p>
    <w:p w14:paraId="58534DBF" w14:textId="17EF24B5" w:rsidR="0099748C" w:rsidRPr="009229EE" w:rsidRDefault="000C361F" w:rsidP="009229EE">
      <w:pPr>
        <w:widowControl w:val="0"/>
        <w:spacing w:after="0" w:line="276" w:lineRule="auto"/>
        <w:ind w:firstLine="720"/>
        <w:jc w:val="both"/>
      </w:pPr>
      <w:r>
        <w:t>T</w:t>
      </w:r>
      <w:r w:rsidR="009229EE" w:rsidRPr="009229EE">
        <w:t>iesa kļūdaini atsaukusies uz Apvienoto Nāciju Organizācijas Ģenerālās asamblejas rezolūcijām un citiem politiska rakstura dokumentiem, jo tie nav uzskatāmi par normatīvajiem aktiem, ar kuriem var pamatot notiesājošu spriedumu</w:t>
      </w:r>
      <w:r w:rsidR="001F26A1">
        <w:t>,</w:t>
      </w:r>
      <w:r w:rsidR="00DB0842">
        <w:t xml:space="preserve"> un līdz ar to</w:t>
      </w:r>
      <w:r w:rsidR="009C47AF">
        <w:t xml:space="preserve"> </w:t>
      </w:r>
      <w:r w:rsidR="00DB0842">
        <w:t xml:space="preserve">spriedumus </w:t>
      </w:r>
      <w:r w:rsidR="009229EE" w:rsidRPr="009229EE">
        <w:t>nav tiesiski pamatots.</w:t>
      </w:r>
    </w:p>
    <w:p w14:paraId="4BF5FE9D" w14:textId="65BE3720" w:rsidR="0099748C" w:rsidRPr="00460534" w:rsidRDefault="009229EE" w:rsidP="009229EE">
      <w:pPr>
        <w:widowControl w:val="0"/>
        <w:spacing w:after="0" w:line="276" w:lineRule="auto"/>
        <w:ind w:firstLine="720"/>
        <w:jc w:val="both"/>
      </w:pPr>
      <w:r w:rsidRPr="009229EE">
        <w:t xml:space="preserve">Tāpat apelācijas instances tiesa pārkāpusi nevainīguma prezumpciju, jo nav nodrošinājusi objektīvu lietas izskatīšanu, ņemot vērā tolaik esošā ģenerālprokurora </w:t>
      </w:r>
      <w:r w:rsidR="00553C0B">
        <w:t xml:space="preserve">Jura </w:t>
      </w:r>
      <w:proofErr w:type="spellStart"/>
      <w:r w:rsidR="00553C0B">
        <w:t>Stukāna</w:t>
      </w:r>
      <w:proofErr w:type="spellEnd"/>
      <w:r w:rsidR="00553C0B">
        <w:t xml:space="preserve"> </w:t>
      </w:r>
      <w:r w:rsidRPr="009229EE">
        <w:t xml:space="preserve">publiskos </w:t>
      </w:r>
      <w:r w:rsidRPr="00460534">
        <w:t>izteikumus, kas ietekmēja lietas izskatīšanu.</w:t>
      </w:r>
    </w:p>
    <w:bookmarkEnd w:id="5"/>
    <w:p w14:paraId="63B37556" w14:textId="4D5F1490" w:rsidR="0099748C" w:rsidRPr="00460534" w:rsidRDefault="0039370A" w:rsidP="004F3784">
      <w:pPr>
        <w:widowControl w:val="0"/>
        <w:spacing w:after="0" w:line="276" w:lineRule="auto"/>
        <w:ind w:firstLine="720"/>
        <w:jc w:val="both"/>
      </w:pPr>
      <w:r w:rsidRPr="00460534">
        <w:t>Turklāt tiesas piespriestais sods ir nesamērīgs.</w:t>
      </w:r>
      <w:bookmarkEnd w:id="4"/>
    </w:p>
    <w:p w14:paraId="5EBEBBC1" w14:textId="696B2587" w:rsidR="006C02D3" w:rsidRPr="00460534" w:rsidRDefault="00E60F94" w:rsidP="006C02D3">
      <w:pPr>
        <w:widowControl w:val="0"/>
        <w:spacing w:after="0" w:line="276" w:lineRule="auto"/>
        <w:ind w:firstLine="720"/>
        <w:jc w:val="both"/>
      </w:pPr>
      <w:r w:rsidRPr="00460534">
        <w:t>Senāts konstatē, ka apelācijas instances tiesa šos argumentus ir izvērtējusi un motivēti noraidījusi</w:t>
      </w:r>
      <w:r w:rsidR="006C02D3" w:rsidRPr="00460534">
        <w:t>, kā arī norāda, ka apelācijas instances tiesas atsaukšanās uz starptautisko organizāciju dokumentiem konkrētajā gadījumā izmantota kā papildu argumentācija faktiskā un tiesiskā konteksta raksturošanai un pati par sevi neietekmē sprieduma tiesiskumu.</w:t>
      </w:r>
    </w:p>
    <w:p w14:paraId="3A3D6A6A" w14:textId="3D69C6DF" w:rsidR="00E810AC" w:rsidRDefault="00E60F94" w:rsidP="00E810AC">
      <w:pPr>
        <w:widowControl w:val="0"/>
        <w:spacing w:after="0" w:line="276" w:lineRule="auto"/>
        <w:ind w:firstLine="720"/>
        <w:jc w:val="both"/>
      </w:pPr>
      <w:r w:rsidRPr="00460534">
        <w:t>T</w:t>
      </w:r>
      <w:r w:rsidR="00C43A64" w:rsidRPr="00460534">
        <w:t xml:space="preserve">iesa apsūdzētā </w:t>
      </w:r>
      <w:r w:rsidR="00347B1E">
        <w:t>[pers. A]</w:t>
      </w:r>
      <w:r w:rsidR="00C43A64" w:rsidRPr="00460534">
        <w:t xml:space="preserve"> </w:t>
      </w:r>
      <w:r w:rsidR="00321649" w:rsidRPr="00460534">
        <w:t xml:space="preserve">darbībās konstatējusi visas </w:t>
      </w:r>
      <w:r w:rsidRPr="00460534">
        <w:t>Krimināllikuma 20. panta ceturtajā daļā un 77.</w:t>
      </w:r>
      <w:r w:rsidRPr="00460534">
        <w:rPr>
          <w:vertAlign w:val="superscript"/>
        </w:rPr>
        <w:t>2</w:t>
      </w:r>
      <w:r w:rsidRPr="00460534">
        <w:t xml:space="preserve"> pantā paredzētā noziedzīgā nodarījuma sastāva </w:t>
      </w:r>
      <w:r w:rsidR="00321649" w:rsidRPr="00460534">
        <w:t>nepieciešamās un obligātās pazīmes un secinājusi</w:t>
      </w:r>
      <w:r w:rsidR="00321649">
        <w:t>, ka apsūdzētā vainīgums minētajā noziedzīgajā nodarījumā</w:t>
      </w:r>
      <w:r w:rsidR="00C43A64">
        <w:t xml:space="preserve"> pierādīts ārpus saprātīgām šaubām ar lietā esošajiem pierādījumiem.</w:t>
      </w:r>
    </w:p>
    <w:p w14:paraId="531B85FA" w14:textId="4A390F74" w:rsidR="005514A6" w:rsidRPr="00460534" w:rsidRDefault="00F7709E" w:rsidP="005514A6">
      <w:pPr>
        <w:widowControl w:val="0"/>
        <w:spacing w:after="0" w:line="276" w:lineRule="auto"/>
        <w:ind w:firstLine="720"/>
        <w:jc w:val="both"/>
      </w:pPr>
      <w:r w:rsidRPr="003772D9">
        <w:t xml:space="preserve">Apelācijas instances tiesa ir izvērtējusi apsūdzētā </w:t>
      </w:r>
      <w:r w:rsidR="00347B1E">
        <w:t>[pers. A]</w:t>
      </w:r>
      <w:r w:rsidR="007A502E">
        <w:t xml:space="preserve"> </w:t>
      </w:r>
      <w:r>
        <w:t>liecīb</w:t>
      </w:r>
      <w:r w:rsidR="006044B9">
        <w:t>a</w:t>
      </w:r>
      <w:r>
        <w:t>s</w:t>
      </w:r>
      <w:r w:rsidRPr="003772D9">
        <w:t xml:space="preserve">, </w:t>
      </w:r>
      <w:r>
        <w:t xml:space="preserve">Valsts drošības dienesta sniegto apsūdzētā raksturojošo informāciju, Valsts drošības dienesta 2022. gada 6. maija ziņojumā </w:t>
      </w:r>
      <w:r w:rsidR="0056779C">
        <w:t xml:space="preserve">un tā pielikumos </w:t>
      </w:r>
      <w:r>
        <w:t>norādīto</w:t>
      </w:r>
      <w:r w:rsidRPr="003772D9">
        <w:t xml:space="preserve">, </w:t>
      </w:r>
      <w:r w:rsidR="0043636A">
        <w:t xml:space="preserve">apsūdzētā datora sistēmbloka apskates protokolā </w:t>
      </w:r>
      <w:r w:rsidR="00205D71">
        <w:t xml:space="preserve">un pielikumos </w:t>
      </w:r>
      <w:r w:rsidR="0043636A">
        <w:t xml:space="preserve">fiksēto, </w:t>
      </w:r>
      <w:r w:rsidRPr="003772D9">
        <w:t>citos lietā esošajos pierādījumos fiksētās ziņas par faktiem</w:t>
      </w:r>
      <w:r w:rsidR="00E34B17">
        <w:t xml:space="preserve">, kā arī </w:t>
      </w:r>
      <w:r w:rsidR="00D97144">
        <w:t xml:space="preserve">ņēmusi vērā </w:t>
      </w:r>
      <w:r w:rsidR="00E34B17">
        <w:t xml:space="preserve">vispārzināmu </w:t>
      </w:r>
      <w:r w:rsidR="00A436EE">
        <w:t xml:space="preserve">faktu par Krievijas Federācijas bruņoto spēku agresiju pret Ukrainu </w:t>
      </w:r>
      <w:r w:rsidR="00E34B17">
        <w:t>un</w:t>
      </w:r>
      <w:r w:rsidR="00A436EE">
        <w:t xml:space="preserve"> apsūdzētā darbības šī konflikta kontekstā.</w:t>
      </w:r>
      <w:r w:rsidR="00E810AC">
        <w:t xml:space="preserve"> </w:t>
      </w:r>
      <w:r w:rsidR="00F73469">
        <w:t xml:space="preserve">Tiesa atzinusi, ka iepriekš minētie pierādījumi apstiprina, </w:t>
      </w:r>
      <w:r w:rsidR="00F73469" w:rsidRPr="00460534">
        <w:t xml:space="preserve">ka </w:t>
      </w:r>
      <w:r w:rsidR="00347B1E">
        <w:t>[pers. A]</w:t>
      </w:r>
      <w:r w:rsidR="00D91D90">
        <w:t xml:space="preserve"> </w:t>
      </w:r>
      <w:r w:rsidR="00001B83" w:rsidRPr="00460534">
        <w:t xml:space="preserve">2022. gada 6. maijā ziņojumapmaiņas lietotnē </w:t>
      </w:r>
      <w:r w:rsidR="00E810AC" w:rsidRPr="00460534">
        <w:t>„</w:t>
      </w:r>
      <w:r w:rsidR="00001B83" w:rsidRPr="00460534">
        <w:t>Telegram</w:t>
      </w:r>
      <w:r w:rsidR="00E810AC" w:rsidRPr="00460534">
        <w:t>”</w:t>
      </w:r>
      <w:r w:rsidR="00001B83" w:rsidRPr="00460534">
        <w:rPr>
          <w:i/>
          <w:iCs/>
        </w:rPr>
        <w:t xml:space="preserve"> </w:t>
      </w:r>
      <w:r w:rsidR="00001B83" w:rsidRPr="00460534">
        <w:t>savā kanālā pārpublicēja ziņu, kas</w:t>
      </w:r>
      <w:r w:rsidR="00E810AC" w:rsidRPr="00460534">
        <w:t xml:space="preserve"> ietver</w:t>
      </w:r>
      <w:r w:rsidR="00001B83" w:rsidRPr="00460534">
        <w:t xml:space="preserve"> aicinājum</w:t>
      </w:r>
      <w:r w:rsidR="00E810AC" w:rsidRPr="00460534">
        <w:t xml:space="preserve">u vākt finansējumu un mantu </w:t>
      </w:r>
      <w:r w:rsidR="00001B83" w:rsidRPr="00460534">
        <w:t>Krievijas Federācijas bruņoto spēku</w:t>
      </w:r>
      <w:r w:rsidR="00E810AC" w:rsidRPr="00460534">
        <w:t xml:space="preserve"> vajadzībām</w:t>
      </w:r>
      <w:r w:rsidR="00001B83" w:rsidRPr="00460534">
        <w:t>, k</w:t>
      </w:r>
      <w:r w:rsidR="00D97144" w:rsidRPr="00460534">
        <w:t>as</w:t>
      </w:r>
      <w:r w:rsidR="00001B83" w:rsidRPr="00460534">
        <w:t xml:space="preserve"> </w:t>
      </w:r>
      <w:r w:rsidR="00E810AC" w:rsidRPr="00460534">
        <w:t>īsteno bruņotu agresiju</w:t>
      </w:r>
      <w:r w:rsidR="00001B83" w:rsidRPr="00460534">
        <w:t xml:space="preserve"> Ukrainā</w:t>
      </w:r>
      <w:r w:rsidR="00E810AC" w:rsidRPr="00460534">
        <w:t>.</w:t>
      </w:r>
    </w:p>
    <w:p w14:paraId="5D1C34FF" w14:textId="1791E56F" w:rsidR="00502ADF" w:rsidRDefault="009D742C" w:rsidP="005514A6">
      <w:pPr>
        <w:widowControl w:val="0"/>
        <w:spacing w:after="0" w:line="276" w:lineRule="auto"/>
        <w:ind w:firstLine="720"/>
        <w:jc w:val="both"/>
      </w:pPr>
      <w:r w:rsidRPr="00460534">
        <w:t>Izvērtējot noziedzīgā nodarījuma objektīvo pusi</w:t>
      </w:r>
      <w:r>
        <w:t>, apelācijas instances tiesa motivēti atzinusi, ka</w:t>
      </w:r>
      <w:r w:rsidR="005514A6">
        <w:t xml:space="preserve"> </w:t>
      </w:r>
      <w:r w:rsidR="00502ADF">
        <w:t>šāds aicinājums ir vērsts uz Krievijas Federācijas bruņoto spēku kaujas spēju palielināšanu un rada apdraudējumu starptautiskajam mieram un drošībai, kā arī Latvijas Republikas un tās iedzīvotāju interesēm, tādējādi atbilst Krimināllikuma 77.</w:t>
      </w:r>
      <w:r w:rsidR="00502ADF" w:rsidRPr="00DF5DA8">
        <w:rPr>
          <w:vertAlign w:val="superscript"/>
        </w:rPr>
        <w:t>2</w:t>
      </w:r>
      <w:r w:rsidR="00DF5DA8">
        <w:t> </w:t>
      </w:r>
      <w:r w:rsidR="00502ADF">
        <w:t>pantā paredzētā noziedzīgā nodarījuma pazīmēm.</w:t>
      </w:r>
    </w:p>
    <w:p w14:paraId="1B9B32AB" w14:textId="5F2F39C5" w:rsidR="003034B4" w:rsidRDefault="00502ADF" w:rsidP="003034B4">
      <w:pPr>
        <w:spacing w:after="0" w:line="276" w:lineRule="auto"/>
        <w:ind w:firstLine="720"/>
        <w:jc w:val="both"/>
      </w:pPr>
      <w:r>
        <w:t>Vienlaikus tiesa pamatoti norādījusi, ka noziedzīgā nodarījuma kvalifikācija</w:t>
      </w:r>
      <w:r w:rsidR="00743F6D">
        <w:t>i</w:t>
      </w:r>
      <w:r>
        <w:t xml:space="preserve"> nav izšķirošas nozīmes tam, vai konkrētā persona, kuras atbalstam darbības vērstas, ir saukta pie kriminālatbildības.</w:t>
      </w:r>
      <w:r w:rsidR="00D5202C">
        <w:t xml:space="preserve"> </w:t>
      </w:r>
      <w:r w:rsidR="009E12C5">
        <w:t>T</w:t>
      </w:r>
      <w:r>
        <w:t>iesa konstatējusi, ka apsūdzētais, pārpublicējot minēto ziņu, ir nodrošinājis tās izplatīšanu plašākai auditorijai, tādējādi veicin</w:t>
      </w:r>
      <w:r w:rsidR="00E667BA">
        <w:t>ājis</w:t>
      </w:r>
      <w:r>
        <w:t xml:space="preserve"> aicinājumā ietvertā mērķa – finanšu līdzekļu un mantas piesaistes – </w:t>
      </w:r>
      <w:r w:rsidR="00D5202C">
        <w:t>sasniegšanu</w:t>
      </w:r>
      <w:r>
        <w:t>.</w:t>
      </w:r>
    </w:p>
    <w:p w14:paraId="6B099685" w14:textId="37357ED3" w:rsidR="0007579F" w:rsidRDefault="003034B4" w:rsidP="0007579F">
      <w:pPr>
        <w:spacing w:after="0" w:line="276" w:lineRule="auto"/>
        <w:ind w:firstLine="720"/>
        <w:jc w:val="both"/>
      </w:pPr>
      <w:r>
        <w:t>Tāpat tiesa</w:t>
      </w:r>
      <w:r w:rsidR="00743F6D">
        <w:t xml:space="preserve"> </w:t>
      </w:r>
      <w:r>
        <w:t xml:space="preserve">pamatoti atzinusi, ka </w:t>
      </w:r>
      <w:r w:rsidR="00347B1E">
        <w:t>[pers. A]</w:t>
      </w:r>
      <w:r>
        <w:t xml:space="preserve"> rīkojies ar tiešu nodomu</w:t>
      </w:r>
      <w:r w:rsidR="00743F6D">
        <w:t xml:space="preserve">, jo </w:t>
      </w:r>
      <w:r>
        <w:t>ņēmusi vērā gan ziņas saturu, gan tās publicēšanas laiku un kontekstu</w:t>
      </w:r>
      <w:r w:rsidR="00E667BA">
        <w:t xml:space="preserve">. Līdz ar to </w:t>
      </w:r>
      <w:r>
        <w:t xml:space="preserve">secinājusi, ka apsūdzētais bija informēts par ģeopolitisko situāciju un apzinājās savas darbības </w:t>
      </w:r>
      <w:r w:rsidR="00460534">
        <w:t>kaitīgumu</w:t>
      </w:r>
      <w:r>
        <w:t xml:space="preserve"> un iespējamās sekas.</w:t>
      </w:r>
    </w:p>
    <w:p w14:paraId="50D63269" w14:textId="6B400EE9" w:rsidR="003034B4" w:rsidRDefault="005514A6" w:rsidP="0007579F">
      <w:pPr>
        <w:spacing w:after="0" w:line="276" w:lineRule="auto"/>
        <w:ind w:firstLine="720"/>
        <w:jc w:val="both"/>
      </w:pPr>
      <w:r>
        <w:lastRenderedPageBreak/>
        <w:t xml:space="preserve">Pretēji </w:t>
      </w:r>
      <w:r w:rsidRPr="00460534">
        <w:t>kasācijas sūdzībās norādītajam tas vien, ka apsūdzētais nav bijis personīgi pazīstams ar noziedzīg</w:t>
      </w:r>
      <w:r w:rsidR="009C1795" w:rsidRPr="00460534">
        <w:t>ā</w:t>
      </w:r>
      <w:r w:rsidRPr="00460534">
        <w:t xml:space="preserve"> nodarījuma izdarītāju, pats par sevi neizslēdz noziedzīg</w:t>
      </w:r>
      <w:r w:rsidR="001F26A1">
        <w:t>a</w:t>
      </w:r>
      <w:r w:rsidRPr="00460534">
        <w:t xml:space="preserve"> nodarījuma atbalstīšanu, jo </w:t>
      </w:r>
      <w:r w:rsidR="006C02D3" w:rsidRPr="00460534">
        <w:t>tā</w:t>
      </w:r>
      <w:r w:rsidRPr="00460534">
        <w:t xml:space="preserve"> var izpausties arī bez iepriekšējas vienošanās, veicot darbības, kas sekmē noziedzīga nodarījuma izdarīšanu</w:t>
      </w:r>
      <w:r w:rsidR="003034B4" w:rsidRPr="00460534">
        <w:t xml:space="preserve">, un konkrētajā gadījumā </w:t>
      </w:r>
      <w:r w:rsidR="00347B1E">
        <w:t>[pers. A]</w:t>
      </w:r>
      <w:r w:rsidR="003034B4" w:rsidRPr="00460534">
        <w:t>, izmantojot digitālo</w:t>
      </w:r>
      <w:r w:rsidR="003034B4">
        <w:t xml:space="preserve"> platformu ar plašu auditoriju, ir </w:t>
      </w:r>
      <w:r w:rsidR="00B37E98">
        <w:t>veicinājis sākotnēji publicētās informācijas izplatību un līdz ar to arī iespēju piesaistīt finansējumu Krievijas Federācijas bruņotajiem spēkiem.</w:t>
      </w:r>
      <w:r w:rsidR="0007579F">
        <w:t xml:space="preserve"> </w:t>
      </w:r>
      <w:r w:rsidR="003034B4">
        <w:t>Ņemot vērā minēto, apelācijas instances tiesa pamatoti secinājusi, ka apsūdzētais ar savām darbībām ir sniedzis atbalstu citas personas izdarītam noziedzīgam nodarījumam.</w:t>
      </w:r>
    </w:p>
    <w:p w14:paraId="388C551B" w14:textId="114C9533" w:rsidR="00DC3726" w:rsidRDefault="00502ADF" w:rsidP="00502ADF">
      <w:pPr>
        <w:spacing w:after="0" w:line="276" w:lineRule="auto"/>
        <w:ind w:firstLine="720"/>
        <w:jc w:val="both"/>
      </w:pPr>
      <w:r>
        <w:t>Tiesa nav atzinusi par ticamām apsūdzētā liecības par to, ka viņš nav iepazinies ar pārpublicētās ziņas saturu, jo t</w:t>
      </w:r>
      <w:r w:rsidR="00460534">
        <w:t>ā</w:t>
      </w:r>
      <w:r>
        <w:t xml:space="preserve">s ir pretrunā ar lietā esošajiem pierādījumiem, tostarp Valsts drošības dienesta sniegto </w:t>
      </w:r>
      <w:r w:rsidR="00D5202C">
        <w:t xml:space="preserve">apsūdzētā </w:t>
      </w:r>
      <w:r w:rsidR="003C014B">
        <w:t xml:space="preserve">personību </w:t>
      </w:r>
      <w:r w:rsidR="00D5202C">
        <w:t xml:space="preserve">raksturojošo </w:t>
      </w:r>
      <w:r>
        <w:t xml:space="preserve">informāciju, kas apliecina viņa informētību par Krievijas Federācijas bruņoto spēku iebrukumu Ukrainā. </w:t>
      </w:r>
      <w:r w:rsidR="00DC3726">
        <w:t>Tādējādi t</w:t>
      </w:r>
      <w:r w:rsidR="00DC3726" w:rsidRPr="003C2ED8">
        <w:t>iesa atzinusi, ka noziedzīgā nodarījuma subjektīvā puse apsūdzētā darbībās ir pierādīta.</w:t>
      </w:r>
      <w:r w:rsidR="00DC3726">
        <w:t xml:space="preserve"> Līdz ar to nav konstatējams arī nevainīguma prezumpcijas pārkāpums, jo apsūdzētā vainīgums pamatots ar lietā pārbaudīt</w:t>
      </w:r>
      <w:r w:rsidR="00547B94">
        <w:t>aj</w:t>
      </w:r>
      <w:r w:rsidR="00DC3726">
        <w:t>iem un izvērtēt</w:t>
      </w:r>
      <w:r w:rsidR="00547B94">
        <w:t>aj</w:t>
      </w:r>
      <w:r w:rsidR="00DC3726">
        <w:t>iem pierādījumiem.</w:t>
      </w:r>
    </w:p>
    <w:p w14:paraId="2DC1ACCC" w14:textId="08E9E27B" w:rsidR="0090067D" w:rsidRDefault="0090067D" w:rsidP="00502ADF">
      <w:pPr>
        <w:spacing w:after="0" w:line="276" w:lineRule="auto"/>
        <w:ind w:firstLine="720"/>
        <w:jc w:val="both"/>
      </w:pPr>
      <w:r>
        <w:t>Pretēji kasācijas sūdzībās norādītajam apelācijas instances tiesa ir izvērtējusi</w:t>
      </w:r>
      <w:r w:rsidR="000637A8">
        <w:t xml:space="preserve"> </w:t>
      </w:r>
      <w:r w:rsidR="00502ADF">
        <w:t>argumentu par vārda brīvības ierobežojumu</w:t>
      </w:r>
      <w:r w:rsidR="00D5202C">
        <w:t xml:space="preserve"> un</w:t>
      </w:r>
      <w:r w:rsidR="00502ADF">
        <w:t xml:space="preserve"> atzinusi, ka konkrētajā gadījumā </w:t>
      </w:r>
      <w:r w:rsidR="00347B1E">
        <w:t>[pers. A]</w:t>
      </w:r>
      <w:r w:rsidR="00502ADF">
        <w:t xml:space="preserve"> darbības nav uzskatāmas par </w:t>
      </w:r>
      <w:r w:rsidR="00E667BA">
        <w:t xml:space="preserve">Latvijas Republikas </w:t>
      </w:r>
      <w:r w:rsidR="00502ADF">
        <w:t>Satversmes 100.</w:t>
      </w:r>
      <w:r w:rsidR="00D5202C">
        <w:t> </w:t>
      </w:r>
      <w:r w:rsidR="00502ADF">
        <w:t>pantā aizsargājamu viedokļa paušanu, bet gan par prettiesisku rīcību, kas vērsta uz finanšu līdzekļu un mantas vākšanu bruņotā konfliktā iesaistītai pusei, kuras darbības ir vērstas pret citas valsts teritoriālo integritāti un politisko neatkarību.</w:t>
      </w:r>
    </w:p>
    <w:p w14:paraId="621D6B3C" w14:textId="24AAEE69" w:rsidR="00155FC8" w:rsidRDefault="00502ADF" w:rsidP="00AC2214">
      <w:pPr>
        <w:spacing w:after="0" w:line="276" w:lineRule="auto"/>
        <w:ind w:firstLine="720"/>
        <w:jc w:val="both"/>
      </w:pPr>
      <w:r>
        <w:t>Nosakot apsūdzētajam sodu, apelācijas instances tiesa ir ievērojusi Krimināllikuma 35. un 46.</w:t>
      </w:r>
      <w:r w:rsidR="00AC2214">
        <w:t> </w:t>
      </w:r>
      <w:r>
        <w:t>pantā noteikto soda mērķ</w:t>
      </w:r>
      <w:r w:rsidR="000250CE">
        <w:t>i</w:t>
      </w:r>
      <w:r>
        <w:t xml:space="preserve"> un </w:t>
      </w:r>
      <w:r w:rsidR="000250CE">
        <w:t xml:space="preserve">soda noteikšanas </w:t>
      </w:r>
      <w:r>
        <w:t>vispārīgo</w:t>
      </w:r>
      <w:r w:rsidR="000250CE">
        <w:t>s</w:t>
      </w:r>
      <w:r>
        <w:t xml:space="preserve"> principus, izvērtējusi izdarītā noziedzīgā nodarījuma raksturu un </w:t>
      </w:r>
      <w:r w:rsidR="00460534">
        <w:t>radīto kaitējumu</w:t>
      </w:r>
      <w:r>
        <w:t>, kā arī apsūdzētā personību.</w:t>
      </w:r>
      <w:r w:rsidR="00AC2214">
        <w:t xml:space="preserve"> </w:t>
      </w:r>
      <w:r>
        <w:t xml:space="preserve">Tiesa ņēmusi </w:t>
      </w:r>
      <w:r w:rsidRPr="00460534">
        <w:t xml:space="preserve">vērā, ka apsūdzētais ir izdarījis sevišķi smaga nozieguma atbalstīšanu, kas apdraud starptautisko mieru un drošību, un pamatoti atzinusi, ka brīvības atņemšanas sods </w:t>
      </w:r>
      <w:r w:rsidR="009C1795" w:rsidRPr="00460534">
        <w:t xml:space="preserve">nodrošinās </w:t>
      </w:r>
      <w:r w:rsidRPr="00460534">
        <w:t>soda mērķ</w:t>
      </w:r>
      <w:r w:rsidR="000250CE">
        <w:t>a</w:t>
      </w:r>
      <w:r w:rsidRPr="00460534">
        <w:t xml:space="preserve"> sasniegšanu, tostarp atturēt apsūdzēto un citas personas no līdzīgu noziedzīgu nodarījumu izdarīšanas. Tādējādi apelācijas instances tiesa pamatoti atzinusi, ka apsūdzētajam noteiktais soda veids un mērs atbilst soda individualizācijas principam un</w:t>
      </w:r>
      <w:r>
        <w:t xml:space="preserve"> ir taisnīgs.</w:t>
      </w:r>
    </w:p>
    <w:p w14:paraId="4D106B72" w14:textId="68006865" w:rsidR="00855A6E" w:rsidRDefault="00855A6E" w:rsidP="00AC2214">
      <w:pPr>
        <w:spacing w:after="0" w:line="276" w:lineRule="auto"/>
        <w:ind w:firstLine="720"/>
        <w:jc w:val="both"/>
      </w:pPr>
      <w:r w:rsidRPr="00BC13E3">
        <w:t>Senāts jau iepriekš ir norādījis, ka jautājums par to, vai lietā esošie pierādījumi ir vai nav</w:t>
      </w:r>
      <w:r>
        <w:t xml:space="preserve"> </w:t>
      </w:r>
      <w:r w:rsidRPr="00BC13E3">
        <w:t>pietiekami apsūdzētā vainīguma konstatēšanai, ir būtības jautājums, kas kasācijas kārtībā nav</w:t>
      </w:r>
      <w:r>
        <w:t xml:space="preserve"> </w:t>
      </w:r>
      <w:r w:rsidRPr="00BC13E3">
        <w:t>pārbaudāms. Pierādījumu pietiekamības kritērijs ir saprātīgu šaubu esamība vai neesamība par</w:t>
      </w:r>
      <w:r>
        <w:t xml:space="preserve"> </w:t>
      </w:r>
      <w:r w:rsidRPr="00BC13E3">
        <w:t>apsūdzētā vainīgumu, kura izvērtēšana ir tās tiesas kompetencē, kas izskata lietu pēc būtības</w:t>
      </w:r>
      <w:r>
        <w:t xml:space="preserve"> </w:t>
      </w:r>
      <w:r w:rsidRPr="00BC13E3">
        <w:t>(</w:t>
      </w:r>
      <w:r w:rsidRPr="00BC13E3">
        <w:rPr>
          <w:i/>
          <w:iCs/>
        </w:rPr>
        <w:t>Senāta 2013.</w:t>
      </w:r>
      <w:r>
        <w:rPr>
          <w:i/>
          <w:iCs/>
        </w:rPr>
        <w:t> </w:t>
      </w:r>
      <w:r w:rsidRPr="00BC13E3">
        <w:rPr>
          <w:i/>
          <w:iCs/>
        </w:rPr>
        <w:t>gada 3.</w:t>
      </w:r>
      <w:r>
        <w:rPr>
          <w:i/>
          <w:iCs/>
        </w:rPr>
        <w:t> </w:t>
      </w:r>
      <w:r w:rsidRPr="00BC13E3">
        <w:rPr>
          <w:i/>
          <w:iCs/>
        </w:rPr>
        <w:t>jūlija lēmums lietā Nr.</w:t>
      </w:r>
      <w:r>
        <w:rPr>
          <w:i/>
          <w:iCs/>
        </w:rPr>
        <w:t> </w:t>
      </w:r>
      <w:hyperlink r:id="rId8" w:history="1">
        <w:r w:rsidRPr="00474E39">
          <w:rPr>
            <w:rStyle w:val="Hyperlink"/>
            <w:i/>
            <w:iCs/>
          </w:rPr>
          <w:t>SKK</w:t>
        </w:r>
        <w:r w:rsidRPr="00474E39">
          <w:rPr>
            <w:rStyle w:val="Hyperlink"/>
            <w:i/>
            <w:iCs/>
          </w:rPr>
          <w:noBreakHyphen/>
          <w:t>333/2013</w:t>
        </w:r>
      </w:hyperlink>
      <w:r w:rsidRPr="00BC13E3">
        <w:rPr>
          <w:i/>
          <w:iCs/>
        </w:rPr>
        <w:t>, 15890002407, 2019.</w:t>
      </w:r>
      <w:r>
        <w:rPr>
          <w:i/>
          <w:iCs/>
        </w:rPr>
        <w:t> </w:t>
      </w:r>
      <w:r w:rsidRPr="00BC13E3">
        <w:rPr>
          <w:i/>
          <w:iCs/>
        </w:rPr>
        <w:t>gada</w:t>
      </w:r>
      <w:r>
        <w:rPr>
          <w:i/>
          <w:iCs/>
        </w:rPr>
        <w:t xml:space="preserve"> </w:t>
      </w:r>
      <w:r w:rsidRPr="00BC13E3">
        <w:rPr>
          <w:i/>
          <w:iCs/>
        </w:rPr>
        <w:t>27.</w:t>
      </w:r>
      <w:r>
        <w:rPr>
          <w:i/>
          <w:iCs/>
        </w:rPr>
        <w:t> </w:t>
      </w:r>
      <w:r w:rsidRPr="00BC13E3">
        <w:rPr>
          <w:i/>
          <w:iCs/>
        </w:rPr>
        <w:t>decembra lēmuma lietā Nr.</w:t>
      </w:r>
      <w:r>
        <w:rPr>
          <w:i/>
          <w:iCs/>
        </w:rPr>
        <w:t> </w:t>
      </w:r>
      <w:r w:rsidRPr="00BC13E3">
        <w:rPr>
          <w:i/>
          <w:iCs/>
        </w:rPr>
        <w:t>SKK</w:t>
      </w:r>
      <w:r>
        <w:rPr>
          <w:i/>
          <w:iCs/>
        </w:rPr>
        <w:noBreakHyphen/>
      </w:r>
      <w:r w:rsidRPr="00BC13E3">
        <w:rPr>
          <w:i/>
          <w:iCs/>
        </w:rPr>
        <w:t xml:space="preserve">433/2019, </w:t>
      </w:r>
      <w:hyperlink r:id="rId9" w:history="1">
        <w:r w:rsidRPr="00855A6E">
          <w:rPr>
            <w:rStyle w:val="Hyperlink"/>
            <w:rFonts w:asciiTheme="majorBidi" w:hAnsiTheme="majorBidi"/>
            <w:i/>
            <w:iCs/>
          </w:rPr>
          <w:t>ECLI:LV:AT:2019:1227.11089238414.8.L</w:t>
        </w:r>
      </w:hyperlink>
      <w:r w:rsidRPr="00BC13E3">
        <w:rPr>
          <w:i/>
          <w:iCs/>
        </w:rPr>
        <w:t>,</w:t>
      </w:r>
      <w:r>
        <w:rPr>
          <w:i/>
          <w:iCs/>
        </w:rPr>
        <w:t xml:space="preserve"> </w:t>
      </w:r>
      <w:r w:rsidRPr="00BC13E3">
        <w:rPr>
          <w:i/>
          <w:iCs/>
        </w:rPr>
        <w:t>9.</w:t>
      </w:r>
      <w:r>
        <w:rPr>
          <w:i/>
          <w:iCs/>
        </w:rPr>
        <w:t> </w:t>
      </w:r>
      <w:r w:rsidRPr="00BC13E3">
        <w:rPr>
          <w:i/>
          <w:iCs/>
        </w:rPr>
        <w:t>punkts, 2024.</w:t>
      </w:r>
      <w:r>
        <w:rPr>
          <w:i/>
          <w:iCs/>
        </w:rPr>
        <w:t> </w:t>
      </w:r>
      <w:r w:rsidRPr="00BC13E3">
        <w:rPr>
          <w:i/>
          <w:iCs/>
        </w:rPr>
        <w:t>gada 7.</w:t>
      </w:r>
      <w:r>
        <w:rPr>
          <w:i/>
          <w:iCs/>
        </w:rPr>
        <w:t> </w:t>
      </w:r>
      <w:r w:rsidRPr="00BC13E3">
        <w:rPr>
          <w:i/>
          <w:iCs/>
        </w:rPr>
        <w:t>jūnija lēmuma lietā Nr.</w:t>
      </w:r>
      <w:r>
        <w:rPr>
          <w:i/>
          <w:iCs/>
        </w:rPr>
        <w:t> </w:t>
      </w:r>
      <w:r w:rsidRPr="00BC13E3">
        <w:rPr>
          <w:i/>
          <w:iCs/>
        </w:rPr>
        <w:t>SKK</w:t>
      </w:r>
      <w:r>
        <w:rPr>
          <w:i/>
          <w:iCs/>
        </w:rPr>
        <w:noBreakHyphen/>
      </w:r>
      <w:r w:rsidRPr="00BC13E3">
        <w:rPr>
          <w:i/>
          <w:iCs/>
        </w:rPr>
        <w:t>56/2024,</w:t>
      </w:r>
      <w:r>
        <w:rPr>
          <w:i/>
          <w:iCs/>
        </w:rPr>
        <w:t xml:space="preserve"> </w:t>
      </w:r>
      <w:hyperlink r:id="rId10" w:history="1">
        <w:r w:rsidRPr="00C015CE">
          <w:rPr>
            <w:rStyle w:val="Hyperlink"/>
            <w:i/>
            <w:iCs/>
          </w:rPr>
          <w:t>ECLI:LV:AT:2024:060711518003918.4.L</w:t>
        </w:r>
      </w:hyperlink>
      <w:r w:rsidRPr="00BC13E3">
        <w:rPr>
          <w:i/>
          <w:iCs/>
        </w:rPr>
        <w:t>, 8.</w:t>
      </w:r>
      <w:r>
        <w:rPr>
          <w:i/>
          <w:iCs/>
        </w:rPr>
        <w:t> </w:t>
      </w:r>
      <w:r w:rsidRPr="00BC13E3">
        <w:rPr>
          <w:i/>
          <w:iCs/>
        </w:rPr>
        <w:t>punkts</w:t>
      </w:r>
      <w:r w:rsidRPr="00BC13E3">
        <w:t>).</w:t>
      </w:r>
    </w:p>
    <w:p w14:paraId="31D5F7CE" w14:textId="5E385F13" w:rsidR="00E77948" w:rsidRDefault="00E77948" w:rsidP="00155FC8">
      <w:pPr>
        <w:spacing w:after="0" w:line="276" w:lineRule="auto"/>
        <w:ind w:firstLine="720"/>
        <w:jc w:val="both"/>
        <w:rPr>
          <w:rFonts w:asciiTheme="majorBidi" w:hAnsiTheme="majorBidi" w:cstheme="majorBidi"/>
        </w:rPr>
      </w:pPr>
      <w:r w:rsidRPr="006B55FF">
        <w:rPr>
          <w:rFonts w:asciiTheme="majorBidi" w:hAnsiTheme="majorBidi" w:cstheme="majorBidi"/>
        </w:rPr>
        <w:t xml:space="preserve">Ievērojot minēto, Senāts atzīst, ka apsūdzētā </w:t>
      </w:r>
      <w:r w:rsidR="00347B1E">
        <w:t>[pers. A]</w:t>
      </w:r>
      <w:r w:rsidR="00155FC8">
        <w:t xml:space="preserve"> un viņa aizstāves</w:t>
      </w:r>
      <w:r w:rsidR="002D0FBD" w:rsidRPr="006B55FF">
        <w:rPr>
          <w:rFonts w:asciiTheme="majorBidi" w:hAnsiTheme="majorBidi" w:cstheme="majorBidi"/>
        </w:rPr>
        <w:t xml:space="preserve"> </w:t>
      </w:r>
      <w:r w:rsidRPr="006B55FF">
        <w:rPr>
          <w:rFonts w:asciiTheme="majorBidi" w:hAnsiTheme="majorBidi" w:cstheme="majorBidi"/>
        </w:rPr>
        <w:t>kasācijas sūdzīb</w:t>
      </w:r>
      <w:r w:rsidR="00077274">
        <w:rPr>
          <w:rFonts w:asciiTheme="majorBidi" w:hAnsiTheme="majorBidi" w:cstheme="majorBidi"/>
        </w:rPr>
        <w:t>ā</w:t>
      </w:r>
      <w:r w:rsidR="00155FC8">
        <w:rPr>
          <w:rFonts w:asciiTheme="majorBidi" w:hAnsiTheme="majorBidi" w:cstheme="majorBidi"/>
        </w:rPr>
        <w:t>s</w:t>
      </w:r>
      <w:r w:rsidR="00077274">
        <w:rPr>
          <w:rFonts w:asciiTheme="majorBidi" w:hAnsiTheme="majorBidi" w:cstheme="majorBidi"/>
        </w:rPr>
        <w:t xml:space="preserve"> norādītie</w:t>
      </w:r>
      <w:r w:rsidRPr="006B55FF">
        <w:rPr>
          <w:rFonts w:asciiTheme="majorBidi" w:hAnsiTheme="majorBidi" w:cstheme="majorBidi"/>
        </w:rPr>
        <w:t xml:space="preserve"> argument</w:t>
      </w:r>
      <w:r w:rsidR="00494F2C">
        <w:rPr>
          <w:rFonts w:asciiTheme="majorBidi" w:hAnsiTheme="majorBidi" w:cstheme="majorBidi"/>
        </w:rPr>
        <w:t>i</w:t>
      </w:r>
      <w:r w:rsidRPr="006B55FF">
        <w:rPr>
          <w:rFonts w:asciiTheme="majorBidi" w:hAnsiTheme="majorBidi" w:cstheme="majorBidi"/>
        </w:rPr>
        <w:t xml:space="preserve"> pēc būtības </w:t>
      </w:r>
      <w:r w:rsidR="00077274">
        <w:rPr>
          <w:rFonts w:asciiTheme="majorBidi" w:hAnsiTheme="majorBidi" w:cstheme="majorBidi"/>
        </w:rPr>
        <w:t>ir pamatoti ar viņ</w:t>
      </w:r>
      <w:r w:rsidR="00155FC8">
        <w:rPr>
          <w:rFonts w:asciiTheme="majorBidi" w:hAnsiTheme="majorBidi" w:cstheme="majorBidi"/>
        </w:rPr>
        <w:t>u</w:t>
      </w:r>
      <w:r w:rsidR="00077274">
        <w:rPr>
          <w:rFonts w:asciiTheme="majorBidi" w:hAnsiTheme="majorBidi" w:cstheme="majorBidi"/>
        </w:rPr>
        <w:t xml:space="preserve"> atšķirīgo viedokli par lietā esošo pierādījumu ticamības un pietiekamības vērtējumu, savukārt lietā esošo pierādījumu izvērtēšanu atbilstoši likumam veic tiesa, kas iztiesā lietu pēc būtības. Apsūdzētā</w:t>
      </w:r>
      <w:r w:rsidR="00155FC8">
        <w:rPr>
          <w:rFonts w:asciiTheme="majorBidi" w:hAnsiTheme="majorBidi" w:cstheme="majorBidi"/>
        </w:rPr>
        <w:t xml:space="preserve"> un aizstāves </w:t>
      </w:r>
      <w:r w:rsidR="00077274">
        <w:rPr>
          <w:rFonts w:asciiTheme="majorBidi" w:hAnsiTheme="majorBidi" w:cstheme="majorBidi"/>
        </w:rPr>
        <w:t>kasācijas sūdzīb</w:t>
      </w:r>
      <w:r w:rsidR="006A0616">
        <w:rPr>
          <w:rFonts w:asciiTheme="majorBidi" w:hAnsiTheme="majorBidi" w:cstheme="majorBidi"/>
        </w:rPr>
        <w:t>as</w:t>
      </w:r>
      <w:r w:rsidR="00077274">
        <w:rPr>
          <w:rFonts w:asciiTheme="majorBidi" w:hAnsiTheme="majorBidi" w:cstheme="majorBidi"/>
        </w:rPr>
        <w:t xml:space="preserve"> argumenti faktiski pauž sūdzības iesniedzēj</w:t>
      </w:r>
      <w:r w:rsidR="00141216">
        <w:rPr>
          <w:rFonts w:asciiTheme="majorBidi" w:hAnsiTheme="majorBidi" w:cstheme="majorBidi"/>
        </w:rPr>
        <w:t>u</w:t>
      </w:r>
      <w:r w:rsidRPr="006B55FF">
        <w:rPr>
          <w:rFonts w:asciiTheme="majorBidi" w:hAnsiTheme="majorBidi" w:cstheme="majorBidi"/>
        </w:rPr>
        <w:t xml:space="preserve"> neapmierinātību ar tiem secinājumiem, kādus izdarījusi apelācijas instances tiesa, izvērtējot </w:t>
      </w:r>
      <w:r w:rsidR="00077274">
        <w:rPr>
          <w:rFonts w:asciiTheme="majorBidi" w:hAnsiTheme="majorBidi" w:cstheme="majorBidi"/>
        </w:rPr>
        <w:t xml:space="preserve">lietā esošos </w:t>
      </w:r>
      <w:r w:rsidRPr="006B55FF">
        <w:rPr>
          <w:rFonts w:asciiTheme="majorBidi" w:hAnsiTheme="majorBidi" w:cstheme="majorBidi"/>
        </w:rPr>
        <w:t xml:space="preserve">pierādījumus, un vērsti uz to, lai panāktu apelācijas instances tiesas </w:t>
      </w:r>
      <w:r w:rsidRPr="006B55FF">
        <w:rPr>
          <w:rFonts w:asciiTheme="majorBidi" w:hAnsiTheme="majorBidi" w:cstheme="majorBidi"/>
        </w:rPr>
        <w:lastRenderedPageBreak/>
        <w:t>nolēmuma atcelšanu nevis juridisku, bet faktisku iemeslu dēļ, kas ir pretrunā ar Kriminālprocesa likuma 569. panta pirmo daļu.</w:t>
      </w:r>
    </w:p>
    <w:p w14:paraId="204CD3D5" w14:textId="4C88F189" w:rsidR="00141216" w:rsidRDefault="00141216" w:rsidP="00155FC8">
      <w:pPr>
        <w:spacing w:after="0" w:line="276" w:lineRule="auto"/>
        <w:ind w:firstLine="720"/>
        <w:jc w:val="both"/>
        <w:rPr>
          <w:rFonts w:asciiTheme="majorBidi" w:hAnsiTheme="majorBidi" w:cstheme="majorBidi"/>
        </w:rPr>
      </w:pPr>
      <w:r w:rsidRPr="00141216">
        <w:rPr>
          <w:rFonts w:asciiTheme="majorBidi" w:hAnsiTheme="majorBidi" w:cstheme="majorBidi"/>
        </w:rPr>
        <w:t>Minētais ir pamats atteikumam ierosināt kasācijas tiesvedību saskaņā ar Kriminālprocesa likuma 573.</w:t>
      </w:r>
      <w:r w:rsidRPr="00141216">
        <w:rPr>
          <w:rFonts w:asciiTheme="majorBidi" w:hAnsiTheme="majorBidi" w:cstheme="majorBidi"/>
          <w:vertAlign w:val="superscript"/>
        </w:rPr>
        <w:t>1</w:t>
      </w:r>
      <w:r w:rsidRPr="00141216">
        <w:rPr>
          <w:rFonts w:asciiTheme="majorBidi" w:hAnsiTheme="majorBidi" w:cstheme="majorBidi"/>
        </w:rPr>
        <w:t> panta pirmo daļu.</w:t>
      </w:r>
    </w:p>
    <w:bookmarkEnd w:id="0"/>
    <w:bookmarkEnd w:id="1"/>
    <w:p w14:paraId="57E38ED4" w14:textId="1BFC1B78" w:rsidR="00E77948" w:rsidRPr="006B55FF" w:rsidRDefault="00E77948" w:rsidP="00E77948">
      <w:pPr>
        <w:widowControl w:val="0"/>
        <w:spacing w:after="0" w:line="276" w:lineRule="auto"/>
        <w:ind w:firstLine="720"/>
        <w:jc w:val="both"/>
        <w:rPr>
          <w:rFonts w:asciiTheme="majorBidi" w:hAnsiTheme="majorBidi" w:cstheme="majorBidi"/>
        </w:rPr>
      </w:pPr>
      <w:r w:rsidRPr="006B55FF">
        <w:rPr>
          <w:rFonts w:asciiTheme="majorBidi" w:hAnsiTheme="majorBidi" w:cstheme="majorBidi"/>
        </w:rPr>
        <w:t>Pamatojoties uz Kriminālprocesa likuma 573. panta trešo un piekto daļu, 573.</w:t>
      </w:r>
      <w:r w:rsidRPr="006B55FF">
        <w:rPr>
          <w:rFonts w:asciiTheme="majorBidi" w:hAnsiTheme="majorBidi" w:cstheme="majorBidi"/>
          <w:vertAlign w:val="superscript"/>
        </w:rPr>
        <w:t>1</w:t>
      </w:r>
      <w:r w:rsidRPr="006B55FF">
        <w:rPr>
          <w:rFonts w:asciiTheme="majorBidi" w:hAnsiTheme="majorBidi" w:cstheme="majorBidi"/>
        </w:rPr>
        <w:t> panta pirmo daļu, Senāts</w:t>
      </w:r>
    </w:p>
    <w:p w14:paraId="4FEB50BA" w14:textId="77777777" w:rsidR="00E77948" w:rsidRPr="006B55FF" w:rsidRDefault="00E77948" w:rsidP="00E77948">
      <w:pPr>
        <w:widowControl w:val="0"/>
        <w:spacing w:after="0" w:line="276" w:lineRule="auto"/>
        <w:ind w:firstLine="720"/>
        <w:jc w:val="both"/>
      </w:pPr>
    </w:p>
    <w:p w14:paraId="1184D720" w14:textId="77777777" w:rsidR="00E77948" w:rsidRPr="006B55FF" w:rsidRDefault="00E77948" w:rsidP="00E77948">
      <w:pPr>
        <w:widowControl w:val="0"/>
        <w:spacing w:after="0" w:line="276" w:lineRule="auto"/>
        <w:jc w:val="center"/>
        <w:rPr>
          <w:b/>
          <w:bCs/>
        </w:rPr>
      </w:pPr>
      <w:r w:rsidRPr="006B55FF">
        <w:rPr>
          <w:b/>
          <w:bCs/>
        </w:rPr>
        <w:t>nolēma</w:t>
      </w:r>
    </w:p>
    <w:p w14:paraId="303D9B27" w14:textId="77777777" w:rsidR="00E77948" w:rsidRPr="006B55FF" w:rsidRDefault="00E77948" w:rsidP="00E77948">
      <w:pPr>
        <w:widowControl w:val="0"/>
        <w:spacing w:after="0" w:line="276" w:lineRule="auto"/>
        <w:ind w:firstLine="720"/>
        <w:jc w:val="both"/>
      </w:pPr>
    </w:p>
    <w:p w14:paraId="4675E74E" w14:textId="77777777" w:rsidR="00E77948" w:rsidRPr="006B55FF" w:rsidRDefault="00E77948" w:rsidP="00E77948">
      <w:pPr>
        <w:widowControl w:val="0"/>
        <w:spacing w:after="0" w:line="276" w:lineRule="auto"/>
        <w:ind w:firstLine="720"/>
        <w:jc w:val="both"/>
      </w:pPr>
      <w:r w:rsidRPr="006B55FF">
        <w:t>atteikt ierosināt kasācijas tiesvedību.</w:t>
      </w:r>
    </w:p>
    <w:p w14:paraId="343787C2" w14:textId="77777777" w:rsidR="00E77948" w:rsidRPr="006B55FF" w:rsidRDefault="00E77948" w:rsidP="00E77948">
      <w:pPr>
        <w:widowControl w:val="0"/>
        <w:spacing w:after="0" w:line="276" w:lineRule="auto"/>
        <w:ind w:firstLine="720"/>
        <w:jc w:val="both"/>
      </w:pPr>
    </w:p>
    <w:p w14:paraId="0BA16ADC" w14:textId="33A4391D" w:rsidR="00DC3151" w:rsidRPr="006B55FF" w:rsidRDefault="00E77948" w:rsidP="00347B1E">
      <w:pPr>
        <w:widowControl w:val="0"/>
        <w:spacing w:after="0" w:line="276" w:lineRule="auto"/>
        <w:ind w:firstLine="720"/>
        <w:jc w:val="both"/>
      </w:pPr>
      <w:r w:rsidRPr="006B55FF">
        <w:t>Lēmums nav pārsūdzams.</w:t>
      </w:r>
    </w:p>
    <w:sectPr w:rsidR="00DC3151" w:rsidRPr="006B55FF" w:rsidSect="00E77948">
      <w:footerReference w:type="default" r:id="rId11"/>
      <w:footerReference w:type="first" r:id="rId12"/>
      <w:pgSz w:w="11906" w:h="16838"/>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E987C" w14:textId="77777777" w:rsidR="00A63220" w:rsidRDefault="00A63220">
      <w:pPr>
        <w:spacing w:after="0" w:line="240" w:lineRule="auto"/>
      </w:pPr>
      <w:r>
        <w:separator/>
      </w:r>
    </w:p>
  </w:endnote>
  <w:endnote w:type="continuationSeparator" w:id="0">
    <w:p w14:paraId="6D97F98C" w14:textId="77777777" w:rsidR="00A63220" w:rsidRDefault="00A63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693120"/>
      <w:docPartObj>
        <w:docPartGallery w:val="Page Numbers (Bottom of Page)"/>
        <w:docPartUnique/>
      </w:docPartObj>
    </w:sdtPr>
    <w:sdtEndPr>
      <w:rPr>
        <w:sz w:val="20"/>
        <w:szCs w:val="20"/>
      </w:rPr>
    </w:sdtEndPr>
    <w:sdtContent>
      <w:sdt>
        <w:sdtPr>
          <w:id w:val="1728636285"/>
          <w:docPartObj>
            <w:docPartGallery w:val="Page Numbers (Top of Page)"/>
            <w:docPartUnique/>
          </w:docPartObj>
        </w:sdtPr>
        <w:sdtEndPr>
          <w:rPr>
            <w:sz w:val="20"/>
            <w:szCs w:val="20"/>
          </w:rPr>
        </w:sdtEndPr>
        <w:sdtContent>
          <w:p w14:paraId="3F29C566" w14:textId="77777777" w:rsidR="00E77948" w:rsidRPr="00F32B99" w:rsidRDefault="00E77948" w:rsidP="00220388">
            <w:pPr>
              <w:pStyle w:val="Footer"/>
              <w:jc w:val="center"/>
            </w:pPr>
            <w:r w:rsidRPr="00F32B99">
              <w:rPr>
                <w:sz w:val="20"/>
                <w:szCs w:val="20"/>
              </w:rPr>
              <w:fldChar w:fldCharType="begin"/>
            </w:r>
            <w:r w:rsidRPr="00F32B99">
              <w:rPr>
                <w:sz w:val="20"/>
                <w:szCs w:val="20"/>
              </w:rPr>
              <w:instrText xml:space="preserve"> PAGE </w:instrText>
            </w:r>
            <w:r w:rsidRPr="00F32B99">
              <w:rPr>
                <w:sz w:val="20"/>
                <w:szCs w:val="20"/>
              </w:rPr>
              <w:fldChar w:fldCharType="separate"/>
            </w:r>
            <w:r w:rsidRPr="00F32B99">
              <w:rPr>
                <w:sz w:val="20"/>
                <w:szCs w:val="20"/>
              </w:rPr>
              <w:t>2</w:t>
            </w:r>
            <w:r w:rsidRPr="00F32B99">
              <w:rPr>
                <w:sz w:val="20"/>
                <w:szCs w:val="20"/>
              </w:rPr>
              <w:fldChar w:fldCharType="end"/>
            </w:r>
            <w:r w:rsidRPr="00F32B99">
              <w:rPr>
                <w:sz w:val="20"/>
                <w:szCs w:val="20"/>
              </w:rPr>
              <w:t xml:space="preserve"> no </w:t>
            </w:r>
            <w:r w:rsidRPr="00F32B99">
              <w:rPr>
                <w:sz w:val="20"/>
                <w:szCs w:val="20"/>
              </w:rPr>
              <w:fldChar w:fldCharType="begin"/>
            </w:r>
            <w:r w:rsidRPr="00F32B99">
              <w:rPr>
                <w:sz w:val="20"/>
                <w:szCs w:val="20"/>
              </w:rPr>
              <w:instrText xml:space="preserve"> NUMPAGES  </w:instrText>
            </w:r>
            <w:r w:rsidRPr="00F32B99">
              <w:rPr>
                <w:sz w:val="20"/>
                <w:szCs w:val="20"/>
              </w:rPr>
              <w:fldChar w:fldCharType="separate"/>
            </w:r>
            <w:r w:rsidRPr="00F32B99">
              <w:rPr>
                <w:sz w:val="20"/>
                <w:szCs w:val="20"/>
              </w:rPr>
              <w:t>2</w:t>
            </w:r>
            <w:r w:rsidRPr="00F32B99">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43170"/>
      <w:docPartObj>
        <w:docPartGallery w:val="Page Numbers (Bottom of Page)"/>
        <w:docPartUnique/>
      </w:docPartObj>
    </w:sdtPr>
    <w:sdtEndPr/>
    <w:sdtContent>
      <w:sdt>
        <w:sdtPr>
          <w:id w:val="-1260518195"/>
          <w:docPartObj>
            <w:docPartGallery w:val="Page Numbers (Top of Page)"/>
            <w:docPartUnique/>
          </w:docPartObj>
        </w:sdtPr>
        <w:sdtEndPr/>
        <w:sdtContent>
          <w:p w14:paraId="0B3D0388" w14:textId="77777777" w:rsidR="00E77948" w:rsidRPr="00F32B99" w:rsidRDefault="00E77948" w:rsidP="00220388">
            <w:pPr>
              <w:pStyle w:val="Footer"/>
              <w:jc w:val="center"/>
            </w:pPr>
            <w:r w:rsidRPr="00F32B99">
              <w:rPr>
                <w:sz w:val="20"/>
                <w:szCs w:val="20"/>
              </w:rPr>
              <w:fldChar w:fldCharType="begin"/>
            </w:r>
            <w:r w:rsidRPr="00F32B99">
              <w:rPr>
                <w:sz w:val="20"/>
                <w:szCs w:val="20"/>
              </w:rPr>
              <w:instrText xml:space="preserve"> PAGE </w:instrText>
            </w:r>
            <w:r w:rsidRPr="00F32B99">
              <w:rPr>
                <w:sz w:val="20"/>
                <w:szCs w:val="20"/>
              </w:rPr>
              <w:fldChar w:fldCharType="separate"/>
            </w:r>
            <w:r w:rsidRPr="00F32B99">
              <w:rPr>
                <w:sz w:val="20"/>
                <w:szCs w:val="20"/>
              </w:rPr>
              <w:t>2</w:t>
            </w:r>
            <w:r w:rsidRPr="00F32B99">
              <w:rPr>
                <w:sz w:val="20"/>
                <w:szCs w:val="20"/>
              </w:rPr>
              <w:fldChar w:fldCharType="end"/>
            </w:r>
            <w:r w:rsidRPr="00F32B99">
              <w:rPr>
                <w:sz w:val="20"/>
                <w:szCs w:val="20"/>
              </w:rPr>
              <w:t xml:space="preserve"> no </w:t>
            </w:r>
            <w:r w:rsidRPr="00F32B99">
              <w:rPr>
                <w:sz w:val="20"/>
                <w:szCs w:val="20"/>
              </w:rPr>
              <w:fldChar w:fldCharType="begin"/>
            </w:r>
            <w:r w:rsidRPr="00F32B99">
              <w:rPr>
                <w:sz w:val="20"/>
                <w:szCs w:val="20"/>
              </w:rPr>
              <w:instrText xml:space="preserve"> NUMPAGES  </w:instrText>
            </w:r>
            <w:r w:rsidRPr="00F32B99">
              <w:rPr>
                <w:sz w:val="20"/>
                <w:szCs w:val="20"/>
              </w:rPr>
              <w:fldChar w:fldCharType="separate"/>
            </w:r>
            <w:r w:rsidRPr="00F32B99">
              <w:rPr>
                <w:sz w:val="20"/>
                <w:szCs w:val="20"/>
              </w:rPr>
              <w:t>2</w:t>
            </w:r>
            <w:r w:rsidRPr="00F32B99">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83E51" w14:textId="77777777" w:rsidR="00A63220" w:rsidRDefault="00A63220">
      <w:pPr>
        <w:spacing w:after="0" w:line="240" w:lineRule="auto"/>
      </w:pPr>
      <w:r>
        <w:separator/>
      </w:r>
    </w:p>
  </w:footnote>
  <w:footnote w:type="continuationSeparator" w:id="0">
    <w:p w14:paraId="2C46BB93" w14:textId="77777777" w:rsidR="00A63220" w:rsidRDefault="00A632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948"/>
    <w:rsid w:val="0000132B"/>
    <w:rsid w:val="00001B83"/>
    <w:rsid w:val="0000784F"/>
    <w:rsid w:val="00016784"/>
    <w:rsid w:val="000250CE"/>
    <w:rsid w:val="00043DF2"/>
    <w:rsid w:val="0005017B"/>
    <w:rsid w:val="00054FFD"/>
    <w:rsid w:val="00056104"/>
    <w:rsid w:val="000637A8"/>
    <w:rsid w:val="0007579F"/>
    <w:rsid w:val="00077274"/>
    <w:rsid w:val="00080190"/>
    <w:rsid w:val="00082B51"/>
    <w:rsid w:val="000851F6"/>
    <w:rsid w:val="000A045C"/>
    <w:rsid w:val="000A4580"/>
    <w:rsid w:val="000B2846"/>
    <w:rsid w:val="000C361F"/>
    <w:rsid w:val="000D23FD"/>
    <w:rsid w:val="000E0768"/>
    <w:rsid w:val="000E2005"/>
    <w:rsid w:val="000E6973"/>
    <w:rsid w:val="000F3E98"/>
    <w:rsid w:val="000F627F"/>
    <w:rsid w:val="00102D53"/>
    <w:rsid w:val="00141216"/>
    <w:rsid w:val="00150C34"/>
    <w:rsid w:val="00154504"/>
    <w:rsid w:val="00155FC8"/>
    <w:rsid w:val="00156E4A"/>
    <w:rsid w:val="00157F90"/>
    <w:rsid w:val="0018126A"/>
    <w:rsid w:val="00187DB0"/>
    <w:rsid w:val="00194650"/>
    <w:rsid w:val="001B5458"/>
    <w:rsid w:val="001B5720"/>
    <w:rsid w:val="001E1747"/>
    <w:rsid w:val="001F26A1"/>
    <w:rsid w:val="001F3349"/>
    <w:rsid w:val="00205D71"/>
    <w:rsid w:val="00207A49"/>
    <w:rsid w:val="00227D5C"/>
    <w:rsid w:val="00253194"/>
    <w:rsid w:val="0026339A"/>
    <w:rsid w:val="00264F1E"/>
    <w:rsid w:val="00271886"/>
    <w:rsid w:val="00276D52"/>
    <w:rsid w:val="00284200"/>
    <w:rsid w:val="00291473"/>
    <w:rsid w:val="002A2428"/>
    <w:rsid w:val="002A283B"/>
    <w:rsid w:val="002A65B5"/>
    <w:rsid w:val="002A6826"/>
    <w:rsid w:val="002B4229"/>
    <w:rsid w:val="002D0FBD"/>
    <w:rsid w:val="002D1A6C"/>
    <w:rsid w:val="002D4A1E"/>
    <w:rsid w:val="002E31F9"/>
    <w:rsid w:val="003034B4"/>
    <w:rsid w:val="00315785"/>
    <w:rsid w:val="003168FC"/>
    <w:rsid w:val="00321649"/>
    <w:rsid w:val="00321693"/>
    <w:rsid w:val="00322E46"/>
    <w:rsid w:val="00341362"/>
    <w:rsid w:val="00347B1E"/>
    <w:rsid w:val="003626F7"/>
    <w:rsid w:val="00373D4F"/>
    <w:rsid w:val="00376337"/>
    <w:rsid w:val="003844C7"/>
    <w:rsid w:val="0039370A"/>
    <w:rsid w:val="003C014B"/>
    <w:rsid w:val="003C0922"/>
    <w:rsid w:val="003E441D"/>
    <w:rsid w:val="003E4DBF"/>
    <w:rsid w:val="0041097E"/>
    <w:rsid w:val="00411E44"/>
    <w:rsid w:val="0043636A"/>
    <w:rsid w:val="004445E6"/>
    <w:rsid w:val="00460534"/>
    <w:rsid w:val="004608E7"/>
    <w:rsid w:val="004748E5"/>
    <w:rsid w:val="00474E39"/>
    <w:rsid w:val="00476298"/>
    <w:rsid w:val="00476E8B"/>
    <w:rsid w:val="0048342E"/>
    <w:rsid w:val="00494F2C"/>
    <w:rsid w:val="004974A6"/>
    <w:rsid w:val="004A0641"/>
    <w:rsid w:val="004A06BB"/>
    <w:rsid w:val="004A4168"/>
    <w:rsid w:val="004A554C"/>
    <w:rsid w:val="004A6BC7"/>
    <w:rsid w:val="004A76E8"/>
    <w:rsid w:val="004D776E"/>
    <w:rsid w:val="004E1DA3"/>
    <w:rsid w:val="004F3784"/>
    <w:rsid w:val="004F460F"/>
    <w:rsid w:val="00502ADF"/>
    <w:rsid w:val="00505016"/>
    <w:rsid w:val="005063A5"/>
    <w:rsid w:val="00515AE0"/>
    <w:rsid w:val="00527308"/>
    <w:rsid w:val="005370E7"/>
    <w:rsid w:val="00547B94"/>
    <w:rsid w:val="005514A6"/>
    <w:rsid w:val="00553C0B"/>
    <w:rsid w:val="0056779C"/>
    <w:rsid w:val="005835F0"/>
    <w:rsid w:val="005931E7"/>
    <w:rsid w:val="005A2508"/>
    <w:rsid w:val="005C1B91"/>
    <w:rsid w:val="005C45DF"/>
    <w:rsid w:val="005D48F1"/>
    <w:rsid w:val="005E1BA7"/>
    <w:rsid w:val="005E4989"/>
    <w:rsid w:val="005E7285"/>
    <w:rsid w:val="006044B9"/>
    <w:rsid w:val="00606DBC"/>
    <w:rsid w:val="00620C8F"/>
    <w:rsid w:val="00637C4F"/>
    <w:rsid w:val="00642963"/>
    <w:rsid w:val="00643E94"/>
    <w:rsid w:val="00644B75"/>
    <w:rsid w:val="00653531"/>
    <w:rsid w:val="00662473"/>
    <w:rsid w:val="00666421"/>
    <w:rsid w:val="00673BB8"/>
    <w:rsid w:val="00680739"/>
    <w:rsid w:val="00685D20"/>
    <w:rsid w:val="00694D7A"/>
    <w:rsid w:val="0069603D"/>
    <w:rsid w:val="006A0616"/>
    <w:rsid w:val="006A0F43"/>
    <w:rsid w:val="006A1F76"/>
    <w:rsid w:val="006B05DD"/>
    <w:rsid w:val="006B55FF"/>
    <w:rsid w:val="006B589F"/>
    <w:rsid w:val="006B5969"/>
    <w:rsid w:val="006C02D3"/>
    <w:rsid w:val="006C383A"/>
    <w:rsid w:val="006D1149"/>
    <w:rsid w:val="006E0CBE"/>
    <w:rsid w:val="006F31CC"/>
    <w:rsid w:val="00717633"/>
    <w:rsid w:val="0072350B"/>
    <w:rsid w:val="007235A3"/>
    <w:rsid w:val="0072467A"/>
    <w:rsid w:val="00733886"/>
    <w:rsid w:val="00743F6D"/>
    <w:rsid w:val="00752188"/>
    <w:rsid w:val="00760B7D"/>
    <w:rsid w:val="00765191"/>
    <w:rsid w:val="0077017A"/>
    <w:rsid w:val="0078442B"/>
    <w:rsid w:val="00791CA6"/>
    <w:rsid w:val="007A502E"/>
    <w:rsid w:val="007C4FFD"/>
    <w:rsid w:val="007E69B3"/>
    <w:rsid w:val="007F3631"/>
    <w:rsid w:val="0080243F"/>
    <w:rsid w:val="00803BAB"/>
    <w:rsid w:val="008101A8"/>
    <w:rsid w:val="00825872"/>
    <w:rsid w:val="00845329"/>
    <w:rsid w:val="00855A6E"/>
    <w:rsid w:val="008724B8"/>
    <w:rsid w:val="00884FF0"/>
    <w:rsid w:val="0088616F"/>
    <w:rsid w:val="008920E5"/>
    <w:rsid w:val="008A5906"/>
    <w:rsid w:val="008A5E70"/>
    <w:rsid w:val="008C0ADC"/>
    <w:rsid w:val="008C2E37"/>
    <w:rsid w:val="008C7864"/>
    <w:rsid w:val="008D2EC8"/>
    <w:rsid w:val="008E0B96"/>
    <w:rsid w:val="008E5E79"/>
    <w:rsid w:val="0090067D"/>
    <w:rsid w:val="009037FD"/>
    <w:rsid w:val="009229EE"/>
    <w:rsid w:val="00923FE6"/>
    <w:rsid w:val="0093699C"/>
    <w:rsid w:val="00954DBE"/>
    <w:rsid w:val="009671B5"/>
    <w:rsid w:val="00970F65"/>
    <w:rsid w:val="00973DBE"/>
    <w:rsid w:val="0097709A"/>
    <w:rsid w:val="0098368B"/>
    <w:rsid w:val="0099748C"/>
    <w:rsid w:val="009A0E68"/>
    <w:rsid w:val="009A7A76"/>
    <w:rsid w:val="009B3582"/>
    <w:rsid w:val="009B39AA"/>
    <w:rsid w:val="009B4E08"/>
    <w:rsid w:val="009B4FF4"/>
    <w:rsid w:val="009B6C05"/>
    <w:rsid w:val="009B7FE4"/>
    <w:rsid w:val="009C1401"/>
    <w:rsid w:val="009C1795"/>
    <w:rsid w:val="009C47AF"/>
    <w:rsid w:val="009D5293"/>
    <w:rsid w:val="009D742C"/>
    <w:rsid w:val="009D74B1"/>
    <w:rsid w:val="009E12C5"/>
    <w:rsid w:val="009F300E"/>
    <w:rsid w:val="009F6282"/>
    <w:rsid w:val="00A04691"/>
    <w:rsid w:val="00A130A6"/>
    <w:rsid w:val="00A17722"/>
    <w:rsid w:val="00A231FC"/>
    <w:rsid w:val="00A2492B"/>
    <w:rsid w:val="00A41FE2"/>
    <w:rsid w:val="00A436EE"/>
    <w:rsid w:val="00A449E2"/>
    <w:rsid w:val="00A533A8"/>
    <w:rsid w:val="00A63220"/>
    <w:rsid w:val="00A67720"/>
    <w:rsid w:val="00A707D5"/>
    <w:rsid w:val="00A710E9"/>
    <w:rsid w:val="00A74A85"/>
    <w:rsid w:val="00A90A9E"/>
    <w:rsid w:val="00A90C06"/>
    <w:rsid w:val="00A923C3"/>
    <w:rsid w:val="00AC0B3A"/>
    <w:rsid w:val="00AC2214"/>
    <w:rsid w:val="00AD4B62"/>
    <w:rsid w:val="00AD6EAB"/>
    <w:rsid w:val="00AE0EC5"/>
    <w:rsid w:val="00AE22FC"/>
    <w:rsid w:val="00B0412D"/>
    <w:rsid w:val="00B044D5"/>
    <w:rsid w:val="00B124DE"/>
    <w:rsid w:val="00B250F1"/>
    <w:rsid w:val="00B268BF"/>
    <w:rsid w:val="00B312D0"/>
    <w:rsid w:val="00B37E98"/>
    <w:rsid w:val="00B43297"/>
    <w:rsid w:val="00B60C7B"/>
    <w:rsid w:val="00B6176D"/>
    <w:rsid w:val="00B63E8F"/>
    <w:rsid w:val="00B64C18"/>
    <w:rsid w:val="00B67B8A"/>
    <w:rsid w:val="00B82FD3"/>
    <w:rsid w:val="00B90A06"/>
    <w:rsid w:val="00B90CD7"/>
    <w:rsid w:val="00BA2F32"/>
    <w:rsid w:val="00BA3417"/>
    <w:rsid w:val="00BE1F3E"/>
    <w:rsid w:val="00BF0CFB"/>
    <w:rsid w:val="00BF3FE6"/>
    <w:rsid w:val="00BF62F6"/>
    <w:rsid w:val="00C015CE"/>
    <w:rsid w:val="00C05F6B"/>
    <w:rsid w:val="00C0777A"/>
    <w:rsid w:val="00C21EDA"/>
    <w:rsid w:val="00C2461E"/>
    <w:rsid w:val="00C30F47"/>
    <w:rsid w:val="00C31165"/>
    <w:rsid w:val="00C37F74"/>
    <w:rsid w:val="00C43A64"/>
    <w:rsid w:val="00C46585"/>
    <w:rsid w:val="00C505B5"/>
    <w:rsid w:val="00C523E3"/>
    <w:rsid w:val="00C72D4C"/>
    <w:rsid w:val="00C75BB0"/>
    <w:rsid w:val="00C8427E"/>
    <w:rsid w:val="00C91D5F"/>
    <w:rsid w:val="00CA05A6"/>
    <w:rsid w:val="00CB6823"/>
    <w:rsid w:val="00CC1F75"/>
    <w:rsid w:val="00CE7156"/>
    <w:rsid w:val="00CF41CA"/>
    <w:rsid w:val="00D00CC9"/>
    <w:rsid w:val="00D04374"/>
    <w:rsid w:val="00D04EC1"/>
    <w:rsid w:val="00D1252B"/>
    <w:rsid w:val="00D15FD6"/>
    <w:rsid w:val="00D23800"/>
    <w:rsid w:val="00D24FAC"/>
    <w:rsid w:val="00D315DF"/>
    <w:rsid w:val="00D34C53"/>
    <w:rsid w:val="00D5202C"/>
    <w:rsid w:val="00D56153"/>
    <w:rsid w:val="00D57BD6"/>
    <w:rsid w:val="00D70177"/>
    <w:rsid w:val="00D74797"/>
    <w:rsid w:val="00D91D90"/>
    <w:rsid w:val="00D926FA"/>
    <w:rsid w:val="00D950A5"/>
    <w:rsid w:val="00D97144"/>
    <w:rsid w:val="00DB0842"/>
    <w:rsid w:val="00DC21E1"/>
    <w:rsid w:val="00DC2F01"/>
    <w:rsid w:val="00DC3151"/>
    <w:rsid w:val="00DC3726"/>
    <w:rsid w:val="00DE6CB2"/>
    <w:rsid w:val="00DF5DA8"/>
    <w:rsid w:val="00DF7812"/>
    <w:rsid w:val="00E00559"/>
    <w:rsid w:val="00E00CB6"/>
    <w:rsid w:val="00E16A56"/>
    <w:rsid w:val="00E17CD3"/>
    <w:rsid w:val="00E34B17"/>
    <w:rsid w:val="00E43B82"/>
    <w:rsid w:val="00E50857"/>
    <w:rsid w:val="00E51604"/>
    <w:rsid w:val="00E539D3"/>
    <w:rsid w:val="00E54B12"/>
    <w:rsid w:val="00E56686"/>
    <w:rsid w:val="00E60360"/>
    <w:rsid w:val="00E60F94"/>
    <w:rsid w:val="00E667BA"/>
    <w:rsid w:val="00E70861"/>
    <w:rsid w:val="00E71720"/>
    <w:rsid w:val="00E77948"/>
    <w:rsid w:val="00E810AC"/>
    <w:rsid w:val="00E906CD"/>
    <w:rsid w:val="00E958A2"/>
    <w:rsid w:val="00E96038"/>
    <w:rsid w:val="00EA00C1"/>
    <w:rsid w:val="00EA180F"/>
    <w:rsid w:val="00EC102A"/>
    <w:rsid w:val="00EE1960"/>
    <w:rsid w:val="00EE282A"/>
    <w:rsid w:val="00EF3B62"/>
    <w:rsid w:val="00EF4088"/>
    <w:rsid w:val="00F00B84"/>
    <w:rsid w:val="00F02CF2"/>
    <w:rsid w:val="00F201DE"/>
    <w:rsid w:val="00F227AD"/>
    <w:rsid w:val="00F24263"/>
    <w:rsid w:val="00F327F1"/>
    <w:rsid w:val="00F55B3B"/>
    <w:rsid w:val="00F649B6"/>
    <w:rsid w:val="00F67B64"/>
    <w:rsid w:val="00F705B0"/>
    <w:rsid w:val="00F73469"/>
    <w:rsid w:val="00F7709E"/>
    <w:rsid w:val="00F85EFA"/>
    <w:rsid w:val="00F8617D"/>
    <w:rsid w:val="00F86627"/>
    <w:rsid w:val="00F914F6"/>
    <w:rsid w:val="00F91B11"/>
    <w:rsid w:val="00FA2ABB"/>
    <w:rsid w:val="00FB201A"/>
    <w:rsid w:val="00FB3BBE"/>
    <w:rsid w:val="00FB7AE3"/>
    <w:rsid w:val="00FC3348"/>
    <w:rsid w:val="00FC5A56"/>
    <w:rsid w:val="00FC6DB3"/>
    <w:rsid w:val="00FE1227"/>
    <w:rsid w:val="00FE1B25"/>
    <w:rsid w:val="00FE1E91"/>
    <w:rsid w:val="00FE66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B3B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948"/>
    <w:rPr>
      <w:rFonts w:ascii="Times New Roman" w:hAnsi="Times New Roman"/>
      <w:lang w:val="lv-LV"/>
    </w:rPr>
  </w:style>
  <w:style w:type="paragraph" w:styleId="Heading1">
    <w:name w:val="heading 1"/>
    <w:basedOn w:val="Normal"/>
    <w:next w:val="Normal"/>
    <w:link w:val="Heading1Char"/>
    <w:uiPriority w:val="9"/>
    <w:qFormat/>
    <w:rsid w:val="00E77948"/>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semiHidden/>
    <w:unhideWhenUsed/>
    <w:qFormat/>
    <w:rsid w:val="00E77948"/>
    <w:pPr>
      <w:keepNext/>
      <w:keepLines/>
      <w:spacing w:before="160" w:after="80"/>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E77948"/>
    <w:pPr>
      <w:keepNext/>
      <w:keepLines/>
      <w:spacing w:before="160" w:after="80"/>
      <w:outlineLvl w:val="2"/>
    </w:pPr>
    <w:rPr>
      <w:rFonts w:asciiTheme="minorHAnsi" w:eastAsiaTheme="majorEastAsia" w:hAnsiTheme="minorHAnsi"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E77948"/>
    <w:pPr>
      <w:keepNext/>
      <w:keepLines/>
      <w:spacing w:before="80" w:after="40"/>
      <w:outlineLvl w:val="3"/>
    </w:pPr>
    <w:rPr>
      <w:rFonts w:asciiTheme="minorHAnsi" w:eastAsiaTheme="majorEastAsia" w:hAnsiTheme="minorHAnsi" w:cstheme="majorBidi"/>
      <w:i/>
      <w:iCs/>
      <w:color w:val="2F5496" w:themeColor="accent1" w:themeShade="BF"/>
      <w:lang w:val="en-US"/>
    </w:rPr>
  </w:style>
  <w:style w:type="paragraph" w:styleId="Heading5">
    <w:name w:val="heading 5"/>
    <w:basedOn w:val="Normal"/>
    <w:next w:val="Normal"/>
    <w:link w:val="Heading5Char"/>
    <w:uiPriority w:val="9"/>
    <w:semiHidden/>
    <w:unhideWhenUsed/>
    <w:qFormat/>
    <w:rsid w:val="00E77948"/>
    <w:pPr>
      <w:keepNext/>
      <w:keepLines/>
      <w:spacing w:before="80" w:after="40"/>
      <w:outlineLvl w:val="4"/>
    </w:pPr>
    <w:rPr>
      <w:rFonts w:asciiTheme="minorHAnsi" w:eastAsiaTheme="majorEastAsia" w:hAnsiTheme="minorHAnsi" w:cstheme="majorBidi"/>
      <w:color w:val="2F5496" w:themeColor="accent1" w:themeShade="BF"/>
      <w:lang w:val="en-US"/>
    </w:rPr>
  </w:style>
  <w:style w:type="paragraph" w:styleId="Heading6">
    <w:name w:val="heading 6"/>
    <w:basedOn w:val="Normal"/>
    <w:next w:val="Normal"/>
    <w:link w:val="Heading6Char"/>
    <w:uiPriority w:val="9"/>
    <w:semiHidden/>
    <w:unhideWhenUsed/>
    <w:qFormat/>
    <w:rsid w:val="00E77948"/>
    <w:pPr>
      <w:keepNext/>
      <w:keepLines/>
      <w:spacing w:before="40" w:after="0"/>
      <w:outlineLvl w:val="5"/>
    </w:pPr>
    <w:rPr>
      <w:rFonts w:asciiTheme="minorHAnsi" w:eastAsiaTheme="majorEastAsia" w:hAnsiTheme="minorHAnsi"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E77948"/>
    <w:pPr>
      <w:keepNext/>
      <w:keepLines/>
      <w:spacing w:before="40" w:after="0"/>
      <w:outlineLvl w:val="6"/>
    </w:pPr>
    <w:rPr>
      <w:rFonts w:asciiTheme="minorHAnsi" w:eastAsiaTheme="majorEastAsia" w:hAnsiTheme="minorHAnsi"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E77948"/>
    <w:pPr>
      <w:keepNext/>
      <w:keepLines/>
      <w:spacing w:after="0"/>
      <w:outlineLvl w:val="7"/>
    </w:pPr>
    <w:rPr>
      <w:rFonts w:asciiTheme="minorHAnsi" w:eastAsiaTheme="majorEastAsia" w:hAnsiTheme="minorHAnsi"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E77948"/>
    <w:pPr>
      <w:keepNext/>
      <w:keepLines/>
      <w:spacing w:after="0"/>
      <w:outlineLvl w:val="8"/>
    </w:pPr>
    <w:rPr>
      <w:rFonts w:asciiTheme="minorHAnsi" w:eastAsiaTheme="majorEastAsia" w:hAnsiTheme="minorHAnsi" w:cstheme="majorBidi"/>
      <w:color w:val="272727" w:themeColor="text1" w:themeTint="D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9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79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79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79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79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79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79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79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7948"/>
    <w:rPr>
      <w:rFonts w:eastAsiaTheme="majorEastAsia" w:cstheme="majorBidi"/>
      <w:color w:val="272727" w:themeColor="text1" w:themeTint="D8"/>
    </w:rPr>
  </w:style>
  <w:style w:type="paragraph" w:styleId="Title">
    <w:name w:val="Title"/>
    <w:basedOn w:val="Normal"/>
    <w:next w:val="Normal"/>
    <w:link w:val="TitleChar"/>
    <w:uiPriority w:val="10"/>
    <w:qFormat/>
    <w:rsid w:val="00E77948"/>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E779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948"/>
    <w:pPr>
      <w:numPr>
        <w:ilvl w:val="1"/>
      </w:numPr>
    </w:pPr>
    <w:rPr>
      <w:rFonts w:asciiTheme="minorHAnsi" w:eastAsiaTheme="majorEastAsia" w:hAnsiTheme="minorHAnsi"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E779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7948"/>
    <w:pPr>
      <w:spacing w:before="160"/>
      <w:jc w:val="center"/>
    </w:pPr>
    <w:rPr>
      <w:rFonts w:asciiTheme="minorHAnsi" w:hAnsiTheme="minorHAnsi"/>
      <w:i/>
      <w:iCs/>
      <w:color w:val="404040" w:themeColor="text1" w:themeTint="BF"/>
      <w:lang w:val="en-US"/>
    </w:rPr>
  </w:style>
  <w:style w:type="character" w:customStyle="1" w:styleId="QuoteChar">
    <w:name w:val="Quote Char"/>
    <w:basedOn w:val="DefaultParagraphFont"/>
    <w:link w:val="Quote"/>
    <w:uiPriority w:val="29"/>
    <w:rsid w:val="00E77948"/>
    <w:rPr>
      <w:i/>
      <w:iCs/>
      <w:color w:val="404040" w:themeColor="text1" w:themeTint="BF"/>
    </w:rPr>
  </w:style>
  <w:style w:type="paragraph" w:styleId="ListParagraph">
    <w:name w:val="List Paragraph"/>
    <w:basedOn w:val="Normal"/>
    <w:uiPriority w:val="34"/>
    <w:qFormat/>
    <w:rsid w:val="00E77948"/>
    <w:pPr>
      <w:ind w:left="720"/>
      <w:contextualSpacing/>
    </w:pPr>
    <w:rPr>
      <w:rFonts w:asciiTheme="minorHAnsi" w:hAnsiTheme="minorHAnsi"/>
      <w:lang w:val="en-US"/>
    </w:rPr>
  </w:style>
  <w:style w:type="character" w:styleId="IntenseEmphasis">
    <w:name w:val="Intense Emphasis"/>
    <w:basedOn w:val="DefaultParagraphFont"/>
    <w:uiPriority w:val="21"/>
    <w:qFormat/>
    <w:rsid w:val="00E77948"/>
    <w:rPr>
      <w:i/>
      <w:iCs/>
      <w:color w:val="2F5496" w:themeColor="accent1" w:themeShade="BF"/>
    </w:rPr>
  </w:style>
  <w:style w:type="paragraph" w:styleId="IntenseQuote">
    <w:name w:val="Intense Quote"/>
    <w:basedOn w:val="Normal"/>
    <w:next w:val="Normal"/>
    <w:link w:val="IntenseQuoteChar"/>
    <w:uiPriority w:val="30"/>
    <w:qFormat/>
    <w:rsid w:val="00E77948"/>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i/>
      <w:iCs/>
      <w:color w:val="2F5496" w:themeColor="accent1" w:themeShade="BF"/>
      <w:lang w:val="en-US"/>
    </w:rPr>
  </w:style>
  <w:style w:type="character" w:customStyle="1" w:styleId="IntenseQuoteChar">
    <w:name w:val="Intense Quote Char"/>
    <w:basedOn w:val="DefaultParagraphFont"/>
    <w:link w:val="IntenseQuote"/>
    <w:uiPriority w:val="30"/>
    <w:rsid w:val="00E77948"/>
    <w:rPr>
      <w:i/>
      <w:iCs/>
      <w:color w:val="2F5496" w:themeColor="accent1" w:themeShade="BF"/>
    </w:rPr>
  </w:style>
  <w:style w:type="character" w:styleId="IntenseReference">
    <w:name w:val="Intense Reference"/>
    <w:basedOn w:val="DefaultParagraphFont"/>
    <w:uiPriority w:val="32"/>
    <w:qFormat/>
    <w:rsid w:val="00E77948"/>
    <w:rPr>
      <w:b/>
      <w:bCs/>
      <w:smallCaps/>
      <w:color w:val="2F5496" w:themeColor="accent1" w:themeShade="BF"/>
      <w:spacing w:val="5"/>
    </w:rPr>
  </w:style>
  <w:style w:type="paragraph" w:styleId="Footer">
    <w:name w:val="footer"/>
    <w:basedOn w:val="Normal"/>
    <w:link w:val="FooterChar"/>
    <w:uiPriority w:val="99"/>
    <w:unhideWhenUsed/>
    <w:rsid w:val="00E779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948"/>
    <w:rPr>
      <w:rFonts w:ascii="Times New Roman" w:hAnsi="Times New Roman"/>
      <w:lang w:val="lv-LV"/>
    </w:rPr>
  </w:style>
  <w:style w:type="table" w:styleId="TableGrid">
    <w:name w:val="Table Grid"/>
    <w:basedOn w:val="TableNormal"/>
    <w:rsid w:val="00E77948"/>
    <w:pPr>
      <w:spacing w:after="0" w:line="240" w:lineRule="auto"/>
    </w:pPr>
    <w:rPr>
      <w:rFonts w:ascii="Times New Roman" w:hAnsi="Times New Roman"/>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80190"/>
    <w:pPr>
      <w:spacing w:after="0" w:line="240" w:lineRule="auto"/>
    </w:pPr>
    <w:rPr>
      <w:rFonts w:ascii="Times New Roman" w:hAnsi="Times New Roman"/>
      <w:lang w:val="lv-LV"/>
    </w:rPr>
  </w:style>
  <w:style w:type="character" w:styleId="CommentReference">
    <w:name w:val="annotation reference"/>
    <w:basedOn w:val="DefaultParagraphFont"/>
    <w:uiPriority w:val="99"/>
    <w:semiHidden/>
    <w:unhideWhenUsed/>
    <w:rsid w:val="00D70177"/>
    <w:rPr>
      <w:sz w:val="16"/>
      <w:szCs w:val="16"/>
    </w:rPr>
  </w:style>
  <w:style w:type="paragraph" w:styleId="CommentText">
    <w:name w:val="annotation text"/>
    <w:basedOn w:val="Normal"/>
    <w:link w:val="CommentTextChar"/>
    <w:uiPriority w:val="99"/>
    <w:unhideWhenUsed/>
    <w:rsid w:val="00D70177"/>
    <w:pPr>
      <w:spacing w:line="240" w:lineRule="auto"/>
    </w:pPr>
    <w:rPr>
      <w:sz w:val="20"/>
      <w:szCs w:val="20"/>
    </w:rPr>
  </w:style>
  <w:style w:type="character" w:customStyle="1" w:styleId="CommentTextChar">
    <w:name w:val="Comment Text Char"/>
    <w:basedOn w:val="DefaultParagraphFont"/>
    <w:link w:val="CommentText"/>
    <w:uiPriority w:val="99"/>
    <w:rsid w:val="00D70177"/>
    <w:rPr>
      <w:rFonts w:ascii="Times New Roman" w:hAnsi="Times New Roman"/>
      <w:sz w:val="20"/>
      <w:szCs w:val="20"/>
      <w:lang w:val="lv-LV"/>
    </w:rPr>
  </w:style>
  <w:style w:type="paragraph" w:styleId="CommentSubject">
    <w:name w:val="annotation subject"/>
    <w:basedOn w:val="CommentText"/>
    <w:next w:val="CommentText"/>
    <w:link w:val="CommentSubjectChar"/>
    <w:uiPriority w:val="99"/>
    <w:semiHidden/>
    <w:unhideWhenUsed/>
    <w:rsid w:val="00D70177"/>
    <w:rPr>
      <w:b/>
      <w:bCs/>
    </w:rPr>
  </w:style>
  <w:style w:type="character" w:customStyle="1" w:styleId="CommentSubjectChar">
    <w:name w:val="Comment Subject Char"/>
    <w:basedOn w:val="CommentTextChar"/>
    <w:link w:val="CommentSubject"/>
    <w:uiPriority w:val="99"/>
    <w:semiHidden/>
    <w:rsid w:val="00D70177"/>
    <w:rPr>
      <w:rFonts w:ascii="Times New Roman" w:hAnsi="Times New Roman"/>
      <w:b/>
      <w:bCs/>
      <w:sz w:val="20"/>
      <w:szCs w:val="20"/>
      <w:lang w:val="lv-LV"/>
    </w:rPr>
  </w:style>
  <w:style w:type="paragraph" w:styleId="Header">
    <w:name w:val="header"/>
    <w:basedOn w:val="Normal"/>
    <w:link w:val="HeaderChar"/>
    <w:uiPriority w:val="99"/>
    <w:unhideWhenUsed/>
    <w:rsid w:val="007235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50B"/>
    <w:rPr>
      <w:rFonts w:ascii="Times New Roman" w:hAnsi="Times New Roman"/>
      <w:lang w:val="lv-LV"/>
    </w:rPr>
  </w:style>
  <w:style w:type="character" w:styleId="Hyperlink">
    <w:name w:val="Hyperlink"/>
    <w:basedOn w:val="DefaultParagraphFont"/>
    <w:uiPriority w:val="99"/>
    <w:unhideWhenUsed/>
    <w:rsid w:val="00855A6E"/>
    <w:rPr>
      <w:color w:val="0563C1" w:themeColor="hyperlink"/>
      <w:u w:val="single"/>
    </w:rPr>
  </w:style>
  <w:style w:type="character" w:styleId="UnresolvedMention">
    <w:name w:val="Unresolved Mention"/>
    <w:basedOn w:val="DefaultParagraphFont"/>
    <w:uiPriority w:val="99"/>
    <w:semiHidden/>
    <w:unhideWhenUsed/>
    <w:rsid w:val="00474E39"/>
    <w:rPr>
      <w:color w:val="605E5C"/>
      <w:shd w:val="clear" w:color="auto" w:fill="E1DFDD"/>
    </w:rPr>
  </w:style>
  <w:style w:type="character" w:styleId="FollowedHyperlink">
    <w:name w:val="FollowedHyperlink"/>
    <w:basedOn w:val="DefaultParagraphFont"/>
    <w:uiPriority w:val="99"/>
    <w:semiHidden/>
    <w:unhideWhenUsed/>
    <w:rsid w:val="00C015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375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ateway.elieta.lv/api/v1/PublicMaterialDownload/f45b14e1-feba-4989-87dc-069665dc12a7"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gateway.elieta.lv/api/v1/PublicMaterialDownload/52118b8d-03b6-4395-8685-4ead4cf72930" TargetMode="External"/><Relationship Id="rId4" Type="http://schemas.openxmlformats.org/officeDocument/2006/relationships/webSettings" Target="webSettings.xml"/><Relationship Id="rId9" Type="http://schemas.openxmlformats.org/officeDocument/2006/relationships/hyperlink" Target="https://www.at.gov.lv/downloadlawfile/609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407CC-A92E-4A25-9B72-860B906C0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7001</Words>
  <Characters>3992</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2026-05-13T13:58:00Z</dcterms:created>
  <dcterms:modified xsi:type="dcterms:W3CDTF">2026-05-14T08:46:00Z</dcterms:modified>
</cp:coreProperties>
</file>