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F7D5" w14:textId="77777777" w:rsidR="00F95165" w:rsidRPr="00B6762E" w:rsidRDefault="00F95165" w:rsidP="00F95165">
      <w:pPr>
        <w:spacing w:line="276" w:lineRule="auto"/>
        <w:jc w:val="both"/>
        <w:rPr>
          <w:b/>
          <w:bCs/>
        </w:rPr>
      </w:pPr>
      <w:r w:rsidRPr="00B6762E">
        <w:rPr>
          <w:b/>
          <w:bCs/>
        </w:rPr>
        <w:t>Publiska izklaides vai svētku pasākuma norises vieta Krimināllikuma 253.</w:t>
      </w:r>
      <w:r w:rsidRPr="00B6762E">
        <w:rPr>
          <w:b/>
          <w:bCs/>
          <w:vertAlign w:val="superscript"/>
        </w:rPr>
        <w:t>1</w:t>
      </w:r>
      <w:r>
        <w:rPr>
          <w:b/>
          <w:bCs/>
        </w:rPr>
        <w:t> </w:t>
      </w:r>
      <w:r w:rsidRPr="00B6762E">
        <w:rPr>
          <w:b/>
          <w:bCs/>
        </w:rPr>
        <w:t>panta trešās daļas izpratnē</w:t>
      </w:r>
    </w:p>
    <w:p w14:paraId="2F41AEF9" w14:textId="77777777" w:rsidR="00F95165" w:rsidRDefault="00F95165" w:rsidP="00F95165">
      <w:pPr>
        <w:spacing w:line="276" w:lineRule="auto"/>
        <w:jc w:val="both"/>
      </w:pPr>
      <w:r w:rsidRPr="00B6762E">
        <w:t>Lai konkrētu teritoriju vai objektu atzītu par Krimināllikuma 253.</w:t>
      </w:r>
      <w:r w:rsidRPr="00B6762E">
        <w:rPr>
          <w:vertAlign w:val="superscript"/>
        </w:rPr>
        <w:t>1</w:t>
      </w:r>
      <w:r>
        <w:t> </w:t>
      </w:r>
      <w:r w:rsidRPr="00B6762E">
        <w:t xml:space="preserve">panta trešajā daļā paredzēto īpašo narkotisko vai psihotropo vielu realizācijas vietu – publisku izklaides vai svētku pasākuma norises vietu –, ir jākonstatē, ka attiecīgajā vietā notiek vai tiek organizēts publisks izklaides vai svētku pasākums, neatkarīgi no tā, kāda ir attiecīgās teritorijas vai objekta </w:t>
      </w:r>
      <w:r w:rsidRPr="00345985">
        <w:t>funkcionālā nozīme</w:t>
      </w:r>
      <w:r w:rsidRPr="00B6762E">
        <w:t xml:space="preserve">. </w:t>
      </w:r>
    </w:p>
    <w:p w14:paraId="1FB2C807" w14:textId="77777777" w:rsidR="00F95165" w:rsidRPr="00B6762E" w:rsidRDefault="00F95165" w:rsidP="00F95165">
      <w:pPr>
        <w:spacing w:line="276" w:lineRule="auto"/>
        <w:jc w:val="both"/>
      </w:pPr>
    </w:p>
    <w:p w14:paraId="470D8A88" w14:textId="77777777" w:rsidR="00F95165" w:rsidRPr="00DE5398" w:rsidRDefault="00F95165" w:rsidP="00F95165">
      <w:pPr>
        <w:spacing w:line="276" w:lineRule="auto"/>
        <w:jc w:val="both"/>
        <w:rPr>
          <w:b/>
          <w:bCs/>
        </w:rPr>
      </w:pPr>
      <w:r w:rsidRPr="00B6762E">
        <w:rPr>
          <w:b/>
          <w:bCs/>
        </w:rPr>
        <w:t xml:space="preserve">Nozieguma mēģinājums – </w:t>
      </w:r>
      <w:r w:rsidRPr="00DE5398">
        <w:rPr>
          <w:b/>
          <w:bCs/>
        </w:rPr>
        <w:t xml:space="preserve">darbības ar augu izcelsmes vielu, </w:t>
      </w:r>
      <w:r>
        <w:rPr>
          <w:b/>
          <w:bCs/>
        </w:rPr>
        <w:t>maldīgi</w:t>
      </w:r>
      <w:r w:rsidRPr="00DE5398">
        <w:rPr>
          <w:b/>
          <w:bCs/>
        </w:rPr>
        <w:t xml:space="preserve"> uzskatot, ka tā satur izžāvētu marihuānu</w:t>
      </w:r>
    </w:p>
    <w:p w14:paraId="6D885C58" w14:textId="77777777" w:rsidR="00F95165" w:rsidRPr="00B6762E" w:rsidRDefault="00F95165" w:rsidP="00F95165">
      <w:pPr>
        <w:spacing w:line="276" w:lineRule="auto"/>
        <w:jc w:val="both"/>
      </w:pPr>
      <w:r w:rsidRPr="00B6762E">
        <w:t xml:space="preserve">Ja persona </w:t>
      </w:r>
      <w:r>
        <w:t>maldīgi uzskata, ka</w:t>
      </w:r>
      <w:r w:rsidRPr="00B6762E">
        <w:t xml:space="preserve"> glabā un realizācijas nolūkā pārvadā narkotisko vielu – izžāvētu marihuānu –, bet augu valsts produkts </w:t>
      </w:r>
      <w:r>
        <w:t xml:space="preserve">nav ar </w:t>
      </w:r>
      <w:r w:rsidRPr="00B6762E">
        <w:t>narkotisku iedarbību</w:t>
      </w:r>
      <w:r>
        <w:t>,</w:t>
      </w:r>
      <w:r w:rsidRPr="00B6762E">
        <w:t xml:space="preserve"> šādas personas darbības atbilst Krimināllikuma 253.</w:t>
      </w:r>
      <w:r w:rsidRPr="002738FA">
        <w:rPr>
          <w:vertAlign w:val="superscript"/>
        </w:rPr>
        <w:t>1</w:t>
      </w:r>
      <w:r>
        <w:t> </w:t>
      </w:r>
      <w:r w:rsidRPr="00B6762E">
        <w:t>pantā paredzētā noziedzīgā nodarījuma mēģinājumam.</w:t>
      </w:r>
    </w:p>
    <w:p w14:paraId="6BE2D659" w14:textId="77777777" w:rsidR="00F95165" w:rsidRDefault="00F95165" w:rsidP="008B485F">
      <w:pPr>
        <w:widowControl w:val="0"/>
        <w:spacing w:line="276" w:lineRule="auto"/>
        <w:jc w:val="center"/>
        <w:rPr>
          <w:b/>
        </w:rPr>
      </w:pPr>
    </w:p>
    <w:p w14:paraId="30EF74F0" w14:textId="5D06E097" w:rsidR="00447EE6" w:rsidRDefault="00447EE6" w:rsidP="008B485F">
      <w:pPr>
        <w:widowControl w:val="0"/>
        <w:spacing w:line="276" w:lineRule="auto"/>
        <w:jc w:val="center"/>
        <w:rPr>
          <w:b/>
        </w:rPr>
      </w:pPr>
      <w:r w:rsidRPr="00D073FB">
        <w:rPr>
          <w:b/>
        </w:rPr>
        <w:t>Latvijas Republikas Senāt</w:t>
      </w:r>
      <w:r w:rsidR="00A13339">
        <w:rPr>
          <w:b/>
        </w:rPr>
        <w:t>a</w:t>
      </w:r>
    </w:p>
    <w:p w14:paraId="7F39B9B6" w14:textId="7750B1DF" w:rsidR="00A13339" w:rsidRPr="00A13339" w:rsidRDefault="00A13339" w:rsidP="00A13339">
      <w:pPr>
        <w:widowControl w:val="0"/>
        <w:spacing w:line="276" w:lineRule="auto"/>
        <w:jc w:val="center"/>
        <w:rPr>
          <w:b/>
          <w:bCs/>
          <w:lang w:eastAsia="lv-LV"/>
        </w:rPr>
      </w:pPr>
      <w:r w:rsidRPr="00A13339">
        <w:rPr>
          <w:b/>
          <w:bCs/>
          <w:lang w:eastAsia="lv-LV"/>
        </w:rPr>
        <w:t>Krimināllietu departament</w:t>
      </w:r>
      <w:r>
        <w:rPr>
          <w:b/>
          <w:bCs/>
          <w:lang w:eastAsia="lv-LV"/>
        </w:rPr>
        <w:t>a</w:t>
      </w:r>
    </w:p>
    <w:p w14:paraId="47BEC3CE" w14:textId="7237721D" w:rsidR="00A13339" w:rsidRPr="00A13339" w:rsidRDefault="00A13339" w:rsidP="008B485F">
      <w:pPr>
        <w:widowControl w:val="0"/>
        <w:spacing w:line="276" w:lineRule="auto"/>
        <w:jc w:val="center"/>
        <w:rPr>
          <w:b/>
          <w:bCs/>
        </w:rPr>
      </w:pPr>
      <w:r w:rsidRPr="00A13339">
        <w:rPr>
          <w:b/>
          <w:bCs/>
        </w:rPr>
        <w:t>2026. gada [..]</w:t>
      </w:r>
    </w:p>
    <w:p w14:paraId="1E025E86" w14:textId="5156C7AE" w:rsidR="00A13339" w:rsidRPr="00A13339" w:rsidRDefault="00070008" w:rsidP="00A13339">
      <w:pPr>
        <w:widowControl w:val="0"/>
        <w:spacing w:line="276" w:lineRule="auto"/>
        <w:jc w:val="center"/>
        <w:rPr>
          <w:b/>
          <w:bCs/>
        </w:rPr>
      </w:pPr>
      <w:r w:rsidRPr="00A13339">
        <w:rPr>
          <w:b/>
          <w:bCs/>
        </w:rPr>
        <w:t>LĒMUMS</w:t>
      </w:r>
      <w:r w:rsidR="00A13339" w:rsidRPr="00A13339">
        <w:rPr>
          <w:b/>
          <w:bCs/>
          <w:vertAlign w:val="superscript"/>
        </w:rPr>
        <w:t xml:space="preserve"> </w:t>
      </w:r>
      <w:r w:rsidR="00A13339" w:rsidRPr="00A13339">
        <w:rPr>
          <w:b/>
          <w:bCs/>
          <w:vertAlign w:val="superscript"/>
        </w:rPr>
        <w:footnoteReference w:id="1"/>
      </w:r>
      <w:r w:rsidR="00A13339" w:rsidRPr="00A13339">
        <w:rPr>
          <w:b/>
          <w:bCs/>
        </w:rPr>
        <w:t xml:space="preserve"> </w:t>
      </w:r>
    </w:p>
    <w:p w14:paraId="680218A1" w14:textId="1BC22D20" w:rsidR="00A13339" w:rsidRPr="00A13339" w:rsidRDefault="00A13339" w:rsidP="00A13339">
      <w:pPr>
        <w:widowControl w:val="0"/>
        <w:spacing w:line="276" w:lineRule="auto"/>
        <w:jc w:val="center"/>
        <w:rPr>
          <w:b/>
          <w:bCs/>
          <w:lang w:eastAsia="lv-LV"/>
        </w:rPr>
      </w:pPr>
      <w:r w:rsidRPr="00A13339">
        <w:rPr>
          <w:b/>
          <w:bCs/>
          <w:lang w:eastAsia="lv-LV"/>
        </w:rPr>
        <w:t>Lieta Nr. </w:t>
      </w:r>
      <w:r>
        <w:rPr>
          <w:b/>
          <w:bCs/>
          <w:lang w:eastAsia="lv-LV"/>
        </w:rPr>
        <w:t>[..]</w:t>
      </w:r>
      <w:r w:rsidRPr="00A13339">
        <w:rPr>
          <w:b/>
          <w:bCs/>
          <w:lang w:eastAsia="lv-LV"/>
        </w:rPr>
        <w:t>, SKK</w:t>
      </w:r>
      <w:r w:rsidRPr="00A13339">
        <w:rPr>
          <w:b/>
          <w:bCs/>
          <w:lang w:eastAsia="lv-LV"/>
        </w:rPr>
        <w:noBreakHyphen/>
        <w:t>J</w:t>
      </w:r>
      <w:r w:rsidRPr="00A13339">
        <w:rPr>
          <w:b/>
          <w:bCs/>
          <w:lang w:eastAsia="lv-LV"/>
        </w:rPr>
        <w:noBreakHyphen/>
      </w:r>
      <w:r>
        <w:rPr>
          <w:b/>
          <w:bCs/>
          <w:lang w:eastAsia="lv-LV"/>
        </w:rPr>
        <w:t>[B]</w:t>
      </w:r>
      <w:r w:rsidRPr="00A13339">
        <w:rPr>
          <w:b/>
          <w:bCs/>
          <w:lang w:eastAsia="lv-LV"/>
        </w:rPr>
        <w:t>/2026</w:t>
      </w:r>
    </w:p>
    <w:p w14:paraId="6D65DEB2" w14:textId="39E56D84" w:rsidR="00447EE6" w:rsidRPr="00D073FB" w:rsidRDefault="00A13339" w:rsidP="00A13339">
      <w:pPr>
        <w:widowControl w:val="0"/>
        <w:spacing w:line="276" w:lineRule="auto"/>
        <w:jc w:val="center"/>
      </w:pPr>
      <w:r w:rsidRPr="00A13339">
        <w:t>ECLI:LV:AT:2026:</w:t>
      </w:r>
      <w:r>
        <w:t>[..]</w:t>
      </w:r>
    </w:p>
    <w:p w14:paraId="48EB9CDA" w14:textId="77777777" w:rsidR="00070008" w:rsidRPr="00D073FB" w:rsidRDefault="00070008" w:rsidP="008B485F">
      <w:pPr>
        <w:widowControl w:val="0"/>
        <w:spacing w:line="276" w:lineRule="auto"/>
        <w:ind w:firstLine="720"/>
        <w:jc w:val="both"/>
      </w:pPr>
    </w:p>
    <w:p w14:paraId="1609D6F5" w14:textId="3E9B53D5" w:rsidR="00447EE6" w:rsidRPr="00D073FB" w:rsidRDefault="00447EE6" w:rsidP="008B485F">
      <w:pPr>
        <w:widowControl w:val="0"/>
        <w:spacing w:line="276" w:lineRule="auto"/>
        <w:ind w:firstLine="720"/>
        <w:jc w:val="both"/>
      </w:pPr>
      <w:r w:rsidRPr="00D073FB">
        <w:t>Senāts šādā sastāvā:</w:t>
      </w:r>
      <w:r w:rsidR="00070008" w:rsidRPr="00D073FB">
        <w:t> senators referents Aivars Uminskis, senator</w:t>
      </w:r>
      <w:r w:rsidR="00AA69AB" w:rsidRPr="00D073FB">
        <w:t>es</w:t>
      </w:r>
      <w:r w:rsidR="00070008" w:rsidRPr="00D073FB">
        <w:t xml:space="preserve"> </w:t>
      </w:r>
      <w:r w:rsidR="00721298" w:rsidRPr="00D073FB">
        <w:t>Aija Branta</w:t>
      </w:r>
      <w:r w:rsidR="00070008" w:rsidRPr="00D073FB">
        <w:t xml:space="preserve"> un </w:t>
      </w:r>
      <w:r w:rsidR="00AA69AB" w:rsidRPr="00D073FB">
        <w:t>Sandra Kaija</w:t>
      </w:r>
    </w:p>
    <w:p w14:paraId="5F6E26E1" w14:textId="77777777" w:rsidR="00070008" w:rsidRPr="00D073FB" w:rsidRDefault="00070008" w:rsidP="008B485F">
      <w:pPr>
        <w:widowControl w:val="0"/>
        <w:spacing w:line="276" w:lineRule="auto"/>
        <w:ind w:firstLine="720"/>
        <w:jc w:val="both"/>
      </w:pPr>
    </w:p>
    <w:p w14:paraId="7F2316AA" w14:textId="467ED48E" w:rsidR="00070008" w:rsidRPr="00D073FB" w:rsidRDefault="00070008" w:rsidP="008B485F">
      <w:pPr>
        <w:widowControl w:val="0"/>
        <w:spacing w:line="276" w:lineRule="auto"/>
        <w:ind w:firstLine="720"/>
        <w:jc w:val="both"/>
      </w:pPr>
      <w:r w:rsidRPr="00D073FB">
        <w:t xml:space="preserve">rakstveida procesā izskatīja krimināllietu sakarā ar </w:t>
      </w:r>
      <w:r w:rsidR="003B7BB5" w:rsidRPr="00D073FB">
        <w:t xml:space="preserve">zvērināta advokāta Laura </w:t>
      </w:r>
      <w:proofErr w:type="spellStart"/>
      <w:r w:rsidR="003B7BB5" w:rsidRPr="00D073FB">
        <w:t>Matisāna</w:t>
      </w:r>
      <w:proofErr w:type="spellEnd"/>
      <w:r w:rsidR="003B7BB5" w:rsidRPr="00D073FB">
        <w:t xml:space="preserve"> notiesātā </w:t>
      </w:r>
      <w:r w:rsidR="00A13339">
        <w:t>[pers. A]</w:t>
      </w:r>
      <w:r w:rsidR="003B7BB5" w:rsidRPr="00D073FB">
        <w:t xml:space="preserve"> uzdevumā Kriminālprocesa likuma 63. nodaļas kārtībā iesniegto pieteikumu</w:t>
      </w:r>
      <w:r w:rsidR="0060505B" w:rsidRPr="00D073FB">
        <w:t xml:space="preserve"> par </w:t>
      </w:r>
      <w:r w:rsidR="00A13339">
        <w:t>[..]</w:t>
      </w:r>
      <w:r w:rsidR="00A656FE" w:rsidRPr="00D073FB">
        <w:t xml:space="preserve"> apgabaltiesas 20</w:t>
      </w:r>
      <w:r w:rsidR="009F484B" w:rsidRPr="00D073FB">
        <w:t>07</w:t>
      </w:r>
      <w:r w:rsidR="00A656FE" w:rsidRPr="00D073FB">
        <w:t>.</w:t>
      </w:r>
      <w:r w:rsidR="009F484B" w:rsidRPr="00D073FB">
        <w:t> </w:t>
      </w:r>
      <w:r w:rsidR="00A656FE" w:rsidRPr="00D073FB">
        <w:t xml:space="preserve">gada </w:t>
      </w:r>
      <w:r w:rsidR="00A13339">
        <w:t>[..]</w:t>
      </w:r>
      <w:r w:rsidR="00A656FE" w:rsidRPr="00D073FB">
        <w:t xml:space="preserve"> </w:t>
      </w:r>
      <w:r w:rsidR="009F484B" w:rsidRPr="00D073FB">
        <w:t>spriedumu</w:t>
      </w:r>
      <w:r w:rsidR="00A656FE" w:rsidRPr="00D073FB">
        <w:t>.</w:t>
      </w:r>
    </w:p>
    <w:p w14:paraId="553F63C4" w14:textId="77777777" w:rsidR="00070008" w:rsidRPr="00D073FB" w:rsidRDefault="00070008" w:rsidP="008B485F">
      <w:pPr>
        <w:widowControl w:val="0"/>
        <w:spacing w:line="276" w:lineRule="auto"/>
        <w:ind w:firstLine="720"/>
        <w:jc w:val="both"/>
        <w:rPr>
          <w:lang w:eastAsia="lv-LV"/>
        </w:rPr>
      </w:pPr>
    </w:p>
    <w:p w14:paraId="12882064" w14:textId="77777777" w:rsidR="00447EE6" w:rsidRPr="00D073FB" w:rsidRDefault="00447EE6" w:rsidP="008B485F">
      <w:pPr>
        <w:widowControl w:val="0"/>
        <w:spacing w:line="276" w:lineRule="auto"/>
        <w:jc w:val="center"/>
        <w:rPr>
          <w:b/>
          <w:shd w:val="clear" w:color="auto" w:fill="FFFFFF"/>
        </w:rPr>
      </w:pPr>
      <w:r w:rsidRPr="00D073FB">
        <w:rPr>
          <w:b/>
          <w:shd w:val="clear" w:color="auto" w:fill="FFFFFF"/>
        </w:rPr>
        <w:t>Aprakstošā daļa</w:t>
      </w:r>
    </w:p>
    <w:p w14:paraId="0D501CCF" w14:textId="77777777" w:rsidR="00A656FE" w:rsidRPr="00D073FB" w:rsidRDefault="00A656FE" w:rsidP="008B485F">
      <w:pPr>
        <w:widowControl w:val="0"/>
        <w:spacing w:line="276" w:lineRule="auto"/>
        <w:ind w:firstLine="720"/>
        <w:jc w:val="both"/>
        <w:rPr>
          <w:bCs/>
          <w:shd w:val="clear" w:color="auto" w:fill="FFFFFF"/>
        </w:rPr>
      </w:pPr>
    </w:p>
    <w:p w14:paraId="0B4F5653" w14:textId="2ED25B38" w:rsidR="00447EE6" w:rsidRPr="00D073FB" w:rsidRDefault="00447EE6" w:rsidP="008B485F">
      <w:pPr>
        <w:pStyle w:val="NormalWeb"/>
        <w:widowControl w:val="0"/>
        <w:shd w:val="clear" w:color="auto" w:fill="FFFFFF"/>
        <w:spacing w:before="0" w:beforeAutospacing="0" w:after="0" w:afterAutospacing="0" w:line="276" w:lineRule="auto"/>
        <w:ind w:firstLine="720"/>
        <w:jc w:val="both"/>
        <w:rPr>
          <w:shd w:val="clear" w:color="auto" w:fill="FFFFFF"/>
        </w:rPr>
      </w:pPr>
      <w:r w:rsidRPr="00D073FB">
        <w:rPr>
          <w:shd w:val="clear" w:color="auto" w:fill="FFFFFF"/>
        </w:rPr>
        <w:t>[1]</w:t>
      </w:r>
      <w:r w:rsidR="00A656FE" w:rsidRPr="00D073FB">
        <w:rPr>
          <w:shd w:val="clear" w:color="auto" w:fill="FFFFFF"/>
        </w:rPr>
        <w:t> </w:t>
      </w:r>
      <w:r w:rsidR="004C66FC" w:rsidRPr="00D073FB">
        <w:rPr>
          <w:shd w:val="clear" w:color="auto" w:fill="FFFFFF"/>
        </w:rPr>
        <w:t xml:space="preserve">Ar </w:t>
      </w:r>
      <w:r w:rsidR="00A13339">
        <w:rPr>
          <w:shd w:val="clear" w:color="auto" w:fill="FFFFFF"/>
        </w:rPr>
        <w:t>[..]</w:t>
      </w:r>
      <w:r w:rsidR="008626BC" w:rsidRPr="00D073FB">
        <w:rPr>
          <w:shd w:val="clear" w:color="auto" w:fill="FFFFFF"/>
        </w:rPr>
        <w:t xml:space="preserve"> apgabaltiesas</w:t>
      </w:r>
      <w:r w:rsidR="004C66FC" w:rsidRPr="00D073FB">
        <w:rPr>
          <w:shd w:val="clear" w:color="auto" w:fill="FFFFFF"/>
        </w:rPr>
        <w:t xml:space="preserve"> 20</w:t>
      </w:r>
      <w:r w:rsidR="008626BC" w:rsidRPr="00D073FB">
        <w:rPr>
          <w:shd w:val="clear" w:color="auto" w:fill="FFFFFF"/>
        </w:rPr>
        <w:t>07</w:t>
      </w:r>
      <w:r w:rsidR="004C66FC" w:rsidRPr="00D073FB">
        <w:rPr>
          <w:shd w:val="clear" w:color="auto" w:fill="FFFFFF"/>
        </w:rPr>
        <w:t>.</w:t>
      </w:r>
      <w:r w:rsidR="008626BC" w:rsidRPr="00D073FB">
        <w:rPr>
          <w:shd w:val="clear" w:color="auto" w:fill="FFFFFF"/>
        </w:rPr>
        <w:t> </w:t>
      </w:r>
      <w:r w:rsidR="004C66FC" w:rsidRPr="00D073FB">
        <w:rPr>
          <w:shd w:val="clear" w:color="auto" w:fill="FFFFFF"/>
        </w:rPr>
        <w:t xml:space="preserve">gada </w:t>
      </w:r>
      <w:r w:rsidR="00A13339">
        <w:rPr>
          <w:shd w:val="clear" w:color="auto" w:fill="FFFFFF"/>
        </w:rPr>
        <w:t>[..]</w:t>
      </w:r>
      <w:r w:rsidR="004C66FC" w:rsidRPr="00D073FB">
        <w:rPr>
          <w:shd w:val="clear" w:color="auto" w:fill="FFFFFF"/>
        </w:rPr>
        <w:t xml:space="preserve"> spriedumu</w:t>
      </w:r>
    </w:p>
    <w:p w14:paraId="3E031914" w14:textId="1CBD36D6" w:rsidR="004C66FC" w:rsidRPr="00D073FB" w:rsidRDefault="00A13339" w:rsidP="008B485F">
      <w:pPr>
        <w:pStyle w:val="NormalWeb"/>
        <w:widowControl w:val="0"/>
        <w:shd w:val="clear" w:color="auto" w:fill="FFFFFF"/>
        <w:spacing w:before="0" w:beforeAutospacing="0" w:after="0" w:afterAutospacing="0" w:line="276" w:lineRule="auto"/>
        <w:ind w:firstLine="720"/>
        <w:jc w:val="both"/>
        <w:rPr>
          <w:shd w:val="clear" w:color="auto" w:fill="FFFFFF"/>
        </w:rPr>
      </w:pPr>
      <w:r>
        <w:t>[pers. A]</w:t>
      </w:r>
      <w:r w:rsidR="004C66FC" w:rsidRPr="00D073FB">
        <w:rPr>
          <w:shd w:val="clear" w:color="auto" w:fill="FFFFFF"/>
        </w:rPr>
        <w:t xml:space="preserve">, personas kods </w:t>
      </w:r>
      <w:r>
        <w:rPr>
          <w:shd w:val="clear" w:color="auto" w:fill="FFFFFF"/>
        </w:rPr>
        <w:t>[..]</w:t>
      </w:r>
      <w:r w:rsidR="004C66FC" w:rsidRPr="00D073FB">
        <w:rPr>
          <w:shd w:val="clear" w:color="auto" w:fill="FFFFFF"/>
        </w:rPr>
        <w:t>,</w:t>
      </w:r>
    </w:p>
    <w:p w14:paraId="02E81342" w14:textId="4C80E56D" w:rsidR="004C66FC" w:rsidRPr="00D073FB" w:rsidRDefault="004C66FC" w:rsidP="008B485F">
      <w:pPr>
        <w:pStyle w:val="NormalWeb"/>
        <w:widowControl w:val="0"/>
        <w:shd w:val="clear" w:color="auto" w:fill="FFFFFF"/>
        <w:spacing w:before="0" w:beforeAutospacing="0" w:after="0" w:afterAutospacing="0" w:line="276" w:lineRule="auto"/>
        <w:ind w:firstLine="720"/>
        <w:jc w:val="both"/>
        <w:rPr>
          <w:shd w:val="clear" w:color="auto" w:fill="FFFFFF"/>
        </w:rPr>
      </w:pPr>
      <w:r w:rsidRPr="00D073FB">
        <w:rPr>
          <w:shd w:val="clear" w:color="auto" w:fill="FFFFFF"/>
        </w:rPr>
        <w:t xml:space="preserve">atzīts par vainīgu Krimināllikuma </w:t>
      </w:r>
      <w:r w:rsidR="0088318E" w:rsidRPr="00D073FB">
        <w:rPr>
          <w:shd w:val="clear" w:color="auto" w:fill="FFFFFF"/>
        </w:rPr>
        <w:t>15. panta ceturtajā daļā un 253</w:t>
      </w:r>
      <w:r w:rsidRPr="00D073FB">
        <w:rPr>
          <w:shd w:val="clear" w:color="auto" w:fill="FFFFFF"/>
        </w:rPr>
        <w:t>.</w:t>
      </w:r>
      <w:r w:rsidR="0088318E" w:rsidRPr="00D073FB">
        <w:rPr>
          <w:shd w:val="clear" w:color="auto" w:fill="FFFFFF"/>
          <w:vertAlign w:val="superscript"/>
        </w:rPr>
        <w:t>1</w:t>
      </w:r>
      <w:r w:rsidR="00404FAD" w:rsidRPr="00D073FB">
        <w:rPr>
          <w:shd w:val="clear" w:color="auto" w:fill="FFFFFF"/>
        </w:rPr>
        <w:t> </w:t>
      </w:r>
      <w:r w:rsidRPr="00D073FB">
        <w:rPr>
          <w:shd w:val="clear" w:color="auto" w:fill="FFFFFF"/>
        </w:rPr>
        <w:t>panta trešajā daļā paredzētajā noziedzīgajā nodarījumā un</w:t>
      </w:r>
      <w:r w:rsidR="00F05B72" w:rsidRPr="00D073FB">
        <w:rPr>
          <w:shd w:val="clear" w:color="auto" w:fill="FFFFFF"/>
        </w:rPr>
        <w:t xml:space="preserve">, piemērojot </w:t>
      </w:r>
      <w:r w:rsidR="00AA69AB" w:rsidRPr="00D073FB">
        <w:rPr>
          <w:shd w:val="clear" w:color="auto" w:fill="FFFFFF"/>
        </w:rPr>
        <w:t>Krimināllikuma 49. pantu,</w:t>
      </w:r>
      <w:r w:rsidRPr="00D073FB">
        <w:rPr>
          <w:shd w:val="clear" w:color="auto" w:fill="FFFFFF"/>
        </w:rPr>
        <w:t xml:space="preserve"> sodīts ar brīvības atņemšanu uz </w:t>
      </w:r>
      <w:r w:rsidR="0088318E" w:rsidRPr="00D073FB">
        <w:rPr>
          <w:shd w:val="clear" w:color="auto" w:fill="FFFFFF"/>
        </w:rPr>
        <w:t>2 </w:t>
      </w:r>
      <w:r w:rsidRPr="00D073FB">
        <w:rPr>
          <w:shd w:val="clear" w:color="auto" w:fill="FFFFFF"/>
        </w:rPr>
        <w:t>gadiem.</w:t>
      </w:r>
    </w:p>
    <w:p w14:paraId="653CE388" w14:textId="2DBBCDB8" w:rsidR="009A44AB" w:rsidRPr="00D073FB" w:rsidRDefault="009A44AB" w:rsidP="008B485F">
      <w:pPr>
        <w:pStyle w:val="NormalWeb"/>
        <w:widowControl w:val="0"/>
        <w:shd w:val="clear" w:color="auto" w:fill="FFFFFF"/>
        <w:spacing w:before="0" w:beforeAutospacing="0" w:after="0" w:afterAutospacing="0" w:line="276" w:lineRule="auto"/>
        <w:ind w:firstLine="720"/>
        <w:jc w:val="both"/>
        <w:rPr>
          <w:shd w:val="clear" w:color="auto" w:fill="FFFFFF"/>
        </w:rPr>
      </w:pPr>
      <w:r w:rsidRPr="00D073FB">
        <w:rPr>
          <w:shd w:val="clear" w:color="auto" w:fill="FFFFFF"/>
        </w:rPr>
        <w:t xml:space="preserve">Saskaņā ar Krimināllikuma 55. pantu </w:t>
      </w:r>
      <w:r w:rsidR="00A13339">
        <w:t>[pers. A]</w:t>
      </w:r>
      <w:r w:rsidRPr="00D073FB">
        <w:rPr>
          <w:shd w:val="clear" w:color="auto" w:fill="FFFFFF"/>
        </w:rPr>
        <w:t xml:space="preserve"> notiesāts nosacīti ar pārbaudes laiku uz 2 gadiem.</w:t>
      </w:r>
    </w:p>
    <w:p w14:paraId="3FDBE407" w14:textId="77777777" w:rsidR="00716F7E" w:rsidRPr="00D073FB" w:rsidRDefault="00716F7E" w:rsidP="008B485F">
      <w:pPr>
        <w:pStyle w:val="NormalWeb"/>
        <w:widowControl w:val="0"/>
        <w:shd w:val="clear" w:color="auto" w:fill="FFFFFF"/>
        <w:spacing w:before="0" w:beforeAutospacing="0" w:after="0" w:afterAutospacing="0" w:line="276" w:lineRule="auto"/>
        <w:ind w:firstLine="720"/>
        <w:jc w:val="both"/>
        <w:rPr>
          <w:shd w:val="clear" w:color="auto" w:fill="FFFFFF"/>
        </w:rPr>
      </w:pPr>
    </w:p>
    <w:p w14:paraId="143DCAAF" w14:textId="33B92F48" w:rsidR="00716F7E" w:rsidRPr="00D073FB" w:rsidRDefault="00716F7E" w:rsidP="008B485F">
      <w:pPr>
        <w:pStyle w:val="NormalWeb"/>
        <w:widowControl w:val="0"/>
        <w:shd w:val="clear" w:color="auto" w:fill="FFFFFF"/>
        <w:spacing w:before="0" w:beforeAutospacing="0" w:after="0" w:afterAutospacing="0" w:line="276" w:lineRule="auto"/>
        <w:ind w:firstLine="720"/>
        <w:jc w:val="both"/>
        <w:rPr>
          <w:shd w:val="clear" w:color="auto" w:fill="FFFFFF"/>
        </w:rPr>
      </w:pPr>
      <w:r w:rsidRPr="00D073FB">
        <w:rPr>
          <w:shd w:val="clear" w:color="auto" w:fill="FFFFFF"/>
        </w:rPr>
        <w:t xml:space="preserve">[2] Lietā vēl atzīts par vainīgu un sodīts </w:t>
      </w:r>
      <w:r w:rsidR="00A13339">
        <w:t>[pers. B]</w:t>
      </w:r>
      <w:r w:rsidRPr="00D073FB">
        <w:rPr>
          <w:shd w:val="clear" w:color="auto" w:fill="FFFFFF"/>
        </w:rPr>
        <w:t>, par kuru pieteikums nav iesniegts.</w:t>
      </w:r>
    </w:p>
    <w:p w14:paraId="633AE1D1" w14:textId="77777777" w:rsidR="004C66FC" w:rsidRPr="00D073FB" w:rsidRDefault="004C66FC" w:rsidP="008B485F">
      <w:pPr>
        <w:pStyle w:val="NormalWeb"/>
        <w:widowControl w:val="0"/>
        <w:shd w:val="clear" w:color="auto" w:fill="FFFFFF"/>
        <w:spacing w:before="0" w:beforeAutospacing="0" w:after="0" w:afterAutospacing="0" w:line="276" w:lineRule="auto"/>
        <w:ind w:firstLine="720"/>
        <w:jc w:val="both"/>
        <w:rPr>
          <w:shd w:val="clear" w:color="auto" w:fill="FFFFFF"/>
        </w:rPr>
      </w:pPr>
    </w:p>
    <w:p w14:paraId="4C7BD002" w14:textId="4153DD73" w:rsidR="004C66FC" w:rsidRPr="00D073FB" w:rsidRDefault="004C66FC" w:rsidP="008B485F">
      <w:pPr>
        <w:pStyle w:val="NormalWeb"/>
        <w:widowControl w:val="0"/>
        <w:shd w:val="clear" w:color="auto" w:fill="FFFFFF"/>
        <w:spacing w:before="0" w:beforeAutospacing="0" w:after="0" w:afterAutospacing="0" w:line="276" w:lineRule="auto"/>
        <w:ind w:firstLine="720"/>
        <w:jc w:val="both"/>
        <w:rPr>
          <w:shd w:val="clear" w:color="auto" w:fill="FFFFFF"/>
        </w:rPr>
      </w:pPr>
      <w:r w:rsidRPr="00D073FB">
        <w:rPr>
          <w:shd w:val="clear" w:color="auto" w:fill="FFFFFF"/>
        </w:rPr>
        <w:t>[</w:t>
      </w:r>
      <w:r w:rsidR="00B068BE" w:rsidRPr="00D073FB">
        <w:rPr>
          <w:shd w:val="clear" w:color="auto" w:fill="FFFFFF"/>
        </w:rPr>
        <w:t>3</w:t>
      </w:r>
      <w:r w:rsidRPr="00D073FB">
        <w:rPr>
          <w:shd w:val="clear" w:color="auto" w:fill="FFFFFF"/>
        </w:rPr>
        <w:t>]</w:t>
      </w:r>
      <w:r w:rsidR="00B41076" w:rsidRPr="00D073FB">
        <w:rPr>
          <w:shd w:val="clear" w:color="auto" w:fill="FFFFFF"/>
        </w:rPr>
        <w:t> </w:t>
      </w:r>
      <w:r w:rsidR="009102D4" w:rsidRPr="00D073FB">
        <w:rPr>
          <w:shd w:val="clear" w:color="auto" w:fill="FFFFFF"/>
        </w:rPr>
        <w:t xml:space="preserve">Ar </w:t>
      </w:r>
      <w:r w:rsidR="00F95165">
        <w:rPr>
          <w:shd w:val="clear" w:color="auto" w:fill="FFFFFF"/>
        </w:rPr>
        <w:t>[..]</w:t>
      </w:r>
      <w:r w:rsidR="00B41076" w:rsidRPr="00D073FB">
        <w:rPr>
          <w:shd w:val="clear" w:color="auto" w:fill="FFFFFF"/>
        </w:rPr>
        <w:t xml:space="preserve"> apgabaltiesas 2007. gada </w:t>
      </w:r>
      <w:r w:rsidR="00A13339">
        <w:rPr>
          <w:shd w:val="clear" w:color="auto" w:fill="FFFFFF"/>
        </w:rPr>
        <w:t>[..]</w:t>
      </w:r>
      <w:r w:rsidR="009102D4" w:rsidRPr="00D073FB">
        <w:rPr>
          <w:shd w:val="clear" w:color="auto" w:fill="FFFFFF"/>
        </w:rPr>
        <w:t xml:space="preserve"> spriedumu </w:t>
      </w:r>
      <w:r w:rsidR="00A13339">
        <w:t>[pers. A]</w:t>
      </w:r>
      <w:r w:rsidR="009102D4" w:rsidRPr="00D073FB">
        <w:rPr>
          <w:shd w:val="clear" w:color="auto" w:fill="FFFFFF"/>
        </w:rPr>
        <w:t xml:space="preserve"> atzīts par vainīgu un </w:t>
      </w:r>
      <w:r w:rsidR="009102D4" w:rsidRPr="00D073FB">
        <w:rPr>
          <w:shd w:val="clear" w:color="auto" w:fill="FFFFFF"/>
        </w:rPr>
        <w:lastRenderedPageBreak/>
        <w:t xml:space="preserve">sodīts par </w:t>
      </w:r>
      <w:r w:rsidR="008F6666" w:rsidRPr="00D073FB">
        <w:rPr>
          <w:shd w:val="clear" w:color="auto" w:fill="FFFFFF"/>
        </w:rPr>
        <w:t>mēģinājumu neatļauti iegādāties, glabāt, pārvadāt realizācijas nolūkā un neatļauti realizēt narkotiskās vielas nepilngadīgām personām izglītības iestāžu teritorijā un publiskās izklaides un svētku pasākumu norises vietās</w:t>
      </w:r>
      <w:r w:rsidR="009102D4" w:rsidRPr="00D073FB">
        <w:rPr>
          <w:shd w:val="clear" w:color="auto" w:fill="FFFFFF"/>
        </w:rPr>
        <w:t>.</w:t>
      </w:r>
    </w:p>
    <w:p w14:paraId="5B8037BD" w14:textId="77777777" w:rsidR="009102D4" w:rsidRPr="00D073FB" w:rsidRDefault="009102D4" w:rsidP="008B485F">
      <w:pPr>
        <w:pStyle w:val="NormalWeb"/>
        <w:widowControl w:val="0"/>
        <w:shd w:val="clear" w:color="auto" w:fill="FFFFFF"/>
        <w:spacing w:before="0" w:beforeAutospacing="0" w:after="0" w:afterAutospacing="0" w:line="276" w:lineRule="auto"/>
        <w:ind w:firstLine="720"/>
        <w:jc w:val="both"/>
        <w:rPr>
          <w:shd w:val="clear" w:color="auto" w:fill="FFFFFF"/>
        </w:rPr>
      </w:pPr>
    </w:p>
    <w:p w14:paraId="1FB7F89B" w14:textId="0AB26946" w:rsidR="009102D4" w:rsidRPr="00D073FB" w:rsidRDefault="009102D4" w:rsidP="008B485F">
      <w:pPr>
        <w:pStyle w:val="NormalWeb"/>
        <w:widowControl w:val="0"/>
        <w:shd w:val="clear" w:color="auto" w:fill="FFFFFF"/>
        <w:spacing w:before="0" w:beforeAutospacing="0" w:after="0" w:afterAutospacing="0" w:line="276" w:lineRule="auto"/>
        <w:ind w:firstLine="720"/>
        <w:jc w:val="both"/>
        <w:rPr>
          <w:shd w:val="clear" w:color="auto" w:fill="FFFFFF"/>
        </w:rPr>
      </w:pPr>
      <w:r w:rsidRPr="00D073FB">
        <w:rPr>
          <w:shd w:val="clear" w:color="auto" w:fill="FFFFFF"/>
        </w:rPr>
        <w:t>[</w:t>
      </w:r>
      <w:r w:rsidR="000E3F02" w:rsidRPr="00D073FB">
        <w:rPr>
          <w:shd w:val="clear" w:color="auto" w:fill="FFFFFF"/>
        </w:rPr>
        <w:t>4</w:t>
      </w:r>
      <w:r w:rsidRPr="00D073FB">
        <w:rPr>
          <w:shd w:val="clear" w:color="auto" w:fill="FFFFFF"/>
        </w:rPr>
        <w:t>]</w:t>
      </w:r>
      <w:r w:rsidR="000E3F02" w:rsidRPr="00D073FB">
        <w:rPr>
          <w:shd w:val="clear" w:color="auto" w:fill="FFFFFF"/>
        </w:rPr>
        <w:t xml:space="preserve"> Apelācijas un kasācijas kārtībā lieta nav skatīta. Tiesas spriedums stājies spēkā 2007. gada </w:t>
      </w:r>
      <w:r w:rsidR="00A13339">
        <w:rPr>
          <w:shd w:val="clear" w:color="auto" w:fill="FFFFFF"/>
        </w:rPr>
        <w:t>[..]</w:t>
      </w:r>
      <w:r w:rsidR="00356F11" w:rsidRPr="00D073FB">
        <w:rPr>
          <w:shd w:val="clear" w:color="auto" w:fill="FFFFFF"/>
        </w:rPr>
        <w:t>.</w:t>
      </w:r>
    </w:p>
    <w:p w14:paraId="44E05F81" w14:textId="77777777" w:rsidR="00356F11" w:rsidRPr="00D073FB" w:rsidRDefault="00356F11" w:rsidP="008B485F">
      <w:pPr>
        <w:pStyle w:val="NormalWeb"/>
        <w:widowControl w:val="0"/>
        <w:shd w:val="clear" w:color="auto" w:fill="FFFFFF"/>
        <w:spacing w:before="0" w:beforeAutospacing="0" w:after="0" w:afterAutospacing="0" w:line="276" w:lineRule="auto"/>
        <w:ind w:firstLine="720"/>
        <w:jc w:val="both"/>
        <w:rPr>
          <w:shd w:val="clear" w:color="auto" w:fill="FFFFFF"/>
        </w:rPr>
      </w:pPr>
    </w:p>
    <w:p w14:paraId="5695A819" w14:textId="4BE53C0B" w:rsidR="00356F11" w:rsidRPr="00D073FB" w:rsidRDefault="00356F11" w:rsidP="008B485F">
      <w:pPr>
        <w:pStyle w:val="NormalWeb"/>
        <w:widowControl w:val="0"/>
        <w:shd w:val="clear" w:color="auto" w:fill="FFFFFF"/>
        <w:spacing w:before="0" w:beforeAutospacing="0" w:after="0" w:afterAutospacing="0" w:line="276" w:lineRule="auto"/>
        <w:ind w:firstLine="720"/>
        <w:jc w:val="both"/>
        <w:rPr>
          <w:shd w:val="clear" w:color="auto" w:fill="FFFFFF"/>
        </w:rPr>
      </w:pPr>
      <w:r w:rsidRPr="00D073FB">
        <w:rPr>
          <w:shd w:val="clear" w:color="auto" w:fill="FFFFFF"/>
        </w:rPr>
        <w:t>[</w:t>
      </w:r>
      <w:r w:rsidR="00325EE2" w:rsidRPr="00D073FB">
        <w:rPr>
          <w:shd w:val="clear" w:color="auto" w:fill="FFFFFF"/>
        </w:rPr>
        <w:t>5</w:t>
      </w:r>
      <w:r w:rsidRPr="00D073FB">
        <w:rPr>
          <w:shd w:val="clear" w:color="auto" w:fill="FFFFFF"/>
        </w:rPr>
        <w:t>]</w:t>
      </w:r>
      <w:r w:rsidR="00325EE2" w:rsidRPr="00D073FB">
        <w:rPr>
          <w:shd w:val="clear" w:color="auto" w:fill="FFFFFF"/>
        </w:rPr>
        <w:t> </w:t>
      </w:r>
      <w:r w:rsidR="00AE3CB0" w:rsidRPr="00D073FB">
        <w:rPr>
          <w:shd w:val="clear" w:color="auto" w:fill="FFFFFF"/>
        </w:rPr>
        <w:t xml:space="preserve">Par </w:t>
      </w:r>
      <w:r w:rsidR="00A13339">
        <w:rPr>
          <w:shd w:val="clear" w:color="auto" w:fill="FFFFFF"/>
        </w:rPr>
        <w:t>[..]</w:t>
      </w:r>
      <w:r w:rsidR="00AE3CB0" w:rsidRPr="00D073FB">
        <w:rPr>
          <w:shd w:val="clear" w:color="auto" w:fill="FFFFFF"/>
        </w:rPr>
        <w:t xml:space="preserve"> apgabaltiesas 20</w:t>
      </w:r>
      <w:r w:rsidR="00325EE2" w:rsidRPr="00D073FB">
        <w:rPr>
          <w:shd w:val="clear" w:color="auto" w:fill="FFFFFF"/>
        </w:rPr>
        <w:t>07</w:t>
      </w:r>
      <w:r w:rsidR="00AE3CB0" w:rsidRPr="00D073FB">
        <w:rPr>
          <w:shd w:val="clear" w:color="auto" w:fill="FFFFFF"/>
        </w:rPr>
        <w:t>.</w:t>
      </w:r>
      <w:r w:rsidR="00325EE2" w:rsidRPr="00D073FB">
        <w:rPr>
          <w:shd w:val="clear" w:color="auto" w:fill="FFFFFF"/>
        </w:rPr>
        <w:t> </w:t>
      </w:r>
      <w:r w:rsidR="00AE3CB0" w:rsidRPr="00D073FB">
        <w:rPr>
          <w:shd w:val="clear" w:color="auto" w:fill="FFFFFF"/>
        </w:rPr>
        <w:t xml:space="preserve">gada </w:t>
      </w:r>
      <w:r w:rsidR="00A13339">
        <w:rPr>
          <w:shd w:val="clear" w:color="auto" w:fill="FFFFFF"/>
        </w:rPr>
        <w:t>[..]</w:t>
      </w:r>
      <w:r w:rsidR="00AE3CB0" w:rsidRPr="00D073FB">
        <w:rPr>
          <w:shd w:val="clear" w:color="auto" w:fill="FFFFFF"/>
        </w:rPr>
        <w:t xml:space="preserve"> </w:t>
      </w:r>
      <w:r w:rsidR="00325EE2" w:rsidRPr="00D073FB">
        <w:rPr>
          <w:shd w:val="clear" w:color="auto" w:fill="FFFFFF"/>
        </w:rPr>
        <w:t>spriedumu</w:t>
      </w:r>
      <w:r w:rsidR="00AE3CB0" w:rsidRPr="00D073FB">
        <w:rPr>
          <w:shd w:val="clear" w:color="auto" w:fill="FFFFFF"/>
        </w:rPr>
        <w:t xml:space="preserve"> </w:t>
      </w:r>
      <w:r w:rsidR="00325EE2" w:rsidRPr="00D073FB">
        <w:rPr>
          <w:shd w:val="clear" w:color="auto" w:fill="FFFFFF"/>
        </w:rPr>
        <w:t>advokāts L. </w:t>
      </w:r>
      <w:proofErr w:type="spellStart"/>
      <w:r w:rsidR="00325EE2" w:rsidRPr="00D073FB">
        <w:rPr>
          <w:shd w:val="clear" w:color="auto" w:fill="FFFFFF"/>
        </w:rPr>
        <w:t>Matisāns</w:t>
      </w:r>
      <w:proofErr w:type="spellEnd"/>
      <w:r w:rsidR="00325EE2" w:rsidRPr="00D073FB">
        <w:rPr>
          <w:shd w:val="clear" w:color="auto" w:fill="FFFFFF"/>
        </w:rPr>
        <w:t xml:space="preserve"> notiesātā </w:t>
      </w:r>
      <w:r w:rsidR="00A13339">
        <w:t>[pers. A]</w:t>
      </w:r>
      <w:r w:rsidR="00325EE2" w:rsidRPr="00D073FB">
        <w:rPr>
          <w:shd w:val="clear" w:color="auto" w:fill="FFFFFF"/>
        </w:rPr>
        <w:t xml:space="preserve"> uzdevumā iesniedzis pieteikumu Kriminālprocesa likuma 63. nodaļas kārtībā, kurā lūdz</w:t>
      </w:r>
      <w:r w:rsidR="00B243B9" w:rsidRPr="00D073FB">
        <w:rPr>
          <w:shd w:val="clear" w:color="auto" w:fill="FFFFFF"/>
        </w:rPr>
        <w:t xml:space="preserve"> atcelt tiesas spriedumu pilnībā un izbeigt kriminālprocesu pret </w:t>
      </w:r>
      <w:r w:rsidR="00A13339">
        <w:t>[pers. A]</w:t>
      </w:r>
      <w:r w:rsidR="00B243B9" w:rsidRPr="00D073FB">
        <w:rPr>
          <w:shd w:val="clear" w:color="auto" w:fill="FFFFFF"/>
        </w:rPr>
        <w:t xml:space="preserve"> vai nosūtīt lietu jaunai izskatīšanai pirmās instances tiesā.</w:t>
      </w:r>
    </w:p>
    <w:p w14:paraId="746DC5F6" w14:textId="197F3A16" w:rsidR="007F0902" w:rsidRPr="00D073FB" w:rsidRDefault="007F0902" w:rsidP="008B485F">
      <w:pPr>
        <w:widowControl w:val="0"/>
        <w:tabs>
          <w:tab w:val="left" w:pos="1134"/>
          <w:tab w:val="left" w:pos="1276"/>
        </w:tabs>
        <w:spacing w:line="276" w:lineRule="auto"/>
        <w:ind w:firstLine="720"/>
        <w:jc w:val="both"/>
      </w:pPr>
      <w:r w:rsidRPr="00D073FB">
        <w:t>Pieteikum</w:t>
      </w:r>
      <w:r w:rsidR="00D47B8E">
        <w:t>ā</w:t>
      </w:r>
      <w:r w:rsidRPr="00D073FB">
        <w:t xml:space="preserve"> </w:t>
      </w:r>
      <w:r w:rsidR="00D47B8E">
        <w:t xml:space="preserve">izteikto lūgumu </w:t>
      </w:r>
      <w:r w:rsidRPr="00D073FB">
        <w:t xml:space="preserve">advokāts pamatojis ar </w:t>
      </w:r>
      <w:r w:rsidR="00D47B8E">
        <w:t>turpmāk norādītajiem</w:t>
      </w:r>
      <w:r w:rsidR="00D47B8E" w:rsidRPr="00D073FB">
        <w:t xml:space="preserve"> </w:t>
      </w:r>
      <w:r w:rsidRPr="00D073FB">
        <w:t>argumentiem.</w:t>
      </w:r>
    </w:p>
    <w:p w14:paraId="757C909D" w14:textId="4C33698A" w:rsidR="008F59C7" w:rsidRDefault="006B071D" w:rsidP="008B485F">
      <w:pPr>
        <w:pStyle w:val="NormalWeb"/>
        <w:widowControl w:val="0"/>
        <w:shd w:val="clear" w:color="auto" w:fill="FFFFFF"/>
        <w:spacing w:before="0" w:beforeAutospacing="0" w:after="0" w:afterAutospacing="0" w:line="276" w:lineRule="auto"/>
        <w:ind w:firstLine="720"/>
        <w:jc w:val="both"/>
      </w:pPr>
      <w:r w:rsidRPr="00D073FB">
        <w:t>[5.1] </w:t>
      </w:r>
      <w:r w:rsidR="00A13339">
        <w:t>[Pers. A]</w:t>
      </w:r>
      <w:r w:rsidR="00B505B9" w:rsidRPr="00D073FB">
        <w:t xml:space="preserve"> nodarījumā nav Krimināllikum</w:t>
      </w:r>
      <w:r w:rsidR="00C752AE" w:rsidRPr="00D073FB">
        <w:t>a</w:t>
      </w:r>
      <w:r w:rsidR="00B505B9" w:rsidRPr="00D073FB">
        <w:t xml:space="preserve"> </w:t>
      </w:r>
      <w:r w:rsidR="00811124" w:rsidRPr="00D073FB">
        <w:t>15. panta ceturtajā daļā</w:t>
      </w:r>
      <w:r w:rsidR="00FE10E4">
        <w:t xml:space="preserve"> </w:t>
      </w:r>
      <w:r w:rsidR="00811124">
        <w:t xml:space="preserve">un </w:t>
      </w:r>
      <w:r w:rsidR="00B505B9" w:rsidRPr="00360165">
        <w:t>253.</w:t>
      </w:r>
      <w:r w:rsidR="00B505B9" w:rsidRPr="00360165">
        <w:rPr>
          <w:vertAlign w:val="superscript"/>
        </w:rPr>
        <w:t>1</w:t>
      </w:r>
      <w:r w:rsidR="00B505B9" w:rsidRPr="00360165">
        <w:t xml:space="preserve"> panta trešajā daļā paredzētā </w:t>
      </w:r>
      <w:r w:rsidR="00B505B9" w:rsidRPr="00D073FB">
        <w:t>noziedzīgā nodarījuma sastāva.</w:t>
      </w:r>
    </w:p>
    <w:p w14:paraId="73170E14" w14:textId="28AE5F1B" w:rsidR="00887BE8" w:rsidRDefault="00B505B9" w:rsidP="008B485F">
      <w:pPr>
        <w:pStyle w:val="NormalWeb"/>
        <w:widowControl w:val="0"/>
        <w:shd w:val="clear" w:color="auto" w:fill="FFFFFF"/>
        <w:spacing w:before="0" w:beforeAutospacing="0" w:after="0" w:afterAutospacing="0" w:line="276" w:lineRule="auto"/>
        <w:ind w:firstLine="720"/>
        <w:jc w:val="both"/>
      </w:pPr>
      <w:r w:rsidRPr="00D073FB">
        <w:t xml:space="preserve">Atzīstot </w:t>
      </w:r>
      <w:r w:rsidR="00A13339">
        <w:t>[pers. A]</w:t>
      </w:r>
      <w:r w:rsidRPr="00D073FB">
        <w:t xml:space="preserve"> par vainīgu </w:t>
      </w:r>
      <w:r w:rsidR="00516CDD">
        <w:t>celtajā apsūdzībā</w:t>
      </w:r>
      <w:r w:rsidRPr="00D073FB">
        <w:t xml:space="preserve">, tiesa nav ņēmusi vērā, </w:t>
      </w:r>
      <w:r w:rsidR="00F848F9" w:rsidRPr="00D073FB">
        <w:t>ka</w:t>
      </w:r>
      <w:r w:rsidR="00E260FB">
        <w:t xml:space="preserve"> </w:t>
      </w:r>
      <w:r w:rsidR="00A13339">
        <w:t>[pers.</w:t>
      </w:r>
      <w:r w:rsidR="001801D8">
        <w:t> </w:t>
      </w:r>
      <w:r w:rsidR="00A13339">
        <w:t>A]</w:t>
      </w:r>
      <w:r w:rsidR="00E260FB" w:rsidRPr="00D073FB">
        <w:t xml:space="preserve"> apsūdzībā </w:t>
      </w:r>
      <w:r w:rsidR="00E260FB">
        <w:t>norādītās</w:t>
      </w:r>
      <w:r w:rsidR="00E260FB" w:rsidRPr="00D073FB">
        <w:t xml:space="preserve"> darbības ir veicis ar </w:t>
      </w:r>
      <w:r w:rsidR="00E260FB" w:rsidRPr="00D073FB">
        <w:rPr>
          <w:shd w:val="clear" w:color="auto" w:fill="FFFFFF"/>
        </w:rPr>
        <w:t>izžāvēt</w:t>
      </w:r>
      <w:r w:rsidR="00E260FB">
        <w:rPr>
          <w:shd w:val="clear" w:color="auto" w:fill="FFFFFF"/>
        </w:rPr>
        <w:t>u</w:t>
      </w:r>
      <w:r w:rsidR="00E260FB" w:rsidRPr="00D073FB">
        <w:rPr>
          <w:shd w:val="clear" w:color="auto" w:fill="FFFFFF"/>
        </w:rPr>
        <w:t xml:space="preserve"> augu valsts izcelsmes vielu, kas nesatur narkotiskās vai psihotropās vielas</w:t>
      </w:r>
      <w:r w:rsidR="00E260FB">
        <w:rPr>
          <w:shd w:val="clear" w:color="auto" w:fill="FFFFFF"/>
        </w:rPr>
        <w:t>. Savukārt</w:t>
      </w:r>
      <w:r w:rsidR="00F848F9" w:rsidRPr="00D073FB">
        <w:t xml:space="preserve">, </w:t>
      </w:r>
      <w:r w:rsidRPr="00D073FB">
        <w:t xml:space="preserve">ja </w:t>
      </w:r>
      <w:r w:rsidRPr="00D073FB">
        <w:rPr>
          <w:shd w:val="clear" w:color="auto" w:fill="FFFFFF"/>
        </w:rPr>
        <w:t>persona kļūdaini uztver noziedzīga nodarījuma priekšmetu vai tā daudzumu, tad šāda faktisk</w:t>
      </w:r>
      <w:r w:rsidR="00E84A51">
        <w:rPr>
          <w:shd w:val="clear" w:color="auto" w:fill="FFFFFF"/>
        </w:rPr>
        <w:t>ā</w:t>
      </w:r>
      <w:r w:rsidRPr="00D073FB">
        <w:rPr>
          <w:shd w:val="clear" w:color="auto" w:fill="FFFFFF"/>
        </w:rPr>
        <w:t xml:space="preserve"> kļūda </w:t>
      </w:r>
      <w:r w:rsidR="00E260FB">
        <w:rPr>
          <w:shd w:val="clear" w:color="auto" w:fill="FFFFFF"/>
        </w:rPr>
        <w:t>neveido</w:t>
      </w:r>
      <w:r w:rsidRPr="00D073FB">
        <w:rPr>
          <w:shd w:val="clear" w:color="auto" w:fill="FFFFFF"/>
        </w:rPr>
        <w:t xml:space="preserve"> </w:t>
      </w:r>
      <w:r w:rsidR="00516CDD">
        <w:rPr>
          <w:shd w:val="clear" w:color="auto" w:fill="FFFFFF"/>
        </w:rPr>
        <w:t xml:space="preserve">inkriminētā </w:t>
      </w:r>
      <w:r w:rsidRPr="00D073FB">
        <w:rPr>
          <w:shd w:val="clear" w:color="auto" w:fill="FFFFFF"/>
        </w:rPr>
        <w:t>noziedzīg</w:t>
      </w:r>
      <w:r w:rsidR="00516CDD">
        <w:rPr>
          <w:shd w:val="clear" w:color="auto" w:fill="FFFFFF"/>
        </w:rPr>
        <w:t>ā</w:t>
      </w:r>
      <w:r w:rsidRPr="00D073FB">
        <w:rPr>
          <w:shd w:val="clear" w:color="auto" w:fill="FFFFFF"/>
        </w:rPr>
        <w:t xml:space="preserve"> nodarījuma sastāv</w:t>
      </w:r>
      <w:r w:rsidR="00E260FB">
        <w:rPr>
          <w:shd w:val="clear" w:color="auto" w:fill="FFFFFF"/>
        </w:rPr>
        <w:t>u, un līdz ar to</w:t>
      </w:r>
      <w:r w:rsidR="00417389">
        <w:rPr>
          <w:shd w:val="clear" w:color="auto" w:fill="FFFFFF"/>
        </w:rPr>
        <w:t xml:space="preserve"> </w:t>
      </w:r>
      <w:r w:rsidR="00E84A51">
        <w:rPr>
          <w:shd w:val="clear" w:color="auto" w:fill="FFFFFF"/>
        </w:rPr>
        <w:t xml:space="preserve">nerada </w:t>
      </w:r>
      <w:r w:rsidRPr="00D073FB">
        <w:rPr>
          <w:shd w:val="clear" w:color="auto" w:fill="FFFFFF"/>
        </w:rPr>
        <w:t>kriminālatbildību.</w:t>
      </w:r>
    </w:p>
    <w:p w14:paraId="41C68ABA" w14:textId="7AFFF746" w:rsidR="00454B31" w:rsidRPr="00D073FB" w:rsidRDefault="002777B9" w:rsidP="00A13339">
      <w:pPr>
        <w:pStyle w:val="NormalWeb"/>
        <w:widowControl w:val="0"/>
        <w:shd w:val="clear" w:color="auto" w:fill="FFFFFF"/>
        <w:spacing w:before="0" w:beforeAutospacing="0" w:after="0" w:afterAutospacing="0" w:line="276" w:lineRule="auto"/>
        <w:ind w:firstLine="720"/>
        <w:jc w:val="both"/>
        <w:rPr>
          <w:shd w:val="clear" w:color="auto" w:fill="FFFFFF"/>
        </w:rPr>
      </w:pPr>
      <w:r w:rsidRPr="00D073FB">
        <w:rPr>
          <w:shd w:val="clear" w:color="auto" w:fill="FFFFFF"/>
        </w:rPr>
        <w:t>L</w:t>
      </w:r>
      <w:r w:rsidR="00853F28" w:rsidRPr="00D073FB">
        <w:rPr>
          <w:shd w:val="clear" w:color="auto" w:fill="FFFFFF"/>
        </w:rPr>
        <w:t>ietā nav pierādījum</w:t>
      </w:r>
      <w:r w:rsidR="00811124">
        <w:rPr>
          <w:shd w:val="clear" w:color="auto" w:fill="FFFFFF"/>
        </w:rPr>
        <w:t>u</w:t>
      </w:r>
      <w:r w:rsidR="00853F28" w:rsidRPr="00D073FB">
        <w:rPr>
          <w:shd w:val="clear" w:color="auto" w:fill="FFFFFF"/>
        </w:rPr>
        <w:t xml:space="preserve"> </w:t>
      </w:r>
      <w:r w:rsidR="00D9209F" w:rsidRPr="00D073FB">
        <w:t>par vielas</w:t>
      </w:r>
      <w:r w:rsidR="00F227DF" w:rsidRPr="00D073FB">
        <w:t xml:space="preserve"> </w:t>
      </w:r>
      <w:r w:rsidR="00D9209F" w:rsidRPr="00D073FB">
        <w:t>daudzumu</w:t>
      </w:r>
      <w:r w:rsidR="00D266C7" w:rsidRPr="00D073FB">
        <w:t xml:space="preserve">, </w:t>
      </w:r>
      <w:r w:rsidR="00B261BD" w:rsidRPr="00D073FB">
        <w:t xml:space="preserve">ko </w:t>
      </w:r>
      <w:r w:rsidR="00A13339">
        <w:t>[pers.</w:t>
      </w:r>
      <w:r w:rsidR="001801D8">
        <w:t> </w:t>
      </w:r>
      <w:r w:rsidR="00A13339">
        <w:t>A]</w:t>
      </w:r>
      <w:r w:rsidR="00B261BD" w:rsidRPr="00D073FB">
        <w:t xml:space="preserve"> nodevis smēķēšanai </w:t>
      </w:r>
      <w:r w:rsidR="00A13339">
        <w:t>[pers. B]</w:t>
      </w:r>
      <w:r w:rsidR="007048F1" w:rsidRPr="00D073FB">
        <w:t xml:space="preserve"> un </w:t>
      </w:r>
      <w:r w:rsidR="00A13339">
        <w:t>[pers. C]</w:t>
      </w:r>
      <w:r w:rsidR="00D9209F" w:rsidRPr="00D073FB">
        <w:t>.</w:t>
      </w:r>
      <w:r w:rsidR="00360165">
        <w:t> </w:t>
      </w:r>
      <w:r w:rsidR="00D47B8E">
        <w:rPr>
          <w:shd w:val="clear" w:color="auto" w:fill="FFFFFF"/>
        </w:rPr>
        <w:t>Tāpat</w:t>
      </w:r>
      <w:r w:rsidR="007F0902" w:rsidRPr="00D073FB">
        <w:rPr>
          <w:shd w:val="clear" w:color="auto" w:fill="FFFFFF"/>
        </w:rPr>
        <w:t xml:space="preserve"> </w:t>
      </w:r>
      <w:r w:rsidR="007C09BD" w:rsidRPr="00D073FB">
        <w:rPr>
          <w:shd w:val="clear" w:color="auto" w:fill="FFFFFF"/>
        </w:rPr>
        <w:t>n</w:t>
      </w:r>
      <w:r w:rsidR="003804CA" w:rsidRPr="00D073FB">
        <w:rPr>
          <w:shd w:val="clear" w:color="auto" w:fill="FFFFFF"/>
        </w:rPr>
        <w:t>av konstatēts</w:t>
      </w:r>
      <w:r w:rsidR="000D3D92" w:rsidRPr="00D073FB">
        <w:rPr>
          <w:shd w:val="clear" w:color="auto" w:fill="FFFFFF"/>
        </w:rPr>
        <w:t xml:space="preserve">, ka </w:t>
      </w:r>
      <w:r w:rsidR="00A13339">
        <w:t>[pers. A]</w:t>
      </w:r>
      <w:r w:rsidR="000D3D92" w:rsidRPr="00D073FB">
        <w:rPr>
          <w:shd w:val="clear" w:color="auto" w:fill="FFFFFF"/>
        </w:rPr>
        <w:t xml:space="preserve"> darbības radīj</w:t>
      </w:r>
      <w:r w:rsidR="00516CDD">
        <w:rPr>
          <w:shd w:val="clear" w:color="auto" w:fill="FFFFFF"/>
        </w:rPr>
        <w:t>ušas</w:t>
      </w:r>
      <w:r w:rsidR="000D3D92" w:rsidRPr="00D073FB">
        <w:rPr>
          <w:shd w:val="clear" w:color="auto" w:fill="FFFFFF"/>
        </w:rPr>
        <w:t xml:space="preserve"> reālu vai potenciālu </w:t>
      </w:r>
      <w:r w:rsidR="000D3D92" w:rsidRPr="00D073FB">
        <w:t>aizsargājamo tiesisko interešu apdraudējumu</w:t>
      </w:r>
      <w:r w:rsidR="000D3D92" w:rsidRPr="00D073FB">
        <w:rPr>
          <w:shd w:val="clear" w:color="auto" w:fill="FFFFFF"/>
        </w:rPr>
        <w:t>.</w:t>
      </w:r>
    </w:p>
    <w:p w14:paraId="192C0E15" w14:textId="6263ED2C" w:rsidR="007048F1" w:rsidRPr="00D073FB" w:rsidRDefault="00406700" w:rsidP="008B485F">
      <w:pPr>
        <w:pStyle w:val="NormalWeb"/>
        <w:widowControl w:val="0"/>
        <w:shd w:val="clear" w:color="auto" w:fill="FFFFFF"/>
        <w:spacing w:before="0" w:beforeAutospacing="0" w:after="0" w:afterAutospacing="0" w:line="276" w:lineRule="auto"/>
        <w:ind w:firstLine="720"/>
        <w:jc w:val="both"/>
      </w:pPr>
      <w:r w:rsidRPr="00D073FB">
        <w:t>Turklāt likuma „Par Krimināllikuma spēkā stāšanās un piemērošanas kārtību” 2.</w:t>
      </w:r>
      <w:r w:rsidR="00D47B8E">
        <w:t> </w:t>
      </w:r>
      <w:r w:rsidRPr="00D073FB">
        <w:t xml:space="preserve">pielikuma „Kritēriji nelikumīgā apritē esošo narkotisko un psihotropo vielu un zāļu, kā arī vielu, kas var tikt izmantotas narkotisko un psihotropo vielu nelikumīgai izgatavošanai (prekursori), iedalījumu apmēriem” </w:t>
      </w:r>
      <w:r w:rsidR="000A75DE" w:rsidRPr="009A3294">
        <w:t>(</w:t>
      </w:r>
      <w:r w:rsidR="000A75DE" w:rsidRPr="00360165">
        <w:t xml:space="preserve">turpmāk – </w:t>
      </w:r>
      <w:bookmarkStart w:id="0" w:name="OLE_LINK1"/>
      <w:r w:rsidR="000A75DE" w:rsidRPr="00360165">
        <w:t>Speciālais likums</w:t>
      </w:r>
      <w:r w:rsidR="000A75DE" w:rsidRPr="009A3294">
        <w:t>)</w:t>
      </w:r>
      <w:r w:rsidR="000A75DE" w:rsidRPr="00D073FB">
        <w:t xml:space="preserve"> </w:t>
      </w:r>
      <w:r w:rsidRPr="00D073FB">
        <w:t>7.</w:t>
      </w:r>
      <w:r w:rsidR="00D47B8E">
        <w:t> </w:t>
      </w:r>
      <w:r w:rsidRPr="00D073FB">
        <w:t>punkts noteic, ka apmērs, līdz kuram daudzumi atzīstami</w:t>
      </w:r>
      <w:r w:rsidR="007048F1" w:rsidRPr="00D073FB">
        <w:t xml:space="preserve"> par nelieliem, izžāvētai</w:t>
      </w:r>
      <w:r w:rsidRPr="00D073FB">
        <w:t xml:space="preserve"> marihuāna</w:t>
      </w:r>
      <w:r w:rsidR="007048F1" w:rsidRPr="00D073FB">
        <w:t>i ir 1</w:t>
      </w:r>
      <w:r w:rsidR="00C33397">
        <w:t> </w:t>
      </w:r>
      <w:r w:rsidR="007048F1" w:rsidRPr="00D073FB">
        <w:t>g</w:t>
      </w:r>
      <w:bookmarkEnd w:id="0"/>
      <w:r w:rsidR="007048F1" w:rsidRPr="00D073FB">
        <w:t>. Savukārt kriminālatbildība par narkotisko vielu realizāciju nelielā apmērā paredzēta Krimināllikuma</w:t>
      </w:r>
      <w:r w:rsidR="009A3294">
        <w:t> </w:t>
      </w:r>
      <w:r w:rsidR="007048F1" w:rsidRPr="00D073FB">
        <w:t>253.</w:t>
      </w:r>
      <w:r w:rsidR="007048F1" w:rsidRPr="00D073FB">
        <w:rPr>
          <w:vertAlign w:val="superscript"/>
        </w:rPr>
        <w:t>2</w:t>
      </w:r>
      <w:r w:rsidR="009A3294">
        <w:t> </w:t>
      </w:r>
      <w:r w:rsidR="00C8340A">
        <w:t xml:space="preserve">panta </w:t>
      </w:r>
      <w:r w:rsidR="007048F1" w:rsidRPr="00D073FB">
        <w:t>otrajā daļā, nevis Krimināllikuma 253.</w:t>
      </w:r>
      <w:r w:rsidR="007048F1" w:rsidRPr="00D073FB">
        <w:rPr>
          <w:vertAlign w:val="superscript"/>
        </w:rPr>
        <w:t>1</w:t>
      </w:r>
      <w:r w:rsidR="00D47B8E">
        <w:t> </w:t>
      </w:r>
      <w:r w:rsidR="007048F1" w:rsidRPr="00D073FB">
        <w:t>pantā.</w:t>
      </w:r>
    </w:p>
    <w:p w14:paraId="7C8B6DDA" w14:textId="205F48B4" w:rsidR="008F59C7" w:rsidRDefault="000D3D92" w:rsidP="008B485F">
      <w:pPr>
        <w:pStyle w:val="NormalWeb"/>
        <w:widowControl w:val="0"/>
        <w:shd w:val="clear" w:color="auto" w:fill="FFFFFF"/>
        <w:spacing w:before="0" w:beforeAutospacing="0" w:after="0" w:afterAutospacing="0" w:line="276" w:lineRule="auto"/>
        <w:ind w:firstLine="720"/>
        <w:jc w:val="both"/>
        <w:rPr>
          <w:shd w:val="clear" w:color="auto" w:fill="FFFFFF"/>
        </w:rPr>
      </w:pPr>
      <w:r w:rsidRPr="00D073FB">
        <w:rPr>
          <w:shd w:val="clear" w:color="auto" w:fill="FFFFFF"/>
        </w:rPr>
        <w:t>[5.</w:t>
      </w:r>
      <w:r w:rsidR="006B071D" w:rsidRPr="00D073FB">
        <w:rPr>
          <w:shd w:val="clear" w:color="auto" w:fill="FFFFFF"/>
        </w:rPr>
        <w:t>2</w:t>
      </w:r>
      <w:r w:rsidRPr="00D073FB">
        <w:rPr>
          <w:shd w:val="clear" w:color="auto" w:fill="FFFFFF"/>
        </w:rPr>
        <w:t>] </w:t>
      </w:r>
      <w:r w:rsidR="00A13339">
        <w:t>[Pers. A]</w:t>
      </w:r>
      <w:r w:rsidR="00FE10E4">
        <w:t xml:space="preserve"> </w:t>
      </w:r>
      <w:r w:rsidR="003960DF" w:rsidRPr="00D073FB">
        <w:t xml:space="preserve">darbībās nav konstatējamas </w:t>
      </w:r>
      <w:r w:rsidR="00516CDD">
        <w:t xml:space="preserve">Krimināllikuma </w:t>
      </w:r>
      <w:r w:rsidR="00516CDD" w:rsidRPr="00D073FB">
        <w:rPr>
          <w:shd w:val="clear" w:color="auto" w:fill="FFFFFF"/>
        </w:rPr>
        <w:t>253.</w:t>
      </w:r>
      <w:r w:rsidR="00516CDD" w:rsidRPr="00D073FB">
        <w:rPr>
          <w:shd w:val="clear" w:color="auto" w:fill="FFFFFF"/>
          <w:vertAlign w:val="superscript"/>
        </w:rPr>
        <w:t>1</w:t>
      </w:r>
      <w:r w:rsidR="00516CDD" w:rsidRPr="00D073FB">
        <w:rPr>
          <w:shd w:val="clear" w:color="auto" w:fill="FFFFFF"/>
        </w:rPr>
        <w:t> panta treš</w:t>
      </w:r>
      <w:r w:rsidR="008F59C7">
        <w:rPr>
          <w:shd w:val="clear" w:color="auto" w:fill="FFFFFF"/>
        </w:rPr>
        <w:t xml:space="preserve">ajā daļā paredzētā noziedzīgā nodarījuma </w:t>
      </w:r>
      <w:r w:rsidR="003960DF" w:rsidRPr="00D073FB">
        <w:t xml:space="preserve">kvalificējošās pazīmes </w:t>
      </w:r>
      <w:r w:rsidR="00516CDD">
        <w:t>–</w:t>
      </w:r>
      <w:r w:rsidR="00417389">
        <w:t xml:space="preserve"> </w:t>
      </w:r>
      <w:r w:rsidR="00A20F41" w:rsidRPr="00D073FB">
        <w:rPr>
          <w:shd w:val="clear" w:color="auto" w:fill="FFFFFF"/>
        </w:rPr>
        <w:t>neatļaut</w:t>
      </w:r>
      <w:r w:rsidR="003960DF" w:rsidRPr="00D073FB">
        <w:rPr>
          <w:shd w:val="clear" w:color="auto" w:fill="FFFFFF"/>
        </w:rPr>
        <w:t xml:space="preserve">a </w:t>
      </w:r>
      <w:r w:rsidR="008F59C7">
        <w:rPr>
          <w:shd w:val="clear" w:color="auto" w:fill="FFFFFF"/>
        </w:rPr>
        <w:t xml:space="preserve">narkotisko </w:t>
      </w:r>
      <w:r w:rsidR="00A20F41" w:rsidRPr="00D073FB">
        <w:rPr>
          <w:shd w:val="clear" w:color="auto" w:fill="FFFFFF"/>
        </w:rPr>
        <w:t>viel</w:t>
      </w:r>
      <w:r w:rsidR="008F59C7">
        <w:rPr>
          <w:shd w:val="clear" w:color="auto" w:fill="FFFFFF"/>
        </w:rPr>
        <w:t>u</w:t>
      </w:r>
      <w:r w:rsidR="00A20F41" w:rsidRPr="00D073FB">
        <w:rPr>
          <w:shd w:val="clear" w:color="auto" w:fill="FFFFFF"/>
        </w:rPr>
        <w:t xml:space="preserve"> realizācij</w:t>
      </w:r>
      <w:r w:rsidR="003960DF" w:rsidRPr="00D073FB">
        <w:rPr>
          <w:shd w:val="clear" w:color="auto" w:fill="FFFFFF"/>
        </w:rPr>
        <w:t>a</w:t>
      </w:r>
      <w:r w:rsidR="00D86166" w:rsidRPr="00D073FB">
        <w:rPr>
          <w:shd w:val="clear" w:color="auto" w:fill="FFFFFF"/>
        </w:rPr>
        <w:t xml:space="preserve"> </w:t>
      </w:r>
      <w:r w:rsidR="00A20F41" w:rsidRPr="00D073FB">
        <w:rPr>
          <w:shd w:val="clear" w:color="auto" w:fill="FFFFFF"/>
        </w:rPr>
        <w:t>nepilngadīga</w:t>
      </w:r>
      <w:r w:rsidR="00A46EDB">
        <w:rPr>
          <w:shd w:val="clear" w:color="auto" w:fill="FFFFFF"/>
        </w:rPr>
        <w:t>i personai</w:t>
      </w:r>
      <w:r w:rsidR="005D0E3B" w:rsidRPr="00D073FB">
        <w:rPr>
          <w:shd w:val="clear" w:color="auto" w:fill="FFFFFF"/>
        </w:rPr>
        <w:t xml:space="preserve"> </w:t>
      </w:r>
      <w:r w:rsidR="00A20F41" w:rsidRPr="00D073FB">
        <w:rPr>
          <w:shd w:val="clear" w:color="auto" w:fill="FFFFFF"/>
        </w:rPr>
        <w:t xml:space="preserve">publiskās izklaides </w:t>
      </w:r>
      <w:r w:rsidR="008F59C7">
        <w:rPr>
          <w:shd w:val="clear" w:color="auto" w:fill="FFFFFF"/>
        </w:rPr>
        <w:t>vai</w:t>
      </w:r>
      <w:r w:rsidR="008F59C7" w:rsidRPr="00D073FB">
        <w:rPr>
          <w:shd w:val="clear" w:color="auto" w:fill="FFFFFF"/>
        </w:rPr>
        <w:t xml:space="preserve"> </w:t>
      </w:r>
      <w:r w:rsidR="00A20F41" w:rsidRPr="00D073FB">
        <w:rPr>
          <w:shd w:val="clear" w:color="auto" w:fill="FFFFFF"/>
        </w:rPr>
        <w:t xml:space="preserve">svētku pasākumu norises </w:t>
      </w:r>
      <w:r w:rsidR="008F59C7" w:rsidRPr="00D073FB">
        <w:rPr>
          <w:shd w:val="clear" w:color="auto" w:fill="FFFFFF"/>
        </w:rPr>
        <w:t>viet</w:t>
      </w:r>
      <w:r w:rsidR="008F59C7">
        <w:rPr>
          <w:shd w:val="clear" w:color="auto" w:fill="FFFFFF"/>
        </w:rPr>
        <w:t>ā</w:t>
      </w:r>
      <w:r w:rsidR="00A20F41" w:rsidRPr="00D073FB">
        <w:rPr>
          <w:shd w:val="clear" w:color="auto" w:fill="FFFFFF"/>
        </w:rPr>
        <w:t>.</w:t>
      </w:r>
    </w:p>
    <w:p w14:paraId="1FA5963B" w14:textId="440576CE" w:rsidR="003960DF" w:rsidRPr="00D073FB" w:rsidRDefault="00F32F29" w:rsidP="008B485F">
      <w:pPr>
        <w:pStyle w:val="NormalWeb"/>
        <w:widowControl w:val="0"/>
        <w:shd w:val="clear" w:color="auto" w:fill="FFFFFF"/>
        <w:spacing w:before="0" w:beforeAutospacing="0" w:after="0" w:afterAutospacing="0" w:line="276" w:lineRule="auto"/>
        <w:ind w:firstLine="720"/>
        <w:jc w:val="both"/>
      </w:pPr>
      <w:r w:rsidRPr="00D073FB">
        <w:rPr>
          <w:shd w:val="clear" w:color="auto" w:fill="FFFFFF"/>
        </w:rPr>
        <w:t>Tiesa nav ņēmusi vērā, ka noziedzīg</w:t>
      </w:r>
      <w:r w:rsidR="00C8340A">
        <w:rPr>
          <w:shd w:val="clear" w:color="auto" w:fill="FFFFFF"/>
        </w:rPr>
        <w:t>ā</w:t>
      </w:r>
      <w:r w:rsidRPr="00D073FB">
        <w:rPr>
          <w:shd w:val="clear" w:color="auto" w:fill="FFFFFF"/>
        </w:rPr>
        <w:t xml:space="preserve"> nodarījuma izdarīšanas brīdī </w:t>
      </w:r>
      <w:r w:rsidR="00A13339">
        <w:rPr>
          <w:shd w:val="clear" w:color="auto" w:fill="FFFFFF"/>
        </w:rPr>
        <w:t>[pers.</w:t>
      </w:r>
      <w:r w:rsidR="001801D8">
        <w:rPr>
          <w:shd w:val="clear" w:color="auto" w:fill="FFFFFF"/>
        </w:rPr>
        <w:t> </w:t>
      </w:r>
      <w:r w:rsidR="00A13339">
        <w:rPr>
          <w:shd w:val="clear" w:color="auto" w:fill="FFFFFF"/>
        </w:rPr>
        <w:t>A]</w:t>
      </w:r>
      <w:r w:rsidRPr="00D073FB">
        <w:rPr>
          <w:shd w:val="clear" w:color="auto" w:fill="FFFFFF"/>
        </w:rPr>
        <w:t xml:space="preserve"> pats ir bijis nepilngadīgs, kā arī apsūdzībā norādītajā laikā parka estrādē nav notikuši sabiedriski (izklaides) pasākumi</w:t>
      </w:r>
      <w:r w:rsidR="00B03F81" w:rsidRPr="00D073FB">
        <w:rPr>
          <w:shd w:val="clear" w:color="auto" w:fill="FFFFFF"/>
        </w:rPr>
        <w:t>.</w:t>
      </w:r>
    </w:p>
    <w:p w14:paraId="1A245C39" w14:textId="77777777" w:rsidR="003D2FBD" w:rsidRPr="00D073FB" w:rsidRDefault="003D2FBD" w:rsidP="008B485F">
      <w:pPr>
        <w:pStyle w:val="NormalWeb"/>
        <w:widowControl w:val="0"/>
        <w:shd w:val="clear" w:color="auto" w:fill="FFFFFF"/>
        <w:spacing w:before="0" w:beforeAutospacing="0" w:after="0" w:afterAutospacing="0" w:line="276" w:lineRule="auto"/>
        <w:ind w:firstLine="720"/>
        <w:jc w:val="both"/>
        <w:rPr>
          <w:shd w:val="clear" w:color="auto" w:fill="FFFFFF"/>
        </w:rPr>
      </w:pPr>
    </w:p>
    <w:p w14:paraId="7DAF7841" w14:textId="77777777" w:rsidR="00447EE6" w:rsidRPr="00D073FB" w:rsidRDefault="00447EE6" w:rsidP="008B485F">
      <w:pPr>
        <w:widowControl w:val="0"/>
        <w:shd w:val="clear" w:color="auto" w:fill="FFFFFF"/>
        <w:spacing w:line="276" w:lineRule="auto"/>
        <w:jc w:val="center"/>
      </w:pPr>
      <w:r w:rsidRPr="00D073FB">
        <w:rPr>
          <w:b/>
        </w:rPr>
        <w:t>Motīvu daļa</w:t>
      </w:r>
    </w:p>
    <w:p w14:paraId="1A249D7D" w14:textId="77777777" w:rsidR="00A656FE" w:rsidRPr="00D073FB" w:rsidRDefault="00A656FE" w:rsidP="008B485F">
      <w:pPr>
        <w:widowControl w:val="0"/>
        <w:shd w:val="clear" w:color="auto" w:fill="FFFFFF"/>
        <w:spacing w:line="276" w:lineRule="auto"/>
        <w:ind w:firstLine="720"/>
        <w:jc w:val="both"/>
      </w:pPr>
    </w:p>
    <w:p w14:paraId="68AF36E1" w14:textId="2B6397BB" w:rsidR="00457E9D" w:rsidRPr="0027155A" w:rsidRDefault="00447EE6" w:rsidP="008B485F">
      <w:pPr>
        <w:widowControl w:val="0"/>
        <w:shd w:val="clear" w:color="auto" w:fill="FFFFFF"/>
        <w:spacing w:line="276" w:lineRule="auto"/>
        <w:ind w:firstLine="720"/>
        <w:jc w:val="both"/>
      </w:pPr>
      <w:r w:rsidRPr="00D073FB">
        <w:t>[</w:t>
      </w:r>
      <w:r w:rsidR="00961F6D" w:rsidRPr="00D073FB">
        <w:t>6</w:t>
      </w:r>
      <w:r w:rsidRPr="00D073FB">
        <w:t>]</w:t>
      </w:r>
      <w:r w:rsidR="00961F6D" w:rsidRPr="00D073FB">
        <w:t> </w:t>
      </w:r>
      <w:r w:rsidR="00427FB7" w:rsidRPr="00D073FB">
        <w:t xml:space="preserve">Senāts atzīst, </w:t>
      </w:r>
      <w:r w:rsidR="00457E9D">
        <w:t xml:space="preserve">ka tā kompetencē </w:t>
      </w:r>
      <w:r w:rsidR="00887BE8">
        <w:t xml:space="preserve">ir </w:t>
      </w:r>
      <w:r w:rsidR="00457E9D">
        <w:t>atbildēt</w:t>
      </w:r>
      <w:r w:rsidR="00887BE8">
        <w:t>, vai tiesa:</w:t>
      </w:r>
      <w:r w:rsidR="00457E9D">
        <w:t xml:space="preserve"> 1)</w:t>
      </w:r>
      <w:r w:rsidR="00887BE8">
        <w:t> </w:t>
      </w:r>
      <w:r w:rsidR="00457E9D">
        <w:t>izvērtējusi pierādījumus atbilstoši Kriminālprocesa likuma 128.</w:t>
      </w:r>
      <w:r w:rsidR="00887BE8">
        <w:t> </w:t>
      </w:r>
      <w:r w:rsidR="00457E9D">
        <w:t>pantam; 2)</w:t>
      </w:r>
      <w:r w:rsidR="00887BE8">
        <w:rPr>
          <w:spacing w:val="-5"/>
        </w:rPr>
        <w:t> </w:t>
      </w:r>
      <w:r w:rsidR="00887BE8" w:rsidRPr="00AB4818">
        <w:rPr>
          <w:spacing w:val="-5"/>
        </w:rPr>
        <w:t>kvalificējot noziedzīgu nodarījumu</w:t>
      </w:r>
      <w:r w:rsidR="00887BE8">
        <w:rPr>
          <w:spacing w:val="-5"/>
        </w:rPr>
        <w:t>,</w:t>
      </w:r>
      <w:r w:rsidR="00887BE8" w:rsidDel="00887BE8">
        <w:rPr>
          <w:spacing w:val="-5"/>
        </w:rPr>
        <w:t xml:space="preserve"> </w:t>
      </w:r>
      <w:r w:rsidR="00481467">
        <w:rPr>
          <w:spacing w:val="-5"/>
        </w:rPr>
        <w:t>pareizi piemēroju</w:t>
      </w:r>
      <w:r w:rsidR="00AB4818">
        <w:rPr>
          <w:spacing w:val="-5"/>
        </w:rPr>
        <w:t>si Krimināllikuma 15. panta ceturto daļu un 253.</w:t>
      </w:r>
      <w:r w:rsidR="00AB4818">
        <w:rPr>
          <w:spacing w:val="-5"/>
          <w:vertAlign w:val="superscript"/>
        </w:rPr>
        <w:t>1</w:t>
      </w:r>
      <w:r w:rsidR="00887BE8" w:rsidRPr="008B485F">
        <w:rPr>
          <w:spacing w:val="-5"/>
        </w:rPr>
        <w:t> </w:t>
      </w:r>
      <w:r w:rsidR="00AB4818">
        <w:rPr>
          <w:spacing w:val="-5"/>
        </w:rPr>
        <w:t>panta trešo daļu</w:t>
      </w:r>
      <w:r w:rsidR="0027155A">
        <w:rPr>
          <w:spacing w:val="-5"/>
        </w:rPr>
        <w:t>.</w:t>
      </w:r>
    </w:p>
    <w:p w14:paraId="75C56FE5" w14:textId="65683113" w:rsidR="002B0E41" w:rsidRPr="00D073FB" w:rsidRDefault="00427FB7" w:rsidP="008B485F">
      <w:pPr>
        <w:widowControl w:val="0"/>
        <w:shd w:val="clear" w:color="auto" w:fill="FFFFFF"/>
        <w:spacing w:line="276" w:lineRule="auto"/>
        <w:ind w:firstLine="720"/>
        <w:jc w:val="both"/>
      </w:pPr>
      <w:r w:rsidRPr="00D073FB">
        <w:rPr>
          <w:shd w:val="clear" w:color="auto" w:fill="FFFFFF"/>
        </w:rPr>
        <w:lastRenderedPageBreak/>
        <w:t>[6.1] </w:t>
      </w:r>
      <w:r w:rsidR="002B0E41" w:rsidRPr="00D073FB">
        <w:t>Kriminālprocesa likuma 665.</w:t>
      </w:r>
      <w:r w:rsidR="00C06EDF" w:rsidRPr="00D073FB">
        <w:t> </w:t>
      </w:r>
      <w:r w:rsidR="002B0E41" w:rsidRPr="00D073FB">
        <w:t>panta pirmās daļas 3.</w:t>
      </w:r>
      <w:r w:rsidR="00C06EDF" w:rsidRPr="00D073FB">
        <w:t> </w:t>
      </w:r>
      <w:r w:rsidR="002B0E41" w:rsidRPr="00D073FB">
        <w:t>punkts noteic, ka pieteikumu vai protestu var iesniegt, ja šā likuma 574. vai 575.</w:t>
      </w:r>
      <w:r w:rsidR="00C06EDF" w:rsidRPr="00D073FB">
        <w:t> </w:t>
      </w:r>
      <w:r w:rsidR="002B0E41" w:rsidRPr="00D073FB">
        <w:t>pantā minētie pārkāpumi noveduši pie notiesātās personas stāvokļa nelikumīgas pasliktināšanās.</w:t>
      </w:r>
      <w:r w:rsidR="00CC0204" w:rsidRPr="00D073FB">
        <w:t xml:space="preserve"> </w:t>
      </w:r>
      <w:r w:rsidR="002B0E41" w:rsidRPr="00D073FB">
        <w:t>Savukārt Kriminālprocesa likuma 670.</w:t>
      </w:r>
      <w:r w:rsidR="00CB421C" w:rsidRPr="00D073FB">
        <w:t> </w:t>
      </w:r>
      <w:r w:rsidR="002B0E41" w:rsidRPr="00D073FB">
        <w:t>panta pirmajā daļā norādīts, ka pieteikumus un protestus par spriedumiem un lēmumiem, kas stājušies spēkā, no jauna izskata Augstākā tiesa šā likuma 582.–586.</w:t>
      </w:r>
      <w:r w:rsidR="00CB421C" w:rsidRPr="00D073FB">
        <w:t> </w:t>
      </w:r>
      <w:r w:rsidR="002B0E41" w:rsidRPr="00D073FB">
        <w:t>pantā noteiktajā kārtībā</w:t>
      </w:r>
      <w:r w:rsidR="00811124">
        <w:t>, proti, kasācijas kārtīb</w:t>
      </w:r>
      <w:r w:rsidR="005C7248">
        <w:t>ā</w:t>
      </w:r>
      <w:r w:rsidR="00811124">
        <w:t>.</w:t>
      </w:r>
    </w:p>
    <w:p w14:paraId="168800E7" w14:textId="083277C4" w:rsidR="00C739FF" w:rsidRPr="00D073FB" w:rsidRDefault="00C739FF" w:rsidP="008B485F">
      <w:pPr>
        <w:widowControl w:val="0"/>
        <w:shd w:val="clear" w:color="auto" w:fill="FFFFFF"/>
        <w:spacing w:line="276" w:lineRule="auto"/>
        <w:ind w:firstLine="720"/>
        <w:jc w:val="both"/>
      </w:pPr>
      <w:r w:rsidRPr="00D073FB">
        <w:t xml:space="preserve">Senāts atgādina, ka </w:t>
      </w:r>
      <w:r w:rsidR="00887BE8">
        <w:t xml:space="preserve">jautājums par </w:t>
      </w:r>
      <w:r w:rsidRPr="00D073FB">
        <w:t>lietā esoš</w:t>
      </w:r>
      <w:r w:rsidR="00887BE8">
        <w:t>o</w:t>
      </w:r>
      <w:r w:rsidRPr="00D073FB">
        <w:t xml:space="preserve"> pierādījum</w:t>
      </w:r>
      <w:r w:rsidR="00887BE8">
        <w:t xml:space="preserve">u </w:t>
      </w:r>
      <w:r w:rsidRPr="00D073FB">
        <w:t>pietiekam</w:t>
      </w:r>
      <w:r w:rsidR="00887BE8">
        <w:t>ību</w:t>
      </w:r>
      <w:r w:rsidRPr="00D073FB">
        <w:t xml:space="preserve"> apsūdzētā vainīguma konstatēšanai, ir būtības jautājums, kas kasācijas kārtībā nav pārbaudāms (</w:t>
      </w:r>
      <w:r w:rsidR="00887BE8">
        <w:t>sk. </w:t>
      </w:r>
      <w:r w:rsidRPr="00D073FB">
        <w:rPr>
          <w:i/>
          <w:iCs/>
        </w:rPr>
        <w:t>Senāta 2020.</w:t>
      </w:r>
      <w:r w:rsidR="009B1548">
        <w:rPr>
          <w:i/>
          <w:iCs/>
        </w:rPr>
        <w:t> </w:t>
      </w:r>
      <w:r w:rsidRPr="00D073FB">
        <w:rPr>
          <w:i/>
          <w:iCs/>
        </w:rPr>
        <w:t>gada 10.</w:t>
      </w:r>
      <w:r w:rsidR="009B1548">
        <w:rPr>
          <w:i/>
          <w:iCs/>
        </w:rPr>
        <w:t> </w:t>
      </w:r>
      <w:r w:rsidRPr="00D073FB">
        <w:rPr>
          <w:i/>
          <w:iCs/>
        </w:rPr>
        <w:t>novembra lēmuma lietā Nr.</w:t>
      </w:r>
      <w:r w:rsidR="009B1548">
        <w:rPr>
          <w:i/>
          <w:iCs/>
        </w:rPr>
        <w:t> </w:t>
      </w:r>
      <w:r w:rsidRPr="00D073FB">
        <w:rPr>
          <w:i/>
          <w:iCs/>
        </w:rPr>
        <w:t>SKK</w:t>
      </w:r>
      <w:r w:rsidR="009B1548" w:rsidRPr="00B143E8">
        <w:noBreakHyphen/>
      </w:r>
      <w:r w:rsidRPr="00D073FB">
        <w:rPr>
          <w:i/>
          <w:iCs/>
        </w:rPr>
        <w:t xml:space="preserve">127/2020, </w:t>
      </w:r>
      <w:hyperlink r:id="rId7" w:history="1">
        <w:r w:rsidRPr="005747EF">
          <w:rPr>
            <w:rStyle w:val="Hyperlink"/>
            <w:i/>
            <w:iCs/>
          </w:rPr>
          <w:t>ECLI:LV:AT:2020:1110.15890007015.20.L</w:t>
        </w:r>
      </w:hyperlink>
      <w:r w:rsidRPr="00D073FB">
        <w:rPr>
          <w:i/>
          <w:iCs/>
        </w:rPr>
        <w:t>, 5.3.</w:t>
      </w:r>
      <w:r w:rsidR="009B1548">
        <w:rPr>
          <w:i/>
          <w:iCs/>
        </w:rPr>
        <w:t> </w:t>
      </w:r>
      <w:r w:rsidRPr="00D073FB">
        <w:rPr>
          <w:i/>
          <w:iCs/>
        </w:rPr>
        <w:t>punkts</w:t>
      </w:r>
      <w:r w:rsidRPr="00D073FB">
        <w:t>). Kasācijas instances tiesa</w:t>
      </w:r>
      <w:r w:rsidR="005C7248">
        <w:t>s</w:t>
      </w:r>
      <w:r w:rsidRPr="00D073FB">
        <w:t xml:space="preserve"> kompetencē </w:t>
      </w:r>
      <w:r w:rsidR="00F808AF">
        <w:t xml:space="preserve">neietilpst pierādījumu pārbaude un </w:t>
      </w:r>
      <w:r w:rsidR="00F808AF" w:rsidRPr="00D073FB">
        <w:t>pārliecinā</w:t>
      </w:r>
      <w:r w:rsidR="00F808AF">
        <w:t>šanās</w:t>
      </w:r>
      <w:r w:rsidRPr="00D073FB">
        <w:t xml:space="preserve">, ka </w:t>
      </w:r>
      <w:r w:rsidR="00F808AF">
        <w:t xml:space="preserve">to vērtēšanas rezultātā ir </w:t>
      </w:r>
      <w:r w:rsidRPr="00D073FB">
        <w:t>izslēgta jebkura iespējamība</w:t>
      </w:r>
      <w:r w:rsidR="00F808AF">
        <w:t xml:space="preserve"> par </w:t>
      </w:r>
      <w:r w:rsidRPr="00D073FB">
        <w:t>kasatoram labvēlīgāk</w:t>
      </w:r>
      <w:r w:rsidR="00F808AF">
        <w:t>u</w:t>
      </w:r>
      <w:r w:rsidR="00887BE8">
        <w:t xml:space="preserve"> lietas</w:t>
      </w:r>
      <w:r w:rsidR="00F808AF">
        <w:t xml:space="preserve"> iznākumu, jo tā būtu pierādījumu atkārtota</w:t>
      </w:r>
      <w:r w:rsidRPr="00D073FB">
        <w:t xml:space="preserve"> novērtēšana pēc būtības, ko veic pirmās un apelācijas instances tiesa (</w:t>
      </w:r>
      <w:r w:rsidR="00F808AF">
        <w:t>sk. </w:t>
      </w:r>
      <w:r w:rsidRPr="00D073FB">
        <w:rPr>
          <w:i/>
          <w:iCs/>
        </w:rPr>
        <w:t>Senāta 2018.</w:t>
      </w:r>
      <w:r w:rsidR="009B1548">
        <w:rPr>
          <w:i/>
          <w:iCs/>
        </w:rPr>
        <w:t> </w:t>
      </w:r>
      <w:r w:rsidRPr="00D073FB">
        <w:rPr>
          <w:i/>
          <w:iCs/>
        </w:rPr>
        <w:t>gada 13.</w:t>
      </w:r>
      <w:r w:rsidR="009B1548">
        <w:rPr>
          <w:i/>
          <w:iCs/>
        </w:rPr>
        <w:t> </w:t>
      </w:r>
      <w:r w:rsidRPr="00D073FB">
        <w:rPr>
          <w:i/>
          <w:iCs/>
        </w:rPr>
        <w:t>februāra spriedum</w:t>
      </w:r>
      <w:r w:rsidR="009B1548">
        <w:rPr>
          <w:i/>
          <w:iCs/>
        </w:rPr>
        <w:t>a</w:t>
      </w:r>
      <w:r w:rsidRPr="00D073FB">
        <w:rPr>
          <w:i/>
          <w:iCs/>
        </w:rPr>
        <w:t xml:space="preserve"> lietā</w:t>
      </w:r>
      <w:r w:rsidR="00360165">
        <w:rPr>
          <w:i/>
          <w:iCs/>
        </w:rPr>
        <w:t xml:space="preserve"> </w:t>
      </w:r>
      <w:r w:rsidRPr="00D073FB">
        <w:rPr>
          <w:i/>
          <w:iCs/>
        </w:rPr>
        <w:t>Nr.</w:t>
      </w:r>
      <w:r w:rsidR="009B1548">
        <w:rPr>
          <w:i/>
          <w:iCs/>
        </w:rPr>
        <w:t> </w:t>
      </w:r>
      <w:r w:rsidRPr="00D073FB">
        <w:rPr>
          <w:i/>
          <w:iCs/>
        </w:rPr>
        <w:t>SKA</w:t>
      </w:r>
      <w:r w:rsidR="009B1548" w:rsidRPr="00B143E8">
        <w:noBreakHyphen/>
      </w:r>
      <w:r w:rsidRPr="00D073FB">
        <w:rPr>
          <w:i/>
          <w:iCs/>
        </w:rPr>
        <w:t>92/2018,</w:t>
      </w:r>
      <w:r w:rsidR="00360165">
        <w:rPr>
          <w:i/>
          <w:iCs/>
        </w:rPr>
        <w:t xml:space="preserve"> </w:t>
      </w:r>
      <w:hyperlink r:id="rId8" w:history="1">
        <w:r w:rsidRPr="005747EF">
          <w:rPr>
            <w:rStyle w:val="Hyperlink"/>
            <w:i/>
            <w:iCs/>
          </w:rPr>
          <w:t>ECLI:LV:AT:2018:0213.A420433513.2.S</w:t>
        </w:r>
      </w:hyperlink>
      <w:r w:rsidRPr="00D073FB">
        <w:rPr>
          <w:i/>
          <w:iCs/>
        </w:rPr>
        <w:t>, 7.</w:t>
      </w:r>
      <w:r w:rsidR="00C8340A">
        <w:rPr>
          <w:i/>
          <w:iCs/>
        </w:rPr>
        <w:t> </w:t>
      </w:r>
      <w:r w:rsidRPr="00D073FB">
        <w:rPr>
          <w:i/>
          <w:iCs/>
        </w:rPr>
        <w:t>punkt</w:t>
      </w:r>
      <w:r w:rsidR="00F808AF">
        <w:rPr>
          <w:i/>
          <w:iCs/>
        </w:rPr>
        <w:t>u</w:t>
      </w:r>
      <w:r w:rsidRPr="00D073FB">
        <w:t>).</w:t>
      </w:r>
    </w:p>
    <w:p w14:paraId="25B87C2C" w14:textId="3D4D1D82" w:rsidR="000B6861" w:rsidRPr="00D073FB" w:rsidRDefault="00D66D23" w:rsidP="008B485F">
      <w:pPr>
        <w:widowControl w:val="0"/>
        <w:shd w:val="clear" w:color="auto" w:fill="FFFFFF"/>
        <w:spacing w:line="276" w:lineRule="auto"/>
        <w:ind w:firstLine="720"/>
        <w:jc w:val="both"/>
      </w:pPr>
      <w:r w:rsidRPr="00D073FB">
        <w:t>[6.2]</w:t>
      </w:r>
      <w:r w:rsidR="00816E59" w:rsidRPr="00D073FB">
        <w:t> </w:t>
      </w:r>
      <w:r w:rsidR="000B6861" w:rsidRPr="00D073FB">
        <w:t>Krimināllikuma 15. panta ceturtajā daļā noteikts, ka darbība vai bezdarbība, kas tieši ir vērsta uz tīšu nozieguma izdarīšanu, ir atzīstama par nozieguma mēģinājumu, ja tas nav izdarīts līdz galam no vainīgā gribas neatkarīgu iemeslu dēļ.</w:t>
      </w:r>
    </w:p>
    <w:p w14:paraId="53B83F58" w14:textId="6169B84E" w:rsidR="009175CF" w:rsidRPr="00D073FB" w:rsidRDefault="009175CF" w:rsidP="008B485F">
      <w:pPr>
        <w:widowControl w:val="0"/>
        <w:shd w:val="clear" w:color="auto" w:fill="FFFFFF"/>
        <w:spacing w:line="276" w:lineRule="auto"/>
        <w:ind w:firstLine="720"/>
        <w:jc w:val="both"/>
      </w:pPr>
      <w:r w:rsidRPr="00D073FB">
        <w:t>Krimināllikuma 253.</w:t>
      </w:r>
      <w:r w:rsidRPr="00D073FB">
        <w:rPr>
          <w:vertAlign w:val="superscript"/>
        </w:rPr>
        <w:t>1</w:t>
      </w:r>
      <w:r w:rsidR="009B1548">
        <w:t> </w:t>
      </w:r>
      <w:r w:rsidRPr="00D073FB">
        <w:t>panta pirmajā daļā paredzēta kriminālatbildība par narkotisko vai psihotropo vielu neatļautu izgatavošanu, iegādāšanos, glabāšanu, pārvadāšanu vai pārsūtīšanu realizācijas nolūkā vai par narkotisko vai psihotropo vielu neatļautu realizēšanu.</w:t>
      </w:r>
    </w:p>
    <w:p w14:paraId="6C323F9B" w14:textId="412D941E" w:rsidR="009175CF" w:rsidRPr="00D073FB" w:rsidRDefault="00F808AF" w:rsidP="008B485F">
      <w:pPr>
        <w:widowControl w:val="0"/>
        <w:shd w:val="clear" w:color="auto" w:fill="FFFFFF"/>
        <w:spacing w:line="276" w:lineRule="auto"/>
        <w:ind w:firstLine="720"/>
        <w:jc w:val="both"/>
      </w:pPr>
      <w:r>
        <w:t xml:space="preserve">Tātad šā </w:t>
      </w:r>
      <w:r w:rsidR="009175CF" w:rsidRPr="00D073FB">
        <w:t>noziedzīgā nodarījuma objektīvo pusi veido pieci darbību veidi: 1)</w:t>
      </w:r>
      <w:r w:rsidR="009B1548">
        <w:t> </w:t>
      </w:r>
      <w:r w:rsidR="009175CF" w:rsidRPr="00D073FB">
        <w:t>izgatavošana; 2)</w:t>
      </w:r>
      <w:r w:rsidR="009B1548">
        <w:t> </w:t>
      </w:r>
      <w:r w:rsidR="009175CF" w:rsidRPr="00D073FB">
        <w:t>iegādāšanās; 3)</w:t>
      </w:r>
      <w:r w:rsidR="009B1548">
        <w:t> </w:t>
      </w:r>
      <w:r w:rsidR="009175CF" w:rsidRPr="00D073FB">
        <w:t>glabāšana; 4)</w:t>
      </w:r>
      <w:r w:rsidR="009B1548">
        <w:t> </w:t>
      </w:r>
      <w:r w:rsidR="009175CF" w:rsidRPr="00D073FB">
        <w:t>pārvietošana vai pārsūtīšana; 5)</w:t>
      </w:r>
      <w:r w:rsidR="009B1548">
        <w:t> </w:t>
      </w:r>
      <w:r w:rsidR="009175CF" w:rsidRPr="00D073FB">
        <w:t>realizācija.</w:t>
      </w:r>
    </w:p>
    <w:p w14:paraId="77F4906F" w14:textId="7A6CC1CC" w:rsidR="009175CF" w:rsidRPr="00D073FB" w:rsidRDefault="00E562F1" w:rsidP="008B485F">
      <w:pPr>
        <w:widowControl w:val="0"/>
        <w:shd w:val="clear" w:color="auto" w:fill="FFFFFF"/>
        <w:spacing w:line="276" w:lineRule="auto"/>
        <w:ind w:firstLine="720"/>
        <w:jc w:val="both"/>
      </w:pPr>
      <w:r w:rsidRPr="00D073FB">
        <w:t>Krimināllikuma 253.</w:t>
      </w:r>
      <w:r w:rsidRPr="00D073FB">
        <w:rPr>
          <w:vertAlign w:val="superscript"/>
        </w:rPr>
        <w:t>1</w:t>
      </w:r>
      <w:r>
        <w:t> </w:t>
      </w:r>
      <w:r w:rsidRPr="00D073FB">
        <w:t>panta trešā daļ</w:t>
      </w:r>
      <w:r w:rsidR="00417389">
        <w:t>a</w:t>
      </w:r>
      <w:r w:rsidRPr="00D073FB">
        <w:t xml:space="preserve"> </w:t>
      </w:r>
      <w:r>
        <w:t>paredz p</w:t>
      </w:r>
      <w:r w:rsidR="002B2653" w:rsidRPr="00D073FB">
        <w:t>astiprināt</w:t>
      </w:r>
      <w:r>
        <w:t>u</w:t>
      </w:r>
      <w:r w:rsidR="002B2653" w:rsidRPr="00D073FB">
        <w:t xml:space="preserve"> atbildīb</w:t>
      </w:r>
      <w:r>
        <w:t>u</w:t>
      </w:r>
      <w:r w:rsidR="002B2653" w:rsidRPr="00D073FB">
        <w:t xml:space="preserve"> </w:t>
      </w:r>
      <w:r w:rsidR="00331BDB" w:rsidRPr="00D073FB">
        <w:t>par tādām pašām darbībām</w:t>
      </w:r>
      <w:r w:rsidR="00331BDB">
        <w:t>, ja: 1) </w:t>
      </w:r>
      <w:r w:rsidR="002B2653" w:rsidRPr="00D073FB">
        <w:t>tās izdarījusi organizēta grupa</w:t>
      </w:r>
      <w:r w:rsidR="00331BDB">
        <w:t>; 2) </w:t>
      </w:r>
      <w:r w:rsidR="002B2653" w:rsidRPr="00D073FB">
        <w:t>tās izdarītas ar narkotiskajām vai psihotropajām vielām lielā apmērā</w:t>
      </w:r>
      <w:r w:rsidR="00331BDB">
        <w:t>;</w:t>
      </w:r>
      <w:r w:rsidR="002B2653" w:rsidRPr="00D073FB">
        <w:t xml:space="preserve"> </w:t>
      </w:r>
      <w:r w:rsidR="00325ACF">
        <w:t>3) </w:t>
      </w:r>
      <w:r w:rsidR="002B2653" w:rsidRPr="00D073FB">
        <w:t>tās izraisījušas smagas sekas</w:t>
      </w:r>
      <w:r w:rsidR="00325ACF">
        <w:t>; 4) </w:t>
      </w:r>
      <w:r w:rsidR="002B2653" w:rsidRPr="00D073FB">
        <w:t>narkotisk</w:t>
      </w:r>
      <w:r w:rsidR="00325ACF">
        <w:t>ās</w:t>
      </w:r>
      <w:r w:rsidR="002B2653" w:rsidRPr="00D073FB">
        <w:t xml:space="preserve"> vai </w:t>
      </w:r>
      <w:r w:rsidR="00325ACF" w:rsidRPr="00D073FB">
        <w:t>psihotrop</w:t>
      </w:r>
      <w:r w:rsidR="00325ACF">
        <w:t>ās</w:t>
      </w:r>
      <w:r w:rsidR="00325ACF" w:rsidRPr="00D073FB">
        <w:t xml:space="preserve"> </w:t>
      </w:r>
      <w:r w:rsidR="002B2653" w:rsidRPr="00D073FB">
        <w:t>viel</w:t>
      </w:r>
      <w:r w:rsidR="00325ACF">
        <w:t>as</w:t>
      </w:r>
      <w:r w:rsidR="002B2653" w:rsidRPr="00D073FB">
        <w:t xml:space="preserve"> realiz</w:t>
      </w:r>
      <w:r w:rsidR="00325ACF">
        <w:t>ētas:</w:t>
      </w:r>
      <w:r w:rsidR="002B2653" w:rsidRPr="00D073FB">
        <w:t xml:space="preserve"> </w:t>
      </w:r>
      <w:r w:rsidR="00325ACF">
        <w:t>a) </w:t>
      </w:r>
      <w:r w:rsidR="002B2653" w:rsidRPr="00D073FB">
        <w:t>nepilngadīgai personai</w:t>
      </w:r>
      <w:r w:rsidR="00325ACF">
        <w:t>; b) </w:t>
      </w:r>
      <w:r w:rsidR="002B2653" w:rsidRPr="00D073FB">
        <w:t>izglītības iestādēs vai to teritorijā, restorānos, kafejnīcās, bāros, publiskās izklaides vai svētku pasākumu norises vietās.</w:t>
      </w:r>
    </w:p>
    <w:p w14:paraId="2D2B3960" w14:textId="215B97A5" w:rsidR="00360165" w:rsidRDefault="00F213B5" w:rsidP="008B485F">
      <w:pPr>
        <w:widowControl w:val="0"/>
        <w:shd w:val="clear" w:color="auto" w:fill="FFFFFF"/>
        <w:spacing w:line="276" w:lineRule="auto"/>
        <w:ind w:firstLine="720"/>
        <w:jc w:val="both"/>
      </w:pPr>
      <w:r w:rsidRPr="00D073FB">
        <w:t>N</w:t>
      </w:r>
      <w:r w:rsidR="00987937" w:rsidRPr="00D073FB">
        <w:t>oziedzīgā nodarījuma sastāv</w:t>
      </w:r>
      <w:r w:rsidR="009D3086" w:rsidRPr="00D073FB">
        <w:t>s</w:t>
      </w:r>
      <w:r w:rsidR="00987937" w:rsidRPr="00D073FB">
        <w:t xml:space="preserve"> ir formāls, </w:t>
      </w:r>
      <w:r w:rsidR="00325ACF">
        <w:t xml:space="preserve">tas ir, </w:t>
      </w:r>
      <w:r w:rsidR="00987937" w:rsidRPr="00D073FB">
        <w:t xml:space="preserve">noziegums uzskatāms par pabeigtu ar brīdi, kad vainīgais realizācijas nolūkā neatļauti izgatavojis, iegādājies, glabājis, pārvadājis vai pārsūtījis narkotiskas vai psihotropas vielas, vai arī neatļauti </w:t>
      </w:r>
      <w:r w:rsidR="00417389" w:rsidRPr="00D073FB">
        <w:t xml:space="preserve">tās </w:t>
      </w:r>
      <w:r w:rsidR="00987937" w:rsidRPr="00D073FB">
        <w:t>realizējis.</w:t>
      </w:r>
    </w:p>
    <w:p w14:paraId="058968DA" w14:textId="3BBE06DA" w:rsidR="000B6861" w:rsidRPr="00D073FB" w:rsidRDefault="000B6861" w:rsidP="008B485F">
      <w:pPr>
        <w:widowControl w:val="0"/>
        <w:shd w:val="clear" w:color="auto" w:fill="FFFFFF"/>
        <w:spacing w:line="276" w:lineRule="auto"/>
        <w:ind w:firstLine="720"/>
        <w:jc w:val="both"/>
      </w:pPr>
      <w:r w:rsidRPr="00D073FB">
        <w:t>Subjektīvā puse</w:t>
      </w:r>
      <w:r w:rsidR="008236F6" w:rsidRPr="00D073FB">
        <w:t xml:space="preserve"> </w:t>
      </w:r>
      <w:r w:rsidR="009A0D85" w:rsidRPr="00D073FB">
        <w:t>izpaužas tieš</w:t>
      </w:r>
      <w:r w:rsidR="00001D79">
        <w:t>a</w:t>
      </w:r>
      <w:r w:rsidR="009A0D85" w:rsidRPr="00D073FB">
        <w:t xml:space="preserve"> nodom</w:t>
      </w:r>
      <w:r w:rsidR="00001D79">
        <w:t>a veidā</w:t>
      </w:r>
      <w:r w:rsidR="009A0D85" w:rsidRPr="00D073FB">
        <w:t xml:space="preserve"> – </w:t>
      </w:r>
      <w:r w:rsidR="00001D79">
        <w:t xml:space="preserve">persona apzinās savas </w:t>
      </w:r>
      <w:r w:rsidR="009A0D85" w:rsidRPr="00D073FB">
        <w:t>darbīb</w:t>
      </w:r>
      <w:r w:rsidR="00001D79">
        <w:t>as</w:t>
      </w:r>
      <w:r w:rsidR="009A0D85" w:rsidRPr="00D073FB">
        <w:t xml:space="preserve"> kaitīgum</w:t>
      </w:r>
      <w:r w:rsidR="00001D79">
        <w:t>u</w:t>
      </w:r>
      <w:r w:rsidR="009A0D85" w:rsidRPr="00D073FB">
        <w:t xml:space="preserve"> </w:t>
      </w:r>
      <w:r w:rsidR="006838CA" w:rsidRPr="00D073FB">
        <w:t xml:space="preserve">un </w:t>
      </w:r>
      <w:r w:rsidR="00001D79">
        <w:t xml:space="preserve">rīkojas </w:t>
      </w:r>
      <w:r w:rsidR="006838CA" w:rsidRPr="00D073FB">
        <w:t>apzināt</w:t>
      </w:r>
      <w:r w:rsidR="00001D79">
        <w:t>i</w:t>
      </w:r>
      <w:r w:rsidR="006838CA" w:rsidRPr="00D073FB">
        <w:t>.</w:t>
      </w:r>
    </w:p>
    <w:p w14:paraId="0881114A" w14:textId="2A5D0E90" w:rsidR="00C970FF" w:rsidRPr="00D073FB" w:rsidRDefault="00C739FF" w:rsidP="008B485F">
      <w:pPr>
        <w:widowControl w:val="0"/>
        <w:shd w:val="clear" w:color="auto" w:fill="FFFFFF"/>
        <w:spacing w:line="276" w:lineRule="auto"/>
        <w:ind w:firstLine="720"/>
        <w:jc w:val="both"/>
      </w:pPr>
      <w:r w:rsidRPr="00D073FB">
        <w:t>[6.2.1] </w:t>
      </w:r>
      <w:r w:rsidR="00C970FF" w:rsidRPr="00D073FB">
        <w:t>Atbilstoši Kriminālprocesa likuma 128.</w:t>
      </w:r>
      <w:r w:rsidR="00001D79">
        <w:t> </w:t>
      </w:r>
      <w:r w:rsidR="00C970FF" w:rsidRPr="00D073FB">
        <w:t>panta otrajai daļai to, cik ticamas ir pierādīšanā izmantojamās ziņas par faktiem, izvērtē, aplūkojot visus kriminālprocesa laikā iegūtos faktus vai ziņas par faktiem kopumā un savstarpējā sakarībā. Šā panta trešā daļa noteic, ka nevienam no pierādījumiem nav iepriekš noteikta augstāka ticamības pakāpe nekā pārējiem pierādījumiem.</w:t>
      </w:r>
    </w:p>
    <w:p w14:paraId="5F9B2C44" w14:textId="2DC7599E" w:rsidR="00C970FF" w:rsidRPr="00D073FB" w:rsidRDefault="00C970FF" w:rsidP="008B485F">
      <w:pPr>
        <w:widowControl w:val="0"/>
        <w:shd w:val="clear" w:color="auto" w:fill="FFFFFF"/>
        <w:spacing w:line="276" w:lineRule="auto"/>
        <w:ind w:firstLine="720"/>
        <w:jc w:val="both"/>
      </w:pPr>
      <w:r w:rsidRPr="00D073FB">
        <w:t xml:space="preserve">Tiesas atzinumiem par </w:t>
      </w:r>
      <w:r w:rsidR="0033107E" w:rsidRPr="00D073FB">
        <w:t xml:space="preserve">pierādītā noziedzīgā nodarījuma aprakstā </w:t>
      </w:r>
      <w:r w:rsidR="0033107E">
        <w:t xml:space="preserve">ietvertajiem faktiskajiem </w:t>
      </w:r>
      <w:r w:rsidRPr="00D073FB">
        <w:t xml:space="preserve">apstākļiem jābūt pamatotiem ar lietā </w:t>
      </w:r>
      <w:r w:rsidR="00DD271D">
        <w:t xml:space="preserve">esošajiem </w:t>
      </w:r>
      <w:r w:rsidRPr="00D073FB">
        <w:t>pierādījumiem atbilstoši Kriminālprocesa likuma 124. panta piektajā daļā norādītajam pierādīšanas standartam – „saprātīgu šaubu izslēgšana”.</w:t>
      </w:r>
    </w:p>
    <w:p w14:paraId="22F68EEE" w14:textId="67D941DD" w:rsidR="00822357" w:rsidRDefault="00C739FF" w:rsidP="009D320B">
      <w:pPr>
        <w:widowControl w:val="0"/>
        <w:shd w:val="clear" w:color="auto" w:fill="FFFFFF"/>
        <w:spacing w:line="276" w:lineRule="auto"/>
        <w:ind w:firstLine="720"/>
        <w:jc w:val="both"/>
        <w:rPr>
          <w:shd w:val="clear" w:color="auto" w:fill="FFFFFF"/>
        </w:rPr>
      </w:pPr>
      <w:r w:rsidRPr="00D073FB">
        <w:lastRenderedPageBreak/>
        <w:t>Pirmās instances t</w:t>
      </w:r>
      <w:r w:rsidR="00C65A5D" w:rsidRPr="00D073FB">
        <w:t xml:space="preserve">iesa </w:t>
      </w:r>
      <w:r w:rsidR="008513EB" w:rsidRPr="00D073FB">
        <w:t xml:space="preserve">izvērtējusi </w:t>
      </w:r>
      <w:r w:rsidR="00C65A5D" w:rsidRPr="00D073FB">
        <w:t>pierādījum</w:t>
      </w:r>
      <w:r w:rsidR="008513EB" w:rsidRPr="00D073FB">
        <w:t>us</w:t>
      </w:r>
      <w:r w:rsidR="00CB5765" w:rsidRPr="00D073FB">
        <w:t>, t</w:t>
      </w:r>
      <w:r w:rsidR="00F56117" w:rsidRPr="00D073FB">
        <w:t>ai skaitā</w:t>
      </w:r>
      <w:r w:rsidR="00CB5765" w:rsidRPr="00D073FB">
        <w:t xml:space="preserve"> apskates protokol</w:t>
      </w:r>
      <w:r w:rsidR="00F56117" w:rsidRPr="00D073FB">
        <w:t>ā</w:t>
      </w:r>
      <w:r w:rsidR="008513EB" w:rsidRPr="00D073FB">
        <w:t>,</w:t>
      </w:r>
      <w:r w:rsidR="00CB5765" w:rsidRPr="00D073FB">
        <w:t xml:space="preserve"> </w:t>
      </w:r>
      <w:r w:rsidR="001D6CCD" w:rsidRPr="00D073FB">
        <w:t xml:space="preserve">narkotisko vielu </w:t>
      </w:r>
      <w:r w:rsidR="00CB5765" w:rsidRPr="00D073FB">
        <w:t xml:space="preserve">ekspertīzes </w:t>
      </w:r>
      <w:r w:rsidR="008513EB" w:rsidRPr="00D073FB">
        <w:t xml:space="preserve">eksperta </w:t>
      </w:r>
      <w:r w:rsidR="00CB5765" w:rsidRPr="00D073FB">
        <w:t>atzinum</w:t>
      </w:r>
      <w:r w:rsidR="00F56117" w:rsidRPr="00D073FB">
        <w:t xml:space="preserve">ā </w:t>
      </w:r>
      <w:r w:rsidR="008513EB" w:rsidRPr="00D073FB">
        <w:t xml:space="preserve">un </w:t>
      </w:r>
      <w:r w:rsidR="00A13339">
        <w:t>[pers. A]</w:t>
      </w:r>
      <w:r w:rsidR="001801D8">
        <w:t xml:space="preserve"> </w:t>
      </w:r>
      <w:r w:rsidR="008513EB" w:rsidRPr="00D073FB">
        <w:t xml:space="preserve">un </w:t>
      </w:r>
      <w:r w:rsidR="00A13339">
        <w:t>[pers. B]</w:t>
      </w:r>
      <w:r w:rsidR="008513EB" w:rsidRPr="00D073FB">
        <w:t xml:space="preserve"> liecībās e</w:t>
      </w:r>
      <w:r w:rsidR="00F56117" w:rsidRPr="00D073FB">
        <w:t>sošā</w:t>
      </w:r>
      <w:r w:rsidR="008513EB" w:rsidRPr="00D073FB">
        <w:t>s</w:t>
      </w:r>
      <w:r w:rsidR="00F56117" w:rsidRPr="00D073FB">
        <w:t xml:space="preserve"> ziņ</w:t>
      </w:r>
      <w:r w:rsidR="008513EB" w:rsidRPr="00D073FB">
        <w:t>as</w:t>
      </w:r>
      <w:r w:rsidR="00F56117" w:rsidRPr="00D073FB">
        <w:t xml:space="preserve"> par faktiem</w:t>
      </w:r>
      <w:r w:rsidR="00001D79">
        <w:t>,</w:t>
      </w:r>
      <w:r w:rsidR="00CB5765" w:rsidRPr="00D073FB">
        <w:t xml:space="preserve"> </w:t>
      </w:r>
      <w:r w:rsidR="008513EB" w:rsidRPr="00D073FB">
        <w:t xml:space="preserve">un atzinusi, ka </w:t>
      </w:r>
      <w:r w:rsidR="00A13339">
        <w:t>[pers.</w:t>
      </w:r>
      <w:r w:rsidR="001801D8">
        <w:t> </w:t>
      </w:r>
      <w:r w:rsidR="00A13339">
        <w:t>A]</w:t>
      </w:r>
      <w:r w:rsidR="008513EB" w:rsidRPr="00D073FB">
        <w:t xml:space="preserve"> </w:t>
      </w:r>
      <w:r w:rsidR="0033107E" w:rsidRPr="00D073FB">
        <w:t xml:space="preserve">ārpus saprātīgām šaubām </w:t>
      </w:r>
      <w:r w:rsidR="008513EB" w:rsidRPr="00D073FB">
        <w:t>iegādājās, glabāja un pārvadāja realizācijas nolūkā ne mazāk kā 5</w:t>
      </w:r>
      <w:r w:rsidR="00001D79">
        <w:t xml:space="preserve"> g </w:t>
      </w:r>
      <w:r w:rsidR="008513EB" w:rsidRPr="00D073FB">
        <w:t>izžāvēt</w:t>
      </w:r>
      <w:r w:rsidR="000B547E" w:rsidRPr="00D073FB">
        <w:t>u</w:t>
      </w:r>
      <w:r w:rsidR="008513EB" w:rsidRPr="00D073FB">
        <w:t xml:space="preserve"> augu mas</w:t>
      </w:r>
      <w:r w:rsidR="001831E9">
        <w:t>as</w:t>
      </w:r>
      <w:r w:rsidR="008513EB" w:rsidRPr="00D073FB">
        <w:t>, uzskatot</w:t>
      </w:r>
      <w:r w:rsidR="00114FAE">
        <w:t xml:space="preserve"> to par</w:t>
      </w:r>
      <w:r w:rsidR="008513EB" w:rsidRPr="00D073FB">
        <w:t xml:space="preserve"> izžāvēt</w:t>
      </w:r>
      <w:r w:rsidR="00114FAE">
        <w:t>u</w:t>
      </w:r>
      <w:r w:rsidR="008513EB" w:rsidRPr="00D073FB">
        <w:t xml:space="preserve"> marihuān</w:t>
      </w:r>
      <w:r w:rsidR="00114FAE">
        <w:t>u</w:t>
      </w:r>
      <w:r w:rsidR="008513EB" w:rsidRPr="00D073FB">
        <w:t xml:space="preserve"> (kanabis</w:t>
      </w:r>
      <w:r w:rsidR="00114FAE">
        <w:t>u</w:t>
      </w:r>
      <w:r w:rsidR="008513EB" w:rsidRPr="00D073FB">
        <w:t>)</w:t>
      </w:r>
      <w:r w:rsidR="00001D79">
        <w:t>,</w:t>
      </w:r>
      <w:r w:rsidR="000B547E" w:rsidRPr="00D073FB">
        <w:t xml:space="preserve"> </w:t>
      </w:r>
      <w:r w:rsidR="00114FAE">
        <w:t xml:space="preserve">no kuras </w:t>
      </w:r>
      <w:r w:rsidR="00B60875">
        <w:t xml:space="preserve">vispirms </w:t>
      </w:r>
      <w:r w:rsidR="001801D8">
        <w:t>[Nosaukums]</w:t>
      </w:r>
      <w:r w:rsidR="00B60875" w:rsidRPr="00D073FB">
        <w:t xml:space="preserve"> vidusskolas teritorijā</w:t>
      </w:r>
      <w:r w:rsidR="00B60875">
        <w:t xml:space="preserve"> </w:t>
      </w:r>
      <w:r w:rsidR="008236F6" w:rsidRPr="00D073FB">
        <w:t>ne mazāk kā 0</w:t>
      </w:r>
      <w:r w:rsidR="00001D79">
        <w:t>,</w:t>
      </w:r>
      <w:r w:rsidR="008236F6" w:rsidRPr="00D073FB">
        <w:t>5</w:t>
      </w:r>
      <w:r w:rsidR="00001D79">
        <w:t> </w:t>
      </w:r>
      <w:r w:rsidR="008236F6" w:rsidRPr="00D073FB">
        <w:t>g</w:t>
      </w:r>
      <w:r w:rsidR="00B60875">
        <w:t xml:space="preserve"> un pēc tam, braucot pa ceļu </w:t>
      </w:r>
      <w:r w:rsidR="001C75BD">
        <w:t>[Nosaukums]</w:t>
      </w:r>
      <w:r w:rsidR="00B60875">
        <w:t>,</w:t>
      </w:r>
      <w:r w:rsidR="00B60875" w:rsidRPr="00D073FB">
        <w:t xml:space="preserve"> </w:t>
      </w:r>
      <w:r w:rsidR="00B60875">
        <w:t>satiksmes autobusā</w:t>
      </w:r>
      <w:r w:rsidR="00B60875" w:rsidRPr="00D073FB">
        <w:t xml:space="preserve"> 0</w:t>
      </w:r>
      <w:r w:rsidR="00B60875">
        <w:t>,</w:t>
      </w:r>
      <w:r w:rsidR="00B60875" w:rsidRPr="00D073FB">
        <w:t>7613</w:t>
      </w:r>
      <w:r w:rsidR="00B60875">
        <w:t> </w:t>
      </w:r>
      <w:r w:rsidR="00B60875" w:rsidRPr="00D073FB">
        <w:t xml:space="preserve">g </w:t>
      </w:r>
      <w:r w:rsidR="00C3637A" w:rsidRPr="00D073FB">
        <w:t xml:space="preserve">realizēja </w:t>
      </w:r>
      <w:r w:rsidR="000B6861" w:rsidRPr="00D073FB">
        <w:t xml:space="preserve">nepilngadīgajam </w:t>
      </w:r>
      <w:r w:rsidR="00A13339">
        <w:t>[pers. B]</w:t>
      </w:r>
      <w:r w:rsidR="000B6861" w:rsidRPr="00D073FB">
        <w:t xml:space="preserve"> </w:t>
      </w:r>
      <w:r w:rsidR="00114FAE">
        <w:t>un ne mazāk kā</w:t>
      </w:r>
      <w:r w:rsidR="00114FAE" w:rsidRPr="00D073FB">
        <w:t xml:space="preserve"> 0</w:t>
      </w:r>
      <w:r w:rsidR="00114FAE">
        <w:t>,</w:t>
      </w:r>
      <w:r w:rsidR="00B60875">
        <w:t>5 </w:t>
      </w:r>
      <w:r w:rsidR="00114FAE" w:rsidRPr="00D073FB">
        <w:t>g</w:t>
      </w:r>
      <w:r w:rsidR="00114FAE">
        <w:t xml:space="preserve"> realizēja</w:t>
      </w:r>
      <w:r w:rsidR="008236F6" w:rsidRPr="00D073FB">
        <w:t xml:space="preserve"> </w:t>
      </w:r>
      <w:r w:rsidR="00787D86">
        <w:t xml:space="preserve">nepilngadīgajam </w:t>
      </w:r>
      <w:r w:rsidR="00A13339">
        <w:t>[pers. C]</w:t>
      </w:r>
      <w:r w:rsidR="008236F6" w:rsidRPr="00D073FB">
        <w:t xml:space="preserve"> </w:t>
      </w:r>
      <w:r w:rsidR="00A13339">
        <w:t>[Nosaukums]</w:t>
      </w:r>
      <w:r w:rsidR="008236F6" w:rsidRPr="00D073FB">
        <w:t xml:space="preserve"> parka estrādē.</w:t>
      </w:r>
      <w:r w:rsidR="00B60875">
        <w:t xml:space="preserve"> </w:t>
      </w:r>
      <w:r w:rsidR="003839CB" w:rsidRPr="00D073FB">
        <w:t>Tiesa</w:t>
      </w:r>
      <w:r w:rsidR="00114FAE">
        <w:t xml:space="preserve">, </w:t>
      </w:r>
      <w:r w:rsidR="004D6F18">
        <w:t>konstatējusi</w:t>
      </w:r>
      <w:r w:rsidR="003839CB" w:rsidRPr="00D073FB">
        <w:t xml:space="preserve">, ka </w:t>
      </w:r>
      <w:r w:rsidR="003839CB" w:rsidRPr="00D073FB">
        <w:rPr>
          <w:shd w:val="clear" w:color="auto" w:fill="FFFFFF"/>
        </w:rPr>
        <w:t xml:space="preserve">augu valsts izcelsmes viela, ar ko </w:t>
      </w:r>
      <w:r w:rsidR="00A13339">
        <w:rPr>
          <w:shd w:val="clear" w:color="auto" w:fill="FFFFFF"/>
        </w:rPr>
        <w:t>[pers. A]</w:t>
      </w:r>
      <w:r w:rsidR="003839CB" w:rsidRPr="00D073FB">
        <w:rPr>
          <w:shd w:val="clear" w:color="auto" w:fill="FFFFFF"/>
        </w:rPr>
        <w:t xml:space="preserve"> rīkojās, nesatur narkotiskās vai psihotropās vielas</w:t>
      </w:r>
      <w:r w:rsidR="004D6F18">
        <w:rPr>
          <w:shd w:val="clear" w:color="auto" w:fill="FFFFFF"/>
        </w:rPr>
        <w:t>, u</w:t>
      </w:r>
      <w:r w:rsidR="00337DA5">
        <w:rPr>
          <w:shd w:val="clear" w:color="auto" w:fill="FFFFFF"/>
        </w:rPr>
        <w:t xml:space="preserve">n, pamatojoties uz </w:t>
      </w:r>
      <w:r w:rsidR="00A13339">
        <w:t xml:space="preserve">[pers. A] </w:t>
      </w:r>
      <w:r w:rsidR="003839CB" w:rsidRPr="00D073FB">
        <w:rPr>
          <w:shd w:val="clear" w:color="auto" w:fill="FFFFFF"/>
        </w:rPr>
        <w:t xml:space="preserve">un </w:t>
      </w:r>
      <w:r w:rsidR="00A13339">
        <w:t xml:space="preserve">[pers. B] </w:t>
      </w:r>
      <w:r w:rsidR="003839CB" w:rsidRPr="00D073FB">
        <w:rPr>
          <w:shd w:val="clear" w:color="auto" w:fill="FFFFFF"/>
        </w:rPr>
        <w:t>liecībām</w:t>
      </w:r>
      <w:r w:rsidR="00337DA5">
        <w:rPr>
          <w:shd w:val="clear" w:color="auto" w:fill="FFFFFF"/>
        </w:rPr>
        <w:t>,</w:t>
      </w:r>
      <w:r w:rsidR="003839CB" w:rsidRPr="00D073FB">
        <w:rPr>
          <w:shd w:val="clear" w:color="auto" w:fill="FFFFFF"/>
        </w:rPr>
        <w:t xml:space="preserve"> secinājusi, ka </w:t>
      </w:r>
      <w:r w:rsidR="00A13339">
        <w:rPr>
          <w:shd w:val="clear" w:color="auto" w:fill="FFFFFF"/>
        </w:rPr>
        <w:t>[pers. A]</w:t>
      </w:r>
      <w:r w:rsidR="003839CB" w:rsidRPr="00D073FB">
        <w:rPr>
          <w:shd w:val="clear" w:color="auto" w:fill="FFFFFF"/>
        </w:rPr>
        <w:t xml:space="preserve"> bija pārliecināts, ka veic neatļautu apriti ar narkotisko vielu – izžāvētu marihuānu.</w:t>
      </w:r>
    </w:p>
    <w:p w14:paraId="09E40622" w14:textId="44923179" w:rsidR="00860E9A" w:rsidRPr="00D073FB" w:rsidRDefault="00B72DFC" w:rsidP="009D320B">
      <w:pPr>
        <w:widowControl w:val="0"/>
        <w:shd w:val="clear" w:color="auto" w:fill="FFFFFF"/>
        <w:spacing w:line="276" w:lineRule="auto"/>
        <w:ind w:firstLine="720"/>
        <w:jc w:val="both"/>
      </w:pPr>
      <w:r w:rsidRPr="00C67F67">
        <w:t xml:space="preserve">Tāpat pirmās instances tiesai </w:t>
      </w:r>
      <w:r w:rsidR="00337DA5">
        <w:t>nav radušās</w:t>
      </w:r>
      <w:r w:rsidRPr="00C67F67">
        <w:t xml:space="preserve"> sapratīgas šaub</w:t>
      </w:r>
      <w:r w:rsidR="007073FE" w:rsidRPr="00C67F67">
        <w:t>a</w:t>
      </w:r>
      <w:r w:rsidRPr="00C67F67">
        <w:t xml:space="preserve">s par </w:t>
      </w:r>
      <w:r w:rsidR="00A13339">
        <w:t>[pers. A]</w:t>
      </w:r>
      <w:r w:rsidRPr="00C67F67">
        <w:t xml:space="preserve"> un </w:t>
      </w:r>
      <w:r w:rsidR="00A13339">
        <w:t>[pers. B]</w:t>
      </w:r>
      <w:r w:rsidRPr="00C67F67">
        <w:t xml:space="preserve"> </w:t>
      </w:r>
      <w:r w:rsidR="00337DA5">
        <w:t xml:space="preserve">sniegto ziņu </w:t>
      </w:r>
      <w:r w:rsidR="00E615EF">
        <w:t xml:space="preserve">ticamību </w:t>
      </w:r>
      <w:r w:rsidR="00822357">
        <w:t xml:space="preserve">par </w:t>
      </w:r>
      <w:r w:rsidR="00A13339">
        <w:t>[pers. A]</w:t>
      </w:r>
      <w:r w:rsidR="00822357">
        <w:t xml:space="preserve"> realizētās</w:t>
      </w:r>
      <w:r w:rsidRPr="00C67F67">
        <w:t xml:space="preserve"> izžāvētās augu masas </w:t>
      </w:r>
      <w:r w:rsidR="00337DA5">
        <w:t xml:space="preserve">daudzumu, </w:t>
      </w:r>
      <w:r w:rsidRPr="00C67F67">
        <w:t xml:space="preserve">un </w:t>
      </w:r>
      <w:r w:rsidR="00337DA5">
        <w:t>tiesa atzinusi, ka tās ir pietiekamas</w:t>
      </w:r>
      <w:r w:rsidRPr="00C67F67">
        <w:t xml:space="preserve"> pierādīšan</w:t>
      </w:r>
      <w:r w:rsidR="007073FE" w:rsidRPr="00C67F67">
        <w:t>as</w:t>
      </w:r>
      <w:r w:rsidRPr="00C67F67">
        <w:t xml:space="preserve"> priekšmetā ietilpstošo faktu konstatēšanai</w:t>
      </w:r>
      <w:r w:rsidR="00140CB8" w:rsidRPr="00C67F67">
        <w:t>, l</w:t>
      </w:r>
      <w:r w:rsidR="00FC35E2" w:rsidRPr="00C67F67">
        <w:t xml:space="preserve">ai arī </w:t>
      </w:r>
      <w:r w:rsidR="00822357">
        <w:t xml:space="preserve">daļa no </w:t>
      </w:r>
      <w:r w:rsidR="00A13339">
        <w:t>[pers. A]</w:t>
      </w:r>
      <w:r w:rsidR="00787D86">
        <w:t xml:space="preserve"> realizētā</w:t>
      </w:r>
      <w:r w:rsidR="00822357">
        <w:t>s</w:t>
      </w:r>
      <w:r w:rsidR="00787D86">
        <w:t xml:space="preserve"> </w:t>
      </w:r>
      <w:r w:rsidR="00FC35E2" w:rsidRPr="00C67F67">
        <w:t>izžāvēt</w:t>
      </w:r>
      <w:r w:rsidR="00337DA5">
        <w:t>ā</w:t>
      </w:r>
      <w:r w:rsidR="00822357">
        <w:t>s</w:t>
      </w:r>
      <w:r w:rsidR="00FC35E2" w:rsidRPr="00C67F67">
        <w:t xml:space="preserve"> augu masa</w:t>
      </w:r>
      <w:r w:rsidR="00822357">
        <w:t>s</w:t>
      </w:r>
      <w:r w:rsidR="00FC35E2" w:rsidRPr="00C67F67">
        <w:t xml:space="preserve"> </w:t>
      </w:r>
      <w:r w:rsidR="008B0D32" w:rsidRPr="00C67F67">
        <w:t xml:space="preserve">netika izņemta, jo </w:t>
      </w:r>
      <w:r w:rsidR="00787D86" w:rsidRPr="00C67F67">
        <w:t xml:space="preserve">tika patērēta </w:t>
      </w:r>
      <w:r w:rsidR="008B0D32" w:rsidRPr="00C67F67">
        <w:t>smēķējot</w:t>
      </w:r>
      <w:r w:rsidR="00140CB8" w:rsidRPr="00C67F67">
        <w:t>.</w:t>
      </w:r>
    </w:p>
    <w:p w14:paraId="63226C91" w14:textId="33F31433" w:rsidR="006838CA" w:rsidRPr="00D073FB" w:rsidRDefault="005A1D0A" w:rsidP="008B485F">
      <w:pPr>
        <w:widowControl w:val="0"/>
        <w:spacing w:line="276" w:lineRule="auto"/>
        <w:ind w:firstLine="720"/>
        <w:jc w:val="both"/>
        <w:rPr>
          <w:rFonts w:eastAsia="Calibri"/>
          <w:lang w:eastAsia="lv-LV"/>
        </w:rPr>
      </w:pPr>
      <w:r w:rsidRPr="00D073FB">
        <w:t>Šāds pirmās instances tiesas vērtējums atbilst Kriminālprocesa likuma 128. panta otrās un trešās daļas</w:t>
      </w:r>
      <w:r w:rsidR="00C970FF" w:rsidRPr="00D073FB">
        <w:t>, 124. panta piektās daļas</w:t>
      </w:r>
      <w:r w:rsidRPr="00D073FB">
        <w:t xml:space="preserve"> prasībām,</w:t>
      </w:r>
      <w:r w:rsidRPr="00D073FB">
        <w:rPr>
          <w:rFonts w:eastAsia="Calibri"/>
          <w:lang w:eastAsia="lv-LV"/>
        </w:rPr>
        <w:t xml:space="preserve"> un Senāt</w:t>
      </w:r>
      <w:r w:rsidR="001016B8">
        <w:rPr>
          <w:rFonts w:eastAsia="Calibri"/>
          <w:lang w:eastAsia="lv-LV"/>
        </w:rPr>
        <w:t xml:space="preserve">s nekonstatē pamatu </w:t>
      </w:r>
      <w:r w:rsidRPr="00D073FB">
        <w:rPr>
          <w:rFonts w:eastAsia="Calibri"/>
          <w:lang w:eastAsia="lv-LV"/>
        </w:rPr>
        <w:t>apšaubīt tiesas atzinumu</w:t>
      </w:r>
      <w:r w:rsidR="001016B8">
        <w:rPr>
          <w:rFonts w:eastAsia="Calibri"/>
          <w:lang w:eastAsia="lv-LV"/>
        </w:rPr>
        <w:t xml:space="preserve">s </w:t>
      </w:r>
      <w:r w:rsidRPr="00D073FB">
        <w:rPr>
          <w:rFonts w:eastAsia="Calibri"/>
          <w:lang w:eastAsia="lv-LV"/>
        </w:rPr>
        <w:t xml:space="preserve">par </w:t>
      </w:r>
      <w:r w:rsidR="00A13339">
        <w:t>[pers. A]</w:t>
      </w:r>
      <w:r w:rsidRPr="00D073FB">
        <w:rPr>
          <w:rFonts w:eastAsia="Calibri"/>
          <w:lang w:eastAsia="lv-LV"/>
        </w:rPr>
        <w:t xml:space="preserve"> </w:t>
      </w:r>
      <w:r w:rsidR="007C474F" w:rsidRPr="00D073FB">
        <w:rPr>
          <w:rFonts w:eastAsia="Calibri"/>
          <w:lang w:eastAsia="lv-LV"/>
        </w:rPr>
        <w:t xml:space="preserve">nodomu veikt neatļautas darbības ar </w:t>
      </w:r>
      <w:r w:rsidR="00016CFD" w:rsidRPr="00D073FB">
        <w:rPr>
          <w:rFonts w:eastAsia="Calibri"/>
          <w:lang w:eastAsia="lv-LV"/>
        </w:rPr>
        <w:t>narkotis</w:t>
      </w:r>
      <w:r w:rsidR="00016CFD">
        <w:rPr>
          <w:rFonts w:eastAsia="Calibri"/>
          <w:lang w:eastAsia="lv-LV"/>
        </w:rPr>
        <w:t>ko</w:t>
      </w:r>
      <w:r w:rsidR="007073FE">
        <w:rPr>
          <w:rFonts w:eastAsia="Calibri"/>
          <w:lang w:eastAsia="lv-LV"/>
        </w:rPr>
        <w:t xml:space="preserve"> vielu</w:t>
      </w:r>
      <w:r w:rsidR="00C970FF" w:rsidRPr="00D073FB">
        <w:rPr>
          <w:rFonts w:eastAsia="Calibri"/>
          <w:lang w:eastAsia="lv-LV"/>
        </w:rPr>
        <w:t xml:space="preserve"> pierādīt</w:t>
      </w:r>
      <w:r w:rsidR="007073FE">
        <w:rPr>
          <w:rFonts w:eastAsia="Calibri"/>
          <w:lang w:eastAsia="lv-LV"/>
        </w:rPr>
        <w:t>ā</w:t>
      </w:r>
      <w:r w:rsidR="00C970FF" w:rsidRPr="00D073FB">
        <w:rPr>
          <w:rFonts w:eastAsia="Calibri"/>
          <w:lang w:eastAsia="lv-LV"/>
        </w:rPr>
        <w:t xml:space="preserve"> noziedzīg</w:t>
      </w:r>
      <w:r w:rsidR="007073FE">
        <w:rPr>
          <w:rFonts w:eastAsia="Calibri"/>
          <w:lang w:eastAsia="lv-LV"/>
        </w:rPr>
        <w:t>ā</w:t>
      </w:r>
      <w:r w:rsidR="00C970FF" w:rsidRPr="00D073FB">
        <w:rPr>
          <w:rFonts w:eastAsia="Calibri"/>
          <w:lang w:eastAsia="lv-LV"/>
        </w:rPr>
        <w:t xml:space="preserve"> nodarījuma aprakstā norādīt</w:t>
      </w:r>
      <w:r w:rsidR="00787D86">
        <w:rPr>
          <w:rFonts w:eastAsia="Calibri"/>
          <w:lang w:eastAsia="lv-LV"/>
        </w:rPr>
        <w:t>ajā</w:t>
      </w:r>
      <w:r w:rsidR="00C970FF" w:rsidRPr="00D073FB">
        <w:rPr>
          <w:rFonts w:eastAsia="Calibri"/>
          <w:lang w:eastAsia="lv-LV"/>
        </w:rPr>
        <w:t xml:space="preserve"> daudzum</w:t>
      </w:r>
      <w:r w:rsidR="00787D86">
        <w:rPr>
          <w:rFonts w:eastAsia="Calibri"/>
          <w:lang w:eastAsia="lv-LV"/>
        </w:rPr>
        <w:t>ā</w:t>
      </w:r>
      <w:r w:rsidRPr="00D073FB">
        <w:rPr>
          <w:rFonts w:eastAsia="Calibri"/>
          <w:lang w:eastAsia="lv-LV"/>
        </w:rPr>
        <w:t>.</w:t>
      </w:r>
    </w:p>
    <w:p w14:paraId="2EE62371" w14:textId="0D18A2FB" w:rsidR="001D3E61" w:rsidRPr="002125B3" w:rsidRDefault="00511A04" w:rsidP="008B485F">
      <w:pPr>
        <w:pStyle w:val="CommentText"/>
        <w:widowControl w:val="0"/>
        <w:spacing w:line="276" w:lineRule="auto"/>
        <w:ind w:firstLine="720"/>
        <w:jc w:val="both"/>
        <w:rPr>
          <w:sz w:val="24"/>
          <w:szCs w:val="24"/>
        </w:rPr>
      </w:pPr>
      <w:r w:rsidRPr="002125B3">
        <w:rPr>
          <w:sz w:val="24"/>
          <w:szCs w:val="24"/>
        </w:rPr>
        <w:t>[6.</w:t>
      </w:r>
      <w:r w:rsidR="006838CA" w:rsidRPr="002125B3">
        <w:rPr>
          <w:sz w:val="24"/>
          <w:szCs w:val="24"/>
        </w:rPr>
        <w:t>2.</w:t>
      </w:r>
      <w:r w:rsidR="00C739FF" w:rsidRPr="002125B3">
        <w:rPr>
          <w:sz w:val="24"/>
          <w:szCs w:val="24"/>
        </w:rPr>
        <w:t>2</w:t>
      </w:r>
      <w:r w:rsidRPr="002125B3">
        <w:rPr>
          <w:sz w:val="24"/>
          <w:szCs w:val="24"/>
        </w:rPr>
        <w:t>] </w:t>
      </w:r>
      <w:r w:rsidR="003B179E" w:rsidRPr="002125B3">
        <w:rPr>
          <w:sz w:val="24"/>
          <w:szCs w:val="24"/>
        </w:rPr>
        <w:t xml:space="preserve">Senāts atzīst par nepamatotu advokāta </w:t>
      </w:r>
      <w:r w:rsidR="001016B8">
        <w:rPr>
          <w:sz w:val="24"/>
          <w:szCs w:val="24"/>
        </w:rPr>
        <w:t>viedokli</w:t>
      </w:r>
      <w:r w:rsidR="003B179E" w:rsidRPr="002125B3">
        <w:rPr>
          <w:sz w:val="24"/>
          <w:szCs w:val="24"/>
        </w:rPr>
        <w:t>, ka</w:t>
      </w:r>
      <w:r w:rsidR="00CA19F2" w:rsidRPr="002125B3">
        <w:rPr>
          <w:sz w:val="24"/>
          <w:szCs w:val="24"/>
        </w:rPr>
        <w:t xml:space="preserve"> </w:t>
      </w:r>
      <w:r w:rsidR="002125B3" w:rsidRPr="002125B3">
        <w:rPr>
          <w:sz w:val="24"/>
          <w:szCs w:val="24"/>
        </w:rPr>
        <w:t xml:space="preserve">kļūda noziedzīgā nodarījuma priekšmetā </w:t>
      </w:r>
      <w:r w:rsidR="00CA19F2" w:rsidRPr="002125B3">
        <w:rPr>
          <w:sz w:val="24"/>
          <w:szCs w:val="24"/>
        </w:rPr>
        <w:t>izslēdz noziedzīgā nodarījuma sastāvu un kriminālatbildību</w:t>
      </w:r>
      <w:r w:rsidR="00025C9E" w:rsidRPr="002125B3">
        <w:rPr>
          <w:sz w:val="24"/>
          <w:szCs w:val="24"/>
        </w:rPr>
        <w:t>.</w:t>
      </w:r>
    </w:p>
    <w:p w14:paraId="0EF8443D" w14:textId="114F9794" w:rsidR="00206F02" w:rsidRDefault="00672129" w:rsidP="008B485F">
      <w:pPr>
        <w:widowControl w:val="0"/>
        <w:shd w:val="clear" w:color="auto" w:fill="FFFFFF"/>
        <w:spacing w:line="276" w:lineRule="auto"/>
        <w:ind w:firstLine="720"/>
        <w:jc w:val="both"/>
      </w:pPr>
      <w:r w:rsidRPr="002125B3">
        <w:t xml:space="preserve">Senāts piekrīt tiesību doktrīnā </w:t>
      </w:r>
      <w:r w:rsidR="00206F02" w:rsidRPr="002125B3">
        <w:t>un tiesu praksē paustajam</w:t>
      </w:r>
      <w:r w:rsidR="00CE732C" w:rsidRPr="002125B3">
        <w:t xml:space="preserve">, ka </w:t>
      </w:r>
      <w:r w:rsidR="00206F02" w:rsidRPr="001366F1">
        <w:t>k</w:t>
      </w:r>
      <w:r w:rsidR="00971677" w:rsidRPr="001366F1">
        <w:t>ļūda</w:t>
      </w:r>
      <w:r w:rsidR="00971677" w:rsidRPr="002125B3">
        <w:t xml:space="preserve"> </w:t>
      </w:r>
      <w:r w:rsidR="008053AE" w:rsidRPr="002125B3">
        <w:t xml:space="preserve">noziedzīga nodarījuma </w:t>
      </w:r>
      <w:r w:rsidR="008053AE" w:rsidRPr="001366F1">
        <w:t>priekšmetā</w:t>
      </w:r>
      <w:r w:rsidR="00206F02" w:rsidRPr="002125B3">
        <w:t xml:space="preserve"> nodarījuma</w:t>
      </w:r>
      <w:r w:rsidR="00206F02">
        <w:t xml:space="preserve"> kvalifikāciju ietekmē tikai tad, ja vainīgais ir nodomājis vērst nodarījumu pret tādu priekšmetu, kurš speciāli norādīts krimināltiesību normā. Šī</w:t>
      </w:r>
      <w:r w:rsidR="008110B8" w:rsidRPr="00D073FB">
        <w:t xml:space="preserve"> kļūda </w:t>
      </w:r>
      <w:r w:rsidR="00206F02">
        <w:t xml:space="preserve">var būt </w:t>
      </w:r>
      <w:r w:rsidR="008110B8" w:rsidRPr="00D073FB">
        <w:t>saistīta</w:t>
      </w:r>
      <w:r w:rsidR="00971677">
        <w:t xml:space="preserve"> kā</w:t>
      </w:r>
      <w:r w:rsidR="008110B8" w:rsidRPr="00D073FB">
        <w:t xml:space="preserve"> ar priekšmeta piederību tai vai citai priekšmetu grupai, tā arī ar noziedzīgā priekšmeta derīgumu tam paredzētajiem mērķiem.</w:t>
      </w:r>
    </w:p>
    <w:p w14:paraId="7CE60562" w14:textId="0BBA8F8C" w:rsidR="008110B8" w:rsidRPr="00D073FB" w:rsidRDefault="00206F02" w:rsidP="008B485F">
      <w:pPr>
        <w:widowControl w:val="0"/>
        <w:shd w:val="clear" w:color="auto" w:fill="FFFFFF"/>
        <w:spacing w:line="276" w:lineRule="auto"/>
        <w:ind w:firstLine="720"/>
        <w:jc w:val="both"/>
      </w:pPr>
      <w:r w:rsidRPr="00CD413B">
        <w:t>P</w:t>
      </w:r>
      <w:r w:rsidR="008110B8" w:rsidRPr="00CD413B">
        <w:t>iemēram, persona vēlas nolaupīt narkotiskas vai psihotropas vielas, taču izrādījies,</w:t>
      </w:r>
      <w:r w:rsidR="008110B8" w:rsidRPr="00D073FB">
        <w:t xml:space="preserve"> ka nolaupītās vielas nav iekļautas nevienā no trim narkotisko vai psihotropo vielu sarakstiem.</w:t>
      </w:r>
      <w:r>
        <w:t xml:space="preserve"> Cits piemērs, persona vēlas nolaupīt lietošanai derīgu šaujamieroci, taču izrādās, ka tas ir sabojāts un lietošanai nederīgs. </w:t>
      </w:r>
      <w:r w:rsidR="008110B8" w:rsidRPr="00D073FB">
        <w:t>Šād</w:t>
      </w:r>
      <w:r w:rsidR="00971677">
        <w:t>os</w:t>
      </w:r>
      <w:r w:rsidR="008110B8" w:rsidRPr="00D073FB">
        <w:t xml:space="preserve"> gadījumos nodarījums kvalificējams kā mēģinājums nolaupīt to priekšmetu, uz kuru bija vērsts vainīgā nodoms</w:t>
      </w:r>
      <w:r w:rsidR="00C8340A">
        <w:t xml:space="preserve"> </w:t>
      </w:r>
      <w:r w:rsidR="00133C08" w:rsidRPr="00D073FB">
        <w:t>(</w:t>
      </w:r>
      <w:proofErr w:type="spellStart"/>
      <w:r w:rsidR="00133C08" w:rsidRPr="00D073FB">
        <w:rPr>
          <w:i/>
          <w:iCs/>
        </w:rPr>
        <w:t>Liholaja</w:t>
      </w:r>
      <w:proofErr w:type="spellEnd"/>
      <w:r w:rsidR="00133C08" w:rsidRPr="00D073FB">
        <w:rPr>
          <w:i/>
          <w:iCs/>
        </w:rPr>
        <w:t> V. Noziedzīgu nodarījumu kvalifikācija: Likums. Teorija. Prakse. Rīga: Tiesu namu aģentūra, 2003, 6</w:t>
      </w:r>
      <w:r>
        <w:rPr>
          <w:i/>
          <w:iCs/>
        </w:rPr>
        <w:t>6</w:t>
      </w:r>
      <w:r w:rsidR="00133C08" w:rsidRPr="00D073FB">
        <w:rPr>
          <w:i/>
          <w:iCs/>
        </w:rPr>
        <w:t>.</w:t>
      </w:r>
      <w:r w:rsidR="00AB23FC" w:rsidRPr="00273A33">
        <w:rPr>
          <w:i/>
          <w:iCs/>
        </w:rPr>
        <w:t>–</w:t>
      </w:r>
      <w:r w:rsidR="00133C08" w:rsidRPr="00D073FB">
        <w:rPr>
          <w:i/>
          <w:iCs/>
        </w:rPr>
        <w:t>67. lpp.</w:t>
      </w:r>
      <w:r w:rsidR="006754BE">
        <w:rPr>
          <w:i/>
          <w:iCs/>
        </w:rPr>
        <w:t>, Latvijas Republikas Augstākās tiesas Plēnuma 1997. gada 2. jūnija lēmuma Nr. 5 „Par tiesu praksi, krimināllietās par neatļautām darbībām ar ieročiem, munīciju, sprāgstvielām un speciāliem līdzekļiem 4.</w:t>
      </w:r>
      <w:r w:rsidR="001016B8">
        <w:rPr>
          <w:i/>
          <w:iCs/>
        </w:rPr>
        <w:t> </w:t>
      </w:r>
      <w:r w:rsidR="006754BE">
        <w:rPr>
          <w:i/>
          <w:iCs/>
        </w:rPr>
        <w:t>punkts”</w:t>
      </w:r>
      <w:r w:rsidR="00133C08" w:rsidRPr="00D073FB">
        <w:t>)</w:t>
      </w:r>
      <w:r w:rsidR="00312F5C" w:rsidRPr="00D073FB">
        <w:t>.</w:t>
      </w:r>
    </w:p>
    <w:p w14:paraId="4F68A5CE" w14:textId="57AC2335" w:rsidR="003C0A35" w:rsidRPr="00D073FB" w:rsidRDefault="00121D7D" w:rsidP="008B485F">
      <w:pPr>
        <w:widowControl w:val="0"/>
        <w:shd w:val="clear" w:color="auto" w:fill="FFFFFF"/>
        <w:spacing w:line="276" w:lineRule="auto"/>
        <w:ind w:firstLine="720"/>
        <w:jc w:val="both"/>
      </w:pPr>
      <w:r>
        <w:t xml:space="preserve">Līdz ar to </w:t>
      </w:r>
      <w:r w:rsidR="003C0A35" w:rsidRPr="00D073FB">
        <w:t xml:space="preserve">gadījumā, ja </w:t>
      </w:r>
      <w:r w:rsidR="00713C6C" w:rsidRPr="00D073FB">
        <w:t>persona vēlas sasniegt noteiktu noziedzīgu rezultātu</w:t>
      </w:r>
      <w:r w:rsidR="001D5B20" w:rsidRPr="00D073FB">
        <w:t>, bet savā darbībā vai bezdarbībā, kas vērsta uz šī rezultāta sasniegšanu, tā pieļauj kļūdu no viņas gribas neatkarību iemeslu dēļ, tad šādi nodarījumi jākvalificē kā nozieguma mēģinājums.</w:t>
      </w:r>
    </w:p>
    <w:p w14:paraId="0A68C6CE" w14:textId="6D224CB2" w:rsidR="00672129" w:rsidRDefault="00523909" w:rsidP="008B485F">
      <w:pPr>
        <w:widowControl w:val="0"/>
        <w:shd w:val="clear" w:color="auto" w:fill="FFFFFF"/>
        <w:spacing w:line="276" w:lineRule="auto"/>
        <w:ind w:firstLine="720"/>
        <w:jc w:val="both"/>
      </w:pPr>
      <w:r w:rsidRPr="00D073FB">
        <w:t xml:space="preserve">Ievērojot minēto, </w:t>
      </w:r>
      <w:r w:rsidR="00121D7D">
        <w:t xml:space="preserve">Senāts atzīst par pareizu </w:t>
      </w:r>
      <w:r w:rsidR="00922FD7" w:rsidRPr="00D073FB">
        <w:t>pirmās instances tiesa</w:t>
      </w:r>
      <w:r w:rsidR="00121D7D">
        <w:t xml:space="preserve">s secinājumu, ka </w:t>
      </w:r>
      <w:r w:rsidR="00A13339">
        <w:t>[pers. A]</w:t>
      </w:r>
      <w:r w:rsidR="00922FD7" w:rsidRPr="00D073FB">
        <w:t xml:space="preserve"> izdarītais noziedzīgais nodarījums kvalificējams</w:t>
      </w:r>
      <w:r w:rsidR="00025C9E" w:rsidRPr="00D073FB">
        <w:t xml:space="preserve"> kā mēģinājums</w:t>
      </w:r>
      <w:r w:rsidR="00922FD7" w:rsidRPr="00D073FB">
        <w:t xml:space="preserve"> pēc </w:t>
      </w:r>
      <w:r w:rsidR="00511A04" w:rsidRPr="00D073FB">
        <w:t xml:space="preserve">Krimināllikuma </w:t>
      </w:r>
      <w:r w:rsidR="00922FD7" w:rsidRPr="00D073FB">
        <w:t>15. panta ceturtās daļas un 253.</w:t>
      </w:r>
      <w:r w:rsidR="00922FD7" w:rsidRPr="00D073FB">
        <w:rPr>
          <w:vertAlign w:val="superscript"/>
        </w:rPr>
        <w:t>1</w:t>
      </w:r>
      <w:r w:rsidR="00922FD7" w:rsidRPr="00D073FB">
        <w:t xml:space="preserve"> panta trešās daļas, jo </w:t>
      </w:r>
      <w:r w:rsidR="006E0D1D">
        <w:t xml:space="preserve">inkriminētās darbības </w:t>
      </w:r>
      <w:r w:rsidR="00A13339">
        <w:t>[pers. A]</w:t>
      </w:r>
      <w:r w:rsidR="006E0D1D">
        <w:t xml:space="preserve"> izdarīja, uzskatot</w:t>
      </w:r>
      <w:r w:rsidR="00557375" w:rsidRPr="00D073FB">
        <w:t>, ka rīkojas ar narkotisko vielu</w:t>
      </w:r>
      <w:r w:rsidR="00511A04" w:rsidRPr="00D073FB">
        <w:t xml:space="preserve"> (</w:t>
      </w:r>
      <w:r w:rsidR="00557375" w:rsidRPr="00D073FB">
        <w:t>marihuānu</w:t>
      </w:r>
      <w:r w:rsidR="00511A04" w:rsidRPr="00D073FB">
        <w:t>)</w:t>
      </w:r>
      <w:r w:rsidR="006E0D1D">
        <w:t>,</w:t>
      </w:r>
      <w:r w:rsidR="00511A04" w:rsidRPr="00D073FB">
        <w:t xml:space="preserve"> </w:t>
      </w:r>
      <w:r w:rsidR="006E0D1D">
        <w:t>nolūkā</w:t>
      </w:r>
      <w:r w:rsidR="00557375" w:rsidRPr="00D073FB">
        <w:t xml:space="preserve"> </w:t>
      </w:r>
      <w:r w:rsidR="00713C6C" w:rsidRPr="00D073FB">
        <w:t xml:space="preserve">sasniegt </w:t>
      </w:r>
      <w:r w:rsidR="00713C6C" w:rsidRPr="00D073FB">
        <w:lastRenderedPageBreak/>
        <w:t>noteiktu noziedzīgu rezultātu</w:t>
      </w:r>
      <w:r w:rsidR="00557375" w:rsidRPr="00D073FB">
        <w:t>, taču t</w:t>
      </w:r>
      <w:r w:rsidR="00EA44BB">
        <w:t>a</w:t>
      </w:r>
      <w:r w:rsidR="00557375" w:rsidRPr="00D073FB">
        <w:t xml:space="preserve">s </w:t>
      </w:r>
      <w:r w:rsidR="00713C6C" w:rsidRPr="00D073FB">
        <w:t>netika sasniegts</w:t>
      </w:r>
      <w:r w:rsidR="00557375" w:rsidRPr="00D073FB">
        <w:t xml:space="preserve"> no viņ</w:t>
      </w:r>
      <w:r w:rsidR="002378A2" w:rsidRPr="00D073FB">
        <w:t>a</w:t>
      </w:r>
      <w:r w:rsidR="00557375" w:rsidRPr="00D073FB">
        <w:t xml:space="preserve"> gribas neatkarīgu iemeslu dēļ</w:t>
      </w:r>
      <w:r w:rsidR="002378A2" w:rsidRPr="00D073FB">
        <w:t>.</w:t>
      </w:r>
    </w:p>
    <w:p w14:paraId="2D39D769" w14:textId="2831418D" w:rsidR="00457E9D" w:rsidRPr="00D073FB" w:rsidRDefault="00457E9D" w:rsidP="008B485F">
      <w:pPr>
        <w:widowControl w:val="0"/>
        <w:shd w:val="clear" w:color="auto" w:fill="FFFFFF"/>
        <w:spacing w:line="276" w:lineRule="auto"/>
        <w:ind w:firstLine="720"/>
        <w:jc w:val="both"/>
        <w:rPr>
          <w:shd w:val="clear" w:color="auto" w:fill="FFFFFF"/>
        </w:rPr>
      </w:pPr>
      <w:r w:rsidRPr="00D073FB">
        <w:rPr>
          <w:shd w:val="clear" w:color="auto" w:fill="FFFFFF"/>
        </w:rPr>
        <w:t>[6.</w:t>
      </w:r>
      <w:r w:rsidR="008859CF">
        <w:rPr>
          <w:shd w:val="clear" w:color="auto" w:fill="FFFFFF"/>
        </w:rPr>
        <w:t>3</w:t>
      </w:r>
      <w:r w:rsidRPr="00D073FB">
        <w:rPr>
          <w:shd w:val="clear" w:color="auto" w:fill="FFFFFF"/>
        </w:rPr>
        <w:t>]</w:t>
      </w:r>
      <w:r>
        <w:rPr>
          <w:shd w:val="clear" w:color="auto" w:fill="FFFFFF"/>
        </w:rPr>
        <w:t> </w:t>
      </w:r>
      <w:r w:rsidR="006E0D1D">
        <w:rPr>
          <w:shd w:val="clear" w:color="auto" w:fill="FFFFFF"/>
        </w:rPr>
        <w:t>Aizstāvja arguments</w:t>
      </w:r>
      <w:r w:rsidRPr="00D073FB">
        <w:rPr>
          <w:shd w:val="clear" w:color="auto" w:fill="FFFFFF"/>
        </w:rPr>
        <w:t>, ka noziedzīgās darbības – izžāvēta</w:t>
      </w:r>
      <w:r>
        <w:rPr>
          <w:shd w:val="clear" w:color="auto" w:fill="FFFFFF"/>
        </w:rPr>
        <w:t>s</w:t>
      </w:r>
      <w:r w:rsidRPr="00D073FB">
        <w:rPr>
          <w:shd w:val="clear" w:color="auto" w:fill="FFFFFF"/>
        </w:rPr>
        <w:t xml:space="preserve"> augu masas realizācija nepilngadīgajiem – </w:t>
      </w:r>
      <w:r>
        <w:rPr>
          <w:shd w:val="clear" w:color="auto" w:fill="FFFFFF"/>
        </w:rPr>
        <w:t xml:space="preserve">saskaņā ar </w:t>
      </w:r>
      <w:r w:rsidRPr="00D073FB">
        <w:t>Speciālā likuma 7.</w:t>
      </w:r>
      <w:r>
        <w:t> </w:t>
      </w:r>
      <w:r w:rsidRPr="00D073FB">
        <w:t>punkt</w:t>
      </w:r>
      <w:r>
        <w:t>u</w:t>
      </w:r>
      <w:r w:rsidRPr="00D073FB">
        <w:t xml:space="preserve"> </w:t>
      </w:r>
      <w:r>
        <w:t xml:space="preserve">izdarītas </w:t>
      </w:r>
      <w:r w:rsidR="006E0D1D">
        <w:t>nelielā apmērā, nav pamatots</w:t>
      </w:r>
      <w:r w:rsidRPr="00D073FB">
        <w:t>.</w:t>
      </w:r>
    </w:p>
    <w:p w14:paraId="1F09A107" w14:textId="77777777" w:rsidR="00457E9D" w:rsidRPr="00D073FB" w:rsidRDefault="00457E9D" w:rsidP="008B485F">
      <w:pPr>
        <w:widowControl w:val="0"/>
        <w:shd w:val="clear" w:color="auto" w:fill="FFFFFF"/>
        <w:spacing w:line="276" w:lineRule="auto"/>
        <w:ind w:firstLine="720"/>
        <w:jc w:val="both"/>
        <w:rPr>
          <w:shd w:val="clear" w:color="auto" w:fill="FFFFFF"/>
        </w:rPr>
      </w:pPr>
      <w:r w:rsidRPr="00D073FB">
        <w:rPr>
          <w:shd w:val="clear" w:color="auto" w:fill="FFFFFF"/>
        </w:rPr>
        <w:t>Atbilstoši Krimināllikuma 23. panta trešajai daļai turpinātu noziedzīgu nodarījumu veido: 1)</w:t>
      </w:r>
      <w:r>
        <w:rPr>
          <w:shd w:val="clear" w:color="auto" w:fill="FFFFFF"/>
        </w:rPr>
        <w:t> </w:t>
      </w:r>
      <w:r w:rsidRPr="00D073FB">
        <w:rPr>
          <w:shd w:val="clear" w:color="auto" w:fill="FFFFFF"/>
        </w:rPr>
        <w:t>vairākas savstarpēji saistītas tādas pašas noziedzīgas darbības; 2)</w:t>
      </w:r>
      <w:r>
        <w:rPr>
          <w:shd w:val="clear" w:color="auto" w:fill="FFFFFF"/>
        </w:rPr>
        <w:t> </w:t>
      </w:r>
      <w:r w:rsidRPr="00D073FB">
        <w:rPr>
          <w:shd w:val="clear" w:color="auto" w:fill="FFFFFF"/>
        </w:rPr>
        <w:t>kas vērstas uz kopēju mērķi, 3)</w:t>
      </w:r>
      <w:r>
        <w:rPr>
          <w:shd w:val="clear" w:color="auto" w:fill="FFFFFF"/>
        </w:rPr>
        <w:t> </w:t>
      </w:r>
      <w:r w:rsidRPr="00D073FB">
        <w:rPr>
          <w:shd w:val="clear" w:color="auto" w:fill="FFFFFF"/>
        </w:rPr>
        <w:t>ja tās aptver vainīgās personas vienots nodoms. Pirmā no šīm pazīmēm raksturo turpināta noziedzīga nodarījuma objektīvo pusi, bet pārējās divas – subjektīvo pusi.</w:t>
      </w:r>
    </w:p>
    <w:p w14:paraId="4F7340C4" w14:textId="77777777" w:rsidR="00457E9D" w:rsidRPr="00D073FB" w:rsidRDefault="00457E9D" w:rsidP="008B485F">
      <w:pPr>
        <w:widowControl w:val="0"/>
        <w:shd w:val="clear" w:color="auto" w:fill="FFFFFF"/>
        <w:spacing w:line="276" w:lineRule="auto"/>
        <w:ind w:firstLine="720"/>
        <w:jc w:val="both"/>
        <w:rPr>
          <w:shd w:val="clear" w:color="auto" w:fill="FFFFFF"/>
        </w:rPr>
      </w:pPr>
      <w:r w:rsidRPr="00D073FB">
        <w:rPr>
          <w:shd w:val="clear" w:color="auto" w:fill="FFFFFF"/>
        </w:rPr>
        <w:t>Senāts pievienojas tiesību teorijā izteiktajam viedoklim, ka atsevišķam (vienotam) turpinātam noziedzīgam nodarījumam ir raksturīgi, ka visas darbības izdarītas ar nelielu laika atstarpi, ir tādas pašas, vērstas pret vienu un to pašu interesi (nozieguma tiešo objektu), un tās izdarītas ar vienu vainas formu, kas kopumā liecina par vienotu noziedzīgā nodarījuma mērķi (</w:t>
      </w:r>
      <w:r w:rsidRPr="00D073FB">
        <w:rPr>
          <w:i/>
          <w:iCs/>
          <w:shd w:val="clear" w:color="auto" w:fill="FFFFFF"/>
        </w:rPr>
        <w:t>Krastiņš</w:t>
      </w:r>
      <w:r>
        <w:rPr>
          <w:i/>
          <w:iCs/>
          <w:shd w:val="clear" w:color="auto" w:fill="FFFFFF"/>
        </w:rPr>
        <w:t> U</w:t>
      </w:r>
      <w:r w:rsidRPr="00D073FB">
        <w:rPr>
          <w:i/>
          <w:iCs/>
          <w:shd w:val="clear" w:color="auto" w:fill="FFFFFF"/>
        </w:rPr>
        <w:t>. Noziedzīgs nodarījums:</w:t>
      </w:r>
      <w:r>
        <w:rPr>
          <w:i/>
          <w:iCs/>
          <w:shd w:val="clear" w:color="auto" w:fill="FFFFFF"/>
        </w:rPr>
        <w:t xml:space="preserve"> </w:t>
      </w:r>
      <w:r w:rsidRPr="00D073FB">
        <w:rPr>
          <w:i/>
          <w:iCs/>
          <w:shd w:val="clear" w:color="auto" w:fill="FFFFFF"/>
        </w:rPr>
        <w:t>Mācību grāmata. Rīga: Tiesu namu aģentūra, 2000,</w:t>
      </w:r>
      <w:r>
        <w:rPr>
          <w:i/>
          <w:iCs/>
          <w:shd w:val="clear" w:color="auto" w:fill="FFFFFF"/>
        </w:rPr>
        <w:t xml:space="preserve"> </w:t>
      </w:r>
      <w:r w:rsidRPr="00D073FB">
        <w:rPr>
          <w:i/>
          <w:iCs/>
          <w:shd w:val="clear" w:color="auto" w:fill="FFFFFF"/>
        </w:rPr>
        <w:t>195. lpp.</w:t>
      </w:r>
      <w:r w:rsidRPr="00D073FB">
        <w:rPr>
          <w:shd w:val="clear" w:color="auto" w:fill="FFFFFF"/>
        </w:rPr>
        <w:t>).</w:t>
      </w:r>
    </w:p>
    <w:p w14:paraId="13887406" w14:textId="3876D85B" w:rsidR="00457E9D" w:rsidRPr="00D073FB" w:rsidRDefault="00457E9D" w:rsidP="008B485F">
      <w:pPr>
        <w:widowControl w:val="0"/>
        <w:shd w:val="clear" w:color="auto" w:fill="FFFFFF"/>
        <w:spacing w:line="276" w:lineRule="auto"/>
        <w:ind w:firstLine="720"/>
        <w:jc w:val="both"/>
      </w:pPr>
      <w:r w:rsidRPr="00D073FB">
        <w:t>I</w:t>
      </w:r>
      <w:r w:rsidRPr="00D073FB">
        <w:rPr>
          <w:spacing w:val="-5"/>
        </w:rPr>
        <w:t xml:space="preserve">zlemjot, vai nodarījums </w:t>
      </w:r>
      <w:r w:rsidR="00F82627">
        <w:rPr>
          <w:spacing w:val="-5"/>
        </w:rPr>
        <w:t>atzīstams par</w:t>
      </w:r>
      <w:r w:rsidRPr="00D073FB">
        <w:rPr>
          <w:spacing w:val="-5"/>
        </w:rPr>
        <w:t xml:space="preserve"> turpināt</w:t>
      </w:r>
      <w:r w:rsidR="00F82627">
        <w:rPr>
          <w:spacing w:val="-5"/>
        </w:rPr>
        <w:t>u noziedzīgu nodarījumu</w:t>
      </w:r>
      <w:r w:rsidRPr="00D073FB">
        <w:rPr>
          <w:spacing w:val="-5"/>
        </w:rPr>
        <w:t xml:space="preserve">, rūpīgi izvērtējama noziedzīgā nodarījuma subjektīvā </w:t>
      </w:r>
      <w:r w:rsidRPr="00D073FB">
        <w:t>puse, proti, vainīgā nodoma ievirze, par ko liecina nodarījuma objektīvās pazīmes.</w:t>
      </w:r>
    </w:p>
    <w:p w14:paraId="74D7D554" w14:textId="3C42517E" w:rsidR="00457E9D" w:rsidRPr="00D073FB" w:rsidRDefault="00457E9D" w:rsidP="00EF056C">
      <w:pPr>
        <w:widowControl w:val="0"/>
        <w:shd w:val="clear" w:color="auto" w:fill="FFFFFF"/>
        <w:spacing w:line="276" w:lineRule="auto"/>
        <w:ind w:firstLine="720"/>
        <w:jc w:val="both"/>
        <w:rPr>
          <w:shd w:val="clear" w:color="auto" w:fill="FFFFFF"/>
        </w:rPr>
      </w:pPr>
      <w:r w:rsidRPr="00D073FB">
        <w:rPr>
          <w:shd w:val="clear" w:color="auto" w:fill="FFFFFF"/>
        </w:rPr>
        <w:t xml:space="preserve">Pirmās instances tiesa konstatējusi, ka </w:t>
      </w:r>
      <w:r w:rsidR="00F82627" w:rsidRPr="00D073FB">
        <w:rPr>
          <w:shd w:val="clear" w:color="auto" w:fill="FFFFFF"/>
        </w:rPr>
        <w:t xml:space="preserve">no </w:t>
      </w:r>
      <w:r w:rsidRPr="00D073FB">
        <w:rPr>
          <w:shd w:val="clear" w:color="auto" w:fill="FFFFFF"/>
        </w:rPr>
        <w:t>2006. gad</w:t>
      </w:r>
      <w:r w:rsidR="00F82627">
        <w:rPr>
          <w:shd w:val="clear" w:color="auto" w:fill="FFFFFF"/>
        </w:rPr>
        <w:t>a</w:t>
      </w:r>
      <w:r w:rsidRPr="00D073FB">
        <w:rPr>
          <w:shd w:val="clear" w:color="auto" w:fill="FFFFFF"/>
        </w:rPr>
        <w:t xml:space="preserve"> </w:t>
      </w:r>
      <w:r w:rsidR="00F95165">
        <w:rPr>
          <w:shd w:val="clear" w:color="auto" w:fill="FFFFFF"/>
        </w:rPr>
        <w:t>[..]</w:t>
      </w:r>
      <w:r w:rsidRPr="00D073FB">
        <w:rPr>
          <w:shd w:val="clear" w:color="auto" w:fill="FFFFFF"/>
        </w:rPr>
        <w:t xml:space="preserve"> līdz </w:t>
      </w:r>
      <w:r w:rsidR="00F95165">
        <w:rPr>
          <w:shd w:val="clear" w:color="auto" w:fill="FFFFFF"/>
        </w:rPr>
        <w:t>[..]</w:t>
      </w:r>
      <w:r w:rsidRPr="00D073FB">
        <w:rPr>
          <w:shd w:val="clear" w:color="auto" w:fill="FFFFFF"/>
        </w:rPr>
        <w:t xml:space="preserve"> </w:t>
      </w:r>
      <w:r w:rsidR="00A13339">
        <w:rPr>
          <w:shd w:val="clear" w:color="auto" w:fill="FFFFFF"/>
        </w:rPr>
        <w:t>[pers.</w:t>
      </w:r>
      <w:r w:rsidR="001801D8">
        <w:rPr>
          <w:shd w:val="clear" w:color="auto" w:fill="FFFFFF"/>
        </w:rPr>
        <w:t> </w:t>
      </w:r>
      <w:r w:rsidR="00A13339">
        <w:rPr>
          <w:shd w:val="clear" w:color="auto" w:fill="FFFFFF"/>
        </w:rPr>
        <w:t>A]</w:t>
      </w:r>
      <w:r w:rsidRPr="00D073FB">
        <w:rPr>
          <w:shd w:val="clear" w:color="auto" w:fill="FFFFFF"/>
        </w:rPr>
        <w:t xml:space="preserve"> neatļauti realizēja </w:t>
      </w:r>
      <w:r w:rsidR="00F82627">
        <w:rPr>
          <w:shd w:val="clear" w:color="auto" w:fill="FFFFFF"/>
        </w:rPr>
        <w:t xml:space="preserve">izžāvētu augu masu </w:t>
      </w:r>
      <w:r w:rsidRPr="00D073FB">
        <w:rPr>
          <w:shd w:val="clear" w:color="auto" w:fill="FFFFFF"/>
        </w:rPr>
        <w:t xml:space="preserve">vienai nepilngadīgajai personai </w:t>
      </w:r>
      <w:r w:rsidR="00822357">
        <w:rPr>
          <w:shd w:val="clear" w:color="auto" w:fill="FFFFFF"/>
        </w:rPr>
        <w:t xml:space="preserve">vispirms ne mazāk kā </w:t>
      </w:r>
      <w:r w:rsidRPr="00D073FB">
        <w:t>0</w:t>
      </w:r>
      <w:r>
        <w:t>,</w:t>
      </w:r>
      <w:r w:rsidRPr="00D073FB">
        <w:t>5</w:t>
      </w:r>
      <w:r>
        <w:t> </w:t>
      </w:r>
      <w:r w:rsidRPr="00D073FB">
        <w:t>g</w:t>
      </w:r>
      <w:r w:rsidR="00F82627">
        <w:t xml:space="preserve"> un </w:t>
      </w:r>
      <w:r w:rsidRPr="00D073FB">
        <w:t xml:space="preserve">vēlāk </w:t>
      </w:r>
      <w:r w:rsidR="00F82627">
        <w:t xml:space="preserve">vēl </w:t>
      </w:r>
      <w:r w:rsidRPr="00D073FB">
        <w:t>0</w:t>
      </w:r>
      <w:r>
        <w:t>,</w:t>
      </w:r>
      <w:r w:rsidRPr="00D073FB">
        <w:t>7613</w:t>
      </w:r>
      <w:r w:rsidR="00F82627">
        <w:t> </w:t>
      </w:r>
      <w:r w:rsidRPr="00D073FB">
        <w:t>g</w:t>
      </w:r>
      <w:r w:rsidRPr="00D073FB">
        <w:rPr>
          <w:shd w:val="clear" w:color="auto" w:fill="FFFFFF"/>
        </w:rPr>
        <w:t xml:space="preserve">, bet pēc tam </w:t>
      </w:r>
      <w:r w:rsidR="00F82627">
        <w:rPr>
          <w:shd w:val="clear" w:color="auto" w:fill="FFFFFF"/>
        </w:rPr>
        <w:t>citai</w:t>
      </w:r>
      <w:r w:rsidR="00F82627" w:rsidRPr="00D073FB">
        <w:rPr>
          <w:shd w:val="clear" w:color="auto" w:fill="FFFFFF"/>
        </w:rPr>
        <w:t xml:space="preserve"> </w:t>
      </w:r>
      <w:r w:rsidRPr="00D073FB">
        <w:rPr>
          <w:shd w:val="clear" w:color="auto" w:fill="FFFFFF"/>
        </w:rPr>
        <w:t>nepilngadīgajai personai 0</w:t>
      </w:r>
      <w:r>
        <w:rPr>
          <w:shd w:val="clear" w:color="auto" w:fill="FFFFFF"/>
        </w:rPr>
        <w:t>,</w:t>
      </w:r>
      <w:r w:rsidRPr="00D073FB">
        <w:rPr>
          <w:shd w:val="clear" w:color="auto" w:fill="FFFFFF"/>
        </w:rPr>
        <w:t>5</w:t>
      </w:r>
      <w:r>
        <w:rPr>
          <w:shd w:val="clear" w:color="auto" w:fill="FFFFFF"/>
        </w:rPr>
        <w:t> </w:t>
      </w:r>
      <w:r w:rsidRPr="00D073FB">
        <w:rPr>
          <w:shd w:val="clear" w:color="auto" w:fill="FFFFFF"/>
        </w:rPr>
        <w:t>g</w:t>
      </w:r>
      <w:r w:rsidR="00C002E0">
        <w:rPr>
          <w:shd w:val="clear" w:color="auto" w:fill="FFFFFF"/>
        </w:rPr>
        <w:t xml:space="preserve">, līdz ar to </w:t>
      </w:r>
      <w:r w:rsidR="00A13339">
        <w:rPr>
          <w:shd w:val="clear" w:color="auto" w:fill="FFFFFF"/>
        </w:rPr>
        <w:t>[pers. A]</w:t>
      </w:r>
      <w:r w:rsidR="00EF056C">
        <w:rPr>
          <w:shd w:val="clear" w:color="auto" w:fill="FFFFFF"/>
        </w:rPr>
        <w:t>, realizējot</w:t>
      </w:r>
      <w:r w:rsidR="00F82627">
        <w:rPr>
          <w:shd w:val="clear" w:color="auto" w:fill="FFFFFF"/>
        </w:rPr>
        <w:t xml:space="preserve"> vairākas reizes </w:t>
      </w:r>
      <w:r w:rsidR="00EF056C">
        <w:rPr>
          <w:shd w:val="clear" w:color="auto" w:fill="FFFFFF"/>
        </w:rPr>
        <w:t xml:space="preserve">jau iepriekš </w:t>
      </w:r>
      <w:r w:rsidR="00822357">
        <w:rPr>
          <w:shd w:val="clear" w:color="auto" w:fill="FFFFFF"/>
        </w:rPr>
        <w:t xml:space="preserve">to pašu </w:t>
      </w:r>
      <w:r w:rsidR="00EF056C">
        <w:rPr>
          <w:shd w:val="clear" w:color="auto" w:fill="FFFFFF"/>
        </w:rPr>
        <w:t xml:space="preserve">iegādāto </w:t>
      </w:r>
      <w:r w:rsidR="006157D8">
        <w:rPr>
          <w:shd w:val="clear" w:color="auto" w:fill="FFFFFF"/>
        </w:rPr>
        <w:t>vielu</w:t>
      </w:r>
      <w:r w:rsidR="00EF056C">
        <w:rPr>
          <w:shd w:val="clear" w:color="auto" w:fill="FFFFFF"/>
        </w:rPr>
        <w:t xml:space="preserve"> vairākām nepilngadīgām personām, inkriminētās darbības izdarīja ar vienotu mērķ</w:t>
      </w:r>
      <w:r w:rsidR="00C002E0">
        <w:rPr>
          <w:shd w:val="clear" w:color="auto" w:fill="FFFFFF"/>
        </w:rPr>
        <w:t xml:space="preserve">i, un kopā </w:t>
      </w:r>
      <w:r w:rsidR="00C002E0" w:rsidRPr="00D073FB">
        <w:rPr>
          <w:shd w:val="clear" w:color="auto" w:fill="FFFFFF"/>
        </w:rPr>
        <w:t>realizētā</w:t>
      </w:r>
      <w:r w:rsidR="00C002E0">
        <w:rPr>
          <w:shd w:val="clear" w:color="auto" w:fill="FFFFFF"/>
        </w:rPr>
        <w:t>s</w:t>
      </w:r>
      <w:r w:rsidR="00C002E0" w:rsidRPr="00D073FB">
        <w:rPr>
          <w:shd w:val="clear" w:color="auto" w:fill="FFFFFF"/>
        </w:rPr>
        <w:t xml:space="preserve"> izžāvētā</w:t>
      </w:r>
      <w:r w:rsidR="00C002E0">
        <w:rPr>
          <w:shd w:val="clear" w:color="auto" w:fill="FFFFFF"/>
        </w:rPr>
        <w:t>s</w:t>
      </w:r>
      <w:r w:rsidR="00C002E0" w:rsidRPr="00D073FB">
        <w:rPr>
          <w:shd w:val="clear" w:color="auto" w:fill="FFFFFF"/>
        </w:rPr>
        <w:t xml:space="preserve"> augu masa</w:t>
      </w:r>
      <w:r w:rsidR="00C002E0">
        <w:rPr>
          <w:shd w:val="clear" w:color="auto" w:fill="FFFFFF"/>
        </w:rPr>
        <w:t>s daudzums</w:t>
      </w:r>
      <w:r w:rsidR="00C002E0" w:rsidRPr="00D073FB">
        <w:rPr>
          <w:shd w:val="clear" w:color="auto" w:fill="FFFFFF"/>
        </w:rPr>
        <w:t xml:space="preserve"> pārsniedz nelielu apmēru</w:t>
      </w:r>
      <w:r w:rsidRPr="00D073FB">
        <w:rPr>
          <w:shd w:val="clear" w:color="auto" w:fill="FFFFFF"/>
        </w:rPr>
        <w:t>.</w:t>
      </w:r>
    </w:p>
    <w:p w14:paraId="263DD5A5" w14:textId="37488108" w:rsidR="00457E9D" w:rsidRPr="008859CF" w:rsidRDefault="00457E9D" w:rsidP="00A13339">
      <w:pPr>
        <w:widowControl w:val="0"/>
        <w:shd w:val="clear" w:color="auto" w:fill="FFFFFF"/>
        <w:spacing w:line="276" w:lineRule="auto"/>
        <w:ind w:firstLine="720"/>
        <w:jc w:val="both"/>
        <w:rPr>
          <w:shd w:val="clear" w:color="auto" w:fill="FFFFFF"/>
        </w:rPr>
      </w:pPr>
      <w:r w:rsidRPr="00D073FB">
        <w:rPr>
          <w:shd w:val="clear" w:color="auto" w:fill="FFFFFF"/>
        </w:rPr>
        <w:t xml:space="preserve">Ievērojot minēto, Senāts atzīst, ka pirmās instances tiesa pamatoti </w:t>
      </w:r>
      <w:r w:rsidR="00A13339">
        <w:t>[pers. A]</w:t>
      </w:r>
      <w:r w:rsidRPr="00D073FB">
        <w:rPr>
          <w:shd w:val="clear" w:color="auto" w:fill="FFFFFF"/>
        </w:rPr>
        <w:t xml:space="preserve"> noziedzīgās darbības kvalificējusi pēc Krimināllikuma 15. panta ceturtās daļas un 253.</w:t>
      </w:r>
      <w:r w:rsidRPr="00D073FB">
        <w:rPr>
          <w:shd w:val="clear" w:color="auto" w:fill="FFFFFF"/>
          <w:vertAlign w:val="superscript"/>
        </w:rPr>
        <w:t>1</w:t>
      </w:r>
      <w:r>
        <w:rPr>
          <w:shd w:val="clear" w:color="auto" w:fill="FFFFFF"/>
        </w:rPr>
        <w:t> </w:t>
      </w:r>
      <w:r w:rsidRPr="00D073FB">
        <w:rPr>
          <w:shd w:val="clear" w:color="auto" w:fill="FFFFFF"/>
        </w:rPr>
        <w:t>panta trešās daļas kā atsevišķ</w:t>
      </w:r>
      <w:r>
        <w:rPr>
          <w:shd w:val="clear" w:color="auto" w:fill="FFFFFF"/>
        </w:rPr>
        <w:t>u</w:t>
      </w:r>
      <w:r w:rsidRPr="00D073FB">
        <w:rPr>
          <w:shd w:val="clear" w:color="auto" w:fill="FFFFFF"/>
        </w:rPr>
        <w:t xml:space="preserve"> turpinātu noziedzīgo nodarījumu.</w:t>
      </w:r>
    </w:p>
    <w:p w14:paraId="5CEC5759" w14:textId="4D0498EF" w:rsidR="008859CF" w:rsidRDefault="00922FD7" w:rsidP="008B485F">
      <w:pPr>
        <w:widowControl w:val="0"/>
        <w:shd w:val="clear" w:color="auto" w:fill="FFFFFF"/>
        <w:spacing w:line="276" w:lineRule="auto"/>
        <w:ind w:firstLine="720"/>
        <w:jc w:val="both"/>
        <w:rPr>
          <w:shd w:val="clear" w:color="auto" w:fill="FFFFFF"/>
        </w:rPr>
      </w:pPr>
      <w:r w:rsidRPr="00D073FB">
        <w:t>[6.</w:t>
      </w:r>
      <w:r w:rsidR="008859CF">
        <w:t>4</w:t>
      </w:r>
      <w:r w:rsidRPr="00D073FB">
        <w:t>] </w:t>
      </w:r>
      <w:r w:rsidR="00DD57A4" w:rsidRPr="00D073FB" w:rsidDel="000449A3">
        <w:rPr>
          <w:shd w:val="clear" w:color="auto" w:fill="FFFFFF"/>
        </w:rPr>
        <w:t xml:space="preserve">Senāts norāda, ka </w:t>
      </w:r>
      <w:r w:rsidR="00361E69">
        <w:rPr>
          <w:shd w:val="clear" w:color="auto" w:fill="FFFFFF"/>
        </w:rPr>
        <w:t>noziedzīgā nodarījuma sastāva objektīvās puses papildu pazīmes, tai skaitā cietušā statuss un izdarīšanas vieta</w:t>
      </w:r>
      <w:r w:rsidR="00605DD7">
        <w:rPr>
          <w:shd w:val="clear" w:color="auto" w:fill="FFFFFF"/>
        </w:rPr>
        <w:t>, ja tās paredzētas Krimināllikuma sevišķās daļas pantā,</w:t>
      </w:r>
      <w:r w:rsidR="00361E69">
        <w:rPr>
          <w:shd w:val="clear" w:color="auto" w:fill="FFFFFF"/>
        </w:rPr>
        <w:t xml:space="preserve"> liecina par tā paaugstinātu kaitīguma smaguma pakāpi</w:t>
      </w:r>
      <w:r w:rsidR="00605DD7">
        <w:rPr>
          <w:shd w:val="clear" w:color="auto" w:fill="FFFFFF"/>
        </w:rPr>
        <w:t xml:space="preserve"> </w:t>
      </w:r>
      <w:r w:rsidR="00605DD7" w:rsidRPr="000A1791">
        <w:rPr>
          <w:shd w:val="clear" w:color="auto" w:fill="FFFFFF"/>
        </w:rPr>
        <w:t xml:space="preserve">un </w:t>
      </w:r>
      <w:r w:rsidR="00A36756">
        <w:rPr>
          <w:shd w:val="clear" w:color="auto" w:fill="FFFFFF"/>
        </w:rPr>
        <w:t>nozīmīgu</w:t>
      </w:r>
      <w:r w:rsidR="000A1791">
        <w:rPr>
          <w:shd w:val="clear" w:color="auto" w:fill="FFFFFF"/>
        </w:rPr>
        <w:t xml:space="preserve"> interešu apdraudējumu</w:t>
      </w:r>
      <w:r w:rsidR="00361E69" w:rsidRPr="000A1791">
        <w:rPr>
          <w:shd w:val="clear" w:color="auto" w:fill="FFFFFF"/>
        </w:rPr>
        <w:t>.</w:t>
      </w:r>
    </w:p>
    <w:p w14:paraId="783A875F" w14:textId="7B2725B6" w:rsidR="004263FB" w:rsidRDefault="004263FB" w:rsidP="008B485F">
      <w:pPr>
        <w:widowControl w:val="0"/>
        <w:shd w:val="clear" w:color="auto" w:fill="FFFFFF"/>
        <w:spacing w:line="276" w:lineRule="auto"/>
        <w:ind w:firstLine="720"/>
        <w:jc w:val="both"/>
        <w:rPr>
          <w:shd w:val="clear" w:color="auto" w:fill="FFFFFF"/>
        </w:rPr>
      </w:pPr>
      <w:r>
        <w:rPr>
          <w:shd w:val="clear" w:color="auto" w:fill="FFFFFF"/>
        </w:rPr>
        <w:t>Pieteikumā nav apstrīdēt</w:t>
      </w:r>
      <w:r w:rsidR="00CA19B8">
        <w:rPr>
          <w:shd w:val="clear" w:color="auto" w:fill="FFFFFF"/>
        </w:rPr>
        <w:t>a</w:t>
      </w:r>
      <w:r>
        <w:rPr>
          <w:shd w:val="clear" w:color="auto" w:fill="FFFFFF"/>
        </w:rPr>
        <w:t xml:space="preserve"> </w:t>
      </w:r>
      <w:r w:rsidR="00CA19B8">
        <w:rPr>
          <w:shd w:val="clear" w:color="auto" w:fill="FFFFFF"/>
        </w:rPr>
        <w:t xml:space="preserve">pirmās instances tiesas spriedumā </w:t>
      </w:r>
      <w:r w:rsidR="00822357">
        <w:rPr>
          <w:shd w:val="clear" w:color="auto" w:fill="FFFFFF"/>
        </w:rPr>
        <w:t>par pierādīt</w:t>
      </w:r>
      <w:r w:rsidR="00762B6F">
        <w:rPr>
          <w:shd w:val="clear" w:color="auto" w:fill="FFFFFF"/>
        </w:rPr>
        <w:t>iem</w:t>
      </w:r>
      <w:r w:rsidR="00822357">
        <w:rPr>
          <w:shd w:val="clear" w:color="auto" w:fill="FFFFFF"/>
        </w:rPr>
        <w:t xml:space="preserve"> atzītie apstākļi – mēģinājums realizēt narkotisko vielu izglītības iestādes teritorijā</w:t>
      </w:r>
      <w:r w:rsidR="00762B6F">
        <w:rPr>
          <w:shd w:val="clear" w:color="auto" w:fill="FFFFFF"/>
        </w:rPr>
        <w:t> </w:t>
      </w:r>
      <w:r w:rsidR="00822357">
        <w:rPr>
          <w:shd w:val="clear" w:color="auto" w:fill="FFFFFF"/>
        </w:rPr>
        <w:t>–, kas noteic šo darbību kvalifi</w:t>
      </w:r>
      <w:r w:rsidR="00762B6F">
        <w:rPr>
          <w:shd w:val="clear" w:color="auto" w:fill="FFFFFF"/>
        </w:rPr>
        <w:t>kāciju</w:t>
      </w:r>
      <w:r w:rsidR="00822357">
        <w:rPr>
          <w:shd w:val="clear" w:color="auto" w:fill="FFFFFF"/>
        </w:rPr>
        <w:t xml:space="preserve"> pēc</w:t>
      </w:r>
      <w:r w:rsidR="00822357" w:rsidRPr="00CA19B8">
        <w:rPr>
          <w:shd w:val="clear" w:color="auto" w:fill="FFFFFF"/>
        </w:rPr>
        <w:t xml:space="preserve"> </w:t>
      </w:r>
      <w:r w:rsidR="00CA19B8">
        <w:rPr>
          <w:shd w:val="clear" w:color="auto" w:fill="FFFFFF"/>
        </w:rPr>
        <w:t xml:space="preserve">Krimināllikuma </w:t>
      </w:r>
      <w:r w:rsidR="00822357">
        <w:rPr>
          <w:shd w:val="clear" w:color="auto" w:fill="FFFFFF"/>
        </w:rPr>
        <w:t xml:space="preserve">15. panta ceturtās daļas un </w:t>
      </w:r>
      <w:r w:rsidR="00CA19B8">
        <w:rPr>
          <w:shd w:val="clear" w:color="auto" w:fill="FFFFFF"/>
        </w:rPr>
        <w:t>253.</w:t>
      </w:r>
      <w:r w:rsidR="00CA19B8">
        <w:rPr>
          <w:shd w:val="clear" w:color="auto" w:fill="FFFFFF"/>
          <w:vertAlign w:val="superscript"/>
        </w:rPr>
        <w:t>1</w:t>
      </w:r>
      <w:r w:rsidR="00C002E0">
        <w:rPr>
          <w:shd w:val="clear" w:color="auto" w:fill="FFFFFF"/>
        </w:rPr>
        <w:t> </w:t>
      </w:r>
      <w:r w:rsidR="00CA19B8">
        <w:rPr>
          <w:shd w:val="clear" w:color="auto" w:fill="FFFFFF"/>
        </w:rPr>
        <w:t>panta trešā</w:t>
      </w:r>
      <w:r w:rsidR="00822357">
        <w:rPr>
          <w:shd w:val="clear" w:color="auto" w:fill="FFFFFF"/>
        </w:rPr>
        <w:t>s</w:t>
      </w:r>
      <w:r w:rsidR="00CA19B8">
        <w:rPr>
          <w:shd w:val="clear" w:color="auto" w:fill="FFFFFF"/>
        </w:rPr>
        <w:t xml:space="preserve"> daļ</w:t>
      </w:r>
      <w:r w:rsidR="00822357">
        <w:rPr>
          <w:shd w:val="clear" w:color="auto" w:fill="FFFFFF"/>
        </w:rPr>
        <w:t>as</w:t>
      </w:r>
      <w:r w:rsidR="00CA19B8">
        <w:rPr>
          <w:shd w:val="clear" w:color="auto" w:fill="FFFFFF"/>
        </w:rPr>
        <w:t xml:space="preserve">. Arī Senātam </w:t>
      </w:r>
      <w:r w:rsidR="00C002E0">
        <w:rPr>
          <w:shd w:val="clear" w:color="auto" w:fill="FFFFFF"/>
        </w:rPr>
        <w:t xml:space="preserve">nav pamata apšaubīt tiesas atzinumus </w:t>
      </w:r>
      <w:r w:rsidR="00762B6F">
        <w:rPr>
          <w:shd w:val="clear" w:color="auto" w:fill="FFFFFF"/>
        </w:rPr>
        <w:t>šajā daļā</w:t>
      </w:r>
      <w:r w:rsidR="00CA19B8">
        <w:rPr>
          <w:shd w:val="clear" w:color="auto" w:fill="FFFFFF"/>
        </w:rPr>
        <w:t>.</w:t>
      </w:r>
    </w:p>
    <w:p w14:paraId="731FD6B9" w14:textId="3F548471" w:rsidR="002317D3" w:rsidRPr="00D62630" w:rsidRDefault="00247940" w:rsidP="00EE491E">
      <w:pPr>
        <w:widowControl w:val="0"/>
        <w:shd w:val="clear" w:color="auto" w:fill="FFFFFF"/>
        <w:spacing w:line="276" w:lineRule="auto"/>
        <w:ind w:firstLine="720"/>
        <w:jc w:val="both"/>
        <w:rPr>
          <w:shd w:val="clear" w:color="auto" w:fill="FFFFFF"/>
        </w:rPr>
      </w:pPr>
      <w:r>
        <w:t>[6.5] </w:t>
      </w:r>
      <w:r w:rsidR="008F625A">
        <w:t xml:space="preserve">Senāts atzīst </w:t>
      </w:r>
      <w:r w:rsidR="00C002E0">
        <w:t xml:space="preserve">par nepamatotu </w:t>
      </w:r>
      <w:r w:rsidR="008F625A">
        <w:t>advokāta norādi</w:t>
      </w:r>
      <w:r w:rsidR="00762B6F" w:rsidRPr="00762B6F">
        <w:t xml:space="preserve"> </w:t>
      </w:r>
      <w:r w:rsidR="00762B6F">
        <w:t>pieteikumā</w:t>
      </w:r>
      <w:r w:rsidR="005F10DB" w:rsidRPr="00D073FB">
        <w:t xml:space="preserve">, ka notiesātā </w:t>
      </w:r>
      <w:r w:rsidR="00A13339">
        <w:t>[pers. A]</w:t>
      </w:r>
      <w:r w:rsidR="005F10DB" w:rsidRPr="00D073FB">
        <w:t xml:space="preserve"> darbībās nav konstatējamas Krimināllikuma 253.</w:t>
      </w:r>
      <w:r w:rsidR="005F10DB" w:rsidRPr="00D073FB">
        <w:rPr>
          <w:vertAlign w:val="superscript"/>
        </w:rPr>
        <w:t>1</w:t>
      </w:r>
      <w:r w:rsidR="005F10DB" w:rsidRPr="00D073FB">
        <w:t> panta trešajā daļā paredzētā noziedzīgā nodarījuma pazīme</w:t>
      </w:r>
      <w:r w:rsidR="00762B6F">
        <w:t>s</w:t>
      </w:r>
      <w:r w:rsidR="00C002E0">
        <w:t xml:space="preserve"> – </w:t>
      </w:r>
      <w:r w:rsidR="005F10DB" w:rsidRPr="00D073FB">
        <w:rPr>
          <w:shd w:val="clear" w:color="auto" w:fill="FFFFFF"/>
        </w:rPr>
        <w:t>neatļaut</w:t>
      </w:r>
      <w:r w:rsidR="000D2A76">
        <w:rPr>
          <w:shd w:val="clear" w:color="auto" w:fill="FFFFFF"/>
        </w:rPr>
        <w:t>u</w:t>
      </w:r>
      <w:r w:rsidR="005F10DB" w:rsidRPr="00D073FB">
        <w:rPr>
          <w:shd w:val="clear" w:color="auto" w:fill="FFFFFF"/>
        </w:rPr>
        <w:t xml:space="preserve"> vielas </w:t>
      </w:r>
      <w:r w:rsidR="003253C3" w:rsidRPr="00D073FB">
        <w:rPr>
          <w:shd w:val="clear" w:color="auto" w:fill="FFFFFF"/>
        </w:rPr>
        <w:t>realiz</w:t>
      </w:r>
      <w:r w:rsidR="003253C3">
        <w:rPr>
          <w:shd w:val="clear" w:color="auto" w:fill="FFFFFF"/>
        </w:rPr>
        <w:t>ācij</w:t>
      </w:r>
      <w:r w:rsidR="000D2A76">
        <w:rPr>
          <w:shd w:val="clear" w:color="auto" w:fill="FFFFFF"/>
        </w:rPr>
        <w:t>u</w:t>
      </w:r>
      <w:r w:rsidR="003253C3" w:rsidRPr="00D073FB">
        <w:rPr>
          <w:shd w:val="clear" w:color="auto" w:fill="FFFFFF"/>
        </w:rPr>
        <w:t xml:space="preserve"> </w:t>
      </w:r>
      <w:r w:rsidR="005F10DB" w:rsidRPr="00D073FB">
        <w:rPr>
          <w:shd w:val="clear" w:color="auto" w:fill="FFFFFF"/>
        </w:rPr>
        <w:t>nepilngadīga</w:t>
      </w:r>
      <w:r w:rsidR="005F10DB">
        <w:rPr>
          <w:shd w:val="clear" w:color="auto" w:fill="FFFFFF"/>
        </w:rPr>
        <w:t>i personai</w:t>
      </w:r>
      <w:r>
        <w:rPr>
          <w:shd w:val="clear" w:color="auto" w:fill="FFFFFF"/>
        </w:rPr>
        <w:t xml:space="preserve"> –, jo </w:t>
      </w:r>
      <w:r w:rsidR="00A13339">
        <w:rPr>
          <w:shd w:val="clear" w:color="auto" w:fill="FFFFFF"/>
        </w:rPr>
        <w:t>[pers. A]</w:t>
      </w:r>
      <w:r>
        <w:rPr>
          <w:shd w:val="clear" w:color="auto" w:fill="FFFFFF"/>
        </w:rPr>
        <w:t xml:space="preserve"> </w:t>
      </w:r>
      <w:r w:rsidR="00DD57A4" w:rsidRPr="00D073FB" w:rsidDel="000449A3">
        <w:rPr>
          <w:shd w:val="clear" w:color="auto" w:fill="FFFFFF"/>
        </w:rPr>
        <w:t xml:space="preserve">noziedzīga nodarījuma izdarīšanas brīdī </w:t>
      </w:r>
      <w:r w:rsidR="00016CFD">
        <w:rPr>
          <w:shd w:val="clear" w:color="auto" w:fill="FFFFFF"/>
        </w:rPr>
        <w:t xml:space="preserve">arī </w:t>
      </w:r>
      <w:r w:rsidR="00762B6F">
        <w:rPr>
          <w:shd w:val="clear" w:color="auto" w:fill="FFFFFF"/>
        </w:rPr>
        <w:t xml:space="preserve">pats </w:t>
      </w:r>
      <w:r w:rsidR="00DD57A4" w:rsidRPr="00D073FB" w:rsidDel="000449A3">
        <w:rPr>
          <w:shd w:val="clear" w:color="auto" w:fill="FFFFFF"/>
        </w:rPr>
        <w:t>bijis nepilngadīgs</w:t>
      </w:r>
      <w:r>
        <w:rPr>
          <w:shd w:val="clear" w:color="auto" w:fill="FFFFFF"/>
        </w:rPr>
        <w:t xml:space="preserve">. </w:t>
      </w:r>
      <w:r w:rsidRPr="00D62630">
        <w:rPr>
          <w:shd w:val="clear" w:color="auto" w:fill="FFFFFF"/>
        </w:rPr>
        <w:t>Minētais apstāklis</w:t>
      </w:r>
      <w:r w:rsidR="00DD57A4" w:rsidRPr="00D62630" w:rsidDel="000449A3">
        <w:rPr>
          <w:shd w:val="clear" w:color="auto" w:fill="FFFFFF"/>
        </w:rPr>
        <w:t xml:space="preserve"> pats par sevi neietekmē </w:t>
      </w:r>
      <w:r w:rsidRPr="00D62630">
        <w:rPr>
          <w:shd w:val="clear" w:color="auto" w:fill="FFFFFF"/>
        </w:rPr>
        <w:t xml:space="preserve">noziedzīgā nodarījuma kvalifikāciju, jo </w:t>
      </w:r>
      <w:r w:rsidR="00DD57A4" w:rsidRPr="00D62630" w:rsidDel="000449A3">
        <w:rPr>
          <w:shd w:val="clear" w:color="auto" w:fill="FFFFFF"/>
        </w:rPr>
        <w:t>Krimināllikuma</w:t>
      </w:r>
      <w:r w:rsidR="00AB23FC" w:rsidRPr="00D62630">
        <w:rPr>
          <w:shd w:val="clear" w:color="auto" w:fill="FFFFFF"/>
        </w:rPr>
        <w:t> </w:t>
      </w:r>
      <w:r w:rsidR="00DD57A4" w:rsidRPr="00D62630" w:rsidDel="000449A3">
        <w:rPr>
          <w:shd w:val="clear" w:color="auto" w:fill="FFFFFF"/>
        </w:rPr>
        <w:t>253.</w:t>
      </w:r>
      <w:r w:rsidR="00DD57A4" w:rsidRPr="00D62630" w:rsidDel="000449A3">
        <w:rPr>
          <w:shd w:val="clear" w:color="auto" w:fill="FFFFFF"/>
          <w:vertAlign w:val="superscript"/>
        </w:rPr>
        <w:t>1</w:t>
      </w:r>
      <w:r w:rsidR="00DD57A4" w:rsidRPr="00D62630" w:rsidDel="000449A3">
        <w:rPr>
          <w:shd w:val="clear" w:color="auto" w:fill="FFFFFF"/>
        </w:rPr>
        <w:t> panta treš</w:t>
      </w:r>
      <w:r w:rsidR="00762B6F" w:rsidRPr="00D62630">
        <w:rPr>
          <w:shd w:val="clear" w:color="auto" w:fill="FFFFFF"/>
        </w:rPr>
        <w:t>a</w:t>
      </w:r>
      <w:r w:rsidRPr="00D62630">
        <w:rPr>
          <w:shd w:val="clear" w:color="auto" w:fill="FFFFFF"/>
        </w:rPr>
        <w:t>jā</w:t>
      </w:r>
      <w:r w:rsidR="00DD57A4" w:rsidRPr="00D62630" w:rsidDel="000449A3">
        <w:rPr>
          <w:shd w:val="clear" w:color="auto" w:fill="FFFFFF"/>
        </w:rPr>
        <w:t xml:space="preserve"> daļā paredzēt</w:t>
      </w:r>
      <w:r w:rsidRPr="00D62630">
        <w:rPr>
          <w:shd w:val="clear" w:color="auto" w:fill="FFFFFF"/>
        </w:rPr>
        <w:t>ais aizliegums neatļauti realizēt</w:t>
      </w:r>
      <w:r w:rsidR="00C72247" w:rsidRPr="00D62630">
        <w:rPr>
          <w:shd w:val="clear" w:color="auto" w:fill="FFFFFF"/>
        </w:rPr>
        <w:t xml:space="preserve"> narkotisk</w:t>
      </w:r>
      <w:r w:rsidRPr="00D62630">
        <w:rPr>
          <w:shd w:val="clear" w:color="auto" w:fill="FFFFFF"/>
        </w:rPr>
        <w:t>ās</w:t>
      </w:r>
      <w:r w:rsidR="00DD57A4" w:rsidRPr="00D62630" w:rsidDel="000449A3">
        <w:rPr>
          <w:shd w:val="clear" w:color="auto" w:fill="FFFFFF"/>
        </w:rPr>
        <w:t xml:space="preserve"> viel</w:t>
      </w:r>
      <w:r w:rsidRPr="00D62630">
        <w:rPr>
          <w:shd w:val="clear" w:color="auto" w:fill="FFFFFF"/>
        </w:rPr>
        <w:t>as</w:t>
      </w:r>
      <w:r w:rsidR="00DD57A4" w:rsidRPr="00D62630" w:rsidDel="000449A3">
        <w:rPr>
          <w:shd w:val="clear" w:color="auto" w:fill="FFFFFF"/>
        </w:rPr>
        <w:t xml:space="preserve"> nepilngadīg</w:t>
      </w:r>
      <w:r w:rsidR="00372139" w:rsidRPr="00D62630" w:rsidDel="000449A3">
        <w:rPr>
          <w:shd w:val="clear" w:color="auto" w:fill="FFFFFF"/>
        </w:rPr>
        <w:t>ai personai</w:t>
      </w:r>
      <w:r w:rsidR="00DD57A4" w:rsidRPr="00D62630" w:rsidDel="000449A3">
        <w:rPr>
          <w:shd w:val="clear" w:color="auto" w:fill="FFFFFF"/>
        </w:rPr>
        <w:t xml:space="preserve"> ir vērst</w:t>
      </w:r>
      <w:r w:rsidRPr="00D62630">
        <w:rPr>
          <w:shd w:val="clear" w:color="auto" w:fill="FFFFFF"/>
        </w:rPr>
        <w:t>s</w:t>
      </w:r>
      <w:r w:rsidR="00DD57A4" w:rsidRPr="00D62630" w:rsidDel="000449A3">
        <w:rPr>
          <w:shd w:val="clear" w:color="auto" w:fill="FFFFFF"/>
        </w:rPr>
        <w:t xml:space="preserve"> uz nepilngadīgā</w:t>
      </w:r>
      <w:r w:rsidR="000D2A76" w:rsidRPr="00D62630">
        <w:rPr>
          <w:shd w:val="clear" w:color="auto" w:fill="FFFFFF"/>
        </w:rPr>
        <w:t>s personas</w:t>
      </w:r>
      <w:r w:rsidR="00140B35" w:rsidRPr="00D62630">
        <w:rPr>
          <w:shd w:val="clear" w:color="auto" w:fill="FFFFFF"/>
        </w:rPr>
        <w:t xml:space="preserve"> kā īpaši aizsargājamas sabiedrības daļas</w:t>
      </w:r>
      <w:r w:rsidR="00EA44BB" w:rsidRPr="00D62630">
        <w:rPr>
          <w:shd w:val="clear" w:color="auto" w:fill="FFFFFF"/>
        </w:rPr>
        <w:t xml:space="preserve"> </w:t>
      </w:r>
      <w:r w:rsidR="00DD57A4" w:rsidRPr="00D62630" w:rsidDel="000449A3">
        <w:rPr>
          <w:shd w:val="clear" w:color="auto" w:fill="FFFFFF"/>
        </w:rPr>
        <w:t xml:space="preserve">aizsardzību, nevis uz </w:t>
      </w:r>
      <w:r w:rsidR="00D62630">
        <w:rPr>
          <w:shd w:val="clear" w:color="auto" w:fill="FFFFFF"/>
        </w:rPr>
        <w:t>noziedzīgā nodarījuma subjektu raksturojošo pazīmi</w:t>
      </w:r>
      <w:r w:rsidR="00DD57A4" w:rsidRPr="00D62630" w:rsidDel="000449A3">
        <w:rPr>
          <w:shd w:val="clear" w:color="auto" w:fill="FFFFFF"/>
        </w:rPr>
        <w:t xml:space="preserve">. Notiesātā </w:t>
      </w:r>
      <w:r w:rsidR="00A13339">
        <w:lastRenderedPageBreak/>
        <w:t>[pers. A]</w:t>
      </w:r>
      <w:r w:rsidRPr="00D62630">
        <w:rPr>
          <w:shd w:val="clear" w:color="auto" w:fill="FFFFFF"/>
        </w:rPr>
        <w:t xml:space="preserve"> </w:t>
      </w:r>
      <w:r w:rsidR="00DD57A4" w:rsidRPr="00D62630" w:rsidDel="000449A3">
        <w:rPr>
          <w:shd w:val="clear" w:color="auto" w:fill="FFFFFF"/>
        </w:rPr>
        <w:t>nepilngadīb</w:t>
      </w:r>
      <w:r w:rsidRPr="00D62630">
        <w:rPr>
          <w:shd w:val="clear" w:color="auto" w:fill="FFFFFF"/>
        </w:rPr>
        <w:t>u tiesa ņēmusi vērā</w:t>
      </w:r>
      <w:r w:rsidR="00DA1269" w:rsidRPr="00D62630">
        <w:rPr>
          <w:shd w:val="clear" w:color="auto" w:fill="FFFFFF"/>
        </w:rPr>
        <w:t>,</w:t>
      </w:r>
      <w:r w:rsidR="00DD57A4" w:rsidRPr="00D62630" w:rsidDel="000449A3">
        <w:rPr>
          <w:shd w:val="clear" w:color="auto" w:fill="FFFFFF"/>
        </w:rPr>
        <w:t xml:space="preserve"> </w:t>
      </w:r>
      <w:r w:rsidR="000B6861" w:rsidRPr="00D62630">
        <w:rPr>
          <w:shd w:val="clear" w:color="auto" w:fill="FFFFFF"/>
        </w:rPr>
        <w:t xml:space="preserve">nosakot </w:t>
      </w:r>
      <w:r w:rsidR="00C72247" w:rsidRPr="00D62630">
        <w:rPr>
          <w:shd w:val="clear" w:color="auto" w:fill="FFFFFF"/>
        </w:rPr>
        <w:t xml:space="preserve">viņam </w:t>
      </w:r>
      <w:r w:rsidR="000B6861" w:rsidRPr="00D62630">
        <w:rPr>
          <w:shd w:val="clear" w:color="auto" w:fill="FFFFFF"/>
        </w:rPr>
        <w:t>sodu</w:t>
      </w:r>
      <w:r w:rsidR="00DD57A4" w:rsidRPr="00D62630" w:rsidDel="000449A3">
        <w:rPr>
          <w:shd w:val="clear" w:color="auto" w:fill="FFFFFF"/>
        </w:rPr>
        <w:t>.</w:t>
      </w:r>
    </w:p>
    <w:p w14:paraId="2E43E080" w14:textId="77777777" w:rsidR="003253C3" w:rsidRDefault="00B2030C" w:rsidP="008B485F">
      <w:pPr>
        <w:widowControl w:val="0"/>
        <w:shd w:val="clear" w:color="auto" w:fill="FFFFFF"/>
        <w:spacing w:line="276" w:lineRule="auto"/>
        <w:ind w:firstLine="720"/>
        <w:jc w:val="both"/>
      </w:pPr>
      <w:r w:rsidRPr="00D62630">
        <w:t>[6.6] Ievērojot minēto, Senāts atzīst, ka advokāta L. </w:t>
      </w:r>
      <w:proofErr w:type="spellStart"/>
      <w:r w:rsidRPr="00D62630">
        <w:t>Matisāna</w:t>
      </w:r>
      <w:proofErr w:type="spellEnd"/>
      <w:r w:rsidRPr="00D62630">
        <w:t xml:space="preserve"> pieteikuma argumenti</w:t>
      </w:r>
      <w:r w:rsidRPr="00D073FB">
        <w:t xml:space="preserve"> </w:t>
      </w:r>
      <w:r>
        <w:t xml:space="preserve">šajā daļā </w:t>
      </w:r>
      <w:r w:rsidRPr="00B2030C">
        <w:t>faktiski saistīti ar lietā esošo pierādījumu ticamības un pietiekamības izvērtējumu, un advokāta subjektīvo viedokli par nodarījuma kvalifikāciju.</w:t>
      </w:r>
    </w:p>
    <w:p w14:paraId="72A2DC14" w14:textId="0A1F377F" w:rsidR="00D14D4D" w:rsidRDefault="00247940" w:rsidP="008B485F">
      <w:pPr>
        <w:widowControl w:val="0"/>
        <w:shd w:val="clear" w:color="auto" w:fill="FFFFFF"/>
        <w:spacing w:line="276" w:lineRule="auto"/>
        <w:ind w:firstLine="720"/>
        <w:jc w:val="both"/>
        <w:rPr>
          <w:shd w:val="clear" w:color="auto" w:fill="FFFFFF"/>
        </w:rPr>
      </w:pPr>
      <w:r w:rsidRPr="00B2030C">
        <w:rPr>
          <w:shd w:val="clear" w:color="auto" w:fill="FFFFFF"/>
        </w:rPr>
        <w:t>[6.</w:t>
      </w:r>
      <w:r w:rsidR="00B2030C">
        <w:rPr>
          <w:shd w:val="clear" w:color="auto" w:fill="FFFFFF"/>
        </w:rPr>
        <w:t>7</w:t>
      </w:r>
      <w:r w:rsidRPr="00B2030C">
        <w:rPr>
          <w:shd w:val="clear" w:color="auto" w:fill="FFFFFF"/>
        </w:rPr>
        <w:t>] </w:t>
      </w:r>
      <w:r w:rsidR="00CF32A5" w:rsidRPr="00B2030C">
        <w:rPr>
          <w:shd w:val="clear" w:color="auto" w:fill="FFFFFF"/>
        </w:rPr>
        <w:t>Vienlaikus</w:t>
      </w:r>
      <w:r w:rsidR="003E5842" w:rsidRPr="00B2030C">
        <w:rPr>
          <w:shd w:val="clear" w:color="auto" w:fill="FFFFFF"/>
        </w:rPr>
        <w:t xml:space="preserve"> Senāts</w:t>
      </w:r>
      <w:r w:rsidR="00CF32A5" w:rsidRPr="00B2030C">
        <w:rPr>
          <w:shd w:val="clear" w:color="auto" w:fill="FFFFFF"/>
        </w:rPr>
        <w:t xml:space="preserve"> </w:t>
      </w:r>
      <w:r w:rsidR="003E5842" w:rsidRPr="00B2030C">
        <w:rPr>
          <w:shd w:val="clear" w:color="auto" w:fill="FFFFFF"/>
        </w:rPr>
        <w:t>par nepamatotu</w:t>
      </w:r>
      <w:r w:rsidR="00CF32A5" w:rsidRPr="00B2030C">
        <w:rPr>
          <w:shd w:val="clear" w:color="auto" w:fill="FFFFFF"/>
        </w:rPr>
        <w:t xml:space="preserve"> </w:t>
      </w:r>
      <w:r w:rsidR="003E5842" w:rsidRPr="00B2030C">
        <w:rPr>
          <w:shd w:val="clear" w:color="auto" w:fill="FFFFFF"/>
        </w:rPr>
        <w:t xml:space="preserve">atzīst </w:t>
      </w:r>
      <w:r w:rsidR="00CF32A5" w:rsidRPr="00B2030C">
        <w:rPr>
          <w:shd w:val="clear" w:color="auto" w:fill="FFFFFF"/>
        </w:rPr>
        <w:t>pirmās instances tiesa</w:t>
      </w:r>
      <w:r w:rsidR="00CA19B8" w:rsidRPr="00B2030C">
        <w:rPr>
          <w:shd w:val="clear" w:color="auto" w:fill="FFFFFF"/>
        </w:rPr>
        <w:t>s atzinumu</w:t>
      </w:r>
      <w:r w:rsidR="003E5842" w:rsidRPr="00B2030C">
        <w:rPr>
          <w:shd w:val="clear" w:color="auto" w:fill="FFFFFF"/>
        </w:rPr>
        <w:t>, ka</w:t>
      </w:r>
      <w:r w:rsidR="003E5842">
        <w:rPr>
          <w:shd w:val="clear" w:color="auto" w:fill="FFFFFF"/>
        </w:rPr>
        <w:t xml:space="preserve"> </w:t>
      </w:r>
      <w:r w:rsidR="00CF32A5" w:rsidRPr="00D073FB">
        <w:t>parka estrād</w:t>
      </w:r>
      <w:r w:rsidR="003E5842">
        <w:t>e Krimināllikuma 253.</w:t>
      </w:r>
      <w:r w:rsidR="003E5842">
        <w:rPr>
          <w:vertAlign w:val="superscript"/>
        </w:rPr>
        <w:t>1</w:t>
      </w:r>
      <w:r w:rsidRPr="00762B6F">
        <w:t> </w:t>
      </w:r>
      <w:r w:rsidR="003E5842">
        <w:t xml:space="preserve">panta trešās daļas izpratnē </w:t>
      </w:r>
      <w:r>
        <w:rPr>
          <w:shd w:val="clear" w:color="auto" w:fill="FFFFFF"/>
        </w:rPr>
        <w:t>pati par sevi</w:t>
      </w:r>
      <w:r>
        <w:t xml:space="preserve"> </w:t>
      </w:r>
      <w:r w:rsidR="00F51040">
        <w:t xml:space="preserve">ir </w:t>
      </w:r>
      <w:r w:rsidR="00CF32A5" w:rsidRPr="00D073FB">
        <w:rPr>
          <w:shd w:val="clear" w:color="auto" w:fill="FFFFFF"/>
        </w:rPr>
        <w:t>publiskās izklaides un svētku pasākumu norises vieta</w:t>
      </w:r>
      <w:r w:rsidR="003E5842">
        <w:rPr>
          <w:shd w:val="clear" w:color="auto" w:fill="FFFFFF"/>
        </w:rPr>
        <w:t xml:space="preserve">, neatkarīgi no tā, vai </w:t>
      </w:r>
      <w:r w:rsidR="00577AB7">
        <w:rPr>
          <w:shd w:val="clear" w:color="auto" w:fill="FFFFFF"/>
        </w:rPr>
        <w:t xml:space="preserve">noziedzīgā nodarījuma izdarīšanas laikā </w:t>
      </w:r>
      <w:r w:rsidR="003E5842">
        <w:rPr>
          <w:shd w:val="clear" w:color="auto" w:fill="FFFFFF"/>
        </w:rPr>
        <w:t>tajā</w:t>
      </w:r>
      <w:r w:rsidR="00F51040">
        <w:rPr>
          <w:shd w:val="clear" w:color="auto" w:fill="FFFFFF"/>
        </w:rPr>
        <w:t xml:space="preserve"> notiek vai nenotiek, kāds publisks pasākums</w:t>
      </w:r>
      <w:r w:rsidR="00CF32A5" w:rsidRPr="00D073FB">
        <w:rPr>
          <w:shd w:val="clear" w:color="auto" w:fill="FFFFFF"/>
        </w:rPr>
        <w:t>.</w:t>
      </w:r>
    </w:p>
    <w:p w14:paraId="64183522" w14:textId="26AF2598" w:rsidR="009163D6" w:rsidRPr="00E46EBB" w:rsidRDefault="008D100A" w:rsidP="008B485F">
      <w:pPr>
        <w:widowControl w:val="0"/>
        <w:shd w:val="clear" w:color="auto" w:fill="FFFFFF"/>
        <w:spacing w:line="276" w:lineRule="auto"/>
        <w:ind w:firstLine="720"/>
        <w:jc w:val="both"/>
        <w:rPr>
          <w:shd w:val="clear" w:color="auto" w:fill="FFFFFF"/>
        </w:rPr>
      </w:pPr>
      <w:r>
        <w:rPr>
          <w:shd w:val="clear" w:color="auto" w:fill="FFFFFF"/>
        </w:rPr>
        <w:t>[6.7.1] </w:t>
      </w:r>
      <w:r w:rsidR="00F51040">
        <w:rPr>
          <w:shd w:val="clear" w:color="auto" w:fill="FFFFFF"/>
        </w:rPr>
        <w:t>Lai arī t</w:t>
      </w:r>
      <w:r w:rsidR="00E46EBB">
        <w:rPr>
          <w:shd w:val="clear" w:color="auto" w:fill="FFFFFF"/>
        </w:rPr>
        <w:t>iesību aktos nav definēt</w:t>
      </w:r>
      <w:r w:rsidR="00374B9D">
        <w:rPr>
          <w:shd w:val="clear" w:color="auto" w:fill="FFFFFF"/>
        </w:rPr>
        <w:t>s, kas ir</w:t>
      </w:r>
      <w:r w:rsidR="00E46EBB" w:rsidRPr="00E46EBB">
        <w:rPr>
          <w:shd w:val="clear" w:color="auto" w:fill="FFFFFF"/>
        </w:rPr>
        <w:t xml:space="preserve"> </w:t>
      </w:r>
      <w:r w:rsidR="00E46EBB" w:rsidRPr="00D073FB">
        <w:rPr>
          <w:shd w:val="clear" w:color="auto" w:fill="FFFFFF"/>
        </w:rPr>
        <w:t>publiskās izklaides un svētku pasākumu norises vieta</w:t>
      </w:r>
      <w:r w:rsidR="00E46EBB">
        <w:rPr>
          <w:shd w:val="clear" w:color="auto" w:fill="FFFFFF"/>
        </w:rPr>
        <w:t xml:space="preserve">, </w:t>
      </w:r>
      <w:r w:rsidR="00247940">
        <w:rPr>
          <w:shd w:val="clear" w:color="auto" w:fill="FFFFFF"/>
        </w:rPr>
        <w:t>no</w:t>
      </w:r>
      <w:r w:rsidR="00D45ABF" w:rsidRPr="00E46EBB">
        <w:rPr>
          <w:shd w:val="clear" w:color="auto" w:fill="FFFFFF"/>
        </w:rPr>
        <w:t xml:space="preserve"> jēdzien</w:t>
      </w:r>
      <w:r w:rsidR="00247940">
        <w:rPr>
          <w:shd w:val="clear" w:color="auto" w:fill="FFFFFF"/>
        </w:rPr>
        <w:t>u</w:t>
      </w:r>
      <w:r w:rsidR="00D45ABF" w:rsidRPr="00E46EBB">
        <w:rPr>
          <w:shd w:val="clear" w:color="auto" w:fill="FFFFFF"/>
        </w:rPr>
        <w:t xml:space="preserve"> </w:t>
      </w:r>
      <w:r w:rsidR="009163D6" w:rsidRPr="00E46EBB">
        <w:rPr>
          <w:shd w:val="clear" w:color="auto" w:fill="FFFFFF"/>
        </w:rPr>
        <w:t xml:space="preserve">„publisks pasākums” un </w:t>
      </w:r>
      <w:r w:rsidR="00D45ABF" w:rsidRPr="00E46EBB">
        <w:rPr>
          <w:shd w:val="clear" w:color="auto" w:fill="FFFFFF"/>
        </w:rPr>
        <w:t>„</w:t>
      </w:r>
      <w:r w:rsidR="009163D6" w:rsidRPr="00E46EBB">
        <w:rPr>
          <w:shd w:val="clear" w:color="auto" w:fill="FFFFFF"/>
        </w:rPr>
        <w:t>publiska vieta</w:t>
      </w:r>
      <w:r w:rsidR="00D45ABF" w:rsidRPr="00E46EBB">
        <w:rPr>
          <w:shd w:val="clear" w:color="auto" w:fill="FFFFFF"/>
        </w:rPr>
        <w:t>”</w:t>
      </w:r>
      <w:r w:rsidR="00374B9D">
        <w:rPr>
          <w:shd w:val="clear" w:color="auto" w:fill="FFFFFF"/>
        </w:rPr>
        <w:t xml:space="preserve"> skaidrojuma izriet</w:t>
      </w:r>
      <w:r w:rsidR="00762B6F">
        <w:rPr>
          <w:shd w:val="clear" w:color="auto" w:fill="FFFFFF"/>
        </w:rPr>
        <w:t xml:space="preserve"> </w:t>
      </w:r>
      <w:r w:rsidR="005F10DB" w:rsidRPr="00D073FB">
        <w:rPr>
          <w:shd w:val="clear" w:color="auto" w:fill="FFFFFF"/>
        </w:rPr>
        <w:t>publiskās izklaides un svētku pasākumu norises vieta</w:t>
      </w:r>
      <w:r w:rsidR="005F10DB">
        <w:rPr>
          <w:shd w:val="clear" w:color="auto" w:fill="FFFFFF"/>
        </w:rPr>
        <w:t>s jēdzien</w:t>
      </w:r>
      <w:r w:rsidR="00374B9D">
        <w:rPr>
          <w:shd w:val="clear" w:color="auto" w:fill="FFFFFF"/>
        </w:rPr>
        <w:t>a saturs</w:t>
      </w:r>
      <w:r w:rsidR="005F10DB">
        <w:rPr>
          <w:shd w:val="clear" w:color="auto" w:fill="FFFFFF"/>
        </w:rPr>
        <w:t>.</w:t>
      </w:r>
    </w:p>
    <w:p w14:paraId="5D799271" w14:textId="7396D16B" w:rsidR="006C63DF" w:rsidRDefault="00E46EBB" w:rsidP="008B485F">
      <w:pPr>
        <w:widowControl w:val="0"/>
        <w:shd w:val="clear" w:color="auto" w:fill="FFFFFF"/>
        <w:spacing w:line="276" w:lineRule="auto"/>
        <w:ind w:firstLine="720"/>
        <w:jc w:val="both"/>
        <w:rPr>
          <w:shd w:val="clear" w:color="auto" w:fill="FFFFFF"/>
        </w:rPr>
      </w:pPr>
      <w:r w:rsidRPr="009163D6">
        <w:rPr>
          <w:shd w:val="clear" w:color="auto" w:fill="FFFFFF"/>
        </w:rPr>
        <w:t xml:space="preserve">Atbilstoši Publisku izklaides un svētku pasākumu drošības likuma 1. panta 1. punktam publisks pasākums ir fiziskās vai juridiskās personas plānots un organizēts sabiedrībai pieejams svētku, piemiņas, izklaides, sporta vai atpūtas pasākums publiskā vietā neatkarīgi no īpašuma piederības. </w:t>
      </w:r>
      <w:r w:rsidR="00374B9D">
        <w:rPr>
          <w:shd w:val="clear" w:color="auto" w:fill="FFFFFF"/>
        </w:rPr>
        <w:t>Šā</w:t>
      </w:r>
      <w:r w:rsidRPr="009163D6">
        <w:rPr>
          <w:shd w:val="clear" w:color="auto" w:fill="FFFFFF"/>
        </w:rPr>
        <w:t xml:space="preserve"> likuma 1. panta 1.</w:t>
      </w:r>
      <w:r w:rsidRPr="009163D6">
        <w:rPr>
          <w:shd w:val="clear" w:color="auto" w:fill="FFFFFF"/>
          <w:vertAlign w:val="superscript"/>
        </w:rPr>
        <w:t>1</w:t>
      </w:r>
      <w:r w:rsidRPr="009163D6">
        <w:rPr>
          <w:shd w:val="clear" w:color="auto" w:fill="FFFFFF"/>
        </w:rPr>
        <w:t> punkts noteic, ka publiska vieta ir šā likuma izpratnē jebkura vieta, kura neatkarīgi no tās faktiskās izmantošanas vai īpašuma formas kalpo sabiedrības kopējo vajadzību un interešu nodrošināšanai un kura par maksu vai bez maksas ir pieejama ikvienai fiziskajai personai, kas nav attiecīgās vietas īpašnieks, tiesiskais valdītājs, turētājs, algots darbinieks vai cita persona, kuras atrašanās attiecīgajā vietā ir saistīta ar darba pienākumu izpildi, pasākuma organizēšanu vai uz uzņēmuma līguma pamata.</w:t>
      </w:r>
    </w:p>
    <w:p w14:paraId="14CA771C" w14:textId="546D234D" w:rsidR="00DE727A" w:rsidRDefault="000530D0" w:rsidP="008B485F">
      <w:pPr>
        <w:widowControl w:val="0"/>
        <w:shd w:val="clear" w:color="auto" w:fill="FFFFFF"/>
        <w:spacing w:line="276" w:lineRule="auto"/>
        <w:ind w:firstLine="720"/>
        <w:jc w:val="both"/>
        <w:rPr>
          <w:shd w:val="clear" w:color="auto" w:fill="FFFFFF"/>
        </w:rPr>
      </w:pPr>
      <w:r w:rsidRPr="000530D0">
        <w:rPr>
          <w:shd w:val="clear" w:color="auto" w:fill="FFFFFF"/>
        </w:rPr>
        <w:t xml:space="preserve">No </w:t>
      </w:r>
      <w:r w:rsidR="005F10DB">
        <w:rPr>
          <w:shd w:val="clear" w:color="auto" w:fill="FFFFFF"/>
        </w:rPr>
        <w:t xml:space="preserve">minētā </w:t>
      </w:r>
      <w:r w:rsidRPr="000530D0">
        <w:rPr>
          <w:shd w:val="clear" w:color="auto" w:fill="FFFFFF"/>
        </w:rPr>
        <w:t>izriet</w:t>
      </w:r>
      <w:r w:rsidR="005F10DB">
        <w:rPr>
          <w:shd w:val="clear" w:color="auto" w:fill="FFFFFF"/>
        </w:rPr>
        <w:t xml:space="preserve">, ka </w:t>
      </w:r>
      <w:r w:rsidR="006C63DF" w:rsidRPr="006C63DF">
        <w:rPr>
          <w:shd w:val="clear" w:color="auto" w:fill="FFFFFF"/>
        </w:rPr>
        <w:t>„</w:t>
      </w:r>
      <w:r w:rsidRPr="006C63DF">
        <w:rPr>
          <w:shd w:val="clear" w:color="auto" w:fill="FFFFFF"/>
        </w:rPr>
        <w:t>norises vieta”</w:t>
      </w:r>
      <w:r w:rsidRPr="000530D0">
        <w:rPr>
          <w:shd w:val="clear" w:color="auto" w:fill="FFFFFF"/>
        </w:rPr>
        <w:t xml:space="preserve"> ir konkrētā teritorija/objekts, kur </w:t>
      </w:r>
      <w:r w:rsidRPr="006C63DF">
        <w:rPr>
          <w:shd w:val="clear" w:color="auto" w:fill="FFFFFF"/>
        </w:rPr>
        <w:t>notiek (vai ir organizēts, lai notiktu) publisks izklaides vai svētku pasākums</w:t>
      </w:r>
      <w:r w:rsidR="00E35708">
        <w:rPr>
          <w:shd w:val="clear" w:color="auto" w:fill="FFFFFF"/>
        </w:rPr>
        <w:t>.</w:t>
      </w:r>
    </w:p>
    <w:p w14:paraId="0CED0E4E" w14:textId="404AF8E4" w:rsidR="00134992" w:rsidRPr="00E35708" w:rsidRDefault="00134992" w:rsidP="008B485F">
      <w:pPr>
        <w:widowControl w:val="0"/>
        <w:shd w:val="clear" w:color="auto" w:fill="FFFFFF"/>
        <w:spacing w:line="276" w:lineRule="auto"/>
        <w:ind w:firstLine="720"/>
        <w:jc w:val="both"/>
        <w:rPr>
          <w:b/>
          <w:bCs/>
          <w:shd w:val="clear" w:color="auto" w:fill="FFFFFF"/>
        </w:rPr>
      </w:pPr>
      <w:r>
        <w:rPr>
          <w:shd w:val="clear" w:color="auto" w:fill="FFFFFF"/>
        </w:rPr>
        <w:t>L</w:t>
      </w:r>
      <w:r w:rsidR="006C63DF">
        <w:rPr>
          <w:shd w:val="clear" w:color="auto" w:fill="FFFFFF"/>
        </w:rPr>
        <w:t xml:space="preserve">ai arī parka estrāde ir </w:t>
      </w:r>
      <w:r w:rsidR="006C63DF" w:rsidRPr="00A7011B">
        <w:rPr>
          <w:shd w:val="clear" w:color="auto" w:fill="FFFFFF"/>
        </w:rPr>
        <w:t>īpaši izbūvēta brīvdabas skatuve ar skatītāju vietām, kas paredzēta koncertiem, teātra izrādēm, deju uzvedumiem un citiem kultūras pasākumiem</w:t>
      </w:r>
      <w:r w:rsidR="006C63DF">
        <w:rPr>
          <w:shd w:val="clear" w:color="auto" w:fill="FFFFFF"/>
        </w:rPr>
        <w:t>, proti,</w:t>
      </w:r>
      <w:r w:rsidR="006C63DF" w:rsidRPr="000530D0">
        <w:t xml:space="preserve"> </w:t>
      </w:r>
      <w:r w:rsidR="006C63DF" w:rsidRPr="000530D0">
        <w:rPr>
          <w:shd w:val="clear" w:color="auto" w:fill="FFFFFF"/>
        </w:rPr>
        <w:t>teritorija</w:t>
      </w:r>
      <w:r w:rsidR="006C63DF">
        <w:rPr>
          <w:shd w:val="clear" w:color="auto" w:fill="FFFFFF"/>
        </w:rPr>
        <w:t>, kas</w:t>
      </w:r>
      <w:r w:rsidR="006C63DF" w:rsidRPr="000530D0">
        <w:rPr>
          <w:shd w:val="clear" w:color="auto" w:fill="FFFFFF"/>
        </w:rPr>
        <w:t xml:space="preserve"> pastāvīgi funkcionāli iekārtota</w:t>
      </w:r>
      <w:r w:rsidR="006C63DF">
        <w:rPr>
          <w:shd w:val="clear" w:color="auto" w:fill="FFFFFF"/>
        </w:rPr>
        <w:t xml:space="preserve"> kultūras pasākumu veikšan</w:t>
      </w:r>
      <w:r w:rsidR="00611EA7">
        <w:rPr>
          <w:shd w:val="clear" w:color="auto" w:fill="FFFFFF"/>
        </w:rPr>
        <w:t>ai</w:t>
      </w:r>
      <w:r w:rsidR="006C63DF">
        <w:rPr>
          <w:shd w:val="clear" w:color="auto" w:fill="FFFFFF"/>
        </w:rPr>
        <w:t xml:space="preserve">, taču </w:t>
      </w:r>
      <w:r w:rsidRPr="000A6FC4">
        <w:rPr>
          <w:shd w:val="clear" w:color="auto" w:fill="FFFFFF"/>
        </w:rPr>
        <w:t xml:space="preserve">bez pasākuma </w:t>
      </w:r>
      <w:r>
        <w:rPr>
          <w:shd w:val="clear" w:color="auto" w:fill="FFFFFF"/>
        </w:rPr>
        <w:t>norises,</w:t>
      </w:r>
      <w:r w:rsidR="00DE03FA">
        <w:rPr>
          <w:shd w:val="clear" w:color="auto" w:fill="FFFFFF"/>
        </w:rPr>
        <w:t xml:space="preserve"> pulcējot</w:t>
      </w:r>
      <w:r w:rsidR="00E35708">
        <w:rPr>
          <w:shd w:val="clear" w:color="auto" w:fill="FFFFFF"/>
        </w:rPr>
        <w:t xml:space="preserve"> iedzīvotāju skait</w:t>
      </w:r>
      <w:r w:rsidR="008A03E0">
        <w:rPr>
          <w:shd w:val="clear" w:color="auto" w:fill="FFFFFF"/>
        </w:rPr>
        <w:t>u</w:t>
      </w:r>
      <w:r w:rsidR="00E35708">
        <w:rPr>
          <w:shd w:val="clear" w:color="auto" w:fill="FFFFFF"/>
        </w:rPr>
        <w:t xml:space="preserve"> un </w:t>
      </w:r>
      <w:r w:rsidR="00E35708" w:rsidRPr="00D073FB">
        <w:rPr>
          <w:shd w:val="clear" w:color="auto" w:fill="FFFFFF"/>
        </w:rPr>
        <w:t>objektīvi rad</w:t>
      </w:r>
      <w:r w:rsidR="008A03E0">
        <w:rPr>
          <w:shd w:val="clear" w:color="auto" w:fill="FFFFFF"/>
        </w:rPr>
        <w:t>ot</w:t>
      </w:r>
      <w:r w:rsidR="00E35708" w:rsidRPr="00D073FB">
        <w:rPr>
          <w:shd w:val="clear" w:color="auto" w:fill="FFFFFF"/>
        </w:rPr>
        <w:t xml:space="preserve"> paaugstinātu aizsargājamo interešu apdraudējumu</w:t>
      </w:r>
      <w:r w:rsidR="00E35708">
        <w:rPr>
          <w:shd w:val="clear" w:color="auto" w:fill="FFFFFF"/>
        </w:rPr>
        <w:t xml:space="preserve">, </w:t>
      </w:r>
      <w:r w:rsidRPr="000A6FC4">
        <w:rPr>
          <w:shd w:val="clear" w:color="auto" w:fill="FFFFFF"/>
        </w:rPr>
        <w:t>tā ir vienkārši publiska vieta</w:t>
      </w:r>
      <w:r>
        <w:rPr>
          <w:shd w:val="clear" w:color="auto" w:fill="FFFFFF"/>
        </w:rPr>
        <w:t>.</w:t>
      </w:r>
    </w:p>
    <w:p w14:paraId="5F42B4D8" w14:textId="6656256D" w:rsidR="005F10DB" w:rsidRDefault="00134992" w:rsidP="008B485F">
      <w:pPr>
        <w:widowControl w:val="0"/>
        <w:shd w:val="clear" w:color="auto" w:fill="FFFFFF"/>
        <w:spacing w:line="276" w:lineRule="auto"/>
        <w:ind w:firstLine="720"/>
        <w:jc w:val="both"/>
        <w:rPr>
          <w:shd w:val="clear" w:color="auto" w:fill="FFFFFF"/>
        </w:rPr>
      </w:pPr>
      <w:r>
        <w:rPr>
          <w:shd w:val="clear" w:color="auto" w:fill="FFFFFF"/>
        </w:rPr>
        <w:t>Šāds skaidrojums atbilst likumdevēja mērķim pastiprināt atbildību par narkotisko un psihotropo vielu realizāciju sabiedriskās norises vietās</w:t>
      </w:r>
      <w:r w:rsidR="00E35708">
        <w:rPr>
          <w:shd w:val="clear" w:color="auto" w:fill="FFFFFF"/>
        </w:rPr>
        <w:t xml:space="preserve"> saistībā ar</w:t>
      </w:r>
      <w:r>
        <w:rPr>
          <w:shd w:val="clear" w:color="auto" w:fill="FFFFFF"/>
        </w:rPr>
        <w:t xml:space="preserve"> </w:t>
      </w:r>
      <w:r w:rsidR="005F10DB">
        <w:rPr>
          <w:shd w:val="clear" w:color="auto" w:fill="FFFFFF"/>
        </w:rPr>
        <w:t>nozīmīgu interešu apdraudējumu</w:t>
      </w:r>
      <w:r w:rsidR="005F10DB" w:rsidRPr="000A1791">
        <w:rPr>
          <w:shd w:val="clear" w:color="auto" w:fill="FFFFFF"/>
        </w:rPr>
        <w:t>.</w:t>
      </w:r>
    </w:p>
    <w:p w14:paraId="4497DEFF" w14:textId="1CF06D6D" w:rsidR="00457E9D" w:rsidRDefault="00F7500C" w:rsidP="008B485F">
      <w:pPr>
        <w:widowControl w:val="0"/>
        <w:shd w:val="clear" w:color="auto" w:fill="FFFFFF"/>
        <w:spacing w:line="276" w:lineRule="auto"/>
        <w:ind w:firstLine="720"/>
        <w:jc w:val="both"/>
        <w:rPr>
          <w:shd w:val="clear" w:color="auto" w:fill="FFFFFF"/>
        </w:rPr>
      </w:pPr>
      <w:r>
        <w:rPr>
          <w:shd w:val="clear" w:color="auto" w:fill="FFFFFF"/>
        </w:rPr>
        <w:t>Tādējādi</w:t>
      </w:r>
      <w:r w:rsidR="00855884">
        <w:rPr>
          <w:shd w:val="clear" w:color="auto" w:fill="FFFFFF"/>
        </w:rPr>
        <w:t>, lai atzītu, ka</w:t>
      </w:r>
      <w:r w:rsidR="00762B6F">
        <w:rPr>
          <w:shd w:val="clear" w:color="auto" w:fill="FFFFFF"/>
        </w:rPr>
        <w:t xml:space="preserve"> </w:t>
      </w:r>
      <w:r w:rsidRPr="00F7500C">
        <w:rPr>
          <w:shd w:val="clear" w:color="auto" w:fill="FFFFFF"/>
        </w:rPr>
        <w:t>konkrēta teritorija vai objekts atzīstams par Krimināllikuma 253.</w:t>
      </w:r>
      <w:r>
        <w:rPr>
          <w:shd w:val="clear" w:color="auto" w:fill="FFFFFF"/>
          <w:vertAlign w:val="superscript"/>
        </w:rPr>
        <w:t>1</w:t>
      </w:r>
      <w:r w:rsidR="00855884">
        <w:rPr>
          <w:shd w:val="clear" w:color="auto" w:fill="FFFFFF"/>
        </w:rPr>
        <w:t> </w:t>
      </w:r>
      <w:r w:rsidRPr="00F7500C">
        <w:rPr>
          <w:shd w:val="clear" w:color="auto" w:fill="FFFFFF"/>
        </w:rPr>
        <w:t xml:space="preserve">panta trešajā daļā paredzēto īpašo narkotisko vai psihotropo vielu realizācijas vietu – publiskās izklaides un svētku pasākuma norises vietu –, </w:t>
      </w:r>
      <w:r w:rsidR="00855884">
        <w:rPr>
          <w:shd w:val="clear" w:color="auto" w:fill="FFFFFF"/>
        </w:rPr>
        <w:t>ir jākonstatē, ka</w:t>
      </w:r>
      <w:r w:rsidRPr="00F7500C">
        <w:rPr>
          <w:shd w:val="clear" w:color="auto" w:fill="FFFFFF"/>
        </w:rPr>
        <w:t xml:space="preserve"> attiecīgajā vietā notiek vai </w:t>
      </w:r>
      <w:r w:rsidR="00855884">
        <w:rPr>
          <w:shd w:val="clear" w:color="auto" w:fill="FFFFFF"/>
        </w:rPr>
        <w:t>tiek</w:t>
      </w:r>
      <w:r w:rsidR="00855884" w:rsidRPr="00F7500C">
        <w:rPr>
          <w:shd w:val="clear" w:color="auto" w:fill="FFFFFF"/>
        </w:rPr>
        <w:t xml:space="preserve"> </w:t>
      </w:r>
      <w:r w:rsidRPr="00F7500C">
        <w:rPr>
          <w:shd w:val="clear" w:color="auto" w:fill="FFFFFF"/>
        </w:rPr>
        <w:t>organizēts publisks izklaides vai svētku pasākums</w:t>
      </w:r>
      <w:r>
        <w:rPr>
          <w:shd w:val="clear" w:color="auto" w:fill="FFFFFF"/>
        </w:rPr>
        <w:t xml:space="preserve">, </w:t>
      </w:r>
      <w:r w:rsidR="00855884">
        <w:rPr>
          <w:shd w:val="clear" w:color="auto" w:fill="FFFFFF"/>
        </w:rPr>
        <w:t>neatkarīgi no tā, kād</w:t>
      </w:r>
      <w:r w:rsidR="00762B6F">
        <w:rPr>
          <w:shd w:val="clear" w:color="auto" w:fill="FFFFFF"/>
        </w:rPr>
        <w:t>a</w:t>
      </w:r>
      <w:r w:rsidR="00855884">
        <w:rPr>
          <w:shd w:val="clear" w:color="auto" w:fill="FFFFFF"/>
        </w:rPr>
        <w:t xml:space="preserve"> ir attiecīgās </w:t>
      </w:r>
      <w:r>
        <w:rPr>
          <w:shd w:val="clear" w:color="auto" w:fill="FFFFFF"/>
        </w:rPr>
        <w:t>teritorijas vai objekta formāl</w:t>
      </w:r>
      <w:r w:rsidR="006157D8">
        <w:rPr>
          <w:shd w:val="clear" w:color="auto" w:fill="FFFFFF"/>
        </w:rPr>
        <w:t>ā</w:t>
      </w:r>
      <w:r w:rsidR="00855884">
        <w:rPr>
          <w:shd w:val="clear" w:color="auto" w:fill="FFFFFF"/>
        </w:rPr>
        <w:t xml:space="preserve"> (jeb funkcionāl</w:t>
      </w:r>
      <w:r w:rsidR="006157D8">
        <w:rPr>
          <w:shd w:val="clear" w:color="auto" w:fill="FFFFFF"/>
        </w:rPr>
        <w:t>ā</w:t>
      </w:r>
      <w:r w:rsidR="00855884">
        <w:rPr>
          <w:shd w:val="clear" w:color="auto" w:fill="FFFFFF"/>
        </w:rPr>
        <w:t xml:space="preserve">) </w:t>
      </w:r>
      <w:r w:rsidR="006157D8">
        <w:rPr>
          <w:shd w:val="clear" w:color="auto" w:fill="FFFFFF"/>
        </w:rPr>
        <w:t>nozīme</w:t>
      </w:r>
      <w:r w:rsidRPr="00F7500C">
        <w:rPr>
          <w:shd w:val="clear" w:color="auto" w:fill="FFFFFF"/>
        </w:rPr>
        <w:t>.</w:t>
      </w:r>
    </w:p>
    <w:p w14:paraId="0BA68118" w14:textId="327BB251" w:rsidR="00407CB4" w:rsidRDefault="00DE03FA" w:rsidP="008B485F">
      <w:pPr>
        <w:widowControl w:val="0"/>
        <w:shd w:val="clear" w:color="auto" w:fill="FFFFFF"/>
        <w:spacing w:line="276" w:lineRule="auto"/>
        <w:ind w:firstLine="720"/>
        <w:jc w:val="both"/>
      </w:pPr>
      <w:r>
        <w:rPr>
          <w:shd w:val="clear" w:color="auto" w:fill="FFFFFF"/>
        </w:rPr>
        <w:t>[</w:t>
      </w:r>
      <w:r w:rsidR="008D100A">
        <w:rPr>
          <w:shd w:val="clear" w:color="auto" w:fill="FFFFFF"/>
        </w:rPr>
        <w:t>6.7.2</w:t>
      </w:r>
      <w:r w:rsidR="00D62630">
        <w:rPr>
          <w:shd w:val="clear" w:color="auto" w:fill="FFFFFF"/>
        </w:rPr>
        <w:t>]</w:t>
      </w:r>
      <w:r w:rsidR="00855884">
        <w:rPr>
          <w:shd w:val="clear" w:color="auto" w:fill="FFFFFF"/>
        </w:rPr>
        <w:t> </w:t>
      </w:r>
      <w:r w:rsidR="00407CB4">
        <w:t xml:space="preserve">No Satversmes tiesas atziņām izriet, ka </w:t>
      </w:r>
      <w:r w:rsidR="0093115D">
        <w:t>k</w:t>
      </w:r>
      <w:r w:rsidR="0093115D" w:rsidRPr="0093115D">
        <w:t xml:space="preserve">riminālprocesa atjaunošana sakarā ar jaunatklātiem apstākļiem un spēkā stājušos nolēmumu jauna izskatīšana sakarā ar materiālo vai procesuālo likuma normu būtisku pārkāpumu ir tiesību institūti, kas veidoti kā tiesību uz taisnīgu tiesu papildu garantija likumā noteiktā gadījumā. </w:t>
      </w:r>
      <w:r w:rsidR="0093115D">
        <w:t xml:space="preserve">Tādējādi </w:t>
      </w:r>
      <w:r w:rsidR="00407CB4">
        <w:t>lietu atkārtota izskatīšana vai procesa atjaunošana</w:t>
      </w:r>
      <w:r w:rsidR="00E8606C">
        <w:t xml:space="preserve"> piemērojam</w:t>
      </w:r>
      <w:r w:rsidR="0053307A">
        <w:t>a</w:t>
      </w:r>
      <w:r w:rsidR="00E8606C">
        <w:t xml:space="preserve"> </w:t>
      </w:r>
      <w:r w:rsidR="0053307A">
        <w:t>tikai izņēmuma</w:t>
      </w:r>
      <w:r w:rsidR="00E8606C">
        <w:t xml:space="preserve"> gadījumos, kad </w:t>
      </w:r>
      <w:r w:rsidR="0053307A">
        <w:t xml:space="preserve">tā </w:t>
      </w:r>
      <w:r w:rsidR="00E8606C">
        <w:t>ir vienīg</w:t>
      </w:r>
      <w:r w:rsidR="0053307A">
        <w:t>ā</w:t>
      </w:r>
      <w:r w:rsidR="00E8606C">
        <w:t xml:space="preserve"> vai visefektīvāk</w:t>
      </w:r>
      <w:r w:rsidR="0053307A">
        <w:t>ā iespēja</w:t>
      </w:r>
      <w:r w:rsidR="00B4218A">
        <w:t xml:space="preserve"> </w:t>
      </w:r>
      <w:r w:rsidR="00407CB4">
        <w:t>nodr</w:t>
      </w:r>
      <w:r w:rsidR="00196239">
        <w:t>oši</w:t>
      </w:r>
      <w:r w:rsidR="00407CB4">
        <w:t>nāt</w:t>
      </w:r>
      <w:r w:rsidR="00196239">
        <w:t xml:space="preserve"> sākotnējā stāvokļa atjaunošanu (</w:t>
      </w:r>
      <w:proofErr w:type="spellStart"/>
      <w:r w:rsidR="00196239">
        <w:rPr>
          <w:i/>
          <w:iCs/>
        </w:rPr>
        <w:t>restitutio</w:t>
      </w:r>
      <w:proofErr w:type="spellEnd"/>
      <w:r w:rsidR="00196239">
        <w:rPr>
          <w:i/>
          <w:iCs/>
        </w:rPr>
        <w:t xml:space="preserve"> </w:t>
      </w:r>
      <w:proofErr w:type="spellStart"/>
      <w:r w:rsidR="00196239">
        <w:rPr>
          <w:i/>
          <w:iCs/>
        </w:rPr>
        <w:t>in</w:t>
      </w:r>
      <w:proofErr w:type="spellEnd"/>
      <w:r w:rsidR="00196239">
        <w:rPr>
          <w:i/>
          <w:iCs/>
        </w:rPr>
        <w:t xml:space="preserve"> </w:t>
      </w:r>
      <w:proofErr w:type="spellStart"/>
      <w:r w:rsidR="00196239">
        <w:rPr>
          <w:i/>
          <w:iCs/>
        </w:rPr>
        <w:t>integrum</w:t>
      </w:r>
      <w:proofErr w:type="spellEnd"/>
      <w:r w:rsidR="00196239">
        <w:t>)</w:t>
      </w:r>
      <w:r w:rsidR="00B4218A">
        <w:t xml:space="preserve"> </w:t>
      </w:r>
      <w:r w:rsidR="00E8606C">
        <w:t xml:space="preserve">un tā </w:t>
      </w:r>
      <w:r w:rsidR="00407CB4" w:rsidRPr="00905011">
        <w:lastRenderedPageBreak/>
        <w:t>nav uzskatāma par pārsūdzību un nav pielīdzināma tiesībām vērsties tiesā</w:t>
      </w:r>
      <w:r w:rsidR="0093115D">
        <w:t xml:space="preserve"> </w:t>
      </w:r>
      <w:r w:rsidR="00407CB4" w:rsidRPr="00905011">
        <w:t>(</w:t>
      </w:r>
      <w:r w:rsidR="00407CB4" w:rsidRPr="00762B6F">
        <w:t>sk</w:t>
      </w:r>
      <w:r w:rsidR="00407CB4">
        <w:rPr>
          <w:i/>
          <w:iCs/>
        </w:rPr>
        <w:t>. </w:t>
      </w:r>
      <w:r w:rsidR="00407CB4" w:rsidRPr="00905011">
        <w:rPr>
          <w:i/>
          <w:iCs/>
        </w:rPr>
        <w:t>Satversmes tiesas</w:t>
      </w:r>
      <w:r w:rsidR="0093115D">
        <w:rPr>
          <w:i/>
          <w:iCs/>
        </w:rPr>
        <w:t xml:space="preserve"> </w:t>
      </w:r>
      <w:r w:rsidR="00407CB4" w:rsidRPr="00905011">
        <w:rPr>
          <w:i/>
          <w:iCs/>
        </w:rPr>
        <w:t>2013.</w:t>
      </w:r>
      <w:r w:rsidR="00A13DFF">
        <w:rPr>
          <w:i/>
          <w:iCs/>
        </w:rPr>
        <w:t> </w:t>
      </w:r>
      <w:r w:rsidR="00407CB4" w:rsidRPr="00905011">
        <w:rPr>
          <w:i/>
          <w:iCs/>
        </w:rPr>
        <w:t>gada 14.</w:t>
      </w:r>
      <w:r w:rsidR="00A13DFF">
        <w:rPr>
          <w:i/>
          <w:iCs/>
        </w:rPr>
        <w:t> </w:t>
      </w:r>
      <w:r w:rsidR="00407CB4" w:rsidRPr="00905011">
        <w:rPr>
          <w:i/>
          <w:iCs/>
        </w:rPr>
        <w:t>maija sprieduma lietā Nr.</w:t>
      </w:r>
      <w:r w:rsidR="00A13DFF">
        <w:rPr>
          <w:i/>
          <w:iCs/>
        </w:rPr>
        <w:t> </w:t>
      </w:r>
      <w:hyperlink r:id="rId9" w:history="1">
        <w:r w:rsidR="00407CB4" w:rsidRPr="00A13DFF">
          <w:rPr>
            <w:rStyle w:val="Hyperlink"/>
            <w:i/>
            <w:iCs/>
          </w:rPr>
          <w:t>2012-13-01</w:t>
        </w:r>
      </w:hyperlink>
      <w:r w:rsidR="00407CB4" w:rsidRPr="00905011">
        <w:rPr>
          <w:i/>
          <w:iCs/>
        </w:rPr>
        <w:t xml:space="preserve"> 15.1.</w:t>
      </w:r>
      <w:r w:rsidR="00A13DFF">
        <w:rPr>
          <w:i/>
          <w:iCs/>
        </w:rPr>
        <w:t> </w:t>
      </w:r>
      <w:r w:rsidR="00407CB4" w:rsidRPr="00905011">
        <w:rPr>
          <w:i/>
          <w:iCs/>
        </w:rPr>
        <w:t>punkt</w:t>
      </w:r>
      <w:r w:rsidR="00407CB4">
        <w:rPr>
          <w:i/>
          <w:iCs/>
        </w:rPr>
        <w:t>u</w:t>
      </w:r>
      <w:r w:rsidR="00E8606C">
        <w:rPr>
          <w:i/>
          <w:iCs/>
        </w:rPr>
        <w:t>, 2016. gada 29.</w:t>
      </w:r>
      <w:r w:rsidR="00A13DFF">
        <w:rPr>
          <w:i/>
          <w:iCs/>
        </w:rPr>
        <w:t> </w:t>
      </w:r>
      <w:r w:rsidR="00E8606C">
        <w:rPr>
          <w:i/>
          <w:iCs/>
        </w:rPr>
        <w:t>aprīļa spriedum</w:t>
      </w:r>
      <w:r w:rsidR="00A13DFF">
        <w:rPr>
          <w:i/>
          <w:iCs/>
        </w:rPr>
        <w:t>a</w:t>
      </w:r>
      <w:r w:rsidR="0053307A">
        <w:rPr>
          <w:i/>
          <w:iCs/>
        </w:rPr>
        <w:t xml:space="preserve"> lietā Nr.</w:t>
      </w:r>
      <w:r w:rsidR="00A13DFF">
        <w:rPr>
          <w:i/>
          <w:iCs/>
        </w:rPr>
        <w:t> </w:t>
      </w:r>
      <w:hyperlink r:id="rId10" w:history="1">
        <w:r w:rsidR="0053307A" w:rsidRPr="00A13DFF">
          <w:rPr>
            <w:rStyle w:val="Hyperlink"/>
            <w:i/>
            <w:iCs/>
          </w:rPr>
          <w:t>2015-19-01</w:t>
        </w:r>
      </w:hyperlink>
      <w:r w:rsidR="0053307A">
        <w:rPr>
          <w:i/>
          <w:iCs/>
        </w:rPr>
        <w:t xml:space="preserve"> </w:t>
      </w:r>
      <w:r w:rsidR="0093115D">
        <w:rPr>
          <w:i/>
          <w:iCs/>
        </w:rPr>
        <w:t>12.2. un 12.4. punktu</w:t>
      </w:r>
      <w:r w:rsidR="00407CB4" w:rsidRPr="00905011">
        <w:t>).</w:t>
      </w:r>
    </w:p>
    <w:p w14:paraId="62037FF6" w14:textId="7B27E0FD" w:rsidR="00914CB7" w:rsidRDefault="0093115D" w:rsidP="008B485F">
      <w:pPr>
        <w:widowControl w:val="0"/>
        <w:tabs>
          <w:tab w:val="left" w:pos="709"/>
        </w:tabs>
        <w:spacing w:line="276" w:lineRule="auto"/>
        <w:ind w:firstLine="720"/>
        <w:jc w:val="both"/>
      </w:pPr>
      <w:r>
        <w:rPr>
          <w:shd w:val="clear" w:color="auto" w:fill="FFFFFF"/>
        </w:rPr>
        <w:t>Senāts norāda, ka nepareiza Krimināllikuma 253.</w:t>
      </w:r>
      <w:r>
        <w:rPr>
          <w:shd w:val="clear" w:color="auto" w:fill="FFFFFF"/>
          <w:vertAlign w:val="superscript"/>
        </w:rPr>
        <w:t>1</w:t>
      </w:r>
      <w:r w:rsidR="00A13DFF">
        <w:rPr>
          <w:shd w:val="clear" w:color="auto" w:fill="FFFFFF"/>
        </w:rPr>
        <w:t> </w:t>
      </w:r>
      <w:r>
        <w:rPr>
          <w:shd w:val="clear" w:color="auto" w:fill="FFFFFF"/>
        </w:rPr>
        <w:t>panta trešajā daļā paredzētā</w:t>
      </w:r>
      <w:r w:rsidR="00A13DFF">
        <w:rPr>
          <w:shd w:val="clear" w:color="auto" w:fill="FFFFFF"/>
        </w:rPr>
        <w:t>s</w:t>
      </w:r>
      <w:r>
        <w:rPr>
          <w:shd w:val="clear" w:color="auto" w:fill="FFFFFF"/>
        </w:rPr>
        <w:t xml:space="preserve"> </w:t>
      </w:r>
      <w:r w:rsidR="00A13DFF">
        <w:rPr>
          <w:shd w:val="clear" w:color="auto" w:fill="FFFFFF"/>
        </w:rPr>
        <w:t>pazīmes</w:t>
      </w:r>
      <w:r>
        <w:rPr>
          <w:shd w:val="clear" w:color="auto" w:fill="FFFFFF"/>
        </w:rPr>
        <w:t xml:space="preserve"> – </w:t>
      </w:r>
      <w:r w:rsidRPr="00D073FB">
        <w:t>publiskās izklaides vai svētku pasākumu norises viet</w:t>
      </w:r>
      <w:r w:rsidR="003A016A">
        <w:t>a</w:t>
      </w:r>
      <w:r>
        <w:t xml:space="preserve"> – piemērošana </w:t>
      </w:r>
      <w:r w:rsidR="00A13DFF">
        <w:t xml:space="preserve">nav </w:t>
      </w:r>
      <w:r>
        <w:t>ietekmēj</w:t>
      </w:r>
      <w:r w:rsidR="00A13DFF">
        <w:t>usi</w:t>
      </w:r>
      <w:r>
        <w:t xml:space="preserve"> </w:t>
      </w:r>
      <w:r w:rsidR="00FB0FDD">
        <w:t>[pers. A]</w:t>
      </w:r>
      <w:r>
        <w:t xml:space="preserve"> noziedzīgā nodarījuma kvalifikāciju</w:t>
      </w:r>
      <w:r w:rsidR="004F1575">
        <w:t xml:space="preserve"> pēc Krimināllikuma 253.</w:t>
      </w:r>
      <w:r w:rsidR="004F1575">
        <w:rPr>
          <w:vertAlign w:val="superscript"/>
        </w:rPr>
        <w:t>1</w:t>
      </w:r>
      <w:r w:rsidR="00A13DFF">
        <w:t> </w:t>
      </w:r>
      <w:r w:rsidR="004F1575">
        <w:t>panta trešās daļas</w:t>
      </w:r>
      <w:r w:rsidR="00A13DFF">
        <w:t>, jo p</w:t>
      </w:r>
      <w:r w:rsidR="004F1575">
        <w:t>irmās instances tiesa atzinusi</w:t>
      </w:r>
      <w:r w:rsidR="00A13DFF">
        <w:t xml:space="preserve"> par pierādītiem faktiskos apstākļus, kuros konstatējamas citas šīs normas pazīmes</w:t>
      </w:r>
      <w:r w:rsidR="004F1575">
        <w:t xml:space="preserve"> –</w:t>
      </w:r>
      <w:r w:rsidR="00762B6F">
        <w:t xml:space="preserve"> </w:t>
      </w:r>
      <w:r w:rsidR="004F1575">
        <w:t xml:space="preserve">narkotisko vielu </w:t>
      </w:r>
      <w:r w:rsidR="00A13DFF">
        <w:t>realizēšan</w:t>
      </w:r>
      <w:r w:rsidR="00762B6F">
        <w:t>a</w:t>
      </w:r>
      <w:r w:rsidR="00A13DFF">
        <w:t xml:space="preserve"> </w:t>
      </w:r>
      <w:r w:rsidR="004F1575">
        <w:t>nepilngadīgajiem un izglītības iestādes teritorijā.</w:t>
      </w:r>
    </w:p>
    <w:p w14:paraId="5D53D4B2" w14:textId="4C268149" w:rsidR="0093115D" w:rsidRDefault="00A13339" w:rsidP="008B485F">
      <w:pPr>
        <w:widowControl w:val="0"/>
        <w:tabs>
          <w:tab w:val="left" w:pos="709"/>
        </w:tabs>
        <w:spacing w:line="276" w:lineRule="auto"/>
        <w:ind w:firstLine="720"/>
        <w:jc w:val="both"/>
      </w:pPr>
      <w:r>
        <w:rPr>
          <w:shd w:val="clear" w:color="auto" w:fill="FFFFFF"/>
        </w:rPr>
        <w:t>[</w:t>
      </w:r>
      <w:r w:rsidR="00FB0FDD">
        <w:rPr>
          <w:shd w:val="clear" w:color="auto" w:fill="FFFFFF"/>
        </w:rPr>
        <w:t>P</w:t>
      </w:r>
      <w:r>
        <w:rPr>
          <w:shd w:val="clear" w:color="auto" w:fill="FFFFFF"/>
        </w:rPr>
        <w:t>ers. A]</w:t>
      </w:r>
      <w:r w:rsidR="004F1575" w:rsidRPr="00914CB7">
        <w:rPr>
          <w:shd w:val="clear" w:color="auto" w:fill="FFFFFF"/>
        </w:rPr>
        <w:t xml:space="preserve"> </w:t>
      </w:r>
      <w:r w:rsidR="00A13DFF" w:rsidRPr="00914CB7">
        <w:rPr>
          <w:shd w:val="clear" w:color="auto" w:fill="FFFFFF"/>
        </w:rPr>
        <w:t xml:space="preserve">pirms </w:t>
      </w:r>
      <w:r w:rsidR="004F1575" w:rsidRPr="00914CB7">
        <w:rPr>
          <w:shd w:val="clear" w:color="auto" w:fill="FFFFFF"/>
        </w:rPr>
        <w:t xml:space="preserve">gandrīz </w:t>
      </w:r>
      <w:r w:rsidR="00914CB7" w:rsidRPr="00914CB7">
        <w:rPr>
          <w:shd w:val="clear" w:color="auto" w:fill="FFFFFF"/>
        </w:rPr>
        <w:t>19 gadiem</w:t>
      </w:r>
      <w:r w:rsidR="00C1069F" w:rsidRPr="00914CB7">
        <w:rPr>
          <w:shd w:val="clear" w:color="auto" w:fill="FFFFFF"/>
        </w:rPr>
        <w:t xml:space="preserve"> </w:t>
      </w:r>
      <w:r w:rsidR="00914CB7">
        <w:rPr>
          <w:shd w:val="clear" w:color="auto" w:fill="FFFFFF"/>
        </w:rPr>
        <w:t>notiesāts nosacīti un pārbaudes laikā nav izdarījis jaunu noziegumu, tādēļ</w:t>
      </w:r>
      <w:r w:rsidR="00C1069F" w:rsidRPr="00914CB7">
        <w:rPr>
          <w:shd w:val="clear" w:color="auto" w:fill="FFFFFF"/>
        </w:rPr>
        <w:t xml:space="preserve"> </w:t>
      </w:r>
      <w:r w:rsidR="00914CB7" w:rsidRPr="00914CB7">
        <w:rPr>
          <w:shd w:val="clear" w:color="auto" w:fill="FFFFFF"/>
        </w:rPr>
        <w:t>atbilstoši Krimināllikuma 63. panta trešās daļas 1. punktam (likuma redakcija nozieguma izdarīšanas brīdī)</w:t>
      </w:r>
      <w:r w:rsidR="00914CB7" w:rsidRPr="00914CB7">
        <w:rPr>
          <w:rFonts w:ascii="Arial" w:hAnsi="Arial" w:cs="Arial"/>
          <w:sz w:val="20"/>
          <w:szCs w:val="20"/>
        </w:rPr>
        <w:t xml:space="preserve"> </w:t>
      </w:r>
      <w:r w:rsidR="00914CB7" w:rsidRPr="00914CB7">
        <w:t>atzīstams par nesodītu</w:t>
      </w:r>
      <w:r w:rsidR="00914CB7">
        <w:t xml:space="preserve"> personu.</w:t>
      </w:r>
    </w:p>
    <w:p w14:paraId="473BAE27" w14:textId="7410451D" w:rsidR="00407CB4" w:rsidRPr="004263FB" w:rsidRDefault="004263FB" w:rsidP="008B485F">
      <w:pPr>
        <w:widowControl w:val="0"/>
        <w:tabs>
          <w:tab w:val="left" w:pos="709"/>
        </w:tabs>
        <w:spacing w:line="276" w:lineRule="auto"/>
        <w:ind w:firstLine="720"/>
        <w:jc w:val="both"/>
      </w:pPr>
      <w:r>
        <w:t>Ievērojot</w:t>
      </w:r>
      <w:r w:rsidR="00A13DFF">
        <w:t xml:space="preserve"> to</w:t>
      </w:r>
      <w:r>
        <w:t>, ka no sprieduma spēkā stāšanās spēkā ir pagājis ilgs laiks</w:t>
      </w:r>
      <w:r w:rsidR="00A13DFF">
        <w:t xml:space="preserve"> un</w:t>
      </w:r>
      <w:r>
        <w:t xml:space="preserve"> sodāmība ir dzēsta, savukārt lietas izskatīšana apelācijas instances tiesā radītu </w:t>
      </w:r>
      <w:r w:rsidR="00F90CCE">
        <w:t xml:space="preserve">viņam </w:t>
      </w:r>
      <w:r>
        <w:t>jaunas juridiskas sekas – sodāmību</w:t>
      </w:r>
      <w:r w:rsidR="00E524F0">
        <w:t xml:space="preserve"> –</w:t>
      </w:r>
      <w:r>
        <w:t>,</w:t>
      </w:r>
      <w:r w:rsidR="00762B6F">
        <w:t xml:space="preserve"> </w:t>
      </w:r>
      <w:r>
        <w:t>liet</w:t>
      </w:r>
      <w:r w:rsidR="00F90CCE">
        <w:t>as</w:t>
      </w:r>
      <w:r>
        <w:t xml:space="preserve"> nosūt</w:t>
      </w:r>
      <w:r w:rsidR="00F90CCE">
        <w:t>īšana</w:t>
      </w:r>
      <w:r>
        <w:t xml:space="preserve"> </w:t>
      </w:r>
      <w:r w:rsidR="00F90CCE">
        <w:t xml:space="preserve">jaunai </w:t>
      </w:r>
      <w:r>
        <w:t>izskatīšanai apelācijas instances tiesai</w:t>
      </w:r>
      <w:r w:rsidR="00F90CCE">
        <w:t xml:space="preserve"> nav samērīga un lietderīga</w:t>
      </w:r>
      <w:r>
        <w:t>, bet</w:t>
      </w:r>
      <w:r w:rsidR="00F90CCE">
        <w:t xml:space="preserve"> saskaņā ar taisnīguma principu </w:t>
      </w:r>
      <w:r w:rsidR="0093115D">
        <w:t xml:space="preserve">no </w:t>
      </w:r>
      <w:r w:rsidR="00FB0FDD">
        <w:t>[pers. A]</w:t>
      </w:r>
      <w:r w:rsidR="0093115D">
        <w:t xml:space="preserve"> noziedzīgā nodarījuma apraksta </w:t>
      </w:r>
      <w:r w:rsidR="00F90CCE">
        <w:t>ir izslēdzam</w:t>
      </w:r>
      <w:r w:rsidR="006045C9">
        <w:t>a</w:t>
      </w:r>
      <w:r w:rsidR="00F90CCE">
        <w:t xml:space="preserve"> </w:t>
      </w:r>
      <w:r w:rsidR="0093115D">
        <w:t>kvalificējoš</w:t>
      </w:r>
      <w:r w:rsidR="006045C9">
        <w:t>ā pazīme</w:t>
      </w:r>
      <w:r w:rsidR="0093115D">
        <w:t xml:space="preserve"> –</w:t>
      </w:r>
      <w:r w:rsidR="00F90CCE">
        <w:t xml:space="preserve"> </w:t>
      </w:r>
      <w:r w:rsidR="0093115D" w:rsidRPr="00D073FB">
        <w:t>publiskās izklaides vai svētku pasākumu norises viet</w:t>
      </w:r>
      <w:r w:rsidR="006045C9">
        <w:t>a</w:t>
      </w:r>
      <w:r>
        <w:t>.</w:t>
      </w:r>
    </w:p>
    <w:p w14:paraId="07925B06" w14:textId="77777777" w:rsidR="00407CB4" w:rsidRDefault="00407CB4" w:rsidP="00A13DFF">
      <w:pPr>
        <w:widowControl w:val="0"/>
        <w:shd w:val="clear" w:color="auto" w:fill="FFFFFF"/>
        <w:spacing w:line="276" w:lineRule="auto"/>
        <w:ind w:firstLine="720"/>
        <w:jc w:val="both"/>
        <w:rPr>
          <w:shd w:val="clear" w:color="auto" w:fill="FFFFFF"/>
        </w:rPr>
      </w:pPr>
    </w:p>
    <w:p w14:paraId="193F059C" w14:textId="62FB5F42" w:rsidR="00407CB4" w:rsidRPr="00407CB4" w:rsidRDefault="00407CB4" w:rsidP="00A13DFF">
      <w:pPr>
        <w:widowControl w:val="0"/>
        <w:shd w:val="clear" w:color="auto" w:fill="FFFFFF"/>
        <w:spacing w:line="276" w:lineRule="auto"/>
        <w:jc w:val="center"/>
        <w:rPr>
          <w:b/>
        </w:rPr>
      </w:pPr>
      <w:r w:rsidRPr="00D073FB">
        <w:rPr>
          <w:b/>
        </w:rPr>
        <w:t>Rezolutīvā daļa</w:t>
      </w:r>
    </w:p>
    <w:p w14:paraId="40FF95B5" w14:textId="77777777" w:rsidR="00A656FE" w:rsidRPr="00D073FB" w:rsidRDefault="00A656FE" w:rsidP="00A13DFF">
      <w:pPr>
        <w:widowControl w:val="0"/>
        <w:shd w:val="clear" w:color="auto" w:fill="FFFFFF"/>
        <w:spacing w:line="276" w:lineRule="auto"/>
        <w:ind w:firstLine="720"/>
        <w:jc w:val="both"/>
      </w:pPr>
    </w:p>
    <w:p w14:paraId="5CE1399F" w14:textId="2C738523" w:rsidR="00992963" w:rsidRPr="00D073FB" w:rsidRDefault="00992963" w:rsidP="008B485F">
      <w:pPr>
        <w:pStyle w:val="tv213"/>
        <w:widowControl w:val="0"/>
        <w:spacing w:before="0" w:beforeAutospacing="0" w:after="0" w:afterAutospacing="0" w:line="276" w:lineRule="auto"/>
        <w:ind w:firstLine="720"/>
        <w:jc w:val="both"/>
      </w:pPr>
      <w:r w:rsidRPr="00D073FB">
        <w:t>Pamatojoties uz Kriminālprocesa likuma 585.</w:t>
      </w:r>
      <w:r w:rsidR="00F9294D" w:rsidRPr="00D073FB">
        <w:t xml:space="preserve">, </w:t>
      </w:r>
      <w:r w:rsidRPr="00D073FB">
        <w:t>587.</w:t>
      </w:r>
      <w:r w:rsidR="00F9294D" w:rsidRPr="00D073FB">
        <w:t>, 670., 671 un 672. pantu</w:t>
      </w:r>
      <w:r w:rsidRPr="00D073FB">
        <w:t>, Senāts</w:t>
      </w:r>
    </w:p>
    <w:p w14:paraId="3B28DB94" w14:textId="77777777" w:rsidR="00447EE6" w:rsidRPr="00663BF3" w:rsidRDefault="00447EE6" w:rsidP="00F90CCE">
      <w:pPr>
        <w:widowControl w:val="0"/>
        <w:shd w:val="clear" w:color="auto" w:fill="FFFFFF"/>
        <w:spacing w:line="276" w:lineRule="auto"/>
        <w:ind w:firstLine="720"/>
        <w:jc w:val="both"/>
        <w:rPr>
          <w:bCs/>
        </w:rPr>
      </w:pPr>
    </w:p>
    <w:p w14:paraId="297C80CD" w14:textId="6FF1C7F1" w:rsidR="00447EE6" w:rsidRPr="00D073FB" w:rsidRDefault="00447EE6" w:rsidP="00F90CCE">
      <w:pPr>
        <w:widowControl w:val="0"/>
        <w:shd w:val="clear" w:color="auto" w:fill="FFFFFF"/>
        <w:spacing w:line="276" w:lineRule="auto"/>
        <w:jc w:val="center"/>
        <w:rPr>
          <w:b/>
        </w:rPr>
      </w:pPr>
      <w:r w:rsidRPr="00D073FB">
        <w:rPr>
          <w:b/>
        </w:rPr>
        <w:t>no</w:t>
      </w:r>
      <w:r w:rsidR="00A656FE" w:rsidRPr="00D073FB">
        <w:rPr>
          <w:b/>
        </w:rPr>
        <w:t>lēma</w:t>
      </w:r>
    </w:p>
    <w:p w14:paraId="28660F9E" w14:textId="77777777" w:rsidR="00447EE6" w:rsidRPr="00663BF3" w:rsidRDefault="00447EE6" w:rsidP="00F90CCE">
      <w:pPr>
        <w:widowControl w:val="0"/>
        <w:shd w:val="clear" w:color="auto" w:fill="FFFFFF"/>
        <w:spacing w:line="276" w:lineRule="auto"/>
        <w:ind w:firstLine="720"/>
        <w:jc w:val="both"/>
        <w:rPr>
          <w:bCs/>
        </w:rPr>
      </w:pPr>
    </w:p>
    <w:p w14:paraId="51D7F043" w14:textId="2B3FBBB4" w:rsidR="004E68AE" w:rsidRDefault="005565F0" w:rsidP="008B485F">
      <w:pPr>
        <w:widowControl w:val="0"/>
        <w:tabs>
          <w:tab w:val="left" w:pos="709"/>
        </w:tabs>
        <w:spacing w:line="276" w:lineRule="auto"/>
        <w:ind w:firstLine="720"/>
        <w:jc w:val="both"/>
      </w:pPr>
      <w:r>
        <w:rPr>
          <w:rFonts w:eastAsia="Calibri"/>
          <w:iCs/>
        </w:rPr>
        <w:t>grozīt</w:t>
      </w:r>
      <w:r w:rsidR="004E68AE" w:rsidRPr="00D073FB">
        <w:rPr>
          <w:rFonts w:eastAsia="Calibri"/>
          <w:iCs/>
        </w:rPr>
        <w:t xml:space="preserve"> </w:t>
      </w:r>
      <w:r w:rsidR="00F95165">
        <w:t>[..]</w:t>
      </w:r>
      <w:r w:rsidR="004E68AE" w:rsidRPr="00D073FB">
        <w:t xml:space="preserve"> apgabaltiesas 20</w:t>
      </w:r>
      <w:r w:rsidR="00F9294D" w:rsidRPr="00D073FB">
        <w:t>07</w:t>
      </w:r>
      <w:r w:rsidR="004E68AE" w:rsidRPr="00D073FB">
        <w:t xml:space="preserve">. gada </w:t>
      </w:r>
      <w:r w:rsidR="00FB0FDD">
        <w:t>[..]</w:t>
      </w:r>
      <w:r w:rsidR="004E68AE" w:rsidRPr="00D073FB">
        <w:t xml:space="preserve"> </w:t>
      </w:r>
      <w:r w:rsidR="00F9294D" w:rsidRPr="00D073FB">
        <w:t>spriedumu</w:t>
      </w:r>
      <w:r w:rsidR="00550A0F">
        <w:t xml:space="preserve">, izslēdzot no tiesas par pierādītu atzītā </w:t>
      </w:r>
      <w:r w:rsidR="00FB0FDD">
        <w:t>[pers. A]</w:t>
      </w:r>
      <w:r w:rsidR="00550A0F">
        <w:t xml:space="preserve"> noziedzīgā nodarījuma apraksta </w:t>
      </w:r>
      <w:r w:rsidR="006045C9">
        <w:t>pēc Krimināllikuma 15. panta ceturtās daļas un 253. panta trešās daļas</w:t>
      </w:r>
      <w:r w:rsidR="00762B6F">
        <w:t xml:space="preserve"> </w:t>
      </w:r>
      <w:r>
        <w:t xml:space="preserve">kvalificējošo </w:t>
      </w:r>
      <w:r w:rsidR="006045C9">
        <w:t xml:space="preserve">pazīmi </w:t>
      </w:r>
      <w:r>
        <w:t xml:space="preserve">– </w:t>
      </w:r>
      <w:r w:rsidRPr="00D073FB">
        <w:t>publiskās izklaides vai svētku pasākumu norises viet</w:t>
      </w:r>
      <w:r w:rsidR="006045C9">
        <w:t>a;</w:t>
      </w:r>
    </w:p>
    <w:p w14:paraId="32107B70" w14:textId="337396C1" w:rsidR="005565F0" w:rsidRPr="005565F0" w:rsidRDefault="006045C9" w:rsidP="008B485F">
      <w:pPr>
        <w:widowControl w:val="0"/>
        <w:tabs>
          <w:tab w:val="left" w:pos="709"/>
        </w:tabs>
        <w:spacing w:line="276" w:lineRule="auto"/>
        <w:ind w:firstLine="720"/>
        <w:jc w:val="both"/>
      </w:pPr>
      <w:r>
        <w:t>p</w:t>
      </w:r>
      <w:r w:rsidR="005565F0">
        <w:t xml:space="preserve">ārējā daļā </w:t>
      </w:r>
      <w:r w:rsidR="00F95165">
        <w:t>[..]</w:t>
      </w:r>
      <w:r w:rsidR="005565F0">
        <w:t xml:space="preserve"> apgabaltiesas 2007. gada </w:t>
      </w:r>
      <w:r w:rsidR="00FB0FDD">
        <w:t>[..]</w:t>
      </w:r>
      <w:r w:rsidR="005565F0">
        <w:t xml:space="preserve"> spriedumu atstāt negrozītu.</w:t>
      </w:r>
    </w:p>
    <w:p w14:paraId="0E6AB401" w14:textId="77777777" w:rsidR="00A656FE" w:rsidRPr="00D073FB" w:rsidRDefault="00A656FE" w:rsidP="006157D8">
      <w:pPr>
        <w:widowControl w:val="0"/>
        <w:shd w:val="clear" w:color="auto" w:fill="FFFFFF"/>
        <w:spacing w:line="276" w:lineRule="auto"/>
        <w:ind w:firstLine="720"/>
        <w:jc w:val="both"/>
        <w:rPr>
          <w:bCs/>
        </w:rPr>
      </w:pPr>
    </w:p>
    <w:p w14:paraId="049D1CB4" w14:textId="678CC5A9" w:rsidR="00447EE6" w:rsidRPr="00FB0FDD" w:rsidRDefault="00A656FE" w:rsidP="00FB0FDD">
      <w:pPr>
        <w:widowControl w:val="0"/>
        <w:shd w:val="clear" w:color="auto" w:fill="FFFFFF"/>
        <w:spacing w:line="276" w:lineRule="auto"/>
        <w:ind w:firstLine="720"/>
        <w:jc w:val="both"/>
        <w:rPr>
          <w:bCs/>
        </w:rPr>
      </w:pPr>
      <w:r w:rsidRPr="00D073FB">
        <w:rPr>
          <w:bCs/>
        </w:rPr>
        <w:t>Lēmums nav pārsūdzams.</w:t>
      </w:r>
    </w:p>
    <w:sectPr w:rsidR="00447EE6" w:rsidRPr="00FB0FDD" w:rsidSect="00AF766E">
      <w:footerReference w:type="default" r:id="rId11"/>
      <w:pgSz w:w="12240" w:h="15840" w:code="1"/>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7316" w14:textId="77777777" w:rsidR="004811DA" w:rsidRDefault="004811DA" w:rsidP="005A4215">
      <w:r>
        <w:separator/>
      </w:r>
    </w:p>
  </w:endnote>
  <w:endnote w:type="continuationSeparator" w:id="0">
    <w:p w14:paraId="6ED476DE" w14:textId="77777777" w:rsidR="004811DA" w:rsidRDefault="004811DA" w:rsidP="005A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382181"/>
      <w:docPartObj>
        <w:docPartGallery w:val="Page Numbers (Bottom of Page)"/>
        <w:docPartUnique/>
      </w:docPartObj>
    </w:sdtPr>
    <w:sdtEndPr/>
    <w:sdtContent>
      <w:sdt>
        <w:sdtPr>
          <w:id w:val="1728636285"/>
          <w:docPartObj>
            <w:docPartGallery w:val="Page Numbers (Top of Page)"/>
            <w:docPartUnique/>
          </w:docPartObj>
        </w:sdtPr>
        <w:sdtEndPr/>
        <w:sdtContent>
          <w:p w14:paraId="6A3D8B32" w14:textId="5EDCA7D0" w:rsidR="00806F18" w:rsidRDefault="00806F18" w:rsidP="00806F18">
            <w:pPr>
              <w:pStyle w:val="Footer"/>
              <w:jc w:val="center"/>
            </w:pPr>
            <w:r w:rsidRPr="00806F18">
              <w:rPr>
                <w:sz w:val="20"/>
                <w:szCs w:val="20"/>
              </w:rPr>
              <w:fldChar w:fldCharType="begin"/>
            </w:r>
            <w:r w:rsidRPr="00806F18">
              <w:rPr>
                <w:sz w:val="20"/>
                <w:szCs w:val="20"/>
              </w:rPr>
              <w:instrText xml:space="preserve"> PAGE </w:instrText>
            </w:r>
            <w:r w:rsidRPr="00806F18">
              <w:rPr>
                <w:sz w:val="20"/>
                <w:szCs w:val="20"/>
              </w:rPr>
              <w:fldChar w:fldCharType="separate"/>
            </w:r>
            <w:r w:rsidRPr="00806F18">
              <w:rPr>
                <w:noProof/>
                <w:sz w:val="20"/>
                <w:szCs w:val="20"/>
              </w:rPr>
              <w:t>2</w:t>
            </w:r>
            <w:r w:rsidRPr="00806F18">
              <w:rPr>
                <w:sz w:val="20"/>
                <w:szCs w:val="20"/>
              </w:rPr>
              <w:fldChar w:fldCharType="end"/>
            </w:r>
            <w:r w:rsidRPr="00806F18">
              <w:rPr>
                <w:sz w:val="20"/>
                <w:szCs w:val="20"/>
              </w:rPr>
              <w:t xml:space="preserve"> no </w:t>
            </w:r>
            <w:r w:rsidRPr="00806F18">
              <w:rPr>
                <w:sz w:val="20"/>
                <w:szCs w:val="20"/>
              </w:rPr>
              <w:fldChar w:fldCharType="begin"/>
            </w:r>
            <w:r w:rsidRPr="00806F18">
              <w:rPr>
                <w:sz w:val="20"/>
                <w:szCs w:val="20"/>
              </w:rPr>
              <w:instrText xml:space="preserve"> NUMPAGES  </w:instrText>
            </w:r>
            <w:r w:rsidRPr="00806F18">
              <w:rPr>
                <w:sz w:val="20"/>
                <w:szCs w:val="20"/>
              </w:rPr>
              <w:fldChar w:fldCharType="separate"/>
            </w:r>
            <w:r w:rsidRPr="00806F18">
              <w:rPr>
                <w:noProof/>
                <w:sz w:val="20"/>
                <w:szCs w:val="20"/>
              </w:rPr>
              <w:t>2</w:t>
            </w:r>
            <w:r w:rsidRPr="00806F18">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3F33" w14:textId="77777777" w:rsidR="004811DA" w:rsidRDefault="004811DA" w:rsidP="005A4215">
      <w:r>
        <w:separator/>
      </w:r>
    </w:p>
  </w:footnote>
  <w:footnote w:type="continuationSeparator" w:id="0">
    <w:p w14:paraId="05F31B58" w14:textId="77777777" w:rsidR="004811DA" w:rsidRDefault="004811DA" w:rsidP="005A4215">
      <w:r>
        <w:continuationSeparator/>
      </w:r>
    </w:p>
  </w:footnote>
  <w:footnote w:id="1">
    <w:p w14:paraId="44BF4846" w14:textId="77777777" w:rsidR="00A13339" w:rsidRDefault="00A13339" w:rsidP="00A13339">
      <w:pPr>
        <w:pStyle w:val="FootnoteText"/>
      </w:pPr>
      <w:r>
        <w:rPr>
          <w:rStyle w:val="FootnoteReference"/>
        </w:rPr>
        <w:footnoteRef/>
      </w:r>
      <w:r>
        <w:t xml:space="preserve"> </w:t>
      </w:r>
      <w:r>
        <w:rPr>
          <w:lang w:eastAsia="lv-LV"/>
        </w:rPr>
        <w:t>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4E5C674B"/>
    <w:multiLevelType w:val="multilevel"/>
    <w:tmpl w:val="CB82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880893">
    <w:abstractNumId w:val="0"/>
  </w:num>
  <w:num w:numId="2" w16cid:durableId="861237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3C7"/>
    <w:rsid w:val="00001D79"/>
    <w:rsid w:val="00006F08"/>
    <w:rsid w:val="00006F3A"/>
    <w:rsid w:val="000119EC"/>
    <w:rsid w:val="00013049"/>
    <w:rsid w:val="00016CFD"/>
    <w:rsid w:val="0002036F"/>
    <w:rsid w:val="00025C9E"/>
    <w:rsid w:val="000330A4"/>
    <w:rsid w:val="00041CD1"/>
    <w:rsid w:val="000449A3"/>
    <w:rsid w:val="000530D0"/>
    <w:rsid w:val="00054618"/>
    <w:rsid w:val="0005545B"/>
    <w:rsid w:val="0005684C"/>
    <w:rsid w:val="00060B18"/>
    <w:rsid w:val="000666EC"/>
    <w:rsid w:val="00066E0B"/>
    <w:rsid w:val="000675B9"/>
    <w:rsid w:val="00070008"/>
    <w:rsid w:val="00082839"/>
    <w:rsid w:val="00091915"/>
    <w:rsid w:val="00091AF2"/>
    <w:rsid w:val="00094417"/>
    <w:rsid w:val="000962B7"/>
    <w:rsid w:val="000A0750"/>
    <w:rsid w:val="000A133D"/>
    <w:rsid w:val="000A156C"/>
    <w:rsid w:val="000A1791"/>
    <w:rsid w:val="000A6FC4"/>
    <w:rsid w:val="000A75DE"/>
    <w:rsid w:val="000B547E"/>
    <w:rsid w:val="000B6861"/>
    <w:rsid w:val="000C2B9E"/>
    <w:rsid w:val="000C2C04"/>
    <w:rsid w:val="000D17D7"/>
    <w:rsid w:val="000D2776"/>
    <w:rsid w:val="000D2A76"/>
    <w:rsid w:val="000D3D92"/>
    <w:rsid w:val="000D4B05"/>
    <w:rsid w:val="000D600E"/>
    <w:rsid w:val="000D7893"/>
    <w:rsid w:val="000E216E"/>
    <w:rsid w:val="000E3626"/>
    <w:rsid w:val="000E3F02"/>
    <w:rsid w:val="000E7A9C"/>
    <w:rsid w:val="000F08CA"/>
    <w:rsid w:val="000F7502"/>
    <w:rsid w:val="000F7EF4"/>
    <w:rsid w:val="001016B8"/>
    <w:rsid w:val="0010629D"/>
    <w:rsid w:val="00111712"/>
    <w:rsid w:val="00114FAE"/>
    <w:rsid w:val="00115806"/>
    <w:rsid w:val="00115ECE"/>
    <w:rsid w:val="00115F03"/>
    <w:rsid w:val="00116678"/>
    <w:rsid w:val="00117D43"/>
    <w:rsid w:val="00121D7D"/>
    <w:rsid w:val="00122F1A"/>
    <w:rsid w:val="00126615"/>
    <w:rsid w:val="00133536"/>
    <w:rsid w:val="00133C08"/>
    <w:rsid w:val="00134717"/>
    <w:rsid w:val="00134992"/>
    <w:rsid w:val="001366F1"/>
    <w:rsid w:val="00140B35"/>
    <w:rsid w:val="00140CB8"/>
    <w:rsid w:val="00141D57"/>
    <w:rsid w:val="00142DEB"/>
    <w:rsid w:val="0016085E"/>
    <w:rsid w:val="00160D78"/>
    <w:rsid w:val="001620A3"/>
    <w:rsid w:val="00166597"/>
    <w:rsid w:val="001725E1"/>
    <w:rsid w:val="00173A8D"/>
    <w:rsid w:val="0017716D"/>
    <w:rsid w:val="00177A7F"/>
    <w:rsid w:val="00180107"/>
    <w:rsid w:val="001801D8"/>
    <w:rsid w:val="001831E9"/>
    <w:rsid w:val="00187672"/>
    <w:rsid w:val="00194AF3"/>
    <w:rsid w:val="00194F24"/>
    <w:rsid w:val="00196239"/>
    <w:rsid w:val="001A261A"/>
    <w:rsid w:val="001A65AA"/>
    <w:rsid w:val="001A7C2F"/>
    <w:rsid w:val="001B0213"/>
    <w:rsid w:val="001B1F73"/>
    <w:rsid w:val="001B44B2"/>
    <w:rsid w:val="001B6F0C"/>
    <w:rsid w:val="001C7077"/>
    <w:rsid w:val="001C75BD"/>
    <w:rsid w:val="001D2E96"/>
    <w:rsid w:val="001D3596"/>
    <w:rsid w:val="001D3E61"/>
    <w:rsid w:val="001D5925"/>
    <w:rsid w:val="001D5B20"/>
    <w:rsid w:val="001D6CCD"/>
    <w:rsid w:val="001E1ECE"/>
    <w:rsid w:val="001E76D7"/>
    <w:rsid w:val="001F087A"/>
    <w:rsid w:val="001F26BC"/>
    <w:rsid w:val="002005AE"/>
    <w:rsid w:val="00200B47"/>
    <w:rsid w:val="00201619"/>
    <w:rsid w:val="00201A75"/>
    <w:rsid w:val="00206F02"/>
    <w:rsid w:val="002125B3"/>
    <w:rsid w:val="00213005"/>
    <w:rsid w:val="002162BB"/>
    <w:rsid w:val="002236DC"/>
    <w:rsid w:val="002317D3"/>
    <w:rsid w:val="00234962"/>
    <w:rsid w:val="002378A2"/>
    <w:rsid w:val="00237991"/>
    <w:rsid w:val="00243288"/>
    <w:rsid w:val="00244C2C"/>
    <w:rsid w:val="00245358"/>
    <w:rsid w:val="00247940"/>
    <w:rsid w:val="0025261E"/>
    <w:rsid w:val="0025745A"/>
    <w:rsid w:val="00260634"/>
    <w:rsid w:val="00262F44"/>
    <w:rsid w:val="002630F0"/>
    <w:rsid w:val="00263EE2"/>
    <w:rsid w:val="00267386"/>
    <w:rsid w:val="00271213"/>
    <w:rsid w:val="0027155A"/>
    <w:rsid w:val="0027228A"/>
    <w:rsid w:val="002725C9"/>
    <w:rsid w:val="00277325"/>
    <w:rsid w:val="002777B9"/>
    <w:rsid w:val="00277CDB"/>
    <w:rsid w:val="0028086E"/>
    <w:rsid w:val="00281518"/>
    <w:rsid w:val="0028484B"/>
    <w:rsid w:val="0028595C"/>
    <w:rsid w:val="00290294"/>
    <w:rsid w:val="00294F0C"/>
    <w:rsid w:val="00296F23"/>
    <w:rsid w:val="002A462A"/>
    <w:rsid w:val="002A59B7"/>
    <w:rsid w:val="002A5E86"/>
    <w:rsid w:val="002B0E41"/>
    <w:rsid w:val="002B2653"/>
    <w:rsid w:val="002C1BA6"/>
    <w:rsid w:val="002C486C"/>
    <w:rsid w:val="002C4B30"/>
    <w:rsid w:val="002C6B14"/>
    <w:rsid w:val="002D555F"/>
    <w:rsid w:val="002E19C3"/>
    <w:rsid w:val="002E2F07"/>
    <w:rsid w:val="002E5990"/>
    <w:rsid w:val="002E7073"/>
    <w:rsid w:val="002E759D"/>
    <w:rsid w:val="002F06BD"/>
    <w:rsid w:val="002F3123"/>
    <w:rsid w:val="00301F35"/>
    <w:rsid w:val="0030273F"/>
    <w:rsid w:val="00302AB2"/>
    <w:rsid w:val="00302AC1"/>
    <w:rsid w:val="00306C18"/>
    <w:rsid w:val="003127B8"/>
    <w:rsid w:val="00312F5C"/>
    <w:rsid w:val="00317553"/>
    <w:rsid w:val="00317933"/>
    <w:rsid w:val="003253C3"/>
    <w:rsid w:val="00325ACF"/>
    <w:rsid w:val="00325EE2"/>
    <w:rsid w:val="003277DC"/>
    <w:rsid w:val="00327C41"/>
    <w:rsid w:val="0033107E"/>
    <w:rsid w:val="00331BDB"/>
    <w:rsid w:val="00332E4F"/>
    <w:rsid w:val="0033499D"/>
    <w:rsid w:val="00335746"/>
    <w:rsid w:val="00337DA5"/>
    <w:rsid w:val="003409BA"/>
    <w:rsid w:val="00340EBF"/>
    <w:rsid w:val="0034571A"/>
    <w:rsid w:val="003536FA"/>
    <w:rsid w:val="00356F11"/>
    <w:rsid w:val="00357D54"/>
    <w:rsid w:val="00360165"/>
    <w:rsid w:val="00361E69"/>
    <w:rsid w:val="0036261F"/>
    <w:rsid w:val="00362B06"/>
    <w:rsid w:val="00365BAA"/>
    <w:rsid w:val="00372139"/>
    <w:rsid w:val="00372EAA"/>
    <w:rsid w:val="00374B9D"/>
    <w:rsid w:val="003804CA"/>
    <w:rsid w:val="003814F7"/>
    <w:rsid w:val="0038172C"/>
    <w:rsid w:val="003839CB"/>
    <w:rsid w:val="00383CBD"/>
    <w:rsid w:val="003849EC"/>
    <w:rsid w:val="003920DD"/>
    <w:rsid w:val="00393124"/>
    <w:rsid w:val="003960DF"/>
    <w:rsid w:val="003978A4"/>
    <w:rsid w:val="003A016A"/>
    <w:rsid w:val="003A3F52"/>
    <w:rsid w:val="003A4CFB"/>
    <w:rsid w:val="003A5E2B"/>
    <w:rsid w:val="003A696F"/>
    <w:rsid w:val="003B179E"/>
    <w:rsid w:val="003B3003"/>
    <w:rsid w:val="003B654C"/>
    <w:rsid w:val="003B7BB5"/>
    <w:rsid w:val="003C0A35"/>
    <w:rsid w:val="003C1C61"/>
    <w:rsid w:val="003C2CFD"/>
    <w:rsid w:val="003C568D"/>
    <w:rsid w:val="003D09F0"/>
    <w:rsid w:val="003D2F02"/>
    <w:rsid w:val="003D2FBD"/>
    <w:rsid w:val="003D30E2"/>
    <w:rsid w:val="003E2893"/>
    <w:rsid w:val="003E3719"/>
    <w:rsid w:val="003E4D5B"/>
    <w:rsid w:val="003E5842"/>
    <w:rsid w:val="003E5853"/>
    <w:rsid w:val="003F1E34"/>
    <w:rsid w:val="003F5A7B"/>
    <w:rsid w:val="00404FAD"/>
    <w:rsid w:val="00405727"/>
    <w:rsid w:val="00406700"/>
    <w:rsid w:val="00407CB4"/>
    <w:rsid w:val="004112CE"/>
    <w:rsid w:val="0041144F"/>
    <w:rsid w:val="004114AF"/>
    <w:rsid w:val="004122CC"/>
    <w:rsid w:val="004151BA"/>
    <w:rsid w:val="00417389"/>
    <w:rsid w:val="004215AB"/>
    <w:rsid w:val="00425987"/>
    <w:rsid w:val="004263FB"/>
    <w:rsid w:val="00427FB7"/>
    <w:rsid w:val="00430E36"/>
    <w:rsid w:val="00431031"/>
    <w:rsid w:val="00431297"/>
    <w:rsid w:val="00431852"/>
    <w:rsid w:val="00432643"/>
    <w:rsid w:val="00432D07"/>
    <w:rsid w:val="00442441"/>
    <w:rsid w:val="004450ED"/>
    <w:rsid w:val="00446B1E"/>
    <w:rsid w:val="00447EE6"/>
    <w:rsid w:val="00451521"/>
    <w:rsid w:val="00454B31"/>
    <w:rsid w:val="00457E9D"/>
    <w:rsid w:val="00464EBF"/>
    <w:rsid w:val="004651A8"/>
    <w:rsid w:val="00471735"/>
    <w:rsid w:val="0047234E"/>
    <w:rsid w:val="004752F7"/>
    <w:rsid w:val="00480359"/>
    <w:rsid w:val="004811DA"/>
    <w:rsid w:val="00481467"/>
    <w:rsid w:val="0048225A"/>
    <w:rsid w:val="00482F6F"/>
    <w:rsid w:val="00483325"/>
    <w:rsid w:val="00497326"/>
    <w:rsid w:val="004A6BAD"/>
    <w:rsid w:val="004A7699"/>
    <w:rsid w:val="004A7B8F"/>
    <w:rsid w:val="004B2A94"/>
    <w:rsid w:val="004C0420"/>
    <w:rsid w:val="004C2BA1"/>
    <w:rsid w:val="004C44A7"/>
    <w:rsid w:val="004C5A7A"/>
    <w:rsid w:val="004C66FC"/>
    <w:rsid w:val="004D1048"/>
    <w:rsid w:val="004D3798"/>
    <w:rsid w:val="004D44A3"/>
    <w:rsid w:val="004D6F18"/>
    <w:rsid w:val="004D7585"/>
    <w:rsid w:val="004D7E96"/>
    <w:rsid w:val="004E13A9"/>
    <w:rsid w:val="004E1775"/>
    <w:rsid w:val="004E4965"/>
    <w:rsid w:val="004E68AE"/>
    <w:rsid w:val="004F1575"/>
    <w:rsid w:val="0050457F"/>
    <w:rsid w:val="0050767E"/>
    <w:rsid w:val="00510E3D"/>
    <w:rsid w:val="005115FD"/>
    <w:rsid w:val="00511A04"/>
    <w:rsid w:val="005160D3"/>
    <w:rsid w:val="00516CDD"/>
    <w:rsid w:val="00517013"/>
    <w:rsid w:val="00523909"/>
    <w:rsid w:val="00526059"/>
    <w:rsid w:val="00526C23"/>
    <w:rsid w:val="00527938"/>
    <w:rsid w:val="0053307A"/>
    <w:rsid w:val="00537913"/>
    <w:rsid w:val="00547C02"/>
    <w:rsid w:val="00550387"/>
    <w:rsid w:val="00550A0F"/>
    <w:rsid w:val="00554C0F"/>
    <w:rsid w:val="005565F0"/>
    <w:rsid w:val="00556EC3"/>
    <w:rsid w:val="00557375"/>
    <w:rsid w:val="00560DF7"/>
    <w:rsid w:val="00563867"/>
    <w:rsid w:val="00563B47"/>
    <w:rsid w:val="0056547E"/>
    <w:rsid w:val="00567624"/>
    <w:rsid w:val="00573D39"/>
    <w:rsid w:val="005747EF"/>
    <w:rsid w:val="00577AB7"/>
    <w:rsid w:val="005849ED"/>
    <w:rsid w:val="005870BD"/>
    <w:rsid w:val="005954B3"/>
    <w:rsid w:val="0059626A"/>
    <w:rsid w:val="005A1D0A"/>
    <w:rsid w:val="005A4215"/>
    <w:rsid w:val="005A51CA"/>
    <w:rsid w:val="005B060D"/>
    <w:rsid w:val="005B6F97"/>
    <w:rsid w:val="005B7E6B"/>
    <w:rsid w:val="005C4488"/>
    <w:rsid w:val="005C6449"/>
    <w:rsid w:val="005C7248"/>
    <w:rsid w:val="005D0E3B"/>
    <w:rsid w:val="005E2A02"/>
    <w:rsid w:val="005E3A59"/>
    <w:rsid w:val="005E5310"/>
    <w:rsid w:val="005E73F0"/>
    <w:rsid w:val="005E7CB4"/>
    <w:rsid w:val="005F10DB"/>
    <w:rsid w:val="005F20E0"/>
    <w:rsid w:val="005F2F81"/>
    <w:rsid w:val="005F58DE"/>
    <w:rsid w:val="006044BF"/>
    <w:rsid w:val="006045C9"/>
    <w:rsid w:val="00604973"/>
    <w:rsid w:val="0060505B"/>
    <w:rsid w:val="00605DD7"/>
    <w:rsid w:val="00611EA7"/>
    <w:rsid w:val="006136DC"/>
    <w:rsid w:val="006157D8"/>
    <w:rsid w:val="00621C1F"/>
    <w:rsid w:val="006266C1"/>
    <w:rsid w:val="00633226"/>
    <w:rsid w:val="00634D59"/>
    <w:rsid w:val="00634F8F"/>
    <w:rsid w:val="006353B2"/>
    <w:rsid w:val="006406D7"/>
    <w:rsid w:val="006435E3"/>
    <w:rsid w:val="00652BBA"/>
    <w:rsid w:val="006626BD"/>
    <w:rsid w:val="00663BF3"/>
    <w:rsid w:val="00664216"/>
    <w:rsid w:val="00672129"/>
    <w:rsid w:val="00672B09"/>
    <w:rsid w:val="00674648"/>
    <w:rsid w:val="006754BE"/>
    <w:rsid w:val="00675CE5"/>
    <w:rsid w:val="00681151"/>
    <w:rsid w:val="00681620"/>
    <w:rsid w:val="006838CA"/>
    <w:rsid w:val="00685D62"/>
    <w:rsid w:val="00691274"/>
    <w:rsid w:val="00692A88"/>
    <w:rsid w:val="006948AA"/>
    <w:rsid w:val="00694E82"/>
    <w:rsid w:val="006A17A2"/>
    <w:rsid w:val="006A1C3D"/>
    <w:rsid w:val="006A2850"/>
    <w:rsid w:val="006A7299"/>
    <w:rsid w:val="006A7FA6"/>
    <w:rsid w:val="006B0350"/>
    <w:rsid w:val="006B071D"/>
    <w:rsid w:val="006B1494"/>
    <w:rsid w:val="006B16AB"/>
    <w:rsid w:val="006B1F8B"/>
    <w:rsid w:val="006B364D"/>
    <w:rsid w:val="006C0BCB"/>
    <w:rsid w:val="006C33A7"/>
    <w:rsid w:val="006C461B"/>
    <w:rsid w:val="006C5EEC"/>
    <w:rsid w:val="006C63DF"/>
    <w:rsid w:val="006D17E4"/>
    <w:rsid w:val="006D39ED"/>
    <w:rsid w:val="006E0D1D"/>
    <w:rsid w:val="006E16E1"/>
    <w:rsid w:val="006E3558"/>
    <w:rsid w:val="006E3795"/>
    <w:rsid w:val="006E5B90"/>
    <w:rsid w:val="006E68F5"/>
    <w:rsid w:val="006F05F3"/>
    <w:rsid w:val="006F2587"/>
    <w:rsid w:val="006F2887"/>
    <w:rsid w:val="006F6EE0"/>
    <w:rsid w:val="007048F1"/>
    <w:rsid w:val="00705089"/>
    <w:rsid w:val="00705476"/>
    <w:rsid w:val="007073FE"/>
    <w:rsid w:val="00713C6C"/>
    <w:rsid w:val="00715963"/>
    <w:rsid w:val="007165DC"/>
    <w:rsid w:val="00716F7E"/>
    <w:rsid w:val="00721298"/>
    <w:rsid w:val="00721934"/>
    <w:rsid w:val="007272AA"/>
    <w:rsid w:val="00731174"/>
    <w:rsid w:val="00732087"/>
    <w:rsid w:val="00732B47"/>
    <w:rsid w:val="0073780D"/>
    <w:rsid w:val="0074372C"/>
    <w:rsid w:val="00745D01"/>
    <w:rsid w:val="00747287"/>
    <w:rsid w:val="00760178"/>
    <w:rsid w:val="0076175C"/>
    <w:rsid w:val="00762B6F"/>
    <w:rsid w:val="00762D5E"/>
    <w:rsid w:val="00766D2B"/>
    <w:rsid w:val="0076733E"/>
    <w:rsid w:val="0077083C"/>
    <w:rsid w:val="007708C9"/>
    <w:rsid w:val="00771F8E"/>
    <w:rsid w:val="00774AB1"/>
    <w:rsid w:val="00781386"/>
    <w:rsid w:val="00786872"/>
    <w:rsid w:val="00787D86"/>
    <w:rsid w:val="00793E53"/>
    <w:rsid w:val="00794A97"/>
    <w:rsid w:val="00796547"/>
    <w:rsid w:val="007A2196"/>
    <w:rsid w:val="007A4A26"/>
    <w:rsid w:val="007B00FA"/>
    <w:rsid w:val="007B0B7A"/>
    <w:rsid w:val="007C09BD"/>
    <w:rsid w:val="007C2276"/>
    <w:rsid w:val="007C474F"/>
    <w:rsid w:val="007D2BFF"/>
    <w:rsid w:val="007D3A73"/>
    <w:rsid w:val="007D5DE9"/>
    <w:rsid w:val="007E1997"/>
    <w:rsid w:val="007E7C4C"/>
    <w:rsid w:val="007F0902"/>
    <w:rsid w:val="007F0C46"/>
    <w:rsid w:val="00802EA5"/>
    <w:rsid w:val="008053AE"/>
    <w:rsid w:val="00806F18"/>
    <w:rsid w:val="00810E3C"/>
    <w:rsid w:val="008110B8"/>
    <w:rsid w:val="00811124"/>
    <w:rsid w:val="00814514"/>
    <w:rsid w:val="00816E59"/>
    <w:rsid w:val="00816E90"/>
    <w:rsid w:val="00817E05"/>
    <w:rsid w:val="008205BB"/>
    <w:rsid w:val="00822357"/>
    <w:rsid w:val="008236F6"/>
    <w:rsid w:val="00825251"/>
    <w:rsid w:val="00827892"/>
    <w:rsid w:val="00834C10"/>
    <w:rsid w:val="00840D6A"/>
    <w:rsid w:val="00843FA4"/>
    <w:rsid w:val="00845D20"/>
    <w:rsid w:val="008469FC"/>
    <w:rsid w:val="00846F08"/>
    <w:rsid w:val="0085053E"/>
    <w:rsid w:val="008513EB"/>
    <w:rsid w:val="0085225A"/>
    <w:rsid w:val="008539B3"/>
    <w:rsid w:val="00853F28"/>
    <w:rsid w:val="00855884"/>
    <w:rsid w:val="00856DA1"/>
    <w:rsid w:val="00860E9A"/>
    <w:rsid w:val="008626BC"/>
    <w:rsid w:val="00863615"/>
    <w:rsid w:val="00872133"/>
    <w:rsid w:val="0087358E"/>
    <w:rsid w:val="00882184"/>
    <w:rsid w:val="0088318E"/>
    <w:rsid w:val="008859CF"/>
    <w:rsid w:val="00887BE8"/>
    <w:rsid w:val="00890D24"/>
    <w:rsid w:val="0089154D"/>
    <w:rsid w:val="008A03E0"/>
    <w:rsid w:val="008A159A"/>
    <w:rsid w:val="008A2BDD"/>
    <w:rsid w:val="008A429D"/>
    <w:rsid w:val="008B0D32"/>
    <w:rsid w:val="008B35ED"/>
    <w:rsid w:val="008B39E6"/>
    <w:rsid w:val="008B485F"/>
    <w:rsid w:val="008B65AB"/>
    <w:rsid w:val="008B670A"/>
    <w:rsid w:val="008C082A"/>
    <w:rsid w:val="008C2EA7"/>
    <w:rsid w:val="008C389E"/>
    <w:rsid w:val="008D100A"/>
    <w:rsid w:val="008D219D"/>
    <w:rsid w:val="008D283B"/>
    <w:rsid w:val="008D698E"/>
    <w:rsid w:val="008D6F6A"/>
    <w:rsid w:val="008D7E76"/>
    <w:rsid w:val="008E0D16"/>
    <w:rsid w:val="008E57A8"/>
    <w:rsid w:val="008E5A57"/>
    <w:rsid w:val="008F0317"/>
    <w:rsid w:val="008F59C7"/>
    <w:rsid w:val="008F625A"/>
    <w:rsid w:val="008F6666"/>
    <w:rsid w:val="009010B7"/>
    <w:rsid w:val="0090149A"/>
    <w:rsid w:val="00905011"/>
    <w:rsid w:val="00907AEC"/>
    <w:rsid w:val="009102D4"/>
    <w:rsid w:val="00912452"/>
    <w:rsid w:val="00914CB7"/>
    <w:rsid w:val="009163D6"/>
    <w:rsid w:val="009175CF"/>
    <w:rsid w:val="00917E0B"/>
    <w:rsid w:val="00922FD7"/>
    <w:rsid w:val="00927B77"/>
    <w:rsid w:val="009304DF"/>
    <w:rsid w:val="00930FEE"/>
    <w:rsid w:val="0093115D"/>
    <w:rsid w:val="00936EE4"/>
    <w:rsid w:val="009410A2"/>
    <w:rsid w:val="00941635"/>
    <w:rsid w:val="00946FAB"/>
    <w:rsid w:val="00955A6E"/>
    <w:rsid w:val="00956A9D"/>
    <w:rsid w:val="00961DB4"/>
    <w:rsid w:val="00961F6D"/>
    <w:rsid w:val="009623C8"/>
    <w:rsid w:val="009649AD"/>
    <w:rsid w:val="00964BAF"/>
    <w:rsid w:val="009656F3"/>
    <w:rsid w:val="0096655D"/>
    <w:rsid w:val="00970FEB"/>
    <w:rsid w:val="00971677"/>
    <w:rsid w:val="00972CAE"/>
    <w:rsid w:val="009746A2"/>
    <w:rsid w:val="00974BB0"/>
    <w:rsid w:val="0097686F"/>
    <w:rsid w:val="00980241"/>
    <w:rsid w:val="00987937"/>
    <w:rsid w:val="009921BE"/>
    <w:rsid w:val="00992890"/>
    <w:rsid w:val="00992963"/>
    <w:rsid w:val="009A0D85"/>
    <w:rsid w:val="009A10D3"/>
    <w:rsid w:val="009A2AE8"/>
    <w:rsid w:val="009A3294"/>
    <w:rsid w:val="009A44AB"/>
    <w:rsid w:val="009A4AD5"/>
    <w:rsid w:val="009B1548"/>
    <w:rsid w:val="009B7448"/>
    <w:rsid w:val="009B7E0F"/>
    <w:rsid w:val="009C08FD"/>
    <w:rsid w:val="009C0EAF"/>
    <w:rsid w:val="009D0952"/>
    <w:rsid w:val="009D15AC"/>
    <w:rsid w:val="009D17E4"/>
    <w:rsid w:val="009D3086"/>
    <w:rsid w:val="009D320B"/>
    <w:rsid w:val="009D4F47"/>
    <w:rsid w:val="009D65BF"/>
    <w:rsid w:val="009D6B8E"/>
    <w:rsid w:val="009D72C9"/>
    <w:rsid w:val="009F16D0"/>
    <w:rsid w:val="009F2152"/>
    <w:rsid w:val="009F3DE9"/>
    <w:rsid w:val="009F484B"/>
    <w:rsid w:val="00A01FF9"/>
    <w:rsid w:val="00A13339"/>
    <w:rsid w:val="00A13DFF"/>
    <w:rsid w:val="00A20F41"/>
    <w:rsid w:val="00A25109"/>
    <w:rsid w:val="00A27B25"/>
    <w:rsid w:val="00A337D9"/>
    <w:rsid w:val="00A34866"/>
    <w:rsid w:val="00A35BA9"/>
    <w:rsid w:val="00A36756"/>
    <w:rsid w:val="00A40000"/>
    <w:rsid w:val="00A40F42"/>
    <w:rsid w:val="00A43132"/>
    <w:rsid w:val="00A43200"/>
    <w:rsid w:val="00A46EDB"/>
    <w:rsid w:val="00A52547"/>
    <w:rsid w:val="00A57E7E"/>
    <w:rsid w:val="00A633EF"/>
    <w:rsid w:val="00A656FE"/>
    <w:rsid w:val="00A6775B"/>
    <w:rsid w:val="00A7011B"/>
    <w:rsid w:val="00A72196"/>
    <w:rsid w:val="00A73724"/>
    <w:rsid w:val="00A75223"/>
    <w:rsid w:val="00A7612C"/>
    <w:rsid w:val="00A76D0A"/>
    <w:rsid w:val="00A8037E"/>
    <w:rsid w:val="00A81879"/>
    <w:rsid w:val="00A872CB"/>
    <w:rsid w:val="00A90399"/>
    <w:rsid w:val="00A945E0"/>
    <w:rsid w:val="00A947A2"/>
    <w:rsid w:val="00AA29ED"/>
    <w:rsid w:val="00AA67CB"/>
    <w:rsid w:val="00AA69AB"/>
    <w:rsid w:val="00AB23FC"/>
    <w:rsid w:val="00AB4818"/>
    <w:rsid w:val="00AC7686"/>
    <w:rsid w:val="00AD2307"/>
    <w:rsid w:val="00AE2CD3"/>
    <w:rsid w:val="00AE31DC"/>
    <w:rsid w:val="00AE3B16"/>
    <w:rsid w:val="00AE3CB0"/>
    <w:rsid w:val="00AE4652"/>
    <w:rsid w:val="00AE6726"/>
    <w:rsid w:val="00AF0FCC"/>
    <w:rsid w:val="00AF1ED1"/>
    <w:rsid w:val="00AF4622"/>
    <w:rsid w:val="00AF5141"/>
    <w:rsid w:val="00AF670B"/>
    <w:rsid w:val="00AF766E"/>
    <w:rsid w:val="00B00CC5"/>
    <w:rsid w:val="00B0179B"/>
    <w:rsid w:val="00B03F81"/>
    <w:rsid w:val="00B03FF0"/>
    <w:rsid w:val="00B068BE"/>
    <w:rsid w:val="00B072E3"/>
    <w:rsid w:val="00B13D45"/>
    <w:rsid w:val="00B2030C"/>
    <w:rsid w:val="00B20CDC"/>
    <w:rsid w:val="00B243B9"/>
    <w:rsid w:val="00B261BD"/>
    <w:rsid w:val="00B31D0C"/>
    <w:rsid w:val="00B41076"/>
    <w:rsid w:val="00B4218A"/>
    <w:rsid w:val="00B45E33"/>
    <w:rsid w:val="00B505B9"/>
    <w:rsid w:val="00B508EA"/>
    <w:rsid w:val="00B51ECD"/>
    <w:rsid w:val="00B5241A"/>
    <w:rsid w:val="00B54F4B"/>
    <w:rsid w:val="00B60875"/>
    <w:rsid w:val="00B63D76"/>
    <w:rsid w:val="00B72DFC"/>
    <w:rsid w:val="00B73984"/>
    <w:rsid w:val="00B76444"/>
    <w:rsid w:val="00B80FE8"/>
    <w:rsid w:val="00B820E4"/>
    <w:rsid w:val="00B921DB"/>
    <w:rsid w:val="00B96B54"/>
    <w:rsid w:val="00BA4143"/>
    <w:rsid w:val="00BA5BF0"/>
    <w:rsid w:val="00BA797E"/>
    <w:rsid w:val="00BB075D"/>
    <w:rsid w:val="00BB43BE"/>
    <w:rsid w:val="00BB451C"/>
    <w:rsid w:val="00BB54AE"/>
    <w:rsid w:val="00BB7527"/>
    <w:rsid w:val="00BB7B8D"/>
    <w:rsid w:val="00BC117E"/>
    <w:rsid w:val="00BC2DF3"/>
    <w:rsid w:val="00BC6B67"/>
    <w:rsid w:val="00BD0DF5"/>
    <w:rsid w:val="00BE33BA"/>
    <w:rsid w:val="00BE476D"/>
    <w:rsid w:val="00BE546F"/>
    <w:rsid w:val="00BE59BA"/>
    <w:rsid w:val="00BE6EBC"/>
    <w:rsid w:val="00BF1709"/>
    <w:rsid w:val="00BF5ED8"/>
    <w:rsid w:val="00BF75EA"/>
    <w:rsid w:val="00C002E0"/>
    <w:rsid w:val="00C00ABC"/>
    <w:rsid w:val="00C02F37"/>
    <w:rsid w:val="00C035B8"/>
    <w:rsid w:val="00C03B6C"/>
    <w:rsid w:val="00C06EDF"/>
    <w:rsid w:val="00C1069F"/>
    <w:rsid w:val="00C124BE"/>
    <w:rsid w:val="00C1339A"/>
    <w:rsid w:val="00C134D8"/>
    <w:rsid w:val="00C135B6"/>
    <w:rsid w:val="00C14BC6"/>
    <w:rsid w:val="00C20955"/>
    <w:rsid w:val="00C213A1"/>
    <w:rsid w:val="00C21F5C"/>
    <w:rsid w:val="00C23446"/>
    <w:rsid w:val="00C32DA1"/>
    <w:rsid w:val="00C33397"/>
    <w:rsid w:val="00C3637A"/>
    <w:rsid w:val="00C403E8"/>
    <w:rsid w:val="00C40EDE"/>
    <w:rsid w:val="00C42FA8"/>
    <w:rsid w:val="00C448C5"/>
    <w:rsid w:val="00C5023B"/>
    <w:rsid w:val="00C60316"/>
    <w:rsid w:val="00C6146B"/>
    <w:rsid w:val="00C61AD0"/>
    <w:rsid w:val="00C62588"/>
    <w:rsid w:val="00C62B42"/>
    <w:rsid w:val="00C631F0"/>
    <w:rsid w:val="00C6486B"/>
    <w:rsid w:val="00C65A5D"/>
    <w:rsid w:val="00C67F67"/>
    <w:rsid w:val="00C72247"/>
    <w:rsid w:val="00C73011"/>
    <w:rsid w:val="00C739FF"/>
    <w:rsid w:val="00C752AE"/>
    <w:rsid w:val="00C76E1D"/>
    <w:rsid w:val="00C80896"/>
    <w:rsid w:val="00C82883"/>
    <w:rsid w:val="00C8340A"/>
    <w:rsid w:val="00C8397B"/>
    <w:rsid w:val="00C8434F"/>
    <w:rsid w:val="00C917B9"/>
    <w:rsid w:val="00C91B81"/>
    <w:rsid w:val="00C94CB8"/>
    <w:rsid w:val="00C970FF"/>
    <w:rsid w:val="00C979F2"/>
    <w:rsid w:val="00CA0168"/>
    <w:rsid w:val="00CA19B8"/>
    <w:rsid w:val="00CA19F2"/>
    <w:rsid w:val="00CA5804"/>
    <w:rsid w:val="00CB421C"/>
    <w:rsid w:val="00CB5765"/>
    <w:rsid w:val="00CC0204"/>
    <w:rsid w:val="00CC3D60"/>
    <w:rsid w:val="00CC5654"/>
    <w:rsid w:val="00CC5F9E"/>
    <w:rsid w:val="00CD06F0"/>
    <w:rsid w:val="00CD413B"/>
    <w:rsid w:val="00CD434B"/>
    <w:rsid w:val="00CD740E"/>
    <w:rsid w:val="00CE33A8"/>
    <w:rsid w:val="00CE6150"/>
    <w:rsid w:val="00CE732C"/>
    <w:rsid w:val="00CF32A5"/>
    <w:rsid w:val="00D01B15"/>
    <w:rsid w:val="00D04600"/>
    <w:rsid w:val="00D07097"/>
    <w:rsid w:val="00D073FB"/>
    <w:rsid w:val="00D11B18"/>
    <w:rsid w:val="00D13A43"/>
    <w:rsid w:val="00D14D4D"/>
    <w:rsid w:val="00D14EB2"/>
    <w:rsid w:val="00D14F11"/>
    <w:rsid w:val="00D266C7"/>
    <w:rsid w:val="00D26A39"/>
    <w:rsid w:val="00D27121"/>
    <w:rsid w:val="00D27AD5"/>
    <w:rsid w:val="00D4591B"/>
    <w:rsid w:val="00D45ABF"/>
    <w:rsid w:val="00D47B8E"/>
    <w:rsid w:val="00D55305"/>
    <w:rsid w:val="00D5765A"/>
    <w:rsid w:val="00D62630"/>
    <w:rsid w:val="00D635F4"/>
    <w:rsid w:val="00D636CB"/>
    <w:rsid w:val="00D63B2B"/>
    <w:rsid w:val="00D649EA"/>
    <w:rsid w:val="00D66D23"/>
    <w:rsid w:val="00D70E6C"/>
    <w:rsid w:val="00D74F3E"/>
    <w:rsid w:val="00D82722"/>
    <w:rsid w:val="00D82C95"/>
    <w:rsid w:val="00D842F1"/>
    <w:rsid w:val="00D86166"/>
    <w:rsid w:val="00D92083"/>
    <w:rsid w:val="00D9209F"/>
    <w:rsid w:val="00D9773F"/>
    <w:rsid w:val="00DA1269"/>
    <w:rsid w:val="00DA5219"/>
    <w:rsid w:val="00DA701D"/>
    <w:rsid w:val="00DB0865"/>
    <w:rsid w:val="00DC0017"/>
    <w:rsid w:val="00DC2C20"/>
    <w:rsid w:val="00DC41D1"/>
    <w:rsid w:val="00DC758D"/>
    <w:rsid w:val="00DD0742"/>
    <w:rsid w:val="00DD271D"/>
    <w:rsid w:val="00DD3E3B"/>
    <w:rsid w:val="00DD57A4"/>
    <w:rsid w:val="00DE03FA"/>
    <w:rsid w:val="00DE34EF"/>
    <w:rsid w:val="00DE727A"/>
    <w:rsid w:val="00E00559"/>
    <w:rsid w:val="00E044C5"/>
    <w:rsid w:val="00E0605D"/>
    <w:rsid w:val="00E11010"/>
    <w:rsid w:val="00E11254"/>
    <w:rsid w:val="00E13054"/>
    <w:rsid w:val="00E17A86"/>
    <w:rsid w:val="00E22092"/>
    <w:rsid w:val="00E23405"/>
    <w:rsid w:val="00E260FB"/>
    <w:rsid w:val="00E35708"/>
    <w:rsid w:val="00E4468F"/>
    <w:rsid w:val="00E45279"/>
    <w:rsid w:val="00E45925"/>
    <w:rsid w:val="00E46EBB"/>
    <w:rsid w:val="00E52067"/>
    <w:rsid w:val="00E5208C"/>
    <w:rsid w:val="00E524F0"/>
    <w:rsid w:val="00E562F1"/>
    <w:rsid w:val="00E615EF"/>
    <w:rsid w:val="00E67073"/>
    <w:rsid w:val="00E67C5E"/>
    <w:rsid w:val="00E72B5C"/>
    <w:rsid w:val="00E75DB0"/>
    <w:rsid w:val="00E81FBD"/>
    <w:rsid w:val="00E82C81"/>
    <w:rsid w:val="00E84A51"/>
    <w:rsid w:val="00E8606C"/>
    <w:rsid w:val="00E87AD4"/>
    <w:rsid w:val="00E90D0C"/>
    <w:rsid w:val="00E96254"/>
    <w:rsid w:val="00EA236A"/>
    <w:rsid w:val="00EA44BB"/>
    <w:rsid w:val="00EC1558"/>
    <w:rsid w:val="00EC43C1"/>
    <w:rsid w:val="00EC4F44"/>
    <w:rsid w:val="00ED0B3F"/>
    <w:rsid w:val="00ED2616"/>
    <w:rsid w:val="00ED2B81"/>
    <w:rsid w:val="00ED4FD2"/>
    <w:rsid w:val="00EE491E"/>
    <w:rsid w:val="00EF053C"/>
    <w:rsid w:val="00EF056C"/>
    <w:rsid w:val="00EF4B48"/>
    <w:rsid w:val="00F00279"/>
    <w:rsid w:val="00F01221"/>
    <w:rsid w:val="00F0279C"/>
    <w:rsid w:val="00F03D96"/>
    <w:rsid w:val="00F05B72"/>
    <w:rsid w:val="00F05F1C"/>
    <w:rsid w:val="00F13F1B"/>
    <w:rsid w:val="00F213B5"/>
    <w:rsid w:val="00F227DF"/>
    <w:rsid w:val="00F32F29"/>
    <w:rsid w:val="00F33B60"/>
    <w:rsid w:val="00F41634"/>
    <w:rsid w:val="00F45A81"/>
    <w:rsid w:val="00F479D7"/>
    <w:rsid w:val="00F51040"/>
    <w:rsid w:val="00F56117"/>
    <w:rsid w:val="00F5649F"/>
    <w:rsid w:val="00F56C48"/>
    <w:rsid w:val="00F57FEE"/>
    <w:rsid w:val="00F602EB"/>
    <w:rsid w:val="00F63D28"/>
    <w:rsid w:val="00F70BB2"/>
    <w:rsid w:val="00F712F8"/>
    <w:rsid w:val="00F71EEB"/>
    <w:rsid w:val="00F7500C"/>
    <w:rsid w:val="00F808AF"/>
    <w:rsid w:val="00F8256C"/>
    <w:rsid w:val="00F82627"/>
    <w:rsid w:val="00F848F9"/>
    <w:rsid w:val="00F85849"/>
    <w:rsid w:val="00F86E71"/>
    <w:rsid w:val="00F90CCE"/>
    <w:rsid w:val="00F90CDE"/>
    <w:rsid w:val="00F9294D"/>
    <w:rsid w:val="00F95165"/>
    <w:rsid w:val="00F956E9"/>
    <w:rsid w:val="00F95DFA"/>
    <w:rsid w:val="00F97EA4"/>
    <w:rsid w:val="00FA10F1"/>
    <w:rsid w:val="00FA694A"/>
    <w:rsid w:val="00FB0FDD"/>
    <w:rsid w:val="00FB48B5"/>
    <w:rsid w:val="00FC152E"/>
    <w:rsid w:val="00FC35E2"/>
    <w:rsid w:val="00FE10E4"/>
    <w:rsid w:val="00FE149C"/>
    <w:rsid w:val="00FE1C38"/>
    <w:rsid w:val="00FE4B57"/>
    <w:rsid w:val="00FF048D"/>
    <w:rsid w:val="00FF2438"/>
    <w:rsid w:val="00FF4600"/>
    <w:rsid w:val="00FF5BBE"/>
    <w:rsid w:val="00FF7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4">
    <w:name w:val="heading 4"/>
    <w:basedOn w:val="Normal"/>
    <w:next w:val="Normal"/>
    <w:link w:val="Heading4Char"/>
    <w:uiPriority w:val="9"/>
    <w:semiHidden/>
    <w:unhideWhenUsed/>
    <w:qFormat/>
    <w:rsid w:val="000A6FC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A656FE"/>
    <w:rPr>
      <w:sz w:val="16"/>
      <w:szCs w:val="16"/>
    </w:rPr>
  </w:style>
  <w:style w:type="paragraph" w:styleId="CommentText">
    <w:name w:val="annotation text"/>
    <w:basedOn w:val="Normal"/>
    <w:link w:val="CommentTextChar"/>
    <w:uiPriority w:val="99"/>
    <w:unhideWhenUsed/>
    <w:rsid w:val="00A656FE"/>
    <w:rPr>
      <w:sz w:val="20"/>
      <w:szCs w:val="20"/>
    </w:rPr>
  </w:style>
  <w:style w:type="character" w:customStyle="1" w:styleId="CommentTextChar">
    <w:name w:val="Comment Text Char"/>
    <w:basedOn w:val="DefaultParagraphFont"/>
    <w:link w:val="CommentText"/>
    <w:uiPriority w:val="99"/>
    <w:rsid w:val="00A656F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A656FE"/>
    <w:rPr>
      <w:b/>
      <w:bCs/>
    </w:rPr>
  </w:style>
  <w:style w:type="character" w:customStyle="1" w:styleId="CommentSubjectChar">
    <w:name w:val="Comment Subject Char"/>
    <w:basedOn w:val="CommentTextChar"/>
    <w:link w:val="CommentSubject"/>
    <w:uiPriority w:val="99"/>
    <w:semiHidden/>
    <w:rsid w:val="00A656FE"/>
    <w:rPr>
      <w:rFonts w:eastAsia="Times New Roman" w:cs="Times New Roman"/>
      <w:b/>
      <w:bCs/>
      <w:sz w:val="20"/>
      <w:szCs w:val="20"/>
      <w:lang w:val="lv-LV" w:eastAsia="ru-RU"/>
    </w:rPr>
  </w:style>
  <w:style w:type="paragraph" w:customStyle="1" w:styleId="tv213">
    <w:name w:val="tv213"/>
    <w:basedOn w:val="Normal"/>
    <w:rsid w:val="00992963"/>
    <w:pPr>
      <w:spacing w:before="100" w:beforeAutospacing="1" w:after="100" w:afterAutospacing="1"/>
    </w:pPr>
    <w:rPr>
      <w:lang w:eastAsia="lv-LV"/>
    </w:rPr>
  </w:style>
  <w:style w:type="character" w:styleId="Hyperlink">
    <w:name w:val="Hyperlink"/>
    <w:basedOn w:val="DefaultParagraphFont"/>
    <w:uiPriority w:val="99"/>
    <w:unhideWhenUsed/>
    <w:rsid w:val="00E75DB0"/>
    <w:rPr>
      <w:color w:val="0563C1" w:themeColor="hyperlink"/>
      <w:u w:val="single"/>
    </w:rPr>
  </w:style>
  <w:style w:type="character" w:styleId="UnresolvedMention">
    <w:name w:val="Unresolved Mention"/>
    <w:basedOn w:val="DefaultParagraphFont"/>
    <w:uiPriority w:val="99"/>
    <w:semiHidden/>
    <w:unhideWhenUsed/>
    <w:rsid w:val="00E75DB0"/>
    <w:rPr>
      <w:color w:val="605E5C"/>
      <w:shd w:val="clear" w:color="auto" w:fill="E1DFDD"/>
    </w:rPr>
  </w:style>
  <w:style w:type="paragraph" w:styleId="NoSpacing">
    <w:name w:val="No Spacing"/>
    <w:uiPriority w:val="1"/>
    <w:qFormat/>
    <w:rsid w:val="00E75DB0"/>
    <w:pPr>
      <w:spacing w:after="0" w:line="240" w:lineRule="auto"/>
    </w:pPr>
    <w:rPr>
      <w:lang w:val="lv-LV"/>
    </w:rPr>
  </w:style>
  <w:style w:type="character" w:styleId="FootnoteReference">
    <w:name w:val="footnote reference"/>
    <w:aliases w:val="Footnote Reference Number,Footnote symbol"/>
    <w:basedOn w:val="DefaultParagraphFont"/>
    <w:uiPriority w:val="99"/>
    <w:semiHidden/>
    <w:unhideWhenUsed/>
    <w:rsid w:val="005A4215"/>
    <w:rPr>
      <w:rFonts w:ascii="Times New Roman" w:hAnsi="Times New Roman" w:cs="Times New Roman" w:hint="default"/>
      <w:vertAlign w:val="superscript"/>
    </w:rPr>
  </w:style>
  <w:style w:type="paragraph" w:styleId="Header">
    <w:name w:val="header"/>
    <w:basedOn w:val="Normal"/>
    <w:link w:val="HeaderChar"/>
    <w:uiPriority w:val="99"/>
    <w:unhideWhenUsed/>
    <w:rsid w:val="00806F18"/>
    <w:pPr>
      <w:tabs>
        <w:tab w:val="center" w:pos="4153"/>
        <w:tab w:val="right" w:pos="8306"/>
      </w:tabs>
    </w:pPr>
  </w:style>
  <w:style w:type="character" w:customStyle="1" w:styleId="HeaderChar">
    <w:name w:val="Header Char"/>
    <w:basedOn w:val="DefaultParagraphFont"/>
    <w:link w:val="Header"/>
    <w:uiPriority w:val="99"/>
    <w:rsid w:val="00806F18"/>
    <w:rPr>
      <w:rFonts w:eastAsia="Times New Roman" w:cs="Times New Roman"/>
      <w:szCs w:val="24"/>
      <w:lang w:val="lv-LV" w:eastAsia="ru-RU"/>
    </w:rPr>
  </w:style>
  <w:style w:type="paragraph" w:styleId="Footer">
    <w:name w:val="footer"/>
    <w:basedOn w:val="Normal"/>
    <w:link w:val="FooterChar"/>
    <w:uiPriority w:val="99"/>
    <w:unhideWhenUsed/>
    <w:rsid w:val="00806F18"/>
    <w:pPr>
      <w:tabs>
        <w:tab w:val="center" w:pos="4153"/>
        <w:tab w:val="right" w:pos="8306"/>
      </w:tabs>
    </w:pPr>
  </w:style>
  <w:style w:type="character" w:customStyle="1" w:styleId="FooterChar">
    <w:name w:val="Footer Char"/>
    <w:basedOn w:val="DefaultParagraphFont"/>
    <w:link w:val="Footer"/>
    <w:uiPriority w:val="99"/>
    <w:rsid w:val="00806F18"/>
    <w:rPr>
      <w:rFonts w:eastAsia="Times New Roman" w:cs="Times New Roman"/>
      <w:szCs w:val="24"/>
      <w:lang w:val="lv-LV" w:eastAsia="ru-RU"/>
    </w:rPr>
  </w:style>
  <w:style w:type="paragraph" w:styleId="Revision">
    <w:name w:val="Revision"/>
    <w:hidden/>
    <w:uiPriority w:val="99"/>
    <w:semiHidden/>
    <w:rsid w:val="002E19C3"/>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B76444"/>
    <w:rPr>
      <w:color w:val="954F72" w:themeColor="followedHyperlink"/>
      <w:u w:val="single"/>
    </w:rPr>
  </w:style>
  <w:style w:type="character" w:customStyle="1" w:styleId="Heading4Char">
    <w:name w:val="Heading 4 Char"/>
    <w:basedOn w:val="DefaultParagraphFont"/>
    <w:link w:val="Heading4"/>
    <w:uiPriority w:val="9"/>
    <w:semiHidden/>
    <w:rsid w:val="000A6FC4"/>
    <w:rPr>
      <w:rFonts w:asciiTheme="majorHAnsi" w:eastAsiaTheme="majorEastAsia" w:hAnsiTheme="majorHAnsi" w:cstheme="majorBidi"/>
      <w:i/>
      <w:iCs/>
      <w:color w:val="2E74B5" w:themeColor="accent1" w:themeShade="BF"/>
      <w:szCs w:val="24"/>
      <w:lang w:val="lv-LV" w:eastAsia="ru-RU"/>
    </w:rPr>
  </w:style>
  <w:style w:type="paragraph" w:styleId="FootnoteText">
    <w:name w:val="footnote text"/>
    <w:basedOn w:val="Normal"/>
    <w:link w:val="FootnoteTextChar"/>
    <w:uiPriority w:val="99"/>
    <w:semiHidden/>
    <w:unhideWhenUsed/>
    <w:rsid w:val="00A13339"/>
    <w:rPr>
      <w:sz w:val="20"/>
      <w:szCs w:val="20"/>
    </w:rPr>
  </w:style>
  <w:style w:type="character" w:customStyle="1" w:styleId="FootnoteTextChar">
    <w:name w:val="Footnote Text Char"/>
    <w:basedOn w:val="DefaultParagraphFont"/>
    <w:link w:val="FootnoteText"/>
    <w:uiPriority w:val="99"/>
    <w:semiHidden/>
    <w:rsid w:val="00A13339"/>
    <w:rPr>
      <w:rFonts w:eastAsia="Times New Roman" w:cs="Times New Roman"/>
      <w:sz w:val="20"/>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3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t.gov.lv/downloadlawfile/697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atv.tiesa.gov.lv/wp-content/uploads/2015/08/2015-19-01_Spriedums.pdf" TargetMode="External"/><Relationship Id="rId4" Type="http://schemas.openxmlformats.org/officeDocument/2006/relationships/webSettings" Target="webSettings.xml"/><Relationship Id="rId9" Type="http://schemas.openxmlformats.org/officeDocument/2006/relationships/hyperlink" Target="https://www.satv.tiesa.gov.lv/wp-content/uploads/2016/02/2012-13-01_Spriedu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13118</Words>
  <Characters>7478</Characters>
  <Application>Microsoft Office Word</Application>
  <DocSecurity>0</DocSecurity>
  <Lines>62</Lines>
  <Paragraphs>41</Paragraphs>
  <ScaleCrop>false</ScaleCrop>
  <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2026-05-14T08:28:00Z</dcterms:created>
  <dcterms:modified xsi:type="dcterms:W3CDTF">2026-05-14T08:29:00Z</dcterms:modified>
</cp:coreProperties>
</file>