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3A91" w14:textId="77777777" w:rsidR="00E57113" w:rsidRDefault="00E57113" w:rsidP="00E57113">
      <w:pPr>
        <w:spacing w:line="276" w:lineRule="auto"/>
        <w:rPr>
          <w:b/>
          <w:bCs/>
          <w:lang w:eastAsia="lv-LV"/>
          <w14:ligatures w14:val="standardContextual"/>
        </w:rPr>
      </w:pPr>
      <w:r>
        <w:rPr>
          <w:b/>
          <w:bCs/>
          <w14:ligatures w14:val="standardContextual"/>
        </w:rPr>
        <w:t>Tiesas, kas lietu izskata pēc būtības, pienākums ļaut procesa dalībniekiem iesniegt papildu pierādījumus par iestādes lēmumā minēto pamatojumu</w:t>
      </w:r>
    </w:p>
    <w:p w14:paraId="3587B0DB" w14:textId="77777777" w:rsidR="00E57113" w:rsidRDefault="00E57113" w:rsidP="00E57113">
      <w:pPr>
        <w:spacing w:line="276" w:lineRule="auto"/>
        <w:jc w:val="both"/>
        <w:rPr>
          <w14:ligatures w14:val="standardContextual"/>
        </w:rPr>
      </w:pPr>
      <w:r>
        <w:rPr>
          <w14:ligatures w14:val="standardContextual"/>
        </w:rPr>
        <w:t>Tiesa, kurai jānovērtē pierādījumi pēc savas iekšējās pārliecības (Administratīvā procesa likuma 154.panta pirmā daļa), var un tai ir jāļauj procesa dalībniekiem iesniegt papildu pierādījumus par iestādes lēmumā minēto pamatojumu. Pat ja pārsūdzētajā lēmumā nav atspoguļoti visi pierādījumi iestādes lēmuma pamatojumam vai tie izvēlēti neveiksmīgi, vispārīgi gan iestāde, gan privātpersona tiesā var iesniegt papildu pierādījumus. Pilnīga (galīga) lietas faktu noskaidrošana notiek tiesā un tiesvedības gaitā var tik noskaidroti fakti, kas nav minēti administratīvā akta izdošanas brīdī, kā arī pierādīti fakti, par kuriem, iespējams, nebija pietiekamu pierādījumu administratīvā akta izdošanas brīdī.</w:t>
      </w:r>
    </w:p>
    <w:p w14:paraId="45B6D36D" w14:textId="77777777" w:rsidR="00E57113" w:rsidRDefault="00E57113" w:rsidP="00E57113">
      <w:pPr>
        <w:spacing w:line="276" w:lineRule="auto"/>
        <w:jc w:val="both"/>
        <w:rPr>
          <w:b/>
          <w:bCs/>
          <w:color w:val="0070C0"/>
          <w14:ligatures w14:val="standardContextual"/>
        </w:rPr>
      </w:pPr>
    </w:p>
    <w:p w14:paraId="11D9D82A" w14:textId="77777777" w:rsidR="00E57113" w:rsidRDefault="00E57113" w:rsidP="00E57113">
      <w:pPr>
        <w:spacing w:line="276" w:lineRule="auto"/>
        <w:jc w:val="both"/>
        <w:rPr>
          <w:b/>
          <w:bCs/>
          <w:color w:val="0070C0"/>
          <w14:ligatures w14:val="standardContextual"/>
        </w:rPr>
      </w:pPr>
      <w:r>
        <w:rPr>
          <w:b/>
          <w:bCs/>
          <w14:ligatures w14:val="standardContextual"/>
        </w:rPr>
        <w:t>Pamatojuma principa pārkāpuma pamatotības pārbaudē vērā ņemamie apstākļi</w:t>
      </w:r>
    </w:p>
    <w:p w14:paraId="6D467562" w14:textId="77777777" w:rsidR="00E57113" w:rsidRDefault="00E57113" w:rsidP="00E57113">
      <w:pPr>
        <w:spacing w:line="276" w:lineRule="auto"/>
        <w:jc w:val="both"/>
        <w:rPr>
          <w14:ligatures w14:val="standardContextual"/>
        </w:rPr>
      </w:pPr>
      <w:r>
        <w:rPr>
          <w14:ligatures w14:val="standardContextual"/>
        </w:rPr>
        <w:t>Tiesai, ja procesa dalībnieks ceļ argumentu par pamatojuma principa pārkāpumu, šāda argumenta pamatotība, nošķirti no jautājuma par faktu pierādīšanu, ir jāpārbauda, analizējot, vai iestāde lēmuma pieņemšanā nav rīkojusies patvaļīgi, proti, vai lēmumam vispār ir pamatojums un vai tā pamatā ir objektīvs, kaut arī iespējams nepilnīgi pierādīts, situācijas novērtējums vai, gluži pretēji, amatpersonas subjektīvs viedoklis, kas turklāt var arī balstīties uz nepieļaujamiem motīviem, kā arī, ja pastāv kādi pamatošanai būtiski noteikumi vai regulējuma īpatnības, vai šīs īpatnības ir ievērotas.</w:t>
      </w:r>
    </w:p>
    <w:p w14:paraId="2A9B578A" w14:textId="77777777" w:rsidR="00E57113" w:rsidRDefault="00E57113" w:rsidP="00E57113">
      <w:pPr>
        <w:spacing w:line="276" w:lineRule="auto"/>
        <w:jc w:val="both"/>
        <w:rPr>
          <w14:ligatures w14:val="standardContextual"/>
        </w:rPr>
      </w:pPr>
    </w:p>
    <w:p w14:paraId="7DEF398F" w14:textId="77777777" w:rsidR="00E57113" w:rsidRDefault="00E57113" w:rsidP="00E57113">
      <w:pPr>
        <w:spacing w:line="276" w:lineRule="auto"/>
        <w:jc w:val="both"/>
        <w:rPr>
          <w:b/>
          <w:bCs/>
          <w:lang w:eastAsia="lv-LV"/>
          <w14:ligatures w14:val="standardContextual"/>
        </w:rPr>
      </w:pPr>
      <w:r>
        <w:rPr>
          <w:b/>
          <w:bCs/>
          <w14:ligatures w14:val="standardContextual"/>
        </w:rPr>
        <w:t xml:space="preserve">Maksājumam par zaudējumu atlīdzināšanu par dabas daudzveidības samazināšanu nav sodoša rakstura </w:t>
      </w:r>
    </w:p>
    <w:p w14:paraId="5D800EC5" w14:textId="77777777" w:rsidR="00E57113" w:rsidRDefault="00E57113" w:rsidP="00E57113">
      <w:pPr>
        <w:spacing w:line="276" w:lineRule="auto"/>
        <w:jc w:val="both"/>
        <w:rPr>
          <w14:ligatures w14:val="standardContextual"/>
        </w:rPr>
      </w:pPr>
      <w:r>
        <w:rPr>
          <w14:ligatures w14:val="standardContextual"/>
        </w:rPr>
        <w:t>Maksājumam, kas veikts sakarā ar Ministru kabineta 2012.gada 2.maija noteikumu Nr. 309 „Noteikumi par koku ciršanu ārpus meža” 23. un 24.punktā minēto lēmumu, ir kompensējošs, nevis sodošs raksturs.</w:t>
      </w:r>
    </w:p>
    <w:p w14:paraId="14C38418" w14:textId="77777777" w:rsidR="00E57113" w:rsidRDefault="00E57113" w:rsidP="00E57113">
      <w:pPr>
        <w:spacing w:line="276" w:lineRule="auto"/>
        <w:jc w:val="both"/>
        <w:rPr>
          <w14:ligatures w14:val="standardContextual"/>
        </w:rPr>
      </w:pPr>
      <w:r>
        <w:rPr>
          <w14:ligatures w14:val="standardContextual"/>
        </w:rPr>
        <w:t>Regulējuma mērķis ir salāgot divas leģitīmas intereses – tiesības izmantot savu īpašumu, kurās ietilpst arī tiesības lemt par koku nociršanu, ar dabas resursu saprātīgu un ilgtspējīgu izmantošanu. Turklāt to, ka institūta raksturs nav sodošs, apliecina tas, ka zaudējuma atlīdzība ir nosacījums arī pašvaldības atļautai koku nociršanai.</w:t>
      </w:r>
    </w:p>
    <w:p w14:paraId="2BAF4F1B" w14:textId="77777777" w:rsidR="00E57113" w:rsidRDefault="00E57113" w:rsidP="00E57113">
      <w:pPr>
        <w:spacing w:line="276" w:lineRule="auto"/>
        <w:jc w:val="both"/>
        <w:rPr>
          <w14:ligatures w14:val="standardContextual"/>
        </w:rPr>
      </w:pPr>
      <w:r>
        <w:rPr>
          <w14:ligatures w14:val="standardContextual"/>
        </w:rPr>
        <w:t xml:space="preserve">Samaksājot zaudējumu atlīdzību par dabas daudzveidībai nodarīto zaudējumu, ir iespējams apmierināt abas intereses – ļaut īpašniekam iekārtot savu īpašumu atbilstoši tā redzējumam, atbrīvojot īpašumu no konkrētiem īpašniekam nevēlamiem kokiem, un vienlaikus izlīdzināt šo koku zaudējuma radīto trūkumu dabas daudzveidībai. </w:t>
      </w:r>
    </w:p>
    <w:p w14:paraId="269A6323" w14:textId="23BC927F" w:rsidR="00E57113" w:rsidRDefault="00E57113" w:rsidP="00E57113">
      <w:pPr>
        <w:spacing w:line="276" w:lineRule="auto"/>
        <w:jc w:val="both"/>
        <w:rPr>
          <w14:ligatures w14:val="standardContextual"/>
        </w:rPr>
      </w:pPr>
      <w:r>
        <w:rPr>
          <w14:ligatures w14:val="standardContextual"/>
        </w:rPr>
        <w:t>To, ka šim regulējumam nav preventīvā vai sodošā rakstura, apliecina arī minēto noteikumu 3.pielikumā norādītais, ka arī pēc patvaļīgas koka ciršanas persona var pamatot to, kāpēc koks ir nocirsts, tāpat kā tas būtu, ja persona vēlētos saņemt atļauju koka nociršanai. Augstākais koeficients piemērojams tikai tad, ja nav iespējams noteikt koka nociršanas iemeslu. Proti, regulējums vienādi attiecas kā pret saskaņoti, tā pret patvaļīgi nocirstiem kokiem.</w:t>
      </w:r>
    </w:p>
    <w:p w14:paraId="1C049D7C" w14:textId="77777777" w:rsidR="00E57113" w:rsidRDefault="00E57113" w:rsidP="00E57113">
      <w:pPr>
        <w:spacing w:line="276" w:lineRule="auto"/>
        <w:jc w:val="both"/>
        <w:rPr>
          <w14:ligatures w14:val="standardContextual"/>
        </w:rPr>
      </w:pPr>
    </w:p>
    <w:p w14:paraId="77016E26" w14:textId="77777777" w:rsidR="00E57113" w:rsidRDefault="00E57113" w:rsidP="00E57113">
      <w:pPr>
        <w:spacing w:line="276" w:lineRule="auto"/>
        <w:jc w:val="both"/>
        <w:rPr>
          <w:b/>
          <w:bCs/>
          <w:lang w:eastAsia="lv-LV"/>
          <w14:ligatures w14:val="standardContextual"/>
        </w:rPr>
      </w:pPr>
      <w:r>
        <w:rPr>
          <w:b/>
          <w:bCs/>
          <w14:ligatures w14:val="standardContextual"/>
        </w:rPr>
        <w:t xml:space="preserve">Lietas dalībnieka pienākums norādīt tiesai uz liecinieka neuzticamību </w:t>
      </w:r>
    </w:p>
    <w:p w14:paraId="37D06263" w14:textId="46FFD323" w:rsidR="00884F1C" w:rsidRPr="00E57113" w:rsidRDefault="00E57113" w:rsidP="00E57113">
      <w:pPr>
        <w:spacing w:line="276" w:lineRule="auto"/>
        <w:jc w:val="both"/>
        <w:rPr>
          <w14:ligatures w14:val="standardContextual"/>
        </w:rPr>
      </w:pPr>
      <w:r>
        <w:rPr>
          <w14:ligatures w14:val="standardContextual"/>
        </w:rPr>
        <w:t xml:space="preserve">Personas ieinteresētība no liecību ticamības viedokļa tiesai ir jāņem vērā, taču konkrēti izvērsti un detalizēti motivēti argumenti par iemesliem, kas liecinieku padara par neuzticamu, ir jāceļ lietas dalībniekam, nevis jāatstāj tiesas ziņā. Proti, tas ir paša lietas dalībnieka ziņā izvērsti argumentēt un vērst tiesas uzmanību uz objektīviem apstākļiem, kas liecina, kāpēc konkrētais liecinieks ir neuzticams. Vispārīgi tas vien, ka liecinieks </w:t>
      </w:r>
      <w:r>
        <w:rPr>
          <w14:ligatures w14:val="standardContextual"/>
        </w:rPr>
        <w:lastRenderedPageBreak/>
        <w:t xml:space="preserve">strādā konkrētā iestādē un liecina par sevi vai savu darbu, nevar </w:t>
      </w:r>
      <w:r>
        <w:rPr>
          <w:i/>
          <w:iCs/>
          <w14:ligatures w14:val="standardContextual"/>
        </w:rPr>
        <w:t xml:space="preserve">per se </w:t>
      </w:r>
      <w:r>
        <w:rPr>
          <w14:ligatures w14:val="standardContextual"/>
        </w:rPr>
        <w:t xml:space="preserve">padarīt liecinieku par neuzticamu. </w:t>
      </w:r>
    </w:p>
    <w:p w14:paraId="505B380C" w14:textId="6A7CB55D" w:rsidR="00884F1C" w:rsidRPr="00E57113" w:rsidRDefault="00884F1C" w:rsidP="00E57113">
      <w:pPr>
        <w:spacing w:line="276" w:lineRule="auto"/>
        <w:jc w:val="center"/>
        <w:rPr>
          <w:b/>
        </w:rPr>
      </w:pPr>
      <w:bookmarkStart w:id="0" w:name="_Hlk210126909"/>
      <w:r w:rsidRPr="00E57113">
        <w:rPr>
          <w:b/>
        </w:rPr>
        <w:t>Latvijas Republikas Senāt</w:t>
      </w:r>
      <w:r w:rsidR="00E57113" w:rsidRPr="00E57113">
        <w:rPr>
          <w:b/>
        </w:rPr>
        <w:t>a</w:t>
      </w:r>
      <w:r w:rsidR="00E57113" w:rsidRPr="00E57113">
        <w:rPr>
          <w:b/>
        </w:rPr>
        <w:br/>
        <w:t>Administratīvo lietu departamenta</w:t>
      </w:r>
      <w:r w:rsidR="00E57113" w:rsidRPr="00E57113">
        <w:rPr>
          <w:b/>
        </w:rPr>
        <w:br/>
        <w:t>2026.gada 17.aprīļa</w:t>
      </w:r>
    </w:p>
    <w:p w14:paraId="5681F428" w14:textId="77777777" w:rsidR="00884F1C" w:rsidRPr="00E57113" w:rsidRDefault="00884F1C" w:rsidP="00E57113">
      <w:pPr>
        <w:spacing w:line="276" w:lineRule="auto"/>
        <w:jc w:val="center"/>
        <w:rPr>
          <w:b/>
        </w:rPr>
      </w:pPr>
      <w:r w:rsidRPr="00E57113">
        <w:rPr>
          <w:b/>
        </w:rPr>
        <w:t>SPRIEDUMS</w:t>
      </w:r>
    </w:p>
    <w:p w14:paraId="69F75BBB" w14:textId="2F373C25" w:rsidR="00E57113" w:rsidRPr="00E57113" w:rsidRDefault="00E57113" w:rsidP="00E57113">
      <w:pPr>
        <w:spacing w:line="276" w:lineRule="auto"/>
        <w:jc w:val="center"/>
        <w:rPr>
          <w:b/>
          <w:bCs/>
        </w:rPr>
      </w:pPr>
      <w:r w:rsidRPr="00E57113">
        <w:rPr>
          <w:b/>
          <w:bCs/>
        </w:rPr>
        <w:t>Lieta Nr. A420288222</w:t>
      </w:r>
      <w:r w:rsidRPr="00E57113">
        <w:rPr>
          <w:b/>
          <w:bCs/>
          <w:lang w:eastAsia="lv-LV"/>
        </w:rPr>
        <w:t xml:space="preserve">, </w:t>
      </w:r>
      <w:r w:rsidRPr="00E57113">
        <w:rPr>
          <w:b/>
          <w:bCs/>
        </w:rPr>
        <w:t>SKA-97/2026</w:t>
      </w:r>
    </w:p>
    <w:p w14:paraId="52808D87" w14:textId="35CD3B87" w:rsidR="00884F1C" w:rsidRPr="00E57113" w:rsidRDefault="00E57113" w:rsidP="00E57113">
      <w:pPr>
        <w:spacing w:line="276" w:lineRule="auto"/>
        <w:jc w:val="center"/>
      </w:pPr>
      <w:r w:rsidRPr="00E57113">
        <w:t xml:space="preserve"> </w:t>
      </w:r>
      <w:hyperlink r:id="rId8" w:history="1">
        <w:r w:rsidRPr="00E57113">
          <w:rPr>
            <w:rStyle w:val="Hyperlink"/>
          </w:rPr>
          <w:t>ECLI:LV:AT:2026:0417.A420288222.13.S</w:t>
        </w:r>
      </w:hyperlink>
    </w:p>
    <w:p w14:paraId="28C25C92" w14:textId="77777777" w:rsidR="00884F1C" w:rsidRDefault="00884F1C" w:rsidP="00E57113">
      <w:pPr>
        <w:spacing w:line="276" w:lineRule="auto"/>
        <w:ind w:firstLine="567"/>
        <w:jc w:val="both"/>
      </w:pPr>
    </w:p>
    <w:p w14:paraId="43660F6D" w14:textId="77777777" w:rsidR="00884F1C" w:rsidRPr="00FF1528" w:rsidRDefault="00884F1C" w:rsidP="00E57113">
      <w:pPr>
        <w:pStyle w:val="Style1"/>
      </w:pPr>
      <w:r w:rsidRPr="00FF1528">
        <w:t>Senāts šādā sastāvā: senator</w:t>
      </w:r>
      <w:r w:rsidR="007C595C">
        <w:t>e</w:t>
      </w:r>
      <w:r w:rsidRPr="00FF1528">
        <w:t xml:space="preserve"> referent</w:t>
      </w:r>
      <w:r w:rsidR="007C595C">
        <w:t>e</w:t>
      </w:r>
      <w:r w:rsidRPr="00FF1528">
        <w:t xml:space="preserve"> </w:t>
      </w:r>
      <w:r w:rsidR="00DC296F">
        <w:t>Vēsma Kakste</w:t>
      </w:r>
      <w:r w:rsidR="007C595C">
        <w:t>,</w:t>
      </w:r>
      <w:r w:rsidR="00DC296F" w:rsidRPr="00FF1528">
        <w:t xml:space="preserve"> </w:t>
      </w:r>
      <w:r w:rsidR="007C595C" w:rsidRPr="00FF1528">
        <w:t>senator</w:t>
      </w:r>
      <w:r w:rsidR="00361145">
        <w:t>e</w:t>
      </w:r>
      <w:r w:rsidR="00210F39">
        <w:t>s</w:t>
      </w:r>
      <w:r w:rsidR="007C595C" w:rsidRPr="00FF1528">
        <w:t xml:space="preserve"> </w:t>
      </w:r>
      <w:r w:rsidR="00361145">
        <w:t>Dzintra Amerika</w:t>
      </w:r>
      <w:r w:rsidR="00372B11">
        <w:t xml:space="preserve"> un</w:t>
      </w:r>
      <w:r w:rsidR="00361145">
        <w:t xml:space="preserve"> Indra Meldere </w:t>
      </w:r>
    </w:p>
    <w:p w14:paraId="3D6A9FE4" w14:textId="50335396" w:rsidR="00884F1C" w:rsidRPr="0055273F" w:rsidRDefault="00884F1C" w:rsidP="00E57113">
      <w:pPr>
        <w:spacing w:line="276" w:lineRule="auto"/>
        <w:ind w:firstLine="567"/>
        <w:jc w:val="both"/>
      </w:pPr>
    </w:p>
    <w:p w14:paraId="3E84B8C2" w14:textId="4694BC82" w:rsidR="00884F1C" w:rsidRDefault="009151FC" w:rsidP="00E57113">
      <w:pPr>
        <w:pStyle w:val="Style1"/>
      </w:pPr>
      <w:bookmarkStart w:id="1" w:name="_Hlk92890879"/>
      <w:r w:rsidRPr="00891001">
        <w:t>rakstveida procesā izskatīja administratīvo lietu</w:t>
      </w:r>
      <w:r w:rsidR="001A6DBC">
        <w:t>, kas ierosināta, pamatojoties uz</w:t>
      </w:r>
      <w:r w:rsidR="005323FA">
        <w:t xml:space="preserve"> </w:t>
      </w:r>
      <w:r w:rsidR="00361145" w:rsidRPr="00E4766C">
        <w:t>SIA</w:t>
      </w:r>
      <w:r w:rsidR="00FA74C4">
        <w:t> </w:t>
      </w:r>
      <w:r w:rsidR="00361145">
        <w:t>„</w:t>
      </w:r>
      <w:r w:rsidR="00361145" w:rsidRPr="00E4766C">
        <w:t>Kurzemes zemes fonds</w:t>
      </w:r>
      <w:r w:rsidR="00361145">
        <w:t xml:space="preserve">” </w:t>
      </w:r>
      <w:r w:rsidRPr="009D646D">
        <w:t>pieteikum</w:t>
      </w:r>
      <w:r w:rsidR="007C595C" w:rsidRPr="009D646D">
        <w:t>u</w:t>
      </w:r>
      <w:r w:rsidR="000C1D71">
        <w:t xml:space="preserve"> par </w:t>
      </w:r>
      <w:r w:rsidR="00BD38FC" w:rsidRPr="00BD38FC">
        <w:t>Liepājas valstspilsētas pašvaldības domes 2022.gada 13.oktobra lēmuma Nr.</w:t>
      </w:r>
      <w:r w:rsidR="00FA74C4">
        <w:t> </w:t>
      </w:r>
      <w:r w:rsidR="00BD38FC" w:rsidRPr="00BD38FC">
        <w:t>355 atcelšanu daļā</w:t>
      </w:r>
      <w:r w:rsidRPr="00891001">
        <w:t xml:space="preserve">, </w:t>
      </w:r>
      <w:r w:rsidR="00361145">
        <w:t xml:space="preserve">sakarā </w:t>
      </w:r>
      <w:r w:rsidR="00361145" w:rsidRPr="005A6A66">
        <w:t xml:space="preserve">ar </w:t>
      </w:r>
      <w:r w:rsidR="00361145" w:rsidRPr="00E4766C">
        <w:t>SIA</w:t>
      </w:r>
      <w:r w:rsidR="00FA74C4">
        <w:t> </w:t>
      </w:r>
      <w:r w:rsidR="00361145">
        <w:t>„</w:t>
      </w:r>
      <w:r w:rsidR="00361145" w:rsidRPr="00E4766C">
        <w:t>Kurzemes zemes fonds</w:t>
      </w:r>
      <w:r w:rsidR="00361145">
        <w:t xml:space="preserve">” </w:t>
      </w:r>
      <w:r w:rsidR="00361145" w:rsidRPr="00657C3D">
        <w:rPr>
          <w:color w:val="000000"/>
        </w:rPr>
        <w:t xml:space="preserve">kasācijas sūdzību par </w:t>
      </w:r>
      <w:bookmarkStart w:id="2" w:name="_Hlk202949163"/>
      <w:r w:rsidR="00361145" w:rsidRPr="00657C3D">
        <w:rPr>
          <w:color w:val="000000"/>
        </w:rPr>
        <w:t xml:space="preserve">Administratīvās </w:t>
      </w:r>
      <w:r w:rsidR="00361145">
        <w:rPr>
          <w:color w:val="000000"/>
        </w:rPr>
        <w:t xml:space="preserve">apgabaltiesas </w:t>
      </w:r>
      <w:r w:rsidR="00361145" w:rsidRPr="00657C3D">
        <w:rPr>
          <w:color w:val="000000"/>
        </w:rPr>
        <w:t>202</w:t>
      </w:r>
      <w:r w:rsidR="00361145">
        <w:rPr>
          <w:color w:val="000000"/>
        </w:rPr>
        <w:t>4</w:t>
      </w:r>
      <w:r w:rsidR="00361145" w:rsidRPr="00657C3D">
        <w:rPr>
          <w:color w:val="000000"/>
        </w:rPr>
        <w:t xml:space="preserve">.gada </w:t>
      </w:r>
      <w:r w:rsidR="00361145">
        <w:rPr>
          <w:color w:val="000000"/>
        </w:rPr>
        <w:t>15</w:t>
      </w:r>
      <w:r w:rsidR="00361145" w:rsidRPr="00657C3D">
        <w:rPr>
          <w:color w:val="000000"/>
        </w:rPr>
        <w:t>.</w:t>
      </w:r>
      <w:r w:rsidR="00361145">
        <w:rPr>
          <w:color w:val="000000"/>
        </w:rPr>
        <w:t>jūlija spriedumu</w:t>
      </w:r>
      <w:bookmarkEnd w:id="2"/>
      <w:r w:rsidR="00884F1C">
        <w:t>.</w:t>
      </w:r>
    </w:p>
    <w:p w14:paraId="04B0B688" w14:textId="77777777" w:rsidR="00EB5A01" w:rsidRDefault="00EB5A01" w:rsidP="00E57113">
      <w:pPr>
        <w:pStyle w:val="Style1"/>
      </w:pPr>
    </w:p>
    <w:bookmarkEnd w:id="1"/>
    <w:p w14:paraId="0A5740E6" w14:textId="77777777" w:rsidR="00884F1C" w:rsidRPr="0082381C" w:rsidRDefault="00884F1C" w:rsidP="00E57113">
      <w:pPr>
        <w:pStyle w:val="ATpamattesksts"/>
        <w:ind w:firstLine="0"/>
        <w:jc w:val="center"/>
      </w:pPr>
      <w:r w:rsidRPr="0043387D">
        <w:rPr>
          <w:b/>
        </w:rPr>
        <w:t>Aprakstošā</w:t>
      </w:r>
      <w:r w:rsidRPr="0082381C">
        <w:t xml:space="preserve"> </w:t>
      </w:r>
      <w:r w:rsidRPr="0077509E">
        <w:rPr>
          <w:b/>
        </w:rPr>
        <w:t>daļa</w:t>
      </w:r>
    </w:p>
    <w:p w14:paraId="50616197" w14:textId="77777777" w:rsidR="00884F1C" w:rsidRPr="0082381C" w:rsidRDefault="00884F1C" w:rsidP="00E57113">
      <w:pPr>
        <w:spacing w:line="276" w:lineRule="auto"/>
        <w:ind w:firstLine="567"/>
        <w:jc w:val="both"/>
      </w:pPr>
    </w:p>
    <w:p w14:paraId="42E9B3E0" w14:textId="2A6F8F26" w:rsidR="00241F99" w:rsidRPr="00032491" w:rsidRDefault="00884F1C" w:rsidP="00E57113">
      <w:pPr>
        <w:pStyle w:val="Style1"/>
      </w:pPr>
      <w:r w:rsidRPr="0082381C">
        <w:t>[1]</w:t>
      </w:r>
      <w:r w:rsidR="00A92DFD">
        <w:t> </w:t>
      </w:r>
      <w:r w:rsidR="00241F99" w:rsidRPr="00241F99">
        <w:t>Liepājas valstspilsētas pašvaldības Apstādījumu uzraudzības komisija (turpmāk –</w:t>
      </w:r>
      <w:r w:rsidR="00241F99">
        <w:t xml:space="preserve"> </w:t>
      </w:r>
      <w:r w:rsidR="00241F99" w:rsidRPr="00241F99">
        <w:t>komisija) ar 2022.gada 7.jūnija lēmumu „Par koku nozāģēšanu Slimnīcas ielā</w:t>
      </w:r>
      <w:r w:rsidR="007811DC">
        <w:t> </w:t>
      </w:r>
      <w:r w:rsidR="00241F99" w:rsidRPr="00241F99">
        <w:t>42, Liepājā”</w:t>
      </w:r>
      <w:r w:rsidR="00241F99">
        <w:t xml:space="preserve"> </w:t>
      </w:r>
      <w:r w:rsidR="00241F99" w:rsidRPr="00241F99">
        <w:t>(sēdes protokols Nr.</w:t>
      </w:r>
      <w:r w:rsidR="00FA74C4">
        <w:t> </w:t>
      </w:r>
      <w:r w:rsidR="00241F99" w:rsidRPr="00241F99">
        <w:t>13, 5.</w:t>
      </w:r>
      <w:r w:rsidR="00FA74C4">
        <w:t> </w:t>
      </w:r>
      <w:r w:rsidR="00964DA7" w:rsidRPr="00241F99">
        <w:t>§</w:t>
      </w:r>
      <w:r w:rsidR="00241F99" w:rsidRPr="00241F99">
        <w:t>) (turpmāk – sākotnējais lēmums), pamatojoties uz Ministru kabineta</w:t>
      </w:r>
      <w:r w:rsidR="00241F99">
        <w:t xml:space="preserve"> </w:t>
      </w:r>
      <w:r w:rsidR="00241F99" w:rsidRPr="00241F99">
        <w:t>2012.gada 2.maija noteikumiem Nr.</w:t>
      </w:r>
      <w:r w:rsidR="00FA74C4">
        <w:t> </w:t>
      </w:r>
      <w:r w:rsidR="00241F99" w:rsidRPr="00241F99">
        <w:t xml:space="preserve">309 „Noteikumi par koku ciršanu ārpus meža” (turpmāk </w:t>
      </w:r>
      <w:r w:rsidR="00241F99" w:rsidRPr="00032491">
        <w:t>– noteikumi Nr.</w:t>
      </w:r>
      <w:r w:rsidR="007811DC" w:rsidRPr="00032491">
        <w:t> </w:t>
      </w:r>
      <w:r w:rsidR="00241F99" w:rsidRPr="00032491">
        <w:t>309) un piemērojot korekcijas tabulu koka diametra noteikšanai atbilstoši celma diametram, uzlika pieteicējai SIA</w:t>
      </w:r>
      <w:r w:rsidR="00FA74C4" w:rsidRPr="00032491">
        <w:t> </w:t>
      </w:r>
      <w:r w:rsidR="00241F99" w:rsidRPr="00032491">
        <w:t>„Kurzemes zemes fonds” pienākumu atlīdzināt zaudējumus 17</w:t>
      </w:r>
      <w:r w:rsidR="00FA74C4" w:rsidRPr="00032491">
        <w:t> </w:t>
      </w:r>
      <w:r w:rsidR="00241F99" w:rsidRPr="00032491">
        <w:t>042,39</w:t>
      </w:r>
      <w:r w:rsidR="00FA74C4" w:rsidRPr="00032491">
        <w:t> </w:t>
      </w:r>
      <w:r w:rsidR="00241F99" w:rsidRPr="00032491">
        <w:rPr>
          <w:i/>
          <w:iCs/>
        </w:rPr>
        <w:t xml:space="preserve">euro </w:t>
      </w:r>
      <w:r w:rsidR="00241F99" w:rsidRPr="00032491">
        <w:t xml:space="preserve">par patvaļīgi nocirstiem kokiem – </w:t>
      </w:r>
      <w:r w:rsidR="007811DC" w:rsidRPr="00032491">
        <w:t>trīs</w:t>
      </w:r>
      <w:r w:rsidR="00241F99" w:rsidRPr="00032491">
        <w:t xml:space="preserve"> kļavām, </w:t>
      </w:r>
      <w:r w:rsidR="007811DC" w:rsidRPr="00032491">
        <w:t>divām</w:t>
      </w:r>
      <w:r w:rsidR="00241F99" w:rsidRPr="00032491">
        <w:t xml:space="preserve"> eglēm, </w:t>
      </w:r>
      <w:r w:rsidR="007811DC" w:rsidRPr="00032491">
        <w:t>vienu</w:t>
      </w:r>
      <w:r w:rsidR="00241F99" w:rsidRPr="00032491">
        <w:t xml:space="preserve"> osi, </w:t>
      </w:r>
      <w:r w:rsidR="007811DC" w:rsidRPr="00032491">
        <w:t>trīs</w:t>
      </w:r>
      <w:r w:rsidR="00241F99" w:rsidRPr="00032491">
        <w:t xml:space="preserve"> ievām, </w:t>
      </w:r>
      <w:r w:rsidR="007811DC" w:rsidRPr="00032491">
        <w:t>trīs</w:t>
      </w:r>
      <w:r w:rsidR="00241F99" w:rsidRPr="00032491">
        <w:t xml:space="preserve"> smiltsērkšķiem, </w:t>
      </w:r>
      <w:r w:rsidR="007811DC" w:rsidRPr="00032491">
        <w:t>diviem</w:t>
      </w:r>
      <w:r w:rsidR="00241F99" w:rsidRPr="00032491">
        <w:t xml:space="preserve"> ozoliem, </w:t>
      </w:r>
      <w:r w:rsidR="007811DC" w:rsidRPr="00032491">
        <w:t>vienu</w:t>
      </w:r>
      <w:r w:rsidR="00241F99" w:rsidRPr="00032491">
        <w:t xml:space="preserve"> tūju, 64</w:t>
      </w:r>
      <w:r w:rsidR="00210F39" w:rsidRPr="00032491">
        <w:t> </w:t>
      </w:r>
      <w:r w:rsidR="00241F99" w:rsidRPr="00032491">
        <w:t>vītoliem, 46</w:t>
      </w:r>
      <w:r w:rsidR="00210F39" w:rsidRPr="00032491">
        <w:t> </w:t>
      </w:r>
      <w:r w:rsidR="00241F99" w:rsidRPr="00032491">
        <w:t>bērziem, 56</w:t>
      </w:r>
      <w:r w:rsidR="00210F39" w:rsidRPr="00032491">
        <w:t> </w:t>
      </w:r>
      <w:r w:rsidR="00241F99" w:rsidRPr="00032491">
        <w:t>blīgznām, 78</w:t>
      </w:r>
      <w:r w:rsidR="00210F39" w:rsidRPr="00032491">
        <w:t> </w:t>
      </w:r>
      <w:r w:rsidR="00241F99" w:rsidRPr="00032491">
        <w:t>baltalkšņiem, 59</w:t>
      </w:r>
      <w:r w:rsidR="00210F39" w:rsidRPr="00032491">
        <w:t> </w:t>
      </w:r>
      <w:r w:rsidR="00241F99" w:rsidRPr="00032491">
        <w:t>melnalkšņiem un 26</w:t>
      </w:r>
      <w:r w:rsidR="00210F39" w:rsidRPr="00032491">
        <w:t> </w:t>
      </w:r>
      <w:r w:rsidR="00241F99" w:rsidRPr="00032491">
        <w:t>apsēm –, kas auga nekustamajā īpašumā Slimnīcas ielā</w:t>
      </w:r>
      <w:r w:rsidR="007811DC" w:rsidRPr="00032491">
        <w:t> </w:t>
      </w:r>
      <w:r w:rsidR="00241F99" w:rsidRPr="00032491">
        <w:t>42, Liepājā, jo to celmu caurmērs pārsniedza 20</w:t>
      </w:r>
      <w:r w:rsidR="00210F39" w:rsidRPr="00032491">
        <w:t> </w:t>
      </w:r>
      <w:r w:rsidR="00241F99" w:rsidRPr="00032491">
        <w:t xml:space="preserve">centimetrus, līdz kuriem kokus var cirst bez pašvaldības atļaujas. </w:t>
      </w:r>
    </w:p>
    <w:p w14:paraId="1AA65FEF" w14:textId="3AAC2048" w:rsidR="008B530F" w:rsidRPr="00BE7B0D" w:rsidRDefault="00241F99" w:rsidP="00E57113">
      <w:pPr>
        <w:pStyle w:val="Style1"/>
        <w:rPr>
          <w:color w:val="000000"/>
        </w:rPr>
      </w:pPr>
      <w:r w:rsidRPr="00032491">
        <w:t>Nepiekrītot sākotnējam lēmumam, pieteicēja to apstrīdēja. Liepājas valstspilsētas pašvaldības dome ar 2022.gada 13.oktobra lēmumu Nr.</w:t>
      </w:r>
      <w:r w:rsidR="00964DA7" w:rsidRPr="00032491">
        <w:t> </w:t>
      </w:r>
      <w:r w:rsidRPr="00032491">
        <w:t>355/14 (protokols Nr.</w:t>
      </w:r>
      <w:r w:rsidR="00FA74C4" w:rsidRPr="00032491">
        <w:t> </w:t>
      </w:r>
      <w:r w:rsidRPr="00032491">
        <w:t>14 6.</w:t>
      </w:r>
      <w:r w:rsidR="00FA74C4" w:rsidRPr="00032491">
        <w:t> </w:t>
      </w:r>
      <w:r w:rsidRPr="00032491">
        <w:t>§) (turpmāk</w:t>
      </w:r>
      <w:r w:rsidR="007811DC" w:rsidRPr="00032491">
        <w:t xml:space="preserve"> </w:t>
      </w:r>
      <w:r w:rsidRPr="00032491">
        <w:t>–</w:t>
      </w:r>
      <w:r w:rsidR="007811DC" w:rsidRPr="00032491">
        <w:t xml:space="preserve"> </w:t>
      </w:r>
      <w:r w:rsidRPr="00032491">
        <w:t>lēmums) grozīja sākotnējo lēmumu, nosakot zaudējumu atlīdzību 25</w:t>
      </w:r>
      <w:r w:rsidR="00FA74C4" w:rsidRPr="00032491">
        <w:t> </w:t>
      </w:r>
      <w:r w:rsidRPr="00032491">
        <w:t>563,88</w:t>
      </w:r>
      <w:r w:rsidR="00964DA7" w:rsidRPr="00032491">
        <w:t> </w:t>
      </w:r>
      <w:r w:rsidRPr="00032491">
        <w:rPr>
          <w:i/>
          <w:iCs/>
        </w:rPr>
        <w:t>euro</w:t>
      </w:r>
      <w:r w:rsidRPr="00032491">
        <w:t>, jo komisija apstākļos, kad nav zināms koku nociršanas iemesls, nepamatoti piemēroja noteikumu Nr.</w:t>
      </w:r>
      <w:r w:rsidR="00FA74C4" w:rsidRPr="00032491">
        <w:t> </w:t>
      </w:r>
      <w:r w:rsidRPr="00032491">
        <w:t>309</w:t>
      </w:r>
      <w:r w:rsidRPr="00241F99">
        <w:t xml:space="preserve"> 3.pielikumā paredzēto koku nociršanas iemesla</w:t>
      </w:r>
      <w:r>
        <w:t xml:space="preserve"> </w:t>
      </w:r>
      <w:r w:rsidRPr="00241F99">
        <w:t xml:space="preserve">koeficientu </w:t>
      </w:r>
      <w:r w:rsidRPr="00BE7B0D">
        <w:rPr>
          <w:color w:val="000000"/>
        </w:rPr>
        <w:t>1 „cits iemesls” koeficienta 1,5 vietā, kas ir piemērojams, ja pēc patvaļīgas koku ciršanas nav iespējams noteikt koka nociršanas iemeslu.</w:t>
      </w:r>
    </w:p>
    <w:p w14:paraId="7BBB1934" w14:textId="77777777" w:rsidR="00241F99" w:rsidRDefault="00241F99" w:rsidP="00E57113">
      <w:pPr>
        <w:pStyle w:val="Style1"/>
      </w:pPr>
    </w:p>
    <w:p w14:paraId="7740FD45" w14:textId="117B64C8" w:rsidR="00827097" w:rsidRDefault="008B530F" w:rsidP="00E57113">
      <w:pPr>
        <w:pStyle w:val="Style1"/>
      </w:pPr>
      <w:r>
        <w:t>[2]</w:t>
      </w:r>
      <w:r w:rsidR="00FC5C1D">
        <w:t> </w:t>
      </w:r>
      <w:r w:rsidR="00C12A32">
        <w:t xml:space="preserve">Pieteicēja nepiekrita lēmumam un </w:t>
      </w:r>
      <w:r w:rsidR="00E66690">
        <w:t xml:space="preserve">iesniedza pieteikumu administratīvajā tiesā. </w:t>
      </w:r>
    </w:p>
    <w:p w14:paraId="19B21631" w14:textId="77777777" w:rsidR="00B41CF0" w:rsidRDefault="00B41CF0" w:rsidP="00E57113">
      <w:pPr>
        <w:pStyle w:val="Style1"/>
      </w:pPr>
    </w:p>
    <w:p w14:paraId="13414870" w14:textId="77777777" w:rsidR="00241F99" w:rsidRPr="00241F99" w:rsidRDefault="006A6264" w:rsidP="00E57113">
      <w:pPr>
        <w:pStyle w:val="Style1"/>
      </w:pPr>
      <w:r>
        <w:t>[</w:t>
      </w:r>
      <w:r w:rsidR="008B530F">
        <w:t>3</w:t>
      </w:r>
      <w:r>
        <w:t>]</w:t>
      </w:r>
      <w:r w:rsidR="00A92DFD">
        <w:t> </w:t>
      </w:r>
      <w:r w:rsidR="00241F99" w:rsidRPr="00241F99">
        <w:t>Administratīvā rajona tiesa ar 2023.gada 28.jūlija spriedumu daļēji apmierināja</w:t>
      </w:r>
      <w:r w:rsidR="00916DCE">
        <w:t xml:space="preserve"> </w:t>
      </w:r>
      <w:r w:rsidR="00241F99" w:rsidRPr="00241F99">
        <w:t>pieteikumu un atcēla pārsūdzēto lēmumu daļā, izslēdzot no zaudējumu aprēķina kokus, kuru</w:t>
      </w:r>
      <w:r w:rsidR="00241F99">
        <w:t xml:space="preserve"> </w:t>
      </w:r>
      <w:r w:rsidR="00241F99" w:rsidRPr="00241F99">
        <w:t>celmu diametrs noteikts 20</w:t>
      </w:r>
      <w:r w:rsidR="00505915">
        <w:t> </w:t>
      </w:r>
      <w:r w:rsidR="00241F99" w:rsidRPr="00241F99">
        <w:t>centimetri, un daļā, ar kuru pārsniegta aprēķinātā zaudējumu atlīdzība</w:t>
      </w:r>
      <w:r w:rsidR="00241F99">
        <w:t xml:space="preserve"> </w:t>
      </w:r>
      <w:r w:rsidR="00241F99" w:rsidRPr="00241F99">
        <w:t>par patvaļīgi nocirstajiem kokiem, piemērojot koku nociršanas iemesla koeficientu</w:t>
      </w:r>
      <w:r w:rsidR="00241F99">
        <w:t xml:space="preserve"> </w:t>
      </w:r>
      <w:r w:rsidR="00241F99" w:rsidRPr="00241F99">
        <w:t>1,5 koeficienta 1 vietā.</w:t>
      </w:r>
    </w:p>
    <w:p w14:paraId="4A84BAA4" w14:textId="77777777" w:rsidR="00C12A32" w:rsidRDefault="00916DCE" w:rsidP="00E57113">
      <w:pPr>
        <w:pStyle w:val="Style1"/>
      </w:pPr>
      <w:r>
        <w:t>Rajona tiesa</w:t>
      </w:r>
      <w:r w:rsidR="00241F99" w:rsidRPr="00241F99">
        <w:t xml:space="preserve"> konstatēja, ka pieteicēja nocirta kokus bez normatīvajos aktos</w:t>
      </w:r>
      <w:r w:rsidR="00241F99">
        <w:t xml:space="preserve"> </w:t>
      </w:r>
      <w:r w:rsidR="00241F99" w:rsidRPr="00241F99">
        <w:t>noteiktās pašvaldības atļaujas koku ciršanai. Tiesa atzina, ka iestāde pamatoti pieteicējai noteica</w:t>
      </w:r>
      <w:r w:rsidR="00241F99">
        <w:t xml:space="preserve"> </w:t>
      </w:r>
      <w:r w:rsidR="00241F99" w:rsidRPr="00241F99">
        <w:t xml:space="preserve">pienākumu atlīdzināt zaudējumus par dabas </w:t>
      </w:r>
      <w:r w:rsidR="00241F99" w:rsidRPr="00032491">
        <w:t>daudzveidības samazināšanu saistībā ar koku ciršanu pilsētas un ciema teritorijā atbilstoši noteikumiem Nr.</w:t>
      </w:r>
      <w:r w:rsidR="00505915" w:rsidRPr="00032491">
        <w:t> </w:t>
      </w:r>
      <w:r w:rsidR="00241F99" w:rsidRPr="00032491">
        <w:t>309.</w:t>
      </w:r>
      <w:r w:rsidR="00241F99">
        <w:t xml:space="preserve"> </w:t>
      </w:r>
    </w:p>
    <w:p w14:paraId="60F90A21" w14:textId="77777777" w:rsidR="008862B7" w:rsidRPr="00241F99" w:rsidRDefault="00916DCE" w:rsidP="00E57113">
      <w:pPr>
        <w:pStyle w:val="Style1"/>
      </w:pPr>
      <w:r>
        <w:t>Rajona tiesa</w:t>
      </w:r>
      <w:r w:rsidRPr="00241F99">
        <w:t xml:space="preserve"> </w:t>
      </w:r>
      <w:r w:rsidR="00241F99" w:rsidRPr="00241F99">
        <w:t>arī konstatēja, ka koku celm</w:t>
      </w:r>
      <w:r w:rsidR="00210F39">
        <w:t>i</w:t>
      </w:r>
      <w:r w:rsidR="00241F99" w:rsidRPr="00241F99">
        <w:t xml:space="preserve"> mērī</w:t>
      </w:r>
      <w:r w:rsidR="00210F39">
        <w:t>ti</w:t>
      </w:r>
      <w:r w:rsidR="00241F99" w:rsidRPr="00241F99">
        <w:t xml:space="preserve"> ar neverificētu mērlenti. Līdz ar to, pieļaujot mērinstrumenta iespējamo neprecizitāti, tiesa no zaudējumu aprēķina izslēdza kokus, kuru celmu caurmērs nomērīts 20</w:t>
      </w:r>
      <w:r w:rsidR="00505915">
        <w:t> </w:t>
      </w:r>
      <w:r w:rsidR="00241F99" w:rsidRPr="00241F99">
        <w:t>centimetri. Tomēr tiesa neuzskatīja, ka mērlentes neprecizitāte varētu būt tik liela, lai apšaubītu mērījumus, kuros koku celmu</w:t>
      </w:r>
      <w:r w:rsidR="00241F99">
        <w:t xml:space="preserve"> </w:t>
      </w:r>
      <w:r w:rsidR="00241F99" w:rsidRPr="00241F99">
        <w:t>caurmērs nomērīts 21</w:t>
      </w:r>
      <w:r w:rsidR="00505915">
        <w:t> </w:t>
      </w:r>
      <w:r w:rsidR="00241F99" w:rsidRPr="00241F99">
        <w:t>centimetrs un lielāks, ņemot vērā arī to, ka liecinieks tiesas sēdē liecināja,</w:t>
      </w:r>
      <w:r w:rsidR="00241F99">
        <w:t xml:space="preserve"> </w:t>
      </w:r>
      <w:r w:rsidR="00241F99" w:rsidRPr="00241F99">
        <w:t>ka mērījumi noapaļoti uz leju.</w:t>
      </w:r>
    </w:p>
    <w:p w14:paraId="4D068B0D" w14:textId="77777777" w:rsidR="0012075B" w:rsidRDefault="0012075B" w:rsidP="00E57113">
      <w:pPr>
        <w:spacing w:line="276" w:lineRule="auto"/>
        <w:ind w:firstLine="567"/>
        <w:jc w:val="both"/>
      </w:pPr>
    </w:p>
    <w:p w14:paraId="0F113D41" w14:textId="77777777" w:rsidR="00916DCE" w:rsidRDefault="004B1D3B" w:rsidP="00E57113">
      <w:pPr>
        <w:pStyle w:val="Style1"/>
      </w:pPr>
      <w:r>
        <w:t>[</w:t>
      </w:r>
      <w:r w:rsidR="00372B11">
        <w:t>4</w:t>
      </w:r>
      <w:r>
        <w:t>]</w:t>
      </w:r>
      <w:r w:rsidR="00E11E96">
        <w:t> </w:t>
      </w:r>
      <w:r w:rsidR="005F1908">
        <w:t xml:space="preserve">Ar </w:t>
      </w:r>
      <w:r w:rsidR="007003A8" w:rsidRPr="009E78FD">
        <w:t>Administratīvā</w:t>
      </w:r>
      <w:r w:rsidR="005F1908">
        <w:t>s</w:t>
      </w:r>
      <w:r w:rsidR="007003A8" w:rsidRPr="009E78FD">
        <w:t xml:space="preserve"> apgabaltiesa</w:t>
      </w:r>
      <w:r w:rsidR="005F1908">
        <w:t>s s</w:t>
      </w:r>
      <w:r w:rsidR="007003A8" w:rsidRPr="009E78FD">
        <w:t>priedum</w:t>
      </w:r>
      <w:r w:rsidR="00916DCE">
        <w:t xml:space="preserve">u </w:t>
      </w:r>
      <w:r w:rsidR="00096E74" w:rsidRPr="00CE656D">
        <w:t xml:space="preserve">pieteikums </w:t>
      </w:r>
      <w:r w:rsidR="00916DCE" w:rsidRPr="00CE656D">
        <w:t>noraidīt</w:t>
      </w:r>
      <w:r w:rsidR="00096E74" w:rsidRPr="00CE656D">
        <w:t>s</w:t>
      </w:r>
      <w:r w:rsidR="00CE656D">
        <w:t xml:space="preserve"> daļā, kurā tas tika noraidīts ar pirmās instances tiesas spriedumu. </w:t>
      </w:r>
      <w:r w:rsidR="005F1908">
        <w:t xml:space="preserve">Apgabaltiesa </w:t>
      </w:r>
      <w:r w:rsidR="007003A8" w:rsidRPr="009E78FD">
        <w:t>pievienoj</w:t>
      </w:r>
      <w:r w:rsidR="005F1908">
        <w:t>ās</w:t>
      </w:r>
      <w:r w:rsidR="007003A8" w:rsidRPr="009E78FD">
        <w:t xml:space="preserve"> </w:t>
      </w:r>
      <w:r w:rsidR="007429FA">
        <w:t>r</w:t>
      </w:r>
      <w:r w:rsidR="00CC1CB4">
        <w:t>ajona</w:t>
      </w:r>
      <w:r w:rsidR="007003A8" w:rsidRPr="009E78FD">
        <w:t xml:space="preserve"> tiesas sprieduma motivācijai</w:t>
      </w:r>
      <w:r w:rsidR="00916DCE">
        <w:t xml:space="preserve"> </w:t>
      </w:r>
      <w:r w:rsidR="00CE656D">
        <w:t xml:space="preserve">šajā daļā </w:t>
      </w:r>
      <w:r w:rsidR="00916DCE">
        <w:t>un atzina, ka l</w:t>
      </w:r>
      <w:r w:rsidR="00916DCE" w:rsidRPr="00916DCE">
        <w:t>iecinieka liecība kopsakarā ar sākotnējā lēmumā fiksētajiem mērījumu rezultātiem ir</w:t>
      </w:r>
      <w:r w:rsidR="00916DCE">
        <w:t xml:space="preserve"> </w:t>
      </w:r>
      <w:r w:rsidR="00916DCE" w:rsidRPr="00916DCE">
        <w:t xml:space="preserve">vērtējama kā pierādījums par nocirsto koku celmu diametriem. </w:t>
      </w:r>
    </w:p>
    <w:p w14:paraId="23679DB0" w14:textId="77777777" w:rsidR="007003A8" w:rsidRDefault="00916DCE" w:rsidP="00E57113">
      <w:pPr>
        <w:pStyle w:val="Style1"/>
      </w:pPr>
      <w:r w:rsidRPr="00916DCE">
        <w:t>Lai apšaubītu šos mērījumus, kas</w:t>
      </w:r>
      <w:r>
        <w:t xml:space="preserve"> </w:t>
      </w:r>
      <w:r w:rsidRPr="00916DCE">
        <w:t>ir konkrēti, pieteicējai būtu jāspēj norādīt tikpat konkrētus un pārbaudāmus pretargumentus, bet</w:t>
      </w:r>
      <w:r>
        <w:t xml:space="preserve"> </w:t>
      </w:r>
      <w:r w:rsidRPr="00916DCE">
        <w:t>pieteicējas argumenti lielākoties ir vispārīgi un izteikti pieņēmumu formā</w:t>
      </w:r>
      <w:r>
        <w:t>.</w:t>
      </w:r>
    </w:p>
    <w:p w14:paraId="59192FD2" w14:textId="77777777" w:rsidR="00916DCE" w:rsidRPr="00916DCE" w:rsidRDefault="00916DCE" w:rsidP="00E57113">
      <w:pPr>
        <w:pStyle w:val="Style1"/>
      </w:pPr>
      <w:r w:rsidRPr="00916DCE">
        <w:t>No liecības ir saprotams, kā konkrēti mērījumi tika veikti, proti, tieši kādas darbības</w:t>
      </w:r>
      <w:r>
        <w:t xml:space="preserve"> </w:t>
      </w:r>
      <w:r w:rsidRPr="00916DCE">
        <w:t>komisija veica, kādu mērīšanas metodi un kādu mērinstrumentu izmantoja. Kā liecināja</w:t>
      </w:r>
      <w:r>
        <w:t xml:space="preserve"> </w:t>
      </w:r>
      <w:r w:rsidRPr="00916DCE">
        <w:t>liecinieks, sākotnēji mērījumu rezultāti tika fiksēti pierakstos. Lai gan tie nav saglabājušies,</w:t>
      </w:r>
      <w:r>
        <w:t xml:space="preserve"> </w:t>
      </w:r>
      <w:r w:rsidRPr="00916DCE">
        <w:t>mērījumu rezultāti ir detalizēti norādīti sākotnējā lēmumā.</w:t>
      </w:r>
    </w:p>
    <w:p w14:paraId="364C5EAF" w14:textId="77777777" w:rsidR="00916DCE" w:rsidRPr="00916DCE" w:rsidRDefault="00916DCE" w:rsidP="00E57113">
      <w:pPr>
        <w:pStyle w:val="Style1"/>
      </w:pPr>
      <w:r w:rsidRPr="00916DCE">
        <w:t>Attiecībā uz neverificētas mērlentes izmantošanu koku celmu mērīšanā</w:t>
      </w:r>
      <w:r>
        <w:t xml:space="preserve"> </w:t>
      </w:r>
      <w:r w:rsidRPr="00916DCE">
        <w:t>apgabaltiesa atzīmē</w:t>
      </w:r>
      <w:r w:rsidR="000476BC">
        <w:t>ja</w:t>
      </w:r>
      <w:r w:rsidRPr="00916DCE">
        <w:t xml:space="preserve">, ka </w:t>
      </w:r>
      <w:r>
        <w:t>rajona</w:t>
      </w:r>
      <w:r w:rsidRPr="00916DCE">
        <w:t xml:space="preserve"> tiesa šim apstāklim ir piešķīrusi nozīmi un no</w:t>
      </w:r>
      <w:r>
        <w:t xml:space="preserve"> </w:t>
      </w:r>
      <w:r w:rsidRPr="00916DCE">
        <w:t>zaudējumu aprēķina izslēgusi kokus, kuru celmu diametrs nomērīts</w:t>
      </w:r>
      <w:r>
        <w:t xml:space="preserve"> kā</w:t>
      </w:r>
      <w:r w:rsidRPr="00916DCE">
        <w:t xml:space="preserve"> 20</w:t>
      </w:r>
      <w:r w:rsidR="00210F39">
        <w:t> </w:t>
      </w:r>
      <w:r w:rsidRPr="00916DCE">
        <w:t>centimetri.</w:t>
      </w:r>
      <w:r>
        <w:t xml:space="preserve"> </w:t>
      </w:r>
      <w:r w:rsidRPr="00916DCE">
        <w:t>Vienlaikus tiesa pamatoti atzin</w:t>
      </w:r>
      <w:r>
        <w:t>a</w:t>
      </w:r>
      <w:r w:rsidRPr="00916DCE">
        <w:t>, ka iespējamā mērlentes neprecizitāte nevarētu būt tik</w:t>
      </w:r>
      <w:r>
        <w:t xml:space="preserve"> </w:t>
      </w:r>
      <w:r w:rsidRPr="00916DCE">
        <w:t>liela, lai izslēgtu no aprēķina kokus, kuru diametrs nomērīts 21</w:t>
      </w:r>
      <w:r w:rsidR="00210F39">
        <w:t> </w:t>
      </w:r>
      <w:r w:rsidRPr="00916DCE">
        <w:t>centimetrs un lielāks.</w:t>
      </w:r>
    </w:p>
    <w:p w14:paraId="2AD93FC9" w14:textId="77777777" w:rsidR="007B3354" w:rsidRDefault="007B3354" w:rsidP="00E57113">
      <w:pPr>
        <w:spacing w:line="276" w:lineRule="auto"/>
        <w:ind w:firstLine="567"/>
        <w:jc w:val="both"/>
      </w:pPr>
    </w:p>
    <w:p w14:paraId="6B70BE2F" w14:textId="77777777" w:rsidR="00710322" w:rsidRDefault="00007DF1" w:rsidP="00E57113">
      <w:pPr>
        <w:pStyle w:val="Style1"/>
      </w:pPr>
      <w:r>
        <w:t>[</w:t>
      </w:r>
      <w:r w:rsidR="00A94FA5">
        <w:t>5</w:t>
      </w:r>
      <w:r>
        <w:t>]</w:t>
      </w:r>
      <w:r w:rsidR="00E11E96">
        <w:t> </w:t>
      </w:r>
      <w:r w:rsidR="00633E6A">
        <w:t>Pieteicēj</w:t>
      </w:r>
      <w:r w:rsidR="00827097">
        <w:t>a</w:t>
      </w:r>
      <w:r w:rsidR="00633E6A">
        <w:t xml:space="preserve"> </w:t>
      </w:r>
      <w:r w:rsidR="00710322">
        <w:t>iesniedza kasācijas sūdzību, kas pamatota ar turpmāk norādītajiem apsvērumiem.</w:t>
      </w:r>
    </w:p>
    <w:p w14:paraId="5F3D0BCE" w14:textId="205D0B6D" w:rsidR="00CC4E22" w:rsidRDefault="00CC4E22" w:rsidP="00E57113">
      <w:pPr>
        <w:pStyle w:val="Style1"/>
      </w:pPr>
      <w:r>
        <w:t>[</w:t>
      </w:r>
      <w:r w:rsidR="00A94FA5">
        <w:t>5</w:t>
      </w:r>
      <w:r>
        <w:t>.1]</w:t>
      </w:r>
      <w:r w:rsidR="00E11E96">
        <w:t> </w:t>
      </w:r>
      <w:r w:rsidR="000476BC">
        <w:t>N</w:t>
      </w:r>
      <w:r w:rsidR="00BD38FC" w:rsidRPr="00916DCE">
        <w:t>oteikum</w:t>
      </w:r>
      <w:r w:rsidR="00916DCE" w:rsidRPr="00916DCE">
        <w:t>u</w:t>
      </w:r>
      <w:r w:rsidR="00BD38FC" w:rsidRPr="00916DCE">
        <w:t xml:space="preserve"> Nr.</w:t>
      </w:r>
      <w:r w:rsidR="00FA74C4">
        <w:t> </w:t>
      </w:r>
      <w:r w:rsidR="00BD38FC" w:rsidRPr="00916DCE">
        <w:t>309</w:t>
      </w:r>
      <w:r w:rsidR="00916DCE" w:rsidRPr="00916DCE">
        <w:t xml:space="preserve"> </w:t>
      </w:r>
      <w:r w:rsidR="00BD38FC" w:rsidRPr="00916DCE">
        <w:t>4</w:t>
      </w:r>
      <w:r w:rsidR="00BD38FC">
        <w:t xml:space="preserve">.1.apakšpunkts interpretējams tādējādi, ka tas nav attiecināms uz pilsētas teritorijas daļām, kas atrodas tālu no centra, nav apdzīvotas un ir degradētas. </w:t>
      </w:r>
      <w:r w:rsidR="000476BC">
        <w:t>Šāda</w:t>
      </w:r>
      <w:r w:rsidR="00BD38FC">
        <w:t xml:space="preserve"> interpretācij</w:t>
      </w:r>
      <w:r w:rsidR="000476BC">
        <w:t>a</w:t>
      </w:r>
      <w:r w:rsidR="00BD38FC">
        <w:t xml:space="preserve"> balst</w:t>
      </w:r>
      <w:r w:rsidR="000476BC">
        <w:t>ās</w:t>
      </w:r>
      <w:r w:rsidR="00BD38FC">
        <w:t xml:space="preserve"> uz apstākli, ka noteikumu Nr.</w:t>
      </w:r>
      <w:r w:rsidR="00FA74C4">
        <w:t> </w:t>
      </w:r>
      <w:r w:rsidR="00BD38FC">
        <w:t xml:space="preserve">309 4.punktā norādīts, ka pašvaldības atļauja nepieciešama parku, kapsētu un </w:t>
      </w:r>
      <w:r w:rsidR="00BD38FC" w:rsidRPr="00F018FB">
        <w:t>īpaši aizsargājam</w:t>
      </w:r>
      <w:r w:rsidR="00851D4D">
        <w:t>ā</w:t>
      </w:r>
      <w:r w:rsidR="00BD38FC" w:rsidRPr="00F018FB">
        <w:t>s dabas teritorij</w:t>
      </w:r>
      <w:r w:rsidR="00BD38FC">
        <w:t>ās augošo koku ciršanai un tā kā šādas teritorijas atrodas pilsētas un ciemu administratīvajās vienībās, tad noteikumu Nr.</w:t>
      </w:r>
      <w:r w:rsidR="00FA74C4">
        <w:t> </w:t>
      </w:r>
      <w:r w:rsidR="00BD38FC">
        <w:t xml:space="preserve">309 4.1.apakšpunktā </w:t>
      </w:r>
      <w:r w:rsidR="00BD38FC" w:rsidRPr="00F018FB">
        <w:t>minēt</w:t>
      </w:r>
      <w:r w:rsidR="00BD38FC">
        <w:t>os</w:t>
      </w:r>
      <w:r w:rsidR="00BD38FC" w:rsidRPr="00F018FB">
        <w:t xml:space="preserve"> termi</w:t>
      </w:r>
      <w:r w:rsidR="00BD38FC">
        <w:t xml:space="preserve">nus </w:t>
      </w:r>
      <w:r w:rsidR="00BD38FC" w:rsidRPr="00F018FB">
        <w:t>„pilsēta” un „ciems”</w:t>
      </w:r>
      <w:r w:rsidR="00BD38FC">
        <w:t xml:space="preserve"> nevar aplūkot tikai pēc administratīvās teritorijas izpratnes. Tādēļ</w:t>
      </w:r>
      <w:r w:rsidR="000476BC">
        <w:t xml:space="preserve"> </w:t>
      </w:r>
      <w:r w:rsidR="00BD38FC">
        <w:t>minētā tiesību norma uz konkrēto gadījumu nemaz nav attiecināma.</w:t>
      </w:r>
    </w:p>
    <w:p w14:paraId="43FACC0E" w14:textId="1F7319B6" w:rsidR="00FF08B7" w:rsidRDefault="00710322" w:rsidP="00E57113">
      <w:pPr>
        <w:pStyle w:val="Style1"/>
      </w:pPr>
      <w:r>
        <w:t>[</w:t>
      </w:r>
      <w:r w:rsidR="00A94FA5">
        <w:t>5</w:t>
      </w:r>
      <w:r>
        <w:t>.</w:t>
      </w:r>
      <w:r w:rsidR="001F2ED4">
        <w:t>2</w:t>
      </w:r>
      <w:r>
        <w:t>]</w:t>
      </w:r>
      <w:r w:rsidR="00E11E96">
        <w:t> </w:t>
      </w:r>
      <w:r w:rsidR="000476BC">
        <w:t>N</w:t>
      </w:r>
      <w:r w:rsidR="00784938">
        <w:t>oteikumos Nr.</w:t>
      </w:r>
      <w:r w:rsidR="00FA74C4">
        <w:t> </w:t>
      </w:r>
      <w:r w:rsidR="00784938">
        <w:t xml:space="preserve">309 </w:t>
      </w:r>
      <w:r w:rsidR="00AB689C">
        <w:t>paredzētajam</w:t>
      </w:r>
      <w:r w:rsidR="00784938">
        <w:t xml:space="preserve"> atlīdzinājumam par dabas vides daudzveidībai nodarīto kaitējumu piemīt sodošs raksturs un tādēļ ir piemērojama virkne procesuālu garantiju, kas jānodrošina kriminālprocesam līdzīgos procesos.</w:t>
      </w:r>
    </w:p>
    <w:p w14:paraId="07731659" w14:textId="77777777" w:rsidR="00710322" w:rsidRDefault="00FF08B7" w:rsidP="00E57113">
      <w:pPr>
        <w:pStyle w:val="Style1"/>
      </w:pPr>
      <w:r>
        <w:t>[</w:t>
      </w:r>
      <w:r w:rsidR="00A94FA5">
        <w:t>5</w:t>
      </w:r>
      <w:r>
        <w:t>.3]</w:t>
      </w:r>
      <w:r w:rsidR="00E11E96">
        <w:t> </w:t>
      </w:r>
      <w:r w:rsidR="00784938">
        <w:t xml:space="preserve">Pastāv apstākļi, kas liecina, ka koku celmu mērījumi veikti neobjektīvi, neiesaistot pieteicēju un </w:t>
      </w:r>
      <w:r w:rsidR="00C12A32">
        <w:t xml:space="preserve">pārkāpjot pieteicējas tiesības uz objektīvu procesa norisi. </w:t>
      </w:r>
      <w:r w:rsidR="00C12A32" w:rsidRPr="00C12A32">
        <w:t>Pieteicēja vērš uzmanību, ka tās argumenti bija saistīti ar apstākli, ka uzmērīšanas un dokumentācijas process bija tāds, kas rada patvaļas risku un pakļauj piete</w:t>
      </w:r>
      <w:r w:rsidR="00210F39">
        <w:t>i</w:t>
      </w:r>
      <w:r w:rsidR="00C12A32" w:rsidRPr="00C12A32">
        <w:t xml:space="preserve">cēju neattaisnotam nevainīguma prezumpcijas un administratīvajās tiesībās atzītajam </w:t>
      </w:r>
      <w:r w:rsidR="00C12A32" w:rsidRPr="00C12A32">
        <w:rPr>
          <w:i/>
          <w:iCs/>
        </w:rPr>
        <w:t>in dubio pro civis</w:t>
      </w:r>
      <w:r w:rsidR="00C12A32" w:rsidRPr="00C12A32">
        <w:t xml:space="preserve"> principa pārkāpumam – lietā vairs nav uzmērīšanas procesa dokumentācijas; nogrieztie koki netika atzīmēti un marķēti, kas 25</w:t>
      </w:r>
      <w:r w:rsidR="00505915">
        <w:t> </w:t>
      </w:r>
      <w:r w:rsidR="00C12A32" w:rsidRPr="00C12A32">
        <w:t>hektāru teritorijā nozīmēja to, ka viens un tas pats koks varēja tikt uzskaitīts vairākkārt; caurmēru uzmērīšanas process bija strīdīgs, jo likums (pašvaldības saistošie noteikumi) to nenoregulēja, caurmēri tika noapaļoti tieši nenoteiktā virzienā un šis process netika protokolēts tā, ka to varētu atk</w:t>
      </w:r>
      <w:r w:rsidR="00210F39">
        <w:t>ā</w:t>
      </w:r>
      <w:r w:rsidR="00C12A32" w:rsidRPr="00C12A32">
        <w:t>r</w:t>
      </w:r>
      <w:r w:rsidR="000476BC">
        <w:t>t</w:t>
      </w:r>
      <w:r w:rsidR="00C12A32" w:rsidRPr="00C12A32">
        <w:t>oti pārbaudīt.</w:t>
      </w:r>
    </w:p>
    <w:p w14:paraId="652CFEF7" w14:textId="7CBFDEDE" w:rsidR="00C12A32" w:rsidRDefault="003F5D8F" w:rsidP="00E57113">
      <w:pPr>
        <w:pStyle w:val="Style1"/>
        <w:rPr>
          <w:bCs/>
        </w:rPr>
      </w:pPr>
      <w:r>
        <w:t>[</w:t>
      </w:r>
      <w:r w:rsidR="00A94FA5">
        <w:t>5</w:t>
      </w:r>
      <w:r>
        <w:t>.</w:t>
      </w:r>
      <w:r w:rsidR="00FF08B7">
        <w:t>4</w:t>
      </w:r>
      <w:r>
        <w:t>]</w:t>
      </w:r>
      <w:r w:rsidR="00E11E96">
        <w:t> </w:t>
      </w:r>
      <w:r w:rsidR="00C12A32">
        <w:rPr>
          <w:bCs/>
        </w:rPr>
        <w:t>Pašvaldība nav noteikusi zaudējumu aprēķināšanas kārtību, kā to paredz Meža likuma 8.panta otrā daļa un noteikumu Nr.</w:t>
      </w:r>
      <w:r w:rsidR="00FA74C4">
        <w:rPr>
          <w:bCs/>
        </w:rPr>
        <w:t> </w:t>
      </w:r>
      <w:r w:rsidR="00C12A32">
        <w:rPr>
          <w:bCs/>
        </w:rPr>
        <w:t xml:space="preserve">309 </w:t>
      </w:r>
      <w:r w:rsidR="00C12A32" w:rsidRPr="007A278F">
        <w:rPr>
          <w:bCs/>
        </w:rPr>
        <w:t>22.</w:t>
      </w:r>
      <w:r w:rsidR="00C12A32">
        <w:rPr>
          <w:bCs/>
        </w:rPr>
        <w:t>punkts, un tā rezultātā pašvaldība ir saukusi pieteicēju pie atbildības bez atbilstošām procesuālajām garantijām.</w:t>
      </w:r>
      <w:r w:rsidR="00EB3142">
        <w:rPr>
          <w:bCs/>
        </w:rPr>
        <w:t xml:space="preserve"> Ņ</w:t>
      </w:r>
      <w:r w:rsidR="00C12A32">
        <w:rPr>
          <w:bCs/>
        </w:rPr>
        <w:t>emot vērā šādu lietu kategorij</w:t>
      </w:r>
      <w:r w:rsidR="00FA74C4">
        <w:rPr>
          <w:bCs/>
        </w:rPr>
        <w:t>as</w:t>
      </w:r>
      <w:r w:rsidR="00C12A32">
        <w:rPr>
          <w:bCs/>
        </w:rPr>
        <w:t xml:space="preserve"> raksturu, valsts pozitīvie pienākumi prasīja noteikt šādu kārtību.</w:t>
      </w:r>
    </w:p>
    <w:p w14:paraId="0A3E3123" w14:textId="77777777" w:rsidR="004B6AE5" w:rsidRDefault="00C12A32" w:rsidP="00E57113">
      <w:pPr>
        <w:pStyle w:val="Style1"/>
      </w:pPr>
      <w:r>
        <w:rPr>
          <w:bCs/>
        </w:rPr>
        <w:t>[5.5] T</w:t>
      </w:r>
      <w:r>
        <w:t>iesa nevarēja balstīties uz liecinieka liecību kā vienīgo pierādījumu lietā.</w:t>
      </w:r>
      <w:r w:rsidR="004B6AE5">
        <w:t xml:space="preserve"> </w:t>
      </w:r>
      <w:r w:rsidR="004B6AE5">
        <w:rPr>
          <w:bCs/>
        </w:rPr>
        <w:t>Pieteicēja vērš uzmanību, ka konkrētais liecinieks ir iestādes, kas veica izmeklēšanas procedūru pret pieteicēju, amatpersona, tādējādi šis liecinieks faktiski sniedza pašas iestādes viedokli; liecinieks atrodas subordinētās attiecībās ar pašu iestādi, tādēļ nevar nostāties pret iestādi</w:t>
      </w:r>
      <w:r w:rsidR="00210F39">
        <w:rPr>
          <w:bCs/>
        </w:rPr>
        <w:t>,</w:t>
      </w:r>
      <w:r w:rsidR="004B6AE5">
        <w:rPr>
          <w:bCs/>
        </w:rPr>
        <w:t xml:space="preserve"> un liecinieks pats ir amatpersona, kas ir vākusi pierādījumus pret pieteicēju, tādēļ ir ieinteresēts sava darba iznākuma pozitīvā novērtējumā. </w:t>
      </w:r>
      <w:r w:rsidR="004B6AE5">
        <w:t xml:space="preserve">Šādu liecinieku nevar uzskatīt par objektīvu un neatkarīgu. </w:t>
      </w:r>
    </w:p>
    <w:p w14:paraId="0EEFB24E" w14:textId="7AE77D5A" w:rsidR="00C12A32" w:rsidRDefault="00EB3142" w:rsidP="00E57113">
      <w:pPr>
        <w:pStyle w:val="Style1"/>
      </w:pPr>
      <w:r>
        <w:t>K</w:t>
      </w:r>
      <w:r w:rsidR="00C12A32">
        <w:t xml:space="preserve">oku apkārtmēra mērīšanā izmantota neverificēta mērlente. </w:t>
      </w:r>
      <w:r w:rsidR="00A506DE">
        <w:rPr>
          <w:bCs/>
        </w:rPr>
        <w:t>Saskaņā ar likumu „</w:t>
      </w:r>
      <w:r w:rsidR="00A506DE" w:rsidRPr="00A506DE">
        <w:rPr>
          <w:bCs/>
        </w:rPr>
        <w:t>Par mērījumu vienotību”</w:t>
      </w:r>
      <w:r w:rsidR="00A506DE">
        <w:rPr>
          <w:bCs/>
        </w:rPr>
        <w:t xml:space="preserve"> valsts un pašvaldības iestā</w:t>
      </w:r>
      <w:r w:rsidR="00210F39">
        <w:rPr>
          <w:bCs/>
        </w:rPr>
        <w:t>dēm</w:t>
      </w:r>
      <w:r w:rsidR="00A506DE">
        <w:rPr>
          <w:bCs/>
        </w:rPr>
        <w:t xml:space="preserve"> izmeklēšana un ekspertīze ir jāveic ar mērinstrumentiem, kas iekļauti </w:t>
      </w:r>
      <w:r w:rsidR="00A506DE" w:rsidRPr="00C36A22">
        <w:rPr>
          <w:bCs/>
        </w:rPr>
        <w:t>valsts metroloģiskajai kontrolei pakļauto mērīšanas līdzekļu sarakst</w:t>
      </w:r>
      <w:r w:rsidR="00A506DE">
        <w:rPr>
          <w:bCs/>
        </w:rPr>
        <w:t xml:space="preserve">ā. Šādi mērinstrumenti ne vien tiek sākotnēji verificēti, bet arī atbilstoši </w:t>
      </w:r>
      <w:r>
        <w:rPr>
          <w:bCs/>
        </w:rPr>
        <w:t xml:space="preserve">Ministru kabineta </w:t>
      </w:r>
      <w:r w:rsidR="00210F39" w:rsidRPr="00C36A22">
        <w:rPr>
          <w:bCs/>
        </w:rPr>
        <w:t>2007.gada 9.janvār</w:t>
      </w:r>
      <w:r w:rsidR="00210F39">
        <w:rPr>
          <w:bCs/>
        </w:rPr>
        <w:t xml:space="preserve">a </w:t>
      </w:r>
      <w:r w:rsidR="00A506DE" w:rsidRPr="00C36A22">
        <w:rPr>
          <w:bCs/>
        </w:rPr>
        <w:t>noteikum</w:t>
      </w:r>
      <w:r w:rsidR="00A506DE">
        <w:rPr>
          <w:bCs/>
        </w:rPr>
        <w:t>u</w:t>
      </w:r>
      <w:r w:rsidR="00A506DE" w:rsidRPr="00C36A22">
        <w:rPr>
          <w:bCs/>
        </w:rPr>
        <w:t xml:space="preserve"> Nr.</w:t>
      </w:r>
      <w:r w:rsidR="00FA74C4">
        <w:rPr>
          <w:bCs/>
        </w:rPr>
        <w:t> </w:t>
      </w:r>
      <w:r w:rsidR="00A506DE" w:rsidRPr="00C36A22">
        <w:rPr>
          <w:bCs/>
        </w:rPr>
        <w:t>40</w:t>
      </w:r>
      <w:r w:rsidR="00A506DE">
        <w:rPr>
          <w:bCs/>
        </w:rPr>
        <w:t xml:space="preserve"> </w:t>
      </w:r>
      <w:r>
        <w:rPr>
          <w:bCs/>
        </w:rPr>
        <w:t>„</w:t>
      </w:r>
      <w:r w:rsidR="00A506DE" w:rsidRPr="00C36A22">
        <w:rPr>
          <w:bCs/>
        </w:rPr>
        <w:t>Noteikumi par valsts metroloģiskajai kontrolei pakļauto mērīšanas līdzekļu sarakstu</w:t>
      </w:r>
      <w:r w:rsidR="00A506DE">
        <w:rPr>
          <w:bCs/>
        </w:rPr>
        <w:t>” (</w:t>
      </w:r>
      <w:r w:rsidR="00A506DE">
        <w:rPr>
          <w:bCs/>
          <w:i/>
          <w:iCs/>
        </w:rPr>
        <w:t xml:space="preserve">zaudējuši spēku </w:t>
      </w:r>
      <w:r w:rsidR="00A506DE" w:rsidRPr="00412BDC">
        <w:rPr>
          <w:bCs/>
          <w:i/>
          <w:iCs/>
        </w:rPr>
        <w:t>2024.gada 14.maij</w:t>
      </w:r>
      <w:r>
        <w:rPr>
          <w:bCs/>
          <w:i/>
          <w:iCs/>
        </w:rPr>
        <w:t>ā</w:t>
      </w:r>
      <w:r w:rsidR="00A506DE">
        <w:rPr>
          <w:bCs/>
        </w:rPr>
        <w:t>) I</w:t>
      </w:r>
      <w:r w:rsidR="00964DA7">
        <w:rPr>
          <w:bCs/>
        </w:rPr>
        <w:t> </w:t>
      </w:r>
      <w:r w:rsidR="00A506DE">
        <w:rPr>
          <w:bCs/>
        </w:rPr>
        <w:t>pielikuma 1.3.</w:t>
      </w:r>
      <w:r>
        <w:rPr>
          <w:bCs/>
        </w:rPr>
        <w:t>apakš</w:t>
      </w:r>
      <w:r w:rsidR="00A506DE">
        <w:rPr>
          <w:bCs/>
        </w:rPr>
        <w:t xml:space="preserve">punktam </w:t>
      </w:r>
      <w:r w:rsidR="00A506DE" w:rsidRPr="004B0FBF">
        <w:rPr>
          <w:bCs/>
        </w:rPr>
        <w:t>metri</w:t>
      </w:r>
      <w:r w:rsidR="00A506DE">
        <w:rPr>
          <w:bCs/>
        </w:rPr>
        <w:t>em</w:t>
      </w:r>
      <w:r w:rsidR="00A506DE" w:rsidRPr="004B0FBF">
        <w:rPr>
          <w:bCs/>
        </w:rPr>
        <w:t>, lineāl</w:t>
      </w:r>
      <w:r w:rsidR="00A506DE">
        <w:rPr>
          <w:bCs/>
        </w:rPr>
        <w:t>iem</w:t>
      </w:r>
      <w:r w:rsidR="00A506DE" w:rsidRPr="004B0FBF">
        <w:rPr>
          <w:bCs/>
        </w:rPr>
        <w:t xml:space="preserve"> un mērlent</w:t>
      </w:r>
      <w:r w:rsidR="00A506DE">
        <w:rPr>
          <w:bCs/>
        </w:rPr>
        <w:t>ēm, kas tiek izmantotas, veicot izmeklēšanu un ekspertīzi, kā arī vides aizsardzībā un kontrolē ir jābūt verificētiem vismaz reizi divos gados.</w:t>
      </w:r>
    </w:p>
    <w:p w14:paraId="1C9822B8" w14:textId="77777777" w:rsidR="00710322" w:rsidRDefault="00C12A32" w:rsidP="00E57113">
      <w:pPr>
        <w:pStyle w:val="Style1"/>
      </w:pPr>
      <w:r>
        <w:t>[5.6] </w:t>
      </w:r>
      <w:r w:rsidR="00784938">
        <w:t>Apgabaltiesa n</w:t>
      </w:r>
      <w:r w:rsidR="00EB3142">
        <w:t>av</w:t>
      </w:r>
      <w:r w:rsidR="00784938">
        <w:t xml:space="preserve"> ņēmusi vērā </w:t>
      </w:r>
      <w:r w:rsidR="00784938" w:rsidRPr="00703DF1">
        <w:rPr>
          <w:i/>
          <w:iCs/>
        </w:rPr>
        <w:t>reformatio in peius</w:t>
      </w:r>
      <w:r w:rsidR="00784938">
        <w:t xml:space="preserve"> aizlieguma pārkāpumu</w:t>
      </w:r>
      <w:r w:rsidR="002111FE">
        <w:t>.</w:t>
      </w:r>
    </w:p>
    <w:p w14:paraId="1378B228" w14:textId="77777777" w:rsidR="000131D9" w:rsidRDefault="000131D9" w:rsidP="00E57113">
      <w:pPr>
        <w:spacing w:line="276" w:lineRule="auto"/>
        <w:jc w:val="both"/>
      </w:pPr>
    </w:p>
    <w:p w14:paraId="18575CAF" w14:textId="77777777" w:rsidR="00884F1C" w:rsidRDefault="000079C5" w:rsidP="00E57113">
      <w:pPr>
        <w:pStyle w:val="Style1"/>
      </w:pPr>
      <w:r>
        <w:t>[</w:t>
      </w:r>
      <w:r w:rsidR="00A94FA5">
        <w:t>6</w:t>
      </w:r>
      <w:r>
        <w:t>]</w:t>
      </w:r>
      <w:r w:rsidR="005413B6">
        <w:t> </w:t>
      </w:r>
      <w:r w:rsidR="00505CE1">
        <w:t>Pašvaldība</w:t>
      </w:r>
      <w:r w:rsidR="0028627D">
        <w:t xml:space="preserve"> </w:t>
      </w:r>
      <w:r w:rsidR="00884F1C">
        <w:t>paskaidrojumos kasācijas sūdzīb</w:t>
      </w:r>
      <w:r w:rsidR="0098612C">
        <w:t>u</w:t>
      </w:r>
      <w:r w:rsidR="0003222A">
        <w:t xml:space="preserve"> neatzīst</w:t>
      </w:r>
      <w:r w:rsidR="00884F1C">
        <w:t>.</w:t>
      </w:r>
    </w:p>
    <w:p w14:paraId="6A8B693B" w14:textId="77777777" w:rsidR="00884F1C" w:rsidRPr="0082381C" w:rsidRDefault="00884F1C" w:rsidP="00E57113">
      <w:pPr>
        <w:pStyle w:val="Style1"/>
      </w:pPr>
    </w:p>
    <w:p w14:paraId="0150FD77" w14:textId="77777777" w:rsidR="00884F1C" w:rsidRDefault="00884F1C" w:rsidP="00E57113">
      <w:pPr>
        <w:spacing w:line="276" w:lineRule="auto"/>
        <w:jc w:val="center"/>
        <w:rPr>
          <w:b/>
        </w:rPr>
      </w:pPr>
      <w:r w:rsidRPr="00093ECF">
        <w:rPr>
          <w:b/>
        </w:rPr>
        <w:t>Motīvu daļa</w:t>
      </w:r>
    </w:p>
    <w:p w14:paraId="1B186977" w14:textId="77777777" w:rsidR="00884F1C" w:rsidRDefault="00884F1C" w:rsidP="00E57113">
      <w:pPr>
        <w:spacing w:line="276" w:lineRule="auto"/>
        <w:jc w:val="center"/>
        <w:rPr>
          <w:b/>
        </w:rPr>
      </w:pPr>
    </w:p>
    <w:p w14:paraId="1292CCA8" w14:textId="07109F00" w:rsidR="00093ECF" w:rsidRDefault="00093ECF" w:rsidP="00E57113">
      <w:pPr>
        <w:pStyle w:val="Style1"/>
      </w:pPr>
      <w:r w:rsidRPr="00E808AC">
        <w:t>[7]</w:t>
      </w:r>
      <w:r w:rsidR="00964DA7">
        <w:t> </w:t>
      </w:r>
      <w:r w:rsidRPr="00E808AC">
        <w:t>Ievērojot kasācijas sūdzības argumentāciju, Senātam šajā lietā jāatbild uz jautājumiem: 1)</w:t>
      </w:r>
      <w:r w:rsidR="00FA74C4">
        <w:t> </w:t>
      </w:r>
      <w:r w:rsidR="007F180C">
        <w:t>vai apgabaltiesa pamatoti atzina, ka pašvaldība ir ievērojusi pamatošanas principu</w:t>
      </w:r>
      <w:r w:rsidRPr="00E808AC">
        <w:t>; 2)</w:t>
      </w:r>
      <w:r w:rsidR="00FA74C4">
        <w:t> </w:t>
      </w:r>
      <w:r w:rsidR="007F180C">
        <w:t>vai apgabaltiesa pierādījumu novērtēšanā nav pieļāvusi būtisku procesuālu pārkāpumu</w:t>
      </w:r>
      <w:r w:rsidRPr="00E808AC">
        <w:t>; 3)</w:t>
      </w:r>
      <w:r w:rsidR="00FA74C4">
        <w:t> </w:t>
      </w:r>
      <w:r w:rsidR="007F180C">
        <w:t>vai apgabaltiesa ir pareizi interpretējusi piemērojamās tiesību normas, pr</w:t>
      </w:r>
      <w:r w:rsidR="00EB3142">
        <w:t>oti</w:t>
      </w:r>
      <w:r w:rsidR="007F180C">
        <w:t xml:space="preserve">, vai ir pareizi noteikusi </w:t>
      </w:r>
      <w:r w:rsidR="001676D7">
        <w:t>noteikumu Nr.</w:t>
      </w:r>
      <w:r w:rsidR="00FA74C4">
        <w:t> </w:t>
      </w:r>
      <w:r w:rsidR="001676D7">
        <w:t>309 23. un 24.punktā regulētā institūta tiesisko dabu un raksturu</w:t>
      </w:r>
      <w:r w:rsidRPr="00E808AC">
        <w:t>.</w:t>
      </w:r>
      <w:r>
        <w:t xml:space="preserve"> </w:t>
      </w:r>
    </w:p>
    <w:p w14:paraId="24C20085" w14:textId="181456B2" w:rsidR="00784938" w:rsidRDefault="00784938" w:rsidP="00E57113">
      <w:pPr>
        <w:pStyle w:val="Style1"/>
      </w:pPr>
      <w:r w:rsidRPr="000476BC">
        <w:t>Senāts ne</w:t>
      </w:r>
      <w:r w:rsidR="000476BC" w:rsidRPr="000476BC">
        <w:t>vērtēs</w:t>
      </w:r>
      <w:r w:rsidRPr="000476BC">
        <w:t xml:space="preserve"> jautājumu</w:t>
      </w:r>
      <w:r>
        <w:t xml:space="preserve"> par noteikumu Nr.</w:t>
      </w:r>
      <w:r w:rsidR="00FA74C4">
        <w:t> </w:t>
      </w:r>
      <w:r>
        <w:t xml:space="preserve">309 </w:t>
      </w:r>
      <w:r w:rsidR="004B084A">
        <w:t>4.1.</w:t>
      </w:r>
      <w:r w:rsidR="00ED0129">
        <w:t>apakš</w:t>
      </w:r>
      <w:r w:rsidR="004B084A">
        <w:t>punkta interpretāciju</w:t>
      </w:r>
      <w:r>
        <w:t>, jo</w:t>
      </w:r>
      <w:r w:rsidR="005C5CC6">
        <w:t xml:space="preserve"> atbilstoši Administratīvā procesa likuma 325. un 347.pantam sprieduma pārsūdzēšanas kasācijas kārtībā </w:t>
      </w:r>
      <w:r w:rsidR="00DD5BE1">
        <w:t xml:space="preserve">būtība ir pārbaude par to, vai zemākas instances </w:t>
      </w:r>
      <w:r w:rsidR="00210F39">
        <w:t xml:space="preserve">tiesas </w:t>
      </w:r>
      <w:r w:rsidR="00DD5BE1">
        <w:t xml:space="preserve">spriedumā ir pieļautas kļūdas </w:t>
      </w:r>
      <w:r w:rsidR="005C5CC6" w:rsidRPr="005C5CC6">
        <w:t>(sal.</w:t>
      </w:r>
      <w:bookmarkStart w:id="3" w:name="_Hlk25572894"/>
      <w:r w:rsidR="00505915">
        <w:t> </w:t>
      </w:r>
      <w:r w:rsidR="005C5CC6" w:rsidRPr="005C5CC6">
        <w:rPr>
          <w:i/>
        </w:rPr>
        <w:t>Senāta 2019.gada 4.novembra sprieduma lietā Nr. SKA</w:t>
      </w:r>
      <w:r w:rsidR="005C5CC6" w:rsidRPr="005C5CC6">
        <w:rPr>
          <w:i/>
        </w:rPr>
        <w:noBreakHyphen/>
        <w:t>75/2019</w:t>
      </w:r>
      <w:r w:rsidR="005C5CC6">
        <w:rPr>
          <w:i/>
        </w:rPr>
        <w:t xml:space="preserve">, </w:t>
      </w:r>
      <w:hyperlink r:id="rId9" w:history="1">
        <w:r w:rsidR="005C5CC6" w:rsidRPr="00FA74C4">
          <w:rPr>
            <w:rStyle w:val="Hyperlink"/>
            <w:i/>
          </w:rPr>
          <w:t>ECLI:LV:AT:2019:1104.A420206015.3.S</w:t>
        </w:r>
      </w:hyperlink>
      <w:r w:rsidR="005C5CC6">
        <w:rPr>
          <w:i/>
        </w:rPr>
        <w:t>,</w:t>
      </w:r>
      <w:r w:rsidR="005C5CC6" w:rsidRPr="005C5CC6">
        <w:rPr>
          <w:i/>
        </w:rPr>
        <w:t xml:space="preserve"> </w:t>
      </w:r>
      <w:bookmarkEnd w:id="3"/>
      <w:r w:rsidR="005C5CC6" w:rsidRPr="005C5CC6">
        <w:rPr>
          <w:i/>
        </w:rPr>
        <w:t>10.punkt</w:t>
      </w:r>
      <w:r w:rsidR="00ED0129">
        <w:rPr>
          <w:i/>
        </w:rPr>
        <w:t>s</w:t>
      </w:r>
      <w:r w:rsidR="005C5CC6" w:rsidRPr="005C5CC6">
        <w:t>)</w:t>
      </w:r>
      <w:r w:rsidR="00DD5BE1">
        <w:t>, un</w:t>
      </w:r>
      <w:r w:rsidR="0035714F">
        <w:t xml:space="preserve"> Senāts</w:t>
      </w:r>
      <w:r w:rsidR="00DD5BE1">
        <w:t xml:space="preserve"> izskata lietu tādā tvērumā, kād</w:t>
      </w:r>
      <w:r w:rsidR="00ED0129">
        <w:t>ā</w:t>
      </w:r>
      <w:r w:rsidR="00DD5BE1">
        <w:t xml:space="preserve"> lieta izskatīta </w:t>
      </w:r>
      <w:r w:rsidR="00ED0129">
        <w:t>(</w:t>
      </w:r>
      <w:r w:rsidR="00ED0129" w:rsidRPr="000476BC">
        <w:t>bija izskatāma</w:t>
      </w:r>
      <w:r w:rsidR="00ED0129">
        <w:t xml:space="preserve">) </w:t>
      </w:r>
      <w:r w:rsidR="00DD5BE1">
        <w:t>apgabaltiesā</w:t>
      </w:r>
      <w:r w:rsidR="004B6AE5">
        <w:t xml:space="preserve">, </w:t>
      </w:r>
      <w:r w:rsidR="009A7CCD">
        <w:t>uzturot</w:t>
      </w:r>
      <w:r w:rsidR="00DD5BE1">
        <w:t xml:space="preserve"> pieteikumā izteiktos</w:t>
      </w:r>
      <w:r w:rsidR="005C5CC6">
        <w:t xml:space="preserve"> </w:t>
      </w:r>
      <w:r w:rsidR="0035714F">
        <w:t>prasījumus</w:t>
      </w:r>
      <w:r w:rsidR="009A7CCD">
        <w:t xml:space="preserve"> (</w:t>
      </w:r>
      <w:r w:rsidR="009A7CCD">
        <w:rPr>
          <w:i/>
          <w:iCs/>
        </w:rPr>
        <w:t xml:space="preserve">infra </w:t>
      </w:r>
      <w:r w:rsidR="009A7CCD">
        <w:t xml:space="preserve">un </w:t>
      </w:r>
      <w:r w:rsidR="009A7CCD">
        <w:rPr>
          <w:i/>
          <w:iCs/>
        </w:rPr>
        <w:t xml:space="preserve">ultra petita </w:t>
      </w:r>
      <w:r w:rsidR="009A7CCD">
        <w:t>aizliegums)</w:t>
      </w:r>
      <w:r w:rsidR="005C5CC6">
        <w:t>. Š</w:t>
      </w:r>
      <w:r w:rsidR="00DD5BE1">
        <w:t>ajā lietā</w:t>
      </w:r>
      <w:r>
        <w:t xml:space="preserve"> arguments</w:t>
      </w:r>
      <w:r w:rsidR="005C5CC6">
        <w:t xml:space="preserve"> par to, vai konkrētie koki auga </w:t>
      </w:r>
      <w:r w:rsidR="005C5CC6" w:rsidRPr="00F018FB">
        <w:t>„pilsēt</w:t>
      </w:r>
      <w:r w:rsidR="005C5CC6">
        <w:t>ā</w:t>
      </w:r>
      <w:r w:rsidR="005C5CC6" w:rsidRPr="00F018FB">
        <w:t xml:space="preserve">” </w:t>
      </w:r>
      <w:r w:rsidR="005C5CC6">
        <w:t>vai</w:t>
      </w:r>
      <w:r w:rsidR="005C5CC6" w:rsidRPr="00F018FB">
        <w:t xml:space="preserve"> „ciem</w:t>
      </w:r>
      <w:r w:rsidR="005C5CC6">
        <w:t>ā</w:t>
      </w:r>
      <w:r w:rsidR="005C5CC6" w:rsidRPr="00F018FB">
        <w:t>”</w:t>
      </w:r>
      <w:r w:rsidR="00FA74C4">
        <w:t>,</w:t>
      </w:r>
      <w:r w:rsidR="005C5CC6">
        <w:t xml:space="preserve"> tiesvedībā apelācijas instancē</w:t>
      </w:r>
      <w:r w:rsidR="00DD5BE1">
        <w:t xml:space="preserve"> </w:t>
      </w:r>
      <w:r w:rsidR="00DD5BE1" w:rsidRPr="000476BC">
        <w:t xml:space="preserve">netika </w:t>
      </w:r>
      <w:r w:rsidR="00096E74" w:rsidRPr="00096E74">
        <w:t>izteikts</w:t>
      </w:r>
      <w:r w:rsidR="00FA74C4">
        <w:t>, k</w:t>
      </w:r>
      <w:r w:rsidR="00096E74">
        <w:t>ādēļ apgabaltiesa to nevērtēja</w:t>
      </w:r>
      <w:r w:rsidR="005C5CC6">
        <w:t xml:space="preserve"> </w:t>
      </w:r>
      <w:r w:rsidR="00AB689C">
        <w:t>(nebija jāvērtē)</w:t>
      </w:r>
      <w:r w:rsidR="00FA74C4">
        <w:t>,</w:t>
      </w:r>
      <w:r w:rsidR="00AB689C">
        <w:t xml:space="preserve"> </w:t>
      </w:r>
      <w:r w:rsidR="005C5CC6">
        <w:t>un tādēļ</w:t>
      </w:r>
      <w:r w:rsidR="009A7CCD">
        <w:t xml:space="preserve"> šobrīd</w:t>
      </w:r>
      <w:r w:rsidR="005C5CC6">
        <w:t xml:space="preserve"> </w:t>
      </w:r>
      <w:r w:rsidR="000476BC">
        <w:t xml:space="preserve">tas </w:t>
      </w:r>
      <w:r w:rsidR="005C5CC6">
        <w:t>nav izskatāms kasācijas kārtībā</w:t>
      </w:r>
      <w:r w:rsidR="00DD5BE1">
        <w:t>.</w:t>
      </w:r>
    </w:p>
    <w:p w14:paraId="419AA1FB" w14:textId="2AE6925B" w:rsidR="00CA503F" w:rsidRDefault="00CA503F" w:rsidP="00E57113">
      <w:pPr>
        <w:pStyle w:val="Style1"/>
      </w:pPr>
      <w:r>
        <w:t xml:space="preserve">Tāpat </w:t>
      </w:r>
      <w:r w:rsidRPr="00096E74">
        <w:t xml:space="preserve">Senāts </w:t>
      </w:r>
      <w:r w:rsidR="00096E74" w:rsidRPr="000476BC">
        <w:t>ne</w:t>
      </w:r>
      <w:r w:rsidR="00096E74" w:rsidRPr="00096E74">
        <w:t>vērtēs</w:t>
      </w:r>
      <w:r w:rsidR="00096E74">
        <w:t xml:space="preserve"> </w:t>
      </w:r>
      <w:r>
        <w:t xml:space="preserve">pieteicējas argumentus par </w:t>
      </w:r>
      <w:r w:rsidRPr="00703DF1">
        <w:rPr>
          <w:i/>
          <w:iCs/>
        </w:rPr>
        <w:t>reformatio in peius</w:t>
      </w:r>
      <w:r>
        <w:t xml:space="preserve"> aizlieguma pārkāpumu, jo, ievērojot to, ka Administratīvā rajona tiesa jau ir atcēlusi pašvaldības lēmumu daļā, kurā pieteicējas apstrīdēšanas iesnieguma izskatīšanas rezultātā palielināta atlīdzināmo zaudējumu summa, un šajā daļā spriedums ir stājies spēkā, </w:t>
      </w:r>
      <w:r w:rsidR="0090509F">
        <w:t>šis kasācijas pamats ir bez jēgpilnas iedarbības</w:t>
      </w:r>
      <w:r w:rsidR="004B6AE5">
        <w:t>, jo pieteicēja nav precizējusi</w:t>
      </w:r>
      <w:r w:rsidR="00210F39">
        <w:t>,</w:t>
      </w:r>
      <w:r w:rsidR="004B6AE5">
        <w:t xml:space="preserve"> kādu tiesību aizsardzības līdzekli papildus jau īstenotajam</w:t>
      </w:r>
      <w:r w:rsidR="00964DA7">
        <w:t xml:space="preserve"> </w:t>
      </w:r>
      <w:r w:rsidR="004B6AE5">
        <w:t>–</w:t>
      </w:r>
      <w:r w:rsidR="00964DA7">
        <w:t xml:space="preserve"> </w:t>
      </w:r>
      <w:r w:rsidR="004B6AE5">
        <w:t xml:space="preserve">lēmuma atcelšanai daļā, kurā noteiktais zaudējumu atlīdzības apmērs palielināts salīdzinājumā ar sākotnējo lēmumu, </w:t>
      </w:r>
      <w:r w:rsidR="00032491">
        <w:t xml:space="preserve">– </w:t>
      </w:r>
      <w:r w:rsidR="004B6AE5">
        <w:t>tiesai būtu jāparedz</w:t>
      </w:r>
      <w:r>
        <w:t>.</w:t>
      </w:r>
      <w:r w:rsidR="004B6AE5">
        <w:t xml:space="preserve"> Turklāt Senāts secina, ka pieteikumā nekāds cits prasījums kā vien lēmuma atcelšana saistībā ar šo pieteicējas argumentu nav izteikts, tādēļ, izskatot šādu prasījumu, Senāts pārkāptu </w:t>
      </w:r>
      <w:r w:rsidR="004B6AE5">
        <w:rPr>
          <w:i/>
          <w:iCs/>
        </w:rPr>
        <w:t xml:space="preserve">ultra petita </w:t>
      </w:r>
      <w:r w:rsidR="004B6AE5">
        <w:t>aizliegumu.</w:t>
      </w:r>
      <w:r>
        <w:t xml:space="preserve"> </w:t>
      </w:r>
    </w:p>
    <w:p w14:paraId="6444EA18" w14:textId="77777777" w:rsidR="00E808AC" w:rsidRDefault="00E808AC" w:rsidP="00E57113">
      <w:pPr>
        <w:spacing w:line="276" w:lineRule="auto"/>
        <w:jc w:val="both"/>
      </w:pPr>
    </w:p>
    <w:p w14:paraId="42D57D06" w14:textId="77777777" w:rsidR="00B573E7" w:rsidRDefault="00B573E7" w:rsidP="00E57113">
      <w:pPr>
        <w:spacing w:line="276" w:lineRule="auto"/>
        <w:ind w:firstLine="720"/>
        <w:jc w:val="both"/>
        <w:rPr>
          <w:i/>
          <w:iCs/>
        </w:rPr>
      </w:pPr>
      <w:r w:rsidRPr="00837A2E">
        <w:rPr>
          <w:i/>
          <w:iCs/>
        </w:rPr>
        <w:t>Par</w:t>
      </w:r>
      <w:r w:rsidR="00837A2E" w:rsidRPr="00837A2E">
        <w:rPr>
          <w:i/>
          <w:iCs/>
        </w:rPr>
        <w:t xml:space="preserve"> </w:t>
      </w:r>
      <w:r w:rsidR="00DB0A63">
        <w:rPr>
          <w:i/>
          <w:iCs/>
        </w:rPr>
        <w:t>pamatošanas pienākumu</w:t>
      </w:r>
    </w:p>
    <w:p w14:paraId="132A3503" w14:textId="77777777" w:rsidR="002641B1" w:rsidRPr="00837A2E" w:rsidRDefault="002641B1" w:rsidP="00E57113">
      <w:pPr>
        <w:spacing w:line="276" w:lineRule="auto"/>
        <w:ind w:firstLine="567"/>
        <w:jc w:val="both"/>
        <w:rPr>
          <w:i/>
          <w:iCs/>
        </w:rPr>
      </w:pPr>
    </w:p>
    <w:p w14:paraId="554061CC" w14:textId="38029FE0" w:rsidR="00F80CC5" w:rsidRDefault="00BC7BB3" w:rsidP="00E57113">
      <w:pPr>
        <w:pStyle w:val="Style1"/>
      </w:pPr>
      <w:r>
        <w:t>[</w:t>
      </w:r>
      <w:r w:rsidR="00093ECF">
        <w:t>8</w:t>
      </w:r>
      <w:r>
        <w:t>]</w:t>
      </w:r>
      <w:r w:rsidR="00032491">
        <w:t> </w:t>
      </w:r>
      <w:r w:rsidR="00C00280">
        <w:t>Pieteicēja kasācijas sūdzībā</w:t>
      </w:r>
      <w:r w:rsidR="00905A65">
        <w:t xml:space="preserve"> </w:t>
      </w:r>
      <w:r w:rsidR="00554849">
        <w:t>norāda</w:t>
      </w:r>
      <w:r w:rsidR="00C00280">
        <w:t xml:space="preserve">, ka apgabaltiesa ir </w:t>
      </w:r>
      <w:r w:rsidR="00210F39">
        <w:t>pieļāvusi</w:t>
      </w:r>
      <w:r w:rsidR="00C00280">
        <w:t xml:space="preserve"> procesuālu pārkāpumu, jo </w:t>
      </w:r>
      <w:r w:rsidR="002641B1">
        <w:t>nav izvērtējusi</w:t>
      </w:r>
      <w:r w:rsidR="00F80CC5">
        <w:t xml:space="preserve"> </w:t>
      </w:r>
      <w:r w:rsidR="002641B1" w:rsidRPr="000B76F8">
        <w:rPr>
          <w:bCs/>
        </w:rPr>
        <w:t xml:space="preserve">pieteicējas </w:t>
      </w:r>
      <w:r w:rsidR="00F80CC5">
        <w:rPr>
          <w:bCs/>
        </w:rPr>
        <w:t xml:space="preserve">argumentu, ka </w:t>
      </w:r>
      <w:r w:rsidR="00747A3E">
        <w:rPr>
          <w:bCs/>
        </w:rPr>
        <w:t xml:space="preserve">koku </w:t>
      </w:r>
      <w:r w:rsidR="00F80CC5" w:rsidRPr="000B76F8">
        <w:rPr>
          <w:bCs/>
        </w:rPr>
        <w:t>uzmērīšanas proces</w:t>
      </w:r>
      <w:r w:rsidR="00F80CC5">
        <w:rPr>
          <w:bCs/>
        </w:rPr>
        <w:t>s bija tāds, kas rada patvaļas risku</w:t>
      </w:r>
      <w:r w:rsidR="00C00280">
        <w:t xml:space="preserve">. </w:t>
      </w:r>
    </w:p>
    <w:p w14:paraId="21F4A14F" w14:textId="77777777" w:rsidR="002641B1" w:rsidRDefault="002641B1" w:rsidP="00E57113">
      <w:pPr>
        <w:pStyle w:val="Style1"/>
      </w:pPr>
      <w:r>
        <w:t xml:space="preserve">Senāts </w:t>
      </w:r>
      <w:r w:rsidR="00747A3E">
        <w:t>piekrīt, ka</w:t>
      </w:r>
      <w:r w:rsidR="00F80CC5">
        <w:t xml:space="preserve"> apgabaltiesa spriedumā šim argumentam</w:t>
      </w:r>
      <w:r w:rsidR="00B92E7F">
        <w:t xml:space="preserve"> nav</w:t>
      </w:r>
      <w:r w:rsidR="00F80CC5">
        <w:t xml:space="preserve"> </w:t>
      </w:r>
      <w:r w:rsidR="00210F39">
        <w:t xml:space="preserve">piešķīrusi </w:t>
      </w:r>
      <w:r w:rsidR="00F80CC5">
        <w:t>pienācīg</w:t>
      </w:r>
      <w:r w:rsidR="00210F39">
        <w:t>u</w:t>
      </w:r>
      <w:r w:rsidR="00F80CC5">
        <w:t xml:space="preserve"> nozīmi,</w:t>
      </w:r>
      <w:r>
        <w:t xml:space="preserve"> </w:t>
      </w:r>
      <w:r w:rsidR="00747A3E">
        <w:t>tādēļ tās spriedums ir atceļams. V</w:t>
      </w:r>
      <w:r>
        <w:t>ienlaikus</w:t>
      </w:r>
      <w:r w:rsidR="00747A3E">
        <w:t xml:space="preserve"> Senāts norāda tālāk minēto</w:t>
      </w:r>
      <w:r>
        <w:t>.</w:t>
      </w:r>
    </w:p>
    <w:p w14:paraId="40DD1124" w14:textId="77777777" w:rsidR="002641B1" w:rsidRDefault="002641B1" w:rsidP="00E57113">
      <w:pPr>
        <w:pStyle w:val="Style1"/>
      </w:pPr>
    </w:p>
    <w:p w14:paraId="7BE769D1" w14:textId="01651705" w:rsidR="00ED0129" w:rsidRDefault="002641B1" w:rsidP="00E57113">
      <w:pPr>
        <w:pStyle w:val="Style1"/>
      </w:pPr>
      <w:r>
        <w:t>[9] </w:t>
      </w:r>
      <w:r w:rsidR="00C00280">
        <w:t>Faktu konstatēšanu administratīvajā procesā iestādē regulē pamatošanas princips (sal.</w:t>
      </w:r>
      <w:r w:rsidR="009C7783">
        <w:t> </w:t>
      </w:r>
      <w:r w:rsidR="00C00280">
        <w:rPr>
          <w:i/>
          <w:iCs/>
        </w:rPr>
        <w:t xml:space="preserve">Senāta </w:t>
      </w:r>
      <w:r w:rsidR="00C00280" w:rsidRPr="0055774A">
        <w:rPr>
          <w:i/>
          <w:iCs/>
        </w:rPr>
        <w:t>2023.gada 31.oktobr</w:t>
      </w:r>
      <w:r w:rsidR="00C00280">
        <w:rPr>
          <w:i/>
          <w:iCs/>
        </w:rPr>
        <w:t xml:space="preserve">a sprieduma lietā Nr. SKA-4/2023, </w:t>
      </w:r>
      <w:hyperlink r:id="rId10" w:history="1">
        <w:r w:rsidR="00C00280" w:rsidRPr="00032491">
          <w:rPr>
            <w:rStyle w:val="Hyperlink"/>
            <w:i/>
            <w:iCs/>
          </w:rPr>
          <w:t>ECLI:LV:AT:2024:0125.A43009817.8.S</w:t>
        </w:r>
      </w:hyperlink>
      <w:r w:rsidR="00C00280">
        <w:rPr>
          <w:i/>
          <w:iCs/>
        </w:rPr>
        <w:t xml:space="preserve">, </w:t>
      </w:r>
      <w:r w:rsidR="00C00280" w:rsidRPr="0055774A">
        <w:rPr>
          <w:i/>
          <w:iCs/>
        </w:rPr>
        <w:t>17.punkt</w:t>
      </w:r>
      <w:r w:rsidR="00ED0129">
        <w:rPr>
          <w:i/>
          <w:iCs/>
        </w:rPr>
        <w:t>s</w:t>
      </w:r>
      <w:r w:rsidR="004D702E">
        <w:rPr>
          <w:i/>
          <w:iCs/>
        </w:rPr>
        <w:t xml:space="preserve">; </w:t>
      </w:r>
      <w:r w:rsidR="004D702E" w:rsidRPr="00150411">
        <w:rPr>
          <w:i/>
          <w:iCs/>
        </w:rPr>
        <w:t>2024.gada 28.augusta spriedum</w:t>
      </w:r>
      <w:r w:rsidR="004D702E">
        <w:rPr>
          <w:i/>
          <w:iCs/>
        </w:rPr>
        <w:t>a</w:t>
      </w:r>
      <w:r w:rsidR="004D702E" w:rsidRPr="00150411">
        <w:rPr>
          <w:i/>
          <w:iCs/>
        </w:rPr>
        <w:t xml:space="preserve"> </w:t>
      </w:r>
      <w:r w:rsidR="004D702E">
        <w:rPr>
          <w:i/>
          <w:iCs/>
        </w:rPr>
        <w:t>l</w:t>
      </w:r>
      <w:r w:rsidR="004D702E" w:rsidRPr="00150411">
        <w:rPr>
          <w:i/>
          <w:iCs/>
        </w:rPr>
        <w:t>ieta Nr.</w:t>
      </w:r>
      <w:r w:rsidR="004D702E">
        <w:rPr>
          <w:i/>
          <w:iCs/>
        </w:rPr>
        <w:t> </w:t>
      </w:r>
      <w:r w:rsidR="004D702E" w:rsidRPr="00150411">
        <w:rPr>
          <w:i/>
          <w:iCs/>
        </w:rPr>
        <w:t>SA-2/2024</w:t>
      </w:r>
      <w:r w:rsidR="00032491">
        <w:rPr>
          <w:i/>
          <w:iCs/>
        </w:rPr>
        <w:t>,</w:t>
      </w:r>
      <w:r w:rsidR="004D702E" w:rsidRPr="00150411">
        <w:rPr>
          <w:i/>
          <w:iCs/>
        </w:rPr>
        <w:t xml:space="preserve"> </w:t>
      </w:r>
      <w:hyperlink r:id="rId11" w:history="1">
        <w:r w:rsidR="004D702E" w:rsidRPr="00032491">
          <w:rPr>
            <w:rStyle w:val="Hyperlink"/>
            <w:i/>
            <w:iCs/>
          </w:rPr>
          <w:t>ECLI:LV:AT:2024:0828.SA000224.4.S</w:t>
        </w:r>
      </w:hyperlink>
      <w:r w:rsidR="004D702E">
        <w:t>,</w:t>
      </w:r>
      <w:r w:rsidR="004D702E" w:rsidRPr="00150411">
        <w:rPr>
          <w:i/>
          <w:iCs/>
        </w:rPr>
        <w:t xml:space="preserve"> 12.punkt</w:t>
      </w:r>
      <w:r w:rsidR="004D702E">
        <w:rPr>
          <w:i/>
          <w:iCs/>
        </w:rPr>
        <w:t>s</w:t>
      </w:r>
      <w:r w:rsidR="00C00280">
        <w:t>), savukārt faktu pierādīšanu tiesā regulē Administratīvā procesa likuma 150.</w:t>
      </w:r>
      <w:r w:rsidR="0090509F">
        <w:t>–</w:t>
      </w:r>
      <w:r w:rsidR="00C00280" w:rsidRPr="002641B1">
        <w:t>183.</w:t>
      </w:r>
      <w:r w:rsidR="00C00280">
        <w:t xml:space="preserve">pants. </w:t>
      </w:r>
    </w:p>
    <w:p w14:paraId="77D36BA9" w14:textId="77777777" w:rsidR="00C00280" w:rsidRDefault="00C00280" w:rsidP="00E57113">
      <w:pPr>
        <w:pStyle w:val="Style1"/>
      </w:pPr>
      <w:r>
        <w:t>Tādēļ pieteicējas argumenti ir jāaplūko no diviem aspektiem, pirmkārt, pārbaudo</w:t>
      </w:r>
      <w:r w:rsidR="006C4CE4">
        <w:t>t</w:t>
      </w:r>
      <w:r>
        <w:t>, vai apgabaltiesa ir pareizi izvērtējusi</w:t>
      </w:r>
      <w:r w:rsidR="006C4CE4">
        <w:t xml:space="preserve">, </w:t>
      </w:r>
      <w:r>
        <w:t xml:space="preserve">vai pašvaldība lēmuma </w:t>
      </w:r>
      <w:r w:rsidR="00C00AA2">
        <w:t xml:space="preserve">pieņemšanas </w:t>
      </w:r>
      <w:r>
        <w:t xml:space="preserve">administratīvā procesa iestādē laikā ir ievērojusi pamatojuma principa prasības un, otrkārt, to, vai apgabaltiesa nav </w:t>
      </w:r>
      <w:r w:rsidR="00210F39">
        <w:t>pieļāvusi</w:t>
      </w:r>
      <w:r>
        <w:t xml:space="preserve"> būtisku procesuālo tiesību pārkāpumu</w:t>
      </w:r>
      <w:r w:rsidR="00B8774A">
        <w:t xml:space="preserve"> </w:t>
      </w:r>
      <w:r>
        <w:t>pierādījumu novērtējumā</w:t>
      </w:r>
      <w:r w:rsidR="006639EE">
        <w:t xml:space="preserve"> (</w:t>
      </w:r>
      <w:r w:rsidR="006639EE" w:rsidRPr="00ED0129">
        <w:t>sk.</w:t>
      </w:r>
      <w:r w:rsidR="006639EE" w:rsidRPr="006639EE">
        <w:rPr>
          <w:i/>
          <w:iCs/>
        </w:rPr>
        <w:t xml:space="preserve"> š</w:t>
      </w:r>
      <w:r w:rsidR="00ED0129">
        <w:rPr>
          <w:i/>
          <w:iCs/>
        </w:rPr>
        <w:t>ā</w:t>
      </w:r>
      <w:r w:rsidR="006639EE" w:rsidRPr="006639EE">
        <w:rPr>
          <w:i/>
          <w:iCs/>
        </w:rPr>
        <w:t xml:space="preserve"> sprieduma </w:t>
      </w:r>
      <w:r w:rsidR="006C79AE">
        <w:rPr>
          <w:i/>
          <w:iCs/>
        </w:rPr>
        <w:t>1</w:t>
      </w:r>
      <w:r w:rsidR="00E957A2">
        <w:rPr>
          <w:i/>
          <w:iCs/>
        </w:rPr>
        <w:t>4</w:t>
      </w:r>
      <w:r w:rsidR="006C79AE">
        <w:rPr>
          <w:i/>
          <w:iCs/>
        </w:rPr>
        <w:t>.</w:t>
      </w:r>
      <w:r w:rsidR="00ED0129">
        <w:rPr>
          <w:i/>
          <w:iCs/>
        </w:rPr>
        <w:t>–</w:t>
      </w:r>
      <w:r w:rsidR="006C79AE">
        <w:rPr>
          <w:i/>
          <w:iCs/>
        </w:rPr>
        <w:t>1</w:t>
      </w:r>
      <w:r w:rsidR="00E957A2">
        <w:rPr>
          <w:i/>
          <w:iCs/>
        </w:rPr>
        <w:t>8</w:t>
      </w:r>
      <w:r w:rsidR="006639EE" w:rsidRPr="006639EE">
        <w:rPr>
          <w:i/>
          <w:iCs/>
        </w:rPr>
        <w:t>.punktu</w:t>
      </w:r>
      <w:r w:rsidR="006639EE">
        <w:t>)</w:t>
      </w:r>
      <w:r>
        <w:t xml:space="preserve">. </w:t>
      </w:r>
    </w:p>
    <w:p w14:paraId="04D6329A" w14:textId="55C48727" w:rsidR="00B77C28" w:rsidRDefault="00C00280" w:rsidP="00E57113">
      <w:pPr>
        <w:pStyle w:val="Style1"/>
      </w:pPr>
      <w:r>
        <w:t>T</w:t>
      </w:r>
      <w:r w:rsidR="00784938" w:rsidRPr="0055774A">
        <w:t>iesa</w:t>
      </w:r>
      <w:r w:rsidR="00784938">
        <w:t>, kur</w:t>
      </w:r>
      <w:r w:rsidR="009C7783">
        <w:t xml:space="preserve">ai jānovērtē </w:t>
      </w:r>
      <w:r w:rsidR="00784938">
        <w:t>pierādījum</w:t>
      </w:r>
      <w:r w:rsidR="00747A3E">
        <w:t>i</w:t>
      </w:r>
      <w:r w:rsidR="00784938">
        <w:t xml:space="preserve"> </w:t>
      </w:r>
      <w:r w:rsidR="00784938" w:rsidRPr="00DB016D">
        <w:t>pēc savas iekšējās pārliecības</w:t>
      </w:r>
      <w:r w:rsidR="00784938" w:rsidRPr="0055774A">
        <w:t xml:space="preserve"> </w:t>
      </w:r>
      <w:r w:rsidR="00784938">
        <w:t>(</w:t>
      </w:r>
      <w:r w:rsidR="00784938" w:rsidRPr="00DB016D">
        <w:rPr>
          <w:i/>
          <w:iCs/>
        </w:rPr>
        <w:t>Administratīvā procesa likuma 154.panta pirmā daļa</w:t>
      </w:r>
      <w:r w:rsidR="00784938">
        <w:t xml:space="preserve">), </w:t>
      </w:r>
      <w:r w:rsidR="00784938" w:rsidRPr="0055774A">
        <w:t xml:space="preserve">var un tai </w:t>
      </w:r>
      <w:r w:rsidR="00B8774A">
        <w:t>ir jāļauj</w:t>
      </w:r>
      <w:r w:rsidR="00784938" w:rsidRPr="0055774A">
        <w:t xml:space="preserve"> </w:t>
      </w:r>
      <w:r w:rsidR="00AB689C">
        <w:t xml:space="preserve">procesa </w:t>
      </w:r>
      <w:r w:rsidR="00784938" w:rsidRPr="0055774A">
        <w:t xml:space="preserve">dalībniekiem iesniegt papildu pierādījumus par iestādes lēmumā minēto pamatojumu. Pat ja </w:t>
      </w:r>
      <w:r w:rsidR="00ED0129">
        <w:t xml:space="preserve">pārsūdzētajā </w:t>
      </w:r>
      <w:r w:rsidR="00784938" w:rsidRPr="0055774A">
        <w:t xml:space="preserve">lēmumā nav atspoguļoti visi pierādījumi iestādes </w:t>
      </w:r>
      <w:r w:rsidR="00AF3E4D">
        <w:t xml:space="preserve">lēmuma </w:t>
      </w:r>
      <w:r w:rsidR="00784938" w:rsidRPr="0055774A">
        <w:t xml:space="preserve">pamatojumam vai tie izvēlēti neveiksmīgi, </w:t>
      </w:r>
      <w:r w:rsidR="00A4377A">
        <w:t xml:space="preserve">vispārīgi </w:t>
      </w:r>
      <w:r w:rsidR="00784938" w:rsidRPr="0055774A">
        <w:t>gan iestāde, gan privātpersona tiesā var iesniegt papildu pierādījumus</w:t>
      </w:r>
      <w:r w:rsidR="00784938">
        <w:t xml:space="preserve"> (</w:t>
      </w:r>
      <w:r w:rsidR="00784938" w:rsidRPr="0055774A">
        <w:rPr>
          <w:i/>
          <w:iCs/>
        </w:rPr>
        <w:t>Senāta</w:t>
      </w:r>
      <w:r w:rsidR="00784938">
        <w:t xml:space="preserve"> </w:t>
      </w:r>
      <w:r w:rsidR="00784938" w:rsidRPr="0055774A">
        <w:rPr>
          <w:i/>
          <w:iCs/>
        </w:rPr>
        <w:t>2012.gada 9.novembra sprieduma lietā Nr.</w:t>
      </w:r>
      <w:r w:rsidR="00ED0129">
        <w:rPr>
          <w:i/>
          <w:iCs/>
        </w:rPr>
        <w:t> </w:t>
      </w:r>
      <w:hyperlink r:id="rId12" w:history="1">
        <w:r w:rsidR="00784938" w:rsidRPr="00032491">
          <w:rPr>
            <w:rStyle w:val="Hyperlink"/>
            <w:i/>
            <w:iCs/>
          </w:rPr>
          <w:t>SKA-443/2012</w:t>
        </w:r>
      </w:hyperlink>
      <w:r w:rsidR="00784938" w:rsidRPr="0055774A">
        <w:rPr>
          <w:i/>
          <w:iCs/>
        </w:rPr>
        <w:t xml:space="preserve">, </w:t>
      </w:r>
      <w:r w:rsidR="00784938" w:rsidRPr="00032491">
        <w:rPr>
          <w:i/>
          <w:iCs/>
        </w:rPr>
        <w:t>A42643408</w:t>
      </w:r>
      <w:r w:rsidR="00784938" w:rsidRPr="0055774A">
        <w:rPr>
          <w:i/>
          <w:iCs/>
        </w:rPr>
        <w:t>, 10.punkt</w:t>
      </w:r>
      <w:r w:rsidR="00784938">
        <w:t>s).</w:t>
      </w:r>
      <w:r w:rsidR="002C1151">
        <w:t xml:space="preserve"> Citiem vārdiem, </w:t>
      </w:r>
      <w:r w:rsidR="002C1151" w:rsidRPr="00747A3E">
        <w:t xml:space="preserve">pilnīga </w:t>
      </w:r>
      <w:r w:rsidR="00AF3E4D">
        <w:t xml:space="preserve">(galīga) </w:t>
      </w:r>
      <w:r w:rsidR="002C1151" w:rsidRPr="00747A3E">
        <w:t>lietas faktu noskaidrošana notiek tiesā</w:t>
      </w:r>
      <w:r w:rsidR="00075D75">
        <w:t xml:space="preserve"> </w:t>
      </w:r>
      <w:r w:rsidR="009B4B1C">
        <w:t>un tiesvedības gaitā var tik noskaidroti fakti, kas nav minēti administratīvā akta izdošanas brīd</w:t>
      </w:r>
      <w:r w:rsidR="00ED0129">
        <w:t>ī</w:t>
      </w:r>
      <w:r w:rsidR="0035714F">
        <w:t>,</w:t>
      </w:r>
      <w:r w:rsidR="009B4B1C">
        <w:t xml:space="preserve"> kā arī pierādīti fakti</w:t>
      </w:r>
      <w:r w:rsidR="00B8774A">
        <w:t>,</w:t>
      </w:r>
      <w:r w:rsidR="009B4B1C">
        <w:t xml:space="preserve"> par kuriem</w:t>
      </w:r>
      <w:r w:rsidR="006639EE">
        <w:t>,</w:t>
      </w:r>
      <w:r w:rsidR="009B4B1C">
        <w:t xml:space="preserve"> iespējams</w:t>
      </w:r>
      <w:r w:rsidR="006639EE">
        <w:t>,</w:t>
      </w:r>
      <w:r w:rsidR="009B4B1C">
        <w:t xml:space="preserve"> nebija pietiekam</w:t>
      </w:r>
      <w:r w:rsidR="00B8774A">
        <w:t>u</w:t>
      </w:r>
      <w:r w:rsidR="009B4B1C">
        <w:t xml:space="preserve"> pierādījum</w:t>
      </w:r>
      <w:r w:rsidR="00B8774A">
        <w:t>u</w:t>
      </w:r>
      <w:r>
        <w:t xml:space="preserve"> administratīvā akta izdošanas brīdī</w:t>
      </w:r>
      <w:r w:rsidR="002C1151">
        <w:t>.</w:t>
      </w:r>
      <w:r w:rsidR="009B4B1C">
        <w:t xml:space="preserve"> </w:t>
      </w:r>
    </w:p>
    <w:p w14:paraId="285FE955" w14:textId="0FCB05E7" w:rsidR="00784938" w:rsidRDefault="00747A3E" w:rsidP="00E57113">
      <w:pPr>
        <w:pStyle w:val="Style1"/>
      </w:pPr>
      <w:r>
        <w:t>A</w:t>
      </w:r>
      <w:r w:rsidR="00B77C28">
        <w:t xml:space="preserve">rgumentus par faktu pierādīšanu tiesvedības gaitā </w:t>
      </w:r>
      <w:r>
        <w:t xml:space="preserve">un </w:t>
      </w:r>
      <w:r w:rsidR="002641B1">
        <w:t>pamatošanas pienākuma saturu lēmum</w:t>
      </w:r>
      <w:r w:rsidR="00B8774A">
        <w:t>ā</w:t>
      </w:r>
      <w:r w:rsidR="002641B1">
        <w:t>, kas pieņemts, piemērojot noteikumu Nr.</w:t>
      </w:r>
      <w:r w:rsidR="00032491">
        <w:t> </w:t>
      </w:r>
      <w:r w:rsidR="002641B1">
        <w:t xml:space="preserve">309 </w:t>
      </w:r>
      <w:r w:rsidR="002641B1" w:rsidRPr="00341E27">
        <w:t>23. un 24.punktu</w:t>
      </w:r>
      <w:r w:rsidR="00B92E7F">
        <w:t xml:space="preserve">, </w:t>
      </w:r>
      <w:r>
        <w:t>Senāts aplūkos tālāk</w:t>
      </w:r>
      <w:r w:rsidR="00B77C28">
        <w:t>.</w:t>
      </w:r>
      <w:r w:rsidR="004B084A">
        <w:t xml:space="preserve"> </w:t>
      </w:r>
    </w:p>
    <w:p w14:paraId="02871BE1" w14:textId="77777777" w:rsidR="006C4CE4" w:rsidRDefault="006C4CE4" w:rsidP="00E57113">
      <w:pPr>
        <w:pStyle w:val="Style1"/>
      </w:pPr>
    </w:p>
    <w:p w14:paraId="14452A7B" w14:textId="69693656" w:rsidR="00F04700" w:rsidRDefault="00C64818" w:rsidP="00E57113">
      <w:pPr>
        <w:pStyle w:val="Style1"/>
      </w:pPr>
      <w:r>
        <w:t>[</w:t>
      </w:r>
      <w:r w:rsidR="002641B1">
        <w:t>10</w:t>
      </w:r>
      <w:r>
        <w:t>]</w:t>
      </w:r>
      <w:r w:rsidR="00FC5C1D">
        <w:t> </w:t>
      </w:r>
      <w:r w:rsidR="00B77C28">
        <w:t xml:space="preserve">Pamatošanas pienākuma pārkāpums, proti, nepietiekami pamatots lēmums ir patstāvīgs </w:t>
      </w:r>
      <w:r w:rsidR="00AF3E4D">
        <w:t xml:space="preserve">šā </w:t>
      </w:r>
      <w:r w:rsidR="00B77C28">
        <w:t>lēmuma atcelšanas iemesls.</w:t>
      </w:r>
      <w:r w:rsidR="00F04700">
        <w:t xml:space="preserve"> Tā kā pamatošana ir procesuāla darbība, izvērtējot pamatošanas principa ievērošanu</w:t>
      </w:r>
      <w:r w:rsidR="00C102A2">
        <w:t>,</w:t>
      </w:r>
      <w:r w:rsidR="00F04700">
        <w:t xml:space="preserve"> nav nozīmes tam, vai iestādes motīvi ir pareizi </w:t>
      </w:r>
      <w:r w:rsidR="00DE2CB5">
        <w:t>un</w:t>
      </w:r>
      <w:r w:rsidR="00F04700">
        <w:t xml:space="preserve"> </w:t>
      </w:r>
      <w:r w:rsidR="00FE3AD8">
        <w:t xml:space="preserve">pilnīgi </w:t>
      </w:r>
      <w:r w:rsidR="00F04700">
        <w:t>pierādīti, bet gan</w:t>
      </w:r>
      <w:r w:rsidR="00FE3AD8">
        <w:t>,</w:t>
      </w:r>
      <w:r w:rsidR="00F04700">
        <w:t xml:space="preserve"> </w:t>
      </w:r>
      <w:r w:rsidR="006C4CE4">
        <w:t xml:space="preserve">vai </w:t>
      </w:r>
      <w:r w:rsidR="00F04700">
        <w:t xml:space="preserve">tie vispār no lēmuma vai ar to saistītajiem materiāliem </w:t>
      </w:r>
      <w:r w:rsidR="00032491">
        <w:t xml:space="preserve">ir </w:t>
      </w:r>
      <w:r w:rsidR="00F04700">
        <w:t xml:space="preserve">noskaidrojami. </w:t>
      </w:r>
    </w:p>
    <w:p w14:paraId="3C7B7CD0" w14:textId="77777777" w:rsidR="00163A7C" w:rsidRDefault="00770B59" w:rsidP="00E57113">
      <w:pPr>
        <w:pStyle w:val="Style1"/>
      </w:pPr>
      <w:r>
        <w:t>P</w:t>
      </w:r>
      <w:r w:rsidR="00F04700">
        <w:t xml:space="preserve">amatojuma principa </w:t>
      </w:r>
      <w:r w:rsidR="002641B1">
        <w:t xml:space="preserve">(un tādēļ pienākuma) </w:t>
      </w:r>
      <w:r w:rsidR="00F04700">
        <w:t>satu</w:t>
      </w:r>
      <w:r w:rsidR="00C95508">
        <w:t>ra noskaidrošanā</w:t>
      </w:r>
      <w:r>
        <w:t xml:space="preserve"> svarīgi šādi faktori: </w:t>
      </w:r>
      <w:r w:rsidR="00F04700">
        <w:t xml:space="preserve">konkrēta lēmuma </w:t>
      </w:r>
      <w:r w:rsidR="00FB1473">
        <w:t>nolēmuma daļ</w:t>
      </w:r>
      <w:r w:rsidR="00AF3E4D">
        <w:t>as</w:t>
      </w:r>
      <w:r w:rsidR="00FB1473">
        <w:t xml:space="preserve"> </w:t>
      </w:r>
      <w:r w:rsidR="00F04700">
        <w:t>veid</w:t>
      </w:r>
      <w:r w:rsidR="00FB1473">
        <w:t>s</w:t>
      </w:r>
      <w:r>
        <w:t xml:space="preserve"> (ar to radīt</w:t>
      </w:r>
      <w:r w:rsidR="006C4CE4">
        <w:t>o</w:t>
      </w:r>
      <w:r>
        <w:t xml:space="preserve"> sek</w:t>
      </w:r>
      <w:r w:rsidR="006C4CE4">
        <w:t>u veids</w:t>
      </w:r>
      <w:r w:rsidR="00964DA7">
        <w:t xml:space="preserve"> – t</w:t>
      </w:r>
      <w:r w:rsidR="006C4CE4">
        <w:t>iesību radīšana, pienākuma noteikšana, situācijas konstatēšana</w:t>
      </w:r>
      <w:r w:rsidR="004A743A">
        <w:t xml:space="preserve">, </w:t>
      </w:r>
      <w:r w:rsidR="006C4CE4">
        <w:t>statusa atzīšana</w:t>
      </w:r>
      <w:r w:rsidR="004A743A">
        <w:t xml:space="preserve"> vai </w:t>
      </w:r>
      <w:r w:rsidR="004A743A" w:rsidRPr="00747A3E">
        <w:t>disciplināra</w:t>
      </w:r>
      <w:r w:rsidR="004A743A">
        <w:t xml:space="preserve"> sodīšana</w:t>
      </w:r>
      <w:r>
        <w:t>)</w:t>
      </w:r>
      <w:r w:rsidR="00F04700">
        <w:t>, tiesīb</w:t>
      </w:r>
      <w:r w:rsidR="00BA13F0">
        <w:t>u</w:t>
      </w:r>
      <w:r w:rsidR="00F04700">
        <w:t xml:space="preserve"> joma, kurā tas pieņemts,</w:t>
      </w:r>
      <w:r w:rsidR="00C95508">
        <w:t xml:space="preserve"> īpaš</w:t>
      </w:r>
      <w:r>
        <w:t>ie</w:t>
      </w:r>
      <w:r w:rsidR="00C95508">
        <w:t xml:space="preserve"> procesuāl</w:t>
      </w:r>
      <w:r>
        <w:t xml:space="preserve">ie </w:t>
      </w:r>
      <w:r w:rsidR="00C95508">
        <w:t>noteikum</w:t>
      </w:r>
      <w:r>
        <w:t>i</w:t>
      </w:r>
      <w:r w:rsidR="00C95508">
        <w:t>, kas regulē lēmuma p</w:t>
      </w:r>
      <w:r w:rsidR="00BA13F0">
        <w:t>amatošanu</w:t>
      </w:r>
      <w:r>
        <w:t>,</w:t>
      </w:r>
      <w:r w:rsidR="00F04700">
        <w:t xml:space="preserve"> t</w:t>
      </w:r>
      <w:r w:rsidR="00BA13F0">
        <w:t>as</w:t>
      </w:r>
      <w:r w:rsidR="00F04700">
        <w:t xml:space="preserve">, cik būtiski </w:t>
      </w:r>
      <w:r w:rsidR="00BA13F0">
        <w:t>privāt</w:t>
      </w:r>
      <w:r w:rsidR="00F04700">
        <w:t xml:space="preserve">personas </w:t>
      </w:r>
      <w:r w:rsidR="00BA13F0">
        <w:t>situāciju lēmums</w:t>
      </w:r>
      <w:r w:rsidR="00F04700">
        <w:t xml:space="preserve"> ietekmē</w:t>
      </w:r>
      <w:r w:rsidR="00BA13F0">
        <w:t>,</w:t>
      </w:r>
      <w:r w:rsidR="00163A7C">
        <w:t xml:space="preserve"> un regulējuma īpatnības</w:t>
      </w:r>
      <w:r w:rsidR="00F04700">
        <w:t xml:space="preserve">. Citiem vārdiem, </w:t>
      </w:r>
      <w:r w:rsidR="002641B1">
        <w:t xml:space="preserve">administratīvā akta </w:t>
      </w:r>
      <w:r w:rsidR="00F04700">
        <w:t>pamatojuma ap</w:t>
      </w:r>
      <w:r w:rsidR="002B50A5">
        <w:t>joms</w:t>
      </w:r>
      <w:r w:rsidR="00F04700">
        <w:t xml:space="preserve"> un </w:t>
      </w:r>
      <w:r w:rsidR="004B084A">
        <w:t xml:space="preserve">tā </w:t>
      </w:r>
      <w:r w:rsidR="00F04700">
        <w:t>detalizācijas pakāpe ir noskaidrojama</w:t>
      </w:r>
      <w:r>
        <w:t xml:space="preserve"> katrā gadījumā atsevišķi</w:t>
      </w:r>
      <w:r w:rsidR="00F04700">
        <w:t xml:space="preserve">. </w:t>
      </w:r>
      <w:r w:rsidR="00B77C28">
        <w:t>Tomēr</w:t>
      </w:r>
      <w:r w:rsidR="00F04700">
        <w:t xml:space="preserve"> </w:t>
      </w:r>
      <w:r w:rsidR="00B77C28">
        <w:t>neatkarīgi no minētā, kas veido pamatojuma principa relatīvo aspektu, šim principam ir arī minimālās prasības</w:t>
      </w:r>
      <w:r w:rsidR="00F04700">
        <w:t xml:space="preserve"> (absolūtais aspekts)</w:t>
      </w:r>
      <w:r w:rsidR="00B77C28">
        <w:t>. Minimālās prasīb</w:t>
      </w:r>
      <w:r w:rsidR="00C102A2">
        <w:t>a</w:t>
      </w:r>
      <w:r w:rsidR="00B77C28">
        <w:t xml:space="preserve">s </w:t>
      </w:r>
      <w:r w:rsidR="002641B1">
        <w:t>administratīvajam aktam</w:t>
      </w:r>
      <w:r w:rsidR="00B77C28">
        <w:t xml:space="preserve">, kas izdots rakstveidā, ir šādas: </w:t>
      </w:r>
      <w:r w:rsidR="00F04700">
        <w:t xml:space="preserve">tam </w:t>
      </w:r>
      <w:r w:rsidR="00B77C28">
        <w:t>vispār ir pamatojums, kurā norādītas</w:t>
      </w:r>
      <w:r w:rsidR="006C4CE4">
        <w:t xml:space="preserve"> piemērotās</w:t>
      </w:r>
      <w:r w:rsidR="00B77C28">
        <w:t xml:space="preserve"> tiesību normas, tā pamatā ir objektīvs situācijas novērtējums un lēmuma vārdiskais saturs, tam pievienotie materiāli vai izdošanas konteksts </w:t>
      </w:r>
      <w:r w:rsidR="00C95508">
        <w:t xml:space="preserve">ļauj </w:t>
      </w:r>
      <w:r w:rsidR="00B77C28">
        <w:t>tā adresātam</w:t>
      </w:r>
      <w:r w:rsidR="00C95508">
        <w:t xml:space="preserve"> saprast lēmuma pamatojumā iekļautos apgalvojumus par faktiem, to tiesisko novērtējumu</w:t>
      </w:r>
      <w:r w:rsidR="00BA13F0">
        <w:t xml:space="preserve">, </w:t>
      </w:r>
      <w:r w:rsidR="00C95508">
        <w:t>metodi un metodoloģiju</w:t>
      </w:r>
      <w:r w:rsidR="00DE2CB5">
        <w:t>,</w:t>
      </w:r>
      <w:r w:rsidR="00C95508">
        <w:t xml:space="preserve"> ar kādu izdarīti mērījumi</w:t>
      </w:r>
      <w:r w:rsidR="00FE3AD8">
        <w:t>,</w:t>
      </w:r>
      <w:r w:rsidR="00C95508">
        <w:t xml:space="preserve"> vērtējumi</w:t>
      </w:r>
      <w:r w:rsidR="00FE3AD8">
        <w:t>, analīzes vai novērojami</w:t>
      </w:r>
      <w:r w:rsidR="00C95508">
        <w:t xml:space="preserve">, lai nodrošinātu </w:t>
      </w:r>
      <w:r w:rsidR="00C95508" w:rsidRPr="00F6295D">
        <w:t>efektīvas tiesības</w:t>
      </w:r>
      <w:r w:rsidR="00B77C28">
        <w:t xml:space="preserve"> </w:t>
      </w:r>
      <w:r w:rsidR="00B77C28" w:rsidRPr="00F6295D">
        <w:t xml:space="preserve">iebilst un lūgt tiesu pārbaudīt, vai iestāde </w:t>
      </w:r>
      <w:r w:rsidR="00F04700">
        <w:t>nav</w:t>
      </w:r>
      <w:r w:rsidR="00B77C28" w:rsidRPr="00F6295D">
        <w:t xml:space="preserve"> pieļāvusi kļūdas</w:t>
      </w:r>
      <w:r w:rsidR="00B77C28">
        <w:t xml:space="preserve"> savā novērtējumā</w:t>
      </w:r>
      <w:r w:rsidR="00B77C28" w:rsidRPr="00F6295D">
        <w:t>.</w:t>
      </w:r>
      <w:r w:rsidR="00163A7C">
        <w:t xml:space="preserve"> </w:t>
      </w:r>
    </w:p>
    <w:p w14:paraId="68701705" w14:textId="77777777" w:rsidR="006A6599" w:rsidRPr="00F7207D" w:rsidRDefault="00F04700" w:rsidP="00E57113">
      <w:pPr>
        <w:pStyle w:val="Style1"/>
        <w:rPr>
          <w:b/>
          <w:i/>
          <w:iCs/>
        </w:rPr>
      </w:pPr>
      <w:r>
        <w:t xml:space="preserve">Tiesai, ja </w:t>
      </w:r>
      <w:r w:rsidR="00BA13F0">
        <w:t>pieteicējs ceļ argumentu par pamatojuma principa pārkāpumu</w:t>
      </w:r>
      <w:r w:rsidR="002641B1">
        <w:t>,</w:t>
      </w:r>
      <w:r>
        <w:t xml:space="preserve"> </w:t>
      </w:r>
      <w:r w:rsidR="002641B1">
        <w:t>šāda argumenta pamatotība</w:t>
      </w:r>
      <w:r>
        <w:t>, nošķirti no jautājuma par faktu pierādīšanu, ir jāpārbauda</w:t>
      </w:r>
      <w:r w:rsidR="00747A3E">
        <w:t>,</w:t>
      </w:r>
      <w:r w:rsidR="002641B1">
        <w:t xml:space="preserve"> analizējot</w:t>
      </w:r>
      <w:r>
        <w:t xml:space="preserve">, vai iestāde lēmuma pieņemšanā nav rīkojusies patvaļīgi, proti, vai lēmumam vispār ir pamatojums un vai tā pamatā ir objektīvs, kaut arī </w:t>
      </w:r>
      <w:r w:rsidR="0063166B">
        <w:t xml:space="preserve">iespējams </w:t>
      </w:r>
      <w:r>
        <w:t xml:space="preserve">nepilnīgi pierādīts, situācijas novērtējums vai, gluži pretēji, amatpersonas subjektīvs viedoklis, kas turklāt var arī balstīties uz nepieļaujamiem motīviem </w:t>
      </w:r>
      <w:r w:rsidR="00C102A2">
        <w:t>(</w:t>
      </w:r>
      <w:r w:rsidRPr="00AF3E4D">
        <w:t>sal.</w:t>
      </w:r>
      <w:r w:rsidR="00964DA7">
        <w:rPr>
          <w:i/>
          <w:iCs/>
        </w:rPr>
        <w:t> </w:t>
      </w:r>
      <w:r w:rsidRPr="00F7207D">
        <w:rPr>
          <w:i/>
          <w:iCs/>
        </w:rPr>
        <w:t>Senāta 2025.gada 30.septembra spriedum</w:t>
      </w:r>
      <w:r w:rsidR="00C102A2">
        <w:rPr>
          <w:i/>
          <w:iCs/>
        </w:rPr>
        <w:t>a</w:t>
      </w:r>
      <w:r w:rsidRPr="00F7207D">
        <w:rPr>
          <w:i/>
          <w:iCs/>
        </w:rPr>
        <w:t xml:space="preserve"> lietā Nr. SKA-</w:t>
      </w:r>
      <w:r w:rsidR="007F180C" w:rsidRPr="00F7207D">
        <w:rPr>
          <w:i/>
          <w:iCs/>
        </w:rPr>
        <w:t>140/</w:t>
      </w:r>
      <w:r w:rsidRPr="00F7207D">
        <w:rPr>
          <w:i/>
          <w:iCs/>
        </w:rPr>
        <w:t xml:space="preserve">2025, </w:t>
      </w:r>
      <w:hyperlink r:id="rId13" w:history="1">
        <w:r w:rsidR="00F7207D" w:rsidRPr="00F7207D">
          <w:rPr>
            <w:rStyle w:val="Hyperlink"/>
            <w:i/>
            <w:iCs/>
          </w:rPr>
          <w:t>ECLI:LV:AT:2025:0930.A420205922.10.S</w:t>
        </w:r>
      </w:hyperlink>
      <w:r w:rsidRPr="00F7207D">
        <w:rPr>
          <w:i/>
          <w:iCs/>
        </w:rPr>
        <w:t>, 10.punkt</w:t>
      </w:r>
      <w:r w:rsidR="00AF3E4D">
        <w:rPr>
          <w:i/>
          <w:iCs/>
        </w:rPr>
        <w:t>s</w:t>
      </w:r>
      <w:r>
        <w:t>)</w:t>
      </w:r>
      <w:r w:rsidR="00C102A2">
        <w:t>,</w:t>
      </w:r>
      <w:r w:rsidR="002641B1">
        <w:t xml:space="preserve"> kā arī, ja pastāv kādi pamatošanai būtiski noteikumi vai regulējuma īpatnības, vai šīs īpatnības ir ievērotas</w:t>
      </w:r>
      <w:r>
        <w:t>.</w:t>
      </w:r>
    </w:p>
    <w:p w14:paraId="2F300464" w14:textId="77777777" w:rsidR="003C01EA" w:rsidRDefault="003C01EA" w:rsidP="00E57113">
      <w:pPr>
        <w:pStyle w:val="Style1"/>
      </w:pPr>
    </w:p>
    <w:p w14:paraId="6025478B" w14:textId="77777777" w:rsidR="00163A7C" w:rsidRDefault="00F83068" w:rsidP="00E57113">
      <w:pPr>
        <w:pStyle w:val="Style1"/>
      </w:pPr>
      <w:r>
        <w:t>[1</w:t>
      </w:r>
      <w:r w:rsidR="002641B1">
        <w:t>1</w:t>
      </w:r>
      <w:r>
        <w:t>]</w:t>
      </w:r>
      <w:r w:rsidR="00B31296">
        <w:t> </w:t>
      </w:r>
      <w:r w:rsidR="008017B5">
        <w:t>Izskatāmajā lietā p</w:t>
      </w:r>
      <w:r w:rsidR="004A743A">
        <w:t xml:space="preserve">ieteicēja pēc būtības neargumentē, ka lēmuma pamatojums neatbilst absolūtajām prasībām, bet gan argumentē, ka jau lēmuma pieņemšanas brīdī tam bija jābūt pamatotam </w:t>
      </w:r>
      <w:r w:rsidR="004A743A" w:rsidRPr="00964DA7">
        <w:t>ar pierādīšanas līdzekļiem</w:t>
      </w:r>
      <w:r w:rsidR="004A743A">
        <w:t>.</w:t>
      </w:r>
      <w:r w:rsidR="00115722" w:rsidRPr="00115722">
        <w:t xml:space="preserve"> </w:t>
      </w:r>
      <w:r w:rsidR="004A743A">
        <w:t>Tātad pieteicēja atsaucas uz pam</w:t>
      </w:r>
      <w:r w:rsidR="00B31296">
        <w:t>atojuma</w:t>
      </w:r>
      <w:r w:rsidR="004A743A">
        <w:t xml:space="preserve"> principa pārkāpumu no tā relatīv</w:t>
      </w:r>
      <w:r w:rsidR="004F2E30">
        <w:t>ā</w:t>
      </w:r>
      <w:r w:rsidR="004A743A">
        <w:t xml:space="preserve"> aspekt</w:t>
      </w:r>
      <w:r w:rsidR="004F2E30">
        <w:t>a</w:t>
      </w:r>
      <w:r w:rsidR="00B31296">
        <w:t>, proti, to, kādas prasības pamatošanas princips paredz lēmuma, kas pieņemts par zaudējumu atlīdzības noteikšanu par koku nociršanu, gadījumā</w:t>
      </w:r>
      <w:r w:rsidR="004A743A">
        <w:t xml:space="preserve">. </w:t>
      </w:r>
      <w:r w:rsidR="00115722">
        <w:t>Lai noskaidrotu to, kādas prasības šāda lēmuma pamatojumam</w:t>
      </w:r>
      <w:r w:rsidR="002641B1">
        <w:t xml:space="preserve"> un pamatošanai</w:t>
      </w:r>
      <w:r w:rsidR="00115722">
        <w:t xml:space="preserve"> paredz pamatojuma princips, Senāts izvērtēs to, vai lēmumu pamatošanu regulē kādi īpaši procesuālie noteikumi, tiesību jomu, kurā lēmums pieņemts, to, cik būtiski privātpersonas situāciju lēmums ietekmē un kāds ir ar to radīto seku veids, </w:t>
      </w:r>
      <w:r w:rsidR="002641B1">
        <w:t xml:space="preserve">kā arī to, vai pastāv kādas </w:t>
      </w:r>
      <w:r w:rsidR="00115722">
        <w:t>regulējuma īpatnības.</w:t>
      </w:r>
    </w:p>
    <w:p w14:paraId="113689D3" w14:textId="1AE73F4A" w:rsidR="00651CAD" w:rsidRDefault="008017B5" w:rsidP="00E57113">
      <w:pPr>
        <w:pStyle w:val="Style1"/>
      </w:pPr>
      <w:r>
        <w:t>Pārsūdzētā iestādes l</w:t>
      </w:r>
      <w:r w:rsidR="00651CAD">
        <w:t>ēmuma pieņemšanu regulē noteikumi Nr.</w:t>
      </w:r>
      <w:r w:rsidR="00032491">
        <w:t> </w:t>
      </w:r>
      <w:r w:rsidR="00651CAD">
        <w:t xml:space="preserve">309. </w:t>
      </w:r>
      <w:r w:rsidR="00BA064B">
        <w:t>V</w:t>
      </w:r>
      <w:r w:rsidR="009E0A77">
        <w:t>ispārīg</w:t>
      </w:r>
      <w:r w:rsidR="00FE5A91">
        <w:t>i</w:t>
      </w:r>
      <w:r w:rsidR="00651CAD">
        <w:t xml:space="preserve"> šie noteikumi nenoteic iestādei pienākumu ievākt noteikta veida pierādīšanas līdzekļus</w:t>
      </w:r>
      <w:r w:rsidR="009E0A77">
        <w:t>. Izņēmum</w:t>
      </w:r>
      <w:r w:rsidR="00BA064B">
        <w:t>s</w:t>
      </w:r>
      <w:r w:rsidR="009E0A77">
        <w:t xml:space="preserve"> ir </w:t>
      </w:r>
      <w:r w:rsidR="00651CAD">
        <w:t>noteikumu</w:t>
      </w:r>
      <w:r w:rsidR="009E0A77">
        <w:t xml:space="preserve"> </w:t>
      </w:r>
      <w:r w:rsidR="00651CAD">
        <w:t>6.</w:t>
      </w:r>
      <w:r w:rsidR="00B10338">
        <w:t>,</w:t>
      </w:r>
      <w:r w:rsidR="00651CAD">
        <w:t xml:space="preserve"> 16.</w:t>
      </w:r>
      <w:r w:rsidR="00032491">
        <w:t>punkts</w:t>
      </w:r>
      <w:r w:rsidR="00B10338">
        <w:t xml:space="preserve"> un 25.5.apakš</w:t>
      </w:r>
      <w:r w:rsidR="00651CAD">
        <w:t>punkt</w:t>
      </w:r>
      <w:r w:rsidR="001D4E37">
        <w:t>s</w:t>
      </w:r>
      <w:r w:rsidR="00651CAD">
        <w:t xml:space="preserve"> vai</w:t>
      </w:r>
      <w:r w:rsidR="00FE5A91">
        <w:t xml:space="preserve"> arī</w:t>
      </w:r>
      <w:r w:rsidR="00651CAD">
        <w:t>, ja pašvaldība, ievērojot noteikumu 22.punktā paredzēto pilnvarojumu noteikt „</w:t>
      </w:r>
      <w:r w:rsidR="00651CAD" w:rsidRPr="00C646B9">
        <w:t>koku ciršanas izvērtēšanas kārtību</w:t>
      </w:r>
      <w:r w:rsidR="00651CAD">
        <w:t xml:space="preserve">”, nosaka kādus detalizētus noteikumus savos saistošajos noteikumos. </w:t>
      </w:r>
      <w:r w:rsidR="00FE5A91">
        <w:t>Ko</w:t>
      </w:r>
      <w:r w:rsidR="009E0A77">
        <w:t xml:space="preserve">nkrētajā gadījumā </w:t>
      </w:r>
      <w:r w:rsidR="00115722">
        <w:t xml:space="preserve">Liepājas </w:t>
      </w:r>
      <w:r w:rsidR="00FB1473">
        <w:t>valst</w:t>
      </w:r>
      <w:r w:rsidR="00C4435A">
        <w:t>s</w:t>
      </w:r>
      <w:r w:rsidR="00FB1473">
        <w:t>pilsēta</w:t>
      </w:r>
      <w:r w:rsidR="00964DA7">
        <w:t xml:space="preserve">s pašvaldības 2021.gada 16.decembra </w:t>
      </w:r>
      <w:r w:rsidR="00FB1473" w:rsidRPr="00964DA7">
        <w:t>saistoš</w:t>
      </w:r>
      <w:r w:rsidR="00FE5A91" w:rsidRPr="00964DA7">
        <w:t>ajos</w:t>
      </w:r>
      <w:r w:rsidR="00FB1473" w:rsidRPr="00964DA7">
        <w:t xml:space="preserve"> noteikum</w:t>
      </w:r>
      <w:r w:rsidR="00FE5A91" w:rsidRPr="00964DA7">
        <w:t>os</w:t>
      </w:r>
      <w:r w:rsidR="00FB1473" w:rsidRPr="00964DA7">
        <w:t xml:space="preserve"> Nr.</w:t>
      </w:r>
      <w:r w:rsidR="00032491">
        <w:t> </w:t>
      </w:r>
      <w:r w:rsidR="00FB1473" w:rsidRPr="00964DA7">
        <w:t>22</w:t>
      </w:r>
      <w:r w:rsidR="009E0A77" w:rsidRPr="00964DA7">
        <w:t> </w:t>
      </w:r>
      <w:r w:rsidR="00FB1473" w:rsidRPr="00964DA7">
        <w:t>„Saistošie</w:t>
      </w:r>
      <w:r w:rsidR="00FB1473" w:rsidRPr="00FB1473">
        <w:t xml:space="preserve"> noteikum</w:t>
      </w:r>
      <w:r w:rsidR="00FB1473">
        <w:t>i</w:t>
      </w:r>
      <w:r w:rsidR="00FB1473" w:rsidRPr="00FB1473">
        <w:t xml:space="preserve"> par koku ciršanu ārpus meža un apstādījumu aizsardzību Liepājas valstspilsētas pašvaldības teritorijā</w:t>
      </w:r>
      <w:r w:rsidR="00FB1473">
        <w:t>” nav precīzāk noregulē</w:t>
      </w:r>
      <w:r w:rsidR="00964DA7">
        <w:t>ts</w:t>
      </w:r>
      <w:r w:rsidR="00FB1473">
        <w:t xml:space="preserve"> t</w:t>
      </w:r>
      <w:r w:rsidR="00964DA7">
        <w:t>as</w:t>
      </w:r>
      <w:r w:rsidR="00FB1473">
        <w:t>, kādi pierādīšanas līdzekļi ir ievācami lēmuma pieņemšanas procesā.</w:t>
      </w:r>
      <w:r w:rsidR="00FB1473" w:rsidRPr="00FB1473">
        <w:t xml:space="preserve"> </w:t>
      </w:r>
      <w:r w:rsidR="00651CAD">
        <w:t xml:space="preserve">Tādēļ uz šo aspektu ir attiecināmi vispārējie administratīvā procesa noteikumi. </w:t>
      </w:r>
      <w:r w:rsidR="009E0A77">
        <w:t>Šajā ziņā Senāts piebilst, ka pretēji pieteicējas kasācijas sūdzīb</w:t>
      </w:r>
      <w:r w:rsidR="00C4435A">
        <w:t>ā</w:t>
      </w:r>
      <w:r w:rsidR="009E0A77">
        <w:t xml:space="preserve"> paustajam viedoklim (</w:t>
      </w:r>
      <w:r w:rsidR="009E0A77" w:rsidRPr="009E0A77">
        <w:rPr>
          <w:i/>
          <w:iCs/>
        </w:rPr>
        <w:t>kasācijas sūdzības 23.punkts</w:t>
      </w:r>
      <w:r w:rsidR="009E0A77">
        <w:t>) noteikumu Nr.</w:t>
      </w:r>
      <w:r w:rsidR="00032491">
        <w:t> </w:t>
      </w:r>
      <w:r w:rsidR="009E0A77">
        <w:t>309 22.punkts attiecībā uz pierādīšanas līdzekļu iegūšan</w:t>
      </w:r>
      <w:r w:rsidR="00FE5A91">
        <w:t>u</w:t>
      </w:r>
      <w:r w:rsidR="009E0A77">
        <w:t xml:space="preserve"> paredz pilnvaras, nevis uzdevumu, pašvaldībai tālāk noregulēt noteiktus jautājumus, jo obligāti noregulējam</w:t>
      </w:r>
      <w:r w:rsidR="00FE5A91">
        <w:t>i</w:t>
      </w:r>
      <w:r w:rsidR="009E0A77">
        <w:t xml:space="preserve"> </w:t>
      </w:r>
      <w:r w:rsidR="00FE5A91">
        <w:t xml:space="preserve">ir </w:t>
      </w:r>
      <w:r w:rsidR="00F078E5">
        <w:t xml:space="preserve">tikai </w:t>
      </w:r>
      <w:r w:rsidR="009E0A77" w:rsidRPr="009E0A77">
        <w:t>koku ciršanas izvērtēšanas kārtīb</w:t>
      </w:r>
      <w:r w:rsidR="009E0A77">
        <w:t>a</w:t>
      </w:r>
      <w:r w:rsidR="00FE5A91">
        <w:t>s</w:t>
      </w:r>
      <w:r w:rsidR="009E0A77" w:rsidRPr="009E0A77">
        <w:t xml:space="preserve"> un publiskās apspriešanas procedūras kārtīb</w:t>
      </w:r>
      <w:r w:rsidR="009E0A77">
        <w:t>a</w:t>
      </w:r>
      <w:r w:rsidR="00FE5A91">
        <w:t>s</w:t>
      </w:r>
      <w:r w:rsidR="009E0A77" w:rsidRPr="009E0A77">
        <w:t>, kā arī sabiedrībai nozīmīg</w:t>
      </w:r>
      <w:r w:rsidR="009E0A77">
        <w:t>i</w:t>
      </w:r>
      <w:r w:rsidR="009E0A77" w:rsidRPr="009E0A77">
        <w:t xml:space="preserve"> gadījum</w:t>
      </w:r>
      <w:r w:rsidR="009E0A77">
        <w:t xml:space="preserve">i, </w:t>
      </w:r>
      <w:r w:rsidR="009E0A77" w:rsidRPr="009E0A77">
        <w:t>kad rīko publisko apspriešanu</w:t>
      </w:r>
      <w:r w:rsidR="009E0A77">
        <w:t xml:space="preserve">, jautājumi, kas </w:t>
      </w:r>
      <w:r w:rsidR="00964DA7">
        <w:t xml:space="preserve">Liepājas valstspilsētas pašvaldības 2021.gada 16.decembra </w:t>
      </w:r>
      <w:r w:rsidR="00964DA7" w:rsidRPr="00964DA7">
        <w:t>saistošajos noteikumos Nr.</w:t>
      </w:r>
      <w:r w:rsidR="00DE2CB5">
        <w:t> </w:t>
      </w:r>
      <w:r w:rsidR="00964DA7" w:rsidRPr="00964DA7">
        <w:t>22</w:t>
      </w:r>
      <w:r w:rsidR="00505915">
        <w:t xml:space="preserve"> </w:t>
      </w:r>
      <w:r w:rsidR="00964DA7" w:rsidRPr="00964DA7">
        <w:t>„Saistošie</w:t>
      </w:r>
      <w:r w:rsidR="00964DA7" w:rsidRPr="00FB1473">
        <w:t xml:space="preserve"> noteikum</w:t>
      </w:r>
      <w:r w:rsidR="00964DA7">
        <w:t>i</w:t>
      </w:r>
      <w:r w:rsidR="00964DA7" w:rsidRPr="00FB1473">
        <w:t xml:space="preserve"> par koku ciršanu ārpus meža un apstādījumu aizsardzību Liepājas valstspilsētas pašvaldības teritorijā</w:t>
      </w:r>
      <w:r w:rsidR="00964DA7">
        <w:t xml:space="preserve">” </w:t>
      </w:r>
      <w:r w:rsidR="004F2E30">
        <w:t xml:space="preserve">ir </w:t>
      </w:r>
      <w:r w:rsidR="009E0A77">
        <w:t>noregulēti. Tādēļ tas, ka pašvaldība nav noregulējusi jautājumu</w:t>
      </w:r>
      <w:r w:rsidR="00B30CB2">
        <w:t xml:space="preserve"> par pierādīšanas līdzekļu ievākšanas kārtību</w:t>
      </w:r>
      <w:r w:rsidR="00FE5A91">
        <w:t>,</w:t>
      </w:r>
      <w:r w:rsidR="009E0A77">
        <w:t xml:space="preserve"> nevar būt pamat</w:t>
      </w:r>
      <w:r w:rsidR="00BA064B">
        <w:t>s</w:t>
      </w:r>
      <w:r w:rsidR="009E0A77">
        <w:t xml:space="preserve"> </w:t>
      </w:r>
      <w:r w:rsidR="004F2E30">
        <w:t xml:space="preserve">pārsūdzētā </w:t>
      </w:r>
      <w:r w:rsidR="009E0A77">
        <w:t>lēmuma atzīšanai par nepamatotu.</w:t>
      </w:r>
    </w:p>
    <w:p w14:paraId="74520D76" w14:textId="464AFA5F" w:rsidR="00517678" w:rsidRPr="00517678" w:rsidRDefault="00163A7C" w:rsidP="00E57113">
      <w:pPr>
        <w:pStyle w:val="Style1"/>
        <w:rPr>
          <w:highlight w:val="yellow"/>
        </w:rPr>
      </w:pPr>
      <w:r>
        <w:t>T</w:t>
      </w:r>
      <w:r w:rsidR="00770B59">
        <w:t xml:space="preserve">iesību joma, kurā </w:t>
      </w:r>
      <w:r w:rsidR="009C7783">
        <w:t>lēmums</w:t>
      </w:r>
      <w:r w:rsidR="00770B59">
        <w:t xml:space="preserve"> pieņemts, ir vides</w:t>
      </w:r>
      <w:r w:rsidR="009C7783">
        <w:t xml:space="preserve"> un </w:t>
      </w:r>
      <w:r w:rsidR="001D4E37">
        <w:t>dabas resursu ilgtspējīgas izmantošanas t</w:t>
      </w:r>
      <w:r w:rsidR="00770B59">
        <w:t>iesības.</w:t>
      </w:r>
      <w:r>
        <w:t xml:space="preserve"> Koku ciršanas r</w:t>
      </w:r>
      <w:r w:rsidR="006C4CE4">
        <w:t>egulē</w:t>
      </w:r>
      <w:r w:rsidR="00CD45FF">
        <w:t xml:space="preserve">šanas </w:t>
      </w:r>
      <w:r w:rsidR="00770B59">
        <w:t>mērķis</w:t>
      </w:r>
      <w:r w:rsidR="00CD45FF">
        <w:t>,</w:t>
      </w:r>
      <w:r w:rsidR="00770B59">
        <w:t xml:space="preserve"> kā </w:t>
      </w:r>
      <w:r w:rsidR="001D4E37">
        <w:t xml:space="preserve">to </w:t>
      </w:r>
      <w:r w:rsidR="001D4E37" w:rsidRPr="001D4E37">
        <w:t>atspoguļo</w:t>
      </w:r>
      <w:r w:rsidR="00770B59" w:rsidRPr="001D4E37">
        <w:t xml:space="preserve"> </w:t>
      </w:r>
      <w:r w:rsidR="00770B59" w:rsidRPr="004F2E30">
        <w:t>Meža likuma</w:t>
      </w:r>
      <w:r w:rsidR="00770B59">
        <w:t xml:space="preserve"> </w:t>
      </w:r>
      <w:r w:rsidR="00C646B9">
        <w:t>2.panta pirmās daļas 1.punkt</w:t>
      </w:r>
      <w:r w:rsidR="001D4E37">
        <w:t>s</w:t>
      </w:r>
      <w:r w:rsidR="00CD45FF">
        <w:t>,</w:t>
      </w:r>
      <w:r w:rsidR="00C646B9">
        <w:t xml:space="preserve"> ir </w:t>
      </w:r>
      <w:r w:rsidR="00C646B9" w:rsidRPr="00C646B9">
        <w:t>veicināt ekonomiski, ekoloģiski un sociāli ilgtspējīgu apsaimniekošanu un izmantošanu, visiem meža īpašniekiem vai tiesiskajiem valdītājiem nodrošinot vienādas tiesības, īpašuma tiesību neaizskaramību un saimnieciskās darbības patstāvību un nosakot vienādus pienākumu</w:t>
      </w:r>
      <w:r w:rsidR="00CD45FF">
        <w:t>s</w:t>
      </w:r>
      <w:r w:rsidR="00770B59">
        <w:t xml:space="preserve">. </w:t>
      </w:r>
      <w:r w:rsidR="00C646B9">
        <w:t>Konkrētāk, atbilstoši Meža likuma 8.panta otrajai daļai noteikumi Nr.</w:t>
      </w:r>
      <w:r w:rsidR="00D75CEE">
        <w:t> </w:t>
      </w:r>
      <w:r w:rsidR="00C646B9">
        <w:t>30</w:t>
      </w:r>
      <w:r w:rsidR="00BA064B">
        <w:t>9</w:t>
      </w:r>
      <w:r w:rsidR="00C646B9">
        <w:t xml:space="preserve"> pieņemti ar mērķi ieviest „</w:t>
      </w:r>
      <w:r w:rsidR="00C646B9" w:rsidRPr="00C646B9">
        <w:t xml:space="preserve">zaudējumu </w:t>
      </w:r>
      <w:r w:rsidR="00C646B9">
        <w:t>atlīdzināšanas</w:t>
      </w:r>
      <w:r w:rsidR="00C646B9" w:rsidRPr="00C646B9">
        <w:t xml:space="preserve"> par dabas daudzveidības samazināšan</w:t>
      </w:r>
      <w:r w:rsidR="00C646B9">
        <w:t xml:space="preserve">u” institūtu. </w:t>
      </w:r>
      <w:r w:rsidRPr="00163A7C">
        <w:t>Koku ciršanas rezultātā dabas daudzveidībai nodarītā zaudējuma apmērs atkarīgs no vairākiem faktoriem, kas raksturo tieši pašu nocirsto koku – tā stāvokļa (augošs, nokaltis), lieluma (stumbra caurmēra), sugas, atrašanās vietas un ietekmes uz</w:t>
      </w:r>
      <w:r w:rsidR="00154832">
        <w:t xml:space="preserve"> </w:t>
      </w:r>
      <w:r w:rsidRPr="00163A7C">
        <w:t>apkārtējo vidi (piemēram, koks bojā ēku)</w:t>
      </w:r>
      <w:r>
        <w:t xml:space="preserve"> (</w:t>
      </w:r>
      <w:r w:rsidRPr="00163A7C">
        <w:rPr>
          <w:i/>
          <w:iCs/>
        </w:rPr>
        <w:t>Senāta 2015.gada 15.aprīļa spriedum</w:t>
      </w:r>
      <w:r>
        <w:rPr>
          <w:i/>
          <w:iCs/>
        </w:rPr>
        <w:t>a</w:t>
      </w:r>
      <w:r w:rsidRPr="00163A7C">
        <w:rPr>
          <w:i/>
          <w:iCs/>
        </w:rPr>
        <w:t xml:space="preserve"> lietā Nr.</w:t>
      </w:r>
      <w:r w:rsidR="00964DA7">
        <w:rPr>
          <w:i/>
          <w:iCs/>
        </w:rPr>
        <w:t> </w:t>
      </w:r>
      <w:hyperlink r:id="rId14" w:history="1">
        <w:r w:rsidRPr="00D75CEE">
          <w:rPr>
            <w:rStyle w:val="Hyperlink"/>
            <w:i/>
            <w:iCs/>
          </w:rPr>
          <w:t>SKA</w:t>
        </w:r>
        <w:r w:rsidR="00D75CEE" w:rsidRPr="00D75CEE">
          <w:rPr>
            <w:rStyle w:val="Hyperlink"/>
            <w:i/>
            <w:iCs/>
          </w:rPr>
          <w:t>-</w:t>
        </w:r>
        <w:r w:rsidRPr="00D75CEE">
          <w:rPr>
            <w:rStyle w:val="Hyperlink"/>
            <w:i/>
            <w:iCs/>
          </w:rPr>
          <w:t>429/2015</w:t>
        </w:r>
      </w:hyperlink>
      <w:r w:rsidRPr="00163A7C">
        <w:rPr>
          <w:i/>
          <w:iCs/>
        </w:rPr>
        <w:t xml:space="preserve">, </w:t>
      </w:r>
      <w:r w:rsidRPr="00D75CEE">
        <w:rPr>
          <w:i/>
          <w:iCs/>
        </w:rPr>
        <w:t>A420628311</w:t>
      </w:r>
      <w:r w:rsidRPr="00163A7C">
        <w:rPr>
          <w:i/>
          <w:iCs/>
        </w:rPr>
        <w:t>, 9.punkts</w:t>
      </w:r>
      <w:r>
        <w:t>)</w:t>
      </w:r>
      <w:r w:rsidRPr="00163A7C">
        <w:t xml:space="preserve">. </w:t>
      </w:r>
      <w:r>
        <w:t>V</w:t>
      </w:r>
      <w:r w:rsidR="00C646B9">
        <w:t>ispārīgi dabas daudzveidībai nodarīt</w:t>
      </w:r>
      <w:r w:rsidR="009C7783">
        <w:t>ā</w:t>
      </w:r>
      <w:r w:rsidR="00C646B9">
        <w:t xml:space="preserve"> kaitējum</w:t>
      </w:r>
      <w:r w:rsidR="009C7783">
        <w:t xml:space="preserve">a noskaidrošana </w:t>
      </w:r>
      <w:r w:rsidR="004F2822">
        <w:t xml:space="preserve">var prasīt </w:t>
      </w:r>
      <w:r w:rsidR="009C7783">
        <w:t>analīzi, kurai</w:t>
      </w:r>
      <w:r w:rsidR="00C646B9">
        <w:t xml:space="preserve"> ir zinātnisks, nevis juridisks, </w:t>
      </w:r>
      <w:r w:rsidR="009C7783">
        <w:t>raksturs</w:t>
      </w:r>
      <w:r>
        <w:t>.</w:t>
      </w:r>
      <w:r w:rsidR="00C646B9">
        <w:t xml:space="preserve"> </w:t>
      </w:r>
      <w:r>
        <w:t>No š</w:t>
      </w:r>
      <w:r w:rsidR="00BA064B">
        <w:t>ā</w:t>
      </w:r>
      <w:r>
        <w:t xml:space="preserve"> aspekt</w:t>
      </w:r>
      <w:r w:rsidR="009C7783">
        <w:t>a</w:t>
      </w:r>
      <w:r>
        <w:t xml:space="preserve"> izriet, ka pamatošanas princips </w:t>
      </w:r>
      <w:r w:rsidR="009C7783">
        <w:t xml:space="preserve">šajā jomā vispārīgi prasītu iestādei savus secinājumus pamatot ar </w:t>
      </w:r>
      <w:r w:rsidRPr="009C7783">
        <w:t>zinātnisk</w:t>
      </w:r>
      <w:r w:rsidR="009C7783" w:rsidRPr="009C7783">
        <w:t>u analīzi.</w:t>
      </w:r>
      <w:r>
        <w:t xml:space="preserve"> Tomēr šo zinātnisko novērtējumu </w:t>
      </w:r>
      <w:r w:rsidR="00C646B9">
        <w:t>likumdevējs</w:t>
      </w:r>
      <w:r w:rsidR="00FB1473">
        <w:t xml:space="preserve"> ar noteikumu Nr.</w:t>
      </w:r>
      <w:r w:rsidR="00D75CEE">
        <w:t> </w:t>
      </w:r>
      <w:r w:rsidR="00FB1473">
        <w:t>309 3.pielikumu</w:t>
      </w:r>
      <w:r w:rsidR="00C646B9">
        <w:t xml:space="preserve"> </w:t>
      </w:r>
      <w:r w:rsidR="009C7783">
        <w:t>ir aizstājis</w:t>
      </w:r>
      <w:r w:rsidR="00BA064B">
        <w:t>,</w:t>
      </w:r>
      <w:r w:rsidR="009C7783">
        <w:t xml:space="preserve"> to </w:t>
      </w:r>
      <w:r w:rsidR="00C646B9">
        <w:t>normativizēj</w:t>
      </w:r>
      <w:r w:rsidR="009C7783">
        <w:t>ot,</w:t>
      </w:r>
      <w:r w:rsidR="00C646B9">
        <w:t xml:space="preserve"> </w:t>
      </w:r>
      <w:r w:rsidRPr="00163A7C">
        <w:t>izmanto</w:t>
      </w:r>
      <w:r>
        <w:t>jot</w:t>
      </w:r>
      <w:r w:rsidRPr="00163A7C">
        <w:t xml:space="preserve"> formulas, ko veido koeficienti</w:t>
      </w:r>
      <w:r w:rsidR="009C7783">
        <w:t>, ar kuriem var nonākt pie konkrēta naudā novērtējama dabas daudzveidībai nodarītā kaitējuma apmēra</w:t>
      </w:r>
      <w:r w:rsidRPr="00163A7C">
        <w:t>.</w:t>
      </w:r>
      <w:r>
        <w:t xml:space="preserve"> Tātad jāsecina, ka pamatojuma princips neprasa iestādei </w:t>
      </w:r>
      <w:r w:rsidR="00154832">
        <w:t xml:space="preserve">savā lēmumā veikt zinātnisku novērtējumu par nocirsto vai nociršanai paredzēto koku ietekmi uz dabas daudzveidību; iestādei ir tikai jāatklāj fakti, kas </w:t>
      </w:r>
      <w:r w:rsidR="00BA064B">
        <w:t xml:space="preserve">nepieciešami </w:t>
      </w:r>
      <w:r w:rsidR="00154832">
        <w:t>likumdevēja normativizēt</w:t>
      </w:r>
      <w:r w:rsidR="00BA064B">
        <w:t>ajam</w:t>
      </w:r>
      <w:r w:rsidR="00154832">
        <w:t xml:space="preserve"> izvērtējum</w:t>
      </w:r>
      <w:r w:rsidR="00BA064B">
        <w:t>am</w:t>
      </w:r>
      <w:r w:rsidR="00154832">
        <w:t>.</w:t>
      </w:r>
      <w:r w:rsidR="00517678">
        <w:t xml:space="preserve"> </w:t>
      </w:r>
      <w:r w:rsidR="00574138">
        <w:t>N</w:t>
      </w:r>
      <w:r w:rsidR="00517678">
        <w:t>oteikumu Nr.</w:t>
      </w:r>
      <w:r w:rsidR="00D75CEE">
        <w:t> </w:t>
      </w:r>
      <w:r w:rsidR="00517678">
        <w:t xml:space="preserve">309 </w:t>
      </w:r>
      <w:r w:rsidR="0050189D" w:rsidRPr="008964E4">
        <w:t xml:space="preserve">23.punkts noteic, ka zemes īpašniekam vai tiesiskajam valdītājam jāatlīdzina zaudējumi par dabas daudzveidības samazināšanu saistībā ar koku ciršanu pilsētas un ciema teritorijā; </w:t>
      </w:r>
      <w:r w:rsidR="008964E4" w:rsidRPr="008964E4">
        <w:t xml:space="preserve">savukārt </w:t>
      </w:r>
      <w:r w:rsidR="0050189D" w:rsidRPr="008964E4">
        <w:t>24.punkts noteic, ka zaudējumu atlīdzība tiek aprēķināta kā šo noteikumu </w:t>
      </w:r>
      <w:hyperlink r:id="rId15" w:anchor="piel3" w:history="1">
        <w:r w:rsidR="0050189D" w:rsidRPr="008964E4">
          <w:rPr>
            <w:rStyle w:val="Hyperlink"/>
            <w:color w:val="000000"/>
            <w:u w:val="none"/>
          </w:rPr>
          <w:t>3.pielikumā</w:t>
        </w:r>
      </w:hyperlink>
      <w:r w:rsidR="0050189D" w:rsidRPr="008964E4">
        <w:rPr>
          <w:color w:val="000000"/>
        </w:rPr>
        <w:t> </w:t>
      </w:r>
      <w:r w:rsidR="0050189D" w:rsidRPr="008964E4">
        <w:t>minēto koeficientu reizinājums. Iegūtais rezultāts ir zaudējumu atlīdzības apmērs naudas izteiksmē (</w:t>
      </w:r>
      <w:r w:rsidR="0050189D" w:rsidRPr="008964E4">
        <w:rPr>
          <w:i/>
          <w:iCs/>
        </w:rPr>
        <w:t>euro</w:t>
      </w:r>
      <w:r w:rsidR="0050189D" w:rsidRPr="0050189D">
        <w:t>)</w:t>
      </w:r>
      <w:r w:rsidR="008964E4">
        <w:t>. Tātad minētajās noteikumu Nr.</w:t>
      </w:r>
      <w:r w:rsidR="00D75CEE">
        <w:t> </w:t>
      </w:r>
      <w:r w:rsidR="008964E4">
        <w:t xml:space="preserve">309 normās </w:t>
      </w:r>
      <w:r w:rsidR="00517678">
        <w:t>regulētā lēmuma pieņemšanai ir nepieciešams konstatēt noteiktus faktus un apstākļus</w:t>
      </w:r>
      <w:r w:rsidR="00964DA7">
        <w:t xml:space="preserve"> </w:t>
      </w:r>
      <w:r w:rsidR="00517678">
        <w:t>–</w:t>
      </w:r>
      <w:r w:rsidR="00964DA7">
        <w:t xml:space="preserve"> </w:t>
      </w:r>
      <w:r w:rsidR="00517678">
        <w:t>to, ka ir nocirsti tādi koki, kurus nevar cirst bez pašvaldības atļaujas, kā arī, novērtējot faktus un izdarot secinājumus un vērtējumus, kas izklāstīti noteikumu Nr. 309 3.pielikumā</w:t>
      </w:r>
      <w:r w:rsidR="00FB1473">
        <w:t xml:space="preserve"> un pašvaldības saistošajos noteikumos</w:t>
      </w:r>
      <w:r w:rsidR="00517678">
        <w:t xml:space="preserve">. </w:t>
      </w:r>
    </w:p>
    <w:p w14:paraId="0ADB4F59" w14:textId="77777777" w:rsidR="0068263B" w:rsidRDefault="00163A7C" w:rsidP="00E57113">
      <w:pPr>
        <w:pStyle w:val="Style1"/>
      </w:pPr>
      <w:r>
        <w:t>Kā privātpersonai pienākumu nosakošs lēmums tas no radīto seku veida kategorizējams kā</w:t>
      </w:r>
      <w:r w:rsidR="00FB1473">
        <w:t xml:space="preserve"> būtisks</w:t>
      </w:r>
      <w:r>
        <w:t xml:space="preserve">. </w:t>
      </w:r>
      <w:r w:rsidR="00B30CB2">
        <w:t>Arī no</w:t>
      </w:r>
      <w:r w:rsidR="00FB1473">
        <w:t xml:space="preserve"> ietekmes uz privātpersonu viedokļa </w:t>
      </w:r>
      <w:r w:rsidR="00517678">
        <w:t xml:space="preserve">neatkarīgi no institūta rakstura un mērķa, kas, kā paskaidrots </w:t>
      </w:r>
      <w:r w:rsidR="00BA064B">
        <w:t>tālāk</w:t>
      </w:r>
      <w:r w:rsidR="00517678">
        <w:t>, ir kompensējošs, š</w:t>
      </w:r>
      <w:r w:rsidR="00BA064B">
        <w:t>ā</w:t>
      </w:r>
      <w:r w:rsidR="00517678">
        <w:t xml:space="preserve"> lēmuma rezultātā privātpersonai tiek noteikts pienākums ieskaitīt naudas līdzekļus pašvaldības budžetā (</w:t>
      </w:r>
      <w:r w:rsidR="00517678" w:rsidRPr="009C7783">
        <w:rPr>
          <w:i/>
          <w:iCs/>
        </w:rPr>
        <w:t>Meža likuma 8.panta otrā daļa</w:t>
      </w:r>
      <w:r w:rsidR="00517678">
        <w:t>)</w:t>
      </w:r>
      <w:r w:rsidR="00BA064B">
        <w:t>. T</w:t>
      </w:r>
      <w:r w:rsidR="00FB1473">
        <w:t>ādēļ ar to radītā ietekme ir nopietna, jo potenciāli var rezultēties pienākum</w:t>
      </w:r>
      <w:r w:rsidR="003F1D75">
        <w:t>ā</w:t>
      </w:r>
      <w:r w:rsidR="00FB1473">
        <w:t xml:space="preserve"> samaksāt </w:t>
      </w:r>
      <w:r w:rsidR="003F1D75">
        <w:t>ievērojamu</w:t>
      </w:r>
      <w:r w:rsidR="00FB1473">
        <w:t xml:space="preserve"> naudas summu. </w:t>
      </w:r>
      <w:r w:rsidR="00517678">
        <w:t>Vērtējot lēmum</w:t>
      </w:r>
      <w:r w:rsidR="005F6DA9">
        <w:t>a pieņemšanas regulējumu</w:t>
      </w:r>
      <w:r w:rsidR="00517678">
        <w:t xml:space="preserve"> n</w:t>
      </w:r>
      <w:r>
        <w:t>o š</w:t>
      </w:r>
      <w:r w:rsidR="00517678">
        <w:t>iem</w:t>
      </w:r>
      <w:r>
        <w:t xml:space="preserve"> aspekt</w:t>
      </w:r>
      <w:r w:rsidR="00517678">
        <w:t>iem</w:t>
      </w:r>
      <w:r w:rsidR="00154832">
        <w:t>, iestādei, pieņemot lēmumu ar šāda veida sekām un ar šādu ietekmi uz privātpersonu, būtu</w:t>
      </w:r>
      <w:r w:rsidR="00F92F08">
        <w:t xml:space="preserve"> </w:t>
      </w:r>
      <w:r w:rsidR="00517678">
        <w:t xml:space="preserve">lēmumā vai ar </w:t>
      </w:r>
      <w:r w:rsidR="005F6DA9">
        <w:t>to</w:t>
      </w:r>
      <w:r w:rsidR="00F92F08">
        <w:t xml:space="preserve"> saistīt</w:t>
      </w:r>
      <w:r w:rsidR="00494566">
        <w:t>a</w:t>
      </w:r>
      <w:r w:rsidR="00F92F08">
        <w:t>jos materiālos</w:t>
      </w:r>
      <w:r w:rsidR="00154832">
        <w:t xml:space="preserve"> privātpersonai jāatklāj</w:t>
      </w:r>
      <w:r w:rsidR="00517678">
        <w:t xml:space="preserve"> galvenie</w:t>
      </w:r>
      <w:r w:rsidR="00154832">
        <w:t xml:space="preserve"> pierādīšanas līdzekļi, ar kuriem tā pamato lēmumā konstatēto. </w:t>
      </w:r>
      <w:r w:rsidR="00B30CB2">
        <w:t>Tomēr minēto secinājumu mīkstina š</w:t>
      </w:r>
      <w:r w:rsidR="00BA064B">
        <w:t>ā</w:t>
      </w:r>
      <w:r w:rsidR="00B30CB2">
        <w:t xml:space="preserve"> sprieduma </w:t>
      </w:r>
      <w:r w:rsidR="00F7207D">
        <w:t>1</w:t>
      </w:r>
      <w:r w:rsidR="00E957A2">
        <w:t>2</w:t>
      </w:r>
      <w:r w:rsidR="00B30CB2">
        <w:t xml:space="preserve">.punktā </w:t>
      </w:r>
      <w:r w:rsidR="00FF1677" w:rsidRPr="00747A3E">
        <w:t>norādītais aspekts</w:t>
      </w:r>
      <w:r w:rsidR="00747A3E">
        <w:t>.</w:t>
      </w:r>
    </w:p>
    <w:p w14:paraId="1A7FB6F7" w14:textId="77777777" w:rsidR="00632630" w:rsidRDefault="00632630" w:rsidP="00E57113">
      <w:pPr>
        <w:pStyle w:val="Style1"/>
      </w:pPr>
    </w:p>
    <w:p w14:paraId="309AECF6" w14:textId="3F430341" w:rsidR="00697736" w:rsidRDefault="00632630" w:rsidP="00E57113">
      <w:pPr>
        <w:pStyle w:val="Style1"/>
      </w:pPr>
      <w:r>
        <w:t>[1</w:t>
      </w:r>
      <w:r w:rsidR="00E957A2">
        <w:t>2</w:t>
      </w:r>
      <w:r>
        <w:t>] </w:t>
      </w:r>
      <w:r w:rsidR="00697736">
        <w:t>N</w:t>
      </w:r>
      <w:r w:rsidR="00494566">
        <w:t>oteikumu Nr.</w:t>
      </w:r>
      <w:r w:rsidR="00D75CEE">
        <w:t> </w:t>
      </w:r>
      <w:r w:rsidR="00494566">
        <w:t xml:space="preserve">309 </w:t>
      </w:r>
      <w:r w:rsidR="001D4E37" w:rsidRPr="003F1D75">
        <w:t>23</w:t>
      </w:r>
      <w:r w:rsidR="001D4E37">
        <w:t>.</w:t>
      </w:r>
      <w:r w:rsidR="00697736">
        <w:t xml:space="preserve">punkta kārtībā pieņemtam lēmumam nav tūlītējas sekas. </w:t>
      </w:r>
    </w:p>
    <w:p w14:paraId="42815AEE" w14:textId="295AFA8E" w:rsidR="00632630" w:rsidRDefault="0068263B" w:rsidP="00E57113">
      <w:pPr>
        <w:pStyle w:val="Style1"/>
      </w:pPr>
      <w:r>
        <w:t>Meža likuma 8.panta otrās daļas otrajā teikumā norādīts, ka z</w:t>
      </w:r>
      <w:r w:rsidRPr="0068263B">
        <w:t>audējumu atlīdzību ieskaita vietējās pašvaldības budžetā</w:t>
      </w:r>
      <w:r w:rsidR="00CF5513">
        <w:t xml:space="preserve">. No tā varētu secināt, ka </w:t>
      </w:r>
      <w:r>
        <w:t>būtu piemērojams Administratīvā procesa likuma 185.panta ceturtās daļas 1.punkts, proti, ka šis maksājums būtu kvalificējams kā p</w:t>
      </w:r>
      <w:r w:rsidRPr="0068263B">
        <w:t>ienākum</w:t>
      </w:r>
      <w:r>
        <w:t>s</w:t>
      </w:r>
      <w:r w:rsidRPr="0068263B">
        <w:t xml:space="preserve"> samaksāt citu maksājumu valsts vai pašvaldības budžetā</w:t>
      </w:r>
      <w:r w:rsidR="00CF5513">
        <w:t>. Tomēr, k</w:t>
      </w:r>
      <w:r>
        <w:t>ā norādīts tiesību doktrīnā, ar jēdzienu „cits maksājums” jāsaprot tāds maksājums, ar kura samaksu valstij vai pašvaldībai bija pamats rēķināties” (</w:t>
      </w:r>
      <w:r w:rsidRPr="0068263B">
        <w:rPr>
          <w:i/>
          <w:iCs/>
        </w:rPr>
        <w:t>Kalniņa</w:t>
      </w:r>
      <w:r w:rsidR="00DB02B4">
        <w:rPr>
          <w:i/>
          <w:iCs/>
        </w:rPr>
        <w:t> </w:t>
      </w:r>
      <w:r w:rsidRPr="0068263B">
        <w:rPr>
          <w:i/>
          <w:iCs/>
        </w:rPr>
        <w:t>A. XIII</w:t>
      </w:r>
      <w:r w:rsidR="00DB02B4">
        <w:rPr>
          <w:i/>
          <w:iCs/>
        </w:rPr>
        <w:t> </w:t>
      </w:r>
      <w:r w:rsidRPr="0068263B">
        <w:rPr>
          <w:i/>
          <w:iCs/>
        </w:rPr>
        <w:t xml:space="preserve">nodaļa </w:t>
      </w:r>
      <w:r w:rsidR="00D75CEE">
        <w:rPr>
          <w:i/>
          <w:iCs/>
        </w:rPr>
        <w:t>„</w:t>
      </w:r>
      <w:r w:rsidRPr="0068263B">
        <w:rPr>
          <w:i/>
          <w:iCs/>
        </w:rPr>
        <w:t>Pārsūdzētā administratīvā akta vai faktiskās rīcības darbības apturēšana”</w:t>
      </w:r>
      <w:r w:rsidR="00D75CEE">
        <w:rPr>
          <w:i/>
          <w:iCs/>
        </w:rPr>
        <w:t>,</w:t>
      </w:r>
      <w:r w:rsidRPr="0068263B">
        <w:rPr>
          <w:i/>
          <w:iCs/>
        </w:rPr>
        <w:t xml:space="preserve"> grām. Autoru kolektīvs J.</w:t>
      </w:r>
      <w:r w:rsidR="00DB02B4">
        <w:rPr>
          <w:i/>
          <w:iCs/>
        </w:rPr>
        <w:t> </w:t>
      </w:r>
      <w:r w:rsidRPr="0068263B">
        <w:rPr>
          <w:i/>
          <w:iCs/>
        </w:rPr>
        <w:t>Briedes vispārīgā zinātniskā redakcijā Administratīvais process tiesā Rīgā: Latvijas Vēstnesis, 2008, 419.lpp, zemsvītras atsauce</w:t>
      </w:r>
      <w:r>
        <w:t xml:space="preserve">). </w:t>
      </w:r>
      <w:r w:rsidR="00632630">
        <w:t xml:space="preserve">Senāts tālāk izklāstīto iemeslu dēļ atzīst, ka maksājums, kas </w:t>
      </w:r>
      <w:r w:rsidR="00DE2CB5">
        <w:t>veikts</w:t>
      </w:r>
      <w:r w:rsidR="00632630">
        <w:t xml:space="preserve"> sakarā ar noteikumu Nr.</w:t>
      </w:r>
      <w:r w:rsidR="00D75CEE">
        <w:t> </w:t>
      </w:r>
      <w:r w:rsidR="00632630">
        <w:t>309 23. un 24.punktā minēt</w:t>
      </w:r>
      <w:r w:rsidR="00CF5513">
        <w:t>o</w:t>
      </w:r>
      <w:r w:rsidR="00632630">
        <w:t xml:space="preserve"> lēmumu, neietilpst Administratīvā procesa likuma 185.panta ceturtās daļas 1.punkta tvērumā.</w:t>
      </w:r>
    </w:p>
    <w:p w14:paraId="778A33D3" w14:textId="77777777" w:rsidR="005679BA" w:rsidRDefault="005679BA" w:rsidP="00E57113">
      <w:pPr>
        <w:pStyle w:val="Style1"/>
      </w:pPr>
      <w:r>
        <w:t>T</w:t>
      </w:r>
      <w:r w:rsidR="00F32B8C">
        <w:t xml:space="preserve">ermina „zaudējums” </w:t>
      </w:r>
      <w:r>
        <w:t xml:space="preserve">lietojums Meža likuma 8.pantā </w:t>
      </w:r>
      <w:r w:rsidR="00F32B8C">
        <w:t>nav nejaušs, bet gan atspoguļo to, ka tiek atlīdzināts zaudējums</w:t>
      </w:r>
      <w:r w:rsidR="00F078E5">
        <w:t>, taču</w:t>
      </w:r>
      <w:r w:rsidR="005F6DA9">
        <w:t xml:space="preserve"> nevis </w:t>
      </w:r>
      <w:r w:rsidR="00F32B8C">
        <w:t>personas mantas prettiesisk</w:t>
      </w:r>
      <w:r w:rsidR="005F6DA9">
        <w:t>a</w:t>
      </w:r>
      <w:r w:rsidR="00F32B8C">
        <w:t xml:space="preserve"> pametum</w:t>
      </w:r>
      <w:r w:rsidR="007F180C">
        <w:t>a izpratnē</w:t>
      </w:r>
      <w:r w:rsidR="00F32B8C">
        <w:t>, bet gan kā dabas vide</w:t>
      </w:r>
      <w:r w:rsidR="007F180C">
        <w:t>i nodarītā</w:t>
      </w:r>
      <w:r w:rsidR="00F32B8C">
        <w:t xml:space="preserve"> daudzveidības samazinājum</w:t>
      </w:r>
      <w:r w:rsidR="007F180C">
        <w:t>a atlīdzinājums</w:t>
      </w:r>
      <w:r w:rsidR="005F6DA9">
        <w:t xml:space="preserve"> (</w:t>
      </w:r>
      <w:r w:rsidR="005F6DA9" w:rsidRPr="009C46C6">
        <w:t>sal.</w:t>
      </w:r>
      <w:r w:rsidR="005B52F2">
        <w:rPr>
          <w:i/>
          <w:iCs/>
        </w:rPr>
        <w:t> </w:t>
      </w:r>
      <w:hyperlink r:id="rId16" w:history="1">
        <w:r w:rsidR="005F6DA9" w:rsidRPr="005679BA">
          <w:rPr>
            <w:rStyle w:val="Hyperlink"/>
            <w:i/>
            <w:iCs/>
          </w:rPr>
          <w:t>1992.gada 5.jūnija Riodežaneiro Konvencij</w:t>
        </w:r>
        <w:r w:rsidR="00FF1677">
          <w:rPr>
            <w:rStyle w:val="Hyperlink"/>
            <w:i/>
            <w:iCs/>
          </w:rPr>
          <w:t>a</w:t>
        </w:r>
        <w:r w:rsidR="005F6DA9" w:rsidRPr="005679BA">
          <w:rPr>
            <w:rStyle w:val="Hyperlink"/>
            <w:i/>
            <w:iCs/>
          </w:rPr>
          <w:t xml:space="preserve"> par bioloģisko daudzveidību</w:t>
        </w:r>
      </w:hyperlink>
      <w:r w:rsidR="005F6DA9" w:rsidRPr="005679BA">
        <w:rPr>
          <w:i/>
          <w:iCs/>
        </w:rPr>
        <w:t xml:space="preserve">, pieņemta 1992.gada 5.jūnijā, </w:t>
      </w:r>
      <w:hyperlink r:id="rId17" w:history="1">
        <w:r w:rsidRPr="005679BA">
          <w:rPr>
            <w:rStyle w:val="Hyperlink"/>
            <w:i/>
            <w:iCs/>
          </w:rPr>
          <w:t>stājās spēkā attiecībā uz Latviju</w:t>
        </w:r>
        <w:r w:rsidR="005F6DA9" w:rsidRPr="005679BA">
          <w:rPr>
            <w:rStyle w:val="Hyperlink"/>
            <w:i/>
            <w:iCs/>
          </w:rPr>
          <w:t xml:space="preserve"> 1995.gada 8.septembrī</w:t>
        </w:r>
      </w:hyperlink>
      <w:r w:rsidR="005F6DA9" w:rsidRPr="005679BA">
        <w:rPr>
          <w:i/>
          <w:iCs/>
        </w:rPr>
        <w:t xml:space="preserve">, </w:t>
      </w:r>
      <w:r w:rsidR="009979F0" w:rsidRPr="005679BA">
        <w:rPr>
          <w:i/>
          <w:iCs/>
        </w:rPr>
        <w:t>14.panta 2.punkt</w:t>
      </w:r>
      <w:r w:rsidR="00FF1677">
        <w:rPr>
          <w:i/>
          <w:iCs/>
        </w:rPr>
        <w:t>s</w:t>
      </w:r>
      <w:r w:rsidR="009979F0" w:rsidRPr="005679BA">
        <w:rPr>
          <w:i/>
          <w:iCs/>
        </w:rPr>
        <w:t xml:space="preserve">; </w:t>
      </w:r>
      <w:hyperlink r:id="rId18" w:history="1">
        <w:r w:rsidR="008B2F9E" w:rsidRPr="005679BA">
          <w:rPr>
            <w:rStyle w:val="Hyperlink"/>
            <w:i/>
            <w:iCs/>
          </w:rPr>
          <w:t>Nagojas-Kualalumpuras papildprotokols par atbildību un atlīdzināšanu, kas pievienots Kartahenas protokolam par bioloģisko drošību</w:t>
        </w:r>
      </w:hyperlink>
      <w:r w:rsidRPr="005679BA">
        <w:rPr>
          <w:i/>
          <w:iCs/>
        </w:rPr>
        <w:t xml:space="preserve">, pieņemts 2010.gada 15.oktobrī, </w:t>
      </w:r>
      <w:hyperlink r:id="rId19" w:history="1">
        <w:r w:rsidRPr="005679BA">
          <w:rPr>
            <w:rStyle w:val="Hyperlink"/>
            <w:i/>
            <w:iCs/>
          </w:rPr>
          <w:t>stājās spēkā attiecība uz Latviju 2011.gada 27.oktobrī</w:t>
        </w:r>
      </w:hyperlink>
      <w:r w:rsidRPr="005679BA">
        <w:rPr>
          <w:i/>
          <w:iCs/>
        </w:rPr>
        <w:t>,</w:t>
      </w:r>
      <w:r w:rsidR="005F6DA9" w:rsidRPr="005679BA">
        <w:rPr>
          <w:i/>
          <w:iCs/>
        </w:rPr>
        <w:t xml:space="preserve"> </w:t>
      </w:r>
      <w:r w:rsidRPr="005679BA">
        <w:rPr>
          <w:i/>
          <w:iCs/>
        </w:rPr>
        <w:t>2.panta 2.punkta „d” apakšpunkt</w:t>
      </w:r>
      <w:r w:rsidR="002F32B8">
        <w:rPr>
          <w:i/>
          <w:iCs/>
        </w:rPr>
        <w:t>s</w:t>
      </w:r>
      <w:r w:rsidR="005F6DA9" w:rsidRPr="005679BA">
        <w:t>)</w:t>
      </w:r>
      <w:r w:rsidR="00F32B8C">
        <w:t xml:space="preserve">. </w:t>
      </w:r>
    </w:p>
    <w:p w14:paraId="0BF31DEA" w14:textId="6EEEAD96" w:rsidR="008B2F9E" w:rsidRDefault="008B2F9E" w:rsidP="00E57113">
      <w:pPr>
        <w:pStyle w:val="Style1"/>
      </w:pPr>
      <w:r w:rsidRPr="008B2F9E">
        <w:t>Nagojas-Kualalumpuras papildprotokol</w:t>
      </w:r>
      <w:r>
        <w:t>a</w:t>
      </w:r>
      <w:r w:rsidRPr="008B2F9E">
        <w:t xml:space="preserve"> par atbildību un atlīdzināšanu, kas pievienots Kartahenas protokolam par bioloģisko drošību</w:t>
      </w:r>
      <w:r>
        <w:t>, 12.panta 1.punkts no</w:t>
      </w:r>
      <w:r w:rsidR="00697736">
        <w:t>teic, ka p</w:t>
      </w:r>
      <w:r>
        <w:t xml:space="preserve">uses savos tiesību aktos paredz noteikumus un procedūras saistībā ar kaitējuma nodarīšanu. Lai izpildītu šo pienākumu, </w:t>
      </w:r>
      <w:r w:rsidR="00697736">
        <w:t>p</w:t>
      </w:r>
      <w:r>
        <w:t>uses saskaņā ar šo papildprotokolu paredz atbildes pasākumus un attiecīgajā gadījumā var a)</w:t>
      </w:r>
      <w:r w:rsidR="00697736">
        <w:t> </w:t>
      </w:r>
      <w:r>
        <w:t>piemērot spēkā esošos valsts tiesību aktus, tostarp vispārpieņemtos noteikumus un procedūras par civiltiesisko atbildību, b)</w:t>
      </w:r>
      <w:r w:rsidR="00697736">
        <w:t> </w:t>
      </w:r>
      <w:r>
        <w:t>piemērot vai izstrādāt tieši šim nolūkam paredzētus civiltiesiskās atbildības noteikumus un procedūras vai c)</w:t>
      </w:r>
      <w:r w:rsidR="00697736">
        <w:t> </w:t>
      </w:r>
      <w:r>
        <w:t xml:space="preserve">piemērot vai izstrādāt abu iepriekš minēto kategoriju noteikumus un procedūras. </w:t>
      </w:r>
      <w:r w:rsidR="00B30CB2">
        <w:t>No minētā</w:t>
      </w:r>
      <w:r w:rsidR="00702C11">
        <w:t>, kas gan nav tieši attiecināms uz koku nociršanu,</w:t>
      </w:r>
      <w:r w:rsidR="00B30CB2">
        <w:t xml:space="preserve"> izriet, ka, lai izprastu noteikum</w:t>
      </w:r>
      <w:r w:rsidR="007C6232">
        <w:t>os</w:t>
      </w:r>
      <w:r w:rsidR="00B30CB2">
        <w:t xml:space="preserve"> Nr.</w:t>
      </w:r>
      <w:r w:rsidR="00D75CEE">
        <w:t> </w:t>
      </w:r>
      <w:r w:rsidR="00B30CB2">
        <w:t xml:space="preserve">309 </w:t>
      </w:r>
      <w:r w:rsidR="003F1D75">
        <w:t xml:space="preserve">paredzētā </w:t>
      </w:r>
      <w:r w:rsidR="00B30CB2">
        <w:t>lēmuma pieņemšanas kontekstu,</w:t>
      </w:r>
      <w:r w:rsidR="00632630">
        <w:t xml:space="preserve"> </w:t>
      </w:r>
      <w:r w:rsidR="00F078E5">
        <w:t>ir</w:t>
      </w:r>
      <w:r w:rsidR="001D4E37">
        <w:t xml:space="preserve"> jāvadās no civiltiesību principiem.</w:t>
      </w:r>
    </w:p>
    <w:p w14:paraId="08CF6205" w14:textId="7441F575" w:rsidR="00632630" w:rsidRDefault="008B2F9E" w:rsidP="00E57113">
      <w:pPr>
        <w:pStyle w:val="Style1"/>
      </w:pPr>
      <w:r>
        <w:t>Latvija</w:t>
      </w:r>
      <w:r w:rsidR="00F674BB">
        <w:t xml:space="preserve"> vides daudzveidības aizsardzības jomā</w:t>
      </w:r>
      <w:r w:rsidR="00702C11">
        <w:t xml:space="preserve"> ir izlēmusi dabas daudzveidības samazinā</w:t>
      </w:r>
      <w:r w:rsidR="009C46C6">
        <w:t>juma</w:t>
      </w:r>
      <w:r w:rsidR="00F674BB">
        <w:t xml:space="preserve"> atlīdzināšanu īstenot</w:t>
      </w:r>
      <w:r w:rsidR="00697736">
        <w:t>, izmantojot</w:t>
      </w:r>
      <w:r>
        <w:t xml:space="preserve"> </w:t>
      </w:r>
      <w:r w:rsidR="00697736">
        <w:t xml:space="preserve">tiesiskā </w:t>
      </w:r>
      <w:r>
        <w:t>regulējum</w:t>
      </w:r>
      <w:r w:rsidR="007C6232">
        <w:t>a</w:t>
      </w:r>
      <w:r>
        <w:t xml:space="preserve"> kombināciju. Proti, lai gan vispārīgi prasība par dabas daudzveidības zaudējumu ir īstenojama administratīvā procesa kārtībā un to īsteno pašvaldība, kuras administratīvajā teritorijā kokus ir paredzēts nocirst vai tie ir nocirsti, nosaucot šo institūtu par „zaudējumu atlīdzību”, likumdevējs ir vēlējies nevis radīt </w:t>
      </w:r>
      <w:r w:rsidR="00702C11">
        <w:t>patstāvīgu noteikumu kopumu</w:t>
      </w:r>
      <w:r>
        <w:t xml:space="preserve"> dabas daudzveidības zaudējuma atlīdzināšanai, bet gan </w:t>
      </w:r>
      <w:r w:rsidR="00697736">
        <w:t>izmantot</w:t>
      </w:r>
      <w:r>
        <w:t xml:space="preserve"> civiltiesībās jau esoš</w:t>
      </w:r>
      <w:r w:rsidR="00697736">
        <w:t>os</w:t>
      </w:r>
      <w:r>
        <w:t xml:space="preserve"> noteikum</w:t>
      </w:r>
      <w:r w:rsidR="00697736">
        <w:t>us</w:t>
      </w:r>
      <w:r>
        <w:t>, proti, Civillikuma noteikum</w:t>
      </w:r>
      <w:r w:rsidR="00697736">
        <w:t>us</w:t>
      </w:r>
      <w:r>
        <w:t xml:space="preserve"> par atbildības īstenošanu. Tas nozīmē, ka administratīvajai tiesai šādas prasības ir jāizskata</w:t>
      </w:r>
      <w:r w:rsidR="0068263B">
        <w:t>, piemērojot</w:t>
      </w:r>
      <w:r>
        <w:t xml:space="preserve"> Civillikuma</w:t>
      </w:r>
      <w:r w:rsidR="0068263B">
        <w:t xml:space="preserve"> </w:t>
      </w:r>
      <w:r w:rsidR="005C262D">
        <w:t xml:space="preserve">Saistību tiesību daļas </w:t>
      </w:r>
      <w:r w:rsidR="0068263B" w:rsidRPr="007C6232">
        <w:t>trešās</w:t>
      </w:r>
      <w:r w:rsidR="00697736" w:rsidRPr="007C6232">
        <w:t xml:space="preserve"> </w:t>
      </w:r>
      <w:r w:rsidR="00D90E81" w:rsidRPr="007C6232">
        <w:t xml:space="preserve">(Saistības un prasījumi no neatļautas darbības) </w:t>
      </w:r>
      <w:r w:rsidR="007C6232" w:rsidRPr="007C6232">
        <w:t xml:space="preserve">un </w:t>
      </w:r>
      <w:r w:rsidR="0068263B" w:rsidRPr="007C6232">
        <w:t xml:space="preserve">astotās </w:t>
      </w:r>
      <w:r w:rsidR="00D90E81" w:rsidRPr="007C6232">
        <w:t xml:space="preserve">(Zaudējumi un to atlīdzība) </w:t>
      </w:r>
      <w:r w:rsidR="0068263B" w:rsidRPr="007C6232">
        <w:t xml:space="preserve">nodaļas </w:t>
      </w:r>
      <w:r w:rsidR="007C6232" w:rsidRPr="007C6232">
        <w:t xml:space="preserve">normas </w:t>
      </w:r>
      <w:r w:rsidR="0068263B" w:rsidRPr="007C6232">
        <w:t>un citas Civillikumā paredzētās tiesību normas</w:t>
      </w:r>
      <w:r w:rsidR="0068263B">
        <w:t>, kas regulē civiltiesisko atbildību par neatļautu darbību</w:t>
      </w:r>
      <w:r w:rsidR="007C6232">
        <w:t>.</w:t>
      </w:r>
    </w:p>
    <w:p w14:paraId="16EFFC49" w14:textId="79F27242" w:rsidR="00FF1677" w:rsidRDefault="00632630" w:rsidP="00E57113">
      <w:pPr>
        <w:pStyle w:val="Style1"/>
      </w:pPr>
      <w:r>
        <w:t>Pašvaldība</w:t>
      </w:r>
      <w:r w:rsidR="002F32B8">
        <w:t xml:space="preserve">i, ievērojot </w:t>
      </w:r>
      <w:r w:rsidRPr="00C646B9">
        <w:t xml:space="preserve">zaudējumu </w:t>
      </w:r>
      <w:r>
        <w:t>atlīdzināšanas</w:t>
      </w:r>
      <w:r w:rsidRPr="00C646B9">
        <w:t xml:space="preserve"> par dabas daudzveidības samazināšan</w:t>
      </w:r>
      <w:r>
        <w:t>u institūtu</w:t>
      </w:r>
      <w:r w:rsidR="00084138">
        <w:t>,</w:t>
      </w:r>
      <w:r>
        <w:t xml:space="preserve"> nav pamata rēķināties a</w:t>
      </w:r>
      <w:r w:rsidR="005C262D">
        <w:t>r</w:t>
      </w:r>
      <w:r>
        <w:t xml:space="preserve"> š</w:t>
      </w:r>
      <w:r w:rsidR="005C262D">
        <w:t>ādas</w:t>
      </w:r>
      <w:r>
        <w:t xml:space="preserve"> maksas saņemšanu, jo </w:t>
      </w:r>
      <w:r w:rsidR="00084138">
        <w:t xml:space="preserve">tā </w:t>
      </w:r>
      <w:r>
        <w:t xml:space="preserve">ietvaros tiek īstenota </w:t>
      </w:r>
      <w:r w:rsidRPr="005C262D">
        <w:t>civilties</w:t>
      </w:r>
      <w:r w:rsidR="001D4E37" w:rsidRPr="005C262D">
        <w:t>ībām pielīdzināma</w:t>
      </w:r>
      <w:r w:rsidRPr="005C262D">
        <w:t xml:space="preserve"> saistība</w:t>
      </w:r>
      <w:r w:rsidR="00583192">
        <w:t xml:space="preserve">. </w:t>
      </w:r>
      <w:r>
        <w:t>Tādēļ lēmuma, kas pieņemts atbilstoši noteikumu Nr.</w:t>
      </w:r>
      <w:r w:rsidR="004F3AF2">
        <w:t> </w:t>
      </w:r>
      <w:r>
        <w:t>309 23. un 24.punktam, darbība pārsūdzības gadījumā ir automātiski apturama atbilstoši Administratīvā procesa likuma 185.panta pirm</w:t>
      </w:r>
      <w:r w:rsidR="00583192">
        <w:t>ajai</w:t>
      </w:r>
      <w:r>
        <w:t xml:space="preserve"> daļai. </w:t>
      </w:r>
    </w:p>
    <w:p w14:paraId="0FAE4547" w14:textId="77777777" w:rsidR="00C646B9" w:rsidRDefault="00632630" w:rsidP="00E57113">
      <w:pPr>
        <w:pStyle w:val="Style1"/>
      </w:pPr>
      <w:r>
        <w:t xml:space="preserve">Šo iemeslu dēļ secinājums, kas citā </w:t>
      </w:r>
      <w:r w:rsidR="00B30CB2">
        <w:t>administratīvo tiesību jomā</w:t>
      </w:r>
      <w:r>
        <w:t xml:space="preserve"> būtu pietiekams, lai atzītu, ka pamatojuma princips prasa, lai šādā lēmumā konstatētie fakti būtu a</w:t>
      </w:r>
      <w:r w:rsidR="00B30CB2">
        <w:t>pstiprināti</w:t>
      </w:r>
      <w:r>
        <w:t xml:space="preserve"> ar lēmumam pievienotiem pierādīšanas līdzekļiem, </w:t>
      </w:r>
      <w:r w:rsidR="00915FCB">
        <w:t>un</w:t>
      </w:r>
      <w:r w:rsidR="00DC72BF">
        <w:t>,</w:t>
      </w:r>
      <w:r w:rsidR="00915FCB">
        <w:t xml:space="preserve"> ja to nav, tad šis pienākums ir pārkāpts, </w:t>
      </w:r>
      <w:r>
        <w:t>ir pārsteidzīgs konkrētā lēmuma gadījumā.</w:t>
      </w:r>
    </w:p>
    <w:p w14:paraId="2BA47695" w14:textId="77777777" w:rsidR="00E02903" w:rsidRDefault="00E02903" w:rsidP="00E57113">
      <w:pPr>
        <w:pStyle w:val="Style1"/>
      </w:pPr>
    </w:p>
    <w:p w14:paraId="5F65F809" w14:textId="77777777" w:rsidR="002641B1" w:rsidRDefault="00E02903" w:rsidP="00E57113">
      <w:pPr>
        <w:pStyle w:val="Style1"/>
        <w:rPr>
          <w:bCs/>
        </w:rPr>
      </w:pPr>
      <w:r>
        <w:t>[1</w:t>
      </w:r>
      <w:r w:rsidR="00E957A2">
        <w:t>3</w:t>
      </w:r>
      <w:r>
        <w:t xml:space="preserve">] Pieteicēja kasācijas sūdzībā izsaka iebildumus par to, ka </w:t>
      </w:r>
      <w:r w:rsidR="005C0C3D">
        <w:t xml:space="preserve">apgabaltiesa </w:t>
      </w:r>
      <w:r>
        <w:rPr>
          <w:bCs/>
        </w:rPr>
        <w:t xml:space="preserve">nav izskatījusi pieteicējas argumentus par </w:t>
      </w:r>
      <w:r w:rsidRPr="000B76F8">
        <w:rPr>
          <w:bCs/>
        </w:rPr>
        <w:t>uzmērīšanas procesa un dokumentācijas neesību</w:t>
      </w:r>
      <w:r w:rsidR="00F80CC5">
        <w:rPr>
          <w:bCs/>
        </w:rPr>
        <w:t>, precīzāk to, ka no</w:t>
      </w:r>
      <w:r w:rsidR="0090509F">
        <w:rPr>
          <w:bCs/>
        </w:rPr>
        <w:t>cirstie</w:t>
      </w:r>
      <w:r w:rsidR="00F80CC5">
        <w:rPr>
          <w:bCs/>
        </w:rPr>
        <w:t xml:space="preserve"> koki netika atzīmēti un marķēti, caurmēru uzmērīšanas process bija strīdīgs un </w:t>
      </w:r>
      <w:r w:rsidR="00084138">
        <w:rPr>
          <w:bCs/>
        </w:rPr>
        <w:t>tas</w:t>
      </w:r>
      <w:r w:rsidR="00F80CC5">
        <w:rPr>
          <w:bCs/>
        </w:rPr>
        <w:t xml:space="preserve"> netika protokolēts tā, ka to varētu atk</w:t>
      </w:r>
      <w:r w:rsidR="00583192">
        <w:rPr>
          <w:bCs/>
        </w:rPr>
        <w:t>ārt</w:t>
      </w:r>
      <w:r w:rsidR="00F80CC5">
        <w:rPr>
          <w:bCs/>
        </w:rPr>
        <w:t>oti pārbaudīt</w:t>
      </w:r>
      <w:r>
        <w:rPr>
          <w:bCs/>
        </w:rPr>
        <w:t xml:space="preserve"> (</w:t>
      </w:r>
      <w:r w:rsidRPr="00E02903">
        <w:rPr>
          <w:bCs/>
          <w:i/>
          <w:iCs/>
        </w:rPr>
        <w:t>kasācijas sūdzības 25.punkts</w:t>
      </w:r>
      <w:r>
        <w:rPr>
          <w:bCs/>
        </w:rPr>
        <w:t xml:space="preserve">). </w:t>
      </w:r>
    </w:p>
    <w:p w14:paraId="65E95D2A" w14:textId="77777777" w:rsidR="006741B4" w:rsidRDefault="00E02903" w:rsidP="00E57113">
      <w:pPr>
        <w:pStyle w:val="Style1"/>
      </w:pPr>
      <w:r>
        <w:rPr>
          <w:bCs/>
        </w:rPr>
        <w:t xml:space="preserve">Senāts atzīst, ka </w:t>
      </w:r>
      <w:r>
        <w:t xml:space="preserve">apgabaltiesa spriedumā nav vērtējusi lēmuma pamatotību no </w:t>
      </w:r>
      <w:r w:rsidR="00084138">
        <w:t>šādas</w:t>
      </w:r>
      <w:r>
        <w:t xml:space="preserve"> perspektīvas, proti, vai pašvaldība, paturot prātā </w:t>
      </w:r>
      <w:r w:rsidR="002641B1">
        <w:t>š</w:t>
      </w:r>
      <w:r w:rsidR="00084138">
        <w:t>ā</w:t>
      </w:r>
      <w:r w:rsidR="002641B1">
        <w:t xml:space="preserve"> sprieduma </w:t>
      </w:r>
      <w:r w:rsidR="00F7207D">
        <w:t>1</w:t>
      </w:r>
      <w:r w:rsidR="00E957A2">
        <w:t>2</w:t>
      </w:r>
      <w:r w:rsidR="002641B1">
        <w:t xml:space="preserve">.punktā izklāstītās </w:t>
      </w:r>
      <w:r>
        <w:t>regulējuma īpatnības, lēmuma pieņemšanas procesā ir ievērojusi pamatojuma principu</w:t>
      </w:r>
      <w:r w:rsidR="00A50CAE">
        <w:t xml:space="preserve">, </w:t>
      </w:r>
      <w:r w:rsidR="00A50CAE" w:rsidRPr="005C0C3D">
        <w:t>tā vietā uzreiz vērtēj</w:t>
      </w:r>
      <w:r w:rsidR="00DC72BF">
        <w:t>ot</w:t>
      </w:r>
      <w:r w:rsidR="00A50CAE" w:rsidRPr="005C0C3D">
        <w:t xml:space="preserve"> pierādījumus</w:t>
      </w:r>
      <w:r w:rsidR="002641B1">
        <w:t xml:space="preserve">. </w:t>
      </w:r>
    </w:p>
    <w:p w14:paraId="7CA1E181" w14:textId="1FD829B7" w:rsidR="003B4989" w:rsidRDefault="00084138" w:rsidP="00E57113">
      <w:pPr>
        <w:pStyle w:val="Style1"/>
      </w:pPr>
      <w:r>
        <w:t>I</w:t>
      </w:r>
      <w:r w:rsidR="002641B1">
        <w:t xml:space="preserve">zskatot lietu atkārtoti, </w:t>
      </w:r>
      <w:r>
        <w:t xml:space="preserve">apgabaltiesai </w:t>
      </w:r>
      <w:r w:rsidR="002641B1">
        <w:t xml:space="preserve">ir jāpārbauda, vai </w:t>
      </w:r>
      <w:r w:rsidR="00E02903">
        <w:t>lēmumā ir detalizēti izklāstīti gan konstatētie fakti un veids, kādā šie fakti noskaidroti, norādītas tiesību normas, kas piemērotas</w:t>
      </w:r>
      <w:r w:rsidR="005C0C3D">
        <w:t>,</w:t>
      </w:r>
      <w:r w:rsidR="00E02903">
        <w:t xml:space="preserve"> un motivēta šo tiesību normu piemērošana konkrētajā gadījumā tādā veidā, kas pieļauj adresātam un jebkurai treša</w:t>
      </w:r>
      <w:r w:rsidR="002641B1">
        <w:t>jai</w:t>
      </w:r>
      <w:r w:rsidR="00E02903">
        <w:t xml:space="preserve"> personai izprast iestādes pamatojumu</w:t>
      </w:r>
      <w:r>
        <w:t>,</w:t>
      </w:r>
      <w:r w:rsidR="00E02903">
        <w:t xml:space="preserve"> kā arī izvirzīt argumentus un iebildumus pret lēmumā konstatētajiem faktiem, vērtējumiem</w:t>
      </w:r>
      <w:r>
        <w:t>,</w:t>
      </w:r>
      <w:r w:rsidR="00E02903">
        <w:t xml:space="preserve"> aprēķiniem</w:t>
      </w:r>
      <w:r>
        <w:t>,</w:t>
      </w:r>
      <w:r w:rsidR="00E02903">
        <w:t xml:space="preserve"> aprēķinu veikšanas metodiku un veidu</w:t>
      </w:r>
      <w:r w:rsidR="00DC72BF">
        <w:t>,</w:t>
      </w:r>
      <w:r w:rsidR="00E02903">
        <w:t xml:space="preserve"> kādā lēmumam būtiskā informācija iegūta.</w:t>
      </w:r>
      <w:r w:rsidR="00F80CC5">
        <w:t xml:space="preserve"> Savukārt pieteicējas argumenti, kas pēc būtības vērsti uz lēmumā konstatēto faktu ticamības apšaubīšanu, ir jāvērtē atbilstoši Administratīvā procesa likuma regulējumam par pierādīšanu. </w:t>
      </w:r>
    </w:p>
    <w:p w14:paraId="69551403" w14:textId="77777777" w:rsidR="00397180" w:rsidRDefault="00397180" w:rsidP="00E57113">
      <w:pPr>
        <w:spacing w:line="276" w:lineRule="auto"/>
        <w:ind w:firstLine="720"/>
        <w:jc w:val="both"/>
        <w:rPr>
          <w:i/>
          <w:iCs/>
        </w:rPr>
      </w:pPr>
      <w:r w:rsidRPr="008521F7">
        <w:rPr>
          <w:i/>
          <w:iCs/>
        </w:rPr>
        <w:t xml:space="preserve">Par </w:t>
      </w:r>
      <w:r>
        <w:rPr>
          <w:i/>
          <w:iCs/>
        </w:rPr>
        <w:t xml:space="preserve">pierādījumu </w:t>
      </w:r>
      <w:r w:rsidR="00F80CC5">
        <w:rPr>
          <w:i/>
          <w:iCs/>
        </w:rPr>
        <w:t>no</w:t>
      </w:r>
      <w:r>
        <w:rPr>
          <w:i/>
          <w:iCs/>
        </w:rPr>
        <w:t>vērtē</w:t>
      </w:r>
      <w:r w:rsidR="00DD0771">
        <w:rPr>
          <w:i/>
          <w:iCs/>
        </w:rPr>
        <w:t>jumu</w:t>
      </w:r>
    </w:p>
    <w:p w14:paraId="7FEDA48E" w14:textId="77777777" w:rsidR="002641B1" w:rsidRPr="008521F7" w:rsidRDefault="002641B1" w:rsidP="00E57113">
      <w:pPr>
        <w:spacing w:line="276" w:lineRule="auto"/>
        <w:ind w:firstLine="567"/>
        <w:jc w:val="both"/>
        <w:rPr>
          <w:i/>
          <w:iCs/>
        </w:rPr>
      </w:pPr>
    </w:p>
    <w:p w14:paraId="5ACEEA40" w14:textId="77777777" w:rsidR="002F1C8A" w:rsidRDefault="00397180" w:rsidP="00E57113">
      <w:pPr>
        <w:pStyle w:val="Style1"/>
      </w:pPr>
      <w:r w:rsidRPr="00113060">
        <w:t>[1</w:t>
      </w:r>
      <w:r w:rsidR="00E957A2">
        <w:t>4</w:t>
      </w:r>
      <w:r w:rsidRPr="00113060">
        <w:t>]</w:t>
      </w:r>
      <w:r>
        <w:t> </w:t>
      </w:r>
      <w:r w:rsidR="00576B18">
        <w:t>P</w:t>
      </w:r>
      <w:r>
        <w:t>ieteicēj</w:t>
      </w:r>
      <w:r w:rsidR="00784938">
        <w:t>a</w:t>
      </w:r>
      <w:r>
        <w:t xml:space="preserve"> </w:t>
      </w:r>
      <w:r w:rsidR="00576B18">
        <w:t>norāda</w:t>
      </w:r>
      <w:r w:rsidR="002F1C8A">
        <w:t xml:space="preserve">, ka </w:t>
      </w:r>
      <w:r w:rsidR="006A48D1">
        <w:t>a</w:t>
      </w:r>
      <w:r w:rsidR="002F1C8A">
        <w:t>pgabaltiesa</w:t>
      </w:r>
      <w:r w:rsidR="00CF2662">
        <w:t xml:space="preserve"> ir</w:t>
      </w:r>
      <w:r w:rsidR="002F1C8A">
        <w:t xml:space="preserve"> pārkāpusi Administratīvā procesa likuma 154.pantu, jo</w:t>
      </w:r>
      <w:r w:rsidR="002E0E36">
        <w:t xml:space="preserve"> </w:t>
      </w:r>
      <w:r w:rsidR="00DC72BF">
        <w:t xml:space="preserve">nav ievērojusi </w:t>
      </w:r>
      <w:r w:rsidR="002E0E36" w:rsidRPr="00067223">
        <w:t>privātpersonas tiesības uz objektīvu procesa norisi</w:t>
      </w:r>
      <w:r w:rsidR="00E4120D">
        <w:t xml:space="preserve"> un</w:t>
      </w:r>
      <w:r w:rsidR="002E0E36">
        <w:t xml:space="preserve"> savus secinājumus par faktiem </w:t>
      </w:r>
      <w:r w:rsidR="00DC72BF">
        <w:t xml:space="preserve">izdarījusi </w:t>
      </w:r>
      <w:r w:rsidR="00E4120D">
        <w:t>bez lietā esošiem pieļaujamiem pierādījumiem</w:t>
      </w:r>
      <w:r w:rsidR="002E0E36">
        <w:t xml:space="preserve">. </w:t>
      </w:r>
      <w:r w:rsidR="00E4120D">
        <w:t>P</w:t>
      </w:r>
      <w:r w:rsidR="002E0E36">
        <w:t xml:space="preserve">recīzāk, apgabaltiesa </w:t>
      </w:r>
      <w:r w:rsidR="00E4120D">
        <w:t xml:space="preserve">nepareizi </w:t>
      </w:r>
      <w:r w:rsidR="00067223" w:rsidRPr="00067223">
        <w:t>novērtēj</w:t>
      </w:r>
      <w:r w:rsidR="00E4120D">
        <w:t>usi</w:t>
      </w:r>
      <w:r w:rsidR="00067223" w:rsidRPr="00067223">
        <w:t xml:space="preserve"> </w:t>
      </w:r>
      <w:r w:rsidR="00E4120D">
        <w:t xml:space="preserve">liecinieka </w:t>
      </w:r>
      <w:r w:rsidR="00067223" w:rsidRPr="00067223">
        <w:t>liecību</w:t>
      </w:r>
      <w:r w:rsidR="00E4120D">
        <w:t>, kas nav atzīstama par uzticamu vairāku pieteicēja</w:t>
      </w:r>
      <w:r w:rsidR="00164402">
        <w:t>s</w:t>
      </w:r>
      <w:r w:rsidR="00E4120D">
        <w:t xml:space="preserve"> norādīto iemeslu dēļ,</w:t>
      </w:r>
      <w:r w:rsidR="00067223" w:rsidRPr="00067223">
        <w:t xml:space="preserve"> </w:t>
      </w:r>
      <w:r w:rsidR="00E4120D">
        <w:t>un ka šāda liecīb</w:t>
      </w:r>
      <w:r w:rsidR="00084138">
        <w:t>a</w:t>
      </w:r>
      <w:r w:rsidR="00E4120D">
        <w:t xml:space="preserve"> </w:t>
      </w:r>
      <w:r w:rsidR="00067223" w:rsidRPr="00067223">
        <w:t>kā vienīg</w:t>
      </w:r>
      <w:r w:rsidR="00E4120D">
        <w:t>ais</w:t>
      </w:r>
      <w:r w:rsidR="00067223" w:rsidRPr="00067223">
        <w:t xml:space="preserve"> pierādījum</w:t>
      </w:r>
      <w:r w:rsidR="00E4120D">
        <w:t>s nevarēja pamatot izdarītos secinājumus. Tāpat apgabaltiesa, atzīstot koku caurmēra mērījumus par pamatotiem,</w:t>
      </w:r>
      <w:r w:rsidR="00F80CC5">
        <w:t xml:space="preserve"> neesot ievērojusi </w:t>
      </w:r>
      <w:r w:rsidR="00F80CC5" w:rsidRPr="00F80CC5">
        <w:t xml:space="preserve">likuma </w:t>
      </w:r>
      <w:r w:rsidR="00F80CC5">
        <w:t>„</w:t>
      </w:r>
      <w:r w:rsidR="00F80CC5" w:rsidRPr="00F80CC5">
        <w:t>Par mērījumu vienotību” 6. un 7.panta pirmās daļas 3. un 8.punktu</w:t>
      </w:r>
      <w:r w:rsidR="002F1C8A">
        <w:t>.</w:t>
      </w:r>
      <w:r w:rsidR="00F80CC5">
        <w:t xml:space="preserve"> </w:t>
      </w:r>
    </w:p>
    <w:p w14:paraId="4EFD6D18" w14:textId="183549C4" w:rsidR="0068040C" w:rsidRDefault="00084138" w:rsidP="00E57113">
      <w:pPr>
        <w:pStyle w:val="Style1"/>
      </w:pPr>
      <w:r>
        <w:t xml:space="preserve">Vispirms </w:t>
      </w:r>
      <w:r w:rsidR="00760E68" w:rsidRPr="00450241">
        <w:t>Senāts</w:t>
      </w:r>
      <w:r w:rsidR="00F80CC5">
        <w:t xml:space="preserve"> atgādina, ka</w:t>
      </w:r>
      <w:r w:rsidR="00067223">
        <w:t xml:space="preserve"> tas</w:t>
      </w:r>
      <w:r w:rsidR="00EB2B98">
        <w:t xml:space="preserve"> </w:t>
      </w:r>
      <w:r w:rsidR="00760E68" w:rsidRPr="00450241">
        <w:t>var</w:t>
      </w:r>
      <w:r w:rsidR="0098612C" w:rsidRPr="00450241">
        <w:t xml:space="preserve"> </w:t>
      </w:r>
      <w:r w:rsidR="00760E68" w:rsidRPr="00450241">
        <w:t xml:space="preserve">pārbaudīt, vai zemākas instances </w:t>
      </w:r>
      <w:r w:rsidR="0075266F" w:rsidRPr="00450241">
        <w:t xml:space="preserve">tiesa </w:t>
      </w:r>
      <w:r w:rsidR="00760E68" w:rsidRPr="00450241">
        <w:t xml:space="preserve">nav pieļāvusi </w:t>
      </w:r>
      <w:r w:rsidR="00855411" w:rsidRPr="00450241">
        <w:t>tād</w:t>
      </w:r>
      <w:r w:rsidR="00450241" w:rsidRPr="00450241">
        <w:t>u</w:t>
      </w:r>
      <w:r w:rsidR="00855411" w:rsidRPr="00450241">
        <w:t>s procesuāl</w:t>
      </w:r>
      <w:r w:rsidR="00450241" w:rsidRPr="00450241">
        <w:t xml:space="preserve">o tiesību </w:t>
      </w:r>
      <w:r>
        <w:t xml:space="preserve">normu </w:t>
      </w:r>
      <w:r w:rsidR="00450241" w:rsidRPr="00450241">
        <w:t xml:space="preserve">pārkāpumus </w:t>
      </w:r>
      <w:r w:rsidR="00760E68" w:rsidRPr="00450241">
        <w:t xml:space="preserve">pierādījumu </w:t>
      </w:r>
      <w:r w:rsidR="0043358B" w:rsidRPr="00450241">
        <w:t>pārbaudē</w:t>
      </w:r>
      <w:r w:rsidR="003A382B" w:rsidRPr="00450241">
        <w:t>,</w:t>
      </w:r>
      <w:r w:rsidR="0043358B" w:rsidRPr="00450241">
        <w:t xml:space="preserve"> kas var ietekmēt lietas iznākumu</w:t>
      </w:r>
      <w:r w:rsidR="00450241" w:rsidRPr="00450241">
        <w:t xml:space="preserve">. Turklāt Senāts kasācijas kārtībā pārbauda tikai konkrētus argumentus par šādiem iespējamiem pārkāpumiem </w:t>
      </w:r>
      <w:r w:rsidR="003A382B" w:rsidRPr="00450241">
        <w:t>(</w:t>
      </w:r>
      <w:r w:rsidR="003A382B" w:rsidRPr="00450241">
        <w:rPr>
          <w:i/>
          <w:iCs/>
        </w:rPr>
        <w:t xml:space="preserve">Senāta 2020.gada 9.jūlija sprieduma lietā Nr. SKA-205/2020, </w:t>
      </w:r>
      <w:hyperlink r:id="rId20" w:history="1">
        <w:r w:rsidR="003A382B" w:rsidRPr="004F3AF2">
          <w:rPr>
            <w:rStyle w:val="Hyperlink"/>
            <w:i/>
            <w:iCs/>
          </w:rPr>
          <w:t>ECLI:LV:AT:2020:0709.A420167316.5.S</w:t>
        </w:r>
      </w:hyperlink>
      <w:r w:rsidR="003A382B" w:rsidRPr="00450241">
        <w:rPr>
          <w:i/>
          <w:iCs/>
        </w:rPr>
        <w:t>, 10.punkts</w:t>
      </w:r>
      <w:r w:rsidR="004F3AF2">
        <w:rPr>
          <w:i/>
          <w:iCs/>
        </w:rPr>
        <w:t>;</w:t>
      </w:r>
      <w:r w:rsidR="003A382B" w:rsidRPr="00450241">
        <w:rPr>
          <w:i/>
          <w:iCs/>
        </w:rPr>
        <w:t xml:space="preserve"> 2021.gada 19.augusta rīcības sēdes lēmuma lietā Nr. SKA-1201/2021, </w:t>
      </w:r>
      <w:hyperlink r:id="rId21" w:history="1">
        <w:r w:rsidR="003A382B" w:rsidRPr="004F3AF2">
          <w:rPr>
            <w:rStyle w:val="Hyperlink"/>
            <w:i/>
            <w:iCs/>
          </w:rPr>
          <w:t>ECLI:LV:AT:2021:0819.A420212517.14.L</w:t>
        </w:r>
      </w:hyperlink>
      <w:r w:rsidR="003A382B" w:rsidRPr="00450241">
        <w:rPr>
          <w:i/>
          <w:iCs/>
        </w:rPr>
        <w:t>, 5.punkts, 2025.gada 18.jūlija sprieduma lietā Nr. SKA-45/2025</w:t>
      </w:r>
      <w:r w:rsidR="004F3AF2">
        <w:rPr>
          <w:i/>
          <w:iCs/>
        </w:rPr>
        <w:t>,</w:t>
      </w:r>
      <w:r w:rsidR="003A382B" w:rsidRPr="00450241">
        <w:rPr>
          <w:i/>
          <w:iCs/>
        </w:rPr>
        <w:t xml:space="preserve"> </w:t>
      </w:r>
      <w:hyperlink r:id="rId22" w:history="1">
        <w:r w:rsidR="004F3AF2" w:rsidRPr="004F3AF2">
          <w:rPr>
            <w:rStyle w:val="Hyperlink"/>
            <w:i/>
            <w:iCs/>
          </w:rPr>
          <w:t>ECLI:LV:AT:2025:0718.A420109721.15.S</w:t>
        </w:r>
      </w:hyperlink>
      <w:r w:rsidR="003A382B" w:rsidRPr="00450241">
        <w:rPr>
          <w:i/>
          <w:iCs/>
        </w:rPr>
        <w:t>, 18.–21.punkts</w:t>
      </w:r>
      <w:r w:rsidR="003A382B" w:rsidRPr="00450241">
        <w:t>)</w:t>
      </w:r>
      <w:r w:rsidR="00760E68" w:rsidRPr="00450241">
        <w:t>.</w:t>
      </w:r>
    </w:p>
    <w:p w14:paraId="6B4F155F" w14:textId="77777777" w:rsidR="003B4989" w:rsidRDefault="00DC4CB8" w:rsidP="00E57113">
      <w:pPr>
        <w:pStyle w:val="Style1"/>
      </w:pPr>
      <w:r>
        <w:t xml:space="preserve">Senāts </w:t>
      </w:r>
      <w:r w:rsidR="001676D7">
        <w:t xml:space="preserve">vispirms izvērtēs vispārējo pieteicējas argumentu un tad </w:t>
      </w:r>
      <w:r>
        <w:t>katru konkrēto argumentu aplūkos atsevišķi.</w:t>
      </w:r>
    </w:p>
    <w:p w14:paraId="53F3CDAE" w14:textId="77777777" w:rsidR="00397180" w:rsidRDefault="00397180" w:rsidP="00E57113">
      <w:pPr>
        <w:spacing w:line="276" w:lineRule="auto"/>
        <w:jc w:val="both"/>
      </w:pPr>
    </w:p>
    <w:p w14:paraId="4B2662E7" w14:textId="77777777" w:rsidR="001676D7" w:rsidRDefault="00397180" w:rsidP="00E57113">
      <w:pPr>
        <w:pStyle w:val="Style1"/>
      </w:pPr>
      <w:r>
        <w:t>[1</w:t>
      </w:r>
      <w:r w:rsidR="00E957A2">
        <w:t>5</w:t>
      </w:r>
      <w:r>
        <w:t>] </w:t>
      </w:r>
      <w:r w:rsidR="001676D7">
        <w:t>Atbildot uz pieteicējas vispārējo iebildumu par pierādīšan</w:t>
      </w:r>
      <w:r w:rsidR="00FD2EE1">
        <w:t>u</w:t>
      </w:r>
      <w:r w:rsidR="001676D7">
        <w:t xml:space="preserve"> šajā lietā, Senāts vērš uzmanību uz lietas izskatīšanai nozīmīgu tiesas pilnvaru pierādīšanas jomā</w:t>
      </w:r>
      <w:r w:rsidR="00E4327A">
        <w:t xml:space="preserve">, proti, </w:t>
      </w:r>
      <w:r w:rsidR="001676D7">
        <w:t xml:space="preserve">tiesībām izdarīt </w:t>
      </w:r>
      <w:r w:rsidR="00781AEB">
        <w:t>procesa</w:t>
      </w:r>
      <w:r w:rsidR="001676D7">
        <w:t xml:space="preserve"> dalībniekam nelabvēlīgu secinājumu par faktu vai apstākļu esību vai neesību</w:t>
      </w:r>
      <w:r w:rsidR="00781AEB">
        <w:t>, ievērojot procesa</w:t>
      </w:r>
      <w:r w:rsidR="001676D7">
        <w:t xml:space="preserve"> dalībnieka rīcīb</w:t>
      </w:r>
      <w:r w:rsidR="00781AEB">
        <w:t>u</w:t>
      </w:r>
      <w:r w:rsidR="001676D7">
        <w:t xml:space="preserve"> saistībā ar pierādījumiem pēc tam, kad starp </w:t>
      </w:r>
      <w:r w:rsidR="00781AEB">
        <w:t>procesa</w:t>
      </w:r>
      <w:r w:rsidR="001676D7">
        <w:t xml:space="preserve"> dalībniekiem ir izveidojies tiesisks strīds.</w:t>
      </w:r>
    </w:p>
    <w:p w14:paraId="1AAD17D4" w14:textId="77777777" w:rsidR="001676D7" w:rsidRDefault="00781AEB" w:rsidP="00E57113">
      <w:pPr>
        <w:pStyle w:val="Style1"/>
      </w:pPr>
      <w:r>
        <w:t xml:space="preserve">Proti, </w:t>
      </w:r>
      <w:r w:rsidR="001676D7">
        <w:t>Administratīvā procesa likuma 154.panta pirmā daļa noteic, ka t</w:t>
      </w:r>
      <w:r w:rsidR="001676D7" w:rsidRPr="00AA7EFF">
        <w: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1676D7">
        <w:t xml:space="preserve"> Šī tiesību norma, no vienas puses, uzliek pienākumu tiesa</w:t>
      </w:r>
      <w:r>
        <w:t xml:space="preserve">i </w:t>
      </w:r>
      <w:r w:rsidR="001676D7">
        <w:t xml:space="preserve">pārbaudīt </w:t>
      </w:r>
      <w:r>
        <w:t>procesa</w:t>
      </w:r>
      <w:r w:rsidR="001676D7">
        <w:t xml:space="preserve"> dalībnieku apgalvojumus par faktiem un apstākļiem</w:t>
      </w:r>
      <w:r w:rsidR="001676D7" w:rsidRPr="00151278">
        <w:t xml:space="preserve"> </w:t>
      </w:r>
      <w:r w:rsidR="001676D7" w:rsidRPr="00AA7EFF">
        <w:t xml:space="preserve">vispusīgi, pilnīgi un </w:t>
      </w:r>
      <w:r w:rsidR="001676D7">
        <w:t xml:space="preserve">pēc </w:t>
      </w:r>
      <w:r w:rsidR="001676D7" w:rsidRPr="00AA7EFF">
        <w:t>tiesiskās apziņas, kas balstīta uz loģikas likumiem, zinātnes atziņām un taisnības principiem</w:t>
      </w:r>
      <w:r>
        <w:t>,</w:t>
      </w:r>
      <w:r w:rsidR="001676D7">
        <w:t xml:space="preserve"> un</w:t>
      </w:r>
      <w:r>
        <w:t>,</w:t>
      </w:r>
      <w:r w:rsidR="001676D7">
        <w:t xml:space="preserve"> no otras puses, pauž pierādījumu brīvas novērtēšanas principu, kas tiesu apvelta ar virkni pilnvar</w:t>
      </w:r>
      <w:r w:rsidR="00DC72BF">
        <w:t>ām</w:t>
      </w:r>
      <w:r w:rsidR="001676D7">
        <w:t xml:space="preserve"> un tiesīb</w:t>
      </w:r>
      <w:r w:rsidR="00DC72BF">
        <w:t>ām</w:t>
      </w:r>
      <w:r w:rsidR="001676D7">
        <w:t>, kas nepieciešamas, lai t</w:t>
      </w:r>
      <w:r>
        <w:t>ā</w:t>
      </w:r>
      <w:r w:rsidR="001676D7">
        <w:t xml:space="preserve"> varētu tiesvedībā nonākt pie secinājuma par </w:t>
      </w:r>
      <w:r w:rsidR="00E4327A">
        <w:t xml:space="preserve">apgalvojumu par </w:t>
      </w:r>
      <w:r w:rsidR="001676D7">
        <w:t>lietā būtiskajiem fakt</w:t>
      </w:r>
      <w:r w:rsidR="00FD2EE1">
        <w:t>iem</w:t>
      </w:r>
      <w:r w:rsidR="001676D7">
        <w:t xml:space="preserve"> un apstākļiem patiesumu. Kā izklāstīts tālāk, viena no šādām pilnvarām ir tiesības izdarīt secinājumu par faktu vai apstākļu esību vai neesību</w:t>
      </w:r>
      <w:r>
        <w:t>, ievērojot</w:t>
      </w:r>
      <w:r w:rsidR="001676D7">
        <w:t xml:space="preserve"> </w:t>
      </w:r>
      <w:r>
        <w:t>procesa</w:t>
      </w:r>
      <w:r w:rsidR="001676D7">
        <w:t xml:space="preserve"> dalībnieka rīcīb</w:t>
      </w:r>
      <w:r>
        <w:t>u attiecīg</w:t>
      </w:r>
      <w:r w:rsidR="00831ECA">
        <w:t>ajā</w:t>
      </w:r>
      <w:r>
        <w:t xml:space="preserve"> </w:t>
      </w:r>
      <w:r w:rsidR="00FD2EE1">
        <w:t>proces</w:t>
      </w:r>
      <w:r w:rsidR="00831ECA">
        <w:t>ā</w:t>
      </w:r>
      <w:r w:rsidR="001676D7">
        <w:t xml:space="preserve">. </w:t>
      </w:r>
    </w:p>
    <w:p w14:paraId="7D77E6AB" w14:textId="77777777" w:rsidR="00645871" w:rsidRPr="00BE7B0D" w:rsidRDefault="0063730B" w:rsidP="00E57113">
      <w:pPr>
        <w:pStyle w:val="Style1"/>
        <w:rPr>
          <w:color w:val="000000"/>
        </w:rPr>
      </w:pPr>
      <w:r>
        <w:t xml:space="preserve">Administratīvā </w:t>
      </w:r>
      <w:r w:rsidR="00DC72BF">
        <w:t xml:space="preserve">procesa </w:t>
      </w:r>
      <w:r>
        <w:t xml:space="preserve">likuma 148.panta otrā daļa paredz, ka </w:t>
      </w:r>
      <w:r w:rsidRPr="0063730B">
        <w:t xml:space="preserve">procesa dalībniekam savas tiesības jāizmanto un pienākumi jāpilda godprātīgi. </w:t>
      </w:r>
      <w:r w:rsidR="00781AEB">
        <w:t xml:space="preserve">Savukārt, piemēram, </w:t>
      </w:r>
      <w:r w:rsidR="001676D7" w:rsidRPr="00BE7B0D">
        <w:rPr>
          <w:color w:val="000000"/>
        </w:rPr>
        <w:t xml:space="preserve">Administratīvā procesa likuma 278.panta pirmās daļas 7.punkts noteic tiesas pienākumu atstāt pieteikumu bez izskatīšanas, ja pieteicējs rakstveida procesā izskatāmajā lietā atkārtoti neatbild uz tiesas pieprasījumiem. </w:t>
      </w:r>
    </w:p>
    <w:p w14:paraId="7BD93956" w14:textId="2D1136E8" w:rsidR="00645871" w:rsidRDefault="0063730B" w:rsidP="00E57113">
      <w:pPr>
        <w:pStyle w:val="Style1"/>
      </w:pPr>
      <w:r>
        <w:t xml:space="preserve">Senāts jau iepriekš ir saistījis šos abus pienākumus tādā nozīmē, ka </w:t>
      </w:r>
      <w:r w:rsidR="00645871">
        <w:t xml:space="preserve">to </w:t>
      </w:r>
      <w:r w:rsidR="00645871" w:rsidRPr="00645871">
        <w:rPr>
          <w:bCs/>
        </w:rPr>
        <w:t>mērķis ir efektivizēt administratīvo lietu iztiesāšanu un disciplinēt procesa dalībniekus jeb motivēt tos atbildīgi pildīt savus no likuma izrietošos pienākumus</w:t>
      </w:r>
      <w:r w:rsidR="00645871">
        <w:rPr>
          <w:bCs/>
        </w:rPr>
        <w:t xml:space="preserve"> (</w:t>
      </w:r>
      <w:r w:rsidR="00645871" w:rsidRPr="00645871">
        <w:rPr>
          <w:bCs/>
          <w:i/>
          <w:iCs/>
        </w:rPr>
        <w:t xml:space="preserve">Senāta 2024.gada 28.marta lēmuma </w:t>
      </w:r>
      <w:r w:rsidR="00781AEB">
        <w:rPr>
          <w:bCs/>
          <w:i/>
          <w:iCs/>
        </w:rPr>
        <w:t>l</w:t>
      </w:r>
      <w:r w:rsidR="00645871" w:rsidRPr="00645871">
        <w:rPr>
          <w:bCs/>
          <w:i/>
          <w:iCs/>
        </w:rPr>
        <w:t xml:space="preserve">ietā Nr. SKA-486/2024, </w:t>
      </w:r>
      <w:hyperlink r:id="rId23" w:history="1">
        <w:r w:rsidR="00645871" w:rsidRPr="004F3AF2">
          <w:rPr>
            <w:rStyle w:val="Hyperlink"/>
            <w:bCs/>
            <w:i/>
            <w:iCs/>
          </w:rPr>
          <w:t>ECLI:LV:AT:2024:0328.A420301718.22.L</w:t>
        </w:r>
      </w:hyperlink>
      <w:r w:rsidR="00645871" w:rsidRPr="00645871">
        <w:rPr>
          <w:bCs/>
          <w:i/>
          <w:iCs/>
        </w:rPr>
        <w:t>, 5.punkts</w:t>
      </w:r>
      <w:r w:rsidR="00645871">
        <w:rPr>
          <w:bCs/>
        </w:rPr>
        <w:t>).</w:t>
      </w:r>
      <w:r>
        <w:t xml:space="preserve"> Tāpat </w:t>
      </w:r>
      <w:r w:rsidR="001676D7">
        <w:t>Senāts jau ir atzinis, ka, j</w:t>
      </w:r>
      <w:r w:rsidR="001676D7" w:rsidRPr="00C4294E">
        <w:t>a pieteicējs lietas izskatīšanas laikā rakstveida procesā atstāj bez ievērības tiesas uzdotos jautājumus par lietas būtību un nesadarbojas ar tiesu, tad šī tiesību norma paredz pamatu pieteicēja pieteikumu atstāt bez izskatīšanas</w:t>
      </w:r>
      <w:r w:rsidR="001676D7">
        <w:t xml:space="preserve"> (</w:t>
      </w:r>
      <w:r w:rsidR="001676D7" w:rsidRPr="006821D9">
        <w:rPr>
          <w:i/>
          <w:iCs/>
        </w:rPr>
        <w:t>Senāta 2020.gada 1.septembra lēmuma lietā Nr. SKA-4/2020, A420289313, 6.punkts</w:t>
      </w:r>
      <w:r w:rsidR="001676D7">
        <w:t>)</w:t>
      </w:r>
      <w:r w:rsidR="00576B18">
        <w:t>.</w:t>
      </w:r>
      <w:r w:rsidR="001676D7">
        <w:t xml:space="preserve"> </w:t>
      </w:r>
      <w:r w:rsidR="00645871">
        <w:t>Savukārt</w:t>
      </w:r>
      <w:r w:rsidR="001676D7">
        <w:t xml:space="preserve"> pierādījumu izvērtējuma kontekstā </w:t>
      </w:r>
      <w:r w:rsidR="00645871">
        <w:t xml:space="preserve">Senāts ir </w:t>
      </w:r>
      <w:r w:rsidR="001676D7">
        <w:t>paskaidrojis, ka lietas dalībniekam var būt pienākums</w:t>
      </w:r>
      <w:r w:rsidR="001676D7" w:rsidRPr="00C4294E">
        <w:rPr>
          <w:color w:val="000000"/>
        </w:rPr>
        <w:t xml:space="preserve"> loģiski izsk</w:t>
      </w:r>
      <w:r w:rsidR="001676D7">
        <w:rPr>
          <w:color w:val="000000"/>
        </w:rPr>
        <w:t>aidrot konkrētus izšķirošus lietas apstākļus (</w:t>
      </w:r>
      <w:r w:rsidR="001676D7" w:rsidRPr="006821D9">
        <w:rPr>
          <w:i/>
          <w:iCs/>
        </w:rPr>
        <w:t>Senāta 2010.gada 17.marta lēmuma lietā Nr. SKA-132/2010, A42384606, 11.punkts</w:t>
      </w:r>
      <w:r w:rsidR="001676D7">
        <w:t xml:space="preserve">). </w:t>
      </w:r>
    </w:p>
    <w:p w14:paraId="577984F6" w14:textId="77777777" w:rsidR="00645871" w:rsidRDefault="001676D7" w:rsidP="00E57113">
      <w:pPr>
        <w:pStyle w:val="Style1"/>
      </w:pPr>
      <w:r>
        <w:t>Senāt</w:t>
      </w:r>
      <w:r w:rsidR="00645871">
        <w:t>s</w:t>
      </w:r>
      <w:r>
        <w:t xml:space="preserve"> secina: tā kā likumdevējs ir pieļāvis daudz būtiskākas sekas</w:t>
      </w:r>
      <w:r w:rsidR="00505915">
        <w:t xml:space="preserve"> </w:t>
      </w:r>
      <w:r>
        <w:t>–</w:t>
      </w:r>
      <w:r w:rsidR="00505915">
        <w:t xml:space="preserve"> </w:t>
      </w:r>
      <w:r>
        <w:t xml:space="preserve">pieteikuma atstāšanu bez izskatīšanas, kas seku ziņā nozīmē atbildētājas lēmuma </w:t>
      </w:r>
      <w:r w:rsidR="00E4327A" w:rsidRPr="00A50CAE">
        <w:rPr>
          <w:color w:val="000000"/>
        </w:rPr>
        <w:t>atstāšanu spēkā</w:t>
      </w:r>
      <w:r w:rsidR="00A50CAE">
        <w:rPr>
          <w:color w:val="000000"/>
        </w:rPr>
        <w:t xml:space="preserve">, tādējādi atzīstot to </w:t>
      </w:r>
      <w:r>
        <w:t xml:space="preserve">par pareizu pilnībā, </w:t>
      </w:r>
      <w:r w:rsidR="00E4327A">
        <w:t xml:space="preserve">– </w:t>
      </w:r>
      <w:r>
        <w:t>kā arī</w:t>
      </w:r>
      <w:r w:rsidR="00A50CAE">
        <w:t>,</w:t>
      </w:r>
      <w:r>
        <w:t xml:space="preserve"> paturot prātā </w:t>
      </w:r>
      <w:r w:rsidR="00E4327A">
        <w:t>a</w:t>
      </w:r>
      <w:r>
        <w:t>dministratīv</w:t>
      </w:r>
      <w:r w:rsidR="00E4327A">
        <w:t>aj</w:t>
      </w:r>
      <w:r>
        <w:t xml:space="preserve">ā procesā tiesā iedibināto pierādīšanas sistēmu, tiesai ir pilnvaras izdarīt </w:t>
      </w:r>
      <w:r w:rsidR="000F3799">
        <w:t xml:space="preserve">lietas dalībniekam </w:t>
      </w:r>
      <w:r>
        <w:t>nelabvēlīgu secinājumu par faktu vai apstākļu esību vai neesību</w:t>
      </w:r>
      <w:r w:rsidR="00E4327A">
        <w:t xml:space="preserve">, ievērojot </w:t>
      </w:r>
      <w:r w:rsidR="00781AEB">
        <w:t>procesa</w:t>
      </w:r>
      <w:r>
        <w:t xml:space="preserve"> dalībnieka rīcīb</w:t>
      </w:r>
      <w:r w:rsidR="00E4327A">
        <w:t>u</w:t>
      </w:r>
      <w:r>
        <w:t xml:space="preserve"> saistībā ar pierādījumiem vai potenciāliem pierādījumiem, ja šī rīcība izdarīta pēc </w:t>
      </w:r>
      <w:r w:rsidR="00645871">
        <w:t xml:space="preserve">administratīvā procesa uzsākšanas un </w:t>
      </w:r>
      <w:r>
        <w:t>strīda rašanās.</w:t>
      </w:r>
    </w:p>
    <w:p w14:paraId="6BEEC0C8" w14:textId="77777777" w:rsidR="001676D7" w:rsidRDefault="00781AEB" w:rsidP="00E57113">
      <w:pPr>
        <w:pStyle w:val="Style1"/>
      </w:pPr>
      <w:r>
        <w:t>M</w:t>
      </w:r>
      <w:r w:rsidR="001676D7">
        <w:t>inēto apstiprina arī salīdzinošās tiesības, no kurām izriet, ka Eiropas tiesību telpā tiesības izdarīt secinājumus par apgalvojumu par faktiem patiesumu</w:t>
      </w:r>
      <w:r w:rsidR="00E4327A">
        <w:t xml:space="preserve">, ievērojot procesa </w:t>
      </w:r>
      <w:r w:rsidR="001676D7">
        <w:t>dalībnieka rīcīb</w:t>
      </w:r>
      <w:r w:rsidR="00E4327A">
        <w:t xml:space="preserve">u, </w:t>
      </w:r>
      <w:r w:rsidR="001676D7">
        <w:t xml:space="preserve">ietilpst </w:t>
      </w:r>
      <w:r w:rsidR="001676D7" w:rsidRPr="00BE7B0D">
        <w:rPr>
          <w:color w:val="000000"/>
        </w:rPr>
        <w:t xml:space="preserve">pierādījumu </w:t>
      </w:r>
      <w:r w:rsidRPr="00BE7B0D">
        <w:rPr>
          <w:color w:val="000000"/>
        </w:rPr>
        <w:t xml:space="preserve">brīvas novērtēšanas </w:t>
      </w:r>
      <w:r w:rsidR="001676D7" w:rsidRPr="00BE7B0D">
        <w:rPr>
          <w:color w:val="000000"/>
        </w:rPr>
        <w:t>principa saturā</w:t>
      </w:r>
      <w:r w:rsidR="001676D7">
        <w:t xml:space="preserve"> (sk.</w:t>
      </w:r>
      <w:r w:rsidR="00505915">
        <w:t> </w:t>
      </w:r>
      <w:r w:rsidR="001676D7" w:rsidRPr="00E33A32">
        <w:rPr>
          <w:i/>
          <w:iCs/>
        </w:rPr>
        <w:t>Vācijas Augstākās federālās tiesas 1960.gada 12.janvāra spriedum</w:t>
      </w:r>
      <w:r w:rsidR="001676D7">
        <w:rPr>
          <w:i/>
          <w:iCs/>
        </w:rPr>
        <w:t>a</w:t>
      </w:r>
      <w:r w:rsidR="001676D7" w:rsidRPr="00E33A32">
        <w:rPr>
          <w:i/>
          <w:iCs/>
        </w:rPr>
        <w:t xml:space="preserve"> lietā Nr.</w:t>
      </w:r>
      <w:r w:rsidR="00FC2206">
        <w:rPr>
          <w:i/>
          <w:iCs/>
        </w:rPr>
        <w:t> </w:t>
      </w:r>
      <w:hyperlink r:id="rId24" w:history="1">
        <w:r w:rsidR="001676D7" w:rsidRPr="00E33A32">
          <w:rPr>
            <w:rStyle w:val="Hyperlink"/>
            <w:i/>
            <w:iCs/>
          </w:rPr>
          <w:t>VI</w:t>
        </w:r>
        <w:r w:rsidR="00FC2206">
          <w:rPr>
            <w:rStyle w:val="Hyperlink"/>
            <w:i/>
            <w:iCs/>
          </w:rPr>
          <w:t> </w:t>
        </w:r>
        <w:r w:rsidR="001676D7" w:rsidRPr="00E33A32">
          <w:rPr>
            <w:rStyle w:val="Hyperlink"/>
            <w:i/>
            <w:iCs/>
          </w:rPr>
          <w:t>ZR</w:t>
        </w:r>
        <w:r w:rsidR="00FC2206">
          <w:rPr>
            <w:rStyle w:val="Hyperlink"/>
            <w:i/>
            <w:iCs/>
          </w:rPr>
          <w:t> </w:t>
        </w:r>
        <w:r w:rsidR="001676D7" w:rsidRPr="00E33A32">
          <w:rPr>
            <w:rStyle w:val="Hyperlink"/>
            <w:i/>
            <w:iCs/>
          </w:rPr>
          <w:t>220/58</w:t>
        </w:r>
      </w:hyperlink>
      <w:r w:rsidR="001676D7" w:rsidRPr="00E33A32">
        <w:rPr>
          <w:i/>
          <w:iCs/>
        </w:rPr>
        <w:t>, 7.lap</w:t>
      </w:r>
      <w:r w:rsidR="00A50CAE">
        <w:rPr>
          <w:i/>
          <w:iCs/>
        </w:rPr>
        <w:t>a, 13.pun</w:t>
      </w:r>
      <w:r w:rsidR="008D014E">
        <w:rPr>
          <w:i/>
          <w:iCs/>
        </w:rPr>
        <w:t>kt</w:t>
      </w:r>
      <w:r w:rsidR="005C0C3D">
        <w:rPr>
          <w:i/>
          <w:iCs/>
        </w:rPr>
        <w:t>u</w:t>
      </w:r>
      <w:r w:rsidR="001676D7" w:rsidRPr="00E33A32">
        <w:rPr>
          <w:i/>
          <w:iCs/>
        </w:rPr>
        <w:t>; Šveices Augstākās federālās tiesas 2014.gada 4.aprīļa spriedum</w:t>
      </w:r>
      <w:r w:rsidR="001676D7">
        <w:rPr>
          <w:i/>
          <w:iCs/>
        </w:rPr>
        <w:t>a</w:t>
      </w:r>
      <w:r w:rsidR="001676D7" w:rsidRPr="00E33A32">
        <w:rPr>
          <w:i/>
          <w:iCs/>
        </w:rPr>
        <w:t xml:space="preserve"> lietā Nr. </w:t>
      </w:r>
      <w:hyperlink r:id="rId25" w:history="1">
        <w:r w:rsidR="001676D7" w:rsidRPr="00E33A32">
          <w:rPr>
            <w:rStyle w:val="Hyperlink"/>
            <w:i/>
            <w:iCs/>
          </w:rPr>
          <w:t>5A_909/2013</w:t>
        </w:r>
      </w:hyperlink>
      <w:r w:rsidR="001676D7" w:rsidRPr="00E33A32">
        <w:rPr>
          <w:i/>
          <w:iCs/>
        </w:rPr>
        <w:t>, 2.3.punkt</w:t>
      </w:r>
      <w:r w:rsidR="001676D7">
        <w:rPr>
          <w:i/>
          <w:iCs/>
        </w:rPr>
        <w:t>u</w:t>
      </w:r>
      <w:r w:rsidR="001676D7" w:rsidRPr="00E33A32">
        <w:rPr>
          <w:i/>
          <w:iCs/>
        </w:rPr>
        <w:t>;</w:t>
      </w:r>
      <w:r w:rsidR="00167847">
        <w:rPr>
          <w:i/>
          <w:iCs/>
        </w:rPr>
        <w:t xml:space="preserve"> </w:t>
      </w:r>
      <w:r w:rsidR="00167847" w:rsidRPr="005C0C3D">
        <w:t>kā arī sal.</w:t>
      </w:r>
      <w:r w:rsidR="001676D7" w:rsidRPr="00E33A32">
        <w:rPr>
          <w:i/>
          <w:iCs/>
        </w:rPr>
        <w:t xml:space="preserve"> Hertohenbošas </w:t>
      </w:r>
      <w:r w:rsidR="001676D7">
        <w:rPr>
          <w:i/>
          <w:iCs/>
        </w:rPr>
        <w:t>(Nīderlandes)</w:t>
      </w:r>
      <w:r w:rsidR="001676D7" w:rsidRPr="00E33A32">
        <w:rPr>
          <w:i/>
          <w:iCs/>
        </w:rPr>
        <w:t xml:space="preserve"> Apelācijas tiesas 2015.gada 29.decembra sprieduma lietā Nr. </w:t>
      </w:r>
      <w:r w:rsidR="00167847" w:rsidRPr="00167847">
        <w:rPr>
          <w:i/>
          <w:iCs/>
        </w:rPr>
        <w:t>HD</w:t>
      </w:r>
      <w:r w:rsidR="00167847">
        <w:rPr>
          <w:i/>
          <w:iCs/>
        </w:rPr>
        <w:t> </w:t>
      </w:r>
      <w:r w:rsidR="00167847" w:rsidRPr="00167847">
        <w:rPr>
          <w:i/>
          <w:iCs/>
        </w:rPr>
        <w:t>200</w:t>
      </w:r>
      <w:r w:rsidR="00167847">
        <w:rPr>
          <w:i/>
          <w:iCs/>
        </w:rPr>
        <w:t> </w:t>
      </w:r>
      <w:r w:rsidR="00167847" w:rsidRPr="00167847">
        <w:rPr>
          <w:i/>
          <w:iCs/>
        </w:rPr>
        <w:t>140</w:t>
      </w:r>
      <w:r w:rsidR="00167847">
        <w:rPr>
          <w:i/>
          <w:iCs/>
        </w:rPr>
        <w:t> </w:t>
      </w:r>
      <w:r w:rsidR="00167847" w:rsidRPr="00167847">
        <w:rPr>
          <w:i/>
          <w:iCs/>
        </w:rPr>
        <w:t>025_01</w:t>
      </w:r>
      <w:r w:rsidR="001676D7" w:rsidRPr="00E33A32">
        <w:rPr>
          <w:i/>
          <w:iCs/>
        </w:rPr>
        <w:t xml:space="preserve">, </w:t>
      </w:r>
      <w:hyperlink r:id="rId26" w:history="1">
        <w:r w:rsidR="00167847" w:rsidRPr="00167847">
          <w:rPr>
            <w:rStyle w:val="Hyperlink"/>
            <w:i/>
            <w:iCs/>
          </w:rPr>
          <w:t>ECLI:NL:GHSHE:2015:5410</w:t>
        </w:r>
      </w:hyperlink>
      <w:r w:rsidR="001676D7" w:rsidRPr="00E33A32">
        <w:rPr>
          <w:i/>
          <w:iCs/>
        </w:rPr>
        <w:t>, 11.2.</w:t>
      </w:r>
      <w:r w:rsidR="001676D7">
        <w:rPr>
          <w:i/>
          <w:iCs/>
        </w:rPr>
        <w:t xml:space="preserve"> </w:t>
      </w:r>
      <w:r w:rsidR="001676D7" w:rsidRPr="00E33A32">
        <w:rPr>
          <w:i/>
          <w:iCs/>
        </w:rPr>
        <w:t>un 11.3.punktu;</w:t>
      </w:r>
      <w:r w:rsidR="001676D7">
        <w:rPr>
          <w:i/>
          <w:iCs/>
        </w:rPr>
        <w:t xml:space="preserve"> Itālijas</w:t>
      </w:r>
      <w:r w:rsidR="001676D7" w:rsidRPr="00E33A32">
        <w:rPr>
          <w:i/>
          <w:iCs/>
        </w:rPr>
        <w:t xml:space="preserve"> Kasācijas tiesas 2025.gada 23.augusta </w:t>
      </w:r>
      <w:r w:rsidR="009179E6">
        <w:rPr>
          <w:i/>
          <w:iCs/>
        </w:rPr>
        <w:t>rīkojuma</w:t>
      </w:r>
      <w:r w:rsidR="001676D7" w:rsidRPr="00E33A32">
        <w:rPr>
          <w:i/>
          <w:iCs/>
        </w:rPr>
        <w:t xml:space="preserve"> Nr. </w:t>
      </w:r>
      <w:r w:rsidR="001676D7" w:rsidRPr="00167847">
        <w:rPr>
          <w:i/>
          <w:iCs/>
        </w:rPr>
        <w:t>23775</w:t>
      </w:r>
      <w:r w:rsidR="001676D7" w:rsidRPr="00E33A32">
        <w:rPr>
          <w:i/>
          <w:iCs/>
        </w:rPr>
        <w:t>,</w:t>
      </w:r>
      <w:r w:rsidR="009179E6">
        <w:rPr>
          <w:i/>
          <w:iCs/>
        </w:rPr>
        <w:t xml:space="preserve"> pieejams: </w:t>
      </w:r>
      <w:hyperlink r:id="rId27" w:history="1">
        <w:r w:rsidR="009179E6" w:rsidRPr="00C504D4">
          <w:rPr>
            <w:rStyle w:val="Hyperlink"/>
            <w:i/>
            <w:iCs/>
          </w:rPr>
          <w:t>https://www.italgiure.giustizia.it/sncass/</w:t>
        </w:r>
      </w:hyperlink>
      <w:r w:rsidR="009179E6">
        <w:rPr>
          <w:i/>
          <w:iCs/>
        </w:rPr>
        <w:t>,</w:t>
      </w:r>
      <w:r w:rsidR="001676D7" w:rsidRPr="00E33A32">
        <w:rPr>
          <w:i/>
          <w:iCs/>
        </w:rPr>
        <w:t xml:space="preserve"> 5.2.punkt</w:t>
      </w:r>
      <w:r w:rsidR="001676D7">
        <w:rPr>
          <w:i/>
          <w:iCs/>
        </w:rPr>
        <w:t>u</w:t>
      </w:r>
      <w:r w:rsidR="001676D7">
        <w:t>).</w:t>
      </w:r>
    </w:p>
    <w:p w14:paraId="4166BCAE" w14:textId="77777777" w:rsidR="001676D7" w:rsidRDefault="00E4327A" w:rsidP="00E57113">
      <w:pPr>
        <w:pStyle w:val="Style1"/>
      </w:pPr>
      <w:r w:rsidRPr="00E4327A">
        <w:t>Tādēļ a</w:t>
      </w:r>
      <w:r w:rsidR="001676D7" w:rsidRPr="00E4327A">
        <w:t>pgabaltiesai</w:t>
      </w:r>
      <w:r w:rsidR="001676D7">
        <w:t xml:space="preserve">, izskatot lietu atkārtoti, ir jāņem vērā </w:t>
      </w:r>
      <w:r w:rsidR="008964E4">
        <w:t>procesa</w:t>
      </w:r>
      <w:r w:rsidR="001676D7">
        <w:t xml:space="preserve"> dalībnieku</w:t>
      </w:r>
      <w:r w:rsidR="008964E4">
        <w:t>,</w:t>
      </w:r>
      <w:r w:rsidR="001676D7">
        <w:t xml:space="preserve"> </w:t>
      </w:r>
      <w:r>
        <w:t xml:space="preserve">tostarp pieteicējas, </w:t>
      </w:r>
      <w:r w:rsidR="001676D7">
        <w:t xml:space="preserve">rīcība </w:t>
      </w:r>
      <w:r w:rsidR="00645871">
        <w:t xml:space="preserve">pēc tam, kad </w:t>
      </w:r>
      <w:r w:rsidR="001676D7">
        <w:t xml:space="preserve">starp </w:t>
      </w:r>
      <w:r>
        <w:t>procesa</w:t>
      </w:r>
      <w:r w:rsidR="000F3799">
        <w:t xml:space="preserve"> </w:t>
      </w:r>
      <w:r w:rsidR="00FD2EE1">
        <w:t>dalībniekiem</w:t>
      </w:r>
      <w:r w:rsidR="001676D7">
        <w:t xml:space="preserve"> izcēlās strīds par koku nociršanu</w:t>
      </w:r>
      <w:r>
        <w:t>,</w:t>
      </w:r>
      <w:r w:rsidR="001676D7">
        <w:t xml:space="preserve"> un jāizvērtē, citstarp, vai konkrētas </w:t>
      </w:r>
      <w:r>
        <w:t xml:space="preserve">procesa </w:t>
      </w:r>
      <w:r w:rsidR="001676D7">
        <w:t xml:space="preserve">dalībnieka rīcības rezultātā </w:t>
      </w:r>
      <w:r>
        <w:t xml:space="preserve">tostarp </w:t>
      </w:r>
      <w:r w:rsidR="001676D7">
        <w:t xml:space="preserve">tiesai vairs </w:t>
      </w:r>
      <w:r>
        <w:t>ir</w:t>
      </w:r>
      <w:r w:rsidR="001676D7">
        <w:t xml:space="preserve"> iespējams pārliecināties par </w:t>
      </w:r>
      <w:r w:rsidR="00FD5F3A">
        <w:t xml:space="preserve">konkrētu </w:t>
      </w:r>
      <w:r w:rsidR="001676D7">
        <w:t>faktu esību vai neesību</w:t>
      </w:r>
      <w:r>
        <w:t>. Tāpat</w:t>
      </w:r>
      <w:r w:rsidR="00FD5F3A">
        <w:t xml:space="preserve"> jāvērtē,</w:t>
      </w:r>
      <w:r w:rsidR="001676D7">
        <w:t xml:space="preserve"> vai </w:t>
      </w:r>
      <w:r w:rsidR="00FD5F3A">
        <w:t xml:space="preserve">procesa </w:t>
      </w:r>
      <w:r w:rsidR="001676D7">
        <w:t>dalībnieku</w:t>
      </w:r>
      <w:r w:rsidR="00FD5F3A">
        <w:t xml:space="preserve">, tostarp pieteicējas, </w:t>
      </w:r>
      <w:r w:rsidR="001676D7">
        <w:t>sniegtās atbildes</w:t>
      </w:r>
      <w:r w:rsidR="00645871">
        <w:t xml:space="preserve"> par konkrētiem faktiem</w:t>
      </w:r>
      <w:r w:rsidR="001676D7">
        <w:t xml:space="preserve"> ir </w:t>
      </w:r>
      <w:r w:rsidR="00FD5F3A">
        <w:t xml:space="preserve">konkrētas un </w:t>
      </w:r>
      <w:r w:rsidR="001676D7">
        <w:t xml:space="preserve">saprātīgas. </w:t>
      </w:r>
      <w:r w:rsidR="00FD5F3A">
        <w:t>T</w:t>
      </w:r>
      <w:r w:rsidR="001676D7">
        <w:t xml:space="preserve">iesai </w:t>
      </w:r>
      <w:r w:rsidR="00FD5F3A">
        <w:t xml:space="preserve">arī atbilstoši jānovērtē attiecīgās </w:t>
      </w:r>
      <w:r w:rsidR="001676D7">
        <w:t xml:space="preserve">rīcības sekas, jo tas vien, ka </w:t>
      </w:r>
      <w:r w:rsidR="00FD5F3A">
        <w:t>procesa dalībnieks pēc tiesiskā strīda r</w:t>
      </w:r>
      <w:r w:rsidR="00576B18">
        <w:t>a</w:t>
      </w:r>
      <w:r w:rsidR="00FD5F3A">
        <w:t xml:space="preserve">šanās </w:t>
      </w:r>
      <w:r w:rsidR="001676D7">
        <w:t>ir padarīj</w:t>
      </w:r>
      <w:r w:rsidR="00576B18">
        <w:t>is</w:t>
      </w:r>
      <w:r w:rsidR="001676D7">
        <w:t xml:space="preserve"> noteiktus faktus par nepārbaudāmiem, nenozīmē, ka visi lietai būtiskie fakti ir noskaidroti. </w:t>
      </w:r>
      <w:r w:rsidR="00576B18">
        <w:t xml:space="preserve">Lai būtiskos faktus noskaidrotu, tiesai jāņem vērā ne vien procesa dalībnieka, šajā gadījumā – pieteicējas, rīcība pēc strīda izcelšanās, bet arī citas iestādes vai pieteicējas rīcībā </w:t>
      </w:r>
      <w:r w:rsidR="00831ECA">
        <w:t xml:space="preserve">vai arī citu personu rīcībā esošās </w:t>
      </w:r>
      <w:r w:rsidR="00576B18">
        <w:t>ziņas par konkrēto teritoriju un tajā bijušajiem kokiem pirms to nociršanas. Visi šie fakti un apstākļi tiesai jāvērtē kopsakarā.</w:t>
      </w:r>
    </w:p>
    <w:p w14:paraId="1D613B26" w14:textId="77777777" w:rsidR="00760E68" w:rsidRDefault="00760E68" w:rsidP="00E57113">
      <w:pPr>
        <w:spacing w:line="276" w:lineRule="auto"/>
        <w:ind w:firstLine="567"/>
        <w:jc w:val="both"/>
      </w:pPr>
    </w:p>
    <w:p w14:paraId="3626F5C6" w14:textId="77777777" w:rsidR="00067223" w:rsidRPr="00BE7B0D" w:rsidRDefault="00D15F29" w:rsidP="00E57113">
      <w:pPr>
        <w:pStyle w:val="Style1"/>
        <w:rPr>
          <w:color w:val="000000"/>
        </w:rPr>
      </w:pPr>
      <w:r>
        <w:t>[1</w:t>
      </w:r>
      <w:r w:rsidR="00E957A2">
        <w:t>6</w:t>
      </w:r>
      <w:r w:rsidR="00F702FA">
        <w:t>] </w:t>
      </w:r>
      <w:r w:rsidR="00265420" w:rsidRPr="00BE7B0D">
        <w:rPr>
          <w:color w:val="000000"/>
        </w:rPr>
        <w:t>P</w:t>
      </w:r>
      <w:r w:rsidR="009B39EF" w:rsidRPr="00BE7B0D">
        <w:rPr>
          <w:color w:val="000000"/>
        </w:rPr>
        <w:t>ieteicēj</w:t>
      </w:r>
      <w:r w:rsidR="003B4989" w:rsidRPr="00BE7B0D">
        <w:rPr>
          <w:color w:val="000000"/>
        </w:rPr>
        <w:t xml:space="preserve">a </w:t>
      </w:r>
      <w:r w:rsidR="002F36FC" w:rsidRPr="00BE7B0D">
        <w:rPr>
          <w:color w:val="000000"/>
        </w:rPr>
        <w:t>norāda</w:t>
      </w:r>
      <w:r w:rsidR="00067223" w:rsidRPr="00BE7B0D">
        <w:rPr>
          <w:color w:val="000000"/>
        </w:rPr>
        <w:t>, ka apgabaltiesa nevarēja izmantot</w:t>
      </w:r>
      <w:r w:rsidR="00EB2B98" w:rsidRPr="00BE7B0D">
        <w:rPr>
          <w:color w:val="000000"/>
        </w:rPr>
        <w:t xml:space="preserve"> </w:t>
      </w:r>
      <w:r w:rsidR="00067223" w:rsidRPr="00BE7B0D">
        <w:rPr>
          <w:color w:val="000000"/>
        </w:rPr>
        <w:t>liecinieka liecību kā vienīgo pierādījumu lietas apstākļu pierādīšanā</w:t>
      </w:r>
      <w:r w:rsidR="003B6C91" w:rsidRPr="00BE7B0D">
        <w:rPr>
          <w:color w:val="000000"/>
        </w:rPr>
        <w:t>, jo konkrētā liecinieka uzticamība ir apšaubāma</w:t>
      </w:r>
      <w:r w:rsidR="00A73847" w:rsidRPr="00BE7B0D">
        <w:rPr>
          <w:color w:val="000000"/>
        </w:rPr>
        <w:t>.</w:t>
      </w:r>
      <w:r w:rsidR="00EB2B98" w:rsidRPr="00BE7B0D">
        <w:rPr>
          <w:color w:val="000000"/>
        </w:rPr>
        <w:t xml:space="preserve"> </w:t>
      </w:r>
    </w:p>
    <w:p w14:paraId="0FAF8606" w14:textId="77777777" w:rsidR="00FD2EE1" w:rsidRDefault="00023994" w:rsidP="00E57113">
      <w:pPr>
        <w:pStyle w:val="Style1"/>
      </w:pPr>
      <w:r>
        <w:t>Administratīvā procesa likuma 154.panta trešā daļa no</w:t>
      </w:r>
      <w:r w:rsidR="0058255E">
        <w:t>teic</w:t>
      </w:r>
      <w:r>
        <w:t>, ka t</w:t>
      </w:r>
      <w:r w:rsidRPr="00023994">
        <w:t xml:space="preserve">iesa spriedumā norāda, kādēļ tā vienam pierādījumam devusi priekšroku salīdzinājumā ar citu pierādījumu un atzinusi vienu faktu par pierādītu, bet citu </w:t>
      </w:r>
      <w:r w:rsidR="007811DC">
        <w:t>–</w:t>
      </w:r>
      <w:r w:rsidRPr="00023994">
        <w:t xml:space="preserve"> par nepierādītu.</w:t>
      </w:r>
      <w:r>
        <w:t xml:space="preserve"> Tas nozīmē, ka no sprieduma ir jābūt izsecināmam tam, kuri fakti ir pierādīti un kādēļ. Par ar šo pienākumu savienojamu nevar uzskatīt vien</w:t>
      </w:r>
      <w:r w:rsidR="0058255E">
        <w:t>īgi</w:t>
      </w:r>
      <w:r>
        <w:t xml:space="preserve"> liecinieka liecības </w:t>
      </w:r>
      <w:r w:rsidR="00FD2EE1">
        <w:t xml:space="preserve">vai citu pierādījumu </w:t>
      </w:r>
      <w:r w:rsidR="002E2B1A">
        <w:t>atreferēšan</w:t>
      </w:r>
      <w:r w:rsidR="0058255E">
        <w:t>u</w:t>
      </w:r>
      <w:r>
        <w:t xml:space="preserve"> </w:t>
      </w:r>
      <w:r w:rsidR="0058255E">
        <w:t xml:space="preserve">sprieduma motīvu </w:t>
      </w:r>
      <w:r>
        <w:t>daļ</w:t>
      </w:r>
      <w:r w:rsidR="0058255E">
        <w:t>ā</w:t>
      </w:r>
      <w:r w:rsidR="008E2058">
        <w:t>.</w:t>
      </w:r>
      <w:r w:rsidR="000F3799">
        <w:t xml:space="preserve"> </w:t>
      </w:r>
      <w:r w:rsidR="00FD2EE1">
        <w:t>Ja lietā galvenais strīds ir par faktiem, tad tiesai ir pienākums izklāstīt lietas dalībnieka galvenos iebildumus</w:t>
      </w:r>
      <w:r w:rsidR="00513D66">
        <w:t xml:space="preserve"> pret konkrēto pierādīšanas līdzekli</w:t>
      </w:r>
      <w:r w:rsidR="00FD2EE1">
        <w:t xml:space="preserve"> un atklāt iemeslus, kādēļ šis arguments nav pamatots. </w:t>
      </w:r>
    </w:p>
    <w:p w14:paraId="5BB54688" w14:textId="4C8C698C" w:rsidR="0058255E" w:rsidRDefault="00841F60" w:rsidP="00E57113">
      <w:pPr>
        <w:pStyle w:val="Style1"/>
      </w:pPr>
      <w:r>
        <w:t>R</w:t>
      </w:r>
      <w:r w:rsidR="000F3799">
        <w:t>ajona tiesas spriedumā (kuram apgabaltiesa pievienojās) nav secinājum</w:t>
      </w:r>
      <w:r w:rsidR="0058255E">
        <w:t>u</w:t>
      </w:r>
      <w:r w:rsidR="000F3799">
        <w:t xml:space="preserve"> par to, kādēļ </w:t>
      </w:r>
      <w:r w:rsidR="002E2B1A">
        <w:t xml:space="preserve">tiesa ir atzinusi </w:t>
      </w:r>
      <w:r w:rsidR="0058255E">
        <w:t xml:space="preserve">liecinieka </w:t>
      </w:r>
      <w:r w:rsidR="002E2B1A">
        <w:t>liecības par ticamām</w:t>
      </w:r>
      <w:r w:rsidR="00513D66">
        <w:t xml:space="preserve"> un pieļaujamām, bet gan </w:t>
      </w:r>
      <w:r w:rsidR="00DC72BF">
        <w:t xml:space="preserve">vienīgi norādīts uz </w:t>
      </w:r>
      <w:r w:rsidR="00513D66">
        <w:t>pieteicējas viedok</w:t>
      </w:r>
      <w:r w:rsidR="00DC72BF">
        <w:t>ļa ne</w:t>
      </w:r>
      <w:r w:rsidR="00513D66">
        <w:t>pamatot</w:t>
      </w:r>
      <w:r w:rsidR="00DC72BF">
        <w:t>ību</w:t>
      </w:r>
      <w:r w:rsidR="002E2B1A">
        <w:t xml:space="preserve">. </w:t>
      </w:r>
      <w:r w:rsidR="00FD2EE1">
        <w:t>T</w:t>
      </w:r>
      <w:r w:rsidR="00023994">
        <w:t xml:space="preserve">āpat </w:t>
      </w:r>
      <w:r w:rsidR="003B6C91">
        <w:t>apgabaltiesas spriedumā nav motivēt</w:t>
      </w:r>
      <w:r w:rsidR="00003337">
        <w:t>i atbildēts</w:t>
      </w:r>
      <w:r w:rsidR="003B6C91">
        <w:t>, kādēļ pieteicējas argumentiem par liecinieka institucionālo pakļautību nav nozīmes.</w:t>
      </w:r>
      <w:r w:rsidR="00645871">
        <w:t xml:space="preserve"> </w:t>
      </w:r>
      <w:r w:rsidR="00F94F5A">
        <w:t>Š</w:t>
      </w:r>
      <w:r w:rsidR="00C42F55">
        <w:t>ajā ziņā n</w:t>
      </w:r>
      <w:r w:rsidR="00645871">
        <w:t>e</w:t>
      </w:r>
      <w:r w:rsidR="00C42F55">
        <w:t xml:space="preserve"> no</w:t>
      </w:r>
      <w:r w:rsidR="00645871">
        <w:t xml:space="preserve"> rajona tiesa</w:t>
      </w:r>
      <w:r w:rsidR="00C42F55">
        <w:t>s</w:t>
      </w:r>
      <w:r w:rsidR="00645871">
        <w:t>, ne</w:t>
      </w:r>
      <w:r w:rsidR="0063730B">
        <w:t xml:space="preserve"> apgabaltiesa</w:t>
      </w:r>
      <w:r w:rsidR="00C42F55">
        <w:t>s s</w:t>
      </w:r>
      <w:r w:rsidR="0063730B">
        <w:t>priedum</w:t>
      </w:r>
      <w:r w:rsidR="00C42F55">
        <w:t>a</w:t>
      </w:r>
      <w:r w:rsidR="0063730B">
        <w:t xml:space="preserve"> n</w:t>
      </w:r>
      <w:r w:rsidR="00C42F55">
        <w:t xml:space="preserve">av skaidri </w:t>
      </w:r>
      <w:r w:rsidR="0058255E">
        <w:t>sa</w:t>
      </w:r>
      <w:r w:rsidR="00C42F55">
        <w:t>protams, vai t</w:t>
      </w:r>
      <w:r w:rsidR="0058255E">
        <w:t>iesas</w:t>
      </w:r>
      <w:r w:rsidR="00C42F55">
        <w:t xml:space="preserve"> secinājumi par faktiem izriet tikai no V.</w:t>
      </w:r>
      <w:r w:rsidR="007E577A">
        <w:t> </w:t>
      </w:r>
      <w:r w:rsidR="00C42F55">
        <w:t xml:space="preserve">Bitenieka liecības, vai tos apstiprina kāds cits pierādījums (vai </w:t>
      </w:r>
      <w:r w:rsidR="00003337">
        <w:t>apstāklis</w:t>
      </w:r>
      <w:r w:rsidR="00C42F55">
        <w:t>) un kādēļ.</w:t>
      </w:r>
      <w:r w:rsidR="003B6C91">
        <w:t xml:space="preserve"> Šis aspekts </w:t>
      </w:r>
      <w:r w:rsidR="00F94F5A">
        <w:t xml:space="preserve">lietā </w:t>
      </w:r>
      <w:r w:rsidR="003B6C91">
        <w:t xml:space="preserve">ir svarīgs, jo nav skaidri </w:t>
      </w:r>
      <w:r w:rsidR="009A16A1">
        <w:t>sa</w:t>
      </w:r>
      <w:r w:rsidR="003B6C91">
        <w:t>protams, vai apgabaltiesa</w:t>
      </w:r>
      <w:r w:rsidR="00F94F5A">
        <w:t>s atziņa</w:t>
      </w:r>
      <w:r w:rsidR="007E577A">
        <w:t xml:space="preserve"> </w:t>
      </w:r>
      <w:r w:rsidR="00F94F5A">
        <w:t>„l</w:t>
      </w:r>
      <w:r w:rsidR="00F94F5A" w:rsidRPr="00F94F5A">
        <w:t>ai apšaubītu šos mērījumus, kas ir konkrēti, pieteicējai būtu jāspēj norādīt tik pat konkrētus un pārbaudāmus pretargumentus</w:t>
      </w:r>
      <w:r w:rsidR="00F94F5A">
        <w:t>” nozīmē, ka</w:t>
      </w:r>
      <w:r w:rsidR="0058255E">
        <w:t>,</w:t>
      </w:r>
      <w:r w:rsidR="00F94F5A">
        <w:t xml:space="preserve"> tās ieskatā</w:t>
      </w:r>
      <w:r w:rsidR="0058255E">
        <w:t>,</w:t>
      </w:r>
      <w:r w:rsidR="00F94F5A">
        <w:t xml:space="preserve"> pierādīšanas pienākums lēmuma pārsūdzēšanā ir pieteicējai vai ka pašvaldība savus apgalvojumus ir pierādījusi. </w:t>
      </w:r>
      <w:r w:rsidR="00164402">
        <w:t xml:space="preserve">Arī kopumā rajona tiesas analīze ir atreferējums par lietas materiālu saturu vai tiesas sēdes notikumiem, taču tajā nav izsekojami izklāstīts, kādēļ tā uzskatījusi konkrētus faktus par pierādītiem un no kuriem pierādīšanas līdzekļiem tie izriet. </w:t>
      </w:r>
    </w:p>
    <w:p w14:paraId="545FABA4" w14:textId="77777777" w:rsidR="000D11CE" w:rsidRDefault="0058255E" w:rsidP="00E57113">
      <w:pPr>
        <w:pStyle w:val="Style1"/>
      </w:pPr>
      <w:r>
        <w:t xml:space="preserve">Ievērojot minēto, var piekrist, ka vispār tiesa ir </w:t>
      </w:r>
      <w:r w:rsidR="003B6C91">
        <w:t>pieļāvusi procesuālo pārkāpumu</w:t>
      </w:r>
      <w:r>
        <w:t xml:space="preserve">, pietiekami nepamatojot savu atzīto. </w:t>
      </w:r>
      <w:r w:rsidR="003B6C91">
        <w:t xml:space="preserve">Vienlaikus Senāts </w:t>
      </w:r>
      <w:r>
        <w:t>vērš uzmanību</w:t>
      </w:r>
      <w:r w:rsidR="003B6C91">
        <w:t>, ka personas ieinteresētīb</w:t>
      </w:r>
      <w:r>
        <w:t>a</w:t>
      </w:r>
      <w:r w:rsidR="003B6C91">
        <w:t xml:space="preserve"> no liecību ticamības viedokļa tiesai ir jāņem vērā, taču konkrēti izvērsti</w:t>
      </w:r>
      <w:r w:rsidR="00FD2EE1">
        <w:t xml:space="preserve"> un detalizēti</w:t>
      </w:r>
      <w:r w:rsidR="003B6C91">
        <w:t xml:space="preserve"> motivēti argumenti par iemesliem, kas liec</w:t>
      </w:r>
      <w:r w:rsidR="00FD2EE1">
        <w:t>inieku</w:t>
      </w:r>
      <w:r w:rsidR="003B6C91">
        <w:t xml:space="preserve"> padara par neuzticamu</w:t>
      </w:r>
      <w:r w:rsidR="00583192">
        <w:t>,</w:t>
      </w:r>
      <w:r w:rsidR="003B6C91">
        <w:t xml:space="preserve"> ir jāceļ lietas dalībniekam, nevis jāatstāj tiesas ziņā. </w:t>
      </w:r>
      <w:r>
        <w:t>Vispārīgi, n</w:t>
      </w:r>
      <w:r w:rsidR="003B6C91">
        <w:t xml:space="preserve">enoliedzot institucionālajā vai sistēmiskajā kontekstā balstītu argumentu celšanas </w:t>
      </w:r>
      <w:r w:rsidR="00651459">
        <w:t>iespējamību</w:t>
      </w:r>
      <w:r w:rsidR="003B6C91">
        <w:t>, tas vien, ka liecinieks strādā konkrētā iestādē un liecina par sevi vai savu darbu</w:t>
      </w:r>
      <w:r w:rsidR="00651459">
        <w:t>,</w:t>
      </w:r>
      <w:r w:rsidR="003B6C91">
        <w:t xml:space="preserve"> nevar </w:t>
      </w:r>
      <w:r w:rsidR="003B6C91">
        <w:rPr>
          <w:i/>
          <w:iCs/>
        </w:rPr>
        <w:t xml:space="preserve">per se </w:t>
      </w:r>
      <w:r w:rsidR="003B6C91">
        <w:t>padarīt liec</w:t>
      </w:r>
      <w:r w:rsidR="00FD2EE1">
        <w:t>inieku</w:t>
      </w:r>
      <w:r w:rsidR="003B6C91">
        <w:t xml:space="preserve"> par neuzticamu.</w:t>
      </w:r>
      <w:r w:rsidR="00651459">
        <w:t xml:space="preserve"> J</w:t>
      </w:r>
      <w:r w:rsidR="003B6C91">
        <w:t>a sekotu pieteicējas a</w:t>
      </w:r>
      <w:r w:rsidR="00651459">
        <w:t>psvērumam</w:t>
      </w:r>
      <w:r w:rsidR="003B6C91">
        <w:t xml:space="preserve">, </w:t>
      </w:r>
      <w:r w:rsidR="00F94F5A">
        <w:t xml:space="preserve">tad </w:t>
      </w:r>
      <w:r w:rsidR="003B6C91">
        <w:t>no pierādījumu loka būtu jāizslēdz katr</w:t>
      </w:r>
      <w:r w:rsidR="00651459">
        <w:t>ā</w:t>
      </w:r>
      <w:r w:rsidR="003B6C91">
        <w:t xml:space="preserve"> administratīv</w:t>
      </w:r>
      <w:r w:rsidR="00651459">
        <w:t>aj</w:t>
      </w:r>
      <w:r w:rsidR="003B6C91">
        <w:t>ā procesā noskaidroto faktu pirmavots</w:t>
      </w:r>
      <w:r w:rsidR="00505915">
        <w:t xml:space="preserve"> </w:t>
      </w:r>
      <w:r w:rsidR="003B6C91">
        <w:t>–</w:t>
      </w:r>
      <w:r w:rsidR="00505915">
        <w:t xml:space="preserve"> </w:t>
      </w:r>
      <w:r w:rsidR="003B6C91">
        <w:t>p</w:t>
      </w:r>
      <w:r w:rsidR="00505915">
        <w:t>e</w:t>
      </w:r>
      <w:r w:rsidR="003B6C91">
        <w:t>rsonas, kas piedalās notikumos,</w:t>
      </w:r>
      <w:r w:rsidR="00FD2EE1">
        <w:t xml:space="preserve"> liecība</w:t>
      </w:r>
      <w:r w:rsidR="00651459">
        <w:t>,</w:t>
      </w:r>
      <w:r w:rsidR="003B6C91">
        <w:t xml:space="preserve"> kas ir acīmredzami nesaprātīga Administratīvā procesa likumā iedibinātās pierādīšanas sistēmas interpretācija</w:t>
      </w:r>
      <w:r w:rsidR="00B948FC">
        <w:t>. Personas, kuras nevar būt liecinieki</w:t>
      </w:r>
      <w:r w:rsidR="00583192">
        <w:t>,</w:t>
      </w:r>
      <w:r w:rsidR="00B948FC">
        <w:t xml:space="preserve"> ir uzskaitītas Administratīvā procesa likuma 163.pantā</w:t>
      </w:r>
      <w:r w:rsidR="003B6C91">
        <w:t>.</w:t>
      </w:r>
      <w:r w:rsidR="00B948FC">
        <w:t xml:space="preserve"> Savukārt Administratīvā procesa likuma 164.pantā paredzētas personas, k</w:t>
      </w:r>
      <w:r w:rsidR="00583192">
        <w:t>uras</w:t>
      </w:r>
      <w:r w:rsidR="00B948FC">
        <w:t xml:space="preserve"> var att</w:t>
      </w:r>
      <w:r w:rsidR="00841F60">
        <w:t>ei</w:t>
      </w:r>
      <w:r w:rsidR="00B948FC">
        <w:t>kties no pienākuma liecināt</w:t>
      </w:r>
      <w:r w:rsidR="00651459">
        <w:t>. C</w:t>
      </w:r>
      <w:r w:rsidR="00B948FC">
        <w:t>itām personām, kas izsauktas kā liecinieki, liecināšana ir pienākums</w:t>
      </w:r>
      <w:r w:rsidR="00651459">
        <w:t xml:space="preserve">. Turklāt atbilstoši </w:t>
      </w:r>
      <w:r w:rsidR="00B948FC">
        <w:t>Administratīvā procesa likuma 166.panta pirm</w:t>
      </w:r>
      <w:r w:rsidR="00651459">
        <w:t>ajai</w:t>
      </w:r>
      <w:r w:rsidR="00B948FC">
        <w:t xml:space="preserve"> daļa</w:t>
      </w:r>
      <w:r w:rsidR="00651459">
        <w:t xml:space="preserve">i </w:t>
      </w:r>
      <w:r w:rsidR="00B948FC">
        <w:t>p</w:t>
      </w:r>
      <w:r w:rsidR="00B948FC" w:rsidRPr="00B948FC">
        <w:t>ar apzināti nepatiesu liecību un par atteikšanos liecināt tādu iemeslu dēļ, kurus tiesa atzinusi par neattaisnojošiem, liecinieku var saukt pie kriminālatbildības saskaņā ar Krimināllikumu</w:t>
      </w:r>
      <w:r w:rsidR="00B948FC">
        <w:t>.</w:t>
      </w:r>
      <w:r w:rsidR="00583192">
        <w:t xml:space="preserve"> </w:t>
      </w:r>
    </w:p>
    <w:p w14:paraId="7548A36B" w14:textId="77777777" w:rsidR="00C42F55" w:rsidRDefault="00C42F55" w:rsidP="00E57113">
      <w:pPr>
        <w:pStyle w:val="Style1"/>
      </w:pPr>
    </w:p>
    <w:p w14:paraId="7EB22ED6" w14:textId="77777777" w:rsidR="00D24399" w:rsidRDefault="000D11CE" w:rsidP="00E57113">
      <w:pPr>
        <w:pStyle w:val="Style1"/>
      </w:pPr>
      <w:r>
        <w:t>[1</w:t>
      </w:r>
      <w:r w:rsidR="00E957A2">
        <w:t>7</w:t>
      </w:r>
      <w:r>
        <w:t>] </w:t>
      </w:r>
      <w:r w:rsidR="009A16A1">
        <w:t>P</w:t>
      </w:r>
      <w:r w:rsidR="001676D7">
        <w:t>ieteicēj</w:t>
      </w:r>
      <w:r w:rsidR="00164402">
        <w:t>a</w:t>
      </w:r>
      <w:r w:rsidR="001676D7">
        <w:t xml:space="preserve"> </w:t>
      </w:r>
      <w:r w:rsidR="009A16A1">
        <w:t>norāda</w:t>
      </w:r>
      <w:r w:rsidR="001676D7">
        <w:t>, ka a</w:t>
      </w:r>
      <w:r w:rsidR="001676D7" w:rsidRPr="00113060">
        <w:t xml:space="preserve">pgabaltiesa </w:t>
      </w:r>
      <w:r w:rsidR="001676D7">
        <w:t xml:space="preserve">esot taisījusi spriedumu, balstoties uz nepierādītiem faktiem, proti, neesot ņēmusi vērā to, </w:t>
      </w:r>
      <w:r w:rsidR="000F3799">
        <w:t xml:space="preserve">ka </w:t>
      </w:r>
      <w:r w:rsidR="001676D7">
        <w:t xml:space="preserve">koku </w:t>
      </w:r>
      <w:r w:rsidR="002E0E36">
        <w:t>caurmēra</w:t>
      </w:r>
      <w:r w:rsidR="001676D7">
        <w:t xml:space="preserve"> mērījumi izdarīti ar </w:t>
      </w:r>
      <w:r w:rsidR="002E0E36" w:rsidRPr="00F80CC5">
        <w:t xml:space="preserve">likuma </w:t>
      </w:r>
      <w:r w:rsidR="002E0E36">
        <w:t>„</w:t>
      </w:r>
      <w:r w:rsidR="002E0E36" w:rsidRPr="00F80CC5">
        <w:t xml:space="preserve">Par mērījumu vienotību” </w:t>
      </w:r>
      <w:r w:rsidR="001676D7">
        <w:t xml:space="preserve">izpratnē </w:t>
      </w:r>
      <w:r w:rsidR="00B948FC">
        <w:rPr>
          <w:bCs/>
        </w:rPr>
        <w:t>neverificētu</w:t>
      </w:r>
      <w:r w:rsidR="001676D7">
        <w:t xml:space="preserve"> mērlenti</w:t>
      </w:r>
      <w:r w:rsidR="00D71CAE">
        <w:t xml:space="preserve">, kas, kā nosakāms no </w:t>
      </w:r>
      <w:r w:rsidR="00D24399">
        <w:t>lietas apstākļiem,</w:t>
      </w:r>
      <w:r w:rsidR="00164402">
        <w:t xml:space="preserve"> nozīmē, ka</w:t>
      </w:r>
      <w:r w:rsidR="00D24399">
        <w:t xml:space="preserve"> liecības ticamīb</w:t>
      </w:r>
      <w:r w:rsidR="00164402">
        <w:t>a ir apšaubāma</w:t>
      </w:r>
      <w:r w:rsidR="001676D7">
        <w:t xml:space="preserve">. </w:t>
      </w:r>
    </w:p>
    <w:p w14:paraId="14BBC866" w14:textId="77777777" w:rsidR="00D24399" w:rsidRDefault="001676D7" w:rsidP="00E57113">
      <w:pPr>
        <w:pStyle w:val="Style1"/>
      </w:pPr>
      <w:r>
        <w:t xml:space="preserve">Senāts </w:t>
      </w:r>
      <w:r w:rsidR="009A16A1">
        <w:t xml:space="preserve">vērš uzmanību, ka </w:t>
      </w:r>
      <w:r w:rsidR="008E2058">
        <w:t>atbilstoši Administratīvā procesa likuma 154.panta otrajai daļai n</w:t>
      </w:r>
      <w:r w:rsidR="008E2058" w:rsidRPr="008E2058">
        <w:t>ekādiem pierādījumiem nav iepriekš noteikta spēka, kas saistītu tiesu</w:t>
      </w:r>
      <w:r>
        <w:t>.</w:t>
      </w:r>
      <w:r w:rsidR="008E2058">
        <w:t xml:space="preserve"> Šī tiesību norma jālasa kopskatā ar Administratīvā procesa likuma 152.panta otro daļu, kas no</w:t>
      </w:r>
      <w:r w:rsidR="00003337">
        <w:t>teic</w:t>
      </w:r>
      <w:r w:rsidR="008E2058">
        <w:t>, ka f</w:t>
      </w:r>
      <w:r w:rsidR="008E2058" w:rsidRPr="008E2058">
        <w:t>aktus, kurus saskaņā ar likumu var pierādīt tikai ar noteiktiem pierādīšanas līdzekļiem, nevar nodibināt ne ar kādiem citiem pierādīšanas līdzekļiem.</w:t>
      </w:r>
      <w:r w:rsidR="008E2058">
        <w:t xml:space="preserve"> Tas nozīmē, ka </w:t>
      </w:r>
      <w:r w:rsidR="009A16A1">
        <w:t>A</w:t>
      </w:r>
      <w:r w:rsidR="008E2058">
        <w:t>dministratīvā procesa likumā pieļauti un tiesiski iegūti pierādīšanas līdzekļi būtu atzīstami par nepieļaujamiem tikai tad, ja likums skaidri paredz</w:t>
      </w:r>
      <w:r w:rsidR="00003337">
        <w:t>ētu</w:t>
      </w:r>
      <w:r w:rsidR="008E2058">
        <w:t>, ka konkrēto faktu var pierādīt tikai ar konkrētiem un „ne ar kādiem citiem” pierādīšanas līdzekļiem.</w:t>
      </w:r>
      <w:r w:rsidR="006D4753">
        <w:t xml:space="preserve"> </w:t>
      </w:r>
      <w:r w:rsidR="00D24399">
        <w:t xml:space="preserve">Citiem vārdiem sakot, ikviens cits pierādīšanas līdzeklis ir izslēdzams tikai tādā gadījumā, kad likums skaidri definē noslēgtu sarakstu ar pierādīšanas līdzekļiem, metodēm vai rīkiem, ar kuriem kāds fakts ir pierādāms. </w:t>
      </w:r>
    </w:p>
    <w:p w14:paraId="03039FE4" w14:textId="77777777" w:rsidR="00021093" w:rsidRDefault="00021093" w:rsidP="00E57113">
      <w:pPr>
        <w:pStyle w:val="Style1"/>
      </w:pPr>
      <w:r>
        <w:t>Lai gan citos normatīvajos tiesību aktos, tostarp hierarhiski zemākos, iekļautās prasības informācijas iegūšanas rīkiem vai paņēmieniem, kas tieši neattiecas uz pierādīšanas noteikumiem administratīvā procesa ietvaros, var tikt ņemtas vērā, vērtējot pierādī</w:t>
      </w:r>
      <w:r w:rsidR="001425B4">
        <w:t>šanas līdzekļa</w:t>
      </w:r>
      <w:r>
        <w:t xml:space="preserve"> pieļaujamību un</w:t>
      </w:r>
      <w:r w:rsidR="007E7253">
        <w:t xml:space="preserve"> </w:t>
      </w:r>
      <w:r>
        <w:t xml:space="preserve">ticamību, tās, ievērojot gan normatīvo tiesību aktu hierarhiju, gan pierādījumu brīvu novērtēšanas principu, nevar būt izšķirošas. </w:t>
      </w:r>
    </w:p>
    <w:p w14:paraId="3D198F19" w14:textId="4B891D93" w:rsidR="00021093" w:rsidRDefault="00D24399" w:rsidP="00E57113">
      <w:pPr>
        <w:pStyle w:val="Style1"/>
      </w:pPr>
      <w:r>
        <w:t xml:space="preserve">Ne </w:t>
      </w:r>
      <w:r w:rsidR="00021093">
        <w:t>Administratīvā procesa likuma pierādīšanas noteikumi</w:t>
      </w:r>
      <w:r>
        <w:t>, ne noteikumi Nr.</w:t>
      </w:r>
      <w:r w:rsidR="00B41CF0">
        <w:t> </w:t>
      </w:r>
      <w:r>
        <w:t xml:space="preserve">309 </w:t>
      </w:r>
      <w:r w:rsidR="00021093">
        <w:t xml:space="preserve">neparedz kādus noteiktus un „nekādus citus” pierādīšanas līdzekļus, kas būtu izmantojami koku caurmēra mērījumiem. Tādēļ Senātam jāpārbauda, vai </w:t>
      </w:r>
      <w:r w:rsidR="00021093" w:rsidRPr="00F80CC5">
        <w:t>likum</w:t>
      </w:r>
      <w:r w:rsidR="00021093">
        <w:t>s</w:t>
      </w:r>
      <w:r w:rsidR="00021093" w:rsidRPr="00F80CC5">
        <w:t xml:space="preserve"> </w:t>
      </w:r>
      <w:r w:rsidR="00021093">
        <w:t>„</w:t>
      </w:r>
      <w:r w:rsidR="00021093" w:rsidRPr="00F80CC5">
        <w:t>Par mērījumu vienotību”</w:t>
      </w:r>
      <w:r w:rsidR="00021093">
        <w:t xml:space="preserve"> paredz kādu skaidru prasību izmantot noteiktu pierādīšanas līdzekli un aizliedz izmantot kādu citu.</w:t>
      </w:r>
    </w:p>
    <w:p w14:paraId="18937E70" w14:textId="77777777" w:rsidR="008E2058" w:rsidRDefault="008E2058" w:rsidP="00E57113">
      <w:pPr>
        <w:pStyle w:val="Style1"/>
      </w:pPr>
    </w:p>
    <w:p w14:paraId="6D665CAF" w14:textId="77777777" w:rsidR="005C217D" w:rsidRDefault="008E2058" w:rsidP="00E57113">
      <w:pPr>
        <w:pStyle w:val="Style1"/>
      </w:pPr>
      <w:r>
        <w:t>[1</w:t>
      </w:r>
      <w:r w:rsidR="00E957A2">
        <w:t>8</w:t>
      </w:r>
      <w:r>
        <w:t>] </w:t>
      </w:r>
      <w:r w:rsidR="009A16A1">
        <w:t>L</w:t>
      </w:r>
      <w:r w:rsidR="00745EB7" w:rsidRPr="00F80CC5">
        <w:t xml:space="preserve">ikuma </w:t>
      </w:r>
      <w:r w:rsidR="00745EB7">
        <w:t>„</w:t>
      </w:r>
      <w:r w:rsidR="00745EB7" w:rsidRPr="00F80CC5">
        <w:t>Par mērījumu vienotību”</w:t>
      </w:r>
      <w:r w:rsidR="00745EB7">
        <w:t xml:space="preserve"> 2.pant</w:t>
      </w:r>
      <w:r w:rsidR="009A16A1">
        <w:t>s noteic: š</w:t>
      </w:r>
      <w:r w:rsidR="00745EB7" w:rsidRPr="00745EB7">
        <w:t>ā likuma mērķis ir</w:t>
      </w:r>
      <w:r w:rsidR="00745EB7">
        <w:t xml:space="preserve"> </w:t>
      </w:r>
      <w:r w:rsidR="00745EB7" w:rsidRPr="00745EB7">
        <w:t>nodrošināt mērījumu vienotību Latvijas Republikā, lai aizsargātu cilvēka dzīvību un veselību, vidi un patērētāju no neprecīzu un nepareizu mērījumu negatīvajām sekām un veicinātu valsts ekonomikas un starptautiskās sadarbības attīstību</w:t>
      </w:r>
      <w:r w:rsidR="009A16A1">
        <w:t xml:space="preserve"> (panta pirmā daļa)</w:t>
      </w:r>
      <w:r w:rsidR="00745EB7" w:rsidRPr="00745EB7">
        <w:t>.</w:t>
      </w:r>
      <w:r w:rsidR="00745EB7">
        <w:t xml:space="preserve"> </w:t>
      </w:r>
      <w:r w:rsidR="00745EB7" w:rsidRPr="00745EB7">
        <w:t>Mērījumu vienotību valstī nodrošina ar mērījumu izsekojamību līdz nacionālajiem vai starptautiskajiem mērvienību etaloniem</w:t>
      </w:r>
      <w:r w:rsidR="009A16A1">
        <w:t xml:space="preserve"> (panta otrā daļa)</w:t>
      </w:r>
      <w:r w:rsidR="00745EB7" w:rsidRPr="00745EB7">
        <w:t>.</w:t>
      </w:r>
      <w:r w:rsidR="00745EB7">
        <w:t xml:space="preserve"> </w:t>
      </w:r>
      <w:r w:rsidR="00745EB7" w:rsidRPr="00745EB7">
        <w:t>Likums nosaka vispārīgās metroloģiskās prasības mērīšanas līdzekļiem un realizācijai paredzētajām fasētajām precēm</w:t>
      </w:r>
      <w:r w:rsidR="009A16A1">
        <w:t xml:space="preserve"> (panta trešā daļa)</w:t>
      </w:r>
      <w:r w:rsidR="00745EB7" w:rsidRPr="00745EB7">
        <w:t>.</w:t>
      </w:r>
    </w:p>
    <w:p w14:paraId="0AFEA927" w14:textId="74BA2E8D" w:rsidR="001676D7" w:rsidRDefault="005C217D" w:rsidP="00E57113">
      <w:pPr>
        <w:pStyle w:val="Style1"/>
      </w:pPr>
      <w:r>
        <w:t>Atbilstoši š</w:t>
      </w:r>
      <w:r w:rsidR="009A16A1">
        <w:t>ā</w:t>
      </w:r>
      <w:r>
        <w:t xml:space="preserve"> likuma 7.panta pirmās daļas 8.punktam v</w:t>
      </w:r>
      <w:r w:rsidRPr="005C217D">
        <w:t>alsts metroloģiskajai kontrolei ir pakļauti mērīšanas līdzekļi, kurus lieto</w:t>
      </w:r>
      <w:r w:rsidR="009A16A1">
        <w:t>,</w:t>
      </w:r>
      <w:r w:rsidRPr="005C217D">
        <w:rPr>
          <w:rFonts w:ascii="Arial" w:hAnsi="Arial" w:cs="Arial"/>
          <w:color w:val="414142"/>
          <w:sz w:val="20"/>
          <w:szCs w:val="20"/>
          <w:shd w:val="clear" w:color="auto" w:fill="FFFFFF"/>
        </w:rPr>
        <w:t xml:space="preserve"> </w:t>
      </w:r>
      <w:r w:rsidRPr="005C217D">
        <w:t>veicot izmeklēšanu un ekspertīzi</w:t>
      </w:r>
      <w:r>
        <w:t>. Kā secināms no Administratīvā procesa likuma 211.panta otrās daļas, arī administratīvajā procesā tiesā tiek īstenota izmeklēšana, ar ko saprotama administratīvās tiesas īstenot</w:t>
      </w:r>
      <w:r w:rsidR="001425B4">
        <w:t>a</w:t>
      </w:r>
      <w:r>
        <w:t xml:space="preserve"> apstākļu noskaidrošana (</w:t>
      </w:r>
      <w:r w:rsidRPr="005C217D">
        <w:rPr>
          <w:i/>
          <w:iCs/>
        </w:rPr>
        <w:t>Administratīvā procesa likuma 107.pants</w:t>
      </w:r>
      <w:r>
        <w:t xml:space="preserve">). Tādēļ var piekrist, ka </w:t>
      </w:r>
      <w:r w:rsidRPr="00F80CC5">
        <w:t>likum</w:t>
      </w:r>
      <w:r>
        <w:t>s</w:t>
      </w:r>
      <w:r w:rsidRPr="00F80CC5">
        <w:t xml:space="preserve"> </w:t>
      </w:r>
      <w:r>
        <w:t>„</w:t>
      </w:r>
      <w:r w:rsidRPr="00F80CC5">
        <w:t>Par mērījumu vienotību”</w:t>
      </w:r>
      <w:r>
        <w:t xml:space="preserve"> ir piemērojams administratīvās tiesas īstenotai apstākļu noskaidrošanai. </w:t>
      </w:r>
      <w:r w:rsidR="007C49B9">
        <w:t xml:space="preserve">Tomēr </w:t>
      </w:r>
      <w:r>
        <w:t>likumā „</w:t>
      </w:r>
      <w:r w:rsidRPr="00F80CC5">
        <w:t>Par mērījumu vienotību”</w:t>
      </w:r>
      <w:r>
        <w:t xml:space="preserve"> nav nevienas tiesību normas, kas paredzētu to, ka faktu par koku caurmēra diametru nevarētu noskaidrot „ne ar kādiem citiem” līdzekļiem vai instrumentiem kā vien ar atbilstoši </w:t>
      </w:r>
      <w:r w:rsidRPr="00F80CC5">
        <w:t xml:space="preserve">likuma </w:t>
      </w:r>
      <w:r>
        <w:t>„</w:t>
      </w:r>
      <w:r w:rsidRPr="00F80CC5">
        <w:t>Par mērījumu vienotību”</w:t>
      </w:r>
      <w:r>
        <w:t xml:space="preserve"> kārtībā verificētu mērinstrumentu.</w:t>
      </w:r>
      <w:r w:rsidR="00D71CAE">
        <w:t xml:space="preserve"> N</w:t>
      </w:r>
      <w:r w:rsidR="009567AC">
        <w:t>evar bez uzmanības atstāt</w:t>
      </w:r>
      <w:r w:rsidR="00D71CAE">
        <w:t xml:space="preserve"> arī</w:t>
      </w:r>
      <w:r w:rsidR="009567AC">
        <w:t xml:space="preserve"> to, ka </w:t>
      </w:r>
      <w:r w:rsidR="003A12CC" w:rsidRPr="009567AC">
        <w:t>Ministru kabinet</w:t>
      </w:r>
      <w:r w:rsidR="003A12CC">
        <w:t>s</w:t>
      </w:r>
      <w:r w:rsidR="009567AC">
        <w:t xml:space="preserve">, </w:t>
      </w:r>
      <w:r w:rsidR="003A12CC">
        <w:t>izdodot</w:t>
      </w:r>
      <w:r w:rsidR="009567AC">
        <w:t xml:space="preserve"> </w:t>
      </w:r>
      <w:r w:rsidR="009567AC" w:rsidRPr="009567AC">
        <w:t>2024.gada 14.maija noteikum</w:t>
      </w:r>
      <w:r w:rsidR="009567AC">
        <w:t>us</w:t>
      </w:r>
      <w:r w:rsidR="009567AC" w:rsidRPr="009567AC">
        <w:t xml:space="preserve"> Nr.</w:t>
      </w:r>
      <w:r w:rsidR="00B41CF0">
        <w:t> </w:t>
      </w:r>
      <w:r w:rsidR="009567AC" w:rsidRPr="009567AC">
        <w:t xml:space="preserve">289 </w:t>
      </w:r>
      <w:r w:rsidR="00FC2206">
        <w:t>„</w:t>
      </w:r>
      <w:r w:rsidR="009567AC" w:rsidRPr="009567AC">
        <w:t>Noteikumi par valsts metroloģiskajai kontrolei pakļauto mērīšanas līdzekļu sarakstu</w:t>
      </w:r>
      <w:r w:rsidR="00FC2206">
        <w:t>”</w:t>
      </w:r>
      <w:r w:rsidR="009567AC">
        <w:t xml:space="preserve">, vēlāk </w:t>
      </w:r>
      <w:r w:rsidR="00A506DE">
        <w:t>(</w:t>
      </w:r>
      <w:r w:rsidR="00A506DE" w:rsidRPr="00A506DE">
        <w:rPr>
          <w:i/>
          <w:iCs/>
        </w:rPr>
        <w:t>ar minēto noteikumu grozījumiem, kas stājās spēkā 2025.gada 22.februārī</w:t>
      </w:r>
      <w:r w:rsidR="00A506DE">
        <w:t xml:space="preserve">) </w:t>
      </w:r>
      <w:r w:rsidR="009567AC">
        <w:t xml:space="preserve">atzinis, ka </w:t>
      </w:r>
      <w:r w:rsidR="009567AC" w:rsidRPr="009567AC">
        <w:t>metri</w:t>
      </w:r>
      <w:r w:rsidR="009567AC">
        <w:t>em</w:t>
      </w:r>
      <w:r w:rsidR="009567AC" w:rsidRPr="009567AC">
        <w:t>, lineāli</w:t>
      </w:r>
      <w:r w:rsidR="009567AC">
        <w:t>em</w:t>
      </w:r>
      <w:r w:rsidR="009567AC" w:rsidRPr="009567AC">
        <w:t xml:space="preserve"> un mērlent</w:t>
      </w:r>
      <w:r w:rsidR="009567AC">
        <w:t>ēm verificēšanas periodiskums nav noteikts, kas liecina, ka attiecībā uz šiem mērinstrumentiem</w:t>
      </w:r>
      <w:r w:rsidR="001425B4">
        <w:t xml:space="preserve"> to laika gaitā potenciāli izveidojusies neprecizitāte nevarētu būt nozīmīga</w:t>
      </w:r>
      <w:r w:rsidR="009567AC">
        <w:t>.</w:t>
      </w:r>
      <w:r w:rsidR="007C49B9">
        <w:t xml:space="preserve"> To apstiprina arī 2</w:t>
      </w:r>
      <w:r w:rsidR="007C49B9" w:rsidRPr="007C49B9">
        <w:t>025.gada 18.februār</w:t>
      </w:r>
      <w:r w:rsidR="007C49B9">
        <w:t xml:space="preserve">a </w:t>
      </w:r>
      <w:r w:rsidR="000824CE">
        <w:t>g</w:t>
      </w:r>
      <w:r w:rsidR="007C49B9" w:rsidRPr="007C49B9">
        <w:t>rozījum</w:t>
      </w:r>
      <w:r w:rsidR="007C49B9">
        <w:t>u</w:t>
      </w:r>
      <w:r w:rsidR="007C49B9" w:rsidRPr="007C49B9">
        <w:t xml:space="preserve"> Ministru kabineta 2024.gada 14.maija noteikumos Nr.</w:t>
      </w:r>
      <w:r w:rsidR="00B41CF0">
        <w:t> </w:t>
      </w:r>
      <w:r w:rsidR="007C49B9" w:rsidRPr="007C49B9">
        <w:t xml:space="preserve">289 </w:t>
      </w:r>
      <w:r w:rsidR="000824CE">
        <w:t>„</w:t>
      </w:r>
      <w:r w:rsidR="007C49B9" w:rsidRPr="007C49B9">
        <w:t>Noteikumi par valsts metroloģiskajai kontrolei pakļauto mērīšanas līdzekļu sarakstu</w:t>
      </w:r>
      <w:r w:rsidR="00003337">
        <w:t>”</w:t>
      </w:r>
      <w:r w:rsidR="007C49B9">
        <w:t xml:space="preserve"> anotācija, kurā paskaidrots</w:t>
      </w:r>
      <w:r w:rsidR="004B3676">
        <w:t>:</w:t>
      </w:r>
      <w:r w:rsidR="007C49B9">
        <w:t xml:space="preserve"> „</w:t>
      </w:r>
      <w:r w:rsidR="007C49B9" w:rsidRPr="007C49B9">
        <w:t>Praksē</w:t>
      </w:r>
      <w:r w:rsidR="00003337">
        <w:t xml:space="preserve"> </w:t>
      </w:r>
      <w:r w:rsidR="007C49B9" w:rsidRPr="007C49B9">
        <w:t>metriem, lineāliem un mērlentēm mērījumu precizitāte visā ekspluatācijas laikā nemainās, kā arī pamatojoties uz</w:t>
      </w:r>
      <w:r w:rsidR="00003337">
        <w:t xml:space="preserve"> </w:t>
      </w:r>
      <w:r w:rsidR="007C49B9" w:rsidRPr="007C49B9">
        <w:t>inspicēšanas institūciju sniegto informāciju par atkārtoti verificētajiem mērīšanas līdzekļiem, laika posmā no 2020.</w:t>
      </w:r>
      <w:r w:rsidR="000824CE">
        <w:t>–</w:t>
      </w:r>
      <w:r w:rsidR="007C49B9" w:rsidRPr="007C49B9">
        <w:t>2023.gadam no kopā pārbaudītajiem 2402</w:t>
      </w:r>
      <w:r w:rsidR="00505915">
        <w:t> </w:t>
      </w:r>
      <w:r w:rsidR="007C49B9" w:rsidRPr="007C49B9">
        <w:t xml:space="preserve">mērīšanas līdzekļiem par neatbilstošiem atzīti tikai </w:t>
      </w:r>
      <w:r w:rsidR="000824CE">
        <w:t>četri</w:t>
      </w:r>
      <w:r w:rsidR="007C49B9" w:rsidRPr="007C49B9">
        <w:t>, līdz ar to nav objektīvi noteikt šiem mērīšanas līdzekļiem atkārtotās verificēšanas periodiskumu. Tā kā šie mērīšanas līdzekļi ir pakļauti valsts metroloģiskajai kontrolei (laišana tirgū), noteikumu projekta pielikumā</w:t>
      </w:r>
      <w:r w:rsidR="00003337">
        <w:t xml:space="preserve"> </w:t>
      </w:r>
      <w:r w:rsidR="007C49B9" w:rsidRPr="007C49B9">
        <w:t>atstāti šie mērīšanas līdzekļi, bet nav noteikts atkārtotās verificēšanas periodiskums.</w:t>
      </w:r>
      <w:r w:rsidR="00003337">
        <w:t xml:space="preserve"> </w:t>
      </w:r>
      <w:r w:rsidR="007C49B9" w:rsidRPr="007C49B9">
        <w:t>Gadījumā, ja mērīšanas līdzekļa lietotājam ekspluatācijas laikā ir nepieciešamība pārliecināties par mērīšanas līdzekļa mērījumu pareizību, tad lietotājam ir tiesības veikt kalibrēšanu savos noteiktajos termiņos</w:t>
      </w:r>
      <w:r w:rsidR="007C49B9">
        <w:t>” (</w:t>
      </w:r>
      <w:hyperlink r:id="rId28" w:history="1">
        <w:r w:rsidR="007C49B9" w:rsidRPr="000824CE">
          <w:rPr>
            <w:rStyle w:val="Hyperlink"/>
            <w:i/>
            <w:iCs/>
          </w:rPr>
          <w:t>sākotnējās ietekmes (ex-ante) novērtējuma ziņojums (anotācija)</w:t>
        </w:r>
      </w:hyperlink>
      <w:r w:rsidR="007C49B9">
        <w:t>)</w:t>
      </w:r>
      <w:r w:rsidR="000824CE">
        <w:t>.</w:t>
      </w:r>
    </w:p>
    <w:p w14:paraId="66ABEF25" w14:textId="77777777" w:rsidR="009567AC" w:rsidRDefault="009567AC" w:rsidP="00E57113">
      <w:pPr>
        <w:pStyle w:val="Style1"/>
      </w:pPr>
      <w:r>
        <w:t>Šo iemeslu dēļ</w:t>
      </w:r>
      <w:r w:rsidR="00506EB6">
        <w:t xml:space="preserve"> </w:t>
      </w:r>
      <w:r w:rsidR="007E7253" w:rsidRPr="00F80CC5">
        <w:t xml:space="preserve">likuma </w:t>
      </w:r>
      <w:r w:rsidR="007E7253">
        <w:t>„</w:t>
      </w:r>
      <w:r w:rsidR="007E7253" w:rsidRPr="00F80CC5">
        <w:t>Par mērījumu vienotību”</w:t>
      </w:r>
      <w:r w:rsidR="007E7253">
        <w:t xml:space="preserve"> prasības nevar tikt uzskatītas par tādām, kas paredzētu</w:t>
      </w:r>
      <w:r>
        <w:t>,</w:t>
      </w:r>
      <w:r w:rsidR="007E7253">
        <w:t xml:space="preserve"> ka koka caurmēru nevar noteikt „ne ar kādiem citiem” līdzekļiem kā vien ar </w:t>
      </w:r>
      <w:r w:rsidR="00B948FC">
        <w:rPr>
          <w:bCs/>
        </w:rPr>
        <w:t>verificētu</w:t>
      </w:r>
      <w:r w:rsidR="007E7253">
        <w:t xml:space="preserve"> mērlenti</w:t>
      </w:r>
      <w:r>
        <w:t>. T</w:t>
      </w:r>
      <w:r w:rsidR="007E7253">
        <w:t>omēr</w:t>
      </w:r>
      <w:r w:rsidR="00B948FC">
        <w:t xml:space="preserve"> </w:t>
      </w:r>
      <w:r w:rsidR="007C49B9">
        <w:t>š</w:t>
      </w:r>
      <w:r w:rsidR="000824CE">
        <w:t>is s</w:t>
      </w:r>
      <w:r w:rsidR="007C49B9">
        <w:t>ecinājum</w:t>
      </w:r>
      <w:r w:rsidR="000824CE">
        <w:t>s</w:t>
      </w:r>
      <w:r w:rsidR="00902F23">
        <w:t xml:space="preserve"> nav jāsaprot kā tād</w:t>
      </w:r>
      <w:r w:rsidR="000824CE">
        <w:t>s</w:t>
      </w:r>
      <w:r w:rsidR="00902F23">
        <w:t>, kas noliedz to</w:t>
      </w:r>
      <w:r w:rsidR="00B948FC">
        <w:t>, ka</w:t>
      </w:r>
      <w:r w:rsidR="007E7253">
        <w:t xml:space="preserve"> </w:t>
      </w:r>
      <w:r w:rsidR="00B948FC">
        <w:t>pieteicēja</w:t>
      </w:r>
      <w:r w:rsidR="00164402">
        <w:t>s</w:t>
      </w:r>
      <w:r w:rsidR="00B948FC">
        <w:t xml:space="preserve"> apsvērumi par mērījumu uzticamību ir </w:t>
      </w:r>
      <w:r w:rsidR="00DF0C29">
        <w:t xml:space="preserve">pietiekami </w:t>
      </w:r>
      <w:r w:rsidR="00B948FC">
        <w:t>nopietni un vērā ņemami</w:t>
      </w:r>
      <w:r w:rsidR="00902F23">
        <w:t>. L</w:t>
      </w:r>
      <w:r w:rsidR="00745EB7" w:rsidRPr="00F80CC5">
        <w:t>ikum</w:t>
      </w:r>
      <w:r w:rsidR="00745EB7">
        <w:t>s</w:t>
      </w:r>
      <w:r w:rsidR="00745EB7" w:rsidRPr="00F80CC5">
        <w:t xml:space="preserve"> </w:t>
      </w:r>
      <w:r w:rsidR="00745EB7">
        <w:t>„</w:t>
      </w:r>
      <w:r w:rsidR="00745EB7" w:rsidRPr="00F80CC5">
        <w:t>Par mērījumu vienotību”</w:t>
      </w:r>
      <w:r w:rsidR="00745EB7">
        <w:t xml:space="preserve"> nav pieņemts bez iemesla. Tikai</w:t>
      </w:r>
      <w:r w:rsidR="0080588E">
        <w:t xml:space="preserve"> pārliecība par</w:t>
      </w:r>
      <w:r w:rsidR="00745EB7">
        <w:t xml:space="preserve"> </w:t>
      </w:r>
      <w:r w:rsidR="00506EB6">
        <w:t xml:space="preserve">mērinstrumentu </w:t>
      </w:r>
      <w:r w:rsidR="00745EB7">
        <w:t>sākotnēj</w:t>
      </w:r>
      <w:r w:rsidR="0080588E">
        <w:t>o</w:t>
      </w:r>
      <w:r w:rsidR="00745EB7">
        <w:t xml:space="preserve"> </w:t>
      </w:r>
      <w:r w:rsidR="00506EB6">
        <w:t>precizitāt</w:t>
      </w:r>
      <w:r w:rsidR="0080588E">
        <w:t>i</w:t>
      </w:r>
      <w:r w:rsidR="00745EB7">
        <w:t xml:space="preserve"> un to precizitātes regulāra pārbaude var nodrošināt uzticamus </w:t>
      </w:r>
      <w:r w:rsidR="00A525D4">
        <w:t>mērījumus</w:t>
      </w:r>
      <w:r w:rsidR="00B948FC">
        <w:t>.</w:t>
      </w:r>
      <w:r w:rsidR="00745EB7">
        <w:t xml:space="preserve"> Pieteicējas apsvērums par mērlentes </w:t>
      </w:r>
      <w:r w:rsidR="0080588E">
        <w:t xml:space="preserve">verifikāciju un </w:t>
      </w:r>
      <w:r w:rsidR="00745EB7">
        <w:t xml:space="preserve">regulāru </w:t>
      </w:r>
      <w:r w:rsidR="0080588E">
        <w:t xml:space="preserve">precizitātes </w:t>
      </w:r>
      <w:r w:rsidR="00745EB7">
        <w:t xml:space="preserve">pārbaudi nav </w:t>
      </w:r>
      <w:r w:rsidR="00D24399">
        <w:t xml:space="preserve">pilnīgi </w:t>
      </w:r>
      <w:r w:rsidR="00745EB7">
        <w:t xml:space="preserve">bez pamata vai acīmredzami nepamatots, bet gan atspoguļo dzīvē un </w:t>
      </w:r>
      <w:r w:rsidR="00D24399">
        <w:t xml:space="preserve">materiālu zinātnē </w:t>
      </w:r>
      <w:r w:rsidR="00745EB7">
        <w:t>apstiprinātu novērojumu, ka materiāli gan nolietojuma, gan ārējo faktoru ietekmes dēļ laika gaitā maina savus parametrus.</w:t>
      </w:r>
      <w:r w:rsidR="00B948FC">
        <w:t xml:space="preserve"> Turklāt</w:t>
      </w:r>
      <w:r w:rsidR="009A16A1">
        <w:t xml:space="preserve">, </w:t>
      </w:r>
      <w:r w:rsidR="00B948FC">
        <w:t>tā kā šis jautājums ir centrālais lietas faktisko apstākļu noskaidrošanas jautājums, apgabaltiesa nevar tos noraidīt bez izvērtējuma</w:t>
      </w:r>
      <w:r w:rsidR="00745EB7">
        <w:t>, ja pieteicē</w:t>
      </w:r>
      <w:r w:rsidR="00164402">
        <w:t>ja</w:t>
      </w:r>
      <w:r w:rsidR="00745EB7">
        <w:t xml:space="preserve"> spēj saprātīgi </w:t>
      </w:r>
      <w:r w:rsidR="00D24399">
        <w:t>pamatot</w:t>
      </w:r>
      <w:r w:rsidR="00745EB7">
        <w:t xml:space="preserve"> to, ka konkrētā mērlente, balstoties uz </w:t>
      </w:r>
      <w:r w:rsidR="00DF0C29">
        <w:t>objektīviem un saprātīgiem apsvērumiem</w:t>
      </w:r>
      <w:r w:rsidR="008D014E">
        <w:t>,</w:t>
      </w:r>
      <w:r w:rsidR="00DF0C29">
        <w:t xml:space="preserve"> varētu būt deformēta vai deformējusies</w:t>
      </w:r>
      <w:r w:rsidR="00A525D4">
        <w:t xml:space="preserve"> un kāda varētu būt saprātīgas šādu mērījumu neprecizitātes robeža</w:t>
      </w:r>
      <w:r w:rsidR="00DF0C29">
        <w:t>.</w:t>
      </w:r>
      <w:r w:rsidR="0080588E">
        <w:t xml:space="preserve"> </w:t>
      </w:r>
      <w:r w:rsidR="004B0349">
        <w:t>Rezumējot</w:t>
      </w:r>
      <w:r w:rsidR="0080588E">
        <w:t>,</w:t>
      </w:r>
      <w:r w:rsidR="008D014E">
        <w:t xml:space="preserve"> </w:t>
      </w:r>
      <w:r w:rsidR="0080588E">
        <w:t>Administratīvā procesa likuma 152.panta otr</w:t>
      </w:r>
      <w:r w:rsidR="008D014E">
        <w:t xml:space="preserve">ā daļa nav attiecināma </w:t>
      </w:r>
      <w:r w:rsidR="004B3676">
        <w:t>uz konkrēto gadījumu</w:t>
      </w:r>
      <w:r w:rsidR="007C49B9">
        <w:t>,</w:t>
      </w:r>
      <w:r w:rsidR="0080588E">
        <w:t xml:space="preserve"> taču </w:t>
      </w:r>
      <w:r w:rsidR="007C49B9" w:rsidRPr="00F80CC5">
        <w:t xml:space="preserve">likuma </w:t>
      </w:r>
      <w:r w:rsidR="007C49B9">
        <w:t>„</w:t>
      </w:r>
      <w:r w:rsidR="007C49B9" w:rsidRPr="00F80CC5">
        <w:t>Par mērījumu vienotību”</w:t>
      </w:r>
      <w:r w:rsidR="007C49B9">
        <w:t xml:space="preserve"> tiesību normu</w:t>
      </w:r>
      <w:r w:rsidR="0080588E">
        <w:t xml:space="preserve"> ievērošana (vai neievērošana) ir apstāklis, kas tiesai ir jāizvērtē Administratīvā procesa likuma 15</w:t>
      </w:r>
      <w:r w:rsidR="004B0349">
        <w:t>4</w:t>
      </w:r>
      <w:r w:rsidR="0080588E">
        <w:t>.panta pirmās daļas ietvaros</w:t>
      </w:r>
      <w:r w:rsidR="004B0349">
        <w:t xml:space="preserve"> no pierādīšanas līdzekļu ticamības viedokļa</w:t>
      </w:r>
      <w:r w:rsidR="0080588E">
        <w:t>.</w:t>
      </w:r>
    </w:p>
    <w:p w14:paraId="6D023E33" w14:textId="77777777" w:rsidR="00DE7084" w:rsidRDefault="00DE7084" w:rsidP="00E57113">
      <w:pPr>
        <w:spacing w:line="276" w:lineRule="auto"/>
        <w:ind w:firstLine="567"/>
        <w:jc w:val="both"/>
      </w:pPr>
    </w:p>
    <w:p w14:paraId="0A19099D" w14:textId="77777777" w:rsidR="00804AD8" w:rsidRDefault="00804AD8" w:rsidP="00E57113">
      <w:pPr>
        <w:shd w:val="clear" w:color="auto" w:fill="FFFFFF"/>
        <w:spacing w:line="276" w:lineRule="auto"/>
        <w:ind w:firstLine="720"/>
        <w:jc w:val="both"/>
        <w:rPr>
          <w:i/>
          <w:iCs/>
        </w:rPr>
      </w:pPr>
      <w:r>
        <w:rPr>
          <w:i/>
          <w:iCs/>
        </w:rPr>
        <w:t xml:space="preserve">Par </w:t>
      </w:r>
      <w:r w:rsidR="00934A18">
        <w:rPr>
          <w:i/>
          <w:iCs/>
        </w:rPr>
        <w:t>dabas daudzveidībai no</w:t>
      </w:r>
      <w:r w:rsidR="00003337">
        <w:rPr>
          <w:i/>
          <w:iCs/>
        </w:rPr>
        <w:t>dar</w:t>
      </w:r>
      <w:r w:rsidR="00934A18">
        <w:rPr>
          <w:i/>
          <w:iCs/>
        </w:rPr>
        <w:t>ītā kaitējuma atlīdzināšanas raksturu</w:t>
      </w:r>
    </w:p>
    <w:p w14:paraId="7D9292D7" w14:textId="77777777" w:rsidR="00B21601" w:rsidRDefault="00B21601" w:rsidP="00E57113">
      <w:pPr>
        <w:shd w:val="clear" w:color="auto" w:fill="FFFFFF"/>
        <w:spacing w:line="276" w:lineRule="auto"/>
        <w:ind w:firstLine="567"/>
        <w:jc w:val="both"/>
        <w:rPr>
          <w:i/>
          <w:iCs/>
        </w:rPr>
      </w:pPr>
    </w:p>
    <w:p w14:paraId="7B1834E4" w14:textId="0EDB8360" w:rsidR="00934A18" w:rsidRDefault="002E0E36" w:rsidP="00E57113">
      <w:pPr>
        <w:pStyle w:val="Style1"/>
      </w:pPr>
      <w:r>
        <w:t>[1</w:t>
      </w:r>
      <w:r w:rsidR="00E957A2">
        <w:t>9</w:t>
      </w:r>
      <w:r>
        <w:t>]</w:t>
      </w:r>
      <w:r w:rsidR="00FC5C1D">
        <w:t> </w:t>
      </w:r>
      <w:r w:rsidR="00934A18">
        <w:t xml:space="preserve">Pieteicēja </w:t>
      </w:r>
      <w:r w:rsidR="00001040">
        <w:t xml:space="preserve">norāda, ka </w:t>
      </w:r>
      <w:r w:rsidR="00A22C4B">
        <w:t xml:space="preserve">Meža likuma 8.panta otrajā daļā un </w:t>
      </w:r>
      <w:r w:rsidR="00505CE1" w:rsidRPr="00505CE1">
        <w:t xml:space="preserve">noteikumu </w:t>
      </w:r>
      <w:r w:rsidR="00505CE1">
        <w:t>Nr.</w:t>
      </w:r>
      <w:r w:rsidR="00A91FE5">
        <w:t> </w:t>
      </w:r>
      <w:r w:rsidR="00505CE1" w:rsidRPr="00505CE1">
        <w:t xml:space="preserve">309 </w:t>
      </w:r>
      <w:r w:rsidR="00505CE1" w:rsidRPr="00F40DB6">
        <w:t>23. un 24.punktā</w:t>
      </w:r>
      <w:r w:rsidR="00505CE1">
        <w:t xml:space="preserve"> paredzētajam institūtam, kas nosaukts par „</w:t>
      </w:r>
      <w:r w:rsidR="00505CE1" w:rsidRPr="00505CE1">
        <w:t>zaudējuma atlīdzīb</w:t>
      </w:r>
      <w:r w:rsidR="00505CE1">
        <w:t>u</w:t>
      </w:r>
      <w:r w:rsidR="00505CE1" w:rsidRPr="00505CE1">
        <w:t>”</w:t>
      </w:r>
      <w:r w:rsidR="00505CE1">
        <w:t xml:space="preserve">, </w:t>
      </w:r>
      <w:r w:rsidR="00934A18">
        <w:t>ir sodošs raksturs.</w:t>
      </w:r>
    </w:p>
    <w:p w14:paraId="6AB21985" w14:textId="1B998888" w:rsidR="0014028D" w:rsidRDefault="00934A18" w:rsidP="00E57113">
      <w:pPr>
        <w:pStyle w:val="Style1"/>
      </w:pPr>
      <w:r>
        <w:t>Senāts</w:t>
      </w:r>
      <w:r w:rsidR="00EE5E65">
        <w:t xml:space="preserve"> jau iepriekš vairākkārt</w:t>
      </w:r>
      <w:r>
        <w:t xml:space="preserve"> atzinis, ka minētajai zaudējumu atlīdzībai </w:t>
      </w:r>
      <w:r w:rsidRPr="006843B9">
        <w:t>ir dabas daudzveidības samazinājumu kompensējošs raksturs, nevis sodošs raksturs</w:t>
      </w:r>
      <w:r>
        <w:t xml:space="preserve"> (</w:t>
      </w:r>
      <w:r w:rsidR="00EE5E65">
        <w:t>sk.</w:t>
      </w:r>
      <w:r w:rsidR="00003337">
        <w:t>,</w:t>
      </w:r>
      <w:r w:rsidR="00505915">
        <w:t> </w:t>
      </w:r>
      <w:r w:rsidR="00003337">
        <w:t>piemēram,</w:t>
      </w:r>
      <w:r w:rsidR="00EE5E65">
        <w:t xml:space="preserve"> </w:t>
      </w:r>
      <w:r w:rsidRPr="005B4E1A">
        <w:rPr>
          <w:i/>
          <w:iCs/>
        </w:rPr>
        <w:t xml:space="preserve">Senāta </w:t>
      </w:r>
      <w:r w:rsidR="005B4E1A" w:rsidRPr="005B4E1A">
        <w:rPr>
          <w:i/>
          <w:iCs/>
        </w:rPr>
        <w:t>201</w:t>
      </w:r>
      <w:r w:rsidR="005B4E1A">
        <w:rPr>
          <w:i/>
          <w:iCs/>
        </w:rPr>
        <w:t>9</w:t>
      </w:r>
      <w:r w:rsidR="005B4E1A" w:rsidRPr="005B4E1A">
        <w:rPr>
          <w:i/>
          <w:iCs/>
        </w:rPr>
        <w:t xml:space="preserve">.gada 14.februāra sprieduma lietā Nr. SKA-285/2019, </w:t>
      </w:r>
      <w:hyperlink r:id="rId29" w:history="1">
        <w:r w:rsidR="005B4E1A" w:rsidRPr="00A91FE5">
          <w:rPr>
            <w:rStyle w:val="Hyperlink"/>
            <w:i/>
            <w:iCs/>
          </w:rPr>
          <w:t>ECLI:LV:AT:2019:0214.A420153116.4.S</w:t>
        </w:r>
      </w:hyperlink>
      <w:r w:rsidR="005B4E1A" w:rsidRPr="005B4E1A">
        <w:rPr>
          <w:i/>
          <w:iCs/>
        </w:rPr>
        <w:t>, 9.punkt</w:t>
      </w:r>
      <w:r w:rsidR="008B5486">
        <w:rPr>
          <w:i/>
          <w:iCs/>
        </w:rPr>
        <w:t>u</w:t>
      </w:r>
      <w:r>
        <w:t>).</w:t>
      </w:r>
      <w:r w:rsidR="00235D1F">
        <w:t xml:space="preserve"> </w:t>
      </w:r>
      <w:r w:rsidR="005F51C7">
        <w:t>Regulējuma mērķis</w:t>
      </w:r>
      <w:r w:rsidR="001A0692">
        <w:t xml:space="preserve"> </w:t>
      </w:r>
      <w:r w:rsidR="00FC080A">
        <w:t>ir salāgot div</w:t>
      </w:r>
      <w:r w:rsidR="009F77C4">
        <w:t>as leģitīmas intereses</w:t>
      </w:r>
      <w:r w:rsidR="00FC2206">
        <w:t xml:space="preserve"> </w:t>
      </w:r>
      <w:r w:rsidR="00FC080A">
        <w:t>–</w:t>
      </w:r>
      <w:r w:rsidR="00FC2206">
        <w:t xml:space="preserve"> </w:t>
      </w:r>
      <w:r w:rsidR="00FC080A">
        <w:t>tiesības izmantot savu īpašumu, kurā</w:t>
      </w:r>
      <w:r w:rsidR="009F77C4">
        <w:t>s</w:t>
      </w:r>
      <w:r w:rsidR="00FC080A">
        <w:t xml:space="preserve"> ietilpst tiesības lemt par koku nociršanu, ar dabas resursu saprātīgu un ilgtspējīgu izmantošanu. T</w:t>
      </w:r>
      <w:r w:rsidR="00001040">
        <w:t>urklāt to</w:t>
      </w:r>
      <w:r w:rsidR="00FC080A">
        <w:t xml:space="preserve">, ka institūta </w:t>
      </w:r>
      <w:r w:rsidR="00001040">
        <w:t>raksturs</w:t>
      </w:r>
      <w:r w:rsidR="00FC080A">
        <w:t xml:space="preserve"> nav sodošs, apliecina tas, ka zaudējuma atlīdzība ir nosacījums </w:t>
      </w:r>
      <w:r w:rsidR="000B4677">
        <w:t xml:space="preserve">arī </w:t>
      </w:r>
      <w:r w:rsidR="0014028D">
        <w:t xml:space="preserve">pašvaldības atļautai </w:t>
      </w:r>
      <w:r w:rsidR="00FC080A">
        <w:t xml:space="preserve">koku nociršanai. </w:t>
      </w:r>
    </w:p>
    <w:p w14:paraId="4D89E58C" w14:textId="77777777" w:rsidR="009F77C4" w:rsidRDefault="00FC080A" w:rsidP="00E57113">
      <w:pPr>
        <w:pStyle w:val="Style1"/>
      </w:pPr>
      <w:r>
        <w:t>Samaksājot zaudējumu atlīdzību par daba</w:t>
      </w:r>
      <w:r w:rsidR="000B4677">
        <w:t xml:space="preserve">s daudzveidībai </w:t>
      </w:r>
      <w:r>
        <w:t xml:space="preserve">nodarīto zaudējumu, ir iespējams apmierināt abas intereses – </w:t>
      </w:r>
      <w:r w:rsidR="00AC62A8">
        <w:t xml:space="preserve">ļaut </w:t>
      </w:r>
      <w:r>
        <w:t xml:space="preserve">īpašniekam iekārtot savu īpašumu atbilstoši tā redzējumam, atbrīvojot </w:t>
      </w:r>
      <w:r w:rsidR="00AC62A8">
        <w:t>īpašumu</w:t>
      </w:r>
      <w:r>
        <w:t xml:space="preserve"> no konkrētiem </w:t>
      </w:r>
      <w:r w:rsidR="00AC62A8">
        <w:t xml:space="preserve">īpašniekam nevēlamiem </w:t>
      </w:r>
      <w:r>
        <w:t xml:space="preserve">kokiem, un, vienlaikus, </w:t>
      </w:r>
      <w:r w:rsidR="00AC62A8">
        <w:t>izlīdzināt šo koku zaudējuma radīto trūkumu</w:t>
      </w:r>
      <w:r w:rsidR="000B4677">
        <w:t xml:space="preserve"> dabas daudzveidībai</w:t>
      </w:r>
      <w:r w:rsidR="005F51C7">
        <w:t>.</w:t>
      </w:r>
      <w:r w:rsidR="00AC62A8">
        <w:t xml:space="preserve"> </w:t>
      </w:r>
      <w:r w:rsidR="009F77C4">
        <w:t xml:space="preserve">Šāds regulējums ir raksturīgs regulējumam dabas konservācijas un daudzveidības saglabāšanas tiesībās </w:t>
      </w:r>
      <w:r w:rsidR="00B21601">
        <w:t>(</w:t>
      </w:r>
      <w:r w:rsidR="00B21601" w:rsidRPr="008B5486">
        <w:t>sal.</w:t>
      </w:r>
      <w:r w:rsidR="00505915">
        <w:rPr>
          <w:i/>
          <w:iCs/>
        </w:rPr>
        <w:t> </w:t>
      </w:r>
      <w:hyperlink r:id="rId30" w:history="1">
        <w:r w:rsidR="00B21601" w:rsidRPr="005679BA">
          <w:rPr>
            <w:rStyle w:val="Hyperlink"/>
            <w:i/>
            <w:iCs/>
          </w:rPr>
          <w:t>1992.gada 5.jūnija Riodežaneiro Konvencij</w:t>
        </w:r>
        <w:r w:rsidR="00001040">
          <w:rPr>
            <w:rStyle w:val="Hyperlink"/>
            <w:i/>
            <w:iCs/>
          </w:rPr>
          <w:t>as</w:t>
        </w:r>
        <w:r w:rsidR="00B21601" w:rsidRPr="005679BA">
          <w:rPr>
            <w:rStyle w:val="Hyperlink"/>
            <w:i/>
            <w:iCs/>
          </w:rPr>
          <w:t xml:space="preserve"> par bioloģisko daudzveidību</w:t>
        </w:r>
      </w:hyperlink>
      <w:r w:rsidR="00B21601" w:rsidRPr="005679BA">
        <w:rPr>
          <w:i/>
          <w:iCs/>
        </w:rPr>
        <w:t xml:space="preserve">, pieņemta 1992.gada 5.jūnijā, </w:t>
      </w:r>
      <w:hyperlink r:id="rId31" w:history="1">
        <w:r w:rsidR="00B21601" w:rsidRPr="005679BA">
          <w:rPr>
            <w:rStyle w:val="Hyperlink"/>
            <w:i/>
            <w:iCs/>
          </w:rPr>
          <w:t>stājās spēkā attiecībā uz Latviju 1995.gada 8.septembrī</w:t>
        </w:r>
      </w:hyperlink>
      <w:r w:rsidR="00B21601" w:rsidRPr="005679BA">
        <w:rPr>
          <w:i/>
          <w:iCs/>
        </w:rPr>
        <w:t>, 14.panta 2.punkt</w:t>
      </w:r>
      <w:r w:rsidR="00001040">
        <w:rPr>
          <w:i/>
          <w:iCs/>
        </w:rPr>
        <w:t>s</w:t>
      </w:r>
      <w:r w:rsidR="00B21601" w:rsidRPr="005679BA">
        <w:rPr>
          <w:i/>
          <w:iCs/>
        </w:rPr>
        <w:t xml:space="preserve">; </w:t>
      </w:r>
      <w:hyperlink r:id="rId32" w:history="1">
        <w:r w:rsidR="00B21601" w:rsidRPr="005679BA">
          <w:rPr>
            <w:rStyle w:val="Hyperlink"/>
            <w:i/>
            <w:iCs/>
          </w:rPr>
          <w:t>Nagojas-Kualalumpuras papildprotokol</w:t>
        </w:r>
        <w:r w:rsidR="00001040">
          <w:rPr>
            <w:rStyle w:val="Hyperlink"/>
            <w:i/>
            <w:iCs/>
          </w:rPr>
          <w:t>a</w:t>
        </w:r>
        <w:r w:rsidR="00B21601" w:rsidRPr="005679BA">
          <w:rPr>
            <w:rStyle w:val="Hyperlink"/>
            <w:i/>
            <w:iCs/>
          </w:rPr>
          <w:t xml:space="preserve"> par atbildību un atlīdzināšanu, kas pievienots Kartahenas protokolam par bioloģisko drošību</w:t>
        </w:r>
      </w:hyperlink>
      <w:r w:rsidR="00B21601" w:rsidRPr="005679BA">
        <w:rPr>
          <w:i/>
          <w:iCs/>
        </w:rPr>
        <w:t xml:space="preserve">, pieņemts 2010.gada 15.oktobrī, </w:t>
      </w:r>
      <w:hyperlink r:id="rId33" w:history="1">
        <w:r w:rsidR="00B21601" w:rsidRPr="005679BA">
          <w:rPr>
            <w:rStyle w:val="Hyperlink"/>
            <w:i/>
            <w:iCs/>
          </w:rPr>
          <w:t>stājās spēkā attiecība uz Latviju 2011.gada 27.oktobrī</w:t>
        </w:r>
      </w:hyperlink>
      <w:r w:rsidR="00B21601" w:rsidRPr="005679BA">
        <w:rPr>
          <w:i/>
          <w:iCs/>
        </w:rPr>
        <w:t>, 2.panta 2.punkta „d” apakšpunkt</w:t>
      </w:r>
      <w:r w:rsidR="00001040">
        <w:rPr>
          <w:i/>
          <w:iCs/>
        </w:rPr>
        <w:t>s</w:t>
      </w:r>
      <w:r w:rsidR="00B21601" w:rsidRPr="005679BA">
        <w:t>)</w:t>
      </w:r>
      <w:r w:rsidR="009F77C4">
        <w:t xml:space="preserve">. </w:t>
      </w:r>
    </w:p>
    <w:p w14:paraId="3E380AB8" w14:textId="6AD4A107" w:rsidR="000A0A5F" w:rsidRDefault="006F2D88" w:rsidP="00E57113">
      <w:pPr>
        <w:pStyle w:val="Style1"/>
      </w:pPr>
      <w:r w:rsidRPr="006F2D88">
        <w:t>To, ka šim regulējumam nav preventīvā vai sodošā rakstura</w:t>
      </w:r>
      <w:r w:rsidR="00003337">
        <w:t xml:space="preserve"> </w:t>
      </w:r>
      <w:r w:rsidRPr="006F2D88">
        <w:t>–</w:t>
      </w:r>
      <w:r w:rsidR="00003337">
        <w:t xml:space="preserve"> </w:t>
      </w:r>
      <w:r w:rsidRPr="006F2D88">
        <w:t>funkcijas, kuras nodrošina administratīvo pārkāpumu un Krimināllikumā paredzētās tiesību normas,</w:t>
      </w:r>
      <w:r w:rsidR="00003337">
        <w:t xml:space="preserve"> </w:t>
      </w:r>
      <w:r w:rsidRPr="006F2D88">
        <w:t>–</w:t>
      </w:r>
      <w:r w:rsidR="00003337">
        <w:t xml:space="preserve"> </w:t>
      </w:r>
      <w:r w:rsidRPr="006F2D88">
        <w:t xml:space="preserve">apliecina </w:t>
      </w:r>
      <w:r w:rsidR="00DD0771">
        <w:t>n</w:t>
      </w:r>
      <w:r w:rsidRPr="006F2D88">
        <w:t>oteikumu Nr.</w:t>
      </w:r>
      <w:r w:rsidR="00A91FE5">
        <w:t> </w:t>
      </w:r>
      <w:r w:rsidRPr="006F2D88">
        <w:t>309 3.pielikumā norādītais, ka arī pēc patvaļīgas koka ciršanas persona var pamatot to, ka koks, piemēram, bojā ēku, inženierkomunikācijas vai traucē to darbību</w:t>
      </w:r>
      <w:r w:rsidR="00EE5E65">
        <w:t xml:space="preserve"> tāpat kā tas būtu, ja persona vēlētos saņemt atļauju koka nociršanai</w:t>
      </w:r>
      <w:r w:rsidRPr="006F2D88">
        <w:t>. Augstākais koeficients piemērojams tikai tad, ja</w:t>
      </w:r>
      <w:r w:rsidR="00003337">
        <w:t xml:space="preserve"> </w:t>
      </w:r>
      <w:r w:rsidRPr="006F2D88">
        <w:t xml:space="preserve">nav iespējams noteikt koka nociršanas iemeslu. Tātad regulējums vienādi attiecas </w:t>
      </w:r>
      <w:r w:rsidR="00003337">
        <w:t xml:space="preserve">kā </w:t>
      </w:r>
      <w:r w:rsidRPr="006F2D88">
        <w:t>pret saskaņoti</w:t>
      </w:r>
      <w:r w:rsidR="00003337">
        <w:t xml:space="preserve">, tā pret </w:t>
      </w:r>
      <w:r w:rsidRPr="006F2D88">
        <w:t>patvaļīgi nocirstiem kokiem</w:t>
      </w:r>
      <w:r>
        <w:t>.</w:t>
      </w:r>
      <w:r w:rsidR="00EE5E65">
        <w:t xml:space="preserve"> </w:t>
      </w:r>
      <w:r w:rsidR="00934A18">
        <w:t>Līdz ar to nav pamatoti arī kasācijas sūdzības argumenti, kas izriet no pieteicējas uzskata par atlīdzinājuma sodošo raksturu, piemēram, par nepieciešamību lietā ievērot kriminālprocesuālajās tiesībās atzītos principus un procesuālās garantijas.</w:t>
      </w:r>
    </w:p>
    <w:p w14:paraId="07000D0A" w14:textId="77777777" w:rsidR="00D15F29" w:rsidRDefault="00D15F29" w:rsidP="00E57113">
      <w:pPr>
        <w:shd w:val="clear" w:color="auto" w:fill="FFFFFF"/>
        <w:spacing w:line="276" w:lineRule="auto"/>
        <w:ind w:firstLine="567"/>
        <w:jc w:val="both"/>
      </w:pPr>
    </w:p>
    <w:p w14:paraId="2800E418" w14:textId="77777777" w:rsidR="00A95FEC" w:rsidRDefault="00EE5E65" w:rsidP="00E57113">
      <w:pPr>
        <w:pStyle w:val="Style1"/>
      </w:pPr>
      <w:r>
        <w:t>[</w:t>
      </w:r>
      <w:r w:rsidR="00E957A2">
        <w:t>20</w:t>
      </w:r>
      <w:r>
        <w:t>] </w:t>
      </w:r>
      <w:r w:rsidR="00884F1C" w:rsidRPr="006E32DC">
        <w:t xml:space="preserve">Rezumējot, Senāts atzīst, ka </w:t>
      </w:r>
      <w:r w:rsidR="0006164F">
        <w:t>a</w:t>
      </w:r>
      <w:r w:rsidR="00AD4549">
        <w:t xml:space="preserve">pgabaltiesas </w:t>
      </w:r>
      <w:r w:rsidR="00CB6D47">
        <w:t xml:space="preserve">spriedums </w:t>
      </w:r>
      <w:r>
        <w:t>ir atceļams</w:t>
      </w:r>
      <w:r w:rsidR="00A95FEC">
        <w:t xml:space="preserve">, jo </w:t>
      </w:r>
      <w:r w:rsidR="0006164F">
        <w:t>a</w:t>
      </w:r>
      <w:r w:rsidR="00A95FEC" w:rsidRPr="00A95FEC">
        <w:t>pgabaltiesa</w:t>
      </w:r>
      <w:r>
        <w:t xml:space="preserve"> </w:t>
      </w:r>
      <w:r w:rsidR="008B5486">
        <w:t xml:space="preserve">nav pietiekami ievērojusi </w:t>
      </w:r>
      <w:r w:rsidR="00A95FEC" w:rsidRPr="00A95FEC">
        <w:t>procesuāl</w:t>
      </w:r>
      <w:r w:rsidR="00CB6D47">
        <w:t>o</w:t>
      </w:r>
      <w:r w:rsidR="00A95FEC" w:rsidRPr="00A95FEC">
        <w:t xml:space="preserve"> tiesību</w:t>
      </w:r>
      <w:r w:rsidR="00CD6127">
        <w:t xml:space="preserve"> </w:t>
      </w:r>
      <w:r w:rsidR="00A95FEC" w:rsidRPr="00A95FEC">
        <w:t>normas</w:t>
      </w:r>
      <w:r w:rsidR="00CD6127">
        <w:t>.</w:t>
      </w:r>
      <w:r w:rsidR="00F9654D">
        <w:t xml:space="preserve"> </w:t>
      </w:r>
      <w:r w:rsidR="00F9654D" w:rsidRPr="00201749">
        <w:t>Apgabaltiesai, ievērojot šajā spriedumā norādīto, ir jāizvērtē</w:t>
      </w:r>
      <w:r w:rsidR="0050189D" w:rsidRPr="00201749">
        <w:t xml:space="preserve">, vai </w:t>
      </w:r>
      <w:r w:rsidR="00501A07" w:rsidRPr="00201749">
        <w:t xml:space="preserve">konkrētajā gadījumā iestādes lēmumā </w:t>
      </w:r>
      <w:r w:rsidR="0050189D" w:rsidRPr="00201749">
        <w:t>ir ievērots pamatošanas princips</w:t>
      </w:r>
      <w:r w:rsidR="00501A07" w:rsidRPr="00201749">
        <w:t>, proti, vai lēmumā ir pietiekami atklāti fakti, galvenie pierādīšanas līdzekļi un iestādes motīvi, un jāizvērtē pieteicējas argument</w:t>
      </w:r>
      <w:r w:rsidR="008964E4" w:rsidRPr="00201749">
        <w:t>s</w:t>
      </w:r>
      <w:r w:rsidR="00501A07" w:rsidRPr="00201749">
        <w:t xml:space="preserve"> par to, ka </w:t>
      </w:r>
      <w:r w:rsidR="00F9654D" w:rsidRPr="00201749">
        <w:t xml:space="preserve">nocirsto koku uzmērīšanas process ir bijis tāds, kas radījis patvaļas risku. Tāpat apgabaltiesai jāizvērtē un </w:t>
      </w:r>
      <w:r w:rsidR="008964E4" w:rsidRPr="00201749">
        <w:t>motivēti</w:t>
      </w:r>
      <w:r w:rsidR="00501A07" w:rsidRPr="00201749">
        <w:t xml:space="preserve"> </w:t>
      </w:r>
      <w:r w:rsidR="00F9654D" w:rsidRPr="00201749">
        <w:t xml:space="preserve">jāatbild uz pieteicējas argumentiem par pierādījumu trūkumiem, turklāt visi jau esošie pierādījumi vai </w:t>
      </w:r>
      <w:r w:rsidR="00501A07" w:rsidRPr="00201749">
        <w:t>papildus</w:t>
      </w:r>
      <w:r w:rsidR="00F9654D" w:rsidRPr="00201749">
        <w:t xml:space="preserve"> iegūstamie jā</w:t>
      </w:r>
      <w:r w:rsidR="00501A07" w:rsidRPr="00201749">
        <w:t>iz</w:t>
      </w:r>
      <w:r w:rsidR="00F9654D" w:rsidRPr="00201749">
        <w:t xml:space="preserve">vērtē savstarpējā kopsakarā, </w:t>
      </w:r>
      <w:r w:rsidR="00501A07" w:rsidRPr="00201749">
        <w:t xml:space="preserve">ņemot vērā </w:t>
      </w:r>
      <w:r w:rsidR="00F9654D" w:rsidRPr="00201749">
        <w:t>arī procesa dalībnieku, tostarp pieteicējas</w:t>
      </w:r>
      <w:r w:rsidR="008964E4" w:rsidRPr="00201749">
        <w:t>,</w:t>
      </w:r>
      <w:r w:rsidR="00F9654D" w:rsidRPr="00201749">
        <w:t xml:space="preserve"> rīcību pierādījumu saglabāšanā un iebildumu raksturu.</w:t>
      </w:r>
      <w:r w:rsidR="00F9654D">
        <w:t xml:space="preserve"> </w:t>
      </w:r>
    </w:p>
    <w:p w14:paraId="453B2DAE" w14:textId="77777777" w:rsidR="000C0242" w:rsidRDefault="000C0242" w:rsidP="00E57113">
      <w:pPr>
        <w:shd w:val="clear" w:color="auto" w:fill="FFFFFF"/>
        <w:spacing w:line="276" w:lineRule="auto"/>
        <w:ind w:firstLine="567"/>
        <w:jc w:val="both"/>
      </w:pPr>
    </w:p>
    <w:p w14:paraId="0A545890" w14:textId="77777777" w:rsidR="00884F1C" w:rsidRPr="00274284" w:rsidRDefault="00884F1C" w:rsidP="00E57113">
      <w:pPr>
        <w:pStyle w:val="ATvirsraksts"/>
      </w:pPr>
      <w:r w:rsidRPr="00274284">
        <w:t>Rezolutīvā daļa</w:t>
      </w:r>
    </w:p>
    <w:p w14:paraId="60D63273" w14:textId="77777777" w:rsidR="00884F1C" w:rsidRPr="00274284" w:rsidRDefault="00884F1C" w:rsidP="00E57113">
      <w:pPr>
        <w:spacing w:line="276" w:lineRule="auto"/>
        <w:ind w:firstLine="567"/>
        <w:jc w:val="both"/>
        <w:rPr>
          <w:noProof/>
        </w:rPr>
      </w:pPr>
    </w:p>
    <w:p w14:paraId="145A5114" w14:textId="77777777" w:rsidR="00884F1C" w:rsidRPr="001B05C8" w:rsidRDefault="00884F1C" w:rsidP="00E57113">
      <w:pPr>
        <w:pStyle w:val="Style1"/>
      </w:pPr>
      <w:r w:rsidRPr="001425B4">
        <w:t>Pamatojoties uz Administratīvā procesa likuma</w:t>
      </w:r>
      <w:r w:rsidR="005F0811" w:rsidRPr="001425B4">
        <w:t xml:space="preserve"> </w:t>
      </w:r>
      <w:r w:rsidR="00003337" w:rsidRPr="001425B4">
        <w:t>129.</w:t>
      </w:r>
      <w:r w:rsidR="00003337" w:rsidRPr="001425B4">
        <w:rPr>
          <w:vertAlign w:val="superscript"/>
        </w:rPr>
        <w:t>1</w:t>
      </w:r>
      <w:r w:rsidR="00003337" w:rsidRPr="001425B4">
        <w:t>panta pirmās daļas 1.punktu</w:t>
      </w:r>
      <w:r w:rsidR="00003337">
        <w:t xml:space="preserve">, </w:t>
      </w:r>
      <w:r w:rsidRPr="001425B4">
        <w:t xml:space="preserve">348.panta pirmās daļas </w:t>
      </w:r>
      <w:r w:rsidR="002E2B1A" w:rsidRPr="001425B4">
        <w:t>2</w:t>
      </w:r>
      <w:r w:rsidRPr="001425B4">
        <w:t>.</w:t>
      </w:r>
      <w:r w:rsidR="0079726B" w:rsidRPr="001425B4">
        <w:t>punktu</w:t>
      </w:r>
      <w:r w:rsidRPr="001425B4">
        <w:t xml:space="preserve"> </w:t>
      </w:r>
      <w:r w:rsidR="002E2B1A" w:rsidRPr="001425B4">
        <w:t>un 351.pantu</w:t>
      </w:r>
      <w:r w:rsidRPr="001425B4">
        <w:t>, Senāts</w:t>
      </w:r>
    </w:p>
    <w:p w14:paraId="67E523EF" w14:textId="77777777" w:rsidR="00E06A9A" w:rsidRDefault="00E06A9A" w:rsidP="00E57113">
      <w:pPr>
        <w:keepNext/>
        <w:spacing w:line="276" w:lineRule="auto"/>
        <w:jc w:val="center"/>
        <w:rPr>
          <w:b/>
        </w:rPr>
      </w:pPr>
    </w:p>
    <w:p w14:paraId="5CA08674" w14:textId="77777777" w:rsidR="00884F1C" w:rsidRPr="00621917" w:rsidRDefault="00884F1C" w:rsidP="00E57113">
      <w:pPr>
        <w:keepNext/>
        <w:spacing w:line="276" w:lineRule="auto"/>
        <w:jc w:val="center"/>
        <w:rPr>
          <w:b/>
        </w:rPr>
      </w:pPr>
      <w:r w:rsidRPr="00621917">
        <w:rPr>
          <w:b/>
        </w:rPr>
        <w:t>nosprieda</w:t>
      </w:r>
    </w:p>
    <w:p w14:paraId="1552E8EF" w14:textId="77777777" w:rsidR="00884F1C" w:rsidRPr="001F7C4C" w:rsidRDefault="00884F1C" w:rsidP="00E57113">
      <w:pPr>
        <w:keepNext/>
        <w:spacing w:line="276" w:lineRule="auto"/>
        <w:jc w:val="center"/>
        <w:rPr>
          <w:b/>
          <w:highlight w:val="yellow"/>
        </w:rPr>
      </w:pPr>
    </w:p>
    <w:p w14:paraId="28BED5AB" w14:textId="77777777" w:rsidR="00884F1C" w:rsidRDefault="00884F1C" w:rsidP="00E57113">
      <w:pPr>
        <w:pStyle w:val="Style1"/>
      </w:pPr>
      <w:r w:rsidRPr="007C1EE6">
        <w:rPr>
          <w:color w:val="000000"/>
        </w:rPr>
        <w:t>at</w:t>
      </w:r>
      <w:r w:rsidR="002E2B1A">
        <w:rPr>
          <w:color w:val="000000"/>
        </w:rPr>
        <w:t>celt</w:t>
      </w:r>
      <w:r w:rsidRPr="007C1EE6">
        <w:rPr>
          <w:color w:val="000000"/>
        </w:rPr>
        <w:t xml:space="preserve"> </w:t>
      </w:r>
      <w:r w:rsidR="0017259D" w:rsidRPr="00891001">
        <w:t xml:space="preserve">Administratīvās </w:t>
      </w:r>
      <w:r w:rsidR="0017259D">
        <w:t>apgabaltiesas</w:t>
      </w:r>
      <w:r w:rsidR="0017259D" w:rsidRPr="00891001">
        <w:t xml:space="preserve"> </w:t>
      </w:r>
      <w:r w:rsidR="002E2B1A" w:rsidRPr="002E2B1A">
        <w:t>2024.gada 15.jūlij</w:t>
      </w:r>
      <w:r w:rsidR="002E2B1A">
        <w:t xml:space="preserve">a </w:t>
      </w:r>
      <w:r w:rsidR="0095279F" w:rsidRPr="00891001">
        <w:t>spriedumu</w:t>
      </w:r>
      <w:r w:rsidR="002E2B1A">
        <w:t xml:space="preserve"> </w:t>
      </w:r>
      <w:r w:rsidR="008B5486">
        <w:t>un nosūtīt lietu jaunai izskatīšanai Administratīvajai apgabaltiesai</w:t>
      </w:r>
      <w:r w:rsidR="002E2B1A">
        <w:t>;</w:t>
      </w:r>
    </w:p>
    <w:p w14:paraId="3C17C77B" w14:textId="77777777" w:rsidR="00A94FA5" w:rsidRPr="00B22A50" w:rsidRDefault="002E2B1A" w:rsidP="00E57113">
      <w:pPr>
        <w:pStyle w:val="Style1"/>
        <w:rPr>
          <w:iCs/>
        </w:rPr>
      </w:pPr>
      <w:r w:rsidRPr="009A6923">
        <w:t xml:space="preserve">atmaksāt </w:t>
      </w:r>
      <w:r w:rsidRPr="00E4766C">
        <w:t>SIA</w:t>
      </w:r>
      <w:r w:rsidR="00FC2206">
        <w:t> </w:t>
      </w:r>
      <w:r>
        <w:t>„</w:t>
      </w:r>
      <w:r w:rsidRPr="00E4766C">
        <w:t>Kurzemes zemes fonds</w:t>
      </w:r>
      <w:r>
        <w:t xml:space="preserve">” </w:t>
      </w:r>
      <w:r w:rsidRPr="009A6923">
        <w:t>drošības naudu 70 </w:t>
      </w:r>
      <w:r w:rsidRPr="009A6923">
        <w:rPr>
          <w:i/>
        </w:rPr>
        <w:t>euro</w:t>
      </w:r>
      <w:r w:rsidR="00B22A50">
        <w:rPr>
          <w:iCs/>
        </w:rPr>
        <w:t>.</w:t>
      </w:r>
    </w:p>
    <w:p w14:paraId="774C82A9" w14:textId="77777777" w:rsidR="002E2B1A" w:rsidRDefault="002E2B1A" w:rsidP="00E57113">
      <w:pPr>
        <w:pStyle w:val="Style1"/>
      </w:pPr>
    </w:p>
    <w:p w14:paraId="502F24D1" w14:textId="772F5382" w:rsidR="008A17B2" w:rsidRPr="00E57113" w:rsidRDefault="00A94FA5" w:rsidP="00E57113">
      <w:pPr>
        <w:pStyle w:val="Style1"/>
      </w:pPr>
      <w:r>
        <w:t>Spriedums nav pārsūdzams.</w:t>
      </w:r>
      <w:bookmarkEnd w:id="0"/>
    </w:p>
    <w:sectPr w:rsidR="008A17B2" w:rsidRPr="00E57113" w:rsidSect="00187A49">
      <w:footerReference w:type="default" r:id="rId3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A5A0" w14:textId="77777777" w:rsidR="00BA16FF" w:rsidRDefault="00BA16FF">
      <w:r>
        <w:separator/>
      </w:r>
    </w:p>
  </w:endnote>
  <w:endnote w:type="continuationSeparator" w:id="0">
    <w:p w14:paraId="4E9B0112" w14:textId="77777777" w:rsidR="00BA16FF" w:rsidRDefault="00BA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DB8D" w14:textId="2E1288D3" w:rsidR="00191863" w:rsidRPr="001B05C8" w:rsidRDefault="007012DC">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BA16FF">
      <w:rPr>
        <w:rStyle w:val="PageNumber"/>
        <w:noProof/>
        <w:sz w:val="20"/>
        <w:szCs w:val="20"/>
      </w:rPr>
      <w:t>1</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C1CF" w14:textId="77777777" w:rsidR="00BA16FF" w:rsidRDefault="00BA16FF">
      <w:r>
        <w:separator/>
      </w:r>
    </w:p>
  </w:footnote>
  <w:footnote w:type="continuationSeparator" w:id="0">
    <w:p w14:paraId="621739D1" w14:textId="77777777" w:rsidR="00BA16FF" w:rsidRDefault="00BA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B1EE9"/>
    <w:multiLevelType w:val="hybridMultilevel"/>
    <w:tmpl w:val="0600AF14"/>
    <w:lvl w:ilvl="0" w:tplc="0C80ECF2">
      <w:start w:val="1"/>
      <w:numFmt w:val="decimal"/>
      <w:lvlText w:val="%1)"/>
      <w:lvlJc w:val="left"/>
      <w:pPr>
        <w:ind w:left="720" w:hanging="360"/>
      </w:pPr>
    </w:lvl>
    <w:lvl w:ilvl="1" w:tplc="99BE86DE">
      <w:start w:val="1"/>
      <w:numFmt w:val="decimal"/>
      <w:lvlText w:val="%2)"/>
      <w:lvlJc w:val="left"/>
      <w:pPr>
        <w:ind w:left="720" w:hanging="360"/>
      </w:pPr>
    </w:lvl>
    <w:lvl w:ilvl="2" w:tplc="5B16F502">
      <w:start w:val="1"/>
      <w:numFmt w:val="decimal"/>
      <w:lvlText w:val="%3)"/>
      <w:lvlJc w:val="left"/>
      <w:pPr>
        <w:ind w:left="720" w:hanging="360"/>
      </w:pPr>
    </w:lvl>
    <w:lvl w:ilvl="3" w:tplc="EF68FA12">
      <w:start w:val="1"/>
      <w:numFmt w:val="decimal"/>
      <w:lvlText w:val="%4)"/>
      <w:lvlJc w:val="left"/>
      <w:pPr>
        <w:ind w:left="720" w:hanging="360"/>
      </w:pPr>
    </w:lvl>
    <w:lvl w:ilvl="4" w:tplc="05E6ACE6">
      <w:start w:val="1"/>
      <w:numFmt w:val="decimal"/>
      <w:lvlText w:val="%5)"/>
      <w:lvlJc w:val="left"/>
      <w:pPr>
        <w:ind w:left="720" w:hanging="360"/>
      </w:pPr>
    </w:lvl>
    <w:lvl w:ilvl="5" w:tplc="7AF807EA">
      <w:start w:val="1"/>
      <w:numFmt w:val="decimal"/>
      <w:lvlText w:val="%6)"/>
      <w:lvlJc w:val="left"/>
      <w:pPr>
        <w:ind w:left="720" w:hanging="360"/>
      </w:pPr>
    </w:lvl>
    <w:lvl w:ilvl="6" w:tplc="0AE4302E">
      <w:start w:val="1"/>
      <w:numFmt w:val="decimal"/>
      <w:lvlText w:val="%7)"/>
      <w:lvlJc w:val="left"/>
      <w:pPr>
        <w:ind w:left="720" w:hanging="360"/>
      </w:pPr>
    </w:lvl>
    <w:lvl w:ilvl="7" w:tplc="DC320EE8">
      <w:start w:val="1"/>
      <w:numFmt w:val="decimal"/>
      <w:lvlText w:val="%8)"/>
      <w:lvlJc w:val="left"/>
      <w:pPr>
        <w:ind w:left="720" w:hanging="360"/>
      </w:pPr>
    </w:lvl>
    <w:lvl w:ilvl="8" w:tplc="1E40BD56">
      <w:start w:val="1"/>
      <w:numFmt w:val="decimal"/>
      <w:lvlText w:val="%9)"/>
      <w:lvlJc w:val="left"/>
      <w:pPr>
        <w:ind w:left="720" w:hanging="360"/>
      </w:pPr>
    </w:lvl>
  </w:abstractNum>
  <w:abstractNum w:abstractNumId="2" w15:restartNumberingAfterBreak="0">
    <w:nsid w:val="1B1B02E6"/>
    <w:multiLevelType w:val="hybridMultilevel"/>
    <w:tmpl w:val="9E186EC8"/>
    <w:lvl w:ilvl="0" w:tplc="8966765C">
      <w:start w:val="1"/>
      <w:numFmt w:val="decimal"/>
      <w:lvlText w:val="%1)"/>
      <w:lvlJc w:val="left"/>
      <w:pPr>
        <w:ind w:left="720" w:hanging="360"/>
      </w:pPr>
    </w:lvl>
    <w:lvl w:ilvl="1" w:tplc="44140124">
      <w:start w:val="1"/>
      <w:numFmt w:val="decimal"/>
      <w:lvlText w:val="%2)"/>
      <w:lvlJc w:val="left"/>
      <w:pPr>
        <w:ind w:left="720" w:hanging="360"/>
      </w:pPr>
    </w:lvl>
    <w:lvl w:ilvl="2" w:tplc="36829C92">
      <w:start w:val="1"/>
      <w:numFmt w:val="decimal"/>
      <w:lvlText w:val="%3)"/>
      <w:lvlJc w:val="left"/>
      <w:pPr>
        <w:ind w:left="720" w:hanging="360"/>
      </w:pPr>
    </w:lvl>
    <w:lvl w:ilvl="3" w:tplc="36F25C0E">
      <w:start w:val="1"/>
      <w:numFmt w:val="decimal"/>
      <w:lvlText w:val="%4)"/>
      <w:lvlJc w:val="left"/>
      <w:pPr>
        <w:ind w:left="720" w:hanging="360"/>
      </w:pPr>
    </w:lvl>
    <w:lvl w:ilvl="4" w:tplc="22102DF2">
      <w:start w:val="1"/>
      <w:numFmt w:val="decimal"/>
      <w:lvlText w:val="%5)"/>
      <w:lvlJc w:val="left"/>
      <w:pPr>
        <w:ind w:left="720" w:hanging="360"/>
      </w:pPr>
    </w:lvl>
    <w:lvl w:ilvl="5" w:tplc="086A22FE">
      <w:start w:val="1"/>
      <w:numFmt w:val="decimal"/>
      <w:lvlText w:val="%6)"/>
      <w:lvlJc w:val="left"/>
      <w:pPr>
        <w:ind w:left="720" w:hanging="360"/>
      </w:pPr>
    </w:lvl>
    <w:lvl w:ilvl="6" w:tplc="D31C5B4E">
      <w:start w:val="1"/>
      <w:numFmt w:val="decimal"/>
      <w:lvlText w:val="%7)"/>
      <w:lvlJc w:val="left"/>
      <w:pPr>
        <w:ind w:left="720" w:hanging="360"/>
      </w:pPr>
    </w:lvl>
    <w:lvl w:ilvl="7" w:tplc="45229D7C">
      <w:start w:val="1"/>
      <w:numFmt w:val="decimal"/>
      <w:lvlText w:val="%8)"/>
      <w:lvlJc w:val="left"/>
      <w:pPr>
        <w:ind w:left="720" w:hanging="360"/>
      </w:pPr>
    </w:lvl>
    <w:lvl w:ilvl="8" w:tplc="1486D2D0">
      <w:start w:val="1"/>
      <w:numFmt w:val="decimal"/>
      <w:lvlText w:val="%9)"/>
      <w:lvlJc w:val="left"/>
      <w:pPr>
        <w:ind w:left="720" w:hanging="360"/>
      </w:pPr>
    </w:lvl>
  </w:abstractNum>
  <w:abstractNum w:abstractNumId="3" w15:restartNumberingAfterBreak="0">
    <w:nsid w:val="31153C08"/>
    <w:multiLevelType w:val="hybridMultilevel"/>
    <w:tmpl w:val="8FEA6AA8"/>
    <w:lvl w:ilvl="0" w:tplc="113C9D2E">
      <w:start w:val="1"/>
      <w:numFmt w:val="decimal"/>
      <w:lvlText w:val="%1)"/>
      <w:lvlJc w:val="left"/>
      <w:pPr>
        <w:ind w:left="1020" w:hanging="360"/>
      </w:pPr>
    </w:lvl>
    <w:lvl w:ilvl="1" w:tplc="7B20068E">
      <w:start w:val="1"/>
      <w:numFmt w:val="decimal"/>
      <w:lvlText w:val="%2)"/>
      <w:lvlJc w:val="left"/>
      <w:pPr>
        <w:ind w:left="1020" w:hanging="360"/>
      </w:pPr>
    </w:lvl>
    <w:lvl w:ilvl="2" w:tplc="EB9EAD24">
      <w:start w:val="1"/>
      <w:numFmt w:val="decimal"/>
      <w:lvlText w:val="%3)"/>
      <w:lvlJc w:val="left"/>
      <w:pPr>
        <w:ind w:left="1020" w:hanging="360"/>
      </w:pPr>
    </w:lvl>
    <w:lvl w:ilvl="3" w:tplc="C25E080E">
      <w:start w:val="1"/>
      <w:numFmt w:val="decimal"/>
      <w:lvlText w:val="%4)"/>
      <w:lvlJc w:val="left"/>
      <w:pPr>
        <w:ind w:left="1020" w:hanging="360"/>
      </w:pPr>
    </w:lvl>
    <w:lvl w:ilvl="4" w:tplc="53AE999C">
      <w:start w:val="1"/>
      <w:numFmt w:val="decimal"/>
      <w:lvlText w:val="%5)"/>
      <w:lvlJc w:val="left"/>
      <w:pPr>
        <w:ind w:left="1020" w:hanging="360"/>
      </w:pPr>
    </w:lvl>
    <w:lvl w:ilvl="5" w:tplc="63B0E2DC">
      <w:start w:val="1"/>
      <w:numFmt w:val="decimal"/>
      <w:lvlText w:val="%6)"/>
      <w:lvlJc w:val="left"/>
      <w:pPr>
        <w:ind w:left="1020" w:hanging="360"/>
      </w:pPr>
    </w:lvl>
    <w:lvl w:ilvl="6" w:tplc="A6AA74CA">
      <w:start w:val="1"/>
      <w:numFmt w:val="decimal"/>
      <w:lvlText w:val="%7)"/>
      <w:lvlJc w:val="left"/>
      <w:pPr>
        <w:ind w:left="1020" w:hanging="360"/>
      </w:pPr>
    </w:lvl>
    <w:lvl w:ilvl="7" w:tplc="C456D04C">
      <w:start w:val="1"/>
      <w:numFmt w:val="decimal"/>
      <w:lvlText w:val="%8)"/>
      <w:lvlJc w:val="left"/>
      <w:pPr>
        <w:ind w:left="1020" w:hanging="360"/>
      </w:pPr>
    </w:lvl>
    <w:lvl w:ilvl="8" w:tplc="9E78FF78">
      <w:start w:val="1"/>
      <w:numFmt w:val="decimal"/>
      <w:lvlText w:val="%9)"/>
      <w:lvlJc w:val="left"/>
      <w:pPr>
        <w:ind w:left="1020" w:hanging="360"/>
      </w:pPr>
    </w:lvl>
  </w:abstractNum>
  <w:abstractNum w:abstractNumId="4" w15:restartNumberingAfterBreak="0">
    <w:nsid w:val="795212EA"/>
    <w:multiLevelType w:val="hybridMultilevel"/>
    <w:tmpl w:val="9B9631B0"/>
    <w:lvl w:ilvl="0" w:tplc="A35A468E">
      <w:start w:val="1"/>
      <w:numFmt w:val="decimal"/>
      <w:lvlText w:val="%1)"/>
      <w:lvlJc w:val="left"/>
      <w:pPr>
        <w:ind w:left="720" w:hanging="360"/>
      </w:pPr>
    </w:lvl>
    <w:lvl w:ilvl="1" w:tplc="090E9AB0">
      <w:start w:val="1"/>
      <w:numFmt w:val="decimal"/>
      <w:lvlText w:val="%2)"/>
      <w:lvlJc w:val="left"/>
      <w:pPr>
        <w:ind w:left="720" w:hanging="360"/>
      </w:pPr>
    </w:lvl>
    <w:lvl w:ilvl="2" w:tplc="F7483E3A">
      <w:start w:val="1"/>
      <w:numFmt w:val="decimal"/>
      <w:lvlText w:val="%3)"/>
      <w:lvlJc w:val="left"/>
      <w:pPr>
        <w:ind w:left="720" w:hanging="360"/>
      </w:pPr>
    </w:lvl>
    <w:lvl w:ilvl="3" w:tplc="B7884A7A">
      <w:start w:val="1"/>
      <w:numFmt w:val="decimal"/>
      <w:lvlText w:val="%4)"/>
      <w:lvlJc w:val="left"/>
      <w:pPr>
        <w:ind w:left="720" w:hanging="360"/>
      </w:pPr>
    </w:lvl>
    <w:lvl w:ilvl="4" w:tplc="A01E36C6">
      <w:start w:val="1"/>
      <w:numFmt w:val="decimal"/>
      <w:lvlText w:val="%5)"/>
      <w:lvlJc w:val="left"/>
      <w:pPr>
        <w:ind w:left="720" w:hanging="360"/>
      </w:pPr>
    </w:lvl>
    <w:lvl w:ilvl="5" w:tplc="AFDC3A46">
      <w:start w:val="1"/>
      <w:numFmt w:val="decimal"/>
      <w:lvlText w:val="%6)"/>
      <w:lvlJc w:val="left"/>
      <w:pPr>
        <w:ind w:left="720" w:hanging="360"/>
      </w:pPr>
    </w:lvl>
    <w:lvl w:ilvl="6" w:tplc="DFC2A7AC">
      <w:start w:val="1"/>
      <w:numFmt w:val="decimal"/>
      <w:lvlText w:val="%7)"/>
      <w:lvlJc w:val="left"/>
      <w:pPr>
        <w:ind w:left="720" w:hanging="360"/>
      </w:pPr>
    </w:lvl>
    <w:lvl w:ilvl="7" w:tplc="FDE0FE40">
      <w:start w:val="1"/>
      <w:numFmt w:val="decimal"/>
      <w:lvlText w:val="%8)"/>
      <w:lvlJc w:val="left"/>
      <w:pPr>
        <w:ind w:left="720" w:hanging="360"/>
      </w:pPr>
    </w:lvl>
    <w:lvl w:ilvl="8" w:tplc="9936517A">
      <w:start w:val="1"/>
      <w:numFmt w:val="decimal"/>
      <w:lvlText w:val="%9)"/>
      <w:lvlJc w:val="left"/>
      <w:pPr>
        <w:ind w:left="720" w:hanging="360"/>
      </w:pPr>
    </w:lvl>
  </w:abstractNum>
  <w:num w:numId="1" w16cid:durableId="685253095">
    <w:abstractNumId w:val="0"/>
  </w:num>
  <w:num w:numId="2" w16cid:durableId="1372534730">
    <w:abstractNumId w:val="3"/>
  </w:num>
  <w:num w:numId="3" w16cid:durableId="290870639">
    <w:abstractNumId w:val="1"/>
  </w:num>
  <w:num w:numId="4" w16cid:durableId="1367098482">
    <w:abstractNumId w:val="2"/>
  </w:num>
  <w:num w:numId="5" w16cid:durableId="371273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1C"/>
    <w:rsid w:val="0000055B"/>
    <w:rsid w:val="00001040"/>
    <w:rsid w:val="00001469"/>
    <w:rsid w:val="00001EEE"/>
    <w:rsid w:val="00002E82"/>
    <w:rsid w:val="00003337"/>
    <w:rsid w:val="00004140"/>
    <w:rsid w:val="00005CE6"/>
    <w:rsid w:val="000079C5"/>
    <w:rsid w:val="00007AAC"/>
    <w:rsid w:val="00007DF1"/>
    <w:rsid w:val="00011DFA"/>
    <w:rsid w:val="000131D9"/>
    <w:rsid w:val="00015952"/>
    <w:rsid w:val="00015C86"/>
    <w:rsid w:val="00017826"/>
    <w:rsid w:val="00021093"/>
    <w:rsid w:val="000218AB"/>
    <w:rsid w:val="00023994"/>
    <w:rsid w:val="00024736"/>
    <w:rsid w:val="00024D53"/>
    <w:rsid w:val="00025945"/>
    <w:rsid w:val="00025C19"/>
    <w:rsid w:val="00031776"/>
    <w:rsid w:val="0003222A"/>
    <w:rsid w:val="00032491"/>
    <w:rsid w:val="00032C9F"/>
    <w:rsid w:val="0003586D"/>
    <w:rsid w:val="00036CD8"/>
    <w:rsid w:val="0003700B"/>
    <w:rsid w:val="00045BA9"/>
    <w:rsid w:val="000476BC"/>
    <w:rsid w:val="000564FB"/>
    <w:rsid w:val="00056BFB"/>
    <w:rsid w:val="00060319"/>
    <w:rsid w:val="0006164F"/>
    <w:rsid w:val="00061F48"/>
    <w:rsid w:val="0006223E"/>
    <w:rsid w:val="00063395"/>
    <w:rsid w:val="0006461A"/>
    <w:rsid w:val="00067223"/>
    <w:rsid w:val="00073E7D"/>
    <w:rsid w:val="00075D75"/>
    <w:rsid w:val="000824CE"/>
    <w:rsid w:val="00084138"/>
    <w:rsid w:val="00084E46"/>
    <w:rsid w:val="00085CA5"/>
    <w:rsid w:val="00085D7B"/>
    <w:rsid w:val="0009119A"/>
    <w:rsid w:val="00092F63"/>
    <w:rsid w:val="00093ECF"/>
    <w:rsid w:val="000946FD"/>
    <w:rsid w:val="00094E81"/>
    <w:rsid w:val="000963BF"/>
    <w:rsid w:val="00096E74"/>
    <w:rsid w:val="00097517"/>
    <w:rsid w:val="000A0A5F"/>
    <w:rsid w:val="000A0ECB"/>
    <w:rsid w:val="000A1E78"/>
    <w:rsid w:val="000A2494"/>
    <w:rsid w:val="000A2CAB"/>
    <w:rsid w:val="000A4545"/>
    <w:rsid w:val="000A569E"/>
    <w:rsid w:val="000A6B26"/>
    <w:rsid w:val="000B0976"/>
    <w:rsid w:val="000B2FE1"/>
    <w:rsid w:val="000B4677"/>
    <w:rsid w:val="000B727E"/>
    <w:rsid w:val="000B74A0"/>
    <w:rsid w:val="000C0242"/>
    <w:rsid w:val="000C1D71"/>
    <w:rsid w:val="000C5310"/>
    <w:rsid w:val="000C5A32"/>
    <w:rsid w:val="000C6D4E"/>
    <w:rsid w:val="000C7558"/>
    <w:rsid w:val="000D1171"/>
    <w:rsid w:val="000D11CE"/>
    <w:rsid w:val="000D31AD"/>
    <w:rsid w:val="000D33EC"/>
    <w:rsid w:val="000D391A"/>
    <w:rsid w:val="000D4C05"/>
    <w:rsid w:val="000D54C3"/>
    <w:rsid w:val="000E2882"/>
    <w:rsid w:val="000E2B46"/>
    <w:rsid w:val="000E2D88"/>
    <w:rsid w:val="000E3244"/>
    <w:rsid w:val="000E3737"/>
    <w:rsid w:val="000E6BF1"/>
    <w:rsid w:val="000F09FA"/>
    <w:rsid w:val="000F3799"/>
    <w:rsid w:val="000F3A1A"/>
    <w:rsid w:val="000F560C"/>
    <w:rsid w:val="00100FC4"/>
    <w:rsid w:val="00101A62"/>
    <w:rsid w:val="00102CFB"/>
    <w:rsid w:val="00102D2E"/>
    <w:rsid w:val="00104135"/>
    <w:rsid w:val="00106D36"/>
    <w:rsid w:val="001073F0"/>
    <w:rsid w:val="0011013D"/>
    <w:rsid w:val="0011055A"/>
    <w:rsid w:val="00113060"/>
    <w:rsid w:val="001150E0"/>
    <w:rsid w:val="00115722"/>
    <w:rsid w:val="00115B4B"/>
    <w:rsid w:val="001173E7"/>
    <w:rsid w:val="00120225"/>
    <w:rsid w:val="0012075B"/>
    <w:rsid w:val="00121BEC"/>
    <w:rsid w:val="0012244E"/>
    <w:rsid w:val="001235E1"/>
    <w:rsid w:val="0012404F"/>
    <w:rsid w:val="001250B9"/>
    <w:rsid w:val="00125112"/>
    <w:rsid w:val="00125C9A"/>
    <w:rsid w:val="001263DD"/>
    <w:rsid w:val="0012729D"/>
    <w:rsid w:val="00131E16"/>
    <w:rsid w:val="00132542"/>
    <w:rsid w:val="00133298"/>
    <w:rsid w:val="0013349C"/>
    <w:rsid w:val="001335D4"/>
    <w:rsid w:val="0013396E"/>
    <w:rsid w:val="00134F0B"/>
    <w:rsid w:val="001355A7"/>
    <w:rsid w:val="00135953"/>
    <w:rsid w:val="0013737D"/>
    <w:rsid w:val="0014028D"/>
    <w:rsid w:val="00140B07"/>
    <w:rsid w:val="00141918"/>
    <w:rsid w:val="001425B4"/>
    <w:rsid w:val="00143AED"/>
    <w:rsid w:val="00143D5C"/>
    <w:rsid w:val="001440F0"/>
    <w:rsid w:val="001459C8"/>
    <w:rsid w:val="00150411"/>
    <w:rsid w:val="00150C23"/>
    <w:rsid w:val="001510C1"/>
    <w:rsid w:val="00151278"/>
    <w:rsid w:val="00151654"/>
    <w:rsid w:val="001529A6"/>
    <w:rsid w:val="00152CF4"/>
    <w:rsid w:val="00154463"/>
    <w:rsid w:val="00154832"/>
    <w:rsid w:val="00155FF6"/>
    <w:rsid w:val="00156153"/>
    <w:rsid w:val="00160834"/>
    <w:rsid w:val="00163981"/>
    <w:rsid w:val="00163A7C"/>
    <w:rsid w:val="00164402"/>
    <w:rsid w:val="00165AAC"/>
    <w:rsid w:val="00165C22"/>
    <w:rsid w:val="00165ECC"/>
    <w:rsid w:val="00166055"/>
    <w:rsid w:val="00166551"/>
    <w:rsid w:val="001667BB"/>
    <w:rsid w:val="001676D7"/>
    <w:rsid w:val="00167847"/>
    <w:rsid w:val="001678E3"/>
    <w:rsid w:val="00167C96"/>
    <w:rsid w:val="00170D31"/>
    <w:rsid w:val="0017259D"/>
    <w:rsid w:val="00172B11"/>
    <w:rsid w:val="001734B8"/>
    <w:rsid w:val="00181148"/>
    <w:rsid w:val="00183888"/>
    <w:rsid w:val="00183B11"/>
    <w:rsid w:val="00187A49"/>
    <w:rsid w:val="00187FE6"/>
    <w:rsid w:val="00191863"/>
    <w:rsid w:val="00191F21"/>
    <w:rsid w:val="0019478D"/>
    <w:rsid w:val="00195615"/>
    <w:rsid w:val="001957B4"/>
    <w:rsid w:val="00196F9B"/>
    <w:rsid w:val="0019796E"/>
    <w:rsid w:val="001A0692"/>
    <w:rsid w:val="001A096E"/>
    <w:rsid w:val="001A0A69"/>
    <w:rsid w:val="001A10A1"/>
    <w:rsid w:val="001A2D68"/>
    <w:rsid w:val="001A3922"/>
    <w:rsid w:val="001A3B7B"/>
    <w:rsid w:val="001A6DBC"/>
    <w:rsid w:val="001B104D"/>
    <w:rsid w:val="001B452B"/>
    <w:rsid w:val="001C1E0B"/>
    <w:rsid w:val="001C3421"/>
    <w:rsid w:val="001C5012"/>
    <w:rsid w:val="001C6803"/>
    <w:rsid w:val="001D3FF2"/>
    <w:rsid w:val="001D4E37"/>
    <w:rsid w:val="001D569B"/>
    <w:rsid w:val="001D5F7C"/>
    <w:rsid w:val="001E51F1"/>
    <w:rsid w:val="001F2ED4"/>
    <w:rsid w:val="001F5DE4"/>
    <w:rsid w:val="001F6F2C"/>
    <w:rsid w:val="00201749"/>
    <w:rsid w:val="002044E2"/>
    <w:rsid w:val="002071CE"/>
    <w:rsid w:val="00210F39"/>
    <w:rsid w:val="002111FE"/>
    <w:rsid w:val="00211A9D"/>
    <w:rsid w:val="00217757"/>
    <w:rsid w:val="0022063D"/>
    <w:rsid w:val="00220B5E"/>
    <w:rsid w:val="00226A2E"/>
    <w:rsid w:val="00227CC9"/>
    <w:rsid w:val="00230270"/>
    <w:rsid w:val="0023234D"/>
    <w:rsid w:val="00234030"/>
    <w:rsid w:val="002347C6"/>
    <w:rsid w:val="00235D1F"/>
    <w:rsid w:val="00236F92"/>
    <w:rsid w:val="0023732C"/>
    <w:rsid w:val="00240410"/>
    <w:rsid w:val="00241F99"/>
    <w:rsid w:val="0024351F"/>
    <w:rsid w:val="00243EA3"/>
    <w:rsid w:val="00243FA1"/>
    <w:rsid w:val="00245710"/>
    <w:rsid w:val="00246817"/>
    <w:rsid w:val="002520F5"/>
    <w:rsid w:val="00252566"/>
    <w:rsid w:val="00252BE1"/>
    <w:rsid w:val="002547B5"/>
    <w:rsid w:val="00257C29"/>
    <w:rsid w:val="002603E9"/>
    <w:rsid w:val="00262222"/>
    <w:rsid w:val="002636C2"/>
    <w:rsid w:val="002641B1"/>
    <w:rsid w:val="0026478D"/>
    <w:rsid w:val="00265420"/>
    <w:rsid w:val="002657FE"/>
    <w:rsid w:val="00270269"/>
    <w:rsid w:val="00271D95"/>
    <w:rsid w:val="00272BE6"/>
    <w:rsid w:val="00274AA0"/>
    <w:rsid w:val="00277662"/>
    <w:rsid w:val="0028077D"/>
    <w:rsid w:val="002816C6"/>
    <w:rsid w:val="002843B0"/>
    <w:rsid w:val="00285E15"/>
    <w:rsid w:val="0028627D"/>
    <w:rsid w:val="002907CA"/>
    <w:rsid w:val="00290B5D"/>
    <w:rsid w:val="002930B0"/>
    <w:rsid w:val="002947AD"/>
    <w:rsid w:val="002965FF"/>
    <w:rsid w:val="002A1307"/>
    <w:rsid w:val="002A32D0"/>
    <w:rsid w:val="002A5E22"/>
    <w:rsid w:val="002A6FB5"/>
    <w:rsid w:val="002B0129"/>
    <w:rsid w:val="002B46C2"/>
    <w:rsid w:val="002B47D0"/>
    <w:rsid w:val="002B50A5"/>
    <w:rsid w:val="002B5540"/>
    <w:rsid w:val="002B6448"/>
    <w:rsid w:val="002C1151"/>
    <w:rsid w:val="002C1AC0"/>
    <w:rsid w:val="002C2844"/>
    <w:rsid w:val="002C3876"/>
    <w:rsid w:val="002C4D4A"/>
    <w:rsid w:val="002C5518"/>
    <w:rsid w:val="002C55A3"/>
    <w:rsid w:val="002C625C"/>
    <w:rsid w:val="002D057F"/>
    <w:rsid w:val="002D2F93"/>
    <w:rsid w:val="002D5F90"/>
    <w:rsid w:val="002D6CBD"/>
    <w:rsid w:val="002E0992"/>
    <w:rsid w:val="002E0E36"/>
    <w:rsid w:val="002E2B1A"/>
    <w:rsid w:val="002E6F0A"/>
    <w:rsid w:val="002F0BA8"/>
    <w:rsid w:val="002F0F84"/>
    <w:rsid w:val="002F1C8A"/>
    <w:rsid w:val="002F32B8"/>
    <w:rsid w:val="002F36FC"/>
    <w:rsid w:val="002F4C5B"/>
    <w:rsid w:val="002F65D9"/>
    <w:rsid w:val="002F76DB"/>
    <w:rsid w:val="002F788A"/>
    <w:rsid w:val="00306288"/>
    <w:rsid w:val="003066C1"/>
    <w:rsid w:val="00306FE2"/>
    <w:rsid w:val="003139A2"/>
    <w:rsid w:val="0031567A"/>
    <w:rsid w:val="0032032A"/>
    <w:rsid w:val="00321F5F"/>
    <w:rsid w:val="00323EF5"/>
    <w:rsid w:val="00324A7E"/>
    <w:rsid w:val="00325D98"/>
    <w:rsid w:val="00327F71"/>
    <w:rsid w:val="00327FDA"/>
    <w:rsid w:val="00331821"/>
    <w:rsid w:val="00331F9C"/>
    <w:rsid w:val="00337F82"/>
    <w:rsid w:val="00340115"/>
    <w:rsid w:val="00341996"/>
    <w:rsid w:val="00341E27"/>
    <w:rsid w:val="003504AC"/>
    <w:rsid w:val="003509A9"/>
    <w:rsid w:val="00354003"/>
    <w:rsid w:val="003554A2"/>
    <w:rsid w:val="00355743"/>
    <w:rsid w:val="0035714F"/>
    <w:rsid w:val="00357F94"/>
    <w:rsid w:val="00361145"/>
    <w:rsid w:val="003653B8"/>
    <w:rsid w:val="00367868"/>
    <w:rsid w:val="00367F6E"/>
    <w:rsid w:val="0037079A"/>
    <w:rsid w:val="00371D23"/>
    <w:rsid w:val="00372B11"/>
    <w:rsid w:val="00372BBF"/>
    <w:rsid w:val="00373BF8"/>
    <w:rsid w:val="003778F7"/>
    <w:rsid w:val="00381C94"/>
    <w:rsid w:val="0038273B"/>
    <w:rsid w:val="003834E4"/>
    <w:rsid w:val="00383567"/>
    <w:rsid w:val="003858DD"/>
    <w:rsid w:val="0039001A"/>
    <w:rsid w:val="00390098"/>
    <w:rsid w:val="003911BD"/>
    <w:rsid w:val="00392A1B"/>
    <w:rsid w:val="0039547D"/>
    <w:rsid w:val="0039581E"/>
    <w:rsid w:val="003958BE"/>
    <w:rsid w:val="00396211"/>
    <w:rsid w:val="00397180"/>
    <w:rsid w:val="00397DE8"/>
    <w:rsid w:val="003A12CC"/>
    <w:rsid w:val="003A2B3E"/>
    <w:rsid w:val="003A382B"/>
    <w:rsid w:val="003A39A5"/>
    <w:rsid w:val="003A4C7A"/>
    <w:rsid w:val="003A7BE1"/>
    <w:rsid w:val="003B3E5A"/>
    <w:rsid w:val="003B4989"/>
    <w:rsid w:val="003B6681"/>
    <w:rsid w:val="003B6C91"/>
    <w:rsid w:val="003B7925"/>
    <w:rsid w:val="003C01EA"/>
    <w:rsid w:val="003C0287"/>
    <w:rsid w:val="003C1332"/>
    <w:rsid w:val="003D2694"/>
    <w:rsid w:val="003D2743"/>
    <w:rsid w:val="003D3112"/>
    <w:rsid w:val="003D33B3"/>
    <w:rsid w:val="003D4CB7"/>
    <w:rsid w:val="003D758F"/>
    <w:rsid w:val="003E05C7"/>
    <w:rsid w:val="003E19D5"/>
    <w:rsid w:val="003E34E8"/>
    <w:rsid w:val="003E41B1"/>
    <w:rsid w:val="003E5ADE"/>
    <w:rsid w:val="003E5DA8"/>
    <w:rsid w:val="003E6093"/>
    <w:rsid w:val="003E6923"/>
    <w:rsid w:val="003E6EFB"/>
    <w:rsid w:val="003F01DE"/>
    <w:rsid w:val="003F0251"/>
    <w:rsid w:val="003F1D75"/>
    <w:rsid w:val="003F4813"/>
    <w:rsid w:val="003F5D8F"/>
    <w:rsid w:val="003F5FCD"/>
    <w:rsid w:val="003F6AC6"/>
    <w:rsid w:val="0040025E"/>
    <w:rsid w:val="00400EB1"/>
    <w:rsid w:val="00406D17"/>
    <w:rsid w:val="00410061"/>
    <w:rsid w:val="00412E3B"/>
    <w:rsid w:val="004150CA"/>
    <w:rsid w:val="0041670A"/>
    <w:rsid w:val="00417078"/>
    <w:rsid w:val="00417E46"/>
    <w:rsid w:val="00422215"/>
    <w:rsid w:val="0042454A"/>
    <w:rsid w:val="0043196F"/>
    <w:rsid w:val="00433533"/>
    <w:rsid w:val="0043358B"/>
    <w:rsid w:val="00434CA3"/>
    <w:rsid w:val="0043561C"/>
    <w:rsid w:val="00436B38"/>
    <w:rsid w:val="00436EB5"/>
    <w:rsid w:val="00440C17"/>
    <w:rsid w:val="004421FE"/>
    <w:rsid w:val="00442E7A"/>
    <w:rsid w:val="00443EC7"/>
    <w:rsid w:val="00450241"/>
    <w:rsid w:val="00451360"/>
    <w:rsid w:val="004520BE"/>
    <w:rsid w:val="00452D25"/>
    <w:rsid w:val="00456887"/>
    <w:rsid w:val="00456A88"/>
    <w:rsid w:val="004578D6"/>
    <w:rsid w:val="00461397"/>
    <w:rsid w:val="004702BC"/>
    <w:rsid w:val="004725E1"/>
    <w:rsid w:val="00472DFB"/>
    <w:rsid w:val="00472FED"/>
    <w:rsid w:val="00473B17"/>
    <w:rsid w:val="00477FE6"/>
    <w:rsid w:val="0048102E"/>
    <w:rsid w:val="0048373E"/>
    <w:rsid w:val="00487039"/>
    <w:rsid w:val="00487EA4"/>
    <w:rsid w:val="00490A7A"/>
    <w:rsid w:val="00492F69"/>
    <w:rsid w:val="00493A17"/>
    <w:rsid w:val="00494566"/>
    <w:rsid w:val="004951E4"/>
    <w:rsid w:val="00496B93"/>
    <w:rsid w:val="00497D17"/>
    <w:rsid w:val="00497E13"/>
    <w:rsid w:val="004A0003"/>
    <w:rsid w:val="004A4CC1"/>
    <w:rsid w:val="004A743A"/>
    <w:rsid w:val="004A77A7"/>
    <w:rsid w:val="004B0349"/>
    <w:rsid w:val="004B084A"/>
    <w:rsid w:val="004B1D3B"/>
    <w:rsid w:val="004B26B9"/>
    <w:rsid w:val="004B2820"/>
    <w:rsid w:val="004B3676"/>
    <w:rsid w:val="004B3A8B"/>
    <w:rsid w:val="004B6AE5"/>
    <w:rsid w:val="004B751B"/>
    <w:rsid w:val="004C03D2"/>
    <w:rsid w:val="004C0846"/>
    <w:rsid w:val="004C2C38"/>
    <w:rsid w:val="004C2C5B"/>
    <w:rsid w:val="004D3E90"/>
    <w:rsid w:val="004D5B23"/>
    <w:rsid w:val="004D659A"/>
    <w:rsid w:val="004D702E"/>
    <w:rsid w:val="004D7C09"/>
    <w:rsid w:val="004E08BC"/>
    <w:rsid w:val="004E2325"/>
    <w:rsid w:val="004E39EE"/>
    <w:rsid w:val="004E56F9"/>
    <w:rsid w:val="004E58C7"/>
    <w:rsid w:val="004E60D3"/>
    <w:rsid w:val="004E745B"/>
    <w:rsid w:val="004F1B86"/>
    <w:rsid w:val="004F2822"/>
    <w:rsid w:val="004F2E30"/>
    <w:rsid w:val="004F3AF2"/>
    <w:rsid w:val="004F4243"/>
    <w:rsid w:val="004F56E3"/>
    <w:rsid w:val="004F723D"/>
    <w:rsid w:val="00500B6F"/>
    <w:rsid w:val="00500FBD"/>
    <w:rsid w:val="005016B8"/>
    <w:rsid w:val="0050189D"/>
    <w:rsid w:val="00501A07"/>
    <w:rsid w:val="00502B34"/>
    <w:rsid w:val="005050E7"/>
    <w:rsid w:val="00505915"/>
    <w:rsid w:val="00505CE1"/>
    <w:rsid w:val="00506EB6"/>
    <w:rsid w:val="00512E03"/>
    <w:rsid w:val="00513D66"/>
    <w:rsid w:val="00516264"/>
    <w:rsid w:val="00517678"/>
    <w:rsid w:val="00523EE6"/>
    <w:rsid w:val="00524E72"/>
    <w:rsid w:val="005273ED"/>
    <w:rsid w:val="005278FC"/>
    <w:rsid w:val="00531B7F"/>
    <w:rsid w:val="005323FA"/>
    <w:rsid w:val="00533C06"/>
    <w:rsid w:val="00533E34"/>
    <w:rsid w:val="0053662F"/>
    <w:rsid w:val="00540DDA"/>
    <w:rsid w:val="00540FE6"/>
    <w:rsid w:val="005413B6"/>
    <w:rsid w:val="0054278C"/>
    <w:rsid w:val="00542DDF"/>
    <w:rsid w:val="005438B3"/>
    <w:rsid w:val="00544B89"/>
    <w:rsid w:val="0054627C"/>
    <w:rsid w:val="0054697D"/>
    <w:rsid w:val="00546E7C"/>
    <w:rsid w:val="00547045"/>
    <w:rsid w:val="005471BD"/>
    <w:rsid w:val="00550AB1"/>
    <w:rsid w:val="00550B85"/>
    <w:rsid w:val="005525E7"/>
    <w:rsid w:val="00552AA7"/>
    <w:rsid w:val="00554849"/>
    <w:rsid w:val="00555824"/>
    <w:rsid w:val="00556B76"/>
    <w:rsid w:val="0055774A"/>
    <w:rsid w:val="0056780E"/>
    <w:rsid w:val="005679BA"/>
    <w:rsid w:val="00571ABA"/>
    <w:rsid w:val="00573C0C"/>
    <w:rsid w:val="00574138"/>
    <w:rsid w:val="00576B18"/>
    <w:rsid w:val="005802B8"/>
    <w:rsid w:val="0058255E"/>
    <w:rsid w:val="00583192"/>
    <w:rsid w:val="00586585"/>
    <w:rsid w:val="005874EE"/>
    <w:rsid w:val="005906E0"/>
    <w:rsid w:val="00590DCA"/>
    <w:rsid w:val="0059139A"/>
    <w:rsid w:val="00591644"/>
    <w:rsid w:val="0059201E"/>
    <w:rsid w:val="00597387"/>
    <w:rsid w:val="005A06D8"/>
    <w:rsid w:val="005A11F9"/>
    <w:rsid w:val="005A144B"/>
    <w:rsid w:val="005A1C34"/>
    <w:rsid w:val="005A1DBF"/>
    <w:rsid w:val="005A3556"/>
    <w:rsid w:val="005A51E5"/>
    <w:rsid w:val="005B4E1A"/>
    <w:rsid w:val="005B52F2"/>
    <w:rsid w:val="005B63E9"/>
    <w:rsid w:val="005B681E"/>
    <w:rsid w:val="005B6F03"/>
    <w:rsid w:val="005C0C3D"/>
    <w:rsid w:val="005C1A0D"/>
    <w:rsid w:val="005C217D"/>
    <w:rsid w:val="005C2183"/>
    <w:rsid w:val="005C262D"/>
    <w:rsid w:val="005C5CC6"/>
    <w:rsid w:val="005C77ED"/>
    <w:rsid w:val="005D27C4"/>
    <w:rsid w:val="005D2F44"/>
    <w:rsid w:val="005D39A8"/>
    <w:rsid w:val="005D6C4B"/>
    <w:rsid w:val="005E11CC"/>
    <w:rsid w:val="005E4824"/>
    <w:rsid w:val="005E547F"/>
    <w:rsid w:val="005E5A00"/>
    <w:rsid w:val="005E7145"/>
    <w:rsid w:val="005E7185"/>
    <w:rsid w:val="005F0572"/>
    <w:rsid w:val="005F0811"/>
    <w:rsid w:val="005F0EF3"/>
    <w:rsid w:val="005F1908"/>
    <w:rsid w:val="005F51C7"/>
    <w:rsid w:val="005F5C38"/>
    <w:rsid w:val="005F63A8"/>
    <w:rsid w:val="005F6DA9"/>
    <w:rsid w:val="005F7256"/>
    <w:rsid w:val="0060103D"/>
    <w:rsid w:val="006049A0"/>
    <w:rsid w:val="00604D5A"/>
    <w:rsid w:val="00606264"/>
    <w:rsid w:val="0060657D"/>
    <w:rsid w:val="00607152"/>
    <w:rsid w:val="00607506"/>
    <w:rsid w:val="00607A1F"/>
    <w:rsid w:val="00611096"/>
    <w:rsid w:val="00612423"/>
    <w:rsid w:val="00620F10"/>
    <w:rsid w:val="0062282E"/>
    <w:rsid w:val="00623BE0"/>
    <w:rsid w:val="006245B2"/>
    <w:rsid w:val="00625147"/>
    <w:rsid w:val="0062608B"/>
    <w:rsid w:val="0062794F"/>
    <w:rsid w:val="006307CB"/>
    <w:rsid w:val="00630A95"/>
    <w:rsid w:val="0063123B"/>
    <w:rsid w:val="0063166B"/>
    <w:rsid w:val="00632630"/>
    <w:rsid w:val="00633E6A"/>
    <w:rsid w:val="006345B8"/>
    <w:rsid w:val="00636006"/>
    <w:rsid w:val="0063730B"/>
    <w:rsid w:val="0064368C"/>
    <w:rsid w:val="00645871"/>
    <w:rsid w:val="006461BE"/>
    <w:rsid w:val="00646CEC"/>
    <w:rsid w:val="00647F83"/>
    <w:rsid w:val="00651459"/>
    <w:rsid w:val="00651557"/>
    <w:rsid w:val="006518D7"/>
    <w:rsid w:val="00651CAD"/>
    <w:rsid w:val="0065485A"/>
    <w:rsid w:val="00656386"/>
    <w:rsid w:val="00660499"/>
    <w:rsid w:val="00661272"/>
    <w:rsid w:val="006614DA"/>
    <w:rsid w:val="006622AD"/>
    <w:rsid w:val="006639EE"/>
    <w:rsid w:val="00664C09"/>
    <w:rsid w:val="00664C93"/>
    <w:rsid w:val="00667FE0"/>
    <w:rsid w:val="0067173A"/>
    <w:rsid w:val="006741B4"/>
    <w:rsid w:val="00674E81"/>
    <w:rsid w:val="006779DA"/>
    <w:rsid w:val="0068040C"/>
    <w:rsid w:val="00680CEC"/>
    <w:rsid w:val="00681497"/>
    <w:rsid w:val="006821D9"/>
    <w:rsid w:val="0068263B"/>
    <w:rsid w:val="0068280E"/>
    <w:rsid w:val="006843B6"/>
    <w:rsid w:val="00684A09"/>
    <w:rsid w:val="006868FA"/>
    <w:rsid w:val="00687857"/>
    <w:rsid w:val="00691691"/>
    <w:rsid w:val="0069556C"/>
    <w:rsid w:val="00697736"/>
    <w:rsid w:val="006A23D5"/>
    <w:rsid w:val="006A2402"/>
    <w:rsid w:val="006A4042"/>
    <w:rsid w:val="006A48D1"/>
    <w:rsid w:val="006A520D"/>
    <w:rsid w:val="006A5C4B"/>
    <w:rsid w:val="006A6264"/>
    <w:rsid w:val="006A6599"/>
    <w:rsid w:val="006A7C42"/>
    <w:rsid w:val="006B3B6D"/>
    <w:rsid w:val="006C13D7"/>
    <w:rsid w:val="006C3BE2"/>
    <w:rsid w:val="006C4CE4"/>
    <w:rsid w:val="006C64C4"/>
    <w:rsid w:val="006C762C"/>
    <w:rsid w:val="006C79AE"/>
    <w:rsid w:val="006C7DAA"/>
    <w:rsid w:val="006D109A"/>
    <w:rsid w:val="006D1D6E"/>
    <w:rsid w:val="006D4258"/>
    <w:rsid w:val="006D4753"/>
    <w:rsid w:val="006D4A0B"/>
    <w:rsid w:val="006D7CD9"/>
    <w:rsid w:val="006E0DFC"/>
    <w:rsid w:val="006E3C31"/>
    <w:rsid w:val="006E58EA"/>
    <w:rsid w:val="006F244D"/>
    <w:rsid w:val="006F2D88"/>
    <w:rsid w:val="006F647B"/>
    <w:rsid w:val="006F7667"/>
    <w:rsid w:val="007003A8"/>
    <w:rsid w:val="007012DC"/>
    <w:rsid w:val="007025F3"/>
    <w:rsid w:val="00702914"/>
    <w:rsid w:val="00702C11"/>
    <w:rsid w:val="00703D8F"/>
    <w:rsid w:val="00703F3D"/>
    <w:rsid w:val="00705F15"/>
    <w:rsid w:val="00705F50"/>
    <w:rsid w:val="00706156"/>
    <w:rsid w:val="00707A6C"/>
    <w:rsid w:val="00710322"/>
    <w:rsid w:val="007109D4"/>
    <w:rsid w:val="0071253A"/>
    <w:rsid w:val="007130D4"/>
    <w:rsid w:val="0071748E"/>
    <w:rsid w:val="00720DD1"/>
    <w:rsid w:val="00722B2C"/>
    <w:rsid w:val="0073297A"/>
    <w:rsid w:val="00732B9F"/>
    <w:rsid w:val="00734A47"/>
    <w:rsid w:val="00737B59"/>
    <w:rsid w:val="007429FA"/>
    <w:rsid w:val="00744D81"/>
    <w:rsid w:val="00745877"/>
    <w:rsid w:val="00745EB7"/>
    <w:rsid w:val="007460A4"/>
    <w:rsid w:val="007466D6"/>
    <w:rsid w:val="00746D9A"/>
    <w:rsid w:val="00747A3E"/>
    <w:rsid w:val="00751A27"/>
    <w:rsid w:val="00752224"/>
    <w:rsid w:val="0075266F"/>
    <w:rsid w:val="00753DC3"/>
    <w:rsid w:val="0075549D"/>
    <w:rsid w:val="007563B4"/>
    <w:rsid w:val="00757443"/>
    <w:rsid w:val="0076043C"/>
    <w:rsid w:val="00760E68"/>
    <w:rsid w:val="007613BD"/>
    <w:rsid w:val="007621EF"/>
    <w:rsid w:val="007624B3"/>
    <w:rsid w:val="00762C5F"/>
    <w:rsid w:val="00765E38"/>
    <w:rsid w:val="00770B59"/>
    <w:rsid w:val="00772958"/>
    <w:rsid w:val="007733F1"/>
    <w:rsid w:val="00773F6D"/>
    <w:rsid w:val="00776747"/>
    <w:rsid w:val="0077747C"/>
    <w:rsid w:val="00777F5A"/>
    <w:rsid w:val="00777FD6"/>
    <w:rsid w:val="00780F53"/>
    <w:rsid w:val="007811DC"/>
    <w:rsid w:val="007816E2"/>
    <w:rsid w:val="00781AEB"/>
    <w:rsid w:val="00781AF0"/>
    <w:rsid w:val="00781CC0"/>
    <w:rsid w:val="00784938"/>
    <w:rsid w:val="007852A0"/>
    <w:rsid w:val="00790B15"/>
    <w:rsid w:val="0079217A"/>
    <w:rsid w:val="00793B20"/>
    <w:rsid w:val="007947BA"/>
    <w:rsid w:val="00795A63"/>
    <w:rsid w:val="00796E70"/>
    <w:rsid w:val="0079726B"/>
    <w:rsid w:val="007A05BE"/>
    <w:rsid w:val="007A2BD3"/>
    <w:rsid w:val="007A35E3"/>
    <w:rsid w:val="007A3E4A"/>
    <w:rsid w:val="007A410A"/>
    <w:rsid w:val="007A7BE1"/>
    <w:rsid w:val="007B2055"/>
    <w:rsid w:val="007B233F"/>
    <w:rsid w:val="007B3354"/>
    <w:rsid w:val="007C49B9"/>
    <w:rsid w:val="007C595C"/>
    <w:rsid w:val="007C6232"/>
    <w:rsid w:val="007D160F"/>
    <w:rsid w:val="007D187A"/>
    <w:rsid w:val="007D4FF5"/>
    <w:rsid w:val="007D54EF"/>
    <w:rsid w:val="007D5C41"/>
    <w:rsid w:val="007D5DB8"/>
    <w:rsid w:val="007E1E05"/>
    <w:rsid w:val="007E577A"/>
    <w:rsid w:val="007E67CD"/>
    <w:rsid w:val="007E7253"/>
    <w:rsid w:val="007E74EE"/>
    <w:rsid w:val="007F0925"/>
    <w:rsid w:val="007F0F01"/>
    <w:rsid w:val="007F180C"/>
    <w:rsid w:val="007F184D"/>
    <w:rsid w:val="007F2BAC"/>
    <w:rsid w:val="007F33D9"/>
    <w:rsid w:val="007F589C"/>
    <w:rsid w:val="00800FF7"/>
    <w:rsid w:val="008017B5"/>
    <w:rsid w:val="008019FA"/>
    <w:rsid w:val="008037DB"/>
    <w:rsid w:val="00804AD8"/>
    <w:rsid w:val="0080588E"/>
    <w:rsid w:val="00806667"/>
    <w:rsid w:val="008076A8"/>
    <w:rsid w:val="00810806"/>
    <w:rsid w:val="0081352F"/>
    <w:rsid w:val="00816A0F"/>
    <w:rsid w:val="00820858"/>
    <w:rsid w:val="00823E09"/>
    <w:rsid w:val="008268D5"/>
    <w:rsid w:val="00827097"/>
    <w:rsid w:val="008317F1"/>
    <w:rsid w:val="00831B58"/>
    <w:rsid w:val="00831ECA"/>
    <w:rsid w:val="0083360E"/>
    <w:rsid w:val="00833F09"/>
    <w:rsid w:val="00834BA7"/>
    <w:rsid w:val="00834BC9"/>
    <w:rsid w:val="00834C9D"/>
    <w:rsid w:val="008368CC"/>
    <w:rsid w:val="00836990"/>
    <w:rsid w:val="00837A2E"/>
    <w:rsid w:val="00841F60"/>
    <w:rsid w:val="00842BA9"/>
    <w:rsid w:val="0084788C"/>
    <w:rsid w:val="00851B0D"/>
    <w:rsid w:val="00851C30"/>
    <w:rsid w:val="00851D4D"/>
    <w:rsid w:val="008521F7"/>
    <w:rsid w:val="00855411"/>
    <w:rsid w:val="00856DDD"/>
    <w:rsid w:val="00863ED5"/>
    <w:rsid w:val="008653DF"/>
    <w:rsid w:val="00866B7F"/>
    <w:rsid w:val="00866C7E"/>
    <w:rsid w:val="008675FD"/>
    <w:rsid w:val="00872E22"/>
    <w:rsid w:val="008756E8"/>
    <w:rsid w:val="00875A77"/>
    <w:rsid w:val="0087735D"/>
    <w:rsid w:val="00881BF5"/>
    <w:rsid w:val="00882C9B"/>
    <w:rsid w:val="008840C1"/>
    <w:rsid w:val="00884F1C"/>
    <w:rsid w:val="008862B7"/>
    <w:rsid w:val="00887875"/>
    <w:rsid w:val="008905BC"/>
    <w:rsid w:val="00892D88"/>
    <w:rsid w:val="008931A9"/>
    <w:rsid w:val="00893ADB"/>
    <w:rsid w:val="008964E4"/>
    <w:rsid w:val="008A0DCB"/>
    <w:rsid w:val="008A1607"/>
    <w:rsid w:val="008A17B2"/>
    <w:rsid w:val="008A27FA"/>
    <w:rsid w:val="008A450A"/>
    <w:rsid w:val="008A54CF"/>
    <w:rsid w:val="008A7460"/>
    <w:rsid w:val="008B2F9E"/>
    <w:rsid w:val="008B3AF0"/>
    <w:rsid w:val="008B530F"/>
    <w:rsid w:val="008B5486"/>
    <w:rsid w:val="008C0C32"/>
    <w:rsid w:val="008C33D6"/>
    <w:rsid w:val="008C34D7"/>
    <w:rsid w:val="008C7F6B"/>
    <w:rsid w:val="008D014E"/>
    <w:rsid w:val="008D143F"/>
    <w:rsid w:val="008D5416"/>
    <w:rsid w:val="008E1EEF"/>
    <w:rsid w:val="008E2058"/>
    <w:rsid w:val="008E2BF7"/>
    <w:rsid w:val="008E47DF"/>
    <w:rsid w:val="008E4E3E"/>
    <w:rsid w:val="008F115F"/>
    <w:rsid w:val="008F411D"/>
    <w:rsid w:val="008F67AF"/>
    <w:rsid w:val="008F7C94"/>
    <w:rsid w:val="00902F23"/>
    <w:rsid w:val="009039D9"/>
    <w:rsid w:val="0090509F"/>
    <w:rsid w:val="00905848"/>
    <w:rsid w:val="00905A65"/>
    <w:rsid w:val="00905D83"/>
    <w:rsid w:val="00906A83"/>
    <w:rsid w:val="00907135"/>
    <w:rsid w:val="00907F91"/>
    <w:rsid w:val="00910F4B"/>
    <w:rsid w:val="00911A96"/>
    <w:rsid w:val="009151FC"/>
    <w:rsid w:val="00915FCB"/>
    <w:rsid w:val="00916DCE"/>
    <w:rsid w:val="00917418"/>
    <w:rsid w:val="009179E6"/>
    <w:rsid w:val="00917EAB"/>
    <w:rsid w:val="00920242"/>
    <w:rsid w:val="00920EC5"/>
    <w:rsid w:val="00926DE1"/>
    <w:rsid w:val="00930CC6"/>
    <w:rsid w:val="00931392"/>
    <w:rsid w:val="00934A18"/>
    <w:rsid w:val="009360A7"/>
    <w:rsid w:val="009401D0"/>
    <w:rsid w:val="0094067D"/>
    <w:rsid w:val="00943C39"/>
    <w:rsid w:val="00947037"/>
    <w:rsid w:val="00947614"/>
    <w:rsid w:val="009502C3"/>
    <w:rsid w:val="00951007"/>
    <w:rsid w:val="00951A38"/>
    <w:rsid w:val="0095279F"/>
    <w:rsid w:val="00955698"/>
    <w:rsid w:val="009564A1"/>
    <w:rsid w:val="009567AC"/>
    <w:rsid w:val="009574F2"/>
    <w:rsid w:val="00962B6A"/>
    <w:rsid w:val="00963A94"/>
    <w:rsid w:val="00964DA7"/>
    <w:rsid w:val="009668E7"/>
    <w:rsid w:val="0096747B"/>
    <w:rsid w:val="009679C5"/>
    <w:rsid w:val="00972A6A"/>
    <w:rsid w:val="009743ED"/>
    <w:rsid w:val="00975AAD"/>
    <w:rsid w:val="0097795A"/>
    <w:rsid w:val="0098074A"/>
    <w:rsid w:val="009815F8"/>
    <w:rsid w:val="009843DC"/>
    <w:rsid w:val="00984573"/>
    <w:rsid w:val="0098612C"/>
    <w:rsid w:val="009877AC"/>
    <w:rsid w:val="00997271"/>
    <w:rsid w:val="009979F0"/>
    <w:rsid w:val="009A06C5"/>
    <w:rsid w:val="009A16A1"/>
    <w:rsid w:val="009A776A"/>
    <w:rsid w:val="009A7CCD"/>
    <w:rsid w:val="009B39EF"/>
    <w:rsid w:val="009B4B1C"/>
    <w:rsid w:val="009B5430"/>
    <w:rsid w:val="009B62F9"/>
    <w:rsid w:val="009B68CF"/>
    <w:rsid w:val="009B7127"/>
    <w:rsid w:val="009C174F"/>
    <w:rsid w:val="009C32B5"/>
    <w:rsid w:val="009C46C6"/>
    <w:rsid w:val="009C4AD1"/>
    <w:rsid w:val="009C5345"/>
    <w:rsid w:val="009C5B69"/>
    <w:rsid w:val="009C7783"/>
    <w:rsid w:val="009C7D98"/>
    <w:rsid w:val="009D02D8"/>
    <w:rsid w:val="009D1319"/>
    <w:rsid w:val="009D1A26"/>
    <w:rsid w:val="009D354B"/>
    <w:rsid w:val="009D3FDF"/>
    <w:rsid w:val="009D646D"/>
    <w:rsid w:val="009D6EBA"/>
    <w:rsid w:val="009E0A77"/>
    <w:rsid w:val="009E23AD"/>
    <w:rsid w:val="009E310F"/>
    <w:rsid w:val="009E6763"/>
    <w:rsid w:val="009E7421"/>
    <w:rsid w:val="009E79FD"/>
    <w:rsid w:val="009F5C1E"/>
    <w:rsid w:val="009F61E4"/>
    <w:rsid w:val="009F6FD2"/>
    <w:rsid w:val="009F77C4"/>
    <w:rsid w:val="00A012AE"/>
    <w:rsid w:val="00A037F5"/>
    <w:rsid w:val="00A05418"/>
    <w:rsid w:val="00A06BEB"/>
    <w:rsid w:val="00A07140"/>
    <w:rsid w:val="00A13A6E"/>
    <w:rsid w:val="00A14356"/>
    <w:rsid w:val="00A2214B"/>
    <w:rsid w:val="00A22971"/>
    <w:rsid w:val="00A22C4B"/>
    <w:rsid w:val="00A22E75"/>
    <w:rsid w:val="00A23F00"/>
    <w:rsid w:val="00A2507C"/>
    <w:rsid w:val="00A30906"/>
    <w:rsid w:val="00A312CF"/>
    <w:rsid w:val="00A36E9F"/>
    <w:rsid w:val="00A372A4"/>
    <w:rsid w:val="00A4033A"/>
    <w:rsid w:val="00A43343"/>
    <w:rsid w:val="00A4377A"/>
    <w:rsid w:val="00A4772F"/>
    <w:rsid w:val="00A506DE"/>
    <w:rsid w:val="00A50CAE"/>
    <w:rsid w:val="00A525D4"/>
    <w:rsid w:val="00A52D63"/>
    <w:rsid w:val="00A5492E"/>
    <w:rsid w:val="00A5535E"/>
    <w:rsid w:val="00A571E2"/>
    <w:rsid w:val="00A614BC"/>
    <w:rsid w:val="00A666C2"/>
    <w:rsid w:val="00A6751B"/>
    <w:rsid w:val="00A70D7A"/>
    <w:rsid w:val="00A72DA0"/>
    <w:rsid w:val="00A73847"/>
    <w:rsid w:val="00A77A42"/>
    <w:rsid w:val="00A82587"/>
    <w:rsid w:val="00A85329"/>
    <w:rsid w:val="00A85492"/>
    <w:rsid w:val="00A854EB"/>
    <w:rsid w:val="00A85527"/>
    <w:rsid w:val="00A856FC"/>
    <w:rsid w:val="00A91101"/>
    <w:rsid w:val="00A91FE5"/>
    <w:rsid w:val="00A92DFD"/>
    <w:rsid w:val="00A93772"/>
    <w:rsid w:val="00A93F12"/>
    <w:rsid w:val="00A946D4"/>
    <w:rsid w:val="00A94FA5"/>
    <w:rsid w:val="00A95FEC"/>
    <w:rsid w:val="00A97044"/>
    <w:rsid w:val="00AA0EAB"/>
    <w:rsid w:val="00AA29B2"/>
    <w:rsid w:val="00AA4AD9"/>
    <w:rsid w:val="00AA4E77"/>
    <w:rsid w:val="00AA7EFF"/>
    <w:rsid w:val="00AB30D6"/>
    <w:rsid w:val="00AB3C62"/>
    <w:rsid w:val="00AB5293"/>
    <w:rsid w:val="00AB689C"/>
    <w:rsid w:val="00AC018D"/>
    <w:rsid w:val="00AC3192"/>
    <w:rsid w:val="00AC62A8"/>
    <w:rsid w:val="00AC68A5"/>
    <w:rsid w:val="00AD2A4E"/>
    <w:rsid w:val="00AD3D28"/>
    <w:rsid w:val="00AD4549"/>
    <w:rsid w:val="00AD45B4"/>
    <w:rsid w:val="00AD5D55"/>
    <w:rsid w:val="00AD72CE"/>
    <w:rsid w:val="00AD79DA"/>
    <w:rsid w:val="00AE13DB"/>
    <w:rsid w:val="00AE18F2"/>
    <w:rsid w:val="00AE1990"/>
    <w:rsid w:val="00AE1B75"/>
    <w:rsid w:val="00AE6038"/>
    <w:rsid w:val="00AE66E1"/>
    <w:rsid w:val="00AF20C4"/>
    <w:rsid w:val="00AF334A"/>
    <w:rsid w:val="00AF3E4D"/>
    <w:rsid w:val="00B00ECE"/>
    <w:rsid w:val="00B014B7"/>
    <w:rsid w:val="00B02CB3"/>
    <w:rsid w:val="00B03548"/>
    <w:rsid w:val="00B03C80"/>
    <w:rsid w:val="00B043C8"/>
    <w:rsid w:val="00B05103"/>
    <w:rsid w:val="00B06483"/>
    <w:rsid w:val="00B10338"/>
    <w:rsid w:val="00B105FD"/>
    <w:rsid w:val="00B107CD"/>
    <w:rsid w:val="00B10F7D"/>
    <w:rsid w:val="00B13018"/>
    <w:rsid w:val="00B17B6F"/>
    <w:rsid w:val="00B20EF7"/>
    <w:rsid w:val="00B21601"/>
    <w:rsid w:val="00B22A50"/>
    <w:rsid w:val="00B23927"/>
    <w:rsid w:val="00B2599B"/>
    <w:rsid w:val="00B27401"/>
    <w:rsid w:val="00B27487"/>
    <w:rsid w:val="00B30CB2"/>
    <w:rsid w:val="00B31296"/>
    <w:rsid w:val="00B31DE7"/>
    <w:rsid w:val="00B354FE"/>
    <w:rsid w:val="00B377F7"/>
    <w:rsid w:val="00B404CE"/>
    <w:rsid w:val="00B41CF0"/>
    <w:rsid w:val="00B43973"/>
    <w:rsid w:val="00B4441C"/>
    <w:rsid w:val="00B44D36"/>
    <w:rsid w:val="00B4603D"/>
    <w:rsid w:val="00B5244E"/>
    <w:rsid w:val="00B52A7C"/>
    <w:rsid w:val="00B5425D"/>
    <w:rsid w:val="00B573E7"/>
    <w:rsid w:val="00B57498"/>
    <w:rsid w:val="00B57FC4"/>
    <w:rsid w:val="00B60905"/>
    <w:rsid w:val="00B6099D"/>
    <w:rsid w:val="00B64176"/>
    <w:rsid w:val="00B6560D"/>
    <w:rsid w:val="00B66BFE"/>
    <w:rsid w:val="00B679FB"/>
    <w:rsid w:val="00B73599"/>
    <w:rsid w:val="00B7767C"/>
    <w:rsid w:val="00B77C28"/>
    <w:rsid w:val="00B809CD"/>
    <w:rsid w:val="00B823A3"/>
    <w:rsid w:val="00B845CD"/>
    <w:rsid w:val="00B8490B"/>
    <w:rsid w:val="00B8741F"/>
    <w:rsid w:val="00B8774A"/>
    <w:rsid w:val="00B87D1D"/>
    <w:rsid w:val="00B914C1"/>
    <w:rsid w:val="00B921A9"/>
    <w:rsid w:val="00B926E2"/>
    <w:rsid w:val="00B92E7F"/>
    <w:rsid w:val="00B93382"/>
    <w:rsid w:val="00B948FC"/>
    <w:rsid w:val="00B94C6B"/>
    <w:rsid w:val="00B96C88"/>
    <w:rsid w:val="00B97D73"/>
    <w:rsid w:val="00BA064B"/>
    <w:rsid w:val="00BA09C7"/>
    <w:rsid w:val="00BA13F0"/>
    <w:rsid w:val="00BA13F9"/>
    <w:rsid w:val="00BA16FF"/>
    <w:rsid w:val="00BA3C1B"/>
    <w:rsid w:val="00BA48BE"/>
    <w:rsid w:val="00BA49AF"/>
    <w:rsid w:val="00BA7106"/>
    <w:rsid w:val="00BB005D"/>
    <w:rsid w:val="00BB07E1"/>
    <w:rsid w:val="00BB4D3A"/>
    <w:rsid w:val="00BB53BF"/>
    <w:rsid w:val="00BB78C1"/>
    <w:rsid w:val="00BB7C34"/>
    <w:rsid w:val="00BC04C2"/>
    <w:rsid w:val="00BC073B"/>
    <w:rsid w:val="00BC4CAE"/>
    <w:rsid w:val="00BC4EC5"/>
    <w:rsid w:val="00BC607C"/>
    <w:rsid w:val="00BC743F"/>
    <w:rsid w:val="00BC7BB3"/>
    <w:rsid w:val="00BD04DB"/>
    <w:rsid w:val="00BD094E"/>
    <w:rsid w:val="00BD1CCE"/>
    <w:rsid w:val="00BD3076"/>
    <w:rsid w:val="00BD38FC"/>
    <w:rsid w:val="00BD4DBC"/>
    <w:rsid w:val="00BD7537"/>
    <w:rsid w:val="00BD760C"/>
    <w:rsid w:val="00BE0A98"/>
    <w:rsid w:val="00BE22FF"/>
    <w:rsid w:val="00BE28DC"/>
    <w:rsid w:val="00BE4448"/>
    <w:rsid w:val="00BE583F"/>
    <w:rsid w:val="00BE5C32"/>
    <w:rsid w:val="00BE7B0D"/>
    <w:rsid w:val="00BF1EB6"/>
    <w:rsid w:val="00BF7626"/>
    <w:rsid w:val="00C00280"/>
    <w:rsid w:val="00C00848"/>
    <w:rsid w:val="00C00AA2"/>
    <w:rsid w:val="00C0327C"/>
    <w:rsid w:val="00C065E4"/>
    <w:rsid w:val="00C06F25"/>
    <w:rsid w:val="00C10278"/>
    <w:rsid w:val="00C102A2"/>
    <w:rsid w:val="00C12A32"/>
    <w:rsid w:val="00C12ADA"/>
    <w:rsid w:val="00C14866"/>
    <w:rsid w:val="00C152C0"/>
    <w:rsid w:val="00C1603C"/>
    <w:rsid w:val="00C16BCA"/>
    <w:rsid w:val="00C20EBE"/>
    <w:rsid w:val="00C21910"/>
    <w:rsid w:val="00C21EE3"/>
    <w:rsid w:val="00C25575"/>
    <w:rsid w:val="00C262A3"/>
    <w:rsid w:val="00C34B68"/>
    <w:rsid w:val="00C36B8A"/>
    <w:rsid w:val="00C40945"/>
    <w:rsid w:val="00C40E46"/>
    <w:rsid w:val="00C421B3"/>
    <w:rsid w:val="00C422AA"/>
    <w:rsid w:val="00C42774"/>
    <w:rsid w:val="00C4294E"/>
    <w:rsid w:val="00C42F55"/>
    <w:rsid w:val="00C43115"/>
    <w:rsid w:val="00C4347C"/>
    <w:rsid w:val="00C4435A"/>
    <w:rsid w:val="00C44A67"/>
    <w:rsid w:val="00C45E1D"/>
    <w:rsid w:val="00C50497"/>
    <w:rsid w:val="00C547A3"/>
    <w:rsid w:val="00C54F32"/>
    <w:rsid w:val="00C56807"/>
    <w:rsid w:val="00C57153"/>
    <w:rsid w:val="00C63209"/>
    <w:rsid w:val="00C64293"/>
    <w:rsid w:val="00C646B9"/>
    <w:rsid w:val="00C64818"/>
    <w:rsid w:val="00C73F25"/>
    <w:rsid w:val="00C85277"/>
    <w:rsid w:val="00C85604"/>
    <w:rsid w:val="00C86243"/>
    <w:rsid w:val="00C86E2D"/>
    <w:rsid w:val="00C911E8"/>
    <w:rsid w:val="00C92363"/>
    <w:rsid w:val="00C95508"/>
    <w:rsid w:val="00C9613C"/>
    <w:rsid w:val="00C962C1"/>
    <w:rsid w:val="00C96677"/>
    <w:rsid w:val="00CA051E"/>
    <w:rsid w:val="00CA11AA"/>
    <w:rsid w:val="00CA3422"/>
    <w:rsid w:val="00CA503F"/>
    <w:rsid w:val="00CB0030"/>
    <w:rsid w:val="00CB1750"/>
    <w:rsid w:val="00CB3725"/>
    <w:rsid w:val="00CB40EA"/>
    <w:rsid w:val="00CB48AF"/>
    <w:rsid w:val="00CB4E5C"/>
    <w:rsid w:val="00CB54D6"/>
    <w:rsid w:val="00CB5AE6"/>
    <w:rsid w:val="00CB6D47"/>
    <w:rsid w:val="00CC110E"/>
    <w:rsid w:val="00CC1CB4"/>
    <w:rsid w:val="00CC4E22"/>
    <w:rsid w:val="00CC5E2F"/>
    <w:rsid w:val="00CD1600"/>
    <w:rsid w:val="00CD45FF"/>
    <w:rsid w:val="00CD4B81"/>
    <w:rsid w:val="00CD5BF8"/>
    <w:rsid w:val="00CD5E3C"/>
    <w:rsid w:val="00CD6127"/>
    <w:rsid w:val="00CD7109"/>
    <w:rsid w:val="00CE656D"/>
    <w:rsid w:val="00CF0391"/>
    <w:rsid w:val="00CF2478"/>
    <w:rsid w:val="00CF2662"/>
    <w:rsid w:val="00CF3D2E"/>
    <w:rsid w:val="00CF3E02"/>
    <w:rsid w:val="00CF5513"/>
    <w:rsid w:val="00D033B7"/>
    <w:rsid w:val="00D04BE1"/>
    <w:rsid w:val="00D06CFE"/>
    <w:rsid w:val="00D131DA"/>
    <w:rsid w:val="00D136E9"/>
    <w:rsid w:val="00D15F29"/>
    <w:rsid w:val="00D15FB9"/>
    <w:rsid w:val="00D2068B"/>
    <w:rsid w:val="00D219B8"/>
    <w:rsid w:val="00D22C62"/>
    <w:rsid w:val="00D24399"/>
    <w:rsid w:val="00D25043"/>
    <w:rsid w:val="00D2597F"/>
    <w:rsid w:val="00D25C65"/>
    <w:rsid w:val="00D2785A"/>
    <w:rsid w:val="00D300F5"/>
    <w:rsid w:val="00D30DDB"/>
    <w:rsid w:val="00D31F42"/>
    <w:rsid w:val="00D331F2"/>
    <w:rsid w:val="00D33300"/>
    <w:rsid w:val="00D34358"/>
    <w:rsid w:val="00D355E1"/>
    <w:rsid w:val="00D3627D"/>
    <w:rsid w:val="00D364ED"/>
    <w:rsid w:val="00D377E5"/>
    <w:rsid w:val="00D411B3"/>
    <w:rsid w:val="00D442F7"/>
    <w:rsid w:val="00D450B8"/>
    <w:rsid w:val="00D45278"/>
    <w:rsid w:val="00D47533"/>
    <w:rsid w:val="00D502B1"/>
    <w:rsid w:val="00D51896"/>
    <w:rsid w:val="00D62292"/>
    <w:rsid w:val="00D633F3"/>
    <w:rsid w:val="00D676DC"/>
    <w:rsid w:val="00D71CAE"/>
    <w:rsid w:val="00D71DE1"/>
    <w:rsid w:val="00D75CEE"/>
    <w:rsid w:val="00D76922"/>
    <w:rsid w:val="00D77796"/>
    <w:rsid w:val="00D80269"/>
    <w:rsid w:val="00D8278D"/>
    <w:rsid w:val="00D83C32"/>
    <w:rsid w:val="00D851D7"/>
    <w:rsid w:val="00D85A00"/>
    <w:rsid w:val="00D90E81"/>
    <w:rsid w:val="00D928BE"/>
    <w:rsid w:val="00D932DD"/>
    <w:rsid w:val="00D9586C"/>
    <w:rsid w:val="00D969BA"/>
    <w:rsid w:val="00DA0AB3"/>
    <w:rsid w:val="00DA0E47"/>
    <w:rsid w:val="00DA1A4C"/>
    <w:rsid w:val="00DB016D"/>
    <w:rsid w:val="00DB02B4"/>
    <w:rsid w:val="00DB0A63"/>
    <w:rsid w:val="00DB0EB7"/>
    <w:rsid w:val="00DB2063"/>
    <w:rsid w:val="00DB7356"/>
    <w:rsid w:val="00DC24FF"/>
    <w:rsid w:val="00DC2890"/>
    <w:rsid w:val="00DC296F"/>
    <w:rsid w:val="00DC45AA"/>
    <w:rsid w:val="00DC4C70"/>
    <w:rsid w:val="00DC4CB8"/>
    <w:rsid w:val="00DC563C"/>
    <w:rsid w:val="00DC59F4"/>
    <w:rsid w:val="00DC6F15"/>
    <w:rsid w:val="00DC72BF"/>
    <w:rsid w:val="00DC7E58"/>
    <w:rsid w:val="00DD0771"/>
    <w:rsid w:val="00DD28B4"/>
    <w:rsid w:val="00DD28D4"/>
    <w:rsid w:val="00DD292C"/>
    <w:rsid w:val="00DD3036"/>
    <w:rsid w:val="00DD4041"/>
    <w:rsid w:val="00DD4181"/>
    <w:rsid w:val="00DD5BE1"/>
    <w:rsid w:val="00DD6511"/>
    <w:rsid w:val="00DE2CB5"/>
    <w:rsid w:val="00DE2CF8"/>
    <w:rsid w:val="00DE4AF2"/>
    <w:rsid w:val="00DE7084"/>
    <w:rsid w:val="00DF093D"/>
    <w:rsid w:val="00DF0C29"/>
    <w:rsid w:val="00DF1114"/>
    <w:rsid w:val="00DF236F"/>
    <w:rsid w:val="00DF26F4"/>
    <w:rsid w:val="00DF2CE4"/>
    <w:rsid w:val="00DF7292"/>
    <w:rsid w:val="00DF7FF7"/>
    <w:rsid w:val="00E02903"/>
    <w:rsid w:val="00E02DAC"/>
    <w:rsid w:val="00E06A9A"/>
    <w:rsid w:val="00E06EB7"/>
    <w:rsid w:val="00E0751E"/>
    <w:rsid w:val="00E07F07"/>
    <w:rsid w:val="00E11E96"/>
    <w:rsid w:val="00E12D89"/>
    <w:rsid w:val="00E20536"/>
    <w:rsid w:val="00E308CE"/>
    <w:rsid w:val="00E30A6D"/>
    <w:rsid w:val="00E31F6A"/>
    <w:rsid w:val="00E32B74"/>
    <w:rsid w:val="00E33A32"/>
    <w:rsid w:val="00E35EA8"/>
    <w:rsid w:val="00E3652F"/>
    <w:rsid w:val="00E3656B"/>
    <w:rsid w:val="00E36D48"/>
    <w:rsid w:val="00E40636"/>
    <w:rsid w:val="00E4120D"/>
    <w:rsid w:val="00E4327A"/>
    <w:rsid w:val="00E44542"/>
    <w:rsid w:val="00E45157"/>
    <w:rsid w:val="00E560E1"/>
    <w:rsid w:val="00E57113"/>
    <w:rsid w:val="00E60A2B"/>
    <w:rsid w:val="00E60DFC"/>
    <w:rsid w:val="00E63902"/>
    <w:rsid w:val="00E66219"/>
    <w:rsid w:val="00E66690"/>
    <w:rsid w:val="00E71342"/>
    <w:rsid w:val="00E715E0"/>
    <w:rsid w:val="00E75113"/>
    <w:rsid w:val="00E761BA"/>
    <w:rsid w:val="00E76553"/>
    <w:rsid w:val="00E808AC"/>
    <w:rsid w:val="00E8145C"/>
    <w:rsid w:val="00E81958"/>
    <w:rsid w:val="00E81B0A"/>
    <w:rsid w:val="00E81C95"/>
    <w:rsid w:val="00E82A74"/>
    <w:rsid w:val="00E84106"/>
    <w:rsid w:val="00E8410F"/>
    <w:rsid w:val="00E84126"/>
    <w:rsid w:val="00E857F6"/>
    <w:rsid w:val="00E85947"/>
    <w:rsid w:val="00E876AD"/>
    <w:rsid w:val="00E87FD9"/>
    <w:rsid w:val="00E91342"/>
    <w:rsid w:val="00E92734"/>
    <w:rsid w:val="00E93491"/>
    <w:rsid w:val="00E94556"/>
    <w:rsid w:val="00E95668"/>
    <w:rsid w:val="00E957A2"/>
    <w:rsid w:val="00E96549"/>
    <w:rsid w:val="00E97078"/>
    <w:rsid w:val="00EA04E4"/>
    <w:rsid w:val="00EA14E6"/>
    <w:rsid w:val="00EA2154"/>
    <w:rsid w:val="00EA319C"/>
    <w:rsid w:val="00EA428D"/>
    <w:rsid w:val="00EA77D3"/>
    <w:rsid w:val="00EA7EDE"/>
    <w:rsid w:val="00EB2B98"/>
    <w:rsid w:val="00EB3142"/>
    <w:rsid w:val="00EB50AA"/>
    <w:rsid w:val="00EB5369"/>
    <w:rsid w:val="00EB5658"/>
    <w:rsid w:val="00EB5A01"/>
    <w:rsid w:val="00EB693B"/>
    <w:rsid w:val="00EC1CE4"/>
    <w:rsid w:val="00EC5624"/>
    <w:rsid w:val="00EC5BEB"/>
    <w:rsid w:val="00EC7190"/>
    <w:rsid w:val="00EC7E2B"/>
    <w:rsid w:val="00ED0129"/>
    <w:rsid w:val="00ED0A5C"/>
    <w:rsid w:val="00ED1CB5"/>
    <w:rsid w:val="00ED3FB7"/>
    <w:rsid w:val="00ED506E"/>
    <w:rsid w:val="00ED5FF6"/>
    <w:rsid w:val="00ED7089"/>
    <w:rsid w:val="00EE11DD"/>
    <w:rsid w:val="00EE18C4"/>
    <w:rsid w:val="00EE1D15"/>
    <w:rsid w:val="00EE2884"/>
    <w:rsid w:val="00EE367C"/>
    <w:rsid w:val="00EE4453"/>
    <w:rsid w:val="00EE5E65"/>
    <w:rsid w:val="00EE6276"/>
    <w:rsid w:val="00EE70AF"/>
    <w:rsid w:val="00EF3ACA"/>
    <w:rsid w:val="00EF3F65"/>
    <w:rsid w:val="00EF6F15"/>
    <w:rsid w:val="00EF7516"/>
    <w:rsid w:val="00F00B32"/>
    <w:rsid w:val="00F01D18"/>
    <w:rsid w:val="00F0205B"/>
    <w:rsid w:val="00F04700"/>
    <w:rsid w:val="00F04DC8"/>
    <w:rsid w:val="00F06A72"/>
    <w:rsid w:val="00F07436"/>
    <w:rsid w:val="00F07785"/>
    <w:rsid w:val="00F078E5"/>
    <w:rsid w:val="00F11F0F"/>
    <w:rsid w:val="00F12D21"/>
    <w:rsid w:val="00F14D1E"/>
    <w:rsid w:val="00F1599E"/>
    <w:rsid w:val="00F16EC7"/>
    <w:rsid w:val="00F17D2D"/>
    <w:rsid w:val="00F22405"/>
    <w:rsid w:val="00F26774"/>
    <w:rsid w:val="00F27CD4"/>
    <w:rsid w:val="00F30520"/>
    <w:rsid w:val="00F32B8C"/>
    <w:rsid w:val="00F334E2"/>
    <w:rsid w:val="00F34B22"/>
    <w:rsid w:val="00F362DF"/>
    <w:rsid w:val="00F36865"/>
    <w:rsid w:val="00F40DB6"/>
    <w:rsid w:val="00F41B58"/>
    <w:rsid w:val="00F4444A"/>
    <w:rsid w:val="00F447C9"/>
    <w:rsid w:val="00F44AF2"/>
    <w:rsid w:val="00F47CF2"/>
    <w:rsid w:val="00F51EE8"/>
    <w:rsid w:val="00F621F3"/>
    <w:rsid w:val="00F6293A"/>
    <w:rsid w:val="00F6295D"/>
    <w:rsid w:val="00F674BB"/>
    <w:rsid w:val="00F679B2"/>
    <w:rsid w:val="00F70127"/>
    <w:rsid w:val="00F702FA"/>
    <w:rsid w:val="00F7207D"/>
    <w:rsid w:val="00F729B9"/>
    <w:rsid w:val="00F72BDF"/>
    <w:rsid w:val="00F72D96"/>
    <w:rsid w:val="00F758D0"/>
    <w:rsid w:val="00F80CC5"/>
    <w:rsid w:val="00F80F35"/>
    <w:rsid w:val="00F83068"/>
    <w:rsid w:val="00F85E5E"/>
    <w:rsid w:val="00F92F08"/>
    <w:rsid w:val="00F936B7"/>
    <w:rsid w:val="00F944EF"/>
    <w:rsid w:val="00F94F5A"/>
    <w:rsid w:val="00F9618C"/>
    <w:rsid w:val="00F9654D"/>
    <w:rsid w:val="00FA01A6"/>
    <w:rsid w:val="00FA2F46"/>
    <w:rsid w:val="00FA3895"/>
    <w:rsid w:val="00FA49FB"/>
    <w:rsid w:val="00FA5292"/>
    <w:rsid w:val="00FA5527"/>
    <w:rsid w:val="00FA58B8"/>
    <w:rsid w:val="00FA6965"/>
    <w:rsid w:val="00FA74C4"/>
    <w:rsid w:val="00FA7F23"/>
    <w:rsid w:val="00FA7F52"/>
    <w:rsid w:val="00FB0B44"/>
    <w:rsid w:val="00FB0E43"/>
    <w:rsid w:val="00FB1473"/>
    <w:rsid w:val="00FB18A2"/>
    <w:rsid w:val="00FB39E2"/>
    <w:rsid w:val="00FB4BC0"/>
    <w:rsid w:val="00FB7717"/>
    <w:rsid w:val="00FC080A"/>
    <w:rsid w:val="00FC1BE0"/>
    <w:rsid w:val="00FC2206"/>
    <w:rsid w:val="00FC5C1D"/>
    <w:rsid w:val="00FC659F"/>
    <w:rsid w:val="00FD287F"/>
    <w:rsid w:val="00FD2EE1"/>
    <w:rsid w:val="00FD5C34"/>
    <w:rsid w:val="00FD5F3A"/>
    <w:rsid w:val="00FE2E2E"/>
    <w:rsid w:val="00FE3AD8"/>
    <w:rsid w:val="00FE3E59"/>
    <w:rsid w:val="00FE5A91"/>
    <w:rsid w:val="00FE6304"/>
    <w:rsid w:val="00FF08B7"/>
    <w:rsid w:val="00FF1677"/>
    <w:rsid w:val="00FF49DC"/>
    <w:rsid w:val="00FF4E9F"/>
    <w:rsid w:val="00FF54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1E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1C"/>
    <w:rPr>
      <w:rFonts w:eastAsia="Times New Roman" w:cs="Times New Roman"/>
      <w:sz w:val="24"/>
      <w:szCs w:val="24"/>
      <w:lang w:eastAsia="ru-RU"/>
    </w:rPr>
  </w:style>
  <w:style w:type="paragraph" w:styleId="Heading1">
    <w:name w:val="heading 1"/>
    <w:basedOn w:val="Normal"/>
    <w:next w:val="Normal"/>
    <w:link w:val="Heading1Char"/>
    <w:uiPriority w:val="9"/>
    <w:qFormat/>
    <w:rsid w:val="00884F1C"/>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rsid w:val="00884F1C"/>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884F1C"/>
    <w:pPr>
      <w:keepNext/>
      <w:keepLines/>
      <w:spacing w:before="160" w:after="80"/>
      <w:outlineLvl w:val="2"/>
    </w:pPr>
    <w:rPr>
      <w:rFonts w:ascii="Calibri" w:hAnsi="Calibri"/>
      <w:color w:val="2F5496"/>
      <w:sz w:val="28"/>
      <w:szCs w:val="28"/>
    </w:rPr>
  </w:style>
  <w:style w:type="paragraph" w:styleId="Heading4">
    <w:name w:val="heading 4"/>
    <w:basedOn w:val="Normal"/>
    <w:next w:val="Normal"/>
    <w:link w:val="Heading4Char"/>
    <w:uiPriority w:val="9"/>
    <w:semiHidden/>
    <w:unhideWhenUsed/>
    <w:qFormat/>
    <w:rsid w:val="00884F1C"/>
    <w:pPr>
      <w:keepNext/>
      <w:keepLines/>
      <w:spacing w:before="80" w:after="40"/>
      <w:outlineLvl w:val="3"/>
    </w:pPr>
    <w:rPr>
      <w:rFonts w:ascii="Calibri" w:hAnsi="Calibri"/>
      <w:i/>
      <w:iCs/>
      <w:color w:val="2F5496"/>
    </w:rPr>
  </w:style>
  <w:style w:type="paragraph" w:styleId="Heading5">
    <w:name w:val="heading 5"/>
    <w:basedOn w:val="Normal"/>
    <w:next w:val="Normal"/>
    <w:link w:val="Heading5Char"/>
    <w:uiPriority w:val="9"/>
    <w:semiHidden/>
    <w:unhideWhenUsed/>
    <w:qFormat/>
    <w:rsid w:val="00884F1C"/>
    <w:pPr>
      <w:keepNext/>
      <w:keepLines/>
      <w:spacing w:before="80" w:after="40"/>
      <w:outlineLvl w:val="4"/>
    </w:pPr>
    <w:rPr>
      <w:rFonts w:ascii="Calibri" w:hAnsi="Calibri"/>
      <w:color w:val="2F5496"/>
    </w:rPr>
  </w:style>
  <w:style w:type="paragraph" w:styleId="Heading6">
    <w:name w:val="heading 6"/>
    <w:basedOn w:val="Normal"/>
    <w:next w:val="Normal"/>
    <w:link w:val="Heading6Char"/>
    <w:uiPriority w:val="9"/>
    <w:semiHidden/>
    <w:unhideWhenUsed/>
    <w:qFormat/>
    <w:rsid w:val="00884F1C"/>
    <w:pPr>
      <w:keepNext/>
      <w:keepLines/>
      <w:spacing w:before="40"/>
      <w:outlineLvl w:val="5"/>
    </w:pPr>
    <w:rPr>
      <w:rFonts w:ascii="Calibri" w:hAnsi="Calibri"/>
      <w:i/>
      <w:iCs/>
      <w:color w:val="595959"/>
    </w:rPr>
  </w:style>
  <w:style w:type="paragraph" w:styleId="Heading7">
    <w:name w:val="heading 7"/>
    <w:basedOn w:val="Normal"/>
    <w:next w:val="Normal"/>
    <w:link w:val="Heading7Char"/>
    <w:uiPriority w:val="9"/>
    <w:semiHidden/>
    <w:unhideWhenUsed/>
    <w:qFormat/>
    <w:rsid w:val="00884F1C"/>
    <w:pPr>
      <w:keepNext/>
      <w:keepLines/>
      <w:spacing w:before="40"/>
      <w:outlineLvl w:val="6"/>
    </w:pPr>
    <w:rPr>
      <w:rFonts w:ascii="Calibri" w:hAnsi="Calibri"/>
      <w:color w:val="595959"/>
    </w:rPr>
  </w:style>
  <w:style w:type="paragraph" w:styleId="Heading8">
    <w:name w:val="heading 8"/>
    <w:basedOn w:val="Normal"/>
    <w:next w:val="Normal"/>
    <w:link w:val="Heading8Char"/>
    <w:uiPriority w:val="9"/>
    <w:semiHidden/>
    <w:unhideWhenUsed/>
    <w:qFormat/>
    <w:rsid w:val="00884F1C"/>
    <w:pPr>
      <w:keepNext/>
      <w:keepLines/>
      <w:outlineLvl w:val="7"/>
    </w:pPr>
    <w:rPr>
      <w:rFonts w:ascii="Calibri" w:hAnsi="Calibri"/>
      <w:i/>
      <w:iCs/>
      <w:color w:val="272727"/>
    </w:rPr>
  </w:style>
  <w:style w:type="paragraph" w:styleId="Heading9">
    <w:name w:val="heading 9"/>
    <w:basedOn w:val="Normal"/>
    <w:next w:val="Normal"/>
    <w:link w:val="Heading9Char"/>
    <w:uiPriority w:val="9"/>
    <w:semiHidden/>
    <w:unhideWhenUsed/>
    <w:qFormat/>
    <w:rsid w:val="00884F1C"/>
    <w:pPr>
      <w:keepNext/>
      <w:keepLines/>
      <w:outlineLvl w:val="8"/>
    </w:pPr>
    <w:rPr>
      <w:rFonts w:ascii="Calibri"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4F1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884F1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884F1C"/>
    <w:rPr>
      <w:rFonts w:ascii="Calibri" w:eastAsia="Times New Roman" w:hAnsi="Calibri" w:cs="Times New Roman"/>
      <w:color w:val="2F5496"/>
      <w:sz w:val="28"/>
      <w:szCs w:val="28"/>
    </w:rPr>
  </w:style>
  <w:style w:type="character" w:customStyle="1" w:styleId="Heading4Char">
    <w:name w:val="Heading 4 Char"/>
    <w:link w:val="Heading4"/>
    <w:uiPriority w:val="9"/>
    <w:semiHidden/>
    <w:rsid w:val="00884F1C"/>
    <w:rPr>
      <w:rFonts w:ascii="Calibri" w:eastAsia="Times New Roman" w:hAnsi="Calibri" w:cs="Times New Roman"/>
      <w:i/>
      <w:iCs/>
      <w:color w:val="2F5496"/>
    </w:rPr>
  </w:style>
  <w:style w:type="character" w:customStyle="1" w:styleId="Heading5Char">
    <w:name w:val="Heading 5 Char"/>
    <w:link w:val="Heading5"/>
    <w:uiPriority w:val="9"/>
    <w:semiHidden/>
    <w:rsid w:val="00884F1C"/>
    <w:rPr>
      <w:rFonts w:ascii="Calibri" w:eastAsia="Times New Roman" w:hAnsi="Calibri" w:cs="Times New Roman"/>
      <w:color w:val="2F5496"/>
    </w:rPr>
  </w:style>
  <w:style w:type="character" w:customStyle="1" w:styleId="Heading6Char">
    <w:name w:val="Heading 6 Char"/>
    <w:link w:val="Heading6"/>
    <w:uiPriority w:val="9"/>
    <w:semiHidden/>
    <w:rsid w:val="00884F1C"/>
    <w:rPr>
      <w:rFonts w:ascii="Calibri" w:eastAsia="Times New Roman" w:hAnsi="Calibri" w:cs="Times New Roman"/>
      <w:i/>
      <w:iCs/>
      <w:color w:val="595959"/>
    </w:rPr>
  </w:style>
  <w:style w:type="character" w:customStyle="1" w:styleId="Heading7Char">
    <w:name w:val="Heading 7 Char"/>
    <w:link w:val="Heading7"/>
    <w:uiPriority w:val="9"/>
    <w:semiHidden/>
    <w:rsid w:val="00884F1C"/>
    <w:rPr>
      <w:rFonts w:ascii="Calibri" w:eastAsia="Times New Roman" w:hAnsi="Calibri" w:cs="Times New Roman"/>
      <w:color w:val="595959"/>
    </w:rPr>
  </w:style>
  <w:style w:type="character" w:customStyle="1" w:styleId="Heading8Char">
    <w:name w:val="Heading 8 Char"/>
    <w:link w:val="Heading8"/>
    <w:uiPriority w:val="9"/>
    <w:semiHidden/>
    <w:rsid w:val="00884F1C"/>
    <w:rPr>
      <w:rFonts w:ascii="Calibri" w:eastAsia="Times New Roman" w:hAnsi="Calibri" w:cs="Times New Roman"/>
      <w:i/>
      <w:iCs/>
      <w:color w:val="272727"/>
    </w:rPr>
  </w:style>
  <w:style w:type="character" w:customStyle="1" w:styleId="Heading9Char">
    <w:name w:val="Heading 9 Char"/>
    <w:link w:val="Heading9"/>
    <w:uiPriority w:val="9"/>
    <w:semiHidden/>
    <w:rsid w:val="00884F1C"/>
    <w:rPr>
      <w:rFonts w:ascii="Calibri" w:eastAsia="Times New Roman" w:hAnsi="Calibri" w:cs="Times New Roman"/>
      <w:color w:val="272727"/>
    </w:rPr>
  </w:style>
  <w:style w:type="paragraph" w:styleId="Title">
    <w:name w:val="Title"/>
    <w:basedOn w:val="Normal"/>
    <w:next w:val="Normal"/>
    <w:link w:val="TitleChar"/>
    <w:uiPriority w:val="10"/>
    <w:qFormat/>
    <w:rsid w:val="00884F1C"/>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884F1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884F1C"/>
    <w:pPr>
      <w:numPr>
        <w:ilvl w:val="1"/>
      </w:numPr>
    </w:pPr>
    <w:rPr>
      <w:rFonts w:ascii="Calibri" w:hAnsi="Calibri"/>
      <w:color w:val="595959"/>
      <w:spacing w:val="15"/>
      <w:sz w:val="28"/>
      <w:szCs w:val="28"/>
    </w:rPr>
  </w:style>
  <w:style w:type="character" w:customStyle="1" w:styleId="SubtitleChar">
    <w:name w:val="Subtitle Char"/>
    <w:link w:val="Subtitle"/>
    <w:uiPriority w:val="11"/>
    <w:rsid w:val="00884F1C"/>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884F1C"/>
    <w:pPr>
      <w:spacing w:before="160"/>
      <w:jc w:val="center"/>
    </w:pPr>
    <w:rPr>
      <w:i/>
      <w:iCs/>
      <w:color w:val="404040"/>
    </w:rPr>
  </w:style>
  <w:style w:type="character" w:customStyle="1" w:styleId="QuoteChar">
    <w:name w:val="Quote Char"/>
    <w:link w:val="Quote"/>
    <w:uiPriority w:val="29"/>
    <w:rsid w:val="00884F1C"/>
    <w:rPr>
      <w:i/>
      <w:iCs/>
      <w:color w:val="404040"/>
    </w:rPr>
  </w:style>
  <w:style w:type="paragraph" w:styleId="ListParagraph">
    <w:name w:val="List Paragraph"/>
    <w:basedOn w:val="Normal"/>
    <w:uiPriority w:val="34"/>
    <w:qFormat/>
    <w:rsid w:val="00884F1C"/>
    <w:pPr>
      <w:ind w:left="720"/>
      <w:contextualSpacing/>
    </w:pPr>
  </w:style>
  <w:style w:type="character" w:styleId="IntenseEmphasis">
    <w:name w:val="Intense Emphasis"/>
    <w:uiPriority w:val="21"/>
    <w:qFormat/>
    <w:rsid w:val="00884F1C"/>
    <w:rPr>
      <w:i/>
      <w:iCs/>
      <w:color w:val="2F5496"/>
    </w:rPr>
  </w:style>
  <w:style w:type="paragraph" w:styleId="IntenseQuote">
    <w:name w:val="Intense Quote"/>
    <w:basedOn w:val="Normal"/>
    <w:next w:val="Normal"/>
    <w:link w:val="IntenseQuoteChar"/>
    <w:uiPriority w:val="30"/>
    <w:qFormat/>
    <w:rsid w:val="00884F1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884F1C"/>
    <w:rPr>
      <w:i/>
      <w:iCs/>
      <w:color w:val="2F5496"/>
    </w:rPr>
  </w:style>
  <w:style w:type="character" w:styleId="IntenseReference">
    <w:name w:val="Intense Reference"/>
    <w:uiPriority w:val="32"/>
    <w:qFormat/>
    <w:rsid w:val="00884F1C"/>
    <w:rPr>
      <w:b/>
      <w:bCs/>
      <w:smallCaps/>
      <w:color w:val="2F5496"/>
      <w:spacing w:val="5"/>
    </w:rPr>
  </w:style>
  <w:style w:type="paragraph" w:styleId="BodyText2">
    <w:name w:val="Body Text 2"/>
    <w:basedOn w:val="Normal"/>
    <w:link w:val="BodyText2Char"/>
    <w:rsid w:val="00884F1C"/>
    <w:pPr>
      <w:spacing w:after="120" w:line="480" w:lineRule="auto"/>
    </w:pPr>
    <w:rPr>
      <w:lang w:val="x-none"/>
    </w:rPr>
  </w:style>
  <w:style w:type="character" w:customStyle="1" w:styleId="BodyText2Char">
    <w:name w:val="Body Text 2 Char"/>
    <w:link w:val="BodyText2"/>
    <w:rsid w:val="00884F1C"/>
    <w:rPr>
      <w:rFonts w:eastAsia="Times New Roman" w:cs="Times New Roman"/>
      <w:kern w:val="0"/>
      <w:lang w:val="x-none" w:eastAsia="ru-RU"/>
    </w:rPr>
  </w:style>
  <w:style w:type="paragraph" w:styleId="Footer">
    <w:name w:val="footer"/>
    <w:basedOn w:val="Normal"/>
    <w:link w:val="FooterChar"/>
    <w:unhideWhenUsed/>
    <w:rsid w:val="00884F1C"/>
    <w:pPr>
      <w:tabs>
        <w:tab w:val="center" w:pos="4153"/>
        <w:tab w:val="right" w:pos="8306"/>
      </w:tabs>
    </w:pPr>
  </w:style>
  <w:style w:type="character" w:customStyle="1" w:styleId="FooterChar">
    <w:name w:val="Footer Char"/>
    <w:link w:val="Footer"/>
    <w:rsid w:val="00884F1C"/>
    <w:rPr>
      <w:rFonts w:eastAsia="Times New Roman" w:cs="Times New Roman"/>
      <w:kern w:val="0"/>
      <w:lang w:val="lv-LV" w:eastAsia="ru-RU"/>
    </w:rPr>
  </w:style>
  <w:style w:type="character" w:styleId="PageNumber">
    <w:name w:val="page number"/>
    <w:basedOn w:val="DefaultParagraphFont"/>
    <w:rsid w:val="00884F1C"/>
  </w:style>
  <w:style w:type="paragraph" w:customStyle="1" w:styleId="ATpamattesksts">
    <w:name w:val="AT pamattesksts"/>
    <w:basedOn w:val="BodyText2"/>
    <w:link w:val="ATpamatteskstsChar"/>
    <w:qFormat/>
    <w:rsid w:val="00884F1C"/>
    <w:pPr>
      <w:spacing w:after="0" w:line="276" w:lineRule="auto"/>
      <w:ind w:firstLine="567"/>
      <w:jc w:val="both"/>
    </w:pPr>
    <w:rPr>
      <w:lang w:val="lv-LV"/>
    </w:rPr>
  </w:style>
  <w:style w:type="character" w:customStyle="1" w:styleId="ATpamatteskstsChar">
    <w:name w:val="AT pamattesksts Char"/>
    <w:link w:val="ATpamattesksts"/>
    <w:rsid w:val="00884F1C"/>
    <w:rPr>
      <w:rFonts w:eastAsia="Times New Roman" w:cs="Times New Roman"/>
      <w:kern w:val="0"/>
      <w:lang w:val="lv-LV" w:eastAsia="ru-RU"/>
    </w:rPr>
  </w:style>
  <w:style w:type="paragraph" w:customStyle="1" w:styleId="ATvirsraksts">
    <w:name w:val="AT virsraksts"/>
    <w:basedOn w:val="Normal"/>
    <w:link w:val="ATvirsrakstsChar"/>
    <w:qFormat/>
    <w:rsid w:val="00884F1C"/>
    <w:pPr>
      <w:spacing w:line="276" w:lineRule="auto"/>
      <w:jc w:val="center"/>
      <w:outlineLvl w:val="0"/>
    </w:pPr>
    <w:rPr>
      <w:b/>
    </w:rPr>
  </w:style>
  <w:style w:type="character" w:customStyle="1" w:styleId="ATvirsrakstsChar">
    <w:name w:val="AT virsraksts Char"/>
    <w:link w:val="ATvirsraksts"/>
    <w:rsid w:val="00884F1C"/>
    <w:rPr>
      <w:rFonts w:eastAsia="Times New Roman" w:cs="Times New Roman"/>
      <w:b/>
      <w:kern w:val="0"/>
      <w:lang w:val="lv-LV" w:eastAsia="ru-RU"/>
    </w:rPr>
  </w:style>
  <w:style w:type="character" w:styleId="Hyperlink">
    <w:name w:val="Hyperlink"/>
    <w:uiPriority w:val="99"/>
    <w:unhideWhenUsed/>
    <w:rsid w:val="00884F1C"/>
    <w:rPr>
      <w:color w:val="0563C1"/>
      <w:u w:val="single"/>
    </w:rPr>
  </w:style>
  <w:style w:type="paragraph" w:styleId="NormalWeb">
    <w:name w:val="Normal (Web)"/>
    <w:basedOn w:val="Normal"/>
    <w:uiPriority w:val="99"/>
    <w:rsid w:val="00884F1C"/>
    <w:pPr>
      <w:spacing w:before="100" w:beforeAutospacing="1" w:after="100" w:afterAutospacing="1"/>
    </w:pPr>
    <w:rPr>
      <w:lang w:eastAsia="lv-LV"/>
    </w:rPr>
  </w:style>
  <w:style w:type="paragraph" w:styleId="ListBullet">
    <w:name w:val="List Bullet"/>
    <w:basedOn w:val="Normal"/>
    <w:uiPriority w:val="99"/>
    <w:unhideWhenUsed/>
    <w:rsid w:val="00884F1C"/>
    <w:pPr>
      <w:numPr>
        <w:numId w:val="1"/>
      </w:numPr>
      <w:contextualSpacing/>
    </w:pPr>
  </w:style>
  <w:style w:type="character" w:styleId="UnresolvedMention">
    <w:name w:val="Unresolved Mention"/>
    <w:uiPriority w:val="99"/>
    <w:semiHidden/>
    <w:unhideWhenUsed/>
    <w:rsid w:val="00ED5FF6"/>
    <w:rPr>
      <w:color w:val="605E5C"/>
      <w:shd w:val="clear" w:color="auto" w:fill="E1DFDD"/>
    </w:rPr>
  </w:style>
  <w:style w:type="character" w:styleId="CommentReference">
    <w:name w:val="annotation reference"/>
    <w:uiPriority w:val="99"/>
    <w:semiHidden/>
    <w:unhideWhenUsed/>
    <w:rsid w:val="009815F8"/>
    <w:rPr>
      <w:sz w:val="16"/>
      <w:szCs w:val="16"/>
    </w:rPr>
  </w:style>
  <w:style w:type="paragraph" w:styleId="CommentText">
    <w:name w:val="annotation text"/>
    <w:basedOn w:val="Normal"/>
    <w:link w:val="CommentTextChar"/>
    <w:uiPriority w:val="99"/>
    <w:unhideWhenUsed/>
    <w:rsid w:val="009815F8"/>
    <w:rPr>
      <w:sz w:val="20"/>
      <w:szCs w:val="20"/>
    </w:rPr>
  </w:style>
  <w:style w:type="character" w:customStyle="1" w:styleId="CommentTextChar">
    <w:name w:val="Comment Text Char"/>
    <w:link w:val="CommentText"/>
    <w:uiPriority w:val="99"/>
    <w:rsid w:val="009815F8"/>
    <w:rPr>
      <w:rFonts w:eastAsia="Times New Roman" w:cs="Times New Roman"/>
      <w:kern w:val="0"/>
      <w:sz w:val="20"/>
      <w:szCs w:val="20"/>
      <w:lang w:val="lv-LV" w:eastAsia="ru-RU"/>
    </w:rPr>
  </w:style>
  <w:style w:type="paragraph" w:styleId="CommentSubject">
    <w:name w:val="annotation subject"/>
    <w:basedOn w:val="CommentText"/>
    <w:next w:val="CommentText"/>
    <w:link w:val="CommentSubjectChar"/>
    <w:uiPriority w:val="99"/>
    <w:semiHidden/>
    <w:unhideWhenUsed/>
    <w:rsid w:val="009815F8"/>
    <w:rPr>
      <w:b/>
      <w:bCs/>
    </w:rPr>
  </w:style>
  <w:style w:type="character" w:customStyle="1" w:styleId="CommentSubjectChar">
    <w:name w:val="Comment Subject Char"/>
    <w:link w:val="CommentSubject"/>
    <w:uiPriority w:val="99"/>
    <w:semiHidden/>
    <w:rsid w:val="009815F8"/>
    <w:rPr>
      <w:rFonts w:eastAsia="Times New Roman" w:cs="Times New Roman"/>
      <w:b/>
      <w:bCs/>
      <w:kern w:val="0"/>
      <w:sz w:val="20"/>
      <w:szCs w:val="20"/>
      <w:lang w:val="lv-LV" w:eastAsia="ru-RU"/>
    </w:rPr>
  </w:style>
  <w:style w:type="paragraph" w:styleId="Revision">
    <w:name w:val="Revision"/>
    <w:hidden/>
    <w:uiPriority w:val="99"/>
    <w:semiHidden/>
    <w:rsid w:val="001A6DBC"/>
    <w:rPr>
      <w:rFonts w:eastAsia="Times New Roman" w:cs="Times New Roman"/>
      <w:sz w:val="24"/>
      <w:szCs w:val="24"/>
      <w:lang w:eastAsia="ru-RU"/>
    </w:rPr>
  </w:style>
  <w:style w:type="character" w:styleId="FollowedHyperlink">
    <w:name w:val="FollowedHyperlink"/>
    <w:uiPriority w:val="99"/>
    <w:semiHidden/>
    <w:unhideWhenUsed/>
    <w:rsid w:val="002D5F90"/>
    <w:rPr>
      <w:color w:val="954F72"/>
      <w:u w:val="single"/>
    </w:rPr>
  </w:style>
  <w:style w:type="paragraph" w:customStyle="1" w:styleId="Default">
    <w:name w:val="Default"/>
    <w:rsid w:val="00E97078"/>
    <w:pPr>
      <w:autoSpaceDE w:val="0"/>
      <w:autoSpaceDN w:val="0"/>
      <w:adjustRightInd w:val="0"/>
    </w:pPr>
    <w:rPr>
      <w:rFonts w:cs="Times New Roman"/>
      <w:color w:val="000000"/>
      <w:sz w:val="24"/>
      <w:szCs w:val="24"/>
      <w:lang w:val="en-US" w:eastAsia="en-US"/>
    </w:rPr>
  </w:style>
  <w:style w:type="paragraph" w:customStyle="1" w:styleId="Style1">
    <w:name w:val="Style1"/>
    <w:basedOn w:val="Normal"/>
    <w:link w:val="Style1Char"/>
    <w:qFormat/>
    <w:rsid w:val="009D646D"/>
    <w:pPr>
      <w:spacing w:line="276" w:lineRule="auto"/>
      <w:ind w:firstLine="720"/>
      <w:jc w:val="both"/>
    </w:pPr>
  </w:style>
  <w:style w:type="character" w:customStyle="1" w:styleId="Style1Char">
    <w:name w:val="Style1 Char"/>
    <w:link w:val="Style1"/>
    <w:rsid w:val="009D646D"/>
    <w:rPr>
      <w:rFonts w:eastAsia="Times New Roman" w:cs="Times New Roman"/>
      <w:kern w:val="0"/>
      <w:lang w:val="lv-LV" w:eastAsia="ru-RU"/>
    </w:rPr>
  </w:style>
  <w:style w:type="paragraph" w:styleId="Header">
    <w:name w:val="header"/>
    <w:basedOn w:val="Normal"/>
    <w:link w:val="HeaderChar"/>
    <w:uiPriority w:val="99"/>
    <w:unhideWhenUsed/>
    <w:rsid w:val="009D646D"/>
    <w:pPr>
      <w:tabs>
        <w:tab w:val="center" w:pos="4320"/>
        <w:tab w:val="right" w:pos="8640"/>
      </w:tabs>
    </w:pPr>
  </w:style>
  <w:style w:type="character" w:customStyle="1" w:styleId="HeaderChar">
    <w:name w:val="Header Char"/>
    <w:link w:val="Header"/>
    <w:uiPriority w:val="99"/>
    <w:rsid w:val="009D646D"/>
    <w:rPr>
      <w:rFonts w:eastAsia="Times New Roman" w:cs="Times New Roman"/>
      <w:kern w:val="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0292">
      <w:bodyDiv w:val="1"/>
      <w:marLeft w:val="0"/>
      <w:marRight w:val="0"/>
      <w:marTop w:val="0"/>
      <w:marBottom w:val="0"/>
      <w:divBdr>
        <w:top w:val="none" w:sz="0" w:space="0" w:color="auto"/>
        <w:left w:val="none" w:sz="0" w:space="0" w:color="auto"/>
        <w:bottom w:val="none" w:sz="0" w:space="0" w:color="auto"/>
        <w:right w:val="none" w:sz="0" w:space="0" w:color="auto"/>
      </w:divBdr>
    </w:div>
    <w:div w:id="20844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teway.elieta.lv/api/v1/PublicMaterialDownload/40f637d9-727f-4bb2-bb0e-8a4d7480cc89" TargetMode="External"/><Relationship Id="rId18" Type="http://schemas.openxmlformats.org/officeDocument/2006/relationships/hyperlink" Target="https://likumi.lv/ta/lv/starptautiskie-ligumi/id/1379" TargetMode="External"/><Relationship Id="rId26" Type="http://schemas.openxmlformats.org/officeDocument/2006/relationships/hyperlink" Target="https://uitspraken.rechtspraak.nl/details?id=ECLI:NL:GHSHE:2015:5410" TargetMode="External"/><Relationship Id="rId3" Type="http://schemas.openxmlformats.org/officeDocument/2006/relationships/styles" Target="styles.xml"/><Relationship Id="rId21" Type="http://schemas.openxmlformats.org/officeDocument/2006/relationships/hyperlink" Target="https://gateway.elieta.lv/api/v1/PublicMaterialDownload/1ae2ec83-9004-43fd-be82-ba6c7ef8649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teway.elieta.lv/api/v1/PublicMaterialDownload/52a76f9f-db1c-457d-b2cf-53f10779df7a" TargetMode="External"/><Relationship Id="rId17" Type="http://schemas.openxmlformats.org/officeDocument/2006/relationships/hyperlink" Target="https://likumi.lv/ta/id/36679-par-1992-gada-5-junija-riodezaneiro-konvenciju-par-biologisko-daudzveidibu" TargetMode="External"/><Relationship Id="rId25" Type="http://schemas.openxmlformats.org/officeDocument/2006/relationships/hyperlink" Target="https://search.bger.ch/ext/eurospider/live/fr/php/aza/http/index.php?lang=fr&amp;type=highlight_simple_query&amp;page=1&amp;from_date=&amp;to_date=&amp;sort=relevance&amp;insertion_date=&amp;top_subcollection_aza=all&amp;query_words=5A_909%2F2013+&amp;rank=1&amp;azaclir=aza&amp;highlight_docid=aza%3A%2F%2F04-04-2014-5A_909-2013&amp;number_of_ranks=5" TargetMode="External"/><Relationship Id="rId33" Type="http://schemas.openxmlformats.org/officeDocument/2006/relationships/hyperlink" Target="https://likumi.lv/ta/id/238391-par-nagojas-kualalumpuras-papildprotokolu-par-atbildibu-un-atlidzinasanu-kas-pievienots-kartahenas-protokolam-par-biologisko-dr..." TargetMode="External"/><Relationship Id="rId2" Type="http://schemas.openxmlformats.org/officeDocument/2006/relationships/numbering" Target="numbering.xml"/><Relationship Id="rId16" Type="http://schemas.openxmlformats.org/officeDocument/2006/relationships/hyperlink" Target="https://likumi.lv/ta/lv/starptautiskie-ligumi/id/1296" TargetMode="External"/><Relationship Id="rId20" Type="http://schemas.openxmlformats.org/officeDocument/2006/relationships/hyperlink" Target="https://gateway.elieta.lv/api/v1/PublicMaterialDownload/76aa7ded-c8f4-4a16-a973-383d2da92b6f" TargetMode="External"/><Relationship Id="rId29" Type="http://schemas.openxmlformats.org/officeDocument/2006/relationships/hyperlink" Target="https://gateway.elieta.lv/api/v1/PublicMaterialDownload/89c24d88-4693-4c0f-bc6e-fbe3715cc0a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c6984294-0ffc-4a05-82c7-76c317e3134d" TargetMode="External"/><Relationship Id="rId24" Type="http://schemas.openxmlformats.org/officeDocument/2006/relationships/hyperlink" Target="https://dejure.org/dienste/vernetzung/rechtsprechung?Gericht=BGH&amp;Datum=12.01.1960&amp;Aktenzeichen=VI%20ZR%20220/58" TargetMode="External"/><Relationship Id="rId32" Type="http://schemas.openxmlformats.org/officeDocument/2006/relationships/hyperlink" Target="https://likumi.lv/ta/lv/starptautiskie-ligumi/id/1379" TargetMode="External"/><Relationship Id="rId5" Type="http://schemas.openxmlformats.org/officeDocument/2006/relationships/webSettings" Target="webSettings.xml"/><Relationship Id="rId15" Type="http://schemas.openxmlformats.org/officeDocument/2006/relationships/hyperlink" Target="https://likumi.lv/ta/id/247350" TargetMode="External"/><Relationship Id="rId23" Type="http://schemas.openxmlformats.org/officeDocument/2006/relationships/hyperlink" Target="https://gateway.elieta.lv/api/v1/PublicMaterialDownload/ad2c412a-7461-4e1a-9778-cc01eeb84eed" TargetMode="External"/><Relationship Id="rId28" Type="http://schemas.openxmlformats.org/officeDocument/2006/relationships/hyperlink" Target="https://tapportals.mk.gov.lv/annotation/c0f3dce3-79cb-475e-be0e-1929f57cb7b7" TargetMode="External"/><Relationship Id="rId36" Type="http://schemas.openxmlformats.org/officeDocument/2006/relationships/theme" Target="theme/theme1.xml"/><Relationship Id="rId10" Type="http://schemas.openxmlformats.org/officeDocument/2006/relationships/hyperlink" Target="https://gateway.elieta.lv/api/v1/PublicMaterialDownload/6aebca11-e7e6-4b98-9858-14fe60356989" TargetMode="External"/><Relationship Id="rId19" Type="http://schemas.openxmlformats.org/officeDocument/2006/relationships/hyperlink" Target="https://likumi.lv/ta/id/238391-par-nagojas-kualalumpuras-papildprotokolu-par-atbildibu-un-atlidzinasanu-kas-pievienots-kartahenas-protokolam-par-biologisko-dr..." TargetMode="External"/><Relationship Id="rId31" Type="http://schemas.openxmlformats.org/officeDocument/2006/relationships/hyperlink" Target="https://likumi.lv/ta/id/36679-par-1992-gada-5-junija-riodezaneiro-konvenciju-par-biologisko-daudzveidibu" TargetMode="External"/><Relationship Id="rId4" Type="http://schemas.openxmlformats.org/officeDocument/2006/relationships/settings" Target="settings.xml"/><Relationship Id="rId9" Type="http://schemas.openxmlformats.org/officeDocument/2006/relationships/hyperlink" Target="https://gateway.elieta.lv/api/v1/PublicMaterialDownload/0be5ae9e-0f85-4559-83cc-0f9076bc1f84" TargetMode="External"/><Relationship Id="rId14" Type="http://schemas.openxmlformats.org/officeDocument/2006/relationships/hyperlink" Target="https://gateway.elieta.lv/api/v1/PublicMaterialDownload/5c247e21-f72d-4de3-b1bf-b7b2ec26328f" TargetMode="External"/><Relationship Id="rId22" Type="http://schemas.openxmlformats.org/officeDocument/2006/relationships/hyperlink" Target="https://gateway.elieta.lv/api/v1/PublicMaterialDownload/cce0e91f-2a7a-41c4-a53a-08a3019f181b" TargetMode="External"/><Relationship Id="rId27" Type="http://schemas.openxmlformats.org/officeDocument/2006/relationships/hyperlink" Target="https://www.italgiure.giustizia.it/sncass/" TargetMode="External"/><Relationship Id="rId30" Type="http://schemas.openxmlformats.org/officeDocument/2006/relationships/hyperlink" Target="https://likumi.lv/ta/lv/starptautiskie-ligumi/id/1296" TargetMode="External"/><Relationship Id="rId35" Type="http://schemas.openxmlformats.org/officeDocument/2006/relationships/fontTable" Target="fontTable.xml"/><Relationship Id="rId8" Type="http://schemas.openxmlformats.org/officeDocument/2006/relationships/hyperlink" Target="https://gateway.elieta.lv/api/v1/PublicMaterialDownload/5889d5c4-0908-49d1-b367-210050bbc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EAF0-F3B3-484C-B57D-CA528DC6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33882</Words>
  <Characters>19313</Characters>
  <Application>Microsoft Office Word</Application>
  <DocSecurity>0</DocSecurity>
  <Lines>160</Lines>
  <Paragraphs>106</Paragraphs>
  <ScaleCrop>false</ScaleCrop>
  <Company/>
  <LinksUpToDate>false</LinksUpToDate>
  <CharactersWithSpaces>53089</CharactersWithSpaces>
  <SharedDoc>false</SharedDoc>
  <HLinks>
    <vt:vector size="132" baseType="variant">
      <vt:variant>
        <vt:i4>6160453</vt:i4>
      </vt:variant>
      <vt:variant>
        <vt:i4>63</vt:i4>
      </vt:variant>
      <vt:variant>
        <vt:i4>0</vt:i4>
      </vt:variant>
      <vt:variant>
        <vt:i4>5</vt:i4>
      </vt:variant>
      <vt:variant>
        <vt:lpwstr>https://likumi.lv/ta/id/238391-par-nagojas-kualalumpuras-papildprotokolu-par-atbildibu-un-atlidzinasanu-kas-pievienots-kartahenas-protokolam-par-biologisko-dr...</vt:lpwstr>
      </vt:variant>
      <vt:variant>
        <vt:lpwstr/>
      </vt:variant>
      <vt:variant>
        <vt:i4>5111839</vt:i4>
      </vt:variant>
      <vt:variant>
        <vt:i4>60</vt:i4>
      </vt:variant>
      <vt:variant>
        <vt:i4>0</vt:i4>
      </vt:variant>
      <vt:variant>
        <vt:i4>5</vt:i4>
      </vt:variant>
      <vt:variant>
        <vt:lpwstr>https://likumi.lv/ta/lv/starptautiskie-ligumi/id/1379</vt:lpwstr>
      </vt:variant>
      <vt:variant>
        <vt:lpwstr/>
      </vt:variant>
      <vt:variant>
        <vt:i4>1310785</vt:i4>
      </vt:variant>
      <vt:variant>
        <vt:i4>57</vt:i4>
      </vt:variant>
      <vt:variant>
        <vt:i4>0</vt:i4>
      </vt:variant>
      <vt:variant>
        <vt:i4>5</vt:i4>
      </vt:variant>
      <vt:variant>
        <vt:lpwstr>https://likumi.lv/ta/id/36679-par-1992-gada-5-junija-riodezaneiro-konvenciju-par-biologisko-daudzveidibu</vt:lpwstr>
      </vt:variant>
      <vt:variant>
        <vt:lpwstr/>
      </vt:variant>
      <vt:variant>
        <vt:i4>4194334</vt:i4>
      </vt:variant>
      <vt:variant>
        <vt:i4>54</vt:i4>
      </vt:variant>
      <vt:variant>
        <vt:i4>0</vt:i4>
      </vt:variant>
      <vt:variant>
        <vt:i4>5</vt:i4>
      </vt:variant>
      <vt:variant>
        <vt:lpwstr>https://likumi.lv/ta/lv/starptautiskie-ligumi/id/1296</vt:lpwstr>
      </vt:variant>
      <vt:variant>
        <vt:lpwstr/>
      </vt:variant>
      <vt:variant>
        <vt:i4>655439</vt:i4>
      </vt:variant>
      <vt:variant>
        <vt:i4>51</vt:i4>
      </vt:variant>
      <vt:variant>
        <vt:i4>0</vt:i4>
      </vt:variant>
      <vt:variant>
        <vt:i4>5</vt:i4>
      </vt:variant>
      <vt:variant>
        <vt:lpwstr>https://tapportals.mk.gov.lv/annotation/c0f3dce3-79cb-475e-be0e-1929f57cb7b7</vt:lpwstr>
      </vt:variant>
      <vt:variant>
        <vt:lpwstr/>
      </vt:variant>
      <vt:variant>
        <vt:i4>6881400</vt:i4>
      </vt:variant>
      <vt:variant>
        <vt:i4>48</vt:i4>
      </vt:variant>
      <vt:variant>
        <vt:i4>0</vt:i4>
      </vt:variant>
      <vt:variant>
        <vt:i4>5</vt:i4>
      </vt:variant>
      <vt:variant>
        <vt:lpwstr>https://www.italgiure.giustizia.it/sncass/</vt:lpwstr>
      </vt:variant>
      <vt:variant>
        <vt:lpwstr/>
      </vt:variant>
      <vt:variant>
        <vt:i4>131087</vt:i4>
      </vt:variant>
      <vt:variant>
        <vt:i4>45</vt:i4>
      </vt:variant>
      <vt:variant>
        <vt:i4>0</vt:i4>
      </vt:variant>
      <vt:variant>
        <vt:i4>5</vt:i4>
      </vt:variant>
      <vt:variant>
        <vt:lpwstr>https://uitspraken.rechtspraak.nl/details?id=ECLI:NL:GHSHE:2015:5410</vt:lpwstr>
      </vt:variant>
      <vt:variant>
        <vt:lpwstr/>
      </vt:variant>
      <vt:variant>
        <vt:i4>393280</vt:i4>
      </vt:variant>
      <vt:variant>
        <vt:i4>42</vt:i4>
      </vt:variant>
      <vt:variant>
        <vt:i4>0</vt:i4>
      </vt:variant>
      <vt:variant>
        <vt:i4>5</vt:i4>
      </vt:variant>
      <vt:variant>
        <vt:lpwstr>https://search.bger.ch/ext/eurospider/live/fr/php/aza/http/index.php?lang=fr&amp;type=highlight_simple_query&amp;page=1&amp;from_date=&amp;to_date=&amp;sort=relevance&amp;insertion_date=&amp;top_subcollection_aza=all&amp;query_words=5A_909%2F2013+&amp;rank=1&amp;azaclir=aza&amp;highlight_docid=aza%3A%2F%2F04-04-2014-5A_909-2013&amp;number_of_ranks=5</vt:lpwstr>
      </vt:variant>
      <vt:variant>
        <vt:lpwstr/>
      </vt:variant>
      <vt:variant>
        <vt:i4>2687023</vt:i4>
      </vt:variant>
      <vt:variant>
        <vt:i4>39</vt:i4>
      </vt:variant>
      <vt:variant>
        <vt:i4>0</vt:i4>
      </vt:variant>
      <vt:variant>
        <vt:i4>5</vt:i4>
      </vt:variant>
      <vt:variant>
        <vt:lpwstr>https://dejure.org/dienste/vernetzung/rechtsprechung?Gericht=BGH&amp;Datum=12.01.1960&amp;Aktenzeichen=VI%20ZR%20220/58</vt:lpwstr>
      </vt:variant>
      <vt:variant>
        <vt:lpwstr/>
      </vt:variant>
      <vt:variant>
        <vt:i4>2490429</vt:i4>
      </vt:variant>
      <vt:variant>
        <vt:i4>36</vt:i4>
      </vt:variant>
      <vt:variant>
        <vt:i4>0</vt:i4>
      </vt:variant>
      <vt:variant>
        <vt:i4>5</vt:i4>
      </vt:variant>
      <vt:variant>
        <vt:lpwstr>https://manas.tiesas.lv/eTiesasMvc/nolemumi/pdf/528976.pdf</vt:lpwstr>
      </vt:variant>
      <vt:variant>
        <vt:lpwstr/>
      </vt:variant>
      <vt:variant>
        <vt:i4>2752561</vt:i4>
      </vt:variant>
      <vt:variant>
        <vt:i4>33</vt:i4>
      </vt:variant>
      <vt:variant>
        <vt:i4>0</vt:i4>
      </vt:variant>
      <vt:variant>
        <vt:i4>5</vt:i4>
      </vt:variant>
      <vt:variant>
        <vt:lpwstr>https://manas.tiesas.lv/eTiesasMvc/nolemumi/pdf/456743.pdf</vt:lpwstr>
      </vt:variant>
      <vt:variant>
        <vt:lpwstr/>
      </vt:variant>
      <vt:variant>
        <vt:i4>2621491</vt:i4>
      </vt:variant>
      <vt:variant>
        <vt:i4>30</vt:i4>
      </vt:variant>
      <vt:variant>
        <vt:i4>0</vt:i4>
      </vt:variant>
      <vt:variant>
        <vt:i4>5</vt:i4>
      </vt:variant>
      <vt:variant>
        <vt:lpwstr>https://manas.tiesas.lv/eTiesasMvc/nolemumi/pdf/418486.pdf</vt:lpwstr>
      </vt:variant>
      <vt:variant>
        <vt:lpwstr/>
      </vt:variant>
      <vt:variant>
        <vt:i4>6160453</vt:i4>
      </vt:variant>
      <vt:variant>
        <vt:i4>27</vt:i4>
      </vt:variant>
      <vt:variant>
        <vt:i4>0</vt:i4>
      </vt:variant>
      <vt:variant>
        <vt:i4>5</vt:i4>
      </vt:variant>
      <vt:variant>
        <vt:lpwstr>https://likumi.lv/ta/id/238391-par-nagojas-kualalumpuras-papildprotokolu-par-atbildibu-un-atlidzinasanu-kas-pievienots-kartahenas-protokolam-par-biologisko-dr...</vt:lpwstr>
      </vt:variant>
      <vt:variant>
        <vt:lpwstr/>
      </vt:variant>
      <vt:variant>
        <vt:i4>5111839</vt:i4>
      </vt:variant>
      <vt:variant>
        <vt:i4>24</vt:i4>
      </vt:variant>
      <vt:variant>
        <vt:i4>0</vt:i4>
      </vt:variant>
      <vt:variant>
        <vt:i4>5</vt:i4>
      </vt:variant>
      <vt:variant>
        <vt:lpwstr>https://likumi.lv/ta/lv/starptautiskie-ligumi/id/1379</vt:lpwstr>
      </vt:variant>
      <vt:variant>
        <vt:lpwstr/>
      </vt:variant>
      <vt:variant>
        <vt:i4>1310785</vt:i4>
      </vt:variant>
      <vt:variant>
        <vt:i4>21</vt:i4>
      </vt:variant>
      <vt:variant>
        <vt:i4>0</vt:i4>
      </vt:variant>
      <vt:variant>
        <vt:i4>5</vt:i4>
      </vt:variant>
      <vt:variant>
        <vt:lpwstr>https://likumi.lv/ta/id/36679-par-1992-gada-5-junija-riodezaneiro-konvenciju-par-biologisko-daudzveidibu</vt:lpwstr>
      </vt:variant>
      <vt:variant>
        <vt:lpwstr/>
      </vt:variant>
      <vt:variant>
        <vt:i4>4194334</vt:i4>
      </vt:variant>
      <vt:variant>
        <vt:i4>18</vt:i4>
      </vt:variant>
      <vt:variant>
        <vt:i4>0</vt:i4>
      </vt:variant>
      <vt:variant>
        <vt:i4>5</vt:i4>
      </vt:variant>
      <vt:variant>
        <vt:lpwstr>https://likumi.lv/ta/lv/starptautiskie-ligumi/id/1296</vt:lpwstr>
      </vt:variant>
      <vt:variant>
        <vt:lpwstr/>
      </vt:variant>
      <vt:variant>
        <vt:i4>3276904</vt:i4>
      </vt:variant>
      <vt:variant>
        <vt:i4>15</vt:i4>
      </vt:variant>
      <vt:variant>
        <vt:i4>0</vt:i4>
      </vt:variant>
      <vt:variant>
        <vt:i4>5</vt:i4>
      </vt:variant>
      <vt:variant>
        <vt:lpwstr>https://likumi.lv/ta/id/247350</vt:lpwstr>
      </vt:variant>
      <vt:variant>
        <vt:lpwstr>piel3</vt:lpwstr>
      </vt:variant>
      <vt:variant>
        <vt:i4>5963862</vt:i4>
      </vt:variant>
      <vt:variant>
        <vt:i4>12</vt:i4>
      </vt:variant>
      <vt:variant>
        <vt:i4>0</vt:i4>
      </vt:variant>
      <vt:variant>
        <vt:i4>5</vt:i4>
      </vt:variant>
      <vt:variant>
        <vt:lpwstr>https://gateway.elieta.lv/api/v1/PublicMaterialDownload/5c247e21-f72d-4de3-b1bf-b7b2ec26328f</vt:lpwstr>
      </vt:variant>
      <vt:variant>
        <vt:lpwstr/>
      </vt:variant>
      <vt:variant>
        <vt:i4>917509</vt:i4>
      </vt:variant>
      <vt:variant>
        <vt:i4>9</vt:i4>
      </vt:variant>
      <vt:variant>
        <vt:i4>0</vt:i4>
      </vt:variant>
      <vt:variant>
        <vt:i4>5</vt:i4>
      </vt:variant>
      <vt:variant>
        <vt:lpwstr>https://gateway.elieta.lv/api/v1/PublicMaterialDownload/40f637d9-727f-4bb2-bb0e-8a4d7480cc89</vt:lpwstr>
      </vt:variant>
      <vt:variant>
        <vt:lpwstr/>
      </vt:variant>
      <vt:variant>
        <vt:i4>2162749</vt:i4>
      </vt:variant>
      <vt:variant>
        <vt:i4>6</vt:i4>
      </vt:variant>
      <vt:variant>
        <vt:i4>0</vt:i4>
      </vt:variant>
      <vt:variant>
        <vt:i4>5</vt:i4>
      </vt:variant>
      <vt:variant>
        <vt:lpwstr>https://manas.tiesas.lv/eTiesasMvc/nolemumi/pdf/122991.pdf</vt:lpwstr>
      </vt:variant>
      <vt:variant>
        <vt:lpwstr/>
      </vt:variant>
      <vt:variant>
        <vt:i4>1835012</vt:i4>
      </vt:variant>
      <vt:variant>
        <vt:i4>3</vt:i4>
      </vt:variant>
      <vt:variant>
        <vt:i4>0</vt:i4>
      </vt:variant>
      <vt:variant>
        <vt:i4>5</vt:i4>
      </vt:variant>
      <vt:variant>
        <vt:lpwstr>https://manas.tiesas.lv/eTiesasMvc/eclinolemumi/ECLI:LV:AT:2024:0828.SA000224.4.S</vt:lpwstr>
      </vt:variant>
      <vt:variant>
        <vt:lpwstr/>
      </vt:variant>
      <vt:variant>
        <vt:i4>3014706</vt:i4>
      </vt:variant>
      <vt:variant>
        <vt:i4>0</vt:i4>
      </vt:variant>
      <vt:variant>
        <vt:i4>0</vt:i4>
      </vt:variant>
      <vt:variant>
        <vt:i4>5</vt:i4>
      </vt:variant>
      <vt:variant>
        <vt:lpwstr>https://manas.tiesas.lv/eTiesasMvc/nolemumi/pdf/526760.pdf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2026-05-29T11:08:00Z</dcterms:created>
  <dcterms:modified xsi:type="dcterms:W3CDTF">2026-05-29T11:08:00Z</dcterms:modified>
</cp:coreProperties>
</file>