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5FE54" w14:textId="77777777" w:rsidR="00BB32EB" w:rsidRDefault="00BB32EB" w:rsidP="00B87BD6">
      <w:pPr>
        <w:spacing w:line="276" w:lineRule="auto"/>
        <w:jc w:val="both"/>
        <w:rPr>
          <w:b/>
          <w:bCs/>
          <w:lang w:eastAsia="lv-LV"/>
          <w14:ligatures w14:val="standardContextual"/>
        </w:rPr>
      </w:pPr>
      <w:r>
        <w:rPr>
          <w:b/>
          <w:bCs/>
          <w14:ligatures w14:val="standardContextual"/>
        </w:rPr>
        <w:t>Pieteikuma par pašvaldības bezdarbību publisku pasākumu kontroles jomā izskatīšana administratīvā procesa kārtībā</w:t>
      </w:r>
    </w:p>
    <w:p w14:paraId="2CF457E8" w14:textId="0D91C6C7" w:rsidR="003047F5" w:rsidRDefault="00BB32EB" w:rsidP="00B87BD6">
      <w:pPr>
        <w:spacing w:line="276" w:lineRule="auto"/>
        <w:jc w:val="both"/>
        <w:rPr>
          <w14:ligatures w14:val="standardContextual"/>
        </w:rPr>
      </w:pPr>
      <w:r>
        <w:rPr>
          <w14:ligatures w14:val="standardContextual"/>
        </w:rPr>
        <w:t xml:space="preserve">No Publisku izklaides un svētku pasākumu drošības likuma izriet pašvaldības pienākums nodrošināt kontroli pār publisku pasākumu norisi, </w:t>
      </w:r>
      <w:r>
        <w:rPr>
          <w:color w:val="000000"/>
          <w14:ligatures w14:val="standardContextual"/>
        </w:rPr>
        <w:t>tostarp izvērtējot,</w:t>
      </w:r>
      <w:r>
        <w:rPr>
          <w:color w:val="EE0000"/>
          <w14:ligatures w14:val="standardContextual"/>
        </w:rPr>
        <w:t xml:space="preserve"> </w:t>
      </w:r>
      <w:r>
        <w:rPr>
          <w:color w:val="000000"/>
          <w14:ligatures w14:val="standardContextual"/>
        </w:rPr>
        <w:t>noteiktu personu – publiska pasākuma apmeklētāju, dalībnieku un personu, kuras pasākums tieši un būtiski skar, – tiesības prasīt šā pienākuma ievērošanu</w:t>
      </w:r>
      <w:r>
        <w:rPr>
          <w14:ligatures w14:val="standardContextual"/>
        </w:rPr>
        <w:t xml:space="preserve">. Tas nozīmē arī tiesības prasīt pašvaldības rīcības šajā jautājumā tiesiskuma retrospektīvu pārbaudi tiesā. Tomēr tiesa nevar izvērtēt to, vai pašvaldība vispārīgi pilda pienākumu publisko pasākumu kontroles nodrošināšanā. Tam jābūt saistītam ar konkrētu personas tiesību vai tiesisko interešu aizskārumu, tātad ar konkrētu publisko pasākumu vai pasākumiem. Tādējādi persona, kuru skar pašvaldības bezdarbība publisku pasākumu kontroles jomā, var vērsties tiesā, ja tā pamato konkrētu savu tiesību vai tiesisko interešu aizskārumu ar konkrētu publisko pasākumu norisi. </w:t>
      </w:r>
    </w:p>
    <w:p w14:paraId="279F3378" w14:textId="77777777" w:rsidR="00BB32EB" w:rsidRPr="00BB32EB" w:rsidRDefault="00BB32EB" w:rsidP="00B87BD6">
      <w:pPr>
        <w:spacing w:line="276" w:lineRule="auto"/>
        <w:jc w:val="both"/>
        <w:rPr>
          <w14:ligatures w14:val="standardContextual"/>
        </w:rPr>
      </w:pPr>
    </w:p>
    <w:p w14:paraId="765AF8A4" w14:textId="3C84DB7D" w:rsidR="006F5D3B" w:rsidRPr="009C46F8" w:rsidRDefault="006F5D3B" w:rsidP="00B87BD6">
      <w:pPr>
        <w:spacing w:before="120" w:line="276" w:lineRule="auto"/>
        <w:jc w:val="center"/>
        <w:rPr>
          <w:b/>
        </w:rPr>
      </w:pPr>
      <w:r w:rsidRPr="009C46F8">
        <w:rPr>
          <w:b/>
        </w:rPr>
        <w:t xml:space="preserve">Latvijas Republikas </w:t>
      </w:r>
      <w:r w:rsidR="0015480A" w:rsidRPr="009C46F8">
        <w:rPr>
          <w:b/>
        </w:rPr>
        <w:t>Senāt</w:t>
      </w:r>
      <w:r w:rsidR="00BB32EB">
        <w:rPr>
          <w:b/>
        </w:rPr>
        <w:t>a</w:t>
      </w:r>
      <w:r w:rsidR="00BB32EB">
        <w:rPr>
          <w:b/>
        </w:rPr>
        <w:br/>
        <w:t>Administratīvo lietu departamenta</w:t>
      </w:r>
      <w:r w:rsidR="00BB32EB">
        <w:rPr>
          <w:b/>
        </w:rPr>
        <w:br/>
        <w:t xml:space="preserve">2026.gada 15.aprīļa </w:t>
      </w:r>
    </w:p>
    <w:p w14:paraId="2B5820B5" w14:textId="77777777" w:rsidR="00BB32EB" w:rsidRDefault="003047F5" w:rsidP="00B87BD6">
      <w:pPr>
        <w:spacing w:line="276" w:lineRule="auto"/>
        <w:jc w:val="center"/>
        <w:rPr>
          <w:b/>
        </w:rPr>
      </w:pPr>
      <w:r w:rsidRPr="009C46F8">
        <w:rPr>
          <w:b/>
        </w:rPr>
        <w:t>LĒMUMS</w:t>
      </w:r>
    </w:p>
    <w:p w14:paraId="3F2EFE49" w14:textId="6EDEA702" w:rsidR="00BB32EB" w:rsidRPr="00BB32EB" w:rsidRDefault="00BB32EB" w:rsidP="00B87BD6">
      <w:pPr>
        <w:spacing w:line="276" w:lineRule="auto"/>
        <w:jc w:val="center"/>
        <w:rPr>
          <w:b/>
          <w:bCs/>
        </w:rPr>
      </w:pPr>
      <w:r w:rsidRPr="00BB32EB">
        <w:rPr>
          <w:b/>
          <w:bCs/>
        </w:rPr>
        <w:t xml:space="preserve">Lieta </w:t>
      </w:r>
      <w:r w:rsidRPr="00BB32EB">
        <w:rPr>
          <w:b/>
          <w:bCs/>
        </w:rPr>
        <w:t>Nr. 670017525, SKA-373/2026</w:t>
      </w:r>
    </w:p>
    <w:p w14:paraId="7E08797B" w14:textId="61D1B278" w:rsidR="003047F5" w:rsidRPr="00BB32EB" w:rsidRDefault="00BB32EB" w:rsidP="00B87BD6">
      <w:pPr>
        <w:spacing w:line="276" w:lineRule="auto"/>
        <w:jc w:val="center"/>
      </w:pPr>
      <w:r w:rsidRPr="00BB32EB">
        <w:t xml:space="preserve"> </w:t>
      </w:r>
      <w:hyperlink r:id="rId7" w:history="1">
        <w:r w:rsidRPr="00BB32EB">
          <w:rPr>
            <w:rStyle w:val="Hyperlink"/>
          </w:rPr>
          <w:t>ECLI:LV:AT:2026:0415.SKA037326.3.L</w:t>
        </w:r>
      </w:hyperlink>
    </w:p>
    <w:p w14:paraId="6E16138E" w14:textId="77777777" w:rsidR="00BB32EB" w:rsidRPr="00C078FD" w:rsidRDefault="00BB32EB" w:rsidP="00B87BD6">
      <w:pPr>
        <w:spacing w:line="276" w:lineRule="auto"/>
        <w:jc w:val="center"/>
      </w:pPr>
    </w:p>
    <w:p w14:paraId="26297293" w14:textId="07A8D6AB" w:rsidR="00A6596A" w:rsidRPr="00C73593" w:rsidRDefault="00E550A6" w:rsidP="00B87BD6">
      <w:pPr>
        <w:spacing w:line="276" w:lineRule="auto"/>
        <w:ind w:firstLine="720"/>
        <w:jc w:val="both"/>
      </w:pPr>
      <w:r>
        <w:t>Senāts</w:t>
      </w:r>
      <w:r w:rsidR="0015480A" w:rsidRPr="00C73593">
        <w:t xml:space="preserve"> šādā sastāvā: senator</w:t>
      </w:r>
      <w:r w:rsidR="001926C0">
        <w:t>e</w:t>
      </w:r>
      <w:r w:rsidR="009C46F8">
        <w:t xml:space="preserve"> referente</w:t>
      </w:r>
      <w:r w:rsidR="00C078FD" w:rsidRPr="00C73593">
        <w:t xml:space="preserve"> </w:t>
      </w:r>
      <w:r w:rsidR="00505B10">
        <w:t>Vēsma Kakste</w:t>
      </w:r>
      <w:r w:rsidR="00C078FD" w:rsidRPr="00C73593">
        <w:t xml:space="preserve">, </w:t>
      </w:r>
      <w:r w:rsidR="009C46F8">
        <w:t>senator</w:t>
      </w:r>
      <w:r w:rsidR="00505B10">
        <w:t>es</w:t>
      </w:r>
      <w:r w:rsidR="009C46F8">
        <w:t xml:space="preserve"> </w:t>
      </w:r>
      <w:r w:rsidR="00505B10">
        <w:t>Dzintra Amerika un Indra Meldere</w:t>
      </w:r>
    </w:p>
    <w:p w14:paraId="2807957F" w14:textId="77777777" w:rsidR="003047F5" w:rsidRPr="00C73593" w:rsidRDefault="003047F5" w:rsidP="00B87BD6">
      <w:pPr>
        <w:spacing w:line="276" w:lineRule="auto"/>
        <w:ind w:firstLine="720"/>
        <w:jc w:val="both"/>
      </w:pPr>
    </w:p>
    <w:p w14:paraId="0B4E3F9B" w14:textId="29D44BE9" w:rsidR="003A5F51" w:rsidRDefault="009F6F33" w:rsidP="00B87BD6">
      <w:pPr>
        <w:spacing w:line="276" w:lineRule="auto"/>
        <w:ind w:firstLine="720"/>
        <w:jc w:val="both"/>
      </w:pPr>
      <w:r w:rsidRPr="00C73593">
        <w:t xml:space="preserve">rakstveida procesā izskatīja </w:t>
      </w:r>
      <w:r w:rsidR="00BB32EB">
        <w:t xml:space="preserve">[pers. A] </w:t>
      </w:r>
      <w:r w:rsidR="001F40A0" w:rsidRPr="00C73593">
        <w:t xml:space="preserve">blakus sūdzību </w:t>
      </w:r>
      <w:r w:rsidR="00C73593" w:rsidRPr="00C73593">
        <w:t xml:space="preserve">par Administratīvās </w:t>
      </w:r>
      <w:r w:rsidR="00505B10">
        <w:t>rajona tiesas tiesneša</w:t>
      </w:r>
      <w:r w:rsidR="00CA18BB">
        <w:t xml:space="preserve"> </w:t>
      </w:r>
      <w:r w:rsidR="00C73593" w:rsidRPr="00C73593">
        <w:t>202</w:t>
      </w:r>
      <w:r w:rsidR="00505B10">
        <w:t>5</w:t>
      </w:r>
      <w:r w:rsidR="00E550A6">
        <w:t xml:space="preserve">.gada </w:t>
      </w:r>
      <w:r w:rsidR="00505B10">
        <w:t>19.novembra lēmumu</w:t>
      </w:r>
      <w:r w:rsidR="00C73593" w:rsidRPr="00C73593">
        <w:t xml:space="preserve">, ar kuru </w:t>
      </w:r>
      <w:r w:rsidR="009C46F8">
        <w:t xml:space="preserve">atteikts </w:t>
      </w:r>
      <w:r w:rsidR="00505B10">
        <w:t xml:space="preserve">pieņemt </w:t>
      </w:r>
      <w:r w:rsidR="00BB32EB">
        <w:t xml:space="preserve">[pers. A] </w:t>
      </w:r>
      <w:r w:rsidR="00505B10">
        <w:t>pieteikumu</w:t>
      </w:r>
      <w:r w:rsidR="00670AE6" w:rsidRPr="00945B1E">
        <w:t>.</w:t>
      </w:r>
    </w:p>
    <w:p w14:paraId="1F4311A9" w14:textId="77777777" w:rsidR="00E550A6" w:rsidRPr="00C078FD" w:rsidRDefault="00E550A6" w:rsidP="00B87BD6">
      <w:pPr>
        <w:spacing w:line="276" w:lineRule="auto"/>
        <w:ind w:firstLine="720"/>
        <w:jc w:val="both"/>
      </w:pPr>
    </w:p>
    <w:p w14:paraId="49301551" w14:textId="77777777" w:rsidR="003047F5" w:rsidRPr="00C078FD" w:rsidRDefault="003047F5" w:rsidP="00B87BD6">
      <w:pPr>
        <w:spacing w:line="276" w:lineRule="auto"/>
        <w:jc w:val="center"/>
        <w:rPr>
          <w:b/>
        </w:rPr>
      </w:pPr>
      <w:r w:rsidRPr="00C078FD">
        <w:rPr>
          <w:b/>
        </w:rPr>
        <w:t>Aprakstošā daļa</w:t>
      </w:r>
    </w:p>
    <w:p w14:paraId="54AE93A0" w14:textId="77777777" w:rsidR="003047F5" w:rsidRPr="00C078FD" w:rsidRDefault="003047F5" w:rsidP="00B87BD6">
      <w:pPr>
        <w:spacing w:line="276" w:lineRule="auto"/>
        <w:ind w:firstLine="567"/>
        <w:jc w:val="both"/>
      </w:pPr>
    </w:p>
    <w:p w14:paraId="79785EB1" w14:textId="633F8549" w:rsidR="00887B90" w:rsidRDefault="003047F5" w:rsidP="00B87BD6">
      <w:pPr>
        <w:spacing w:line="276" w:lineRule="auto"/>
        <w:ind w:firstLine="720"/>
        <w:jc w:val="both"/>
      </w:pPr>
      <w:r w:rsidRPr="00C078FD">
        <w:t>[1]</w:t>
      </w:r>
      <w:r w:rsidR="00887B90">
        <w:t xml:space="preserve"> Pieteicējam </w:t>
      </w:r>
      <w:r w:rsidR="00BB32EB">
        <w:t xml:space="preserve">[pers. A] </w:t>
      </w:r>
      <w:r w:rsidR="00887B90">
        <w:t>pieder nekustamais īpašums</w:t>
      </w:r>
      <w:r w:rsidR="00BB32EB">
        <w:t xml:space="preserve"> [Adrese]</w:t>
      </w:r>
      <w:r w:rsidR="00DD7072">
        <w:t xml:space="preserve">. Tā ir pieteicēja un viņa ģimenes pastāvīgā dzīvesvieta. Netālu (atbilstoši pieteicēja norādēm – aptuveni 100 m attālumā) darbojas vasaras sezonas pludmales kafejnīca </w:t>
      </w:r>
      <w:r w:rsidR="00DD7072" w:rsidRPr="00BB32EB">
        <w:t>„</w:t>
      </w:r>
      <w:r w:rsidR="00BB32EB" w:rsidRPr="00BB32EB">
        <w:t>[Nosaukums]</w:t>
      </w:r>
      <w:r w:rsidR="00DD7072" w:rsidRPr="00BB32EB">
        <w:t>”</w:t>
      </w:r>
      <w:r w:rsidR="00DD7072">
        <w:t xml:space="preserve"> (turpmāk – kafejnīca).</w:t>
      </w:r>
    </w:p>
    <w:p w14:paraId="64C6BD1F" w14:textId="47FCD173" w:rsidR="00164CA5" w:rsidRDefault="00887B90" w:rsidP="00B87BD6">
      <w:pPr>
        <w:spacing w:line="276" w:lineRule="auto"/>
        <w:ind w:firstLine="720"/>
        <w:jc w:val="both"/>
      </w:pPr>
      <w:r>
        <w:t>Pieteicējs</w:t>
      </w:r>
      <w:r w:rsidR="00DD7072">
        <w:t xml:space="preserve"> 2025.gada 13.jūnijā un 8.augustā</w:t>
      </w:r>
      <w:r>
        <w:t xml:space="preserve"> vērsies Jūrmalas valstspilsētas administrācijā, izsakot neapmierinātību ar kafejnīcas darbību, norādot, ka kafejnīcas rīkotie pasākumi atbilst publisko pasākumu jēdzienam</w:t>
      </w:r>
      <w:r w:rsidR="00096DA6">
        <w:t>, taču netiek saskaņoti, un lūdzot neatļaut vairāku plānoto pasākumu, tostarp 13.jūnijā, 8., 9. un 10.augustā, norisi</w:t>
      </w:r>
      <w:r>
        <w:t xml:space="preserve">. Jūrmalas valstspilsētas administrācijas 2025.gada 26.augusta atbildē paskaidrots, ka kafejnīcas primārais mērķis ir ēdināšanas pakalpojumi, savukārt </w:t>
      </w:r>
      <w:r w:rsidR="00DD7072">
        <w:t xml:space="preserve">dzīvās mūzikas izpildītāju uzstāšanās un </w:t>
      </w:r>
      <w:r>
        <w:t>fona mūzikas atskaņošana nav uzskatāma par publiska pasākuma rīkošanu</w:t>
      </w:r>
      <w:r w:rsidR="00AD7384">
        <w:t>, tādēļ pasākuma rīkošanas atļauja nav nepieciešama</w:t>
      </w:r>
      <w:r>
        <w:t xml:space="preserve">. Atbildē arī norādīts, ka publiski pieejamā informācija par kafejnīcas darbību un </w:t>
      </w:r>
      <w:r w:rsidR="00096DA6">
        <w:t>notikumu</w:t>
      </w:r>
      <w:r>
        <w:t xml:space="preserve"> atbilstību publisko pasākumu jēdzienam tiks izvērtēta.</w:t>
      </w:r>
    </w:p>
    <w:p w14:paraId="7248625C" w14:textId="7A09A76F" w:rsidR="00887B90" w:rsidRDefault="00887B90" w:rsidP="00B87BD6">
      <w:pPr>
        <w:spacing w:line="276" w:lineRule="auto"/>
        <w:ind w:firstLine="720"/>
        <w:jc w:val="both"/>
      </w:pPr>
      <w:r>
        <w:t xml:space="preserve">2025.gada 15.septembrī pieteicējs vērsies pie Jūrmalas domes priekšsēdētāja, norādot, ka kafejnīcas darbības atbilstības izvērtējums publiska pasākuma jēdzienam nav </w:t>
      </w:r>
      <w:r>
        <w:lastRenderedPageBreak/>
        <w:t>veikts, un lūdzot atzīt 8., 9. un 10.augustā notikušos pasākumus par publiskiem, nepieciešamības gadījumā uzsākot administratīvā pārkāpuma procesu. Jūrmalas domes izpilddirektors 2025.gada 9.oktobrī sniedza pieteicējam atbildi, ka no pieteicēja tiesībām saņemt atbildi pēc būtības neizriet tiesības prasīt iestādei veikt konkrētas darbības, tostarp veikt kafejnīcas darbības izvērtējumu.</w:t>
      </w:r>
    </w:p>
    <w:p w14:paraId="499D2507" w14:textId="310B7385" w:rsidR="00887B90" w:rsidRDefault="00887B90" w:rsidP="00B87BD6">
      <w:pPr>
        <w:spacing w:line="276" w:lineRule="auto"/>
        <w:ind w:firstLine="720"/>
        <w:jc w:val="both"/>
      </w:pPr>
      <w:r>
        <w:t>Nepiekrītot pašvaldības sniegtajām atbildēm, pieteicējs vērsās ar pieteikumu</w:t>
      </w:r>
      <w:r w:rsidR="00A16810">
        <w:t xml:space="preserve"> </w:t>
      </w:r>
      <w:r>
        <w:t>tiesā. Pieteikumā lūgts atzīt par prettiesisku Jūrmalas valstspilsētas pašvaldības faktisko rīcību – bezdarbību, nekonstatējot publisku pasākumu rīkošanu kafejnīcā</w:t>
      </w:r>
      <w:r w:rsidR="00A16810">
        <w:t xml:space="preserve">, </w:t>
      </w:r>
      <w:r w:rsidR="00A16810" w:rsidRPr="007E547E">
        <w:t>tostarp 8., 9. un 10.augustā.</w:t>
      </w:r>
    </w:p>
    <w:p w14:paraId="3E081931" w14:textId="4233717D" w:rsidR="00B422A1" w:rsidRDefault="00B422A1" w:rsidP="00B87BD6">
      <w:pPr>
        <w:spacing w:line="276" w:lineRule="auto"/>
        <w:ind w:firstLineChars="720" w:firstLine="1728"/>
        <w:jc w:val="both"/>
      </w:pPr>
    </w:p>
    <w:p w14:paraId="44141189" w14:textId="402171AD" w:rsidR="00B60266" w:rsidRDefault="00B422A1" w:rsidP="00B87BD6">
      <w:pPr>
        <w:spacing w:line="276" w:lineRule="auto"/>
        <w:ind w:firstLine="720"/>
        <w:jc w:val="both"/>
      </w:pPr>
      <w:r>
        <w:t>[</w:t>
      </w:r>
      <w:r w:rsidR="00C816D5">
        <w:t>2</w:t>
      </w:r>
      <w:r>
        <w:t>]</w:t>
      </w:r>
      <w:r w:rsidRPr="005D5DD2">
        <w:t> </w:t>
      </w:r>
      <w:r w:rsidR="00A16810">
        <w:t xml:space="preserve">Ar Administratīvās rajona tiesas tiesneša 2025.gada 19.novembra lēmumu pieteikumu atteikts pieņemt, pamatojoties uz Administratīvā procesa likuma 191.panta pirmās daļas 1.punktu (lieta nav izskatāma administratīvā procesa kārtībā). Lēmumā </w:t>
      </w:r>
      <w:r w:rsidR="007E547E">
        <w:t xml:space="preserve">secināts, ka pieteicēja lūgtās darbības – veikt kafejnīcas darbības izvērtējumu, lai konstatētu publiska pasākuma rīkošanu pagātnē, – ir atzīstamas par procesuālajām darbībām, jo publiska pasākuma esības konstatējumam (vai tā trūkumam) nepiemīt galīga noregulējuma raksturs, un tas nerada ne tiesiskas, ne faktiskas sekas. </w:t>
      </w:r>
      <w:r w:rsidR="000B4429">
        <w:t xml:space="preserve">Līdz ar to pašvaldības darbība, neveicot kafejnīcas darbības izvērtējumu un nekonstatējot faktu par publisku pasākumu norisi, nav uzskatāma par faktisko rīcību, un attiecīgi iebildumi pret šādām iestādes procesuālām darbībām (to neveikšanu) nav izskatāmi administratīvā procesa kārtībā. </w:t>
      </w:r>
      <w:r w:rsidR="007E547E">
        <w:t>Ņemot vērā, ka pieteicēja minētie pasākumi jau ir norisinājušies, šāda fakta konstatācija šobrīd var kalpot par pamatu tikai tam, lai iestāde varētu veikt nākamo soli, kas paredzēts pasākuma norises kārtības pārkāpuma gadījumā, proti, saukt personu pie administratīvās atbildības.</w:t>
      </w:r>
      <w:r w:rsidR="000B4429">
        <w:t xml:space="preserve"> Taču pieteicējam nav subjektīvo tiesību izteikt šādu prasījumu, un no pieteikuma skaidri izriet, ka tāds arī nav pietei</w:t>
      </w:r>
      <w:r w:rsidR="00107E84">
        <w:t>cēja</w:t>
      </w:r>
      <w:r w:rsidR="000B4429">
        <w:t xml:space="preserve"> mērķis.</w:t>
      </w:r>
    </w:p>
    <w:p w14:paraId="2AF59601" w14:textId="77777777" w:rsidR="00F83221" w:rsidRPr="00C078FD" w:rsidRDefault="00F83221" w:rsidP="00B87BD6">
      <w:pPr>
        <w:spacing w:line="276" w:lineRule="auto"/>
        <w:ind w:firstLine="720"/>
        <w:jc w:val="both"/>
      </w:pPr>
    </w:p>
    <w:p w14:paraId="63300E39" w14:textId="54677E47" w:rsidR="00622744" w:rsidRDefault="005F1028" w:rsidP="00B87BD6">
      <w:pPr>
        <w:spacing w:line="276" w:lineRule="auto"/>
        <w:ind w:firstLine="720"/>
        <w:jc w:val="both"/>
      </w:pPr>
      <w:r w:rsidRPr="00C078FD">
        <w:t>[</w:t>
      </w:r>
      <w:r w:rsidR="00C816D5">
        <w:t>3</w:t>
      </w:r>
      <w:r w:rsidRPr="00C078FD">
        <w:t>]</w:t>
      </w:r>
      <w:r w:rsidR="00A16810">
        <w:t> </w:t>
      </w:r>
      <w:r w:rsidR="00B465FE">
        <w:t xml:space="preserve">Par </w:t>
      </w:r>
      <w:r w:rsidR="00A16810">
        <w:t>tiesneša</w:t>
      </w:r>
      <w:r w:rsidR="0094698D">
        <w:t xml:space="preserve"> l</w:t>
      </w:r>
      <w:r w:rsidR="00B465FE">
        <w:t xml:space="preserve">ēmumu </w:t>
      </w:r>
      <w:r w:rsidR="004426EA">
        <w:t>pieteicēj</w:t>
      </w:r>
      <w:r w:rsidR="00A16810">
        <w:t>s</w:t>
      </w:r>
      <w:r w:rsidR="00AE094F">
        <w:t xml:space="preserve"> </w:t>
      </w:r>
      <w:r w:rsidR="00B465FE">
        <w:t xml:space="preserve">iesniedza blakus sūdzību, </w:t>
      </w:r>
      <w:r w:rsidR="003A6DB3">
        <w:t xml:space="preserve">to pamatojot ar turpmāk </w:t>
      </w:r>
      <w:r w:rsidR="00DB7446">
        <w:t>minētajiem</w:t>
      </w:r>
      <w:r w:rsidR="003A6DB3">
        <w:t xml:space="preserve"> apsvērumiem.</w:t>
      </w:r>
    </w:p>
    <w:p w14:paraId="1E3077F3" w14:textId="1D378F44" w:rsidR="00511B56" w:rsidRDefault="003A6DB3" w:rsidP="00B87BD6">
      <w:pPr>
        <w:spacing w:line="276" w:lineRule="auto"/>
        <w:ind w:firstLine="720"/>
        <w:jc w:val="both"/>
      </w:pPr>
      <w:r>
        <w:t>[3.1] Ties</w:t>
      </w:r>
      <w:r w:rsidR="00966425">
        <w:t>nesis</w:t>
      </w:r>
      <w:r>
        <w:t xml:space="preserve"> ir pārsteidzīgi </w:t>
      </w:r>
      <w:r w:rsidR="00966425">
        <w:t>secinājis</w:t>
      </w:r>
      <w:r>
        <w:t xml:space="preserve">, ka pieteikums nav </w:t>
      </w:r>
      <w:r w:rsidR="00511B56">
        <w:t>pakļauts administratīvās tiesas kontrolei. Kafejnīca regulāri rīko publiskus pasākumus, kuri rada troksni un traucē sabiedrisko mieru, bet kurus iestāde k</w:t>
      </w:r>
      <w:r w:rsidR="00822491">
        <w:t>aut k</w:t>
      </w:r>
      <w:r w:rsidR="00511B56">
        <w:t>ādu iemeslu dēļ nevēlas konstatēt un kontrolēt. Šādu publisku pasākumu norises nekonstatēšana tiešā veidā ietekmē pieteicēja veselību un kopējo labklājību.</w:t>
      </w:r>
      <w:r w:rsidR="00966425">
        <w:t xml:space="preserve"> Tas aizskar pieteicēja tiesības uz mieru, kārtību un drošību, un šāds tiesību aizskārums ir pārbaudāms tiesā.</w:t>
      </w:r>
    </w:p>
    <w:p w14:paraId="329C3DB7" w14:textId="7B047B24" w:rsidR="003A6DB3" w:rsidRDefault="00966425" w:rsidP="00B87BD6">
      <w:pPr>
        <w:spacing w:line="276" w:lineRule="auto"/>
        <w:ind w:firstLine="720"/>
        <w:jc w:val="both"/>
      </w:pPr>
      <w:r>
        <w:t>N</w:t>
      </w:r>
      <w:r w:rsidR="00511B56">
        <w:t>ereti kafejnīcas organizēt</w:t>
      </w:r>
      <w:r>
        <w:t>ajos</w:t>
      </w:r>
      <w:r w:rsidR="00511B56">
        <w:t xml:space="preserve"> pasākum</w:t>
      </w:r>
      <w:r>
        <w:t xml:space="preserve">os atrodas </w:t>
      </w:r>
      <w:r w:rsidR="00511B56">
        <w:t>daudz cilvēku, kuri pulcējas ārpus kafejnīcas faktiskajām un juridiskajām robežām. Tas noslogo piebraucamos ceļus (tai skaitā ceļus, kas ved ga</w:t>
      </w:r>
      <w:r w:rsidR="00A500E6">
        <w:t>r</w:t>
      </w:r>
      <w:r w:rsidR="00511B56">
        <w:t xml:space="preserve"> pieteicēja īpašumu, kur aizliegts pārvietoties ar transportlīdzekļiem), pulcējas cilvēku masas, kopējais troksnis ir nekontrolēts un traucējošs (pasākumos tiek </w:t>
      </w:r>
      <w:r w:rsidR="00822491">
        <w:t xml:space="preserve">arī </w:t>
      </w:r>
      <w:r w:rsidR="00511B56">
        <w:t xml:space="preserve">lietota koncertiem domāta skaņas pastiprinošā aparatūra). </w:t>
      </w:r>
      <w:r w:rsidR="00A500E6">
        <w:t>B</w:t>
      </w:r>
      <w:r w:rsidR="00511B56">
        <w:t>ūtiskākais, ka tas nav droši – vairākkārt ir bijuši konflikti, kuru noregulēšanai nepieciešama policijas klātbūtne. Ja iestāde būtu likusi kafejnīcai ievērot normatīvos aktus attiecībā uz publisku pasākumu rīkošanu, tad iestāde par šādiem pasākumiem būtu zināju</w:t>
      </w:r>
      <w:r>
        <w:t>si</w:t>
      </w:r>
      <w:r w:rsidR="00511B56">
        <w:t xml:space="preserve"> un veiku</w:t>
      </w:r>
      <w:r>
        <w:t>si</w:t>
      </w:r>
      <w:r w:rsidR="00511B56">
        <w:t xml:space="preserve"> preventīvas darbības, piemēram, nodrošin</w:t>
      </w:r>
      <w:r>
        <w:t>ājusi policijas klātbūtni, novirzījusi cilvēku plūsmu, likusi ievērot arī citas tiesību normas (piemēram, stikla taras lietošanas aizliegumu</w:t>
      </w:r>
      <w:r w:rsidR="00A500E6" w:rsidRPr="00A500E6">
        <w:t xml:space="preserve"> </w:t>
      </w:r>
      <w:r w:rsidR="00A500E6">
        <w:t>pludmalē</w:t>
      </w:r>
      <w:r>
        <w:t xml:space="preserve">). </w:t>
      </w:r>
      <w:r w:rsidR="00A500E6">
        <w:t>J</w:t>
      </w:r>
      <w:r>
        <w:t xml:space="preserve">a šādi publiski pasākumi būtu konstatēti, tad iestādei būtu jārīkojas atbilstoši likumam, </w:t>
      </w:r>
      <w:r w:rsidR="00822491">
        <w:t>un tas</w:t>
      </w:r>
      <w:r>
        <w:t xml:space="preserve"> samazinātu negatīvās sekas </w:t>
      </w:r>
      <w:r w:rsidR="00A500E6">
        <w:t>pieteicējam.</w:t>
      </w:r>
    </w:p>
    <w:p w14:paraId="68C1BBC6" w14:textId="39F42ADF" w:rsidR="00822491" w:rsidRDefault="00966425" w:rsidP="00B87BD6">
      <w:pPr>
        <w:spacing w:line="276" w:lineRule="auto"/>
        <w:ind w:firstLine="720"/>
        <w:jc w:val="both"/>
      </w:pPr>
      <w:r>
        <w:t xml:space="preserve">[3.2] Tiesa </w:t>
      </w:r>
      <w:r w:rsidR="00822491">
        <w:t xml:space="preserve">ir </w:t>
      </w:r>
      <w:r>
        <w:t xml:space="preserve">pārāk šauri vērtējusi pieteikumu, pievēršoties tikai </w:t>
      </w:r>
      <w:r w:rsidR="00822491">
        <w:t>konkrētajiem</w:t>
      </w:r>
      <w:r>
        <w:t xml:space="preserve"> pasākumiem, kuri jau ir noslēgušies</w:t>
      </w:r>
      <w:r w:rsidR="00822491">
        <w:t xml:space="preserve">. </w:t>
      </w:r>
      <w:r w:rsidR="00DB7446">
        <w:t xml:space="preserve">Tāpat tiesa ir kļūdaini secinājusi, ka publiska pasākuma fakta konstatācija šobrīd var kalpot tikai par pamatu tam, lai varētu saukt personu pie administratīvās atbildības. </w:t>
      </w:r>
      <w:r w:rsidR="00822491">
        <w:t>No pieteikuma kopumā ir redzams, ka pieteicējs iebilst tam, ka šādi publiskie pasākumi notiek visu vasaru un turpināsies arī nākamajā vasarā, bet iestāde nekādi nerīkojas, šādā veidā nodrošinot kafejnīcai netraucētu un nekontrolētu darbību attiecībā uz publisku pasākumu rīkošanu. Pieteicēja mērķis ir novērst iestādes kļūdainu tiesību normu tulkojumu un rīcību nākotnē, un nodrošināt, lai iestāde turpmāk rīkotos tiesiski un atbilstoši likumam.</w:t>
      </w:r>
      <w:r w:rsidR="00DB7446">
        <w:t xml:space="preserve"> </w:t>
      </w:r>
    </w:p>
    <w:p w14:paraId="51D5FABC" w14:textId="77777777" w:rsidR="003047F5" w:rsidRPr="00C078FD" w:rsidRDefault="003047F5" w:rsidP="00B87BD6">
      <w:pPr>
        <w:spacing w:line="276" w:lineRule="auto"/>
        <w:jc w:val="both"/>
      </w:pPr>
    </w:p>
    <w:p w14:paraId="1900DA50" w14:textId="77777777" w:rsidR="003047F5" w:rsidRPr="00C078FD" w:rsidRDefault="003047F5" w:rsidP="00B87BD6">
      <w:pPr>
        <w:spacing w:line="276" w:lineRule="auto"/>
        <w:jc w:val="center"/>
        <w:rPr>
          <w:b/>
        </w:rPr>
      </w:pPr>
      <w:r w:rsidRPr="00C078FD">
        <w:rPr>
          <w:b/>
        </w:rPr>
        <w:t>Motīvu daļa</w:t>
      </w:r>
    </w:p>
    <w:p w14:paraId="50C3E4A3" w14:textId="77777777" w:rsidR="003047F5" w:rsidRPr="00C078FD" w:rsidRDefault="003047F5" w:rsidP="00B87BD6">
      <w:pPr>
        <w:spacing w:line="276" w:lineRule="auto"/>
        <w:ind w:firstLine="567"/>
        <w:jc w:val="both"/>
      </w:pPr>
    </w:p>
    <w:p w14:paraId="29822E30" w14:textId="7A30116E" w:rsidR="006A2508" w:rsidRDefault="009D5E4B" w:rsidP="00B87BD6">
      <w:pPr>
        <w:spacing w:line="276" w:lineRule="auto"/>
        <w:ind w:firstLine="720"/>
        <w:jc w:val="both"/>
      </w:pPr>
      <w:r>
        <w:t>[</w:t>
      </w:r>
      <w:r w:rsidR="00A16810">
        <w:t>4</w:t>
      </w:r>
      <w:r>
        <w:t>] </w:t>
      </w:r>
      <w:r w:rsidR="00AE094F">
        <w:t xml:space="preserve">Blakus sūdzības izskatīšanas ietvaros izšķirams jautājums, vai </w:t>
      </w:r>
      <w:r w:rsidR="00505B10">
        <w:t>rajona tiesas tiesnesis</w:t>
      </w:r>
      <w:r w:rsidR="00AE094F">
        <w:t xml:space="preserve"> pamatoti </w:t>
      </w:r>
      <w:r w:rsidR="006B1B32">
        <w:t>atzinis, ka pieteicēja pieteikums nav izskatāms administratīvā procesa kārtībā</w:t>
      </w:r>
      <w:r w:rsidR="006A2508">
        <w:t>.</w:t>
      </w:r>
    </w:p>
    <w:p w14:paraId="1D4A7AB1" w14:textId="77777777" w:rsidR="00F230FA" w:rsidRDefault="00F230FA" w:rsidP="00B87BD6">
      <w:pPr>
        <w:spacing w:line="276" w:lineRule="auto"/>
        <w:ind w:firstLine="720"/>
        <w:jc w:val="both"/>
      </w:pPr>
    </w:p>
    <w:p w14:paraId="4499B7AD" w14:textId="3A91D24F" w:rsidR="00BD0D2E" w:rsidRDefault="00F230FA" w:rsidP="00B87BD6">
      <w:pPr>
        <w:spacing w:line="276" w:lineRule="auto"/>
        <w:ind w:firstLine="720"/>
        <w:jc w:val="both"/>
      </w:pPr>
      <w:r>
        <w:t>[</w:t>
      </w:r>
      <w:r w:rsidR="00A16810">
        <w:t>5</w:t>
      </w:r>
      <w:r>
        <w:t>]</w:t>
      </w:r>
      <w:r w:rsidR="00347F64">
        <w:t> </w:t>
      </w:r>
      <w:r w:rsidR="00107E84">
        <w:t>T</w:t>
      </w:r>
      <w:r w:rsidR="00347F64">
        <w:t xml:space="preserve">iesnesis </w:t>
      </w:r>
      <w:r w:rsidR="00D4698B">
        <w:t xml:space="preserve">ir </w:t>
      </w:r>
      <w:r w:rsidR="00347F64">
        <w:t>secinājis, ka pieteicējs iesniedzis pieteikumu par pašvaldības</w:t>
      </w:r>
      <w:r w:rsidR="00A500E6">
        <w:t xml:space="preserve"> procesuālām darbībām</w:t>
      </w:r>
      <w:r w:rsidR="00822230">
        <w:t xml:space="preserve"> (publisku pasākumu esības konstatēšanu), kurām nepiemīt galīgā noregulējuma raksturs, tāpēc pašvaldības rīcība (</w:t>
      </w:r>
      <w:r w:rsidR="00D4698B">
        <w:t xml:space="preserve">neveicot šīs darbības, tas ir, </w:t>
      </w:r>
      <w:r w:rsidR="00822230">
        <w:t xml:space="preserve">nekonstatējot faktu par publisku pasākumu norisi) nav atzīstama par </w:t>
      </w:r>
      <w:r w:rsidR="00D4698B">
        <w:t xml:space="preserve">iestādes </w:t>
      </w:r>
      <w:r w:rsidR="00822230">
        <w:t>faktisko rīcību un nav pārbaudāma administratīvā procesa kārtībā.</w:t>
      </w:r>
    </w:p>
    <w:p w14:paraId="24CB1ADC" w14:textId="7D09DB87" w:rsidR="007C1483" w:rsidRPr="004027F4" w:rsidRDefault="009D1B38" w:rsidP="00B87BD6">
      <w:pPr>
        <w:spacing w:line="276" w:lineRule="auto"/>
        <w:ind w:firstLine="720"/>
        <w:jc w:val="both"/>
      </w:pPr>
      <w:r w:rsidRPr="004027F4">
        <w:t>Senāt</w:t>
      </w:r>
      <w:r w:rsidR="00302139">
        <w:t xml:space="preserve">s atzīst, ka </w:t>
      </w:r>
      <w:r w:rsidR="001D3536" w:rsidRPr="004027F4">
        <w:t>tiesnesis ir pārāk šauri formulējis pieteikumā pausto pieteicēja gribu</w:t>
      </w:r>
      <w:r w:rsidR="004027F4" w:rsidRPr="004027F4">
        <w:t>, kā arī pārāk formāli novērtējis pašvaldībai tiesību normās noteiktos pienākumus</w:t>
      </w:r>
      <w:r w:rsidR="001D3536" w:rsidRPr="004027F4">
        <w:t>. No pieteikuma un tam pievienotajiem materiāliem</w:t>
      </w:r>
      <w:r w:rsidR="00F43FBE" w:rsidRPr="004027F4">
        <w:t xml:space="preserve"> redzams</w:t>
      </w:r>
      <w:r w:rsidR="001D3536" w:rsidRPr="004027F4">
        <w:t>, ka pieteicēja mērķis, vēršoties iestādē un tagad arī tiesā, ir bijis plašāks – panākt ne tikai publiska pasākuma fakta konstatāciju, bet gan no tā izrietošo pašvaldības kontroli pār publiska pasākuma norisi tās administr</w:t>
      </w:r>
      <w:r w:rsidR="00493627" w:rsidRPr="004027F4">
        <w:t xml:space="preserve">atīvajā teritorijā. Proti, pieteikums ir vērsts uz pašvaldības rīcības tiesiskuma izvērtējumu, nekonstatējot un nekontrolējot publisku pasākumu rīkošanu </w:t>
      </w:r>
      <w:r w:rsidR="00347F64" w:rsidRPr="004027F4">
        <w:t xml:space="preserve">kafejnīcā. </w:t>
      </w:r>
    </w:p>
    <w:p w14:paraId="3809DC57" w14:textId="77777777" w:rsidR="00F6160F" w:rsidRDefault="00F6160F" w:rsidP="00B87BD6">
      <w:pPr>
        <w:spacing w:line="276" w:lineRule="auto"/>
        <w:ind w:firstLine="720"/>
        <w:jc w:val="both"/>
      </w:pPr>
    </w:p>
    <w:p w14:paraId="5DD194BF" w14:textId="140D44D4" w:rsidR="00F6160F" w:rsidRDefault="00F6160F" w:rsidP="00B87BD6">
      <w:pPr>
        <w:spacing w:line="276" w:lineRule="auto"/>
        <w:ind w:firstLine="720"/>
        <w:jc w:val="both"/>
      </w:pPr>
      <w:r>
        <w:t>[6] Publisku izklaides un svētku pasākumu drošības likuma (turpmāk – Publisko pasākumu likums) 5.panta pirmā daļa noteic: lai pieteiktu publisku pasākumu un saņemtu atļauju tā rīkošanai, pasākuma organizators pašvaldībai, kuras administratīvajā teritorijā paredzēts šo pasākumu rīkot, ne vēlāk kā 15 dienas pirms plānotā publiskā pasākuma norises dienas iesniedz iesniegumu atbilstoši šā likuma 6.panta prasībām.</w:t>
      </w:r>
      <w:r w:rsidR="003B62A3">
        <w:t xml:space="preserve"> Pašvaldība elektroniski nosūta iesnieguma kopiju Valsts policijas teritoriālajai struktūrvienībai un pašvaldības policijai, Neatliekamās medicīniskās palīdzības dienestam un Valsts drošības dienestam, bet, ja publisku pasākumu paredzēts rīkot pierobežas joslā, – arī attiecīgajai Valsts robežsardzes pārvaldei.</w:t>
      </w:r>
    </w:p>
    <w:p w14:paraId="4ADB48AA" w14:textId="3A67EE9B" w:rsidR="00F6160F" w:rsidRDefault="00F6160F" w:rsidP="00B87BD6">
      <w:pPr>
        <w:spacing w:line="276" w:lineRule="auto"/>
        <w:ind w:firstLine="720"/>
        <w:jc w:val="both"/>
      </w:pPr>
      <w:r>
        <w:t>Publisko pasākumu likums neparedz to, kam būtu jāuzrauga tas, vai ikviens pasākums, kas atbilst publiska pasākuma definīcijai šā likuma 1.panta 1.punkta izpratnē, ir pieteikts atbilstoši likuma 5.panta pirmajai daļai. Likuma 19.pants paredz administratīvo atbildību tikai par rīkošanas un norises kārtības pārkāpšanu, savukārt pasākumu pārtraukt, izdodot administratīvo aktu, var likuma 18.</w:t>
      </w:r>
      <w:r w:rsidRPr="000C4A22">
        <w:rPr>
          <w:vertAlign w:val="superscript"/>
        </w:rPr>
        <w:t>1</w:t>
      </w:r>
      <w:r>
        <w:t>pantā minētajā gadījumā, proti, ja publiska pasākuma norise nepārprotami apdraud sabiedrisko kārtību vai drošību, cilvēku dzīvību vai veselību.</w:t>
      </w:r>
    </w:p>
    <w:p w14:paraId="7BD97DB3" w14:textId="1B2557B4" w:rsidR="00F6160F" w:rsidRDefault="00F6160F" w:rsidP="00B87BD6">
      <w:pPr>
        <w:spacing w:line="276" w:lineRule="auto"/>
        <w:ind w:firstLine="720"/>
        <w:jc w:val="both"/>
      </w:pPr>
      <w:r>
        <w:t>Senāts jau iepriekš ir atzinis (</w:t>
      </w:r>
      <w:r w:rsidR="007A4CE9" w:rsidRPr="007A4CE9">
        <w:rPr>
          <w:i/>
          <w:iCs/>
        </w:rPr>
        <w:t xml:space="preserve">Senāta 2026.gada 12.februāra lēmuma lietā Nr. SKA-222/2026, </w:t>
      </w:r>
      <w:hyperlink r:id="rId8" w:history="1">
        <w:r w:rsidR="007A4CE9" w:rsidRPr="007A4CE9">
          <w:rPr>
            <w:rStyle w:val="Hyperlink"/>
            <w:i/>
            <w:iCs/>
          </w:rPr>
          <w:t>ECLI:LV:AT:2026:0212.SKA022226.3.L</w:t>
        </w:r>
      </w:hyperlink>
      <w:r w:rsidR="007A4CE9" w:rsidRPr="007A4CE9">
        <w:rPr>
          <w:i/>
          <w:iCs/>
        </w:rPr>
        <w:t>, 8.punkts</w:t>
      </w:r>
      <w:r>
        <w:t>), ka, izvērtējot Publisko pasākumu likuma 5.panta pirmo daļu, secināms, ka šī tiesību norma ir pieņemta ar mērķi aizsargāt privātpersonas tiesības vai tiesiskās intereses. Publisko pasākumu likuma 10.panta otrā daļa paredz vispārējus pienākumus pasākuma organizatoram, kas vērsti uz sabiedriskā labuma – sabiedriskās kārtības un drošības nodrošināšanu, taču vienlaikus arī konkrētu privātpersonu (pasākuma apmeklētāju, dalībnieku vai to personu, kuras pasākums tieši un būtiski skar) tiesību un tiesisko interešu aizsardzību. Par to liecina, piemēram, 10.panta otrās daļas 4</w:t>
      </w:r>
      <w:r w:rsidR="00B51482">
        <w:t>. (</w:t>
      </w:r>
      <w:r w:rsidR="00B51482" w:rsidRPr="00B51482">
        <w:rPr>
          <w:i/>
          <w:iCs/>
        </w:rPr>
        <w:t>nodrošināt pirmo medicīnisko palīdzību publiska pasākuma apmeklētājiem un dalībniekiem</w:t>
      </w:r>
      <w:r w:rsidR="00B51482">
        <w:t>), 5. (</w:t>
      </w:r>
      <w:r w:rsidR="00B51482" w:rsidRPr="00B51482">
        <w:rPr>
          <w:i/>
          <w:iCs/>
        </w:rPr>
        <w:t>informēt publiska pasākuma apmeklētājus un dalībniekus par noteikumiem, kas jāievēro, ierodoties uz šo pasākumu un tā laikā</w:t>
      </w:r>
      <w:r w:rsidR="00B51482">
        <w:t>) un 12.punkts (</w:t>
      </w:r>
      <w:r w:rsidR="00B51482" w:rsidRPr="00B51482">
        <w:rPr>
          <w:i/>
          <w:iCs/>
        </w:rPr>
        <w:t>jebkuriem pieejamiem līdzekļiem nodrošināt publiska pasākuma dalībnieku un apmeklētāju informēšanu un apziņošanu par pasākuma drošības prasībām, pasākuma atcelšanu, apturēšanu uz laiku vai evakuāciju</w:t>
      </w:r>
      <w:r w:rsidR="00B51482">
        <w:t xml:space="preserve">). Ja nebūtu iespējama kontrole pār to, </w:t>
      </w:r>
      <w:r w:rsidR="005729D7">
        <w:t>vai pasākuma organizatoriem ir vai nav jāizpilda Publisko pasākumu likuma 10.panta otrajā daļā minētie pasākumi, tad nepastāvētu līdzeklis, ar kuru pasākuma apmeklētāji, dalībnieki vai personas, kuras pasākums tieši un būtiski skar, varētu īstenot savas iepriekš minētās tiesības. To, ka jautājuma kontrole ietilpst pašvaldības kompetencē, nosaka Publisko pasākumu likuma 5.panta pirmā daļa, jo pasākums tiek organizēts tās administratīvajā teritorijā. Savukārt tas, kā pašvaldībai kontrole būtu jāīsteno, i</w:t>
      </w:r>
      <w:r w:rsidR="004C674F">
        <w:t>r skaidrs, jo Publisko pasākumu likuma 5.panta pirmā daļa prasa konstatēt, vai konkrētu notikumu var kvalificēt kā publisku pasākumu šā likuma 1.panta 1.punkta izpratnē, savukārt otrā daļa paredz konstatēt un izvērtēt noteiktus apstākļus, lai noskaidrotu, vai ir pamats piemērot izņēmumu no pienākuma saņemt pašvaldības atļauju.</w:t>
      </w:r>
    </w:p>
    <w:p w14:paraId="455587D5" w14:textId="7C8F7C31" w:rsidR="000C4A22" w:rsidRPr="00302139" w:rsidRDefault="000C4A22" w:rsidP="00B87BD6">
      <w:pPr>
        <w:spacing w:line="276" w:lineRule="auto"/>
        <w:ind w:firstLine="720"/>
        <w:jc w:val="both"/>
      </w:pPr>
      <w:r>
        <w:t xml:space="preserve">Tādējādi vispārīgi </w:t>
      </w:r>
      <w:r w:rsidR="003B62A3">
        <w:t xml:space="preserve">no Publisko pasākumu likuma izriet pašvaldības pienākums nodrošināt kontroli pār publisku pasākumu norisi, tostarp vispirms izvērtējot, vai konkrētais pasākums vispār ir atzīstams par publisku pasākumu </w:t>
      </w:r>
      <w:r w:rsidR="00830D84">
        <w:t xml:space="preserve">šā </w:t>
      </w:r>
      <w:r w:rsidR="003B62A3">
        <w:t>likuma izpratnē, un noteiktu personu – publiska pasākuma apmeklētāju, dalībnieku un personu, kuras pasākums tieši un būtiski skar</w:t>
      </w:r>
      <w:r w:rsidR="006257B6">
        <w:t>,</w:t>
      </w:r>
      <w:r w:rsidR="003B62A3">
        <w:t xml:space="preserve"> – tiesības prasīt šā pienākuma ievērošanu.</w:t>
      </w:r>
      <w:r w:rsidR="00886F2F">
        <w:t xml:space="preserve"> Tas nozīmē arī tiesības prasīt pašvaldības rīcības šajā jautājum</w:t>
      </w:r>
      <w:r w:rsidR="00581F62">
        <w:t>ā</w:t>
      </w:r>
      <w:r w:rsidR="00886F2F">
        <w:t xml:space="preserve"> tiesiskuma </w:t>
      </w:r>
      <w:r w:rsidR="00211490">
        <w:t>retrospektīvu pārbaudi</w:t>
      </w:r>
      <w:r w:rsidR="00820B71">
        <w:t xml:space="preserve"> tiesā (nevis tikai izvērtēt organizator</w:t>
      </w:r>
      <w:r w:rsidR="00DE42FB">
        <w:t>u</w:t>
      </w:r>
      <w:r w:rsidR="00820B71">
        <w:t xml:space="preserve"> iespējamo administratīvo atbildību, kā uzskatījis rajona tiesas tiesnesis)</w:t>
      </w:r>
      <w:r w:rsidR="00581F62">
        <w:t>.</w:t>
      </w:r>
      <w:r w:rsidR="00B66E6E" w:rsidRPr="00B66E6E">
        <w:t xml:space="preserve"> </w:t>
      </w:r>
      <w:r w:rsidR="00B66E6E" w:rsidRPr="00302139">
        <w:t>Tomēr pretēji blakus sūdzībā norādītajam tiesa nevar izvērtēt to, vai pašvaldība vispārīgi pilda pienākumu publisko pasākumu kontroles nodrošināšanā. Tam jābūt saistītam ar konkrētu p</w:t>
      </w:r>
      <w:r w:rsidR="00444ADA" w:rsidRPr="00302139">
        <w:t>ersonas</w:t>
      </w:r>
      <w:r w:rsidR="00B66E6E" w:rsidRPr="00302139">
        <w:t xml:space="preserve"> tiesību vai tiesisko interešu aizskārumu, tātad ar konkrētu publisko pasākumu vai pasākumiem. </w:t>
      </w:r>
    </w:p>
    <w:p w14:paraId="2B233050" w14:textId="77777777" w:rsidR="004C674F" w:rsidRDefault="004C674F" w:rsidP="00B87BD6">
      <w:pPr>
        <w:spacing w:line="276" w:lineRule="auto"/>
        <w:ind w:firstLine="720"/>
        <w:jc w:val="both"/>
      </w:pPr>
    </w:p>
    <w:p w14:paraId="48B2FF13" w14:textId="4F06D847" w:rsidR="00B66E6E" w:rsidRDefault="004C674F" w:rsidP="00B87BD6">
      <w:pPr>
        <w:spacing w:line="276" w:lineRule="auto"/>
        <w:ind w:firstLine="720"/>
        <w:jc w:val="both"/>
      </w:pPr>
      <w:r>
        <w:t>[7]</w:t>
      </w:r>
      <w:r w:rsidR="000C4A22">
        <w:t> Izskatāmajā gadījumā pieteicēj</w:t>
      </w:r>
      <w:r w:rsidR="00332710">
        <w:t>am pieder nekustamais īpašums</w:t>
      </w:r>
      <w:r w:rsidR="00886F2F">
        <w:t xml:space="preserve"> (pieteicēja ģimenes dzīvesvieta), kas</w:t>
      </w:r>
      <w:r w:rsidR="00332710">
        <w:t xml:space="preserve"> atrodas netālu no kafejnīcas. T</w:t>
      </w:r>
      <w:r w:rsidR="00886F2F">
        <w:t xml:space="preserve">as ļauj konstatēt, ka pieteicēju vispārīgi var skart pašvaldības rīcība, nekontrolējot kafejnīcas publisko pasākumu saskaņošanu un norisi pieteicēja nekustamā īpašuma apkārtnē. </w:t>
      </w:r>
      <w:r w:rsidR="00332710">
        <w:t>Pieteicējs</w:t>
      </w:r>
      <w:r w:rsidR="000C4A22">
        <w:t xml:space="preserve"> </w:t>
      </w:r>
      <w:r w:rsidR="00886F2F">
        <w:t>pieteikumā arī ir identificējis ar šādu pašvaldības rīcību iespējami aizskartās viņa tiesības un tiesiskās intereses</w:t>
      </w:r>
      <w:r w:rsidR="005F3FA0">
        <w:t>,</w:t>
      </w:r>
      <w:r w:rsidR="00B66E6E">
        <w:t xml:space="preserve"> un konkrētus pasākumus, kuri, pieteicēja ieskatā, </w:t>
      </w:r>
      <w:r w:rsidR="005F3FA0">
        <w:t>atbilda publiska pasākuma pazīmēm</w:t>
      </w:r>
      <w:r w:rsidR="00B66E6E">
        <w:t>, bet pašvaldība</w:t>
      </w:r>
      <w:r w:rsidR="008C0EC1">
        <w:t xml:space="preserve"> neveica pār tiem nekādu kontroli</w:t>
      </w:r>
      <w:r w:rsidR="00886F2F">
        <w:t xml:space="preserve">. </w:t>
      </w:r>
    </w:p>
    <w:p w14:paraId="2FB6557F" w14:textId="6942F4B7" w:rsidR="00B42CF2" w:rsidRDefault="00F72BE8" w:rsidP="00B87BD6">
      <w:pPr>
        <w:spacing w:line="276" w:lineRule="auto"/>
        <w:ind w:firstLine="720"/>
        <w:jc w:val="both"/>
      </w:pPr>
      <w:r>
        <w:t>Tādēļ Senāts atzīst, ka pieteicēja pieteikums vispārīgi ir pieņemams izskatīšanai administratīvā procesa kārtībā.</w:t>
      </w:r>
      <w:r w:rsidR="00830D84">
        <w:t xml:space="preserve"> </w:t>
      </w:r>
    </w:p>
    <w:p w14:paraId="1A2D98DB" w14:textId="77777777" w:rsidR="00EE5E3D" w:rsidRDefault="00EE5E3D" w:rsidP="00B87BD6">
      <w:pPr>
        <w:spacing w:line="276" w:lineRule="auto"/>
        <w:jc w:val="both"/>
      </w:pPr>
    </w:p>
    <w:p w14:paraId="051EE92E" w14:textId="3623CBB6" w:rsidR="00EE5E3D" w:rsidRDefault="00B42CF2" w:rsidP="00B87BD6">
      <w:pPr>
        <w:spacing w:line="276" w:lineRule="auto"/>
        <w:ind w:firstLine="720"/>
        <w:jc w:val="both"/>
      </w:pPr>
      <w:r>
        <w:t>[</w:t>
      </w:r>
      <w:r w:rsidR="004C674F">
        <w:t>8</w:t>
      </w:r>
      <w:r>
        <w:t xml:space="preserve">] </w:t>
      </w:r>
      <w:r w:rsidR="00AE094F">
        <w:t xml:space="preserve">Ņemot vērā minēto, pārsūdzētais </w:t>
      </w:r>
      <w:r w:rsidR="007E47E9">
        <w:t>tiesneša lēmums</w:t>
      </w:r>
      <w:r w:rsidR="00AE094F">
        <w:t xml:space="preserve"> ir atceļams</w:t>
      </w:r>
      <w:r w:rsidR="001E3EF4">
        <w:t xml:space="preserve"> un </w:t>
      </w:r>
      <w:r w:rsidR="006B1B32">
        <w:t>jautājums par pieteikuma virzību ir nododams jaunai izskatīšanai</w:t>
      </w:r>
      <w:r w:rsidR="007E47E9">
        <w:t xml:space="preserve"> Administratīvajai rajona tiesai</w:t>
      </w:r>
      <w:r w:rsidR="00A46C48">
        <w:t>.</w:t>
      </w:r>
    </w:p>
    <w:p w14:paraId="179CCB92" w14:textId="5B1CB423" w:rsidR="00AC429A" w:rsidRPr="00992D8E" w:rsidRDefault="00AC429A" w:rsidP="00B87BD6">
      <w:pPr>
        <w:spacing w:line="276" w:lineRule="auto"/>
        <w:jc w:val="both"/>
      </w:pPr>
    </w:p>
    <w:p w14:paraId="7F133DF8" w14:textId="345CD262" w:rsidR="003047F5" w:rsidRPr="00992D8E" w:rsidRDefault="003047F5" w:rsidP="00B87BD6">
      <w:pPr>
        <w:spacing w:line="276" w:lineRule="auto"/>
        <w:jc w:val="center"/>
        <w:rPr>
          <w:b/>
        </w:rPr>
      </w:pPr>
      <w:r w:rsidRPr="00992D8E">
        <w:rPr>
          <w:b/>
        </w:rPr>
        <w:t>Rezolutīvā daļa</w:t>
      </w:r>
    </w:p>
    <w:p w14:paraId="203D55B2" w14:textId="77777777" w:rsidR="003047F5" w:rsidRPr="00992D8E" w:rsidRDefault="003047F5" w:rsidP="00B87BD6">
      <w:pPr>
        <w:spacing w:line="276" w:lineRule="auto"/>
        <w:ind w:firstLine="567"/>
        <w:jc w:val="both"/>
        <w:rPr>
          <w:bCs/>
          <w:spacing w:val="70"/>
        </w:rPr>
      </w:pPr>
    </w:p>
    <w:p w14:paraId="2A1662EE" w14:textId="005D9A1A" w:rsidR="00162744" w:rsidRPr="00992D8E" w:rsidRDefault="00766A62" w:rsidP="00B87BD6">
      <w:pPr>
        <w:spacing w:line="276" w:lineRule="auto"/>
        <w:ind w:firstLine="720"/>
        <w:jc w:val="both"/>
      </w:pPr>
      <w:r w:rsidRPr="00992D8E">
        <w:t>Pamatojoties uz Administratīvā procesa likuma 129.</w:t>
      </w:r>
      <w:r w:rsidRPr="00992D8E">
        <w:rPr>
          <w:vertAlign w:val="superscript"/>
        </w:rPr>
        <w:t>1</w:t>
      </w:r>
      <w:r w:rsidRPr="00992D8E">
        <w:t>panta pirmās daļas 1.punktu</w:t>
      </w:r>
      <w:r w:rsidR="00E9283C" w:rsidRPr="00992D8E">
        <w:t xml:space="preserve">, </w:t>
      </w:r>
      <w:r w:rsidRPr="00992D8E">
        <w:t xml:space="preserve">323.panta pirmās daļas </w:t>
      </w:r>
      <w:r w:rsidR="007E47E9">
        <w:t>2</w:t>
      </w:r>
      <w:r w:rsidRPr="00992D8E">
        <w:t>.punktu un 324.panta pirmo daļu, Senāts</w:t>
      </w:r>
    </w:p>
    <w:p w14:paraId="6FE7AC9C" w14:textId="300CCC17" w:rsidR="003047F5" w:rsidRPr="00992D8E" w:rsidRDefault="003047F5" w:rsidP="00B87BD6">
      <w:pPr>
        <w:spacing w:line="276" w:lineRule="auto"/>
        <w:jc w:val="center"/>
        <w:rPr>
          <w:b/>
        </w:rPr>
      </w:pPr>
      <w:r w:rsidRPr="00992D8E">
        <w:rPr>
          <w:b/>
        </w:rPr>
        <w:t>nolēma</w:t>
      </w:r>
    </w:p>
    <w:p w14:paraId="2AB34B40" w14:textId="087AD999" w:rsidR="006F3A20" w:rsidRDefault="006F3A20" w:rsidP="00B87BD6">
      <w:pPr>
        <w:spacing w:line="276" w:lineRule="auto"/>
        <w:jc w:val="both"/>
      </w:pPr>
    </w:p>
    <w:p w14:paraId="697A4697" w14:textId="6D45606D" w:rsidR="00766A62" w:rsidRPr="00992D8E" w:rsidRDefault="00766A62" w:rsidP="00B87BD6">
      <w:pPr>
        <w:spacing w:line="276" w:lineRule="auto"/>
        <w:ind w:firstLine="720"/>
        <w:jc w:val="both"/>
      </w:pPr>
      <w:r w:rsidRPr="00992D8E">
        <w:t xml:space="preserve">atcelt Administratīvās </w:t>
      </w:r>
      <w:r w:rsidR="007E47E9">
        <w:t>rajona tiesas tiesneša</w:t>
      </w:r>
      <w:r w:rsidR="00CA18BB" w:rsidRPr="00992D8E">
        <w:t xml:space="preserve"> </w:t>
      </w:r>
      <w:r w:rsidR="006F3A20">
        <w:t>202</w:t>
      </w:r>
      <w:r w:rsidR="007E47E9">
        <w:t>5</w:t>
      </w:r>
      <w:r w:rsidR="006F3A20">
        <w:t xml:space="preserve">.gada </w:t>
      </w:r>
      <w:r w:rsidR="007E47E9">
        <w:t xml:space="preserve">19.novembra lēmumu un nodot jautājumu par pieteikuma </w:t>
      </w:r>
      <w:r w:rsidR="006B1B32">
        <w:t>virzību</w:t>
      </w:r>
      <w:r w:rsidR="007E47E9">
        <w:t xml:space="preserve"> jaunai izskatīšanai Administratīvaj</w:t>
      </w:r>
      <w:r w:rsidR="006B1B32">
        <w:t>ai</w:t>
      </w:r>
      <w:r w:rsidR="007E47E9">
        <w:t xml:space="preserve"> rajona ties</w:t>
      </w:r>
      <w:r w:rsidR="006B1B32">
        <w:t>ai</w:t>
      </w:r>
      <w:r w:rsidR="00CA18BB" w:rsidRPr="00992D8E">
        <w:t>;</w:t>
      </w:r>
    </w:p>
    <w:p w14:paraId="18EBEAAC" w14:textId="5D0ABBDC" w:rsidR="00A6596A" w:rsidRPr="00992D8E" w:rsidRDefault="00C4396B" w:rsidP="00B87BD6">
      <w:pPr>
        <w:spacing w:line="276" w:lineRule="auto"/>
        <w:ind w:firstLine="720"/>
        <w:jc w:val="both"/>
      </w:pPr>
      <w:r w:rsidRPr="00992D8E">
        <w:t>a</w:t>
      </w:r>
      <w:r w:rsidR="00766A62" w:rsidRPr="00992D8E">
        <w:t xml:space="preserve">tmaksāt </w:t>
      </w:r>
      <w:r w:rsidR="00BB32EB">
        <w:t xml:space="preserve">[pers. A] </w:t>
      </w:r>
      <w:r w:rsidR="00766A62" w:rsidRPr="00992D8E">
        <w:t>drošības naudu 15</w:t>
      </w:r>
      <w:r w:rsidR="005B761A">
        <w:t> </w:t>
      </w:r>
      <w:r w:rsidR="00766A62" w:rsidRPr="00992D8E">
        <w:rPr>
          <w:i/>
          <w:iCs/>
        </w:rPr>
        <w:t>euro</w:t>
      </w:r>
      <w:r w:rsidR="00766A62" w:rsidRPr="00992D8E">
        <w:t>.</w:t>
      </w:r>
    </w:p>
    <w:p w14:paraId="2B1B9C93" w14:textId="77777777" w:rsidR="00492BCD" w:rsidRPr="003F1B00" w:rsidRDefault="00492BCD" w:rsidP="00B87BD6">
      <w:pPr>
        <w:spacing w:line="276" w:lineRule="auto"/>
        <w:ind w:firstLine="720"/>
        <w:jc w:val="both"/>
      </w:pPr>
    </w:p>
    <w:p w14:paraId="372D7A5D" w14:textId="20A14B8A" w:rsidR="00BF1801" w:rsidRDefault="00A6596A" w:rsidP="00B87BD6">
      <w:pPr>
        <w:spacing w:line="276" w:lineRule="auto"/>
        <w:ind w:firstLine="720"/>
        <w:jc w:val="both"/>
      </w:pPr>
      <w:r w:rsidRPr="003F1B00">
        <w:t>Lēmums nav pārsūdzams</w:t>
      </w:r>
      <w:r w:rsidR="00BB32EB">
        <w:t>.</w:t>
      </w:r>
    </w:p>
    <w:sectPr w:rsidR="00BF1801" w:rsidSect="00E550A6">
      <w:footerReference w:type="default" r:id="rId9"/>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DC9C9" w14:textId="77777777" w:rsidR="0034308D" w:rsidRDefault="0034308D" w:rsidP="003047F5">
      <w:r>
        <w:separator/>
      </w:r>
    </w:p>
  </w:endnote>
  <w:endnote w:type="continuationSeparator" w:id="0">
    <w:p w14:paraId="10CE45CB" w14:textId="77777777" w:rsidR="0034308D" w:rsidRDefault="0034308D"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720ED" w14:textId="39FC5CD7" w:rsidR="00505381" w:rsidRPr="009C46F8" w:rsidRDefault="00505381" w:rsidP="00F43FAD">
    <w:pPr>
      <w:pStyle w:val="Footer"/>
      <w:tabs>
        <w:tab w:val="clear" w:pos="4153"/>
        <w:tab w:val="clear" w:pos="8306"/>
      </w:tabs>
      <w:jc w:val="center"/>
      <w:rPr>
        <w:sz w:val="20"/>
        <w:szCs w:val="20"/>
      </w:rPr>
    </w:pPr>
    <w:r w:rsidRPr="009C46F8">
      <w:rPr>
        <w:rStyle w:val="PageNumber"/>
        <w:sz w:val="20"/>
        <w:szCs w:val="20"/>
      </w:rPr>
      <w:fldChar w:fldCharType="begin"/>
    </w:r>
    <w:r w:rsidRPr="009C46F8">
      <w:rPr>
        <w:rStyle w:val="PageNumber"/>
        <w:sz w:val="20"/>
        <w:szCs w:val="20"/>
      </w:rPr>
      <w:instrText xml:space="preserve">PAGE  </w:instrText>
    </w:r>
    <w:r w:rsidRPr="009C46F8">
      <w:rPr>
        <w:rStyle w:val="PageNumber"/>
        <w:sz w:val="20"/>
        <w:szCs w:val="20"/>
      </w:rPr>
      <w:fldChar w:fldCharType="separate"/>
    </w:r>
    <w:r w:rsidR="004E58D8" w:rsidRPr="009C46F8">
      <w:rPr>
        <w:rStyle w:val="PageNumber"/>
        <w:noProof/>
        <w:sz w:val="20"/>
        <w:szCs w:val="20"/>
      </w:rPr>
      <w:t>5</w:t>
    </w:r>
    <w:r w:rsidRPr="009C46F8">
      <w:rPr>
        <w:rStyle w:val="PageNumber"/>
        <w:sz w:val="20"/>
        <w:szCs w:val="20"/>
      </w:rPr>
      <w:fldChar w:fldCharType="end"/>
    </w:r>
    <w:r w:rsidRPr="009C46F8">
      <w:rPr>
        <w:rStyle w:val="PageNumber"/>
        <w:sz w:val="20"/>
        <w:szCs w:val="20"/>
      </w:rPr>
      <w:t xml:space="preserve"> no </w:t>
    </w:r>
    <w:r w:rsidRPr="009C46F8">
      <w:rPr>
        <w:rStyle w:val="PageNumber"/>
        <w:noProof/>
        <w:sz w:val="20"/>
        <w:szCs w:val="20"/>
      </w:rPr>
      <w:fldChar w:fldCharType="begin"/>
    </w:r>
    <w:r w:rsidRPr="009C46F8">
      <w:rPr>
        <w:rStyle w:val="PageNumber"/>
        <w:noProof/>
        <w:sz w:val="20"/>
        <w:szCs w:val="20"/>
      </w:rPr>
      <w:instrText xml:space="preserve"> SECTIONPAGES   \* MERGEFORMAT </w:instrText>
    </w:r>
    <w:r w:rsidRPr="009C46F8">
      <w:rPr>
        <w:rStyle w:val="PageNumber"/>
        <w:noProof/>
        <w:sz w:val="20"/>
        <w:szCs w:val="20"/>
      </w:rPr>
      <w:fldChar w:fldCharType="separate"/>
    </w:r>
    <w:r w:rsidR="0034308D">
      <w:rPr>
        <w:rStyle w:val="PageNumber"/>
        <w:noProof/>
        <w:sz w:val="20"/>
        <w:szCs w:val="20"/>
      </w:rPr>
      <w:t>1</w:t>
    </w:r>
    <w:r w:rsidRPr="009C46F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5C3F" w14:textId="77777777" w:rsidR="0034308D" w:rsidRDefault="0034308D" w:rsidP="003047F5">
      <w:r>
        <w:separator/>
      </w:r>
    </w:p>
  </w:footnote>
  <w:footnote w:type="continuationSeparator" w:id="0">
    <w:p w14:paraId="3A84F171" w14:textId="77777777" w:rsidR="0034308D" w:rsidRDefault="0034308D"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26B"/>
    <w:rsid w:val="000009E0"/>
    <w:rsid w:val="00000DCB"/>
    <w:rsid w:val="0000391B"/>
    <w:rsid w:val="00004030"/>
    <w:rsid w:val="00005900"/>
    <w:rsid w:val="00006B48"/>
    <w:rsid w:val="0001081D"/>
    <w:rsid w:val="00012848"/>
    <w:rsid w:val="000137A9"/>
    <w:rsid w:val="00017016"/>
    <w:rsid w:val="00020265"/>
    <w:rsid w:val="000208B5"/>
    <w:rsid w:val="000234C9"/>
    <w:rsid w:val="00025EAF"/>
    <w:rsid w:val="00027335"/>
    <w:rsid w:val="000307FF"/>
    <w:rsid w:val="0003118A"/>
    <w:rsid w:val="00032382"/>
    <w:rsid w:val="000332F4"/>
    <w:rsid w:val="0003340B"/>
    <w:rsid w:val="0003496A"/>
    <w:rsid w:val="00034DF6"/>
    <w:rsid w:val="00036DF6"/>
    <w:rsid w:val="000377B6"/>
    <w:rsid w:val="00037D1F"/>
    <w:rsid w:val="00040EF6"/>
    <w:rsid w:val="0004556F"/>
    <w:rsid w:val="00046CC9"/>
    <w:rsid w:val="00047235"/>
    <w:rsid w:val="0005011F"/>
    <w:rsid w:val="0005111A"/>
    <w:rsid w:val="00051602"/>
    <w:rsid w:val="000517B3"/>
    <w:rsid w:val="000539C6"/>
    <w:rsid w:val="000547F4"/>
    <w:rsid w:val="00057355"/>
    <w:rsid w:val="00060DD4"/>
    <w:rsid w:val="000611CC"/>
    <w:rsid w:val="0006148E"/>
    <w:rsid w:val="0006185C"/>
    <w:rsid w:val="00062151"/>
    <w:rsid w:val="00062C77"/>
    <w:rsid w:val="000641DF"/>
    <w:rsid w:val="00067EF7"/>
    <w:rsid w:val="0007058B"/>
    <w:rsid w:val="00070BB9"/>
    <w:rsid w:val="000711E5"/>
    <w:rsid w:val="0007249A"/>
    <w:rsid w:val="00084A8B"/>
    <w:rsid w:val="00090763"/>
    <w:rsid w:val="00092BB9"/>
    <w:rsid w:val="00093711"/>
    <w:rsid w:val="00093DDF"/>
    <w:rsid w:val="00095685"/>
    <w:rsid w:val="00095A18"/>
    <w:rsid w:val="00095AEA"/>
    <w:rsid w:val="0009626D"/>
    <w:rsid w:val="000966E2"/>
    <w:rsid w:val="00096ABF"/>
    <w:rsid w:val="00096DA6"/>
    <w:rsid w:val="000A1D86"/>
    <w:rsid w:val="000A1DE3"/>
    <w:rsid w:val="000A4BAB"/>
    <w:rsid w:val="000B0A3A"/>
    <w:rsid w:val="000B1784"/>
    <w:rsid w:val="000B18D2"/>
    <w:rsid w:val="000B2BC0"/>
    <w:rsid w:val="000B403A"/>
    <w:rsid w:val="000B4429"/>
    <w:rsid w:val="000B494A"/>
    <w:rsid w:val="000B58F6"/>
    <w:rsid w:val="000B6C6B"/>
    <w:rsid w:val="000C08BC"/>
    <w:rsid w:val="000C3386"/>
    <w:rsid w:val="000C3ABF"/>
    <w:rsid w:val="000C4A22"/>
    <w:rsid w:val="000C4C65"/>
    <w:rsid w:val="000D0865"/>
    <w:rsid w:val="000D3B4C"/>
    <w:rsid w:val="000D4965"/>
    <w:rsid w:val="000D4DD7"/>
    <w:rsid w:val="000E0DD3"/>
    <w:rsid w:val="000E3C9C"/>
    <w:rsid w:val="000E3F49"/>
    <w:rsid w:val="000E56DC"/>
    <w:rsid w:val="000E5D37"/>
    <w:rsid w:val="000E6506"/>
    <w:rsid w:val="000E76A6"/>
    <w:rsid w:val="000E7EDF"/>
    <w:rsid w:val="000F0BF2"/>
    <w:rsid w:val="000F0CE8"/>
    <w:rsid w:val="000F0F0C"/>
    <w:rsid w:val="000F144E"/>
    <w:rsid w:val="000F56CF"/>
    <w:rsid w:val="000F59AD"/>
    <w:rsid w:val="00101ADA"/>
    <w:rsid w:val="00106034"/>
    <w:rsid w:val="00106ABC"/>
    <w:rsid w:val="00107E84"/>
    <w:rsid w:val="00110554"/>
    <w:rsid w:val="001108D8"/>
    <w:rsid w:val="00111880"/>
    <w:rsid w:val="00112DFA"/>
    <w:rsid w:val="00113708"/>
    <w:rsid w:val="001137FB"/>
    <w:rsid w:val="001153E8"/>
    <w:rsid w:val="001162D3"/>
    <w:rsid w:val="00117502"/>
    <w:rsid w:val="00120997"/>
    <w:rsid w:val="00123CC5"/>
    <w:rsid w:val="001247DF"/>
    <w:rsid w:val="00125EF8"/>
    <w:rsid w:val="00125FEE"/>
    <w:rsid w:val="00127E5F"/>
    <w:rsid w:val="00130121"/>
    <w:rsid w:val="00130819"/>
    <w:rsid w:val="00132F3F"/>
    <w:rsid w:val="00134034"/>
    <w:rsid w:val="0013545D"/>
    <w:rsid w:val="00135E23"/>
    <w:rsid w:val="001376DE"/>
    <w:rsid w:val="001439A1"/>
    <w:rsid w:val="00143B45"/>
    <w:rsid w:val="001447C2"/>
    <w:rsid w:val="001476B7"/>
    <w:rsid w:val="0015102E"/>
    <w:rsid w:val="0015140B"/>
    <w:rsid w:val="00151F15"/>
    <w:rsid w:val="0015480A"/>
    <w:rsid w:val="001550C5"/>
    <w:rsid w:val="001555DC"/>
    <w:rsid w:val="00160BE3"/>
    <w:rsid w:val="001611DA"/>
    <w:rsid w:val="00162744"/>
    <w:rsid w:val="001646E9"/>
    <w:rsid w:val="00164CA5"/>
    <w:rsid w:val="00165531"/>
    <w:rsid w:val="00166036"/>
    <w:rsid w:val="00170BAD"/>
    <w:rsid w:val="00172CEA"/>
    <w:rsid w:val="00172ED7"/>
    <w:rsid w:val="00173F11"/>
    <w:rsid w:val="0017515B"/>
    <w:rsid w:val="001810F4"/>
    <w:rsid w:val="00181109"/>
    <w:rsid w:val="00183310"/>
    <w:rsid w:val="001877B8"/>
    <w:rsid w:val="0019238A"/>
    <w:rsid w:val="001926C0"/>
    <w:rsid w:val="0019546C"/>
    <w:rsid w:val="00197163"/>
    <w:rsid w:val="001A0495"/>
    <w:rsid w:val="001A26AA"/>
    <w:rsid w:val="001A2A87"/>
    <w:rsid w:val="001A2BD5"/>
    <w:rsid w:val="001A3C66"/>
    <w:rsid w:val="001A780C"/>
    <w:rsid w:val="001C3558"/>
    <w:rsid w:val="001C3AA9"/>
    <w:rsid w:val="001C3BD9"/>
    <w:rsid w:val="001C528A"/>
    <w:rsid w:val="001C58AB"/>
    <w:rsid w:val="001C7F9A"/>
    <w:rsid w:val="001D0B47"/>
    <w:rsid w:val="001D29E6"/>
    <w:rsid w:val="001D2A38"/>
    <w:rsid w:val="001D3536"/>
    <w:rsid w:val="001D569B"/>
    <w:rsid w:val="001D59E4"/>
    <w:rsid w:val="001E0F24"/>
    <w:rsid w:val="001E11A7"/>
    <w:rsid w:val="001E290A"/>
    <w:rsid w:val="001E3A09"/>
    <w:rsid w:val="001E3EF4"/>
    <w:rsid w:val="001E773E"/>
    <w:rsid w:val="001F0011"/>
    <w:rsid w:val="001F18B0"/>
    <w:rsid w:val="001F1E7A"/>
    <w:rsid w:val="001F3948"/>
    <w:rsid w:val="001F3D6D"/>
    <w:rsid w:val="001F40A0"/>
    <w:rsid w:val="001F4186"/>
    <w:rsid w:val="001F50FF"/>
    <w:rsid w:val="002000E4"/>
    <w:rsid w:val="00200C59"/>
    <w:rsid w:val="00201A94"/>
    <w:rsid w:val="002045EC"/>
    <w:rsid w:val="00205FD4"/>
    <w:rsid w:val="0021045F"/>
    <w:rsid w:val="0021095B"/>
    <w:rsid w:val="00211490"/>
    <w:rsid w:val="00212276"/>
    <w:rsid w:val="002143DD"/>
    <w:rsid w:val="00214BF9"/>
    <w:rsid w:val="00215222"/>
    <w:rsid w:val="00215658"/>
    <w:rsid w:val="00216940"/>
    <w:rsid w:val="00217660"/>
    <w:rsid w:val="00223F3C"/>
    <w:rsid w:val="00225380"/>
    <w:rsid w:val="0022647C"/>
    <w:rsid w:val="00230389"/>
    <w:rsid w:val="002309A7"/>
    <w:rsid w:val="002313BD"/>
    <w:rsid w:val="00231DB0"/>
    <w:rsid w:val="002332ED"/>
    <w:rsid w:val="002341BA"/>
    <w:rsid w:val="00236BC1"/>
    <w:rsid w:val="00237F92"/>
    <w:rsid w:val="002458A1"/>
    <w:rsid w:val="00245BA1"/>
    <w:rsid w:val="00247860"/>
    <w:rsid w:val="00247BA2"/>
    <w:rsid w:val="002503C6"/>
    <w:rsid w:val="00251991"/>
    <w:rsid w:val="00251D13"/>
    <w:rsid w:val="00253148"/>
    <w:rsid w:val="00254FE8"/>
    <w:rsid w:val="00256D56"/>
    <w:rsid w:val="00257C32"/>
    <w:rsid w:val="0026107F"/>
    <w:rsid w:val="00262350"/>
    <w:rsid w:val="0026275C"/>
    <w:rsid w:val="00262ABE"/>
    <w:rsid w:val="00263A1F"/>
    <w:rsid w:val="00263FE5"/>
    <w:rsid w:val="00266398"/>
    <w:rsid w:val="002673FF"/>
    <w:rsid w:val="00267440"/>
    <w:rsid w:val="00270987"/>
    <w:rsid w:val="00270AA6"/>
    <w:rsid w:val="0027153B"/>
    <w:rsid w:val="00271F5D"/>
    <w:rsid w:val="002722B7"/>
    <w:rsid w:val="00272FB5"/>
    <w:rsid w:val="0027469B"/>
    <w:rsid w:val="002764DF"/>
    <w:rsid w:val="00277CA1"/>
    <w:rsid w:val="0028311C"/>
    <w:rsid w:val="0028354C"/>
    <w:rsid w:val="00283B84"/>
    <w:rsid w:val="002865B6"/>
    <w:rsid w:val="00290418"/>
    <w:rsid w:val="00291EEF"/>
    <w:rsid w:val="00292779"/>
    <w:rsid w:val="00292FBE"/>
    <w:rsid w:val="00293462"/>
    <w:rsid w:val="00294A2A"/>
    <w:rsid w:val="00294C88"/>
    <w:rsid w:val="0029501F"/>
    <w:rsid w:val="00295E77"/>
    <w:rsid w:val="00297100"/>
    <w:rsid w:val="00297E11"/>
    <w:rsid w:val="002B18C3"/>
    <w:rsid w:val="002B2946"/>
    <w:rsid w:val="002B2A34"/>
    <w:rsid w:val="002B2D30"/>
    <w:rsid w:val="002B790E"/>
    <w:rsid w:val="002C108F"/>
    <w:rsid w:val="002C26D9"/>
    <w:rsid w:val="002C400D"/>
    <w:rsid w:val="002C543B"/>
    <w:rsid w:val="002C61AC"/>
    <w:rsid w:val="002C66DD"/>
    <w:rsid w:val="002C7ACB"/>
    <w:rsid w:val="002D1AE8"/>
    <w:rsid w:val="002D2089"/>
    <w:rsid w:val="002D27ED"/>
    <w:rsid w:val="002D42FB"/>
    <w:rsid w:val="002D58C5"/>
    <w:rsid w:val="002D6DD7"/>
    <w:rsid w:val="002D7493"/>
    <w:rsid w:val="002D7611"/>
    <w:rsid w:val="002E0E38"/>
    <w:rsid w:val="002E19C0"/>
    <w:rsid w:val="002E4B02"/>
    <w:rsid w:val="002E7F3D"/>
    <w:rsid w:val="002F09B0"/>
    <w:rsid w:val="002F32F7"/>
    <w:rsid w:val="002F3CA3"/>
    <w:rsid w:val="002F47F7"/>
    <w:rsid w:val="002F6064"/>
    <w:rsid w:val="00301A51"/>
    <w:rsid w:val="00302139"/>
    <w:rsid w:val="00302C14"/>
    <w:rsid w:val="00303704"/>
    <w:rsid w:val="00304601"/>
    <w:rsid w:val="00304696"/>
    <w:rsid w:val="003047F5"/>
    <w:rsid w:val="00310FBD"/>
    <w:rsid w:val="003135C6"/>
    <w:rsid w:val="00313724"/>
    <w:rsid w:val="0031390C"/>
    <w:rsid w:val="003151A2"/>
    <w:rsid w:val="00315E10"/>
    <w:rsid w:val="00316ABB"/>
    <w:rsid w:val="003203F9"/>
    <w:rsid w:val="003217EB"/>
    <w:rsid w:val="00324269"/>
    <w:rsid w:val="00324F6E"/>
    <w:rsid w:val="003300A2"/>
    <w:rsid w:val="0033025F"/>
    <w:rsid w:val="00332160"/>
    <w:rsid w:val="00332710"/>
    <w:rsid w:val="00337502"/>
    <w:rsid w:val="003405F0"/>
    <w:rsid w:val="00342F49"/>
    <w:rsid w:val="0034308D"/>
    <w:rsid w:val="00345179"/>
    <w:rsid w:val="003454D5"/>
    <w:rsid w:val="003464C7"/>
    <w:rsid w:val="00347F64"/>
    <w:rsid w:val="0035043D"/>
    <w:rsid w:val="00351A97"/>
    <w:rsid w:val="003528DB"/>
    <w:rsid w:val="0035346E"/>
    <w:rsid w:val="0035378A"/>
    <w:rsid w:val="00355CCD"/>
    <w:rsid w:val="00364D54"/>
    <w:rsid w:val="00367039"/>
    <w:rsid w:val="003678AB"/>
    <w:rsid w:val="00370520"/>
    <w:rsid w:val="0037157D"/>
    <w:rsid w:val="00380FF9"/>
    <w:rsid w:val="00382749"/>
    <w:rsid w:val="0038595A"/>
    <w:rsid w:val="0038690A"/>
    <w:rsid w:val="00391471"/>
    <w:rsid w:val="00391E95"/>
    <w:rsid w:val="003934E8"/>
    <w:rsid w:val="00393674"/>
    <w:rsid w:val="00395115"/>
    <w:rsid w:val="00396947"/>
    <w:rsid w:val="003975DA"/>
    <w:rsid w:val="00397C7E"/>
    <w:rsid w:val="003A05E7"/>
    <w:rsid w:val="003A0FB4"/>
    <w:rsid w:val="003A2728"/>
    <w:rsid w:val="003A3423"/>
    <w:rsid w:val="003A47F8"/>
    <w:rsid w:val="003A5503"/>
    <w:rsid w:val="003A5F51"/>
    <w:rsid w:val="003A6DB3"/>
    <w:rsid w:val="003B1452"/>
    <w:rsid w:val="003B1763"/>
    <w:rsid w:val="003B4FA2"/>
    <w:rsid w:val="003B578F"/>
    <w:rsid w:val="003B62A3"/>
    <w:rsid w:val="003B644B"/>
    <w:rsid w:val="003B788D"/>
    <w:rsid w:val="003C46CA"/>
    <w:rsid w:val="003C48E6"/>
    <w:rsid w:val="003C52FF"/>
    <w:rsid w:val="003C5334"/>
    <w:rsid w:val="003C6B4D"/>
    <w:rsid w:val="003D150F"/>
    <w:rsid w:val="003D5EC4"/>
    <w:rsid w:val="003D6449"/>
    <w:rsid w:val="003D649E"/>
    <w:rsid w:val="003D660B"/>
    <w:rsid w:val="003E0A17"/>
    <w:rsid w:val="003E1A24"/>
    <w:rsid w:val="003E2301"/>
    <w:rsid w:val="003E2FCE"/>
    <w:rsid w:val="003E5291"/>
    <w:rsid w:val="003E533F"/>
    <w:rsid w:val="003E6333"/>
    <w:rsid w:val="003E7280"/>
    <w:rsid w:val="003E73F4"/>
    <w:rsid w:val="003F1B00"/>
    <w:rsid w:val="003F279F"/>
    <w:rsid w:val="003F2A29"/>
    <w:rsid w:val="003F43BB"/>
    <w:rsid w:val="003F4FDD"/>
    <w:rsid w:val="003F53F7"/>
    <w:rsid w:val="003F6B78"/>
    <w:rsid w:val="003F767F"/>
    <w:rsid w:val="00400D65"/>
    <w:rsid w:val="00401737"/>
    <w:rsid w:val="00402030"/>
    <w:rsid w:val="004027F4"/>
    <w:rsid w:val="00410164"/>
    <w:rsid w:val="00410425"/>
    <w:rsid w:val="00410705"/>
    <w:rsid w:val="00411959"/>
    <w:rsid w:val="00413497"/>
    <w:rsid w:val="00415AA0"/>
    <w:rsid w:val="004166D6"/>
    <w:rsid w:val="004200B5"/>
    <w:rsid w:val="00424B84"/>
    <w:rsid w:val="004302B3"/>
    <w:rsid w:val="0043182C"/>
    <w:rsid w:val="00433FFF"/>
    <w:rsid w:val="0043616A"/>
    <w:rsid w:val="004379A5"/>
    <w:rsid w:val="004426EA"/>
    <w:rsid w:val="00444463"/>
    <w:rsid w:val="004446AE"/>
    <w:rsid w:val="00444ADA"/>
    <w:rsid w:val="004452A2"/>
    <w:rsid w:val="00453299"/>
    <w:rsid w:val="00454C15"/>
    <w:rsid w:val="00454DDD"/>
    <w:rsid w:val="00460260"/>
    <w:rsid w:val="004612A2"/>
    <w:rsid w:val="004636C9"/>
    <w:rsid w:val="00463E71"/>
    <w:rsid w:val="00471D43"/>
    <w:rsid w:val="0047272F"/>
    <w:rsid w:val="00472924"/>
    <w:rsid w:val="00474D61"/>
    <w:rsid w:val="004750CC"/>
    <w:rsid w:val="004754C8"/>
    <w:rsid w:val="004809F6"/>
    <w:rsid w:val="00480EFD"/>
    <w:rsid w:val="00483E9D"/>
    <w:rsid w:val="00485207"/>
    <w:rsid w:val="004852E6"/>
    <w:rsid w:val="0048680C"/>
    <w:rsid w:val="004870A6"/>
    <w:rsid w:val="00487472"/>
    <w:rsid w:val="00487B73"/>
    <w:rsid w:val="00487C2C"/>
    <w:rsid w:val="00491DEC"/>
    <w:rsid w:val="00492BCD"/>
    <w:rsid w:val="00493627"/>
    <w:rsid w:val="004936F8"/>
    <w:rsid w:val="00497AC3"/>
    <w:rsid w:val="004A0DEF"/>
    <w:rsid w:val="004A3B25"/>
    <w:rsid w:val="004A4903"/>
    <w:rsid w:val="004B06C4"/>
    <w:rsid w:val="004B47CD"/>
    <w:rsid w:val="004B6AC7"/>
    <w:rsid w:val="004C026B"/>
    <w:rsid w:val="004C674F"/>
    <w:rsid w:val="004D1A88"/>
    <w:rsid w:val="004D1BEA"/>
    <w:rsid w:val="004D2F98"/>
    <w:rsid w:val="004D394E"/>
    <w:rsid w:val="004D4886"/>
    <w:rsid w:val="004E1653"/>
    <w:rsid w:val="004E1D2D"/>
    <w:rsid w:val="004E2A29"/>
    <w:rsid w:val="004E5146"/>
    <w:rsid w:val="004E58D8"/>
    <w:rsid w:val="004E5BD2"/>
    <w:rsid w:val="004E71F9"/>
    <w:rsid w:val="004E721A"/>
    <w:rsid w:val="004F1F8C"/>
    <w:rsid w:val="004F423E"/>
    <w:rsid w:val="004F5008"/>
    <w:rsid w:val="004F794B"/>
    <w:rsid w:val="004F7B24"/>
    <w:rsid w:val="00500E05"/>
    <w:rsid w:val="00500F58"/>
    <w:rsid w:val="00501654"/>
    <w:rsid w:val="00503BBA"/>
    <w:rsid w:val="00504BC4"/>
    <w:rsid w:val="00505381"/>
    <w:rsid w:val="00505B10"/>
    <w:rsid w:val="0050688D"/>
    <w:rsid w:val="005105DC"/>
    <w:rsid w:val="00511B56"/>
    <w:rsid w:val="00514A63"/>
    <w:rsid w:val="00521A02"/>
    <w:rsid w:val="0052600B"/>
    <w:rsid w:val="00527D55"/>
    <w:rsid w:val="00530F7E"/>
    <w:rsid w:val="00531041"/>
    <w:rsid w:val="0053310E"/>
    <w:rsid w:val="00534FC8"/>
    <w:rsid w:val="005359EA"/>
    <w:rsid w:val="00535AF2"/>
    <w:rsid w:val="00536ECD"/>
    <w:rsid w:val="00540999"/>
    <w:rsid w:val="00540B4E"/>
    <w:rsid w:val="00541C26"/>
    <w:rsid w:val="00543E46"/>
    <w:rsid w:val="00544179"/>
    <w:rsid w:val="00550C1A"/>
    <w:rsid w:val="005541A3"/>
    <w:rsid w:val="00554408"/>
    <w:rsid w:val="005546F1"/>
    <w:rsid w:val="0055538F"/>
    <w:rsid w:val="0055657A"/>
    <w:rsid w:val="0055668E"/>
    <w:rsid w:val="00560242"/>
    <w:rsid w:val="005628D9"/>
    <w:rsid w:val="00562B5F"/>
    <w:rsid w:val="00562F9A"/>
    <w:rsid w:val="0056336C"/>
    <w:rsid w:val="00565B65"/>
    <w:rsid w:val="005665F5"/>
    <w:rsid w:val="00570353"/>
    <w:rsid w:val="00571E95"/>
    <w:rsid w:val="0057286D"/>
    <w:rsid w:val="005729C1"/>
    <w:rsid w:val="005729D7"/>
    <w:rsid w:val="0057714A"/>
    <w:rsid w:val="00580219"/>
    <w:rsid w:val="0058068D"/>
    <w:rsid w:val="00580C1E"/>
    <w:rsid w:val="00581F62"/>
    <w:rsid w:val="00582ABD"/>
    <w:rsid w:val="005855B9"/>
    <w:rsid w:val="0058575A"/>
    <w:rsid w:val="00585BC9"/>
    <w:rsid w:val="00590AE2"/>
    <w:rsid w:val="00594CAE"/>
    <w:rsid w:val="00595D33"/>
    <w:rsid w:val="005978D5"/>
    <w:rsid w:val="005A4E37"/>
    <w:rsid w:val="005A52C0"/>
    <w:rsid w:val="005B1316"/>
    <w:rsid w:val="005B3F39"/>
    <w:rsid w:val="005B4004"/>
    <w:rsid w:val="005B42DC"/>
    <w:rsid w:val="005B4D81"/>
    <w:rsid w:val="005B6DB6"/>
    <w:rsid w:val="005B7443"/>
    <w:rsid w:val="005B761A"/>
    <w:rsid w:val="005C10C5"/>
    <w:rsid w:val="005C208B"/>
    <w:rsid w:val="005C258B"/>
    <w:rsid w:val="005C3FA6"/>
    <w:rsid w:val="005C5F05"/>
    <w:rsid w:val="005C63C0"/>
    <w:rsid w:val="005C73BB"/>
    <w:rsid w:val="005D0355"/>
    <w:rsid w:val="005D0693"/>
    <w:rsid w:val="005D08A1"/>
    <w:rsid w:val="005D422D"/>
    <w:rsid w:val="005D5DD2"/>
    <w:rsid w:val="005D7BB4"/>
    <w:rsid w:val="005E0DE2"/>
    <w:rsid w:val="005E0F8D"/>
    <w:rsid w:val="005E189D"/>
    <w:rsid w:val="005E1C2F"/>
    <w:rsid w:val="005E1F83"/>
    <w:rsid w:val="005E3C9E"/>
    <w:rsid w:val="005F07F7"/>
    <w:rsid w:val="005F0AA6"/>
    <w:rsid w:val="005F0C84"/>
    <w:rsid w:val="005F1028"/>
    <w:rsid w:val="005F1BD2"/>
    <w:rsid w:val="005F21AF"/>
    <w:rsid w:val="005F396E"/>
    <w:rsid w:val="005F3FA0"/>
    <w:rsid w:val="005F6619"/>
    <w:rsid w:val="00600EA6"/>
    <w:rsid w:val="00603321"/>
    <w:rsid w:val="00603D44"/>
    <w:rsid w:val="00607573"/>
    <w:rsid w:val="00616DE8"/>
    <w:rsid w:val="0061754F"/>
    <w:rsid w:val="00617877"/>
    <w:rsid w:val="00617E8B"/>
    <w:rsid w:val="00621258"/>
    <w:rsid w:val="00621C93"/>
    <w:rsid w:val="00622744"/>
    <w:rsid w:val="00623628"/>
    <w:rsid w:val="006239AC"/>
    <w:rsid w:val="00625610"/>
    <w:rsid w:val="006257B6"/>
    <w:rsid w:val="00626830"/>
    <w:rsid w:val="00626A15"/>
    <w:rsid w:val="006278EC"/>
    <w:rsid w:val="006347BF"/>
    <w:rsid w:val="00637EFE"/>
    <w:rsid w:val="00641A20"/>
    <w:rsid w:val="0064282A"/>
    <w:rsid w:val="00642986"/>
    <w:rsid w:val="00644B28"/>
    <w:rsid w:val="0064679B"/>
    <w:rsid w:val="00650A5F"/>
    <w:rsid w:val="0065475C"/>
    <w:rsid w:val="00655B70"/>
    <w:rsid w:val="0065691C"/>
    <w:rsid w:val="006572BB"/>
    <w:rsid w:val="00660995"/>
    <w:rsid w:val="00661373"/>
    <w:rsid w:val="00663CA5"/>
    <w:rsid w:val="00666CCE"/>
    <w:rsid w:val="00666E78"/>
    <w:rsid w:val="006708E7"/>
    <w:rsid w:val="00670AE6"/>
    <w:rsid w:val="00670B86"/>
    <w:rsid w:val="00672522"/>
    <w:rsid w:val="006726F2"/>
    <w:rsid w:val="00673D98"/>
    <w:rsid w:val="00674BC7"/>
    <w:rsid w:val="0067524F"/>
    <w:rsid w:val="00680916"/>
    <w:rsid w:val="00683747"/>
    <w:rsid w:val="00685079"/>
    <w:rsid w:val="006856DF"/>
    <w:rsid w:val="0069306C"/>
    <w:rsid w:val="00694D58"/>
    <w:rsid w:val="00696F83"/>
    <w:rsid w:val="006A043E"/>
    <w:rsid w:val="006A04C3"/>
    <w:rsid w:val="006A13BB"/>
    <w:rsid w:val="006A2508"/>
    <w:rsid w:val="006A6AC5"/>
    <w:rsid w:val="006B0293"/>
    <w:rsid w:val="006B08B6"/>
    <w:rsid w:val="006B1B32"/>
    <w:rsid w:val="006C0943"/>
    <w:rsid w:val="006C16E0"/>
    <w:rsid w:val="006C52C9"/>
    <w:rsid w:val="006C5E8D"/>
    <w:rsid w:val="006C6CFA"/>
    <w:rsid w:val="006C6E36"/>
    <w:rsid w:val="006C7C76"/>
    <w:rsid w:val="006D08C0"/>
    <w:rsid w:val="006D15BF"/>
    <w:rsid w:val="006D5DD7"/>
    <w:rsid w:val="006D63AE"/>
    <w:rsid w:val="006D6D9F"/>
    <w:rsid w:val="006D7325"/>
    <w:rsid w:val="006E01A9"/>
    <w:rsid w:val="006E087A"/>
    <w:rsid w:val="006E0DA7"/>
    <w:rsid w:val="006E47D5"/>
    <w:rsid w:val="006E6063"/>
    <w:rsid w:val="006E60E6"/>
    <w:rsid w:val="006E6AD5"/>
    <w:rsid w:val="006F3A20"/>
    <w:rsid w:val="006F52E7"/>
    <w:rsid w:val="006F5D3B"/>
    <w:rsid w:val="006F7581"/>
    <w:rsid w:val="007014C1"/>
    <w:rsid w:val="007017F2"/>
    <w:rsid w:val="00703AD8"/>
    <w:rsid w:val="007059A6"/>
    <w:rsid w:val="00707E82"/>
    <w:rsid w:val="007143CE"/>
    <w:rsid w:val="00714C50"/>
    <w:rsid w:val="00714EF2"/>
    <w:rsid w:val="00715C93"/>
    <w:rsid w:val="00715DD5"/>
    <w:rsid w:val="00716AFC"/>
    <w:rsid w:val="00717265"/>
    <w:rsid w:val="007205F7"/>
    <w:rsid w:val="00726CBF"/>
    <w:rsid w:val="00727EBA"/>
    <w:rsid w:val="00730B73"/>
    <w:rsid w:val="00731094"/>
    <w:rsid w:val="00731A51"/>
    <w:rsid w:val="00733EBA"/>
    <w:rsid w:val="007352EB"/>
    <w:rsid w:val="0073543D"/>
    <w:rsid w:val="00735B6E"/>
    <w:rsid w:val="00735D9E"/>
    <w:rsid w:val="00736136"/>
    <w:rsid w:val="00740F13"/>
    <w:rsid w:val="00740F44"/>
    <w:rsid w:val="0074141A"/>
    <w:rsid w:val="00746A1A"/>
    <w:rsid w:val="00746B01"/>
    <w:rsid w:val="007509E2"/>
    <w:rsid w:val="00753151"/>
    <w:rsid w:val="00753283"/>
    <w:rsid w:val="007566CD"/>
    <w:rsid w:val="00760DBC"/>
    <w:rsid w:val="00760FC3"/>
    <w:rsid w:val="00762A9F"/>
    <w:rsid w:val="007636EC"/>
    <w:rsid w:val="00766A62"/>
    <w:rsid w:val="00767A8F"/>
    <w:rsid w:val="00770439"/>
    <w:rsid w:val="00771D29"/>
    <w:rsid w:val="00772B71"/>
    <w:rsid w:val="00772CB1"/>
    <w:rsid w:val="00774D3B"/>
    <w:rsid w:val="00777347"/>
    <w:rsid w:val="007816FD"/>
    <w:rsid w:val="007828D8"/>
    <w:rsid w:val="0078728E"/>
    <w:rsid w:val="00787A6A"/>
    <w:rsid w:val="00796E60"/>
    <w:rsid w:val="00797B70"/>
    <w:rsid w:val="007A08B1"/>
    <w:rsid w:val="007A4CE9"/>
    <w:rsid w:val="007A5734"/>
    <w:rsid w:val="007A6936"/>
    <w:rsid w:val="007A79E5"/>
    <w:rsid w:val="007B1BBA"/>
    <w:rsid w:val="007B66BA"/>
    <w:rsid w:val="007B7CC5"/>
    <w:rsid w:val="007C1483"/>
    <w:rsid w:val="007C352B"/>
    <w:rsid w:val="007C3CD3"/>
    <w:rsid w:val="007C695A"/>
    <w:rsid w:val="007C7845"/>
    <w:rsid w:val="007C7981"/>
    <w:rsid w:val="007D2D6B"/>
    <w:rsid w:val="007D56C4"/>
    <w:rsid w:val="007D5D1D"/>
    <w:rsid w:val="007E3267"/>
    <w:rsid w:val="007E47E9"/>
    <w:rsid w:val="007E547E"/>
    <w:rsid w:val="007E5727"/>
    <w:rsid w:val="007E687E"/>
    <w:rsid w:val="007E7A24"/>
    <w:rsid w:val="007F0124"/>
    <w:rsid w:val="007F212B"/>
    <w:rsid w:val="007F2E58"/>
    <w:rsid w:val="007F5270"/>
    <w:rsid w:val="007F5DE0"/>
    <w:rsid w:val="007F6EDB"/>
    <w:rsid w:val="00802A81"/>
    <w:rsid w:val="00803937"/>
    <w:rsid w:val="00803CBB"/>
    <w:rsid w:val="008050D5"/>
    <w:rsid w:val="008114C2"/>
    <w:rsid w:val="00814F3A"/>
    <w:rsid w:val="00820B71"/>
    <w:rsid w:val="00822230"/>
    <w:rsid w:val="00822491"/>
    <w:rsid w:val="0082290A"/>
    <w:rsid w:val="00825C10"/>
    <w:rsid w:val="00830D84"/>
    <w:rsid w:val="00831BC0"/>
    <w:rsid w:val="00834176"/>
    <w:rsid w:val="00835BBF"/>
    <w:rsid w:val="008376DD"/>
    <w:rsid w:val="00837E90"/>
    <w:rsid w:val="00837EA7"/>
    <w:rsid w:val="0084169C"/>
    <w:rsid w:val="008465D9"/>
    <w:rsid w:val="008467FB"/>
    <w:rsid w:val="00847011"/>
    <w:rsid w:val="00852639"/>
    <w:rsid w:val="0085277B"/>
    <w:rsid w:val="008533CC"/>
    <w:rsid w:val="008575F3"/>
    <w:rsid w:val="00861230"/>
    <w:rsid w:val="0086131B"/>
    <w:rsid w:val="0086199C"/>
    <w:rsid w:val="0086214C"/>
    <w:rsid w:val="008638AA"/>
    <w:rsid w:val="0086469B"/>
    <w:rsid w:val="008701F5"/>
    <w:rsid w:val="00870EDA"/>
    <w:rsid w:val="00871287"/>
    <w:rsid w:val="00873B5E"/>
    <w:rsid w:val="00876C09"/>
    <w:rsid w:val="00877251"/>
    <w:rsid w:val="008779BC"/>
    <w:rsid w:val="008819E7"/>
    <w:rsid w:val="00883EED"/>
    <w:rsid w:val="00884D63"/>
    <w:rsid w:val="00886722"/>
    <w:rsid w:val="00886F2F"/>
    <w:rsid w:val="00887B90"/>
    <w:rsid w:val="00890312"/>
    <w:rsid w:val="00892B91"/>
    <w:rsid w:val="0089578A"/>
    <w:rsid w:val="008961DE"/>
    <w:rsid w:val="00896DE8"/>
    <w:rsid w:val="00897152"/>
    <w:rsid w:val="008A01AA"/>
    <w:rsid w:val="008A08F9"/>
    <w:rsid w:val="008A234C"/>
    <w:rsid w:val="008B1034"/>
    <w:rsid w:val="008B216C"/>
    <w:rsid w:val="008B5DF2"/>
    <w:rsid w:val="008B6B4F"/>
    <w:rsid w:val="008B79E0"/>
    <w:rsid w:val="008C0729"/>
    <w:rsid w:val="008C0EC1"/>
    <w:rsid w:val="008C52AD"/>
    <w:rsid w:val="008C61E7"/>
    <w:rsid w:val="008C72F4"/>
    <w:rsid w:val="008C746F"/>
    <w:rsid w:val="008D12D6"/>
    <w:rsid w:val="008D51D2"/>
    <w:rsid w:val="008E0461"/>
    <w:rsid w:val="008E1BCA"/>
    <w:rsid w:val="008E1FBE"/>
    <w:rsid w:val="008E34ED"/>
    <w:rsid w:val="008E569F"/>
    <w:rsid w:val="008E73C7"/>
    <w:rsid w:val="008F1A12"/>
    <w:rsid w:val="008F5CE6"/>
    <w:rsid w:val="008F5FAF"/>
    <w:rsid w:val="008F6BA7"/>
    <w:rsid w:val="008F7BF9"/>
    <w:rsid w:val="0090009D"/>
    <w:rsid w:val="0090320F"/>
    <w:rsid w:val="00904200"/>
    <w:rsid w:val="0090455C"/>
    <w:rsid w:val="00906B79"/>
    <w:rsid w:val="00914417"/>
    <w:rsid w:val="00914CDD"/>
    <w:rsid w:val="00915A43"/>
    <w:rsid w:val="00917987"/>
    <w:rsid w:val="00921203"/>
    <w:rsid w:val="009229FE"/>
    <w:rsid w:val="0092339D"/>
    <w:rsid w:val="00925230"/>
    <w:rsid w:val="0092591F"/>
    <w:rsid w:val="00925FE7"/>
    <w:rsid w:val="009261C2"/>
    <w:rsid w:val="00927F50"/>
    <w:rsid w:val="00930038"/>
    <w:rsid w:val="00934735"/>
    <w:rsid w:val="00934D7B"/>
    <w:rsid w:val="00941649"/>
    <w:rsid w:val="00942BC3"/>
    <w:rsid w:val="009457C3"/>
    <w:rsid w:val="00945A44"/>
    <w:rsid w:val="00945B1E"/>
    <w:rsid w:val="009468D4"/>
    <w:rsid w:val="0094698D"/>
    <w:rsid w:val="00950DFA"/>
    <w:rsid w:val="00951936"/>
    <w:rsid w:val="00953B59"/>
    <w:rsid w:val="0095488B"/>
    <w:rsid w:val="00955542"/>
    <w:rsid w:val="0095746C"/>
    <w:rsid w:val="00960637"/>
    <w:rsid w:val="00961D9C"/>
    <w:rsid w:val="0096236F"/>
    <w:rsid w:val="009638D6"/>
    <w:rsid w:val="009639F7"/>
    <w:rsid w:val="00963E7E"/>
    <w:rsid w:val="00964708"/>
    <w:rsid w:val="009660A3"/>
    <w:rsid w:val="00966425"/>
    <w:rsid w:val="00966D2E"/>
    <w:rsid w:val="0097186C"/>
    <w:rsid w:val="0097231F"/>
    <w:rsid w:val="009725D3"/>
    <w:rsid w:val="00972D4D"/>
    <w:rsid w:val="009732B5"/>
    <w:rsid w:val="00974D80"/>
    <w:rsid w:val="00975373"/>
    <w:rsid w:val="009764FE"/>
    <w:rsid w:val="0097690D"/>
    <w:rsid w:val="00980BBB"/>
    <w:rsid w:val="00982A5F"/>
    <w:rsid w:val="00983645"/>
    <w:rsid w:val="009861C8"/>
    <w:rsid w:val="00986D11"/>
    <w:rsid w:val="00992119"/>
    <w:rsid w:val="00992D8E"/>
    <w:rsid w:val="009930BE"/>
    <w:rsid w:val="00994A61"/>
    <w:rsid w:val="00996227"/>
    <w:rsid w:val="009A0089"/>
    <w:rsid w:val="009A1C6E"/>
    <w:rsid w:val="009A3347"/>
    <w:rsid w:val="009A604B"/>
    <w:rsid w:val="009A73DE"/>
    <w:rsid w:val="009B0760"/>
    <w:rsid w:val="009B446F"/>
    <w:rsid w:val="009B7AE4"/>
    <w:rsid w:val="009C1DAF"/>
    <w:rsid w:val="009C39DD"/>
    <w:rsid w:val="009C3E18"/>
    <w:rsid w:val="009C43D1"/>
    <w:rsid w:val="009C46F8"/>
    <w:rsid w:val="009C47B0"/>
    <w:rsid w:val="009C4B3C"/>
    <w:rsid w:val="009D1B38"/>
    <w:rsid w:val="009D29DE"/>
    <w:rsid w:val="009D54C2"/>
    <w:rsid w:val="009D5E4B"/>
    <w:rsid w:val="009D6D53"/>
    <w:rsid w:val="009E0538"/>
    <w:rsid w:val="009E0C22"/>
    <w:rsid w:val="009E3D4B"/>
    <w:rsid w:val="009E5EEC"/>
    <w:rsid w:val="009F0A3A"/>
    <w:rsid w:val="009F0A8D"/>
    <w:rsid w:val="009F1945"/>
    <w:rsid w:val="009F29F9"/>
    <w:rsid w:val="009F5446"/>
    <w:rsid w:val="009F6765"/>
    <w:rsid w:val="009F6F33"/>
    <w:rsid w:val="00A00062"/>
    <w:rsid w:val="00A00A63"/>
    <w:rsid w:val="00A00ED0"/>
    <w:rsid w:val="00A025F4"/>
    <w:rsid w:val="00A03611"/>
    <w:rsid w:val="00A04AC6"/>
    <w:rsid w:val="00A068F9"/>
    <w:rsid w:val="00A10B0C"/>
    <w:rsid w:val="00A113F3"/>
    <w:rsid w:val="00A114FF"/>
    <w:rsid w:val="00A11851"/>
    <w:rsid w:val="00A11C2A"/>
    <w:rsid w:val="00A16810"/>
    <w:rsid w:val="00A2082D"/>
    <w:rsid w:val="00A20A70"/>
    <w:rsid w:val="00A22088"/>
    <w:rsid w:val="00A243B7"/>
    <w:rsid w:val="00A24A4B"/>
    <w:rsid w:val="00A2519A"/>
    <w:rsid w:val="00A25BC6"/>
    <w:rsid w:val="00A26957"/>
    <w:rsid w:val="00A279E6"/>
    <w:rsid w:val="00A31AA8"/>
    <w:rsid w:val="00A31B13"/>
    <w:rsid w:val="00A3452A"/>
    <w:rsid w:val="00A3526A"/>
    <w:rsid w:val="00A41C05"/>
    <w:rsid w:val="00A41CBF"/>
    <w:rsid w:val="00A440A1"/>
    <w:rsid w:val="00A441B0"/>
    <w:rsid w:val="00A442AC"/>
    <w:rsid w:val="00A44BF8"/>
    <w:rsid w:val="00A4597E"/>
    <w:rsid w:val="00A46322"/>
    <w:rsid w:val="00A46476"/>
    <w:rsid w:val="00A46C48"/>
    <w:rsid w:val="00A47C48"/>
    <w:rsid w:val="00A500E6"/>
    <w:rsid w:val="00A50516"/>
    <w:rsid w:val="00A52011"/>
    <w:rsid w:val="00A535CB"/>
    <w:rsid w:val="00A563E6"/>
    <w:rsid w:val="00A56863"/>
    <w:rsid w:val="00A62604"/>
    <w:rsid w:val="00A65496"/>
    <w:rsid w:val="00A6596A"/>
    <w:rsid w:val="00A66357"/>
    <w:rsid w:val="00A7008E"/>
    <w:rsid w:val="00A725A4"/>
    <w:rsid w:val="00A73723"/>
    <w:rsid w:val="00A74430"/>
    <w:rsid w:val="00A76444"/>
    <w:rsid w:val="00A77650"/>
    <w:rsid w:val="00A82A7C"/>
    <w:rsid w:val="00A831F1"/>
    <w:rsid w:val="00A835B2"/>
    <w:rsid w:val="00A840AB"/>
    <w:rsid w:val="00A85B33"/>
    <w:rsid w:val="00A86619"/>
    <w:rsid w:val="00A905BA"/>
    <w:rsid w:val="00A90ABE"/>
    <w:rsid w:val="00A92AD7"/>
    <w:rsid w:val="00A92CC0"/>
    <w:rsid w:val="00A957F5"/>
    <w:rsid w:val="00A96D0F"/>
    <w:rsid w:val="00A97927"/>
    <w:rsid w:val="00AB2B32"/>
    <w:rsid w:val="00AB7848"/>
    <w:rsid w:val="00AC3C3D"/>
    <w:rsid w:val="00AC429A"/>
    <w:rsid w:val="00AC4356"/>
    <w:rsid w:val="00AC5B6A"/>
    <w:rsid w:val="00AC6A61"/>
    <w:rsid w:val="00AD4CA1"/>
    <w:rsid w:val="00AD6021"/>
    <w:rsid w:val="00AD6765"/>
    <w:rsid w:val="00AD7384"/>
    <w:rsid w:val="00AD76A3"/>
    <w:rsid w:val="00AD7D32"/>
    <w:rsid w:val="00AE0819"/>
    <w:rsid w:val="00AE094F"/>
    <w:rsid w:val="00AE112E"/>
    <w:rsid w:val="00AE1D74"/>
    <w:rsid w:val="00AE262B"/>
    <w:rsid w:val="00AE42A7"/>
    <w:rsid w:val="00AE4847"/>
    <w:rsid w:val="00AE513C"/>
    <w:rsid w:val="00AE60F5"/>
    <w:rsid w:val="00AF1B7C"/>
    <w:rsid w:val="00AF41F3"/>
    <w:rsid w:val="00AF7995"/>
    <w:rsid w:val="00B00EE0"/>
    <w:rsid w:val="00B00FAB"/>
    <w:rsid w:val="00B01108"/>
    <w:rsid w:val="00B047D4"/>
    <w:rsid w:val="00B102FD"/>
    <w:rsid w:val="00B12658"/>
    <w:rsid w:val="00B12E1F"/>
    <w:rsid w:val="00B13EF8"/>
    <w:rsid w:val="00B14039"/>
    <w:rsid w:val="00B140BF"/>
    <w:rsid w:val="00B2112D"/>
    <w:rsid w:val="00B21C54"/>
    <w:rsid w:val="00B23330"/>
    <w:rsid w:val="00B25EAA"/>
    <w:rsid w:val="00B2644F"/>
    <w:rsid w:val="00B276FA"/>
    <w:rsid w:val="00B32D2F"/>
    <w:rsid w:val="00B337A9"/>
    <w:rsid w:val="00B34AC0"/>
    <w:rsid w:val="00B3577F"/>
    <w:rsid w:val="00B37418"/>
    <w:rsid w:val="00B37C37"/>
    <w:rsid w:val="00B422A1"/>
    <w:rsid w:val="00B42CF2"/>
    <w:rsid w:val="00B445BB"/>
    <w:rsid w:val="00B45570"/>
    <w:rsid w:val="00B4585A"/>
    <w:rsid w:val="00B465FE"/>
    <w:rsid w:val="00B4677B"/>
    <w:rsid w:val="00B47291"/>
    <w:rsid w:val="00B4776C"/>
    <w:rsid w:val="00B51482"/>
    <w:rsid w:val="00B51C58"/>
    <w:rsid w:val="00B55C73"/>
    <w:rsid w:val="00B57FD4"/>
    <w:rsid w:val="00B60266"/>
    <w:rsid w:val="00B602E7"/>
    <w:rsid w:val="00B60EB5"/>
    <w:rsid w:val="00B63D9D"/>
    <w:rsid w:val="00B65F3A"/>
    <w:rsid w:val="00B6644B"/>
    <w:rsid w:val="00B66E6E"/>
    <w:rsid w:val="00B7411D"/>
    <w:rsid w:val="00B75903"/>
    <w:rsid w:val="00B8011A"/>
    <w:rsid w:val="00B84082"/>
    <w:rsid w:val="00B87BD6"/>
    <w:rsid w:val="00B926C3"/>
    <w:rsid w:val="00B92F86"/>
    <w:rsid w:val="00B93BD9"/>
    <w:rsid w:val="00B93E5C"/>
    <w:rsid w:val="00B94037"/>
    <w:rsid w:val="00BA22BA"/>
    <w:rsid w:val="00BA3315"/>
    <w:rsid w:val="00BA4069"/>
    <w:rsid w:val="00BA407C"/>
    <w:rsid w:val="00BA6A71"/>
    <w:rsid w:val="00BB0FD5"/>
    <w:rsid w:val="00BB23D0"/>
    <w:rsid w:val="00BB32EB"/>
    <w:rsid w:val="00BB3A36"/>
    <w:rsid w:val="00BB4182"/>
    <w:rsid w:val="00BB5949"/>
    <w:rsid w:val="00BB606E"/>
    <w:rsid w:val="00BB60CD"/>
    <w:rsid w:val="00BC1206"/>
    <w:rsid w:val="00BC21CD"/>
    <w:rsid w:val="00BC2BBE"/>
    <w:rsid w:val="00BC34AF"/>
    <w:rsid w:val="00BC410A"/>
    <w:rsid w:val="00BC4268"/>
    <w:rsid w:val="00BD0052"/>
    <w:rsid w:val="00BD00C6"/>
    <w:rsid w:val="00BD0D2E"/>
    <w:rsid w:val="00BD382F"/>
    <w:rsid w:val="00BD4C53"/>
    <w:rsid w:val="00BD799B"/>
    <w:rsid w:val="00BE0866"/>
    <w:rsid w:val="00BE1D83"/>
    <w:rsid w:val="00BE39C4"/>
    <w:rsid w:val="00BE639C"/>
    <w:rsid w:val="00BF1801"/>
    <w:rsid w:val="00BF4511"/>
    <w:rsid w:val="00BF4DBC"/>
    <w:rsid w:val="00BF6B22"/>
    <w:rsid w:val="00C00C05"/>
    <w:rsid w:val="00C02596"/>
    <w:rsid w:val="00C05798"/>
    <w:rsid w:val="00C06C2A"/>
    <w:rsid w:val="00C06DC9"/>
    <w:rsid w:val="00C06FA1"/>
    <w:rsid w:val="00C078FD"/>
    <w:rsid w:val="00C1697F"/>
    <w:rsid w:val="00C20A04"/>
    <w:rsid w:val="00C264E5"/>
    <w:rsid w:val="00C27CFD"/>
    <w:rsid w:val="00C3101A"/>
    <w:rsid w:val="00C31AED"/>
    <w:rsid w:val="00C36B06"/>
    <w:rsid w:val="00C36DAC"/>
    <w:rsid w:val="00C3758E"/>
    <w:rsid w:val="00C37AB3"/>
    <w:rsid w:val="00C40E01"/>
    <w:rsid w:val="00C42840"/>
    <w:rsid w:val="00C4396B"/>
    <w:rsid w:val="00C4430B"/>
    <w:rsid w:val="00C44BD2"/>
    <w:rsid w:val="00C45919"/>
    <w:rsid w:val="00C50173"/>
    <w:rsid w:val="00C50951"/>
    <w:rsid w:val="00C509BD"/>
    <w:rsid w:val="00C52126"/>
    <w:rsid w:val="00C52CA8"/>
    <w:rsid w:val="00C53AE5"/>
    <w:rsid w:val="00C53FD7"/>
    <w:rsid w:val="00C57479"/>
    <w:rsid w:val="00C57BA9"/>
    <w:rsid w:val="00C603EF"/>
    <w:rsid w:val="00C62C2F"/>
    <w:rsid w:val="00C66B9F"/>
    <w:rsid w:val="00C672A6"/>
    <w:rsid w:val="00C7280B"/>
    <w:rsid w:val="00C73593"/>
    <w:rsid w:val="00C7524F"/>
    <w:rsid w:val="00C814D8"/>
    <w:rsid w:val="00C8158B"/>
    <w:rsid w:val="00C816D5"/>
    <w:rsid w:val="00C8798B"/>
    <w:rsid w:val="00C920EF"/>
    <w:rsid w:val="00C92E9D"/>
    <w:rsid w:val="00C93DC6"/>
    <w:rsid w:val="00C9799A"/>
    <w:rsid w:val="00CA18BB"/>
    <w:rsid w:val="00CA1C94"/>
    <w:rsid w:val="00CA4F3C"/>
    <w:rsid w:val="00CA5885"/>
    <w:rsid w:val="00CA5DA3"/>
    <w:rsid w:val="00CA7480"/>
    <w:rsid w:val="00CB0145"/>
    <w:rsid w:val="00CB0E20"/>
    <w:rsid w:val="00CB26EF"/>
    <w:rsid w:val="00CB2799"/>
    <w:rsid w:val="00CB2B32"/>
    <w:rsid w:val="00CB5049"/>
    <w:rsid w:val="00CB5F8F"/>
    <w:rsid w:val="00CC0C47"/>
    <w:rsid w:val="00CC1B5E"/>
    <w:rsid w:val="00CC619E"/>
    <w:rsid w:val="00CD0D59"/>
    <w:rsid w:val="00CE097B"/>
    <w:rsid w:val="00CE1AFA"/>
    <w:rsid w:val="00CE5B47"/>
    <w:rsid w:val="00CF012B"/>
    <w:rsid w:val="00CF2161"/>
    <w:rsid w:val="00CF3204"/>
    <w:rsid w:val="00CF3A50"/>
    <w:rsid w:val="00CF3A56"/>
    <w:rsid w:val="00CF7AE3"/>
    <w:rsid w:val="00D02B77"/>
    <w:rsid w:val="00D04321"/>
    <w:rsid w:val="00D10538"/>
    <w:rsid w:val="00D11753"/>
    <w:rsid w:val="00D11760"/>
    <w:rsid w:val="00D12BE9"/>
    <w:rsid w:val="00D143EC"/>
    <w:rsid w:val="00D147D0"/>
    <w:rsid w:val="00D15C48"/>
    <w:rsid w:val="00D21212"/>
    <w:rsid w:val="00D22778"/>
    <w:rsid w:val="00D2311F"/>
    <w:rsid w:val="00D25D78"/>
    <w:rsid w:val="00D26609"/>
    <w:rsid w:val="00D26D00"/>
    <w:rsid w:val="00D2739C"/>
    <w:rsid w:val="00D30BEA"/>
    <w:rsid w:val="00D3210B"/>
    <w:rsid w:val="00D33774"/>
    <w:rsid w:val="00D3608D"/>
    <w:rsid w:val="00D41218"/>
    <w:rsid w:val="00D46373"/>
    <w:rsid w:val="00D4698B"/>
    <w:rsid w:val="00D5179F"/>
    <w:rsid w:val="00D553F5"/>
    <w:rsid w:val="00D57C86"/>
    <w:rsid w:val="00D634CD"/>
    <w:rsid w:val="00D65707"/>
    <w:rsid w:val="00D7028E"/>
    <w:rsid w:val="00D73E4F"/>
    <w:rsid w:val="00D7485C"/>
    <w:rsid w:val="00D75B79"/>
    <w:rsid w:val="00D777CE"/>
    <w:rsid w:val="00D77971"/>
    <w:rsid w:val="00D84E18"/>
    <w:rsid w:val="00D865C3"/>
    <w:rsid w:val="00D87A4C"/>
    <w:rsid w:val="00D924C3"/>
    <w:rsid w:val="00D940FF"/>
    <w:rsid w:val="00D94288"/>
    <w:rsid w:val="00DA37C2"/>
    <w:rsid w:val="00DA440F"/>
    <w:rsid w:val="00DA64EB"/>
    <w:rsid w:val="00DA6C9A"/>
    <w:rsid w:val="00DA6E0A"/>
    <w:rsid w:val="00DB0B8C"/>
    <w:rsid w:val="00DB0BBC"/>
    <w:rsid w:val="00DB15E9"/>
    <w:rsid w:val="00DB5EB4"/>
    <w:rsid w:val="00DB7446"/>
    <w:rsid w:val="00DC0422"/>
    <w:rsid w:val="00DC14B9"/>
    <w:rsid w:val="00DC2218"/>
    <w:rsid w:val="00DC2996"/>
    <w:rsid w:val="00DC3079"/>
    <w:rsid w:val="00DC47ED"/>
    <w:rsid w:val="00DC6DD0"/>
    <w:rsid w:val="00DC71E7"/>
    <w:rsid w:val="00DD14B0"/>
    <w:rsid w:val="00DD2430"/>
    <w:rsid w:val="00DD7072"/>
    <w:rsid w:val="00DD7AAB"/>
    <w:rsid w:val="00DE25A7"/>
    <w:rsid w:val="00DE42FB"/>
    <w:rsid w:val="00DE4EE1"/>
    <w:rsid w:val="00DE6A6F"/>
    <w:rsid w:val="00DE6B99"/>
    <w:rsid w:val="00DF17BB"/>
    <w:rsid w:val="00DF1EE8"/>
    <w:rsid w:val="00DF514B"/>
    <w:rsid w:val="00DF5338"/>
    <w:rsid w:val="00DF667E"/>
    <w:rsid w:val="00E04EEA"/>
    <w:rsid w:val="00E110C5"/>
    <w:rsid w:val="00E11244"/>
    <w:rsid w:val="00E13D9F"/>
    <w:rsid w:val="00E1777D"/>
    <w:rsid w:val="00E2045F"/>
    <w:rsid w:val="00E20C43"/>
    <w:rsid w:val="00E22FD2"/>
    <w:rsid w:val="00E240A8"/>
    <w:rsid w:val="00E2414A"/>
    <w:rsid w:val="00E253CC"/>
    <w:rsid w:val="00E25F53"/>
    <w:rsid w:val="00E30FB7"/>
    <w:rsid w:val="00E330B8"/>
    <w:rsid w:val="00E332D4"/>
    <w:rsid w:val="00E34C68"/>
    <w:rsid w:val="00E34D14"/>
    <w:rsid w:val="00E37B42"/>
    <w:rsid w:val="00E4188A"/>
    <w:rsid w:val="00E4194B"/>
    <w:rsid w:val="00E45F3E"/>
    <w:rsid w:val="00E47CB6"/>
    <w:rsid w:val="00E47D2E"/>
    <w:rsid w:val="00E50FF8"/>
    <w:rsid w:val="00E5203F"/>
    <w:rsid w:val="00E550A6"/>
    <w:rsid w:val="00E561C0"/>
    <w:rsid w:val="00E63923"/>
    <w:rsid w:val="00E66204"/>
    <w:rsid w:val="00E66256"/>
    <w:rsid w:val="00E70CB7"/>
    <w:rsid w:val="00E73D89"/>
    <w:rsid w:val="00E75C23"/>
    <w:rsid w:val="00E75C83"/>
    <w:rsid w:val="00E771CE"/>
    <w:rsid w:val="00E814F5"/>
    <w:rsid w:val="00E81856"/>
    <w:rsid w:val="00E84569"/>
    <w:rsid w:val="00E854DD"/>
    <w:rsid w:val="00E86B01"/>
    <w:rsid w:val="00E90829"/>
    <w:rsid w:val="00E90864"/>
    <w:rsid w:val="00E92112"/>
    <w:rsid w:val="00E9283C"/>
    <w:rsid w:val="00E94517"/>
    <w:rsid w:val="00E960AA"/>
    <w:rsid w:val="00E96FDF"/>
    <w:rsid w:val="00E97AF4"/>
    <w:rsid w:val="00EA13A5"/>
    <w:rsid w:val="00EA3862"/>
    <w:rsid w:val="00EA4387"/>
    <w:rsid w:val="00EA6732"/>
    <w:rsid w:val="00EA719A"/>
    <w:rsid w:val="00EB0C2F"/>
    <w:rsid w:val="00EB34DD"/>
    <w:rsid w:val="00EB3C74"/>
    <w:rsid w:val="00EB4F39"/>
    <w:rsid w:val="00EB5949"/>
    <w:rsid w:val="00EB5B0B"/>
    <w:rsid w:val="00EB648E"/>
    <w:rsid w:val="00EC49AF"/>
    <w:rsid w:val="00ED279F"/>
    <w:rsid w:val="00ED335E"/>
    <w:rsid w:val="00ED3A13"/>
    <w:rsid w:val="00ED3DC6"/>
    <w:rsid w:val="00ED466F"/>
    <w:rsid w:val="00ED7A46"/>
    <w:rsid w:val="00EE07B2"/>
    <w:rsid w:val="00EE1E95"/>
    <w:rsid w:val="00EE22D3"/>
    <w:rsid w:val="00EE3A01"/>
    <w:rsid w:val="00EE4F18"/>
    <w:rsid w:val="00EE5E3D"/>
    <w:rsid w:val="00EE60F7"/>
    <w:rsid w:val="00EE683F"/>
    <w:rsid w:val="00EF122B"/>
    <w:rsid w:val="00EF5CA6"/>
    <w:rsid w:val="00F064BF"/>
    <w:rsid w:val="00F066BB"/>
    <w:rsid w:val="00F06F47"/>
    <w:rsid w:val="00F077E6"/>
    <w:rsid w:val="00F104FC"/>
    <w:rsid w:val="00F10A0E"/>
    <w:rsid w:val="00F13D33"/>
    <w:rsid w:val="00F142B2"/>
    <w:rsid w:val="00F17052"/>
    <w:rsid w:val="00F21C05"/>
    <w:rsid w:val="00F226F6"/>
    <w:rsid w:val="00F230FA"/>
    <w:rsid w:val="00F24213"/>
    <w:rsid w:val="00F2487E"/>
    <w:rsid w:val="00F27080"/>
    <w:rsid w:val="00F27769"/>
    <w:rsid w:val="00F30B92"/>
    <w:rsid w:val="00F363DC"/>
    <w:rsid w:val="00F43FAD"/>
    <w:rsid w:val="00F43FBE"/>
    <w:rsid w:val="00F441E9"/>
    <w:rsid w:val="00F469E6"/>
    <w:rsid w:val="00F51E09"/>
    <w:rsid w:val="00F537D7"/>
    <w:rsid w:val="00F5481C"/>
    <w:rsid w:val="00F5619C"/>
    <w:rsid w:val="00F564E5"/>
    <w:rsid w:val="00F56B01"/>
    <w:rsid w:val="00F6160F"/>
    <w:rsid w:val="00F61EEC"/>
    <w:rsid w:val="00F6433D"/>
    <w:rsid w:val="00F644C8"/>
    <w:rsid w:val="00F64FB2"/>
    <w:rsid w:val="00F6765D"/>
    <w:rsid w:val="00F7254D"/>
    <w:rsid w:val="00F72553"/>
    <w:rsid w:val="00F72BE8"/>
    <w:rsid w:val="00F74755"/>
    <w:rsid w:val="00F749A1"/>
    <w:rsid w:val="00F765F1"/>
    <w:rsid w:val="00F814AC"/>
    <w:rsid w:val="00F83221"/>
    <w:rsid w:val="00F8510C"/>
    <w:rsid w:val="00F851EC"/>
    <w:rsid w:val="00F865E0"/>
    <w:rsid w:val="00F91864"/>
    <w:rsid w:val="00F9289F"/>
    <w:rsid w:val="00F955AB"/>
    <w:rsid w:val="00FA1E86"/>
    <w:rsid w:val="00FA524C"/>
    <w:rsid w:val="00FA56BF"/>
    <w:rsid w:val="00FA5F98"/>
    <w:rsid w:val="00FA6F98"/>
    <w:rsid w:val="00FB7102"/>
    <w:rsid w:val="00FB7250"/>
    <w:rsid w:val="00FB7FB2"/>
    <w:rsid w:val="00FC007C"/>
    <w:rsid w:val="00FC1DD8"/>
    <w:rsid w:val="00FC35E0"/>
    <w:rsid w:val="00FC42D2"/>
    <w:rsid w:val="00FC5963"/>
    <w:rsid w:val="00FC5AE2"/>
    <w:rsid w:val="00FC5B9C"/>
    <w:rsid w:val="00FD018D"/>
    <w:rsid w:val="00FD0872"/>
    <w:rsid w:val="00FD1348"/>
    <w:rsid w:val="00FD1E1A"/>
    <w:rsid w:val="00FD471A"/>
    <w:rsid w:val="00FD4F85"/>
    <w:rsid w:val="00FE0489"/>
    <w:rsid w:val="00FE198D"/>
    <w:rsid w:val="00FE686C"/>
    <w:rsid w:val="00FF1D80"/>
    <w:rsid w:val="00FF2025"/>
    <w:rsid w:val="00FF300E"/>
    <w:rsid w:val="00FF45AE"/>
    <w:rsid w:val="00FF5669"/>
    <w:rsid w:val="00FF7AF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7EA7"/>
    <w:rPr>
      <w:color w:val="0563C1" w:themeColor="hyperlink"/>
      <w:u w:val="single"/>
    </w:rPr>
  </w:style>
  <w:style w:type="character" w:styleId="UnresolvedMention">
    <w:name w:val="Unresolved Mention"/>
    <w:basedOn w:val="DefaultParagraphFont"/>
    <w:uiPriority w:val="99"/>
    <w:semiHidden/>
    <w:unhideWhenUsed/>
    <w:rsid w:val="00837EA7"/>
    <w:rPr>
      <w:color w:val="605E5C"/>
      <w:shd w:val="clear" w:color="auto" w:fill="E1DFDD"/>
    </w:rPr>
  </w:style>
  <w:style w:type="paragraph" w:styleId="Revision">
    <w:name w:val="Revision"/>
    <w:hidden/>
    <w:uiPriority w:val="99"/>
    <w:semiHidden/>
    <w:rsid w:val="00D7485C"/>
    <w:pPr>
      <w:spacing w:after="0" w:line="240" w:lineRule="auto"/>
    </w:pPr>
    <w:rPr>
      <w:rFonts w:eastAsia="Times New Roman" w:cs="Times New Roman"/>
      <w:szCs w:val="24"/>
      <w:lang w:eastAsia="ru-RU"/>
    </w:rPr>
  </w:style>
  <w:style w:type="paragraph" w:customStyle="1" w:styleId="Default">
    <w:name w:val="Default"/>
    <w:rsid w:val="00BB32EB"/>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bedb8a9e-ee70-4c0a-bad4-00ed578880c8" TargetMode="External"/><Relationship Id="rId3" Type="http://schemas.openxmlformats.org/officeDocument/2006/relationships/settings" Target="settings.xml"/><Relationship Id="rId7" Type="http://schemas.openxmlformats.org/officeDocument/2006/relationships/hyperlink" Target="https://gateway.elieta.lv/api/v1/PublicMaterialDownload/5ebc9a26-a51d-41e5-9087-2d66f38a818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85DE-D533-44E2-88D5-836EE594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8792</Words>
  <Characters>5013</Characters>
  <Application>Microsoft Office Word</Application>
  <DocSecurity>0</DocSecurity>
  <Lines>41</Lines>
  <Paragraphs>27</Paragraphs>
  <ScaleCrop>false</ScaleCrop>
  <Company/>
  <LinksUpToDate>false</LinksUpToDate>
  <CharactersWithSpaces>13778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2026-05-29T12:29:00Z</dcterms:created>
  <dcterms:modified xsi:type="dcterms:W3CDTF">2026-05-29T12:29:00Z</dcterms:modified>
</cp:coreProperties>
</file>