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51A4" w14:textId="77777777" w:rsidR="009C75EA" w:rsidRDefault="009C75EA" w:rsidP="00DB34DE">
      <w:pPr>
        <w:autoSpaceDE w:val="0"/>
        <w:autoSpaceDN w:val="0"/>
        <w:spacing w:line="276" w:lineRule="auto"/>
        <w:jc w:val="both"/>
        <w:rPr>
          <w:b/>
          <w:bCs/>
          <w14:ligatures w14:val="standardContextual"/>
        </w:rPr>
      </w:pPr>
      <w:bookmarkStart w:id="0" w:name="_Hlk21594869"/>
      <w:bookmarkStart w:id="1" w:name="_Hlk21699152"/>
      <w:bookmarkStart w:id="2" w:name="_Hlk99353685"/>
      <w:bookmarkStart w:id="3" w:name="_Hlk113013533"/>
      <w:r>
        <w:rPr>
          <w:b/>
          <w:bCs/>
          <w14:ligatures w14:val="standardContextual"/>
        </w:rPr>
        <w:t xml:space="preserve">Pašvaldības pienākums ņemt vērā vispārējos trokšņa robežlielumus, lemjot par atļaujas izsniegšanu kartodromā notiekošām sacensībām  </w:t>
      </w:r>
    </w:p>
    <w:p w14:paraId="39ABB51B" w14:textId="77777777" w:rsidR="009C75EA" w:rsidRDefault="009C75EA" w:rsidP="00DB34DE">
      <w:pPr>
        <w:autoSpaceDE w:val="0"/>
        <w:autoSpaceDN w:val="0"/>
        <w:spacing w:line="276" w:lineRule="auto"/>
        <w:jc w:val="both"/>
        <w:rPr>
          <w:color w:val="000000"/>
          <w14:ligatures w14:val="standardContextual"/>
        </w:rPr>
      </w:pPr>
      <w:r>
        <w:rPr>
          <w:color w:val="000000"/>
          <w14:ligatures w14:val="standardContextual"/>
        </w:rPr>
        <w:t xml:space="preserve">Gan kartodroma darbībai kopumā, gan tajā notiekošām sacensībām ir jāpiemēro Ministru kabineta 2014.gada 7.janvāra noteikumu Nr. 16 „Trokšņa novērtēšanas un pārvaldības kārtība” 2.pielikumā paredzētie vispārējie vides trokšņa robežlielumi. Proti, pašvaldībai, ievērojot minēto noteikumu piemērojamību, līdztekus Publisku izklaides un svētku pasākumu drošības likumā tieši paredzētajam ir jāvērtē arī troksnis kā pasākuma norises aspekts. </w:t>
      </w:r>
    </w:p>
    <w:p w14:paraId="0B4F8CF3" w14:textId="77777777" w:rsidR="009C75EA" w:rsidRDefault="009C75EA" w:rsidP="00DB34DE">
      <w:pPr>
        <w:autoSpaceDE w:val="0"/>
        <w:autoSpaceDN w:val="0"/>
        <w:spacing w:line="276" w:lineRule="auto"/>
        <w:jc w:val="both"/>
        <w:rPr>
          <w:color w:val="000000"/>
          <w14:ligatures w14:val="standardContextual"/>
        </w:rPr>
      </w:pPr>
      <w:r>
        <w:rPr>
          <w:color w:val="000000"/>
          <w14:ligatures w14:val="standardContextual"/>
        </w:rPr>
        <w:t>Piemērojot minētos noteikumus saskanīgi ar minētā likuma 7.panta piektās daļas 4.punktu, jāsecina, ka pasākuma organizēšana konkrētajā vietā vai laikā radīs būtisku cilvēku dzīvības un veselības apdraudējumu tad, ja ir prognozējams noteikumos Nr. 16 paredzēto vides trokšņa robežlielumu pārsniegums. Robežlielumi ir nevis labvēlīgu un vispār nekaitīgu vides troksni raksturojošs normatīvs, bet tā pieļaujamību nosakošs normatīvs. Līdz ar to jāpieņem, ka vides troksnis, kas pārsniedz šos robežlielumus, ir nepieļaujams un kaitējošs. Turklāt trokšņa robežlielumu pārsniegšana nav pieļaujama arī tad, ja tā notiek tikai atsevišķā pasākumā, respektīvi, tikai dažas dienas. Nepastāv izņēmums troksnim, ko rada „tikai sacensības”.</w:t>
      </w:r>
    </w:p>
    <w:p w14:paraId="58E912B6" w14:textId="77777777" w:rsidR="009C75EA" w:rsidRDefault="009C75EA" w:rsidP="00DB34DE">
      <w:pPr>
        <w:autoSpaceDE w:val="0"/>
        <w:autoSpaceDN w:val="0"/>
        <w:spacing w:line="276" w:lineRule="auto"/>
        <w:jc w:val="both"/>
        <w:rPr>
          <w:rFonts w:ascii="Calibri" w:hAnsi="Calibri" w:cs="Calibri"/>
          <w:b/>
          <w:bCs/>
          <w:sz w:val="22"/>
          <w:szCs w:val="22"/>
          <w14:ligatures w14:val="standardContextual"/>
        </w:rPr>
      </w:pPr>
    </w:p>
    <w:p w14:paraId="007FB74C" w14:textId="77777777" w:rsidR="009C75EA" w:rsidRDefault="009C75EA" w:rsidP="00DB34DE">
      <w:pPr>
        <w:autoSpaceDE w:val="0"/>
        <w:autoSpaceDN w:val="0"/>
        <w:spacing w:line="276" w:lineRule="auto"/>
        <w:jc w:val="both"/>
        <w:rPr>
          <w:b/>
          <w:bCs/>
          <w:color w:val="000000"/>
          <w14:ligatures w14:val="standardContextual"/>
        </w:rPr>
      </w:pPr>
      <w:r>
        <w:rPr>
          <w:b/>
          <w:bCs/>
          <w:color w:val="000000"/>
          <w14:ligatures w14:val="standardContextual"/>
        </w:rPr>
        <w:t>Senāta rīcības sēdes lēmuma, ar kuru atteikts ierosināt kasācijas tiesvedību, būtība</w:t>
      </w:r>
    </w:p>
    <w:p w14:paraId="3EA796A8" w14:textId="77777777" w:rsidR="009C75EA" w:rsidRDefault="009C75EA" w:rsidP="00DB34DE">
      <w:pPr>
        <w:spacing w:line="276" w:lineRule="auto"/>
        <w:rPr>
          <w:rFonts w:ascii="Calibri" w:hAnsi="Calibri" w:cs="Calibri"/>
          <w:sz w:val="22"/>
          <w:szCs w:val="22"/>
        </w:rPr>
      </w:pPr>
      <w:r>
        <w:rPr>
          <w:color w:val="000000"/>
          <w14:ligatures w14:val="standardContextual"/>
        </w:rPr>
        <w:t>Senāta rīcības sēdes lēmums, ar kuru atteikts ierosināt kasācijas tiesvedību, pēc savas būtības nav vērsts uz to, lai kasācijas instances tiesa sniegtu pilnvērtīgu tiesību normu piemērošanas skaidrojumu.</w:t>
      </w:r>
    </w:p>
    <w:bookmarkEnd w:id="0"/>
    <w:p w14:paraId="07949519" w14:textId="22035958" w:rsidR="00435790" w:rsidRPr="005B32E7" w:rsidRDefault="00435790" w:rsidP="00DB34DE">
      <w:pPr>
        <w:spacing w:line="276" w:lineRule="auto"/>
        <w:rPr>
          <w:color w:val="000000"/>
        </w:rPr>
      </w:pPr>
    </w:p>
    <w:p w14:paraId="6A28A65D" w14:textId="154D42F4" w:rsidR="00435790" w:rsidRPr="00DB34DE" w:rsidRDefault="00435790" w:rsidP="00DB34DE">
      <w:pPr>
        <w:spacing w:line="276" w:lineRule="auto"/>
        <w:jc w:val="center"/>
        <w:rPr>
          <w:b/>
        </w:rPr>
      </w:pPr>
      <w:r w:rsidRPr="00DB34DE">
        <w:rPr>
          <w:b/>
        </w:rPr>
        <w:t>Latvijas Republikas Senāt</w:t>
      </w:r>
      <w:r w:rsidR="009C75EA" w:rsidRPr="00DB34DE">
        <w:rPr>
          <w:b/>
        </w:rPr>
        <w:t>a</w:t>
      </w:r>
      <w:r w:rsidR="009C75EA" w:rsidRPr="00DB34DE">
        <w:rPr>
          <w:b/>
        </w:rPr>
        <w:br/>
        <w:t xml:space="preserve">Administratīvo lietu departamenta </w:t>
      </w:r>
    </w:p>
    <w:p w14:paraId="50857322" w14:textId="37B4061A" w:rsidR="009C75EA" w:rsidRPr="00DB34DE" w:rsidRDefault="009C75EA" w:rsidP="00DB34DE">
      <w:pPr>
        <w:spacing w:line="276" w:lineRule="auto"/>
        <w:jc w:val="center"/>
        <w:rPr>
          <w:b/>
        </w:rPr>
      </w:pPr>
      <w:r w:rsidRPr="00DB34DE">
        <w:rPr>
          <w:b/>
        </w:rPr>
        <w:t>2026.gada 28.aprīļa</w:t>
      </w:r>
    </w:p>
    <w:p w14:paraId="6F6163A1" w14:textId="77777777" w:rsidR="009C75EA" w:rsidRPr="00DB34DE" w:rsidRDefault="00435790" w:rsidP="00DB34DE">
      <w:pPr>
        <w:spacing w:line="276" w:lineRule="auto"/>
        <w:jc w:val="center"/>
        <w:rPr>
          <w:b/>
        </w:rPr>
      </w:pPr>
      <w:r w:rsidRPr="00DB34DE">
        <w:rPr>
          <w:b/>
        </w:rPr>
        <w:t>SPRIEDUMS</w:t>
      </w:r>
    </w:p>
    <w:p w14:paraId="347E7B1C" w14:textId="5361751E" w:rsidR="00DB34DE" w:rsidRPr="00DB34DE" w:rsidRDefault="009C75EA" w:rsidP="00DB34DE">
      <w:pPr>
        <w:spacing w:line="276" w:lineRule="auto"/>
        <w:jc w:val="center"/>
        <w:rPr>
          <w:b/>
          <w:bCs/>
        </w:rPr>
      </w:pPr>
      <w:r w:rsidRPr="00DB34DE">
        <w:rPr>
          <w:b/>
          <w:bCs/>
        </w:rPr>
        <w:t>Lieta Nr. A420162223, SKA-100/2026</w:t>
      </w:r>
    </w:p>
    <w:p w14:paraId="0CE4A684" w14:textId="66CCA8D4" w:rsidR="009C75EA" w:rsidRPr="00DB34DE" w:rsidRDefault="00DB34DE" w:rsidP="00DB34DE">
      <w:pPr>
        <w:spacing w:line="276" w:lineRule="auto"/>
        <w:jc w:val="center"/>
        <w:rPr>
          <w:b/>
          <w:bCs/>
        </w:rPr>
      </w:pPr>
      <w:r w:rsidRPr="00DB34DE">
        <w:t xml:space="preserve"> </w:t>
      </w:r>
      <w:hyperlink r:id="rId8" w:history="1">
        <w:r w:rsidRPr="00DB34DE">
          <w:rPr>
            <w:rStyle w:val="Hyperlink"/>
          </w:rPr>
          <w:t>ECLI:LV:AT:2026:0428.A420162223.13.S</w:t>
        </w:r>
      </w:hyperlink>
    </w:p>
    <w:p w14:paraId="2AEF784A" w14:textId="77777777" w:rsidR="00435790" w:rsidRPr="005B32E7" w:rsidRDefault="00435790" w:rsidP="00DB34DE">
      <w:pPr>
        <w:spacing w:line="276" w:lineRule="auto"/>
        <w:ind w:firstLine="720"/>
        <w:jc w:val="center"/>
      </w:pPr>
    </w:p>
    <w:p w14:paraId="3FE67910" w14:textId="45AA9AE5" w:rsidR="00435790" w:rsidRPr="005B32E7" w:rsidRDefault="00063E4D" w:rsidP="00DB34DE">
      <w:pPr>
        <w:spacing w:line="276" w:lineRule="auto"/>
        <w:ind w:firstLine="720"/>
        <w:jc w:val="both"/>
      </w:pPr>
      <w:r>
        <w:t>Senāts</w:t>
      </w:r>
      <w:r w:rsidR="00435790" w:rsidRPr="005B32E7">
        <w:t xml:space="preserve"> šādā sastāvā: senator</w:t>
      </w:r>
      <w:r>
        <w:t>e referente Rudīte Vīduša</w:t>
      </w:r>
      <w:r w:rsidR="00435790" w:rsidRPr="005B32E7">
        <w:t>,</w:t>
      </w:r>
      <w:r>
        <w:t xml:space="preserve"> senatori</w:t>
      </w:r>
      <w:r w:rsidR="00435790" w:rsidRPr="005B32E7">
        <w:t xml:space="preserve"> </w:t>
      </w:r>
      <w:r w:rsidR="008E7113">
        <w:t>Anita Kovaļevska</w:t>
      </w:r>
      <w:r w:rsidR="009809AC" w:rsidRPr="005B32E7">
        <w:t xml:space="preserve"> </w:t>
      </w:r>
      <w:r w:rsidR="00435790" w:rsidRPr="005B32E7">
        <w:t xml:space="preserve">un </w:t>
      </w:r>
      <w:r>
        <w:t>Jānis Pleps</w:t>
      </w:r>
    </w:p>
    <w:p w14:paraId="07BF2DE9" w14:textId="77777777" w:rsidR="00435790" w:rsidRPr="005B32E7" w:rsidRDefault="00435790" w:rsidP="00DB34DE">
      <w:pPr>
        <w:spacing w:line="276" w:lineRule="auto"/>
        <w:ind w:firstLine="720"/>
      </w:pPr>
    </w:p>
    <w:p w14:paraId="3BBC3A12" w14:textId="3C223428" w:rsidR="00B57D9A" w:rsidRDefault="00435790" w:rsidP="00DB34DE">
      <w:pPr>
        <w:spacing w:line="276" w:lineRule="auto"/>
        <w:ind w:firstLine="720"/>
        <w:jc w:val="both"/>
      </w:pPr>
      <w:bookmarkStart w:id="4" w:name="_Hlk21594894"/>
      <w:r w:rsidRPr="005B32E7">
        <w:t xml:space="preserve">rakstveida procesā izskatīja administratīvo lietu, </w:t>
      </w:r>
      <w:bookmarkStart w:id="5" w:name="_Hlk103767021"/>
      <w:bookmarkEnd w:id="1"/>
      <w:r w:rsidR="008E7113">
        <w:t>kas ierosināta, pamatojoties uz</w:t>
      </w:r>
      <w:r w:rsidR="00DB34DE">
        <w:t xml:space="preserve"> [pers. A]</w:t>
      </w:r>
      <w:r w:rsidR="008E7113">
        <w:t xml:space="preserve">, </w:t>
      </w:r>
      <w:r w:rsidR="00DB34DE">
        <w:t xml:space="preserve">[pers. </w:t>
      </w:r>
      <w:r w:rsidR="00DB34DE">
        <w:t>B</w:t>
      </w:r>
      <w:r w:rsidR="00DB34DE">
        <w:t>]</w:t>
      </w:r>
      <w:r w:rsidR="00DB34DE">
        <w:t xml:space="preserve"> </w:t>
      </w:r>
      <w:r w:rsidR="008E7113">
        <w:t xml:space="preserve">un </w:t>
      </w:r>
      <w:r w:rsidR="00DB34DE">
        <w:t xml:space="preserve">[pers. </w:t>
      </w:r>
      <w:r w:rsidR="00DB34DE">
        <w:t>C</w:t>
      </w:r>
      <w:r w:rsidR="00DB34DE">
        <w:t xml:space="preserve">] </w:t>
      </w:r>
      <w:r w:rsidR="008E7113">
        <w:t>pieteikumu par Kandavas un pagastu apvienības 2023.gada 25.aprīļa atļaujas Nr. KPA/5-5/23/17 atzīšanu par prettiesisku un nemantiskā kaitējuma atlīdzinājumu</w:t>
      </w:r>
      <w:r w:rsidR="00B57D9A">
        <w:t>, sakarā ar</w:t>
      </w:r>
      <w:r w:rsidR="00DB34DE">
        <w:t xml:space="preserve"> </w:t>
      </w:r>
      <w:r w:rsidR="00DB34DE">
        <w:t>[pers. A]</w:t>
      </w:r>
      <w:r w:rsidR="008E7113" w:rsidRPr="008E7113">
        <w:t xml:space="preserve">, </w:t>
      </w:r>
      <w:r w:rsidR="00DB34DE">
        <w:t xml:space="preserve">[pers. B] </w:t>
      </w:r>
      <w:r w:rsidR="008E7113" w:rsidRPr="008E7113">
        <w:t xml:space="preserve">un </w:t>
      </w:r>
      <w:r w:rsidR="00DB34DE">
        <w:t xml:space="preserve">[pers. C] </w:t>
      </w:r>
      <w:r w:rsidR="00B57D9A">
        <w:t>kasācijas sūdzību par Administratīvās apgabaltiesas 202</w:t>
      </w:r>
      <w:r w:rsidR="00063E4D">
        <w:t>4</w:t>
      </w:r>
      <w:r w:rsidR="00B57D9A">
        <w:t xml:space="preserve">.gada </w:t>
      </w:r>
      <w:r w:rsidR="008E7113">
        <w:t>1.jūlija</w:t>
      </w:r>
      <w:r w:rsidR="00B57D9A">
        <w:t xml:space="preserve"> spriedumu.</w:t>
      </w:r>
    </w:p>
    <w:p w14:paraId="5BABF4D5" w14:textId="77777777" w:rsidR="0092755B" w:rsidRPr="005B32E7" w:rsidRDefault="0092755B" w:rsidP="00DB34DE">
      <w:pPr>
        <w:spacing w:line="276" w:lineRule="auto"/>
        <w:ind w:firstLine="720"/>
        <w:jc w:val="both"/>
      </w:pPr>
      <w:bookmarkStart w:id="6" w:name="_Hlk21594932"/>
      <w:bookmarkEnd w:id="4"/>
      <w:bookmarkEnd w:id="5"/>
    </w:p>
    <w:p w14:paraId="6EDC889C" w14:textId="77777777" w:rsidR="0092755B" w:rsidRPr="005B32E7" w:rsidRDefault="0092755B" w:rsidP="00DB34DE">
      <w:pPr>
        <w:spacing w:line="276" w:lineRule="auto"/>
        <w:jc w:val="center"/>
        <w:rPr>
          <w:b/>
        </w:rPr>
      </w:pPr>
      <w:r w:rsidRPr="005B32E7">
        <w:rPr>
          <w:b/>
        </w:rPr>
        <w:t>Aprakstošā daļa</w:t>
      </w:r>
    </w:p>
    <w:p w14:paraId="1D71C4D5" w14:textId="77777777" w:rsidR="0092755B" w:rsidRPr="005B32E7" w:rsidRDefault="0092755B" w:rsidP="00DB34DE">
      <w:pPr>
        <w:spacing w:line="276" w:lineRule="auto"/>
        <w:ind w:firstLine="720"/>
        <w:jc w:val="both"/>
      </w:pPr>
    </w:p>
    <w:p w14:paraId="75ED8069" w14:textId="300E02C8" w:rsidR="008E7113" w:rsidRDefault="00E7347C" w:rsidP="00DB34DE">
      <w:pPr>
        <w:spacing w:line="276" w:lineRule="auto"/>
        <w:ind w:firstLine="720"/>
        <w:jc w:val="both"/>
      </w:pPr>
      <w:r w:rsidRPr="005B32E7">
        <w:t>[1]</w:t>
      </w:r>
      <w:bookmarkStart w:id="7" w:name="_Hlk103767493"/>
      <w:r w:rsidR="003E4988">
        <w:t xml:space="preserve"> </w:t>
      </w:r>
      <w:r w:rsidR="008E7113">
        <w:t>Kandavas un pagastu apvienība 2023.gada 25.aprīlī izsniedza</w:t>
      </w:r>
      <w:r w:rsidR="00D2529B">
        <w:t xml:space="preserve"> </w:t>
      </w:r>
      <w:r w:rsidR="008E7113">
        <w:t>biedrībai „Motorsport</w:t>
      </w:r>
      <w:r w:rsidR="008F2DD9">
        <w:t> </w:t>
      </w:r>
      <w:r w:rsidR="008E7113">
        <w:t>77” atļauju Nr. KPA/5-5/23/17 publiska pasākuma – „SKULTES KAUSS 2023”</w:t>
      </w:r>
      <w:r w:rsidR="007B2D96">
        <w:t> </w:t>
      </w:r>
      <w:r w:rsidR="008E7113">
        <w:t xml:space="preserve">– rīkošanai no 2023.gada 29.aprīļa līdz 1.maijam Kandavas kartodromā </w:t>
      </w:r>
      <w:r w:rsidR="00DB34DE">
        <w:t xml:space="preserve">[Adrese] </w:t>
      </w:r>
      <w:r w:rsidR="008E7113">
        <w:t xml:space="preserve">(turpmāk – kartodroms). Atļauja izsniegta, pamatojoties uz Kandavas un pagastu </w:t>
      </w:r>
      <w:r w:rsidR="008E7113">
        <w:lastRenderedPageBreak/>
        <w:t>apvienības Publiska pasākuma rīkošanas atļaujas izsniegšanas komisijas 2023.gada 25.aprīļa lēmumu (sēdes protokols Nr.</w:t>
      </w:r>
      <w:r w:rsidR="003E4988">
        <w:t> </w:t>
      </w:r>
      <w:r w:rsidR="008E7113">
        <w:t xml:space="preserve">2, 1. §). </w:t>
      </w:r>
    </w:p>
    <w:p w14:paraId="36C22442" w14:textId="77777777" w:rsidR="008E7113" w:rsidRDefault="008E7113" w:rsidP="00DB34DE">
      <w:pPr>
        <w:spacing w:line="276" w:lineRule="auto"/>
        <w:ind w:firstLine="720"/>
        <w:jc w:val="both"/>
      </w:pPr>
    </w:p>
    <w:p w14:paraId="3C02C864" w14:textId="7E5F6FE8" w:rsidR="008E7113" w:rsidRDefault="008E7113" w:rsidP="00DB34DE">
      <w:pPr>
        <w:spacing w:line="276" w:lineRule="auto"/>
        <w:ind w:firstLine="720"/>
        <w:jc w:val="both"/>
      </w:pPr>
      <w:r>
        <w:t>[2] Pieteicēji</w:t>
      </w:r>
      <w:r w:rsidR="00DB34DE">
        <w:t xml:space="preserve"> </w:t>
      </w:r>
      <w:r w:rsidR="00DB34DE">
        <w:t>[pers. A]</w:t>
      </w:r>
      <w:r>
        <w:t xml:space="preserve">, </w:t>
      </w:r>
      <w:r w:rsidR="00DB34DE">
        <w:t xml:space="preserve">[pers. B] </w:t>
      </w:r>
      <w:r>
        <w:t xml:space="preserve">un </w:t>
      </w:r>
      <w:r w:rsidR="00DB34DE">
        <w:t xml:space="preserve">[pers. C] </w:t>
      </w:r>
      <w:r>
        <w:t xml:space="preserve">vērsās administratīvajā tiesā, lūdzot </w:t>
      </w:r>
      <w:r w:rsidR="007B2D96">
        <w:t>a</w:t>
      </w:r>
      <w:r>
        <w:t xml:space="preserve">tļauju atzīt par prettiesisku un atlīdzināt katram pieteicējam </w:t>
      </w:r>
      <w:r w:rsidR="006C6475">
        <w:t>3000</w:t>
      </w:r>
      <w:r w:rsidR="003E4988">
        <w:t> </w:t>
      </w:r>
      <w:r w:rsidR="006C6475" w:rsidRPr="006C6475">
        <w:rPr>
          <w:i/>
          <w:iCs/>
        </w:rPr>
        <w:t>euro</w:t>
      </w:r>
      <w:r w:rsidR="006C6475">
        <w:t xml:space="preserve"> par </w:t>
      </w:r>
      <w:r>
        <w:t>nemantisko kaitējumu.</w:t>
      </w:r>
      <w:r w:rsidR="00E12E2F">
        <w:t xml:space="preserve"> Pieteikums pamatots ar apsvērumiem par to, ka sacensību radītais troksnis būtiski ietekmē pieteicēju tiesības uz </w:t>
      </w:r>
      <w:r w:rsidR="00D2529B">
        <w:t>veselīb</w:t>
      </w:r>
      <w:r w:rsidR="002B52DD">
        <w:t>as aizsardzību</w:t>
      </w:r>
      <w:r w:rsidR="00D2529B">
        <w:t xml:space="preserve">, kā arī uz </w:t>
      </w:r>
      <w:r w:rsidR="00E12E2F">
        <w:t>dzīvi labvēlīgā vidē, neatbilst pieļaujamiem trokšņa lielumiem un nodara kaitējumu blakus esošo māju iedzīvotājiem.</w:t>
      </w:r>
    </w:p>
    <w:p w14:paraId="72EF6123" w14:textId="77777777" w:rsidR="008E7113" w:rsidRDefault="008E7113" w:rsidP="00DB34DE">
      <w:pPr>
        <w:spacing w:line="276" w:lineRule="auto"/>
        <w:ind w:firstLine="720"/>
        <w:jc w:val="both"/>
      </w:pPr>
    </w:p>
    <w:p w14:paraId="6280B1D0" w14:textId="4C9ED27A" w:rsidR="00AF1AAD" w:rsidRDefault="00AF1AAD" w:rsidP="00DB34DE">
      <w:pPr>
        <w:spacing w:line="276" w:lineRule="auto"/>
        <w:ind w:firstLine="720"/>
        <w:jc w:val="both"/>
      </w:pPr>
      <w:r>
        <w:t xml:space="preserve">[3] Administratīvā apgabaltiesa, izskatījusi lietu apelācijas kārtībā, </w:t>
      </w:r>
      <w:r w:rsidR="003474A8">
        <w:t xml:space="preserve">ar 2024.gada 1.jūlija spriedumu </w:t>
      </w:r>
      <w:r>
        <w:t>pieteikumu noraidīja. Tiesa, pievienojoties Administratīvās rajona tiesas sprieduma motivācijai, norādīja turpmāk minēto pamatojumu.</w:t>
      </w:r>
    </w:p>
    <w:p w14:paraId="7615EF96" w14:textId="07E755E2" w:rsidR="00AF1AAD" w:rsidRDefault="00AF1AAD" w:rsidP="00DB34DE">
      <w:pPr>
        <w:spacing w:line="276" w:lineRule="auto"/>
        <w:ind w:firstLine="720"/>
        <w:jc w:val="both"/>
      </w:pPr>
      <w:r>
        <w:t xml:space="preserve">[3.1] </w:t>
      </w:r>
      <w:r w:rsidR="00E12E2F">
        <w:t>Vispārīgi kartodrom</w:t>
      </w:r>
      <w:r w:rsidR="00D2529B">
        <w:t>u</w:t>
      </w:r>
      <w:r w:rsidR="00E12E2F">
        <w:t xml:space="preserve"> ir atļauts ekspluatēt mērķim, kam tā ir izveidota, – kartu braukšanai gan treniņos, gan sacensībās</w:t>
      </w:r>
      <w:r w:rsidR="008F2DD9">
        <w:t>, un tas atzīts ar administratīvās tiesas spriedumiem</w:t>
      </w:r>
      <w:r w:rsidR="00E12E2F">
        <w:t xml:space="preserve">. </w:t>
      </w:r>
    </w:p>
    <w:p w14:paraId="08A92FD0" w14:textId="1AF4434C" w:rsidR="00E12E2F" w:rsidRDefault="00E12E2F" w:rsidP="00DB34DE">
      <w:pPr>
        <w:spacing w:line="276" w:lineRule="auto"/>
        <w:ind w:firstLine="720"/>
        <w:jc w:val="both"/>
      </w:pPr>
      <w:r>
        <w:t>[3.2] Ministru kabineta 2014.gada 7.janvāra noteikumu Nr. 16 „Trokšņa novērtēšanas un pārvaldības kārtība” (turpmāk – noteikumi Nr. 16) regulējums tieši neattiecas uz publiskiem pasākumiem, kuri jāsaskaņo ar vietējo pašvaldību atbilstoši Publisku izklaides un svētku pasākumu drošības likumam. Tomēr, ņemot vērā Senāta 2023.gada 25.jūlija spriedumā lietā Nr.</w:t>
      </w:r>
      <w:r w:rsidR="00D2529B">
        <w:t> </w:t>
      </w:r>
      <w:r>
        <w:t>SKA-93/20</w:t>
      </w:r>
      <w:r w:rsidR="00D2529B">
        <w:t>2</w:t>
      </w:r>
      <w:r>
        <w:t xml:space="preserve">3, A420299318, norādīto, izvērtējot </w:t>
      </w:r>
      <w:r w:rsidR="007B2D96">
        <w:t>a</w:t>
      </w:r>
      <w:r>
        <w:t>tļaujas tiesiskumu, ir jāvadās no noteikumos Nr.</w:t>
      </w:r>
      <w:r w:rsidR="00D2529B">
        <w:t> </w:t>
      </w:r>
      <w:r>
        <w:t>16 noteiktajiem vispārīgajiem trokšņa robežlielumiem, lai novērtētu kartodroma trases radīto troksni un tā ietekmi uz apkārt esošo privātmāju iedzīvotājiem sacensību norises laikā.</w:t>
      </w:r>
    </w:p>
    <w:p w14:paraId="0B4E8FBF" w14:textId="77B90D70" w:rsidR="00CF10B5" w:rsidRDefault="00CF10B5" w:rsidP="00DB34DE">
      <w:pPr>
        <w:spacing w:line="276" w:lineRule="auto"/>
        <w:ind w:firstLine="720"/>
        <w:jc w:val="both"/>
      </w:pPr>
      <w:r>
        <w:t>No jaunākajiem trokšņu mērījumiem ir redzams, ka sacensību dienās kartodroma trases radītais troksnis ir pārsniedzis noteikumu Nr. 16 2.pielikumā noteiktos trokšņa robežlielumus, bet ne būtiski</w:t>
      </w:r>
      <w:r w:rsidR="00D40360">
        <w:t>. Pieteicēju pamattiesības nav</w:t>
      </w:r>
      <w:r>
        <w:t xml:space="preserve"> būtiski aizskart</w:t>
      </w:r>
      <w:r w:rsidR="00D40360">
        <w:t>as</w:t>
      </w:r>
      <w:r>
        <w:t>.</w:t>
      </w:r>
      <w:r w:rsidR="00D40360">
        <w:t xml:space="preserve"> Turklāt šis pasākums būtiski neatšķiras no citiem pasākumiem, kuru norisi tiesa ir atzinusi par tiesisku.</w:t>
      </w:r>
    </w:p>
    <w:p w14:paraId="2378219B" w14:textId="4C94BB6E" w:rsidR="008E7113" w:rsidRDefault="00E12E2F" w:rsidP="00DB34DE">
      <w:pPr>
        <w:spacing w:line="276" w:lineRule="auto"/>
        <w:ind w:firstLine="720"/>
        <w:jc w:val="both"/>
      </w:pPr>
      <w:r>
        <w:t xml:space="preserve">[3.3] </w:t>
      </w:r>
      <w:r w:rsidR="00D40360">
        <w:t>Trases atrašanās dabas parka „Abavas senleja” teritorijas neitrālajā zonā nav šķērslis līdzīga publiska pasākuma rīkošanai.</w:t>
      </w:r>
    </w:p>
    <w:p w14:paraId="74FB13DA" w14:textId="77777777" w:rsidR="008E7113" w:rsidRDefault="008E7113" w:rsidP="00DB34DE">
      <w:pPr>
        <w:spacing w:line="276" w:lineRule="auto"/>
        <w:ind w:firstLine="720"/>
        <w:jc w:val="both"/>
      </w:pPr>
    </w:p>
    <w:p w14:paraId="7B372209" w14:textId="6863C801" w:rsidR="00991D50" w:rsidRDefault="00991D50" w:rsidP="00DB34DE">
      <w:pPr>
        <w:spacing w:line="276" w:lineRule="auto"/>
        <w:ind w:firstLine="720"/>
        <w:jc w:val="both"/>
      </w:pPr>
      <w:r>
        <w:t>[4] Pieteicēji par Administratīvās apgabaltiesas spriedumu iesniedza kasācijas sūdzību, kurā norādīti turpmāk minēt</w:t>
      </w:r>
      <w:r w:rsidR="00D2529B">
        <w:t>ie</w:t>
      </w:r>
      <w:r>
        <w:t xml:space="preserve"> pamati apgabaltiesas sprieduma atcelšanai.</w:t>
      </w:r>
    </w:p>
    <w:p w14:paraId="3212A858" w14:textId="07F5716D" w:rsidR="00991D50" w:rsidRDefault="00991D50" w:rsidP="00DB34DE">
      <w:pPr>
        <w:spacing w:line="276" w:lineRule="auto"/>
        <w:ind w:firstLine="720"/>
        <w:jc w:val="both"/>
      </w:pPr>
      <w:r>
        <w:t xml:space="preserve">[4.1] </w:t>
      </w:r>
      <w:r w:rsidR="003474A8">
        <w:t>No noteikumiem Nr. 16, kuri pieņemti atbilstoši Eiropas Savienības direktīvai 2020/367, izriet, ka trokšņa iedarbības kaitīgās sekas uz veselību vērtē jau no 50 dB. Tiesa nepieļaujami ignorēja noteikumu Nr. 16 2.pielikumā noteiktos trokšņa lielumus un 6.pielikumā noteiktās trokšņa kaitīgo seku novērtēšanas metodes un nepamatoti ierobežoja Latvijas Republikas Satversmes (turpmāk – Satversme) 111. un 115.pantā garantētās pamattiesības.</w:t>
      </w:r>
      <w:r w:rsidR="003A1EDF">
        <w:t xml:space="preserve"> Spriedums nav pamatots ar tiesību normām, nav pienācīgi vērtēti pierādījumi.</w:t>
      </w:r>
    </w:p>
    <w:p w14:paraId="1F9E0F2B" w14:textId="064D40FD" w:rsidR="003474A8" w:rsidRDefault="003474A8" w:rsidP="00DB34DE">
      <w:pPr>
        <w:spacing w:line="276" w:lineRule="auto"/>
        <w:ind w:firstLine="720"/>
        <w:jc w:val="both"/>
      </w:pPr>
      <w:r>
        <w:t>[4.2] Nevienā administratīvajā lietā nav vērtēta SIA „Kartodroms” uzņēmējdarbība kopumā</w:t>
      </w:r>
      <w:r w:rsidR="00236491">
        <w:t xml:space="preserve">, virkne datu par tās darbības atbilstību </w:t>
      </w:r>
      <w:r w:rsidR="009449E4">
        <w:t xml:space="preserve">normatīvo aktu prasībām </w:t>
      </w:r>
      <w:r w:rsidR="00236491">
        <w:t>nav ticami.</w:t>
      </w:r>
    </w:p>
    <w:p w14:paraId="07F7BE5C" w14:textId="77777777" w:rsidR="003A1EDF" w:rsidRDefault="003A1EDF" w:rsidP="00DB34DE">
      <w:pPr>
        <w:spacing w:line="276" w:lineRule="auto"/>
        <w:ind w:firstLine="720"/>
        <w:jc w:val="both"/>
      </w:pPr>
    </w:p>
    <w:p w14:paraId="4FE621DC" w14:textId="4D4DE821" w:rsidR="003A1EDF" w:rsidRDefault="003A1EDF" w:rsidP="00DB34DE">
      <w:pPr>
        <w:spacing w:line="276" w:lineRule="auto"/>
        <w:ind w:firstLine="720"/>
        <w:jc w:val="both"/>
      </w:pPr>
      <w:r>
        <w:t xml:space="preserve">[5] </w:t>
      </w:r>
      <w:r w:rsidR="008F2DD9">
        <w:t>Kandavas un pagastu apvienība paskaidrojumos norāda, ka visu būtisko informāciju sniegusi jau iepriekš.</w:t>
      </w:r>
    </w:p>
    <w:bookmarkEnd w:id="6"/>
    <w:bookmarkEnd w:id="7"/>
    <w:p w14:paraId="2320DB14" w14:textId="77777777" w:rsidR="00B44113" w:rsidRDefault="00B44113" w:rsidP="00DB34DE">
      <w:pPr>
        <w:spacing w:line="276" w:lineRule="auto"/>
        <w:jc w:val="center"/>
        <w:rPr>
          <w:b/>
        </w:rPr>
      </w:pPr>
    </w:p>
    <w:p w14:paraId="772810B7" w14:textId="0143DA78" w:rsidR="00530B85" w:rsidRPr="005B32E7" w:rsidRDefault="00530B85" w:rsidP="00DB34DE">
      <w:pPr>
        <w:spacing w:line="276" w:lineRule="auto"/>
        <w:jc w:val="center"/>
      </w:pPr>
      <w:r w:rsidRPr="005B32E7">
        <w:rPr>
          <w:b/>
        </w:rPr>
        <w:t>Motīvu daļa</w:t>
      </w:r>
    </w:p>
    <w:p w14:paraId="5716235B" w14:textId="77777777" w:rsidR="000A2A9C" w:rsidRPr="00894B14" w:rsidRDefault="000A2A9C" w:rsidP="00DB34DE">
      <w:pPr>
        <w:spacing w:line="276" w:lineRule="auto"/>
        <w:ind w:firstLine="720"/>
        <w:jc w:val="both"/>
        <w:rPr>
          <w:rFonts w:asciiTheme="majorBidi" w:hAnsiTheme="majorBidi" w:cstheme="majorBidi"/>
        </w:rPr>
      </w:pPr>
    </w:p>
    <w:p w14:paraId="25EB8640" w14:textId="19069CB9" w:rsidR="008F2DD9" w:rsidRDefault="00E7347C" w:rsidP="00DB34DE">
      <w:pPr>
        <w:spacing w:line="276" w:lineRule="auto"/>
        <w:ind w:firstLine="720"/>
        <w:jc w:val="both"/>
        <w:rPr>
          <w:rFonts w:asciiTheme="majorBidi" w:hAnsiTheme="majorBidi" w:cstheme="majorBidi"/>
        </w:rPr>
      </w:pPr>
      <w:r w:rsidRPr="00894B14">
        <w:rPr>
          <w:rFonts w:asciiTheme="majorBidi" w:hAnsiTheme="majorBidi" w:cstheme="majorBidi"/>
        </w:rPr>
        <w:t>[</w:t>
      </w:r>
      <w:r w:rsidR="008F2DD9">
        <w:rPr>
          <w:rFonts w:asciiTheme="majorBidi" w:hAnsiTheme="majorBidi" w:cstheme="majorBidi"/>
        </w:rPr>
        <w:t>6</w:t>
      </w:r>
      <w:r w:rsidRPr="00894B14">
        <w:rPr>
          <w:rFonts w:asciiTheme="majorBidi" w:hAnsiTheme="majorBidi" w:cstheme="majorBidi"/>
        </w:rPr>
        <w:t>]</w:t>
      </w:r>
      <w:r w:rsidR="003E4988">
        <w:rPr>
          <w:rFonts w:asciiTheme="majorBidi" w:hAnsiTheme="majorBidi" w:cstheme="majorBidi"/>
        </w:rPr>
        <w:t xml:space="preserve"> </w:t>
      </w:r>
      <w:r w:rsidR="00BF3B40">
        <w:rPr>
          <w:rFonts w:asciiTheme="majorBidi" w:hAnsiTheme="majorBidi" w:cstheme="majorBidi"/>
        </w:rPr>
        <w:t>Kasator</w:t>
      </w:r>
      <w:r w:rsidR="007B2D96">
        <w:rPr>
          <w:rFonts w:asciiTheme="majorBidi" w:hAnsiTheme="majorBidi" w:cstheme="majorBidi"/>
        </w:rPr>
        <w:t>i</w:t>
      </w:r>
      <w:r w:rsidR="00BF3B40">
        <w:rPr>
          <w:rFonts w:asciiTheme="majorBidi" w:hAnsiTheme="majorBidi" w:cstheme="majorBidi"/>
        </w:rPr>
        <w:t xml:space="preserve"> argumentē, ka apgabaltiesa, vērtējot publiska pasākuma rīkošanas atļaujas tiesiskumu, nav piemērojusi tiesību normas, pēc kurām pašvaldībai būtu jāizvērtē pasākuma radītā trokšņa ietekme uz cilvēku veselību.</w:t>
      </w:r>
      <w:r w:rsidR="00C94E2F">
        <w:rPr>
          <w:rFonts w:asciiTheme="majorBidi" w:hAnsiTheme="majorBidi" w:cstheme="majorBidi"/>
        </w:rPr>
        <w:t xml:space="preserve"> Līdz ar to Senātam ir jāpārbauda, vai apgabaltiesa ir pareizi noteikusi un piemērojusi </w:t>
      </w:r>
      <w:r w:rsidR="009449E4">
        <w:rPr>
          <w:rFonts w:asciiTheme="majorBidi" w:hAnsiTheme="majorBidi" w:cstheme="majorBidi"/>
        </w:rPr>
        <w:t xml:space="preserve">tiesību </w:t>
      </w:r>
      <w:r w:rsidR="00C94E2F">
        <w:rPr>
          <w:rFonts w:asciiTheme="majorBidi" w:hAnsiTheme="majorBidi" w:cstheme="majorBidi"/>
        </w:rPr>
        <w:t xml:space="preserve">normas, pēc kurām ir jāvērtē, vai ir pieļaujams izsniegt atļauju publiska </w:t>
      </w:r>
      <w:r w:rsidR="00C94E2F" w:rsidRPr="00DC56C3">
        <w:rPr>
          <w:rFonts w:asciiTheme="majorBidi" w:hAnsiTheme="majorBidi" w:cstheme="majorBidi"/>
        </w:rPr>
        <w:t>sporta pasākum</w:t>
      </w:r>
      <w:r w:rsidR="003A661F">
        <w:rPr>
          <w:rFonts w:asciiTheme="majorBidi" w:hAnsiTheme="majorBidi" w:cstheme="majorBidi"/>
        </w:rPr>
        <w:t>a</w:t>
      </w:r>
      <w:r w:rsidR="00C94E2F" w:rsidRPr="00DC56C3">
        <w:rPr>
          <w:rFonts w:asciiTheme="majorBidi" w:hAnsiTheme="majorBidi" w:cstheme="majorBidi"/>
        </w:rPr>
        <w:t xml:space="preserve"> rīkošanai autosportā</w:t>
      </w:r>
      <w:r w:rsidR="00C94E2F">
        <w:rPr>
          <w:rFonts w:asciiTheme="majorBidi" w:hAnsiTheme="majorBidi" w:cstheme="majorBidi"/>
        </w:rPr>
        <w:t xml:space="preserve"> un motosportā, ņemot vērā bažas par iespējamu trokšņa līmeņa pārsniegšanu.</w:t>
      </w:r>
    </w:p>
    <w:p w14:paraId="64437D82" w14:textId="77777777" w:rsidR="00BF3B40" w:rsidRDefault="00BF3B40" w:rsidP="00DB34DE">
      <w:pPr>
        <w:spacing w:line="276" w:lineRule="auto"/>
        <w:ind w:firstLine="720"/>
        <w:jc w:val="both"/>
        <w:rPr>
          <w:rFonts w:asciiTheme="majorBidi" w:hAnsiTheme="majorBidi" w:cstheme="majorBidi"/>
        </w:rPr>
      </w:pPr>
    </w:p>
    <w:p w14:paraId="737B7208" w14:textId="45FFF4CC" w:rsidR="00DC56C3" w:rsidRDefault="00BF3B40" w:rsidP="00DB34DE">
      <w:pPr>
        <w:spacing w:line="276" w:lineRule="auto"/>
        <w:ind w:firstLine="720"/>
        <w:jc w:val="both"/>
        <w:rPr>
          <w:rFonts w:asciiTheme="majorBidi" w:hAnsiTheme="majorBidi" w:cstheme="majorBidi"/>
        </w:rPr>
      </w:pPr>
      <w:r>
        <w:rPr>
          <w:rFonts w:asciiTheme="majorBidi" w:hAnsiTheme="majorBidi" w:cstheme="majorBidi"/>
        </w:rPr>
        <w:t xml:space="preserve">[7] </w:t>
      </w:r>
      <w:r w:rsidR="00DC56C3">
        <w:rPr>
          <w:rFonts w:asciiTheme="majorBidi" w:hAnsiTheme="majorBidi" w:cstheme="majorBidi"/>
        </w:rPr>
        <w:t xml:space="preserve">Publisku izklaides un svētku pasākumu drošības likuma (turpmāk – Publisku pasākumu likums) 5.panta otrā daļa noteic, ka publisku </w:t>
      </w:r>
      <w:r w:rsidR="00DC56C3" w:rsidRPr="00DC56C3">
        <w:rPr>
          <w:rFonts w:asciiTheme="majorBidi" w:hAnsiTheme="majorBidi" w:cstheme="majorBidi"/>
        </w:rPr>
        <w:t>sporta pasākumu rīkošanai autosportā</w:t>
      </w:r>
      <w:r w:rsidR="003037D0">
        <w:rPr>
          <w:rFonts w:asciiTheme="majorBidi" w:hAnsiTheme="majorBidi" w:cstheme="majorBidi"/>
        </w:rPr>
        <w:t xml:space="preserve"> un motosportā</w:t>
      </w:r>
      <w:r w:rsidR="00DC56C3" w:rsidRPr="00DC56C3">
        <w:rPr>
          <w:rFonts w:asciiTheme="majorBidi" w:hAnsiTheme="majorBidi" w:cstheme="majorBidi"/>
        </w:rPr>
        <w:t xml:space="preserve"> neatkarīgi no to norises vietas ir nepieciešama atļauja publisku pasākumu rīkošanai, izņemot gadījumu, kad publisku sporta pasākumu rīko valsts vai pašvaldības iestāde.</w:t>
      </w:r>
      <w:r w:rsidR="00DC56C3">
        <w:rPr>
          <w:rFonts w:asciiTheme="majorBidi" w:hAnsiTheme="majorBidi" w:cstheme="majorBidi"/>
        </w:rPr>
        <w:t xml:space="preserve"> </w:t>
      </w:r>
    </w:p>
    <w:p w14:paraId="16AEAA6E" w14:textId="47B889FA" w:rsidR="00BF3B40" w:rsidRDefault="00DC56C3" w:rsidP="00DB34DE">
      <w:pPr>
        <w:spacing w:line="276" w:lineRule="auto"/>
        <w:ind w:firstLine="720"/>
        <w:jc w:val="both"/>
        <w:rPr>
          <w:rFonts w:asciiTheme="majorBidi" w:hAnsiTheme="majorBidi" w:cstheme="majorBidi"/>
        </w:rPr>
      </w:pPr>
      <w:r>
        <w:rPr>
          <w:rFonts w:asciiTheme="majorBidi" w:hAnsiTheme="majorBidi" w:cstheme="majorBidi"/>
        </w:rPr>
        <w:t>Publisku pasākumu likums paredz pasākumu pieteikšanu attiecīgajā pašvaldībā, iesnieguma saturu un iesniegšanas termiņu. Iesniegumā citstarp jānorāda pasākuma veids un mērķis, vieta, norises laiks, sporta sacensību gadījumā iesnieguma</w:t>
      </w:r>
      <w:r w:rsidR="003A661F">
        <w:rPr>
          <w:rFonts w:asciiTheme="majorBidi" w:hAnsiTheme="majorBidi" w:cstheme="majorBidi"/>
        </w:rPr>
        <w:t>m</w:t>
      </w:r>
      <w:r>
        <w:rPr>
          <w:rFonts w:asciiTheme="majorBidi" w:hAnsiTheme="majorBidi" w:cstheme="majorBidi"/>
        </w:rPr>
        <w:t xml:space="preserve"> jāpievieno sporta sacensību nolikums, </w:t>
      </w:r>
      <w:r w:rsidR="003037D0">
        <w:rPr>
          <w:rFonts w:asciiTheme="majorBidi" w:hAnsiTheme="majorBidi" w:cstheme="majorBidi"/>
        </w:rPr>
        <w:t xml:space="preserve">motosporta un </w:t>
      </w:r>
      <w:r>
        <w:rPr>
          <w:rFonts w:asciiTheme="majorBidi" w:hAnsiTheme="majorBidi" w:cstheme="majorBidi"/>
        </w:rPr>
        <w:t xml:space="preserve">autosporta </w:t>
      </w:r>
      <w:r w:rsidR="00AD648F">
        <w:rPr>
          <w:rFonts w:asciiTheme="majorBidi" w:hAnsiTheme="majorBidi" w:cstheme="majorBidi"/>
        </w:rPr>
        <w:t>sacensību gadījumā – trases licence un galvenā tiesneša licence</w:t>
      </w:r>
      <w:r>
        <w:rPr>
          <w:rFonts w:asciiTheme="majorBidi" w:hAnsiTheme="majorBidi" w:cstheme="majorBidi"/>
        </w:rPr>
        <w:t xml:space="preserve"> (</w:t>
      </w:r>
      <w:r w:rsidRPr="00C94E2F">
        <w:rPr>
          <w:rFonts w:asciiTheme="majorBidi" w:hAnsiTheme="majorBidi" w:cstheme="majorBidi"/>
          <w:i/>
          <w:iCs/>
        </w:rPr>
        <w:t>likuma 5., 6.pants</w:t>
      </w:r>
      <w:r>
        <w:rPr>
          <w:rFonts w:asciiTheme="majorBidi" w:hAnsiTheme="majorBidi" w:cstheme="majorBidi"/>
        </w:rPr>
        <w:t>)</w:t>
      </w:r>
      <w:r w:rsidR="00AD648F">
        <w:rPr>
          <w:rFonts w:asciiTheme="majorBidi" w:hAnsiTheme="majorBidi" w:cstheme="majorBidi"/>
        </w:rPr>
        <w:t>, kā arī dažāda cita rakstura informācija, kas vērsta uz to, lai būtu iespējams izvērtēt un pēc tam garantēt pasākuma drošu norisi.</w:t>
      </w:r>
    </w:p>
    <w:p w14:paraId="7B6AB5D5" w14:textId="59AEF8C3" w:rsidR="00AD648F" w:rsidRDefault="009449E4" w:rsidP="00DB34DE">
      <w:pPr>
        <w:spacing w:line="276" w:lineRule="auto"/>
        <w:ind w:firstLine="720"/>
        <w:jc w:val="both"/>
        <w:rPr>
          <w:rFonts w:asciiTheme="majorBidi" w:hAnsiTheme="majorBidi" w:cstheme="majorBidi"/>
        </w:rPr>
      </w:pPr>
      <w:r>
        <w:rPr>
          <w:rFonts w:asciiTheme="majorBidi" w:hAnsiTheme="majorBidi" w:cstheme="majorBidi"/>
        </w:rPr>
        <w:t>Publisku pasākumu l</w:t>
      </w:r>
      <w:r w:rsidR="00AD648F">
        <w:rPr>
          <w:rFonts w:asciiTheme="majorBidi" w:hAnsiTheme="majorBidi" w:cstheme="majorBidi"/>
        </w:rPr>
        <w:t xml:space="preserve">ikuma 7.pants nosaka, kā šādus iesniegumus izvērtēt un kādos gadījumos pašvaldība var atteikt pasākuma rīkošanas atļaujas izsniegšanu. Uz izskatāmo gadījumu var attiekties 7.panta piektās daļas 4.punktā paredzētais, ka pašvaldība ir tiesīga atteikt atļaujas izsniegšanu, ja </w:t>
      </w:r>
      <w:r w:rsidR="00AD648F" w:rsidRPr="00AD648F">
        <w:rPr>
          <w:rFonts w:asciiTheme="majorBidi" w:hAnsiTheme="majorBidi" w:cstheme="majorBidi"/>
        </w:rPr>
        <w:t>pasākuma organizēšana konkrētajā vietā vai laikā radīs būtisku sabiedriskās kārtības un drošības, cilvēku dzīvības un veselības apdraudējumu</w:t>
      </w:r>
      <w:r w:rsidR="00AD648F">
        <w:rPr>
          <w:rFonts w:asciiTheme="majorBidi" w:hAnsiTheme="majorBidi" w:cstheme="majorBidi"/>
        </w:rPr>
        <w:t>.</w:t>
      </w:r>
    </w:p>
    <w:p w14:paraId="41E40C33" w14:textId="212EC5D5" w:rsidR="00084B3D" w:rsidRDefault="009449E4" w:rsidP="00DB34DE">
      <w:pPr>
        <w:spacing w:line="276" w:lineRule="auto"/>
        <w:ind w:firstLine="720"/>
        <w:jc w:val="both"/>
        <w:rPr>
          <w:rFonts w:asciiTheme="majorBidi" w:hAnsiTheme="majorBidi" w:cstheme="majorBidi"/>
        </w:rPr>
      </w:pPr>
      <w:r>
        <w:rPr>
          <w:rFonts w:asciiTheme="majorBidi" w:hAnsiTheme="majorBidi" w:cstheme="majorBidi"/>
        </w:rPr>
        <w:t>Publisku pasākumu l</w:t>
      </w:r>
      <w:r w:rsidR="00084B3D">
        <w:rPr>
          <w:rFonts w:asciiTheme="majorBidi" w:hAnsiTheme="majorBidi" w:cstheme="majorBidi"/>
        </w:rPr>
        <w:t xml:space="preserve">ikumā nav tiešā tekstā minēts </w:t>
      </w:r>
      <w:r>
        <w:rPr>
          <w:rFonts w:asciiTheme="majorBidi" w:hAnsiTheme="majorBidi" w:cstheme="majorBidi"/>
        </w:rPr>
        <w:t xml:space="preserve">pašvaldības </w:t>
      </w:r>
      <w:r w:rsidR="00084B3D">
        <w:rPr>
          <w:rFonts w:asciiTheme="majorBidi" w:hAnsiTheme="majorBidi" w:cstheme="majorBidi"/>
        </w:rPr>
        <w:t>pienākums pārbaudīt pasākumā sagaidāmo trokšņa līmeni vai pasākuma organizatora pienākums sniegt informāciju par sagaidāmo trokšņa līmeni. Pirmšķietami tas varētu likt domāt, ka šāda veida ietekme, lemjot par atļaujas izsniegšanu, nav jāvērtē.</w:t>
      </w:r>
    </w:p>
    <w:p w14:paraId="1541EF4B" w14:textId="77777777" w:rsidR="00084B3D" w:rsidRDefault="00084B3D" w:rsidP="00DB34DE">
      <w:pPr>
        <w:spacing w:line="276" w:lineRule="auto"/>
        <w:ind w:firstLine="720"/>
        <w:jc w:val="both"/>
        <w:rPr>
          <w:rFonts w:asciiTheme="majorBidi" w:hAnsiTheme="majorBidi" w:cstheme="majorBidi"/>
        </w:rPr>
      </w:pPr>
    </w:p>
    <w:p w14:paraId="30146388" w14:textId="1A683E18" w:rsidR="00C37FD8" w:rsidRDefault="00084B3D"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8</w:t>
      </w:r>
      <w:r>
        <w:rPr>
          <w:rFonts w:asciiTheme="majorBidi" w:hAnsiTheme="majorBidi" w:cstheme="majorBidi"/>
        </w:rPr>
        <w:t xml:space="preserve">] </w:t>
      </w:r>
      <w:r w:rsidR="00C37FD8">
        <w:rPr>
          <w:rFonts w:asciiTheme="majorBidi" w:hAnsiTheme="majorBidi" w:cstheme="majorBidi"/>
        </w:rPr>
        <w:t>Lai noteiktu, vai un kādas tiesību normas ir piemērojamas attiecībā uz trokšņu līmeņa kontroli publisko</w:t>
      </w:r>
      <w:r w:rsidR="009449E4">
        <w:rPr>
          <w:rFonts w:asciiTheme="majorBidi" w:hAnsiTheme="majorBidi" w:cstheme="majorBidi"/>
        </w:rPr>
        <w:t>s</w:t>
      </w:r>
      <w:r w:rsidR="00C37FD8">
        <w:rPr>
          <w:rFonts w:asciiTheme="majorBidi" w:hAnsiTheme="majorBidi" w:cstheme="majorBidi"/>
        </w:rPr>
        <w:t xml:space="preserve"> pasākumos, Publisku pasākumu likums ir jāskata kopsakarā ar trokšņu emisiju regulējumu.</w:t>
      </w:r>
    </w:p>
    <w:p w14:paraId="3A80BC90" w14:textId="77777777" w:rsidR="00C37FD8" w:rsidRDefault="00C37FD8" w:rsidP="00DB34DE">
      <w:pPr>
        <w:spacing w:line="276" w:lineRule="auto"/>
        <w:ind w:firstLine="720"/>
        <w:jc w:val="both"/>
        <w:rPr>
          <w:rFonts w:asciiTheme="majorBidi" w:hAnsiTheme="majorBidi" w:cstheme="majorBidi"/>
        </w:rPr>
      </w:pPr>
    </w:p>
    <w:p w14:paraId="512437B3" w14:textId="42FFA8AF" w:rsidR="00C37FD8" w:rsidRDefault="00C37FD8"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9</w:t>
      </w:r>
      <w:r>
        <w:rPr>
          <w:rFonts w:asciiTheme="majorBidi" w:hAnsiTheme="majorBidi" w:cstheme="majorBidi"/>
        </w:rPr>
        <w:t xml:space="preserve">] </w:t>
      </w:r>
      <w:r w:rsidRPr="00C37FD8">
        <w:rPr>
          <w:rFonts w:asciiTheme="majorBidi" w:hAnsiTheme="majorBidi" w:cstheme="majorBidi"/>
        </w:rPr>
        <w:t xml:space="preserve">Troksnis ir viens no piesārņojuma veidiem, kā tas izriet no piesārņojuma definējuma likuma „Par piesārņojumu” 1.panta 7.punktā. </w:t>
      </w:r>
      <w:r w:rsidR="00040C7A">
        <w:rPr>
          <w:rFonts w:asciiTheme="majorBidi" w:hAnsiTheme="majorBidi" w:cstheme="majorBidi"/>
        </w:rPr>
        <w:t>Šī l</w:t>
      </w:r>
      <w:r w:rsidR="00040C7A" w:rsidRPr="00040C7A">
        <w:rPr>
          <w:rFonts w:asciiTheme="majorBidi" w:hAnsiTheme="majorBidi" w:cstheme="majorBidi"/>
        </w:rPr>
        <w:t>ikuma 18.</w:t>
      </w:r>
      <w:r w:rsidR="00040C7A" w:rsidRPr="00040C7A">
        <w:rPr>
          <w:rFonts w:asciiTheme="majorBidi" w:hAnsiTheme="majorBidi" w:cstheme="majorBidi"/>
          <w:vertAlign w:val="superscript"/>
        </w:rPr>
        <w:t>1</w:t>
      </w:r>
      <w:r w:rsidR="00040C7A" w:rsidRPr="00040C7A">
        <w:rPr>
          <w:rFonts w:asciiTheme="majorBidi" w:hAnsiTheme="majorBidi" w:cstheme="majorBidi"/>
        </w:rPr>
        <w:t xml:space="preserve">pantā ir noteikti pasākumi un rīcība trokšņa novērtēšanai un samazināšanai. </w:t>
      </w:r>
      <w:r w:rsidRPr="00C37FD8">
        <w:rPr>
          <w:rFonts w:asciiTheme="majorBidi" w:hAnsiTheme="majorBidi" w:cstheme="majorBidi"/>
        </w:rPr>
        <w:t>Atbilstoši likuma „Par piesārņojumu” 49.panta otrajai daļai trokšņa robežlielumu ievērošanu</w:t>
      </w:r>
      <w:r w:rsidR="00A169D0">
        <w:rPr>
          <w:rFonts w:asciiTheme="majorBidi" w:hAnsiTheme="majorBidi" w:cstheme="majorBidi"/>
        </w:rPr>
        <w:t xml:space="preserve"> </w:t>
      </w:r>
      <w:r w:rsidRPr="00C37FD8">
        <w:rPr>
          <w:rFonts w:asciiTheme="majorBidi" w:hAnsiTheme="majorBidi" w:cstheme="majorBidi"/>
        </w:rPr>
        <w:t>kontrolē Veselības inspekcija, kā arī attiecīgās pašvaldības institūcijas, kurām pašvaldība ir deleģējusi minēto funkciju.</w:t>
      </w:r>
      <w:r w:rsidR="00A169D0">
        <w:rPr>
          <w:rFonts w:asciiTheme="majorBidi" w:hAnsiTheme="majorBidi" w:cstheme="majorBidi"/>
        </w:rPr>
        <w:t xml:space="preserve"> </w:t>
      </w:r>
    </w:p>
    <w:p w14:paraId="323EE486" w14:textId="016FD1DA" w:rsidR="00084B3D" w:rsidRDefault="00040C7A" w:rsidP="00DB34DE">
      <w:pPr>
        <w:spacing w:line="276" w:lineRule="auto"/>
        <w:ind w:firstLine="720"/>
        <w:jc w:val="both"/>
        <w:rPr>
          <w:rFonts w:asciiTheme="majorBidi" w:hAnsiTheme="majorBidi" w:cstheme="majorBidi"/>
        </w:rPr>
      </w:pPr>
      <w:r>
        <w:rPr>
          <w:rFonts w:asciiTheme="majorBidi" w:hAnsiTheme="majorBidi" w:cstheme="majorBidi"/>
        </w:rPr>
        <w:t>Uz likuma „Par piesārņojumu” deleģējuma pamata ir izdoti noteikumi Nr. 16. To 12.punktā ir precizēta</w:t>
      </w:r>
      <w:r w:rsidR="00C94E2F">
        <w:rPr>
          <w:rFonts w:asciiTheme="majorBidi" w:hAnsiTheme="majorBidi" w:cstheme="majorBidi"/>
        </w:rPr>
        <w:t>s</w:t>
      </w:r>
      <w:r>
        <w:rPr>
          <w:rFonts w:asciiTheme="majorBidi" w:hAnsiTheme="majorBidi" w:cstheme="majorBidi"/>
        </w:rPr>
        <w:t xml:space="preserve"> abu iepriekš</w:t>
      </w:r>
      <w:r w:rsidR="00C94E2F">
        <w:rPr>
          <w:rFonts w:asciiTheme="majorBidi" w:hAnsiTheme="majorBidi" w:cstheme="majorBidi"/>
        </w:rPr>
        <w:t xml:space="preserve"> </w:t>
      </w:r>
      <w:r>
        <w:rPr>
          <w:rFonts w:asciiTheme="majorBidi" w:hAnsiTheme="majorBidi" w:cstheme="majorBidi"/>
        </w:rPr>
        <w:t xml:space="preserve">minēto institūciju kontroles jomas: </w:t>
      </w:r>
      <w:r w:rsidRPr="00040C7A">
        <w:rPr>
          <w:rFonts w:asciiTheme="majorBidi" w:hAnsiTheme="majorBidi" w:cstheme="majorBidi"/>
        </w:rPr>
        <w:t>Veselības inspekcija, pamatojoties uz attiecīgu iesniegumu, kontrolē saimnieciskas darbības (izņemot ar mūzikas atskaņošanu saistītas darbības) vai iekārtu (ieskaitot ventilācijas, saldēšanas iekārtas, kompresorus un liftus), vai satiksmes radītā trokšņa robežlielumu ievērošanu. Ar mūzikas atskaņošanu un citu ar sabiedrisko kārtību saistīto trokšņa kontroli nodrošina attiecīgā pašvaldība.</w:t>
      </w:r>
      <w:r>
        <w:rPr>
          <w:rFonts w:asciiTheme="majorBidi" w:hAnsiTheme="majorBidi" w:cstheme="majorBidi"/>
        </w:rPr>
        <w:t xml:space="preserve"> Tātad, ciktāl runa ir par saimniecisko darbību, kāda vispārīgi var būt kartodroma trases darbība, trokšņa kontrole ir Veselības inspekcijas kompetencē. Savukārt, ja runa ir par troksni, kas saistīts </w:t>
      </w:r>
      <w:r w:rsidR="00C94E2F">
        <w:rPr>
          <w:rFonts w:asciiTheme="majorBidi" w:hAnsiTheme="majorBidi" w:cstheme="majorBidi"/>
        </w:rPr>
        <w:t xml:space="preserve">ar </w:t>
      </w:r>
      <w:r>
        <w:rPr>
          <w:rFonts w:asciiTheme="majorBidi" w:hAnsiTheme="majorBidi" w:cstheme="majorBidi"/>
        </w:rPr>
        <w:t>sabiedrisko kārtību, trokšņa kontrole ir pašvaldības kompetencē</w:t>
      </w:r>
      <w:r w:rsidR="0012048D">
        <w:rPr>
          <w:rFonts w:asciiTheme="majorBidi" w:hAnsiTheme="majorBidi" w:cstheme="majorBidi"/>
        </w:rPr>
        <w:t xml:space="preserve"> (sal. </w:t>
      </w:r>
      <w:r w:rsidR="0012048D" w:rsidRPr="0012048D">
        <w:rPr>
          <w:rFonts w:asciiTheme="majorBidi" w:hAnsiTheme="majorBidi" w:cstheme="majorBidi"/>
          <w:i/>
          <w:iCs/>
        </w:rPr>
        <w:t xml:space="preserve">Senāta 2023.gada 25.jūlija sprieduma lietā Nr. SKA-93/2023, </w:t>
      </w:r>
      <w:hyperlink r:id="rId9" w:history="1">
        <w:r w:rsidR="0012048D" w:rsidRPr="0012048D">
          <w:rPr>
            <w:rStyle w:val="Hyperlink"/>
            <w:rFonts w:asciiTheme="majorBidi" w:hAnsiTheme="majorBidi" w:cstheme="majorBidi"/>
            <w:i/>
            <w:iCs/>
          </w:rPr>
          <w:t>ECLI:LV:AT:2023:0725.A420299318.22.S</w:t>
        </w:r>
      </w:hyperlink>
      <w:r w:rsidR="0012048D" w:rsidRPr="0012048D">
        <w:rPr>
          <w:rFonts w:asciiTheme="majorBidi" w:hAnsiTheme="majorBidi" w:cstheme="majorBidi"/>
          <w:i/>
          <w:iCs/>
        </w:rPr>
        <w:t>, 9.–14.punkts</w:t>
      </w:r>
      <w:r w:rsidR="0012048D">
        <w:rPr>
          <w:rFonts w:asciiTheme="majorBidi" w:hAnsiTheme="majorBidi" w:cstheme="majorBidi"/>
        </w:rPr>
        <w:t>)</w:t>
      </w:r>
      <w:r>
        <w:rPr>
          <w:rFonts w:asciiTheme="majorBidi" w:hAnsiTheme="majorBidi" w:cstheme="majorBidi"/>
        </w:rPr>
        <w:t xml:space="preserve">. </w:t>
      </w:r>
    </w:p>
    <w:p w14:paraId="645506C4" w14:textId="22608F3C" w:rsidR="00040C7A" w:rsidRDefault="00040C7A" w:rsidP="00DB34DE">
      <w:pPr>
        <w:spacing w:line="276" w:lineRule="auto"/>
        <w:ind w:firstLine="720"/>
        <w:jc w:val="both"/>
        <w:rPr>
          <w:rFonts w:asciiTheme="majorBidi" w:hAnsiTheme="majorBidi" w:cstheme="majorBidi"/>
        </w:rPr>
      </w:pPr>
      <w:r w:rsidRPr="00D66492">
        <w:rPr>
          <w:rFonts w:asciiTheme="majorBidi" w:hAnsiTheme="majorBidi" w:cstheme="majorBidi"/>
        </w:rPr>
        <w:t xml:space="preserve">Senāts secina, ka publisku pasākumu drošības kontrole </w:t>
      </w:r>
      <w:r w:rsidR="0059475F" w:rsidRPr="00D66492">
        <w:rPr>
          <w:rFonts w:asciiTheme="majorBidi" w:hAnsiTheme="majorBidi" w:cstheme="majorBidi"/>
        </w:rPr>
        <w:t>(Publisk</w:t>
      </w:r>
      <w:r w:rsidR="009449E4" w:rsidRPr="00D66492">
        <w:rPr>
          <w:rFonts w:asciiTheme="majorBidi" w:hAnsiTheme="majorBidi" w:cstheme="majorBidi"/>
        </w:rPr>
        <w:t>u</w:t>
      </w:r>
      <w:r w:rsidR="0059475F" w:rsidRPr="00D66492">
        <w:rPr>
          <w:rFonts w:asciiTheme="majorBidi" w:hAnsiTheme="majorBidi" w:cstheme="majorBidi"/>
        </w:rPr>
        <w:t xml:space="preserve"> pasākumu likums) </w:t>
      </w:r>
      <w:r w:rsidRPr="00D66492">
        <w:rPr>
          <w:rFonts w:asciiTheme="majorBidi" w:hAnsiTheme="majorBidi" w:cstheme="majorBidi"/>
        </w:rPr>
        <w:t>pārklājas ar trokšņa kontroli, ciktāl tā saistīta ar sabiedrisko kārtību</w:t>
      </w:r>
      <w:r w:rsidR="0059475F" w:rsidRPr="00D66492">
        <w:rPr>
          <w:rFonts w:asciiTheme="majorBidi" w:hAnsiTheme="majorBidi" w:cstheme="majorBidi"/>
        </w:rPr>
        <w:t xml:space="preserve"> (likums „Par piesārņojumu” un noteikumi Nr. 16)</w:t>
      </w:r>
      <w:r w:rsidRPr="00D66492">
        <w:rPr>
          <w:rFonts w:asciiTheme="majorBidi" w:hAnsiTheme="majorBidi" w:cstheme="majorBidi"/>
        </w:rPr>
        <w:t xml:space="preserve">, un pašvaldībai </w:t>
      </w:r>
      <w:r w:rsidR="0059475F" w:rsidRPr="00D66492">
        <w:rPr>
          <w:rFonts w:asciiTheme="majorBidi" w:hAnsiTheme="majorBidi" w:cstheme="majorBidi"/>
        </w:rPr>
        <w:t xml:space="preserve">tātad </w:t>
      </w:r>
      <w:r w:rsidRPr="00D66492">
        <w:rPr>
          <w:rFonts w:asciiTheme="majorBidi" w:hAnsiTheme="majorBidi" w:cstheme="majorBidi"/>
        </w:rPr>
        <w:t xml:space="preserve">ir tiesisks pamats kontrolēt </w:t>
      </w:r>
      <w:r w:rsidR="00EC27C6" w:rsidRPr="00D66492">
        <w:rPr>
          <w:rFonts w:asciiTheme="majorBidi" w:hAnsiTheme="majorBidi" w:cstheme="majorBidi"/>
        </w:rPr>
        <w:t>trokšņa ietekmi</w:t>
      </w:r>
      <w:r w:rsidRPr="00D66492">
        <w:rPr>
          <w:rFonts w:asciiTheme="majorBidi" w:hAnsiTheme="majorBidi" w:cstheme="majorBidi"/>
        </w:rPr>
        <w:t xml:space="preserve"> publiskos pasākumos.</w:t>
      </w:r>
      <w:r w:rsidR="0059475F" w:rsidRPr="00D66492">
        <w:rPr>
          <w:rFonts w:asciiTheme="majorBidi" w:hAnsiTheme="majorBidi" w:cstheme="majorBidi"/>
        </w:rPr>
        <w:t xml:space="preserve"> </w:t>
      </w:r>
    </w:p>
    <w:p w14:paraId="4F5DDC16" w14:textId="77777777" w:rsidR="007571F6" w:rsidRDefault="007571F6" w:rsidP="00DB34DE">
      <w:pPr>
        <w:spacing w:line="276" w:lineRule="auto"/>
        <w:ind w:firstLine="720"/>
        <w:jc w:val="both"/>
        <w:rPr>
          <w:rFonts w:asciiTheme="majorBidi" w:hAnsiTheme="majorBidi" w:cstheme="majorBidi"/>
        </w:rPr>
      </w:pPr>
    </w:p>
    <w:p w14:paraId="24B3717F" w14:textId="7598F20D" w:rsidR="007571F6" w:rsidRDefault="007571F6"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10</w:t>
      </w:r>
      <w:r>
        <w:rPr>
          <w:rFonts w:asciiTheme="majorBidi" w:hAnsiTheme="majorBidi" w:cstheme="majorBidi"/>
        </w:rPr>
        <w:t xml:space="preserve">] Taču būtiski </w:t>
      </w:r>
      <w:r w:rsidR="002E1228">
        <w:rPr>
          <w:rFonts w:asciiTheme="majorBidi" w:hAnsiTheme="majorBidi" w:cstheme="majorBidi"/>
        </w:rPr>
        <w:t xml:space="preserve">ir </w:t>
      </w:r>
      <w:r>
        <w:rPr>
          <w:rFonts w:asciiTheme="majorBidi" w:hAnsiTheme="majorBidi" w:cstheme="majorBidi"/>
        </w:rPr>
        <w:t>arī tas, vai un kādu kārtību likumvide paredz šādas kontroles veikšanai.</w:t>
      </w:r>
    </w:p>
    <w:p w14:paraId="15A30A2F" w14:textId="30B4BEFA" w:rsidR="007571F6" w:rsidRDefault="007571F6" w:rsidP="00DB34DE">
      <w:pPr>
        <w:spacing w:line="276" w:lineRule="auto"/>
        <w:ind w:firstLine="720"/>
        <w:jc w:val="both"/>
        <w:rPr>
          <w:rFonts w:asciiTheme="majorBidi" w:hAnsiTheme="majorBidi" w:cstheme="majorBidi"/>
        </w:rPr>
      </w:pPr>
      <w:r>
        <w:rPr>
          <w:rFonts w:asciiTheme="majorBidi" w:hAnsiTheme="majorBidi" w:cstheme="majorBidi"/>
        </w:rPr>
        <w:t>Noteikum</w:t>
      </w:r>
      <w:r w:rsidR="003A661F">
        <w:rPr>
          <w:rFonts w:asciiTheme="majorBidi" w:hAnsiTheme="majorBidi" w:cstheme="majorBidi"/>
        </w:rPr>
        <w:t>u</w:t>
      </w:r>
      <w:r>
        <w:rPr>
          <w:rFonts w:asciiTheme="majorBidi" w:hAnsiTheme="majorBidi" w:cstheme="majorBidi"/>
        </w:rPr>
        <w:t xml:space="preserve"> Nr. 16 2.4.apa</w:t>
      </w:r>
      <w:r w:rsidR="009449E4">
        <w:rPr>
          <w:rFonts w:asciiTheme="majorBidi" w:hAnsiTheme="majorBidi" w:cstheme="majorBidi"/>
        </w:rPr>
        <w:t>k</w:t>
      </w:r>
      <w:r>
        <w:rPr>
          <w:rFonts w:asciiTheme="majorBidi" w:hAnsiTheme="majorBidi" w:cstheme="majorBidi"/>
        </w:rPr>
        <w:t xml:space="preserve">špunktā sākotnēji tiešā tekstā bija noteikts, ka šie noteikumi neattiecas uz </w:t>
      </w:r>
      <w:r w:rsidRPr="007571F6">
        <w:rPr>
          <w:rFonts w:asciiTheme="majorBidi" w:hAnsiTheme="majorBidi" w:cstheme="majorBidi"/>
        </w:rPr>
        <w:t>publiskiem pasākumiem, kuri ir saskaņoti ar vietējo pašvaldību atbilstoši Publisku pasākumu likumam (saņemta atļauja)</w:t>
      </w:r>
      <w:r w:rsidR="00832115">
        <w:rPr>
          <w:rFonts w:asciiTheme="majorBidi" w:hAnsiTheme="majorBidi" w:cstheme="majorBidi"/>
        </w:rPr>
        <w:t>.</w:t>
      </w:r>
      <w:r w:rsidR="003037D0">
        <w:rPr>
          <w:rFonts w:asciiTheme="majorBidi" w:hAnsiTheme="majorBidi" w:cstheme="majorBidi"/>
        </w:rPr>
        <w:t xml:space="preserve"> Kad Publisk</w:t>
      </w:r>
      <w:r w:rsidR="009449E4">
        <w:rPr>
          <w:rFonts w:asciiTheme="majorBidi" w:hAnsiTheme="majorBidi" w:cstheme="majorBidi"/>
        </w:rPr>
        <w:t>u</w:t>
      </w:r>
      <w:r w:rsidR="003037D0">
        <w:rPr>
          <w:rFonts w:asciiTheme="majorBidi" w:hAnsiTheme="majorBidi" w:cstheme="majorBidi"/>
        </w:rPr>
        <w:t xml:space="preserve"> pasākumu likuma 5.panta otrajā daļā ar 2015.gada 14.aprīļa grozījumiem tika</w:t>
      </w:r>
      <w:r w:rsidR="00D2529B">
        <w:rPr>
          <w:rFonts w:asciiTheme="majorBidi" w:hAnsiTheme="majorBidi" w:cstheme="majorBidi"/>
        </w:rPr>
        <w:t xml:space="preserve"> </w:t>
      </w:r>
      <w:r w:rsidR="003037D0">
        <w:rPr>
          <w:rFonts w:asciiTheme="majorBidi" w:hAnsiTheme="majorBidi" w:cstheme="majorBidi"/>
        </w:rPr>
        <w:t>noteikts, ka publisku sporta pasākumu rīkošanai autosportā un motosportā ir nepieciešama atļauja, attiecīgi uz šādiem pasākumiem nebija attiecinām</w:t>
      </w:r>
      <w:r w:rsidR="005D5E45">
        <w:rPr>
          <w:rFonts w:asciiTheme="majorBidi" w:hAnsiTheme="majorBidi" w:cstheme="majorBidi"/>
        </w:rPr>
        <w:t>i</w:t>
      </w:r>
      <w:r w:rsidR="003037D0">
        <w:rPr>
          <w:rFonts w:asciiTheme="majorBidi" w:hAnsiTheme="majorBidi" w:cstheme="majorBidi"/>
        </w:rPr>
        <w:t xml:space="preserve"> noteikumi Nr. 16.</w:t>
      </w:r>
    </w:p>
    <w:p w14:paraId="511C186C" w14:textId="77777777" w:rsidR="00DE6466" w:rsidRDefault="007D1BC8" w:rsidP="00DB34DE">
      <w:pPr>
        <w:spacing w:line="276" w:lineRule="auto"/>
        <w:ind w:firstLine="720"/>
        <w:jc w:val="both"/>
        <w:rPr>
          <w:rFonts w:asciiTheme="majorBidi" w:hAnsiTheme="majorBidi" w:cstheme="majorBidi"/>
        </w:rPr>
      </w:pPr>
      <w:r>
        <w:rPr>
          <w:rFonts w:asciiTheme="majorBidi" w:hAnsiTheme="majorBidi" w:cstheme="majorBidi"/>
        </w:rPr>
        <w:t>Taču Satversmes tiesa ar 2017.gada 19.decembra spriedumu lietā Nr. 2017-02-03 atzina</w:t>
      </w:r>
      <w:r w:rsidRPr="007D1BC8">
        <w:rPr>
          <w:rFonts w:asciiTheme="majorBidi" w:hAnsiTheme="majorBidi" w:cstheme="majorBidi"/>
        </w:rPr>
        <w:t xml:space="preserve"> noteikumu Nr.</w:t>
      </w:r>
      <w:r>
        <w:rPr>
          <w:rFonts w:asciiTheme="majorBidi" w:hAnsiTheme="majorBidi" w:cstheme="majorBidi"/>
        </w:rPr>
        <w:t> </w:t>
      </w:r>
      <w:r w:rsidRPr="007D1BC8">
        <w:rPr>
          <w:rFonts w:asciiTheme="majorBidi" w:hAnsiTheme="majorBidi" w:cstheme="majorBidi"/>
        </w:rPr>
        <w:t>16 2.4.apakšpunktu, ciktāl tas attiecas uz publiskiem pasākumiem autosportā un motosportā, kas norisinās apdzīvotā vietā izvietotā atklātā autosporta un motosporta bāzē un kuriem Publisku pasākumu likumā noteiktajā kārtībā ir izsniegta atļauja publisku pasākumu rīkošanai, par neatbilstoš</w:t>
      </w:r>
      <w:r w:rsidR="009449E4">
        <w:rPr>
          <w:rFonts w:asciiTheme="majorBidi" w:hAnsiTheme="majorBidi" w:cstheme="majorBidi"/>
        </w:rPr>
        <w:t>u</w:t>
      </w:r>
      <w:r w:rsidRPr="007D1BC8">
        <w:rPr>
          <w:rFonts w:asciiTheme="majorBidi" w:hAnsiTheme="majorBidi" w:cstheme="majorBidi"/>
        </w:rPr>
        <w:t xml:space="preserve"> Satversmes 111. un 115.pantam.</w:t>
      </w:r>
      <w:r>
        <w:rPr>
          <w:rFonts w:asciiTheme="majorBidi" w:hAnsiTheme="majorBidi" w:cstheme="majorBidi"/>
        </w:rPr>
        <w:t xml:space="preserve"> </w:t>
      </w:r>
    </w:p>
    <w:p w14:paraId="0CF3419D" w14:textId="5A2ED131" w:rsidR="003037D0" w:rsidRDefault="007D1BC8" w:rsidP="00DB34DE">
      <w:pPr>
        <w:spacing w:line="276" w:lineRule="auto"/>
        <w:ind w:firstLine="720"/>
        <w:jc w:val="both"/>
        <w:rPr>
          <w:rFonts w:asciiTheme="majorBidi" w:hAnsiTheme="majorBidi" w:cstheme="majorBidi"/>
        </w:rPr>
      </w:pPr>
      <w:r>
        <w:rPr>
          <w:rFonts w:asciiTheme="majorBidi" w:hAnsiTheme="majorBidi" w:cstheme="majorBidi"/>
        </w:rPr>
        <w:t xml:space="preserve">Tātad līdz ar Satversmes tiesas sprieduma spēkā stāšanos noteikumu Nr. 16 regulējums attiecās </w:t>
      </w:r>
      <w:r w:rsidR="009449E4">
        <w:rPr>
          <w:rFonts w:asciiTheme="majorBidi" w:hAnsiTheme="majorBidi" w:cstheme="majorBidi"/>
        </w:rPr>
        <w:t xml:space="preserve">arī </w:t>
      </w:r>
      <w:r>
        <w:rPr>
          <w:rFonts w:asciiTheme="majorBidi" w:hAnsiTheme="majorBidi" w:cstheme="majorBidi"/>
        </w:rPr>
        <w:t>uz autosporta un motosporta pasākumiem, kuru rīkošanai ir nepieciešama pašvaldības atļauja.</w:t>
      </w:r>
    </w:p>
    <w:p w14:paraId="170F5AB8" w14:textId="77777777" w:rsidR="00DE6466" w:rsidRDefault="00DE6466" w:rsidP="00DB34DE">
      <w:pPr>
        <w:spacing w:line="276" w:lineRule="auto"/>
        <w:ind w:firstLine="720"/>
        <w:jc w:val="both"/>
        <w:rPr>
          <w:rFonts w:asciiTheme="majorBidi" w:hAnsiTheme="majorBidi" w:cstheme="majorBidi"/>
        </w:rPr>
      </w:pPr>
    </w:p>
    <w:p w14:paraId="37D8A7A4" w14:textId="6CEFA57F" w:rsidR="003C493B" w:rsidRDefault="00DE6466" w:rsidP="00DB34DE">
      <w:pPr>
        <w:spacing w:line="276" w:lineRule="auto"/>
        <w:ind w:firstLine="720"/>
        <w:jc w:val="both"/>
        <w:rPr>
          <w:rFonts w:asciiTheme="majorBidi" w:hAnsiTheme="majorBidi" w:cstheme="majorBidi"/>
        </w:rPr>
      </w:pPr>
      <w:r>
        <w:rPr>
          <w:rFonts w:asciiTheme="majorBidi" w:hAnsiTheme="majorBidi" w:cstheme="majorBidi"/>
        </w:rPr>
        <w:t xml:space="preserve">[11] </w:t>
      </w:r>
      <w:r w:rsidR="003C493B">
        <w:rPr>
          <w:rFonts w:asciiTheme="majorBidi" w:hAnsiTheme="majorBidi" w:cstheme="majorBidi"/>
        </w:rPr>
        <w:t xml:space="preserve">Apgabaltiesa pievienojusies rajona tiesas secinājumam, ka </w:t>
      </w:r>
      <w:r w:rsidR="003C493B" w:rsidRPr="003C493B">
        <w:rPr>
          <w:rFonts w:asciiTheme="majorBidi" w:hAnsiTheme="majorBidi" w:cstheme="majorBidi"/>
        </w:rPr>
        <w:t>noteikumu Nr.</w:t>
      </w:r>
      <w:r w:rsidR="003C493B">
        <w:rPr>
          <w:rFonts w:asciiTheme="majorBidi" w:hAnsiTheme="majorBidi" w:cstheme="majorBidi"/>
        </w:rPr>
        <w:t> </w:t>
      </w:r>
      <w:r w:rsidR="003C493B" w:rsidRPr="003C493B">
        <w:rPr>
          <w:rFonts w:asciiTheme="majorBidi" w:hAnsiTheme="majorBidi" w:cstheme="majorBidi"/>
        </w:rPr>
        <w:t>16</w:t>
      </w:r>
      <w:r w:rsidR="003C493B">
        <w:rPr>
          <w:rFonts w:asciiTheme="majorBidi" w:hAnsiTheme="majorBidi" w:cstheme="majorBidi"/>
        </w:rPr>
        <w:t xml:space="preserve"> </w:t>
      </w:r>
      <w:r w:rsidR="003C493B" w:rsidRPr="003C493B">
        <w:rPr>
          <w:rFonts w:asciiTheme="majorBidi" w:hAnsiTheme="majorBidi" w:cstheme="majorBidi"/>
        </w:rPr>
        <w:t>regulējums tieši neattiecas uz publiskiem pasākumiem,</w:t>
      </w:r>
      <w:r w:rsidR="003C493B">
        <w:rPr>
          <w:rFonts w:asciiTheme="majorBidi" w:hAnsiTheme="majorBidi" w:cstheme="majorBidi"/>
        </w:rPr>
        <w:t xml:space="preserve"> </w:t>
      </w:r>
      <w:r w:rsidR="003C493B" w:rsidRPr="003C493B">
        <w:rPr>
          <w:rFonts w:asciiTheme="majorBidi" w:hAnsiTheme="majorBidi" w:cstheme="majorBidi"/>
        </w:rPr>
        <w:t>kuri jāsaskaņo ar vietējo pašvaldību atbilstoši Publisku pasākumu likumam</w:t>
      </w:r>
      <w:r w:rsidR="0086152E">
        <w:rPr>
          <w:rFonts w:asciiTheme="majorBidi" w:hAnsiTheme="majorBidi" w:cstheme="majorBidi"/>
        </w:rPr>
        <w:t xml:space="preserve"> </w:t>
      </w:r>
      <w:r w:rsidR="0086152E" w:rsidRPr="0086152E">
        <w:rPr>
          <w:rFonts w:asciiTheme="majorBidi" w:hAnsiTheme="majorBidi" w:cstheme="majorBidi"/>
        </w:rPr>
        <w:t>(</w:t>
      </w:r>
      <w:r w:rsidR="0086152E" w:rsidRPr="0086152E">
        <w:rPr>
          <w:rFonts w:asciiTheme="majorBidi" w:hAnsiTheme="majorBidi" w:cstheme="majorBidi"/>
          <w:i/>
          <w:iCs/>
        </w:rPr>
        <w:t>apgabaltiesas sprieduma 3.2. un 8.punkts</w:t>
      </w:r>
      <w:r w:rsidR="0086152E" w:rsidRPr="0086152E">
        <w:rPr>
          <w:rFonts w:asciiTheme="majorBidi" w:hAnsiTheme="majorBidi" w:cstheme="majorBidi"/>
        </w:rPr>
        <w:t>)</w:t>
      </w:r>
      <w:r w:rsidR="003C493B">
        <w:rPr>
          <w:rFonts w:asciiTheme="majorBidi" w:hAnsiTheme="majorBidi" w:cstheme="majorBidi"/>
        </w:rPr>
        <w:t xml:space="preserve">. Kā redzams no iepriekš apskatītā tiesiskā regulējuma un tā izmaiņām, šāds secinājums ir nepareizs. Rajona tiesas spriedumā šis secinājums pamatots tikai ar atsauci uz </w:t>
      </w:r>
      <w:r w:rsidR="003C493B" w:rsidRPr="003C493B">
        <w:rPr>
          <w:rFonts w:asciiTheme="majorBidi" w:hAnsiTheme="majorBidi" w:cstheme="majorBidi"/>
        </w:rPr>
        <w:t>Senāta 2022.gada 23.decembra rīcības sēdes lēmum</w:t>
      </w:r>
      <w:r w:rsidR="003C493B">
        <w:rPr>
          <w:rFonts w:asciiTheme="majorBidi" w:hAnsiTheme="majorBidi" w:cstheme="majorBidi"/>
        </w:rPr>
        <w:t>u</w:t>
      </w:r>
      <w:r w:rsidR="003C493B" w:rsidRPr="003C493B">
        <w:rPr>
          <w:rFonts w:asciiTheme="majorBidi" w:hAnsiTheme="majorBidi" w:cstheme="majorBidi"/>
        </w:rPr>
        <w:t xml:space="preserve"> lietā Nr.</w:t>
      </w:r>
      <w:r w:rsidR="003C493B">
        <w:rPr>
          <w:rFonts w:asciiTheme="majorBidi" w:hAnsiTheme="majorBidi" w:cstheme="majorBidi"/>
        </w:rPr>
        <w:t> </w:t>
      </w:r>
      <w:r w:rsidR="003C493B" w:rsidRPr="003C493B">
        <w:rPr>
          <w:rFonts w:asciiTheme="majorBidi" w:hAnsiTheme="majorBidi" w:cstheme="majorBidi"/>
        </w:rPr>
        <w:t>SKA-748/2022,</w:t>
      </w:r>
      <w:r w:rsidR="003C493B">
        <w:rPr>
          <w:rFonts w:asciiTheme="majorBidi" w:hAnsiTheme="majorBidi" w:cstheme="majorBidi"/>
        </w:rPr>
        <w:t xml:space="preserve"> </w:t>
      </w:r>
      <w:hyperlink r:id="rId10" w:history="1">
        <w:r w:rsidR="003C493B" w:rsidRPr="003C493B">
          <w:rPr>
            <w:rStyle w:val="Hyperlink"/>
            <w:rFonts w:asciiTheme="majorBidi" w:hAnsiTheme="majorBidi" w:cstheme="majorBidi"/>
          </w:rPr>
          <w:t>ECLI:LV:AT:2022:1223.A420247620.11.L</w:t>
        </w:r>
      </w:hyperlink>
      <w:r w:rsidR="003C493B">
        <w:rPr>
          <w:rFonts w:asciiTheme="majorBidi" w:hAnsiTheme="majorBidi" w:cstheme="majorBidi"/>
        </w:rPr>
        <w:t>. Taču tiesa pati nav analizējusi nevienu tiesību normu, kas tai ļāvis pie šāda secinājuma nonākt</w:t>
      </w:r>
      <w:r w:rsidR="003C493B" w:rsidRPr="003C493B">
        <w:rPr>
          <w:rFonts w:asciiTheme="majorBidi" w:hAnsiTheme="majorBidi" w:cstheme="majorBidi"/>
        </w:rPr>
        <w:t>.</w:t>
      </w:r>
      <w:r w:rsidR="003C493B">
        <w:rPr>
          <w:rFonts w:asciiTheme="majorBidi" w:hAnsiTheme="majorBidi" w:cstheme="majorBidi"/>
        </w:rPr>
        <w:t xml:space="preserve"> </w:t>
      </w:r>
      <w:r w:rsidR="009449E4">
        <w:rPr>
          <w:rFonts w:asciiTheme="majorBidi" w:hAnsiTheme="majorBidi" w:cstheme="majorBidi"/>
        </w:rPr>
        <w:t>Tas</w:t>
      </w:r>
      <w:r w:rsidR="003C493B">
        <w:rPr>
          <w:rFonts w:asciiTheme="majorBidi" w:hAnsiTheme="majorBidi" w:cstheme="majorBidi"/>
        </w:rPr>
        <w:t xml:space="preserve"> vien ir pamats atzīt, ka apgabaltiesa ir kļūdījusies tiesību normu piemērošanā.</w:t>
      </w:r>
    </w:p>
    <w:p w14:paraId="16BF9B5F" w14:textId="47FC78C9" w:rsidR="004643A2" w:rsidRDefault="003C493B" w:rsidP="00DB34DE">
      <w:pPr>
        <w:spacing w:line="276" w:lineRule="auto"/>
        <w:ind w:firstLine="720"/>
        <w:jc w:val="both"/>
        <w:rPr>
          <w:rFonts w:asciiTheme="majorBidi" w:hAnsiTheme="majorBidi" w:cstheme="majorBidi"/>
        </w:rPr>
      </w:pPr>
      <w:r>
        <w:rPr>
          <w:rFonts w:asciiTheme="majorBidi" w:hAnsiTheme="majorBidi" w:cstheme="majorBidi"/>
        </w:rPr>
        <w:t xml:space="preserve">Turklāt </w:t>
      </w:r>
      <w:r w:rsidR="00EA07AC">
        <w:rPr>
          <w:rFonts w:asciiTheme="majorBidi" w:hAnsiTheme="majorBidi" w:cstheme="majorBidi"/>
        </w:rPr>
        <w:t xml:space="preserve">apgabaltiesas argumentācija uzrāda tālākas metodoloģiskas kļūdas tiesību normu piemērošanā. Kā vienīgo pamatu secinājumam par noteikumu Nr. 16 nepiemērojamību apgabaltiesa norādījusi Senāta rīcības sēdes lēmumu, taču apgabaltiesa </w:t>
      </w:r>
      <w:r w:rsidR="00C94E2F">
        <w:rPr>
          <w:rFonts w:asciiTheme="majorBidi" w:hAnsiTheme="majorBidi" w:cstheme="majorBidi"/>
        </w:rPr>
        <w:t xml:space="preserve">izskatāmajā gadījumā kļūdaini ir piešķīrusi rīcības sēdes lēmumam būtisku nozīmi. Tiesa </w:t>
      </w:r>
      <w:r w:rsidR="00EA07AC">
        <w:rPr>
          <w:rFonts w:asciiTheme="majorBidi" w:hAnsiTheme="majorBidi" w:cstheme="majorBidi"/>
        </w:rPr>
        <w:t xml:space="preserve">nav ņēmusi vērā rīcības sēžu lēmumu mērķi un attiecīgi īpatnības, kas piemīt šajos lēmumos ietvertajai argumentācijai. Ievērojot Administratīvā procesa likuma 325.pantu un 328.panta pirmās daļas 6.punktu, kasācijas tiesvedība var tikt ierosināta tikai tad, ja kasācijas sūdzībā ir norādīts, kādu </w:t>
      </w:r>
      <w:r w:rsidR="00EA07AC" w:rsidRPr="00EA07AC">
        <w:rPr>
          <w:rFonts w:asciiTheme="majorBidi" w:hAnsiTheme="majorBidi" w:cstheme="majorBidi"/>
        </w:rPr>
        <w:t xml:space="preserve">materiālo vai procesuālo tiesību normu </w:t>
      </w:r>
      <w:r w:rsidR="00EA07AC">
        <w:rPr>
          <w:rFonts w:asciiTheme="majorBidi" w:hAnsiTheme="majorBidi" w:cstheme="majorBidi"/>
        </w:rPr>
        <w:t xml:space="preserve">apelācijas instances </w:t>
      </w:r>
      <w:r w:rsidR="00EA07AC" w:rsidRPr="00EA07AC">
        <w:rPr>
          <w:rFonts w:asciiTheme="majorBidi" w:hAnsiTheme="majorBidi" w:cstheme="majorBidi"/>
        </w:rPr>
        <w:t>tiesa pārkāpusi un pamatojum</w:t>
      </w:r>
      <w:r w:rsidR="009449E4">
        <w:rPr>
          <w:rFonts w:asciiTheme="majorBidi" w:hAnsiTheme="majorBidi" w:cstheme="majorBidi"/>
        </w:rPr>
        <w:t>s</w:t>
      </w:r>
      <w:r w:rsidR="00EA07AC" w:rsidRPr="00EA07AC">
        <w:rPr>
          <w:rFonts w:asciiTheme="majorBidi" w:hAnsiTheme="majorBidi" w:cstheme="majorBidi"/>
        </w:rPr>
        <w:t>, kā izpaužas šis pārkāpums</w:t>
      </w:r>
      <w:r w:rsidR="00EA07AC">
        <w:rPr>
          <w:rFonts w:asciiTheme="majorBidi" w:hAnsiTheme="majorBidi" w:cstheme="majorBidi"/>
        </w:rPr>
        <w:t xml:space="preserve">. Kasācijas tiesvedības uzsākšana ir pieļaujama tikai tad, ja kasācijas sūdzība atbilst šīm prasībām – ja kasators ir </w:t>
      </w:r>
      <w:r w:rsidR="00301B34">
        <w:rPr>
          <w:rFonts w:asciiTheme="majorBidi" w:hAnsiTheme="majorBidi" w:cstheme="majorBidi"/>
        </w:rPr>
        <w:t>argumentēti norādījis uz</w:t>
      </w:r>
      <w:r w:rsidR="00EA07AC">
        <w:rPr>
          <w:rFonts w:asciiTheme="majorBidi" w:hAnsiTheme="majorBidi" w:cstheme="majorBidi"/>
        </w:rPr>
        <w:t xml:space="preserve"> tādu materiālo vai procesuālo tiesību </w:t>
      </w:r>
      <w:r w:rsidR="009449E4">
        <w:rPr>
          <w:rFonts w:asciiTheme="majorBidi" w:hAnsiTheme="majorBidi" w:cstheme="majorBidi"/>
        </w:rPr>
        <w:t xml:space="preserve">normu </w:t>
      </w:r>
      <w:r w:rsidR="00EA07AC">
        <w:rPr>
          <w:rFonts w:asciiTheme="majorBidi" w:hAnsiTheme="majorBidi" w:cstheme="majorBidi"/>
        </w:rPr>
        <w:t>piemērošanas kļūdu, kas var būt pamats pievērsties attiecīga tiesību normu piemērošanas jautājuma izskatīšanai kasācijas instances tiesā. Vēl vairāk: pat ja šāds pamatojums ir sniegts, senatoru kolēģija, ievērojot Administratīvā procesa likuma 338.</w:t>
      </w:r>
      <w:r w:rsidR="00EA07AC" w:rsidRPr="00EA07AC">
        <w:rPr>
          <w:rFonts w:asciiTheme="majorBidi" w:hAnsiTheme="majorBidi" w:cstheme="majorBidi"/>
          <w:vertAlign w:val="superscript"/>
        </w:rPr>
        <w:t>1</w:t>
      </w:r>
      <w:r w:rsidR="00EA07AC">
        <w:rPr>
          <w:rFonts w:asciiTheme="majorBidi" w:hAnsiTheme="majorBidi" w:cstheme="majorBidi"/>
        </w:rPr>
        <w:t xml:space="preserve">panta otro daļu, var atteikties ierosināt kasācijas tiesvedību, ja attiecīgajā tiesību normu piemērošanas jautājumā ir jau izveidojusies judikatūra un spriedums tai atbilst, kā arī tad, ja nerodas šaubas par pārsūdzētā sprieduma tiesiskumu un lietai nav nozīmes judikatūras veidošanā. Respektīvi, </w:t>
      </w:r>
      <w:r w:rsidR="009449E4">
        <w:rPr>
          <w:rFonts w:asciiTheme="majorBidi" w:hAnsiTheme="majorBidi" w:cstheme="majorBidi"/>
        </w:rPr>
        <w:t>k</w:t>
      </w:r>
      <w:r w:rsidR="009449E4" w:rsidRPr="009449E4">
        <w:rPr>
          <w:rFonts w:asciiTheme="majorBidi" w:hAnsiTheme="majorBidi" w:cstheme="majorBidi"/>
        </w:rPr>
        <w:t>asācijas tiesvedības ierosināšan</w:t>
      </w:r>
      <w:r w:rsidR="009449E4">
        <w:rPr>
          <w:rFonts w:asciiTheme="majorBidi" w:hAnsiTheme="majorBidi" w:cstheme="majorBidi"/>
        </w:rPr>
        <w:t>a</w:t>
      </w:r>
      <w:r w:rsidR="009449E4" w:rsidRPr="009449E4">
        <w:rPr>
          <w:rFonts w:asciiTheme="majorBidi" w:hAnsiTheme="majorBidi" w:cstheme="majorBidi"/>
        </w:rPr>
        <w:t xml:space="preserve"> vai neierosināšana var būt atkarīga arī no kasācijas sūdzībā aktualizēto tiesību normu piemērošanas jautājumu nozīmīguma judikatūras tālākā veidošanā</w:t>
      </w:r>
      <w:r w:rsidR="004643A2">
        <w:rPr>
          <w:rFonts w:asciiTheme="majorBidi" w:hAnsiTheme="majorBidi" w:cstheme="majorBidi"/>
        </w:rPr>
        <w:t xml:space="preserve">. Tas </w:t>
      </w:r>
      <w:r w:rsidR="00301B34">
        <w:rPr>
          <w:rFonts w:asciiTheme="majorBidi" w:hAnsiTheme="majorBidi" w:cstheme="majorBidi"/>
        </w:rPr>
        <w:t xml:space="preserve">savukārt </w:t>
      </w:r>
      <w:r w:rsidR="004643A2">
        <w:rPr>
          <w:rFonts w:asciiTheme="majorBidi" w:hAnsiTheme="majorBidi" w:cstheme="majorBidi"/>
        </w:rPr>
        <w:t xml:space="preserve">nozīmē, ka rīcības sēžu lēmumi, kuros tiek atteikta kasācijas tiesvedības ierosināšana, pēc savas būtības nav vērsti uz to, lai kasācijas instances tiesa sniegtu pilnvērtīgu tiesību normu piemērošanas skaidrojumu. Šādu lēmumu uzdevums ir tikai norādīt, kāpēc kasācijas tiesvedības ierosināšanai nav pamata, un šāds lēmums ir atkarīgs no kasācijas sūdzības satura (tostarp – juridiskās argumentācijas kvalitātes) kontekstā ar tajā aktualizēto tiesību </w:t>
      </w:r>
      <w:r w:rsidR="009449E4">
        <w:rPr>
          <w:rFonts w:asciiTheme="majorBidi" w:hAnsiTheme="majorBidi" w:cstheme="majorBidi"/>
        </w:rPr>
        <w:t xml:space="preserve">normu </w:t>
      </w:r>
      <w:r w:rsidR="004643A2">
        <w:rPr>
          <w:rFonts w:asciiTheme="majorBidi" w:hAnsiTheme="majorBidi" w:cstheme="majorBidi"/>
        </w:rPr>
        <w:t xml:space="preserve">piemērošanas jautājumu nozīmīgumu. </w:t>
      </w:r>
    </w:p>
    <w:p w14:paraId="4DCDBCCE" w14:textId="2DA05968" w:rsidR="00917CEE" w:rsidRDefault="00917CEE" w:rsidP="00DB34DE">
      <w:pPr>
        <w:spacing w:line="276" w:lineRule="auto"/>
        <w:ind w:firstLine="720"/>
        <w:jc w:val="both"/>
        <w:rPr>
          <w:rFonts w:asciiTheme="majorBidi" w:hAnsiTheme="majorBidi" w:cstheme="majorBidi"/>
        </w:rPr>
      </w:pPr>
      <w:r>
        <w:rPr>
          <w:rFonts w:asciiTheme="majorBidi" w:hAnsiTheme="majorBidi" w:cstheme="majorBidi"/>
        </w:rPr>
        <w:t xml:space="preserve">Apgabaltiesas spriedumā minētajā Senāta rīcības sēdes lēmumā lietā Nr. SKA-748/2022 secinājums par noteikumu Nr. 16 nepiemērojamību ir ietverts kā apgabaltiesas sprieduma argumentācijas atreferējums. Savukārt tālāk senatoru kolēģija ir vērtējusi pieteicējas kasācijas sūdzībā ietverto argumentāciju par īslaicīga trokšņu robežlieluma pārsnieguma ietekmi uz cilvēka veselību, un atzinusi, ka šis arguments ir vērsts uz pierādījumu pārvērtēšanu (sk. </w:t>
      </w:r>
      <w:r w:rsidRPr="003C493B">
        <w:rPr>
          <w:rFonts w:asciiTheme="majorBidi" w:hAnsiTheme="majorBidi" w:cstheme="majorBidi"/>
          <w:i/>
          <w:iCs/>
        </w:rPr>
        <w:t>minētā Senāta lēmuma 5.punktu</w:t>
      </w:r>
      <w:r>
        <w:rPr>
          <w:rFonts w:asciiTheme="majorBidi" w:hAnsiTheme="majorBidi" w:cstheme="majorBidi"/>
        </w:rPr>
        <w:t xml:space="preserve">). Senatoru kolēģija nav patstāvīgi analizējusi tiesību normas un skaidrojusi to interpretāciju un piemērošanu. Līdz ar to </w:t>
      </w:r>
      <w:r w:rsidR="009449E4">
        <w:rPr>
          <w:rFonts w:asciiTheme="majorBidi" w:hAnsiTheme="majorBidi" w:cstheme="majorBidi"/>
        </w:rPr>
        <w:t xml:space="preserve">šajā gadījumā </w:t>
      </w:r>
      <w:r>
        <w:rPr>
          <w:rFonts w:asciiTheme="majorBidi" w:hAnsiTheme="majorBidi" w:cstheme="majorBidi"/>
        </w:rPr>
        <w:t>atsaukšanās uz Senāta atziņām kā tiesību avotu, arī ievērojot konkrētā rīcības sēdes lēmuma tvērumu, ir nepamatota.</w:t>
      </w:r>
    </w:p>
    <w:p w14:paraId="62DA112B" w14:textId="2C0FFF28" w:rsidR="0086152E" w:rsidRDefault="0086152E" w:rsidP="00DB34DE">
      <w:pPr>
        <w:spacing w:line="276" w:lineRule="auto"/>
        <w:ind w:firstLine="720"/>
        <w:jc w:val="both"/>
        <w:rPr>
          <w:rFonts w:asciiTheme="majorBidi" w:hAnsiTheme="majorBidi" w:cstheme="majorBidi"/>
        </w:rPr>
      </w:pPr>
      <w:r>
        <w:rPr>
          <w:rFonts w:asciiTheme="majorBidi" w:hAnsiTheme="majorBidi" w:cstheme="majorBidi"/>
        </w:rPr>
        <w:t>Tālāk Senāts konstatē, ka a</w:t>
      </w:r>
      <w:r w:rsidR="00917CEE">
        <w:rPr>
          <w:rFonts w:asciiTheme="majorBidi" w:hAnsiTheme="majorBidi" w:cstheme="majorBidi"/>
        </w:rPr>
        <w:t xml:space="preserve">pgabaltiesa ir pievienojusies rajona tiesas argumentam, ka, ievērojot Senāta </w:t>
      </w:r>
      <w:r w:rsidR="00917CEE" w:rsidRPr="00917CEE">
        <w:rPr>
          <w:rFonts w:asciiTheme="majorBidi" w:hAnsiTheme="majorBidi" w:cstheme="majorBidi"/>
        </w:rPr>
        <w:t>2023.gada 25.jūlija spriedum</w:t>
      </w:r>
      <w:r w:rsidR="00917CEE">
        <w:rPr>
          <w:rFonts w:asciiTheme="majorBidi" w:hAnsiTheme="majorBidi" w:cstheme="majorBidi"/>
        </w:rPr>
        <w:t>ā lietā</w:t>
      </w:r>
      <w:r w:rsidR="00917CEE" w:rsidRPr="00917CEE">
        <w:rPr>
          <w:rFonts w:asciiTheme="majorBidi" w:hAnsiTheme="majorBidi" w:cstheme="majorBidi"/>
        </w:rPr>
        <w:t xml:space="preserve"> Nr.</w:t>
      </w:r>
      <w:r w:rsidR="00917CEE">
        <w:rPr>
          <w:rFonts w:asciiTheme="majorBidi" w:hAnsiTheme="majorBidi" w:cstheme="majorBidi"/>
        </w:rPr>
        <w:t> </w:t>
      </w:r>
      <w:r w:rsidR="00917CEE" w:rsidRPr="00917CEE">
        <w:rPr>
          <w:rFonts w:asciiTheme="majorBidi" w:hAnsiTheme="majorBidi" w:cstheme="majorBidi"/>
        </w:rPr>
        <w:t>SKA-93/20</w:t>
      </w:r>
      <w:r w:rsidR="003A661F">
        <w:rPr>
          <w:rFonts w:asciiTheme="majorBidi" w:hAnsiTheme="majorBidi" w:cstheme="majorBidi"/>
        </w:rPr>
        <w:t>2</w:t>
      </w:r>
      <w:r w:rsidR="00917CEE" w:rsidRPr="00917CEE">
        <w:rPr>
          <w:rFonts w:asciiTheme="majorBidi" w:hAnsiTheme="majorBidi" w:cstheme="majorBidi"/>
        </w:rPr>
        <w:t>3,</w:t>
      </w:r>
      <w:r w:rsidR="00917CEE">
        <w:rPr>
          <w:rFonts w:asciiTheme="majorBidi" w:hAnsiTheme="majorBidi" w:cstheme="majorBidi"/>
        </w:rPr>
        <w:t xml:space="preserve"> </w:t>
      </w:r>
      <w:hyperlink r:id="rId11" w:history="1">
        <w:r w:rsidR="00917CEE" w:rsidRPr="00366C9C">
          <w:rPr>
            <w:rStyle w:val="Hyperlink"/>
            <w:rFonts w:asciiTheme="majorBidi" w:hAnsiTheme="majorBidi" w:cstheme="majorBidi"/>
          </w:rPr>
          <w:t>ECLI:LV:AT:2023:0725.A420299318.22.S</w:t>
        </w:r>
      </w:hyperlink>
      <w:r w:rsidR="00917CEE">
        <w:rPr>
          <w:rFonts w:asciiTheme="majorBidi" w:hAnsiTheme="majorBidi" w:cstheme="majorBidi"/>
        </w:rPr>
        <w:t>, norādīt</w:t>
      </w:r>
      <w:r w:rsidR="00917CEE" w:rsidRPr="00917CEE">
        <w:rPr>
          <w:rFonts w:asciiTheme="majorBidi" w:hAnsiTheme="majorBidi" w:cstheme="majorBidi"/>
        </w:rPr>
        <w:t xml:space="preserve">o, izvērtējot </w:t>
      </w:r>
      <w:r w:rsidR="00C94E2F">
        <w:rPr>
          <w:rFonts w:asciiTheme="majorBidi" w:hAnsiTheme="majorBidi" w:cstheme="majorBidi"/>
        </w:rPr>
        <w:t>a</w:t>
      </w:r>
      <w:r w:rsidR="00917CEE" w:rsidRPr="00917CEE">
        <w:rPr>
          <w:rFonts w:asciiTheme="majorBidi" w:hAnsiTheme="majorBidi" w:cstheme="majorBidi"/>
        </w:rPr>
        <w:t xml:space="preserve">tļaujas tiesiskumu, ir jāvadās no </w:t>
      </w:r>
      <w:r w:rsidR="00917CEE">
        <w:rPr>
          <w:rFonts w:asciiTheme="majorBidi" w:hAnsiTheme="majorBidi" w:cstheme="majorBidi"/>
        </w:rPr>
        <w:t>n</w:t>
      </w:r>
      <w:r w:rsidR="00917CEE" w:rsidRPr="00917CEE">
        <w:rPr>
          <w:rFonts w:asciiTheme="majorBidi" w:hAnsiTheme="majorBidi" w:cstheme="majorBidi"/>
        </w:rPr>
        <w:t>oteikumos</w:t>
      </w:r>
      <w:r w:rsidR="00917CEE">
        <w:rPr>
          <w:rFonts w:asciiTheme="majorBidi" w:hAnsiTheme="majorBidi" w:cstheme="majorBidi"/>
        </w:rPr>
        <w:t xml:space="preserve"> Nr.</w:t>
      </w:r>
      <w:r w:rsidR="008951D9">
        <w:rPr>
          <w:rFonts w:asciiTheme="majorBidi" w:hAnsiTheme="majorBidi" w:cstheme="majorBidi"/>
        </w:rPr>
        <w:t> </w:t>
      </w:r>
      <w:r w:rsidR="00917CEE">
        <w:rPr>
          <w:rFonts w:asciiTheme="majorBidi" w:hAnsiTheme="majorBidi" w:cstheme="majorBidi"/>
        </w:rPr>
        <w:t>16</w:t>
      </w:r>
      <w:r w:rsidR="00917CEE" w:rsidRPr="00917CEE">
        <w:rPr>
          <w:rFonts w:asciiTheme="majorBidi" w:hAnsiTheme="majorBidi" w:cstheme="majorBidi"/>
        </w:rPr>
        <w:t xml:space="preserve"> </w:t>
      </w:r>
      <w:r w:rsidR="00917CEE">
        <w:rPr>
          <w:rFonts w:asciiTheme="majorBidi" w:hAnsiTheme="majorBidi" w:cstheme="majorBidi"/>
        </w:rPr>
        <w:t xml:space="preserve">noteiktajiem </w:t>
      </w:r>
      <w:r w:rsidR="00917CEE" w:rsidRPr="00917CEE">
        <w:rPr>
          <w:rFonts w:asciiTheme="majorBidi" w:hAnsiTheme="majorBidi" w:cstheme="majorBidi"/>
        </w:rPr>
        <w:t>vispārīgajiem trokšņa robežlielumiem, lai novērtētu kartodroma</w:t>
      </w:r>
      <w:r w:rsidR="00917CEE">
        <w:rPr>
          <w:rFonts w:asciiTheme="majorBidi" w:hAnsiTheme="majorBidi" w:cstheme="majorBidi"/>
        </w:rPr>
        <w:t xml:space="preserve"> </w:t>
      </w:r>
      <w:r w:rsidR="00917CEE" w:rsidRPr="00917CEE">
        <w:rPr>
          <w:rFonts w:asciiTheme="majorBidi" w:hAnsiTheme="majorBidi" w:cstheme="majorBidi"/>
        </w:rPr>
        <w:t>trases radīto troksni un tā ietekmi uz apkārt esošo privātmāju iedzīvotājiem</w:t>
      </w:r>
      <w:r w:rsidR="00917CEE">
        <w:rPr>
          <w:rFonts w:asciiTheme="majorBidi" w:hAnsiTheme="majorBidi" w:cstheme="majorBidi"/>
        </w:rPr>
        <w:t xml:space="preserve"> </w:t>
      </w:r>
      <w:r w:rsidR="00917CEE" w:rsidRPr="00917CEE">
        <w:rPr>
          <w:rFonts w:asciiTheme="majorBidi" w:hAnsiTheme="majorBidi" w:cstheme="majorBidi"/>
        </w:rPr>
        <w:t>sacensību norises laikā</w:t>
      </w:r>
      <w:r>
        <w:rPr>
          <w:rFonts w:asciiTheme="majorBidi" w:hAnsiTheme="majorBidi" w:cstheme="majorBidi"/>
        </w:rPr>
        <w:t xml:space="preserve"> (</w:t>
      </w:r>
      <w:r w:rsidRPr="0086152E">
        <w:rPr>
          <w:rFonts w:asciiTheme="majorBidi" w:hAnsiTheme="majorBidi" w:cstheme="majorBidi"/>
          <w:i/>
          <w:iCs/>
        </w:rPr>
        <w:t>apgabaltiesas sprieduma 3.2. un 8.punkts</w:t>
      </w:r>
      <w:r>
        <w:rPr>
          <w:rFonts w:asciiTheme="majorBidi" w:hAnsiTheme="majorBidi" w:cstheme="majorBidi"/>
        </w:rPr>
        <w:t>)</w:t>
      </w:r>
      <w:r w:rsidR="00917CEE" w:rsidRPr="00917CEE">
        <w:rPr>
          <w:rFonts w:asciiTheme="majorBidi" w:hAnsiTheme="majorBidi" w:cstheme="majorBidi"/>
        </w:rPr>
        <w:t>.</w:t>
      </w:r>
      <w:r>
        <w:rPr>
          <w:rFonts w:asciiTheme="majorBidi" w:hAnsiTheme="majorBidi" w:cstheme="majorBidi"/>
        </w:rPr>
        <w:t xml:space="preserve"> </w:t>
      </w:r>
    </w:p>
    <w:p w14:paraId="374C0CA1" w14:textId="795A18DA" w:rsidR="00917CEE" w:rsidRDefault="0086152E" w:rsidP="00DB34DE">
      <w:pPr>
        <w:spacing w:line="276" w:lineRule="auto"/>
        <w:ind w:firstLine="720"/>
        <w:jc w:val="both"/>
        <w:rPr>
          <w:rFonts w:asciiTheme="majorBidi" w:hAnsiTheme="majorBidi" w:cstheme="majorBidi"/>
        </w:rPr>
      </w:pPr>
      <w:r>
        <w:rPr>
          <w:rFonts w:asciiTheme="majorBidi" w:hAnsiTheme="majorBidi" w:cstheme="majorBidi"/>
        </w:rPr>
        <w:t xml:space="preserve">Minētajā Senāta spriedumā pēc tiesiskā regulējuma un Satversmes </w:t>
      </w:r>
      <w:r w:rsidR="009449E4">
        <w:rPr>
          <w:rFonts w:asciiTheme="majorBidi" w:hAnsiTheme="majorBidi" w:cstheme="majorBidi"/>
        </w:rPr>
        <w:t xml:space="preserve">tiesas </w:t>
      </w:r>
      <w:r>
        <w:rPr>
          <w:rFonts w:asciiTheme="majorBidi" w:hAnsiTheme="majorBidi" w:cstheme="majorBidi"/>
        </w:rPr>
        <w:t>sprieduma lietā Nr. </w:t>
      </w:r>
      <w:r w:rsidRPr="0086152E">
        <w:rPr>
          <w:rFonts w:asciiTheme="majorBidi" w:hAnsiTheme="majorBidi" w:cstheme="majorBidi"/>
        </w:rPr>
        <w:t>2017-02-03</w:t>
      </w:r>
      <w:r>
        <w:rPr>
          <w:rFonts w:asciiTheme="majorBidi" w:hAnsiTheme="majorBidi" w:cstheme="majorBidi"/>
        </w:rPr>
        <w:t xml:space="preserve"> analīzes bija atzīts, ka </w:t>
      </w:r>
      <w:r w:rsidRPr="0086152E">
        <w:rPr>
          <w:rFonts w:asciiTheme="majorBidi" w:hAnsiTheme="majorBidi" w:cstheme="majorBidi"/>
        </w:rPr>
        <w:t>ne sacensību laikā, ne pārējā kartodroma trases darbības laikā uz to nebija attiecināms izņēmums no noteikumu</w:t>
      </w:r>
      <w:r>
        <w:rPr>
          <w:rFonts w:asciiTheme="majorBidi" w:hAnsiTheme="majorBidi" w:cstheme="majorBidi"/>
        </w:rPr>
        <w:t xml:space="preserve"> </w:t>
      </w:r>
      <w:r w:rsidRPr="0086152E">
        <w:rPr>
          <w:rFonts w:asciiTheme="majorBidi" w:hAnsiTheme="majorBidi" w:cstheme="majorBidi"/>
        </w:rPr>
        <w:t>Nr.</w:t>
      </w:r>
      <w:r>
        <w:rPr>
          <w:rFonts w:asciiTheme="majorBidi" w:hAnsiTheme="majorBidi" w:cstheme="majorBidi"/>
        </w:rPr>
        <w:t> </w:t>
      </w:r>
      <w:r w:rsidRPr="0086152E">
        <w:rPr>
          <w:rFonts w:asciiTheme="majorBidi" w:hAnsiTheme="majorBidi" w:cstheme="majorBidi"/>
        </w:rPr>
        <w:t xml:space="preserve">16 piemērošanas, kas ļautu neievērot trokšņa robežlielumus pašvaldības atļautos publiskos sporta pasākumos. Turklāt </w:t>
      </w:r>
      <w:r w:rsidR="009449E4">
        <w:rPr>
          <w:rFonts w:asciiTheme="majorBidi" w:hAnsiTheme="majorBidi" w:cstheme="majorBidi"/>
        </w:rPr>
        <w:t xml:space="preserve">spriedumā </w:t>
      </w:r>
      <w:r w:rsidRPr="0086152E">
        <w:rPr>
          <w:rFonts w:asciiTheme="majorBidi" w:hAnsiTheme="majorBidi" w:cstheme="majorBidi"/>
        </w:rPr>
        <w:t xml:space="preserve">bija </w:t>
      </w:r>
      <w:r w:rsidR="009449E4">
        <w:rPr>
          <w:rFonts w:asciiTheme="majorBidi" w:hAnsiTheme="majorBidi" w:cstheme="majorBidi"/>
        </w:rPr>
        <w:t xml:space="preserve">norādīts, ka </w:t>
      </w:r>
      <w:r w:rsidRPr="0086152E">
        <w:rPr>
          <w:rFonts w:asciiTheme="majorBidi" w:hAnsiTheme="majorBidi" w:cstheme="majorBidi"/>
        </w:rPr>
        <w:t>jāpiemēro vispārīgie</w:t>
      </w:r>
      <w:r>
        <w:rPr>
          <w:rFonts w:asciiTheme="majorBidi" w:hAnsiTheme="majorBidi" w:cstheme="majorBidi"/>
        </w:rPr>
        <w:t xml:space="preserve"> </w:t>
      </w:r>
      <w:r w:rsidRPr="0086152E">
        <w:rPr>
          <w:rFonts w:asciiTheme="majorBidi" w:hAnsiTheme="majorBidi" w:cstheme="majorBidi"/>
        </w:rPr>
        <w:t>trokšņa robežlielumi, nevis ar Satversmes tiesas spriedumu lietā Nr.</w:t>
      </w:r>
      <w:r>
        <w:rPr>
          <w:rFonts w:asciiTheme="majorBidi" w:hAnsiTheme="majorBidi" w:cstheme="majorBidi"/>
        </w:rPr>
        <w:t> </w:t>
      </w:r>
      <w:r w:rsidRPr="0086152E">
        <w:rPr>
          <w:rFonts w:asciiTheme="majorBidi" w:hAnsiTheme="majorBidi" w:cstheme="majorBidi"/>
        </w:rPr>
        <w:t>2017-02-03 par spēkā neesošu atzītais noteikumu Nr.</w:t>
      </w:r>
      <w:r>
        <w:rPr>
          <w:rFonts w:asciiTheme="majorBidi" w:hAnsiTheme="majorBidi" w:cstheme="majorBidi"/>
        </w:rPr>
        <w:t> </w:t>
      </w:r>
      <w:r w:rsidRPr="0086152E">
        <w:rPr>
          <w:rFonts w:asciiTheme="majorBidi" w:hAnsiTheme="majorBidi" w:cstheme="majorBidi"/>
        </w:rPr>
        <w:t>16 2.pielikuma 2.punkts.</w:t>
      </w:r>
      <w:r>
        <w:rPr>
          <w:rFonts w:asciiTheme="majorBidi" w:hAnsiTheme="majorBidi" w:cstheme="majorBidi"/>
        </w:rPr>
        <w:t xml:space="preserve"> Tātad Senāts spriedumā, uz kuru pati apgabaltiesa atsaukusies, ir skaidri norādījis ka noteikumi Nr. 16 ir piemērojami attiecībā uz kartodroma trasē notiekošiem publiskiem sporta pasākumiem.</w:t>
      </w:r>
    </w:p>
    <w:p w14:paraId="2920FE54" w14:textId="415E623A" w:rsidR="0086152E" w:rsidRDefault="0086152E" w:rsidP="00DB34DE">
      <w:pPr>
        <w:spacing w:line="276" w:lineRule="auto"/>
        <w:ind w:firstLine="720"/>
        <w:jc w:val="both"/>
        <w:rPr>
          <w:rFonts w:asciiTheme="majorBidi" w:hAnsiTheme="majorBidi" w:cstheme="majorBidi"/>
        </w:rPr>
      </w:pPr>
      <w:r>
        <w:rPr>
          <w:rFonts w:asciiTheme="majorBidi" w:hAnsiTheme="majorBidi" w:cstheme="majorBidi"/>
        </w:rPr>
        <w:t>Tātad apgabaltiesa ir vienlaikus norādījusi divus pretējus secinājumus par noteikumu Nr. 16 piemērojamību.</w:t>
      </w:r>
      <w:r w:rsidR="007D7D0D">
        <w:rPr>
          <w:rFonts w:asciiTheme="majorBidi" w:hAnsiTheme="majorBidi" w:cstheme="majorBidi"/>
        </w:rPr>
        <w:t xml:space="preserve"> Tas var radīt neskaidrību par to, vai un kādas tiesību normas apgabaltiesa ir piemērojusi.</w:t>
      </w:r>
    </w:p>
    <w:p w14:paraId="4B9DE171" w14:textId="77777777" w:rsidR="007D7D0D" w:rsidRDefault="007D7D0D" w:rsidP="00DB34DE">
      <w:pPr>
        <w:spacing w:line="276" w:lineRule="auto"/>
        <w:ind w:firstLine="720"/>
        <w:jc w:val="both"/>
        <w:rPr>
          <w:rFonts w:asciiTheme="majorBidi" w:hAnsiTheme="majorBidi" w:cstheme="majorBidi"/>
        </w:rPr>
      </w:pPr>
    </w:p>
    <w:p w14:paraId="69A142C4" w14:textId="437C77AB" w:rsidR="00755E78" w:rsidRDefault="007D7D0D"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w:t>
      </w:r>
      <w:r w:rsidR="00DE6466">
        <w:rPr>
          <w:rFonts w:asciiTheme="majorBidi" w:hAnsiTheme="majorBidi" w:cstheme="majorBidi"/>
        </w:rPr>
        <w:t>2</w:t>
      </w:r>
      <w:r>
        <w:rPr>
          <w:rFonts w:asciiTheme="majorBidi" w:hAnsiTheme="majorBidi" w:cstheme="majorBidi"/>
        </w:rPr>
        <w:t xml:space="preserve">] </w:t>
      </w:r>
      <w:r w:rsidR="0086152E">
        <w:rPr>
          <w:rFonts w:asciiTheme="majorBidi" w:hAnsiTheme="majorBidi" w:cstheme="majorBidi"/>
        </w:rPr>
        <w:t>No tālākās apgabaltiesas argumentācijas saprotams tiesas uzskats, ka</w:t>
      </w:r>
      <w:r>
        <w:rPr>
          <w:rFonts w:asciiTheme="majorBidi" w:hAnsiTheme="majorBidi" w:cstheme="majorBidi"/>
        </w:rPr>
        <w:t xml:space="preserve"> atļauja sacensību rīkošanai var tik izsniegta arī tad, ja tiek pārsniegti</w:t>
      </w:r>
      <w:r w:rsidR="0086152E">
        <w:rPr>
          <w:rFonts w:asciiTheme="majorBidi" w:hAnsiTheme="majorBidi" w:cstheme="majorBidi"/>
        </w:rPr>
        <w:t xml:space="preserve"> noteikum</w:t>
      </w:r>
      <w:r>
        <w:rPr>
          <w:rFonts w:asciiTheme="majorBidi" w:hAnsiTheme="majorBidi" w:cstheme="majorBidi"/>
        </w:rPr>
        <w:t>os</w:t>
      </w:r>
      <w:r w:rsidR="0086152E">
        <w:rPr>
          <w:rFonts w:asciiTheme="majorBidi" w:hAnsiTheme="majorBidi" w:cstheme="majorBidi"/>
        </w:rPr>
        <w:t xml:space="preserve"> Nr. 16 </w:t>
      </w:r>
      <w:r>
        <w:rPr>
          <w:rFonts w:asciiTheme="majorBidi" w:hAnsiTheme="majorBidi" w:cstheme="majorBidi"/>
        </w:rPr>
        <w:t xml:space="preserve">paredzētie trokšņa robežlielumi. Kā hipotētisks pamats atļaujas neizsniegšanai tiek minēts tas, ka trokšņa ietekme </w:t>
      </w:r>
      <w:r w:rsidRPr="007D7D0D">
        <w:rPr>
          <w:rFonts w:asciiTheme="majorBidi" w:hAnsiTheme="majorBidi" w:cstheme="majorBidi"/>
        </w:rPr>
        <w:t>ievērojami pasliktin</w:t>
      </w:r>
      <w:r>
        <w:rPr>
          <w:rFonts w:asciiTheme="majorBidi" w:hAnsiTheme="majorBidi" w:cstheme="majorBidi"/>
        </w:rPr>
        <w:t>ātu</w:t>
      </w:r>
      <w:r w:rsidRPr="007D7D0D">
        <w:rPr>
          <w:rFonts w:asciiTheme="majorBidi" w:hAnsiTheme="majorBidi" w:cstheme="majorBidi"/>
        </w:rPr>
        <w:t xml:space="preserve"> pieteicēju veselību</w:t>
      </w:r>
      <w:r w:rsidR="008C3D15">
        <w:rPr>
          <w:rFonts w:asciiTheme="majorBidi" w:hAnsiTheme="majorBidi" w:cstheme="majorBidi"/>
        </w:rPr>
        <w:t>;</w:t>
      </w:r>
      <w:r>
        <w:rPr>
          <w:rFonts w:asciiTheme="majorBidi" w:hAnsiTheme="majorBidi" w:cstheme="majorBidi"/>
        </w:rPr>
        <w:t xml:space="preserve"> </w:t>
      </w:r>
      <w:r w:rsidR="008C3D15">
        <w:rPr>
          <w:rFonts w:asciiTheme="majorBidi" w:hAnsiTheme="majorBidi" w:cstheme="majorBidi"/>
        </w:rPr>
        <w:t>tas, ka</w:t>
      </w:r>
      <w:r>
        <w:rPr>
          <w:rFonts w:asciiTheme="majorBidi" w:hAnsiTheme="majorBidi" w:cstheme="majorBidi"/>
        </w:rPr>
        <w:t xml:space="preserve"> viņi </w:t>
      </w:r>
      <w:r w:rsidRPr="007D7D0D">
        <w:rPr>
          <w:rFonts w:asciiTheme="majorBidi" w:hAnsiTheme="majorBidi" w:cstheme="majorBidi"/>
        </w:rPr>
        <w:t>ilgstoši tiktu pakļauti tādam vides piesārņojumam trokšņa veidā, kas</w:t>
      </w:r>
      <w:r>
        <w:rPr>
          <w:rFonts w:asciiTheme="majorBidi" w:hAnsiTheme="majorBidi" w:cstheme="majorBidi"/>
        </w:rPr>
        <w:t xml:space="preserve"> </w:t>
      </w:r>
      <w:r w:rsidRPr="007D7D0D">
        <w:rPr>
          <w:rFonts w:asciiTheme="majorBidi" w:hAnsiTheme="majorBidi" w:cstheme="majorBidi"/>
        </w:rPr>
        <w:t>būtiski aizskartu pamattiesības</w:t>
      </w:r>
      <w:r>
        <w:rPr>
          <w:rFonts w:asciiTheme="majorBidi" w:hAnsiTheme="majorBidi" w:cstheme="majorBidi"/>
        </w:rPr>
        <w:t xml:space="preserve">, un par šādu </w:t>
      </w:r>
      <w:r w:rsidRPr="007D7D0D">
        <w:rPr>
          <w:rFonts w:asciiTheme="majorBidi" w:hAnsiTheme="majorBidi" w:cstheme="majorBidi"/>
        </w:rPr>
        <w:t>būtisku aizskārumu pieteicēju</w:t>
      </w:r>
      <w:r>
        <w:rPr>
          <w:rFonts w:asciiTheme="majorBidi" w:hAnsiTheme="majorBidi" w:cstheme="majorBidi"/>
        </w:rPr>
        <w:t xml:space="preserve"> </w:t>
      </w:r>
      <w:r w:rsidRPr="007D7D0D">
        <w:rPr>
          <w:rFonts w:asciiTheme="majorBidi" w:hAnsiTheme="majorBidi" w:cstheme="majorBidi"/>
        </w:rPr>
        <w:t>pamattiesībām varētu liecināt tikai pietiekami regulāri trokšņa robežlielumu</w:t>
      </w:r>
      <w:r>
        <w:rPr>
          <w:rFonts w:asciiTheme="majorBidi" w:hAnsiTheme="majorBidi" w:cstheme="majorBidi"/>
        </w:rPr>
        <w:t xml:space="preserve"> </w:t>
      </w:r>
      <w:r w:rsidRPr="007D7D0D">
        <w:rPr>
          <w:rFonts w:asciiTheme="majorBidi" w:hAnsiTheme="majorBidi" w:cstheme="majorBidi"/>
        </w:rPr>
        <w:t>pārsniegumi viņu dzīvojamās telpās un guļamtelpās, kas būtu saistīti tieši ar trases</w:t>
      </w:r>
      <w:r>
        <w:rPr>
          <w:rFonts w:asciiTheme="majorBidi" w:hAnsiTheme="majorBidi" w:cstheme="majorBidi"/>
        </w:rPr>
        <w:t xml:space="preserve"> </w:t>
      </w:r>
      <w:r w:rsidRPr="007D7D0D">
        <w:rPr>
          <w:rFonts w:asciiTheme="majorBidi" w:hAnsiTheme="majorBidi" w:cstheme="majorBidi"/>
        </w:rPr>
        <w:t>ikdienas darbību, nevis atsevišķiem, neregulāriem publiskiem pasākumiem</w:t>
      </w:r>
      <w:r>
        <w:rPr>
          <w:rFonts w:asciiTheme="majorBidi" w:hAnsiTheme="majorBidi" w:cstheme="majorBidi"/>
        </w:rPr>
        <w:t xml:space="preserve"> (</w:t>
      </w:r>
      <w:r w:rsidRPr="007D7D0D">
        <w:rPr>
          <w:rFonts w:asciiTheme="majorBidi" w:hAnsiTheme="majorBidi" w:cstheme="majorBidi"/>
          <w:i/>
          <w:iCs/>
        </w:rPr>
        <w:t>apgabaltiesas sprieduma 3.3., 3.5. un 8.punkts</w:t>
      </w:r>
      <w:r>
        <w:rPr>
          <w:rFonts w:asciiTheme="majorBidi" w:hAnsiTheme="majorBidi" w:cstheme="majorBidi"/>
        </w:rPr>
        <w:t xml:space="preserve">). </w:t>
      </w:r>
    </w:p>
    <w:p w14:paraId="115AEE50" w14:textId="2E960E06" w:rsidR="007D7D0D" w:rsidRDefault="008C3D15" w:rsidP="00DB34DE">
      <w:pPr>
        <w:spacing w:line="276" w:lineRule="auto"/>
        <w:ind w:firstLine="720"/>
        <w:jc w:val="both"/>
        <w:rPr>
          <w:rFonts w:asciiTheme="majorBidi" w:hAnsiTheme="majorBidi" w:cstheme="majorBidi"/>
        </w:rPr>
      </w:pPr>
      <w:r>
        <w:rPr>
          <w:rFonts w:asciiTheme="majorBidi" w:hAnsiTheme="majorBidi" w:cstheme="majorBidi"/>
        </w:rPr>
        <w:t xml:space="preserve">Acīmredzot apgabaltiesa noteikumu Nr. 16 norādītos trokšņa robežlielumus ir piemērojusi, ņemot vērā Publisku pasākumu likuma 7.panta piektās daļas 4.punktā minēto pamatu pasākuma rīkošanas atļaujas neizsniegšanai – ja </w:t>
      </w:r>
      <w:r w:rsidRPr="008C3D15">
        <w:rPr>
          <w:rFonts w:asciiTheme="majorBidi" w:hAnsiTheme="majorBidi" w:cstheme="majorBidi"/>
        </w:rPr>
        <w:t>pasākuma organizēšana konkrētajā vietā vai laikā radīs būtisku cilvēku dzīvības un veselības apdraudējumu</w:t>
      </w:r>
      <w:r>
        <w:rPr>
          <w:rFonts w:asciiTheme="majorBidi" w:hAnsiTheme="majorBidi" w:cstheme="majorBidi"/>
        </w:rPr>
        <w:t>.</w:t>
      </w:r>
      <w:r w:rsidR="00EF683D">
        <w:rPr>
          <w:rFonts w:asciiTheme="majorBidi" w:hAnsiTheme="majorBidi" w:cstheme="majorBidi"/>
        </w:rPr>
        <w:t xml:space="preserve"> Pieteicēj</w:t>
      </w:r>
      <w:r w:rsidR="009449E4">
        <w:rPr>
          <w:rFonts w:asciiTheme="majorBidi" w:hAnsiTheme="majorBidi" w:cstheme="majorBidi"/>
        </w:rPr>
        <w:t>i</w:t>
      </w:r>
      <w:r w:rsidR="00EF683D">
        <w:rPr>
          <w:rFonts w:asciiTheme="majorBidi" w:hAnsiTheme="majorBidi" w:cstheme="majorBidi"/>
        </w:rPr>
        <w:t xml:space="preserve"> turpretim šīs lietas gaitā ar dažādiem pierādījumiem cenšas pierādīt jebkuru trokšņa robežlielumu pārsniegumu, kā arī uzsver jebkura </w:t>
      </w:r>
      <w:r w:rsidR="008371ED">
        <w:rPr>
          <w:rFonts w:asciiTheme="majorBidi" w:hAnsiTheme="majorBidi" w:cstheme="majorBidi"/>
        </w:rPr>
        <w:t xml:space="preserve">šāda </w:t>
      </w:r>
      <w:r w:rsidR="00EF683D">
        <w:rPr>
          <w:rFonts w:asciiTheme="majorBidi" w:hAnsiTheme="majorBidi" w:cstheme="majorBidi"/>
        </w:rPr>
        <w:t xml:space="preserve">pārsnieguma </w:t>
      </w:r>
      <w:r w:rsidR="008371ED">
        <w:rPr>
          <w:rFonts w:asciiTheme="majorBidi" w:hAnsiTheme="majorBidi" w:cstheme="majorBidi"/>
        </w:rPr>
        <w:t xml:space="preserve">negatīvo </w:t>
      </w:r>
      <w:r w:rsidR="00EF683D">
        <w:rPr>
          <w:rFonts w:asciiTheme="majorBidi" w:hAnsiTheme="majorBidi" w:cstheme="majorBidi"/>
        </w:rPr>
        <w:t>ietekmi uz cilvēku veselību.</w:t>
      </w:r>
    </w:p>
    <w:p w14:paraId="63C927B7" w14:textId="4F80703E" w:rsidR="00EF683D" w:rsidRDefault="00EF683D" w:rsidP="00DB34DE">
      <w:pPr>
        <w:spacing w:line="276" w:lineRule="auto"/>
        <w:ind w:firstLine="720"/>
        <w:jc w:val="both"/>
        <w:rPr>
          <w:rFonts w:asciiTheme="majorBidi" w:hAnsiTheme="majorBidi" w:cstheme="majorBidi"/>
        </w:rPr>
      </w:pPr>
      <w:r>
        <w:rPr>
          <w:rFonts w:asciiTheme="majorBidi" w:hAnsiTheme="majorBidi" w:cstheme="majorBidi"/>
        </w:rPr>
        <w:t>Līdz ar to lietā ir pārbaudāma šāda tiesību normu piemērošanas pareizība.</w:t>
      </w:r>
    </w:p>
    <w:p w14:paraId="4C23D256" w14:textId="77777777" w:rsidR="00EF683D" w:rsidRDefault="00EF683D" w:rsidP="00DB34DE">
      <w:pPr>
        <w:spacing w:line="276" w:lineRule="auto"/>
        <w:ind w:firstLine="720"/>
        <w:jc w:val="both"/>
        <w:rPr>
          <w:rFonts w:asciiTheme="majorBidi" w:hAnsiTheme="majorBidi" w:cstheme="majorBidi"/>
        </w:rPr>
      </w:pPr>
    </w:p>
    <w:p w14:paraId="2BF255B4" w14:textId="56B63E8C" w:rsidR="00EF683D" w:rsidRDefault="00EF683D"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w:t>
      </w:r>
      <w:r w:rsidR="00DE6466">
        <w:rPr>
          <w:rFonts w:asciiTheme="majorBidi" w:hAnsiTheme="majorBidi" w:cstheme="majorBidi"/>
        </w:rPr>
        <w:t>3</w:t>
      </w:r>
      <w:r>
        <w:rPr>
          <w:rFonts w:asciiTheme="majorBidi" w:hAnsiTheme="majorBidi" w:cstheme="majorBidi"/>
        </w:rPr>
        <w:t xml:space="preserve">] </w:t>
      </w:r>
      <w:r w:rsidR="0090025F">
        <w:rPr>
          <w:rFonts w:asciiTheme="majorBidi" w:hAnsiTheme="majorBidi" w:cstheme="majorBidi"/>
        </w:rPr>
        <w:t>Likuma „Par piesārņojumu” 13.pantā ir definēti vides kvalitātes normatīvi – robežlielumi un mērķlielumi.</w:t>
      </w:r>
    </w:p>
    <w:p w14:paraId="10D0651C" w14:textId="254B5412" w:rsidR="0090025F" w:rsidRDefault="0090025F" w:rsidP="00DB34DE">
      <w:pPr>
        <w:spacing w:line="276" w:lineRule="auto"/>
        <w:ind w:firstLine="720"/>
        <w:jc w:val="both"/>
        <w:rPr>
          <w:rFonts w:asciiTheme="majorBidi" w:hAnsiTheme="majorBidi" w:cstheme="majorBidi"/>
        </w:rPr>
      </w:pPr>
      <w:r>
        <w:rPr>
          <w:rFonts w:asciiTheme="majorBidi" w:hAnsiTheme="majorBidi" w:cstheme="majorBidi"/>
        </w:rPr>
        <w:t xml:space="preserve">Atbilstoši 13.panta otrajai daļai robežlielums ir </w:t>
      </w:r>
      <w:r w:rsidRPr="0090025F">
        <w:rPr>
          <w:rFonts w:asciiTheme="majorBidi" w:hAnsiTheme="majorBidi" w:cstheme="majorBidi"/>
        </w:rPr>
        <w:t>saistošs jebkuram operatoram, kas veic vai ir paredzējis veikt piesārņojošu darbību, kuras izraisīta emisija var ietekmēt attiecīgo teritoriju</w:t>
      </w:r>
      <w:r>
        <w:rPr>
          <w:rFonts w:asciiTheme="majorBidi" w:hAnsiTheme="majorBidi" w:cstheme="majorBidi"/>
        </w:rPr>
        <w:t xml:space="preserve">. </w:t>
      </w:r>
    </w:p>
    <w:p w14:paraId="5E8A5185" w14:textId="4DA4DB6A" w:rsidR="00313ABF" w:rsidRDefault="00313ABF" w:rsidP="00DB34DE">
      <w:pPr>
        <w:spacing w:line="276" w:lineRule="auto"/>
        <w:ind w:firstLine="720"/>
        <w:jc w:val="both"/>
        <w:rPr>
          <w:rFonts w:asciiTheme="majorBidi" w:hAnsiTheme="majorBidi" w:cstheme="majorBidi"/>
        </w:rPr>
      </w:pPr>
      <w:r>
        <w:rPr>
          <w:rFonts w:asciiTheme="majorBidi" w:hAnsiTheme="majorBidi" w:cstheme="majorBidi"/>
        </w:rPr>
        <w:t xml:space="preserve">Robežlielumu saistošo raksturu var secināt arī no tā, ka </w:t>
      </w:r>
      <w:r w:rsidR="008F7AC4">
        <w:rPr>
          <w:rFonts w:asciiTheme="majorBidi" w:hAnsiTheme="majorBidi" w:cstheme="majorBidi"/>
        </w:rPr>
        <w:t>normatīvajos aktos noteiktajā kārtībā jau</w:t>
      </w:r>
      <w:r>
        <w:rPr>
          <w:rFonts w:asciiTheme="majorBidi" w:hAnsiTheme="majorBidi" w:cstheme="majorBidi"/>
        </w:rPr>
        <w:t xml:space="preserve"> izsniegtu atļauju gadījumā operatoram, kas darbojas attiecīgā teritorijā</w:t>
      </w:r>
      <w:r w:rsidR="008371ED">
        <w:rPr>
          <w:rFonts w:asciiTheme="majorBidi" w:hAnsiTheme="majorBidi" w:cstheme="majorBidi"/>
        </w:rPr>
        <w:t>,</w:t>
      </w:r>
      <w:r>
        <w:rPr>
          <w:rFonts w:asciiTheme="majorBidi" w:hAnsiTheme="majorBidi" w:cstheme="majorBidi"/>
        </w:rPr>
        <w:t xml:space="preserve"> ir jāveic pasākumi, </w:t>
      </w:r>
      <w:r w:rsidRPr="00313ABF">
        <w:rPr>
          <w:rFonts w:asciiTheme="majorBidi" w:hAnsiTheme="majorBidi" w:cstheme="majorBidi"/>
        </w:rPr>
        <w:t>kas nepieciešami, lai pakāpeniski samazinātu emisiju, kura var ietekmēt cilvēku veselību vai vidi attiecīgajā teritorijā</w:t>
      </w:r>
      <w:r>
        <w:rPr>
          <w:rFonts w:asciiTheme="majorBidi" w:hAnsiTheme="majorBidi" w:cstheme="majorBidi"/>
        </w:rPr>
        <w:t>; savukārt izmaiņas esošajā darbībā nav pieļaujamas, ja tās var radīt emisijas, kas palielina piesārņojuma daudzumu, bet atļauju pārskatīšanas gadījumā to nosacījumu ir jāmaina, lai ievērotu vides kvalitātes normatīvus</w:t>
      </w:r>
      <w:r w:rsidR="00D2529B">
        <w:rPr>
          <w:rFonts w:asciiTheme="majorBidi" w:hAnsiTheme="majorBidi" w:cstheme="majorBidi"/>
        </w:rPr>
        <w:t xml:space="preserve"> </w:t>
      </w:r>
      <w:r>
        <w:rPr>
          <w:rFonts w:asciiTheme="majorBidi" w:hAnsiTheme="majorBidi" w:cstheme="majorBidi"/>
        </w:rPr>
        <w:t>(</w:t>
      </w:r>
      <w:r w:rsidRPr="008F7AC4">
        <w:rPr>
          <w:rFonts w:asciiTheme="majorBidi" w:hAnsiTheme="majorBidi" w:cstheme="majorBidi"/>
          <w:i/>
          <w:iCs/>
        </w:rPr>
        <w:t>likuma 15.pants</w:t>
      </w:r>
      <w:r>
        <w:rPr>
          <w:rFonts w:asciiTheme="majorBidi" w:hAnsiTheme="majorBidi" w:cstheme="majorBidi"/>
        </w:rPr>
        <w:t>). Likuma 57.pants turklāt paredz administratīvo atbildību par vides trokšņa robežlielumu pārsniegšanu.</w:t>
      </w:r>
    </w:p>
    <w:p w14:paraId="625FF05A" w14:textId="2AEF8AEE" w:rsidR="00313ABF" w:rsidRDefault="00313ABF" w:rsidP="00DB34DE">
      <w:pPr>
        <w:spacing w:line="276" w:lineRule="auto"/>
        <w:ind w:firstLine="720"/>
        <w:jc w:val="both"/>
        <w:rPr>
          <w:rFonts w:asciiTheme="majorBidi" w:hAnsiTheme="majorBidi" w:cstheme="majorBidi"/>
        </w:rPr>
      </w:pPr>
      <w:r>
        <w:rPr>
          <w:rFonts w:asciiTheme="majorBidi" w:hAnsiTheme="majorBidi" w:cstheme="majorBidi"/>
        </w:rPr>
        <w:t xml:space="preserve">Tādējādi nav šaubu, ka robežlielumi ir saistoši, un atkāpes var pastāvēt tikai esošu </w:t>
      </w:r>
      <w:r w:rsidR="008F7AC4">
        <w:rPr>
          <w:rFonts w:asciiTheme="majorBidi" w:hAnsiTheme="majorBidi" w:cstheme="majorBidi"/>
        </w:rPr>
        <w:t xml:space="preserve">tiesiski izsniegtu </w:t>
      </w:r>
      <w:r>
        <w:rPr>
          <w:rFonts w:asciiTheme="majorBidi" w:hAnsiTheme="majorBidi" w:cstheme="majorBidi"/>
        </w:rPr>
        <w:t xml:space="preserve">atļauju gadījumos, un atļauju pārskatīšanas gadījumā </w:t>
      </w:r>
      <w:r w:rsidR="00073A4C">
        <w:rPr>
          <w:rFonts w:asciiTheme="majorBidi" w:hAnsiTheme="majorBidi" w:cstheme="majorBidi"/>
        </w:rPr>
        <w:t xml:space="preserve">ir jāpanāk </w:t>
      </w:r>
      <w:r w:rsidR="008F7AC4">
        <w:rPr>
          <w:rFonts w:asciiTheme="majorBidi" w:hAnsiTheme="majorBidi" w:cstheme="majorBidi"/>
        </w:rPr>
        <w:t>robežlielumu</w:t>
      </w:r>
      <w:r w:rsidR="00073A4C">
        <w:rPr>
          <w:rFonts w:asciiTheme="majorBidi" w:hAnsiTheme="majorBidi" w:cstheme="majorBidi"/>
        </w:rPr>
        <w:t xml:space="preserve"> ievērošana.</w:t>
      </w:r>
    </w:p>
    <w:p w14:paraId="73C242F6" w14:textId="77777777" w:rsidR="00313ABF" w:rsidRDefault="00313ABF" w:rsidP="00DB34DE">
      <w:pPr>
        <w:spacing w:line="276" w:lineRule="auto"/>
        <w:ind w:firstLine="720"/>
        <w:jc w:val="both"/>
        <w:rPr>
          <w:rFonts w:asciiTheme="majorBidi" w:hAnsiTheme="majorBidi" w:cstheme="majorBidi"/>
        </w:rPr>
      </w:pPr>
    </w:p>
    <w:p w14:paraId="74A14F83" w14:textId="61EE125B" w:rsidR="003037D0" w:rsidRDefault="00313ABF"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w:t>
      </w:r>
      <w:r w:rsidR="00DE6466">
        <w:rPr>
          <w:rFonts w:asciiTheme="majorBidi" w:hAnsiTheme="majorBidi" w:cstheme="majorBidi"/>
        </w:rPr>
        <w:t>4</w:t>
      </w:r>
      <w:r>
        <w:rPr>
          <w:rFonts w:asciiTheme="majorBidi" w:hAnsiTheme="majorBidi" w:cstheme="majorBidi"/>
        </w:rPr>
        <w:t>]</w:t>
      </w:r>
      <w:r w:rsidR="001244F3">
        <w:rPr>
          <w:rFonts w:asciiTheme="majorBidi" w:hAnsiTheme="majorBidi" w:cstheme="majorBidi"/>
        </w:rPr>
        <w:t xml:space="preserve"> </w:t>
      </w:r>
      <w:r w:rsidR="00073A4C">
        <w:rPr>
          <w:rFonts w:asciiTheme="majorBidi" w:hAnsiTheme="majorBidi" w:cstheme="majorBidi"/>
        </w:rPr>
        <w:t>Satversmes tiesa lietā Nr. 2017-02-03</w:t>
      </w:r>
      <w:r w:rsidR="00466969">
        <w:rPr>
          <w:rFonts w:asciiTheme="majorBidi" w:hAnsiTheme="majorBidi" w:cstheme="majorBidi"/>
        </w:rPr>
        <w:t xml:space="preserve"> </w:t>
      </w:r>
      <w:r w:rsidR="00FE347F">
        <w:rPr>
          <w:rFonts w:asciiTheme="majorBidi" w:hAnsiTheme="majorBidi" w:cstheme="majorBidi"/>
        </w:rPr>
        <w:t xml:space="preserve">vērtēja gan </w:t>
      </w:r>
      <w:r w:rsidR="001244F3">
        <w:rPr>
          <w:rFonts w:asciiTheme="majorBidi" w:hAnsiTheme="majorBidi" w:cstheme="majorBidi"/>
        </w:rPr>
        <w:t>n</w:t>
      </w:r>
      <w:r w:rsidR="001244F3" w:rsidRPr="001244F3">
        <w:rPr>
          <w:rFonts w:asciiTheme="majorBidi" w:hAnsiTheme="majorBidi" w:cstheme="majorBidi"/>
        </w:rPr>
        <w:t>oteikumus Nr.</w:t>
      </w:r>
      <w:r w:rsidR="001244F3">
        <w:rPr>
          <w:rFonts w:asciiTheme="majorBidi" w:hAnsiTheme="majorBidi" w:cstheme="majorBidi"/>
        </w:rPr>
        <w:t> </w:t>
      </w:r>
      <w:r w:rsidR="001244F3" w:rsidRPr="001244F3">
        <w:rPr>
          <w:rFonts w:asciiTheme="majorBidi" w:hAnsiTheme="majorBidi" w:cstheme="majorBidi"/>
        </w:rPr>
        <w:t>16</w:t>
      </w:r>
      <w:r w:rsidR="00FE347F">
        <w:rPr>
          <w:rFonts w:asciiTheme="majorBidi" w:hAnsiTheme="majorBidi" w:cstheme="majorBidi"/>
        </w:rPr>
        <w:t xml:space="preserve"> </w:t>
      </w:r>
      <w:r w:rsidR="001244F3" w:rsidRPr="001244F3">
        <w:rPr>
          <w:rFonts w:asciiTheme="majorBidi" w:hAnsiTheme="majorBidi" w:cstheme="majorBidi"/>
        </w:rPr>
        <w:t>2.pielikuma 2.punkt</w:t>
      </w:r>
      <w:r w:rsidR="001244F3">
        <w:rPr>
          <w:rFonts w:asciiTheme="majorBidi" w:hAnsiTheme="majorBidi" w:cstheme="majorBidi"/>
        </w:rPr>
        <w:t>u</w:t>
      </w:r>
      <w:r w:rsidR="00FE347F">
        <w:rPr>
          <w:rFonts w:asciiTheme="majorBidi" w:hAnsiTheme="majorBidi" w:cstheme="majorBidi"/>
        </w:rPr>
        <w:t xml:space="preserve"> ar </w:t>
      </w:r>
      <w:r w:rsidR="008F7AC4">
        <w:rPr>
          <w:rFonts w:asciiTheme="majorBidi" w:hAnsiTheme="majorBidi" w:cstheme="majorBidi"/>
        </w:rPr>
        <w:t>paaugstinātiem</w:t>
      </w:r>
      <w:r w:rsidR="00FE347F">
        <w:rPr>
          <w:rFonts w:asciiTheme="majorBidi" w:hAnsiTheme="majorBidi" w:cstheme="majorBidi"/>
        </w:rPr>
        <w:t xml:space="preserve"> v</w:t>
      </w:r>
      <w:r w:rsidR="00FE347F" w:rsidRPr="00FE347F">
        <w:rPr>
          <w:rFonts w:asciiTheme="majorBidi" w:hAnsiTheme="majorBidi" w:cstheme="majorBidi"/>
        </w:rPr>
        <w:t>ides trokšņa robežlielumi</w:t>
      </w:r>
      <w:r w:rsidR="00FE347F">
        <w:rPr>
          <w:rFonts w:asciiTheme="majorBidi" w:hAnsiTheme="majorBidi" w:cstheme="majorBidi"/>
        </w:rPr>
        <w:t>em</w:t>
      </w:r>
      <w:r w:rsidR="00FE347F" w:rsidRPr="00FE347F">
        <w:rPr>
          <w:rFonts w:asciiTheme="majorBidi" w:hAnsiTheme="majorBidi" w:cstheme="majorBidi"/>
        </w:rPr>
        <w:t xml:space="preserve"> ārpus telpām izvietotajām mototrasēm</w:t>
      </w:r>
      <w:r w:rsidR="00FE347F">
        <w:rPr>
          <w:rFonts w:asciiTheme="majorBidi" w:hAnsiTheme="majorBidi" w:cstheme="majorBidi"/>
        </w:rPr>
        <w:t>, gan 2.4.</w:t>
      </w:r>
      <w:r w:rsidR="008F7AC4">
        <w:rPr>
          <w:rFonts w:asciiTheme="majorBidi" w:hAnsiTheme="majorBidi" w:cstheme="majorBidi"/>
        </w:rPr>
        <w:t>apakš</w:t>
      </w:r>
      <w:r w:rsidR="00FE347F">
        <w:rPr>
          <w:rFonts w:asciiTheme="majorBidi" w:hAnsiTheme="majorBidi" w:cstheme="majorBidi"/>
        </w:rPr>
        <w:t xml:space="preserve">punktu, ciktāl tas ļauj neattiecināt noteikumus Nr. 16 </w:t>
      </w:r>
      <w:r w:rsidR="008F7AC4">
        <w:rPr>
          <w:rFonts w:asciiTheme="majorBidi" w:hAnsiTheme="majorBidi" w:cstheme="majorBidi"/>
        </w:rPr>
        <w:t xml:space="preserve">uz </w:t>
      </w:r>
      <w:r w:rsidR="008F7AC4" w:rsidRPr="008F7AC4">
        <w:rPr>
          <w:rFonts w:asciiTheme="majorBidi" w:hAnsiTheme="majorBidi" w:cstheme="majorBidi"/>
        </w:rPr>
        <w:t>publiskiem pasākumiem autosportā un motosportā, kas norisinās apdzīvotā vietā izvietotā atklātā autosporta un motosporta bāzē</w:t>
      </w:r>
      <w:r w:rsidR="00FE347F">
        <w:rPr>
          <w:rFonts w:asciiTheme="majorBidi" w:hAnsiTheme="majorBidi" w:cstheme="majorBidi"/>
        </w:rPr>
        <w:t xml:space="preserve">. </w:t>
      </w:r>
    </w:p>
    <w:p w14:paraId="26267AFB" w14:textId="565E314E" w:rsidR="00466969" w:rsidRDefault="00466969" w:rsidP="00DB34DE">
      <w:pPr>
        <w:spacing w:line="276" w:lineRule="auto"/>
        <w:ind w:firstLine="720"/>
        <w:jc w:val="both"/>
        <w:rPr>
          <w:rFonts w:asciiTheme="majorBidi" w:hAnsiTheme="majorBidi" w:cstheme="majorBidi"/>
        </w:rPr>
      </w:pPr>
      <w:r>
        <w:rPr>
          <w:rFonts w:asciiTheme="majorBidi" w:hAnsiTheme="majorBidi" w:cstheme="majorBidi"/>
        </w:rPr>
        <w:t xml:space="preserve">Vērtējot apstrīdēto noteikumu Nr. 16 atbilstību Satversmes 111. un 115.pantam, Satversmes tiesa secināja, ka ar </w:t>
      </w:r>
      <w:r w:rsidR="008371ED">
        <w:rPr>
          <w:rFonts w:asciiTheme="majorBidi" w:hAnsiTheme="majorBidi" w:cstheme="majorBidi"/>
        </w:rPr>
        <w:t xml:space="preserve">noteikumu Nr. 16 </w:t>
      </w:r>
      <w:r>
        <w:rPr>
          <w:rFonts w:asciiTheme="majorBidi" w:hAnsiTheme="majorBidi" w:cstheme="majorBidi"/>
        </w:rPr>
        <w:t xml:space="preserve">normām </w:t>
      </w:r>
      <w:r w:rsidRPr="00466969">
        <w:rPr>
          <w:rFonts w:asciiTheme="majorBidi" w:hAnsiTheme="majorBidi" w:cstheme="majorBidi"/>
        </w:rPr>
        <w:t xml:space="preserve">pieļautais troksnis ir ne tikai pietuvināts cilvēka veselībai kaitīgas sekas radošam troksnim, bet atsevišķos gadījumos pat lielāks par to un pārsniedz arī Pasaules Veselības organizācijas noteiktos trokšņa robežlielumus. </w:t>
      </w:r>
      <w:r>
        <w:rPr>
          <w:rFonts w:asciiTheme="majorBidi" w:hAnsiTheme="majorBidi" w:cstheme="majorBidi"/>
        </w:rPr>
        <w:t>A</w:t>
      </w:r>
      <w:r w:rsidRPr="00466969">
        <w:rPr>
          <w:rFonts w:asciiTheme="majorBidi" w:hAnsiTheme="majorBidi" w:cstheme="majorBidi"/>
        </w:rPr>
        <w:t xml:space="preserve">tbilstoši </w:t>
      </w:r>
      <w:r w:rsidR="008371ED">
        <w:rPr>
          <w:rFonts w:asciiTheme="majorBidi" w:hAnsiTheme="majorBidi" w:cstheme="majorBidi"/>
        </w:rPr>
        <w:t xml:space="preserve">Satversmes tiesas lietā </w:t>
      </w:r>
      <w:r w:rsidRPr="00466969">
        <w:rPr>
          <w:rFonts w:asciiTheme="majorBidi" w:hAnsiTheme="majorBidi" w:cstheme="majorBidi"/>
        </w:rPr>
        <w:t>apstrīdētajām normām trašu tuvumā dzīvojoša persona visas nedēļas garumā var tikt pakļauta tāda līmeņa troksnim, kas nelabvēlīgi ietekmē tās veselību</w:t>
      </w:r>
      <w:r>
        <w:rPr>
          <w:rFonts w:asciiTheme="majorBidi" w:hAnsiTheme="majorBidi" w:cstheme="majorBidi"/>
        </w:rPr>
        <w:t xml:space="preserve"> (</w:t>
      </w:r>
      <w:r w:rsidRPr="00466969">
        <w:rPr>
          <w:rFonts w:asciiTheme="majorBidi" w:hAnsiTheme="majorBidi" w:cstheme="majorBidi"/>
          <w:i/>
          <w:iCs/>
        </w:rPr>
        <w:t>sprieduma lietā Nr. 2017-02-03 1</w:t>
      </w:r>
      <w:r>
        <w:rPr>
          <w:rFonts w:asciiTheme="majorBidi" w:hAnsiTheme="majorBidi" w:cstheme="majorBidi"/>
          <w:i/>
          <w:iCs/>
        </w:rPr>
        <w:t>9</w:t>
      </w:r>
      <w:r w:rsidRPr="00466969">
        <w:rPr>
          <w:rFonts w:asciiTheme="majorBidi" w:hAnsiTheme="majorBidi" w:cstheme="majorBidi"/>
          <w:i/>
          <w:iCs/>
        </w:rPr>
        <w:t>.3.punkts</w:t>
      </w:r>
      <w:r>
        <w:rPr>
          <w:rFonts w:asciiTheme="majorBidi" w:hAnsiTheme="majorBidi" w:cstheme="majorBidi"/>
        </w:rPr>
        <w:t>)</w:t>
      </w:r>
      <w:r w:rsidRPr="00466969">
        <w:rPr>
          <w:rFonts w:asciiTheme="majorBidi" w:hAnsiTheme="majorBidi" w:cstheme="majorBidi"/>
        </w:rPr>
        <w:t>.</w:t>
      </w:r>
      <w:r w:rsidR="00FE347F">
        <w:rPr>
          <w:rFonts w:asciiTheme="majorBidi" w:hAnsiTheme="majorBidi" w:cstheme="majorBidi"/>
        </w:rPr>
        <w:t xml:space="preserve"> Satversmes tiesa secināja, ka Ministru kabinets nav taisnīgi līdzsvarojis iesaistīto personu intereses, bet n</w:t>
      </w:r>
      <w:r w:rsidR="00FE347F" w:rsidRPr="00FE347F">
        <w:rPr>
          <w:rFonts w:asciiTheme="majorBidi" w:hAnsiTheme="majorBidi" w:cstheme="majorBidi"/>
        </w:rPr>
        <w:t>oteikumu Nr.</w:t>
      </w:r>
      <w:r w:rsidR="00150B6C">
        <w:rPr>
          <w:rFonts w:asciiTheme="majorBidi" w:hAnsiTheme="majorBidi" w:cstheme="majorBidi"/>
        </w:rPr>
        <w:t> </w:t>
      </w:r>
      <w:r w:rsidR="00FE347F" w:rsidRPr="00FE347F">
        <w:rPr>
          <w:rFonts w:asciiTheme="majorBidi" w:hAnsiTheme="majorBidi" w:cstheme="majorBidi"/>
        </w:rPr>
        <w:t>16</w:t>
      </w:r>
      <w:r w:rsidR="00FE347F">
        <w:rPr>
          <w:rFonts w:asciiTheme="majorBidi" w:hAnsiTheme="majorBidi" w:cstheme="majorBidi"/>
        </w:rPr>
        <w:t xml:space="preserve"> </w:t>
      </w:r>
      <w:r w:rsidR="00FE347F" w:rsidRPr="00FE347F">
        <w:rPr>
          <w:rFonts w:asciiTheme="majorBidi" w:hAnsiTheme="majorBidi" w:cstheme="majorBidi"/>
        </w:rPr>
        <w:t>2.pielikuma 2.punktu izdevis galvenok</w:t>
      </w:r>
      <w:r w:rsidR="00FE347F">
        <w:rPr>
          <w:rFonts w:asciiTheme="majorBidi" w:hAnsiTheme="majorBidi" w:cstheme="majorBidi"/>
        </w:rPr>
        <w:t>ā</w:t>
      </w:r>
      <w:r w:rsidR="00FE347F" w:rsidRPr="00FE347F">
        <w:rPr>
          <w:rFonts w:asciiTheme="majorBidi" w:hAnsiTheme="majorBidi" w:cstheme="majorBidi"/>
        </w:rPr>
        <w:t>rt t</w:t>
      </w:r>
      <w:r w:rsidR="00FE347F">
        <w:rPr>
          <w:rFonts w:asciiTheme="majorBidi" w:hAnsiTheme="majorBidi" w:cstheme="majorBidi"/>
        </w:rPr>
        <w:t>ā</w:t>
      </w:r>
      <w:r w:rsidR="00FE347F" w:rsidRPr="00FE347F">
        <w:rPr>
          <w:rFonts w:asciiTheme="majorBidi" w:hAnsiTheme="majorBidi" w:cstheme="majorBidi"/>
        </w:rPr>
        <w:t>p</w:t>
      </w:r>
      <w:r w:rsidR="00FE347F">
        <w:rPr>
          <w:rFonts w:asciiTheme="majorBidi" w:hAnsiTheme="majorBidi" w:cstheme="majorBidi"/>
        </w:rPr>
        <w:t>ē</w:t>
      </w:r>
      <w:r w:rsidR="00FE347F" w:rsidRPr="00FE347F">
        <w:rPr>
          <w:rFonts w:asciiTheme="majorBidi" w:hAnsiTheme="majorBidi" w:cstheme="majorBidi"/>
        </w:rPr>
        <w:t>c, lai veicin</w:t>
      </w:r>
      <w:r w:rsidR="00FE347F">
        <w:rPr>
          <w:rFonts w:asciiTheme="majorBidi" w:hAnsiTheme="majorBidi" w:cstheme="majorBidi"/>
        </w:rPr>
        <w:t>ā</w:t>
      </w:r>
      <w:r w:rsidR="00FE347F" w:rsidRPr="00FE347F">
        <w:rPr>
          <w:rFonts w:asciiTheme="majorBidi" w:hAnsiTheme="majorBidi" w:cstheme="majorBidi"/>
        </w:rPr>
        <w:t>tu starptautisko</w:t>
      </w:r>
      <w:r w:rsidR="00FE347F">
        <w:rPr>
          <w:rFonts w:asciiTheme="majorBidi" w:hAnsiTheme="majorBidi" w:cstheme="majorBidi"/>
        </w:rPr>
        <w:t xml:space="preserve"> </w:t>
      </w:r>
      <w:r w:rsidR="00FE347F" w:rsidRPr="00FE347F">
        <w:rPr>
          <w:rFonts w:asciiTheme="majorBidi" w:hAnsiTheme="majorBidi" w:cstheme="majorBidi"/>
        </w:rPr>
        <w:t>autosporta un motosporta sac</w:t>
      </w:r>
      <w:r w:rsidR="00FE347F">
        <w:rPr>
          <w:rFonts w:asciiTheme="majorBidi" w:hAnsiTheme="majorBidi" w:cstheme="majorBidi"/>
        </w:rPr>
        <w:t>ī</w:t>
      </w:r>
      <w:r w:rsidR="00FE347F" w:rsidRPr="00FE347F">
        <w:rPr>
          <w:rFonts w:asciiTheme="majorBidi" w:hAnsiTheme="majorBidi" w:cstheme="majorBidi"/>
        </w:rPr>
        <w:t>kšu r</w:t>
      </w:r>
      <w:r w:rsidR="00FE347F">
        <w:rPr>
          <w:rFonts w:asciiTheme="majorBidi" w:hAnsiTheme="majorBidi" w:cstheme="majorBidi"/>
        </w:rPr>
        <w:t>ī</w:t>
      </w:r>
      <w:r w:rsidR="00FE347F" w:rsidRPr="00FE347F">
        <w:rPr>
          <w:rFonts w:asciiTheme="majorBidi" w:hAnsiTheme="majorBidi" w:cstheme="majorBidi"/>
        </w:rPr>
        <w:t>košanu Latvij</w:t>
      </w:r>
      <w:r w:rsidR="00FE347F">
        <w:rPr>
          <w:rFonts w:asciiTheme="majorBidi" w:hAnsiTheme="majorBidi" w:cstheme="majorBidi"/>
        </w:rPr>
        <w:t>ā</w:t>
      </w:r>
      <w:r w:rsidR="00FE347F" w:rsidRPr="00FE347F">
        <w:rPr>
          <w:rFonts w:asciiTheme="majorBidi" w:hAnsiTheme="majorBidi" w:cstheme="majorBidi"/>
        </w:rPr>
        <w:t>, un t</w:t>
      </w:r>
      <w:r w:rsidR="00FE347F">
        <w:rPr>
          <w:rFonts w:asciiTheme="majorBidi" w:hAnsiTheme="majorBidi" w:cstheme="majorBidi"/>
        </w:rPr>
        <w:t>ā</w:t>
      </w:r>
      <w:r w:rsidR="00FE347F" w:rsidRPr="00FE347F">
        <w:rPr>
          <w:rFonts w:asciiTheme="majorBidi" w:hAnsiTheme="majorBidi" w:cstheme="majorBidi"/>
        </w:rPr>
        <w:t>d</w:t>
      </w:r>
      <w:r w:rsidR="00FE347F">
        <w:rPr>
          <w:rFonts w:asciiTheme="majorBidi" w:hAnsiTheme="majorBidi" w:cstheme="majorBidi"/>
        </w:rPr>
        <w:t>ējād</w:t>
      </w:r>
      <w:r w:rsidR="00FE347F" w:rsidRPr="00FE347F">
        <w:rPr>
          <w:rFonts w:asciiTheme="majorBidi" w:hAnsiTheme="majorBidi" w:cstheme="majorBidi"/>
        </w:rPr>
        <w:t>i prim</w:t>
      </w:r>
      <w:r w:rsidR="00FE347F">
        <w:rPr>
          <w:rFonts w:asciiTheme="majorBidi" w:hAnsiTheme="majorBidi" w:cstheme="majorBidi"/>
        </w:rPr>
        <w:t>ā</w:t>
      </w:r>
      <w:r w:rsidR="00FE347F" w:rsidRPr="00FE347F">
        <w:rPr>
          <w:rFonts w:asciiTheme="majorBidi" w:hAnsiTheme="majorBidi" w:cstheme="majorBidi"/>
        </w:rPr>
        <w:t>ri ir atbalst</w:t>
      </w:r>
      <w:r w:rsidR="00FE347F">
        <w:rPr>
          <w:rFonts w:asciiTheme="majorBidi" w:hAnsiTheme="majorBidi" w:cstheme="majorBidi"/>
        </w:rPr>
        <w:t>ī</w:t>
      </w:r>
      <w:r w:rsidR="00FE347F" w:rsidRPr="00FE347F">
        <w:rPr>
          <w:rFonts w:asciiTheme="majorBidi" w:hAnsiTheme="majorBidi" w:cstheme="majorBidi"/>
        </w:rPr>
        <w:t>jis</w:t>
      </w:r>
      <w:r w:rsidR="00FE347F">
        <w:rPr>
          <w:rFonts w:asciiTheme="majorBidi" w:hAnsiTheme="majorBidi" w:cstheme="majorBidi"/>
        </w:rPr>
        <w:t xml:space="preserve"> </w:t>
      </w:r>
      <w:r w:rsidR="00FE347F" w:rsidRPr="00FE347F">
        <w:rPr>
          <w:rFonts w:asciiTheme="majorBidi" w:hAnsiTheme="majorBidi" w:cstheme="majorBidi"/>
        </w:rPr>
        <w:t>sportistu, k</w:t>
      </w:r>
      <w:r w:rsidR="00FE347F">
        <w:rPr>
          <w:rFonts w:asciiTheme="majorBidi" w:hAnsiTheme="majorBidi" w:cstheme="majorBidi"/>
        </w:rPr>
        <w:t>ā</w:t>
      </w:r>
      <w:r w:rsidR="00FE347F" w:rsidRPr="00FE347F">
        <w:rPr>
          <w:rFonts w:asciiTheme="majorBidi" w:hAnsiTheme="majorBidi" w:cstheme="majorBidi"/>
        </w:rPr>
        <w:t xml:space="preserve"> ar</w:t>
      </w:r>
      <w:r w:rsidR="00FE347F">
        <w:rPr>
          <w:rFonts w:asciiTheme="majorBidi" w:hAnsiTheme="majorBidi" w:cstheme="majorBidi"/>
        </w:rPr>
        <w:t>ī</w:t>
      </w:r>
      <w:r w:rsidR="00FE347F" w:rsidRPr="00FE347F">
        <w:rPr>
          <w:rFonts w:asciiTheme="majorBidi" w:hAnsiTheme="majorBidi" w:cstheme="majorBidi"/>
        </w:rPr>
        <w:t xml:space="preserve"> attiec</w:t>
      </w:r>
      <w:r w:rsidR="00FE347F">
        <w:rPr>
          <w:rFonts w:asciiTheme="majorBidi" w:hAnsiTheme="majorBidi" w:cstheme="majorBidi"/>
        </w:rPr>
        <w:t>ī</w:t>
      </w:r>
      <w:r w:rsidR="00FE347F" w:rsidRPr="00FE347F">
        <w:rPr>
          <w:rFonts w:asciiTheme="majorBidi" w:hAnsiTheme="majorBidi" w:cstheme="majorBidi"/>
        </w:rPr>
        <w:t>go komersantu intereses</w:t>
      </w:r>
      <w:r w:rsidR="00FE347F">
        <w:rPr>
          <w:rFonts w:asciiTheme="majorBidi" w:hAnsiTheme="majorBidi" w:cstheme="majorBidi"/>
        </w:rPr>
        <w:t xml:space="preserve"> (</w:t>
      </w:r>
      <w:r w:rsidR="00FE347F" w:rsidRPr="00FE347F">
        <w:rPr>
          <w:rFonts w:asciiTheme="majorBidi" w:hAnsiTheme="majorBidi" w:cstheme="majorBidi"/>
          <w:i/>
          <w:iCs/>
        </w:rPr>
        <w:t>sprieduma 20.punkts</w:t>
      </w:r>
      <w:r w:rsidR="00FE347F">
        <w:rPr>
          <w:rFonts w:asciiTheme="majorBidi" w:hAnsiTheme="majorBidi" w:cstheme="majorBidi"/>
        </w:rPr>
        <w:t xml:space="preserve">). </w:t>
      </w:r>
    </w:p>
    <w:p w14:paraId="77A26CA6" w14:textId="14A962BC" w:rsidR="00FE347F" w:rsidRDefault="00FE347F" w:rsidP="00DB34DE">
      <w:pPr>
        <w:spacing w:line="276" w:lineRule="auto"/>
        <w:ind w:firstLine="720"/>
        <w:jc w:val="both"/>
        <w:rPr>
          <w:rFonts w:asciiTheme="majorBidi" w:hAnsiTheme="majorBidi" w:cstheme="majorBidi"/>
        </w:rPr>
      </w:pPr>
      <w:r>
        <w:rPr>
          <w:rFonts w:asciiTheme="majorBidi" w:hAnsiTheme="majorBidi" w:cstheme="majorBidi"/>
        </w:rPr>
        <w:t xml:space="preserve">Tā kā ar </w:t>
      </w:r>
      <w:r w:rsidR="008371ED">
        <w:rPr>
          <w:rFonts w:asciiTheme="majorBidi" w:hAnsiTheme="majorBidi" w:cstheme="majorBidi"/>
        </w:rPr>
        <w:t xml:space="preserve">Satversmes tiesas </w:t>
      </w:r>
      <w:r>
        <w:rPr>
          <w:rFonts w:asciiTheme="majorBidi" w:hAnsiTheme="majorBidi" w:cstheme="majorBidi"/>
        </w:rPr>
        <w:t xml:space="preserve">spriedumu minētās </w:t>
      </w:r>
      <w:r w:rsidR="008371ED">
        <w:rPr>
          <w:rFonts w:asciiTheme="majorBidi" w:hAnsiTheme="majorBidi" w:cstheme="majorBidi"/>
        </w:rPr>
        <w:t xml:space="preserve">noteikumu Nr. 16 </w:t>
      </w:r>
      <w:r>
        <w:rPr>
          <w:rFonts w:asciiTheme="majorBidi" w:hAnsiTheme="majorBidi" w:cstheme="majorBidi"/>
        </w:rPr>
        <w:t xml:space="preserve">normas tika atzītas par spēkā neesošām, nebija pieļaujams piemērot paaugstinātus vides trokšņa robežlielumus mototrasēm, turklāt </w:t>
      </w:r>
      <w:r w:rsidR="00775CED">
        <w:rPr>
          <w:rFonts w:asciiTheme="majorBidi" w:hAnsiTheme="majorBidi" w:cstheme="majorBidi"/>
        </w:rPr>
        <w:t xml:space="preserve">nebija pieļaujams izņēmums noteikumus Nr. 16 vispār nepiemērot </w:t>
      </w:r>
      <w:r w:rsidR="00775CED" w:rsidRPr="00775CED">
        <w:rPr>
          <w:rFonts w:asciiTheme="majorBidi" w:hAnsiTheme="majorBidi" w:cstheme="majorBidi"/>
        </w:rPr>
        <w:t>publiskiem pasākumiem autosportā un motosportā, kas norisinās apdzīvotā vietā izvietotā atklātā autosporta un motosporta bāzē un kuriem ir izsniegta atļauja publisku pasākumu rīkošanai</w:t>
      </w:r>
      <w:r w:rsidR="00775CED">
        <w:rPr>
          <w:rFonts w:asciiTheme="majorBidi" w:hAnsiTheme="majorBidi" w:cstheme="majorBidi"/>
        </w:rPr>
        <w:t>.</w:t>
      </w:r>
      <w:r w:rsidR="001C2ECF">
        <w:rPr>
          <w:rFonts w:asciiTheme="majorBidi" w:hAnsiTheme="majorBidi" w:cstheme="majorBidi"/>
        </w:rPr>
        <w:t xml:space="preserve"> </w:t>
      </w:r>
    </w:p>
    <w:p w14:paraId="48666A47" w14:textId="14D0CDCF" w:rsidR="00775CED" w:rsidRDefault="008371ED" w:rsidP="00DB34DE">
      <w:pPr>
        <w:spacing w:line="276" w:lineRule="auto"/>
        <w:ind w:firstLine="720"/>
        <w:jc w:val="both"/>
        <w:rPr>
          <w:rFonts w:asciiTheme="majorBidi" w:hAnsiTheme="majorBidi" w:cstheme="majorBidi"/>
        </w:rPr>
      </w:pPr>
      <w:r w:rsidRPr="008371ED">
        <w:rPr>
          <w:rFonts w:asciiTheme="majorBidi" w:hAnsiTheme="majorBidi" w:cstheme="majorBidi"/>
        </w:rPr>
        <w:t xml:space="preserve">Līdz ar to no Satversmes tiesas sprieduma </w:t>
      </w:r>
      <w:r w:rsidR="00DE6466">
        <w:rPr>
          <w:rFonts w:asciiTheme="majorBidi" w:hAnsiTheme="majorBidi" w:cstheme="majorBidi"/>
        </w:rPr>
        <w:t>jāsecina</w:t>
      </w:r>
      <w:r w:rsidR="00775CED">
        <w:rPr>
          <w:rFonts w:asciiTheme="majorBidi" w:hAnsiTheme="majorBidi" w:cstheme="majorBidi"/>
        </w:rPr>
        <w:t xml:space="preserve">, ka gan uz </w:t>
      </w:r>
      <w:r w:rsidR="00D2529B">
        <w:rPr>
          <w:rFonts w:asciiTheme="majorBidi" w:hAnsiTheme="majorBidi" w:cstheme="majorBidi"/>
        </w:rPr>
        <w:t>kartodroma</w:t>
      </w:r>
      <w:r w:rsidR="00775CED">
        <w:rPr>
          <w:rFonts w:asciiTheme="majorBidi" w:hAnsiTheme="majorBidi" w:cstheme="majorBidi"/>
        </w:rPr>
        <w:t xml:space="preserve"> darbību kopumā, gan uz tajā notiekošām sacensībām ir jāpiemēro noteikumos Nr. 16 paredzētie vispārējie vides trokšņa robežlielumi, jo paaugstinātie robežlielumi</w:t>
      </w:r>
      <w:r w:rsidR="008F7AC4">
        <w:rPr>
          <w:rFonts w:asciiTheme="majorBidi" w:hAnsiTheme="majorBidi" w:cstheme="majorBidi"/>
        </w:rPr>
        <w:t xml:space="preserve">, kā arī izņēmums </w:t>
      </w:r>
      <w:r w:rsidR="004A296C">
        <w:rPr>
          <w:rFonts w:asciiTheme="majorBidi" w:hAnsiTheme="majorBidi" w:cstheme="majorBidi"/>
        </w:rPr>
        <w:t xml:space="preserve">publiskiem </w:t>
      </w:r>
      <w:r w:rsidR="008F7AC4">
        <w:rPr>
          <w:rFonts w:asciiTheme="majorBidi" w:hAnsiTheme="majorBidi" w:cstheme="majorBidi"/>
        </w:rPr>
        <w:t>autosporta un motosporta pasākumiem,</w:t>
      </w:r>
      <w:r w:rsidR="00775CED">
        <w:rPr>
          <w:rFonts w:asciiTheme="majorBidi" w:hAnsiTheme="majorBidi" w:cstheme="majorBidi"/>
        </w:rPr>
        <w:t xml:space="preserve"> bija noteikti, pienācīgi neapsverot Satversmes 111. un 115.pantā garantētās pamattiesības. Šobrīd vides trokšņa robežlielumi noteikti noteikumu Nr. 16</w:t>
      </w:r>
      <w:r w:rsidR="00DE6466">
        <w:rPr>
          <w:rFonts w:asciiTheme="majorBidi" w:hAnsiTheme="majorBidi" w:cstheme="majorBidi"/>
        </w:rPr>
        <w:t xml:space="preserve"> 2.pielikumā</w:t>
      </w:r>
      <w:r w:rsidR="00775CED">
        <w:rPr>
          <w:rFonts w:asciiTheme="majorBidi" w:hAnsiTheme="majorBidi" w:cstheme="majorBidi"/>
        </w:rPr>
        <w:t>.</w:t>
      </w:r>
      <w:r w:rsidR="001C2ECF">
        <w:rPr>
          <w:rFonts w:asciiTheme="majorBidi" w:hAnsiTheme="majorBidi" w:cstheme="majorBidi"/>
        </w:rPr>
        <w:t xml:space="preserve"> Tātad pašvaldībai, ievērojot noteikumu Nr. 16 piemērojamību, ir līdztekus Publisk</w:t>
      </w:r>
      <w:r>
        <w:rPr>
          <w:rFonts w:asciiTheme="majorBidi" w:hAnsiTheme="majorBidi" w:cstheme="majorBidi"/>
        </w:rPr>
        <w:t>u</w:t>
      </w:r>
      <w:r w:rsidR="001C2ECF">
        <w:rPr>
          <w:rFonts w:asciiTheme="majorBidi" w:hAnsiTheme="majorBidi" w:cstheme="majorBidi"/>
        </w:rPr>
        <w:t xml:space="preserve"> pasākumu likumā tieši paredzētajam jāvērtē arī šis pasākuma norises aspekts.</w:t>
      </w:r>
    </w:p>
    <w:p w14:paraId="10738C07" w14:textId="77777777" w:rsidR="00775CED" w:rsidRDefault="00775CED" w:rsidP="00DB34DE">
      <w:pPr>
        <w:spacing w:line="276" w:lineRule="auto"/>
        <w:ind w:firstLine="720"/>
        <w:jc w:val="both"/>
        <w:rPr>
          <w:rFonts w:asciiTheme="majorBidi" w:hAnsiTheme="majorBidi" w:cstheme="majorBidi"/>
        </w:rPr>
      </w:pPr>
    </w:p>
    <w:p w14:paraId="27C0B08F" w14:textId="70E7196F" w:rsidR="00775CED" w:rsidRDefault="00775CED"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w:t>
      </w:r>
      <w:r w:rsidR="00DE6466">
        <w:rPr>
          <w:rFonts w:asciiTheme="majorBidi" w:hAnsiTheme="majorBidi" w:cstheme="majorBidi"/>
        </w:rPr>
        <w:t>5</w:t>
      </w:r>
      <w:r>
        <w:rPr>
          <w:rFonts w:asciiTheme="majorBidi" w:hAnsiTheme="majorBidi" w:cstheme="majorBidi"/>
        </w:rPr>
        <w:t xml:space="preserve">] Piemērojot noteikumus Nr. 16 saskanīgi ar </w:t>
      </w:r>
      <w:r w:rsidRPr="00775CED">
        <w:rPr>
          <w:rFonts w:asciiTheme="majorBidi" w:hAnsiTheme="majorBidi" w:cstheme="majorBidi"/>
        </w:rPr>
        <w:t>Publisku pasākumu likuma 7.panta piektās daļas 4.punkt</w:t>
      </w:r>
      <w:r>
        <w:rPr>
          <w:rFonts w:asciiTheme="majorBidi" w:hAnsiTheme="majorBidi" w:cstheme="majorBidi"/>
        </w:rPr>
        <w:t xml:space="preserve">u, ir jāsecina, ka </w:t>
      </w:r>
      <w:r w:rsidRPr="00775CED">
        <w:rPr>
          <w:rFonts w:asciiTheme="majorBidi" w:hAnsiTheme="majorBidi" w:cstheme="majorBidi"/>
        </w:rPr>
        <w:t>pasākuma organizēšana konkrētajā vietā vai laikā radīs būtisku cilvēku dzīvības un veselības apdraudējumu</w:t>
      </w:r>
      <w:r>
        <w:rPr>
          <w:rFonts w:asciiTheme="majorBidi" w:hAnsiTheme="majorBidi" w:cstheme="majorBidi"/>
        </w:rPr>
        <w:t xml:space="preserve"> tad, ja ir prognozējams</w:t>
      </w:r>
      <w:r w:rsidR="001C2ECF">
        <w:rPr>
          <w:rFonts w:asciiTheme="majorBidi" w:hAnsiTheme="majorBidi" w:cstheme="majorBidi"/>
        </w:rPr>
        <w:t xml:space="preserve"> noteikumos Nr. 16 paredzēto vides trokšņa robežlielumu pārsniegums. Jāatgādina, ka robežlielumi ir nevis labvēlīgu un vispār nekaitīgu vid</w:t>
      </w:r>
      <w:r w:rsidR="008371ED">
        <w:rPr>
          <w:rFonts w:asciiTheme="majorBidi" w:hAnsiTheme="majorBidi" w:cstheme="majorBidi"/>
        </w:rPr>
        <w:t>es troksn</w:t>
      </w:r>
      <w:r w:rsidR="001C2ECF">
        <w:rPr>
          <w:rFonts w:asciiTheme="majorBidi" w:hAnsiTheme="majorBidi" w:cstheme="majorBidi"/>
        </w:rPr>
        <w:t xml:space="preserve">i raksturojošs normatīvs, bet </w:t>
      </w:r>
      <w:r w:rsidR="008371ED">
        <w:rPr>
          <w:rFonts w:asciiTheme="majorBidi" w:hAnsiTheme="majorBidi" w:cstheme="majorBidi"/>
        </w:rPr>
        <w:t xml:space="preserve">tā </w:t>
      </w:r>
      <w:r w:rsidR="001C2ECF">
        <w:rPr>
          <w:rFonts w:asciiTheme="majorBidi" w:hAnsiTheme="majorBidi" w:cstheme="majorBidi"/>
        </w:rPr>
        <w:t>pieļaujamību nosakošs normatīvs. Līdz ar to no tiesiskā regulējuma jāpieņem, ka vides troksnis, kas pārsniedz šos robežlielumus, ir nepieļaujams un kaitējošs.</w:t>
      </w:r>
      <w:r w:rsidR="00285B92">
        <w:rPr>
          <w:rFonts w:asciiTheme="majorBidi" w:hAnsiTheme="majorBidi" w:cstheme="majorBidi"/>
        </w:rPr>
        <w:t xml:space="preserve"> Turklāt Senāts nepiekrīt apgabaltiesai, ka trokšņa robežlielumu pārsniegšana būtu pieļaujam</w:t>
      </w:r>
      <w:r w:rsidR="008371ED">
        <w:rPr>
          <w:rFonts w:asciiTheme="majorBidi" w:hAnsiTheme="majorBidi" w:cstheme="majorBidi"/>
        </w:rPr>
        <w:t>a</w:t>
      </w:r>
      <w:r w:rsidR="00285B92">
        <w:rPr>
          <w:rFonts w:asciiTheme="majorBidi" w:hAnsiTheme="majorBidi" w:cstheme="majorBidi"/>
        </w:rPr>
        <w:t xml:space="preserve">, ja tā notiek tikai atsevišķā pasākumā, respektīvi, tikai dažas dienas. Kā jau norādīts, līdz ar Satversmes tiesas sprieduma lietā Nr. 2017-02-03 spēkā stāšanos nepastāv izņēmums troksnim, ko rada „tikai sacensības”. </w:t>
      </w:r>
    </w:p>
    <w:p w14:paraId="7DDD1EC6" w14:textId="77777777" w:rsidR="001C2ECF" w:rsidRDefault="001C2ECF" w:rsidP="00DB34DE">
      <w:pPr>
        <w:spacing w:line="276" w:lineRule="auto"/>
        <w:ind w:firstLine="720"/>
        <w:jc w:val="both"/>
        <w:rPr>
          <w:rFonts w:asciiTheme="majorBidi" w:hAnsiTheme="majorBidi" w:cstheme="majorBidi"/>
        </w:rPr>
      </w:pPr>
    </w:p>
    <w:p w14:paraId="3FF75577" w14:textId="10F6D16F" w:rsidR="001C2ECF" w:rsidRDefault="001C2ECF"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w:t>
      </w:r>
      <w:r w:rsidR="00DE6466">
        <w:rPr>
          <w:rFonts w:asciiTheme="majorBidi" w:hAnsiTheme="majorBidi" w:cstheme="majorBidi"/>
        </w:rPr>
        <w:t>6</w:t>
      </w:r>
      <w:r>
        <w:rPr>
          <w:rFonts w:asciiTheme="majorBidi" w:hAnsiTheme="majorBidi" w:cstheme="majorBidi"/>
        </w:rPr>
        <w:t xml:space="preserve">] Pašvaldība, lemjot par atļaujas izsniegšanu, parasti nevar precīzi paredzēt sagaidāmo trokšņa līmeni pasākumā, to var tikai aptuveni prognozēt. Tas, ka kādā pasākumā </w:t>
      </w:r>
      <w:r w:rsidRPr="00285B92">
        <w:rPr>
          <w:rFonts w:asciiTheme="majorBidi" w:hAnsiTheme="majorBidi" w:cstheme="majorBidi"/>
          <w:i/>
          <w:iCs/>
        </w:rPr>
        <w:t>post factum</w:t>
      </w:r>
      <w:r>
        <w:rPr>
          <w:rFonts w:asciiTheme="majorBidi" w:hAnsiTheme="majorBidi" w:cstheme="majorBidi"/>
        </w:rPr>
        <w:t xml:space="preserve"> ir konstatēts troksnis, kas pārsniedz </w:t>
      </w:r>
      <w:r w:rsidR="004A296C">
        <w:rPr>
          <w:rFonts w:asciiTheme="majorBidi" w:hAnsiTheme="majorBidi" w:cstheme="majorBidi"/>
        </w:rPr>
        <w:t xml:space="preserve">vides trokšņa </w:t>
      </w:r>
      <w:r>
        <w:rPr>
          <w:rFonts w:asciiTheme="majorBidi" w:hAnsiTheme="majorBidi" w:cstheme="majorBidi"/>
        </w:rPr>
        <w:t>robežlielumu, pats par sevi parasti neliecinās, ka pašvaldības izdotā atļauja ir prettiesiska, ja vien pašvaldība bija objektīvi apsvērusi prognozējamo trokšņa līmeni.</w:t>
      </w:r>
    </w:p>
    <w:p w14:paraId="51D5DF3C" w14:textId="5FB3D8AD" w:rsidR="004A39D8" w:rsidRDefault="001C2ECF" w:rsidP="00DB34DE">
      <w:pPr>
        <w:spacing w:line="276" w:lineRule="auto"/>
        <w:ind w:firstLine="720"/>
        <w:jc w:val="both"/>
        <w:rPr>
          <w:rFonts w:asciiTheme="majorBidi" w:hAnsiTheme="majorBidi" w:cstheme="majorBidi"/>
        </w:rPr>
      </w:pPr>
      <w:r>
        <w:rPr>
          <w:rFonts w:asciiTheme="majorBidi" w:hAnsiTheme="majorBidi" w:cstheme="majorBidi"/>
        </w:rPr>
        <w:t xml:space="preserve">Tomēr to nevar attiecināt uz gadījumiem, kad vienveidīgi pasākumi notiek vienā un tajā pašā </w:t>
      </w:r>
      <w:r w:rsidR="00285B92">
        <w:rPr>
          <w:rFonts w:asciiTheme="majorBidi" w:hAnsiTheme="majorBidi" w:cstheme="majorBidi"/>
        </w:rPr>
        <w:t xml:space="preserve">vietā un </w:t>
      </w:r>
      <w:r>
        <w:rPr>
          <w:rFonts w:asciiTheme="majorBidi" w:hAnsiTheme="majorBidi" w:cstheme="majorBidi"/>
        </w:rPr>
        <w:t>infrastruktūrā</w:t>
      </w:r>
      <w:r w:rsidR="00285B92">
        <w:rPr>
          <w:rFonts w:asciiTheme="majorBidi" w:hAnsiTheme="majorBidi" w:cstheme="majorBidi"/>
        </w:rPr>
        <w:t xml:space="preserve"> – tad prognoze var būt visai precīza. Ja ir dati par līdzīgiem pasākumiem, pašvaldībai ir pienākums tos apsvērt, lai vajadzības gadījumā preventīvi novērstu, ka līdz ar pasākuma atļaušanu tiek paredzami pārkāpti noteikumi Nr. 16 un tiek apdraudēta cilvēku veselība.</w:t>
      </w:r>
    </w:p>
    <w:p w14:paraId="34568A4F" w14:textId="77777777" w:rsidR="00285B92" w:rsidRDefault="00285B92" w:rsidP="00DB34DE">
      <w:pPr>
        <w:spacing w:line="276" w:lineRule="auto"/>
        <w:ind w:firstLine="720"/>
        <w:jc w:val="both"/>
        <w:rPr>
          <w:rFonts w:asciiTheme="majorBidi" w:hAnsiTheme="majorBidi" w:cstheme="majorBidi"/>
        </w:rPr>
      </w:pPr>
    </w:p>
    <w:p w14:paraId="0E391361" w14:textId="47FBAA7B" w:rsidR="00285B92" w:rsidRDefault="00285B92"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w:t>
      </w:r>
      <w:r w:rsidR="00DE6466">
        <w:rPr>
          <w:rFonts w:asciiTheme="majorBidi" w:hAnsiTheme="majorBidi" w:cstheme="majorBidi"/>
        </w:rPr>
        <w:t>7</w:t>
      </w:r>
      <w:r>
        <w:rPr>
          <w:rFonts w:asciiTheme="majorBidi" w:hAnsiTheme="majorBidi" w:cstheme="majorBidi"/>
        </w:rPr>
        <w:t>] Apgabaltiesa</w:t>
      </w:r>
      <w:r w:rsidR="004A39D8">
        <w:rPr>
          <w:rFonts w:asciiTheme="majorBidi" w:hAnsiTheme="majorBidi" w:cstheme="majorBidi"/>
        </w:rPr>
        <w:t xml:space="preserve"> līdz ar to nav pareizi piemērojusi tiesību normas, un tas varēja novest pie nepareiza lietas izskatīšanas rezultāta.</w:t>
      </w:r>
    </w:p>
    <w:p w14:paraId="6B93C7C4" w14:textId="77777777" w:rsidR="004A39D8" w:rsidRDefault="004A39D8" w:rsidP="00DB34DE">
      <w:pPr>
        <w:spacing w:line="276" w:lineRule="auto"/>
        <w:ind w:firstLine="720"/>
        <w:jc w:val="both"/>
        <w:rPr>
          <w:rFonts w:asciiTheme="majorBidi" w:hAnsiTheme="majorBidi" w:cstheme="majorBidi"/>
        </w:rPr>
      </w:pPr>
    </w:p>
    <w:p w14:paraId="687F5813" w14:textId="42BB57AB" w:rsidR="00ED3000" w:rsidRDefault="004A39D8"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w:t>
      </w:r>
      <w:r w:rsidR="00DE6466">
        <w:rPr>
          <w:rFonts w:asciiTheme="majorBidi" w:hAnsiTheme="majorBidi" w:cstheme="majorBidi"/>
        </w:rPr>
        <w:t>8</w:t>
      </w:r>
      <w:r>
        <w:rPr>
          <w:rFonts w:asciiTheme="majorBidi" w:hAnsiTheme="majorBidi" w:cstheme="majorBidi"/>
        </w:rPr>
        <w:t xml:space="preserve">] Senāts turklāt atzīst par nepamatotu apgabaltiesas norādi, ka </w:t>
      </w:r>
      <w:r w:rsidRPr="004A39D8">
        <w:rPr>
          <w:rFonts w:asciiTheme="majorBidi" w:hAnsiTheme="majorBidi" w:cstheme="majorBidi"/>
        </w:rPr>
        <w:t>administratīvajā tiesā jau ir izvērtēti jautājumi,</w:t>
      </w:r>
      <w:r>
        <w:rPr>
          <w:rFonts w:asciiTheme="majorBidi" w:hAnsiTheme="majorBidi" w:cstheme="majorBidi"/>
        </w:rPr>
        <w:t xml:space="preserve"> </w:t>
      </w:r>
      <w:r w:rsidRPr="004A39D8">
        <w:rPr>
          <w:rFonts w:asciiTheme="majorBidi" w:hAnsiTheme="majorBidi" w:cstheme="majorBidi"/>
        </w:rPr>
        <w:t>kas ir saistīti gan ar kartodroma ekspluatācijas tiesiskumu, gan ar konkrētu</w:t>
      </w:r>
      <w:r>
        <w:rPr>
          <w:rFonts w:asciiTheme="majorBidi" w:hAnsiTheme="majorBidi" w:cstheme="majorBidi"/>
        </w:rPr>
        <w:t xml:space="preserve"> </w:t>
      </w:r>
      <w:r w:rsidRPr="004A39D8">
        <w:rPr>
          <w:rFonts w:asciiTheme="majorBidi" w:hAnsiTheme="majorBidi" w:cstheme="majorBidi"/>
        </w:rPr>
        <w:t xml:space="preserve">pasākumu rīkošanu tajā. </w:t>
      </w:r>
    </w:p>
    <w:p w14:paraId="65660194" w14:textId="6C614AAA" w:rsidR="00ED3000" w:rsidRDefault="00ED3000" w:rsidP="00DB34DE">
      <w:pPr>
        <w:spacing w:line="276" w:lineRule="auto"/>
        <w:ind w:firstLine="720"/>
        <w:jc w:val="both"/>
        <w:rPr>
          <w:rFonts w:asciiTheme="majorBidi" w:hAnsiTheme="majorBidi" w:cstheme="majorBidi"/>
        </w:rPr>
      </w:pPr>
      <w:r>
        <w:rPr>
          <w:rFonts w:asciiTheme="majorBidi" w:hAnsiTheme="majorBidi" w:cstheme="majorBidi"/>
        </w:rPr>
        <w:t>Apgabaltiesas norādītajā lietā</w:t>
      </w:r>
      <w:r w:rsidRPr="00ED3000">
        <w:rPr>
          <w:rFonts w:asciiTheme="majorBidi" w:hAnsiTheme="majorBidi" w:cstheme="majorBidi"/>
        </w:rPr>
        <w:t>, kurā tika vērtēts Kandavas novada domes 2018.gada 30.augusta</w:t>
      </w:r>
      <w:r>
        <w:rPr>
          <w:rFonts w:asciiTheme="majorBidi" w:hAnsiTheme="majorBidi" w:cstheme="majorBidi"/>
        </w:rPr>
        <w:t xml:space="preserve"> </w:t>
      </w:r>
      <w:r w:rsidRPr="00ED3000">
        <w:rPr>
          <w:rFonts w:asciiTheme="majorBidi" w:hAnsiTheme="majorBidi" w:cstheme="majorBidi"/>
        </w:rPr>
        <w:t xml:space="preserve">lēmums </w:t>
      </w:r>
      <w:r>
        <w:rPr>
          <w:rFonts w:asciiTheme="majorBidi" w:hAnsiTheme="majorBidi" w:cstheme="majorBidi"/>
        </w:rPr>
        <w:t>p</w:t>
      </w:r>
      <w:r w:rsidRPr="00ED3000">
        <w:rPr>
          <w:rFonts w:asciiTheme="majorBidi" w:hAnsiTheme="majorBidi" w:cstheme="majorBidi"/>
        </w:rPr>
        <w:t xml:space="preserve">ar </w:t>
      </w:r>
      <w:r w:rsidR="00D2529B">
        <w:rPr>
          <w:rFonts w:asciiTheme="majorBidi" w:hAnsiTheme="majorBidi" w:cstheme="majorBidi"/>
        </w:rPr>
        <w:t>kartodroma</w:t>
      </w:r>
      <w:r w:rsidRPr="00ED3000">
        <w:rPr>
          <w:rFonts w:asciiTheme="majorBidi" w:hAnsiTheme="majorBidi" w:cstheme="majorBidi"/>
        </w:rPr>
        <w:t xml:space="preserve"> darbības atjaunošanu</w:t>
      </w:r>
      <w:r>
        <w:rPr>
          <w:rFonts w:asciiTheme="majorBidi" w:hAnsiTheme="majorBidi" w:cstheme="majorBidi"/>
        </w:rPr>
        <w:t xml:space="preserve">, tiesa tiešā tekstā norādīja, ka ar </w:t>
      </w:r>
      <w:r w:rsidR="004A296C">
        <w:rPr>
          <w:rFonts w:asciiTheme="majorBidi" w:hAnsiTheme="majorBidi" w:cstheme="majorBidi"/>
        </w:rPr>
        <w:t xml:space="preserve">pārsūdzēto </w:t>
      </w:r>
      <w:r>
        <w:rPr>
          <w:rFonts w:asciiTheme="majorBidi" w:hAnsiTheme="majorBidi" w:cstheme="majorBidi"/>
        </w:rPr>
        <w:t>pašvaldības lēmumu atļauta trases darbība nevis sacensību, bet ikdienas režīmā (</w:t>
      </w:r>
      <w:r w:rsidRPr="00D35727">
        <w:rPr>
          <w:rFonts w:asciiTheme="majorBidi" w:hAnsiTheme="majorBidi" w:cstheme="majorBidi"/>
          <w:i/>
          <w:iCs/>
        </w:rPr>
        <w:t xml:space="preserve">Administratīvās apgabaltiesas 2019.gada 12.novembra sprieduma lietā Nr. A420262318, </w:t>
      </w:r>
      <w:hyperlink r:id="rId12" w:history="1">
        <w:r w:rsidRPr="00D35727">
          <w:rPr>
            <w:rStyle w:val="Hyperlink"/>
            <w:rFonts w:asciiTheme="majorBidi" w:hAnsiTheme="majorBidi" w:cstheme="majorBidi"/>
            <w:i/>
            <w:iCs/>
          </w:rPr>
          <w:t>ECLI:LV:ADAT:2019:1112.A420262318.19.S</w:t>
        </w:r>
      </w:hyperlink>
      <w:r w:rsidRPr="00D35727">
        <w:rPr>
          <w:rFonts w:asciiTheme="majorBidi" w:hAnsiTheme="majorBidi" w:cstheme="majorBidi"/>
          <w:i/>
          <w:iCs/>
        </w:rPr>
        <w:t>, 7.3. un 14.punkts</w:t>
      </w:r>
      <w:r>
        <w:rPr>
          <w:rFonts w:asciiTheme="majorBidi" w:hAnsiTheme="majorBidi" w:cstheme="majorBidi"/>
        </w:rPr>
        <w:t xml:space="preserve">). Savukārt lietā, </w:t>
      </w:r>
      <w:r w:rsidRPr="00ED3000">
        <w:rPr>
          <w:rFonts w:asciiTheme="majorBidi" w:hAnsiTheme="majorBidi" w:cstheme="majorBidi"/>
        </w:rPr>
        <w:t xml:space="preserve">kas </w:t>
      </w:r>
      <w:r>
        <w:rPr>
          <w:rFonts w:asciiTheme="majorBidi" w:hAnsiTheme="majorBidi" w:cstheme="majorBidi"/>
        </w:rPr>
        <w:t xml:space="preserve">bija </w:t>
      </w:r>
      <w:r w:rsidRPr="00ED3000">
        <w:rPr>
          <w:rFonts w:asciiTheme="majorBidi" w:hAnsiTheme="majorBidi" w:cstheme="majorBidi"/>
        </w:rPr>
        <w:t>ierosināta par</w:t>
      </w:r>
      <w:r>
        <w:rPr>
          <w:rFonts w:asciiTheme="majorBidi" w:hAnsiTheme="majorBidi" w:cstheme="majorBidi"/>
        </w:rPr>
        <w:t xml:space="preserve"> </w:t>
      </w:r>
      <w:r w:rsidRPr="00ED3000">
        <w:rPr>
          <w:rFonts w:asciiTheme="majorBidi" w:hAnsiTheme="majorBidi" w:cstheme="majorBidi"/>
        </w:rPr>
        <w:t>kartodroma darbības apturēšanu</w:t>
      </w:r>
      <w:r>
        <w:rPr>
          <w:rFonts w:asciiTheme="majorBidi" w:hAnsiTheme="majorBidi" w:cstheme="majorBidi"/>
        </w:rPr>
        <w:t xml:space="preserve">, </w:t>
      </w:r>
      <w:r w:rsidR="00D35727">
        <w:rPr>
          <w:rFonts w:asciiTheme="majorBidi" w:hAnsiTheme="majorBidi" w:cstheme="majorBidi"/>
        </w:rPr>
        <w:t>pieteikums tika noraidīts tā iemesla dēļ, ka trokšņa līmeņa pārsniegšanas gadījumā ir nevis uzreiz jāaptur būves ekspluatācija, bet primāri jāveic prettrokšņa pasākumi (</w:t>
      </w:r>
      <w:r w:rsidR="00D35727" w:rsidRPr="00D35727">
        <w:rPr>
          <w:rFonts w:asciiTheme="majorBidi" w:hAnsiTheme="majorBidi" w:cstheme="majorBidi"/>
          <w:i/>
          <w:iCs/>
        </w:rPr>
        <w:t xml:space="preserve">Administratīvās apgabaltiesas 2023.gada 25.aprīļa sprieduma lietā Nr. A420288221, </w:t>
      </w:r>
      <w:hyperlink r:id="rId13" w:history="1">
        <w:r w:rsidR="00D35727" w:rsidRPr="00D35727">
          <w:rPr>
            <w:rStyle w:val="Hyperlink"/>
            <w:rFonts w:asciiTheme="majorBidi" w:hAnsiTheme="majorBidi" w:cstheme="majorBidi"/>
            <w:i/>
            <w:iCs/>
          </w:rPr>
          <w:t>ECLI:LV:ADAT:2023:0425.A420288221.21.S</w:t>
        </w:r>
      </w:hyperlink>
      <w:r w:rsidR="00D35727" w:rsidRPr="00D35727">
        <w:rPr>
          <w:rFonts w:asciiTheme="majorBidi" w:hAnsiTheme="majorBidi" w:cstheme="majorBidi"/>
          <w:i/>
          <w:iCs/>
        </w:rPr>
        <w:t>, 9.punkts</w:t>
      </w:r>
      <w:r w:rsidR="00D35727">
        <w:rPr>
          <w:rFonts w:asciiTheme="majorBidi" w:hAnsiTheme="majorBidi" w:cstheme="majorBidi"/>
        </w:rPr>
        <w:t>).</w:t>
      </w:r>
    </w:p>
    <w:p w14:paraId="7F2B4AF0" w14:textId="3667853F" w:rsidR="00ED3000" w:rsidRDefault="00D35727" w:rsidP="00DB34DE">
      <w:pPr>
        <w:spacing w:line="276" w:lineRule="auto"/>
        <w:ind w:firstLine="720"/>
        <w:jc w:val="both"/>
        <w:rPr>
          <w:rFonts w:asciiTheme="majorBidi" w:hAnsiTheme="majorBidi" w:cstheme="majorBidi"/>
        </w:rPr>
      </w:pPr>
      <w:r>
        <w:rPr>
          <w:rFonts w:asciiTheme="majorBidi" w:hAnsiTheme="majorBidi" w:cstheme="majorBidi"/>
        </w:rPr>
        <w:t xml:space="preserve">Līdz ar to apgabaltiesas secinājums, ka </w:t>
      </w:r>
      <w:r w:rsidR="00ED3000" w:rsidRPr="00ED3000">
        <w:rPr>
          <w:rFonts w:asciiTheme="majorBidi" w:hAnsiTheme="majorBidi" w:cstheme="majorBidi"/>
        </w:rPr>
        <w:t>tiesā ir izvērtēti ar kartodroma ekspluatāciju saistītie jautājumi tieši</w:t>
      </w:r>
      <w:r>
        <w:rPr>
          <w:rFonts w:asciiTheme="majorBidi" w:hAnsiTheme="majorBidi" w:cstheme="majorBidi"/>
        </w:rPr>
        <w:t xml:space="preserve"> </w:t>
      </w:r>
      <w:r w:rsidR="00ED3000" w:rsidRPr="00ED3000">
        <w:rPr>
          <w:rFonts w:asciiTheme="majorBidi" w:hAnsiTheme="majorBidi" w:cstheme="majorBidi"/>
        </w:rPr>
        <w:t>kontekstā ar tā radīto troksni</w:t>
      </w:r>
      <w:r>
        <w:rPr>
          <w:rFonts w:asciiTheme="majorBidi" w:hAnsiTheme="majorBidi" w:cstheme="majorBidi"/>
        </w:rPr>
        <w:t xml:space="preserve"> un ka </w:t>
      </w:r>
      <w:r w:rsidR="00ED3000" w:rsidRPr="00ED3000">
        <w:rPr>
          <w:rFonts w:asciiTheme="majorBidi" w:hAnsiTheme="majorBidi" w:cstheme="majorBidi"/>
        </w:rPr>
        <w:t>vispārīgi kartodroma trasi ir atļauts</w:t>
      </w:r>
      <w:r>
        <w:rPr>
          <w:rFonts w:asciiTheme="majorBidi" w:hAnsiTheme="majorBidi" w:cstheme="majorBidi"/>
        </w:rPr>
        <w:t xml:space="preserve"> </w:t>
      </w:r>
      <w:r w:rsidR="00ED3000" w:rsidRPr="00ED3000">
        <w:rPr>
          <w:rFonts w:asciiTheme="majorBidi" w:hAnsiTheme="majorBidi" w:cstheme="majorBidi"/>
        </w:rPr>
        <w:t xml:space="preserve">ekspluatēt mērķim, kam tā ir izveidota, – kartu braukšanai gan treniņos, </w:t>
      </w:r>
      <w:r w:rsidR="00ED3000" w:rsidRPr="004A296C">
        <w:rPr>
          <w:rFonts w:asciiTheme="majorBidi" w:hAnsiTheme="majorBidi" w:cstheme="majorBidi"/>
          <w:i/>
          <w:iCs/>
        </w:rPr>
        <w:t>gan</w:t>
      </w:r>
      <w:r w:rsidRPr="004A296C">
        <w:rPr>
          <w:rFonts w:asciiTheme="majorBidi" w:hAnsiTheme="majorBidi" w:cstheme="majorBidi"/>
          <w:i/>
          <w:iCs/>
        </w:rPr>
        <w:t xml:space="preserve"> </w:t>
      </w:r>
      <w:r w:rsidR="00ED3000" w:rsidRPr="004A296C">
        <w:rPr>
          <w:rFonts w:asciiTheme="majorBidi" w:hAnsiTheme="majorBidi" w:cstheme="majorBidi"/>
          <w:i/>
          <w:iCs/>
        </w:rPr>
        <w:t>sacensībās</w:t>
      </w:r>
      <w:r>
        <w:rPr>
          <w:rFonts w:asciiTheme="majorBidi" w:hAnsiTheme="majorBidi" w:cstheme="majorBidi"/>
        </w:rPr>
        <w:t xml:space="preserve"> – ir neatbilstošs minēto spriedumu saturam.</w:t>
      </w:r>
      <w:r w:rsidR="007B2D96">
        <w:rPr>
          <w:rFonts w:asciiTheme="majorBidi" w:hAnsiTheme="majorBidi" w:cstheme="majorBidi"/>
        </w:rPr>
        <w:t xml:space="preserve"> Vienlaikus Senāts norāda, ka šajā lietā nav pamata vērtēt kartodroma darbību kopumā, un pieteicēju kasācijas sūdzības argumenti šajā sakarā ir atstājami bez ievērības.</w:t>
      </w:r>
    </w:p>
    <w:p w14:paraId="3AA6B957" w14:textId="54CFD301" w:rsidR="004A39D8" w:rsidRDefault="00150B6C" w:rsidP="00DB34DE">
      <w:pPr>
        <w:spacing w:line="276" w:lineRule="auto"/>
        <w:ind w:firstLine="720"/>
        <w:jc w:val="both"/>
        <w:rPr>
          <w:rFonts w:asciiTheme="majorBidi" w:hAnsiTheme="majorBidi" w:cstheme="majorBidi"/>
        </w:rPr>
      </w:pPr>
      <w:r>
        <w:rPr>
          <w:rFonts w:asciiTheme="majorBidi" w:hAnsiTheme="majorBidi" w:cstheme="majorBidi"/>
        </w:rPr>
        <w:t>Savukārt</w:t>
      </w:r>
      <w:r w:rsidR="00FB4481">
        <w:rPr>
          <w:rFonts w:asciiTheme="majorBidi" w:hAnsiTheme="majorBidi" w:cstheme="majorBidi"/>
        </w:rPr>
        <w:t>,</w:t>
      </w:r>
      <w:r w:rsidR="004A39D8">
        <w:rPr>
          <w:rFonts w:asciiTheme="majorBidi" w:hAnsiTheme="majorBidi" w:cstheme="majorBidi"/>
        </w:rPr>
        <w:t xml:space="preserve"> tas, ka kādā lietā ir stājies spēkā spriedums par kāda konkrēta pasākuma rīkošanas atļauju, neatbrīvo tiesu no pienākuma objektīvi novērtēt tiesiskos un faktiskos apstākļus, kas saistīti ar cit</w:t>
      </w:r>
      <w:r w:rsidR="00D35727">
        <w:rPr>
          <w:rFonts w:asciiTheme="majorBidi" w:hAnsiTheme="majorBidi" w:cstheme="majorBidi"/>
        </w:rPr>
        <w:t>a</w:t>
      </w:r>
      <w:r w:rsidR="004A39D8">
        <w:rPr>
          <w:rFonts w:asciiTheme="majorBidi" w:hAnsiTheme="majorBidi" w:cstheme="majorBidi"/>
        </w:rPr>
        <w:t xml:space="preserve"> pasākum</w:t>
      </w:r>
      <w:r w:rsidR="00D35727">
        <w:rPr>
          <w:rFonts w:asciiTheme="majorBidi" w:hAnsiTheme="majorBidi" w:cstheme="majorBidi"/>
        </w:rPr>
        <w:t>a rīkošanas atļauju</w:t>
      </w:r>
      <w:r w:rsidR="004A39D8">
        <w:rPr>
          <w:rFonts w:asciiTheme="majorBidi" w:hAnsiTheme="majorBidi" w:cstheme="majorBidi"/>
        </w:rPr>
        <w:t>.</w:t>
      </w:r>
    </w:p>
    <w:p w14:paraId="50E282D8" w14:textId="77777777" w:rsidR="004A39D8" w:rsidRDefault="004A39D8" w:rsidP="00DB34DE">
      <w:pPr>
        <w:spacing w:line="276" w:lineRule="auto"/>
        <w:ind w:firstLine="720"/>
        <w:jc w:val="both"/>
        <w:rPr>
          <w:rFonts w:asciiTheme="majorBidi" w:hAnsiTheme="majorBidi" w:cstheme="majorBidi"/>
        </w:rPr>
      </w:pPr>
    </w:p>
    <w:p w14:paraId="6863D418" w14:textId="0734ACCB" w:rsidR="00D35727" w:rsidRDefault="00D35727" w:rsidP="00DB34DE">
      <w:pPr>
        <w:spacing w:line="276" w:lineRule="auto"/>
        <w:ind w:firstLine="720"/>
        <w:jc w:val="both"/>
        <w:rPr>
          <w:rFonts w:asciiTheme="majorBidi" w:hAnsiTheme="majorBidi" w:cstheme="majorBidi"/>
        </w:rPr>
      </w:pPr>
      <w:r>
        <w:rPr>
          <w:rFonts w:asciiTheme="majorBidi" w:hAnsiTheme="majorBidi" w:cstheme="majorBidi"/>
        </w:rPr>
        <w:t>[</w:t>
      </w:r>
      <w:r w:rsidR="007B2D96">
        <w:rPr>
          <w:rFonts w:asciiTheme="majorBidi" w:hAnsiTheme="majorBidi" w:cstheme="majorBidi"/>
        </w:rPr>
        <w:t>1</w:t>
      </w:r>
      <w:r w:rsidR="00DE6466">
        <w:rPr>
          <w:rFonts w:asciiTheme="majorBidi" w:hAnsiTheme="majorBidi" w:cstheme="majorBidi"/>
        </w:rPr>
        <w:t>9</w:t>
      </w:r>
      <w:r>
        <w:rPr>
          <w:rFonts w:asciiTheme="majorBidi" w:hAnsiTheme="majorBidi" w:cstheme="majorBidi"/>
        </w:rPr>
        <w:t xml:space="preserve">] Ievērojot iepriekš minēto, apgabaltiesas spriedums ir atceļams un lieta nosūtāma </w:t>
      </w:r>
      <w:r w:rsidR="00E07420">
        <w:rPr>
          <w:rFonts w:asciiTheme="majorBidi" w:hAnsiTheme="majorBidi" w:cstheme="majorBidi"/>
        </w:rPr>
        <w:t>jaunai</w:t>
      </w:r>
      <w:r>
        <w:rPr>
          <w:rFonts w:asciiTheme="majorBidi" w:hAnsiTheme="majorBidi" w:cstheme="majorBidi"/>
        </w:rPr>
        <w:t xml:space="preserve"> izskatīšanai.</w:t>
      </w:r>
    </w:p>
    <w:p w14:paraId="51E53A48" w14:textId="07365227" w:rsidR="001929AD" w:rsidRDefault="001929AD" w:rsidP="00DB34DE">
      <w:pPr>
        <w:spacing w:line="276" w:lineRule="auto"/>
        <w:ind w:firstLine="720"/>
        <w:jc w:val="both"/>
      </w:pPr>
    </w:p>
    <w:p w14:paraId="1D39F2BF" w14:textId="7C063E23" w:rsidR="00530B85" w:rsidRPr="005B32E7" w:rsidRDefault="00530B85" w:rsidP="00DB34DE">
      <w:pPr>
        <w:spacing w:line="276" w:lineRule="auto"/>
        <w:jc w:val="center"/>
        <w:rPr>
          <w:b/>
        </w:rPr>
      </w:pPr>
      <w:r w:rsidRPr="005B32E7">
        <w:rPr>
          <w:b/>
        </w:rPr>
        <w:t>Rezolutīvā daļa</w:t>
      </w:r>
    </w:p>
    <w:p w14:paraId="53224002" w14:textId="77777777" w:rsidR="00530B85" w:rsidRPr="005B32E7" w:rsidRDefault="00530B85" w:rsidP="00DB34DE">
      <w:pPr>
        <w:spacing w:line="276" w:lineRule="auto"/>
        <w:ind w:firstLine="720"/>
        <w:jc w:val="both"/>
      </w:pPr>
    </w:p>
    <w:p w14:paraId="27B28AB8" w14:textId="6C371BB7" w:rsidR="00D67A06" w:rsidRDefault="0071519D" w:rsidP="00DB34DE">
      <w:pPr>
        <w:spacing w:line="276" w:lineRule="auto"/>
        <w:ind w:firstLine="720"/>
        <w:jc w:val="both"/>
        <w:rPr>
          <w:b/>
        </w:rPr>
      </w:pPr>
      <w:r w:rsidRPr="005B32E7">
        <w:t xml:space="preserve">Pamatojoties uz </w:t>
      </w:r>
      <w:r w:rsidR="00780F91" w:rsidRPr="00780F91">
        <w:t>Administratīvā procesa likuma 129.</w:t>
      </w:r>
      <w:r w:rsidR="00780F91" w:rsidRPr="00780F91">
        <w:rPr>
          <w:vertAlign w:val="superscript"/>
        </w:rPr>
        <w:t>1</w:t>
      </w:r>
      <w:r w:rsidR="00780F91" w:rsidRPr="00780F91">
        <w:t>panta pirmās daļas 1.punktu, 348.panta pirmās daļas 2.punktu un 351.pantu</w:t>
      </w:r>
      <w:r w:rsidRPr="005B32E7">
        <w:t>, Senāts</w:t>
      </w:r>
    </w:p>
    <w:p w14:paraId="42BB69A3" w14:textId="77777777" w:rsidR="007362B5" w:rsidRPr="00D67A06" w:rsidRDefault="007362B5" w:rsidP="00DB34DE">
      <w:pPr>
        <w:spacing w:line="276" w:lineRule="auto"/>
        <w:ind w:firstLine="720"/>
        <w:jc w:val="both"/>
      </w:pPr>
    </w:p>
    <w:p w14:paraId="3B410835" w14:textId="32454D48" w:rsidR="0071519D" w:rsidRPr="005B32E7" w:rsidRDefault="0071519D" w:rsidP="00DB34DE">
      <w:pPr>
        <w:spacing w:line="276" w:lineRule="auto"/>
        <w:jc w:val="center"/>
      </w:pPr>
      <w:r w:rsidRPr="005B32E7">
        <w:rPr>
          <w:b/>
        </w:rPr>
        <w:t>nosprieda</w:t>
      </w:r>
    </w:p>
    <w:p w14:paraId="1E483FA0" w14:textId="77777777" w:rsidR="00530B85" w:rsidRPr="007362B5" w:rsidRDefault="00530B85" w:rsidP="00DB34DE">
      <w:pPr>
        <w:spacing w:line="276" w:lineRule="auto"/>
        <w:ind w:firstLine="720"/>
        <w:jc w:val="both"/>
      </w:pPr>
    </w:p>
    <w:p w14:paraId="7B9E0602" w14:textId="2DE06A7B" w:rsidR="00780F91" w:rsidRDefault="00780F91" w:rsidP="00DB34DE">
      <w:pPr>
        <w:spacing w:line="276" w:lineRule="auto"/>
        <w:ind w:firstLine="720"/>
        <w:jc w:val="both"/>
      </w:pPr>
      <w:r>
        <w:t xml:space="preserve">atcelt </w:t>
      </w:r>
      <w:r w:rsidRPr="00780F91">
        <w:t xml:space="preserve">Administratīvās apgabaltiesas </w:t>
      </w:r>
      <w:r w:rsidR="00894B14">
        <w:t xml:space="preserve">2024.gada </w:t>
      </w:r>
      <w:r w:rsidR="007B2D96">
        <w:t>1.jūlija</w:t>
      </w:r>
      <w:r w:rsidR="00894B14">
        <w:t xml:space="preserve"> </w:t>
      </w:r>
      <w:r w:rsidRPr="00780F91">
        <w:t>spriedumu</w:t>
      </w:r>
      <w:r>
        <w:t xml:space="preserve"> un </w:t>
      </w:r>
      <w:r w:rsidR="00BE00E7" w:rsidRPr="00BE00E7">
        <w:t>nosūtīt lietu jaunai izskatīšanai Administratīvajai apgabaltiesai</w:t>
      </w:r>
      <w:r>
        <w:t>;</w:t>
      </w:r>
    </w:p>
    <w:p w14:paraId="76F6C155" w14:textId="7D6E1D0F" w:rsidR="00780F91" w:rsidRDefault="00780F91" w:rsidP="00DB34DE">
      <w:pPr>
        <w:spacing w:line="276" w:lineRule="auto"/>
        <w:ind w:firstLine="720"/>
        <w:jc w:val="both"/>
      </w:pPr>
      <w:r>
        <w:t xml:space="preserve">atmaksāt </w:t>
      </w:r>
      <w:r w:rsidR="00DB34DE">
        <w:t>[pers. A]</w:t>
      </w:r>
      <w:r w:rsidR="00DB34DE">
        <w:t xml:space="preserve"> </w:t>
      </w:r>
      <w:r>
        <w:t xml:space="preserve">drošības naudu </w:t>
      </w:r>
      <w:r w:rsidR="007B2D96">
        <w:t xml:space="preserve">par kasācijas sūdzības iesniegšanu </w:t>
      </w:r>
      <w:r>
        <w:t>70 </w:t>
      </w:r>
      <w:r w:rsidRPr="007B2D96">
        <w:rPr>
          <w:i/>
          <w:iCs/>
        </w:rPr>
        <w:t>euro</w:t>
      </w:r>
      <w:r>
        <w:t>.</w:t>
      </w:r>
    </w:p>
    <w:p w14:paraId="0349D1F0" w14:textId="77777777" w:rsidR="003636EF" w:rsidRDefault="003636EF" w:rsidP="00DB34DE">
      <w:pPr>
        <w:spacing w:line="276" w:lineRule="auto"/>
        <w:ind w:firstLine="720"/>
        <w:jc w:val="both"/>
      </w:pPr>
    </w:p>
    <w:p w14:paraId="6BF5F3DE" w14:textId="1A553E1C" w:rsidR="00530B85" w:rsidRDefault="00530B85" w:rsidP="00DB34DE">
      <w:pPr>
        <w:spacing w:line="276" w:lineRule="auto"/>
        <w:ind w:firstLine="720"/>
        <w:jc w:val="both"/>
      </w:pPr>
      <w:r w:rsidRPr="005B32E7">
        <w:t>Spriedums nav pārsūdzams.</w:t>
      </w:r>
      <w:bookmarkEnd w:id="2"/>
      <w:bookmarkEnd w:id="3"/>
    </w:p>
    <w:sectPr w:rsidR="00530B85" w:rsidSect="008951D9">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34C3" w14:textId="77777777" w:rsidR="00D51F82" w:rsidRDefault="00D51F82" w:rsidP="006529EF">
      <w:r>
        <w:separator/>
      </w:r>
    </w:p>
  </w:endnote>
  <w:endnote w:type="continuationSeparator" w:id="0">
    <w:p w14:paraId="79CB4A02" w14:textId="77777777" w:rsidR="00D51F82" w:rsidRDefault="00D51F82" w:rsidP="006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4131B3A0" w14:textId="4B23D215" w:rsidR="00E7795D" w:rsidRPr="00960CDF" w:rsidRDefault="00E7795D" w:rsidP="00FD7F62">
        <w:pPr>
          <w:pStyle w:val="Footer"/>
          <w:jc w:val="center"/>
          <w:rPr>
            <w:sz w:val="20"/>
            <w:szCs w:val="20"/>
          </w:rPr>
        </w:pPr>
        <w:r w:rsidRPr="00960CDF">
          <w:rPr>
            <w:bCs/>
            <w:sz w:val="20"/>
            <w:szCs w:val="20"/>
          </w:rPr>
          <w:fldChar w:fldCharType="begin"/>
        </w:r>
        <w:r w:rsidRPr="00960CDF">
          <w:rPr>
            <w:bCs/>
            <w:sz w:val="20"/>
            <w:szCs w:val="20"/>
          </w:rPr>
          <w:instrText xml:space="preserve"> PAGE </w:instrText>
        </w:r>
        <w:r w:rsidRPr="00960CDF">
          <w:rPr>
            <w:bCs/>
            <w:sz w:val="20"/>
            <w:szCs w:val="20"/>
          </w:rPr>
          <w:fldChar w:fldCharType="separate"/>
        </w:r>
        <w:r w:rsidR="00C44704" w:rsidRPr="00960CDF">
          <w:rPr>
            <w:bCs/>
            <w:noProof/>
            <w:sz w:val="20"/>
            <w:szCs w:val="20"/>
          </w:rPr>
          <w:t>2</w:t>
        </w:r>
        <w:r w:rsidRPr="00960CDF">
          <w:rPr>
            <w:bCs/>
            <w:sz w:val="20"/>
            <w:szCs w:val="20"/>
          </w:rPr>
          <w:fldChar w:fldCharType="end"/>
        </w:r>
        <w:r w:rsidRPr="00960CDF">
          <w:rPr>
            <w:sz w:val="20"/>
            <w:szCs w:val="20"/>
          </w:rPr>
          <w:t xml:space="preserve"> no </w:t>
        </w:r>
        <w:r w:rsidRPr="00960CDF">
          <w:rPr>
            <w:bCs/>
            <w:sz w:val="20"/>
            <w:szCs w:val="20"/>
          </w:rPr>
          <w:fldChar w:fldCharType="begin"/>
        </w:r>
        <w:r w:rsidRPr="00960CDF">
          <w:rPr>
            <w:bCs/>
            <w:sz w:val="20"/>
            <w:szCs w:val="20"/>
          </w:rPr>
          <w:instrText xml:space="preserve"> NUMPAGES  </w:instrText>
        </w:r>
        <w:r w:rsidRPr="00960CDF">
          <w:rPr>
            <w:bCs/>
            <w:sz w:val="20"/>
            <w:szCs w:val="20"/>
          </w:rPr>
          <w:fldChar w:fldCharType="separate"/>
        </w:r>
        <w:r w:rsidR="00C44704" w:rsidRPr="00960CDF">
          <w:rPr>
            <w:bCs/>
            <w:noProof/>
            <w:sz w:val="20"/>
            <w:szCs w:val="20"/>
          </w:rPr>
          <w:t>6</w:t>
        </w:r>
        <w:r w:rsidRPr="00960CDF">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D827" w14:textId="77777777" w:rsidR="00D51F82" w:rsidRDefault="00D51F82" w:rsidP="006529EF">
      <w:r>
        <w:separator/>
      </w:r>
    </w:p>
  </w:footnote>
  <w:footnote w:type="continuationSeparator" w:id="0">
    <w:p w14:paraId="19C6CB66" w14:textId="77777777" w:rsidR="00D51F82" w:rsidRDefault="00D51F82" w:rsidP="0065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40023508">
    <w:abstractNumId w:val="0"/>
  </w:num>
  <w:num w:numId="2" w16cid:durableId="16629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86"/>
    <w:rsid w:val="00006308"/>
    <w:rsid w:val="00007063"/>
    <w:rsid w:val="0001061E"/>
    <w:rsid w:val="00015DF5"/>
    <w:rsid w:val="00017563"/>
    <w:rsid w:val="00023EF7"/>
    <w:rsid w:val="00024732"/>
    <w:rsid w:val="00027EBD"/>
    <w:rsid w:val="00031336"/>
    <w:rsid w:val="00035CD2"/>
    <w:rsid w:val="00040161"/>
    <w:rsid w:val="00040C7A"/>
    <w:rsid w:val="00040DF1"/>
    <w:rsid w:val="00047D81"/>
    <w:rsid w:val="00051A15"/>
    <w:rsid w:val="00057AE9"/>
    <w:rsid w:val="00063C46"/>
    <w:rsid w:val="00063E4D"/>
    <w:rsid w:val="00064A5C"/>
    <w:rsid w:val="000654CA"/>
    <w:rsid w:val="0006617F"/>
    <w:rsid w:val="0007236A"/>
    <w:rsid w:val="00073A4C"/>
    <w:rsid w:val="000764BD"/>
    <w:rsid w:val="00083B99"/>
    <w:rsid w:val="00084B3D"/>
    <w:rsid w:val="00090932"/>
    <w:rsid w:val="000970F2"/>
    <w:rsid w:val="000A11B9"/>
    <w:rsid w:val="000A2A9C"/>
    <w:rsid w:val="000A2B42"/>
    <w:rsid w:val="000A56AF"/>
    <w:rsid w:val="000B09C2"/>
    <w:rsid w:val="000B1025"/>
    <w:rsid w:val="000B4C81"/>
    <w:rsid w:val="000B7B10"/>
    <w:rsid w:val="000C05B2"/>
    <w:rsid w:val="000C19AB"/>
    <w:rsid w:val="000C1BDE"/>
    <w:rsid w:val="000C25ED"/>
    <w:rsid w:val="000C3B08"/>
    <w:rsid w:val="000D290E"/>
    <w:rsid w:val="000D29E4"/>
    <w:rsid w:val="000D41F8"/>
    <w:rsid w:val="000D5704"/>
    <w:rsid w:val="000D5EB4"/>
    <w:rsid w:val="000E45B7"/>
    <w:rsid w:val="000E5484"/>
    <w:rsid w:val="000F2402"/>
    <w:rsid w:val="00101175"/>
    <w:rsid w:val="00101FA3"/>
    <w:rsid w:val="001101F2"/>
    <w:rsid w:val="00111CF0"/>
    <w:rsid w:val="0012048D"/>
    <w:rsid w:val="001204DC"/>
    <w:rsid w:val="00120C51"/>
    <w:rsid w:val="001244F3"/>
    <w:rsid w:val="00124F8D"/>
    <w:rsid w:val="0012527B"/>
    <w:rsid w:val="00127646"/>
    <w:rsid w:val="00133050"/>
    <w:rsid w:val="001350F9"/>
    <w:rsid w:val="001366EF"/>
    <w:rsid w:val="001367A8"/>
    <w:rsid w:val="0014204B"/>
    <w:rsid w:val="00142E6A"/>
    <w:rsid w:val="00143125"/>
    <w:rsid w:val="00147976"/>
    <w:rsid w:val="00147D6F"/>
    <w:rsid w:val="00147FD5"/>
    <w:rsid w:val="00147FED"/>
    <w:rsid w:val="00150B6C"/>
    <w:rsid w:val="00152B20"/>
    <w:rsid w:val="00154D54"/>
    <w:rsid w:val="00157A60"/>
    <w:rsid w:val="00157F9E"/>
    <w:rsid w:val="00160337"/>
    <w:rsid w:val="0016425C"/>
    <w:rsid w:val="001677C3"/>
    <w:rsid w:val="00167D3B"/>
    <w:rsid w:val="0017251B"/>
    <w:rsid w:val="00173659"/>
    <w:rsid w:val="0017760A"/>
    <w:rsid w:val="00182EBE"/>
    <w:rsid w:val="001836F4"/>
    <w:rsid w:val="0018789B"/>
    <w:rsid w:val="00187E04"/>
    <w:rsid w:val="00190B1D"/>
    <w:rsid w:val="00192926"/>
    <w:rsid w:val="001929AD"/>
    <w:rsid w:val="00195215"/>
    <w:rsid w:val="001A02AD"/>
    <w:rsid w:val="001A5DD7"/>
    <w:rsid w:val="001A6350"/>
    <w:rsid w:val="001B3594"/>
    <w:rsid w:val="001B6ADC"/>
    <w:rsid w:val="001B6B8F"/>
    <w:rsid w:val="001C2ECF"/>
    <w:rsid w:val="001C5B07"/>
    <w:rsid w:val="001D54E8"/>
    <w:rsid w:val="001D6A88"/>
    <w:rsid w:val="001E4773"/>
    <w:rsid w:val="001E57C3"/>
    <w:rsid w:val="001E5A4C"/>
    <w:rsid w:val="001E610C"/>
    <w:rsid w:val="001F7E91"/>
    <w:rsid w:val="00204BB2"/>
    <w:rsid w:val="00207BC0"/>
    <w:rsid w:val="00207CBC"/>
    <w:rsid w:val="00211C23"/>
    <w:rsid w:val="0021592F"/>
    <w:rsid w:val="00217FCC"/>
    <w:rsid w:val="00220AB0"/>
    <w:rsid w:val="00221F2F"/>
    <w:rsid w:val="0022238E"/>
    <w:rsid w:val="002315C0"/>
    <w:rsid w:val="00234359"/>
    <w:rsid w:val="00234E8D"/>
    <w:rsid w:val="00236309"/>
    <w:rsid w:val="00236491"/>
    <w:rsid w:val="0023779D"/>
    <w:rsid w:val="00240623"/>
    <w:rsid w:val="00241DB7"/>
    <w:rsid w:val="00243289"/>
    <w:rsid w:val="00243CB5"/>
    <w:rsid w:val="0024406E"/>
    <w:rsid w:val="00244B74"/>
    <w:rsid w:val="00244C25"/>
    <w:rsid w:val="00246EA5"/>
    <w:rsid w:val="00250DF6"/>
    <w:rsid w:val="00262670"/>
    <w:rsid w:val="00267D87"/>
    <w:rsid w:val="002712A0"/>
    <w:rsid w:val="00275BBA"/>
    <w:rsid w:val="002763F4"/>
    <w:rsid w:val="0027694D"/>
    <w:rsid w:val="00277032"/>
    <w:rsid w:val="00277B42"/>
    <w:rsid w:val="002802AD"/>
    <w:rsid w:val="00280EB8"/>
    <w:rsid w:val="00283F41"/>
    <w:rsid w:val="00285ABE"/>
    <w:rsid w:val="00285B92"/>
    <w:rsid w:val="00291BD8"/>
    <w:rsid w:val="00292128"/>
    <w:rsid w:val="002A4CC8"/>
    <w:rsid w:val="002A79F1"/>
    <w:rsid w:val="002B076D"/>
    <w:rsid w:val="002B2374"/>
    <w:rsid w:val="002B2F6D"/>
    <w:rsid w:val="002B52DD"/>
    <w:rsid w:val="002C15A9"/>
    <w:rsid w:val="002C230C"/>
    <w:rsid w:val="002C4F56"/>
    <w:rsid w:val="002C79FF"/>
    <w:rsid w:val="002D6292"/>
    <w:rsid w:val="002D7667"/>
    <w:rsid w:val="002E03DD"/>
    <w:rsid w:val="002E1228"/>
    <w:rsid w:val="002E20F1"/>
    <w:rsid w:val="002E26B6"/>
    <w:rsid w:val="002E572C"/>
    <w:rsid w:val="002E5E20"/>
    <w:rsid w:val="002E5F76"/>
    <w:rsid w:val="002E66EB"/>
    <w:rsid w:val="002E7C3C"/>
    <w:rsid w:val="002F4C1A"/>
    <w:rsid w:val="002F7B17"/>
    <w:rsid w:val="00301B34"/>
    <w:rsid w:val="003028AA"/>
    <w:rsid w:val="003037D0"/>
    <w:rsid w:val="003055CD"/>
    <w:rsid w:val="003059C6"/>
    <w:rsid w:val="003074C9"/>
    <w:rsid w:val="003132A5"/>
    <w:rsid w:val="00313ABF"/>
    <w:rsid w:val="00315BA8"/>
    <w:rsid w:val="00315E14"/>
    <w:rsid w:val="0031667A"/>
    <w:rsid w:val="00316FB2"/>
    <w:rsid w:val="00316FFD"/>
    <w:rsid w:val="00321242"/>
    <w:rsid w:val="00323DC3"/>
    <w:rsid w:val="003247CB"/>
    <w:rsid w:val="00325652"/>
    <w:rsid w:val="0033669A"/>
    <w:rsid w:val="003374FA"/>
    <w:rsid w:val="00337CDE"/>
    <w:rsid w:val="0034489E"/>
    <w:rsid w:val="003449E0"/>
    <w:rsid w:val="00345F49"/>
    <w:rsid w:val="0034692F"/>
    <w:rsid w:val="00347053"/>
    <w:rsid w:val="003474A8"/>
    <w:rsid w:val="00347794"/>
    <w:rsid w:val="00350A6E"/>
    <w:rsid w:val="00351CFA"/>
    <w:rsid w:val="00353780"/>
    <w:rsid w:val="00353DE6"/>
    <w:rsid w:val="0035466A"/>
    <w:rsid w:val="00356E4C"/>
    <w:rsid w:val="003636EF"/>
    <w:rsid w:val="00366C9C"/>
    <w:rsid w:val="0037100A"/>
    <w:rsid w:val="00375305"/>
    <w:rsid w:val="00375EF9"/>
    <w:rsid w:val="00376D11"/>
    <w:rsid w:val="0037752E"/>
    <w:rsid w:val="0038085B"/>
    <w:rsid w:val="00380B49"/>
    <w:rsid w:val="0038470F"/>
    <w:rsid w:val="00384F49"/>
    <w:rsid w:val="00387262"/>
    <w:rsid w:val="00387CC9"/>
    <w:rsid w:val="00390C7A"/>
    <w:rsid w:val="00391126"/>
    <w:rsid w:val="0039171C"/>
    <w:rsid w:val="00393B5C"/>
    <w:rsid w:val="00394E6F"/>
    <w:rsid w:val="00396E43"/>
    <w:rsid w:val="003A1EDF"/>
    <w:rsid w:val="003A661F"/>
    <w:rsid w:val="003B30FA"/>
    <w:rsid w:val="003B4B60"/>
    <w:rsid w:val="003B54BF"/>
    <w:rsid w:val="003B6BF1"/>
    <w:rsid w:val="003C011B"/>
    <w:rsid w:val="003C493B"/>
    <w:rsid w:val="003D0227"/>
    <w:rsid w:val="003D59BD"/>
    <w:rsid w:val="003D65DB"/>
    <w:rsid w:val="003D7180"/>
    <w:rsid w:val="003E4374"/>
    <w:rsid w:val="003E4988"/>
    <w:rsid w:val="003E7440"/>
    <w:rsid w:val="003F0C55"/>
    <w:rsid w:val="003F1A4B"/>
    <w:rsid w:val="003F3CF6"/>
    <w:rsid w:val="003F4DC6"/>
    <w:rsid w:val="003F58BD"/>
    <w:rsid w:val="003F690F"/>
    <w:rsid w:val="00401F9B"/>
    <w:rsid w:val="00402AF2"/>
    <w:rsid w:val="00407B5A"/>
    <w:rsid w:val="0041287B"/>
    <w:rsid w:val="00416685"/>
    <w:rsid w:val="00416C02"/>
    <w:rsid w:val="00422318"/>
    <w:rsid w:val="004266B7"/>
    <w:rsid w:val="00427F9F"/>
    <w:rsid w:val="00435790"/>
    <w:rsid w:val="004358BB"/>
    <w:rsid w:val="00436AC7"/>
    <w:rsid w:val="00437359"/>
    <w:rsid w:val="00442E3F"/>
    <w:rsid w:val="00447252"/>
    <w:rsid w:val="0044748B"/>
    <w:rsid w:val="00454C4C"/>
    <w:rsid w:val="00457B1F"/>
    <w:rsid w:val="00457E70"/>
    <w:rsid w:val="004643A2"/>
    <w:rsid w:val="00465DF7"/>
    <w:rsid w:val="00465F87"/>
    <w:rsid w:val="0046655E"/>
    <w:rsid w:val="00466969"/>
    <w:rsid w:val="00471229"/>
    <w:rsid w:val="00475501"/>
    <w:rsid w:val="00476DBB"/>
    <w:rsid w:val="00481AD9"/>
    <w:rsid w:val="00482F6B"/>
    <w:rsid w:val="0048505A"/>
    <w:rsid w:val="00485267"/>
    <w:rsid w:val="004855B7"/>
    <w:rsid w:val="004871DA"/>
    <w:rsid w:val="0049244A"/>
    <w:rsid w:val="00493E50"/>
    <w:rsid w:val="00495319"/>
    <w:rsid w:val="004960AC"/>
    <w:rsid w:val="00497438"/>
    <w:rsid w:val="004A0315"/>
    <w:rsid w:val="004A083A"/>
    <w:rsid w:val="004A198D"/>
    <w:rsid w:val="004A296C"/>
    <w:rsid w:val="004A2F06"/>
    <w:rsid w:val="004A39D8"/>
    <w:rsid w:val="004A4C40"/>
    <w:rsid w:val="004B2A66"/>
    <w:rsid w:val="004B5AD3"/>
    <w:rsid w:val="004B62F4"/>
    <w:rsid w:val="004B699C"/>
    <w:rsid w:val="004B7EC7"/>
    <w:rsid w:val="004C28F0"/>
    <w:rsid w:val="004C4FD5"/>
    <w:rsid w:val="004C595D"/>
    <w:rsid w:val="004C66F8"/>
    <w:rsid w:val="004C74F4"/>
    <w:rsid w:val="004D1BB6"/>
    <w:rsid w:val="004D34C5"/>
    <w:rsid w:val="004E041C"/>
    <w:rsid w:val="004E193F"/>
    <w:rsid w:val="004E21B1"/>
    <w:rsid w:val="004E2C35"/>
    <w:rsid w:val="004E3CD9"/>
    <w:rsid w:val="004E43D5"/>
    <w:rsid w:val="004F13C7"/>
    <w:rsid w:val="004F3538"/>
    <w:rsid w:val="004F5DD5"/>
    <w:rsid w:val="004F682D"/>
    <w:rsid w:val="004F7763"/>
    <w:rsid w:val="005003D1"/>
    <w:rsid w:val="00502DAB"/>
    <w:rsid w:val="00506AC6"/>
    <w:rsid w:val="005079BE"/>
    <w:rsid w:val="0051084B"/>
    <w:rsid w:val="005114DA"/>
    <w:rsid w:val="005141E0"/>
    <w:rsid w:val="005144E6"/>
    <w:rsid w:val="00515294"/>
    <w:rsid w:val="0051687C"/>
    <w:rsid w:val="00520512"/>
    <w:rsid w:val="00522A99"/>
    <w:rsid w:val="00523F55"/>
    <w:rsid w:val="005269E5"/>
    <w:rsid w:val="00530A50"/>
    <w:rsid w:val="00530B85"/>
    <w:rsid w:val="00530EE3"/>
    <w:rsid w:val="00533198"/>
    <w:rsid w:val="005355AB"/>
    <w:rsid w:val="005371A6"/>
    <w:rsid w:val="00544068"/>
    <w:rsid w:val="00553AC1"/>
    <w:rsid w:val="00554BE9"/>
    <w:rsid w:val="005558AA"/>
    <w:rsid w:val="00567D36"/>
    <w:rsid w:val="005719B9"/>
    <w:rsid w:val="00572288"/>
    <w:rsid w:val="00572E54"/>
    <w:rsid w:val="0057404C"/>
    <w:rsid w:val="00574147"/>
    <w:rsid w:val="00574167"/>
    <w:rsid w:val="00583F60"/>
    <w:rsid w:val="00584951"/>
    <w:rsid w:val="00586C0D"/>
    <w:rsid w:val="00587F8A"/>
    <w:rsid w:val="0059475F"/>
    <w:rsid w:val="00594AA6"/>
    <w:rsid w:val="00595966"/>
    <w:rsid w:val="005A13A4"/>
    <w:rsid w:val="005A2323"/>
    <w:rsid w:val="005A2B71"/>
    <w:rsid w:val="005A474A"/>
    <w:rsid w:val="005A61AC"/>
    <w:rsid w:val="005B16C7"/>
    <w:rsid w:val="005B26E2"/>
    <w:rsid w:val="005B32E7"/>
    <w:rsid w:val="005B7B9C"/>
    <w:rsid w:val="005C3401"/>
    <w:rsid w:val="005C4739"/>
    <w:rsid w:val="005C677D"/>
    <w:rsid w:val="005C6CDC"/>
    <w:rsid w:val="005D28F3"/>
    <w:rsid w:val="005D5233"/>
    <w:rsid w:val="005D5A8A"/>
    <w:rsid w:val="005D5E45"/>
    <w:rsid w:val="005D750C"/>
    <w:rsid w:val="005E0F69"/>
    <w:rsid w:val="005E3D82"/>
    <w:rsid w:val="005E4FE9"/>
    <w:rsid w:val="005E7EBA"/>
    <w:rsid w:val="005F077C"/>
    <w:rsid w:val="005F11E0"/>
    <w:rsid w:val="005F38CA"/>
    <w:rsid w:val="00601D88"/>
    <w:rsid w:val="00602A77"/>
    <w:rsid w:val="00605C6B"/>
    <w:rsid w:val="00607FA9"/>
    <w:rsid w:val="0061512E"/>
    <w:rsid w:val="00622ED8"/>
    <w:rsid w:val="00625832"/>
    <w:rsid w:val="00630A0A"/>
    <w:rsid w:val="006325D9"/>
    <w:rsid w:val="00632AAD"/>
    <w:rsid w:val="00633F29"/>
    <w:rsid w:val="00640358"/>
    <w:rsid w:val="006436DF"/>
    <w:rsid w:val="00645646"/>
    <w:rsid w:val="006465BD"/>
    <w:rsid w:val="006509BD"/>
    <w:rsid w:val="006529EF"/>
    <w:rsid w:val="006563FD"/>
    <w:rsid w:val="00656EB2"/>
    <w:rsid w:val="00657C10"/>
    <w:rsid w:val="00661736"/>
    <w:rsid w:val="006637EA"/>
    <w:rsid w:val="00665EBB"/>
    <w:rsid w:val="00667B95"/>
    <w:rsid w:val="00672059"/>
    <w:rsid w:val="0067262E"/>
    <w:rsid w:val="006738A0"/>
    <w:rsid w:val="00674145"/>
    <w:rsid w:val="006741AD"/>
    <w:rsid w:val="00674C39"/>
    <w:rsid w:val="006822FB"/>
    <w:rsid w:val="00683EC0"/>
    <w:rsid w:val="006849DA"/>
    <w:rsid w:val="006875D1"/>
    <w:rsid w:val="006935AF"/>
    <w:rsid w:val="00695335"/>
    <w:rsid w:val="006A0159"/>
    <w:rsid w:val="006A4459"/>
    <w:rsid w:val="006A628B"/>
    <w:rsid w:val="006A77EC"/>
    <w:rsid w:val="006A78B9"/>
    <w:rsid w:val="006C231B"/>
    <w:rsid w:val="006C499D"/>
    <w:rsid w:val="006C52BB"/>
    <w:rsid w:val="006C6475"/>
    <w:rsid w:val="006C68CA"/>
    <w:rsid w:val="006C705C"/>
    <w:rsid w:val="006D1703"/>
    <w:rsid w:val="006D1823"/>
    <w:rsid w:val="006D2191"/>
    <w:rsid w:val="006D362D"/>
    <w:rsid w:val="006E6558"/>
    <w:rsid w:val="006F19BE"/>
    <w:rsid w:val="006F1A3E"/>
    <w:rsid w:val="006F46AE"/>
    <w:rsid w:val="006F47CF"/>
    <w:rsid w:val="00700911"/>
    <w:rsid w:val="00700972"/>
    <w:rsid w:val="0070163A"/>
    <w:rsid w:val="00704AC0"/>
    <w:rsid w:val="0070697D"/>
    <w:rsid w:val="007133A3"/>
    <w:rsid w:val="0071519D"/>
    <w:rsid w:val="00716738"/>
    <w:rsid w:val="0071726F"/>
    <w:rsid w:val="007204BD"/>
    <w:rsid w:val="00725907"/>
    <w:rsid w:val="00731C64"/>
    <w:rsid w:val="00734255"/>
    <w:rsid w:val="007362B5"/>
    <w:rsid w:val="007374FE"/>
    <w:rsid w:val="00740485"/>
    <w:rsid w:val="007455EA"/>
    <w:rsid w:val="0074688A"/>
    <w:rsid w:val="00747B53"/>
    <w:rsid w:val="007526F5"/>
    <w:rsid w:val="007529BC"/>
    <w:rsid w:val="007534E9"/>
    <w:rsid w:val="00755E67"/>
    <w:rsid w:val="00755E78"/>
    <w:rsid w:val="0075620D"/>
    <w:rsid w:val="00756DC3"/>
    <w:rsid w:val="007571F6"/>
    <w:rsid w:val="00760A48"/>
    <w:rsid w:val="007611C3"/>
    <w:rsid w:val="00761208"/>
    <w:rsid w:val="0076407D"/>
    <w:rsid w:val="00765638"/>
    <w:rsid w:val="00765D77"/>
    <w:rsid w:val="00767E54"/>
    <w:rsid w:val="00774B1D"/>
    <w:rsid w:val="00775CED"/>
    <w:rsid w:val="00776656"/>
    <w:rsid w:val="00776AD8"/>
    <w:rsid w:val="00780A5B"/>
    <w:rsid w:val="00780D65"/>
    <w:rsid w:val="00780F91"/>
    <w:rsid w:val="00781A60"/>
    <w:rsid w:val="00787CDD"/>
    <w:rsid w:val="00787E98"/>
    <w:rsid w:val="00793E06"/>
    <w:rsid w:val="0079648B"/>
    <w:rsid w:val="0079787F"/>
    <w:rsid w:val="00797962"/>
    <w:rsid w:val="00797A3E"/>
    <w:rsid w:val="007A3E9C"/>
    <w:rsid w:val="007B012F"/>
    <w:rsid w:val="007B2D96"/>
    <w:rsid w:val="007B3F07"/>
    <w:rsid w:val="007B432D"/>
    <w:rsid w:val="007B4E58"/>
    <w:rsid w:val="007B640D"/>
    <w:rsid w:val="007C3A97"/>
    <w:rsid w:val="007C69E1"/>
    <w:rsid w:val="007C6DC6"/>
    <w:rsid w:val="007D1BC8"/>
    <w:rsid w:val="007D2720"/>
    <w:rsid w:val="007D2FB2"/>
    <w:rsid w:val="007D46C3"/>
    <w:rsid w:val="007D72AD"/>
    <w:rsid w:val="007D7D0D"/>
    <w:rsid w:val="007E52E6"/>
    <w:rsid w:val="007E5E1A"/>
    <w:rsid w:val="00804EEA"/>
    <w:rsid w:val="00805A73"/>
    <w:rsid w:val="008131CA"/>
    <w:rsid w:val="008148DD"/>
    <w:rsid w:val="00816B55"/>
    <w:rsid w:val="008210D7"/>
    <w:rsid w:val="00823318"/>
    <w:rsid w:val="00825201"/>
    <w:rsid w:val="00826625"/>
    <w:rsid w:val="00830430"/>
    <w:rsid w:val="00832115"/>
    <w:rsid w:val="00833C72"/>
    <w:rsid w:val="0083578F"/>
    <w:rsid w:val="0083658A"/>
    <w:rsid w:val="008371ED"/>
    <w:rsid w:val="00841868"/>
    <w:rsid w:val="0084647D"/>
    <w:rsid w:val="00847649"/>
    <w:rsid w:val="0085009A"/>
    <w:rsid w:val="00851625"/>
    <w:rsid w:val="00855847"/>
    <w:rsid w:val="0086004B"/>
    <w:rsid w:val="00861227"/>
    <w:rsid w:val="0086152E"/>
    <w:rsid w:val="008654C4"/>
    <w:rsid w:val="00867E87"/>
    <w:rsid w:val="00874795"/>
    <w:rsid w:val="00875CB2"/>
    <w:rsid w:val="008832C0"/>
    <w:rsid w:val="00885DCA"/>
    <w:rsid w:val="00886C78"/>
    <w:rsid w:val="00887E1A"/>
    <w:rsid w:val="00891320"/>
    <w:rsid w:val="00891D1F"/>
    <w:rsid w:val="00894718"/>
    <w:rsid w:val="00894B14"/>
    <w:rsid w:val="008951D9"/>
    <w:rsid w:val="008961B1"/>
    <w:rsid w:val="00897CBE"/>
    <w:rsid w:val="008A0D85"/>
    <w:rsid w:val="008A4DF8"/>
    <w:rsid w:val="008A593C"/>
    <w:rsid w:val="008B0296"/>
    <w:rsid w:val="008B055F"/>
    <w:rsid w:val="008B1CDD"/>
    <w:rsid w:val="008B6ACB"/>
    <w:rsid w:val="008C0FC5"/>
    <w:rsid w:val="008C1467"/>
    <w:rsid w:val="008C1F44"/>
    <w:rsid w:val="008C3708"/>
    <w:rsid w:val="008C3D15"/>
    <w:rsid w:val="008C7E97"/>
    <w:rsid w:val="008D0231"/>
    <w:rsid w:val="008D06F1"/>
    <w:rsid w:val="008D0D9B"/>
    <w:rsid w:val="008D1044"/>
    <w:rsid w:val="008D2AD7"/>
    <w:rsid w:val="008D62E0"/>
    <w:rsid w:val="008E0544"/>
    <w:rsid w:val="008E35D8"/>
    <w:rsid w:val="008E4B34"/>
    <w:rsid w:val="008E57E0"/>
    <w:rsid w:val="008E59E4"/>
    <w:rsid w:val="008E7113"/>
    <w:rsid w:val="008E73E2"/>
    <w:rsid w:val="008E757A"/>
    <w:rsid w:val="008F2DD9"/>
    <w:rsid w:val="008F3189"/>
    <w:rsid w:val="008F45ED"/>
    <w:rsid w:val="008F68C8"/>
    <w:rsid w:val="008F691E"/>
    <w:rsid w:val="008F7299"/>
    <w:rsid w:val="008F7AC4"/>
    <w:rsid w:val="008F7BB7"/>
    <w:rsid w:val="0090025F"/>
    <w:rsid w:val="00901B11"/>
    <w:rsid w:val="00902554"/>
    <w:rsid w:val="00906440"/>
    <w:rsid w:val="00907A52"/>
    <w:rsid w:val="009103F3"/>
    <w:rsid w:val="00910738"/>
    <w:rsid w:val="00912700"/>
    <w:rsid w:val="009132F4"/>
    <w:rsid w:val="009169CD"/>
    <w:rsid w:val="00917615"/>
    <w:rsid w:val="00917CEE"/>
    <w:rsid w:val="00920944"/>
    <w:rsid w:val="00922D0F"/>
    <w:rsid w:val="00923ACB"/>
    <w:rsid w:val="00924B24"/>
    <w:rsid w:val="00924B33"/>
    <w:rsid w:val="0092509B"/>
    <w:rsid w:val="00927265"/>
    <w:rsid w:val="0092755B"/>
    <w:rsid w:val="00935036"/>
    <w:rsid w:val="009355DF"/>
    <w:rsid w:val="009403D2"/>
    <w:rsid w:val="00940590"/>
    <w:rsid w:val="00943D9B"/>
    <w:rsid w:val="009441DD"/>
    <w:rsid w:val="009449E4"/>
    <w:rsid w:val="00945284"/>
    <w:rsid w:val="009454F1"/>
    <w:rsid w:val="0094740D"/>
    <w:rsid w:val="00950A46"/>
    <w:rsid w:val="009522E5"/>
    <w:rsid w:val="00953812"/>
    <w:rsid w:val="00954D71"/>
    <w:rsid w:val="00956606"/>
    <w:rsid w:val="00960CDF"/>
    <w:rsid w:val="00961E97"/>
    <w:rsid w:val="00962B44"/>
    <w:rsid w:val="00965A52"/>
    <w:rsid w:val="00971469"/>
    <w:rsid w:val="0097576E"/>
    <w:rsid w:val="00977D2B"/>
    <w:rsid w:val="009809AC"/>
    <w:rsid w:val="00982501"/>
    <w:rsid w:val="009831E2"/>
    <w:rsid w:val="0098644F"/>
    <w:rsid w:val="009912C8"/>
    <w:rsid w:val="00991D50"/>
    <w:rsid w:val="009957A0"/>
    <w:rsid w:val="0099638E"/>
    <w:rsid w:val="00996825"/>
    <w:rsid w:val="00996896"/>
    <w:rsid w:val="0099709E"/>
    <w:rsid w:val="0099745C"/>
    <w:rsid w:val="009A0CD6"/>
    <w:rsid w:val="009A0FEA"/>
    <w:rsid w:val="009A252C"/>
    <w:rsid w:val="009A27A6"/>
    <w:rsid w:val="009A6663"/>
    <w:rsid w:val="009A6EBC"/>
    <w:rsid w:val="009A7E14"/>
    <w:rsid w:val="009B2F11"/>
    <w:rsid w:val="009B6BCE"/>
    <w:rsid w:val="009C254B"/>
    <w:rsid w:val="009C2CE4"/>
    <w:rsid w:val="009C444A"/>
    <w:rsid w:val="009C7496"/>
    <w:rsid w:val="009C75EA"/>
    <w:rsid w:val="009D1568"/>
    <w:rsid w:val="009E4D74"/>
    <w:rsid w:val="009F0BE4"/>
    <w:rsid w:val="009F147D"/>
    <w:rsid w:val="00A004A8"/>
    <w:rsid w:val="00A00E45"/>
    <w:rsid w:val="00A04AC2"/>
    <w:rsid w:val="00A12002"/>
    <w:rsid w:val="00A125AE"/>
    <w:rsid w:val="00A12C02"/>
    <w:rsid w:val="00A169D0"/>
    <w:rsid w:val="00A20A40"/>
    <w:rsid w:val="00A2325C"/>
    <w:rsid w:val="00A233A8"/>
    <w:rsid w:val="00A241E1"/>
    <w:rsid w:val="00A271A6"/>
    <w:rsid w:val="00A27C88"/>
    <w:rsid w:val="00A33A87"/>
    <w:rsid w:val="00A34D69"/>
    <w:rsid w:val="00A4020F"/>
    <w:rsid w:val="00A4251D"/>
    <w:rsid w:val="00A42E4A"/>
    <w:rsid w:val="00A46631"/>
    <w:rsid w:val="00A508A9"/>
    <w:rsid w:val="00A54D95"/>
    <w:rsid w:val="00A55449"/>
    <w:rsid w:val="00A60851"/>
    <w:rsid w:val="00A66A0A"/>
    <w:rsid w:val="00A737DA"/>
    <w:rsid w:val="00A776E0"/>
    <w:rsid w:val="00A82B73"/>
    <w:rsid w:val="00A82CF3"/>
    <w:rsid w:val="00A84A7B"/>
    <w:rsid w:val="00A86715"/>
    <w:rsid w:val="00A87025"/>
    <w:rsid w:val="00A87ADE"/>
    <w:rsid w:val="00A9011E"/>
    <w:rsid w:val="00A903E8"/>
    <w:rsid w:val="00A92371"/>
    <w:rsid w:val="00A92CFA"/>
    <w:rsid w:val="00A94BAE"/>
    <w:rsid w:val="00AA70E4"/>
    <w:rsid w:val="00AA7832"/>
    <w:rsid w:val="00AA7E7A"/>
    <w:rsid w:val="00AB2F8B"/>
    <w:rsid w:val="00AB530B"/>
    <w:rsid w:val="00AC194C"/>
    <w:rsid w:val="00AC2D3D"/>
    <w:rsid w:val="00AC3247"/>
    <w:rsid w:val="00AC4FB0"/>
    <w:rsid w:val="00AC565E"/>
    <w:rsid w:val="00AC575D"/>
    <w:rsid w:val="00AC6AD4"/>
    <w:rsid w:val="00AD160A"/>
    <w:rsid w:val="00AD648F"/>
    <w:rsid w:val="00AD72D2"/>
    <w:rsid w:val="00AE0ED0"/>
    <w:rsid w:val="00AE4E93"/>
    <w:rsid w:val="00AE7CD4"/>
    <w:rsid w:val="00AF10AB"/>
    <w:rsid w:val="00AF1AAD"/>
    <w:rsid w:val="00AF491F"/>
    <w:rsid w:val="00AF4EF7"/>
    <w:rsid w:val="00B0043C"/>
    <w:rsid w:val="00B01AED"/>
    <w:rsid w:val="00B0481D"/>
    <w:rsid w:val="00B12C0E"/>
    <w:rsid w:val="00B20C81"/>
    <w:rsid w:val="00B2138B"/>
    <w:rsid w:val="00B21D22"/>
    <w:rsid w:val="00B25D5D"/>
    <w:rsid w:val="00B31F03"/>
    <w:rsid w:val="00B33B12"/>
    <w:rsid w:val="00B35DC0"/>
    <w:rsid w:val="00B36C5B"/>
    <w:rsid w:val="00B40DE7"/>
    <w:rsid w:val="00B41111"/>
    <w:rsid w:val="00B42AF4"/>
    <w:rsid w:val="00B42D2F"/>
    <w:rsid w:val="00B44113"/>
    <w:rsid w:val="00B47609"/>
    <w:rsid w:val="00B50EF6"/>
    <w:rsid w:val="00B52325"/>
    <w:rsid w:val="00B55096"/>
    <w:rsid w:val="00B57D9A"/>
    <w:rsid w:val="00B60307"/>
    <w:rsid w:val="00B61683"/>
    <w:rsid w:val="00B629B2"/>
    <w:rsid w:val="00B648AD"/>
    <w:rsid w:val="00B64E26"/>
    <w:rsid w:val="00B6526D"/>
    <w:rsid w:val="00B71114"/>
    <w:rsid w:val="00B73EE2"/>
    <w:rsid w:val="00B74C39"/>
    <w:rsid w:val="00B8323F"/>
    <w:rsid w:val="00B90642"/>
    <w:rsid w:val="00B93AA6"/>
    <w:rsid w:val="00B94327"/>
    <w:rsid w:val="00B96682"/>
    <w:rsid w:val="00BA1477"/>
    <w:rsid w:val="00BA1C24"/>
    <w:rsid w:val="00BA457A"/>
    <w:rsid w:val="00BA5CB2"/>
    <w:rsid w:val="00BA69E5"/>
    <w:rsid w:val="00BA7C9E"/>
    <w:rsid w:val="00BB3531"/>
    <w:rsid w:val="00BB37D8"/>
    <w:rsid w:val="00BB5E4D"/>
    <w:rsid w:val="00BB6C6A"/>
    <w:rsid w:val="00BC32BB"/>
    <w:rsid w:val="00BC3E61"/>
    <w:rsid w:val="00BC4F51"/>
    <w:rsid w:val="00BC5012"/>
    <w:rsid w:val="00BC5323"/>
    <w:rsid w:val="00BC5B1E"/>
    <w:rsid w:val="00BD1F21"/>
    <w:rsid w:val="00BD2723"/>
    <w:rsid w:val="00BD4735"/>
    <w:rsid w:val="00BE00E7"/>
    <w:rsid w:val="00BE38F7"/>
    <w:rsid w:val="00BE5885"/>
    <w:rsid w:val="00BF0115"/>
    <w:rsid w:val="00BF0CDF"/>
    <w:rsid w:val="00BF1B65"/>
    <w:rsid w:val="00BF3B40"/>
    <w:rsid w:val="00BF40A7"/>
    <w:rsid w:val="00BF4683"/>
    <w:rsid w:val="00BF63A7"/>
    <w:rsid w:val="00C012DE"/>
    <w:rsid w:val="00C03809"/>
    <w:rsid w:val="00C04B66"/>
    <w:rsid w:val="00C055B1"/>
    <w:rsid w:val="00C05787"/>
    <w:rsid w:val="00C059B9"/>
    <w:rsid w:val="00C06BEA"/>
    <w:rsid w:val="00C06C94"/>
    <w:rsid w:val="00C120F5"/>
    <w:rsid w:val="00C121C8"/>
    <w:rsid w:val="00C1358D"/>
    <w:rsid w:val="00C158C2"/>
    <w:rsid w:val="00C316D4"/>
    <w:rsid w:val="00C31E43"/>
    <w:rsid w:val="00C37782"/>
    <w:rsid w:val="00C37FD8"/>
    <w:rsid w:val="00C44254"/>
    <w:rsid w:val="00C44704"/>
    <w:rsid w:val="00C45C13"/>
    <w:rsid w:val="00C54574"/>
    <w:rsid w:val="00C5520F"/>
    <w:rsid w:val="00C573F3"/>
    <w:rsid w:val="00C60D81"/>
    <w:rsid w:val="00C6156B"/>
    <w:rsid w:val="00C62A02"/>
    <w:rsid w:val="00C666BD"/>
    <w:rsid w:val="00C6684E"/>
    <w:rsid w:val="00C712A6"/>
    <w:rsid w:val="00C71F79"/>
    <w:rsid w:val="00C73F64"/>
    <w:rsid w:val="00C74FC4"/>
    <w:rsid w:val="00C750E6"/>
    <w:rsid w:val="00C76845"/>
    <w:rsid w:val="00C80EFA"/>
    <w:rsid w:val="00C81ACF"/>
    <w:rsid w:val="00C82810"/>
    <w:rsid w:val="00C82C6F"/>
    <w:rsid w:val="00C853A1"/>
    <w:rsid w:val="00C87FDA"/>
    <w:rsid w:val="00C91E5D"/>
    <w:rsid w:val="00C94348"/>
    <w:rsid w:val="00C94E2F"/>
    <w:rsid w:val="00C962A1"/>
    <w:rsid w:val="00C97055"/>
    <w:rsid w:val="00CA03D6"/>
    <w:rsid w:val="00CA11CC"/>
    <w:rsid w:val="00CA1A16"/>
    <w:rsid w:val="00CA2C27"/>
    <w:rsid w:val="00CA35DF"/>
    <w:rsid w:val="00CA5423"/>
    <w:rsid w:val="00CB2446"/>
    <w:rsid w:val="00CB2D6A"/>
    <w:rsid w:val="00CB4882"/>
    <w:rsid w:val="00CB5B86"/>
    <w:rsid w:val="00CB61D8"/>
    <w:rsid w:val="00CB6916"/>
    <w:rsid w:val="00CC2A12"/>
    <w:rsid w:val="00CC77DB"/>
    <w:rsid w:val="00CD7014"/>
    <w:rsid w:val="00CD7BA8"/>
    <w:rsid w:val="00CE565F"/>
    <w:rsid w:val="00CF10B5"/>
    <w:rsid w:val="00CF1DE4"/>
    <w:rsid w:val="00CF2320"/>
    <w:rsid w:val="00CF493F"/>
    <w:rsid w:val="00CF75AE"/>
    <w:rsid w:val="00D00D02"/>
    <w:rsid w:val="00D061FF"/>
    <w:rsid w:val="00D10606"/>
    <w:rsid w:val="00D10B87"/>
    <w:rsid w:val="00D11DE5"/>
    <w:rsid w:val="00D13D61"/>
    <w:rsid w:val="00D15055"/>
    <w:rsid w:val="00D168CC"/>
    <w:rsid w:val="00D22CAE"/>
    <w:rsid w:val="00D2529B"/>
    <w:rsid w:val="00D257FB"/>
    <w:rsid w:val="00D312E8"/>
    <w:rsid w:val="00D31C31"/>
    <w:rsid w:val="00D35727"/>
    <w:rsid w:val="00D359B2"/>
    <w:rsid w:val="00D37D0D"/>
    <w:rsid w:val="00D40360"/>
    <w:rsid w:val="00D5019F"/>
    <w:rsid w:val="00D51F82"/>
    <w:rsid w:val="00D52080"/>
    <w:rsid w:val="00D52A75"/>
    <w:rsid w:val="00D5396C"/>
    <w:rsid w:val="00D54022"/>
    <w:rsid w:val="00D57191"/>
    <w:rsid w:val="00D571C8"/>
    <w:rsid w:val="00D578D2"/>
    <w:rsid w:val="00D60767"/>
    <w:rsid w:val="00D64B38"/>
    <w:rsid w:val="00D66492"/>
    <w:rsid w:val="00D67A06"/>
    <w:rsid w:val="00D67A3D"/>
    <w:rsid w:val="00D71834"/>
    <w:rsid w:val="00D732A4"/>
    <w:rsid w:val="00D7371A"/>
    <w:rsid w:val="00D739B1"/>
    <w:rsid w:val="00D82A6E"/>
    <w:rsid w:val="00D82C35"/>
    <w:rsid w:val="00D83699"/>
    <w:rsid w:val="00D91960"/>
    <w:rsid w:val="00D938D4"/>
    <w:rsid w:val="00D93F92"/>
    <w:rsid w:val="00D95B43"/>
    <w:rsid w:val="00DA2629"/>
    <w:rsid w:val="00DA74FE"/>
    <w:rsid w:val="00DB0CE0"/>
    <w:rsid w:val="00DB2CFD"/>
    <w:rsid w:val="00DB34D9"/>
    <w:rsid w:val="00DB34DE"/>
    <w:rsid w:val="00DB657E"/>
    <w:rsid w:val="00DB6B14"/>
    <w:rsid w:val="00DC09D5"/>
    <w:rsid w:val="00DC4C46"/>
    <w:rsid w:val="00DC56C3"/>
    <w:rsid w:val="00DC670B"/>
    <w:rsid w:val="00DD03BD"/>
    <w:rsid w:val="00DD2B81"/>
    <w:rsid w:val="00DD74A5"/>
    <w:rsid w:val="00DE0B59"/>
    <w:rsid w:val="00DE3A87"/>
    <w:rsid w:val="00DE3B0E"/>
    <w:rsid w:val="00DE4B96"/>
    <w:rsid w:val="00DE6466"/>
    <w:rsid w:val="00DF3427"/>
    <w:rsid w:val="00DF7006"/>
    <w:rsid w:val="00E01BD3"/>
    <w:rsid w:val="00E02680"/>
    <w:rsid w:val="00E027AE"/>
    <w:rsid w:val="00E07420"/>
    <w:rsid w:val="00E12E2F"/>
    <w:rsid w:val="00E14190"/>
    <w:rsid w:val="00E14D62"/>
    <w:rsid w:val="00E16F31"/>
    <w:rsid w:val="00E17812"/>
    <w:rsid w:val="00E21E33"/>
    <w:rsid w:val="00E248C6"/>
    <w:rsid w:val="00E25B5A"/>
    <w:rsid w:val="00E26516"/>
    <w:rsid w:val="00E274E9"/>
    <w:rsid w:val="00E27F15"/>
    <w:rsid w:val="00E344AB"/>
    <w:rsid w:val="00E354D1"/>
    <w:rsid w:val="00E357E1"/>
    <w:rsid w:val="00E42482"/>
    <w:rsid w:val="00E42802"/>
    <w:rsid w:val="00E502B4"/>
    <w:rsid w:val="00E566CC"/>
    <w:rsid w:val="00E57597"/>
    <w:rsid w:val="00E62A5A"/>
    <w:rsid w:val="00E64A9F"/>
    <w:rsid w:val="00E71995"/>
    <w:rsid w:val="00E71D5F"/>
    <w:rsid w:val="00E72EBE"/>
    <w:rsid w:val="00E7347C"/>
    <w:rsid w:val="00E766AD"/>
    <w:rsid w:val="00E771B8"/>
    <w:rsid w:val="00E7795D"/>
    <w:rsid w:val="00E80C25"/>
    <w:rsid w:val="00E82CB6"/>
    <w:rsid w:val="00E84E83"/>
    <w:rsid w:val="00E85BEB"/>
    <w:rsid w:val="00E875B0"/>
    <w:rsid w:val="00E91E01"/>
    <w:rsid w:val="00E97950"/>
    <w:rsid w:val="00EA07AC"/>
    <w:rsid w:val="00EA1486"/>
    <w:rsid w:val="00EA1F43"/>
    <w:rsid w:val="00EA3D0A"/>
    <w:rsid w:val="00EA3ED6"/>
    <w:rsid w:val="00EA4890"/>
    <w:rsid w:val="00EA5060"/>
    <w:rsid w:val="00EA534A"/>
    <w:rsid w:val="00EA547A"/>
    <w:rsid w:val="00EA601F"/>
    <w:rsid w:val="00EA6184"/>
    <w:rsid w:val="00EA6FCD"/>
    <w:rsid w:val="00EA7856"/>
    <w:rsid w:val="00EB077B"/>
    <w:rsid w:val="00EB1E9B"/>
    <w:rsid w:val="00EB22FF"/>
    <w:rsid w:val="00EC0EDB"/>
    <w:rsid w:val="00EC2787"/>
    <w:rsid w:val="00EC27C6"/>
    <w:rsid w:val="00EC6A72"/>
    <w:rsid w:val="00EC74F2"/>
    <w:rsid w:val="00EC799B"/>
    <w:rsid w:val="00ED17C7"/>
    <w:rsid w:val="00ED3000"/>
    <w:rsid w:val="00ED6ACD"/>
    <w:rsid w:val="00ED7BC7"/>
    <w:rsid w:val="00EE1BEA"/>
    <w:rsid w:val="00EE3B86"/>
    <w:rsid w:val="00EE6105"/>
    <w:rsid w:val="00EE63B1"/>
    <w:rsid w:val="00EE7A56"/>
    <w:rsid w:val="00EF1E19"/>
    <w:rsid w:val="00EF630E"/>
    <w:rsid w:val="00EF635A"/>
    <w:rsid w:val="00EF683D"/>
    <w:rsid w:val="00F05742"/>
    <w:rsid w:val="00F0692E"/>
    <w:rsid w:val="00F113B3"/>
    <w:rsid w:val="00F11BD9"/>
    <w:rsid w:val="00F11C09"/>
    <w:rsid w:val="00F12776"/>
    <w:rsid w:val="00F12BB8"/>
    <w:rsid w:val="00F135B2"/>
    <w:rsid w:val="00F207D9"/>
    <w:rsid w:val="00F225B4"/>
    <w:rsid w:val="00F22BF5"/>
    <w:rsid w:val="00F23328"/>
    <w:rsid w:val="00F23E5A"/>
    <w:rsid w:val="00F25E35"/>
    <w:rsid w:val="00F27428"/>
    <w:rsid w:val="00F32198"/>
    <w:rsid w:val="00F351D8"/>
    <w:rsid w:val="00F35E55"/>
    <w:rsid w:val="00F364A5"/>
    <w:rsid w:val="00F41E0F"/>
    <w:rsid w:val="00F425D6"/>
    <w:rsid w:val="00F426A5"/>
    <w:rsid w:val="00F45789"/>
    <w:rsid w:val="00F4738B"/>
    <w:rsid w:val="00F47963"/>
    <w:rsid w:val="00F50756"/>
    <w:rsid w:val="00F525DD"/>
    <w:rsid w:val="00F549A8"/>
    <w:rsid w:val="00F54CA5"/>
    <w:rsid w:val="00F55295"/>
    <w:rsid w:val="00F553F6"/>
    <w:rsid w:val="00F5592E"/>
    <w:rsid w:val="00F5625E"/>
    <w:rsid w:val="00F575A2"/>
    <w:rsid w:val="00F579D7"/>
    <w:rsid w:val="00F57AD7"/>
    <w:rsid w:val="00F616CF"/>
    <w:rsid w:val="00F61BE0"/>
    <w:rsid w:val="00F627DE"/>
    <w:rsid w:val="00F635CD"/>
    <w:rsid w:val="00F64213"/>
    <w:rsid w:val="00F675E5"/>
    <w:rsid w:val="00F70855"/>
    <w:rsid w:val="00F72156"/>
    <w:rsid w:val="00F8345F"/>
    <w:rsid w:val="00F83E25"/>
    <w:rsid w:val="00F84F58"/>
    <w:rsid w:val="00F8526B"/>
    <w:rsid w:val="00F8551C"/>
    <w:rsid w:val="00F92386"/>
    <w:rsid w:val="00FA0261"/>
    <w:rsid w:val="00FA4CAD"/>
    <w:rsid w:val="00FA6AF0"/>
    <w:rsid w:val="00FA766B"/>
    <w:rsid w:val="00FB374F"/>
    <w:rsid w:val="00FB4157"/>
    <w:rsid w:val="00FB420A"/>
    <w:rsid w:val="00FB4481"/>
    <w:rsid w:val="00FB6B9E"/>
    <w:rsid w:val="00FB78F9"/>
    <w:rsid w:val="00FC061E"/>
    <w:rsid w:val="00FC18D4"/>
    <w:rsid w:val="00FC2FA2"/>
    <w:rsid w:val="00FC5203"/>
    <w:rsid w:val="00FC6DD3"/>
    <w:rsid w:val="00FD2543"/>
    <w:rsid w:val="00FD780C"/>
    <w:rsid w:val="00FD7F62"/>
    <w:rsid w:val="00FE09CD"/>
    <w:rsid w:val="00FE0D6A"/>
    <w:rsid w:val="00FE2900"/>
    <w:rsid w:val="00FE32A7"/>
    <w:rsid w:val="00FE347F"/>
    <w:rsid w:val="00FF220B"/>
    <w:rsid w:val="00FF5371"/>
    <w:rsid w:val="00FF5B80"/>
    <w:rsid w:val="00FF61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ListParagraph">
    <w:name w:val="List Paragraph"/>
    <w:basedOn w:val="Normal"/>
    <w:uiPriority w:val="34"/>
    <w:qFormat/>
    <w:rsid w:val="00AC3247"/>
    <w:pPr>
      <w:ind w:left="720"/>
      <w:contextualSpacing/>
    </w:pPr>
  </w:style>
  <w:style w:type="paragraph" w:customStyle="1" w:styleId="Normal1">
    <w:name w:val="Normal1"/>
    <w:basedOn w:val="Normal"/>
    <w:rsid w:val="00F627DE"/>
    <w:pPr>
      <w:spacing w:before="100" w:beforeAutospacing="1" w:after="100" w:afterAutospacing="1"/>
    </w:pPr>
    <w:rPr>
      <w:lang w:val="en-US" w:eastAsia="en-US"/>
    </w:rPr>
  </w:style>
  <w:style w:type="paragraph" w:styleId="FootnoteText">
    <w:name w:val="footnote text"/>
    <w:aliases w:val=" Char Char Char"/>
    <w:basedOn w:val="Normal"/>
    <w:link w:val="FootnoteTextChar"/>
    <w:uiPriority w:val="99"/>
    <w:unhideWhenUsed/>
    <w:rsid w:val="006529EF"/>
    <w:pPr>
      <w:widowControl w:val="0"/>
    </w:pPr>
    <w:rPr>
      <w:rFonts w:ascii="Calibri" w:eastAsia="Calibri" w:hAnsi="Calibri"/>
      <w:sz w:val="20"/>
      <w:szCs w:val="20"/>
      <w:lang w:eastAsia="en-US"/>
    </w:rPr>
  </w:style>
  <w:style w:type="character" w:customStyle="1" w:styleId="FootnoteTextChar">
    <w:name w:val="Footnote Text Char"/>
    <w:aliases w:val=" Char Char Char Char"/>
    <w:basedOn w:val="DefaultParagraphFont"/>
    <w:link w:val="FootnoteText"/>
    <w:uiPriority w:val="99"/>
    <w:rsid w:val="006529EF"/>
    <w:rPr>
      <w:rFonts w:ascii="Calibri" w:eastAsia="Calibri" w:hAnsi="Calibri" w:cs="Times New Roman"/>
      <w:sz w:val="20"/>
      <w:szCs w:val="20"/>
    </w:rPr>
  </w:style>
  <w:style w:type="character" w:styleId="FootnoteReference">
    <w:name w:val="footnote reference"/>
    <w:aliases w:val="Footnote Reference Number"/>
    <w:rsid w:val="006529EF"/>
    <w:rPr>
      <w:vertAlign w:val="superscript"/>
    </w:rPr>
  </w:style>
  <w:style w:type="character" w:customStyle="1" w:styleId="UnresolvedMention1">
    <w:name w:val="Unresolved Mention1"/>
    <w:basedOn w:val="DefaultParagraphFont"/>
    <w:uiPriority w:val="99"/>
    <w:semiHidden/>
    <w:unhideWhenUsed/>
    <w:rsid w:val="00D938D4"/>
    <w:rPr>
      <w:color w:val="605E5C"/>
      <w:shd w:val="clear" w:color="auto" w:fill="E1DFDD"/>
    </w:rPr>
  </w:style>
  <w:style w:type="paragraph" w:styleId="Header">
    <w:name w:val="header"/>
    <w:basedOn w:val="Normal"/>
    <w:link w:val="HeaderChar"/>
    <w:uiPriority w:val="99"/>
    <w:unhideWhenUsed/>
    <w:rsid w:val="00E7795D"/>
    <w:pPr>
      <w:tabs>
        <w:tab w:val="center" w:pos="4153"/>
        <w:tab w:val="right" w:pos="8306"/>
      </w:tabs>
    </w:pPr>
  </w:style>
  <w:style w:type="character" w:customStyle="1" w:styleId="HeaderChar">
    <w:name w:val="Header Char"/>
    <w:basedOn w:val="DefaultParagraphFont"/>
    <w:link w:val="Header"/>
    <w:uiPriority w:val="99"/>
    <w:rsid w:val="00E779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7795D"/>
    <w:pPr>
      <w:tabs>
        <w:tab w:val="center" w:pos="4153"/>
        <w:tab w:val="right" w:pos="8306"/>
      </w:tabs>
    </w:pPr>
  </w:style>
  <w:style w:type="character" w:customStyle="1" w:styleId="FooterChar">
    <w:name w:val="Footer Char"/>
    <w:basedOn w:val="DefaultParagraphFont"/>
    <w:link w:val="Footer"/>
    <w:uiPriority w:val="99"/>
    <w:rsid w:val="00E7795D"/>
    <w:rPr>
      <w:rFonts w:ascii="Times New Roman" w:eastAsia="Times New Roman" w:hAnsi="Times New Roman" w:cs="Times New Roman"/>
      <w:sz w:val="24"/>
      <w:szCs w:val="24"/>
      <w:lang w:eastAsia="lv-LV"/>
    </w:rPr>
  </w:style>
  <w:style w:type="paragraph" w:styleId="Revision">
    <w:name w:val="Revision"/>
    <w:hidden/>
    <w:uiPriority w:val="99"/>
    <w:semiHidden/>
    <w:rsid w:val="00FD7F62"/>
    <w:pPr>
      <w:spacing w:after="0"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DE4B96"/>
    <w:rPr>
      <w:color w:val="605E5C"/>
      <w:shd w:val="clear" w:color="auto" w:fill="E1DFDD"/>
    </w:rPr>
  </w:style>
  <w:style w:type="character" w:styleId="CommentReference">
    <w:name w:val="annotation reference"/>
    <w:basedOn w:val="DefaultParagraphFont"/>
    <w:uiPriority w:val="99"/>
    <w:semiHidden/>
    <w:unhideWhenUsed/>
    <w:rsid w:val="00EE3B86"/>
    <w:rPr>
      <w:sz w:val="16"/>
      <w:szCs w:val="16"/>
    </w:rPr>
  </w:style>
  <w:style w:type="paragraph" w:styleId="CommentText">
    <w:name w:val="annotation text"/>
    <w:basedOn w:val="Normal"/>
    <w:link w:val="CommentTextChar"/>
    <w:uiPriority w:val="99"/>
    <w:semiHidden/>
    <w:unhideWhenUsed/>
    <w:rsid w:val="00EE3B86"/>
    <w:rPr>
      <w:sz w:val="20"/>
      <w:szCs w:val="20"/>
    </w:rPr>
  </w:style>
  <w:style w:type="character" w:customStyle="1" w:styleId="CommentTextChar">
    <w:name w:val="Comment Text Char"/>
    <w:basedOn w:val="DefaultParagraphFont"/>
    <w:link w:val="CommentText"/>
    <w:uiPriority w:val="99"/>
    <w:semiHidden/>
    <w:rsid w:val="00EE3B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E3B86"/>
    <w:rPr>
      <w:b/>
      <w:bCs/>
    </w:rPr>
  </w:style>
  <w:style w:type="character" w:customStyle="1" w:styleId="CommentSubjectChar">
    <w:name w:val="Comment Subject Char"/>
    <w:basedOn w:val="CommentTextChar"/>
    <w:link w:val="CommentSubject"/>
    <w:uiPriority w:val="99"/>
    <w:semiHidden/>
    <w:rsid w:val="00EE3B86"/>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D31C31"/>
    <w:rPr>
      <w:color w:val="800080" w:themeColor="followedHyperlink"/>
      <w:u w:val="single"/>
    </w:rPr>
  </w:style>
  <w:style w:type="paragraph" w:customStyle="1" w:styleId="Default">
    <w:name w:val="Default"/>
    <w:rsid w:val="001420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29838">
      <w:bodyDiv w:val="1"/>
      <w:marLeft w:val="0"/>
      <w:marRight w:val="0"/>
      <w:marTop w:val="0"/>
      <w:marBottom w:val="0"/>
      <w:divBdr>
        <w:top w:val="none" w:sz="0" w:space="0" w:color="auto"/>
        <w:left w:val="none" w:sz="0" w:space="0" w:color="auto"/>
        <w:bottom w:val="none" w:sz="0" w:space="0" w:color="auto"/>
        <w:right w:val="none" w:sz="0" w:space="0" w:color="auto"/>
      </w:divBdr>
    </w:div>
    <w:div w:id="545331684">
      <w:bodyDiv w:val="1"/>
      <w:marLeft w:val="0"/>
      <w:marRight w:val="0"/>
      <w:marTop w:val="0"/>
      <w:marBottom w:val="0"/>
      <w:divBdr>
        <w:top w:val="none" w:sz="0" w:space="0" w:color="auto"/>
        <w:left w:val="none" w:sz="0" w:space="0" w:color="auto"/>
        <w:bottom w:val="none" w:sz="0" w:space="0" w:color="auto"/>
        <w:right w:val="none" w:sz="0" w:space="0" w:color="auto"/>
      </w:divBdr>
    </w:div>
    <w:div w:id="574627421">
      <w:bodyDiv w:val="1"/>
      <w:marLeft w:val="0"/>
      <w:marRight w:val="0"/>
      <w:marTop w:val="0"/>
      <w:marBottom w:val="0"/>
      <w:divBdr>
        <w:top w:val="none" w:sz="0" w:space="0" w:color="auto"/>
        <w:left w:val="none" w:sz="0" w:space="0" w:color="auto"/>
        <w:bottom w:val="none" w:sz="0" w:space="0" w:color="auto"/>
        <w:right w:val="none" w:sz="0" w:space="0" w:color="auto"/>
      </w:divBdr>
    </w:div>
    <w:div w:id="988554723">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1dff7d0-905b-4907-83c4-572adf3593ee" TargetMode="External"/><Relationship Id="rId13" Type="http://schemas.openxmlformats.org/officeDocument/2006/relationships/hyperlink" Target="https://gateway.elieta.lv/api/v1/PublicMaterialDownload/19242267-7b5e-4ee3-9547-718220a7b9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06ca52f6-a4b9-4899-a3ae-dbc647ba4d6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ea01e9a2-8c8a-4f92-8e68-ae898c51b67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ateway.elieta.lv/api/v1/PublicMaterialDownload/94dfbe9a-393d-451b-bdad-63a167ad8f75" TargetMode="External"/><Relationship Id="rId4" Type="http://schemas.openxmlformats.org/officeDocument/2006/relationships/settings" Target="settings.xml"/><Relationship Id="rId9" Type="http://schemas.openxmlformats.org/officeDocument/2006/relationships/hyperlink" Target="https://gateway.elieta.lv/api/v1/PublicMaterialDownload/ea01e9a2-8c8a-4f92-8e68-ae898c51b67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6BD51-1F85-483C-85EC-30E79700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16224</Words>
  <Characters>9248</Characters>
  <Application>Microsoft Office Word</Application>
  <DocSecurity>0</DocSecurity>
  <Lines>77</Lines>
  <Paragraphs>50</Paragraphs>
  <ScaleCrop>false</ScaleCrop>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2026-06-04T13:04:00Z</dcterms:created>
  <dcterms:modified xsi:type="dcterms:W3CDTF">2026-06-04T13:04:00Z</dcterms:modified>
</cp:coreProperties>
</file>