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2E7D" w14:textId="77777777" w:rsidR="00020844" w:rsidRPr="00707A13" w:rsidRDefault="00020844" w:rsidP="00020844">
      <w:pPr>
        <w:pStyle w:val="ListParagraph"/>
        <w:spacing w:after="0" w:line="276" w:lineRule="auto"/>
        <w:ind w:left="0"/>
        <w:jc w:val="both"/>
        <w:rPr>
          <w:rFonts w:cs="Times New Roman"/>
          <w:b/>
          <w:bCs/>
          <w:szCs w:val="24"/>
        </w:rPr>
      </w:pPr>
      <w:r w:rsidRPr="00707A13">
        <w:rPr>
          <w:rFonts w:cs="Times New Roman"/>
          <w:b/>
          <w:bCs/>
          <w:szCs w:val="24"/>
        </w:rPr>
        <w:t>Atteikšanās no aizstāvja tiesvedības laikā</w:t>
      </w:r>
    </w:p>
    <w:p w14:paraId="1051263D" w14:textId="77777777" w:rsidR="00020844" w:rsidRPr="00707A13" w:rsidRDefault="00020844" w:rsidP="00020844">
      <w:pPr>
        <w:pStyle w:val="ListParagraph"/>
        <w:spacing w:after="0" w:line="276" w:lineRule="auto"/>
        <w:ind w:left="0"/>
        <w:jc w:val="both"/>
        <w:rPr>
          <w:rFonts w:cs="Times New Roman"/>
          <w:b/>
          <w:bCs/>
          <w:szCs w:val="24"/>
        </w:rPr>
      </w:pPr>
      <w:r w:rsidRPr="00707A13">
        <w:rPr>
          <w:rFonts w:cs="Times New Roman"/>
          <w:szCs w:val="24"/>
        </w:rPr>
        <w:t>Ja</w:t>
      </w:r>
      <w:r w:rsidRPr="00707A13">
        <w:rPr>
          <w:rFonts w:cs="Times New Roman"/>
          <w:b/>
          <w:bCs/>
          <w:szCs w:val="24"/>
        </w:rPr>
        <w:t xml:space="preserve"> </w:t>
      </w:r>
      <w:r w:rsidRPr="00707A13">
        <w:rPr>
          <w:rFonts w:cs="Times New Roman"/>
          <w:szCs w:val="24"/>
        </w:rPr>
        <w:t>persona, kurai ir tiesības uz aizstāvību, atsakās no pašas izvēlēta aizstāvja tiesvedības laikā, tiesa pārliecinās, ka šāda atteikšanās ir pausta brīvprātīgi, apzināti un nepārprotami un ka tā tiek fiksēta lietas materiālos. Īpaši jāpārliecinās, ka persona ir informēta par tiesību uz advokāta palīdzību saturu un sekām, kādas izraisa atteikšanās no šo tiesību izmantošanas, proti, ka turpmāk persona savu aizstāvību īstenos pati.</w:t>
      </w:r>
    </w:p>
    <w:p w14:paraId="6027DF4E" w14:textId="77777777" w:rsidR="005165D7" w:rsidRDefault="005165D7" w:rsidP="00020844">
      <w:pPr>
        <w:spacing w:line="276" w:lineRule="auto"/>
        <w:jc w:val="center"/>
        <w:rPr>
          <w:rFonts w:asciiTheme="majorBidi" w:hAnsiTheme="majorBidi" w:cstheme="majorBidi"/>
          <w:b/>
          <w:bCs/>
          <w:lang w:eastAsia="lv-LV"/>
        </w:rPr>
      </w:pPr>
    </w:p>
    <w:p w14:paraId="30EF74F0" w14:textId="12471B68" w:rsidR="00447EE6" w:rsidRPr="00020844" w:rsidRDefault="00447EE6" w:rsidP="00020844">
      <w:pPr>
        <w:spacing w:line="276" w:lineRule="auto"/>
        <w:jc w:val="center"/>
        <w:rPr>
          <w:rFonts w:asciiTheme="majorBidi" w:hAnsiTheme="majorBidi" w:cstheme="majorBidi"/>
          <w:b/>
          <w:bCs/>
        </w:rPr>
      </w:pPr>
      <w:r w:rsidRPr="00020844">
        <w:rPr>
          <w:rFonts w:asciiTheme="majorBidi" w:hAnsiTheme="majorBidi" w:cstheme="majorBidi"/>
          <w:b/>
          <w:bCs/>
        </w:rPr>
        <w:t>Latvijas Republikas Senāt</w:t>
      </w:r>
      <w:r w:rsidR="00020844" w:rsidRPr="00020844">
        <w:rPr>
          <w:rFonts w:asciiTheme="majorBidi" w:hAnsiTheme="majorBidi" w:cstheme="majorBidi"/>
          <w:b/>
          <w:bCs/>
        </w:rPr>
        <w:t>a</w:t>
      </w:r>
    </w:p>
    <w:p w14:paraId="1240C452" w14:textId="0B57E318" w:rsidR="00020844" w:rsidRPr="00020844" w:rsidRDefault="00020844" w:rsidP="00020844">
      <w:pPr>
        <w:spacing w:line="276" w:lineRule="auto"/>
        <w:jc w:val="center"/>
        <w:rPr>
          <w:rFonts w:asciiTheme="majorBidi" w:hAnsiTheme="majorBidi" w:cstheme="majorBidi"/>
          <w:b/>
          <w:bCs/>
          <w:lang w:eastAsia="lv-LV"/>
        </w:rPr>
      </w:pPr>
      <w:r w:rsidRPr="00020844">
        <w:rPr>
          <w:rFonts w:asciiTheme="majorBidi" w:hAnsiTheme="majorBidi" w:cstheme="majorBidi"/>
          <w:b/>
          <w:bCs/>
          <w:lang w:eastAsia="lv-LV"/>
        </w:rPr>
        <w:t>Krimināllietu departamenta</w:t>
      </w:r>
    </w:p>
    <w:p w14:paraId="28A2635C" w14:textId="72C7C0FF" w:rsidR="00020844" w:rsidRPr="00020844" w:rsidRDefault="00020844" w:rsidP="00020844">
      <w:pPr>
        <w:spacing w:line="276" w:lineRule="auto"/>
        <w:jc w:val="center"/>
        <w:rPr>
          <w:rFonts w:asciiTheme="majorBidi" w:hAnsiTheme="majorBidi" w:cstheme="majorBidi"/>
          <w:b/>
          <w:bCs/>
        </w:rPr>
      </w:pPr>
      <w:r w:rsidRPr="00020844">
        <w:rPr>
          <w:rFonts w:asciiTheme="majorBidi" w:hAnsiTheme="majorBidi" w:cstheme="majorBidi"/>
          <w:b/>
          <w:bCs/>
        </w:rPr>
        <w:t>2026. gada 28. maija</w:t>
      </w:r>
    </w:p>
    <w:p w14:paraId="6D65DEB2" w14:textId="55CE949A" w:rsidR="00447EE6" w:rsidRPr="00020844" w:rsidRDefault="002816A7" w:rsidP="00020844">
      <w:pPr>
        <w:spacing w:line="276" w:lineRule="auto"/>
        <w:jc w:val="center"/>
        <w:rPr>
          <w:rFonts w:asciiTheme="majorBidi" w:hAnsiTheme="majorBidi" w:cstheme="majorBidi"/>
          <w:b/>
          <w:bCs/>
        </w:rPr>
      </w:pPr>
      <w:r w:rsidRPr="00020844">
        <w:rPr>
          <w:rFonts w:asciiTheme="majorBidi" w:hAnsiTheme="majorBidi" w:cstheme="majorBidi"/>
          <w:b/>
          <w:bCs/>
        </w:rPr>
        <w:t>LĒMUMS</w:t>
      </w:r>
    </w:p>
    <w:p w14:paraId="062F104C" w14:textId="77777777" w:rsidR="00020844" w:rsidRDefault="00020844" w:rsidP="00020844">
      <w:pPr>
        <w:spacing w:line="276" w:lineRule="auto"/>
        <w:jc w:val="center"/>
        <w:rPr>
          <w:rFonts w:asciiTheme="majorBidi" w:hAnsiTheme="majorBidi" w:cstheme="majorBidi"/>
          <w:b/>
          <w:bCs/>
          <w:lang w:eastAsia="lv-LV"/>
        </w:rPr>
      </w:pPr>
      <w:r w:rsidRPr="00020844">
        <w:rPr>
          <w:rFonts w:asciiTheme="majorBidi" w:hAnsiTheme="majorBidi" w:cstheme="majorBidi"/>
          <w:b/>
          <w:bCs/>
          <w:lang w:eastAsia="lv-LV"/>
        </w:rPr>
        <w:t>Lieta Nr.</w:t>
      </w:r>
      <w:r w:rsidRPr="00020844">
        <w:rPr>
          <w:rFonts w:asciiTheme="majorBidi" w:hAnsiTheme="majorBidi" w:cstheme="majorBidi"/>
          <w:b/>
          <w:bCs/>
        </w:rPr>
        <w:t xml:space="preserve"> 15890010917, </w:t>
      </w:r>
      <w:r w:rsidRPr="00020844">
        <w:rPr>
          <w:rFonts w:asciiTheme="majorBidi" w:hAnsiTheme="majorBidi" w:cstheme="majorBidi"/>
          <w:b/>
          <w:bCs/>
          <w:lang w:eastAsia="lv-LV"/>
        </w:rPr>
        <w:t>SKK</w:t>
      </w:r>
      <w:r w:rsidRPr="00020844">
        <w:rPr>
          <w:rFonts w:asciiTheme="majorBidi" w:hAnsiTheme="majorBidi" w:cstheme="majorBidi"/>
          <w:b/>
          <w:bCs/>
        </w:rPr>
        <w:noBreakHyphen/>
      </w:r>
      <w:r w:rsidRPr="00020844">
        <w:rPr>
          <w:rFonts w:asciiTheme="majorBidi" w:hAnsiTheme="majorBidi" w:cstheme="majorBidi"/>
          <w:b/>
          <w:bCs/>
          <w:lang w:eastAsia="lv-LV"/>
        </w:rPr>
        <w:t>23/2026</w:t>
      </w:r>
    </w:p>
    <w:p w14:paraId="10C17FE0" w14:textId="2BA67622" w:rsidR="00020844" w:rsidRPr="00020844" w:rsidRDefault="00020844" w:rsidP="00020844">
      <w:pPr>
        <w:spacing w:line="276" w:lineRule="auto"/>
        <w:jc w:val="center"/>
        <w:rPr>
          <w:rFonts w:asciiTheme="majorBidi" w:hAnsiTheme="majorBidi" w:cstheme="majorBidi"/>
          <w:lang w:eastAsia="lv-LV"/>
        </w:rPr>
      </w:pPr>
      <w:hyperlink r:id="rId8" w:history="1">
        <w:r w:rsidRPr="00020844">
          <w:rPr>
            <w:rStyle w:val="Hyperlink"/>
            <w:rFonts w:asciiTheme="majorBidi" w:hAnsiTheme="majorBidi" w:cstheme="majorBidi"/>
            <w:lang w:eastAsia="lv-LV"/>
          </w:rPr>
          <w:t>ECLI:LV:AT:2026:0528.15890010917.7.L</w:t>
        </w:r>
      </w:hyperlink>
    </w:p>
    <w:p w14:paraId="6C163E77" w14:textId="77777777" w:rsidR="00181F8B" w:rsidRPr="009B4F07" w:rsidRDefault="00181F8B" w:rsidP="00F108AC">
      <w:pPr>
        <w:spacing w:line="276" w:lineRule="auto"/>
        <w:jc w:val="center"/>
        <w:rPr>
          <w:rFonts w:asciiTheme="majorBidi" w:hAnsiTheme="majorBidi" w:cstheme="majorBidi"/>
        </w:rPr>
      </w:pPr>
    </w:p>
    <w:p w14:paraId="7F1977DF" w14:textId="0F18A3F8" w:rsidR="0050149B" w:rsidRPr="009B4F07" w:rsidRDefault="00447EE6" w:rsidP="00F108AC">
      <w:pPr>
        <w:spacing w:line="276" w:lineRule="auto"/>
        <w:ind w:firstLine="720"/>
        <w:jc w:val="both"/>
        <w:rPr>
          <w:rFonts w:asciiTheme="majorBidi" w:hAnsiTheme="majorBidi" w:cstheme="majorBidi"/>
        </w:rPr>
      </w:pPr>
      <w:r w:rsidRPr="009B4F07">
        <w:rPr>
          <w:rFonts w:asciiTheme="majorBidi" w:hAnsiTheme="majorBidi" w:cstheme="majorBidi"/>
        </w:rPr>
        <w:t>Senāts šādā sastāvā:</w:t>
      </w:r>
      <w:r w:rsidR="00DF639D" w:rsidRPr="009B4F07">
        <w:rPr>
          <w:rFonts w:asciiTheme="majorBidi" w:hAnsiTheme="majorBidi" w:cstheme="majorBidi"/>
        </w:rPr>
        <w:t xml:space="preserve"> senators referents Aivars Uminskis, senator</w:t>
      </w:r>
      <w:r w:rsidR="00C3786D" w:rsidRPr="009B4F07">
        <w:rPr>
          <w:rFonts w:asciiTheme="majorBidi" w:hAnsiTheme="majorBidi" w:cstheme="majorBidi"/>
        </w:rPr>
        <w:t>i</w:t>
      </w:r>
      <w:r w:rsidR="004058C0" w:rsidRPr="009B4F07">
        <w:rPr>
          <w:rFonts w:asciiTheme="majorBidi" w:hAnsiTheme="majorBidi" w:cstheme="majorBidi"/>
        </w:rPr>
        <w:t xml:space="preserve"> Aija Branta un </w:t>
      </w:r>
      <w:r w:rsidR="00C3786D" w:rsidRPr="009B4F07">
        <w:rPr>
          <w:rFonts w:asciiTheme="majorBidi" w:hAnsiTheme="majorBidi" w:cstheme="majorBidi"/>
        </w:rPr>
        <w:t>Māris Leja</w:t>
      </w:r>
    </w:p>
    <w:p w14:paraId="66794FF0" w14:textId="77777777" w:rsidR="00FF2A22" w:rsidRPr="009B4F07" w:rsidRDefault="00FF2A22" w:rsidP="00F108AC">
      <w:pPr>
        <w:spacing w:line="276" w:lineRule="auto"/>
        <w:ind w:firstLine="720"/>
        <w:jc w:val="both"/>
        <w:rPr>
          <w:rFonts w:asciiTheme="majorBidi" w:hAnsiTheme="majorBidi" w:cstheme="majorBidi"/>
        </w:rPr>
      </w:pPr>
    </w:p>
    <w:p w14:paraId="4B70B84A" w14:textId="2AFB5DCA" w:rsidR="008A5AC9" w:rsidRPr="009B4F07" w:rsidRDefault="008A5AC9" w:rsidP="00F108AC">
      <w:pPr>
        <w:spacing w:line="276" w:lineRule="auto"/>
        <w:ind w:firstLine="720"/>
        <w:jc w:val="both"/>
        <w:rPr>
          <w:rFonts w:asciiTheme="majorBidi" w:hAnsiTheme="majorBidi" w:cstheme="majorBidi"/>
        </w:rPr>
      </w:pPr>
      <w:r w:rsidRPr="009B4F07">
        <w:rPr>
          <w:rFonts w:asciiTheme="majorBidi" w:hAnsiTheme="majorBidi" w:cstheme="majorBidi"/>
        </w:rPr>
        <w:t xml:space="preserve">rakstveida procesā izskatīja krimināllietu sakarā apsūdzētā </w:t>
      </w:r>
      <w:r w:rsidR="00020844">
        <w:rPr>
          <w:rFonts w:asciiTheme="majorBidi" w:hAnsiTheme="majorBidi" w:cstheme="majorBidi"/>
        </w:rPr>
        <w:t>[pers. A]</w:t>
      </w:r>
      <w:r w:rsidRPr="009B4F07">
        <w:rPr>
          <w:rFonts w:asciiTheme="majorBidi" w:hAnsiTheme="majorBidi" w:cstheme="majorBidi"/>
        </w:rPr>
        <w:t xml:space="preserve"> un</w:t>
      </w:r>
      <w:r w:rsidR="002762E9" w:rsidRPr="009B4F07">
        <w:rPr>
          <w:rFonts w:asciiTheme="majorBidi" w:hAnsiTheme="majorBidi" w:cstheme="majorBidi"/>
        </w:rPr>
        <w:t xml:space="preserve"> viņa </w:t>
      </w:r>
      <w:r w:rsidRPr="009B4F07">
        <w:rPr>
          <w:rFonts w:asciiTheme="majorBidi" w:hAnsiTheme="majorBidi" w:cstheme="majorBidi"/>
        </w:rPr>
        <w:t>aizstāvja zvērināta advokāta Ērika Štālberga kasācijas sūdzībām par Rīgas apgabaltiesas 2024.</w:t>
      </w:r>
      <w:r w:rsidR="00AD768D" w:rsidRPr="009B4F07">
        <w:rPr>
          <w:rFonts w:asciiTheme="majorBidi" w:hAnsiTheme="majorBidi" w:cstheme="majorBidi"/>
        </w:rPr>
        <w:t> </w:t>
      </w:r>
      <w:r w:rsidRPr="009B4F07">
        <w:rPr>
          <w:rFonts w:asciiTheme="majorBidi" w:hAnsiTheme="majorBidi" w:cstheme="majorBidi"/>
        </w:rPr>
        <w:t>gada 23.</w:t>
      </w:r>
      <w:r w:rsidR="00AD768D" w:rsidRPr="009B4F07">
        <w:rPr>
          <w:rFonts w:asciiTheme="majorBidi" w:hAnsiTheme="majorBidi" w:cstheme="majorBidi"/>
        </w:rPr>
        <w:t> </w:t>
      </w:r>
      <w:r w:rsidRPr="009B4F07">
        <w:rPr>
          <w:rFonts w:asciiTheme="majorBidi" w:hAnsiTheme="majorBidi" w:cstheme="majorBidi"/>
        </w:rPr>
        <w:t>oktobra spriedumu.</w:t>
      </w:r>
    </w:p>
    <w:p w14:paraId="18B4D7BC" w14:textId="77777777" w:rsidR="00181F8B" w:rsidRPr="009B4F07" w:rsidRDefault="00181F8B" w:rsidP="00F108AC">
      <w:pPr>
        <w:spacing w:line="276" w:lineRule="auto"/>
        <w:ind w:firstLine="720"/>
        <w:jc w:val="both"/>
        <w:rPr>
          <w:rFonts w:asciiTheme="majorBidi" w:hAnsiTheme="majorBidi" w:cstheme="majorBidi"/>
          <w:lang w:eastAsia="lv-LV"/>
        </w:rPr>
      </w:pPr>
    </w:p>
    <w:p w14:paraId="5291C751" w14:textId="25EB2FB1" w:rsidR="00181F8B" w:rsidRPr="009B4F07" w:rsidRDefault="00447EE6" w:rsidP="00F108AC">
      <w:pPr>
        <w:spacing w:line="276" w:lineRule="auto"/>
        <w:jc w:val="center"/>
        <w:rPr>
          <w:rFonts w:asciiTheme="majorBidi" w:hAnsiTheme="majorBidi" w:cstheme="majorBidi"/>
          <w:b/>
          <w:shd w:val="clear" w:color="auto" w:fill="FFFFFF"/>
        </w:rPr>
      </w:pPr>
      <w:r w:rsidRPr="009B4F07">
        <w:rPr>
          <w:rFonts w:asciiTheme="majorBidi" w:hAnsiTheme="majorBidi" w:cstheme="majorBidi"/>
          <w:b/>
          <w:shd w:val="clear" w:color="auto" w:fill="FFFFFF"/>
        </w:rPr>
        <w:t>Aprakstošā daļa</w:t>
      </w:r>
    </w:p>
    <w:p w14:paraId="48CCFFD2" w14:textId="77777777" w:rsidR="004B7967" w:rsidRPr="009B4F07" w:rsidRDefault="004B7967" w:rsidP="00F108AC">
      <w:pPr>
        <w:spacing w:line="276" w:lineRule="auto"/>
        <w:jc w:val="center"/>
        <w:rPr>
          <w:rFonts w:asciiTheme="majorBidi" w:hAnsiTheme="majorBidi" w:cstheme="majorBidi"/>
          <w:shd w:val="clear" w:color="auto" w:fill="FFFFFF"/>
        </w:rPr>
      </w:pPr>
    </w:p>
    <w:p w14:paraId="76865A94" w14:textId="5D892BAF" w:rsidR="008A5AC9" w:rsidRPr="009B4F07" w:rsidRDefault="00447EE6" w:rsidP="00F108AC">
      <w:pPr>
        <w:spacing w:line="276" w:lineRule="auto"/>
        <w:ind w:firstLine="709"/>
        <w:jc w:val="both"/>
        <w:rPr>
          <w:rFonts w:asciiTheme="majorBidi" w:hAnsiTheme="majorBidi" w:cstheme="majorBidi"/>
        </w:rPr>
      </w:pPr>
      <w:r w:rsidRPr="009B4F07">
        <w:rPr>
          <w:rFonts w:asciiTheme="majorBidi" w:hAnsiTheme="majorBidi" w:cstheme="majorBidi"/>
          <w:shd w:val="clear" w:color="auto" w:fill="FFFFFF"/>
        </w:rPr>
        <w:t>[1]</w:t>
      </w:r>
      <w:r w:rsidR="00DF639D" w:rsidRPr="009B4F07">
        <w:rPr>
          <w:rFonts w:asciiTheme="majorBidi" w:hAnsiTheme="majorBidi" w:cstheme="majorBidi"/>
          <w:shd w:val="clear" w:color="auto" w:fill="FFFFFF"/>
        </w:rPr>
        <w:t> </w:t>
      </w:r>
      <w:r w:rsidR="008A5AC9" w:rsidRPr="009B4F07">
        <w:rPr>
          <w:rFonts w:asciiTheme="majorBidi" w:hAnsiTheme="majorBidi" w:cstheme="majorBidi"/>
        </w:rPr>
        <w:t>Ar Rīgas pilsētas Vidzemes priekšpilsētas tiesas 2020.</w:t>
      </w:r>
      <w:r w:rsidR="00EA0201" w:rsidRPr="009B4F07">
        <w:rPr>
          <w:rFonts w:asciiTheme="majorBidi" w:hAnsiTheme="majorBidi" w:cstheme="majorBidi"/>
        </w:rPr>
        <w:t> </w:t>
      </w:r>
      <w:r w:rsidR="008A5AC9" w:rsidRPr="009B4F07">
        <w:rPr>
          <w:rFonts w:asciiTheme="majorBidi" w:hAnsiTheme="majorBidi" w:cstheme="majorBidi"/>
        </w:rPr>
        <w:t>gada 16.</w:t>
      </w:r>
      <w:r w:rsidR="00EA0201" w:rsidRPr="009B4F07">
        <w:rPr>
          <w:rFonts w:asciiTheme="majorBidi" w:hAnsiTheme="majorBidi" w:cstheme="majorBidi"/>
        </w:rPr>
        <w:t> </w:t>
      </w:r>
      <w:r w:rsidR="008A5AC9" w:rsidRPr="009B4F07">
        <w:rPr>
          <w:rFonts w:asciiTheme="majorBidi" w:hAnsiTheme="majorBidi" w:cstheme="majorBidi"/>
        </w:rPr>
        <w:t xml:space="preserve">janvāra spriedumu </w:t>
      </w:r>
      <w:r w:rsidR="00020844">
        <w:rPr>
          <w:rFonts w:asciiTheme="majorBidi" w:hAnsiTheme="majorBidi" w:cstheme="majorBidi"/>
        </w:rPr>
        <w:t>[pers. A]</w:t>
      </w:r>
      <w:r w:rsidR="008A5AC9" w:rsidRPr="009B4F07">
        <w:rPr>
          <w:rFonts w:asciiTheme="majorBidi" w:hAnsiTheme="majorBidi" w:cstheme="majorBidi"/>
        </w:rPr>
        <w:t xml:space="preserve">, personas kods </w:t>
      </w:r>
      <w:r w:rsidR="00020844">
        <w:rPr>
          <w:rFonts w:asciiTheme="majorBidi" w:hAnsiTheme="majorBidi" w:cstheme="majorBidi"/>
        </w:rPr>
        <w:t>[..]</w:t>
      </w:r>
      <w:r w:rsidR="008A5AC9" w:rsidRPr="009B4F07">
        <w:rPr>
          <w:rFonts w:asciiTheme="majorBidi" w:hAnsiTheme="majorBidi" w:cstheme="majorBidi"/>
        </w:rPr>
        <w:t>,</w:t>
      </w:r>
    </w:p>
    <w:p w14:paraId="1B4DDC00" w14:textId="6CD0B81E" w:rsidR="008A5AC9" w:rsidRPr="009B4F07" w:rsidRDefault="008A5AC9" w:rsidP="00F108AC">
      <w:pPr>
        <w:spacing w:line="276" w:lineRule="auto"/>
        <w:ind w:firstLine="709"/>
        <w:jc w:val="both"/>
        <w:rPr>
          <w:rFonts w:asciiTheme="majorBidi" w:hAnsiTheme="majorBidi" w:cstheme="majorBidi"/>
        </w:rPr>
      </w:pPr>
      <w:r w:rsidRPr="009B4F07">
        <w:rPr>
          <w:rFonts w:asciiTheme="majorBidi" w:hAnsiTheme="majorBidi" w:cstheme="majorBidi"/>
        </w:rPr>
        <w:t>atzīts par nevainīgu viņam celtajā apsūdzībā pēc Krimināllikuma 190.</w:t>
      </w:r>
      <w:r w:rsidRPr="009B4F07">
        <w:rPr>
          <w:rFonts w:asciiTheme="majorBidi" w:hAnsiTheme="majorBidi" w:cstheme="majorBidi"/>
          <w:vertAlign w:val="superscript"/>
        </w:rPr>
        <w:t>1</w:t>
      </w:r>
      <w:r w:rsidR="00EA0201" w:rsidRPr="009B4F07">
        <w:rPr>
          <w:rFonts w:asciiTheme="majorBidi" w:hAnsiTheme="majorBidi" w:cstheme="majorBidi"/>
          <w:vertAlign w:val="superscript"/>
        </w:rPr>
        <w:t> </w:t>
      </w:r>
      <w:r w:rsidRPr="009B4F07">
        <w:rPr>
          <w:rFonts w:asciiTheme="majorBidi" w:hAnsiTheme="majorBidi" w:cstheme="majorBidi"/>
        </w:rPr>
        <w:t>panta pirmās daļas un attaisnots;</w:t>
      </w:r>
    </w:p>
    <w:p w14:paraId="14FDA5C6" w14:textId="54F380C0" w:rsidR="008A5AC9" w:rsidRPr="009B4F07" w:rsidRDefault="008A5AC9" w:rsidP="00F108AC">
      <w:pPr>
        <w:spacing w:line="276" w:lineRule="auto"/>
        <w:ind w:firstLine="709"/>
        <w:jc w:val="both"/>
        <w:rPr>
          <w:rFonts w:asciiTheme="majorBidi" w:hAnsiTheme="majorBidi" w:cstheme="majorBidi"/>
        </w:rPr>
      </w:pPr>
      <w:r w:rsidRPr="009B4F07">
        <w:rPr>
          <w:rFonts w:asciiTheme="majorBidi" w:hAnsiTheme="majorBidi" w:cstheme="majorBidi"/>
        </w:rPr>
        <w:t>atzīts par nevainīgu viņam celtajā apsūdzībā pēc Krimināllikuma 253.</w:t>
      </w:r>
      <w:r w:rsidRPr="009B4F07">
        <w:rPr>
          <w:rFonts w:asciiTheme="majorBidi" w:hAnsiTheme="majorBidi" w:cstheme="majorBidi"/>
          <w:vertAlign w:val="superscript"/>
        </w:rPr>
        <w:t>1</w:t>
      </w:r>
      <w:r w:rsidR="00EA0201" w:rsidRPr="009B4F07">
        <w:rPr>
          <w:rFonts w:asciiTheme="majorBidi" w:hAnsiTheme="majorBidi" w:cstheme="majorBidi"/>
          <w:vertAlign w:val="superscript"/>
        </w:rPr>
        <w:t> </w:t>
      </w:r>
      <w:r w:rsidRPr="009B4F07">
        <w:rPr>
          <w:rFonts w:asciiTheme="majorBidi" w:hAnsiTheme="majorBidi" w:cstheme="majorBidi"/>
        </w:rPr>
        <w:t>panta pirmās daļas un attaisnots.</w:t>
      </w:r>
    </w:p>
    <w:p w14:paraId="61CD5221" w14:textId="0F6FDFBC" w:rsidR="008A5AC9" w:rsidRPr="009B4F07" w:rsidRDefault="008A5AC9" w:rsidP="00F108AC">
      <w:pPr>
        <w:spacing w:line="276" w:lineRule="auto"/>
        <w:ind w:firstLine="709"/>
        <w:jc w:val="both"/>
        <w:rPr>
          <w:rFonts w:asciiTheme="majorBidi" w:hAnsiTheme="majorBidi" w:cstheme="majorBidi"/>
        </w:rPr>
      </w:pPr>
      <w:r w:rsidRPr="009B4F07">
        <w:rPr>
          <w:rFonts w:asciiTheme="majorBidi" w:hAnsiTheme="majorBidi" w:cstheme="majorBidi"/>
        </w:rPr>
        <w:t xml:space="preserve">Apsūdzētajam </w:t>
      </w:r>
      <w:r w:rsidR="00020844">
        <w:rPr>
          <w:rFonts w:asciiTheme="majorBidi" w:hAnsiTheme="majorBidi" w:cstheme="majorBidi"/>
        </w:rPr>
        <w:t>[pers. A]</w:t>
      </w:r>
      <w:r w:rsidRPr="009B4F07">
        <w:rPr>
          <w:rFonts w:asciiTheme="majorBidi" w:hAnsiTheme="majorBidi" w:cstheme="majorBidi"/>
        </w:rPr>
        <w:t xml:space="preserve"> piemērotais drošības līdzeklis – pieteikšanās noteiktā laikā policijas iestādē – atstāts negrozīts.</w:t>
      </w:r>
    </w:p>
    <w:p w14:paraId="1CD4947B" w14:textId="77777777" w:rsidR="008A5AC9" w:rsidRPr="009B4F07" w:rsidRDefault="008A5AC9" w:rsidP="00F108AC">
      <w:pPr>
        <w:spacing w:line="276" w:lineRule="auto"/>
        <w:ind w:firstLine="709"/>
        <w:jc w:val="both"/>
        <w:rPr>
          <w:rFonts w:asciiTheme="majorBidi" w:hAnsiTheme="majorBidi" w:cstheme="majorBidi"/>
        </w:rPr>
      </w:pPr>
    </w:p>
    <w:p w14:paraId="1794424C" w14:textId="31AC5ACA" w:rsidR="008A5AC9" w:rsidRPr="009B4F07" w:rsidRDefault="008A5AC9"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[2]</w:t>
      </w:r>
      <w:r w:rsidR="00DF639D" w:rsidRPr="009B4F07">
        <w:rPr>
          <w:rFonts w:asciiTheme="majorBidi" w:hAnsiTheme="majorBidi" w:cstheme="majorBidi"/>
        </w:rPr>
        <w:t> </w:t>
      </w:r>
      <w:proofErr w:type="spellStart"/>
      <w:r w:rsidRPr="009B4F07">
        <w:rPr>
          <w:rFonts w:asciiTheme="majorBidi" w:hAnsiTheme="majorBidi" w:cstheme="majorBidi"/>
        </w:rPr>
        <w:t>Pirmstiesas</w:t>
      </w:r>
      <w:proofErr w:type="spellEnd"/>
      <w:r w:rsidRPr="009B4F07">
        <w:rPr>
          <w:rFonts w:asciiTheme="majorBidi" w:hAnsiTheme="majorBidi" w:cstheme="majorBidi"/>
        </w:rPr>
        <w:t xml:space="preserve"> procesā </w:t>
      </w:r>
      <w:r w:rsidR="00020844">
        <w:rPr>
          <w:rFonts w:asciiTheme="majorBidi" w:hAnsiTheme="majorBidi" w:cstheme="majorBidi"/>
        </w:rPr>
        <w:t>[pers. A]</w:t>
      </w:r>
      <w:r w:rsidR="00F411CA" w:rsidRPr="009B4F07">
        <w:rPr>
          <w:rFonts w:asciiTheme="majorBidi" w:hAnsiTheme="majorBidi" w:cstheme="majorBidi"/>
        </w:rPr>
        <w:t xml:space="preserve"> celta</w:t>
      </w:r>
      <w:r w:rsidR="00041CAF" w:rsidRPr="009B4F07">
        <w:rPr>
          <w:rFonts w:asciiTheme="majorBidi" w:hAnsiTheme="majorBidi" w:cstheme="majorBidi"/>
        </w:rPr>
        <w:t xml:space="preserve"> </w:t>
      </w:r>
      <w:r w:rsidRPr="009B4F07">
        <w:rPr>
          <w:rFonts w:asciiTheme="majorBidi" w:hAnsiTheme="majorBidi" w:cstheme="majorBidi"/>
        </w:rPr>
        <w:t>apsūdzība pēc Krimināllikuma 190.</w:t>
      </w:r>
      <w:r w:rsidRPr="009B4F07">
        <w:rPr>
          <w:rFonts w:asciiTheme="majorBidi" w:hAnsiTheme="majorBidi" w:cstheme="majorBidi"/>
          <w:vertAlign w:val="superscript"/>
        </w:rPr>
        <w:t>1</w:t>
      </w:r>
      <w:r w:rsidR="00294689" w:rsidRPr="009B4F07">
        <w:rPr>
          <w:rFonts w:asciiTheme="majorBidi" w:hAnsiTheme="majorBidi" w:cstheme="majorBidi"/>
          <w:vertAlign w:val="superscript"/>
        </w:rPr>
        <w:t> </w:t>
      </w:r>
      <w:r w:rsidRPr="009B4F07">
        <w:rPr>
          <w:rFonts w:asciiTheme="majorBidi" w:hAnsiTheme="majorBidi" w:cstheme="majorBidi"/>
        </w:rPr>
        <w:t>panta pirmās daļas par narkotisko vielu pārvietošanu nelikumīgā veidā pāri Latvijas Republikas valsts robežai</w:t>
      </w:r>
      <w:r w:rsidR="00DE03AD" w:rsidRPr="009B4F07">
        <w:rPr>
          <w:rFonts w:asciiTheme="majorBidi" w:hAnsiTheme="majorBidi" w:cstheme="majorBidi"/>
        </w:rPr>
        <w:t xml:space="preserve"> un </w:t>
      </w:r>
      <w:r w:rsidRPr="009B4F07">
        <w:rPr>
          <w:rFonts w:asciiTheme="majorBidi" w:hAnsiTheme="majorBidi" w:cstheme="majorBidi"/>
        </w:rPr>
        <w:t>arī pēc Krimināllikuma 253.</w:t>
      </w:r>
      <w:r w:rsidRPr="009B4F07">
        <w:rPr>
          <w:rFonts w:asciiTheme="majorBidi" w:hAnsiTheme="majorBidi" w:cstheme="majorBidi"/>
          <w:vertAlign w:val="superscript"/>
        </w:rPr>
        <w:t>1</w:t>
      </w:r>
      <w:r w:rsidR="00294689" w:rsidRPr="009B4F07">
        <w:rPr>
          <w:rFonts w:asciiTheme="majorBidi" w:hAnsiTheme="majorBidi" w:cstheme="majorBidi"/>
          <w:vertAlign w:val="superscript"/>
        </w:rPr>
        <w:t> </w:t>
      </w:r>
      <w:r w:rsidRPr="009B4F07">
        <w:rPr>
          <w:rFonts w:asciiTheme="majorBidi" w:hAnsiTheme="majorBidi" w:cstheme="majorBidi"/>
        </w:rPr>
        <w:t>panta pirmās daļas par narkotisko vielu neatļautu iegādāšanos, glabāšanu un pārvadāšanu realizācijas nolūkā.</w:t>
      </w:r>
    </w:p>
    <w:p w14:paraId="67A3F86A" w14:textId="77777777" w:rsidR="00EA0201" w:rsidRPr="009B4F07" w:rsidRDefault="00EA0201" w:rsidP="00F108AC">
      <w:pPr>
        <w:widowControl w:val="0"/>
        <w:spacing w:line="276" w:lineRule="auto"/>
        <w:ind w:firstLine="709"/>
        <w:jc w:val="both"/>
        <w:rPr>
          <w:rFonts w:asciiTheme="majorBidi" w:hAnsiTheme="majorBidi" w:cstheme="majorBidi"/>
        </w:rPr>
      </w:pPr>
    </w:p>
    <w:p w14:paraId="30E30E00" w14:textId="1E3467F5" w:rsidR="00EA0201" w:rsidRPr="009B4F07" w:rsidRDefault="00EA0201"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[3]</w:t>
      </w:r>
      <w:r w:rsidR="00DF639D" w:rsidRPr="009B4F07">
        <w:rPr>
          <w:rFonts w:asciiTheme="majorBidi" w:hAnsiTheme="majorBidi" w:cstheme="majorBidi"/>
        </w:rPr>
        <w:t> </w:t>
      </w:r>
      <w:r w:rsidRPr="009B4F07">
        <w:rPr>
          <w:rFonts w:asciiTheme="majorBidi" w:hAnsiTheme="majorBidi" w:cstheme="majorBidi"/>
        </w:rPr>
        <w:t>Krimināllieta apelācijas kārtībā</w:t>
      </w:r>
      <w:r w:rsidR="00D93E2D" w:rsidRPr="009B4F07">
        <w:rPr>
          <w:rFonts w:asciiTheme="majorBidi" w:hAnsiTheme="majorBidi" w:cstheme="majorBidi"/>
        </w:rPr>
        <w:t xml:space="preserve"> iztiesāta trīs reizes</w:t>
      </w:r>
      <w:r w:rsidR="001B56C1" w:rsidRPr="009B4F07">
        <w:rPr>
          <w:rFonts w:asciiTheme="majorBidi" w:hAnsiTheme="majorBidi" w:cstheme="majorBidi"/>
        </w:rPr>
        <w:t xml:space="preserve"> un divas reizes</w:t>
      </w:r>
      <w:r w:rsidR="002A40E6" w:rsidRPr="009B4F07">
        <w:rPr>
          <w:rFonts w:asciiTheme="majorBidi" w:hAnsiTheme="majorBidi" w:cstheme="majorBidi"/>
        </w:rPr>
        <w:t xml:space="preserve"> skatīta kasācijas kārtībā</w:t>
      </w:r>
      <w:r w:rsidR="001B56C1" w:rsidRPr="009B4F07">
        <w:rPr>
          <w:rFonts w:asciiTheme="majorBidi" w:hAnsiTheme="majorBidi" w:cstheme="majorBidi"/>
        </w:rPr>
        <w:t>.</w:t>
      </w:r>
    </w:p>
    <w:p w14:paraId="748E8B5F" w14:textId="77777777" w:rsidR="00294689" w:rsidRPr="009B4F07" w:rsidRDefault="00294689" w:rsidP="00F108AC">
      <w:pPr>
        <w:widowControl w:val="0"/>
        <w:spacing w:line="276" w:lineRule="auto"/>
        <w:ind w:firstLine="709"/>
        <w:jc w:val="both"/>
        <w:rPr>
          <w:rFonts w:asciiTheme="majorBidi" w:hAnsiTheme="majorBidi" w:cstheme="majorBidi"/>
        </w:rPr>
      </w:pPr>
    </w:p>
    <w:p w14:paraId="0A5AAC28" w14:textId="687534BA" w:rsidR="000967D9" w:rsidRPr="009B4F07" w:rsidRDefault="00294689" w:rsidP="00E46BC4">
      <w:pPr>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4</w:t>
      </w:r>
      <w:r w:rsidRPr="009B4F07">
        <w:rPr>
          <w:rFonts w:asciiTheme="majorBidi" w:hAnsiTheme="majorBidi" w:cstheme="majorBidi"/>
        </w:rPr>
        <w:t>]</w:t>
      </w:r>
      <w:r w:rsidR="00DF639D" w:rsidRPr="009B4F07">
        <w:rPr>
          <w:rFonts w:asciiTheme="majorBidi" w:hAnsiTheme="majorBidi" w:cstheme="majorBidi"/>
        </w:rPr>
        <w:t> </w:t>
      </w:r>
      <w:r w:rsidRPr="009B4F07">
        <w:rPr>
          <w:rFonts w:asciiTheme="majorBidi" w:hAnsiTheme="majorBidi" w:cstheme="majorBidi"/>
        </w:rPr>
        <w:t>Ar Rīgas apgabaltiesas 2024. gada 23. oktobra spriedumu</w:t>
      </w:r>
      <w:r w:rsidR="002A40E6" w:rsidRPr="009B4F07">
        <w:rPr>
          <w:rFonts w:asciiTheme="majorBidi" w:hAnsiTheme="majorBidi" w:cstheme="majorBidi"/>
        </w:rPr>
        <w:t xml:space="preserve">, atkārtoti izskatot lietu apelācijas kārtībā sakarā ar Organizētās noziedzības un citu nozaru specializētās prokuratūras </w:t>
      </w:r>
      <w:r w:rsidR="002A40E6" w:rsidRPr="009B4F07">
        <w:rPr>
          <w:rFonts w:asciiTheme="majorBidi" w:hAnsiTheme="majorBidi" w:cstheme="majorBidi"/>
        </w:rPr>
        <w:lastRenderedPageBreak/>
        <w:t xml:space="preserve">virsprokurores Gitas </w:t>
      </w:r>
      <w:proofErr w:type="spellStart"/>
      <w:r w:rsidR="002A40E6" w:rsidRPr="009B4F07">
        <w:rPr>
          <w:rFonts w:asciiTheme="majorBidi" w:hAnsiTheme="majorBidi" w:cstheme="majorBidi"/>
        </w:rPr>
        <w:t>Biezumas</w:t>
      </w:r>
      <w:proofErr w:type="spellEnd"/>
      <w:r w:rsidR="002A40E6" w:rsidRPr="009B4F07">
        <w:rPr>
          <w:rFonts w:asciiTheme="majorBidi" w:hAnsiTheme="majorBidi" w:cstheme="majorBidi"/>
        </w:rPr>
        <w:t xml:space="preserve"> apelācijas protestu</w:t>
      </w:r>
      <w:r w:rsidRPr="009B4F07">
        <w:rPr>
          <w:rFonts w:asciiTheme="majorBidi" w:hAnsiTheme="majorBidi" w:cstheme="majorBidi"/>
        </w:rPr>
        <w:t xml:space="preserve"> Rīgas pilsētas Vidzemes priekšpilsētas tiesas 2020. gada 16. janvāra spriedums atcelts daļā par </w:t>
      </w:r>
      <w:r w:rsidR="00020844">
        <w:rPr>
          <w:rFonts w:asciiTheme="majorBidi" w:hAnsiTheme="majorBidi" w:cstheme="majorBidi"/>
        </w:rPr>
        <w:t>[pers. A]</w:t>
      </w:r>
      <w:r w:rsidRPr="009B4F07">
        <w:rPr>
          <w:rFonts w:asciiTheme="majorBidi" w:hAnsiTheme="majorBidi" w:cstheme="majorBidi"/>
        </w:rPr>
        <w:t xml:space="preserve"> atzīšanu par nevainīgu viņam celtajā apsūdzībā pēc Krimināllikuma 253.</w:t>
      </w:r>
      <w:r w:rsidRPr="009B4F07">
        <w:rPr>
          <w:rFonts w:asciiTheme="majorBidi" w:hAnsiTheme="majorBidi" w:cstheme="majorBidi"/>
          <w:vertAlign w:val="superscript"/>
        </w:rPr>
        <w:t>1</w:t>
      </w:r>
      <w:r w:rsidRPr="009B4F07">
        <w:rPr>
          <w:rFonts w:asciiTheme="majorBidi" w:hAnsiTheme="majorBidi" w:cstheme="majorBidi"/>
        </w:rPr>
        <w:t> panta pirmās daļas un attaisnošanu.</w:t>
      </w:r>
    </w:p>
    <w:p w14:paraId="052C1B0E" w14:textId="02D745B5" w:rsidR="00F74123" w:rsidRPr="009B4F07" w:rsidRDefault="00020844" w:rsidP="00F108AC">
      <w:pPr>
        <w:widowControl w:val="0"/>
        <w:spacing w:line="276" w:lineRule="auto"/>
        <w:ind w:firstLine="709"/>
        <w:jc w:val="both"/>
        <w:rPr>
          <w:rFonts w:asciiTheme="majorBidi" w:hAnsiTheme="majorBidi" w:cstheme="majorBidi"/>
        </w:rPr>
      </w:pPr>
      <w:r>
        <w:rPr>
          <w:rFonts w:asciiTheme="majorBidi" w:hAnsiTheme="majorBidi" w:cstheme="majorBidi"/>
        </w:rPr>
        <w:t>[Pers. A]</w:t>
      </w:r>
      <w:r w:rsidR="00294689" w:rsidRPr="009B4F07">
        <w:rPr>
          <w:rFonts w:asciiTheme="majorBidi" w:hAnsiTheme="majorBidi" w:cstheme="majorBidi"/>
        </w:rPr>
        <w:t xml:space="preserve"> atzīts par vainīgu</w:t>
      </w:r>
      <w:r w:rsidR="00041CAF" w:rsidRPr="009B4F07">
        <w:rPr>
          <w:rFonts w:asciiTheme="majorBidi" w:hAnsiTheme="majorBidi" w:cstheme="majorBidi"/>
        </w:rPr>
        <w:t xml:space="preserve"> </w:t>
      </w:r>
      <w:r w:rsidR="00294689" w:rsidRPr="009B4F07">
        <w:rPr>
          <w:rFonts w:asciiTheme="majorBidi" w:hAnsiTheme="majorBidi" w:cstheme="majorBidi"/>
        </w:rPr>
        <w:t>Krimināllikuma 253.</w:t>
      </w:r>
      <w:r w:rsidR="00294689" w:rsidRPr="009B4F07">
        <w:rPr>
          <w:rFonts w:asciiTheme="majorBidi" w:hAnsiTheme="majorBidi" w:cstheme="majorBidi"/>
          <w:vertAlign w:val="superscript"/>
        </w:rPr>
        <w:t>1</w:t>
      </w:r>
      <w:r w:rsidR="00294689" w:rsidRPr="009B4F07">
        <w:rPr>
          <w:rFonts w:asciiTheme="majorBidi" w:hAnsiTheme="majorBidi" w:cstheme="majorBidi"/>
        </w:rPr>
        <w:t> panta pirmajā daļā</w:t>
      </w:r>
      <w:r w:rsidR="000967D9" w:rsidRPr="009B4F07">
        <w:rPr>
          <w:rFonts w:asciiTheme="majorBidi" w:hAnsiTheme="majorBidi" w:cstheme="majorBidi"/>
          <w:color w:val="000000" w:themeColor="text1"/>
        </w:rPr>
        <w:t xml:space="preserve"> paredzētajā noziedzīgajā nodarījumā</w:t>
      </w:r>
      <w:r w:rsidR="006B3E8E" w:rsidRPr="009B4F07">
        <w:rPr>
          <w:rFonts w:asciiTheme="majorBidi" w:hAnsiTheme="majorBidi" w:cstheme="majorBidi"/>
        </w:rPr>
        <w:t>,</w:t>
      </w:r>
      <w:r w:rsidR="00294689" w:rsidRPr="009B4F07">
        <w:rPr>
          <w:rFonts w:asciiTheme="majorBidi" w:hAnsiTheme="majorBidi" w:cstheme="majorBidi"/>
        </w:rPr>
        <w:t xml:space="preserve"> un, piemērojot Krimināllikuma 49.</w:t>
      </w:r>
      <w:r w:rsidR="00294689" w:rsidRPr="009B4F07">
        <w:rPr>
          <w:rFonts w:asciiTheme="majorBidi" w:hAnsiTheme="majorBidi" w:cstheme="majorBidi"/>
          <w:vertAlign w:val="superscript"/>
        </w:rPr>
        <w:t>1</w:t>
      </w:r>
      <w:r w:rsidR="00294689" w:rsidRPr="009B4F07">
        <w:rPr>
          <w:rFonts w:asciiTheme="majorBidi" w:hAnsiTheme="majorBidi" w:cstheme="majorBidi"/>
        </w:rPr>
        <w:t xml:space="preserve"> panta pirmās daļas 2. punktu, </w:t>
      </w:r>
      <w:r w:rsidR="000967D9" w:rsidRPr="009B4F07">
        <w:rPr>
          <w:rFonts w:asciiTheme="majorBidi" w:hAnsiTheme="majorBidi" w:cstheme="majorBidi"/>
        </w:rPr>
        <w:t xml:space="preserve">sodīts ar </w:t>
      </w:r>
      <w:r w:rsidR="00710247" w:rsidRPr="009B4F07">
        <w:rPr>
          <w:rFonts w:asciiTheme="majorBidi" w:hAnsiTheme="majorBidi" w:cstheme="majorBidi"/>
        </w:rPr>
        <w:t>brīvības atņemšan</w:t>
      </w:r>
      <w:r w:rsidR="000967D9" w:rsidRPr="009B4F07">
        <w:rPr>
          <w:rFonts w:asciiTheme="majorBidi" w:hAnsiTheme="majorBidi" w:cstheme="majorBidi"/>
        </w:rPr>
        <w:t>u</w:t>
      </w:r>
      <w:r w:rsidR="00710247" w:rsidRPr="009B4F07">
        <w:rPr>
          <w:rFonts w:asciiTheme="majorBidi" w:hAnsiTheme="majorBidi" w:cstheme="majorBidi"/>
        </w:rPr>
        <w:t xml:space="preserve"> uz </w:t>
      </w:r>
      <w:r w:rsidR="00173969" w:rsidRPr="009B4F07">
        <w:rPr>
          <w:rFonts w:asciiTheme="majorBidi" w:hAnsiTheme="majorBidi" w:cstheme="majorBidi"/>
        </w:rPr>
        <w:t>1 </w:t>
      </w:r>
      <w:r w:rsidR="00710247" w:rsidRPr="009B4F07">
        <w:rPr>
          <w:rFonts w:asciiTheme="majorBidi" w:hAnsiTheme="majorBidi" w:cstheme="majorBidi"/>
        </w:rPr>
        <w:t xml:space="preserve">gadu </w:t>
      </w:r>
      <w:r w:rsidR="002925AC" w:rsidRPr="009B4F07">
        <w:rPr>
          <w:rFonts w:asciiTheme="majorBidi" w:hAnsiTheme="majorBidi" w:cstheme="majorBidi"/>
        </w:rPr>
        <w:t>un</w:t>
      </w:r>
      <w:r w:rsidR="00710247" w:rsidRPr="009B4F07">
        <w:rPr>
          <w:rFonts w:asciiTheme="majorBidi" w:hAnsiTheme="majorBidi" w:cstheme="majorBidi"/>
        </w:rPr>
        <w:t xml:space="preserve"> probācijas uzraudzību uz </w:t>
      </w:r>
      <w:r w:rsidR="00173969" w:rsidRPr="009B4F07">
        <w:rPr>
          <w:rFonts w:asciiTheme="majorBidi" w:hAnsiTheme="majorBidi" w:cstheme="majorBidi"/>
        </w:rPr>
        <w:t>1 </w:t>
      </w:r>
      <w:r w:rsidR="00710247" w:rsidRPr="009B4F07">
        <w:rPr>
          <w:rFonts w:asciiTheme="majorBidi" w:hAnsiTheme="majorBidi" w:cstheme="majorBidi"/>
        </w:rPr>
        <w:t>gadu.</w:t>
      </w:r>
    </w:p>
    <w:p w14:paraId="7C4B4FBF" w14:textId="04CE9B65" w:rsidR="00710247" w:rsidRPr="009B4F07" w:rsidRDefault="00710247"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Pārējā daļā pirmās instances tiesas spriedums atstāts negrozīts.</w:t>
      </w:r>
    </w:p>
    <w:p w14:paraId="478B9D97" w14:textId="77777777" w:rsidR="00710247" w:rsidRPr="009B4F07" w:rsidRDefault="00710247" w:rsidP="00F108AC">
      <w:pPr>
        <w:widowControl w:val="0"/>
        <w:spacing w:line="276" w:lineRule="auto"/>
        <w:ind w:firstLine="709"/>
        <w:jc w:val="both"/>
        <w:rPr>
          <w:rFonts w:asciiTheme="majorBidi" w:hAnsiTheme="majorBidi" w:cstheme="majorBidi"/>
        </w:rPr>
      </w:pPr>
    </w:p>
    <w:p w14:paraId="2FFE4711" w14:textId="44987A29" w:rsidR="00EF5682" w:rsidRPr="009B4F07" w:rsidRDefault="00EF5682"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5</w:t>
      </w:r>
      <w:r w:rsidRPr="009B4F07">
        <w:rPr>
          <w:rFonts w:asciiTheme="majorBidi" w:hAnsiTheme="majorBidi" w:cstheme="majorBidi"/>
        </w:rPr>
        <w:t>]</w:t>
      </w:r>
      <w:r w:rsidR="00DF639D" w:rsidRPr="009B4F07">
        <w:rPr>
          <w:rFonts w:asciiTheme="majorBidi" w:hAnsiTheme="majorBidi" w:cstheme="majorBidi"/>
        </w:rPr>
        <w:t> </w:t>
      </w:r>
      <w:r w:rsidRPr="009B4F07">
        <w:rPr>
          <w:rFonts w:asciiTheme="majorBidi" w:hAnsiTheme="majorBidi" w:cstheme="majorBidi"/>
        </w:rPr>
        <w:t>Par Rīgas apgabaltiesas 2024. gada 23. oktobra spriedumu apsūdzēt</w:t>
      </w:r>
      <w:r w:rsidR="00592DF6" w:rsidRPr="009B4F07">
        <w:rPr>
          <w:rFonts w:asciiTheme="majorBidi" w:hAnsiTheme="majorBidi" w:cstheme="majorBidi"/>
        </w:rPr>
        <w:t xml:space="preserve">ā aizstāvis </w:t>
      </w:r>
      <w:r w:rsidR="00181F8B" w:rsidRPr="009B4F07">
        <w:rPr>
          <w:rFonts w:asciiTheme="majorBidi" w:hAnsiTheme="majorBidi" w:cstheme="majorBidi"/>
        </w:rPr>
        <w:t xml:space="preserve">Ē. Štālbergs </w:t>
      </w:r>
      <w:r w:rsidR="00592DF6" w:rsidRPr="009B4F07">
        <w:rPr>
          <w:rFonts w:asciiTheme="majorBidi" w:hAnsiTheme="majorBidi" w:cstheme="majorBidi"/>
        </w:rPr>
        <w:t>ir</w:t>
      </w:r>
      <w:r w:rsidRPr="009B4F07">
        <w:rPr>
          <w:rFonts w:asciiTheme="majorBidi" w:hAnsiTheme="majorBidi" w:cstheme="majorBidi"/>
        </w:rPr>
        <w:t xml:space="preserve"> iesnie</w:t>
      </w:r>
      <w:r w:rsidR="00592DF6" w:rsidRPr="009B4F07">
        <w:rPr>
          <w:rFonts w:asciiTheme="majorBidi" w:hAnsiTheme="majorBidi" w:cstheme="majorBidi"/>
        </w:rPr>
        <w:t>dzis</w:t>
      </w:r>
      <w:r w:rsidRPr="009B4F07">
        <w:rPr>
          <w:rFonts w:asciiTheme="majorBidi" w:hAnsiTheme="majorBidi" w:cstheme="majorBidi"/>
        </w:rPr>
        <w:t xml:space="preserve"> kasācijas sūdzīb</w:t>
      </w:r>
      <w:r w:rsidR="00DE03AD" w:rsidRPr="009B4F07">
        <w:rPr>
          <w:rFonts w:asciiTheme="majorBidi" w:hAnsiTheme="majorBidi" w:cstheme="majorBidi"/>
        </w:rPr>
        <w:t>u</w:t>
      </w:r>
      <w:r w:rsidRPr="009B4F07">
        <w:rPr>
          <w:rFonts w:asciiTheme="majorBidi" w:hAnsiTheme="majorBidi" w:cstheme="majorBidi"/>
        </w:rPr>
        <w:t xml:space="preserve">, kurā lūdz atcelt spriedumu un nosūtīt lietu jaunai izskatīšanai apelācijas instances tiesā. </w:t>
      </w:r>
      <w:r w:rsidR="00592DF6" w:rsidRPr="009B4F07">
        <w:rPr>
          <w:rFonts w:asciiTheme="majorBidi" w:hAnsiTheme="majorBidi" w:cstheme="majorBidi"/>
        </w:rPr>
        <w:t>Aizstāvis kasācijas sūdzību pamatojis ar turpmāk norādītajiem argumentiem.</w:t>
      </w:r>
    </w:p>
    <w:p w14:paraId="2626D9F8" w14:textId="1A169C83" w:rsidR="00B6255A" w:rsidRPr="009B4F07" w:rsidRDefault="00B6255A"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5</w:t>
      </w:r>
      <w:r w:rsidRPr="009B4F07">
        <w:rPr>
          <w:rFonts w:asciiTheme="majorBidi" w:hAnsiTheme="majorBidi" w:cstheme="majorBidi"/>
        </w:rPr>
        <w:t>.1]</w:t>
      </w:r>
      <w:r w:rsidR="00DF639D" w:rsidRPr="009B4F07">
        <w:rPr>
          <w:rFonts w:asciiTheme="majorBidi" w:hAnsiTheme="majorBidi" w:cstheme="majorBidi"/>
        </w:rPr>
        <w:t> </w:t>
      </w:r>
      <w:r w:rsidRPr="009B4F07">
        <w:rPr>
          <w:rFonts w:asciiTheme="majorBidi" w:hAnsiTheme="majorBidi" w:cstheme="majorBidi"/>
        </w:rPr>
        <w:t xml:space="preserve">Apelācijas instances tiesa pieļāvusi Kriminālprocesa likuma 574. panta pārkāpumu, jo nepareizi konstatējusi lietas faktiskos apstākļus, līdz ar to nepamatoti atzinusi </w:t>
      </w:r>
      <w:r w:rsidR="00EF2C6B">
        <w:rPr>
          <w:rFonts w:asciiTheme="majorBidi" w:hAnsiTheme="majorBidi" w:cstheme="majorBidi"/>
        </w:rPr>
        <w:t>[pers. A]</w:t>
      </w:r>
      <w:r w:rsidRPr="009B4F07">
        <w:rPr>
          <w:rFonts w:asciiTheme="majorBidi" w:hAnsiTheme="majorBidi" w:cstheme="majorBidi"/>
        </w:rPr>
        <w:t xml:space="preserve"> par vainīgu Krimināllikuma 2</w:t>
      </w:r>
      <w:r w:rsidR="004058C0" w:rsidRPr="009B4F07">
        <w:rPr>
          <w:rFonts w:asciiTheme="majorBidi" w:hAnsiTheme="majorBidi" w:cstheme="majorBidi"/>
        </w:rPr>
        <w:t>5</w:t>
      </w:r>
      <w:r w:rsidRPr="009B4F07">
        <w:rPr>
          <w:rFonts w:asciiTheme="majorBidi" w:hAnsiTheme="majorBidi" w:cstheme="majorBidi"/>
        </w:rPr>
        <w:t>3.</w:t>
      </w:r>
      <w:r w:rsidRPr="009B4F07">
        <w:rPr>
          <w:rFonts w:asciiTheme="majorBidi" w:hAnsiTheme="majorBidi" w:cstheme="majorBidi"/>
          <w:vertAlign w:val="superscript"/>
        </w:rPr>
        <w:t>1</w:t>
      </w:r>
      <w:r w:rsidR="00AD768D" w:rsidRPr="009B4F07">
        <w:rPr>
          <w:rFonts w:asciiTheme="majorBidi" w:hAnsiTheme="majorBidi" w:cstheme="majorBidi"/>
        </w:rPr>
        <w:t> </w:t>
      </w:r>
      <w:r w:rsidRPr="009B4F07">
        <w:rPr>
          <w:rFonts w:asciiTheme="majorBidi" w:hAnsiTheme="majorBidi" w:cstheme="majorBidi"/>
        </w:rPr>
        <w:t>panta pirmajā daļā paredzētajā noziedzīgajā nodarījumā.</w:t>
      </w:r>
    </w:p>
    <w:p w14:paraId="49F7D662" w14:textId="343B862A" w:rsidR="00B6255A" w:rsidRPr="009B4F07" w:rsidRDefault="00F10462"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 xml:space="preserve">Tiesas spriedums pamatots tikai ar ekspertīzes atzinumu un ekspertes </w:t>
      </w:r>
      <w:r w:rsidR="00EF2C6B">
        <w:rPr>
          <w:rFonts w:asciiTheme="majorBidi" w:hAnsiTheme="majorBidi" w:cstheme="majorBidi"/>
        </w:rPr>
        <w:t>[pers. B]</w:t>
      </w:r>
      <w:r w:rsidRPr="009B4F07">
        <w:rPr>
          <w:rFonts w:asciiTheme="majorBidi" w:hAnsiTheme="majorBidi" w:cstheme="majorBidi"/>
        </w:rPr>
        <w:t xml:space="preserve"> liecībām.</w:t>
      </w:r>
      <w:r w:rsidR="00915A02" w:rsidRPr="009B4F07">
        <w:rPr>
          <w:rFonts w:asciiTheme="majorBidi" w:hAnsiTheme="majorBidi" w:cstheme="majorBidi"/>
        </w:rPr>
        <w:t xml:space="preserve"> E</w:t>
      </w:r>
      <w:r w:rsidR="00B6255A" w:rsidRPr="009B4F07">
        <w:rPr>
          <w:rFonts w:asciiTheme="majorBidi" w:hAnsiTheme="majorBidi" w:cstheme="majorBidi"/>
        </w:rPr>
        <w:t xml:space="preserve">kspertīzē nav noteikts, </w:t>
      </w:r>
      <w:r w:rsidR="00FD65D5" w:rsidRPr="009B4F07">
        <w:rPr>
          <w:rFonts w:asciiTheme="majorBidi" w:hAnsiTheme="majorBidi" w:cstheme="majorBidi"/>
        </w:rPr>
        <w:t>kā</w:t>
      </w:r>
      <w:r w:rsidR="00B6255A" w:rsidRPr="009B4F07">
        <w:rPr>
          <w:rFonts w:asciiTheme="majorBidi" w:hAnsiTheme="majorBidi" w:cstheme="majorBidi"/>
        </w:rPr>
        <w:t xml:space="preserve"> tējā radusies narkotiskā viela</w:t>
      </w:r>
      <w:r w:rsidR="00014269" w:rsidRPr="009B4F07">
        <w:rPr>
          <w:rFonts w:asciiTheme="majorBidi" w:hAnsiTheme="majorBidi" w:cstheme="majorBidi"/>
        </w:rPr>
        <w:t> </w:t>
      </w:r>
      <w:r w:rsidR="00B6255A" w:rsidRPr="009B4F07">
        <w:rPr>
          <w:rFonts w:asciiTheme="majorBidi" w:hAnsiTheme="majorBidi" w:cstheme="majorBidi"/>
        </w:rPr>
        <w:t>– kokaīns</w:t>
      </w:r>
      <w:r w:rsidR="00915A02" w:rsidRPr="009B4F07">
        <w:rPr>
          <w:rFonts w:asciiTheme="majorBidi" w:hAnsiTheme="majorBidi" w:cstheme="majorBidi"/>
        </w:rPr>
        <w:t>.</w:t>
      </w:r>
      <w:r w:rsidRPr="009B4F07">
        <w:rPr>
          <w:rFonts w:asciiTheme="majorBidi" w:hAnsiTheme="majorBidi" w:cstheme="majorBidi"/>
        </w:rPr>
        <w:t xml:space="preserve"> </w:t>
      </w:r>
      <w:r w:rsidR="00915A02" w:rsidRPr="009B4F07">
        <w:rPr>
          <w:rFonts w:asciiTheme="majorBidi" w:hAnsiTheme="majorBidi" w:cstheme="majorBidi"/>
        </w:rPr>
        <w:t xml:space="preserve">Vienlaikus eksperte </w:t>
      </w:r>
      <w:r w:rsidR="00EF2C6B">
        <w:rPr>
          <w:rFonts w:asciiTheme="majorBidi" w:hAnsiTheme="majorBidi" w:cstheme="majorBidi"/>
        </w:rPr>
        <w:t>[pers. B]</w:t>
      </w:r>
      <w:r w:rsidR="00915A02" w:rsidRPr="009B4F07">
        <w:rPr>
          <w:rFonts w:asciiTheme="majorBidi" w:hAnsiTheme="majorBidi" w:cstheme="majorBidi"/>
        </w:rPr>
        <w:t xml:space="preserve"> atzinusi, ka izņemtā viela ir augu materiāls, nevis augu maisījums. Tādējādi lietā nav pierādīts Krimināllikuma normas dispozīcijā paredzētais priekšmets, jo kriminālatbildība šajā gadījumā var iestāties tikai par kokaīna klātbūtni augu maisījumā.</w:t>
      </w:r>
    </w:p>
    <w:p w14:paraId="08ED79A3" w14:textId="6972689D" w:rsidR="00B6255A" w:rsidRPr="009B4F07" w:rsidRDefault="00F10462"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Turklāt lietā n</w:t>
      </w:r>
      <w:r w:rsidR="00B6255A" w:rsidRPr="009B4F07">
        <w:rPr>
          <w:rFonts w:asciiTheme="majorBidi" w:hAnsiTheme="majorBidi" w:cstheme="majorBidi"/>
        </w:rPr>
        <w:t>av pareizi konstatēts tējas svars, jo uz paciņas norādīt</w:t>
      </w:r>
      <w:r w:rsidR="007756FC" w:rsidRPr="009B4F07">
        <w:rPr>
          <w:rFonts w:asciiTheme="majorBidi" w:hAnsiTheme="majorBidi" w:cstheme="majorBidi"/>
        </w:rPr>
        <w:t>i</w:t>
      </w:r>
      <w:r w:rsidR="00B6255A" w:rsidRPr="009B4F07">
        <w:rPr>
          <w:rFonts w:asciiTheme="majorBidi" w:hAnsiTheme="majorBidi" w:cstheme="majorBidi"/>
        </w:rPr>
        <w:t xml:space="preserve"> 45</w:t>
      </w:r>
      <w:r w:rsidR="00760E3D" w:rsidRPr="009B4F07">
        <w:rPr>
          <w:rFonts w:asciiTheme="majorBidi" w:hAnsiTheme="majorBidi" w:cstheme="majorBidi"/>
        </w:rPr>
        <w:t> </w:t>
      </w:r>
      <w:r w:rsidR="00B6255A" w:rsidRPr="009B4F07">
        <w:rPr>
          <w:rFonts w:asciiTheme="majorBidi" w:hAnsiTheme="majorBidi" w:cstheme="majorBidi"/>
        </w:rPr>
        <w:t>g</w:t>
      </w:r>
      <w:r w:rsidR="007756FC" w:rsidRPr="009B4F07">
        <w:rPr>
          <w:rFonts w:asciiTheme="majorBidi" w:hAnsiTheme="majorBidi" w:cstheme="majorBidi"/>
        </w:rPr>
        <w:t>rami</w:t>
      </w:r>
      <w:r w:rsidR="00B6255A" w:rsidRPr="009B4F07">
        <w:rPr>
          <w:rFonts w:asciiTheme="majorBidi" w:hAnsiTheme="majorBidi" w:cstheme="majorBidi"/>
        </w:rPr>
        <w:t xml:space="preserve">, bet </w:t>
      </w:r>
      <w:r w:rsidR="00EF2C6B">
        <w:rPr>
          <w:rFonts w:asciiTheme="majorBidi" w:hAnsiTheme="majorBidi" w:cstheme="majorBidi"/>
        </w:rPr>
        <w:t>[pers. A]</w:t>
      </w:r>
      <w:r w:rsidR="00B6255A" w:rsidRPr="009B4F07">
        <w:rPr>
          <w:rFonts w:asciiTheme="majorBidi" w:hAnsiTheme="majorBidi" w:cstheme="majorBidi"/>
        </w:rPr>
        <w:t xml:space="preserve"> uzrādītajā apsūdzībā norādīti 50</w:t>
      </w:r>
      <w:r w:rsidR="00760E3D" w:rsidRPr="009B4F07">
        <w:rPr>
          <w:rFonts w:asciiTheme="majorBidi" w:hAnsiTheme="majorBidi" w:cstheme="majorBidi"/>
        </w:rPr>
        <w:t> </w:t>
      </w:r>
      <w:r w:rsidR="00B6255A" w:rsidRPr="009B4F07">
        <w:rPr>
          <w:rFonts w:asciiTheme="majorBidi" w:hAnsiTheme="majorBidi" w:cstheme="majorBidi"/>
        </w:rPr>
        <w:t>g</w:t>
      </w:r>
      <w:r w:rsidR="007756FC" w:rsidRPr="009B4F07">
        <w:rPr>
          <w:rFonts w:asciiTheme="majorBidi" w:hAnsiTheme="majorBidi" w:cstheme="majorBidi"/>
        </w:rPr>
        <w:t>rami</w:t>
      </w:r>
      <w:r w:rsidR="00B6255A" w:rsidRPr="009B4F07">
        <w:rPr>
          <w:rFonts w:asciiTheme="majorBidi" w:hAnsiTheme="majorBidi" w:cstheme="majorBidi"/>
        </w:rPr>
        <w:t>.</w:t>
      </w:r>
    </w:p>
    <w:p w14:paraId="0E757E33" w14:textId="3FE86BBF" w:rsidR="00A30D46" w:rsidRPr="009B4F07" w:rsidRDefault="00A30D46"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[5.2]</w:t>
      </w:r>
      <w:r w:rsidR="004B7967" w:rsidRPr="009B4F07">
        <w:rPr>
          <w:rFonts w:asciiTheme="majorBidi" w:hAnsiTheme="majorBidi" w:cstheme="majorBidi"/>
        </w:rPr>
        <w:t> </w:t>
      </w:r>
      <w:r w:rsidR="00BF2D12" w:rsidRPr="009B4F07">
        <w:rPr>
          <w:rFonts w:asciiTheme="majorBidi" w:hAnsiTheme="majorBidi" w:cstheme="majorBidi"/>
        </w:rPr>
        <w:t>T</w:t>
      </w:r>
      <w:r w:rsidR="00190E8B" w:rsidRPr="009B4F07">
        <w:rPr>
          <w:rFonts w:asciiTheme="majorBidi" w:hAnsiTheme="majorBidi" w:cstheme="majorBidi"/>
        </w:rPr>
        <w:t xml:space="preserve">iesa nav vērtējusi to, ka </w:t>
      </w:r>
      <w:r w:rsidR="00EF2C6B">
        <w:rPr>
          <w:rFonts w:asciiTheme="majorBidi" w:hAnsiTheme="majorBidi" w:cstheme="majorBidi"/>
        </w:rPr>
        <w:t>[pers. A]</w:t>
      </w:r>
      <w:r w:rsidR="00190E8B" w:rsidRPr="009B4F07">
        <w:rPr>
          <w:rFonts w:asciiTheme="majorBidi" w:hAnsiTheme="majorBidi" w:cstheme="majorBidi"/>
        </w:rPr>
        <w:t xml:space="preserve"> labprātīg</w:t>
      </w:r>
      <w:r w:rsidR="000831DC" w:rsidRPr="009B4F07">
        <w:rPr>
          <w:rFonts w:asciiTheme="majorBidi" w:hAnsiTheme="majorBidi" w:cstheme="majorBidi"/>
        </w:rPr>
        <w:t>i nodeva</w:t>
      </w:r>
      <w:r w:rsidR="00190E8B" w:rsidRPr="009B4F07">
        <w:rPr>
          <w:rFonts w:asciiTheme="majorBidi" w:hAnsiTheme="majorBidi" w:cstheme="majorBidi"/>
        </w:rPr>
        <w:t xml:space="preserve"> tējas paciņu</w:t>
      </w:r>
      <w:r w:rsidR="000831DC" w:rsidRPr="009B4F07">
        <w:rPr>
          <w:rFonts w:asciiTheme="majorBidi" w:hAnsiTheme="majorBidi" w:cstheme="majorBidi"/>
        </w:rPr>
        <w:t xml:space="preserve"> tiesību aizsardzības iestādei</w:t>
      </w:r>
      <w:r w:rsidR="00190E8B" w:rsidRPr="009B4F07">
        <w:rPr>
          <w:rFonts w:asciiTheme="majorBidi" w:hAnsiTheme="majorBidi" w:cstheme="majorBidi"/>
        </w:rPr>
        <w:t xml:space="preserve">, līdz ar to viņa darbībās saskatāmas </w:t>
      </w:r>
      <w:r w:rsidRPr="009B4F07">
        <w:rPr>
          <w:rFonts w:asciiTheme="majorBidi" w:hAnsiTheme="majorBidi" w:cstheme="majorBidi"/>
        </w:rPr>
        <w:t>Krimināllikuma 254. pant</w:t>
      </w:r>
      <w:r w:rsidR="00190E8B" w:rsidRPr="009B4F07">
        <w:rPr>
          <w:rFonts w:asciiTheme="majorBidi" w:hAnsiTheme="majorBidi" w:cstheme="majorBidi"/>
        </w:rPr>
        <w:t>a pazīmes</w:t>
      </w:r>
      <w:r w:rsidR="00D44F0D" w:rsidRPr="009B4F07">
        <w:rPr>
          <w:rFonts w:asciiTheme="majorBidi" w:hAnsiTheme="majorBidi" w:cstheme="majorBidi"/>
        </w:rPr>
        <w:t xml:space="preserve"> un tādēļ viņš no kriminālatbildības atbrīvojams</w:t>
      </w:r>
      <w:r w:rsidR="00190E8B" w:rsidRPr="009B4F07">
        <w:rPr>
          <w:rFonts w:asciiTheme="majorBidi" w:hAnsiTheme="majorBidi" w:cstheme="majorBidi"/>
        </w:rPr>
        <w:t>.</w:t>
      </w:r>
    </w:p>
    <w:p w14:paraId="24306EF4" w14:textId="41A533F6" w:rsidR="00F10462" w:rsidRPr="009B4F07" w:rsidRDefault="00F10462"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5</w:t>
      </w:r>
      <w:r w:rsidRPr="009B4F07">
        <w:rPr>
          <w:rFonts w:asciiTheme="majorBidi" w:hAnsiTheme="majorBidi" w:cstheme="majorBidi"/>
        </w:rPr>
        <w:t>.</w:t>
      </w:r>
      <w:r w:rsidR="00BF2D12" w:rsidRPr="009B4F07">
        <w:rPr>
          <w:rFonts w:asciiTheme="majorBidi" w:hAnsiTheme="majorBidi" w:cstheme="majorBidi"/>
        </w:rPr>
        <w:t>3</w:t>
      </w:r>
      <w:r w:rsidRPr="009B4F07">
        <w:rPr>
          <w:rFonts w:asciiTheme="majorBidi" w:hAnsiTheme="majorBidi" w:cstheme="majorBidi"/>
        </w:rPr>
        <w:t>]</w:t>
      </w:r>
      <w:r w:rsidR="00DF639D" w:rsidRPr="009B4F07">
        <w:rPr>
          <w:rFonts w:asciiTheme="majorBidi" w:hAnsiTheme="majorBidi" w:cstheme="majorBidi"/>
        </w:rPr>
        <w:t> </w:t>
      </w:r>
      <w:r w:rsidRPr="009B4F07">
        <w:rPr>
          <w:rFonts w:asciiTheme="majorBidi" w:hAnsiTheme="majorBidi" w:cstheme="majorBidi"/>
        </w:rPr>
        <w:t>Apelācijas instances tiesa</w:t>
      </w:r>
      <w:r w:rsidR="00BF2D12" w:rsidRPr="009B4F07">
        <w:rPr>
          <w:rFonts w:asciiTheme="majorBidi" w:hAnsiTheme="majorBidi" w:cstheme="majorBidi"/>
        </w:rPr>
        <w:t xml:space="preserve"> pārkāpusi apsūdzētā tiesības uz aizstāvību, izskatot lietu bez aizstāvja piedalīšanās tiesas sēdē, tādējādi pieļāvusi būtisku pārkāpumu Kriminālprocesa likuma 575. panta trešās daļas izpratnē. Apsūdzētais</w:t>
      </w:r>
      <w:r w:rsidRPr="009B4F07">
        <w:rPr>
          <w:rFonts w:asciiTheme="majorBidi" w:hAnsiTheme="majorBidi" w:cstheme="majorBidi"/>
        </w:rPr>
        <w:t xml:space="preserve"> </w:t>
      </w:r>
      <w:r w:rsidR="00EF2C6B">
        <w:rPr>
          <w:rFonts w:asciiTheme="majorBidi" w:hAnsiTheme="majorBidi" w:cstheme="majorBidi"/>
        </w:rPr>
        <w:t>[pers. A]</w:t>
      </w:r>
      <w:r w:rsidRPr="009B4F07">
        <w:rPr>
          <w:rFonts w:asciiTheme="majorBidi" w:hAnsiTheme="majorBidi" w:cstheme="majorBidi"/>
        </w:rPr>
        <w:t xml:space="preserve"> bija izteicis lūgumus par aizstāvja piedalīšanos tiesas sēdē, taču tiesa viņu ietekmēja atteikties no aizstāvja, atteikšanās no aizstāvja nenotika </w:t>
      </w:r>
      <w:r w:rsidR="000D5FCC" w:rsidRPr="009B4F07">
        <w:rPr>
          <w:rFonts w:asciiTheme="majorBidi" w:hAnsiTheme="majorBidi" w:cstheme="majorBidi"/>
        </w:rPr>
        <w:t xml:space="preserve">viņa </w:t>
      </w:r>
      <w:r w:rsidRPr="009B4F07">
        <w:rPr>
          <w:rFonts w:asciiTheme="majorBidi" w:hAnsiTheme="majorBidi" w:cstheme="majorBidi"/>
        </w:rPr>
        <w:t>klātbūtnē, bet gan tika fiksēta tiesas sēdes protokolā.</w:t>
      </w:r>
    </w:p>
    <w:p w14:paraId="0E41E969" w14:textId="04A4E376" w:rsidR="00F10462" w:rsidRPr="009B4F07" w:rsidRDefault="00F10462"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Atteikšanās notikusi pēc tiesas, nevis apsūdzētā iniciatīvas, apsūdzētais bijis spiests atteikties no aizstāvja materiālā stāvokļa dēļ.</w:t>
      </w:r>
    </w:p>
    <w:p w14:paraId="65786913" w14:textId="11A4281B" w:rsidR="00F10462" w:rsidRPr="009B4F07" w:rsidRDefault="00F10462" w:rsidP="00F108AC">
      <w:pPr>
        <w:widowControl w:val="0"/>
        <w:spacing w:line="276" w:lineRule="auto"/>
        <w:ind w:firstLine="709"/>
        <w:jc w:val="both"/>
        <w:rPr>
          <w:rFonts w:asciiTheme="majorBidi" w:hAnsiTheme="majorBidi" w:cstheme="majorBidi"/>
        </w:rPr>
      </w:pPr>
    </w:p>
    <w:p w14:paraId="4EC75DD7" w14:textId="7F793410" w:rsidR="00DE03AD" w:rsidRPr="009B4F07" w:rsidRDefault="00592DF6"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6</w:t>
      </w:r>
      <w:r w:rsidRPr="009B4F07">
        <w:rPr>
          <w:rFonts w:asciiTheme="majorBidi" w:hAnsiTheme="majorBidi" w:cstheme="majorBidi"/>
        </w:rPr>
        <w:t>]</w:t>
      </w:r>
      <w:r w:rsidR="00DF639D" w:rsidRPr="009B4F07">
        <w:rPr>
          <w:rFonts w:asciiTheme="majorBidi" w:hAnsiTheme="majorBidi" w:cstheme="majorBidi"/>
        </w:rPr>
        <w:t> </w:t>
      </w:r>
      <w:r w:rsidRPr="009B4F07">
        <w:rPr>
          <w:rFonts w:asciiTheme="majorBidi" w:hAnsiTheme="majorBidi" w:cstheme="majorBidi"/>
        </w:rPr>
        <w:t xml:space="preserve">Par Rīgas apgabaltiesas 2024. gada 23. oktobra spriedumu apsūdzētais </w:t>
      </w:r>
      <w:r w:rsidR="00EF2C6B">
        <w:rPr>
          <w:rFonts w:asciiTheme="majorBidi" w:hAnsiTheme="majorBidi" w:cstheme="majorBidi"/>
        </w:rPr>
        <w:t>[pers. A]</w:t>
      </w:r>
      <w:r w:rsidRPr="009B4F07">
        <w:rPr>
          <w:rFonts w:asciiTheme="majorBidi" w:hAnsiTheme="majorBidi" w:cstheme="majorBidi"/>
        </w:rPr>
        <w:t xml:space="preserve"> iesniedzis k</w:t>
      </w:r>
      <w:r w:rsidR="00EF5682" w:rsidRPr="009B4F07">
        <w:rPr>
          <w:rFonts w:asciiTheme="majorBidi" w:hAnsiTheme="majorBidi" w:cstheme="majorBidi"/>
        </w:rPr>
        <w:t>asācijas sūdzību</w:t>
      </w:r>
      <w:r w:rsidRPr="009B4F07">
        <w:rPr>
          <w:rFonts w:asciiTheme="majorBidi" w:hAnsiTheme="majorBidi" w:cstheme="majorBidi"/>
        </w:rPr>
        <w:t xml:space="preserve">, lūdzot atcelt apelācijas instances tiesas spriedumu un nosūtīt lietu jaunai iztiesāšanai apelācijas instances tiesā. </w:t>
      </w:r>
      <w:r w:rsidR="00F90F83" w:rsidRPr="009B4F07">
        <w:rPr>
          <w:rFonts w:asciiTheme="majorBidi" w:hAnsiTheme="majorBidi" w:cstheme="majorBidi"/>
        </w:rPr>
        <w:t>Apsūdzētais kasācijas sūdzībā</w:t>
      </w:r>
      <w:r w:rsidR="00DE03AD" w:rsidRPr="009B4F07">
        <w:rPr>
          <w:rFonts w:asciiTheme="majorBidi" w:hAnsiTheme="majorBidi" w:cstheme="majorBidi"/>
        </w:rPr>
        <w:t xml:space="preserve"> pievienojies aizstāvja</w:t>
      </w:r>
      <w:r w:rsidR="007172B8" w:rsidRPr="009B4F07">
        <w:rPr>
          <w:rFonts w:asciiTheme="majorBidi" w:hAnsiTheme="majorBidi" w:cstheme="majorBidi"/>
        </w:rPr>
        <w:t xml:space="preserve"> Ē.</w:t>
      </w:r>
      <w:r w:rsidR="00FA2CC5" w:rsidRPr="009B4F07">
        <w:rPr>
          <w:rFonts w:asciiTheme="majorBidi" w:hAnsiTheme="majorBidi" w:cstheme="majorBidi"/>
        </w:rPr>
        <w:t> </w:t>
      </w:r>
      <w:r w:rsidR="007172B8" w:rsidRPr="009B4F07">
        <w:rPr>
          <w:rFonts w:asciiTheme="majorBidi" w:hAnsiTheme="majorBidi" w:cstheme="majorBidi"/>
        </w:rPr>
        <w:t>Štālberga</w:t>
      </w:r>
      <w:r w:rsidR="00DE03AD" w:rsidRPr="009B4F07">
        <w:rPr>
          <w:rFonts w:asciiTheme="majorBidi" w:hAnsiTheme="majorBidi" w:cstheme="majorBidi"/>
        </w:rPr>
        <w:t xml:space="preserve"> kasācijas sūdzībai un </w:t>
      </w:r>
      <w:r w:rsidR="00F10462" w:rsidRPr="009B4F07">
        <w:rPr>
          <w:rFonts w:asciiTheme="majorBidi" w:hAnsiTheme="majorBidi" w:cstheme="majorBidi"/>
        </w:rPr>
        <w:t>norādījis šādus argumentus.</w:t>
      </w:r>
    </w:p>
    <w:p w14:paraId="45DE6B30" w14:textId="03A23DC4" w:rsidR="00172FF1" w:rsidRDefault="00DE03AD"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6</w:t>
      </w:r>
      <w:r w:rsidRPr="009B4F07">
        <w:rPr>
          <w:rFonts w:asciiTheme="majorBidi" w:hAnsiTheme="majorBidi" w:cstheme="majorBidi"/>
        </w:rPr>
        <w:t>.1]</w:t>
      </w:r>
      <w:r w:rsidR="00DF639D" w:rsidRPr="009B4F07">
        <w:rPr>
          <w:rFonts w:asciiTheme="majorBidi" w:hAnsiTheme="majorBidi" w:cstheme="majorBidi"/>
        </w:rPr>
        <w:t> </w:t>
      </w:r>
      <w:r w:rsidRPr="009B4F07">
        <w:rPr>
          <w:rFonts w:asciiTheme="majorBidi" w:hAnsiTheme="majorBidi" w:cstheme="majorBidi"/>
        </w:rPr>
        <w:t xml:space="preserve">Tiesa nepamatoti atzinusi apsūdzēto </w:t>
      </w:r>
      <w:r w:rsidR="00EF2C6B">
        <w:rPr>
          <w:rFonts w:asciiTheme="majorBidi" w:hAnsiTheme="majorBidi" w:cstheme="majorBidi"/>
        </w:rPr>
        <w:t>[pers. A]</w:t>
      </w:r>
      <w:r w:rsidRPr="009B4F07">
        <w:rPr>
          <w:rFonts w:asciiTheme="majorBidi" w:hAnsiTheme="majorBidi" w:cstheme="majorBidi"/>
        </w:rPr>
        <w:t xml:space="preserve"> par vainīgu Krimināllikuma 253.</w:t>
      </w:r>
      <w:r w:rsidRPr="009B4F07">
        <w:rPr>
          <w:rFonts w:asciiTheme="majorBidi" w:hAnsiTheme="majorBidi" w:cstheme="majorBidi"/>
          <w:vertAlign w:val="superscript"/>
        </w:rPr>
        <w:t>1</w:t>
      </w:r>
      <w:r w:rsidR="00AD768D" w:rsidRPr="009B4F07">
        <w:rPr>
          <w:rFonts w:asciiTheme="majorBidi" w:hAnsiTheme="majorBidi" w:cstheme="majorBidi"/>
        </w:rPr>
        <w:t> </w:t>
      </w:r>
      <w:r w:rsidRPr="009B4F07">
        <w:rPr>
          <w:rFonts w:asciiTheme="majorBidi" w:hAnsiTheme="majorBidi" w:cstheme="majorBidi"/>
        </w:rPr>
        <w:t xml:space="preserve">panta pirmajā daļā paredzētajā noziedzīgajā nodarījumā, jo nav pienācīgi izvērtējusi apsūdzētā norādītos faktus, proti, ka: 1) izņemtā kokas krūma lapu tēja nav augu maisījums; </w:t>
      </w:r>
      <w:r w:rsidR="00361585" w:rsidRPr="009B4F07">
        <w:rPr>
          <w:rFonts w:asciiTheme="majorBidi" w:hAnsiTheme="majorBidi" w:cstheme="majorBidi"/>
        </w:rPr>
        <w:lastRenderedPageBreak/>
        <w:t>2)</w:t>
      </w:r>
      <w:r w:rsidR="009B5295" w:rsidRPr="009B4F07">
        <w:rPr>
          <w:rFonts w:asciiTheme="majorBidi" w:hAnsiTheme="majorBidi" w:cstheme="majorBidi"/>
        </w:rPr>
        <w:t> </w:t>
      </w:r>
      <w:r w:rsidR="00361585" w:rsidRPr="009B4F07">
        <w:rPr>
          <w:rFonts w:asciiTheme="majorBidi" w:hAnsiTheme="majorBidi" w:cstheme="majorBidi"/>
        </w:rPr>
        <w:t xml:space="preserve">ekspertīzē nav noteikts, </w:t>
      </w:r>
      <w:r w:rsidR="0047499D" w:rsidRPr="009B4F07">
        <w:rPr>
          <w:rFonts w:asciiTheme="majorBidi" w:hAnsiTheme="majorBidi" w:cstheme="majorBidi"/>
        </w:rPr>
        <w:t>kā</w:t>
      </w:r>
      <w:r w:rsidR="00361585" w:rsidRPr="009B4F07">
        <w:rPr>
          <w:rFonts w:asciiTheme="majorBidi" w:hAnsiTheme="majorBidi" w:cstheme="majorBidi"/>
        </w:rPr>
        <w:t xml:space="preserve"> tējā nonācis tajā konstatētais kokaīns; </w:t>
      </w:r>
      <w:r w:rsidR="009B5295" w:rsidRPr="009B4F07">
        <w:rPr>
          <w:rFonts w:asciiTheme="majorBidi" w:hAnsiTheme="majorBidi" w:cstheme="majorBidi"/>
        </w:rPr>
        <w:t>3</w:t>
      </w:r>
      <w:r w:rsidRPr="009B4F07">
        <w:rPr>
          <w:rFonts w:asciiTheme="majorBidi" w:hAnsiTheme="majorBidi" w:cstheme="majorBidi"/>
        </w:rPr>
        <w:t>) nav izskaidrots, kādēļ izņemtās tējas svars palielinājies no 45</w:t>
      </w:r>
      <w:r w:rsidR="00151A76" w:rsidRPr="009B4F07">
        <w:rPr>
          <w:rFonts w:asciiTheme="majorBidi" w:hAnsiTheme="majorBidi" w:cstheme="majorBidi"/>
        </w:rPr>
        <w:t> </w:t>
      </w:r>
      <w:r w:rsidRPr="009B4F07">
        <w:rPr>
          <w:rFonts w:asciiTheme="majorBidi" w:hAnsiTheme="majorBidi" w:cstheme="majorBidi"/>
        </w:rPr>
        <w:t>gramiem uz 50,23</w:t>
      </w:r>
      <w:r w:rsidR="00151A76" w:rsidRPr="009B4F07">
        <w:rPr>
          <w:rFonts w:asciiTheme="majorBidi" w:hAnsiTheme="majorBidi" w:cstheme="majorBidi"/>
        </w:rPr>
        <w:t> </w:t>
      </w:r>
      <w:r w:rsidRPr="009B4F07">
        <w:rPr>
          <w:rFonts w:asciiTheme="majorBidi" w:hAnsiTheme="majorBidi" w:cstheme="majorBidi"/>
        </w:rPr>
        <w:t>gramiem</w:t>
      </w:r>
      <w:r w:rsidR="00361585" w:rsidRPr="009B4F07">
        <w:rPr>
          <w:rFonts w:asciiTheme="majorBidi" w:hAnsiTheme="majorBidi" w:cstheme="majorBidi"/>
        </w:rPr>
        <w:t>.</w:t>
      </w:r>
    </w:p>
    <w:p w14:paraId="547B68CA" w14:textId="29914A5C" w:rsidR="005A36D9" w:rsidRPr="009B4F07" w:rsidRDefault="00DE03AD"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6</w:t>
      </w:r>
      <w:r w:rsidRPr="009B4F07">
        <w:rPr>
          <w:rFonts w:asciiTheme="majorBidi" w:hAnsiTheme="majorBidi" w:cstheme="majorBidi"/>
        </w:rPr>
        <w:t>.2]</w:t>
      </w:r>
      <w:r w:rsidR="00DF639D" w:rsidRPr="009B4F07">
        <w:rPr>
          <w:rFonts w:asciiTheme="majorBidi" w:hAnsiTheme="majorBidi" w:cstheme="majorBidi"/>
        </w:rPr>
        <w:t> </w:t>
      </w:r>
      <w:r w:rsidR="000D5FCC" w:rsidRPr="009B4F07">
        <w:rPr>
          <w:rFonts w:asciiTheme="majorBidi" w:hAnsiTheme="majorBidi" w:cstheme="majorBidi"/>
        </w:rPr>
        <w:t>T</w:t>
      </w:r>
      <w:r w:rsidR="00521E1F" w:rsidRPr="009B4F07">
        <w:rPr>
          <w:rFonts w:asciiTheme="majorBidi" w:hAnsiTheme="majorBidi" w:cstheme="majorBidi"/>
        </w:rPr>
        <w:t>iesas piespriestais soda mērs ir nesamērīgs</w:t>
      </w:r>
      <w:r w:rsidR="00D05818" w:rsidRPr="009B4F07">
        <w:rPr>
          <w:rFonts w:asciiTheme="majorBidi" w:hAnsiTheme="majorBidi" w:cstheme="majorBidi"/>
        </w:rPr>
        <w:t>.</w:t>
      </w:r>
    </w:p>
    <w:p w14:paraId="1EEF0DD3" w14:textId="35A5D7AD" w:rsidR="00592DF6" w:rsidRPr="009B4F07" w:rsidRDefault="00DE03AD" w:rsidP="00F108AC">
      <w:pPr>
        <w:widowControl w:val="0"/>
        <w:spacing w:line="276" w:lineRule="auto"/>
        <w:ind w:firstLine="709"/>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6</w:t>
      </w:r>
      <w:r w:rsidRPr="009B4F07">
        <w:rPr>
          <w:rFonts w:asciiTheme="majorBidi" w:hAnsiTheme="majorBidi" w:cstheme="majorBidi"/>
        </w:rPr>
        <w:t>.3]</w:t>
      </w:r>
      <w:r w:rsidR="00DF639D" w:rsidRPr="009B4F07">
        <w:rPr>
          <w:rFonts w:asciiTheme="majorBidi" w:hAnsiTheme="majorBidi" w:cstheme="majorBidi"/>
        </w:rPr>
        <w:t> </w:t>
      </w:r>
      <w:r w:rsidR="000D5FCC" w:rsidRPr="009B4F07">
        <w:rPr>
          <w:rFonts w:asciiTheme="majorBidi" w:hAnsiTheme="majorBidi" w:cstheme="majorBidi"/>
        </w:rPr>
        <w:t>A</w:t>
      </w:r>
      <w:r w:rsidR="00592DF6" w:rsidRPr="009B4F07">
        <w:rPr>
          <w:rFonts w:asciiTheme="majorBidi" w:hAnsiTheme="majorBidi" w:cstheme="majorBidi"/>
        </w:rPr>
        <w:t xml:space="preserve">pelācijas instances tiesas sēdē </w:t>
      </w:r>
      <w:r w:rsidR="000D5FCC" w:rsidRPr="009B4F07">
        <w:rPr>
          <w:rFonts w:asciiTheme="majorBidi" w:hAnsiTheme="majorBidi" w:cstheme="majorBidi"/>
        </w:rPr>
        <w:t xml:space="preserve">apsūdzētajam </w:t>
      </w:r>
      <w:r w:rsidR="00592DF6" w:rsidRPr="009B4F07">
        <w:rPr>
          <w:rFonts w:asciiTheme="majorBidi" w:hAnsiTheme="majorBidi" w:cstheme="majorBidi"/>
        </w:rPr>
        <w:t xml:space="preserve">nebija </w:t>
      </w:r>
      <w:r w:rsidR="000D5FCC" w:rsidRPr="009B4F07">
        <w:rPr>
          <w:rFonts w:asciiTheme="majorBidi" w:hAnsiTheme="majorBidi" w:cstheme="majorBidi"/>
        </w:rPr>
        <w:t>aizstāvja</w:t>
      </w:r>
      <w:r w:rsidR="00592DF6" w:rsidRPr="009B4F07">
        <w:rPr>
          <w:rFonts w:asciiTheme="majorBidi" w:hAnsiTheme="majorBidi" w:cstheme="majorBidi"/>
        </w:rPr>
        <w:t>.</w:t>
      </w:r>
    </w:p>
    <w:p w14:paraId="7F1227C7" w14:textId="77777777" w:rsidR="00F10462" w:rsidRPr="009B4F07" w:rsidRDefault="00F10462" w:rsidP="00F108AC">
      <w:pPr>
        <w:widowControl w:val="0"/>
        <w:spacing w:line="276" w:lineRule="auto"/>
        <w:ind w:firstLine="709"/>
        <w:jc w:val="both"/>
        <w:rPr>
          <w:rFonts w:asciiTheme="majorBidi" w:hAnsiTheme="majorBidi" w:cstheme="majorBidi"/>
        </w:rPr>
      </w:pPr>
    </w:p>
    <w:p w14:paraId="7DAF7841" w14:textId="77777777" w:rsidR="00447EE6" w:rsidRPr="009B4F07" w:rsidRDefault="00447EE6" w:rsidP="00F108AC">
      <w:pPr>
        <w:shd w:val="clear" w:color="auto" w:fill="FFFFFF"/>
        <w:spacing w:line="276" w:lineRule="auto"/>
        <w:jc w:val="center"/>
        <w:rPr>
          <w:rFonts w:asciiTheme="majorBidi" w:hAnsiTheme="majorBidi" w:cstheme="majorBidi"/>
          <w:b/>
        </w:rPr>
      </w:pPr>
      <w:r w:rsidRPr="009B4F07">
        <w:rPr>
          <w:rFonts w:asciiTheme="majorBidi" w:hAnsiTheme="majorBidi" w:cstheme="majorBidi"/>
          <w:b/>
        </w:rPr>
        <w:t>Motīvu daļa</w:t>
      </w:r>
    </w:p>
    <w:p w14:paraId="328464F4" w14:textId="77777777" w:rsidR="00F90F83" w:rsidRPr="009B4F07" w:rsidRDefault="00F90F83" w:rsidP="00F108AC">
      <w:pPr>
        <w:shd w:val="clear" w:color="auto" w:fill="FFFFFF"/>
        <w:spacing w:line="276" w:lineRule="auto"/>
        <w:jc w:val="center"/>
        <w:rPr>
          <w:rFonts w:asciiTheme="majorBidi" w:hAnsiTheme="majorBidi" w:cstheme="majorBidi"/>
        </w:rPr>
      </w:pPr>
    </w:p>
    <w:p w14:paraId="15F645E8" w14:textId="566E6253" w:rsidR="00361585" w:rsidRPr="009B4F07" w:rsidRDefault="00072012"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1F6D41" w:rsidRPr="009B4F07">
        <w:rPr>
          <w:rFonts w:asciiTheme="majorBidi" w:hAnsiTheme="majorBidi" w:cstheme="majorBidi"/>
        </w:rPr>
        <w:t>7</w:t>
      </w:r>
      <w:r w:rsidRPr="009B4F07">
        <w:rPr>
          <w:rFonts w:asciiTheme="majorBidi" w:hAnsiTheme="majorBidi" w:cstheme="majorBidi"/>
        </w:rPr>
        <w:t>]</w:t>
      </w:r>
      <w:r w:rsidR="00DF639D" w:rsidRPr="009B4F07">
        <w:rPr>
          <w:rFonts w:asciiTheme="majorBidi" w:hAnsiTheme="majorBidi" w:cstheme="majorBidi"/>
        </w:rPr>
        <w:t> </w:t>
      </w:r>
      <w:r w:rsidRPr="009B4F07">
        <w:rPr>
          <w:rFonts w:asciiTheme="majorBidi" w:hAnsiTheme="majorBidi" w:cstheme="majorBidi"/>
        </w:rPr>
        <w:t>Senāt</w:t>
      </w:r>
      <w:r w:rsidR="001F176B" w:rsidRPr="009B4F07">
        <w:rPr>
          <w:rFonts w:asciiTheme="majorBidi" w:hAnsiTheme="majorBidi" w:cstheme="majorBidi"/>
        </w:rPr>
        <w:t xml:space="preserve">s konstatē, ka </w:t>
      </w:r>
      <w:r w:rsidRPr="009B4F07">
        <w:rPr>
          <w:rFonts w:asciiTheme="majorBidi" w:hAnsiTheme="majorBidi" w:cstheme="majorBidi"/>
        </w:rPr>
        <w:t xml:space="preserve">izskatāmajā lietā ir </w:t>
      </w:r>
      <w:r w:rsidR="001F176B" w:rsidRPr="009B4F07">
        <w:rPr>
          <w:rFonts w:asciiTheme="majorBidi" w:hAnsiTheme="majorBidi" w:cstheme="majorBidi"/>
        </w:rPr>
        <w:t xml:space="preserve">jāsniedz </w:t>
      </w:r>
      <w:r w:rsidRPr="009B4F07">
        <w:rPr>
          <w:rFonts w:asciiTheme="majorBidi" w:hAnsiTheme="majorBidi" w:cstheme="majorBidi"/>
        </w:rPr>
        <w:t>atbild</w:t>
      </w:r>
      <w:r w:rsidR="00AA0DAF" w:rsidRPr="009B4F07">
        <w:rPr>
          <w:rFonts w:asciiTheme="majorBidi" w:hAnsiTheme="majorBidi" w:cstheme="majorBidi"/>
        </w:rPr>
        <w:t>e</w:t>
      </w:r>
      <w:r w:rsidRPr="009B4F07">
        <w:rPr>
          <w:rFonts w:asciiTheme="majorBidi" w:hAnsiTheme="majorBidi" w:cstheme="majorBidi"/>
        </w:rPr>
        <w:t xml:space="preserve"> uz jautājumu, vai ir pārkāptas apsūdzētā tiesības uz aizstāvību, </w:t>
      </w:r>
      <w:r w:rsidR="00361585" w:rsidRPr="009B4F07">
        <w:rPr>
          <w:rFonts w:asciiTheme="majorBidi" w:hAnsiTheme="majorBidi" w:cstheme="majorBidi"/>
        </w:rPr>
        <w:t xml:space="preserve">ja </w:t>
      </w:r>
      <w:r w:rsidR="001C527E" w:rsidRPr="009B4F07">
        <w:rPr>
          <w:rFonts w:asciiTheme="majorBidi" w:hAnsiTheme="majorBidi" w:cstheme="majorBidi"/>
        </w:rPr>
        <w:t xml:space="preserve">tiesa izskata lietu bez aizstāvja klātbūtnes gadījumā, kad </w:t>
      </w:r>
      <w:r w:rsidR="00361585" w:rsidRPr="009B4F07">
        <w:rPr>
          <w:rFonts w:asciiTheme="majorBidi" w:hAnsiTheme="majorBidi" w:cstheme="majorBidi"/>
        </w:rPr>
        <w:t xml:space="preserve">apsūdzētais pirms apelācijas instances tiesas sēdes ir vienojies ar aizstāvi par to, ka viņa </w:t>
      </w:r>
      <w:r w:rsidR="004058C0" w:rsidRPr="009B4F07">
        <w:rPr>
          <w:rFonts w:asciiTheme="majorBidi" w:hAnsiTheme="majorBidi" w:cstheme="majorBidi"/>
        </w:rPr>
        <w:t>piedalīšanās</w:t>
      </w:r>
      <w:r w:rsidR="00361585" w:rsidRPr="009B4F07">
        <w:rPr>
          <w:rFonts w:asciiTheme="majorBidi" w:hAnsiTheme="majorBidi" w:cstheme="majorBidi"/>
        </w:rPr>
        <w:t xml:space="preserve"> vairs nebūs nepieciešama.</w:t>
      </w:r>
    </w:p>
    <w:p w14:paraId="542661AE" w14:textId="77777777" w:rsidR="00361585" w:rsidRPr="009B4F07" w:rsidRDefault="00361585" w:rsidP="00F108AC">
      <w:pPr>
        <w:shd w:val="clear" w:color="auto" w:fill="FFFFFF"/>
        <w:spacing w:line="276" w:lineRule="auto"/>
        <w:ind w:firstLine="720"/>
        <w:jc w:val="both"/>
        <w:rPr>
          <w:rFonts w:asciiTheme="majorBidi" w:hAnsiTheme="majorBidi" w:cstheme="majorBidi"/>
        </w:rPr>
      </w:pPr>
    </w:p>
    <w:p w14:paraId="5584C23D" w14:textId="77777777" w:rsidR="004B7967" w:rsidRPr="009B4F07" w:rsidRDefault="006A4359"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8</w:t>
      </w:r>
      <w:r w:rsidRPr="009B4F07">
        <w:rPr>
          <w:rFonts w:asciiTheme="majorBidi" w:hAnsiTheme="majorBidi" w:cstheme="majorBidi"/>
        </w:rPr>
        <w:t xml:space="preserve">] Tiesības uz aizstāvību ir Latvijas Republikas Satversmes 92. pantā nostiprināto tiesību uz taisnīgu tiesu elements. Šīs tiesības ietvertas arī citos </w:t>
      </w:r>
      <w:proofErr w:type="spellStart"/>
      <w:r w:rsidRPr="009B4F07">
        <w:rPr>
          <w:rFonts w:asciiTheme="majorBidi" w:hAnsiTheme="majorBidi" w:cstheme="majorBidi"/>
        </w:rPr>
        <w:t>pamattiesību</w:t>
      </w:r>
      <w:proofErr w:type="spellEnd"/>
      <w:r w:rsidRPr="009B4F07">
        <w:rPr>
          <w:rFonts w:asciiTheme="majorBidi" w:hAnsiTheme="majorBidi" w:cstheme="majorBidi"/>
        </w:rPr>
        <w:t xml:space="preserve"> avotos: Eiropas Savienības </w:t>
      </w:r>
      <w:proofErr w:type="spellStart"/>
      <w:r w:rsidRPr="009B4F07">
        <w:rPr>
          <w:rFonts w:asciiTheme="majorBidi" w:hAnsiTheme="majorBidi" w:cstheme="majorBidi"/>
        </w:rPr>
        <w:t>Pamattiesību</w:t>
      </w:r>
      <w:proofErr w:type="spellEnd"/>
      <w:r w:rsidRPr="009B4F07">
        <w:rPr>
          <w:rFonts w:asciiTheme="majorBidi" w:hAnsiTheme="majorBidi" w:cstheme="majorBidi"/>
        </w:rPr>
        <w:t xml:space="preserve"> hartā (48. panta otrais teikums, arī 47. pants), Eiropas Cilvēka tiesību un pamatbrīvību aizsardzības konvencijā (6. panta 3. punkta „c” apakšpunkts) un Starptautiskajā </w:t>
      </w:r>
      <w:proofErr w:type="spellStart"/>
      <w:r w:rsidRPr="009B4F07">
        <w:rPr>
          <w:rFonts w:asciiTheme="majorBidi" w:hAnsiTheme="majorBidi" w:cstheme="majorBidi"/>
        </w:rPr>
        <w:t>paktā</w:t>
      </w:r>
      <w:proofErr w:type="spellEnd"/>
      <w:r w:rsidRPr="009B4F07">
        <w:rPr>
          <w:rFonts w:asciiTheme="majorBidi" w:hAnsiTheme="majorBidi" w:cstheme="majorBidi"/>
        </w:rPr>
        <w:t xml:space="preserve"> par pilsoniskajām un politiskajām tiesībām (14. panta 3. punkta „d” apakšpunkts).</w:t>
      </w:r>
    </w:p>
    <w:p w14:paraId="6CC85BC4" w14:textId="2457C09B" w:rsidR="006A4359" w:rsidRPr="009B4F07" w:rsidRDefault="006A4359"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8.1</w:t>
      </w:r>
      <w:r w:rsidRPr="009B4F07">
        <w:rPr>
          <w:rFonts w:asciiTheme="majorBidi" w:hAnsiTheme="majorBidi" w:cstheme="majorBidi"/>
        </w:rPr>
        <w:t>] Kriminālprocesa likuma 20. pantā tiesības uz aizstāvību nostiprinātas kā viens no kriminālprocesa pamatprincipiem, un tā otrajā daļā noteikts, ka persona tiesības uz aizstāvību var īstenot pati vai uzaicinot aizstāvi.</w:t>
      </w:r>
    </w:p>
    <w:p w14:paraId="5D755826" w14:textId="3FC525FF" w:rsidR="006A4359" w:rsidRPr="009B4F07" w:rsidRDefault="006A4359"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Kriminālprocesa 88. pant</w:t>
      </w:r>
      <w:r w:rsidR="00B56752" w:rsidRPr="009B4F07">
        <w:rPr>
          <w:rFonts w:asciiTheme="majorBidi" w:hAnsiTheme="majorBidi" w:cstheme="majorBidi"/>
        </w:rPr>
        <w:t xml:space="preserve">a, kurā </w:t>
      </w:r>
      <w:r w:rsidRPr="009B4F07">
        <w:rPr>
          <w:rFonts w:asciiTheme="majorBidi" w:hAnsiTheme="majorBidi" w:cstheme="majorBidi"/>
        </w:rPr>
        <w:t>regulēta atteikšanās no aizstāvja</w:t>
      </w:r>
      <w:r w:rsidR="00B56752" w:rsidRPr="009B4F07">
        <w:rPr>
          <w:rFonts w:asciiTheme="majorBidi" w:hAnsiTheme="majorBidi" w:cstheme="majorBidi"/>
        </w:rPr>
        <w:t xml:space="preserve">, </w:t>
      </w:r>
      <w:r w:rsidRPr="009B4F07">
        <w:rPr>
          <w:rFonts w:asciiTheme="majorBidi" w:hAnsiTheme="majorBidi" w:cstheme="majorBidi"/>
        </w:rPr>
        <w:t>otrajā daļā noteikts, ka, ja persona, kurai ir tiesības uz aizstāvību, atsakās no aizstāvja, tai izskaidro, ka turpmāk persona pati īstenos savu aizstāvību. Tāpat noteikts pienākums fiksēt personas labprātīgu atteikšanos no aizstāvja procesuālās darbības protokolā. Šā panta otrās daļas trešajā teikumā noteikts, ka tad, ja persona, kurai ir tiesības uz aizstāvību, bija izteikusi lūgumu par aizstāvja piedalīšanos, atteikšanās no aizstāvja var notikt vienīgi aizstāvja klātbūtnē.</w:t>
      </w:r>
    </w:p>
    <w:p w14:paraId="79C3A402" w14:textId="2629EA02" w:rsidR="006A4359" w:rsidRPr="009B4F07" w:rsidRDefault="006A4359"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8.2</w:t>
      </w:r>
      <w:r w:rsidRPr="009B4F07">
        <w:rPr>
          <w:rFonts w:asciiTheme="majorBidi" w:hAnsiTheme="majorBidi" w:cstheme="majorBidi"/>
        </w:rPr>
        <w:t xml:space="preserve">] Satversmes tiesa ir </w:t>
      </w:r>
      <w:r w:rsidR="0070337E" w:rsidRPr="009B4F07">
        <w:rPr>
          <w:rFonts w:asciiTheme="majorBidi" w:hAnsiTheme="majorBidi" w:cstheme="majorBidi"/>
        </w:rPr>
        <w:t xml:space="preserve">norādījusi, </w:t>
      </w:r>
      <w:r w:rsidRPr="009B4F07">
        <w:rPr>
          <w:rFonts w:asciiTheme="majorBidi" w:hAnsiTheme="majorBidi" w:cstheme="majorBidi"/>
        </w:rPr>
        <w:t xml:space="preserve">ka Kriminālprocesa likumā (jo īpaši, 20. pantā un 88. pantā) ietvertās normas par tiesībām uz aizstāvi un atteikšanos no aizstāvja piemērojamas, ievērojot Eiropas Savienības tiesību normās un starptautiskajās konvencijās ietvertās garantijas, kā tās interpretējušas kompetentās tiesas. Turklāt Latvijas tiesību sistēmā var būt ietverts augstāks aizsardzības standarts, nekā to paredz iepriekš minētie Eiropas un starptautiskie tiesību akti (sal. </w:t>
      </w:r>
      <w:r w:rsidRPr="009B4F07">
        <w:rPr>
          <w:rFonts w:asciiTheme="majorBidi" w:hAnsiTheme="majorBidi" w:cstheme="majorBidi"/>
          <w:i/>
          <w:iCs/>
        </w:rPr>
        <w:t>Satversmes tiesas 2018. gada 14. jūnija sprieduma lietā Nr. </w:t>
      </w:r>
      <w:hyperlink r:id="rId9" w:history="1">
        <w:r w:rsidRPr="009B4F07">
          <w:rPr>
            <w:rStyle w:val="Hyperlink"/>
            <w:rFonts w:asciiTheme="majorBidi" w:hAnsiTheme="majorBidi" w:cstheme="majorBidi"/>
            <w:i/>
            <w:iCs/>
          </w:rPr>
          <w:t>2017-23-01</w:t>
        </w:r>
      </w:hyperlink>
      <w:r w:rsidRPr="009B4F07">
        <w:rPr>
          <w:rFonts w:asciiTheme="majorBidi" w:hAnsiTheme="majorBidi" w:cstheme="majorBidi"/>
          <w:i/>
          <w:iCs/>
        </w:rPr>
        <w:t xml:space="preserve"> 14. punkts</w:t>
      </w:r>
      <w:r w:rsidRPr="009B4F07">
        <w:rPr>
          <w:rFonts w:asciiTheme="majorBidi" w:hAnsiTheme="majorBidi" w:cstheme="majorBidi"/>
        </w:rPr>
        <w:t>).</w:t>
      </w:r>
    </w:p>
    <w:p w14:paraId="0F11009B" w14:textId="3B2422F2" w:rsidR="0070337E" w:rsidRPr="009B4F07" w:rsidRDefault="0070337E"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8.3</w:t>
      </w:r>
      <w:r w:rsidRPr="009B4F07">
        <w:rPr>
          <w:rFonts w:asciiTheme="majorBidi" w:hAnsiTheme="majorBidi" w:cstheme="majorBidi"/>
        </w:rPr>
        <w:t xml:space="preserve">] Eiropas Savienības tiesību normās atteikšanās no tiesībām uz aizstāvību saturs noteikts Eiropas Parlamenta un Padomes 2013. gada 22. oktobra </w:t>
      </w:r>
      <w:r w:rsidR="00201F08" w:rsidRPr="009B4F07">
        <w:rPr>
          <w:rFonts w:asciiTheme="majorBidi" w:hAnsiTheme="majorBidi" w:cstheme="majorBidi"/>
        </w:rPr>
        <w:t>D</w:t>
      </w:r>
      <w:r w:rsidRPr="009B4F07">
        <w:rPr>
          <w:rFonts w:asciiTheme="majorBidi" w:hAnsiTheme="majorBidi" w:cstheme="majorBidi"/>
        </w:rPr>
        <w:t>irektīva</w:t>
      </w:r>
      <w:r w:rsidR="002E2D9C" w:rsidRPr="009B4F07">
        <w:rPr>
          <w:rFonts w:asciiTheme="majorBidi" w:hAnsiTheme="majorBidi" w:cstheme="majorBidi"/>
        </w:rPr>
        <w:t>s</w:t>
      </w:r>
      <w:r w:rsidRPr="009B4F07">
        <w:rPr>
          <w:rFonts w:asciiTheme="majorBidi" w:hAnsiTheme="majorBidi" w:cstheme="majorBidi"/>
        </w:rPr>
        <w:t xml:space="preserve"> </w:t>
      </w:r>
      <w:hyperlink r:id="rId10" w:history="1">
        <w:r w:rsidRPr="009B4F07">
          <w:rPr>
            <w:rStyle w:val="Hyperlink"/>
            <w:rFonts w:asciiTheme="majorBidi" w:hAnsiTheme="majorBidi" w:cstheme="majorBidi"/>
          </w:rPr>
          <w:t>2013/48/ES</w:t>
        </w:r>
      </w:hyperlink>
      <w:r w:rsidRPr="009B4F07">
        <w:rPr>
          <w:rFonts w:asciiTheme="majorBidi" w:hAnsiTheme="majorBidi" w:cstheme="majorBidi"/>
        </w:rPr>
        <w:t xml:space="preserve"> par tiesībām uz advokāta palīdzību kriminālprocesā un Eiropas apcietināšanas ordera procesā, par tiesībām uz to, ka pēc brīvības atņemšanas informē trešo personu, un par tiesībām, kamēr atņemta brīvība, sazināties ar treš</w:t>
      </w:r>
      <w:r w:rsidR="004058C0" w:rsidRPr="009B4F07">
        <w:rPr>
          <w:rFonts w:asciiTheme="majorBidi" w:hAnsiTheme="majorBidi" w:cstheme="majorBidi"/>
        </w:rPr>
        <w:t>aj</w:t>
      </w:r>
      <w:r w:rsidRPr="009B4F07">
        <w:rPr>
          <w:rFonts w:asciiTheme="majorBidi" w:hAnsiTheme="majorBidi" w:cstheme="majorBidi"/>
        </w:rPr>
        <w:t>ām personām un konsulārajām iestādēm (turpmāk – Direktīva 2013/48/ES) 9. pantā</w:t>
      </w:r>
      <w:r w:rsidR="002762E9" w:rsidRPr="009B4F07">
        <w:rPr>
          <w:rFonts w:asciiTheme="majorBidi" w:hAnsiTheme="majorBidi" w:cstheme="majorBidi"/>
        </w:rPr>
        <w:t>.</w:t>
      </w:r>
    </w:p>
    <w:p w14:paraId="59F8BCC5" w14:textId="1E5C50D8" w:rsidR="0070337E" w:rsidRPr="009B4F07" w:rsidRDefault="0070337E" w:rsidP="00F108AC">
      <w:pPr>
        <w:widowControl w:val="0"/>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Minētā panta 1. punkts noteic, ka attiecībā uz atteikšanos no tiesībām uz advokāta palīdzību kriminālprocesā (kas paredzētas Direktīvas 2013/48/ES 3. punktā) jānodrošina, ka, </w:t>
      </w:r>
      <w:r w:rsidRPr="009B4F07">
        <w:rPr>
          <w:rFonts w:asciiTheme="majorBidi" w:hAnsiTheme="majorBidi" w:cstheme="majorBidi"/>
        </w:rPr>
        <w:lastRenderedPageBreak/>
        <w:t>pirmkārt, aizdomās turētais vai apsūdzētais ir viņam saprotamā valodā mutiski vai rakstiski saņēmis skaidru un pietiekamu informāciju par šo tiesību saturu un sekām, kādas iestājas, ja no tām atsakās, un otrkārt, ka atteikšanās tiek pausta brīvi un nepārprotami.</w:t>
      </w:r>
    </w:p>
    <w:p w14:paraId="2D8E2BE4" w14:textId="4A355658" w:rsidR="0070337E" w:rsidRPr="009B4F07" w:rsidRDefault="0070337E"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Šā panta 2. punktā noteikts</w:t>
      </w:r>
      <w:r w:rsidR="00FA1212" w:rsidRPr="009B4F07">
        <w:rPr>
          <w:rFonts w:asciiTheme="majorBidi" w:hAnsiTheme="majorBidi" w:cstheme="majorBidi"/>
        </w:rPr>
        <w:t xml:space="preserve"> pienākums fiksēt atteikšanos no tiesībām uz aizstāvi, savukārt saskaņā ar panta </w:t>
      </w:r>
      <w:r w:rsidRPr="009B4F07">
        <w:rPr>
          <w:rFonts w:asciiTheme="majorBidi" w:hAnsiTheme="majorBidi" w:cstheme="majorBidi"/>
        </w:rPr>
        <w:t>3.</w:t>
      </w:r>
      <w:r w:rsidR="00B56752" w:rsidRPr="009B4F07">
        <w:rPr>
          <w:rFonts w:asciiTheme="majorBidi" w:hAnsiTheme="majorBidi" w:cstheme="majorBidi"/>
        </w:rPr>
        <w:t> </w:t>
      </w:r>
      <w:r w:rsidRPr="009B4F07">
        <w:rPr>
          <w:rFonts w:asciiTheme="majorBidi" w:hAnsiTheme="majorBidi" w:cstheme="majorBidi"/>
        </w:rPr>
        <w:t>punktu dalībvalstis nodrošina, ka aizdomās turētie vai apsūdzētie atteikšanos var vēlāk jebkurā kriminālprocesa brīdī atsaukt un ka viņi ir informēti par minēto iespēju.</w:t>
      </w:r>
    </w:p>
    <w:p w14:paraId="42369C8D" w14:textId="611C8662" w:rsidR="0070337E" w:rsidRPr="009B4F07" w:rsidRDefault="0070337E"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Direktīvas 2013/48/ES 9. pantā paredzētās tiesības skatāmas kopsakarā ar </w:t>
      </w:r>
      <w:proofErr w:type="spellStart"/>
      <w:r w:rsidRPr="009B4F07">
        <w:rPr>
          <w:rFonts w:asciiTheme="majorBidi" w:hAnsiTheme="majorBidi" w:cstheme="majorBidi"/>
        </w:rPr>
        <w:t>ievadapsvērumu</w:t>
      </w:r>
      <w:proofErr w:type="spellEnd"/>
      <w:r w:rsidRPr="009B4F07">
        <w:rPr>
          <w:rFonts w:asciiTheme="majorBidi" w:hAnsiTheme="majorBidi" w:cstheme="majorBidi"/>
        </w:rPr>
        <w:t xml:space="preserve"> 39. </w:t>
      </w:r>
      <w:r w:rsidR="00FA1212" w:rsidRPr="009B4F07">
        <w:rPr>
          <w:rFonts w:asciiTheme="majorBidi" w:hAnsiTheme="majorBidi" w:cstheme="majorBidi"/>
        </w:rPr>
        <w:t>punktu, kurā</w:t>
      </w:r>
      <w:r w:rsidRPr="009B4F07">
        <w:rPr>
          <w:rFonts w:asciiTheme="majorBidi" w:hAnsiTheme="majorBidi" w:cstheme="majorBidi"/>
        </w:rPr>
        <w:t xml:space="preserve"> norādīts, ka</w:t>
      </w:r>
      <w:r w:rsidR="00B15D7F" w:rsidRPr="009B4F07">
        <w:rPr>
          <w:rFonts w:asciiTheme="majorBidi" w:hAnsiTheme="majorBidi" w:cstheme="majorBidi"/>
        </w:rPr>
        <w:t xml:space="preserve">, sniedzot aizdomās turētajiem vai apsūdzētajiem informāciju par tiesību uz aizstāvja palīdzību saturu un sekām, ko rada atteikšanās no šīm tiesībām, </w:t>
      </w:r>
      <w:r w:rsidRPr="009B4F07">
        <w:rPr>
          <w:rFonts w:asciiTheme="majorBidi" w:hAnsiTheme="majorBidi" w:cstheme="majorBidi"/>
        </w:rPr>
        <w:t>būtu jāņem vērā attiecīgo personu īpašie apstākļi, tostarp viņu vecums un garīgais un fiziskais stāvoklis.</w:t>
      </w:r>
    </w:p>
    <w:p w14:paraId="17C87DB0" w14:textId="77777777" w:rsidR="002762E9" w:rsidRPr="009B4F07" w:rsidRDefault="0070337E" w:rsidP="00F108AC">
      <w:pPr>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8.4</w:t>
      </w:r>
      <w:r w:rsidRPr="009B4F07">
        <w:rPr>
          <w:rFonts w:asciiTheme="majorBidi" w:hAnsiTheme="majorBidi" w:cstheme="majorBidi"/>
        </w:rPr>
        <w:t>]</w:t>
      </w:r>
      <w:r w:rsidR="00B15D7F" w:rsidRPr="009B4F07">
        <w:rPr>
          <w:rFonts w:asciiTheme="majorBidi" w:hAnsiTheme="majorBidi" w:cstheme="majorBidi"/>
        </w:rPr>
        <w:t> Ieviešot Direktīvas 2013/48/ES noteikumus nacionālajā regulējumā, Kriminālprocesa likuma 88. panta otrās daļas pirmais un otrais teikums tika izteikts jaunā redakcijā, paredzot, ka personai, atsakoties no aizstāvja, tiek izskaidrotas šādas atteikšanās sekas, proti, ka turpmāk personai pašai būs jārealizē sava aizstāvība, kā arī ir noteikts, ka šis process tiek fiksēts procesuālo darbību protokolā un persona to apliecina ar parakstu.</w:t>
      </w:r>
    </w:p>
    <w:p w14:paraId="391B3EB4" w14:textId="48A96EC1" w:rsidR="00B82306" w:rsidRPr="009B4F07" w:rsidRDefault="00B15D7F" w:rsidP="00F108AC">
      <w:pPr>
        <w:spacing w:line="276" w:lineRule="auto"/>
        <w:ind w:firstLine="720"/>
        <w:jc w:val="both"/>
        <w:rPr>
          <w:rFonts w:asciiTheme="majorBidi" w:hAnsiTheme="majorBidi" w:cstheme="majorBidi"/>
        </w:rPr>
      </w:pPr>
      <w:r w:rsidRPr="009B4F07">
        <w:rPr>
          <w:rFonts w:asciiTheme="majorBidi" w:hAnsiTheme="majorBidi" w:cstheme="majorBidi"/>
        </w:rPr>
        <w:t>Tieslietu ministrijas sagatavotajā anotācijā likumprojektam „Grozījumi Kriminālprocesa likumā” saistībā ar</w:t>
      </w:r>
      <w:r w:rsidR="0050343F" w:rsidRPr="009B4F07">
        <w:rPr>
          <w:rFonts w:asciiTheme="majorBidi" w:hAnsiTheme="majorBidi" w:cstheme="majorBidi"/>
        </w:rPr>
        <w:t xml:space="preserve"> šīs</w:t>
      </w:r>
      <w:r w:rsidRPr="009B4F07">
        <w:rPr>
          <w:rFonts w:asciiTheme="majorBidi" w:hAnsiTheme="majorBidi" w:cstheme="majorBidi"/>
        </w:rPr>
        <w:t xml:space="preserve"> Direktīvas ieviešanu norādīts</w:t>
      </w:r>
      <w:r w:rsidR="00B56752" w:rsidRPr="009B4F07">
        <w:rPr>
          <w:rFonts w:asciiTheme="majorBidi" w:hAnsiTheme="majorBidi" w:cstheme="majorBidi"/>
        </w:rPr>
        <w:t>: „</w:t>
      </w:r>
      <w:r w:rsidRPr="009B4F07">
        <w:rPr>
          <w:rFonts w:asciiTheme="majorBidi" w:hAnsiTheme="majorBidi" w:cstheme="majorBidi"/>
        </w:rPr>
        <w:t>Minētais nepieciešams, lai nodrošinātu to, ka persona apzinās savas rīcības sekas un vēlākā kriminālprocesa posmā nevarētu apgalvot, ka viņa nezināja, ko šāda atteikšanās no aizstāvja nozīmē reālajā dzīvē” (</w:t>
      </w:r>
      <w:r w:rsidR="00543671" w:rsidRPr="009B4F07">
        <w:rPr>
          <w:rFonts w:asciiTheme="majorBidi" w:hAnsiTheme="majorBidi" w:cstheme="majorBidi"/>
          <w:i/>
          <w:iCs/>
        </w:rPr>
        <w:t>12. Saeimas likumprojekta Nr. </w:t>
      </w:r>
      <w:hyperlink r:id="rId11" w:history="1">
        <w:r w:rsidR="00543671" w:rsidRPr="009B4F07">
          <w:rPr>
            <w:rStyle w:val="Hyperlink"/>
            <w:rFonts w:asciiTheme="majorBidi" w:hAnsiTheme="majorBidi" w:cstheme="majorBidi"/>
            <w:i/>
            <w:iCs/>
          </w:rPr>
          <w:t>288/Lp12</w:t>
        </w:r>
      </w:hyperlink>
      <w:r w:rsidR="00543671" w:rsidRPr="009B4F07">
        <w:rPr>
          <w:rFonts w:asciiTheme="majorBidi" w:hAnsiTheme="majorBidi" w:cstheme="majorBidi"/>
          <w:i/>
          <w:iCs/>
        </w:rPr>
        <w:t xml:space="preserve"> „Grozījumi Kriminālprocesa likumā” </w:t>
      </w:r>
      <w:hyperlink r:id="rId12" w:anchor="b" w:history="1">
        <w:r w:rsidR="00543671" w:rsidRPr="009B4F07">
          <w:rPr>
            <w:rStyle w:val="Hyperlink"/>
            <w:rFonts w:asciiTheme="majorBidi" w:hAnsiTheme="majorBidi" w:cstheme="majorBidi"/>
            <w:i/>
            <w:iCs/>
          </w:rPr>
          <w:t>anotācija</w:t>
        </w:r>
      </w:hyperlink>
      <w:r w:rsidR="00B1748B" w:rsidRPr="009B4F07">
        <w:rPr>
          <w:rFonts w:asciiTheme="majorBidi" w:hAnsiTheme="majorBidi" w:cstheme="majorBidi"/>
        </w:rPr>
        <w:t>)</w:t>
      </w:r>
      <w:r w:rsidR="00B1748B" w:rsidRPr="009B4F07">
        <w:rPr>
          <w:rFonts w:asciiTheme="majorBidi" w:hAnsiTheme="majorBidi" w:cstheme="majorBidi"/>
          <w:i/>
          <w:iCs/>
        </w:rPr>
        <w:t>.</w:t>
      </w:r>
    </w:p>
    <w:p w14:paraId="354E42FC" w14:textId="2154722F" w:rsidR="001D64E0" w:rsidRPr="009B4F07" w:rsidRDefault="006A4359" w:rsidP="00F108AC">
      <w:pPr>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8.5</w:t>
      </w:r>
      <w:r w:rsidRPr="009B4F07">
        <w:rPr>
          <w:rFonts w:asciiTheme="majorBidi" w:hAnsiTheme="majorBidi" w:cstheme="majorBidi"/>
        </w:rPr>
        <w:t>] </w:t>
      </w:r>
      <w:r w:rsidR="00224437" w:rsidRPr="009B4F07">
        <w:rPr>
          <w:rFonts w:asciiTheme="majorBidi" w:hAnsiTheme="majorBidi" w:cstheme="majorBidi"/>
        </w:rPr>
        <w:t xml:space="preserve">Kriminālprocesa likuma 88. panta otrās daļas </w:t>
      </w:r>
      <w:r w:rsidR="00192342" w:rsidRPr="009B4F07">
        <w:rPr>
          <w:rFonts w:asciiTheme="majorBidi" w:hAnsiTheme="majorBidi" w:cstheme="majorBidi"/>
        </w:rPr>
        <w:t>trešais teikums</w:t>
      </w:r>
      <w:r w:rsidR="00FF4418" w:rsidRPr="009B4F07">
        <w:rPr>
          <w:rFonts w:asciiTheme="majorBidi" w:hAnsiTheme="majorBidi" w:cstheme="majorBidi"/>
        </w:rPr>
        <w:t>, kas</w:t>
      </w:r>
      <w:r w:rsidR="00192342" w:rsidRPr="009B4F07">
        <w:rPr>
          <w:rFonts w:asciiTheme="majorBidi" w:hAnsiTheme="majorBidi" w:cstheme="majorBidi"/>
        </w:rPr>
        <w:t xml:space="preserve"> paredz:</w:t>
      </w:r>
      <w:r w:rsidR="00B15D7F" w:rsidRPr="009B4F07">
        <w:rPr>
          <w:rFonts w:asciiTheme="majorBidi" w:hAnsiTheme="majorBidi" w:cstheme="majorBidi"/>
        </w:rPr>
        <w:t xml:space="preserve"> </w:t>
      </w:r>
      <w:r w:rsidRPr="009B4F07">
        <w:rPr>
          <w:rFonts w:asciiTheme="majorBidi" w:hAnsiTheme="majorBidi" w:cstheme="majorBidi"/>
        </w:rPr>
        <w:t>„ja persona, kurai ir tiesības uz aizstāvību, bija izteikusi lūgumu par aizstāvja piedalīšanos, atteikšanās no aizstāvja var notikt vienīgi aizstāvja klātbūtnē”</w:t>
      </w:r>
      <w:r w:rsidR="00344CD7" w:rsidRPr="009B4F07">
        <w:rPr>
          <w:rFonts w:asciiTheme="majorBidi" w:hAnsiTheme="majorBidi" w:cstheme="majorBidi"/>
        </w:rPr>
        <w:t>,</w:t>
      </w:r>
      <w:r w:rsidR="00B56752" w:rsidRPr="009B4F07">
        <w:rPr>
          <w:rFonts w:asciiTheme="majorBidi" w:hAnsiTheme="majorBidi" w:cstheme="majorBidi"/>
        </w:rPr>
        <w:t xml:space="preserve"> likumā </w:t>
      </w:r>
      <w:r w:rsidRPr="009B4F07">
        <w:rPr>
          <w:rFonts w:asciiTheme="majorBidi" w:hAnsiTheme="majorBidi" w:cstheme="majorBidi"/>
        </w:rPr>
        <w:t>bij</w:t>
      </w:r>
      <w:r w:rsidR="00FF4418" w:rsidRPr="009B4F07">
        <w:rPr>
          <w:rFonts w:asciiTheme="majorBidi" w:hAnsiTheme="majorBidi" w:cstheme="majorBidi"/>
        </w:rPr>
        <w:t>a ietverts</w:t>
      </w:r>
      <w:r w:rsidRPr="009B4F07">
        <w:rPr>
          <w:rFonts w:asciiTheme="majorBidi" w:hAnsiTheme="majorBidi" w:cstheme="majorBidi"/>
        </w:rPr>
        <w:t xml:space="preserve"> jau pirms Direktīvas 2013/48/ES ieviešanas.</w:t>
      </w:r>
    </w:p>
    <w:p w14:paraId="50756B57" w14:textId="09893B0B" w:rsidR="006A4359" w:rsidRPr="009B4F07" w:rsidRDefault="006A4359" w:rsidP="00F108AC">
      <w:pPr>
        <w:spacing w:line="276" w:lineRule="auto"/>
        <w:ind w:firstLine="720"/>
        <w:jc w:val="both"/>
        <w:rPr>
          <w:rFonts w:asciiTheme="majorBidi" w:hAnsiTheme="majorBidi" w:cstheme="majorBidi"/>
        </w:rPr>
      </w:pPr>
      <w:r w:rsidRPr="009B4F07">
        <w:rPr>
          <w:rFonts w:asciiTheme="majorBidi" w:hAnsiTheme="majorBidi" w:cstheme="majorBidi"/>
        </w:rPr>
        <w:t>Minētais noteikums pārsniedz to, kas tieši prasīts Direktīvas 2013/48/ES normā</w:t>
      </w:r>
      <w:r w:rsidR="00197EE0" w:rsidRPr="009B4F07">
        <w:rPr>
          <w:rFonts w:asciiTheme="majorBidi" w:hAnsiTheme="majorBidi" w:cstheme="majorBidi"/>
        </w:rPr>
        <w:t>s</w:t>
      </w:r>
      <w:r w:rsidRPr="009B4F07">
        <w:rPr>
          <w:rFonts w:asciiTheme="majorBidi" w:hAnsiTheme="majorBidi" w:cstheme="majorBidi"/>
        </w:rPr>
        <w:t xml:space="preserve">, tāpēc uz šādu garantiju neattiecas Eiropas Savienības tiesības, bet tikai nacionālās tiesības un </w:t>
      </w:r>
      <w:r w:rsidR="005D4B8C" w:rsidRPr="009B4F07">
        <w:rPr>
          <w:rFonts w:asciiTheme="majorBidi" w:hAnsiTheme="majorBidi" w:cstheme="majorBidi"/>
        </w:rPr>
        <w:t xml:space="preserve">citi </w:t>
      </w:r>
      <w:r w:rsidRPr="009B4F07">
        <w:rPr>
          <w:rFonts w:asciiTheme="majorBidi" w:hAnsiTheme="majorBidi" w:cstheme="majorBidi"/>
        </w:rPr>
        <w:t>starptautiski uzņemtie pienākumi</w:t>
      </w:r>
      <w:r w:rsidR="00D70253" w:rsidRPr="009B4F07">
        <w:rPr>
          <w:rFonts w:asciiTheme="majorBidi" w:hAnsiTheme="majorBidi" w:cstheme="majorBidi"/>
        </w:rPr>
        <w:t>, tajā skaitā Eiropas Cilvēka tiesību un pamatbrīvību aizsardzības konvencija (turpmāk – Konvencija)</w:t>
      </w:r>
      <w:r w:rsidR="001D64E0" w:rsidRPr="009B4F07">
        <w:rPr>
          <w:rFonts w:asciiTheme="majorBidi" w:hAnsiTheme="majorBidi" w:cstheme="majorBidi"/>
        </w:rPr>
        <w:t>.</w:t>
      </w:r>
    </w:p>
    <w:p w14:paraId="4777B059" w14:textId="77777777" w:rsidR="006A4359" w:rsidRPr="009B4F07" w:rsidRDefault="006A4359" w:rsidP="00F108AC">
      <w:pPr>
        <w:shd w:val="clear" w:color="auto" w:fill="FFFFFF"/>
        <w:spacing w:line="276" w:lineRule="auto"/>
        <w:ind w:firstLine="720"/>
        <w:jc w:val="both"/>
        <w:rPr>
          <w:rFonts w:asciiTheme="majorBidi" w:hAnsiTheme="majorBidi" w:cstheme="majorBidi"/>
        </w:rPr>
      </w:pPr>
    </w:p>
    <w:p w14:paraId="14E6FA8D" w14:textId="557BCD8B" w:rsidR="000160E6" w:rsidRPr="009B4F07" w:rsidRDefault="00EA7C2F" w:rsidP="00F108AC">
      <w:pPr>
        <w:spacing w:line="276" w:lineRule="auto"/>
        <w:ind w:firstLine="720"/>
        <w:jc w:val="both"/>
        <w:rPr>
          <w:rFonts w:asciiTheme="majorBidi" w:hAnsiTheme="majorBidi" w:cstheme="majorBidi"/>
        </w:rPr>
      </w:pPr>
      <w:r w:rsidRPr="009B4F07">
        <w:rPr>
          <w:rFonts w:asciiTheme="majorBidi" w:hAnsiTheme="majorBidi" w:cstheme="majorBidi"/>
        </w:rPr>
        <w:t>[9]</w:t>
      </w:r>
      <w:r w:rsidR="004B7967" w:rsidRPr="009B4F07">
        <w:rPr>
          <w:rFonts w:asciiTheme="majorBidi" w:hAnsiTheme="majorBidi" w:cstheme="majorBidi"/>
        </w:rPr>
        <w:t> </w:t>
      </w:r>
      <w:r w:rsidR="0002014F" w:rsidRPr="009B4F07">
        <w:rPr>
          <w:rFonts w:asciiTheme="majorBidi" w:hAnsiTheme="majorBidi" w:cstheme="majorBidi"/>
        </w:rPr>
        <w:t>Nosacījumi, kas ņemami vērā, izvērtējot apsūdzētā atteikšanos no aizstāvja, ir nostiprināti arī Eiropas Savienības Tiesas un Eiropas Cilvēktiesību tiesas judikatūrā.</w:t>
      </w:r>
    </w:p>
    <w:p w14:paraId="0418C5C1" w14:textId="70AADDE6" w:rsidR="00A44D8F" w:rsidRPr="009B4F07" w:rsidRDefault="00A44D8F" w:rsidP="00F108AC">
      <w:pPr>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9.</w:t>
      </w:r>
      <w:r w:rsidR="00915A02" w:rsidRPr="009B4F07">
        <w:rPr>
          <w:rFonts w:asciiTheme="majorBidi" w:hAnsiTheme="majorBidi" w:cstheme="majorBidi"/>
        </w:rPr>
        <w:t>1</w:t>
      </w:r>
      <w:r w:rsidRPr="009B4F07">
        <w:rPr>
          <w:rFonts w:asciiTheme="majorBidi" w:hAnsiTheme="majorBidi" w:cstheme="majorBidi"/>
        </w:rPr>
        <w:t>] Eiropas Savienības</w:t>
      </w:r>
      <w:r w:rsidR="00B95264" w:rsidRPr="009B4F07">
        <w:rPr>
          <w:rFonts w:asciiTheme="majorBidi" w:hAnsiTheme="majorBidi" w:cstheme="majorBidi"/>
        </w:rPr>
        <w:t xml:space="preserve"> tiesa</w:t>
      </w:r>
      <w:r w:rsidRPr="009B4F07">
        <w:rPr>
          <w:rFonts w:asciiTheme="majorBidi" w:hAnsiTheme="majorBidi" w:cstheme="majorBidi"/>
        </w:rPr>
        <w:t xml:space="preserve"> </w:t>
      </w:r>
      <w:r w:rsidR="0072719D" w:rsidRPr="009B4F07">
        <w:rPr>
          <w:rFonts w:asciiTheme="majorBidi" w:hAnsiTheme="majorBidi" w:cstheme="majorBidi"/>
        </w:rPr>
        <w:t xml:space="preserve">ir atzinusi, ka </w:t>
      </w:r>
      <w:r w:rsidRPr="009B4F07">
        <w:rPr>
          <w:rFonts w:asciiTheme="majorBidi" w:hAnsiTheme="majorBidi" w:cstheme="majorBidi"/>
        </w:rPr>
        <w:t>aizdomās turētajam vai apsūdzētajam ir jābūt informētam par tiesību uz advokāta palīdzību saturu un atteikšanās no šīm tiesībām iespējamajām sekām, precizējot, ka šai informācijai, ko var sniegt mutiski vai rakstveidā, ir jābūt skaidrai un pietiekamai, kā arī vienkāršā un saprotamā valodā, turklāt atteikšanās ir jāformulē brīvprātīgi un nepārprotami.</w:t>
      </w:r>
    </w:p>
    <w:p w14:paraId="2A93B61E" w14:textId="3D7A62D0" w:rsidR="00A44D8F" w:rsidRPr="009B4F07" w:rsidRDefault="00A44D8F" w:rsidP="00F108AC">
      <w:pPr>
        <w:shd w:val="clear" w:color="auto" w:fill="FFFFFF"/>
        <w:spacing w:line="276" w:lineRule="auto"/>
        <w:ind w:firstLine="720"/>
        <w:jc w:val="both"/>
        <w:rPr>
          <w:rFonts w:asciiTheme="majorBidi" w:hAnsiTheme="majorBidi" w:cstheme="majorBidi"/>
          <w:i/>
          <w:iCs/>
        </w:rPr>
      </w:pPr>
      <w:r w:rsidRPr="009B4F07">
        <w:rPr>
          <w:rFonts w:asciiTheme="majorBidi" w:hAnsiTheme="majorBidi" w:cstheme="majorBidi"/>
        </w:rPr>
        <w:t xml:space="preserve">Direktīvas 2013/48/ES 39. apsvērumā šajā ziņā ir precizēts, ka, sniedzot attiecīgo informāciju, ir jāņem vērā attiecīgo aizdomās turēto vai apsūdzēto apstākļi, tostarp viņu vecums, kā arī garīgais un fiziskais stāvoklis. Tādējādi, pieprasot ņemt vērā šos attiecīgos </w:t>
      </w:r>
      <w:r w:rsidRPr="009B4F07">
        <w:rPr>
          <w:rFonts w:asciiTheme="majorBidi" w:hAnsiTheme="majorBidi" w:cstheme="majorBidi"/>
        </w:rPr>
        <w:lastRenderedPageBreak/>
        <w:t>nosacījumus, direktīvas mērķis ir nodrošināt, lai lēmums atteikties no tiesībām uz advokāta palīdzību tiktu pieņemts, pilnībā pārzinot faktus. Šajā kontekstā Direktīvas 2013/48/ES 13.</w:t>
      </w:r>
      <w:r w:rsidR="001D64E0" w:rsidRPr="009B4F07">
        <w:rPr>
          <w:rFonts w:asciiTheme="majorBidi" w:hAnsiTheme="majorBidi" w:cstheme="majorBidi"/>
        </w:rPr>
        <w:t> </w:t>
      </w:r>
      <w:r w:rsidRPr="009B4F07">
        <w:rPr>
          <w:rFonts w:asciiTheme="majorBidi" w:hAnsiTheme="majorBidi" w:cstheme="majorBidi"/>
        </w:rPr>
        <w:t xml:space="preserve">pantā ir paredzēts, ka, </w:t>
      </w:r>
      <w:r w:rsidR="007F5266" w:rsidRPr="009B4F07">
        <w:rPr>
          <w:rFonts w:asciiTheme="majorBidi" w:hAnsiTheme="majorBidi" w:cstheme="majorBidi"/>
        </w:rPr>
        <w:t xml:space="preserve">to </w:t>
      </w:r>
      <w:r w:rsidRPr="009B4F07">
        <w:rPr>
          <w:rFonts w:asciiTheme="majorBidi" w:hAnsiTheme="majorBidi" w:cstheme="majorBidi"/>
        </w:rPr>
        <w:t>piemērojot, ir jāņem vērā neaizsargātu aizdomās turētu vai apsūdzētu personu īpašās vajadzības, un tās 51.</w:t>
      </w:r>
      <w:r w:rsidR="0072719D" w:rsidRPr="009B4F07">
        <w:rPr>
          <w:rFonts w:asciiTheme="majorBidi" w:hAnsiTheme="majorBidi" w:cstheme="majorBidi"/>
        </w:rPr>
        <w:t> </w:t>
      </w:r>
      <w:r w:rsidRPr="009B4F07">
        <w:rPr>
          <w:rFonts w:asciiTheme="majorBidi" w:hAnsiTheme="majorBidi" w:cstheme="majorBidi"/>
        </w:rPr>
        <w:t xml:space="preserve">apsvērumā šajā ziņā ir atsauce uz „aizdomās turētajiem vai apsūdzētajiem, kas ir potenciāli sliktākā situācijā” un uz „jebkādu potenciālu neaizsargātību, kas ietekmē to spēju īstenot tiesības uz advokāta palīdzību” </w:t>
      </w:r>
      <w:r w:rsidRPr="009B4F07">
        <w:rPr>
          <w:rFonts w:asciiTheme="majorBidi" w:hAnsiTheme="majorBidi" w:cstheme="majorBidi"/>
          <w:i/>
          <w:iCs/>
        </w:rPr>
        <w:t>(</w:t>
      </w:r>
      <w:r w:rsidR="001B153A" w:rsidRPr="009B4F07">
        <w:rPr>
          <w:rFonts w:asciiTheme="majorBidi" w:hAnsiTheme="majorBidi" w:cstheme="majorBidi"/>
        </w:rPr>
        <w:t>sk. </w:t>
      </w:r>
      <w:r w:rsidRPr="009B4F07">
        <w:rPr>
          <w:rFonts w:asciiTheme="majorBidi" w:hAnsiTheme="majorBidi" w:cstheme="majorBidi"/>
          <w:i/>
          <w:iCs/>
        </w:rPr>
        <w:t>Eiropas Savienības Tiesa</w:t>
      </w:r>
      <w:r w:rsidR="0050381F" w:rsidRPr="009B4F07">
        <w:rPr>
          <w:rFonts w:asciiTheme="majorBidi" w:hAnsiTheme="majorBidi" w:cstheme="majorBidi"/>
          <w:i/>
          <w:iCs/>
        </w:rPr>
        <w:t>s</w:t>
      </w:r>
      <w:r w:rsidRPr="009B4F07">
        <w:rPr>
          <w:rFonts w:asciiTheme="majorBidi" w:hAnsiTheme="majorBidi" w:cstheme="majorBidi"/>
          <w:i/>
          <w:iCs/>
        </w:rPr>
        <w:t xml:space="preserve"> 2024. gada 14. maija spriedum</w:t>
      </w:r>
      <w:r w:rsidR="0050381F" w:rsidRPr="009B4F07">
        <w:rPr>
          <w:rFonts w:asciiTheme="majorBidi" w:hAnsiTheme="majorBidi" w:cstheme="majorBidi"/>
          <w:i/>
          <w:iCs/>
        </w:rPr>
        <w:t>a</w:t>
      </w:r>
      <w:r w:rsidRPr="009B4F07">
        <w:rPr>
          <w:rFonts w:asciiTheme="majorBidi" w:hAnsiTheme="majorBidi" w:cstheme="majorBidi"/>
          <w:i/>
          <w:iCs/>
        </w:rPr>
        <w:t xml:space="preserve"> lietā „</w:t>
      </w:r>
      <w:proofErr w:type="spellStart"/>
      <w:r w:rsidRPr="009B4F07">
        <w:rPr>
          <w:rFonts w:asciiTheme="majorBidi" w:hAnsiTheme="majorBidi" w:cstheme="majorBidi"/>
          <w:i/>
          <w:iCs/>
        </w:rPr>
        <w:t>Stachev</w:t>
      </w:r>
      <w:proofErr w:type="spellEnd"/>
      <w:r w:rsidRPr="009B4F07">
        <w:rPr>
          <w:rFonts w:asciiTheme="majorBidi" w:hAnsiTheme="majorBidi" w:cstheme="majorBidi"/>
          <w:i/>
          <w:iCs/>
        </w:rPr>
        <w:t>”, C</w:t>
      </w:r>
      <w:r w:rsidR="00170D6F" w:rsidRPr="009B4F07">
        <w:rPr>
          <w:rFonts w:asciiTheme="majorBidi" w:hAnsiTheme="majorBidi" w:cstheme="majorBidi"/>
          <w:i/>
          <w:iCs/>
        </w:rPr>
        <w:noBreakHyphen/>
      </w:r>
      <w:r w:rsidRPr="009B4F07">
        <w:rPr>
          <w:rFonts w:asciiTheme="majorBidi" w:hAnsiTheme="majorBidi" w:cstheme="majorBidi"/>
          <w:i/>
          <w:iCs/>
        </w:rPr>
        <w:t xml:space="preserve">15/24 PPU, </w:t>
      </w:r>
      <w:hyperlink r:id="rId13" w:history="1">
        <w:r w:rsidRPr="009B4F07">
          <w:rPr>
            <w:rStyle w:val="Hyperlink"/>
            <w:rFonts w:asciiTheme="majorBidi" w:hAnsiTheme="majorBidi" w:cstheme="majorBidi"/>
            <w:i/>
            <w:iCs/>
          </w:rPr>
          <w:t>ECLI:EU:C:2024:399</w:t>
        </w:r>
      </w:hyperlink>
      <w:r w:rsidR="007625BD" w:rsidRPr="009B4F07">
        <w:rPr>
          <w:rFonts w:asciiTheme="majorBidi" w:hAnsiTheme="majorBidi" w:cstheme="majorBidi"/>
        </w:rPr>
        <w:t xml:space="preserve">, </w:t>
      </w:r>
      <w:r w:rsidR="007625BD" w:rsidRPr="009B4F07">
        <w:rPr>
          <w:rFonts w:asciiTheme="majorBidi" w:hAnsiTheme="majorBidi" w:cstheme="majorBidi"/>
          <w:i/>
          <w:iCs/>
        </w:rPr>
        <w:t>55.</w:t>
      </w:r>
      <w:r w:rsidR="00170D6F" w:rsidRPr="009B4F07">
        <w:rPr>
          <w:rFonts w:asciiTheme="majorBidi" w:hAnsiTheme="majorBidi" w:cstheme="majorBidi"/>
        </w:rPr>
        <w:t>–</w:t>
      </w:r>
      <w:r w:rsidR="007625BD" w:rsidRPr="009B4F07">
        <w:rPr>
          <w:rFonts w:asciiTheme="majorBidi" w:hAnsiTheme="majorBidi" w:cstheme="majorBidi"/>
          <w:i/>
          <w:iCs/>
        </w:rPr>
        <w:t>58.</w:t>
      </w:r>
      <w:r w:rsidR="003F31DF" w:rsidRPr="009B4F07">
        <w:rPr>
          <w:rFonts w:asciiTheme="majorBidi" w:hAnsiTheme="majorBidi" w:cstheme="majorBidi"/>
          <w:i/>
          <w:iCs/>
        </w:rPr>
        <w:t> </w:t>
      </w:r>
      <w:r w:rsidR="007625BD" w:rsidRPr="009B4F07">
        <w:rPr>
          <w:rFonts w:asciiTheme="majorBidi" w:hAnsiTheme="majorBidi" w:cstheme="majorBidi"/>
          <w:i/>
          <w:iCs/>
        </w:rPr>
        <w:t>punkt</w:t>
      </w:r>
      <w:r w:rsidR="0050381F" w:rsidRPr="009B4F07">
        <w:rPr>
          <w:rFonts w:asciiTheme="majorBidi" w:hAnsiTheme="majorBidi" w:cstheme="majorBidi"/>
          <w:i/>
          <w:iCs/>
        </w:rPr>
        <w:t>u</w:t>
      </w:r>
      <w:r w:rsidRPr="009B4F07">
        <w:rPr>
          <w:rFonts w:asciiTheme="majorBidi" w:hAnsiTheme="majorBidi" w:cstheme="majorBidi"/>
          <w:i/>
          <w:iCs/>
        </w:rPr>
        <w:t>)</w:t>
      </w:r>
      <w:r w:rsidR="001B153A" w:rsidRPr="009B4F07">
        <w:rPr>
          <w:rFonts w:asciiTheme="majorBidi" w:hAnsiTheme="majorBidi" w:cstheme="majorBidi"/>
          <w:i/>
          <w:iCs/>
        </w:rPr>
        <w:t>.</w:t>
      </w:r>
    </w:p>
    <w:p w14:paraId="142DD5AF" w14:textId="31B03887" w:rsidR="001F4EF4" w:rsidRPr="009B4F07" w:rsidRDefault="001F4EF4" w:rsidP="00F108AC">
      <w:pPr>
        <w:spacing w:line="276" w:lineRule="auto"/>
        <w:ind w:firstLine="720"/>
        <w:jc w:val="both"/>
        <w:rPr>
          <w:rFonts w:asciiTheme="majorBidi" w:hAnsiTheme="majorBidi" w:cstheme="majorBidi"/>
        </w:rPr>
      </w:pPr>
      <w:r w:rsidRPr="009B4F07">
        <w:rPr>
          <w:rFonts w:asciiTheme="majorBidi" w:hAnsiTheme="majorBidi" w:cstheme="majorBidi"/>
        </w:rPr>
        <w:t xml:space="preserve">Eiropas Cilvēktiesību tiesa ir norādījusi, ka tiesību uz taisnīgu tiesu ievērošanas pārbaude ir komplekss novērtējums, nevis tikai atsevišķa procesuāla notikuma vērtējums (sk. </w:t>
      </w:r>
      <w:r w:rsidR="0050381F" w:rsidRPr="009B4F07">
        <w:rPr>
          <w:rFonts w:asciiTheme="majorBidi" w:hAnsiTheme="majorBidi" w:cstheme="majorBidi"/>
          <w:i/>
          <w:iCs/>
        </w:rPr>
        <w:t xml:space="preserve">Eiropas Cilvēktiesību tiesas </w:t>
      </w:r>
      <w:r w:rsidR="00212528" w:rsidRPr="009B4F07">
        <w:rPr>
          <w:rFonts w:asciiTheme="majorBidi" w:hAnsiTheme="majorBidi" w:cstheme="majorBidi"/>
          <w:i/>
          <w:iCs/>
        </w:rPr>
        <w:t xml:space="preserve">(Lielā palāta) </w:t>
      </w:r>
      <w:r w:rsidRPr="009B4F07">
        <w:rPr>
          <w:rFonts w:asciiTheme="majorBidi" w:hAnsiTheme="majorBidi" w:cstheme="majorBidi"/>
          <w:i/>
          <w:iCs/>
        </w:rPr>
        <w:t>2018. gada 9. novembra sprieduma lietā „</w:t>
      </w:r>
      <w:proofErr w:type="spellStart"/>
      <w:r w:rsidRPr="009B4F07">
        <w:rPr>
          <w:rFonts w:asciiTheme="majorBidi" w:hAnsiTheme="majorBidi" w:cstheme="majorBidi"/>
          <w:i/>
          <w:iCs/>
        </w:rPr>
        <w:t>Beuze</w:t>
      </w:r>
      <w:proofErr w:type="spellEnd"/>
      <w:r w:rsidRPr="009B4F07">
        <w:rPr>
          <w:rFonts w:asciiTheme="majorBidi" w:hAnsiTheme="majorBidi" w:cstheme="majorBidi"/>
          <w:i/>
          <w:iCs/>
        </w:rPr>
        <w:t xml:space="preserve"> v. </w:t>
      </w:r>
      <w:proofErr w:type="spellStart"/>
      <w:r w:rsidRPr="009B4F07">
        <w:rPr>
          <w:rFonts w:asciiTheme="majorBidi" w:hAnsiTheme="majorBidi" w:cstheme="majorBidi"/>
          <w:i/>
          <w:iCs/>
        </w:rPr>
        <w:t>Belgium</w:t>
      </w:r>
      <w:proofErr w:type="spellEnd"/>
      <w:r w:rsidRPr="009B4F07">
        <w:rPr>
          <w:rFonts w:asciiTheme="majorBidi" w:hAnsiTheme="majorBidi" w:cstheme="majorBidi"/>
          <w:i/>
          <w:iCs/>
        </w:rPr>
        <w:t>”, iesnieguma Nr. </w:t>
      </w:r>
      <w:hyperlink r:id="rId14" w:history="1">
        <w:r w:rsidRPr="009B4F07">
          <w:rPr>
            <w:rStyle w:val="Hyperlink"/>
            <w:rFonts w:asciiTheme="majorBidi" w:hAnsiTheme="majorBidi" w:cstheme="majorBidi"/>
            <w:i/>
            <w:iCs/>
          </w:rPr>
          <w:t>71409/10</w:t>
        </w:r>
      </w:hyperlink>
      <w:r w:rsidRPr="009B4F07">
        <w:rPr>
          <w:rFonts w:asciiTheme="majorBidi" w:hAnsiTheme="majorBidi" w:cstheme="majorBidi"/>
          <w:i/>
          <w:iCs/>
        </w:rPr>
        <w:t>, 120.-121. punktu</w:t>
      </w:r>
      <w:r w:rsidRPr="009B4F07">
        <w:rPr>
          <w:rFonts w:asciiTheme="majorBidi" w:hAnsiTheme="majorBidi" w:cstheme="majorBidi"/>
        </w:rPr>
        <w:t>).</w:t>
      </w:r>
    </w:p>
    <w:p w14:paraId="7718F9A3" w14:textId="69FDFC92" w:rsidR="001F4EF4" w:rsidRPr="009B4F07" w:rsidRDefault="001F4EF4"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[9.2] Konvencijas 6. pants neliedz personai tiesības atteikties no tiesību uz taisnīgu tiesu garantijām. Šādas atteikšanās standarts veidots Eiropas Cilvēktiesību tiesas judikatūrā, uzsverot, ka, lai atteikšanās būtu saskanīga ar Konvencijas mērķiem, tai jābūt brīvprātīgai, apzinātai un saprātīgai (sk. </w:t>
      </w:r>
      <w:r w:rsidRPr="009B4F07">
        <w:rPr>
          <w:rFonts w:asciiTheme="majorBidi" w:hAnsiTheme="majorBidi" w:cstheme="majorBidi"/>
          <w:i/>
          <w:iCs/>
        </w:rPr>
        <w:t>Eiropas Cilvēktiesību tiesas</w:t>
      </w:r>
      <w:r w:rsidRPr="009B4F07">
        <w:rPr>
          <w:rFonts w:asciiTheme="majorBidi" w:hAnsiTheme="majorBidi" w:cstheme="majorBidi"/>
        </w:rPr>
        <w:t xml:space="preserve"> </w:t>
      </w:r>
      <w:r w:rsidR="003E6BEC" w:rsidRPr="009B4F07">
        <w:rPr>
          <w:rFonts w:asciiTheme="majorBidi" w:hAnsiTheme="majorBidi" w:cstheme="majorBidi"/>
          <w:i/>
          <w:iCs/>
        </w:rPr>
        <w:t xml:space="preserve">(Lielā palāta) </w:t>
      </w:r>
      <w:r w:rsidRPr="009B4F07">
        <w:rPr>
          <w:rFonts w:asciiTheme="majorBidi" w:hAnsiTheme="majorBidi" w:cstheme="majorBidi"/>
          <w:i/>
          <w:iCs/>
        </w:rPr>
        <w:t>2016. gada 13. septembra spriedum</w:t>
      </w:r>
      <w:r w:rsidR="00846688" w:rsidRPr="009B4F07">
        <w:rPr>
          <w:rFonts w:asciiTheme="majorBidi" w:hAnsiTheme="majorBidi" w:cstheme="majorBidi"/>
          <w:i/>
          <w:iCs/>
        </w:rPr>
        <w:t>a</w:t>
      </w:r>
      <w:r w:rsidRPr="009B4F07">
        <w:rPr>
          <w:rFonts w:asciiTheme="majorBidi" w:hAnsiTheme="majorBidi" w:cstheme="majorBidi"/>
          <w:i/>
          <w:iCs/>
        </w:rPr>
        <w:t xml:space="preserve"> lietā „</w:t>
      </w:r>
      <w:proofErr w:type="spellStart"/>
      <w:r w:rsidRPr="009B4F07">
        <w:rPr>
          <w:rFonts w:asciiTheme="majorBidi" w:hAnsiTheme="majorBidi" w:cstheme="majorBidi"/>
          <w:i/>
          <w:iCs/>
        </w:rPr>
        <w:t>Ibrahim</w:t>
      </w:r>
      <w:proofErr w:type="spellEnd"/>
      <w:r w:rsidRPr="009B4F07">
        <w:rPr>
          <w:rFonts w:asciiTheme="majorBidi" w:hAnsiTheme="majorBidi" w:cstheme="majorBidi"/>
          <w:i/>
          <w:iCs/>
        </w:rPr>
        <w:t xml:space="preserve"> </w:t>
      </w:r>
      <w:proofErr w:type="spellStart"/>
      <w:r w:rsidRPr="009B4F07">
        <w:rPr>
          <w:rFonts w:asciiTheme="majorBidi" w:hAnsiTheme="majorBidi" w:cstheme="majorBidi"/>
          <w:i/>
          <w:iCs/>
        </w:rPr>
        <w:t>and</w:t>
      </w:r>
      <w:proofErr w:type="spellEnd"/>
      <w:r w:rsidRPr="009B4F07">
        <w:rPr>
          <w:rFonts w:asciiTheme="majorBidi" w:hAnsiTheme="majorBidi" w:cstheme="majorBidi"/>
          <w:i/>
          <w:iCs/>
        </w:rPr>
        <w:t xml:space="preserve"> </w:t>
      </w:r>
      <w:proofErr w:type="spellStart"/>
      <w:r w:rsidRPr="009B4F07">
        <w:rPr>
          <w:rFonts w:asciiTheme="majorBidi" w:hAnsiTheme="majorBidi" w:cstheme="majorBidi"/>
          <w:i/>
          <w:iCs/>
        </w:rPr>
        <w:t>others</w:t>
      </w:r>
      <w:proofErr w:type="spellEnd"/>
      <w:r w:rsidRPr="009B4F07">
        <w:rPr>
          <w:rFonts w:asciiTheme="majorBidi" w:hAnsiTheme="majorBidi" w:cstheme="majorBidi"/>
          <w:i/>
          <w:iCs/>
        </w:rPr>
        <w:t xml:space="preserve"> v. </w:t>
      </w:r>
      <w:proofErr w:type="spellStart"/>
      <w:r w:rsidRPr="009B4F07">
        <w:rPr>
          <w:rFonts w:asciiTheme="majorBidi" w:hAnsiTheme="majorBidi" w:cstheme="majorBidi"/>
          <w:i/>
          <w:iCs/>
        </w:rPr>
        <w:t>The</w:t>
      </w:r>
      <w:proofErr w:type="spellEnd"/>
      <w:r w:rsidRPr="009B4F07">
        <w:rPr>
          <w:rFonts w:asciiTheme="majorBidi" w:hAnsiTheme="majorBidi" w:cstheme="majorBidi"/>
          <w:i/>
          <w:iCs/>
        </w:rPr>
        <w:t xml:space="preserve"> </w:t>
      </w:r>
      <w:proofErr w:type="spellStart"/>
      <w:r w:rsidRPr="009B4F07">
        <w:rPr>
          <w:rFonts w:asciiTheme="majorBidi" w:hAnsiTheme="majorBidi" w:cstheme="majorBidi"/>
          <w:i/>
          <w:iCs/>
        </w:rPr>
        <w:t>United</w:t>
      </w:r>
      <w:proofErr w:type="spellEnd"/>
      <w:r w:rsidRPr="009B4F07">
        <w:rPr>
          <w:rFonts w:asciiTheme="majorBidi" w:hAnsiTheme="majorBidi" w:cstheme="majorBidi"/>
          <w:i/>
          <w:iCs/>
        </w:rPr>
        <w:t xml:space="preserve"> </w:t>
      </w:r>
      <w:proofErr w:type="spellStart"/>
      <w:r w:rsidRPr="009B4F07">
        <w:rPr>
          <w:rFonts w:asciiTheme="majorBidi" w:hAnsiTheme="majorBidi" w:cstheme="majorBidi"/>
          <w:i/>
          <w:iCs/>
        </w:rPr>
        <w:t>Kingdom</w:t>
      </w:r>
      <w:proofErr w:type="spellEnd"/>
      <w:r w:rsidRPr="009B4F07">
        <w:rPr>
          <w:rFonts w:asciiTheme="majorBidi" w:hAnsiTheme="majorBidi" w:cstheme="majorBidi"/>
          <w:i/>
          <w:iCs/>
        </w:rPr>
        <w:t>”, iesniegum</w:t>
      </w:r>
      <w:r w:rsidR="004B2234" w:rsidRPr="009B4F07">
        <w:rPr>
          <w:rFonts w:asciiTheme="majorBidi" w:hAnsiTheme="majorBidi" w:cstheme="majorBidi"/>
          <w:i/>
          <w:iCs/>
        </w:rPr>
        <w:t>u</w:t>
      </w:r>
      <w:r w:rsidRPr="009B4F07">
        <w:rPr>
          <w:rFonts w:asciiTheme="majorBidi" w:hAnsiTheme="majorBidi" w:cstheme="majorBidi"/>
          <w:i/>
          <w:iCs/>
        </w:rPr>
        <w:t xml:space="preserve"> Nr. </w:t>
      </w:r>
      <w:hyperlink r:id="rId15" w:history="1">
        <w:r w:rsidRPr="009B4F07">
          <w:rPr>
            <w:rStyle w:val="Hyperlink"/>
            <w:rFonts w:asciiTheme="majorBidi" w:hAnsiTheme="majorBidi" w:cstheme="majorBidi"/>
            <w:i/>
            <w:iCs/>
          </w:rPr>
          <w:t xml:space="preserve">50541/08, 50571/08, 50573/08 un </w:t>
        </w:r>
        <w:hyperlink r:id="rId16" w:anchor="{%22appno%22:[%2240351/09%22]}" w:tgtFrame="_blank" w:history="1">
          <w:r w:rsidRPr="009B4F07">
            <w:rPr>
              <w:rStyle w:val="Hyperlink"/>
              <w:rFonts w:asciiTheme="majorBidi" w:hAnsiTheme="majorBidi" w:cstheme="majorBidi"/>
              <w:i/>
              <w:iCs/>
            </w:rPr>
            <w:t>40351/09</w:t>
          </w:r>
        </w:hyperlink>
      </w:hyperlink>
      <w:r w:rsidRPr="009B4F07">
        <w:rPr>
          <w:rFonts w:asciiTheme="majorBidi" w:hAnsiTheme="majorBidi" w:cstheme="majorBidi"/>
          <w:i/>
          <w:iCs/>
        </w:rPr>
        <w:t>, 272. punktu</w:t>
      </w:r>
      <w:r w:rsidRPr="009B4F07">
        <w:rPr>
          <w:rFonts w:asciiTheme="majorBidi" w:hAnsiTheme="majorBidi" w:cstheme="majorBidi"/>
        </w:rPr>
        <w:t xml:space="preserve">, </w:t>
      </w:r>
      <w:r w:rsidRPr="009B4F07">
        <w:rPr>
          <w:rFonts w:asciiTheme="majorBidi" w:hAnsiTheme="majorBidi" w:cstheme="majorBidi"/>
          <w:i/>
          <w:iCs/>
        </w:rPr>
        <w:t xml:space="preserve">2015. gada </w:t>
      </w:r>
      <w:r w:rsidR="002638E1" w:rsidRPr="009B4F07">
        <w:rPr>
          <w:rFonts w:asciiTheme="majorBidi" w:hAnsiTheme="majorBidi" w:cstheme="majorBidi"/>
          <w:i/>
          <w:iCs/>
        </w:rPr>
        <w:t>2</w:t>
      </w:r>
      <w:r w:rsidRPr="009B4F07">
        <w:rPr>
          <w:rFonts w:asciiTheme="majorBidi" w:hAnsiTheme="majorBidi" w:cstheme="majorBidi"/>
          <w:i/>
          <w:iCs/>
        </w:rPr>
        <w:t>0. oktobra sprieduma lietā „</w:t>
      </w:r>
      <w:proofErr w:type="spellStart"/>
      <w:r w:rsidRPr="009B4F07">
        <w:rPr>
          <w:rFonts w:asciiTheme="majorBidi" w:hAnsiTheme="majorBidi" w:cstheme="majorBidi"/>
          <w:i/>
          <w:iCs/>
        </w:rPr>
        <w:t>Dvorski</w:t>
      </w:r>
      <w:proofErr w:type="spellEnd"/>
      <w:r w:rsidRPr="009B4F07">
        <w:rPr>
          <w:rFonts w:asciiTheme="majorBidi" w:hAnsiTheme="majorBidi" w:cstheme="majorBidi"/>
          <w:i/>
          <w:iCs/>
        </w:rPr>
        <w:t xml:space="preserve"> v. </w:t>
      </w:r>
      <w:proofErr w:type="spellStart"/>
      <w:r w:rsidRPr="009B4F07">
        <w:rPr>
          <w:rFonts w:asciiTheme="majorBidi" w:hAnsiTheme="majorBidi" w:cstheme="majorBidi"/>
          <w:i/>
          <w:iCs/>
        </w:rPr>
        <w:t>Croatia</w:t>
      </w:r>
      <w:proofErr w:type="spellEnd"/>
      <w:r w:rsidRPr="009B4F07">
        <w:rPr>
          <w:rFonts w:asciiTheme="majorBidi" w:hAnsiTheme="majorBidi" w:cstheme="majorBidi"/>
          <w:i/>
          <w:iCs/>
        </w:rPr>
        <w:t>”, iesnieguma Nr. </w:t>
      </w:r>
      <w:hyperlink r:id="rId17" w:history="1">
        <w:r w:rsidRPr="009B4F07">
          <w:rPr>
            <w:rStyle w:val="Hyperlink"/>
            <w:rFonts w:asciiTheme="majorBidi" w:hAnsiTheme="majorBidi" w:cstheme="majorBidi"/>
            <w:i/>
            <w:iCs/>
          </w:rPr>
          <w:t>25703/11</w:t>
        </w:r>
      </w:hyperlink>
      <w:r w:rsidRPr="009B4F07">
        <w:rPr>
          <w:rFonts w:asciiTheme="majorBidi" w:hAnsiTheme="majorBidi" w:cstheme="majorBidi"/>
          <w:i/>
          <w:iCs/>
        </w:rPr>
        <w:t>, 100.</w:t>
      </w:r>
      <w:r w:rsidR="00846688" w:rsidRPr="009B4F07">
        <w:rPr>
          <w:rFonts w:asciiTheme="majorBidi" w:hAnsiTheme="majorBidi" w:cstheme="majorBidi"/>
        </w:rPr>
        <w:t>–</w:t>
      </w:r>
      <w:r w:rsidRPr="009B4F07">
        <w:rPr>
          <w:rFonts w:asciiTheme="majorBidi" w:hAnsiTheme="majorBidi" w:cstheme="majorBidi"/>
          <w:i/>
          <w:iCs/>
        </w:rPr>
        <w:t>101. punktu</w:t>
      </w:r>
      <w:r w:rsidRPr="009B4F07">
        <w:rPr>
          <w:rFonts w:asciiTheme="majorBidi" w:hAnsiTheme="majorBidi" w:cstheme="majorBidi"/>
        </w:rPr>
        <w:t xml:space="preserve">, </w:t>
      </w:r>
      <w:r w:rsidR="003E6BEC" w:rsidRPr="009B4F07">
        <w:rPr>
          <w:rFonts w:asciiTheme="majorBidi" w:hAnsiTheme="majorBidi" w:cstheme="majorBidi"/>
          <w:i/>
          <w:iCs/>
        </w:rPr>
        <w:t>Eiropas Cilvēktiesību tiesas</w:t>
      </w:r>
      <w:r w:rsidR="003E6BEC" w:rsidRPr="009B4F07">
        <w:rPr>
          <w:rFonts w:asciiTheme="majorBidi" w:hAnsiTheme="majorBidi" w:cstheme="majorBidi"/>
        </w:rPr>
        <w:t xml:space="preserve"> </w:t>
      </w:r>
      <w:r w:rsidRPr="009B4F07">
        <w:rPr>
          <w:rFonts w:asciiTheme="majorBidi" w:hAnsiTheme="majorBidi" w:cstheme="majorBidi"/>
          <w:i/>
          <w:iCs/>
        </w:rPr>
        <w:t>2009. gada 24. septembra sprieduma lietā „</w:t>
      </w:r>
      <w:proofErr w:type="spellStart"/>
      <w:r w:rsidRPr="009B4F07">
        <w:rPr>
          <w:rFonts w:asciiTheme="majorBidi" w:hAnsiTheme="majorBidi" w:cstheme="majorBidi"/>
          <w:i/>
          <w:iCs/>
        </w:rPr>
        <w:t>Pishchalnikov</w:t>
      </w:r>
      <w:proofErr w:type="spellEnd"/>
      <w:r w:rsidRPr="009B4F07">
        <w:rPr>
          <w:rFonts w:asciiTheme="majorBidi" w:hAnsiTheme="majorBidi" w:cstheme="majorBidi"/>
          <w:i/>
          <w:iCs/>
        </w:rPr>
        <w:t xml:space="preserve"> v. </w:t>
      </w:r>
      <w:proofErr w:type="spellStart"/>
      <w:r w:rsidRPr="009B4F07">
        <w:rPr>
          <w:rFonts w:asciiTheme="majorBidi" w:hAnsiTheme="majorBidi" w:cstheme="majorBidi"/>
          <w:i/>
          <w:iCs/>
        </w:rPr>
        <w:t>Russia</w:t>
      </w:r>
      <w:proofErr w:type="spellEnd"/>
      <w:r w:rsidRPr="009B4F07">
        <w:rPr>
          <w:rFonts w:asciiTheme="majorBidi" w:hAnsiTheme="majorBidi" w:cstheme="majorBidi"/>
          <w:i/>
          <w:iCs/>
        </w:rPr>
        <w:t>”, iesnieguma Nr. </w:t>
      </w:r>
      <w:hyperlink r:id="rId18" w:history="1">
        <w:r w:rsidRPr="009B4F07">
          <w:rPr>
            <w:rStyle w:val="Hyperlink"/>
            <w:rFonts w:asciiTheme="majorBidi" w:hAnsiTheme="majorBidi" w:cstheme="majorBidi"/>
            <w:i/>
            <w:iCs/>
          </w:rPr>
          <w:t>7025/04</w:t>
        </w:r>
      </w:hyperlink>
      <w:r w:rsidRPr="009B4F07">
        <w:rPr>
          <w:rFonts w:asciiTheme="majorBidi" w:hAnsiTheme="majorBidi" w:cstheme="majorBidi"/>
          <w:i/>
          <w:iCs/>
        </w:rPr>
        <w:t>, 77.</w:t>
      </w:r>
      <w:r w:rsidR="00170D6F" w:rsidRPr="009B4F07">
        <w:rPr>
          <w:rFonts w:asciiTheme="majorBidi" w:hAnsiTheme="majorBidi" w:cstheme="majorBidi"/>
        </w:rPr>
        <w:t>–</w:t>
      </w:r>
      <w:r w:rsidRPr="009B4F07">
        <w:rPr>
          <w:rFonts w:asciiTheme="majorBidi" w:hAnsiTheme="majorBidi" w:cstheme="majorBidi"/>
          <w:i/>
          <w:iCs/>
        </w:rPr>
        <w:t>79. punktu</w:t>
      </w:r>
      <w:r w:rsidRPr="009B4F07">
        <w:rPr>
          <w:rFonts w:asciiTheme="majorBidi" w:hAnsiTheme="majorBidi" w:cstheme="majorBidi"/>
        </w:rPr>
        <w:t>).</w:t>
      </w:r>
    </w:p>
    <w:p w14:paraId="44D1274F" w14:textId="6CC9177C" w:rsidR="00C87096" w:rsidRPr="009B4F07" w:rsidRDefault="00AA0DAF"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EA7C2F" w:rsidRPr="009B4F07">
        <w:rPr>
          <w:rFonts w:asciiTheme="majorBidi" w:hAnsiTheme="majorBidi" w:cstheme="majorBidi"/>
        </w:rPr>
        <w:t>9.</w:t>
      </w:r>
      <w:r w:rsidR="00915A02" w:rsidRPr="009B4F07">
        <w:rPr>
          <w:rFonts w:asciiTheme="majorBidi" w:hAnsiTheme="majorBidi" w:cstheme="majorBidi"/>
        </w:rPr>
        <w:t>3</w:t>
      </w:r>
      <w:r w:rsidRPr="009B4F07">
        <w:rPr>
          <w:rFonts w:asciiTheme="majorBidi" w:hAnsiTheme="majorBidi" w:cstheme="majorBidi"/>
        </w:rPr>
        <w:t xml:space="preserve">] No iepriekš norādītā izriet, ka, lai uzskatītu, ka atteikšanās no aizstāvja </w:t>
      </w:r>
      <w:r w:rsidR="00B95264" w:rsidRPr="009B4F07">
        <w:rPr>
          <w:rFonts w:asciiTheme="majorBidi" w:hAnsiTheme="majorBidi" w:cstheme="majorBidi"/>
        </w:rPr>
        <w:t xml:space="preserve">notikusi, nepārkāpjot tiesības uz </w:t>
      </w:r>
      <w:r w:rsidRPr="009B4F07">
        <w:rPr>
          <w:rFonts w:asciiTheme="majorBidi" w:hAnsiTheme="majorBidi" w:cstheme="majorBidi"/>
        </w:rPr>
        <w:t>aizstāvību, tai ir jābūt paustai brīvprātīgi</w:t>
      </w:r>
      <w:r w:rsidR="00B95264" w:rsidRPr="009B4F07">
        <w:rPr>
          <w:rFonts w:asciiTheme="majorBidi" w:hAnsiTheme="majorBidi" w:cstheme="majorBidi"/>
        </w:rPr>
        <w:t>, apzināti</w:t>
      </w:r>
      <w:r w:rsidRPr="009B4F07">
        <w:rPr>
          <w:rFonts w:asciiTheme="majorBidi" w:hAnsiTheme="majorBidi" w:cstheme="majorBidi"/>
        </w:rPr>
        <w:t xml:space="preserve"> un nepārprotami</w:t>
      </w:r>
      <w:r w:rsidR="00572E21" w:rsidRPr="009B4F07">
        <w:rPr>
          <w:rFonts w:asciiTheme="majorBidi" w:hAnsiTheme="majorBidi" w:cstheme="majorBidi"/>
        </w:rPr>
        <w:t>,</w:t>
      </w:r>
      <w:r w:rsidRPr="009B4F07">
        <w:rPr>
          <w:rFonts w:asciiTheme="majorBidi" w:hAnsiTheme="majorBidi" w:cstheme="majorBidi"/>
        </w:rPr>
        <w:t xml:space="preserve"> un tai ir jābūt fiksētai. Lai noteiktu, vai atteikšanās atbilst šīm prasībām, vērtējams</w:t>
      </w:r>
      <w:r w:rsidR="008954C2" w:rsidRPr="009B4F07">
        <w:rPr>
          <w:rFonts w:asciiTheme="majorBidi" w:hAnsiTheme="majorBidi" w:cstheme="majorBidi"/>
        </w:rPr>
        <w:t>,</w:t>
      </w:r>
      <w:r w:rsidRPr="009B4F07">
        <w:rPr>
          <w:rFonts w:asciiTheme="majorBidi" w:hAnsiTheme="majorBidi" w:cstheme="majorBidi"/>
        </w:rPr>
        <w:t xml:space="preserve"> vai persona, kas izmanto tiesības atteikties no aizstāvja palīdzības, ir informēta par šo tiesību saturu un sekām, ko rada atteikšanās no tiesībām</w:t>
      </w:r>
      <w:r w:rsidR="0072719D" w:rsidRPr="009B4F07">
        <w:rPr>
          <w:rFonts w:asciiTheme="majorBidi" w:hAnsiTheme="majorBidi" w:cstheme="majorBidi"/>
        </w:rPr>
        <w:t>, turklāt vērtējams, vai apsūdzētais nav neaizsargāta persona Direktīvas 2013/48/ES izpratnē.</w:t>
      </w:r>
    </w:p>
    <w:p w14:paraId="64BA3A87" w14:textId="0AFD0B0A" w:rsidR="0060514F" w:rsidRPr="009B4F07" w:rsidRDefault="001F4EF4"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[9</w:t>
      </w:r>
      <w:r w:rsidR="00915A02" w:rsidRPr="009B4F07">
        <w:rPr>
          <w:rFonts w:asciiTheme="majorBidi" w:hAnsiTheme="majorBidi" w:cstheme="majorBidi"/>
        </w:rPr>
        <w:t>.4</w:t>
      </w:r>
      <w:r w:rsidRPr="009B4F07">
        <w:rPr>
          <w:rFonts w:asciiTheme="majorBidi" w:hAnsiTheme="majorBidi" w:cstheme="majorBidi"/>
        </w:rPr>
        <w:t>] </w:t>
      </w:r>
      <w:r w:rsidR="00650EE0" w:rsidRPr="009B4F07">
        <w:rPr>
          <w:rFonts w:asciiTheme="majorBidi" w:hAnsiTheme="majorBidi" w:cstheme="majorBidi"/>
        </w:rPr>
        <w:t xml:space="preserve">Papildus </w:t>
      </w:r>
      <w:r w:rsidRPr="009B4F07">
        <w:rPr>
          <w:rFonts w:asciiTheme="majorBidi" w:hAnsiTheme="majorBidi" w:cstheme="majorBidi"/>
        </w:rPr>
        <w:t>Senāts uzskata par nepieciešamu vispārīgi norādīt uz Eiropas tiesu judikatūrā atzīto, ka, ja tiek konstatēts procesuālo noteikumu pārkāpums, valsts tiesām ir jāizvērtē, vai šis pārkāpums ir novērsts turpmākajā procesa gaitā (</w:t>
      </w:r>
      <w:r w:rsidRPr="009B4F07">
        <w:rPr>
          <w:rFonts w:asciiTheme="majorBidi" w:hAnsiTheme="majorBidi" w:cstheme="majorBidi"/>
          <w:i/>
          <w:iCs/>
        </w:rPr>
        <w:t>Eiropas Savienības Tiesa</w:t>
      </w:r>
      <w:r w:rsidR="0085431C" w:rsidRPr="009B4F07">
        <w:rPr>
          <w:rFonts w:asciiTheme="majorBidi" w:hAnsiTheme="majorBidi" w:cstheme="majorBidi"/>
          <w:i/>
          <w:iCs/>
        </w:rPr>
        <w:t>s</w:t>
      </w:r>
      <w:r w:rsidRPr="009B4F07">
        <w:rPr>
          <w:rFonts w:asciiTheme="majorBidi" w:hAnsiTheme="majorBidi" w:cstheme="majorBidi"/>
          <w:i/>
          <w:iCs/>
        </w:rPr>
        <w:t xml:space="preserve"> 2024. gada 14. maija spriedum</w:t>
      </w:r>
      <w:r w:rsidR="0085431C" w:rsidRPr="009B4F07">
        <w:rPr>
          <w:rFonts w:asciiTheme="majorBidi" w:hAnsiTheme="majorBidi" w:cstheme="majorBidi"/>
          <w:i/>
          <w:iCs/>
        </w:rPr>
        <w:t>a</w:t>
      </w:r>
      <w:r w:rsidRPr="009B4F07">
        <w:rPr>
          <w:rFonts w:asciiTheme="majorBidi" w:hAnsiTheme="majorBidi" w:cstheme="majorBidi"/>
          <w:i/>
          <w:iCs/>
        </w:rPr>
        <w:t xml:space="preserve"> lietā „</w:t>
      </w:r>
      <w:proofErr w:type="spellStart"/>
      <w:r w:rsidRPr="009B4F07">
        <w:rPr>
          <w:rFonts w:asciiTheme="majorBidi" w:hAnsiTheme="majorBidi" w:cstheme="majorBidi"/>
          <w:i/>
          <w:iCs/>
        </w:rPr>
        <w:t>Stachev</w:t>
      </w:r>
      <w:proofErr w:type="spellEnd"/>
      <w:r w:rsidRPr="009B4F07">
        <w:rPr>
          <w:rFonts w:asciiTheme="majorBidi" w:hAnsiTheme="majorBidi" w:cstheme="majorBidi"/>
          <w:i/>
          <w:iCs/>
        </w:rPr>
        <w:t xml:space="preserve">”, C-15/24 PPU, </w:t>
      </w:r>
      <w:hyperlink r:id="rId19" w:history="1">
        <w:r w:rsidRPr="009B4F07">
          <w:rPr>
            <w:rStyle w:val="Hyperlink"/>
            <w:rFonts w:asciiTheme="majorBidi" w:hAnsiTheme="majorBidi" w:cstheme="majorBidi"/>
            <w:i/>
            <w:iCs/>
          </w:rPr>
          <w:t>ECLI:EU:C:2024:399</w:t>
        </w:r>
      </w:hyperlink>
      <w:r w:rsidR="0085431C" w:rsidRPr="009B4F07">
        <w:rPr>
          <w:rFonts w:asciiTheme="majorBidi" w:hAnsiTheme="majorBidi" w:cstheme="majorBidi"/>
        </w:rPr>
        <w:t>,</w:t>
      </w:r>
      <w:r w:rsidRPr="009B4F07">
        <w:rPr>
          <w:rFonts w:asciiTheme="majorBidi" w:hAnsiTheme="majorBidi" w:cstheme="majorBidi"/>
          <w:i/>
          <w:iCs/>
        </w:rPr>
        <w:t xml:space="preserve"> 96. punkts</w:t>
      </w:r>
      <w:r w:rsidRPr="009B4F07">
        <w:rPr>
          <w:rFonts w:asciiTheme="majorBidi" w:hAnsiTheme="majorBidi" w:cstheme="majorBidi"/>
        </w:rPr>
        <w:t xml:space="preserve"> ar atsauci uz </w:t>
      </w:r>
      <w:r w:rsidRPr="009B4F07">
        <w:rPr>
          <w:rFonts w:asciiTheme="majorBidi" w:hAnsiTheme="majorBidi" w:cstheme="majorBidi"/>
          <w:i/>
          <w:iCs/>
        </w:rPr>
        <w:t>Eiropas Cilvēktiesību tiesas 2020.</w:t>
      </w:r>
      <w:r w:rsidR="00993736" w:rsidRPr="009B4F07">
        <w:rPr>
          <w:rFonts w:asciiTheme="majorBidi" w:hAnsiTheme="majorBidi" w:cstheme="majorBidi"/>
          <w:i/>
          <w:iCs/>
        </w:rPr>
        <w:t> </w:t>
      </w:r>
      <w:r w:rsidRPr="009B4F07">
        <w:rPr>
          <w:rFonts w:asciiTheme="majorBidi" w:hAnsiTheme="majorBidi" w:cstheme="majorBidi"/>
          <w:i/>
          <w:iCs/>
        </w:rPr>
        <w:t>gada 28.</w:t>
      </w:r>
      <w:r w:rsidR="00993736" w:rsidRPr="009B4F07">
        <w:rPr>
          <w:rFonts w:asciiTheme="majorBidi" w:hAnsiTheme="majorBidi" w:cstheme="majorBidi"/>
          <w:i/>
          <w:iCs/>
        </w:rPr>
        <w:t> </w:t>
      </w:r>
      <w:r w:rsidRPr="009B4F07">
        <w:rPr>
          <w:rFonts w:asciiTheme="majorBidi" w:hAnsiTheme="majorBidi" w:cstheme="majorBidi"/>
          <w:i/>
          <w:iCs/>
        </w:rPr>
        <w:t>janvāra sprieduma lietā „</w:t>
      </w:r>
      <w:proofErr w:type="spellStart"/>
      <w:r w:rsidRPr="009B4F07">
        <w:rPr>
          <w:rFonts w:asciiTheme="majorBidi" w:hAnsiTheme="majorBidi" w:cstheme="majorBidi"/>
          <w:i/>
          <w:iCs/>
        </w:rPr>
        <w:t>Mehmet</w:t>
      </w:r>
      <w:proofErr w:type="spellEnd"/>
      <w:r w:rsidRPr="009B4F07">
        <w:rPr>
          <w:rFonts w:asciiTheme="majorBidi" w:hAnsiTheme="majorBidi" w:cstheme="majorBidi"/>
          <w:i/>
          <w:iCs/>
        </w:rPr>
        <w:t xml:space="preserve"> </w:t>
      </w:r>
      <w:proofErr w:type="spellStart"/>
      <w:r w:rsidRPr="009B4F07">
        <w:rPr>
          <w:rFonts w:asciiTheme="majorBidi" w:hAnsiTheme="majorBidi" w:cstheme="majorBidi"/>
          <w:i/>
          <w:iCs/>
        </w:rPr>
        <w:t>Zeki</w:t>
      </w:r>
      <w:proofErr w:type="spellEnd"/>
      <w:r w:rsidRPr="009B4F07">
        <w:rPr>
          <w:rFonts w:asciiTheme="majorBidi" w:hAnsiTheme="majorBidi" w:cstheme="majorBidi"/>
          <w:i/>
          <w:iCs/>
        </w:rPr>
        <w:t xml:space="preserve"> </w:t>
      </w:r>
      <w:proofErr w:type="spellStart"/>
      <w:r w:rsidRPr="009B4F07">
        <w:rPr>
          <w:rFonts w:asciiTheme="majorBidi" w:hAnsiTheme="majorBidi" w:cstheme="majorBidi"/>
          <w:i/>
          <w:iCs/>
        </w:rPr>
        <w:t>Çelebi</w:t>
      </w:r>
      <w:proofErr w:type="spellEnd"/>
      <w:r w:rsidRPr="009B4F07">
        <w:rPr>
          <w:rFonts w:asciiTheme="majorBidi" w:hAnsiTheme="majorBidi" w:cstheme="majorBidi"/>
          <w:i/>
          <w:iCs/>
        </w:rPr>
        <w:t xml:space="preserve"> v. </w:t>
      </w:r>
      <w:proofErr w:type="spellStart"/>
      <w:r w:rsidRPr="009B4F07">
        <w:rPr>
          <w:rFonts w:asciiTheme="majorBidi" w:hAnsiTheme="majorBidi" w:cstheme="majorBidi"/>
          <w:i/>
          <w:iCs/>
        </w:rPr>
        <w:t>Turkey</w:t>
      </w:r>
      <w:proofErr w:type="spellEnd"/>
      <w:r w:rsidRPr="009B4F07">
        <w:rPr>
          <w:rFonts w:asciiTheme="majorBidi" w:hAnsiTheme="majorBidi" w:cstheme="majorBidi"/>
          <w:i/>
          <w:iCs/>
        </w:rPr>
        <w:t>”, iesnieguma Nr. </w:t>
      </w:r>
      <w:hyperlink r:id="rId20" w:history="1">
        <w:r w:rsidRPr="009B4F07">
          <w:rPr>
            <w:rStyle w:val="Hyperlink"/>
            <w:rFonts w:asciiTheme="majorBidi" w:hAnsiTheme="majorBidi" w:cstheme="majorBidi"/>
            <w:i/>
            <w:iCs/>
          </w:rPr>
          <w:t>27582/07</w:t>
        </w:r>
      </w:hyperlink>
      <w:r w:rsidRPr="009B4F07">
        <w:rPr>
          <w:rFonts w:asciiTheme="majorBidi" w:hAnsiTheme="majorBidi" w:cstheme="majorBidi"/>
          <w:i/>
          <w:iCs/>
        </w:rPr>
        <w:t>, 51.</w:t>
      </w:r>
      <w:r w:rsidR="00993736" w:rsidRPr="009B4F07">
        <w:rPr>
          <w:rFonts w:asciiTheme="majorBidi" w:hAnsiTheme="majorBidi" w:cstheme="majorBidi"/>
          <w:i/>
          <w:iCs/>
        </w:rPr>
        <w:t> </w:t>
      </w:r>
      <w:r w:rsidRPr="009B4F07">
        <w:rPr>
          <w:rFonts w:asciiTheme="majorBidi" w:hAnsiTheme="majorBidi" w:cstheme="majorBidi"/>
          <w:i/>
          <w:iCs/>
        </w:rPr>
        <w:t>punktu</w:t>
      </w:r>
      <w:r w:rsidRPr="009B4F07">
        <w:rPr>
          <w:rFonts w:asciiTheme="majorBidi" w:hAnsiTheme="majorBidi" w:cstheme="majorBidi"/>
        </w:rPr>
        <w:t>).</w:t>
      </w:r>
    </w:p>
    <w:p w14:paraId="79D2A99F" w14:textId="2F6CD761" w:rsidR="0060514F" w:rsidRPr="009B4F07" w:rsidRDefault="0060514F" w:rsidP="00F108AC">
      <w:pPr>
        <w:shd w:val="clear" w:color="auto" w:fill="FFFFFF"/>
        <w:spacing w:line="276" w:lineRule="auto"/>
        <w:ind w:firstLine="720"/>
        <w:jc w:val="both"/>
        <w:rPr>
          <w:rFonts w:asciiTheme="majorBidi" w:hAnsiTheme="majorBidi" w:cstheme="majorBidi"/>
        </w:rPr>
      </w:pPr>
    </w:p>
    <w:p w14:paraId="02FDAAB5" w14:textId="77030A1B" w:rsidR="00B15644" w:rsidRPr="009B4F07" w:rsidRDefault="00EA7C2F"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[10] </w:t>
      </w:r>
      <w:r w:rsidR="00AA0DAF" w:rsidRPr="009B4F07">
        <w:rPr>
          <w:rFonts w:asciiTheme="majorBidi" w:hAnsiTheme="majorBidi" w:cstheme="majorBidi"/>
        </w:rPr>
        <w:t xml:space="preserve">Lai sniegtu atbildi uz jautājumu, vai izskatāmajā lietā ir ievērotas apsūdzētā </w:t>
      </w:r>
      <w:r w:rsidR="00EF2C6B">
        <w:rPr>
          <w:rFonts w:asciiTheme="majorBidi" w:hAnsiTheme="majorBidi" w:cstheme="majorBidi"/>
        </w:rPr>
        <w:t>[pers. A]</w:t>
      </w:r>
      <w:r w:rsidR="00AA0DAF" w:rsidRPr="009B4F07">
        <w:rPr>
          <w:rFonts w:asciiTheme="majorBidi" w:hAnsiTheme="majorBidi" w:cstheme="majorBidi"/>
        </w:rPr>
        <w:t xml:space="preserve"> tiesības uz taisnīgu tiesu, </w:t>
      </w:r>
      <w:r w:rsidR="0042588B" w:rsidRPr="009B4F07">
        <w:rPr>
          <w:rFonts w:asciiTheme="majorBidi" w:hAnsiTheme="majorBidi" w:cstheme="majorBidi"/>
        </w:rPr>
        <w:t xml:space="preserve">tajā skaitā arī tiesības uz aizstāvību, </w:t>
      </w:r>
      <w:r w:rsidR="00AA0DAF" w:rsidRPr="009B4F07">
        <w:rPr>
          <w:rFonts w:asciiTheme="majorBidi" w:hAnsiTheme="majorBidi" w:cstheme="majorBidi"/>
        </w:rPr>
        <w:t>vērtējams, vai apsūdzētā atteikšanās no aizstāvja ir bijusi atbilstoša iepriekš aprakstītajam standartam.</w:t>
      </w:r>
    </w:p>
    <w:p w14:paraId="1234C0B2" w14:textId="615FECB8" w:rsidR="00B23A4C" w:rsidRPr="009B4F07" w:rsidRDefault="00B15644" w:rsidP="00F108AC">
      <w:pPr>
        <w:widowControl w:val="0"/>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Izvērtējot iespējamās negatīvās sekas, kas radušās apsūdzētajam šajā lietā, Senāts ņem vērā apsūdzētā </w:t>
      </w:r>
      <w:r w:rsidR="00EF2C6B">
        <w:rPr>
          <w:rFonts w:asciiTheme="majorBidi" w:hAnsiTheme="majorBidi" w:cstheme="majorBidi"/>
        </w:rPr>
        <w:t>[pers. A]</w:t>
      </w:r>
      <w:r w:rsidRPr="009B4F07">
        <w:rPr>
          <w:rFonts w:asciiTheme="majorBidi" w:hAnsiTheme="majorBidi" w:cstheme="majorBidi"/>
        </w:rPr>
        <w:t xml:space="preserve"> aizstāvja Ē. Štālberga kasācijas sūdzībā norādītos argumentus, kā arī apsūdzētā kasācijas sūdzībā norādīto. Papildus Senāts vērtē tiesvedības procesa norisi, kurā apsūdzētais pats īstenojis savu aizstāvību.</w:t>
      </w:r>
    </w:p>
    <w:p w14:paraId="7AAD4DA5" w14:textId="4B5A1762" w:rsidR="00B15644" w:rsidRPr="009B4F07" w:rsidRDefault="00B15644" w:rsidP="00F108AC">
      <w:pPr>
        <w:widowControl w:val="0"/>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[10.1]</w:t>
      </w:r>
      <w:r w:rsidR="00E96724" w:rsidRPr="009B4F07">
        <w:rPr>
          <w:rFonts w:asciiTheme="majorBidi" w:hAnsiTheme="majorBidi" w:cstheme="majorBidi"/>
        </w:rPr>
        <w:t> </w:t>
      </w:r>
      <w:r w:rsidRPr="009B4F07">
        <w:rPr>
          <w:rFonts w:asciiTheme="majorBidi" w:hAnsiTheme="majorBidi" w:cstheme="majorBidi"/>
        </w:rPr>
        <w:t xml:space="preserve">Senāts jau iepriekš ir atzinis, ka no Kriminālprocesa likuma 88. panta, kurā </w:t>
      </w:r>
      <w:r w:rsidRPr="009B4F07">
        <w:rPr>
          <w:rFonts w:asciiTheme="majorBidi" w:hAnsiTheme="majorBidi" w:cstheme="majorBidi"/>
        </w:rPr>
        <w:lastRenderedPageBreak/>
        <w:t>reglamentēta kārtība, kādā var atteikties no aizstāvja, redzams, ka šādā gadījumā persona tomēr saglabā tiesības atteikties no aizstāvja un šī atteikšanās procesa virzītājam ir saistoša</w:t>
      </w:r>
      <w:r w:rsidR="00172FF1">
        <w:rPr>
          <w:rFonts w:asciiTheme="majorBidi" w:hAnsiTheme="majorBidi" w:cstheme="majorBidi"/>
        </w:rPr>
        <w:t> </w:t>
      </w:r>
      <w:r w:rsidRPr="009B4F07">
        <w:rPr>
          <w:rFonts w:asciiTheme="majorBidi" w:hAnsiTheme="majorBidi" w:cstheme="majorBidi"/>
        </w:rPr>
        <w:t>(</w:t>
      </w:r>
      <w:r w:rsidRPr="009B4F07">
        <w:rPr>
          <w:rFonts w:asciiTheme="majorBidi" w:hAnsiTheme="majorBidi" w:cstheme="majorBidi"/>
          <w:i/>
          <w:iCs/>
        </w:rPr>
        <w:t>Senāta</w:t>
      </w:r>
      <w:r w:rsidRPr="009B4F07">
        <w:rPr>
          <w:rFonts w:asciiTheme="majorBidi" w:hAnsiTheme="majorBidi" w:cstheme="majorBidi"/>
        </w:rPr>
        <w:t xml:space="preserve"> </w:t>
      </w:r>
      <w:r w:rsidRPr="009B4F07">
        <w:rPr>
          <w:rFonts w:asciiTheme="majorBidi" w:hAnsiTheme="majorBidi" w:cstheme="majorBidi"/>
          <w:i/>
          <w:iCs/>
        </w:rPr>
        <w:t>2015. gada 6. novembra lēmums lietā Nr. </w:t>
      </w:r>
      <w:hyperlink r:id="rId21" w:history="1">
        <w:r w:rsidRPr="009B4F07">
          <w:rPr>
            <w:rStyle w:val="Hyperlink"/>
            <w:rFonts w:asciiTheme="majorBidi" w:hAnsiTheme="majorBidi" w:cstheme="majorBidi"/>
            <w:i/>
            <w:iCs/>
          </w:rPr>
          <w:t>SKK</w:t>
        </w:r>
        <w:r w:rsidR="003E3703" w:rsidRPr="009B4F07">
          <w:rPr>
            <w:rStyle w:val="Hyperlink"/>
            <w:rFonts w:asciiTheme="majorBidi" w:hAnsiTheme="majorBidi" w:cstheme="majorBidi"/>
          </w:rPr>
          <w:noBreakHyphen/>
        </w:r>
        <w:r w:rsidRPr="009B4F07">
          <w:rPr>
            <w:rStyle w:val="Hyperlink"/>
            <w:rFonts w:asciiTheme="majorBidi" w:hAnsiTheme="majorBidi" w:cstheme="majorBidi"/>
            <w:i/>
            <w:iCs/>
          </w:rPr>
          <w:t>659/2015</w:t>
        </w:r>
      </w:hyperlink>
      <w:r w:rsidRPr="009B4F07">
        <w:rPr>
          <w:rFonts w:asciiTheme="majorBidi" w:hAnsiTheme="majorBidi" w:cstheme="majorBidi"/>
          <w:i/>
          <w:iCs/>
        </w:rPr>
        <w:t>, 11331075715</w:t>
      </w:r>
      <w:r w:rsidRPr="009B4F07">
        <w:rPr>
          <w:rFonts w:asciiTheme="majorBidi" w:hAnsiTheme="majorBidi" w:cstheme="majorBidi"/>
        </w:rPr>
        <w:t>).</w:t>
      </w:r>
    </w:p>
    <w:p w14:paraId="658899F7" w14:textId="146B911C" w:rsidR="00B15644" w:rsidRPr="009B4F07" w:rsidRDefault="00B15644"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No Senāta judikatūras izriet arī tas, ka aizstāvja klātbūtne atteikšanās no aizstāvja procesā ir obligāta vien tad, ja apsūdzētais iepriekš ir izteicis lūgumu par aizstāvja piedalīšanos, proti, ja persona, kurai ir tiesības uz aizstāvību, bija izteikusi lūgumu par aizstāvja piedalīšanos, atteikšanās no aizstāvja var notikt vienīgi aizstāvja klātbūtnē</w:t>
      </w:r>
      <w:r w:rsidRPr="009B4F07">
        <w:rPr>
          <w:rFonts w:asciiTheme="majorBidi" w:hAnsiTheme="majorBidi" w:cstheme="majorBidi"/>
          <w:i/>
          <w:iCs/>
        </w:rPr>
        <w:t xml:space="preserve"> </w:t>
      </w:r>
      <w:r w:rsidRPr="009B4F07">
        <w:rPr>
          <w:rFonts w:asciiTheme="majorBidi" w:hAnsiTheme="majorBidi" w:cstheme="majorBidi"/>
        </w:rPr>
        <w:t>(</w:t>
      </w:r>
      <w:r w:rsidR="009A29A1" w:rsidRPr="009B4F07">
        <w:rPr>
          <w:rFonts w:asciiTheme="majorBidi" w:hAnsiTheme="majorBidi" w:cstheme="majorBidi"/>
        </w:rPr>
        <w:t>sk. </w:t>
      </w:r>
      <w:r w:rsidRPr="009B4F07">
        <w:rPr>
          <w:rFonts w:asciiTheme="majorBidi" w:hAnsiTheme="majorBidi" w:cstheme="majorBidi"/>
          <w:i/>
          <w:iCs/>
        </w:rPr>
        <w:t>Senāta 2020. gada 10.</w:t>
      </w:r>
      <w:r w:rsidR="00033443" w:rsidRPr="009B4F07">
        <w:rPr>
          <w:rFonts w:asciiTheme="majorBidi" w:hAnsiTheme="majorBidi" w:cstheme="majorBidi"/>
          <w:i/>
          <w:iCs/>
        </w:rPr>
        <w:t> </w:t>
      </w:r>
      <w:r w:rsidRPr="009B4F07">
        <w:rPr>
          <w:rFonts w:asciiTheme="majorBidi" w:hAnsiTheme="majorBidi" w:cstheme="majorBidi"/>
          <w:i/>
          <w:iCs/>
        </w:rPr>
        <w:t>novembra lēmum</w:t>
      </w:r>
      <w:r w:rsidR="0025678F" w:rsidRPr="009B4F07">
        <w:rPr>
          <w:rFonts w:asciiTheme="majorBidi" w:hAnsiTheme="majorBidi" w:cstheme="majorBidi"/>
          <w:i/>
          <w:iCs/>
        </w:rPr>
        <w:t>a</w:t>
      </w:r>
      <w:r w:rsidRPr="009B4F07">
        <w:rPr>
          <w:rFonts w:asciiTheme="majorBidi" w:hAnsiTheme="majorBidi" w:cstheme="majorBidi"/>
          <w:i/>
          <w:iCs/>
        </w:rPr>
        <w:t xml:space="preserve"> lietā Nr. SKK</w:t>
      </w:r>
      <w:r w:rsidR="003E3703" w:rsidRPr="009B4F07">
        <w:rPr>
          <w:rFonts w:asciiTheme="majorBidi" w:hAnsiTheme="majorBidi" w:cstheme="majorBidi"/>
        </w:rPr>
        <w:noBreakHyphen/>
      </w:r>
      <w:r w:rsidRPr="009B4F07">
        <w:rPr>
          <w:rFonts w:asciiTheme="majorBidi" w:hAnsiTheme="majorBidi" w:cstheme="majorBidi"/>
          <w:i/>
          <w:iCs/>
        </w:rPr>
        <w:t xml:space="preserve">127/2020, </w:t>
      </w:r>
      <w:hyperlink r:id="rId22" w:history="1">
        <w:r w:rsidRPr="009B4F07">
          <w:rPr>
            <w:rStyle w:val="Hyperlink"/>
            <w:rFonts w:asciiTheme="majorBidi" w:hAnsiTheme="majorBidi" w:cstheme="majorBidi"/>
            <w:i/>
            <w:iCs/>
          </w:rPr>
          <w:t>ECLI:LV:AT:2020:1110.15890007015.20.L</w:t>
        </w:r>
      </w:hyperlink>
      <w:r w:rsidRPr="009B4F07">
        <w:rPr>
          <w:rFonts w:asciiTheme="majorBidi" w:hAnsiTheme="majorBidi" w:cstheme="majorBidi"/>
          <w:i/>
          <w:iCs/>
        </w:rPr>
        <w:t>, 5.2.3. punkt</w:t>
      </w:r>
      <w:r w:rsidR="00E245A7" w:rsidRPr="009B4F07">
        <w:rPr>
          <w:rFonts w:asciiTheme="majorBidi" w:hAnsiTheme="majorBidi" w:cstheme="majorBidi"/>
          <w:i/>
          <w:iCs/>
        </w:rPr>
        <w:t>u</w:t>
      </w:r>
      <w:r w:rsidRPr="009B4F07">
        <w:rPr>
          <w:rFonts w:asciiTheme="majorBidi" w:hAnsiTheme="majorBidi" w:cstheme="majorBidi"/>
          <w:i/>
          <w:iCs/>
        </w:rPr>
        <w:t>)</w:t>
      </w:r>
      <w:r w:rsidR="001B153A" w:rsidRPr="009B4F07">
        <w:rPr>
          <w:rFonts w:asciiTheme="majorBidi" w:hAnsiTheme="majorBidi" w:cstheme="majorBidi"/>
          <w:i/>
          <w:iCs/>
        </w:rPr>
        <w:t>.</w:t>
      </w:r>
    </w:p>
    <w:p w14:paraId="71212EE5" w14:textId="475D48C4" w:rsidR="00503B4B" w:rsidRPr="009B4F07" w:rsidRDefault="00503B4B"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3717AE" w:rsidRPr="009B4F07">
        <w:rPr>
          <w:rFonts w:asciiTheme="majorBidi" w:hAnsiTheme="majorBidi" w:cstheme="majorBidi"/>
        </w:rPr>
        <w:t>10.</w:t>
      </w:r>
      <w:r w:rsidR="00B15644" w:rsidRPr="009B4F07">
        <w:rPr>
          <w:rFonts w:asciiTheme="majorBidi" w:hAnsiTheme="majorBidi" w:cstheme="majorBidi"/>
        </w:rPr>
        <w:t>2</w:t>
      </w:r>
      <w:r w:rsidRPr="009B4F07">
        <w:rPr>
          <w:rFonts w:asciiTheme="majorBidi" w:hAnsiTheme="majorBidi" w:cstheme="majorBidi"/>
        </w:rPr>
        <w:t xml:space="preserve">] Izskatāmajā krimināllietā Senāts ņem vērā, ka apsūdzētais </w:t>
      </w:r>
      <w:r w:rsidR="00AB3CD4" w:rsidRPr="009B4F07">
        <w:rPr>
          <w:rFonts w:asciiTheme="majorBidi" w:hAnsiTheme="majorBidi" w:cstheme="majorBidi"/>
        </w:rPr>
        <w:t xml:space="preserve">ir </w:t>
      </w:r>
      <w:r w:rsidRPr="009B4F07">
        <w:rPr>
          <w:rFonts w:asciiTheme="majorBidi" w:hAnsiTheme="majorBidi" w:cstheme="majorBidi"/>
        </w:rPr>
        <w:t>atteicies no paša izvēlēta aizstāvja. Būtībā šī atteikšanās notikusi apsūdzētā un viņa izvēlētā aizstāvja attiecību ietvaros</w:t>
      </w:r>
      <w:r w:rsidR="00C501A2" w:rsidRPr="009B4F07">
        <w:rPr>
          <w:rFonts w:asciiTheme="majorBidi" w:hAnsiTheme="majorBidi" w:cstheme="majorBidi"/>
        </w:rPr>
        <w:t>. Valstij ir jāiejaucas tikai tajos gadījumos, ja aizstāvības trūkumi ir acīmredzami vai ja uz to tiek vērsta uzmanība citā veidā</w:t>
      </w:r>
      <w:r w:rsidRPr="009B4F07">
        <w:rPr>
          <w:rFonts w:asciiTheme="majorBidi" w:hAnsiTheme="majorBidi" w:cstheme="majorBidi"/>
        </w:rPr>
        <w:t xml:space="preserve"> (sk.</w:t>
      </w:r>
      <w:r w:rsidR="009A29A1" w:rsidRPr="009B4F07">
        <w:rPr>
          <w:rFonts w:asciiTheme="majorBidi" w:hAnsiTheme="majorBidi" w:cstheme="majorBidi"/>
        </w:rPr>
        <w:t>, piemēram</w:t>
      </w:r>
      <w:r w:rsidRPr="009B4F07">
        <w:rPr>
          <w:rFonts w:asciiTheme="majorBidi" w:hAnsiTheme="majorBidi" w:cstheme="majorBidi"/>
        </w:rPr>
        <w:t xml:space="preserve">, </w:t>
      </w:r>
      <w:r w:rsidRPr="009B4F07">
        <w:rPr>
          <w:rFonts w:asciiTheme="majorBidi" w:hAnsiTheme="majorBidi" w:cstheme="majorBidi"/>
          <w:i/>
          <w:iCs/>
        </w:rPr>
        <w:t>Eiropas Cilvēktiesību tiesas 1989. gada 19. decembra sprieduma lietā „</w:t>
      </w:r>
      <w:proofErr w:type="spellStart"/>
      <w:r w:rsidRPr="009B4F07">
        <w:rPr>
          <w:rFonts w:asciiTheme="majorBidi" w:hAnsiTheme="majorBidi" w:cstheme="majorBidi"/>
          <w:i/>
          <w:iCs/>
        </w:rPr>
        <w:t>Kamasinski</w:t>
      </w:r>
      <w:proofErr w:type="spellEnd"/>
      <w:r w:rsidRPr="009B4F07">
        <w:rPr>
          <w:rFonts w:asciiTheme="majorBidi" w:hAnsiTheme="majorBidi" w:cstheme="majorBidi"/>
          <w:i/>
          <w:iCs/>
        </w:rPr>
        <w:t xml:space="preserve"> v. </w:t>
      </w:r>
      <w:proofErr w:type="spellStart"/>
      <w:r w:rsidRPr="009B4F07">
        <w:rPr>
          <w:rFonts w:asciiTheme="majorBidi" w:hAnsiTheme="majorBidi" w:cstheme="majorBidi"/>
          <w:i/>
          <w:iCs/>
        </w:rPr>
        <w:t>Austria</w:t>
      </w:r>
      <w:proofErr w:type="spellEnd"/>
      <w:r w:rsidRPr="009B4F07">
        <w:rPr>
          <w:rFonts w:asciiTheme="majorBidi" w:hAnsiTheme="majorBidi" w:cstheme="majorBidi"/>
          <w:i/>
          <w:iCs/>
        </w:rPr>
        <w:t>”, iesnieguma Nr. </w:t>
      </w:r>
      <w:hyperlink r:id="rId23" w:history="1">
        <w:r w:rsidRPr="009B4F07">
          <w:rPr>
            <w:rStyle w:val="Hyperlink"/>
            <w:rFonts w:asciiTheme="majorBidi" w:hAnsiTheme="majorBidi" w:cstheme="majorBidi"/>
            <w:i/>
            <w:iCs/>
          </w:rPr>
          <w:t>9783/82</w:t>
        </w:r>
      </w:hyperlink>
      <w:r w:rsidRPr="009B4F07">
        <w:rPr>
          <w:rFonts w:asciiTheme="majorBidi" w:hAnsiTheme="majorBidi" w:cstheme="majorBidi"/>
          <w:i/>
          <w:iCs/>
        </w:rPr>
        <w:t>, 65. punkt</w:t>
      </w:r>
      <w:r w:rsidR="0050381F" w:rsidRPr="009B4F07">
        <w:rPr>
          <w:rFonts w:asciiTheme="majorBidi" w:hAnsiTheme="majorBidi" w:cstheme="majorBidi"/>
          <w:i/>
          <w:iCs/>
        </w:rPr>
        <w:t>u</w:t>
      </w:r>
      <w:r w:rsidR="00C501A2" w:rsidRPr="009B4F07">
        <w:rPr>
          <w:rFonts w:asciiTheme="majorBidi" w:hAnsiTheme="majorBidi" w:cstheme="majorBidi"/>
        </w:rPr>
        <w:t>).</w:t>
      </w:r>
    </w:p>
    <w:p w14:paraId="56C6134A" w14:textId="0B0C401B" w:rsidR="00503B4B" w:rsidRPr="009B4F07" w:rsidRDefault="00503B4B"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3717AE" w:rsidRPr="009B4F07">
        <w:rPr>
          <w:rFonts w:asciiTheme="majorBidi" w:hAnsiTheme="majorBidi" w:cstheme="majorBidi"/>
        </w:rPr>
        <w:t>10.3</w:t>
      </w:r>
      <w:r w:rsidRPr="009B4F07">
        <w:rPr>
          <w:rFonts w:asciiTheme="majorBidi" w:hAnsiTheme="majorBidi" w:cstheme="majorBidi"/>
        </w:rPr>
        <w:t>]</w:t>
      </w:r>
      <w:r w:rsidR="001E41B3" w:rsidRPr="009B4F07">
        <w:rPr>
          <w:rFonts w:asciiTheme="majorBidi" w:hAnsiTheme="majorBidi" w:cstheme="majorBidi"/>
        </w:rPr>
        <w:t> </w:t>
      </w:r>
      <w:r w:rsidRPr="009B4F07">
        <w:rPr>
          <w:rFonts w:asciiTheme="majorBidi" w:hAnsiTheme="majorBidi" w:cstheme="majorBidi"/>
        </w:rPr>
        <w:t>Apsūdzētā aizstāvis Ē. Štālbergs pirms 2024.</w:t>
      </w:r>
      <w:r w:rsidR="00DA66BB" w:rsidRPr="009B4F07">
        <w:rPr>
          <w:rFonts w:asciiTheme="majorBidi" w:hAnsiTheme="majorBidi" w:cstheme="majorBidi"/>
        </w:rPr>
        <w:t> </w:t>
      </w:r>
      <w:r w:rsidRPr="009B4F07">
        <w:rPr>
          <w:rFonts w:asciiTheme="majorBidi" w:hAnsiTheme="majorBidi" w:cstheme="majorBidi"/>
        </w:rPr>
        <w:t xml:space="preserve">gada 23. oktobra apelācijas instances tiesas sēdes nosūtījis uz tiesu paziņojumu, informējot, ka uz tiesas sēdi neieradīsies, jo nav noslēgta vienošanās ar apsūdzēto </w:t>
      </w:r>
      <w:r w:rsidR="00EF2C6B">
        <w:rPr>
          <w:rFonts w:asciiTheme="majorBidi" w:hAnsiTheme="majorBidi" w:cstheme="majorBidi"/>
        </w:rPr>
        <w:t>[pers. A]</w:t>
      </w:r>
      <w:r w:rsidRPr="009B4F07">
        <w:rPr>
          <w:rFonts w:asciiTheme="majorBidi" w:hAnsiTheme="majorBidi" w:cstheme="majorBidi"/>
        </w:rPr>
        <w:t xml:space="preserve"> par viņa turpmāko aizstāvību krimināllietā Nr. 15890010917. Paziņojumā norādīts, ka apsūdzētais advokātu ir informējis par to, ka advokāts viņam šajā procesā vairs nav nepieciešams (</w:t>
      </w:r>
      <w:r w:rsidRPr="009B4F07">
        <w:rPr>
          <w:rFonts w:asciiTheme="majorBidi" w:hAnsiTheme="majorBidi" w:cstheme="majorBidi"/>
          <w:i/>
          <w:iCs/>
        </w:rPr>
        <w:t>lietas 3. sējuma 4. lapa</w:t>
      </w:r>
      <w:r w:rsidRPr="009B4F07">
        <w:rPr>
          <w:rFonts w:asciiTheme="majorBidi" w:hAnsiTheme="majorBidi" w:cstheme="majorBidi"/>
        </w:rPr>
        <w:t>).</w:t>
      </w:r>
    </w:p>
    <w:p w14:paraId="329DF8F3" w14:textId="4D9612E5" w:rsidR="00503B4B" w:rsidRPr="009B4F07" w:rsidRDefault="00503B4B" w:rsidP="00F108AC">
      <w:pPr>
        <w:spacing w:line="276" w:lineRule="auto"/>
        <w:ind w:firstLine="720"/>
        <w:jc w:val="lowKashida"/>
        <w:rPr>
          <w:rFonts w:asciiTheme="majorBidi" w:hAnsiTheme="majorBidi" w:cstheme="majorBidi"/>
          <w:highlight w:val="yellow"/>
        </w:rPr>
      </w:pPr>
      <w:r w:rsidRPr="009B4F07">
        <w:rPr>
          <w:rFonts w:asciiTheme="majorBidi" w:hAnsiTheme="majorBidi" w:cstheme="majorBidi"/>
        </w:rPr>
        <w:t>[</w:t>
      </w:r>
      <w:r w:rsidR="003717AE" w:rsidRPr="009B4F07">
        <w:rPr>
          <w:rFonts w:asciiTheme="majorBidi" w:hAnsiTheme="majorBidi" w:cstheme="majorBidi"/>
        </w:rPr>
        <w:t>10.4</w:t>
      </w:r>
      <w:r w:rsidRPr="009B4F07">
        <w:rPr>
          <w:rFonts w:asciiTheme="majorBidi" w:hAnsiTheme="majorBidi" w:cstheme="majorBidi"/>
        </w:rPr>
        <w:t>]</w:t>
      </w:r>
      <w:r w:rsidR="003717AE" w:rsidRPr="009B4F07">
        <w:rPr>
          <w:rFonts w:asciiTheme="majorBidi" w:hAnsiTheme="majorBidi" w:cstheme="majorBidi"/>
        </w:rPr>
        <w:t> </w:t>
      </w:r>
      <w:r w:rsidRPr="009B4F07">
        <w:rPr>
          <w:rFonts w:asciiTheme="majorBidi" w:hAnsiTheme="majorBidi" w:cstheme="majorBidi"/>
        </w:rPr>
        <w:t xml:space="preserve">Iepazīstoties ar lietas materiāliem, Senāts konstatē, ka apsūdzētajam visā kriminālprocesa laikā līdz minētā paziņojuma </w:t>
      </w:r>
      <w:r w:rsidR="00AB3CD4" w:rsidRPr="009B4F07">
        <w:rPr>
          <w:rFonts w:asciiTheme="majorBidi" w:hAnsiTheme="majorBidi" w:cstheme="majorBidi"/>
        </w:rPr>
        <w:t xml:space="preserve">sagatavošanai </w:t>
      </w:r>
      <w:r w:rsidRPr="009B4F07">
        <w:rPr>
          <w:rFonts w:asciiTheme="majorBidi" w:hAnsiTheme="majorBidi" w:cstheme="majorBidi"/>
        </w:rPr>
        <w:t>bija aizstāvis. Apelācijas instances tiesā lieta tika skatīta atkārtoti, līdz ar to secināms, ka apsūdzētajam bija zināma kārtība, kādā notiek krimināllietas iztiesāšana, tajā skaitā izprotams arī tiesību uz advokāta palīdzību saturs.</w:t>
      </w:r>
    </w:p>
    <w:p w14:paraId="79DB0A35" w14:textId="115FAB5E" w:rsidR="001F4EF4" w:rsidRPr="009B4F07" w:rsidRDefault="00503B4B" w:rsidP="00F108AC">
      <w:pPr>
        <w:spacing w:line="276" w:lineRule="auto"/>
        <w:ind w:firstLine="720"/>
        <w:jc w:val="lowKashida"/>
        <w:rPr>
          <w:rFonts w:asciiTheme="majorBidi" w:hAnsiTheme="majorBidi" w:cstheme="majorBidi"/>
        </w:rPr>
      </w:pPr>
      <w:r w:rsidRPr="009B4F07">
        <w:rPr>
          <w:rFonts w:asciiTheme="majorBidi" w:hAnsiTheme="majorBidi" w:cstheme="majorBidi"/>
        </w:rPr>
        <w:t>Pirmo reizi apelācijas instances tiesā lieta skatīta rakstveida procesā saskaņā ar Covid</w:t>
      </w:r>
      <w:r w:rsidR="00611B25" w:rsidRPr="009B4F07">
        <w:rPr>
          <w:rFonts w:asciiTheme="majorBidi" w:hAnsiTheme="majorBidi" w:cstheme="majorBidi"/>
        </w:rPr>
        <w:noBreakHyphen/>
      </w:r>
      <w:r w:rsidRPr="009B4F07">
        <w:rPr>
          <w:rFonts w:asciiTheme="majorBidi" w:hAnsiTheme="majorBidi" w:cstheme="majorBidi"/>
        </w:rPr>
        <w:t>19 infekcijas izplatība pārvaldības likuma 12.</w:t>
      </w:r>
      <w:r w:rsidR="00DA66BB" w:rsidRPr="009B4F07">
        <w:rPr>
          <w:rFonts w:asciiTheme="majorBidi" w:hAnsiTheme="majorBidi" w:cstheme="majorBidi"/>
        </w:rPr>
        <w:t> </w:t>
      </w:r>
      <w:r w:rsidRPr="009B4F07">
        <w:rPr>
          <w:rFonts w:asciiTheme="majorBidi" w:hAnsiTheme="majorBidi" w:cstheme="majorBidi"/>
        </w:rPr>
        <w:t>panta pirmo daļu. Turpmāk tiesas sēdēs apelācijas instances tiesā 2022. gada 19. oktobrī, 2023. gada 18. septembrī piedalījās apsūdzētā aizstāvis Ē. Štālbergs. No 2023.</w:t>
      </w:r>
      <w:r w:rsidR="00DA66BB" w:rsidRPr="009B4F07">
        <w:rPr>
          <w:rFonts w:asciiTheme="majorBidi" w:hAnsiTheme="majorBidi" w:cstheme="majorBidi"/>
        </w:rPr>
        <w:t> </w:t>
      </w:r>
      <w:r w:rsidRPr="009B4F07">
        <w:rPr>
          <w:rFonts w:asciiTheme="majorBidi" w:hAnsiTheme="majorBidi" w:cstheme="majorBidi"/>
        </w:rPr>
        <w:t>gada 28. jūnija tiesas sēdes protokola izriet, ka aizstāvis Ē.</w:t>
      </w:r>
      <w:r w:rsidR="00993736" w:rsidRPr="009B4F07">
        <w:rPr>
          <w:rFonts w:asciiTheme="majorBidi" w:hAnsiTheme="majorBidi" w:cstheme="majorBidi"/>
        </w:rPr>
        <w:t> </w:t>
      </w:r>
      <w:r w:rsidRPr="009B4F07">
        <w:rPr>
          <w:rFonts w:asciiTheme="majorBidi" w:hAnsiTheme="majorBidi" w:cstheme="majorBidi"/>
        </w:rPr>
        <w:t>Štālbergs uz tiesas sēdi nebija ieradies, un lietas izskatīšana, ņemot vērā apsūdzēta aizstāvja Ē.</w:t>
      </w:r>
      <w:r w:rsidR="00993736" w:rsidRPr="009B4F07">
        <w:rPr>
          <w:rFonts w:asciiTheme="majorBidi" w:hAnsiTheme="majorBidi" w:cstheme="majorBidi"/>
        </w:rPr>
        <w:t> </w:t>
      </w:r>
      <w:r w:rsidRPr="009B4F07">
        <w:rPr>
          <w:rFonts w:asciiTheme="majorBidi" w:hAnsiTheme="majorBidi" w:cstheme="majorBidi"/>
        </w:rPr>
        <w:t>Štālberga neierašanos uz tiesas sēdi</w:t>
      </w:r>
      <w:r w:rsidR="005D0861" w:rsidRPr="009B4F07">
        <w:rPr>
          <w:rFonts w:asciiTheme="majorBidi" w:hAnsiTheme="majorBidi" w:cstheme="majorBidi"/>
        </w:rPr>
        <w:t>,</w:t>
      </w:r>
      <w:r w:rsidRPr="009B4F07">
        <w:rPr>
          <w:rFonts w:asciiTheme="majorBidi" w:hAnsiTheme="majorBidi" w:cstheme="majorBidi"/>
        </w:rPr>
        <w:t xml:space="preserve"> tika atlikta (</w:t>
      </w:r>
      <w:r w:rsidRPr="009B4F07">
        <w:rPr>
          <w:rFonts w:asciiTheme="majorBidi" w:hAnsiTheme="majorBidi" w:cstheme="majorBidi"/>
          <w:i/>
          <w:iCs/>
        </w:rPr>
        <w:t>lietas 2. sējuma 187. lapa</w:t>
      </w:r>
      <w:r w:rsidRPr="009B4F07">
        <w:rPr>
          <w:rFonts w:asciiTheme="majorBidi" w:hAnsiTheme="majorBidi" w:cstheme="majorBidi"/>
        </w:rPr>
        <w:t>)</w:t>
      </w:r>
      <w:r w:rsidRPr="009B4F07">
        <w:rPr>
          <w:rFonts w:asciiTheme="majorBidi" w:hAnsiTheme="majorBidi" w:cstheme="majorBidi"/>
          <w:i/>
          <w:iCs/>
        </w:rPr>
        <w:t>.</w:t>
      </w:r>
    </w:p>
    <w:p w14:paraId="5CE02B89" w14:textId="7FBFE039" w:rsidR="00503B4B" w:rsidRPr="009B4F07" w:rsidRDefault="00503B4B" w:rsidP="00F108AC">
      <w:pPr>
        <w:spacing w:line="276" w:lineRule="auto"/>
        <w:ind w:firstLine="720"/>
        <w:jc w:val="lowKashida"/>
        <w:rPr>
          <w:rFonts w:asciiTheme="majorBidi" w:hAnsiTheme="majorBidi" w:cstheme="majorBidi"/>
        </w:rPr>
      </w:pPr>
      <w:r w:rsidRPr="009B4F07">
        <w:rPr>
          <w:rFonts w:asciiTheme="majorBidi" w:hAnsiTheme="majorBidi" w:cstheme="majorBidi"/>
        </w:rPr>
        <w:t xml:space="preserve">Minētais liecina par to, ka apsūdzētais </w:t>
      </w:r>
      <w:r w:rsidR="00B15644" w:rsidRPr="009B4F07">
        <w:rPr>
          <w:rFonts w:asciiTheme="majorBidi" w:hAnsiTheme="majorBidi" w:cstheme="majorBidi"/>
        </w:rPr>
        <w:t xml:space="preserve">jau pirms tiesas sēdes, kurā tika fiksēta viņa atteikšanās no aizstāvja, </w:t>
      </w:r>
      <w:r w:rsidRPr="009B4F07">
        <w:rPr>
          <w:rFonts w:asciiTheme="majorBidi" w:hAnsiTheme="majorBidi" w:cstheme="majorBidi"/>
        </w:rPr>
        <w:t>bija informēts par tiesību uz aizstāvi saturu, kā arī informēts par sekām, ko izraisa atteikšanās no šīm tiesībām, līdz ar to viņš varēja sniegt informētu un apzinātu atteikšanos no tiesībām uz aizstāvi. Apsūdzētajam viņa pieredzes dēļ bija zināms arī, ka lietas izskatīšanu sakarā ar aizstāvja neier</w:t>
      </w:r>
      <w:r w:rsidR="00ED699D" w:rsidRPr="009B4F07">
        <w:rPr>
          <w:rFonts w:asciiTheme="majorBidi" w:hAnsiTheme="majorBidi" w:cstheme="majorBidi"/>
        </w:rPr>
        <w:t>a</w:t>
      </w:r>
      <w:r w:rsidRPr="009B4F07">
        <w:rPr>
          <w:rFonts w:asciiTheme="majorBidi" w:hAnsiTheme="majorBidi" w:cstheme="majorBidi"/>
        </w:rPr>
        <w:t>šanos ir iespējams atlikt.</w:t>
      </w:r>
    </w:p>
    <w:p w14:paraId="6CB2E399" w14:textId="5FD7A9E0" w:rsidR="00503B4B" w:rsidRPr="009B4F07" w:rsidRDefault="00503B4B" w:rsidP="004653EA">
      <w:pPr>
        <w:widowControl w:val="0"/>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Apelācijas instances tiesas</w:t>
      </w:r>
      <w:r w:rsidR="006236CF" w:rsidRPr="009B4F07">
        <w:rPr>
          <w:rFonts w:asciiTheme="majorBidi" w:hAnsiTheme="majorBidi" w:cstheme="majorBidi"/>
        </w:rPr>
        <w:t xml:space="preserve"> 2024. gada 23. oktobra</w:t>
      </w:r>
      <w:r w:rsidRPr="009B4F07">
        <w:rPr>
          <w:rFonts w:asciiTheme="majorBidi" w:hAnsiTheme="majorBidi" w:cstheme="majorBidi"/>
        </w:rPr>
        <w:t xml:space="preserve"> sēdes protokolam ir pievienots pielikums – paraksts par atteikšanos no aizstāvja (</w:t>
      </w:r>
      <w:r w:rsidRPr="009B4F07">
        <w:rPr>
          <w:rFonts w:asciiTheme="majorBidi" w:hAnsiTheme="majorBidi" w:cstheme="majorBidi"/>
          <w:i/>
          <w:iCs/>
        </w:rPr>
        <w:t>lietas 3. sējuma 5. lapa</w:t>
      </w:r>
      <w:r w:rsidRPr="009B4F07">
        <w:rPr>
          <w:rFonts w:asciiTheme="majorBidi" w:hAnsiTheme="majorBidi" w:cstheme="majorBidi"/>
        </w:rPr>
        <w:t>)</w:t>
      </w:r>
      <w:r w:rsidRPr="009B4F07">
        <w:rPr>
          <w:rFonts w:asciiTheme="majorBidi" w:hAnsiTheme="majorBidi" w:cstheme="majorBidi"/>
          <w:i/>
          <w:iCs/>
        </w:rPr>
        <w:t>.</w:t>
      </w:r>
      <w:r w:rsidR="00FE52EF" w:rsidRPr="009B4F07">
        <w:rPr>
          <w:rFonts w:asciiTheme="majorBidi" w:hAnsiTheme="majorBidi" w:cstheme="majorBidi"/>
          <w:i/>
          <w:iCs/>
        </w:rPr>
        <w:t xml:space="preserve"> </w:t>
      </w:r>
      <w:r w:rsidRPr="009B4F07">
        <w:rPr>
          <w:rFonts w:asciiTheme="majorBidi" w:hAnsiTheme="majorBidi" w:cstheme="majorBidi"/>
        </w:rPr>
        <w:t xml:space="preserve">Tiesas sēdē apsūdzētais norādījis, ka „tā vienojies ar advokātu, jo nelietderīgi braukt”, </w:t>
      </w:r>
      <w:r w:rsidR="008C4EEC" w:rsidRPr="009B4F07">
        <w:rPr>
          <w:rFonts w:asciiTheme="majorBidi" w:hAnsiTheme="majorBidi" w:cstheme="majorBidi"/>
        </w:rPr>
        <w:t xml:space="preserve">un </w:t>
      </w:r>
      <w:r w:rsidRPr="009B4F07">
        <w:rPr>
          <w:rFonts w:asciiTheme="majorBidi" w:hAnsiTheme="majorBidi" w:cstheme="majorBidi"/>
        </w:rPr>
        <w:t xml:space="preserve">uz tiesas jautājumiem, vai varēs sevi aizstāvēt pats, atbildējis apstiprinoši </w:t>
      </w:r>
      <w:r w:rsidRPr="009B4F07">
        <w:rPr>
          <w:rFonts w:asciiTheme="majorBidi" w:hAnsiTheme="majorBidi" w:cstheme="majorBidi"/>
          <w:i/>
          <w:iCs/>
        </w:rPr>
        <w:t xml:space="preserve">(apelācijas instances tiesas 2024. gada 23. oktobra sēdes </w:t>
      </w:r>
      <w:r w:rsidR="004B2234" w:rsidRPr="009B4F07">
        <w:rPr>
          <w:rFonts w:asciiTheme="majorBidi" w:hAnsiTheme="majorBidi" w:cstheme="majorBidi"/>
          <w:i/>
          <w:iCs/>
        </w:rPr>
        <w:t>skaņu ieraksts</w:t>
      </w:r>
      <w:r w:rsidR="00DF69E2" w:rsidRPr="009B4F07">
        <w:rPr>
          <w:rFonts w:asciiTheme="majorBidi" w:hAnsiTheme="majorBidi" w:cstheme="majorBidi"/>
          <w:i/>
          <w:iCs/>
        </w:rPr>
        <w:t>,</w:t>
      </w:r>
      <w:r w:rsidRPr="009B4F07">
        <w:rPr>
          <w:rFonts w:asciiTheme="majorBidi" w:hAnsiTheme="majorBidi" w:cstheme="majorBidi"/>
          <w:i/>
          <w:iCs/>
        </w:rPr>
        <w:t xml:space="preserve"> 00:01:55</w:t>
      </w:r>
      <w:r w:rsidR="00DF69E2" w:rsidRPr="009B4F07">
        <w:rPr>
          <w:rFonts w:asciiTheme="majorBidi" w:hAnsiTheme="majorBidi" w:cstheme="majorBidi"/>
          <w:i/>
          <w:iCs/>
        </w:rPr>
        <w:t>–</w:t>
      </w:r>
      <w:r w:rsidRPr="009B4F07">
        <w:rPr>
          <w:rFonts w:asciiTheme="majorBidi" w:hAnsiTheme="majorBidi" w:cstheme="majorBidi"/>
          <w:i/>
          <w:iCs/>
        </w:rPr>
        <w:t>00:03:00</w:t>
      </w:r>
      <w:r w:rsidRPr="009B4F07">
        <w:rPr>
          <w:rFonts w:asciiTheme="majorBidi" w:hAnsiTheme="majorBidi" w:cstheme="majorBidi"/>
        </w:rPr>
        <w:t xml:space="preserve">). Parakstoties par </w:t>
      </w:r>
      <w:r w:rsidRPr="009B4F07">
        <w:rPr>
          <w:rFonts w:asciiTheme="majorBidi" w:hAnsiTheme="majorBidi" w:cstheme="majorBidi"/>
        </w:rPr>
        <w:lastRenderedPageBreak/>
        <w:t xml:space="preserve">atteikšanos no aizstāvja, apsūdzētais </w:t>
      </w:r>
      <w:r w:rsidR="00EF2C6B">
        <w:rPr>
          <w:rFonts w:asciiTheme="majorBidi" w:hAnsiTheme="majorBidi" w:cstheme="majorBidi"/>
        </w:rPr>
        <w:t>[pers. A]</w:t>
      </w:r>
      <w:r w:rsidRPr="009B4F07">
        <w:rPr>
          <w:rFonts w:asciiTheme="majorBidi" w:hAnsiTheme="majorBidi" w:cstheme="majorBidi"/>
        </w:rPr>
        <w:t xml:space="preserve"> ir apliecinājis, ka atteikšanās no aizstāvja ir labprātīga, notikusi pēc viņa paša iniciatīvas un nav saistīta ar materiālām problēmām.</w:t>
      </w:r>
    </w:p>
    <w:p w14:paraId="25D25AE5" w14:textId="6BDC2B3D" w:rsidR="00503B4B" w:rsidRPr="009B4F07" w:rsidRDefault="00B15644"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[10.5] </w:t>
      </w:r>
      <w:r w:rsidR="00503B4B" w:rsidRPr="009B4F07">
        <w:rPr>
          <w:rFonts w:asciiTheme="majorBidi" w:hAnsiTheme="majorBidi" w:cstheme="majorBidi"/>
        </w:rPr>
        <w:t>Aizstāvis Ē.</w:t>
      </w:r>
      <w:r w:rsidR="00D50DB0" w:rsidRPr="009B4F07">
        <w:rPr>
          <w:rFonts w:asciiTheme="majorBidi" w:hAnsiTheme="majorBidi" w:cstheme="majorBidi"/>
        </w:rPr>
        <w:t> </w:t>
      </w:r>
      <w:r w:rsidR="00503B4B" w:rsidRPr="009B4F07">
        <w:rPr>
          <w:rFonts w:asciiTheme="majorBidi" w:hAnsiTheme="majorBidi" w:cstheme="majorBidi"/>
        </w:rPr>
        <w:t>Štālbergs kasācijas sūdzībā norādījis, ka apsūdzētais bija izteicis lūgumus par aizstāvja piedalīšanos tiesas sēdē, taču Senāts ziņas par šādiem lūgumiem lietas materiālos nekonstatē. Arī aizstāvis nav precizējis, kad un kādā veidā minētie lūgumi izteikti. Senāts nekonstatē, ka tiesa būtu ietekmējusi apsūdzētā lēmumu. No minētā secināms, ka zvērināta advokāta kasācijas sūdzībā ietvertie apgalvojumi neatbilst lietas materiāliem.</w:t>
      </w:r>
    </w:p>
    <w:p w14:paraId="1F1959FF" w14:textId="6F459021" w:rsidR="00503B4B" w:rsidRPr="009B4F07" w:rsidRDefault="00F402D3"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Turklāt </w:t>
      </w:r>
      <w:r w:rsidR="00503B4B" w:rsidRPr="009B4F07">
        <w:rPr>
          <w:rFonts w:asciiTheme="majorBidi" w:hAnsiTheme="majorBidi" w:cstheme="majorBidi"/>
        </w:rPr>
        <w:t xml:space="preserve">Senāts </w:t>
      </w:r>
      <w:r w:rsidRPr="009B4F07">
        <w:rPr>
          <w:rFonts w:asciiTheme="majorBidi" w:hAnsiTheme="majorBidi" w:cstheme="majorBidi"/>
        </w:rPr>
        <w:t xml:space="preserve">konstatē, ka būtībā </w:t>
      </w:r>
      <w:r w:rsidR="00503B4B" w:rsidRPr="009B4F07">
        <w:rPr>
          <w:rFonts w:asciiTheme="majorBidi" w:hAnsiTheme="majorBidi" w:cstheme="majorBidi"/>
        </w:rPr>
        <w:t>apsūdzētā lēmums par atteikšanos no advokāta netika pieņemts vai izteikts tiesas sēdē, bet tas notika</w:t>
      </w:r>
      <w:r w:rsidRPr="009B4F07">
        <w:rPr>
          <w:rFonts w:asciiTheme="majorBidi" w:hAnsiTheme="majorBidi" w:cstheme="majorBidi"/>
        </w:rPr>
        <w:t xml:space="preserve"> ārpus tiesas sēdes, apsūdzētajam </w:t>
      </w:r>
      <w:r w:rsidR="00503B4B" w:rsidRPr="009B4F07">
        <w:rPr>
          <w:rFonts w:asciiTheme="majorBidi" w:hAnsiTheme="majorBidi" w:cstheme="majorBidi"/>
        </w:rPr>
        <w:t>savstarpēji vienojoties</w:t>
      </w:r>
      <w:r w:rsidRPr="009B4F07">
        <w:rPr>
          <w:rFonts w:asciiTheme="majorBidi" w:hAnsiTheme="majorBidi" w:cstheme="majorBidi"/>
        </w:rPr>
        <w:t xml:space="preserve"> ar advokātu.</w:t>
      </w:r>
      <w:r w:rsidR="00503B4B" w:rsidRPr="009B4F07">
        <w:rPr>
          <w:rFonts w:asciiTheme="majorBidi" w:hAnsiTheme="majorBidi" w:cstheme="majorBidi"/>
        </w:rPr>
        <w:t xml:space="preserve"> Tiesas sēdē apsūdzētais apstiprināja informāciju, kas sakarā ar advokāta nosūtīto paziņojumu jau bija tiesas rīcībā, ka apsūdzētais </w:t>
      </w:r>
      <w:r w:rsidR="00EF2C6B">
        <w:rPr>
          <w:rFonts w:asciiTheme="majorBidi" w:hAnsiTheme="majorBidi" w:cstheme="majorBidi"/>
        </w:rPr>
        <w:t>[pers. A]</w:t>
      </w:r>
      <w:r w:rsidR="00503B4B" w:rsidRPr="009B4F07">
        <w:rPr>
          <w:rFonts w:asciiTheme="majorBidi" w:hAnsiTheme="majorBidi" w:cstheme="majorBidi"/>
        </w:rPr>
        <w:t xml:space="preserve"> turpmāk kriminālprocesā savu aizstāvību īstenos pats.</w:t>
      </w:r>
    </w:p>
    <w:p w14:paraId="427B28C1" w14:textId="4ED01033" w:rsidR="004203F4" w:rsidRPr="009B4F07" w:rsidRDefault="00FB6280"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[10.6]</w:t>
      </w:r>
      <w:r w:rsidR="00331377" w:rsidRPr="009B4F07">
        <w:rPr>
          <w:rFonts w:asciiTheme="majorBidi" w:hAnsiTheme="majorBidi" w:cstheme="majorBidi"/>
        </w:rPr>
        <w:t> Izvērtējot iepriekš minēto, S</w:t>
      </w:r>
      <w:r w:rsidRPr="009B4F07">
        <w:rPr>
          <w:rFonts w:asciiTheme="majorBidi" w:hAnsiTheme="majorBidi" w:cstheme="majorBidi"/>
        </w:rPr>
        <w:t>enāts konstatē, ka</w:t>
      </w:r>
      <w:r w:rsidR="004203F4" w:rsidRPr="009B4F07">
        <w:rPr>
          <w:rFonts w:asciiTheme="majorBidi" w:hAnsiTheme="majorBidi" w:cstheme="majorBidi"/>
        </w:rPr>
        <w:t xml:space="preserve"> lietā ir ievērotas Kriminālprocesa likuma 88. panta otrās daļas pirmā un otrā teikuma prasības, kurās, kā noskaidrots iepriekš š</w:t>
      </w:r>
      <w:r w:rsidR="00C55B5A" w:rsidRPr="009B4F07">
        <w:rPr>
          <w:rFonts w:asciiTheme="majorBidi" w:hAnsiTheme="majorBidi" w:cstheme="majorBidi"/>
        </w:rPr>
        <w:t>ī</w:t>
      </w:r>
      <w:r w:rsidR="004203F4" w:rsidRPr="009B4F07">
        <w:rPr>
          <w:rFonts w:asciiTheme="majorBidi" w:hAnsiTheme="majorBidi" w:cstheme="majorBidi"/>
        </w:rPr>
        <w:t xml:space="preserve"> lēmuma 8.</w:t>
      </w:r>
      <w:r w:rsidR="009C7FF7" w:rsidRPr="009B4F07">
        <w:rPr>
          <w:rFonts w:asciiTheme="majorBidi" w:hAnsiTheme="majorBidi" w:cstheme="majorBidi"/>
        </w:rPr>
        <w:t xml:space="preserve"> </w:t>
      </w:r>
      <w:r w:rsidR="00240F88" w:rsidRPr="009B4F07">
        <w:rPr>
          <w:rFonts w:asciiTheme="majorBidi" w:hAnsiTheme="majorBidi" w:cstheme="majorBidi"/>
        </w:rPr>
        <w:t>un 9.</w:t>
      </w:r>
      <w:r w:rsidR="009C7FF7" w:rsidRPr="009B4F07">
        <w:rPr>
          <w:rFonts w:asciiTheme="majorBidi" w:hAnsiTheme="majorBidi" w:cstheme="majorBidi"/>
        </w:rPr>
        <w:t> </w:t>
      </w:r>
      <w:r w:rsidR="004203F4" w:rsidRPr="009B4F07">
        <w:rPr>
          <w:rFonts w:asciiTheme="majorBidi" w:hAnsiTheme="majorBidi" w:cstheme="majorBidi"/>
        </w:rPr>
        <w:t>punktā, ir ietvertas arī Eiropas Savienības tiesībās un starptautiskajās tiesībās izvirzītās prasības.</w:t>
      </w:r>
    </w:p>
    <w:p w14:paraId="4536AECB" w14:textId="44089CD3" w:rsidR="00FB6280" w:rsidRPr="009B4F07" w:rsidRDefault="00331377"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Senāts atzīst, ka a</w:t>
      </w:r>
      <w:r w:rsidR="00FB6280" w:rsidRPr="009B4F07">
        <w:rPr>
          <w:rFonts w:asciiTheme="majorBidi" w:hAnsiTheme="majorBidi" w:cstheme="majorBidi"/>
        </w:rPr>
        <w:t xml:space="preserve">psūdzētais </w:t>
      </w:r>
      <w:r w:rsidR="00EF2C6B">
        <w:rPr>
          <w:rFonts w:asciiTheme="majorBidi" w:hAnsiTheme="majorBidi" w:cstheme="majorBidi"/>
        </w:rPr>
        <w:t>[pers. A]</w:t>
      </w:r>
      <w:r w:rsidR="00FB6280" w:rsidRPr="009B4F07">
        <w:rPr>
          <w:rFonts w:asciiTheme="majorBidi" w:hAnsiTheme="majorBidi" w:cstheme="majorBidi"/>
        </w:rPr>
        <w:t xml:space="preserve"> īstenoja savas Krimināllikuma 88. pantā paredzētās tiesības atteikties no aizstāvja, un šī atteikšanās bija atbilstoša noteikta</w:t>
      </w:r>
      <w:r w:rsidR="008F6139" w:rsidRPr="009B4F07">
        <w:rPr>
          <w:rFonts w:asciiTheme="majorBidi" w:hAnsiTheme="majorBidi" w:cstheme="majorBidi"/>
        </w:rPr>
        <w:t>ja</w:t>
      </w:r>
      <w:r w:rsidR="00FB6280" w:rsidRPr="009B4F07">
        <w:rPr>
          <w:rFonts w:asciiTheme="majorBidi" w:hAnsiTheme="majorBidi" w:cstheme="majorBidi"/>
        </w:rPr>
        <w:t xml:space="preserve">m standartam – tā tika sniegta brīvprātīgi, bija apzināta un apsūdzētais bija informēts par tiesību uz advokāta palīdzību saturu un sekām, kādas izraisa atteikšanās no šo tiesību izmantošanas, proti, ka turpmāk savu aizstāvību viņš īstenos pats. </w:t>
      </w:r>
      <w:r w:rsidR="008F6139" w:rsidRPr="009B4F07">
        <w:rPr>
          <w:rFonts w:asciiTheme="majorBidi" w:hAnsiTheme="majorBidi" w:cstheme="majorBidi"/>
        </w:rPr>
        <w:t>Apsūdzētā atteikšanās no aizstāvja ir fiksēta lietas materiālos</w:t>
      </w:r>
      <w:r w:rsidR="006F1120" w:rsidRPr="009B4F07">
        <w:rPr>
          <w:rFonts w:asciiTheme="majorBidi" w:hAnsiTheme="majorBidi" w:cstheme="majorBidi"/>
        </w:rPr>
        <w:t>,</w:t>
      </w:r>
      <w:r w:rsidR="008F6139" w:rsidRPr="009B4F07">
        <w:rPr>
          <w:rFonts w:asciiTheme="majorBidi" w:hAnsiTheme="majorBidi" w:cstheme="majorBidi"/>
        </w:rPr>
        <w:t xml:space="preserve"> un apsūdzētais ir apliecinājis, ka tā ir labprātīga, pēc viņa iniciatīvas un nav saistīta ar materiālām problēmām. </w:t>
      </w:r>
      <w:r w:rsidR="00FB6280" w:rsidRPr="009B4F07">
        <w:rPr>
          <w:rFonts w:asciiTheme="majorBidi" w:hAnsiTheme="majorBidi" w:cstheme="majorBidi"/>
        </w:rPr>
        <w:t>Līdz ar to kasācijas sūdzību arguments par to, ka apelācijas instances tiesas sēdē, izskatot lietu bez aizstāvja piedalīšanās</w:t>
      </w:r>
      <w:r w:rsidR="006F1120" w:rsidRPr="009B4F07">
        <w:rPr>
          <w:rFonts w:asciiTheme="majorBidi" w:hAnsiTheme="majorBidi" w:cstheme="majorBidi"/>
        </w:rPr>
        <w:t>,</w:t>
      </w:r>
      <w:r w:rsidR="00FB6280" w:rsidRPr="009B4F07">
        <w:rPr>
          <w:rFonts w:asciiTheme="majorBidi" w:hAnsiTheme="majorBidi" w:cstheme="majorBidi"/>
        </w:rPr>
        <w:t xml:space="preserve"> tika pārkāptas apsūdzētā tiesības uz aizstāvību, ir noraidāms.</w:t>
      </w:r>
    </w:p>
    <w:p w14:paraId="1416D5BC" w14:textId="77777777" w:rsidR="00A44D8F" w:rsidRPr="009B4F07" w:rsidRDefault="00A44D8F" w:rsidP="00F108AC">
      <w:pPr>
        <w:shd w:val="clear" w:color="auto" w:fill="FFFFFF"/>
        <w:spacing w:line="276" w:lineRule="auto"/>
        <w:jc w:val="both"/>
        <w:rPr>
          <w:rFonts w:asciiTheme="majorBidi" w:hAnsiTheme="majorBidi" w:cstheme="majorBidi"/>
        </w:rPr>
      </w:pPr>
    </w:p>
    <w:p w14:paraId="7F505B32" w14:textId="6D0DBF82" w:rsidR="00072012" w:rsidRPr="009B4F07" w:rsidRDefault="00072012"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8F6139" w:rsidRPr="009B4F07">
        <w:rPr>
          <w:rFonts w:asciiTheme="majorBidi" w:hAnsiTheme="majorBidi" w:cstheme="majorBidi"/>
        </w:rPr>
        <w:t>11</w:t>
      </w:r>
      <w:r w:rsidRPr="009B4F07">
        <w:rPr>
          <w:rFonts w:asciiTheme="majorBidi" w:hAnsiTheme="majorBidi" w:cstheme="majorBidi"/>
        </w:rPr>
        <w:t xml:space="preserve">] Tiesu prakses attīstīšanas nolūkā Senāts uzskata par nepieciešamu vērst tiesu uzmanību, ka </w:t>
      </w:r>
      <w:r w:rsidR="00CC0381" w:rsidRPr="009B4F07">
        <w:rPr>
          <w:rFonts w:asciiTheme="majorBidi" w:hAnsiTheme="majorBidi" w:cstheme="majorBidi"/>
        </w:rPr>
        <w:t>D</w:t>
      </w:r>
      <w:r w:rsidRPr="009B4F07">
        <w:rPr>
          <w:rFonts w:asciiTheme="majorBidi" w:hAnsiTheme="majorBidi" w:cstheme="majorBidi"/>
        </w:rPr>
        <w:t>irektīva</w:t>
      </w:r>
      <w:r w:rsidR="00CC0381" w:rsidRPr="009B4F07">
        <w:rPr>
          <w:rFonts w:asciiTheme="majorBidi" w:hAnsiTheme="majorBidi" w:cstheme="majorBidi"/>
        </w:rPr>
        <w:t>s</w:t>
      </w:r>
      <w:r w:rsidRPr="009B4F07">
        <w:rPr>
          <w:rFonts w:asciiTheme="majorBidi" w:hAnsiTheme="majorBidi" w:cstheme="majorBidi"/>
        </w:rPr>
        <w:t xml:space="preserve"> 2013/48/ES </w:t>
      </w:r>
      <w:r w:rsidR="00CC0381" w:rsidRPr="009B4F07">
        <w:rPr>
          <w:rFonts w:asciiTheme="majorBidi" w:hAnsiTheme="majorBidi" w:cstheme="majorBidi"/>
        </w:rPr>
        <w:t>9</w:t>
      </w:r>
      <w:r w:rsidRPr="009B4F07">
        <w:rPr>
          <w:rFonts w:asciiTheme="majorBidi" w:hAnsiTheme="majorBidi" w:cstheme="majorBidi"/>
        </w:rPr>
        <w:t xml:space="preserve">. panta normas, lasot tās kopsakarā ar tās pašas direktīvas preambulas 39. apsvērumu, izpratnē „sniegta skaidra un pietiekama informācija par attiecīgo tiesību saturu un iespējamām sekām” prasa, lai tiesa (tiesnesis) situācijā, kad jāpiemēro Kriminālprocesa likuma 88. pants, </w:t>
      </w:r>
      <w:r w:rsidR="00BD1699" w:rsidRPr="009B4F07">
        <w:rPr>
          <w:rFonts w:asciiTheme="majorBidi" w:hAnsiTheme="majorBidi" w:cstheme="majorBidi"/>
        </w:rPr>
        <w:t xml:space="preserve">apsūdzētajam </w:t>
      </w:r>
      <w:r w:rsidRPr="009B4F07">
        <w:rPr>
          <w:rFonts w:asciiTheme="majorBidi" w:hAnsiTheme="majorBidi" w:cstheme="majorBidi"/>
        </w:rPr>
        <w:t xml:space="preserve">konspektīvi atkārtotu atteikšanās no aizstāvja sekas un turpmākās izmaiņas apsūdzētā tiesībās. Turklāt personai jāatgādina par iespēju atsaukt savu paziņojumu par atteikšanos no tās tiesībām uz aizstāvja palīdzību, pirms tiek veikta jebkāda izmeklēšanas darbība, kuras laikā, ņemot vērā šīs izmeklēšanas darbības intensitāti un svarīgumu, advokāta nepiedalīšanās var īpaši kaitēt attiecīgās personas interesēm un tiesībām, piemēram, nopratināšana, uzrādīšana atpazīšanai, konfrontācija (sk. </w:t>
      </w:r>
      <w:r w:rsidRPr="009B4F07">
        <w:rPr>
          <w:rFonts w:asciiTheme="majorBidi" w:hAnsiTheme="majorBidi" w:cstheme="majorBidi"/>
          <w:i/>
          <w:iCs/>
        </w:rPr>
        <w:t>Eiropas Savienības Tiesas 2024. gada 14. maija sprieduma lietā „</w:t>
      </w:r>
      <w:proofErr w:type="spellStart"/>
      <w:r w:rsidRPr="009B4F07">
        <w:rPr>
          <w:rFonts w:asciiTheme="majorBidi" w:hAnsiTheme="majorBidi" w:cstheme="majorBidi"/>
          <w:i/>
          <w:iCs/>
        </w:rPr>
        <w:t>Stachev</w:t>
      </w:r>
      <w:proofErr w:type="spellEnd"/>
      <w:r w:rsidRPr="009B4F07">
        <w:rPr>
          <w:rFonts w:asciiTheme="majorBidi" w:hAnsiTheme="majorBidi" w:cstheme="majorBidi"/>
          <w:i/>
          <w:iCs/>
        </w:rPr>
        <w:t xml:space="preserve">”, C-15/24 PPU, </w:t>
      </w:r>
      <w:hyperlink r:id="rId24" w:history="1">
        <w:r w:rsidRPr="009B4F07">
          <w:rPr>
            <w:rStyle w:val="Hyperlink"/>
            <w:rFonts w:asciiTheme="majorBidi" w:hAnsiTheme="majorBidi" w:cstheme="majorBidi"/>
            <w:i/>
            <w:iCs/>
          </w:rPr>
          <w:t>ECLI:EU:C:2024:399</w:t>
        </w:r>
      </w:hyperlink>
      <w:r w:rsidR="002A1006" w:rsidRPr="009B4F07">
        <w:rPr>
          <w:rFonts w:asciiTheme="majorBidi" w:hAnsiTheme="majorBidi" w:cstheme="majorBidi"/>
        </w:rPr>
        <w:t>,</w:t>
      </w:r>
      <w:r w:rsidRPr="009B4F07">
        <w:rPr>
          <w:rFonts w:asciiTheme="majorBidi" w:hAnsiTheme="majorBidi" w:cstheme="majorBidi"/>
          <w:i/>
          <w:iCs/>
        </w:rPr>
        <w:t xml:space="preserve"> 78. punktu</w:t>
      </w:r>
      <w:r w:rsidRPr="009B4F07">
        <w:rPr>
          <w:rFonts w:asciiTheme="majorBidi" w:hAnsiTheme="majorBidi" w:cstheme="majorBidi"/>
        </w:rPr>
        <w:t>).</w:t>
      </w:r>
    </w:p>
    <w:p w14:paraId="48C778D6" w14:textId="77777777" w:rsidR="00072012" w:rsidRPr="009B4F07" w:rsidRDefault="00072012" w:rsidP="00F108AC">
      <w:pPr>
        <w:shd w:val="clear" w:color="auto" w:fill="FFFFFF"/>
        <w:spacing w:line="276" w:lineRule="auto"/>
        <w:ind w:firstLine="720"/>
        <w:jc w:val="both"/>
        <w:rPr>
          <w:rFonts w:asciiTheme="majorBidi" w:hAnsiTheme="majorBidi" w:cstheme="majorBidi"/>
        </w:rPr>
      </w:pPr>
    </w:p>
    <w:p w14:paraId="1C456287" w14:textId="77777777" w:rsidR="002A3C3D" w:rsidRDefault="007E5356" w:rsidP="002A3C3D">
      <w:pPr>
        <w:widowControl w:val="0"/>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9244EE" w:rsidRPr="009B4F07">
        <w:rPr>
          <w:rFonts w:asciiTheme="majorBidi" w:hAnsiTheme="majorBidi" w:cstheme="majorBidi"/>
        </w:rPr>
        <w:t>12</w:t>
      </w:r>
      <w:r w:rsidRPr="009B4F07">
        <w:rPr>
          <w:rFonts w:asciiTheme="majorBidi" w:hAnsiTheme="majorBidi" w:cstheme="majorBidi"/>
        </w:rPr>
        <w:t xml:space="preserve">] Senāts atzīst, ka </w:t>
      </w:r>
      <w:r w:rsidR="006B26F1" w:rsidRPr="009B4F07">
        <w:rPr>
          <w:rFonts w:asciiTheme="majorBidi" w:hAnsiTheme="majorBidi" w:cstheme="majorBidi"/>
        </w:rPr>
        <w:t xml:space="preserve">pārējie kasatoru argumenti </w:t>
      </w:r>
      <w:r w:rsidR="00AC5CCA" w:rsidRPr="009B4F07">
        <w:rPr>
          <w:rFonts w:asciiTheme="majorBidi" w:hAnsiTheme="majorBidi" w:cstheme="majorBidi"/>
        </w:rPr>
        <w:t xml:space="preserve">pauž </w:t>
      </w:r>
      <w:r w:rsidR="009244EE" w:rsidRPr="009B4F07">
        <w:rPr>
          <w:rFonts w:asciiTheme="majorBidi" w:hAnsiTheme="majorBidi" w:cstheme="majorBidi"/>
        </w:rPr>
        <w:t>pierādījumu atšķirīgu vērtējumu un subjektīvu</w:t>
      </w:r>
      <w:r w:rsidR="00AC5CCA" w:rsidRPr="009B4F07">
        <w:rPr>
          <w:rFonts w:asciiTheme="majorBidi" w:hAnsiTheme="majorBidi" w:cstheme="majorBidi"/>
        </w:rPr>
        <w:t xml:space="preserve"> nepiekrišanu tiesas </w:t>
      </w:r>
      <w:r w:rsidR="009244EE" w:rsidRPr="009B4F07">
        <w:rPr>
          <w:rFonts w:asciiTheme="majorBidi" w:hAnsiTheme="majorBidi" w:cstheme="majorBidi"/>
        </w:rPr>
        <w:t>atzinumiem</w:t>
      </w:r>
      <w:r w:rsidR="00225F4D" w:rsidRPr="009B4F07">
        <w:rPr>
          <w:rFonts w:asciiTheme="majorBidi" w:hAnsiTheme="majorBidi" w:cstheme="majorBidi"/>
        </w:rPr>
        <w:t>.</w:t>
      </w:r>
    </w:p>
    <w:p w14:paraId="52457AFE" w14:textId="6F97592F" w:rsidR="002D7AE8" w:rsidRPr="009B4F07" w:rsidRDefault="002D7AE8" w:rsidP="002A3C3D">
      <w:pPr>
        <w:widowControl w:val="0"/>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Senāts konstatē, ka, pretēji kasācijas sūdzībā norādītajam, apelācijas instances tiesa </w:t>
      </w:r>
      <w:r w:rsidRPr="009B4F07">
        <w:rPr>
          <w:rFonts w:asciiTheme="majorBidi" w:hAnsiTheme="majorBidi" w:cstheme="majorBidi"/>
        </w:rPr>
        <w:lastRenderedPageBreak/>
        <w:t>ir vērtējusi ne tikai ekspertīz</w:t>
      </w:r>
      <w:r w:rsidR="00C87096" w:rsidRPr="009B4F07">
        <w:rPr>
          <w:rFonts w:asciiTheme="majorBidi" w:hAnsiTheme="majorBidi" w:cstheme="majorBidi"/>
        </w:rPr>
        <w:t xml:space="preserve">es eksperta atzinuma </w:t>
      </w:r>
      <w:r w:rsidRPr="009B4F07">
        <w:rPr>
          <w:rFonts w:asciiTheme="majorBidi" w:hAnsiTheme="majorBidi" w:cstheme="majorBidi"/>
        </w:rPr>
        <w:t xml:space="preserve">un ekspertes liecības, bet arī liecinieku un paša apsūdzētā </w:t>
      </w:r>
      <w:r w:rsidR="00936391" w:rsidRPr="009B4F07">
        <w:rPr>
          <w:rFonts w:asciiTheme="majorBidi" w:hAnsiTheme="majorBidi" w:cstheme="majorBidi"/>
        </w:rPr>
        <w:t xml:space="preserve">kriminālprocesā </w:t>
      </w:r>
      <w:r w:rsidRPr="009B4F07">
        <w:rPr>
          <w:rFonts w:asciiTheme="majorBidi" w:hAnsiTheme="majorBidi" w:cstheme="majorBidi"/>
        </w:rPr>
        <w:t>sniegtās liecības.</w:t>
      </w:r>
    </w:p>
    <w:p w14:paraId="3C171B7E" w14:textId="1754A6E0" w:rsidR="001F4EF4" w:rsidRPr="009B4F07" w:rsidRDefault="002D7AE8"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[12.1] </w:t>
      </w:r>
      <w:r w:rsidR="00E81134" w:rsidRPr="009B4F07">
        <w:rPr>
          <w:rFonts w:asciiTheme="majorBidi" w:hAnsiTheme="majorBidi" w:cstheme="majorBidi"/>
        </w:rPr>
        <w:t>Apelācijas instances tiesa ir konstatējusi, ka</w:t>
      </w:r>
      <w:r w:rsidR="000F78B2" w:rsidRPr="009B4F07">
        <w:rPr>
          <w:rFonts w:asciiTheme="majorBidi" w:hAnsiTheme="majorBidi" w:cstheme="majorBidi"/>
        </w:rPr>
        <w:t xml:space="preserve"> apsūdzētais procesuālo darbību veikšanas laikā cit</w:t>
      </w:r>
      <w:r w:rsidR="00225F4D" w:rsidRPr="009B4F07">
        <w:rPr>
          <w:rFonts w:asciiTheme="majorBidi" w:hAnsiTheme="majorBidi" w:cstheme="majorBidi"/>
        </w:rPr>
        <w:t>a</w:t>
      </w:r>
      <w:r w:rsidR="000F78B2" w:rsidRPr="009B4F07">
        <w:rPr>
          <w:rFonts w:asciiTheme="majorBidi" w:hAnsiTheme="majorBidi" w:cstheme="majorBidi"/>
        </w:rPr>
        <w:t xml:space="preserve"> kriminālproces</w:t>
      </w:r>
      <w:r w:rsidR="00225F4D" w:rsidRPr="009B4F07">
        <w:rPr>
          <w:rFonts w:asciiTheme="majorBidi" w:hAnsiTheme="majorBidi" w:cstheme="majorBidi"/>
        </w:rPr>
        <w:t>a ietvaros</w:t>
      </w:r>
      <w:r w:rsidR="000F78B2" w:rsidRPr="009B4F07">
        <w:rPr>
          <w:rFonts w:asciiTheme="majorBidi" w:hAnsiTheme="majorBidi" w:cstheme="majorBidi"/>
        </w:rPr>
        <w:t xml:space="preserve"> bija vēlējies uzdāvināt procesa virzītājai </w:t>
      </w:r>
      <w:r w:rsidR="00EF2C6B">
        <w:rPr>
          <w:rFonts w:asciiTheme="majorBidi" w:hAnsiTheme="majorBidi" w:cstheme="majorBidi"/>
        </w:rPr>
        <w:t>[pers. C]</w:t>
      </w:r>
      <w:r w:rsidR="00A26E9C" w:rsidRPr="009B4F07">
        <w:rPr>
          <w:rFonts w:asciiTheme="majorBidi" w:hAnsiTheme="majorBidi" w:cstheme="majorBidi"/>
        </w:rPr>
        <w:t xml:space="preserve"> tēju</w:t>
      </w:r>
      <w:r w:rsidR="000F78B2" w:rsidRPr="009B4F07">
        <w:rPr>
          <w:rFonts w:asciiTheme="majorBidi" w:hAnsiTheme="majorBidi" w:cstheme="majorBidi"/>
        </w:rPr>
        <w:t xml:space="preserve">, </w:t>
      </w:r>
      <w:r w:rsidR="00A26E9C" w:rsidRPr="009B4F07">
        <w:rPr>
          <w:rFonts w:asciiTheme="majorBidi" w:hAnsiTheme="majorBidi" w:cstheme="majorBidi"/>
        </w:rPr>
        <w:t xml:space="preserve">norādot uz </w:t>
      </w:r>
      <w:r w:rsidR="000F78B2" w:rsidRPr="009B4F07">
        <w:rPr>
          <w:rFonts w:asciiTheme="majorBidi" w:hAnsiTheme="majorBidi" w:cstheme="majorBidi"/>
        </w:rPr>
        <w:t>tās uzmundrinošo iedarbību</w:t>
      </w:r>
      <w:r w:rsidR="008B4771" w:rsidRPr="009B4F07">
        <w:rPr>
          <w:rFonts w:asciiTheme="majorBidi" w:hAnsiTheme="majorBidi" w:cstheme="majorBidi"/>
        </w:rPr>
        <w:t>. Vienlaikus apsūdzētais</w:t>
      </w:r>
      <w:r w:rsidR="000F78B2" w:rsidRPr="009B4F07">
        <w:rPr>
          <w:rFonts w:asciiTheme="majorBidi" w:hAnsiTheme="majorBidi" w:cstheme="majorBidi"/>
        </w:rPr>
        <w:t xml:space="preserve"> </w:t>
      </w:r>
      <w:r w:rsidR="008B4771" w:rsidRPr="009B4F07">
        <w:rPr>
          <w:rFonts w:asciiTheme="majorBidi" w:hAnsiTheme="majorBidi" w:cstheme="majorBidi"/>
        </w:rPr>
        <w:t>nav slēpis</w:t>
      </w:r>
      <w:r w:rsidR="000F78B2" w:rsidRPr="009B4F07">
        <w:rPr>
          <w:rFonts w:asciiTheme="majorBidi" w:hAnsiTheme="majorBidi" w:cstheme="majorBidi"/>
        </w:rPr>
        <w:t xml:space="preserve"> nodomu</w:t>
      </w:r>
      <w:r w:rsidR="008B4771" w:rsidRPr="009B4F07">
        <w:rPr>
          <w:rFonts w:asciiTheme="majorBidi" w:hAnsiTheme="majorBidi" w:cstheme="majorBidi"/>
        </w:rPr>
        <w:t>, ka šo</w:t>
      </w:r>
      <w:r w:rsidR="00C87096" w:rsidRPr="009B4F07">
        <w:rPr>
          <w:rFonts w:asciiTheme="majorBidi" w:hAnsiTheme="majorBidi" w:cstheme="majorBidi"/>
        </w:rPr>
        <w:t xml:space="preserve"> tēju plāno</w:t>
      </w:r>
      <w:r w:rsidR="008B4771" w:rsidRPr="009B4F07">
        <w:rPr>
          <w:rFonts w:asciiTheme="majorBidi" w:hAnsiTheme="majorBidi" w:cstheme="majorBidi"/>
        </w:rPr>
        <w:t xml:space="preserve"> </w:t>
      </w:r>
      <w:r w:rsidR="00A26E9C" w:rsidRPr="009B4F07">
        <w:rPr>
          <w:rFonts w:asciiTheme="majorBidi" w:hAnsiTheme="majorBidi" w:cstheme="majorBidi"/>
        </w:rPr>
        <w:t xml:space="preserve">importēt </w:t>
      </w:r>
      <w:r w:rsidR="008B4771" w:rsidRPr="009B4F07">
        <w:rPr>
          <w:rFonts w:asciiTheme="majorBidi" w:hAnsiTheme="majorBidi" w:cstheme="majorBidi"/>
        </w:rPr>
        <w:t>un</w:t>
      </w:r>
      <w:r w:rsidR="00A26E9C" w:rsidRPr="009B4F07">
        <w:rPr>
          <w:rFonts w:asciiTheme="majorBidi" w:hAnsiTheme="majorBidi" w:cstheme="majorBidi"/>
        </w:rPr>
        <w:t xml:space="preserve"> tirgo</w:t>
      </w:r>
      <w:r w:rsidR="008B4771" w:rsidRPr="009B4F07">
        <w:rPr>
          <w:rFonts w:asciiTheme="majorBidi" w:hAnsiTheme="majorBidi" w:cstheme="majorBidi"/>
        </w:rPr>
        <w:t>t</w:t>
      </w:r>
      <w:r w:rsidR="00A26E9C" w:rsidRPr="009B4F07">
        <w:rPr>
          <w:rFonts w:asciiTheme="majorBidi" w:hAnsiTheme="majorBidi" w:cstheme="majorBidi"/>
        </w:rPr>
        <w:t xml:space="preserve"> Latvijā</w:t>
      </w:r>
      <w:r w:rsidR="000F78B2" w:rsidRPr="009B4F07">
        <w:rPr>
          <w:rFonts w:asciiTheme="majorBidi" w:hAnsiTheme="majorBidi" w:cstheme="majorBidi"/>
        </w:rPr>
        <w:t>.</w:t>
      </w:r>
    </w:p>
    <w:p w14:paraId="3D4C1FE8" w14:textId="5204D4F0" w:rsidR="00E2753C" w:rsidRPr="009B4F07" w:rsidRDefault="000F78B2"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Procesa virzītāja pieņēma lēmumu par tējas izņemšanu</w:t>
      </w:r>
      <w:r w:rsidR="00175B51" w:rsidRPr="009B4F07">
        <w:rPr>
          <w:rFonts w:asciiTheme="majorBidi" w:hAnsiTheme="majorBidi" w:cstheme="majorBidi"/>
        </w:rPr>
        <w:t xml:space="preserve"> un izņemtās tējas nosūtīšanu ekspertīzei. </w:t>
      </w:r>
      <w:r w:rsidR="00E2753C" w:rsidRPr="009B4F07">
        <w:rPr>
          <w:rFonts w:asciiTheme="majorBidi" w:hAnsiTheme="majorBidi" w:cstheme="majorBidi"/>
        </w:rPr>
        <w:t>Tiesa atzina, ka a</w:t>
      </w:r>
      <w:r w:rsidR="006B26F1" w:rsidRPr="009B4F07">
        <w:rPr>
          <w:rFonts w:asciiTheme="majorBidi" w:hAnsiTheme="majorBidi" w:cstheme="majorBidi"/>
        </w:rPr>
        <w:t xml:space="preserve">r eksperta atzinumā secināto un ekspertes </w:t>
      </w:r>
      <w:r w:rsidR="00EF2C6B">
        <w:rPr>
          <w:rFonts w:asciiTheme="majorBidi" w:hAnsiTheme="majorBidi" w:cstheme="majorBidi"/>
        </w:rPr>
        <w:t>[pers. B]</w:t>
      </w:r>
      <w:r w:rsidR="006B26F1" w:rsidRPr="009B4F07">
        <w:rPr>
          <w:rFonts w:asciiTheme="majorBidi" w:hAnsiTheme="majorBidi" w:cstheme="majorBidi"/>
        </w:rPr>
        <w:t xml:space="preserve"> tiesas sēdē liecināto apstiprināts, ka ekspertīzei iesniegtā izžāvētā, sasmalcinātā, zaļas krāsas augu valsts izcelsmes masa, kas atradās 50</w:t>
      </w:r>
      <w:r w:rsidR="008577C0" w:rsidRPr="009B4F07">
        <w:rPr>
          <w:rFonts w:asciiTheme="majorBidi" w:hAnsiTheme="majorBidi" w:cstheme="majorBidi"/>
        </w:rPr>
        <w:t> </w:t>
      </w:r>
      <w:r w:rsidR="006B26F1" w:rsidRPr="009B4F07">
        <w:rPr>
          <w:rFonts w:asciiTheme="majorBidi" w:hAnsiTheme="majorBidi" w:cstheme="majorBidi"/>
        </w:rPr>
        <w:t xml:space="preserve">tējas maisiņiem līdzīgos iepakojumos, ir izžāvēta augu masa, </w:t>
      </w:r>
      <w:r w:rsidR="00E2753C" w:rsidRPr="009B4F07">
        <w:rPr>
          <w:rFonts w:asciiTheme="majorBidi" w:hAnsiTheme="majorBidi" w:cstheme="majorBidi"/>
        </w:rPr>
        <w:t>kas satur kokaīnu.</w:t>
      </w:r>
    </w:p>
    <w:p w14:paraId="373C2265" w14:textId="1B8B0D8C" w:rsidR="002D7AE8" w:rsidRPr="009B4F07" w:rsidRDefault="002D7AE8"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Saskaņā ar likuma „Par Krimināllikuma spēkā stāšanās un piemērošanas kārtību” 2. pielikumu </w:t>
      </w:r>
      <w:r w:rsidR="00FF6436" w:rsidRPr="009B4F07">
        <w:rPr>
          <w:rFonts w:asciiTheme="majorBidi" w:hAnsiTheme="majorBidi" w:cstheme="majorBidi"/>
        </w:rPr>
        <w:t>„</w:t>
      </w:r>
      <w:r w:rsidRPr="009B4F07">
        <w:rPr>
          <w:rFonts w:asciiTheme="majorBidi" w:hAnsiTheme="majorBidi" w:cstheme="majorBidi"/>
        </w:rPr>
        <w:t>Kritēriji nelikumīgā apritē esošu narkotisko un psihotropo vielu un zāļu, kā arī vielu, kas var tikt izmantotas narkotiskās un psihotropās vielas nelikumīgai izgatavošanai (prekursori), iedalījuma apmēriem” 1</w:t>
      </w:r>
      <w:r w:rsidR="008577C0" w:rsidRPr="009B4F07">
        <w:rPr>
          <w:rFonts w:asciiTheme="majorBidi" w:hAnsiTheme="majorBidi" w:cstheme="majorBidi"/>
        </w:rPr>
        <w:t> </w:t>
      </w:r>
      <w:r w:rsidRPr="009B4F07">
        <w:rPr>
          <w:rFonts w:asciiTheme="majorBidi" w:hAnsiTheme="majorBidi" w:cstheme="majorBidi"/>
        </w:rPr>
        <w:t>g</w:t>
      </w:r>
      <w:r w:rsidR="00666618" w:rsidRPr="009B4F07">
        <w:rPr>
          <w:rFonts w:asciiTheme="majorBidi" w:hAnsiTheme="majorBidi" w:cstheme="majorBidi"/>
        </w:rPr>
        <w:t>rams</w:t>
      </w:r>
      <w:r w:rsidRPr="009B4F07">
        <w:rPr>
          <w:rFonts w:asciiTheme="majorBidi" w:hAnsiTheme="majorBidi" w:cstheme="majorBidi"/>
        </w:rPr>
        <w:t xml:space="preserve"> izžāvētā augu maisījuma, kas satur kokaīnu sastāda apmērus, līdz kuriem daudzumi atzīstami par nelieliem, bet sākot no 100</w:t>
      </w:r>
      <w:r w:rsidR="008577C0" w:rsidRPr="009B4F07">
        <w:rPr>
          <w:rFonts w:asciiTheme="majorBidi" w:hAnsiTheme="majorBidi" w:cstheme="majorBidi"/>
        </w:rPr>
        <w:t> </w:t>
      </w:r>
      <w:r w:rsidRPr="009B4F07">
        <w:rPr>
          <w:rFonts w:asciiTheme="majorBidi" w:hAnsiTheme="majorBidi" w:cstheme="majorBidi"/>
        </w:rPr>
        <w:t>g</w:t>
      </w:r>
      <w:r w:rsidR="00666618" w:rsidRPr="009B4F07">
        <w:rPr>
          <w:rFonts w:asciiTheme="majorBidi" w:hAnsiTheme="majorBidi" w:cstheme="majorBidi"/>
        </w:rPr>
        <w:t>ramiem</w:t>
      </w:r>
      <w:r w:rsidRPr="009B4F07">
        <w:rPr>
          <w:rFonts w:asciiTheme="majorBidi" w:hAnsiTheme="majorBidi" w:cstheme="majorBidi"/>
        </w:rPr>
        <w:t xml:space="preserve"> izžāvēts augu maisījums sastāda lielu apmēru.</w:t>
      </w:r>
    </w:p>
    <w:p w14:paraId="454DEAEC" w14:textId="0F72AE48" w:rsidR="002D7AE8" w:rsidRPr="009B4F07" w:rsidRDefault="002D7AE8"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[12.2] Nav nozīmes tam, </w:t>
      </w:r>
      <w:r w:rsidR="00DE79DF" w:rsidRPr="009B4F07">
        <w:rPr>
          <w:rFonts w:asciiTheme="majorBidi" w:hAnsiTheme="majorBidi" w:cstheme="majorBidi"/>
        </w:rPr>
        <w:t>kā</w:t>
      </w:r>
      <w:r w:rsidRPr="009B4F07">
        <w:rPr>
          <w:rFonts w:asciiTheme="majorBidi" w:hAnsiTheme="majorBidi" w:cstheme="majorBidi"/>
        </w:rPr>
        <w:t xml:space="preserve"> kokaīns nokļuvis augu masā, būtiski, ka vielas saturs tajā ir konstatēts, jo likums atbildību par narkotisku vielu saturoša augu maisījuma neatļautu izgatavošanu, iegādāšanos, glabāšanu, pārvadāšanu vai pārsūtīšanu </w:t>
      </w:r>
      <w:r w:rsidR="00666618" w:rsidRPr="009B4F07">
        <w:rPr>
          <w:rFonts w:asciiTheme="majorBidi" w:hAnsiTheme="majorBidi" w:cstheme="majorBidi"/>
        </w:rPr>
        <w:t xml:space="preserve">nenoteic </w:t>
      </w:r>
      <w:r w:rsidRPr="009B4F07">
        <w:rPr>
          <w:rFonts w:asciiTheme="majorBidi" w:hAnsiTheme="majorBidi" w:cstheme="majorBidi"/>
        </w:rPr>
        <w:t xml:space="preserve">atkarībā no tā, kādā veidā </w:t>
      </w:r>
      <w:r w:rsidR="00BB7AD4" w:rsidRPr="009B4F07">
        <w:rPr>
          <w:rFonts w:asciiTheme="majorBidi" w:hAnsiTheme="majorBidi" w:cstheme="majorBidi"/>
        </w:rPr>
        <w:t>viela</w:t>
      </w:r>
      <w:r w:rsidRPr="009B4F07">
        <w:rPr>
          <w:rFonts w:asciiTheme="majorBidi" w:hAnsiTheme="majorBidi" w:cstheme="majorBidi"/>
        </w:rPr>
        <w:t xml:space="preserve"> attiecīgajā augu maisījumā nonākusi.</w:t>
      </w:r>
    </w:p>
    <w:p w14:paraId="45F3F41D" w14:textId="127DDC9E" w:rsidR="00C87096" w:rsidRPr="009B4F07" w:rsidRDefault="002D7AE8"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[12.3] Nepelna ievērību arī arguments par to, ka apsūdzībā norādītais tējas svars atšķiras no svara, kāds norādīts uz tējas iepakojuma.</w:t>
      </w:r>
    </w:p>
    <w:p w14:paraId="76E3479C" w14:textId="4946D809" w:rsidR="00C87096" w:rsidRPr="009B4F07" w:rsidRDefault="002D7AE8"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Lietas materiālos un apsūdzībā norādīt</w:t>
      </w:r>
      <w:r w:rsidR="00BB7AD4" w:rsidRPr="009B4F07">
        <w:rPr>
          <w:rFonts w:asciiTheme="majorBidi" w:hAnsiTheme="majorBidi" w:cstheme="majorBidi"/>
        </w:rPr>
        <w:t>s</w:t>
      </w:r>
      <w:r w:rsidRPr="009B4F07">
        <w:rPr>
          <w:rFonts w:asciiTheme="majorBidi" w:hAnsiTheme="majorBidi" w:cstheme="majorBidi"/>
        </w:rPr>
        <w:t xml:space="preserve"> svars 50,23 g</w:t>
      </w:r>
      <w:r w:rsidR="00666618" w:rsidRPr="009B4F07">
        <w:rPr>
          <w:rFonts w:asciiTheme="majorBidi" w:hAnsiTheme="majorBidi" w:cstheme="majorBidi"/>
        </w:rPr>
        <w:t>rami</w:t>
      </w:r>
      <w:r w:rsidRPr="009B4F07">
        <w:rPr>
          <w:rFonts w:asciiTheme="majorBidi" w:hAnsiTheme="majorBidi" w:cstheme="majorBidi"/>
        </w:rPr>
        <w:t xml:space="preserve">, un lietas izskatīšanas gaitā </w:t>
      </w:r>
      <w:r w:rsidR="00DE79DF" w:rsidRPr="009B4F07">
        <w:rPr>
          <w:rFonts w:asciiTheme="majorBidi" w:hAnsiTheme="majorBidi" w:cstheme="majorBidi"/>
        </w:rPr>
        <w:t xml:space="preserve">apsūdzētais un viņa aizstāvis </w:t>
      </w:r>
      <w:r w:rsidRPr="009B4F07">
        <w:rPr>
          <w:rFonts w:asciiTheme="majorBidi" w:hAnsiTheme="majorBidi" w:cstheme="majorBidi"/>
        </w:rPr>
        <w:t>līdz kasācijas sūdzības iesniegšanai nav paudu</w:t>
      </w:r>
      <w:r w:rsidR="00DE79DF" w:rsidRPr="009B4F07">
        <w:rPr>
          <w:rFonts w:asciiTheme="majorBidi" w:hAnsiTheme="majorBidi" w:cstheme="majorBidi"/>
        </w:rPr>
        <w:t>š</w:t>
      </w:r>
      <w:r w:rsidRPr="009B4F07">
        <w:rPr>
          <w:rFonts w:asciiTheme="majorBidi" w:hAnsiTheme="majorBidi" w:cstheme="majorBidi"/>
        </w:rPr>
        <w:t xml:space="preserve">i iebildumus par to, ka ekspertīzē konstatētais svars </w:t>
      </w:r>
      <w:r w:rsidR="00DE79DF" w:rsidRPr="009B4F07">
        <w:rPr>
          <w:rFonts w:asciiTheme="majorBidi" w:hAnsiTheme="majorBidi" w:cstheme="majorBidi"/>
        </w:rPr>
        <w:t xml:space="preserve">par 5 gramiem </w:t>
      </w:r>
      <w:r w:rsidRPr="009B4F07">
        <w:rPr>
          <w:rFonts w:asciiTheme="majorBidi" w:hAnsiTheme="majorBidi" w:cstheme="majorBidi"/>
        </w:rPr>
        <w:t>atšķir</w:t>
      </w:r>
      <w:r w:rsidR="00DE79DF" w:rsidRPr="009B4F07">
        <w:rPr>
          <w:rFonts w:asciiTheme="majorBidi" w:hAnsiTheme="majorBidi" w:cstheme="majorBidi"/>
        </w:rPr>
        <w:t>as</w:t>
      </w:r>
      <w:r w:rsidRPr="009B4F07">
        <w:rPr>
          <w:rFonts w:asciiTheme="majorBidi" w:hAnsiTheme="majorBidi" w:cstheme="majorBidi"/>
        </w:rPr>
        <w:t xml:space="preserve"> no svara, kas norādīts uz rūpnieciski ražota iepakojuma</w:t>
      </w:r>
      <w:r w:rsidR="00DE79DF" w:rsidRPr="009B4F07">
        <w:rPr>
          <w:rFonts w:asciiTheme="majorBidi" w:hAnsiTheme="majorBidi" w:cstheme="majorBidi"/>
        </w:rPr>
        <w:t>.</w:t>
      </w:r>
    </w:p>
    <w:p w14:paraId="04C5A31C" w14:textId="018546BC" w:rsidR="00C87096" w:rsidRPr="009B4F07" w:rsidRDefault="002D7AE8"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[12.4] </w:t>
      </w:r>
      <w:r w:rsidR="00A26E9C" w:rsidRPr="009B4F07">
        <w:rPr>
          <w:rFonts w:asciiTheme="majorBidi" w:hAnsiTheme="majorBidi" w:cstheme="majorBidi"/>
        </w:rPr>
        <w:t>Ir noraidāmi ai</w:t>
      </w:r>
      <w:r w:rsidR="000F78B2" w:rsidRPr="009B4F07">
        <w:rPr>
          <w:rFonts w:asciiTheme="majorBidi" w:hAnsiTheme="majorBidi" w:cstheme="majorBidi"/>
        </w:rPr>
        <w:t>zstāvja kasācijas sūdzības argument</w:t>
      </w:r>
      <w:r w:rsidR="00A26E9C" w:rsidRPr="009B4F07">
        <w:rPr>
          <w:rFonts w:asciiTheme="majorBidi" w:hAnsiTheme="majorBidi" w:cstheme="majorBidi"/>
        </w:rPr>
        <w:t xml:space="preserve">i </w:t>
      </w:r>
      <w:r w:rsidR="000F78B2" w:rsidRPr="009B4F07">
        <w:rPr>
          <w:rFonts w:asciiTheme="majorBidi" w:hAnsiTheme="majorBidi" w:cstheme="majorBidi"/>
        </w:rPr>
        <w:t xml:space="preserve">par ekspertīzes veikšanu un </w:t>
      </w:r>
      <w:r w:rsidR="00A26E9C" w:rsidRPr="009B4F07">
        <w:rPr>
          <w:rFonts w:asciiTheme="majorBidi" w:hAnsiTheme="majorBidi" w:cstheme="majorBidi"/>
        </w:rPr>
        <w:t xml:space="preserve">rezultātu </w:t>
      </w:r>
      <w:r w:rsidR="000F78B2" w:rsidRPr="009B4F07">
        <w:rPr>
          <w:rFonts w:asciiTheme="majorBidi" w:hAnsiTheme="majorBidi" w:cstheme="majorBidi"/>
        </w:rPr>
        <w:t>neatbilstību</w:t>
      </w:r>
      <w:r w:rsidR="00A26E9C" w:rsidRPr="009B4F07">
        <w:rPr>
          <w:rFonts w:asciiTheme="majorBidi" w:hAnsiTheme="majorBidi" w:cstheme="majorBidi"/>
        </w:rPr>
        <w:t xml:space="preserve">, </w:t>
      </w:r>
      <w:r w:rsidR="000F78B2" w:rsidRPr="009B4F07">
        <w:rPr>
          <w:rFonts w:asciiTheme="majorBidi" w:hAnsiTheme="majorBidi" w:cstheme="majorBidi"/>
        </w:rPr>
        <w:t>jo tam, vai viela ir konstatēta augu maisījumā vai augu materiālā, nav nozīmes.</w:t>
      </w:r>
    </w:p>
    <w:p w14:paraId="69A1ACE8" w14:textId="70F749A6" w:rsidR="00A26E9C" w:rsidRPr="009B4F07" w:rsidRDefault="00DF52DA"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Latviešu</w:t>
      </w:r>
      <w:r w:rsidR="00984DA2" w:rsidRPr="009B4F07">
        <w:rPr>
          <w:rFonts w:asciiTheme="majorBidi" w:hAnsiTheme="majorBidi" w:cstheme="majorBidi"/>
        </w:rPr>
        <w:t xml:space="preserve"> valodā </w:t>
      </w:r>
      <w:r w:rsidRPr="009B4F07">
        <w:rPr>
          <w:rFonts w:asciiTheme="majorBidi" w:hAnsiTheme="majorBidi" w:cstheme="majorBidi"/>
        </w:rPr>
        <w:t xml:space="preserve">vārds </w:t>
      </w:r>
      <w:r w:rsidR="00A26E9C" w:rsidRPr="009B4F07">
        <w:rPr>
          <w:rFonts w:asciiTheme="majorBidi" w:hAnsiTheme="majorBidi" w:cstheme="majorBidi"/>
        </w:rPr>
        <w:t>„materiāls”</w:t>
      </w:r>
      <w:r w:rsidRPr="009B4F07">
        <w:rPr>
          <w:rFonts w:asciiTheme="majorBidi" w:hAnsiTheme="majorBidi" w:cstheme="majorBidi"/>
        </w:rPr>
        <w:t xml:space="preserve"> skaidrots kā</w:t>
      </w:r>
      <w:r w:rsidR="00A26E9C" w:rsidRPr="009B4F07">
        <w:rPr>
          <w:rFonts w:asciiTheme="majorBidi" w:hAnsiTheme="majorBidi" w:cstheme="majorBidi"/>
        </w:rPr>
        <w:t xml:space="preserve"> viela, priekšmets, parādība dabā u.</w:t>
      </w:r>
      <w:r w:rsidR="00910470" w:rsidRPr="009B4F07">
        <w:rPr>
          <w:rFonts w:asciiTheme="majorBidi" w:hAnsiTheme="majorBidi" w:cstheme="majorBidi"/>
        </w:rPr>
        <w:t> t</w:t>
      </w:r>
      <w:r w:rsidR="00A26E9C" w:rsidRPr="009B4F07">
        <w:rPr>
          <w:rFonts w:asciiTheme="majorBidi" w:hAnsiTheme="majorBidi" w:cstheme="majorBidi"/>
        </w:rPr>
        <w:t>ml., kas noder izmantošanai noteiktā nolūkā (</w:t>
      </w:r>
      <w:r w:rsidRPr="009B4F07">
        <w:rPr>
          <w:rFonts w:asciiTheme="majorBidi" w:hAnsiTheme="majorBidi" w:cstheme="majorBidi"/>
          <w:i/>
          <w:iCs/>
        </w:rPr>
        <w:t>vārdnīca „Tēzaurs”, pieejams:</w:t>
      </w:r>
      <w:r w:rsidRPr="009B4F07">
        <w:rPr>
          <w:rFonts w:asciiTheme="majorBidi" w:hAnsiTheme="majorBidi" w:cstheme="majorBidi"/>
        </w:rPr>
        <w:t xml:space="preserve"> </w:t>
      </w:r>
      <w:hyperlink r:id="rId25" w:history="1">
        <w:r w:rsidR="001B153A" w:rsidRPr="009B4F07">
          <w:rPr>
            <w:rStyle w:val="Hyperlink"/>
            <w:rFonts w:asciiTheme="majorBidi" w:hAnsiTheme="majorBidi" w:cstheme="majorBidi"/>
            <w:i/>
            <w:iCs/>
          </w:rPr>
          <w:t>https://tezaurs.lv/materiāls</w:t>
        </w:r>
      </w:hyperlink>
      <w:r w:rsidR="00A26E9C" w:rsidRPr="009B4F07">
        <w:rPr>
          <w:rFonts w:asciiTheme="majorBidi" w:hAnsiTheme="majorBidi" w:cstheme="majorBidi"/>
          <w:i/>
          <w:iCs/>
        </w:rPr>
        <w:t>).</w:t>
      </w:r>
      <w:r w:rsidRPr="009B4F07">
        <w:rPr>
          <w:rFonts w:asciiTheme="majorBidi" w:hAnsiTheme="majorBidi" w:cstheme="majorBidi"/>
          <w:i/>
          <w:iCs/>
        </w:rPr>
        <w:t xml:space="preserve"> </w:t>
      </w:r>
      <w:r w:rsidRPr="009B4F07">
        <w:rPr>
          <w:rFonts w:asciiTheme="majorBidi" w:hAnsiTheme="majorBidi" w:cstheme="majorBidi"/>
        </w:rPr>
        <w:t>Savukārt vārds „m</w:t>
      </w:r>
      <w:r w:rsidR="00A26E9C" w:rsidRPr="009B4F07">
        <w:rPr>
          <w:rFonts w:asciiTheme="majorBidi" w:hAnsiTheme="majorBidi" w:cstheme="majorBidi"/>
        </w:rPr>
        <w:t>aisījums</w:t>
      </w:r>
      <w:r w:rsidRPr="009B4F07">
        <w:rPr>
          <w:rFonts w:asciiTheme="majorBidi" w:hAnsiTheme="majorBidi" w:cstheme="majorBidi"/>
        </w:rPr>
        <w:t xml:space="preserve">” skaidrots kā </w:t>
      </w:r>
      <w:r w:rsidR="00A26E9C" w:rsidRPr="009B4F07">
        <w:rPr>
          <w:rFonts w:asciiTheme="majorBidi" w:hAnsiTheme="majorBidi" w:cstheme="majorBidi"/>
        </w:rPr>
        <w:t xml:space="preserve">kopums, kas sastāv no samaisītām, sajauktām vielām vai sīkiem priekšmetiem. </w:t>
      </w:r>
      <w:r w:rsidR="00A26E9C" w:rsidRPr="009B4F07">
        <w:rPr>
          <w:rFonts w:asciiTheme="majorBidi" w:hAnsiTheme="majorBidi" w:cstheme="majorBidi"/>
          <w:i/>
          <w:iCs/>
        </w:rPr>
        <w:t>(</w:t>
      </w:r>
      <w:r w:rsidRPr="009B4F07">
        <w:rPr>
          <w:rFonts w:asciiTheme="majorBidi" w:hAnsiTheme="majorBidi" w:cstheme="majorBidi"/>
          <w:i/>
          <w:iCs/>
        </w:rPr>
        <w:t>vārdnīca „Tēzaurs”, pieejams:</w:t>
      </w:r>
      <w:r w:rsidRPr="009B4F07">
        <w:rPr>
          <w:rFonts w:asciiTheme="majorBidi" w:hAnsiTheme="majorBidi" w:cstheme="majorBidi"/>
        </w:rPr>
        <w:t xml:space="preserve"> </w:t>
      </w:r>
      <w:hyperlink r:id="rId26" w:history="1">
        <w:r w:rsidR="001B153A" w:rsidRPr="009B4F07">
          <w:rPr>
            <w:rStyle w:val="Hyperlink"/>
            <w:rFonts w:asciiTheme="majorBidi" w:hAnsiTheme="majorBidi" w:cstheme="majorBidi"/>
            <w:i/>
            <w:iCs/>
          </w:rPr>
          <w:t>https://tezaurs.lv/maisījums</w:t>
        </w:r>
      </w:hyperlink>
      <w:r w:rsidRPr="009B4F07">
        <w:rPr>
          <w:rFonts w:asciiTheme="majorBidi" w:hAnsiTheme="majorBidi" w:cstheme="majorBidi"/>
          <w:i/>
          <w:iCs/>
        </w:rPr>
        <w:t xml:space="preserve">). </w:t>
      </w:r>
      <w:r w:rsidR="002E1A7F" w:rsidRPr="009B4F07">
        <w:rPr>
          <w:rFonts w:asciiTheme="majorBidi" w:hAnsiTheme="majorBidi" w:cstheme="majorBidi"/>
        </w:rPr>
        <w:t>M</w:t>
      </w:r>
      <w:r w:rsidR="00A26E9C" w:rsidRPr="009B4F07">
        <w:rPr>
          <w:rFonts w:asciiTheme="majorBidi" w:hAnsiTheme="majorBidi" w:cstheme="majorBidi"/>
        </w:rPr>
        <w:t xml:space="preserve">ateriāls var būt maisījuma sastāvs, bet būtībā šajā gadījumā minētie vārdi </w:t>
      </w:r>
      <w:r w:rsidR="002E1A7F" w:rsidRPr="009B4F07">
        <w:rPr>
          <w:rFonts w:asciiTheme="majorBidi" w:hAnsiTheme="majorBidi" w:cstheme="majorBidi"/>
        </w:rPr>
        <w:t>uztverami kā</w:t>
      </w:r>
      <w:r w:rsidR="00A26E9C" w:rsidRPr="009B4F07">
        <w:rPr>
          <w:rFonts w:asciiTheme="majorBidi" w:hAnsiTheme="majorBidi" w:cstheme="majorBidi"/>
        </w:rPr>
        <w:t xml:space="preserve"> sinonīmi.</w:t>
      </w:r>
    </w:p>
    <w:p w14:paraId="4C5C5FBD" w14:textId="500516F6" w:rsidR="00190E8B" w:rsidRPr="009B4F07" w:rsidRDefault="00190E8B"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[12.5]</w:t>
      </w:r>
      <w:r w:rsidR="004B7967" w:rsidRPr="009B4F07">
        <w:rPr>
          <w:rFonts w:asciiTheme="majorBidi" w:hAnsiTheme="majorBidi" w:cstheme="majorBidi"/>
        </w:rPr>
        <w:t> </w:t>
      </w:r>
      <w:r w:rsidRPr="009B4F07">
        <w:rPr>
          <w:rFonts w:asciiTheme="majorBidi" w:hAnsiTheme="majorBidi" w:cstheme="majorBidi"/>
        </w:rPr>
        <w:t>Pretēji aizstāvja kasācijas sūdzībā norādītajam apsūdzētā darbības, labprātīgi atdodot tējas paciņu izņemšanas procedūras ietvaros, neatbilst Krimināllikuma 254. pantā paredzētajam pamatam personas atbrīvošanai no kriminālatbildības</w:t>
      </w:r>
      <w:r w:rsidR="00BB7AD4" w:rsidRPr="009B4F07">
        <w:rPr>
          <w:rFonts w:asciiTheme="majorBidi" w:hAnsiTheme="majorBidi" w:cstheme="majorBidi"/>
        </w:rPr>
        <w:t>.</w:t>
      </w:r>
    </w:p>
    <w:p w14:paraId="0C1F86C4" w14:textId="77777777" w:rsidR="0002014F" w:rsidRPr="009B4F07" w:rsidRDefault="00190E8B" w:rsidP="002A3C3D">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Krimināllikuma 254. pantā noteikts, ka persona tiek atbrīvota no kriminālatbildības par narkotisko un psihotropo vielu iegādāšanos, glabāšanu, pārvadāšanu un pārsūtīšanu, ja persona labprātīgi nodevusi minētās vielas vai tās saturošus izstrādājumus, kuru aprite ir </w:t>
      </w:r>
      <w:r w:rsidRPr="009B4F07">
        <w:rPr>
          <w:rFonts w:asciiTheme="majorBidi" w:hAnsiTheme="majorBidi" w:cstheme="majorBidi"/>
        </w:rPr>
        <w:lastRenderedPageBreak/>
        <w:t>aizliegta vai ierobežota, vai labprātīgi paziņojusi par to iegādāšanos, glabāšanu, pārvadāšanu vai pārsūtīšanu, vai sniegusi vai organizējusi palīdzību citai personai šo vielu pārdozēšanas gadījumā, tādējādi novēršot vai mazinot tās dzīvības un veselības apdraudējumu.</w:t>
      </w:r>
    </w:p>
    <w:p w14:paraId="4301D620" w14:textId="55FA5745" w:rsidR="0002014F" w:rsidRPr="009B4F07" w:rsidRDefault="00190E8B"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No lietas materiāliem izriet, ka izskatāmajā gadījumā apsūdzētais tēju bija vēlējies</w:t>
      </w:r>
      <w:r w:rsidR="0002014F" w:rsidRPr="009B4F07">
        <w:rPr>
          <w:rFonts w:asciiTheme="majorBidi" w:hAnsiTheme="majorBidi" w:cstheme="majorBidi"/>
        </w:rPr>
        <w:t xml:space="preserve"> </w:t>
      </w:r>
      <w:r w:rsidRPr="009B4F07">
        <w:rPr>
          <w:rFonts w:asciiTheme="majorBidi" w:hAnsiTheme="majorBidi" w:cstheme="majorBidi"/>
        </w:rPr>
        <w:t>uzdāvināt procesa virzītājai, kura pēc atteikšanās no šādas dāvanas pieņēma lēmumu par</w:t>
      </w:r>
      <w:r w:rsidR="0002014F" w:rsidRPr="009B4F07">
        <w:rPr>
          <w:rFonts w:asciiTheme="majorBidi" w:hAnsiTheme="majorBidi" w:cstheme="majorBidi"/>
        </w:rPr>
        <w:t xml:space="preserve"> </w:t>
      </w:r>
      <w:r w:rsidRPr="009B4F07">
        <w:rPr>
          <w:rFonts w:asciiTheme="majorBidi" w:hAnsiTheme="majorBidi" w:cstheme="majorBidi"/>
        </w:rPr>
        <w:t>tējas izņemšanu, ko apliecina protokols par izņemšanas izdarīšanu (</w:t>
      </w:r>
      <w:r w:rsidRPr="009B4F07">
        <w:rPr>
          <w:rFonts w:asciiTheme="majorBidi" w:hAnsiTheme="majorBidi" w:cstheme="majorBidi"/>
          <w:i/>
          <w:iCs/>
        </w:rPr>
        <w:t>lietas</w:t>
      </w:r>
      <w:r w:rsidR="00F12AA2" w:rsidRPr="009B4F07">
        <w:rPr>
          <w:rFonts w:asciiTheme="majorBidi" w:hAnsiTheme="majorBidi" w:cstheme="majorBidi"/>
          <w:i/>
          <w:iCs/>
        </w:rPr>
        <w:t xml:space="preserve"> 1. sējuma 17.</w:t>
      </w:r>
      <w:r w:rsidR="008156B1" w:rsidRPr="009B4F07">
        <w:rPr>
          <w:rFonts w:asciiTheme="majorBidi" w:hAnsiTheme="majorBidi" w:cstheme="majorBidi"/>
        </w:rPr>
        <w:t>–</w:t>
      </w:r>
      <w:r w:rsidR="00F12AA2" w:rsidRPr="009B4F07">
        <w:rPr>
          <w:rFonts w:asciiTheme="majorBidi" w:hAnsiTheme="majorBidi" w:cstheme="majorBidi"/>
          <w:i/>
          <w:iCs/>
        </w:rPr>
        <w:t>18. lapa</w:t>
      </w:r>
      <w:r w:rsidRPr="009B4F07">
        <w:rPr>
          <w:rFonts w:asciiTheme="majorBidi" w:hAnsiTheme="majorBidi" w:cstheme="majorBidi"/>
        </w:rPr>
        <w:t>).</w:t>
      </w:r>
    </w:p>
    <w:p w14:paraId="0733D6A9" w14:textId="1A88D260" w:rsidR="00190E8B" w:rsidRPr="009B4F07" w:rsidRDefault="00190E8B"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Tiesību doktrīnā ir atzīts, ka narkotisko vielu, psihotropo vielu, jaunu </w:t>
      </w:r>
      <w:proofErr w:type="spellStart"/>
      <w:r w:rsidRPr="009B4F07">
        <w:rPr>
          <w:rFonts w:asciiTheme="majorBidi" w:hAnsiTheme="majorBidi" w:cstheme="majorBidi"/>
        </w:rPr>
        <w:t>psihoaktīvo</w:t>
      </w:r>
      <w:proofErr w:type="spellEnd"/>
      <w:r w:rsidRPr="009B4F07">
        <w:rPr>
          <w:rFonts w:asciiTheme="majorBidi" w:hAnsiTheme="majorBidi" w:cstheme="majorBidi"/>
        </w:rPr>
        <w:t xml:space="preserve"> vielu vai tās saturošu izstrādājumu nodošana tāpat kā paziņošana par neatļautām darbībām ar šīm vielām izdarāma līdz brīdim, kamēr </w:t>
      </w:r>
      <w:proofErr w:type="spellStart"/>
      <w:r w:rsidRPr="009B4F07">
        <w:rPr>
          <w:rFonts w:asciiTheme="majorBidi" w:hAnsiTheme="majorBidi" w:cstheme="majorBidi"/>
        </w:rPr>
        <w:t>tiesībsargājošajām</w:t>
      </w:r>
      <w:proofErr w:type="spellEnd"/>
      <w:r w:rsidRPr="009B4F07">
        <w:rPr>
          <w:rFonts w:asciiTheme="majorBidi" w:hAnsiTheme="majorBidi" w:cstheme="majorBidi"/>
        </w:rPr>
        <w:t xml:space="preserve"> institūcijām nav kļuvis zināms par personas neatļautajām darbībām ar šīm vielām (</w:t>
      </w:r>
      <w:proofErr w:type="spellStart"/>
      <w:r w:rsidR="001B153A" w:rsidRPr="009B4F07">
        <w:rPr>
          <w:rFonts w:asciiTheme="majorBidi" w:hAnsiTheme="majorBidi" w:cstheme="majorBidi"/>
          <w:i/>
          <w:iCs/>
        </w:rPr>
        <w:t>Liholaja</w:t>
      </w:r>
      <w:proofErr w:type="spellEnd"/>
      <w:r w:rsidR="001B153A" w:rsidRPr="009B4F07">
        <w:rPr>
          <w:rFonts w:asciiTheme="majorBidi" w:hAnsiTheme="majorBidi" w:cstheme="majorBidi"/>
          <w:i/>
          <w:iCs/>
        </w:rPr>
        <w:t xml:space="preserve"> V. </w:t>
      </w:r>
      <w:r w:rsidRPr="009B4F07">
        <w:rPr>
          <w:rFonts w:asciiTheme="majorBidi" w:hAnsiTheme="majorBidi" w:cstheme="majorBidi"/>
          <w:i/>
          <w:iCs/>
        </w:rPr>
        <w:t>254.</w:t>
      </w:r>
      <w:r w:rsidR="001B153A" w:rsidRPr="009B4F07">
        <w:rPr>
          <w:rFonts w:asciiTheme="majorBidi" w:hAnsiTheme="majorBidi" w:cstheme="majorBidi"/>
          <w:i/>
          <w:iCs/>
        </w:rPr>
        <w:t> </w:t>
      </w:r>
      <w:r w:rsidRPr="009B4F07">
        <w:rPr>
          <w:rFonts w:asciiTheme="majorBidi" w:hAnsiTheme="majorBidi" w:cstheme="majorBidi"/>
          <w:i/>
          <w:iCs/>
        </w:rPr>
        <w:t xml:space="preserve">panta komentārs. </w:t>
      </w:r>
      <w:proofErr w:type="spellStart"/>
      <w:r w:rsidRPr="009B4F07">
        <w:rPr>
          <w:rFonts w:asciiTheme="majorBidi" w:hAnsiTheme="majorBidi" w:cstheme="majorBidi"/>
          <w:i/>
          <w:iCs/>
        </w:rPr>
        <w:t>Grām</w:t>
      </w:r>
      <w:proofErr w:type="spellEnd"/>
      <w:r w:rsidRPr="009B4F07">
        <w:rPr>
          <w:rFonts w:asciiTheme="majorBidi" w:hAnsiTheme="majorBidi" w:cstheme="majorBidi"/>
          <w:i/>
          <w:iCs/>
        </w:rPr>
        <w:t>.: Krimināllikuma komentāri. Trešā daļa (XVIII</w:t>
      </w:r>
      <w:r w:rsidR="00C353ED" w:rsidRPr="009B4F07">
        <w:rPr>
          <w:rFonts w:asciiTheme="majorBidi" w:hAnsiTheme="majorBidi" w:cstheme="majorBidi"/>
          <w:i/>
          <w:iCs/>
        </w:rPr>
        <w:t>–</w:t>
      </w:r>
      <w:r w:rsidRPr="009B4F07">
        <w:rPr>
          <w:rFonts w:asciiTheme="majorBidi" w:hAnsiTheme="majorBidi" w:cstheme="majorBidi"/>
          <w:i/>
          <w:iCs/>
        </w:rPr>
        <w:t>XXV</w:t>
      </w:r>
      <w:r w:rsidR="005B387E" w:rsidRPr="009B4F07">
        <w:rPr>
          <w:rFonts w:asciiTheme="majorBidi" w:hAnsiTheme="majorBidi" w:cstheme="majorBidi"/>
          <w:i/>
          <w:iCs/>
        </w:rPr>
        <w:t> </w:t>
      </w:r>
      <w:r w:rsidRPr="009B4F07">
        <w:rPr>
          <w:rFonts w:asciiTheme="majorBidi" w:hAnsiTheme="majorBidi" w:cstheme="majorBidi"/>
          <w:i/>
          <w:iCs/>
        </w:rPr>
        <w:t xml:space="preserve">nodaļa). Trešais papildinātais izdevums. </w:t>
      </w:r>
      <w:r w:rsidR="001B153A" w:rsidRPr="009B4F07">
        <w:rPr>
          <w:rFonts w:asciiTheme="majorBidi" w:hAnsiTheme="majorBidi" w:cstheme="majorBidi"/>
          <w:i/>
          <w:iCs/>
        </w:rPr>
        <w:t xml:space="preserve">Krastiņš U., </w:t>
      </w:r>
      <w:proofErr w:type="spellStart"/>
      <w:r w:rsidR="001B153A" w:rsidRPr="009B4F07">
        <w:rPr>
          <w:rFonts w:asciiTheme="majorBidi" w:hAnsiTheme="majorBidi" w:cstheme="majorBidi"/>
          <w:i/>
          <w:iCs/>
        </w:rPr>
        <w:t>Liholaja</w:t>
      </w:r>
      <w:proofErr w:type="spellEnd"/>
      <w:r w:rsidR="001B153A" w:rsidRPr="009B4F07">
        <w:rPr>
          <w:rFonts w:asciiTheme="majorBidi" w:hAnsiTheme="majorBidi" w:cstheme="majorBidi"/>
          <w:i/>
          <w:iCs/>
        </w:rPr>
        <w:t xml:space="preserve"> V., </w:t>
      </w:r>
      <w:proofErr w:type="spellStart"/>
      <w:r w:rsidR="001B153A" w:rsidRPr="009B4F07">
        <w:rPr>
          <w:rFonts w:asciiTheme="majorBidi" w:hAnsiTheme="majorBidi" w:cstheme="majorBidi"/>
          <w:i/>
          <w:iCs/>
        </w:rPr>
        <w:t>Hamkova</w:t>
      </w:r>
      <w:proofErr w:type="spellEnd"/>
      <w:r w:rsidR="001B153A" w:rsidRPr="009B4F07">
        <w:rPr>
          <w:rFonts w:asciiTheme="majorBidi" w:hAnsiTheme="majorBidi" w:cstheme="majorBidi"/>
          <w:i/>
          <w:iCs/>
        </w:rPr>
        <w:t xml:space="preserve"> D. </w:t>
      </w:r>
      <w:r w:rsidRPr="009B4F07">
        <w:rPr>
          <w:rFonts w:asciiTheme="majorBidi" w:hAnsiTheme="majorBidi" w:cstheme="majorBidi"/>
          <w:i/>
          <w:iCs/>
        </w:rPr>
        <w:t>Rīga: Tiesu namu aģentūra, 2023, 457.</w:t>
      </w:r>
      <w:r w:rsidR="00C353ED" w:rsidRPr="009B4F07">
        <w:rPr>
          <w:rFonts w:asciiTheme="majorBidi" w:hAnsiTheme="majorBidi" w:cstheme="majorBidi"/>
        </w:rPr>
        <w:t>–</w:t>
      </w:r>
      <w:r w:rsidRPr="009B4F07">
        <w:rPr>
          <w:rFonts w:asciiTheme="majorBidi" w:hAnsiTheme="majorBidi" w:cstheme="majorBidi"/>
          <w:i/>
          <w:iCs/>
        </w:rPr>
        <w:t>458.</w:t>
      </w:r>
      <w:r w:rsidR="00BD49F8" w:rsidRPr="009B4F07">
        <w:rPr>
          <w:rFonts w:asciiTheme="majorBidi" w:hAnsiTheme="majorBidi" w:cstheme="majorBidi"/>
          <w:i/>
          <w:iCs/>
        </w:rPr>
        <w:t> </w:t>
      </w:r>
      <w:r w:rsidRPr="009B4F07">
        <w:rPr>
          <w:rFonts w:asciiTheme="majorBidi" w:hAnsiTheme="majorBidi" w:cstheme="majorBidi"/>
          <w:i/>
          <w:iCs/>
        </w:rPr>
        <w:t>lpp.</w:t>
      </w:r>
      <w:r w:rsidRPr="009B4F07">
        <w:rPr>
          <w:rFonts w:asciiTheme="majorBidi" w:hAnsiTheme="majorBidi" w:cstheme="majorBidi"/>
        </w:rPr>
        <w:t>)</w:t>
      </w:r>
      <w:r w:rsidR="00C87096" w:rsidRPr="009B4F07">
        <w:rPr>
          <w:rFonts w:asciiTheme="majorBidi" w:hAnsiTheme="majorBidi" w:cstheme="majorBidi"/>
        </w:rPr>
        <w:t>.</w:t>
      </w:r>
    </w:p>
    <w:p w14:paraId="21C58E55" w14:textId="6E4EC144" w:rsidR="00190E8B" w:rsidRPr="009B4F07" w:rsidRDefault="00190E8B"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Apsūdzētā labprātīga tējas paciņas atdošana fiksēta jau izņemšanas proce</w:t>
      </w:r>
      <w:r w:rsidR="00BB7AD4" w:rsidRPr="009B4F07">
        <w:rPr>
          <w:rFonts w:asciiTheme="majorBidi" w:hAnsiTheme="majorBidi" w:cstheme="majorBidi"/>
        </w:rPr>
        <w:t>dūras</w:t>
      </w:r>
      <w:r w:rsidRPr="009B4F07">
        <w:rPr>
          <w:rFonts w:asciiTheme="majorBidi" w:hAnsiTheme="majorBidi" w:cstheme="majorBidi"/>
        </w:rPr>
        <w:t xml:space="preserve"> ietvaros, kad procesa virzītāja bija pieņēmusi lēmumu par minētās tējas izņemšanu. </w:t>
      </w:r>
      <w:r w:rsidR="00BB7AD4" w:rsidRPr="009B4F07">
        <w:rPr>
          <w:rFonts w:asciiTheme="majorBidi" w:hAnsiTheme="majorBidi" w:cstheme="majorBidi"/>
        </w:rPr>
        <w:t>A</w:t>
      </w:r>
      <w:r w:rsidRPr="009B4F07">
        <w:rPr>
          <w:rFonts w:asciiTheme="majorBidi" w:hAnsiTheme="majorBidi" w:cstheme="majorBidi"/>
        </w:rPr>
        <w:t>psūdzētā darbībām – mēģinājumam uzdāvināt tējas paciņu procesa virzītājai – bija no Krimināllikuma 254.</w:t>
      </w:r>
      <w:r w:rsidR="001B153A" w:rsidRPr="009B4F07">
        <w:rPr>
          <w:rFonts w:asciiTheme="majorBidi" w:hAnsiTheme="majorBidi" w:cstheme="majorBidi"/>
        </w:rPr>
        <w:t> </w:t>
      </w:r>
      <w:r w:rsidRPr="009B4F07">
        <w:rPr>
          <w:rFonts w:asciiTheme="majorBidi" w:hAnsiTheme="majorBidi" w:cstheme="majorBidi"/>
        </w:rPr>
        <w:t>pantā paredzētajām darbībām atšķirīgs mērķis, līdz ar to</w:t>
      </w:r>
      <w:r w:rsidR="00521E1F" w:rsidRPr="009B4F07">
        <w:rPr>
          <w:rFonts w:asciiTheme="majorBidi" w:hAnsiTheme="majorBidi" w:cstheme="majorBidi"/>
        </w:rPr>
        <w:t xml:space="preserve"> tiesa pamatoti apsūdzētā darbībās nav konstatējusi </w:t>
      </w:r>
      <w:r w:rsidRPr="009B4F07">
        <w:rPr>
          <w:rFonts w:asciiTheme="majorBidi" w:hAnsiTheme="majorBidi" w:cstheme="majorBidi"/>
        </w:rPr>
        <w:t>Krimināllikuma 254.</w:t>
      </w:r>
      <w:r w:rsidR="001B153A" w:rsidRPr="009B4F07">
        <w:rPr>
          <w:rFonts w:asciiTheme="majorBidi" w:hAnsiTheme="majorBidi" w:cstheme="majorBidi"/>
        </w:rPr>
        <w:t> </w:t>
      </w:r>
      <w:r w:rsidRPr="009B4F07">
        <w:rPr>
          <w:rFonts w:asciiTheme="majorBidi" w:hAnsiTheme="majorBidi" w:cstheme="majorBidi"/>
        </w:rPr>
        <w:t>panta pazīmes.</w:t>
      </w:r>
    </w:p>
    <w:p w14:paraId="7C4A08B8" w14:textId="5B5F5343" w:rsidR="000D2845" w:rsidRPr="009B4F07" w:rsidRDefault="00AC5CCA"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2D7AE8" w:rsidRPr="009B4F07">
        <w:rPr>
          <w:rFonts w:asciiTheme="majorBidi" w:hAnsiTheme="majorBidi" w:cstheme="majorBidi"/>
        </w:rPr>
        <w:t>12.</w:t>
      </w:r>
      <w:r w:rsidR="009C731A" w:rsidRPr="009B4F07">
        <w:rPr>
          <w:rFonts w:asciiTheme="majorBidi" w:hAnsiTheme="majorBidi" w:cstheme="majorBidi"/>
        </w:rPr>
        <w:t>6</w:t>
      </w:r>
      <w:r w:rsidR="002D7AE8" w:rsidRPr="009B4F07">
        <w:rPr>
          <w:rFonts w:asciiTheme="majorBidi" w:hAnsiTheme="majorBidi" w:cstheme="majorBidi"/>
        </w:rPr>
        <w:t xml:space="preserve">] Secināms, ka apelācijas instances tiesa </w:t>
      </w:r>
      <w:r w:rsidR="000D2845" w:rsidRPr="009B4F07">
        <w:rPr>
          <w:rFonts w:asciiTheme="majorBidi" w:hAnsiTheme="majorBidi" w:cstheme="majorBidi"/>
        </w:rPr>
        <w:t xml:space="preserve">ir izvērtējusi pierādījumus kopumā un savstarpējā sakarībā un </w:t>
      </w:r>
      <w:r w:rsidR="002D7AE8" w:rsidRPr="009B4F07">
        <w:rPr>
          <w:rFonts w:asciiTheme="majorBidi" w:hAnsiTheme="majorBidi" w:cstheme="majorBidi"/>
        </w:rPr>
        <w:t xml:space="preserve">pamatoti atzinusi, ka apsūdzētā </w:t>
      </w:r>
      <w:r w:rsidR="00EF2C6B">
        <w:rPr>
          <w:rFonts w:asciiTheme="majorBidi" w:hAnsiTheme="majorBidi" w:cstheme="majorBidi"/>
        </w:rPr>
        <w:t>[pers. A]</w:t>
      </w:r>
      <w:r w:rsidR="002D7AE8" w:rsidRPr="009B4F07">
        <w:rPr>
          <w:rFonts w:asciiTheme="majorBidi" w:hAnsiTheme="majorBidi" w:cstheme="majorBidi"/>
        </w:rPr>
        <w:t xml:space="preserve"> vain</w:t>
      </w:r>
      <w:r w:rsidR="007F2200" w:rsidRPr="009B4F07">
        <w:rPr>
          <w:rFonts w:asciiTheme="majorBidi" w:hAnsiTheme="majorBidi" w:cstheme="majorBidi"/>
        </w:rPr>
        <w:t>īgums</w:t>
      </w:r>
      <w:r w:rsidR="002D7AE8" w:rsidRPr="009B4F07">
        <w:rPr>
          <w:rFonts w:asciiTheme="majorBidi" w:hAnsiTheme="majorBidi" w:cstheme="majorBidi"/>
        </w:rPr>
        <w:t xml:space="preserve"> Krimināllikuma 253.</w:t>
      </w:r>
      <w:r w:rsidR="002D7AE8" w:rsidRPr="009B4F07">
        <w:rPr>
          <w:rFonts w:asciiTheme="majorBidi" w:hAnsiTheme="majorBidi" w:cstheme="majorBidi"/>
          <w:vertAlign w:val="superscript"/>
        </w:rPr>
        <w:t>1</w:t>
      </w:r>
      <w:r w:rsidR="002D7AE8" w:rsidRPr="009B4F07">
        <w:rPr>
          <w:rFonts w:asciiTheme="majorBidi" w:hAnsiTheme="majorBidi" w:cstheme="majorBidi"/>
        </w:rPr>
        <w:t> panta pirmajā daļā paredzētā noziedzīgā nodarījuma izdarīšanā</w:t>
      </w:r>
      <w:r w:rsidR="000D2845" w:rsidRPr="009B4F07">
        <w:rPr>
          <w:rFonts w:asciiTheme="majorBidi" w:hAnsiTheme="majorBidi" w:cstheme="majorBidi"/>
        </w:rPr>
        <w:t xml:space="preserve"> ir pierādīt</w:t>
      </w:r>
      <w:r w:rsidR="007F2200" w:rsidRPr="009B4F07">
        <w:rPr>
          <w:rFonts w:asciiTheme="majorBidi" w:hAnsiTheme="majorBidi" w:cstheme="majorBidi"/>
        </w:rPr>
        <w:t>s</w:t>
      </w:r>
      <w:r w:rsidR="002D7AE8" w:rsidRPr="009B4F07">
        <w:rPr>
          <w:rFonts w:asciiTheme="majorBidi" w:hAnsiTheme="majorBidi" w:cstheme="majorBidi"/>
        </w:rPr>
        <w:t>.</w:t>
      </w:r>
    </w:p>
    <w:p w14:paraId="4B4DBAB8" w14:textId="77777777" w:rsidR="00190E8B" w:rsidRPr="009B4F07" w:rsidRDefault="00190E8B" w:rsidP="00F108AC">
      <w:pPr>
        <w:shd w:val="clear" w:color="auto" w:fill="FFFFFF"/>
        <w:spacing w:line="276" w:lineRule="auto"/>
        <w:ind w:firstLine="720"/>
        <w:jc w:val="both"/>
        <w:rPr>
          <w:rFonts w:asciiTheme="majorBidi" w:hAnsiTheme="majorBidi" w:cstheme="majorBidi"/>
        </w:rPr>
      </w:pPr>
    </w:p>
    <w:p w14:paraId="2B992620" w14:textId="679484C1" w:rsidR="00B73F73" w:rsidRPr="009B4F07" w:rsidRDefault="009A5C95"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6F7CB3" w:rsidRPr="009B4F07">
        <w:rPr>
          <w:rFonts w:asciiTheme="majorBidi" w:hAnsiTheme="majorBidi" w:cstheme="majorBidi"/>
        </w:rPr>
        <w:t>1</w:t>
      </w:r>
      <w:r w:rsidR="003E180C" w:rsidRPr="009B4F07">
        <w:rPr>
          <w:rFonts w:asciiTheme="majorBidi" w:hAnsiTheme="majorBidi" w:cstheme="majorBidi"/>
        </w:rPr>
        <w:t>3</w:t>
      </w:r>
      <w:r w:rsidRPr="009B4F07">
        <w:rPr>
          <w:rFonts w:asciiTheme="majorBidi" w:hAnsiTheme="majorBidi" w:cstheme="majorBidi"/>
        </w:rPr>
        <w:t>]</w:t>
      </w:r>
      <w:r w:rsidR="00E96724" w:rsidRPr="009B4F07">
        <w:rPr>
          <w:rFonts w:asciiTheme="majorBidi" w:hAnsiTheme="majorBidi" w:cstheme="majorBidi"/>
        </w:rPr>
        <w:t> </w:t>
      </w:r>
      <w:r w:rsidRPr="009B4F07">
        <w:rPr>
          <w:rFonts w:asciiTheme="majorBidi" w:hAnsiTheme="majorBidi" w:cstheme="majorBidi"/>
        </w:rPr>
        <w:t xml:space="preserve">Lemjot jautājumu par apsūdzētājam </w:t>
      </w:r>
      <w:r w:rsidR="00EF2C6B">
        <w:rPr>
          <w:rFonts w:asciiTheme="majorBidi" w:hAnsiTheme="majorBidi" w:cstheme="majorBidi"/>
        </w:rPr>
        <w:t>[pers. A]</w:t>
      </w:r>
      <w:r w:rsidRPr="009B4F07">
        <w:rPr>
          <w:rFonts w:asciiTheme="majorBidi" w:hAnsiTheme="majorBidi" w:cstheme="majorBidi"/>
        </w:rPr>
        <w:t xml:space="preserve"> nosakāmo soda veidu un mēru</w:t>
      </w:r>
      <w:r w:rsidR="00761C4C" w:rsidRPr="009B4F07">
        <w:rPr>
          <w:rFonts w:asciiTheme="majorBidi" w:hAnsiTheme="majorBidi" w:cstheme="majorBidi"/>
        </w:rPr>
        <w:t>,</w:t>
      </w:r>
      <w:r w:rsidRPr="009B4F07">
        <w:rPr>
          <w:rFonts w:asciiTheme="majorBidi" w:hAnsiTheme="majorBidi" w:cstheme="majorBidi"/>
        </w:rPr>
        <w:t xml:space="preserve"> apelācijas instances tiesa ir ņēmusi vērā Krimināllikuma 35.</w:t>
      </w:r>
      <w:r w:rsidR="00761C4C" w:rsidRPr="009B4F07">
        <w:rPr>
          <w:rFonts w:asciiTheme="majorBidi" w:hAnsiTheme="majorBidi" w:cstheme="majorBidi"/>
        </w:rPr>
        <w:t xml:space="preserve"> un</w:t>
      </w:r>
      <w:r w:rsidRPr="009B4F07">
        <w:rPr>
          <w:rFonts w:asciiTheme="majorBidi" w:hAnsiTheme="majorBidi" w:cstheme="majorBidi"/>
        </w:rPr>
        <w:t xml:space="preserve"> 46. panta no</w:t>
      </w:r>
      <w:r w:rsidR="00B73F73" w:rsidRPr="009B4F07">
        <w:rPr>
          <w:rFonts w:asciiTheme="majorBidi" w:hAnsiTheme="majorBidi" w:cstheme="majorBidi"/>
        </w:rPr>
        <w:t>sacījumus.</w:t>
      </w:r>
    </w:p>
    <w:p w14:paraId="10CC5935" w14:textId="77777777" w:rsidR="00C87096" w:rsidRPr="009B4F07" w:rsidRDefault="00B73F73"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Tiesa ir izvērtējusi apsūdzētā iesniegtās ziņas par viņa veselības stāvokli un secinājusi, ka tās neliecina par to, ka apsūdzētajam kā personai, kurai noteikta invaliditāte, būtu nepieciešama īpaša aprūpe vai kopšana.</w:t>
      </w:r>
    </w:p>
    <w:p w14:paraId="4512695B" w14:textId="3B1A9C70" w:rsidR="004B7967" w:rsidRPr="009B4F07" w:rsidRDefault="00761C4C"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Secinot</w:t>
      </w:r>
      <w:r w:rsidR="00B73F73" w:rsidRPr="009B4F07">
        <w:rPr>
          <w:rFonts w:asciiTheme="majorBidi" w:hAnsiTheme="majorBidi" w:cstheme="majorBidi"/>
        </w:rPr>
        <w:t>, ka nav ievērotas</w:t>
      </w:r>
      <w:r w:rsidR="009A5C95" w:rsidRPr="009B4F07">
        <w:rPr>
          <w:rFonts w:asciiTheme="majorBidi" w:hAnsiTheme="majorBidi" w:cstheme="majorBidi"/>
        </w:rPr>
        <w:t xml:space="preserve"> apsūdzētā tiesībās uz kriminālprocesa pabeigšanu saprātīgā termiņā</w:t>
      </w:r>
      <w:r w:rsidR="00B73F73" w:rsidRPr="009B4F07">
        <w:rPr>
          <w:rFonts w:asciiTheme="majorBidi" w:hAnsiTheme="majorBidi" w:cstheme="majorBidi"/>
        </w:rPr>
        <w:t xml:space="preserve">, tiesa soda noteikšanā piemērojusi </w:t>
      </w:r>
      <w:r w:rsidR="009A5C95" w:rsidRPr="009B4F07">
        <w:rPr>
          <w:rFonts w:asciiTheme="majorBidi" w:hAnsiTheme="majorBidi" w:cstheme="majorBidi"/>
        </w:rPr>
        <w:t>Krimināllikuma 49.</w:t>
      </w:r>
      <w:r w:rsidR="009A5C95" w:rsidRPr="009B4F07">
        <w:rPr>
          <w:rFonts w:asciiTheme="majorBidi" w:hAnsiTheme="majorBidi" w:cstheme="majorBidi"/>
          <w:vertAlign w:val="superscript"/>
        </w:rPr>
        <w:t>1</w:t>
      </w:r>
      <w:r w:rsidR="00BD49F8" w:rsidRPr="009B4F07">
        <w:rPr>
          <w:rFonts w:asciiTheme="majorBidi" w:hAnsiTheme="majorBidi" w:cstheme="majorBidi"/>
        </w:rPr>
        <w:t> </w:t>
      </w:r>
      <w:r w:rsidR="009A5C95" w:rsidRPr="009B4F07">
        <w:rPr>
          <w:rFonts w:asciiTheme="majorBidi" w:hAnsiTheme="majorBidi" w:cstheme="majorBidi"/>
        </w:rPr>
        <w:t>panta pirmās daļas 2. </w:t>
      </w:r>
      <w:r w:rsidR="00584D41" w:rsidRPr="009B4F07">
        <w:rPr>
          <w:rFonts w:asciiTheme="majorBidi" w:hAnsiTheme="majorBidi" w:cstheme="majorBidi"/>
        </w:rPr>
        <w:t>punkta nosacījumus.</w:t>
      </w:r>
    </w:p>
    <w:p w14:paraId="0ABCF6EA" w14:textId="77777777" w:rsidR="004B7967" w:rsidRPr="009B4F07" w:rsidRDefault="004B7967" w:rsidP="00F108AC">
      <w:pPr>
        <w:shd w:val="clear" w:color="auto" w:fill="FFFFFF"/>
        <w:spacing w:line="276" w:lineRule="auto"/>
        <w:ind w:firstLine="720"/>
        <w:jc w:val="both"/>
        <w:rPr>
          <w:rFonts w:asciiTheme="majorBidi" w:hAnsiTheme="majorBidi" w:cstheme="majorBidi"/>
        </w:rPr>
      </w:pPr>
    </w:p>
    <w:p w14:paraId="7585D778" w14:textId="2520EF7B" w:rsidR="007E5356" w:rsidRPr="009B4F07" w:rsidRDefault="007E5356"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w:t>
      </w:r>
      <w:r w:rsidR="006F7CB3" w:rsidRPr="009B4F07">
        <w:rPr>
          <w:rFonts w:asciiTheme="majorBidi" w:hAnsiTheme="majorBidi" w:cstheme="majorBidi"/>
        </w:rPr>
        <w:t>1</w:t>
      </w:r>
      <w:r w:rsidR="003E180C" w:rsidRPr="009B4F07">
        <w:rPr>
          <w:rFonts w:asciiTheme="majorBidi" w:hAnsiTheme="majorBidi" w:cstheme="majorBidi"/>
        </w:rPr>
        <w:t>4</w:t>
      </w:r>
      <w:r w:rsidRPr="009B4F07">
        <w:rPr>
          <w:rFonts w:asciiTheme="majorBidi" w:hAnsiTheme="majorBidi" w:cstheme="majorBidi"/>
        </w:rPr>
        <w:t>] Ievērojot minēto apsvērum</w:t>
      </w:r>
      <w:r w:rsidR="007F2200" w:rsidRPr="009B4F07">
        <w:rPr>
          <w:rFonts w:asciiTheme="majorBidi" w:hAnsiTheme="majorBidi" w:cstheme="majorBidi"/>
        </w:rPr>
        <w:t>u</w:t>
      </w:r>
      <w:r w:rsidRPr="009B4F07">
        <w:rPr>
          <w:rFonts w:asciiTheme="majorBidi" w:hAnsiTheme="majorBidi" w:cstheme="majorBidi"/>
        </w:rPr>
        <w:t xml:space="preserve"> kopumu, Senāts atzīst, ka Rīgas apgabaltiesas 2024. gada 23. oktobra spriedums atstājams negrozīts, bet apsūdzētā </w:t>
      </w:r>
      <w:r w:rsidR="00EF2C6B">
        <w:rPr>
          <w:rFonts w:asciiTheme="majorBidi" w:hAnsiTheme="majorBidi" w:cstheme="majorBidi"/>
        </w:rPr>
        <w:t>[pers. A]</w:t>
      </w:r>
      <w:r w:rsidRPr="009B4F07">
        <w:rPr>
          <w:rFonts w:asciiTheme="majorBidi" w:hAnsiTheme="majorBidi" w:cstheme="majorBidi"/>
        </w:rPr>
        <w:t xml:space="preserve"> un viņa aizstāvja </w:t>
      </w:r>
      <w:r w:rsidR="004E213C" w:rsidRPr="009B4F07">
        <w:rPr>
          <w:rFonts w:asciiTheme="majorBidi" w:hAnsiTheme="majorBidi" w:cstheme="majorBidi"/>
        </w:rPr>
        <w:t>Ē. </w:t>
      </w:r>
      <w:r w:rsidRPr="009B4F07">
        <w:rPr>
          <w:rFonts w:asciiTheme="majorBidi" w:hAnsiTheme="majorBidi" w:cstheme="majorBidi"/>
        </w:rPr>
        <w:t>Štālberga kasācijas sūdzības noraidāmas.</w:t>
      </w:r>
    </w:p>
    <w:p w14:paraId="5BA651EB" w14:textId="77777777" w:rsidR="00F90F83" w:rsidRPr="009B4F07" w:rsidRDefault="00F90F83" w:rsidP="00F108AC">
      <w:pPr>
        <w:spacing w:line="276" w:lineRule="auto"/>
        <w:jc w:val="both"/>
        <w:rPr>
          <w:rFonts w:asciiTheme="majorBidi" w:hAnsiTheme="majorBidi" w:cstheme="majorBidi"/>
        </w:rPr>
      </w:pPr>
    </w:p>
    <w:p w14:paraId="12CBFC44" w14:textId="48602088" w:rsidR="00447EE6" w:rsidRPr="009B4F07" w:rsidRDefault="00447EE6" w:rsidP="00F108AC">
      <w:pPr>
        <w:shd w:val="clear" w:color="auto" w:fill="FFFFFF"/>
        <w:spacing w:line="276" w:lineRule="auto"/>
        <w:jc w:val="center"/>
        <w:rPr>
          <w:rFonts w:asciiTheme="majorBidi" w:hAnsiTheme="majorBidi" w:cstheme="majorBidi"/>
          <w:b/>
        </w:rPr>
      </w:pPr>
      <w:r w:rsidRPr="009B4F07">
        <w:rPr>
          <w:rFonts w:asciiTheme="majorBidi" w:hAnsiTheme="majorBidi" w:cstheme="majorBidi"/>
          <w:b/>
        </w:rPr>
        <w:t>Rezolutīvā daļa</w:t>
      </w:r>
    </w:p>
    <w:p w14:paraId="794A995D" w14:textId="77777777" w:rsidR="00F90F83" w:rsidRPr="009B4F07" w:rsidRDefault="00F90F83" w:rsidP="00F108AC">
      <w:pPr>
        <w:shd w:val="clear" w:color="auto" w:fill="FFFFFF"/>
        <w:spacing w:line="276" w:lineRule="auto"/>
        <w:jc w:val="center"/>
        <w:rPr>
          <w:rFonts w:asciiTheme="majorBidi" w:hAnsiTheme="majorBidi" w:cstheme="majorBidi"/>
          <w:b/>
        </w:rPr>
      </w:pPr>
    </w:p>
    <w:p w14:paraId="369988FB" w14:textId="146D3658" w:rsidR="00447EE6" w:rsidRPr="009B4F07" w:rsidRDefault="00447EE6" w:rsidP="00F108AC">
      <w:pPr>
        <w:shd w:val="clear" w:color="auto" w:fill="FFFFFF"/>
        <w:spacing w:line="276" w:lineRule="auto"/>
        <w:ind w:firstLine="720"/>
        <w:jc w:val="both"/>
        <w:rPr>
          <w:rFonts w:asciiTheme="majorBidi" w:hAnsiTheme="majorBidi" w:cstheme="majorBidi"/>
        </w:rPr>
      </w:pPr>
      <w:r w:rsidRPr="009B4F07">
        <w:rPr>
          <w:rFonts w:asciiTheme="majorBidi" w:hAnsiTheme="majorBidi" w:cstheme="majorBidi"/>
        </w:rPr>
        <w:t xml:space="preserve">Pamatojoties uz </w:t>
      </w:r>
      <w:r w:rsidR="007E5356" w:rsidRPr="009B4F07">
        <w:rPr>
          <w:rFonts w:asciiTheme="majorBidi" w:hAnsiTheme="majorBidi" w:cstheme="majorBidi"/>
        </w:rPr>
        <w:t xml:space="preserve">Kriminālprocesa likuma </w:t>
      </w:r>
      <w:r w:rsidR="00E96724" w:rsidRPr="009B4F07">
        <w:rPr>
          <w:rFonts w:asciiTheme="majorBidi" w:hAnsiTheme="majorBidi" w:cstheme="majorBidi"/>
        </w:rPr>
        <w:t xml:space="preserve">585. pantu un </w:t>
      </w:r>
      <w:r w:rsidR="007E5356" w:rsidRPr="009B4F07">
        <w:rPr>
          <w:rFonts w:asciiTheme="majorBidi" w:hAnsiTheme="majorBidi" w:cstheme="majorBidi"/>
        </w:rPr>
        <w:t xml:space="preserve">587. panta pirmās daļas </w:t>
      </w:r>
      <w:r w:rsidR="00E96724" w:rsidRPr="009B4F07">
        <w:rPr>
          <w:rFonts w:asciiTheme="majorBidi" w:hAnsiTheme="majorBidi" w:cstheme="majorBidi"/>
        </w:rPr>
        <w:t>1. punktu,</w:t>
      </w:r>
      <w:r w:rsidR="007E5356" w:rsidRPr="009B4F07">
        <w:rPr>
          <w:rFonts w:asciiTheme="majorBidi" w:hAnsiTheme="majorBidi" w:cstheme="majorBidi"/>
        </w:rPr>
        <w:t xml:space="preserve"> </w:t>
      </w:r>
      <w:r w:rsidRPr="009B4F07">
        <w:rPr>
          <w:rFonts w:asciiTheme="majorBidi" w:hAnsiTheme="majorBidi" w:cstheme="majorBidi"/>
        </w:rPr>
        <w:t>Senāts</w:t>
      </w:r>
    </w:p>
    <w:p w14:paraId="2A717473" w14:textId="77777777" w:rsidR="00E46BC4" w:rsidRDefault="00E46BC4" w:rsidP="00F108AC">
      <w:pPr>
        <w:shd w:val="clear" w:color="auto" w:fill="FFFFFF"/>
        <w:spacing w:line="276" w:lineRule="auto"/>
        <w:ind w:firstLine="720"/>
        <w:jc w:val="both"/>
        <w:rPr>
          <w:rFonts w:asciiTheme="majorBidi" w:hAnsiTheme="majorBidi" w:cstheme="majorBidi"/>
        </w:rPr>
      </w:pPr>
    </w:p>
    <w:p w14:paraId="0D6C99A2" w14:textId="77777777" w:rsidR="00E46BC4" w:rsidRPr="009B4F07" w:rsidRDefault="00E46BC4" w:rsidP="00F108AC">
      <w:pPr>
        <w:shd w:val="clear" w:color="auto" w:fill="FFFFFF"/>
        <w:spacing w:line="276" w:lineRule="auto"/>
        <w:ind w:firstLine="720"/>
        <w:jc w:val="both"/>
        <w:rPr>
          <w:rFonts w:asciiTheme="majorBidi" w:hAnsiTheme="majorBidi" w:cstheme="majorBidi"/>
        </w:rPr>
      </w:pPr>
    </w:p>
    <w:p w14:paraId="297C80CD" w14:textId="66B4C650" w:rsidR="00447EE6" w:rsidRPr="009B4F07" w:rsidRDefault="00447EE6" w:rsidP="00F108AC">
      <w:pPr>
        <w:shd w:val="clear" w:color="auto" w:fill="FFFFFF"/>
        <w:spacing w:line="276" w:lineRule="auto"/>
        <w:jc w:val="center"/>
        <w:rPr>
          <w:rFonts w:asciiTheme="majorBidi" w:hAnsiTheme="majorBidi" w:cstheme="majorBidi"/>
          <w:b/>
        </w:rPr>
      </w:pPr>
      <w:r w:rsidRPr="009B4F07">
        <w:rPr>
          <w:rFonts w:asciiTheme="majorBidi" w:hAnsiTheme="majorBidi" w:cstheme="majorBidi"/>
          <w:b/>
        </w:rPr>
        <w:t>no</w:t>
      </w:r>
      <w:r w:rsidR="0034528B" w:rsidRPr="009B4F07">
        <w:rPr>
          <w:rFonts w:asciiTheme="majorBidi" w:hAnsiTheme="majorBidi" w:cstheme="majorBidi"/>
          <w:b/>
        </w:rPr>
        <w:t>lēm</w:t>
      </w:r>
      <w:r w:rsidRPr="009B4F07">
        <w:rPr>
          <w:rFonts w:asciiTheme="majorBidi" w:hAnsiTheme="majorBidi" w:cstheme="majorBidi"/>
          <w:b/>
        </w:rPr>
        <w:t>a</w:t>
      </w:r>
    </w:p>
    <w:p w14:paraId="7BCF5834" w14:textId="77777777" w:rsidR="004B7967" w:rsidRPr="009B4F07" w:rsidRDefault="004B7967" w:rsidP="00F108AC">
      <w:pPr>
        <w:spacing w:line="276" w:lineRule="auto"/>
        <w:jc w:val="both"/>
        <w:rPr>
          <w:rFonts w:asciiTheme="majorBidi" w:hAnsiTheme="majorBidi" w:cstheme="majorBidi"/>
          <w:b/>
        </w:rPr>
      </w:pPr>
    </w:p>
    <w:p w14:paraId="6E71DD63" w14:textId="61ECFBD1" w:rsidR="00447EE6" w:rsidRPr="009B4F07" w:rsidRDefault="007E5356" w:rsidP="00F108AC">
      <w:pPr>
        <w:spacing w:line="276" w:lineRule="auto"/>
        <w:ind w:firstLine="709"/>
        <w:jc w:val="both"/>
        <w:rPr>
          <w:rFonts w:asciiTheme="majorBidi" w:hAnsiTheme="majorBidi" w:cstheme="majorBidi"/>
        </w:rPr>
      </w:pPr>
      <w:r w:rsidRPr="009B4F07">
        <w:rPr>
          <w:rFonts w:asciiTheme="majorBidi" w:hAnsiTheme="majorBidi" w:cstheme="majorBidi"/>
        </w:rPr>
        <w:t>atstāt negrozītu Rīgas apgabaltiesas 2024. gada 23.</w:t>
      </w:r>
      <w:r w:rsidR="00AA4F65" w:rsidRPr="009B4F07">
        <w:rPr>
          <w:rFonts w:asciiTheme="majorBidi" w:hAnsiTheme="majorBidi" w:cstheme="majorBidi"/>
        </w:rPr>
        <w:t> </w:t>
      </w:r>
      <w:r w:rsidRPr="009B4F07">
        <w:rPr>
          <w:rFonts w:asciiTheme="majorBidi" w:hAnsiTheme="majorBidi" w:cstheme="majorBidi"/>
        </w:rPr>
        <w:t xml:space="preserve">oktobra spriedumu, bet apsūdzētā </w:t>
      </w:r>
      <w:r w:rsidR="00EF2C6B">
        <w:rPr>
          <w:rFonts w:asciiTheme="majorBidi" w:hAnsiTheme="majorBidi" w:cstheme="majorBidi"/>
        </w:rPr>
        <w:t>[pers. A]</w:t>
      </w:r>
      <w:r w:rsidRPr="009B4F07">
        <w:rPr>
          <w:rFonts w:asciiTheme="majorBidi" w:hAnsiTheme="majorBidi" w:cstheme="majorBidi"/>
        </w:rPr>
        <w:t xml:space="preserve"> un viņa aizstāvja zvērinā</w:t>
      </w:r>
      <w:r w:rsidR="00CE5043" w:rsidRPr="009B4F07">
        <w:rPr>
          <w:rFonts w:asciiTheme="majorBidi" w:hAnsiTheme="majorBidi" w:cstheme="majorBidi"/>
        </w:rPr>
        <w:t>t</w:t>
      </w:r>
      <w:r w:rsidRPr="009B4F07">
        <w:rPr>
          <w:rFonts w:asciiTheme="majorBidi" w:hAnsiTheme="majorBidi" w:cstheme="majorBidi"/>
        </w:rPr>
        <w:t>a advokāta Ērika Štālberga kasācijas sūdzīb</w:t>
      </w:r>
      <w:r w:rsidR="00EE5451" w:rsidRPr="009B4F07">
        <w:rPr>
          <w:rFonts w:asciiTheme="majorBidi" w:hAnsiTheme="majorBidi" w:cstheme="majorBidi"/>
        </w:rPr>
        <w:t>as</w:t>
      </w:r>
      <w:r w:rsidRPr="009B4F07">
        <w:rPr>
          <w:rFonts w:asciiTheme="majorBidi" w:hAnsiTheme="majorBidi" w:cstheme="majorBidi"/>
        </w:rPr>
        <w:t xml:space="preserve"> noraidīt.</w:t>
      </w:r>
    </w:p>
    <w:p w14:paraId="75B39484" w14:textId="77777777" w:rsidR="007E5356" w:rsidRPr="009B4F07" w:rsidRDefault="007E5356" w:rsidP="00F108AC">
      <w:pPr>
        <w:spacing w:line="276" w:lineRule="auto"/>
        <w:ind w:firstLine="709"/>
        <w:rPr>
          <w:rFonts w:asciiTheme="majorBidi" w:hAnsiTheme="majorBidi" w:cstheme="majorBidi"/>
        </w:rPr>
      </w:pPr>
    </w:p>
    <w:p w14:paraId="049D1CB4" w14:textId="5B85688D" w:rsidR="00447EE6" w:rsidRPr="009B4F07" w:rsidRDefault="007E5356" w:rsidP="00EF2C6B">
      <w:pPr>
        <w:spacing w:line="276" w:lineRule="auto"/>
        <w:ind w:firstLine="709"/>
        <w:rPr>
          <w:rFonts w:asciiTheme="majorBidi" w:hAnsiTheme="majorBidi" w:cstheme="majorBidi"/>
        </w:rPr>
      </w:pPr>
      <w:r w:rsidRPr="009B4F07">
        <w:rPr>
          <w:rFonts w:asciiTheme="majorBidi" w:hAnsiTheme="majorBidi" w:cstheme="majorBidi"/>
        </w:rPr>
        <w:t>Lēmums nav pārsūdzams.</w:t>
      </w:r>
    </w:p>
    <w:sectPr w:rsidR="00447EE6" w:rsidRPr="009B4F07" w:rsidSect="005165D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86E5" w14:textId="77777777" w:rsidR="00BA46B1" w:rsidRDefault="00BA46B1" w:rsidP="00556065">
      <w:r>
        <w:separator/>
      </w:r>
    </w:p>
  </w:endnote>
  <w:endnote w:type="continuationSeparator" w:id="0">
    <w:p w14:paraId="7502295A" w14:textId="77777777" w:rsidR="00BA46B1" w:rsidRDefault="00BA46B1" w:rsidP="0055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7C10" w14:textId="77777777" w:rsidR="00BA46B1" w:rsidRDefault="00BA46B1" w:rsidP="00556065">
      <w:r>
        <w:separator/>
      </w:r>
    </w:p>
  </w:footnote>
  <w:footnote w:type="continuationSeparator" w:id="0">
    <w:p w14:paraId="3064049B" w14:textId="77777777" w:rsidR="00BA46B1" w:rsidRDefault="00BA46B1" w:rsidP="00556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25526394"/>
    <w:multiLevelType w:val="hybridMultilevel"/>
    <w:tmpl w:val="CA469BFC"/>
    <w:lvl w:ilvl="0" w:tplc="83B40A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0880893">
    <w:abstractNumId w:val="0"/>
  </w:num>
  <w:num w:numId="2" w16cid:durableId="692531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560"/>
    <w:rsid w:val="000008B9"/>
    <w:rsid w:val="00006F08"/>
    <w:rsid w:val="000119D2"/>
    <w:rsid w:val="0001266A"/>
    <w:rsid w:val="00014269"/>
    <w:rsid w:val="000160E6"/>
    <w:rsid w:val="00017703"/>
    <w:rsid w:val="0002014F"/>
    <w:rsid w:val="00020844"/>
    <w:rsid w:val="00027EC1"/>
    <w:rsid w:val="00033443"/>
    <w:rsid w:val="00035C6F"/>
    <w:rsid w:val="00036D69"/>
    <w:rsid w:val="00041CAF"/>
    <w:rsid w:val="00044F2A"/>
    <w:rsid w:val="0005102F"/>
    <w:rsid w:val="000511CB"/>
    <w:rsid w:val="00056AEB"/>
    <w:rsid w:val="00062232"/>
    <w:rsid w:val="00072012"/>
    <w:rsid w:val="00072832"/>
    <w:rsid w:val="00080970"/>
    <w:rsid w:val="000831DC"/>
    <w:rsid w:val="00084295"/>
    <w:rsid w:val="00086527"/>
    <w:rsid w:val="00095B3D"/>
    <w:rsid w:val="000967D9"/>
    <w:rsid w:val="000A04BB"/>
    <w:rsid w:val="000A2BE0"/>
    <w:rsid w:val="000B7776"/>
    <w:rsid w:val="000D03C5"/>
    <w:rsid w:val="000D1802"/>
    <w:rsid w:val="000D2845"/>
    <w:rsid w:val="000D5FCC"/>
    <w:rsid w:val="000F2274"/>
    <w:rsid w:val="000F78B2"/>
    <w:rsid w:val="0010716D"/>
    <w:rsid w:val="00124447"/>
    <w:rsid w:val="00124928"/>
    <w:rsid w:val="001250BE"/>
    <w:rsid w:val="00136B02"/>
    <w:rsid w:val="001400D6"/>
    <w:rsid w:val="00151A76"/>
    <w:rsid w:val="001566D2"/>
    <w:rsid w:val="00162D31"/>
    <w:rsid w:val="00170D6F"/>
    <w:rsid w:val="00172FF1"/>
    <w:rsid w:val="00173969"/>
    <w:rsid w:val="00175B51"/>
    <w:rsid w:val="00176BBF"/>
    <w:rsid w:val="00177A7F"/>
    <w:rsid w:val="00181F8B"/>
    <w:rsid w:val="00184DA8"/>
    <w:rsid w:val="00190E8B"/>
    <w:rsid w:val="00192194"/>
    <w:rsid w:val="00192342"/>
    <w:rsid w:val="00197EE0"/>
    <w:rsid w:val="001A0BC6"/>
    <w:rsid w:val="001B153A"/>
    <w:rsid w:val="001B17B6"/>
    <w:rsid w:val="001B4DC5"/>
    <w:rsid w:val="001B56C1"/>
    <w:rsid w:val="001C527E"/>
    <w:rsid w:val="001D0C14"/>
    <w:rsid w:val="001D465E"/>
    <w:rsid w:val="001D64E0"/>
    <w:rsid w:val="001E18AC"/>
    <w:rsid w:val="001E30E0"/>
    <w:rsid w:val="001E41B3"/>
    <w:rsid w:val="001F176B"/>
    <w:rsid w:val="001F4EF4"/>
    <w:rsid w:val="001F6D41"/>
    <w:rsid w:val="00201F08"/>
    <w:rsid w:val="002052BD"/>
    <w:rsid w:val="00212528"/>
    <w:rsid w:val="00224437"/>
    <w:rsid w:val="00225F4D"/>
    <w:rsid w:val="00240F88"/>
    <w:rsid w:val="00244FF9"/>
    <w:rsid w:val="0025097B"/>
    <w:rsid w:val="0025678F"/>
    <w:rsid w:val="002570AE"/>
    <w:rsid w:val="002638E1"/>
    <w:rsid w:val="00264B21"/>
    <w:rsid w:val="002762E9"/>
    <w:rsid w:val="00277373"/>
    <w:rsid w:val="002816A7"/>
    <w:rsid w:val="002863E3"/>
    <w:rsid w:val="002925AC"/>
    <w:rsid w:val="00294689"/>
    <w:rsid w:val="00297443"/>
    <w:rsid w:val="002A1006"/>
    <w:rsid w:val="002A1927"/>
    <w:rsid w:val="002A3C3D"/>
    <w:rsid w:val="002A40E6"/>
    <w:rsid w:val="002B5760"/>
    <w:rsid w:val="002C1E46"/>
    <w:rsid w:val="002D50E4"/>
    <w:rsid w:val="002D7AE8"/>
    <w:rsid w:val="002E1A7F"/>
    <w:rsid w:val="002E2D9C"/>
    <w:rsid w:val="00306306"/>
    <w:rsid w:val="00331377"/>
    <w:rsid w:val="00341AED"/>
    <w:rsid w:val="00342BCE"/>
    <w:rsid w:val="00342E67"/>
    <w:rsid w:val="00344CD7"/>
    <w:rsid w:val="0034528B"/>
    <w:rsid w:val="00347340"/>
    <w:rsid w:val="00355D35"/>
    <w:rsid w:val="00356CD9"/>
    <w:rsid w:val="00356CFB"/>
    <w:rsid w:val="00361585"/>
    <w:rsid w:val="003717AE"/>
    <w:rsid w:val="00376CC9"/>
    <w:rsid w:val="0038536B"/>
    <w:rsid w:val="003956C1"/>
    <w:rsid w:val="003A6DBD"/>
    <w:rsid w:val="003B1B49"/>
    <w:rsid w:val="003E180C"/>
    <w:rsid w:val="003E3474"/>
    <w:rsid w:val="003E3703"/>
    <w:rsid w:val="003E6248"/>
    <w:rsid w:val="003E6BEC"/>
    <w:rsid w:val="003F31DF"/>
    <w:rsid w:val="00400516"/>
    <w:rsid w:val="004058C0"/>
    <w:rsid w:val="00406FD1"/>
    <w:rsid w:val="004203F4"/>
    <w:rsid w:val="00421B50"/>
    <w:rsid w:val="0042588B"/>
    <w:rsid w:val="004361A6"/>
    <w:rsid w:val="0044642E"/>
    <w:rsid w:val="00447EE6"/>
    <w:rsid w:val="004500BC"/>
    <w:rsid w:val="004653EA"/>
    <w:rsid w:val="00465DF4"/>
    <w:rsid w:val="0047499D"/>
    <w:rsid w:val="004A03C1"/>
    <w:rsid w:val="004A2CA9"/>
    <w:rsid w:val="004B2234"/>
    <w:rsid w:val="004B2A94"/>
    <w:rsid w:val="004B7967"/>
    <w:rsid w:val="004B7D97"/>
    <w:rsid w:val="004C2655"/>
    <w:rsid w:val="004E0B44"/>
    <w:rsid w:val="004E1CCF"/>
    <w:rsid w:val="004E213C"/>
    <w:rsid w:val="004F58C8"/>
    <w:rsid w:val="004F6484"/>
    <w:rsid w:val="004F7A96"/>
    <w:rsid w:val="0050149B"/>
    <w:rsid w:val="0050343F"/>
    <w:rsid w:val="0050381F"/>
    <w:rsid w:val="00503B4B"/>
    <w:rsid w:val="005043B7"/>
    <w:rsid w:val="00507AC2"/>
    <w:rsid w:val="005165D7"/>
    <w:rsid w:val="00521E1F"/>
    <w:rsid w:val="005262AB"/>
    <w:rsid w:val="005303EF"/>
    <w:rsid w:val="0053071B"/>
    <w:rsid w:val="005355C6"/>
    <w:rsid w:val="0054090D"/>
    <w:rsid w:val="00543671"/>
    <w:rsid w:val="005444F7"/>
    <w:rsid w:val="00547219"/>
    <w:rsid w:val="00547C02"/>
    <w:rsid w:val="00556065"/>
    <w:rsid w:val="00561E37"/>
    <w:rsid w:val="00567624"/>
    <w:rsid w:val="00572BFC"/>
    <w:rsid w:val="00572E21"/>
    <w:rsid w:val="00582B73"/>
    <w:rsid w:val="00583C65"/>
    <w:rsid w:val="00584D41"/>
    <w:rsid w:val="00586A5F"/>
    <w:rsid w:val="00592DF6"/>
    <w:rsid w:val="0059346F"/>
    <w:rsid w:val="00595979"/>
    <w:rsid w:val="005A1873"/>
    <w:rsid w:val="005A36D9"/>
    <w:rsid w:val="005B387E"/>
    <w:rsid w:val="005B48CC"/>
    <w:rsid w:val="005C2665"/>
    <w:rsid w:val="005C424A"/>
    <w:rsid w:val="005D0861"/>
    <w:rsid w:val="005D4B8C"/>
    <w:rsid w:val="005E03C9"/>
    <w:rsid w:val="005E23C0"/>
    <w:rsid w:val="005E3E02"/>
    <w:rsid w:val="005E4332"/>
    <w:rsid w:val="005E4F21"/>
    <w:rsid w:val="005F0E2B"/>
    <w:rsid w:val="005F5299"/>
    <w:rsid w:val="0060514F"/>
    <w:rsid w:val="0061058A"/>
    <w:rsid w:val="00611B25"/>
    <w:rsid w:val="006236CF"/>
    <w:rsid w:val="00625AA5"/>
    <w:rsid w:val="006266C1"/>
    <w:rsid w:val="0062774C"/>
    <w:rsid w:val="00636C45"/>
    <w:rsid w:val="00643C49"/>
    <w:rsid w:val="00650EE0"/>
    <w:rsid w:val="0066234D"/>
    <w:rsid w:val="0066273A"/>
    <w:rsid w:val="00666618"/>
    <w:rsid w:val="00675BB8"/>
    <w:rsid w:val="00677E6A"/>
    <w:rsid w:val="00683CA6"/>
    <w:rsid w:val="00687709"/>
    <w:rsid w:val="00696E5E"/>
    <w:rsid w:val="006A4359"/>
    <w:rsid w:val="006B2358"/>
    <w:rsid w:val="006B25F0"/>
    <w:rsid w:val="006B26F1"/>
    <w:rsid w:val="006B3E8E"/>
    <w:rsid w:val="006B57EC"/>
    <w:rsid w:val="006D250F"/>
    <w:rsid w:val="006E5B90"/>
    <w:rsid w:val="006F1120"/>
    <w:rsid w:val="006F2D63"/>
    <w:rsid w:val="006F7CB3"/>
    <w:rsid w:val="006F7D8D"/>
    <w:rsid w:val="007023DD"/>
    <w:rsid w:val="0070337E"/>
    <w:rsid w:val="00710247"/>
    <w:rsid w:val="0071260D"/>
    <w:rsid w:val="00714B44"/>
    <w:rsid w:val="007172B8"/>
    <w:rsid w:val="0072719D"/>
    <w:rsid w:val="00735A76"/>
    <w:rsid w:val="00741576"/>
    <w:rsid w:val="00745D3C"/>
    <w:rsid w:val="0075634B"/>
    <w:rsid w:val="00760E3D"/>
    <w:rsid w:val="00761C4C"/>
    <w:rsid w:val="007625BD"/>
    <w:rsid w:val="0076421B"/>
    <w:rsid w:val="007756FC"/>
    <w:rsid w:val="007759C8"/>
    <w:rsid w:val="00777F45"/>
    <w:rsid w:val="00782375"/>
    <w:rsid w:val="00795669"/>
    <w:rsid w:val="0079576A"/>
    <w:rsid w:val="007B1711"/>
    <w:rsid w:val="007B44C0"/>
    <w:rsid w:val="007C5638"/>
    <w:rsid w:val="007C623F"/>
    <w:rsid w:val="007E0CEA"/>
    <w:rsid w:val="007E5356"/>
    <w:rsid w:val="007F19A4"/>
    <w:rsid w:val="007F2200"/>
    <w:rsid w:val="007F395F"/>
    <w:rsid w:val="007F523F"/>
    <w:rsid w:val="007F5266"/>
    <w:rsid w:val="00805E5A"/>
    <w:rsid w:val="0080602A"/>
    <w:rsid w:val="008156B1"/>
    <w:rsid w:val="008243FA"/>
    <w:rsid w:val="00834FE9"/>
    <w:rsid w:val="0084601A"/>
    <w:rsid w:val="00846688"/>
    <w:rsid w:val="0085431C"/>
    <w:rsid w:val="00857495"/>
    <w:rsid w:val="008577C0"/>
    <w:rsid w:val="0086063A"/>
    <w:rsid w:val="0086294E"/>
    <w:rsid w:val="00872843"/>
    <w:rsid w:val="00880BF9"/>
    <w:rsid w:val="00881343"/>
    <w:rsid w:val="008902F6"/>
    <w:rsid w:val="008954C2"/>
    <w:rsid w:val="008A270E"/>
    <w:rsid w:val="008A5AC9"/>
    <w:rsid w:val="008B4771"/>
    <w:rsid w:val="008C0228"/>
    <w:rsid w:val="008C4EEC"/>
    <w:rsid w:val="008E14F7"/>
    <w:rsid w:val="008E2C79"/>
    <w:rsid w:val="008F0317"/>
    <w:rsid w:val="008F1486"/>
    <w:rsid w:val="008F4AC4"/>
    <w:rsid w:val="008F6139"/>
    <w:rsid w:val="0090080E"/>
    <w:rsid w:val="00902413"/>
    <w:rsid w:val="00910470"/>
    <w:rsid w:val="00913CC8"/>
    <w:rsid w:val="00915A02"/>
    <w:rsid w:val="009244EE"/>
    <w:rsid w:val="009328BE"/>
    <w:rsid w:val="00936391"/>
    <w:rsid w:val="009377CD"/>
    <w:rsid w:val="00940679"/>
    <w:rsid w:val="00944BBB"/>
    <w:rsid w:val="009458B4"/>
    <w:rsid w:val="00965E9B"/>
    <w:rsid w:val="009666A2"/>
    <w:rsid w:val="009760DF"/>
    <w:rsid w:val="00976F0A"/>
    <w:rsid w:val="009840FE"/>
    <w:rsid w:val="00984DA2"/>
    <w:rsid w:val="00993736"/>
    <w:rsid w:val="009A29A1"/>
    <w:rsid w:val="009A3627"/>
    <w:rsid w:val="009A4AD5"/>
    <w:rsid w:val="009A5C95"/>
    <w:rsid w:val="009B131C"/>
    <w:rsid w:val="009B177D"/>
    <w:rsid w:val="009B396C"/>
    <w:rsid w:val="009B4F07"/>
    <w:rsid w:val="009B5295"/>
    <w:rsid w:val="009B7567"/>
    <w:rsid w:val="009C25C7"/>
    <w:rsid w:val="009C731A"/>
    <w:rsid w:val="009C7FF7"/>
    <w:rsid w:val="009D6622"/>
    <w:rsid w:val="009D6E73"/>
    <w:rsid w:val="009E66B0"/>
    <w:rsid w:val="009F16D0"/>
    <w:rsid w:val="009F390B"/>
    <w:rsid w:val="00A17DE4"/>
    <w:rsid w:val="00A23968"/>
    <w:rsid w:val="00A26E9C"/>
    <w:rsid w:val="00A30D46"/>
    <w:rsid w:val="00A35AC4"/>
    <w:rsid w:val="00A44D8F"/>
    <w:rsid w:val="00A46498"/>
    <w:rsid w:val="00A60F07"/>
    <w:rsid w:val="00A64F1E"/>
    <w:rsid w:val="00A72F84"/>
    <w:rsid w:val="00A82D7E"/>
    <w:rsid w:val="00A83909"/>
    <w:rsid w:val="00AA0949"/>
    <w:rsid w:val="00AA0DAF"/>
    <w:rsid w:val="00AA4F65"/>
    <w:rsid w:val="00AB3CD4"/>
    <w:rsid w:val="00AB6DB3"/>
    <w:rsid w:val="00AB73C1"/>
    <w:rsid w:val="00AC5CCA"/>
    <w:rsid w:val="00AD4610"/>
    <w:rsid w:val="00AD768D"/>
    <w:rsid w:val="00AF24A1"/>
    <w:rsid w:val="00AF62F5"/>
    <w:rsid w:val="00AF766F"/>
    <w:rsid w:val="00B03196"/>
    <w:rsid w:val="00B0655B"/>
    <w:rsid w:val="00B15644"/>
    <w:rsid w:val="00B15D7F"/>
    <w:rsid w:val="00B167B8"/>
    <w:rsid w:val="00B1748B"/>
    <w:rsid w:val="00B23A4C"/>
    <w:rsid w:val="00B2635C"/>
    <w:rsid w:val="00B36C95"/>
    <w:rsid w:val="00B428D0"/>
    <w:rsid w:val="00B44EC3"/>
    <w:rsid w:val="00B52069"/>
    <w:rsid w:val="00B54F4B"/>
    <w:rsid w:val="00B56752"/>
    <w:rsid w:val="00B57520"/>
    <w:rsid w:val="00B6255A"/>
    <w:rsid w:val="00B67BA2"/>
    <w:rsid w:val="00B73F73"/>
    <w:rsid w:val="00B82306"/>
    <w:rsid w:val="00B87621"/>
    <w:rsid w:val="00B9468C"/>
    <w:rsid w:val="00B95264"/>
    <w:rsid w:val="00BA1FF2"/>
    <w:rsid w:val="00BA46B1"/>
    <w:rsid w:val="00BB13B2"/>
    <w:rsid w:val="00BB5DF8"/>
    <w:rsid w:val="00BB7AD4"/>
    <w:rsid w:val="00BC0C0D"/>
    <w:rsid w:val="00BC7C45"/>
    <w:rsid w:val="00BD003F"/>
    <w:rsid w:val="00BD1699"/>
    <w:rsid w:val="00BD49F8"/>
    <w:rsid w:val="00BD74F5"/>
    <w:rsid w:val="00BD7D72"/>
    <w:rsid w:val="00BF26C3"/>
    <w:rsid w:val="00BF2D12"/>
    <w:rsid w:val="00BF5092"/>
    <w:rsid w:val="00C24526"/>
    <w:rsid w:val="00C3021D"/>
    <w:rsid w:val="00C353ED"/>
    <w:rsid w:val="00C3786D"/>
    <w:rsid w:val="00C501A2"/>
    <w:rsid w:val="00C5023B"/>
    <w:rsid w:val="00C54F53"/>
    <w:rsid w:val="00C55B5A"/>
    <w:rsid w:val="00C57B8E"/>
    <w:rsid w:val="00C6019E"/>
    <w:rsid w:val="00C60316"/>
    <w:rsid w:val="00C7044A"/>
    <w:rsid w:val="00C759F1"/>
    <w:rsid w:val="00C818FD"/>
    <w:rsid w:val="00C84BA4"/>
    <w:rsid w:val="00C86A35"/>
    <w:rsid w:val="00C87096"/>
    <w:rsid w:val="00C91B81"/>
    <w:rsid w:val="00C97DD6"/>
    <w:rsid w:val="00CA06D2"/>
    <w:rsid w:val="00CA249C"/>
    <w:rsid w:val="00CC0381"/>
    <w:rsid w:val="00CC2E63"/>
    <w:rsid w:val="00CE2E66"/>
    <w:rsid w:val="00CE5043"/>
    <w:rsid w:val="00CF06C2"/>
    <w:rsid w:val="00CF5179"/>
    <w:rsid w:val="00D03E98"/>
    <w:rsid w:val="00D05818"/>
    <w:rsid w:val="00D24FA5"/>
    <w:rsid w:val="00D27007"/>
    <w:rsid w:val="00D358E9"/>
    <w:rsid w:val="00D4278E"/>
    <w:rsid w:val="00D4388A"/>
    <w:rsid w:val="00D44F0D"/>
    <w:rsid w:val="00D50DB0"/>
    <w:rsid w:val="00D61058"/>
    <w:rsid w:val="00D63D39"/>
    <w:rsid w:val="00D70253"/>
    <w:rsid w:val="00D84C7E"/>
    <w:rsid w:val="00D938FF"/>
    <w:rsid w:val="00D93E2D"/>
    <w:rsid w:val="00D95914"/>
    <w:rsid w:val="00DA66BB"/>
    <w:rsid w:val="00DB448B"/>
    <w:rsid w:val="00DC4734"/>
    <w:rsid w:val="00DD25C4"/>
    <w:rsid w:val="00DE03AD"/>
    <w:rsid w:val="00DE6680"/>
    <w:rsid w:val="00DE79DF"/>
    <w:rsid w:val="00DF52DA"/>
    <w:rsid w:val="00DF639D"/>
    <w:rsid w:val="00DF69E2"/>
    <w:rsid w:val="00E044C5"/>
    <w:rsid w:val="00E06E17"/>
    <w:rsid w:val="00E070BF"/>
    <w:rsid w:val="00E07E53"/>
    <w:rsid w:val="00E245A7"/>
    <w:rsid w:val="00E2753C"/>
    <w:rsid w:val="00E27A22"/>
    <w:rsid w:val="00E31627"/>
    <w:rsid w:val="00E34D2B"/>
    <w:rsid w:val="00E46BC4"/>
    <w:rsid w:val="00E53C2A"/>
    <w:rsid w:val="00E6695D"/>
    <w:rsid w:val="00E66F1D"/>
    <w:rsid w:val="00E81134"/>
    <w:rsid w:val="00E96724"/>
    <w:rsid w:val="00EA0201"/>
    <w:rsid w:val="00EA0620"/>
    <w:rsid w:val="00EA7C2F"/>
    <w:rsid w:val="00EB28BA"/>
    <w:rsid w:val="00ED699D"/>
    <w:rsid w:val="00EE5451"/>
    <w:rsid w:val="00EE715D"/>
    <w:rsid w:val="00EF2C6B"/>
    <w:rsid w:val="00EF5682"/>
    <w:rsid w:val="00F10462"/>
    <w:rsid w:val="00F108AC"/>
    <w:rsid w:val="00F12AA2"/>
    <w:rsid w:val="00F1622E"/>
    <w:rsid w:val="00F22249"/>
    <w:rsid w:val="00F24684"/>
    <w:rsid w:val="00F335B3"/>
    <w:rsid w:val="00F402D3"/>
    <w:rsid w:val="00F411CA"/>
    <w:rsid w:val="00F57F2C"/>
    <w:rsid w:val="00F6415A"/>
    <w:rsid w:val="00F66ACB"/>
    <w:rsid w:val="00F71EA4"/>
    <w:rsid w:val="00F74123"/>
    <w:rsid w:val="00F80F22"/>
    <w:rsid w:val="00F85E49"/>
    <w:rsid w:val="00F86D22"/>
    <w:rsid w:val="00F90F83"/>
    <w:rsid w:val="00FA1212"/>
    <w:rsid w:val="00FA2CC5"/>
    <w:rsid w:val="00FB0FD8"/>
    <w:rsid w:val="00FB6280"/>
    <w:rsid w:val="00FD086F"/>
    <w:rsid w:val="00FD1EA5"/>
    <w:rsid w:val="00FD2642"/>
    <w:rsid w:val="00FD65D5"/>
    <w:rsid w:val="00FD712F"/>
    <w:rsid w:val="00FE07FA"/>
    <w:rsid w:val="00FE1C38"/>
    <w:rsid w:val="00FE3D3F"/>
    <w:rsid w:val="00FE52EF"/>
    <w:rsid w:val="00FF2A22"/>
    <w:rsid w:val="00FF4418"/>
    <w:rsid w:val="00FF4CCF"/>
    <w:rsid w:val="00FF6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F80F22"/>
    <w:rPr>
      <w:color w:val="0563C1" w:themeColor="hyperlink"/>
      <w:u w:val="single"/>
    </w:rPr>
  </w:style>
  <w:style w:type="character" w:styleId="UnresolvedMention">
    <w:name w:val="Unresolved Mention"/>
    <w:basedOn w:val="DefaultParagraphFont"/>
    <w:uiPriority w:val="99"/>
    <w:semiHidden/>
    <w:unhideWhenUsed/>
    <w:rsid w:val="00F80F22"/>
    <w:rPr>
      <w:color w:val="605E5C"/>
      <w:shd w:val="clear" w:color="auto" w:fill="E1DFDD"/>
    </w:rPr>
  </w:style>
  <w:style w:type="paragraph" w:styleId="FootnoteText">
    <w:name w:val="footnote text"/>
    <w:basedOn w:val="Normal"/>
    <w:link w:val="FootnoteTextChar"/>
    <w:uiPriority w:val="99"/>
    <w:semiHidden/>
    <w:unhideWhenUsed/>
    <w:rsid w:val="00556065"/>
    <w:rPr>
      <w:rFonts w:asciiTheme="minorHAnsi" w:eastAsiaTheme="minorHAnsi" w:hAnsi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56065"/>
    <w:rPr>
      <w:rFonts w:asciiTheme="minorHAnsi" w:hAnsiTheme="minorHAnsi" w:cs="Times New Roman"/>
      <w:kern w:val="2"/>
      <w:sz w:val="20"/>
      <w:szCs w:val="20"/>
      <w:lang w:val="lv-LV"/>
      <w14:ligatures w14:val="standardContextual"/>
    </w:rPr>
  </w:style>
  <w:style w:type="character" w:styleId="FootnoteReference">
    <w:name w:val="footnote reference"/>
    <w:basedOn w:val="DefaultParagraphFont"/>
    <w:uiPriority w:val="99"/>
    <w:semiHidden/>
    <w:unhideWhenUsed/>
    <w:rsid w:val="00556065"/>
    <w:rPr>
      <w:vertAlign w:val="superscript"/>
    </w:rPr>
  </w:style>
  <w:style w:type="paragraph" w:styleId="Header">
    <w:name w:val="header"/>
    <w:basedOn w:val="Normal"/>
    <w:link w:val="HeaderChar"/>
    <w:uiPriority w:val="99"/>
    <w:unhideWhenUsed/>
    <w:rsid w:val="00556065"/>
    <w:pPr>
      <w:tabs>
        <w:tab w:val="center" w:pos="4513"/>
        <w:tab w:val="right" w:pos="9026"/>
      </w:tabs>
    </w:pPr>
  </w:style>
  <w:style w:type="character" w:customStyle="1" w:styleId="HeaderChar">
    <w:name w:val="Header Char"/>
    <w:basedOn w:val="DefaultParagraphFont"/>
    <w:link w:val="Header"/>
    <w:uiPriority w:val="99"/>
    <w:rsid w:val="00556065"/>
    <w:rPr>
      <w:rFonts w:eastAsia="Times New Roman" w:cs="Times New Roman"/>
      <w:szCs w:val="24"/>
      <w:lang w:val="lv-LV" w:eastAsia="ru-RU"/>
    </w:rPr>
  </w:style>
  <w:style w:type="paragraph" w:styleId="Footer">
    <w:name w:val="footer"/>
    <w:basedOn w:val="Normal"/>
    <w:link w:val="FooterChar"/>
    <w:uiPriority w:val="99"/>
    <w:unhideWhenUsed/>
    <w:rsid w:val="00556065"/>
    <w:pPr>
      <w:tabs>
        <w:tab w:val="center" w:pos="4513"/>
        <w:tab w:val="right" w:pos="9026"/>
      </w:tabs>
    </w:pPr>
  </w:style>
  <w:style w:type="character" w:customStyle="1" w:styleId="FooterChar">
    <w:name w:val="Footer Char"/>
    <w:basedOn w:val="DefaultParagraphFont"/>
    <w:link w:val="Footer"/>
    <w:uiPriority w:val="99"/>
    <w:rsid w:val="00556065"/>
    <w:rPr>
      <w:rFonts w:eastAsia="Times New Roman" w:cs="Times New Roman"/>
      <w:szCs w:val="24"/>
      <w:lang w:val="lv-LV" w:eastAsia="ru-RU"/>
    </w:rPr>
  </w:style>
  <w:style w:type="paragraph" w:styleId="Revision">
    <w:name w:val="Revision"/>
    <w:hidden/>
    <w:uiPriority w:val="99"/>
    <w:semiHidden/>
    <w:rsid w:val="0086063A"/>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72012"/>
    <w:rPr>
      <w:sz w:val="16"/>
      <w:szCs w:val="16"/>
    </w:rPr>
  </w:style>
  <w:style w:type="paragraph" w:styleId="CommentText">
    <w:name w:val="annotation text"/>
    <w:basedOn w:val="Normal"/>
    <w:link w:val="CommentTextChar"/>
    <w:uiPriority w:val="99"/>
    <w:unhideWhenUsed/>
    <w:rsid w:val="00072012"/>
    <w:rPr>
      <w:sz w:val="20"/>
      <w:szCs w:val="20"/>
    </w:rPr>
  </w:style>
  <w:style w:type="character" w:customStyle="1" w:styleId="CommentTextChar">
    <w:name w:val="Comment Text Char"/>
    <w:basedOn w:val="DefaultParagraphFont"/>
    <w:link w:val="CommentText"/>
    <w:uiPriority w:val="99"/>
    <w:rsid w:val="0007201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81134"/>
    <w:rPr>
      <w:b/>
      <w:bCs/>
    </w:rPr>
  </w:style>
  <w:style w:type="character" w:customStyle="1" w:styleId="CommentSubjectChar">
    <w:name w:val="Comment Subject Char"/>
    <w:basedOn w:val="CommentTextChar"/>
    <w:link w:val="CommentSubject"/>
    <w:uiPriority w:val="99"/>
    <w:semiHidden/>
    <w:rsid w:val="00E81134"/>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1F6D41"/>
    <w:rPr>
      <w:color w:val="954F72" w:themeColor="followedHyperlink"/>
      <w:u w:val="single"/>
    </w:rPr>
  </w:style>
  <w:style w:type="paragraph" w:styleId="EndnoteText">
    <w:name w:val="endnote text"/>
    <w:basedOn w:val="Normal"/>
    <w:link w:val="EndnoteTextChar"/>
    <w:uiPriority w:val="99"/>
    <w:semiHidden/>
    <w:unhideWhenUsed/>
    <w:rsid w:val="00B03196"/>
    <w:rPr>
      <w:sz w:val="20"/>
      <w:szCs w:val="20"/>
    </w:rPr>
  </w:style>
  <w:style w:type="character" w:customStyle="1" w:styleId="EndnoteTextChar">
    <w:name w:val="Endnote Text Char"/>
    <w:basedOn w:val="DefaultParagraphFont"/>
    <w:link w:val="EndnoteText"/>
    <w:uiPriority w:val="99"/>
    <w:semiHidden/>
    <w:rsid w:val="00B03196"/>
    <w:rPr>
      <w:rFonts w:eastAsia="Times New Roman" w:cs="Times New Roman"/>
      <w:sz w:val="20"/>
      <w:szCs w:val="20"/>
      <w:lang w:val="lv-LV" w:eastAsia="ru-RU"/>
    </w:rPr>
  </w:style>
  <w:style w:type="character" w:styleId="EndnoteReference">
    <w:name w:val="endnote reference"/>
    <w:basedOn w:val="DefaultParagraphFont"/>
    <w:uiPriority w:val="99"/>
    <w:semiHidden/>
    <w:unhideWhenUsed/>
    <w:rsid w:val="00B03196"/>
    <w:rPr>
      <w:vertAlign w:val="superscript"/>
    </w:rPr>
  </w:style>
  <w:style w:type="paragraph" w:styleId="ListParagraph">
    <w:name w:val="List Paragraph"/>
    <w:basedOn w:val="Normal"/>
    <w:uiPriority w:val="34"/>
    <w:qFormat/>
    <w:rsid w:val="00020844"/>
    <w:pPr>
      <w:spacing w:after="160" w:line="259" w:lineRule="auto"/>
      <w:ind w:left="720"/>
      <w:contextualSpacing/>
    </w:pPr>
    <w:rPr>
      <w:rFonts w:eastAsia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5c634bb-79c6-420b-9663-2bc33f2ecc7d" TargetMode="External"/><Relationship Id="rId13" Type="http://schemas.openxmlformats.org/officeDocument/2006/relationships/hyperlink" Target="https://eur-lex.europa.eu/legal-content/LV/TXT/PDF/?uri=CELEX:62024CJ0015" TargetMode="External"/><Relationship Id="rId18" Type="http://schemas.openxmlformats.org/officeDocument/2006/relationships/hyperlink" Target="https://hudoc.echr.coe.int/eng?i=001-94293" TargetMode="External"/><Relationship Id="rId26" Type="http://schemas.openxmlformats.org/officeDocument/2006/relationships/hyperlink" Target="https://tezaurs.lv/mais%C4%ABjums" TargetMode="External"/><Relationship Id="rId3" Type="http://schemas.openxmlformats.org/officeDocument/2006/relationships/styles" Target="styles.xml"/><Relationship Id="rId21" Type="http://schemas.openxmlformats.org/officeDocument/2006/relationships/hyperlink" Target="https://www.at.gov.lv/downloadlawfile/3646" TargetMode="External"/><Relationship Id="rId7" Type="http://schemas.openxmlformats.org/officeDocument/2006/relationships/endnotes" Target="endnotes.xml"/><Relationship Id="rId12" Type="http://schemas.openxmlformats.org/officeDocument/2006/relationships/hyperlink" Target="https://titania.saeima.lv/LIVS12/saeimalivs12.nsf/0/940648CE89E48A59C2257E600023727E?OpenDocument" TargetMode="External"/><Relationship Id="rId17" Type="http://schemas.openxmlformats.org/officeDocument/2006/relationships/hyperlink" Target="https://hudoc.echr.coe.int/fre?i=001-158266" TargetMode="External"/><Relationship Id="rId25" Type="http://schemas.openxmlformats.org/officeDocument/2006/relationships/hyperlink" Target="https://tezaurs.lv/materi%C4%81ls"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i=001-2005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webSasaiste?OpenView&amp;count=1000&amp;restricttocategory=288/Lp12" TargetMode="External"/><Relationship Id="rId24" Type="http://schemas.openxmlformats.org/officeDocument/2006/relationships/hyperlink" Target="https://eur-lex.europa.eu/legal-content/LV/TXT/PDF/?uri=CELEX:62024CJ0015" TargetMode="External"/><Relationship Id="rId5" Type="http://schemas.openxmlformats.org/officeDocument/2006/relationships/webSettings" Target="webSettings.xml"/><Relationship Id="rId15" Type="http://schemas.openxmlformats.org/officeDocument/2006/relationships/hyperlink" Target="https://hudoc.echr.coe.int/fre?i=001-166680" TargetMode="External"/><Relationship Id="rId23" Type="http://schemas.openxmlformats.org/officeDocument/2006/relationships/hyperlink" Target="https://hudoc.echr.coe.int/eng?i=001-57614" TargetMode="External"/><Relationship Id="rId28" Type="http://schemas.openxmlformats.org/officeDocument/2006/relationships/theme" Target="theme/theme1.xml"/><Relationship Id="rId10" Type="http://schemas.openxmlformats.org/officeDocument/2006/relationships/hyperlink" Target="http://data.europa.eu/eli/dir/2013/48/oj" TargetMode="External"/><Relationship Id="rId19" Type="http://schemas.openxmlformats.org/officeDocument/2006/relationships/hyperlink" Target="https://eur-lex.europa.eu/legal-content/LV/TXT/PDF/?uri=CELEX:62024CJ0015" TargetMode="External"/><Relationship Id="rId4" Type="http://schemas.openxmlformats.org/officeDocument/2006/relationships/settings" Target="settings.xml"/><Relationship Id="rId9" Type="http://schemas.openxmlformats.org/officeDocument/2006/relationships/hyperlink" Target="https://www.vestnesis.lv/op/2018/119.11" TargetMode="External"/><Relationship Id="rId14" Type="http://schemas.openxmlformats.org/officeDocument/2006/relationships/hyperlink" Target="https://hudoc.echr.coe.int/eng?i=001-187802" TargetMode="External"/><Relationship Id="rId22" Type="http://schemas.openxmlformats.org/officeDocument/2006/relationships/hyperlink" Target="https://manas.tiesas.lv/eTiesasMvc/nolemumi/pdf/425014.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2AC31-8E71-4DB4-BBDD-D280037D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18624</Words>
  <Characters>10616</Characters>
  <Application>Microsoft Office Word</Application>
  <DocSecurity>0</DocSecurity>
  <Lines>88</Lines>
  <Paragraphs>58</Paragraphs>
  <ScaleCrop>false</ScaleCrop>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2026-06-11T09:32:00Z</dcterms:created>
  <dcterms:modified xsi:type="dcterms:W3CDTF">2026-06-11T09:32:00Z</dcterms:modified>
</cp:coreProperties>
</file>