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EA99" w14:textId="77777777" w:rsidR="006A1656" w:rsidRPr="006A1656" w:rsidRDefault="006A1656" w:rsidP="006A1656">
      <w:pPr>
        <w:pStyle w:val="ListParagraph"/>
        <w:spacing w:after="0" w:line="276" w:lineRule="auto"/>
        <w:ind w:left="0"/>
        <w:jc w:val="both"/>
        <w:rPr>
          <w:rFonts w:cs="Times New Roman"/>
          <w:b/>
          <w:bCs/>
          <w:lang w:val="lv-LV"/>
        </w:rPr>
      </w:pPr>
      <w:r w:rsidRPr="006A1656">
        <w:rPr>
          <w:rFonts w:cs="Times New Roman"/>
          <w:b/>
          <w:bCs/>
          <w:lang w:val="lv-LV"/>
        </w:rPr>
        <w:t>Administratīvā pārkāpuma procesā konstatētu notikuma apstākļu atzīšana par personas atbildību pastiprinošu apstākli kriminālprocesā nenozīmē dubultās sodīšanas nepieļaujamības (</w:t>
      </w:r>
      <w:r w:rsidRPr="006A1656">
        <w:rPr>
          <w:rFonts w:cs="Times New Roman"/>
          <w:b/>
          <w:bCs/>
          <w:i/>
          <w:iCs/>
          <w:lang w:val="lv-LV"/>
        </w:rPr>
        <w:t>ne bis in idem</w:t>
      </w:r>
      <w:r w:rsidRPr="006A1656">
        <w:rPr>
          <w:rFonts w:cs="Times New Roman"/>
          <w:b/>
          <w:bCs/>
          <w:lang w:val="lv-LV"/>
        </w:rPr>
        <w:t>) principa pārkāpumu</w:t>
      </w:r>
    </w:p>
    <w:p w14:paraId="7C70D063" w14:textId="77777777" w:rsidR="006A1656" w:rsidRPr="006A1656" w:rsidRDefault="006A1656" w:rsidP="006A1656">
      <w:pPr>
        <w:pStyle w:val="ListParagraph"/>
        <w:spacing w:after="0" w:line="276" w:lineRule="auto"/>
        <w:ind w:left="0"/>
        <w:jc w:val="both"/>
        <w:rPr>
          <w:rFonts w:cs="Times New Roman"/>
          <w:lang w:val="lv-LV"/>
        </w:rPr>
      </w:pPr>
      <w:r w:rsidRPr="006A1656">
        <w:rPr>
          <w:rFonts w:cs="Times New Roman"/>
          <w:lang w:val="lv-LV"/>
        </w:rPr>
        <w:t xml:space="preserve">Atbildību pastiprinoša apstākļa konstatēšana kriminālprocesā pati par sevi nav uzskatāma par atsevišķu sodīšanu, bet gan par soda individualizācijas elementu. Tādēļ fakts, ka konkrētais apstāklis iepriekš ņemts vērā administratīvā pārkāpuma procesā, pats par sevi nenozīmē </w:t>
      </w:r>
      <w:r w:rsidRPr="006A1656">
        <w:rPr>
          <w:rFonts w:cs="Times New Roman"/>
          <w:i/>
          <w:iCs/>
          <w:lang w:val="lv-LV"/>
        </w:rPr>
        <w:t>ne bis in idem</w:t>
      </w:r>
      <w:r w:rsidRPr="006A1656">
        <w:rPr>
          <w:rFonts w:cs="Times New Roman"/>
          <w:lang w:val="lv-LV"/>
        </w:rPr>
        <w:t xml:space="preserve"> principa pārkāpumu.</w:t>
      </w:r>
    </w:p>
    <w:p w14:paraId="0EF759E2" w14:textId="77777777" w:rsidR="006A1656" w:rsidRDefault="006A1656" w:rsidP="006A1656">
      <w:pPr>
        <w:pStyle w:val="ListParagraph"/>
        <w:spacing w:after="0" w:line="276" w:lineRule="auto"/>
        <w:ind w:left="0"/>
        <w:jc w:val="both"/>
        <w:rPr>
          <w:rFonts w:cs="Times New Roman"/>
          <w:lang w:val="lv-LV"/>
        </w:rPr>
      </w:pPr>
      <w:r w:rsidRPr="006A1656">
        <w:rPr>
          <w:rFonts w:cs="Times New Roman"/>
          <w:lang w:val="lv-LV"/>
        </w:rPr>
        <w:t xml:space="preserve">Piemēram, dubultās sodīšanas nepieļaujamības principa pārkāpums neveidojas, ja apsūdzētais atzīts par vainīgu un sodīts par vieglu miesas bojājumu tīšu nodarīšanu, saskaņā ar Krimināllikuma 48. panta pirmās daļas 16. punktu par personas atbildību pastiprinošu apstākli atzīstot vardarbīga noziedzīga nodarījuma izdarīšanu nepilngadīgā klātbūtnē, ja tā pati persona administratīvā pārkāpuma lietā ir saukta pie administratīvās atbildības par fizisku un emocionālu vardarbību pret bērnu. </w:t>
      </w:r>
    </w:p>
    <w:p w14:paraId="123F7FBA" w14:textId="77777777" w:rsidR="00F40AE5" w:rsidRDefault="00F40AE5" w:rsidP="00F40AE5">
      <w:pPr>
        <w:pStyle w:val="ListParagraph"/>
        <w:spacing w:after="0" w:line="276" w:lineRule="auto"/>
        <w:jc w:val="both"/>
        <w:rPr>
          <w:rFonts w:cs="Times New Roman"/>
          <w:lang w:val="lv-LV"/>
        </w:rPr>
      </w:pPr>
    </w:p>
    <w:p w14:paraId="06960DC2" w14:textId="669F8F0B" w:rsidR="00F40AE5" w:rsidRDefault="00F40AE5" w:rsidP="00F40AE5">
      <w:pPr>
        <w:pStyle w:val="ListParagraph"/>
        <w:spacing w:after="0" w:line="276" w:lineRule="auto"/>
        <w:ind w:left="0"/>
        <w:jc w:val="both"/>
        <w:rPr>
          <w:rFonts w:cs="Times New Roman"/>
          <w:b/>
          <w:bCs/>
          <w:lang w:val="lv-LV"/>
        </w:rPr>
      </w:pPr>
      <w:r w:rsidRPr="00F40AE5">
        <w:rPr>
          <w:rFonts w:cs="Times New Roman"/>
          <w:b/>
          <w:bCs/>
          <w:lang w:val="lv-LV"/>
        </w:rPr>
        <w:t>Izdevumi par advokāta palīdzību cietušajai personai kā no notiesātā piedzenami mantiskie zaudējumi</w:t>
      </w:r>
    </w:p>
    <w:p w14:paraId="75D7F476" w14:textId="77777777" w:rsidR="00F40AE5" w:rsidRPr="00F40AE5" w:rsidRDefault="00F40AE5" w:rsidP="00F40AE5">
      <w:pPr>
        <w:pStyle w:val="ListParagraph"/>
        <w:spacing w:after="0" w:line="276" w:lineRule="auto"/>
        <w:ind w:left="0"/>
        <w:jc w:val="both"/>
        <w:rPr>
          <w:rFonts w:cs="Times New Roman"/>
          <w:b/>
          <w:bCs/>
          <w:lang w:val="lv-LV"/>
        </w:rPr>
      </w:pPr>
    </w:p>
    <w:p w14:paraId="06E71F96" w14:textId="0FA5E2FC" w:rsidR="00A15090" w:rsidRPr="006A1656" w:rsidRDefault="00A15090" w:rsidP="00F40AE5">
      <w:pPr>
        <w:widowControl w:val="0"/>
        <w:spacing w:after="0" w:line="276" w:lineRule="auto"/>
        <w:jc w:val="center"/>
        <w:rPr>
          <w:b/>
          <w:bCs/>
        </w:rPr>
      </w:pPr>
      <w:r w:rsidRPr="006A1656">
        <w:rPr>
          <w:b/>
          <w:bCs/>
        </w:rPr>
        <w:t>Latvijas Republikas Senāt</w:t>
      </w:r>
      <w:r w:rsidR="006A1656" w:rsidRPr="006A1656">
        <w:rPr>
          <w:b/>
          <w:bCs/>
        </w:rPr>
        <w:t>a</w:t>
      </w:r>
    </w:p>
    <w:p w14:paraId="451C8B8F" w14:textId="1A110F76" w:rsidR="006A1656" w:rsidRPr="006A1656" w:rsidRDefault="006A1656" w:rsidP="006A1656">
      <w:pPr>
        <w:widowControl w:val="0"/>
        <w:spacing w:after="0" w:line="276" w:lineRule="auto"/>
        <w:jc w:val="center"/>
        <w:rPr>
          <w:b/>
          <w:bCs/>
        </w:rPr>
      </w:pPr>
      <w:r w:rsidRPr="006A1656">
        <w:rPr>
          <w:b/>
          <w:bCs/>
        </w:rPr>
        <w:t>Krimināllietu departamenta</w:t>
      </w:r>
    </w:p>
    <w:p w14:paraId="12F9A94A" w14:textId="3241B7C6" w:rsidR="006A1656" w:rsidRPr="006A1656" w:rsidRDefault="006A1656" w:rsidP="006A1656">
      <w:pPr>
        <w:widowControl w:val="0"/>
        <w:spacing w:after="0" w:line="276" w:lineRule="auto"/>
        <w:jc w:val="center"/>
        <w:rPr>
          <w:b/>
          <w:bCs/>
        </w:rPr>
      </w:pPr>
      <w:r w:rsidRPr="006A1656">
        <w:rPr>
          <w:b/>
          <w:bCs/>
        </w:rPr>
        <w:t>2026. gada 12. maij</w:t>
      </w:r>
      <w:r>
        <w:rPr>
          <w:b/>
          <w:bCs/>
        </w:rPr>
        <w:t>a</w:t>
      </w:r>
    </w:p>
    <w:p w14:paraId="6BB38259" w14:textId="302B94D6" w:rsidR="00A15090" w:rsidRPr="006A1656" w:rsidRDefault="00A15090" w:rsidP="006A1656">
      <w:pPr>
        <w:widowControl w:val="0"/>
        <w:spacing w:after="0" w:line="276" w:lineRule="auto"/>
        <w:jc w:val="center"/>
        <w:rPr>
          <w:b/>
          <w:bCs/>
        </w:rPr>
      </w:pPr>
      <w:r w:rsidRPr="006A1656">
        <w:rPr>
          <w:b/>
          <w:bCs/>
        </w:rPr>
        <w:t>LĒMUMS</w:t>
      </w:r>
    </w:p>
    <w:p w14:paraId="609C8DC3" w14:textId="10EBE0CB" w:rsidR="00A15090" w:rsidRDefault="006A1656" w:rsidP="006A1656">
      <w:pPr>
        <w:widowControl w:val="0"/>
        <w:spacing w:after="0" w:line="276" w:lineRule="auto"/>
        <w:jc w:val="center"/>
        <w:rPr>
          <w:b/>
          <w:bCs/>
        </w:rPr>
      </w:pPr>
      <w:r w:rsidRPr="006A1656">
        <w:rPr>
          <w:b/>
          <w:bCs/>
        </w:rPr>
        <w:t>Lieta Nr. 11200019322, SKK</w:t>
      </w:r>
      <w:r w:rsidRPr="006A1656">
        <w:rPr>
          <w:b/>
          <w:bCs/>
        </w:rPr>
        <w:noBreakHyphen/>
        <w:t>231/2026</w:t>
      </w:r>
    </w:p>
    <w:p w14:paraId="3FDD55D8" w14:textId="72FABC5F" w:rsidR="006A1656" w:rsidRPr="006A1656" w:rsidRDefault="006A1656" w:rsidP="006A1656">
      <w:pPr>
        <w:widowControl w:val="0"/>
        <w:spacing w:after="0" w:line="276" w:lineRule="auto"/>
        <w:jc w:val="center"/>
      </w:pPr>
      <w:hyperlink r:id="rId7" w:history="1">
        <w:r w:rsidRPr="006A1656">
          <w:rPr>
            <w:rStyle w:val="Hyperlink"/>
          </w:rPr>
          <w:t>ECLI:LV:AT:2026:0512.11200019322.6.L</w:t>
        </w:r>
      </w:hyperlink>
    </w:p>
    <w:p w14:paraId="70F74E60" w14:textId="77777777" w:rsidR="00A15090" w:rsidRPr="00934860" w:rsidRDefault="00A15090" w:rsidP="00A15090">
      <w:pPr>
        <w:widowControl w:val="0"/>
        <w:spacing w:after="0" w:line="276" w:lineRule="auto"/>
        <w:ind w:firstLine="720"/>
        <w:jc w:val="center"/>
      </w:pPr>
    </w:p>
    <w:p w14:paraId="5A869F3A" w14:textId="77777777" w:rsidR="00A15090" w:rsidRPr="00934860" w:rsidRDefault="00A15090" w:rsidP="00A15090">
      <w:pPr>
        <w:widowControl w:val="0"/>
        <w:spacing w:after="0" w:line="276" w:lineRule="auto"/>
        <w:ind w:firstLine="720"/>
        <w:jc w:val="both"/>
      </w:pPr>
      <w:r w:rsidRPr="00934860">
        <w:t xml:space="preserve">Senāts šādā sastāvā: </w:t>
      </w:r>
      <w:r w:rsidR="00A137D6" w:rsidRPr="00A57BD4">
        <w:t>senatores Sandra Kaija, Irīna Jansone, Inese Laura Zemīte,</w:t>
      </w:r>
    </w:p>
    <w:p w14:paraId="799752B4" w14:textId="77777777" w:rsidR="00A15090" w:rsidRPr="00934860" w:rsidRDefault="00A15090" w:rsidP="00A15090">
      <w:pPr>
        <w:widowControl w:val="0"/>
        <w:spacing w:after="0" w:line="276" w:lineRule="auto"/>
        <w:ind w:firstLine="720"/>
        <w:jc w:val="both"/>
      </w:pPr>
    </w:p>
    <w:p w14:paraId="3D4CAD0A" w14:textId="17FF109D" w:rsidR="00A15090" w:rsidRPr="00934860" w:rsidRDefault="00A15090" w:rsidP="00A15090">
      <w:pPr>
        <w:widowControl w:val="0"/>
        <w:spacing w:after="0" w:line="276" w:lineRule="auto"/>
        <w:ind w:firstLine="720"/>
        <w:jc w:val="both"/>
      </w:pPr>
      <w:r w:rsidRPr="00934860">
        <w:t>iepazinies ar apsūdzētās [</w:t>
      </w:r>
      <w:r w:rsidR="0047285B">
        <w:t>pers. </w:t>
      </w:r>
      <w:r w:rsidRPr="00934860">
        <w:t>A] un viņas aizstāves zvērinātas advokātes Ligitas Pētersones kasācijas sūdzībām par Zemgales apgabaltiesas 2025. gada 4. novembra lēmumu, atzīst, ka ir pamats atteikt ierosināt kasācijas tiesvedību.</w:t>
      </w:r>
    </w:p>
    <w:p w14:paraId="419736F8" w14:textId="77777777" w:rsidR="00800613" w:rsidRDefault="00FD038B" w:rsidP="00370BD7">
      <w:pPr>
        <w:suppressAutoHyphens/>
        <w:autoSpaceDN w:val="0"/>
        <w:spacing w:after="0" w:line="276" w:lineRule="auto"/>
        <w:ind w:firstLine="720"/>
        <w:jc w:val="both"/>
      </w:pPr>
      <w:r w:rsidRPr="00934860">
        <w:t>Apsūdzēt</w:t>
      </w:r>
      <w:r w:rsidR="00A137D6">
        <w:t>ā</w:t>
      </w:r>
      <w:r w:rsidR="00A15090" w:rsidRPr="00934860">
        <w:t xml:space="preserve"> kasācijas sūdzībā </w:t>
      </w:r>
      <w:r w:rsidR="00A15090" w:rsidRPr="00CD457D">
        <w:t xml:space="preserve">lūdz atcelt apelācijas instances tiesas </w:t>
      </w:r>
      <w:r w:rsidR="00A137D6" w:rsidRPr="00CD457D">
        <w:t>lēmumu</w:t>
      </w:r>
      <w:r w:rsidR="00A15090" w:rsidRPr="00CD457D">
        <w:t xml:space="preserve"> un </w:t>
      </w:r>
      <w:r w:rsidR="00DD3151" w:rsidRPr="00CD457D">
        <w:t>atzīt viņu par nevainīgu</w:t>
      </w:r>
      <w:r w:rsidR="0007121C" w:rsidRPr="00CD457D">
        <w:t>, savukārt aizstāve lūdz atcelt apelācijas instances tiesas lēmumu un nosūtīt lietu jaunai izskatīšanai apelācijas instances tiesā</w:t>
      </w:r>
      <w:r w:rsidR="00A15090" w:rsidRPr="00CD457D">
        <w:t>.</w:t>
      </w:r>
    </w:p>
    <w:p w14:paraId="612495DE" w14:textId="77777777" w:rsidR="0016149E" w:rsidRDefault="00A15090" w:rsidP="00370BD7">
      <w:pPr>
        <w:suppressAutoHyphens/>
        <w:autoSpaceDN w:val="0"/>
        <w:spacing w:after="0" w:line="276" w:lineRule="auto"/>
        <w:ind w:firstLine="720"/>
        <w:jc w:val="both"/>
      </w:pPr>
      <w:r w:rsidRPr="00CD457D">
        <w:t>Pamatojot savu</w:t>
      </w:r>
      <w:r w:rsidR="00822C29" w:rsidRPr="00CD457D">
        <w:t>s</w:t>
      </w:r>
      <w:r w:rsidRPr="00CD457D">
        <w:t xml:space="preserve"> lūgumu</w:t>
      </w:r>
      <w:r w:rsidR="00822C29" w:rsidRPr="00CD457D">
        <w:t>s</w:t>
      </w:r>
      <w:r w:rsidRPr="00CD457D">
        <w:t xml:space="preserve">, </w:t>
      </w:r>
      <w:r w:rsidR="00FD038B" w:rsidRPr="00CD457D">
        <w:t>apsūdzēt</w:t>
      </w:r>
      <w:r w:rsidR="00A137D6" w:rsidRPr="00CD457D">
        <w:t>ā</w:t>
      </w:r>
      <w:r w:rsidR="0007121C" w:rsidRPr="00CD457D">
        <w:t xml:space="preserve"> un viņas aizstāve</w:t>
      </w:r>
      <w:r w:rsidRPr="00CD457D">
        <w:t xml:space="preserve"> norād</w:t>
      </w:r>
      <w:r w:rsidR="00822C29" w:rsidRPr="00CD457D">
        <w:t>īj</w:t>
      </w:r>
      <w:r w:rsidR="00A137D6" w:rsidRPr="00CD457D">
        <w:t>u</w:t>
      </w:r>
      <w:r w:rsidR="0007121C" w:rsidRPr="00CD457D">
        <w:t>šas</w:t>
      </w:r>
      <w:r w:rsidRPr="00CD457D">
        <w:t>, ka apelācijas instances tiesa</w:t>
      </w:r>
      <w:r w:rsidR="00FD038B" w:rsidRPr="00CD457D">
        <w:t>: 1) </w:t>
      </w:r>
      <w:r w:rsidR="00800613">
        <w:t xml:space="preserve">apsūdzētās darbībās </w:t>
      </w:r>
      <w:r w:rsidR="003D38B9">
        <w:t xml:space="preserve">nepamatoti </w:t>
      </w:r>
      <w:r w:rsidR="00800613">
        <w:t>konstatējusi inkriminētā</w:t>
      </w:r>
      <w:r w:rsidR="0007121C" w:rsidRPr="00CD457D">
        <w:t xml:space="preserve"> </w:t>
      </w:r>
      <w:r w:rsidR="00732C5C" w:rsidRPr="00CD457D">
        <w:t xml:space="preserve">noziedzīgā nodarījuma </w:t>
      </w:r>
      <w:r w:rsidR="0007121C" w:rsidRPr="00CD457D">
        <w:t xml:space="preserve">objektīvo un subjektīvo pusi; </w:t>
      </w:r>
      <w:r w:rsidR="0016149E" w:rsidRPr="00CD457D">
        <w:t>2) </w:t>
      </w:r>
      <w:r w:rsidR="0007121C" w:rsidRPr="00CD457D">
        <w:t xml:space="preserve">nav pietiekami izvērtējusi nepieciešamās aizstāvēšanās no cietušās </w:t>
      </w:r>
      <w:r w:rsidR="00800613">
        <w:t>esību</w:t>
      </w:r>
      <w:r w:rsidR="0007121C" w:rsidRPr="00CD457D">
        <w:t xml:space="preserve">; </w:t>
      </w:r>
      <w:r w:rsidR="00800613">
        <w:t>3</w:t>
      </w:r>
      <w:r w:rsidR="0016149E" w:rsidRPr="00CD457D">
        <w:t xml:space="preserve">) nav novērsusi pretrunas </w:t>
      </w:r>
      <w:r w:rsidR="00800613">
        <w:t xml:space="preserve">pierādījumos </w:t>
      </w:r>
      <w:r w:rsidR="003D38B9">
        <w:t>par</w:t>
      </w:r>
      <w:r w:rsidR="0007121C" w:rsidRPr="00CD457D">
        <w:t xml:space="preserve"> noziedzīgā nodarījuma izdarīšanas laiku un </w:t>
      </w:r>
      <w:r w:rsidR="005F00A5">
        <w:t xml:space="preserve">citiem </w:t>
      </w:r>
      <w:r w:rsidR="0007121C" w:rsidRPr="00CD457D">
        <w:t>faktiskajiem apstākļiem</w:t>
      </w:r>
      <w:r w:rsidR="0016149E" w:rsidRPr="00CD457D">
        <w:t xml:space="preserve">; </w:t>
      </w:r>
      <w:r w:rsidR="00800613">
        <w:t>4</w:t>
      </w:r>
      <w:r w:rsidR="002F3E92" w:rsidRPr="00CD457D">
        <w:t>)</w:t>
      </w:r>
      <w:r w:rsidR="00800613">
        <w:t> </w:t>
      </w:r>
      <w:r w:rsidR="00800613" w:rsidRPr="00CD457D">
        <w:t>nepamatoti piešķīrusi ticamību ziņām, kas norādītas pašvaldības policijas notikuma žurnālā un pašvaldības policijas darbinieka dienesta ziņojumā par 2022. gada 9. maija notikumiem</w:t>
      </w:r>
      <w:r w:rsidR="00800613">
        <w:t xml:space="preserve">, </w:t>
      </w:r>
      <w:r w:rsidR="005F00A5">
        <w:t>kā arī</w:t>
      </w:r>
      <w:r w:rsidR="002F3E92" w:rsidRPr="00CD457D">
        <w:t xml:space="preserve"> cietušās liecībām un eksperta </w:t>
      </w:r>
      <w:r w:rsidR="00800613" w:rsidRPr="00CD457D">
        <w:t xml:space="preserve">2022. gada 16. jūnija </w:t>
      </w:r>
      <w:r w:rsidR="002F3E92" w:rsidRPr="00CD457D">
        <w:t xml:space="preserve">atzinumam; </w:t>
      </w:r>
      <w:r w:rsidR="001A651F">
        <w:t>5</w:t>
      </w:r>
      <w:r w:rsidR="002F3E92" w:rsidRPr="00CD457D">
        <w:t>) nav izvērtējusi</w:t>
      </w:r>
      <w:r w:rsidR="001A651F">
        <w:t>: a) </w:t>
      </w:r>
      <w:r w:rsidR="002F3E92" w:rsidRPr="00CD457D">
        <w:t xml:space="preserve">lietā esošās ziņas par apsūdzētās </w:t>
      </w:r>
      <w:r w:rsidR="0007121C" w:rsidRPr="00CD457D">
        <w:t xml:space="preserve">personību, tajā skaitā par viņas </w:t>
      </w:r>
      <w:r w:rsidR="002F3E92" w:rsidRPr="00CD457D">
        <w:t xml:space="preserve">veselības stāvokli; </w:t>
      </w:r>
      <w:r w:rsidR="001A651F">
        <w:t>b</w:t>
      </w:r>
      <w:r w:rsidR="002F3E92" w:rsidRPr="00CD457D">
        <w:t>)</w:t>
      </w:r>
      <w:r w:rsidR="001A651F">
        <w:t> </w:t>
      </w:r>
      <w:r w:rsidR="002F3E92" w:rsidRPr="00CD457D">
        <w:t>kompensācijas apmēra samērīgumu</w:t>
      </w:r>
      <w:r w:rsidR="00D73D12" w:rsidRPr="00CD457D">
        <w:t xml:space="preserve">, turklāt samaksu par advokāta palīdzību cietušajai </w:t>
      </w:r>
      <w:r w:rsidR="001A651F" w:rsidRPr="00CD457D">
        <w:t xml:space="preserve">nepamatoti </w:t>
      </w:r>
      <w:r w:rsidR="00D73D12" w:rsidRPr="00CD457D">
        <w:t xml:space="preserve">atzinusi par mantisko </w:t>
      </w:r>
      <w:r w:rsidR="001A651F">
        <w:t>zaudējumu</w:t>
      </w:r>
      <w:r w:rsidR="001A651F" w:rsidRPr="00CD457D">
        <w:t xml:space="preserve"> </w:t>
      </w:r>
      <w:r w:rsidR="0000748A" w:rsidRPr="00CD457D">
        <w:t>nevis par procesuālajiem izdevumiem</w:t>
      </w:r>
      <w:r w:rsidR="002F3E92" w:rsidRPr="00CD457D">
        <w:t xml:space="preserve">; </w:t>
      </w:r>
      <w:r w:rsidR="001A651F">
        <w:t>6</w:t>
      </w:r>
      <w:r w:rsidR="002F3E92" w:rsidRPr="00CD457D">
        <w:t xml:space="preserve">) pieļāvusi dubultās sodīšanas aizlieguma pārkāpumu, jo par apsūdzētās atbildību pastiprinošu apstākli atzinusi to, ka </w:t>
      </w:r>
      <w:r w:rsidR="00732C5C" w:rsidRPr="00CD457D">
        <w:t xml:space="preserve">vardarbīgs noziedzīgs nodarījums izdarīts </w:t>
      </w:r>
      <w:r w:rsidR="00732C5C" w:rsidRPr="00CD457D">
        <w:lastRenderedPageBreak/>
        <w:t>nepilngadīgā klātbūtnē</w:t>
      </w:r>
      <w:r w:rsidR="00370BD7" w:rsidRPr="00CD457D">
        <w:t xml:space="preserve">, </w:t>
      </w:r>
      <w:r w:rsidR="001A651F">
        <w:t>kaut</w:t>
      </w:r>
      <w:r w:rsidR="005F00A5">
        <w:t xml:space="preserve"> arī</w:t>
      </w:r>
      <w:r w:rsidR="00370BD7" w:rsidRPr="00CD457D">
        <w:t xml:space="preserve"> šis apstāklis jau </w:t>
      </w:r>
      <w:r w:rsidR="001A651F">
        <w:t xml:space="preserve">tika </w:t>
      </w:r>
      <w:r w:rsidR="00D73D12" w:rsidRPr="00CD457D">
        <w:t>ņemts vērā, piemērojot</w:t>
      </w:r>
      <w:r w:rsidR="00370BD7">
        <w:t xml:space="preserve"> administratīv</w:t>
      </w:r>
      <w:r w:rsidR="00D73D12">
        <w:t xml:space="preserve">o </w:t>
      </w:r>
      <w:r w:rsidR="001A651F">
        <w:t>sodu</w:t>
      </w:r>
      <w:r w:rsidR="00370BD7">
        <w:t xml:space="preserve">; </w:t>
      </w:r>
      <w:r w:rsidR="001A651F">
        <w:t>7</w:t>
      </w:r>
      <w:r w:rsidR="00D73D12">
        <w:t>)</w:t>
      </w:r>
      <w:r w:rsidR="001A651F">
        <w:t> </w:t>
      </w:r>
      <w:r w:rsidR="00D73D12">
        <w:t>nepamatoti nav atcēlusi blakus</w:t>
      </w:r>
      <w:r w:rsidR="001A651F">
        <w:t xml:space="preserve"> </w:t>
      </w:r>
      <w:r w:rsidR="00D73D12">
        <w:t>lēmumu lietā</w:t>
      </w:r>
      <w:r w:rsidR="0007121C">
        <w:t>.</w:t>
      </w:r>
    </w:p>
    <w:p w14:paraId="53965451" w14:textId="77777777" w:rsidR="00A15090" w:rsidRPr="00934860" w:rsidRDefault="00A15090" w:rsidP="00A15090">
      <w:pPr>
        <w:suppressAutoHyphens/>
        <w:autoSpaceDN w:val="0"/>
        <w:spacing w:after="0" w:line="276" w:lineRule="auto"/>
        <w:ind w:firstLine="720"/>
        <w:jc w:val="both"/>
      </w:pPr>
      <w:r w:rsidRPr="00934860">
        <w:t>Saskaņā ar Kriminālprocesa likuma 573.</w:t>
      </w:r>
      <w:r w:rsidRPr="00934860">
        <w:rPr>
          <w:vertAlign w:val="superscript"/>
        </w:rPr>
        <w:t>1</w:t>
      </w:r>
      <w:r w:rsidRPr="00934860">
        <w:t> panta pirmo daļu tiesa atsakās ierosināt kasācijas tiesvedību, ja kasācijas sūdzība vai protests neatbilst šā likuma 569., 571., 572. panta un 573. panta pirmajā daļā minētajām prasībām.</w:t>
      </w:r>
    </w:p>
    <w:p w14:paraId="492D8C21" w14:textId="77777777" w:rsidR="00A15090" w:rsidRDefault="00A15090" w:rsidP="00A15090">
      <w:pPr>
        <w:suppressAutoHyphens/>
        <w:autoSpaceDN w:val="0"/>
        <w:spacing w:after="0" w:line="276" w:lineRule="auto"/>
        <w:ind w:firstLine="720"/>
        <w:jc w:val="both"/>
      </w:pPr>
      <w:r w:rsidRPr="00934860">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Šī panta trešā daļa noteic, ka kasācijas instances tiesa pierādījumus lietā no jauna neizvērtē.</w:t>
      </w:r>
    </w:p>
    <w:p w14:paraId="7365AC9F" w14:textId="77777777" w:rsidR="005F7E6C" w:rsidRDefault="005F7E6C" w:rsidP="005F7E6C">
      <w:pPr>
        <w:widowControl w:val="0"/>
        <w:spacing w:after="0" w:line="276" w:lineRule="auto"/>
        <w:ind w:firstLine="720"/>
        <w:jc w:val="both"/>
        <w:rPr>
          <w:rFonts w:asciiTheme="majorBidi" w:hAnsiTheme="majorBidi" w:cstheme="majorBidi"/>
        </w:rPr>
      </w:pPr>
      <w:r w:rsidRPr="0013711F">
        <w:rPr>
          <w:rFonts w:asciiTheme="majorBidi" w:hAnsiTheme="majorBidi" w:cstheme="majorBidi"/>
        </w:rPr>
        <w:t>Senāts konstatē, ka kasācijas sūdzībā</w:t>
      </w:r>
      <w:r>
        <w:rPr>
          <w:rFonts w:asciiTheme="majorBidi" w:hAnsiTheme="majorBidi" w:cstheme="majorBidi"/>
        </w:rPr>
        <w:t>s</w:t>
      </w:r>
      <w:r w:rsidRPr="0013711F">
        <w:rPr>
          <w:rFonts w:asciiTheme="majorBidi" w:hAnsiTheme="majorBidi" w:cstheme="majorBidi"/>
        </w:rPr>
        <w:t xml:space="preserve"> pēc būtības atkārtoti apsūdzētā</w:t>
      </w:r>
      <w:r>
        <w:rPr>
          <w:rFonts w:asciiTheme="majorBidi" w:hAnsiTheme="majorBidi" w:cstheme="majorBidi"/>
        </w:rPr>
        <w:t>s un viņas aizstāvja zvērināta advokāta Daumanta Krasta</w:t>
      </w:r>
      <w:r w:rsidRPr="0013711F">
        <w:rPr>
          <w:rFonts w:asciiTheme="majorBidi" w:hAnsiTheme="majorBidi" w:cstheme="majorBidi"/>
        </w:rPr>
        <w:t xml:space="preserve"> apelācijas sūdzīb</w:t>
      </w:r>
      <w:r w:rsidR="001A651F">
        <w:rPr>
          <w:rFonts w:asciiTheme="majorBidi" w:hAnsiTheme="majorBidi" w:cstheme="majorBidi"/>
        </w:rPr>
        <w:t>u</w:t>
      </w:r>
      <w:r w:rsidRPr="0013711F">
        <w:rPr>
          <w:rFonts w:asciiTheme="majorBidi" w:hAnsiTheme="majorBidi" w:cstheme="majorBidi"/>
        </w:rPr>
        <w:t xml:space="preserve"> argumenti, kurus apelācijas instances tiesa ir izvērtējusi un motivēti noraidījusi.</w:t>
      </w:r>
    </w:p>
    <w:p w14:paraId="1E9C396A" w14:textId="2F2D0E8F" w:rsidR="001A651F" w:rsidRDefault="005F7E6C" w:rsidP="00DD6AB1">
      <w:pPr>
        <w:widowControl w:val="0"/>
        <w:spacing w:after="0" w:line="276" w:lineRule="auto"/>
        <w:ind w:firstLine="720"/>
        <w:jc w:val="both"/>
        <w:rPr>
          <w:rFonts w:asciiTheme="majorBidi" w:hAnsiTheme="majorBidi" w:cstheme="majorBidi"/>
        </w:rPr>
      </w:pPr>
      <w:r w:rsidRPr="00D66A4B">
        <w:rPr>
          <w:rFonts w:asciiTheme="majorBidi" w:hAnsiTheme="majorBidi" w:cstheme="majorBidi"/>
        </w:rPr>
        <w:t>Apelācijas instances tiesa, atstājot negrozītu pirmās instances tiesas spriedumu, izvērtējusi lietā esošos pierādījumus un pievienojusies pirmās instances tiesas atzinumiem par apsūdzētās [</w:t>
      </w:r>
      <w:r w:rsidR="0047285B">
        <w:rPr>
          <w:rFonts w:asciiTheme="majorBidi" w:hAnsiTheme="majorBidi" w:cstheme="majorBidi"/>
        </w:rPr>
        <w:t>pers. </w:t>
      </w:r>
      <w:r w:rsidRPr="00D66A4B">
        <w:rPr>
          <w:rFonts w:asciiTheme="majorBidi" w:hAnsiTheme="majorBidi" w:cstheme="majorBidi"/>
        </w:rPr>
        <w:t>A] vainīgumu Krimināllikuma 130. panta otrajā daļā paredzētā noziedzīgā nodarījuma izdarīšanā.</w:t>
      </w:r>
    </w:p>
    <w:p w14:paraId="6A534F7A" w14:textId="13DCB328" w:rsidR="00530716" w:rsidRDefault="001A651F" w:rsidP="00685A9D">
      <w:pPr>
        <w:widowControl w:val="0"/>
        <w:spacing w:after="0" w:line="276" w:lineRule="auto"/>
        <w:ind w:firstLine="720"/>
        <w:jc w:val="both"/>
        <w:rPr>
          <w:rFonts w:asciiTheme="majorBidi" w:hAnsiTheme="majorBidi" w:cstheme="majorBidi"/>
        </w:rPr>
      </w:pPr>
      <w:r>
        <w:rPr>
          <w:rFonts w:asciiTheme="majorBidi" w:hAnsiTheme="majorBidi" w:cstheme="majorBidi"/>
        </w:rPr>
        <w:t>Pamatojoties uz lietā esošajiem pierādījumiem to kopumā un savstarpējā sakarībā, tajā skaitā cietušās [</w:t>
      </w:r>
      <w:r w:rsidR="0047285B">
        <w:rPr>
          <w:rFonts w:asciiTheme="majorBidi" w:hAnsiTheme="majorBidi" w:cstheme="majorBidi"/>
        </w:rPr>
        <w:t>pers. </w:t>
      </w:r>
      <w:r>
        <w:rPr>
          <w:rFonts w:asciiTheme="majorBidi" w:hAnsiTheme="majorBidi" w:cstheme="majorBidi"/>
        </w:rPr>
        <w:t>B], eksperta [</w:t>
      </w:r>
      <w:r w:rsidR="0047285B">
        <w:rPr>
          <w:rFonts w:asciiTheme="majorBidi" w:hAnsiTheme="majorBidi" w:cstheme="majorBidi"/>
        </w:rPr>
        <w:t>pers. </w:t>
      </w:r>
      <w:r>
        <w:rPr>
          <w:rFonts w:asciiTheme="majorBidi" w:hAnsiTheme="majorBidi" w:cstheme="majorBidi"/>
        </w:rPr>
        <w:t>C], liecinieku [</w:t>
      </w:r>
      <w:r w:rsidR="0047285B">
        <w:rPr>
          <w:rFonts w:asciiTheme="majorBidi" w:hAnsiTheme="majorBidi" w:cstheme="majorBidi"/>
        </w:rPr>
        <w:t>pers. </w:t>
      </w:r>
      <w:r>
        <w:rPr>
          <w:rFonts w:asciiTheme="majorBidi" w:hAnsiTheme="majorBidi" w:cstheme="majorBidi"/>
        </w:rPr>
        <w:t>D], [</w:t>
      </w:r>
      <w:r w:rsidR="0047285B">
        <w:rPr>
          <w:rFonts w:asciiTheme="majorBidi" w:hAnsiTheme="majorBidi" w:cstheme="majorBidi"/>
        </w:rPr>
        <w:t>pers. </w:t>
      </w:r>
      <w:r>
        <w:rPr>
          <w:rFonts w:asciiTheme="majorBidi" w:hAnsiTheme="majorBidi" w:cstheme="majorBidi"/>
        </w:rPr>
        <w:t>E], [</w:t>
      </w:r>
      <w:r w:rsidR="0047285B">
        <w:rPr>
          <w:rFonts w:asciiTheme="majorBidi" w:hAnsiTheme="majorBidi" w:cstheme="majorBidi"/>
        </w:rPr>
        <w:t>pers. </w:t>
      </w:r>
      <w:r>
        <w:rPr>
          <w:rFonts w:asciiTheme="majorBidi" w:hAnsiTheme="majorBidi" w:cstheme="majorBidi"/>
        </w:rPr>
        <w:t>F], [</w:t>
      </w:r>
      <w:r w:rsidR="0047285B">
        <w:rPr>
          <w:rFonts w:asciiTheme="majorBidi" w:hAnsiTheme="majorBidi" w:cstheme="majorBidi"/>
        </w:rPr>
        <w:t>pers. </w:t>
      </w:r>
      <w:r>
        <w:rPr>
          <w:rFonts w:asciiTheme="majorBidi" w:hAnsiTheme="majorBidi" w:cstheme="majorBidi"/>
        </w:rPr>
        <w:t>G] liecībām, tiesu medicīnas eksperta 2022. gada 16. jūnija atzinumu un policijas darbinieku sniegtajām ziņām par notikušo konfliktu starp cietušo un apsūdzēto, tiesa atzinusi, ka tai nav saprātīgu šaubu par to, ka 2022. gada 6. maijā ap plkst. 22.00 savstarpēja konflikta laikā apsūdzētā [</w:t>
      </w:r>
      <w:r w:rsidR="0047285B">
        <w:rPr>
          <w:rFonts w:asciiTheme="majorBidi" w:hAnsiTheme="majorBidi" w:cstheme="majorBidi"/>
        </w:rPr>
        <w:t>pers. </w:t>
      </w:r>
      <w:r>
        <w:rPr>
          <w:rFonts w:asciiTheme="majorBidi" w:hAnsiTheme="majorBidi" w:cstheme="majorBidi"/>
        </w:rPr>
        <w:t>A] tīši nodarīja cietušajai vieglus miesas bojājumus, neatrodoties nepieciešamās aizstāvēšanās stāvoklī, jo cietusī nav apdraudējusi apsūdzēto.</w:t>
      </w:r>
    </w:p>
    <w:p w14:paraId="191CEF76" w14:textId="77777777" w:rsidR="00133E67" w:rsidRDefault="00133E67" w:rsidP="00133E67">
      <w:pPr>
        <w:suppressAutoHyphens/>
        <w:autoSpaceDN w:val="0"/>
        <w:spacing w:after="0" w:line="276" w:lineRule="auto"/>
        <w:ind w:firstLine="720"/>
        <w:jc w:val="both"/>
      </w:pPr>
      <w:r>
        <w:t>Senāts jau iepriekš ir norādījis, ka p</w:t>
      </w:r>
      <w:r w:rsidRPr="00A83F94">
        <w:t>ierādījumu ticamības jēdziens un novērtēšanas prasības ir noteiktas Kriminālprocesa likuma 128.</w:t>
      </w:r>
      <w:r>
        <w:t> </w:t>
      </w:r>
      <w:r w:rsidRPr="00A83F94">
        <w:t>pantā, taču izvēle, kuriem pierādījumiem ticēt, bet kuriem n</w:t>
      </w:r>
      <w:r>
        <w:t>e</w:t>
      </w:r>
      <w:r w:rsidRPr="00A83F94">
        <w:t>,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w:t>
      </w:r>
      <w:r>
        <w:t xml:space="preserve"> (</w:t>
      </w:r>
      <w:r w:rsidRPr="00681394">
        <w:t>sk</w:t>
      </w:r>
      <w:r w:rsidRPr="00F30B8C">
        <w:rPr>
          <w:i/>
          <w:iCs/>
        </w:rPr>
        <w:t>.</w:t>
      </w:r>
      <w:r>
        <w:t> </w:t>
      </w:r>
      <w:r w:rsidRPr="00A83F94">
        <w:rPr>
          <w:i/>
          <w:iCs/>
        </w:rPr>
        <w:t>Senāta 2013. gada 3. jūlija lēmum</w:t>
      </w:r>
      <w:r>
        <w:rPr>
          <w:i/>
          <w:iCs/>
        </w:rPr>
        <w:t>u</w:t>
      </w:r>
      <w:r w:rsidRPr="00A83F94">
        <w:rPr>
          <w:i/>
          <w:iCs/>
        </w:rPr>
        <w:t xml:space="preserve"> lietā Nr. </w:t>
      </w:r>
      <w:hyperlink r:id="rId8" w:history="1">
        <w:r w:rsidRPr="00A83F94">
          <w:rPr>
            <w:rStyle w:val="Hyperlink"/>
            <w:i/>
            <w:iCs/>
          </w:rPr>
          <w:t>SKK-333/2013</w:t>
        </w:r>
      </w:hyperlink>
      <w:r w:rsidRPr="00A83F94">
        <w:rPr>
          <w:i/>
          <w:iCs/>
        </w:rPr>
        <w:t>, 15890002407</w:t>
      </w:r>
      <w:r>
        <w:t>)</w:t>
      </w:r>
      <w:r w:rsidRPr="00A83F94">
        <w:t>.</w:t>
      </w:r>
    </w:p>
    <w:p w14:paraId="061B4A2D" w14:textId="4D5FCBA3" w:rsidR="00DD6AB1" w:rsidRDefault="006D78E6" w:rsidP="00DD6AB1">
      <w:pPr>
        <w:widowControl w:val="0"/>
        <w:spacing w:after="0" w:line="276" w:lineRule="auto"/>
        <w:ind w:firstLine="720"/>
        <w:jc w:val="both"/>
      </w:pPr>
      <w:r>
        <w:rPr>
          <w:rFonts w:asciiTheme="majorBidi" w:hAnsiTheme="majorBidi" w:cstheme="majorBidi"/>
        </w:rPr>
        <w:t>Tiesa ir izvērtējusi lietā esošās apsūdzētās personību raksturojošās ziņas, tajā skaitā atzinumos par [</w:t>
      </w:r>
      <w:r w:rsidR="0047285B">
        <w:rPr>
          <w:rFonts w:asciiTheme="majorBidi" w:hAnsiTheme="majorBidi" w:cstheme="majorBidi"/>
        </w:rPr>
        <w:t>pers. </w:t>
      </w:r>
      <w:r>
        <w:rPr>
          <w:rFonts w:asciiTheme="majorBidi" w:hAnsiTheme="majorBidi" w:cstheme="majorBidi"/>
        </w:rPr>
        <w:t>A] psiholoģisko izpēti un liecinieku liecībās ietvertās [</w:t>
      </w:r>
      <w:r w:rsidR="0047285B">
        <w:rPr>
          <w:rFonts w:asciiTheme="majorBidi" w:hAnsiTheme="majorBidi" w:cstheme="majorBidi"/>
        </w:rPr>
        <w:t>pers. </w:t>
      </w:r>
      <w:r>
        <w:rPr>
          <w:rFonts w:asciiTheme="majorBidi" w:hAnsiTheme="majorBidi" w:cstheme="majorBidi"/>
        </w:rPr>
        <w:t>A] pozitīvi raksturojošās ziņas, kā arī ņēmusi vērā apsūdzētās veselības stāvokli noziedzīgā nodarījuma izdarīšanas laikā un atzinusi, ka apsūdzētajai visatbilstošākais soda veids ir probācijas uzraudzība.</w:t>
      </w:r>
    </w:p>
    <w:p w14:paraId="5FF95EB0" w14:textId="77777777" w:rsidR="005F00A5" w:rsidRDefault="008A5C76" w:rsidP="005F00A5">
      <w:pPr>
        <w:widowControl w:val="0"/>
        <w:spacing w:after="0" w:line="276" w:lineRule="auto"/>
        <w:ind w:firstLine="720"/>
        <w:jc w:val="both"/>
        <w:rPr>
          <w:rFonts w:asciiTheme="majorBidi" w:hAnsiTheme="majorBidi" w:cstheme="majorBidi"/>
        </w:rPr>
      </w:pPr>
      <w:r>
        <w:rPr>
          <w:rFonts w:asciiTheme="majorBidi" w:hAnsiTheme="majorBidi" w:cstheme="majorBidi"/>
        </w:rPr>
        <w:t>Tiesa ir izvērtējusi cietušajai radīt</w:t>
      </w:r>
      <w:r w:rsidR="00932BBF">
        <w:rPr>
          <w:rFonts w:asciiTheme="majorBidi" w:hAnsiTheme="majorBidi" w:cstheme="majorBidi"/>
        </w:rPr>
        <w:t>o</w:t>
      </w:r>
      <w:r>
        <w:rPr>
          <w:rFonts w:asciiTheme="majorBidi" w:hAnsiTheme="majorBidi" w:cstheme="majorBidi"/>
        </w:rPr>
        <w:t xml:space="preserve"> morāl</w:t>
      </w:r>
      <w:r w:rsidR="00932BBF">
        <w:rPr>
          <w:rFonts w:asciiTheme="majorBidi" w:hAnsiTheme="majorBidi" w:cstheme="majorBidi"/>
        </w:rPr>
        <w:t>o</w:t>
      </w:r>
      <w:r>
        <w:rPr>
          <w:rFonts w:asciiTheme="majorBidi" w:hAnsiTheme="majorBidi" w:cstheme="majorBidi"/>
        </w:rPr>
        <w:t xml:space="preserve"> </w:t>
      </w:r>
      <w:r w:rsidR="00932BBF">
        <w:rPr>
          <w:rFonts w:asciiTheme="majorBidi" w:hAnsiTheme="majorBidi" w:cstheme="majorBidi"/>
        </w:rPr>
        <w:t xml:space="preserve">aizskārumu, ievērojot tā </w:t>
      </w:r>
      <w:r>
        <w:rPr>
          <w:rFonts w:asciiTheme="majorBidi" w:hAnsiTheme="majorBidi" w:cstheme="majorBidi"/>
        </w:rPr>
        <w:t>dziļumu</w:t>
      </w:r>
      <w:r w:rsidR="00932BBF">
        <w:rPr>
          <w:rFonts w:asciiTheme="majorBidi" w:hAnsiTheme="majorBidi" w:cstheme="majorBidi"/>
        </w:rPr>
        <w:t xml:space="preserve"> un</w:t>
      </w:r>
      <w:r>
        <w:rPr>
          <w:rFonts w:asciiTheme="majorBidi" w:hAnsiTheme="majorBidi" w:cstheme="majorBidi"/>
        </w:rPr>
        <w:t xml:space="preserve"> nozīmīgumu, </w:t>
      </w:r>
      <w:r w:rsidR="00932BBF">
        <w:rPr>
          <w:rFonts w:asciiTheme="majorBidi" w:hAnsiTheme="majorBidi" w:cstheme="majorBidi"/>
        </w:rPr>
        <w:t xml:space="preserve">kā </w:t>
      </w:r>
      <w:r>
        <w:rPr>
          <w:rFonts w:asciiTheme="majorBidi" w:hAnsiTheme="majorBidi" w:cstheme="majorBidi"/>
        </w:rPr>
        <w:t>arī faktu, ka vardarbīb</w:t>
      </w:r>
      <w:r w:rsidR="00932BBF">
        <w:rPr>
          <w:rFonts w:asciiTheme="majorBidi" w:hAnsiTheme="majorBidi" w:cstheme="majorBidi"/>
        </w:rPr>
        <w:t>u cietusī</w:t>
      </w:r>
      <w:r>
        <w:rPr>
          <w:rFonts w:asciiTheme="majorBidi" w:hAnsiTheme="majorBidi" w:cstheme="majorBidi"/>
        </w:rPr>
        <w:t xml:space="preserve"> piedzīvo</w:t>
      </w:r>
      <w:r w:rsidR="00932BBF">
        <w:rPr>
          <w:rFonts w:asciiTheme="majorBidi" w:hAnsiTheme="majorBidi" w:cstheme="majorBidi"/>
        </w:rPr>
        <w:t>jusi</w:t>
      </w:r>
      <w:r>
        <w:rPr>
          <w:rFonts w:asciiTheme="majorBidi" w:hAnsiTheme="majorBidi" w:cstheme="majorBidi"/>
        </w:rPr>
        <w:t xml:space="preserve"> nepilngadīga bērna klātbūtnē.</w:t>
      </w:r>
      <w:r w:rsidR="005F00A5">
        <w:rPr>
          <w:rFonts w:asciiTheme="majorBidi" w:hAnsiTheme="majorBidi" w:cstheme="majorBidi"/>
        </w:rPr>
        <w:t xml:space="preserve"> Tāpat tiesa atzinusi par samērīgu samaksu par saņemto juridisko palīdzību cietušajai un piedzinusi to kā materiālā kaitējuma kompensāciju.</w:t>
      </w:r>
    </w:p>
    <w:p w14:paraId="7CB26492" w14:textId="3FFFFE56" w:rsidR="00982362" w:rsidRPr="00982362" w:rsidRDefault="00982362" w:rsidP="00982362">
      <w:pPr>
        <w:widowControl w:val="0"/>
        <w:spacing w:after="0" w:line="276" w:lineRule="auto"/>
        <w:ind w:firstLine="720"/>
        <w:jc w:val="both"/>
        <w:rPr>
          <w:rFonts w:asciiTheme="majorBidi" w:hAnsiTheme="majorBidi" w:cstheme="majorBidi"/>
          <w:color w:val="000000" w:themeColor="text1"/>
        </w:rPr>
      </w:pPr>
      <w:r w:rsidRPr="00982362">
        <w:rPr>
          <w:rFonts w:asciiTheme="majorBidi" w:hAnsiTheme="majorBidi" w:cstheme="majorBidi"/>
          <w:color w:val="000000" w:themeColor="text1"/>
        </w:rPr>
        <w:t>Pirmās instances tiesa lietā pieņēmusi blakus</w:t>
      </w:r>
      <w:r w:rsidR="00493017">
        <w:rPr>
          <w:rFonts w:asciiTheme="majorBidi" w:hAnsiTheme="majorBidi" w:cstheme="majorBidi"/>
          <w:color w:val="000000" w:themeColor="text1"/>
        </w:rPr>
        <w:t xml:space="preserve"> </w:t>
      </w:r>
      <w:r w:rsidRPr="00982362">
        <w:rPr>
          <w:rFonts w:asciiTheme="majorBidi" w:hAnsiTheme="majorBidi" w:cstheme="majorBidi"/>
          <w:color w:val="000000" w:themeColor="text1"/>
        </w:rPr>
        <w:t>lēmumu</w:t>
      </w:r>
      <w:r w:rsidR="005F00A5">
        <w:rPr>
          <w:rFonts w:asciiTheme="majorBidi" w:hAnsiTheme="majorBidi" w:cstheme="majorBidi"/>
          <w:color w:val="000000" w:themeColor="text1"/>
        </w:rPr>
        <w:t>, kurā norādīts</w:t>
      </w:r>
      <w:r w:rsidR="00CC0BBA">
        <w:rPr>
          <w:rFonts w:asciiTheme="majorBidi" w:hAnsiTheme="majorBidi" w:cstheme="majorBidi"/>
          <w:color w:val="000000" w:themeColor="text1"/>
        </w:rPr>
        <w:t xml:space="preserve"> </w:t>
      </w:r>
      <w:r w:rsidR="005F00A5">
        <w:rPr>
          <w:rFonts w:asciiTheme="majorBidi" w:hAnsiTheme="majorBidi" w:cstheme="majorBidi"/>
          <w:color w:val="000000" w:themeColor="text1"/>
        </w:rPr>
        <w:t>uz</w:t>
      </w:r>
      <w:r w:rsidRPr="00982362">
        <w:rPr>
          <w:rFonts w:asciiTheme="majorBidi" w:hAnsiTheme="majorBidi" w:cstheme="majorBidi"/>
          <w:color w:val="000000" w:themeColor="text1"/>
        </w:rPr>
        <w:t xml:space="preserve"> Bērnu tiesību aizsardzības likumā paredzēto liegumu strādāt </w:t>
      </w:r>
      <w:r w:rsidR="00493017" w:rsidRPr="00982362">
        <w:rPr>
          <w:rFonts w:asciiTheme="majorBidi" w:hAnsiTheme="majorBidi" w:cstheme="majorBidi"/>
          <w:color w:val="000000" w:themeColor="text1"/>
        </w:rPr>
        <w:t xml:space="preserve">ar bērniem </w:t>
      </w:r>
      <w:r w:rsidRPr="00982362">
        <w:rPr>
          <w:rFonts w:asciiTheme="majorBidi" w:hAnsiTheme="majorBidi" w:cstheme="majorBidi"/>
          <w:color w:val="000000" w:themeColor="text1"/>
        </w:rPr>
        <w:t xml:space="preserve">personām, kuras sodītas par minētā likuma 81. panta pārkāpumu, un nosūtījusi to </w:t>
      </w:r>
      <w:r w:rsidR="008068E3">
        <w:rPr>
          <w:color w:val="000000" w:themeColor="text1"/>
        </w:rPr>
        <w:t>[Nosaukums]</w:t>
      </w:r>
      <w:r w:rsidR="008068E3" w:rsidRPr="00982362">
        <w:rPr>
          <w:color w:val="000000" w:themeColor="text1"/>
        </w:rPr>
        <w:t xml:space="preserve"> </w:t>
      </w:r>
      <w:r w:rsidRPr="00982362">
        <w:rPr>
          <w:color w:val="000000" w:themeColor="text1"/>
        </w:rPr>
        <w:t xml:space="preserve">novada </w:t>
      </w:r>
      <w:r w:rsidRPr="00982362">
        <w:rPr>
          <w:color w:val="000000" w:themeColor="text1"/>
        </w:rPr>
        <w:lastRenderedPageBreak/>
        <w:t xml:space="preserve">pašvaldībai. </w:t>
      </w:r>
      <w:r w:rsidR="00033DF9" w:rsidRPr="00982362">
        <w:rPr>
          <w:rFonts w:asciiTheme="majorBidi" w:hAnsiTheme="majorBidi" w:cstheme="majorBidi"/>
          <w:color w:val="000000" w:themeColor="text1"/>
        </w:rPr>
        <w:t xml:space="preserve">Apelācijas instances tiesa </w:t>
      </w:r>
      <w:r w:rsidRPr="00982362">
        <w:rPr>
          <w:rFonts w:asciiTheme="majorBidi" w:hAnsiTheme="majorBidi" w:cstheme="majorBidi"/>
          <w:color w:val="000000" w:themeColor="text1"/>
        </w:rPr>
        <w:t>atzinusi, ka fakts, ka apsūdzētā vairs nestrādā iestādē, kurai blakus</w:t>
      </w:r>
      <w:r w:rsidR="00493017">
        <w:rPr>
          <w:rFonts w:asciiTheme="majorBidi" w:hAnsiTheme="majorBidi" w:cstheme="majorBidi"/>
          <w:color w:val="000000" w:themeColor="text1"/>
        </w:rPr>
        <w:t xml:space="preserve"> </w:t>
      </w:r>
      <w:r w:rsidRPr="00982362">
        <w:rPr>
          <w:rFonts w:asciiTheme="majorBidi" w:hAnsiTheme="majorBidi" w:cstheme="majorBidi"/>
          <w:color w:val="000000" w:themeColor="text1"/>
        </w:rPr>
        <w:t>lēmums nosūtīts izpildei, neietekmē tā tiesiskumu un pamatotību.</w:t>
      </w:r>
    </w:p>
    <w:p w14:paraId="62C91EB0" w14:textId="77777777" w:rsidR="008A5C76" w:rsidRDefault="008A5C76" w:rsidP="008A5C76">
      <w:pPr>
        <w:spacing w:after="0" w:line="276" w:lineRule="auto"/>
        <w:ind w:firstLine="720"/>
        <w:jc w:val="both"/>
      </w:pPr>
      <w:r w:rsidRPr="00982362">
        <w:rPr>
          <w:rFonts w:asciiTheme="majorBidi" w:hAnsiTheme="majorBidi" w:cstheme="majorBidi"/>
          <w:color w:val="000000" w:themeColor="text1"/>
        </w:rPr>
        <w:t xml:space="preserve">Ievērojot minēto, Senāts atzīst, ka apsūdzētās un viņas aizstāves kasācijas </w:t>
      </w:r>
      <w:r w:rsidRPr="00934860">
        <w:rPr>
          <w:rFonts w:asciiTheme="majorBidi" w:hAnsiTheme="majorBidi" w:cstheme="majorBidi"/>
        </w:rPr>
        <w:t>sūdzīb</w:t>
      </w:r>
      <w:r>
        <w:rPr>
          <w:rFonts w:asciiTheme="majorBidi" w:hAnsiTheme="majorBidi" w:cstheme="majorBidi"/>
        </w:rPr>
        <w:t>u</w:t>
      </w:r>
      <w:r w:rsidRPr="00934860">
        <w:rPr>
          <w:rFonts w:asciiTheme="majorBidi" w:hAnsiTheme="majorBidi" w:cstheme="majorBidi"/>
        </w:rPr>
        <w:t xml:space="preserve"> argumenti </w:t>
      </w:r>
      <w:r>
        <w:rPr>
          <w:rFonts w:asciiTheme="majorBidi" w:hAnsiTheme="majorBidi" w:cstheme="majorBidi"/>
        </w:rPr>
        <w:t xml:space="preserve">šajā daļā </w:t>
      </w:r>
      <w:r w:rsidRPr="00934860">
        <w:rPr>
          <w:rFonts w:asciiTheme="majorBidi" w:hAnsiTheme="majorBidi" w:cstheme="majorBidi"/>
        </w:rPr>
        <w:t xml:space="preserve">pēc būtības ir pamatoti ar </w:t>
      </w:r>
      <w:r w:rsidR="00CE108A">
        <w:rPr>
          <w:rFonts w:asciiTheme="majorBidi" w:hAnsiTheme="majorBidi" w:cstheme="majorBidi"/>
        </w:rPr>
        <w:t xml:space="preserve">viņu </w:t>
      </w:r>
      <w:r w:rsidRPr="00934860">
        <w:rPr>
          <w:rFonts w:asciiTheme="majorBidi" w:hAnsiTheme="majorBidi" w:cstheme="majorBidi"/>
        </w:rPr>
        <w:t>atšķirīg</w:t>
      </w:r>
      <w:r w:rsidR="00CE108A">
        <w:rPr>
          <w:rFonts w:asciiTheme="majorBidi" w:hAnsiTheme="majorBidi" w:cstheme="majorBidi"/>
        </w:rPr>
        <w:t>u</w:t>
      </w:r>
      <w:r w:rsidRPr="00934860">
        <w:rPr>
          <w:rFonts w:asciiTheme="majorBidi" w:hAnsiTheme="majorBidi" w:cstheme="majorBidi"/>
        </w:rPr>
        <w:t xml:space="preserve"> </w:t>
      </w:r>
      <w:r>
        <w:t xml:space="preserve">viedokli par inkriminētā noziedzīgā nodarījuma faktiskajiem apstākļiem un lietā </w:t>
      </w:r>
      <w:r w:rsidRPr="00934860">
        <w:rPr>
          <w:rFonts w:asciiTheme="majorBidi" w:hAnsiTheme="majorBidi" w:cstheme="majorBidi"/>
        </w:rPr>
        <w:t>esošo</w:t>
      </w:r>
      <w:r>
        <w:t xml:space="preserve"> pierādījumu vērtējumu, savukārt pierādījumu izvērtēšanu atbilstoši likumam veic tā tiesa, kas izskata lietu pēc būtības. Kasācijas sūdzību argumenti faktiski pauž viņ</w:t>
      </w:r>
      <w:r w:rsidR="00CE108A">
        <w:t>u</w:t>
      </w:r>
      <w:r>
        <w:t xml:space="preserve"> neapmierinātību ar tiem secinājumiem, kādus izdarījusi apelācijas instances tiesa, izvērtējot lietā esošos pierādījumus, un vērsti uz to, lai panāktu apelācijas instances tiesas nolēmuma atcelšanu nevis juridisku, bet faktisku iemeslu dēļ, kas ir pretrunā ar Kriminālprocesa likuma 569. panta pirmo daļu.</w:t>
      </w:r>
    </w:p>
    <w:p w14:paraId="58AB2445" w14:textId="77777777" w:rsidR="001A651F" w:rsidRDefault="001A651F" w:rsidP="001A651F">
      <w:pPr>
        <w:widowControl w:val="0"/>
        <w:tabs>
          <w:tab w:val="left" w:pos="6096"/>
        </w:tabs>
        <w:spacing w:after="0" w:line="276" w:lineRule="auto"/>
        <w:ind w:firstLine="720"/>
        <w:jc w:val="both"/>
      </w:pPr>
      <w:r w:rsidRPr="00694B3E">
        <w:rPr>
          <w:rFonts w:asciiTheme="majorBidi" w:hAnsiTheme="majorBidi" w:cstheme="majorBidi"/>
        </w:rPr>
        <w:t>Kriminālprocesa</w:t>
      </w:r>
      <w:r>
        <w:t xml:space="preserve"> likuma 573. panta pirmā daļa noteic, ka nolēmumu tiesiskumu kasācijas kārtībā pārbauda tikai tādā gadījumā, ja kasācijas sūdzībā vai protestā izteiktā prasība pamatota ar Krimināllikuma pārkāpumu vai Kriminālprocesa likuma būtisku pārkāpumu.</w:t>
      </w:r>
    </w:p>
    <w:p w14:paraId="389B5F35" w14:textId="77777777" w:rsidR="001A651F" w:rsidRDefault="001A651F" w:rsidP="001A651F">
      <w:pPr>
        <w:widowControl w:val="0"/>
        <w:tabs>
          <w:tab w:val="left" w:pos="6096"/>
        </w:tabs>
        <w:spacing w:after="0" w:line="276" w:lineRule="auto"/>
        <w:ind w:firstLine="720"/>
        <w:jc w:val="both"/>
      </w:pPr>
      <w:r>
        <w:t xml:space="preserve">Apsūdzētā kasācijas sūdzībā </w:t>
      </w:r>
      <w:r w:rsidR="00493017">
        <w:t xml:space="preserve">arī </w:t>
      </w:r>
      <w:r>
        <w:t>norādījusi, ka pirmās instances tiesa krimināllietas materiāliem pēc viņas lūguma pievienojusi tikai apsūdzētās paskaidrojumu administratīvā pārkāpuma lietā, bet ne tā pielikumus.</w:t>
      </w:r>
    </w:p>
    <w:p w14:paraId="3BA03C8F" w14:textId="6F141AE2" w:rsidR="001A651F" w:rsidRPr="005A7008" w:rsidRDefault="001A651F" w:rsidP="001A651F">
      <w:pPr>
        <w:spacing w:after="0" w:line="276" w:lineRule="auto"/>
        <w:ind w:firstLine="720"/>
        <w:jc w:val="both"/>
      </w:pPr>
      <w:r w:rsidRPr="005A7008">
        <w:t>No pirmās instances tiesas 2023. gada 2. novembra tiesas sēdes protokola un skaņu ieraksta izriet, ka pirmās instances tiesa apsūdzētās [</w:t>
      </w:r>
      <w:r w:rsidR="0047285B">
        <w:t>pers. </w:t>
      </w:r>
      <w:r w:rsidRPr="005A7008">
        <w:t>A] lūgumu par administratīvās lietas dokumentu, arī paskaidrojuma pievienošanu krimināllietai ir izvērtējusi un motivēti noraidījusi.</w:t>
      </w:r>
    </w:p>
    <w:p w14:paraId="0D401EA8" w14:textId="77777777" w:rsidR="001A651F" w:rsidRPr="005A7008" w:rsidRDefault="001A651F" w:rsidP="001A651F">
      <w:pPr>
        <w:spacing w:after="0" w:line="276" w:lineRule="auto"/>
        <w:ind w:firstLine="720"/>
        <w:jc w:val="both"/>
      </w:pPr>
      <w:r w:rsidRPr="005A7008">
        <w:t>Senāts jau iepriekš vairākkārt norādījis, ka apsūdzēto personu vai viņu aizstāvju pieteikto lūgumu motivēta noraidīšana lietas iztiesāšanas laikā nav vērtējama kā apsūdzētā tiesību ierobežošana, jo atbilstoši Kriminālprocesa likuma 496.</w:t>
      </w:r>
      <w:r w:rsidR="00B7410E">
        <w:t> </w:t>
      </w:r>
      <w:r w:rsidRPr="005A7008">
        <w:t>panta otrās daļas nosacījumiem tiesai prokurora, cietušā, apsūdzētā un viņa aizstāvja lūgumi ir jāizvērtē un jāizlemj, bet tai nav obligāta pienākuma šos lūgumus apmierināt (</w:t>
      </w:r>
      <w:r w:rsidR="00B7410E">
        <w:rPr>
          <w:i/>
        </w:rPr>
        <w:t>Senāta</w:t>
      </w:r>
      <w:r w:rsidRPr="005A7008">
        <w:rPr>
          <w:i/>
        </w:rPr>
        <w:t xml:space="preserve"> 2015.</w:t>
      </w:r>
      <w:r w:rsidR="00B7410E">
        <w:rPr>
          <w:i/>
        </w:rPr>
        <w:t> </w:t>
      </w:r>
      <w:r w:rsidRPr="005A7008">
        <w:rPr>
          <w:i/>
        </w:rPr>
        <w:t>gada 17.</w:t>
      </w:r>
      <w:r w:rsidR="00B7410E">
        <w:rPr>
          <w:i/>
        </w:rPr>
        <w:t> </w:t>
      </w:r>
      <w:r w:rsidRPr="005A7008">
        <w:rPr>
          <w:i/>
        </w:rPr>
        <w:t>septembra lēmums lietā Nr. </w:t>
      </w:r>
      <w:hyperlink r:id="rId9" w:history="1">
        <w:r w:rsidRPr="00B7410E">
          <w:rPr>
            <w:rStyle w:val="Hyperlink"/>
            <w:i/>
          </w:rPr>
          <w:t>SKK-473/2015</w:t>
        </w:r>
      </w:hyperlink>
      <w:r w:rsidR="00B7410E">
        <w:rPr>
          <w:i/>
        </w:rPr>
        <w:t>,</w:t>
      </w:r>
      <w:r w:rsidRPr="005A7008">
        <w:rPr>
          <w:i/>
        </w:rPr>
        <w:t xml:space="preserve"> 11096124414</w:t>
      </w:r>
      <w:r w:rsidRPr="005A7008">
        <w:t>).</w:t>
      </w:r>
    </w:p>
    <w:p w14:paraId="6FE4CB4D" w14:textId="77777777" w:rsidR="001A651F" w:rsidRDefault="001A651F" w:rsidP="001A651F">
      <w:pPr>
        <w:spacing w:after="0" w:line="276" w:lineRule="auto"/>
        <w:ind w:firstLine="720"/>
        <w:jc w:val="both"/>
      </w:pPr>
      <w:r>
        <w:t>Savukārt lūgums par minēto dokumentu pievienošanu krimināllietai apelācijas instances tiesā nav pieteikts.</w:t>
      </w:r>
    </w:p>
    <w:p w14:paraId="3758329F" w14:textId="77777777" w:rsidR="00B7410E" w:rsidRDefault="00B7410E" w:rsidP="00B7410E">
      <w:pPr>
        <w:spacing w:after="0" w:line="276" w:lineRule="auto"/>
        <w:ind w:firstLine="720"/>
        <w:jc w:val="both"/>
      </w:pPr>
      <w:r>
        <w:t>Senāts atzīst, ka a</w:t>
      </w:r>
      <w:r w:rsidRPr="005A7008">
        <w:t>psūdzēt</w:t>
      </w:r>
      <w:r>
        <w:t>ās kasācijas sūdzība šajā daļā neatbilst Kriminālprocesa likuma 573. panta pirmās daļas prasībām, jo nav pamatota</w:t>
      </w:r>
      <w:r w:rsidRPr="005A7008">
        <w:t xml:space="preserve"> ar Krimināllikuma pārkāpumu vai Kriminālprocesa likuma būtisku pārkāpumu.</w:t>
      </w:r>
    </w:p>
    <w:p w14:paraId="4D9ADC19" w14:textId="77777777" w:rsidR="008A5C76" w:rsidRDefault="008A5C76" w:rsidP="008A5C76">
      <w:pPr>
        <w:widowControl w:val="0"/>
        <w:spacing w:after="0" w:line="276" w:lineRule="auto"/>
        <w:ind w:firstLine="720"/>
        <w:jc w:val="both"/>
        <w:rPr>
          <w:rFonts w:asciiTheme="majorBidi" w:hAnsiTheme="majorBidi" w:cstheme="majorBidi"/>
        </w:rPr>
      </w:pPr>
      <w:r w:rsidRPr="00934860">
        <w:rPr>
          <w:rFonts w:asciiTheme="majorBidi" w:hAnsiTheme="majorBidi" w:cstheme="majorBidi"/>
        </w:rPr>
        <w:t xml:space="preserve">Minētais ir pamats atteikumam ierosināt kasācijas tiesvedību </w:t>
      </w:r>
      <w:r>
        <w:rPr>
          <w:rFonts w:asciiTheme="majorBidi" w:hAnsiTheme="majorBidi" w:cstheme="majorBidi"/>
        </w:rPr>
        <w:t xml:space="preserve">šajā daļā </w:t>
      </w:r>
      <w:r w:rsidRPr="00934860">
        <w:rPr>
          <w:rFonts w:asciiTheme="majorBidi" w:hAnsiTheme="majorBidi" w:cstheme="majorBidi"/>
        </w:rPr>
        <w:t>saskaņā ar Kriminālprocesa likuma 573.</w:t>
      </w:r>
      <w:r w:rsidRPr="00934860">
        <w:rPr>
          <w:rFonts w:asciiTheme="majorBidi" w:hAnsiTheme="majorBidi" w:cstheme="majorBidi"/>
          <w:vertAlign w:val="superscript"/>
        </w:rPr>
        <w:t>1</w:t>
      </w:r>
      <w:r w:rsidRPr="00934860">
        <w:rPr>
          <w:rFonts w:asciiTheme="majorBidi" w:hAnsiTheme="majorBidi" w:cstheme="majorBidi"/>
        </w:rPr>
        <w:t> panta pirmo daļu.</w:t>
      </w:r>
    </w:p>
    <w:p w14:paraId="48FA78DB" w14:textId="77777777" w:rsidR="008A5C76" w:rsidRDefault="008A5C76" w:rsidP="008A5C76">
      <w:pPr>
        <w:widowControl w:val="0"/>
        <w:spacing w:after="0" w:line="276" w:lineRule="auto"/>
        <w:ind w:firstLine="720"/>
        <w:jc w:val="both"/>
      </w:pPr>
      <w:r>
        <w:t>Saskaņā ar Kriminālprocesa likuma 573.</w:t>
      </w:r>
      <w:r w:rsidRPr="007E40DF">
        <w:rPr>
          <w:vertAlign w:val="superscript"/>
        </w:rPr>
        <w:t>1</w:t>
      </w:r>
      <w:r>
        <w:t> panta otrās daļas 1. punktu tiesa var atteikties ierosināt kasācijas tiesvedību, ja kasācijas sūdzībā vai protestā norādītajos tiesību normu piemērošanas jautājumos ir izveidojusies Augstākās tiesas judikatūra un pārsūdzētais nolēmums tai atbilst.</w:t>
      </w:r>
    </w:p>
    <w:p w14:paraId="4BFB583A" w14:textId="77777777" w:rsidR="00D22071" w:rsidRDefault="00D22071" w:rsidP="00D22071">
      <w:pPr>
        <w:shd w:val="clear" w:color="auto" w:fill="FFFFFF"/>
        <w:spacing w:after="0" w:line="276" w:lineRule="auto"/>
        <w:ind w:firstLine="720"/>
        <w:jc w:val="both"/>
        <w:rPr>
          <w:rFonts w:asciiTheme="majorBidi" w:hAnsiTheme="majorBidi" w:cstheme="majorBidi"/>
        </w:rPr>
      </w:pPr>
      <w:r w:rsidRPr="00D70C00">
        <w:rPr>
          <w:rFonts w:asciiTheme="majorBidi" w:hAnsiTheme="majorBidi" w:cstheme="majorBidi"/>
        </w:rPr>
        <w:t xml:space="preserve">Kriminālprocesa likuma 367. panta pirmā daļa noteic kriminālprocesuālo izdevumu veidus. Šī panta pirmās daļas 4. punkts paredz, ka samaksa advokātam, kad izdevumus par juridisko palīdzību sedz no valsts līdzekļiem, ir uzskatāma par procesuālajiem izdevumiem. </w:t>
      </w:r>
      <w:r>
        <w:rPr>
          <w:rFonts w:asciiTheme="majorBidi" w:hAnsiTheme="majorBidi" w:cstheme="majorBidi"/>
        </w:rPr>
        <w:t xml:space="preserve">Saskaņā ar </w:t>
      </w:r>
      <w:r w:rsidRPr="00D70C00">
        <w:rPr>
          <w:rFonts w:asciiTheme="majorBidi" w:hAnsiTheme="majorBidi" w:cstheme="majorBidi"/>
        </w:rPr>
        <w:t>Kriminālprocesa likuma 367. panta otr</w:t>
      </w:r>
      <w:r>
        <w:rPr>
          <w:rFonts w:asciiTheme="majorBidi" w:hAnsiTheme="majorBidi" w:cstheme="majorBidi"/>
        </w:rPr>
        <w:t>o</w:t>
      </w:r>
      <w:r w:rsidRPr="00D70C00">
        <w:rPr>
          <w:rFonts w:asciiTheme="majorBidi" w:hAnsiTheme="majorBidi" w:cstheme="majorBidi"/>
        </w:rPr>
        <w:t xml:space="preserve"> daļ</w:t>
      </w:r>
      <w:r>
        <w:rPr>
          <w:rFonts w:asciiTheme="majorBidi" w:hAnsiTheme="majorBidi" w:cstheme="majorBidi"/>
        </w:rPr>
        <w:t>u š</w:t>
      </w:r>
      <w:r w:rsidRPr="00D70C00">
        <w:rPr>
          <w:rFonts w:asciiTheme="majorBidi" w:hAnsiTheme="majorBidi" w:cstheme="majorBidi"/>
        </w:rPr>
        <w:t>ādus procesuālos izdevumus sedz no valsts līdzekļiem Ministru kabineta noteiktajā apmērā un kārtībā</w:t>
      </w:r>
      <w:r>
        <w:rPr>
          <w:rFonts w:asciiTheme="majorBidi" w:hAnsiTheme="majorBidi" w:cstheme="majorBidi"/>
        </w:rPr>
        <w:t>.</w:t>
      </w:r>
    </w:p>
    <w:p w14:paraId="04748DC7" w14:textId="77777777" w:rsidR="00D22071" w:rsidRDefault="00A11368" w:rsidP="00D22071">
      <w:pPr>
        <w:shd w:val="clear" w:color="auto" w:fill="FFFFFF"/>
        <w:spacing w:after="0" w:line="276" w:lineRule="auto"/>
        <w:ind w:firstLine="720"/>
        <w:jc w:val="both"/>
        <w:rPr>
          <w:rFonts w:asciiTheme="majorBidi" w:hAnsiTheme="majorBidi" w:cstheme="majorBidi"/>
        </w:rPr>
      </w:pPr>
      <w:r>
        <w:rPr>
          <w:rFonts w:asciiTheme="majorBidi" w:hAnsiTheme="majorBidi" w:cstheme="majorBidi"/>
        </w:rPr>
        <w:lastRenderedPageBreak/>
        <w:t>I</w:t>
      </w:r>
      <w:r w:rsidR="00D22071">
        <w:rPr>
          <w:rFonts w:asciiTheme="majorBidi" w:hAnsiTheme="majorBidi" w:cstheme="majorBidi"/>
        </w:rPr>
        <w:t xml:space="preserve">zskatāmajā lietā cietusī pati segusi izdevumus par </w:t>
      </w:r>
      <w:r w:rsidR="00D22071" w:rsidRPr="00411535">
        <w:t>advokāta sniegto juridisko palīdzību kriminālprocesā</w:t>
      </w:r>
      <w:r w:rsidR="00D22071">
        <w:t>.</w:t>
      </w:r>
    </w:p>
    <w:p w14:paraId="066FC391" w14:textId="77777777" w:rsidR="00CA3D93" w:rsidRDefault="00D22071" w:rsidP="00D22071">
      <w:pPr>
        <w:shd w:val="clear" w:color="auto" w:fill="FFFFFF"/>
        <w:spacing w:after="0" w:line="276" w:lineRule="auto"/>
        <w:ind w:firstLine="720"/>
        <w:jc w:val="both"/>
        <w:rPr>
          <w:rFonts w:asciiTheme="majorBidi" w:hAnsiTheme="majorBidi" w:cstheme="majorBidi"/>
        </w:rPr>
      </w:pPr>
      <w:r>
        <w:t>Senāta judikatūrā atzīts, ka</w:t>
      </w:r>
      <w:r>
        <w:rPr>
          <w:rFonts w:asciiTheme="majorBidi" w:hAnsiTheme="majorBidi" w:cstheme="majorBidi"/>
        </w:rPr>
        <w:t xml:space="preserve"> </w:t>
      </w:r>
      <w:r>
        <w:t>c</w:t>
      </w:r>
      <w:r w:rsidRPr="00411535">
        <w:t>ietušā izdevumi par advokāta sniegto juridisko palīdzību kriminālprocesā no valsts līdzekļiem netiek segti, tādēļ tie nav atzīstami par procesuālajiem izdevumiem</w:t>
      </w:r>
      <w:r>
        <w:t xml:space="preserve"> </w:t>
      </w:r>
      <w:r w:rsidRPr="00D70C00">
        <w:rPr>
          <w:rFonts w:asciiTheme="majorBidi" w:hAnsiTheme="majorBidi" w:cstheme="majorBidi"/>
        </w:rPr>
        <w:t>(sk.</w:t>
      </w:r>
      <w:r w:rsidR="00CA3D93">
        <w:rPr>
          <w:rFonts w:asciiTheme="majorBidi" w:hAnsiTheme="majorBidi" w:cstheme="majorBidi"/>
        </w:rPr>
        <w:t> </w:t>
      </w:r>
      <w:r w:rsidRPr="00D70C00">
        <w:rPr>
          <w:rFonts w:asciiTheme="majorBidi" w:hAnsiTheme="majorBidi" w:cstheme="majorBidi"/>
          <w:i/>
        </w:rPr>
        <w:t>Senāta 2011. gada 29. augusta lēmumu lietā Nr. </w:t>
      </w:r>
      <w:hyperlink r:id="rId10" w:history="1">
        <w:r w:rsidRPr="00D70C00">
          <w:rPr>
            <w:rStyle w:val="Hyperlink"/>
            <w:rFonts w:asciiTheme="majorBidi" w:hAnsiTheme="majorBidi" w:cstheme="majorBidi"/>
            <w:i/>
          </w:rPr>
          <w:t>SKK</w:t>
        </w:r>
        <w:r w:rsidRPr="00D70C00">
          <w:rPr>
            <w:rStyle w:val="Hyperlink"/>
            <w:rFonts w:asciiTheme="majorBidi" w:hAnsiTheme="majorBidi" w:cstheme="majorBidi"/>
            <w:i/>
          </w:rPr>
          <w:noBreakHyphen/>
          <w:t>296/2011</w:t>
        </w:r>
      </w:hyperlink>
      <w:r w:rsidRPr="00D70C00">
        <w:rPr>
          <w:rFonts w:asciiTheme="majorBidi" w:hAnsiTheme="majorBidi" w:cstheme="majorBidi"/>
          <w:i/>
        </w:rPr>
        <w:t>, Nr. 11261057010</w:t>
      </w:r>
      <w:r w:rsidRPr="00D70C00">
        <w:rPr>
          <w:rFonts w:asciiTheme="majorBidi" w:hAnsiTheme="majorBidi" w:cstheme="majorBidi"/>
        </w:rPr>
        <w:t>).</w:t>
      </w:r>
    </w:p>
    <w:p w14:paraId="08AE54F7" w14:textId="77777777" w:rsidR="00D22071" w:rsidRDefault="00A11368" w:rsidP="00D22071">
      <w:pPr>
        <w:shd w:val="clear" w:color="auto" w:fill="FFFFFF"/>
        <w:spacing w:after="0" w:line="276" w:lineRule="auto"/>
        <w:ind w:firstLine="720"/>
        <w:jc w:val="both"/>
        <w:rPr>
          <w:rFonts w:asciiTheme="majorBidi" w:hAnsiTheme="majorBidi" w:cstheme="majorBidi"/>
        </w:rPr>
      </w:pPr>
      <w:r>
        <w:rPr>
          <w:rFonts w:asciiTheme="majorBidi" w:hAnsiTheme="majorBidi" w:cstheme="majorBidi"/>
        </w:rPr>
        <w:t>Tas nozīmē</w:t>
      </w:r>
      <w:r w:rsidR="00D22071">
        <w:rPr>
          <w:rFonts w:asciiTheme="majorBidi" w:hAnsiTheme="majorBidi" w:cstheme="majorBidi"/>
        </w:rPr>
        <w:t xml:space="preserve">, ka </w:t>
      </w:r>
      <w:r w:rsidR="00D22071" w:rsidRPr="00D70C00">
        <w:rPr>
          <w:rFonts w:asciiTheme="majorBidi" w:hAnsiTheme="majorBidi" w:cstheme="majorBidi"/>
        </w:rPr>
        <w:t>izdevumi</w:t>
      </w:r>
      <w:r w:rsidR="006E5564">
        <w:rPr>
          <w:rFonts w:asciiTheme="majorBidi" w:hAnsiTheme="majorBidi" w:cstheme="majorBidi"/>
        </w:rPr>
        <w:t>, kas radušies cietušajai</w:t>
      </w:r>
      <w:r w:rsidR="00D22071" w:rsidRPr="00D70C00">
        <w:rPr>
          <w:rFonts w:asciiTheme="majorBidi" w:hAnsiTheme="majorBidi" w:cstheme="majorBidi"/>
        </w:rPr>
        <w:t xml:space="preserve"> par advokāta palīdzību neietilpst Kriminālprocesa likuma 367. panta pirmajā daļā </w:t>
      </w:r>
      <w:r w:rsidR="00D22071" w:rsidRPr="0000748A">
        <w:rPr>
          <w:rFonts w:asciiTheme="majorBidi" w:hAnsiTheme="majorBidi" w:cstheme="majorBidi"/>
        </w:rPr>
        <w:t>noteiktajos</w:t>
      </w:r>
      <w:r w:rsidR="00D22071" w:rsidRPr="00D70C00">
        <w:rPr>
          <w:rFonts w:asciiTheme="majorBidi" w:hAnsiTheme="majorBidi" w:cstheme="majorBidi"/>
        </w:rPr>
        <w:t xml:space="preserve"> procesuālo izdevumu veidos</w:t>
      </w:r>
      <w:r w:rsidR="00D22071">
        <w:rPr>
          <w:rFonts w:asciiTheme="majorBidi" w:hAnsiTheme="majorBidi" w:cstheme="majorBidi"/>
        </w:rPr>
        <w:t xml:space="preserve">, tādēļ tie ir atzīstami par </w:t>
      </w:r>
      <w:r w:rsidR="00D22071" w:rsidRPr="00D70C00">
        <w:rPr>
          <w:rFonts w:asciiTheme="majorBidi" w:hAnsiTheme="majorBidi" w:cstheme="majorBidi"/>
        </w:rPr>
        <w:t>mantiskajiem zaudējumiem, kas piedzenami no notiesātā</w:t>
      </w:r>
      <w:r w:rsidR="00D22071">
        <w:rPr>
          <w:rFonts w:asciiTheme="majorBidi" w:hAnsiTheme="majorBidi" w:cstheme="majorBidi"/>
        </w:rPr>
        <w:t>.</w:t>
      </w:r>
    </w:p>
    <w:p w14:paraId="22FE3F8E" w14:textId="77777777" w:rsidR="00CA3D93" w:rsidRDefault="00A11368" w:rsidP="00F27A52">
      <w:pPr>
        <w:widowControl w:val="0"/>
        <w:spacing w:after="0" w:line="276" w:lineRule="auto"/>
        <w:ind w:firstLine="720"/>
        <w:jc w:val="both"/>
      </w:pPr>
      <w:r>
        <w:t>Ievērojot minēto, Senāts konstatē</w:t>
      </w:r>
      <w:r w:rsidR="00CA3D93">
        <w:t xml:space="preserve">, ka </w:t>
      </w:r>
      <w:r w:rsidRPr="006C4BCA">
        <w:t xml:space="preserve">jautājumā par kaitējuma kompensācijas piedziņu </w:t>
      </w:r>
      <w:r>
        <w:t>par izdevumiem</w:t>
      </w:r>
      <w:r w:rsidR="006E5564">
        <w:t>, kas radušies cietušajam par</w:t>
      </w:r>
      <w:r>
        <w:t xml:space="preserve"> advokāta </w:t>
      </w:r>
      <w:r w:rsidR="006E5564">
        <w:t>palīdzību</w:t>
      </w:r>
      <w:r w:rsidRPr="006C4BCA">
        <w:t xml:space="preserve">, ir izveidojusies </w:t>
      </w:r>
      <w:r>
        <w:t>Senāta</w:t>
      </w:r>
      <w:r w:rsidRPr="008938F1">
        <w:t xml:space="preserve"> judikatūra</w:t>
      </w:r>
      <w:r>
        <w:t>,</w:t>
      </w:r>
      <w:r w:rsidRPr="008938F1">
        <w:t xml:space="preserve"> un</w:t>
      </w:r>
      <w:r>
        <w:t xml:space="preserve"> atzīst, ka</w:t>
      </w:r>
      <w:r w:rsidRPr="008938F1">
        <w:t xml:space="preserve"> pārsūdzētais </w:t>
      </w:r>
      <w:r>
        <w:t>nolēmums</w:t>
      </w:r>
      <w:r w:rsidRPr="008938F1">
        <w:t xml:space="preserve"> tai atbilst.</w:t>
      </w:r>
    </w:p>
    <w:p w14:paraId="0ED8EA6E" w14:textId="77777777" w:rsidR="00F27A52" w:rsidRDefault="00D22071" w:rsidP="00F27A52">
      <w:pPr>
        <w:widowControl w:val="0"/>
        <w:spacing w:after="0" w:line="276" w:lineRule="auto"/>
        <w:ind w:firstLine="720"/>
        <w:jc w:val="both"/>
      </w:pPr>
      <w:r w:rsidRPr="00934860">
        <w:rPr>
          <w:rFonts w:asciiTheme="majorBidi" w:hAnsiTheme="majorBidi" w:cstheme="majorBidi"/>
        </w:rPr>
        <w:t xml:space="preserve">Minētais ir pamats atteikumam ierosināt kasācijas tiesvedību </w:t>
      </w:r>
      <w:r>
        <w:rPr>
          <w:rFonts w:asciiTheme="majorBidi" w:hAnsiTheme="majorBidi" w:cstheme="majorBidi"/>
        </w:rPr>
        <w:t xml:space="preserve">šajā daļā </w:t>
      </w:r>
      <w:r w:rsidRPr="00934860">
        <w:rPr>
          <w:rFonts w:asciiTheme="majorBidi" w:hAnsiTheme="majorBidi" w:cstheme="majorBidi"/>
        </w:rPr>
        <w:t>saskaņā ar Kriminālprocesa likuma</w:t>
      </w:r>
      <w:r w:rsidRPr="00EF2FCE">
        <w:t xml:space="preserve"> 573.</w:t>
      </w:r>
      <w:r w:rsidRPr="00EF2FCE">
        <w:rPr>
          <w:vertAlign w:val="superscript"/>
        </w:rPr>
        <w:t>1</w:t>
      </w:r>
      <w:r w:rsidRPr="00EF2FCE">
        <w:t> panta otrās daļas 1. punkt</w:t>
      </w:r>
      <w:r>
        <w:t>u.</w:t>
      </w:r>
    </w:p>
    <w:p w14:paraId="32A62826" w14:textId="77777777" w:rsidR="00F27A52" w:rsidRPr="009C6695" w:rsidRDefault="00F27A52" w:rsidP="00F27A52">
      <w:pPr>
        <w:widowControl w:val="0"/>
        <w:spacing w:after="0" w:line="276" w:lineRule="auto"/>
        <w:ind w:firstLine="720"/>
        <w:jc w:val="both"/>
        <w:rPr>
          <w:rFonts w:asciiTheme="majorBidi" w:hAnsiTheme="majorBidi" w:cstheme="majorBidi"/>
        </w:rPr>
      </w:pPr>
      <w:r>
        <w:t>Saskaņā ar Kriminālprocesa likuma 573.</w:t>
      </w:r>
      <w:r>
        <w:rPr>
          <w:vertAlign w:val="superscript"/>
        </w:rPr>
        <w:t>1</w:t>
      </w:r>
      <w:r>
        <w:t> panta otrās daļas 2. punktu tiesa var atteikties ierosināt kasācijas tiesvedību, ja, izvērtējot kasācijas sūdzībā vai protestā minētos argumentus, nerodas šaubas par pārsūdzētā nolēmuma tiesiskumu un izskatāmajai lietai nav būtiskas nozīmes judikatūras veidošanā.</w:t>
      </w:r>
    </w:p>
    <w:p w14:paraId="2B5EF766" w14:textId="77777777" w:rsidR="00F76BB5" w:rsidRDefault="00F27A52" w:rsidP="00F76BB5">
      <w:pPr>
        <w:widowControl w:val="0"/>
        <w:tabs>
          <w:tab w:val="left" w:pos="6096"/>
        </w:tabs>
        <w:spacing w:after="0" w:line="276" w:lineRule="auto"/>
        <w:ind w:firstLine="720"/>
        <w:jc w:val="both"/>
      </w:pPr>
      <w:r>
        <w:t>Senāts atzīst, ka kasācijas sūdzību arguments par dubultās sodīšanas aizlieguma pārkāpumu nerada šaubas par pārsūdzētā lēmuma tiesiskumu</w:t>
      </w:r>
      <w:r w:rsidR="005F00A5">
        <w:t xml:space="preserve"> un</w:t>
      </w:r>
      <w:r>
        <w:t xml:space="preserve"> izskatāmajai lietai nav būtiskas nozīmes judikatūras veidošanā, jo arguments nav saistīts ar tiesu praksē nozīmīgu tiesību normu interpretāciju.</w:t>
      </w:r>
    </w:p>
    <w:p w14:paraId="7545C35E" w14:textId="77777777" w:rsidR="00F76BB5" w:rsidRDefault="00F76BB5" w:rsidP="00F76BB5">
      <w:pPr>
        <w:widowControl w:val="0"/>
        <w:tabs>
          <w:tab w:val="left" w:pos="6096"/>
        </w:tabs>
        <w:spacing w:after="0" w:line="276" w:lineRule="auto"/>
        <w:ind w:firstLine="720"/>
        <w:jc w:val="both"/>
        <w:rPr>
          <w:bCs/>
        </w:rPr>
      </w:pPr>
      <w:r w:rsidRPr="00767B8D">
        <w:rPr>
          <w:bCs/>
        </w:rPr>
        <w:t xml:space="preserve">Krimināllikuma </w:t>
      </w:r>
      <w:r>
        <w:rPr>
          <w:bCs/>
        </w:rPr>
        <w:t>1. </w:t>
      </w:r>
      <w:r w:rsidRPr="00767B8D">
        <w:rPr>
          <w:bCs/>
        </w:rPr>
        <w:t xml:space="preserve">panta </w:t>
      </w:r>
      <w:r>
        <w:rPr>
          <w:bCs/>
        </w:rPr>
        <w:t xml:space="preserve">piektajā daļā un Kriminālprocesa </w:t>
      </w:r>
      <w:r w:rsidR="00A11368">
        <w:rPr>
          <w:bCs/>
        </w:rPr>
        <w:t xml:space="preserve">likuma </w:t>
      </w:r>
      <w:r>
        <w:rPr>
          <w:bCs/>
        </w:rPr>
        <w:t xml:space="preserve">25. pantā </w:t>
      </w:r>
      <w:r w:rsidRPr="00016E09">
        <w:rPr>
          <w:bCs/>
        </w:rPr>
        <w:t>(</w:t>
      </w:r>
      <w:r w:rsidRPr="00016E09">
        <w:rPr>
          <w:bCs/>
          <w:i/>
          <w:iCs/>
        </w:rPr>
        <w:t>ne bis in idem</w:t>
      </w:r>
      <w:r w:rsidRPr="00016E09">
        <w:rPr>
          <w:bCs/>
        </w:rPr>
        <w:t>) ir nostiprināts dubultās sodīšanas nepieļaujamības princips</w:t>
      </w:r>
      <w:r w:rsidR="00A11368">
        <w:rPr>
          <w:bCs/>
        </w:rPr>
        <w:t>,</w:t>
      </w:r>
      <w:r w:rsidRPr="00016E09">
        <w:rPr>
          <w:bCs/>
        </w:rPr>
        <w:t xml:space="preserve"> un tā mērķis ir</w:t>
      </w:r>
      <w:r w:rsidRPr="00767B8D">
        <w:rPr>
          <w:bCs/>
        </w:rPr>
        <w:t xml:space="preserve"> novērst netaisnīgu situāciju, kad persona tiek saukta pie atbildības divreiz par vienu un to pašu krimināli sodāmu darbību.</w:t>
      </w:r>
    </w:p>
    <w:p w14:paraId="1064D9A6" w14:textId="77777777" w:rsidR="00F76BB5" w:rsidRDefault="00F27A52" w:rsidP="00CE108A">
      <w:pPr>
        <w:widowControl w:val="0"/>
        <w:tabs>
          <w:tab w:val="left" w:pos="6096"/>
        </w:tabs>
        <w:spacing w:after="0" w:line="276" w:lineRule="auto"/>
        <w:ind w:firstLine="720"/>
        <w:jc w:val="both"/>
      </w:pPr>
      <w:r w:rsidRPr="00F27A52">
        <w:rPr>
          <w:i/>
          <w:iCs/>
        </w:rPr>
        <w:t>Ne bis in idem</w:t>
      </w:r>
      <w:r w:rsidRPr="005B0FB7">
        <w:t xml:space="preserve"> jeb dubultās sodīšanas </w:t>
      </w:r>
      <w:r w:rsidR="005C4478">
        <w:t xml:space="preserve">nepieļaujamības </w:t>
      </w:r>
      <w:r w:rsidRPr="005B0FB7">
        <w:t>princips liedz atkārtoti sodīt personu par vienu un to pašu pārkāpumu, kas izceļas no tiem pašiem faktiem vai faktiem, kas pēc būtības ir tie paši (</w:t>
      </w:r>
      <w:r w:rsidR="00A11368">
        <w:t>sk. </w:t>
      </w:r>
      <w:r w:rsidRPr="00F76BB5">
        <w:rPr>
          <w:i/>
          <w:iCs/>
        </w:rPr>
        <w:t>Satversmes tiesas 2012.</w:t>
      </w:r>
      <w:r w:rsidR="00A11368">
        <w:rPr>
          <w:i/>
          <w:iCs/>
        </w:rPr>
        <w:t> </w:t>
      </w:r>
      <w:r w:rsidRPr="00F76BB5">
        <w:rPr>
          <w:i/>
          <w:iCs/>
        </w:rPr>
        <w:t>gada 18.</w:t>
      </w:r>
      <w:r w:rsidR="00A11368">
        <w:rPr>
          <w:i/>
          <w:iCs/>
        </w:rPr>
        <w:t> </w:t>
      </w:r>
      <w:r w:rsidRPr="00F76BB5">
        <w:rPr>
          <w:i/>
          <w:iCs/>
        </w:rPr>
        <w:t>oktobra sprieduma lietā Nr.</w:t>
      </w:r>
      <w:r w:rsidR="00A11368">
        <w:rPr>
          <w:i/>
          <w:iCs/>
        </w:rPr>
        <w:t> </w:t>
      </w:r>
      <w:hyperlink r:id="rId11" w:anchor="search=" w:history="1">
        <w:r w:rsidRPr="00A11368">
          <w:rPr>
            <w:rStyle w:val="Hyperlink"/>
            <w:i/>
            <w:iCs/>
          </w:rPr>
          <w:t>2012-02-0106</w:t>
        </w:r>
      </w:hyperlink>
      <w:r w:rsidRPr="00F76BB5">
        <w:rPr>
          <w:i/>
          <w:iCs/>
        </w:rPr>
        <w:t xml:space="preserve"> 14.</w:t>
      </w:r>
      <w:r w:rsidR="00A11368">
        <w:rPr>
          <w:i/>
          <w:iCs/>
        </w:rPr>
        <w:t> </w:t>
      </w:r>
      <w:r w:rsidRPr="00F76BB5">
        <w:rPr>
          <w:i/>
          <w:iCs/>
        </w:rPr>
        <w:t>punkt</w:t>
      </w:r>
      <w:r w:rsidR="00A11368">
        <w:rPr>
          <w:i/>
          <w:iCs/>
        </w:rPr>
        <w:t>u</w:t>
      </w:r>
      <w:r w:rsidRPr="005B0FB7">
        <w:t>).</w:t>
      </w:r>
    </w:p>
    <w:p w14:paraId="07FE6962" w14:textId="715834CD" w:rsidR="00F76BB5" w:rsidRPr="00956799" w:rsidRDefault="00F76BB5" w:rsidP="008459C3">
      <w:pPr>
        <w:widowControl w:val="0"/>
        <w:tabs>
          <w:tab w:val="left" w:pos="6096"/>
        </w:tabs>
        <w:spacing w:after="0" w:line="276" w:lineRule="auto"/>
        <w:ind w:firstLine="720"/>
        <w:jc w:val="both"/>
      </w:pPr>
      <w:r>
        <w:t>Izskatāmajā lietā tiesa apsūdzēto [</w:t>
      </w:r>
      <w:r w:rsidR="0047285B">
        <w:t>pers. </w:t>
      </w:r>
      <w:r>
        <w:t>A] atzinusi par vainīgu un sodījusi par vieglu miesas bojājumu tīšu nodarīšanu un, nosakot sodu, saskaņā ar Krimināllikuma 48. panta pirmās daļas 16. punktu atzinusi par apsūdzētās atbildību pastiprinošu apstākli vardarbīga noziedzīga nodarījuma izdarīšanu nepilngadīgā klātbūtnē.</w:t>
      </w:r>
    </w:p>
    <w:p w14:paraId="461D914B" w14:textId="202EE9D9" w:rsidR="000136DE" w:rsidRDefault="008459C3" w:rsidP="001B6A3F">
      <w:pPr>
        <w:widowControl w:val="0"/>
        <w:tabs>
          <w:tab w:val="left" w:pos="6096"/>
        </w:tabs>
        <w:spacing w:after="0" w:line="276" w:lineRule="auto"/>
        <w:ind w:firstLine="720"/>
        <w:jc w:val="both"/>
      </w:pPr>
      <w:r>
        <w:t xml:space="preserve">No lietas materiāliem izriet, ka ar </w:t>
      </w:r>
      <w:r w:rsidR="008068E3">
        <w:t xml:space="preserve">[Nosaukums] </w:t>
      </w:r>
      <w:r>
        <w:t>novada pašvaldības Administratīvās komisijas Bērnu lietu apakškomisijas 2022. gada 18. augusta lēmumu [</w:t>
      </w:r>
      <w:r w:rsidR="0047285B">
        <w:t>pers. </w:t>
      </w:r>
      <w:r>
        <w:t>A] ir piemērots administratīvais sods par Bērnu tiesību aizsardzības likuma 81. pantā paredzēto pārkāpumu, proti, par to, ka [</w:t>
      </w:r>
      <w:r w:rsidR="0047285B">
        <w:t>pers. </w:t>
      </w:r>
      <w:r>
        <w:t>A] bijusi emocionāli vardarbīga pret bērnu [</w:t>
      </w:r>
      <w:r w:rsidR="0047285B">
        <w:t>pers. </w:t>
      </w:r>
      <w:r>
        <w:t>H], tajā skaitā viņas klātbūtnē nodarot miesas bojājumus viņas mātei – cietušajai [</w:t>
      </w:r>
      <w:r w:rsidR="0047285B">
        <w:t>pers. </w:t>
      </w:r>
      <w:r>
        <w:t>B] –, tādējādi apdraudot bērna emocionālo attīstību.</w:t>
      </w:r>
    </w:p>
    <w:p w14:paraId="775BC907" w14:textId="77777777" w:rsidR="00CF20CD" w:rsidRDefault="000136DE" w:rsidP="00CF20CD">
      <w:pPr>
        <w:spacing w:after="0" w:line="276" w:lineRule="auto"/>
        <w:ind w:firstLine="709"/>
        <w:jc w:val="both"/>
        <w:rPr>
          <w:bCs/>
        </w:rPr>
      </w:pPr>
      <w:r>
        <w:t>Senāts norāda, ka d</w:t>
      </w:r>
      <w:r w:rsidRPr="00117E7D">
        <w:t xml:space="preserve">ubultās sodīšanas </w:t>
      </w:r>
      <w:r w:rsidR="005C4478">
        <w:t>nepieļaujamības princips</w:t>
      </w:r>
      <w:r w:rsidR="005C4478" w:rsidRPr="00117E7D">
        <w:t xml:space="preserve"> </w:t>
      </w:r>
      <w:r w:rsidRPr="00117E7D">
        <w:t>attiecas uz vienas un tās pašas personas atkārtotu saukšanu pie atbildības par vienu un to pašu nodarījumu</w:t>
      </w:r>
      <w:r>
        <w:t>.</w:t>
      </w:r>
      <w:r w:rsidR="0048308E">
        <w:t xml:space="preserve"> Izskatāmajā gadījumā </w:t>
      </w:r>
      <w:r w:rsidR="00CF20CD" w:rsidRPr="00117E7D">
        <w:t>nav konstatējams, ka administratīvā atbildība būtu piemērota par identisku faktisko rīcību vai ka abos procesos tiktu vērtēts viens un tas pats pārkāpums</w:t>
      </w:r>
      <w:r w:rsidR="00CF20CD">
        <w:t>.</w:t>
      </w:r>
      <w:r w:rsidR="00CF20CD" w:rsidRPr="00117E7D">
        <w:t xml:space="preserve"> </w:t>
      </w:r>
      <w:r w:rsidR="00CF20CD">
        <w:t>A</w:t>
      </w:r>
      <w:r w:rsidR="0048308E" w:rsidRPr="00117E7D">
        <w:t xml:space="preserve">dministratīvā </w:t>
      </w:r>
      <w:r w:rsidR="0059144B">
        <w:t xml:space="preserve">pārkāpuma </w:t>
      </w:r>
      <w:r w:rsidR="0048308E" w:rsidRPr="00117E7D">
        <w:t xml:space="preserve">procesa priekšmets </w:t>
      </w:r>
      <w:r w:rsidR="0059144B">
        <w:t>ir administratīvais pārkāpums bērnu tiesību aizsardzības jomā, savukārt k</w:t>
      </w:r>
      <w:r w:rsidR="0048308E" w:rsidRPr="00117E7D">
        <w:t xml:space="preserve">riminālprocesā vērtētais </w:t>
      </w:r>
      <w:r w:rsidR="0059144B">
        <w:t xml:space="preserve">Krimināllikumā paredzētais </w:t>
      </w:r>
      <w:r w:rsidR="0048308E" w:rsidRPr="00117E7D">
        <w:lastRenderedPageBreak/>
        <w:t xml:space="preserve">nodarījums </w:t>
      </w:r>
      <w:r w:rsidR="0059144B">
        <w:t>ir vērsts pret personas veselību.</w:t>
      </w:r>
      <w:r w:rsidR="00A927CA">
        <w:t xml:space="preserve"> </w:t>
      </w:r>
      <w:r w:rsidR="0059144B">
        <w:t xml:space="preserve">Līdz ar to </w:t>
      </w:r>
      <w:r w:rsidR="0059144B" w:rsidRPr="00117E7D">
        <w:t>abos procesos</w:t>
      </w:r>
      <w:r w:rsidR="0059144B">
        <w:t xml:space="preserve"> tiek a</w:t>
      </w:r>
      <w:r w:rsidR="0059144B" w:rsidRPr="00117E7D">
        <w:t>izsargāta</w:t>
      </w:r>
      <w:r w:rsidR="0059144B">
        <w:t xml:space="preserve">s dažādas </w:t>
      </w:r>
      <w:r w:rsidR="0059144B" w:rsidRPr="00117E7D">
        <w:t>tiesiskā</w:t>
      </w:r>
      <w:r w:rsidR="0059144B">
        <w:t>s</w:t>
      </w:r>
      <w:r w:rsidR="0059144B" w:rsidRPr="00117E7D">
        <w:t xml:space="preserve"> interese</w:t>
      </w:r>
      <w:r w:rsidR="0059144B">
        <w:t>s</w:t>
      </w:r>
      <w:r w:rsidR="00A927CA">
        <w:t xml:space="preserve">, un nodarījuma izdarīšana bērna klātbūtnē netiek </w:t>
      </w:r>
      <w:r w:rsidR="00A927CA" w:rsidRPr="00117E7D">
        <w:t>izmantot</w:t>
      </w:r>
      <w:r w:rsidR="00A927CA">
        <w:t>s</w:t>
      </w:r>
      <w:r w:rsidR="00A927CA" w:rsidRPr="00117E7D">
        <w:t xml:space="preserve"> kā patstāvīgs pamats atkārtotai atbildībai par identisku nodarījumu</w:t>
      </w:r>
      <w:r w:rsidR="00A927CA">
        <w:t xml:space="preserve">, proti, persona netiek </w:t>
      </w:r>
      <w:r w:rsidR="00A927CA" w:rsidRPr="00767B8D">
        <w:rPr>
          <w:bCs/>
        </w:rPr>
        <w:t>saukta pie atbildības divreiz par vienu un to pašu krimināli sodāmu darbību.</w:t>
      </w:r>
    </w:p>
    <w:p w14:paraId="173C0922" w14:textId="77777777" w:rsidR="00CF20CD" w:rsidRDefault="00CF20CD" w:rsidP="00CF20CD">
      <w:pPr>
        <w:spacing w:after="0" w:line="276" w:lineRule="auto"/>
        <w:ind w:firstLine="709"/>
        <w:jc w:val="both"/>
        <w:rPr>
          <w:bCs/>
        </w:rPr>
      </w:pPr>
      <w:r>
        <w:rPr>
          <w:bCs/>
        </w:rPr>
        <w:t>F</w:t>
      </w:r>
      <w:r w:rsidRPr="00A927CA">
        <w:rPr>
          <w:bCs/>
        </w:rPr>
        <w:t>akt</w:t>
      </w:r>
      <w:r w:rsidR="00597F3F">
        <w:rPr>
          <w:bCs/>
        </w:rPr>
        <w:t>u</w:t>
      </w:r>
      <w:r w:rsidRPr="00A927CA">
        <w:rPr>
          <w:bCs/>
        </w:rPr>
        <w:t xml:space="preserve">, ka vardarbīgs noziedzīgs nodarījums izdarīts nepilngadīgā klātbūtnē, kriminālprocesā </w:t>
      </w:r>
      <w:r w:rsidR="00597F3F">
        <w:rPr>
          <w:bCs/>
        </w:rPr>
        <w:t>tiesa vērtējusi</w:t>
      </w:r>
      <w:r w:rsidRPr="00A927CA">
        <w:rPr>
          <w:bCs/>
        </w:rPr>
        <w:t xml:space="preserve"> kā apsūdzētās atbildību pastiprinoš</w:t>
      </w:r>
      <w:r w:rsidR="00597F3F">
        <w:rPr>
          <w:bCs/>
        </w:rPr>
        <w:t>u</w:t>
      </w:r>
      <w:r w:rsidRPr="00A927CA">
        <w:rPr>
          <w:bCs/>
        </w:rPr>
        <w:t xml:space="preserve"> apstākli, nevis kā </w:t>
      </w:r>
      <w:r w:rsidR="00597F3F">
        <w:rPr>
          <w:bCs/>
        </w:rPr>
        <w:t xml:space="preserve">pamatu viņas saukšanai pie kriminālatbildības un sodīšanai </w:t>
      </w:r>
      <w:r w:rsidRPr="00A927CA">
        <w:rPr>
          <w:bCs/>
        </w:rPr>
        <w:t xml:space="preserve">par </w:t>
      </w:r>
      <w:r w:rsidR="00597F3F">
        <w:rPr>
          <w:bCs/>
        </w:rPr>
        <w:t>darbībām</w:t>
      </w:r>
      <w:r w:rsidRPr="00A927CA">
        <w:rPr>
          <w:bCs/>
        </w:rPr>
        <w:t>, kas tika ņemt</w:t>
      </w:r>
      <w:r w:rsidR="00597F3F">
        <w:rPr>
          <w:bCs/>
        </w:rPr>
        <w:t>a</w:t>
      </w:r>
      <w:r w:rsidRPr="00A927CA">
        <w:rPr>
          <w:bCs/>
        </w:rPr>
        <w:t>s vērā administratīvās atbildības kontekstā.</w:t>
      </w:r>
    </w:p>
    <w:p w14:paraId="75370CEE" w14:textId="77777777" w:rsidR="00CF20CD" w:rsidRDefault="00CF20CD" w:rsidP="00CF20CD">
      <w:pPr>
        <w:spacing w:after="0" w:line="276" w:lineRule="auto"/>
        <w:ind w:firstLine="709"/>
        <w:jc w:val="both"/>
        <w:rPr>
          <w:color w:val="000000" w:themeColor="text1"/>
        </w:rPr>
      </w:pPr>
      <w:r>
        <w:t>A</w:t>
      </w:r>
      <w:r w:rsidRPr="00117E7D">
        <w:t>tbildību pastiprinoša apstākļa konstatēšana kriminālprocesā pati par sevi nav uzskatāma par atsevišķu sodīšanu, bet gan par soda individualizācijas elementu. Tādēļ fakts, ka konkrētais apstāklis iepriekš ņemts vērā administratīvā</w:t>
      </w:r>
      <w:r>
        <w:t xml:space="preserve"> pārkāpuma</w:t>
      </w:r>
      <w:r w:rsidRPr="00117E7D">
        <w:t xml:space="preserve"> procesā, </w:t>
      </w:r>
      <w:r>
        <w:t>pats par sevi</w:t>
      </w:r>
      <w:r w:rsidRPr="00117E7D">
        <w:t xml:space="preserve"> nenozīmē </w:t>
      </w:r>
      <w:r w:rsidRPr="00117E7D">
        <w:rPr>
          <w:i/>
          <w:iCs/>
        </w:rPr>
        <w:t>ne bis in idem</w:t>
      </w:r>
      <w:r w:rsidRPr="00117E7D">
        <w:t xml:space="preserve"> principa pārkāpumu.</w:t>
      </w:r>
      <w:r>
        <w:t xml:space="preserve"> </w:t>
      </w:r>
      <w:r>
        <w:rPr>
          <w:color w:val="000000" w:themeColor="text1"/>
        </w:rPr>
        <w:t>Š</w:t>
      </w:r>
      <w:r w:rsidRPr="008C0388">
        <w:rPr>
          <w:color w:val="000000" w:themeColor="text1"/>
        </w:rPr>
        <w:t xml:space="preserve">ādos apstākļos dubultās sodīšanas </w:t>
      </w:r>
      <w:r w:rsidR="005C4478">
        <w:rPr>
          <w:color w:val="000000" w:themeColor="text1"/>
        </w:rPr>
        <w:t xml:space="preserve">nepieļaujamības </w:t>
      </w:r>
      <w:r w:rsidRPr="008C0388">
        <w:rPr>
          <w:color w:val="000000" w:themeColor="text1"/>
        </w:rPr>
        <w:t>princips nav p</w:t>
      </w:r>
      <w:r>
        <w:rPr>
          <w:color w:val="000000" w:themeColor="text1"/>
        </w:rPr>
        <w:t>ārkāpts.</w:t>
      </w:r>
    </w:p>
    <w:p w14:paraId="5BF7ED69" w14:textId="77777777" w:rsidR="00F27A52" w:rsidRDefault="00CF20CD" w:rsidP="00956799">
      <w:pPr>
        <w:widowControl w:val="0"/>
        <w:spacing w:after="0" w:line="276" w:lineRule="auto"/>
        <w:ind w:firstLine="720"/>
        <w:jc w:val="both"/>
      </w:pPr>
      <w:r w:rsidRPr="00934860">
        <w:rPr>
          <w:rFonts w:asciiTheme="majorBidi" w:hAnsiTheme="majorBidi" w:cstheme="majorBidi"/>
        </w:rPr>
        <w:t xml:space="preserve">Minētais ir pamats atteikumam ierosināt kasācijas tiesvedību </w:t>
      </w:r>
      <w:r>
        <w:rPr>
          <w:rFonts w:asciiTheme="majorBidi" w:hAnsiTheme="majorBidi" w:cstheme="majorBidi"/>
        </w:rPr>
        <w:t xml:space="preserve">šajā daļā </w:t>
      </w:r>
      <w:r w:rsidRPr="00934860">
        <w:rPr>
          <w:rFonts w:asciiTheme="majorBidi" w:hAnsiTheme="majorBidi" w:cstheme="majorBidi"/>
        </w:rPr>
        <w:t>saskaņā ar Kriminālprocesa likuma 573.</w:t>
      </w:r>
      <w:r w:rsidRPr="00934860">
        <w:rPr>
          <w:rFonts w:asciiTheme="majorBidi" w:hAnsiTheme="majorBidi" w:cstheme="majorBidi"/>
          <w:vertAlign w:val="superscript"/>
        </w:rPr>
        <w:t>1</w:t>
      </w:r>
      <w:r w:rsidRPr="00934860">
        <w:rPr>
          <w:rFonts w:asciiTheme="majorBidi" w:hAnsiTheme="majorBidi" w:cstheme="majorBidi"/>
        </w:rPr>
        <w:t xml:space="preserve"> panta </w:t>
      </w:r>
      <w:r w:rsidR="00F27A52">
        <w:t>otrās daļas 2. punkt</w:t>
      </w:r>
      <w:r w:rsidR="00956799">
        <w:t>u</w:t>
      </w:r>
      <w:r w:rsidR="00F27A52">
        <w:t>.</w:t>
      </w:r>
    </w:p>
    <w:p w14:paraId="515BC529" w14:textId="77777777" w:rsidR="00A15090" w:rsidRPr="00934860" w:rsidRDefault="00A15090" w:rsidP="00A15090">
      <w:pPr>
        <w:widowControl w:val="0"/>
        <w:spacing w:after="0" w:line="276" w:lineRule="auto"/>
        <w:ind w:firstLine="720"/>
        <w:jc w:val="both"/>
        <w:rPr>
          <w:rFonts w:asciiTheme="majorBidi" w:hAnsiTheme="majorBidi" w:cstheme="majorBidi"/>
        </w:rPr>
      </w:pPr>
      <w:r w:rsidRPr="00934860">
        <w:rPr>
          <w:rFonts w:asciiTheme="majorBidi" w:hAnsiTheme="majorBidi" w:cstheme="majorBidi"/>
        </w:rPr>
        <w:t>Pamatojoties uz Kriminālprocesa likuma 573. panta trešo un piekto daļu, 573.</w:t>
      </w:r>
      <w:r w:rsidRPr="00934860">
        <w:rPr>
          <w:rFonts w:asciiTheme="majorBidi" w:hAnsiTheme="majorBidi" w:cstheme="majorBidi"/>
          <w:vertAlign w:val="superscript"/>
        </w:rPr>
        <w:t>1</w:t>
      </w:r>
      <w:r w:rsidRPr="00934860">
        <w:rPr>
          <w:rFonts w:asciiTheme="majorBidi" w:hAnsiTheme="majorBidi" w:cstheme="majorBidi"/>
        </w:rPr>
        <w:t> panta pirmo daļu</w:t>
      </w:r>
      <w:r w:rsidR="00D22071">
        <w:rPr>
          <w:rFonts w:asciiTheme="majorBidi" w:hAnsiTheme="majorBidi" w:cstheme="majorBidi"/>
        </w:rPr>
        <w:t xml:space="preserve"> un </w:t>
      </w:r>
      <w:r w:rsidR="00D22071" w:rsidRPr="00EF2FCE">
        <w:t>otr</w:t>
      </w:r>
      <w:r w:rsidR="00F27A52">
        <w:t>o</w:t>
      </w:r>
      <w:r w:rsidR="00D22071" w:rsidRPr="00EF2FCE">
        <w:t xml:space="preserve"> daļ</w:t>
      </w:r>
      <w:r w:rsidR="00D22071">
        <w:t>u</w:t>
      </w:r>
      <w:r w:rsidRPr="00934860">
        <w:rPr>
          <w:rFonts w:asciiTheme="majorBidi" w:hAnsiTheme="majorBidi" w:cstheme="majorBidi"/>
        </w:rPr>
        <w:t>, Senāts</w:t>
      </w:r>
    </w:p>
    <w:p w14:paraId="48A7A4F0" w14:textId="77777777" w:rsidR="00A15090" w:rsidRPr="00934860" w:rsidRDefault="00A15090" w:rsidP="00A15090">
      <w:pPr>
        <w:widowControl w:val="0"/>
        <w:spacing w:after="0" w:line="276" w:lineRule="auto"/>
        <w:ind w:firstLine="720"/>
        <w:jc w:val="both"/>
      </w:pPr>
    </w:p>
    <w:p w14:paraId="626F6C5E" w14:textId="77777777" w:rsidR="00A15090" w:rsidRPr="00934860" w:rsidRDefault="00A15090" w:rsidP="00A15090">
      <w:pPr>
        <w:widowControl w:val="0"/>
        <w:spacing w:after="0" w:line="276" w:lineRule="auto"/>
        <w:jc w:val="center"/>
        <w:rPr>
          <w:b/>
          <w:bCs/>
        </w:rPr>
      </w:pPr>
      <w:r w:rsidRPr="00934860">
        <w:rPr>
          <w:b/>
          <w:bCs/>
        </w:rPr>
        <w:t>nolēma</w:t>
      </w:r>
    </w:p>
    <w:p w14:paraId="679D428A" w14:textId="77777777" w:rsidR="00A15090" w:rsidRPr="00934860" w:rsidRDefault="00A15090" w:rsidP="00A15090">
      <w:pPr>
        <w:widowControl w:val="0"/>
        <w:spacing w:after="0" w:line="276" w:lineRule="auto"/>
        <w:ind w:firstLine="720"/>
        <w:jc w:val="both"/>
      </w:pPr>
    </w:p>
    <w:p w14:paraId="170E93A8" w14:textId="77777777" w:rsidR="00A15090" w:rsidRPr="00934860" w:rsidRDefault="00A15090" w:rsidP="00A15090">
      <w:pPr>
        <w:widowControl w:val="0"/>
        <w:spacing w:after="0" w:line="276" w:lineRule="auto"/>
        <w:ind w:firstLine="720"/>
        <w:jc w:val="both"/>
      </w:pPr>
      <w:r w:rsidRPr="00934860">
        <w:t>atteikt ierosināt kasācijas tiesvedību.</w:t>
      </w:r>
    </w:p>
    <w:p w14:paraId="2543609C" w14:textId="77777777" w:rsidR="00A15090" w:rsidRPr="00934860" w:rsidRDefault="00A15090" w:rsidP="005750C3">
      <w:pPr>
        <w:widowControl w:val="0"/>
        <w:spacing w:after="0" w:line="276" w:lineRule="auto"/>
        <w:jc w:val="both"/>
      </w:pPr>
    </w:p>
    <w:p w14:paraId="74F88146" w14:textId="1E3404F8" w:rsidR="00066D11" w:rsidRDefault="00A15090" w:rsidP="006A1656">
      <w:pPr>
        <w:widowControl w:val="0"/>
        <w:spacing w:after="0" w:line="276" w:lineRule="auto"/>
        <w:ind w:firstLine="720"/>
        <w:jc w:val="both"/>
      </w:pPr>
      <w:r w:rsidRPr="00934860">
        <w:t>Lēmums nav pārsūdzams.</w:t>
      </w:r>
    </w:p>
    <w:sectPr w:rsidR="00066D11" w:rsidSect="006A1656">
      <w:footerReference w:type="default" r:id="rId12"/>
      <w:footerReference w:type="first" r:id="rId13"/>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89F9" w14:textId="77777777" w:rsidR="00440362" w:rsidRDefault="00440362">
      <w:pPr>
        <w:spacing w:after="0" w:line="240" w:lineRule="auto"/>
      </w:pPr>
      <w:r>
        <w:separator/>
      </w:r>
    </w:p>
  </w:endnote>
  <w:endnote w:type="continuationSeparator" w:id="0">
    <w:p w14:paraId="200C7822" w14:textId="77777777" w:rsidR="00440362" w:rsidRDefault="0044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9312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66F81B1" w14:textId="77777777" w:rsidR="00A15090" w:rsidRPr="00F32B99" w:rsidRDefault="00A15090" w:rsidP="00220388">
            <w:pPr>
              <w:pStyle w:val="Footer"/>
              <w:jc w:val="center"/>
            </w:pPr>
            <w:r w:rsidRPr="00F32B99">
              <w:rPr>
                <w:sz w:val="20"/>
                <w:szCs w:val="20"/>
              </w:rPr>
              <w:fldChar w:fldCharType="begin"/>
            </w:r>
            <w:r w:rsidRPr="00F32B99">
              <w:rPr>
                <w:sz w:val="20"/>
                <w:szCs w:val="20"/>
              </w:rPr>
              <w:instrText xml:space="preserve"> PAGE </w:instrText>
            </w:r>
            <w:r w:rsidRPr="00F32B99">
              <w:rPr>
                <w:sz w:val="20"/>
                <w:szCs w:val="20"/>
              </w:rPr>
              <w:fldChar w:fldCharType="separate"/>
            </w:r>
            <w:r w:rsidRPr="00F32B99">
              <w:rPr>
                <w:sz w:val="20"/>
                <w:szCs w:val="20"/>
              </w:rPr>
              <w:t>2</w:t>
            </w:r>
            <w:r w:rsidRPr="00F32B99">
              <w:rPr>
                <w:sz w:val="20"/>
                <w:szCs w:val="20"/>
              </w:rPr>
              <w:fldChar w:fldCharType="end"/>
            </w:r>
            <w:r w:rsidRPr="00F32B99">
              <w:rPr>
                <w:sz w:val="20"/>
                <w:szCs w:val="20"/>
              </w:rPr>
              <w:t xml:space="preserve"> no </w:t>
            </w:r>
            <w:r w:rsidRPr="00F32B99">
              <w:rPr>
                <w:sz w:val="20"/>
                <w:szCs w:val="20"/>
              </w:rPr>
              <w:fldChar w:fldCharType="begin"/>
            </w:r>
            <w:r w:rsidRPr="00F32B99">
              <w:rPr>
                <w:sz w:val="20"/>
                <w:szCs w:val="20"/>
              </w:rPr>
              <w:instrText xml:space="preserve"> NUMPAGES  </w:instrText>
            </w:r>
            <w:r w:rsidRPr="00F32B99">
              <w:rPr>
                <w:sz w:val="20"/>
                <w:szCs w:val="20"/>
              </w:rPr>
              <w:fldChar w:fldCharType="separate"/>
            </w:r>
            <w:r w:rsidRPr="00F32B99">
              <w:rPr>
                <w:sz w:val="20"/>
                <w:szCs w:val="20"/>
              </w:rPr>
              <w:t>2</w:t>
            </w:r>
            <w:r w:rsidRPr="00F32B99">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43170"/>
      <w:docPartObj>
        <w:docPartGallery w:val="Page Numbers (Bottom of Page)"/>
        <w:docPartUnique/>
      </w:docPartObj>
    </w:sdtPr>
    <w:sdtEndPr/>
    <w:sdtContent>
      <w:sdt>
        <w:sdtPr>
          <w:id w:val="-1260518195"/>
          <w:docPartObj>
            <w:docPartGallery w:val="Page Numbers (Top of Page)"/>
            <w:docPartUnique/>
          </w:docPartObj>
        </w:sdtPr>
        <w:sdtEndPr/>
        <w:sdtContent>
          <w:p w14:paraId="4FAB7CC6" w14:textId="77777777" w:rsidR="00A15090" w:rsidRPr="00F32B99" w:rsidRDefault="00A15090" w:rsidP="00220388">
            <w:pPr>
              <w:pStyle w:val="Footer"/>
              <w:jc w:val="center"/>
            </w:pPr>
            <w:r w:rsidRPr="00F32B99">
              <w:rPr>
                <w:sz w:val="20"/>
                <w:szCs w:val="20"/>
              </w:rPr>
              <w:fldChar w:fldCharType="begin"/>
            </w:r>
            <w:r w:rsidRPr="00F32B99">
              <w:rPr>
                <w:sz w:val="20"/>
                <w:szCs w:val="20"/>
              </w:rPr>
              <w:instrText xml:space="preserve"> PAGE </w:instrText>
            </w:r>
            <w:r w:rsidRPr="00F32B99">
              <w:rPr>
                <w:sz w:val="20"/>
                <w:szCs w:val="20"/>
              </w:rPr>
              <w:fldChar w:fldCharType="separate"/>
            </w:r>
            <w:r w:rsidRPr="00F32B99">
              <w:rPr>
                <w:sz w:val="20"/>
                <w:szCs w:val="20"/>
              </w:rPr>
              <w:t>2</w:t>
            </w:r>
            <w:r w:rsidRPr="00F32B99">
              <w:rPr>
                <w:sz w:val="20"/>
                <w:szCs w:val="20"/>
              </w:rPr>
              <w:fldChar w:fldCharType="end"/>
            </w:r>
            <w:r w:rsidRPr="00F32B99">
              <w:rPr>
                <w:sz w:val="20"/>
                <w:szCs w:val="20"/>
              </w:rPr>
              <w:t xml:space="preserve"> no </w:t>
            </w:r>
            <w:r w:rsidRPr="00F32B99">
              <w:rPr>
                <w:sz w:val="20"/>
                <w:szCs w:val="20"/>
              </w:rPr>
              <w:fldChar w:fldCharType="begin"/>
            </w:r>
            <w:r w:rsidRPr="00F32B99">
              <w:rPr>
                <w:sz w:val="20"/>
                <w:szCs w:val="20"/>
              </w:rPr>
              <w:instrText xml:space="preserve"> NUMPAGES  </w:instrText>
            </w:r>
            <w:r w:rsidRPr="00F32B99">
              <w:rPr>
                <w:sz w:val="20"/>
                <w:szCs w:val="20"/>
              </w:rPr>
              <w:fldChar w:fldCharType="separate"/>
            </w:r>
            <w:r w:rsidRPr="00F32B99">
              <w:rPr>
                <w:sz w:val="20"/>
                <w:szCs w:val="20"/>
              </w:rPr>
              <w:t>2</w:t>
            </w:r>
            <w:r w:rsidRPr="00F32B99">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CB8F" w14:textId="77777777" w:rsidR="00440362" w:rsidRDefault="00440362">
      <w:pPr>
        <w:spacing w:after="0" w:line="240" w:lineRule="auto"/>
      </w:pPr>
      <w:r>
        <w:separator/>
      </w:r>
    </w:p>
  </w:footnote>
  <w:footnote w:type="continuationSeparator" w:id="0">
    <w:p w14:paraId="6741DE83" w14:textId="77777777" w:rsidR="00440362" w:rsidRDefault="004403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90"/>
    <w:rsid w:val="00000560"/>
    <w:rsid w:val="0000748A"/>
    <w:rsid w:val="000136DE"/>
    <w:rsid w:val="00033DF9"/>
    <w:rsid w:val="00034FB6"/>
    <w:rsid w:val="00053E78"/>
    <w:rsid w:val="000647D2"/>
    <w:rsid w:val="00066D11"/>
    <w:rsid w:val="00066DD2"/>
    <w:rsid w:val="0007121C"/>
    <w:rsid w:val="00080F89"/>
    <w:rsid w:val="000A0D89"/>
    <w:rsid w:val="000C5846"/>
    <w:rsid w:val="000E1B6B"/>
    <w:rsid w:val="00105FCA"/>
    <w:rsid w:val="00133E67"/>
    <w:rsid w:val="00142F88"/>
    <w:rsid w:val="0016149E"/>
    <w:rsid w:val="00171ABC"/>
    <w:rsid w:val="0017531E"/>
    <w:rsid w:val="001A651F"/>
    <w:rsid w:val="001B6A3F"/>
    <w:rsid w:val="001C4FFF"/>
    <w:rsid w:val="001D1F45"/>
    <w:rsid w:val="001F5669"/>
    <w:rsid w:val="00202738"/>
    <w:rsid w:val="00224EA1"/>
    <w:rsid w:val="00230658"/>
    <w:rsid w:val="00273601"/>
    <w:rsid w:val="0027392E"/>
    <w:rsid w:val="002772E5"/>
    <w:rsid w:val="00295489"/>
    <w:rsid w:val="002B06B3"/>
    <w:rsid w:val="002C5171"/>
    <w:rsid w:val="002E2F68"/>
    <w:rsid w:val="002E4D85"/>
    <w:rsid w:val="002F3E92"/>
    <w:rsid w:val="003212F1"/>
    <w:rsid w:val="003371C6"/>
    <w:rsid w:val="00342464"/>
    <w:rsid w:val="00362474"/>
    <w:rsid w:val="00370BD7"/>
    <w:rsid w:val="003723EA"/>
    <w:rsid w:val="00382544"/>
    <w:rsid w:val="003868F0"/>
    <w:rsid w:val="003D38B9"/>
    <w:rsid w:val="003D4E56"/>
    <w:rsid w:val="003E3058"/>
    <w:rsid w:val="003E7AB8"/>
    <w:rsid w:val="00406193"/>
    <w:rsid w:val="00420041"/>
    <w:rsid w:val="00421F8F"/>
    <w:rsid w:val="00426D1E"/>
    <w:rsid w:val="004377E5"/>
    <w:rsid w:val="00440362"/>
    <w:rsid w:val="0046113A"/>
    <w:rsid w:val="0047285B"/>
    <w:rsid w:val="0048308E"/>
    <w:rsid w:val="00493017"/>
    <w:rsid w:val="004D5513"/>
    <w:rsid w:val="004F4AF4"/>
    <w:rsid w:val="00530716"/>
    <w:rsid w:val="005750C3"/>
    <w:rsid w:val="00586822"/>
    <w:rsid w:val="0059144B"/>
    <w:rsid w:val="00597F3F"/>
    <w:rsid w:val="005C0EA3"/>
    <w:rsid w:val="005C4478"/>
    <w:rsid w:val="005E450A"/>
    <w:rsid w:val="005E49EF"/>
    <w:rsid w:val="005F00A5"/>
    <w:rsid w:val="005F7E6C"/>
    <w:rsid w:val="00616853"/>
    <w:rsid w:val="00621A5C"/>
    <w:rsid w:val="00622412"/>
    <w:rsid w:val="00624076"/>
    <w:rsid w:val="00625164"/>
    <w:rsid w:val="00633447"/>
    <w:rsid w:val="00666EB1"/>
    <w:rsid w:val="00671202"/>
    <w:rsid w:val="00681394"/>
    <w:rsid w:val="00685A9D"/>
    <w:rsid w:val="006A1656"/>
    <w:rsid w:val="006D78E6"/>
    <w:rsid w:val="006E5564"/>
    <w:rsid w:val="006F0786"/>
    <w:rsid w:val="006F40A4"/>
    <w:rsid w:val="006F5AFD"/>
    <w:rsid w:val="006F69C8"/>
    <w:rsid w:val="0071068E"/>
    <w:rsid w:val="00710A6F"/>
    <w:rsid w:val="007211FF"/>
    <w:rsid w:val="00732C5C"/>
    <w:rsid w:val="00736607"/>
    <w:rsid w:val="00765BED"/>
    <w:rsid w:val="007667AC"/>
    <w:rsid w:val="007B1C62"/>
    <w:rsid w:val="007B7C89"/>
    <w:rsid w:val="007C0A45"/>
    <w:rsid w:val="007C3B7C"/>
    <w:rsid w:val="00800613"/>
    <w:rsid w:val="008068E3"/>
    <w:rsid w:val="0081509E"/>
    <w:rsid w:val="00822C29"/>
    <w:rsid w:val="00825E35"/>
    <w:rsid w:val="008459C3"/>
    <w:rsid w:val="00895700"/>
    <w:rsid w:val="008A5C76"/>
    <w:rsid w:val="008A5DB3"/>
    <w:rsid w:val="008B6D89"/>
    <w:rsid w:val="008C5500"/>
    <w:rsid w:val="008F0B96"/>
    <w:rsid w:val="00906528"/>
    <w:rsid w:val="0091722D"/>
    <w:rsid w:val="00923543"/>
    <w:rsid w:val="00931B83"/>
    <w:rsid w:val="00932BBF"/>
    <w:rsid w:val="00934860"/>
    <w:rsid w:val="0095058F"/>
    <w:rsid w:val="00956799"/>
    <w:rsid w:val="00982362"/>
    <w:rsid w:val="00994036"/>
    <w:rsid w:val="009A53E9"/>
    <w:rsid w:val="009E025B"/>
    <w:rsid w:val="00A11368"/>
    <w:rsid w:val="00A137D6"/>
    <w:rsid w:val="00A15090"/>
    <w:rsid w:val="00A52EFA"/>
    <w:rsid w:val="00A541FD"/>
    <w:rsid w:val="00A83F3B"/>
    <w:rsid w:val="00A83F94"/>
    <w:rsid w:val="00A927CA"/>
    <w:rsid w:val="00A93305"/>
    <w:rsid w:val="00AB21AB"/>
    <w:rsid w:val="00AB7741"/>
    <w:rsid w:val="00AD4E0A"/>
    <w:rsid w:val="00AF3631"/>
    <w:rsid w:val="00B04B29"/>
    <w:rsid w:val="00B54BA9"/>
    <w:rsid w:val="00B7410E"/>
    <w:rsid w:val="00B771DD"/>
    <w:rsid w:val="00B84F51"/>
    <w:rsid w:val="00B95276"/>
    <w:rsid w:val="00BD6530"/>
    <w:rsid w:val="00BE708B"/>
    <w:rsid w:val="00C1359C"/>
    <w:rsid w:val="00C40263"/>
    <w:rsid w:val="00C4152D"/>
    <w:rsid w:val="00CA0EAC"/>
    <w:rsid w:val="00CA3AA7"/>
    <w:rsid w:val="00CA3D5E"/>
    <w:rsid w:val="00CA3D93"/>
    <w:rsid w:val="00CB173B"/>
    <w:rsid w:val="00CC0BBA"/>
    <w:rsid w:val="00CD457D"/>
    <w:rsid w:val="00CE099B"/>
    <w:rsid w:val="00CE108A"/>
    <w:rsid w:val="00CE2D7C"/>
    <w:rsid w:val="00CE3225"/>
    <w:rsid w:val="00CE7290"/>
    <w:rsid w:val="00CF20CD"/>
    <w:rsid w:val="00CF431A"/>
    <w:rsid w:val="00D22071"/>
    <w:rsid w:val="00D432CF"/>
    <w:rsid w:val="00D62261"/>
    <w:rsid w:val="00D73D12"/>
    <w:rsid w:val="00D948D3"/>
    <w:rsid w:val="00DC265A"/>
    <w:rsid w:val="00DC7400"/>
    <w:rsid w:val="00DD3151"/>
    <w:rsid w:val="00DD6AB1"/>
    <w:rsid w:val="00DE0424"/>
    <w:rsid w:val="00DF05BF"/>
    <w:rsid w:val="00E134DA"/>
    <w:rsid w:val="00E21FC9"/>
    <w:rsid w:val="00E22A97"/>
    <w:rsid w:val="00E8565B"/>
    <w:rsid w:val="00EB3CD2"/>
    <w:rsid w:val="00EB7570"/>
    <w:rsid w:val="00ED5876"/>
    <w:rsid w:val="00F14513"/>
    <w:rsid w:val="00F270BA"/>
    <w:rsid w:val="00F27A52"/>
    <w:rsid w:val="00F30B8C"/>
    <w:rsid w:val="00F316F2"/>
    <w:rsid w:val="00F40AE5"/>
    <w:rsid w:val="00F61763"/>
    <w:rsid w:val="00F755AF"/>
    <w:rsid w:val="00F76BB5"/>
    <w:rsid w:val="00F76D64"/>
    <w:rsid w:val="00F77D0E"/>
    <w:rsid w:val="00F866D9"/>
    <w:rsid w:val="00F94AED"/>
    <w:rsid w:val="00FA5F8D"/>
    <w:rsid w:val="00FD012C"/>
    <w:rsid w:val="00FD038B"/>
    <w:rsid w:val="00FD1B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28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090"/>
    <w:rPr>
      <w:rFonts w:cstheme="minorBidi"/>
      <w:lang w:val="lv-LV"/>
    </w:rPr>
  </w:style>
  <w:style w:type="paragraph" w:styleId="Heading1">
    <w:name w:val="heading 1"/>
    <w:basedOn w:val="Normal"/>
    <w:next w:val="Normal"/>
    <w:link w:val="Heading1Char"/>
    <w:uiPriority w:val="9"/>
    <w:qFormat/>
    <w:rsid w:val="00A15090"/>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A15090"/>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A15090"/>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A15090"/>
    <w:pPr>
      <w:keepNext/>
      <w:keepLines/>
      <w:spacing w:before="80" w:after="40"/>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A15090"/>
    <w:pPr>
      <w:keepNext/>
      <w:keepLines/>
      <w:spacing w:before="80" w:after="40"/>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A15090"/>
    <w:pPr>
      <w:keepNext/>
      <w:keepLines/>
      <w:spacing w:before="40" w:after="0"/>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A15090"/>
    <w:pPr>
      <w:keepNext/>
      <w:keepLines/>
      <w:spacing w:before="40" w:after="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A15090"/>
    <w:pPr>
      <w:keepNext/>
      <w:keepLines/>
      <w:spacing w:after="0"/>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A15090"/>
    <w:pPr>
      <w:keepNext/>
      <w:keepLines/>
      <w:spacing w:after="0"/>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090"/>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A15090"/>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A15090"/>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A15090"/>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A15090"/>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A1509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A1509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A1509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A1509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A1509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15090"/>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A15090"/>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1509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A15090"/>
    <w:pPr>
      <w:spacing w:before="160"/>
      <w:jc w:val="center"/>
    </w:pPr>
    <w:rPr>
      <w:rFonts w:cstheme="majorBidi"/>
      <w:i/>
      <w:iCs/>
      <w:color w:val="404040" w:themeColor="text1" w:themeTint="BF"/>
      <w:lang w:val="en-US"/>
    </w:rPr>
  </w:style>
  <w:style w:type="character" w:customStyle="1" w:styleId="QuoteChar">
    <w:name w:val="Quote Char"/>
    <w:basedOn w:val="DefaultParagraphFont"/>
    <w:link w:val="Quote"/>
    <w:uiPriority w:val="29"/>
    <w:rsid w:val="00A15090"/>
    <w:rPr>
      <w:i/>
      <w:iCs/>
      <w:color w:val="404040" w:themeColor="text1" w:themeTint="BF"/>
    </w:rPr>
  </w:style>
  <w:style w:type="paragraph" w:styleId="ListParagraph">
    <w:name w:val="List Paragraph"/>
    <w:basedOn w:val="Normal"/>
    <w:uiPriority w:val="34"/>
    <w:qFormat/>
    <w:rsid w:val="00A15090"/>
    <w:pPr>
      <w:ind w:left="720"/>
      <w:contextualSpacing/>
    </w:pPr>
    <w:rPr>
      <w:rFonts w:cstheme="majorBidi"/>
      <w:lang w:val="en-US"/>
    </w:rPr>
  </w:style>
  <w:style w:type="character" w:styleId="IntenseEmphasis">
    <w:name w:val="Intense Emphasis"/>
    <w:basedOn w:val="DefaultParagraphFont"/>
    <w:uiPriority w:val="21"/>
    <w:qFormat/>
    <w:rsid w:val="00A15090"/>
    <w:rPr>
      <w:i/>
      <w:iCs/>
      <w:color w:val="0F4761" w:themeColor="accent1" w:themeShade="BF"/>
    </w:rPr>
  </w:style>
  <w:style w:type="paragraph" w:styleId="IntenseQuote">
    <w:name w:val="Intense Quote"/>
    <w:basedOn w:val="Normal"/>
    <w:next w:val="Normal"/>
    <w:link w:val="IntenseQuoteChar"/>
    <w:uiPriority w:val="30"/>
    <w:qFormat/>
    <w:rsid w:val="00A15090"/>
    <w:pPr>
      <w:pBdr>
        <w:top w:val="single" w:sz="4" w:space="10" w:color="0F4761" w:themeColor="accent1" w:themeShade="BF"/>
        <w:bottom w:val="single" w:sz="4" w:space="10" w:color="0F4761" w:themeColor="accent1" w:themeShade="BF"/>
      </w:pBdr>
      <w:spacing w:before="360" w:after="360"/>
      <w:ind w:left="864" w:right="864"/>
      <w:jc w:val="center"/>
    </w:pPr>
    <w:rPr>
      <w:rFonts w:cstheme="majorBidi"/>
      <w:i/>
      <w:iCs/>
      <w:color w:val="0F4761" w:themeColor="accent1" w:themeShade="BF"/>
      <w:lang w:val="en-US"/>
    </w:rPr>
  </w:style>
  <w:style w:type="character" w:customStyle="1" w:styleId="IntenseQuoteChar">
    <w:name w:val="Intense Quote Char"/>
    <w:basedOn w:val="DefaultParagraphFont"/>
    <w:link w:val="IntenseQuote"/>
    <w:uiPriority w:val="30"/>
    <w:rsid w:val="00A15090"/>
    <w:rPr>
      <w:i/>
      <w:iCs/>
      <w:color w:val="0F4761" w:themeColor="accent1" w:themeShade="BF"/>
    </w:rPr>
  </w:style>
  <w:style w:type="character" w:styleId="IntenseReference">
    <w:name w:val="Intense Reference"/>
    <w:basedOn w:val="DefaultParagraphFont"/>
    <w:uiPriority w:val="32"/>
    <w:qFormat/>
    <w:rsid w:val="00A15090"/>
    <w:rPr>
      <w:b/>
      <w:bCs/>
      <w:smallCaps/>
      <w:color w:val="0F4761" w:themeColor="accent1" w:themeShade="BF"/>
      <w:spacing w:val="5"/>
    </w:rPr>
  </w:style>
  <w:style w:type="paragraph" w:styleId="Footer">
    <w:name w:val="footer"/>
    <w:basedOn w:val="Normal"/>
    <w:link w:val="FooterChar"/>
    <w:uiPriority w:val="99"/>
    <w:unhideWhenUsed/>
    <w:rsid w:val="00A15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090"/>
    <w:rPr>
      <w:rFonts w:cstheme="minorBidi"/>
      <w:lang w:val="lv-LV"/>
    </w:rPr>
  </w:style>
  <w:style w:type="table" w:styleId="TableGrid">
    <w:name w:val="Table Grid"/>
    <w:basedOn w:val="TableNormal"/>
    <w:uiPriority w:val="39"/>
    <w:rsid w:val="00A15090"/>
    <w:pPr>
      <w:spacing w:after="0" w:line="240" w:lineRule="auto"/>
    </w:pPr>
    <w:rPr>
      <w:rFonts w:cstheme="minorBidi"/>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058F"/>
    <w:rPr>
      <w:sz w:val="16"/>
      <w:szCs w:val="16"/>
    </w:rPr>
  </w:style>
  <w:style w:type="paragraph" w:styleId="CommentText">
    <w:name w:val="annotation text"/>
    <w:basedOn w:val="Normal"/>
    <w:link w:val="CommentTextChar"/>
    <w:uiPriority w:val="99"/>
    <w:unhideWhenUsed/>
    <w:rsid w:val="0095058F"/>
    <w:pPr>
      <w:spacing w:line="240" w:lineRule="auto"/>
    </w:pPr>
    <w:rPr>
      <w:sz w:val="20"/>
      <w:szCs w:val="20"/>
    </w:rPr>
  </w:style>
  <w:style w:type="character" w:customStyle="1" w:styleId="CommentTextChar">
    <w:name w:val="Comment Text Char"/>
    <w:basedOn w:val="DefaultParagraphFont"/>
    <w:link w:val="CommentText"/>
    <w:uiPriority w:val="99"/>
    <w:rsid w:val="0095058F"/>
    <w:rPr>
      <w:rFonts w:cstheme="minorBidi"/>
      <w:sz w:val="20"/>
      <w:szCs w:val="20"/>
      <w:lang w:val="lv-LV"/>
    </w:rPr>
  </w:style>
  <w:style w:type="paragraph" w:styleId="CommentSubject">
    <w:name w:val="annotation subject"/>
    <w:basedOn w:val="CommentText"/>
    <w:next w:val="CommentText"/>
    <w:link w:val="CommentSubjectChar"/>
    <w:uiPriority w:val="99"/>
    <w:semiHidden/>
    <w:unhideWhenUsed/>
    <w:rsid w:val="0095058F"/>
    <w:rPr>
      <w:b/>
      <w:bCs/>
    </w:rPr>
  </w:style>
  <w:style w:type="character" w:customStyle="1" w:styleId="CommentSubjectChar">
    <w:name w:val="Comment Subject Char"/>
    <w:basedOn w:val="CommentTextChar"/>
    <w:link w:val="CommentSubject"/>
    <w:uiPriority w:val="99"/>
    <w:semiHidden/>
    <w:rsid w:val="0095058F"/>
    <w:rPr>
      <w:rFonts w:cstheme="minorBidi"/>
      <w:b/>
      <w:bCs/>
      <w:sz w:val="20"/>
      <w:szCs w:val="20"/>
      <w:lang w:val="lv-LV"/>
    </w:rPr>
  </w:style>
  <w:style w:type="paragraph" w:styleId="Revision">
    <w:name w:val="Revision"/>
    <w:hidden/>
    <w:uiPriority w:val="99"/>
    <w:semiHidden/>
    <w:rsid w:val="0046113A"/>
    <w:pPr>
      <w:spacing w:after="0" w:line="240" w:lineRule="auto"/>
    </w:pPr>
    <w:rPr>
      <w:rFonts w:cstheme="minorBidi"/>
      <w:lang w:val="lv-LV"/>
    </w:rPr>
  </w:style>
  <w:style w:type="character" w:styleId="Hyperlink">
    <w:name w:val="Hyperlink"/>
    <w:basedOn w:val="DefaultParagraphFont"/>
    <w:uiPriority w:val="99"/>
    <w:unhideWhenUsed/>
    <w:rsid w:val="005C0EA3"/>
    <w:rPr>
      <w:color w:val="467886" w:themeColor="hyperlink"/>
      <w:u w:val="single"/>
    </w:rPr>
  </w:style>
  <w:style w:type="character" w:styleId="UnresolvedMention">
    <w:name w:val="Unresolved Mention"/>
    <w:basedOn w:val="DefaultParagraphFont"/>
    <w:uiPriority w:val="99"/>
    <w:semiHidden/>
    <w:unhideWhenUsed/>
    <w:rsid w:val="005C0EA3"/>
    <w:rPr>
      <w:color w:val="605E5C"/>
      <w:shd w:val="clear" w:color="auto" w:fill="E1DFDD"/>
    </w:rPr>
  </w:style>
  <w:style w:type="character" w:styleId="FollowedHyperlink">
    <w:name w:val="FollowedHyperlink"/>
    <w:basedOn w:val="DefaultParagraphFont"/>
    <w:uiPriority w:val="99"/>
    <w:semiHidden/>
    <w:unhideWhenUsed/>
    <w:rsid w:val="002E4D85"/>
    <w:rPr>
      <w:color w:val="96607D" w:themeColor="followedHyperlink"/>
      <w:u w:val="single"/>
    </w:rPr>
  </w:style>
  <w:style w:type="paragraph" w:styleId="Header">
    <w:name w:val="header"/>
    <w:basedOn w:val="Normal"/>
    <w:link w:val="HeaderChar"/>
    <w:uiPriority w:val="99"/>
    <w:unhideWhenUsed/>
    <w:rsid w:val="000E1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B6B"/>
    <w:rPr>
      <w:rFonts w:cstheme="minorBidi"/>
      <w:lang w:val="lv-LV"/>
    </w:rPr>
  </w:style>
  <w:style w:type="paragraph" w:styleId="BodyText2">
    <w:name w:val="Body Text 2"/>
    <w:basedOn w:val="Normal"/>
    <w:link w:val="BodyText2Char"/>
    <w:rsid w:val="00923543"/>
    <w:pPr>
      <w:spacing w:after="0" w:line="240" w:lineRule="auto"/>
      <w:jc w:val="right"/>
    </w:pPr>
    <w:rPr>
      <w:rFonts w:ascii="Garamond" w:eastAsia="Times New Roman" w:hAnsi="Garamond" w:cs="Times New Roman"/>
      <w:kern w:val="0"/>
      <w:sz w:val="28"/>
      <w:szCs w:val="28"/>
      <w14:ligatures w14:val="none"/>
    </w:rPr>
  </w:style>
  <w:style w:type="character" w:customStyle="1" w:styleId="BodyText2Char">
    <w:name w:val="Body Text 2 Char"/>
    <w:basedOn w:val="DefaultParagraphFont"/>
    <w:link w:val="BodyText2"/>
    <w:rsid w:val="00923543"/>
    <w:rPr>
      <w:rFonts w:ascii="Garamond" w:eastAsia="Times New Roman" w:hAnsi="Garamond" w:cs="Times New Roman"/>
      <w:kern w:val="0"/>
      <w:sz w:val="28"/>
      <w:szCs w:val="28"/>
      <w:lang w:val="lv-LV"/>
      <w14:ligatures w14:val="none"/>
    </w:rPr>
  </w:style>
  <w:style w:type="paragraph" w:customStyle="1" w:styleId="tv213">
    <w:name w:val="tv213"/>
    <w:basedOn w:val="Normal"/>
    <w:rsid w:val="001A651F"/>
    <w:pPr>
      <w:spacing w:before="100" w:beforeAutospacing="1" w:after="100" w:afterAutospacing="1" w:line="240" w:lineRule="auto"/>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75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ateway.elieta.lv/api/v1/PublicMaterialDownload/1fb15e85-5795-46f0-9790-88d07d577d3b"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atv.tiesa.gov.lv/web/viewer.html?file=/wp-content/uploads/2012/01/2012-02-0106_Spriedum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t.gov.lv/downloadlawfile/3930" TargetMode="External"/><Relationship Id="rId4" Type="http://schemas.openxmlformats.org/officeDocument/2006/relationships/webSettings" Target="webSettings.xml"/><Relationship Id="rId9" Type="http://schemas.openxmlformats.org/officeDocument/2006/relationships/hyperlink" Target="https://www.at.gov.lv/downloadlawfile/36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D506-57BC-4794-8C30-AE31DACF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9564</Words>
  <Characters>5452</Characters>
  <Application>Microsoft Office Word</Application>
  <DocSecurity>0</DocSecurity>
  <Lines>45</Lines>
  <Paragraphs>29</Paragraphs>
  <ScaleCrop>false</ScaleCrop>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2026-06-11T07:49:00Z</dcterms:created>
  <dcterms:modified xsi:type="dcterms:W3CDTF">2026-06-11T09:39:00Z</dcterms:modified>
</cp:coreProperties>
</file>