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264D5" w14:textId="77777777" w:rsidR="00632FDB" w:rsidRDefault="00632FDB" w:rsidP="00053491">
      <w:pPr>
        <w:autoSpaceDE w:val="0"/>
        <w:autoSpaceDN w:val="0"/>
        <w:spacing w:line="276" w:lineRule="auto"/>
        <w:jc w:val="both"/>
        <w:rPr>
          <w:b/>
          <w:bCs/>
          <w:color w:val="000000"/>
          <w:lang w:eastAsia="lv-LV"/>
        </w:rPr>
      </w:pPr>
      <w:r>
        <w:rPr>
          <w:b/>
          <w:bCs/>
          <w:color w:val="000000"/>
        </w:rPr>
        <w:t>Sūdzības izskatīšana par iestādes kompetencē esošu jautājumu (disciplināro uzraudzību par amatpersonas rīcību)</w:t>
      </w:r>
    </w:p>
    <w:p w14:paraId="36731240" w14:textId="77777777" w:rsidR="00632FDB" w:rsidRDefault="00632FDB" w:rsidP="00053491">
      <w:pPr>
        <w:autoSpaceDE w:val="0"/>
        <w:autoSpaceDN w:val="0"/>
        <w:spacing w:line="276" w:lineRule="auto"/>
        <w:jc w:val="both"/>
        <w:rPr>
          <w:color w:val="000000"/>
        </w:rPr>
      </w:pPr>
      <w:r>
        <w:rPr>
          <w:color w:val="000000"/>
        </w:rPr>
        <w:t>Iestādei, atbildot uz personas iesniegumu, kura nolūks ir uzrādīt informāciju par pārkāpumiem un lūgt palīdzību personas interešu aizsardzībai, ir pienākums norādīt apsvērumus par amatpersonas rīcību, par kuru persona iestādei izteikusi aizrādījumus vai neapmierinātību.</w:t>
      </w:r>
    </w:p>
    <w:p w14:paraId="64B6DA48" w14:textId="3E3F49F4" w:rsidR="00447EE6" w:rsidRPr="00011547" w:rsidRDefault="00632FDB" w:rsidP="00053491">
      <w:pPr>
        <w:spacing w:line="276" w:lineRule="auto"/>
        <w:jc w:val="both"/>
      </w:pPr>
      <w:r>
        <w:t>Ņemot vērā, ka personai nav individuālu subjektīvo tiesību kā atbildi uz iesniegumu sagaidīt konkrētu rīcību, tiesas kontrole šādā gadījumā aptver iestādes atbildes atbilstību iesnieguma saturam.</w:t>
      </w:r>
    </w:p>
    <w:p w14:paraId="55E0E475" w14:textId="5CC56846" w:rsidR="00447EE6" w:rsidRPr="00011547" w:rsidRDefault="00447EE6" w:rsidP="00053491">
      <w:pPr>
        <w:spacing w:before="240" w:line="276" w:lineRule="auto"/>
        <w:jc w:val="center"/>
        <w:rPr>
          <w:b/>
        </w:rPr>
      </w:pPr>
      <w:r w:rsidRPr="00011547">
        <w:rPr>
          <w:b/>
        </w:rPr>
        <w:t>Latvijas Republikas Senāt</w:t>
      </w:r>
      <w:r w:rsidR="00632FDB">
        <w:rPr>
          <w:b/>
        </w:rPr>
        <w:t>a</w:t>
      </w:r>
      <w:r w:rsidR="00632FDB">
        <w:rPr>
          <w:b/>
        </w:rPr>
        <w:br/>
        <w:t>Administratīvo lietu departamenta</w:t>
      </w:r>
      <w:r w:rsidR="00632FDB">
        <w:rPr>
          <w:b/>
        </w:rPr>
        <w:br/>
        <w:t>2026.gada 9.jūnija</w:t>
      </w:r>
    </w:p>
    <w:p w14:paraId="2FA9305A" w14:textId="43B0EF12" w:rsidR="00447EE6" w:rsidRDefault="000E008F" w:rsidP="00053491">
      <w:pPr>
        <w:spacing w:line="276" w:lineRule="auto"/>
        <w:jc w:val="center"/>
        <w:rPr>
          <w:b/>
        </w:rPr>
      </w:pPr>
      <w:r>
        <w:rPr>
          <w:b/>
        </w:rPr>
        <w:t>LĒMUMS</w:t>
      </w:r>
    </w:p>
    <w:p w14:paraId="18EE97EC" w14:textId="5A6F8690" w:rsidR="00632FDB" w:rsidRPr="00632FDB" w:rsidRDefault="00632FDB" w:rsidP="00053491">
      <w:pPr>
        <w:spacing w:line="276" w:lineRule="auto"/>
        <w:jc w:val="center"/>
        <w:rPr>
          <w:b/>
          <w:bCs/>
        </w:rPr>
      </w:pPr>
      <w:r w:rsidRPr="00632FDB">
        <w:rPr>
          <w:b/>
          <w:bCs/>
        </w:rPr>
        <w:t>Lieta Nr. 680006826, Nr. SKA-551/2026</w:t>
      </w:r>
    </w:p>
    <w:p w14:paraId="4594C7E7" w14:textId="12F9BBF7" w:rsidR="00632FDB" w:rsidRPr="00632FDB" w:rsidRDefault="00632FDB" w:rsidP="00053491">
      <w:pPr>
        <w:spacing w:line="276" w:lineRule="auto"/>
        <w:jc w:val="center"/>
      </w:pPr>
      <w:r w:rsidRPr="00632FDB">
        <w:t xml:space="preserve"> </w:t>
      </w:r>
      <w:hyperlink r:id="rId8" w:history="1">
        <w:r w:rsidRPr="00632FDB">
          <w:rPr>
            <w:rStyle w:val="Hyperlink"/>
          </w:rPr>
          <w:t>ECLI:LV:AT:2026:0609.SKA055126.6.L</w:t>
        </w:r>
      </w:hyperlink>
    </w:p>
    <w:p w14:paraId="0E26F319" w14:textId="77777777" w:rsidR="00485781" w:rsidRDefault="00485781" w:rsidP="00053491">
      <w:pPr>
        <w:spacing w:line="276" w:lineRule="auto"/>
        <w:jc w:val="center"/>
      </w:pPr>
    </w:p>
    <w:p w14:paraId="1CD17DBB" w14:textId="1E34B673" w:rsidR="00485781" w:rsidRPr="002A18AC" w:rsidRDefault="00485781" w:rsidP="00053491">
      <w:pPr>
        <w:spacing w:line="276" w:lineRule="auto"/>
        <w:ind w:firstLine="720"/>
        <w:contextualSpacing/>
        <w:jc w:val="both"/>
      </w:pPr>
      <w:r>
        <w:t>Senāts</w:t>
      </w:r>
      <w:r w:rsidRPr="002A18AC">
        <w:t xml:space="preserve"> šādā sastāvā: senator</w:t>
      </w:r>
      <w:r>
        <w:t>e referente</w:t>
      </w:r>
      <w:r w:rsidRPr="002A18AC">
        <w:t xml:space="preserve"> </w:t>
      </w:r>
      <w:r>
        <w:t>Līvija Slica</w:t>
      </w:r>
      <w:r w:rsidRPr="002A18AC">
        <w:t xml:space="preserve">, </w:t>
      </w:r>
      <w:r>
        <w:t xml:space="preserve">senatores Laura Konošonoka un </w:t>
      </w:r>
      <w:r w:rsidR="00176683">
        <w:t>Ieva Višķere</w:t>
      </w:r>
    </w:p>
    <w:p w14:paraId="2BD12230" w14:textId="77777777" w:rsidR="00485781" w:rsidRPr="002A18AC" w:rsidRDefault="00485781" w:rsidP="00053491">
      <w:pPr>
        <w:spacing w:line="276" w:lineRule="auto"/>
        <w:ind w:firstLine="720"/>
        <w:contextualSpacing/>
      </w:pPr>
    </w:p>
    <w:p w14:paraId="11194835" w14:textId="2F4886A7" w:rsidR="00485781" w:rsidRDefault="00485781" w:rsidP="00053491">
      <w:pPr>
        <w:tabs>
          <w:tab w:val="left" w:pos="1276"/>
        </w:tabs>
        <w:spacing w:line="276" w:lineRule="auto"/>
        <w:ind w:firstLine="720"/>
        <w:contextualSpacing/>
        <w:jc w:val="both"/>
      </w:pPr>
      <w:r w:rsidRPr="002A18AC">
        <w:t xml:space="preserve">rakstveida procesā izskatīja </w:t>
      </w:r>
      <w:r w:rsidR="00632FDB">
        <w:rPr>
          <w:rFonts w:asciiTheme="majorBidi" w:hAnsiTheme="majorBidi" w:cstheme="majorBidi"/>
        </w:rPr>
        <w:t xml:space="preserve">[pers. A] </w:t>
      </w:r>
      <w:r w:rsidRPr="002A18AC">
        <w:t xml:space="preserve">blakus sūdzību par Administratīvās rajona tiesas </w:t>
      </w:r>
      <w:r>
        <w:t xml:space="preserve">tiesneša </w:t>
      </w:r>
      <w:r w:rsidRPr="00B14E42">
        <w:rPr>
          <w:rFonts w:asciiTheme="majorBidi" w:hAnsiTheme="majorBidi" w:cstheme="majorBidi"/>
        </w:rPr>
        <w:t>202</w:t>
      </w:r>
      <w:r>
        <w:rPr>
          <w:rFonts w:asciiTheme="majorBidi" w:hAnsiTheme="majorBidi" w:cstheme="majorBidi"/>
        </w:rPr>
        <w:t>6</w:t>
      </w:r>
      <w:r w:rsidRPr="00B14E42">
        <w:rPr>
          <w:rFonts w:asciiTheme="majorBidi" w:hAnsiTheme="majorBidi" w:cstheme="majorBidi"/>
        </w:rPr>
        <w:t xml:space="preserve">.gada </w:t>
      </w:r>
      <w:r>
        <w:rPr>
          <w:rFonts w:asciiTheme="majorBidi" w:hAnsiTheme="majorBidi" w:cstheme="majorBidi"/>
        </w:rPr>
        <w:t>2</w:t>
      </w:r>
      <w:r w:rsidRPr="00B14E42">
        <w:rPr>
          <w:rFonts w:asciiTheme="majorBidi" w:hAnsiTheme="majorBidi" w:cstheme="majorBidi"/>
        </w:rPr>
        <w:t>.</w:t>
      </w:r>
      <w:r>
        <w:rPr>
          <w:rFonts w:asciiTheme="majorBidi" w:hAnsiTheme="majorBidi" w:cstheme="majorBidi"/>
        </w:rPr>
        <w:t>marta</w:t>
      </w:r>
      <w:r w:rsidRPr="00B14E42">
        <w:rPr>
          <w:rFonts w:asciiTheme="majorBidi" w:hAnsiTheme="majorBidi" w:cstheme="majorBidi"/>
        </w:rPr>
        <w:t xml:space="preserve"> </w:t>
      </w:r>
      <w:r w:rsidRPr="00AD13DB">
        <w:rPr>
          <w:rFonts w:asciiTheme="majorBidi" w:hAnsiTheme="majorBidi" w:cstheme="majorBidi"/>
        </w:rPr>
        <w:t xml:space="preserve">lēmumu, ar kuru </w:t>
      </w:r>
      <w:r>
        <w:rPr>
          <w:rFonts w:asciiTheme="majorBidi" w:hAnsiTheme="majorBidi" w:cstheme="majorBidi"/>
        </w:rPr>
        <w:t>atteikts pieņemt pieteikumu</w:t>
      </w:r>
      <w:r w:rsidRPr="002A18AC">
        <w:t>.</w:t>
      </w:r>
    </w:p>
    <w:p w14:paraId="21ADF822" w14:textId="77777777" w:rsidR="00485781" w:rsidRDefault="00485781" w:rsidP="00053491">
      <w:pPr>
        <w:tabs>
          <w:tab w:val="left" w:pos="1276"/>
        </w:tabs>
        <w:spacing w:line="276" w:lineRule="auto"/>
        <w:ind w:firstLine="720"/>
        <w:contextualSpacing/>
        <w:jc w:val="both"/>
      </w:pPr>
    </w:p>
    <w:p w14:paraId="72674654" w14:textId="77777777" w:rsidR="00485781" w:rsidRPr="002A18AC" w:rsidRDefault="00485781" w:rsidP="00053491">
      <w:pPr>
        <w:tabs>
          <w:tab w:val="left" w:pos="1276"/>
        </w:tabs>
        <w:spacing w:line="276" w:lineRule="auto"/>
        <w:contextualSpacing/>
        <w:jc w:val="center"/>
        <w:rPr>
          <w:b/>
        </w:rPr>
      </w:pPr>
      <w:r w:rsidRPr="002A18AC">
        <w:rPr>
          <w:b/>
        </w:rPr>
        <w:t>Aprakstošā daļa</w:t>
      </w:r>
    </w:p>
    <w:p w14:paraId="7C7618B6" w14:textId="77777777" w:rsidR="00411CD0" w:rsidRPr="00011547" w:rsidRDefault="00411CD0" w:rsidP="00053491">
      <w:pPr>
        <w:spacing w:line="276" w:lineRule="auto"/>
        <w:ind w:firstLine="720"/>
        <w:contextualSpacing/>
        <w:jc w:val="center"/>
      </w:pPr>
    </w:p>
    <w:p w14:paraId="4B7C9A6B" w14:textId="5A54FDF2" w:rsidR="00E71CCE" w:rsidRDefault="00A50150" w:rsidP="00053491">
      <w:pPr>
        <w:spacing w:line="276" w:lineRule="auto"/>
        <w:ind w:firstLine="720"/>
        <w:contextualSpacing/>
        <w:jc w:val="both"/>
      </w:pPr>
      <w:r w:rsidRPr="00B14E42">
        <w:rPr>
          <w:rFonts w:asciiTheme="majorBidi" w:hAnsiTheme="majorBidi" w:cstheme="majorBidi"/>
        </w:rPr>
        <w:t>[1] </w:t>
      </w:r>
      <w:r w:rsidR="008D4810" w:rsidRPr="008D4810">
        <w:t>Pieteicēj</w:t>
      </w:r>
      <w:r w:rsidR="002C56F4">
        <w:t>s</w:t>
      </w:r>
      <w:r w:rsidR="008D4810" w:rsidRPr="008D4810">
        <w:t xml:space="preserve"> </w:t>
      </w:r>
      <w:r w:rsidR="00632FDB">
        <w:rPr>
          <w:rFonts w:asciiTheme="majorBidi" w:hAnsiTheme="majorBidi" w:cstheme="majorBidi"/>
        </w:rPr>
        <w:t xml:space="preserve">[pers. A] </w:t>
      </w:r>
      <w:r w:rsidR="008D4810" w:rsidRPr="008D4810">
        <w:t>vērsās ar</w:t>
      </w:r>
      <w:r w:rsidR="00386F69">
        <w:t xml:space="preserve"> </w:t>
      </w:r>
      <w:r w:rsidR="002535CC">
        <w:t xml:space="preserve">vairākiem iesniegumiem Tieslietu ministrijā. </w:t>
      </w:r>
      <w:r w:rsidR="00E71CCE" w:rsidRPr="00E71CCE">
        <w:t>No pieteicēja tiesā iesniegtā iesnieguma Tieslietu ministrijai izriet, ka pieteicējs lūdzis izvērtēt zvērinātas tiesu izpildītājas Anitas Kalniņas darbību izpildu lietā Nr.</w:t>
      </w:r>
      <w:r w:rsidR="00F77844">
        <w:t> </w:t>
      </w:r>
      <w:r w:rsidR="00E71CCE" w:rsidRPr="00E71CCE">
        <w:t>00659/016/2025 un nodrošināt izsoles apturēšanu.</w:t>
      </w:r>
    </w:p>
    <w:p w14:paraId="7F5AC356" w14:textId="1AB45D62" w:rsidR="00DF2C09" w:rsidRDefault="00E71CCE" w:rsidP="00053491">
      <w:pPr>
        <w:spacing w:line="276" w:lineRule="auto"/>
        <w:ind w:firstLine="720"/>
        <w:contextualSpacing/>
        <w:jc w:val="both"/>
      </w:pPr>
      <w:r w:rsidRPr="00E71CCE">
        <w:t>Tieslietu ministrija 2025.gada 22.decembra vēstulē Nr.</w:t>
      </w:r>
      <w:r w:rsidR="00F77844">
        <w:t> </w:t>
      </w:r>
      <w:r w:rsidRPr="00E71CCE">
        <w:t xml:space="preserve">1-24/3950 </w:t>
      </w:r>
      <w:r w:rsidR="00AF439F" w:rsidRPr="00AF439F">
        <w:t>„</w:t>
      </w:r>
      <w:r w:rsidRPr="00E71CCE">
        <w:t xml:space="preserve">Par zvērināta tiesu izpildītāja un tiesnešu rīcību” sniedza pieteicējam atbildi uz vairākiem iesniegumiem. Ministrija </w:t>
      </w:r>
      <w:r w:rsidR="00AF439F">
        <w:t>ne</w:t>
      </w:r>
      <w:r w:rsidRPr="00E71CCE">
        <w:t>konstatē</w:t>
      </w:r>
      <w:r w:rsidR="00AF439F">
        <w:t>ja</w:t>
      </w:r>
      <w:r w:rsidRPr="00E71CCE">
        <w:t xml:space="preserve"> pamatu jautājuma lemšanai par disciplinārlietas ierosināšanu pret zvērinātu tiesu izpildītāju</w:t>
      </w:r>
      <w:r w:rsidR="00632FDB">
        <w:t xml:space="preserve"> </w:t>
      </w:r>
      <w:r w:rsidR="00632FDB">
        <w:rPr>
          <w:rFonts w:asciiTheme="majorBidi" w:hAnsiTheme="majorBidi" w:cstheme="majorBidi"/>
        </w:rPr>
        <w:t>[pers. B]</w:t>
      </w:r>
      <w:r w:rsidRPr="00E71CCE">
        <w:t xml:space="preserve">, tiesnesi </w:t>
      </w:r>
      <w:r w:rsidR="00632FDB">
        <w:rPr>
          <w:rFonts w:asciiTheme="majorBidi" w:hAnsiTheme="majorBidi" w:cstheme="majorBidi"/>
        </w:rPr>
        <w:t xml:space="preserve">[pers. C] </w:t>
      </w:r>
      <w:r>
        <w:t>un</w:t>
      </w:r>
      <w:r w:rsidRPr="00E71CCE">
        <w:t xml:space="preserve"> tiesnesi</w:t>
      </w:r>
      <w:r w:rsidR="00632FDB">
        <w:t xml:space="preserve"> </w:t>
      </w:r>
      <w:r w:rsidR="00632FDB">
        <w:rPr>
          <w:rFonts w:asciiTheme="majorBidi" w:hAnsiTheme="majorBidi" w:cstheme="majorBidi"/>
        </w:rPr>
        <w:t>[pers. D]</w:t>
      </w:r>
      <w:r w:rsidRPr="00E71CCE">
        <w:t>. Saistībā ar izsoles apturēšanu ministrija konstatēja, ka pieteicējs Latgales rajona tiesā iesniedza sūdzību par zvērinātas tiesu izpildītājas A</w:t>
      </w:r>
      <w:r w:rsidR="00F77844">
        <w:t>. </w:t>
      </w:r>
      <w:r w:rsidRPr="00E71CCE">
        <w:t>Kalniņas darbībām izpildu lietā Nr.</w:t>
      </w:r>
      <w:r w:rsidR="00F77844">
        <w:t> </w:t>
      </w:r>
      <w:r w:rsidRPr="00E71CCE">
        <w:t>00659/016/2025. Ministrija norādīja, ka līdz ar to tiesas kompetencē ir izvērtēt, vai nekustamā īpašuma izsolē zvērināts tiesu izpildītājs nav pieļāvis pārkāpumus.</w:t>
      </w:r>
    </w:p>
    <w:p w14:paraId="04454C1E" w14:textId="0928D66F" w:rsidR="00E71CCE" w:rsidRDefault="00E71CCE" w:rsidP="00053491">
      <w:pPr>
        <w:spacing w:line="276" w:lineRule="auto"/>
        <w:ind w:firstLine="720"/>
        <w:contextualSpacing/>
        <w:jc w:val="both"/>
      </w:pPr>
      <w:r>
        <w:t xml:space="preserve">Pieteicēja ieskatā </w:t>
      </w:r>
      <w:r w:rsidRPr="00E71CCE">
        <w:t xml:space="preserve">Tieslietu ministrija </w:t>
      </w:r>
      <w:r w:rsidR="00AD1A1E" w:rsidRPr="00E71CCE">
        <w:t xml:space="preserve">viņa iesniegumu </w:t>
      </w:r>
      <w:r w:rsidR="00AD1A1E">
        <w:t>neizvērtēja pēc būtības</w:t>
      </w:r>
      <w:r w:rsidRPr="00E71CCE">
        <w:t xml:space="preserve">, līdz ar to pieteikumu </w:t>
      </w:r>
      <w:r w:rsidR="00AF2C42">
        <w:t xml:space="preserve">pieteicējs </w:t>
      </w:r>
      <w:r w:rsidRPr="00E71CCE">
        <w:t>tiesā iesniedz</w:t>
      </w:r>
      <w:r w:rsidR="00AF439F">
        <w:t>a</w:t>
      </w:r>
      <w:r w:rsidRPr="00E71CCE">
        <w:t>, pamatojoties uz Iesniegumu likuma 10.panta otro daļu, un lūdz</w:t>
      </w:r>
      <w:r w:rsidR="00AF439F">
        <w:t>a</w:t>
      </w:r>
      <w:r w:rsidRPr="00E71CCE">
        <w:t xml:space="preserve"> uzdot ministrijai izvērtēt iesniegumu pēc būtības.</w:t>
      </w:r>
    </w:p>
    <w:p w14:paraId="56A48817" w14:textId="77777777" w:rsidR="00AE0E79" w:rsidRDefault="00AE0E79" w:rsidP="00053491">
      <w:pPr>
        <w:spacing w:line="276" w:lineRule="auto"/>
        <w:ind w:firstLine="720"/>
        <w:contextualSpacing/>
        <w:jc w:val="both"/>
        <w:rPr>
          <w:color w:val="000000"/>
        </w:rPr>
      </w:pPr>
    </w:p>
    <w:p w14:paraId="08491E60" w14:textId="3A70DF5C" w:rsidR="00AF2C42" w:rsidRDefault="002D4128" w:rsidP="00053491">
      <w:pPr>
        <w:spacing w:line="276" w:lineRule="auto"/>
        <w:ind w:firstLine="720"/>
        <w:contextualSpacing/>
        <w:jc w:val="both"/>
        <w:rPr>
          <w:color w:val="000000"/>
        </w:rPr>
      </w:pPr>
      <w:r w:rsidRPr="002D4128">
        <w:rPr>
          <w:color w:val="000000"/>
        </w:rPr>
        <w:t>[</w:t>
      </w:r>
      <w:r w:rsidR="00485781">
        <w:rPr>
          <w:color w:val="000000"/>
        </w:rPr>
        <w:t>2</w:t>
      </w:r>
      <w:r w:rsidRPr="002D4128">
        <w:rPr>
          <w:color w:val="000000"/>
        </w:rPr>
        <w:t>]</w:t>
      </w:r>
      <w:r w:rsidR="00611BA4">
        <w:rPr>
          <w:color w:val="000000"/>
        </w:rPr>
        <w:t> </w:t>
      </w:r>
      <w:r w:rsidR="00485781">
        <w:t xml:space="preserve">Administratīvās rajona tiesas tiesnesis ar </w:t>
      </w:r>
      <w:r w:rsidR="00485781" w:rsidRPr="00B14E42">
        <w:rPr>
          <w:rFonts w:asciiTheme="majorBidi" w:hAnsiTheme="majorBidi" w:cstheme="majorBidi"/>
        </w:rPr>
        <w:t>202</w:t>
      </w:r>
      <w:r w:rsidR="00485781">
        <w:rPr>
          <w:rFonts w:asciiTheme="majorBidi" w:hAnsiTheme="majorBidi" w:cstheme="majorBidi"/>
        </w:rPr>
        <w:t>6</w:t>
      </w:r>
      <w:r w:rsidR="00485781" w:rsidRPr="00B14E42">
        <w:rPr>
          <w:rFonts w:asciiTheme="majorBidi" w:hAnsiTheme="majorBidi" w:cstheme="majorBidi"/>
        </w:rPr>
        <w:t xml:space="preserve">.gada </w:t>
      </w:r>
      <w:r w:rsidR="00485781">
        <w:rPr>
          <w:rFonts w:asciiTheme="majorBidi" w:hAnsiTheme="majorBidi" w:cstheme="majorBidi"/>
        </w:rPr>
        <w:t>2</w:t>
      </w:r>
      <w:r w:rsidR="00485781" w:rsidRPr="00B14E42">
        <w:rPr>
          <w:rFonts w:asciiTheme="majorBidi" w:hAnsiTheme="majorBidi" w:cstheme="majorBidi"/>
        </w:rPr>
        <w:t>.</w:t>
      </w:r>
      <w:r w:rsidR="00485781">
        <w:rPr>
          <w:rFonts w:asciiTheme="majorBidi" w:hAnsiTheme="majorBidi" w:cstheme="majorBidi"/>
        </w:rPr>
        <w:t>marta</w:t>
      </w:r>
      <w:r w:rsidR="00485781" w:rsidRPr="00B14E42">
        <w:rPr>
          <w:rFonts w:asciiTheme="majorBidi" w:hAnsiTheme="majorBidi" w:cstheme="majorBidi"/>
        </w:rPr>
        <w:t xml:space="preserve"> </w:t>
      </w:r>
      <w:r w:rsidR="00485781">
        <w:t xml:space="preserve">lēmumu pieteikumu atteica pieņemt, pamatojoties uz to, ka pieteikums nav izskatāms administratīvā procesa </w:t>
      </w:r>
      <w:r w:rsidR="00485781">
        <w:lastRenderedPageBreak/>
        <w:t>kārtībā. Tiesnesis</w:t>
      </w:r>
      <w:r w:rsidR="00E71CCE">
        <w:rPr>
          <w:color w:val="000000"/>
        </w:rPr>
        <w:t xml:space="preserve"> norādīja, ka </w:t>
      </w:r>
      <w:r w:rsidR="00E71CCE" w:rsidRPr="00E71CCE">
        <w:rPr>
          <w:color w:val="000000"/>
        </w:rPr>
        <w:t>personas iesniegums iestādei ir izskatāms Iesniegumu likuma kārtībā un iestādes rīcība, sniedzot atbildi, ir vērtējama kā faktiskā rīcība Administratīvā procesa likuma 89.panta izpratnē tādā gadījumā, ja privātpersona iesniegumā ir lūgusi iestādes viedokli, ziņas u.tml. par kādu šo privātpersonu interesējošu pārvaldes jautājumu. Ja personas iesniegums ir vērsts uz konkrētu tiesisko seku radīšanu, atsevišķi nav izskatāms jautājums par atbildes sniegšanu Iesniegumu likuma kārtībā</w:t>
      </w:r>
      <w:r w:rsidR="00E71CCE">
        <w:rPr>
          <w:color w:val="000000"/>
        </w:rPr>
        <w:t>.</w:t>
      </w:r>
    </w:p>
    <w:p w14:paraId="640BE271" w14:textId="7100D1A4" w:rsidR="00E71CCE" w:rsidRDefault="00E71CCE" w:rsidP="00053491">
      <w:pPr>
        <w:spacing w:line="276" w:lineRule="auto"/>
        <w:ind w:firstLine="720"/>
        <w:contextualSpacing/>
        <w:jc w:val="both"/>
        <w:rPr>
          <w:color w:val="000000"/>
        </w:rPr>
      </w:pPr>
      <w:r>
        <w:rPr>
          <w:color w:val="000000"/>
        </w:rPr>
        <w:t xml:space="preserve">Izvērtējot pieteikumā ietvertos apsvērumus, tiesnesis secināja, ka </w:t>
      </w:r>
      <w:r w:rsidRPr="00E71CCE">
        <w:rPr>
          <w:color w:val="000000"/>
        </w:rPr>
        <w:t>pieteicējs, vēršoties Tieslietu ministrijā, vēlējies panākt, lai tiktu izvērtēts zvērināta tiesu izpildītāja darbības tiesiskums.</w:t>
      </w:r>
      <w:r>
        <w:rPr>
          <w:color w:val="000000"/>
        </w:rPr>
        <w:t xml:space="preserve"> F</w:t>
      </w:r>
      <w:r w:rsidRPr="00E71CCE">
        <w:rPr>
          <w:color w:val="000000"/>
        </w:rPr>
        <w:t>aktiski pieteicējs, vēršoties ar iesniegumiem ministrijā, vēlējās ne vien ziņot par iespējamu pārkāpumu un saņemt atbildi uz savu iesniegumu, bet gan panākt konkrētu darbību veikšanu</w:t>
      </w:r>
      <w:r w:rsidR="00AF2C42">
        <w:rPr>
          <w:color w:val="000000"/>
        </w:rPr>
        <w:t xml:space="preserve"> (konkrētas izpildu lietas apturēšanu)</w:t>
      </w:r>
      <w:r w:rsidRPr="00E71CCE">
        <w:rPr>
          <w:color w:val="000000"/>
        </w:rPr>
        <w:t>, kas pārsniedz Iesniegumu likumā ietverto iestādes kompetenci. Tādējādi konkrētajā gadījumā Iesniegumu likuma piemērošanai nav pamata.</w:t>
      </w:r>
      <w:r w:rsidR="00AD1A1E">
        <w:rPr>
          <w:color w:val="000000"/>
        </w:rPr>
        <w:t xml:space="preserve"> </w:t>
      </w:r>
      <w:r w:rsidRPr="00E71CCE">
        <w:rPr>
          <w:color w:val="000000"/>
        </w:rPr>
        <w:t>Tā kā sūdzību par zvērināta tiesu izpildītāja darbībām izskatīšanas kārtība ir paredzēta Civilprocesa likumā, tad attiecīgās zvērināta tiesu izpildītāja darbības tiesiskums nevar tikt pārbaudīts administratīva procesa kārtībā.</w:t>
      </w:r>
      <w:r>
        <w:rPr>
          <w:color w:val="000000"/>
        </w:rPr>
        <w:t xml:space="preserve"> </w:t>
      </w:r>
      <w:r w:rsidRPr="00E71CCE">
        <w:rPr>
          <w:color w:val="000000"/>
        </w:rPr>
        <w:t>Līdz ar to pieteicējam savu tiesību aizsardzībai bija iespēja vērsties vispārējās jurisdikcijas tiesā.</w:t>
      </w:r>
    </w:p>
    <w:p w14:paraId="781EAE9D" w14:textId="77777777" w:rsidR="00E71CCE" w:rsidRDefault="00E71CCE" w:rsidP="00053491">
      <w:pPr>
        <w:spacing w:line="276" w:lineRule="auto"/>
        <w:ind w:firstLine="720"/>
        <w:contextualSpacing/>
        <w:jc w:val="both"/>
        <w:rPr>
          <w:color w:val="000000"/>
        </w:rPr>
      </w:pPr>
    </w:p>
    <w:p w14:paraId="00D68D15" w14:textId="26058E18" w:rsidR="002D4128" w:rsidRDefault="00E71CCE" w:rsidP="00053491">
      <w:pPr>
        <w:spacing w:line="276" w:lineRule="auto"/>
        <w:ind w:firstLine="720"/>
        <w:contextualSpacing/>
        <w:jc w:val="both"/>
      </w:pPr>
      <w:r>
        <w:rPr>
          <w:color w:val="000000"/>
        </w:rPr>
        <w:t>[</w:t>
      </w:r>
      <w:r w:rsidR="00A83446">
        <w:rPr>
          <w:color w:val="000000"/>
        </w:rPr>
        <w:t>3</w:t>
      </w:r>
      <w:r>
        <w:rPr>
          <w:color w:val="000000"/>
        </w:rPr>
        <w:t>] </w:t>
      </w:r>
      <w:r w:rsidR="00485781">
        <w:t xml:space="preserve">Pieteicējs par Administratīvās rajona tiesas tiesneša lēmumu iesniedza blakus sūdzību. Tajā norādīts, </w:t>
      </w:r>
      <w:r w:rsidR="008824A3">
        <w:rPr>
          <w:color w:val="000000"/>
        </w:rPr>
        <w:t>ka tiesnesis kļūdaini noteicis jurisdikciju un nav izvērtējis strīda publiski tiesisko un Eiropas Savienības tiesību dimensiju</w:t>
      </w:r>
      <w:r w:rsidR="001D673D">
        <w:rPr>
          <w:color w:val="000000"/>
        </w:rPr>
        <w:t>, jo pieteicējs ir vērsies ar sūdzību Eiropas Komisijā</w:t>
      </w:r>
      <w:r w:rsidR="003C1173">
        <w:rPr>
          <w:lang w:eastAsia="lv-LV"/>
        </w:rPr>
        <w:t>.</w:t>
      </w:r>
      <w:r w:rsidR="008824A3">
        <w:rPr>
          <w:lang w:eastAsia="lv-LV"/>
        </w:rPr>
        <w:t xml:space="preserve"> Tiesnesis nepareizi konstatējis pieteikuma priekšmetu, jo pieteicējs vērsies tiesā par Tieslietu ministrijas bezdarbību un atteikumu vērtēt iesniegumu pēc būtības, kas ir publiski tiesisks strīds atbilstoši Administratīvā procesa likuma 89.pantam. </w:t>
      </w:r>
      <w:r>
        <w:rPr>
          <w:lang w:eastAsia="lv-LV"/>
        </w:rPr>
        <w:t xml:space="preserve">Nepieņemot pieteikumu, turpināsies nekustamā īpašuma piespiedu realizācija un pastāv īpašuma zaudējuma </w:t>
      </w:r>
      <w:r w:rsidRPr="006E2B89">
        <w:rPr>
          <w:lang w:eastAsia="lv-LV"/>
        </w:rPr>
        <w:t xml:space="preserve">risks. </w:t>
      </w:r>
      <w:r w:rsidR="008824A3" w:rsidRPr="006E2B89">
        <w:rPr>
          <w:lang w:eastAsia="lv-LV"/>
        </w:rPr>
        <w:t>Papildus pieteicējs izteicis lūgumu uzdot prejudiciālu jautājumu Eiropas Savienības Tiesai.</w:t>
      </w:r>
    </w:p>
    <w:p w14:paraId="41EF0E49" w14:textId="77777777" w:rsidR="002D4128" w:rsidRDefault="002D4128" w:rsidP="00053491">
      <w:pPr>
        <w:spacing w:line="276" w:lineRule="auto"/>
        <w:ind w:firstLine="720"/>
        <w:contextualSpacing/>
        <w:jc w:val="both"/>
      </w:pPr>
    </w:p>
    <w:p w14:paraId="545F3176" w14:textId="77777777" w:rsidR="00485781" w:rsidRPr="00485781" w:rsidRDefault="00485781" w:rsidP="00053491">
      <w:pPr>
        <w:tabs>
          <w:tab w:val="left" w:pos="1276"/>
        </w:tabs>
        <w:spacing w:line="276" w:lineRule="auto"/>
        <w:contextualSpacing/>
        <w:jc w:val="center"/>
        <w:rPr>
          <w:b/>
        </w:rPr>
      </w:pPr>
      <w:r w:rsidRPr="00485781">
        <w:rPr>
          <w:b/>
        </w:rPr>
        <w:t>Motīvu daļa</w:t>
      </w:r>
    </w:p>
    <w:p w14:paraId="0FDCB731" w14:textId="77777777" w:rsidR="00485781" w:rsidRPr="001E0942" w:rsidRDefault="00485781" w:rsidP="00053491">
      <w:pPr>
        <w:spacing w:line="276" w:lineRule="auto"/>
        <w:ind w:firstLine="720"/>
        <w:contextualSpacing/>
        <w:jc w:val="both"/>
      </w:pPr>
    </w:p>
    <w:p w14:paraId="61C09F08" w14:textId="22B9498F" w:rsidR="00F77844" w:rsidRPr="00611009" w:rsidRDefault="00295193" w:rsidP="00053491">
      <w:pPr>
        <w:spacing w:line="276" w:lineRule="auto"/>
        <w:ind w:firstLine="720"/>
        <w:jc w:val="both"/>
      </w:pPr>
      <w:r w:rsidRPr="00EC023E">
        <w:rPr>
          <w:color w:val="000000"/>
        </w:rPr>
        <w:t>[</w:t>
      </w:r>
      <w:r w:rsidR="00A83446">
        <w:rPr>
          <w:color w:val="000000"/>
        </w:rPr>
        <w:t>4</w:t>
      </w:r>
      <w:r w:rsidRPr="00EC023E">
        <w:rPr>
          <w:rFonts w:asciiTheme="majorBidi" w:hAnsiTheme="majorBidi" w:cstheme="majorBidi"/>
          <w:color w:val="000000"/>
        </w:rPr>
        <w:t>] </w:t>
      </w:r>
      <w:r w:rsidR="00F77844" w:rsidRPr="00611009">
        <w:rPr>
          <w:color w:val="000000"/>
        </w:rPr>
        <w:t xml:space="preserve">Blakus sūdzības tiesvedībā ir izvērtējams jautājums, vai </w:t>
      </w:r>
      <w:r w:rsidR="00E86249">
        <w:rPr>
          <w:color w:val="000000"/>
        </w:rPr>
        <w:t xml:space="preserve">pieteicēja iesniegumā </w:t>
      </w:r>
      <w:r w:rsidR="008E0F24">
        <w:rPr>
          <w:color w:val="000000"/>
        </w:rPr>
        <w:t>norādītā</w:t>
      </w:r>
      <w:r w:rsidR="00E11C1F">
        <w:rPr>
          <w:color w:val="000000"/>
        </w:rPr>
        <w:t xml:space="preserve"> informācija un </w:t>
      </w:r>
      <w:r w:rsidR="00E86249">
        <w:rPr>
          <w:color w:val="000000"/>
        </w:rPr>
        <w:t xml:space="preserve">izteiktie lūgumi </w:t>
      </w:r>
      <w:r w:rsidR="00E11C1F">
        <w:rPr>
          <w:color w:val="000000"/>
        </w:rPr>
        <w:t>izvērtējami atbilstoši I</w:t>
      </w:r>
      <w:r w:rsidR="00E86249">
        <w:rPr>
          <w:color w:val="000000"/>
        </w:rPr>
        <w:t>esniegumu likum</w:t>
      </w:r>
      <w:r w:rsidR="00E11C1F">
        <w:rPr>
          <w:color w:val="000000"/>
        </w:rPr>
        <w:t>am</w:t>
      </w:r>
      <w:r w:rsidR="00E86249">
        <w:rPr>
          <w:color w:val="000000"/>
        </w:rPr>
        <w:t>.</w:t>
      </w:r>
    </w:p>
    <w:p w14:paraId="087FB6B2" w14:textId="77777777" w:rsidR="00F77844" w:rsidRDefault="00F77844" w:rsidP="00053491">
      <w:pPr>
        <w:tabs>
          <w:tab w:val="left" w:pos="1276"/>
        </w:tabs>
        <w:spacing w:line="276" w:lineRule="auto"/>
        <w:ind w:firstLine="720"/>
        <w:contextualSpacing/>
        <w:jc w:val="both"/>
        <w:rPr>
          <w:rFonts w:asciiTheme="majorBidi" w:hAnsiTheme="majorBidi" w:cstheme="majorBidi"/>
          <w:color w:val="000000"/>
        </w:rPr>
      </w:pPr>
    </w:p>
    <w:p w14:paraId="0E114DEB" w14:textId="54725692" w:rsidR="00A83446" w:rsidRDefault="00E86249" w:rsidP="00053491">
      <w:pPr>
        <w:tabs>
          <w:tab w:val="left" w:pos="1276"/>
        </w:tabs>
        <w:spacing w:line="276" w:lineRule="auto"/>
        <w:ind w:firstLine="720"/>
        <w:contextualSpacing/>
        <w:jc w:val="both"/>
      </w:pPr>
      <w:r>
        <w:rPr>
          <w:color w:val="000000"/>
        </w:rPr>
        <w:t>[</w:t>
      </w:r>
      <w:r w:rsidR="00A83446">
        <w:rPr>
          <w:color w:val="000000"/>
        </w:rPr>
        <w:t>5</w:t>
      </w:r>
      <w:r>
        <w:rPr>
          <w:color w:val="000000"/>
        </w:rPr>
        <w:t>]</w:t>
      </w:r>
      <w:r>
        <w:t> </w:t>
      </w:r>
      <w:r w:rsidR="00AF2C42">
        <w:rPr>
          <w:color w:val="000000"/>
        </w:rPr>
        <w:t>No pieteikuma un blakus sūdzība</w:t>
      </w:r>
      <w:r>
        <w:rPr>
          <w:color w:val="000000"/>
        </w:rPr>
        <w:t>s vispārīgi</w:t>
      </w:r>
      <w:r w:rsidR="00AF2C42">
        <w:rPr>
          <w:color w:val="000000"/>
        </w:rPr>
        <w:t xml:space="preserve"> konstatējams, ka pieteicējs </w:t>
      </w:r>
      <w:r w:rsidR="00A83446">
        <w:rPr>
          <w:color w:val="000000"/>
        </w:rPr>
        <w:t>uzskata</w:t>
      </w:r>
      <w:r w:rsidR="00AF2C42">
        <w:rPr>
          <w:color w:val="000000"/>
        </w:rPr>
        <w:t>, ka</w:t>
      </w:r>
      <w:r w:rsidR="008E0F24">
        <w:rPr>
          <w:color w:val="000000"/>
        </w:rPr>
        <w:t xml:space="preserve"> Tieslietu</w:t>
      </w:r>
      <w:r w:rsidR="00AF2C42">
        <w:rPr>
          <w:color w:val="000000"/>
        </w:rPr>
        <w:t xml:space="preserve"> ministrija </w:t>
      </w:r>
      <w:r w:rsidR="00E11C1F">
        <w:rPr>
          <w:color w:val="000000"/>
        </w:rPr>
        <w:t xml:space="preserve">pēc būtības </w:t>
      </w:r>
      <w:r w:rsidR="00AF2C42">
        <w:rPr>
          <w:color w:val="000000"/>
        </w:rPr>
        <w:t xml:space="preserve">nav </w:t>
      </w:r>
      <w:r w:rsidR="00E11C1F">
        <w:rPr>
          <w:color w:val="000000"/>
        </w:rPr>
        <w:t>izvērtējusi</w:t>
      </w:r>
      <w:r w:rsidR="00975B2E">
        <w:rPr>
          <w:color w:val="000000"/>
        </w:rPr>
        <w:t xml:space="preserve"> pieteicēja iesniegumu. No Tieslietu ministrijas 2</w:t>
      </w:r>
      <w:r w:rsidR="00975B2E" w:rsidRPr="00E71CCE">
        <w:t>025.gada 22.decembra vēstul</w:t>
      </w:r>
      <w:r w:rsidR="00975B2E">
        <w:t>es</w:t>
      </w:r>
      <w:r w:rsidR="00975B2E" w:rsidRPr="00E71CCE">
        <w:t xml:space="preserve"> Nr.</w:t>
      </w:r>
      <w:r w:rsidR="00975B2E">
        <w:t> </w:t>
      </w:r>
      <w:r w:rsidR="00975B2E" w:rsidRPr="00E71CCE">
        <w:t>1-24/3950</w:t>
      </w:r>
      <w:r w:rsidR="00975B2E">
        <w:t xml:space="preserve"> secināms, ka tā ir sniegta kā atbilde uz vairākiem pieteicēja iesniegumiem</w:t>
      </w:r>
      <w:r w:rsidR="00A83446">
        <w:t xml:space="preserve"> par zvērinātiem tiesu izpildītājiem </w:t>
      </w:r>
      <w:r w:rsidR="00632FDB">
        <w:rPr>
          <w:rFonts w:asciiTheme="majorBidi" w:hAnsiTheme="majorBidi" w:cstheme="majorBidi"/>
        </w:rPr>
        <w:t xml:space="preserve">[pers. A]  </w:t>
      </w:r>
      <w:r w:rsidR="00A83446">
        <w:t>un A. Kalniņu</w:t>
      </w:r>
      <w:r w:rsidR="00A83446" w:rsidRPr="00E71CCE">
        <w:t>,</w:t>
      </w:r>
      <w:r w:rsidR="00A83446">
        <w:t xml:space="preserve"> kā arī </w:t>
      </w:r>
      <w:r w:rsidR="00A83446" w:rsidRPr="00E71CCE">
        <w:t>tiesne</w:t>
      </w:r>
      <w:r w:rsidR="00A83446">
        <w:t>šiem</w:t>
      </w:r>
      <w:r w:rsidR="00A83446" w:rsidRPr="00E71CCE">
        <w:t xml:space="preserve"> </w:t>
      </w:r>
      <w:r w:rsidR="00632FDB">
        <w:rPr>
          <w:rFonts w:asciiTheme="majorBidi" w:hAnsiTheme="majorBidi" w:cstheme="majorBidi"/>
        </w:rPr>
        <w:t>[pers. C], [pers. D]</w:t>
      </w:r>
      <w:r w:rsidR="00975B2E">
        <w:t xml:space="preserve">. Taču </w:t>
      </w:r>
      <w:r w:rsidR="00A83446">
        <w:t xml:space="preserve">tiesai </w:t>
      </w:r>
      <w:r w:rsidR="00975B2E">
        <w:t xml:space="preserve">pieteicējs ir iesniedzis tikai vienu iesniegumu, kurā ir lūdzis izvērtēt: 1) vai </w:t>
      </w:r>
      <w:r w:rsidR="00975B2E" w:rsidRPr="00E71CCE">
        <w:t>zvērinātas tiesu izpildītājas A</w:t>
      </w:r>
      <w:r w:rsidR="00975B2E">
        <w:t>. </w:t>
      </w:r>
      <w:r w:rsidR="00975B2E" w:rsidRPr="00E71CCE">
        <w:t>Kalniņas darbīb</w:t>
      </w:r>
      <w:r w:rsidR="00975B2E">
        <w:t>a, turpinot izsoles norisi, atbilst tiesību normām un samērīguma principa</w:t>
      </w:r>
      <w:r w:rsidR="00A83446">
        <w:t xml:space="preserve"> un </w:t>
      </w:r>
      <w:r w:rsidR="00975B2E">
        <w:t>2) </w:t>
      </w:r>
      <w:r w:rsidR="00975B2E" w:rsidRPr="00E71CCE">
        <w:t>nodrošināt izsoles apturēšanu</w:t>
      </w:r>
      <w:r w:rsidR="00975B2E">
        <w:t xml:space="preserve"> līdz brīdim, kad tiesa būs pieņēmusi lēmumu par pagaidu aizsardzības piemērošanu</w:t>
      </w:r>
      <w:r w:rsidR="00975B2E" w:rsidRPr="00E71CCE">
        <w:t>.</w:t>
      </w:r>
    </w:p>
    <w:p w14:paraId="2FD76F2E" w14:textId="77777777" w:rsidR="00A83446" w:rsidRDefault="00A83446" w:rsidP="00053491">
      <w:pPr>
        <w:spacing w:line="276" w:lineRule="auto"/>
        <w:ind w:firstLine="720"/>
        <w:contextualSpacing/>
        <w:jc w:val="both"/>
      </w:pPr>
    </w:p>
    <w:p w14:paraId="555D84DE" w14:textId="07E1FE3D" w:rsidR="00AF2C42" w:rsidRDefault="00A83446" w:rsidP="00053491">
      <w:pPr>
        <w:spacing w:line="276" w:lineRule="auto"/>
        <w:ind w:firstLine="720"/>
        <w:contextualSpacing/>
        <w:jc w:val="both"/>
        <w:rPr>
          <w:color w:val="000000"/>
        </w:rPr>
      </w:pPr>
      <w:r>
        <w:t>[6] T</w:t>
      </w:r>
      <w:r w:rsidR="00AF2C42">
        <w:rPr>
          <w:color w:val="000000"/>
        </w:rPr>
        <w:t xml:space="preserve">iesnesis lēmumā </w:t>
      </w:r>
      <w:r w:rsidR="00E11C1F">
        <w:rPr>
          <w:color w:val="000000"/>
        </w:rPr>
        <w:t>secināja, ka</w:t>
      </w:r>
      <w:r w:rsidR="00AF2C42">
        <w:rPr>
          <w:color w:val="000000"/>
        </w:rPr>
        <w:t xml:space="preserve"> pieteicēja </w:t>
      </w:r>
      <w:r w:rsidR="00AF2C42" w:rsidRPr="00E71CCE">
        <w:rPr>
          <w:color w:val="000000"/>
        </w:rPr>
        <w:t>mērķis</w:t>
      </w:r>
      <w:r>
        <w:rPr>
          <w:color w:val="000000"/>
        </w:rPr>
        <w:t>, vēršoties iestādē, bija panākt, lai tiktu izvērtēts</w:t>
      </w:r>
      <w:r w:rsidR="00AF2C42" w:rsidRPr="00E71CCE">
        <w:rPr>
          <w:color w:val="000000"/>
        </w:rPr>
        <w:t xml:space="preserve"> zvērināta tiesu izpildītāja darbības tiesiskum</w:t>
      </w:r>
      <w:r>
        <w:rPr>
          <w:color w:val="000000"/>
        </w:rPr>
        <w:t xml:space="preserve">s. Tiesnesis </w:t>
      </w:r>
      <w:r w:rsidR="00E11C1F">
        <w:rPr>
          <w:color w:val="000000"/>
        </w:rPr>
        <w:t>norādīja</w:t>
      </w:r>
      <w:r w:rsidR="00AF2C42">
        <w:rPr>
          <w:color w:val="000000"/>
        </w:rPr>
        <w:t>, ka sūdzība par zvērināta tiesu izpildītāja darbībām ir iesniedzama Civilprocesa likuma kārtībā vispārējās jurisdikcijas tiesā.</w:t>
      </w:r>
    </w:p>
    <w:p w14:paraId="503F5264" w14:textId="25ED8B64" w:rsidR="00A83446" w:rsidRDefault="00A83446" w:rsidP="00053491">
      <w:pPr>
        <w:spacing w:line="276" w:lineRule="auto"/>
        <w:ind w:firstLine="720"/>
        <w:contextualSpacing/>
        <w:jc w:val="both"/>
        <w:rPr>
          <w:color w:val="000000"/>
        </w:rPr>
      </w:pPr>
      <w:r>
        <w:rPr>
          <w:color w:val="000000"/>
        </w:rPr>
        <w:t>Tiesneša lēmums šajā daļā attiecīb</w:t>
      </w:r>
      <w:r w:rsidR="00EA6E88">
        <w:rPr>
          <w:color w:val="000000"/>
        </w:rPr>
        <w:t>ā</w:t>
      </w:r>
      <w:r>
        <w:rPr>
          <w:color w:val="000000"/>
        </w:rPr>
        <w:t xml:space="preserve"> uz prasījumu, kas saistīts ar pieteicēja lūgumu apturēt konkrētas izsoles gaitu, ir pareizs.</w:t>
      </w:r>
    </w:p>
    <w:p w14:paraId="16914033" w14:textId="77777777" w:rsidR="00A83446" w:rsidRDefault="00A83446" w:rsidP="00053491">
      <w:pPr>
        <w:spacing w:line="276" w:lineRule="auto"/>
        <w:ind w:firstLine="720"/>
        <w:contextualSpacing/>
        <w:jc w:val="both"/>
        <w:rPr>
          <w:color w:val="000000"/>
        </w:rPr>
      </w:pPr>
    </w:p>
    <w:p w14:paraId="49F2DF30" w14:textId="10BA0050" w:rsidR="00424EFE" w:rsidRDefault="00A83446" w:rsidP="00053491">
      <w:pPr>
        <w:spacing w:line="276" w:lineRule="auto"/>
        <w:ind w:firstLine="720"/>
        <w:contextualSpacing/>
        <w:jc w:val="both"/>
        <w:rPr>
          <w:color w:val="000000"/>
        </w:rPr>
      </w:pPr>
      <w:r>
        <w:rPr>
          <w:color w:val="000000"/>
        </w:rPr>
        <w:t>[7] </w:t>
      </w:r>
      <w:r w:rsidR="00360624">
        <w:rPr>
          <w:color w:val="000000"/>
        </w:rPr>
        <w:t xml:space="preserve">Pieteicējs </w:t>
      </w:r>
      <w:r w:rsidR="00AB5A37">
        <w:rPr>
          <w:color w:val="000000"/>
        </w:rPr>
        <w:t xml:space="preserve">blakus sūdzībā </w:t>
      </w:r>
      <w:r w:rsidR="00360624">
        <w:rPr>
          <w:color w:val="000000"/>
        </w:rPr>
        <w:t>norāda, ka tiesā strīds nav par zvērināta tiesu izpildītāja darbībām, bet gan par Tieslietu ministrijas faktisko rīcību un atbildes nesniegšanu uz iesniegumu pēc būtības</w:t>
      </w:r>
      <w:r w:rsidR="00AB5A37">
        <w:rPr>
          <w:color w:val="000000"/>
        </w:rPr>
        <w:t xml:space="preserve"> atbilstoši Iesniegumu likumam</w:t>
      </w:r>
      <w:r w:rsidR="00360624">
        <w:rPr>
          <w:color w:val="000000"/>
        </w:rPr>
        <w:t>.</w:t>
      </w:r>
    </w:p>
    <w:p w14:paraId="01F880E8" w14:textId="1DD6AFCD" w:rsidR="00AF2C42" w:rsidRDefault="000D2A98" w:rsidP="00053491">
      <w:pPr>
        <w:tabs>
          <w:tab w:val="left" w:pos="1276"/>
        </w:tabs>
        <w:spacing w:line="276" w:lineRule="auto"/>
        <w:ind w:firstLine="720"/>
        <w:contextualSpacing/>
        <w:jc w:val="both"/>
        <w:rPr>
          <w:rFonts w:asciiTheme="majorBidi" w:hAnsiTheme="majorBidi" w:cstheme="majorBidi"/>
          <w:bCs/>
        </w:rPr>
      </w:pPr>
      <w:r w:rsidRPr="000D2A98">
        <w:rPr>
          <w:rFonts w:asciiTheme="majorBidi" w:hAnsiTheme="majorBidi" w:cstheme="majorBidi"/>
          <w:bCs/>
        </w:rPr>
        <w:t>Tiesnesis</w:t>
      </w:r>
      <w:r w:rsidR="00F3531A">
        <w:rPr>
          <w:rFonts w:asciiTheme="majorBidi" w:hAnsiTheme="majorBidi" w:cstheme="majorBidi"/>
          <w:bCs/>
        </w:rPr>
        <w:t xml:space="preserve"> lēmumā</w:t>
      </w:r>
      <w:r w:rsidRPr="000D2A98">
        <w:rPr>
          <w:rFonts w:asciiTheme="majorBidi" w:hAnsiTheme="majorBidi" w:cstheme="majorBidi"/>
          <w:bCs/>
        </w:rPr>
        <w:t xml:space="preserve"> uzsvēris to, ka Iesniegumu likuma mērķis ir privātpersonu līdzdalība valsts pārvaldē.</w:t>
      </w:r>
      <w:r>
        <w:rPr>
          <w:rFonts w:asciiTheme="majorBidi" w:hAnsiTheme="majorBidi" w:cstheme="majorBidi"/>
          <w:bCs/>
        </w:rPr>
        <w:t xml:space="preserve"> </w:t>
      </w:r>
      <w:r w:rsidR="00AB5A37" w:rsidRPr="00AB5A37">
        <w:rPr>
          <w:rFonts w:asciiTheme="majorBidi" w:hAnsiTheme="majorBidi" w:cstheme="majorBidi"/>
        </w:rPr>
        <w:t xml:space="preserve">Taču tiesnesis nav ņēmis vērā, ka Iesnieguma likuma mērķa izpratnē </w:t>
      </w:r>
      <w:r w:rsidR="00AB5A37" w:rsidRPr="00AB5A37">
        <w:rPr>
          <w:rFonts w:asciiTheme="majorBidi" w:hAnsiTheme="majorBidi" w:cstheme="majorBidi"/>
          <w:bCs/>
        </w:rPr>
        <w:t>likumdevējs līdzdalību valsts pārvaldē saskata tieši likumā nosauktajās iesaistes formās: ar privātpersonas iesniegtiem dokumentiem, kuros ietverts iestādes kompetencē esošs lūgums, sūdzība, priekšlikums vai jautājums (</w:t>
      </w:r>
      <w:r w:rsidR="00AB5A37" w:rsidRPr="00AB5A37">
        <w:rPr>
          <w:rFonts w:asciiTheme="majorBidi" w:hAnsiTheme="majorBidi" w:cstheme="majorBidi"/>
          <w:bCs/>
          <w:i/>
          <w:iCs/>
        </w:rPr>
        <w:t>Iesniegumu likuma 2.panta pirmā daļa</w:t>
      </w:r>
      <w:r w:rsidR="00AB5A37" w:rsidRPr="00AB5A37">
        <w:rPr>
          <w:rFonts w:asciiTheme="majorBidi" w:hAnsiTheme="majorBidi" w:cstheme="majorBidi"/>
          <w:bCs/>
        </w:rPr>
        <w:t>).</w:t>
      </w:r>
    </w:p>
    <w:p w14:paraId="7FA1023F" w14:textId="307D8585" w:rsidR="00AB5A37" w:rsidRDefault="00AB5A37" w:rsidP="00053491">
      <w:pPr>
        <w:tabs>
          <w:tab w:val="left" w:pos="1276"/>
        </w:tabs>
        <w:spacing w:line="276" w:lineRule="auto"/>
        <w:ind w:firstLine="720"/>
        <w:contextualSpacing/>
        <w:jc w:val="both"/>
        <w:rPr>
          <w:rFonts w:asciiTheme="majorBidi" w:hAnsiTheme="majorBidi" w:cstheme="majorBidi"/>
          <w:bCs/>
        </w:rPr>
      </w:pPr>
      <w:r w:rsidRPr="00AB5A37">
        <w:rPr>
          <w:rFonts w:asciiTheme="majorBidi" w:hAnsiTheme="majorBidi" w:cstheme="majorBidi"/>
        </w:rPr>
        <w:t>Sūdzības ir likumā tieši norādīts privātās iniciatīvas veids. Kā rāda iestāžu un tiesu prakse, nereti tieši personu sūdzības var izrādīties vērtīgs informācijas avots trūkumu un pārkāpumu identificēšanai valsts pārvaldes darbībā, un to izskatīšana var būt impulss šādu trūkumu novēršanai un pārkāpumu atklāšanai.</w:t>
      </w:r>
      <w:r>
        <w:rPr>
          <w:rFonts w:asciiTheme="majorBidi" w:hAnsiTheme="majorBidi" w:cstheme="majorBidi"/>
        </w:rPr>
        <w:t xml:space="preserve"> </w:t>
      </w:r>
      <w:r w:rsidRPr="00AB5A37">
        <w:rPr>
          <w:rFonts w:asciiTheme="majorBidi" w:hAnsiTheme="majorBidi" w:cstheme="majorBidi"/>
          <w:bCs/>
        </w:rPr>
        <w:t>Līdz ar to Senāts noraida argumentu, ka, tiklīdz personai ir kāda saistība ar konkrētu lietu un individuāla interese, tas izslēgtu Iesniegumu likuma piemērošanu (</w:t>
      </w:r>
      <w:r>
        <w:rPr>
          <w:rFonts w:asciiTheme="majorBidi" w:hAnsiTheme="majorBidi" w:cstheme="majorBidi"/>
          <w:bCs/>
        </w:rPr>
        <w:t xml:space="preserve">sal. </w:t>
      </w:r>
      <w:r w:rsidRPr="00277C64">
        <w:rPr>
          <w:rFonts w:asciiTheme="majorBidi" w:hAnsiTheme="majorBidi" w:cstheme="majorBidi"/>
          <w:bCs/>
          <w:i/>
          <w:iCs/>
        </w:rPr>
        <w:t xml:space="preserve">Senāta 2021.gada 21.maija lēmuma lietā </w:t>
      </w:r>
      <w:r w:rsidRPr="000D2A98">
        <w:rPr>
          <w:rFonts w:asciiTheme="majorBidi" w:hAnsiTheme="majorBidi" w:cstheme="majorBidi"/>
          <w:bCs/>
          <w:i/>
          <w:iCs/>
        </w:rPr>
        <w:t>Nr. SKA</w:t>
      </w:r>
      <w:r w:rsidRPr="000D2A98">
        <w:rPr>
          <w:rFonts w:asciiTheme="majorBidi" w:hAnsiTheme="majorBidi" w:cstheme="majorBidi"/>
          <w:bCs/>
          <w:i/>
          <w:iCs/>
        </w:rPr>
        <w:noBreakHyphen/>
        <w:t>932/2021</w:t>
      </w:r>
      <w:r w:rsidRPr="00277C64">
        <w:rPr>
          <w:rFonts w:asciiTheme="majorBidi" w:hAnsiTheme="majorBidi" w:cstheme="majorBidi"/>
          <w:bCs/>
          <w:i/>
          <w:iCs/>
        </w:rPr>
        <w:t xml:space="preserve">, </w:t>
      </w:r>
      <w:hyperlink r:id="rId9" w:history="1">
        <w:r w:rsidRPr="000D2A98">
          <w:rPr>
            <w:rStyle w:val="Hyperlink"/>
            <w:rFonts w:asciiTheme="majorBidi" w:hAnsiTheme="majorBidi" w:cstheme="majorBidi"/>
            <w:bCs/>
            <w:i/>
            <w:iCs/>
          </w:rPr>
          <w:t>ECLI:LV:AT:2021:0521.SKA093221.3.L</w:t>
        </w:r>
      </w:hyperlink>
      <w:r w:rsidRPr="00277C64">
        <w:rPr>
          <w:rFonts w:asciiTheme="majorBidi" w:hAnsiTheme="majorBidi" w:cstheme="majorBidi"/>
          <w:bCs/>
          <w:i/>
          <w:iCs/>
        </w:rPr>
        <w:t>, 11.punkts</w:t>
      </w:r>
      <w:r>
        <w:rPr>
          <w:rFonts w:asciiTheme="majorBidi" w:hAnsiTheme="majorBidi" w:cstheme="majorBidi"/>
          <w:bCs/>
        </w:rPr>
        <w:t>).</w:t>
      </w:r>
    </w:p>
    <w:p w14:paraId="19143CFD" w14:textId="5F6FA13D" w:rsidR="000D2A98" w:rsidRDefault="000D2A98" w:rsidP="00053491">
      <w:pPr>
        <w:tabs>
          <w:tab w:val="left" w:pos="1276"/>
        </w:tabs>
        <w:spacing w:line="276" w:lineRule="auto"/>
        <w:ind w:firstLine="720"/>
        <w:contextualSpacing/>
        <w:jc w:val="both"/>
        <w:rPr>
          <w:rFonts w:asciiTheme="majorBidi" w:hAnsiTheme="majorBidi" w:cstheme="majorBidi"/>
          <w:bCs/>
        </w:rPr>
      </w:pPr>
      <w:r>
        <w:rPr>
          <w:rFonts w:asciiTheme="majorBidi" w:hAnsiTheme="majorBidi" w:cstheme="majorBidi"/>
          <w:bCs/>
        </w:rPr>
        <w:t>Ir būtiski, lai tiktu nošķirti iesniegumi, kuru vienīgais mērķis ir patiešām noregulēt konkrētas tiesiskās attiecības. Pareiza nošķiršana ir vajadzīga visupirms tādēļ, lai persona pienācīgā procesā efektīvi risinātu savas tiesiskās intereses, panākot konkrētas tiesiskās sekas. Šādas konkrētas tiesiskās sekas var tikt panāktas gan administratīvajā procesā (un tad pieteikums par to ir izskatāms administratīvā procesa kārtībā) vai citā procesā (piemēram, kriminālprocesā), vai arī atsevišķos gadījumos vispār netikt aizsargātas tieši tiesas ceļā (piemēram, vēlme panākt konkrētu tiesībsarga rīcību vai likuma pieņemšanu Saeimā, kas nav tiesā aizsargājamas tiesības</w:t>
      </w:r>
      <w:r w:rsidRPr="000D2A98">
        <w:rPr>
          <w:rFonts w:asciiTheme="majorBidi" w:hAnsiTheme="majorBidi" w:cstheme="majorBidi"/>
          <w:bCs/>
        </w:rPr>
        <w:t>). Savukārt citu iesniegumu – ar vispārīgāku vai uz konkrētām sekām nevērstu raksturu, tostarp sūdzību – izskatīšana ir iespējama Iesniegumu likumā paredzētajā kārtībā, personai par to noteiktos gadījumos saņemot atbildi. Tādējādi, kā Senāts jau iepriekš ir skaidrojis, Iesniegumu likums ir attiecināms uz visiem tiem gadījumiem, kad privātpersona vēršas iestādē ar lūgumu, sūdzību, priekšlikumu vai jautājumu, kas ietilpst attiecīgās iestādes kompetences jomā, un iesnieguma izskatīšanu neregulē kāds cits likums (</w:t>
      </w:r>
      <w:r w:rsidRPr="000D2A98">
        <w:rPr>
          <w:rFonts w:asciiTheme="majorBidi" w:hAnsiTheme="majorBidi" w:cstheme="majorBidi"/>
          <w:bCs/>
          <w:i/>
          <w:iCs/>
        </w:rPr>
        <w:t>Senāta 2021.gada 21.maija lēmuma lietā Nr. SKA</w:t>
      </w:r>
      <w:r w:rsidRPr="000D2A98">
        <w:rPr>
          <w:rFonts w:asciiTheme="majorBidi" w:hAnsiTheme="majorBidi" w:cstheme="majorBidi"/>
          <w:bCs/>
          <w:i/>
          <w:iCs/>
        </w:rPr>
        <w:noBreakHyphen/>
        <w:t>932/2021</w:t>
      </w:r>
      <w:r w:rsidRPr="00277C64">
        <w:rPr>
          <w:rFonts w:asciiTheme="majorBidi" w:hAnsiTheme="majorBidi" w:cstheme="majorBidi"/>
          <w:bCs/>
          <w:i/>
          <w:iCs/>
        </w:rPr>
        <w:t xml:space="preserve">, </w:t>
      </w:r>
      <w:hyperlink r:id="rId10" w:history="1">
        <w:r w:rsidRPr="000D2A98">
          <w:rPr>
            <w:rStyle w:val="Hyperlink"/>
            <w:rFonts w:asciiTheme="majorBidi" w:hAnsiTheme="majorBidi" w:cstheme="majorBidi"/>
            <w:bCs/>
            <w:i/>
            <w:iCs/>
          </w:rPr>
          <w:t>ECLI:LV:AT:2021:0521.SKA093221.3.L</w:t>
        </w:r>
      </w:hyperlink>
      <w:r w:rsidRPr="00277C64">
        <w:rPr>
          <w:rFonts w:asciiTheme="majorBidi" w:hAnsiTheme="majorBidi" w:cstheme="majorBidi"/>
          <w:bCs/>
          <w:i/>
          <w:iCs/>
        </w:rPr>
        <w:t>, 1</w:t>
      </w:r>
      <w:r>
        <w:rPr>
          <w:rFonts w:asciiTheme="majorBidi" w:hAnsiTheme="majorBidi" w:cstheme="majorBidi"/>
          <w:bCs/>
          <w:i/>
          <w:iCs/>
        </w:rPr>
        <w:t>2</w:t>
      </w:r>
      <w:r w:rsidRPr="00277C64">
        <w:rPr>
          <w:rFonts w:asciiTheme="majorBidi" w:hAnsiTheme="majorBidi" w:cstheme="majorBidi"/>
          <w:bCs/>
          <w:i/>
          <w:iCs/>
        </w:rPr>
        <w:t>.punkts</w:t>
      </w:r>
      <w:r w:rsidRPr="006A5B1F">
        <w:rPr>
          <w:rFonts w:asciiTheme="majorBidi" w:hAnsiTheme="majorBidi" w:cstheme="majorBidi"/>
          <w:bCs/>
        </w:rPr>
        <w:t>).</w:t>
      </w:r>
    </w:p>
    <w:p w14:paraId="35380C0A" w14:textId="77777777" w:rsidR="000D2A98" w:rsidRDefault="000D2A98" w:rsidP="00053491">
      <w:pPr>
        <w:tabs>
          <w:tab w:val="left" w:pos="1276"/>
        </w:tabs>
        <w:spacing w:line="276" w:lineRule="auto"/>
        <w:ind w:firstLine="720"/>
        <w:contextualSpacing/>
        <w:jc w:val="both"/>
        <w:rPr>
          <w:rFonts w:asciiTheme="majorBidi" w:hAnsiTheme="majorBidi" w:cstheme="majorBidi"/>
          <w:bCs/>
        </w:rPr>
      </w:pPr>
    </w:p>
    <w:p w14:paraId="2CAFA263" w14:textId="4291E922" w:rsidR="00E11C1F" w:rsidRDefault="000D2A98" w:rsidP="00053491">
      <w:pPr>
        <w:tabs>
          <w:tab w:val="left" w:pos="1276"/>
        </w:tabs>
        <w:spacing w:line="276" w:lineRule="auto"/>
        <w:ind w:firstLine="720"/>
        <w:contextualSpacing/>
        <w:jc w:val="both"/>
        <w:rPr>
          <w:color w:val="000000"/>
        </w:rPr>
      </w:pPr>
      <w:r>
        <w:rPr>
          <w:rFonts w:asciiTheme="majorBidi" w:hAnsiTheme="majorBidi" w:cstheme="majorBidi"/>
        </w:rPr>
        <w:t>[</w:t>
      </w:r>
      <w:r w:rsidR="00F3531A">
        <w:rPr>
          <w:rFonts w:asciiTheme="majorBidi" w:hAnsiTheme="majorBidi" w:cstheme="majorBidi"/>
        </w:rPr>
        <w:t>8</w:t>
      </w:r>
      <w:r>
        <w:rPr>
          <w:rFonts w:asciiTheme="majorBidi" w:hAnsiTheme="majorBidi" w:cstheme="majorBidi"/>
        </w:rPr>
        <w:t>] </w:t>
      </w:r>
      <w:r w:rsidRPr="000D2A98">
        <w:rPr>
          <w:rFonts w:asciiTheme="majorBidi" w:hAnsiTheme="majorBidi" w:cstheme="majorBidi"/>
          <w:bCs/>
        </w:rPr>
        <w:t>Šajā gadījumā pieteicējs ir vērsies Tieslietu ministrijā ar sūdzīb</w:t>
      </w:r>
      <w:r w:rsidR="00F3531A">
        <w:rPr>
          <w:rFonts w:asciiTheme="majorBidi" w:hAnsiTheme="majorBidi" w:cstheme="majorBidi"/>
          <w:bCs/>
        </w:rPr>
        <w:t>u</w:t>
      </w:r>
      <w:r w:rsidRPr="000D2A98">
        <w:rPr>
          <w:rFonts w:asciiTheme="majorBidi" w:hAnsiTheme="majorBidi" w:cstheme="majorBidi"/>
          <w:bCs/>
        </w:rPr>
        <w:t xml:space="preserve"> par </w:t>
      </w:r>
      <w:r w:rsidR="000559A8">
        <w:rPr>
          <w:rFonts w:asciiTheme="majorBidi" w:hAnsiTheme="majorBidi" w:cstheme="majorBidi"/>
          <w:bCs/>
        </w:rPr>
        <w:t>zvērināt</w:t>
      </w:r>
      <w:r w:rsidR="00070236">
        <w:rPr>
          <w:rFonts w:asciiTheme="majorBidi" w:hAnsiTheme="majorBidi" w:cstheme="majorBidi"/>
          <w:bCs/>
        </w:rPr>
        <w:t>a</w:t>
      </w:r>
      <w:r w:rsidR="000559A8">
        <w:rPr>
          <w:rFonts w:asciiTheme="majorBidi" w:hAnsiTheme="majorBidi" w:cstheme="majorBidi"/>
          <w:bCs/>
        </w:rPr>
        <w:t xml:space="preserve"> tiesu izpildītāj</w:t>
      </w:r>
      <w:r w:rsidR="00EA6E88">
        <w:rPr>
          <w:rFonts w:asciiTheme="majorBidi" w:hAnsiTheme="majorBidi" w:cstheme="majorBidi"/>
          <w:bCs/>
        </w:rPr>
        <w:t>a</w:t>
      </w:r>
      <w:r w:rsidRPr="000D2A98">
        <w:rPr>
          <w:rFonts w:asciiTheme="majorBidi" w:hAnsiTheme="majorBidi" w:cstheme="majorBidi"/>
          <w:bCs/>
        </w:rPr>
        <w:t xml:space="preserve"> darbībām.</w:t>
      </w:r>
      <w:r w:rsidR="00E11C1F">
        <w:rPr>
          <w:rFonts w:asciiTheme="majorBidi" w:hAnsiTheme="majorBidi" w:cstheme="majorBidi"/>
          <w:bCs/>
        </w:rPr>
        <w:t xml:space="preserve"> </w:t>
      </w:r>
      <w:r w:rsidR="00E11C1F" w:rsidRPr="00005706">
        <w:rPr>
          <w:color w:val="000000"/>
        </w:rPr>
        <w:t xml:space="preserve">Pieteicējs iesniegumā </w:t>
      </w:r>
      <w:r w:rsidR="00070236" w:rsidRPr="000D2A98">
        <w:rPr>
          <w:rFonts w:asciiTheme="majorBidi" w:hAnsiTheme="majorBidi" w:cstheme="majorBidi"/>
          <w:bCs/>
        </w:rPr>
        <w:t>ministrij</w:t>
      </w:r>
      <w:r w:rsidR="00070236">
        <w:rPr>
          <w:rFonts w:asciiTheme="majorBidi" w:hAnsiTheme="majorBidi" w:cstheme="majorBidi"/>
          <w:bCs/>
        </w:rPr>
        <w:t>ai</w:t>
      </w:r>
      <w:r w:rsidR="00070236" w:rsidRPr="000D2A98">
        <w:rPr>
          <w:rFonts w:asciiTheme="majorBidi" w:hAnsiTheme="majorBidi" w:cstheme="majorBidi"/>
          <w:bCs/>
        </w:rPr>
        <w:t xml:space="preserve"> </w:t>
      </w:r>
      <w:r w:rsidR="00E11C1F">
        <w:rPr>
          <w:color w:val="000000"/>
        </w:rPr>
        <w:t>tostarp lūdza</w:t>
      </w:r>
      <w:r w:rsidR="00E11C1F" w:rsidRPr="00005706">
        <w:rPr>
          <w:color w:val="000000"/>
        </w:rPr>
        <w:t xml:space="preserve"> izvērtēt</w:t>
      </w:r>
      <w:r w:rsidR="00E11C1F">
        <w:rPr>
          <w:color w:val="000000"/>
        </w:rPr>
        <w:t>,</w:t>
      </w:r>
      <w:r w:rsidR="00E11C1F" w:rsidRPr="00005706">
        <w:rPr>
          <w:color w:val="000000"/>
        </w:rPr>
        <w:t xml:space="preserve"> vai </w:t>
      </w:r>
      <w:r w:rsidR="00070236">
        <w:rPr>
          <w:rFonts w:asciiTheme="majorBidi" w:hAnsiTheme="majorBidi" w:cstheme="majorBidi"/>
          <w:bCs/>
        </w:rPr>
        <w:t xml:space="preserve">zvērināta </w:t>
      </w:r>
      <w:r w:rsidR="00E11C1F" w:rsidRPr="00005706">
        <w:rPr>
          <w:color w:val="000000"/>
        </w:rPr>
        <w:t>tiesu izpildītāja darbība</w:t>
      </w:r>
      <w:r w:rsidR="00070236">
        <w:rPr>
          <w:color w:val="000000"/>
        </w:rPr>
        <w:t>s</w:t>
      </w:r>
      <w:r w:rsidR="00E11C1F" w:rsidRPr="00005706">
        <w:rPr>
          <w:color w:val="000000"/>
        </w:rPr>
        <w:t>, turpinot izsoles norisi, atbilst tiesību normām un samērīguma principam.</w:t>
      </w:r>
    </w:p>
    <w:p w14:paraId="22675AA6" w14:textId="0D5C2497" w:rsidR="000D2A98" w:rsidRPr="000D2A98" w:rsidRDefault="00F3531A" w:rsidP="00053491">
      <w:pPr>
        <w:tabs>
          <w:tab w:val="left" w:pos="1276"/>
        </w:tabs>
        <w:spacing w:line="276" w:lineRule="auto"/>
        <w:ind w:firstLine="720"/>
        <w:contextualSpacing/>
        <w:jc w:val="both"/>
        <w:rPr>
          <w:rFonts w:asciiTheme="majorBidi" w:hAnsiTheme="majorBidi" w:cstheme="majorBidi"/>
          <w:bCs/>
        </w:rPr>
      </w:pPr>
      <w:r>
        <w:rPr>
          <w:rFonts w:asciiTheme="majorBidi" w:hAnsiTheme="majorBidi" w:cstheme="majorBidi"/>
          <w:bCs/>
        </w:rPr>
        <w:t xml:space="preserve">Kā jau tika minēts šā lēmuma 6.punktā, </w:t>
      </w:r>
      <w:r w:rsidR="000D2A98" w:rsidRPr="000D2A98">
        <w:rPr>
          <w:rFonts w:asciiTheme="majorBidi" w:hAnsiTheme="majorBidi" w:cstheme="majorBidi"/>
          <w:bCs/>
        </w:rPr>
        <w:t>tiesnesi</w:t>
      </w:r>
      <w:r>
        <w:rPr>
          <w:rFonts w:asciiTheme="majorBidi" w:hAnsiTheme="majorBidi" w:cstheme="majorBidi"/>
          <w:bCs/>
        </w:rPr>
        <w:t xml:space="preserve">s ir pareizi atzinis, </w:t>
      </w:r>
      <w:r w:rsidR="000D2A98" w:rsidRPr="000D2A98">
        <w:rPr>
          <w:rFonts w:asciiTheme="majorBidi" w:hAnsiTheme="majorBidi" w:cstheme="majorBidi"/>
          <w:bCs/>
        </w:rPr>
        <w:t xml:space="preserve">ka </w:t>
      </w:r>
      <w:r w:rsidR="00E11C1F">
        <w:rPr>
          <w:rFonts w:asciiTheme="majorBidi" w:hAnsiTheme="majorBidi" w:cstheme="majorBidi"/>
          <w:bCs/>
        </w:rPr>
        <w:t>zvērināta tiesu izpildītāja darbības tiesiskuma kontrole veicama civilprocesuālā kārtībā</w:t>
      </w:r>
      <w:r w:rsidR="000D2A98" w:rsidRPr="000D2A98">
        <w:rPr>
          <w:rFonts w:asciiTheme="majorBidi" w:hAnsiTheme="majorBidi" w:cstheme="majorBidi"/>
          <w:bCs/>
        </w:rPr>
        <w:t xml:space="preserve">. Taču – un šajā ziņā jāatgādina par nepieciešamību iepazīties ar pieteicēja iesniegumu saturu – no blakus sūdzības var spriest, ka pieteicēja </w:t>
      </w:r>
      <w:r>
        <w:rPr>
          <w:rFonts w:asciiTheme="majorBidi" w:hAnsiTheme="majorBidi" w:cstheme="majorBidi"/>
          <w:bCs/>
        </w:rPr>
        <w:t>iesnieguma</w:t>
      </w:r>
      <w:r w:rsidR="000D2A98" w:rsidRPr="000D2A98">
        <w:rPr>
          <w:rFonts w:asciiTheme="majorBidi" w:hAnsiTheme="majorBidi" w:cstheme="majorBidi"/>
          <w:bCs/>
        </w:rPr>
        <w:t xml:space="preserve"> nolūks ir uzrādīt informāciju par pārkāpumiem un lūgt palīdzību pieteicēja interešu aizsardzībai.</w:t>
      </w:r>
    </w:p>
    <w:p w14:paraId="611C7C60" w14:textId="53085FA7" w:rsidR="00F3531A" w:rsidRPr="00F3531A" w:rsidRDefault="000D2A98" w:rsidP="00053491">
      <w:pPr>
        <w:tabs>
          <w:tab w:val="left" w:pos="1276"/>
        </w:tabs>
        <w:spacing w:line="276" w:lineRule="auto"/>
        <w:ind w:firstLine="720"/>
        <w:contextualSpacing/>
        <w:jc w:val="both"/>
        <w:rPr>
          <w:rFonts w:asciiTheme="majorBidi" w:hAnsiTheme="majorBidi" w:cstheme="majorBidi"/>
          <w:bCs/>
        </w:rPr>
      </w:pPr>
      <w:r w:rsidRPr="000D2A98">
        <w:rPr>
          <w:rFonts w:asciiTheme="majorBidi" w:hAnsiTheme="majorBidi" w:cstheme="majorBidi"/>
          <w:bCs/>
        </w:rPr>
        <w:t xml:space="preserve">Tieslietu ministra kompetencē ir novērtēt iesnieguma saturu pilnībā un vajadzības gadījumā arī rīkoties, pieņemot lēmumus atbilstoši savai kompetencei. </w:t>
      </w:r>
      <w:r w:rsidR="00F3531A">
        <w:rPr>
          <w:rFonts w:asciiTheme="majorBidi" w:hAnsiTheme="majorBidi" w:cstheme="majorBidi"/>
          <w:bCs/>
        </w:rPr>
        <w:t xml:space="preserve">Piemēram, saskaņā ar Tiesu izpildītāju likuma 53.pantu </w:t>
      </w:r>
      <w:r w:rsidR="00F3531A" w:rsidRPr="00F3531A">
        <w:rPr>
          <w:rFonts w:asciiTheme="majorBidi" w:hAnsiTheme="majorBidi" w:cstheme="majorBidi"/>
          <w:bCs/>
        </w:rPr>
        <w:t>Tieslietu ministrs var ierosināt disciplinārlietu pret zvērinātu tiesu izpildītāju pēc personas sūdzības par zvērinātu tiesu izpildītāju darbību regulējošu normatīvo aktu būtisku pārkāpumu, kas radījis kaitējumu valsts vai privātpersonu interesēm.</w:t>
      </w:r>
    </w:p>
    <w:p w14:paraId="720D55F6" w14:textId="253F47EF" w:rsidR="000D2A98" w:rsidRPr="000D2A98" w:rsidRDefault="006E2B89" w:rsidP="00053491">
      <w:pPr>
        <w:tabs>
          <w:tab w:val="left" w:pos="1276"/>
        </w:tabs>
        <w:spacing w:line="276" w:lineRule="auto"/>
        <w:ind w:firstLine="720"/>
        <w:contextualSpacing/>
        <w:jc w:val="both"/>
        <w:rPr>
          <w:rFonts w:asciiTheme="majorBidi" w:hAnsiTheme="majorBidi" w:cstheme="majorBidi"/>
          <w:bCs/>
        </w:rPr>
      </w:pPr>
      <w:r>
        <w:rPr>
          <w:rFonts w:asciiTheme="majorBidi" w:hAnsiTheme="majorBidi" w:cstheme="majorBidi"/>
          <w:bCs/>
        </w:rPr>
        <w:t>Senāts vērš uzmanību, ka p</w:t>
      </w:r>
      <w:r w:rsidR="000D2A98" w:rsidRPr="000D2A98">
        <w:rPr>
          <w:rFonts w:asciiTheme="majorBidi" w:hAnsiTheme="majorBidi" w:cstheme="majorBidi"/>
          <w:bCs/>
        </w:rPr>
        <w:t>ersonai nav individuālu subjektīvo tiesību kā atbildi uz iesniegumu sagaidīt konkrēt</w:t>
      </w:r>
      <w:r>
        <w:rPr>
          <w:rFonts w:asciiTheme="majorBidi" w:hAnsiTheme="majorBidi" w:cstheme="majorBidi"/>
          <w:bCs/>
        </w:rPr>
        <w:t>u</w:t>
      </w:r>
      <w:r w:rsidR="000D2A98" w:rsidRPr="000D2A98">
        <w:rPr>
          <w:rFonts w:asciiTheme="majorBidi" w:hAnsiTheme="majorBidi" w:cstheme="majorBidi"/>
          <w:bCs/>
        </w:rPr>
        <w:t xml:space="preserve"> rīcīb</w:t>
      </w:r>
      <w:r>
        <w:rPr>
          <w:rFonts w:asciiTheme="majorBidi" w:hAnsiTheme="majorBidi" w:cstheme="majorBidi"/>
          <w:bCs/>
        </w:rPr>
        <w:t>u</w:t>
      </w:r>
      <w:r w:rsidR="000D2A98" w:rsidRPr="000D2A98">
        <w:rPr>
          <w:rFonts w:asciiTheme="majorBidi" w:hAnsiTheme="majorBidi" w:cstheme="majorBidi"/>
          <w:bCs/>
        </w:rPr>
        <w:t xml:space="preserve"> un pārmaiņas valsts pārvaldē</w:t>
      </w:r>
      <w:r>
        <w:rPr>
          <w:rFonts w:asciiTheme="majorBidi" w:hAnsiTheme="majorBidi" w:cstheme="majorBidi"/>
          <w:bCs/>
        </w:rPr>
        <w:t>, taču</w:t>
      </w:r>
      <w:r w:rsidR="000D2A98" w:rsidRPr="000D2A98">
        <w:rPr>
          <w:rFonts w:asciiTheme="majorBidi" w:hAnsiTheme="majorBidi" w:cstheme="majorBidi"/>
          <w:bCs/>
        </w:rPr>
        <w:t xml:space="preserve"> personai ir tiesības noteiktos gadījumos sagaidīt uz savu iesniegumu atbildi pēc būtības. Tomēr jebkurā gadījumā šāda rakstura iesniegumu pieņemšana, izskatīšana un atbildēšana uz tiem tieši atbilst Iesniegumu likuma mērķim. Iestādei atbilstoši Iesniegumu likuma 5.panta piektajai daļai ir pienākums norādīt apsvērumus par to iestādes vai amatpersonas rīcību, par kuru persona iestādei izteikusi aizrādījumus vai neapmierinātību.</w:t>
      </w:r>
    </w:p>
    <w:p w14:paraId="348CC06B" w14:textId="51833277" w:rsidR="000D2A98" w:rsidRDefault="000D2A98" w:rsidP="00053491">
      <w:pPr>
        <w:tabs>
          <w:tab w:val="left" w:pos="1276"/>
        </w:tabs>
        <w:spacing w:line="276" w:lineRule="auto"/>
        <w:ind w:firstLine="720"/>
        <w:contextualSpacing/>
        <w:jc w:val="both"/>
        <w:rPr>
          <w:rFonts w:asciiTheme="majorBidi" w:hAnsiTheme="majorBidi" w:cstheme="majorBidi"/>
          <w:bCs/>
        </w:rPr>
      </w:pPr>
      <w:r w:rsidRPr="000D2A98">
        <w:rPr>
          <w:rFonts w:asciiTheme="majorBidi" w:hAnsiTheme="majorBidi" w:cstheme="majorBidi"/>
          <w:bCs/>
        </w:rPr>
        <w:t>Pirmšķietami Senāts saskata, ka Tieslietu ministrija sniegusi tieši šāda rakstura atbildi uz pieteicēja iesniegumu, bet tiesā varētu būt izvērtējama atbildes atbilstība iesniegum</w:t>
      </w:r>
      <w:r w:rsidR="00EA6E88">
        <w:rPr>
          <w:rFonts w:asciiTheme="majorBidi" w:hAnsiTheme="majorBidi" w:cstheme="majorBidi"/>
          <w:bCs/>
        </w:rPr>
        <w:t>a</w:t>
      </w:r>
      <w:r w:rsidRPr="000D2A98">
        <w:rPr>
          <w:rFonts w:asciiTheme="majorBidi" w:hAnsiTheme="majorBidi" w:cstheme="majorBidi"/>
          <w:bCs/>
        </w:rPr>
        <w:t xml:space="preserve"> saturam. Tālāks un precīzs novērtējums tādā gadījumā būtu veicams Administratīvajā rajona tiesā.</w:t>
      </w:r>
    </w:p>
    <w:p w14:paraId="472754D6" w14:textId="77777777" w:rsidR="006E2B89" w:rsidRDefault="006E2B89" w:rsidP="00053491">
      <w:pPr>
        <w:tabs>
          <w:tab w:val="left" w:pos="1276"/>
        </w:tabs>
        <w:spacing w:line="276" w:lineRule="auto"/>
        <w:ind w:firstLine="720"/>
        <w:contextualSpacing/>
        <w:jc w:val="both"/>
        <w:rPr>
          <w:rFonts w:asciiTheme="majorBidi" w:hAnsiTheme="majorBidi" w:cstheme="majorBidi"/>
          <w:bCs/>
        </w:rPr>
      </w:pPr>
    </w:p>
    <w:p w14:paraId="3D28E275" w14:textId="7FEBB48B" w:rsidR="006E2B89" w:rsidRDefault="006E2B89" w:rsidP="00053491">
      <w:pPr>
        <w:tabs>
          <w:tab w:val="left" w:pos="1276"/>
        </w:tabs>
        <w:spacing w:line="276" w:lineRule="auto"/>
        <w:ind w:firstLine="720"/>
        <w:contextualSpacing/>
        <w:jc w:val="both"/>
      </w:pPr>
      <w:r w:rsidRPr="006E2B89">
        <w:rPr>
          <w:rFonts w:asciiTheme="majorBidi" w:hAnsiTheme="majorBidi" w:cstheme="majorBidi"/>
          <w:bCs/>
        </w:rPr>
        <w:t xml:space="preserve">[9] Attiecībā uz </w:t>
      </w:r>
      <w:r w:rsidRPr="006E2B89">
        <w:rPr>
          <w:lang w:eastAsia="lv-LV"/>
        </w:rPr>
        <w:t>pieteicēja lūgumu uzdot prejudiciālu jautājumu Eiropas Savienības Tiesai Senāts nevar sniegt atbildi, jo pieteicējs nav norādījis konkrētu jautājumu.</w:t>
      </w:r>
    </w:p>
    <w:p w14:paraId="0174C754" w14:textId="77777777" w:rsidR="000D227F" w:rsidRDefault="000D227F" w:rsidP="00053491">
      <w:pPr>
        <w:tabs>
          <w:tab w:val="left" w:pos="1276"/>
        </w:tabs>
        <w:spacing w:line="276" w:lineRule="auto"/>
        <w:ind w:firstLine="720"/>
        <w:contextualSpacing/>
        <w:jc w:val="both"/>
        <w:rPr>
          <w:rFonts w:asciiTheme="majorBidi" w:hAnsiTheme="majorBidi" w:cstheme="majorBidi"/>
        </w:rPr>
      </w:pPr>
    </w:p>
    <w:p w14:paraId="469F3ABF" w14:textId="3CE73CDA" w:rsidR="00485781" w:rsidRPr="00485781" w:rsidRDefault="00485781" w:rsidP="00053491">
      <w:pPr>
        <w:spacing w:line="276" w:lineRule="auto"/>
        <w:ind w:firstLine="720"/>
        <w:contextualSpacing/>
        <w:jc w:val="both"/>
        <w:rPr>
          <w:bCs/>
          <w:color w:val="000000"/>
        </w:rPr>
      </w:pPr>
      <w:r w:rsidRPr="00485781">
        <w:rPr>
          <w:bCs/>
          <w:color w:val="000000"/>
        </w:rPr>
        <w:t>[</w:t>
      </w:r>
      <w:r w:rsidR="006E2B89">
        <w:rPr>
          <w:bCs/>
          <w:color w:val="000000"/>
        </w:rPr>
        <w:t>10</w:t>
      </w:r>
      <w:r w:rsidRPr="00485781">
        <w:rPr>
          <w:bCs/>
          <w:color w:val="000000"/>
        </w:rPr>
        <w:t>]</w:t>
      </w:r>
      <w:r>
        <w:rPr>
          <w:bCs/>
          <w:color w:val="000000"/>
        </w:rPr>
        <w:t> </w:t>
      </w:r>
      <w:r w:rsidRPr="00485781">
        <w:rPr>
          <w:bCs/>
          <w:color w:val="000000"/>
        </w:rPr>
        <w:t xml:space="preserve">Ievērojot minēto, </w:t>
      </w:r>
      <w:r w:rsidR="006E2B89">
        <w:rPr>
          <w:bCs/>
          <w:color w:val="000000"/>
        </w:rPr>
        <w:t>Senāts atzīst, ka</w:t>
      </w:r>
      <w:r w:rsidRPr="00485781">
        <w:rPr>
          <w:bCs/>
          <w:color w:val="000000"/>
        </w:rPr>
        <w:t xml:space="preserve"> tiesneša lēmums ir atceļams</w:t>
      </w:r>
      <w:r w:rsidR="006E2B89">
        <w:rPr>
          <w:bCs/>
          <w:color w:val="000000"/>
        </w:rPr>
        <w:t xml:space="preserve"> daļā par Tieslietu ministrijas faktisko rīcību saistībā ar atbildi uz pieteicēja iesniegumu,</w:t>
      </w:r>
      <w:r w:rsidRPr="00485781">
        <w:rPr>
          <w:bCs/>
          <w:color w:val="000000"/>
        </w:rPr>
        <w:t xml:space="preserve"> </w:t>
      </w:r>
      <w:r w:rsidR="006E2B89">
        <w:rPr>
          <w:bCs/>
          <w:color w:val="000000"/>
        </w:rPr>
        <w:t>pārējā daļā atstājams negrozīts.</w:t>
      </w:r>
    </w:p>
    <w:p w14:paraId="659D7A24" w14:textId="77777777" w:rsidR="00485781" w:rsidRPr="00485781" w:rsidRDefault="00485781" w:rsidP="00053491">
      <w:pPr>
        <w:spacing w:line="276" w:lineRule="auto"/>
        <w:ind w:firstLine="720"/>
        <w:contextualSpacing/>
        <w:jc w:val="both"/>
        <w:rPr>
          <w:color w:val="000000"/>
        </w:rPr>
      </w:pPr>
    </w:p>
    <w:p w14:paraId="65639F3A" w14:textId="77777777" w:rsidR="00485781" w:rsidRPr="00485781" w:rsidRDefault="00485781" w:rsidP="00053491">
      <w:pPr>
        <w:tabs>
          <w:tab w:val="left" w:pos="1276"/>
        </w:tabs>
        <w:spacing w:line="276" w:lineRule="auto"/>
        <w:contextualSpacing/>
        <w:jc w:val="center"/>
        <w:rPr>
          <w:b/>
          <w:color w:val="000000"/>
        </w:rPr>
      </w:pPr>
      <w:r w:rsidRPr="00485781">
        <w:rPr>
          <w:b/>
        </w:rPr>
        <w:t>Rezolutīvā</w:t>
      </w:r>
      <w:r w:rsidRPr="00485781">
        <w:rPr>
          <w:b/>
          <w:color w:val="000000"/>
        </w:rPr>
        <w:t xml:space="preserve"> daļa</w:t>
      </w:r>
    </w:p>
    <w:p w14:paraId="39E06058" w14:textId="77777777" w:rsidR="00485781" w:rsidRPr="00485781" w:rsidRDefault="00485781" w:rsidP="00053491">
      <w:pPr>
        <w:spacing w:line="276" w:lineRule="auto"/>
        <w:ind w:firstLine="720"/>
        <w:contextualSpacing/>
        <w:jc w:val="both"/>
        <w:rPr>
          <w:bCs/>
          <w:color w:val="000000"/>
        </w:rPr>
      </w:pPr>
    </w:p>
    <w:p w14:paraId="6FDCD580" w14:textId="77777777" w:rsidR="00485781" w:rsidRPr="00485781" w:rsidRDefault="00485781" w:rsidP="00053491">
      <w:pPr>
        <w:spacing w:line="276" w:lineRule="auto"/>
        <w:ind w:firstLine="720"/>
        <w:contextualSpacing/>
        <w:jc w:val="both"/>
        <w:rPr>
          <w:color w:val="000000"/>
        </w:rPr>
      </w:pPr>
      <w:r w:rsidRPr="00485781">
        <w:rPr>
          <w:color w:val="000000"/>
        </w:rPr>
        <w:t>Pamatojoties uz Administratīvā procesa likuma 129.</w:t>
      </w:r>
      <w:r w:rsidRPr="00485781">
        <w:rPr>
          <w:color w:val="000000"/>
          <w:vertAlign w:val="superscript"/>
        </w:rPr>
        <w:t>1</w:t>
      </w:r>
      <w:r w:rsidRPr="00485781">
        <w:rPr>
          <w:color w:val="000000"/>
        </w:rPr>
        <w:t xml:space="preserve">panta pirmās daļas 1.punktu, 323.panta pirmās daļas 2.punktu un 324.panta pirmo daļu, Senāts </w:t>
      </w:r>
    </w:p>
    <w:p w14:paraId="05F77EEC" w14:textId="77777777" w:rsidR="00485781" w:rsidRPr="00485781" w:rsidRDefault="00485781" w:rsidP="00053491">
      <w:pPr>
        <w:spacing w:line="276" w:lineRule="auto"/>
        <w:ind w:firstLine="720"/>
        <w:contextualSpacing/>
        <w:jc w:val="both"/>
        <w:rPr>
          <w:color w:val="000000"/>
        </w:rPr>
      </w:pPr>
    </w:p>
    <w:p w14:paraId="02CCDB1C" w14:textId="77777777" w:rsidR="00485781" w:rsidRPr="00485781" w:rsidRDefault="00485781" w:rsidP="00053491">
      <w:pPr>
        <w:tabs>
          <w:tab w:val="left" w:pos="1276"/>
        </w:tabs>
        <w:spacing w:line="276" w:lineRule="auto"/>
        <w:contextualSpacing/>
        <w:jc w:val="center"/>
        <w:rPr>
          <w:b/>
          <w:color w:val="000000"/>
        </w:rPr>
      </w:pPr>
      <w:r w:rsidRPr="00485781">
        <w:rPr>
          <w:b/>
        </w:rPr>
        <w:t>nolēma</w:t>
      </w:r>
    </w:p>
    <w:p w14:paraId="07FE7D91" w14:textId="77777777" w:rsidR="00485781" w:rsidRPr="00485781" w:rsidRDefault="00485781" w:rsidP="00053491">
      <w:pPr>
        <w:spacing w:line="276" w:lineRule="auto"/>
        <w:ind w:firstLine="720"/>
        <w:contextualSpacing/>
        <w:jc w:val="both"/>
        <w:rPr>
          <w:bCs/>
          <w:color w:val="000000"/>
        </w:rPr>
      </w:pPr>
    </w:p>
    <w:p w14:paraId="4923E697" w14:textId="4611F52B" w:rsidR="00485781" w:rsidRDefault="00485781" w:rsidP="00053491">
      <w:pPr>
        <w:spacing w:line="276" w:lineRule="auto"/>
        <w:ind w:firstLine="720"/>
        <w:contextualSpacing/>
        <w:jc w:val="both"/>
        <w:rPr>
          <w:color w:val="000000"/>
        </w:rPr>
      </w:pPr>
      <w:r w:rsidRPr="00485781">
        <w:rPr>
          <w:color w:val="000000"/>
        </w:rPr>
        <w:t xml:space="preserve">atcelt Administratīvās rajona tiesas tiesneša </w:t>
      </w:r>
      <w:r w:rsidRPr="00B14E42">
        <w:rPr>
          <w:rFonts w:asciiTheme="majorBidi" w:hAnsiTheme="majorBidi" w:cstheme="majorBidi"/>
        </w:rPr>
        <w:t>202</w:t>
      </w:r>
      <w:r>
        <w:rPr>
          <w:rFonts w:asciiTheme="majorBidi" w:hAnsiTheme="majorBidi" w:cstheme="majorBidi"/>
        </w:rPr>
        <w:t>6</w:t>
      </w:r>
      <w:r w:rsidRPr="00B14E42">
        <w:rPr>
          <w:rFonts w:asciiTheme="majorBidi" w:hAnsiTheme="majorBidi" w:cstheme="majorBidi"/>
        </w:rPr>
        <w:t xml:space="preserve">.gada </w:t>
      </w:r>
      <w:r>
        <w:rPr>
          <w:rFonts w:asciiTheme="majorBidi" w:hAnsiTheme="majorBidi" w:cstheme="majorBidi"/>
        </w:rPr>
        <w:t>2</w:t>
      </w:r>
      <w:r w:rsidRPr="00B14E42">
        <w:rPr>
          <w:rFonts w:asciiTheme="majorBidi" w:hAnsiTheme="majorBidi" w:cstheme="majorBidi"/>
        </w:rPr>
        <w:t>.</w:t>
      </w:r>
      <w:r>
        <w:rPr>
          <w:rFonts w:asciiTheme="majorBidi" w:hAnsiTheme="majorBidi" w:cstheme="majorBidi"/>
        </w:rPr>
        <w:t>marta</w:t>
      </w:r>
      <w:r w:rsidRPr="00B14E42">
        <w:rPr>
          <w:rFonts w:asciiTheme="majorBidi" w:hAnsiTheme="majorBidi" w:cstheme="majorBidi"/>
        </w:rPr>
        <w:t xml:space="preserve"> </w:t>
      </w:r>
      <w:r w:rsidRPr="00485781">
        <w:rPr>
          <w:color w:val="000000"/>
        </w:rPr>
        <w:t>lēmumu</w:t>
      </w:r>
      <w:r w:rsidR="001F501D">
        <w:rPr>
          <w:color w:val="000000"/>
        </w:rPr>
        <w:t xml:space="preserve"> daļā par </w:t>
      </w:r>
      <w:r w:rsidR="001F501D">
        <w:rPr>
          <w:bCs/>
          <w:color w:val="000000"/>
        </w:rPr>
        <w:t>Tieslietu ministrijas faktisko rīcību saistībā ar atbild</w:t>
      </w:r>
      <w:r w:rsidR="00EA6E88">
        <w:rPr>
          <w:bCs/>
          <w:color w:val="000000"/>
        </w:rPr>
        <w:t>es pēc būtības sniegšanu</w:t>
      </w:r>
      <w:r w:rsidR="001F501D">
        <w:rPr>
          <w:bCs/>
          <w:color w:val="000000"/>
        </w:rPr>
        <w:t xml:space="preserve"> uz pieteicēja iesniegumu</w:t>
      </w:r>
      <w:r w:rsidRPr="00485781">
        <w:rPr>
          <w:color w:val="000000"/>
        </w:rPr>
        <w:t xml:space="preserve"> un nosūtīt jautājumu par pieteikuma virzību </w:t>
      </w:r>
      <w:r w:rsidR="001F501D">
        <w:rPr>
          <w:color w:val="000000"/>
        </w:rPr>
        <w:t xml:space="preserve">šajā daļā </w:t>
      </w:r>
      <w:r w:rsidRPr="00485781">
        <w:rPr>
          <w:color w:val="000000"/>
        </w:rPr>
        <w:t>jaunai izskatīšanai Administratīvajā rajona tiesā;</w:t>
      </w:r>
    </w:p>
    <w:p w14:paraId="4FF2A0D7" w14:textId="0D6D2136" w:rsidR="001F501D" w:rsidRPr="00485781" w:rsidRDefault="001F501D" w:rsidP="00053491">
      <w:pPr>
        <w:spacing w:line="276" w:lineRule="auto"/>
        <w:ind w:firstLine="720"/>
        <w:contextualSpacing/>
        <w:jc w:val="both"/>
        <w:rPr>
          <w:color w:val="000000"/>
        </w:rPr>
      </w:pPr>
      <w:r>
        <w:rPr>
          <w:color w:val="000000"/>
        </w:rPr>
        <w:t xml:space="preserve">atstāt negrozītu </w:t>
      </w:r>
      <w:r w:rsidRPr="00485781">
        <w:rPr>
          <w:color w:val="000000"/>
        </w:rPr>
        <w:t xml:space="preserve">Administratīvās rajona tiesas tiesneša </w:t>
      </w:r>
      <w:r w:rsidRPr="00B14E42">
        <w:rPr>
          <w:rFonts w:asciiTheme="majorBidi" w:hAnsiTheme="majorBidi" w:cstheme="majorBidi"/>
        </w:rPr>
        <w:t>202</w:t>
      </w:r>
      <w:r>
        <w:rPr>
          <w:rFonts w:asciiTheme="majorBidi" w:hAnsiTheme="majorBidi" w:cstheme="majorBidi"/>
        </w:rPr>
        <w:t>6</w:t>
      </w:r>
      <w:r w:rsidRPr="00B14E42">
        <w:rPr>
          <w:rFonts w:asciiTheme="majorBidi" w:hAnsiTheme="majorBidi" w:cstheme="majorBidi"/>
        </w:rPr>
        <w:t xml:space="preserve">.gada </w:t>
      </w:r>
      <w:r>
        <w:rPr>
          <w:rFonts w:asciiTheme="majorBidi" w:hAnsiTheme="majorBidi" w:cstheme="majorBidi"/>
        </w:rPr>
        <w:t>2</w:t>
      </w:r>
      <w:r w:rsidRPr="00B14E42">
        <w:rPr>
          <w:rFonts w:asciiTheme="majorBidi" w:hAnsiTheme="majorBidi" w:cstheme="majorBidi"/>
        </w:rPr>
        <w:t>.</w:t>
      </w:r>
      <w:r>
        <w:rPr>
          <w:rFonts w:asciiTheme="majorBidi" w:hAnsiTheme="majorBidi" w:cstheme="majorBidi"/>
        </w:rPr>
        <w:t>marta</w:t>
      </w:r>
      <w:r w:rsidRPr="00B14E42">
        <w:rPr>
          <w:rFonts w:asciiTheme="majorBidi" w:hAnsiTheme="majorBidi" w:cstheme="majorBidi"/>
        </w:rPr>
        <w:t xml:space="preserve"> </w:t>
      </w:r>
      <w:r w:rsidRPr="00485781">
        <w:rPr>
          <w:color w:val="000000"/>
        </w:rPr>
        <w:t>lēmumu</w:t>
      </w:r>
      <w:r>
        <w:rPr>
          <w:color w:val="000000"/>
        </w:rPr>
        <w:t xml:space="preserve"> pārējā daļā;</w:t>
      </w:r>
    </w:p>
    <w:p w14:paraId="01520132" w14:textId="69928912" w:rsidR="00485781" w:rsidRPr="00485781" w:rsidRDefault="00485781" w:rsidP="00053491">
      <w:pPr>
        <w:spacing w:line="276" w:lineRule="auto"/>
        <w:ind w:firstLine="720"/>
        <w:contextualSpacing/>
        <w:jc w:val="both"/>
        <w:rPr>
          <w:color w:val="000000"/>
        </w:rPr>
      </w:pPr>
      <w:r w:rsidRPr="00485781">
        <w:rPr>
          <w:color w:val="000000"/>
        </w:rPr>
        <w:t xml:space="preserve">atmaksāt </w:t>
      </w:r>
      <w:r w:rsidR="00632FDB">
        <w:rPr>
          <w:rFonts w:asciiTheme="majorBidi" w:hAnsiTheme="majorBidi" w:cstheme="majorBidi"/>
        </w:rPr>
        <w:t xml:space="preserve">[pers. A] </w:t>
      </w:r>
      <w:r w:rsidRPr="00485781">
        <w:rPr>
          <w:color w:val="000000"/>
        </w:rPr>
        <w:t>15 </w:t>
      </w:r>
      <w:r w:rsidRPr="00485781">
        <w:rPr>
          <w:i/>
          <w:iCs/>
          <w:color w:val="000000"/>
        </w:rPr>
        <w:t>euro</w:t>
      </w:r>
      <w:r w:rsidRPr="00485781">
        <w:rPr>
          <w:color w:val="000000"/>
        </w:rPr>
        <w:t xml:space="preserve"> drošības naudu, kas samaksāta par blakus sūdzības iesniegšanu.</w:t>
      </w:r>
    </w:p>
    <w:p w14:paraId="42049742" w14:textId="77777777" w:rsidR="00485781" w:rsidRPr="00485781" w:rsidRDefault="00485781" w:rsidP="00053491">
      <w:pPr>
        <w:spacing w:line="276" w:lineRule="auto"/>
        <w:ind w:firstLine="720"/>
        <w:contextualSpacing/>
        <w:jc w:val="both"/>
        <w:rPr>
          <w:color w:val="000000"/>
        </w:rPr>
      </w:pPr>
    </w:p>
    <w:p w14:paraId="452B8C61" w14:textId="77777777" w:rsidR="00485781" w:rsidRPr="00485781" w:rsidRDefault="00485781" w:rsidP="00053491">
      <w:pPr>
        <w:spacing w:line="276" w:lineRule="auto"/>
        <w:ind w:firstLine="720"/>
        <w:contextualSpacing/>
        <w:jc w:val="both"/>
        <w:rPr>
          <w:color w:val="000000"/>
        </w:rPr>
      </w:pPr>
      <w:r w:rsidRPr="00485781">
        <w:rPr>
          <w:color w:val="000000"/>
        </w:rPr>
        <w:t>Lēmums nav pārsūdzams.</w:t>
      </w:r>
    </w:p>
    <w:p w14:paraId="1DC169D9" w14:textId="77777777" w:rsidR="00B54F4B" w:rsidRPr="00BE7773" w:rsidRDefault="00B54F4B" w:rsidP="00053491">
      <w:pPr>
        <w:spacing w:line="276" w:lineRule="auto"/>
        <w:contextualSpacing/>
        <w:jc w:val="both"/>
        <w:rPr>
          <w:sz w:val="2"/>
          <w:szCs w:val="2"/>
        </w:rPr>
      </w:pPr>
    </w:p>
    <w:sectPr w:rsidR="00B54F4B" w:rsidRPr="00BE7773" w:rsidSect="00194C45">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F1C8" w14:textId="77777777" w:rsidR="003F198C" w:rsidRDefault="003F198C" w:rsidP="009F7ACE">
      <w:r>
        <w:separator/>
      </w:r>
    </w:p>
  </w:endnote>
  <w:endnote w:type="continuationSeparator" w:id="0">
    <w:p w14:paraId="1CB223BD" w14:textId="77777777" w:rsidR="003F198C" w:rsidRDefault="003F198C"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5CE42463"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3F198C">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1BA0" w14:textId="77777777" w:rsidR="003F198C" w:rsidRDefault="003F198C" w:rsidP="009F7ACE">
      <w:r>
        <w:separator/>
      </w:r>
    </w:p>
  </w:footnote>
  <w:footnote w:type="continuationSeparator" w:id="0">
    <w:p w14:paraId="5E29E439" w14:textId="77777777" w:rsidR="003F198C" w:rsidRDefault="003F198C"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A58"/>
    <w:rsid w:val="00005706"/>
    <w:rsid w:val="00014211"/>
    <w:rsid w:val="000431A8"/>
    <w:rsid w:val="00051417"/>
    <w:rsid w:val="00053491"/>
    <w:rsid w:val="000559A8"/>
    <w:rsid w:val="00070236"/>
    <w:rsid w:val="00087B57"/>
    <w:rsid w:val="00093086"/>
    <w:rsid w:val="000938CD"/>
    <w:rsid w:val="000A65CA"/>
    <w:rsid w:val="000B7F62"/>
    <w:rsid w:val="000D227F"/>
    <w:rsid w:val="000D2A98"/>
    <w:rsid w:val="000E008F"/>
    <w:rsid w:val="000E33DF"/>
    <w:rsid w:val="000E405E"/>
    <w:rsid w:val="001677A8"/>
    <w:rsid w:val="00175C51"/>
    <w:rsid w:val="00176683"/>
    <w:rsid w:val="00194C45"/>
    <w:rsid w:val="001A3698"/>
    <w:rsid w:val="001D0D3B"/>
    <w:rsid w:val="001D4E33"/>
    <w:rsid w:val="001D673D"/>
    <w:rsid w:val="001E27A9"/>
    <w:rsid w:val="001F501D"/>
    <w:rsid w:val="002100F4"/>
    <w:rsid w:val="002108F6"/>
    <w:rsid w:val="00221277"/>
    <w:rsid w:val="0024087E"/>
    <w:rsid w:val="002535CC"/>
    <w:rsid w:val="00273A50"/>
    <w:rsid w:val="00282183"/>
    <w:rsid w:val="002843DC"/>
    <w:rsid w:val="00285BD2"/>
    <w:rsid w:val="00295193"/>
    <w:rsid w:val="00296668"/>
    <w:rsid w:val="002A68F0"/>
    <w:rsid w:val="002C56F4"/>
    <w:rsid w:val="002D4128"/>
    <w:rsid w:val="00307B8A"/>
    <w:rsid w:val="0032265A"/>
    <w:rsid w:val="00354DDD"/>
    <w:rsid w:val="00360624"/>
    <w:rsid w:val="00364278"/>
    <w:rsid w:val="00370439"/>
    <w:rsid w:val="00371129"/>
    <w:rsid w:val="00374985"/>
    <w:rsid w:val="00382C8F"/>
    <w:rsid w:val="00385BDB"/>
    <w:rsid w:val="00386F69"/>
    <w:rsid w:val="003928E2"/>
    <w:rsid w:val="003B034E"/>
    <w:rsid w:val="003B1F9B"/>
    <w:rsid w:val="003C1173"/>
    <w:rsid w:val="003D3CD4"/>
    <w:rsid w:val="003D6244"/>
    <w:rsid w:val="003F198C"/>
    <w:rsid w:val="00411CD0"/>
    <w:rsid w:val="004131A7"/>
    <w:rsid w:val="00414E3F"/>
    <w:rsid w:val="00424EFE"/>
    <w:rsid w:val="004475B5"/>
    <w:rsid w:val="00447EE6"/>
    <w:rsid w:val="00464AD5"/>
    <w:rsid w:val="0047773C"/>
    <w:rsid w:val="00485781"/>
    <w:rsid w:val="00486B41"/>
    <w:rsid w:val="004A6CEE"/>
    <w:rsid w:val="004A71D0"/>
    <w:rsid w:val="004B2A94"/>
    <w:rsid w:val="004C6654"/>
    <w:rsid w:val="004D24BD"/>
    <w:rsid w:val="004D4E81"/>
    <w:rsid w:val="004E211D"/>
    <w:rsid w:val="005004F9"/>
    <w:rsid w:val="00533E98"/>
    <w:rsid w:val="00537C0B"/>
    <w:rsid w:val="00545F2A"/>
    <w:rsid w:val="00547C02"/>
    <w:rsid w:val="0055119E"/>
    <w:rsid w:val="005514C9"/>
    <w:rsid w:val="00555AFD"/>
    <w:rsid w:val="00561C02"/>
    <w:rsid w:val="00565C3D"/>
    <w:rsid w:val="00567182"/>
    <w:rsid w:val="005E5344"/>
    <w:rsid w:val="005E659F"/>
    <w:rsid w:val="006024D9"/>
    <w:rsid w:val="0060696A"/>
    <w:rsid w:val="00611BA4"/>
    <w:rsid w:val="00620EB7"/>
    <w:rsid w:val="00621613"/>
    <w:rsid w:val="0062405E"/>
    <w:rsid w:val="006266C1"/>
    <w:rsid w:val="00632FDB"/>
    <w:rsid w:val="006337B5"/>
    <w:rsid w:val="006B4438"/>
    <w:rsid w:val="006E2B89"/>
    <w:rsid w:val="006E75B1"/>
    <w:rsid w:val="006F4550"/>
    <w:rsid w:val="006F70B3"/>
    <w:rsid w:val="007237D3"/>
    <w:rsid w:val="00756C47"/>
    <w:rsid w:val="00774D75"/>
    <w:rsid w:val="007C01DF"/>
    <w:rsid w:val="007C32C8"/>
    <w:rsid w:val="007D1B9E"/>
    <w:rsid w:val="007D2F4D"/>
    <w:rsid w:val="007F57CA"/>
    <w:rsid w:val="00803CC7"/>
    <w:rsid w:val="00807A23"/>
    <w:rsid w:val="008316DF"/>
    <w:rsid w:val="00850E60"/>
    <w:rsid w:val="00855D27"/>
    <w:rsid w:val="008645C3"/>
    <w:rsid w:val="008676C9"/>
    <w:rsid w:val="008744A3"/>
    <w:rsid w:val="008769EF"/>
    <w:rsid w:val="008774FB"/>
    <w:rsid w:val="00880671"/>
    <w:rsid w:val="008824A3"/>
    <w:rsid w:val="008903CD"/>
    <w:rsid w:val="008C5BED"/>
    <w:rsid w:val="008C74C9"/>
    <w:rsid w:val="008D23A0"/>
    <w:rsid w:val="008D360D"/>
    <w:rsid w:val="008D4810"/>
    <w:rsid w:val="008D6746"/>
    <w:rsid w:val="008E0F24"/>
    <w:rsid w:val="008F0317"/>
    <w:rsid w:val="0090132A"/>
    <w:rsid w:val="009107D4"/>
    <w:rsid w:val="00914060"/>
    <w:rsid w:val="009305CC"/>
    <w:rsid w:val="00933487"/>
    <w:rsid w:val="00940D58"/>
    <w:rsid w:val="00957425"/>
    <w:rsid w:val="0096488F"/>
    <w:rsid w:val="009660F6"/>
    <w:rsid w:val="00975B2E"/>
    <w:rsid w:val="00982ABD"/>
    <w:rsid w:val="009A4AD5"/>
    <w:rsid w:val="009C67D3"/>
    <w:rsid w:val="009F0486"/>
    <w:rsid w:val="009F7ACE"/>
    <w:rsid w:val="00A11873"/>
    <w:rsid w:val="00A12A3B"/>
    <w:rsid w:val="00A243BB"/>
    <w:rsid w:val="00A4030A"/>
    <w:rsid w:val="00A50150"/>
    <w:rsid w:val="00A52CFB"/>
    <w:rsid w:val="00A63F68"/>
    <w:rsid w:val="00A83446"/>
    <w:rsid w:val="00A97753"/>
    <w:rsid w:val="00A97C05"/>
    <w:rsid w:val="00AA1CF9"/>
    <w:rsid w:val="00AB5A37"/>
    <w:rsid w:val="00AD1A1E"/>
    <w:rsid w:val="00AD7BAC"/>
    <w:rsid w:val="00AE0E79"/>
    <w:rsid w:val="00AF0201"/>
    <w:rsid w:val="00AF2C42"/>
    <w:rsid w:val="00AF439F"/>
    <w:rsid w:val="00B14E42"/>
    <w:rsid w:val="00B20BC2"/>
    <w:rsid w:val="00B2197D"/>
    <w:rsid w:val="00B54F4B"/>
    <w:rsid w:val="00B677D3"/>
    <w:rsid w:val="00B71C9B"/>
    <w:rsid w:val="00B85008"/>
    <w:rsid w:val="00BA350C"/>
    <w:rsid w:val="00BA4174"/>
    <w:rsid w:val="00BA5DA5"/>
    <w:rsid w:val="00BB4A7B"/>
    <w:rsid w:val="00BC5CED"/>
    <w:rsid w:val="00BE1282"/>
    <w:rsid w:val="00BE4DE6"/>
    <w:rsid w:val="00BE7773"/>
    <w:rsid w:val="00BF21E2"/>
    <w:rsid w:val="00C1458D"/>
    <w:rsid w:val="00C5023B"/>
    <w:rsid w:val="00C66020"/>
    <w:rsid w:val="00C67C60"/>
    <w:rsid w:val="00C80D43"/>
    <w:rsid w:val="00C959C7"/>
    <w:rsid w:val="00CA37F1"/>
    <w:rsid w:val="00CA4955"/>
    <w:rsid w:val="00CC48FC"/>
    <w:rsid w:val="00CE0E05"/>
    <w:rsid w:val="00CE126D"/>
    <w:rsid w:val="00CE3B2F"/>
    <w:rsid w:val="00CE5495"/>
    <w:rsid w:val="00D20BC2"/>
    <w:rsid w:val="00D25D87"/>
    <w:rsid w:val="00D27B2A"/>
    <w:rsid w:val="00D3367B"/>
    <w:rsid w:val="00D34854"/>
    <w:rsid w:val="00D50086"/>
    <w:rsid w:val="00DA4EF3"/>
    <w:rsid w:val="00DB1DE5"/>
    <w:rsid w:val="00DC2AE5"/>
    <w:rsid w:val="00DE053C"/>
    <w:rsid w:val="00DE3E8B"/>
    <w:rsid w:val="00DF14A7"/>
    <w:rsid w:val="00DF2C09"/>
    <w:rsid w:val="00DF48D8"/>
    <w:rsid w:val="00E11C1F"/>
    <w:rsid w:val="00E15D8F"/>
    <w:rsid w:val="00E207D2"/>
    <w:rsid w:val="00E70007"/>
    <w:rsid w:val="00E71CCE"/>
    <w:rsid w:val="00E856B6"/>
    <w:rsid w:val="00E86249"/>
    <w:rsid w:val="00EA3C9D"/>
    <w:rsid w:val="00EA5A5E"/>
    <w:rsid w:val="00EA6E88"/>
    <w:rsid w:val="00EC023E"/>
    <w:rsid w:val="00EC1D22"/>
    <w:rsid w:val="00EE3F31"/>
    <w:rsid w:val="00EE58CB"/>
    <w:rsid w:val="00EE648F"/>
    <w:rsid w:val="00F27433"/>
    <w:rsid w:val="00F33F73"/>
    <w:rsid w:val="00F3531A"/>
    <w:rsid w:val="00F5586B"/>
    <w:rsid w:val="00F77844"/>
    <w:rsid w:val="00F850E4"/>
    <w:rsid w:val="00F937CC"/>
    <w:rsid w:val="00F96D9D"/>
    <w:rsid w:val="00FA1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Revision">
    <w:name w:val="Revision"/>
    <w:hidden/>
    <w:uiPriority w:val="99"/>
    <w:semiHidden/>
    <w:rsid w:val="008C74C9"/>
    <w:pPr>
      <w:spacing w:after="0" w:line="240" w:lineRule="auto"/>
    </w:pPr>
    <w:rPr>
      <w:rFonts w:eastAsia="Times New Roman" w:cs="Times New Roman"/>
      <w:szCs w:val="24"/>
      <w:lang w:val="lv-LV" w:eastAsia="ru-RU"/>
    </w:rPr>
  </w:style>
  <w:style w:type="character" w:styleId="Hyperlink">
    <w:name w:val="Hyperlink"/>
    <w:basedOn w:val="DefaultParagraphFont"/>
    <w:uiPriority w:val="99"/>
    <w:unhideWhenUsed/>
    <w:rsid w:val="006337B5"/>
    <w:rPr>
      <w:color w:val="0563C1" w:themeColor="hyperlink"/>
      <w:u w:val="single"/>
    </w:rPr>
  </w:style>
  <w:style w:type="character" w:styleId="UnresolvedMention">
    <w:name w:val="Unresolved Mention"/>
    <w:basedOn w:val="DefaultParagraphFont"/>
    <w:uiPriority w:val="99"/>
    <w:semiHidden/>
    <w:unhideWhenUsed/>
    <w:rsid w:val="006337B5"/>
    <w:rPr>
      <w:color w:val="605E5C"/>
      <w:shd w:val="clear" w:color="auto" w:fill="E1DFDD"/>
    </w:rPr>
  </w:style>
  <w:style w:type="paragraph" w:customStyle="1" w:styleId="Default">
    <w:name w:val="Default"/>
    <w:rsid w:val="00632FDB"/>
    <w:pPr>
      <w:autoSpaceDE w:val="0"/>
      <w:autoSpaceDN w:val="0"/>
      <w:adjustRightInd w:val="0"/>
      <w:spacing w:after="0" w:line="240" w:lineRule="auto"/>
    </w:pPr>
    <w:rPr>
      <w:rFonts w:cs="Times New Roman"/>
      <w:color w:val="000000"/>
      <w:szCs w:val="24"/>
      <w:lang w:val="lv-LV"/>
    </w:rPr>
  </w:style>
  <w:style w:type="character" w:styleId="FollowedHyperlink">
    <w:name w:val="FollowedHyperlink"/>
    <w:basedOn w:val="DefaultParagraphFont"/>
    <w:uiPriority w:val="99"/>
    <w:semiHidden/>
    <w:unhideWhenUsed/>
    <w:rsid w:val="00632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bca0945-6dba-464c-99cd-fe1d11da64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ateway.elieta.lv/api/v1/PublicMaterialDownload/5f802f58-26f9-42c4-82b3-25cebf0c0802" TargetMode="External"/><Relationship Id="rId4" Type="http://schemas.openxmlformats.org/officeDocument/2006/relationships/settings" Target="settings.xml"/><Relationship Id="rId9" Type="http://schemas.openxmlformats.org/officeDocument/2006/relationships/hyperlink" Target="https://gateway.elieta.lv/api/v1/PublicMaterialDownload/5f802f58-26f9-42c4-82b3-25cebf0c0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43043-7865-41D5-A57D-1E2888DA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7529</Words>
  <Characters>4292</Characters>
  <Application>Microsoft Office Word</Application>
  <DocSecurity>0</DocSecurity>
  <Lines>35</Lines>
  <Paragraphs>23</Paragraphs>
  <ScaleCrop>false</ScaleCrop>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2026-06-29T14:38:00Z</dcterms:created>
  <dcterms:modified xsi:type="dcterms:W3CDTF">2026-06-29T14:38:00Z</dcterms:modified>
</cp:coreProperties>
</file>