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28BB" w14:textId="77777777" w:rsidR="006306F5" w:rsidRDefault="006306F5" w:rsidP="006306F5">
      <w:pPr>
        <w:spacing w:line="276" w:lineRule="auto"/>
        <w:jc w:val="both"/>
        <w:rPr>
          <w:b/>
          <w:bCs/>
          <w:color w:val="000000"/>
          <w:lang w:eastAsia="lv-LV"/>
          <w14:ligatures w14:val="standardContextual"/>
        </w:rPr>
      </w:pPr>
      <w:r>
        <w:rPr>
          <w:b/>
          <w:bCs/>
          <w:color w:val="000000"/>
          <w14:ligatures w14:val="standardContextual"/>
        </w:rPr>
        <w:t xml:space="preserve">Administratīvā akta pamatojuma vērtēšana </w:t>
      </w:r>
    </w:p>
    <w:p w14:paraId="2A423F63" w14:textId="77777777" w:rsidR="006306F5" w:rsidRDefault="006306F5" w:rsidP="006306F5">
      <w:pPr>
        <w:spacing w:line="276" w:lineRule="auto"/>
        <w:jc w:val="both"/>
        <w:rPr>
          <w:color w:val="000000"/>
          <w:u w:val="single"/>
          <w14:ligatures w14:val="standardContextual"/>
        </w:rPr>
      </w:pPr>
    </w:p>
    <w:p w14:paraId="4A868E4F" w14:textId="77777777" w:rsidR="006306F5" w:rsidRDefault="006306F5" w:rsidP="006306F5">
      <w:pPr>
        <w:spacing w:line="276" w:lineRule="auto"/>
        <w:jc w:val="both"/>
        <w:rPr>
          <w:b/>
          <w:bCs/>
          <w14:ligatures w14:val="standardContextual"/>
        </w:rPr>
      </w:pPr>
      <w:r>
        <w:rPr>
          <w:b/>
          <w:bCs/>
          <w14:ligatures w14:val="standardContextual"/>
        </w:rPr>
        <w:t xml:space="preserve">Teritorijas plānošanas dokuments kā pamats azartspēļu organizēšanas ierobežojuma noteikšanai un azartspēļu organizēšanas atļaujas atcelšanai konkrētā pašvaldības teritorijā </w:t>
      </w:r>
    </w:p>
    <w:p w14:paraId="270E4245" w14:textId="77777777" w:rsidR="006306F5" w:rsidRDefault="006306F5" w:rsidP="006306F5">
      <w:pPr>
        <w:spacing w:line="276" w:lineRule="auto"/>
        <w:jc w:val="both"/>
        <w:rPr>
          <w:b/>
          <w:bCs/>
          <w14:ligatures w14:val="standardContextual"/>
        </w:rPr>
      </w:pPr>
    </w:p>
    <w:p w14:paraId="4F663D75" w14:textId="77777777" w:rsidR="006306F5" w:rsidRDefault="006306F5" w:rsidP="006306F5">
      <w:pPr>
        <w:spacing w:line="276" w:lineRule="auto"/>
        <w:jc w:val="both"/>
        <w:rPr>
          <w:b/>
          <w:bCs/>
          <w:sz w:val="23"/>
          <w:szCs w:val="23"/>
          <w14:ligatures w14:val="standardContextual"/>
        </w:rPr>
      </w:pPr>
      <w:r>
        <w:rPr>
          <w:b/>
          <w:bCs/>
          <w14:ligatures w14:val="standardContextual"/>
        </w:rPr>
        <w:t xml:space="preserve">Pašvaldības lokālplānojumā noteikta azartspēļu organizēšanas ierobežojuma pārbaude tiesā </w:t>
      </w:r>
    </w:p>
    <w:p w14:paraId="205090BD" w14:textId="77777777" w:rsidR="006306F5" w:rsidRDefault="006306F5" w:rsidP="006306F5">
      <w:pPr>
        <w:spacing w:line="276" w:lineRule="auto"/>
        <w:jc w:val="both"/>
        <w:rPr>
          <w14:ligatures w14:val="standardContextual"/>
        </w:rPr>
      </w:pPr>
      <w:r>
        <w:rPr>
          <w14:ligatures w14:val="standardContextual"/>
        </w:rPr>
        <w:t>Lokālplānojumā noteiktam azartspēļu organizēšanas ierobežojumam, kura sekas būs attiecīgas atļaujas atcelšana, nav jābūt tādas pašas detalizācijas konkrētas adreses izvērtējumam kā tajā gadījumā, kad saskaņā ar Azartspēļu un izložu likuma 42.panta sesto daļu, nesaistīti ar teritorijas plānošanas procesu, tiktu lemts par izsniegtās atļaujas atcelšanu šajā adresē. Šīs situācijas pēc savas būtības atšķiras. Lai gan katrā no tām azartspēļu organizēšanas ierobežojuma pamatā ir jābūt konkrētam, ar pašvaldībai piešķirto kompetenci saistītam mērķim, atšķirīga ir katra šā tiesiskā instrumenta izmantošana un administratīvās tiesas kontrole pār to.</w:t>
      </w:r>
    </w:p>
    <w:p w14:paraId="4DCD7754" w14:textId="77777777" w:rsidR="006306F5" w:rsidRDefault="006306F5" w:rsidP="006306F5">
      <w:pPr>
        <w:spacing w:line="276" w:lineRule="auto"/>
        <w:jc w:val="both"/>
        <w:rPr>
          <w14:ligatures w14:val="standardContextual"/>
        </w:rPr>
      </w:pPr>
      <w:r>
        <w:rPr>
          <w14:ligatures w14:val="standardContextual"/>
        </w:rPr>
        <w:t xml:space="preserve">Vērtējums par normatīvajā aktā - pašvaldības saistošajos noteikumos - ietverto azartspēļu organizēšanas ierobežojumu atbilstoši Administratīvā procesa likuma 104.pantam veicams, īstenojot piemērojamo tiesību normu hierarhijas kontroli. Tas nozīmē, ja tiesa uzskata, ka piemērojamā saistošo noteikumu norma neatbilst Latvijas Republikas Satversmei, tas ir pamats ar motivētu pieteikumu vērsties Satversmes tiesā. Savukārt, ja tiesa uzskata, ka piemērojamā saistošo noteikumu norma neatbilst likumam, tas ir pamats tiesai, pamatojot savu viedokli par neatbilstību augstāka juridiskā spēka normām, attiecīgo saistošo noteikumu normu nepiemērot. </w:t>
      </w:r>
    </w:p>
    <w:p w14:paraId="3044199C" w14:textId="706185E3" w:rsidR="006306F5" w:rsidRPr="006306F5" w:rsidRDefault="006306F5" w:rsidP="006306F5">
      <w:pPr>
        <w:spacing w:line="276" w:lineRule="auto"/>
        <w:jc w:val="both"/>
        <w:rPr>
          <w14:ligatures w14:val="standardContextual"/>
        </w:rPr>
      </w:pPr>
      <w:r>
        <w:rPr>
          <w14:ligatures w14:val="standardContextual"/>
        </w:rPr>
        <w:t>Šis izvērtējums metodoloģijas ziņā atšķiras no tā, kuru tiesa izdara, īstenojot kontroli pār iestādes izdotu administratīvo aktu. Tāpēc vērtējumā par lokālplānojuma atbilstību augstāka juridiskā spēka normām nav automātiski pārņemamas tās Senāta prakses atziņas, kas izteiktas lietās par azartspēļu organizēšanas atļaujas atcelšanu situācijā, kurā azartspēļu organizēšanu pieļauj konkrētās teritorijas plānošanas dokumenti.</w:t>
      </w:r>
    </w:p>
    <w:p w14:paraId="7DFE14B1" w14:textId="3960476B" w:rsidR="00447EE6" w:rsidRPr="00011547" w:rsidRDefault="00447EE6" w:rsidP="006306F5">
      <w:pPr>
        <w:spacing w:before="240" w:line="276" w:lineRule="auto"/>
        <w:jc w:val="center"/>
        <w:rPr>
          <w:b/>
        </w:rPr>
      </w:pPr>
      <w:r w:rsidRPr="00011547">
        <w:rPr>
          <w:b/>
        </w:rPr>
        <w:t>Latvijas Republikas Senāt</w:t>
      </w:r>
      <w:r w:rsidR="006306F5">
        <w:rPr>
          <w:b/>
        </w:rPr>
        <w:t>a</w:t>
      </w:r>
      <w:r w:rsidR="006306F5">
        <w:rPr>
          <w:b/>
        </w:rPr>
        <w:br/>
        <w:t>Administratīvo lietu departamenta</w:t>
      </w:r>
      <w:r w:rsidR="006306F5">
        <w:rPr>
          <w:b/>
        </w:rPr>
        <w:br/>
        <w:t>2026.gada 26.maija</w:t>
      </w:r>
    </w:p>
    <w:p w14:paraId="176CC32A" w14:textId="77777777" w:rsidR="00447EE6" w:rsidRDefault="00447EE6" w:rsidP="006306F5">
      <w:pPr>
        <w:spacing w:line="276" w:lineRule="auto"/>
        <w:jc w:val="center"/>
        <w:rPr>
          <w:b/>
        </w:rPr>
      </w:pPr>
      <w:r w:rsidRPr="00D160F6">
        <w:rPr>
          <w:b/>
        </w:rPr>
        <w:t>SPRIEDUMS</w:t>
      </w:r>
      <w:r w:rsidDel="000D5B2A">
        <w:rPr>
          <w:b/>
        </w:rPr>
        <w:t xml:space="preserve"> </w:t>
      </w:r>
    </w:p>
    <w:p w14:paraId="6CA4AC4A" w14:textId="69F890E9" w:rsidR="006306F5" w:rsidRPr="006306F5" w:rsidRDefault="006306F5" w:rsidP="006306F5">
      <w:pPr>
        <w:spacing w:line="276" w:lineRule="auto"/>
        <w:jc w:val="center"/>
        <w:rPr>
          <w:b/>
          <w:bCs/>
        </w:rPr>
      </w:pPr>
      <w:r w:rsidRPr="006306F5">
        <w:rPr>
          <w:b/>
          <w:bCs/>
        </w:rPr>
        <w:t>Lieta Nr. </w:t>
      </w:r>
      <w:r w:rsidRPr="006306F5">
        <w:rPr>
          <w:b/>
          <w:bCs/>
          <w:lang w:eastAsia="lv-LV"/>
        </w:rPr>
        <w:t xml:space="preserve">A420250122, </w:t>
      </w:r>
      <w:r w:rsidRPr="006306F5">
        <w:rPr>
          <w:b/>
          <w:bCs/>
        </w:rPr>
        <w:t>SKA-48/2026</w:t>
      </w:r>
    </w:p>
    <w:p w14:paraId="5E15E280" w14:textId="48F36A8D" w:rsidR="006306F5" w:rsidRPr="006306F5" w:rsidRDefault="006306F5" w:rsidP="006306F5">
      <w:pPr>
        <w:spacing w:line="276" w:lineRule="auto"/>
        <w:jc w:val="center"/>
      </w:pPr>
      <w:r w:rsidRPr="006306F5">
        <w:t xml:space="preserve"> </w:t>
      </w:r>
      <w:hyperlink r:id="rId8" w:history="1">
        <w:r w:rsidRPr="006306F5">
          <w:rPr>
            <w:rStyle w:val="Hyperlink"/>
          </w:rPr>
          <w:t>ECLI:LV:AT:2026:0526.A420250122.11.S</w:t>
        </w:r>
      </w:hyperlink>
    </w:p>
    <w:p w14:paraId="4DE95054" w14:textId="77777777" w:rsidR="0021330C" w:rsidRDefault="0021330C" w:rsidP="006306F5">
      <w:pPr>
        <w:spacing w:line="276" w:lineRule="auto"/>
        <w:jc w:val="center"/>
      </w:pPr>
    </w:p>
    <w:p w14:paraId="700E1FBE" w14:textId="77777777" w:rsidR="00411CD0" w:rsidRPr="00011547" w:rsidRDefault="00411CD0" w:rsidP="006306F5">
      <w:pPr>
        <w:spacing w:line="276" w:lineRule="auto"/>
        <w:ind w:firstLine="720"/>
        <w:jc w:val="center"/>
      </w:pPr>
    </w:p>
    <w:p w14:paraId="68E4AE23" w14:textId="5A7B46C2" w:rsidR="00447EE6" w:rsidRDefault="00447EE6" w:rsidP="006306F5">
      <w:pPr>
        <w:spacing w:line="276" w:lineRule="auto"/>
        <w:ind w:firstLine="720"/>
        <w:jc w:val="both"/>
      </w:pPr>
      <w:r>
        <w:t xml:space="preserve">Senāts </w:t>
      </w:r>
      <w:r w:rsidRPr="00011547">
        <w:t>šādā sastāvā</w:t>
      </w:r>
      <w:r>
        <w:t>:</w:t>
      </w:r>
      <w:r w:rsidR="00D25D87">
        <w:t xml:space="preserve"> </w:t>
      </w:r>
      <w:r w:rsidR="00D25D87" w:rsidRPr="00CD4AFB">
        <w:t xml:space="preserve">senatore referente </w:t>
      </w:r>
      <w:r w:rsidR="00C84DF6" w:rsidRPr="00CD4AFB">
        <w:t>Vēsma Kakste</w:t>
      </w:r>
      <w:r w:rsidR="00D25D87" w:rsidRPr="00CD4AFB">
        <w:t xml:space="preserve">, senatores </w:t>
      </w:r>
      <w:r w:rsidR="00C84DF6" w:rsidRPr="00CD4AFB">
        <w:t>Dzintra Amerika</w:t>
      </w:r>
      <w:r w:rsidR="00D25D87" w:rsidRPr="00CD4AFB">
        <w:t xml:space="preserve"> un </w:t>
      </w:r>
      <w:r w:rsidR="00C84DF6" w:rsidRPr="00CD4AFB">
        <w:t>Indra Meldere</w:t>
      </w:r>
    </w:p>
    <w:p w14:paraId="27F96722" w14:textId="77777777" w:rsidR="00A11873" w:rsidRDefault="00A11873" w:rsidP="006306F5">
      <w:pPr>
        <w:spacing w:line="276" w:lineRule="auto"/>
        <w:ind w:firstLine="720"/>
        <w:jc w:val="both"/>
      </w:pPr>
    </w:p>
    <w:p w14:paraId="25F644D7" w14:textId="5E52F0D8" w:rsidR="00A11873" w:rsidRDefault="00A11873" w:rsidP="006306F5">
      <w:pPr>
        <w:spacing w:line="276" w:lineRule="auto"/>
        <w:ind w:firstLine="720"/>
        <w:jc w:val="both"/>
      </w:pPr>
      <w:r w:rsidRPr="0082381C">
        <w:t xml:space="preserve">rakstveida procesā izskatīja administratīvo lietu, kas ierosināta, pamatojoties uz </w:t>
      </w:r>
      <w:r w:rsidR="00C84DF6">
        <w:t xml:space="preserve">SIA „ALFOR” pieteikumu par Salaspils novada domes 2022.gada 14.jūlija lēmuma Nr. 30 </w:t>
      </w:r>
      <w:r w:rsidR="00C84DF6">
        <w:lastRenderedPageBreak/>
        <w:t>atcelšanu</w:t>
      </w:r>
      <w:r w:rsidRPr="0082381C">
        <w:t>, s</w:t>
      </w:r>
      <w:r>
        <w:t>a</w:t>
      </w:r>
      <w:r w:rsidRPr="0082381C">
        <w:t xml:space="preserve">karā ar </w:t>
      </w:r>
      <w:r w:rsidR="00C84DF6">
        <w:t xml:space="preserve">Salaspils novada domes </w:t>
      </w:r>
      <w:r w:rsidRPr="0082381C">
        <w:t xml:space="preserve">kasācijas sūdzību par </w:t>
      </w:r>
      <w:r>
        <w:t xml:space="preserve">Administratīvās </w:t>
      </w:r>
      <w:r w:rsidR="00C84DF6">
        <w:t>apgabaltiesas 2024.gada 6.marta</w:t>
      </w:r>
      <w:r w:rsidRPr="0082381C">
        <w:t xml:space="preserve"> spriedumu.</w:t>
      </w:r>
    </w:p>
    <w:p w14:paraId="73BBBC80" w14:textId="77777777" w:rsidR="00411CD0" w:rsidRDefault="00411CD0" w:rsidP="006306F5">
      <w:pPr>
        <w:spacing w:line="276" w:lineRule="auto"/>
        <w:ind w:firstLine="720"/>
        <w:jc w:val="both"/>
      </w:pPr>
    </w:p>
    <w:p w14:paraId="043B76E3" w14:textId="77777777" w:rsidR="00447EE6" w:rsidRDefault="00447EE6" w:rsidP="006306F5">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6306F5">
      <w:pPr>
        <w:spacing w:line="276" w:lineRule="auto"/>
        <w:jc w:val="center"/>
        <w:rPr>
          <w:shd w:val="clear" w:color="auto" w:fill="FFFFFF"/>
        </w:rPr>
      </w:pPr>
    </w:p>
    <w:p w14:paraId="49D02254" w14:textId="571D6CDA" w:rsidR="001075B0" w:rsidRDefault="00447EE6" w:rsidP="006306F5">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21330C">
        <w:rPr>
          <w:shd w:val="clear" w:color="auto" w:fill="FFFFFF"/>
        </w:rPr>
        <w:t xml:space="preserve"> </w:t>
      </w:r>
      <w:r w:rsidR="006306F5">
        <w:rPr>
          <w:shd w:val="clear" w:color="auto" w:fill="FFFFFF"/>
        </w:rPr>
        <w:t xml:space="preserve">[Adrese A] </w:t>
      </w:r>
      <w:r w:rsidR="001075B0">
        <w:rPr>
          <w:shd w:val="clear" w:color="auto" w:fill="FFFFFF"/>
        </w:rPr>
        <w:t>(pārsūdzētā lēmuma pieņemšanas laikā –</w:t>
      </w:r>
      <w:r w:rsidR="006306F5">
        <w:rPr>
          <w:shd w:val="clear" w:color="auto" w:fill="FFFFFF"/>
        </w:rPr>
        <w:t xml:space="preserve"> [Adrese B]</w:t>
      </w:r>
      <w:r w:rsidR="001075B0">
        <w:rPr>
          <w:shd w:val="clear" w:color="auto" w:fill="FFFFFF"/>
        </w:rPr>
        <w:t xml:space="preserve">) darbojas pieteicējas </w:t>
      </w:r>
      <w:r w:rsidR="00403949">
        <w:rPr>
          <w:shd w:val="clear" w:color="auto" w:fill="FFFFFF"/>
        </w:rPr>
        <w:t xml:space="preserve">– </w:t>
      </w:r>
      <w:r w:rsidR="001075B0">
        <w:rPr>
          <w:shd w:val="clear" w:color="auto" w:fill="FFFFFF"/>
        </w:rPr>
        <w:t>SIA</w:t>
      </w:r>
      <w:r w:rsidR="007168CA">
        <w:rPr>
          <w:shd w:val="clear" w:color="auto" w:fill="FFFFFF"/>
        </w:rPr>
        <w:t> </w:t>
      </w:r>
      <w:r w:rsidR="001075B0">
        <w:rPr>
          <w:shd w:val="clear" w:color="auto" w:fill="FFFFFF"/>
        </w:rPr>
        <w:t xml:space="preserve">„ALFOR” </w:t>
      </w:r>
      <w:r w:rsidR="00403949">
        <w:rPr>
          <w:shd w:val="clear" w:color="auto" w:fill="FFFFFF"/>
        </w:rPr>
        <w:t xml:space="preserve">– </w:t>
      </w:r>
      <w:r w:rsidR="001075B0">
        <w:rPr>
          <w:shd w:val="clear" w:color="auto" w:fill="FFFFFF"/>
        </w:rPr>
        <w:t>azartspēļu organizēšanas vieta.</w:t>
      </w:r>
    </w:p>
    <w:p w14:paraId="1E5ECE55" w14:textId="68FF7C81" w:rsidR="005A52CD" w:rsidRDefault="005A52CD"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Salaspils novada dome 2021.gada 29.decembrī</w:t>
      </w:r>
      <w:r w:rsidR="00183801">
        <w:rPr>
          <w:shd w:val="clear" w:color="auto" w:fill="FFFFFF"/>
        </w:rPr>
        <w:t xml:space="preserve"> izdeva saistošos noteikumu</w:t>
      </w:r>
      <w:r w:rsidR="001F2F06">
        <w:rPr>
          <w:shd w:val="clear" w:color="auto" w:fill="FFFFFF"/>
        </w:rPr>
        <w:t>s</w:t>
      </w:r>
      <w:r w:rsidR="00183801">
        <w:rPr>
          <w:shd w:val="clear" w:color="auto" w:fill="FFFFFF"/>
        </w:rPr>
        <w:t xml:space="preserve"> Nr. </w:t>
      </w:r>
      <w:r>
        <w:rPr>
          <w:shd w:val="clear" w:color="auto" w:fill="FFFFFF"/>
        </w:rPr>
        <w:t>38/2021 „Lokālplānojums azartspēļu organizēšanas vietu noteikšanai Salaspils pilsētas teritorijas daļā, izmantošanas un apbūves noteikumi un grafiskā daļa”</w:t>
      </w:r>
      <w:r w:rsidR="00220CFE">
        <w:rPr>
          <w:shd w:val="clear" w:color="auto" w:fill="FFFFFF"/>
        </w:rPr>
        <w:t xml:space="preserve"> (turpmāk – Salaspils pilsētas teritorijas daļas lokālplānojums)</w:t>
      </w:r>
      <w:r>
        <w:rPr>
          <w:shd w:val="clear" w:color="auto" w:fill="FFFFFF"/>
        </w:rPr>
        <w:t>, ar kur</w:t>
      </w:r>
      <w:r w:rsidR="00183801">
        <w:rPr>
          <w:shd w:val="clear" w:color="auto" w:fill="FFFFFF"/>
        </w:rPr>
        <w:t>iem</w:t>
      </w:r>
      <w:r>
        <w:rPr>
          <w:shd w:val="clear" w:color="auto" w:fill="FFFFFF"/>
        </w:rPr>
        <w:t xml:space="preserve"> noteica azartspēļu organizēšanas </w:t>
      </w:r>
      <w:r w:rsidR="001075B0">
        <w:rPr>
          <w:shd w:val="clear" w:color="auto" w:fill="FFFFFF"/>
        </w:rPr>
        <w:t>ierobežojumu lokālplānojuma teritorijā.</w:t>
      </w:r>
      <w:r>
        <w:rPr>
          <w:shd w:val="clear" w:color="auto" w:fill="FFFFFF"/>
        </w:rPr>
        <w:t xml:space="preserve"> </w:t>
      </w:r>
    </w:p>
    <w:p w14:paraId="2A6C1E29" w14:textId="1CD68AA1" w:rsidR="007344BF" w:rsidRDefault="005A52CD"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Pamatojoties uz šo lokālplānojumu, Salaspils novada dome 2022.gada 14.jūlijā pieņēma lēmumu Nr. 30 (turpmāk – pārsūdzētais lēmums), ar kuru</w:t>
      </w:r>
      <w:r w:rsidR="001075B0">
        <w:rPr>
          <w:shd w:val="clear" w:color="auto" w:fill="FFFFFF"/>
        </w:rPr>
        <w:t xml:space="preserve"> </w:t>
      </w:r>
      <w:r w:rsidR="007344BF" w:rsidRPr="0021330C">
        <w:rPr>
          <w:shd w:val="clear" w:color="auto" w:fill="FFFFFF"/>
        </w:rPr>
        <w:t>ierobežoja</w:t>
      </w:r>
      <w:r w:rsidR="007344BF">
        <w:rPr>
          <w:shd w:val="clear" w:color="auto" w:fill="FFFFFF"/>
        </w:rPr>
        <w:t xml:space="preserve"> pieteicējas azartspēļu organizēšanas vietas darbību. </w:t>
      </w:r>
    </w:p>
    <w:p w14:paraId="7ED8EA81" w14:textId="2C1CBB25" w:rsidR="005A52CD" w:rsidRDefault="007344BF"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Pieteicēja šim lēmumam nepiekrita un tāpēc vērsās tiesā.</w:t>
      </w:r>
    </w:p>
    <w:p w14:paraId="1E45FDD4" w14:textId="77777777" w:rsidR="005A52CD" w:rsidRDefault="005A52CD" w:rsidP="006306F5">
      <w:pPr>
        <w:pStyle w:val="NormalWeb"/>
        <w:shd w:val="clear" w:color="auto" w:fill="FFFFFF"/>
        <w:spacing w:before="0" w:beforeAutospacing="0" w:after="0" w:afterAutospacing="0" w:line="276" w:lineRule="auto"/>
        <w:ind w:firstLine="720"/>
        <w:jc w:val="both"/>
        <w:rPr>
          <w:shd w:val="clear" w:color="auto" w:fill="FFFFFF"/>
        </w:rPr>
      </w:pPr>
    </w:p>
    <w:p w14:paraId="3A1ED2BC" w14:textId="566F54A9" w:rsidR="005A52CD" w:rsidRDefault="005A52CD"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61335B">
        <w:rPr>
          <w:shd w:val="clear" w:color="auto" w:fill="FFFFFF"/>
        </w:rPr>
        <w:t> </w:t>
      </w:r>
      <w:r>
        <w:rPr>
          <w:shd w:val="clear" w:color="auto" w:fill="FFFFFF"/>
        </w:rPr>
        <w:t>Administratīvā apgabaltiesa</w:t>
      </w:r>
      <w:r w:rsidR="00B15C80">
        <w:rPr>
          <w:shd w:val="clear" w:color="auto" w:fill="FFFFFF"/>
        </w:rPr>
        <w:t xml:space="preserve"> </w:t>
      </w:r>
      <w:r>
        <w:rPr>
          <w:shd w:val="clear" w:color="auto" w:fill="FFFFFF"/>
        </w:rPr>
        <w:t>pieteikum</w:t>
      </w:r>
      <w:r w:rsidR="00B15C80">
        <w:rPr>
          <w:shd w:val="clear" w:color="auto" w:fill="FFFFFF"/>
        </w:rPr>
        <w:t>u apmierināja</w:t>
      </w:r>
      <w:r>
        <w:rPr>
          <w:shd w:val="clear" w:color="auto" w:fill="FFFFFF"/>
        </w:rPr>
        <w:t>. Spriedum</w:t>
      </w:r>
      <w:r w:rsidR="00DA3390">
        <w:rPr>
          <w:shd w:val="clear" w:color="auto" w:fill="FFFFFF"/>
        </w:rPr>
        <w:t xml:space="preserve">s pamatots ar turpmāk norādītajiem argumentiem. </w:t>
      </w:r>
    </w:p>
    <w:p w14:paraId="0C0E5EB5" w14:textId="5E777245" w:rsidR="00B15C80" w:rsidRDefault="00B15C80"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[2.1] </w:t>
      </w:r>
      <w:r w:rsidR="00073025" w:rsidRPr="00073025">
        <w:rPr>
          <w:shd w:val="clear" w:color="auto" w:fill="FFFFFF"/>
        </w:rPr>
        <w:t>Pārsūdzētajā lēmumā dome atsaucas</w:t>
      </w:r>
      <w:r w:rsidR="00073025">
        <w:rPr>
          <w:shd w:val="clear" w:color="auto" w:fill="FFFFFF"/>
        </w:rPr>
        <w:t xml:space="preserve"> </w:t>
      </w:r>
      <w:r w:rsidR="00073025" w:rsidRPr="00073025">
        <w:rPr>
          <w:shd w:val="clear" w:color="auto" w:fill="FFFFFF"/>
        </w:rPr>
        <w:t>uz Azartspēļu un izložu likuma 41.panta otrās daļas 11.punktu, 42.panta desmito daļu</w:t>
      </w:r>
      <w:r w:rsidR="00073025">
        <w:rPr>
          <w:shd w:val="clear" w:color="auto" w:fill="FFFFFF"/>
        </w:rPr>
        <w:t xml:space="preserve"> </w:t>
      </w:r>
      <w:r w:rsidR="00073025" w:rsidRPr="00073025">
        <w:rPr>
          <w:shd w:val="clear" w:color="auto" w:fill="FFFFFF"/>
        </w:rPr>
        <w:t xml:space="preserve">un </w:t>
      </w:r>
      <w:r w:rsidR="00366432">
        <w:rPr>
          <w:shd w:val="clear" w:color="auto" w:fill="FFFFFF"/>
        </w:rPr>
        <w:t>Salaspils pilsētas teritorijas daļas l</w:t>
      </w:r>
      <w:r w:rsidR="00073025" w:rsidRPr="00073025">
        <w:rPr>
          <w:shd w:val="clear" w:color="auto" w:fill="FFFFFF"/>
        </w:rPr>
        <w:t>okālplānojumu</w:t>
      </w:r>
      <w:r w:rsidR="00073025">
        <w:rPr>
          <w:shd w:val="clear" w:color="auto" w:fill="FFFFFF"/>
        </w:rPr>
        <w:t xml:space="preserve">. </w:t>
      </w:r>
      <w:r w:rsidR="007125FD">
        <w:rPr>
          <w:shd w:val="clear" w:color="auto" w:fill="FFFFFF"/>
        </w:rPr>
        <w:t>Lēmums pamatots ar apstākli, ka pieteicēja azartspēļu organizēšanu bija uzsākusi līdz Azartspēļu un izložu likuma spēkā stāšanās dienai (2006.gada 1.janvārim), tāpēc pašvaldība uzskata, ka tai neesot bijis jāpieņem lēmums par atļaujas atcelšanu, jo attiecīga atļauja azartspēļu organizēšanai nav izsniegta. Tomēr konstatējams, ka šāda atļauja pieteicējai bija izsniegta 2006.gada 13.martā</w:t>
      </w:r>
      <w:r w:rsidR="00E732B1">
        <w:rPr>
          <w:shd w:val="clear" w:color="auto" w:fill="FFFFFF"/>
        </w:rPr>
        <w:t xml:space="preserve">. </w:t>
      </w:r>
      <w:r w:rsidR="00442811">
        <w:rPr>
          <w:shd w:val="clear" w:color="auto" w:fill="FFFFFF"/>
        </w:rPr>
        <w:t>Līdz ar to pārsūdzētā lēmuma pamatojums ir balstīts uz nepareiziem faktiskajiem apstākļiem</w:t>
      </w:r>
    </w:p>
    <w:p w14:paraId="06FA5F5E" w14:textId="7AF25ABC" w:rsidR="00A73277" w:rsidRDefault="00073025"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[2.2] </w:t>
      </w:r>
      <w:r w:rsidR="007850D5" w:rsidRPr="007850D5">
        <w:rPr>
          <w:shd w:val="clear" w:color="auto" w:fill="FFFFFF"/>
        </w:rPr>
        <w:t>Azartspēļu un izložu likuma 41. un 42.pant</w:t>
      </w:r>
      <w:r w:rsidR="00447223">
        <w:rPr>
          <w:shd w:val="clear" w:color="auto" w:fill="FFFFFF"/>
        </w:rPr>
        <w:t>a normas</w:t>
      </w:r>
      <w:r w:rsidR="007850D5">
        <w:rPr>
          <w:shd w:val="clear" w:color="auto" w:fill="FFFFFF"/>
        </w:rPr>
        <w:t xml:space="preserve"> paredz </w:t>
      </w:r>
      <w:r w:rsidR="007850D5" w:rsidRPr="007850D5">
        <w:rPr>
          <w:shd w:val="clear" w:color="auto" w:fill="FFFFFF"/>
        </w:rPr>
        <w:t>pašvaldībai tiesības saistošajos noteikumos noteikt vietas</w:t>
      </w:r>
      <w:r w:rsidR="007850D5">
        <w:rPr>
          <w:shd w:val="clear" w:color="auto" w:fill="FFFFFF"/>
        </w:rPr>
        <w:t xml:space="preserve"> </w:t>
      </w:r>
      <w:r w:rsidR="007850D5" w:rsidRPr="007850D5">
        <w:rPr>
          <w:shd w:val="clear" w:color="auto" w:fill="FFFFFF"/>
        </w:rPr>
        <w:t xml:space="preserve">vai teritorijas, kurās nav atļauts organizēt azartspēles. Tomēr </w:t>
      </w:r>
      <w:r w:rsidR="00447223" w:rsidRPr="007850D5">
        <w:rPr>
          <w:shd w:val="clear" w:color="auto" w:fill="FFFFFF"/>
        </w:rPr>
        <w:t>atcelt izsniegto atļauju</w:t>
      </w:r>
      <w:r w:rsidR="00447223">
        <w:rPr>
          <w:shd w:val="clear" w:color="auto" w:fill="FFFFFF"/>
        </w:rPr>
        <w:t xml:space="preserve"> </w:t>
      </w:r>
      <w:r w:rsidR="00447223" w:rsidRPr="007850D5">
        <w:rPr>
          <w:shd w:val="clear" w:color="auto" w:fill="FFFFFF"/>
        </w:rPr>
        <w:t>pašvaldība ir tiesīga</w:t>
      </w:r>
      <w:r w:rsidR="00447223">
        <w:rPr>
          <w:shd w:val="clear" w:color="auto" w:fill="FFFFFF"/>
        </w:rPr>
        <w:t xml:space="preserve"> tikai</w:t>
      </w:r>
      <w:r w:rsidR="00447223" w:rsidRPr="007850D5">
        <w:rPr>
          <w:shd w:val="clear" w:color="auto" w:fill="FFFFFF"/>
        </w:rPr>
        <w:t xml:space="preserve"> ar motivētu lēmumu, ja tā pamato, ka azartspēļu organizēšana</w:t>
      </w:r>
      <w:r w:rsidR="00447223">
        <w:rPr>
          <w:shd w:val="clear" w:color="auto" w:fill="FFFFFF"/>
        </w:rPr>
        <w:t xml:space="preserve"> </w:t>
      </w:r>
      <w:r w:rsidR="00447223" w:rsidRPr="007850D5">
        <w:rPr>
          <w:shd w:val="clear" w:color="auto" w:fill="FFFFFF"/>
        </w:rPr>
        <w:t>konkrētajā vietā rada būtisku valsts un attiecīgās administratīvās teritorijas</w:t>
      </w:r>
      <w:r w:rsidR="00447223">
        <w:rPr>
          <w:shd w:val="clear" w:color="auto" w:fill="FFFFFF"/>
        </w:rPr>
        <w:t xml:space="preserve"> </w:t>
      </w:r>
      <w:r w:rsidR="00447223" w:rsidRPr="007850D5">
        <w:rPr>
          <w:shd w:val="clear" w:color="auto" w:fill="FFFFFF"/>
        </w:rPr>
        <w:t>iedzīvotāju interešu aizskārumu</w:t>
      </w:r>
      <w:r w:rsidR="00447223">
        <w:rPr>
          <w:shd w:val="clear" w:color="auto" w:fill="FFFFFF"/>
        </w:rPr>
        <w:t xml:space="preserve"> </w:t>
      </w:r>
      <w:r w:rsidR="007850D5">
        <w:rPr>
          <w:shd w:val="clear" w:color="auto" w:fill="FFFFFF"/>
        </w:rPr>
        <w:t>atbilstoši minētā likuma 42.panta sestajai daļai</w:t>
      </w:r>
      <w:r w:rsidR="007850D5" w:rsidRPr="007850D5">
        <w:rPr>
          <w:shd w:val="clear" w:color="auto" w:fill="FFFFFF"/>
        </w:rPr>
        <w:t>.</w:t>
      </w:r>
      <w:r w:rsidR="005D1464">
        <w:t xml:space="preserve"> </w:t>
      </w:r>
      <w:r w:rsidR="00FA0463">
        <w:rPr>
          <w:shd w:val="clear" w:color="auto" w:fill="FFFFFF"/>
        </w:rPr>
        <w:t>S</w:t>
      </w:r>
      <w:r w:rsidR="007850D5" w:rsidRPr="007850D5">
        <w:rPr>
          <w:shd w:val="clear" w:color="auto" w:fill="FFFFFF"/>
        </w:rPr>
        <w:t>ituācijā, kad pieteicējai ir izsniegta</w:t>
      </w:r>
      <w:r w:rsidR="007850D5">
        <w:rPr>
          <w:shd w:val="clear" w:color="auto" w:fill="FFFFFF"/>
        </w:rPr>
        <w:t xml:space="preserve"> </w:t>
      </w:r>
      <w:r w:rsidR="007850D5" w:rsidRPr="007850D5">
        <w:rPr>
          <w:shd w:val="clear" w:color="auto" w:fill="FFFFFF"/>
        </w:rPr>
        <w:t xml:space="preserve">atļauja azartspēļu organizēšanai, pašvaldība nevar </w:t>
      </w:r>
      <w:r w:rsidR="00877082">
        <w:rPr>
          <w:shd w:val="clear" w:color="auto" w:fill="FFFFFF"/>
        </w:rPr>
        <w:t xml:space="preserve">pieņemt </w:t>
      </w:r>
      <w:r w:rsidR="007850D5" w:rsidRPr="007850D5">
        <w:rPr>
          <w:shd w:val="clear" w:color="auto" w:fill="FFFFFF"/>
        </w:rPr>
        <w:t>lēmumu par aizliegumu organizēt azartspēles konkrētajā vietā.</w:t>
      </w:r>
      <w:r w:rsidR="007850D5">
        <w:rPr>
          <w:shd w:val="clear" w:color="auto" w:fill="FFFFFF"/>
        </w:rPr>
        <w:t xml:space="preserve"> </w:t>
      </w:r>
      <w:r w:rsidR="007850D5" w:rsidRPr="007850D5">
        <w:rPr>
          <w:shd w:val="clear" w:color="auto" w:fill="FFFFFF"/>
        </w:rPr>
        <w:t>Pašvaldībai ir tiesības šādu atļauju atcelt tikai Azartspēļu un izložu likuma 42.panta</w:t>
      </w:r>
      <w:r w:rsidR="007850D5">
        <w:rPr>
          <w:shd w:val="clear" w:color="auto" w:fill="FFFFFF"/>
        </w:rPr>
        <w:t xml:space="preserve"> </w:t>
      </w:r>
      <w:r w:rsidR="007850D5" w:rsidRPr="007850D5">
        <w:rPr>
          <w:shd w:val="clear" w:color="auto" w:fill="FFFFFF"/>
        </w:rPr>
        <w:t>sestajā daļā noteiktajā kārtībā.</w:t>
      </w:r>
      <w:r w:rsidR="00447223">
        <w:rPr>
          <w:shd w:val="clear" w:color="auto" w:fill="FFFFFF"/>
        </w:rPr>
        <w:t xml:space="preserve"> </w:t>
      </w:r>
      <w:r w:rsidR="007D66E8" w:rsidRPr="007D66E8">
        <w:rPr>
          <w:shd w:val="clear" w:color="auto" w:fill="FFFFFF"/>
        </w:rPr>
        <w:t xml:space="preserve">Tā kā pārsūdzētais lēmums nav pamatots ar </w:t>
      </w:r>
      <w:r w:rsidR="00447223">
        <w:rPr>
          <w:shd w:val="clear" w:color="auto" w:fill="FFFFFF"/>
        </w:rPr>
        <w:t xml:space="preserve">šo normu </w:t>
      </w:r>
      <w:r w:rsidR="007D66E8" w:rsidRPr="007D66E8">
        <w:rPr>
          <w:shd w:val="clear" w:color="auto" w:fill="FFFFFF"/>
        </w:rPr>
        <w:t>un lēmumā nav iekļauts minētā panta</w:t>
      </w:r>
      <w:r w:rsidR="007D66E8">
        <w:rPr>
          <w:shd w:val="clear" w:color="auto" w:fill="FFFFFF"/>
        </w:rPr>
        <w:t xml:space="preserve"> </w:t>
      </w:r>
      <w:r w:rsidR="007D66E8" w:rsidRPr="007D66E8">
        <w:rPr>
          <w:shd w:val="clear" w:color="auto" w:fill="FFFFFF"/>
        </w:rPr>
        <w:t>septītajā daļā norādītais nosacījums</w:t>
      </w:r>
      <w:r w:rsidR="00877082">
        <w:rPr>
          <w:shd w:val="clear" w:color="auto" w:fill="FFFFFF"/>
        </w:rPr>
        <w:t xml:space="preserve"> (</w:t>
      </w:r>
      <w:r w:rsidR="007D66E8" w:rsidRPr="007D66E8">
        <w:rPr>
          <w:shd w:val="clear" w:color="auto" w:fill="FFFFFF"/>
        </w:rPr>
        <w:t>pašvaldības izsniegtā atļauja organizēt</w:t>
      </w:r>
      <w:r w:rsidR="007D66E8">
        <w:rPr>
          <w:shd w:val="clear" w:color="auto" w:fill="FFFFFF"/>
        </w:rPr>
        <w:t xml:space="preserve"> </w:t>
      </w:r>
      <w:r w:rsidR="007D66E8" w:rsidRPr="007D66E8">
        <w:rPr>
          <w:shd w:val="clear" w:color="auto" w:fill="FFFFFF"/>
        </w:rPr>
        <w:t>attiecīgās azartspēles konkrētajās telpās zaudē spēku pēc pieciem gadiem, skaitot no</w:t>
      </w:r>
      <w:r w:rsidR="007D66E8">
        <w:rPr>
          <w:shd w:val="clear" w:color="auto" w:fill="FFFFFF"/>
        </w:rPr>
        <w:t xml:space="preserve"> </w:t>
      </w:r>
      <w:r w:rsidR="007D66E8" w:rsidRPr="007D66E8">
        <w:rPr>
          <w:shd w:val="clear" w:color="auto" w:fill="FFFFFF"/>
        </w:rPr>
        <w:t>attiecīgā domes lēmuma spēkā stāšanās dienas</w:t>
      </w:r>
      <w:r w:rsidR="00877082">
        <w:rPr>
          <w:shd w:val="clear" w:color="auto" w:fill="FFFFFF"/>
        </w:rPr>
        <w:t>)</w:t>
      </w:r>
      <w:r w:rsidR="00E85BA0">
        <w:rPr>
          <w:shd w:val="clear" w:color="auto" w:fill="FFFFFF"/>
        </w:rPr>
        <w:t>,</w:t>
      </w:r>
      <w:r w:rsidR="007D66E8" w:rsidRPr="007D66E8">
        <w:rPr>
          <w:shd w:val="clear" w:color="auto" w:fill="FFFFFF"/>
        </w:rPr>
        <w:t xml:space="preserve"> pārsūdzētais</w:t>
      </w:r>
      <w:r w:rsidR="007D66E8">
        <w:rPr>
          <w:shd w:val="clear" w:color="auto" w:fill="FFFFFF"/>
        </w:rPr>
        <w:t xml:space="preserve"> </w:t>
      </w:r>
      <w:r w:rsidR="007D66E8" w:rsidRPr="007D66E8">
        <w:rPr>
          <w:shd w:val="clear" w:color="auto" w:fill="FFFFFF"/>
        </w:rPr>
        <w:t>lēmums</w:t>
      </w:r>
      <w:r w:rsidR="00447223">
        <w:rPr>
          <w:shd w:val="clear" w:color="auto" w:fill="FFFFFF"/>
        </w:rPr>
        <w:t xml:space="preserve"> </w:t>
      </w:r>
      <w:r w:rsidR="007D66E8" w:rsidRPr="007D66E8">
        <w:rPr>
          <w:shd w:val="clear" w:color="auto" w:fill="FFFFFF"/>
        </w:rPr>
        <w:t>atzīstams par prettiesisku.</w:t>
      </w:r>
      <w:r w:rsidR="00A73277" w:rsidRPr="00A73277">
        <w:rPr>
          <w:shd w:val="clear" w:color="auto" w:fill="FFFFFF"/>
        </w:rPr>
        <w:t xml:space="preserve"> </w:t>
      </w:r>
    </w:p>
    <w:p w14:paraId="7EF8900E" w14:textId="5104C851" w:rsidR="006239B3" w:rsidRPr="005D1464" w:rsidRDefault="007627E2" w:rsidP="006306F5">
      <w:pPr>
        <w:pStyle w:val="NormalWeb"/>
        <w:shd w:val="clear" w:color="auto" w:fill="FFFFFF"/>
        <w:spacing w:before="0" w:beforeAutospacing="0" w:after="0" w:afterAutospacing="0" w:line="276" w:lineRule="auto"/>
        <w:ind w:firstLine="720"/>
        <w:jc w:val="both"/>
      </w:pPr>
      <w:r>
        <w:rPr>
          <w:shd w:val="clear" w:color="auto" w:fill="FFFFFF"/>
        </w:rPr>
        <w:t>[2.</w:t>
      </w:r>
      <w:r w:rsidR="00447223">
        <w:rPr>
          <w:shd w:val="clear" w:color="auto" w:fill="FFFFFF"/>
        </w:rPr>
        <w:t>3</w:t>
      </w:r>
      <w:r>
        <w:rPr>
          <w:shd w:val="clear" w:color="auto" w:fill="FFFFFF"/>
        </w:rPr>
        <w:t>]</w:t>
      </w:r>
      <w:r w:rsidR="00905AE2">
        <w:rPr>
          <w:shd w:val="clear" w:color="auto" w:fill="FFFFFF"/>
        </w:rPr>
        <w:t> </w:t>
      </w:r>
      <w:r w:rsidR="006239B3">
        <w:rPr>
          <w:shd w:val="clear" w:color="auto" w:fill="FFFFFF"/>
        </w:rPr>
        <w:t xml:space="preserve">Vienlaikus konstatējams, ka </w:t>
      </w:r>
      <w:r w:rsidR="006239B3" w:rsidRPr="00111CA1">
        <w:rPr>
          <w:shd w:val="clear" w:color="auto" w:fill="FFFFFF"/>
        </w:rPr>
        <w:t>tiesas sēdē pirmās instances tiesā gan</w:t>
      </w:r>
      <w:r w:rsidR="006239B3">
        <w:rPr>
          <w:shd w:val="clear" w:color="auto" w:fill="FFFFFF"/>
        </w:rPr>
        <w:t xml:space="preserve"> </w:t>
      </w:r>
      <w:r w:rsidR="006239B3" w:rsidRPr="00111CA1">
        <w:rPr>
          <w:shd w:val="clear" w:color="auto" w:fill="FFFFFF"/>
        </w:rPr>
        <w:t>pieteicēja, gan domes pārstāvis piekrita, ka pārsūdzētais lēmums pēc būtības ir</w:t>
      </w:r>
      <w:r w:rsidR="006239B3">
        <w:rPr>
          <w:shd w:val="clear" w:color="auto" w:fill="FFFFFF"/>
        </w:rPr>
        <w:t xml:space="preserve"> </w:t>
      </w:r>
      <w:r w:rsidR="006239B3" w:rsidRPr="00111CA1">
        <w:rPr>
          <w:shd w:val="clear" w:color="auto" w:fill="FFFFFF"/>
        </w:rPr>
        <w:t>Azartspēļu un izložu likuma 42.panta sestajā daļā paredzētais lēmums</w:t>
      </w:r>
      <w:r w:rsidR="006239B3">
        <w:rPr>
          <w:shd w:val="clear" w:color="auto" w:fill="FFFFFF"/>
        </w:rPr>
        <w:t>.</w:t>
      </w:r>
      <w:r w:rsidR="006239B3" w:rsidRPr="00111CA1">
        <w:rPr>
          <w:shd w:val="clear" w:color="auto" w:fill="FFFFFF"/>
        </w:rPr>
        <w:t xml:space="preserve"> </w:t>
      </w:r>
      <w:r w:rsidR="006239B3">
        <w:rPr>
          <w:shd w:val="clear" w:color="auto" w:fill="FFFFFF"/>
        </w:rPr>
        <w:t>T</w:t>
      </w:r>
      <w:r w:rsidR="006239B3" w:rsidRPr="00111CA1">
        <w:rPr>
          <w:shd w:val="clear" w:color="auto" w:fill="FFFFFF"/>
        </w:rPr>
        <w:t>omēr atšķīrās</w:t>
      </w:r>
      <w:r w:rsidR="006239B3">
        <w:rPr>
          <w:shd w:val="clear" w:color="auto" w:fill="FFFFFF"/>
        </w:rPr>
        <w:t xml:space="preserve"> </w:t>
      </w:r>
      <w:r w:rsidR="006239B3" w:rsidRPr="00111CA1">
        <w:rPr>
          <w:shd w:val="clear" w:color="auto" w:fill="FFFFFF"/>
        </w:rPr>
        <w:t>pušu viedokļi, vai lēmumā ietverts pietiekams un tiesisks pamatojums</w:t>
      </w:r>
      <w:r w:rsidR="006239B3">
        <w:rPr>
          <w:shd w:val="clear" w:color="auto" w:fill="FFFFFF"/>
        </w:rPr>
        <w:t>.</w:t>
      </w:r>
    </w:p>
    <w:p w14:paraId="3412EFD0" w14:textId="43536753" w:rsidR="002113D8" w:rsidRDefault="006239B3"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[2.4]</w:t>
      </w:r>
      <w:r w:rsidR="00905AE2">
        <w:rPr>
          <w:shd w:val="clear" w:color="auto" w:fill="FFFFFF"/>
        </w:rPr>
        <w:t> </w:t>
      </w:r>
      <w:r w:rsidR="000A7E44">
        <w:rPr>
          <w:shd w:val="clear" w:color="auto" w:fill="FFFFFF"/>
        </w:rPr>
        <w:t xml:space="preserve">No Salaspils pilsētas teritorijas daļas lokālplānojuma paskaidrojuma raksta izriet, ka </w:t>
      </w:r>
      <w:r w:rsidR="00E85BA0">
        <w:rPr>
          <w:shd w:val="clear" w:color="auto" w:fill="FFFFFF"/>
        </w:rPr>
        <w:t>t</w:t>
      </w:r>
      <w:r w:rsidR="000A7E44">
        <w:rPr>
          <w:shd w:val="clear" w:color="auto" w:fill="FFFFFF"/>
        </w:rPr>
        <w:t xml:space="preserve">as attiecas uz vienlaidus teritoriju, kas aptver Salaspils pilsētas centru. </w:t>
      </w:r>
      <w:r w:rsidR="002113D8">
        <w:rPr>
          <w:shd w:val="clear" w:color="auto" w:fill="FFFFFF"/>
        </w:rPr>
        <w:t>Paskaidrojuma rakstā pausti apsvērumi, kas attiecas uz visu šo teritoriju, neizdalot atsevišķas tās daļas. Līdz ar to šie apsvērumi pilnībā attiecināmi arī uz atļaujas atcelšanu strīdus vietā.</w:t>
      </w:r>
      <w:r>
        <w:rPr>
          <w:shd w:val="clear" w:color="auto" w:fill="FFFFFF"/>
        </w:rPr>
        <w:t xml:space="preserve"> </w:t>
      </w:r>
      <w:r w:rsidR="00835F79" w:rsidRPr="00835F79">
        <w:rPr>
          <w:shd w:val="clear" w:color="auto" w:fill="FFFFFF"/>
        </w:rPr>
        <w:t>Paskaidrojuma rakstā izvērsti izklāstīta azartspēļu negatīvā ietekme uz indivīdu</w:t>
      </w:r>
      <w:r w:rsidR="00835F79">
        <w:rPr>
          <w:shd w:val="clear" w:color="auto" w:fill="FFFFFF"/>
        </w:rPr>
        <w:t xml:space="preserve"> </w:t>
      </w:r>
      <w:r w:rsidR="00835F79" w:rsidRPr="00835F79">
        <w:rPr>
          <w:shd w:val="clear" w:color="auto" w:fill="FFFFFF"/>
        </w:rPr>
        <w:t>un plašāku sabiedrību.</w:t>
      </w:r>
      <w:r w:rsidR="00835F79">
        <w:rPr>
          <w:shd w:val="clear" w:color="auto" w:fill="FFFFFF"/>
        </w:rPr>
        <w:t xml:space="preserve"> </w:t>
      </w:r>
      <w:r w:rsidR="00835F79" w:rsidRPr="00835F79">
        <w:rPr>
          <w:shd w:val="clear" w:color="auto" w:fill="FFFFFF"/>
        </w:rPr>
        <w:t>Izvirzīti arī trīs kritēriji, pēc kuriem nosakāmas teritorijas, kurās nepieciešams</w:t>
      </w:r>
      <w:r w:rsidR="00835F79">
        <w:rPr>
          <w:shd w:val="clear" w:color="auto" w:fill="FFFFFF"/>
        </w:rPr>
        <w:t xml:space="preserve"> </w:t>
      </w:r>
      <w:r w:rsidR="00835F79" w:rsidRPr="00835F79">
        <w:rPr>
          <w:shd w:val="clear" w:color="auto" w:fill="FFFFFF"/>
        </w:rPr>
        <w:t>ierobežot azartspēļu organizēšanas vietas: 1)</w:t>
      </w:r>
      <w:r w:rsidR="00E85BA0">
        <w:rPr>
          <w:shd w:val="clear" w:color="auto" w:fill="FFFFFF"/>
        </w:rPr>
        <w:t> </w:t>
      </w:r>
      <w:r w:rsidR="00835F79" w:rsidRPr="00835F79">
        <w:rPr>
          <w:shd w:val="clear" w:color="auto" w:fill="FFFFFF"/>
        </w:rPr>
        <w:t>blīvi apdzīvotas dzīvojamās apbūves</w:t>
      </w:r>
      <w:r w:rsidR="00835F79">
        <w:rPr>
          <w:shd w:val="clear" w:color="auto" w:fill="FFFFFF"/>
        </w:rPr>
        <w:t xml:space="preserve"> </w:t>
      </w:r>
      <w:r w:rsidR="00835F79" w:rsidRPr="00835F79">
        <w:rPr>
          <w:shd w:val="clear" w:color="auto" w:fill="FFFFFF"/>
        </w:rPr>
        <w:t>teritorijas, 2)</w:t>
      </w:r>
      <w:r w:rsidR="00E85BA0">
        <w:rPr>
          <w:shd w:val="clear" w:color="auto" w:fill="FFFFFF"/>
        </w:rPr>
        <w:t> </w:t>
      </w:r>
      <w:r w:rsidR="00835F79" w:rsidRPr="00835F79">
        <w:rPr>
          <w:shd w:val="clear" w:color="auto" w:fill="FFFFFF"/>
        </w:rPr>
        <w:t>pilsētvide, kuru ikdienā lieto liela novada iedzīvotāju daļa, tostarp riska</w:t>
      </w:r>
      <w:r w:rsidR="00835F79">
        <w:rPr>
          <w:shd w:val="clear" w:color="auto" w:fill="FFFFFF"/>
        </w:rPr>
        <w:t xml:space="preserve"> </w:t>
      </w:r>
      <w:r w:rsidR="00835F79" w:rsidRPr="00835F79">
        <w:rPr>
          <w:shd w:val="clear" w:color="auto" w:fill="FFFFFF"/>
        </w:rPr>
        <w:t>grupas, 3)</w:t>
      </w:r>
      <w:r w:rsidR="00E85BA0">
        <w:rPr>
          <w:shd w:val="clear" w:color="auto" w:fill="FFFFFF"/>
        </w:rPr>
        <w:t> </w:t>
      </w:r>
      <w:r w:rsidR="00835F79" w:rsidRPr="00835F79">
        <w:rPr>
          <w:shd w:val="clear" w:color="auto" w:fill="FFFFFF"/>
        </w:rPr>
        <w:t>teritorijas, kuras tiek piedāvātas pilsētas viesiem un tiek uztvertas kā</w:t>
      </w:r>
      <w:r w:rsidR="00835F79">
        <w:rPr>
          <w:shd w:val="clear" w:color="auto" w:fill="FFFFFF"/>
        </w:rPr>
        <w:t xml:space="preserve"> </w:t>
      </w:r>
      <w:r w:rsidR="00835F79" w:rsidRPr="00835F79">
        <w:rPr>
          <w:shd w:val="clear" w:color="auto" w:fill="FFFFFF"/>
        </w:rPr>
        <w:t>pašvaldības vizītkarte. Papildus uzsvērts, ka azartspēļu</w:t>
      </w:r>
      <w:r w:rsidR="00835F79">
        <w:rPr>
          <w:shd w:val="clear" w:color="auto" w:fill="FFFFFF"/>
        </w:rPr>
        <w:t xml:space="preserve"> </w:t>
      </w:r>
      <w:r w:rsidR="00835F79" w:rsidRPr="00835F79">
        <w:rPr>
          <w:shd w:val="clear" w:color="auto" w:fill="FFFFFF"/>
        </w:rPr>
        <w:t>organizēšanas vietu darbība nav savienojama ar Salaspils novada ilgtspējīgas</w:t>
      </w:r>
      <w:r w:rsidR="00835F79">
        <w:rPr>
          <w:shd w:val="clear" w:color="auto" w:fill="FFFFFF"/>
        </w:rPr>
        <w:t xml:space="preserve"> </w:t>
      </w:r>
      <w:r w:rsidR="00835F79" w:rsidRPr="00835F79">
        <w:rPr>
          <w:shd w:val="clear" w:color="auto" w:fill="FFFFFF"/>
        </w:rPr>
        <w:t>attīstības stratēģijā 2014.</w:t>
      </w:r>
      <w:r w:rsidR="00E85BA0">
        <w:rPr>
          <w:shd w:val="clear" w:color="auto" w:fill="FFFFFF"/>
        </w:rPr>
        <w:t>–</w:t>
      </w:r>
      <w:r w:rsidR="00835F79" w:rsidRPr="00835F79">
        <w:rPr>
          <w:shd w:val="clear" w:color="auto" w:fill="FFFFFF"/>
        </w:rPr>
        <w:t>2030.gadam definēto novada nozīmes attīstības centra</w:t>
      </w:r>
      <w:r w:rsidR="00835F79">
        <w:rPr>
          <w:shd w:val="clear" w:color="auto" w:fill="FFFFFF"/>
        </w:rPr>
        <w:t xml:space="preserve"> </w:t>
      </w:r>
      <w:r w:rsidR="00835F79" w:rsidRPr="00835F79">
        <w:rPr>
          <w:shd w:val="clear" w:color="auto" w:fill="FFFFFF"/>
        </w:rPr>
        <w:t>Salaspils pilsētas perspektīvo pakalpojumu klāstu, kas veido kvalitatīvu un pievilcīgu</w:t>
      </w:r>
      <w:r w:rsidR="00835F79">
        <w:rPr>
          <w:shd w:val="clear" w:color="auto" w:fill="FFFFFF"/>
        </w:rPr>
        <w:t xml:space="preserve"> </w:t>
      </w:r>
      <w:r w:rsidR="00835F79" w:rsidRPr="00835F79">
        <w:rPr>
          <w:shd w:val="clear" w:color="auto" w:fill="FFFFFF"/>
        </w:rPr>
        <w:t>dzīves vidi, īpaši domājot par ģimenei draudzīgu vidi.</w:t>
      </w:r>
      <w:r w:rsidR="002113D8">
        <w:rPr>
          <w:shd w:val="clear" w:color="auto" w:fill="FFFFFF"/>
        </w:rPr>
        <w:t xml:space="preserve"> </w:t>
      </w:r>
    </w:p>
    <w:p w14:paraId="3DE2A993" w14:textId="6553B7BC" w:rsidR="000A7E44" w:rsidRDefault="000A7E44"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Izvērtējot šos apsvērumus un Satversmes tiesas 2023.gada 20.aprīļa spriedumā Nr. 2022-13-05 skaidrotos principus, atzīstams, ka šāds pamatojums ir deklaratīvs un ierobežojums nav balstīts racionālos apsvērumos, kas pienācīgi pamatotu iepriekš izsniegtās atļaujas atcelšanu. </w:t>
      </w:r>
    </w:p>
    <w:p w14:paraId="215453E9" w14:textId="49B3BA23" w:rsidR="000A7E44" w:rsidRDefault="000A7E44"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[2.4.1] Pirmkārt, paskaidrojuma raksts nesniedz pamatojumu uzskatam, ka azartspēļu organizēšana būtu nesaderīga ar ģimeniskas vides vai ilgtspējīgas attīstības nolūku. </w:t>
      </w:r>
      <w:r w:rsidR="00D86BDB">
        <w:rPr>
          <w:shd w:val="clear" w:color="auto" w:fill="FFFFFF"/>
        </w:rPr>
        <w:t>Tāpat apsvērumi par azartspēļu negatīvu ietekmi, blīvu apbūvi vai intensīvu cilvēku plūsmu vien nav atzīstami par pietiekamiem tiesiskas uzņēmējdarbības ierobežošanai. Tiesu praksē konsekventi atzīts, ka intensīva iedzīvotāju plūsma un blīva apbūve nav apstākļi, ar ko var pamatot individuālu lēmumu par atļaujas atcelšanu. Lai gan šie apsvērumi izteikti tieši individuālas vietas novērtējuma sakarā, tie ir pietiekami vispārīgi, lai būtu attiecināmi arī uz tādu saistošo noteikumu pamatošanu, kas attiecas uz plašākām teritorijām. No paskaidrojuma raksta arī neizriet konkrēti apsvērumi, ka azartspēļu organizēšana Salaspils pilsētas teritorijas daļas lokālplānojuma teritorijā (tostarp strīdus vietā) būtu saistīta ar netipiski paaugstinātu risku attiecībā uz citām personām iespējamu kaitējumu, kas varētu izskaidrot tik būtisku ierobežojumu.</w:t>
      </w:r>
    </w:p>
    <w:p w14:paraId="0E0C9959" w14:textId="1303BF90" w:rsidR="00D86BDB" w:rsidRDefault="00D86BDB"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[2.4.2]</w:t>
      </w:r>
      <w:r w:rsidR="0061335B">
        <w:rPr>
          <w:shd w:val="clear" w:color="auto" w:fill="FFFFFF"/>
        </w:rPr>
        <w:t> </w:t>
      </w:r>
      <w:r>
        <w:rPr>
          <w:shd w:val="clear" w:color="auto" w:fill="FFFFFF"/>
        </w:rPr>
        <w:t>Otrkārt, par deklaratīvu atzīstama norāde, ka viens no Salaspils pilsētas teritorijas daļas lokālplānojuma mērķiem ir arī nodrošināt tādu pakalpojumu klāstu un infrastruktūru, kas ir atbilstoša mūsdienīgai uzņēmējdarbības videi. Paskaidrojuma rakstā nav minēti konkrēti plāni jebkādām darbībām, kas šo mērķi veicinātu. Pašvaldība argumentē, ka ierobežojums neattiecas uz visu teritoriju, bet tikai uz Salaspils centru, kas esot 29</w:t>
      </w:r>
      <w:r w:rsidR="0061335B">
        <w:rPr>
          <w:shd w:val="clear" w:color="auto" w:fill="FFFFFF"/>
        </w:rPr>
        <w:t> </w:t>
      </w:r>
      <w:r>
        <w:rPr>
          <w:shd w:val="clear" w:color="auto" w:fill="FFFFFF"/>
        </w:rPr>
        <w:t xml:space="preserve">% no pilsētas teritorijas. Tomēr, novērtējot komersantiem atstātās iespējas, secināms, ka lokālplānojuma sekas, ņemot vērā arī citus jau pastāvējušus ierobežojumus, rada ievērojami būtiskāku ierobežojumu. Salaspils pilsētas teritorijas daļas </w:t>
      </w:r>
      <w:r w:rsidR="00DB7B3F">
        <w:rPr>
          <w:shd w:val="clear" w:color="auto" w:fill="FFFFFF"/>
        </w:rPr>
        <w:t xml:space="preserve">lokālplānojuma ietekme nav vērtējama izolēti no citiem apstākļiem, tādēļ apsvērumiem, kas varētu attaisnot papildus noteiktos ierobežojumus, būtu jābūt vismaz līdzvērtīgi nozīmīgiem. Tādi paskaidrojuma rakstā nav minēti. Līdz ar to paskaidrojuma raksts neatspoguļo pieteicējas, kam adresēts pārsūdzētais lēmums, tiesisko interešu pienācīgu izvērtējumu un samērošanu ar sabiedrības interesēm. Tādēļ tas nevar kalpot kā pietiekams pamats privātpersonai labvēlīgā administratīvā akta atcelšanai. </w:t>
      </w:r>
    </w:p>
    <w:p w14:paraId="7099223D" w14:textId="42E8EE77" w:rsidR="00DB7B3F" w:rsidRDefault="00DB7B3F"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[2.5] L</w:t>
      </w:r>
      <w:r w:rsidRPr="00CD4AFB">
        <w:rPr>
          <w:shd w:val="clear" w:color="auto" w:fill="FFFFFF"/>
        </w:rPr>
        <w:t xml:space="preserve">ai gan </w:t>
      </w:r>
      <w:r>
        <w:rPr>
          <w:shd w:val="clear" w:color="auto" w:fill="FFFFFF"/>
        </w:rPr>
        <w:t>Salaspils pilsētas teritorijas daļas l</w:t>
      </w:r>
      <w:r w:rsidRPr="00CD4AFB">
        <w:rPr>
          <w:shd w:val="clear" w:color="auto" w:fill="FFFFFF"/>
        </w:rPr>
        <w:t>okālplānojuma pamatojums atzīstams par</w:t>
      </w:r>
      <w:r>
        <w:rPr>
          <w:shd w:val="clear" w:color="auto" w:fill="FFFFFF"/>
        </w:rPr>
        <w:t xml:space="preserve"> </w:t>
      </w:r>
      <w:r w:rsidRPr="00CD4AFB">
        <w:rPr>
          <w:shd w:val="clear" w:color="auto" w:fill="FFFFFF"/>
        </w:rPr>
        <w:t>nepietiekamu</w:t>
      </w:r>
      <w:r>
        <w:rPr>
          <w:shd w:val="clear" w:color="auto" w:fill="FFFFFF"/>
        </w:rPr>
        <w:t>,</w:t>
      </w:r>
      <w:r w:rsidRPr="00CD4AFB">
        <w:rPr>
          <w:shd w:val="clear" w:color="auto" w:fill="FFFFFF"/>
        </w:rPr>
        <w:t xml:space="preserve"> nav saskatāma nepieciešamība vērsties Satversmes tiesā ar</w:t>
      </w:r>
      <w:r>
        <w:rPr>
          <w:shd w:val="clear" w:color="auto" w:fill="FFFFFF"/>
        </w:rPr>
        <w:t xml:space="preserve"> </w:t>
      </w:r>
      <w:r w:rsidRPr="00CD4AFB">
        <w:rPr>
          <w:shd w:val="clear" w:color="auto" w:fill="FFFFFF"/>
        </w:rPr>
        <w:t xml:space="preserve">pieteikumu par vispārīgu </w:t>
      </w:r>
      <w:r>
        <w:rPr>
          <w:shd w:val="clear" w:color="auto" w:fill="FFFFFF"/>
        </w:rPr>
        <w:t>l</w:t>
      </w:r>
      <w:r w:rsidRPr="00CD4AFB">
        <w:rPr>
          <w:shd w:val="clear" w:color="auto" w:fill="FFFFFF"/>
        </w:rPr>
        <w:t>okālplānojuma atbilstību augstāka juridiskā spēka</w:t>
      </w:r>
      <w:r>
        <w:rPr>
          <w:shd w:val="clear" w:color="auto" w:fill="FFFFFF"/>
        </w:rPr>
        <w:t xml:space="preserve"> </w:t>
      </w:r>
      <w:r w:rsidRPr="00CD4AFB">
        <w:rPr>
          <w:shd w:val="clear" w:color="auto" w:fill="FFFFFF"/>
        </w:rPr>
        <w:t>normām.</w:t>
      </w:r>
    </w:p>
    <w:p w14:paraId="40EFD88B" w14:textId="77777777" w:rsidR="00F64A7B" w:rsidRDefault="00F64A7B" w:rsidP="006306F5">
      <w:pPr>
        <w:pStyle w:val="NormalWeb"/>
        <w:shd w:val="clear" w:color="auto" w:fill="FFFFFF"/>
        <w:spacing w:before="0" w:beforeAutospacing="0" w:after="0" w:afterAutospacing="0" w:line="276" w:lineRule="auto"/>
        <w:jc w:val="both"/>
        <w:rPr>
          <w:shd w:val="clear" w:color="auto" w:fill="FFFFFF"/>
        </w:rPr>
      </w:pPr>
    </w:p>
    <w:p w14:paraId="23FEC0E8" w14:textId="26C8241D" w:rsidR="00F64A7B" w:rsidRDefault="00F64A7B"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w:t>
      </w:r>
      <w:r w:rsidR="00161424">
        <w:rPr>
          <w:shd w:val="clear" w:color="auto" w:fill="FFFFFF"/>
        </w:rPr>
        <w:t xml:space="preserve">Dome iesniedza kasācijas sūdzību par apgabaltiesas spriedumu. </w:t>
      </w:r>
      <w:r w:rsidR="00161424" w:rsidRPr="00161424">
        <w:rPr>
          <w:shd w:val="clear" w:color="auto" w:fill="FFFFFF"/>
        </w:rPr>
        <w:t>Kasācijas sūdzīb</w:t>
      </w:r>
      <w:r w:rsidR="00E85BA0">
        <w:rPr>
          <w:shd w:val="clear" w:color="auto" w:fill="FFFFFF"/>
        </w:rPr>
        <w:t>a</w:t>
      </w:r>
      <w:r w:rsidR="00161424" w:rsidRPr="00161424">
        <w:rPr>
          <w:shd w:val="clear" w:color="auto" w:fill="FFFFFF"/>
        </w:rPr>
        <w:t xml:space="preserve"> </w:t>
      </w:r>
      <w:r w:rsidR="0079308B">
        <w:rPr>
          <w:shd w:val="clear" w:color="auto" w:fill="FFFFFF"/>
        </w:rPr>
        <w:t>pamatota ar turpmāk norādītajiem argumentiem.</w:t>
      </w:r>
    </w:p>
    <w:p w14:paraId="5A470A00" w14:textId="062DF3D9" w:rsidR="005E1771" w:rsidRDefault="009022A1"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[3.1] Pārsūdzētais lēmums pieņemts, jo spēkā stājies </w:t>
      </w:r>
      <w:r w:rsidR="008C15CE">
        <w:rPr>
          <w:shd w:val="clear" w:color="auto" w:fill="FFFFFF"/>
        </w:rPr>
        <w:t xml:space="preserve">Salaspils pilsētas teritorijas daļas </w:t>
      </w:r>
      <w:r>
        <w:rPr>
          <w:shd w:val="clear" w:color="auto" w:fill="FFFFFF"/>
        </w:rPr>
        <w:t>lokālplānojums</w:t>
      </w:r>
      <w:r w:rsidR="00DF47ED">
        <w:rPr>
          <w:shd w:val="clear" w:color="auto" w:fill="FFFFFF"/>
        </w:rPr>
        <w:t>.</w:t>
      </w:r>
      <w:r w:rsidR="005E1771">
        <w:rPr>
          <w:shd w:val="clear" w:color="auto" w:fill="FFFFFF"/>
        </w:rPr>
        <w:t xml:space="preserve"> Lokālplānojumā noteiktais azartspēļu organizēšanas ierobežojums ir noteikts, lai nodrošinātu citu cilvēku tiesību aizsardzību un sabiedrības labklājības aizsardzību. Līdz ar to šim ierobežojumam ir leģitīms mērķis. Lokālplānojums ir izstrādāts teritorijas plānošanas procesā, samērojot pašvaldības iedzīvotāju un attiecīgu komersantu intereses.</w:t>
      </w:r>
      <w:r w:rsidR="008F4B47">
        <w:rPr>
          <w:shd w:val="clear" w:color="auto" w:fill="FFFFFF"/>
        </w:rPr>
        <w:t xml:space="preserve"> Tāpēc t</w:t>
      </w:r>
      <w:r w:rsidR="005E1771">
        <w:rPr>
          <w:shd w:val="clear" w:color="auto" w:fill="FFFFFF"/>
        </w:rPr>
        <w:t>iesai bija jāņem vērā, ka dome, pārsūdzētajā lēmumā atsaucoties uz lokālplānojumā noteiktajiem ierobežojumiem, ir piepildījusi ar saturu Azartspēļu un izložu likuma 42.panta sestajā daļā ietverto nenoteikto tiesību jēdzienu „būtisks valsts un attiecīgās administratīvās teritorijas iedzīvotāju interešu aizskārums”.</w:t>
      </w:r>
      <w:r w:rsidR="000C20EC">
        <w:rPr>
          <w:shd w:val="clear" w:color="auto" w:fill="FFFFFF"/>
        </w:rPr>
        <w:t xml:space="preserve"> Šāds uzskats ir pamatots ar to, ka pašvaldība, izdodot saistošos noteikumus, kur azartspēļu organizēšana konkrētās pašvaldības administratīvajā teritorijā nav atļauta, ir izvērtējusi attiecīgās administratīvās teritorijas iedzīvotāju intereses, nosakot atbilstošus ierobežojumus. </w:t>
      </w:r>
      <w:r w:rsidR="008F4B47">
        <w:rPr>
          <w:shd w:val="clear" w:color="auto" w:fill="FFFFFF"/>
        </w:rPr>
        <w:t>Turklāt pašvaldības rīcībai pret visiem azartspēļu organizētājiem (tirgus dalībniekiem) jābūt vienādai. Tas nozīmē, ka pašvaldībai ir ne tikai jārūpējas par to, lai vietās, kur tas ir aizliegts, netiktu atvērtas jaunas azartspēļu vietas, bet arī par to, lai tiktu slēgtas esošās.</w:t>
      </w:r>
      <w:r w:rsidR="008B38D2">
        <w:rPr>
          <w:shd w:val="clear" w:color="auto" w:fill="FFFFFF"/>
        </w:rPr>
        <w:t xml:space="preserve"> Tā tiek panākta vienlīdzīga attieksme pret visiem komersantiem. </w:t>
      </w:r>
    </w:p>
    <w:p w14:paraId="62F055F9" w14:textId="09A3F8D4" w:rsidR="008F4B47" w:rsidRDefault="008F4B47"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w:t>
      </w:r>
      <w:r w:rsidR="0061335B">
        <w:rPr>
          <w:shd w:val="clear" w:color="auto" w:fill="FFFFFF"/>
        </w:rPr>
        <w:t> </w:t>
      </w:r>
      <w:r w:rsidR="00E236FF" w:rsidRPr="009022A1">
        <w:rPr>
          <w:shd w:val="clear" w:color="auto" w:fill="FFFFFF"/>
        </w:rPr>
        <w:t>Tiesa, atsaucoties uz Satversmes tiesas 2023.gada 20.aprīļa sprieduma lietā Nr.</w:t>
      </w:r>
      <w:r w:rsidR="00E236FF">
        <w:rPr>
          <w:shd w:val="clear" w:color="auto" w:fill="FFFFFF"/>
        </w:rPr>
        <w:t> </w:t>
      </w:r>
      <w:r w:rsidR="00E236FF" w:rsidRPr="009022A1">
        <w:rPr>
          <w:shd w:val="clear" w:color="auto" w:fill="FFFFFF"/>
        </w:rPr>
        <w:t xml:space="preserve">2022-13-05 20.punktā paustajām atziņām, secina, ka </w:t>
      </w:r>
      <w:r w:rsidR="00E236FF">
        <w:rPr>
          <w:shd w:val="clear" w:color="auto" w:fill="FFFFFF"/>
        </w:rPr>
        <w:t>pārsūdzēt</w:t>
      </w:r>
      <w:r w:rsidR="00AE0F9D">
        <w:rPr>
          <w:shd w:val="clear" w:color="auto" w:fill="FFFFFF"/>
        </w:rPr>
        <w:t>ajam</w:t>
      </w:r>
      <w:r w:rsidR="00E236FF">
        <w:rPr>
          <w:shd w:val="clear" w:color="auto" w:fill="FFFFFF"/>
        </w:rPr>
        <w:t xml:space="preserve"> l</w:t>
      </w:r>
      <w:r w:rsidR="00E236FF" w:rsidRPr="009022A1">
        <w:rPr>
          <w:shd w:val="clear" w:color="auto" w:fill="FFFFFF"/>
        </w:rPr>
        <w:t>ēmumam bija jābalstās uz individuālu apstākļu izvērtējumu</w:t>
      </w:r>
      <w:r w:rsidR="00E236FF">
        <w:rPr>
          <w:shd w:val="clear" w:color="auto" w:fill="FFFFFF"/>
        </w:rPr>
        <w:t>.</w:t>
      </w:r>
      <w:r w:rsidR="00E236FF" w:rsidRPr="00BE1519">
        <w:rPr>
          <w:shd w:val="clear" w:color="auto" w:fill="FFFFFF"/>
        </w:rPr>
        <w:t xml:space="preserve"> </w:t>
      </w:r>
      <w:r w:rsidR="00E236FF" w:rsidRPr="009022A1">
        <w:rPr>
          <w:shd w:val="clear" w:color="auto" w:fill="FFFFFF"/>
        </w:rPr>
        <w:t>Tiesa nav ņēmusi vērā to, ka minētais Satversmes tiesas spriedums ir pieņemts lietā, kurā skatīts pieteikums par tādiem citas pašvaldības saistošajiem noteikumiem, kas</w:t>
      </w:r>
      <w:r w:rsidR="00E236FF">
        <w:rPr>
          <w:shd w:val="clear" w:color="auto" w:fill="FFFFFF"/>
        </w:rPr>
        <w:t xml:space="preserve"> nav pieņemti teritorijas plānošanas procesā.</w:t>
      </w:r>
    </w:p>
    <w:p w14:paraId="6C28252F" w14:textId="46FA6580" w:rsidR="00E236FF" w:rsidRDefault="00E236FF"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[3.3]</w:t>
      </w:r>
      <w:r w:rsidR="0061335B">
        <w:rPr>
          <w:shd w:val="clear" w:color="auto" w:fill="FFFFFF"/>
        </w:rPr>
        <w:t> </w:t>
      </w:r>
      <w:r w:rsidR="00EB1F1E">
        <w:rPr>
          <w:shd w:val="clear" w:color="auto" w:fill="FFFFFF"/>
        </w:rPr>
        <w:t>Tiesa nepamatoti secinājusi, ka pārsūdzētais lēmums pieņemts, piemērojot nepareizas tiesību normas un tajā nav pietiekama pamatojuma pieteicējai labvēlīgā administratīvā ak</w:t>
      </w:r>
      <w:r w:rsidR="006166FD">
        <w:rPr>
          <w:shd w:val="clear" w:color="auto" w:fill="FFFFFF"/>
        </w:rPr>
        <w:t>t</w:t>
      </w:r>
      <w:r w:rsidR="00EB1F1E">
        <w:rPr>
          <w:shd w:val="clear" w:color="auto" w:fill="FFFFFF"/>
        </w:rPr>
        <w:t>a atcelšanai. Saistošie noteikumi (šeit lokālplānojums) ir viens no azartspēļu organizēšanas ierobežošanas veidiem</w:t>
      </w:r>
      <w:r w:rsidR="000916F2">
        <w:rPr>
          <w:shd w:val="clear" w:color="auto" w:fill="FFFFFF"/>
        </w:rPr>
        <w:t>, un</w:t>
      </w:r>
      <w:r w:rsidR="00EB1F1E">
        <w:rPr>
          <w:shd w:val="clear" w:color="auto" w:fill="FFFFFF"/>
        </w:rPr>
        <w:t xml:space="preserve"> kā tiesisks risinājums var darboties līdztekus pārējiem ierobežošanas veidiem. Tas nozīmē, ka pašvaldībai</w:t>
      </w:r>
      <w:r w:rsidR="006166FD">
        <w:rPr>
          <w:shd w:val="clear" w:color="auto" w:fill="FFFFFF"/>
        </w:rPr>
        <w:t>,</w:t>
      </w:r>
      <w:r w:rsidR="00EB1F1E">
        <w:rPr>
          <w:shd w:val="clear" w:color="auto" w:fill="FFFFFF"/>
        </w:rPr>
        <w:t xml:space="preserve"> pieņemot lēmumu, kas balstīts uz Salaspils pilsētas teritorijas daļas lokālplānojumu, nebija vēl papildus jāvērtē valsts un pašvaldības administratīvās teritorijas iedzīvotāju interešu aizskāruma būtiskums un tādēļ lēmums jāpamato ar Azartspēļu un izložu likuma 42.panta sesto daļu. </w:t>
      </w:r>
    </w:p>
    <w:p w14:paraId="44A3C9BD" w14:textId="1ECAEC1A" w:rsidR="000916F2" w:rsidRDefault="000916F2"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[3.4]</w:t>
      </w:r>
      <w:r w:rsidR="0061335B">
        <w:rPr>
          <w:shd w:val="clear" w:color="auto" w:fill="FFFFFF"/>
        </w:rPr>
        <w:t> </w:t>
      </w:r>
      <w:r>
        <w:rPr>
          <w:shd w:val="clear" w:color="auto" w:fill="FFFFFF"/>
        </w:rPr>
        <w:t>Tiesa nav atbilstoši Administratīvā procesa likuma 104.panta prasībām veikusi tiesību normu hierarhijas kontroli. Lai gan tiesa norāda, ka Sa</w:t>
      </w:r>
      <w:r w:rsidR="006166FD">
        <w:rPr>
          <w:shd w:val="clear" w:color="auto" w:fill="FFFFFF"/>
        </w:rPr>
        <w:t>l</w:t>
      </w:r>
      <w:r>
        <w:rPr>
          <w:shd w:val="clear" w:color="auto" w:fill="FFFFFF"/>
        </w:rPr>
        <w:t xml:space="preserve">aspils pilsētas teritorijas daļas lokālplānojuma tiesiskums nav šīs lietas priekšmets, tomēr sprieduma pamatojums ir balstīts uz lokālplānojuma izvērtējumu. Ja tiesa uzskatīja, ka Salaspils pilsētas teritorijas daļas lokālplānojums nav piemērojams, tai </w:t>
      </w:r>
      <w:r w:rsidRPr="00E14B51">
        <w:rPr>
          <w:shd w:val="clear" w:color="auto" w:fill="FFFFFF"/>
        </w:rPr>
        <w:t xml:space="preserve">bija jānorāda konkrēta </w:t>
      </w:r>
      <w:r>
        <w:rPr>
          <w:shd w:val="clear" w:color="auto" w:fill="FFFFFF"/>
        </w:rPr>
        <w:t>š</w:t>
      </w:r>
      <w:r w:rsidR="006166FD">
        <w:rPr>
          <w:shd w:val="clear" w:color="auto" w:fill="FFFFFF"/>
        </w:rPr>
        <w:t>ā</w:t>
      </w:r>
      <w:r>
        <w:rPr>
          <w:shd w:val="clear" w:color="auto" w:fill="FFFFFF"/>
        </w:rPr>
        <w:t xml:space="preserve"> l</w:t>
      </w:r>
      <w:r w:rsidRPr="00E14B51">
        <w:rPr>
          <w:shd w:val="clear" w:color="auto" w:fill="FFFFFF"/>
        </w:rPr>
        <w:t>okālplānojuma norma, kuru tā nepiemēro, kā arī jāpamato savs viedoklis par tā</w:t>
      </w:r>
      <w:r>
        <w:rPr>
          <w:shd w:val="clear" w:color="auto" w:fill="FFFFFF"/>
        </w:rPr>
        <w:t>s</w:t>
      </w:r>
      <w:r w:rsidRPr="00E14B51">
        <w:rPr>
          <w:shd w:val="clear" w:color="auto" w:fill="FFFFFF"/>
        </w:rPr>
        <w:t xml:space="preserve"> neatbilstību augstāk</w:t>
      </w:r>
      <w:r w:rsidR="006166FD">
        <w:rPr>
          <w:shd w:val="clear" w:color="auto" w:fill="FFFFFF"/>
        </w:rPr>
        <w:t>a</w:t>
      </w:r>
      <w:r w:rsidRPr="00E14B51">
        <w:rPr>
          <w:shd w:val="clear" w:color="auto" w:fill="FFFFFF"/>
        </w:rPr>
        <w:t xml:space="preserve"> juridiskā spēka tiesību normām</w:t>
      </w:r>
      <w:r>
        <w:rPr>
          <w:shd w:val="clear" w:color="auto" w:fill="FFFFFF"/>
        </w:rPr>
        <w:t>.</w:t>
      </w:r>
    </w:p>
    <w:p w14:paraId="71D99940" w14:textId="375B2AEA" w:rsidR="00411CD0" w:rsidRDefault="00E14B51" w:rsidP="006306F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[3.5]</w:t>
      </w:r>
      <w:r w:rsidR="0061335B">
        <w:rPr>
          <w:shd w:val="clear" w:color="auto" w:fill="FFFFFF"/>
        </w:rPr>
        <w:t> </w:t>
      </w:r>
      <w:r>
        <w:rPr>
          <w:shd w:val="clear" w:color="auto" w:fill="FFFFFF"/>
        </w:rPr>
        <w:t xml:space="preserve">Tiesa nav pievērsusi pienācīgu uzmanību tam, ka </w:t>
      </w:r>
      <w:r w:rsidR="00294C3A">
        <w:rPr>
          <w:shd w:val="clear" w:color="auto" w:fill="FFFFFF"/>
        </w:rPr>
        <w:t xml:space="preserve">Salaspils pilsētas teritorijas daļas </w:t>
      </w:r>
      <w:r>
        <w:rPr>
          <w:shd w:val="clear" w:color="auto" w:fill="FFFFFF"/>
        </w:rPr>
        <w:t>lokālplānojuma paskaidrojuma rakst</w:t>
      </w:r>
      <w:r w:rsidR="006166FD">
        <w:rPr>
          <w:shd w:val="clear" w:color="auto" w:fill="FFFFFF"/>
        </w:rPr>
        <w:t>ā ir</w:t>
      </w:r>
      <w:r>
        <w:rPr>
          <w:shd w:val="clear" w:color="auto" w:fill="FFFFFF"/>
        </w:rPr>
        <w:t xml:space="preserve"> pamatojum</w:t>
      </w:r>
      <w:r w:rsidR="006166FD">
        <w:rPr>
          <w:shd w:val="clear" w:color="auto" w:fill="FFFFFF"/>
        </w:rPr>
        <w:t>s</w:t>
      </w:r>
      <w:r>
        <w:rPr>
          <w:shd w:val="clear" w:color="auto" w:fill="FFFFFF"/>
        </w:rPr>
        <w:t xml:space="preserve"> tam, kāpēc pašvadība</w:t>
      </w:r>
      <w:r w:rsidR="00294C3A">
        <w:rPr>
          <w:shd w:val="clear" w:color="auto" w:fill="FFFFFF"/>
        </w:rPr>
        <w:t xml:space="preserve"> konkrētajā gadījumā</w:t>
      </w:r>
      <w:r>
        <w:rPr>
          <w:shd w:val="clear" w:color="auto" w:fill="FFFFFF"/>
        </w:rPr>
        <w:t xml:space="preserve"> ir izšķīrusies par konkrētiem risinājumiem. </w:t>
      </w:r>
    </w:p>
    <w:p w14:paraId="5A2B8DC9" w14:textId="77777777" w:rsidR="00E14B51" w:rsidRDefault="00E14B51" w:rsidP="006306F5">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6306F5">
      <w:pPr>
        <w:shd w:val="clear" w:color="auto" w:fill="FFFFFF"/>
        <w:spacing w:line="276" w:lineRule="auto"/>
        <w:jc w:val="center"/>
        <w:rPr>
          <w:b/>
        </w:rPr>
      </w:pPr>
      <w:r w:rsidRPr="00011547">
        <w:rPr>
          <w:b/>
        </w:rPr>
        <w:t>Motīvu daļa</w:t>
      </w:r>
    </w:p>
    <w:p w14:paraId="7B7D277A" w14:textId="77777777" w:rsidR="00411CD0" w:rsidRPr="00011547" w:rsidRDefault="00411CD0" w:rsidP="006306F5">
      <w:pPr>
        <w:shd w:val="clear" w:color="auto" w:fill="FFFFFF"/>
        <w:spacing w:line="276" w:lineRule="auto"/>
        <w:jc w:val="center"/>
      </w:pPr>
    </w:p>
    <w:p w14:paraId="62799314" w14:textId="56E5D4AF" w:rsidR="00617145" w:rsidRDefault="00447EE6" w:rsidP="006306F5">
      <w:pPr>
        <w:shd w:val="clear" w:color="auto" w:fill="FFFFFF"/>
        <w:spacing w:line="276" w:lineRule="auto"/>
        <w:ind w:firstLine="720"/>
        <w:jc w:val="both"/>
      </w:pPr>
      <w:r w:rsidRPr="00011547">
        <w:t>[</w:t>
      </w:r>
      <w:r w:rsidR="000E4627">
        <w:t>4</w:t>
      </w:r>
      <w:r w:rsidRPr="00011547">
        <w:t>]</w:t>
      </w:r>
      <w:r w:rsidR="000E4627">
        <w:t xml:space="preserve"> </w:t>
      </w:r>
      <w:r w:rsidR="008E1EB6">
        <w:t xml:space="preserve">Kasācijas tiesvedības ietvaros vispirms izšķirams, vai apgabaltiesas secinājums, ka pārsūdzētais lēmums nav pamatots ar Azartspēļu un izložu likuma 42.panta sesto daļu kā vienīgo tiesību normu, kas šā regulējuma ietvaros piešķir pašvaldībai tiesības </w:t>
      </w:r>
      <w:r w:rsidR="00CC1801">
        <w:t xml:space="preserve">ierobežot jau </w:t>
      </w:r>
      <w:r w:rsidR="009A5AA5">
        <w:t>uzsāktu</w:t>
      </w:r>
      <w:r w:rsidR="00CC1801">
        <w:t xml:space="preserve"> azartspēļu organizēšanu, </w:t>
      </w:r>
      <w:r w:rsidR="008E1EB6">
        <w:t xml:space="preserve">ir balstīts </w:t>
      </w:r>
      <w:r w:rsidR="009A5AA5">
        <w:t>pareizos</w:t>
      </w:r>
      <w:r w:rsidR="008E1EB6">
        <w:t xml:space="preserve"> secinājum</w:t>
      </w:r>
      <w:r w:rsidR="00185984">
        <w:t>o</w:t>
      </w:r>
      <w:r w:rsidR="008E1EB6">
        <w:t>s par to, kas uzskatāms par pārsūdzētā lēmuma pamatu Administratīvā procesa likuma 150.panta otrās daļas un 250.panta otrās daļas izpratnē.</w:t>
      </w:r>
      <w:r w:rsidR="00E65B73">
        <w:t xml:space="preserve"> </w:t>
      </w:r>
      <w:r w:rsidR="002C7180">
        <w:t>Atbilde uz minēto jautājumu rodama, vērtējot, kādu apstākļu konstatēšana atbilstoši Azartspēļu un izložu likuma 42.panta sestajai daļai ir pamats normā paredzēto tiesisko seku noteikšanai. Savukārt tālāk pārbaudāms, vai tiesas secinājumi par Salaspils pilsētas teritorijas daļas lokālplānojumu kā nepietiekamu pamatu pārsūdzētajā lēmumā noteikto tiesisko seku nodibināšanai atbilst Administratīvā procesa likuma 104.pantā nostiprinātajai tiesību normu hierarhijas kontrolei</w:t>
      </w:r>
      <w:r w:rsidR="006166FD">
        <w:t>.</w:t>
      </w:r>
    </w:p>
    <w:p w14:paraId="4621F146" w14:textId="77777777" w:rsidR="0021330C" w:rsidRDefault="0021330C" w:rsidP="006306F5">
      <w:pPr>
        <w:shd w:val="clear" w:color="auto" w:fill="FFFFFF"/>
        <w:spacing w:line="276" w:lineRule="auto"/>
        <w:ind w:firstLine="720"/>
        <w:jc w:val="both"/>
      </w:pPr>
    </w:p>
    <w:p w14:paraId="4D453B2C" w14:textId="77777777" w:rsidR="0021330C" w:rsidRDefault="0021330C" w:rsidP="006306F5">
      <w:pPr>
        <w:shd w:val="clear" w:color="auto" w:fill="FFFFFF"/>
        <w:spacing w:line="276" w:lineRule="auto"/>
        <w:ind w:firstLine="720"/>
        <w:jc w:val="both"/>
      </w:pPr>
    </w:p>
    <w:p w14:paraId="2E8C5CB7" w14:textId="77777777" w:rsidR="009857B3" w:rsidRDefault="009857B3" w:rsidP="006306F5">
      <w:pPr>
        <w:shd w:val="clear" w:color="auto" w:fill="FFFFFF"/>
        <w:spacing w:line="276" w:lineRule="auto"/>
        <w:ind w:firstLine="720"/>
        <w:jc w:val="both"/>
      </w:pPr>
    </w:p>
    <w:p w14:paraId="1B71F227" w14:textId="0378DD99" w:rsidR="009857B3" w:rsidRPr="009857B3" w:rsidRDefault="009857B3" w:rsidP="006306F5">
      <w:pPr>
        <w:shd w:val="clear" w:color="auto" w:fill="FFFFFF"/>
        <w:spacing w:line="276" w:lineRule="auto"/>
        <w:jc w:val="center"/>
        <w:rPr>
          <w:b/>
          <w:bCs/>
        </w:rPr>
      </w:pPr>
      <w:r w:rsidRPr="009857B3">
        <w:rPr>
          <w:b/>
          <w:bCs/>
        </w:rPr>
        <w:t>I</w:t>
      </w:r>
    </w:p>
    <w:p w14:paraId="0541CB9F" w14:textId="105BA2A9" w:rsidR="009857B3" w:rsidRPr="009857B3" w:rsidRDefault="009857B3" w:rsidP="006306F5">
      <w:pPr>
        <w:shd w:val="clear" w:color="auto" w:fill="FFFFFF"/>
        <w:spacing w:line="276" w:lineRule="auto"/>
        <w:jc w:val="center"/>
        <w:rPr>
          <w:i/>
          <w:iCs/>
        </w:rPr>
      </w:pPr>
      <w:r w:rsidRPr="009857B3">
        <w:rPr>
          <w:i/>
          <w:iCs/>
        </w:rPr>
        <w:t>Par pārsūdzētā lēmuma pamatu</w:t>
      </w:r>
    </w:p>
    <w:p w14:paraId="004CF844" w14:textId="77777777" w:rsidR="004A36F3" w:rsidRDefault="004A36F3" w:rsidP="006306F5">
      <w:pPr>
        <w:shd w:val="clear" w:color="auto" w:fill="FFFFFF"/>
        <w:spacing w:line="276" w:lineRule="auto"/>
        <w:ind w:firstLine="720"/>
        <w:jc w:val="both"/>
      </w:pPr>
    </w:p>
    <w:p w14:paraId="172BB6A0" w14:textId="160340F0" w:rsidR="004535BF" w:rsidRDefault="004A36F3" w:rsidP="006306F5">
      <w:pPr>
        <w:shd w:val="clear" w:color="auto" w:fill="FFFFFF"/>
        <w:spacing w:line="276" w:lineRule="auto"/>
        <w:ind w:firstLine="720"/>
        <w:jc w:val="both"/>
      </w:pPr>
      <w:r>
        <w:t>[5]</w:t>
      </w:r>
      <w:r w:rsidR="0061335B">
        <w:t> </w:t>
      </w:r>
      <w:r w:rsidR="004535BF">
        <w:t>Atbilstoši Administratīvā procesa likuma 150.panta otrajai daļai iestāde var atsaukties tikai uz tiem pamatojumiem, kuri minēti administratīvajā aktā. Attiecīgi atbilstoši minētā likuma 250.panta otrajai daļai tiesa, vērtējot administratīvā akta tiesiskumu, s</w:t>
      </w:r>
      <w:r w:rsidR="004535BF" w:rsidRPr="004535BF">
        <w:t>priedumā ņem vērā tikai to pamatojumu, ko iestāde ietvērusi administratīvajā aktā.</w:t>
      </w:r>
      <w:r w:rsidR="00C34F81">
        <w:t xml:space="preserve"> </w:t>
      </w:r>
      <w:r w:rsidR="004535BF">
        <w:t xml:space="preserve">Minētajās tiesību normās kopsakarā ar Administratīvā procesa likuma 103.panta pirmo daļu (norma noteic tiesas kontroles būtību, kas administratīvā akta gadījumā ir kontrole pār iestādes izdotā administratīvā akta tiesiskumu), </w:t>
      </w:r>
      <w:r w:rsidR="00C34F81">
        <w:t>iezīmē</w:t>
      </w:r>
      <w:r w:rsidR="004535BF">
        <w:t xml:space="preserve"> tiesas pamatuzdevumu prasījuma par administratīvā akta atcelšanu </w:t>
      </w:r>
      <w:r w:rsidR="00C34F81">
        <w:t>izskatīšanā</w:t>
      </w:r>
      <w:r w:rsidR="004535BF">
        <w:t xml:space="preserve"> – noskaidrot, vai iestādes lēmuma pamatā norādītie apstākļi attaisno personai radītās tiesiskās sekas</w:t>
      </w:r>
      <w:r w:rsidR="005B663E">
        <w:t xml:space="preserve">. </w:t>
      </w:r>
    </w:p>
    <w:p w14:paraId="0966421C" w14:textId="77777777" w:rsidR="00726D4A" w:rsidRDefault="00464075" w:rsidP="006306F5">
      <w:pPr>
        <w:shd w:val="clear" w:color="auto" w:fill="FFFFFF"/>
        <w:spacing w:line="276" w:lineRule="auto"/>
        <w:ind w:firstLine="720"/>
        <w:jc w:val="both"/>
      </w:pPr>
      <w:r w:rsidRPr="00464075">
        <w:t>Administratīvā procesa likuma 150.panta otrā daļa un 250.panta otrā daļa neļauj tiesai, skatot pieteikumu par nelabvēlīga administratīvā akta atcelšanu, pieteicējam nelabvēlīgu spriedumu pamatot ar</w:t>
      </w:r>
      <w:r w:rsidR="00503102">
        <w:t xml:space="preserve"> jauniem apstākļiem (kā </w:t>
      </w:r>
      <w:r w:rsidR="00183699">
        <w:t xml:space="preserve">jaunu </w:t>
      </w:r>
      <w:r w:rsidR="00503102">
        <w:t xml:space="preserve">pamatu, uz kura balstīts secinājums, ka izdodams konkrētais administratīvais akts), uz kuriem </w:t>
      </w:r>
      <w:r w:rsidRPr="00464075">
        <w:t xml:space="preserve">nav norādīts </w:t>
      </w:r>
      <w:r w:rsidR="00CC6690">
        <w:t xml:space="preserve">pārsūdzētajā </w:t>
      </w:r>
      <w:r w:rsidRPr="00464075">
        <w:t>administratīvajā aktā</w:t>
      </w:r>
      <w:r w:rsidR="00CA5D9B">
        <w:t xml:space="preserve"> (</w:t>
      </w:r>
      <w:r w:rsidR="00503102">
        <w:t xml:space="preserve">sal. </w:t>
      </w:r>
      <w:r w:rsidR="00CA5D9B" w:rsidRPr="001D5275">
        <w:rPr>
          <w:i/>
          <w:iCs/>
        </w:rPr>
        <w:t xml:space="preserve">Senāta 2025.gada 7.oktobra sprieduma lietā Nr. SKA-383/2025, </w:t>
      </w:r>
      <w:hyperlink r:id="rId9" w:history="1">
        <w:r w:rsidR="00CA5D9B" w:rsidRPr="001D5275">
          <w:rPr>
            <w:i/>
            <w:iCs/>
            <w:color w:val="0563C1"/>
            <w:u w:val="single"/>
          </w:rPr>
          <w:t>ECLI:LV:AT:2025:1007.A420165122.10.S</w:t>
        </w:r>
      </w:hyperlink>
      <w:r w:rsidR="00CA5D9B" w:rsidRPr="001D5275">
        <w:rPr>
          <w:i/>
          <w:iCs/>
        </w:rPr>
        <w:t>, 11.punkts</w:t>
      </w:r>
      <w:r w:rsidR="00CA5D9B">
        <w:t>).</w:t>
      </w:r>
      <w:r w:rsidR="00183699">
        <w:t xml:space="preserve"> </w:t>
      </w:r>
    </w:p>
    <w:p w14:paraId="5BBA1D74" w14:textId="5A2C3507" w:rsidR="00567FDF" w:rsidRDefault="00464075" w:rsidP="006306F5">
      <w:pPr>
        <w:shd w:val="clear" w:color="auto" w:fill="FFFFFF"/>
        <w:spacing w:line="276" w:lineRule="auto"/>
        <w:ind w:firstLine="720"/>
        <w:jc w:val="both"/>
      </w:pPr>
      <w:r>
        <w:t>Vienlaikus Senāta judikatūrā atzīts, ka</w:t>
      </w:r>
      <w:r w:rsidR="00183699">
        <w:t xml:space="preserve"> ir</w:t>
      </w:r>
      <w:r>
        <w:t xml:space="preserve"> pieļaujama zināma administratīvā akta pamatojuma interpretācija un mazāk būtisku kļūdu izskaidrošana. Piemēram, tiesa atsevišķos gadījumos var atzīt, ka, ievērojot iestādes analizētos apstākļus, faktiski kāda norma bija piemērota, pat ja lēmumā tā nebija tieši minēta</w:t>
      </w:r>
      <w:r w:rsidR="00C23CC0">
        <w:t xml:space="preserve"> </w:t>
      </w:r>
      <w:r>
        <w:t>(</w:t>
      </w:r>
      <w:r>
        <w:rPr>
          <w:i/>
          <w:iCs/>
        </w:rPr>
        <w:t xml:space="preserve">Senāta 2017.gada 21.jūnija sprieduma lietā Nr. SKA-177/2017, </w:t>
      </w:r>
      <w:hyperlink r:id="rId10" w:history="1">
        <w:r w:rsidRPr="00B30771">
          <w:rPr>
            <w:rStyle w:val="Hyperlink"/>
            <w:i/>
            <w:iCs/>
          </w:rPr>
          <w:t>A420225414</w:t>
        </w:r>
      </w:hyperlink>
      <w:r w:rsidR="00DA5D59">
        <w:rPr>
          <w:i/>
          <w:iCs/>
        </w:rPr>
        <w:t>,</w:t>
      </w:r>
      <w:r>
        <w:t xml:space="preserve"> </w:t>
      </w:r>
      <w:r>
        <w:rPr>
          <w:i/>
          <w:iCs/>
        </w:rPr>
        <w:t xml:space="preserve">9.punkts; 2013.gada 31.janvāra sprieduma lietā Nr. SKA-67/2013, </w:t>
      </w:r>
      <w:hyperlink r:id="rId11" w:history="1">
        <w:r w:rsidRPr="00903CCE">
          <w:rPr>
            <w:rStyle w:val="Hyperlink"/>
            <w:i/>
            <w:iCs/>
          </w:rPr>
          <w:t>A42735109</w:t>
        </w:r>
      </w:hyperlink>
      <w:r>
        <w:rPr>
          <w:i/>
          <w:iCs/>
        </w:rPr>
        <w:t>, 6.punkts</w:t>
      </w:r>
      <w:r>
        <w:t>).</w:t>
      </w:r>
      <w:r w:rsidR="00567FDF" w:rsidRPr="00567FDF">
        <w:t xml:space="preserve"> </w:t>
      </w:r>
      <w:r w:rsidR="00567FDF">
        <w:t>Tātad tas, ka iestāde administratīvajā aktā nav konkrēti norādījusi tiesību normu, uz kuru tā pamatojas, vai arī ir norādījusi nepareizu tiesību normu, nenozīmē, ka tiesa pārsūdzētā lēmuma pārbaudes ietvaros nevar atsaukties uz konkrētajā situācijā pēc jēgas pareizi piemērojamām tiesību normām (</w:t>
      </w:r>
      <w:r w:rsidR="00567FDF" w:rsidRPr="00A3187C">
        <w:rPr>
          <w:i/>
          <w:iCs/>
        </w:rPr>
        <w:t>Senāta</w:t>
      </w:r>
      <w:r w:rsidR="00903CCE" w:rsidRPr="00A3187C">
        <w:rPr>
          <w:i/>
          <w:iCs/>
        </w:rPr>
        <w:t xml:space="preserve"> 2022.gada 22.dece</w:t>
      </w:r>
      <w:r w:rsidR="00A3187C">
        <w:rPr>
          <w:i/>
          <w:iCs/>
        </w:rPr>
        <w:t>m</w:t>
      </w:r>
      <w:r w:rsidR="00903CCE" w:rsidRPr="00A3187C">
        <w:rPr>
          <w:i/>
          <w:iCs/>
        </w:rPr>
        <w:t>bra sprieduma lietā Nr. </w:t>
      </w:r>
      <w:r w:rsidR="00567FDF" w:rsidRPr="00A3187C">
        <w:rPr>
          <w:i/>
          <w:iCs/>
        </w:rPr>
        <w:t>SKA-227/2022</w:t>
      </w:r>
      <w:r w:rsidR="00903CCE" w:rsidRPr="00A3187C">
        <w:rPr>
          <w:i/>
          <w:iCs/>
        </w:rPr>
        <w:t xml:space="preserve">, </w:t>
      </w:r>
      <w:hyperlink r:id="rId12" w:history="1">
        <w:r w:rsidR="00903CCE" w:rsidRPr="00A3187C">
          <w:rPr>
            <w:rStyle w:val="Hyperlink"/>
            <w:i/>
            <w:iCs/>
          </w:rPr>
          <w:t>ECLI:LV:AT:2022:1222.A420157717.17.S</w:t>
        </w:r>
      </w:hyperlink>
      <w:r w:rsidR="00A3187C" w:rsidRPr="00A3187C">
        <w:rPr>
          <w:i/>
          <w:iCs/>
        </w:rPr>
        <w:t>, 9.punkts</w:t>
      </w:r>
      <w:r w:rsidR="00567FDF">
        <w:t>).</w:t>
      </w:r>
    </w:p>
    <w:p w14:paraId="4D1E2807" w14:textId="76499FB2" w:rsidR="00CD63A7" w:rsidRDefault="00CD63A7" w:rsidP="006306F5">
      <w:pPr>
        <w:shd w:val="clear" w:color="auto" w:fill="FFFFFF"/>
        <w:spacing w:line="276" w:lineRule="auto"/>
        <w:ind w:firstLine="720"/>
        <w:jc w:val="both"/>
      </w:pPr>
      <w:r>
        <w:t>Līdz ar to</w:t>
      </w:r>
      <w:r w:rsidR="00185984">
        <w:t>,</w:t>
      </w:r>
      <w:r>
        <w:t xml:space="preserve"> vērtējot, k</w:t>
      </w:r>
      <w:r w:rsidR="00A3187C">
        <w:t>as veido administratīvā akta pamatu,</w:t>
      </w:r>
      <w:r>
        <w:t xml:space="preserve"> nepieciešams pievērsties tam, uz kādiem apstākļiem balstīti iestādes secinājumi par to, ka </w:t>
      </w:r>
      <w:r w:rsidR="00A3187C">
        <w:t xml:space="preserve">nodibināmas konkrētas tiesiskās sekas – </w:t>
      </w:r>
      <w:r>
        <w:t>izdodams konkrēts administratīvais akts</w:t>
      </w:r>
      <w:r w:rsidR="00406D7A">
        <w:t>.</w:t>
      </w:r>
      <w:r>
        <w:t xml:space="preserve"> </w:t>
      </w:r>
    </w:p>
    <w:p w14:paraId="45E34918" w14:textId="77777777" w:rsidR="004535BF" w:rsidRDefault="004535BF" w:rsidP="006306F5">
      <w:pPr>
        <w:shd w:val="clear" w:color="auto" w:fill="FFFFFF"/>
        <w:spacing w:line="276" w:lineRule="auto"/>
        <w:jc w:val="both"/>
      </w:pPr>
    </w:p>
    <w:p w14:paraId="70411A09" w14:textId="69F2120D" w:rsidR="00DD220C" w:rsidRDefault="004535BF" w:rsidP="006306F5">
      <w:pPr>
        <w:shd w:val="clear" w:color="auto" w:fill="FFFFFF"/>
        <w:spacing w:line="276" w:lineRule="auto"/>
        <w:ind w:firstLine="720"/>
        <w:jc w:val="both"/>
      </w:pPr>
      <w:r>
        <w:t>[6]</w:t>
      </w:r>
      <w:r w:rsidR="0061335B">
        <w:t> </w:t>
      </w:r>
      <w:r w:rsidR="00973A2D">
        <w:t>Ar pārsūdzēto lēmumu pieteicējai noteikts ierobežojums turpināt</w:t>
      </w:r>
      <w:r w:rsidR="00907DC7">
        <w:t xml:space="preserve"> </w:t>
      </w:r>
      <w:r w:rsidR="00973A2D">
        <w:t xml:space="preserve">azartspēļu organizēšanu </w:t>
      </w:r>
      <w:r w:rsidR="00406D7A">
        <w:t>konkrētajā</w:t>
      </w:r>
      <w:r w:rsidR="00973A2D">
        <w:t xml:space="preserve"> </w:t>
      </w:r>
      <w:r w:rsidR="00406D7A">
        <w:t>adresē</w:t>
      </w:r>
      <w:r w:rsidR="000062C7">
        <w:t>, jo ar spēkā stājušos Salaspils pilsētas teritorijas daļas lokālplānojumu azartspēļu organizēšanas vietu izvietošana ir ierobežota lokālplānojuma robežās iekļautajā pilsētas centra daļā</w:t>
      </w:r>
      <w:r w:rsidR="00CF0A47">
        <w:t>, kas aptver arī pieteicējas azartspēļu vietu.</w:t>
      </w:r>
    </w:p>
    <w:p w14:paraId="3033B024" w14:textId="6A0D6C20" w:rsidR="00D30AC7" w:rsidRDefault="000062C7" w:rsidP="006306F5">
      <w:pPr>
        <w:shd w:val="clear" w:color="auto" w:fill="FFFFFF"/>
        <w:spacing w:line="276" w:lineRule="auto"/>
        <w:ind w:firstLine="720"/>
        <w:jc w:val="both"/>
      </w:pPr>
      <w:r>
        <w:t>Pārsūdzētajā lēmumā norādīts, ka tas pamatots ar Azartspēļu un izložu likuma 41.panta otrās daļas 11.punktu (paredz, ka azartspēles nav atļauts organizēt attiecīgās pašvaldības vietās vai teritorijās, kuras noteiktas pašvaldības saistošajos noteikumos), 42.panta desmito daļu (paredz pašvaldības tiesības izdot attiecīgus saistošos noteikumus)</w:t>
      </w:r>
      <w:r w:rsidR="00185984">
        <w:t xml:space="preserve"> un</w:t>
      </w:r>
      <w:r>
        <w:t xml:space="preserve"> Salaspils pilsētas teritorijas daļas lokālplānojumu</w:t>
      </w:r>
      <w:r w:rsidR="00AC3286">
        <w:t>.</w:t>
      </w:r>
      <w:r>
        <w:t xml:space="preserve"> </w:t>
      </w:r>
    </w:p>
    <w:p w14:paraId="4C09E58C" w14:textId="5744F887" w:rsidR="00230256" w:rsidRDefault="00C270EF" w:rsidP="006306F5">
      <w:pPr>
        <w:shd w:val="clear" w:color="auto" w:fill="FFFFFF"/>
        <w:spacing w:line="276" w:lineRule="auto"/>
        <w:ind w:firstLine="720"/>
        <w:jc w:val="both"/>
      </w:pPr>
      <w:r>
        <w:t>Apgabaltiesa</w:t>
      </w:r>
      <w:r w:rsidR="00574929">
        <w:t xml:space="preserve"> </w:t>
      </w:r>
      <w:r>
        <w:t xml:space="preserve">spriedumā pievērsusies tam, ka pārsūdzētajā lēmumā pieteicējai noteikts aizliegums organizēt azartspēles, nevis atcelta pieteicējai iepriekš izsniegtā atļauja azartspēļu organizēšanai. Minētais, kā norāda </w:t>
      </w:r>
      <w:r w:rsidR="00230256">
        <w:t>tiesa</w:t>
      </w:r>
      <w:r>
        <w:t>, pamatots ar nepareizi konstatēti</w:t>
      </w:r>
      <w:r w:rsidR="00EA36A9">
        <w:t>em</w:t>
      </w:r>
      <w:r>
        <w:t xml:space="preserve"> faktisk</w:t>
      </w:r>
      <w:r w:rsidR="00EA36A9">
        <w:t>ajiem</w:t>
      </w:r>
      <w:r>
        <w:t xml:space="preserve"> apstākļi</w:t>
      </w:r>
      <w:r w:rsidR="00230256">
        <w:t>em, ka pieteicējai nebija izsniegta pašvaldības atļauja azartspēļu organizēšanai, jo azartspēļu organizēšanu konkrētajā adresē bija uzsākusi līdz 2006.gada 1.janvārim, kad spēkā stājās Azartspēļu un izložu likums, jo šāda atļauja ir izsniegta. Tāpēc tiesa secināja, ka pārsūdzētais lēmums nav pamatots ar vienīgo Azartspēļu un izložu likumā noteikto tiesisko pamatu izsniegtas atļaujas atcelšanai – Azartspēļu un izložu likuma 42.panta sesto daļu.</w:t>
      </w:r>
      <w:r w:rsidR="00D47531">
        <w:t xml:space="preserve"> </w:t>
      </w:r>
      <w:r w:rsidR="003712BB">
        <w:t xml:space="preserve">Atbilstoši </w:t>
      </w:r>
      <w:r w:rsidR="00230256">
        <w:t>Azartspēļu un izložu likuma 42.panta sestajai daļai</w:t>
      </w:r>
      <w:r w:rsidR="003712BB">
        <w:t xml:space="preserve">, </w:t>
      </w:r>
      <w:r w:rsidR="003712BB" w:rsidRPr="00A0170A">
        <w:t>ja azartspēļu organizēšana konkrētajā vietā rada būtisku valsts un attiecīgās administratīvās teritorijas iedzīvotāju interešu aizskārumu, pašvaldības dome ar motivētu lēmumu ir tiesīga atcelt izsniegto atļauju</w:t>
      </w:r>
      <w:r w:rsidR="008964F7">
        <w:t xml:space="preserve"> azartspēļu organizēšanai konkrētās telpās.</w:t>
      </w:r>
    </w:p>
    <w:p w14:paraId="58AF49FD" w14:textId="318E29C5" w:rsidR="00D04107" w:rsidRDefault="00D04107" w:rsidP="006306F5">
      <w:pPr>
        <w:shd w:val="clear" w:color="auto" w:fill="FFFFFF"/>
        <w:spacing w:line="276" w:lineRule="auto"/>
        <w:ind w:firstLine="720"/>
        <w:jc w:val="both"/>
      </w:pPr>
      <w:r>
        <w:t xml:space="preserve">Senāts atzīst, ka apgabaltiesa minētajos secinājumos pārlieku šauri raudzījusies uz </w:t>
      </w:r>
      <w:r w:rsidR="00CC6690">
        <w:t>nodibināto</w:t>
      </w:r>
      <w:r w:rsidR="00DB0FC8">
        <w:t xml:space="preserve"> tiesisko attiecību būtību</w:t>
      </w:r>
      <w:r w:rsidR="00D47531">
        <w:t>.</w:t>
      </w:r>
      <w:r w:rsidR="005A71CF">
        <w:t xml:space="preserve"> </w:t>
      </w:r>
    </w:p>
    <w:p w14:paraId="0104BC67" w14:textId="77777777" w:rsidR="00D04107" w:rsidRDefault="00D04107" w:rsidP="006306F5">
      <w:pPr>
        <w:shd w:val="clear" w:color="auto" w:fill="FFFFFF"/>
        <w:spacing w:line="276" w:lineRule="auto"/>
        <w:ind w:firstLine="720"/>
        <w:jc w:val="both"/>
      </w:pPr>
    </w:p>
    <w:p w14:paraId="0DC215D2" w14:textId="296D244A" w:rsidR="009248AD" w:rsidRDefault="008E1EB6" w:rsidP="006306F5">
      <w:pPr>
        <w:shd w:val="clear" w:color="auto" w:fill="FFFFFF"/>
        <w:spacing w:line="276" w:lineRule="auto"/>
        <w:ind w:firstLine="720"/>
        <w:jc w:val="both"/>
      </w:pPr>
      <w:r>
        <w:t>[</w:t>
      </w:r>
      <w:r w:rsidR="00D04107">
        <w:t>7</w:t>
      </w:r>
      <w:r>
        <w:t>]</w:t>
      </w:r>
      <w:r w:rsidR="00711896">
        <w:t> </w:t>
      </w:r>
      <w:r w:rsidR="007912BB">
        <w:t>Pašvaldība pārsūdzētajā lēmumā būtībā ir secinājusi, ka tāda jauna lokālplānojuma pieņemšana, kas</w:t>
      </w:r>
      <w:r w:rsidR="009301F7">
        <w:t xml:space="preserve"> </w:t>
      </w:r>
      <w:r w:rsidR="007912BB">
        <w:t>ierobežo azartspēļu organizēšanu teritorijā, kurā pieteicēja to dara, ir pamats</w:t>
      </w:r>
      <w:r w:rsidR="00451EE4">
        <w:t xml:space="preserve"> arī</w:t>
      </w:r>
      <w:r w:rsidR="007912BB">
        <w:t xml:space="preserve"> </w:t>
      </w:r>
      <w:r w:rsidR="00CF587A">
        <w:t xml:space="preserve">pieteicējai </w:t>
      </w:r>
      <w:r w:rsidR="007912BB">
        <w:t>piešķirto tiesību</w:t>
      </w:r>
      <w:r w:rsidR="00CF6BC7">
        <w:t xml:space="preserve"> </w:t>
      </w:r>
      <w:r w:rsidR="007912BB">
        <w:t xml:space="preserve">ierobežošanai. </w:t>
      </w:r>
      <w:r w:rsidR="00DD220C">
        <w:t>T</w:t>
      </w:r>
      <w:r w:rsidR="00D02102">
        <w:t>a</w:t>
      </w:r>
      <w:r w:rsidR="009535D5">
        <w:t>m</w:t>
      </w:r>
      <w:r w:rsidR="00911EF2">
        <w:t xml:space="preserve">, vai pieteicēja tiesības organizēt azartspēles ir vēsturiski ieguvusi tieši uz pašvaldības izsniegtas atļaujas pamata, </w:t>
      </w:r>
      <w:r w:rsidR="009535D5">
        <w:t>šajā lietā</w:t>
      </w:r>
      <w:r w:rsidR="00911EF2">
        <w:t xml:space="preserve"> ir otršķirīg</w:t>
      </w:r>
      <w:r w:rsidR="009535D5">
        <w:t>a nozīme</w:t>
      </w:r>
      <w:r w:rsidR="00911EF2">
        <w:t>, jo pašvaldības mērķis ir liegt šo vēsturiski tiesiski iegūto tiesību izmantošanu nākotnē.</w:t>
      </w:r>
      <w:r w:rsidR="00172C70">
        <w:t xml:space="preserve"> </w:t>
      </w:r>
      <w:r w:rsidR="00DD220C">
        <w:t xml:space="preserve">Minētajam tiesisko seku ziņā atbilst </w:t>
      </w:r>
      <w:r w:rsidR="00DD220C" w:rsidRPr="00DD220C">
        <w:t>Azartspēļu un izložu likuma 42.panta sestā daļa</w:t>
      </w:r>
      <w:r w:rsidR="000A4E9E">
        <w:t xml:space="preserve">. </w:t>
      </w:r>
      <w:r w:rsidR="00DD220C">
        <w:t>Ta</w:t>
      </w:r>
      <w:r w:rsidR="000A4E9E">
        <w:t>s</w:t>
      </w:r>
      <w:r w:rsidR="00DD220C">
        <w:t xml:space="preserve">, ka </w:t>
      </w:r>
      <w:r w:rsidR="00911EF2">
        <w:t>pašvaldība šajā gadījumā pārsūdzētā lēmuma rezolutīvajā daļā noteikusi aizliegumu organizēt azartspēles</w:t>
      </w:r>
      <w:r w:rsidR="00A75519">
        <w:t xml:space="preserve">, </w:t>
      </w:r>
      <w:r w:rsidR="00911EF2">
        <w:t>nevis norādījusi, ka tiek atcelta pieteicējai iepriekš izsniegtā atļauja, nemaina pārsūdzētā lēmuma būtību.</w:t>
      </w:r>
      <w:r w:rsidR="005623BB">
        <w:t xml:space="preserve"> </w:t>
      </w:r>
    </w:p>
    <w:p w14:paraId="246760A3" w14:textId="2BDBB54D" w:rsidR="00472912" w:rsidRDefault="005623BB" w:rsidP="006306F5">
      <w:pPr>
        <w:shd w:val="clear" w:color="auto" w:fill="FFFFFF"/>
        <w:spacing w:line="276" w:lineRule="auto"/>
        <w:ind w:firstLine="720"/>
        <w:jc w:val="both"/>
      </w:pPr>
      <w:r>
        <w:t xml:space="preserve">Savukārt </w:t>
      </w:r>
      <w:r w:rsidR="008D242B">
        <w:t>jautājums</w:t>
      </w:r>
      <w:r>
        <w:t xml:space="preserve">, vai </w:t>
      </w:r>
      <w:r w:rsidR="0041538E">
        <w:t xml:space="preserve">pieļaujams attiecīgas tiesiskās sekas noteikt, tikai pamatojoties uz </w:t>
      </w:r>
      <w:r w:rsidR="00911EF2">
        <w:t>pārsūdzētajā lēmumā norādītajiem apstākļiem</w:t>
      </w:r>
      <w:r w:rsidR="00A75519">
        <w:t xml:space="preserve"> (proti, jauna lokālplānojuma spēkā stāšanos, nevis papildus arī </w:t>
      </w:r>
      <w:r w:rsidR="00112AEE">
        <w:t xml:space="preserve">individuālu konkrētās vietas izvērtējumu </w:t>
      </w:r>
      <w:r w:rsidR="00A75519">
        <w:t xml:space="preserve">par to, kā </w:t>
      </w:r>
      <w:r w:rsidR="00A75519" w:rsidRPr="00A75519">
        <w:t>azartspēļu organizēšana konkrētajā vietā rada būtisku valsts un attiecīgās administratīvās teritorijas iedzīvotāju interešu aizskārumu</w:t>
      </w:r>
      <w:r w:rsidR="00A75519">
        <w:t>)</w:t>
      </w:r>
      <w:r w:rsidR="00911EF2">
        <w:t>, ir šīs lietas strīda priekšmets</w:t>
      </w:r>
      <w:r w:rsidR="009248AD">
        <w:t>. Arī pašvaldības</w:t>
      </w:r>
      <w:r w:rsidR="00DC0DD3">
        <w:t xml:space="preserve"> kasācijas sūdzībā (un arī tiesvedības gaitā) </w:t>
      </w:r>
      <w:r w:rsidR="009248AD">
        <w:t xml:space="preserve">norādītais, ka </w:t>
      </w:r>
      <w:r w:rsidR="00472912">
        <w:t xml:space="preserve">pārsūdzētajā lēmumā </w:t>
      </w:r>
      <w:r w:rsidR="008D242B">
        <w:t>nebija jāpiemēro</w:t>
      </w:r>
      <w:r w:rsidR="00472912">
        <w:t xml:space="preserve"> Azartspēļu un izložu likuma 42.panta sestā daļa, balstīts uzskatā, ka pašvaldībai papildus argumentam par Salaspils pilsētas teritorijas daļas lokālplānojuma spēkā stāšanos nebija jāmin vēl citi apsvērumi, kāpēc komercdarbības turpināšana konkrētajā vietā nav pieļaujama, nevis konceptuālos iebildumos par to, kādas tiesiskās sekas sakarā ar kādu apstākļu konstatēšanu pārsūdzētajā lēmumā ir noteiktas.</w:t>
      </w:r>
    </w:p>
    <w:p w14:paraId="1092D53F" w14:textId="492A2384" w:rsidR="00995F01" w:rsidRDefault="00EC36A9" w:rsidP="006306F5">
      <w:pPr>
        <w:shd w:val="clear" w:color="auto" w:fill="FFFFFF"/>
        <w:spacing w:line="276" w:lineRule="auto"/>
        <w:ind w:firstLine="720"/>
        <w:jc w:val="both"/>
      </w:pPr>
      <w:r>
        <w:t xml:space="preserve">Līdz ar to tālāk Senāts pievērsīsies </w:t>
      </w:r>
      <w:r w:rsidR="008D242B">
        <w:t>vērtējumam</w:t>
      </w:r>
      <w:r>
        <w:t>, kād</w:t>
      </w:r>
      <w:r w:rsidR="00913CB7">
        <w:t>i apstākļi</w:t>
      </w:r>
      <w:r>
        <w:t xml:space="preserve"> atbilstoši Azartspēļu un izložu likuma 42.panta sestajai daļai var būt pamats </w:t>
      </w:r>
      <w:r w:rsidR="00DC0DD3">
        <w:t>attiecīgā komercdarbības ierobežojuma noteikšanai.</w:t>
      </w:r>
    </w:p>
    <w:p w14:paraId="17A835BB" w14:textId="77777777" w:rsidR="0021330C" w:rsidRDefault="0021330C" w:rsidP="006306F5">
      <w:pPr>
        <w:shd w:val="clear" w:color="auto" w:fill="FFFFFF"/>
        <w:spacing w:line="276" w:lineRule="auto"/>
        <w:ind w:firstLine="720"/>
        <w:jc w:val="both"/>
      </w:pPr>
    </w:p>
    <w:p w14:paraId="015446D3" w14:textId="77777777" w:rsidR="0021330C" w:rsidRDefault="0021330C" w:rsidP="006306F5">
      <w:pPr>
        <w:shd w:val="clear" w:color="auto" w:fill="FFFFFF"/>
        <w:spacing w:line="276" w:lineRule="auto"/>
        <w:ind w:firstLine="720"/>
        <w:jc w:val="both"/>
      </w:pPr>
    </w:p>
    <w:p w14:paraId="2AD58536" w14:textId="77777777" w:rsidR="0021330C" w:rsidRDefault="0021330C" w:rsidP="006306F5">
      <w:pPr>
        <w:shd w:val="clear" w:color="auto" w:fill="FFFFFF"/>
        <w:spacing w:line="276" w:lineRule="auto"/>
        <w:ind w:firstLine="720"/>
        <w:jc w:val="both"/>
      </w:pPr>
    </w:p>
    <w:p w14:paraId="5E870E8B" w14:textId="77777777" w:rsidR="007064EC" w:rsidRDefault="007064EC" w:rsidP="006306F5">
      <w:pPr>
        <w:shd w:val="clear" w:color="auto" w:fill="FFFFFF"/>
        <w:spacing w:line="276" w:lineRule="auto"/>
        <w:ind w:firstLine="720"/>
        <w:jc w:val="both"/>
      </w:pPr>
    </w:p>
    <w:p w14:paraId="440B0098" w14:textId="556F39A3" w:rsidR="00E43078" w:rsidRDefault="00E43078" w:rsidP="006306F5">
      <w:pPr>
        <w:shd w:val="clear" w:color="auto" w:fill="FFFFFF"/>
        <w:spacing w:line="276" w:lineRule="auto"/>
        <w:jc w:val="center"/>
        <w:rPr>
          <w:b/>
          <w:bCs/>
        </w:rPr>
      </w:pPr>
      <w:r w:rsidRPr="00E43078">
        <w:rPr>
          <w:b/>
          <w:bCs/>
        </w:rPr>
        <w:t>II</w:t>
      </w:r>
    </w:p>
    <w:p w14:paraId="41164EBD" w14:textId="10E4D21F" w:rsidR="00F62B50" w:rsidRPr="00F62B50" w:rsidRDefault="00F62B50" w:rsidP="006306F5">
      <w:pPr>
        <w:shd w:val="clear" w:color="auto" w:fill="FFFFFF"/>
        <w:spacing w:line="276" w:lineRule="auto"/>
        <w:jc w:val="center"/>
        <w:rPr>
          <w:i/>
          <w:iCs/>
        </w:rPr>
      </w:pPr>
      <w:r w:rsidRPr="00F62B50">
        <w:rPr>
          <w:i/>
          <w:iCs/>
        </w:rPr>
        <w:t>Par</w:t>
      </w:r>
      <w:r w:rsidR="00EE09D2">
        <w:rPr>
          <w:i/>
          <w:iCs/>
        </w:rPr>
        <w:t xml:space="preserve"> </w:t>
      </w:r>
      <w:r w:rsidRPr="00F62B50">
        <w:rPr>
          <w:i/>
          <w:iCs/>
        </w:rPr>
        <w:t>Azartspēļu un izložu likuma</w:t>
      </w:r>
      <w:r w:rsidR="00EE09D2">
        <w:rPr>
          <w:i/>
          <w:iCs/>
        </w:rPr>
        <w:t xml:space="preserve"> 42.panta sestās daļas interpretāciju</w:t>
      </w:r>
    </w:p>
    <w:p w14:paraId="0EC9F24A" w14:textId="77777777" w:rsidR="00F62B50" w:rsidRDefault="00F62B50" w:rsidP="006306F5">
      <w:pPr>
        <w:shd w:val="clear" w:color="auto" w:fill="FFFFFF"/>
        <w:spacing w:line="276" w:lineRule="auto"/>
        <w:jc w:val="both"/>
      </w:pPr>
    </w:p>
    <w:p w14:paraId="34E2625B" w14:textId="2B286ED7" w:rsidR="00106232" w:rsidRPr="00E600EC" w:rsidRDefault="005A71CF" w:rsidP="006306F5">
      <w:pPr>
        <w:shd w:val="clear" w:color="auto" w:fill="FFFFFF"/>
        <w:spacing w:line="276" w:lineRule="auto"/>
        <w:ind w:firstLine="720"/>
        <w:jc w:val="both"/>
        <w:rPr>
          <w:rFonts w:eastAsia="Calibri"/>
          <w:lang w:eastAsia="en-US"/>
          <w14:ligatures w14:val="standardContextual"/>
        </w:rPr>
      </w:pPr>
      <w:r>
        <w:t>[</w:t>
      </w:r>
      <w:r w:rsidR="00CA4E5B">
        <w:t>8</w:t>
      </w:r>
      <w:r>
        <w:t>]</w:t>
      </w:r>
      <w:r w:rsidR="00711896">
        <w:t> </w:t>
      </w:r>
      <w:r w:rsidR="002E7734">
        <w:rPr>
          <w:rFonts w:eastAsia="Calibri"/>
          <w:lang w:eastAsia="en-US"/>
          <w14:ligatures w14:val="standardContextual"/>
        </w:rPr>
        <w:t xml:space="preserve">Azartspēļu </w:t>
      </w:r>
      <w:r w:rsidR="00505906">
        <w:rPr>
          <w:rFonts w:eastAsia="Calibri"/>
          <w:lang w:eastAsia="en-US"/>
          <w14:ligatures w14:val="standardContextual"/>
        </w:rPr>
        <w:t xml:space="preserve">un izložu likuma </w:t>
      </w:r>
      <w:r w:rsidR="002E7734">
        <w:rPr>
          <w:rFonts w:eastAsia="Calibri"/>
          <w:lang w:eastAsia="en-US"/>
          <w14:ligatures w14:val="standardContextual"/>
        </w:rPr>
        <w:t xml:space="preserve">42.panta normās </w:t>
      </w:r>
      <w:r w:rsidR="00505906">
        <w:rPr>
          <w:rFonts w:eastAsia="Calibri"/>
          <w:lang w:eastAsia="en-US"/>
          <w14:ligatures w14:val="standardContextual"/>
        </w:rPr>
        <w:t xml:space="preserve">pašvaldības </w:t>
      </w:r>
      <w:r w:rsidR="002E7734">
        <w:rPr>
          <w:rFonts w:eastAsia="Calibri"/>
          <w:lang w:eastAsia="en-US"/>
          <w14:ligatures w14:val="standardContextual"/>
        </w:rPr>
        <w:t xml:space="preserve">domei ir piešķirta kompetence katrā konkrētā gadījumā lemt par atļauju organizēt azartspēles, </w:t>
      </w:r>
      <w:r w:rsidR="002E7734" w:rsidRPr="005F279F">
        <w:rPr>
          <w:rFonts w:eastAsia="Calibri"/>
          <w:lang w:eastAsia="en-US"/>
          <w14:ligatures w14:val="standardContextual"/>
        </w:rPr>
        <w:t>izvērtējot to, vai azartspēļu organizēšana konkrētajā vietā nerada būtisku valsts un attiecīgās administratīvās teritorijas iedzīvotāju interešu aizskārumu</w:t>
      </w:r>
      <w:r w:rsidR="002E7734">
        <w:rPr>
          <w:rFonts w:eastAsia="Calibri"/>
          <w:lang w:eastAsia="en-US"/>
          <w14:ligatures w14:val="standardContextual"/>
        </w:rPr>
        <w:t xml:space="preserve">. Minētais var būt pamats </w:t>
      </w:r>
      <w:r w:rsidR="001F6842">
        <w:rPr>
          <w:rFonts w:eastAsia="Calibri"/>
          <w:lang w:eastAsia="en-US"/>
          <w14:ligatures w14:val="standardContextual"/>
        </w:rPr>
        <w:t xml:space="preserve">gan </w:t>
      </w:r>
      <w:r w:rsidR="002E7734">
        <w:rPr>
          <w:rFonts w:eastAsia="Calibri"/>
          <w:lang w:eastAsia="en-US"/>
          <w14:ligatures w14:val="standardContextual"/>
        </w:rPr>
        <w:t xml:space="preserve">atteikumam izsniegt jaunu atļauju azartspēļu organizēšanai (likuma 42.panta trešā daļa), gan atcelt izsniegtu atļauju (likuma 42.panta sestā daļa). </w:t>
      </w:r>
      <w:r w:rsidR="00F71BEC">
        <w:t>Šajā</w:t>
      </w:r>
      <w:r w:rsidR="002E7734">
        <w:t>s</w:t>
      </w:r>
      <w:r w:rsidR="00F71BEC">
        <w:t xml:space="preserve"> normā</w:t>
      </w:r>
      <w:r w:rsidR="002E7734">
        <w:t>s</w:t>
      </w:r>
      <w:r w:rsidR="00F71BEC">
        <w:t xml:space="preserve"> pašvaldībai piešķirtās tiesības ir daļa no likumdevēja izveidotā mehānism</w:t>
      </w:r>
      <w:r w:rsidR="00A84EA2">
        <w:t>a</w:t>
      </w:r>
      <w:r w:rsidR="00F71BEC">
        <w:t xml:space="preserve">, kā pašvaldībai iespējams īstenot azartspēļu </w:t>
      </w:r>
      <w:r w:rsidR="00A84EA2">
        <w:t xml:space="preserve">organizēšanas </w:t>
      </w:r>
      <w:r w:rsidR="00F71BEC">
        <w:t>politiku savā administratīvajā teritorijā.</w:t>
      </w:r>
      <w:r w:rsidR="002E7734">
        <w:t xml:space="preserve"> </w:t>
      </w:r>
    </w:p>
    <w:p w14:paraId="7DB75E94" w14:textId="6A17A69F" w:rsidR="00F71BEC" w:rsidRDefault="00F71BEC" w:rsidP="006306F5">
      <w:pPr>
        <w:shd w:val="clear" w:color="auto" w:fill="FFFFFF"/>
        <w:spacing w:line="276" w:lineRule="auto"/>
        <w:ind w:firstLine="720"/>
        <w:jc w:val="both"/>
      </w:pPr>
      <w:r>
        <w:t>Š</w:t>
      </w:r>
      <w:r w:rsidR="0064034F">
        <w:t>īs tiesības</w:t>
      </w:r>
      <w:r>
        <w:t xml:space="preserve"> </w:t>
      </w:r>
      <w:r w:rsidR="00172783">
        <w:t>ap</w:t>
      </w:r>
      <w:r>
        <w:t>lūkojama</w:t>
      </w:r>
      <w:r w:rsidR="0064034F">
        <w:t>s</w:t>
      </w:r>
      <w:r>
        <w:t xml:space="preserve"> kontekstā ar Azartspēļu un izložu likuma 2.panta pirmajā daļā nostiprināto</w:t>
      </w:r>
      <w:r w:rsidR="00732C27">
        <w:t xml:space="preserve"> </w:t>
      </w:r>
      <w:r>
        <w:t xml:space="preserve">likuma mērķi – nodrošināt gan sabiedrības interešu, gan spēlētāju aizsardzību. Jāpatur prātā, ka azartspēļu organizēšana kopumā ir </w:t>
      </w:r>
      <w:r w:rsidRPr="00DA1C3B">
        <w:t>brīvas konkurences apstākļos pastāvošs legāls komercdarbības veids.</w:t>
      </w:r>
      <w:r w:rsidR="002E7734">
        <w:t xml:space="preserve"> Vienlaikus likumdevējs, nosakot šajā likumā azartspēļu organizēšanai virkni ierobežojumu, ir vēlējies rast </w:t>
      </w:r>
      <w:r w:rsidR="002E7734" w:rsidRPr="00D74073">
        <w:t>līdzsvaru starp azartspēļu organizēšanu kā komercdarbību un sabiedrības interesēm, tostarp nodrošināt personu tiesību aizsardzību, novēršot iespējamo azartspēļu atkarības rašanos, kā arī mazinot sabiedrības veselības un sociālos riskus</w:t>
      </w:r>
      <w:r w:rsidR="002E7734">
        <w:t xml:space="preserve"> (sal. </w:t>
      </w:r>
      <w:r w:rsidR="002E7734" w:rsidRPr="00964C9A">
        <w:rPr>
          <w:i/>
          <w:iCs/>
        </w:rPr>
        <w:t>Satversmes tiesas 2024.gada 4.aprīļa spriedum</w:t>
      </w:r>
      <w:r w:rsidR="00A84EA2">
        <w:rPr>
          <w:i/>
          <w:iCs/>
        </w:rPr>
        <w:t>a</w:t>
      </w:r>
      <w:r w:rsidR="002E7734" w:rsidRPr="00964C9A">
        <w:rPr>
          <w:i/>
          <w:iCs/>
        </w:rPr>
        <w:t xml:space="preserve"> lietā </w:t>
      </w:r>
      <w:hyperlink r:id="rId13" w:anchor="search=" w:history="1">
        <w:r w:rsidR="002E7734" w:rsidRPr="00964C9A">
          <w:rPr>
            <w:rStyle w:val="Hyperlink"/>
            <w:i/>
            <w:iCs/>
          </w:rPr>
          <w:t>Nr. 2023-27-03</w:t>
        </w:r>
      </w:hyperlink>
      <w:r w:rsidR="002E7734" w:rsidRPr="00964C9A">
        <w:rPr>
          <w:i/>
          <w:iCs/>
        </w:rPr>
        <w:t xml:space="preserve"> 14.1.punkts</w:t>
      </w:r>
      <w:r w:rsidR="007168CA">
        <w:rPr>
          <w:i/>
          <w:iCs/>
        </w:rPr>
        <w:t>;</w:t>
      </w:r>
      <w:r w:rsidR="002E7734" w:rsidRPr="00964C9A">
        <w:rPr>
          <w:i/>
          <w:iCs/>
        </w:rPr>
        <w:t xml:space="preserve"> 2023.gada 20.aprīļa sprieduma lietā </w:t>
      </w:r>
      <w:hyperlink r:id="rId14" w:anchor="search=" w:history="1">
        <w:r w:rsidR="002E7734" w:rsidRPr="00964C9A">
          <w:rPr>
            <w:rStyle w:val="Hyperlink"/>
            <w:i/>
            <w:iCs/>
          </w:rPr>
          <w:t>Nr.</w:t>
        </w:r>
        <w:r w:rsidR="00185984">
          <w:rPr>
            <w:rStyle w:val="Hyperlink"/>
            <w:i/>
            <w:iCs/>
          </w:rPr>
          <w:t> </w:t>
        </w:r>
        <w:r w:rsidR="002E7734" w:rsidRPr="00964C9A">
          <w:rPr>
            <w:rStyle w:val="Hyperlink"/>
            <w:i/>
            <w:iCs/>
          </w:rPr>
          <w:t>2022-13-05</w:t>
        </w:r>
      </w:hyperlink>
      <w:r w:rsidR="002E7734" w:rsidRPr="00964C9A">
        <w:rPr>
          <w:i/>
          <w:iCs/>
        </w:rPr>
        <w:t xml:space="preserve"> 20.punkts</w:t>
      </w:r>
      <w:r w:rsidR="007168CA">
        <w:rPr>
          <w:i/>
          <w:iCs/>
        </w:rPr>
        <w:t>;</w:t>
      </w:r>
      <w:r w:rsidR="002E7734">
        <w:rPr>
          <w:i/>
          <w:iCs/>
        </w:rPr>
        <w:t xml:space="preserve"> </w:t>
      </w:r>
      <w:r w:rsidR="002E7734" w:rsidRPr="00964C9A">
        <w:rPr>
          <w:rFonts w:eastAsia="Calibri"/>
          <w:i/>
          <w:iCs/>
          <w:lang w:eastAsia="en-US"/>
          <w14:ligatures w14:val="standardContextual"/>
        </w:rPr>
        <w:t xml:space="preserve">Senāta 2019.gada 30.janvāra sprieduma lietā </w:t>
      </w:r>
      <w:r w:rsidR="002E7734" w:rsidRPr="001F6842">
        <w:rPr>
          <w:rFonts w:eastAsia="Calibri"/>
          <w:i/>
          <w:iCs/>
          <w:lang w:eastAsia="en-US"/>
          <w14:ligatures w14:val="standardContextual"/>
        </w:rPr>
        <w:t>Nr. SKA-51/2019</w:t>
      </w:r>
      <w:r w:rsidR="002E7734" w:rsidRPr="00964C9A">
        <w:rPr>
          <w:rFonts w:eastAsia="Calibri"/>
          <w:i/>
          <w:iCs/>
          <w:lang w:eastAsia="en-US"/>
          <w14:ligatures w14:val="standardContextual"/>
        </w:rPr>
        <w:t xml:space="preserve">, </w:t>
      </w:r>
      <w:hyperlink r:id="rId15" w:history="1">
        <w:r w:rsidR="002E7734" w:rsidRPr="00711896">
          <w:rPr>
            <w:rStyle w:val="Hyperlink"/>
            <w:rFonts w:eastAsia="Calibri"/>
            <w:i/>
            <w:iCs/>
            <w:lang w:eastAsia="en-US"/>
            <w14:ligatures w14:val="standardContextual"/>
          </w:rPr>
          <w:t>ECLI:LV:AT:2019:0130.A420224514.2.S</w:t>
        </w:r>
      </w:hyperlink>
      <w:r w:rsidR="002E7734" w:rsidRPr="00964C9A">
        <w:rPr>
          <w:rFonts w:eastAsia="Calibri"/>
          <w:i/>
          <w:iCs/>
          <w:lang w:eastAsia="en-US"/>
          <w14:ligatures w14:val="standardContextual"/>
        </w:rPr>
        <w:t>, 7.punkts</w:t>
      </w:r>
      <w:r w:rsidR="002E7734" w:rsidRPr="00D74073">
        <w:t>).</w:t>
      </w:r>
    </w:p>
    <w:p w14:paraId="32EA4788" w14:textId="06EF2E72" w:rsidR="0064034F" w:rsidRDefault="00EB0E86" w:rsidP="006306F5">
      <w:pPr>
        <w:spacing w:line="276" w:lineRule="auto"/>
        <w:ind w:firstLine="720"/>
        <w:jc w:val="both"/>
        <w:rPr>
          <w:rFonts w:eastAsia="Calibri"/>
          <w:lang w:eastAsia="en-US"/>
          <w14:ligatures w14:val="standardContextual"/>
        </w:rPr>
      </w:pPr>
      <w:r>
        <w:rPr>
          <w:rFonts w:eastAsia="Calibri"/>
          <w:lang w:eastAsia="en-US"/>
          <w14:ligatures w14:val="standardContextual"/>
        </w:rPr>
        <w:t>Šo mērķu sasniegšanai</w:t>
      </w:r>
      <w:r w:rsidR="0064034F">
        <w:rPr>
          <w:rFonts w:eastAsia="Calibri"/>
          <w:lang w:eastAsia="en-US"/>
          <w14:ligatures w14:val="standardContextual"/>
        </w:rPr>
        <w:t xml:space="preserve"> likumdevējs piešķīris pašvaldībai </w:t>
      </w:r>
      <w:r w:rsidR="00B1693B">
        <w:rPr>
          <w:rFonts w:eastAsia="Calibri"/>
          <w:lang w:eastAsia="en-US"/>
          <w14:ligatures w14:val="standardContextual"/>
        </w:rPr>
        <w:t xml:space="preserve">arī </w:t>
      </w:r>
      <w:r w:rsidR="0064034F">
        <w:rPr>
          <w:rFonts w:eastAsia="Calibri"/>
          <w:lang w:eastAsia="en-US"/>
          <w14:ligatures w14:val="standardContextual"/>
        </w:rPr>
        <w:t xml:space="preserve">tiesības </w:t>
      </w:r>
      <w:r w:rsidR="00A84EA2">
        <w:rPr>
          <w:rFonts w:eastAsia="Calibri"/>
          <w:lang w:eastAsia="en-US"/>
          <w14:ligatures w14:val="standardContextual"/>
        </w:rPr>
        <w:t xml:space="preserve">azartspēļu organizēšanas </w:t>
      </w:r>
      <w:r w:rsidR="0064034F">
        <w:rPr>
          <w:rFonts w:eastAsia="Calibri"/>
          <w:lang w:eastAsia="en-US"/>
          <w14:ligatures w14:val="standardContextual"/>
        </w:rPr>
        <w:t>ierobežo</w:t>
      </w:r>
      <w:r w:rsidR="00A84EA2">
        <w:rPr>
          <w:rFonts w:eastAsia="Calibri"/>
          <w:lang w:eastAsia="en-US"/>
          <w14:ligatures w14:val="standardContextual"/>
        </w:rPr>
        <w:t>jumus</w:t>
      </w:r>
      <w:r w:rsidR="0064034F">
        <w:rPr>
          <w:rFonts w:eastAsia="Calibri"/>
          <w:lang w:eastAsia="en-US"/>
          <w14:ligatures w14:val="standardContextual"/>
        </w:rPr>
        <w:t xml:space="preserve"> pašvaldības administratīvajā teritorijā </w:t>
      </w:r>
      <w:r w:rsidR="00A84EA2">
        <w:rPr>
          <w:rFonts w:eastAsia="Calibri"/>
          <w:lang w:eastAsia="en-US"/>
          <w14:ligatures w14:val="standardContextual"/>
        </w:rPr>
        <w:t xml:space="preserve">regulēt </w:t>
      </w:r>
      <w:r w:rsidR="0064034F">
        <w:rPr>
          <w:rFonts w:eastAsia="Calibri"/>
          <w:lang w:eastAsia="en-US"/>
          <w14:ligatures w14:val="standardContextual"/>
        </w:rPr>
        <w:t xml:space="preserve">saistošajos noteikumos (Azartspēļu un izložu likuma 41.panta otrās daļas 11.punkts un 42.panta desmitā daļa). </w:t>
      </w:r>
      <w:r w:rsidR="00E600EC">
        <w:rPr>
          <w:rFonts w:eastAsia="Calibri"/>
          <w:lang w:eastAsia="en-US"/>
          <w14:ligatures w14:val="standardContextual"/>
        </w:rPr>
        <w:t xml:space="preserve">Šīs tiesības iespējams īstenot, gan </w:t>
      </w:r>
      <w:r w:rsidR="0064034F">
        <w:rPr>
          <w:rFonts w:eastAsia="Calibri"/>
          <w:lang w:eastAsia="en-US"/>
          <w14:ligatures w14:val="standardContextual"/>
        </w:rPr>
        <w:t xml:space="preserve">regulējot azartspēļu organizēšanu teritorijas plānošanas procesā, gan pieņemot tādus saistošos noteikumus, kuros </w:t>
      </w:r>
      <w:r w:rsidR="0064034F" w:rsidRPr="000D276E">
        <w:rPr>
          <w:rFonts w:eastAsia="Calibri"/>
          <w:lang w:eastAsia="en-US"/>
          <w14:ligatures w14:val="standardContextual"/>
        </w:rPr>
        <w:t>papildus likumdevēja</w:t>
      </w:r>
      <w:r w:rsidR="0064034F">
        <w:rPr>
          <w:rFonts w:eastAsia="Calibri"/>
          <w:lang w:eastAsia="en-US"/>
          <w14:ligatures w14:val="standardContextual"/>
        </w:rPr>
        <w:t xml:space="preserve"> Azartspēļu un izložu likuma 41.panta otrās daļas normās</w:t>
      </w:r>
      <w:r w:rsidR="0064034F" w:rsidRPr="000D276E">
        <w:rPr>
          <w:rFonts w:eastAsia="Calibri"/>
          <w:lang w:eastAsia="en-US"/>
          <w14:ligatures w14:val="standardContextual"/>
        </w:rPr>
        <w:t xml:space="preserve"> noteiktajām vietām un teritorijām, kurās azartspēles nav atļauts organizēt, </w:t>
      </w:r>
      <w:r w:rsidR="0064034F">
        <w:rPr>
          <w:rFonts w:eastAsia="Calibri"/>
          <w:lang w:eastAsia="en-US"/>
          <w14:ligatures w14:val="standardContextual"/>
        </w:rPr>
        <w:t xml:space="preserve">pašvaldība </w:t>
      </w:r>
      <w:r w:rsidR="0064034F" w:rsidRPr="000D276E">
        <w:rPr>
          <w:rFonts w:eastAsia="Calibri"/>
          <w:lang w:eastAsia="en-US"/>
          <w14:ligatures w14:val="standardContextual"/>
        </w:rPr>
        <w:t>nosaka vēl citas šāda veida vietas un teritorijas</w:t>
      </w:r>
      <w:r w:rsidR="0064034F">
        <w:rPr>
          <w:rFonts w:eastAsia="Calibri"/>
          <w:lang w:eastAsia="en-US"/>
          <w14:ligatures w14:val="standardContextual"/>
        </w:rPr>
        <w:t xml:space="preserve"> (sal. </w:t>
      </w:r>
      <w:r w:rsidR="0064034F" w:rsidRPr="005A2145">
        <w:rPr>
          <w:rFonts w:asciiTheme="majorBidi" w:hAnsiTheme="majorBidi" w:cstheme="majorBidi"/>
          <w:i/>
          <w:iCs/>
        </w:rPr>
        <w:t xml:space="preserve">Satversmes tiesas 2023.gada 20.aprīļa sprieduma lietā </w:t>
      </w:r>
      <w:hyperlink r:id="rId16" w:anchor="search=" w:history="1">
        <w:r w:rsidR="0064034F" w:rsidRPr="005A2145">
          <w:rPr>
            <w:rStyle w:val="Hyperlink"/>
            <w:rFonts w:asciiTheme="majorBidi" w:hAnsiTheme="majorBidi" w:cstheme="majorBidi"/>
            <w:i/>
            <w:iCs/>
          </w:rPr>
          <w:t>Nr. 2022-13-05</w:t>
        </w:r>
      </w:hyperlink>
      <w:r w:rsidR="0064034F" w:rsidRPr="005A2145">
        <w:rPr>
          <w:rFonts w:asciiTheme="majorBidi" w:hAnsiTheme="majorBidi" w:cstheme="majorBidi"/>
          <w:i/>
          <w:iCs/>
        </w:rPr>
        <w:t xml:space="preserve"> 20.punkts</w:t>
      </w:r>
      <w:r w:rsidR="0064034F" w:rsidRPr="000D276E">
        <w:rPr>
          <w:rFonts w:asciiTheme="majorBidi" w:hAnsiTheme="majorBidi" w:cstheme="majorBidi"/>
        </w:rPr>
        <w:t>).</w:t>
      </w:r>
    </w:p>
    <w:p w14:paraId="74162554" w14:textId="445D38ED" w:rsidR="0027426C" w:rsidRDefault="0027426C" w:rsidP="006306F5">
      <w:pPr>
        <w:spacing w:line="276" w:lineRule="auto"/>
        <w:ind w:firstLine="720"/>
        <w:jc w:val="both"/>
        <w:rPr>
          <w:rFonts w:eastAsia="Calibri"/>
          <w:lang w:eastAsia="en-US"/>
          <w14:ligatures w14:val="standardContextual"/>
        </w:rPr>
      </w:pPr>
      <w:r>
        <w:rPr>
          <w:rFonts w:asciiTheme="majorBidi" w:hAnsiTheme="majorBidi" w:cstheme="majorBidi"/>
        </w:rPr>
        <w:t xml:space="preserve">Kā atzinusi Satversmes tiesa, visi minētie </w:t>
      </w:r>
      <w:r w:rsidRPr="00825EF0">
        <w:rPr>
          <w:rFonts w:asciiTheme="majorBidi" w:hAnsiTheme="majorBidi" w:cstheme="majorBidi"/>
        </w:rPr>
        <w:t xml:space="preserve">azartspēļu organizēšanas ierobežošanas veidi nevis izslēdz, bet gan papildina cits citu. </w:t>
      </w:r>
      <w:r w:rsidRPr="00B77786">
        <w:rPr>
          <w:rFonts w:asciiTheme="majorBidi" w:hAnsiTheme="majorBidi" w:cstheme="majorBidi"/>
        </w:rPr>
        <w:t>Proti, visi šie tiesiskie risinājumi var darboties līdztekus un nodrošināt jēgpilnu azartspēļu izplatības kontroli (</w:t>
      </w:r>
      <w:r w:rsidRPr="00B77786">
        <w:rPr>
          <w:rFonts w:asciiTheme="majorBidi" w:hAnsiTheme="majorBidi" w:cstheme="majorBidi"/>
          <w:i/>
          <w:iCs/>
        </w:rPr>
        <w:t xml:space="preserve">Satversmes tiesas 2023.gada 20.aprīļa sprieduma lietā </w:t>
      </w:r>
      <w:hyperlink r:id="rId17" w:anchor="search=" w:history="1">
        <w:r w:rsidRPr="00B77786">
          <w:rPr>
            <w:rStyle w:val="Hyperlink"/>
            <w:rFonts w:asciiTheme="majorBidi" w:hAnsiTheme="majorBidi" w:cstheme="majorBidi"/>
            <w:i/>
            <w:iCs/>
          </w:rPr>
          <w:t>Nr. 2022-13-05</w:t>
        </w:r>
      </w:hyperlink>
      <w:r w:rsidRPr="00B77786">
        <w:rPr>
          <w:rFonts w:asciiTheme="majorBidi" w:hAnsiTheme="majorBidi" w:cstheme="majorBidi"/>
          <w:i/>
          <w:iCs/>
        </w:rPr>
        <w:t xml:space="preserve"> 20.punkts</w:t>
      </w:r>
      <w:r w:rsidR="007168CA">
        <w:rPr>
          <w:rFonts w:asciiTheme="majorBidi" w:hAnsiTheme="majorBidi" w:cstheme="majorBidi"/>
          <w:i/>
          <w:iCs/>
        </w:rPr>
        <w:t>;</w:t>
      </w:r>
      <w:r w:rsidRPr="00B77786">
        <w:rPr>
          <w:rFonts w:asciiTheme="majorBidi" w:hAnsiTheme="majorBidi" w:cstheme="majorBidi"/>
        </w:rPr>
        <w:t xml:space="preserve"> </w:t>
      </w:r>
      <w:r w:rsidRPr="009F5D14">
        <w:rPr>
          <w:rFonts w:asciiTheme="majorBidi" w:hAnsiTheme="majorBidi" w:cstheme="majorBidi"/>
        </w:rPr>
        <w:t>sal.</w:t>
      </w:r>
      <w:r w:rsidRPr="00B77786">
        <w:rPr>
          <w:rFonts w:asciiTheme="majorBidi" w:hAnsiTheme="majorBidi" w:cstheme="majorBidi"/>
          <w:i/>
          <w:iCs/>
        </w:rPr>
        <w:t xml:space="preserve"> 2019.gada 16.maija sprieduma lietā </w:t>
      </w:r>
      <w:hyperlink r:id="rId18" w:anchor="search=" w:history="1">
        <w:r w:rsidRPr="00B77786">
          <w:rPr>
            <w:rStyle w:val="Hyperlink"/>
            <w:rFonts w:asciiTheme="majorBidi" w:hAnsiTheme="majorBidi" w:cstheme="majorBidi"/>
            <w:i/>
            <w:iCs/>
          </w:rPr>
          <w:t>Nr.</w:t>
        </w:r>
        <w:r w:rsidR="007168CA">
          <w:rPr>
            <w:rStyle w:val="Hyperlink"/>
            <w:rFonts w:asciiTheme="majorBidi" w:hAnsiTheme="majorBidi" w:cstheme="majorBidi"/>
            <w:i/>
            <w:iCs/>
          </w:rPr>
          <w:t> </w:t>
        </w:r>
        <w:r w:rsidRPr="00B77786">
          <w:rPr>
            <w:rStyle w:val="Hyperlink"/>
            <w:rFonts w:asciiTheme="majorBidi" w:hAnsiTheme="majorBidi" w:cstheme="majorBidi"/>
            <w:i/>
            <w:iCs/>
          </w:rPr>
          <w:t>2018-17-03</w:t>
        </w:r>
      </w:hyperlink>
      <w:r w:rsidRPr="00B77786">
        <w:rPr>
          <w:rFonts w:asciiTheme="majorBidi" w:hAnsiTheme="majorBidi" w:cstheme="majorBidi"/>
          <w:i/>
          <w:iCs/>
        </w:rPr>
        <w:t xml:space="preserve"> 18.5.punkt</w:t>
      </w:r>
      <w:r w:rsidR="00185984">
        <w:rPr>
          <w:rFonts w:asciiTheme="majorBidi" w:hAnsiTheme="majorBidi" w:cstheme="majorBidi"/>
          <w:i/>
          <w:iCs/>
        </w:rPr>
        <w:t>s</w:t>
      </w:r>
      <w:r w:rsidRPr="00B77786">
        <w:rPr>
          <w:rFonts w:asciiTheme="majorBidi" w:hAnsiTheme="majorBidi" w:cstheme="majorBidi"/>
        </w:rPr>
        <w:t>).</w:t>
      </w:r>
      <w:r w:rsidRPr="00B77786">
        <w:rPr>
          <w:rFonts w:eastAsia="Calibri"/>
          <w:lang w:eastAsia="en-US"/>
          <w14:ligatures w14:val="standardContextual"/>
        </w:rPr>
        <w:t xml:space="preserve"> Šāda izpratne ir </w:t>
      </w:r>
      <w:r w:rsidR="00DA5B9C" w:rsidRPr="00B77786">
        <w:rPr>
          <w:rFonts w:eastAsia="Calibri"/>
          <w:lang w:eastAsia="en-US"/>
          <w14:ligatures w14:val="standardContextual"/>
        </w:rPr>
        <w:t xml:space="preserve">arī </w:t>
      </w:r>
      <w:r w:rsidRPr="00B77786">
        <w:rPr>
          <w:rFonts w:eastAsia="Calibri"/>
          <w:lang w:eastAsia="en-US"/>
          <w14:ligatures w14:val="standardContextual"/>
        </w:rPr>
        <w:t xml:space="preserve">savienojama ar likumdevēja mērķi </w:t>
      </w:r>
      <w:r>
        <w:rPr>
          <w:rFonts w:eastAsia="Calibri"/>
          <w:lang w:eastAsia="en-US"/>
          <w14:ligatures w14:val="standardContextual"/>
        </w:rPr>
        <w:t xml:space="preserve">– </w:t>
      </w:r>
      <w:r w:rsidRPr="00B77786">
        <w:rPr>
          <w:rFonts w:eastAsia="Calibri"/>
          <w:lang w:eastAsia="en-US"/>
          <w14:ligatures w14:val="standardContextual"/>
        </w:rPr>
        <w:t>izveidot pēc iespējas efektīvāku sistēmu, kuras ietvaros pašvaldības varētu, ja tas nepieciešams, ierobežot azartspēļu organizēšanas vietu izplatību savā teritorijā (sal.</w:t>
      </w:r>
      <w:r w:rsidR="007D4F84">
        <w:rPr>
          <w:rFonts w:eastAsia="Calibri"/>
          <w:lang w:eastAsia="en-US"/>
          <w14:ligatures w14:val="standardContextual"/>
        </w:rPr>
        <w:t> </w:t>
      </w:r>
      <w:r w:rsidRPr="00B77786">
        <w:rPr>
          <w:rFonts w:eastAsia="Calibri"/>
          <w:i/>
          <w:iCs/>
          <w:lang w:eastAsia="en-US"/>
          <w14:ligatures w14:val="standardContextual"/>
        </w:rPr>
        <w:t xml:space="preserve">Satversmes tiesas 2019.gada 16.maija sprieduma lietā </w:t>
      </w:r>
      <w:hyperlink r:id="rId19" w:anchor="search=" w:history="1">
        <w:r w:rsidRPr="00B77786">
          <w:rPr>
            <w:rFonts w:eastAsia="Calibri"/>
            <w:i/>
            <w:iCs/>
            <w:color w:val="0563C1"/>
            <w:u w:val="single"/>
            <w:lang w:eastAsia="en-US"/>
            <w14:ligatures w14:val="standardContextual"/>
          </w:rPr>
          <w:t>Nr. 2018-17-03</w:t>
        </w:r>
      </w:hyperlink>
      <w:r w:rsidRPr="00B77786">
        <w:rPr>
          <w:rFonts w:eastAsia="Calibri"/>
          <w:i/>
          <w:iCs/>
          <w:lang w:eastAsia="en-US"/>
          <w14:ligatures w14:val="standardContextual"/>
        </w:rPr>
        <w:t xml:space="preserve"> 18.5.punkt</w:t>
      </w:r>
      <w:r w:rsidR="00185984">
        <w:rPr>
          <w:rFonts w:eastAsia="Calibri"/>
          <w:i/>
          <w:iCs/>
          <w:lang w:eastAsia="en-US"/>
          <w14:ligatures w14:val="standardContextual"/>
        </w:rPr>
        <w:t>s</w:t>
      </w:r>
      <w:r w:rsidRPr="00B77786">
        <w:rPr>
          <w:rFonts w:eastAsia="Calibri"/>
          <w:lang w:eastAsia="en-US"/>
          <w14:ligatures w14:val="standardContextual"/>
        </w:rPr>
        <w:t>).</w:t>
      </w:r>
    </w:p>
    <w:p w14:paraId="0920AE1C" w14:textId="77777777" w:rsidR="00E600EC" w:rsidRDefault="00E600EC" w:rsidP="006306F5">
      <w:pPr>
        <w:spacing w:line="276" w:lineRule="auto"/>
        <w:ind w:firstLine="720"/>
        <w:jc w:val="both"/>
        <w:rPr>
          <w:rFonts w:eastAsia="Calibri"/>
          <w:lang w:eastAsia="en-US"/>
          <w14:ligatures w14:val="standardContextual"/>
        </w:rPr>
      </w:pPr>
    </w:p>
    <w:p w14:paraId="5C56113D" w14:textId="586C9474" w:rsidR="00EC36A9" w:rsidRPr="00485A03" w:rsidRDefault="00485A03" w:rsidP="006306F5">
      <w:pPr>
        <w:spacing w:line="276" w:lineRule="auto"/>
        <w:ind w:firstLine="720"/>
        <w:jc w:val="both"/>
        <w:rPr>
          <w:rFonts w:eastAsia="Calibri"/>
          <w:lang w:eastAsia="en-US"/>
          <w14:ligatures w14:val="standardContextual"/>
        </w:rPr>
      </w:pPr>
      <w:r>
        <w:rPr>
          <w:rFonts w:eastAsia="Calibri"/>
          <w:lang w:eastAsia="en-US"/>
          <w14:ligatures w14:val="standardContextual"/>
        </w:rPr>
        <w:t>[9]</w:t>
      </w:r>
      <w:r w:rsidR="00711896">
        <w:rPr>
          <w:rFonts w:eastAsia="Calibri"/>
          <w:lang w:eastAsia="en-US"/>
          <w14:ligatures w14:val="standardContextual"/>
        </w:rPr>
        <w:t> </w:t>
      </w:r>
      <w:r>
        <w:rPr>
          <w:rFonts w:eastAsia="Calibri"/>
          <w:lang w:eastAsia="en-US"/>
          <w14:ligatures w14:val="standardContextual"/>
        </w:rPr>
        <w:t>Senāta praksē jau ir vērtēts, vai saistošo noteikumu formā apstiprināta teritorijas plānošanas dokumenta spēkā stāšanās var būt pietiekams</w:t>
      </w:r>
      <w:r w:rsidR="0077355C">
        <w:rPr>
          <w:rFonts w:eastAsia="Calibri"/>
          <w:lang w:eastAsia="en-US"/>
          <w14:ligatures w14:val="standardContextual"/>
        </w:rPr>
        <w:t xml:space="preserve"> un patstāvīgs</w:t>
      </w:r>
      <w:r>
        <w:rPr>
          <w:rFonts w:eastAsia="Calibri"/>
          <w:lang w:eastAsia="en-US"/>
          <w14:ligatures w14:val="standardContextual"/>
        </w:rPr>
        <w:t xml:space="preserve"> pamats, lai </w:t>
      </w:r>
      <w:r w:rsidR="00EC36A9">
        <w:rPr>
          <w:rFonts w:asciiTheme="majorBidi" w:hAnsiTheme="majorBidi" w:cstheme="majorBidi"/>
        </w:rPr>
        <w:t xml:space="preserve">Azartspēļu un izložu likuma 42.panta sestās daļas kārtībā atceltu azartspēļu organizēšanas atļauju. </w:t>
      </w:r>
    </w:p>
    <w:p w14:paraId="76A2DE3B" w14:textId="4FE6066C" w:rsidR="000F414D" w:rsidRPr="00B00610" w:rsidRDefault="00EC36A9" w:rsidP="006306F5">
      <w:pPr>
        <w:spacing w:line="276" w:lineRule="auto"/>
        <w:ind w:firstLine="720"/>
        <w:jc w:val="both"/>
        <w:rPr>
          <w:rFonts w:eastAsia="Calibri" w:cs="Arial"/>
          <w:color w:val="00000A"/>
          <w:szCs w:val="22"/>
          <w:lang w:eastAsia="en-US"/>
        </w:rPr>
      </w:pPr>
      <w:r>
        <w:rPr>
          <w:rFonts w:asciiTheme="majorBidi" w:hAnsiTheme="majorBidi" w:cstheme="majorBidi"/>
        </w:rPr>
        <w:t xml:space="preserve">Saistībā ar minēto Senāts uzsvēris: pašvaldībai vispirms pašai ir </w:t>
      </w:r>
      <w:r w:rsidRPr="004B2CF2">
        <w:rPr>
          <w:rFonts w:asciiTheme="majorBidi" w:hAnsiTheme="majorBidi" w:cstheme="majorBidi"/>
        </w:rPr>
        <w:t xml:space="preserve">jāsaprot, kādā veidā tās teritorijā tiks atļautas un darbosies spēļu zāles. </w:t>
      </w:r>
      <w:r w:rsidR="00BE7975" w:rsidRPr="00BE7975">
        <w:rPr>
          <w:rFonts w:eastAsia="Calibri"/>
          <w:color w:val="00000A"/>
          <w:szCs w:val="22"/>
          <w:lang w:eastAsia="en-US"/>
        </w:rPr>
        <w:t>Ja pašvaldība ir apzinājusi teritorijas, kurās atzīst azartspēļu nepieļaujamību, tad tai nolūkā rūpēties par iedzīvotāju interesēm, kā arī par vienlīdzīgas attieksmes principa ievērošanu ir konsekventi jārīkojas, gan lemjot par jaunu atļauju izsniegšanu, gan attiecībā uz jau izsniegtajām atļaujām</w:t>
      </w:r>
      <w:r w:rsidR="00BE7975">
        <w:rPr>
          <w:rFonts w:eastAsia="Calibri"/>
          <w:color w:val="00000A"/>
          <w:szCs w:val="22"/>
          <w:lang w:eastAsia="en-US"/>
        </w:rPr>
        <w:t xml:space="preserve">. </w:t>
      </w:r>
      <w:r w:rsidR="00BE7975" w:rsidRPr="004B2CF2">
        <w:rPr>
          <w:rFonts w:asciiTheme="majorBidi" w:hAnsiTheme="majorBidi" w:cstheme="majorBidi"/>
        </w:rPr>
        <w:t>Pretējā gadījumā var rasties šaubas, vai ierobežojums ir balstīts patiesos nolūkos rūpēties par iedzīvotāju interesēm, kā arī par vienlīdzīgas attieksmes principa ievērošanu</w:t>
      </w:r>
      <w:r w:rsidR="00BE7975" w:rsidRPr="00BE7975">
        <w:rPr>
          <w:rFonts w:eastAsia="Calibri" w:cs="Arial"/>
          <w:color w:val="00000A"/>
          <w:szCs w:val="22"/>
          <w:lang w:eastAsia="en-US"/>
        </w:rPr>
        <w:t xml:space="preserve"> (sal. </w:t>
      </w:r>
      <w:r w:rsidR="00BE7975" w:rsidRPr="00BE7975">
        <w:rPr>
          <w:rFonts w:eastAsia="Calibri" w:cs="Arial"/>
          <w:i/>
          <w:iCs/>
          <w:color w:val="00000A"/>
          <w:szCs w:val="22"/>
          <w:lang w:eastAsia="en-US"/>
        </w:rPr>
        <w:t xml:space="preserve">Senāta 2021.gada 25.februāra sprieduma lietā Nr. SKA-510/2021, </w:t>
      </w:r>
      <w:hyperlink r:id="rId20" w:history="1">
        <w:r w:rsidR="00BE7975" w:rsidRPr="00711896">
          <w:rPr>
            <w:rStyle w:val="Hyperlink"/>
            <w:rFonts w:eastAsia="Calibri"/>
            <w:i/>
            <w:iCs/>
            <w:szCs w:val="22"/>
            <w:lang w:eastAsia="en-US"/>
          </w:rPr>
          <w:t>ECLI:LV:AT:2021:0225.A420200019.9.S</w:t>
        </w:r>
      </w:hyperlink>
      <w:r w:rsidR="00185984">
        <w:rPr>
          <w:i/>
          <w:iCs/>
        </w:rPr>
        <w:t>,</w:t>
      </w:r>
      <w:r w:rsidR="00BE7975" w:rsidRPr="00BE7975">
        <w:rPr>
          <w:rFonts w:eastAsia="Calibri" w:cs="Arial"/>
          <w:i/>
          <w:iCs/>
          <w:color w:val="EE0000"/>
          <w:szCs w:val="22"/>
          <w:lang w:eastAsia="en-US"/>
        </w:rPr>
        <w:t xml:space="preserve"> </w:t>
      </w:r>
      <w:r w:rsidR="00BE7975" w:rsidRPr="00BE7975">
        <w:rPr>
          <w:rFonts w:eastAsia="Calibri" w:cs="Arial"/>
          <w:i/>
          <w:iCs/>
          <w:color w:val="00000A"/>
          <w:szCs w:val="22"/>
          <w:lang w:eastAsia="en-US"/>
        </w:rPr>
        <w:t xml:space="preserve">12.punkts; 2019.gada 9.aprīļa sprieduma lietā Nr. SKA-407/2019, </w:t>
      </w:r>
      <w:hyperlink r:id="rId21" w:history="1">
        <w:r w:rsidR="00BE7975" w:rsidRPr="00711896">
          <w:rPr>
            <w:rStyle w:val="Hyperlink"/>
            <w:rFonts w:eastAsia="Calibri"/>
            <w:i/>
            <w:iCs/>
            <w:szCs w:val="22"/>
            <w:lang w:eastAsia="en-US"/>
          </w:rPr>
          <w:t>ECLI:LV:AT:2019:0409.A420154016.4.S</w:t>
        </w:r>
      </w:hyperlink>
      <w:r w:rsidR="00BE7975" w:rsidRPr="00BE7975">
        <w:rPr>
          <w:rFonts w:eastAsia="Calibri" w:cs="Arial"/>
          <w:i/>
          <w:iCs/>
          <w:color w:val="00000A"/>
          <w:szCs w:val="22"/>
          <w:lang w:eastAsia="en-US"/>
        </w:rPr>
        <w:t>, 15.punkts</w:t>
      </w:r>
      <w:r w:rsidR="00BE7975" w:rsidRPr="00BE7975">
        <w:rPr>
          <w:rFonts w:eastAsia="Calibri" w:cs="Arial"/>
          <w:color w:val="00000A"/>
          <w:szCs w:val="22"/>
          <w:lang w:eastAsia="en-US"/>
        </w:rPr>
        <w:t xml:space="preserve">). </w:t>
      </w:r>
      <w:r w:rsidR="00BE7975">
        <w:rPr>
          <w:rFonts w:asciiTheme="majorBidi" w:hAnsiTheme="majorBidi" w:cstheme="majorBidi"/>
        </w:rPr>
        <w:t>Ja</w:t>
      </w:r>
      <w:r w:rsidR="00BE7975">
        <w:t xml:space="preserve"> </w:t>
      </w:r>
      <w:r w:rsidR="00BE7975" w:rsidRPr="004B2CF2">
        <w:rPr>
          <w:rFonts w:asciiTheme="majorBidi" w:hAnsiTheme="majorBidi" w:cstheme="majorBidi"/>
        </w:rPr>
        <w:t>komersantiem, kuri atļaujas saņēmuši agrāk, tās neierobežoti pali</w:t>
      </w:r>
      <w:r w:rsidR="000F414D">
        <w:rPr>
          <w:rFonts w:asciiTheme="majorBidi" w:hAnsiTheme="majorBidi" w:cstheme="majorBidi"/>
        </w:rPr>
        <w:t>ktu</w:t>
      </w:r>
      <w:r w:rsidR="00BE7975" w:rsidRPr="004B2CF2">
        <w:rPr>
          <w:rFonts w:asciiTheme="majorBidi" w:hAnsiTheme="majorBidi" w:cstheme="majorBidi"/>
        </w:rPr>
        <w:t xml:space="preserve"> spēkā, bet citiem šādas atļaujas vispār netiek izsniegtas, jo iestāde uzskata, ka nav pieļaujama attiecīgās komercdarbības paplašināšana, ir pamats vērtēt, vai pirmie nav privileģētā stāvoklī, jo otrie attiecīgajā tirgū noteiktā teritorijā vispār netiek ielaisti (</w:t>
      </w:r>
      <w:r w:rsidR="00BE7975" w:rsidRPr="004B2CF2">
        <w:rPr>
          <w:rFonts w:asciiTheme="majorBidi" w:hAnsiTheme="majorBidi" w:cstheme="majorBidi"/>
          <w:i/>
          <w:iCs/>
        </w:rPr>
        <w:t>Senāta 2017.gada 24.februāra sprieduma lietā Nr.</w:t>
      </w:r>
      <w:r w:rsidR="00A00D61">
        <w:rPr>
          <w:rFonts w:asciiTheme="majorBidi" w:hAnsiTheme="majorBidi" w:cstheme="majorBidi"/>
          <w:i/>
          <w:iCs/>
        </w:rPr>
        <w:t> </w:t>
      </w:r>
      <w:r w:rsidR="00BE7975" w:rsidRPr="004B2CF2">
        <w:rPr>
          <w:rFonts w:asciiTheme="majorBidi" w:hAnsiTheme="majorBidi" w:cstheme="majorBidi"/>
          <w:i/>
          <w:iCs/>
        </w:rPr>
        <w:t xml:space="preserve">SKA-34/2017, </w:t>
      </w:r>
      <w:hyperlink r:id="rId22" w:history="1">
        <w:r w:rsidR="00BE7975" w:rsidRPr="00B30771">
          <w:rPr>
            <w:rStyle w:val="Hyperlink"/>
            <w:rFonts w:asciiTheme="majorBidi" w:hAnsiTheme="majorBidi" w:cstheme="majorBidi"/>
            <w:i/>
            <w:iCs/>
          </w:rPr>
          <w:t>A420415312</w:t>
        </w:r>
      </w:hyperlink>
      <w:r w:rsidR="00BE7975" w:rsidRPr="004B2CF2">
        <w:rPr>
          <w:rFonts w:asciiTheme="majorBidi" w:hAnsiTheme="majorBidi" w:cstheme="majorBidi"/>
          <w:i/>
          <w:iCs/>
        </w:rPr>
        <w:t>, 7.punkts</w:t>
      </w:r>
      <w:r w:rsidR="00185984">
        <w:rPr>
          <w:rFonts w:asciiTheme="majorBidi" w:hAnsiTheme="majorBidi" w:cstheme="majorBidi"/>
          <w:i/>
          <w:iCs/>
        </w:rPr>
        <w:t>;</w:t>
      </w:r>
      <w:r w:rsidR="00BE7975" w:rsidRPr="004B2CF2">
        <w:rPr>
          <w:rFonts w:asciiTheme="majorBidi" w:hAnsiTheme="majorBidi" w:cstheme="majorBidi"/>
          <w:i/>
          <w:iCs/>
        </w:rPr>
        <w:t xml:space="preserve"> </w:t>
      </w:r>
      <w:r w:rsidR="0065097C">
        <w:rPr>
          <w:rFonts w:asciiTheme="majorBidi" w:hAnsiTheme="majorBidi" w:cstheme="majorBidi"/>
          <w:i/>
          <w:iCs/>
        </w:rPr>
        <w:t xml:space="preserve">2022.gada 3.maija </w:t>
      </w:r>
      <w:r w:rsidR="00BE7975" w:rsidRPr="004B2CF2">
        <w:rPr>
          <w:rFonts w:asciiTheme="majorBidi" w:hAnsiTheme="majorBidi" w:cstheme="majorBidi"/>
          <w:i/>
          <w:iCs/>
        </w:rPr>
        <w:t>rīcības sēdes lēmuma lietā Nr.</w:t>
      </w:r>
      <w:r w:rsidR="00BE7975">
        <w:rPr>
          <w:rFonts w:asciiTheme="majorBidi" w:hAnsiTheme="majorBidi" w:cstheme="majorBidi"/>
          <w:i/>
          <w:iCs/>
        </w:rPr>
        <w:t> </w:t>
      </w:r>
      <w:r w:rsidR="00BE7975" w:rsidRPr="004B2CF2">
        <w:rPr>
          <w:rFonts w:asciiTheme="majorBidi" w:hAnsiTheme="majorBidi" w:cstheme="majorBidi"/>
          <w:i/>
          <w:iCs/>
        </w:rPr>
        <w:t xml:space="preserve">SKA-381/2022, </w:t>
      </w:r>
      <w:hyperlink r:id="rId23" w:history="1">
        <w:r w:rsidR="00BE7975" w:rsidRPr="004B2CF2">
          <w:rPr>
            <w:rStyle w:val="Hyperlink"/>
            <w:rFonts w:asciiTheme="majorBidi" w:hAnsiTheme="majorBidi" w:cstheme="majorBidi"/>
            <w:i/>
            <w:iCs/>
          </w:rPr>
          <w:t>ECLI:LV:AT:2022:0503.A420128120.8.L</w:t>
        </w:r>
      </w:hyperlink>
      <w:r w:rsidR="00185984">
        <w:rPr>
          <w:i/>
          <w:iCs/>
        </w:rPr>
        <w:t>,</w:t>
      </w:r>
      <w:r w:rsidR="00BE7975" w:rsidRPr="004B2CF2">
        <w:rPr>
          <w:rFonts w:asciiTheme="majorBidi" w:hAnsiTheme="majorBidi" w:cstheme="majorBidi"/>
          <w:i/>
          <w:iCs/>
        </w:rPr>
        <w:t xml:space="preserve"> 8.punkts</w:t>
      </w:r>
      <w:r w:rsidR="00185984">
        <w:rPr>
          <w:rFonts w:asciiTheme="majorBidi" w:hAnsiTheme="majorBidi" w:cstheme="majorBidi"/>
          <w:i/>
          <w:iCs/>
        </w:rPr>
        <w:t>;</w:t>
      </w:r>
      <w:r w:rsidR="00BE7975">
        <w:rPr>
          <w:rFonts w:asciiTheme="majorBidi" w:hAnsiTheme="majorBidi" w:cstheme="majorBidi"/>
          <w:i/>
          <w:iCs/>
        </w:rPr>
        <w:t xml:space="preserve"> </w:t>
      </w:r>
      <w:r w:rsidR="00BE7975" w:rsidRPr="00554FB1">
        <w:rPr>
          <w:rFonts w:asciiTheme="majorBidi" w:hAnsiTheme="majorBidi" w:cstheme="majorBidi"/>
        </w:rPr>
        <w:t>sal. arī</w:t>
      </w:r>
      <w:r w:rsidR="00BE7975">
        <w:rPr>
          <w:rFonts w:asciiTheme="majorBidi" w:hAnsiTheme="majorBidi" w:cstheme="majorBidi"/>
          <w:i/>
          <w:iCs/>
        </w:rPr>
        <w:t xml:space="preserve"> </w:t>
      </w:r>
      <w:r w:rsidR="00BE7975" w:rsidRPr="00FB4450">
        <w:rPr>
          <w:rFonts w:asciiTheme="majorBidi" w:hAnsiTheme="majorBidi" w:cstheme="majorBidi"/>
          <w:i/>
          <w:iCs/>
        </w:rPr>
        <w:t>Satversmes tiesas 2019.gada 16.maija sprieduma lietā Nr.</w:t>
      </w:r>
      <w:r w:rsidR="00BE7975">
        <w:rPr>
          <w:rFonts w:asciiTheme="majorBidi" w:hAnsiTheme="majorBidi" w:cstheme="majorBidi"/>
          <w:i/>
          <w:iCs/>
        </w:rPr>
        <w:t> </w:t>
      </w:r>
      <w:hyperlink r:id="rId24" w:anchor="search=" w:history="1">
        <w:r w:rsidR="00BE7975" w:rsidRPr="00441FE4">
          <w:rPr>
            <w:rStyle w:val="Hyperlink"/>
            <w:rFonts w:asciiTheme="majorBidi" w:hAnsiTheme="majorBidi" w:cstheme="majorBidi"/>
            <w:i/>
            <w:iCs/>
          </w:rPr>
          <w:t>2018-17-03</w:t>
        </w:r>
      </w:hyperlink>
      <w:r w:rsidR="00BE7975" w:rsidRPr="00FB4450">
        <w:rPr>
          <w:rFonts w:asciiTheme="majorBidi" w:hAnsiTheme="majorBidi" w:cstheme="majorBidi"/>
          <w:i/>
          <w:iCs/>
        </w:rPr>
        <w:t xml:space="preserve"> 18.6.punkt</w:t>
      </w:r>
      <w:r w:rsidR="00185984">
        <w:rPr>
          <w:rFonts w:asciiTheme="majorBidi" w:hAnsiTheme="majorBidi" w:cstheme="majorBidi"/>
          <w:i/>
          <w:iCs/>
        </w:rPr>
        <w:t>s</w:t>
      </w:r>
      <w:r w:rsidR="00BE7975" w:rsidRPr="004B2CF2">
        <w:rPr>
          <w:rFonts w:asciiTheme="majorBidi" w:hAnsiTheme="majorBidi" w:cstheme="majorBidi"/>
        </w:rPr>
        <w:t>).</w:t>
      </w:r>
      <w:r w:rsidR="00BE7975">
        <w:rPr>
          <w:rFonts w:asciiTheme="majorBidi" w:hAnsiTheme="majorBidi" w:cstheme="majorBidi"/>
        </w:rPr>
        <w:t xml:space="preserve"> </w:t>
      </w:r>
    </w:p>
    <w:p w14:paraId="5C6DD668" w14:textId="19E79E2B" w:rsidR="007C0AE6" w:rsidRDefault="00BE7975" w:rsidP="006306F5">
      <w:pPr>
        <w:spacing w:line="276" w:lineRule="auto"/>
        <w:ind w:firstLine="720"/>
        <w:jc w:val="both"/>
        <w:rPr>
          <w:rFonts w:eastAsia="Calibri" w:cs="Arial"/>
          <w:color w:val="00000A"/>
          <w:szCs w:val="22"/>
          <w:lang w:eastAsia="en-US"/>
        </w:rPr>
      </w:pPr>
      <w:r>
        <w:rPr>
          <w:rFonts w:asciiTheme="majorBidi" w:hAnsiTheme="majorBidi" w:cstheme="majorBidi"/>
        </w:rPr>
        <w:t>Tāpēc s</w:t>
      </w:r>
      <w:r w:rsidRPr="00BE7975">
        <w:rPr>
          <w:rFonts w:eastAsia="Calibri" w:cs="Arial"/>
          <w:color w:val="00000A"/>
          <w:szCs w:val="22"/>
          <w:lang w:eastAsia="en-US"/>
        </w:rPr>
        <w:t>pēļu zāles darbība teritorijā, kur to liedz teritorijas plānojums, ir pamats pašvaldībai rīkoties, novēršot pretrunas ar spēkā esošajiem normatīvajiem aktiem (sal.</w:t>
      </w:r>
      <w:r w:rsidR="00A00D61">
        <w:rPr>
          <w:rFonts w:eastAsia="Calibri" w:cs="Arial"/>
          <w:color w:val="00000A"/>
          <w:szCs w:val="22"/>
          <w:lang w:eastAsia="en-US"/>
        </w:rPr>
        <w:t> </w:t>
      </w:r>
      <w:r w:rsidRPr="00BE7975">
        <w:rPr>
          <w:rFonts w:eastAsia="Calibri" w:cs="Arial"/>
          <w:i/>
          <w:iCs/>
          <w:color w:val="00000A"/>
          <w:szCs w:val="22"/>
          <w:lang w:eastAsia="en-US"/>
        </w:rPr>
        <w:t xml:space="preserve">Senāta 2017.gada 24.februāra sprieduma lietā Nr. SKA-34/2017, </w:t>
      </w:r>
      <w:hyperlink r:id="rId25" w:history="1">
        <w:r w:rsidRPr="00B30771">
          <w:rPr>
            <w:rStyle w:val="Hyperlink"/>
            <w:rFonts w:eastAsia="Calibri" w:cs="Arial"/>
            <w:i/>
            <w:iCs/>
            <w:szCs w:val="22"/>
            <w:lang w:eastAsia="en-US"/>
          </w:rPr>
          <w:t>A420415312</w:t>
        </w:r>
      </w:hyperlink>
      <w:r w:rsidRPr="00BE7975">
        <w:rPr>
          <w:rFonts w:eastAsia="Calibri" w:cs="Arial"/>
          <w:i/>
          <w:iCs/>
          <w:color w:val="00000A"/>
          <w:szCs w:val="22"/>
          <w:lang w:eastAsia="en-US"/>
        </w:rPr>
        <w:t>, 6.–7.punkts, kā arī tajā pašā lietā pieņemtais blakus lēmums</w:t>
      </w:r>
      <w:r w:rsidRPr="00BE7975">
        <w:rPr>
          <w:rFonts w:eastAsia="Calibri" w:cs="Arial"/>
          <w:color w:val="00000A"/>
          <w:szCs w:val="22"/>
          <w:lang w:eastAsia="en-US"/>
        </w:rPr>
        <w:t>).</w:t>
      </w:r>
      <w:r w:rsidR="00A8001D">
        <w:rPr>
          <w:rFonts w:eastAsia="Calibri" w:cs="Arial"/>
          <w:color w:val="00000A"/>
          <w:szCs w:val="22"/>
          <w:lang w:eastAsia="en-US"/>
        </w:rPr>
        <w:t xml:space="preserve"> </w:t>
      </w:r>
      <w:r w:rsidR="004F7269">
        <w:rPr>
          <w:rFonts w:eastAsia="Calibri" w:cs="Arial"/>
          <w:color w:val="00000A"/>
          <w:szCs w:val="22"/>
          <w:lang w:eastAsia="en-US"/>
        </w:rPr>
        <w:t xml:space="preserve">Minētais ir pamatots vienlīdzīgas attieksmes principā un aizliegumā radīt nepamatotus konkurences ierobežojumus. </w:t>
      </w:r>
    </w:p>
    <w:p w14:paraId="60E56878" w14:textId="68DC0CE5" w:rsidR="00BE7975" w:rsidRPr="000F414D" w:rsidRDefault="00A8001D" w:rsidP="006306F5">
      <w:pPr>
        <w:spacing w:line="276" w:lineRule="auto"/>
        <w:ind w:firstLine="720"/>
        <w:jc w:val="both"/>
        <w:rPr>
          <w:rFonts w:eastAsia="Calibri" w:cs="Arial"/>
          <w:color w:val="00000A"/>
          <w:szCs w:val="22"/>
          <w:lang w:eastAsia="en-US"/>
        </w:rPr>
      </w:pPr>
      <w:r>
        <w:rPr>
          <w:rFonts w:eastAsia="Calibri" w:cs="Arial"/>
          <w:color w:val="00000A"/>
          <w:szCs w:val="22"/>
          <w:lang w:eastAsia="en-US"/>
        </w:rPr>
        <w:t xml:space="preserve">Līdz ar to, ja </w:t>
      </w:r>
      <w:r w:rsidRPr="0095724F">
        <w:rPr>
          <w:rFonts w:asciiTheme="majorBidi" w:hAnsiTheme="majorBidi" w:cstheme="majorBidi"/>
        </w:rPr>
        <w:t>ierobežojums azartspēļu organizēšanai noteikts teritorijas plānojumā, individuālo lēmumu par atļaujas atcelšanu pamato ar attiecīgo teritorijas plānojumu un iestādei nav vajadzīgs pamatot lēmumu ar</w:t>
      </w:r>
      <w:r w:rsidR="00E03102">
        <w:rPr>
          <w:rFonts w:asciiTheme="majorBidi" w:hAnsiTheme="majorBidi" w:cstheme="majorBidi"/>
        </w:rPr>
        <w:t>ī ar</w:t>
      </w:r>
      <w:r w:rsidRPr="0095724F">
        <w:rPr>
          <w:rFonts w:asciiTheme="majorBidi" w:hAnsiTheme="majorBidi" w:cstheme="majorBidi"/>
        </w:rPr>
        <w:t xml:space="preserve"> konkrētās vietas individuālo izvērtējumu (</w:t>
      </w:r>
      <w:r w:rsidRPr="0095724F">
        <w:rPr>
          <w:rFonts w:asciiTheme="majorBidi" w:hAnsiTheme="majorBidi" w:cstheme="majorBidi"/>
          <w:i/>
          <w:iCs/>
        </w:rPr>
        <w:t>Senāta 2025.gada 23.septembra sprieduma lietā Nr.</w:t>
      </w:r>
      <w:r>
        <w:rPr>
          <w:rFonts w:asciiTheme="majorBidi" w:hAnsiTheme="majorBidi" w:cstheme="majorBidi"/>
          <w:i/>
          <w:iCs/>
        </w:rPr>
        <w:t> </w:t>
      </w:r>
      <w:r w:rsidRPr="0095724F">
        <w:rPr>
          <w:rFonts w:asciiTheme="majorBidi" w:hAnsiTheme="majorBidi" w:cstheme="majorBidi"/>
          <w:i/>
          <w:iCs/>
        </w:rPr>
        <w:t xml:space="preserve">SKA-254/2025, </w:t>
      </w:r>
      <w:hyperlink r:id="rId26" w:history="1">
        <w:r w:rsidRPr="0095724F">
          <w:rPr>
            <w:rStyle w:val="Hyperlink"/>
            <w:rFonts w:asciiTheme="majorBidi" w:hAnsiTheme="majorBidi" w:cstheme="majorBidi"/>
            <w:i/>
            <w:iCs/>
          </w:rPr>
          <w:t>ECLI:LV:AT:2025:0923.A420161121.17.S</w:t>
        </w:r>
      </w:hyperlink>
      <w:r w:rsidRPr="0095724F">
        <w:rPr>
          <w:rFonts w:asciiTheme="majorBidi" w:hAnsiTheme="majorBidi" w:cstheme="majorBidi"/>
          <w:i/>
          <w:iCs/>
        </w:rPr>
        <w:t>, 11.punkts</w:t>
      </w:r>
      <w:r w:rsidRPr="0095724F">
        <w:rPr>
          <w:rFonts w:asciiTheme="majorBidi" w:hAnsiTheme="majorBidi" w:cstheme="majorBidi"/>
        </w:rPr>
        <w:t>).</w:t>
      </w:r>
    </w:p>
    <w:p w14:paraId="721B456D" w14:textId="5BE5B09D" w:rsidR="00BE7975" w:rsidRDefault="00BE7975" w:rsidP="006306F5">
      <w:pPr>
        <w:spacing w:line="276" w:lineRule="auto"/>
        <w:ind w:firstLine="720"/>
        <w:jc w:val="both"/>
        <w:rPr>
          <w:rFonts w:asciiTheme="majorBidi" w:hAnsiTheme="majorBidi" w:cstheme="majorBidi"/>
        </w:rPr>
      </w:pPr>
    </w:p>
    <w:p w14:paraId="2593323C" w14:textId="7EF07932" w:rsidR="00BE7975" w:rsidRDefault="00BE7975" w:rsidP="006306F5">
      <w:pPr>
        <w:spacing w:line="276" w:lineRule="auto"/>
        <w:ind w:firstLine="720"/>
        <w:jc w:val="both"/>
        <w:rPr>
          <w:rFonts w:asciiTheme="majorBidi" w:hAnsiTheme="majorBidi" w:cstheme="majorBidi"/>
        </w:rPr>
      </w:pPr>
      <w:r>
        <w:rPr>
          <w:rFonts w:asciiTheme="majorBidi" w:hAnsiTheme="majorBidi" w:cstheme="majorBidi"/>
        </w:rPr>
        <w:t>[10]</w:t>
      </w:r>
      <w:r w:rsidR="00711896">
        <w:rPr>
          <w:rFonts w:asciiTheme="majorBidi" w:hAnsiTheme="majorBidi" w:cstheme="majorBidi"/>
        </w:rPr>
        <w:t> </w:t>
      </w:r>
      <w:r w:rsidR="00DE68AB">
        <w:rPr>
          <w:rFonts w:asciiTheme="majorBidi" w:hAnsiTheme="majorBidi" w:cstheme="majorBidi"/>
        </w:rPr>
        <w:t xml:space="preserve">Šo iemeslu dēļ iespēju turpināt uzsākto azartspēļu organizēšanu nepamato </w:t>
      </w:r>
      <w:r w:rsidR="00DE68AB" w:rsidRPr="009301F7">
        <w:rPr>
          <w:rFonts w:asciiTheme="majorBidi" w:hAnsiTheme="majorBidi" w:cstheme="majorBidi"/>
        </w:rPr>
        <w:t>Ministru kabineta 2013.gada 30.aprīļa noteikumu Nr.</w:t>
      </w:r>
      <w:r w:rsidR="00711896">
        <w:rPr>
          <w:rFonts w:asciiTheme="majorBidi" w:hAnsiTheme="majorBidi" w:cstheme="majorBidi"/>
        </w:rPr>
        <w:t> </w:t>
      </w:r>
      <w:r w:rsidR="00DE68AB" w:rsidRPr="009301F7">
        <w:rPr>
          <w:rFonts w:asciiTheme="majorBidi" w:hAnsiTheme="majorBidi" w:cstheme="majorBidi"/>
        </w:rPr>
        <w:t>240 „Vispārīgie teritorijas plānošanas, izmantošanas un apbūves noteikumi” 6.punkt</w:t>
      </w:r>
      <w:r w:rsidR="00A00D61">
        <w:rPr>
          <w:rFonts w:asciiTheme="majorBidi" w:hAnsiTheme="majorBidi" w:cstheme="majorBidi"/>
        </w:rPr>
        <w:t>s</w:t>
      </w:r>
      <w:r w:rsidR="00DE68AB" w:rsidRPr="009301F7">
        <w:rPr>
          <w:rFonts w:asciiTheme="majorBidi" w:hAnsiTheme="majorBidi" w:cstheme="majorBidi"/>
        </w:rPr>
        <w:t>,</w:t>
      </w:r>
      <w:r w:rsidR="00DE68AB">
        <w:rPr>
          <w:rFonts w:asciiTheme="majorBidi" w:hAnsiTheme="majorBidi" w:cstheme="majorBidi"/>
        </w:rPr>
        <w:t xml:space="preserve"> atbilstoši kuram</w:t>
      </w:r>
      <w:r w:rsidR="00711896">
        <w:rPr>
          <w:rFonts w:asciiTheme="majorBidi" w:hAnsiTheme="majorBidi" w:cstheme="majorBidi"/>
        </w:rPr>
        <w:t>,</w:t>
      </w:r>
      <w:r w:rsidR="00DE68AB" w:rsidRPr="009301F7">
        <w:rPr>
          <w:rFonts w:asciiTheme="majorBidi" w:hAnsiTheme="majorBidi" w:cstheme="majorBidi"/>
        </w:rPr>
        <w:t xml:space="preserve"> stājoties spēkā jaunam teritorijas plānojumam, lokālplānojumam vai detālplānojumam, var turpināt likumīgi uzsākto teritorijas izmantošanu</w:t>
      </w:r>
      <w:r w:rsidR="00DE68AB">
        <w:rPr>
          <w:rFonts w:asciiTheme="majorBidi" w:hAnsiTheme="majorBidi" w:cstheme="majorBidi"/>
        </w:rPr>
        <w:t>. Šī norma nostiprina vispārīgu teritorijas plānošanas principu, kas aizsargā iegūtās tiesības teritorijas plānojuma izmaiņu gadījumā.</w:t>
      </w:r>
      <w:r w:rsidR="00DE68AB" w:rsidRPr="00DE68AB">
        <w:rPr>
          <w:rFonts w:asciiTheme="majorBidi" w:hAnsiTheme="majorBidi" w:cstheme="majorBidi"/>
        </w:rPr>
        <w:t xml:space="preserve"> </w:t>
      </w:r>
      <w:r w:rsidR="00DE68AB">
        <w:rPr>
          <w:rFonts w:asciiTheme="majorBidi" w:hAnsiTheme="majorBidi" w:cstheme="majorBidi"/>
        </w:rPr>
        <w:t xml:space="preserve">Tomēr situācijā, kad azartspēļu organizēšanas atļauja tiek atcelta, pamatojoties uz Azartspēļu un izložu likuma 42.panta sesto daļu sakarā ar to, ka stājies spēkā jauns teritorijas plānošanas dokuments, saistošo noteikumu regulējums ir instruments, ar kuru </w:t>
      </w:r>
      <w:r w:rsidR="00DE68AB" w:rsidRPr="003E2ECE">
        <w:rPr>
          <w:rFonts w:asciiTheme="majorBidi" w:hAnsiTheme="majorBidi" w:cstheme="majorBidi"/>
        </w:rPr>
        <w:t>tiek noteikts, vai azartspēļu rīkošana konkrētajā pašvaldības teritorijā ir saskanīga ar sabiedrības interesēm un tādēļ pieļaujama</w:t>
      </w:r>
      <w:r w:rsidR="00DE68AB">
        <w:rPr>
          <w:rFonts w:asciiTheme="majorBidi" w:hAnsiTheme="majorBidi" w:cstheme="majorBidi"/>
        </w:rPr>
        <w:t xml:space="preserve"> (piemēram, </w:t>
      </w:r>
      <w:r w:rsidR="00DE68AB" w:rsidRPr="003E2ECE">
        <w:rPr>
          <w:rFonts w:eastAsia="Calibri"/>
          <w:i/>
          <w:iCs/>
          <w:lang w:eastAsia="en-US"/>
          <w14:ligatures w14:val="standardContextual"/>
        </w:rPr>
        <w:t>Senāta 2020.gada 20.oktobra rīcības sēdes lēmuma lietā Nr. SKA-891/2020, ECLI:LV:AT:2020:1020.A420302017.20.L, 5.punkts</w:t>
      </w:r>
      <w:r w:rsidR="007168CA">
        <w:rPr>
          <w:rFonts w:eastAsia="Calibri"/>
          <w:i/>
          <w:iCs/>
          <w:lang w:eastAsia="en-US"/>
          <w14:ligatures w14:val="standardContextual"/>
        </w:rPr>
        <w:t>;</w:t>
      </w:r>
      <w:r w:rsidR="00DE68AB" w:rsidRPr="003E2ECE">
        <w:rPr>
          <w:rFonts w:eastAsia="Calibri"/>
          <w:lang w:eastAsia="en-US"/>
          <w14:ligatures w14:val="standardContextual"/>
        </w:rPr>
        <w:t xml:space="preserve"> </w:t>
      </w:r>
      <w:r w:rsidR="00DE68AB" w:rsidRPr="003E2ECE">
        <w:rPr>
          <w:rFonts w:eastAsia="Calibri"/>
          <w:i/>
          <w:iCs/>
          <w:lang w:eastAsia="en-US"/>
          <w14:ligatures w14:val="standardContextual"/>
        </w:rPr>
        <w:t xml:space="preserve">2020.gada 20.novembra rīcības sēdes lēmuma lietā Nr. SKA-1319/2020, </w:t>
      </w:r>
      <w:r w:rsidR="00DE68AB" w:rsidRPr="0005563B">
        <w:rPr>
          <w:rFonts w:ascii="TimesNewRomanPSMT" w:eastAsia="Calibri" w:hAnsi="TimesNewRomanPSMT" w:cs="TimesNewRomanPSMT"/>
          <w:i/>
          <w:iCs/>
          <w:lang w:eastAsia="en-US"/>
          <w14:ligatures w14:val="standardContextual"/>
        </w:rPr>
        <w:t>ECLI:LV:AT:2020:1120.A420323717.9.L</w:t>
      </w:r>
      <w:r w:rsidR="00DE68AB" w:rsidRPr="003E2ECE">
        <w:rPr>
          <w:rFonts w:ascii="TimesNewRomanPSMT" w:eastAsia="Calibri" w:hAnsi="TimesNewRomanPSMT" w:cs="TimesNewRomanPSMT"/>
          <w:i/>
          <w:iCs/>
          <w:color w:val="000081"/>
          <w:lang w:eastAsia="en-US"/>
          <w14:ligatures w14:val="standardContextual"/>
        </w:rPr>
        <w:t xml:space="preserve">, </w:t>
      </w:r>
      <w:r w:rsidR="00DE68AB" w:rsidRPr="003E2ECE">
        <w:rPr>
          <w:rFonts w:ascii="TimesNewRomanPSMT" w:eastAsia="Calibri" w:hAnsi="TimesNewRomanPSMT" w:cs="TimesNewRomanPSMT"/>
          <w:i/>
          <w:iCs/>
          <w:color w:val="000000"/>
          <w:lang w:eastAsia="en-US"/>
          <w14:ligatures w14:val="standardContextual"/>
        </w:rPr>
        <w:t>4.punkts</w:t>
      </w:r>
      <w:r w:rsidR="00DE68AB">
        <w:rPr>
          <w:rFonts w:eastAsia="Calibri"/>
          <w:lang w:eastAsia="en-US"/>
          <w14:ligatures w14:val="standardContextual"/>
        </w:rPr>
        <w:t>).</w:t>
      </w:r>
    </w:p>
    <w:p w14:paraId="0A7F0F74" w14:textId="77777777" w:rsidR="00BE7975" w:rsidRDefault="00BE7975" w:rsidP="006306F5">
      <w:pPr>
        <w:spacing w:line="276" w:lineRule="auto"/>
        <w:ind w:firstLine="720"/>
        <w:jc w:val="both"/>
        <w:rPr>
          <w:rFonts w:asciiTheme="majorBidi" w:hAnsiTheme="majorBidi" w:cstheme="majorBidi"/>
        </w:rPr>
      </w:pPr>
    </w:p>
    <w:p w14:paraId="6CC658BD" w14:textId="4BD7BA98" w:rsidR="006E73F6" w:rsidRDefault="00DE68AB" w:rsidP="006306F5">
      <w:pPr>
        <w:spacing w:line="276" w:lineRule="auto"/>
        <w:ind w:firstLine="720"/>
        <w:jc w:val="both"/>
        <w:rPr>
          <w:rFonts w:asciiTheme="majorBidi" w:hAnsiTheme="majorBidi" w:cstheme="majorBidi"/>
        </w:rPr>
      </w:pPr>
      <w:r>
        <w:rPr>
          <w:rFonts w:asciiTheme="majorBidi" w:hAnsiTheme="majorBidi" w:cstheme="majorBidi"/>
        </w:rPr>
        <w:t xml:space="preserve">[11] Ņemot vērā minēto, </w:t>
      </w:r>
      <w:r w:rsidR="00DD20B2">
        <w:rPr>
          <w:rFonts w:asciiTheme="majorBidi" w:hAnsiTheme="majorBidi" w:cstheme="majorBidi"/>
        </w:rPr>
        <w:t xml:space="preserve">viens no gadījumiem, kad piemērojama </w:t>
      </w:r>
      <w:r>
        <w:rPr>
          <w:rFonts w:asciiTheme="majorBidi" w:hAnsiTheme="majorBidi" w:cstheme="majorBidi"/>
        </w:rPr>
        <w:t xml:space="preserve">Azartspēļu un izložu likuma 42.panta </w:t>
      </w:r>
      <w:r w:rsidR="00DD20B2">
        <w:rPr>
          <w:rFonts w:asciiTheme="majorBidi" w:hAnsiTheme="majorBidi" w:cstheme="majorBidi"/>
        </w:rPr>
        <w:t xml:space="preserve">sestā daļa un nosakāmas šajā normā paredzētās tiesiskās sekas, ir konstatējot apstākli, ka teritorijas plānošanas dokuments nosaka azartspēļu organizēšanas ierobežojumu konkrētā teritorijā. </w:t>
      </w:r>
      <w:r>
        <w:rPr>
          <w:rFonts w:asciiTheme="majorBidi" w:hAnsiTheme="majorBidi" w:cstheme="majorBidi"/>
        </w:rPr>
        <w:t>Apgabaltiesas secinājumi, ka šī norma pārsūdzētajā lēmumā nav piemērota, ir balstī</w:t>
      </w:r>
      <w:r w:rsidR="00A00D61">
        <w:rPr>
          <w:rFonts w:asciiTheme="majorBidi" w:hAnsiTheme="majorBidi" w:cstheme="majorBidi"/>
        </w:rPr>
        <w:t>ti</w:t>
      </w:r>
      <w:r>
        <w:rPr>
          <w:rFonts w:asciiTheme="majorBidi" w:hAnsiTheme="majorBidi" w:cstheme="majorBidi"/>
        </w:rPr>
        <w:t xml:space="preserve"> uz kļūdainiem secinājumiem par to, kād</w:t>
      </w:r>
      <w:r w:rsidR="00DD20B2">
        <w:rPr>
          <w:rFonts w:asciiTheme="majorBidi" w:hAnsiTheme="majorBidi" w:cstheme="majorBidi"/>
        </w:rPr>
        <w:t>iem apstākļiem jābūt konstatē</w:t>
      </w:r>
      <w:r w:rsidR="00A00D61">
        <w:rPr>
          <w:rFonts w:asciiTheme="majorBidi" w:hAnsiTheme="majorBidi" w:cstheme="majorBidi"/>
        </w:rPr>
        <w:t>tiem</w:t>
      </w:r>
      <w:r w:rsidR="00DD20B2">
        <w:rPr>
          <w:rFonts w:asciiTheme="majorBidi" w:hAnsiTheme="majorBidi" w:cstheme="majorBidi"/>
        </w:rPr>
        <w:t xml:space="preserve"> </w:t>
      </w:r>
      <w:r>
        <w:rPr>
          <w:rFonts w:asciiTheme="majorBidi" w:hAnsiTheme="majorBidi" w:cstheme="majorBidi"/>
        </w:rPr>
        <w:t xml:space="preserve">attiecīgo tiesisko seku nodibināšanai. </w:t>
      </w:r>
    </w:p>
    <w:p w14:paraId="2603816A" w14:textId="1B54F80F" w:rsidR="00DE4429" w:rsidRDefault="00F20C4D" w:rsidP="006306F5">
      <w:pPr>
        <w:spacing w:line="276" w:lineRule="auto"/>
        <w:ind w:firstLine="720"/>
        <w:jc w:val="both"/>
        <w:rPr>
          <w:rFonts w:asciiTheme="majorBidi" w:hAnsiTheme="majorBidi" w:cstheme="majorBidi"/>
        </w:rPr>
      </w:pPr>
      <w:r>
        <w:rPr>
          <w:rFonts w:asciiTheme="majorBidi" w:hAnsiTheme="majorBidi" w:cstheme="majorBidi"/>
        </w:rPr>
        <w:t xml:space="preserve">Neskatoties uz </w:t>
      </w:r>
      <w:r w:rsidR="00072C93">
        <w:rPr>
          <w:rFonts w:asciiTheme="majorBidi" w:hAnsiTheme="majorBidi" w:cstheme="majorBidi"/>
        </w:rPr>
        <w:t xml:space="preserve">šiem </w:t>
      </w:r>
      <w:r>
        <w:rPr>
          <w:rFonts w:asciiTheme="majorBidi" w:hAnsiTheme="majorBidi" w:cstheme="majorBidi"/>
        </w:rPr>
        <w:t>kļūdain</w:t>
      </w:r>
      <w:r w:rsidR="00072C93">
        <w:rPr>
          <w:rFonts w:asciiTheme="majorBidi" w:hAnsiTheme="majorBidi" w:cstheme="majorBidi"/>
        </w:rPr>
        <w:t>ajiem</w:t>
      </w:r>
      <w:r>
        <w:rPr>
          <w:rFonts w:asciiTheme="majorBidi" w:hAnsiTheme="majorBidi" w:cstheme="majorBidi"/>
        </w:rPr>
        <w:t xml:space="preserve"> secinājumie</w:t>
      </w:r>
      <w:r w:rsidR="00072C93">
        <w:rPr>
          <w:rFonts w:asciiTheme="majorBidi" w:hAnsiTheme="majorBidi" w:cstheme="majorBidi"/>
        </w:rPr>
        <w:t>m</w:t>
      </w:r>
      <w:r>
        <w:rPr>
          <w:rFonts w:asciiTheme="majorBidi" w:hAnsiTheme="majorBidi" w:cstheme="majorBidi"/>
        </w:rPr>
        <w:t xml:space="preserve">, tiesa tālāk </w:t>
      </w:r>
      <w:r w:rsidR="002854ED">
        <w:rPr>
          <w:rFonts w:asciiTheme="majorBidi" w:hAnsiTheme="majorBidi" w:cstheme="majorBidi"/>
        </w:rPr>
        <w:t>pievērsās Salaspils pilsētas</w:t>
      </w:r>
      <w:r w:rsidR="00072C93">
        <w:rPr>
          <w:rFonts w:asciiTheme="majorBidi" w:hAnsiTheme="majorBidi" w:cstheme="majorBidi"/>
        </w:rPr>
        <w:t xml:space="preserve"> </w:t>
      </w:r>
      <w:r w:rsidR="002854ED">
        <w:rPr>
          <w:rFonts w:asciiTheme="majorBidi" w:hAnsiTheme="majorBidi" w:cstheme="majorBidi"/>
        </w:rPr>
        <w:t>teritorijas lokālplānojumā noteiktā azartspēļu organizēšanas ierobežojuma izvērtējumam</w:t>
      </w:r>
      <w:r w:rsidR="005A5E9F">
        <w:rPr>
          <w:rFonts w:asciiTheme="majorBidi" w:hAnsiTheme="majorBidi" w:cstheme="majorBidi"/>
        </w:rPr>
        <w:t>. Tāpēc Senāts</w:t>
      </w:r>
      <w:r w:rsidR="006E73F6">
        <w:rPr>
          <w:rFonts w:asciiTheme="majorBidi" w:hAnsiTheme="majorBidi" w:cstheme="majorBidi"/>
        </w:rPr>
        <w:t>, ņemot vērā tiesas izdarītos secinājumus,</w:t>
      </w:r>
      <w:r w:rsidR="005A5E9F">
        <w:rPr>
          <w:rFonts w:asciiTheme="majorBidi" w:hAnsiTheme="majorBidi" w:cstheme="majorBidi"/>
        </w:rPr>
        <w:t xml:space="preserve"> tālāk pievērsīsies tam, kāda ir </w:t>
      </w:r>
      <w:r w:rsidR="002331CA">
        <w:rPr>
          <w:rFonts w:asciiTheme="majorBidi" w:hAnsiTheme="majorBidi" w:cstheme="majorBidi"/>
        </w:rPr>
        <w:t xml:space="preserve">administratīvās </w:t>
      </w:r>
      <w:r w:rsidR="005A5E9F">
        <w:rPr>
          <w:rFonts w:asciiTheme="majorBidi" w:hAnsiTheme="majorBidi" w:cstheme="majorBidi"/>
        </w:rPr>
        <w:t xml:space="preserve">tiesas </w:t>
      </w:r>
      <w:r w:rsidR="002331CA">
        <w:rPr>
          <w:rFonts w:asciiTheme="majorBidi" w:hAnsiTheme="majorBidi" w:cstheme="majorBidi"/>
        </w:rPr>
        <w:t xml:space="preserve">loma un </w:t>
      </w:r>
      <w:r w:rsidR="005A5E9F">
        <w:rPr>
          <w:rFonts w:asciiTheme="majorBidi" w:hAnsiTheme="majorBidi" w:cstheme="majorBidi"/>
        </w:rPr>
        <w:t xml:space="preserve">kompetence šādā izvērtējumā. </w:t>
      </w:r>
    </w:p>
    <w:p w14:paraId="5EFA8DA1" w14:textId="77777777" w:rsidR="002854ED" w:rsidRPr="002854ED" w:rsidRDefault="002854ED" w:rsidP="006306F5">
      <w:pPr>
        <w:spacing w:line="276" w:lineRule="auto"/>
        <w:ind w:firstLine="720"/>
        <w:jc w:val="both"/>
        <w:rPr>
          <w:rFonts w:asciiTheme="majorBidi" w:hAnsiTheme="majorBidi" w:cstheme="majorBidi"/>
        </w:rPr>
      </w:pPr>
    </w:p>
    <w:p w14:paraId="3B2E91CD" w14:textId="5C005609" w:rsidR="00DE4429" w:rsidRPr="00DE4429" w:rsidRDefault="00DE4429" w:rsidP="006306F5">
      <w:pPr>
        <w:shd w:val="clear" w:color="auto" w:fill="FFFFFF"/>
        <w:spacing w:line="276" w:lineRule="auto"/>
        <w:jc w:val="center"/>
        <w:rPr>
          <w:b/>
          <w:bCs/>
        </w:rPr>
      </w:pPr>
      <w:r w:rsidRPr="00DE4429">
        <w:rPr>
          <w:b/>
          <w:bCs/>
        </w:rPr>
        <w:t>III</w:t>
      </w:r>
    </w:p>
    <w:p w14:paraId="291144D5" w14:textId="62277499" w:rsidR="00EC36A9" w:rsidRPr="00D20B50" w:rsidRDefault="00DE4429" w:rsidP="006306F5">
      <w:pPr>
        <w:shd w:val="clear" w:color="auto" w:fill="FFFFFF"/>
        <w:spacing w:line="276" w:lineRule="auto"/>
        <w:jc w:val="center"/>
        <w:rPr>
          <w:i/>
          <w:iCs/>
        </w:rPr>
      </w:pPr>
      <w:r w:rsidRPr="00DE4429">
        <w:rPr>
          <w:i/>
          <w:iCs/>
        </w:rPr>
        <w:t>Par Salaspils teritorijas daļas lokālplānojumu kā pamatu Azartspēļu un izložu likuma 42.panta sestās daļas piemērošanai</w:t>
      </w:r>
    </w:p>
    <w:p w14:paraId="2D2060CF" w14:textId="77777777" w:rsidR="006B1ABB" w:rsidRDefault="006B1ABB" w:rsidP="006306F5">
      <w:pPr>
        <w:spacing w:line="276" w:lineRule="auto"/>
        <w:ind w:firstLine="720"/>
        <w:jc w:val="both"/>
      </w:pPr>
    </w:p>
    <w:p w14:paraId="6D1F44B6" w14:textId="6E02C089" w:rsidR="002A6264" w:rsidRDefault="006B1ABB" w:rsidP="006306F5">
      <w:pPr>
        <w:spacing w:line="276" w:lineRule="auto"/>
        <w:ind w:firstLine="720"/>
        <w:jc w:val="both"/>
      </w:pPr>
      <w:r>
        <w:t>[1</w:t>
      </w:r>
      <w:r w:rsidR="00F24E62">
        <w:t>2</w:t>
      </w:r>
      <w:r>
        <w:t>]</w:t>
      </w:r>
      <w:r w:rsidR="0098322F">
        <w:t> </w:t>
      </w:r>
      <w:r w:rsidR="00736293">
        <w:t xml:space="preserve">Apgabaltiesa spriedumā atzina, ka pārsūdzētā lēmuma pamatojumam jābalstās </w:t>
      </w:r>
      <w:r w:rsidR="00B270BD">
        <w:t>individuālu</w:t>
      </w:r>
      <w:r w:rsidR="00736293">
        <w:t xml:space="preserve"> apstākļu novērtējum</w:t>
      </w:r>
      <w:r w:rsidR="00B270BD">
        <w:t>ā</w:t>
      </w:r>
      <w:r w:rsidR="00736293">
        <w:t>, bet Salaspils pilsētas teritorijas daļas lokālplānojums šādu individuālu apstākļu novērtējumu nesniedz.</w:t>
      </w:r>
      <w:r w:rsidR="00B920B1">
        <w:t xml:space="preserve"> Šajā sakarā tiesa atzina, ka norādītais pamatojums ir deklaratīvs un ierobežojums nav balstīts racionālos apsvērumos, kas pienācīgi pamato iepriekš izsniegtās atļaujas atcelšanu. </w:t>
      </w:r>
      <w:r w:rsidR="00682512">
        <w:t>Tāpat Salaspils pilsētas teritorijas daļas lokālplānojuma paskaidrojuma raksts neatspoguļo pieteicējas, kurai adresēts pārsūdzētais lēmums, tiesisko interešu pienācīgu izvērtēšanu un samērošanu ar sabiedrības interesēm.</w:t>
      </w:r>
    </w:p>
    <w:p w14:paraId="01632612" w14:textId="476E8595" w:rsidR="00682512" w:rsidRDefault="00682512" w:rsidP="006306F5">
      <w:pPr>
        <w:spacing w:line="276" w:lineRule="auto"/>
        <w:ind w:firstLine="720"/>
        <w:jc w:val="both"/>
      </w:pPr>
      <w:r>
        <w:t>Šos secinājumus tiesa (tostarp spriedumā daļā, kurā tā pievienojusies pirmās instances tiesas sprieduma motivācijai)</w:t>
      </w:r>
      <w:r w:rsidRPr="00682512">
        <w:t xml:space="preserve"> </w:t>
      </w:r>
      <w:r>
        <w:t>citstarp pamatoja ar Satversmes tiesas norādīto, ka arī saistošajos noteikumos paredzētam azartspēļu organizēšanas ierobežojumam jābūt pamatotam ar konkrētās vietas vai teritorijas specifiskām īpašībām, kas padara to par azartspēļu organizēšanai nepiemērotu (</w:t>
      </w:r>
      <w:r w:rsidRPr="00F973FB">
        <w:rPr>
          <w:i/>
          <w:iCs/>
        </w:rPr>
        <w:t>Satversmes tiesas 2023.gada 20</w:t>
      </w:r>
      <w:r w:rsidR="00185984">
        <w:rPr>
          <w:i/>
          <w:iCs/>
        </w:rPr>
        <w:t>.</w:t>
      </w:r>
      <w:r w:rsidRPr="00F973FB">
        <w:rPr>
          <w:i/>
          <w:iCs/>
        </w:rPr>
        <w:t>aprīļa sprieduma lietā Nr.</w:t>
      </w:r>
      <w:r w:rsidR="00185984">
        <w:rPr>
          <w:i/>
          <w:iCs/>
        </w:rPr>
        <w:t> </w:t>
      </w:r>
      <w:hyperlink r:id="rId27" w:anchor="search=" w:history="1">
        <w:r w:rsidRPr="00B3117D">
          <w:rPr>
            <w:rStyle w:val="Hyperlink"/>
            <w:i/>
            <w:iCs/>
          </w:rPr>
          <w:t>2022-13-05</w:t>
        </w:r>
      </w:hyperlink>
      <w:r w:rsidRPr="00F973FB">
        <w:rPr>
          <w:i/>
          <w:iCs/>
        </w:rPr>
        <w:t xml:space="preserve"> 20.punkts</w:t>
      </w:r>
      <w:r>
        <w:t>), un Senāta praksē paustajām atziņām par to, kādi apstākļi vērtējami kā pienācīgs pamatojums individuālam lēmumam atcelt iepriekš izsniegto atļauju azartspēļu organizēšanai (</w:t>
      </w:r>
      <w:r w:rsidRPr="00F973FB">
        <w:rPr>
          <w:i/>
          <w:iCs/>
        </w:rPr>
        <w:t>Senāta 2010.gada 14.oktobra sprieduma lietā Nr.</w:t>
      </w:r>
      <w:r>
        <w:rPr>
          <w:i/>
          <w:iCs/>
        </w:rPr>
        <w:t> </w:t>
      </w:r>
      <w:r w:rsidRPr="00F973FB">
        <w:rPr>
          <w:i/>
          <w:iCs/>
        </w:rPr>
        <w:t>SKA-404/2010</w:t>
      </w:r>
      <w:r>
        <w:rPr>
          <w:i/>
          <w:iCs/>
        </w:rPr>
        <w:t xml:space="preserve">, </w:t>
      </w:r>
      <w:hyperlink r:id="rId28" w:history="1">
        <w:r w:rsidRPr="00B3117D">
          <w:rPr>
            <w:rStyle w:val="Hyperlink"/>
            <w:i/>
            <w:iCs/>
          </w:rPr>
          <w:t>A42447407</w:t>
        </w:r>
      </w:hyperlink>
      <w:r>
        <w:rPr>
          <w:i/>
          <w:iCs/>
        </w:rPr>
        <w:t>,</w:t>
      </w:r>
      <w:r w:rsidRPr="00F973FB">
        <w:rPr>
          <w:i/>
          <w:iCs/>
        </w:rPr>
        <w:t xml:space="preserve"> 8.punkts</w:t>
      </w:r>
      <w:r w:rsidR="007168CA">
        <w:rPr>
          <w:i/>
          <w:iCs/>
        </w:rPr>
        <w:t>;</w:t>
      </w:r>
      <w:r w:rsidRPr="00F973FB">
        <w:rPr>
          <w:i/>
          <w:iCs/>
        </w:rPr>
        <w:t xml:space="preserve"> 2010.gada 18.jūnija spriedum</w:t>
      </w:r>
      <w:r w:rsidR="00185984">
        <w:rPr>
          <w:i/>
          <w:iCs/>
        </w:rPr>
        <w:t>a</w:t>
      </w:r>
      <w:r w:rsidRPr="00F973FB">
        <w:rPr>
          <w:i/>
          <w:iCs/>
        </w:rPr>
        <w:t xml:space="preserve"> lietā Nr.</w:t>
      </w:r>
      <w:r w:rsidR="00A00D61">
        <w:rPr>
          <w:i/>
          <w:iCs/>
        </w:rPr>
        <w:t> </w:t>
      </w:r>
      <w:r w:rsidRPr="00F973FB">
        <w:rPr>
          <w:i/>
          <w:iCs/>
        </w:rPr>
        <w:t>SKA-289/2010</w:t>
      </w:r>
      <w:r>
        <w:rPr>
          <w:i/>
          <w:iCs/>
        </w:rPr>
        <w:t xml:space="preserve">, </w:t>
      </w:r>
      <w:hyperlink r:id="rId29" w:history="1">
        <w:r w:rsidRPr="00B3117D">
          <w:rPr>
            <w:rStyle w:val="Hyperlink"/>
            <w:i/>
            <w:iCs/>
          </w:rPr>
          <w:t>A42545506</w:t>
        </w:r>
      </w:hyperlink>
      <w:r>
        <w:rPr>
          <w:i/>
          <w:iCs/>
        </w:rPr>
        <w:t>,</w:t>
      </w:r>
      <w:r w:rsidRPr="00F973FB">
        <w:rPr>
          <w:i/>
          <w:iCs/>
        </w:rPr>
        <w:t xml:space="preserve"> 10.punkts</w:t>
      </w:r>
      <w:r>
        <w:t>).</w:t>
      </w:r>
    </w:p>
    <w:p w14:paraId="4B5DB34A" w14:textId="56B472E5" w:rsidR="000C296E" w:rsidRDefault="00682512" w:rsidP="006306F5">
      <w:pPr>
        <w:spacing w:line="276" w:lineRule="auto"/>
        <w:ind w:firstLine="720"/>
        <w:jc w:val="both"/>
      </w:pPr>
      <w:r>
        <w:t xml:space="preserve">Senāts turpmāk </w:t>
      </w:r>
      <w:r w:rsidR="00C85ED9">
        <w:t xml:space="preserve">norādīto apsvērumu dēļ atzīst, ka tiesa nav pareizi izpratusi </w:t>
      </w:r>
      <w:r w:rsidR="00BF4FD5">
        <w:t xml:space="preserve">tāda Azartspēļu </w:t>
      </w:r>
      <w:r w:rsidR="00185984">
        <w:t xml:space="preserve">un izložu </w:t>
      </w:r>
      <w:r w:rsidR="00BF4FD5">
        <w:t>likuma 42.panta sestās daļas kārtībā pieņemta lēmuma būtību, kas pamatots ar saistošo noteikumu</w:t>
      </w:r>
      <w:r>
        <w:t>, kas regulē azartspēļu organizēšanu,</w:t>
      </w:r>
      <w:r w:rsidR="00BF4FD5">
        <w:t xml:space="preserve"> spēkā stāšanos. Vienlaikus tiesas secinājumi par lokālplānojuma kā teritorijas plānošanas dokumenta, kas apstiprināts saistošo noteikumu veidā, piemērošanu neatbilst Administratīvā procesa likuma 104.pantā nostiprinātajai tiesību normu hierarhijas kontrolei.</w:t>
      </w:r>
    </w:p>
    <w:p w14:paraId="62A03607" w14:textId="77777777" w:rsidR="00BF4FD5" w:rsidRDefault="00BF4FD5" w:rsidP="006306F5">
      <w:pPr>
        <w:spacing w:line="276" w:lineRule="auto"/>
        <w:ind w:firstLine="720"/>
        <w:jc w:val="both"/>
      </w:pPr>
    </w:p>
    <w:p w14:paraId="36FA614A" w14:textId="5CCDFEF8" w:rsidR="00EC36A9" w:rsidRDefault="00BF4FD5" w:rsidP="006306F5">
      <w:pPr>
        <w:spacing w:line="276" w:lineRule="auto"/>
        <w:ind w:firstLine="720"/>
        <w:jc w:val="both"/>
        <w:rPr>
          <w:rFonts w:asciiTheme="majorBidi" w:hAnsiTheme="majorBidi" w:cstheme="majorBidi"/>
        </w:rPr>
      </w:pPr>
      <w:r>
        <w:t>[13]</w:t>
      </w:r>
      <w:r w:rsidR="0098322F">
        <w:t> </w:t>
      </w:r>
      <w:r w:rsidR="006B1ABB">
        <w:rPr>
          <w:rFonts w:asciiTheme="majorBidi" w:hAnsiTheme="majorBidi" w:cstheme="majorBidi"/>
        </w:rPr>
        <w:t xml:space="preserve">Senāts šā sprieduma </w:t>
      </w:r>
      <w:r>
        <w:rPr>
          <w:rFonts w:asciiTheme="majorBidi" w:hAnsiTheme="majorBidi" w:cstheme="majorBidi"/>
        </w:rPr>
        <w:t>9. un 10.</w:t>
      </w:r>
      <w:r w:rsidR="006B1ABB">
        <w:rPr>
          <w:rFonts w:asciiTheme="majorBidi" w:hAnsiTheme="majorBidi" w:cstheme="majorBidi"/>
        </w:rPr>
        <w:t xml:space="preserve">punktā jau skaidroja, ka </w:t>
      </w:r>
      <w:r w:rsidR="0066336D">
        <w:rPr>
          <w:rFonts w:asciiTheme="majorBidi" w:hAnsiTheme="majorBidi" w:cstheme="majorBidi"/>
        </w:rPr>
        <w:t xml:space="preserve">teritorijas plānošanas procesā noteikts azartspēļu organizēšanas ierobežojums ir </w:t>
      </w:r>
      <w:r w:rsidR="005155E1">
        <w:rPr>
          <w:rFonts w:asciiTheme="majorBidi" w:hAnsiTheme="majorBidi" w:cstheme="majorBidi"/>
        </w:rPr>
        <w:t>pamats</w:t>
      </w:r>
      <w:r w:rsidR="006B1ABB">
        <w:rPr>
          <w:rFonts w:asciiTheme="majorBidi" w:hAnsiTheme="majorBidi" w:cstheme="majorBidi"/>
        </w:rPr>
        <w:t xml:space="preserve"> gan liegt jaunu azartspēļu vietu atvēršanu konkrētā teritorijā, gan lemt par jau izsniegto atļauju atcelšanu. </w:t>
      </w:r>
      <w:r w:rsidR="005155E1">
        <w:rPr>
          <w:rFonts w:asciiTheme="majorBidi" w:hAnsiTheme="majorBidi" w:cstheme="majorBidi"/>
        </w:rPr>
        <w:t>S</w:t>
      </w:r>
      <w:r w:rsidR="005155E1" w:rsidRPr="005155E1">
        <w:rPr>
          <w:rFonts w:asciiTheme="majorBidi" w:hAnsiTheme="majorBidi" w:cstheme="majorBidi"/>
        </w:rPr>
        <w:t xml:space="preserve">aistošo noteikumu regulējums šajā gadījumā </w:t>
      </w:r>
      <w:r w:rsidR="005155E1">
        <w:rPr>
          <w:rFonts w:asciiTheme="majorBidi" w:hAnsiTheme="majorBidi" w:cstheme="majorBidi"/>
        </w:rPr>
        <w:t xml:space="preserve">kļūst par instrumentu, </w:t>
      </w:r>
      <w:r w:rsidR="005155E1" w:rsidRPr="005155E1">
        <w:rPr>
          <w:rFonts w:asciiTheme="majorBidi" w:hAnsiTheme="majorBidi" w:cstheme="majorBidi"/>
        </w:rPr>
        <w:t xml:space="preserve">ar kuru tiek noteikts, vai azartspēļu rīkošana konkrētajā pašvaldības teritorijā ir saskanīga ar </w:t>
      </w:r>
      <w:r w:rsidR="004826B7">
        <w:rPr>
          <w:rFonts w:asciiTheme="majorBidi" w:hAnsiTheme="majorBidi" w:cstheme="majorBidi"/>
        </w:rPr>
        <w:t xml:space="preserve">teritorijas attīstības plāniem un </w:t>
      </w:r>
      <w:r w:rsidR="005155E1" w:rsidRPr="005155E1">
        <w:rPr>
          <w:rFonts w:asciiTheme="majorBidi" w:hAnsiTheme="majorBidi" w:cstheme="majorBidi"/>
        </w:rPr>
        <w:t>sabiedrības interesēm un tādēļ pieļaujama</w:t>
      </w:r>
      <w:r w:rsidR="005155E1">
        <w:rPr>
          <w:rFonts w:asciiTheme="majorBidi" w:hAnsiTheme="majorBidi" w:cstheme="majorBidi"/>
        </w:rPr>
        <w:t>.</w:t>
      </w:r>
    </w:p>
    <w:p w14:paraId="5952545A" w14:textId="77777777" w:rsidR="0029124A" w:rsidRDefault="0029124A" w:rsidP="006306F5">
      <w:pPr>
        <w:shd w:val="clear" w:color="auto" w:fill="FFFFFF"/>
        <w:spacing w:line="276" w:lineRule="auto"/>
        <w:ind w:firstLine="720"/>
        <w:jc w:val="both"/>
        <w:rPr>
          <w:rFonts w:asciiTheme="majorBidi" w:hAnsiTheme="majorBidi" w:cstheme="majorBidi"/>
        </w:rPr>
      </w:pPr>
      <w:r>
        <w:rPr>
          <w:rFonts w:asciiTheme="majorBidi" w:hAnsiTheme="majorBidi" w:cstheme="majorBidi"/>
        </w:rPr>
        <w:t>Tātad vispārīgi</w:t>
      </w:r>
      <w:r w:rsidR="00AB2006">
        <w:rPr>
          <w:rFonts w:asciiTheme="majorBidi" w:hAnsiTheme="majorBidi" w:cstheme="majorBidi"/>
        </w:rPr>
        <w:t xml:space="preserve"> lokālplānojumā (kas izstrādāts pienācīgā, teritorijas plānošanas procesa idejai, mērķim un principiem atbilstošā procedūrā) noteikts azartspēļu organizēšanas ierobežojums balstās to pašu vērtību aizsardzībā kā </w:t>
      </w:r>
      <w:r>
        <w:rPr>
          <w:rFonts w:asciiTheme="majorBidi" w:hAnsiTheme="majorBidi" w:cstheme="majorBidi"/>
        </w:rPr>
        <w:t xml:space="preserve">tāda lēmuma pamatojums, ar kuru </w:t>
      </w:r>
      <w:r w:rsidR="00AB2006">
        <w:rPr>
          <w:rFonts w:asciiTheme="majorBidi" w:hAnsiTheme="majorBidi" w:cstheme="majorBidi"/>
        </w:rPr>
        <w:t xml:space="preserve">Azartspēļu un izložu likuma 42.panta sestās daļas kārtībā tiek lemts par atļaujas atcelšanu teritorijā, kurā azartspēļu organizēšanu pieļauj teritorijas plānošanas dokumenti. </w:t>
      </w:r>
    </w:p>
    <w:p w14:paraId="1D301196" w14:textId="2F92EA72" w:rsidR="00AB2006" w:rsidRDefault="00AB2006" w:rsidP="006306F5">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Savukārt secinājumus par šīm vērtībām un to, vai un kā teritorijas plānošanas procesā nosakāmi ierobežojumi šo vērtību aizsardzībai, iespējams izdarīt tikai konkrētas teritorijas izvērtējuma rezultātā, nodrošinot līdzsvaru starp azartspēļu organizēšanu un sabiedrības interesēm. Minētais sasaucas arī ar tiesas </w:t>
      </w:r>
      <w:r w:rsidR="0029124A">
        <w:rPr>
          <w:rFonts w:asciiTheme="majorBidi" w:hAnsiTheme="majorBidi" w:cstheme="majorBidi"/>
        </w:rPr>
        <w:t>piesauktajiem</w:t>
      </w:r>
      <w:r>
        <w:rPr>
          <w:rFonts w:asciiTheme="majorBidi" w:hAnsiTheme="majorBidi" w:cstheme="majorBidi"/>
        </w:rPr>
        <w:t xml:space="preserve"> Satversmes tiesas secinājumiem </w:t>
      </w:r>
      <w:r w:rsidR="0029124A">
        <w:rPr>
          <w:rFonts w:asciiTheme="majorBidi" w:hAnsiTheme="majorBidi" w:cstheme="majorBidi"/>
        </w:rPr>
        <w:t xml:space="preserve">2023.gada 20.aprīļa spriedumā </w:t>
      </w:r>
      <w:r w:rsidR="00185984">
        <w:rPr>
          <w:rFonts w:asciiTheme="majorBidi" w:hAnsiTheme="majorBidi" w:cstheme="majorBidi"/>
        </w:rPr>
        <w:t xml:space="preserve">lietā </w:t>
      </w:r>
      <w:r>
        <w:rPr>
          <w:rFonts w:asciiTheme="majorBidi" w:hAnsiTheme="majorBidi" w:cstheme="majorBidi"/>
        </w:rPr>
        <w:t>Nr. </w:t>
      </w:r>
      <w:hyperlink r:id="rId30" w:anchor="search=" w:history="1">
        <w:r w:rsidRPr="0029124A">
          <w:rPr>
            <w:rStyle w:val="Hyperlink"/>
            <w:rFonts w:asciiTheme="majorBidi" w:hAnsiTheme="majorBidi" w:cstheme="majorBidi"/>
          </w:rPr>
          <w:t>2022-13-05</w:t>
        </w:r>
      </w:hyperlink>
      <w:r>
        <w:rPr>
          <w:rFonts w:asciiTheme="majorBidi" w:hAnsiTheme="majorBidi" w:cstheme="majorBidi"/>
        </w:rPr>
        <w:t xml:space="preserve">, </w:t>
      </w:r>
      <w:r w:rsidR="0029124A">
        <w:rPr>
          <w:rFonts w:asciiTheme="majorBidi" w:hAnsiTheme="majorBidi" w:cstheme="majorBidi"/>
        </w:rPr>
        <w:t>atbilstoši kuriem</w:t>
      </w:r>
      <w:r>
        <w:rPr>
          <w:rFonts w:asciiTheme="majorBidi" w:hAnsiTheme="majorBidi" w:cstheme="majorBidi"/>
        </w:rPr>
        <w:t xml:space="preserve"> abos gadījumos (proti, kad p</w:t>
      </w:r>
      <w:r w:rsidRPr="00115971">
        <w:rPr>
          <w:rFonts w:asciiTheme="majorBidi" w:hAnsiTheme="majorBidi" w:cstheme="majorBidi"/>
        </w:rPr>
        <w:t xml:space="preserve">ašvaldības domes saistošajos noteikumos </w:t>
      </w:r>
      <w:r>
        <w:rPr>
          <w:rFonts w:asciiTheme="majorBidi" w:hAnsiTheme="majorBidi" w:cstheme="majorBidi"/>
        </w:rPr>
        <w:t>noteikusi</w:t>
      </w:r>
      <w:r w:rsidRPr="00115971">
        <w:rPr>
          <w:rFonts w:asciiTheme="majorBidi" w:hAnsiTheme="majorBidi" w:cstheme="majorBidi"/>
        </w:rPr>
        <w:t xml:space="preserve"> viet</w:t>
      </w:r>
      <w:r>
        <w:rPr>
          <w:rFonts w:asciiTheme="majorBidi" w:hAnsiTheme="majorBidi" w:cstheme="majorBidi"/>
        </w:rPr>
        <w:t>as</w:t>
      </w:r>
      <w:r w:rsidRPr="00115971">
        <w:rPr>
          <w:rFonts w:asciiTheme="majorBidi" w:hAnsiTheme="majorBidi" w:cstheme="majorBidi"/>
        </w:rPr>
        <w:t xml:space="preserve"> un teritorij</w:t>
      </w:r>
      <w:r>
        <w:rPr>
          <w:rFonts w:asciiTheme="majorBidi" w:hAnsiTheme="majorBidi" w:cstheme="majorBidi"/>
        </w:rPr>
        <w:t>as</w:t>
      </w:r>
      <w:r w:rsidRPr="00115971">
        <w:rPr>
          <w:rFonts w:asciiTheme="majorBidi" w:hAnsiTheme="majorBidi" w:cstheme="majorBidi"/>
        </w:rPr>
        <w:t>, kurās aizliegts organizēt azartspēles,</w:t>
      </w:r>
      <w:r w:rsidR="0029124A">
        <w:rPr>
          <w:rFonts w:asciiTheme="majorBidi" w:hAnsiTheme="majorBidi" w:cstheme="majorBidi"/>
        </w:rPr>
        <w:t xml:space="preserve"> un kad individuāli tiek lemts par azartspēļu organizēšanas atļaujas atcelšanu vai atteikumu šādu atļauju izsniegt sakarā ar </w:t>
      </w:r>
      <w:r w:rsidR="0029124A" w:rsidRPr="00115971">
        <w:rPr>
          <w:rFonts w:asciiTheme="majorBidi" w:hAnsiTheme="majorBidi" w:cstheme="majorBidi"/>
        </w:rPr>
        <w:t>būtisk</w:t>
      </w:r>
      <w:r w:rsidR="0029124A">
        <w:rPr>
          <w:rFonts w:asciiTheme="majorBidi" w:hAnsiTheme="majorBidi" w:cstheme="majorBidi"/>
        </w:rPr>
        <w:t>u</w:t>
      </w:r>
      <w:r w:rsidR="0029124A" w:rsidRPr="00115971">
        <w:rPr>
          <w:rFonts w:asciiTheme="majorBidi" w:hAnsiTheme="majorBidi" w:cstheme="majorBidi"/>
        </w:rPr>
        <w:t xml:space="preserve"> valsts un attiecīgās administratīvās teritorijas iedzīvotāju interešu aizskārum</w:t>
      </w:r>
      <w:r w:rsidR="0029124A">
        <w:rPr>
          <w:rFonts w:asciiTheme="majorBidi" w:hAnsiTheme="majorBidi" w:cstheme="majorBidi"/>
        </w:rPr>
        <w:t xml:space="preserve">u) </w:t>
      </w:r>
      <w:r w:rsidRPr="004B2CF2">
        <w:t>aizliegums organizēt azartspēles ir pamatojams nevis ar vispārīgiem apsvērumiem par azartspēļu kaitīgumu un vispārīgu norādi uz sabiedrības interesēm, bet gan ar konkrētās vietas vai teritorijas specifiskajām īpašībām, kas to padara par azartspēļu organizēšanai nepiemērotu (</w:t>
      </w:r>
      <w:r w:rsidR="0029124A">
        <w:rPr>
          <w:i/>
          <w:iCs/>
        </w:rPr>
        <w:t>minētā sprieduma</w:t>
      </w:r>
      <w:r>
        <w:rPr>
          <w:i/>
          <w:iCs/>
        </w:rPr>
        <w:t xml:space="preserve"> </w:t>
      </w:r>
      <w:r w:rsidRPr="004B2CF2">
        <w:rPr>
          <w:i/>
          <w:iCs/>
        </w:rPr>
        <w:t>20.punkts</w:t>
      </w:r>
      <w:r w:rsidRPr="004B2CF2">
        <w:t>).</w:t>
      </w:r>
      <w:r>
        <w:t xml:space="preserve"> A</w:t>
      </w:r>
      <w:r>
        <w:rPr>
          <w:rFonts w:asciiTheme="majorBidi" w:hAnsiTheme="majorBidi" w:cstheme="majorBidi"/>
        </w:rPr>
        <w:t xml:space="preserve">rī </w:t>
      </w:r>
      <w:r w:rsidRPr="00420D0A">
        <w:rPr>
          <w:rFonts w:asciiTheme="majorBidi" w:hAnsiTheme="majorBidi" w:cstheme="majorBidi"/>
        </w:rPr>
        <w:t>attiecībā uz Azartspēļu un izložu likuma 41.panta otrās daļas 11.punktu un 42.panta desmito daļu</w:t>
      </w:r>
      <w:r>
        <w:rPr>
          <w:rFonts w:asciiTheme="majorBidi" w:hAnsiTheme="majorBidi" w:cstheme="majorBidi"/>
        </w:rPr>
        <w:t>,</w:t>
      </w:r>
      <w:r w:rsidRPr="00420D0A">
        <w:rPr>
          <w:rFonts w:asciiTheme="majorBidi" w:hAnsiTheme="majorBidi" w:cstheme="majorBidi"/>
        </w:rPr>
        <w:t xml:space="preserve"> </w:t>
      </w:r>
      <w:r>
        <w:rPr>
          <w:rFonts w:asciiTheme="majorBidi" w:hAnsiTheme="majorBidi" w:cstheme="majorBidi"/>
        </w:rPr>
        <w:t xml:space="preserve">kas piešķir pašvaldībai pilnvarojumu noteikt vietas un teritorijas, kurās </w:t>
      </w:r>
      <w:r w:rsidRPr="00986859">
        <w:rPr>
          <w:rFonts w:asciiTheme="majorBidi" w:hAnsiTheme="majorBidi" w:cstheme="majorBidi"/>
        </w:rPr>
        <w:t>organizēt azartspēles nav atļauts</w:t>
      </w:r>
      <w:r>
        <w:rPr>
          <w:rFonts w:asciiTheme="majorBidi" w:hAnsiTheme="majorBidi" w:cstheme="majorBidi"/>
        </w:rPr>
        <w:t>, Satversmes tiesa akcentējusi no š</w:t>
      </w:r>
      <w:r w:rsidR="00A00D61">
        <w:rPr>
          <w:rFonts w:asciiTheme="majorBidi" w:hAnsiTheme="majorBidi" w:cstheme="majorBidi"/>
        </w:rPr>
        <w:t>ā</w:t>
      </w:r>
      <w:r>
        <w:rPr>
          <w:rFonts w:asciiTheme="majorBidi" w:hAnsiTheme="majorBidi" w:cstheme="majorBidi"/>
        </w:rPr>
        <w:t xml:space="preserve"> deleģējuma izrietošo </w:t>
      </w:r>
      <w:r w:rsidRPr="00420D0A">
        <w:rPr>
          <w:rFonts w:asciiTheme="majorBidi" w:hAnsiTheme="majorBidi" w:cstheme="majorBidi"/>
        </w:rPr>
        <w:t>teritoriju izvērtēšanas princip</w:t>
      </w:r>
      <w:r>
        <w:rPr>
          <w:rFonts w:asciiTheme="majorBidi" w:hAnsiTheme="majorBidi" w:cstheme="majorBidi"/>
        </w:rPr>
        <w:t>u</w:t>
      </w:r>
      <w:r w:rsidRPr="00420D0A">
        <w:rPr>
          <w:rFonts w:asciiTheme="majorBidi" w:hAnsiTheme="majorBidi" w:cstheme="majorBidi"/>
        </w:rPr>
        <w:t xml:space="preserve"> (piemēram, </w:t>
      </w:r>
      <w:r w:rsidRPr="00A00D61">
        <w:rPr>
          <w:rFonts w:asciiTheme="majorBidi" w:hAnsiTheme="majorBidi" w:cstheme="majorBidi"/>
          <w:i/>
          <w:iCs/>
        </w:rPr>
        <w:t xml:space="preserve">Satversmes tiesas 2023.gada 20.aprīļa sprieduma </w:t>
      </w:r>
      <w:r w:rsidR="00A00D61">
        <w:rPr>
          <w:rFonts w:asciiTheme="majorBidi" w:hAnsiTheme="majorBidi" w:cstheme="majorBidi"/>
          <w:i/>
          <w:iCs/>
        </w:rPr>
        <w:t xml:space="preserve">lietā </w:t>
      </w:r>
      <w:r w:rsidRPr="00A00D61">
        <w:rPr>
          <w:rFonts w:asciiTheme="majorBidi" w:hAnsiTheme="majorBidi" w:cstheme="majorBidi"/>
          <w:i/>
          <w:iCs/>
        </w:rPr>
        <w:t>Nr.</w:t>
      </w:r>
      <w:r w:rsidR="00185984">
        <w:rPr>
          <w:rFonts w:asciiTheme="majorBidi" w:hAnsiTheme="majorBidi" w:cstheme="majorBidi"/>
          <w:i/>
          <w:iCs/>
        </w:rPr>
        <w:t> </w:t>
      </w:r>
      <w:hyperlink r:id="rId31" w:anchor="search=" w:history="1">
        <w:r w:rsidRPr="00A00D61">
          <w:rPr>
            <w:rStyle w:val="Hyperlink"/>
            <w:rFonts w:asciiTheme="majorBidi" w:hAnsiTheme="majorBidi" w:cstheme="majorBidi"/>
            <w:i/>
            <w:iCs/>
          </w:rPr>
          <w:t>2022-13-05</w:t>
        </w:r>
      </w:hyperlink>
      <w:r w:rsidRPr="00A00D61">
        <w:rPr>
          <w:rFonts w:asciiTheme="majorBidi" w:hAnsiTheme="majorBidi" w:cstheme="majorBidi"/>
          <w:i/>
          <w:iCs/>
        </w:rPr>
        <w:t xml:space="preserve"> 20.</w:t>
      </w:r>
      <w:r w:rsidR="00A00D61" w:rsidRPr="00A00D61">
        <w:rPr>
          <w:rFonts w:asciiTheme="majorBidi" w:hAnsiTheme="majorBidi" w:cstheme="majorBidi"/>
          <w:i/>
          <w:iCs/>
        </w:rPr>
        <w:t>–</w:t>
      </w:r>
      <w:r w:rsidRPr="00A00D61">
        <w:rPr>
          <w:rFonts w:asciiTheme="majorBidi" w:hAnsiTheme="majorBidi" w:cstheme="majorBidi"/>
          <w:i/>
          <w:iCs/>
        </w:rPr>
        <w:t>21.punkts</w:t>
      </w:r>
      <w:r w:rsidR="00185984">
        <w:rPr>
          <w:rFonts w:asciiTheme="majorBidi" w:hAnsiTheme="majorBidi" w:cstheme="majorBidi"/>
          <w:i/>
          <w:iCs/>
        </w:rPr>
        <w:t>;</w:t>
      </w:r>
      <w:r w:rsidRPr="00A00D61">
        <w:rPr>
          <w:rFonts w:asciiTheme="majorBidi" w:hAnsiTheme="majorBidi" w:cstheme="majorBidi"/>
          <w:i/>
          <w:iCs/>
        </w:rPr>
        <w:t xml:space="preserve"> </w:t>
      </w:r>
      <w:r w:rsidR="0029124A" w:rsidRPr="00A00D61">
        <w:rPr>
          <w:rFonts w:asciiTheme="majorBidi" w:hAnsiTheme="majorBidi" w:cstheme="majorBidi"/>
          <w:i/>
          <w:iCs/>
        </w:rPr>
        <w:t>2024.gada 4.aprīļa sprieduma lietā Nr.</w:t>
      </w:r>
      <w:r w:rsidR="00185984">
        <w:rPr>
          <w:rFonts w:asciiTheme="majorBidi" w:hAnsiTheme="majorBidi" w:cstheme="majorBidi"/>
          <w:i/>
          <w:iCs/>
        </w:rPr>
        <w:t> </w:t>
      </w:r>
      <w:hyperlink r:id="rId32" w:anchor="search=" w:history="1">
        <w:r w:rsidRPr="00A00D61">
          <w:rPr>
            <w:rStyle w:val="Hyperlink"/>
            <w:rFonts w:asciiTheme="majorBidi" w:hAnsiTheme="majorBidi" w:cstheme="majorBidi"/>
            <w:i/>
            <w:iCs/>
          </w:rPr>
          <w:t>2023-27-03</w:t>
        </w:r>
      </w:hyperlink>
      <w:r w:rsidRPr="00A00D61">
        <w:rPr>
          <w:rFonts w:asciiTheme="majorBidi" w:hAnsiTheme="majorBidi" w:cstheme="majorBidi"/>
          <w:i/>
          <w:iCs/>
        </w:rPr>
        <w:t xml:space="preserve"> 14.2.punkts</w:t>
      </w:r>
      <w:r w:rsidRPr="00420D0A">
        <w:rPr>
          <w:rFonts w:asciiTheme="majorBidi" w:hAnsiTheme="majorBidi" w:cstheme="majorBidi"/>
        </w:rPr>
        <w:t>).</w:t>
      </w:r>
    </w:p>
    <w:p w14:paraId="34999F7F" w14:textId="0B059610" w:rsidR="00765A6A" w:rsidRDefault="00AB2006" w:rsidP="006306F5">
      <w:pPr>
        <w:shd w:val="clear" w:color="auto" w:fill="FFFFFF"/>
        <w:spacing w:line="276" w:lineRule="auto"/>
        <w:ind w:firstLine="720"/>
        <w:jc w:val="both"/>
        <w:rPr>
          <w:rFonts w:asciiTheme="majorBidi" w:hAnsiTheme="majorBidi" w:cstheme="majorBidi"/>
        </w:rPr>
      </w:pPr>
      <w:r>
        <w:rPr>
          <w:rFonts w:asciiTheme="majorBidi" w:hAnsiTheme="majorBidi" w:cstheme="majorBidi"/>
        </w:rPr>
        <w:t>Tomēr tas nenozīmē, ka lokālplānojumā noteikta</w:t>
      </w:r>
      <w:r w:rsidR="005E3089">
        <w:rPr>
          <w:rFonts w:asciiTheme="majorBidi" w:hAnsiTheme="majorBidi" w:cstheme="majorBidi"/>
        </w:rPr>
        <w:t>m</w:t>
      </w:r>
      <w:r>
        <w:rPr>
          <w:rFonts w:asciiTheme="majorBidi" w:hAnsiTheme="majorBidi" w:cstheme="majorBidi"/>
        </w:rPr>
        <w:t xml:space="preserve"> azartspēļu organizēšanas ierobežojuma</w:t>
      </w:r>
      <w:r w:rsidR="005E3089">
        <w:rPr>
          <w:rFonts w:asciiTheme="majorBidi" w:hAnsiTheme="majorBidi" w:cstheme="majorBidi"/>
        </w:rPr>
        <w:t>m</w:t>
      </w:r>
      <w:r>
        <w:rPr>
          <w:rFonts w:asciiTheme="majorBidi" w:hAnsiTheme="majorBidi" w:cstheme="majorBidi"/>
        </w:rPr>
        <w:t xml:space="preserve"> (kura sekas būs attiecīgas atļaujas atcelšana) būtu </w:t>
      </w:r>
      <w:r w:rsidR="00A00D61">
        <w:rPr>
          <w:rFonts w:asciiTheme="majorBidi" w:hAnsiTheme="majorBidi" w:cstheme="majorBidi"/>
        </w:rPr>
        <w:t>jābūt</w:t>
      </w:r>
      <w:r>
        <w:rPr>
          <w:rFonts w:asciiTheme="majorBidi" w:hAnsiTheme="majorBidi" w:cstheme="majorBidi"/>
        </w:rPr>
        <w:t xml:space="preserve"> tādas pašas detalizācijas konkrētas adreses izvērtējum</w:t>
      </w:r>
      <w:r w:rsidR="00A00D61">
        <w:rPr>
          <w:rFonts w:asciiTheme="majorBidi" w:hAnsiTheme="majorBidi" w:cstheme="majorBidi"/>
        </w:rPr>
        <w:t>am</w:t>
      </w:r>
      <w:r>
        <w:rPr>
          <w:rFonts w:asciiTheme="majorBidi" w:hAnsiTheme="majorBidi" w:cstheme="majorBidi"/>
        </w:rPr>
        <w:t xml:space="preserve"> kā tajā gadījumā, kad nesaistīti ar teritorijas plānošanas procesu tiktu lemts par izsniegtās atļaujas atcelšanu </w:t>
      </w:r>
      <w:r w:rsidR="005E3089">
        <w:rPr>
          <w:rFonts w:asciiTheme="majorBidi" w:hAnsiTheme="majorBidi" w:cstheme="majorBidi"/>
        </w:rPr>
        <w:t xml:space="preserve">šajā adresē. </w:t>
      </w:r>
      <w:r>
        <w:rPr>
          <w:rFonts w:asciiTheme="majorBidi" w:hAnsiTheme="majorBidi" w:cstheme="majorBidi"/>
        </w:rPr>
        <w:t>Šīs situācijas pēc savas būtības atšķiras.</w:t>
      </w:r>
      <w:r w:rsidRPr="00AB2006">
        <w:rPr>
          <w:rFonts w:asciiTheme="majorBidi" w:hAnsiTheme="majorBidi" w:cstheme="majorBidi"/>
        </w:rPr>
        <w:t xml:space="preserve"> </w:t>
      </w:r>
      <w:r>
        <w:rPr>
          <w:rFonts w:asciiTheme="majorBidi" w:hAnsiTheme="majorBidi" w:cstheme="majorBidi"/>
        </w:rPr>
        <w:t xml:space="preserve">Lai gan katrā no tām azartspēļu organizēšanas ierobežojuma pamatā ir jābūt konkrētam, ar pašvaldībai piešķirto kompetenci saistītam mērķim, </w:t>
      </w:r>
      <w:r w:rsidR="00765A6A">
        <w:rPr>
          <w:rFonts w:asciiTheme="majorBidi" w:hAnsiTheme="majorBidi" w:cstheme="majorBidi"/>
        </w:rPr>
        <w:t>atšķirīga ir katra š</w:t>
      </w:r>
      <w:r w:rsidR="00A00D61">
        <w:rPr>
          <w:rFonts w:asciiTheme="majorBidi" w:hAnsiTheme="majorBidi" w:cstheme="majorBidi"/>
        </w:rPr>
        <w:t>ā</w:t>
      </w:r>
      <w:r w:rsidR="00765A6A">
        <w:rPr>
          <w:rFonts w:asciiTheme="majorBidi" w:hAnsiTheme="majorBidi" w:cstheme="majorBidi"/>
        </w:rPr>
        <w:t xml:space="preserve"> tiesiskā instrumenta izmantošana un administratīvās tiesas kontrole pār to. </w:t>
      </w:r>
    </w:p>
    <w:p w14:paraId="2B015765" w14:textId="77777777" w:rsidR="00765A6A" w:rsidRDefault="00765A6A" w:rsidP="006306F5">
      <w:pPr>
        <w:shd w:val="clear" w:color="auto" w:fill="FFFFFF"/>
        <w:spacing w:line="276" w:lineRule="auto"/>
        <w:ind w:firstLine="720"/>
        <w:jc w:val="both"/>
        <w:rPr>
          <w:rFonts w:asciiTheme="majorBidi" w:hAnsiTheme="majorBidi" w:cstheme="majorBidi"/>
        </w:rPr>
      </w:pPr>
    </w:p>
    <w:p w14:paraId="71F0A9AB" w14:textId="2E4D3AE6" w:rsidR="0013735D" w:rsidRDefault="003C77D6" w:rsidP="006306F5">
      <w:pPr>
        <w:shd w:val="clear" w:color="auto" w:fill="FFFFFF"/>
        <w:spacing w:line="276" w:lineRule="auto"/>
        <w:ind w:firstLine="720"/>
        <w:jc w:val="both"/>
      </w:pPr>
      <w:r>
        <w:rPr>
          <w:rFonts w:asciiTheme="majorBidi" w:hAnsiTheme="majorBidi" w:cstheme="majorBidi"/>
        </w:rPr>
        <w:t>[14]</w:t>
      </w:r>
      <w:r w:rsidR="0098322F">
        <w:rPr>
          <w:rFonts w:asciiTheme="majorBidi" w:hAnsiTheme="majorBidi" w:cstheme="majorBidi"/>
        </w:rPr>
        <w:t> </w:t>
      </w:r>
      <w:r>
        <w:t xml:space="preserve">Atbilstoši Teritorijas plānošanas likuma 1.panta 9.punktā sniegtajai lokālplānojuma definīcijai lokālplānojums ir </w:t>
      </w:r>
      <w:r w:rsidRPr="00D74073">
        <w:t>vietējās pašvaldības ilgtermiņa teritorijas attīstības plānošanas dokuments, kuru izstrādā valstspilsētas daļai, novada pilsētai vai tās daļai, ciemam vai tā daļai vai lauku teritorijas daļai kāda plānošanas uzdevuma risināšanai vai teritorijas plānojuma detalizēšanai vai grozīšanai</w:t>
      </w:r>
      <w:r>
        <w:t xml:space="preserve">. Tātad lokālplānojuma izstrāde ir </w:t>
      </w:r>
      <w:r w:rsidRPr="005E27D9">
        <w:t>pašvaldības normatīv</w:t>
      </w:r>
      <w:r>
        <w:t>ā</w:t>
      </w:r>
      <w:r w:rsidRPr="005E27D9">
        <w:t xml:space="preserve"> akta izdošanas funkcijas izpausme, kuru pašvaldība īsteno, ņemot vērā savu redzējumu par administratīvās teritorijas attīstību ilgtermiņā</w:t>
      </w:r>
      <w:r>
        <w:t xml:space="preserve"> (sal. </w:t>
      </w:r>
      <w:r w:rsidRPr="005E27D9">
        <w:rPr>
          <w:i/>
          <w:iCs/>
        </w:rPr>
        <w:t xml:space="preserve">Senāta 2022.gada 25.februāra sprieduma lietā Nr. SKA-188/2022, </w:t>
      </w:r>
      <w:hyperlink r:id="rId33" w:history="1">
        <w:r w:rsidRPr="0098322F">
          <w:rPr>
            <w:rStyle w:val="Hyperlink"/>
            <w:i/>
            <w:iCs/>
          </w:rPr>
          <w:t>ECLI:LV:AT:2022:0225.A420200918.16.S</w:t>
        </w:r>
      </w:hyperlink>
      <w:r w:rsidRPr="005E27D9">
        <w:rPr>
          <w:i/>
          <w:iCs/>
        </w:rPr>
        <w:t>, 11.punkt</w:t>
      </w:r>
      <w:r w:rsidR="00A00D61">
        <w:rPr>
          <w:i/>
          <w:iCs/>
        </w:rPr>
        <w:t>s</w:t>
      </w:r>
      <w:r>
        <w:t xml:space="preserve">). </w:t>
      </w:r>
    </w:p>
    <w:p w14:paraId="2091F763" w14:textId="6B1A7B14" w:rsidR="003C77D6" w:rsidRDefault="003C77D6" w:rsidP="006306F5">
      <w:pPr>
        <w:shd w:val="clear" w:color="auto" w:fill="FFFFFF"/>
        <w:spacing w:line="276" w:lineRule="auto"/>
        <w:ind w:firstLine="720"/>
        <w:jc w:val="both"/>
      </w:pPr>
      <w:r>
        <w:t xml:space="preserve">Teritorijas plānošanas dokumentu, arī lokālplānojuma, izstrādes procedūra ir reglamentēta tā, lai </w:t>
      </w:r>
      <w:r w:rsidRPr="00843A9F">
        <w:t>pašvaldība varētu identificēt un izsvērt dažādas intereses un noteikt, kurām no tām dodama prioritāte. Šajā procesā pēc iespējas vairāk ir jāpanāk visu iesaistīto pušu līdzsvarošana.</w:t>
      </w:r>
      <w:r>
        <w:t xml:space="preserve"> Arī lokālplānojuma izstrādei ir jāatbilst Teritorijas attīstības un plānošanas likuma 2.panta mērķim – nodrošināt, ka teritorijas attīstība tiek plānota tā, lai varētu paaugstināt dzīves vides kvalitāti, ilgtspējīgi, efektīvi un racionāli izmantot teritoriju un citus resursus, kā arī mērķtiecīgi un līdzsvaroti attīstīt ekonomiku. Savukārt par vadlīnijām pareizai rīcības brīvības izmantošanai arī lokālplānojuma izstrādes procesā kalpo vispārējie tiesību principi un teritorijas plānošanas principi. Ja lokālplānojums nosaka azartspēļu organizēšanas ierobežojumus – arī tie principi, kas izriet no Azartspēļu un izložu likuma 41.panta otrās daļas 11.punktā un 42.panta desmitajā daļā piešķirtā deleģējuma. </w:t>
      </w:r>
    </w:p>
    <w:p w14:paraId="1503A7D4" w14:textId="77777777" w:rsidR="003C77D6" w:rsidRDefault="003C77D6" w:rsidP="006306F5">
      <w:pPr>
        <w:shd w:val="clear" w:color="auto" w:fill="FFFFFF"/>
        <w:spacing w:line="276" w:lineRule="auto"/>
        <w:ind w:firstLine="720"/>
        <w:jc w:val="both"/>
      </w:pPr>
    </w:p>
    <w:p w14:paraId="294CC085" w14:textId="310DD1B9" w:rsidR="003C77D6" w:rsidRDefault="003C77D6" w:rsidP="006306F5">
      <w:pPr>
        <w:shd w:val="clear" w:color="auto" w:fill="FFFFFF"/>
        <w:spacing w:line="276" w:lineRule="auto"/>
        <w:ind w:firstLine="720"/>
        <w:jc w:val="both"/>
      </w:pPr>
      <w:r>
        <w:t>[15]</w:t>
      </w:r>
      <w:r w:rsidR="0098322F">
        <w:t> </w:t>
      </w:r>
      <w:r>
        <w:t>Situācijā, kurā lokālplānojum</w:t>
      </w:r>
      <w:r w:rsidR="00185984">
        <w:t>s</w:t>
      </w:r>
      <w:r>
        <w:t xml:space="preserve"> nosaka azartspēļu organizēšanas ierobežojumus, pašvaldībai ir jāapzinās šādu ierobežojumu ietekme uz tām personām, kuras konkrētajā teritorijā jau nodarbojas ar komercdarbību – jāapzinās, ka regulējuma spēkā stāšanās tālāk kalpos kā pamats iepriekš izsniegto azartspēļu organizēšanas atļauju atcelšanai. Tā kļūst par vienu no interesēm, kas pašvaldībai konkrētās teritorijas plānošanas procesā ir pienācīgi jāapsver</w:t>
      </w:r>
      <w:r w:rsidR="0013735D">
        <w:t>,</w:t>
      </w:r>
      <w:r>
        <w:t xml:space="preserve"> un galu galā – jāsalāgo ar tiem mērķiem, kurus kā nozīmīgus konkrētās teritorijas attīstībai pati pašvaldība vēlas izvirzīt.</w:t>
      </w:r>
    </w:p>
    <w:p w14:paraId="7987C618" w14:textId="238441BC" w:rsidR="003C77D6" w:rsidRDefault="003C77D6" w:rsidP="006306F5">
      <w:pPr>
        <w:shd w:val="clear" w:color="auto" w:fill="FFFFFF"/>
        <w:spacing w:line="276" w:lineRule="auto"/>
        <w:ind w:firstLine="720"/>
        <w:jc w:val="both"/>
      </w:pPr>
      <w:r>
        <w:t xml:space="preserve">Tomēr tas nepadara teritorijas plānošanas procesu, kurā šāda interese ir identificējama, par savā būtībā atšķirīgu no jebkura cita teritorijas plānošanas procesa, pieprasot izvērsti detalizēt tādas nianses, kuras nebūtu detalizējamas citādā gadījumā. Tas nebūtu efektīvi, neatbilstu teritorijas plānošanas procesa jēgai un nonāktu pretrunā mērķim, kāpēc pašvaldībai ir piešķirta kompetence lemt par azartspēļu organizēšanas kārtību teritorijas plānošanas dokumentā. Tāpēc tas nav šāda procesa mērķis teritorijas plānošanas dokumenta izstrādē detalizēti analizēt konkrēto adresi, kurā plānošanai pakļautajā teritorijā vai funkcionālajā zonā šobrīd darbojas azartspēļu organizēšanas vieta. Teritorijas plānošana, arī kontekstā ar azartspēļu organizēšanas ierobežojumiem, </w:t>
      </w:r>
      <w:r w:rsidR="0062263D">
        <w:t xml:space="preserve">balstās teritorijas vai funkcionālās zonas izvērtējumā – vērtējumā par teritorijas attīstības </w:t>
      </w:r>
      <w:r w:rsidR="0013735D">
        <w:t>mērķiem</w:t>
      </w:r>
      <w:r w:rsidR="0062263D">
        <w:t xml:space="preserve"> un identificēto vērtību aizsardzības nepieciešamību, pienācīgi apsverot arī potenciālā regulējuma ietekmi uz tām personām, kuras konkrētā teritorijā jau nodarbojas ar komercdarbību.</w:t>
      </w:r>
      <w:r w:rsidR="002570B0">
        <w:t xml:space="preserve"> Kā atzinusi Satversmes tiesa, tādējādi </w:t>
      </w:r>
      <w:r w:rsidR="002570B0" w:rsidRPr="00B32EEA">
        <w:t xml:space="preserve">pašvaldībai </w:t>
      </w:r>
      <w:r w:rsidR="0013735D">
        <w:t xml:space="preserve">šādā </w:t>
      </w:r>
      <w:r w:rsidR="002570B0" w:rsidRPr="00B32EEA">
        <w:t>teritorijas plānošanas procesā ir jāizvērtē, piemēram, konkrētās teritorijas apbūve un infrastruktūras objektu izvietojums, apdzīvotības blīvums, iedzīvotāju un komersantu intereses un citi būtiski aspekti, kas var būt par pamatu azartspēļu organizēšanas ierobežojumu noteikšanai</w:t>
      </w:r>
      <w:r w:rsidR="002570B0">
        <w:t xml:space="preserve"> (</w:t>
      </w:r>
      <w:r w:rsidR="0013735D" w:rsidRPr="0013735D">
        <w:rPr>
          <w:i/>
          <w:iCs/>
        </w:rPr>
        <w:t>Satversmes tiesas 2024.gada 4.aprīļa sprieduma lietā Nr.</w:t>
      </w:r>
      <w:r w:rsidR="00A00D61">
        <w:rPr>
          <w:i/>
          <w:iCs/>
        </w:rPr>
        <w:t> </w:t>
      </w:r>
      <w:hyperlink r:id="rId34" w:anchor="search=" w:history="1">
        <w:r w:rsidR="002570B0" w:rsidRPr="0013735D">
          <w:rPr>
            <w:rStyle w:val="Hyperlink"/>
            <w:i/>
            <w:iCs/>
          </w:rPr>
          <w:t>2023-27-03</w:t>
        </w:r>
      </w:hyperlink>
      <w:r w:rsidR="00B67B38" w:rsidRPr="0013735D">
        <w:rPr>
          <w:i/>
          <w:iCs/>
        </w:rPr>
        <w:t xml:space="preserve"> </w:t>
      </w:r>
      <w:r w:rsidR="002570B0" w:rsidRPr="0013735D">
        <w:rPr>
          <w:i/>
          <w:iCs/>
        </w:rPr>
        <w:t>14.2.punkts</w:t>
      </w:r>
      <w:r w:rsidR="002570B0">
        <w:t xml:space="preserve">). Taču </w:t>
      </w:r>
      <w:r w:rsidR="002570B0" w:rsidRPr="00696728">
        <w:t>teritorijas plānošanas procesā, nosakot konkrētu azartspēļu komercdarbības veidu ierobežojumus, individuāl</w:t>
      </w:r>
      <w:r w:rsidR="00185984">
        <w:t>s</w:t>
      </w:r>
      <w:r w:rsidR="002570B0" w:rsidRPr="00696728">
        <w:t xml:space="preserve"> katras vietas izvērtējum</w:t>
      </w:r>
      <w:r w:rsidR="00185984">
        <w:t>s</w:t>
      </w:r>
      <w:r w:rsidR="002570B0" w:rsidRPr="00696728">
        <w:t xml:space="preserve"> nav ne racionāl</w:t>
      </w:r>
      <w:r w:rsidR="00185984">
        <w:t>s</w:t>
      </w:r>
      <w:r w:rsidR="002570B0" w:rsidRPr="00696728">
        <w:t>, ne lietderīg</w:t>
      </w:r>
      <w:r w:rsidR="00185984">
        <w:t>s</w:t>
      </w:r>
      <w:r w:rsidR="002570B0">
        <w:t xml:space="preserve"> (</w:t>
      </w:r>
      <w:r w:rsidR="002570B0" w:rsidRPr="0013735D">
        <w:rPr>
          <w:i/>
          <w:iCs/>
        </w:rPr>
        <w:t>minētā sprieduma 14.3.punkts</w:t>
      </w:r>
      <w:r w:rsidR="002570B0">
        <w:t>).</w:t>
      </w:r>
    </w:p>
    <w:p w14:paraId="43595A24" w14:textId="77777777" w:rsidR="00A826D3" w:rsidRDefault="00A826D3" w:rsidP="006306F5">
      <w:pPr>
        <w:shd w:val="clear" w:color="auto" w:fill="FFFFFF"/>
        <w:spacing w:line="276" w:lineRule="auto"/>
        <w:ind w:firstLine="720"/>
        <w:jc w:val="both"/>
      </w:pPr>
    </w:p>
    <w:p w14:paraId="59760DBE" w14:textId="0BA0BFCB" w:rsidR="00A826D3" w:rsidRDefault="00A826D3" w:rsidP="006306F5">
      <w:pPr>
        <w:shd w:val="clear" w:color="auto" w:fill="FFFFFF"/>
        <w:spacing w:line="276" w:lineRule="auto"/>
        <w:ind w:firstLine="720"/>
        <w:jc w:val="both"/>
      </w:pPr>
      <w:r>
        <w:t>[16]</w:t>
      </w:r>
      <w:r w:rsidR="0098322F">
        <w:t> </w:t>
      </w:r>
      <w:r>
        <w:t>Savukārt tad, kad plānošanas process noslēdzas un saistošo noteikumu formā apstiprināt</w:t>
      </w:r>
      <w:r w:rsidR="003D55C5">
        <w:t>ais</w:t>
      </w:r>
      <w:r>
        <w:t xml:space="preserve"> teritorijas plānošanas dokuments stājas spēkā, šajos noteikumos paredzētais ierobežojums azartspēļu organizēšanai ir noteikt</w:t>
      </w:r>
      <w:r w:rsidR="003D55C5">
        <w:t>s</w:t>
      </w:r>
      <w:r>
        <w:t xml:space="preserve"> ar normatīvo aktu.</w:t>
      </w:r>
    </w:p>
    <w:p w14:paraId="20FA2198" w14:textId="7975D04E" w:rsidR="00A826D3" w:rsidRDefault="00A826D3" w:rsidP="006306F5">
      <w:pPr>
        <w:shd w:val="clear" w:color="auto" w:fill="FFFFFF"/>
        <w:spacing w:line="276" w:lineRule="auto"/>
        <w:ind w:firstLine="720"/>
        <w:jc w:val="both"/>
      </w:pPr>
      <w:r w:rsidRPr="00B30771">
        <w:t xml:space="preserve">Minētais nozīmē, ka vērtējums par šādu normatīvo aktu un tajā ietverto azartspēļu organizēšanas ierobežojumu </w:t>
      </w:r>
      <w:r w:rsidR="00191BF8" w:rsidRPr="00B30771">
        <w:t xml:space="preserve">atbilstoši </w:t>
      </w:r>
      <w:r w:rsidRPr="00B30771">
        <w:t>Administratīvā procesa likuma 104.panta</w:t>
      </w:r>
      <w:r w:rsidR="00191BF8" w:rsidRPr="00B30771">
        <w:t>m</w:t>
      </w:r>
      <w:r w:rsidR="00B30771" w:rsidRPr="00B30771">
        <w:t xml:space="preserve"> veicams</w:t>
      </w:r>
      <w:r w:rsidRPr="00B30771">
        <w:t>, īstenojot piemērojamo tiesību normu hierarhijas kontroli.</w:t>
      </w:r>
      <w:r>
        <w:t xml:space="preserve"> Tas nozīmē, ja tiesa uzskata, ka piemērojamā saistošo noteikumu norma neatbilst </w:t>
      </w:r>
      <w:r w:rsidR="00A00D61">
        <w:t xml:space="preserve">Latvijas Republikas </w:t>
      </w:r>
      <w:r>
        <w:t xml:space="preserve">Satversmei (piemēram, </w:t>
      </w:r>
      <w:r w:rsidR="00A00D61">
        <w:t>tās</w:t>
      </w:r>
      <w:r>
        <w:t xml:space="preserve"> 105.pantam), tas ir pamats ar motivētu pieteikumu vērsties Satversmes tiesā (</w:t>
      </w:r>
      <w:r w:rsidRPr="00191BF8">
        <w:rPr>
          <w:i/>
          <w:iCs/>
        </w:rPr>
        <w:t>Administratīvā procesa likuma 104.panta otrā daļa</w:t>
      </w:r>
      <w:r>
        <w:t xml:space="preserve">). Savukārt, ja tiesa uzskata, ka piemērojamā saistošo noteikumu norma neatbilst likumam (tostarp, piemēram, no Teritorijas plānošanas likuma izrietošo plānošanas principu prasībām vai Azartspēļu un izložu likuma 41.panta </w:t>
      </w:r>
      <w:r w:rsidR="00191BF8">
        <w:t xml:space="preserve">otrās </w:t>
      </w:r>
      <w:r>
        <w:t>daļas 11.punkta un 42.panta desmitās daļas deleģējumam), tas ir pamats tiesai, pamatojot savu viedokli par neatbilstību augstāk</w:t>
      </w:r>
      <w:r w:rsidR="007168CA">
        <w:t>a</w:t>
      </w:r>
      <w:r>
        <w:t xml:space="preserve"> juridiskā spēka normām, attiecīgo saistošo noteikumu normu nepiemērot (</w:t>
      </w:r>
      <w:r w:rsidRPr="00191BF8">
        <w:rPr>
          <w:i/>
          <w:iCs/>
        </w:rPr>
        <w:t>Administratīvā procesa likuma 104.panta trešā daļa</w:t>
      </w:r>
      <w:r w:rsidR="007168CA">
        <w:t>)</w:t>
      </w:r>
      <w:r w:rsidRPr="00191BF8">
        <w:rPr>
          <w:i/>
          <w:iCs/>
        </w:rPr>
        <w:t>.</w:t>
      </w:r>
    </w:p>
    <w:p w14:paraId="2C1B8449" w14:textId="36E78974" w:rsidR="00A826D3" w:rsidRDefault="00A826D3" w:rsidP="006306F5">
      <w:pPr>
        <w:shd w:val="clear" w:color="auto" w:fill="FFFFFF"/>
        <w:spacing w:line="276" w:lineRule="auto"/>
        <w:ind w:firstLine="720"/>
        <w:jc w:val="both"/>
      </w:pPr>
    </w:p>
    <w:p w14:paraId="610DD3F8" w14:textId="5844B4A3" w:rsidR="00B67B38" w:rsidRDefault="00B67B38" w:rsidP="006306F5">
      <w:pPr>
        <w:shd w:val="clear" w:color="auto" w:fill="FFFFFF"/>
        <w:spacing w:line="276" w:lineRule="auto"/>
        <w:ind w:firstLine="720"/>
        <w:jc w:val="both"/>
      </w:pPr>
      <w:r>
        <w:t>[17]</w:t>
      </w:r>
      <w:r w:rsidR="0098322F">
        <w:t> </w:t>
      </w:r>
      <w:r>
        <w:t xml:space="preserve">Šis </w:t>
      </w:r>
      <w:r w:rsidR="006A7476">
        <w:t>izvērtējums</w:t>
      </w:r>
      <w:r>
        <w:t xml:space="preserve"> metodoloģijas ziņā atšķiras no tā, kuru tiesa izdara, īstenojot kontroli pār iestādes izdotu administratīvo aktu</w:t>
      </w:r>
      <w:r w:rsidR="006A7476">
        <w:t>.</w:t>
      </w:r>
      <w:r>
        <w:t xml:space="preserve"> Tāpēc vērtējumā par lokālplānojuma atbilstību augstāk</w:t>
      </w:r>
      <w:r w:rsidR="004F2603">
        <w:t>a</w:t>
      </w:r>
      <w:r>
        <w:t xml:space="preserve"> juridiskā spēka normām nav automātiski pārņemamas tās Senāta prakses atziņas, kas izteiktas lietās par azartspēļu organizēšanas atļaujas atcelšanu situācijā, kurā azartspēļu organizēšanu pieļauj konkrētās teritorijas plānošanas dokumenti. </w:t>
      </w:r>
    </w:p>
    <w:p w14:paraId="26933CC1" w14:textId="29BE45EF" w:rsidR="00950DA2" w:rsidRDefault="00950DA2" w:rsidP="006306F5">
      <w:pPr>
        <w:shd w:val="clear" w:color="auto" w:fill="FFFFFF"/>
        <w:spacing w:line="276" w:lineRule="auto"/>
        <w:ind w:firstLine="720"/>
        <w:jc w:val="both"/>
      </w:pPr>
      <w:r>
        <w:t>Arī saturiski vienam un tam pašam apsvērumam var būt atšķirīga nozīme katra šī tiesiskā instrumenta izmantošanā. Piemēram, argumentam par intensīvu iedzīvotāju plūsmu kādā teritorijā ir atšķirīgs konteksts situācijā, kurā pašvaldība to citstarp apsver teritorijas plānošanas procesa ietvaros, vērtējot, vai kād</w:t>
      </w:r>
      <w:r w:rsidR="004F2603">
        <w:t>a</w:t>
      </w:r>
      <w:r>
        <w:t xml:space="preserve"> pilsētas daļa</w:t>
      </w:r>
      <w:r w:rsidR="006A7476">
        <w:t xml:space="preserve"> veidojama </w:t>
      </w:r>
      <w:r w:rsidR="004F2603">
        <w:t xml:space="preserve">(attīstāma) </w:t>
      </w:r>
      <w:r w:rsidR="006A7476">
        <w:t>kā</w:t>
      </w:r>
      <w:r>
        <w:t xml:space="preserve"> no azartspēlēm brīvā zona, un situācijā, kurā minētais tiek </w:t>
      </w:r>
      <w:r w:rsidR="006A7476">
        <w:t>pausts</w:t>
      </w:r>
      <w:r>
        <w:t xml:space="preserve"> kā pamatojums individuālam lēmumam par atļaujas atcelšanu konkrētā vietā, kurā kopumā azartspēļu organizēšanu pieļauj teritorijas plānojums.</w:t>
      </w:r>
      <w:r w:rsidRPr="00950DA2">
        <w:t xml:space="preserve"> </w:t>
      </w:r>
      <w:r>
        <w:t>Ja azartspēļu organizēšanu konkrētā vietā pieļauj teritorijas plānojums, tas nozīmē, ka pašvaldība plānošanas līmenī nav saskatījusi nepieciešamību šādu ierobežojumu noteikt (tas nav bijis nepieciešams teritorijas plānošanas interešu īstenošanai vai kādu vērtību aizsardzībai tieši teritorijas plānošanas līmenī). Tāpēc šādā gadījumā lēmum</w:t>
      </w:r>
      <w:r w:rsidR="004F2603">
        <w:t>ā</w:t>
      </w:r>
      <w:r>
        <w:t>, ar kuru tiek atcelta izsniegtā atļauja</w:t>
      </w:r>
      <w:r w:rsidR="004F2603">
        <w:t>,</w:t>
      </w:r>
      <w:r>
        <w:t xml:space="preserve"> </w:t>
      </w:r>
      <w:r w:rsidR="004F2603">
        <w:t>jābūt</w:t>
      </w:r>
      <w:r>
        <w:t xml:space="preserve"> konkrēt</w:t>
      </w:r>
      <w:r w:rsidR="004F2603">
        <w:t>am</w:t>
      </w:r>
      <w:r>
        <w:t xml:space="preserve"> un individuālās vietas (adreses) izvērtējumā balstīt</w:t>
      </w:r>
      <w:r w:rsidR="004F2603">
        <w:t>am</w:t>
      </w:r>
      <w:r>
        <w:t xml:space="preserve"> pamatojum</w:t>
      </w:r>
      <w:r w:rsidR="004F2603">
        <w:t>am</w:t>
      </w:r>
      <w:r>
        <w:t xml:space="preserve">, kāpēc </w:t>
      </w:r>
      <w:r w:rsidRPr="001668A7">
        <w:t xml:space="preserve">azartspēļu organizēšana </w:t>
      </w:r>
      <w:r>
        <w:t xml:space="preserve">tieši šajā </w:t>
      </w:r>
      <w:r w:rsidRPr="001668A7">
        <w:t>vietā</w:t>
      </w:r>
      <w:r>
        <w:t xml:space="preserve"> rada</w:t>
      </w:r>
      <w:r w:rsidRPr="001668A7">
        <w:t xml:space="preserve"> būtisku valsts un attiecīgās administratīvās teritorijas iedzīvotāju interešu aizskārumu</w:t>
      </w:r>
      <w:r>
        <w:t xml:space="preserve">, tostarp pamatojot, ar ko konkrētā vieta atšķiras no citām līdzīgām vietām pilsētā (sal. </w:t>
      </w:r>
      <w:r w:rsidR="006A7476" w:rsidRPr="006A7476">
        <w:rPr>
          <w:i/>
          <w:iCs/>
        </w:rPr>
        <w:t>Senāta 2010.gada 14.oktobra sprieduma lietā Nr.</w:t>
      </w:r>
      <w:r w:rsidR="004F2603">
        <w:rPr>
          <w:i/>
          <w:iCs/>
        </w:rPr>
        <w:t> </w:t>
      </w:r>
      <w:r w:rsidR="006A7476" w:rsidRPr="006A7476">
        <w:rPr>
          <w:i/>
          <w:iCs/>
        </w:rPr>
        <w:t>SKA-404/2010</w:t>
      </w:r>
      <w:r w:rsidRPr="006A7476">
        <w:rPr>
          <w:i/>
          <w:iCs/>
        </w:rPr>
        <w:t xml:space="preserve">, </w:t>
      </w:r>
      <w:hyperlink r:id="rId35" w:history="1">
        <w:r w:rsidR="006A7476" w:rsidRPr="006A7476">
          <w:rPr>
            <w:rStyle w:val="Hyperlink"/>
            <w:i/>
            <w:iCs/>
          </w:rPr>
          <w:t>A42447407</w:t>
        </w:r>
      </w:hyperlink>
      <w:r w:rsidR="006A7476" w:rsidRPr="006A7476">
        <w:rPr>
          <w:i/>
          <w:iCs/>
        </w:rPr>
        <w:t>, 8.punkt</w:t>
      </w:r>
      <w:r w:rsidR="004F2603">
        <w:rPr>
          <w:i/>
          <w:iCs/>
        </w:rPr>
        <w:t>s</w:t>
      </w:r>
      <w:r w:rsidR="007168CA">
        <w:rPr>
          <w:i/>
          <w:iCs/>
        </w:rPr>
        <w:t>;</w:t>
      </w:r>
      <w:r w:rsidR="006A7476" w:rsidRPr="006A7476">
        <w:rPr>
          <w:i/>
          <w:iCs/>
        </w:rPr>
        <w:t xml:space="preserve"> </w:t>
      </w:r>
      <w:r w:rsidRPr="006A7476">
        <w:rPr>
          <w:i/>
          <w:iCs/>
        </w:rPr>
        <w:t>2020.gada 21.aprīļa rīcības sēdes lēmuma lietā Nr.</w:t>
      </w:r>
      <w:r w:rsidR="004F2603">
        <w:rPr>
          <w:i/>
          <w:iCs/>
        </w:rPr>
        <w:t> </w:t>
      </w:r>
      <w:r w:rsidRPr="006A7476">
        <w:rPr>
          <w:i/>
          <w:iCs/>
        </w:rPr>
        <w:t>SKA-145/2020, ECLI:LV:AT:2020:0421.A420271516.4.L,</w:t>
      </w:r>
      <w:r w:rsidRPr="00B6174A">
        <w:rPr>
          <w:i/>
          <w:iCs/>
        </w:rPr>
        <w:t xml:space="preserve"> 4.punkts</w:t>
      </w:r>
      <w:r>
        <w:t xml:space="preserve">). Savukārt, kā atzinusi Satversmes tiesa, azartspēļu organizēšanas ierobežojumu pēc attiecīga izvērtējuma teritorijas plānošanas procesā var noteikt teritorijās ar augstu </w:t>
      </w:r>
      <w:r w:rsidRPr="00B32EEA">
        <w:t>sabiedrības kustības intensitāti, piemēram, sabiedriskā transporta pieturvietu tuvumā, kā arī mazstāvu un daudzstāvu dzīvojamās apbūves teritorijās</w:t>
      </w:r>
      <w:r>
        <w:t xml:space="preserve"> (</w:t>
      </w:r>
      <w:r w:rsidR="006A7476" w:rsidRPr="006A7476">
        <w:rPr>
          <w:i/>
          <w:iCs/>
        </w:rPr>
        <w:t>Satversmes tiesas 2024.gada 4.aprīļa sprieduma lietā Nr.</w:t>
      </w:r>
      <w:r w:rsidR="004F2603">
        <w:rPr>
          <w:i/>
          <w:iCs/>
        </w:rPr>
        <w:t> </w:t>
      </w:r>
      <w:hyperlink r:id="rId36" w:anchor="search=" w:history="1">
        <w:r w:rsidR="006A7476" w:rsidRPr="006A7476">
          <w:rPr>
            <w:rStyle w:val="Hyperlink"/>
            <w:i/>
            <w:iCs/>
          </w:rPr>
          <w:t>2023-27-03</w:t>
        </w:r>
      </w:hyperlink>
      <w:r w:rsidR="006A7476" w:rsidRPr="006A7476">
        <w:rPr>
          <w:i/>
          <w:iCs/>
        </w:rPr>
        <w:t xml:space="preserve"> 14.3.punkts</w:t>
      </w:r>
      <w:r>
        <w:t>).</w:t>
      </w:r>
    </w:p>
    <w:p w14:paraId="6AD84078" w14:textId="77777777" w:rsidR="004316D5" w:rsidRDefault="004316D5" w:rsidP="006306F5">
      <w:pPr>
        <w:shd w:val="clear" w:color="auto" w:fill="FFFFFF"/>
        <w:spacing w:line="276" w:lineRule="auto"/>
        <w:ind w:firstLine="720"/>
        <w:jc w:val="both"/>
      </w:pPr>
    </w:p>
    <w:p w14:paraId="37637C53" w14:textId="569D8451" w:rsidR="0027249B" w:rsidRDefault="004316D5" w:rsidP="006306F5">
      <w:pPr>
        <w:shd w:val="clear" w:color="auto" w:fill="FFFFFF"/>
        <w:spacing w:line="276" w:lineRule="auto"/>
        <w:ind w:firstLine="720"/>
        <w:jc w:val="both"/>
      </w:pPr>
      <w:r>
        <w:t>[18]</w:t>
      </w:r>
      <w:r w:rsidR="00905AE2">
        <w:t> </w:t>
      </w:r>
      <w:r w:rsidR="00AA5B76">
        <w:t xml:space="preserve">Ar Salaspils pilsētas teritorijas daļas lokālplānojumu ir noteikti ierobežojumi azartspēļu organizēšanai, veidojot lokālplānojuma teritoriju kā teritoriju ar īpašiem nosacījumiem. </w:t>
      </w:r>
      <w:r w:rsidR="0027249B">
        <w:t xml:space="preserve">Lai arī šajā lokālplānojumā nav atsevišķi vērtēta katra funkcionālā zona lokālplānojuma robežās, lokālplānojums identificē visas teritorijas raksturojošos elementus un mērķi vienotai ierobežojumu noteikšanai šajā teritorijā un apsvērumus. </w:t>
      </w:r>
    </w:p>
    <w:p w14:paraId="300DACD2" w14:textId="64ADCA5A" w:rsidR="00942578" w:rsidRDefault="003E0F8E" w:rsidP="006306F5">
      <w:pPr>
        <w:shd w:val="clear" w:color="auto" w:fill="FFFFFF"/>
        <w:spacing w:line="276" w:lineRule="auto"/>
        <w:ind w:firstLine="720"/>
        <w:jc w:val="both"/>
      </w:pPr>
      <w:r>
        <w:t>Lokālplānojuma</w:t>
      </w:r>
      <w:r w:rsidR="00942578">
        <w:t xml:space="preserve"> paskaidrojuma rakstā, kā secinājusi tiesa, skaidrots, ka lokālplānojuma izstrādē izvirzīti trīs kritēriji, pēc kuriem nosakāmas teritorijas, kurās nepieciešams ierobežot azartspēļu organizēšanas vietas: 1)</w:t>
      </w:r>
      <w:r w:rsidR="000629FC">
        <w:t> </w:t>
      </w:r>
      <w:r w:rsidR="00942578">
        <w:t>blīvi apdzīvotas dzīvojamās apbūves teritorijas</w:t>
      </w:r>
      <w:r w:rsidR="002B7CA0">
        <w:t xml:space="preserve">; </w:t>
      </w:r>
      <w:r w:rsidR="00942578">
        <w:t>2)</w:t>
      </w:r>
      <w:r w:rsidR="000629FC">
        <w:t> </w:t>
      </w:r>
      <w:r w:rsidR="00942578">
        <w:t>pilsētvide, kuru ikdienā lieto liela novada iedzīvotāju daļa, tostarp riska grupas</w:t>
      </w:r>
      <w:r w:rsidR="002B7CA0">
        <w:t xml:space="preserve">; </w:t>
      </w:r>
      <w:r w:rsidR="00942578">
        <w:t>3)</w:t>
      </w:r>
      <w:r w:rsidR="000629FC">
        <w:t> </w:t>
      </w:r>
      <w:r w:rsidR="00942578">
        <w:t>teritorijas, kuras tiek piedāvātas pilsētas viesiem un tiek uztvertas kā pašvaldības vizītkarte.</w:t>
      </w:r>
      <w:r w:rsidR="00942578" w:rsidRPr="00942578">
        <w:t xml:space="preserve"> </w:t>
      </w:r>
      <w:r w:rsidR="00942578">
        <w:t>Papildus paskaidrojuma rakstā uzsvērts, ka azartspēļu organizēšanas vietu darbība nav savienojama ar Salaspils novada ilgtspējīgas attīstības stratēģijā 2014.</w:t>
      </w:r>
      <w:r w:rsidR="000629FC">
        <w:t>–</w:t>
      </w:r>
      <w:r w:rsidR="00942578">
        <w:t xml:space="preserve">2030.gadam definēto novada nozīmes attīstības centra Salaspils pilsētas perspektīvo pakalpojumu klāstu, kas veido kvalitatīvu un pievilcīgu dzīves vidi, īpaši domājot par ģimenei draudzīgu vidi. </w:t>
      </w:r>
    </w:p>
    <w:p w14:paraId="178B1612" w14:textId="1AF700FA" w:rsidR="00A941FA" w:rsidRDefault="00942578" w:rsidP="006306F5">
      <w:pPr>
        <w:shd w:val="clear" w:color="auto" w:fill="FFFFFF"/>
        <w:spacing w:line="276" w:lineRule="auto"/>
        <w:ind w:firstLine="720"/>
        <w:jc w:val="both"/>
      </w:pPr>
      <w:r>
        <w:t>Tātad pašvaldība, pamatojoties uz lokālplānojumā identificētajiem kritērijiem, ir nolēmusi Salaspils pilsētas centra daļu veidot kā no azartspēlēm brīvo zonu. Apgabaltiesa šos pašvaldības apsvērumus ir uzskatījusi par deklaratīviem. Tomēr, kā jau Senāts norādīja, šie secinājumi ir balstīt</w:t>
      </w:r>
      <w:r w:rsidR="007C025F">
        <w:t>i</w:t>
      </w:r>
      <w:r>
        <w:t xml:space="preserve"> kļūdainā izpratnē par to, kāda veida kontroli tiesa īsteno pār teritorijas plānošanas dokumentu, kas apstiprināts saistošo noteikumu veidā</w:t>
      </w:r>
      <w:r w:rsidR="000B5C7A">
        <w:t>, un pašvaldības rīcības brīvību teritorijas plānošanas procesā</w:t>
      </w:r>
      <w:r>
        <w:t xml:space="preserve">. </w:t>
      </w:r>
      <w:r w:rsidR="009E555A">
        <w:t>C</w:t>
      </w:r>
      <w:r>
        <w:t xml:space="preserve">iktāl tas attiecas uz </w:t>
      </w:r>
      <w:r w:rsidR="00A941FA">
        <w:t xml:space="preserve">plānošanas procesa atbilstību teritorijas plānošanas mērķim un azartspēļu regulējumā paredzētās pašvaldības kompetences mērķim, ir saskatāms, ka pašvaldības argumenti atspoguļo pašvaldības vīziju par tādu teritorijas attīstību, kurā tiek izvirzītas paaugstinātas vides kvalitātes prasības tieši pilsētas </w:t>
      </w:r>
      <w:r w:rsidR="003C6675">
        <w:t>centra</w:t>
      </w:r>
      <w:r w:rsidR="003E0F8E">
        <w:t xml:space="preserve"> </w:t>
      </w:r>
      <w:r w:rsidR="00A941FA">
        <w:t>teritorijai.</w:t>
      </w:r>
    </w:p>
    <w:p w14:paraId="45FD9E86" w14:textId="77777777" w:rsidR="009E555A" w:rsidRDefault="009E555A" w:rsidP="006306F5">
      <w:pPr>
        <w:shd w:val="clear" w:color="auto" w:fill="FFFFFF"/>
        <w:spacing w:line="276" w:lineRule="auto"/>
        <w:jc w:val="both"/>
      </w:pPr>
    </w:p>
    <w:p w14:paraId="6F9F217C" w14:textId="3F318448" w:rsidR="003E0F8E" w:rsidRDefault="009E555A" w:rsidP="006306F5">
      <w:pPr>
        <w:shd w:val="clear" w:color="auto" w:fill="FFFFFF"/>
        <w:spacing w:line="276" w:lineRule="auto"/>
        <w:ind w:firstLine="720"/>
        <w:jc w:val="both"/>
      </w:pPr>
      <w:r>
        <w:t>[19]</w:t>
      </w:r>
      <w:r w:rsidR="00905AE2">
        <w:t> </w:t>
      </w:r>
      <w:r w:rsidR="000629FC">
        <w:t>Turklāt Senāts vērš uzmanību, ka n</w:t>
      </w:r>
      <w:r w:rsidR="00942578">
        <w:t xml:space="preserve">o paskaidrojuma raksta arī secināms, ka pašvaldība </w:t>
      </w:r>
      <w:r w:rsidR="007C025F">
        <w:t xml:space="preserve">tostarp </w:t>
      </w:r>
      <w:r w:rsidR="00942578">
        <w:t>ir identificējusi vietu, kurā pieteicēja lokālplānojuma izstrādes laikā nodarbojas ar azartspēļu organizēšanu, kā arī šī vieta analizēta kontekstā ar iedzīvotāju blīvumu</w:t>
      </w:r>
      <w:r w:rsidR="003E0F8E">
        <w:t xml:space="preserve"> </w:t>
      </w:r>
      <w:r>
        <w:t>un</w:t>
      </w:r>
      <w:r w:rsidR="00942578">
        <w:t xml:space="preserve"> </w:t>
      </w:r>
      <w:r>
        <w:t>šajā</w:t>
      </w:r>
      <w:r w:rsidR="00942578">
        <w:t xml:space="preserve"> teritorijā koncentrēti izvietotajām kultūras, </w:t>
      </w:r>
      <w:r w:rsidR="00D818BB">
        <w:t xml:space="preserve">sabiedriskajām </w:t>
      </w:r>
      <w:r w:rsidR="00942578">
        <w:t>un izglītības iestādēm</w:t>
      </w:r>
      <w:r w:rsidR="00F04DD6">
        <w:t xml:space="preserve"> (</w:t>
      </w:r>
      <w:r w:rsidR="00F04DD6" w:rsidRPr="00F04DD6">
        <w:rPr>
          <w:i/>
          <w:iCs/>
        </w:rPr>
        <w:t>paskaidrojuma raksta 4.1.punkts</w:t>
      </w:r>
      <w:r w:rsidR="00F04DD6">
        <w:t>)</w:t>
      </w:r>
      <w:r w:rsidR="00942578">
        <w:t xml:space="preserve">. </w:t>
      </w:r>
      <w:r w:rsidR="003E0F8E">
        <w:t xml:space="preserve">Šie </w:t>
      </w:r>
      <w:r w:rsidR="00C0328F">
        <w:t>apstākļi</w:t>
      </w:r>
      <w:r w:rsidR="003E0F8E">
        <w:t xml:space="preserve"> citstarp vērtēti kopsakarā ar azartspēļu vietu pieejamību – lokālplānojum</w:t>
      </w:r>
      <w:r w:rsidR="000629FC">
        <w:t>ā</w:t>
      </w:r>
      <w:r w:rsidR="003E0F8E">
        <w:t xml:space="preserve"> identificēts, ka azartspēļu zāles ir kļuvušas par dzīvojamo kvartālu pilsētvides sastāvdaļu, un minētais apsvērts kontekstā ar pašvaldības sociālajiem mērķiem. </w:t>
      </w:r>
    </w:p>
    <w:p w14:paraId="6D160EAC" w14:textId="527F2275" w:rsidR="003E0F8E" w:rsidRDefault="003E0F8E" w:rsidP="006306F5">
      <w:pPr>
        <w:shd w:val="clear" w:color="auto" w:fill="FFFFFF"/>
        <w:spacing w:line="276" w:lineRule="auto"/>
        <w:ind w:firstLine="720"/>
        <w:jc w:val="both"/>
      </w:pPr>
      <w:r>
        <w:t xml:space="preserve">Vērtējot otro kritēriju – pilsētvidi, kuru ikdienā lieto liela novada iedzīvotāju daļa, paskaidrojuma rakstā identificēts, ka publisko objektu izvietojums koncentrējas trīs pilsētas daļās – iezīmē trīs potenciālos pilsētas centrus, kas apsvērti ar plānojamo teritoriju. Saistībā ar minēto paskaidrots, ka </w:t>
      </w:r>
      <w:r w:rsidR="000111CC">
        <w:t xml:space="preserve">azartspēļu </w:t>
      </w:r>
      <w:r w:rsidR="000111CC" w:rsidRPr="000111CC">
        <w:t xml:space="preserve">attīstība centra pilsētvidē nav savienojama ar Salaspils novada ilgtspējīgas attīstības stratēģiju. Apdzīvojuma telpiskās struktūras vadlīnijas paredz Salaspils novada nozīmes attīstības centrā – Salaspilī perspektīvā veidot tādu pakalpojumu klāstu, kas </w:t>
      </w:r>
      <w:r w:rsidR="007168CA">
        <w:t>nodrošina</w:t>
      </w:r>
      <w:r w:rsidR="000111CC" w:rsidRPr="000111CC">
        <w:t xml:space="preserve"> kvalitatīvu un pievilcīgu dzīves vidi, īpaši domājot par ģimenēm draudzīgu vidi, kā arī tādu pakalpojumu klāstu un infrastruktūru, kas ir atbilstoša mūsdienīgai uzņēmējdarbības videi.</w:t>
      </w:r>
    </w:p>
    <w:p w14:paraId="2991C419" w14:textId="00130FE9" w:rsidR="009E555A" w:rsidRDefault="007C025F" w:rsidP="006306F5">
      <w:pPr>
        <w:shd w:val="clear" w:color="auto" w:fill="FFFFFF"/>
        <w:spacing w:line="276" w:lineRule="auto"/>
        <w:ind w:firstLine="720"/>
        <w:jc w:val="both"/>
      </w:pPr>
      <w:r>
        <w:t>Savukārt, v</w:t>
      </w:r>
      <w:r w:rsidR="00942578">
        <w:t>ērtējot lokālplānojuma teritoriju</w:t>
      </w:r>
      <w:r>
        <w:t xml:space="preserve"> kopumā</w:t>
      </w:r>
      <w:r w:rsidR="00942578">
        <w:t xml:space="preserve"> attiecībā uz trešā pašvaldības izvirzītā kritērija – teritorijas, kuras tiek piedāvātas pilsētas vi</w:t>
      </w:r>
      <w:r w:rsidR="00C0328F">
        <w:t>e</w:t>
      </w:r>
      <w:r w:rsidR="00942578">
        <w:t xml:space="preserve">siem un tiek uztvertas kā pašvaldības vizītkarte – izpildi, lokālplānojumā ir analizēti Salaspils pilsētas centra daļas tūrisma un apskates objekti, pamatojot pašvaldības izšķirošanos šo teritoriju veidot kā no azartspēlēm brīvo zonu. </w:t>
      </w:r>
    </w:p>
    <w:p w14:paraId="5E096203" w14:textId="3B564497" w:rsidR="00BF4ADA" w:rsidRDefault="00942578" w:rsidP="006306F5">
      <w:pPr>
        <w:shd w:val="clear" w:color="auto" w:fill="FFFFFF"/>
        <w:spacing w:line="276" w:lineRule="auto"/>
        <w:ind w:firstLine="720"/>
        <w:jc w:val="both"/>
      </w:pPr>
      <w:r>
        <w:t>Tātad Salaspils pilsētas teritorijas lokālplānojumā kopumā ir analizēta konkrētā teritorija (izcelti to raksturojošie parametri, kurus pašvaldība saskata kā kritērijus tās izvēlētā attīstības virziena īstenošanai) un š</w:t>
      </w:r>
      <w:r w:rsidR="00C0328F">
        <w:t>ā</w:t>
      </w:r>
      <w:r>
        <w:t xml:space="preserve"> izvērtējuma ietvaros ir lemts par tālāko šīs teritorijas attīstību. </w:t>
      </w:r>
      <w:r w:rsidR="00F0666A">
        <w:t>Ierobežojums ir noteikts visā lokālplānojuma robežās iekļautajā pilsētas centra daļā, veidojot vienotu un pārredzamu teritoriju. Secināms, ka š</w:t>
      </w:r>
      <w:r w:rsidR="009E555A">
        <w:t xml:space="preserve">āda ierobežojuma pamatā ir gan pašvaldības sociālie mērķi, samazinot azartspēļu pieejamību pilsētas centra teritorijā, gan pašvaldības vēlme paaugstināt pilsētas centrālās teritorijas daļas pilsētvides kvalitāti iedzīvotāju un apmeklētāju acīs. </w:t>
      </w:r>
      <w:r w:rsidR="00AD283F">
        <w:t>Līdz ar to atzīstams, ka</w:t>
      </w:r>
      <w:r w:rsidR="007C025F">
        <w:t xml:space="preserve"> pašvaldības noteiktā ierobežojuma mērķis ir citu cilvēku tiesību aizsardzība, sabiedrības labklājības veicināšana un vides kvalitātes prasību paaugstināšana pilsētas centrā.</w:t>
      </w:r>
    </w:p>
    <w:p w14:paraId="1B3C1E25" w14:textId="77777777" w:rsidR="00BF4ADA" w:rsidRDefault="00BF4ADA" w:rsidP="006306F5">
      <w:pPr>
        <w:shd w:val="clear" w:color="auto" w:fill="FFFFFF"/>
        <w:spacing w:line="276" w:lineRule="auto"/>
        <w:ind w:firstLine="720"/>
        <w:jc w:val="both"/>
      </w:pPr>
    </w:p>
    <w:p w14:paraId="54C62313" w14:textId="663146CA" w:rsidR="00BF4ADA" w:rsidRDefault="00BF4ADA" w:rsidP="006306F5">
      <w:pPr>
        <w:shd w:val="clear" w:color="auto" w:fill="FFFFFF"/>
        <w:spacing w:line="276" w:lineRule="auto"/>
        <w:ind w:firstLine="720"/>
        <w:jc w:val="both"/>
      </w:pPr>
      <w:r>
        <w:t>[20]</w:t>
      </w:r>
      <w:r w:rsidR="00905AE2">
        <w:t> </w:t>
      </w:r>
      <w:r w:rsidR="009E555A">
        <w:t>Š</w:t>
      </w:r>
      <w:r w:rsidR="00942578">
        <w:t xml:space="preserve">im mērķim, </w:t>
      </w:r>
      <w:r w:rsidR="009E555A">
        <w:t>izvērtējot</w:t>
      </w:r>
      <w:r w:rsidR="00942578">
        <w:t xml:space="preserve"> to </w:t>
      </w:r>
      <w:r w:rsidR="009E555A">
        <w:t xml:space="preserve">kopsakarā ar </w:t>
      </w:r>
      <w:r w:rsidR="00942578">
        <w:t>pieteicējas interesi turpināt komercdarbību</w:t>
      </w:r>
      <w:r w:rsidR="007C025F">
        <w:t xml:space="preserve">, </w:t>
      </w:r>
      <w:r w:rsidR="00942578">
        <w:t>ko pašvaldība teritorijas plānošanas dokumenta izstrādē kopumā ir identificējusi, pašvaldība ir piešķīrusi priekšroku.</w:t>
      </w:r>
      <w:r w:rsidR="00AD283F" w:rsidRPr="00AD283F">
        <w:t xml:space="preserve"> </w:t>
      </w:r>
      <w:r w:rsidR="00AD283F">
        <w:t>Ņemot vērā minēto</w:t>
      </w:r>
      <w:r w:rsidR="007168CA">
        <w:t>,</w:t>
      </w:r>
      <w:r w:rsidR="00AD283F">
        <w:t xml:space="preserve"> atzīstams, ka Salaspils pilsētas dome kā lēmējinstitūcija, pieņemot Salaspils pilsētas teritorijas daļas lokālplānojumu, ir vērtējusi lietderības apsvērumus par to, kurām no minētajām interesēm dodama priekšroka. Attiecīgo ierobežojumu varētu atzīt par nesamērīgu tad, ja tas nebūtu atbilstošs leģitīma mērķa sasniegšanai (sal. </w:t>
      </w:r>
      <w:r w:rsidR="00AD283F" w:rsidRPr="002B7CA0">
        <w:rPr>
          <w:i/>
          <w:iCs/>
        </w:rPr>
        <w:t>Satversmes tiesas 2019.gada 16.maija sprieduma lietā Nr. </w:t>
      </w:r>
      <w:hyperlink r:id="rId37" w:anchor="search=" w:history="1">
        <w:r w:rsidR="00AD283F" w:rsidRPr="00F04DD6">
          <w:rPr>
            <w:rStyle w:val="Hyperlink"/>
            <w:i/>
            <w:iCs/>
          </w:rPr>
          <w:t>2018-17-03</w:t>
        </w:r>
      </w:hyperlink>
      <w:r w:rsidR="00AD283F" w:rsidRPr="002B7CA0">
        <w:rPr>
          <w:i/>
          <w:iCs/>
        </w:rPr>
        <w:t xml:space="preserve"> 20.3.punkt</w:t>
      </w:r>
      <w:r w:rsidR="007168CA">
        <w:rPr>
          <w:i/>
          <w:iCs/>
        </w:rPr>
        <w:t>s</w:t>
      </w:r>
      <w:r w:rsidR="00AD283F">
        <w:t xml:space="preserve">). </w:t>
      </w:r>
    </w:p>
    <w:p w14:paraId="68DA5423" w14:textId="5652AE26" w:rsidR="00BF4ADA" w:rsidRPr="00F04DD6" w:rsidRDefault="00BF4ADA" w:rsidP="006306F5">
      <w:pPr>
        <w:shd w:val="clear" w:color="auto" w:fill="FFFFFF"/>
        <w:spacing w:line="276" w:lineRule="auto"/>
        <w:ind w:firstLine="720"/>
        <w:jc w:val="both"/>
      </w:pPr>
      <w:r>
        <w:t xml:space="preserve">Vienlaikus, nosakot ierobežojumus šajā teritorijā, lokālplānojumā ir identificētas teritorijas, kurās Salaspils novadā joprojām būs iespējams īstenot attiecīgo komercdarbību. Lai arī tiesa spriedumā ir norādījusi, ka faktiski, ņemot vērā citus azartspēļu regulējuma ierobežojumus, šādu teritoriju būs maz, minētais nepadara konkrētā plānošanas procesa rezultātu par nesamērīgu. </w:t>
      </w:r>
      <w:r w:rsidR="00AD283F">
        <w:t xml:space="preserve">Saistībā ar minēto arī </w:t>
      </w:r>
      <w:r>
        <w:t>atgādināms</w:t>
      </w:r>
      <w:r w:rsidR="00AD283F">
        <w:t xml:space="preserve">, ka teritorijas plānošanas procesa </w:t>
      </w:r>
      <w:r w:rsidR="00AD283F" w:rsidRPr="002B7CA0">
        <w:t xml:space="preserve">galvenais uzdevums </w:t>
      </w:r>
      <w:r w:rsidR="00AD283F">
        <w:t>i</w:t>
      </w:r>
      <w:r w:rsidR="00AD283F" w:rsidRPr="002B7CA0">
        <w:t xml:space="preserve">r kompleksi saskaņot atsevišķu privātpersonu intereses ar attiecīgās teritorijas ilgtspējīgas attīstības iespējām. </w:t>
      </w:r>
      <w:r w:rsidR="00AD283F">
        <w:t xml:space="preserve">Sekmējot tikai vienas jomas, piemēram, ekonomiskās izaugsmes un komercdarbības attīstību, neņemot vērā citas vērtības, tiktu panākts prettiesisks rezultāts. Turklāt ņemot vērā </w:t>
      </w:r>
      <w:r w:rsidR="00AD283F" w:rsidRPr="002B7CA0">
        <w:t>azartspēļu iespējamās nelabvēlīgās sekas, kas skar</w:t>
      </w:r>
      <w:r w:rsidR="00AD283F">
        <w:t xml:space="preserve"> </w:t>
      </w:r>
      <w:r w:rsidR="00AD283F" w:rsidRPr="002B7CA0">
        <w:t>indivīdu</w:t>
      </w:r>
      <w:r w:rsidR="00AD283F">
        <w:t xml:space="preserve"> </w:t>
      </w:r>
      <w:r w:rsidR="00AD283F" w:rsidRPr="002B7CA0">
        <w:t>un visu sabiedrību, valstij</w:t>
      </w:r>
      <w:r w:rsidR="00AD283F">
        <w:t xml:space="preserve"> </w:t>
      </w:r>
      <w:r w:rsidR="00AD283F" w:rsidRPr="002B7CA0">
        <w:t>šīs nozares regulēšanā ir dota lielāka rīcības brīvība nekā citu nozaru regulēšanā</w:t>
      </w:r>
      <w:r w:rsidR="00AD283F">
        <w:t xml:space="preserve"> (sal. </w:t>
      </w:r>
      <w:r w:rsidR="00F04DD6" w:rsidRPr="002B7CA0">
        <w:rPr>
          <w:i/>
          <w:iCs/>
        </w:rPr>
        <w:t>Satversmes tiesas 2019.gada 16.maija sprieduma lietā Nr. </w:t>
      </w:r>
      <w:hyperlink r:id="rId38" w:anchor="search=" w:history="1">
        <w:r w:rsidR="00F04DD6" w:rsidRPr="00F04DD6">
          <w:rPr>
            <w:rStyle w:val="Hyperlink"/>
            <w:i/>
            <w:iCs/>
          </w:rPr>
          <w:t>2018-17-03</w:t>
        </w:r>
      </w:hyperlink>
      <w:r w:rsidR="00F04DD6" w:rsidRPr="002B7CA0">
        <w:rPr>
          <w:i/>
          <w:iCs/>
        </w:rPr>
        <w:t xml:space="preserve"> 20.3.punkt</w:t>
      </w:r>
      <w:r w:rsidR="007168CA">
        <w:rPr>
          <w:i/>
          <w:iCs/>
        </w:rPr>
        <w:t>s</w:t>
      </w:r>
      <w:r w:rsidR="00F04DD6">
        <w:t>).</w:t>
      </w:r>
    </w:p>
    <w:p w14:paraId="6CAD53B2" w14:textId="77777777" w:rsidR="00AD283F" w:rsidRDefault="00AD283F" w:rsidP="006306F5">
      <w:pPr>
        <w:shd w:val="clear" w:color="auto" w:fill="FFFFFF"/>
        <w:spacing w:line="276" w:lineRule="auto"/>
        <w:ind w:firstLine="720"/>
        <w:jc w:val="both"/>
      </w:pPr>
    </w:p>
    <w:p w14:paraId="745A2A13" w14:textId="057DF109" w:rsidR="005D3016" w:rsidRDefault="00AD283F" w:rsidP="006306F5">
      <w:pPr>
        <w:shd w:val="clear" w:color="auto" w:fill="FFFFFF"/>
        <w:spacing w:line="276" w:lineRule="auto"/>
        <w:ind w:firstLine="720"/>
        <w:jc w:val="both"/>
      </w:pPr>
      <w:r>
        <w:t>[21] Līdz ar to</w:t>
      </w:r>
      <w:r w:rsidR="005D3016">
        <w:t xml:space="preserve"> tiesas spriedumā izdarītie secinājumi par Salaspils pilsētas teritorijas daļas lokālplānojuma saturiskajiem trūkumiem nav izdarīti pareizā, Administratīvā procesa likuma 104.panta prasībām atbilstošā tiesību normu hierarhijas kontrolē. Tāpēc arī tiesas secinājumi, ka pārsūdzētā lēmuma pamatojums ir nepietiekams šāda lēmuma pieņemšanai, nav balstīti tiesas kompetencei atbilstošā vērtējumā. Līdz ar to pārsūdzētais spriedums atceļams un lieta nododama jaunai izskatīšanai apelācijas instances tiesā. </w:t>
      </w:r>
    </w:p>
    <w:p w14:paraId="5DB0B6CC" w14:textId="77777777" w:rsidR="00AC1751" w:rsidRDefault="00AC1751" w:rsidP="006306F5">
      <w:pPr>
        <w:shd w:val="clear" w:color="auto" w:fill="FFFFFF"/>
        <w:spacing w:line="276" w:lineRule="auto"/>
        <w:jc w:val="both"/>
      </w:pPr>
    </w:p>
    <w:p w14:paraId="2285B0BC" w14:textId="66F80A87" w:rsidR="00447EE6" w:rsidRDefault="00B534FC" w:rsidP="006306F5">
      <w:pPr>
        <w:shd w:val="clear" w:color="auto" w:fill="FFFFFF"/>
        <w:spacing w:line="276" w:lineRule="auto"/>
        <w:jc w:val="center"/>
        <w:rPr>
          <w:b/>
        </w:rPr>
      </w:pPr>
      <w:r>
        <w:rPr>
          <w:b/>
        </w:rPr>
        <w:t>R</w:t>
      </w:r>
      <w:r w:rsidR="00447EE6" w:rsidRPr="00847F44">
        <w:rPr>
          <w:b/>
        </w:rPr>
        <w:t xml:space="preserve">ezolutīvā daļa </w:t>
      </w:r>
    </w:p>
    <w:p w14:paraId="7DD9DA2F" w14:textId="77777777" w:rsidR="00411CD0" w:rsidRPr="00847F44" w:rsidRDefault="00411CD0" w:rsidP="006306F5">
      <w:pPr>
        <w:shd w:val="clear" w:color="auto" w:fill="FFFFFF"/>
        <w:spacing w:line="276" w:lineRule="auto"/>
        <w:jc w:val="center"/>
        <w:rPr>
          <w:b/>
        </w:rPr>
      </w:pPr>
    </w:p>
    <w:p w14:paraId="29943EA0" w14:textId="1C44476F" w:rsidR="00447EE6" w:rsidRDefault="00447EE6" w:rsidP="006306F5">
      <w:pPr>
        <w:shd w:val="clear" w:color="auto" w:fill="FFFFFF"/>
        <w:spacing w:line="276" w:lineRule="auto"/>
        <w:ind w:firstLine="720"/>
        <w:jc w:val="both"/>
      </w:pPr>
      <w:r>
        <w:t xml:space="preserve">Pamatojoties uz </w:t>
      </w:r>
      <w:r w:rsidR="000A65CA" w:rsidRPr="00013E00">
        <w:rPr>
          <w:rFonts w:eastAsiaTheme="minorHAnsi"/>
          <w:lang w:eastAsia="en-US"/>
        </w:rPr>
        <w:t>Administratīvā procesa likuma 129.</w:t>
      </w:r>
      <w:r w:rsidR="000A65CA" w:rsidRPr="00013E00">
        <w:rPr>
          <w:rFonts w:eastAsiaTheme="minorHAnsi"/>
          <w:vertAlign w:val="superscript"/>
          <w:lang w:eastAsia="en-US"/>
        </w:rPr>
        <w:t>1</w:t>
      </w:r>
      <w:r w:rsidR="000A65CA" w:rsidRPr="00013E00">
        <w:rPr>
          <w:rFonts w:eastAsiaTheme="minorHAnsi"/>
          <w:lang w:eastAsia="en-US"/>
        </w:rPr>
        <w:t xml:space="preserve">panta pirmās daļas 1.punktu, 348.panta pirmās daļas </w:t>
      </w:r>
      <w:r w:rsidR="00013E00" w:rsidRPr="00013E00">
        <w:rPr>
          <w:rFonts w:eastAsiaTheme="minorHAnsi"/>
          <w:lang w:eastAsia="en-US"/>
        </w:rPr>
        <w:t>2</w:t>
      </w:r>
      <w:r w:rsidR="000A65CA" w:rsidRPr="00013E00">
        <w:rPr>
          <w:rFonts w:eastAsiaTheme="minorHAnsi"/>
          <w:lang w:eastAsia="en-US"/>
        </w:rPr>
        <w:t>.punktu un 351.pantu</w:t>
      </w:r>
      <w:r w:rsidR="000A65CA" w:rsidRPr="00013E00">
        <w:t xml:space="preserve">, </w:t>
      </w:r>
      <w:r w:rsidRPr="00013E00">
        <w:t>Senāts</w:t>
      </w:r>
    </w:p>
    <w:p w14:paraId="37335C36" w14:textId="77777777" w:rsidR="00411CD0" w:rsidRPr="00BF21E2" w:rsidRDefault="00411CD0" w:rsidP="006306F5">
      <w:pPr>
        <w:shd w:val="clear" w:color="auto" w:fill="FFFFFF"/>
        <w:spacing w:line="276" w:lineRule="auto"/>
        <w:ind w:firstLine="720"/>
        <w:jc w:val="both"/>
      </w:pPr>
    </w:p>
    <w:p w14:paraId="11425D71" w14:textId="63ABC785" w:rsidR="00BF21E2" w:rsidRDefault="007168CA" w:rsidP="006306F5">
      <w:pPr>
        <w:shd w:val="clear" w:color="auto" w:fill="FFFFFF"/>
        <w:spacing w:line="276" w:lineRule="auto"/>
        <w:jc w:val="center"/>
        <w:rPr>
          <w:b/>
        </w:rPr>
      </w:pPr>
      <w:r>
        <w:rPr>
          <w:b/>
        </w:rPr>
        <w:t>n</w:t>
      </w:r>
      <w:r w:rsidR="00447EE6" w:rsidRPr="00A53E41">
        <w:rPr>
          <w:b/>
        </w:rPr>
        <w:t>osprieda</w:t>
      </w:r>
    </w:p>
    <w:p w14:paraId="3E6868FB" w14:textId="77777777" w:rsidR="0021330C" w:rsidRPr="00013E00" w:rsidRDefault="0021330C" w:rsidP="006306F5">
      <w:pPr>
        <w:shd w:val="clear" w:color="auto" w:fill="FFFFFF"/>
        <w:spacing w:line="276" w:lineRule="auto"/>
        <w:jc w:val="center"/>
        <w:rPr>
          <w:b/>
        </w:rPr>
      </w:pPr>
    </w:p>
    <w:p w14:paraId="3A07665B" w14:textId="3157A2C9" w:rsidR="00BF21E2" w:rsidRPr="0082381C" w:rsidRDefault="007F57CA" w:rsidP="006306F5">
      <w:pPr>
        <w:spacing w:line="276" w:lineRule="auto"/>
        <w:ind w:firstLine="720"/>
        <w:jc w:val="both"/>
      </w:pPr>
      <w:r>
        <w:t>a</w:t>
      </w:r>
      <w:r w:rsidR="00BF21E2">
        <w:t xml:space="preserve">tcelt Administratīvās </w:t>
      </w:r>
      <w:r w:rsidR="00013E00">
        <w:t>apgabaltiesas 2024.gada 6.marta</w:t>
      </w:r>
      <w:r w:rsidR="00093086">
        <w:t xml:space="preserve"> </w:t>
      </w:r>
      <w:r w:rsidR="00BF21E2">
        <w:t xml:space="preserve">spriedumu un nodot lietu jaunai izskatīšanai Administratīvajai </w:t>
      </w:r>
      <w:r w:rsidR="00013E00">
        <w:t>apgabaltiesai</w:t>
      </w:r>
      <w:r w:rsidR="00905AE2">
        <w:t>;</w:t>
      </w:r>
    </w:p>
    <w:p w14:paraId="48EE94A3" w14:textId="31290E46" w:rsidR="00BF21E2" w:rsidRDefault="007F57CA" w:rsidP="006306F5">
      <w:pPr>
        <w:spacing w:line="276" w:lineRule="auto"/>
        <w:ind w:firstLine="720"/>
        <w:jc w:val="both"/>
      </w:pPr>
      <w:r>
        <w:t>a</w:t>
      </w:r>
      <w:r w:rsidR="00BF21E2">
        <w:t xml:space="preserve">tmaksāt </w:t>
      </w:r>
      <w:r w:rsidR="00013E00">
        <w:t>Salaspils novada pašvaldībai</w:t>
      </w:r>
      <w:r w:rsidR="00BF21E2">
        <w:t xml:space="preserve"> drošības naudu 70 </w:t>
      </w:r>
      <w:r w:rsidR="00BF21E2" w:rsidRPr="00CD401A">
        <w:rPr>
          <w:i/>
        </w:rPr>
        <w:t>euro</w:t>
      </w:r>
      <w:r w:rsidR="00BF21E2">
        <w:t>.</w:t>
      </w:r>
    </w:p>
    <w:p w14:paraId="73F3CFC9" w14:textId="77777777" w:rsidR="007168CA" w:rsidRDefault="007168CA" w:rsidP="006306F5">
      <w:pPr>
        <w:spacing w:line="276" w:lineRule="auto"/>
        <w:ind w:firstLine="720"/>
        <w:jc w:val="both"/>
      </w:pPr>
    </w:p>
    <w:p w14:paraId="0D7D76F3" w14:textId="2558013C" w:rsidR="00B54F4B" w:rsidRDefault="007168CA" w:rsidP="006306F5">
      <w:pPr>
        <w:spacing w:line="276" w:lineRule="auto"/>
        <w:ind w:firstLine="720"/>
        <w:jc w:val="both"/>
      </w:pPr>
      <w:r>
        <w:t>Spriedums nav pārsūdzams.</w:t>
      </w:r>
    </w:p>
    <w:sectPr w:rsidR="00B54F4B" w:rsidSect="00D25D87">
      <w:footerReference w:type="default" r:id="rId3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8BE6" w14:textId="77777777" w:rsidR="00F82906" w:rsidRDefault="00F82906" w:rsidP="009F7ACE">
      <w:r>
        <w:separator/>
      </w:r>
    </w:p>
  </w:endnote>
  <w:endnote w:type="continuationSeparator" w:id="0">
    <w:p w14:paraId="262872D5" w14:textId="77777777" w:rsidR="00F82906" w:rsidRDefault="00F82906"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3C7D4A8E"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82906">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87D6" w14:textId="77777777" w:rsidR="00F82906" w:rsidRDefault="00F82906" w:rsidP="009F7ACE">
      <w:r>
        <w:separator/>
      </w:r>
    </w:p>
  </w:footnote>
  <w:footnote w:type="continuationSeparator" w:id="0">
    <w:p w14:paraId="38A55C51" w14:textId="77777777" w:rsidR="00F82906" w:rsidRDefault="00F82906"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5A3B"/>
    <w:rsid w:val="000062C7"/>
    <w:rsid w:val="0000641E"/>
    <w:rsid w:val="000111CC"/>
    <w:rsid w:val="0001324F"/>
    <w:rsid w:val="00013E00"/>
    <w:rsid w:val="00017162"/>
    <w:rsid w:val="000245E0"/>
    <w:rsid w:val="000324E3"/>
    <w:rsid w:val="000373A7"/>
    <w:rsid w:val="00047385"/>
    <w:rsid w:val="0005563B"/>
    <w:rsid w:val="000575FC"/>
    <w:rsid w:val="0006199C"/>
    <w:rsid w:val="000629FC"/>
    <w:rsid w:val="000726BB"/>
    <w:rsid w:val="00072C93"/>
    <w:rsid w:val="00073025"/>
    <w:rsid w:val="00075B79"/>
    <w:rsid w:val="00086070"/>
    <w:rsid w:val="00090B6D"/>
    <w:rsid w:val="000916F2"/>
    <w:rsid w:val="00093086"/>
    <w:rsid w:val="00093F4B"/>
    <w:rsid w:val="00094958"/>
    <w:rsid w:val="00094F64"/>
    <w:rsid w:val="000960AD"/>
    <w:rsid w:val="000A05D5"/>
    <w:rsid w:val="000A3D0E"/>
    <w:rsid w:val="000A4E9E"/>
    <w:rsid w:val="000A5376"/>
    <w:rsid w:val="000A65CA"/>
    <w:rsid w:val="000A7ACC"/>
    <w:rsid w:val="000A7E44"/>
    <w:rsid w:val="000B58BC"/>
    <w:rsid w:val="000B5C7A"/>
    <w:rsid w:val="000C0376"/>
    <w:rsid w:val="000C20EC"/>
    <w:rsid w:val="000C296E"/>
    <w:rsid w:val="000C70BC"/>
    <w:rsid w:val="000D276E"/>
    <w:rsid w:val="000E0924"/>
    <w:rsid w:val="000E4627"/>
    <w:rsid w:val="000E46BF"/>
    <w:rsid w:val="000E7618"/>
    <w:rsid w:val="000F414D"/>
    <w:rsid w:val="000F4DCB"/>
    <w:rsid w:val="00106232"/>
    <w:rsid w:val="001075B0"/>
    <w:rsid w:val="00111500"/>
    <w:rsid w:val="00111CA1"/>
    <w:rsid w:val="00112AEE"/>
    <w:rsid w:val="00113BBB"/>
    <w:rsid w:val="00114F31"/>
    <w:rsid w:val="00115971"/>
    <w:rsid w:val="00121BB4"/>
    <w:rsid w:val="00125E98"/>
    <w:rsid w:val="0013267B"/>
    <w:rsid w:val="0013735D"/>
    <w:rsid w:val="001479D9"/>
    <w:rsid w:val="00161424"/>
    <w:rsid w:val="001624E7"/>
    <w:rsid w:val="0016638B"/>
    <w:rsid w:val="001668A7"/>
    <w:rsid w:val="00170B13"/>
    <w:rsid w:val="00172783"/>
    <w:rsid w:val="00172C70"/>
    <w:rsid w:val="0017718B"/>
    <w:rsid w:val="00183433"/>
    <w:rsid w:val="00183699"/>
    <w:rsid w:val="00183801"/>
    <w:rsid w:val="00185984"/>
    <w:rsid w:val="00191BF8"/>
    <w:rsid w:val="00191EB2"/>
    <w:rsid w:val="001945BB"/>
    <w:rsid w:val="00195015"/>
    <w:rsid w:val="001A4CEF"/>
    <w:rsid w:val="001B4738"/>
    <w:rsid w:val="001B6D8B"/>
    <w:rsid w:val="001C7F26"/>
    <w:rsid w:val="001D088C"/>
    <w:rsid w:val="001D39BC"/>
    <w:rsid w:val="001D5275"/>
    <w:rsid w:val="001E2E01"/>
    <w:rsid w:val="001F2F06"/>
    <w:rsid w:val="001F6842"/>
    <w:rsid w:val="002113D8"/>
    <w:rsid w:val="0021330C"/>
    <w:rsid w:val="0021616A"/>
    <w:rsid w:val="00217BBC"/>
    <w:rsid w:val="00220CFE"/>
    <w:rsid w:val="00223173"/>
    <w:rsid w:val="002250F0"/>
    <w:rsid w:val="00230256"/>
    <w:rsid w:val="0023228C"/>
    <w:rsid w:val="002331CA"/>
    <w:rsid w:val="00235899"/>
    <w:rsid w:val="00250696"/>
    <w:rsid w:val="002551ED"/>
    <w:rsid w:val="002553A9"/>
    <w:rsid w:val="00256EE5"/>
    <w:rsid w:val="002570B0"/>
    <w:rsid w:val="002607E2"/>
    <w:rsid w:val="002612A6"/>
    <w:rsid w:val="00262024"/>
    <w:rsid w:val="00270DB1"/>
    <w:rsid w:val="00271D31"/>
    <w:rsid w:val="002721EB"/>
    <w:rsid w:val="0027249B"/>
    <w:rsid w:val="002724A6"/>
    <w:rsid w:val="002739FB"/>
    <w:rsid w:val="00273A50"/>
    <w:rsid w:val="0027426C"/>
    <w:rsid w:val="002803B2"/>
    <w:rsid w:val="002854ED"/>
    <w:rsid w:val="002866A6"/>
    <w:rsid w:val="00287A47"/>
    <w:rsid w:val="0029124A"/>
    <w:rsid w:val="002913C3"/>
    <w:rsid w:val="00294C3A"/>
    <w:rsid w:val="002A3410"/>
    <w:rsid w:val="002A6264"/>
    <w:rsid w:val="002A6864"/>
    <w:rsid w:val="002B0AB8"/>
    <w:rsid w:val="002B43E1"/>
    <w:rsid w:val="002B7CA0"/>
    <w:rsid w:val="002C0C46"/>
    <w:rsid w:val="002C392A"/>
    <w:rsid w:val="002C591E"/>
    <w:rsid w:val="002C7180"/>
    <w:rsid w:val="002D0638"/>
    <w:rsid w:val="002E0E41"/>
    <w:rsid w:val="002E7734"/>
    <w:rsid w:val="002E78C9"/>
    <w:rsid w:val="00300970"/>
    <w:rsid w:val="00307B8A"/>
    <w:rsid w:val="003121DB"/>
    <w:rsid w:val="0031662B"/>
    <w:rsid w:val="00317069"/>
    <w:rsid w:val="00332DDC"/>
    <w:rsid w:val="00342855"/>
    <w:rsid w:val="00343A92"/>
    <w:rsid w:val="00345FAB"/>
    <w:rsid w:val="003506A1"/>
    <w:rsid w:val="003643D6"/>
    <w:rsid w:val="00365399"/>
    <w:rsid w:val="00366432"/>
    <w:rsid w:val="003712BB"/>
    <w:rsid w:val="003750DE"/>
    <w:rsid w:val="00375876"/>
    <w:rsid w:val="00376077"/>
    <w:rsid w:val="0037670D"/>
    <w:rsid w:val="003815D0"/>
    <w:rsid w:val="0038273E"/>
    <w:rsid w:val="00382CEA"/>
    <w:rsid w:val="003965CE"/>
    <w:rsid w:val="00396736"/>
    <w:rsid w:val="0039736A"/>
    <w:rsid w:val="003A2DB0"/>
    <w:rsid w:val="003A43E9"/>
    <w:rsid w:val="003B3315"/>
    <w:rsid w:val="003B6B4D"/>
    <w:rsid w:val="003B76A0"/>
    <w:rsid w:val="003C4B66"/>
    <w:rsid w:val="003C6675"/>
    <w:rsid w:val="003C77D6"/>
    <w:rsid w:val="003D55C5"/>
    <w:rsid w:val="003D6244"/>
    <w:rsid w:val="003E0F8E"/>
    <w:rsid w:val="003E2ECE"/>
    <w:rsid w:val="003F5E81"/>
    <w:rsid w:val="00400A01"/>
    <w:rsid w:val="00402B7B"/>
    <w:rsid w:val="00403949"/>
    <w:rsid w:val="0040507E"/>
    <w:rsid w:val="00406D7A"/>
    <w:rsid w:val="0041089E"/>
    <w:rsid w:val="00411CD0"/>
    <w:rsid w:val="0041538E"/>
    <w:rsid w:val="00420D0A"/>
    <w:rsid w:val="004234D7"/>
    <w:rsid w:val="00427163"/>
    <w:rsid w:val="00431390"/>
    <w:rsid w:val="004316D5"/>
    <w:rsid w:val="004321BD"/>
    <w:rsid w:val="00440DBC"/>
    <w:rsid w:val="00441FE4"/>
    <w:rsid w:val="00442811"/>
    <w:rsid w:val="00447223"/>
    <w:rsid w:val="00447EE6"/>
    <w:rsid w:val="00451EE4"/>
    <w:rsid w:val="004535BF"/>
    <w:rsid w:val="00464075"/>
    <w:rsid w:val="004657F5"/>
    <w:rsid w:val="00471C96"/>
    <w:rsid w:val="00472912"/>
    <w:rsid w:val="00475C3A"/>
    <w:rsid w:val="0048254B"/>
    <w:rsid w:val="004826B7"/>
    <w:rsid w:val="00485A03"/>
    <w:rsid w:val="00493656"/>
    <w:rsid w:val="00495A91"/>
    <w:rsid w:val="004A36F3"/>
    <w:rsid w:val="004B2A94"/>
    <w:rsid w:val="004B2CF2"/>
    <w:rsid w:val="004B6701"/>
    <w:rsid w:val="004C145F"/>
    <w:rsid w:val="004C2D98"/>
    <w:rsid w:val="004C45B0"/>
    <w:rsid w:val="004D2360"/>
    <w:rsid w:val="004D25E9"/>
    <w:rsid w:val="004E146C"/>
    <w:rsid w:val="004F2603"/>
    <w:rsid w:val="004F7269"/>
    <w:rsid w:val="00503102"/>
    <w:rsid w:val="00505906"/>
    <w:rsid w:val="0050641C"/>
    <w:rsid w:val="005155E1"/>
    <w:rsid w:val="00517F8C"/>
    <w:rsid w:val="0052099B"/>
    <w:rsid w:val="00531E22"/>
    <w:rsid w:val="00545F4D"/>
    <w:rsid w:val="00547252"/>
    <w:rsid w:val="00547C02"/>
    <w:rsid w:val="005521A1"/>
    <w:rsid w:val="00554FB1"/>
    <w:rsid w:val="005558F3"/>
    <w:rsid w:val="005623BB"/>
    <w:rsid w:val="00567FDF"/>
    <w:rsid w:val="00574929"/>
    <w:rsid w:val="00575A3B"/>
    <w:rsid w:val="00581E4B"/>
    <w:rsid w:val="00585CA4"/>
    <w:rsid w:val="00590765"/>
    <w:rsid w:val="005A0178"/>
    <w:rsid w:val="005A52CD"/>
    <w:rsid w:val="005A5E9F"/>
    <w:rsid w:val="005A71CF"/>
    <w:rsid w:val="005B4542"/>
    <w:rsid w:val="005B663E"/>
    <w:rsid w:val="005D0EB8"/>
    <w:rsid w:val="005D1464"/>
    <w:rsid w:val="005D3016"/>
    <w:rsid w:val="005E1771"/>
    <w:rsid w:val="005E27D9"/>
    <w:rsid w:val="005E3089"/>
    <w:rsid w:val="005F279F"/>
    <w:rsid w:val="00612E5F"/>
    <w:rsid w:val="0061335B"/>
    <w:rsid w:val="006166FD"/>
    <w:rsid w:val="00617145"/>
    <w:rsid w:val="0062263D"/>
    <w:rsid w:val="006239B3"/>
    <w:rsid w:val="006266C1"/>
    <w:rsid w:val="006306F5"/>
    <w:rsid w:val="0064034F"/>
    <w:rsid w:val="0064075F"/>
    <w:rsid w:val="0065097C"/>
    <w:rsid w:val="00652325"/>
    <w:rsid w:val="00653CFD"/>
    <w:rsid w:val="006545BD"/>
    <w:rsid w:val="0066336D"/>
    <w:rsid w:val="00664A7D"/>
    <w:rsid w:val="00667136"/>
    <w:rsid w:val="006720A1"/>
    <w:rsid w:val="00672F81"/>
    <w:rsid w:val="006744C8"/>
    <w:rsid w:val="00682512"/>
    <w:rsid w:val="006833CB"/>
    <w:rsid w:val="00683725"/>
    <w:rsid w:val="0068523D"/>
    <w:rsid w:val="00690497"/>
    <w:rsid w:val="0069222A"/>
    <w:rsid w:val="00696728"/>
    <w:rsid w:val="006972F9"/>
    <w:rsid w:val="006A2FA3"/>
    <w:rsid w:val="006A440A"/>
    <w:rsid w:val="006A7476"/>
    <w:rsid w:val="006B1ABB"/>
    <w:rsid w:val="006B6EC1"/>
    <w:rsid w:val="006C1997"/>
    <w:rsid w:val="006E013B"/>
    <w:rsid w:val="006E2652"/>
    <w:rsid w:val="006E73F6"/>
    <w:rsid w:val="006F51E0"/>
    <w:rsid w:val="00701BB2"/>
    <w:rsid w:val="00701DF1"/>
    <w:rsid w:val="007045CE"/>
    <w:rsid w:val="00704D7E"/>
    <w:rsid w:val="007064EC"/>
    <w:rsid w:val="007067AB"/>
    <w:rsid w:val="0070736F"/>
    <w:rsid w:val="00711896"/>
    <w:rsid w:val="007125FD"/>
    <w:rsid w:val="00713937"/>
    <w:rsid w:val="00715DD3"/>
    <w:rsid w:val="007168CA"/>
    <w:rsid w:val="00717781"/>
    <w:rsid w:val="00717E69"/>
    <w:rsid w:val="00726851"/>
    <w:rsid w:val="00726D4A"/>
    <w:rsid w:val="00730908"/>
    <w:rsid w:val="00732C27"/>
    <w:rsid w:val="00733DF9"/>
    <w:rsid w:val="007344BF"/>
    <w:rsid w:val="00736293"/>
    <w:rsid w:val="00740BE9"/>
    <w:rsid w:val="007418E2"/>
    <w:rsid w:val="007522C1"/>
    <w:rsid w:val="007608D3"/>
    <w:rsid w:val="00760E94"/>
    <w:rsid w:val="007627E2"/>
    <w:rsid w:val="00765A6A"/>
    <w:rsid w:val="0076675A"/>
    <w:rsid w:val="00772858"/>
    <w:rsid w:val="0077355C"/>
    <w:rsid w:val="007748EC"/>
    <w:rsid w:val="0078465D"/>
    <w:rsid w:val="007850D5"/>
    <w:rsid w:val="00785EC5"/>
    <w:rsid w:val="00787F81"/>
    <w:rsid w:val="007912BB"/>
    <w:rsid w:val="007919D9"/>
    <w:rsid w:val="0079308B"/>
    <w:rsid w:val="007939DE"/>
    <w:rsid w:val="007B2B2B"/>
    <w:rsid w:val="007C025F"/>
    <w:rsid w:val="007C0270"/>
    <w:rsid w:val="007C0AE6"/>
    <w:rsid w:val="007C32C8"/>
    <w:rsid w:val="007C66B8"/>
    <w:rsid w:val="007D09DC"/>
    <w:rsid w:val="007D18CE"/>
    <w:rsid w:val="007D4F84"/>
    <w:rsid w:val="007D5092"/>
    <w:rsid w:val="007D66E8"/>
    <w:rsid w:val="007D7F8F"/>
    <w:rsid w:val="007E6E49"/>
    <w:rsid w:val="007F0C42"/>
    <w:rsid w:val="007F472A"/>
    <w:rsid w:val="007F57CA"/>
    <w:rsid w:val="0080407B"/>
    <w:rsid w:val="00806682"/>
    <w:rsid w:val="00810B49"/>
    <w:rsid w:val="00814E46"/>
    <w:rsid w:val="008163F6"/>
    <w:rsid w:val="0082005F"/>
    <w:rsid w:val="00821C2F"/>
    <w:rsid w:val="008224C0"/>
    <w:rsid w:val="0082447B"/>
    <w:rsid w:val="00825EF0"/>
    <w:rsid w:val="008344B2"/>
    <w:rsid w:val="00835F79"/>
    <w:rsid w:val="008416F8"/>
    <w:rsid w:val="00841C40"/>
    <w:rsid w:val="00843A9F"/>
    <w:rsid w:val="0086434B"/>
    <w:rsid w:val="00874355"/>
    <w:rsid w:val="00877082"/>
    <w:rsid w:val="008772F0"/>
    <w:rsid w:val="008817A6"/>
    <w:rsid w:val="00885096"/>
    <w:rsid w:val="008865B8"/>
    <w:rsid w:val="008912A9"/>
    <w:rsid w:val="0089275A"/>
    <w:rsid w:val="008932A5"/>
    <w:rsid w:val="0089599C"/>
    <w:rsid w:val="008959EB"/>
    <w:rsid w:val="00895C45"/>
    <w:rsid w:val="00895E40"/>
    <w:rsid w:val="008964F7"/>
    <w:rsid w:val="008A1D2A"/>
    <w:rsid w:val="008B08C8"/>
    <w:rsid w:val="008B38D2"/>
    <w:rsid w:val="008C15CE"/>
    <w:rsid w:val="008C20A0"/>
    <w:rsid w:val="008C636B"/>
    <w:rsid w:val="008D242B"/>
    <w:rsid w:val="008D5B67"/>
    <w:rsid w:val="008E1EB6"/>
    <w:rsid w:val="008E5819"/>
    <w:rsid w:val="008F0317"/>
    <w:rsid w:val="008F3969"/>
    <w:rsid w:val="008F4B47"/>
    <w:rsid w:val="00900060"/>
    <w:rsid w:val="009022A1"/>
    <w:rsid w:val="00903CCE"/>
    <w:rsid w:val="00905AE2"/>
    <w:rsid w:val="009072C0"/>
    <w:rsid w:val="00907DC7"/>
    <w:rsid w:val="00911EF2"/>
    <w:rsid w:val="00912CA5"/>
    <w:rsid w:val="0091388C"/>
    <w:rsid w:val="00913CB7"/>
    <w:rsid w:val="009248AD"/>
    <w:rsid w:val="00924978"/>
    <w:rsid w:val="009301F7"/>
    <w:rsid w:val="00942578"/>
    <w:rsid w:val="00950DA2"/>
    <w:rsid w:val="009535D5"/>
    <w:rsid w:val="009567F7"/>
    <w:rsid w:val="0095724F"/>
    <w:rsid w:val="00964C6A"/>
    <w:rsid w:val="00964C9A"/>
    <w:rsid w:val="009664CE"/>
    <w:rsid w:val="00973A2D"/>
    <w:rsid w:val="00975C04"/>
    <w:rsid w:val="0098138F"/>
    <w:rsid w:val="0098322F"/>
    <w:rsid w:val="009857B3"/>
    <w:rsid w:val="00986859"/>
    <w:rsid w:val="00992DB5"/>
    <w:rsid w:val="00995F01"/>
    <w:rsid w:val="00996E3B"/>
    <w:rsid w:val="00997F50"/>
    <w:rsid w:val="009A4AD5"/>
    <w:rsid w:val="009A5AA5"/>
    <w:rsid w:val="009B2AB6"/>
    <w:rsid w:val="009C44D2"/>
    <w:rsid w:val="009C462E"/>
    <w:rsid w:val="009E3BAC"/>
    <w:rsid w:val="009E5076"/>
    <w:rsid w:val="009E555A"/>
    <w:rsid w:val="009F0730"/>
    <w:rsid w:val="009F5D14"/>
    <w:rsid w:val="009F7ACE"/>
    <w:rsid w:val="00A00D61"/>
    <w:rsid w:val="00A0170A"/>
    <w:rsid w:val="00A11873"/>
    <w:rsid w:val="00A16E11"/>
    <w:rsid w:val="00A215CD"/>
    <w:rsid w:val="00A23842"/>
    <w:rsid w:val="00A23D03"/>
    <w:rsid w:val="00A3187C"/>
    <w:rsid w:val="00A325F8"/>
    <w:rsid w:val="00A336D2"/>
    <w:rsid w:val="00A47D97"/>
    <w:rsid w:val="00A547E0"/>
    <w:rsid w:val="00A566B9"/>
    <w:rsid w:val="00A631C7"/>
    <w:rsid w:val="00A65B69"/>
    <w:rsid w:val="00A73277"/>
    <w:rsid w:val="00A75519"/>
    <w:rsid w:val="00A8001D"/>
    <w:rsid w:val="00A826D3"/>
    <w:rsid w:val="00A84EA2"/>
    <w:rsid w:val="00A84F13"/>
    <w:rsid w:val="00A907D9"/>
    <w:rsid w:val="00A91B43"/>
    <w:rsid w:val="00A941FA"/>
    <w:rsid w:val="00AA1820"/>
    <w:rsid w:val="00AA5B76"/>
    <w:rsid w:val="00AB0F8A"/>
    <w:rsid w:val="00AB2006"/>
    <w:rsid w:val="00AB2238"/>
    <w:rsid w:val="00AB6919"/>
    <w:rsid w:val="00AB6AEF"/>
    <w:rsid w:val="00AC1751"/>
    <w:rsid w:val="00AC3286"/>
    <w:rsid w:val="00AC32AF"/>
    <w:rsid w:val="00AD283F"/>
    <w:rsid w:val="00AD720C"/>
    <w:rsid w:val="00AD730C"/>
    <w:rsid w:val="00AD73AF"/>
    <w:rsid w:val="00AE0F9D"/>
    <w:rsid w:val="00AE3B91"/>
    <w:rsid w:val="00AE4871"/>
    <w:rsid w:val="00AE48D8"/>
    <w:rsid w:val="00AE737F"/>
    <w:rsid w:val="00AF4CC7"/>
    <w:rsid w:val="00B00610"/>
    <w:rsid w:val="00B030AF"/>
    <w:rsid w:val="00B0338F"/>
    <w:rsid w:val="00B12E06"/>
    <w:rsid w:val="00B15C80"/>
    <w:rsid w:val="00B1693B"/>
    <w:rsid w:val="00B2187D"/>
    <w:rsid w:val="00B270BD"/>
    <w:rsid w:val="00B30771"/>
    <w:rsid w:val="00B3117D"/>
    <w:rsid w:val="00B3222F"/>
    <w:rsid w:val="00B32EEA"/>
    <w:rsid w:val="00B34D66"/>
    <w:rsid w:val="00B37E90"/>
    <w:rsid w:val="00B428E9"/>
    <w:rsid w:val="00B46FE8"/>
    <w:rsid w:val="00B534FC"/>
    <w:rsid w:val="00B53A32"/>
    <w:rsid w:val="00B54F4B"/>
    <w:rsid w:val="00B5739A"/>
    <w:rsid w:val="00B6174A"/>
    <w:rsid w:val="00B662D2"/>
    <w:rsid w:val="00B67B38"/>
    <w:rsid w:val="00B72171"/>
    <w:rsid w:val="00B77786"/>
    <w:rsid w:val="00B77BBD"/>
    <w:rsid w:val="00B920B1"/>
    <w:rsid w:val="00B93ADC"/>
    <w:rsid w:val="00B96875"/>
    <w:rsid w:val="00B96AF2"/>
    <w:rsid w:val="00BA2FFD"/>
    <w:rsid w:val="00BB0237"/>
    <w:rsid w:val="00BB0916"/>
    <w:rsid w:val="00BB2772"/>
    <w:rsid w:val="00BB5DDC"/>
    <w:rsid w:val="00BC5A24"/>
    <w:rsid w:val="00BD4331"/>
    <w:rsid w:val="00BE1519"/>
    <w:rsid w:val="00BE66B3"/>
    <w:rsid w:val="00BE7975"/>
    <w:rsid w:val="00BF1CE6"/>
    <w:rsid w:val="00BF21E2"/>
    <w:rsid w:val="00BF3AAC"/>
    <w:rsid w:val="00BF4ADA"/>
    <w:rsid w:val="00BF4FD5"/>
    <w:rsid w:val="00C00AFB"/>
    <w:rsid w:val="00C0328F"/>
    <w:rsid w:val="00C07C77"/>
    <w:rsid w:val="00C15C7C"/>
    <w:rsid w:val="00C23CC0"/>
    <w:rsid w:val="00C244B4"/>
    <w:rsid w:val="00C270EF"/>
    <w:rsid w:val="00C33640"/>
    <w:rsid w:val="00C34F81"/>
    <w:rsid w:val="00C36A9A"/>
    <w:rsid w:val="00C439C3"/>
    <w:rsid w:val="00C5023B"/>
    <w:rsid w:val="00C54E7E"/>
    <w:rsid w:val="00C605D2"/>
    <w:rsid w:val="00C654DA"/>
    <w:rsid w:val="00C66505"/>
    <w:rsid w:val="00C6773E"/>
    <w:rsid w:val="00C71911"/>
    <w:rsid w:val="00C7514F"/>
    <w:rsid w:val="00C80205"/>
    <w:rsid w:val="00C80E1A"/>
    <w:rsid w:val="00C848FF"/>
    <w:rsid w:val="00C84DF6"/>
    <w:rsid w:val="00C85ED9"/>
    <w:rsid w:val="00C868D9"/>
    <w:rsid w:val="00C90317"/>
    <w:rsid w:val="00C9423B"/>
    <w:rsid w:val="00C971B6"/>
    <w:rsid w:val="00CA2E3E"/>
    <w:rsid w:val="00CA4E5B"/>
    <w:rsid w:val="00CA5D9B"/>
    <w:rsid w:val="00CC1801"/>
    <w:rsid w:val="00CC261C"/>
    <w:rsid w:val="00CC5202"/>
    <w:rsid w:val="00CC6690"/>
    <w:rsid w:val="00CC736C"/>
    <w:rsid w:val="00CC77B4"/>
    <w:rsid w:val="00CC7C91"/>
    <w:rsid w:val="00CD03E6"/>
    <w:rsid w:val="00CD4AFB"/>
    <w:rsid w:val="00CD4BE0"/>
    <w:rsid w:val="00CD6135"/>
    <w:rsid w:val="00CD63A7"/>
    <w:rsid w:val="00CE0B2F"/>
    <w:rsid w:val="00CE126D"/>
    <w:rsid w:val="00CE4CAB"/>
    <w:rsid w:val="00CF0A47"/>
    <w:rsid w:val="00CF21D4"/>
    <w:rsid w:val="00CF587A"/>
    <w:rsid w:val="00CF6BC7"/>
    <w:rsid w:val="00D00D39"/>
    <w:rsid w:val="00D01D7D"/>
    <w:rsid w:val="00D02102"/>
    <w:rsid w:val="00D0243C"/>
    <w:rsid w:val="00D02CE9"/>
    <w:rsid w:val="00D04107"/>
    <w:rsid w:val="00D12C1B"/>
    <w:rsid w:val="00D13170"/>
    <w:rsid w:val="00D20B50"/>
    <w:rsid w:val="00D20F23"/>
    <w:rsid w:val="00D23757"/>
    <w:rsid w:val="00D25A73"/>
    <w:rsid w:val="00D25D87"/>
    <w:rsid w:val="00D27AE4"/>
    <w:rsid w:val="00D30AC7"/>
    <w:rsid w:val="00D333D0"/>
    <w:rsid w:val="00D411CA"/>
    <w:rsid w:val="00D4549C"/>
    <w:rsid w:val="00D47531"/>
    <w:rsid w:val="00D64BD3"/>
    <w:rsid w:val="00D7054F"/>
    <w:rsid w:val="00D71FD7"/>
    <w:rsid w:val="00D74073"/>
    <w:rsid w:val="00D807CD"/>
    <w:rsid w:val="00D818BB"/>
    <w:rsid w:val="00D86BDB"/>
    <w:rsid w:val="00D8752C"/>
    <w:rsid w:val="00D90024"/>
    <w:rsid w:val="00D9012A"/>
    <w:rsid w:val="00DA1937"/>
    <w:rsid w:val="00DA1C3B"/>
    <w:rsid w:val="00DA2649"/>
    <w:rsid w:val="00DA3390"/>
    <w:rsid w:val="00DA5B9C"/>
    <w:rsid w:val="00DA5D59"/>
    <w:rsid w:val="00DA7D9C"/>
    <w:rsid w:val="00DB0FC8"/>
    <w:rsid w:val="00DB1B62"/>
    <w:rsid w:val="00DB7B3F"/>
    <w:rsid w:val="00DC087B"/>
    <w:rsid w:val="00DC0DD3"/>
    <w:rsid w:val="00DC15D8"/>
    <w:rsid w:val="00DC32AD"/>
    <w:rsid w:val="00DC43E4"/>
    <w:rsid w:val="00DC4866"/>
    <w:rsid w:val="00DD20B2"/>
    <w:rsid w:val="00DD220C"/>
    <w:rsid w:val="00DD6DF8"/>
    <w:rsid w:val="00DE22A1"/>
    <w:rsid w:val="00DE3066"/>
    <w:rsid w:val="00DE4429"/>
    <w:rsid w:val="00DE68AB"/>
    <w:rsid w:val="00DF1324"/>
    <w:rsid w:val="00DF47ED"/>
    <w:rsid w:val="00DF51E3"/>
    <w:rsid w:val="00DF615A"/>
    <w:rsid w:val="00DF636A"/>
    <w:rsid w:val="00E018D0"/>
    <w:rsid w:val="00E01EA7"/>
    <w:rsid w:val="00E03102"/>
    <w:rsid w:val="00E05F2F"/>
    <w:rsid w:val="00E14B51"/>
    <w:rsid w:val="00E20464"/>
    <w:rsid w:val="00E236FF"/>
    <w:rsid w:val="00E34476"/>
    <w:rsid w:val="00E352A5"/>
    <w:rsid w:val="00E3652F"/>
    <w:rsid w:val="00E43078"/>
    <w:rsid w:val="00E43F9C"/>
    <w:rsid w:val="00E441D4"/>
    <w:rsid w:val="00E600EC"/>
    <w:rsid w:val="00E653DC"/>
    <w:rsid w:val="00E65B73"/>
    <w:rsid w:val="00E732B1"/>
    <w:rsid w:val="00E80EC3"/>
    <w:rsid w:val="00E810E0"/>
    <w:rsid w:val="00E85BA0"/>
    <w:rsid w:val="00E87880"/>
    <w:rsid w:val="00E87E6B"/>
    <w:rsid w:val="00E9635A"/>
    <w:rsid w:val="00EA10B7"/>
    <w:rsid w:val="00EA2392"/>
    <w:rsid w:val="00EA24F2"/>
    <w:rsid w:val="00EA36A9"/>
    <w:rsid w:val="00EA4FF9"/>
    <w:rsid w:val="00EB0E86"/>
    <w:rsid w:val="00EB1F1E"/>
    <w:rsid w:val="00EB6A7E"/>
    <w:rsid w:val="00EC1358"/>
    <w:rsid w:val="00EC27D8"/>
    <w:rsid w:val="00EC36A9"/>
    <w:rsid w:val="00EC4002"/>
    <w:rsid w:val="00ED29C6"/>
    <w:rsid w:val="00EE09D2"/>
    <w:rsid w:val="00EE1F6B"/>
    <w:rsid w:val="00EE2F92"/>
    <w:rsid w:val="00EE5550"/>
    <w:rsid w:val="00EE7290"/>
    <w:rsid w:val="00EF3430"/>
    <w:rsid w:val="00F0490D"/>
    <w:rsid w:val="00F04DD6"/>
    <w:rsid w:val="00F0666A"/>
    <w:rsid w:val="00F11EAE"/>
    <w:rsid w:val="00F12E51"/>
    <w:rsid w:val="00F20C4D"/>
    <w:rsid w:val="00F22C21"/>
    <w:rsid w:val="00F24A90"/>
    <w:rsid w:val="00F24E62"/>
    <w:rsid w:val="00F27433"/>
    <w:rsid w:val="00F35140"/>
    <w:rsid w:val="00F52A5F"/>
    <w:rsid w:val="00F57FD0"/>
    <w:rsid w:val="00F60E4F"/>
    <w:rsid w:val="00F61CEB"/>
    <w:rsid w:val="00F62B50"/>
    <w:rsid w:val="00F64A7B"/>
    <w:rsid w:val="00F66765"/>
    <w:rsid w:val="00F7030B"/>
    <w:rsid w:val="00F71BEC"/>
    <w:rsid w:val="00F82906"/>
    <w:rsid w:val="00F9623B"/>
    <w:rsid w:val="00F973FB"/>
    <w:rsid w:val="00FA0463"/>
    <w:rsid w:val="00FA0BC7"/>
    <w:rsid w:val="00FA14BD"/>
    <w:rsid w:val="00FA2FA1"/>
    <w:rsid w:val="00FB2A94"/>
    <w:rsid w:val="00FB4450"/>
    <w:rsid w:val="00FC4AFD"/>
    <w:rsid w:val="00FC4D7C"/>
    <w:rsid w:val="00FC75FE"/>
    <w:rsid w:val="00FD7688"/>
    <w:rsid w:val="00FF13BF"/>
    <w:rsid w:val="00FF2C24"/>
    <w:rsid w:val="00FF5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964C9A"/>
    <w:rPr>
      <w:color w:val="0563C1" w:themeColor="hyperlink"/>
      <w:u w:val="single"/>
    </w:rPr>
  </w:style>
  <w:style w:type="character" w:styleId="UnresolvedMention">
    <w:name w:val="Unresolved Mention"/>
    <w:basedOn w:val="DefaultParagraphFont"/>
    <w:uiPriority w:val="99"/>
    <w:semiHidden/>
    <w:unhideWhenUsed/>
    <w:rsid w:val="00964C9A"/>
    <w:rPr>
      <w:color w:val="605E5C"/>
      <w:shd w:val="clear" w:color="auto" w:fill="E1DFDD"/>
    </w:rPr>
  </w:style>
  <w:style w:type="character" w:styleId="FollowedHyperlink">
    <w:name w:val="FollowedHyperlink"/>
    <w:basedOn w:val="DefaultParagraphFont"/>
    <w:uiPriority w:val="99"/>
    <w:semiHidden/>
    <w:unhideWhenUsed/>
    <w:rsid w:val="006E2652"/>
    <w:rPr>
      <w:color w:val="954F72" w:themeColor="followedHyperlink"/>
      <w:u w:val="single"/>
    </w:rPr>
  </w:style>
  <w:style w:type="character" w:styleId="CommentReference">
    <w:name w:val="annotation reference"/>
    <w:basedOn w:val="DefaultParagraphFont"/>
    <w:uiPriority w:val="99"/>
    <w:semiHidden/>
    <w:unhideWhenUsed/>
    <w:rsid w:val="00AC3286"/>
    <w:rPr>
      <w:sz w:val="16"/>
      <w:szCs w:val="16"/>
    </w:rPr>
  </w:style>
  <w:style w:type="paragraph" w:styleId="CommentText">
    <w:name w:val="annotation text"/>
    <w:basedOn w:val="Normal"/>
    <w:link w:val="CommentTextChar"/>
    <w:uiPriority w:val="99"/>
    <w:unhideWhenUsed/>
    <w:rsid w:val="00AC3286"/>
    <w:rPr>
      <w:sz w:val="20"/>
      <w:szCs w:val="20"/>
    </w:rPr>
  </w:style>
  <w:style w:type="character" w:customStyle="1" w:styleId="CommentTextChar">
    <w:name w:val="Comment Text Char"/>
    <w:basedOn w:val="DefaultParagraphFont"/>
    <w:link w:val="CommentText"/>
    <w:uiPriority w:val="99"/>
    <w:rsid w:val="00AC328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C3286"/>
    <w:rPr>
      <w:b/>
      <w:bCs/>
    </w:rPr>
  </w:style>
  <w:style w:type="character" w:customStyle="1" w:styleId="CommentSubjectChar">
    <w:name w:val="Comment Subject Char"/>
    <w:basedOn w:val="CommentTextChar"/>
    <w:link w:val="CommentSubject"/>
    <w:uiPriority w:val="99"/>
    <w:semiHidden/>
    <w:rsid w:val="00AC3286"/>
    <w:rPr>
      <w:rFonts w:eastAsia="Times New Roman" w:cs="Times New Roman"/>
      <w:b/>
      <w:bCs/>
      <w:sz w:val="20"/>
      <w:szCs w:val="20"/>
      <w:lang w:val="lv-LV" w:eastAsia="ru-RU"/>
    </w:rPr>
  </w:style>
  <w:style w:type="paragraph" w:customStyle="1" w:styleId="Default">
    <w:name w:val="Default"/>
    <w:rsid w:val="006306F5"/>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tv.tiesa.gov.lv/web/viewer.html?file=https://www.satv.tiesa.gov.lv/wp-content/uploads/2023/05/2023_27_03_spriedums.pdf" TargetMode="External"/><Relationship Id="rId18" Type="http://schemas.openxmlformats.org/officeDocument/2006/relationships/hyperlink" Target="https://www.satv.tiesa.gov.lv/web/viewer.html?file=/wp-content/uploads/2018/08/2018-17-03_Spriedums.pdf" TargetMode="External"/><Relationship Id="rId26" Type="http://schemas.openxmlformats.org/officeDocument/2006/relationships/hyperlink" Target="https://gateway.elieta.lv/api/v1/PublicMaterialDownload/96f08701-6759-4ce9-abdd-b7be4938cc2f" TargetMode="External"/><Relationship Id="rId39" Type="http://schemas.openxmlformats.org/officeDocument/2006/relationships/footer" Target="footer1.xml"/><Relationship Id="rId21" Type="http://schemas.openxmlformats.org/officeDocument/2006/relationships/hyperlink" Target="https://gateway.elieta.lv/api/v1/PublicMaterialDownload/c07aab0f-771d-4886-bb80-6e280ba40ba6" TargetMode="External"/><Relationship Id="rId34" Type="http://schemas.openxmlformats.org/officeDocument/2006/relationships/hyperlink" Target="https://www.satv.tiesa.gov.lv/web/viewer.html?file=https://www.satv.tiesa.gov.lv/wp-content/uploads/2023/05/2023_27_03_spriedum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tv.tiesa.gov.lv/web/viewer.html?file=https://www.satv.tiesa.gov.lv/wp-content/uploads/2022/03/2022-13-05_Spriedums.pdf" TargetMode="External"/><Relationship Id="rId20" Type="http://schemas.openxmlformats.org/officeDocument/2006/relationships/hyperlink" Target="https://gateway.elieta.lv/api/v1/PublicMaterialDownload/ce3073d1-d23c-41e6-99f6-5ea9594c8a3f" TargetMode="External"/><Relationship Id="rId29" Type="http://schemas.openxmlformats.org/officeDocument/2006/relationships/hyperlink" Target="https://gateway.elieta.lv/api/v1/PublicMaterialDownload/5f15a2dd-9c34-46f5-ac1a-0575e90622a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5f0a4a37-54d9-4c93-ad0d-7f95734f46db" TargetMode="External"/><Relationship Id="rId24" Type="http://schemas.openxmlformats.org/officeDocument/2006/relationships/hyperlink" Target="https://www.satv.tiesa.gov.lv/web/viewer.html?file=/wp-content/uploads/2018/08/2018-17-03_Spriedums.pdf" TargetMode="External"/><Relationship Id="rId32" Type="http://schemas.openxmlformats.org/officeDocument/2006/relationships/hyperlink" Target="https://www.satv.tiesa.gov.lv/web/viewer.html?file=https://www.satv.tiesa.gov.lv/wp-content/uploads/2023/05/2023_27_03_spriedums.pdf" TargetMode="External"/><Relationship Id="rId37" Type="http://schemas.openxmlformats.org/officeDocument/2006/relationships/hyperlink" Target="https://www.satv.tiesa.gov.lv/web/viewer.html?file=/wp-content/uploads/2018/08/2018-17-03_Spriedums.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ateway.elieta.lv/api/v1/PublicMaterialDownload/afe9f238-30d3-4506-83c5-24887cce55da" TargetMode="External"/><Relationship Id="rId23" Type="http://schemas.openxmlformats.org/officeDocument/2006/relationships/hyperlink" Target="https://gateway.elieta.lv/api/v1/PublicMaterialDownload/8236a84e-0620-4437-a78b-b6239bc70dec" TargetMode="External"/><Relationship Id="rId28" Type="http://schemas.openxmlformats.org/officeDocument/2006/relationships/hyperlink" Target="https://gateway.elieta.lv/api/v1/PublicMaterialDownload/6335e750-bf8c-4d97-9ea0-acc0ff3d8803" TargetMode="External"/><Relationship Id="rId36" Type="http://schemas.openxmlformats.org/officeDocument/2006/relationships/hyperlink" Target="https://www.satv.tiesa.gov.lv/web/viewer.html?file=https://www.satv.tiesa.gov.lv/wp-content/uploads/2023/05/2023_27_03_spriedums.pdf" TargetMode="External"/><Relationship Id="rId10" Type="http://schemas.openxmlformats.org/officeDocument/2006/relationships/hyperlink" Target="https://gateway.elieta.lv/api/v1/PublicMaterialDownload/4c1e0999-4b90-4f64-b718-5a10b1bffd3b" TargetMode="External"/><Relationship Id="rId19" Type="http://schemas.openxmlformats.org/officeDocument/2006/relationships/hyperlink" Target="https://www.satv.tiesa.gov.lv/web/viewer.html?file=/wp-content/uploads/2018/08/2018-17-03_Spriedums.pdf" TargetMode="External"/><Relationship Id="rId31" Type="http://schemas.openxmlformats.org/officeDocument/2006/relationships/hyperlink" Target="https://www.satv.tiesa.gov.lv/web/viewer.html?file=https://www.satv.tiesa.gov.lv/wp-content/uploads/2022/03/2022-13-05_Spriedums.pdf" TargetMode="External"/><Relationship Id="rId4" Type="http://schemas.openxmlformats.org/officeDocument/2006/relationships/settings" Target="settings.xml"/><Relationship Id="rId9" Type="http://schemas.openxmlformats.org/officeDocument/2006/relationships/hyperlink" Target="https://gateway.elieta.lv/api/v1/PublicMaterialDownload/a429bc2b-8e1e-4403-a076-8905501d633a" TargetMode="External"/><Relationship Id="rId14" Type="http://schemas.openxmlformats.org/officeDocument/2006/relationships/hyperlink" Target="https://www.satv.tiesa.gov.lv/web/viewer.html?file=https://www.satv.tiesa.gov.lv/wp-content/uploads/2022/03/2022-13-05_Spriedums.pdf" TargetMode="External"/><Relationship Id="rId22" Type="http://schemas.openxmlformats.org/officeDocument/2006/relationships/hyperlink" Target="https://gateway.elieta.lv/api/v1/PublicMaterialDownload/4a0f99dd-9d0c-44c8-8252-6717ebbeb213" TargetMode="External"/><Relationship Id="rId27" Type="http://schemas.openxmlformats.org/officeDocument/2006/relationships/hyperlink" Target="https://www.satv.tiesa.gov.lv/web/viewer.html?file=https://www.satv.tiesa.gov.lv/wp-content/uploads/2022/03/2022-13-05_Spriedums.pdf" TargetMode="External"/><Relationship Id="rId30" Type="http://schemas.openxmlformats.org/officeDocument/2006/relationships/hyperlink" Target="https://www.satv.tiesa.gov.lv/web/viewer.html?file=https://www.satv.tiesa.gov.lv/wp-content/uploads/2022/03/2022-13-05_Spriedums.pdf" TargetMode="External"/><Relationship Id="rId35" Type="http://schemas.openxmlformats.org/officeDocument/2006/relationships/hyperlink" Target="https://gateway.elieta.lv/api/v1/PublicMaterialDownload/6335e750-bf8c-4d97-9ea0-acc0ff3d8803" TargetMode="External"/><Relationship Id="rId8" Type="http://schemas.openxmlformats.org/officeDocument/2006/relationships/hyperlink" Target="https://gateway.elieta.lv/api/v1/PublicMaterialDownload/69fd254b-a185-4572-8c4e-5cb3a5948d98" TargetMode="External"/><Relationship Id="rId3" Type="http://schemas.openxmlformats.org/officeDocument/2006/relationships/styles" Target="styles.xml"/><Relationship Id="rId12" Type="http://schemas.openxmlformats.org/officeDocument/2006/relationships/hyperlink" Target="https://gateway.elieta.lv/api/v1/PublicMaterialDownload/40fcb0cd-9e33-4d09-b53c-255e06a7c4b1" TargetMode="External"/><Relationship Id="rId17" Type="http://schemas.openxmlformats.org/officeDocument/2006/relationships/hyperlink" Target="https://www.satv.tiesa.gov.lv/web/viewer.html?file=https://www.satv.tiesa.gov.lv/wp-content/uploads/2022/03/2022-13-05_Spriedums.pdf" TargetMode="External"/><Relationship Id="rId25" Type="http://schemas.openxmlformats.org/officeDocument/2006/relationships/hyperlink" Target="https://gateway.elieta.lv/api/v1/PublicMaterialDownload/4a0f99dd-9d0c-44c8-8252-6717ebbeb213" TargetMode="External"/><Relationship Id="rId33" Type="http://schemas.openxmlformats.org/officeDocument/2006/relationships/hyperlink" Target="https://gateway.elieta.lv/api/v1/PublicMaterialDownload/f10d72be-e051-483e-9daf-c2a922f6e7f7" TargetMode="External"/><Relationship Id="rId38" Type="http://schemas.openxmlformats.org/officeDocument/2006/relationships/hyperlink" Target="https://www.satv.tiesa.gov.lv/web/viewer.html?file=/wp-content/uploads/2018/08/2018-17-03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647CB-BE9C-4D3D-ACAE-A74CDB05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32775</Words>
  <Characters>18683</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2026-06-29T18:03:00Z</dcterms:created>
  <dcterms:modified xsi:type="dcterms:W3CDTF">2026-06-29T18:04:00Z</dcterms:modified>
</cp:coreProperties>
</file>