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3C35" w14:textId="77777777" w:rsidR="00AE6FE4" w:rsidRPr="003F2305" w:rsidRDefault="00AE6FE4" w:rsidP="00AE6FE4">
      <w:pPr>
        <w:pStyle w:val="ListParagraph"/>
        <w:spacing w:line="276" w:lineRule="auto"/>
        <w:ind w:left="0"/>
        <w:jc w:val="both"/>
        <w:rPr>
          <w:b/>
          <w:bCs/>
        </w:rPr>
      </w:pPr>
      <w:r w:rsidRPr="003F2305">
        <w:rPr>
          <w:b/>
          <w:bCs/>
        </w:rPr>
        <w:t>Aiz noziedzīgas nevērības izdarīts noziedzīgs nodarījums</w:t>
      </w:r>
    </w:p>
    <w:p w14:paraId="1A29B717" w14:textId="77777777" w:rsidR="00AE6FE4" w:rsidRPr="003F2305" w:rsidRDefault="00AE6FE4" w:rsidP="00AE6FE4">
      <w:pPr>
        <w:pStyle w:val="ListParagraph"/>
        <w:spacing w:line="276" w:lineRule="auto"/>
        <w:ind w:left="0"/>
        <w:jc w:val="both"/>
      </w:pPr>
      <w:r w:rsidRPr="003F2305">
        <w:t>Lai noziedzīgo nodarījumu atzītu par izdarītu aiz noziedzīgas nevērības, jākonstatē konkrēti apstākļi, kas personai devuši dibinātu pamatu paredzēt kaitīgo seku iestāšanās iespēju. Proti, sekām jābūt nevis tikai teorētiski iespējamām, bet konkrētai personai arī saprātīgi paredzamām.</w:t>
      </w:r>
    </w:p>
    <w:p w14:paraId="37638608" w14:textId="77777777" w:rsidR="00AE6FE4" w:rsidRPr="003F2305" w:rsidRDefault="00AE6FE4" w:rsidP="00AE6FE4">
      <w:pPr>
        <w:pStyle w:val="ListParagraph"/>
        <w:spacing w:line="276" w:lineRule="auto"/>
        <w:ind w:left="0"/>
        <w:jc w:val="both"/>
      </w:pPr>
    </w:p>
    <w:p w14:paraId="0019B5A8" w14:textId="77777777" w:rsidR="00AE6FE4" w:rsidRPr="003F2305" w:rsidRDefault="00AE6FE4" w:rsidP="00AE6FE4">
      <w:pPr>
        <w:pStyle w:val="ListParagraph"/>
        <w:spacing w:line="276" w:lineRule="auto"/>
        <w:ind w:left="0"/>
        <w:jc w:val="both"/>
        <w:rPr>
          <w:b/>
          <w:bCs/>
        </w:rPr>
      </w:pPr>
      <w:r w:rsidRPr="003F2305">
        <w:rPr>
          <w:b/>
          <w:bCs/>
        </w:rPr>
        <w:t>Savstarpēji izslēdzošas vainas formas kā pamats ierobežojumam personas saukšanai pie kriminālatbildības pēc vairākiem kriminālatbildības pamatiem</w:t>
      </w:r>
    </w:p>
    <w:p w14:paraId="755A8BDA" w14:textId="77777777" w:rsidR="00AE6FE4" w:rsidRPr="003F2305" w:rsidRDefault="00AE6FE4" w:rsidP="00AE6FE4">
      <w:pPr>
        <w:pStyle w:val="ListParagraph"/>
        <w:spacing w:line="276" w:lineRule="auto"/>
        <w:ind w:left="0"/>
        <w:jc w:val="both"/>
      </w:pPr>
      <w:r w:rsidRPr="003F2305">
        <w:t>Vienām un tām pašām kaitīgajām sekām, kvalificējot darbības kā noziedzīgo nodarījumu kopību, nevar vienlaikus piedēvēt savstarpēji izslēdzošas vainas formas – nodomu un neuzmanību.</w:t>
      </w:r>
    </w:p>
    <w:p w14:paraId="2DB40F47" w14:textId="77777777" w:rsidR="00AE6FE4" w:rsidRPr="003F2305" w:rsidRDefault="00AE6FE4" w:rsidP="00AE6FE4">
      <w:pPr>
        <w:pStyle w:val="ListParagraph"/>
        <w:spacing w:line="276" w:lineRule="auto"/>
        <w:ind w:left="0"/>
        <w:jc w:val="both"/>
      </w:pPr>
      <w:r w:rsidRPr="003F2305">
        <w:t>Piemēram, mazgadīgas personas nāve, kas iestājusies nepienācīgas uzraudzības dēļ, nevar vienlaikus veidot pamatu personas atbildībai gan par tīšu noziedzīgu nodarījumu saskaņā ar Krimināllikuma 174.</w:t>
      </w:r>
      <w:r>
        <w:t> </w:t>
      </w:r>
      <w:r w:rsidRPr="003F2305">
        <w:t>panta otro daļu, gan par noziedzīgu nodarījumu aiz neuzmanības saskaņā ar Krimināllikuma 123.</w:t>
      </w:r>
      <w:r>
        <w:t> </w:t>
      </w:r>
      <w:r w:rsidRPr="003F2305">
        <w:t xml:space="preserve">panta pirmo daļu. </w:t>
      </w:r>
    </w:p>
    <w:p w14:paraId="6E2D70DF" w14:textId="77777777" w:rsidR="00AE6FE4" w:rsidRPr="003F2305" w:rsidRDefault="00AE6FE4" w:rsidP="00AE6FE4">
      <w:pPr>
        <w:pStyle w:val="ListParagraph"/>
        <w:spacing w:line="276" w:lineRule="auto"/>
        <w:ind w:left="0"/>
        <w:jc w:val="both"/>
      </w:pPr>
    </w:p>
    <w:p w14:paraId="60500855" w14:textId="77777777" w:rsidR="00AE6FE4" w:rsidRPr="003F2305" w:rsidRDefault="00AE6FE4" w:rsidP="00AE6FE4">
      <w:pPr>
        <w:pStyle w:val="ListParagraph"/>
        <w:spacing w:line="276" w:lineRule="auto"/>
        <w:ind w:left="0"/>
        <w:jc w:val="both"/>
        <w:rPr>
          <w:b/>
          <w:bCs/>
        </w:rPr>
      </w:pPr>
      <w:r w:rsidRPr="003F2305">
        <w:rPr>
          <w:b/>
          <w:bCs/>
        </w:rPr>
        <w:t>Uzraudzības pienākuma nepildīšana</w:t>
      </w:r>
    </w:p>
    <w:p w14:paraId="102CCAB2" w14:textId="77777777" w:rsidR="00AE6FE4" w:rsidRDefault="00AE6FE4" w:rsidP="00AE6FE4">
      <w:pPr>
        <w:pStyle w:val="ListParagraph"/>
        <w:spacing w:line="276" w:lineRule="auto"/>
        <w:ind w:left="0"/>
        <w:jc w:val="both"/>
      </w:pPr>
      <w:r w:rsidRPr="003F2305">
        <w:t>Uzraudzības pienākuma nepildīšana pati par sevi nav nedz apzināta vardarbība, nedz apzināta cietsirdīga apiešanās ar mazgadīgo Krimināllikuma 174. panta izpratnē, ja nav konstatēta šim tīšajam noziedzīgam nodarījumam nepieciešamā vainas forma</w:t>
      </w:r>
      <w:r>
        <w:t>.</w:t>
      </w:r>
    </w:p>
    <w:p w14:paraId="4B376D63" w14:textId="77777777" w:rsidR="00AE6FE4" w:rsidRDefault="00AE6FE4" w:rsidP="00AE6FE4">
      <w:pPr>
        <w:pStyle w:val="ListParagraph"/>
        <w:spacing w:line="276" w:lineRule="auto"/>
        <w:ind w:left="0"/>
        <w:jc w:val="both"/>
      </w:pPr>
    </w:p>
    <w:p w14:paraId="096279F2" w14:textId="06877619" w:rsidR="00722E25" w:rsidRPr="00550057" w:rsidRDefault="00722E25" w:rsidP="00AE6FE4">
      <w:pPr>
        <w:pStyle w:val="ListParagraph"/>
        <w:spacing w:after="0" w:line="276" w:lineRule="auto"/>
        <w:ind w:left="0"/>
        <w:jc w:val="center"/>
        <w:rPr>
          <w:b/>
          <w:bCs/>
        </w:rPr>
      </w:pPr>
      <w:r w:rsidRPr="00550057">
        <w:rPr>
          <w:b/>
          <w:bCs/>
        </w:rPr>
        <w:t>Latvijas Republikas Senāt</w:t>
      </w:r>
      <w:r w:rsidR="00550057" w:rsidRPr="00550057">
        <w:rPr>
          <w:b/>
          <w:bCs/>
        </w:rPr>
        <w:t>a</w:t>
      </w:r>
    </w:p>
    <w:p w14:paraId="2E1BC68D" w14:textId="44D80815" w:rsidR="00550057" w:rsidRPr="00550057" w:rsidRDefault="00550057" w:rsidP="00AE6FE4">
      <w:pPr>
        <w:widowControl w:val="0"/>
        <w:spacing w:after="0" w:line="276" w:lineRule="auto"/>
        <w:jc w:val="center"/>
        <w:rPr>
          <w:b/>
          <w:bCs/>
        </w:rPr>
      </w:pPr>
      <w:r w:rsidRPr="00550057">
        <w:rPr>
          <w:b/>
          <w:bCs/>
        </w:rPr>
        <w:t>Krimināllietu departament</w:t>
      </w:r>
      <w:r>
        <w:rPr>
          <w:b/>
          <w:bCs/>
        </w:rPr>
        <w:t>a</w:t>
      </w:r>
    </w:p>
    <w:p w14:paraId="6A0FAD8B" w14:textId="33D4FD21" w:rsidR="00550057" w:rsidRPr="00550057" w:rsidRDefault="00550057" w:rsidP="00550057">
      <w:pPr>
        <w:widowControl w:val="0"/>
        <w:spacing w:after="0" w:line="276" w:lineRule="auto"/>
        <w:jc w:val="center"/>
        <w:rPr>
          <w:b/>
          <w:bCs/>
        </w:rPr>
      </w:pPr>
      <w:r w:rsidRPr="00550057">
        <w:rPr>
          <w:b/>
          <w:bCs/>
        </w:rPr>
        <w:t xml:space="preserve">2026. gada </w:t>
      </w:r>
      <w:r>
        <w:rPr>
          <w:b/>
          <w:bCs/>
        </w:rPr>
        <w:t>[..]</w:t>
      </w:r>
    </w:p>
    <w:p w14:paraId="165EB976" w14:textId="77777777" w:rsidR="00550057" w:rsidRPr="00550057" w:rsidRDefault="00722E25" w:rsidP="00550057">
      <w:pPr>
        <w:widowControl w:val="0"/>
        <w:spacing w:after="0" w:line="276" w:lineRule="auto"/>
        <w:jc w:val="center"/>
        <w:rPr>
          <w:b/>
          <w:bCs/>
        </w:rPr>
      </w:pPr>
      <w:r w:rsidRPr="00550057">
        <w:rPr>
          <w:b/>
          <w:bCs/>
        </w:rPr>
        <w:t>LĒMUMS</w:t>
      </w:r>
      <w:r w:rsidR="00550057" w:rsidRPr="00550057">
        <w:rPr>
          <w:b/>
          <w:bCs/>
          <w:vertAlign w:val="superscript"/>
        </w:rPr>
        <w:footnoteReference w:id="1"/>
      </w:r>
    </w:p>
    <w:p w14:paraId="34C23066" w14:textId="7837E1AF" w:rsidR="00550057" w:rsidRDefault="00550057" w:rsidP="00550057">
      <w:pPr>
        <w:widowControl w:val="0"/>
        <w:spacing w:after="0" w:line="276" w:lineRule="auto"/>
        <w:jc w:val="center"/>
        <w:rPr>
          <w:b/>
          <w:bCs/>
        </w:rPr>
      </w:pPr>
      <w:r w:rsidRPr="00550057">
        <w:rPr>
          <w:b/>
          <w:bCs/>
        </w:rPr>
        <w:t>Lieta Nr.</w:t>
      </w:r>
      <w:r w:rsidRPr="00AE6FE4">
        <w:rPr>
          <w:b/>
          <w:bCs/>
          <w:lang w:val="de-DE"/>
        </w:rPr>
        <w:t> [..],</w:t>
      </w:r>
      <w:r w:rsidRPr="00550057">
        <w:rPr>
          <w:b/>
          <w:bCs/>
        </w:rPr>
        <w:t xml:space="preserve"> SKK-</w:t>
      </w:r>
      <w:r>
        <w:rPr>
          <w:b/>
          <w:bCs/>
        </w:rPr>
        <w:t>[D]</w:t>
      </w:r>
      <w:r w:rsidRPr="00550057">
        <w:rPr>
          <w:b/>
          <w:bCs/>
        </w:rPr>
        <w:t>/2026</w:t>
      </w:r>
    </w:p>
    <w:p w14:paraId="23810DA6" w14:textId="72913871" w:rsidR="00550057" w:rsidRPr="00AE6FE4" w:rsidRDefault="00E46B48" w:rsidP="00E46B48">
      <w:pPr>
        <w:widowControl w:val="0"/>
        <w:spacing w:after="0" w:line="276" w:lineRule="auto"/>
        <w:jc w:val="center"/>
      </w:pPr>
      <w:r w:rsidRPr="00E46B48">
        <w:t>ECLI:LV:AT:2026:[..]</w:t>
      </w:r>
    </w:p>
    <w:p w14:paraId="40391E5A" w14:textId="77777777" w:rsidR="00722E25" w:rsidRDefault="00722E25" w:rsidP="00722E25">
      <w:pPr>
        <w:widowControl w:val="0"/>
        <w:spacing w:after="0" w:line="276" w:lineRule="auto"/>
        <w:jc w:val="center"/>
      </w:pPr>
    </w:p>
    <w:p w14:paraId="6A4E2EF8" w14:textId="6220FE3E" w:rsidR="00722E25" w:rsidRDefault="00722E25" w:rsidP="00722E25">
      <w:pPr>
        <w:widowControl w:val="0"/>
        <w:spacing w:after="0" w:line="276" w:lineRule="auto"/>
        <w:ind w:firstLine="720"/>
        <w:jc w:val="both"/>
      </w:pPr>
      <w:r>
        <w:t xml:space="preserve">Senāts šādā sastāvā: senatori Māris </w:t>
      </w:r>
      <w:r w:rsidRPr="00B0186B">
        <w:t>Leja,</w:t>
      </w:r>
      <w:r w:rsidR="00B0186B" w:rsidRPr="00B0186B">
        <w:t xml:space="preserve"> Aija Branta</w:t>
      </w:r>
      <w:r w:rsidRPr="00B0186B">
        <w:t>,</w:t>
      </w:r>
      <w:r w:rsidR="00B0186B" w:rsidRPr="00B0186B">
        <w:t xml:space="preserve"> Aivars Uminskis</w:t>
      </w:r>
      <w:r w:rsidR="00FF3A6F">
        <w:t>,</w:t>
      </w:r>
    </w:p>
    <w:p w14:paraId="546CDCD9" w14:textId="77777777" w:rsidR="00722E25" w:rsidRDefault="00722E25" w:rsidP="00722E25">
      <w:pPr>
        <w:widowControl w:val="0"/>
        <w:spacing w:after="0" w:line="276" w:lineRule="auto"/>
        <w:ind w:firstLine="720"/>
        <w:jc w:val="both"/>
      </w:pPr>
    </w:p>
    <w:p w14:paraId="6F615B3A" w14:textId="550A1C7A" w:rsidR="00722E25" w:rsidRDefault="00722E25" w:rsidP="00722E25">
      <w:pPr>
        <w:widowControl w:val="0"/>
        <w:spacing w:after="0" w:line="276" w:lineRule="auto"/>
        <w:ind w:firstLine="720"/>
        <w:jc w:val="both"/>
      </w:pPr>
      <w:r>
        <w:t>iepazinies ar apsūdzētā</w:t>
      </w:r>
      <w:r w:rsidR="002E4E3A">
        <w:t>s</w:t>
      </w:r>
      <w:r>
        <w:t xml:space="preserve"> </w:t>
      </w:r>
      <w:r w:rsidR="00E46B48">
        <w:t>[pers. A]</w:t>
      </w:r>
      <w:r w:rsidR="002E4E3A">
        <w:t xml:space="preserve"> kasācijas sūdzību un </w:t>
      </w:r>
      <w:r w:rsidR="00E46B48">
        <w:t>[..]</w:t>
      </w:r>
      <w:r w:rsidR="002E4E3A">
        <w:t xml:space="preserve"> prokuratūras prokurora </w:t>
      </w:r>
      <w:r w:rsidR="002E4E3A" w:rsidRPr="00F04A96">
        <w:t>U</w:t>
      </w:r>
      <w:r w:rsidR="00F04A96" w:rsidRPr="00F04A96">
        <w:t>lda</w:t>
      </w:r>
      <w:r w:rsidR="002E4E3A" w:rsidRPr="00F04A96">
        <w:t> </w:t>
      </w:r>
      <w:proofErr w:type="spellStart"/>
      <w:r w:rsidR="002E4E3A" w:rsidRPr="00F04A96">
        <w:t>Ser</w:t>
      </w:r>
      <w:r w:rsidR="00F04A96" w:rsidRPr="00F04A96">
        <w:t>p</w:t>
      </w:r>
      <w:r w:rsidR="002E4E3A" w:rsidRPr="00F04A96">
        <w:t>āna</w:t>
      </w:r>
      <w:proofErr w:type="spellEnd"/>
      <w:r w:rsidR="002E4E3A" w:rsidRPr="00F04A96">
        <w:t xml:space="preserve"> </w:t>
      </w:r>
      <w:r>
        <w:t xml:space="preserve">kasācijas </w:t>
      </w:r>
      <w:r w:rsidR="002E4E3A">
        <w:t>protestu</w:t>
      </w:r>
      <w:r>
        <w:t xml:space="preserve"> par </w:t>
      </w:r>
      <w:r w:rsidR="00E46B48">
        <w:t>[..]</w:t>
      </w:r>
      <w:r>
        <w:t xml:space="preserve"> apgabaltiesas 202</w:t>
      </w:r>
      <w:r w:rsidR="002E4E3A">
        <w:t>6</w:t>
      </w:r>
      <w:r>
        <w:t xml:space="preserve">. gada </w:t>
      </w:r>
      <w:r w:rsidR="00E46B48">
        <w:t>[..]</w:t>
      </w:r>
      <w:r>
        <w:t xml:space="preserve"> spriedumu, atzīst, ka ir pamats atteikt ierosināt kasācijas tiesvedību.</w:t>
      </w:r>
    </w:p>
    <w:p w14:paraId="04F5BD94" w14:textId="7FF35AD2" w:rsidR="00722E25" w:rsidRDefault="00722E25" w:rsidP="00722E25">
      <w:pPr>
        <w:widowControl w:val="0"/>
        <w:spacing w:after="0" w:line="276" w:lineRule="auto"/>
        <w:ind w:firstLine="720"/>
        <w:jc w:val="both"/>
      </w:pPr>
      <w:r>
        <w:t>Apsūdzēt</w:t>
      </w:r>
      <w:r w:rsidR="00C5272D">
        <w:t>ā</w:t>
      </w:r>
      <w:r w:rsidR="00F04A96">
        <w:t xml:space="preserve"> </w:t>
      </w:r>
      <w:r w:rsidR="00E46B48">
        <w:t>[pers. A]</w:t>
      </w:r>
      <w:r>
        <w:t xml:space="preserve"> kasācijas sūdzībā lūdz atcelt apelācijas instances tiesas spriedumu </w:t>
      </w:r>
      <w:r w:rsidR="007E7A0B">
        <w:t xml:space="preserve">daļā par viņas atzīšanu par vainīgu Krimināllikuma 123. panta pirmajā daļā paredzētajā noziedzīgajā nodarījumā </w:t>
      </w:r>
      <w:r>
        <w:t xml:space="preserve">un </w:t>
      </w:r>
      <w:r w:rsidR="007E7A0B">
        <w:t xml:space="preserve">kriminālprocesu šajā daļā </w:t>
      </w:r>
      <w:r w:rsidR="00C5272D">
        <w:t>izbeigt.</w:t>
      </w:r>
    </w:p>
    <w:p w14:paraId="76BC2770" w14:textId="1F12620B" w:rsidR="00E33CD4" w:rsidRDefault="0049192F" w:rsidP="00E33CD4">
      <w:pPr>
        <w:widowControl w:val="0"/>
        <w:spacing w:after="0" w:line="276" w:lineRule="auto"/>
        <w:ind w:firstLine="720"/>
        <w:jc w:val="both"/>
      </w:pPr>
      <w:r w:rsidRPr="00E33CD4">
        <w:t xml:space="preserve">Pamatojot kasācijas sūdzībā izteikto lūgumu, apsūdzētā norādījusi, ka apelācijas instances tiesa viņu nepamatoti atzinusi par vainīgu </w:t>
      </w:r>
      <w:r w:rsidR="007E7A0B">
        <w:t xml:space="preserve">nonāvēšanā </w:t>
      </w:r>
      <w:r w:rsidR="00FB0ED7">
        <w:t>aiz neuzmanības</w:t>
      </w:r>
      <w:r w:rsidRPr="00E33CD4">
        <w:t>, jo</w:t>
      </w:r>
      <w:r w:rsidR="00737811">
        <w:t xml:space="preserve">, </w:t>
      </w:r>
      <w:r w:rsidRPr="00E33CD4">
        <w:t xml:space="preserve">nepareizi </w:t>
      </w:r>
      <w:r w:rsidR="00737811" w:rsidRPr="00E33CD4">
        <w:t>piemēroj</w:t>
      </w:r>
      <w:r w:rsidR="00737811">
        <w:t>ot</w:t>
      </w:r>
      <w:r w:rsidR="00737811" w:rsidRPr="00E33CD4">
        <w:t xml:space="preserve"> </w:t>
      </w:r>
      <w:r w:rsidRPr="00E33CD4">
        <w:t>Krimināllikuma 10.</w:t>
      </w:r>
      <w:r w:rsidR="00F04A96" w:rsidRPr="00E33CD4">
        <w:t> </w:t>
      </w:r>
      <w:r w:rsidRPr="00E33CD4">
        <w:t xml:space="preserve">panta trešo daļu, </w:t>
      </w:r>
      <w:r w:rsidR="00737811">
        <w:t>kļūdaini</w:t>
      </w:r>
      <w:r w:rsidR="00737811" w:rsidRPr="00E33CD4">
        <w:t xml:space="preserve"> </w:t>
      </w:r>
      <w:r w:rsidR="00E33CD4" w:rsidRPr="00E33CD4">
        <w:t>secin</w:t>
      </w:r>
      <w:r w:rsidR="00737811">
        <w:t>ājusi</w:t>
      </w:r>
      <w:r w:rsidR="00E33CD4" w:rsidRPr="00E33CD4">
        <w:t xml:space="preserve">, ka apsūdzētā varēja paredzēt </w:t>
      </w:r>
      <w:r w:rsidR="00737811" w:rsidRPr="00E33CD4">
        <w:t>kaitīg</w:t>
      </w:r>
      <w:r w:rsidR="00737811">
        <w:t>o</w:t>
      </w:r>
      <w:r w:rsidR="00737811" w:rsidRPr="00E33CD4">
        <w:t xml:space="preserve"> sek</w:t>
      </w:r>
      <w:r w:rsidR="00737811">
        <w:t>u iestāšanos</w:t>
      </w:r>
      <w:r w:rsidR="00E33CD4" w:rsidRPr="00E33CD4">
        <w:t>.</w:t>
      </w:r>
    </w:p>
    <w:p w14:paraId="5529779F" w14:textId="18AC2614" w:rsidR="00E33CD4" w:rsidRDefault="00CC7051" w:rsidP="00790FB3">
      <w:pPr>
        <w:widowControl w:val="0"/>
        <w:spacing w:after="0" w:line="276" w:lineRule="auto"/>
        <w:ind w:firstLine="720"/>
        <w:jc w:val="both"/>
      </w:pPr>
      <w:r w:rsidRPr="00CC7051">
        <w:t>Tiesa nav ņēmusi vērā, ka apsūdzētās pārliecība par bērna drošību balstījās ilgstošā pieredzē, ko apstiprina</w:t>
      </w:r>
      <w:r w:rsidR="0049192F">
        <w:t xml:space="preserve"> </w:t>
      </w:r>
      <w:r w:rsidRPr="00CC7051">
        <w:t>liecinieku liecīb</w:t>
      </w:r>
      <w:r w:rsidR="0049192F">
        <w:t>a</w:t>
      </w:r>
      <w:r w:rsidRPr="00CC7051">
        <w:t>s</w:t>
      </w:r>
      <w:r>
        <w:t>, proti,</w:t>
      </w:r>
      <w:r w:rsidRPr="00CC7051">
        <w:t xml:space="preserve"> bērns </w:t>
      </w:r>
      <w:r w:rsidR="00E33CD4">
        <w:t xml:space="preserve">iepriekš </w:t>
      </w:r>
      <w:r w:rsidRPr="00CC7051">
        <w:t xml:space="preserve">neprata atvērt durvis. Tādēļ apsūdzētā </w:t>
      </w:r>
      <w:r w:rsidR="00E33CD4">
        <w:t>ne</w:t>
      </w:r>
      <w:r w:rsidRPr="00CC7051">
        <w:t>varēja paredzēt</w:t>
      </w:r>
      <w:r w:rsidR="00737811">
        <w:t>, ka bērns</w:t>
      </w:r>
      <w:r w:rsidRPr="00CC7051">
        <w:t xml:space="preserve"> </w:t>
      </w:r>
      <w:r w:rsidR="00737811">
        <w:t xml:space="preserve">sev </w:t>
      </w:r>
      <w:r w:rsidRPr="00CC7051">
        <w:rPr>
          <w:color w:val="000000"/>
        </w:rPr>
        <w:t xml:space="preserve">nepazīstamā vidē </w:t>
      </w:r>
      <w:r w:rsidR="00E33CD4">
        <w:rPr>
          <w:color w:val="000000"/>
        </w:rPr>
        <w:t xml:space="preserve">– </w:t>
      </w:r>
      <w:r w:rsidRPr="00CC7051">
        <w:rPr>
          <w:color w:val="000000"/>
        </w:rPr>
        <w:t>viesu namā</w:t>
      </w:r>
      <w:r w:rsidR="00737811">
        <w:rPr>
          <w:color w:val="000000"/>
        </w:rPr>
        <w:t xml:space="preserve"> – rīkosies neierasti</w:t>
      </w:r>
      <w:r w:rsidR="00E33CD4">
        <w:rPr>
          <w:color w:val="000000"/>
        </w:rPr>
        <w:t xml:space="preserve">, proti, </w:t>
      </w:r>
      <w:r w:rsidR="00E33CD4" w:rsidRPr="00E33CD4">
        <w:t xml:space="preserve">izies ārpus ēkas un </w:t>
      </w:r>
      <w:r w:rsidR="00737811">
        <w:t>dosies uz tuvējo dīķi</w:t>
      </w:r>
      <w:r w:rsidR="00E33CD4" w:rsidRPr="00E33CD4">
        <w:t xml:space="preserve">. </w:t>
      </w:r>
    </w:p>
    <w:p w14:paraId="69841A19" w14:textId="3AF23CB2" w:rsidR="00E33CD4" w:rsidRDefault="00E33CD4" w:rsidP="00E33CD4">
      <w:pPr>
        <w:widowControl w:val="0"/>
        <w:spacing w:after="0" w:line="276" w:lineRule="auto"/>
        <w:ind w:firstLine="720"/>
        <w:jc w:val="both"/>
      </w:pPr>
      <w:r w:rsidRPr="00E33CD4">
        <w:t>Tiesa nav</w:t>
      </w:r>
      <w:r w:rsidR="00C973FE">
        <w:t xml:space="preserve"> izvērtējusi un</w:t>
      </w:r>
      <w:r w:rsidRPr="00E33CD4">
        <w:t xml:space="preserve"> novērsusi pretrunu starp Valsts probācijas dienesta atzinumu, ka apsūdzētās rīcībai bijis gadījuma raksturs un viņai nepiemīt būtiskas uzvedības vai domāšanas kļūdas, un spriedumā izdarīto secinājumu, ka apsūdzētā</w:t>
      </w:r>
      <w:r w:rsidR="00CC2A01">
        <w:t xml:space="preserve"> </w:t>
      </w:r>
      <w:r w:rsidR="00CC2A01" w:rsidRPr="00E33CD4">
        <w:t>varēja paredzēt kaitīgās sekas</w:t>
      </w:r>
      <w:r w:rsidR="00CC2A01">
        <w:t xml:space="preserve"> un tādējādi</w:t>
      </w:r>
      <w:r w:rsidRPr="00E33CD4">
        <w:t xml:space="preserve"> rīkojusies</w:t>
      </w:r>
      <w:r w:rsidR="0040039D">
        <w:t xml:space="preserve"> aiz</w:t>
      </w:r>
      <w:r w:rsidRPr="00E33CD4">
        <w:t xml:space="preserve"> noziedzīgas nevērības</w:t>
      </w:r>
      <w:r w:rsidR="0040039D">
        <w:t>.</w:t>
      </w:r>
      <w:r w:rsidRPr="00E33CD4">
        <w:t xml:space="preserve"> </w:t>
      </w:r>
    </w:p>
    <w:p w14:paraId="10927109" w14:textId="4687744B" w:rsidR="00FB0ED7" w:rsidRPr="00FB0ED7" w:rsidRDefault="00FB0ED7" w:rsidP="00A6649E">
      <w:pPr>
        <w:widowControl w:val="0"/>
        <w:spacing w:after="0" w:line="276" w:lineRule="auto"/>
        <w:ind w:firstLine="720"/>
        <w:jc w:val="both"/>
      </w:pPr>
      <w:r w:rsidRPr="00FB0ED7">
        <w:t xml:space="preserve">Tādējādi tiesa, neizvērtējot </w:t>
      </w:r>
      <w:r>
        <w:t xml:space="preserve">šos </w:t>
      </w:r>
      <w:r w:rsidRPr="00FB0ED7">
        <w:t>apstākļus</w:t>
      </w:r>
      <w:r>
        <w:t xml:space="preserve">, </w:t>
      </w:r>
      <w:r w:rsidRPr="00FB0ED7">
        <w:t>ir pārkāpusi arī Kriminālprocesa likuma 19.</w:t>
      </w:r>
      <w:r>
        <w:t> </w:t>
      </w:r>
      <w:r w:rsidRPr="00FB0ED7">
        <w:t>pant</w:t>
      </w:r>
      <w:r w:rsidR="00790FB3">
        <w:t>a trešo daļu</w:t>
      </w:r>
      <w:r w:rsidRPr="00FB0ED7">
        <w:t>, 128.</w:t>
      </w:r>
      <w:r w:rsidR="00A6649E">
        <w:t> </w:t>
      </w:r>
      <w:r w:rsidRPr="00FB0ED7">
        <w:t>panta trešo daļu un 512.</w:t>
      </w:r>
      <w:r w:rsidR="00A6649E">
        <w:t> </w:t>
      </w:r>
      <w:r w:rsidRPr="00FB0ED7">
        <w:t>pantu.</w:t>
      </w:r>
    </w:p>
    <w:p w14:paraId="158FB4FC" w14:textId="77777777" w:rsidR="00C5272D" w:rsidRDefault="00C5272D" w:rsidP="00722E25">
      <w:pPr>
        <w:widowControl w:val="0"/>
        <w:spacing w:after="0" w:line="276" w:lineRule="auto"/>
        <w:ind w:firstLine="720"/>
        <w:jc w:val="both"/>
      </w:pPr>
      <w:r>
        <w:t>Prokurors kasācijas protestā lūdz atcelt apelācijas instances tiesas spriedumu un nosūtīt lietu jaunai izskatīšanai apelācijas instances tiesai.</w:t>
      </w:r>
    </w:p>
    <w:p w14:paraId="0A37CB96" w14:textId="73EAC4A5" w:rsidR="005B789C" w:rsidRDefault="005B789C" w:rsidP="005B789C">
      <w:pPr>
        <w:widowControl w:val="0"/>
        <w:spacing w:after="0" w:line="276" w:lineRule="auto"/>
        <w:ind w:firstLine="720"/>
        <w:jc w:val="both"/>
      </w:pPr>
      <w:r w:rsidRPr="0049192F">
        <w:t xml:space="preserve">Pamatojot kasācijas </w:t>
      </w:r>
      <w:r w:rsidR="00834D30">
        <w:t>protestā</w:t>
      </w:r>
      <w:r w:rsidR="00834D30" w:rsidRPr="0049192F">
        <w:t xml:space="preserve"> </w:t>
      </w:r>
      <w:r w:rsidRPr="0049192F">
        <w:t xml:space="preserve">izteikto lūgumu, </w:t>
      </w:r>
      <w:r w:rsidRPr="005B789C">
        <w:t>prokurors norādījis, ka tiesa apsūdzēto nepamatoti attaisnojusi pēc Krimināllikuma 174.</w:t>
      </w:r>
      <w:r w:rsidR="00A6649E">
        <w:t> </w:t>
      </w:r>
      <w:r w:rsidRPr="005B789C">
        <w:t>panta otrās daļas.</w:t>
      </w:r>
    </w:p>
    <w:p w14:paraId="2674A821" w14:textId="3E7A0C23" w:rsidR="00FB0ED7" w:rsidRDefault="005B789C" w:rsidP="00FB0ED7">
      <w:pPr>
        <w:widowControl w:val="0"/>
        <w:spacing w:after="0" w:line="276" w:lineRule="auto"/>
        <w:ind w:firstLine="720"/>
        <w:jc w:val="both"/>
      </w:pPr>
      <w:r>
        <w:t>Tiesa nav ņēmusi vērā, ka b</w:t>
      </w:r>
      <w:r w:rsidRPr="005B789C">
        <w:t xml:space="preserve">ērna uzraudzības nenodrošināšana </w:t>
      </w:r>
      <w:r w:rsidR="000E6628">
        <w:t>atzīstama</w:t>
      </w:r>
      <w:r w:rsidRPr="005B789C">
        <w:t xml:space="preserve"> </w:t>
      </w:r>
      <w:r w:rsidR="00FB0ED7">
        <w:t>par</w:t>
      </w:r>
      <w:r w:rsidRPr="005B789C">
        <w:t xml:space="preserve"> vardarbīb</w:t>
      </w:r>
      <w:r w:rsidR="00FB0ED7">
        <w:t>u</w:t>
      </w:r>
      <w:r w:rsidRPr="005B789C">
        <w:t xml:space="preserve"> pret nepilngadīgo </w:t>
      </w:r>
      <w:r w:rsidR="00FB0ED7">
        <w:t xml:space="preserve">šīs normas </w:t>
      </w:r>
      <w:r w:rsidRPr="005B789C">
        <w:t>izpratnē</w:t>
      </w:r>
      <w:r w:rsidR="00021C95">
        <w:t>, ko apstiprina</w:t>
      </w:r>
      <w:r>
        <w:t xml:space="preserve"> arī Senāta 2019.</w:t>
      </w:r>
      <w:r w:rsidR="00A6649E">
        <w:t> </w:t>
      </w:r>
      <w:r>
        <w:t>gada 26. novembra lēmumā lietā Nr. SKK-426/2019</w:t>
      </w:r>
      <w:r w:rsidR="00C973FE">
        <w:t xml:space="preserve"> paustā atziņa</w:t>
      </w:r>
      <w:r>
        <w:t xml:space="preserve">. </w:t>
      </w:r>
    </w:p>
    <w:p w14:paraId="16052A5B" w14:textId="28FAA170" w:rsidR="00D03A03" w:rsidRDefault="00D03A03" w:rsidP="00A6649E">
      <w:pPr>
        <w:widowControl w:val="0"/>
        <w:spacing w:after="0" w:line="276" w:lineRule="auto"/>
        <w:ind w:firstLine="720"/>
        <w:jc w:val="both"/>
      </w:pPr>
      <w:r w:rsidRPr="00D03A03">
        <w:t>Apsūdzētā pieļāvusi noziedzīgu nevērību, jo, atstājot neaizslēgtas viesu nama ārdurvis un nepildot aizbildnes pienākumus, viņai vajadzēja un viņa varēja paredzēt kaitīgo seku iestāšanās iespēju. Minētais, prokurora ieskatā, pamato apsūdzētās saukšanu pie atbildības pēc Krimināllikuma 174.</w:t>
      </w:r>
      <w:r w:rsidR="00A6649E">
        <w:t> </w:t>
      </w:r>
      <w:r w:rsidRPr="00D03A03">
        <w:t>panta otrās daļas</w:t>
      </w:r>
      <w:r w:rsidR="00FB0ED7">
        <w:t>, kas ir uzskatāms par tīšu noziedzīgu nodarījumu.</w:t>
      </w:r>
    </w:p>
    <w:p w14:paraId="0E4B33C4" w14:textId="77777777" w:rsidR="000E6628" w:rsidRPr="00104200" w:rsidRDefault="000E6628" w:rsidP="000E6628">
      <w:pPr>
        <w:widowControl w:val="0"/>
        <w:spacing w:after="0" w:line="276" w:lineRule="auto"/>
        <w:ind w:firstLine="720"/>
        <w:jc w:val="both"/>
      </w:pPr>
      <w:r w:rsidRPr="00104200">
        <w:lastRenderedPageBreak/>
        <w:t>Saskaņā ar Kriminālprocesa likuma 573.</w:t>
      </w:r>
      <w:r w:rsidRPr="00104200">
        <w:rPr>
          <w:vertAlign w:val="superscript"/>
        </w:rPr>
        <w:t>1</w:t>
      </w:r>
      <w:r w:rsidRPr="00104200">
        <w:t> panta pirmo daļu tiesa atsakās ierosināt kasācijas tiesvedību, ja kasācijas sūdzība vai protests neatbilst šā likuma 569., 571., 572. pantā un 573. panta pirmajā daļā minētajām prasībām.</w:t>
      </w:r>
    </w:p>
    <w:p w14:paraId="760DA990" w14:textId="77777777" w:rsidR="000E6628" w:rsidRDefault="000E6628" w:rsidP="000E6628">
      <w:pPr>
        <w:widowControl w:val="0"/>
        <w:spacing w:after="0" w:line="276" w:lineRule="auto"/>
        <w:ind w:firstLine="720"/>
        <w:jc w:val="both"/>
        <w:rPr>
          <w:rFonts w:asciiTheme="majorBidi" w:hAnsiTheme="majorBidi" w:cstheme="majorBidi"/>
        </w:rPr>
      </w:pPr>
      <w:r w:rsidRPr="00104200">
        <w:rPr>
          <w:rFonts w:asciiTheme="majorBidi" w:hAnsiTheme="majorBidi" w:cstheme="majorBidi"/>
        </w:rPr>
        <w:t>Atbilstoši Kriminālprocesa likuma 569. 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Saskaņā ar šī panta trešo daļu kasācijas instances tiesa pierādījumus lietā no jauna neizvērtē.</w:t>
      </w:r>
    </w:p>
    <w:p w14:paraId="1422F411" w14:textId="370EAA45" w:rsidR="00FB0ED7" w:rsidRDefault="00FB0ED7" w:rsidP="00FB0ED7">
      <w:pPr>
        <w:widowControl w:val="0"/>
        <w:spacing w:after="0" w:line="276" w:lineRule="auto"/>
        <w:ind w:firstLine="720"/>
        <w:jc w:val="both"/>
        <w:rPr>
          <w:rFonts w:asciiTheme="majorBidi" w:hAnsiTheme="majorBidi" w:cstheme="majorBidi"/>
        </w:rPr>
      </w:pPr>
      <w:r w:rsidRPr="00FB0ED7">
        <w:rPr>
          <w:rFonts w:asciiTheme="majorBidi" w:hAnsiTheme="majorBidi" w:cstheme="majorBidi"/>
        </w:rPr>
        <w:t xml:space="preserve">Apelācijas instances tiesa </w:t>
      </w:r>
      <w:r w:rsidR="00CC2A01">
        <w:rPr>
          <w:rFonts w:asciiTheme="majorBidi" w:hAnsiTheme="majorBidi" w:cstheme="majorBidi"/>
        </w:rPr>
        <w:t>atcēlusi</w:t>
      </w:r>
      <w:r w:rsidRPr="00FB0ED7">
        <w:rPr>
          <w:rFonts w:asciiTheme="majorBidi" w:hAnsiTheme="majorBidi" w:cstheme="majorBidi"/>
        </w:rPr>
        <w:t xml:space="preserve"> pirmās instances tiesas </w:t>
      </w:r>
      <w:r w:rsidR="00CC2A01" w:rsidRPr="00FB0ED7">
        <w:rPr>
          <w:rFonts w:asciiTheme="majorBidi" w:hAnsiTheme="majorBidi" w:cstheme="majorBidi"/>
        </w:rPr>
        <w:t>spriedum</w:t>
      </w:r>
      <w:r w:rsidR="00CC2A01">
        <w:rPr>
          <w:rFonts w:asciiTheme="majorBidi" w:hAnsiTheme="majorBidi" w:cstheme="majorBidi"/>
        </w:rPr>
        <w:t>u</w:t>
      </w:r>
      <w:r w:rsidR="00CC2A01" w:rsidRPr="00FB0ED7">
        <w:rPr>
          <w:rFonts w:asciiTheme="majorBidi" w:hAnsiTheme="majorBidi" w:cstheme="majorBidi"/>
        </w:rPr>
        <w:t xml:space="preserve"> </w:t>
      </w:r>
      <w:r w:rsidRPr="00FB0ED7">
        <w:rPr>
          <w:rFonts w:asciiTheme="majorBidi" w:hAnsiTheme="majorBidi" w:cstheme="majorBidi"/>
        </w:rPr>
        <w:t xml:space="preserve">un </w:t>
      </w:r>
      <w:r w:rsidR="00CC2A01" w:rsidRPr="00FB0ED7">
        <w:rPr>
          <w:rFonts w:asciiTheme="majorBidi" w:hAnsiTheme="majorBidi" w:cstheme="majorBidi"/>
        </w:rPr>
        <w:t>tais</w:t>
      </w:r>
      <w:r w:rsidR="00CC2A01">
        <w:rPr>
          <w:rFonts w:asciiTheme="majorBidi" w:hAnsiTheme="majorBidi" w:cstheme="majorBidi"/>
        </w:rPr>
        <w:t xml:space="preserve">ījusi </w:t>
      </w:r>
      <w:r w:rsidRPr="00FB0ED7">
        <w:rPr>
          <w:rFonts w:asciiTheme="majorBidi" w:hAnsiTheme="majorBidi" w:cstheme="majorBidi"/>
        </w:rPr>
        <w:t>jaun</w:t>
      </w:r>
      <w:r w:rsidR="00CC2A01">
        <w:rPr>
          <w:rFonts w:asciiTheme="majorBidi" w:hAnsiTheme="majorBidi" w:cstheme="majorBidi"/>
        </w:rPr>
        <w:t>u</w:t>
      </w:r>
      <w:r w:rsidRPr="00FB0ED7">
        <w:rPr>
          <w:rFonts w:asciiTheme="majorBidi" w:hAnsiTheme="majorBidi" w:cstheme="majorBidi"/>
        </w:rPr>
        <w:t xml:space="preserve"> spriedum</w:t>
      </w:r>
      <w:r w:rsidR="00790FB3">
        <w:rPr>
          <w:rFonts w:asciiTheme="majorBidi" w:hAnsiTheme="majorBidi" w:cstheme="majorBidi"/>
        </w:rPr>
        <w:t>u</w:t>
      </w:r>
      <w:r w:rsidRPr="00FB0ED7">
        <w:rPr>
          <w:rFonts w:asciiTheme="majorBidi" w:hAnsiTheme="majorBidi" w:cstheme="majorBidi"/>
        </w:rPr>
        <w:t>, atzīstot</w:t>
      </w:r>
      <w:r w:rsidR="004202AC">
        <w:rPr>
          <w:rFonts w:asciiTheme="majorBidi" w:hAnsiTheme="majorBidi" w:cstheme="majorBidi"/>
        </w:rPr>
        <w:t xml:space="preserve"> apsūdzēto</w:t>
      </w:r>
      <w:r w:rsidRPr="00FB0ED7">
        <w:rPr>
          <w:rFonts w:asciiTheme="majorBidi" w:hAnsiTheme="majorBidi" w:cstheme="majorBidi"/>
        </w:rPr>
        <w:t>: 1)</w:t>
      </w:r>
      <w:r w:rsidR="00CC2A01">
        <w:rPr>
          <w:rFonts w:asciiTheme="majorBidi" w:hAnsiTheme="majorBidi" w:cstheme="majorBidi"/>
        </w:rPr>
        <w:t> </w:t>
      </w:r>
      <w:r w:rsidRPr="00FB0ED7">
        <w:rPr>
          <w:rFonts w:asciiTheme="majorBidi" w:hAnsiTheme="majorBidi" w:cstheme="majorBidi"/>
        </w:rPr>
        <w:t>par vainīgu Krimināllikuma 123.</w:t>
      </w:r>
      <w:r>
        <w:rPr>
          <w:rFonts w:asciiTheme="majorBidi" w:hAnsiTheme="majorBidi" w:cstheme="majorBidi"/>
        </w:rPr>
        <w:t> </w:t>
      </w:r>
      <w:r w:rsidRPr="00FB0ED7">
        <w:rPr>
          <w:rFonts w:asciiTheme="majorBidi" w:hAnsiTheme="majorBidi" w:cstheme="majorBidi"/>
        </w:rPr>
        <w:t>panta pirmajā daļā paredzētā noziedzīgā nodarījuma izdarīšanā un 2)</w:t>
      </w:r>
      <w:r w:rsidR="00A6649E">
        <w:rPr>
          <w:rFonts w:asciiTheme="majorBidi" w:hAnsiTheme="majorBidi" w:cstheme="majorBidi"/>
        </w:rPr>
        <w:t> </w:t>
      </w:r>
      <w:r w:rsidRPr="00FB0ED7">
        <w:rPr>
          <w:rFonts w:asciiTheme="majorBidi" w:hAnsiTheme="majorBidi" w:cstheme="majorBidi"/>
        </w:rPr>
        <w:t>par nevainīgu Krimināllikuma 174.</w:t>
      </w:r>
      <w:r w:rsidR="00A6649E">
        <w:rPr>
          <w:rFonts w:asciiTheme="majorBidi" w:hAnsiTheme="majorBidi" w:cstheme="majorBidi"/>
        </w:rPr>
        <w:t> </w:t>
      </w:r>
      <w:r w:rsidRPr="00FB0ED7">
        <w:rPr>
          <w:rFonts w:asciiTheme="majorBidi" w:hAnsiTheme="majorBidi" w:cstheme="majorBidi"/>
        </w:rPr>
        <w:t>panta otrajā daļā paredzētā noziedzīgā nodarījuma izdarīšanā un šajā daļā attaisnojot.</w:t>
      </w:r>
    </w:p>
    <w:p w14:paraId="282B437E" w14:textId="30FCE6F5" w:rsidR="00245F35" w:rsidRDefault="009B4721" w:rsidP="009B4721">
      <w:pPr>
        <w:widowControl w:val="0"/>
        <w:spacing w:after="0" w:line="276" w:lineRule="auto"/>
        <w:ind w:firstLine="720"/>
        <w:jc w:val="both"/>
        <w:rPr>
          <w:rFonts w:asciiTheme="majorBidi" w:hAnsiTheme="majorBidi" w:cstheme="majorBidi"/>
        </w:rPr>
      </w:pPr>
      <w:r w:rsidRPr="009B4721">
        <w:rPr>
          <w:rFonts w:asciiTheme="majorBidi" w:hAnsiTheme="majorBidi" w:cstheme="majorBidi"/>
        </w:rPr>
        <w:t>Apelācijas instances tiesa atz</w:t>
      </w:r>
      <w:r>
        <w:rPr>
          <w:rFonts w:asciiTheme="majorBidi" w:hAnsiTheme="majorBidi" w:cstheme="majorBidi"/>
        </w:rPr>
        <w:t>inusi</w:t>
      </w:r>
      <w:r w:rsidRPr="009B4721">
        <w:rPr>
          <w:rFonts w:asciiTheme="majorBidi" w:hAnsiTheme="majorBidi" w:cstheme="majorBidi"/>
        </w:rPr>
        <w:t xml:space="preserve">, ka </w:t>
      </w:r>
      <w:r w:rsidR="00CE3BFC">
        <w:rPr>
          <w:rFonts w:asciiTheme="majorBidi" w:hAnsiTheme="majorBidi" w:cstheme="majorBidi"/>
        </w:rPr>
        <w:t>a</w:t>
      </w:r>
      <w:r>
        <w:rPr>
          <w:rFonts w:asciiTheme="majorBidi" w:hAnsiTheme="majorBidi" w:cstheme="majorBidi"/>
        </w:rPr>
        <w:t>psūdzētā</w:t>
      </w:r>
      <w:r w:rsidRPr="009B4721">
        <w:rPr>
          <w:rFonts w:asciiTheme="majorBidi" w:hAnsiTheme="majorBidi" w:cstheme="majorBidi"/>
        </w:rPr>
        <w:t>, būdama mazgadīgā</w:t>
      </w:r>
      <w:r>
        <w:rPr>
          <w:rFonts w:asciiTheme="majorBidi" w:hAnsiTheme="majorBidi" w:cstheme="majorBidi"/>
        </w:rPr>
        <w:t xml:space="preserve"> </w:t>
      </w:r>
      <w:r w:rsidR="00E46B48">
        <w:rPr>
          <w:rFonts w:asciiTheme="majorBidi" w:hAnsiTheme="majorBidi" w:cstheme="majorBidi"/>
        </w:rPr>
        <w:t>[pers. B]</w:t>
      </w:r>
      <w:r w:rsidRPr="009B4721">
        <w:rPr>
          <w:rFonts w:asciiTheme="majorBidi" w:hAnsiTheme="majorBidi" w:cstheme="majorBidi"/>
        </w:rPr>
        <w:t xml:space="preserve"> aizbildne, apzinotie</w:t>
      </w:r>
      <w:r w:rsidR="00FE6D5B">
        <w:rPr>
          <w:rFonts w:asciiTheme="majorBidi" w:hAnsiTheme="majorBidi" w:cstheme="majorBidi"/>
        </w:rPr>
        <w:t>s, ka</w:t>
      </w:r>
      <w:r w:rsidRPr="009B4721">
        <w:rPr>
          <w:rFonts w:asciiTheme="majorBidi" w:hAnsiTheme="majorBidi" w:cstheme="majorBidi"/>
        </w:rPr>
        <w:t xml:space="preserve"> veselības problēm</w:t>
      </w:r>
      <w:r w:rsidR="00FE6D5B">
        <w:rPr>
          <w:rFonts w:asciiTheme="majorBidi" w:hAnsiTheme="majorBidi" w:cstheme="majorBidi"/>
        </w:rPr>
        <w:t>u dēļ viņš ir uzraugāms 24 stundas diennaktī</w:t>
      </w:r>
      <w:r w:rsidRPr="009B4721">
        <w:rPr>
          <w:rFonts w:asciiTheme="majorBidi" w:hAnsiTheme="majorBidi" w:cstheme="majorBidi"/>
        </w:rPr>
        <w:t xml:space="preserve">, nenodrošināja </w:t>
      </w:r>
      <w:r w:rsidR="00CE3BFC">
        <w:rPr>
          <w:rFonts w:asciiTheme="majorBidi" w:hAnsiTheme="majorBidi" w:cstheme="majorBidi"/>
        </w:rPr>
        <w:t>bērnam</w:t>
      </w:r>
      <w:r w:rsidRPr="009B4721">
        <w:rPr>
          <w:rFonts w:asciiTheme="majorBidi" w:hAnsiTheme="majorBidi" w:cstheme="majorBidi"/>
        </w:rPr>
        <w:t xml:space="preserve"> drošu vidi</w:t>
      </w:r>
      <w:r>
        <w:rPr>
          <w:rFonts w:asciiTheme="majorBidi" w:hAnsiTheme="majorBidi" w:cstheme="majorBidi"/>
        </w:rPr>
        <w:t xml:space="preserve"> un</w:t>
      </w:r>
      <w:r w:rsidRPr="009B4721">
        <w:rPr>
          <w:rFonts w:asciiTheme="majorBidi" w:hAnsiTheme="majorBidi" w:cstheme="majorBidi"/>
        </w:rPr>
        <w:t xml:space="preserve"> </w:t>
      </w:r>
      <w:r w:rsidR="00FE6D5B">
        <w:rPr>
          <w:rFonts w:asciiTheme="majorBidi" w:hAnsiTheme="majorBidi" w:cstheme="majorBidi"/>
        </w:rPr>
        <w:t xml:space="preserve">aptuveni pusstundu </w:t>
      </w:r>
      <w:r w:rsidRPr="009B4721">
        <w:rPr>
          <w:rFonts w:asciiTheme="majorBidi" w:hAnsiTheme="majorBidi" w:cstheme="majorBidi"/>
        </w:rPr>
        <w:t>atstāja viņu bez</w:t>
      </w:r>
      <w:r>
        <w:rPr>
          <w:rFonts w:asciiTheme="majorBidi" w:hAnsiTheme="majorBidi" w:cstheme="majorBidi"/>
        </w:rPr>
        <w:t xml:space="preserve"> </w:t>
      </w:r>
      <w:r w:rsidRPr="009B4721">
        <w:rPr>
          <w:rFonts w:asciiTheme="majorBidi" w:hAnsiTheme="majorBidi" w:cstheme="majorBidi"/>
        </w:rPr>
        <w:t>uzraudzības</w:t>
      </w:r>
      <w:r>
        <w:rPr>
          <w:rFonts w:asciiTheme="majorBidi" w:hAnsiTheme="majorBidi" w:cstheme="majorBidi"/>
        </w:rPr>
        <w:t>. Tā</w:t>
      </w:r>
      <w:r w:rsidRPr="009B4721">
        <w:rPr>
          <w:rFonts w:asciiTheme="majorBidi" w:hAnsiTheme="majorBidi" w:cstheme="majorBidi"/>
        </w:rPr>
        <w:t xml:space="preserve"> rezultātā </w:t>
      </w:r>
      <w:r w:rsidR="00E46B48">
        <w:rPr>
          <w:rFonts w:asciiTheme="majorBidi" w:hAnsiTheme="majorBidi" w:cstheme="majorBidi"/>
        </w:rPr>
        <w:t>[pers. B]</w:t>
      </w:r>
      <w:r w:rsidRPr="009B4721">
        <w:rPr>
          <w:rFonts w:asciiTheme="majorBidi" w:hAnsiTheme="majorBidi" w:cstheme="majorBidi"/>
        </w:rPr>
        <w:t xml:space="preserve"> nepamanīts iz</w:t>
      </w:r>
      <w:r w:rsidR="00CE3BFC">
        <w:rPr>
          <w:rFonts w:asciiTheme="majorBidi" w:hAnsiTheme="majorBidi" w:cstheme="majorBidi"/>
        </w:rPr>
        <w:t>gāja</w:t>
      </w:r>
      <w:r w:rsidRPr="009B4721">
        <w:rPr>
          <w:rFonts w:asciiTheme="majorBidi" w:hAnsiTheme="majorBidi" w:cstheme="majorBidi"/>
        </w:rPr>
        <w:t xml:space="preserve"> no viesu nama telpām, iebrida dīķī,</w:t>
      </w:r>
      <w:r>
        <w:rPr>
          <w:rFonts w:asciiTheme="majorBidi" w:hAnsiTheme="majorBidi" w:cstheme="majorBidi"/>
        </w:rPr>
        <w:t xml:space="preserve"> </w:t>
      </w:r>
      <w:r w:rsidRPr="009B4721">
        <w:rPr>
          <w:rFonts w:asciiTheme="majorBidi" w:hAnsiTheme="majorBidi" w:cstheme="majorBidi"/>
        </w:rPr>
        <w:t>staigāja pa to</w:t>
      </w:r>
      <w:r>
        <w:rPr>
          <w:rFonts w:asciiTheme="majorBidi" w:hAnsiTheme="majorBidi" w:cstheme="majorBidi"/>
        </w:rPr>
        <w:t xml:space="preserve"> un</w:t>
      </w:r>
      <w:r w:rsidRPr="009B4721">
        <w:rPr>
          <w:rFonts w:asciiTheme="majorBidi" w:hAnsiTheme="majorBidi" w:cstheme="majorBidi"/>
        </w:rPr>
        <w:t xml:space="preserve"> noslīka.</w:t>
      </w:r>
    </w:p>
    <w:p w14:paraId="7B3AC342" w14:textId="538F964D" w:rsidR="00CE3BFC" w:rsidRDefault="00CE3BFC" w:rsidP="00CE3BFC">
      <w:pPr>
        <w:widowControl w:val="0"/>
        <w:spacing w:after="0" w:line="276" w:lineRule="auto"/>
        <w:ind w:firstLine="720"/>
        <w:jc w:val="both"/>
        <w:rPr>
          <w:rFonts w:asciiTheme="majorBidi" w:hAnsiTheme="majorBidi" w:cstheme="majorBidi"/>
        </w:rPr>
      </w:pPr>
      <w:r>
        <w:rPr>
          <w:rFonts w:asciiTheme="majorBidi" w:hAnsiTheme="majorBidi" w:cstheme="majorBidi"/>
        </w:rPr>
        <w:t>A</w:t>
      </w:r>
      <w:r w:rsidRPr="00245F35">
        <w:rPr>
          <w:rFonts w:asciiTheme="majorBidi" w:hAnsiTheme="majorBidi" w:cstheme="majorBidi"/>
        </w:rPr>
        <w:t>pelācijas instances tiesa konstatē</w:t>
      </w:r>
      <w:r>
        <w:rPr>
          <w:rFonts w:asciiTheme="majorBidi" w:hAnsiTheme="majorBidi" w:cstheme="majorBidi"/>
        </w:rPr>
        <w:t>jusi</w:t>
      </w:r>
      <w:r w:rsidRPr="00245F35">
        <w:rPr>
          <w:rFonts w:asciiTheme="majorBidi" w:hAnsiTheme="majorBidi" w:cstheme="majorBidi"/>
        </w:rPr>
        <w:t>, ka apsūdzētās darbības pareizi</w:t>
      </w:r>
      <w:r>
        <w:rPr>
          <w:rFonts w:asciiTheme="majorBidi" w:hAnsiTheme="majorBidi" w:cstheme="majorBidi"/>
        </w:rPr>
        <w:t xml:space="preserve"> </w:t>
      </w:r>
      <w:r w:rsidRPr="00245F35">
        <w:rPr>
          <w:rFonts w:asciiTheme="majorBidi" w:hAnsiTheme="majorBidi" w:cstheme="majorBidi"/>
        </w:rPr>
        <w:t>kvalificētas pēc Krimināllikuma 123.</w:t>
      </w:r>
      <w:r>
        <w:rPr>
          <w:rFonts w:asciiTheme="majorBidi" w:hAnsiTheme="majorBidi" w:cstheme="majorBidi"/>
        </w:rPr>
        <w:t> </w:t>
      </w:r>
      <w:r w:rsidRPr="00245F35">
        <w:rPr>
          <w:rFonts w:asciiTheme="majorBidi" w:hAnsiTheme="majorBidi" w:cstheme="majorBidi"/>
        </w:rPr>
        <w:t xml:space="preserve">panta pirmās daļas un viņas </w:t>
      </w:r>
      <w:r w:rsidR="00021C95" w:rsidRPr="00245F35">
        <w:rPr>
          <w:rFonts w:asciiTheme="majorBidi" w:hAnsiTheme="majorBidi" w:cstheme="majorBidi"/>
        </w:rPr>
        <w:t>vain</w:t>
      </w:r>
      <w:r w:rsidR="00021C95">
        <w:rPr>
          <w:rFonts w:asciiTheme="majorBidi" w:hAnsiTheme="majorBidi" w:cstheme="majorBidi"/>
        </w:rPr>
        <w:t>īgums minētā noziedzīgā nodarījuma izdarīšanā</w:t>
      </w:r>
      <w:r w:rsidR="00021C95" w:rsidRPr="00245F35">
        <w:rPr>
          <w:rFonts w:asciiTheme="majorBidi" w:hAnsiTheme="majorBidi" w:cstheme="majorBidi"/>
        </w:rPr>
        <w:t xml:space="preserve"> pierādīt</w:t>
      </w:r>
      <w:r w:rsidR="00021C95">
        <w:rPr>
          <w:rFonts w:asciiTheme="majorBidi" w:hAnsiTheme="majorBidi" w:cstheme="majorBidi"/>
        </w:rPr>
        <w:t>s ārpus saprātīgām šaubām</w:t>
      </w:r>
      <w:r w:rsidR="00021C95" w:rsidRPr="00245F35">
        <w:rPr>
          <w:rFonts w:asciiTheme="majorBidi" w:hAnsiTheme="majorBidi" w:cstheme="majorBidi"/>
        </w:rPr>
        <w:t xml:space="preserve"> </w:t>
      </w:r>
      <w:r w:rsidRPr="00245F35">
        <w:rPr>
          <w:rFonts w:asciiTheme="majorBidi" w:hAnsiTheme="majorBidi" w:cstheme="majorBidi"/>
        </w:rPr>
        <w:t xml:space="preserve">ar liecinieces </w:t>
      </w:r>
      <w:r w:rsidR="00E46B48">
        <w:rPr>
          <w:rFonts w:asciiTheme="majorBidi" w:hAnsiTheme="majorBidi" w:cstheme="majorBidi"/>
        </w:rPr>
        <w:t>[pers. C]</w:t>
      </w:r>
      <w:r w:rsidRPr="00245F35">
        <w:rPr>
          <w:rFonts w:asciiTheme="majorBidi" w:hAnsiTheme="majorBidi" w:cstheme="majorBidi"/>
        </w:rPr>
        <w:t xml:space="preserve"> liecībās, videonovērošanas</w:t>
      </w:r>
      <w:r>
        <w:rPr>
          <w:rFonts w:asciiTheme="majorBidi" w:hAnsiTheme="majorBidi" w:cstheme="majorBidi"/>
        </w:rPr>
        <w:t xml:space="preserve"> kameru ierakstos </w:t>
      </w:r>
      <w:r w:rsidRPr="00245F35">
        <w:rPr>
          <w:rFonts w:asciiTheme="majorBidi" w:hAnsiTheme="majorBidi" w:cstheme="majorBidi"/>
        </w:rPr>
        <w:t>un rakstveida pierādījumos</w:t>
      </w:r>
      <w:r>
        <w:rPr>
          <w:rFonts w:asciiTheme="majorBidi" w:hAnsiTheme="majorBidi" w:cstheme="majorBidi"/>
        </w:rPr>
        <w:t xml:space="preserve"> </w:t>
      </w:r>
      <w:r w:rsidRPr="00245F35">
        <w:rPr>
          <w:rFonts w:asciiTheme="majorBidi" w:hAnsiTheme="majorBidi" w:cstheme="majorBidi"/>
        </w:rPr>
        <w:t>norādītajām ziņām</w:t>
      </w:r>
      <w:r>
        <w:rPr>
          <w:rFonts w:asciiTheme="majorBidi" w:hAnsiTheme="majorBidi" w:cstheme="majorBidi"/>
        </w:rPr>
        <w:t>.</w:t>
      </w:r>
    </w:p>
    <w:p w14:paraId="54176E63" w14:textId="1F554FF9" w:rsidR="00446BCA" w:rsidRDefault="009B4721" w:rsidP="00446BCA">
      <w:pPr>
        <w:widowControl w:val="0"/>
        <w:spacing w:after="0" w:line="276" w:lineRule="auto"/>
        <w:ind w:firstLine="720"/>
        <w:jc w:val="both"/>
        <w:rPr>
          <w:rFonts w:asciiTheme="majorBidi" w:hAnsiTheme="majorBidi" w:cstheme="majorBidi"/>
        </w:rPr>
      </w:pPr>
      <w:r>
        <w:rPr>
          <w:rFonts w:asciiTheme="majorBidi" w:hAnsiTheme="majorBidi" w:cstheme="majorBidi"/>
        </w:rPr>
        <w:t xml:space="preserve">Izvērtējusi </w:t>
      </w:r>
      <w:r w:rsidR="00CE3BFC">
        <w:rPr>
          <w:rFonts w:asciiTheme="majorBidi" w:hAnsiTheme="majorBidi" w:cstheme="majorBidi"/>
        </w:rPr>
        <w:t xml:space="preserve">viesu nama </w:t>
      </w:r>
      <w:r w:rsidRPr="009B4721">
        <w:rPr>
          <w:rFonts w:asciiTheme="majorBidi" w:hAnsiTheme="majorBidi" w:cstheme="majorBidi"/>
        </w:rPr>
        <w:t>video</w:t>
      </w:r>
      <w:r w:rsidR="00CE3BFC">
        <w:rPr>
          <w:rFonts w:asciiTheme="majorBidi" w:hAnsiTheme="majorBidi" w:cstheme="majorBidi"/>
        </w:rPr>
        <w:t xml:space="preserve">novērošanas kameru </w:t>
      </w:r>
      <w:r w:rsidRPr="009B4721">
        <w:rPr>
          <w:rFonts w:asciiTheme="majorBidi" w:hAnsiTheme="majorBidi" w:cstheme="majorBidi"/>
        </w:rPr>
        <w:t>ierakst</w:t>
      </w:r>
      <w:r w:rsidR="00FE6D5B">
        <w:rPr>
          <w:rFonts w:asciiTheme="majorBidi" w:hAnsiTheme="majorBidi" w:cstheme="majorBidi"/>
        </w:rPr>
        <w:t>us,</w:t>
      </w:r>
      <w:r w:rsidRPr="009B4721">
        <w:rPr>
          <w:rFonts w:asciiTheme="majorBidi" w:hAnsiTheme="majorBidi" w:cstheme="majorBidi"/>
        </w:rPr>
        <w:t xml:space="preserve"> </w:t>
      </w:r>
      <w:r>
        <w:rPr>
          <w:rFonts w:asciiTheme="majorBidi" w:hAnsiTheme="majorBidi" w:cstheme="majorBidi"/>
        </w:rPr>
        <w:t>tiesa secinājusi</w:t>
      </w:r>
      <w:r w:rsidRPr="009B4721">
        <w:rPr>
          <w:rFonts w:asciiTheme="majorBidi" w:hAnsiTheme="majorBidi" w:cstheme="majorBidi"/>
        </w:rPr>
        <w:t>, ka no</w:t>
      </w:r>
      <w:r w:rsidR="00A6649E">
        <w:rPr>
          <w:rFonts w:asciiTheme="majorBidi" w:hAnsiTheme="majorBidi" w:cstheme="majorBidi"/>
        </w:rPr>
        <w:t xml:space="preserve"> </w:t>
      </w:r>
      <w:r>
        <w:rPr>
          <w:rFonts w:asciiTheme="majorBidi" w:hAnsiTheme="majorBidi" w:cstheme="majorBidi"/>
        </w:rPr>
        <w:t xml:space="preserve">brīža, kad </w:t>
      </w:r>
      <w:r w:rsidR="00E46B48">
        <w:rPr>
          <w:rFonts w:asciiTheme="majorBidi" w:hAnsiTheme="majorBidi" w:cstheme="majorBidi"/>
        </w:rPr>
        <w:t>[pers. B]</w:t>
      </w:r>
      <w:r w:rsidRPr="009B4721">
        <w:rPr>
          <w:rFonts w:asciiTheme="majorBidi" w:hAnsiTheme="majorBidi" w:cstheme="majorBidi"/>
        </w:rPr>
        <w:t xml:space="preserve"> izskr</w:t>
      </w:r>
      <w:r>
        <w:rPr>
          <w:rFonts w:asciiTheme="majorBidi" w:hAnsiTheme="majorBidi" w:cstheme="majorBidi"/>
        </w:rPr>
        <w:t>ējis</w:t>
      </w:r>
      <w:r w:rsidRPr="009B4721">
        <w:rPr>
          <w:rFonts w:asciiTheme="majorBidi" w:hAnsiTheme="majorBidi" w:cstheme="majorBidi"/>
        </w:rPr>
        <w:t xml:space="preserve"> no viesu </w:t>
      </w:r>
      <w:r w:rsidR="00561431">
        <w:rPr>
          <w:rFonts w:asciiTheme="majorBidi" w:hAnsiTheme="majorBidi" w:cstheme="majorBidi"/>
        </w:rPr>
        <w:t>nama</w:t>
      </w:r>
      <w:r w:rsidR="004202AC">
        <w:rPr>
          <w:rFonts w:asciiTheme="majorBidi" w:hAnsiTheme="majorBidi" w:cstheme="majorBidi"/>
        </w:rPr>
        <w:t>,</w:t>
      </w:r>
      <w:r w:rsidRPr="009B4721">
        <w:rPr>
          <w:rFonts w:asciiTheme="majorBidi" w:hAnsiTheme="majorBidi" w:cstheme="majorBidi"/>
        </w:rPr>
        <w:t xml:space="preserve"> līdz noslīkšana</w:t>
      </w:r>
      <w:r w:rsidR="00CE3BFC">
        <w:rPr>
          <w:rFonts w:asciiTheme="majorBidi" w:hAnsiTheme="majorBidi" w:cstheme="majorBidi"/>
        </w:rPr>
        <w:t>i</w:t>
      </w:r>
      <w:r w:rsidRPr="009B4721">
        <w:rPr>
          <w:rFonts w:asciiTheme="majorBidi" w:hAnsiTheme="majorBidi" w:cstheme="majorBidi"/>
        </w:rPr>
        <w:t xml:space="preserve"> pagāj</w:t>
      </w:r>
      <w:r w:rsidR="00CE3BFC">
        <w:rPr>
          <w:rFonts w:asciiTheme="majorBidi" w:hAnsiTheme="majorBidi" w:cstheme="majorBidi"/>
        </w:rPr>
        <w:t>a</w:t>
      </w:r>
      <w:r w:rsidRPr="009B4721">
        <w:rPr>
          <w:rFonts w:asciiTheme="majorBidi" w:hAnsiTheme="majorBidi" w:cstheme="majorBidi"/>
        </w:rPr>
        <w:t xml:space="preserve"> aptuveni 14 minūtes,</w:t>
      </w:r>
      <w:r w:rsidR="00FE6D5B">
        <w:rPr>
          <w:rFonts w:asciiTheme="majorBidi" w:hAnsiTheme="majorBidi" w:cstheme="majorBidi"/>
        </w:rPr>
        <w:t xml:space="preserve"> </w:t>
      </w:r>
      <w:r w:rsidRPr="009B4721">
        <w:rPr>
          <w:rFonts w:asciiTheme="majorBidi" w:hAnsiTheme="majorBidi" w:cstheme="majorBidi"/>
        </w:rPr>
        <w:t>savukārt līdz viņa atrašanas brīdim</w:t>
      </w:r>
      <w:r w:rsidR="00FE6D5B">
        <w:rPr>
          <w:rFonts w:asciiTheme="majorBidi" w:hAnsiTheme="majorBidi" w:cstheme="majorBidi"/>
        </w:rPr>
        <w:t xml:space="preserve"> </w:t>
      </w:r>
      <w:r w:rsidRPr="009B4721">
        <w:rPr>
          <w:rFonts w:asciiTheme="majorBidi" w:hAnsiTheme="majorBidi" w:cstheme="majorBidi"/>
        </w:rPr>
        <w:t xml:space="preserve">– gandrīz 30 minūtes. </w:t>
      </w:r>
    </w:p>
    <w:p w14:paraId="113B771C" w14:textId="44D17134" w:rsidR="00C34543" w:rsidRDefault="00FE6D5B" w:rsidP="00A6649E">
      <w:pPr>
        <w:widowControl w:val="0"/>
        <w:spacing w:after="0" w:line="276" w:lineRule="auto"/>
        <w:ind w:firstLine="720"/>
        <w:jc w:val="both"/>
        <w:rPr>
          <w:rFonts w:asciiTheme="majorBidi" w:hAnsiTheme="majorBidi" w:cstheme="majorBidi"/>
        </w:rPr>
      </w:pPr>
      <w:r w:rsidRPr="00FE6D5B">
        <w:rPr>
          <w:rFonts w:asciiTheme="majorBidi" w:hAnsiTheme="majorBidi" w:cstheme="majorBidi"/>
        </w:rPr>
        <w:t xml:space="preserve">Apelācijas instances tiesa </w:t>
      </w:r>
      <w:r w:rsidR="00CE3BFC">
        <w:rPr>
          <w:rFonts w:asciiTheme="majorBidi" w:hAnsiTheme="majorBidi" w:cstheme="majorBidi"/>
        </w:rPr>
        <w:t>atzinusi</w:t>
      </w:r>
      <w:r w:rsidR="00021C95">
        <w:rPr>
          <w:rFonts w:asciiTheme="majorBidi" w:hAnsiTheme="majorBidi" w:cstheme="majorBidi"/>
        </w:rPr>
        <w:t xml:space="preserve"> par nepamatotu apsūdzētās norādīto</w:t>
      </w:r>
      <w:r w:rsidRPr="00FE6D5B">
        <w:rPr>
          <w:rFonts w:asciiTheme="majorBidi" w:hAnsiTheme="majorBidi" w:cstheme="majorBidi"/>
        </w:rPr>
        <w:t>, ka</w:t>
      </w:r>
      <w:r>
        <w:rPr>
          <w:rFonts w:asciiTheme="majorBidi" w:hAnsiTheme="majorBidi" w:cstheme="majorBidi"/>
        </w:rPr>
        <w:t xml:space="preserve"> </w:t>
      </w:r>
      <w:r w:rsidR="00021C95">
        <w:rPr>
          <w:rFonts w:asciiTheme="majorBidi" w:hAnsiTheme="majorBidi" w:cstheme="majorBidi"/>
        </w:rPr>
        <w:t xml:space="preserve">viņa </w:t>
      </w:r>
      <w:r w:rsidRPr="00FE6D5B">
        <w:rPr>
          <w:rFonts w:asciiTheme="majorBidi" w:hAnsiTheme="majorBidi" w:cstheme="majorBidi"/>
        </w:rPr>
        <w:t>ne</w:t>
      </w:r>
      <w:r w:rsidR="00C34543">
        <w:rPr>
          <w:rFonts w:asciiTheme="majorBidi" w:hAnsiTheme="majorBidi" w:cstheme="majorBidi"/>
        </w:rPr>
        <w:t>varēja paredzēt</w:t>
      </w:r>
      <w:r w:rsidRPr="00FE6D5B">
        <w:rPr>
          <w:rFonts w:asciiTheme="majorBidi" w:hAnsiTheme="majorBidi" w:cstheme="majorBidi"/>
        </w:rPr>
        <w:t xml:space="preserve"> savas bezdarbības kaitīg</w:t>
      </w:r>
      <w:r>
        <w:rPr>
          <w:rFonts w:asciiTheme="majorBidi" w:hAnsiTheme="majorBidi" w:cstheme="majorBidi"/>
        </w:rPr>
        <w:t>ās</w:t>
      </w:r>
      <w:r w:rsidRPr="00FE6D5B">
        <w:rPr>
          <w:rFonts w:asciiTheme="majorBidi" w:hAnsiTheme="majorBidi" w:cstheme="majorBidi"/>
        </w:rPr>
        <w:t xml:space="preserve"> sek</w:t>
      </w:r>
      <w:r>
        <w:rPr>
          <w:rFonts w:asciiTheme="majorBidi" w:hAnsiTheme="majorBidi" w:cstheme="majorBidi"/>
        </w:rPr>
        <w:t>as</w:t>
      </w:r>
      <w:r w:rsidR="00C34543">
        <w:rPr>
          <w:rFonts w:asciiTheme="majorBidi" w:hAnsiTheme="majorBidi" w:cstheme="majorBidi"/>
        </w:rPr>
        <w:t xml:space="preserve"> tādēļ, ka</w:t>
      </w:r>
      <w:r w:rsidRPr="00FE6D5B">
        <w:rPr>
          <w:rFonts w:asciiTheme="majorBidi" w:hAnsiTheme="majorBidi" w:cstheme="majorBidi"/>
        </w:rPr>
        <w:t xml:space="preserve"> paļāvās, ka </w:t>
      </w:r>
      <w:r w:rsidR="00E46B48">
        <w:rPr>
          <w:rFonts w:asciiTheme="majorBidi" w:hAnsiTheme="majorBidi" w:cstheme="majorBidi"/>
        </w:rPr>
        <w:t>[pers. B]</w:t>
      </w:r>
      <w:r w:rsidR="00021C95">
        <w:rPr>
          <w:rFonts w:asciiTheme="majorBidi" w:hAnsiTheme="majorBidi" w:cstheme="majorBidi"/>
        </w:rPr>
        <w:t xml:space="preserve"> </w:t>
      </w:r>
      <w:r w:rsidR="00CE3BFC">
        <w:rPr>
          <w:rFonts w:asciiTheme="majorBidi" w:hAnsiTheme="majorBidi" w:cstheme="majorBidi"/>
        </w:rPr>
        <w:t xml:space="preserve">neprot atvērt durvis un patstāvīgi pieņemt lēmumus, </w:t>
      </w:r>
      <w:r w:rsidR="00C34543">
        <w:rPr>
          <w:rFonts w:asciiTheme="majorBidi" w:hAnsiTheme="majorBidi" w:cstheme="majorBidi"/>
        </w:rPr>
        <w:t>līdz ar to</w:t>
      </w:r>
      <w:r w:rsidR="00CE3BFC">
        <w:rPr>
          <w:rFonts w:asciiTheme="majorBidi" w:hAnsiTheme="majorBidi" w:cstheme="majorBidi"/>
        </w:rPr>
        <w:t xml:space="preserve"> </w:t>
      </w:r>
      <w:r>
        <w:rPr>
          <w:rFonts w:asciiTheme="majorBidi" w:hAnsiTheme="majorBidi" w:cstheme="majorBidi"/>
        </w:rPr>
        <w:t>kā ik vakaru</w:t>
      </w:r>
      <w:r w:rsidRPr="00FE6D5B">
        <w:rPr>
          <w:rFonts w:asciiTheme="majorBidi" w:hAnsiTheme="majorBidi" w:cstheme="majorBidi"/>
        </w:rPr>
        <w:t>, skatoties televizoru, iemigs</w:t>
      </w:r>
      <w:r>
        <w:rPr>
          <w:rFonts w:asciiTheme="majorBidi" w:hAnsiTheme="majorBidi" w:cstheme="majorBidi"/>
        </w:rPr>
        <w:t xml:space="preserve">. </w:t>
      </w:r>
    </w:p>
    <w:p w14:paraId="29E0B155" w14:textId="069EF079" w:rsidR="00C34543" w:rsidRDefault="00FE6D5B" w:rsidP="00A6649E">
      <w:pPr>
        <w:widowControl w:val="0"/>
        <w:spacing w:after="0" w:line="276" w:lineRule="auto"/>
        <w:ind w:firstLine="720"/>
        <w:jc w:val="both"/>
        <w:rPr>
          <w:rFonts w:asciiTheme="majorBidi" w:hAnsiTheme="majorBidi" w:cstheme="majorBidi"/>
        </w:rPr>
      </w:pPr>
      <w:r w:rsidRPr="00FE6D5B">
        <w:rPr>
          <w:rFonts w:asciiTheme="majorBidi" w:hAnsiTheme="majorBidi" w:cstheme="majorBidi"/>
        </w:rPr>
        <w:t>T</w:t>
      </w:r>
      <w:r w:rsidR="00021C95">
        <w:rPr>
          <w:rFonts w:asciiTheme="majorBidi" w:hAnsiTheme="majorBidi" w:cstheme="majorBidi"/>
        </w:rPr>
        <w:t>iesa konstatējusi, ka</w:t>
      </w:r>
      <w:r w:rsidR="00790FB3">
        <w:rPr>
          <w:rFonts w:asciiTheme="majorBidi" w:hAnsiTheme="majorBidi" w:cstheme="majorBidi"/>
        </w:rPr>
        <w:t xml:space="preserve"> </w:t>
      </w:r>
      <w:r w:rsidRPr="00FE6D5B">
        <w:rPr>
          <w:rFonts w:asciiTheme="majorBidi" w:hAnsiTheme="majorBidi" w:cstheme="majorBidi"/>
        </w:rPr>
        <w:t>apsūdzētajai vajadzēja un viņa varēja kaitīgās sekas paredzēt, j</w:t>
      </w:r>
      <w:r>
        <w:rPr>
          <w:rFonts w:asciiTheme="majorBidi" w:hAnsiTheme="majorBidi" w:cstheme="majorBidi"/>
        </w:rPr>
        <w:t>o: 1)</w:t>
      </w:r>
      <w:r w:rsidR="004202AC">
        <w:rPr>
          <w:rFonts w:asciiTheme="majorBidi" w:hAnsiTheme="majorBidi" w:cstheme="majorBidi"/>
        </w:rPr>
        <w:t> </w:t>
      </w:r>
      <w:r w:rsidR="00CE3BFC">
        <w:rPr>
          <w:rFonts w:asciiTheme="majorBidi" w:hAnsiTheme="majorBidi" w:cstheme="majorBidi"/>
        </w:rPr>
        <w:t>apsūdzētā</w:t>
      </w:r>
      <w:r w:rsidR="00446BCA" w:rsidRPr="00446BCA">
        <w:rPr>
          <w:rFonts w:asciiTheme="majorBidi" w:hAnsiTheme="majorBidi" w:cstheme="majorBidi"/>
        </w:rPr>
        <w:t xml:space="preserve"> bija panāk</w:t>
      </w:r>
      <w:r w:rsidR="00446BCA">
        <w:rPr>
          <w:rFonts w:asciiTheme="majorBidi" w:hAnsiTheme="majorBidi" w:cstheme="majorBidi"/>
        </w:rPr>
        <w:t>usi</w:t>
      </w:r>
      <w:r w:rsidR="00446BCA" w:rsidRPr="00446BCA">
        <w:rPr>
          <w:rFonts w:asciiTheme="majorBidi" w:hAnsiTheme="majorBidi" w:cstheme="majorBidi"/>
        </w:rPr>
        <w:t xml:space="preserve"> būtisk</w:t>
      </w:r>
      <w:r w:rsidR="00446BCA">
        <w:rPr>
          <w:rFonts w:asciiTheme="majorBidi" w:hAnsiTheme="majorBidi" w:cstheme="majorBidi"/>
        </w:rPr>
        <w:t>u</w:t>
      </w:r>
      <w:r w:rsidR="00446BCA" w:rsidRPr="00446BCA">
        <w:rPr>
          <w:rFonts w:asciiTheme="majorBidi" w:hAnsiTheme="majorBidi" w:cstheme="majorBidi"/>
        </w:rPr>
        <w:t xml:space="preserve"> progres</w:t>
      </w:r>
      <w:r w:rsidR="00446BCA">
        <w:rPr>
          <w:rFonts w:asciiTheme="majorBidi" w:hAnsiTheme="majorBidi" w:cstheme="majorBidi"/>
        </w:rPr>
        <w:t>u</w:t>
      </w:r>
      <w:r w:rsidR="00446BCA" w:rsidRPr="00446BCA">
        <w:rPr>
          <w:rFonts w:asciiTheme="majorBidi" w:hAnsiTheme="majorBidi" w:cstheme="majorBidi"/>
        </w:rPr>
        <w:t xml:space="preserve"> </w:t>
      </w:r>
      <w:r w:rsidR="00E46B48">
        <w:rPr>
          <w:rFonts w:asciiTheme="majorBidi" w:hAnsiTheme="majorBidi" w:cstheme="majorBidi"/>
        </w:rPr>
        <w:t>[pers. B]</w:t>
      </w:r>
      <w:r w:rsidR="00CE3BFC" w:rsidRPr="00446BCA">
        <w:rPr>
          <w:rFonts w:asciiTheme="majorBidi" w:hAnsiTheme="majorBidi" w:cstheme="majorBidi"/>
        </w:rPr>
        <w:t xml:space="preserve"> attīstībā</w:t>
      </w:r>
      <w:r w:rsidR="008A50F9">
        <w:rPr>
          <w:rFonts w:asciiTheme="majorBidi" w:hAnsiTheme="majorBidi" w:cstheme="majorBidi"/>
        </w:rPr>
        <w:t>; 2)</w:t>
      </w:r>
      <w:r w:rsidR="00A6649E">
        <w:rPr>
          <w:rFonts w:asciiTheme="majorBidi" w:hAnsiTheme="majorBidi" w:cstheme="majorBidi"/>
        </w:rPr>
        <w:t> </w:t>
      </w:r>
      <w:r w:rsidR="00446BCA" w:rsidRPr="00446BCA">
        <w:rPr>
          <w:rFonts w:asciiTheme="majorBidi" w:hAnsiTheme="majorBidi" w:cstheme="majorBidi"/>
        </w:rPr>
        <w:t>pamatskolas izziņā bija vērsta uzmanība uz</w:t>
      </w:r>
      <w:r w:rsidR="00446BCA">
        <w:rPr>
          <w:rFonts w:asciiTheme="majorBidi" w:hAnsiTheme="majorBidi" w:cstheme="majorBidi"/>
        </w:rPr>
        <w:t> </w:t>
      </w:r>
      <w:r w:rsidR="00446BCA" w:rsidRPr="00446BCA">
        <w:rPr>
          <w:rFonts w:asciiTheme="majorBidi" w:hAnsiTheme="majorBidi" w:cstheme="majorBidi"/>
        </w:rPr>
        <w:t xml:space="preserve"> </w:t>
      </w:r>
      <w:r w:rsidR="00E46B48">
        <w:rPr>
          <w:rFonts w:asciiTheme="majorBidi" w:hAnsiTheme="majorBidi" w:cstheme="majorBidi"/>
        </w:rPr>
        <w:t>[pers. B]</w:t>
      </w:r>
      <w:r w:rsidR="00790FB3">
        <w:rPr>
          <w:rFonts w:asciiTheme="majorBidi" w:hAnsiTheme="majorBidi" w:cstheme="majorBidi"/>
        </w:rPr>
        <w:t xml:space="preserve"> </w:t>
      </w:r>
      <w:r w:rsidR="00446BCA" w:rsidRPr="00446BCA">
        <w:rPr>
          <w:rFonts w:asciiTheme="majorBidi" w:hAnsiTheme="majorBidi" w:cstheme="majorBidi"/>
        </w:rPr>
        <w:t>spontānas uzvedības iespējamību</w:t>
      </w:r>
      <w:r w:rsidR="008A50F9">
        <w:rPr>
          <w:rFonts w:asciiTheme="majorBidi" w:hAnsiTheme="majorBidi" w:cstheme="majorBidi"/>
        </w:rPr>
        <w:t>; 3)</w:t>
      </w:r>
      <w:r w:rsidR="00A6649E">
        <w:rPr>
          <w:rFonts w:asciiTheme="majorBidi" w:hAnsiTheme="majorBidi" w:cstheme="majorBidi"/>
        </w:rPr>
        <w:t> </w:t>
      </w:r>
      <w:r w:rsidR="008A50F9">
        <w:rPr>
          <w:rFonts w:asciiTheme="majorBidi" w:hAnsiTheme="majorBidi" w:cstheme="majorBidi"/>
        </w:rPr>
        <w:t xml:space="preserve">pašvaldībā iepriekš bija fiksēts gadījums, kad apsūdzētā nebija nodrošinājusi </w:t>
      </w:r>
      <w:r w:rsidR="00E46B48">
        <w:rPr>
          <w:rFonts w:asciiTheme="majorBidi" w:hAnsiTheme="majorBidi" w:cstheme="majorBidi"/>
        </w:rPr>
        <w:t>[pers. B]</w:t>
      </w:r>
      <w:r w:rsidR="008A50F9">
        <w:rPr>
          <w:rFonts w:asciiTheme="majorBidi" w:hAnsiTheme="majorBidi" w:cstheme="majorBidi"/>
        </w:rPr>
        <w:t xml:space="preserve"> uzraudzību, kā rezultātā viņš viens atradās uz ielas</w:t>
      </w:r>
      <w:r w:rsidR="00CE3BFC">
        <w:rPr>
          <w:rFonts w:asciiTheme="majorBidi" w:hAnsiTheme="majorBidi" w:cstheme="majorBidi"/>
        </w:rPr>
        <w:t>, un šis fakts apsūdzētajai bija zināms</w:t>
      </w:r>
      <w:r w:rsidR="008A50F9">
        <w:rPr>
          <w:rFonts w:asciiTheme="majorBidi" w:hAnsiTheme="majorBidi" w:cstheme="majorBidi"/>
        </w:rPr>
        <w:t>; 4)</w:t>
      </w:r>
      <w:r w:rsidR="00A6649E">
        <w:rPr>
          <w:rFonts w:asciiTheme="majorBidi" w:hAnsiTheme="majorBidi" w:cstheme="majorBidi"/>
        </w:rPr>
        <w:t> </w:t>
      </w:r>
      <w:r w:rsidR="00790FB3">
        <w:rPr>
          <w:rFonts w:asciiTheme="majorBidi" w:hAnsiTheme="majorBidi" w:cstheme="majorBidi"/>
        </w:rPr>
        <w:t xml:space="preserve">negadījuma dienā </w:t>
      </w:r>
      <w:r w:rsidR="008A50F9">
        <w:rPr>
          <w:rFonts w:asciiTheme="majorBidi" w:hAnsiTheme="majorBidi" w:cstheme="majorBidi"/>
        </w:rPr>
        <w:t>viņš</w:t>
      </w:r>
      <w:r w:rsidR="00446BCA" w:rsidRPr="00446BCA">
        <w:rPr>
          <w:rFonts w:asciiTheme="majorBidi" w:hAnsiTheme="majorBidi" w:cstheme="majorBidi"/>
        </w:rPr>
        <w:t xml:space="preserve"> bija izrādījis pastiprinātu interesi par dīķi</w:t>
      </w:r>
      <w:r w:rsidR="008A50F9">
        <w:rPr>
          <w:rFonts w:asciiTheme="majorBidi" w:hAnsiTheme="majorBidi" w:cstheme="majorBidi"/>
        </w:rPr>
        <w:t>, kas atradās viesu mājas tiešā tuvumā</w:t>
      </w:r>
      <w:r w:rsidR="00446BCA">
        <w:rPr>
          <w:rFonts w:asciiTheme="majorBidi" w:hAnsiTheme="majorBidi" w:cstheme="majorBidi"/>
        </w:rPr>
        <w:t xml:space="preserve">; </w:t>
      </w:r>
      <w:r w:rsidR="005C3645">
        <w:rPr>
          <w:rFonts w:asciiTheme="majorBidi" w:hAnsiTheme="majorBidi" w:cstheme="majorBidi"/>
        </w:rPr>
        <w:t>5</w:t>
      </w:r>
      <w:r w:rsidR="00446BCA">
        <w:rPr>
          <w:rFonts w:asciiTheme="majorBidi" w:hAnsiTheme="majorBidi" w:cstheme="majorBidi"/>
        </w:rPr>
        <w:t>)</w:t>
      </w:r>
      <w:r w:rsidR="00A6649E">
        <w:rPr>
          <w:rFonts w:asciiTheme="majorBidi" w:hAnsiTheme="majorBidi" w:cstheme="majorBidi"/>
        </w:rPr>
        <w:t> </w:t>
      </w:r>
      <w:r w:rsidR="00446BCA" w:rsidRPr="00446BCA">
        <w:rPr>
          <w:rFonts w:asciiTheme="majorBidi" w:hAnsiTheme="majorBidi" w:cstheme="majorBidi"/>
        </w:rPr>
        <w:t xml:space="preserve">lai arī viesu nama ārdurvis bija smagas, </w:t>
      </w:r>
      <w:r w:rsidR="005C3645">
        <w:rPr>
          <w:rFonts w:asciiTheme="majorBidi" w:hAnsiTheme="majorBidi" w:cstheme="majorBidi"/>
        </w:rPr>
        <w:t>pastāvēja iespēja</w:t>
      </w:r>
      <w:r w:rsidR="00446BCA" w:rsidRPr="00446BCA">
        <w:rPr>
          <w:rFonts w:asciiTheme="majorBidi" w:hAnsiTheme="majorBidi" w:cstheme="majorBidi"/>
        </w:rPr>
        <w:t>, ka tās varētu atvērt cita persona</w:t>
      </w:r>
      <w:r w:rsidR="008A50F9">
        <w:rPr>
          <w:rFonts w:asciiTheme="majorBidi" w:hAnsiTheme="majorBidi" w:cstheme="majorBidi"/>
        </w:rPr>
        <w:t>, tajā skaitā bērni</w:t>
      </w:r>
      <w:r w:rsidR="003C063F">
        <w:rPr>
          <w:rFonts w:asciiTheme="majorBidi" w:hAnsiTheme="majorBidi" w:cstheme="majorBidi"/>
        </w:rPr>
        <w:t>.</w:t>
      </w:r>
      <w:r w:rsidR="005C3645">
        <w:rPr>
          <w:rFonts w:asciiTheme="majorBidi" w:hAnsiTheme="majorBidi" w:cstheme="majorBidi"/>
        </w:rPr>
        <w:t xml:space="preserve"> </w:t>
      </w:r>
    </w:p>
    <w:p w14:paraId="1131BA84" w14:textId="39A98E32" w:rsidR="009B4721" w:rsidRDefault="003C063F" w:rsidP="00A6649E">
      <w:pPr>
        <w:widowControl w:val="0"/>
        <w:spacing w:after="0" w:line="276" w:lineRule="auto"/>
        <w:ind w:firstLine="720"/>
        <w:jc w:val="both"/>
        <w:rPr>
          <w:rFonts w:asciiTheme="majorBidi" w:hAnsiTheme="majorBidi" w:cstheme="majorBidi"/>
        </w:rPr>
      </w:pPr>
      <w:r>
        <w:rPr>
          <w:rFonts w:asciiTheme="majorBidi" w:hAnsiTheme="majorBidi" w:cstheme="majorBidi"/>
        </w:rPr>
        <w:t xml:space="preserve">Ievērojot minēto, </w:t>
      </w:r>
      <w:r w:rsidR="00C973FE">
        <w:rPr>
          <w:rFonts w:asciiTheme="majorBidi" w:hAnsiTheme="majorBidi" w:cstheme="majorBidi"/>
        </w:rPr>
        <w:t xml:space="preserve">tiesa secinājusi, ka </w:t>
      </w:r>
      <w:r w:rsidR="00446BCA">
        <w:rPr>
          <w:rFonts w:asciiTheme="majorBidi" w:hAnsiTheme="majorBidi" w:cstheme="majorBidi"/>
        </w:rPr>
        <w:t>a</w:t>
      </w:r>
      <w:r w:rsidR="00446BCA" w:rsidRPr="00446BCA">
        <w:rPr>
          <w:rFonts w:asciiTheme="majorBidi" w:hAnsiTheme="majorBidi" w:cstheme="majorBidi"/>
        </w:rPr>
        <w:t>psūdzētajai bija jāapzinās, ka bērna prasmes ir mainīgas</w:t>
      </w:r>
      <w:r w:rsidR="00446BCA">
        <w:rPr>
          <w:rFonts w:asciiTheme="majorBidi" w:hAnsiTheme="majorBidi" w:cstheme="majorBidi"/>
        </w:rPr>
        <w:t xml:space="preserve"> </w:t>
      </w:r>
      <w:r w:rsidR="00446BCA" w:rsidRPr="00446BCA">
        <w:rPr>
          <w:rFonts w:asciiTheme="majorBidi" w:hAnsiTheme="majorBidi" w:cstheme="majorBidi"/>
        </w:rPr>
        <w:t>ar tendenci</w:t>
      </w:r>
      <w:r w:rsidR="00446BCA">
        <w:rPr>
          <w:rFonts w:asciiTheme="majorBidi" w:hAnsiTheme="majorBidi" w:cstheme="majorBidi"/>
        </w:rPr>
        <w:t xml:space="preserve"> </w:t>
      </w:r>
      <w:r w:rsidR="00446BCA" w:rsidRPr="00446BCA">
        <w:rPr>
          <w:rFonts w:asciiTheme="majorBidi" w:hAnsiTheme="majorBidi" w:cstheme="majorBidi"/>
        </w:rPr>
        <w:t>uzlaboties, tāpēc</w:t>
      </w:r>
      <w:r>
        <w:rPr>
          <w:rFonts w:asciiTheme="majorBidi" w:hAnsiTheme="majorBidi" w:cstheme="majorBidi"/>
        </w:rPr>
        <w:t>, jo</w:t>
      </w:r>
      <w:r w:rsidR="00446BCA" w:rsidRPr="00446BCA">
        <w:rPr>
          <w:rFonts w:asciiTheme="majorBidi" w:hAnsiTheme="majorBidi" w:cstheme="majorBidi"/>
        </w:rPr>
        <w:t xml:space="preserve"> īpaši </w:t>
      </w:r>
      <w:r>
        <w:rPr>
          <w:rFonts w:asciiTheme="majorBidi" w:hAnsiTheme="majorBidi" w:cstheme="majorBidi"/>
        </w:rPr>
        <w:t>ņemot vērā</w:t>
      </w:r>
      <w:r w:rsidR="00446BCA" w:rsidRPr="00446BCA">
        <w:rPr>
          <w:rFonts w:asciiTheme="majorBidi" w:hAnsiTheme="majorBidi" w:cstheme="majorBidi"/>
        </w:rPr>
        <w:t xml:space="preserve">, ka </w:t>
      </w:r>
      <w:r w:rsidR="00E46B48">
        <w:rPr>
          <w:rFonts w:asciiTheme="majorBidi" w:hAnsiTheme="majorBidi" w:cstheme="majorBidi"/>
        </w:rPr>
        <w:t>[pers. B]</w:t>
      </w:r>
      <w:r w:rsidR="00446BCA" w:rsidRPr="00446BCA">
        <w:rPr>
          <w:rFonts w:asciiTheme="majorBidi" w:hAnsiTheme="majorBidi" w:cstheme="majorBidi"/>
        </w:rPr>
        <w:t xml:space="preserve"> pats varēja brīvi</w:t>
      </w:r>
      <w:r w:rsidR="00446BCA">
        <w:rPr>
          <w:rFonts w:asciiTheme="majorBidi" w:hAnsiTheme="majorBidi" w:cstheme="majorBidi"/>
        </w:rPr>
        <w:t xml:space="preserve"> </w:t>
      </w:r>
      <w:r w:rsidR="00446BCA" w:rsidRPr="00446BCA">
        <w:rPr>
          <w:rFonts w:asciiTheme="majorBidi" w:hAnsiTheme="majorBidi" w:cstheme="majorBidi"/>
        </w:rPr>
        <w:t xml:space="preserve">pārvietoties, </w:t>
      </w:r>
      <w:r>
        <w:rPr>
          <w:rFonts w:asciiTheme="majorBidi" w:hAnsiTheme="majorBidi" w:cstheme="majorBidi"/>
        </w:rPr>
        <w:t xml:space="preserve">viņa nedrīkstēja </w:t>
      </w:r>
      <w:r w:rsidR="00446BCA" w:rsidRPr="00446BCA">
        <w:rPr>
          <w:rFonts w:asciiTheme="majorBidi" w:hAnsiTheme="majorBidi" w:cstheme="majorBidi"/>
        </w:rPr>
        <w:t xml:space="preserve">paļauties, ka </w:t>
      </w:r>
      <w:r w:rsidR="00446BCA">
        <w:rPr>
          <w:rFonts w:asciiTheme="majorBidi" w:hAnsiTheme="majorBidi" w:cstheme="majorBidi"/>
        </w:rPr>
        <w:t>viņš</w:t>
      </w:r>
      <w:r w:rsidR="00446BCA" w:rsidRPr="00446BCA">
        <w:rPr>
          <w:rFonts w:asciiTheme="majorBidi" w:hAnsiTheme="majorBidi" w:cstheme="majorBidi"/>
        </w:rPr>
        <w:t xml:space="preserve"> kā ik vakaru aizmigs.</w:t>
      </w:r>
      <w:r>
        <w:rPr>
          <w:rFonts w:asciiTheme="majorBidi" w:hAnsiTheme="majorBidi" w:cstheme="majorBidi"/>
        </w:rPr>
        <w:t xml:space="preserve"> </w:t>
      </w:r>
      <w:r w:rsidR="008A50F9">
        <w:rPr>
          <w:rFonts w:asciiTheme="majorBidi" w:hAnsiTheme="majorBidi" w:cstheme="majorBidi"/>
        </w:rPr>
        <w:t>Minētie apstākļi bija</w:t>
      </w:r>
      <w:r>
        <w:rPr>
          <w:rFonts w:asciiTheme="majorBidi" w:hAnsiTheme="majorBidi" w:cstheme="majorBidi"/>
        </w:rPr>
        <w:t xml:space="preserve"> pamats veikt </w:t>
      </w:r>
      <w:r w:rsidR="00446BCA" w:rsidRPr="00446BCA">
        <w:rPr>
          <w:rFonts w:asciiTheme="majorBidi" w:hAnsiTheme="majorBidi" w:cstheme="majorBidi"/>
        </w:rPr>
        <w:t>papildu piesardzības pasākum</w:t>
      </w:r>
      <w:r>
        <w:rPr>
          <w:rFonts w:asciiTheme="majorBidi" w:hAnsiTheme="majorBidi" w:cstheme="majorBidi"/>
        </w:rPr>
        <w:t>us</w:t>
      </w:r>
      <w:r w:rsidR="00446BCA" w:rsidRPr="00446BCA">
        <w:rPr>
          <w:rFonts w:asciiTheme="majorBidi" w:hAnsiTheme="majorBidi" w:cstheme="majorBidi"/>
        </w:rPr>
        <w:t>, piemēram,</w:t>
      </w:r>
      <w:r w:rsidR="008A50F9">
        <w:rPr>
          <w:rFonts w:asciiTheme="majorBidi" w:hAnsiTheme="majorBidi" w:cstheme="majorBidi"/>
        </w:rPr>
        <w:t xml:space="preserve"> </w:t>
      </w:r>
      <w:r>
        <w:rPr>
          <w:rFonts w:asciiTheme="majorBidi" w:hAnsiTheme="majorBidi" w:cstheme="majorBidi"/>
        </w:rPr>
        <w:t>aizslēgt ārdurvis</w:t>
      </w:r>
      <w:r w:rsidR="005C3645">
        <w:rPr>
          <w:rFonts w:asciiTheme="majorBidi" w:hAnsiTheme="majorBidi" w:cstheme="majorBidi"/>
        </w:rPr>
        <w:t>, ko viņa neizdarīja.</w:t>
      </w:r>
    </w:p>
    <w:p w14:paraId="72195D75" w14:textId="3FDAF511" w:rsidR="000E6628" w:rsidRDefault="000E6628" w:rsidP="000E6628">
      <w:pPr>
        <w:widowControl w:val="0"/>
        <w:spacing w:after="0" w:line="276" w:lineRule="auto"/>
        <w:ind w:firstLine="720"/>
        <w:jc w:val="both"/>
      </w:pPr>
      <w:r w:rsidRPr="00104200">
        <w:t xml:space="preserve">Senāts atzīst, ka kasācijas sūdzības argumenti </w:t>
      </w:r>
      <w:r w:rsidR="001842AC">
        <w:t xml:space="preserve">šajā daļā </w:t>
      </w:r>
      <w:r w:rsidRPr="00104200">
        <w:t xml:space="preserve">ir pamatoti ar </w:t>
      </w:r>
      <w:r>
        <w:t xml:space="preserve">apsūdzētās </w:t>
      </w:r>
      <w:r w:rsidRPr="00104200">
        <w:lastRenderedPageBreak/>
        <w:t>subjektīvo viedokli par lietā esošo pierādījumu vērtējumu, faktiski pauž sūdzības iesniedzējas neapmierinātību ar tiem secinājumiem, kādus izdarījusi apelācijas instances tiesa, izvērtējot lietā esošos pierādījumus, un</w:t>
      </w:r>
      <w:r w:rsidR="00C34543">
        <w:t xml:space="preserve"> ir</w:t>
      </w:r>
      <w:r w:rsidRPr="00104200">
        <w:t xml:space="preserve"> vērsti uz to, lai panāktu apelācijas instances tiesas nolēmuma atcelšanu nevis juridisku, bet faktisku iemeslu dēļ, kas ir pretrunā ar Kriminālprocesa likuma 569. panta pirmo daļu.</w:t>
      </w:r>
    </w:p>
    <w:p w14:paraId="1FCB4CB4" w14:textId="38ED16E6" w:rsidR="000E6628" w:rsidRDefault="000E6628" w:rsidP="0043046D">
      <w:pPr>
        <w:widowControl w:val="0"/>
        <w:spacing w:after="0" w:line="276" w:lineRule="auto"/>
        <w:ind w:firstLine="720"/>
        <w:jc w:val="both"/>
      </w:pPr>
      <w:r w:rsidRPr="00104200">
        <w:t xml:space="preserve">Minētais ir pamats atteikumam ierosināt kasācijas tiesvedību </w:t>
      </w:r>
      <w:r w:rsidRPr="004B6392">
        <w:t xml:space="preserve">šajā daļā </w:t>
      </w:r>
      <w:r w:rsidRPr="00104200">
        <w:t>saskaņā ar Kriminālprocesa likuma 573.</w:t>
      </w:r>
      <w:r w:rsidRPr="00104200">
        <w:rPr>
          <w:vertAlign w:val="superscript"/>
        </w:rPr>
        <w:t>1</w:t>
      </w:r>
      <w:r w:rsidRPr="00104200">
        <w:t> panta pirmo daļu.</w:t>
      </w:r>
    </w:p>
    <w:p w14:paraId="6C2E79A3" w14:textId="77777777" w:rsidR="000E6628" w:rsidRPr="00104200" w:rsidRDefault="000E6628" w:rsidP="000E6628">
      <w:pPr>
        <w:widowControl w:val="0"/>
        <w:spacing w:after="0" w:line="276" w:lineRule="auto"/>
        <w:ind w:firstLine="720"/>
        <w:jc w:val="both"/>
      </w:pPr>
      <w:r w:rsidRPr="00104200">
        <w:t>Saskaņā ar Kriminālprocesa likuma 573.</w:t>
      </w:r>
      <w:r w:rsidRPr="00104200">
        <w:rPr>
          <w:vertAlign w:val="superscript"/>
        </w:rPr>
        <w:t>1 </w:t>
      </w:r>
      <w:r w:rsidRPr="00104200">
        <w:t>panta otrās daļas 2. punktu tiesa var atteikties ierosināt kasācijas tiesvedību, ja, izvērtējot kasācijas sūdzībā vai protestā minētos argumentus, nerodas šaubas par pārsūdzētā nolēmuma tiesiskumu un izskatāmajai lietai nav būtiskas nozīmes judikatūras veidošanā.</w:t>
      </w:r>
    </w:p>
    <w:p w14:paraId="21ED65B4" w14:textId="77777777" w:rsidR="00CC4F2F" w:rsidRDefault="003C063F" w:rsidP="005C31CC">
      <w:pPr>
        <w:widowControl w:val="0"/>
        <w:spacing w:after="0" w:line="276" w:lineRule="auto"/>
        <w:ind w:firstLine="720"/>
        <w:jc w:val="both"/>
      </w:pPr>
      <w:r w:rsidRPr="003C063F">
        <w:t xml:space="preserve">Senātam nerodas šaubas par pārsūdzētā nolēmuma tiesiskumu daļā par to, ka </w:t>
      </w:r>
      <w:r>
        <w:t>tiesas konstatētie</w:t>
      </w:r>
      <w:r w:rsidRPr="003C063F">
        <w:t xml:space="preserve"> faktiskie apstākļi atbilst noziedzīgai nevērībai. </w:t>
      </w:r>
    </w:p>
    <w:p w14:paraId="6C1E244B" w14:textId="41E888CF" w:rsidR="005C3645" w:rsidRDefault="00CC4F2F" w:rsidP="005C3645">
      <w:pPr>
        <w:widowControl w:val="0"/>
        <w:spacing w:after="0" w:line="276" w:lineRule="auto"/>
        <w:ind w:firstLine="720"/>
        <w:jc w:val="both"/>
      </w:pPr>
      <w:r w:rsidRPr="00CC4F2F">
        <w:t>Noziedzīgas nevērības gadījumā ar iespēju paredzēt kaitīgās sekas nav saprotama jebkura abstrakt</w:t>
      </w:r>
      <w:r w:rsidR="00851A71">
        <w:t xml:space="preserve">a vai </w:t>
      </w:r>
      <w:r w:rsidRPr="00CC4F2F">
        <w:t>teorētiska iespējamība.</w:t>
      </w:r>
      <w:r w:rsidR="005C3645">
        <w:t xml:space="preserve"> </w:t>
      </w:r>
      <w:r w:rsidR="005C3645" w:rsidRPr="005C3645">
        <w:t>Pretējā gadījumā noziedzīga nevērība nebūtu nošķirama no Krimināllikuma 10.</w:t>
      </w:r>
      <w:r w:rsidR="00A6649E">
        <w:t> </w:t>
      </w:r>
      <w:r w:rsidR="005C3645" w:rsidRPr="005C3645">
        <w:t>panta ceturtajā daļā paredzētās situācijas, par kuru kriminālatbildība nav paredzēta, proti, gadījuma, kad persona neparedzēja, tai nevajadzēja un tā nevarēja paredzēt savas darbības vai bezdarbības kaitīgo seku iestāšanās iespēju. Tādēļ noziedzīgai nevērībai jākonstatē konkrēti apstākļi, kas personai deva dibinātu pamatu paredzēt kaitīgo seku iestāšanās iespēju. Proti, sekām jābūt nevis tikai teorētiski, bet saprātīgi paredzamām.</w:t>
      </w:r>
    </w:p>
    <w:p w14:paraId="42497740" w14:textId="17818971" w:rsidR="00640023" w:rsidRPr="00640023" w:rsidRDefault="00CC4F2F" w:rsidP="00640023">
      <w:pPr>
        <w:widowControl w:val="0"/>
        <w:spacing w:after="0" w:line="276" w:lineRule="auto"/>
        <w:ind w:firstLine="720"/>
        <w:jc w:val="both"/>
      </w:pPr>
      <w:r w:rsidRPr="00CC4F2F">
        <w:t>Apelācijas instances tiesa šādus apstākļus ir konstatējusi</w:t>
      </w:r>
      <w:r w:rsidR="00851A71">
        <w:t>. P</w:t>
      </w:r>
      <w:r w:rsidR="005C3645">
        <w:t xml:space="preserve">roti, tiesa seku </w:t>
      </w:r>
      <w:r w:rsidR="005C3645" w:rsidRPr="003C063F">
        <w:t>paredzēšanas pienākum</w:t>
      </w:r>
      <w:r w:rsidR="005C3645">
        <w:t>u nav</w:t>
      </w:r>
      <w:r w:rsidR="005C3645" w:rsidRPr="003C063F">
        <w:t xml:space="preserve"> </w:t>
      </w:r>
      <w:r w:rsidR="005C3645">
        <w:t>pamatojusi</w:t>
      </w:r>
      <w:r w:rsidR="005C3645" w:rsidRPr="003C063F">
        <w:t xml:space="preserve"> tikai </w:t>
      </w:r>
      <w:r w:rsidR="005C3645">
        <w:t>ar letālo</w:t>
      </w:r>
      <w:r w:rsidR="005C3645" w:rsidRPr="003C063F">
        <w:t xml:space="preserve"> re</w:t>
      </w:r>
      <w:r w:rsidR="005C3645" w:rsidRPr="00851A71">
        <w:t>zultātu</w:t>
      </w:r>
      <w:r w:rsidR="00851A71" w:rsidRPr="00851A71">
        <w:t xml:space="preserve">, bet gan ar apstākļu kopumu, kas radīja kaitīgo seku iestāšanās </w:t>
      </w:r>
      <w:r w:rsidR="00C34543">
        <w:t>risku</w:t>
      </w:r>
      <w:r w:rsidR="00851A71">
        <w:t xml:space="preserve"> –</w:t>
      </w:r>
      <w:r w:rsidR="005C3645" w:rsidRPr="003C063F">
        <w:t xml:space="preserve"> bērna </w:t>
      </w:r>
      <w:r w:rsidR="00851A71">
        <w:t>nepārtrauktas</w:t>
      </w:r>
      <w:r w:rsidR="005C3645" w:rsidRPr="003C063F">
        <w:t xml:space="preserve"> uzraudzības nepieciešamību, svešu vidi, ūdenstilpes tuvumu</w:t>
      </w:r>
      <w:r w:rsidR="00851A71">
        <w:t xml:space="preserve"> un bērna interesi par to, kā arī viņa</w:t>
      </w:r>
      <w:r w:rsidR="005C3645" w:rsidRPr="003C063F">
        <w:t xml:space="preserve"> spēju attīstību</w:t>
      </w:r>
      <w:r w:rsidR="005C3645">
        <w:t>. Šie apstākļi</w:t>
      </w:r>
      <w:r w:rsidR="003C063F" w:rsidRPr="003C063F">
        <w:t xml:space="preserve"> d</w:t>
      </w:r>
      <w:r w:rsidR="00C34543">
        <w:t>eva</w:t>
      </w:r>
      <w:r w:rsidR="003C063F" w:rsidRPr="003C063F">
        <w:t xml:space="preserve"> pietiekamu pamatu secinājumam, ka apsūdzētajai, lai arī viņa kaitīgās sekas faktiski neparedzēja, konkrētajos apstākļos tās vajadzēja un viņa varēja paredzēt. </w:t>
      </w:r>
      <w:r w:rsidR="00640023" w:rsidRPr="00640023">
        <w:t>Līdz ar to Senātam nav pamata uzskatīt, ka apelācijas instances tiesa, vērtējot Krimināllikuma 10.</w:t>
      </w:r>
      <w:r w:rsidR="00A6649E">
        <w:t> </w:t>
      </w:r>
      <w:r w:rsidR="00640023" w:rsidRPr="00640023">
        <w:t>panta trešajā daļā ietvertās pazīmes „vajadzēja paredzēt” saturu, būtu attiecinājusi uz šo pazīmi tādu paredzēšanas standartu, kas faktiski nozīmētu pienākumu paredzēt jebkuru teorētiski iespējamu notikumu attīstības gaitu neatkarīgi no konkrētajiem lietas apstākļiem.</w:t>
      </w:r>
    </w:p>
    <w:p w14:paraId="6C0B5E6B" w14:textId="25AA5232" w:rsidR="00354C62" w:rsidRDefault="00354C62" w:rsidP="00354C62">
      <w:pPr>
        <w:widowControl w:val="0"/>
        <w:spacing w:after="0" w:line="276" w:lineRule="auto"/>
        <w:ind w:firstLine="720"/>
        <w:jc w:val="both"/>
      </w:pPr>
      <w:r w:rsidRPr="00354C62">
        <w:t>Senāts nekonstatē pretrunu starp Valsts probācijas dienesta atzinumu un spriedumā izdarīto secinājumu par apsūdzētās vainīgumu</w:t>
      </w:r>
      <w:r>
        <w:t>, jo šajā a</w:t>
      </w:r>
      <w:r w:rsidRPr="00354C62">
        <w:t>tzinum</w:t>
      </w:r>
      <w:r>
        <w:t>ā</w:t>
      </w:r>
      <w:r w:rsidRPr="00354C62">
        <w:t xml:space="preserve"> apsūdzēt</w:t>
      </w:r>
      <w:r>
        <w:t>ā</w:t>
      </w:r>
      <w:r w:rsidRPr="00354C62">
        <w:t xml:space="preserve"> raksturo</w:t>
      </w:r>
      <w:r>
        <w:t>ta</w:t>
      </w:r>
      <w:r w:rsidRPr="00354C62">
        <w:t xml:space="preserve"> vispārīgi, savukārt noziedzīga nevērība ir vērtējama konkrētās situācijas apstākļos. </w:t>
      </w:r>
      <w:r>
        <w:t>N</w:t>
      </w:r>
      <w:r w:rsidRPr="00354C62">
        <w:t xml:space="preserve">oziedzīgiem nodarījumiem aiz neuzmanības </w:t>
      </w:r>
      <w:r>
        <w:t>parasti</w:t>
      </w:r>
      <w:r w:rsidRPr="00354C62">
        <w:t xml:space="preserve"> ir raksturīgi, ka kaitīgās sekas rodas nevis personības noturīgas ievirzes, bet konkrētās situācijas kļūdaina novērtējuma dēļ.</w:t>
      </w:r>
      <w:r>
        <w:t xml:space="preserve"> </w:t>
      </w:r>
      <w:r w:rsidRPr="00354C62">
        <w:t>T</w:t>
      </w:r>
      <w:r>
        <w:t>ādēļ t</w:t>
      </w:r>
      <w:r w:rsidRPr="00354C62">
        <w:t>as, ka apsūdzētajai kopumā nepiemīt būtiskas uzvedības vai domāšanas kļūdas un viņas rīcībai bijis gadījuma raksturs, neizslēdz</w:t>
      </w:r>
      <w:r>
        <w:t xml:space="preserve"> to</w:t>
      </w:r>
      <w:r w:rsidRPr="00354C62">
        <w:t xml:space="preserve">, ka konkrētajā situācijā viņa </w:t>
      </w:r>
      <w:r w:rsidR="00C34543">
        <w:t xml:space="preserve">kļūdaini </w:t>
      </w:r>
      <w:r w:rsidRPr="00354C62">
        <w:t>novērtēja pastāvošo</w:t>
      </w:r>
      <w:r w:rsidR="00C34543">
        <w:t>s</w:t>
      </w:r>
      <w:r w:rsidRPr="00354C62">
        <w:t xml:space="preserve"> risku</w:t>
      </w:r>
      <w:r>
        <w:t>s</w:t>
      </w:r>
      <w:r w:rsidRPr="00354C62">
        <w:t xml:space="preserve"> un tādējādi pieļāva noziedzīgu nevērību.</w:t>
      </w:r>
      <w:r>
        <w:t xml:space="preserve"> </w:t>
      </w:r>
    </w:p>
    <w:p w14:paraId="3B5B1BE5" w14:textId="4F5FF3E7" w:rsidR="0078590C" w:rsidRDefault="00600726" w:rsidP="00CC4F2F">
      <w:pPr>
        <w:widowControl w:val="0"/>
        <w:spacing w:after="0" w:line="276" w:lineRule="auto"/>
        <w:ind w:firstLine="720"/>
        <w:jc w:val="both"/>
      </w:pPr>
      <w:r w:rsidRPr="00600726">
        <w:t xml:space="preserve">Senātam nerodas šaubas par pārsūdzētā nolēmuma tiesiskumu arī daļā par </w:t>
      </w:r>
      <w:r w:rsidR="0078590C">
        <w:t xml:space="preserve">apsūdzētās atzīšanu par nevainīgu </w:t>
      </w:r>
      <w:r w:rsidRPr="00600726">
        <w:t>pēc Krimināllikuma 174.</w:t>
      </w:r>
      <w:r w:rsidR="00A6649E">
        <w:t> </w:t>
      </w:r>
      <w:r w:rsidRPr="00600726">
        <w:t>panta otrās daļas</w:t>
      </w:r>
      <w:r w:rsidR="00DA2BE6">
        <w:t>.</w:t>
      </w:r>
    </w:p>
    <w:p w14:paraId="30789260" w14:textId="4A12B426" w:rsidR="00C4782C" w:rsidRDefault="00C4782C" w:rsidP="00C4782C">
      <w:pPr>
        <w:widowControl w:val="0"/>
        <w:spacing w:after="0" w:line="276" w:lineRule="auto"/>
        <w:ind w:firstLine="720"/>
        <w:jc w:val="both"/>
        <w:rPr>
          <w:rFonts w:eastAsia="Calibri" w:cs="Times New Roman"/>
        </w:rPr>
      </w:pPr>
      <w:r>
        <w:rPr>
          <w:rFonts w:asciiTheme="majorBidi" w:hAnsiTheme="majorBidi" w:cstheme="majorBidi"/>
        </w:rPr>
        <w:t xml:space="preserve">Senāts konstatē, ka </w:t>
      </w:r>
      <w:r>
        <w:rPr>
          <w:rFonts w:eastAsia="Calibri" w:cs="Times New Roman"/>
        </w:rPr>
        <w:t>a</w:t>
      </w:r>
      <w:r w:rsidRPr="0078590C">
        <w:rPr>
          <w:rFonts w:eastAsia="Calibri" w:cs="Times New Roman"/>
        </w:rPr>
        <w:t xml:space="preserve">psūdzība </w:t>
      </w:r>
      <w:r w:rsidR="00C973FE" w:rsidRPr="00600726">
        <w:t>pēc Krimināllikuma 174.</w:t>
      </w:r>
      <w:r w:rsidR="00E35BB9">
        <w:t> </w:t>
      </w:r>
      <w:r w:rsidR="00C973FE" w:rsidRPr="00600726">
        <w:t>panta otrās daļas</w:t>
      </w:r>
      <w:r w:rsidR="00C973FE">
        <w:t xml:space="preserve"> </w:t>
      </w:r>
      <w:r w:rsidRPr="0078590C">
        <w:rPr>
          <w:rFonts w:eastAsia="Calibri" w:cs="Times New Roman"/>
        </w:rPr>
        <w:t xml:space="preserve">balstīta tajos </w:t>
      </w:r>
      <w:r w:rsidRPr="0078590C">
        <w:rPr>
          <w:rFonts w:eastAsia="Calibri" w:cs="Times New Roman"/>
        </w:rPr>
        <w:lastRenderedPageBreak/>
        <w:t>pašos faktiskajos apstākļos kā apsūdzība pēc Krimināllikuma 123.</w:t>
      </w:r>
      <w:r w:rsidR="00A6649E">
        <w:rPr>
          <w:rFonts w:eastAsia="Calibri" w:cs="Times New Roman"/>
        </w:rPr>
        <w:t> </w:t>
      </w:r>
      <w:r w:rsidRPr="0078590C">
        <w:rPr>
          <w:rFonts w:eastAsia="Calibri" w:cs="Times New Roman"/>
        </w:rPr>
        <w:t>panta pirmās daļas.</w:t>
      </w:r>
    </w:p>
    <w:p w14:paraId="619C7AE0" w14:textId="106B0FD9" w:rsidR="005C3645" w:rsidRPr="00C4782C" w:rsidRDefault="00C4782C" w:rsidP="00C4782C">
      <w:pPr>
        <w:widowControl w:val="0"/>
        <w:spacing w:after="0" w:line="276" w:lineRule="auto"/>
        <w:ind w:firstLine="720"/>
        <w:jc w:val="both"/>
        <w:rPr>
          <w:rFonts w:eastAsia="Calibri" w:cs="Times New Roman"/>
        </w:rPr>
      </w:pPr>
      <w:r>
        <w:rPr>
          <w:rFonts w:eastAsia="Calibri" w:cs="Times New Roman"/>
        </w:rPr>
        <w:t>A</w:t>
      </w:r>
      <w:r>
        <w:rPr>
          <w:rFonts w:asciiTheme="majorBidi" w:hAnsiTheme="majorBidi" w:cstheme="majorBidi"/>
        </w:rPr>
        <w:t xml:space="preserve">pelācijas instances tiesa </w:t>
      </w:r>
      <w:r w:rsidR="005C3645" w:rsidRPr="0043046D">
        <w:rPr>
          <w:rFonts w:asciiTheme="majorBidi" w:hAnsiTheme="majorBidi" w:cstheme="majorBidi"/>
        </w:rPr>
        <w:t xml:space="preserve">atzinusi, ka </w:t>
      </w:r>
      <w:r w:rsidRPr="00600726">
        <w:t>Krimināllikuma 174.</w:t>
      </w:r>
      <w:r w:rsidR="00A6649E">
        <w:t> </w:t>
      </w:r>
      <w:r w:rsidRPr="00600726">
        <w:t>panta otr</w:t>
      </w:r>
      <w:r>
        <w:t>ajā</w:t>
      </w:r>
      <w:r w:rsidRPr="00600726">
        <w:t xml:space="preserve"> daļ</w:t>
      </w:r>
      <w:r>
        <w:t>ā paredzētais</w:t>
      </w:r>
      <w:r w:rsidR="005C3645" w:rsidRPr="0043046D">
        <w:rPr>
          <w:rFonts w:asciiTheme="majorBidi" w:hAnsiTheme="majorBidi" w:cstheme="majorBidi"/>
        </w:rPr>
        <w:t xml:space="preserve"> noziedzīgais nodarījums ir tīšs, tomēr lietā esošie pierādījumi neapstiprina apsūdzētās tīšu vainas formu.</w:t>
      </w:r>
    </w:p>
    <w:p w14:paraId="0CE2D999" w14:textId="7FFE5F2E" w:rsidR="0078590C" w:rsidRPr="0078590C" w:rsidRDefault="004C7261" w:rsidP="0078590C">
      <w:pPr>
        <w:widowControl w:val="0"/>
        <w:spacing w:after="0" w:line="276" w:lineRule="auto"/>
        <w:ind w:firstLine="720"/>
        <w:jc w:val="both"/>
        <w:rPr>
          <w:rFonts w:eastAsia="Calibri" w:cs="Times New Roman"/>
        </w:rPr>
      </w:pPr>
      <w:r>
        <w:rPr>
          <w:rFonts w:eastAsia="Calibri" w:cs="Times New Roman"/>
        </w:rPr>
        <w:t>Pretēji prokurora</w:t>
      </w:r>
      <w:r w:rsidR="00A6649E">
        <w:rPr>
          <w:rFonts w:eastAsia="Calibri" w:cs="Times New Roman"/>
        </w:rPr>
        <w:t xml:space="preserve"> kasācijas</w:t>
      </w:r>
      <w:r>
        <w:rPr>
          <w:rFonts w:eastAsia="Calibri" w:cs="Times New Roman"/>
        </w:rPr>
        <w:t xml:space="preserve"> protestā norādītajam u</w:t>
      </w:r>
      <w:r w:rsidR="0078590C" w:rsidRPr="0078590C">
        <w:rPr>
          <w:rFonts w:eastAsia="Calibri" w:cs="Times New Roman"/>
        </w:rPr>
        <w:t>zraudzības pienākuma nepildīšana, ja nav nodoma nodarīt kaitējumu mazgadīgajam, pati par sevi nav nedz apzināta vardarbī</w:t>
      </w:r>
      <w:r w:rsidR="00A6649E">
        <w:rPr>
          <w:rFonts w:eastAsia="Calibri" w:cs="Times New Roman"/>
        </w:rPr>
        <w:t>b</w:t>
      </w:r>
      <w:r w:rsidR="0078590C" w:rsidRPr="0078590C">
        <w:rPr>
          <w:rFonts w:eastAsia="Calibri" w:cs="Times New Roman"/>
        </w:rPr>
        <w:t>a, nedz apzināta cietsirdīga apiešanās ar mazgadīgo.</w:t>
      </w:r>
    </w:p>
    <w:p w14:paraId="27D41412" w14:textId="7F34F87D" w:rsidR="0078590C" w:rsidRPr="0078590C" w:rsidRDefault="0078590C" w:rsidP="00CC4F2F">
      <w:pPr>
        <w:widowControl w:val="0"/>
        <w:spacing w:after="0" w:line="276" w:lineRule="auto"/>
        <w:ind w:firstLine="720"/>
        <w:jc w:val="both"/>
        <w:rPr>
          <w:rFonts w:eastAsia="Calibri" w:cs="Times New Roman"/>
        </w:rPr>
      </w:pPr>
      <w:r w:rsidRPr="0078590C">
        <w:rPr>
          <w:rFonts w:eastAsia="Calibri" w:cs="Times New Roman"/>
        </w:rPr>
        <w:t>Protestā paustais viedoklis faktiski nozīmē, ka vienām un tām pašām sekām – bērna nāvei – vienlaikus tiek piedēvētas divas savstarpēji izslēdzošas vainas formas: neuzmanība pēc Krimināllikuma 123.</w:t>
      </w:r>
      <w:r w:rsidR="00A6649E">
        <w:rPr>
          <w:rFonts w:eastAsia="Calibri" w:cs="Times New Roman"/>
        </w:rPr>
        <w:t> </w:t>
      </w:r>
      <w:r w:rsidRPr="0078590C">
        <w:rPr>
          <w:rFonts w:eastAsia="Calibri" w:cs="Times New Roman"/>
        </w:rPr>
        <w:t>panta pirmās daļas un nodoms pēc Krimināllikuma 174.</w:t>
      </w:r>
      <w:r w:rsidR="00A6649E">
        <w:rPr>
          <w:rFonts w:eastAsia="Calibri" w:cs="Times New Roman"/>
        </w:rPr>
        <w:t> </w:t>
      </w:r>
      <w:r w:rsidRPr="0078590C">
        <w:rPr>
          <w:rFonts w:eastAsia="Calibri" w:cs="Times New Roman"/>
        </w:rPr>
        <w:t xml:space="preserve">panta otrās daļas. </w:t>
      </w:r>
      <w:r w:rsidRPr="00CC4F2F">
        <w:rPr>
          <w:rFonts w:eastAsia="Calibri" w:cs="Times New Roman"/>
        </w:rPr>
        <w:t>Šāda vainas formu konstrukcija krimināltiesībās</w:t>
      </w:r>
      <w:r w:rsidR="00CC4F2F">
        <w:rPr>
          <w:rFonts w:eastAsia="Calibri" w:cs="Times New Roman"/>
        </w:rPr>
        <w:t xml:space="preserve"> ir acīmredzami aplama</w:t>
      </w:r>
      <w:r w:rsidRPr="00CC4F2F">
        <w:rPr>
          <w:rFonts w:eastAsia="Calibri" w:cs="Times New Roman"/>
        </w:rPr>
        <w:t>.</w:t>
      </w:r>
      <w:r w:rsidR="00CC4F2F" w:rsidRPr="00CC4F2F">
        <w:rPr>
          <w:rFonts w:eastAsia="Calibri" w:cs="Times New Roman"/>
        </w:rPr>
        <w:t xml:space="preserve"> </w:t>
      </w:r>
      <w:r w:rsidR="00CC4F2F">
        <w:t>V</w:t>
      </w:r>
      <w:r w:rsidR="00CC4F2F" w:rsidRPr="0019787B">
        <w:t>ien</w:t>
      </w:r>
      <w:r w:rsidR="00CC4F2F">
        <w:t>as</w:t>
      </w:r>
      <w:r w:rsidR="00CC4F2F" w:rsidRPr="0019787B">
        <w:t xml:space="preserve"> un t</w:t>
      </w:r>
      <w:r w:rsidR="00CC4F2F">
        <w:t>ās</w:t>
      </w:r>
      <w:r w:rsidR="00CC4F2F" w:rsidRPr="0019787B">
        <w:t xml:space="preserve"> pa</w:t>
      </w:r>
      <w:r w:rsidR="00CC4F2F">
        <w:t>šas sekas</w:t>
      </w:r>
      <w:r w:rsidR="00CC4F2F" w:rsidRPr="0019787B">
        <w:t xml:space="preserve"> nevar vienlaikus būt </w:t>
      </w:r>
      <w:r w:rsidR="00CC4F2F">
        <w:t>radītas</w:t>
      </w:r>
      <w:r w:rsidR="00CC4F2F" w:rsidRPr="0019787B">
        <w:t xml:space="preserve"> gan tīši, gan aiz neuzmanības</w:t>
      </w:r>
      <w:r w:rsidR="00CC4F2F">
        <w:rPr>
          <w:rFonts w:eastAsia="Calibri" w:cs="Times New Roman"/>
        </w:rPr>
        <w:t>.</w:t>
      </w:r>
    </w:p>
    <w:p w14:paraId="1A7B00E2" w14:textId="77777777" w:rsidR="000E6628" w:rsidRPr="00104200" w:rsidRDefault="000E6628" w:rsidP="000E6628">
      <w:pPr>
        <w:widowControl w:val="0"/>
        <w:spacing w:after="0" w:line="276" w:lineRule="auto"/>
        <w:ind w:firstLine="720"/>
        <w:jc w:val="both"/>
      </w:pPr>
      <w:r w:rsidRPr="00104200">
        <w:t>Ievērojot minēto, Senātam šajā daļā nerodas šaubas par pārsūdzētā nolēmuma tiesiskumu un izskatāmajai lietai nav būtiskas nozīmes judikatūras veidošanā.</w:t>
      </w:r>
    </w:p>
    <w:p w14:paraId="7BDDAB33" w14:textId="77777777" w:rsidR="000E6628" w:rsidRDefault="000E6628" w:rsidP="000E6628">
      <w:pPr>
        <w:widowControl w:val="0"/>
        <w:spacing w:after="0" w:line="276" w:lineRule="auto"/>
        <w:ind w:firstLine="720"/>
        <w:jc w:val="both"/>
      </w:pPr>
      <w:r w:rsidRPr="00104200">
        <w:t xml:space="preserve">Minētais ir pamats atteikumam ierosināt kasācijas tiesvedību </w:t>
      </w:r>
      <w:r w:rsidRPr="004B6392">
        <w:t xml:space="preserve">šajā daļā </w:t>
      </w:r>
      <w:r w:rsidRPr="00104200">
        <w:t>saskaņā ar Kriminālprocesa likuma 573.</w:t>
      </w:r>
      <w:r w:rsidRPr="00104200">
        <w:rPr>
          <w:vertAlign w:val="superscript"/>
        </w:rPr>
        <w:t>1</w:t>
      </w:r>
      <w:r w:rsidRPr="00104200">
        <w:t xml:space="preserve"> panta otrās daļas 2. punktu.</w:t>
      </w:r>
    </w:p>
    <w:p w14:paraId="71E334B0" w14:textId="201E13C2" w:rsidR="00722E25" w:rsidRDefault="00722E25" w:rsidP="00722E25">
      <w:pPr>
        <w:widowControl w:val="0"/>
        <w:spacing w:after="0" w:line="276" w:lineRule="auto"/>
        <w:ind w:firstLine="720"/>
        <w:jc w:val="both"/>
      </w:pPr>
      <w:r w:rsidRPr="008907EC">
        <w:t xml:space="preserve">Pamatojoties uz Kriminālprocesa likuma 573. panta trešo un piekto daļu, </w:t>
      </w:r>
      <w:r w:rsidRPr="000E6628">
        <w:t>573.</w:t>
      </w:r>
      <w:r w:rsidRPr="000E6628">
        <w:rPr>
          <w:vertAlign w:val="superscript"/>
        </w:rPr>
        <w:t>1 </w:t>
      </w:r>
      <w:r w:rsidRPr="000E6628">
        <w:t>panta pirmo daļu</w:t>
      </w:r>
      <w:r w:rsidR="000E6628">
        <w:t xml:space="preserve"> un otrās daļas 2. punktu</w:t>
      </w:r>
      <w:r w:rsidRPr="000E6628">
        <w:t>, Senāts</w:t>
      </w:r>
    </w:p>
    <w:p w14:paraId="34692F76" w14:textId="77777777" w:rsidR="00722E25" w:rsidRDefault="00722E25" w:rsidP="00722E25">
      <w:pPr>
        <w:widowControl w:val="0"/>
        <w:spacing w:after="0" w:line="276" w:lineRule="auto"/>
        <w:ind w:firstLine="720"/>
        <w:jc w:val="both"/>
      </w:pPr>
    </w:p>
    <w:p w14:paraId="424E8E85" w14:textId="77777777" w:rsidR="00722E25" w:rsidRPr="00CC0A2A" w:rsidRDefault="00722E25" w:rsidP="00722E25">
      <w:pPr>
        <w:widowControl w:val="0"/>
        <w:spacing w:after="0" w:line="276" w:lineRule="auto"/>
        <w:jc w:val="center"/>
        <w:rPr>
          <w:b/>
          <w:bCs/>
        </w:rPr>
      </w:pPr>
      <w:r w:rsidRPr="00CC0A2A">
        <w:rPr>
          <w:b/>
          <w:bCs/>
        </w:rPr>
        <w:t>nolēma</w:t>
      </w:r>
    </w:p>
    <w:p w14:paraId="5ABE5730" w14:textId="77777777" w:rsidR="00722E25" w:rsidRDefault="00722E25" w:rsidP="00722E25">
      <w:pPr>
        <w:widowControl w:val="0"/>
        <w:spacing w:after="0" w:line="276" w:lineRule="auto"/>
        <w:ind w:firstLine="720"/>
        <w:jc w:val="both"/>
      </w:pPr>
    </w:p>
    <w:p w14:paraId="5323A23B" w14:textId="77777777" w:rsidR="00722E25" w:rsidRDefault="00722E25" w:rsidP="00722E25">
      <w:pPr>
        <w:widowControl w:val="0"/>
        <w:spacing w:after="0" w:line="276" w:lineRule="auto"/>
        <w:ind w:firstLine="720"/>
        <w:jc w:val="both"/>
      </w:pPr>
      <w:r>
        <w:t>atteikt ierosināt kasācijas tiesvedību.</w:t>
      </w:r>
    </w:p>
    <w:p w14:paraId="19138A73" w14:textId="77777777" w:rsidR="00722E25" w:rsidRDefault="00722E25" w:rsidP="00722E25">
      <w:pPr>
        <w:widowControl w:val="0"/>
        <w:spacing w:after="0" w:line="276" w:lineRule="auto"/>
        <w:ind w:firstLine="720"/>
        <w:jc w:val="both"/>
      </w:pPr>
    </w:p>
    <w:p w14:paraId="1D7508E0" w14:textId="42FBB153" w:rsidR="006300E8" w:rsidRDefault="00722E25" w:rsidP="00AE6FE4">
      <w:pPr>
        <w:widowControl w:val="0"/>
        <w:spacing w:after="0" w:line="276" w:lineRule="auto"/>
        <w:ind w:firstLine="720"/>
        <w:jc w:val="both"/>
      </w:pPr>
      <w:r>
        <w:t>Lēmums nav pārsūdzams.</w:t>
      </w:r>
    </w:p>
    <w:sectPr w:rsidR="006300E8" w:rsidSect="00722E25">
      <w:headerReference w:type="even" r:id="rId7"/>
      <w:headerReference w:type="default" r:id="rId8"/>
      <w:footerReference w:type="even" r:id="rId9"/>
      <w:footerReference w:type="default" r:id="rId10"/>
      <w:headerReference w:type="first" r:id="rId11"/>
      <w:footerReference w:type="first" r:id="rId12"/>
      <w:pgSz w:w="12240" w:h="15840"/>
      <w:pgMar w:top="993"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C8DA" w14:textId="77777777" w:rsidR="00067F6C" w:rsidRDefault="00067F6C">
      <w:pPr>
        <w:spacing w:after="0" w:line="240" w:lineRule="auto"/>
      </w:pPr>
      <w:r>
        <w:separator/>
      </w:r>
    </w:p>
  </w:endnote>
  <w:endnote w:type="continuationSeparator" w:id="0">
    <w:p w14:paraId="4260B389" w14:textId="77777777" w:rsidR="00067F6C" w:rsidRDefault="0006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CAD7" w14:textId="77777777" w:rsidR="00AE6FE4" w:rsidRDefault="00AE6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62382"/>
      <w:docPartObj>
        <w:docPartGallery w:val="Page Numbers (Bottom of Page)"/>
        <w:docPartUnique/>
      </w:docPartObj>
    </w:sdtPr>
    <w:sdtEndPr/>
    <w:sdtContent>
      <w:sdt>
        <w:sdtPr>
          <w:id w:val="1728636285"/>
          <w:docPartObj>
            <w:docPartGallery w:val="Page Numbers (Top of Page)"/>
            <w:docPartUnique/>
          </w:docPartObj>
        </w:sdtPr>
        <w:sdtEndPr/>
        <w:sdtContent>
          <w:p w14:paraId="3B3CB4C9" w14:textId="0750D4AD" w:rsidR="00722E25" w:rsidRDefault="00722E25" w:rsidP="00AE6FE4">
            <w:pPr>
              <w:pStyle w:val="Footer"/>
              <w:jc w:val="center"/>
            </w:pPr>
            <w:r w:rsidRPr="002B46DB">
              <w:rPr>
                <w:sz w:val="20"/>
                <w:szCs w:val="20"/>
              </w:rPr>
              <w:fldChar w:fldCharType="begin"/>
            </w:r>
            <w:r w:rsidRPr="002B46DB">
              <w:rPr>
                <w:sz w:val="20"/>
                <w:szCs w:val="20"/>
              </w:rPr>
              <w:instrText xml:space="preserve"> PAGE </w:instrText>
            </w:r>
            <w:r w:rsidRPr="002B46DB">
              <w:rPr>
                <w:sz w:val="20"/>
                <w:szCs w:val="20"/>
              </w:rPr>
              <w:fldChar w:fldCharType="separate"/>
            </w:r>
            <w:r w:rsidRPr="002B46DB">
              <w:rPr>
                <w:noProof/>
                <w:sz w:val="20"/>
                <w:szCs w:val="20"/>
              </w:rPr>
              <w:t>2</w:t>
            </w:r>
            <w:r w:rsidRPr="002B46DB">
              <w:rPr>
                <w:sz w:val="20"/>
                <w:szCs w:val="20"/>
              </w:rPr>
              <w:fldChar w:fldCharType="end"/>
            </w:r>
            <w:r w:rsidRPr="002B46DB">
              <w:rPr>
                <w:sz w:val="20"/>
                <w:szCs w:val="20"/>
              </w:rPr>
              <w:t xml:space="preserve"> no </w:t>
            </w:r>
            <w:r w:rsidRPr="002B46DB">
              <w:rPr>
                <w:sz w:val="20"/>
                <w:szCs w:val="20"/>
              </w:rPr>
              <w:fldChar w:fldCharType="begin"/>
            </w:r>
            <w:r w:rsidRPr="002B46DB">
              <w:rPr>
                <w:sz w:val="20"/>
                <w:szCs w:val="20"/>
              </w:rPr>
              <w:instrText xml:space="preserve"> NUMPAGES  </w:instrText>
            </w:r>
            <w:r w:rsidRPr="002B46DB">
              <w:rPr>
                <w:sz w:val="20"/>
                <w:szCs w:val="20"/>
              </w:rPr>
              <w:fldChar w:fldCharType="separate"/>
            </w:r>
            <w:r w:rsidRPr="002B46DB">
              <w:rPr>
                <w:noProof/>
                <w:sz w:val="20"/>
                <w:szCs w:val="20"/>
              </w:rPr>
              <w:t>2</w:t>
            </w:r>
            <w:r w:rsidRPr="002B46DB">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5746" w14:textId="77777777" w:rsidR="00AE6FE4" w:rsidRDefault="00AE6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A08F2" w14:textId="77777777" w:rsidR="00067F6C" w:rsidRDefault="00067F6C">
      <w:pPr>
        <w:spacing w:after="0" w:line="240" w:lineRule="auto"/>
      </w:pPr>
      <w:r>
        <w:separator/>
      </w:r>
    </w:p>
  </w:footnote>
  <w:footnote w:type="continuationSeparator" w:id="0">
    <w:p w14:paraId="1A2A1DCA" w14:textId="77777777" w:rsidR="00067F6C" w:rsidRDefault="00067F6C">
      <w:pPr>
        <w:spacing w:after="0" w:line="240" w:lineRule="auto"/>
      </w:pPr>
      <w:r>
        <w:continuationSeparator/>
      </w:r>
    </w:p>
  </w:footnote>
  <w:footnote w:id="1">
    <w:p w14:paraId="7CBDE6FC" w14:textId="77777777" w:rsidR="00550057" w:rsidRDefault="00550057" w:rsidP="00550057">
      <w:pPr>
        <w:pStyle w:val="FootnoteText"/>
        <w:rPr>
          <w:lang w:val="lv-LV"/>
        </w:rPr>
      </w:pPr>
      <w:r>
        <w:rPr>
          <w:rStyle w:val="FootnoteReference"/>
          <w:lang w:val="lv-LV"/>
        </w:rPr>
        <w:footnoteRef/>
      </w:r>
      <w:r>
        <w:rPr>
          <w:lang w:val="lv-LV"/>
        </w:rPr>
        <w:t xml:space="preserve"> Slēgtas lietas statuss.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00D3" w14:textId="77777777" w:rsidR="00AE6FE4" w:rsidRDefault="00AE6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DB6D" w14:textId="77777777" w:rsidR="00AE6FE4" w:rsidRDefault="00AE6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135D" w14:textId="77777777" w:rsidR="00AE6FE4" w:rsidRDefault="00AE6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E7A2D"/>
    <w:multiLevelType w:val="multilevel"/>
    <w:tmpl w:val="A318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688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5"/>
    <w:rsid w:val="00021C95"/>
    <w:rsid w:val="00036CEF"/>
    <w:rsid w:val="00053878"/>
    <w:rsid w:val="00067F01"/>
    <w:rsid w:val="00067F6C"/>
    <w:rsid w:val="000E6628"/>
    <w:rsid w:val="00104A78"/>
    <w:rsid w:val="001842AC"/>
    <w:rsid w:val="001B1424"/>
    <w:rsid w:val="001C1C48"/>
    <w:rsid w:val="00201F92"/>
    <w:rsid w:val="00245F35"/>
    <w:rsid w:val="002674CF"/>
    <w:rsid w:val="002B18B0"/>
    <w:rsid w:val="002D0ACE"/>
    <w:rsid w:val="002E4E3A"/>
    <w:rsid w:val="00354C62"/>
    <w:rsid w:val="003C063F"/>
    <w:rsid w:val="0040039D"/>
    <w:rsid w:val="004202AC"/>
    <w:rsid w:val="0043046D"/>
    <w:rsid w:val="00446BCA"/>
    <w:rsid w:val="0049192F"/>
    <w:rsid w:val="004C7261"/>
    <w:rsid w:val="00512755"/>
    <w:rsid w:val="00532D21"/>
    <w:rsid w:val="00550057"/>
    <w:rsid w:val="0055600A"/>
    <w:rsid w:val="00561431"/>
    <w:rsid w:val="005A29CD"/>
    <w:rsid w:val="005B789C"/>
    <w:rsid w:val="005C31CC"/>
    <w:rsid w:val="005C3645"/>
    <w:rsid w:val="00600726"/>
    <w:rsid w:val="006300E8"/>
    <w:rsid w:val="00640023"/>
    <w:rsid w:val="00722E25"/>
    <w:rsid w:val="00737811"/>
    <w:rsid w:val="00765F9E"/>
    <w:rsid w:val="0078590C"/>
    <w:rsid w:val="00790FB3"/>
    <w:rsid w:val="007E7A0B"/>
    <w:rsid w:val="00824FED"/>
    <w:rsid w:val="00834D30"/>
    <w:rsid w:val="00851A71"/>
    <w:rsid w:val="008A26BE"/>
    <w:rsid w:val="008A50F9"/>
    <w:rsid w:val="008F2FB2"/>
    <w:rsid w:val="009145AF"/>
    <w:rsid w:val="00985450"/>
    <w:rsid w:val="009B4721"/>
    <w:rsid w:val="009C577D"/>
    <w:rsid w:val="00A31FBA"/>
    <w:rsid w:val="00A557E3"/>
    <w:rsid w:val="00A6649E"/>
    <w:rsid w:val="00AE6FE4"/>
    <w:rsid w:val="00AF0039"/>
    <w:rsid w:val="00B0186B"/>
    <w:rsid w:val="00BD672C"/>
    <w:rsid w:val="00C34543"/>
    <w:rsid w:val="00C4782C"/>
    <w:rsid w:val="00C5272D"/>
    <w:rsid w:val="00C973FE"/>
    <w:rsid w:val="00CC2931"/>
    <w:rsid w:val="00CC2A01"/>
    <w:rsid w:val="00CC4F2F"/>
    <w:rsid w:val="00CC7051"/>
    <w:rsid w:val="00CE3BFC"/>
    <w:rsid w:val="00CF07F6"/>
    <w:rsid w:val="00CF0E48"/>
    <w:rsid w:val="00D03A03"/>
    <w:rsid w:val="00D1523E"/>
    <w:rsid w:val="00D24512"/>
    <w:rsid w:val="00D270BD"/>
    <w:rsid w:val="00D36747"/>
    <w:rsid w:val="00DA2BE6"/>
    <w:rsid w:val="00DC7E91"/>
    <w:rsid w:val="00E0062D"/>
    <w:rsid w:val="00E0660D"/>
    <w:rsid w:val="00E25139"/>
    <w:rsid w:val="00E33CD4"/>
    <w:rsid w:val="00E35BB9"/>
    <w:rsid w:val="00E46B48"/>
    <w:rsid w:val="00EC43EF"/>
    <w:rsid w:val="00F04A96"/>
    <w:rsid w:val="00F80641"/>
    <w:rsid w:val="00FB0ED7"/>
    <w:rsid w:val="00FE6D5B"/>
    <w:rsid w:val="00FF3A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CB8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25"/>
    <w:rPr>
      <w:lang w:val="lv-LV"/>
    </w:rPr>
  </w:style>
  <w:style w:type="paragraph" w:styleId="Heading1">
    <w:name w:val="heading 1"/>
    <w:basedOn w:val="Normal"/>
    <w:next w:val="Normal"/>
    <w:link w:val="Heading1Char"/>
    <w:uiPriority w:val="9"/>
    <w:qFormat/>
    <w:rsid w:val="00722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E2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E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2E2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22E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2E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2E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2E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E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E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E2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E2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2E2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2E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2E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2E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2E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2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E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E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2E25"/>
    <w:pPr>
      <w:spacing w:before="160"/>
      <w:jc w:val="center"/>
    </w:pPr>
    <w:rPr>
      <w:i/>
      <w:iCs/>
      <w:color w:val="404040" w:themeColor="text1" w:themeTint="BF"/>
    </w:rPr>
  </w:style>
  <w:style w:type="character" w:customStyle="1" w:styleId="QuoteChar">
    <w:name w:val="Quote Char"/>
    <w:basedOn w:val="DefaultParagraphFont"/>
    <w:link w:val="Quote"/>
    <w:uiPriority w:val="29"/>
    <w:rsid w:val="00722E25"/>
    <w:rPr>
      <w:i/>
      <w:iCs/>
      <w:color w:val="404040" w:themeColor="text1" w:themeTint="BF"/>
    </w:rPr>
  </w:style>
  <w:style w:type="paragraph" w:styleId="ListParagraph">
    <w:name w:val="List Paragraph"/>
    <w:basedOn w:val="Normal"/>
    <w:uiPriority w:val="34"/>
    <w:qFormat/>
    <w:rsid w:val="00722E25"/>
    <w:pPr>
      <w:ind w:left="720"/>
      <w:contextualSpacing/>
    </w:pPr>
  </w:style>
  <w:style w:type="character" w:styleId="IntenseEmphasis">
    <w:name w:val="Intense Emphasis"/>
    <w:basedOn w:val="DefaultParagraphFont"/>
    <w:uiPriority w:val="21"/>
    <w:qFormat/>
    <w:rsid w:val="00722E25"/>
    <w:rPr>
      <w:i/>
      <w:iCs/>
      <w:color w:val="2F5496" w:themeColor="accent1" w:themeShade="BF"/>
    </w:rPr>
  </w:style>
  <w:style w:type="paragraph" w:styleId="IntenseQuote">
    <w:name w:val="Intense Quote"/>
    <w:basedOn w:val="Normal"/>
    <w:next w:val="Normal"/>
    <w:link w:val="IntenseQuoteChar"/>
    <w:uiPriority w:val="30"/>
    <w:qFormat/>
    <w:rsid w:val="00722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E25"/>
    <w:rPr>
      <w:i/>
      <w:iCs/>
      <w:color w:val="2F5496" w:themeColor="accent1" w:themeShade="BF"/>
    </w:rPr>
  </w:style>
  <w:style w:type="character" w:styleId="IntenseReference">
    <w:name w:val="Intense Reference"/>
    <w:basedOn w:val="DefaultParagraphFont"/>
    <w:uiPriority w:val="32"/>
    <w:qFormat/>
    <w:rsid w:val="00722E25"/>
    <w:rPr>
      <w:b/>
      <w:bCs/>
      <w:smallCaps/>
      <w:color w:val="2F5496" w:themeColor="accent1" w:themeShade="BF"/>
      <w:spacing w:val="5"/>
    </w:rPr>
  </w:style>
  <w:style w:type="table" w:styleId="TableGrid">
    <w:name w:val="Table Grid"/>
    <w:basedOn w:val="TableNormal"/>
    <w:uiPriority w:val="39"/>
    <w:rsid w:val="00722E25"/>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E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722E25"/>
    <w:rPr>
      <w:lang w:val="lv-LV"/>
    </w:rPr>
  </w:style>
  <w:style w:type="paragraph" w:styleId="Footer">
    <w:name w:val="footer"/>
    <w:basedOn w:val="Normal"/>
    <w:link w:val="FooterChar"/>
    <w:uiPriority w:val="99"/>
    <w:unhideWhenUsed/>
    <w:rsid w:val="00722E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722E25"/>
    <w:rPr>
      <w:lang w:val="lv-LV"/>
    </w:rPr>
  </w:style>
  <w:style w:type="paragraph" w:styleId="NormalWeb">
    <w:name w:val="Normal (Web)"/>
    <w:basedOn w:val="Normal"/>
    <w:uiPriority w:val="99"/>
    <w:semiHidden/>
    <w:unhideWhenUsed/>
    <w:rsid w:val="00446BCA"/>
    <w:rPr>
      <w:rFonts w:cs="Times New Roman"/>
    </w:rPr>
  </w:style>
  <w:style w:type="character" w:styleId="CommentReference">
    <w:name w:val="annotation reference"/>
    <w:basedOn w:val="DefaultParagraphFont"/>
    <w:uiPriority w:val="99"/>
    <w:semiHidden/>
    <w:unhideWhenUsed/>
    <w:rsid w:val="00FB0ED7"/>
    <w:rPr>
      <w:sz w:val="16"/>
      <w:szCs w:val="16"/>
    </w:rPr>
  </w:style>
  <w:style w:type="paragraph" w:styleId="CommentText">
    <w:name w:val="annotation text"/>
    <w:basedOn w:val="Normal"/>
    <w:link w:val="CommentTextChar"/>
    <w:uiPriority w:val="99"/>
    <w:unhideWhenUsed/>
    <w:rsid w:val="00FB0ED7"/>
    <w:pPr>
      <w:spacing w:line="240" w:lineRule="auto"/>
    </w:pPr>
    <w:rPr>
      <w:sz w:val="20"/>
      <w:szCs w:val="20"/>
    </w:rPr>
  </w:style>
  <w:style w:type="character" w:customStyle="1" w:styleId="CommentTextChar">
    <w:name w:val="Comment Text Char"/>
    <w:basedOn w:val="DefaultParagraphFont"/>
    <w:link w:val="CommentText"/>
    <w:uiPriority w:val="99"/>
    <w:rsid w:val="00FB0ED7"/>
    <w:rPr>
      <w:sz w:val="20"/>
      <w:szCs w:val="20"/>
      <w:lang w:val="lv-LV"/>
    </w:rPr>
  </w:style>
  <w:style w:type="paragraph" w:styleId="CommentSubject">
    <w:name w:val="annotation subject"/>
    <w:basedOn w:val="CommentText"/>
    <w:next w:val="CommentText"/>
    <w:link w:val="CommentSubjectChar"/>
    <w:uiPriority w:val="99"/>
    <w:semiHidden/>
    <w:unhideWhenUsed/>
    <w:rsid w:val="00FB0ED7"/>
    <w:rPr>
      <w:b/>
      <w:bCs/>
    </w:rPr>
  </w:style>
  <w:style w:type="character" w:customStyle="1" w:styleId="CommentSubjectChar">
    <w:name w:val="Comment Subject Char"/>
    <w:basedOn w:val="CommentTextChar"/>
    <w:link w:val="CommentSubject"/>
    <w:uiPriority w:val="99"/>
    <w:semiHidden/>
    <w:rsid w:val="00FB0ED7"/>
    <w:rPr>
      <w:b/>
      <w:bCs/>
      <w:sz w:val="20"/>
      <w:szCs w:val="20"/>
      <w:lang w:val="lv-LV"/>
    </w:rPr>
  </w:style>
  <w:style w:type="paragraph" w:styleId="Revision">
    <w:name w:val="Revision"/>
    <w:hidden/>
    <w:uiPriority w:val="99"/>
    <w:semiHidden/>
    <w:rsid w:val="007E7A0B"/>
    <w:pPr>
      <w:spacing w:after="0" w:line="240" w:lineRule="auto"/>
    </w:pPr>
    <w:rPr>
      <w:lang w:val="lv-LV"/>
    </w:rPr>
  </w:style>
  <w:style w:type="paragraph" w:styleId="FootnoteText">
    <w:name w:val="footnote text"/>
    <w:basedOn w:val="Normal"/>
    <w:link w:val="FootnoteTextChar"/>
    <w:uiPriority w:val="99"/>
    <w:semiHidden/>
    <w:unhideWhenUsed/>
    <w:rsid w:val="00550057"/>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550057"/>
    <w:rPr>
      <w:kern w:val="0"/>
      <w:sz w:val="20"/>
      <w:szCs w:val="20"/>
      <w14:ligatures w14:val="none"/>
    </w:rPr>
  </w:style>
  <w:style w:type="character" w:styleId="FootnoteReference">
    <w:name w:val="footnote reference"/>
    <w:basedOn w:val="DefaultParagraphFont"/>
    <w:uiPriority w:val="99"/>
    <w:semiHidden/>
    <w:unhideWhenUsed/>
    <w:rsid w:val="00550057"/>
    <w:rPr>
      <w:vertAlign w:val="superscript"/>
    </w:rPr>
  </w:style>
  <w:style w:type="character" w:styleId="Hyperlink">
    <w:name w:val="Hyperlink"/>
    <w:basedOn w:val="DefaultParagraphFont"/>
    <w:uiPriority w:val="99"/>
    <w:unhideWhenUsed/>
    <w:rsid w:val="00AE6F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1799</Words>
  <Characters>10255</Characters>
  <Application>Microsoft Office Word</Application>
  <DocSecurity>0</DocSecurity>
  <Lines>85</Lines>
  <Paragraphs>24</Paragraphs>
  <ScaleCrop>false</ScaleCrop>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2026-07-06T07:05:00Z</dcterms:created>
  <dcterms:modified xsi:type="dcterms:W3CDTF">2026-07-09T08:18:00Z</dcterms:modified>
</cp:coreProperties>
</file>