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A4A9" w14:textId="77777777" w:rsidR="008966F3" w:rsidRPr="00B34F56" w:rsidRDefault="008966F3" w:rsidP="008966F3">
      <w:pPr>
        <w:pStyle w:val="ListParagraph"/>
        <w:spacing w:line="276" w:lineRule="auto"/>
        <w:ind w:left="0"/>
        <w:jc w:val="both"/>
        <w:rPr>
          <w:b/>
          <w:bCs/>
        </w:rPr>
      </w:pPr>
      <w:r w:rsidRPr="00B34F56">
        <w:rPr>
          <w:b/>
          <w:bCs/>
        </w:rPr>
        <w:t>Tiesas pienākums motivēt soda samazinājuma apmēru, ja nav ievērotas tiesības uz kriminālprocesa pabeigšanu saprātīgā termiņā</w:t>
      </w:r>
    </w:p>
    <w:p w14:paraId="1731B805" w14:textId="77777777" w:rsidR="008966F3" w:rsidRPr="00B34F56" w:rsidRDefault="008966F3" w:rsidP="008966F3">
      <w:pPr>
        <w:pStyle w:val="ListParagraph"/>
        <w:spacing w:line="276" w:lineRule="auto"/>
        <w:ind w:left="0"/>
        <w:jc w:val="both"/>
        <w:rPr>
          <w:i/>
          <w:iCs/>
        </w:rPr>
      </w:pPr>
      <w:r w:rsidRPr="00B34F56">
        <w:t>Piemērojot Krimināllikuma 49.¹</w:t>
      </w:r>
      <w:r>
        <w:t> </w:t>
      </w:r>
      <w:r w:rsidRPr="00B34F56">
        <w:t>panta nosacījumus, tiesa motivē konkrēto soda samazinājuma apmēru. Ja tiesa secina, ka tiesību uz kriminālprocesa pabeigšanu saprātīgā termiņā pārkāpums pamato soda noteikšanu zem likumā paredzētās sankcijas minimālās robežas, tā nolēmumā norāda, kā šā pārkāpuma raksturs, ilgums un nozīmīgums ietekmējis konkrēto soda mēru. </w:t>
      </w:r>
    </w:p>
    <w:p w14:paraId="237DB06F" w14:textId="77777777" w:rsidR="008966F3" w:rsidRPr="00B34F56" w:rsidRDefault="008966F3" w:rsidP="008966F3">
      <w:pPr>
        <w:pStyle w:val="ListParagraph"/>
        <w:spacing w:line="276" w:lineRule="auto"/>
        <w:ind w:left="0"/>
        <w:jc w:val="both"/>
        <w:rPr>
          <w:b/>
          <w:bCs/>
        </w:rPr>
      </w:pPr>
    </w:p>
    <w:p w14:paraId="27E658D5" w14:textId="77777777" w:rsidR="008966F3" w:rsidRPr="00B34F56" w:rsidRDefault="008966F3" w:rsidP="008966F3">
      <w:pPr>
        <w:pStyle w:val="ListParagraph"/>
        <w:spacing w:line="276" w:lineRule="auto"/>
        <w:ind w:left="0"/>
        <w:jc w:val="both"/>
        <w:rPr>
          <w:b/>
          <w:bCs/>
          <w:i/>
          <w:iCs/>
        </w:rPr>
      </w:pPr>
      <w:r w:rsidRPr="00B34F56">
        <w:rPr>
          <w:b/>
          <w:bCs/>
        </w:rPr>
        <w:t xml:space="preserve">Argumentācija soda noteikšanai zem likumā paredzētā minimālā sliekšņa </w:t>
      </w:r>
    </w:p>
    <w:p w14:paraId="4AEABA4C" w14:textId="77777777" w:rsidR="008966F3" w:rsidRPr="00B34F56" w:rsidRDefault="008966F3" w:rsidP="008966F3">
      <w:pPr>
        <w:pStyle w:val="ListParagraph"/>
        <w:spacing w:line="276" w:lineRule="auto"/>
        <w:ind w:left="0"/>
        <w:jc w:val="both"/>
      </w:pPr>
      <w:r w:rsidRPr="00B34F56">
        <w:t>Motivējot secinājumu par soda samērīgumu, tiesa visus sodu ietekmējošos apstākļus vērtē kopumā un savstarpējā saistībā.</w:t>
      </w:r>
    </w:p>
    <w:p w14:paraId="29F9C410" w14:textId="7B10E05B" w:rsidR="008966F3" w:rsidRPr="00B34F56" w:rsidRDefault="008966F3" w:rsidP="008966F3">
      <w:pPr>
        <w:pStyle w:val="ListParagraph"/>
        <w:spacing w:line="276" w:lineRule="auto"/>
        <w:ind w:left="0"/>
        <w:jc w:val="both"/>
      </w:pPr>
      <w:r w:rsidRPr="00B34F56">
        <w:t>Piemēram, nosakot sodu zem likumā paredzētā minimālā sliekšņa par narkotisko vielu ietekmē izdarītu noziedzīgu nodarījumu – psihotropo vielu neatļautu iegādāšanos un pārvadāšanu realizācijas nolūkā personu grupā pēc iepriekšējas vienošanās un lielā apmērā</w:t>
      </w:r>
      <w:r>
        <w:t> </w:t>
      </w:r>
      <w:r w:rsidRPr="00B34F56">
        <w:t>–</w:t>
      </w:r>
      <w:r>
        <w:t> </w:t>
      </w:r>
      <w:r w:rsidRPr="00B34F56">
        <w:t xml:space="preserve">, ja konstatēts tiesību uz kriminālprocesa pabeigšanu saprātīgā termiņā pārkāpums, tiesa pamato, vai apstākļi, kas saistīti ar procesa ilgumu, pēc sava nozīmīguma atsver noziedzīgā nodarījuma sevišķo smagumu, tā izdarīšanu realizācijas nolūkā personu grupā, psihotropās vielas lielo apmēru un atbildību pastiprinošo apstākli. </w:t>
      </w:r>
    </w:p>
    <w:p w14:paraId="451E75C9" w14:textId="77777777" w:rsidR="008966F3" w:rsidRPr="00B34F56" w:rsidRDefault="008966F3" w:rsidP="008966F3">
      <w:pPr>
        <w:pStyle w:val="ListParagraph"/>
        <w:spacing w:line="276" w:lineRule="auto"/>
        <w:ind w:left="0"/>
        <w:jc w:val="both"/>
      </w:pPr>
    </w:p>
    <w:p w14:paraId="3C99821A" w14:textId="77777777" w:rsidR="008966F3" w:rsidRPr="00B34F56" w:rsidRDefault="008966F3" w:rsidP="008966F3">
      <w:pPr>
        <w:pStyle w:val="ListParagraph"/>
        <w:spacing w:line="276" w:lineRule="auto"/>
        <w:ind w:left="0"/>
        <w:jc w:val="both"/>
        <w:rPr>
          <w:b/>
          <w:bCs/>
        </w:rPr>
      </w:pPr>
      <w:r w:rsidRPr="00B34F56">
        <w:rPr>
          <w:b/>
          <w:bCs/>
        </w:rPr>
        <w:t>Atzinums par apelācijas sūdzības vai protesta pamatotību apelācijas instances tiesas nolēmumā</w:t>
      </w:r>
    </w:p>
    <w:p w14:paraId="6820F05E" w14:textId="77777777" w:rsidR="008966F3" w:rsidRPr="00B34F56" w:rsidRDefault="008966F3" w:rsidP="008966F3">
      <w:pPr>
        <w:pStyle w:val="ListParagraph"/>
        <w:spacing w:line="276" w:lineRule="auto"/>
        <w:ind w:left="0"/>
        <w:jc w:val="both"/>
      </w:pPr>
      <w:r w:rsidRPr="00B34F56">
        <w:t>Apelācijas instances tiesa, ievērojot Kriminālprocesa likuma 564.</w:t>
      </w:r>
      <w:r>
        <w:t> </w:t>
      </w:r>
      <w:r w:rsidRPr="00B34F56">
        <w:t>panta ceturtās daļas prasības, sniedz motivētu atzinumu par apelācijas sūdzības vai protesta būtiskajiem argumentiem, nodrošinot tādu izvērtējumu, kas ļautu pārbaudīt tiesību normu piemērošanas pareizību.</w:t>
      </w:r>
    </w:p>
    <w:p w14:paraId="177EF334" w14:textId="77777777" w:rsidR="008966F3" w:rsidRPr="00B34F56" w:rsidRDefault="008966F3" w:rsidP="008966F3">
      <w:pPr>
        <w:pStyle w:val="ListParagraph"/>
        <w:spacing w:line="276" w:lineRule="auto"/>
        <w:ind w:left="0"/>
        <w:jc w:val="both"/>
      </w:pPr>
    </w:p>
    <w:p w14:paraId="7C44D9E5" w14:textId="77777777" w:rsidR="008966F3" w:rsidRPr="00B34F56" w:rsidRDefault="008966F3" w:rsidP="008966F3">
      <w:pPr>
        <w:pStyle w:val="ListParagraph"/>
        <w:spacing w:line="276" w:lineRule="auto"/>
        <w:ind w:left="0"/>
        <w:jc w:val="both"/>
        <w:rPr>
          <w:b/>
          <w:bCs/>
        </w:rPr>
      </w:pPr>
      <w:r w:rsidRPr="00B34F56">
        <w:rPr>
          <w:b/>
          <w:bCs/>
        </w:rPr>
        <w:t>Kriminālprocesa virzības ilguma vērtējumā norādāms, kuri procesa posmi atzīstami par attaisnojamu procesa norisi un kuri – par neattaisnotu novilcināšanu</w:t>
      </w:r>
    </w:p>
    <w:p w14:paraId="236737E9" w14:textId="77777777" w:rsidR="008966F3" w:rsidRDefault="008966F3" w:rsidP="00066C04">
      <w:pPr>
        <w:spacing w:line="276" w:lineRule="auto"/>
        <w:jc w:val="center"/>
        <w:rPr>
          <w:b/>
        </w:rPr>
      </w:pPr>
    </w:p>
    <w:p w14:paraId="30EF74F0" w14:textId="51B838C8" w:rsidR="00447EE6" w:rsidRPr="00066C04" w:rsidRDefault="00447EE6" w:rsidP="00066C04">
      <w:pPr>
        <w:spacing w:line="276" w:lineRule="auto"/>
        <w:jc w:val="center"/>
        <w:rPr>
          <w:b/>
        </w:rPr>
      </w:pPr>
      <w:r w:rsidRPr="00066C04">
        <w:rPr>
          <w:b/>
        </w:rPr>
        <w:t>Latvijas Republikas Senāt</w:t>
      </w:r>
      <w:r w:rsidR="00066C04" w:rsidRPr="00066C04">
        <w:rPr>
          <w:b/>
        </w:rPr>
        <w:t>a</w:t>
      </w:r>
    </w:p>
    <w:p w14:paraId="4FA60672" w14:textId="4C2B34A0" w:rsidR="00066C04" w:rsidRPr="00066C04" w:rsidRDefault="00066C04" w:rsidP="00066C04">
      <w:pPr>
        <w:spacing w:line="276" w:lineRule="auto"/>
        <w:jc w:val="center"/>
        <w:rPr>
          <w:b/>
          <w:lang w:eastAsia="lv-LV"/>
        </w:rPr>
      </w:pPr>
      <w:r w:rsidRPr="00066C04">
        <w:rPr>
          <w:b/>
          <w:lang w:eastAsia="lv-LV"/>
        </w:rPr>
        <w:t>Krimināllietu departament</w:t>
      </w:r>
      <w:r>
        <w:rPr>
          <w:b/>
          <w:lang w:eastAsia="lv-LV"/>
        </w:rPr>
        <w:t>a</w:t>
      </w:r>
    </w:p>
    <w:p w14:paraId="489F1743" w14:textId="656F2D07" w:rsidR="00066C04" w:rsidRPr="00066C04" w:rsidRDefault="00066C04" w:rsidP="00066C04">
      <w:pPr>
        <w:spacing w:line="276" w:lineRule="auto"/>
        <w:jc w:val="center"/>
        <w:rPr>
          <w:b/>
        </w:rPr>
      </w:pPr>
      <w:r w:rsidRPr="00066C04">
        <w:rPr>
          <w:b/>
        </w:rPr>
        <w:t>2026. gada 29. jūnij</w:t>
      </w:r>
      <w:r>
        <w:rPr>
          <w:b/>
        </w:rPr>
        <w:t>a</w:t>
      </w:r>
    </w:p>
    <w:p w14:paraId="6D65DEB2" w14:textId="1A75EA7D" w:rsidR="00447EE6" w:rsidRPr="00066C04" w:rsidRDefault="006D5C62" w:rsidP="00066C04">
      <w:pPr>
        <w:spacing w:line="276" w:lineRule="auto"/>
        <w:jc w:val="center"/>
        <w:rPr>
          <w:b/>
        </w:rPr>
      </w:pPr>
      <w:r w:rsidRPr="00066C04">
        <w:rPr>
          <w:b/>
        </w:rPr>
        <w:t>LĒMUMS</w:t>
      </w:r>
    </w:p>
    <w:p w14:paraId="536B4ACC" w14:textId="015C48CB" w:rsidR="006D5C62" w:rsidRPr="00066C04" w:rsidRDefault="00066C04" w:rsidP="00066C04">
      <w:pPr>
        <w:spacing w:line="276" w:lineRule="auto"/>
        <w:jc w:val="center"/>
        <w:rPr>
          <w:b/>
          <w:lang w:eastAsia="lv-LV"/>
        </w:rPr>
      </w:pPr>
      <w:r w:rsidRPr="00066C04">
        <w:rPr>
          <w:b/>
          <w:lang w:eastAsia="lv-LV"/>
        </w:rPr>
        <w:t>Lieta Nr. 11905005021, SKK</w:t>
      </w:r>
      <w:r w:rsidRPr="00066C04">
        <w:rPr>
          <w:b/>
          <w:lang w:eastAsia="lv-LV"/>
        </w:rPr>
        <w:noBreakHyphen/>
        <w:t>265/2026</w:t>
      </w:r>
    </w:p>
    <w:p w14:paraId="61C00B6B" w14:textId="4045862B" w:rsidR="00066C04" w:rsidRDefault="00066C04" w:rsidP="00066C04">
      <w:pPr>
        <w:spacing w:line="276" w:lineRule="auto"/>
        <w:jc w:val="center"/>
        <w:rPr>
          <w:bCs/>
          <w:lang w:eastAsia="lv-LV"/>
        </w:rPr>
      </w:pPr>
      <w:hyperlink r:id="rId8" w:history="1">
        <w:r w:rsidRPr="00066C04">
          <w:rPr>
            <w:rStyle w:val="Hyperlink"/>
            <w:bCs/>
            <w:lang w:eastAsia="lv-LV"/>
          </w:rPr>
          <w:t>ECLI:LV:AT:2026:0629.11905005021.4.L</w:t>
        </w:r>
      </w:hyperlink>
    </w:p>
    <w:p w14:paraId="39B67D0B" w14:textId="77777777" w:rsidR="00066C04" w:rsidRPr="00272EC6" w:rsidRDefault="00066C04" w:rsidP="00066C04">
      <w:pPr>
        <w:spacing w:line="276" w:lineRule="auto"/>
        <w:jc w:val="center"/>
      </w:pPr>
    </w:p>
    <w:p w14:paraId="1609D6F5" w14:textId="3AC17FAA" w:rsidR="00447EE6" w:rsidRDefault="00447EE6" w:rsidP="0058698A">
      <w:pPr>
        <w:spacing w:line="276" w:lineRule="auto"/>
        <w:ind w:firstLine="720"/>
        <w:jc w:val="both"/>
      </w:pPr>
      <w:r w:rsidRPr="00272EC6">
        <w:t>Senāts šādā sastāvā:</w:t>
      </w:r>
      <w:r w:rsidR="006D5C62" w:rsidRPr="00272EC6">
        <w:t xml:space="preserve"> senator</w:t>
      </w:r>
      <w:r w:rsidR="00A403D9">
        <w:t>s</w:t>
      </w:r>
      <w:r w:rsidR="006D5C62" w:rsidRPr="00272EC6">
        <w:t xml:space="preserve"> referent</w:t>
      </w:r>
      <w:r w:rsidR="00A403D9">
        <w:t>s</w:t>
      </w:r>
      <w:r w:rsidR="006D5C62" w:rsidRPr="00272EC6">
        <w:t xml:space="preserve"> </w:t>
      </w:r>
      <w:r w:rsidR="006C10D0">
        <w:t>Jānis Rozenbergs</w:t>
      </w:r>
      <w:r w:rsidR="006D5C62" w:rsidRPr="00272EC6">
        <w:t>, senator</w:t>
      </w:r>
      <w:r w:rsidR="004D780A">
        <w:t>i</w:t>
      </w:r>
      <w:r w:rsidR="008C6913">
        <w:t xml:space="preserve"> </w:t>
      </w:r>
      <w:r w:rsidR="007D656F">
        <w:t>Aija Branta</w:t>
      </w:r>
      <w:r w:rsidR="00A303AF">
        <w:t xml:space="preserve"> un</w:t>
      </w:r>
      <w:r w:rsidR="00E7163F">
        <w:t xml:space="preserve"> </w:t>
      </w:r>
      <w:r w:rsidR="007D656F">
        <w:t>Māris Leja</w:t>
      </w:r>
    </w:p>
    <w:p w14:paraId="41A28065" w14:textId="77777777" w:rsidR="006D5C62" w:rsidRDefault="006D5C62" w:rsidP="0058698A">
      <w:pPr>
        <w:spacing w:line="276" w:lineRule="auto"/>
        <w:ind w:firstLine="720"/>
        <w:jc w:val="both"/>
        <w:rPr>
          <w:lang w:eastAsia="lv-LV"/>
        </w:rPr>
      </w:pPr>
    </w:p>
    <w:p w14:paraId="7E850A44" w14:textId="40E6985F" w:rsidR="00F90281" w:rsidRDefault="00F90281" w:rsidP="0058698A">
      <w:pPr>
        <w:spacing w:line="276" w:lineRule="auto"/>
        <w:ind w:firstLine="720"/>
        <w:jc w:val="both"/>
        <w:rPr>
          <w:lang w:eastAsia="lv-LV"/>
        </w:rPr>
      </w:pPr>
      <w:r>
        <w:rPr>
          <w:lang w:eastAsia="lv-LV"/>
        </w:rPr>
        <w:t xml:space="preserve">rakstveida procesā izskatīja krimināllietu sakarā ar </w:t>
      </w:r>
      <w:r w:rsidR="007D656F">
        <w:t xml:space="preserve">Ģenerālprokuratūras Krimināltiesiskā departamenta Pirmstiesas kriminālprocesa un tiesvedības koordinācijas nodaļas </w:t>
      </w:r>
      <w:r w:rsidR="000F292B">
        <w:t>virs</w:t>
      </w:r>
      <w:r w:rsidR="007D656F">
        <w:t xml:space="preserve">prokurores Ingas Niedres </w:t>
      </w:r>
      <w:r>
        <w:rPr>
          <w:lang w:eastAsia="lv-LV"/>
        </w:rPr>
        <w:t xml:space="preserve">kasācijas </w:t>
      </w:r>
      <w:r w:rsidR="004D780A">
        <w:rPr>
          <w:lang w:eastAsia="lv-LV"/>
        </w:rPr>
        <w:t>protestu</w:t>
      </w:r>
      <w:r>
        <w:rPr>
          <w:lang w:eastAsia="lv-LV"/>
        </w:rPr>
        <w:t xml:space="preserve"> par </w:t>
      </w:r>
      <w:r w:rsidR="007D656F">
        <w:rPr>
          <w:lang w:eastAsia="lv-LV"/>
        </w:rPr>
        <w:t>Zemgales</w:t>
      </w:r>
      <w:r w:rsidR="006C7760">
        <w:rPr>
          <w:lang w:eastAsia="lv-LV"/>
        </w:rPr>
        <w:t xml:space="preserve"> </w:t>
      </w:r>
      <w:r>
        <w:rPr>
          <w:lang w:eastAsia="lv-LV"/>
        </w:rPr>
        <w:t>apgabaltiesas 202</w:t>
      </w:r>
      <w:r w:rsidR="007D656F">
        <w:rPr>
          <w:lang w:eastAsia="lv-LV"/>
        </w:rPr>
        <w:t>6</w:t>
      </w:r>
      <w:r>
        <w:rPr>
          <w:lang w:eastAsia="lv-LV"/>
        </w:rPr>
        <w:t xml:space="preserve">. gada </w:t>
      </w:r>
      <w:r w:rsidR="007D656F">
        <w:rPr>
          <w:lang w:eastAsia="lv-LV"/>
        </w:rPr>
        <w:t>4</w:t>
      </w:r>
      <w:r w:rsidR="004D780A">
        <w:rPr>
          <w:lang w:eastAsia="lv-LV"/>
        </w:rPr>
        <w:t>. </w:t>
      </w:r>
      <w:r w:rsidR="007D656F">
        <w:rPr>
          <w:lang w:eastAsia="lv-LV"/>
        </w:rPr>
        <w:t>februāra</w:t>
      </w:r>
      <w:r>
        <w:rPr>
          <w:lang w:eastAsia="lv-LV"/>
        </w:rPr>
        <w:t xml:space="preserve"> </w:t>
      </w:r>
      <w:r w:rsidR="007D656F">
        <w:rPr>
          <w:lang w:eastAsia="lv-LV"/>
        </w:rPr>
        <w:t>lēmumu</w:t>
      </w:r>
      <w:r>
        <w:rPr>
          <w:lang w:eastAsia="lv-LV"/>
        </w:rPr>
        <w:t>.</w:t>
      </w:r>
    </w:p>
    <w:p w14:paraId="15A5FC97" w14:textId="77777777" w:rsidR="00F90281" w:rsidRDefault="00F90281" w:rsidP="0058698A">
      <w:pPr>
        <w:spacing w:line="276" w:lineRule="auto"/>
        <w:ind w:firstLine="720"/>
        <w:jc w:val="both"/>
        <w:rPr>
          <w:lang w:eastAsia="lv-LV"/>
        </w:rPr>
      </w:pPr>
    </w:p>
    <w:p w14:paraId="12882064" w14:textId="77777777" w:rsidR="00447EE6" w:rsidRDefault="00447EE6" w:rsidP="0058698A">
      <w:pPr>
        <w:spacing w:line="276" w:lineRule="auto"/>
        <w:jc w:val="center"/>
        <w:rPr>
          <w:b/>
          <w:shd w:val="clear" w:color="auto" w:fill="FFFFFF"/>
        </w:rPr>
      </w:pPr>
      <w:r w:rsidRPr="00011547">
        <w:rPr>
          <w:b/>
          <w:shd w:val="clear" w:color="auto" w:fill="FFFFFF"/>
        </w:rPr>
        <w:t>Aprakstošā daļa</w:t>
      </w:r>
    </w:p>
    <w:p w14:paraId="2F0D3F0F" w14:textId="77777777" w:rsidR="006D5C62" w:rsidRPr="006D5C62" w:rsidRDefault="006D5C62" w:rsidP="0058698A">
      <w:pPr>
        <w:spacing w:line="276" w:lineRule="auto"/>
        <w:ind w:firstLine="720"/>
        <w:jc w:val="center"/>
        <w:rPr>
          <w:bCs/>
          <w:shd w:val="clear" w:color="auto" w:fill="FFFFFF"/>
        </w:rPr>
      </w:pPr>
    </w:p>
    <w:p w14:paraId="78B8CA6C" w14:textId="08FC52F2" w:rsidR="001C1D23" w:rsidRDefault="00447EE6" w:rsidP="0058698A">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6004">
        <w:rPr>
          <w:shd w:val="clear" w:color="auto" w:fill="FFFFFF"/>
        </w:rPr>
        <w:t> </w:t>
      </w:r>
      <w:r w:rsidR="001C1D23">
        <w:rPr>
          <w:shd w:val="clear" w:color="auto" w:fill="FFFFFF"/>
        </w:rPr>
        <w:t>Ar Zemgales rajona tiesas 2024. gada 4.</w:t>
      </w:r>
      <w:r w:rsidR="001C1D23">
        <w:t> decembra</w:t>
      </w:r>
      <w:r w:rsidR="001C1D23">
        <w:rPr>
          <w:shd w:val="clear" w:color="auto" w:fill="FFFFFF"/>
        </w:rPr>
        <w:t xml:space="preserve"> spriedumu</w:t>
      </w:r>
    </w:p>
    <w:p w14:paraId="440F9E36" w14:textId="071A1A95" w:rsidR="00F90281" w:rsidRDefault="001C1D23" w:rsidP="001C1D2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[1.1] </w:t>
      </w:r>
      <w:r w:rsidR="00066C04">
        <w:rPr>
          <w:shd w:val="clear" w:color="auto" w:fill="FFFFFF"/>
        </w:rPr>
        <w:t>[pers. A]</w:t>
      </w:r>
      <w:r w:rsidR="00F90281">
        <w:rPr>
          <w:shd w:val="clear" w:color="auto" w:fill="FFFFFF"/>
        </w:rPr>
        <w:t xml:space="preserve">, personas kods </w:t>
      </w:r>
      <w:r w:rsidR="00066C04">
        <w:rPr>
          <w:shd w:val="clear" w:color="auto" w:fill="FFFFFF"/>
        </w:rPr>
        <w:t>[..]</w:t>
      </w:r>
      <w:r w:rsidR="00F90281">
        <w:rPr>
          <w:shd w:val="clear" w:color="auto" w:fill="FFFFFF"/>
        </w:rPr>
        <w:t>,</w:t>
      </w:r>
    </w:p>
    <w:p w14:paraId="06CB2866" w14:textId="0F5B7A1B" w:rsidR="00EC1403" w:rsidRDefault="000B326F" w:rsidP="00EC140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atzīts par vainīgu </w:t>
      </w:r>
      <w:bookmarkStart w:id="0" w:name="_Hlk230784761"/>
      <w:r>
        <w:rPr>
          <w:shd w:val="clear" w:color="auto" w:fill="FFFFFF"/>
        </w:rPr>
        <w:t>Krimināllikuma 2</w:t>
      </w:r>
      <w:r w:rsidR="00EC1403">
        <w:rPr>
          <w:shd w:val="clear" w:color="auto" w:fill="FFFFFF"/>
        </w:rPr>
        <w:t>53</w:t>
      </w:r>
      <w:r>
        <w:rPr>
          <w:shd w:val="clear" w:color="auto" w:fill="FFFFFF"/>
        </w:rPr>
        <w:t>.</w:t>
      </w:r>
      <w:r w:rsidRPr="000B326F">
        <w:rPr>
          <w:shd w:val="clear" w:color="auto" w:fill="FFFFFF"/>
          <w:vertAlign w:val="superscript"/>
        </w:rPr>
        <w:t>1</w:t>
      </w:r>
      <w:r>
        <w:rPr>
          <w:shd w:val="clear" w:color="auto" w:fill="FFFFFF"/>
        </w:rPr>
        <w:t> pant</w:t>
      </w:r>
      <w:r w:rsidR="00EC1403">
        <w:rPr>
          <w:shd w:val="clear" w:color="auto" w:fill="FFFFFF"/>
        </w:rPr>
        <w:t>a trešajā daļā</w:t>
      </w:r>
      <w:r>
        <w:rPr>
          <w:shd w:val="clear" w:color="auto" w:fill="FFFFFF"/>
        </w:rPr>
        <w:t xml:space="preserve"> paredzētajā noziedzīgajā nodarījumā un</w:t>
      </w:r>
      <w:r w:rsidR="00EC1403">
        <w:rPr>
          <w:shd w:val="clear" w:color="auto" w:fill="FFFFFF"/>
        </w:rPr>
        <w:t>, piemērojot Krimināllikuma 49.</w:t>
      </w:r>
      <w:r w:rsidR="00EC1403">
        <w:rPr>
          <w:shd w:val="clear" w:color="auto" w:fill="FFFFFF"/>
          <w:vertAlign w:val="superscript"/>
        </w:rPr>
        <w:t>1</w:t>
      </w:r>
      <w:r w:rsidR="001C1D23">
        <w:rPr>
          <w:shd w:val="clear" w:color="auto" w:fill="FFFFFF"/>
          <w:vertAlign w:val="superscript"/>
        </w:rPr>
        <w:t> </w:t>
      </w:r>
      <w:r w:rsidR="00EC1403">
        <w:rPr>
          <w:shd w:val="clear" w:color="auto" w:fill="FFFFFF"/>
        </w:rPr>
        <w:t>panta pirmās daļas 2. punktu,</w:t>
      </w:r>
      <w:r>
        <w:rPr>
          <w:shd w:val="clear" w:color="auto" w:fill="FFFFFF"/>
        </w:rPr>
        <w:t xml:space="preserve"> sodīts ar brīvības atņemšanu uz </w:t>
      </w:r>
      <w:r w:rsidR="001C1D23">
        <w:rPr>
          <w:shd w:val="clear" w:color="auto" w:fill="FFFFFF"/>
        </w:rPr>
        <w:t>2</w:t>
      </w:r>
      <w:r>
        <w:rPr>
          <w:shd w:val="clear" w:color="auto" w:fill="FFFFFF"/>
        </w:rPr>
        <w:t xml:space="preserve"> ga</w:t>
      </w:r>
      <w:r w:rsidR="00EC1403">
        <w:rPr>
          <w:shd w:val="clear" w:color="auto" w:fill="FFFFFF"/>
        </w:rPr>
        <w:t xml:space="preserve">diem 11 mēnešiem un ar probācijas uzraudzību uz </w:t>
      </w:r>
      <w:r w:rsidR="001C1D23">
        <w:rPr>
          <w:shd w:val="clear" w:color="auto" w:fill="FFFFFF"/>
        </w:rPr>
        <w:t>2</w:t>
      </w:r>
      <w:r w:rsidR="00EC1403">
        <w:rPr>
          <w:shd w:val="clear" w:color="auto" w:fill="FFFFFF"/>
        </w:rPr>
        <w:t xml:space="preserve"> gadiem 6 mēnešiem.</w:t>
      </w:r>
    </w:p>
    <w:p w14:paraId="075B4B3F" w14:textId="494F6ABE" w:rsidR="000B326F" w:rsidRDefault="00EC1403" w:rsidP="00EC1403">
      <w:pPr>
        <w:pStyle w:val="NormalWeb"/>
        <w:shd w:val="clear" w:color="auto" w:fill="FFFFFF"/>
        <w:spacing w:before="0" w:beforeAutospacing="0" w:after="0" w:afterAutospacing="0" w:line="276" w:lineRule="auto"/>
        <w:ind w:firstLine="720"/>
        <w:jc w:val="both"/>
      </w:pPr>
      <w:r>
        <w:t xml:space="preserve">Saskaņā ar Krimināllikuma 55. pantu </w:t>
      </w:r>
      <w:r w:rsidR="00066C04">
        <w:t>[pers. A]</w:t>
      </w:r>
      <w:r w:rsidR="000F292B">
        <w:t xml:space="preserve"> brīvības atņemšanas sods noteikts</w:t>
      </w:r>
      <w:r>
        <w:t xml:space="preserve"> nosacīti ar pārbaudes laiku uz </w:t>
      </w:r>
      <w:r w:rsidR="001C1D23">
        <w:t>3</w:t>
      </w:r>
      <w:r>
        <w:t xml:space="preserve"> gadiem </w:t>
      </w:r>
      <w:r w:rsidR="001C1D23">
        <w:t>6</w:t>
      </w:r>
      <w:r>
        <w:t xml:space="preserve"> mēnešiem. </w:t>
      </w:r>
    </w:p>
    <w:bookmarkEnd w:id="0"/>
    <w:p w14:paraId="2B5944B7" w14:textId="263CA907" w:rsidR="001C1D23" w:rsidRPr="00EC1403" w:rsidRDefault="001C1D23" w:rsidP="00EC1403">
      <w:pPr>
        <w:pStyle w:val="NormalWeb"/>
        <w:shd w:val="clear" w:color="auto" w:fill="FFFFFF"/>
        <w:spacing w:before="0" w:beforeAutospacing="0" w:after="0" w:afterAutospacing="0" w:line="276" w:lineRule="auto"/>
        <w:ind w:firstLine="720"/>
        <w:jc w:val="both"/>
      </w:pPr>
      <w:r>
        <w:t>[1.2]</w:t>
      </w:r>
      <w:r w:rsidR="00A072BA">
        <w:t> </w:t>
      </w:r>
      <w:r w:rsidR="00066C04">
        <w:t>[Pers. B]</w:t>
      </w:r>
      <w:r>
        <w:t xml:space="preserve">, personas kods </w:t>
      </w:r>
      <w:r w:rsidR="00066C04">
        <w:t>[..]</w:t>
      </w:r>
      <w:r>
        <w:t>,</w:t>
      </w:r>
    </w:p>
    <w:p w14:paraId="0BC4E3E6" w14:textId="5E01E13E" w:rsidR="001C1D23" w:rsidRDefault="00F90281" w:rsidP="001C1D2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w:t>
      </w:r>
      <w:r w:rsidR="001C1D23">
        <w:rPr>
          <w:shd w:val="clear" w:color="auto" w:fill="FFFFFF"/>
        </w:rPr>
        <w:t>a</w:t>
      </w:r>
      <w:r>
        <w:rPr>
          <w:shd w:val="clear" w:color="auto" w:fill="FFFFFF"/>
        </w:rPr>
        <w:t xml:space="preserve"> </w:t>
      </w:r>
      <w:r w:rsidR="004F4923">
        <w:rPr>
          <w:shd w:val="clear" w:color="auto" w:fill="FFFFFF"/>
        </w:rPr>
        <w:t xml:space="preserve">par vainīgu </w:t>
      </w:r>
      <w:r w:rsidR="001C1D23">
        <w:rPr>
          <w:shd w:val="clear" w:color="auto" w:fill="FFFFFF"/>
        </w:rPr>
        <w:t>Krimināllikuma 253.</w:t>
      </w:r>
      <w:r w:rsidR="001C1D23" w:rsidRPr="000B326F">
        <w:rPr>
          <w:shd w:val="clear" w:color="auto" w:fill="FFFFFF"/>
          <w:vertAlign w:val="superscript"/>
        </w:rPr>
        <w:t>1</w:t>
      </w:r>
      <w:r w:rsidR="001C1D23">
        <w:rPr>
          <w:shd w:val="clear" w:color="auto" w:fill="FFFFFF"/>
        </w:rPr>
        <w:t> panta trešajā daļā paredzētajā noziedzīgajā nodarījumā un, piemērojot Krimināllikuma 49.</w:t>
      </w:r>
      <w:r w:rsidR="001C1D23">
        <w:rPr>
          <w:shd w:val="clear" w:color="auto" w:fill="FFFFFF"/>
          <w:vertAlign w:val="superscript"/>
        </w:rPr>
        <w:t>1 </w:t>
      </w:r>
      <w:r w:rsidR="001C1D23">
        <w:rPr>
          <w:shd w:val="clear" w:color="auto" w:fill="FFFFFF"/>
        </w:rPr>
        <w:t>panta pirmās daļas 2. punktu, sodīta ar brīvības atņemšanu uz 2 gadiem 11 mēnešiem un ar probācijas uzraudzību uz 2 gadiem 6 mēnešiem.</w:t>
      </w:r>
    </w:p>
    <w:p w14:paraId="1B679E49" w14:textId="07AEFD31" w:rsidR="001C1D23" w:rsidRDefault="001C1D23" w:rsidP="001C1D23">
      <w:pPr>
        <w:pStyle w:val="NormalWeb"/>
        <w:shd w:val="clear" w:color="auto" w:fill="FFFFFF"/>
        <w:spacing w:before="0" w:beforeAutospacing="0" w:after="0" w:afterAutospacing="0" w:line="276" w:lineRule="auto"/>
        <w:ind w:firstLine="720"/>
        <w:jc w:val="both"/>
      </w:pPr>
      <w:r>
        <w:t xml:space="preserve">Saskaņā ar Krimināllikuma 55. pantu </w:t>
      </w:r>
      <w:r w:rsidR="00066C04">
        <w:t>[pers. B]</w:t>
      </w:r>
      <w:r w:rsidR="000F292B">
        <w:t xml:space="preserve"> brīvības atņemšanas sods noteikts </w:t>
      </w:r>
      <w:r>
        <w:t xml:space="preserve">nosacīti ar pārbaudes laiku uz 3 gadiem 6 mēnešiem. </w:t>
      </w:r>
    </w:p>
    <w:p w14:paraId="782C562B" w14:textId="6270CD43" w:rsidR="001C1D23" w:rsidRDefault="001C1D23" w:rsidP="001C1D2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w:t>
      </w:r>
      <w:r w:rsidR="00A072BA">
        <w:rPr>
          <w:shd w:val="clear" w:color="auto" w:fill="FFFFFF"/>
        </w:rPr>
        <w:t>3</w:t>
      </w:r>
      <w:r>
        <w:rPr>
          <w:shd w:val="clear" w:color="auto" w:fill="FFFFFF"/>
        </w:rPr>
        <w:t>] </w:t>
      </w:r>
      <w:r w:rsidR="00066C04">
        <w:rPr>
          <w:shd w:val="clear" w:color="auto" w:fill="FFFFFF"/>
        </w:rPr>
        <w:t>[Pers. C]</w:t>
      </w:r>
      <w:r>
        <w:rPr>
          <w:shd w:val="clear" w:color="auto" w:fill="FFFFFF"/>
        </w:rPr>
        <w:t xml:space="preserve">, personas kods </w:t>
      </w:r>
      <w:r w:rsidR="00066C04">
        <w:rPr>
          <w:shd w:val="clear" w:color="auto" w:fill="FFFFFF"/>
        </w:rPr>
        <w:t>[..]</w:t>
      </w:r>
      <w:r>
        <w:rPr>
          <w:shd w:val="clear" w:color="auto" w:fill="FFFFFF"/>
        </w:rPr>
        <w:t>,</w:t>
      </w:r>
    </w:p>
    <w:p w14:paraId="57F29F0A" w14:textId="1ABD6CA5" w:rsidR="001C1D23" w:rsidRDefault="001C1D23" w:rsidP="001C1D2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atzīts par vainīgu Krimināllikuma 253.</w:t>
      </w:r>
      <w:r w:rsidRPr="000B326F">
        <w:rPr>
          <w:shd w:val="clear" w:color="auto" w:fill="FFFFFF"/>
          <w:vertAlign w:val="superscript"/>
        </w:rPr>
        <w:t>1</w:t>
      </w:r>
      <w:r>
        <w:rPr>
          <w:shd w:val="clear" w:color="auto" w:fill="FFFFFF"/>
        </w:rPr>
        <w:t xml:space="preserve"> panta trešajā daļā paredzētajā noziedzīgajā nodarījumā un, piemērojot </w:t>
      </w:r>
      <w:bookmarkStart w:id="1" w:name="_Hlk231204667"/>
      <w:r>
        <w:rPr>
          <w:shd w:val="clear" w:color="auto" w:fill="FFFFFF"/>
        </w:rPr>
        <w:t>Krimināllikuma 49.</w:t>
      </w:r>
      <w:r>
        <w:rPr>
          <w:shd w:val="clear" w:color="auto" w:fill="FFFFFF"/>
          <w:vertAlign w:val="superscript"/>
        </w:rPr>
        <w:t>1 </w:t>
      </w:r>
      <w:r>
        <w:rPr>
          <w:shd w:val="clear" w:color="auto" w:fill="FFFFFF"/>
        </w:rPr>
        <w:t>panta pirmās daļas 2. punktu</w:t>
      </w:r>
      <w:bookmarkEnd w:id="1"/>
      <w:r>
        <w:rPr>
          <w:shd w:val="clear" w:color="auto" w:fill="FFFFFF"/>
        </w:rPr>
        <w:t>, sodīts ar brīvības atņemšanu uz 2 gadiem 11 mēnešiem un ar probācijas uzraudzību uz 2 gadiem 6 mēnešiem;</w:t>
      </w:r>
    </w:p>
    <w:p w14:paraId="22040FCF" w14:textId="3D95A944" w:rsidR="001C1D23" w:rsidRDefault="001C1D23" w:rsidP="001C1D2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atzīts par vainīgu Krimināllikuma 253.</w:t>
      </w:r>
      <w:r>
        <w:rPr>
          <w:shd w:val="clear" w:color="auto" w:fill="FFFFFF"/>
          <w:vertAlign w:val="superscript"/>
        </w:rPr>
        <w:t>2</w:t>
      </w:r>
      <w:r>
        <w:rPr>
          <w:shd w:val="clear" w:color="auto" w:fill="FFFFFF"/>
        </w:rPr>
        <w:t xml:space="preserve"> panta pirmajā daļā paredzētajā noziedzīgajā nodarījumā un sodīts ar īslaicīgu brīvības atņemšanu uz 1 </w:t>
      </w:r>
      <w:r w:rsidR="00A072BA">
        <w:rPr>
          <w:shd w:val="clear" w:color="auto" w:fill="FFFFFF"/>
        </w:rPr>
        <w:t>mēnesi un</w:t>
      </w:r>
      <w:r>
        <w:rPr>
          <w:shd w:val="clear" w:color="auto" w:fill="FFFFFF"/>
        </w:rPr>
        <w:t xml:space="preserve"> 15 dienām.</w:t>
      </w:r>
    </w:p>
    <w:p w14:paraId="7161F628" w14:textId="0A057D8A" w:rsidR="001C1D23" w:rsidRDefault="001C1D23" w:rsidP="001C1D2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pirmo daļu galīgais sods </w:t>
      </w:r>
      <w:r w:rsidR="00066C04">
        <w:rPr>
          <w:shd w:val="clear" w:color="auto" w:fill="FFFFFF"/>
        </w:rPr>
        <w:t>[pers. C]</w:t>
      </w:r>
      <w:r>
        <w:rPr>
          <w:shd w:val="clear" w:color="auto" w:fill="FFFFFF"/>
        </w:rPr>
        <w:t xml:space="preserve"> noteikts</w:t>
      </w:r>
      <w:r w:rsidR="00A403D9">
        <w:rPr>
          <w:shd w:val="clear" w:color="auto" w:fill="FFFFFF"/>
        </w:rPr>
        <w:t> – b</w:t>
      </w:r>
      <w:r>
        <w:rPr>
          <w:shd w:val="clear" w:color="auto" w:fill="FFFFFF"/>
        </w:rPr>
        <w:t>rīvības</w:t>
      </w:r>
      <w:r w:rsidR="00A403D9">
        <w:rPr>
          <w:shd w:val="clear" w:color="auto" w:fill="FFFFFF"/>
        </w:rPr>
        <w:t xml:space="preserve"> </w:t>
      </w:r>
      <w:r>
        <w:rPr>
          <w:shd w:val="clear" w:color="auto" w:fill="FFFFFF"/>
        </w:rPr>
        <w:t>atņemšana uz 3 gadiem un probācijas uzraudzība uz 2 gadiem 6 mēnešiem.</w:t>
      </w:r>
    </w:p>
    <w:p w14:paraId="11CC205F" w14:textId="1AA9E42E" w:rsidR="001C1D23" w:rsidRDefault="001C1D23" w:rsidP="001C1D23">
      <w:pPr>
        <w:pStyle w:val="NormalWeb"/>
        <w:shd w:val="clear" w:color="auto" w:fill="FFFFFF"/>
        <w:spacing w:before="0" w:beforeAutospacing="0" w:after="0" w:afterAutospacing="0" w:line="276" w:lineRule="auto"/>
        <w:ind w:firstLine="720"/>
        <w:jc w:val="both"/>
      </w:pPr>
      <w:r>
        <w:t xml:space="preserve">Saskaņā ar Krimināllikuma 55. pantu </w:t>
      </w:r>
      <w:r w:rsidR="00066C04">
        <w:t>[pers. C]</w:t>
      </w:r>
      <w:r w:rsidR="003F6B4A">
        <w:t xml:space="preserve"> brīvības atņemšanas sods noteikts</w:t>
      </w:r>
      <w:r>
        <w:t xml:space="preserve"> nosacīti ar pārbaudes laiku uz 3 gadiem 6 mēnešiem. </w:t>
      </w:r>
    </w:p>
    <w:p w14:paraId="3A21D171" w14:textId="77777777" w:rsidR="002B6BEF" w:rsidRDefault="002B6BEF" w:rsidP="001C1D23">
      <w:pPr>
        <w:pStyle w:val="NormalWeb"/>
        <w:shd w:val="clear" w:color="auto" w:fill="FFFFFF"/>
        <w:spacing w:before="0" w:beforeAutospacing="0" w:after="0" w:afterAutospacing="0" w:line="276" w:lineRule="auto"/>
        <w:jc w:val="both"/>
        <w:rPr>
          <w:shd w:val="clear" w:color="auto" w:fill="FFFFFF"/>
        </w:rPr>
      </w:pPr>
    </w:p>
    <w:p w14:paraId="67759194" w14:textId="55B339FE" w:rsidR="006D5C62" w:rsidRDefault="00230E94" w:rsidP="000D4688">
      <w:pPr>
        <w:pStyle w:val="NormalWeb"/>
        <w:shd w:val="clear" w:color="auto" w:fill="FFFFFF"/>
        <w:spacing w:before="0" w:beforeAutospacing="0" w:after="0" w:afterAutospacing="0" w:line="276" w:lineRule="auto"/>
        <w:ind w:firstLine="720"/>
        <w:jc w:val="both"/>
      </w:pPr>
      <w:r>
        <w:t>[2] </w:t>
      </w:r>
      <w:r w:rsidR="00905BF5">
        <w:t xml:space="preserve">Ar </w:t>
      </w:r>
      <w:r w:rsidR="001C1D23">
        <w:t>Zemgales</w:t>
      </w:r>
      <w:r w:rsidR="000B326F">
        <w:t xml:space="preserve"> rajona</w:t>
      </w:r>
      <w:r w:rsidR="00EF0C90">
        <w:t xml:space="preserve"> tiesas</w:t>
      </w:r>
      <w:r w:rsidR="00905BF5">
        <w:t xml:space="preserve"> 202</w:t>
      </w:r>
      <w:r w:rsidR="000B326F">
        <w:t>4</w:t>
      </w:r>
      <w:r w:rsidR="00905BF5">
        <w:t xml:space="preserve">. gada </w:t>
      </w:r>
      <w:r w:rsidR="001C1D23">
        <w:t>4. decembra</w:t>
      </w:r>
      <w:r w:rsidR="00905BF5">
        <w:t xml:space="preserve"> spriedumu apsūdzēt</w:t>
      </w:r>
      <w:r w:rsidR="000D4688">
        <w:t xml:space="preserve">ie </w:t>
      </w:r>
      <w:r w:rsidR="00066C04">
        <w:t>[pers. A]</w:t>
      </w:r>
      <w:r w:rsidR="000D4688">
        <w:t xml:space="preserve">, </w:t>
      </w:r>
      <w:r w:rsidR="00066C04">
        <w:t>[pers. B]</w:t>
      </w:r>
      <w:r w:rsidR="000D4688">
        <w:t xml:space="preserve"> un </w:t>
      </w:r>
      <w:r w:rsidR="00066C04">
        <w:t>[pers. C]</w:t>
      </w:r>
      <w:r w:rsidR="00905BF5">
        <w:t xml:space="preserve"> atzīt</w:t>
      </w:r>
      <w:r w:rsidR="000D4688">
        <w:t>i</w:t>
      </w:r>
      <w:r w:rsidR="00905BF5">
        <w:t xml:space="preserve"> par </w:t>
      </w:r>
      <w:r w:rsidR="00EF0C90">
        <w:t>vainīg</w:t>
      </w:r>
      <w:r w:rsidR="000D4688">
        <w:t>iem</w:t>
      </w:r>
      <w:r w:rsidR="00EF0C90">
        <w:t xml:space="preserve"> un sodīt</w:t>
      </w:r>
      <w:r w:rsidR="000D4688">
        <w:t>i</w:t>
      </w:r>
      <w:r w:rsidR="00905BF5">
        <w:t xml:space="preserve"> pēc </w:t>
      </w:r>
      <w:bookmarkStart w:id="2" w:name="_Hlk230786064"/>
      <w:r w:rsidR="00236DF1">
        <w:t xml:space="preserve">Krimināllikuma </w:t>
      </w:r>
      <w:r w:rsidR="000D4688">
        <w:rPr>
          <w:shd w:val="clear" w:color="auto" w:fill="FFFFFF"/>
        </w:rPr>
        <w:t>253.</w:t>
      </w:r>
      <w:r w:rsidR="000D4688" w:rsidRPr="000B326F">
        <w:rPr>
          <w:shd w:val="clear" w:color="auto" w:fill="FFFFFF"/>
          <w:vertAlign w:val="superscript"/>
        </w:rPr>
        <w:t>1</w:t>
      </w:r>
      <w:r w:rsidR="000D4688">
        <w:rPr>
          <w:shd w:val="clear" w:color="auto" w:fill="FFFFFF"/>
        </w:rPr>
        <w:t> panta trešās</w:t>
      </w:r>
      <w:bookmarkEnd w:id="2"/>
      <w:r w:rsidR="000D4688">
        <w:rPr>
          <w:shd w:val="clear" w:color="auto" w:fill="FFFFFF"/>
        </w:rPr>
        <w:t xml:space="preserve"> daļas </w:t>
      </w:r>
      <w:r w:rsidR="00236DF1">
        <w:t xml:space="preserve">par to, ka </w:t>
      </w:r>
      <w:r w:rsidR="000D4688">
        <w:t xml:space="preserve">personu grupā pēc iepriekšējas vienošanās, realizācijas nolūkā, neatļauti iegādājās un pārvadāja psihotropās vielas lielā apmērā. </w:t>
      </w:r>
      <w:r w:rsidR="00066C04">
        <w:t>[Pers. C]</w:t>
      </w:r>
      <w:r w:rsidR="000D4688" w:rsidRPr="000D4688">
        <w:t xml:space="preserve"> </w:t>
      </w:r>
      <w:r w:rsidR="000D4688">
        <w:t>atzīts par vainīgu un sodīts</w:t>
      </w:r>
      <w:r w:rsidR="00B057BD">
        <w:t xml:space="preserve"> arī</w:t>
      </w:r>
      <w:r w:rsidR="000D4688">
        <w:t xml:space="preserve"> pēc Krimināllikuma </w:t>
      </w:r>
      <w:r w:rsidR="000D4688">
        <w:rPr>
          <w:shd w:val="clear" w:color="auto" w:fill="FFFFFF"/>
        </w:rPr>
        <w:t>253.</w:t>
      </w:r>
      <w:r w:rsidR="000D4688">
        <w:rPr>
          <w:shd w:val="clear" w:color="auto" w:fill="FFFFFF"/>
          <w:vertAlign w:val="superscript"/>
        </w:rPr>
        <w:t>2</w:t>
      </w:r>
      <w:r w:rsidR="000D4688">
        <w:rPr>
          <w:shd w:val="clear" w:color="auto" w:fill="FFFFFF"/>
        </w:rPr>
        <w:t> panta pirmās daļas par to, ka</w:t>
      </w:r>
      <w:r w:rsidR="00A072BA">
        <w:rPr>
          <w:shd w:val="clear" w:color="auto" w:fill="FFFFFF"/>
        </w:rPr>
        <w:t>,</w:t>
      </w:r>
      <w:r w:rsidR="000D4688">
        <w:rPr>
          <w:shd w:val="clear" w:color="auto" w:fill="FFFFFF"/>
        </w:rPr>
        <w:t xml:space="preserve"> </w:t>
      </w:r>
      <w:r w:rsidR="000D4688">
        <w:t>būdams persona, kura brīdināta par kriminālatbildību par narkotisko un psihotropo vielu neatļautu iegādāšanos, glabāšanu un lietošanu, neatļauti lietoja narkotiskās vielas.</w:t>
      </w:r>
    </w:p>
    <w:p w14:paraId="0245AE92" w14:textId="77777777" w:rsidR="00EF0C90" w:rsidRDefault="00EF0C90" w:rsidP="0058698A">
      <w:pPr>
        <w:pStyle w:val="NormalWeb"/>
        <w:shd w:val="clear" w:color="auto" w:fill="FFFFFF"/>
        <w:spacing w:before="0" w:beforeAutospacing="0" w:after="0" w:afterAutospacing="0" w:line="276" w:lineRule="auto"/>
        <w:ind w:firstLine="720"/>
        <w:jc w:val="both"/>
      </w:pPr>
    </w:p>
    <w:p w14:paraId="390B34AB" w14:textId="39FFF679" w:rsidR="00D15877" w:rsidRDefault="00230E94" w:rsidP="000D4688">
      <w:pPr>
        <w:pStyle w:val="NormalWeb"/>
        <w:shd w:val="clear" w:color="auto" w:fill="FFFFFF"/>
        <w:spacing w:before="0" w:beforeAutospacing="0" w:after="0" w:afterAutospacing="0" w:line="276" w:lineRule="auto"/>
        <w:ind w:firstLine="720"/>
        <w:jc w:val="both"/>
      </w:pPr>
      <w:r>
        <w:t xml:space="preserve">[3] Ar </w:t>
      </w:r>
      <w:bookmarkStart w:id="3" w:name="_Hlk230785673"/>
      <w:r w:rsidR="000D4688">
        <w:t xml:space="preserve">Zemgales </w:t>
      </w:r>
      <w:r>
        <w:t>apgabaltiesas 202</w:t>
      </w:r>
      <w:r w:rsidR="000D4688">
        <w:t>6</w:t>
      </w:r>
      <w:r>
        <w:t xml:space="preserve">. gada </w:t>
      </w:r>
      <w:r w:rsidR="000D4688">
        <w:t>4</w:t>
      </w:r>
      <w:r w:rsidR="00662714">
        <w:t>. </w:t>
      </w:r>
      <w:r w:rsidR="000D4688">
        <w:t xml:space="preserve">februāra </w:t>
      </w:r>
      <w:bookmarkEnd w:id="3"/>
      <w:r w:rsidR="00763929">
        <w:t>lēmumu</w:t>
      </w:r>
      <w:r>
        <w:t>, iztiesājot lietu sakarā ar</w:t>
      </w:r>
      <w:r w:rsidR="00905BF5">
        <w:t xml:space="preserve"> </w:t>
      </w:r>
      <w:proofErr w:type="spellStart"/>
      <w:r w:rsidR="000D4688">
        <w:t>Rietumzemgales</w:t>
      </w:r>
      <w:proofErr w:type="spellEnd"/>
      <w:r w:rsidR="000D4688">
        <w:t xml:space="preserve"> prokuratūras prokurora Madara </w:t>
      </w:r>
      <w:proofErr w:type="spellStart"/>
      <w:r w:rsidR="000D4688">
        <w:t>Āboma</w:t>
      </w:r>
      <w:proofErr w:type="spellEnd"/>
      <w:r w:rsidR="000D4688">
        <w:t xml:space="preserve"> </w:t>
      </w:r>
      <w:r w:rsidR="00662714">
        <w:t xml:space="preserve">apelācijas </w:t>
      </w:r>
      <w:r w:rsidR="000D4688">
        <w:t>protest</w:t>
      </w:r>
      <w:r w:rsidR="00763929">
        <w:t>u</w:t>
      </w:r>
      <w:r w:rsidR="00EF0C90">
        <w:t>,</w:t>
      </w:r>
      <w:r w:rsidR="000D4688" w:rsidRPr="000D4688">
        <w:rPr>
          <w:sz w:val="23"/>
          <w:szCs w:val="23"/>
        </w:rPr>
        <w:t xml:space="preserve"> </w:t>
      </w:r>
      <w:r w:rsidR="000D4688">
        <w:rPr>
          <w:sz w:val="23"/>
          <w:szCs w:val="23"/>
        </w:rPr>
        <w:t>Zemgales rajona tiesas 2024. gada 4. decembra spriedums atstāts negrozīts.</w:t>
      </w:r>
    </w:p>
    <w:p w14:paraId="2DDCB47E" w14:textId="77777777" w:rsidR="00EF249C" w:rsidRDefault="00EF249C" w:rsidP="0058698A">
      <w:pPr>
        <w:pStyle w:val="NormalWeb"/>
        <w:shd w:val="clear" w:color="auto" w:fill="FFFFFF"/>
        <w:spacing w:before="0" w:beforeAutospacing="0" w:after="0" w:afterAutospacing="0" w:line="276" w:lineRule="auto"/>
        <w:ind w:firstLine="720"/>
        <w:jc w:val="both"/>
      </w:pPr>
    </w:p>
    <w:p w14:paraId="60993BAF" w14:textId="44BA51D4" w:rsidR="000D4688" w:rsidRDefault="00F77416" w:rsidP="0058698A">
      <w:pPr>
        <w:pStyle w:val="NormalWeb"/>
        <w:shd w:val="clear" w:color="auto" w:fill="FFFFFF"/>
        <w:spacing w:before="0" w:beforeAutospacing="0" w:after="0" w:afterAutospacing="0" w:line="276" w:lineRule="auto"/>
        <w:ind w:firstLine="720"/>
        <w:jc w:val="both"/>
      </w:pPr>
      <w:r>
        <w:lastRenderedPageBreak/>
        <w:t xml:space="preserve">[4] Par </w:t>
      </w:r>
      <w:r w:rsidR="000D4688">
        <w:t xml:space="preserve">Zemgales apgabaltiesas 2026. gada 4. februāra </w:t>
      </w:r>
      <w:r w:rsidR="00F57539">
        <w:t>lēmumu</w:t>
      </w:r>
      <w:r w:rsidR="000D4688" w:rsidRPr="000D4688">
        <w:t xml:space="preserve"> </w:t>
      </w:r>
      <w:r w:rsidR="000D4688">
        <w:t xml:space="preserve">Ģenerālprokuratūras Krimināltiesiskā departamenta Pirmstiesas kriminālprocesa un tiesvedības koordinācijas nodaļas </w:t>
      </w:r>
      <w:r w:rsidR="00740DAD">
        <w:t>virs</w:t>
      </w:r>
      <w:r w:rsidR="000D4688">
        <w:t xml:space="preserve">prokurore I. Niedre iesniegusi kasācijas protestu, kurā lūdz </w:t>
      </w:r>
      <w:r w:rsidR="00F57539">
        <w:t>atcelt Zemgales apgabaltiesas 2026. gada 4. februāra lēmumu pilnībā un lietu nosūtīt jaunai izskatīšanai apelācijas instances tiesā.</w:t>
      </w:r>
      <w:r w:rsidR="000D4688">
        <w:t xml:space="preserve"> </w:t>
      </w:r>
    </w:p>
    <w:p w14:paraId="467D9F99" w14:textId="2809B075" w:rsidR="00921A85" w:rsidRDefault="00B15CC8" w:rsidP="00F57539">
      <w:pPr>
        <w:pStyle w:val="NormalWeb"/>
        <w:shd w:val="clear" w:color="auto" w:fill="FFFFFF"/>
        <w:spacing w:before="0" w:beforeAutospacing="0" w:after="0" w:afterAutospacing="0" w:line="276" w:lineRule="auto"/>
        <w:ind w:firstLine="720"/>
        <w:jc w:val="both"/>
      </w:pPr>
      <w:r>
        <w:t>Savu lūgumu</w:t>
      </w:r>
      <w:r w:rsidR="00D15877">
        <w:t xml:space="preserve"> </w:t>
      </w:r>
      <w:r w:rsidR="009C6AF4">
        <w:t>prokurore</w:t>
      </w:r>
      <w:r w:rsidR="00D15877">
        <w:t xml:space="preserve"> </w:t>
      </w:r>
      <w:r w:rsidR="00F77416">
        <w:t>pamato</w:t>
      </w:r>
      <w:r w:rsidR="009C6AF4">
        <w:t>jusi</w:t>
      </w:r>
      <w:r w:rsidR="00F77416">
        <w:t xml:space="preserve"> ar </w:t>
      </w:r>
      <w:r>
        <w:t>šādiem</w:t>
      </w:r>
      <w:r w:rsidR="00F77416">
        <w:t xml:space="preserve"> argumentiem.</w:t>
      </w:r>
    </w:p>
    <w:p w14:paraId="2AAF69BA" w14:textId="20EA53AE" w:rsidR="00031CAF" w:rsidRDefault="008C6913" w:rsidP="00031CAF">
      <w:pPr>
        <w:pStyle w:val="NormalWeb"/>
        <w:shd w:val="clear" w:color="auto" w:fill="FFFFFF"/>
        <w:spacing w:before="0" w:beforeAutospacing="0" w:after="0" w:afterAutospacing="0" w:line="276" w:lineRule="auto"/>
        <w:ind w:firstLine="720"/>
        <w:jc w:val="both"/>
        <w:rPr>
          <w:shd w:val="clear" w:color="auto" w:fill="FFFFFF"/>
        </w:rPr>
      </w:pPr>
      <w:r>
        <w:t>[4.1] </w:t>
      </w:r>
      <w:r w:rsidR="00031CAF">
        <w:t>Apelācijas instances tiesa pārkāpusi Kriminālprocesa likuma 564.</w:t>
      </w:r>
      <w:r w:rsidR="00165761">
        <w:t> </w:t>
      </w:r>
      <w:r w:rsidR="00031CAF">
        <w:t xml:space="preserve">panta ceturto daļu, jo nav motivējusi, kādēļ sods apsūdzētajiem par Krimināllikuma </w:t>
      </w:r>
      <w:r w:rsidR="00031CAF">
        <w:rPr>
          <w:shd w:val="clear" w:color="auto" w:fill="FFFFFF"/>
        </w:rPr>
        <w:t>253.</w:t>
      </w:r>
      <w:r w:rsidR="00031CAF" w:rsidRPr="000B326F">
        <w:rPr>
          <w:shd w:val="clear" w:color="auto" w:fill="FFFFFF"/>
          <w:vertAlign w:val="superscript"/>
        </w:rPr>
        <w:t>1</w:t>
      </w:r>
      <w:r w:rsidR="00031CAF">
        <w:rPr>
          <w:shd w:val="clear" w:color="auto" w:fill="FFFFFF"/>
        </w:rPr>
        <w:t> panta treš</w:t>
      </w:r>
      <w:r w:rsidR="00C76707">
        <w:rPr>
          <w:shd w:val="clear" w:color="auto" w:fill="FFFFFF"/>
        </w:rPr>
        <w:t>ajā</w:t>
      </w:r>
      <w:r w:rsidR="00031CAF">
        <w:rPr>
          <w:shd w:val="clear" w:color="auto" w:fill="FFFFFF"/>
        </w:rPr>
        <w:t xml:space="preserve"> daļā paredzēto noziedzīgo nodarījumu saskaņā ar </w:t>
      </w:r>
      <w:bookmarkStart w:id="4" w:name="_Hlk231213433"/>
      <w:r w:rsidR="00031CAF">
        <w:rPr>
          <w:shd w:val="clear" w:color="auto" w:fill="FFFFFF"/>
        </w:rPr>
        <w:t>Krimināllikuma 49.</w:t>
      </w:r>
      <w:r w:rsidR="00031CAF">
        <w:rPr>
          <w:shd w:val="clear" w:color="auto" w:fill="FFFFFF"/>
          <w:vertAlign w:val="superscript"/>
        </w:rPr>
        <w:t>1 </w:t>
      </w:r>
      <w:r w:rsidR="00031CAF">
        <w:rPr>
          <w:shd w:val="clear" w:color="auto" w:fill="FFFFFF"/>
        </w:rPr>
        <w:t xml:space="preserve">panta pirmās daļas 2. punktu </w:t>
      </w:r>
      <w:bookmarkEnd w:id="4"/>
      <w:r w:rsidR="00031CAF">
        <w:rPr>
          <w:shd w:val="clear" w:color="auto" w:fill="FFFFFF"/>
        </w:rPr>
        <w:t>ir noteikts būtiski zemāks par Krimināllikumā noteikto minimālo robežu.</w:t>
      </w:r>
      <w:r w:rsidR="00882518">
        <w:rPr>
          <w:shd w:val="clear" w:color="auto" w:fill="FFFFFF"/>
        </w:rPr>
        <w:t xml:space="preserve"> Tiesas lēmums neatbilst Kriminālprocesa likuma 511. panta otrās daļas un 512. panta pirmās daļ</w:t>
      </w:r>
      <w:r w:rsidR="00C76707">
        <w:rPr>
          <w:shd w:val="clear" w:color="auto" w:fill="FFFFFF"/>
        </w:rPr>
        <w:t>a</w:t>
      </w:r>
      <w:r w:rsidR="00882518">
        <w:rPr>
          <w:shd w:val="clear" w:color="auto" w:fill="FFFFFF"/>
        </w:rPr>
        <w:t>s prasībām.</w:t>
      </w:r>
    </w:p>
    <w:p w14:paraId="3AD82D5D" w14:textId="570F3BBA" w:rsidR="00A06F5D" w:rsidRDefault="008E758B" w:rsidP="00C76707">
      <w:pPr>
        <w:pStyle w:val="NormalWeb"/>
        <w:shd w:val="clear" w:color="auto" w:fill="FFFFFF"/>
        <w:spacing w:before="0" w:beforeAutospacing="0" w:after="0" w:afterAutospacing="0" w:line="276" w:lineRule="auto"/>
        <w:ind w:firstLine="720"/>
        <w:jc w:val="both"/>
        <w:rPr>
          <w:shd w:val="clear" w:color="auto" w:fill="FFFFFF"/>
        </w:rPr>
      </w:pPr>
      <w:r>
        <w:t>[4.2] </w:t>
      </w:r>
      <w:r w:rsidRPr="00D15877">
        <w:t>Apelācijas instances tiesa</w:t>
      </w:r>
      <w:r>
        <w:t xml:space="preserve"> nav ievērojusi Krimināllikuma 35. panta otrās daļas un 46. panta trešās daļas nosacījumus, jo noteikusi apsūdzētajiem nesamērīg</w:t>
      </w:r>
      <w:r w:rsidR="00C76707">
        <w:t>i</w:t>
      </w:r>
      <w:r>
        <w:t xml:space="preserve"> mīkstu sodu </w:t>
      </w:r>
      <w:r w:rsidR="00C76707" w:rsidRPr="00C76707">
        <w:t>par Krimināllikuma 253.¹</w:t>
      </w:r>
      <w:r w:rsidR="00165761">
        <w:t> </w:t>
      </w:r>
      <w:r w:rsidR="00C76707" w:rsidRPr="00C76707">
        <w:t>panta trešajā daļā paredzēto noziedzīgo nodarījumu</w:t>
      </w:r>
      <w:r>
        <w:rPr>
          <w:shd w:val="clear" w:color="auto" w:fill="FFFFFF"/>
        </w:rPr>
        <w:t xml:space="preserve"> un </w:t>
      </w:r>
      <w:r w:rsidR="00066C04">
        <w:rPr>
          <w:shd w:val="clear" w:color="auto" w:fill="FFFFFF"/>
        </w:rPr>
        <w:t>[pers. C]</w:t>
      </w:r>
      <w:r>
        <w:rPr>
          <w:shd w:val="clear" w:color="auto" w:fill="FFFFFF"/>
        </w:rPr>
        <w:t xml:space="preserve"> noteikto galīgo sodu</w:t>
      </w:r>
      <w:r w:rsidR="003B14A9">
        <w:rPr>
          <w:shd w:val="clear" w:color="auto" w:fill="FFFFFF"/>
        </w:rPr>
        <w:t>. T</w:t>
      </w:r>
      <w:r w:rsidR="00A70DDC">
        <w:rPr>
          <w:shd w:val="clear" w:color="auto" w:fill="FFFFFF"/>
        </w:rPr>
        <w:t xml:space="preserve">ādējādi </w:t>
      </w:r>
      <w:r w:rsidR="003B14A9">
        <w:rPr>
          <w:shd w:val="clear" w:color="auto" w:fill="FFFFFF"/>
        </w:rPr>
        <w:t xml:space="preserve">tiesa </w:t>
      </w:r>
      <w:r w:rsidR="00A70DDC">
        <w:rPr>
          <w:shd w:val="clear" w:color="auto" w:fill="FFFFFF"/>
        </w:rPr>
        <w:t>pieļāvusi Kriminālprocesa likuma 574. panta 1. punktā norādīto pārkāpumu.</w:t>
      </w:r>
    </w:p>
    <w:p w14:paraId="2E4CE856" w14:textId="1A11C014" w:rsidR="008E758B" w:rsidRDefault="008E758B" w:rsidP="00AC27D9">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[4.3] </w:t>
      </w:r>
      <w:r w:rsidR="00A06F5D">
        <w:rPr>
          <w:shd w:val="clear" w:color="auto" w:fill="FFFFFF"/>
        </w:rPr>
        <w:t>Pirmās instances tiesa</w:t>
      </w:r>
      <w:r w:rsidR="003B14A9">
        <w:rPr>
          <w:shd w:val="clear" w:color="auto" w:fill="FFFFFF"/>
        </w:rPr>
        <w:t>s</w:t>
      </w:r>
      <w:r w:rsidR="00A06F5D">
        <w:rPr>
          <w:shd w:val="clear" w:color="auto" w:fill="FFFFFF"/>
        </w:rPr>
        <w:t xml:space="preserve"> spriedums ir nekonkrēts </w:t>
      </w:r>
      <w:r w:rsidR="00B057BD">
        <w:rPr>
          <w:shd w:val="clear" w:color="auto" w:fill="FFFFFF"/>
        </w:rPr>
        <w:t xml:space="preserve">jautājumā </w:t>
      </w:r>
      <w:r w:rsidR="00A06F5D">
        <w:rPr>
          <w:shd w:val="clear" w:color="auto" w:fill="FFFFFF"/>
        </w:rPr>
        <w:t xml:space="preserve">par to, </w:t>
      </w:r>
      <w:r w:rsidR="00AC27D9" w:rsidRPr="00AC27D9">
        <w:rPr>
          <w:shd w:val="clear" w:color="auto" w:fill="FFFFFF"/>
        </w:rPr>
        <w:t xml:space="preserve">vai attiecībā uz </w:t>
      </w:r>
      <w:r w:rsidR="00066C04">
        <w:rPr>
          <w:shd w:val="clear" w:color="auto" w:fill="FFFFFF"/>
        </w:rPr>
        <w:t>[pers. C]</w:t>
      </w:r>
      <w:r w:rsidR="00AC27D9" w:rsidRPr="00AC27D9">
        <w:rPr>
          <w:shd w:val="clear" w:color="auto" w:fill="FFFFFF"/>
        </w:rPr>
        <w:t xml:space="preserve"> inkriminēto Krimināllikuma 253.² panta pirmajā daļā paredzēto noziedzīgo nodarījumu par atbildību pastiprinošu apstākli atzīta noziedzīga nodarījuma izdarīšana narkotisko vielu ietekmē</w:t>
      </w:r>
      <w:r>
        <w:rPr>
          <w:shd w:val="clear" w:color="auto" w:fill="FFFFFF"/>
        </w:rPr>
        <w:t>.</w:t>
      </w:r>
    </w:p>
    <w:p w14:paraId="19495D39" w14:textId="7831179A" w:rsidR="00F57539" w:rsidRDefault="008E758B" w:rsidP="00CE0BB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[4.4] </w:t>
      </w:r>
      <w:r w:rsidR="00CE0BB1" w:rsidRPr="00CE0BB1">
        <w:rPr>
          <w:shd w:val="clear" w:color="auto" w:fill="FFFFFF"/>
        </w:rPr>
        <w:t>Abu instanču tiesas nav pietiekami motivējušas Krimināllikuma 55.</w:t>
      </w:r>
      <w:r w:rsidR="00165761">
        <w:rPr>
          <w:shd w:val="clear" w:color="auto" w:fill="FFFFFF"/>
        </w:rPr>
        <w:t> </w:t>
      </w:r>
      <w:r w:rsidR="00CE0BB1" w:rsidRPr="00CE0BB1">
        <w:rPr>
          <w:shd w:val="clear" w:color="auto" w:fill="FFFFFF"/>
        </w:rPr>
        <w:t xml:space="preserve">panta piemērošanu apsūdzētajiem </w:t>
      </w:r>
      <w:r w:rsidR="00066C04">
        <w:rPr>
          <w:shd w:val="clear" w:color="auto" w:fill="FFFFFF"/>
        </w:rPr>
        <w:t>[pers. A]</w:t>
      </w:r>
      <w:r w:rsidR="00CE0BB1" w:rsidRPr="00CE0BB1">
        <w:rPr>
          <w:shd w:val="clear" w:color="auto" w:fill="FFFFFF"/>
        </w:rPr>
        <w:t xml:space="preserve">, </w:t>
      </w:r>
      <w:r w:rsidR="00066C04">
        <w:rPr>
          <w:shd w:val="clear" w:color="auto" w:fill="FFFFFF"/>
        </w:rPr>
        <w:t>[pers. B]</w:t>
      </w:r>
      <w:r w:rsidR="00CE0BB1" w:rsidRPr="00CE0BB1">
        <w:rPr>
          <w:shd w:val="clear" w:color="auto" w:fill="FFFFFF"/>
        </w:rPr>
        <w:t xml:space="preserve"> un </w:t>
      </w:r>
      <w:r w:rsidR="00066C04">
        <w:rPr>
          <w:shd w:val="clear" w:color="auto" w:fill="FFFFFF"/>
        </w:rPr>
        <w:t>[pers. C]</w:t>
      </w:r>
      <w:r w:rsidR="00CE0BB1" w:rsidRPr="00CE0BB1">
        <w:rPr>
          <w:shd w:val="clear" w:color="auto" w:fill="FFFFFF"/>
        </w:rPr>
        <w:t xml:space="preserve">. </w:t>
      </w:r>
      <w:r w:rsidR="008E48A2">
        <w:rPr>
          <w:shd w:val="clear" w:color="auto" w:fill="FFFFFF"/>
        </w:rPr>
        <w:t>A</w:t>
      </w:r>
      <w:r w:rsidR="00CE0BB1" w:rsidRPr="00CE0BB1">
        <w:rPr>
          <w:shd w:val="clear" w:color="auto" w:fill="FFFFFF"/>
        </w:rPr>
        <w:t xml:space="preserve">pelācijas instances tiesa, vērtējot šīs tiesību normas piemērošanu, nav individuāli pamatojusi, kādēļ ir pamats uzskatīt, ka apsūdzētie, sodu reāli neizciešot, turpmāk neizdarīs likumpārkāpumus, tostarp nav izvērtējusi kasācijas protestā norādītās ziņas par </w:t>
      </w:r>
      <w:r w:rsidR="001A490E">
        <w:rPr>
          <w:shd w:val="clear" w:color="auto" w:fill="FFFFFF"/>
        </w:rPr>
        <w:t>[pers. C]</w:t>
      </w:r>
      <w:r w:rsidR="00CE0BB1" w:rsidRPr="00CE0BB1">
        <w:rPr>
          <w:shd w:val="clear" w:color="auto" w:fill="FFFFFF"/>
        </w:rPr>
        <w:t xml:space="preserve"> administratīvajiem pārkāpumiem.</w:t>
      </w:r>
      <w:r>
        <w:rPr>
          <w:shd w:val="clear" w:color="auto" w:fill="FFFFFF"/>
        </w:rPr>
        <w:t xml:space="preserve"> </w:t>
      </w:r>
    </w:p>
    <w:p w14:paraId="3BF6FCB2" w14:textId="77777777" w:rsidR="003B14A9" w:rsidRDefault="003B14A9" w:rsidP="006E63BC">
      <w:pPr>
        <w:pStyle w:val="NormalWeb"/>
        <w:shd w:val="clear" w:color="auto" w:fill="FFFFFF"/>
        <w:spacing w:before="0" w:beforeAutospacing="0" w:after="0" w:afterAutospacing="0" w:line="276" w:lineRule="auto"/>
        <w:ind w:firstLine="720"/>
        <w:jc w:val="both"/>
      </w:pPr>
    </w:p>
    <w:p w14:paraId="7DAF7841" w14:textId="1EDBDF42" w:rsidR="00447EE6" w:rsidRPr="007E42A2" w:rsidRDefault="00447EE6" w:rsidP="009E7A7B">
      <w:pPr>
        <w:keepNext/>
        <w:shd w:val="clear" w:color="auto" w:fill="FFFFFF"/>
        <w:spacing w:line="276" w:lineRule="auto"/>
        <w:jc w:val="center"/>
        <w:rPr>
          <w:b/>
        </w:rPr>
      </w:pPr>
      <w:r w:rsidRPr="007E42A2">
        <w:rPr>
          <w:b/>
        </w:rPr>
        <w:t>Motīvu daļa</w:t>
      </w:r>
    </w:p>
    <w:p w14:paraId="633D2DB5" w14:textId="77777777" w:rsidR="006D5C62" w:rsidRPr="007E42A2" w:rsidRDefault="006D5C62" w:rsidP="0058698A">
      <w:pPr>
        <w:shd w:val="clear" w:color="auto" w:fill="FFFFFF"/>
        <w:spacing w:line="276" w:lineRule="auto"/>
        <w:ind w:firstLine="720"/>
        <w:jc w:val="center"/>
        <w:rPr>
          <w:bCs/>
        </w:rPr>
      </w:pPr>
    </w:p>
    <w:p w14:paraId="52976D9F" w14:textId="10EDA8CC" w:rsidR="006001CD" w:rsidRPr="00561A70" w:rsidRDefault="006001CD" w:rsidP="006001CD">
      <w:pPr>
        <w:spacing w:line="276" w:lineRule="auto"/>
        <w:ind w:firstLine="720"/>
        <w:jc w:val="both"/>
        <w:rPr>
          <w:rFonts w:asciiTheme="majorBidi" w:hAnsiTheme="majorBidi" w:cstheme="majorBidi"/>
        </w:rPr>
      </w:pPr>
      <w:r w:rsidRPr="00561A70">
        <w:rPr>
          <w:rFonts w:asciiTheme="majorBidi" w:hAnsiTheme="majorBidi" w:cstheme="majorBidi"/>
        </w:rPr>
        <w:t>[5]</w:t>
      </w:r>
      <w:r w:rsidR="00165761">
        <w:rPr>
          <w:rFonts w:asciiTheme="majorBidi" w:hAnsiTheme="majorBidi" w:cstheme="majorBidi"/>
        </w:rPr>
        <w:t> </w:t>
      </w:r>
      <w:r w:rsidRPr="00561A70">
        <w:rPr>
          <w:rFonts w:asciiTheme="majorBidi" w:hAnsiTheme="majorBidi" w:cstheme="majorBidi"/>
        </w:rPr>
        <w:t xml:space="preserve">Senāts atzīst, ka Zemgales apgabaltiesas 2026. gada 4. februāra lēmums ir atceļams </w:t>
      </w:r>
      <w:r w:rsidR="007561AC">
        <w:rPr>
          <w:rFonts w:asciiTheme="majorBidi" w:hAnsiTheme="majorBidi" w:cstheme="majorBidi"/>
        </w:rPr>
        <w:t xml:space="preserve">daļā par apsūdzētajiem </w:t>
      </w:r>
      <w:r w:rsidR="00066C04">
        <w:rPr>
          <w:shd w:val="clear" w:color="auto" w:fill="FFFFFF"/>
        </w:rPr>
        <w:t>[pers. A]</w:t>
      </w:r>
      <w:r w:rsidR="007561AC" w:rsidRPr="00CE0BB1">
        <w:rPr>
          <w:shd w:val="clear" w:color="auto" w:fill="FFFFFF"/>
        </w:rPr>
        <w:t xml:space="preserve">, </w:t>
      </w:r>
      <w:r w:rsidR="00066C04">
        <w:rPr>
          <w:shd w:val="clear" w:color="auto" w:fill="FFFFFF"/>
        </w:rPr>
        <w:t>[pers. B]</w:t>
      </w:r>
      <w:r w:rsidR="007561AC">
        <w:rPr>
          <w:shd w:val="clear" w:color="auto" w:fill="FFFFFF"/>
        </w:rPr>
        <w:t>,</w:t>
      </w:r>
      <w:r w:rsidR="007561AC" w:rsidRPr="00CE0BB1">
        <w:rPr>
          <w:shd w:val="clear" w:color="auto" w:fill="FFFFFF"/>
        </w:rPr>
        <w:t xml:space="preserve"> </w:t>
      </w:r>
      <w:r w:rsidR="00066C04">
        <w:rPr>
          <w:shd w:val="clear" w:color="auto" w:fill="FFFFFF"/>
        </w:rPr>
        <w:t>[pers. C]</w:t>
      </w:r>
      <w:r w:rsidR="007561AC">
        <w:rPr>
          <w:rFonts w:asciiTheme="majorBidi" w:hAnsiTheme="majorBidi" w:cstheme="majorBidi"/>
        </w:rPr>
        <w:t xml:space="preserve"> noteikto sodu un galīgā soda noteikšanu </w:t>
      </w:r>
      <w:r w:rsidR="00066C04">
        <w:rPr>
          <w:rFonts w:asciiTheme="majorBidi" w:hAnsiTheme="majorBidi" w:cstheme="majorBidi"/>
        </w:rPr>
        <w:t>[pers. C]</w:t>
      </w:r>
      <w:r w:rsidR="008E48A2">
        <w:rPr>
          <w:rFonts w:asciiTheme="majorBidi" w:hAnsiTheme="majorBidi" w:cstheme="majorBidi"/>
        </w:rPr>
        <w:t>. Lieta</w:t>
      </w:r>
      <w:r w:rsidR="007561AC">
        <w:rPr>
          <w:rFonts w:asciiTheme="majorBidi" w:hAnsiTheme="majorBidi" w:cstheme="majorBidi"/>
        </w:rPr>
        <w:t xml:space="preserve"> šajā daļā </w:t>
      </w:r>
      <w:r w:rsidRPr="00561A70">
        <w:rPr>
          <w:rFonts w:asciiTheme="majorBidi" w:hAnsiTheme="majorBidi" w:cstheme="majorBidi"/>
        </w:rPr>
        <w:t>nosūtāma jaunai izskatīšanai apelācijas instances tiesā.</w:t>
      </w:r>
    </w:p>
    <w:p w14:paraId="36385299" w14:textId="7E265CDD" w:rsidR="00561A70" w:rsidRPr="004F0BF9" w:rsidRDefault="006001CD" w:rsidP="00561A70">
      <w:pPr>
        <w:widowControl w:val="0"/>
        <w:tabs>
          <w:tab w:val="left" w:pos="709"/>
        </w:tabs>
        <w:spacing w:line="276" w:lineRule="auto"/>
        <w:ind w:firstLine="720"/>
        <w:jc w:val="both"/>
      </w:pPr>
      <w:r w:rsidRPr="00561A70">
        <w:rPr>
          <w:rFonts w:asciiTheme="majorBidi" w:hAnsiTheme="majorBidi" w:cstheme="majorBidi"/>
        </w:rPr>
        <w:t>Kriminālprocesa likuma 511.</w:t>
      </w:r>
      <w:r w:rsidR="00165761">
        <w:rPr>
          <w:rFonts w:asciiTheme="majorBidi" w:hAnsiTheme="majorBidi" w:cstheme="majorBidi"/>
        </w:rPr>
        <w:t> </w:t>
      </w:r>
      <w:r w:rsidRPr="00561A70">
        <w:rPr>
          <w:rFonts w:asciiTheme="majorBidi" w:hAnsiTheme="majorBidi" w:cstheme="majorBidi"/>
        </w:rPr>
        <w:t xml:space="preserve">panta otrā daļa paredz, ka spriedumam jābūt tiesiskam un pamatotam. </w:t>
      </w:r>
      <w:r w:rsidR="00561A70" w:rsidRPr="004F0BF9">
        <w:t>Spriedums ir tiesisks un pamatots, ja tas atbilst Kriminālprocesa likuma 512. panta prasībām, tai skaitā šā panta pirmajai daļai, kas noteic, ka tiesa, taisot spriedumu, pamatojas uz materiālo un procesuālo tiesību normām. Šīs prasības attiecas arī uz apelācijas instances tiesas nolēmumu.</w:t>
      </w:r>
    </w:p>
    <w:p w14:paraId="5EE4663D" w14:textId="56FF7C54" w:rsidR="006001CD" w:rsidRPr="00561A70" w:rsidRDefault="006001CD" w:rsidP="006001CD">
      <w:pPr>
        <w:spacing w:line="276" w:lineRule="auto"/>
        <w:ind w:firstLine="720"/>
        <w:jc w:val="both"/>
        <w:rPr>
          <w:rFonts w:asciiTheme="majorBidi" w:hAnsiTheme="majorBidi" w:cstheme="majorBidi"/>
        </w:rPr>
      </w:pPr>
      <w:r w:rsidRPr="00561A70">
        <w:rPr>
          <w:rFonts w:asciiTheme="majorBidi" w:hAnsiTheme="majorBidi" w:cstheme="majorBidi"/>
        </w:rPr>
        <w:t>Kriminālprocesa likuma 564.</w:t>
      </w:r>
      <w:r w:rsidR="00165761">
        <w:rPr>
          <w:rFonts w:asciiTheme="majorBidi" w:hAnsiTheme="majorBidi" w:cstheme="majorBidi"/>
        </w:rPr>
        <w:t> </w:t>
      </w:r>
      <w:r w:rsidRPr="00561A70">
        <w:rPr>
          <w:rFonts w:asciiTheme="majorBidi" w:hAnsiTheme="majorBidi" w:cstheme="majorBidi"/>
        </w:rPr>
        <w:t>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B331D87" w14:textId="77777777" w:rsidR="006001CD" w:rsidRDefault="006001CD" w:rsidP="006001CD">
      <w:pPr>
        <w:spacing w:line="276" w:lineRule="auto"/>
        <w:ind w:firstLine="720"/>
        <w:jc w:val="both"/>
        <w:rPr>
          <w:rFonts w:asciiTheme="majorBidi" w:hAnsiTheme="majorBidi" w:cstheme="majorBidi"/>
        </w:rPr>
      </w:pPr>
      <w:r w:rsidRPr="00561A70">
        <w:rPr>
          <w:rFonts w:asciiTheme="majorBidi" w:hAnsiTheme="majorBidi" w:cstheme="majorBidi"/>
        </w:rPr>
        <w:lastRenderedPageBreak/>
        <w:t>Senāts atzīst, ka apelācijas instances tiesa, iztiesājot lietu, minētās tiesību normas nav ievērojusi.</w:t>
      </w:r>
    </w:p>
    <w:p w14:paraId="6890E510" w14:textId="77777777" w:rsidR="00181DDA" w:rsidRPr="00561A70" w:rsidRDefault="00181DDA" w:rsidP="006001CD">
      <w:pPr>
        <w:spacing w:line="276" w:lineRule="auto"/>
        <w:ind w:firstLine="720"/>
        <w:jc w:val="both"/>
        <w:rPr>
          <w:rFonts w:asciiTheme="majorBidi" w:hAnsiTheme="majorBidi" w:cstheme="majorBidi"/>
        </w:rPr>
      </w:pPr>
    </w:p>
    <w:p w14:paraId="7300CF68" w14:textId="4935F543" w:rsidR="006001CD" w:rsidRPr="00561A70" w:rsidRDefault="006001CD" w:rsidP="00835370">
      <w:pPr>
        <w:spacing w:line="276" w:lineRule="auto"/>
        <w:ind w:firstLine="720"/>
        <w:jc w:val="both"/>
        <w:rPr>
          <w:rFonts w:asciiTheme="majorBidi" w:hAnsiTheme="majorBidi" w:cstheme="majorBidi"/>
        </w:rPr>
      </w:pPr>
      <w:r w:rsidRPr="00561A70">
        <w:rPr>
          <w:rFonts w:asciiTheme="majorBidi" w:hAnsiTheme="majorBidi" w:cstheme="majorBidi"/>
        </w:rPr>
        <w:t>[</w:t>
      </w:r>
      <w:r w:rsidR="00181DDA">
        <w:rPr>
          <w:rFonts w:asciiTheme="majorBidi" w:hAnsiTheme="majorBidi" w:cstheme="majorBidi"/>
        </w:rPr>
        <w:t>6</w:t>
      </w:r>
      <w:r w:rsidRPr="00561A70">
        <w:rPr>
          <w:rFonts w:asciiTheme="majorBidi" w:hAnsiTheme="majorBidi" w:cstheme="majorBidi"/>
        </w:rPr>
        <w:t>]</w:t>
      </w:r>
      <w:r w:rsidR="00165761">
        <w:rPr>
          <w:rFonts w:asciiTheme="majorBidi" w:hAnsiTheme="majorBidi" w:cstheme="majorBidi"/>
        </w:rPr>
        <w:t> </w:t>
      </w:r>
      <w:r w:rsidR="00835370" w:rsidRPr="00835370">
        <w:rPr>
          <w:rFonts w:asciiTheme="majorBidi" w:hAnsiTheme="majorBidi" w:cstheme="majorBidi"/>
        </w:rPr>
        <w:t>No apelācijas instances tiesas lēmuma izriet, ka apelācijas protestā bija apstrīdēts pirmās instances tiesas secinājums par Kriminālprocesa likuma 14.</w:t>
      </w:r>
      <w:r w:rsidR="00165761">
        <w:rPr>
          <w:rFonts w:asciiTheme="majorBidi" w:hAnsiTheme="majorBidi" w:cstheme="majorBidi"/>
        </w:rPr>
        <w:t> </w:t>
      </w:r>
      <w:r w:rsidR="00835370" w:rsidRPr="00835370">
        <w:rPr>
          <w:rFonts w:asciiTheme="majorBidi" w:hAnsiTheme="majorBidi" w:cstheme="majorBidi"/>
        </w:rPr>
        <w:t>pantā paredzēto tiesību uz kriminālprocesa pabeigšanu saprātīgā termiņā pārkāpumu, Krimināllikuma 49.¹</w:t>
      </w:r>
      <w:r w:rsidR="00165761">
        <w:rPr>
          <w:rFonts w:asciiTheme="majorBidi" w:hAnsiTheme="majorBidi" w:cstheme="majorBidi"/>
        </w:rPr>
        <w:t> </w:t>
      </w:r>
      <w:r w:rsidR="00835370" w:rsidRPr="00835370">
        <w:rPr>
          <w:rFonts w:asciiTheme="majorBidi" w:hAnsiTheme="majorBidi" w:cstheme="majorBidi"/>
        </w:rPr>
        <w:t>panta pirmās daļas 2.</w:t>
      </w:r>
      <w:r w:rsidR="00165761">
        <w:rPr>
          <w:rFonts w:asciiTheme="majorBidi" w:hAnsiTheme="majorBidi" w:cstheme="majorBidi"/>
        </w:rPr>
        <w:t> </w:t>
      </w:r>
      <w:r w:rsidR="00835370" w:rsidRPr="00835370">
        <w:rPr>
          <w:rFonts w:asciiTheme="majorBidi" w:hAnsiTheme="majorBidi" w:cstheme="majorBidi"/>
        </w:rPr>
        <w:t>punkta piemērošana, nosakot katram apsūdzētajam sodu zem Krimināllikuma 253.¹</w:t>
      </w:r>
      <w:r w:rsidR="00165761">
        <w:rPr>
          <w:rFonts w:asciiTheme="majorBidi" w:hAnsiTheme="majorBidi" w:cstheme="majorBidi"/>
        </w:rPr>
        <w:t> </w:t>
      </w:r>
      <w:r w:rsidR="00835370" w:rsidRPr="00835370">
        <w:rPr>
          <w:rFonts w:asciiTheme="majorBidi" w:hAnsiTheme="majorBidi" w:cstheme="majorBidi"/>
        </w:rPr>
        <w:t>panta trešajā daļā paredzētās sankcijas minimālās robežas, kā arī Krimināllikuma 55.</w:t>
      </w:r>
      <w:r w:rsidR="00165761">
        <w:rPr>
          <w:rFonts w:asciiTheme="majorBidi" w:hAnsiTheme="majorBidi" w:cstheme="majorBidi"/>
        </w:rPr>
        <w:t> </w:t>
      </w:r>
      <w:r w:rsidR="00835370" w:rsidRPr="00835370">
        <w:rPr>
          <w:rFonts w:asciiTheme="majorBidi" w:hAnsiTheme="majorBidi" w:cstheme="majorBidi"/>
        </w:rPr>
        <w:t>panta piemērošana, nosakot apsūdzētajiem brīvības atņemšanas sodu nosacīti.</w:t>
      </w:r>
    </w:p>
    <w:p w14:paraId="0121C34B" w14:textId="219EE663" w:rsidR="006001CD" w:rsidRDefault="006001CD" w:rsidP="006001CD">
      <w:pPr>
        <w:spacing w:line="276" w:lineRule="auto"/>
        <w:ind w:firstLine="720"/>
        <w:jc w:val="both"/>
        <w:rPr>
          <w:rFonts w:asciiTheme="majorBidi" w:hAnsiTheme="majorBidi" w:cstheme="majorBidi"/>
        </w:rPr>
      </w:pPr>
      <w:r w:rsidRPr="00561A70">
        <w:rPr>
          <w:rFonts w:asciiTheme="majorBidi" w:hAnsiTheme="majorBidi" w:cstheme="majorBidi"/>
        </w:rPr>
        <w:t xml:space="preserve">Tādējādi apelācijas instances tiesai bija pienākums ne tikai vispārīgi atsaukties uz pirmās instances tiesas secinājumiem, bet arī pēc būtības </w:t>
      </w:r>
      <w:r w:rsidR="00860CBD">
        <w:rPr>
          <w:rFonts w:asciiTheme="majorBidi" w:hAnsiTheme="majorBidi" w:cstheme="majorBidi"/>
        </w:rPr>
        <w:t xml:space="preserve">izvērtēt </w:t>
      </w:r>
      <w:r w:rsidRPr="00561A70">
        <w:rPr>
          <w:rFonts w:asciiTheme="majorBidi" w:hAnsiTheme="majorBidi" w:cstheme="majorBidi"/>
        </w:rPr>
        <w:t xml:space="preserve">apelācijas protesta argumentus par </w:t>
      </w:r>
      <w:r w:rsidR="00860CBD">
        <w:rPr>
          <w:rFonts w:asciiTheme="majorBidi" w:hAnsiTheme="majorBidi" w:cstheme="majorBidi"/>
        </w:rPr>
        <w:t>noteiktā soda tiesiskumu,</w:t>
      </w:r>
      <w:r w:rsidRPr="00561A70">
        <w:rPr>
          <w:rFonts w:asciiTheme="majorBidi" w:hAnsiTheme="majorBidi" w:cstheme="majorBidi"/>
        </w:rPr>
        <w:t xml:space="preserve"> soda mēra samērīgumu</w:t>
      </w:r>
      <w:r w:rsidR="008128A5">
        <w:rPr>
          <w:rFonts w:asciiTheme="majorBidi" w:hAnsiTheme="majorBidi" w:cstheme="majorBidi"/>
        </w:rPr>
        <w:t xml:space="preserve"> un atbilstību </w:t>
      </w:r>
      <w:r w:rsidR="008128A5">
        <w:t>Krimināllikuma 35. panta otrās daļas un 46. panta trešās daļas prasībām</w:t>
      </w:r>
      <w:r w:rsidRPr="00561A70">
        <w:rPr>
          <w:rFonts w:asciiTheme="majorBidi" w:hAnsiTheme="majorBidi" w:cstheme="majorBidi"/>
        </w:rPr>
        <w:t>, Krimināllikuma 49.¹</w:t>
      </w:r>
      <w:r w:rsidR="00165761">
        <w:rPr>
          <w:rFonts w:asciiTheme="majorBidi" w:hAnsiTheme="majorBidi" w:cstheme="majorBidi"/>
        </w:rPr>
        <w:t> </w:t>
      </w:r>
      <w:r w:rsidRPr="00561A70">
        <w:rPr>
          <w:rFonts w:asciiTheme="majorBidi" w:hAnsiTheme="majorBidi" w:cstheme="majorBidi"/>
        </w:rPr>
        <w:t>panta piemērošanas priekšnoteikumiem un Krimināllikuma 55.</w:t>
      </w:r>
      <w:r w:rsidR="00165761">
        <w:rPr>
          <w:rFonts w:asciiTheme="majorBidi" w:hAnsiTheme="majorBidi" w:cstheme="majorBidi"/>
        </w:rPr>
        <w:t> </w:t>
      </w:r>
      <w:r w:rsidRPr="00561A70">
        <w:rPr>
          <w:rFonts w:asciiTheme="majorBidi" w:hAnsiTheme="majorBidi" w:cstheme="majorBidi"/>
        </w:rPr>
        <w:t>panta piemērošanas pamatojumu.</w:t>
      </w:r>
    </w:p>
    <w:p w14:paraId="7EACA783" w14:textId="77777777" w:rsidR="00181DDA" w:rsidRPr="00561A70" w:rsidRDefault="00181DDA" w:rsidP="006001CD">
      <w:pPr>
        <w:spacing w:line="276" w:lineRule="auto"/>
        <w:ind w:firstLine="720"/>
        <w:jc w:val="both"/>
        <w:rPr>
          <w:rFonts w:asciiTheme="majorBidi" w:hAnsiTheme="majorBidi" w:cstheme="majorBidi"/>
        </w:rPr>
      </w:pPr>
    </w:p>
    <w:p w14:paraId="074DC720" w14:textId="6F757E31" w:rsidR="006001CD" w:rsidRPr="006001CD" w:rsidRDefault="006001CD" w:rsidP="006001CD">
      <w:pPr>
        <w:spacing w:line="276" w:lineRule="auto"/>
        <w:ind w:firstLine="720"/>
        <w:jc w:val="both"/>
        <w:rPr>
          <w:rFonts w:asciiTheme="majorBidi" w:hAnsiTheme="majorBidi" w:cstheme="majorBidi"/>
          <w:bCs/>
        </w:rPr>
      </w:pPr>
      <w:r w:rsidRPr="00561A70">
        <w:rPr>
          <w:rFonts w:asciiTheme="majorBidi" w:hAnsiTheme="majorBidi" w:cstheme="majorBidi"/>
        </w:rPr>
        <w:t>[</w:t>
      </w:r>
      <w:r w:rsidR="00181DDA">
        <w:rPr>
          <w:rFonts w:asciiTheme="majorBidi" w:hAnsiTheme="majorBidi" w:cstheme="majorBidi"/>
        </w:rPr>
        <w:t>7</w:t>
      </w:r>
      <w:r w:rsidRPr="00561A70">
        <w:rPr>
          <w:rFonts w:asciiTheme="majorBidi" w:hAnsiTheme="majorBidi" w:cstheme="majorBidi"/>
        </w:rPr>
        <w:t>]</w:t>
      </w:r>
      <w:r w:rsidR="00165761">
        <w:rPr>
          <w:rFonts w:asciiTheme="majorBidi" w:hAnsiTheme="majorBidi" w:cstheme="majorBidi"/>
        </w:rPr>
        <w:t> </w:t>
      </w:r>
      <w:r w:rsidRPr="00561A70">
        <w:rPr>
          <w:rFonts w:asciiTheme="majorBidi" w:hAnsiTheme="majorBidi" w:cstheme="majorBidi"/>
        </w:rPr>
        <w:t>Apelācijas instances tiesa atzinusi, ka pirmās instances tiesa pamatoti</w:t>
      </w:r>
      <w:r w:rsidRPr="006001CD">
        <w:rPr>
          <w:rFonts w:asciiTheme="majorBidi" w:hAnsiTheme="majorBidi" w:cstheme="majorBidi"/>
          <w:bCs/>
        </w:rPr>
        <w:t xml:space="preserve"> konstatējusi apsūdzēto tiesību uz kriminālprocesa pabeigšanu saprātīgā termiņā pārkāpumu un pamatoti piemērojusi Krimināllikuma 49.¹</w:t>
      </w:r>
      <w:r w:rsidR="00165761">
        <w:rPr>
          <w:rFonts w:asciiTheme="majorBidi" w:hAnsiTheme="majorBidi" w:cstheme="majorBidi"/>
          <w:bCs/>
        </w:rPr>
        <w:t> </w:t>
      </w:r>
      <w:r w:rsidRPr="006001CD">
        <w:rPr>
          <w:rFonts w:asciiTheme="majorBidi" w:hAnsiTheme="majorBidi" w:cstheme="majorBidi"/>
          <w:bCs/>
        </w:rPr>
        <w:t>panta pirmās daļas 2.</w:t>
      </w:r>
      <w:r w:rsidR="00165761">
        <w:rPr>
          <w:rFonts w:asciiTheme="majorBidi" w:hAnsiTheme="majorBidi" w:cstheme="majorBidi"/>
          <w:bCs/>
        </w:rPr>
        <w:t> </w:t>
      </w:r>
      <w:r w:rsidRPr="006001CD">
        <w:rPr>
          <w:rFonts w:asciiTheme="majorBidi" w:hAnsiTheme="majorBidi" w:cstheme="majorBidi"/>
          <w:bCs/>
        </w:rPr>
        <w:t>punktu. Tiesa norādījusi, ka lietas novilcināšana konstatējama laikā, kad lieta iztiesāta pirmās instances tiesā, un ka pārkāpums ir pietiekami nozīmīgs, lai piemērotu Krimināllikumā paredzētās labvēlīgās sekas.</w:t>
      </w:r>
    </w:p>
    <w:p w14:paraId="2A756BE1" w14:textId="097705A8" w:rsidR="0042161B" w:rsidRPr="006001CD" w:rsidRDefault="009207DC" w:rsidP="0042161B">
      <w:pPr>
        <w:spacing w:line="276" w:lineRule="auto"/>
        <w:ind w:firstLine="720"/>
        <w:jc w:val="both"/>
        <w:rPr>
          <w:rFonts w:asciiTheme="majorBidi" w:hAnsiTheme="majorBidi" w:cstheme="majorBidi"/>
          <w:bCs/>
        </w:rPr>
      </w:pPr>
      <w:r w:rsidRPr="009207DC">
        <w:rPr>
          <w:rFonts w:asciiTheme="majorBidi" w:hAnsiTheme="majorBidi" w:cstheme="majorBidi"/>
          <w:bCs/>
        </w:rPr>
        <w:t xml:space="preserve">Lai gan apelācijas instances tiesa ir </w:t>
      </w:r>
      <w:r w:rsidR="008128A5">
        <w:rPr>
          <w:rFonts w:asciiTheme="majorBidi" w:hAnsiTheme="majorBidi" w:cstheme="majorBidi"/>
          <w:bCs/>
        </w:rPr>
        <w:t>aprakstījusi</w:t>
      </w:r>
      <w:r w:rsidRPr="009207DC">
        <w:rPr>
          <w:rFonts w:asciiTheme="majorBidi" w:hAnsiTheme="majorBidi" w:cstheme="majorBidi"/>
          <w:bCs/>
        </w:rPr>
        <w:t xml:space="preserve"> kriminālprocesa virzību un norādījusi, ka novilcināšana konstatējama lietas iztiesāšanas laikā pirmās instances tiesā, tā nav nošķīrusi, kuri procesa posmi atzīstami par objektīvi attaisnojamu procesa norisi un kuri </w:t>
      </w:r>
      <w:r>
        <w:rPr>
          <w:rFonts w:asciiTheme="majorBidi" w:hAnsiTheme="majorBidi" w:cstheme="majorBidi"/>
          <w:bCs/>
        </w:rPr>
        <w:t xml:space="preserve">– </w:t>
      </w:r>
      <w:r w:rsidRPr="009207DC">
        <w:rPr>
          <w:rFonts w:asciiTheme="majorBidi" w:hAnsiTheme="majorBidi" w:cstheme="majorBidi"/>
          <w:bCs/>
        </w:rPr>
        <w:t>par</w:t>
      </w:r>
      <w:r>
        <w:rPr>
          <w:rFonts w:asciiTheme="majorBidi" w:hAnsiTheme="majorBidi" w:cstheme="majorBidi"/>
          <w:bCs/>
        </w:rPr>
        <w:t xml:space="preserve"> </w:t>
      </w:r>
      <w:r w:rsidRPr="009207DC">
        <w:rPr>
          <w:rFonts w:asciiTheme="majorBidi" w:hAnsiTheme="majorBidi" w:cstheme="majorBidi"/>
          <w:bCs/>
        </w:rPr>
        <w:t xml:space="preserve">neattaisnotu novilcināšanu. Tāpat tiesa nav sasaistījusi šā pārkāpuma raksturu un ilgumu ar konkrēto soda samazinājuma apmēru un nav pamatojusi, kādēļ šis pārkāpums </w:t>
      </w:r>
      <w:r w:rsidR="0042161B">
        <w:rPr>
          <w:rFonts w:asciiTheme="majorBidi" w:hAnsiTheme="majorBidi" w:cstheme="majorBidi"/>
          <w:bCs/>
        </w:rPr>
        <w:t xml:space="preserve">attaisno </w:t>
      </w:r>
      <w:r w:rsidR="0042161B" w:rsidRPr="000527EF">
        <w:rPr>
          <w:rFonts w:asciiTheme="majorBidi" w:hAnsiTheme="majorBidi" w:cstheme="majorBidi"/>
        </w:rPr>
        <w:t xml:space="preserve">tik būtisku soda samazinājumu, nosakot </w:t>
      </w:r>
      <w:r w:rsidR="0042161B">
        <w:rPr>
          <w:rFonts w:asciiTheme="majorBidi" w:hAnsiTheme="majorBidi" w:cstheme="majorBidi"/>
        </w:rPr>
        <w:t>to</w:t>
      </w:r>
      <w:r w:rsidR="0042161B" w:rsidRPr="000527EF">
        <w:rPr>
          <w:rFonts w:asciiTheme="majorBidi" w:hAnsiTheme="majorBidi" w:cstheme="majorBidi"/>
        </w:rPr>
        <w:t xml:space="preserve"> zem likumā paredzētās sankcijas minimālās robežas.</w:t>
      </w:r>
    </w:p>
    <w:p w14:paraId="2C2DAE81" w14:textId="12CF59F6"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Krimināllikuma 253.¹</w:t>
      </w:r>
      <w:r w:rsidR="00165761">
        <w:rPr>
          <w:rFonts w:asciiTheme="majorBidi" w:hAnsiTheme="majorBidi" w:cstheme="majorBidi"/>
          <w:bCs/>
        </w:rPr>
        <w:t> </w:t>
      </w:r>
      <w:r w:rsidRPr="006001CD">
        <w:rPr>
          <w:rFonts w:asciiTheme="majorBidi" w:hAnsiTheme="majorBidi" w:cstheme="majorBidi"/>
          <w:bCs/>
        </w:rPr>
        <w:t>panta trešajā daļā paredzētais noziedzīgais nodarījums ir sevišķi smags noziegums, par kuru likumā paredzēts brīvības atņemšanas sods uz laiku no pieciem līdz piecpadsmit gadiem. Apsūdzētajiem, piemērojot Krimināllikuma 49.¹</w:t>
      </w:r>
      <w:r w:rsidR="00165761">
        <w:rPr>
          <w:rFonts w:asciiTheme="majorBidi" w:hAnsiTheme="majorBidi" w:cstheme="majorBidi"/>
          <w:bCs/>
        </w:rPr>
        <w:t> </w:t>
      </w:r>
      <w:r w:rsidRPr="006001CD">
        <w:rPr>
          <w:rFonts w:asciiTheme="majorBidi" w:hAnsiTheme="majorBidi" w:cstheme="majorBidi"/>
          <w:bCs/>
        </w:rPr>
        <w:t>panta pirmās daļas 2.</w:t>
      </w:r>
      <w:r w:rsidR="00165761">
        <w:rPr>
          <w:rFonts w:asciiTheme="majorBidi" w:hAnsiTheme="majorBidi" w:cstheme="majorBidi"/>
          <w:bCs/>
        </w:rPr>
        <w:t> </w:t>
      </w:r>
      <w:r w:rsidRPr="006001CD">
        <w:rPr>
          <w:rFonts w:asciiTheme="majorBidi" w:hAnsiTheme="majorBidi" w:cstheme="majorBidi"/>
          <w:bCs/>
        </w:rPr>
        <w:t>punktu, brīvības atņemšanas sods noteikts uz 2 gadiem un 11 mēnešiem, proti, ievērojami zemāk par sankcijā paredzēto minimālo robežu.</w:t>
      </w:r>
    </w:p>
    <w:p w14:paraId="6F8C64C6" w14:textId="18CE189C"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Senāts atzīst, ka Krimināllikuma 49.¹</w:t>
      </w:r>
      <w:r w:rsidR="00165761">
        <w:rPr>
          <w:rFonts w:asciiTheme="majorBidi" w:hAnsiTheme="majorBidi" w:cstheme="majorBidi"/>
          <w:bCs/>
        </w:rPr>
        <w:t> </w:t>
      </w:r>
      <w:r w:rsidRPr="006001CD">
        <w:rPr>
          <w:rFonts w:asciiTheme="majorBidi" w:hAnsiTheme="majorBidi" w:cstheme="majorBidi"/>
          <w:bCs/>
        </w:rPr>
        <w:t>panta piemērošana neatbrīvo tiesu no pienākuma motivēt konkrēto soda samazinājuma apmēru. Ja tiesa secina, ka tiesību uz kriminālprocesa pabeigšanu saprātīgā termiņā pārkāpums pamato soda noteikšanu zem likumā paredzētās minimālās robežas, nolēmumā jābūt saprotamam, kā šā pārkāpuma raksturs, ilgums un nozīmīgums ietekmējis konkrēto soda mēru.</w:t>
      </w:r>
    </w:p>
    <w:p w14:paraId="7802FEEE" w14:textId="6903FD26" w:rsid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 xml:space="preserve">Apelācijas instances tiesas lēmumā šāda izvērtējuma nav. Tiesas secinājums, ka pārkāpums ir pietiekami nozīmīgs, ir vispārīgs un neļauj pārbaudīt, kādēļ konkrētajā gadījumā samērīgs ir tieši tāds soda samazinājums, kura rezultātā par sevišķi smagu noziegumu noteiktais brīvības atņemšanas sods ir zemāks par Krimināllikuma Sevišķās daļas panta sankcijas </w:t>
      </w:r>
      <w:r w:rsidR="000F693F">
        <w:rPr>
          <w:rFonts w:asciiTheme="majorBidi" w:hAnsiTheme="majorBidi" w:cstheme="majorBidi"/>
          <w:bCs/>
        </w:rPr>
        <w:t>minimālo robežu</w:t>
      </w:r>
      <w:r w:rsidRPr="006001CD">
        <w:rPr>
          <w:rFonts w:asciiTheme="majorBidi" w:hAnsiTheme="majorBidi" w:cstheme="majorBidi"/>
          <w:bCs/>
        </w:rPr>
        <w:t xml:space="preserve"> vairāk nekā par diviem gadiem.</w:t>
      </w:r>
    </w:p>
    <w:p w14:paraId="4A784BFC" w14:textId="77777777" w:rsidR="00181DDA" w:rsidRPr="00181DDA" w:rsidRDefault="00181DDA" w:rsidP="006001CD">
      <w:pPr>
        <w:spacing w:line="276" w:lineRule="auto"/>
        <w:ind w:firstLine="720"/>
        <w:jc w:val="both"/>
        <w:rPr>
          <w:rFonts w:asciiTheme="majorBidi" w:hAnsiTheme="majorBidi" w:cstheme="majorBidi"/>
          <w:bCs/>
        </w:rPr>
      </w:pPr>
    </w:p>
    <w:p w14:paraId="25FAEC2B" w14:textId="7A3DB9CB" w:rsidR="006001CD" w:rsidRPr="006001CD" w:rsidRDefault="006001CD" w:rsidP="006001CD">
      <w:pPr>
        <w:spacing w:line="276" w:lineRule="auto"/>
        <w:ind w:firstLine="720"/>
        <w:jc w:val="both"/>
        <w:rPr>
          <w:rFonts w:asciiTheme="majorBidi" w:hAnsiTheme="majorBidi" w:cstheme="majorBidi"/>
          <w:bCs/>
        </w:rPr>
      </w:pPr>
      <w:r w:rsidRPr="00181DDA">
        <w:rPr>
          <w:rFonts w:asciiTheme="majorBidi" w:hAnsiTheme="majorBidi" w:cstheme="majorBidi"/>
          <w:bCs/>
        </w:rPr>
        <w:t>[</w:t>
      </w:r>
      <w:r w:rsidR="00181DDA">
        <w:rPr>
          <w:rFonts w:asciiTheme="majorBidi" w:hAnsiTheme="majorBidi" w:cstheme="majorBidi"/>
          <w:bCs/>
        </w:rPr>
        <w:t>8</w:t>
      </w:r>
      <w:r w:rsidRPr="00181DDA">
        <w:rPr>
          <w:rFonts w:asciiTheme="majorBidi" w:hAnsiTheme="majorBidi" w:cstheme="majorBidi"/>
          <w:bCs/>
        </w:rPr>
        <w:t>]</w:t>
      </w:r>
      <w:r w:rsidR="00DA7E7B">
        <w:rPr>
          <w:rFonts w:asciiTheme="majorBidi" w:hAnsiTheme="majorBidi" w:cstheme="majorBidi"/>
          <w:bCs/>
        </w:rPr>
        <w:t> </w:t>
      </w:r>
      <w:r w:rsidRPr="00181DDA">
        <w:rPr>
          <w:rFonts w:asciiTheme="majorBidi" w:hAnsiTheme="majorBidi" w:cstheme="majorBidi"/>
          <w:bCs/>
        </w:rPr>
        <w:t>Senāts norāda, ka, nosakot sodu, Krimināllikuma 46.</w:t>
      </w:r>
      <w:r w:rsidR="00165761">
        <w:rPr>
          <w:rFonts w:asciiTheme="majorBidi" w:hAnsiTheme="majorBidi" w:cstheme="majorBidi"/>
          <w:bCs/>
        </w:rPr>
        <w:t> </w:t>
      </w:r>
      <w:r w:rsidRPr="00181DDA">
        <w:rPr>
          <w:rFonts w:asciiTheme="majorBidi" w:hAnsiTheme="majorBidi" w:cstheme="majorBidi"/>
          <w:bCs/>
        </w:rPr>
        <w:t>pantā paredzētie soda noteikšanas vispārīgie</w:t>
      </w:r>
      <w:r w:rsidRPr="006001CD">
        <w:rPr>
          <w:rFonts w:asciiTheme="majorBidi" w:hAnsiTheme="majorBidi" w:cstheme="majorBidi"/>
          <w:bCs/>
        </w:rPr>
        <w:t xml:space="preserve"> principi izvērtējami tā, ka visi apstākļi, </w:t>
      </w:r>
      <w:r w:rsidRPr="000527EF">
        <w:rPr>
          <w:rFonts w:asciiTheme="majorBidi" w:hAnsiTheme="majorBidi" w:cstheme="majorBidi"/>
          <w:bCs/>
        </w:rPr>
        <w:t>kas var ietekmēt piemērojamo sodu, vērtējami kopumā un savstarpējā saistībā. Ja lietā konstatēti gan apstākļi, kas var pamatot vieglāka soda noteikšanu, gan apstākļi, kas var pamatot bargāka soda noteikšanu, vērtējams, kādā mērā tie savstarpēji kompensē viens otra ietekmi. Izšķirošs ir nevis šo apstākļu skaits, bet gan katra apstākļa nozīmīgums pēc būtības</w:t>
      </w:r>
      <w:r w:rsidR="00A77B23" w:rsidRPr="00A77B23">
        <w:rPr>
          <w:rFonts w:asciiTheme="majorBidi" w:hAnsiTheme="majorBidi" w:cstheme="majorBidi"/>
          <w:bCs/>
          <w:i/>
          <w:iCs/>
        </w:rPr>
        <w:t xml:space="preserve"> </w:t>
      </w:r>
      <w:r w:rsidR="00A77B23" w:rsidRPr="00DA7E7B">
        <w:rPr>
          <w:color w:val="000000"/>
        </w:rPr>
        <w:t>(</w:t>
      </w:r>
      <w:r w:rsidR="00A77B23" w:rsidRPr="00A77B23">
        <w:rPr>
          <w:i/>
          <w:iCs/>
          <w:color w:val="000000"/>
        </w:rPr>
        <w:t>sk. </w:t>
      </w:r>
      <w:r w:rsidR="00A77B23" w:rsidRPr="00A77B23">
        <w:rPr>
          <w:bCs/>
          <w:i/>
          <w:iCs/>
        </w:rPr>
        <w:t xml:space="preserve">Senāta 2025. gada 3. septembra </w:t>
      </w:r>
      <w:r w:rsidR="00A77B23" w:rsidRPr="00A77B23">
        <w:rPr>
          <w:rFonts w:asciiTheme="majorBidi" w:hAnsiTheme="majorBidi" w:cstheme="majorBidi"/>
          <w:i/>
          <w:iCs/>
          <w:color w:val="000000" w:themeColor="text1"/>
        </w:rPr>
        <w:t>lēmuma lietā Nr. </w:t>
      </w:r>
      <w:r w:rsidR="00A77B23" w:rsidRPr="00A77B23">
        <w:rPr>
          <w:bCs/>
          <w:i/>
          <w:iCs/>
        </w:rPr>
        <w:t>SKK</w:t>
      </w:r>
      <w:r w:rsidR="00A77B23" w:rsidRPr="00A77B23">
        <w:rPr>
          <w:bCs/>
          <w:i/>
          <w:iCs/>
        </w:rPr>
        <w:noBreakHyphen/>
        <w:t xml:space="preserve">79/2025, </w:t>
      </w:r>
      <w:hyperlink r:id="rId9" w:history="1">
        <w:r w:rsidR="00A77B23" w:rsidRPr="00A77B23">
          <w:rPr>
            <w:rStyle w:val="Hyperlink"/>
            <w:rFonts w:asciiTheme="majorBidi" w:hAnsiTheme="majorBidi" w:cstheme="majorBidi"/>
            <w:bCs/>
            <w:i/>
            <w:iCs/>
          </w:rPr>
          <w:t>ECLI:LV:AT:2025:0903.18240018523.4.L</w:t>
        </w:r>
      </w:hyperlink>
      <w:r w:rsidR="00A77B23" w:rsidRPr="00A77B23">
        <w:rPr>
          <w:bCs/>
          <w:i/>
          <w:iCs/>
        </w:rPr>
        <w:t xml:space="preserve">, </w:t>
      </w:r>
      <w:r w:rsidR="00A77B23">
        <w:rPr>
          <w:bCs/>
          <w:i/>
          <w:iCs/>
        </w:rPr>
        <w:t>5.6</w:t>
      </w:r>
      <w:r w:rsidR="00A77B23" w:rsidRPr="00A77B23">
        <w:rPr>
          <w:bCs/>
          <w:i/>
          <w:iCs/>
        </w:rPr>
        <w:t> </w:t>
      </w:r>
      <w:r w:rsidR="00A77B23" w:rsidRPr="00A77B23">
        <w:rPr>
          <w:rFonts w:asciiTheme="majorBidi" w:hAnsiTheme="majorBidi" w:cstheme="majorBidi"/>
          <w:i/>
          <w:iCs/>
          <w:color w:val="000000" w:themeColor="text1"/>
        </w:rPr>
        <w:t>punktu</w:t>
      </w:r>
      <w:r w:rsidR="00A77B23" w:rsidRPr="003D223A">
        <w:rPr>
          <w:color w:val="000000"/>
        </w:rPr>
        <w:t>).</w:t>
      </w:r>
    </w:p>
    <w:p w14:paraId="26430344" w14:textId="0E54953B"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Apelācijas instances tiesa norādījusi, ka pirmās instances tiesa pietiekami novērtējusi Krimināllikuma 46.</w:t>
      </w:r>
      <w:r w:rsidR="00DA7E7B">
        <w:rPr>
          <w:rFonts w:asciiTheme="majorBidi" w:hAnsiTheme="majorBidi" w:cstheme="majorBidi"/>
          <w:bCs/>
        </w:rPr>
        <w:t> </w:t>
      </w:r>
      <w:r w:rsidRPr="006001CD">
        <w:rPr>
          <w:rFonts w:asciiTheme="majorBidi" w:hAnsiTheme="majorBidi" w:cstheme="majorBidi"/>
          <w:bCs/>
        </w:rPr>
        <w:t>pantā paredzētos soda noteikšanas vispārīgos principus, noziedzīgā nodarījuma raksturu un radīto kaitējumu, apsūdzēto personīb</w:t>
      </w:r>
      <w:r w:rsidR="000527EF">
        <w:rPr>
          <w:rFonts w:asciiTheme="majorBidi" w:hAnsiTheme="majorBidi" w:cstheme="majorBidi"/>
          <w:bCs/>
        </w:rPr>
        <w:t>u</w:t>
      </w:r>
      <w:r w:rsidRPr="006001CD">
        <w:rPr>
          <w:rFonts w:asciiTheme="majorBidi" w:hAnsiTheme="majorBidi" w:cstheme="majorBidi"/>
          <w:bCs/>
        </w:rPr>
        <w:t>, kā arī pareizi konstatējusi atbildību pastiprinošo apstākli. Tomēr šāds secinājums apelācijas instances tiesas lēmumā nav pamatots ar konkrētu to apstākļu izvērtējumu, k</w:t>
      </w:r>
      <w:r w:rsidR="0042161B">
        <w:rPr>
          <w:rFonts w:asciiTheme="majorBidi" w:hAnsiTheme="majorBidi" w:cstheme="majorBidi"/>
          <w:bCs/>
        </w:rPr>
        <w:t xml:space="preserve">uri </w:t>
      </w:r>
      <w:r w:rsidRPr="006001CD">
        <w:rPr>
          <w:rFonts w:asciiTheme="majorBidi" w:hAnsiTheme="majorBidi" w:cstheme="majorBidi"/>
          <w:bCs/>
        </w:rPr>
        <w:t>apelācijas protestā norādīti kā pamats bargāka soda noteikšanai.</w:t>
      </w:r>
    </w:p>
    <w:p w14:paraId="73E112C7" w14:textId="46522405"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No lietas materiāliem izriet, ka apsūdzētie personu grupā pēc iepriekšējas vienošanās realizācijas nolūkā neatļauti iegādājās un pārvadāja psihotropo vielu MDMA lielā apmērā</w:t>
      </w:r>
      <w:r w:rsidR="008128A5">
        <w:rPr>
          <w:rFonts w:asciiTheme="majorBidi" w:hAnsiTheme="majorBidi" w:cstheme="majorBidi"/>
          <w:bCs/>
        </w:rPr>
        <w:t>, kas sešas reizes pārsniedz likumā noteikto liela apmēra slieksni</w:t>
      </w:r>
      <w:r w:rsidRPr="006001CD">
        <w:rPr>
          <w:rFonts w:asciiTheme="majorBidi" w:hAnsiTheme="majorBidi" w:cstheme="majorBidi"/>
          <w:bCs/>
        </w:rPr>
        <w:t>. Noziedzīgais nodarījums izdarīts narkotisko vielu ietekmē, kas atzīts par apsūdzēto atbildību pastiprinošu apstākli. Pirmās instances tiesa apsūdzētajiem atbildību mīkstinošus apstākļus nekonstatēja, savukārt apelācijas instances tiesa apsūdzēto vainas atzīšanu un nožēlu neatzina par Krimināllikuma 47.</w:t>
      </w:r>
      <w:r w:rsidR="00DA7E7B">
        <w:rPr>
          <w:rFonts w:asciiTheme="majorBidi" w:hAnsiTheme="majorBidi" w:cstheme="majorBidi"/>
          <w:bCs/>
        </w:rPr>
        <w:t> </w:t>
      </w:r>
      <w:r w:rsidRPr="006001CD">
        <w:rPr>
          <w:rFonts w:asciiTheme="majorBidi" w:hAnsiTheme="majorBidi" w:cstheme="majorBidi"/>
          <w:bCs/>
        </w:rPr>
        <w:t>pantā paredzētu atbildību mīkstinošu apstākli, bet ņēma vērā vienīgi, vērtējot Krimināllikuma 55.</w:t>
      </w:r>
      <w:r w:rsidR="00DA7E7B">
        <w:rPr>
          <w:rFonts w:asciiTheme="majorBidi" w:hAnsiTheme="majorBidi" w:cstheme="majorBidi"/>
          <w:bCs/>
        </w:rPr>
        <w:t> </w:t>
      </w:r>
      <w:r w:rsidRPr="006001CD">
        <w:rPr>
          <w:rFonts w:asciiTheme="majorBidi" w:hAnsiTheme="majorBidi" w:cstheme="majorBidi"/>
          <w:bCs/>
        </w:rPr>
        <w:t>panta piemērošanu.</w:t>
      </w:r>
    </w:p>
    <w:p w14:paraId="1C9A5CA6" w14:textId="01DE3E4A" w:rsidR="006001CD" w:rsidRPr="006001CD" w:rsidRDefault="00860CBD" w:rsidP="006001CD">
      <w:pPr>
        <w:spacing w:line="276" w:lineRule="auto"/>
        <w:ind w:firstLine="720"/>
        <w:jc w:val="both"/>
        <w:rPr>
          <w:rFonts w:asciiTheme="majorBidi" w:hAnsiTheme="majorBidi" w:cstheme="majorBidi"/>
          <w:bCs/>
        </w:rPr>
      </w:pPr>
      <w:r>
        <w:rPr>
          <w:rFonts w:asciiTheme="majorBidi" w:hAnsiTheme="majorBidi" w:cstheme="majorBidi"/>
          <w:bCs/>
        </w:rPr>
        <w:t>Līdz ar to</w:t>
      </w:r>
      <w:r w:rsidR="006001CD" w:rsidRPr="006001CD">
        <w:rPr>
          <w:rFonts w:asciiTheme="majorBidi" w:hAnsiTheme="majorBidi" w:cstheme="majorBidi"/>
          <w:bCs/>
        </w:rPr>
        <w:t xml:space="preserve"> apelācijas instances tiesai bija pienākums pamatot, kāpēc apstākļi, kas saistīti ar procesa ilgumu, apsūdzēto personību un viņu attieksmes maiņu </w:t>
      </w:r>
      <w:r w:rsidR="00B01EF5">
        <w:rPr>
          <w:rFonts w:asciiTheme="majorBidi" w:hAnsiTheme="majorBidi" w:cstheme="majorBidi"/>
          <w:bCs/>
        </w:rPr>
        <w:t xml:space="preserve">pret celto apsūdzību </w:t>
      </w:r>
      <w:r w:rsidR="006001CD" w:rsidRPr="006001CD">
        <w:rPr>
          <w:rFonts w:asciiTheme="majorBidi" w:hAnsiTheme="majorBidi" w:cstheme="majorBidi"/>
          <w:bCs/>
        </w:rPr>
        <w:t>apelācijas instances tiesā, pēc sava nozīmīguma atsver noziedzīgā nodarījuma sevišķo smagumu, tā izdarīšanu realizācijas nolūkā personu grupā, psihotropās vielas lielo apmēru un atbildību pastiprinošo apstākli. Šāds kopvērtējums apelācijas instances tiesas lēmumā nav sniegts.</w:t>
      </w:r>
    </w:p>
    <w:p w14:paraId="68E1059F" w14:textId="77777777" w:rsid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Tādēļ Senāts atzīst, ka apelācijas instances tiesas secinājums par apsūdzētajiem noteiktā soda samērīgumu nav pietiekami motivēts.</w:t>
      </w:r>
    </w:p>
    <w:p w14:paraId="03F8DC29" w14:textId="77777777" w:rsidR="00B01EF5" w:rsidRPr="00B01EF5" w:rsidRDefault="00B01EF5" w:rsidP="006001CD">
      <w:pPr>
        <w:spacing w:line="276" w:lineRule="auto"/>
        <w:ind w:firstLine="720"/>
        <w:jc w:val="both"/>
        <w:rPr>
          <w:rFonts w:asciiTheme="majorBidi" w:hAnsiTheme="majorBidi" w:cstheme="majorBidi"/>
          <w:bCs/>
        </w:rPr>
      </w:pPr>
    </w:p>
    <w:p w14:paraId="1BA1A33E" w14:textId="29F892ED" w:rsidR="006001CD" w:rsidRPr="006001CD" w:rsidRDefault="006001CD" w:rsidP="006001CD">
      <w:pPr>
        <w:spacing w:line="276" w:lineRule="auto"/>
        <w:ind w:firstLine="720"/>
        <w:jc w:val="both"/>
        <w:rPr>
          <w:rFonts w:asciiTheme="majorBidi" w:hAnsiTheme="majorBidi" w:cstheme="majorBidi"/>
          <w:bCs/>
        </w:rPr>
      </w:pPr>
      <w:r w:rsidRPr="00B01EF5">
        <w:rPr>
          <w:rFonts w:asciiTheme="majorBidi" w:hAnsiTheme="majorBidi" w:cstheme="majorBidi"/>
          <w:bCs/>
        </w:rPr>
        <w:t>[</w:t>
      </w:r>
      <w:r w:rsidR="00B01EF5">
        <w:rPr>
          <w:rFonts w:asciiTheme="majorBidi" w:hAnsiTheme="majorBidi" w:cstheme="majorBidi"/>
          <w:bCs/>
        </w:rPr>
        <w:t>9</w:t>
      </w:r>
      <w:r w:rsidRPr="00B01EF5">
        <w:rPr>
          <w:rFonts w:asciiTheme="majorBidi" w:hAnsiTheme="majorBidi" w:cstheme="majorBidi"/>
          <w:bCs/>
        </w:rPr>
        <w:t>]</w:t>
      </w:r>
      <w:r w:rsidR="00DA7E7B">
        <w:rPr>
          <w:rFonts w:asciiTheme="majorBidi" w:hAnsiTheme="majorBidi" w:cstheme="majorBidi"/>
          <w:bCs/>
        </w:rPr>
        <w:t> </w:t>
      </w:r>
      <w:r w:rsidRPr="00B01EF5">
        <w:rPr>
          <w:rFonts w:asciiTheme="majorBidi" w:hAnsiTheme="majorBidi" w:cstheme="majorBidi"/>
          <w:bCs/>
        </w:rPr>
        <w:t xml:space="preserve">Senāts par pamatotu atzīst </w:t>
      </w:r>
      <w:r w:rsidR="00A84B60">
        <w:rPr>
          <w:rFonts w:asciiTheme="majorBidi" w:hAnsiTheme="majorBidi" w:cstheme="majorBidi"/>
          <w:bCs/>
        </w:rPr>
        <w:t xml:space="preserve">arī </w:t>
      </w:r>
      <w:r w:rsidRPr="00B01EF5">
        <w:rPr>
          <w:rFonts w:asciiTheme="majorBidi" w:hAnsiTheme="majorBidi" w:cstheme="majorBidi"/>
          <w:bCs/>
        </w:rPr>
        <w:t>kasācijas protesta argumentu, ka apelācijas instances tiesa na</w:t>
      </w:r>
      <w:r w:rsidRPr="006001CD">
        <w:rPr>
          <w:rFonts w:asciiTheme="majorBidi" w:hAnsiTheme="majorBidi" w:cstheme="majorBidi"/>
          <w:bCs/>
        </w:rPr>
        <w:t xml:space="preserve">v pietiekami </w:t>
      </w:r>
      <w:r w:rsidR="00B01EF5">
        <w:rPr>
          <w:rFonts w:asciiTheme="majorBidi" w:hAnsiTheme="majorBidi" w:cstheme="majorBidi"/>
          <w:bCs/>
        </w:rPr>
        <w:t>pamatojusi</w:t>
      </w:r>
      <w:r w:rsidRPr="006001CD">
        <w:rPr>
          <w:rFonts w:asciiTheme="majorBidi" w:hAnsiTheme="majorBidi" w:cstheme="majorBidi"/>
          <w:bCs/>
        </w:rPr>
        <w:t xml:space="preserve"> Krimināllikuma 55.</w:t>
      </w:r>
      <w:r w:rsidR="00DA7E7B">
        <w:rPr>
          <w:rFonts w:asciiTheme="majorBidi" w:hAnsiTheme="majorBidi" w:cstheme="majorBidi"/>
          <w:bCs/>
        </w:rPr>
        <w:t> </w:t>
      </w:r>
      <w:r w:rsidRPr="006001CD">
        <w:rPr>
          <w:rFonts w:asciiTheme="majorBidi" w:hAnsiTheme="majorBidi" w:cstheme="majorBidi"/>
          <w:bCs/>
        </w:rPr>
        <w:t>panta piemērošanu.</w:t>
      </w:r>
    </w:p>
    <w:p w14:paraId="23004C61" w14:textId="726C6608" w:rsidR="006001CD" w:rsidRPr="006001CD" w:rsidRDefault="008D21A4" w:rsidP="006001CD">
      <w:pPr>
        <w:spacing w:line="276" w:lineRule="auto"/>
        <w:ind w:firstLine="720"/>
        <w:jc w:val="both"/>
        <w:rPr>
          <w:rFonts w:asciiTheme="majorBidi" w:hAnsiTheme="majorBidi" w:cstheme="majorBidi"/>
          <w:bCs/>
        </w:rPr>
      </w:pPr>
      <w:r>
        <w:rPr>
          <w:rFonts w:asciiTheme="majorBidi" w:hAnsiTheme="majorBidi" w:cstheme="majorBidi"/>
          <w:bCs/>
        </w:rPr>
        <w:t>[9.1]</w:t>
      </w:r>
      <w:r w:rsidR="00DA7E7B">
        <w:rPr>
          <w:rFonts w:asciiTheme="majorBidi" w:hAnsiTheme="majorBidi" w:cstheme="majorBidi"/>
          <w:bCs/>
        </w:rPr>
        <w:t> </w:t>
      </w:r>
      <w:r w:rsidR="006001CD" w:rsidRPr="006001CD">
        <w:rPr>
          <w:rFonts w:asciiTheme="majorBidi" w:hAnsiTheme="majorBidi" w:cstheme="majorBidi"/>
          <w:bCs/>
        </w:rPr>
        <w:t>Krimināllikuma 55.</w:t>
      </w:r>
      <w:r w:rsidR="00DA7E7B">
        <w:rPr>
          <w:rFonts w:asciiTheme="majorBidi" w:hAnsiTheme="majorBidi" w:cstheme="majorBidi"/>
          <w:bCs/>
        </w:rPr>
        <w:t> </w:t>
      </w:r>
      <w:r w:rsidR="006001CD" w:rsidRPr="006001CD">
        <w:rPr>
          <w:rFonts w:asciiTheme="majorBidi" w:hAnsiTheme="majorBidi" w:cstheme="majorBidi"/>
          <w:bCs/>
        </w:rPr>
        <w:t>panta pirmā daļa redakcijā, kas bija spēkā noziedzīgā nodarījuma izdarīšanas laikā, noteica, ka, nosakot brīvības atņemšanas sodu ilgāku par trim mēnešiem, bet ne ilgāku par pieciem gadiem, vai ne ilgāku par trim gadiem, ja izdarīts sevišķi smags noziegums, tiesa, ņemot vērā izdarītā noziedzīgā nodarījuma raksturu un radīto kaitējumu, vainīgā personību un citus lietas apstākļus, var vainīgo notiesāt nosacīti, ja iegūst pārliecību, ka vainīgais, sodu neizciešot, turpmāk neizdarīs likumpārkāpumus.</w:t>
      </w:r>
    </w:p>
    <w:p w14:paraId="5D7EEA52" w14:textId="1609C6ED" w:rsidR="006001CD" w:rsidRPr="006001CD" w:rsidRDefault="008D21A4" w:rsidP="006001CD">
      <w:pPr>
        <w:spacing w:line="276" w:lineRule="auto"/>
        <w:ind w:firstLine="720"/>
        <w:jc w:val="both"/>
        <w:rPr>
          <w:rFonts w:asciiTheme="majorBidi" w:hAnsiTheme="majorBidi" w:cstheme="majorBidi"/>
          <w:bCs/>
        </w:rPr>
      </w:pPr>
      <w:r>
        <w:t xml:space="preserve">Judikatūrā nostiprināta atziņa, ka, lemjot par iespēju notiesāt personu nosacīti, ir jāievēro kriminālsoda mērķi. Proti, ir jāizvērtē, kā konkrētās krimināltiesiskās represijas piemērošana sekmēs taisnīguma atjaunošanu, noziedzīgu nodarījumu recidīvu novēršanu, </w:t>
      </w:r>
      <w:r>
        <w:lastRenderedPageBreak/>
        <w:t>aizsargās sabiedrisko drošību, atturēs citu personu no noziedzīgu nodarījumu izdarīšanas, sekmēs notiesāto personu resocializāciju. Jāievēro ne tikai vainīgā personību raksturojošie dati, bet arī fakti, kas saistīti ar noziedzīgu nodarījumu (noziedzīgu nodarījumu smagums, izdarīto noziedzīgo nodarījumu skaits, nodarītais kaitējums utt.). Turklāt tiesai pēc visu šo minēto apstākļu izvērtēšanas ir jārodas pārliecībai, ka, sodu neizciešot, vainīgais turpmāk neizdarīs likumpārkāpumus (</w:t>
      </w:r>
      <w:r w:rsidR="000430A6">
        <w:rPr>
          <w:i/>
        </w:rPr>
        <w:t>Senāta</w:t>
      </w:r>
      <w:r w:rsidRPr="0007111F">
        <w:rPr>
          <w:i/>
        </w:rPr>
        <w:t xml:space="preserve"> 2018.</w:t>
      </w:r>
      <w:r w:rsidR="002100C4">
        <w:rPr>
          <w:i/>
        </w:rPr>
        <w:t> </w:t>
      </w:r>
      <w:r w:rsidRPr="0007111F">
        <w:rPr>
          <w:i/>
        </w:rPr>
        <w:t>gada 8.</w:t>
      </w:r>
      <w:r w:rsidR="002100C4">
        <w:rPr>
          <w:i/>
        </w:rPr>
        <w:t> </w:t>
      </w:r>
      <w:r w:rsidRPr="0007111F">
        <w:rPr>
          <w:i/>
        </w:rPr>
        <w:t>augusta lēmums lietā Nr. SKK-434/2018</w:t>
      </w:r>
      <w:r>
        <w:rPr>
          <w:i/>
        </w:rPr>
        <w:t xml:space="preserve">, </w:t>
      </w:r>
      <w:r w:rsidRPr="0007111F">
        <w:rPr>
          <w:i/>
        </w:rPr>
        <w:t>ECLI:LV:</w:t>
      </w:r>
      <w:hyperlink r:id="rId10" w:history="1">
        <w:r w:rsidRPr="008D21A4">
          <w:rPr>
            <w:rStyle w:val="Hyperlink"/>
            <w:i/>
          </w:rPr>
          <w:t>AT:2018:0808.11087170715.4.L</w:t>
        </w:r>
      </w:hyperlink>
      <w:r w:rsidRPr="0007111F">
        <w:t>).</w:t>
      </w:r>
    </w:p>
    <w:p w14:paraId="02A43D56" w14:textId="15B594CE" w:rsidR="008D21A4" w:rsidRPr="00C92745" w:rsidRDefault="008D21A4" w:rsidP="008D21A4">
      <w:pPr>
        <w:spacing w:line="276" w:lineRule="auto"/>
        <w:ind w:firstLine="720"/>
        <w:jc w:val="both"/>
      </w:pPr>
      <w:r>
        <w:t>Turklāt Augstākās tiesas Senāta Krimināllietu departamenta un Krimināllietu tiesu palātas tiesnešu 2008.</w:t>
      </w:r>
      <w:r w:rsidR="002100C4">
        <w:t> </w:t>
      </w:r>
      <w:r>
        <w:t>gada 1.</w:t>
      </w:r>
      <w:r w:rsidR="002100C4">
        <w:t> </w:t>
      </w:r>
      <w:r>
        <w:t>jūlija kopsapulces lēmuma 23.</w:t>
      </w:r>
      <w:r w:rsidR="002100C4">
        <w:t> </w:t>
      </w:r>
      <w:r>
        <w:t>un 24.</w:t>
      </w:r>
      <w:r w:rsidR="002100C4">
        <w:t> </w:t>
      </w:r>
      <w:r>
        <w:t xml:space="preserve">punkts noteic, ka gadījumā, ja tiesa atzīst par iespējamu piemērot nosacītu sodu personai, kura izdarījusi smagu vai sevišķi smagu noziegumu, pieņemtais lēmums īpaši jāmotivē, tostarp pievēršot uzmanību vispārējās </w:t>
      </w:r>
      <w:proofErr w:type="spellStart"/>
      <w:r>
        <w:t>prevencijas</w:t>
      </w:r>
      <w:proofErr w:type="spellEnd"/>
      <w:r>
        <w:t xml:space="preserve"> mērķa sasniegšanai. Nosacīta notiesāšana ir pieļaujama tikai tad, ja tiesai ir pārliecība, ka vainīgais</w:t>
      </w:r>
      <w:r w:rsidR="00050415">
        <w:t>,</w:t>
      </w:r>
      <w:r>
        <w:t xml:space="preserve"> sodu neizciešot, turpmāk neizdarīs likumpārkāpumus. Nebūtu piemērojama nosacīta notiesāšana tikai tāpēc, ka vainīgais iepriekš nav sodīts vai sodāmība dzēsta, ka viņš nožēlo izdarīto</w:t>
      </w:r>
      <w:r w:rsidR="002100C4">
        <w:t>.</w:t>
      </w:r>
      <w:r>
        <w:t xml:space="preserve"> (</w:t>
      </w:r>
      <w:r w:rsidRPr="00335020">
        <w:rPr>
          <w:i/>
        </w:rPr>
        <w:t>pieejams:</w:t>
      </w:r>
      <w:r w:rsidR="0063743D">
        <w:rPr>
          <w:i/>
        </w:rPr>
        <w:t xml:space="preserve"> </w:t>
      </w:r>
      <w:hyperlink r:id="rId11" w:history="1">
        <w:r w:rsidR="0063743D" w:rsidRPr="009901A8">
          <w:rPr>
            <w:rStyle w:val="Hyperlink"/>
            <w:i/>
          </w:rPr>
          <w:t>http://www.at.gov.lv/lv/tiesu-prakse/tiesnesu-kopsapulcu-lemumi/kriminallietu-departaments</w:t>
        </w:r>
      </w:hyperlink>
      <w:r>
        <w:t>)</w:t>
      </w:r>
    </w:p>
    <w:p w14:paraId="629803DD" w14:textId="53C7E11A" w:rsidR="006001CD" w:rsidRPr="006001CD" w:rsidRDefault="006001CD" w:rsidP="006001CD">
      <w:pPr>
        <w:spacing w:line="276" w:lineRule="auto"/>
        <w:ind w:firstLine="720"/>
        <w:jc w:val="both"/>
        <w:rPr>
          <w:rFonts w:asciiTheme="majorBidi" w:hAnsiTheme="majorBidi" w:cstheme="majorBidi"/>
          <w:bCs/>
        </w:rPr>
      </w:pPr>
      <w:r w:rsidRPr="008D21A4">
        <w:rPr>
          <w:rFonts w:asciiTheme="majorBidi" w:hAnsiTheme="majorBidi" w:cstheme="majorBidi"/>
        </w:rPr>
        <w:t>[</w:t>
      </w:r>
      <w:r w:rsidR="008D21A4">
        <w:rPr>
          <w:rFonts w:asciiTheme="majorBidi" w:hAnsiTheme="majorBidi" w:cstheme="majorBidi"/>
        </w:rPr>
        <w:t>9</w:t>
      </w:r>
      <w:r w:rsidRPr="008D21A4">
        <w:rPr>
          <w:rFonts w:asciiTheme="majorBidi" w:hAnsiTheme="majorBidi" w:cstheme="majorBidi"/>
        </w:rPr>
        <w:t>.</w:t>
      </w:r>
      <w:r w:rsidR="008D21A4">
        <w:rPr>
          <w:rFonts w:asciiTheme="majorBidi" w:hAnsiTheme="majorBidi" w:cstheme="majorBidi"/>
        </w:rPr>
        <w:t>2</w:t>
      </w:r>
      <w:r w:rsidRPr="008D21A4">
        <w:rPr>
          <w:rFonts w:asciiTheme="majorBidi" w:hAnsiTheme="majorBidi" w:cstheme="majorBidi"/>
        </w:rPr>
        <w:t>]</w:t>
      </w:r>
      <w:r w:rsidR="0063743D">
        <w:rPr>
          <w:rFonts w:asciiTheme="majorBidi" w:hAnsiTheme="majorBidi" w:cstheme="majorBidi"/>
        </w:rPr>
        <w:t> </w:t>
      </w:r>
      <w:r w:rsidRPr="008D21A4">
        <w:rPr>
          <w:rFonts w:asciiTheme="majorBidi" w:hAnsiTheme="majorBidi" w:cstheme="majorBidi"/>
        </w:rPr>
        <w:t>Apelācijas instances tiesa, pamatojot Krimināllikuma 55.</w:t>
      </w:r>
      <w:r w:rsidR="0063743D">
        <w:rPr>
          <w:rFonts w:asciiTheme="majorBidi" w:hAnsiTheme="majorBidi" w:cstheme="majorBidi"/>
        </w:rPr>
        <w:t> </w:t>
      </w:r>
      <w:r w:rsidRPr="008D21A4">
        <w:rPr>
          <w:rFonts w:asciiTheme="majorBidi" w:hAnsiTheme="majorBidi" w:cstheme="majorBidi"/>
        </w:rPr>
        <w:t>panta piemērošanu, norādījusi uz apsūdzēto</w:t>
      </w:r>
      <w:r w:rsidRPr="006001CD">
        <w:rPr>
          <w:rFonts w:asciiTheme="majorBidi" w:hAnsiTheme="majorBidi" w:cstheme="majorBidi"/>
          <w:bCs/>
        </w:rPr>
        <w:t xml:space="preserve"> personību raksturojošām ziņām, tostarp to, ka apsūdzētie iepriekš nav sodīti, atsevišķi apsūdzētie ir nodarbināti, apsūdzētajiem </w:t>
      </w:r>
      <w:r w:rsidR="00066C04">
        <w:rPr>
          <w:rFonts w:asciiTheme="majorBidi" w:hAnsiTheme="majorBidi" w:cstheme="majorBidi"/>
          <w:bCs/>
        </w:rPr>
        <w:t>[pers. A]</w:t>
      </w:r>
      <w:r w:rsidRPr="006001CD">
        <w:rPr>
          <w:rFonts w:asciiTheme="majorBidi" w:hAnsiTheme="majorBidi" w:cstheme="majorBidi"/>
          <w:bCs/>
        </w:rPr>
        <w:t xml:space="preserve"> un </w:t>
      </w:r>
      <w:r w:rsidR="00066C04">
        <w:rPr>
          <w:rFonts w:asciiTheme="majorBidi" w:hAnsiTheme="majorBidi" w:cstheme="majorBidi"/>
          <w:bCs/>
        </w:rPr>
        <w:t>[pers. B]</w:t>
      </w:r>
      <w:r w:rsidRPr="006001CD">
        <w:rPr>
          <w:rFonts w:asciiTheme="majorBidi" w:hAnsiTheme="majorBidi" w:cstheme="majorBidi"/>
          <w:bCs/>
        </w:rPr>
        <w:t xml:space="preserve"> ir mazgadīgs bērns, kā arī uz to, ka apelācijas instances tiesā apsūdzētie vainu atzina un izdarīto nožēloja. Apelācijas instances tiesa arī norādījusi, ka pret apsūdzētajiem nav uzsākti jauni kriminālprocesi, un no tā secinājusi, ka apsūdzētie izdarījuši nepieciešamos secinājumus par likumpārkāpumu nepieļaujamību.</w:t>
      </w:r>
    </w:p>
    <w:p w14:paraId="7CD90ED2" w14:textId="03714875"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Senāts atzīst, ka šāds pamatojums nav pietiekams Krimināllikuma 55.</w:t>
      </w:r>
      <w:r w:rsidR="0063743D">
        <w:rPr>
          <w:rFonts w:asciiTheme="majorBidi" w:hAnsiTheme="majorBidi" w:cstheme="majorBidi"/>
          <w:bCs/>
        </w:rPr>
        <w:t> </w:t>
      </w:r>
      <w:r w:rsidRPr="006001CD">
        <w:rPr>
          <w:rFonts w:asciiTheme="majorBidi" w:hAnsiTheme="majorBidi" w:cstheme="majorBidi"/>
          <w:bCs/>
        </w:rPr>
        <w:t>panta piemērošanai.</w:t>
      </w:r>
    </w:p>
    <w:p w14:paraId="2E1A90D1" w14:textId="22F80059" w:rsidR="006001CD" w:rsidRPr="006001CD" w:rsidRDefault="006001CD" w:rsidP="009207DC">
      <w:pPr>
        <w:spacing w:line="276" w:lineRule="auto"/>
        <w:ind w:firstLine="720"/>
        <w:jc w:val="both"/>
        <w:rPr>
          <w:rFonts w:asciiTheme="majorBidi" w:hAnsiTheme="majorBidi" w:cstheme="majorBidi"/>
          <w:bCs/>
        </w:rPr>
      </w:pPr>
      <w:r w:rsidRPr="006001CD">
        <w:rPr>
          <w:rFonts w:asciiTheme="majorBidi" w:hAnsiTheme="majorBidi" w:cstheme="majorBidi"/>
          <w:bCs/>
        </w:rPr>
        <w:t>Pirmkārt, secinājums, ka pret apsūdzētajiem nav uzsākti jauni kriminālprocesi, pats par sevi nepamato pārliecību, ka apsūdzētie turpmāk neizdarīs likumpārkāpumus. Krimināllikuma 55.</w:t>
      </w:r>
      <w:r w:rsidR="0063743D">
        <w:rPr>
          <w:rFonts w:asciiTheme="majorBidi" w:hAnsiTheme="majorBidi" w:cstheme="majorBidi"/>
          <w:bCs/>
        </w:rPr>
        <w:t> </w:t>
      </w:r>
      <w:r w:rsidRPr="006001CD">
        <w:rPr>
          <w:rFonts w:asciiTheme="majorBidi" w:hAnsiTheme="majorBidi" w:cstheme="majorBidi"/>
          <w:bCs/>
        </w:rPr>
        <w:t xml:space="preserve">panta pirmajā daļā lietotais jēdziens </w:t>
      </w:r>
      <w:r w:rsidR="0063743D">
        <w:rPr>
          <w:rFonts w:asciiTheme="majorBidi" w:hAnsiTheme="majorBidi" w:cstheme="majorBidi"/>
          <w:bCs/>
        </w:rPr>
        <w:t>,,</w:t>
      </w:r>
      <w:r w:rsidRPr="006001CD">
        <w:rPr>
          <w:rFonts w:asciiTheme="majorBidi" w:hAnsiTheme="majorBidi" w:cstheme="majorBidi"/>
          <w:bCs/>
        </w:rPr>
        <w:t xml:space="preserve">likumpārkāpumi” nav sašaurināms tikai līdz noziedzīgiem nodarījumiem. </w:t>
      </w:r>
      <w:r w:rsidR="009207DC" w:rsidRPr="009207DC">
        <w:rPr>
          <w:rFonts w:asciiTheme="majorBidi" w:hAnsiTheme="majorBidi" w:cstheme="majorBidi"/>
          <w:bCs/>
        </w:rPr>
        <w:t>Tādēļ, vērtējot nosacītas notiesāšanas piemērošanas iespējamību, tiesai jāvērtē arī lietas materiālos esošas ziņas par personas administratīvajiem pārkāpumiem un citu prettiesisku rīcību, ja šādas ziņas ir nozīmīgas prognozei par personas turpmāko uzvedību.</w:t>
      </w:r>
    </w:p>
    <w:p w14:paraId="4C326596" w14:textId="77777777"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Otrkārt, nosacītas notiesāšanas piemērošanas priekšnoteikums ir ar faktiem pamatota prognoze, ka vainīgais turpmāk neizdarīs likumpārkāpumus. Likums neprasa absolūtu garantiju, tomēr varbūtībai, ka likumpārkāpumi nākotnē netiks izdarīti, jābūt ievērojami lielākai par varbūtību, ka tie atkārtosies.</w:t>
      </w:r>
    </w:p>
    <w:p w14:paraId="44700628" w14:textId="5387753F" w:rsidR="006001CD" w:rsidRPr="008D21A4" w:rsidRDefault="001A3620" w:rsidP="001A3620">
      <w:pPr>
        <w:spacing w:line="276" w:lineRule="auto"/>
        <w:ind w:firstLine="720"/>
        <w:jc w:val="both"/>
        <w:rPr>
          <w:rFonts w:asciiTheme="majorBidi" w:hAnsiTheme="majorBidi" w:cstheme="majorBidi"/>
          <w:bCs/>
        </w:rPr>
      </w:pPr>
      <w:r w:rsidRPr="001A3620">
        <w:rPr>
          <w:rFonts w:asciiTheme="majorBidi" w:hAnsiTheme="majorBidi" w:cstheme="majorBidi"/>
          <w:bCs/>
        </w:rPr>
        <w:t>Apelācijas instances tiesa šādu prognozi nav pamatojusi ar tādu konkrētu un savstarpēji saistītu apstākļu izvērtējumu, kas ļautu pārbaudīt Krimināllikuma 55.</w:t>
      </w:r>
      <w:r w:rsidR="0063743D">
        <w:rPr>
          <w:rFonts w:asciiTheme="majorBidi" w:hAnsiTheme="majorBidi" w:cstheme="majorBidi"/>
          <w:bCs/>
        </w:rPr>
        <w:t> </w:t>
      </w:r>
      <w:r w:rsidRPr="001A3620">
        <w:rPr>
          <w:rFonts w:asciiTheme="majorBidi" w:hAnsiTheme="majorBidi" w:cstheme="majorBidi"/>
          <w:bCs/>
        </w:rPr>
        <w:t>panta piemērošanas pareizību.</w:t>
      </w:r>
    </w:p>
    <w:p w14:paraId="0616CC0A" w14:textId="522A891E" w:rsidR="00F50595" w:rsidRPr="00F50595" w:rsidRDefault="006001CD" w:rsidP="00F50595">
      <w:pPr>
        <w:spacing w:line="276" w:lineRule="auto"/>
        <w:ind w:firstLine="720"/>
        <w:jc w:val="both"/>
        <w:rPr>
          <w:rFonts w:asciiTheme="majorBidi" w:hAnsiTheme="majorBidi" w:cstheme="majorBidi"/>
          <w:bCs/>
        </w:rPr>
      </w:pPr>
      <w:r w:rsidRPr="00F50595">
        <w:rPr>
          <w:rFonts w:asciiTheme="majorBidi" w:hAnsiTheme="majorBidi" w:cstheme="majorBidi"/>
          <w:bCs/>
        </w:rPr>
        <w:t>[</w:t>
      </w:r>
      <w:r w:rsidR="008D21A4" w:rsidRPr="00F50595">
        <w:rPr>
          <w:rFonts w:asciiTheme="majorBidi" w:hAnsiTheme="majorBidi" w:cstheme="majorBidi"/>
          <w:bCs/>
        </w:rPr>
        <w:t>9</w:t>
      </w:r>
      <w:r w:rsidRPr="00F50595">
        <w:rPr>
          <w:rFonts w:asciiTheme="majorBidi" w:hAnsiTheme="majorBidi" w:cstheme="majorBidi"/>
          <w:bCs/>
        </w:rPr>
        <w:t>.</w:t>
      </w:r>
      <w:r w:rsidR="008D21A4" w:rsidRPr="00F50595">
        <w:rPr>
          <w:rFonts w:asciiTheme="majorBidi" w:hAnsiTheme="majorBidi" w:cstheme="majorBidi"/>
          <w:bCs/>
        </w:rPr>
        <w:t>3</w:t>
      </w:r>
      <w:r w:rsidRPr="00F50595">
        <w:rPr>
          <w:rFonts w:asciiTheme="majorBidi" w:hAnsiTheme="majorBidi" w:cstheme="majorBidi"/>
          <w:bCs/>
        </w:rPr>
        <w:t>]</w:t>
      </w:r>
      <w:r w:rsidR="0063743D">
        <w:rPr>
          <w:rFonts w:asciiTheme="majorBidi" w:hAnsiTheme="majorBidi" w:cstheme="majorBidi"/>
          <w:bCs/>
        </w:rPr>
        <w:t> </w:t>
      </w:r>
      <w:r w:rsidR="00F50595" w:rsidRPr="00F50595">
        <w:rPr>
          <w:rFonts w:asciiTheme="majorBidi" w:hAnsiTheme="majorBidi" w:cstheme="majorBidi"/>
          <w:bCs/>
        </w:rPr>
        <w:t xml:space="preserve">Vienlaikus Senāts atzīst, ka kasācijas protestā norādītās ziņas par </w:t>
      </w:r>
      <w:r w:rsidR="00EA73EF">
        <w:rPr>
          <w:rFonts w:asciiTheme="majorBidi" w:hAnsiTheme="majorBidi" w:cstheme="majorBidi"/>
          <w:bCs/>
        </w:rPr>
        <w:t>[pers. C]</w:t>
      </w:r>
      <w:r w:rsidR="00F50595" w:rsidRPr="00F50595">
        <w:rPr>
          <w:rFonts w:asciiTheme="majorBidi" w:hAnsiTheme="majorBidi" w:cstheme="majorBidi"/>
          <w:bCs/>
        </w:rPr>
        <w:t xml:space="preserve"> administratīvajiem pārkāpumiem pašas par sevi nevar būt pamats apelācijas instances tiesas lēmuma atcelšanai, ja šādas ziņas nebija </w:t>
      </w:r>
      <w:r w:rsidR="00F50595">
        <w:rPr>
          <w:rFonts w:asciiTheme="majorBidi" w:hAnsiTheme="majorBidi" w:cstheme="majorBidi"/>
          <w:bCs/>
        </w:rPr>
        <w:t>iepriekš</w:t>
      </w:r>
      <w:r w:rsidR="00F50595" w:rsidRPr="00F50595">
        <w:rPr>
          <w:rFonts w:asciiTheme="majorBidi" w:hAnsiTheme="majorBidi" w:cstheme="majorBidi"/>
          <w:bCs/>
        </w:rPr>
        <w:t xml:space="preserve"> lietas materiālos.</w:t>
      </w:r>
      <w:r w:rsidR="00F50595">
        <w:rPr>
          <w:rFonts w:asciiTheme="majorBidi" w:hAnsiTheme="majorBidi" w:cstheme="majorBidi"/>
          <w:bCs/>
        </w:rPr>
        <w:t xml:space="preserve"> </w:t>
      </w:r>
      <w:r w:rsidR="00F50595" w:rsidRPr="00F50595">
        <w:rPr>
          <w:rFonts w:asciiTheme="majorBidi" w:hAnsiTheme="majorBidi" w:cstheme="majorBidi"/>
          <w:bCs/>
        </w:rPr>
        <w:t xml:space="preserve">Apelācijas instances tiesai nevar pārmest tādu ziņu neizvērtēšanu, kuras tai nebija iesniegtas. Kasācijas instances tiesa </w:t>
      </w:r>
      <w:r w:rsidR="00F50595" w:rsidRPr="00F50595">
        <w:rPr>
          <w:rFonts w:asciiTheme="majorBidi" w:hAnsiTheme="majorBidi" w:cstheme="majorBidi"/>
          <w:bCs/>
        </w:rPr>
        <w:lastRenderedPageBreak/>
        <w:t>nepārbauda jaunus faktisk</w:t>
      </w:r>
      <w:r w:rsidR="00B416DE">
        <w:rPr>
          <w:rFonts w:asciiTheme="majorBidi" w:hAnsiTheme="majorBidi" w:cstheme="majorBidi"/>
          <w:bCs/>
        </w:rPr>
        <w:t>os</w:t>
      </w:r>
      <w:r w:rsidR="00F50595" w:rsidRPr="00F50595">
        <w:rPr>
          <w:rFonts w:asciiTheme="majorBidi" w:hAnsiTheme="majorBidi" w:cstheme="majorBidi"/>
          <w:bCs/>
        </w:rPr>
        <w:t xml:space="preserve"> apstākļus un pati nekonstatē faktus, kas nav </w:t>
      </w:r>
      <w:r w:rsidR="00F50595">
        <w:rPr>
          <w:rFonts w:asciiTheme="majorBidi" w:hAnsiTheme="majorBidi" w:cstheme="majorBidi"/>
          <w:bCs/>
        </w:rPr>
        <w:t>tikuši vērtēti iepriekšējās tiesu instancēs</w:t>
      </w:r>
      <w:r w:rsidR="00F50595" w:rsidRPr="00F50595">
        <w:rPr>
          <w:rFonts w:asciiTheme="majorBidi" w:hAnsiTheme="majorBidi" w:cstheme="majorBidi"/>
          <w:bCs/>
        </w:rPr>
        <w:t>.</w:t>
      </w:r>
    </w:p>
    <w:p w14:paraId="4E2630AB" w14:textId="33B3726F" w:rsidR="006001CD" w:rsidRPr="006001CD" w:rsidRDefault="006001CD" w:rsidP="006001CD">
      <w:pPr>
        <w:spacing w:line="276" w:lineRule="auto"/>
        <w:ind w:firstLine="720"/>
        <w:jc w:val="both"/>
        <w:rPr>
          <w:rFonts w:asciiTheme="majorBidi" w:hAnsiTheme="majorBidi" w:cstheme="majorBidi"/>
          <w:bCs/>
        </w:rPr>
      </w:pPr>
      <w:r w:rsidRPr="008D21A4">
        <w:rPr>
          <w:rFonts w:asciiTheme="majorBidi" w:hAnsiTheme="majorBidi" w:cstheme="majorBidi"/>
        </w:rPr>
        <w:t>[</w:t>
      </w:r>
      <w:r w:rsidR="008D21A4">
        <w:rPr>
          <w:rFonts w:asciiTheme="majorBidi" w:hAnsiTheme="majorBidi" w:cstheme="majorBidi"/>
        </w:rPr>
        <w:t>9</w:t>
      </w:r>
      <w:r w:rsidRPr="008D21A4">
        <w:rPr>
          <w:rFonts w:asciiTheme="majorBidi" w:hAnsiTheme="majorBidi" w:cstheme="majorBidi"/>
        </w:rPr>
        <w:t>.</w:t>
      </w:r>
      <w:r w:rsidR="008D21A4">
        <w:rPr>
          <w:rFonts w:asciiTheme="majorBidi" w:hAnsiTheme="majorBidi" w:cstheme="majorBidi"/>
        </w:rPr>
        <w:t>4</w:t>
      </w:r>
      <w:r w:rsidRPr="008D21A4">
        <w:rPr>
          <w:rFonts w:asciiTheme="majorBidi" w:hAnsiTheme="majorBidi" w:cstheme="majorBidi"/>
        </w:rPr>
        <w:t>]</w:t>
      </w:r>
      <w:r w:rsidR="0063743D">
        <w:rPr>
          <w:rFonts w:asciiTheme="majorBidi" w:hAnsiTheme="majorBidi" w:cstheme="majorBidi"/>
        </w:rPr>
        <w:t> </w:t>
      </w:r>
      <w:r w:rsidRPr="008D21A4">
        <w:rPr>
          <w:rFonts w:asciiTheme="majorBidi" w:hAnsiTheme="majorBidi" w:cstheme="majorBidi"/>
        </w:rPr>
        <w:t>S</w:t>
      </w:r>
      <w:r w:rsidRPr="006001CD">
        <w:rPr>
          <w:rFonts w:asciiTheme="majorBidi" w:hAnsiTheme="majorBidi" w:cstheme="majorBidi"/>
          <w:bCs/>
        </w:rPr>
        <w:t xml:space="preserve">enāts norāda, ka apelācijas instances tiesas lēmumā nav pietiekami izvērtēts arī vispārējās </w:t>
      </w:r>
      <w:proofErr w:type="spellStart"/>
      <w:r w:rsidRPr="006001CD">
        <w:rPr>
          <w:rFonts w:asciiTheme="majorBidi" w:hAnsiTheme="majorBidi" w:cstheme="majorBidi"/>
          <w:bCs/>
        </w:rPr>
        <w:t>prevencijas</w:t>
      </w:r>
      <w:proofErr w:type="spellEnd"/>
      <w:r w:rsidRPr="006001CD">
        <w:rPr>
          <w:rFonts w:asciiTheme="majorBidi" w:hAnsiTheme="majorBidi" w:cstheme="majorBidi"/>
          <w:bCs/>
        </w:rPr>
        <w:t xml:space="preserve"> mērķis.</w:t>
      </w:r>
    </w:p>
    <w:p w14:paraId="2A25DF3F" w14:textId="77777777"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Apsūdzētie atzīti par vainīgiem sevišķi smaga noziedzīga nodarījuma izdarīšanā, kas saistīts ar psihotropās vielas neatļautu apriti lielā apmērā realizācijas nolūkā. Šāda noziedzīga nodarījuma raksturs objektīvi rada paaugstinātu apdraudējumu sabiedrības drošībai. Turklāt nodarījums izdarīts personu grupā pēc iepriekšējas vienošanās un narkotisko vielu ietekmē.</w:t>
      </w:r>
    </w:p>
    <w:p w14:paraId="09F24689" w14:textId="77777777" w:rsid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Tādēļ, nosakot brīvības atņemšanas sodu nosacīti, apelācijas instances tiesai bija pienākums īpaši motivēt, kā šāds soda izpildes veids nodrošinās ne vien apsūdzēto resocializāciju, bet arī taisnīguma atjaunošanu, sabiedrības drošības aizsardzību un citu personu atturēšanu no līdzīgu noziedzīgu nodarījumu izdarīšanas. Apelācijas instances tiesas lēmumā šāds izvērtējums pēc būtības nav sniegts.</w:t>
      </w:r>
    </w:p>
    <w:p w14:paraId="25490303" w14:textId="58BBCB3B" w:rsidR="00755F16" w:rsidRPr="006001CD" w:rsidRDefault="00755F16" w:rsidP="00755F16">
      <w:pPr>
        <w:spacing w:line="276" w:lineRule="auto"/>
        <w:ind w:firstLine="720"/>
        <w:jc w:val="both"/>
        <w:rPr>
          <w:rFonts w:asciiTheme="majorBidi" w:hAnsiTheme="majorBidi" w:cstheme="majorBidi"/>
          <w:bCs/>
        </w:rPr>
      </w:pPr>
      <w:r>
        <w:rPr>
          <w:rFonts w:asciiTheme="majorBidi" w:hAnsiTheme="majorBidi" w:cstheme="majorBidi"/>
          <w:bCs/>
        </w:rPr>
        <w:t>[9.5]</w:t>
      </w:r>
      <w:r w:rsidR="0063743D">
        <w:rPr>
          <w:rFonts w:asciiTheme="majorBidi" w:hAnsiTheme="majorBidi" w:cstheme="majorBidi"/>
          <w:bCs/>
        </w:rPr>
        <w:t> </w:t>
      </w:r>
      <w:r w:rsidRPr="006001CD">
        <w:rPr>
          <w:rFonts w:asciiTheme="majorBidi" w:hAnsiTheme="majorBidi" w:cstheme="majorBidi"/>
          <w:bCs/>
        </w:rPr>
        <w:t>Apelācijas instances tiesa lēmuma noslēgumā norādījusi, ka nav pamata apsūdzētajiem noteiktā soda pastiprināšanai un nav pamata Krimināllikuma 55.</w:t>
      </w:r>
      <w:r w:rsidR="0063743D">
        <w:rPr>
          <w:rFonts w:asciiTheme="majorBidi" w:hAnsiTheme="majorBidi" w:cstheme="majorBidi"/>
          <w:bCs/>
        </w:rPr>
        <w:t> </w:t>
      </w:r>
      <w:r w:rsidRPr="006001CD">
        <w:rPr>
          <w:rFonts w:asciiTheme="majorBidi" w:hAnsiTheme="majorBidi" w:cstheme="majorBidi"/>
          <w:bCs/>
        </w:rPr>
        <w:t>panta piemērošanas tiesiskuma apšaubīšanai.</w:t>
      </w:r>
    </w:p>
    <w:p w14:paraId="7D0560B4" w14:textId="722DC0F7" w:rsidR="00755F16" w:rsidRDefault="00755F16" w:rsidP="00CA20C5">
      <w:pPr>
        <w:spacing w:line="276" w:lineRule="auto"/>
        <w:ind w:firstLine="720"/>
        <w:jc w:val="both"/>
        <w:rPr>
          <w:rFonts w:asciiTheme="majorBidi" w:hAnsiTheme="majorBidi" w:cstheme="majorBidi"/>
          <w:bCs/>
        </w:rPr>
      </w:pPr>
      <w:r w:rsidRPr="006001CD">
        <w:rPr>
          <w:rFonts w:asciiTheme="majorBidi" w:hAnsiTheme="majorBidi" w:cstheme="majorBidi"/>
          <w:bCs/>
        </w:rPr>
        <w:t xml:space="preserve">Senāts atzīst, ka šāds secinājums ir deklaratīvs. Tas nav balstīts uz pilnīgu un savstarpēji saistītu to apstākļu izvērtējumu, kuriem </w:t>
      </w:r>
      <w:r w:rsidR="00C06D7E">
        <w:rPr>
          <w:rFonts w:asciiTheme="majorBidi" w:hAnsiTheme="majorBidi" w:cstheme="majorBidi"/>
          <w:bCs/>
        </w:rPr>
        <w:t xml:space="preserve">ir </w:t>
      </w:r>
      <w:r w:rsidRPr="006001CD">
        <w:rPr>
          <w:rFonts w:asciiTheme="majorBidi" w:hAnsiTheme="majorBidi" w:cstheme="majorBidi"/>
          <w:bCs/>
        </w:rPr>
        <w:t xml:space="preserve"> </w:t>
      </w:r>
      <w:r w:rsidR="00050415">
        <w:rPr>
          <w:rFonts w:asciiTheme="majorBidi" w:hAnsiTheme="majorBidi" w:cstheme="majorBidi"/>
          <w:bCs/>
        </w:rPr>
        <w:t xml:space="preserve">nozīme </w:t>
      </w:r>
      <w:r w:rsidRPr="006001CD">
        <w:rPr>
          <w:rFonts w:asciiTheme="majorBidi" w:hAnsiTheme="majorBidi" w:cstheme="majorBidi"/>
          <w:bCs/>
        </w:rPr>
        <w:t xml:space="preserve">nosacītas notiesāšanas piemērošanā. </w:t>
      </w:r>
      <w:r w:rsidR="00CA20C5" w:rsidRPr="00CA20C5">
        <w:rPr>
          <w:rFonts w:asciiTheme="majorBidi" w:hAnsiTheme="majorBidi" w:cstheme="majorBidi"/>
          <w:bCs/>
        </w:rPr>
        <w:t>Apelācijas instances tiesa nav pietiekami pamatojusi, kāpēc, ņemot vērā izdarītā noziedzīgā nodarījuma raksturu, atbildību pastiprinoš</w:t>
      </w:r>
      <w:r w:rsidR="00CA20C5">
        <w:rPr>
          <w:rFonts w:asciiTheme="majorBidi" w:hAnsiTheme="majorBidi" w:cstheme="majorBidi"/>
          <w:bCs/>
        </w:rPr>
        <w:t>a</w:t>
      </w:r>
      <w:r w:rsidR="00CA20C5" w:rsidRPr="00CA20C5">
        <w:rPr>
          <w:rFonts w:asciiTheme="majorBidi" w:hAnsiTheme="majorBidi" w:cstheme="majorBidi"/>
          <w:bCs/>
        </w:rPr>
        <w:t xml:space="preserve"> apstāk</w:t>
      </w:r>
      <w:r w:rsidR="00CA20C5">
        <w:rPr>
          <w:rFonts w:asciiTheme="majorBidi" w:hAnsiTheme="majorBidi" w:cstheme="majorBidi"/>
          <w:bCs/>
        </w:rPr>
        <w:t>ļa esību</w:t>
      </w:r>
      <w:r w:rsidR="00CA20C5" w:rsidRPr="00CA20C5">
        <w:rPr>
          <w:rFonts w:asciiTheme="majorBidi" w:hAnsiTheme="majorBidi" w:cstheme="majorBidi"/>
          <w:bCs/>
        </w:rPr>
        <w:t xml:space="preserve"> un apelācijas protestā izteiktos iebildumus par soda mērķa sasniegšanu, pirmās instances tiesas noteiktais sods ir atzīstams par taisnīgu un samērīgu un kā nosacīta notiesāšana konkrētajā gadījumā sasniedz Krimināllikuma 35.</w:t>
      </w:r>
      <w:r w:rsidR="0063743D">
        <w:rPr>
          <w:rFonts w:asciiTheme="majorBidi" w:hAnsiTheme="majorBidi" w:cstheme="majorBidi"/>
          <w:bCs/>
        </w:rPr>
        <w:t> </w:t>
      </w:r>
      <w:r w:rsidR="00CA20C5" w:rsidRPr="00CA20C5">
        <w:rPr>
          <w:rFonts w:asciiTheme="majorBidi" w:hAnsiTheme="majorBidi" w:cstheme="majorBidi"/>
          <w:bCs/>
        </w:rPr>
        <w:t>panta otrajā daļā noteikto soda mērķ</w:t>
      </w:r>
      <w:r w:rsidR="000527EF">
        <w:rPr>
          <w:rFonts w:asciiTheme="majorBidi" w:hAnsiTheme="majorBidi" w:cstheme="majorBidi"/>
          <w:bCs/>
        </w:rPr>
        <w:t>i</w:t>
      </w:r>
      <w:r w:rsidR="00CA20C5" w:rsidRPr="00CA20C5">
        <w:rPr>
          <w:rFonts w:asciiTheme="majorBidi" w:hAnsiTheme="majorBidi" w:cstheme="majorBidi"/>
          <w:bCs/>
        </w:rPr>
        <w:t>.</w:t>
      </w:r>
    </w:p>
    <w:p w14:paraId="77888A79" w14:textId="77777777" w:rsidR="008D21A4" w:rsidRPr="006001CD" w:rsidRDefault="008D21A4" w:rsidP="006001CD">
      <w:pPr>
        <w:spacing w:line="276" w:lineRule="auto"/>
        <w:ind w:firstLine="720"/>
        <w:jc w:val="both"/>
        <w:rPr>
          <w:rFonts w:asciiTheme="majorBidi" w:hAnsiTheme="majorBidi" w:cstheme="majorBidi"/>
          <w:bCs/>
        </w:rPr>
      </w:pPr>
    </w:p>
    <w:p w14:paraId="2E88B6A9" w14:textId="7D38EAFB" w:rsidR="006001CD" w:rsidRPr="006001CD" w:rsidRDefault="006001CD" w:rsidP="006001CD">
      <w:pPr>
        <w:spacing w:line="276" w:lineRule="auto"/>
        <w:ind w:firstLine="720"/>
        <w:jc w:val="both"/>
        <w:rPr>
          <w:rFonts w:asciiTheme="majorBidi" w:hAnsiTheme="majorBidi" w:cstheme="majorBidi"/>
          <w:bCs/>
        </w:rPr>
      </w:pPr>
      <w:r w:rsidRPr="008D21A4">
        <w:rPr>
          <w:rFonts w:asciiTheme="majorBidi" w:hAnsiTheme="majorBidi" w:cstheme="majorBidi"/>
        </w:rPr>
        <w:t>[</w:t>
      </w:r>
      <w:r w:rsidR="008D21A4">
        <w:rPr>
          <w:rFonts w:asciiTheme="majorBidi" w:hAnsiTheme="majorBidi" w:cstheme="majorBidi"/>
        </w:rPr>
        <w:t>10</w:t>
      </w:r>
      <w:r w:rsidRPr="008D21A4">
        <w:rPr>
          <w:rFonts w:asciiTheme="majorBidi" w:hAnsiTheme="majorBidi" w:cstheme="majorBidi"/>
        </w:rPr>
        <w:t>]</w:t>
      </w:r>
      <w:r w:rsidR="0063743D">
        <w:rPr>
          <w:rFonts w:asciiTheme="majorBidi" w:hAnsiTheme="majorBidi" w:cstheme="majorBidi"/>
        </w:rPr>
        <w:t> </w:t>
      </w:r>
      <w:r w:rsidRPr="006001CD">
        <w:rPr>
          <w:rFonts w:asciiTheme="majorBidi" w:hAnsiTheme="majorBidi" w:cstheme="majorBidi"/>
          <w:bCs/>
        </w:rPr>
        <w:t xml:space="preserve">Senāts par pamatotu atzīst arī kasācijas protesta argumentu par nepietiekamu motivāciju attiecībā uz </w:t>
      </w:r>
      <w:r w:rsidR="00066C04">
        <w:rPr>
          <w:rFonts w:asciiTheme="majorBidi" w:hAnsiTheme="majorBidi" w:cstheme="majorBidi"/>
          <w:bCs/>
        </w:rPr>
        <w:t>[pers. C]</w:t>
      </w:r>
      <w:r w:rsidRPr="006001CD">
        <w:rPr>
          <w:rFonts w:asciiTheme="majorBidi" w:hAnsiTheme="majorBidi" w:cstheme="majorBidi"/>
          <w:bCs/>
        </w:rPr>
        <w:t xml:space="preserve"> pēc Krimināllikuma 253.²</w:t>
      </w:r>
      <w:r w:rsidR="0057337E">
        <w:rPr>
          <w:rFonts w:asciiTheme="majorBidi" w:hAnsiTheme="majorBidi" w:cstheme="majorBidi"/>
          <w:bCs/>
        </w:rPr>
        <w:t> </w:t>
      </w:r>
      <w:r w:rsidRPr="006001CD">
        <w:rPr>
          <w:rFonts w:asciiTheme="majorBidi" w:hAnsiTheme="majorBidi" w:cstheme="majorBidi"/>
          <w:bCs/>
        </w:rPr>
        <w:t>panta pirmās daļas noteikto sodu un galīgo sodu.</w:t>
      </w:r>
    </w:p>
    <w:p w14:paraId="4DD43069" w14:textId="6B38D667" w:rsidR="006001CD" w:rsidRP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 xml:space="preserve">Apelācijas instances tiesa norādījusi, ka pirmās instances tiesa, nosakot sodu </w:t>
      </w:r>
      <w:r w:rsidR="00066C04">
        <w:rPr>
          <w:rFonts w:asciiTheme="majorBidi" w:hAnsiTheme="majorBidi" w:cstheme="majorBidi"/>
          <w:bCs/>
        </w:rPr>
        <w:t>[pers. C]</w:t>
      </w:r>
      <w:r w:rsidRPr="006001CD">
        <w:rPr>
          <w:rFonts w:asciiTheme="majorBidi" w:hAnsiTheme="majorBidi" w:cstheme="majorBidi"/>
          <w:bCs/>
        </w:rPr>
        <w:t xml:space="preserve"> par Krimināllikuma 253.²</w:t>
      </w:r>
      <w:r w:rsidR="0057337E">
        <w:rPr>
          <w:rFonts w:asciiTheme="majorBidi" w:hAnsiTheme="majorBidi" w:cstheme="majorBidi"/>
          <w:bCs/>
        </w:rPr>
        <w:t> </w:t>
      </w:r>
      <w:r w:rsidRPr="006001CD">
        <w:rPr>
          <w:rFonts w:asciiTheme="majorBidi" w:hAnsiTheme="majorBidi" w:cstheme="majorBidi"/>
          <w:bCs/>
        </w:rPr>
        <w:t>panta pirmajā daļā paredzēto noziedzīgo nodarījumu, esot novērtējusi sodu ietekmējošos apstākļus, un ka nav pamata uzskatīt, ka pirmās instances tiesa nebūtu ievērojusi Krimināllikuma 46.</w:t>
      </w:r>
      <w:r w:rsidR="0057337E">
        <w:rPr>
          <w:rFonts w:asciiTheme="majorBidi" w:hAnsiTheme="majorBidi" w:cstheme="majorBidi"/>
          <w:bCs/>
        </w:rPr>
        <w:t> </w:t>
      </w:r>
      <w:r w:rsidRPr="006001CD">
        <w:rPr>
          <w:rFonts w:asciiTheme="majorBidi" w:hAnsiTheme="majorBidi" w:cstheme="majorBidi"/>
          <w:bCs/>
        </w:rPr>
        <w:t>panta ceturtās daļas nosacījumus un Krimināllikumā paredzēto soda mērķi.</w:t>
      </w:r>
    </w:p>
    <w:p w14:paraId="6051FCC4" w14:textId="7DFB22E5" w:rsidR="006001CD" w:rsidRPr="006001CD" w:rsidRDefault="006001CD" w:rsidP="00E76D81">
      <w:pPr>
        <w:spacing w:line="276" w:lineRule="auto"/>
        <w:ind w:firstLine="720"/>
        <w:jc w:val="both"/>
        <w:rPr>
          <w:rFonts w:asciiTheme="majorBidi" w:hAnsiTheme="majorBidi" w:cstheme="majorBidi"/>
          <w:bCs/>
        </w:rPr>
      </w:pPr>
      <w:r w:rsidRPr="006001CD">
        <w:rPr>
          <w:rFonts w:asciiTheme="majorBidi" w:hAnsiTheme="majorBidi" w:cstheme="majorBidi"/>
          <w:bCs/>
        </w:rPr>
        <w:t xml:space="preserve">Tomēr apelācijas instances tiesa nav </w:t>
      </w:r>
      <w:r w:rsidR="00B416DE">
        <w:rPr>
          <w:rFonts w:asciiTheme="majorBidi" w:hAnsiTheme="majorBidi" w:cstheme="majorBidi"/>
          <w:bCs/>
        </w:rPr>
        <w:t>izvērtējusi</w:t>
      </w:r>
      <w:r w:rsidRPr="006001CD">
        <w:rPr>
          <w:rFonts w:asciiTheme="majorBidi" w:hAnsiTheme="majorBidi" w:cstheme="majorBidi"/>
          <w:bCs/>
        </w:rPr>
        <w:t xml:space="preserve"> un nav motivēti atbildējusi uz protesta argumentu, ka pirmās instances tiesas spriedums ir nekonkrēts </w:t>
      </w:r>
      <w:r w:rsidR="00C06D7E">
        <w:rPr>
          <w:rFonts w:asciiTheme="majorBidi" w:hAnsiTheme="majorBidi" w:cstheme="majorBidi"/>
          <w:bCs/>
        </w:rPr>
        <w:t xml:space="preserve">jautājumā </w:t>
      </w:r>
      <w:r w:rsidRPr="006001CD">
        <w:rPr>
          <w:rFonts w:asciiTheme="majorBidi" w:hAnsiTheme="majorBidi" w:cstheme="majorBidi"/>
          <w:bCs/>
        </w:rPr>
        <w:t xml:space="preserve">par to, vai </w:t>
      </w:r>
      <w:r w:rsidR="00066C04">
        <w:rPr>
          <w:rFonts w:asciiTheme="majorBidi" w:hAnsiTheme="majorBidi" w:cstheme="majorBidi"/>
          <w:bCs/>
        </w:rPr>
        <w:t>[pers. C]</w:t>
      </w:r>
      <w:r w:rsidRPr="006001CD">
        <w:rPr>
          <w:rFonts w:asciiTheme="majorBidi" w:hAnsiTheme="majorBidi" w:cstheme="majorBidi"/>
          <w:bCs/>
        </w:rPr>
        <w:t xml:space="preserve"> par Krimināllikuma 253.² panta pirmajā daļā paredzēto noziedzīgo nodarījumu par atbildību pastiprinošu apstākli atzīta noziedzīga nodarījuma izdarīšana narkotisko vielu ietekmē. Šim jautājumam ir nozīme gan soda noteikšanā par konkrēto noziedzīgo nodarījumu, gan galīgā soda noteikšanā pēc noziedzīgo nodarījumu kopības.</w:t>
      </w:r>
      <w:r w:rsidR="00E76D81">
        <w:rPr>
          <w:rFonts w:asciiTheme="majorBidi" w:hAnsiTheme="majorBidi" w:cstheme="majorBidi"/>
          <w:bCs/>
        </w:rPr>
        <w:t xml:space="preserve"> </w:t>
      </w:r>
      <w:r w:rsidR="00E76D81" w:rsidRPr="00E76D81">
        <w:rPr>
          <w:rFonts w:asciiTheme="majorBidi" w:hAnsiTheme="majorBidi" w:cstheme="majorBidi"/>
          <w:bCs/>
        </w:rPr>
        <w:t xml:space="preserve">Apelācijas instances tiesai, atstājot negrozītu </w:t>
      </w:r>
      <w:r w:rsidR="00066C04">
        <w:rPr>
          <w:rFonts w:asciiTheme="majorBidi" w:hAnsiTheme="majorBidi" w:cstheme="majorBidi"/>
          <w:bCs/>
        </w:rPr>
        <w:t>[pers. C]</w:t>
      </w:r>
      <w:r w:rsidR="00E76D81" w:rsidRPr="00E76D81">
        <w:rPr>
          <w:rFonts w:asciiTheme="majorBidi" w:hAnsiTheme="majorBidi" w:cstheme="majorBidi"/>
          <w:bCs/>
        </w:rPr>
        <w:t xml:space="preserve"> noteikto sodu par Krimināllikuma 253.² panta pirmajā daļā paredzēto noziedzīgo nodarījumu un galīgo sodu, bija pienākums novērst pirmās instances sprieduma neskaidrību vai </w:t>
      </w:r>
      <w:r w:rsidR="00C06D7E">
        <w:rPr>
          <w:rFonts w:asciiTheme="majorBidi" w:hAnsiTheme="majorBidi" w:cstheme="majorBidi"/>
          <w:bCs/>
        </w:rPr>
        <w:t>pamatot</w:t>
      </w:r>
      <w:r w:rsidR="00E76D81" w:rsidRPr="00E76D81">
        <w:rPr>
          <w:rFonts w:asciiTheme="majorBidi" w:hAnsiTheme="majorBidi" w:cstheme="majorBidi"/>
          <w:bCs/>
        </w:rPr>
        <w:t>, kādēļ šī neskaidrība neietekmē soda noteikšanas tiesiskumu.</w:t>
      </w:r>
    </w:p>
    <w:p w14:paraId="445AD620" w14:textId="30A5BE82" w:rsid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lastRenderedPageBreak/>
        <w:t xml:space="preserve">Tādējādi apelācijas instances tiesas secinājums par </w:t>
      </w:r>
      <w:r w:rsidR="00066C04">
        <w:rPr>
          <w:rFonts w:asciiTheme="majorBidi" w:hAnsiTheme="majorBidi" w:cstheme="majorBidi"/>
          <w:bCs/>
        </w:rPr>
        <w:t>[pers. C]</w:t>
      </w:r>
      <w:r w:rsidRPr="006001CD">
        <w:rPr>
          <w:rFonts w:asciiTheme="majorBidi" w:hAnsiTheme="majorBidi" w:cstheme="majorBidi"/>
          <w:bCs/>
        </w:rPr>
        <w:t xml:space="preserve"> noteiktā soda un galīgā soda tiesiskumu nav </w:t>
      </w:r>
      <w:r w:rsidR="00755F16">
        <w:rPr>
          <w:rFonts w:asciiTheme="majorBidi" w:hAnsiTheme="majorBidi" w:cstheme="majorBidi"/>
          <w:bCs/>
        </w:rPr>
        <w:t>pienācīgi</w:t>
      </w:r>
      <w:r w:rsidRPr="006001CD">
        <w:rPr>
          <w:rFonts w:asciiTheme="majorBidi" w:hAnsiTheme="majorBidi" w:cstheme="majorBidi"/>
          <w:bCs/>
        </w:rPr>
        <w:t xml:space="preserve"> motivēts.</w:t>
      </w:r>
    </w:p>
    <w:p w14:paraId="26F6BBFB" w14:textId="77777777" w:rsidR="00755F16" w:rsidRPr="006001CD" w:rsidRDefault="00755F16" w:rsidP="006001CD">
      <w:pPr>
        <w:spacing w:line="276" w:lineRule="auto"/>
        <w:ind w:firstLine="720"/>
        <w:jc w:val="both"/>
        <w:rPr>
          <w:rFonts w:asciiTheme="majorBidi" w:hAnsiTheme="majorBidi" w:cstheme="majorBidi"/>
          <w:bCs/>
        </w:rPr>
      </w:pPr>
    </w:p>
    <w:p w14:paraId="71EC1B1E" w14:textId="73754444" w:rsidR="006001CD" w:rsidRPr="006001CD" w:rsidRDefault="006001CD" w:rsidP="006001CD">
      <w:pPr>
        <w:spacing w:line="276" w:lineRule="auto"/>
        <w:ind w:firstLine="720"/>
        <w:jc w:val="both"/>
        <w:rPr>
          <w:rFonts w:asciiTheme="majorBidi" w:hAnsiTheme="majorBidi" w:cstheme="majorBidi"/>
          <w:bCs/>
        </w:rPr>
      </w:pPr>
      <w:r w:rsidRPr="00B3497B">
        <w:rPr>
          <w:rFonts w:asciiTheme="majorBidi" w:hAnsiTheme="majorBidi" w:cstheme="majorBidi"/>
        </w:rPr>
        <w:t>[11]</w:t>
      </w:r>
      <w:r w:rsidR="0057337E">
        <w:rPr>
          <w:rFonts w:asciiTheme="majorBidi" w:hAnsiTheme="majorBidi" w:cstheme="majorBidi"/>
        </w:rPr>
        <w:t> </w:t>
      </w:r>
      <w:r w:rsidRPr="00B3497B">
        <w:rPr>
          <w:rFonts w:asciiTheme="majorBidi" w:hAnsiTheme="majorBidi" w:cstheme="majorBidi"/>
        </w:rPr>
        <w:t>Ievērojot</w:t>
      </w:r>
      <w:r w:rsidRPr="006001CD">
        <w:rPr>
          <w:rFonts w:asciiTheme="majorBidi" w:hAnsiTheme="majorBidi" w:cstheme="majorBidi"/>
          <w:bCs/>
        </w:rPr>
        <w:t xml:space="preserve"> minēto, Senāts atzīst, ka apelācijas instances tiesa nav ievērojusi Kriminālprocesa likuma 564.</w:t>
      </w:r>
      <w:r w:rsidR="0057337E">
        <w:rPr>
          <w:rFonts w:asciiTheme="majorBidi" w:hAnsiTheme="majorBidi" w:cstheme="majorBidi"/>
          <w:bCs/>
        </w:rPr>
        <w:t> </w:t>
      </w:r>
      <w:r w:rsidRPr="006001CD">
        <w:rPr>
          <w:rFonts w:asciiTheme="majorBidi" w:hAnsiTheme="majorBidi" w:cstheme="majorBidi"/>
          <w:bCs/>
        </w:rPr>
        <w:t xml:space="preserve">panta ceturtās daļas prasības, jo nav sniegusi motivētu atzinumu par apelācijas protesta būtiskajiem argumentiem. </w:t>
      </w:r>
      <w:r w:rsidR="00050415">
        <w:rPr>
          <w:rFonts w:asciiTheme="majorBidi" w:hAnsiTheme="majorBidi" w:cstheme="majorBidi"/>
          <w:bCs/>
        </w:rPr>
        <w:t>A</w:t>
      </w:r>
      <w:r w:rsidRPr="006001CD">
        <w:rPr>
          <w:rFonts w:asciiTheme="majorBidi" w:hAnsiTheme="majorBidi" w:cstheme="majorBidi"/>
          <w:bCs/>
        </w:rPr>
        <w:t xml:space="preserve">pelācijas instances tiesa nav </w:t>
      </w:r>
      <w:r w:rsidR="00050415">
        <w:rPr>
          <w:rFonts w:asciiTheme="majorBidi" w:hAnsiTheme="majorBidi" w:cstheme="majorBidi"/>
          <w:bCs/>
        </w:rPr>
        <w:t xml:space="preserve">nodrošinājusi tādu </w:t>
      </w:r>
      <w:r w:rsidRPr="006001CD">
        <w:rPr>
          <w:rFonts w:asciiTheme="majorBidi" w:hAnsiTheme="majorBidi" w:cstheme="majorBidi"/>
          <w:bCs/>
        </w:rPr>
        <w:t>Krimināllikuma 46., 49.¹ un 55.</w:t>
      </w:r>
      <w:r w:rsidR="0057337E">
        <w:rPr>
          <w:rFonts w:asciiTheme="majorBidi" w:hAnsiTheme="majorBidi" w:cstheme="majorBidi"/>
          <w:bCs/>
        </w:rPr>
        <w:t> </w:t>
      </w:r>
      <w:r w:rsidRPr="006001CD">
        <w:rPr>
          <w:rFonts w:asciiTheme="majorBidi" w:hAnsiTheme="majorBidi" w:cstheme="majorBidi"/>
          <w:bCs/>
        </w:rPr>
        <w:t>panta nosacījumu</w:t>
      </w:r>
      <w:r w:rsidR="00050415">
        <w:rPr>
          <w:rFonts w:asciiTheme="majorBidi" w:hAnsiTheme="majorBidi" w:cstheme="majorBidi"/>
          <w:bCs/>
        </w:rPr>
        <w:t xml:space="preserve"> izvērtējumu, kas ļautu pārbaudīt šo normu piemērošanas pareizību</w:t>
      </w:r>
      <w:r w:rsidRPr="006001CD">
        <w:rPr>
          <w:rFonts w:asciiTheme="majorBidi" w:hAnsiTheme="majorBidi" w:cstheme="majorBidi"/>
          <w:bCs/>
        </w:rPr>
        <w:t>.</w:t>
      </w:r>
    </w:p>
    <w:p w14:paraId="6FEF54B1" w14:textId="10DAAF1F" w:rsidR="006001CD" w:rsidRDefault="006001CD" w:rsidP="006001CD">
      <w:pPr>
        <w:spacing w:line="276" w:lineRule="auto"/>
        <w:ind w:firstLine="720"/>
        <w:jc w:val="both"/>
        <w:rPr>
          <w:rFonts w:asciiTheme="majorBidi" w:hAnsiTheme="majorBidi" w:cstheme="majorBidi"/>
          <w:bCs/>
        </w:rPr>
      </w:pPr>
      <w:r w:rsidRPr="006001CD">
        <w:rPr>
          <w:rFonts w:asciiTheme="majorBidi" w:hAnsiTheme="majorBidi" w:cstheme="majorBidi"/>
          <w:bCs/>
        </w:rPr>
        <w:t>Līdz ar to virsprokurores kasācijas protests ir pamatots, Zemgales apgabaltiesas 2026.</w:t>
      </w:r>
      <w:r w:rsidR="00C06D7E">
        <w:rPr>
          <w:rFonts w:asciiTheme="majorBidi" w:hAnsiTheme="majorBidi" w:cstheme="majorBidi"/>
          <w:bCs/>
        </w:rPr>
        <w:t> </w:t>
      </w:r>
      <w:r w:rsidRPr="006001CD">
        <w:rPr>
          <w:rFonts w:asciiTheme="majorBidi" w:hAnsiTheme="majorBidi" w:cstheme="majorBidi"/>
          <w:bCs/>
        </w:rPr>
        <w:t>gada 4.</w:t>
      </w:r>
      <w:r w:rsidR="0057337E">
        <w:rPr>
          <w:rFonts w:asciiTheme="majorBidi" w:hAnsiTheme="majorBidi" w:cstheme="majorBidi"/>
          <w:bCs/>
        </w:rPr>
        <w:t> </w:t>
      </w:r>
      <w:r w:rsidRPr="006001CD">
        <w:rPr>
          <w:rFonts w:asciiTheme="majorBidi" w:hAnsiTheme="majorBidi" w:cstheme="majorBidi"/>
          <w:bCs/>
        </w:rPr>
        <w:t xml:space="preserve">februāra lēmums atceļams </w:t>
      </w:r>
      <w:r w:rsidR="00861B58">
        <w:rPr>
          <w:rFonts w:asciiTheme="majorBidi" w:hAnsiTheme="majorBidi" w:cstheme="majorBidi"/>
          <w:bCs/>
        </w:rPr>
        <w:t>daļā par visiem apsūdzētajiem noteikto sodu</w:t>
      </w:r>
      <w:r w:rsidR="00AE78FB">
        <w:rPr>
          <w:rFonts w:asciiTheme="majorBidi" w:hAnsiTheme="majorBidi" w:cstheme="majorBidi"/>
          <w:bCs/>
        </w:rPr>
        <w:t>,</w:t>
      </w:r>
      <w:r w:rsidR="00861B58">
        <w:rPr>
          <w:rFonts w:asciiTheme="majorBidi" w:hAnsiTheme="majorBidi" w:cstheme="majorBidi"/>
          <w:bCs/>
        </w:rPr>
        <w:t xml:space="preserve"> </w:t>
      </w:r>
      <w:r w:rsidR="00AE78FB">
        <w:rPr>
          <w:rFonts w:asciiTheme="majorBidi" w:hAnsiTheme="majorBidi" w:cstheme="majorBidi"/>
          <w:bCs/>
        </w:rPr>
        <w:t xml:space="preserve">kā arī </w:t>
      </w:r>
      <w:r w:rsidR="00861B58">
        <w:rPr>
          <w:rFonts w:asciiTheme="majorBidi" w:hAnsiTheme="majorBidi" w:cstheme="majorBidi"/>
          <w:bCs/>
        </w:rPr>
        <w:t xml:space="preserve">par galīgā soda noteikšanu </w:t>
      </w:r>
      <w:r w:rsidR="00066C04">
        <w:rPr>
          <w:rFonts w:asciiTheme="majorBidi" w:hAnsiTheme="majorBidi" w:cstheme="majorBidi"/>
          <w:bCs/>
        </w:rPr>
        <w:t>[pers. C]</w:t>
      </w:r>
      <w:r w:rsidR="00861B58">
        <w:rPr>
          <w:rFonts w:asciiTheme="majorBidi" w:hAnsiTheme="majorBidi" w:cstheme="majorBidi"/>
          <w:bCs/>
        </w:rPr>
        <w:t xml:space="preserve"> </w:t>
      </w:r>
      <w:r w:rsidRPr="006001CD">
        <w:rPr>
          <w:rFonts w:asciiTheme="majorBidi" w:hAnsiTheme="majorBidi" w:cstheme="majorBidi"/>
          <w:bCs/>
        </w:rPr>
        <w:t>un lieta nosūtāma jaunai izskatīšanai apelācijas instances tiesā.</w:t>
      </w:r>
    </w:p>
    <w:p w14:paraId="5F68547C" w14:textId="77777777" w:rsidR="00B3497B" w:rsidRPr="00B3497B" w:rsidRDefault="00B3497B" w:rsidP="006001CD">
      <w:pPr>
        <w:spacing w:line="276" w:lineRule="auto"/>
        <w:ind w:firstLine="720"/>
        <w:jc w:val="both"/>
        <w:rPr>
          <w:rFonts w:asciiTheme="majorBidi" w:hAnsiTheme="majorBidi" w:cstheme="majorBidi"/>
          <w:bCs/>
        </w:rPr>
      </w:pPr>
    </w:p>
    <w:p w14:paraId="5261561B" w14:textId="588F9AC9" w:rsidR="000B3156" w:rsidRDefault="006001CD" w:rsidP="00F37358">
      <w:pPr>
        <w:spacing w:line="276" w:lineRule="auto"/>
        <w:ind w:firstLine="720"/>
        <w:jc w:val="both"/>
        <w:rPr>
          <w:rFonts w:asciiTheme="majorBidi" w:hAnsiTheme="majorBidi" w:cstheme="majorBidi"/>
          <w:bCs/>
        </w:rPr>
      </w:pPr>
      <w:r w:rsidRPr="00B3497B">
        <w:rPr>
          <w:rFonts w:asciiTheme="majorBidi" w:hAnsiTheme="majorBidi" w:cstheme="majorBidi"/>
          <w:bCs/>
        </w:rPr>
        <w:t>[12]</w:t>
      </w:r>
      <w:r w:rsidR="0057337E">
        <w:rPr>
          <w:rFonts w:asciiTheme="majorBidi" w:hAnsiTheme="majorBidi" w:cstheme="majorBidi"/>
          <w:bCs/>
        </w:rPr>
        <w:t> </w:t>
      </w:r>
      <w:r w:rsidR="00F37358" w:rsidRPr="00F37358">
        <w:rPr>
          <w:rFonts w:asciiTheme="majorBidi" w:hAnsiTheme="majorBidi" w:cstheme="majorBidi"/>
          <w:bCs/>
        </w:rPr>
        <w:t>Izskatot lietu no jauna, apelācijas instances tiesai jāņem vērā šajā lēmumā norādītais un apelācijas protesta robežās jāpārbauda argumenti par Krimināllikuma 49.¹</w:t>
      </w:r>
      <w:r w:rsidR="00F37358">
        <w:rPr>
          <w:rFonts w:asciiTheme="majorBidi" w:hAnsiTheme="majorBidi" w:cstheme="majorBidi"/>
          <w:bCs/>
        </w:rPr>
        <w:t> </w:t>
      </w:r>
      <w:r w:rsidR="00F37358" w:rsidRPr="00F37358">
        <w:rPr>
          <w:rFonts w:asciiTheme="majorBidi" w:hAnsiTheme="majorBidi" w:cstheme="majorBidi"/>
          <w:bCs/>
        </w:rPr>
        <w:t>panta pirmās daļas 2.</w:t>
      </w:r>
      <w:r w:rsidR="00F37358">
        <w:rPr>
          <w:rFonts w:asciiTheme="majorBidi" w:hAnsiTheme="majorBidi" w:cstheme="majorBidi"/>
          <w:bCs/>
        </w:rPr>
        <w:t> </w:t>
      </w:r>
      <w:r w:rsidR="00F37358" w:rsidRPr="00F37358">
        <w:rPr>
          <w:rFonts w:asciiTheme="majorBidi" w:hAnsiTheme="majorBidi" w:cstheme="majorBidi"/>
          <w:bCs/>
        </w:rPr>
        <w:t>punkta piemērošanu, konkrētā soda samazinājuma apmēra pamatojumu, sodu ietekmējošo apstākļu izvērtējumu to kopumā un savstarpējā saistībā, kā arī individuāli jāizvērtē Krimināllikuma 55.</w:t>
      </w:r>
      <w:r w:rsidR="00F37358">
        <w:rPr>
          <w:rFonts w:asciiTheme="majorBidi" w:hAnsiTheme="majorBidi" w:cstheme="majorBidi"/>
          <w:bCs/>
        </w:rPr>
        <w:t> </w:t>
      </w:r>
      <w:r w:rsidR="00F37358" w:rsidRPr="00F37358">
        <w:rPr>
          <w:rFonts w:asciiTheme="majorBidi" w:hAnsiTheme="majorBidi" w:cstheme="majorBidi"/>
          <w:bCs/>
        </w:rPr>
        <w:t>panta piemērošanas priekšnoteikumi attiecībā uz katru apsūdzēto.</w:t>
      </w:r>
    </w:p>
    <w:p w14:paraId="705DE00A" w14:textId="77777777" w:rsidR="00BB0FC9" w:rsidRPr="00BB0FC9" w:rsidRDefault="00BB0FC9" w:rsidP="00BB0FC9">
      <w:pPr>
        <w:spacing w:line="276" w:lineRule="auto"/>
        <w:ind w:firstLine="720"/>
        <w:jc w:val="both"/>
        <w:rPr>
          <w:rFonts w:asciiTheme="majorBidi" w:hAnsiTheme="majorBidi" w:cstheme="majorBidi"/>
          <w:bCs/>
        </w:rPr>
      </w:pPr>
    </w:p>
    <w:p w14:paraId="2C58F029" w14:textId="460A4533" w:rsidR="0025559E" w:rsidRDefault="00874495" w:rsidP="00AF2A8B">
      <w:pPr>
        <w:spacing w:line="276" w:lineRule="auto"/>
        <w:ind w:firstLine="720"/>
        <w:jc w:val="both"/>
        <w:rPr>
          <w:rFonts w:asciiTheme="majorBidi" w:hAnsiTheme="majorBidi" w:cstheme="majorBidi"/>
        </w:rPr>
      </w:pPr>
      <w:r>
        <w:rPr>
          <w:rFonts w:asciiTheme="majorBidi" w:hAnsiTheme="majorBidi" w:cstheme="majorBidi"/>
        </w:rPr>
        <w:t>[</w:t>
      </w:r>
      <w:r w:rsidR="00BB0FC9">
        <w:rPr>
          <w:rFonts w:asciiTheme="majorBidi" w:hAnsiTheme="majorBidi" w:cstheme="majorBidi"/>
        </w:rPr>
        <w:t>13</w:t>
      </w:r>
      <w:r>
        <w:rPr>
          <w:rFonts w:asciiTheme="majorBidi" w:hAnsiTheme="majorBidi" w:cstheme="majorBidi"/>
        </w:rPr>
        <w:t>] </w:t>
      </w:r>
      <w:bookmarkStart w:id="5" w:name="_Hlk154559983"/>
      <w:r w:rsidR="0025559E" w:rsidRPr="0025559E">
        <w:rPr>
          <w:rFonts w:asciiTheme="majorBidi" w:hAnsiTheme="majorBidi" w:cstheme="majorBidi"/>
        </w:rPr>
        <w:t>Pirmstiesas kriminālprocesā apsūdzētaj</w:t>
      </w:r>
      <w:r w:rsidR="00C06DC8">
        <w:rPr>
          <w:rFonts w:asciiTheme="majorBidi" w:hAnsiTheme="majorBidi" w:cstheme="majorBidi"/>
        </w:rPr>
        <w:t>iem</w:t>
      </w:r>
      <w:r w:rsidR="0025559E" w:rsidRPr="0025559E">
        <w:rPr>
          <w:rFonts w:asciiTheme="majorBidi" w:hAnsiTheme="majorBidi" w:cstheme="majorBidi"/>
        </w:rPr>
        <w:t xml:space="preserve"> </w:t>
      </w:r>
      <w:r w:rsidR="00066C04">
        <w:t>[pers. A]</w:t>
      </w:r>
      <w:r w:rsidR="00C06DC8">
        <w:t xml:space="preserve"> un </w:t>
      </w:r>
      <w:r w:rsidR="00066C04">
        <w:t>[pers. B]</w:t>
      </w:r>
      <w:r w:rsidR="00C06DC8">
        <w:t xml:space="preserve"> piemēroti drošības līdzekļi </w:t>
      </w:r>
      <w:r w:rsidR="00C06DC8" w:rsidRPr="0025559E">
        <w:rPr>
          <w:rFonts w:asciiTheme="majorBidi" w:hAnsiTheme="majorBidi" w:cstheme="majorBidi"/>
        </w:rPr>
        <w:t>–</w:t>
      </w:r>
      <w:r w:rsidR="00C06DC8">
        <w:rPr>
          <w:rFonts w:asciiTheme="majorBidi" w:hAnsiTheme="majorBidi" w:cstheme="majorBidi"/>
        </w:rPr>
        <w:t xml:space="preserve"> </w:t>
      </w:r>
      <w:r w:rsidR="00C06DC8" w:rsidRPr="00C06DC8">
        <w:t>dzīvesvietas maiņas paziņošana un aizliegums izbraukt no valsts</w:t>
      </w:r>
      <w:r w:rsidR="00AF2A8B">
        <w:t xml:space="preserve">, bet </w:t>
      </w:r>
      <w:r w:rsidR="00066C04">
        <w:t>[pers. C]</w:t>
      </w:r>
      <w:r w:rsidR="00AF2A8B">
        <w:t xml:space="preserve"> piemērots drošības līdzeklis </w:t>
      </w:r>
      <w:r w:rsidR="00AF2A8B" w:rsidRPr="0025559E">
        <w:rPr>
          <w:rFonts w:asciiTheme="majorBidi" w:hAnsiTheme="majorBidi" w:cstheme="majorBidi"/>
        </w:rPr>
        <w:t>–</w:t>
      </w:r>
      <w:r w:rsidR="00AF2A8B">
        <w:rPr>
          <w:rFonts w:asciiTheme="majorBidi" w:hAnsiTheme="majorBidi" w:cstheme="majorBidi"/>
        </w:rPr>
        <w:t xml:space="preserve"> </w:t>
      </w:r>
      <w:r w:rsidR="00C06DC8" w:rsidRPr="00C06DC8">
        <w:t>dzīvesvietas maiņas paziņošana</w:t>
      </w:r>
      <w:r w:rsidR="00AF2A8B">
        <w:rPr>
          <w:rFonts w:asciiTheme="majorBidi" w:hAnsiTheme="majorBidi" w:cstheme="majorBidi"/>
        </w:rPr>
        <w:t>.</w:t>
      </w:r>
      <w:r w:rsidR="0025559E" w:rsidRPr="0025559E">
        <w:rPr>
          <w:rFonts w:asciiTheme="majorBidi" w:hAnsiTheme="majorBidi" w:cstheme="majorBidi"/>
        </w:rPr>
        <w:t xml:space="preserve"> </w:t>
      </w:r>
      <w:r w:rsidR="00AF2A8B">
        <w:rPr>
          <w:rFonts w:asciiTheme="majorBidi" w:hAnsiTheme="majorBidi" w:cstheme="majorBidi"/>
        </w:rPr>
        <w:t xml:space="preserve">Šie drošības līdzekļi </w:t>
      </w:r>
      <w:r w:rsidR="0025559E" w:rsidRPr="0025559E">
        <w:rPr>
          <w:rFonts w:asciiTheme="majorBidi" w:hAnsiTheme="majorBidi" w:cstheme="majorBidi"/>
        </w:rPr>
        <w:t xml:space="preserve">ar pirmās </w:t>
      </w:r>
      <w:r w:rsidR="00050415">
        <w:rPr>
          <w:rFonts w:asciiTheme="majorBidi" w:hAnsiTheme="majorBidi" w:cstheme="majorBidi"/>
        </w:rPr>
        <w:t xml:space="preserve">instances tiesas spriedumu </w:t>
      </w:r>
      <w:r w:rsidR="0025559E" w:rsidRPr="0025559E">
        <w:rPr>
          <w:rFonts w:asciiTheme="majorBidi" w:hAnsiTheme="majorBidi" w:cstheme="majorBidi"/>
        </w:rPr>
        <w:t xml:space="preserve">un apelācijas instances tiesas </w:t>
      </w:r>
      <w:r w:rsidR="00050415">
        <w:rPr>
          <w:rFonts w:asciiTheme="majorBidi" w:hAnsiTheme="majorBidi" w:cstheme="majorBidi"/>
        </w:rPr>
        <w:t>lēmumu</w:t>
      </w:r>
      <w:r w:rsidR="0025559E" w:rsidRPr="0025559E">
        <w:rPr>
          <w:rFonts w:asciiTheme="majorBidi" w:hAnsiTheme="majorBidi" w:cstheme="majorBidi"/>
        </w:rPr>
        <w:t xml:space="preserve"> atstāti negrozīti. Senāts atzīst, ka apsūdzētaj</w:t>
      </w:r>
      <w:r w:rsidR="00AF2A8B">
        <w:rPr>
          <w:rFonts w:asciiTheme="majorBidi" w:hAnsiTheme="majorBidi" w:cstheme="majorBidi"/>
        </w:rPr>
        <w:t>ie</w:t>
      </w:r>
      <w:r w:rsidR="0025559E" w:rsidRPr="0025559E">
        <w:rPr>
          <w:rFonts w:asciiTheme="majorBidi" w:hAnsiTheme="majorBidi" w:cstheme="majorBidi"/>
        </w:rPr>
        <w:t>m noteikto drošības līdzekļu piemērošana turpināma. Piemērotie drošības līdzekļi izskatāmajā lietā atzīstami par samērīgiem.</w:t>
      </w:r>
    </w:p>
    <w:p w14:paraId="433DE105" w14:textId="77777777" w:rsidR="00881231" w:rsidRDefault="00881231" w:rsidP="00BB0FC9">
      <w:pPr>
        <w:spacing w:line="276" w:lineRule="auto"/>
        <w:jc w:val="both"/>
        <w:rPr>
          <w:rFonts w:asciiTheme="majorBidi" w:hAnsiTheme="majorBidi" w:cstheme="majorBidi"/>
        </w:rPr>
      </w:pPr>
    </w:p>
    <w:bookmarkEnd w:id="5"/>
    <w:p w14:paraId="12CBFC44" w14:textId="31AF0F07" w:rsidR="00447EE6" w:rsidRPr="006E002F" w:rsidRDefault="00447EE6" w:rsidP="009E7A7B">
      <w:pPr>
        <w:keepNext/>
        <w:shd w:val="clear" w:color="auto" w:fill="FFFFFF"/>
        <w:spacing w:line="276" w:lineRule="auto"/>
        <w:ind w:right="6"/>
        <w:jc w:val="center"/>
        <w:rPr>
          <w:b/>
          <w:bCs/>
        </w:rPr>
      </w:pPr>
      <w:r w:rsidRPr="006E002F">
        <w:rPr>
          <w:b/>
          <w:bCs/>
        </w:rPr>
        <w:t>Rezolutīvā daļa</w:t>
      </w:r>
    </w:p>
    <w:p w14:paraId="6CD28450" w14:textId="77777777" w:rsidR="006D5C62" w:rsidRPr="006E002F" w:rsidRDefault="006D5C62" w:rsidP="0058698A">
      <w:pPr>
        <w:shd w:val="clear" w:color="auto" w:fill="FFFFFF"/>
        <w:spacing w:line="276" w:lineRule="auto"/>
        <w:ind w:right="5" w:firstLine="720"/>
        <w:jc w:val="both"/>
      </w:pPr>
    </w:p>
    <w:p w14:paraId="3B28DB94" w14:textId="7D7C7BF7" w:rsidR="00447EE6" w:rsidRDefault="00447EE6" w:rsidP="00BB0FC9">
      <w:pPr>
        <w:shd w:val="clear" w:color="auto" w:fill="FFFFFF"/>
        <w:spacing w:line="276" w:lineRule="auto"/>
        <w:ind w:firstLine="720"/>
        <w:jc w:val="both"/>
      </w:pPr>
      <w:r w:rsidRPr="00107481">
        <w:t xml:space="preserve">Pamatojoties uz </w:t>
      </w:r>
      <w:r w:rsidR="00F90281" w:rsidRPr="00107481">
        <w:rPr>
          <w:rFonts w:asciiTheme="majorBidi" w:hAnsiTheme="majorBidi" w:cstheme="majorBidi"/>
        </w:rPr>
        <w:t>Kriminālprocesa likuma 585. pantu un 587. panta pirmās daļas 2. punktu, Senāts</w:t>
      </w:r>
    </w:p>
    <w:p w14:paraId="1D4AAD34" w14:textId="77777777" w:rsidR="00BB0FC9" w:rsidRPr="00BB0FC9" w:rsidRDefault="00BB0FC9" w:rsidP="00BB0FC9">
      <w:pPr>
        <w:shd w:val="clear" w:color="auto" w:fill="FFFFFF"/>
        <w:spacing w:line="276" w:lineRule="auto"/>
        <w:ind w:firstLine="720"/>
        <w:jc w:val="both"/>
      </w:pPr>
    </w:p>
    <w:p w14:paraId="297C80CD" w14:textId="7FC2FD37" w:rsidR="00447EE6" w:rsidRDefault="00447EE6" w:rsidP="0058698A">
      <w:pPr>
        <w:shd w:val="clear" w:color="auto" w:fill="FFFFFF"/>
        <w:spacing w:line="276" w:lineRule="auto"/>
        <w:jc w:val="center"/>
        <w:rPr>
          <w:b/>
        </w:rPr>
      </w:pPr>
      <w:r w:rsidRPr="00A53E41">
        <w:rPr>
          <w:b/>
        </w:rPr>
        <w:t>no</w:t>
      </w:r>
      <w:r w:rsidR="006D5C62">
        <w:rPr>
          <w:b/>
        </w:rPr>
        <w:t>lēma</w:t>
      </w:r>
    </w:p>
    <w:p w14:paraId="28660F9E" w14:textId="77777777" w:rsidR="00447EE6" w:rsidRDefault="00447EE6" w:rsidP="0058698A">
      <w:pPr>
        <w:shd w:val="clear" w:color="auto" w:fill="FFFFFF"/>
        <w:spacing w:line="276" w:lineRule="auto"/>
        <w:ind w:firstLine="720"/>
        <w:jc w:val="center"/>
        <w:rPr>
          <w:bCs/>
        </w:rPr>
      </w:pPr>
    </w:p>
    <w:p w14:paraId="75DFFB29" w14:textId="280338C6" w:rsidR="00F64898" w:rsidRDefault="00C06DC8" w:rsidP="00982BB4">
      <w:pPr>
        <w:spacing w:line="276" w:lineRule="auto"/>
        <w:ind w:firstLine="720"/>
        <w:jc w:val="both"/>
        <w:rPr>
          <w:rFonts w:eastAsia="Calibri"/>
          <w:lang w:eastAsia="en-US"/>
        </w:rPr>
      </w:pPr>
      <w:r>
        <w:rPr>
          <w:rFonts w:eastAsia="Calibri"/>
          <w:lang w:eastAsia="en-US"/>
        </w:rPr>
        <w:t xml:space="preserve">atcelt </w:t>
      </w:r>
      <w:r w:rsidRPr="00B76C7D">
        <w:rPr>
          <w:rFonts w:eastAsia="Calibri"/>
          <w:lang w:eastAsia="en-US"/>
        </w:rPr>
        <w:t>Zemgales apgabaltiesas</w:t>
      </w:r>
      <w:r w:rsidRPr="00B76C7D">
        <w:rPr>
          <w:rFonts w:eastAsia="Calibri"/>
          <w:b/>
          <w:bCs/>
          <w:lang w:eastAsia="en-US"/>
        </w:rPr>
        <w:t xml:space="preserve"> </w:t>
      </w:r>
      <w:r w:rsidRPr="00B76C7D">
        <w:rPr>
          <w:rFonts w:eastAsia="Calibri"/>
          <w:lang w:eastAsia="en-US"/>
        </w:rPr>
        <w:t>2026.</w:t>
      </w:r>
      <w:r w:rsidR="00A97B1C">
        <w:rPr>
          <w:rFonts w:eastAsia="Calibri"/>
          <w:lang w:eastAsia="en-US"/>
        </w:rPr>
        <w:t> </w:t>
      </w:r>
      <w:r w:rsidRPr="00B76C7D">
        <w:rPr>
          <w:rFonts w:eastAsia="Calibri"/>
          <w:lang w:eastAsia="en-US"/>
        </w:rPr>
        <w:t>gada 4.</w:t>
      </w:r>
      <w:r w:rsidR="00A97B1C">
        <w:rPr>
          <w:rFonts w:eastAsia="Calibri"/>
          <w:lang w:eastAsia="en-US"/>
        </w:rPr>
        <w:t> </w:t>
      </w:r>
      <w:r w:rsidRPr="00B76C7D">
        <w:rPr>
          <w:rFonts w:eastAsia="Calibri"/>
          <w:lang w:eastAsia="en-US"/>
        </w:rPr>
        <w:t>februāra lēmumu</w:t>
      </w:r>
      <w:r w:rsidR="00982BB4">
        <w:rPr>
          <w:rFonts w:eastAsia="Calibri"/>
          <w:lang w:eastAsia="en-US"/>
        </w:rPr>
        <w:t xml:space="preserve"> daļā</w:t>
      </w:r>
      <w:r w:rsidR="00F64898">
        <w:rPr>
          <w:rFonts w:eastAsia="Calibri"/>
          <w:lang w:eastAsia="en-US"/>
        </w:rPr>
        <w:t>:</w:t>
      </w:r>
    </w:p>
    <w:p w14:paraId="0582399C" w14:textId="5500B0F0" w:rsidR="00F64898" w:rsidRPr="00F64898" w:rsidRDefault="00982BB4" w:rsidP="00A97B1C">
      <w:pPr>
        <w:pStyle w:val="ListParagraph"/>
        <w:spacing w:line="276" w:lineRule="auto"/>
        <w:jc w:val="both"/>
        <w:rPr>
          <w:shd w:val="clear" w:color="auto" w:fill="FFFFFF"/>
        </w:rPr>
      </w:pPr>
      <w:r w:rsidRPr="00F64898">
        <w:rPr>
          <w:rFonts w:eastAsia="Calibri"/>
          <w:lang w:eastAsia="en-US"/>
        </w:rPr>
        <w:t xml:space="preserve">par </w:t>
      </w:r>
      <w:r w:rsidR="00EA73EF">
        <w:rPr>
          <w:rFonts w:eastAsia="Calibri"/>
          <w:lang w:eastAsia="en-US"/>
        </w:rPr>
        <w:t>[pers. A]</w:t>
      </w:r>
      <w:r w:rsidR="00F64898" w:rsidRPr="00F64898">
        <w:rPr>
          <w:rFonts w:eastAsia="Calibri"/>
          <w:lang w:eastAsia="en-US"/>
        </w:rPr>
        <w:t xml:space="preserve"> noteikto sodu p</w:t>
      </w:r>
      <w:r w:rsidR="00A97B1C">
        <w:rPr>
          <w:rFonts w:eastAsia="Calibri"/>
          <w:lang w:eastAsia="en-US"/>
        </w:rPr>
        <w:t>ēc</w:t>
      </w:r>
      <w:r w:rsidR="00F64898" w:rsidRPr="00F64898">
        <w:rPr>
          <w:rFonts w:eastAsia="Calibri"/>
          <w:lang w:eastAsia="en-US"/>
        </w:rPr>
        <w:t xml:space="preserve"> </w:t>
      </w:r>
      <w:r w:rsidR="00F64898" w:rsidRPr="00F64898">
        <w:rPr>
          <w:shd w:val="clear" w:color="auto" w:fill="FFFFFF"/>
        </w:rPr>
        <w:t>Krimināllikuma 253.</w:t>
      </w:r>
      <w:r w:rsidR="00F64898" w:rsidRPr="00F64898">
        <w:rPr>
          <w:shd w:val="clear" w:color="auto" w:fill="FFFFFF"/>
          <w:vertAlign w:val="superscript"/>
        </w:rPr>
        <w:t>1</w:t>
      </w:r>
      <w:r w:rsidR="00F64898" w:rsidRPr="00F64898">
        <w:rPr>
          <w:shd w:val="clear" w:color="auto" w:fill="FFFFFF"/>
        </w:rPr>
        <w:t> panta treš</w:t>
      </w:r>
      <w:r w:rsidR="00A97B1C">
        <w:rPr>
          <w:shd w:val="clear" w:color="auto" w:fill="FFFFFF"/>
        </w:rPr>
        <w:t>ās</w:t>
      </w:r>
      <w:r w:rsidR="00F64898" w:rsidRPr="00F64898">
        <w:rPr>
          <w:shd w:val="clear" w:color="auto" w:fill="FFFFFF"/>
        </w:rPr>
        <w:t xml:space="preserve"> daļ</w:t>
      </w:r>
      <w:r w:rsidR="00A97B1C">
        <w:rPr>
          <w:shd w:val="clear" w:color="auto" w:fill="FFFFFF"/>
        </w:rPr>
        <w:t>as</w:t>
      </w:r>
      <w:r w:rsidR="00A97B1C">
        <w:rPr>
          <w:rFonts w:eastAsia="Calibri"/>
          <w:lang w:eastAsia="en-US"/>
        </w:rPr>
        <w:t>;</w:t>
      </w:r>
      <w:r w:rsidRPr="00F64898">
        <w:rPr>
          <w:rFonts w:eastAsia="Calibri"/>
          <w:lang w:eastAsia="en-US"/>
        </w:rPr>
        <w:t xml:space="preserve"> </w:t>
      </w:r>
    </w:p>
    <w:p w14:paraId="3EDBCB61" w14:textId="4F9C50E7" w:rsidR="00F64898" w:rsidRDefault="00F64898" w:rsidP="00982BB4">
      <w:pPr>
        <w:spacing w:line="276" w:lineRule="auto"/>
        <w:ind w:firstLine="720"/>
        <w:jc w:val="both"/>
        <w:rPr>
          <w:rFonts w:eastAsia="Calibri"/>
          <w:lang w:eastAsia="en-US"/>
        </w:rPr>
      </w:pPr>
      <w:r>
        <w:rPr>
          <w:rFonts w:eastAsia="Calibri"/>
          <w:lang w:eastAsia="en-US"/>
        </w:rPr>
        <w:t xml:space="preserve">par </w:t>
      </w:r>
      <w:r w:rsidR="00EA73EF">
        <w:rPr>
          <w:rFonts w:eastAsia="Calibri"/>
          <w:lang w:eastAsia="en-US"/>
        </w:rPr>
        <w:t>[pers. B]</w:t>
      </w:r>
      <w:r>
        <w:rPr>
          <w:rFonts w:eastAsia="Calibri"/>
          <w:lang w:eastAsia="en-US"/>
        </w:rPr>
        <w:t xml:space="preserve"> </w:t>
      </w:r>
      <w:r w:rsidRPr="00F64898">
        <w:rPr>
          <w:rFonts w:eastAsia="Calibri"/>
          <w:lang w:eastAsia="en-US"/>
        </w:rPr>
        <w:t>noteikto sodu p</w:t>
      </w:r>
      <w:r w:rsidR="00A97B1C">
        <w:rPr>
          <w:rFonts w:eastAsia="Calibri"/>
          <w:lang w:eastAsia="en-US"/>
        </w:rPr>
        <w:t>ēc</w:t>
      </w:r>
      <w:r w:rsidRPr="00F64898">
        <w:rPr>
          <w:rFonts w:eastAsia="Calibri"/>
          <w:lang w:eastAsia="en-US"/>
        </w:rPr>
        <w:t xml:space="preserve"> </w:t>
      </w:r>
      <w:r w:rsidRPr="00F64898">
        <w:rPr>
          <w:shd w:val="clear" w:color="auto" w:fill="FFFFFF"/>
        </w:rPr>
        <w:t>Krimināllikuma 253.</w:t>
      </w:r>
      <w:r w:rsidRPr="00F64898">
        <w:rPr>
          <w:shd w:val="clear" w:color="auto" w:fill="FFFFFF"/>
          <w:vertAlign w:val="superscript"/>
        </w:rPr>
        <w:t>1</w:t>
      </w:r>
      <w:r w:rsidRPr="00F64898">
        <w:rPr>
          <w:shd w:val="clear" w:color="auto" w:fill="FFFFFF"/>
        </w:rPr>
        <w:t> panta treš</w:t>
      </w:r>
      <w:r w:rsidR="00A97B1C">
        <w:rPr>
          <w:shd w:val="clear" w:color="auto" w:fill="FFFFFF"/>
        </w:rPr>
        <w:t>ās</w:t>
      </w:r>
      <w:r w:rsidRPr="00F64898">
        <w:rPr>
          <w:shd w:val="clear" w:color="auto" w:fill="FFFFFF"/>
        </w:rPr>
        <w:t xml:space="preserve"> daļ</w:t>
      </w:r>
      <w:r w:rsidR="00A97B1C">
        <w:rPr>
          <w:shd w:val="clear" w:color="auto" w:fill="FFFFFF"/>
        </w:rPr>
        <w:t>as</w:t>
      </w:r>
      <w:r w:rsidR="00A97B1C">
        <w:rPr>
          <w:rFonts w:eastAsia="Calibri"/>
          <w:lang w:eastAsia="en-US"/>
        </w:rPr>
        <w:t>;</w:t>
      </w:r>
      <w:r w:rsidR="00982BB4">
        <w:rPr>
          <w:rFonts w:eastAsia="Calibri"/>
          <w:lang w:eastAsia="en-US"/>
        </w:rPr>
        <w:t xml:space="preserve"> </w:t>
      </w:r>
    </w:p>
    <w:p w14:paraId="1B593427" w14:textId="718BBBB6" w:rsidR="00C06D7E" w:rsidRDefault="00F64898" w:rsidP="00060671">
      <w:pPr>
        <w:spacing w:line="276" w:lineRule="auto"/>
        <w:ind w:firstLine="720"/>
        <w:jc w:val="both"/>
        <w:rPr>
          <w:rFonts w:eastAsia="Calibri"/>
          <w:lang w:eastAsia="en-US"/>
        </w:rPr>
      </w:pPr>
      <w:r>
        <w:rPr>
          <w:rFonts w:eastAsia="Calibri"/>
          <w:lang w:eastAsia="en-US"/>
        </w:rPr>
        <w:t xml:space="preserve">par </w:t>
      </w:r>
      <w:r w:rsidR="00EA73EF">
        <w:rPr>
          <w:rFonts w:eastAsia="Calibri"/>
          <w:lang w:eastAsia="en-US"/>
        </w:rPr>
        <w:t>[pers. C]</w:t>
      </w:r>
      <w:r w:rsidR="00982BB4">
        <w:rPr>
          <w:rFonts w:eastAsia="Calibri"/>
          <w:lang w:eastAsia="en-US"/>
        </w:rPr>
        <w:t xml:space="preserve"> </w:t>
      </w:r>
      <w:r w:rsidRPr="00F64898">
        <w:rPr>
          <w:rFonts w:eastAsia="Calibri"/>
          <w:lang w:eastAsia="en-US"/>
        </w:rPr>
        <w:t>noteikto sodu p</w:t>
      </w:r>
      <w:r w:rsidR="00A97B1C">
        <w:rPr>
          <w:rFonts w:eastAsia="Calibri"/>
          <w:lang w:eastAsia="en-US"/>
        </w:rPr>
        <w:t>ēc</w:t>
      </w:r>
      <w:r w:rsidRPr="00F64898">
        <w:rPr>
          <w:rFonts w:eastAsia="Calibri"/>
          <w:lang w:eastAsia="en-US"/>
        </w:rPr>
        <w:t xml:space="preserve"> </w:t>
      </w:r>
      <w:r w:rsidRPr="00F64898">
        <w:rPr>
          <w:shd w:val="clear" w:color="auto" w:fill="FFFFFF"/>
        </w:rPr>
        <w:t>Krimināllikuma 253.</w:t>
      </w:r>
      <w:r w:rsidRPr="00F64898">
        <w:rPr>
          <w:shd w:val="clear" w:color="auto" w:fill="FFFFFF"/>
          <w:vertAlign w:val="superscript"/>
        </w:rPr>
        <w:t>1</w:t>
      </w:r>
      <w:r w:rsidRPr="00F64898">
        <w:rPr>
          <w:shd w:val="clear" w:color="auto" w:fill="FFFFFF"/>
        </w:rPr>
        <w:t> panta treš</w:t>
      </w:r>
      <w:r w:rsidR="00A97B1C">
        <w:rPr>
          <w:shd w:val="clear" w:color="auto" w:fill="FFFFFF"/>
        </w:rPr>
        <w:t>ās</w:t>
      </w:r>
      <w:r w:rsidRPr="00F64898">
        <w:rPr>
          <w:shd w:val="clear" w:color="auto" w:fill="FFFFFF"/>
        </w:rPr>
        <w:t xml:space="preserve"> daļ</w:t>
      </w:r>
      <w:r w:rsidR="00A97B1C">
        <w:rPr>
          <w:shd w:val="clear" w:color="auto" w:fill="FFFFFF"/>
        </w:rPr>
        <w:t>as</w:t>
      </w:r>
      <w:r w:rsidRPr="00F64898">
        <w:rPr>
          <w:shd w:val="clear" w:color="auto" w:fill="FFFFFF"/>
        </w:rPr>
        <w:t xml:space="preserve"> </w:t>
      </w:r>
      <w:r>
        <w:rPr>
          <w:shd w:val="clear" w:color="auto" w:fill="FFFFFF"/>
        </w:rPr>
        <w:t>un Krimināllikuma 253.</w:t>
      </w:r>
      <w:r>
        <w:rPr>
          <w:shd w:val="clear" w:color="auto" w:fill="FFFFFF"/>
          <w:vertAlign w:val="superscript"/>
        </w:rPr>
        <w:t>2</w:t>
      </w:r>
      <w:r>
        <w:rPr>
          <w:shd w:val="clear" w:color="auto" w:fill="FFFFFF"/>
        </w:rPr>
        <w:t> panta pirm</w:t>
      </w:r>
      <w:r w:rsidR="00A97B1C">
        <w:rPr>
          <w:shd w:val="clear" w:color="auto" w:fill="FFFFFF"/>
        </w:rPr>
        <w:t>ās</w:t>
      </w:r>
      <w:r>
        <w:rPr>
          <w:shd w:val="clear" w:color="auto" w:fill="FFFFFF"/>
        </w:rPr>
        <w:t xml:space="preserve"> daļ</w:t>
      </w:r>
      <w:r w:rsidR="00A97B1C">
        <w:rPr>
          <w:shd w:val="clear" w:color="auto" w:fill="FFFFFF"/>
        </w:rPr>
        <w:t>as</w:t>
      </w:r>
      <w:r>
        <w:rPr>
          <w:shd w:val="clear" w:color="auto" w:fill="FFFFFF"/>
        </w:rPr>
        <w:t xml:space="preserve"> </w:t>
      </w:r>
      <w:r w:rsidR="00982BB4">
        <w:rPr>
          <w:rFonts w:eastAsia="Calibri"/>
          <w:lang w:eastAsia="en-US"/>
        </w:rPr>
        <w:t>un</w:t>
      </w:r>
      <w:r w:rsidR="00060671" w:rsidRPr="00060671">
        <w:rPr>
          <w:rFonts w:eastAsia="Calibri"/>
          <w:lang w:eastAsia="en-US"/>
        </w:rPr>
        <w:t xml:space="preserve"> saskaņā ar Krimināllikuma 50. panta pirmo daļu</w:t>
      </w:r>
      <w:r w:rsidR="00060671">
        <w:rPr>
          <w:rFonts w:eastAsia="Calibri"/>
          <w:lang w:eastAsia="en-US"/>
        </w:rPr>
        <w:t xml:space="preserve"> noteikto galīgo sodu</w:t>
      </w:r>
      <w:r w:rsidR="00C06D7E">
        <w:rPr>
          <w:rFonts w:eastAsia="Calibri"/>
          <w:lang w:eastAsia="en-US"/>
        </w:rPr>
        <w:t>;</w:t>
      </w:r>
    </w:p>
    <w:p w14:paraId="18DAA7F8" w14:textId="50C46571" w:rsidR="00C06D7E" w:rsidRDefault="00C06D7E" w:rsidP="00C06D7E">
      <w:pPr>
        <w:spacing w:line="276" w:lineRule="auto"/>
        <w:ind w:firstLine="720"/>
        <w:jc w:val="both"/>
        <w:rPr>
          <w:rFonts w:asciiTheme="majorBidi" w:hAnsiTheme="majorBidi" w:cstheme="majorBidi"/>
        </w:rPr>
      </w:pPr>
      <w:r>
        <w:rPr>
          <w:rFonts w:asciiTheme="majorBidi" w:hAnsiTheme="majorBidi" w:cstheme="majorBidi"/>
        </w:rPr>
        <w:t>atceltajā daļā nosūtīt lietu jaunai izskatīšanai Zemgales apgabaltiesā;</w:t>
      </w:r>
    </w:p>
    <w:p w14:paraId="1163019C" w14:textId="748A11AC" w:rsidR="00C06DC8" w:rsidRDefault="00C06D7E" w:rsidP="0058698A">
      <w:pPr>
        <w:spacing w:line="276" w:lineRule="auto"/>
        <w:ind w:firstLine="720"/>
        <w:jc w:val="both"/>
        <w:rPr>
          <w:rFonts w:asciiTheme="majorBidi" w:hAnsiTheme="majorBidi" w:cstheme="majorBidi"/>
        </w:rPr>
      </w:pPr>
      <w:r w:rsidRPr="008812DC">
        <w:rPr>
          <w:rFonts w:asciiTheme="majorBidi" w:hAnsiTheme="majorBidi" w:cstheme="majorBidi"/>
        </w:rPr>
        <w:t>pārējā daļā apelācijas instances ties</w:t>
      </w:r>
      <w:r>
        <w:rPr>
          <w:rFonts w:asciiTheme="majorBidi" w:hAnsiTheme="majorBidi" w:cstheme="majorBidi"/>
        </w:rPr>
        <w:t xml:space="preserve">as lēmumu </w:t>
      </w:r>
      <w:r w:rsidRPr="008812DC">
        <w:rPr>
          <w:rFonts w:asciiTheme="majorBidi" w:hAnsiTheme="majorBidi" w:cstheme="majorBidi"/>
        </w:rPr>
        <w:t>atstāt negrozītu</w:t>
      </w:r>
      <w:r>
        <w:rPr>
          <w:rFonts w:eastAsia="Calibri"/>
          <w:lang w:eastAsia="en-US"/>
        </w:rPr>
        <w:t>.</w:t>
      </w:r>
    </w:p>
    <w:p w14:paraId="20C92E1A" w14:textId="5C348250" w:rsidR="00C06DC8" w:rsidRDefault="00C06DC8" w:rsidP="0028523D">
      <w:pPr>
        <w:spacing w:line="276" w:lineRule="auto"/>
        <w:ind w:firstLine="720"/>
        <w:jc w:val="both"/>
      </w:pPr>
      <w:r>
        <w:lastRenderedPageBreak/>
        <w:t xml:space="preserve">Atstāt negrozītus </w:t>
      </w:r>
      <w:r w:rsidR="00EA73EF">
        <w:t>[pers. A]</w:t>
      </w:r>
      <w:r>
        <w:t xml:space="preserve"> </w:t>
      </w:r>
      <w:r w:rsidR="0028523D">
        <w:t xml:space="preserve">un </w:t>
      </w:r>
      <w:r w:rsidR="00EA73EF">
        <w:t>[pers. B]</w:t>
      </w:r>
      <w:r w:rsidR="0028523D">
        <w:t xml:space="preserve"> </w:t>
      </w:r>
      <w:r>
        <w:t>piemērotos drošības līdzekļus</w:t>
      </w:r>
      <w:r w:rsidR="00AF2A8B">
        <w:t xml:space="preserve"> </w:t>
      </w:r>
      <w:r w:rsidR="00AF2A8B" w:rsidRPr="0025559E">
        <w:rPr>
          <w:rFonts w:asciiTheme="majorBidi" w:hAnsiTheme="majorBidi" w:cstheme="majorBidi"/>
        </w:rPr>
        <w:t>–</w:t>
      </w:r>
      <w:r w:rsidR="00AF2A8B">
        <w:rPr>
          <w:rFonts w:asciiTheme="majorBidi" w:hAnsiTheme="majorBidi" w:cstheme="majorBidi"/>
        </w:rPr>
        <w:t xml:space="preserve"> </w:t>
      </w:r>
      <w:r w:rsidRPr="00C06DC8">
        <w:t>dzīvesvietas maiņas paziņošan</w:t>
      </w:r>
      <w:r w:rsidR="006652AD">
        <w:t>u</w:t>
      </w:r>
      <w:r w:rsidRPr="00C06DC8">
        <w:t xml:space="preserve"> un aizliegum</w:t>
      </w:r>
      <w:r w:rsidR="006652AD">
        <w:t>u</w:t>
      </w:r>
      <w:r w:rsidRPr="00C06DC8">
        <w:t xml:space="preserve"> izbraukt no valsts</w:t>
      </w:r>
      <w:r>
        <w:t>.</w:t>
      </w:r>
    </w:p>
    <w:p w14:paraId="5F74562C" w14:textId="07CB5B4B" w:rsidR="00C06DC8" w:rsidRPr="00C06DC8" w:rsidRDefault="00C06DC8" w:rsidP="006652AD">
      <w:pPr>
        <w:spacing w:line="276" w:lineRule="auto"/>
        <w:ind w:left="720"/>
        <w:jc w:val="both"/>
        <w:rPr>
          <w:rFonts w:asciiTheme="majorBidi" w:hAnsiTheme="majorBidi" w:cstheme="majorBidi"/>
        </w:rPr>
      </w:pPr>
      <w:r>
        <w:t xml:space="preserve">Atstāt negrozītu </w:t>
      </w:r>
      <w:r w:rsidR="00EA73EF">
        <w:t>[pers. C]</w:t>
      </w:r>
      <w:r>
        <w:t xml:space="preserve"> piemēroto drošības līdzekli</w:t>
      </w:r>
      <w:r w:rsidR="00AF2A8B">
        <w:t xml:space="preserve"> </w:t>
      </w:r>
      <w:r w:rsidR="00AF2A8B" w:rsidRPr="0025559E">
        <w:rPr>
          <w:rFonts w:asciiTheme="majorBidi" w:hAnsiTheme="majorBidi" w:cstheme="majorBidi"/>
        </w:rPr>
        <w:t>–</w:t>
      </w:r>
      <w:r w:rsidR="00AF2A8B">
        <w:rPr>
          <w:rFonts w:asciiTheme="majorBidi" w:hAnsiTheme="majorBidi" w:cstheme="majorBidi"/>
        </w:rPr>
        <w:t xml:space="preserve"> </w:t>
      </w:r>
      <w:r w:rsidRPr="00C06DC8">
        <w:t>dzīvesvietas maiņas paziņošan</w:t>
      </w:r>
      <w:r w:rsidR="00A97B1C">
        <w:t>u</w:t>
      </w:r>
      <w:r>
        <w:t>.</w:t>
      </w:r>
    </w:p>
    <w:p w14:paraId="64BCA568" w14:textId="77777777" w:rsidR="00C06DC8" w:rsidRDefault="00C06DC8" w:rsidP="0058698A">
      <w:pPr>
        <w:spacing w:line="276" w:lineRule="auto"/>
        <w:ind w:firstLine="720"/>
        <w:jc w:val="both"/>
        <w:rPr>
          <w:rFonts w:asciiTheme="majorBidi" w:hAnsiTheme="majorBidi" w:cstheme="majorBidi"/>
        </w:rPr>
      </w:pPr>
    </w:p>
    <w:p w14:paraId="049D1CB4" w14:textId="1F79F981" w:rsidR="00447EE6" w:rsidRPr="00EA73EF" w:rsidRDefault="00107481" w:rsidP="00EA73EF">
      <w:pPr>
        <w:spacing w:line="276" w:lineRule="auto"/>
        <w:ind w:firstLine="720"/>
        <w:jc w:val="both"/>
        <w:rPr>
          <w:rFonts w:asciiTheme="majorBidi" w:hAnsiTheme="majorBidi" w:cstheme="majorBidi"/>
        </w:rPr>
      </w:pPr>
      <w:r w:rsidRPr="00CB056B">
        <w:rPr>
          <w:rFonts w:asciiTheme="majorBidi" w:hAnsiTheme="majorBidi" w:cstheme="majorBidi"/>
        </w:rPr>
        <w:t>Lēmums nav pārsūdzams.</w:t>
      </w:r>
    </w:p>
    <w:sectPr w:rsidR="00447EE6" w:rsidRPr="00EA73EF" w:rsidSect="00F64898">
      <w:footerReference w:type="default" r:id="rId12"/>
      <w:pgSz w:w="12240" w:h="15840"/>
      <w:pgMar w:top="1134" w:right="1701" w:bottom="993" w:left="1701"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3BC0" w14:textId="77777777" w:rsidR="007E2884" w:rsidRDefault="007E2884" w:rsidP="006D5C62">
      <w:r>
        <w:separator/>
      </w:r>
    </w:p>
  </w:endnote>
  <w:endnote w:type="continuationSeparator" w:id="0">
    <w:p w14:paraId="22DAB716" w14:textId="77777777" w:rsidR="007E2884" w:rsidRDefault="007E2884"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4DE1E1A5"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00F96D49">
              <w:rPr>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4CC7" w14:textId="77777777" w:rsidR="007E2884" w:rsidRDefault="007E2884" w:rsidP="006D5C62">
      <w:r>
        <w:separator/>
      </w:r>
    </w:p>
  </w:footnote>
  <w:footnote w:type="continuationSeparator" w:id="0">
    <w:p w14:paraId="486FE031" w14:textId="77777777" w:rsidR="007E2884" w:rsidRDefault="007E2884"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C73"/>
    <w:multiLevelType w:val="hybridMultilevel"/>
    <w:tmpl w:val="C6E84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65F07F90"/>
    <w:multiLevelType w:val="hybridMultilevel"/>
    <w:tmpl w:val="B92EB2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F460240"/>
    <w:multiLevelType w:val="hybridMultilevel"/>
    <w:tmpl w:val="9772813E"/>
    <w:lvl w:ilvl="0" w:tplc="60088D8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880893">
    <w:abstractNumId w:val="1"/>
  </w:num>
  <w:num w:numId="2" w16cid:durableId="495338432">
    <w:abstractNumId w:val="0"/>
  </w:num>
  <w:num w:numId="3" w16cid:durableId="495456071">
    <w:abstractNumId w:val="2"/>
  </w:num>
  <w:num w:numId="4" w16cid:durableId="226693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6655"/>
    <w:rsid w:val="00006F08"/>
    <w:rsid w:val="000160B7"/>
    <w:rsid w:val="000161EC"/>
    <w:rsid w:val="00021010"/>
    <w:rsid w:val="0002495A"/>
    <w:rsid w:val="00026555"/>
    <w:rsid w:val="00026722"/>
    <w:rsid w:val="00026E2B"/>
    <w:rsid w:val="00031CAF"/>
    <w:rsid w:val="0003538B"/>
    <w:rsid w:val="00036A57"/>
    <w:rsid w:val="00037439"/>
    <w:rsid w:val="000430A6"/>
    <w:rsid w:val="000466F2"/>
    <w:rsid w:val="00050415"/>
    <w:rsid w:val="000527EF"/>
    <w:rsid w:val="000567D2"/>
    <w:rsid w:val="00060671"/>
    <w:rsid w:val="000610C1"/>
    <w:rsid w:val="00061406"/>
    <w:rsid w:val="00066544"/>
    <w:rsid w:val="0006670D"/>
    <w:rsid w:val="00066C04"/>
    <w:rsid w:val="000727D1"/>
    <w:rsid w:val="00073722"/>
    <w:rsid w:val="00074526"/>
    <w:rsid w:val="00076924"/>
    <w:rsid w:val="000775B2"/>
    <w:rsid w:val="00077777"/>
    <w:rsid w:val="00077D6F"/>
    <w:rsid w:val="00082CA8"/>
    <w:rsid w:val="000872F2"/>
    <w:rsid w:val="00087E1E"/>
    <w:rsid w:val="00092516"/>
    <w:rsid w:val="00096A7E"/>
    <w:rsid w:val="000971D2"/>
    <w:rsid w:val="000A13AA"/>
    <w:rsid w:val="000A5327"/>
    <w:rsid w:val="000A5CE9"/>
    <w:rsid w:val="000A74CB"/>
    <w:rsid w:val="000B0962"/>
    <w:rsid w:val="000B1310"/>
    <w:rsid w:val="000B171E"/>
    <w:rsid w:val="000B2BB3"/>
    <w:rsid w:val="000B3156"/>
    <w:rsid w:val="000B326F"/>
    <w:rsid w:val="000B51CB"/>
    <w:rsid w:val="000C1423"/>
    <w:rsid w:val="000C341B"/>
    <w:rsid w:val="000C52CD"/>
    <w:rsid w:val="000C6E0F"/>
    <w:rsid w:val="000D4688"/>
    <w:rsid w:val="000D4EF4"/>
    <w:rsid w:val="000D6A3A"/>
    <w:rsid w:val="000D775B"/>
    <w:rsid w:val="000D77F5"/>
    <w:rsid w:val="000E22DA"/>
    <w:rsid w:val="000E252D"/>
    <w:rsid w:val="000E2F39"/>
    <w:rsid w:val="000E3635"/>
    <w:rsid w:val="000F0AE1"/>
    <w:rsid w:val="000F24FE"/>
    <w:rsid w:val="000F292B"/>
    <w:rsid w:val="000F49CF"/>
    <w:rsid w:val="000F693F"/>
    <w:rsid w:val="0010255E"/>
    <w:rsid w:val="001040D8"/>
    <w:rsid w:val="00104173"/>
    <w:rsid w:val="001045C6"/>
    <w:rsid w:val="0010633D"/>
    <w:rsid w:val="00107481"/>
    <w:rsid w:val="00113584"/>
    <w:rsid w:val="001164CC"/>
    <w:rsid w:val="001176F3"/>
    <w:rsid w:val="00117CAE"/>
    <w:rsid w:val="0012484D"/>
    <w:rsid w:val="00127784"/>
    <w:rsid w:val="00132365"/>
    <w:rsid w:val="00136BED"/>
    <w:rsid w:val="00142A91"/>
    <w:rsid w:val="001442CD"/>
    <w:rsid w:val="00150A0B"/>
    <w:rsid w:val="00150AC8"/>
    <w:rsid w:val="001513E6"/>
    <w:rsid w:val="001535E9"/>
    <w:rsid w:val="00155092"/>
    <w:rsid w:val="0015680F"/>
    <w:rsid w:val="00160C9E"/>
    <w:rsid w:val="0016235E"/>
    <w:rsid w:val="00165761"/>
    <w:rsid w:val="00165778"/>
    <w:rsid w:val="0016655D"/>
    <w:rsid w:val="00172D48"/>
    <w:rsid w:val="00174E43"/>
    <w:rsid w:val="001761B2"/>
    <w:rsid w:val="00177A7F"/>
    <w:rsid w:val="00181C5B"/>
    <w:rsid w:val="00181DDA"/>
    <w:rsid w:val="0018508B"/>
    <w:rsid w:val="00185F2A"/>
    <w:rsid w:val="00190F78"/>
    <w:rsid w:val="00192038"/>
    <w:rsid w:val="00196D95"/>
    <w:rsid w:val="001A0B98"/>
    <w:rsid w:val="001A1028"/>
    <w:rsid w:val="001A339F"/>
    <w:rsid w:val="001A3620"/>
    <w:rsid w:val="001A490E"/>
    <w:rsid w:val="001A5C82"/>
    <w:rsid w:val="001A5EB8"/>
    <w:rsid w:val="001B32CB"/>
    <w:rsid w:val="001B70C2"/>
    <w:rsid w:val="001C120B"/>
    <w:rsid w:val="001C1443"/>
    <w:rsid w:val="001C1D23"/>
    <w:rsid w:val="001C2FD8"/>
    <w:rsid w:val="001C34DD"/>
    <w:rsid w:val="001C3AD1"/>
    <w:rsid w:val="001C58FA"/>
    <w:rsid w:val="001C6796"/>
    <w:rsid w:val="001C77C7"/>
    <w:rsid w:val="001D0122"/>
    <w:rsid w:val="001D033B"/>
    <w:rsid w:val="001D237C"/>
    <w:rsid w:val="001D3CD2"/>
    <w:rsid w:val="001D4531"/>
    <w:rsid w:val="001D4D14"/>
    <w:rsid w:val="001D5E4E"/>
    <w:rsid w:val="001D70C9"/>
    <w:rsid w:val="001D7EDA"/>
    <w:rsid w:val="001D7F7F"/>
    <w:rsid w:val="001E044D"/>
    <w:rsid w:val="001E07FF"/>
    <w:rsid w:val="001E36D4"/>
    <w:rsid w:val="001F4CE2"/>
    <w:rsid w:val="0020116C"/>
    <w:rsid w:val="00201EDC"/>
    <w:rsid w:val="00204413"/>
    <w:rsid w:val="002100C4"/>
    <w:rsid w:val="00213509"/>
    <w:rsid w:val="002218D4"/>
    <w:rsid w:val="00222FAD"/>
    <w:rsid w:val="00227134"/>
    <w:rsid w:val="00227503"/>
    <w:rsid w:val="00230E94"/>
    <w:rsid w:val="00235EBE"/>
    <w:rsid w:val="002367E9"/>
    <w:rsid w:val="00236DF1"/>
    <w:rsid w:val="00240F17"/>
    <w:rsid w:val="00242715"/>
    <w:rsid w:val="00244E28"/>
    <w:rsid w:val="00247B8F"/>
    <w:rsid w:val="00251373"/>
    <w:rsid w:val="0025559E"/>
    <w:rsid w:val="00256ECF"/>
    <w:rsid w:val="00256F5B"/>
    <w:rsid w:val="00257556"/>
    <w:rsid w:val="0026052D"/>
    <w:rsid w:val="002624BB"/>
    <w:rsid w:val="002636A6"/>
    <w:rsid w:val="00267CD5"/>
    <w:rsid w:val="00267DAD"/>
    <w:rsid w:val="00271E74"/>
    <w:rsid w:val="00271FCD"/>
    <w:rsid w:val="00272EC6"/>
    <w:rsid w:val="002748F8"/>
    <w:rsid w:val="002763BD"/>
    <w:rsid w:val="002769ED"/>
    <w:rsid w:val="0028523D"/>
    <w:rsid w:val="00285AAE"/>
    <w:rsid w:val="002905B2"/>
    <w:rsid w:val="00290C31"/>
    <w:rsid w:val="00291ED3"/>
    <w:rsid w:val="002A0543"/>
    <w:rsid w:val="002A0A39"/>
    <w:rsid w:val="002A15F6"/>
    <w:rsid w:val="002A4E29"/>
    <w:rsid w:val="002A5710"/>
    <w:rsid w:val="002B61EE"/>
    <w:rsid w:val="002B653B"/>
    <w:rsid w:val="002B6BEF"/>
    <w:rsid w:val="002C162D"/>
    <w:rsid w:val="002D3F77"/>
    <w:rsid w:val="002D4EFD"/>
    <w:rsid w:val="002D7C66"/>
    <w:rsid w:val="002E1AC7"/>
    <w:rsid w:val="002E4465"/>
    <w:rsid w:val="002E555B"/>
    <w:rsid w:val="002F3311"/>
    <w:rsid w:val="002F3B15"/>
    <w:rsid w:val="00301162"/>
    <w:rsid w:val="00301313"/>
    <w:rsid w:val="00301DF4"/>
    <w:rsid w:val="00304115"/>
    <w:rsid w:val="00304492"/>
    <w:rsid w:val="00310F20"/>
    <w:rsid w:val="00313FD3"/>
    <w:rsid w:val="00314357"/>
    <w:rsid w:val="00314851"/>
    <w:rsid w:val="003149E8"/>
    <w:rsid w:val="00314B6A"/>
    <w:rsid w:val="00322A38"/>
    <w:rsid w:val="0032418F"/>
    <w:rsid w:val="00325477"/>
    <w:rsid w:val="00333D44"/>
    <w:rsid w:val="00334B8C"/>
    <w:rsid w:val="003369C0"/>
    <w:rsid w:val="00351071"/>
    <w:rsid w:val="0036073E"/>
    <w:rsid w:val="00362A9B"/>
    <w:rsid w:val="00363E02"/>
    <w:rsid w:val="00367D4F"/>
    <w:rsid w:val="003718E9"/>
    <w:rsid w:val="003728DA"/>
    <w:rsid w:val="003735A3"/>
    <w:rsid w:val="0037378A"/>
    <w:rsid w:val="00373845"/>
    <w:rsid w:val="003756CE"/>
    <w:rsid w:val="003777B7"/>
    <w:rsid w:val="00380D19"/>
    <w:rsid w:val="00387020"/>
    <w:rsid w:val="00387240"/>
    <w:rsid w:val="00394309"/>
    <w:rsid w:val="00394A5B"/>
    <w:rsid w:val="003A2F37"/>
    <w:rsid w:val="003A3297"/>
    <w:rsid w:val="003A4B4E"/>
    <w:rsid w:val="003A4F91"/>
    <w:rsid w:val="003A4FD8"/>
    <w:rsid w:val="003B0EA4"/>
    <w:rsid w:val="003B14A9"/>
    <w:rsid w:val="003B26D5"/>
    <w:rsid w:val="003B287A"/>
    <w:rsid w:val="003B4789"/>
    <w:rsid w:val="003B5871"/>
    <w:rsid w:val="003C4082"/>
    <w:rsid w:val="003C49A4"/>
    <w:rsid w:val="003C6501"/>
    <w:rsid w:val="003C6F06"/>
    <w:rsid w:val="003D31DE"/>
    <w:rsid w:val="003D49D6"/>
    <w:rsid w:val="003E22FD"/>
    <w:rsid w:val="003E6BC6"/>
    <w:rsid w:val="003E718C"/>
    <w:rsid w:val="003E7B3A"/>
    <w:rsid w:val="003E7DCE"/>
    <w:rsid w:val="003F1439"/>
    <w:rsid w:val="003F2E93"/>
    <w:rsid w:val="003F452C"/>
    <w:rsid w:val="003F6B4A"/>
    <w:rsid w:val="00400890"/>
    <w:rsid w:val="004012AE"/>
    <w:rsid w:val="00402828"/>
    <w:rsid w:val="00402B96"/>
    <w:rsid w:val="00405510"/>
    <w:rsid w:val="00407345"/>
    <w:rsid w:val="0041197C"/>
    <w:rsid w:val="00412429"/>
    <w:rsid w:val="004135C4"/>
    <w:rsid w:val="00417651"/>
    <w:rsid w:val="0042161B"/>
    <w:rsid w:val="00423EC8"/>
    <w:rsid w:val="004247DC"/>
    <w:rsid w:val="0043055E"/>
    <w:rsid w:val="0043167E"/>
    <w:rsid w:val="00433744"/>
    <w:rsid w:val="0043663B"/>
    <w:rsid w:val="004415CF"/>
    <w:rsid w:val="00443993"/>
    <w:rsid w:val="00444D4E"/>
    <w:rsid w:val="00445488"/>
    <w:rsid w:val="00447977"/>
    <w:rsid w:val="00447EE6"/>
    <w:rsid w:val="00450039"/>
    <w:rsid w:val="004504D3"/>
    <w:rsid w:val="00453064"/>
    <w:rsid w:val="004538FF"/>
    <w:rsid w:val="00460814"/>
    <w:rsid w:val="004618CE"/>
    <w:rsid w:val="00461CDB"/>
    <w:rsid w:val="00466347"/>
    <w:rsid w:val="00467DF7"/>
    <w:rsid w:val="004802E1"/>
    <w:rsid w:val="00483290"/>
    <w:rsid w:val="0048366D"/>
    <w:rsid w:val="00490B86"/>
    <w:rsid w:val="00491AED"/>
    <w:rsid w:val="004932A0"/>
    <w:rsid w:val="00497420"/>
    <w:rsid w:val="004A5836"/>
    <w:rsid w:val="004A66CE"/>
    <w:rsid w:val="004A6F86"/>
    <w:rsid w:val="004A7756"/>
    <w:rsid w:val="004B2A94"/>
    <w:rsid w:val="004B69AC"/>
    <w:rsid w:val="004B74C1"/>
    <w:rsid w:val="004B7CB2"/>
    <w:rsid w:val="004C2347"/>
    <w:rsid w:val="004C3076"/>
    <w:rsid w:val="004C47F9"/>
    <w:rsid w:val="004C54F4"/>
    <w:rsid w:val="004C59C3"/>
    <w:rsid w:val="004C5FAC"/>
    <w:rsid w:val="004D2C33"/>
    <w:rsid w:val="004D760F"/>
    <w:rsid w:val="004D780A"/>
    <w:rsid w:val="004E0070"/>
    <w:rsid w:val="004E0E93"/>
    <w:rsid w:val="004E547C"/>
    <w:rsid w:val="004F06D3"/>
    <w:rsid w:val="004F4923"/>
    <w:rsid w:val="004F56D8"/>
    <w:rsid w:val="004F71A0"/>
    <w:rsid w:val="0050005E"/>
    <w:rsid w:val="00501B80"/>
    <w:rsid w:val="00503AC7"/>
    <w:rsid w:val="0050549B"/>
    <w:rsid w:val="00514B47"/>
    <w:rsid w:val="00520D6F"/>
    <w:rsid w:val="00526E9D"/>
    <w:rsid w:val="00530B9B"/>
    <w:rsid w:val="00531423"/>
    <w:rsid w:val="0053187B"/>
    <w:rsid w:val="0053426B"/>
    <w:rsid w:val="005355AA"/>
    <w:rsid w:val="00536C57"/>
    <w:rsid w:val="00540625"/>
    <w:rsid w:val="005422F5"/>
    <w:rsid w:val="00542725"/>
    <w:rsid w:val="00542FD7"/>
    <w:rsid w:val="00546144"/>
    <w:rsid w:val="00547C02"/>
    <w:rsid w:val="00555C22"/>
    <w:rsid w:val="00561757"/>
    <w:rsid w:val="00561A70"/>
    <w:rsid w:val="00564079"/>
    <w:rsid w:val="005650B9"/>
    <w:rsid w:val="0056578D"/>
    <w:rsid w:val="00567624"/>
    <w:rsid w:val="00571491"/>
    <w:rsid w:val="0057337E"/>
    <w:rsid w:val="00574F39"/>
    <w:rsid w:val="0057709C"/>
    <w:rsid w:val="005778B8"/>
    <w:rsid w:val="00577CFF"/>
    <w:rsid w:val="00580F5D"/>
    <w:rsid w:val="005844CC"/>
    <w:rsid w:val="0058698A"/>
    <w:rsid w:val="00591588"/>
    <w:rsid w:val="00593FD1"/>
    <w:rsid w:val="00595C4E"/>
    <w:rsid w:val="005A1B5C"/>
    <w:rsid w:val="005A1F74"/>
    <w:rsid w:val="005A6004"/>
    <w:rsid w:val="005A62CF"/>
    <w:rsid w:val="005B027F"/>
    <w:rsid w:val="005B0DDC"/>
    <w:rsid w:val="005B1C62"/>
    <w:rsid w:val="005B2B02"/>
    <w:rsid w:val="005B5AF4"/>
    <w:rsid w:val="005C2AEE"/>
    <w:rsid w:val="005C3804"/>
    <w:rsid w:val="005E2FEA"/>
    <w:rsid w:val="005E31BC"/>
    <w:rsid w:val="005E3F47"/>
    <w:rsid w:val="005E54CD"/>
    <w:rsid w:val="005E551D"/>
    <w:rsid w:val="005F0FC4"/>
    <w:rsid w:val="005F2D68"/>
    <w:rsid w:val="005F4A6B"/>
    <w:rsid w:val="005F509F"/>
    <w:rsid w:val="005F7ACC"/>
    <w:rsid w:val="006001CD"/>
    <w:rsid w:val="00603DF6"/>
    <w:rsid w:val="00607375"/>
    <w:rsid w:val="0060749F"/>
    <w:rsid w:val="006131C8"/>
    <w:rsid w:val="006160CC"/>
    <w:rsid w:val="0061721D"/>
    <w:rsid w:val="00620234"/>
    <w:rsid w:val="00625DFB"/>
    <w:rsid w:val="006266C1"/>
    <w:rsid w:val="0063065F"/>
    <w:rsid w:val="0063705C"/>
    <w:rsid w:val="0063743D"/>
    <w:rsid w:val="006442F6"/>
    <w:rsid w:val="006457B1"/>
    <w:rsid w:val="0065591E"/>
    <w:rsid w:val="00655E7D"/>
    <w:rsid w:val="00661DAC"/>
    <w:rsid w:val="0066267D"/>
    <w:rsid w:val="00662714"/>
    <w:rsid w:val="006652AD"/>
    <w:rsid w:val="006727AA"/>
    <w:rsid w:val="00674257"/>
    <w:rsid w:val="00675228"/>
    <w:rsid w:val="00680F91"/>
    <w:rsid w:val="00682558"/>
    <w:rsid w:val="00684D16"/>
    <w:rsid w:val="00684F69"/>
    <w:rsid w:val="00685938"/>
    <w:rsid w:val="00686D65"/>
    <w:rsid w:val="006911A0"/>
    <w:rsid w:val="00693115"/>
    <w:rsid w:val="0069687E"/>
    <w:rsid w:val="006B267B"/>
    <w:rsid w:val="006B287B"/>
    <w:rsid w:val="006B2A29"/>
    <w:rsid w:val="006B3BD6"/>
    <w:rsid w:val="006B5909"/>
    <w:rsid w:val="006B5FA2"/>
    <w:rsid w:val="006C10D0"/>
    <w:rsid w:val="006C4001"/>
    <w:rsid w:val="006C4B5D"/>
    <w:rsid w:val="006C56CF"/>
    <w:rsid w:val="006C7760"/>
    <w:rsid w:val="006D1B59"/>
    <w:rsid w:val="006D35E2"/>
    <w:rsid w:val="006D47A1"/>
    <w:rsid w:val="006D5C62"/>
    <w:rsid w:val="006E002F"/>
    <w:rsid w:val="006E02DF"/>
    <w:rsid w:val="006E21ED"/>
    <w:rsid w:val="006E4977"/>
    <w:rsid w:val="006E5B90"/>
    <w:rsid w:val="006E63BC"/>
    <w:rsid w:val="006E6905"/>
    <w:rsid w:val="006E78BC"/>
    <w:rsid w:val="006F4C75"/>
    <w:rsid w:val="006F5337"/>
    <w:rsid w:val="006F5DF3"/>
    <w:rsid w:val="006F7E5D"/>
    <w:rsid w:val="00700D18"/>
    <w:rsid w:val="007044DD"/>
    <w:rsid w:val="00717CDE"/>
    <w:rsid w:val="00717E0C"/>
    <w:rsid w:val="007223BE"/>
    <w:rsid w:val="007244DE"/>
    <w:rsid w:val="00731886"/>
    <w:rsid w:val="00732349"/>
    <w:rsid w:val="00740DAD"/>
    <w:rsid w:val="00741496"/>
    <w:rsid w:val="00741B94"/>
    <w:rsid w:val="0074233D"/>
    <w:rsid w:val="007443F7"/>
    <w:rsid w:val="00745811"/>
    <w:rsid w:val="007470B2"/>
    <w:rsid w:val="007515F0"/>
    <w:rsid w:val="00751A6F"/>
    <w:rsid w:val="00755B74"/>
    <w:rsid w:val="00755F16"/>
    <w:rsid w:val="007561AC"/>
    <w:rsid w:val="00760162"/>
    <w:rsid w:val="0076110E"/>
    <w:rsid w:val="00762A8A"/>
    <w:rsid w:val="00763929"/>
    <w:rsid w:val="00771C33"/>
    <w:rsid w:val="0079026A"/>
    <w:rsid w:val="00794836"/>
    <w:rsid w:val="00795196"/>
    <w:rsid w:val="007966F2"/>
    <w:rsid w:val="00797724"/>
    <w:rsid w:val="007A00DA"/>
    <w:rsid w:val="007A031A"/>
    <w:rsid w:val="007A2857"/>
    <w:rsid w:val="007A7D4D"/>
    <w:rsid w:val="007B17BD"/>
    <w:rsid w:val="007B1868"/>
    <w:rsid w:val="007B2EC7"/>
    <w:rsid w:val="007B2F4F"/>
    <w:rsid w:val="007B61E9"/>
    <w:rsid w:val="007C30FD"/>
    <w:rsid w:val="007C3E16"/>
    <w:rsid w:val="007C4103"/>
    <w:rsid w:val="007C4309"/>
    <w:rsid w:val="007C7CA4"/>
    <w:rsid w:val="007D0C0D"/>
    <w:rsid w:val="007D2533"/>
    <w:rsid w:val="007D5BB2"/>
    <w:rsid w:val="007D656F"/>
    <w:rsid w:val="007E171E"/>
    <w:rsid w:val="007E2884"/>
    <w:rsid w:val="007E42A2"/>
    <w:rsid w:val="007E6FB0"/>
    <w:rsid w:val="007E7154"/>
    <w:rsid w:val="007E719B"/>
    <w:rsid w:val="007F569E"/>
    <w:rsid w:val="007F6D42"/>
    <w:rsid w:val="00800C49"/>
    <w:rsid w:val="00801F47"/>
    <w:rsid w:val="00802573"/>
    <w:rsid w:val="008029AE"/>
    <w:rsid w:val="00803039"/>
    <w:rsid w:val="00805535"/>
    <w:rsid w:val="00807BA7"/>
    <w:rsid w:val="0081226F"/>
    <w:rsid w:val="008128A5"/>
    <w:rsid w:val="00814AFF"/>
    <w:rsid w:val="00815D6E"/>
    <w:rsid w:val="00825D05"/>
    <w:rsid w:val="0082619F"/>
    <w:rsid w:val="00827474"/>
    <w:rsid w:val="008306E3"/>
    <w:rsid w:val="00832964"/>
    <w:rsid w:val="00835370"/>
    <w:rsid w:val="00835C9E"/>
    <w:rsid w:val="00837192"/>
    <w:rsid w:val="00841EB0"/>
    <w:rsid w:val="00843274"/>
    <w:rsid w:val="0084386A"/>
    <w:rsid w:val="00847351"/>
    <w:rsid w:val="00854F12"/>
    <w:rsid w:val="00860261"/>
    <w:rsid w:val="00860CBD"/>
    <w:rsid w:val="00861161"/>
    <w:rsid w:val="00861B58"/>
    <w:rsid w:val="0086541C"/>
    <w:rsid w:val="00865A79"/>
    <w:rsid w:val="00866E99"/>
    <w:rsid w:val="008671C3"/>
    <w:rsid w:val="008713C5"/>
    <w:rsid w:val="00871EBC"/>
    <w:rsid w:val="00874495"/>
    <w:rsid w:val="00881231"/>
    <w:rsid w:val="00881BCF"/>
    <w:rsid w:val="00882518"/>
    <w:rsid w:val="008837BA"/>
    <w:rsid w:val="008839E3"/>
    <w:rsid w:val="00884088"/>
    <w:rsid w:val="00885FD7"/>
    <w:rsid w:val="00890483"/>
    <w:rsid w:val="00891D66"/>
    <w:rsid w:val="008937E7"/>
    <w:rsid w:val="008943FD"/>
    <w:rsid w:val="00894440"/>
    <w:rsid w:val="0089528C"/>
    <w:rsid w:val="008966F3"/>
    <w:rsid w:val="008A1D8E"/>
    <w:rsid w:val="008A6121"/>
    <w:rsid w:val="008B0962"/>
    <w:rsid w:val="008B0E68"/>
    <w:rsid w:val="008B143B"/>
    <w:rsid w:val="008B49ED"/>
    <w:rsid w:val="008B4DAE"/>
    <w:rsid w:val="008B53A1"/>
    <w:rsid w:val="008C1D16"/>
    <w:rsid w:val="008C6913"/>
    <w:rsid w:val="008D1FFC"/>
    <w:rsid w:val="008D21A4"/>
    <w:rsid w:val="008D2D7B"/>
    <w:rsid w:val="008D345A"/>
    <w:rsid w:val="008D4CAB"/>
    <w:rsid w:val="008D5F7E"/>
    <w:rsid w:val="008D652D"/>
    <w:rsid w:val="008D706E"/>
    <w:rsid w:val="008E0297"/>
    <w:rsid w:val="008E48A2"/>
    <w:rsid w:val="008E758B"/>
    <w:rsid w:val="008F0317"/>
    <w:rsid w:val="008F1CFD"/>
    <w:rsid w:val="008F52A4"/>
    <w:rsid w:val="008F5A0D"/>
    <w:rsid w:val="008F63F2"/>
    <w:rsid w:val="008F75D8"/>
    <w:rsid w:val="009032C9"/>
    <w:rsid w:val="00905BF5"/>
    <w:rsid w:val="00906391"/>
    <w:rsid w:val="00906E62"/>
    <w:rsid w:val="00911EB4"/>
    <w:rsid w:val="009207DC"/>
    <w:rsid w:val="00921A85"/>
    <w:rsid w:val="00925A25"/>
    <w:rsid w:val="0092788F"/>
    <w:rsid w:val="00931962"/>
    <w:rsid w:val="00932057"/>
    <w:rsid w:val="00933796"/>
    <w:rsid w:val="00933914"/>
    <w:rsid w:val="00934D4A"/>
    <w:rsid w:val="00940520"/>
    <w:rsid w:val="009427FF"/>
    <w:rsid w:val="00944229"/>
    <w:rsid w:val="009508A8"/>
    <w:rsid w:val="00951EC5"/>
    <w:rsid w:val="00954050"/>
    <w:rsid w:val="00955D23"/>
    <w:rsid w:val="009565A2"/>
    <w:rsid w:val="0096089E"/>
    <w:rsid w:val="00964620"/>
    <w:rsid w:val="0097134F"/>
    <w:rsid w:val="009741B4"/>
    <w:rsid w:val="00974256"/>
    <w:rsid w:val="00974959"/>
    <w:rsid w:val="00976DA5"/>
    <w:rsid w:val="00981709"/>
    <w:rsid w:val="00982735"/>
    <w:rsid w:val="00982A4C"/>
    <w:rsid w:val="00982BB4"/>
    <w:rsid w:val="00986BD6"/>
    <w:rsid w:val="009A01C7"/>
    <w:rsid w:val="009A2D92"/>
    <w:rsid w:val="009A4AD5"/>
    <w:rsid w:val="009A5CB6"/>
    <w:rsid w:val="009B79DC"/>
    <w:rsid w:val="009C3CC3"/>
    <w:rsid w:val="009C47AF"/>
    <w:rsid w:val="009C6AF4"/>
    <w:rsid w:val="009D0C04"/>
    <w:rsid w:val="009E1B17"/>
    <w:rsid w:val="009E2FE4"/>
    <w:rsid w:val="009E3553"/>
    <w:rsid w:val="009E7A7B"/>
    <w:rsid w:val="009F16D0"/>
    <w:rsid w:val="009F1F91"/>
    <w:rsid w:val="009F5DA5"/>
    <w:rsid w:val="009F6CE4"/>
    <w:rsid w:val="00A014E1"/>
    <w:rsid w:val="00A02B9E"/>
    <w:rsid w:val="00A02D5B"/>
    <w:rsid w:val="00A06F5D"/>
    <w:rsid w:val="00A072BA"/>
    <w:rsid w:val="00A10AA2"/>
    <w:rsid w:val="00A122CA"/>
    <w:rsid w:val="00A133B7"/>
    <w:rsid w:val="00A14F22"/>
    <w:rsid w:val="00A150A2"/>
    <w:rsid w:val="00A24D33"/>
    <w:rsid w:val="00A25EFF"/>
    <w:rsid w:val="00A25F26"/>
    <w:rsid w:val="00A274DF"/>
    <w:rsid w:val="00A303AF"/>
    <w:rsid w:val="00A315C8"/>
    <w:rsid w:val="00A318B5"/>
    <w:rsid w:val="00A37206"/>
    <w:rsid w:val="00A40030"/>
    <w:rsid w:val="00A403D9"/>
    <w:rsid w:val="00A511EA"/>
    <w:rsid w:val="00A524E0"/>
    <w:rsid w:val="00A52A45"/>
    <w:rsid w:val="00A534B8"/>
    <w:rsid w:val="00A53953"/>
    <w:rsid w:val="00A56DC1"/>
    <w:rsid w:val="00A637AD"/>
    <w:rsid w:val="00A651C5"/>
    <w:rsid w:val="00A70DDC"/>
    <w:rsid w:val="00A71140"/>
    <w:rsid w:val="00A742EC"/>
    <w:rsid w:val="00A77B23"/>
    <w:rsid w:val="00A80E32"/>
    <w:rsid w:val="00A8320C"/>
    <w:rsid w:val="00A832B5"/>
    <w:rsid w:val="00A84B60"/>
    <w:rsid w:val="00A92273"/>
    <w:rsid w:val="00A95013"/>
    <w:rsid w:val="00A96922"/>
    <w:rsid w:val="00A97B1C"/>
    <w:rsid w:val="00AA2FDC"/>
    <w:rsid w:val="00AA4838"/>
    <w:rsid w:val="00AA5CC4"/>
    <w:rsid w:val="00AB133F"/>
    <w:rsid w:val="00AB50BD"/>
    <w:rsid w:val="00AC25FA"/>
    <w:rsid w:val="00AC27D9"/>
    <w:rsid w:val="00AC43A6"/>
    <w:rsid w:val="00AD0516"/>
    <w:rsid w:val="00AD297F"/>
    <w:rsid w:val="00AD2ACD"/>
    <w:rsid w:val="00AD55AF"/>
    <w:rsid w:val="00AD59A3"/>
    <w:rsid w:val="00AD5FF3"/>
    <w:rsid w:val="00AD740C"/>
    <w:rsid w:val="00AE097C"/>
    <w:rsid w:val="00AE18CF"/>
    <w:rsid w:val="00AE2665"/>
    <w:rsid w:val="00AE4BDE"/>
    <w:rsid w:val="00AE4DC1"/>
    <w:rsid w:val="00AE78FB"/>
    <w:rsid w:val="00AF2A8B"/>
    <w:rsid w:val="00AF537E"/>
    <w:rsid w:val="00B01EF5"/>
    <w:rsid w:val="00B0350D"/>
    <w:rsid w:val="00B057BD"/>
    <w:rsid w:val="00B12B3E"/>
    <w:rsid w:val="00B1484B"/>
    <w:rsid w:val="00B14D4D"/>
    <w:rsid w:val="00B15CC8"/>
    <w:rsid w:val="00B2005B"/>
    <w:rsid w:val="00B2080D"/>
    <w:rsid w:val="00B2207F"/>
    <w:rsid w:val="00B23727"/>
    <w:rsid w:val="00B2607A"/>
    <w:rsid w:val="00B30FDF"/>
    <w:rsid w:val="00B3497B"/>
    <w:rsid w:val="00B3635A"/>
    <w:rsid w:val="00B376D4"/>
    <w:rsid w:val="00B40EAF"/>
    <w:rsid w:val="00B416DE"/>
    <w:rsid w:val="00B42436"/>
    <w:rsid w:val="00B44B63"/>
    <w:rsid w:val="00B44C36"/>
    <w:rsid w:val="00B46333"/>
    <w:rsid w:val="00B47BC7"/>
    <w:rsid w:val="00B501C4"/>
    <w:rsid w:val="00B51419"/>
    <w:rsid w:val="00B52080"/>
    <w:rsid w:val="00B529B8"/>
    <w:rsid w:val="00B53566"/>
    <w:rsid w:val="00B54F4B"/>
    <w:rsid w:val="00B6166A"/>
    <w:rsid w:val="00B6741F"/>
    <w:rsid w:val="00B67976"/>
    <w:rsid w:val="00B7021D"/>
    <w:rsid w:val="00B71DA4"/>
    <w:rsid w:val="00B748E9"/>
    <w:rsid w:val="00B75929"/>
    <w:rsid w:val="00B76837"/>
    <w:rsid w:val="00B77B1B"/>
    <w:rsid w:val="00B82370"/>
    <w:rsid w:val="00B82C56"/>
    <w:rsid w:val="00B84A11"/>
    <w:rsid w:val="00B86A9C"/>
    <w:rsid w:val="00B925D6"/>
    <w:rsid w:val="00B9548E"/>
    <w:rsid w:val="00BA0D1E"/>
    <w:rsid w:val="00BA1D10"/>
    <w:rsid w:val="00BB0340"/>
    <w:rsid w:val="00BB0FC9"/>
    <w:rsid w:val="00BB2BED"/>
    <w:rsid w:val="00BB35E6"/>
    <w:rsid w:val="00BB3EA1"/>
    <w:rsid w:val="00BB3F87"/>
    <w:rsid w:val="00BB49AE"/>
    <w:rsid w:val="00BB7BB8"/>
    <w:rsid w:val="00BC0BCE"/>
    <w:rsid w:val="00BC0CB5"/>
    <w:rsid w:val="00BC13E5"/>
    <w:rsid w:val="00BC2DD7"/>
    <w:rsid w:val="00BC38F5"/>
    <w:rsid w:val="00BC6D0C"/>
    <w:rsid w:val="00BD04EB"/>
    <w:rsid w:val="00BD071A"/>
    <w:rsid w:val="00BD1ACB"/>
    <w:rsid w:val="00BD2B64"/>
    <w:rsid w:val="00BD31E8"/>
    <w:rsid w:val="00BD5AA6"/>
    <w:rsid w:val="00BD672C"/>
    <w:rsid w:val="00BE0160"/>
    <w:rsid w:val="00BE07C9"/>
    <w:rsid w:val="00BE0F7B"/>
    <w:rsid w:val="00BE2705"/>
    <w:rsid w:val="00BE4F0F"/>
    <w:rsid w:val="00BF3478"/>
    <w:rsid w:val="00BF41A0"/>
    <w:rsid w:val="00BF452C"/>
    <w:rsid w:val="00C03941"/>
    <w:rsid w:val="00C0529C"/>
    <w:rsid w:val="00C06D7E"/>
    <w:rsid w:val="00C06DC8"/>
    <w:rsid w:val="00C07329"/>
    <w:rsid w:val="00C10988"/>
    <w:rsid w:val="00C12257"/>
    <w:rsid w:val="00C12EDA"/>
    <w:rsid w:val="00C15A4E"/>
    <w:rsid w:val="00C15FA2"/>
    <w:rsid w:val="00C2078C"/>
    <w:rsid w:val="00C22356"/>
    <w:rsid w:val="00C23A3F"/>
    <w:rsid w:val="00C26235"/>
    <w:rsid w:val="00C336AD"/>
    <w:rsid w:val="00C345D4"/>
    <w:rsid w:val="00C36548"/>
    <w:rsid w:val="00C36B67"/>
    <w:rsid w:val="00C40C8E"/>
    <w:rsid w:val="00C43696"/>
    <w:rsid w:val="00C5023B"/>
    <w:rsid w:val="00C50E21"/>
    <w:rsid w:val="00C5185C"/>
    <w:rsid w:val="00C5197A"/>
    <w:rsid w:val="00C52083"/>
    <w:rsid w:val="00C55622"/>
    <w:rsid w:val="00C57187"/>
    <w:rsid w:val="00C60316"/>
    <w:rsid w:val="00C6366B"/>
    <w:rsid w:val="00C665A5"/>
    <w:rsid w:val="00C67497"/>
    <w:rsid w:val="00C71C8D"/>
    <w:rsid w:val="00C71ED7"/>
    <w:rsid w:val="00C74D15"/>
    <w:rsid w:val="00C76707"/>
    <w:rsid w:val="00C80816"/>
    <w:rsid w:val="00C818E1"/>
    <w:rsid w:val="00C82A0A"/>
    <w:rsid w:val="00C8325E"/>
    <w:rsid w:val="00C8372B"/>
    <w:rsid w:val="00C843CA"/>
    <w:rsid w:val="00C86FCD"/>
    <w:rsid w:val="00C91571"/>
    <w:rsid w:val="00C91B81"/>
    <w:rsid w:val="00C91FE1"/>
    <w:rsid w:val="00CA1624"/>
    <w:rsid w:val="00CA20C5"/>
    <w:rsid w:val="00CA2FEE"/>
    <w:rsid w:val="00CA3DD4"/>
    <w:rsid w:val="00CB3B37"/>
    <w:rsid w:val="00CB5C32"/>
    <w:rsid w:val="00CB5F12"/>
    <w:rsid w:val="00CC1474"/>
    <w:rsid w:val="00CC44D5"/>
    <w:rsid w:val="00CC6FBC"/>
    <w:rsid w:val="00CD1581"/>
    <w:rsid w:val="00CD5241"/>
    <w:rsid w:val="00CD603E"/>
    <w:rsid w:val="00CE0A9A"/>
    <w:rsid w:val="00CE0BB1"/>
    <w:rsid w:val="00CF27C1"/>
    <w:rsid w:val="00CF29A3"/>
    <w:rsid w:val="00CF2EA9"/>
    <w:rsid w:val="00D04555"/>
    <w:rsid w:val="00D1140B"/>
    <w:rsid w:val="00D116EF"/>
    <w:rsid w:val="00D15877"/>
    <w:rsid w:val="00D21C72"/>
    <w:rsid w:val="00D236EF"/>
    <w:rsid w:val="00D249DB"/>
    <w:rsid w:val="00D270ED"/>
    <w:rsid w:val="00D27444"/>
    <w:rsid w:val="00D355C9"/>
    <w:rsid w:val="00D40FC2"/>
    <w:rsid w:val="00D45963"/>
    <w:rsid w:val="00D502FB"/>
    <w:rsid w:val="00D50A52"/>
    <w:rsid w:val="00D52874"/>
    <w:rsid w:val="00D6056F"/>
    <w:rsid w:val="00D63B44"/>
    <w:rsid w:val="00D67831"/>
    <w:rsid w:val="00D734F1"/>
    <w:rsid w:val="00D75A49"/>
    <w:rsid w:val="00D77CC1"/>
    <w:rsid w:val="00D81320"/>
    <w:rsid w:val="00D82D16"/>
    <w:rsid w:val="00D90BA4"/>
    <w:rsid w:val="00D90D05"/>
    <w:rsid w:val="00D9140E"/>
    <w:rsid w:val="00D93D38"/>
    <w:rsid w:val="00D97A4F"/>
    <w:rsid w:val="00DA0202"/>
    <w:rsid w:val="00DA1E87"/>
    <w:rsid w:val="00DA607F"/>
    <w:rsid w:val="00DA7E7B"/>
    <w:rsid w:val="00DB20A9"/>
    <w:rsid w:val="00DB34A5"/>
    <w:rsid w:val="00DB57D0"/>
    <w:rsid w:val="00DD442C"/>
    <w:rsid w:val="00DE18C8"/>
    <w:rsid w:val="00DE4435"/>
    <w:rsid w:val="00DE4EB3"/>
    <w:rsid w:val="00DE4EFF"/>
    <w:rsid w:val="00DE5CE8"/>
    <w:rsid w:val="00DE7CF2"/>
    <w:rsid w:val="00DF04C8"/>
    <w:rsid w:val="00DF6969"/>
    <w:rsid w:val="00E00EFE"/>
    <w:rsid w:val="00E044C5"/>
    <w:rsid w:val="00E06F8B"/>
    <w:rsid w:val="00E11CC7"/>
    <w:rsid w:val="00E1224B"/>
    <w:rsid w:val="00E13FE7"/>
    <w:rsid w:val="00E15128"/>
    <w:rsid w:val="00E17CD1"/>
    <w:rsid w:val="00E225F0"/>
    <w:rsid w:val="00E31B89"/>
    <w:rsid w:val="00E32A7E"/>
    <w:rsid w:val="00E40371"/>
    <w:rsid w:val="00E443EC"/>
    <w:rsid w:val="00E4714F"/>
    <w:rsid w:val="00E62BC0"/>
    <w:rsid w:val="00E6337F"/>
    <w:rsid w:val="00E6449D"/>
    <w:rsid w:val="00E7163F"/>
    <w:rsid w:val="00E73BE7"/>
    <w:rsid w:val="00E73C8A"/>
    <w:rsid w:val="00E76D81"/>
    <w:rsid w:val="00E77151"/>
    <w:rsid w:val="00E772BA"/>
    <w:rsid w:val="00E80C11"/>
    <w:rsid w:val="00E81199"/>
    <w:rsid w:val="00E84501"/>
    <w:rsid w:val="00E8478E"/>
    <w:rsid w:val="00E86E0E"/>
    <w:rsid w:val="00E95587"/>
    <w:rsid w:val="00EA0F07"/>
    <w:rsid w:val="00EA21E5"/>
    <w:rsid w:val="00EA2B0C"/>
    <w:rsid w:val="00EA3872"/>
    <w:rsid w:val="00EA3EE3"/>
    <w:rsid w:val="00EA6035"/>
    <w:rsid w:val="00EA648A"/>
    <w:rsid w:val="00EA73EF"/>
    <w:rsid w:val="00EB018B"/>
    <w:rsid w:val="00EB2BC2"/>
    <w:rsid w:val="00EB4789"/>
    <w:rsid w:val="00EB4CF7"/>
    <w:rsid w:val="00EB4F18"/>
    <w:rsid w:val="00EC1403"/>
    <w:rsid w:val="00EC4F6F"/>
    <w:rsid w:val="00EC5D02"/>
    <w:rsid w:val="00ED282D"/>
    <w:rsid w:val="00ED2A9A"/>
    <w:rsid w:val="00ED4456"/>
    <w:rsid w:val="00ED6C6C"/>
    <w:rsid w:val="00ED7A27"/>
    <w:rsid w:val="00EF0C90"/>
    <w:rsid w:val="00EF249C"/>
    <w:rsid w:val="00EF4A64"/>
    <w:rsid w:val="00EF4CB1"/>
    <w:rsid w:val="00EF6750"/>
    <w:rsid w:val="00F07B26"/>
    <w:rsid w:val="00F13CB1"/>
    <w:rsid w:val="00F13CB8"/>
    <w:rsid w:val="00F16119"/>
    <w:rsid w:val="00F16BA8"/>
    <w:rsid w:val="00F17C9C"/>
    <w:rsid w:val="00F246BD"/>
    <w:rsid w:val="00F24914"/>
    <w:rsid w:val="00F26173"/>
    <w:rsid w:val="00F26562"/>
    <w:rsid w:val="00F315BC"/>
    <w:rsid w:val="00F37358"/>
    <w:rsid w:val="00F40ABF"/>
    <w:rsid w:val="00F40E6F"/>
    <w:rsid w:val="00F50595"/>
    <w:rsid w:val="00F5198D"/>
    <w:rsid w:val="00F52620"/>
    <w:rsid w:val="00F56F54"/>
    <w:rsid w:val="00F57539"/>
    <w:rsid w:val="00F57B79"/>
    <w:rsid w:val="00F641C6"/>
    <w:rsid w:val="00F64898"/>
    <w:rsid w:val="00F64D67"/>
    <w:rsid w:val="00F654FB"/>
    <w:rsid w:val="00F674FF"/>
    <w:rsid w:val="00F714F9"/>
    <w:rsid w:val="00F721A3"/>
    <w:rsid w:val="00F73F43"/>
    <w:rsid w:val="00F740EB"/>
    <w:rsid w:val="00F74A55"/>
    <w:rsid w:val="00F753A1"/>
    <w:rsid w:val="00F77416"/>
    <w:rsid w:val="00F77864"/>
    <w:rsid w:val="00F810B1"/>
    <w:rsid w:val="00F828E7"/>
    <w:rsid w:val="00F8543B"/>
    <w:rsid w:val="00F85D3A"/>
    <w:rsid w:val="00F87702"/>
    <w:rsid w:val="00F90281"/>
    <w:rsid w:val="00F96D49"/>
    <w:rsid w:val="00F975C8"/>
    <w:rsid w:val="00FA084F"/>
    <w:rsid w:val="00FA087F"/>
    <w:rsid w:val="00FA13BC"/>
    <w:rsid w:val="00FB095B"/>
    <w:rsid w:val="00FB1FEF"/>
    <w:rsid w:val="00FB34CF"/>
    <w:rsid w:val="00FB4609"/>
    <w:rsid w:val="00FB4A2E"/>
    <w:rsid w:val="00FB5D56"/>
    <w:rsid w:val="00FB5E23"/>
    <w:rsid w:val="00FC030B"/>
    <w:rsid w:val="00FC30A8"/>
    <w:rsid w:val="00FC58E3"/>
    <w:rsid w:val="00FC748D"/>
    <w:rsid w:val="00FD28A6"/>
    <w:rsid w:val="00FD4A9E"/>
    <w:rsid w:val="00FD506A"/>
    <w:rsid w:val="00FD5AEA"/>
    <w:rsid w:val="00FD5FF4"/>
    <w:rsid w:val="00FD66FB"/>
    <w:rsid w:val="00FD78E0"/>
    <w:rsid w:val="00FE0F1C"/>
    <w:rsid w:val="00FE1C38"/>
    <w:rsid w:val="00FE300C"/>
    <w:rsid w:val="00FE6480"/>
    <w:rsid w:val="00FF3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6001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 w:type="paragraph" w:styleId="NoSpacing">
    <w:name w:val="No Spacing"/>
    <w:uiPriority w:val="1"/>
    <w:qFormat/>
    <w:rsid w:val="00290C31"/>
    <w:pPr>
      <w:spacing w:after="0" w:line="240" w:lineRule="auto"/>
    </w:pPr>
    <w:rPr>
      <w:lang w:val="lv-LV"/>
    </w:rPr>
  </w:style>
  <w:style w:type="character" w:customStyle="1" w:styleId="Heading2Char">
    <w:name w:val="Heading 2 Char"/>
    <w:basedOn w:val="DefaultParagraphFont"/>
    <w:link w:val="Heading2"/>
    <w:uiPriority w:val="9"/>
    <w:semiHidden/>
    <w:rsid w:val="006001CD"/>
    <w:rPr>
      <w:rFonts w:asciiTheme="majorHAnsi" w:eastAsiaTheme="majorEastAsia" w:hAnsiTheme="majorHAnsi" w:cstheme="majorBidi"/>
      <w:color w:val="2E74B5" w:themeColor="accent1" w:themeShade="BF"/>
      <w:sz w:val="26"/>
      <w:szCs w:val="26"/>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825">
      <w:bodyDiv w:val="1"/>
      <w:marLeft w:val="0"/>
      <w:marRight w:val="0"/>
      <w:marTop w:val="0"/>
      <w:marBottom w:val="0"/>
      <w:divBdr>
        <w:top w:val="none" w:sz="0" w:space="0" w:color="auto"/>
        <w:left w:val="none" w:sz="0" w:space="0" w:color="auto"/>
        <w:bottom w:val="none" w:sz="0" w:space="0" w:color="auto"/>
        <w:right w:val="none" w:sz="0" w:space="0" w:color="auto"/>
      </w:divBdr>
    </w:div>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 w:id="12522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670c32f-ca4b-48cd-9d2e-accbb7d7c6f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gov.lv/lv/tiesu-prakse/tiesnesu-kopsapulcu-lemumi/kriminallietu-departaments" TargetMode="External"/><Relationship Id="rId5" Type="http://schemas.openxmlformats.org/officeDocument/2006/relationships/webSettings" Target="webSettings.xml"/><Relationship Id="rId10" Type="http://schemas.openxmlformats.org/officeDocument/2006/relationships/hyperlink" Target="https://www.at.gov.lv/downloadlawfile/5593" TargetMode="External"/><Relationship Id="rId4" Type="http://schemas.openxmlformats.org/officeDocument/2006/relationships/settings" Target="settings.xml"/><Relationship Id="rId9" Type="http://schemas.openxmlformats.org/officeDocument/2006/relationships/hyperlink" Target="https://gateway.elieta.lv/api/v1/PublicMaterialDownload/ef77fde4-8a38-4631-9fee-0e63f7b45cc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2026-07-03T11:06:00Z</dcterms:created>
  <dcterms:modified xsi:type="dcterms:W3CDTF">2026-07-09T08:10:00Z</dcterms:modified>
</cp:coreProperties>
</file>