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908C6" w14:textId="77777777" w:rsidR="002E53C2" w:rsidRDefault="002E53C2" w:rsidP="002E53C2">
      <w:pPr>
        <w:spacing w:line="276" w:lineRule="auto"/>
        <w:jc w:val="both"/>
        <w:rPr>
          <w:b/>
          <w:bCs/>
          <w:lang w:eastAsia="lv-LV"/>
        </w:rPr>
      </w:pPr>
      <w:r>
        <w:rPr>
          <w:b/>
          <w:bCs/>
        </w:rPr>
        <w:t>„Bērnu un jauniešu tiesību aizsardzības mērķa” jēdziens atbrīvojumam no pievienotās vērtības nodokļa maksāšanas pienākuma</w:t>
      </w:r>
    </w:p>
    <w:p w14:paraId="4402715E" w14:textId="77777777" w:rsidR="002E53C2" w:rsidRDefault="002E53C2" w:rsidP="002E53C2">
      <w:pPr>
        <w:spacing w:line="276" w:lineRule="auto"/>
        <w:jc w:val="both"/>
      </w:pPr>
      <w:r>
        <w:t>Ar pievienotās vērtības nodokli neapliek preču piegādes un pakalpojumus ar sociālās labklājības mērķi – bērnu un jauniešu tiesību aizsardzība, proti, tie ir atbrīvojumi sabiedrības interesēs, lai veicinātu sabiedrības labklājībai svarīgu pakalpojumu un preču pieejamību.</w:t>
      </w:r>
    </w:p>
    <w:p w14:paraId="0DDCA283" w14:textId="59B98EF4" w:rsidR="00447EE6" w:rsidRDefault="002E53C2" w:rsidP="002E53C2">
      <w:pPr>
        <w:spacing w:line="276" w:lineRule="auto"/>
        <w:jc w:val="both"/>
      </w:pPr>
      <w:r>
        <w:t>Ja sabiedriskā labuma organizācija par maksu organizē sporta (tenisa) nodarbības bērniem, nav saskatāms īpašais bērnu un jauniešu aizsardzības elements, kas to nošķirtu no parastas pakalpojumu sniegšanas.</w:t>
      </w:r>
    </w:p>
    <w:p w14:paraId="36382AA1" w14:textId="77777777" w:rsidR="002E53C2" w:rsidRPr="00011547" w:rsidRDefault="002E53C2" w:rsidP="002E53C2">
      <w:pPr>
        <w:spacing w:line="276" w:lineRule="auto"/>
        <w:jc w:val="both"/>
      </w:pPr>
    </w:p>
    <w:p w14:paraId="645338F4" w14:textId="4C04CCB6" w:rsidR="00447EE6" w:rsidRPr="00011547" w:rsidRDefault="00447EE6" w:rsidP="002E53C2">
      <w:pPr>
        <w:spacing w:line="276" w:lineRule="auto"/>
        <w:jc w:val="center"/>
        <w:rPr>
          <w:b/>
        </w:rPr>
      </w:pPr>
      <w:r w:rsidRPr="00011547">
        <w:rPr>
          <w:b/>
        </w:rPr>
        <w:t>Latvijas Republikas Senāt</w:t>
      </w:r>
      <w:r w:rsidR="002E53C2">
        <w:rPr>
          <w:b/>
        </w:rPr>
        <w:t>a</w:t>
      </w:r>
      <w:r w:rsidR="002E53C2">
        <w:rPr>
          <w:b/>
        </w:rPr>
        <w:br/>
        <w:t>Administratīvo lietu departamenta</w:t>
      </w:r>
      <w:r w:rsidR="002E53C2">
        <w:rPr>
          <w:b/>
        </w:rPr>
        <w:br/>
        <w:t xml:space="preserve">2026.gada 7.jūlija </w:t>
      </w:r>
    </w:p>
    <w:p w14:paraId="67BCDFC6" w14:textId="05CD971A" w:rsidR="00447EE6" w:rsidRDefault="00793346" w:rsidP="002E53C2">
      <w:pPr>
        <w:spacing w:line="276" w:lineRule="auto"/>
        <w:jc w:val="center"/>
        <w:rPr>
          <w:b/>
        </w:rPr>
      </w:pPr>
      <w:r>
        <w:rPr>
          <w:b/>
        </w:rPr>
        <w:t>SPRIEDUMS</w:t>
      </w:r>
    </w:p>
    <w:p w14:paraId="570FB749" w14:textId="1D399A93" w:rsidR="002E53C2" w:rsidRPr="002E53C2" w:rsidRDefault="002E53C2" w:rsidP="002E53C2">
      <w:pPr>
        <w:spacing w:line="276" w:lineRule="auto"/>
        <w:contextualSpacing/>
        <w:jc w:val="center"/>
        <w:rPr>
          <w:b/>
          <w:bCs/>
        </w:rPr>
      </w:pPr>
      <w:r w:rsidRPr="002E53C2">
        <w:rPr>
          <w:b/>
          <w:bCs/>
        </w:rPr>
        <w:t>Lieta Nr. A420186622, SKA-103/2026</w:t>
      </w:r>
    </w:p>
    <w:p w14:paraId="5368F811" w14:textId="16D3555A" w:rsidR="002E53C2" w:rsidRPr="002E53C2" w:rsidRDefault="002E53C2" w:rsidP="002E53C2">
      <w:pPr>
        <w:spacing w:line="276" w:lineRule="auto"/>
        <w:jc w:val="center"/>
      </w:pPr>
      <w:hyperlink r:id="rId8" w:history="1">
        <w:r w:rsidRPr="002E53C2">
          <w:rPr>
            <w:rStyle w:val="Hyperlink"/>
          </w:rPr>
          <w:t xml:space="preserve"> ECLI:LV:AT:2026:0707.A420186622.9.S</w:t>
        </w:r>
      </w:hyperlink>
    </w:p>
    <w:p w14:paraId="4AF555FC" w14:textId="77777777" w:rsidR="00793346" w:rsidRDefault="00793346" w:rsidP="002E53C2">
      <w:pPr>
        <w:spacing w:line="276" w:lineRule="auto"/>
        <w:ind w:firstLine="720"/>
        <w:jc w:val="both"/>
      </w:pPr>
    </w:p>
    <w:p w14:paraId="0F2A7EBF" w14:textId="79642064" w:rsidR="00F7588C" w:rsidRDefault="00447EE6" w:rsidP="002E53C2">
      <w:pPr>
        <w:spacing w:line="276" w:lineRule="auto"/>
        <w:ind w:firstLine="720"/>
        <w:jc w:val="both"/>
      </w:pPr>
      <w:r w:rsidRPr="000D1225">
        <w:t>Senāts šādā sastāvā:</w:t>
      </w:r>
      <w:r w:rsidR="00793346" w:rsidRPr="000D1225">
        <w:t xml:space="preserve"> senatore referente </w:t>
      </w:r>
      <w:r w:rsidR="007B38CB">
        <w:t>Rudīte Vīduša</w:t>
      </w:r>
      <w:r w:rsidR="00793346" w:rsidRPr="000D1225">
        <w:t>, senator</w:t>
      </w:r>
      <w:r w:rsidR="007B38CB">
        <w:t xml:space="preserve">i </w:t>
      </w:r>
      <w:r w:rsidR="00BD0F78">
        <w:t>Laura Konošonoka</w:t>
      </w:r>
      <w:r w:rsidR="00C218E0" w:rsidRPr="000D1225">
        <w:t xml:space="preserve"> un </w:t>
      </w:r>
      <w:r w:rsidR="007B38CB">
        <w:t>Jānis Pleps</w:t>
      </w:r>
    </w:p>
    <w:p w14:paraId="12EEC9B3" w14:textId="66ABBC6F" w:rsidR="00447EE6" w:rsidRDefault="00447EE6" w:rsidP="002E53C2">
      <w:pPr>
        <w:spacing w:line="276" w:lineRule="auto"/>
        <w:ind w:firstLine="720"/>
        <w:jc w:val="both"/>
        <w:rPr>
          <w:lang w:eastAsia="lv-LV"/>
        </w:rPr>
      </w:pPr>
    </w:p>
    <w:p w14:paraId="224AF355" w14:textId="500C7081" w:rsidR="000B3B71" w:rsidRDefault="006C785B" w:rsidP="002E53C2">
      <w:pPr>
        <w:spacing w:line="276" w:lineRule="auto"/>
        <w:ind w:firstLine="720"/>
        <w:jc w:val="both"/>
      </w:pPr>
      <w:r w:rsidRPr="006C785B">
        <w:t xml:space="preserve">rakstveida procesā izskatīja administratīvo lietu, kas ierosināta, </w:t>
      </w:r>
      <w:r w:rsidR="00BD0F78">
        <w:t>pamatojoties uz biedrības „VL tenisa skola” pieteikumu par Valsts ieņēmumu dienesta 2022.gada 8.marta lēmuma Nr. 30.1-22.13/22.13/1479 atcelšanu</w:t>
      </w:r>
      <w:r w:rsidR="002C1604">
        <w:t xml:space="preserve">, sakarā ar </w:t>
      </w:r>
      <w:r w:rsidR="00BD0F78">
        <w:t>Valsts ieņēmumu dienesta</w:t>
      </w:r>
      <w:r w:rsidR="00846BF0" w:rsidRPr="006A7F13">
        <w:t xml:space="preserve"> </w:t>
      </w:r>
      <w:r w:rsidRPr="006C785B">
        <w:t>kasācijas sūdzīb</w:t>
      </w:r>
      <w:r w:rsidR="007E2536">
        <w:t>u</w:t>
      </w:r>
      <w:r w:rsidRPr="006C785B">
        <w:t xml:space="preserve"> par Administratīvās apgabaltiesas </w:t>
      </w:r>
      <w:r w:rsidR="000F5382" w:rsidRPr="000F5382">
        <w:t>202</w:t>
      </w:r>
      <w:r w:rsidR="002C1604">
        <w:t>4</w:t>
      </w:r>
      <w:r w:rsidR="000F5382" w:rsidRPr="000F5382">
        <w:t xml:space="preserve">.gada </w:t>
      </w:r>
      <w:r w:rsidR="002C1604">
        <w:t>1</w:t>
      </w:r>
      <w:r w:rsidR="00BD0F78">
        <w:t>5</w:t>
      </w:r>
      <w:r w:rsidR="002C1604">
        <w:t xml:space="preserve">.jūlija </w:t>
      </w:r>
      <w:r w:rsidRPr="006C785B">
        <w:t>spriedumu.</w:t>
      </w:r>
    </w:p>
    <w:p w14:paraId="79B5D1B4" w14:textId="77777777" w:rsidR="00846BF0" w:rsidRDefault="00846BF0" w:rsidP="002E53C2">
      <w:pPr>
        <w:spacing w:line="276" w:lineRule="auto"/>
        <w:ind w:firstLine="720"/>
        <w:jc w:val="both"/>
      </w:pPr>
    </w:p>
    <w:p w14:paraId="0AD60069" w14:textId="77777777" w:rsidR="008F79A9" w:rsidRDefault="008F79A9" w:rsidP="002E53C2">
      <w:pPr>
        <w:spacing w:line="276" w:lineRule="auto"/>
        <w:jc w:val="center"/>
        <w:rPr>
          <w:b/>
          <w:shd w:val="clear" w:color="auto" w:fill="FFFFFF"/>
        </w:rPr>
      </w:pPr>
      <w:r w:rsidRPr="008F79A9">
        <w:rPr>
          <w:b/>
          <w:shd w:val="clear" w:color="auto" w:fill="FFFFFF"/>
        </w:rPr>
        <w:t>Aprakstošā</w:t>
      </w:r>
      <w:r w:rsidRPr="008F79A9">
        <w:rPr>
          <w:noProof/>
        </w:rPr>
        <w:t xml:space="preserve"> </w:t>
      </w:r>
      <w:r w:rsidRPr="008F79A9">
        <w:rPr>
          <w:b/>
          <w:shd w:val="clear" w:color="auto" w:fill="FFFFFF"/>
        </w:rPr>
        <w:t>daļa</w:t>
      </w:r>
    </w:p>
    <w:p w14:paraId="047E744E" w14:textId="77777777" w:rsidR="00AB3427" w:rsidRDefault="00AB3427" w:rsidP="002E53C2">
      <w:pPr>
        <w:spacing w:line="276" w:lineRule="auto"/>
        <w:ind w:firstLine="720"/>
        <w:jc w:val="center"/>
        <w:rPr>
          <w:b/>
          <w:shd w:val="clear" w:color="auto" w:fill="FFFFFF"/>
        </w:rPr>
      </w:pPr>
    </w:p>
    <w:p w14:paraId="2CDB8132" w14:textId="5D3D8EA6" w:rsidR="000D323C" w:rsidRPr="000D323C" w:rsidRDefault="000D323C" w:rsidP="002E53C2">
      <w:pPr>
        <w:spacing w:line="276" w:lineRule="auto"/>
        <w:ind w:firstLine="720"/>
        <w:rPr>
          <w:bCs/>
          <w:i/>
          <w:iCs/>
          <w:shd w:val="clear" w:color="auto" w:fill="FFFFFF"/>
        </w:rPr>
      </w:pPr>
      <w:r w:rsidRPr="000D323C">
        <w:rPr>
          <w:bCs/>
          <w:i/>
          <w:iCs/>
          <w:shd w:val="clear" w:color="auto" w:fill="FFFFFF"/>
        </w:rPr>
        <w:t>Lietas apstākļi</w:t>
      </w:r>
    </w:p>
    <w:p w14:paraId="26734EEF" w14:textId="56250513" w:rsidR="002C1604" w:rsidRPr="002C1604" w:rsidRDefault="002C1604" w:rsidP="002E53C2">
      <w:pPr>
        <w:tabs>
          <w:tab w:val="left" w:pos="1276"/>
        </w:tabs>
        <w:spacing w:line="276" w:lineRule="auto"/>
        <w:ind w:firstLine="720"/>
        <w:jc w:val="both"/>
        <w:rPr>
          <w:rFonts w:eastAsia="Calibri"/>
          <w:lang w:eastAsia="en-US"/>
        </w:rPr>
      </w:pPr>
      <w:r w:rsidRPr="002C1604">
        <w:rPr>
          <w:rFonts w:eastAsia="Calibri"/>
          <w:lang w:eastAsia="en-US"/>
        </w:rPr>
        <w:t xml:space="preserve">[1] </w:t>
      </w:r>
      <w:r w:rsidR="00BD0F78" w:rsidRPr="00BD0F78">
        <w:rPr>
          <w:rFonts w:eastAsia="Calibri"/>
          <w:lang w:eastAsia="en-US"/>
        </w:rPr>
        <w:t xml:space="preserve">Valsts ieņēmumu dienests veica pieteicējas </w:t>
      </w:r>
      <w:r w:rsidR="00BD0F78">
        <w:rPr>
          <w:rFonts w:eastAsia="Calibri"/>
          <w:lang w:eastAsia="en-US"/>
        </w:rPr>
        <w:t xml:space="preserve">– </w:t>
      </w:r>
      <w:r w:rsidR="00BD0F78" w:rsidRPr="00BD0F78">
        <w:rPr>
          <w:rFonts w:eastAsia="Calibri"/>
          <w:lang w:eastAsia="en-US"/>
        </w:rPr>
        <w:t xml:space="preserve">biedrības </w:t>
      </w:r>
      <w:r w:rsidR="00BD0F78">
        <w:rPr>
          <w:rFonts w:eastAsia="Calibri"/>
          <w:lang w:eastAsia="en-US"/>
        </w:rPr>
        <w:t>„V</w:t>
      </w:r>
      <w:r w:rsidR="00BD0F78" w:rsidRPr="00BD0F78">
        <w:rPr>
          <w:rFonts w:eastAsia="Calibri"/>
          <w:lang w:eastAsia="en-US"/>
        </w:rPr>
        <w:t>L tenisa</w:t>
      </w:r>
      <w:r w:rsidR="00BD0F78">
        <w:rPr>
          <w:rFonts w:eastAsia="Calibri"/>
          <w:lang w:eastAsia="en-US"/>
        </w:rPr>
        <w:t xml:space="preserve"> </w:t>
      </w:r>
      <w:r w:rsidR="00BD0F78" w:rsidRPr="00BD0F78">
        <w:rPr>
          <w:rFonts w:eastAsia="Calibri"/>
          <w:lang w:eastAsia="en-US"/>
        </w:rPr>
        <w:t xml:space="preserve">skola” </w:t>
      </w:r>
      <w:r w:rsidR="00255694">
        <w:rPr>
          <w:rFonts w:eastAsia="Calibri"/>
          <w:lang w:eastAsia="en-US"/>
        </w:rPr>
        <w:t xml:space="preserve">– </w:t>
      </w:r>
      <w:r w:rsidR="00BD0F78" w:rsidRPr="00BD0F78">
        <w:rPr>
          <w:rFonts w:eastAsia="Calibri"/>
          <w:lang w:eastAsia="en-US"/>
        </w:rPr>
        <w:t xml:space="preserve">datu atbilstības pārbaudi par 2018., 2019. un 2020. gadu. </w:t>
      </w:r>
      <w:r w:rsidR="00BD0F78">
        <w:rPr>
          <w:rFonts w:eastAsia="Calibri"/>
          <w:lang w:eastAsia="en-US"/>
        </w:rPr>
        <w:t>A</w:t>
      </w:r>
      <w:r w:rsidR="00BD0F78" w:rsidRPr="00BD0F78">
        <w:rPr>
          <w:rFonts w:eastAsia="Calibri"/>
          <w:lang w:eastAsia="en-US"/>
        </w:rPr>
        <w:t xml:space="preserve">r </w:t>
      </w:r>
      <w:r w:rsidR="00BD0F78">
        <w:rPr>
          <w:rFonts w:eastAsia="Calibri"/>
          <w:lang w:eastAsia="en-US"/>
        </w:rPr>
        <w:t xml:space="preserve">Valsts ieņēmumu </w:t>
      </w:r>
      <w:r w:rsidR="00BD0F78" w:rsidRPr="00BD0F78">
        <w:rPr>
          <w:rFonts w:eastAsia="Calibri"/>
          <w:lang w:eastAsia="en-US"/>
        </w:rPr>
        <w:t>dienesta 2022.gada 8.marta lēmumu Nr.</w:t>
      </w:r>
      <w:r w:rsidR="00BD0F78">
        <w:rPr>
          <w:rFonts w:eastAsia="Calibri"/>
          <w:lang w:eastAsia="en-US"/>
        </w:rPr>
        <w:t> </w:t>
      </w:r>
      <w:r w:rsidR="00BD0F78" w:rsidRPr="00BD0F78">
        <w:rPr>
          <w:rFonts w:eastAsia="Calibri"/>
          <w:lang w:eastAsia="en-US"/>
        </w:rPr>
        <w:t>30.1-22.13/22.13/1479 pieteicējai noteikts pienākums samaksāt budžetā pievienotās</w:t>
      </w:r>
      <w:r w:rsidR="00BD0F78">
        <w:rPr>
          <w:rFonts w:eastAsia="Calibri"/>
          <w:lang w:eastAsia="en-US"/>
        </w:rPr>
        <w:t xml:space="preserve"> </w:t>
      </w:r>
      <w:r w:rsidR="00BD0F78" w:rsidRPr="00BD0F78">
        <w:rPr>
          <w:rFonts w:eastAsia="Calibri"/>
          <w:lang w:eastAsia="en-US"/>
        </w:rPr>
        <w:t>vērtības nodokli un nokavējuma naudu.</w:t>
      </w:r>
      <w:r w:rsidR="00BD0F78">
        <w:rPr>
          <w:rFonts w:eastAsia="Calibri"/>
          <w:lang w:eastAsia="en-US"/>
        </w:rPr>
        <w:t xml:space="preserve"> </w:t>
      </w:r>
      <w:r w:rsidR="00BD0F78" w:rsidRPr="00BD0F78">
        <w:rPr>
          <w:rFonts w:eastAsia="Calibri"/>
          <w:lang w:eastAsia="en-US"/>
        </w:rPr>
        <w:t>Lēmumā secināts, ka pieteicēja ir par maksu organizējusi tenisa nodarbības bērniem un</w:t>
      </w:r>
      <w:r w:rsidR="00BD0F78">
        <w:rPr>
          <w:rFonts w:eastAsia="Calibri"/>
          <w:lang w:eastAsia="en-US"/>
        </w:rPr>
        <w:t xml:space="preserve"> </w:t>
      </w:r>
      <w:r w:rsidR="00BD0F78" w:rsidRPr="00BD0F78">
        <w:rPr>
          <w:rFonts w:eastAsia="Calibri"/>
          <w:lang w:eastAsia="en-US"/>
        </w:rPr>
        <w:t xml:space="preserve">jauniešiem, </w:t>
      </w:r>
      <w:r w:rsidR="00567991">
        <w:rPr>
          <w:rFonts w:eastAsia="Calibri"/>
          <w:lang w:eastAsia="en-US"/>
        </w:rPr>
        <w:t xml:space="preserve">un </w:t>
      </w:r>
      <w:r w:rsidR="00BD0F78" w:rsidRPr="00BD0F78">
        <w:rPr>
          <w:rFonts w:eastAsia="Calibri"/>
          <w:lang w:eastAsia="en-US"/>
        </w:rPr>
        <w:t>pieteicējas gūtie ienākumi ir klasificējami kā ieņēmumi no saimnieciskās</w:t>
      </w:r>
      <w:r w:rsidR="00567991">
        <w:rPr>
          <w:rFonts w:eastAsia="Calibri"/>
          <w:lang w:eastAsia="en-US"/>
        </w:rPr>
        <w:t xml:space="preserve"> </w:t>
      </w:r>
      <w:r w:rsidR="00BD0F78" w:rsidRPr="00BD0F78">
        <w:rPr>
          <w:rFonts w:eastAsia="Calibri"/>
          <w:lang w:eastAsia="en-US"/>
        </w:rPr>
        <w:t xml:space="preserve">darbības, kas ir apliekami ar </w:t>
      </w:r>
      <w:r w:rsidR="00567991">
        <w:rPr>
          <w:rFonts w:eastAsia="Calibri"/>
          <w:lang w:eastAsia="en-US"/>
        </w:rPr>
        <w:t>pievienotās vērtības nodokli</w:t>
      </w:r>
      <w:r w:rsidR="00BD0F78" w:rsidRPr="00BD0F78">
        <w:rPr>
          <w:rFonts w:eastAsia="Calibri"/>
          <w:lang w:eastAsia="en-US"/>
        </w:rPr>
        <w:t xml:space="preserve">. Pieteicējai bija pienākums reģistrēties </w:t>
      </w:r>
      <w:r w:rsidR="00567991">
        <w:rPr>
          <w:rFonts w:eastAsia="Calibri"/>
          <w:lang w:eastAsia="en-US"/>
        </w:rPr>
        <w:t xml:space="preserve">pievienotās vērtības nodokļa </w:t>
      </w:r>
      <w:r w:rsidR="00BD0F78" w:rsidRPr="00BD0F78">
        <w:rPr>
          <w:rFonts w:eastAsia="Calibri"/>
          <w:lang w:eastAsia="en-US"/>
        </w:rPr>
        <w:t>maksātāju</w:t>
      </w:r>
      <w:r w:rsidR="00567991">
        <w:rPr>
          <w:rFonts w:eastAsia="Calibri"/>
          <w:lang w:eastAsia="en-US"/>
        </w:rPr>
        <w:t xml:space="preserve"> </w:t>
      </w:r>
      <w:r w:rsidR="00BD0F78" w:rsidRPr="00BD0F78">
        <w:rPr>
          <w:rFonts w:eastAsia="Calibri"/>
          <w:lang w:eastAsia="en-US"/>
        </w:rPr>
        <w:t>reģistrā, jo tās sniegto pakalpojumu kopējā vērtība bija pārsniegusi likumā noteikto slieksni, un</w:t>
      </w:r>
      <w:r w:rsidR="00567991">
        <w:rPr>
          <w:rFonts w:eastAsia="Calibri"/>
          <w:lang w:eastAsia="en-US"/>
        </w:rPr>
        <w:t xml:space="preserve"> </w:t>
      </w:r>
      <w:r w:rsidR="00BD0F78" w:rsidRPr="00BD0F78">
        <w:rPr>
          <w:rFonts w:eastAsia="Calibri"/>
          <w:lang w:eastAsia="en-US"/>
        </w:rPr>
        <w:t xml:space="preserve">no pārsniegtās summas aprēķināt un iemaksāt valsts budžetā </w:t>
      </w:r>
      <w:r w:rsidR="00567991">
        <w:rPr>
          <w:rFonts w:eastAsia="Calibri"/>
          <w:lang w:eastAsia="en-US"/>
        </w:rPr>
        <w:t>pievienotās vērtības nodokli</w:t>
      </w:r>
      <w:r w:rsidR="00BD0F78" w:rsidRPr="00BD0F78">
        <w:rPr>
          <w:rFonts w:eastAsia="Calibri"/>
          <w:lang w:eastAsia="en-US"/>
        </w:rPr>
        <w:t>, ko pieteicēja nebija izdarījusi.</w:t>
      </w:r>
      <w:r w:rsidRPr="002C1604">
        <w:rPr>
          <w:rFonts w:eastAsia="Calibri"/>
          <w:lang w:eastAsia="en-US"/>
        </w:rPr>
        <w:t xml:space="preserve"> </w:t>
      </w:r>
    </w:p>
    <w:p w14:paraId="30A7FD84" w14:textId="620A7D10" w:rsidR="002C1604" w:rsidRPr="002C1604" w:rsidRDefault="002C1604" w:rsidP="002E53C2">
      <w:pPr>
        <w:tabs>
          <w:tab w:val="left" w:pos="1276"/>
        </w:tabs>
        <w:spacing w:line="276" w:lineRule="auto"/>
        <w:ind w:firstLine="720"/>
        <w:jc w:val="both"/>
        <w:rPr>
          <w:rFonts w:eastAsia="Calibri"/>
          <w:lang w:eastAsia="en-US"/>
        </w:rPr>
      </w:pPr>
      <w:r w:rsidRPr="002C1604">
        <w:rPr>
          <w:rFonts w:eastAsia="Calibri"/>
          <w:lang w:eastAsia="en-US"/>
        </w:rPr>
        <w:t xml:space="preserve">Pieteicēja vērsās administratīvajā tiesā, lūdzot </w:t>
      </w:r>
      <w:r w:rsidR="00F91425">
        <w:rPr>
          <w:rFonts w:eastAsia="Calibri"/>
          <w:lang w:eastAsia="en-US"/>
        </w:rPr>
        <w:t>Valsts ieņēmumu dienesta lēmumu atcelt</w:t>
      </w:r>
      <w:r w:rsidRPr="002C1604">
        <w:rPr>
          <w:rFonts w:eastAsia="Calibri"/>
          <w:lang w:eastAsia="en-US"/>
        </w:rPr>
        <w:t>.</w:t>
      </w:r>
      <w:r w:rsidR="0044113C">
        <w:rPr>
          <w:rFonts w:eastAsia="Calibri"/>
          <w:lang w:eastAsia="en-US"/>
        </w:rPr>
        <w:t xml:space="preserve"> </w:t>
      </w:r>
      <w:r w:rsidR="0044113C" w:rsidRPr="0044113C">
        <w:rPr>
          <w:rFonts w:eastAsia="Calibri"/>
          <w:lang w:eastAsia="en-US"/>
        </w:rPr>
        <w:t>Pieteicēja</w:t>
      </w:r>
      <w:r w:rsidR="0044113C">
        <w:rPr>
          <w:rFonts w:eastAsia="Calibri"/>
          <w:lang w:eastAsia="en-US"/>
        </w:rPr>
        <w:t xml:space="preserve"> uzskatīja, ka </w:t>
      </w:r>
      <w:r w:rsidR="0044113C" w:rsidRPr="0044113C">
        <w:rPr>
          <w:rFonts w:eastAsia="Calibri"/>
          <w:lang w:eastAsia="en-US"/>
        </w:rPr>
        <w:t>tenisa nodarbīb</w:t>
      </w:r>
      <w:r w:rsidR="00255694">
        <w:rPr>
          <w:rFonts w:eastAsia="Calibri"/>
          <w:lang w:eastAsia="en-US"/>
        </w:rPr>
        <w:t>u organizēšana</w:t>
      </w:r>
      <w:r w:rsidR="0044113C" w:rsidRPr="0044113C">
        <w:rPr>
          <w:rFonts w:eastAsia="Calibri"/>
          <w:lang w:eastAsia="en-US"/>
        </w:rPr>
        <w:t xml:space="preserve"> bērniem nav apliekama ar </w:t>
      </w:r>
      <w:r w:rsidR="0044113C">
        <w:rPr>
          <w:rFonts w:eastAsia="Calibri"/>
          <w:lang w:eastAsia="en-US"/>
        </w:rPr>
        <w:t xml:space="preserve">pievienotās vērtības nodokli </w:t>
      </w:r>
      <w:r w:rsidR="0044113C" w:rsidRPr="0044113C">
        <w:rPr>
          <w:rFonts w:eastAsia="Calibri"/>
          <w:lang w:eastAsia="en-US"/>
        </w:rPr>
        <w:t>saskaņā ar Pievienotās vērtības</w:t>
      </w:r>
      <w:r w:rsidR="0044113C">
        <w:rPr>
          <w:rFonts w:eastAsia="Calibri"/>
          <w:lang w:eastAsia="en-US"/>
        </w:rPr>
        <w:t xml:space="preserve"> </w:t>
      </w:r>
      <w:r w:rsidR="0044113C" w:rsidRPr="0044113C">
        <w:rPr>
          <w:rFonts w:eastAsia="Calibri"/>
          <w:lang w:eastAsia="en-US"/>
        </w:rPr>
        <w:t>nodokļa likuma 52.panta pirmās daļas 10.punktu, jo pakalpojumi tiek</w:t>
      </w:r>
      <w:r w:rsidR="0044113C">
        <w:rPr>
          <w:rFonts w:eastAsia="Calibri"/>
          <w:lang w:eastAsia="en-US"/>
        </w:rPr>
        <w:t xml:space="preserve"> </w:t>
      </w:r>
      <w:r w:rsidR="0044113C" w:rsidRPr="0044113C">
        <w:rPr>
          <w:rFonts w:eastAsia="Calibri"/>
          <w:lang w:eastAsia="en-US"/>
        </w:rPr>
        <w:t xml:space="preserve">sniegti bērniem </w:t>
      </w:r>
      <w:r w:rsidR="00255694">
        <w:rPr>
          <w:rFonts w:eastAsia="Calibri"/>
          <w:lang w:eastAsia="en-US"/>
        </w:rPr>
        <w:t>un</w:t>
      </w:r>
      <w:r w:rsidR="0044113C" w:rsidRPr="0044113C">
        <w:rPr>
          <w:rFonts w:eastAsia="Calibri"/>
          <w:lang w:eastAsia="en-US"/>
        </w:rPr>
        <w:t xml:space="preserve"> atbilst bērnu un jauniešu tiesību aizsardzības mērķiem</w:t>
      </w:r>
      <w:r w:rsidR="0044113C">
        <w:rPr>
          <w:rFonts w:eastAsia="Calibri"/>
          <w:lang w:eastAsia="en-US"/>
        </w:rPr>
        <w:t>.</w:t>
      </w:r>
    </w:p>
    <w:p w14:paraId="2F66AD34" w14:textId="77777777" w:rsidR="005B03F6" w:rsidRDefault="005B03F6" w:rsidP="002E53C2">
      <w:pPr>
        <w:spacing w:line="276" w:lineRule="auto"/>
        <w:ind w:firstLine="720"/>
        <w:contextualSpacing/>
        <w:jc w:val="both"/>
        <w:rPr>
          <w:shd w:val="clear" w:color="auto" w:fill="FFFFFF"/>
        </w:rPr>
      </w:pPr>
    </w:p>
    <w:p w14:paraId="6D55F2D8" w14:textId="786B5B2D" w:rsidR="000D323C" w:rsidRPr="00A84EBB" w:rsidRDefault="000D323C" w:rsidP="002E53C2">
      <w:pPr>
        <w:spacing w:line="276" w:lineRule="auto"/>
        <w:ind w:firstLine="720"/>
        <w:contextualSpacing/>
        <w:jc w:val="both"/>
        <w:rPr>
          <w:i/>
          <w:iCs/>
          <w:shd w:val="clear" w:color="auto" w:fill="FFFFFF"/>
        </w:rPr>
      </w:pPr>
      <w:r w:rsidRPr="00A84EBB">
        <w:rPr>
          <w:i/>
          <w:iCs/>
          <w:shd w:val="clear" w:color="auto" w:fill="FFFFFF"/>
        </w:rPr>
        <w:t>Apelācijas instances tiesas spriedums</w:t>
      </w:r>
    </w:p>
    <w:p w14:paraId="586BA582" w14:textId="3993BA8A" w:rsidR="00D515CF" w:rsidRDefault="003C35E6" w:rsidP="002E53C2">
      <w:pPr>
        <w:spacing w:line="276" w:lineRule="auto"/>
        <w:ind w:firstLine="720"/>
        <w:jc w:val="both"/>
        <w:rPr>
          <w:lang w:eastAsia="lv-LV"/>
        </w:rPr>
      </w:pPr>
      <w:r>
        <w:rPr>
          <w:shd w:val="clear" w:color="auto" w:fill="FFFFFF"/>
        </w:rPr>
        <w:t>[</w:t>
      </w:r>
      <w:r w:rsidR="00D563C6">
        <w:rPr>
          <w:shd w:val="clear" w:color="auto" w:fill="FFFFFF"/>
        </w:rPr>
        <w:t>2</w:t>
      </w:r>
      <w:r>
        <w:rPr>
          <w:shd w:val="clear" w:color="auto" w:fill="FFFFFF"/>
        </w:rPr>
        <w:t>]</w:t>
      </w:r>
      <w:r w:rsidR="003036F1">
        <w:rPr>
          <w:shd w:val="clear" w:color="auto" w:fill="FFFFFF"/>
        </w:rPr>
        <w:t xml:space="preserve"> </w:t>
      </w:r>
      <w:r w:rsidR="00D515CF" w:rsidRPr="00402239">
        <w:rPr>
          <w:lang w:eastAsia="lv-LV"/>
        </w:rPr>
        <w:t xml:space="preserve">Administratīvā apgabaltiesa </w:t>
      </w:r>
      <w:r w:rsidR="002C1604">
        <w:rPr>
          <w:lang w:eastAsia="lv-LV"/>
        </w:rPr>
        <w:t>ar 2024.gada 1</w:t>
      </w:r>
      <w:r w:rsidR="00F91425">
        <w:rPr>
          <w:lang w:eastAsia="lv-LV"/>
        </w:rPr>
        <w:t>5</w:t>
      </w:r>
      <w:r w:rsidR="002C1604">
        <w:rPr>
          <w:lang w:eastAsia="lv-LV"/>
        </w:rPr>
        <w:t xml:space="preserve">.jūlija spriedumu </w:t>
      </w:r>
      <w:r w:rsidR="00D515CF" w:rsidRPr="00402239">
        <w:rPr>
          <w:lang w:eastAsia="lv-LV"/>
        </w:rPr>
        <w:t xml:space="preserve">pieteikumu </w:t>
      </w:r>
      <w:r w:rsidR="00F91425">
        <w:rPr>
          <w:lang w:eastAsia="lv-LV"/>
        </w:rPr>
        <w:t>apmierināja</w:t>
      </w:r>
      <w:r w:rsidR="002C1604">
        <w:rPr>
          <w:lang w:eastAsia="lv-LV"/>
        </w:rPr>
        <w:t>, pamatojoties uz turpmāk minētajiem apsvērumiem.</w:t>
      </w:r>
    </w:p>
    <w:p w14:paraId="1ABDEE30" w14:textId="01A251A5" w:rsidR="00F91425" w:rsidRDefault="00BB6702" w:rsidP="002E53C2">
      <w:pPr>
        <w:spacing w:line="276" w:lineRule="auto"/>
        <w:ind w:firstLine="720"/>
        <w:contextualSpacing/>
        <w:jc w:val="both"/>
      </w:pPr>
      <w:r>
        <w:t>[2.</w:t>
      </w:r>
      <w:r w:rsidR="00331FE1">
        <w:t>1</w:t>
      </w:r>
      <w:r>
        <w:t>]</w:t>
      </w:r>
      <w:r w:rsidR="003036F1">
        <w:t xml:space="preserve"> </w:t>
      </w:r>
      <w:r w:rsidR="0059078D">
        <w:t xml:space="preserve">Pieteicēja ir biedrība, kurai piešķirts arī sabiedriskā labuma organizācijas statuss. </w:t>
      </w:r>
      <w:r w:rsidR="00B143C7">
        <w:t>Tomēr, i</w:t>
      </w:r>
      <w:r w:rsidR="0059078D">
        <w:t xml:space="preserve">evērojot to, ka pieteicēja tenisa nodarbības ir organizējusi ilgstoši, sistemātiski un par atlīdzību, dienests ir pamatoti secinājis, ka pievienotās vērtības nodokļa izpratnē pieteicējas darbība, organizējot tenisa nodarbības, ir vērtējama kā saimnieciskā darbība. Tas tomēr neizslēdz, ka šāda saimnieciskā darbība varētu </w:t>
      </w:r>
      <w:r w:rsidR="0059078D" w:rsidRPr="0059078D">
        <w:t>būt vērsta uz sabiedriskā labuma mērķa sasniegšanu</w:t>
      </w:r>
      <w:r w:rsidR="0059078D">
        <w:t>. Pieteicējas darbība, kas vērsta uz bērnu un jauniešu sporta atbalstīšanu, atbilst likumā noteiktajam sabiedriskā labuma organizācijas darbības mērķiem</w:t>
      </w:r>
      <w:r w:rsidR="000A1C99">
        <w:t xml:space="preserve"> un nav vērsta uz peļņas gūšanu.</w:t>
      </w:r>
    </w:p>
    <w:p w14:paraId="306505AE" w14:textId="254E8020" w:rsidR="00F91425" w:rsidRDefault="0059078D" w:rsidP="002E53C2">
      <w:pPr>
        <w:spacing w:line="276" w:lineRule="auto"/>
        <w:ind w:firstLine="720"/>
        <w:contextualSpacing/>
        <w:jc w:val="both"/>
      </w:pPr>
      <w:r>
        <w:t xml:space="preserve">[2.2] </w:t>
      </w:r>
      <w:r w:rsidR="000A1C99">
        <w:t>Pieteicējas organizētajām tenisa nodarbībām piemērojams Pievienotās vērtības nodokļa likuma 52.panta pirmās daļas 10.punktā noteiktais atbrīvojums no nodokļa</w:t>
      </w:r>
      <w:r w:rsidR="000C707C">
        <w:t xml:space="preserve">, kas paredz ar nodokli neaplikt </w:t>
      </w:r>
      <w:r w:rsidR="00766E41">
        <w:t xml:space="preserve">sabiedriskā labuma organizāciju sniegtos </w:t>
      </w:r>
      <w:r w:rsidR="000C707C" w:rsidRPr="000C707C">
        <w:t>pakalpojum</w:t>
      </w:r>
      <w:r w:rsidR="000C707C">
        <w:t xml:space="preserve">us </w:t>
      </w:r>
      <w:r w:rsidR="000C707C" w:rsidRPr="000C707C">
        <w:t>bērnu un jauniešu tiesību aizsardzības mērķiem</w:t>
      </w:r>
      <w:r w:rsidR="000C707C">
        <w:t xml:space="preserve">. </w:t>
      </w:r>
      <w:r w:rsidR="00B143C7">
        <w:t xml:space="preserve">Jēdziena „bērnu un jauniešu tiesību aizsardzība” saturs atklājams, ņemot vērā Bērnu tiesību aizsardzības likumā noteiktās bērnu pamattiesības (piemēram, bērna tiesības uz pilnvērtīgu fizisko un intelektuālo attīstību) un likuma mērķus (tostarp nodrošināt bērna orientāciju uz veselīgu dzīvesveidu). Iespēja bērniem nodarboties ar sportu nepārprotami nodrošina bērna orientāciju uz veselīgu dzīvesveidu. Regulāras fiziskās aktivitātes veicina bērna organisma fizisko attīstību, veicina imūnsistēmas darbību, stiprina plaušas un sirdi. Regulāras fiziskās aktivitātes uzlabo arī bērnu koncentrēšanās spējas, atmiņu, modrību, radošo domāšanu un darba produktivitāti. Fiziskās aktivitātes palīdz stiprināt kaulus un muskuļus, kā arī attīsta un uzlabo kustību koordināciju un līdzsvaru, kas ir būtiski bērnu un jauniešu augšanas un attīstības posmā. </w:t>
      </w:r>
    </w:p>
    <w:p w14:paraId="0BAB29B2" w14:textId="4D95DED4" w:rsidR="00F91425" w:rsidRDefault="00253E09" w:rsidP="002E53C2">
      <w:pPr>
        <w:spacing w:line="276" w:lineRule="auto"/>
        <w:ind w:firstLine="720"/>
        <w:contextualSpacing/>
        <w:jc w:val="both"/>
      </w:pPr>
      <w:r>
        <w:t>Tas nozīmē, ka p</w:t>
      </w:r>
      <w:r w:rsidR="00CE0D6E">
        <w:t xml:space="preserve">ieteicējas organizēto tenisa nodarbību atbrīvošana no pievienotās vērtības nodokļa atbilst </w:t>
      </w:r>
      <w:r w:rsidR="00AD6BB7">
        <w:t>Pievienotās vērtības nodokļa likuma 52.panta pirmās daļas 10.punkt</w:t>
      </w:r>
      <w:r w:rsidR="00CE0D6E">
        <w:t xml:space="preserve">a mērķim, skatot to </w:t>
      </w:r>
      <w:r>
        <w:t xml:space="preserve">arī </w:t>
      </w:r>
      <w:r w:rsidR="00CE0D6E">
        <w:t>kopsakarā ar</w:t>
      </w:r>
      <w:r w:rsidR="00AD6BB7">
        <w:t xml:space="preserve"> </w:t>
      </w:r>
      <w:r w:rsidR="001D341A" w:rsidRPr="001D341A">
        <w:t>Padomes 2006.gada 28</w:t>
      </w:r>
      <w:r w:rsidR="001D341A">
        <w:t>.</w:t>
      </w:r>
      <w:r w:rsidR="001D341A" w:rsidRPr="001D341A">
        <w:t>novembr</w:t>
      </w:r>
      <w:r w:rsidR="001D341A">
        <w:t>a</w:t>
      </w:r>
      <w:r w:rsidR="001D341A" w:rsidRPr="001D341A">
        <w:t xml:space="preserve"> Direktīva</w:t>
      </w:r>
      <w:r w:rsidR="001D341A">
        <w:t>s</w:t>
      </w:r>
      <w:r w:rsidR="001D341A" w:rsidRPr="001D341A">
        <w:t xml:space="preserve"> 2006/112/EK par kopējo pievienotās vērtības nodokļa sistēmu</w:t>
      </w:r>
      <w:r w:rsidR="001D341A">
        <w:t xml:space="preserve"> (turpmāk – Pievienotās vērtības nodokļa direktīva) </w:t>
      </w:r>
      <w:r w:rsidR="00AD6BB7">
        <w:t>132.panta 1.punkt</w:t>
      </w:r>
      <w:r w:rsidR="001D341A">
        <w:t>a „</w:t>
      </w:r>
      <w:r w:rsidR="00AD6BB7">
        <w:t>h” apakšpunkt</w:t>
      </w:r>
      <w:r w:rsidR="00CE0D6E">
        <w:t>u</w:t>
      </w:r>
      <w:r>
        <w:t>, jo bērnu tiesību aizsardzības mērķu sasniegšana ir arī sabiedrības interesēs</w:t>
      </w:r>
      <w:r w:rsidR="001D341A">
        <w:t xml:space="preserve">. </w:t>
      </w:r>
    </w:p>
    <w:p w14:paraId="680CACE3" w14:textId="10284ED2" w:rsidR="00870F86" w:rsidRDefault="00253E09" w:rsidP="002E53C2">
      <w:pPr>
        <w:spacing w:line="276" w:lineRule="auto"/>
        <w:ind w:firstLine="720"/>
        <w:contextualSpacing/>
        <w:jc w:val="both"/>
      </w:pPr>
      <w:r>
        <w:t>[2.3] Pieteicējas sniegtie pakalpojumi būtu aplūkojami arī Pievienotās vērtības nodokļa direktīvas 132.panta 1.punkta „m” apakšpunkta kontekstā, kas paredz, ka dalībvalstis atbrīvo no nodokļa konkrētus pakalpojumus, kas cieši saistīti ar sportu vai fizisko audzināšanu un ko bezpeļņas organizācijas sniedz personām, kas piedalās sporta vai fiziskās audzināšanas pasākumos. Šī direktīvas norma transponēta Pievienotās vērtības nodokļa likuma 52.panta pirmās daļas 12.punktā. Taču p</w:t>
      </w:r>
      <w:r w:rsidR="008B165D">
        <w:t>ieteicēja nevar pretendēt uz šo atbrīvojumu, jo nav valsts atzīta izglītības iestāde, un likums paredz šādu priekšnoteikumu. Likumdevējs, pārņemot Pievienotās vērtības nodokļa direktīvas 132.panta 1.punkta „m” apakšpunktu, to nav transponējis pienācīgi, jo ir nepamatoti direktīvas piemērošanu attiecinājis tikai uz valsts atzītām izglītības iestādēm</w:t>
      </w:r>
      <w:r w:rsidR="00870F86">
        <w:t>, lai gan šajā aspektā dalībvalstīm nav rīcības brīvības</w:t>
      </w:r>
      <w:r w:rsidR="008B165D">
        <w:t xml:space="preserve">. Pieteicēja nevar arī pamatot savas tiesības uz nodokļa atbrīvojumu, tieši balstoties uz Pievienotās vērtības nodokļa direktīvas 132.panta 1.punkta „m” apakšpunktu, kas paredz atbrīvojumu ar sportu saistītiem pakalpojumiem, jo tam nav tiešas iedarbības. </w:t>
      </w:r>
    </w:p>
    <w:p w14:paraId="6E3148C8" w14:textId="6F2E8E0E" w:rsidR="00F91425" w:rsidRDefault="008B165D" w:rsidP="002E53C2">
      <w:pPr>
        <w:spacing w:line="276" w:lineRule="auto"/>
        <w:ind w:firstLine="720"/>
        <w:contextualSpacing/>
        <w:jc w:val="both"/>
      </w:pPr>
      <w:r>
        <w:t>Taču tas nav šķērslis pieteicējai piemērot atbrīvojumu uz Pievienotās vērtības nodokļa likuma 52.panta pirmās daļas 10.punkta pamata.</w:t>
      </w:r>
    </w:p>
    <w:p w14:paraId="79F0EECC" w14:textId="75647852" w:rsidR="008B165D" w:rsidRDefault="008B165D" w:rsidP="002E53C2">
      <w:pPr>
        <w:spacing w:line="276" w:lineRule="auto"/>
        <w:ind w:firstLine="720"/>
        <w:contextualSpacing/>
        <w:jc w:val="both"/>
      </w:pPr>
      <w:r>
        <w:t>[</w:t>
      </w:r>
      <w:r w:rsidR="00D86FA3">
        <w:t>2.4</w:t>
      </w:r>
      <w:r>
        <w:t>] Turklāt, aplūkojot sistēmiski Pievienotās vērtības nodokļa direktīvas 132.panta 1.punkta „h” un „m” apakšpunktu, Pievienotās vērtības nodokļa likuma 52.panta pirmās daļas 10. un 12.punktu kopsakarā ar Ministru kabineta 2013.gada 3.janvāra noteikumu Nr. 17 „Pievienotās vērtības nodokļa likuma normu piemērošanas kārtība un atsevišķas prasības pievienotās vērtības nodokļa maksāšanai un administrēšanai” (turpmāk – noteikumi Nr. 17) 29.3.apakšpunktu, ir saskatāms likumdevēja mērķis pēc būtības</w:t>
      </w:r>
      <w:r w:rsidR="005D7DA7">
        <w:t xml:space="preserve"> </w:t>
      </w:r>
      <w:r>
        <w:t xml:space="preserve">atbrīvot maksu par treniņu nodarbībām bērniem no aplikšanas ar </w:t>
      </w:r>
      <w:r w:rsidR="005D7DA7">
        <w:t>pievienotās vērtības nodokli.</w:t>
      </w:r>
    </w:p>
    <w:p w14:paraId="43DB7C1E" w14:textId="77777777" w:rsidR="005D7DA7" w:rsidRDefault="005D7DA7" w:rsidP="002E53C2">
      <w:pPr>
        <w:spacing w:line="276" w:lineRule="auto"/>
        <w:ind w:firstLine="720"/>
        <w:contextualSpacing/>
        <w:jc w:val="both"/>
      </w:pPr>
    </w:p>
    <w:p w14:paraId="6F73D11B" w14:textId="5997D526" w:rsidR="002C1604" w:rsidRPr="00632E71" w:rsidRDefault="005D7DA7" w:rsidP="002E53C2">
      <w:pPr>
        <w:spacing w:line="276" w:lineRule="auto"/>
        <w:ind w:firstLine="720"/>
        <w:contextualSpacing/>
        <w:jc w:val="both"/>
        <w:rPr>
          <w:i/>
          <w:iCs/>
        </w:rPr>
      </w:pPr>
      <w:r>
        <w:rPr>
          <w:i/>
          <w:iCs/>
        </w:rPr>
        <w:t xml:space="preserve">Valsts ieņēmumu dienesta </w:t>
      </w:r>
      <w:r w:rsidR="00B20946" w:rsidRPr="00632E71">
        <w:rPr>
          <w:i/>
          <w:iCs/>
        </w:rPr>
        <w:t>kasācijas sūdzība</w:t>
      </w:r>
    </w:p>
    <w:p w14:paraId="5147E513" w14:textId="4EEB4DE4" w:rsidR="00B20946" w:rsidRDefault="00B20946" w:rsidP="002E53C2">
      <w:pPr>
        <w:spacing w:line="276" w:lineRule="auto"/>
        <w:ind w:firstLine="720"/>
        <w:contextualSpacing/>
        <w:jc w:val="both"/>
      </w:pPr>
      <w:r>
        <w:t>[</w:t>
      </w:r>
      <w:r w:rsidR="00582969">
        <w:t>3</w:t>
      </w:r>
      <w:r>
        <w:t xml:space="preserve">] </w:t>
      </w:r>
      <w:r w:rsidR="005D7DA7">
        <w:t>Valsts ieņēmumu dienests</w:t>
      </w:r>
      <w:r w:rsidR="00582969">
        <w:t xml:space="preserve"> par apgabaltiesas spriedumu iesnie</w:t>
      </w:r>
      <w:r w:rsidR="005D7DA7">
        <w:t>dzis</w:t>
      </w:r>
      <w:r w:rsidR="00582969">
        <w:t xml:space="preserve"> kasācijas sūdzību, kurā norāda</w:t>
      </w:r>
      <w:r w:rsidR="005D7DA7">
        <w:t xml:space="preserve"> turpmāko</w:t>
      </w:r>
      <w:r w:rsidR="002F08F5">
        <w:t>.</w:t>
      </w:r>
    </w:p>
    <w:p w14:paraId="296D5947" w14:textId="0933B7F3" w:rsidR="009E0156" w:rsidRDefault="00582969" w:rsidP="002E53C2">
      <w:pPr>
        <w:spacing w:line="276" w:lineRule="auto"/>
        <w:ind w:firstLine="720"/>
        <w:contextualSpacing/>
        <w:jc w:val="both"/>
      </w:pPr>
      <w:r>
        <w:t xml:space="preserve">[3.1] </w:t>
      </w:r>
      <w:r w:rsidR="00870F86" w:rsidRPr="00870F86">
        <w:t>Apgabaltiesa nepareizi interpretējusi Pievienotās vērtības nodokļa likuma 52.panta pirmās daļas 10.punktā noteikto atbrīvojumu. Lai gan pieteicēja</w:t>
      </w:r>
      <w:r w:rsidR="00870F86">
        <w:t>i</w:t>
      </w:r>
      <w:r w:rsidR="00870F86" w:rsidRPr="00870F86">
        <w:t xml:space="preserve"> bija sabiedriskā labuma organizācijas statuss, tas nav pietiekam</w:t>
      </w:r>
      <w:r w:rsidR="00870F86">
        <w:t>i</w:t>
      </w:r>
      <w:r w:rsidR="00870F86" w:rsidRPr="00870F86">
        <w:t xml:space="preserve"> atbrīvojumam no </w:t>
      </w:r>
      <w:r w:rsidR="00870F86">
        <w:t>pievienotās vērtības nodokļa</w:t>
      </w:r>
      <w:r w:rsidR="00870F86" w:rsidRPr="00870F86">
        <w:t>. Svarīgi ir vērtēt, vai darbība faktiski ir sabiedriskā labuma darbība, nevis saimnieciskā darbība.</w:t>
      </w:r>
      <w:r w:rsidR="00870F86">
        <w:t xml:space="preserve"> J</w:t>
      </w:r>
      <w:r w:rsidR="00870F86" w:rsidRPr="00870F86">
        <w:t>ānošķir saimnieciskā darbība no sabiedriskā labuma darbības</w:t>
      </w:r>
      <w:r w:rsidR="00870F86">
        <w:t xml:space="preserve">. Šai ziņā ir svarīgi, ka pieteicējas darbība bija </w:t>
      </w:r>
      <w:r w:rsidR="00870F86" w:rsidRPr="00870F86">
        <w:t>sistemātis</w:t>
      </w:r>
      <w:r w:rsidR="00870F86">
        <w:t xml:space="preserve">ka </w:t>
      </w:r>
      <w:r w:rsidR="00870F86" w:rsidRPr="00870F86">
        <w:t xml:space="preserve">un </w:t>
      </w:r>
      <w:r w:rsidR="00870F86">
        <w:t xml:space="preserve">par </w:t>
      </w:r>
      <w:r w:rsidR="00870F86" w:rsidRPr="00870F86">
        <w:t>atlīdzīb</w:t>
      </w:r>
      <w:r w:rsidR="00870F86">
        <w:t>u, savukārt peļņas faktiskai esībai vai neesībai nav nozīmes.</w:t>
      </w:r>
    </w:p>
    <w:p w14:paraId="6DD1D34F" w14:textId="7CAB8E6A" w:rsidR="00870F86" w:rsidRDefault="00870F86" w:rsidP="002E53C2">
      <w:pPr>
        <w:spacing w:line="276" w:lineRule="auto"/>
        <w:ind w:firstLine="720"/>
        <w:contextualSpacing/>
        <w:jc w:val="both"/>
      </w:pPr>
      <w:r>
        <w:t>[3.2] Spriedumā ietvertie secinājumi ir pretrunīgi: apgabaltiesa norāda, ka atbilstoši Pievienotās vērtības nodokļa direktīvas 132.panta 1.punkta „m” apakšpunktam dalībvalstīm ir rīcības brīvība noteikt, kādus sporta pakalpojumus atbrīvot no nodokļa, taču pēc tam secina, ka likumdevējs nav pienācīgi transponējis direktīvu, jo attiecināja atbrīvojumu tikai uz valsts atzītām izglītības iestādēm.</w:t>
      </w:r>
    </w:p>
    <w:p w14:paraId="38B14284" w14:textId="685400B0" w:rsidR="00870F86" w:rsidRDefault="00870F86" w:rsidP="002E53C2">
      <w:pPr>
        <w:spacing w:line="276" w:lineRule="auto"/>
        <w:ind w:firstLine="720"/>
        <w:contextualSpacing/>
        <w:jc w:val="both"/>
      </w:pPr>
      <w:r>
        <w:t>Turklāt Eiropas Savienības Tiesas norāde par peļņas nesadalīšanu likvidācijas gadījumā nav pierādījums, ka direktīva nav pienācīgi transponēta.</w:t>
      </w:r>
      <w:r w:rsidR="00824E7F" w:rsidRPr="00824E7F">
        <w:t xml:space="preserve"> </w:t>
      </w:r>
      <w:r w:rsidR="00824E7F">
        <w:t xml:space="preserve">Transponējot direktīvu, Latvijas likumdevējs ir apsvēris sabiedrības intereses, tostarp to, lai nenotiktu izvairīšanās no pievienotās vērtības nodokļa maksāšanas. </w:t>
      </w:r>
    </w:p>
    <w:p w14:paraId="6238AACF" w14:textId="79AB4D41" w:rsidR="00870F86" w:rsidRDefault="00824E7F" w:rsidP="002E53C2">
      <w:pPr>
        <w:spacing w:line="276" w:lineRule="auto"/>
        <w:ind w:firstLine="720"/>
        <w:contextualSpacing/>
        <w:jc w:val="both"/>
      </w:pPr>
      <w:r w:rsidRPr="00824E7F">
        <w:t xml:space="preserve">Ja Latvija būtu vēlējusies atbrīvot no aplikšanas ar </w:t>
      </w:r>
      <w:r>
        <w:t>pievienotās vērtības nodokli</w:t>
      </w:r>
      <w:r w:rsidRPr="00824E7F">
        <w:t xml:space="preserve"> tenisa nodarbības, ko organizē biedrības, tad šāds atbrīvojums būtu iekļauts kādos no Pievienotās vērtības nodokļa likuma 52.panta grozījumiem.</w:t>
      </w:r>
      <w:r>
        <w:t xml:space="preserve"> </w:t>
      </w:r>
      <w:r w:rsidR="00870F86">
        <w:t>T</w:t>
      </w:r>
      <w:r w:rsidR="00870F86" w:rsidRPr="00870F86">
        <w:t>ikai no 2024.gada 1.janvāra</w:t>
      </w:r>
      <w:r w:rsidR="00870F86">
        <w:t xml:space="preserve">, kad stājās spēkā </w:t>
      </w:r>
      <w:r>
        <w:t xml:space="preserve">grozījumi Pievienotās vērtības nodokļa likuma 52.pantā, </w:t>
      </w:r>
      <w:r w:rsidR="00870F86" w:rsidRPr="00870F86">
        <w:t xml:space="preserve">ar </w:t>
      </w:r>
      <w:r>
        <w:t>nodokli</w:t>
      </w:r>
      <w:r w:rsidR="00870F86" w:rsidRPr="00870F86">
        <w:t xml:space="preserve"> neapliek sporta nodarbības, kuru sniedz biedrības vai nodibinājumi licencētu programmu ietvaros. </w:t>
      </w:r>
    </w:p>
    <w:p w14:paraId="165B7314" w14:textId="77777777" w:rsidR="009E0156" w:rsidRDefault="009E0156" w:rsidP="002E53C2">
      <w:pPr>
        <w:spacing w:line="276" w:lineRule="auto"/>
        <w:ind w:firstLine="720"/>
        <w:contextualSpacing/>
        <w:jc w:val="both"/>
      </w:pPr>
    </w:p>
    <w:p w14:paraId="053E8CC2" w14:textId="56029B44" w:rsidR="00164165" w:rsidRPr="00164165" w:rsidRDefault="00653871" w:rsidP="002E53C2">
      <w:pPr>
        <w:spacing w:line="276" w:lineRule="auto"/>
        <w:ind w:firstLine="720"/>
        <w:contextualSpacing/>
        <w:jc w:val="both"/>
        <w:rPr>
          <w:i/>
          <w:iCs/>
        </w:rPr>
      </w:pPr>
      <w:r>
        <w:rPr>
          <w:i/>
          <w:iCs/>
        </w:rPr>
        <w:t>Pieteicējas</w:t>
      </w:r>
      <w:r w:rsidR="00164165" w:rsidRPr="00164165">
        <w:rPr>
          <w:i/>
          <w:iCs/>
        </w:rPr>
        <w:t xml:space="preserve"> paskaidrojumi</w:t>
      </w:r>
    </w:p>
    <w:p w14:paraId="72331227" w14:textId="0EE3D9DC" w:rsidR="00164165" w:rsidRDefault="00164165" w:rsidP="002E53C2">
      <w:pPr>
        <w:spacing w:line="276" w:lineRule="auto"/>
        <w:ind w:firstLine="720"/>
        <w:contextualSpacing/>
        <w:jc w:val="both"/>
      </w:pPr>
      <w:r>
        <w:t xml:space="preserve">[4] </w:t>
      </w:r>
      <w:r w:rsidR="00653871">
        <w:t>Pieteicēja</w:t>
      </w:r>
      <w:r>
        <w:t xml:space="preserve"> paskaidrojumos par kasācijas sūdzību to neatzīst</w:t>
      </w:r>
      <w:r w:rsidR="00653871">
        <w:t xml:space="preserve"> un iebilst tam, kā Valsts ieņēmumu dienests izprot sabiedriskā labuma darbību.</w:t>
      </w:r>
    </w:p>
    <w:p w14:paraId="4BE967E8" w14:textId="50B0386C" w:rsidR="008F79A9" w:rsidRDefault="00304B7B" w:rsidP="002E53C2">
      <w:pPr>
        <w:spacing w:before="360" w:after="360" w:line="276" w:lineRule="auto"/>
        <w:jc w:val="center"/>
        <w:rPr>
          <w:b/>
          <w:shd w:val="clear" w:color="auto" w:fill="FFFFFF"/>
        </w:rPr>
      </w:pPr>
      <w:r>
        <w:rPr>
          <w:b/>
          <w:shd w:val="clear" w:color="auto" w:fill="FFFFFF"/>
        </w:rPr>
        <w:t>M</w:t>
      </w:r>
      <w:r w:rsidR="008F79A9" w:rsidRPr="008F79A9">
        <w:rPr>
          <w:b/>
          <w:shd w:val="clear" w:color="auto" w:fill="FFFFFF"/>
        </w:rPr>
        <w:t>otīvu daļa</w:t>
      </w:r>
    </w:p>
    <w:p w14:paraId="5313E43A" w14:textId="476CB936" w:rsidR="00653871" w:rsidRDefault="00927F11" w:rsidP="002E53C2">
      <w:pPr>
        <w:shd w:val="clear" w:color="auto" w:fill="FFFFFF"/>
        <w:spacing w:line="276" w:lineRule="auto"/>
        <w:ind w:firstLine="720"/>
        <w:jc w:val="both"/>
        <w:rPr>
          <w:bCs/>
        </w:rPr>
      </w:pPr>
      <w:bookmarkStart w:id="0" w:name="_Hlk126135345"/>
      <w:r>
        <w:rPr>
          <w:bCs/>
        </w:rPr>
        <w:t>[</w:t>
      </w:r>
      <w:r w:rsidR="00880091">
        <w:rPr>
          <w:bCs/>
        </w:rPr>
        <w:t>5</w:t>
      </w:r>
      <w:r>
        <w:rPr>
          <w:bCs/>
        </w:rPr>
        <w:t>]</w:t>
      </w:r>
      <w:r w:rsidR="003036F1">
        <w:rPr>
          <w:bCs/>
        </w:rPr>
        <w:t xml:space="preserve"> </w:t>
      </w:r>
      <w:r w:rsidR="00653871">
        <w:rPr>
          <w:bCs/>
        </w:rPr>
        <w:t>Lietā ir izšķirams, vai gadījumā, ja sabiedriskā labuma organizācija par maksu organizē sporta nodarbības bērniem, tas ir uzskatāms par pakalpojumu, uz kuru attiecas Pievienotās vērtības nodokļa likuma 52.panta pirmās daļas 10.punktā paredzētais atbrīvojum</w:t>
      </w:r>
      <w:r w:rsidR="00D86FA3">
        <w:rPr>
          <w:bCs/>
        </w:rPr>
        <w:t>s</w:t>
      </w:r>
      <w:r w:rsidR="00653871">
        <w:rPr>
          <w:bCs/>
        </w:rPr>
        <w:t xml:space="preserve"> no pievienotās vērtības nodokļa.</w:t>
      </w:r>
    </w:p>
    <w:p w14:paraId="53A2E94E" w14:textId="77777777" w:rsidR="00D86FA3" w:rsidRDefault="00D86FA3" w:rsidP="002E53C2">
      <w:pPr>
        <w:shd w:val="clear" w:color="auto" w:fill="FFFFFF"/>
        <w:spacing w:line="276" w:lineRule="auto"/>
        <w:ind w:firstLine="720"/>
        <w:jc w:val="both"/>
        <w:rPr>
          <w:bCs/>
        </w:rPr>
      </w:pPr>
    </w:p>
    <w:p w14:paraId="062C8D76" w14:textId="6DDDCB5B" w:rsidR="00D86FA3" w:rsidRDefault="00D86FA3" w:rsidP="002E53C2">
      <w:pPr>
        <w:shd w:val="clear" w:color="auto" w:fill="FFFFFF"/>
        <w:spacing w:line="276" w:lineRule="auto"/>
        <w:ind w:firstLine="720"/>
        <w:jc w:val="both"/>
        <w:rPr>
          <w:bCs/>
        </w:rPr>
      </w:pPr>
      <w:r>
        <w:rPr>
          <w:bCs/>
        </w:rPr>
        <w:t xml:space="preserve">[6] </w:t>
      </w:r>
      <w:r w:rsidRPr="00D86FA3">
        <w:rPr>
          <w:bCs/>
        </w:rPr>
        <w:t>Pievienotās vērtības nodokļa likuma 52.pant</w:t>
      </w:r>
      <w:r>
        <w:rPr>
          <w:bCs/>
        </w:rPr>
        <w:t xml:space="preserve">ā ir uzskaitīti ar nodokli neapliekamo preču piegāžu un pakalpojumu veidi, tostarp pirmās daļas 10.punkts paredz, ka ar nodokli neapliek </w:t>
      </w:r>
      <w:r w:rsidRPr="00D86FA3">
        <w:rPr>
          <w:bCs/>
        </w:rPr>
        <w:t>preču piegādes un pakalpojumu sniegšanu bērnu un jauniešu tiesību aizsardzības mērķiem, ko veic sabiedriskā labuma organizācijas</w:t>
      </w:r>
      <w:r>
        <w:rPr>
          <w:bCs/>
        </w:rPr>
        <w:t>.</w:t>
      </w:r>
    </w:p>
    <w:p w14:paraId="627E1F74" w14:textId="5545A438" w:rsidR="00D86FA3" w:rsidRDefault="00D86FA3" w:rsidP="002E53C2">
      <w:pPr>
        <w:shd w:val="clear" w:color="auto" w:fill="FFFFFF"/>
        <w:spacing w:line="276" w:lineRule="auto"/>
        <w:ind w:firstLine="720"/>
        <w:jc w:val="both"/>
        <w:rPr>
          <w:bCs/>
        </w:rPr>
      </w:pPr>
      <w:r>
        <w:rPr>
          <w:bCs/>
        </w:rPr>
        <w:t>Šajā normā transponēts Pievienotās vērtības nodokļa direktīvas 132.panta 1.punkta „h”</w:t>
      </w:r>
      <w:r w:rsidR="00FE1303">
        <w:rPr>
          <w:bCs/>
        </w:rPr>
        <w:t> </w:t>
      </w:r>
      <w:r>
        <w:rPr>
          <w:bCs/>
        </w:rPr>
        <w:t xml:space="preserve">apakšpunkts, kas paredz, ka dalībvalstis atbrīvo no nodokļa </w:t>
      </w:r>
      <w:r w:rsidRPr="00D86FA3">
        <w:rPr>
          <w:bCs/>
        </w:rPr>
        <w:t>pakalpojumu sniegšanu un preču piegādes, kas ir cieši saistītas ar bērnu un jauniešu aizsardzību, un kuru veic publisko tiesību subjekti vai citas organizācijas, ko attiecīgā dalībvalsts atzinusi par sociālās labklājības organizācijām</w:t>
      </w:r>
      <w:r>
        <w:rPr>
          <w:bCs/>
        </w:rPr>
        <w:t>.</w:t>
      </w:r>
      <w:r w:rsidR="00FE1303">
        <w:rPr>
          <w:bCs/>
        </w:rPr>
        <w:t xml:space="preserve"> Tādēļ</w:t>
      </w:r>
      <w:r w:rsidR="00174AC0">
        <w:rPr>
          <w:bCs/>
        </w:rPr>
        <w:t xml:space="preserve"> </w:t>
      </w:r>
      <w:r w:rsidR="00FE1303">
        <w:rPr>
          <w:bCs/>
        </w:rPr>
        <w:t xml:space="preserve">Pievienotās vērtības </w:t>
      </w:r>
      <w:r w:rsidR="00283FB0">
        <w:rPr>
          <w:bCs/>
        </w:rPr>
        <w:t xml:space="preserve">nodokļa </w:t>
      </w:r>
      <w:r w:rsidR="00FE1303">
        <w:rPr>
          <w:bCs/>
        </w:rPr>
        <w:t>likuma norma ir jāinterpretē</w:t>
      </w:r>
      <w:r w:rsidR="00675C9F">
        <w:rPr>
          <w:bCs/>
        </w:rPr>
        <w:t>, ciktāl iespējams,</w:t>
      </w:r>
      <w:r w:rsidR="00FE1303">
        <w:rPr>
          <w:bCs/>
        </w:rPr>
        <w:t xml:space="preserve"> atbilstoši šai direktīvas normai</w:t>
      </w:r>
      <w:r w:rsidR="00174AC0">
        <w:rPr>
          <w:bCs/>
        </w:rPr>
        <w:t xml:space="preserve"> (</w:t>
      </w:r>
      <w:r w:rsidR="00174AC0" w:rsidRPr="00675C9F">
        <w:rPr>
          <w:bCs/>
          <w:i/>
          <w:iCs/>
        </w:rPr>
        <w:t xml:space="preserve">Eiropas Savienības Tiesas 2022.gada 18.janvāra sprieduma lietā „Thelen Technopark Berlin”, C-261/20, </w:t>
      </w:r>
      <w:hyperlink r:id="rId9" w:history="1">
        <w:r w:rsidR="00174AC0" w:rsidRPr="00675C9F">
          <w:rPr>
            <w:rStyle w:val="Hyperlink"/>
            <w:bCs/>
            <w:i/>
            <w:iCs/>
          </w:rPr>
          <w:t>ECLI:EU:C:2022:33</w:t>
        </w:r>
      </w:hyperlink>
      <w:r w:rsidR="00174AC0" w:rsidRPr="00675C9F">
        <w:rPr>
          <w:bCs/>
          <w:i/>
          <w:iCs/>
        </w:rPr>
        <w:t xml:space="preserve">, </w:t>
      </w:r>
      <w:r w:rsidR="00675C9F" w:rsidRPr="00675C9F">
        <w:rPr>
          <w:bCs/>
          <w:i/>
          <w:iCs/>
        </w:rPr>
        <w:t>27.punkts</w:t>
      </w:r>
      <w:r w:rsidR="00675C9F">
        <w:rPr>
          <w:bCs/>
        </w:rPr>
        <w:t>)</w:t>
      </w:r>
      <w:r w:rsidR="00FE1303">
        <w:rPr>
          <w:bCs/>
        </w:rPr>
        <w:t>.</w:t>
      </w:r>
    </w:p>
    <w:p w14:paraId="0E4AC480" w14:textId="6BB9E729" w:rsidR="00D86FA3" w:rsidRDefault="00D86FA3" w:rsidP="002E53C2">
      <w:pPr>
        <w:shd w:val="clear" w:color="auto" w:fill="FFFFFF"/>
        <w:spacing w:line="276" w:lineRule="auto"/>
        <w:ind w:firstLine="720"/>
        <w:jc w:val="both"/>
        <w:rPr>
          <w:bCs/>
        </w:rPr>
      </w:pPr>
      <w:r>
        <w:rPr>
          <w:bCs/>
        </w:rPr>
        <w:t xml:space="preserve">Kā </w:t>
      </w:r>
      <w:r w:rsidR="00FE1303">
        <w:rPr>
          <w:bCs/>
        </w:rPr>
        <w:t xml:space="preserve">pamatoti norādījusi apgabaltiesa, </w:t>
      </w:r>
      <w:r>
        <w:rPr>
          <w:bCs/>
        </w:rPr>
        <w:t>Eiropas Savienības Tiesa</w:t>
      </w:r>
      <w:r w:rsidR="00FE1303">
        <w:rPr>
          <w:bCs/>
        </w:rPr>
        <w:t xml:space="preserve">s judikatūrā skaidrots, ka </w:t>
      </w:r>
      <w:r w:rsidR="00675C9F">
        <w:rPr>
          <w:bCs/>
        </w:rPr>
        <w:t xml:space="preserve">Pievienotās vērtības nodokļa direktīvas </w:t>
      </w:r>
      <w:r>
        <w:rPr>
          <w:bCs/>
        </w:rPr>
        <w:t>132.pantā minētajiem atbrīvojumiem ir izņēmuma raksturs, tādēļ tie interpretējami šauri</w:t>
      </w:r>
      <w:r w:rsidR="00FE1303">
        <w:rPr>
          <w:bCs/>
        </w:rPr>
        <w:t>, tomēr ar pārāk šauru interpretāciju neatņemot atbrīvojuma definēšanā izmantotajiem jēdzieniem to nozīmi (</w:t>
      </w:r>
      <w:r w:rsidR="00FE1303" w:rsidRPr="00FE1303">
        <w:rPr>
          <w:bCs/>
          <w:i/>
          <w:iCs/>
        </w:rPr>
        <w:t>apgabaltiesas sprieduma 14.punkts ar atsauci uz Eiropas Savienības Tiesas 2015.gada 12.marta sprieduma lietā „„go fair” Zeitarbei</w:t>
      </w:r>
      <w:r w:rsidR="00FE1303">
        <w:rPr>
          <w:bCs/>
          <w:i/>
          <w:iCs/>
        </w:rPr>
        <w:t>t</w:t>
      </w:r>
      <w:r w:rsidR="00FE1303" w:rsidRPr="00FE1303">
        <w:rPr>
          <w:bCs/>
          <w:i/>
          <w:iCs/>
        </w:rPr>
        <w:t xml:space="preserve">”, C-594/13, </w:t>
      </w:r>
      <w:hyperlink r:id="rId10" w:history="1">
        <w:r w:rsidR="00FE1303" w:rsidRPr="00FE1303">
          <w:rPr>
            <w:rStyle w:val="Hyperlink"/>
            <w:bCs/>
            <w:i/>
            <w:iCs/>
          </w:rPr>
          <w:t>ECLI:EU:C:2015:164</w:t>
        </w:r>
      </w:hyperlink>
      <w:r w:rsidR="00FE1303" w:rsidRPr="00FE1303">
        <w:rPr>
          <w:bCs/>
          <w:i/>
          <w:iCs/>
        </w:rPr>
        <w:t>, 17.punktu</w:t>
      </w:r>
      <w:r w:rsidR="00FE1303">
        <w:rPr>
          <w:bCs/>
        </w:rPr>
        <w:t>).</w:t>
      </w:r>
    </w:p>
    <w:p w14:paraId="0138667E" w14:textId="77777777" w:rsidR="00003C78" w:rsidRDefault="00003C78" w:rsidP="002E53C2">
      <w:pPr>
        <w:shd w:val="clear" w:color="auto" w:fill="FFFFFF"/>
        <w:spacing w:line="276" w:lineRule="auto"/>
        <w:ind w:firstLine="720"/>
        <w:jc w:val="both"/>
        <w:rPr>
          <w:bCs/>
        </w:rPr>
      </w:pPr>
    </w:p>
    <w:p w14:paraId="5A3D8929" w14:textId="4839075E" w:rsidR="00003C78" w:rsidRDefault="00003C78" w:rsidP="002E53C2">
      <w:pPr>
        <w:shd w:val="clear" w:color="auto" w:fill="FFFFFF"/>
        <w:spacing w:line="276" w:lineRule="auto"/>
        <w:ind w:firstLine="720"/>
        <w:jc w:val="both"/>
        <w:rPr>
          <w:bCs/>
        </w:rPr>
      </w:pPr>
      <w:r>
        <w:rPr>
          <w:bCs/>
        </w:rPr>
        <w:t>[7]</w:t>
      </w:r>
      <w:r w:rsidR="005534BC">
        <w:rPr>
          <w:bCs/>
        </w:rPr>
        <w:t xml:space="preserve"> </w:t>
      </w:r>
      <w:r>
        <w:rPr>
          <w:bCs/>
        </w:rPr>
        <w:t xml:space="preserve">Viens no </w:t>
      </w:r>
      <w:r w:rsidR="00675C9F">
        <w:rPr>
          <w:bCs/>
        </w:rPr>
        <w:t xml:space="preserve">Pievienotās vērtības nodokļa </w:t>
      </w:r>
      <w:r>
        <w:rPr>
          <w:bCs/>
        </w:rPr>
        <w:t xml:space="preserve">direktīvas </w:t>
      </w:r>
      <w:r w:rsidR="00675C9F" w:rsidRPr="00675C9F">
        <w:rPr>
          <w:bCs/>
        </w:rPr>
        <w:t>132.panta 1.punkta „h”</w:t>
      </w:r>
      <w:r w:rsidR="00675C9F">
        <w:rPr>
          <w:bCs/>
        </w:rPr>
        <w:t> </w:t>
      </w:r>
      <w:r w:rsidR="00675C9F" w:rsidRPr="00675C9F">
        <w:rPr>
          <w:bCs/>
        </w:rPr>
        <w:t>apakšpunkt</w:t>
      </w:r>
      <w:r w:rsidR="00675C9F">
        <w:rPr>
          <w:bCs/>
        </w:rPr>
        <w:t>ā</w:t>
      </w:r>
      <w:r w:rsidR="00675C9F" w:rsidRPr="00675C9F">
        <w:rPr>
          <w:bCs/>
        </w:rPr>
        <w:t xml:space="preserve"> </w:t>
      </w:r>
      <w:r>
        <w:rPr>
          <w:bCs/>
        </w:rPr>
        <w:t>minētajiem priekšnoteikumiem atbrīvojuma piemērošanai ir tas, ka preces piegādā vai pakalpojumus sniedz publisko tiesību subjekts vai cita organizācija, ko attiecīgā dalībvalsts atzinusi par sociālās labklājības organizāciju. Pievienotās vērtības nodokļa likuma normā šis priekšnoteikums ietverts kā prasība, lai preču piegādātājs vai pakalpojumu sniedzējs būtu sabiedriskā labuma organizācija.</w:t>
      </w:r>
    </w:p>
    <w:p w14:paraId="5D26EC5E" w14:textId="6D0AACD4" w:rsidR="00003C78" w:rsidRDefault="00003C78" w:rsidP="002E53C2">
      <w:pPr>
        <w:shd w:val="clear" w:color="auto" w:fill="FFFFFF"/>
        <w:spacing w:line="276" w:lineRule="auto"/>
        <w:ind w:firstLine="720"/>
        <w:jc w:val="both"/>
        <w:rPr>
          <w:bCs/>
        </w:rPr>
      </w:pPr>
      <w:r>
        <w:rPr>
          <w:bCs/>
        </w:rPr>
        <w:t xml:space="preserve">Apgabaltiesa konstatējusi, ka šis priekšnoteikums pastāv, jo pieteicēja ir biedrība, kurai attiecīgajā laikposmā bija </w:t>
      </w:r>
      <w:r w:rsidRPr="00003C78">
        <w:rPr>
          <w:bCs/>
        </w:rPr>
        <w:t>piešķirts arī sabiedriskā</w:t>
      </w:r>
      <w:r>
        <w:rPr>
          <w:bCs/>
        </w:rPr>
        <w:t xml:space="preserve"> </w:t>
      </w:r>
      <w:r w:rsidRPr="00003C78">
        <w:rPr>
          <w:bCs/>
        </w:rPr>
        <w:t>labuma organizācijas statuss</w:t>
      </w:r>
      <w:r>
        <w:rPr>
          <w:bCs/>
        </w:rPr>
        <w:t xml:space="preserve">. </w:t>
      </w:r>
    </w:p>
    <w:p w14:paraId="05A36C27" w14:textId="77777777" w:rsidR="00AF28A8" w:rsidRDefault="00AF28A8" w:rsidP="002E53C2">
      <w:pPr>
        <w:shd w:val="clear" w:color="auto" w:fill="FFFFFF"/>
        <w:spacing w:line="276" w:lineRule="auto"/>
        <w:ind w:firstLine="720"/>
        <w:jc w:val="both"/>
        <w:rPr>
          <w:bCs/>
        </w:rPr>
      </w:pPr>
    </w:p>
    <w:p w14:paraId="611B6AA3" w14:textId="711F1CA8" w:rsidR="00003C78" w:rsidRDefault="00AF28A8" w:rsidP="002E53C2">
      <w:pPr>
        <w:shd w:val="clear" w:color="auto" w:fill="FFFFFF"/>
        <w:spacing w:line="276" w:lineRule="auto"/>
        <w:ind w:firstLine="720"/>
        <w:jc w:val="both"/>
        <w:rPr>
          <w:bCs/>
        </w:rPr>
      </w:pPr>
      <w:r>
        <w:rPr>
          <w:bCs/>
        </w:rPr>
        <w:t>[</w:t>
      </w:r>
      <w:r w:rsidR="004826EA">
        <w:rPr>
          <w:bCs/>
        </w:rPr>
        <w:t>8</w:t>
      </w:r>
      <w:r>
        <w:rPr>
          <w:bCs/>
        </w:rPr>
        <w:t xml:space="preserve">] </w:t>
      </w:r>
      <w:r w:rsidR="00003C78">
        <w:rPr>
          <w:bCs/>
        </w:rPr>
        <w:t>Kā secināms no Valsts ieņēmumu dienesta kasācijas sūdzības, dienests neapstrīd faktu, ka pieteicēja bija sabiedriskā labuma organizācija, taču uzskata, ka atbrīvojumu tomēr nevar piemērot, ja pieteicējas darbība, par kuru ir strīds lietā, savā būtībā bija nevis sabiedriskā labuma darbība, bet saimnieciskā darbība bez sabiedriskā labuma elementa.</w:t>
      </w:r>
      <w:r>
        <w:rPr>
          <w:bCs/>
        </w:rPr>
        <w:t xml:space="preserve"> Tātad </w:t>
      </w:r>
      <w:r w:rsidR="00003C78">
        <w:rPr>
          <w:bCs/>
        </w:rPr>
        <w:t xml:space="preserve">tas ir iebildums par to, vai pastāv otrs </w:t>
      </w:r>
      <w:r w:rsidR="00675C9F">
        <w:rPr>
          <w:bCs/>
        </w:rPr>
        <w:t xml:space="preserve">Pievienotās vērtības nodokļa likuma 52.panta pirmās daļas 10.punktā (un atbilstoši Pievienotās vērtības nodokļa direktīvas 132.panta 1.punkta „h” apakšpunktā) norādītais </w:t>
      </w:r>
      <w:r w:rsidR="00003C78">
        <w:rPr>
          <w:bCs/>
        </w:rPr>
        <w:t xml:space="preserve">priekšnoteikums, kas tieši saistāms ar organizācijas </w:t>
      </w:r>
      <w:r w:rsidR="0031369B">
        <w:rPr>
          <w:bCs/>
        </w:rPr>
        <w:t xml:space="preserve">veikto preču piegāžu vai </w:t>
      </w:r>
      <w:r w:rsidR="00003C78">
        <w:rPr>
          <w:bCs/>
        </w:rPr>
        <w:t xml:space="preserve">sniegto </w:t>
      </w:r>
      <w:r w:rsidR="0031369B">
        <w:rPr>
          <w:bCs/>
        </w:rPr>
        <w:t>pakalpojumu saturu.</w:t>
      </w:r>
    </w:p>
    <w:p w14:paraId="1429C0FB" w14:textId="77777777" w:rsidR="0031369B" w:rsidRDefault="0031369B" w:rsidP="002E53C2">
      <w:pPr>
        <w:shd w:val="clear" w:color="auto" w:fill="FFFFFF"/>
        <w:spacing w:line="276" w:lineRule="auto"/>
        <w:ind w:firstLine="720"/>
        <w:jc w:val="both"/>
        <w:rPr>
          <w:bCs/>
        </w:rPr>
      </w:pPr>
    </w:p>
    <w:p w14:paraId="5EE2D1E3" w14:textId="6C42D65A" w:rsidR="0031369B" w:rsidRDefault="0031369B" w:rsidP="002E53C2">
      <w:pPr>
        <w:shd w:val="clear" w:color="auto" w:fill="FFFFFF"/>
        <w:spacing w:line="276" w:lineRule="auto"/>
        <w:ind w:firstLine="720"/>
        <w:jc w:val="both"/>
        <w:rPr>
          <w:bCs/>
        </w:rPr>
      </w:pPr>
      <w:r>
        <w:rPr>
          <w:bCs/>
        </w:rPr>
        <w:t>[</w:t>
      </w:r>
      <w:r w:rsidR="004826EA">
        <w:rPr>
          <w:bCs/>
        </w:rPr>
        <w:t>9</w:t>
      </w:r>
      <w:r>
        <w:rPr>
          <w:bCs/>
        </w:rPr>
        <w:t xml:space="preserve">] </w:t>
      </w:r>
      <w:r w:rsidR="00174AC0">
        <w:rPr>
          <w:bCs/>
        </w:rPr>
        <w:t xml:space="preserve">Pievienotās vērtības nodokļa direktīvas 132.panta 1.punkta „h” apakšpunkts attiecas uz preču piegādēm un pakalpojumiem, kuri </w:t>
      </w:r>
      <w:r w:rsidR="00174AC0" w:rsidRPr="00174AC0">
        <w:rPr>
          <w:bCs/>
        </w:rPr>
        <w:t xml:space="preserve">ir </w:t>
      </w:r>
      <w:r w:rsidR="008D1DDD">
        <w:rPr>
          <w:bCs/>
        </w:rPr>
        <w:t>„</w:t>
      </w:r>
      <w:r w:rsidR="00174AC0" w:rsidRPr="00174AC0">
        <w:rPr>
          <w:bCs/>
        </w:rPr>
        <w:t>cieši saistīt</w:t>
      </w:r>
      <w:r w:rsidR="008D1DDD">
        <w:rPr>
          <w:bCs/>
        </w:rPr>
        <w:t>i</w:t>
      </w:r>
      <w:r w:rsidR="00174AC0" w:rsidRPr="00174AC0">
        <w:rPr>
          <w:bCs/>
        </w:rPr>
        <w:t xml:space="preserve"> ar bērnu un jauniešu aizsardzību</w:t>
      </w:r>
      <w:r w:rsidR="008D1DDD">
        <w:rPr>
          <w:bCs/>
        </w:rPr>
        <w:t>”. Pievienotās vērtības nodokļa likuma 52.panta pirmās daļa 10.punktā šis priekšnoteikums transponēts kā prasība, lai preču piegādes un pakalpojumi būtu bijuši „</w:t>
      </w:r>
      <w:r w:rsidR="008D1DDD" w:rsidRPr="008D1DDD">
        <w:rPr>
          <w:bCs/>
        </w:rPr>
        <w:t>bērnu un jauniešu tiesību aizsardzības mērķiem</w:t>
      </w:r>
      <w:r w:rsidR="008D1DDD">
        <w:rPr>
          <w:bCs/>
        </w:rPr>
        <w:t>”.</w:t>
      </w:r>
    </w:p>
    <w:p w14:paraId="6452EA17" w14:textId="4A98921E" w:rsidR="00F21312" w:rsidRDefault="008D1DDD" w:rsidP="002E53C2">
      <w:pPr>
        <w:shd w:val="clear" w:color="auto" w:fill="FFFFFF"/>
        <w:spacing w:line="276" w:lineRule="auto"/>
        <w:ind w:firstLine="720"/>
        <w:jc w:val="both"/>
        <w:rPr>
          <w:bCs/>
        </w:rPr>
      </w:pPr>
      <w:r>
        <w:rPr>
          <w:bCs/>
        </w:rPr>
        <w:t>Lai arī Pievienotās vērtības nodokļa likum</w:t>
      </w:r>
      <w:r w:rsidR="00283FB0">
        <w:rPr>
          <w:bCs/>
        </w:rPr>
        <w:t>a norma</w:t>
      </w:r>
      <w:r>
        <w:rPr>
          <w:bCs/>
        </w:rPr>
        <w:t xml:space="preserve"> ietver papildu „tiesību” komponenti, šādai atšķirībai Senāts nepiešķir būtisku nozīmi</w:t>
      </w:r>
      <w:r w:rsidR="00F21312">
        <w:rPr>
          <w:bCs/>
        </w:rPr>
        <w:t>. Turklāt jebkurā gadījumā Latvijas likums būtu interpretējams</w:t>
      </w:r>
      <w:r w:rsidR="00AF28A8">
        <w:rPr>
          <w:bCs/>
        </w:rPr>
        <w:t xml:space="preserve"> atbilstoši direktīvai</w:t>
      </w:r>
      <w:r w:rsidR="00F21312">
        <w:rPr>
          <w:bCs/>
        </w:rPr>
        <w:t>.</w:t>
      </w:r>
    </w:p>
    <w:p w14:paraId="6CE1070B" w14:textId="20364FEE" w:rsidR="002C4B6A" w:rsidRDefault="002C4B6A" w:rsidP="002E53C2">
      <w:pPr>
        <w:shd w:val="clear" w:color="auto" w:fill="FFFFFF"/>
        <w:spacing w:line="276" w:lineRule="auto"/>
        <w:ind w:firstLine="720"/>
        <w:jc w:val="both"/>
        <w:rPr>
          <w:bCs/>
        </w:rPr>
      </w:pPr>
      <w:r>
        <w:rPr>
          <w:bCs/>
        </w:rPr>
        <w:t xml:space="preserve">Apgabaltiesa tenisa nodarbības uzskatījusi par tādu pakalpojumu, kas ir sniegts bērnu un jauniešu tiesību aizsardzības mērķiem, jo </w:t>
      </w:r>
      <w:r w:rsidR="00AF28A8">
        <w:rPr>
          <w:bCs/>
        </w:rPr>
        <w:t>tās</w:t>
      </w:r>
      <w:r>
        <w:rPr>
          <w:bCs/>
        </w:rPr>
        <w:t xml:space="preserve">, piemēram, </w:t>
      </w:r>
      <w:r w:rsidRPr="00653F25">
        <w:rPr>
          <w:bCs/>
        </w:rPr>
        <w:t>nodrošina bērna tiesības uz pilnvērtīgu fizisko un intelektuālo attīstību</w:t>
      </w:r>
      <w:r>
        <w:rPr>
          <w:bCs/>
        </w:rPr>
        <w:t>. Tādējādi tiekot sasniegts viens no Bērnu tiesību aizsardzības likuma 4.pantā minētajiem bērnu tiesību aizsardzības mērķiem – bērnu orientācija uz veselīgu dzīvesveidu</w:t>
      </w:r>
      <w:r w:rsidR="00AF28A8">
        <w:rPr>
          <w:bCs/>
        </w:rPr>
        <w:t xml:space="preserve"> (</w:t>
      </w:r>
      <w:r w:rsidR="00AF28A8" w:rsidRPr="00AF28A8">
        <w:rPr>
          <w:bCs/>
          <w:i/>
          <w:iCs/>
        </w:rPr>
        <w:t>apgabaltiesas sprieduma 13.punkts</w:t>
      </w:r>
      <w:r w:rsidR="00AF28A8">
        <w:rPr>
          <w:bCs/>
        </w:rPr>
        <w:t>)</w:t>
      </w:r>
      <w:r>
        <w:rPr>
          <w:bCs/>
        </w:rPr>
        <w:t>.</w:t>
      </w:r>
    </w:p>
    <w:p w14:paraId="1BDC3198" w14:textId="1BDB2028" w:rsidR="00F21312" w:rsidRDefault="00F21312" w:rsidP="002E53C2">
      <w:pPr>
        <w:shd w:val="clear" w:color="auto" w:fill="FFFFFF"/>
        <w:spacing w:line="276" w:lineRule="auto"/>
        <w:ind w:firstLine="720"/>
        <w:jc w:val="both"/>
        <w:rPr>
          <w:bCs/>
        </w:rPr>
      </w:pPr>
      <w:r>
        <w:rPr>
          <w:bCs/>
        </w:rPr>
        <w:t>Vispārīgi Senāts piekrīt</w:t>
      </w:r>
      <w:r w:rsidR="00653F25">
        <w:rPr>
          <w:bCs/>
        </w:rPr>
        <w:t>, ka Bērnu tiesību aizsardzības likums uzrāda bērnu un jauniešu tiesību aizsardzības mērķus un tvērumu</w:t>
      </w:r>
      <w:r>
        <w:rPr>
          <w:bCs/>
        </w:rPr>
        <w:t>, taču nevar piekrist tik plaša</w:t>
      </w:r>
      <w:r w:rsidR="00653F25">
        <w:rPr>
          <w:bCs/>
        </w:rPr>
        <w:t>i sasaistei</w:t>
      </w:r>
      <w:r>
        <w:rPr>
          <w:bCs/>
        </w:rPr>
        <w:t xml:space="preserve"> ar atbrīvojumu no aplikšanas ar pievienotās vērtības nodokli </w:t>
      </w:r>
      <w:r w:rsidR="00653F25">
        <w:rPr>
          <w:bCs/>
        </w:rPr>
        <w:t>tieši Pievienotās vērtības nodokļa likuma 52.panta pirmās daļas 10.punkta izpratnē</w:t>
      </w:r>
      <w:r>
        <w:rPr>
          <w:bCs/>
        </w:rPr>
        <w:t>.</w:t>
      </w:r>
    </w:p>
    <w:p w14:paraId="556A7A6B" w14:textId="35323C11" w:rsidR="003C3F92" w:rsidRDefault="00E70B31" w:rsidP="002E53C2">
      <w:pPr>
        <w:shd w:val="clear" w:color="auto" w:fill="FFFFFF"/>
        <w:spacing w:line="276" w:lineRule="auto"/>
        <w:ind w:firstLine="720"/>
        <w:jc w:val="both"/>
        <w:rPr>
          <w:bCs/>
        </w:rPr>
      </w:pPr>
      <w:r>
        <w:rPr>
          <w:bCs/>
        </w:rPr>
        <w:t xml:space="preserve">Eiropas Savienības Tiesa, interpretējot </w:t>
      </w:r>
      <w:r w:rsidR="00255694" w:rsidRPr="00255694">
        <w:rPr>
          <w:bCs/>
        </w:rPr>
        <w:t>Padomes 1977.gada 17.maij</w:t>
      </w:r>
      <w:r w:rsidR="00255694">
        <w:rPr>
          <w:bCs/>
        </w:rPr>
        <w:t>a</w:t>
      </w:r>
      <w:r w:rsidR="00255694" w:rsidRPr="00255694">
        <w:rPr>
          <w:bCs/>
        </w:rPr>
        <w:t xml:space="preserve"> Sestā</w:t>
      </w:r>
      <w:r w:rsidR="00255694">
        <w:rPr>
          <w:bCs/>
        </w:rPr>
        <w:t>s</w:t>
      </w:r>
      <w:r w:rsidR="00255694" w:rsidRPr="00255694">
        <w:rPr>
          <w:bCs/>
        </w:rPr>
        <w:t xml:space="preserve"> direktīva</w:t>
      </w:r>
      <w:r w:rsidR="00255694">
        <w:rPr>
          <w:bCs/>
        </w:rPr>
        <w:t>s</w:t>
      </w:r>
      <w:r w:rsidR="00255694" w:rsidRPr="00255694">
        <w:rPr>
          <w:bCs/>
        </w:rPr>
        <w:t xml:space="preserve"> par to, kā saskaņojami dalībvalstu tiesību akti par apgrozījuma nodokļiem</w:t>
      </w:r>
      <w:r w:rsidR="00255694">
        <w:rPr>
          <w:bCs/>
        </w:rPr>
        <w:t xml:space="preserve"> – </w:t>
      </w:r>
      <w:r w:rsidR="00255694" w:rsidRPr="00255694">
        <w:rPr>
          <w:bCs/>
        </w:rPr>
        <w:t>Kopēja pievienotās vērtības nodokļu sistēma: vienota aprēķinu bāze</w:t>
      </w:r>
      <w:r w:rsidR="00255694">
        <w:rPr>
          <w:bCs/>
        </w:rPr>
        <w:t xml:space="preserve"> (turpmāk – Sestā direktīva)</w:t>
      </w:r>
      <w:r>
        <w:rPr>
          <w:bCs/>
        </w:rPr>
        <w:t xml:space="preserve"> 13.panta A daļas 1.punkta „g” un „h” apakšpunktu (šobrīd gandrīz analoģiski – Pievienotās vērtības nodokļa </w:t>
      </w:r>
      <w:r w:rsidR="00255694">
        <w:rPr>
          <w:bCs/>
        </w:rPr>
        <w:t xml:space="preserve">direktīvas </w:t>
      </w:r>
      <w:r>
        <w:rPr>
          <w:bCs/>
        </w:rPr>
        <w:t xml:space="preserve">132.panta 1.punkta „g” un „h” apakšpunkts), norādīja, ka, </w:t>
      </w:r>
      <w:r w:rsidRPr="00E70B31">
        <w:rPr>
          <w:bCs/>
        </w:rPr>
        <w:t xml:space="preserve">nodrošinot labvēlīgāku pieeju </w:t>
      </w:r>
      <w:r>
        <w:rPr>
          <w:bCs/>
        </w:rPr>
        <w:t xml:space="preserve">pievienotās vērtības nodokļa </w:t>
      </w:r>
      <w:r w:rsidRPr="00E70B31">
        <w:rPr>
          <w:bCs/>
        </w:rPr>
        <w:t xml:space="preserve">nozarē attiecībā uz </w:t>
      </w:r>
      <w:r>
        <w:rPr>
          <w:bCs/>
        </w:rPr>
        <w:t xml:space="preserve"> </w:t>
      </w:r>
      <w:r w:rsidRPr="00E70B31">
        <w:rPr>
          <w:bCs/>
        </w:rPr>
        <w:t>noteiktiem vispārējo interešu pakalpojumiem, kas sniegti labdarības jomā, minēto atbrīvojumu mērķis ir samazināt šo pakalpojumu izmaksas un padarīt tos pieejamākus personām, kuras tos varētu izmantot</w:t>
      </w:r>
      <w:r>
        <w:rPr>
          <w:bCs/>
        </w:rPr>
        <w:t>. Turklāt d</w:t>
      </w:r>
      <w:r w:rsidRPr="00E70B31">
        <w:rPr>
          <w:bCs/>
        </w:rPr>
        <w:t>arbības komerciālais raksturs neizslēdz to, ka šādai darbībai ir arī vispārējo interešu raksturs</w:t>
      </w:r>
      <w:r>
        <w:rPr>
          <w:bCs/>
        </w:rPr>
        <w:t xml:space="preserve">, un </w:t>
      </w:r>
      <w:r w:rsidR="00155F77">
        <w:rPr>
          <w:bCs/>
        </w:rPr>
        <w:t xml:space="preserve">normas neizslēdz atbrīvojuma piemērošanu privātām apvienībām, kuru mērķis ir peļņas gūšana – ja valsts tās ir atzinusi par labdarības organizācijām </w:t>
      </w:r>
      <w:r>
        <w:rPr>
          <w:bCs/>
        </w:rPr>
        <w:t>(</w:t>
      </w:r>
      <w:r w:rsidRPr="00E70B31">
        <w:rPr>
          <w:bCs/>
          <w:i/>
          <w:iCs/>
        </w:rPr>
        <w:t xml:space="preserve">Eiropas Savienības Tiesas 2005.gada 26.maija sprieduma lietā  „Kingscrest Associates and Montecello”, C-498/03, </w:t>
      </w:r>
      <w:hyperlink r:id="rId11" w:history="1">
        <w:r w:rsidRPr="00E70B31">
          <w:rPr>
            <w:rStyle w:val="Hyperlink"/>
            <w:bCs/>
            <w:i/>
            <w:iCs/>
          </w:rPr>
          <w:t>ECLI:EU:C:2005:322</w:t>
        </w:r>
      </w:hyperlink>
      <w:r w:rsidRPr="00E70B31">
        <w:rPr>
          <w:bCs/>
          <w:i/>
          <w:iCs/>
        </w:rPr>
        <w:t>, 30.</w:t>
      </w:r>
      <w:r w:rsidR="00155F77">
        <w:rPr>
          <w:bCs/>
          <w:i/>
          <w:iCs/>
        </w:rPr>
        <w:t>, 31., 43.punkts</w:t>
      </w:r>
      <w:r>
        <w:rPr>
          <w:bCs/>
        </w:rPr>
        <w:t xml:space="preserve">). </w:t>
      </w:r>
      <w:r w:rsidR="00155F77">
        <w:rPr>
          <w:bCs/>
        </w:rPr>
        <w:t xml:space="preserve">Tomēr </w:t>
      </w:r>
      <w:r w:rsidR="00155F77" w:rsidRPr="00155F77">
        <w:rPr>
          <w:bCs/>
        </w:rPr>
        <w:t xml:space="preserve">nodokļu neitralitātes princips nepieļauj to, ka līdzīgu pakalpojumu sniegšana, starp kuriem pastāv konkurence, no </w:t>
      </w:r>
      <w:r w:rsidR="00155F77">
        <w:rPr>
          <w:bCs/>
        </w:rPr>
        <w:t xml:space="preserve">pievienotās vērtības nodokļa </w:t>
      </w:r>
      <w:r w:rsidR="00155F77" w:rsidRPr="00155F77">
        <w:rPr>
          <w:bCs/>
        </w:rPr>
        <w:t>viedokļa ir izvērtējami atšķirīgi</w:t>
      </w:r>
      <w:r w:rsidR="00155F77">
        <w:rPr>
          <w:bCs/>
        </w:rPr>
        <w:t>, un ir jāvērtē, vai atbrīvojums nerada vienlīdzīgas attieksmes principa pārkāpumu attiecībā pret subjektiem, kas sniedz līdzīga rakstura pakalpojumus (</w:t>
      </w:r>
      <w:r w:rsidR="00155F77" w:rsidRPr="003C3F92">
        <w:rPr>
          <w:bCs/>
          <w:i/>
          <w:iCs/>
        </w:rPr>
        <w:t>turpat, 54.punkts</w:t>
      </w:r>
      <w:r w:rsidR="00155F77">
        <w:rPr>
          <w:bCs/>
        </w:rPr>
        <w:t xml:space="preserve">). </w:t>
      </w:r>
    </w:p>
    <w:p w14:paraId="318E187F" w14:textId="77777777" w:rsidR="003C3F92" w:rsidRDefault="003C3F92" w:rsidP="002E53C2">
      <w:pPr>
        <w:shd w:val="clear" w:color="auto" w:fill="FFFFFF"/>
        <w:spacing w:line="276" w:lineRule="auto"/>
        <w:ind w:firstLine="720"/>
        <w:jc w:val="both"/>
        <w:rPr>
          <w:bCs/>
        </w:rPr>
      </w:pPr>
      <w:r>
        <w:rPr>
          <w:bCs/>
        </w:rPr>
        <w:t>Lai arī Eiropas Savienības Tiesa minētās atziņas izteica, interpretējot, kas ir „labdarības organizācijas” Sestās direktīvas attiecīgo normu kontekstā, tas liecina par atbrīvojuma mērķi un attiecīgi iezīmē robežas atbrīvojuma piemērošanai arī kontekstā ar preču piegādes vai pakalpojumu sniegšanas saturu. Proti, ir jākonstatē, ka preču piegāde un pakalpojumu sniegšana savā būtībā ir ar sociālās labklājības mērķi – bērnu un jauniešu aizsardzība, nevis tāda preču piegāde vai pakalpojumu sniegšana, kas savā būtībā neatšķiras no parastas saimnieciskās darbības.</w:t>
      </w:r>
    </w:p>
    <w:p w14:paraId="3F97AD24" w14:textId="2E4CA1C6" w:rsidR="002E4BFC" w:rsidRDefault="002E4BFC" w:rsidP="002E53C2">
      <w:pPr>
        <w:shd w:val="clear" w:color="auto" w:fill="FFFFFF"/>
        <w:spacing w:line="276" w:lineRule="auto"/>
        <w:ind w:firstLine="720"/>
        <w:jc w:val="both"/>
        <w:rPr>
          <w:bCs/>
        </w:rPr>
      </w:pPr>
      <w:r>
        <w:rPr>
          <w:bCs/>
        </w:rPr>
        <w:t>Tas, ka atbrīvojumu piemērošana nedrīkst radīt nevienlīdzīgu situāciju starp subjektiem, kas sniedz līdzīgus pakalpojumus, tieš</w:t>
      </w:r>
      <w:r w:rsidR="00482479">
        <w:rPr>
          <w:bCs/>
        </w:rPr>
        <w:t xml:space="preserve">ā tekstā paredzēts </w:t>
      </w:r>
      <w:r>
        <w:rPr>
          <w:bCs/>
        </w:rPr>
        <w:t>Pievienotās vērtības nodokļa direktīvas 134.panta „b” apakšpunktā: p</w:t>
      </w:r>
      <w:r w:rsidRPr="002E4BFC">
        <w:rPr>
          <w:bCs/>
        </w:rPr>
        <w:t xml:space="preserve">reču piegādei vai pakalpojumu sniegšanai nepiešķir </w:t>
      </w:r>
      <w:r>
        <w:rPr>
          <w:bCs/>
        </w:rPr>
        <w:t xml:space="preserve">citstarp </w:t>
      </w:r>
      <w:r w:rsidRPr="002E4BFC">
        <w:rPr>
          <w:bCs/>
        </w:rPr>
        <w:t xml:space="preserve">132.panta 1.punkta </w:t>
      </w:r>
      <w:r>
        <w:rPr>
          <w:bCs/>
        </w:rPr>
        <w:t>„</w:t>
      </w:r>
      <w:r w:rsidRPr="002E4BFC">
        <w:rPr>
          <w:bCs/>
        </w:rPr>
        <w:t>h</w:t>
      </w:r>
      <w:r>
        <w:rPr>
          <w:bCs/>
        </w:rPr>
        <w:t>” </w:t>
      </w:r>
      <w:r w:rsidRPr="002E4BFC">
        <w:rPr>
          <w:bCs/>
        </w:rPr>
        <w:t>apakšpunktā paredzēto atbrīvojumu, ja</w:t>
      </w:r>
      <w:r>
        <w:rPr>
          <w:bCs/>
        </w:rPr>
        <w:t xml:space="preserve"> </w:t>
      </w:r>
      <w:r w:rsidRPr="002E4BFC">
        <w:rPr>
          <w:bCs/>
        </w:rPr>
        <w:t xml:space="preserve">preču piegādes vai pakalpojumu sniegšanas pamatmērķis ir gūt struktūrai papildu ienākumus, veicot darījumus, kas tieši konkurē ar komercuzņēmumu darījumiem, par kuriem uzliek </w:t>
      </w:r>
      <w:r>
        <w:rPr>
          <w:bCs/>
        </w:rPr>
        <w:t>pievienotās vērtības nodokli</w:t>
      </w:r>
      <w:r w:rsidRPr="002E4BFC">
        <w:rPr>
          <w:bCs/>
        </w:rPr>
        <w:t>.</w:t>
      </w:r>
    </w:p>
    <w:p w14:paraId="58C710FD" w14:textId="7AE89345" w:rsidR="003C3F92" w:rsidRDefault="00653F25" w:rsidP="002E53C2">
      <w:pPr>
        <w:shd w:val="clear" w:color="auto" w:fill="FFFFFF"/>
        <w:spacing w:line="276" w:lineRule="auto"/>
        <w:ind w:firstLine="720"/>
        <w:jc w:val="both"/>
        <w:rPr>
          <w:bCs/>
        </w:rPr>
      </w:pPr>
      <w:r>
        <w:rPr>
          <w:bCs/>
        </w:rPr>
        <w:t xml:space="preserve">Ja pieņemtu, ka viss, kas nāk par labu bērnu fiziskajai un intelektuālajai attīstībai, vai arī, piemēram, nodrošina uzturu, apģērbu un pajumti (Bērnu tiesību aizsardzības likuma 10.panta pirmā daļa), </w:t>
      </w:r>
      <w:r w:rsidR="003C3F92">
        <w:rPr>
          <w:bCs/>
        </w:rPr>
        <w:t xml:space="preserve">ir vērsts uz bērnu un jauniešu tiesību aizsardzību, </w:t>
      </w:r>
      <w:r>
        <w:rPr>
          <w:bCs/>
        </w:rPr>
        <w:t xml:space="preserve">tas ietvertu </w:t>
      </w:r>
      <w:r w:rsidR="00C41481">
        <w:rPr>
          <w:bCs/>
        </w:rPr>
        <w:t xml:space="preserve">būtībā </w:t>
      </w:r>
      <w:r>
        <w:rPr>
          <w:bCs/>
        </w:rPr>
        <w:t xml:space="preserve">jebkuras </w:t>
      </w:r>
      <w:r w:rsidR="00C92C13">
        <w:rPr>
          <w:bCs/>
        </w:rPr>
        <w:t xml:space="preserve">bērnu </w:t>
      </w:r>
      <w:r>
        <w:rPr>
          <w:bCs/>
        </w:rPr>
        <w:t xml:space="preserve">preces un </w:t>
      </w:r>
      <w:r w:rsidR="00C92C13">
        <w:rPr>
          <w:bCs/>
        </w:rPr>
        <w:t xml:space="preserve">bērniem paredzētus </w:t>
      </w:r>
      <w:r>
        <w:rPr>
          <w:bCs/>
        </w:rPr>
        <w:t>pakalpojumus</w:t>
      </w:r>
      <w:r w:rsidR="00C41481">
        <w:rPr>
          <w:bCs/>
        </w:rPr>
        <w:t>, jo tā vai citādi tie visi nāk par labu bērna attīstībai un tiešo vajadzību nodrošināšan</w:t>
      </w:r>
      <w:r w:rsidR="005534BC">
        <w:rPr>
          <w:bCs/>
        </w:rPr>
        <w:t>a</w:t>
      </w:r>
      <w:r w:rsidR="00C41481">
        <w:rPr>
          <w:bCs/>
        </w:rPr>
        <w:t>i</w:t>
      </w:r>
      <w:r w:rsidR="00C92C13">
        <w:rPr>
          <w:bCs/>
        </w:rPr>
        <w:t xml:space="preserve">. Šāds rezultāts acīmredzami neatbilstu Pievienotās vērtības nodokļa direktīvas 132.panta mērķim – </w:t>
      </w:r>
      <w:r w:rsidR="002C4B6A">
        <w:rPr>
          <w:bCs/>
        </w:rPr>
        <w:t>tie ir atbrīvojumi sabiedrības interesēs, lai veicinātu sabiedrība</w:t>
      </w:r>
      <w:r w:rsidR="003C3F92">
        <w:rPr>
          <w:bCs/>
        </w:rPr>
        <w:t>s labklājībai</w:t>
      </w:r>
      <w:r w:rsidR="002C4B6A">
        <w:rPr>
          <w:bCs/>
        </w:rPr>
        <w:t xml:space="preserve"> svarīgu pakalpojumu un preču pieejamību</w:t>
      </w:r>
      <w:r>
        <w:rPr>
          <w:bCs/>
        </w:rPr>
        <w:t>.</w:t>
      </w:r>
    </w:p>
    <w:p w14:paraId="46303B82" w14:textId="5A10FD02" w:rsidR="00653F25" w:rsidRDefault="00653F25" w:rsidP="002E53C2">
      <w:pPr>
        <w:shd w:val="clear" w:color="auto" w:fill="FFFFFF"/>
        <w:spacing w:line="276" w:lineRule="auto"/>
        <w:ind w:firstLine="720"/>
        <w:jc w:val="both"/>
        <w:rPr>
          <w:bCs/>
        </w:rPr>
      </w:pPr>
      <w:r>
        <w:rPr>
          <w:bCs/>
        </w:rPr>
        <w:t xml:space="preserve">Apgabaltiesas spriedumā būtībā nav nošķīruma, kā nodalīt parastu pakalpojumu sniegšanu un preču pārdošanu (kur bērniem paredzētās preces un pakalpojumi ir parasta saimnieciskā darbība tirgus apstākļos) no tādas pakalpojumu sniegšanas un preču pārdošanas, kam ir sabiedriskā labuma mērķis. </w:t>
      </w:r>
    </w:p>
    <w:p w14:paraId="661E8A2B" w14:textId="77777777" w:rsidR="00862A6B" w:rsidRDefault="00862A6B" w:rsidP="002E53C2">
      <w:pPr>
        <w:shd w:val="clear" w:color="auto" w:fill="FFFFFF"/>
        <w:spacing w:line="276" w:lineRule="auto"/>
        <w:ind w:firstLine="720"/>
        <w:jc w:val="both"/>
        <w:rPr>
          <w:bCs/>
        </w:rPr>
      </w:pPr>
    </w:p>
    <w:p w14:paraId="0F260816" w14:textId="608F6AB0" w:rsidR="00862A6B" w:rsidRDefault="00862A6B" w:rsidP="002E53C2">
      <w:pPr>
        <w:shd w:val="clear" w:color="auto" w:fill="FFFFFF"/>
        <w:spacing w:line="276" w:lineRule="auto"/>
        <w:ind w:firstLine="720"/>
        <w:jc w:val="both"/>
        <w:rPr>
          <w:bCs/>
        </w:rPr>
      </w:pPr>
      <w:r>
        <w:rPr>
          <w:bCs/>
        </w:rPr>
        <w:t>[</w:t>
      </w:r>
      <w:r w:rsidR="004826EA">
        <w:rPr>
          <w:bCs/>
        </w:rPr>
        <w:t>10</w:t>
      </w:r>
      <w:r>
        <w:rPr>
          <w:bCs/>
        </w:rPr>
        <w:t>] Eiropas Savienības Tiesa</w:t>
      </w:r>
      <w:r w:rsidR="00482479">
        <w:rPr>
          <w:bCs/>
        </w:rPr>
        <w:t xml:space="preserve">s praksē esošās norādes attiecībā uz „bērnu un jauniešu aizsardzības” labad pastāvošo atbrīvojumu liek domāt, ka tādi pakalpojumi kā sporta nodarbības bērniem nav aptverti ar šo atbrīvojumu. </w:t>
      </w:r>
    </w:p>
    <w:p w14:paraId="1B8F067B" w14:textId="7AFEFD4C" w:rsidR="00482479" w:rsidRDefault="00482479" w:rsidP="002E53C2">
      <w:pPr>
        <w:shd w:val="clear" w:color="auto" w:fill="FFFFFF"/>
        <w:spacing w:line="276" w:lineRule="auto"/>
        <w:ind w:firstLine="720"/>
        <w:jc w:val="both"/>
        <w:rPr>
          <w:bCs/>
        </w:rPr>
      </w:pPr>
      <w:r>
        <w:rPr>
          <w:bCs/>
        </w:rPr>
        <w:t xml:space="preserve">Eiropas Savienības Tiesa ir pieļāvusi, ka, piemēram, </w:t>
      </w:r>
      <w:r w:rsidRPr="00482479">
        <w:rPr>
          <w:bCs/>
        </w:rPr>
        <w:t>personu, kas uzrauga bērnus, veiktā uzraudzība var</w:t>
      </w:r>
      <w:r>
        <w:rPr>
          <w:bCs/>
        </w:rPr>
        <w:t>ētu</w:t>
      </w:r>
      <w:r w:rsidRPr="00482479">
        <w:rPr>
          <w:bCs/>
        </w:rPr>
        <w:t xml:space="preserve"> tikt </w:t>
      </w:r>
      <w:r>
        <w:rPr>
          <w:bCs/>
        </w:rPr>
        <w:t>aptverta ar</w:t>
      </w:r>
      <w:r w:rsidRPr="00482479">
        <w:rPr>
          <w:bCs/>
        </w:rPr>
        <w:t xml:space="preserve"> Sestās direktīvas 13.panta A daļas 1.punkta </w:t>
      </w:r>
      <w:r>
        <w:rPr>
          <w:bCs/>
        </w:rPr>
        <w:t>„</w:t>
      </w:r>
      <w:r w:rsidRPr="00482479">
        <w:rPr>
          <w:bCs/>
        </w:rPr>
        <w:t>g</w:t>
      </w:r>
      <w:r>
        <w:rPr>
          <w:bCs/>
        </w:rPr>
        <w:t>”</w:t>
      </w:r>
      <w:r w:rsidRPr="00482479">
        <w:rPr>
          <w:bCs/>
        </w:rPr>
        <w:t xml:space="preserve"> un </w:t>
      </w:r>
      <w:r>
        <w:rPr>
          <w:bCs/>
        </w:rPr>
        <w:t>„</w:t>
      </w:r>
      <w:r w:rsidRPr="00482479">
        <w:rPr>
          <w:bCs/>
        </w:rPr>
        <w:t>h</w:t>
      </w:r>
      <w:r>
        <w:rPr>
          <w:bCs/>
        </w:rPr>
        <w:t>” </w:t>
      </w:r>
      <w:r w:rsidRPr="00482479">
        <w:rPr>
          <w:bCs/>
        </w:rPr>
        <w:t>apakšpunkt</w:t>
      </w:r>
      <w:r>
        <w:rPr>
          <w:bCs/>
        </w:rPr>
        <w:t>u (</w:t>
      </w:r>
      <w:r w:rsidRPr="00C41481">
        <w:rPr>
          <w:bCs/>
          <w:i/>
          <w:iCs/>
        </w:rPr>
        <w:t xml:space="preserve">Eiropas Savienības Tiesas 2006.gada 9.februāra sprieduma lietā „Kinderopvang Enschede”, C-415/04, </w:t>
      </w:r>
      <w:hyperlink r:id="rId12" w:history="1">
        <w:r w:rsidRPr="00C41481">
          <w:rPr>
            <w:rStyle w:val="Hyperlink"/>
            <w:bCs/>
            <w:i/>
            <w:iCs/>
          </w:rPr>
          <w:t>ECLI:EU:C:2006:95</w:t>
        </w:r>
      </w:hyperlink>
      <w:r w:rsidRPr="00C41481">
        <w:rPr>
          <w:bCs/>
          <w:i/>
          <w:iCs/>
        </w:rPr>
        <w:t>, 17., 20.punkts</w:t>
      </w:r>
      <w:r>
        <w:rPr>
          <w:bCs/>
        </w:rPr>
        <w:t>), taču Tiesa atzīmēja, ka tas lietā netiek apstrīdēts, un galīgo secinājumu izdarīšanu atstāja dalībvalsts tiesas ziņā (</w:t>
      </w:r>
      <w:r w:rsidRPr="00C41481">
        <w:rPr>
          <w:bCs/>
          <w:i/>
          <w:iCs/>
        </w:rPr>
        <w:t>turpat, sprieduma rezolutīvā daļa</w:t>
      </w:r>
      <w:r>
        <w:rPr>
          <w:bCs/>
        </w:rPr>
        <w:t>).</w:t>
      </w:r>
    </w:p>
    <w:p w14:paraId="42898160" w14:textId="0A3683E1" w:rsidR="00862A6B" w:rsidRDefault="00B71B9D" w:rsidP="002E53C2">
      <w:pPr>
        <w:shd w:val="clear" w:color="auto" w:fill="FFFFFF"/>
        <w:spacing w:line="276" w:lineRule="auto"/>
        <w:ind w:firstLine="720"/>
        <w:jc w:val="both"/>
        <w:rPr>
          <w:bCs/>
        </w:rPr>
      </w:pPr>
      <w:r>
        <w:rPr>
          <w:bCs/>
        </w:rPr>
        <w:t xml:space="preserve">Citā lietā Eiropas Savienības Tiesa vērtēja, vai </w:t>
      </w:r>
      <w:r w:rsidRPr="00B71B9D">
        <w:rPr>
          <w:bCs/>
        </w:rPr>
        <w:t>sērfošanas un burāšanas apmācīb</w:t>
      </w:r>
      <w:r w:rsidR="00C41481">
        <w:rPr>
          <w:bCs/>
        </w:rPr>
        <w:t>a</w:t>
      </w:r>
      <w:r w:rsidRPr="00B71B9D">
        <w:rPr>
          <w:bCs/>
        </w:rPr>
        <w:t>, ko sniedz sērfošanas un burāšanas skolas</w:t>
      </w:r>
      <w:r>
        <w:rPr>
          <w:bCs/>
        </w:rPr>
        <w:t xml:space="preserve">, ir aptverta ar Pievienotās vērtības nodokļa direktīvas 132.panta 1.puntka „h” apakšpunktu. Tiesa atzina, ka </w:t>
      </w:r>
      <w:r w:rsidRPr="00B71B9D">
        <w:rPr>
          <w:bCs/>
        </w:rPr>
        <w:t xml:space="preserve">tādas sērfošanas un burāšanas mācības nevar tikt uzskatītas par </w:t>
      </w:r>
      <w:r>
        <w:rPr>
          <w:bCs/>
        </w:rPr>
        <w:t>„</w:t>
      </w:r>
      <w:r w:rsidRPr="00B71B9D">
        <w:rPr>
          <w:bCs/>
        </w:rPr>
        <w:t>cieši saistītām ar bērnu un jauniešu aizsardzību</w:t>
      </w:r>
      <w:r>
        <w:rPr>
          <w:bCs/>
        </w:rPr>
        <w:t>” minētās normas izpratnē</w:t>
      </w:r>
      <w:r w:rsidRPr="00B71B9D">
        <w:rPr>
          <w:bCs/>
        </w:rPr>
        <w:t>, ciktāl šie pakalpojumi drīzāk ir praktisko un teorētisko iemaņu virknes nodošana, kas paredzētas sporta aktivitāšu veikšanai</w:t>
      </w:r>
      <w:r>
        <w:rPr>
          <w:bCs/>
        </w:rPr>
        <w:t xml:space="preserve"> (</w:t>
      </w:r>
      <w:r w:rsidRPr="005F0BCB">
        <w:rPr>
          <w:bCs/>
          <w:i/>
          <w:iCs/>
        </w:rPr>
        <w:t>Eiropas Savienības Tiesas</w:t>
      </w:r>
      <w:r w:rsidR="005F0BCB" w:rsidRPr="005F0BCB">
        <w:rPr>
          <w:i/>
          <w:iCs/>
        </w:rPr>
        <w:t xml:space="preserve"> 2019.gada 7.oktobra rīkojuma lietā „</w:t>
      </w:r>
      <w:r w:rsidR="005F0BCB" w:rsidRPr="005F0BCB">
        <w:rPr>
          <w:bCs/>
          <w:i/>
          <w:iCs/>
        </w:rPr>
        <w:t xml:space="preserve">Finanzamt Hamburg-Barmbek-Uhlenhorst”, C-47/19, </w:t>
      </w:r>
      <w:hyperlink r:id="rId13" w:history="1">
        <w:r w:rsidR="005F0BCB" w:rsidRPr="005F0BCB">
          <w:rPr>
            <w:rStyle w:val="Hyperlink"/>
            <w:bCs/>
            <w:i/>
            <w:iCs/>
          </w:rPr>
          <w:t>ECLI:EU:C:2019:840</w:t>
        </w:r>
      </w:hyperlink>
      <w:r w:rsidR="005F0BCB" w:rsidRPr="005F0BCB">
        <w:rPr>
          <w:bCs/>
          <w:i/>
          <w:iCs/>
        </w:rPr>
        <w:t>, 38.punkts</w:t>
      </w:r>
      <w:r w:rsidR="005F0BCB">
        <w:rPr>
          <w:bCs/>
        </w:rPr>
        <w:t>)</w:t>
      </w:r>
      <w:r w:rsidRPr="00B71B9D">
        <w:rPr>
          <w:bCs/>
        </w:rPr>
        <w:t>.</w:t>
      </w:r>
    </w:p>
    <w:p w14:paraId="4D70CA05" w14:textId="686E0390" w:rsidR="005F0BCB" w:rsidRDefault="005F0BCB" w:rsidP="002E53C2">
      <w:pPr>
        <w:shd w:val="clear" w:color="auto" w:fill="FFFFFF"/>
        <w:spacing w:line="276" w:lineRule="auto"/>
        <w:ind w:firstLine="720"/>
        <w:jc w:val="both"/>
        <w:rPr>
          <w:bCs/>
        </w:rPr>
      </w:pPr>
      <w:r>
        <w:rPr>
          <w:bCs/>
        </w:rPr>
        <w:t>Senāts secina, ka analoģiski ir vērtējami arī tenisa nodarbību organizēšana bērniem. Nav šaubu, ka vispār nodarbošanās ar tenisu un attiecīgu prasmju attīstīšana nāk par labu bērnu attīstībai un veicina orientāciju uz veselīgu dzīvesveidu. Taču nav saskatāms īpašais bērnu un jauniešu aizsardzības elements, kas to nošķirtu no parastas pakalpojumu sniegšanas. Līdz ar to nav pamata Pievienotās vērtības nodokļa likuma 52.panta pirmās daļas 10.punktu attiecināt uz pieteicējas veikto darbību.</w:t>
      </w:r>
    </w:p>
    <w:p w14:paraId="6B7C337E" w14:textId="77777777" w:rsidR="005F0BCB" w:rsidRDefault="005F0BCB" w:rsidP="002E53C2">
      <w:pPr>
        <w:shd w:val="clear" w:color="auto" w:fill="FFFFFF"/>
        <w:spacing w:line="276" w:lineRule="auto"/>
        <w:ind w:firstLine="720"/>
        <w:jc w:val="both"/>
        <w:rPr>
          <w:bCs/>
        </w:rPr>
      </w:pPr>
    </w:p>
    <w:p w14:paraId="7CD120B5" w14:textId="12965A93" w:rsidR="00BC37F5" w:rsidRDefault="005F0BCB" w:rsidP="002E53C2">
      <w:pPr>
        <w:shd w:val="clear" w:color="auto" w:fill="FFFFFF"/>
        <w:spacing w:line="276" w:lineRule="auto"/>
        <w:ind w:firstLine="720"/>
        <w:jc w:val="both"/>
        <w:rPr>
          <w:bCs/>
        </w:rPr>
      </w:pPr>
      <w:r>
        <w:rPr>
          <w:bCs/>
        </w:rPr>
        <w:t>[</w:t>
      </w:r>
      <w:r w:rsidR="004826EA">
        <w:rPr>
          <w:bCs/>
        </w:rPr>
        <w:t>11</w:t>
      </w:r>
      <w:r>
        <w:rPr>
          <w:bCs/>
        </w:rPr>
        <w:t xml:space="preserve">] </w:t>
      </w:r>
      <w:r w:rsidR="00BC37F5">
        <w:rPr>
          <w:bCs/>
        </w:rPr>
        <w:t>A</w:t>
      </w:r>
      <w:r>
        <w:rPr>
          <w:bCs/>
        </w:rPr>
        <w:t xml:space="preserve">pgabaltiesa ir </w:t>
      </w:r>
      <w:r w:rsidR="00BC37F5">
        <w:rPr>
          <w:bCs/>
        </w:rPr>
        <w:t>pievērsusies arī jautājuma</w:t>
      </w:r>
      <w:r w:rsidR="00283FB0">
        <w:rPr>
          <w:bCs/>
        </w:rPr>
        <w:t>m</w:t>
      </w:r>
      <w:r w:rsidR="00BC37F5">
        <w:rPr>
          <w:bCs/>
        </w:rPr>
        <w:t xml:space="preserve"> par to, vai </w:t>
      </w:r>
      <w:r w:rsidR="00BC37F5" w:rsidRPr="00BC37F5">
        <w:rPr>
          <w:bCs/>
        </w:rPr>
        <w:t>pieteicējas sniegtie pakalpojumi būtu aplūkojami</w:t>
      </w:r>
      <w:r w:rsidR="00BC37F5">
        <w:rPr>
          <w:bCs/>
        </w:rPr>
        <w:t xml:space="preserve"> </w:t>
      </w:r>
      <w:r w:rsidR="00BC37F5" w:rsidRPr="00BC37F5">
        <w:rPr>
          <w:bCs/>
        </w:rPr>
        <w:t xml:space="preserve">arī </w:t>
      </w:r>
      <w:r w:rsidR="00BC37F5">
        <w:rPr>
          <w:bCs/>
        </w:rPr>
        <w:t xml:space="preserve">Pievienotās vērtības nodokļa </w:t>
      </w:r>
      <w:r w:rsidR="00BC37F5" w:rsidRPr="00BC37F5">
        <w:rPr>
          <w:bCs/>
        </w:rPr>
        <w:t xml:space="preserve">direktīvas 132.panta 1.punkta </w:t>
      </w:r>
      <w:r w:rsidR="00BC37F5">
        <w:rPr>
          <w:bCs/>
        </w:rPr>
        <w:t>„</w:t>
      </w:r>
      <w:r w:rsidR="00BC37F5" w:rsidRPr="00BC37F5">
        <w:rPr>
          <w:bCs/>
        </w:rPr>
        <w:t>m”</w:t>
      </w:r>
      <w:r w:rsidR="00BC37F5">
        <w:rPr>
          <w:bCs/>
        </w:rPr>
        <w:t> </w:t>
      </w:r>
      <w:r w:rsidR="00BC37F5" w:rsidRPr="00BC37F5">
        <w:rPr>
          <w:bCs/>
        </w:rPr>
        <w:t>apakšpunkta kontekstā, kas paredz, ka dalībvalstis</w:t>
      </w:r>
      <w:r w:rsidR="00BC37F5">
        <w:rPr>
          <w:bCs/>
        </w:rPr>
        <w:t xml:space="preserve"> </w:t>
      </w:r>
      <w:r w:rsidR="00BC37F5" w:rsidRPr="00BC37F5">
        <w:rPr>
          <w:bCs/>
        </w:rPr>
        <w:t>atbrīvo no nodokļa konkrētus pakalpojumus, kas cieši saistīti ar sportu vai fizisko audzināšanu un</w:t>
      </w:r>
      <w:r w:rsidR="00BC37F5">
        <w:rPr>
          <w:bCs/>
        </w:rPr>
        <w:t xml:space="preserve"> </w:t>
      </w:r>
      <w:r w:rsidR="00BC37F5" w:rsidRPr="00BC37F5">
        <w:rPr>
          <w:bCs/>
        </w:rPr>
        <w:t>ko bezpeļņas organizācijas sniedz personām, kas piedalās sporta vai fiziskās audzināšanas</w:t>
      </w:r>
      <w:r w:rsidR="00BC37F5">
        <w:rPr>
          <w:bCs/>
        </w:rPr>
        <w:t xml:space="preserve"> </w:t>
      </w:r>
      <w:r w:rsidR="00BC37F5" w:rsidRPr="00BC37F5">
        <w:rPr>
          <w:bCs/>
        </w:rPr>
        <w:t>pasākumos.</w:t>
      </w:r>
      <w:r w:rsidR="00BC37F5">
        <w:rPr>
          <w:bCs/>
        </w:rPr>
        <w:t xml:space="preserve"> Apgabaltiesa atzina, ka </w:t>
      </w:r>
      <w:r w:rsidR="00BC37F5" w:rsidRPr="00BC37F5">
        <w:rPr>
          <w:bCs/>
        </w:rPr>
        <w:t>valsts nav pienācīgi pārņēmusi direktīvas normu, kas savukārt</w:t>
      </w:r>
      <w:r w:rsidR="00BC37F5">
        <w:rPr>
          <w:bCs/>
        </w:rPr>
        <w:t xml:space="preserve"> </w:t>
      </w:r>
      <w:r w:rsidR="00BC37F5" w:rsidRPr="00BC37F5">
        <w:rPr>
          <w:bCs/>
        </w:rPr>
        <w:t>liedz pieteicējai pretendēt uz nodokļa atbrīvojumu</w:t>
      </w:r>
      <w:r w:rsidR="00BC37F5">
        <w:rPr>
          <w:bCs/>
        </w:rPr>
        <w:t>, un visbeidzot atzina, ka piemērojams ir tieši 52.panta pirmās daļas 10.punktā minētais atbrīvojums pakalpojumiem „bērnu un jauniešu tiesību aizsardzības mērķiem” (</w:t>
      </w:r>
      <w:r w:rsidR="00BC37F5" w:rsidRPr="00C41481">
        <w:rPr>
          <w:bCs/>
          <w:i/>
          <w:iCs/>
        </w:rPr>
        <w:t>apgabaltiesas sprieduma 16.punkts</w:t>
      </w:r>
      <w:r w:rsidR="00BC37F5">
        <w:rPr>
          <w:bCs/>
        </w:rPr>
        <w:t>).</w:t>
      </w:r>
    </w:p>
    <w:p w14:paraId="215BAF68" w14:textId="7431441B" w:rsidR="00BC37F5" w:rsidRDefault="00BC37F5" w:rsidP="002E53C2">
      <w:pPr>
        <w:shd w:val="clear" w:color="auto" w:fill="FFFFFF"/>
        <w:spacing w:line="276" w:lineRule="auto"/>
        <w:ind w:firstLine="720"/>
        <w:jc w:val="both"/>
        <w:rPr>
          <w:bCs/>
        </w:rPr>
      </w:pPr>
      <w:r>
        <w:rPr>
          <w:bCs/>
        </w:rPr>
        <w:t>Tā kā apgabaltiesa būtībā nav piemērojusi atbrīvojumu, kas vērsts uz sporta pakalpojumiem, tad Senāts neuzskata par nepieciešamu pārbaudīt apgabaltiesas argumentāciju par šo jautājumu. Tāpat bez ievērības atstājami arī Valsts ieņēmumu dienesta kasācijas sūdzības argumenti, kas attiecas uz šo apgabaltiesas sprieduma motivāciju.</w:t>
      </w:r>
    </w:p>
    <w:p w14:paraId="30B7D61A" w14:textId="77777777" w:rsidR="00BC37F5" w:rsidRDefault="00BC37F5" w:rsidP="002E53C2">
      <w:pPr>
        <w:shd w:val="clear" w:color="auto" w:fill="FFFFFF"/>
        <w:spacing w:line="276" w:lineRule="auto"/>
        <w:ind w:firstLine="720"/>
        <w:jc w:val="both"/>
        <w:rPr>
          <w:bCs/>
        </w:rPr>
      </w:pPr>
    </w:p>
    <w:p w14:paraId="0E805AD8" w14:textId="06D35718" w:rsidR="00BC37F5" w:rsidRDefault="00BC37F5" w:rsidP="002E53C2">
      <w:pPr>
        <w:shd w:val="clear" w:color="auto" w:fill="FFFFFF"/>
        <w:spacing w:line="276" w:lineRule="auto"/>
        <w:ind w:firstLine="720"/>
        <w:jc w:val="both"/>
        <w:rPr>
          <w:bCs/>
        </w:rPr>
      </w:pPr>
      <w:r>
        <w:rPr>
          <w:bCs/>
        </w:rPr>
        <w:t>[</w:t>
      </w:r>
      <w:r w:rsidR="004826EA">
        <w:rPr>
          <w:bCs/>
        </w:rPr>
        <w:t>12</w:t>
      </w:r>
      <w:r>
        <w:rPr>
          <w:bCs/>
        </w:rPr>
        <w:t xml:space="preserve">] Apgabaltiesa sprieduma noslēgumā ir norādījusi, ka, </w:t>
      </w:r>
      <w:r w:rsidRPr="00BC37F5">
        <w:rPr>
          <w:bCs/>
        </w:rPr>
        <w:t xml:space="preserve">aplūkojot sistēmiski </w:t>
      </w:r>
      <w:r>
        <w:rPr>
          <w:bCs/>
        </w:rPr>
        <w:t xml:space="preserve">Pievienotās vērtības nodokļa </w:t>
      </w:r>
      <w:r w:rsidRPr="00BC37F5">
        <w:rPr>
          <w:bCs/>
        </w:rPr>
        <w:t xml:space="preserve">direktīvas 132.panta 1.punkta </w:t>
      </w:r>
      <w:r>
        <w:rPr>
          <w:bCs/>
        </w:rPr>
        <w:t>„</w:t>
      </w:r>
      <w:r w:rsidRPr="00BC37F5">
        <w:rPr>
          <w:bCs/>
        </w:rPr>
        <w:t xml:space="preserve">h” un </w:t>
      </w:r>
      <w:r>
        <w:rPr>
          <w:bCs/>
        </w:rPr>
        <w:t>„</w:t>
      </w:r>
      <w:r w:rsidRPr="00BC37F5">
        <w:rPr>
          <w:bCs/>
        </w:rPr>
        <w:t>m”</w:t>
      </w:r>
      <w:r>
        <w:rPr>
          <w:bCs/>
        </w:rPr>
        <w:t> </w:t>
      </w:r>
      <w:r w:rsidRPr="00BC37F5">
        <w:rPr>
          <w:bCs/>
        </w:rPr>
        <w:t xml:space="preserve">apakšpunktu, </w:t>
      </w:r>
      <w:r>
        <w:rPr>
          <w:bCs/>
        </w:rPr>
        <w:t xml:space="preserve">Pievienotās vērtības nodokļa </w:t>
      </w:r>
      <w:r w:rsidRPr="00BC37F5">
        <w:rPr>
          <w:bCs/>
        </w:rPr>
        <w:t xml:space="preserve">likuma 52. panta pirmās daļas 10. un 12. punktu kopsakarā ar </w:t>
      </w:r>
      <w:r w:rsidR="00682DAB" w:rsidRPr="00682DAB">
        <w:rPr>
          <w:bCs/>
        </w:rPr>
        <w:t>noteikumu Nr.</w:t>
      </w:r>
      <w:r w:rsidR="00682DAB">
        <w:rPr>
          <w:bCs/>
        </w:rPr>
        <w:t> </w:t>
      </w:r>
      <w:r w:rsidR="00682DAB" w:rsidRPr="00682DAB">
        <w:rPr>
          <w:bCs/>
        </w:rPr>
        <w:t xml:space="preserve">17 </w:t>
      </w:r>
      <w:r w:rsidRPr="00BC37F5">
        <w:rPr>
          <w:bCs/>
        </w:rPr>
        <w:t>29.3.apakšpunktu, ir saskatāms likumdevēja mērķis pēc būtības</w:t>
      </w:r>
      <w:r w:rsidR="00682DAB">
        <w:rPr>
          <w:bCs/>
        </w:rPr>
        <w:t xml:space="preserve"> </w:t>
      </w:r>
      <w:r w:rsidRPr="00BC37F5">
        <w:rPr>
          <w:bCs/>
        </w:rPr>
        <w:t>atbrīvot maksu par treniņu nodarbībām bērniem no aplikšanas ar</w:t>
      </w:r>
      <w:r w:rsidR="00682DAB">
        <w:rPr>
          <w:bCs/>
        </w:rPr>
        <w:t xml:space="preserve"> nodokli.</w:t>
      </w:r>
    </w:p>
    <w:p w14:paraId="501AF21E" w14:textId="0801D302" w:rsidR="00682DAB" w:rsidRDefault="00682DAB" w:rsidP="002E53C2">
      <w:pPr>
        <w:shd w:val="clear" w:color="auto" w:fill="FFFFFF"/>
        <w:spacing w:line="276" w:lineRule="auto"/>
        <w:ind w:firstLine="720"/>
        <w:jc w:val="both"/>
        <w:rPr>
          <w:bCs/>
        </w:rPr>
      </w:pPr>
      <w:r>
        <w:rPr>
          <w:bCs/>
        </w:rPr>
        <w:t xml:space="preserve">Senāts nesaskata, kā no minētajām normām to kopsakarā izriet apgabaltiesas secinājums. </w:t>
      </w:r>
      <w:r w:rsidR="00C41481">
        <w:rPr>
          <w:bCs/>
        </w:rPr>
        <w:t>A</w:t>
      </w:r>
      <w:r>
        <w:rPr>
          <w:bCs/>
        </w:rPr>
        <w:t xml:space="preserve">pgabaltiesa nav analizējusi šo normu saturu kopsakarā, </w:t>
      </w:r>
      <w:r w:rsidR="00C41481">
        <w:rPr>
          <w:bCs/>
        </w:rPr>
        <w:t xml:space="preserve">bet vienkārši paudusi apgalvojumu, </w:t>
      </w:r>
      <w:r>
        <w:rPr>
          <w:bCs/>
        </w:rPr>
        <w:t xml:space="preserve">turklāt </w:t>
      </w:r>
      <w:r w:rsidR="00C41481">
        <w:rPr>
          <w:bCs/>
        </w:rPr>
        <w:t>šis apgalvojums</w:t>
      </w:r>
      <w:r>
        <w:rPr>
          <w:bCs/>
        </w:rPr>
        <w:t xml:space="preserve"> vismaz daļēji nonāk pretrunā ar iepriekš apgabaltiesas izdarīto secinājumu, ka </w:t>
      </w:r>
      <w:r w:rsidR="00C41481">
        <w:rPr>
          <w:bCs/>
        </w:rPr>
        <w:t xml:space="preserve">valsts nav pienācīgi pārņēmusi </w:t>
      </w:r>
      <w:r>
        <w:rPr>
          <w:bCs/>
        </w:rPr>
        <w:t>Pievienotās vērtības nodokļa direktīvas atbrīvojumu par sporta nodarbībām un to nav iespējams piemērot attiecībā uz pieteicējas gadījumu</w:t>
      </w:r>
      <w:r w:rsidR="004826EA">
        <w:rPr>
          <w:bCs/>
        </w:rPr>
        <w:t>, un ka arī minēto Ministru kabineta noteikumu norma par atbrīvojumu sporta nodarbībām attiecībā uz pieteicēju nav piemērojama</w:t>
      </w:r>
      <w:r>
        <w:rPr>
          <w:bCs/>
        </w:rPr>
        <w:t>. Tādēļ šādu secinājumu pēc būtības nevar pārbaudīt</w:t>
      </w:r>
      <w:r w:rsidR="00C41481">
        <w:rPr>
          <w:bCs/>
        </w:rPr>
        <w:t>,</w:t>
      </w:r>
      <w:r>
        <w:rPr>
          <w:bCs/>
        </w:rPr>
        <w:t xml:space="preserve"> un Senāts to tālāk neanalizē.</w:t>
      </w:r>
    </w:p>
    <w:p w14:paraId="55E6F2D5" w14:textId="77777777" w:rsidR="00653871" w:rsidRDefault="00653871" w:rsidP="002E53C2">
      <w:pPr>
        <w:spacing w:line="276" w:lineRule="auto"/>
        <w:ind w:firstLine="720"/>
        <w:contextualSpacing/>
        <w:jc w:val="both"/>
      </w:pPr>
    </w:p>
    <w:p w14:paraId="7DEA0FD0" w14:textId="1BB9112D" w:rsidR="002D7C02" w:rsidRDefault="002D7C02" w:rsidP="002E53C2">
      <w:pPr>
        <w:spacing w:line="276" w:lineRule="auto"/>
        <w:ind w:firstLine="720"/>
        <w:jc w:val="both"/>
      </w:pPr>
      <w:r>
        <w:t>[</w:t>
      </w:r>
      <w:r w:rsidR="00913F70">
        <w:t>13</w:t>
      </w:r>
      <w:r>
        <w:t>] </w:t>
      </w:r>
      <w:r w:rsidR="00BC37F5">
        <w:rPr>
          <w:rFonts w:cstheme="minorHAnsi"/>
        </w:rPr>
        <w:t>Tā kā apgabaltiesa, plaši interpretējot „bērnu un jauniešu tiesību aizsardzības</w:t>
      </w:r>
      <w:r w:rsidR="004826EA">
        <w:rPr>
          <w:rFonts w:cstheme="minorHAnsi"/>
        </w:rPr>
        <w:t>”</w:t>
      </w:r>
      <w:r w:rsidR="00BC37F5">
        <w:rPr>
          <w:rFonts w:cstheme="minorHAnsi"/>
        </w:rPr>
        <w:t xml:space="preserve"> jēdzienu, ir nepamatoti piemērojusi Pievienotās vērtības nodokļa likuma 52.panta pirmās daļas 10.punktu</w:t>
      </w:r>
      <w:r w:rsidR="000721EE">
        <w:rPr>
          <w:rFonts w:cstheme="minorHAnsi"/>
        </w:rPr>
        <w:t>,</w:t>
      </w:r>
      <w:r w:rsidR="00776BF9">
        <w:rPr>
          <w:rFonts w:cstheme="minorHAnsi"/>
        </w:rPr>
        <w:t xml:space="preserve"> </w:t>
      </w:r>
      <w:r w:rsidR="00BC37F5">
        <w:rPr>
          <w:rFonts w:cstheme="minorHAnsi"/>
        </w:rPr>
        <w:t>tās spriedums ir atceļams un lieta nosūtāma jaunai izskatīšanai</w:t>
      </w:r>
      <w:r w:rsidRPr="00645D73">
        <w:t>.</w:t>
      </w:r>
    </w:p>
    <w:p w14:paraId="1DCDDF07" w14:textId="176D904E" w:rsidR="00927F11" w:rsidRDefault="00927F11" w:rsidP="002E53C2">
      <w:pPr>
        <w:spacing w:line="276" w:lineRule="auto"/>
        <w:ind w:firstLine="720"/>
        <w:contextualSpacing/>
        <w:jc w:val="both"/>
      </w:pPr>
    </w:p>
    <w:p w14:paraId="184B2DD6" w14:textId="77777777" w:rsidR="00BC32B4" w:rsidRPr="0036770F" w:rsidRDefault="00BC32B4" w:rsidP="002E53C2">
      <w:pPr>
        <w:spacing w:line="276" w:lineRule="auto"/>
        <w:jc w:val="center"/>
        <w:rPr>
          <w:b/>
        </w:rPr>
      </w:pPr>
      <w:r w:rsidRPr="0036770F">
        <w:rPr>
          <w:b/>
        </w:rPr>
        <w:t>Rezolutīvā daļa</w:t>
      </w:r>
    </w:p>
    <w:p w14:paraId="4EF1B1D7" w14:textId="77777777" w:rsidR="00685DD6" w:rsidRPr="003B2DA9" w:rsidRDefault="00685DD6" w:rsidP="002E53C2">
      <w:pPr>
        <w:shd w:val="clear" w:color="auto" w:fill="FFFFFF"/>
        <w:spacing w:line="276" w:lineRule="auto"/>
        <w:ind w:firstLine="720"/>
        <w:jc w:val="both"/>
        <w:rPr>
          <w:rFonts w:asciiTheme="majorBidi" w:hAnsiTheme="majorBidi" w:cstheme="majorBidi"/>
          <w:bCs/>
        </w:rPr>
      </w:pPr>
    </w:p>
    <w:p w14:paraId="2940726D" w14:textId="388B943E" w:rsidR="00685DD6" w:rsidRPr="003B2DA9" w:rsidRDefault="00685DD6" w:rsidP="002E53C2">
      <w:pPr>
        <w:spacing w:line="276" w:lineRule="auto"/>
        <w:ind w:firstLine="720"/>
        <w:jc w:val="both"/>
        <w:rPr>
          <w:rFonts w:asciiTheme="majorBidi" w:hAnsiTheme="majorBidi" w:cstheme="majorBidi"/>
        </w:rPr>
      </w:pPr>
      <w:r w:rsidRPr="003B2DA9">
        <w:rPr>
          <w:rFonts w:asciiTheme="majorBidi" w:hAnsiTheme="majorBidi" w:cstheme="majorBidi"/>
        </w:rPr>
        <w:t xml:space="preserve">Pamatojoties uz </w:t>
      </w:r>
      <w:r w:rsidRPr="003B2DA9">
        <w:rPr>
          <w:rFonts w:asciiTheme="majorBidi" w:eastAsia="Calibri" w:hAnsiTheme="majorBidi" w:cstheme="majorBidi"/>
          <w:lang w:eastAsia="en-US"/>
        </w:rPr>
        <w:t xml:space="preserve">Administratīvā procesa likuma </w:t>
      </w:r>
      <w:r w:rsidR="00BC37F5">
        <w:rPr>
          <w:rFonts w:asciiTheme="majorBidi" w:eastAsia="Calibri" w:hAnsiTheme="majorBidi" w:cstheme="majorBidi"/>
          <w:lang w:eastAsia="en-US"/>
        </w:rPr>
        <w:t xml:space="preserve">129.1panta pirmās daļas 1.punktu, </w:t>
      </w:r>
      <w:r w:rsidRPr="003B2DA9">
        <w:rPr>
          <w:rFonts w:asciiTheme="majorBidi" w:eastAsia="Calibri" w:hAnsiTheme="majorBidi" w:cstheme="majorBidi"/>
          <w:lang w:eastAsia="en-US"/>
        </w:rPr>
        <w:t xml:space="preserve">348.panta pirmās daļas </w:t>
      </w:r>
      <w:r w:rsidR="00BC37F5">
        <w:rPr>
          <w:rFonts w:asciiTheme="majorBidi" w:eastAsia="Calibri" w:hAnsiTheme="majorBidi" w:cstheme="majorBidi"/>
          <w:lang w:eastAsia="en-US"/>
        </w:rPr>
        <w:t>2</w:t>
      </w:r>
      <w:r w:rsidRPr="003B2DA9">
        <w:rPr>
          <w:rFonts w:asciiTheme="majorBidi" w:eastAsia="Calibri" w:hAnsiTheme="majorBidi" w:cstheme="majorBidi"/>
          <w:lang w:eastAsia="en-US"/>
        </w:rPr>
        <w:t>.punktu un 351.pantu</w:t>
      </w:r>
      <w:r w:rsidRPr="003B2DA9">
        <w:rPr>
          <w:rFonts w:asciiTheme="majorBidi" w:hAnsiTheme="majorBidi" w:cstheme="majorBidi"/>
        </w:rPr>
        <w:t>, Senāts</w:t>
      </w:r>
    </w:p>
    <w:p w14:paraId="287299F7" w14:textId="77777777" w:rsidR="00685DD6" w:rsidRPr="003B2DA9" w:rsidRDefault="00685DD6" w:rsidP="002E53C2">
      <w:pPr>
        <w:shd w:val="clear" w:color="auto" w:fill="FFFFFF"/>
        <w:spacing w:line="276" w:lineRule="auto"/>
        <w:ind w:firstLine="720"/>
        <w:jc w:val="both"/>
        <w:rPr>
          <w:rFonts w:asciiTheme="majorBidi" w:hAnsiTheme="majorBidi" w:cstheme="majorBidi"/>
        </w:rPr>
      </w:pPr>
    </w:p>
    <w:p w14:paraId="68F5D2D5" w14:textId="77777777" w:rsidR="000B259E" w:rsidRPr="00A53E41" w:rsidRDefault="000B259E" w:rsidP="002E53C2">
      <w:pPr>
        <w:shd w:val="clear" w:color="auto" w:fill="FFFFFF"/>
        <w:spacing w:line="276" w:lineRule="auto"/>
        <w:jc w:val="center"/>
        <w:rPr>
          <w:b/>
        </w:rPr>
      </w:pPr>
      <w:r w:rsidRPr="00A53E41">
        <w:rPr>
          <w:b/>
        </w:rPr>
        <w:t>nosprieda</w:t>
      </w:r>
    </w:p>
    <w:p w14:paraId="39A62A31" w14:textId="77777777" w:rsidR="000B259E" w:rsidRDefault="000B259E" w:rsidP="002E53C2">
      <w:pPr>
        <w:spacing w:line="276" w:lineRule="auto"/>
        <w:ind w:firstLine="720"/>
      </w:pPr>
    </w:p>
    <w:p w14:paraId="00C810B2" w14:textId="7ABF5A8A" w:rsidR="000B259E" w:rsidRDefault="00BC32B4" w:rsidP="002E53C2">
      <w:pPr>
        <w:spacing w:line="276" w:lineRule="auto"/>
        <w:ind w:firstLine="720"/>
        <w:jc w:val="both"/>
      </w:pPr>
      <w:r>
        <w:t>at</w:t>
      </w:r>
      <w:r w:rsidR="00BC37F5">
        <w:t>celt</w:t>
      </w:r>
      <w:r w:rsidR="00FD51AD">
        <w:t xml:space="preserve"> </w:t>
      </w:r>
      <w:r w:rsidR="00AE4165" w:rsidRPr="00DA6864">
        <w:t xml:space="preserve">Administratīvās apgabaltiesas </w:t>
      </w:r>
      <w:r w:rsidR="00685DD6" w:rsidRPr="000F5382">
        <w:t>202</w:t>
      </w:r>
      <w:r w:rsidR="00FD51AD">
        <w:t>4</w:t>
      </w:r>
      <w:r w:rsidR="00685DD6" w:rsidRPr="000F5382">
        <w:t xml:space="preserve">.gada </w:t>
      </w:r>
      <w:r w:rsidR="00FD51AD">
        <w:t>1</w:t>
      </w:r>
      <w:r w:rsidR="00BC37F5">
        <w:t>5</w:t>
      </w:r>
      <w:r w:rsidR="00FD51AD">
        <w:t xml:space="preserve">.jūlija </w:t>
      </w:r>
      <w:r w:rsidR="00AE4165" w:rsidRPr="00DA6864">
        <w:t>spriedumu</w:t>
      </w:r>
      <w:r w:rsidR="00BC37F5">
        <w:t xml:space="preserve"> un nosūtīt lietu jaunai izskatīšanai Administratīvajai apgabaltiesai;</w:t>
      </w:r>
    </w:p>
    <w:p w14:paraId="41389C3B" w14:textId="400BDE1E" w:rsidR="00BC37F5" w:rsidRDefault="00BC37F5" w:rsidP="002E53C2">
      <w:pPr>
        <w:spacing w:line="276" w:lineRule="auto"/>
        <w:ind w:firstLine="720"/>
        <w:jc w:val="both"/>
      </w:pPr>
      <w:r>
        <w:t xml:space="preserve">atmaksāt Valsts ieņēmumu dienestam drošības naudu 70 </w:t>
      </w:r>
      <w:r w:rsidRPr="00BC37F5">
        <w:rPr>
          <w:i/>
          <w:iCs/>
        </w:rPr>
        <w:t>euro</w:t>
      </w:r>
      <w:r>
        <w:t xml:space="preserve"> par kasācijas sūdzības iesniegšanu.</w:t>
      </w:r>
    </w:p>
    <w:p w14:paraId="107078DF" w14:textId="77777777" w:rsidR="00BC32B4" w:rsidRPr="00793346" w:rsidRDefault="00BC32B4" w:rsidP="002E53C2">
      <w:pPr>
        <w:spacing w:line="276" w:lineRule="auto"/>
        <w:ind w:firstLine="720"/>
        <w:jc w:val="both"/>
        <w:rPr>
          <w:bCs/>
        </w:rPr>
      </w:pPr>
    </w:p>
    <w:p w14:paraId="36E5EFB6" w14:textId="447E2148" w:rsidR="000B259E" w:rsidRPr="002E53C2" w:rsidRDefault="000B259E" w:rsidP="002E53C2">
      <w:pPr>
        <w:spacing w:line="276" w:lineRule="auto"/>
        <w:ind w:firstLine="720"/>
        <w:rPr>
          <w:bCs/>
        </w:rPr>
      </w:pPr>
      <w:r w:rsidRPr="00793346">
        <w:rPr>
          <w:bCs/>
        </w:rPr>
        <w:t>Spriedums nav pārsūdzams.</w:t>
      </w:r>
      <w:bookmarkEnd w:id="0"/>
    </w:p>
    <w:sectPr w:rsidR="000B259E" w:rsidRPr="002E53C2" w:rsidSect="007D0E74">
      <w:headerReference w:type="even" r:id="rId14"/>
      <w:footerReference w:type="even" r:id="rId15"/>
      <w:footerReference w:type="default" r:id="rId16"/>
      <w:pgSz w:w="12240" w:h="15840"/>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4518F" w14:textId="77777777" w:rsidR="00742E5A" w:rsidRDefault="00742E5A" w:rsidP="0082608C">
      <w:r>
        <w:separator/>
      </w:r>
    </w:p>
  </w:endnote>
  <w:endnote w:type="continuationSeparator" w:id="0">
    <w:p w14:paraId="31BBFC3F" w14:textId="77777777" w:rsidR="00742E5A" w:rsidRDefault="00742E5A" w:rsidP="0082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4AFC9" w14:textId="77777777" w:rsidR="00BA3879" w:rsidRDefault="00BA3879">
    <w:pPr>
      <w:pStyle w:val="Footer"/>
    </w:pPr>
  </w:p>
  <w:p w14:paraId="5FEF2A10" w14:textId="77777777" w:rsidR="00AD479B" w:rsidRDefault="00AD479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7239030"/>
      <w:docPartObj>
        <w:docPartGallery w:val="Page Numbers (Bottom of Page)"/>
        <w:docPartUnique/>
      </w:docPartObj>
    </w:sdtPr>
    <w:sdtEndPr>
      <w:rPr>
        <w:sz w:val="20"/>
        <w:szCs w:val="20"/>
      </w:rPr>
    </w:sdtEndPr>
    <w:sdtContent>
      <w:sdt>
        <w:sdtPr>
          <w:id w:val="1728636285"/>
          <w:docPartObj>
            <w:docPartGallery w:val="Page Numbers (Top of Page)"/>
            <w:docPartUnique/>
          </w:docPartObj>
        </w:sdtPr>
        <w:sdtEndPr>
          <w:rPr>
            <w:sz w:val="20"/>
            <w:szCs w:val="20"/>
          </w:rPr>
        </w:sdtEndPr>
        <w:sdtContent>
          <w:p w14:paraId="6D3A2867" w14:textId="6F315256" w:rsidR="00AD479B" w:rsidRPr="00EE6D12" w:rsidRDefault="00A94FA4" w:rsidP="00EE6D12">
            <w:pPr>
              <w:pStyle w:val="Footer"/>
              <w:jc w:val="center"/>
              <w:rPr>
                <w:sz w:val="20"/>
                <w:szCs w:val="20"/>
              </w:rPr>
            </w:pPr>
            <w:r w:rsidRPr="00CD334C">
              <w:rPr>
                <w:sz w:val="20"/>
                <w:szCs w:val="20"/>
              </w:rPr>
              <w:fldChar w:fldCharType="begin"/>
            </w:r>
            <w:r w:rsidRPr="00CD334C">
              <w:rPr>
                <w:sz w:val="20"/>
                <w:szCs w:val="20"/>
              </w:rPr>
              <w:instrText xml:space="preserve"> PAGE </w:instrText>
            </w:r>
            <w:r w:rsidRPr="00CD334C">
              <w:rPr>
                <w:sz w:val="20"/>
                <w:szCs w:val="20"/>
              </w:rPr>
              <w:fldChar w:fldCharType="separate"/>
            </w:r>
            <w:r w:rsidRPr="00CD334C">
              <w:rPr>
                <w:noProof/>
                <w:sz w:val="20"/>
                <w:szCs w:val="20"/>
              </w:rPr>
              <w:t>2</w:t>
            </w:r>
            <w:r w:rsidRPr="00CD334C">
              <w:rPr>
                <w:sz w:val="20"/>
                <w:szCs w:val="20"/>
              </w:rPr>
              <w:fldChar w:fldCharType="end"/>
            </w:r>
            <w:r w:rsidRPr="00CD334C">
              <w:rPr>
                <w:sz w:val="20"/>
                <w:szCs w:val="20"/>
              </w:rPr>
              <w:t xml:space="preserve"> no </w:t>
            </w:r>
            <w:r w:rsidRPr="00CD334C">
              <w:rPr>
                <w:sz w:val="20"/>
                <w:szCs w:val="20"/>
              </w:rPr>
              <w:fldChar w:fldCharType="begin"/>
            </w:r>
            <w:r w:rsidRPr="00CD334C">
              <w:rPr>
                <w:sz w:val="20"/>
                <w:szCs w:val="20"/>
              </w:rPr>
              <w:instrText xml:space="preserve"> NUMPAGES  </w:instrText>
            </w:r>
            <w:r w:rsidRPr="00CD334C">
              <w:rPr>
                <w:sz w:val="20"/>
                <w:szCs w:val="20"/>
              </w:rPr>
              <w:fldChar w:fldCharType="separate"/>
            </w:r>
            <w:r w:rsidRPr="00CD334C">
              <w:rPr>
                <w:noProof/>
                <w:sz w:val="20"/>
                <w:szCs w:val="20"/>
              </w:rPr>
              <w:t>2</w:t>
            </w:r>
            <w:r w:rsidRPr="00CD334C">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57633" w14:textId="77777777" w:rsidR="00742E5A" w:rsidRDefault="00742E5A" w:rsidP="0082608C">
      <w:r>
        <w:separator/>
      </w:r>
    </w:p>
  </w:footnote>
  <w:footnote w:type="continuationSeparator" w:id="0">
    <w:p w14:paraId="0117B66A" w14:textId="77777777" w:rsidR="00742E5A" w:rsidRDefault="00742E5A" w:rsidP="0082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D2286" w14:textId="77777777" w:rsidR="00BA3879" w:rsidRDefault="00BA3879">
    <w:pPr>
      <w:pStyle w:val="Header"/>
    </w:pPr>
  </w:p>
  <w:p w14:paraId="782953EC" w14:textId="77777777" w:rsidR="00AD479B" w:rsidRDefault="00AD479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066F4"/>
    <w:multiLevelType w:val="hybridMultilevel"/>
    <w:tmpl w:val="2222D432"/>
    <w:lvl w:ilvl="0" w:tplc="12FEEB2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9710C5"/>
    <w:multiLevelType w:val="hybridMultilevel"/>
    <w:tmpl w:val="15F23AEE"/>
    <w:lvl w:ilvl="0" w:tplc="1A1C0CB4">
      <w:start w:val="1"/>
      <w:numFmt w:val="decimal"/>
      <w:pStyle w:val="Heading1"/>
      <w:lvlText w:val="%1."/>
      <w:lvlJc w:val="left"/>
      <w:pPr>
        <w:ind w:left="720" w:hanging="360"/>
      </w:pPr>
    </w:lvl>
    <w:lvl w:ilvl="1" w:tplc="C00402C0">
      <w:start w:val="1"/>
      <w:numFmt w:val="decimal"/>
      <w:isLgl/>
      <w:lvlText w:val="%2.%2."/>
      <w:lvlJc w:val="left"/>
      <w:pPr>
        <w:tabs>
          <w:tab w:val="num" w:pos="1080"/>
        </w:tabs>
        <w:ind w:left="1080" w:hanging="720"/>
      </w:pPr>
      <w:rPr>
        <w:rFonts w:hint="default"/>
      </w:rPr>
    </w:lvl>
    <w:lvl w:ilvl="2" w:tplc="BE647B26">
      <w:numFmt w:val="none"/>
      <w:lvlText w:val=""/>
      <w:lvlJc w:val="left"/>
      <w:pPr>
        <w:tabs>
          <w:tab w:val="num" w:pos="360"/>
        </w:tabs>
      </w:pPr>
    </w:lvl>
    <w:lvl w:ilvl="3" w:tplc="07FEDA18">
      <w:numFmt w:val="none"/>
      <w:lvlText w:val=""/>
      <w:lvlJc w:val="left"/>
      <w:pPr>
        <w:tabs>
          <w:tab w:val="num" w:pos="360"/>
        </w:tabs>
      </w:pPr>
    </w:lvl>
    <w:lvl w:ilvl="4" w:tplc="57DAA7F6">
      <w:numFmt w:val="none"/>
      <w:lvlText w:val=""/>
      <w:lvlJc w:val="left"/>
      <w:pPr>
        <w:tabs>
          <w:tab w:val="num" w:pos="360"/>
        </w:tabs>
      </w:pPr>
    </w:lvl>
    <w:lvl w:ilvl="5" w:tplc="21AAD68E">
      <w:numFmt w:val="none"/>
      <w:lvlText w:val=""/>
      <w:lvlJc w:val="left"/>
      <w:pPr>
        <w:tabs>
          <w:tab w:val="num" w:pos="360"/>
        </w:tabs>
      </w:pPr>
    </w:lvl>
    <w:lvl w:ilvl="6" w:tplc="8F1A3C88">
      <w:numFmt w:val="none"/>
      <w:lvlText w:val=""/>
      <w:lvlJc w:val="left"/>
      <w:pPr>
        <w:tabs>
          <w:tab w:val="num" w:pos="360"/>
        </w:tabs>
      </w:pPr>
    </w:lvl>
    <w:lvl w:ilvl="7" w:tplc="76D6703A">
      <w:numFmt w:val="none"/>
      <w:lvlText w:val=""/>
      <w:lvlJc w:val="left"/>
      <w:pPr>
        <w:tabs>
          <w:tab w:val="num" w:pos="360"/>
        </w:tabs>
      </w:pPr>
    </w:lvl>
    <w:lvl w:ilvl="8" w:tplc="B9DA8042">
      <w:numFmt w:val="none"/>
      <w:lvlText w:val=""/>
      <w:lvlJc w:val="left"/>
      <w:pPr>
        <w:tabs>
          <w:tab w:val="num" w:pos="360"/>
        </w:tabs>
      </w:pPr>
    </w:lvl>
  </w:abstractNum>
  <w:abstractNum w:abstractNumId="2" w15:restartNumberingAfterBreak="0">
    <w:nsid w:val="1A5C7256"/>
    <w:multiLevelType w:val="multilevel"/>
    <w:tmpl w:val="AD10ADD2"/>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ascii="Arial" w:hAnsi="Arial" w:cs="Arial" w:hint="default"/>
        <w:b w:val="0"/>
        <w:sz w:val="20"/>
        <w:szCs w:val="20"/>
      </w:rPr>
    </w:lvl>
    <w:lvl w:ilvl="2">
      <w:start w:val="1"/>
      <w:numFmt w:val="lowerLetter"/>
      <w:lvlText w:val="%3)"/>
      <w:lvlJc w:val="left"/>
      <w:pPr>
        <w:ind w:left="1224" w:hanging="504"/>
      </w:pPr>
      <w:rPr>
        <w:rFonts w:hint="default"/>
      </w:rPr>
    </w:lvl>
    <w:lvl w:ilvl="3">
      <w:start w:val="1"/>
      <w:numFmt w:val="decimal"/>
      <w:lvlText w:val="%1.%2.%3%4.1"/>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645695882">
    <w:abstractNumId w:val="1"/>
  </w:num>
  <w:num w:numId="2" w16cid:durableId="821627640">
    <w:abstractNumId w:val="0"/>
  </w:num>
  <w:num w:numId="3" w16cid:durableId="1283414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activeWritingStyle w:appName="MSWord" w:lang="fr-FR" w:vendorID="64" w:dllVersion="4096" w:nlCheck="1" w:checkStyle="0"/>
  <w:activeWritingStyle w:appName="MSWord" w:lang="en-US" w:vendorID="64" w:dllVersion="4096" w:nlCheck="1" w:checkStyle="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EE6"/>
    <w:rsid w:val="000002B4"/>
    <w:rsid w:val="000003EF"/>
    <w:rsid w:val="00000803"/>
    <w:rsid w:val="00003C78"/>
    <w:rsid w:val="00011A37"/>
    <w:rsid w:val="00016405"/>
    <w:rsid w:val="0001676E"/>
    <w:rsid w:val="00016F23"/>
    <w:rsid w:val="0001779C"/>
    <w:rsid w:val="00020293"/>
    <w:rsid w:val="000203CA"/>
    <w:rsid w:val="000219F0"/>
    <w:rsid w:val="00021F46"/>
    <w:rsid w:val="00024EF5"/>
    <w:rsid w:val="00025083"/>
    <w:rsid w:val="00030179"/>
    <w:rsid w:val="000307A0"/>
    <w:rsid w:val="00030FF5"/>
    <w:rsid w:val="0003131F"/>
    <w:rsid w:val="00031347"/>
    <w:rsid w:val="000313B3"/>
    <w:rsid w:val="00031EDA"/>
    <w:rsid w:val="000332FE"/>
    <w:rsid w:val="00034D9B"/>
    <w:rsid w:val="00035355"/>
    <w:rsid w:val="00037AC1"/>
    <w:rsid w:val="00037BE9"/>
    <w:rsid w:val="0004009E"/>
    <w:rsid w:val="0004050C"/>
    <w:rsid w:val="00042BF7"/>
    <w:rsid w:val="000445E5"/>
    <w:rsid w:val="0004490C"/>
    <w:rsid w:val="00044A5E"/>
    <w:rsid w:val="0004551A"/>
    <w:rsid w:val="000466A1"/>
    <w:rsid w:val="00047361"/>
    <w:rsid w:val="000504EB"/>
    <w:rsid w:val="00050750"/>
    <w:rsid w:val="000509EA"/>
    <w:rsid w:val="000536AF"/>
    <w:rsid w:val="00053F03"/>
    <w:rsid w:val="00054744"/>
    <w:rsid w:val="000562A0"/>
    <w:rsid w:val="000575DC"/>
    <w:rsid w:val="00057723"/>
    <w:rsid w:val="00057BC1"/>
    <w:rsid w:val="00057F83"/>
    <w:rsid w:val="00057FAF"/>
    <w:rsid w:val="0006024F"/>
    <w:rsid w:val="000604C3"/>
    <w:rsid w:val="00062496"/>
    <w:rsid w:val="000624D8"/>
    <w:rsid w:val="0006270A"/>
    <w:rsid w:val="000640BA"/>
    <w:rsid w:val="000641BC"/>
    <w:rsid w:val="000645B1"/>
    <w:rsid w:val="00064F9C"/>
    <w:rsid w:val="000679FE"/>
    <w:rsid w:val="000701E1"/>
    <w:rsid w:val="000721EE"/>
    <w:rsid w:val="000722B7"/>
    <w:rsid w:val="00072850"/>
    <w:rsid w:val="00073524"/>
    <w:rsid w:val="00073B7D"/>
    <w:rsid w:val="00074B50"/>
    <w:rsid w:val="00075759"/>
    <w:rsid w:val="00076247"/>
    <w:rsid w:val="000771EC"/>
    <w:rsid w:val="00077B2B"/>
    <w:rsid w:val="0008043E"/>
    <w:rsid w:val="000805D9"/>
    <w:rsid w:val="00080885"/>
    <w:rsid w:val="00080D1F"/>
    <w:rsid w:val="0008110A"/>
    <w:rsid w:val="0008195A"/>
    <w:rsid w:val="00081FA4"/>
    <w:rsid w:val="000822E8"/>
    <w:rsid w:val="00082752"/>
    <w:rsid w:val="000837FF"/>
    <w:rsid w:val="00083BA9"/>
    <w:rsid w:val="0008452B"/>
    <w:rsid w:val="00087AAC"/>
    <w:rsid w:val="00091D7E"/>
    <w:rsid w:val="0009282B"/>
    <w:rsid w:val="00094505"/>
    <w:rsid w:val="000948B0"/>
    <w:rsid w:val="00094C31"/>
    <w:rsid w:val="00095513"/>
    <w:rsid w:val="0009651C"/>
    <w:rsid w:val="00096F1A"/>
    <w:rsid w:val="000A064D"/>
    <w:rsid w:val="000A1C99"/>
    <w:rsid w:val="000A32C1"/>
    <w:rsid w:val="000A3BB3"/>
    <w:rsid w:val="000A3C93"/>
    <w:rsid w:val="000A50B2"/>
    <w:rsid w:val="000A5715"/>
    <w:rsid w:val="000A57F2"/>
    <w:rsid w:val="000A59D9"/>
    <w:rsid w:val="000A6479"/>
    <w:rsid w:val="000A6F89"/>
    <w:rsid w:val="000B06EE"/>
    <w:rsid w:val="000B1EB2"/>
    <w:rsid w:val="000B1FA8"/>
    <w:rsid w:val="000B259E"/>
    <w:rsid w:val="000B3B71"/>
    <w:rsid w:val="000B4923"/>
    <w:rsid w:val="000B542F"/>
    <w:rsid w:val="000B5B8B"/>
    <w:rsid w:val="000B5EAD"/>
    <w:rsid w:val="000B6B4E"/>
    <w:rsid w:val="000B6C17"/>
    <w:rsid w:val="000B6C5A"/>
    <w:rsid w:val="000B6FCF"/>
    <w:rsid w:val="000B72C7"/>
    <w:rsid w:val="000B75F8"/>
    <w:rsid w:val="000C2EC0"/>
    <w:rsid w:val="000C441E"/>
    <w:rsid w:val="000C53C7"/>
    <w:rsid w:val="000C5D90"/>
    <w:rsid w:val="000C707C"/>
    <w:rsid w:val="000D081E"/>
    <w:rsid w:val="000D0A58"/>
    <w:rsid w:val="000D1225"/>
    <w:rsid w:val="000D31CE"/>
    <w:rsid w:val="000D323C"/>
    <w:rsid w:val="000D32C5"/>
    <w:rsid w:val="000D3E47"/>
    <w:rsid w:val="000D50EA"/>
    <w:rsid w:val="000D5537"/>
    <w:rsid w:val="000D665B"/>
    <w:rsid w:val="000D72AA"/>
    <w:rsid w:val="000E0BE4"/>
    <w:rsid w:val="000E25EC"/>
    <w:rsid w:val="000E275F"/>
    <w:rsid w:val="000E283E"/>
    <w:rsid w:val="000E2E7E"/>
    <w:rsid w:val="000E39CB"/>
    <w:rsid w:val="000E4039"/>
    <w:rsid w:val="000E4CE2"/>
    <w:rsid w:val="000E4EF4"/>
    <w:rsid w:val="000E658C"/>
    <w:rsid w:val="000E689A"/>
    <w:rsid w:val="000E6BDD"/>
    <w:rsid w:val="000E7322"/>
    <w:rsid w:val="000F3111"/>
    <w:rsid w:val="000F44A2"/>
    <w:rsid w:val="000F4BCA"/>
    <w:rsid w:val="000F5382"/>
    <w:rsid w:val="000F5B44"/>
    <w:rsid w:val="001001F0"/>
    <w:rsid w:val="00100DED"/>
    <w:rsid w:val="00101822"/>
    <w:rsid w:val="001025AD"/>
    <w:rsid w:val="0010264B"/>
    <w:rsid w:val="001032A9"/>
    <w:rsid w:val="00103B6D"/>
    <w:rsid w:val="00103DE3"/>
    <w:rsid w:val="0010552C"/>
    <w:rsid w:val="001055C5"/>
    <w:rsid w:val="00105829"/>
    <w:rsid w:val="00105EE1"/>
    <w:rsid w:val="00106B57"/>
    <w:rsid w:val="00106FB7"/>
    <w:rsid w:val="00107652"/>
    <w:rsid w:val="00107C09"/>
    <w:rsid w:val="001100F8"/>
    <w:rsid w:val="0011286F"/>
    <w:rsid w:val="001141B5"/>
    <w:rsid w:val="00114EB7"/>
    <w:rsid w:val="00115691"/>
    <w:rsid w:val="00115D3F"/>
    <w:rsid w:val="00121B3B"/>
    <w:rsid w:val="00121B83"/>
    <w:rsid w:val="00123F7F"/>
    <w:rsid w:val="00125597"/>
    <w:rsid w:val="001258F1"/>
    <w:rsid w:val="00125A4E"/>
    <w:rsid w:val="0012610F"/>
    <w:rsid w:val="00126AA3"/>
    <w:rsid w:val="001277EB"/>
    <w:rsid w:val="0013022B"/>
    <w:rsid w:val="0013042E"/>
    <w:rsid w:val="00130EC2"/>
    <w:rsid w:val="001319EA"/>
    <w:rsid w:val="00131CE8"/>
    <w:rsid w:val="0013203F"/>
    <w:rsid w:val="0013204E"/>
    <w:rsid w:val="0013211F"/>
    <w:rsid w:val="0013240B"/>
    <w:rsid w:val="00133144"/>
    <w:rsid w:val="00133CF7"/>
    <w:rsid w:val="0013524B"/>
    <w:rsid w:val="00135C29"/>
    <w:rsid w:val="00136DEE"/>
    <w:rsid w:val="0013715E"/>
    <w:rsid w:val="00142579"/>
    <w:rsid w:val="00143921"/>
    <w:rsid w:val="00143F28"/>
    <w:rsid w:val="00146BEF"/>
    <w:rsid w:val="001476CD"/>
    <w:rsid w:val="00150876"/>
    <w:rsid w:val="00150C18"/>
    <w:rsid w:val="00151882"/>
    <w:rsid w:val="00152927"/>
    <w:rsid w:val="001533EC"/>
    <w:rsid w:val="0015382A"/>
    <w:rsid w:val="00155999"/>
    <w:rsid w:val="00155B03"/>
    <w:rsid w:val="00155F77"/>
    <w:rsid w:val="001571E1"/>
    <w:rsid w:val="00160A0D"/>
    <w:rsid w:val="00161B23"/>
    <w:rsid w:val="001636B6"/>
    <w:rsid w:val="0016394B"/>
    <w:rsid w:val="00163DEF"/>
    <w:rsid w:val="00164054"/>
    <w:rsid w:val="00164165"/>
    <w:rsid w:val="00164BF5"/>
    <w:rsid w:val="001657B6"/>
    <w:rsid w:val="001677C0"/>
    <w:rsid w:val="001678AF"/>
    <w:rsid w:val="00167B32"/>
    <w:rsid w:val="00170584"/>
    <w:rsid w:val="001706EE"/>
    <w:rsid w:val="001713F3"/>
    <w:rsid w:val="0017184A"/>
    <w:rsid w:val="0017192B"/>
    <w:rsid w:val="00171E55"/>
    <w:rsid w:val="001728F4"/>
    <w:rsid w:val="00173694"/>
    <w:rsid w:val="00173D09"/>
    <w:rsid w:val="00173D90"/>
    <w:rsid w:val="00174AC0"/>
    <w:rsid w:val="00175B21"/>
    <w:rsid w:val="00176FF8"/>
    <w:rsid w:val="00177BB6"/>
    <w:rsid w:val="00180043"/>
    <w:rsid w:val="0018234B"/>
    <w:rsid w:val="00182940"/>
    <w:rsid w:val="001845D0"/>
    <w:rsid w:val="00184BEF"/>
    <w:rsid w:val="0018591F"/>
    <w:rsid w:val="001860B1"/>
    <w:rsid w:val="001862EA"/>
    <w:rsid w:val="00186B85"/>
    <w:rsid w:val="0018704C"/>
    <w:rsid w:val="001872ED"/>
    <w:rsid w:val="001904E8"/>
    <w:rsid w:val="0019130E"/>
    <w:rsid w:val="00192854"/>
    <w:rsid w:val="00193302"/>
    <w:rsid w:val="001936CA"/>
    <w:rsid w:val="00193887"/>
    <w:rsid w:val="00193A54"/>
    <w:rsid w:val="00193A85"/>
    <w:rsid w:val="001944F5"/>
    <w:rsid w:val="00195617"/>
    <w:rsid w:val="001958EC"/>
    <w:rsid w:val="0019627F"/>
    <w:rsid w:val="001A0083"/>
    <w:rsid w:val="001A01B9"/>
    <w:rsid w:val="001A101C"/>
    <w:rsid w:val="001A2722"/>
    <w:rsid w:val="001A4E26"/>
    <w:rsid w:val="001A5D0A"/>
    <w:rsid w:val="001A61A7"/>
    <w:rsid w:val="001A6387"/>
    <w:rsid w:val="001A6410"/>
    <w:rsid w:val="001A740B"/>
    <w:rsid w:val="001A7566"/>
    <w:rsid w:val="001A75B8"/>
    <w:rsid w:val="001B0003"/>
    <w:rsid w:val="001B079E"/>
    <w:rsid w:val="001B26A2"/>
    <w:rsid w:val="001B2F53"/>
    <w:rsid w:val="001B3B63"/>
    <w:rsid w:val="001B3BD7"/>
    <w:rsid w:val="001B57F9"/>
    <w:rsid w:val="001C1021"/>
    <w:rsid w:val="001C1453"/>
    <w:rsid w:val="001C2692"/>
    <w:rsid w:val="001C53C2"/>
    <w:rsid w:val="001C56A8"/>
    <w:rsid w:val="001C59DC"/>
    <w:rsid w:val="001C5F37"/>
    <w:rsid w:val="001C65A4"/>
    <w:rsid w:val="001C76D4"/>
    <w:rsid w:val="001D0851"/>
    <w:rsid w:val="001D0F36"/>
    <w:rsid w:val="001D1126"/>
    <w:rsid w:val="001D12BA"/>
    <w:rsid w:val="001D2429"/>
    <w:rsid w:val="001D341A"/>
    <w:rsid w:val="001D357B"/>
    <w:rsid w:val="001D3900"/>
    <w:rsid w:val="001D465D"/>
    <w:rsid w:val="001D47AE"/>
    <w:rsid w:val="001D4FF0"/>
    <w:rsid w:val="001D54F1"/>
    <w:rsid w:val="001D6E16"/>
    <w:rsid w:val="001D7274"/>
    <w:rsid w:val="001D797D"/>
    <w:rsid w:val="001D7C41"/>
    <w:rsid w:val="001E015C"/>
    <w:rsid w:val="001E0867"/>
    <w:rsid w:val="001E44D4"/>
    <w:rsid w:val="001E4897"/>
    <w:rsid w:val="001E4C74"/>
    <w:rsid w:val="001E5796"/>
    <w:rsid w:val="001E7FB1"/>
    <w:rsid w:val="001E7FCA"/>
    <w:rsid w:val="001F09E1"/>
    <w:rsid w:val="001F1C64"/>
    <w:rsid w:val="001F3F01"/>
    <w:rsid w:val="001F586C"/>
    <w:rsid w:val="001F6D7C"/>
    <w:rsid w:val="001F7A7A"/>
    <w:rsid w:val="00200220"/>
    <w:rsid w:val="00200411"/>
    <w:rsid w:val="00201971"/>
    <w:rsid w:val="00206217"/>
    <w:rsid w:val="002103B4"/>
    <w:rsid w:val="002103C6"/>
    <w:rsid w:val="0021040B"/>
    <w:rsid w:val="00210707"/>
    <w:rsid w:val="002127FD"/>
    <w:rsid w:val="00212B80"/>
    <w:rsid w:val="00216C3A"/>
    <w:rsid w:val="0021705B"/>
    <w:rsid w:val="00217C84"/>
    <w:rsid w:val="002207F3"/>
    <w:rsid w:val="002211CF"/>
    <w:rsid w:val="002220A8"/>
    <w:rsid w:val="00225028"/>
    <w:rsid w:val="002258BD"/>
    <w:rsid w:val="00225EDA"/>
    <w:rsid w:val="002268D6"/>
    <w:rsid w:val="00226F0D"/>
    <w:rsid w:val="002271FA"/>
    <w:rsid w:val="00227D9A"/>
    <w:rsid w:val="00230A21"/>
    <w:rsid w:val="00231835"/>
    <w:rsid w:val="00232319"/>
    <w:rsid w:val="00232B8C"/>
    <w:rsid w:val="00233E26"/>
    <w:rsid w:val="002341AD"/>
    <w:rsid w:val="00234555"/>
    <w:rsid w:val="00234F56"/>
    <w:rsid w:val="0023605E"/>
    <w:rsid w:val="002364AD"/>
    <w:rsid w:val="00237769"/>
    <w:rsid w:val="00237E9E"/>
    <w:rsid w:val="00240978"/>
    <w:rsid w:val="00240A55"/>
    <w:rsid w:val="00242A7A"/>
    <w:rsid w:val="002434C4"/>
    <w:rsid w:val="00243EF1"/>
    <w:rsid w:val="0024471A"/>
    <w:rsid w:val="0025003B"/>
    <w:rsid w:val="00250E50"/>
    <w:rsid w:val="002510C8"/>
    <w:rsid w:val="00251408"/>
    <w:rsid w:val="002523E5"/>
    <w:rsid w:val="0025297B"/>
    <w:rsid w:val="00253B2F"/>
    <w:rsid w:val="00253E09"/>
    <w:rsid w:val="00255694"/>
    <w:rsid w:val="00256FC3"/>
    <w:rsid w:val="00257605"/>
    <w:rsid w:val="0026246F"/>
    <w:rsid w:val="002628C4"/>
    <w:rsid w:val="00262B45"/>
    <w:rsid w:val="00262F08"/>
    <w:rsid w:val="00263471"/>
    <w:rsid w:val="00263D10"/>
    <w:rsid w:val="0026472D"/>
    <w:rsid w:val="0027231C"/>
    <w:rsid w:val="00272482"/>
    <w:rsid w:val="00274227"/>
    <w:rsid w:val="0027495B"/>
    <w:rsid w:val="002756D7"/>
    <w:rsid w:val="0027574B"/>
    <w:rsid w:val="00276286"/>
    <w:rsid w:val="0027681A"/>
    <w:rsid w:val="0027726D"/>
    <w:rsid w:val="00280507"/>
    <w:rsid w:val="002811FE"/>
    <w:rsid w:val="002817D5"/>
    <w:rsid w:val="00281842"/>
    <w:rsid w:val="002821ED"/>
    <w:rsid w:val="002834A5"/>
    <w:rsid w:val="00283571"/>
    <w:rsid w:val="00283FB0"/>
    <w:rsid w:val="002840A3"/>
    <w:rsid w:val="002840E9"/>
    <w:rsid w:val="00284CE2"/>
    <w:rsid w:val="002854EA"/>
    <w:rsid w:val="00285BE9"/>
    <w:rsid w:val="0028646C"/>
    <w:rsid w:val="002867AD"/>
    <w:rsid w:val="002875F0"/>
    <w:rsid w:val="00287789"/>
    <w:rsid w:val="00290F0C"/>
    <w:rsid w:val="00292E06"/>
    <w:rsid w:val="00295586"/>
    <w:rsid w:val="00296371"/>
    <w:rsid w:val="00297D7D"/>
    <w:rsid w:val="002A03D3"/>
    <w:rsid w:val="002A07B1"/>
    <w:rsid w:val="002A202A"/>
    <w:rsid w:val="002A2CE8"/>
    <w:rsid w:val="002A417B"/>
    <w:rsid w:val="002A4479"/>
    <w:rsid w:val="002A46F7"/>
    <w:rsid w:val="002A4E67"/>
    <w:rsid w:val="002A56C7"/>
    <w:rsid w:val="002B028D"/>
    <w:rsid w:val="002B0F9B"/>
    <w:rsid w:val="002B194D"/>
    <w:rsid w:val="002B315F"/>
    <w:rsid w:val="002B37D6"/>
    <w:rsid w:val="002B395D"/>
    <w:rsid w:val="002B3DB5"/>
    <w:rsid w:val="002B4F2E"/>
    <w:rsid w:val="002B50C1"/>
    <w:rsid w:val="002B561D"/>
    <w:rsid w:val="002B5C2C"/>
    <w:rsid w:val="002B641A"/>
    <w:rsid w:val="002C0431"/>
    <w:rsid w:val="002C091E"/>
    <w:rsid w:val="002C1313"/>
    <w:rsid w:val="002C1524"/>
    <w:rsid w:val="002C1604"/>
    <w:rsid w:val="002C27C8"/>
    <w:rsid w:val="002C3812"/>
    <w:rsid w:val="002C3BD8"/>
    <w:rsid w:val="002C4B6A"/>
    <w:rsid w:val="002C5490"/>
    <w:rsid w:val="002C5707"/>
    <w:rsid w:val="002C5968"/>
    <w:rsid w:val="002C7B33"/>
    <w:rsid w:val="002D04A9"/>
    <w:rsid w:val="002D1258"/>
    <w:rsid w:val="002D134F"/>
    <w:rsid w:val="002D17B0"/>
    <w:rsid w:val="002D202D"/>
    <w:rsid w:val="002D20A9"/>
    <w:rsid w:val="002D21F1"/>
    <w:rsid w:val="002D40F8"/>
    <w:rsid w:val="002D5D3F"/>
    <w:rsid w:val="002D62FA"/>
    <w:rsid w:val="002D63BC"/>
    <w:rsid w:val="002D655B"/>
    <w:rsid w:val="002D6C27"/>
    <w:rsid w:val="002D7C02"/>
    <w:rsid w:val="002E1618"/>
    <w:rsid w:val="002E2220"/>
    <w:rsid w:val="002E2761"/>
    <w:rsid w:val="002E2826"/>
    <w:rsid w:val="002E3AB6"/>
    <w:rsid w:val="002E3ADE"/>
    <w:rsid w:val="002E416D"/>
    <w:rsid w:val="002E4BFC"/>
    <w:rsid w:val="002E53C2"/>
    <w:rsid w:val="002E580B"/>
    <w:rsid w:val="002E7C67"/>
    <w:rsid w:val="002F0210"/>
    <w:rsid w:val="002F08F5"/>
    <w:rsid w:val="002F2773"/>
    <w:rsid w:val="002F30C9"/>
    <w:rsid w:val="002F357A"/>
    <w:rsid w:val="002F43A9"/>
    <w:rsid w:val="002F43ED"/>
    <w:rsid w:val="002F6055"/>
    <w:rsid w:val="002F6828"/>
    <w:rsid w:val="002F7A2C"/>
    <w:rsid w:val="00300E82"/>
    <w:rsid w:val="00302131"/>
    <w:rsid w:val="003036F1"/>
    <w:rsid w:val="00304B7B"/>
    <w:rsid w:val="00304FF9"/>
    <w:rsid w:val="00306E14"/>
    <w:rsid w:val="00310063"/>
    <w:rsid w:val="003105DA"/>
    <w:rsid w:val="00310DBA"/>
    <w:rsid w:val="00310FB0"/>
    <w:rsid w:val="00312D5A"/>
    <w:rsid w:val="00312D70"/>
    <w:rsid w:val="0031369B"/>
    <w:rsid w:val="00314F45"/>
    <w:rsid w:val="003151E6"/>
    <w:rsid w:val="00315F74"/>
    <w:rsid w:val="00315FD6"/>
    <w:rsid w:val="003160BE"/>
    <w:rsid w:val="00317928"/>
    <w:rsid w:val="00321D2D"/>
    <w:rsid w:val="0032339A"/>
    <w:rsid w:val="003233AC"/>
    <w:rsid w:val="00325677"/>
    <w:rsid w:val="003258C5"/>
    <w:rsid w:val="003268AF"/>
    <w:rsid w:val="00331FE1"/>
    <w:rsid w:val="0033379E"/>
    <w:rsid w:val="00335E61"/>
    <w:rsid w:val="003376FD"/>
    <w:rsid w:val="00337C16"/>
    <w:rsid w:val="00337E25"/>
    <w:rsid w:val="0034385C"/>
    <w:rsid w:val="00343D67"/>
    <w:rsid w:val="0034457C"/>
    <w:rsid w:val="003450AB"/>
    <w:rsid w:val="003458CE"/>
    <w:rsid w:val="003469ED"/>
    <w:rsid w:val="00350F59"/>
    <w:rsid w:val="0035114F"/>
    <w:rsid w:val="003518A7"/>
    <w:rsid w:val="00353288"/>
    <w:rsid w:val="00353377"/>
    <w:rsid w:val="0035367E"/>
    <w:rsid w:val="00353E36"/>
    <w:rsid w:val="00355AE1"/>
    <w:rsid w:val="00356536"/>
    <w:rsid w:val="00356A82"/>
    <w:rsid w:val="00357DAA"/>
    <w:rsid w:val="00360A3D"/>
    <w:rsid w:val="00360C33"/>
    <w:rsid w:val="0036226B"/>
    <w:rsid w:val="003623F4"/>
    <w:rsid w:val="003651C3"/>
    <w:rsid w:val="00365571"/>
    <w:rsid w:val="00365622"/>
    <w:rsid w:val="00366401"/>
    <w:rsid w:val="0036655C"/>
    <w:rsid w:val="003667FD"/>
    <w:rsid w:val="003711AA"/>
    <w:rsid w:val="00371EF9"/>
    <w:rsid w:val="00374013"/>
    <w:rsid w:val="003756D0"/>
    <w:rsid w:val="003778E4"/>
    <w:rsid w:val="00377D7D"/>
    <w:rsid w:val="0038030C"/>
    <w:rsid w:val="003811D5"/>
    <w:rsid w:val="00381AC4"/>
    <w:rsid w:val="00381C67"/>
    <w:rsid w:val="0038282C"/>
    <w:rsid w:val="00383578"/>
    <w:rsid w:val="00383E72"/>
    <w:rsid w:val="003856CE"/>
    <w:rsid w:val="003865CD"/>
    <w:rsid w:val="00386A64"/>
    <w:rsid w:val="003875BC"/>
    <w:rsid w:val="00387642"/>
    <w:rsid w:val="00387CE1"/>
    <w:rsid w:val="00387E86"/>
    <w:rsid w:val="00391DE7"/>
    <w:rsid w:val="0039235D"/>
    <w:rsid w:val="00393298"/>
    <w:rsid w:val="0039363E"/>
    <w:rsid w:val="0039420F"/>
    <w:rsid w:val="00395277"/>
    <w:rsid w:val="00395538"/>
    <w:rsid w:val="003958F5"/>
    <w:rsid w:val="00396E0D"/>
    <w:rsid w:val="00396FCC"/>
    <w:rsid w:val="003A1B55"/>
    <w:rsid w:val="003A1BC2"/>
    <w:rsid w:val="003A3A19"/>
    <w:rsid w:val="003A3B9D"/>
    <w:rsid w:val="003A4C1D"/>
    <w:rsid w:val="003A4DF2"/>
    <w:rsid w:val="003A612B"/>
    <w:rsid w:val="003A65E9"/>
    <w:rsid w:val="003A77EB"/>
    <w:rsid w:val="003B00AF"/>
    <w:rsid w:val="003B0AD4"/>
    <w:rsid w:val="003B0B87"/>
    <w:rsid w:val="003B0BBF"/>
    <w:rsid w:val="003B4F9B"/>
    <w:rsid w:val="003B4FFC"/>
    <w:rsid w:val="003B69AA"/>
    <w:rsid w:val="003B6FAA"/>
    <w:rsid w:val="003B6FF4"/>
    <w:rsid w:val="003B72A5"/>
    <w:rsid w:val="003C140D"/>
    <w:rsid w:val="003C1CD7"/>
    <w:rsid w:val="003C3043"/>
    <w:rsid w:val="003C3354"/>
    <w:rsid w:val="003C35E6"/>
    <w:rsid w:val="003C3F92"/>
    <w:rsid w:val="003C443B"/>
    <w:rsid w:val="003C561D"/>
    <w:rsid w:val="003C6806"/>
    <w:rsid w:val="003C705C"/>
    <w:rsid w:val="003D08E5"/>
    <w:rsid w:val="003D0B47"/>
    <w:rsid w:val="003D0CAB"/>
    <w:rsid w:val="003D317F"/>
    <w:rsid w:val="003D36CB"/>
    <w:rsid w:val="003D3D2B"/>
    <w:rsid w:val="003D45D6"/>
    <w:rsid w:val="003D5022"/>
    <w:rsid w:val="003D54EB"/>
    <w:rsid w:val="003D6B4C"/>
    <w:rsid w:val="003D6FCF"/>
    <w:rsid w:val="003E0097"/>
    <w:rsid w:val="003E0796"/>
    <w:rsid w:val="003E107C"/>
    <w:rsid w:val="003E2021"/>
    <w:rsid w:val="003E2483"/>
    <w:rsid w:val="003E51A8"/>
    <w:rsid w:val="003E5A4C"/>
    <w:rsid w:val="003E61CC"/>
    <w:rsid w:val="003E700D"/>
    <w:rsid w:val="003E7FB9"/>
    <w:rsid w:val="003F00C8"/>
    <w:rsid w:val="003F01BE"/>
    <w:rsid w:val="003F0715"/>
    <w:rsid w:val="003F1BD8"/>
    <w:rsid w:val="003F1DE6"/>
    <w:rsid w:val="003F22B7"/>
    <w:rsid w:val="003F311C"/>
    <w:rsid w:val="003F4F3B"/>
    <w:rsid w:val="003F523F"/>
    <w:rsid w:val="003F57FA"/>
    <w:rsid w:val="003F5993"/>
    <w:rsid w:val="003F63FC"/>
    <w:rsid w:val="003F7FE0"/>
    <w:rsid w:val="004008ED"/>
    <w:rsid w:val="004015C7"/>
    <w:rsid w:val="0040163B"/>
    <w:rsid w:val="004025E4"/>
    <w:rsid w:val="004028A6"/>
    <w:rsid w:val="0040356D"/>
    <w:rsid w:val="00403D0E"/>
    <w:rsid w:val="00405225"/>
    <w:rsid w:val="0040539B"/>
    <w:rsid w:val="00405ECD"/>
    <w:rsid w:val="0041184F"/>
    <w:rsid w:val="0041195F"/>
    <w:rsid w:val="00412E4C"/>
    <w:rsid w:val="00413B27"/>
    <w:rsid w:val="00413B8F"/>
    <w:rsid w:val="004150B8"/>
    <w:rsid w:val="0041539C"/>
    <w:rsid w:val="0041559D"/>
    <w:rsid w:val="004175A6"/>
    <w:rsid w:val="00417A8F"/>
    <w:rsid w:val="00420917"/>
    <w:rsid w:val="004219AF"/>
    <w:rsid w:val="004223B3"/>
    <w:rsid w:val="00423C6D"/>
    <w:rsid w:val="0042579F"/>
    <w:rsid w:val="0042599D"/>
    <w:rsid w:val="0042687A"/>
    <w:rsid w:val="00427CDC"/>
    <w:rsid w:val="00427F1F"/>
    <w:rsid w:val="004305E6"/>
    <w:rsid w:val="00430F36"/>
    <w:rsid w:val="00431066"/>
    <w:rsid w:val="00431641"/>
    <w:rsid w:val="0043541D"/>
    <w:rsid w:val="00436162"/>
    <w:rsid w:val="0044080B"/>
    <w:rsid w:val="0044113C"/>
    <w:rsid w:val="00441246"/>
    <w:rsid w:val="0044184F"/>
    <w:rsid w:val="00442A9C"/>
    <w:rsid w:val="00442C35"/>
    <w:rsid w:val="00443031"/>
    <w:rsid w:val="00443B41"/>
    <w:rsid w:val="004453B9"/>
    <w:rsid w:val="00445423"/>
    <w:rsid w:val="00445545"/>
    <w:rsid w:val="00445839"/>
    <w:rsid w:val="004459D0"/>
    <w:rsid w:val="00446C50"/>
    <w:rsid w:val="00446DA7"/>
    <w:rsid w:val="004479E7"/>
    <w:rsid w:val="00447EE6"/>
    <w:rsid w:val="004503AA"/>
    <w:rsid w:val="00450E2A"/>
    <w:rsid w:val="00450F43"/>
    <w:rsid w:val="0045157D"/>
    <w:rsid w:val="004522F3"/>
    <w:rsid w:val="0045267B"/>
    <w:rsid w:val="0045269B"/>
    <w:rsid w:val="0045456D"/>
    <w:rsid w:val="004548E9"/>
    <w:rsid w:val="00456DCD"/>
    <w:rsid w:val="00461CCD"/>
    <w:rsid w:val="00461D8F"/>
    <w:rsid w:val="00462359"/>
    <w:rsid w:val="00462D3C"/>
    <w:rsid w:val="0046308B"/>
    <w:rsid w:val="004633AB"/>
    <w:rsid w:val="00463868"/>
    <w:rsid w:val="00464849"/>
    <w:rsid w:val="00464D33"/>
    <w:rsid w:val="004654E4"/>
    <w:rsid w:val="00465A9B"/>
    <w:rsid w:val="00465D98"/>
    <w:rsid w:val="00466D03"/>
    <w:rsid w:val="004700D6"/>
    <w:rsid w:val="00470589"/>
    <w:rsid w:val="00470FD6"/>
    <w:rsid w:val="00471863"/>
    <w:rsid w:val="00472201"/>
    <w:rsid w:val="00473C60"/>
    <w:rsid w:val="00474233"/>
    <w:rsid w:val="0047552C"/>
    <w:rsid w:val="0047662E"/>
    <w:rsid w:val="004777D1"/>
    <w:rsid w:val="004817BC"/>
    <w:rsid w:val="00482479"/>
    <w:rsid w:val="004826EA"/>
    <w:rsid w:val="00483036"/>
    <w:rsid w:val="00483A3C"/>
    <w:rsid w:val="00483F52"/>
    <w:rsid w:val="00484440"/>
    <w:rsid w:val="0048515D"/>
    <w:rsid w:val="004853EC"/>
    <w:rsid w:val="0048590D"/>
    <w:rsid w:val="0048592C"/>
    <w:rsid w:val="00485B75"/>
    <w:rsid w:val="004861C3"/>
    <w:rsid w:val="004870F5"/>
    <w:rsid w:val="00490B3F"/>
    <w:rsid w:val="00491823"/>
    <w:rsid w:val="00492813"/>
    <w:rsid w:val="00492EB7"/>
    <w:rsid w:val="00493FF9"/>
    <w:rsid w:val="0049402F"/>
    <w:rsid w:val="00494FF7"/>
    <w:rsid w:val="0049551D"/>
    <w:rsid w:val="00495845"/>
    <w:rsid w:val="004958BB"/>
    <w:rsid w:val="00495A73"/>
    <w:rsid w:val="00495B57"/>
    <w:rsid w:val="00495CAC"/>
    <w:rsid w:val="00496895"/>
    <w:rsid w:val="00497496"/>
    <w:rsid w:val="00497AD2"/>
    <w:rsid w:val="004A0887"/>
    <w:rsid w:val="004A08CE"/>
    <w:rsid w:val="004A0F61"/>
    <w:rsid w:val="004A1AD3"/>
    <w:rsid w:val="004A3365"/>
    <w:rsid w:val="004A50BA"/>
    <w:rsid w:val="004A563B"/>
    <w:rsid w:val="004A6C08"/>
    <w:rsid w:val="004B010C"/>
    <w:rsid w:val="004B0580"/>
    <w:rsid w:val="004B0DB9"/>
    <w:rsid w:val="004B2745"/>
    <w:rsid w:val="004B29DC"/>
    <w:rsid w:val="004B2A94"/>
    <w:rsid w:val="004B31B0"/>
    <w:rsid w:val="004B4B7A"/>
    <w:rsid w:val="004B4F96"/>
    <w:rsid w:val="004B52A3"/>
    <w:rsid w:val="004B5DEF"/>
    <w:rsid w:val="004B5FC4"/>
    <w:rsid w:val="004C1B8B"/>
    <w:rsid w:val="004C257C"/>
    <w:rsid w:val="004C2D6C"/>
    <w:rsid w:val="004C321B"/>
    <w:rsid w:val="004C33A8"/>
    <w:rsid w:val="004C54E7"/>
    <w:rsid w:val="004C5769"/>
    <w:rsid w:val="004C64AF"/>
    <w:rsid w:val="004D1B52"/>
    <w:rsid w:val="004D3D04"/>
    <w:rsid w:val="004D3DC0"/>
    <w:rsid w:val="004D4B69"/>
    <w:rsid w:val="004D4F4C"/>
    <w:rsid w:val="004D5B2E"/>
    <w:rsid w:val="004D5B5B"/>
    <w:rsid w:val="004D5EA0"/>
    <w:rsid w:val="004D684D"/>
    <w:rsid w:val="004D6908"/>
    <w:rsid w:val="004D6DC1"/>
    <w:rsid w:val="004D6FD8"/>
    <w:rsid w:val="004E059C"/>
    <w:rsid w:val="004E12E0"/>
    <w:rsid w:val="004E1BDC"/>
    <w:rsid w:val="004E673B"/>
    <w:rsid w:val="004E7EB9"/>
    <w:rsid w:val="004E7EF6"/>
    <w:rsid w:val="004E7F15"/>
    <w:rsid w:val="004F016D"/>
    <w:rsid w:val="004F60F0"/>
    <w:rsid w:val="00500A96"/>
    <w:rsid w:val="00501031"/>
    <w:rsid w:val="00502723"/>
    <w:rsid w:val="00502CA9"/>
    <w:rsid w:val="00502F81"/>
    <w:rsid w:val="00503023"/>
    <w:rsid w:val="00504E4B"/>
    <w:rsid w:val="00505EF9"/>
    <w:rsid w:val="00506B16"/>
    <w:rsid w:val="00506D5B"/>
    <w:rsid w:val="00506FCF"/>
    <w:rsid w:val="00507117"/>
    <w:rsid w:val="005100A8"/>
    <w:rsid w:val="0051030C"/>
    <w:rsid w:val="005112C2"/>
    <w:rsid w:val="00511B56"/>
    <w:rsid w:val="00511C72"/>
    <w:rsid w:val="0051225C"/>
    <w:rsid w:val="00512845"/>
    <w:rsid w:val="005131A1"/>
    <w:rsid w:val="005157B2"/>
    <w:rsid w:val="00515F3A"/>
    <w:rsid w:val="00516BCC"/>
    <w:rsid w:val="00516FDB"/>
    <w:rsid w:val="0052109D"/>
    <w:rsid w:val="00522D68"/>
    <w:rsid w:val="00524A16"/>
    <w:rsid w:val="005251A3"/>
    <w:rsid w:val="00525381"/>
    <w:rsid w:val="005254D2"/>
    <w:rsid w:val="0052627C"/>
    <w:rsid w:val="00526681"/>
    <w:rsid w:val="005268D5"/>
    <w:rsid w:val="005272B6"/>
    <w:rsid w:val="005274F4"/>
    <w:rsid w:val="00527F60"/>
    <w:rsid w:val="005316AE"/>
    <w:rsid w:val="00531789"/>
    <w:rsid w:val="00531A17"/>
    <w:rsid w:val="0053236B"/>
    <w:rsid w:val="00532AC1"/>
    <w:rsid w:val="0053394F"/>
    <w:rsid w:val="0053560B"/>
    <w:rsid w:val="0053674E"/>
    <w:rsid w:val="00536CCA"/>
    <w:rsid w:val="00542715"/>
    <w:rsid w:val="00543D8A"/>
    <w:rsid w:val="00543EB6"/>
    <w:rsid w:val="00544333"/>
    <w:rsid w:val="00544D20"/>
    <w:rsid w:val="00544EC0"/>
    <w:rsid w:val="0054513B"/>
    <w:rsid w:val="005452A9"/>
    <w:rsid w:val="00545B65"/>
    <w:rsid w:val="00546964"/>
    <w:rsid w:val="005479E8"/>
    <w:rsid w:val="00547C02"/>
    <w:rsid w:val="00547F6E"/>
    <w:rsid w:val="00550E9C"/>
    <w:rsid w:val="0055107F"/>
    <w:rsid w:val="005510AC"/>
    <w:rsid w:val="005519DF"/>
    <w:rsid w:val="00552140"/>
    <w:rsid w:val="00552831"/>
    <w:rsid w:val="00552AAE"/>
    <w:rsid w:val="00553346"/>
    <w:rsid w:val="005534BC"/>
    <w:rsid w:val="00553A77"/>
    <w:rsid w:val="00553FDF"/>
    <w:rsid w:val="00554733"/>
    <w:rsid w:val="00554989"/>
    <w:rsid w:val="00555A48"/>
    <w:rsid w:val="00555AB6"/>
    <w:rsid w:val="00555B1C"/>
    <w:rsid w:val="0055697F"/>
    <w:rsid w:val="00557FE6"/>
    <w:rsid w:val="00560724"/>
    <w:rsid w:val="005611AD"/>
    <w:rsid w:val="00561A0F"/>
    <w:rsid w:val="0056397E"/>
    <w:rsid w:val="00563D5D"/>
    <w:rsid w:val="005651C4"/>
    <w:rsid w:val="00565F8E"/>
    <w:rsid w:val="0056729E"/>
    <w:rsid w:val="00567991"/>
    <w:rsid w:val="00570AD1"/>
    <w:rsid w:val="0057120E"/>
    <w:rsid w:val="005712BD"/>
    <w:rsid w:val="00571D6F"/>
    <w:rsid w:val="00571F8B"/>
    <w:rsid w:val="00572284"/>
    <w:rsid w:val="0057405F"/>
    <w:rsid w:val="00574C6A"/>
    <w:rsid w:val="00575B08"/>
    <w:rsid w:val="005770A1"/>
    <w:rsid w:val="00577221"/>
    <w:rsid w:val="005807AD"/>
    <w:rsid w:val="00580F0B"/>
    <w:rsid w:val="00581F5A"/>
    <w:rsid w:val="00581F98"/>
    <w:rsid w:val="00582969"/>
    <w:rsid w:val="0058464F"/>
    <w:rsid w:val="0058557F"/>
    <w:rsid w:val="00586294"/>
    <w:rsid w:val="0058633A"/>
    <w:rsid w:val="005863F2"/>
    <w:rsid w:val="005867E6"/>
    <w:rsid w:val="005875C0"/>
    <w:rsid w:val="005878CC"/>
    <w:rsid w:val="0059078D"/>
    <w:rsid w:val="00590E0A"/>
    <w:rsid w:val="00591169"/>
    <w:rsid w:val="00592F2A"/>
    <w:rsid w:val="00593E5C"/>
    <w:rsid w:val="0059550C"/>
    <w:rsid w:val="00595852"/>
    <w:rsid w:val="00595AFB"/>
    <w:rsid w:val="00595EA4"/>
    <w:rsid w:val="00597EFA"/>
    <w:rsid w:val="005A2F1B"/>
    <w:rsid w:val="005A60B3"/>
    <w:rsid w:val="005A6456"/>
    <w:rsid w:val="005A7086"/>
    <w:rsid w:val="005A75FD"/>
    <w:rsid w:val="005B03F6"/>
    <w:rsid w:val="005B195F"/>
    <w:rsid w:val="005B2605"/>
    <w:rsid w:val="005B3B75"/>
    <w:rsid w:val="005B3F62"/>
    <w:rsid w:val="005B59C7"/>
    <w:rsid w:val="005B5B85"/>
    <w:rsid w:val="005B710A"/>
    <w:rsid w:val="005B78FD"/>
    <w:rsid w:val="005C0184"/>
    <w:rsid w:val="005C0CCB"/>
    <w:rsid w:val="005C1577"/>
    <w:rsid w:val="005C329E"/>
    <w:rsid w:val="005C36F7"/>
    <w:rsid w:val="005C4093"/>
    <w:rsid w:val="005C6F09"/>
    <w:rsid w:val="005C7062"/>
    <w:rsid w:val="005D09F1"/>
    <w:rsid w:val="005D1AC9"/>
    <w:rsid w:val="005D2D27"/>
    <w:rsid w:val="005D3030"/>
    <w:rsid w:val="005D4C93"/>
    <w:rsid w:val="005D579B"/>
    <w:rsid w:val="005D5F25"/>
    <w:rsid w:val="005D7C33"/>
    <w:rsid w:val="005D7DA7"/>
    <w:rsid w:val="005E0209"/>
    <w:rsid w:val="005E1048"/>
    <w:rsid w:val="005E417B"/>
    <w:rsid w:val="005E4CAD"/>
    <w:rsid w:val="005E5672"/>
    <w:rsid w:val="005E60A8"/>
    <w:rsid w:val="005E6448"/>
    <w:rsid w:val="005E7665"/>
    <w:rsid w:val="005E791D"/>
    <w:rsid w:val="005F0852"/>
    <w:rsid w:val="005F0BCB"/>
    <w:rsid w:val="005F1BE1"/>
    <w:rsid w:val="005F2F73"/>
    <w:rsid w:val="005F378F"/>
    <w:rsid w:val="005F432A"/>
    <w:rsid w:val="005F5C55"/>
    <w:rsid w:val="005F7A40"/>
    <w:rsid w:val="00601494"/>
    <w:rsid w:val="00603EEB"/>
    <w:rsid w:val="00604FF5"/>
    <w:rsid w:val="0061027D"/>
    <w:rsid w:val="006117D3"/>
    <w:rsid w:val="0061239F"/>
    <w:rsid w:val="00612728"/>
    <w:rsid w:val="006131AA"/>
    <w:rsid w:val="00615275"/>
    <w:rsid w:val="006216CF"/>
    <w:rsid w:val="00622F73"/>
    <w:rsid w:val="00623310"/>
    <w:rsid w:val="006239B4"/>
    <w:rsid w:val="00624E0A"/>
    <w:rsid w:val="00624F7F"/>
    <w:rsid w:val="006266C1"/>
    <w:rsid w:val="00627D81"/>
    <w:rsid w:val="00630877"/>
    <w:rsid w:val="00631A0F"/>
    <w:rsid w:val="00632554"/>
    <w:rsid w:val="0063289D"/>
    <w:rsid w:val="00632E71"/>
    <w:rsid w:val="00634541"/>
    <w:rsid w:val="00636CB3"/>
    <w:rsid w:val="006406C6"/>
    <w:rsid w:val="006406D1"/>
    <w:rsid w:val="0064077C"/>
    <w:rsid w:val="006408A7"/>
    <w:rsid w:val="00640AB6"/>
    <w:rsid w:val="006415BA"/>
    <w:rsid w:val="006419EA"/>
    <w:rsid w:val="00642058"/>
    <w:rsid w:val="0064297A"/>
    <w:rsid w:val="00642C7B"/>
    <w:rsid w:val="006454DD"/>
    <w:rsid w:val="0064565D"/>
    <w:rsid w:val="00646AE3"/>
    <w:rsid w:val="006509C9"/>
    <w:rsid w:val="00650F74"/>
    <w:rsid w:val="0065110D"/>
    <w:rsid w:val="006530E1"/>
    <w:rsid w:val="00653871"/>
    <w:rsid w:val="006539E2"/>
    <w:rsid w:val="00653EA0"/>
    <w:rsid w:val="00653F25"/>
    <w:rsid w:val="00654DCD"/>
    <w:rsid w:val="00655935"/>
    <w:rsid w:val="00656C32"/>
    <w:rsid w:val="00656CBE"/>
    <w:rsid w:val="00657152"/>
    <w:rsid w:val="006578C1"/>
    <w:rsid w:val="006610B4"/>
    <w:rsid w:val="00661154"/>
    <w:rsid w:val="006621D1"/>
    <w:rsid w:val="0066467D"/>
    <w:rsid w:val="00665729"/>
    <w:rsid w:val="00665805"/>
    <w:rsid w:val="00666797"/>
    <w:rsid w:val="0066711E"/>
    <w:rsid w:val="006675A4"/>
    <w:rsid w:val="00667833"/>
    <w:rsid w:val="00667884"/>
    <w:rsid w:val="00667B95"/>
    <w:rsid w:val="00670F53"/>
    <w:rsid w:val="006718E1"/>
    <w:rsid w:val="006720D5"/>
    <w:rsid w:val="00672D5E"/>
    <w:rsid w:val="0067367C"/>
    <w:rsid w:val="00675C9F"/>
    <w:rsid w:val="00675EF4"/>
    <w:rsid w:val="0067706F"/>
    <w:rsid w:val="00677C08"/>
    <w:rsid w:val="00677C61"/>
    <w:rsid w:val="00677D86"/>
    <w:rsid w:val="00680398"/>
    <w:rsid w:val="0068046C"/>
    <w:rsid w:val="00680B02"/>
    <w:rsid w:val="00680E52"/>
    <w:rsid w:val="00680E9E"/>
    <w:rsid w:val="00681644"/>
    <w:rsid w:val="00682A81"/>
    <w:rsid w:val="00682CC5"/>
    <w:rsid w:val="00682DAB"/>
    <w:rsid w:val="00682E50"/>
    <w:rsid w:val="00683FF6"/>
    <w:rsid w:val="00685DD6"/>
    <w:rsid w:val="0068777A"/>
    <w:rsid w:val="00687ED2"/>
    <w:rsid w:val="00695E07"/>
    <w:rsid w:val="00696B61"/>
    <w:rsid w:val="00696DC9"/>
    <w:rsid w:val="00697F9C"/>
    <w:rsid w:val="006A067D"/>
    <w:rsid w:val="006A0FD6"/>
    <w:rsid w:val="006A355B"/>
    <w:rsid w:val="006A357F"/>
    <w:rsid w:val="006A6364"/>
    <w:rsid w:val="006A792F"/>
    <w:rsid w:val="006A7B64"/>
    <w:rsid w:val="006B0DA6"/>
    <w:rsid w:val="006B137C"/>
    <w:rsid w:val="006B19C2"/>
    <w:rsid w:val="006B378F"/>
    <w:rsid w:val="006B3C6F"/>
    <w:rsid w:val="006B3D9A"/>
    <w:rsid w:val="006B49DE"/>
    <w:rsid w:val="006B64E0"/>
    <w:rsid w:val="006B6BCE"/>
    <w:rsid w:val="006B7519"/>
    <w:rsid w:val="006B7647"/>
    <w:rsid w:val="006B7818"/>
    <w:rsid w:val="006C1FAF"/>
    <w:rsid w:val="006C3677"/>
    <w:rsid w:val="006C3EE9"/>
    <w:rsid w:val="006C549B"/>
    <w:rsid w:val="006C6650"/>
    <w:rsid w:val="006C6972"/>
    <w:rsid w:val="006C70A0"/>
    <w:rsid w:val="006C785B"/>
    <w:rsid w:val="006C7F22"/>
    <w:rsid w:val="006D02D7"/>
    <w:rsid w:val="006D0696"/>
    <w:rsid w:val="006D240F"/>
    <w:rsid w:val="006D2547"/>
    <w:rsid w:val="006D4FC0"/>
    <w:rsid w:val="006D5171"/>
    <w:rsid w:val="006D75DC"/>
    <w:rsid w:val="006E129C"/>
    <w:rsid w:val="006E2066"/>
    <w:rsid w:val="006E26BB"/>
    <w:rsid w:val="006E2B94"/>
    <w:rsid w:val="006E32D1"/>
    <w:rsid w:val="006E3BDD"/>
    <w:rsid w:val="006E46AC"/>
    <w:rsid w:val="006E62DA"/>
    <w:rsid w:val="006E66B6"/>
    <w:rsid w:val="006E719E"/>
    <w:rsid w:val="006F093E"/>
    <w:rsid w:val="006F16CA"/>
    <w:rsid w:val="006F28C4"/>
    <w:rsid w:val="006F2E76"/>
    <w:rsid w:val="006F6EAF"/>
    <w:rsid w:val="007009D6"/>
    <w:rsid w:val="00701FC7"/>
    <w:rsid w:val="0070215D"/>
    <w:rsid w:val="00703415"/>
    <w:rsid w:val="0070676B"/>
    <w:rsid w:val="00707552"/>
    <w:rsid w:val="00710394"/>
    <w:rsid w:val="0071057F"/>
    <w:rsid w:val="007110BF"/>
    <w:rsid w:val="00711107"/>
    <w:rsid w:val="00711873"/>
    <w:rsid w:val="00711904"/>
    <w:rsid w:val="007129E8"/>
    <w:rsid w:val="007130CB"/>
    <w:rsid w:val="00713BEF"/>
    <w:rsid w:val="007143EC"/>
    <w:rsid w:val="00716335"/>
    <w:rsid w:val="007167A8"/>
    <w:rsid w:val="0071722E"/>
    <w:rsid w:val="007206FD"/>
    <w:rsid w:val="00721D21"/>
    <w:rsid w:val="00721E81"/>
    <w:rsid w:val="007238A3"/>
    <w:rsid w:val="007238D9"/>
    <w:rsid w:val="007252C2"/>
    <w:rsid w:val="0072542D"/>
    <w:rsid w:val="007261D5"/>
    <w:rsid w:val="00727296"/>
    <w:rsid w:val="00727B73"/>
    <w:rsid w:val="00730439"/>
    <w:rsid w:val="00731FEF"/>
    <w:rsid w:val="007325D3"/>
    <w:rsid w:val="007341EF"/>
    <w:rsid w:val="00735254"/>
    <w:rsid w:val="00740285"/>
    <w:rsid w:val="0074160A"/>
    <w:rsid w:val="0074229B"/>
    <w:rsid w:val="00742E5A"/>
    <w:rsid w:val="00744CA1"/>
    <w:rsid w:val="00745A93"/>
    <w:rsid w:val="00745EE5"/>
    <w:rsid w:val="00747C55"/>
    <w:rsid w:val="00750800"/>
    <w:rsid w:val="007508B2"/>
    <w:rsid w:val="007513E5"/>
    <w:rsid w:val="00751EBB"/>
    <w:rsid w:val="007522F6"/>
    <w:rsid w:val="0075365B"/>
    <w:rsid w:val="00754EFF"/>
    <w:rsid w:val="00755737"/>
    <w:rsid w:val="007564AE"/>
    <w:rsid w:val="00757358"/>
    <w:rsid w:val="00757786"/>
    <w:rsid w:val="00757C90"/>
    <w:rsid w:val="00760227"/>
    <w:rsid w:val="0076115D"/>
    <w:rsid w:val="007611A9"/>
    <w:rsid w:val="007612AD"/>
    <w:rsid w:val="00763AED"/>
    <w:rsid w:val="007647A2"/>
    <w:rsid w:val="007650E2"/>
    <w:rsid w:val="007656FB"/>
    <w:rsid w:val="007660C5"/>
    <w:rsid w:val="00766E41"/>
    <w:rsid w:val="00767BDB"/>
    <w:rsid w:val="00772805"/>
    <w:rsid w:val="00773585"/>
    <w:rsid w:val="00774BF4"/>
    <w:rsid w:val="007754B6"/>
    <w:rsid w:val="00775DAF"/>
    <w:rsid w:val="00776453"/>
    <w:rsid w:val="0077667E"/>
    <w:rsid w:val="00776BDD"/>
    <w:rsid w:val="00776BF9"/>
    <w:rsid w:val="00776E2C"/>
    <w:rsid w:val="00777CEE"/>
    <w:rsid w:val="00780899"/>
    <w:rsid w:val="00781D55"/>
    <w:rsid w:val="00782258"/>
    <w:rsid w:val="00782A2A"/>
    <w:rsid w:val="00782BF1"/>
    <w:rsid w:val="007837FD"/>
    <w:rsid w:val="007849BB"/>
    <w:rsid w:val="0078518D"/>
    <w:rsid w:val="007853F2"/>
    <w:rsid w:val="00785A52"/>
    <w:rsid w:val="00785D29"/>
    <w:rsid w:val="00786A28"/>
    <w:rsid w:val="00786EE7"/>
    <w:rsid w:val="007900DD"/>
    <w:rsid w:val="00793346"/>
    <w:rsid w:val="00793701"/>
    <w:rsid w:val="00796A1A"/>
    <w:rsid w:val="007A0130"/>
    <w:rsid w:val="007A01DD"/>
    <w:rsid w:val="007A022E"/>
    <w:rsid w:val="007A0E2B"/>
    <w:rsid w:val="007A11CB"/>
    <w:rsid w:val="007A1218"/>
    <w:rsid w:val="007A2173"/>
    <w:rsid w:val="007A3BAF"/>
    <w:rsid w:val="007A546E"/>
    <w:rsid w:val="007A5ED0"/>
    <w:rsid w:val="007A77DB"/>
    <w:rsid w:val="007B22E7"/>
    <w:rsid w:val="007B2729"/>
    <w:rsid w:val="007B38CB"/>
    <w:rsid w:val="007B4B93"/>
    <w:rsid w:val="007B5962"/>
    <w:rsid w:val="007B5B5B"/>
    <w:rsid w:val="007C3D84"/>
    <w:rsid w:val="007C4638"/>
    <w:rsid w:val="007C4ECB"/>
    <w:rsid w:val="007C566F"/>
    <w:rsid w:val="007C586A"/>
    <w:rsid w:val="007C5E77"/>
    <w:rsid w:val="007C74DC"/>
    <w:rsid w:val="007C7C81"/>
    <w:rsid w:val="007D0155"/>
    <w:rsid w:val="007D060A"/>
    <w:rsid w:val="007D0E74"/>
    <w:rsid w:val="007D120F"/>
    <w:rsid w:val="007D34A3"/>
    <w:rsid w:val="007D46FD"/>
    <w:rsid w:val="007D4EC1"/>
    <w:rsid w:val="007D4FF6"/>
    <w:rsid w:val="007D5406"/>
    <w:rsid w:val="007D7382"/>
    <w:rsid w:val="007D7D2C"/>
    <w:rsid w:val="007E0423"/>
    <w:rsid w:val="007E07B1"/>
    <w:rsid w:val="007E11CE"/>
    <w:rsid w:val="007E145E"/>
    <w:rsid w:val="007E1C7A"/>
    <w:rsid w:val="007E2536"/>
    <w:rsid w:val="007E30F3"/>
    <w:rsid w:val="007E412C"/>
    <w:rsid w:val="007E4EC3"/>
    <w:rsid w:val="007E5006"/>
    <w:rsid w:val="007E6347"/>
    <w:rsid w:val="007E63F3"/>
    <w:rsid w:val="007E6CA3"/>
    <w:rsid w:val="007F0B3C"/>
    <w:rsid w:val="007F20AF"/>
    <w:rsid w:val="007F272A"/>
    <w:rsid w:val="007F280E"/>
    <w:rsid w:val="007F40E0"/>
    <w:rsid w:val="007F5789"/>
    <w:rsid w:val="007F6497"/>
    <w:rsid w:val="007F6A33"/>
    <w:rsid w:val="007F7744"/>
    <w:rsid w:val="007F7EF8"/>
    <w:rsid w:val="00801297"/>
    <w:rsid w:val="0080142C"/>
    <w:rsid w:val="0080482C"/>
    <w:rsid w:val="00804F95"/>
    <w:rsid w:val="00805EAE"/>
    <w:rsid w:val="00806D74"/>
    <w:rsid w:val="00806FDD"/>
    <w:rsid w:val="00807DEF"/>
    <w:rsid w:val="0081054E"/>
    <w:rsid w:val="008135AF"/>
    <w:rsid w:val="008139D4"/>
    <w:rsid w:val="00813C04"/>
    <w:rsid w:val="0081421A"/>
    <w:rsid w:val="00814DB0"/>
    <w:rsid w:val="0081580D"/>
    <w:rsid w:val="00815F85"/>
    <w:rsid w:val="00816866"/>
    <w:rsid w:val="008176EC"/>
    <w:rsid w:val="00817984"/>
    <w:rsid w:val="0082121B"/>
    <w:rsid w:val="008220CC"/>
    <w:rsid w:val="008221FA"/>
    <w:rsid w:val="008242BF"/>
    <w:rsid w:val="008248FC"/>
    <w:rsid w:val="00824DA1"/>
    <w:rsid w:val="00824E7F"/>
    <w:rsid w:val="008250BC"/>
    <w:rsid w:val="0082608C"/>
    <w:rsid w:val="00826A95"/>
    <w:rsid w:val="008276AA"/>
    <w:rsid w:val="00830EEF"/>
    <w:rsid w:val="00832826"/>
    <w:rsid w:val="00832DCB"/>
    <w:rsid w:val="00833A66"/>
    <w:rsid w:val="0083606A"/>
    <w:rsid w:val="00836A30"/>
    <w:rsid w:val="00836FFC"/>
    <w:rsid w:val="008374B5"/>
    <w:rsid w:val="00840925"/>
    <w:rsid w:val="00840A4C"/>
    <w:rsid w:val="0084283B"/>
    <w:rsid w:val="008428E9"/>
    <w:rsid w:val="00846BF0"/>
    <w:rsid w:val="008476A8"/>
    <w:rsid w:val="00847D47"/>
    <w:rsid w:val="0085018B"/>
    <w:rsid w:val="008506DB"/>
    <w:rsid w:val="00850AF6"/>
    <w:rsid w:val="00850B75"/>
    <w:rsid w:val="00851BC4"/>
    <w:rsid w:val="00852181"/>
    <w:rsid w:val="00853444"/>
    <w:rsid w:val="008543CB"/>
    <w:rsid w:val="00854D68"/>
    <w:rsid w:val="008556F2"/>
    <w:rsid w:val="00855C35"/>
    <w:rsid w:val="00855F78"/>
    <w:rsid w:val="00856BDB"/>
    <w:rsid w:val="008600DC"/>
    <w:rsid w:val="00860251"/>
    <w:rsid w:val="00860983"/>
    <w:rsid w:val="00861671"/>
    <w:rsid w:val="00861EE8"/>
    <w:rsid w:val="00862A6B"/>
    <w:rsid w:val="00862A78"/>
    <w:rsid w:val="00863080"/>
    <w:rsid w:val="0086325E"/>
    <w:rsid w:val="00864270"/>
    <w:rsid w:val="00864913"/>
    <w:rsid w:val="008656F8"/>
    <w:rsid w:val="00867A30"/>
    <w:rsid w:val="00867C69"/>
    <w:rsid w:val="00870F57"/>
    <w:rsid w:val="00870F86"/>
    <w:rsid w:val="00871821"/>
    <w:rsid w:val="00871AFD"/>
    <w:rsid w:val="00871D2C"/>
    <w:rsid w:val="008721F5"/>
    <w:rsid w:val="00874714"/>
    <w:rsid w:val="00874C8D"/>
    <w:rsid w:val="00874CAB"/>
    <w:rsid w:val="00874F86"/>
    <w:rsid w:val="00876062"/>
    <w:rsid w:val="00877DCD"/>
    <w:rsid w:val="00877F2A"/>
    <w:rsid w:val="00880091"/>
    <w:rsid w:val="00880256"/>
    <w:rsid w:val="00880262"/>
    <w:rsid w:val="008841C7"/>
    <w:rsid w:val="00884C0D"/>
    <w:rsid w:val="008857C5"/>
    <w:rsid w:val="008857F9"/>
    <w:rsid w:val="008902D2"/>
    <w:rsid w:val="0089047A"/>
    <w:rsid w:val="00890821"/>
    <w:rsid w:val="0089248C"/>
    <w:rsid w:val="00895ED5"/>
    <w:rsid w:val="00896D77"/>
    <w:rsid w:val="0089723A"/>
    <w:rsid w:val="00897DBB"/>
    <w:rsid w:val="008A0263"/>
    <w:rsid w:val="008A151D"/>
    <w:rsid w:val="008A2A9C"/>
    <w:rsid w:val="008A326B"/>
    <w:rsid w:val="008A3B5F"/>
    <w:rsid w:val="008A4BAC"/>
    <w:rsid w:val="008A4C00"/>
    <w:rsid w:val="008A513F"/>
    <w:rsid w:val="008A5835"/>
    <w:rsid w:val="008A67CE"/>
    <w:rsid w:val="008A77AE"/>
    <w:rsid w:val="008B0DA0"/>
    <w:rsid w:val="008B1002"/>
    <w:rsid w:val="008B165D"/>
    <w:rsid w:val="008B612F"/>
    <w:rsid w:val="008B64D8"/>
    <w:rsid w:val="008B6BAB"/>
    <w:rsid w:val="008C130E"/>
    <w:rsid w:val="008C1F05"/>
    <w:rsid w:val="008C2FCF"/>
    <w:rsid w:val="008C37DC"/>
    <w:rsid w:val="008C4247"/>
    <w:rsid w:val="008C4743"/>
    <w:rsid w:val="008C7BF1"/>
    <w:rsid w:val="008C7E2F"/>
    <w:rsid w:val="008D106B"/>
    <w:rsid w:val="008D1DDD"/>
    <w:rsid w:val="008D3079"/>
    <w:rsid w:val="008D3898"/>
    <w:rsid w:val="008D4081"/>
    <w:rsid w:val="008D4BA4"/>
    <w:rsid w:val="008D5E1E"/>
    <w:rsid w:val="008D7E04"/>
    <w:rsid w:val="008E1577"/>
    <w:rsid w:val="008E4005"/>
    <w:rsid w:val="008E4EA7"/>
    <w:rsid w:val="008E4F7F"/>
    <w:rsid w:val="008E677E"/>
    <w:rsid w:val="008E735E"/>
    <w:rsid w:val="008E7617"/>
    <w:rsid w:val="008F0317"/>
    <w:rsid w:val="008F1878"/>
    <w:rsid w:val="008F2029"/>
    <w:rsid w:val="008F237F"/>
    <w:rsid w:val="008F4707"/>
    <w:rsid w:val="008F6C5C"/>
    <w:rsid w:val="008F7216"/>
    <w:rsid w:val="008F79A9"/>
    <w:rsid w:val="008F7AAE"/>
    <w:rsid w:val="009035B5"/>
    <w:rsid w:val="009057B4"/>
    <w:rsid w:val="009059D4"/>
    <w:rsid w:val="00907960"/>
    <w:rsid w:val="00910DD4"/>
    <w:rsid w:val="00911AEB"/>
    <w:rsid w:val="00911D1A"/>
    <w:rsid w:val="00912916"/>
    <w:rsid w:val="009134EB"/>
    <w:rsid w:val="00913F70"/>
    <w:rsid w:val="009143F0"/>
    <w:rsid w:val="0091464F"/>
    <w:rsid w:val="009167C5"/>
    <w:rsid w:val="00916DB3"/>
    <w:rsid w:val="00917C7B"/>
    <w:rsid w:val="009216EA"/>
    <w:rsid w:val="00923EF6"/>
    <w:rsid w:val="00927F11"/>
    <w:rsid w:val="00930081"/>
    <w:rsid w:val="009301B6"/>
    <w:rsid w:val="00930B54"/>
    <w:rsid w:val="009328CC"/>
    <w:rsid w:val="00933919"/>
    <w:rsid w:val="00933B25"/>
    <w:rsid w:val="00933C80"/>
    <w:rsid w:val="00934CDE"/>
    <w:rsid w:val="00935330"/>
    <w:rsid w:val="009353FB"/>
    <w:rsid w:val="00935C6C"/>
    <w:rsid w:val="009365CA"/>
    <w:rsid w:val="00937915"/>
    <w:rsid w:val="00937C40"/>
    <w:rsid w:val="00937F49"/>
    <w:rsid w:val="00943062"/>
    <w:rsid w:val="00943525"/>
    <w:rsid w:val="00944735"/>
    <w:rsid w:val="00944EEB"/>
    <w:rsid w:val="00945539"/>
    <w:rsid w:val="00946F3B"/>
    <w:rsid w:val="0094734F"/>
    <w:rsid w:val="00952BC2"/>
    <w:rsid w:val="00953989"/>
    <w:rsid w:val="0095431F"/>
    <w:rsid w:val="009553B1"/>
    <w:rsid w:val="009559E0"/>
    <w:rsid w:val="009600E3"/>
    <w:rsid w:val="0096090C"/>
    <w:rsid w:val="00960D4C"/>
    <w:rsid w:val="009624D9"/>
    <w:rsid w:val="0096374A"/>
    <w:rsid w:val="00963859"/>
    <w:rsid w:val="00963D37"/>
    <w:rsid w:val="00967384"/>
    <w:rsid w:val="00967D65"/>
    <w:rsid w:val="00971795"/>
    <w:rsid w:val="00971CBD"/>
    <w:rsid w:val="00971EA1"/>
    <w:rsid w:val="00972596"/>
    <w:rsid w:val="009732B5"/>
    <w:rsid w:val="00973A5E"/>
    <w:rsid w:val="00974BC2"/>
    <w:rsid w:val="00975C32"/>
    <w:rsid w:val="00975E24"/>
    <w:rsid w:val="00980351"/>
    <w:rsid w:val="00980CFE"/>
    <w:rsid w:val="00981656"/>
    <w:rsid w:val="00981C0A"/>
    <w:rsid w:val="0098201A"/>
    <w:rsid w:val="00983DD8"/>
    <w:rsid w:val="009847C5"/>
    <w:rsid w:val="009862FA"/>
    <w:rsid w:val="0098649E"/>
    <w:rsid w:val="009864BC"/>
    <w:rsid w:val="009864EB"/>
    <w:rsid w:val="00987C9F"/>
    <w:rsid w:val="00991568"/>
    <w:rsid w:val="009919CC"/>
    <w:rsid w:val="00991B03"/>
    <w:rsid w:val="009922B8"/>
    <w:rsid w:val="00992539"/>
    <w:rsid w:val="00992BB2"/>
    <w:rsid w:val="009948B2"/>
    <w:rsid w:val="00994BDD"/>
    <w:rsid w:val="00996829"/>
    <w:rsid w:val="00996CE4"/>
    <w:rsid w:val="009A0C4B"/>
    <w:rsid w:val="009A17A5"/>
    <w:rsid w:val="009A1C5D"/>
    <w:rsid w:val="009A1EE5"/>
    <w:rsid w:val="009A289C"/>
    <w:rsid w:val="009A31C6"/>
    <w:rsid w:val="009A4869"/>
    <w:rsid w:val="009A4AD5"/>
    <w:rsid w:val="009A6912"/>
    <w:rsid w:val="009A6B9C"/>
    <w:rsid w:val="009A6FB5"/>
    <w:rsid w:val="009A7200"/>
    <w:rsid w:val="009B0D6D"/>
    <w:rsid w:val="009B1B5C"/>
    <w:rsid w:val="009B3798"/>
    <w:rsid w:val="009B4668"/>
    <w:rsid w:val="009B4F5F"/>
    <w:rsid w:val="009B5A28"/>
    <w:rsid w:val="009B63A5"/>
    <w:rsid w:val="009B6BA4"/>
    <w:rsid w:val="009B7021"/>
    <w:rsid w:val="009C0CBE"/>
    <w:rsid w:val="009C216D"/>
    <w:rsid w:val="009C25AA"/>
    <w:rsid w:val="009C3822"/>
    <w:rsid w:val="009C39A9"/>
    <w:rsid w:val="009C4968"/>
    <w:rsid w:val="009C4A70"/>
    <w:rsid w:val="009C527F"/>
    <w:rsid w:val="009C68BA"/>
    <w:rsid w:val="009D1C3D"/>
    <w:rsid w:val="009D1DEC"/>
    <w:rsid w:val="009D30BB"/>
    <w:rsid w:val="009D3656"/>
    <w:rsid w:val="009D3E23"/>
    <w:rsid w:val="009D43EC"/>
    <w:rsid w:val="009D499A"/>
    <w:rsid w:val="009D49B7"/>
    <w:rsid w:val="009D6402"/>
    <w:rsid w:val="009D682E"/>
    <w:rsid w:val="009D6AE2"/>
    <w:rsid w:val="009E0156"/>
    <w:rsid w:val="009E074B"/>
    <w:rsid w:val="009E2B6D"/>
    <w:rsid w:val="009E37D4"/>
    <w:rsid w:val="009E40EB"/>
    <w:rsid w:val="009E43BF"/>
    <w:rsid w:val="009E4AC6"/>
    <w:rsid w:val="009E4E73"/>
    <w:rsid w:val="009E6A87"/>
    <w:rsid w:val="009E7311"/>
    <w:rsid w:val="009F0472"/>
    <w:rsid w:val="009F0B46"/>
    <w:rsid w:val="009F128C"/>
    <w:rsid w:val="009F1A7A"/>
    <w:rsid w:val="009F257F"/>
    <w:rsid w:val="009F45B7"/>
    <w:rsid w:val="009F792D"/>
    <w:rsid w:val="009F7D9A"/>
    <w:rsid w:val="00A00497"/>
    <w:rsid w:val="00A008A7"/>
    <w:rsid w:val="00A00E1E"/>
    <w:rsid w:val="00A03F14"/>
    <w:rsid w:val="00A04D5E"/>
    <w:rsid w:val="00A053C6"/>
    <w:rsid w:val="00A05867"/>
    <w:rsid w:val="00A059A3"/>
    <w:rsid w:val="00A05CE9"/>
    <w:rsid w:val="00A0628F"/>
    <w:rsid w:val="00A07D53"/>
    <w:rsid w:val="00A10BA3"/>
    <w:rsid w:val="00A117A9"/>
    <w:rsid w:val="00A11985"/>
    <w:rsid w:val="00A12454"/>
    <w:rsid w:val="00A12D74"/>
    <w:rsid w:val="00A1434A"/>
    <w:rsid w:val="00A14FAA"/>
    <w:rsid w:val="00A15839"/>
    <w:rsid w:val="00A15BA0"/>
    <w:rsid w:val="00A1787A"/>
    <w:rsid w:val="00A17DED"/>
    <w:rsid w:val="00A20027"/>
    <w:rsid w:val="00A202CB"/>
    <w:rsid w:val="00A202D0"/>
    <w:rsid w:val="00A2170D"/>
    <w:rsid w:val="00A2198F"/>
    <w:rsid w:val="00A220DD"/>
    <w:rsid w:val="00A22564"/>
    <w:rsid w:val="00A2311E"/>
    <w:rsid w:val="00A25898"/>
    <w:rsid w:val="00A26286"/>
    <w:rsid w:val="00A263FA"/>
    <w:rsid w:val="00A3002B"/>
    <w:rsid w:val="00A33BD3"/>
    <w:rsid w:val="00A35A81"/>
    <w:rsid w:val="00A36381"/>
    <w:rsid w:val="00A3781E"/>
    <w:rsid w:val="00A40916"/>
    <w:rsid w:val="00A40B41"/>
    <w:rsid w:val="00A40DF5"/>
    <w:rsid w:val="00A4134F"/>
    <w:rsid w:val="00A42A2B"/>
    <w:rsid w:val="00A436FC"/>
    <w:rsid w:val="00A45A66"/>
    <w:rsid w:val="00A45EAF"/>
    <w:rsid w:val="00A46ED1"/>
    <w:rsid w:val="00A46F51"/>
    <w:rsid w:val="00A476CE"/>
    <w:rsid w:val="00A50206"/>
    <w:rsid w:val="00A50BCD"/>
    <w:rsid w:val="00A5299E"/>
    <w:rsid w:val="00A53AD1"/>
    <w:rsid w:val="00A54E10"/>
    <w:rsid w:val="00A55A25"/>
    <w:rsid w:val="00A60218"/>
    <w:rsid w:val="00A60C6F"/>
    <w:rsid w:val="00A60E15"/>
    <w:rsid w:val="00A617CB"/>
    <w:rsid w:val="00A61D05"/>
    <w:rsid w:val="00A62B6A"/>
    <w:rsid w:val="00A634F9"/>
    <w:rsid w:val="00A63E72"/>
    <w:rsid w:val="00A63F10"/>
    <w:rsid w:val="00A64825"/>
    <w:rsid w:val="00A66226"/>
    <w:rsid w:val="00A667E6"/>
    <w:rsid w:val="00A71E62"/>
    <w:rsid w:val="00A72451"/>
    <w:rsid w:val="00A74010"/>
    <w:rsid w:val="00A74EB7"/>
    <w:rsid w:val="00A75063"/>
    <w:rsid w:val="00A75487"/>
    <w:rsid w:val="00A75714"/>
    <w:rsid w:val="00A77241"/>
    <w:rsid w:val="00A77F91"/>
    <w:rsid w:val="00A80D4D"/>
    <w:rsid w:val="00A817B5"/>
    <w:rsid w:val="00A824E7"/>
    <w:rsid w:val="00A8284A"/>
    <w:rsid w:val="00A82BDC"/>
    <w:rsid w:val="00A83997"/>
    <w:rsid w:val="00A83AF9"/>
    <w:rsid w:val="00A83D57"/>
    <w:rsid w:val="00A84127"/>
    <w:rsid w:val="00A84EBB"/>
    <w:rsid w:val="00A87D9F"/>
    <w:rsid w:val="00A91EC2"/>
    <w:rsid w:val="00A9233B"/>
    <w:rsid w:val="00A94830"/>
    <w:rsid w:val="00A94F20"/>
    <w:rsid w:val="00A94FA4"/>
    <w:rsid w:val="00A95CDB"/>
    <w:rsid w:val="00A96D86"/>
    <w:rsid w:val="00A970BE"/>
    <w:rsid w:val="00A97B0F"/>
    <w:rsid w:val="00AA1826"/>
    <w:rsid w:val="00AA2C00"/>
    <w:rsid w:val="00AA36B7"/>
    <w:rsid w:val="00AA5D91"/>
    <w:rsid w:val="00AA5FDD"/>
    <w:rsid w:val="00AA69A1"/>
    <w:rsid w:val="00AA7981"/>
    <w:rsid w:val="00AB0815"/>
    <w:rsid w:val="00AB122E"/>
    <w:rsid w:val="00AB3427"/>
    <w:rsid w:val="00AB5B0F"/>
    <w:rsid w:val="00AB65A7"/>
    <w:rsid w:val="00AB770F"/>
    <w:rsid w:val="00AC21CD"/>
    <w:rsid w:val="00AC2884"/>
    <w:rsid w:val="00AC4A8A"/>
    <w:rsid w:val="00AC4B91"/>
    <w:rsid w:val="00AC4E20"/>
    <w:rsid w:val="00AC5CE5"/>
    <w:rsid w:val="00AC77E2"/>
    <w:rsid w:val="00AC7C48"/>
    <w:rsid w:val="00AD013B"/>
    <w:rsid w:val="00AD0404"/>
    <w:rsid w:val="00AD1653"/>
    <w:rsid w:val="00AD233D"/>
    <w:rsid w:val="00AD3669"/>
    <w:rsid w:val="00AD3D7C"/>
    <w:rsid w:val="00AD479B"/>
    <w:rsid w:val="00AD4D8B"/>
    <w:rsid w:val="00AD6BB7"/>
    <w:rsid w:val="00AD6DCF"/>
    <w:rsid w:val="00AD7337"/>
    <w:rsid w:val="00AD76EB"/>
    <w:rsid w:val="00AE0292"/>
    <w:rsid w:val="00AE0C17"/>
    <w:rsid w:val="00AE2291"/>
    <w:rsid w:val="00AE29D9"/>
    <w:rsid w:val="00AE2FE1"/>
    <w:rsid w:val="00AE4165"/>
    <w:rsid w:val="00AE43B8"/>
    <w:rsid w:val="00AE63B6"/>
    <w:rsid w:val="00AE6855"/>
    <w:rsid w:val="00AE6948"/>
    <w:rsid w:val="00AE6F20"/>
    <w:rsid w:val="00AE75CA"/>
    <w:rsid w:val="00AF28A8"/>
    <w:rsid w:val="00AF28C0"/>
    <w:rsid w:val="00AF2A94"/>
    <w:rsid w:val="00AF2ED6"/>
    <w:rsid w:val="00AF4811"/>
    <w:rsid w:val="00AF5C6F"/>
    <w:rsid w:val="00AF61A1"/>
    <w:rsid w:val="00AF66E8"/>
    <w:rsid w:val="00AF79FE"/>
    <w:rsid w:val="00B00EC3"/>
    <w:rsid w:val="00B00F6B"/>
    <w:rsid w:val="00B0153E"/>
    <w:rsid w:val="00B0230A"/>
    <w:rsid w:val="00B04CED"/>
    <w:rsid w:val="00B05B40"/>
    <w:rsid w:val="00B05E89"/>
    <w:rsid w:val="00B0606C"/>
    <w:rsid w:val="00B0684D"/>
    <w:rsid w:val="00B06F2D"/>
    <w:rsid w:val="00B071B8"/>
    <w:rsid w:val="00B10A9A"/>
    <w:rsid w:val="00B138F9"/>
    <w:rsid w:val="00B1413F"/>
    <w:rsid w:val="00B141A2"/>
    <w:rsid w:val="00B143C7"/>
    <w:rsid w:val="00B147AA"/>
    <w:rsid w:val="00B14D8D"/>
    <w:rsid w:val="00B15830"/>
    <w:rsid w:val="00B17815"/>
    <w:rsid w:val="00B17E19"/>
    <w:rsid w:val="00B20946"/>
    <w:rsid w:val="00B21A36"/>
    <w:rsid w:val="00B2233C"/>
    <w:rsid w:val="00B22AA2"/>
    <w:rsid w:val="00B23091"/>
    <w:rsid w:val="00B26B72"/>
    <w:rsid w:val="00B2725D"/>
    <w:rsid w:val="00B27E12"/>
    <w:rsid w:val="00B300D9"/>
    <w:rsid w:val="00B312DB"/>
    <w:rsid w:val="00B31CF9"/>
    <w:rsid w:val="00B32863"/>
    <w:rsid w:val="00B32A6C"/>
    <w:rsid w:val="00B338C2"/>
    <w:rsid w:val="00B340E1"/>
    <w:rsid w:val="00B34F81"/>
    <w:rsid w:val="00B359EE"/>
    <w:rsid w:val="00B362E5"/>
    <w:rsid w:val="00B379D5"/>
    <w:rsid w:val="00B4037F"/>
    <w:rsid w:val="00B41CE4"/>
    <w:rsid w:val="00B42793"/>
    <w:rsid w:val="00B43FEC"/>
    <w:rsid w:val="00B44D5D"/>
    <w:rsid w:val="00B47A6D"/>
    <w:rsid w:val="00B51A8B"/>
    <w:rsid w:val="00B5292A"/>
    <w:rsid w:val="00B53A63"/>
    <w:rsid w:val="00B5414B"/>
    <w:rsid w:val="00B5469F"/>
    <w:rsid w:val="00B54F4B"/>
    <w:rsid w:val="00B54F75"/>
    <w:rsid w:val="00B567D1"/>
    <w:rsid w:val="00B56913"/>
    <w:rsid w:val="00B5702F"/>
    <w:rsid w:val="00B6257D"/>
    <w:rsid w:val="00B627AA"/>
    <w:rsid w:val="00B63060"/>
    <w:rsid w:val="00B63F4A"/>
    <w:rsid w:val="00B64420"/>
    <w:rsid w:val="00B66EAC"/>
    <w:rsid w:val="00B6717A"/>
    <w:rsid w:val="00B7034E"/>
    <w:rsid w:val="00B703A9"/>
    <w:rsid w:val="00B705C5"/>
    <w:rsid w:val="00B7143B"/>
    <w:rsid w:val="00B71B9D"/>
    <w:rsid w:val="00B727D1"/>
    <w:rsid w:val="00B731FB"/>
    <w:rsid w:val="00B73C70"/>
    <w:rsid w:val="00B75B44"/>
    <w:rsid w:val="00B76476"/>
    <w:rsid w:val="00B77D7A"/>
    <w:rsid w:val="00B77E93"/>
    <w:rsid w:val="00B80A9D"/>
    <w:rsid w:val="00B8106D"/>
    <w:rsid w:val="00B8290F"/>
    <w:rsid w:val="00B82A9E"/>
    <w:rsid w:val="00B83312"/>
    <w:rsid w:val="00B83797"/>
    <w:rsid w:val="00B845DD"/>
    <w:rsid w:val="00B84BB4"/>
    <w:rsid w:val="00B86583"/>
    <w:rsid w:val="00B86D8F"/>
    <w:rsid w:val="00B91A46"/>
    <w:rsid w:val="00B91EA7"/>
    <w:rsid w:val="00B921D5"/>
    <w:rsid w:val="00B942DC"/>
    <w:rsid w:val="00B94EB1"/>
    <w:rsid w:val="00B95CB6"/>
    <w:rsid w:val="00B95CD8"/>
    <w:rsid w:val="00B97352"/>
    <w:rsid w:val="00B9782B"/>
    <w:rsid w:val="00B97C08"/>
    <w:rsid w:val="00BA1006"/>
    <w:rsid w:val="00BA1C4A"/>
    <w:rsid w:val="00BA1C65"/>
    <w:rsid w:val="00BA2745"/>
    <w:rsid w:val="00BA2BD3"/>
    <w:rsid w:val="00BA2C89"/>
    <w:rsid w:val="00BA3879"/>
    <w:rsid w:val="00BA3ED8"/>
    <w:rsid w:val="00BA4711"/>
    <w:rsid w:val="00BA488B"/>
    <w:rsid w:val="00BA5EEE"/>
    <w:rsid w:val="00BA703E"/>
    <w:rsid w:val="00BA74CA"/>
    <w:rsid w:val="00BB0034"/>
    <w:rsid w:val="00BB1E1C"/>
    <w:rsid w:val="00BB2A66"/>
    <w:rsid w:val="00BB32E1"/>
    <w:rsid w:val="00BB358A"/>
    <w:rsid w:val="00BB4D26"/>
    <w:rsid w:val="00BB6290"/>
    <w:rsid w:val="00BB657A"/>
    <w:rsid w:val="00BB6702"/>
    <w:rsid w:val="00BB7CC6"/>
    <w:rsid w:val="00BC0E02"/>
    <w:rsid w:val="00BC1CBE"/>
    <w:rsid w:val="00BC1D03"/>
    <w:rsid w:val="00BC32B4"/>
    <w:rsid w:val="00BC37F5"/>
    <w:rsid w:val="00BC391D"/>
    <w:rsid w:val="00BC3B5C"/>
    <w:rsid w:val="00BC567E"/>
    <w:rsid w:val="00BC6082"/>
    <w:rsid w:val="00BD0F78"/>
    <w:rsid w:val="00BD297C"/>
    <w:rsid w:val="00BD2B70"/>
    <w:rsid w:val="00BD480E"/>
    <w:rsid w:val="00BD4E49"/>
    <w:rsid w:val="00BD675F"/>
    <w:rsid w:val="00BD73DD"/>
    <w:rsid w:val="00BE072D"/>
    <w:rsid w:val="00BE1455"/>
    <w:rsid w:val="00BE191A"/>
    <w:rsid w:val="00BE2926"/>
    <w:rsid w:val="00BE29D7"/>
    <w:rsid w:val="00BE323F"/>
    <w:rsid w:val="00BE367C"/>
    <w:rsid w:val="00BE3D5D"/>
    <w:rsid w:val="00BE4A29"/>
    <w:rsid w:val="00BE4CF4"/>
    <w:rsid w:val="00BE5475"/>
    <w:rsid w:val="00BE597B"/>
    <w:rsid w:val="00BE6A6E"/>
    <w:rsid w:val="00BE6E72"/>
    <w:rsid w:val="00BF02EA"/>
    <w:rsid w:val="00BF1B46"/>
    <w:rsid w:val="00BF2726"/>
    <w:rsid w:val="00BF4125"/>
    <w:rsid w:val="00BF429F"/>
    <w:rsid w:val="00BF49F0"/>
    <w:rsid w:val="00BF4ECA"/>
    <w:rsid w:val="00BF588D"/>
    <w:rsid w:val="00BF59A6"/>
    <w:rsid w:val="00C0067B"/>
    <w:rsid w:val="00C022F6"/>
    <w:rsid w:val="00C03342"/>
    <w:rsid w:val="00C03673"/>
    <w:rsid w:val="00C03BC2"/>
    <w:rsid w:val="00C049D3"/>
    <w:rsid w:val="00C05053"/>
    <w:rsid w:val="00C064D1"/>
    <w:rsid w:val="00C07C5B"/>
    <w:rsid w:val="00C10F35"/>
    <w:rsid w:val="00C11361"/>
    <w:rsid w:val="00C11657"/>
    <w:rsid w:val="00C1180F"/>
    <w:rsid w:val="00C127AE"/>
    <w:rsid w:val="00C12D0F"/>
    <w:rsid w:val="00C1577E"/>
    <w:rsid w:val="00C15C6B"/>
    <w:rsid w:val="00C15EAE"/>
    <w:rsid w:val="00C17EC8"/>
    <w:rsid w:val="00C202C8"/>
    <w:rsid w:val="00C2060D"/>
    <w:rsid w:val="00C218E0"/>
    <w:rsid w:val="00C21CC4"/>
    <w:rsid w:val="00C23D69"/>
    <w:rsid w:val="00C25614"/>
    <w:rsid w:val="00C30C6D"/>
    <w:rsid w:val="00C31AE9"/>
    <w:rsid w:val="00C324C9"/>
    <w:rsid w:val="00C326D9"/>
    <w:rsid w:val="00C326F3"/>
    <w:rsid w:val="00C32A91"/>
    <w:rsid w:val="00C3657D"/>
    <w:rsid w:val="00C36D3B"/>
    <w:rsid w:val="00C373BD"/>
    <w:rsid w:val="00C41481"/>
    <w:rsid w:val="00C4151F"/>
    <w:rsid w:val="00C424D6"/>
    <w:rsid w:val="00C42942"/>
    <w:rsid w:val="00C42E1F"/>
    <w:rsid w:val="00C4303A"/>
    <w:rsid w:val="00C43265"/>
    <w:rsid w:val="00C43A94"/>
    <w:rsid w:val="00C43DF4"/>
    <w:rsid w:val="00C45089"/>
    <w:rsid w:val="00C45347"/>
    <w:rsid w:val="00C454A8"/>
    <w:rsid w:val="00C459C4"/>
    <w:rsid w:val="00C47B11"/>
    <w:rsid w:val="00C5023B"/>
    <w:rsid w:val="00C510CB"/>
    <w:rsid w:val="00C51F30"/>
    <w:rsid w:val="00C53029"/>
    <w:rsid w:val="00C5354A"/>
    <w:rsid w:val="00C54E50"/>
    <w:rsid w:val="00C56E8C"/>
    <w:rsid w:val="00C578A4"/>
    <w:rsid w:val="00C57ED9"/>
    <w:rsid w:val="00C57F59"/>
    <w:rsid w:val="00C604FD"/>
    <w:rsid w:val="00C6059C"/>
    <w:rsid w:val="00C60A8C"/>
    <w:rsid w:val="00C61CCB"/>
    <w:rsid w:val="00C6293C"/>
    <w:rsid w:val="00C62DBE"/>
    <w:rsid w:val="00C66E2F"/>
    <w:rsid w:val="00C70499"/>
    <w:rsid w:val="00C7061F"/>
    <w:rsid w:val="00C70D30"/>
    <w:rsid w:val="00C7364D"/>
    <w:rsid w:val="00C73BDB"/>
    <w:rsid w:val="00C76E5A"/>
    <w:rsid w:val="00C7713A"/>
    <w:rsid w:val="00C7724E"/>
    <w:rsid w:val="00C7732A"/>
    <w:rsid w:val="00C8075E"/>
    <w:rsid w:val="00C819FA"/>
    <w:rsid w:val="00C81A7E"/>
    <w:rsid w:val="00C81FB7"/>
    <w:rsid w:val="00C8215A"/>
    <w:rsid w:val="00C824DA"/>
    <w:rsid w:val="00C83FF9"/>
    <w:rsid w:val="00C854A2"/>
    <w:rsid w:val="00C8572F"/>
    <w:rsid w:val="00C85A96"/>
    <w:rsid w:val="00C86127"/>
    <w:rsid w:val="00C9014D"/>
    <w:rsid w:val="00C908DF"/>
    <w:rsid w:val="00C92C13"/>
    <w:rsid w:val="00C92D00"/>
    <w:rsid w:val="00C92DA9"/>
    <w:rsid w:val="00C93BE8"/>
    <w:rsid w:val="00C93C1A"/>
    <w:rsid w:val="00C9490C"/>
    <w:rsid w:val="00C95C32"/>
    <w:rsid w:val="00C9618A"/>
    <w:rsid w:val="00C9748C"/>
    <w:rsid w:val="00C97E94"/>
    <w:rsid w:val="00CA0A77"/>
    <w:rsid w:val="00CA0B15"/>
    <w:rsid w:val="00CA1CC7"/>
    <w:rsid w:val="00CA25DF"/>
    <w:rsid w:val="00CA2860"/>
    <w:rsid w:val="00CA2C82"/>
    <w:rsid w:val="00CA374A"/>
    <w:rsid w:val="00CA3827"/>
    <w:rsid w:val="00CA48A7"/>
    <w:rsid w:val="00CA559B"/>
    <w:rsid w:val="00CA5BE9"/>
    <w:rsid w:val="00CB0879"/>
    <w:rsid w:val="00CB36E5"/>
    <w:rsid w:val="00CB3752"/>
    <w:rsid w:val="00CB4421"/>
    <w:rsid w:val="00CB5159"/>
    <w:rsid w:val="00CB5AEB"/>
    <w:rsid w:val="00CB5B25"/>
    <w:rsid w:val="00CB5B8F"/>
    <w:rsid w:val="00CB6DD6"/>
    <w:rsid w:val="00CB7276"/>
    <w:rsid w:val="00CC00B2"/>
    <w:rsid w:val="00CC02B4"/>
    <w:rsid w:val="00CC1637"/>
    <w:rsid w:val="00CC17FF"/>
    <w:rsid w:val="00CC1D19"/>
    <w:rsid w:val="00CC38D9"/>
    <w:rsid w:val="00CC5193"/>
    <w:rsid w:val="00CD01B9"/>
    <w:rsid w:val="00CD1573"/>
    <w:rsid w:val="00CD179E"/>
    <w:rsid w:val="00CD1D20"/>
    <w:rsid w:val="00CD2192"/>
    <w:rsid w:val="00CD334C"/>
    <w:rsid w:val="00CD3A24"/>
    <w:rsid w:val="00CD455B"/>
    <w:rsid w:val="00CD4B8E"/>
    <w:rsid w:val="00CD5942"/>
    <w:rsid w:val="00CD6B04"/>
    <w:rsid w:val="00CD75CA"/>
    <w:rsid w:val="00CD76DB"/>
    <w:rsid w:val="00CD7D69"/>
    <w:rsid w:val="00CD7E25"/>
    <w:rsid w:val="00CE0D6E"/>
    <w:rsid w:val="00CE26D8"/>
    <w:rsid w:val="00CE2860"/>
    <w:rsid w:val="00CE47EA"/>
    <w:rsid w:val="00CE4A28"/>
    <w:rsid w:val="00CE6FB1"/>
    <w:rsid w:val="00CE7372"/>
    <w:rsid w:val="00CF10DE"/>
    <w:rsid w:val="00CF1AF3"/>
    <w:rsid w:val="00CF4609"/>
    <w:rsid w:val="00CF4B9F"/>
    <w:rsid w:val="00CF5CEA"/>
    <w:rsid w:val="00CF5D58"/>
    <w:rsid w:val="00CF72D1"/>
    <w:rsid w:val="00D00F71"/>
    <w:rsid w:val="00D028E4"/>
    <w:rsid w:val="00D033D3"/>
    <w:rsid w:val="00D04413"/>
    <w:rsid w:val="00D04C21"/>
    <w:rsid w:val="00D101EA"/>
    <w:rsid w:val="00D1108D"/>
    <w:rsid w:val="00D1180B"/>
    <w:rsid w:val="00D1489F"/>
    <w:rsid w:val="00D16DF9"/>
    <w:rsid w:val="00D17D08"/>
    <w:rsid w:val="00D17E2D"/>
    <w:rsid w:val="00D200F7"/>
    <w:rsid w:val="00D21388"/>
    <w:rsid w:val="00D2222B"/>
    <w:rsid w:val="00D2258F"/>
    <w:rsid w:val="00D26ABA"/>
    <w:rsid w:val="00D27B59"/>
    <w:rsid w:val="00D32942"/>
    <w:rsid w:val="00D32EB3"/>
    <w:rsid w:val="00D33DAD"/>
    <w:rsid w:val="00D34154"/>
    <w:rsid w:val="00D34872"/>
    <w:rsid w:val="00D35183"/>
    <w:rsid w:val="00D35B24"/>
    <w:rsid w:val="00D36C35"/>
    <w:rsid w:val="00D37127"/>
    <w:rsid w:val="00D37145"/>
    <w:rsid w:val="00D37A13"/>
    <w:rsid w:val="00D4179A"/>
    <w:rsid w:val="00D42064"/>
    <w:rsid w:val="00D4297D"/>
    <w:rsid w:val="00D44408"/>
    <w:rsid w:val="00D44BC2"/>
    <w:rsid w:val="00D44E19"/>
    <w:rsid w:val="00D44F22"/>
    <w:rsid w:val="00D469C9"/>
    <w:rsid w:val="00D46B28"/>
    <w:rsid w:val="00D46F5C"/>
    <w:rsid w:val="00D47462"/>
    <w:rsid w:val="00D50EEC"/>
    <w:rsid w:val="00D51272"/>
    <w:rsid w:val="00D515CF"/>
    <w:rsid w:val="00D532C7"/>
    <w:rsid w:val="00D53DE5"/>
    <w:rsid w:val="00D54858"/>
    <w:rsid w:val="00D5486D"/>
    <w:rsid w:val="00D54E06"/>
    <w:rsid w:val="00D557A9"/>
    <w:rsid w:val="00D55BB2"/>
    <w:rsid w:val="00D563C6"/>
    <w:rsid w:val="00D56D04"/>
    <w:rsid w:val="00D571F1"/>
    <w:rsid w:val="00D57A8A"/>
    <w:rsid w:val="00D57A95"/>
    <w:rsid w:val="00D57E85"/>
    <w:rsid w:val="00D57F77"/>
    <w:rsid w:val="00D6031B"/>
    <w:rsid w:val="00D62065"/>
    <w:rsid w:val="00D63D3D"/>
    <w:rsid w:val="00D642A2"/>
    <w:rsid w:val="00D64F1A"/>
    <w:rsid w:val="00D65562"/>
    <w:rsid w:val="00D66230"/>
    <w:rsid w:val="00D66675"/>
    <w:rsid w:val="00D710AC"/>
    <w:rsid w:val="00D727DF"/>
    <w:rsid w:val="00D73EED"/>
    <w:rsid w:val="00D75269"/>
    <w:rsid w:val="00D77A37"/>
    <w:rsid w:val="00D811C8"/>
    <w:rsid w:val="00D837D7"/>
    <w:rsid w:val="00D83F7E"/>
    <w:rsid w:val="00D84357"/>
    <w:rsid w:val="00D845E6"/>
    <w:rsid w:val="00D84D03"/>
    <w:rsid w:val="00D84D6A"/>
    <w:rsid w:val="00D84DD6"/>
    <w:rsid w:val="00D8528A"/>
    <w:rsid w:val="00D862CD"/>
    <w:rsid w:val="00D86654"/>
    <w:rsid w:val="00D86FA3"/>
    <w:rsid w:val="00D8762E"/>
    <w:rsid w:val="00D87D4D"/>
    <w:rsid w:val="00D9097E"/>
    <w:rsid w:val="00D90EA2"/>
    <w:rsid w:val="00D91A37"/>
    <w:rsid w:val="00D91DB8"/>
    <w:rsid w:val="00D92220"/>
    <w:rsid w:val="00D93611"/>
    <w:rsid w:val="00D9431E"/>
    <w:rsid w:val="00D9474A"/>
    <w:rsid w:val="00D94EB0"/>
    <w:rsid w:val="00D950A8"/>
    <w:rsid w:val="00D96011"/>
    <w:rsid w:val="00D96853"/>
    <w:rsid w:val="00D979D1"/>
    <w:rsid w:val="00DA1096"/>
    <w:rsid w:val="00DB1346"/>
    <w:rsid w:val="00DB16CB"/>
    <w:rsid w:val="00DB1992"/>
    <w:rsid w:val="00DB1FDC"/>
    <w:rsid w:val="00DB25E9"/>
    <w:rsid w:val="00DB282D"/>
    <w:rsid w:val="00DB2A35"/>
    <w:rsid w:val="00DB314F"/>
    <w:rsid w:val="00DB3D79"/>
    <w:rsid w:val="00DB3DD6"/>
    <w:rsid w:val="00DB52C4"/>
    <w:rsid w:val="00DB6479"/>
    <w:rsid w:val="00DB6971"/>
    <w:rsid w:val="00DB7167"/>
    <w:rsid w:val="00DC0511"/>
    <w:rsid w:val="00DC0806"/>
    <w:rsid w:val="00DC11C2"/>
    <w:rsid w:val="00DC16E8"/>
    <w:rsid w:val="00DC38D6"/>
    <w:rsid w:val="00DC43F4"/>
    <w:rsid w:val="00DC4D1E"/>
    <w:rsid w:val="00DC76ED"/>
    <w:rsid w:val="00DC796E"/>
    <w:rsid w:val="00DC7E8D"/>
    <w:rsid w:val="00DD45B8"/>
    <w:rsid w:val="00DD47FE"/>
    <w:rsid w:val="00DD52DC"/>
    <w:rsid w:val="00DD6400"/>
    <w:rsid w:val="00DD6C26"/>
    <w:rsid w:val="00DD779E"/>
    <w:rsid w:val="00DE08CA"/>
    <w:rsid w:val="00DE1D70"/>
    <w:rsid w:val="00DE2A46"/>
    <w:rsid w:val="00DE38E0"/>
    <w:rsid w:val="00DE42DC"/>
    <w:rsid w:val="00DE44FD"/>
    <w:rsid w:val="00DE4C8A"/>
    <w:rsid w:val="00DE53C4"/>
    <w:rsid w:val="00DE6936"/>
    <w:rsid w:val="00DF031E"/>
    <w:rsid w:val="00DF4A97"/>
    <w:rsid w:val="00DF613B"/>
    <w:rsid w:val="00DF765D"/>
    <w:rsid w:val="00E00133"/>
    <w:rsid w:val="00E00935"/>
    <w:rsid w:val="00E00E0F"/>
    <w:rsid w:val="00E01871"/>
    <w:rsid w:val="00E02A35"/>
    <w:rsid w:val="00E02EFC"/>
    <w:rsid w:val="00E041CC"/>
    <w:rsid w:val="00E04EEB"/>
    <w:rsid w:val="00E055C7"/>
    <w:rsid w:val="00E07384"/>
    <w:rsid w:val="00E07552"/>
    <w:rsid w:val="00E07C74"/>
    <w:rsid w:val="00E10443"/>
    <w:rsid w:val="00E131F7"/>
    <w:rsid w:val="00E1379C"/>
    <w:rsid w:val="00E14596"/>
    <w:rsid w:val="00E214DF"/>
    <w:rsid w:val="00E21615"/>
    <w:rsid w:val="00E2257C"/>
    <w:rsid w:val="00E22D5A"/>
    <w:rsid w:val="00E23CAA"/>
    <w:rsid w:val="00E32304"/>
    <w:rsid w:val="00E3426C"/>
    <w:rsid w:val="00E3438C"/>
    <w:rsid w:val="00E34772"/>
    <w:rsid w:val="00E3484B"/>
    <w:rsid w:val="00E349CE"/>
    <w:rsid w:val="00E3535F"/>
    <w:rsid w:val="00E35961"/>
    <w:rsid w:val="00E3783C"/>
    <w:rsid w:val="00E40EE6"/>
    <w:rsid w:val="00E419A3"/>
    <w:rsid w:val="00E41B22"/>
    <w:rsid w:val="00E43C28"/>
    <w:rsid w:val="00E45730"/>
    <w:rsid w:val="00E466F2"/>
    <w:rsid w:val="00E472D8"/>
    <w:rsid w:val="00E47D39"/>
    <w:rsid w:val="00E50146"/>
    <w:rsid w:val="00E50306"/>
    <w:rsid w:val="00E50C94"/>
    <w:rsid w:val="00E51352"/>
    <w:rsid w:val="00E51AEA"/>
    <w:rsid w:val="00E51F38"/>
    <w:rsid w:val="00E51F94"/>
    <w:rsid w:val="00E52221"/>
    <w:rsid w:val="00E524D9"/>
    <w:rsid w:val="00E526A7"/>
    <w:rsid w:val="00E52B64"/>
    <w:rsid w:val="00E52FA4"/>
    <w:rsid w:val="00E53FEB"/>
    <w:rsid w:val="00E54A8C"/>
    <w:rsid w:val="00E54B7B"/>
    <w:rsid w:val="00E550B6"/>
    <w:rsid w:val="00E55EAD"/>
    <w:rsid w:val="00E60EE6"/>
    <w:rsid w:val="00E615DF"/>
    <w:rsid w:val="00E632D8"/>
    <w:rsid w:val="00E64E26"/>
    <w:rsid w:val="00E64FD5"/>
    <w:rsid w:val="00E662A8"/>
    <w:rsid w:val="00E67182"/>
    <w:rsid w:val="00E673EA"/>
    <w:rsid w:val="00E6772F"/>
    <w:rsid w:val="00E70B31"/>
    <w:rsid w:val="00E70EB5"/>
    <w:rsid w:val="00E71DB9"/>
    <w:rsid w:val="00E71FE6"/>
    <w:rsid w:val="00E7276A"/>
    <w:rsid w:val="00E73748"/>
    <w:rsid w:val="00E7592B"/>
    <w:rsid w:val="00E76818"/>
    <w:rsid w:val="00E7792C"/>
    <w:rsid w:val="00E81CA8"/>
    <w:rsid w:val="00E81EE8"/>
    <w:rsid w:val="00E82765"/>
    <w:rsid w:val="00E8293E"/>
    <w:rsid w:val="00E8297D"/>
    <w:rsid w:val="00E83597"/>
    <w:rsid w:val="00E83FED"/>
    <w:rsid w:val="00E87D30"/>
    <w:rsid w:val="00E87DF2"/>
    <w:rsid w:val="00E9089B"/>
    <w:rsid w:val="00E90F09"/>
    <w:rsid w:val="00E936BE"/>
    <w:rsid w:val="00E9540B"/>
    <w:rsid w:val="00E95827"/>
    <w:rsid w:val="00E95EE4"/>
    <w:rsid w:val="00EA1F0F"/>
    <w:rsid w:val="00EA2106"/>
    <w:rsid w:val="00EA3740"/>
    <w:rsid w:val="00EA414E"/>
    <w:rsid w:val="00EA5FDD"/>
    <w:rsid w:val="00EA67DF"/>
    <w:rsid w:val="00EA7291"/>
    <w:rsid w:val="00EA7885"/>
    <w:rsid w:val="00EB1880"/>
    <w:rsid w:val="00EB1B3C"/>
    <w:rsid w:val="00EB1F8A"/>
    <w:rsid w:val="00EB2723"/>
    <w:rsid w:val="00EB2747"/>
    <w:rsid w:val="00EB2D67"/>
    <w:rsid w:val="00EB36D6"/>
    <w:rsid w:val="00EB3F3A"/>
    <w:rsid w:val="00EB4505"/>
    <w:rsid w:val="00EB4ECE"/>
    <w:rsid w:val="00EB6006"/>
    <w:rsid w:val="00EB62F2"/>
    <w:rsid w:val="00EC25D7"/>
    <w:rsid w:val="00EC2A8B"/>
    <w:rsid w:val="00EC2BF2"/>
    <w:rsid w:val="00EC38CF"/>
    <w:rsid w:val="00EC4012"/>
    <w:rsid w:val="00EC4C30"/>
    <w:rsid w:val="00EC5259"/>
    <w:rsid w:val="00EC68F4"/>
    <w:rsid w:val="00ED02B0"/>
    <w:rsid w:val="00ED121F"/>
    <w:rsid w:val="00ED13A4"/>
    <w:rsid w:val="00ED1841"/>
    <w:rsid w:val="00ED1930"/>
    <w:rsid w:val="00ED195C"/>
    <w:rsid w:val="00ED389E"/>
    <w:rsid w:val="00ED3C5D"/>
    <w:rsid w:val="00ED55C6"/>
    <w:rsid w:val="00ED7227"/>
    <w:rsid w:val="00ED750E"/>
    <w:rsid w:val="00ED7FFD"/>
    <w:rsid w:val="00EE0CC0"/>
    <w:rsid w:val="00EE1050"/>
    <w:rsid w:val="00EE2A77"/>
    <w:rsid w:val="00EE37A1"/>
    <w:rsid w:val="00EE3F1E"/>
    <w:rsid w:val="00EE4A82"/>
    <w:rsid w:val="00EE4E35"/>
    <w:rsid w:val="00EE5B48"/>
    <w:rsid w:val="00EE656D"/>
    <w:rsid w:val="00EE69A7"/>
    <w:rsid w:val="00EE6D12"/>
    <w:rsid w:val="00EE78D7"/>
    <w:rsid w:val="00EE7B05"/>
    <w:rsid w:val="00EF1922"/>
    <w:rsid w:val="00EF4BC6"/>
    <w:rsid w:val="00EF6E7E"/>
    <w:rsid w:val="00EF7046"/>
    <w:rsid w:val="00F00FA9"/>
    <w:rsid w:val="00F01F19"/>
    <w:rsid w:val="00F028E4"/>
    <w:rsid w:val="00F02CA2"/>
    <w:rsid w:val="00F036D5"/>
    <w:rsid w:val="00F03D26"/>
    <w:rsid w:val="00F03E7F"/>
    <w:rsid w:val="00F04450"/>
    <w:rsid w:val="00F04C93"/>
    <w:rsid w:val="00F05094"/>
    <w:rsid w:val="00F05FF0"/>
    <w:rsid w:val="00F06A3F"/>
    <w:rsid w:val="00F06DE0"/>
    <w:rsid w:val="00F072CB"/>
    <w:rsid w:val="00F072F7"/>
    <w:rsid w:val="00F073BD"/>
    <w:rsid w:val="00F07600"/>
    <w:rsid w:val="00F07F1E"/>
    <w:rsid w:val="00F101DF"/>
    <w:rsid w:val="00F10A00"/>
    <w:rsid w:val="00F119E5"/>
    <w:rsid w:val="00F13FE7"/>
    <w:rsid w:val="00F14FAB"/>
    <w:rsid w:val="00F15094"/>
    <w:rsid w:val="00F162FC"/>
    <w:rsid w:val="00F177A8"/>
    <w:rsid w:val="00F20451"/>
    <w:rsid w:val="00F20638"/>
    <w:rsid w:val="00F21312"/>
    <w:rsid w:val="00F22B69"/>
    <w:rsid w:val="00F2749F"/>
    <w:rsid w:val="00F27515"/>
    <w:rsid w:val="00F31484"/>
    <w:rsid w:val="00F32522"/>
    <w:rsid w:val="00F32B7D"/>
    <w:rsid w:val="00F333B9"/>
    <w:rsid w:val="00F333D7"/>
    <w:rsid w:val="00F334DD"/>
    <w:rsid w:val="00F33B9E"/>
    <w:rsid w:val="00F340AE"/>
    <w:rsid w:val="00F341D3"/>
    <w:rsid w:val="00F3502D"/>
    <w:rsid w:val="00F36648"/>
    <w:rsid w:val="00F36A2A"/>
    <w:rsid w:val="00F379F5"/>
    <w:rsid w:val="00F41A45"/>
    <w:rsid w:val="00F4212C"/>
    <w:rsid w:val="00F43EC1"/>
    <w:rsid w:val="00F45CDD"/>
    <w:rsid w:val="00F46C21"/>
    <w:rsid w:val="00F473E6"/>
    <w:rsid w:val="00F50804"/>
    <w:rsid w:val="00F55240"/>
    <w:rsid w:val="00F55DF2"/>
    <w:rsid w:val="00F6027A"/>
    <w:rsid w:val="00F60A29"/>
    <w:rsid w:val="00F621AA"/>
    <w:rsid w:val="00F6324F"/>
    <w:rsid w:val="00F64B1F"/>
    <w:rsid w:val="00F654F5"/>
    <w:rsid w:val="00F6582D"/>
    <w:rsid w:val="00F66BE2"/>
    <w:rsid w:val="00F67839"/>
    <w:rsid w:val="00F67D86"/>
    <w:rsid w:val="00F70326"/>
    <w:rsid w:val="00F71384"/>
    <w:rsid w:val="00F7139D"/>
    <w:rsid w:val="00F750CD"/>
    <w:rsid w:val="00F7588C"/>
    <w:rsid w:val="00F75C55"/>
    <w:rsid w:val="00F76011"/>
    <w:rsid w:val="00F76B78"/>
    <w:rsid w:val="00F81532"/>
    <w:rsid w:val="00F8273A"/>
    <w:rsid w:val="00F83246"/>
    <w:rsid w:val="00F845C9"/>
    <w:rsid w:val="00F85EE4"/>
    <w:rsid w:val="00F906BA"/>
    <w:rsid w:val="00F91425"/>
    <w:rsid w:val="00F916F3"/>
    <w:rsid w:val="00F91CDC"/>
    <w:rsid w:val="00F93118"/>
    <w:rsid w:val="00F938AF"/>
    <w:rsid w:val="00F93C23"/>
    <w:rsid w:val="00F948D1"/>
    <w:rsid w:val="00F94BAD"/>
    <w:rsid w:val="00F94CF3"/>
    <w:rsid w:val="00F94D71"/>
    <w:rsid w:val="00F958D9"/>
    <w:rsid w:val="00F95E77"/>
    <w:rsid w:val="00F9675E"/>
    <w:rsid w:val="00F967AF"/>
    <w:rsid w:val="00F96B02"/>
    <w:rsid w:val="00F96E47"/>
    <w:rsid w:val="00F96F61"/>
    <w:rsid w:val="00F97F14"/>
    <w:rsid w:val="00F97F70"/>
    <w:rsid w:val="00FA020F"/>
    <w:rsid w:val="00FA04C6"/>
    <w:rsid w:val="00FA09FB"/>
    <w:rsid w:val="00FA4864"/>
    <w:rsid w:val="00FA5C80"/>
    <w:rsid w:val="00FA6438"/>
    <w:rsid w:val="00FA69C5"/>
    <w:rsid w:val="00FA6EA4"/>
    <w:rsid w:val="00FA7A05"/>
    <w:rsid w:val="00FB1463"/>
    <w:rsid w:val="00FB2408"/>
    <w:rsid w:val="00FB5323"/>
    <w:rsid w:val="00FB585E"/>
    <w:rsid w:val="00FB5FFA"/>
    <w:rsid w:val="00FB6DF6"/>
    <w:rsid w:val="00FB70AA"/>
    <w:rsid w:val="00FC0BCE"/>
    <w:rsid w:val="00FC180B"/>
    <w:rsid w:val="00FC22AF"/>
    <w:rsid w:val="00FC2687"/>
    <w:rsid w:val="00FC456C"/>
    <w:rsid w:val="00FC4793"/>
    <w:rsid w:val="00FC4F8A"/>
    <w:rsid w:val="00FC5213"/>
    <w:rsid w:val="00FC60BC"/>
    <w:rsid w:val="00FD0548"/>
    <w:rsid w:val="00FD0A03"/>
    <w:rsid w:val="00FD37EF"/>
    <w:rsid w:val="00FD51AD"/>
    <w:rsid w:val="00FD66F7"/>
    <w:rsid w:val="00FD73A2"/>
    <w:rsid w:val="00FD7B0F"/>
    <w:rsid w:val="00FD7EA1"/>
    <w:rsid w:val="00FE0520"/>
    <w:rsid w:val="00FE0DB7"/>
    <w:rsid w:val="00FE1303"/>
    <w:rsid w:val="00FE1A39"/>
    <w:rsid w:val="00FE324F"/>
    <w:rsid w:val="00FE37C9"/>
    <w:rsid w:val="00FE4A17"/>
    <w:rsid w:val="00FE4E35"/>
    <w:rsid w:val="00FE5D24"/>
    <w:rsid w:val="00FE6311"/>
    <w:rsid w:val="00FE69AB"/>
    <w:rsid w:val="00FE7048"/>
    <w:rsid w:val="00FE7D18"/>
    <w:rsid w:val="00FF13ED"/>
    <w:rsid w:val="00FF1524"/>
    <w:rsid w:val="00FF1797"/>
    <w:rsid w:val="00FF2403"/>
    <w:rsid w:val="00FF3CA7"/>
    <w:rsid w:val="00FF461D"/>
    <w:rsid w:val="00FF4DC7"/>
    <w:rsid w:val="00FF6085"/>
    <w:rsid w:val="00FF6D34"/>
    <w:rsid w:val="00FF7B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42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54B6"/>
    <w:pPr>
      <w:spacing w:after="0" w:line="240" w:lineRule="auto"/>
    </w:pPr>
    <w:rPr>
      <w:rFonts w:eastAsia="Times New Roman" w:cs="Times New Roman"/>
      <w:szCs w:val="24"/>
      <w:lang w:val="lv-LV" w:eastAsia="ru-RU"/>
    </w:rPr>
  </w:style>
  <w:style w:type="paragraph" w:styleId="Heading1">
    <w:name w:val="heading 1"/>
    <w:basedOn w:val="Normal"/>
    <w:next w:val="Normal"/>
    <w:link w:val="Heading1Char"/>
    <w:qFormat/>
    <w:rsid w:val="00447EE6"/>
    <w:pPr>
      <w:keepNext/>
      <w:numPr>
        <w:numId w:val="1"/>
      </w:numPr>
      <w:spacing w:before="240" w:after="240"/>
      <w:jc w:val="center"/>
      <w:outlineLvl w:val="0"/>
    </w:pPr>
    <w:rPr>
      <w:b/>
      <w:bCs/>
      <w:kern w:val="32"/>
      <w:szCs w:val="32"/>
      <w:lang w:val="x-none"/>
    </w:rPr>
  </w:style>
  <w:style w:type="paragraph" w:styleId="Heading3">
    <w:name w:val="heading 3"/>
    <w:basedOn w:val="Normal"/>
    <w:next w:val="Normal"/>
    <w:link w:val="Heading3Char"/>
    <w:uiPriority w:val="9"/>
    <w:semiHidden/>
    <w:unhideWhenUsed/>
    <w:qFormat/>
    <w:rsid w:val="007754B6"/>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7EE6"/>
    <w:rPr>
      <w:rFonts w:eastAsia="Times New Roman" w:cs="Times New Roman"/>
      <w:b/>
      <w:bCs/>
      <w:kern w:val="32"/>
      <w:szCs w:val="32"/>
      <w:lang w:val="x-none" w:eastAsia="ru-RU"/>
    </w:rPr>
  </w:style>
  <w:style w:type="table" w:styleId="TableGrid">
    <w:name w:val="Table Grid"/>
    <w:basedOn w:val="TableNormal"/>
    <w:rsid w:val="00447EE6"/>
    <w:pPr>
      <w:spacing w:after="0" w:line="240" w:lineRule="auto"/>
    </w:pPr>
    <w:rPr>
      <w:rFonts w:eastAsia="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47EE6"/>
    <w:pPr>
      <w:spacing w:before="100" w:beforeAutospacing="1" w:after="100" w:afterAutospacing="1"/>
    </w:pPr>
    <w:rPr>
      <w:lang w:eastAsia="lv-LV"/>
    </w:rPr>
  </w:style>
  <w:style w:type="paragraph" w:styleId="Header">
    <w:name w:val="header"/>
    <w:basedOn w:val="Normal"/>
    <w:link w:val="HeaderChar"/>
    <w:uiPriority w:val="99"/>
    <w:unhideWhenUsed/>
    <w:rsid w:val="0082608C"/>
    <w:pPr>
      <w:tabs>
        <w:tab w:val="center" w:pos="4513"/>
        <w:tab w:val="right" w:pos="9026"/>
      </w:tabs>
    </w:pPr>
  </w:style>
  <w:style w:type="character" w:customStyle="1" w:styleId="HeaderChar">
    <w:name w:val="Header Char"/>
    <w:basedOn w:val="DefaultParagraphFont"/>
    <w:link w:val="Header"/>
    <w:uiPriority w:val="99"/>
    <w:rsid w:val="0082608C"/>
    <w:rPr>
      <w:rFonts w:eastAsia="Times New Roman" w:cs="Times New Roman"/>
      <w:szCs w:val="24"/>
      <w:lang w:val="lv-LV" w:eastAsia="ru-RU"/>
    </w:rPr>
  </w:style>
  <w:style w:type="paragraph" w:styleId="Footer">
    <w:name w:val="footer"/>
    <w:basedOn w:val="Normal"/>
    <w:link w:val="FooterChar"/>
    <w:uiPriority w:val="99"/>
    <w:unhideWhenUsed/>
    <w:rsid w:val="0082608C"/>
    <w:pPr>
      <w:tabs>
        <w:tab w:val="center" w:pos="4513"/>
        <w:tab w:val="right" w:pos="9026"/>
      </w:tabs>
    </w:pPr>
  </w:style>
  <w:style w:type="character" w:customStyle="1" w:styleId="FooterChar">
    <w:name w:val="Footer Char"/>
    <w:basedOn w:val="DefaultParagraphFont"/>
    <w:link w:val="Footer"/>
    <w:uiPriority w:val="99"/>
    <w:rsid w:val="0082608C"/>
    <w:rPr>
      <w:rFonts w:eastAsia="Times New Roman" w:cs="Times New Roman"/>
      <w:szCs w:val="24"/>
      <w:lang w:val="lv-LV" w:eastAsia="ru-RU"/>
    </w:rPr>
  </w:style>
  <w:style w:type="character" w:styleId="Hyperlink">
    <w:name w:val="Hyperlink"/>
    <w:basedOn w:val="DefaultParagraphFont"/>
    <w:uiPriority w:val="99"/>
    <w:unhideWhenUsed/>
    <w:rsid w:val="00E41B22"/>
    <w:rPr>
      <w:color w:val="0563C1" w:themeColor="hyperlink"/>
      <w:u w:val="single"/>
    </w:rPr>
  </w:style>
  <w:style w:type="character" w:styleId="UnresolvedMention">
    <w:name w:val="Unresolved Mention"/>
    <w:basedOn w:val="DefaultParagraphFont"/>
    <w:uiPriority w:val="99"/>
    <w:semiHidden/>
    <w:unhideWhenUsed/>
    <w:rsid w:val="00E41B22"/>
    <w:rPr>
      <w:color w:val="605E5C"/>
      <w:shd w:val="clear" w:color="auto" w:fill="E1DFDD"/>
    </w:rPr>
  </w:style>
  <w:style w:type="character" w:customStyle="1" w:styleId="Bodytext2Italic">
    <w:name w:val="Body text (2) + Italic"/>
    <w:basedOn w:val="DefaultParagraphFont"/>
    <w:rsid w:val="00474233"/>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Bodytext9NotItalic">
    <w:name w:val="Body text (9) + Not Italic"/>
    <w:basedOn w:val="DefaultParagraphFont"/>
    <w:rsid w:val="00D46B28"/>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styleId="CommentReference">
    <w:name w:val="annotation reference"/>
    <w:basedOn w:val="DefaultParagraphFont"/>
    <w:uiPriority w:val="99"/>
    <w:semiHidden/>
    <w:unhideWhenUsed/>
    <w:rsid w:val="00FB6DF6"/>
    <w:rPr>
      <w:sz w:val="16"/>
      <w:szCs w:val="16"/>
    </w:rPr>
  </w:style>
  <w:style w:type="paragraph" w:styleId="CommentText">
    <w:name w:val="annotation text"/>
    <w:basedOn w:val="Normal"/>
    <w:link w:val="CommentTextChar"/>
    <w:uiPriority w:val="99"/>
    <w:unhideWhenUsed/>
    <w:rsid w:val="00FB6DF6"/>
    <w:rPr>
      <w:sz w:val="20"/>
      <w:szCs w:val="20"/>
    </w:rPr>
  </w:style>
  <w:style w:type="character" w:customStyle="1" w:styleId="CommentTextChar">
    <w:name w:val="Comment Text Char"/>
    <w:basedOn w:val="DefaultParagraphFont"/>
    <w:link w:val="CommentText"/>
    <w:uiPriority w:val="99"/>
    <w:rsid w:val="00FB6DF6"/>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FB6DF6"/>
    <w:rPr>
      <w:b/>
      <w:bCs/>
    </w:rPr>
  </w:style>
  <w:style w:type="character" w:customStyle="1" w:styleId="CommentSubjectChar">
    <w:name w:val="Comment Subject Char"/>
    <w:basedOn w:val="CommentTextChar"/>
    <w:link w:val="CommentSubject"/>
    <w:uiPriority w:val="99"/>
    <w:semiHidden/>
    <w:rsid w:val="00FB6DF6"/>
    <w:rPr>
      <w:rFonts w:eastAsia="Times New Roman" w:cs="Times New Roman"/>
      <w:b/>
      <w:bCs/>
      <w:sz w:val="20"/>
      <w:szCs w:val="20"/>
      <w:lang w:val="lv-LV" w:eastAsia="ru-RU"/>
    </w:rPr>
  </w:style>
  <w:style w:type="paragraph" w:customStyle="1" w:styleId="Normal1">
    <w:name w:val="Normal1"/>
    <w:basedOn w:val="Normal"/>
    <w:rsid w:val="000837FF"/>
    <w:pPr>
      <w:spacing w:before="100" w:beforeAutospacing="1" w:after="100" w:afterAutospacing="1"/>
    </w:pPr>
    <w:rPr>
      <w:lang w:eastAsia="lv-LV"/>
    </w:rPr>
  </w:style>
  <w:style w:type="paragraph" w:customStyle="1" w:styleId="c01pointnumerotealtn">
    <w:name w:val="c01pointnumerotealtn"/>
    <w:basedOn w:val="Normal"/>
    <w:rsid w:val="00750800"/>
    <w:pPr>
      <w:spacing w:before="100" w:beforeAutospacing="1" w:after="100" w:afterAutospacing="1"/>
    </w:pPr>
    <w:rPr>
      <w:lang w:eastAsia="lv-LV"/>
    </w:rPr>
  </w:style>
  <w:style w:type="paragraph" w:styleId="Revision">
    <w:name w:val="Revision"/>
    <w:hidden/>
    <w:uiPriority w:val="99"/>
    <w:semiHidden/>
    <w:rsid w:val="00492EB7"/>
    <w:pPr>
      <w:spacing w:after="0" w:line="240" w:lineRule="auto"/>
    </w:pPr>
    <w:rPr>
      <w:rFonts w:eastAsia="Times New Roman" w:cs="Times New Roman"/>
      <w:szCs w:val="24"/>
      <w:lang w:val="lv-LV" w:eastAsia="ru-RU"/>
    </w:rPr>
  </w:style>
  <w:style w:type="paragraph" w:customStyle="1" w:styleId="doc-ti">
    <w:name w:val="doc-ti"/>
    <w:basedOn w:val="Normal"/>
    <w:rsid w:val="00B95CB6"/>
    <w:pPr>
      <w:spacing w:before="100" w:beforeAutospacing="1" w:after="100" w:afterAutospacing="1"/>
    </w:pPr>
    <w:rPr>
      <w:lang w:val="en-US" w:eastAsia="en-US"/>
    </w:rPr>
  </w:style>
  <w:style w:type="paragraph" w:customStyle="1" w:styleId="oj-sti-art">
    <w:name w:val="oj-sti-art"/>
    <w:basedOn w:val="Normal"/>
    <w:rsid w:val="007D7382"/>
    <w:pPr>
      <w:spacing w:before="100" w:beforeAutospacing="1" w:after="100" w:afterAutospacing="1"/>
    </w:pPr>
    <w:rPr>
      <w:lang w:val="en-US" w:eastAsia="en-US"/>
    </w:rPr>
  </w:style>
  <w:style w:type="paragraph" w:customStyle="1" w:styleId="oj-normal">
    <w:name w:val="oj-normal"/>
    <w:basedOn w:val="Normal"/>
    <w:rsid w:val="007D7382"/>
    <w:pPr>
      <w:spacing w:before="100" w:beforeAutospacing="1" w:after="100" w:afterAutospacing="1"/>
    </w:pPr>
    <w:rPr>
      <w:lang w:val="en-US" w:eastAsia="en-US"/>
    </w:rPr>
  </w:style>
  <w:style w:type="paragraph" w:customStyle="1" w:styleId="oj-ti-art">
    <w:name w:val="oj-ti-art"/>
    <w:basedOn w:val="Normal"/>
    <w:rsid w:val="007D7382"/>
    <w:pPr>
      <w:spacing w:before="100" w:beforeAutospacing="1" w:after="100" w:afterAutospacing="1"/>
    </w:pPr>
    <w:rPr>
      <w:lang w:val="en-US" w:eastAsia="en-US"/>
    </w:rPr>
  </w:style>
  <w:style w:type="paragraph" w:customStyle="1" w:styleId="oj-doc-ti">
    <w:name w:val="oj-doc-ti"/>
    <w:basedOn w:val="Normal"/>
    <w:rsid w:val="007D7382"/>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C43A94"/>
    <w:rPr>
      <w:color w:val="954F72" w:themeColor="followedHyperlink"/>
      <w:u w:val="single"/>
    </w:rPr>
  </w:style>
  <w:style w:type="paragraph" w:customStyle="1" w:styleId="tv213">
    <w:name w:val="tv213"/>
    <w:basedOn w:val="Normal"/>
    <w:rsid w:val="0027574B"/>
    <w:pPr>
      <w:spacing w:before="100" w:beforeAutospacing="1" w:after="100" w:afterAutospacing="1"/>
    </w:pPr>
    <w:rPr>
      <w:lang w:val="en-US" w:eastAsia="en-US"/>
    </w:rPr>
  </w:style>
  <w:style w:type="paragraph" w:styleId="ListParagraph">
    <w:name w:val="List Paragraph"/>
    <w:aliases w:val="2,Strip,H&amp;P List Paragraph,Saraksta rindkopa1"/>
    <w:basedOn w:val="Normal"/>
    <w:link w:val="ListParagraphChar"/>
    <w:uiPriority w:val="34"/>
    <w:qFormat/>
    <w:rsid w:val="005F378F"/>
    <w:pPr>
      <w:ind w:left="720"/>
      <w:contextualSpacing/>
    </w:pPr>
  </w:style>
  <w:style w:type="character" w:customStyle="1" w:styleId="highlight">
    <w:name w:val="highlight"/>
    <w:basedOn w:val="DefaultParagraphFont"/>
    <w:rsid w:val="00532AC1"/>
  </w:style>
  <w:style w:type="paragraph" w:styleId="FootnoteText">
    <w:name w:val="footnote text"/>
    <w:aliases w:val="Char Char Char,Footnote Text1,Footnote Text1 Char Char Char,Footnote Text1 Char,Char Char"/>
    <w:basedOn w:val="Normal"/>
    <w:link w:val="FootnoteTextChar"/>
    <w:uiPriority w:val="99"/>
    <w:rsid w:val="001141B5"/>
    <w:pPr>
      <w:jc w:val="both"/>
    </w:pPr>
    <w:rPr>
      <w:sz w:val="20"/>
      <w:szCs w:val="20"/>
      <w:lang w:eastAsia="en-US"/>
    </w:rPr>
  </w:style>
  <w:style w:type="character" w:customStyle="1" w:styleId="FootnoteTextChar">
    <w:name w:val="Footnote Text Char"/>
    <w:aliases w:val="Char Char Char Char,Footnote Text1 Char1,Footnote Text1 Char Char Char Char,Footnote Text1 Char Char,Char Char Char1"/>
    <w:basedOn w:val="DefaultParagraphFont"/>
    <w:link w:val="FootnoteText"/>
    <w:uiPriority w:val="99"/>
    <w:rsid w:val="001141B5"/>
    <w:rPr>
      <w:rFonts w:eastAsia="Times New Roman" w:cs="Times New Roman"/>
      <w:sz w:val="20"/>
      <w:szCs w:val="20"/>
      <w:lang w:val="lv-LV"/>
    </w:rPr>
  </w:style>
  <w:style w:type="character" w:styleId="FootnoteReference">
    <w:name w:val="footnote reference"/>
    <w:uiPriority w:val="99"/>
    <w:rsid w:val="001141B5"/>
    <w:rPr>
      <w:rFonts w:ascii="Times New Roman" w:hAnsi="Times New Roman"/>
      <w:vertAlign w:val="superscript"/>
    </w:rPr>
  </w:style>
  <w:style w:type="character" w:customStyle="1" w:styleId="Heading3Char">
    <w:name w:val="Heading 3 Char"/>
    <w:basedOn w:val="DefaultParagraphFont"/>
    <w:link w:val="Heading3"/>
    <w:uiPriority w:val="9"/>
    <w:semiHidden/>
    <w:rsid w:val="007754B6"/>
    <w:rPr>
      <w:rFonts w:asciiTheme="majorHAnsi" w:eastAsiaTheme="majorEastAsia" w:hAnsiTheme="majorHAnsi" w:cstheme="majorBidi"/>
      <w:color w:val="1F4D78" w:themeColor="accent1" w:themeShade="7F"/>
      <w:szCs w:val="24"/>
      <w:lang w:val="lv-LV" w:eastAsia="ru-RU"/>
    </w:rPr>
  </w:style>
  <w:style w:type="character" w:customStyle="1" w:styleId="ListParagraphChar">
    <w:name w:val="List Paragraph Char"/>
    <w:aliases w:val="2 Char,Strip Char,H&amp;P List Paragraph Char,Saraksta rindkopa1 Char"/>
    <w:link w:val="ListParagraph"/>
    <w:uiPriority w:val="34"/>
    <w:locked/>
    <w:rsid w:val="00D56D04"/>
    <w:rPr>
      <w:rFonts w:eastAsia="Times New Roman" w:cs="Times New Roman"/>
      <w:szCs w:val="24"/>
      <w:lang w:val="lv-LV" w:eastAsia="ru-RU"/>
    </w:rPr>
  </w:style>
  <w:style w:type="paragraph" w:customStyle="1" w:styleId="Default">
    <w:name w:val="Default"/>
    <w:rsid w:val="002E53C2"/>
    <w:pPr>
      <w:autoSpaceDE w:val="0"/>
      <w:autoSpaceDN w:val="0"/>
      <w:adjustRightInd w:val="0"/>
      <w:spacing w:after="0" w:line="240" w:lineRule="auto"/>
    </w:pPr>
    <w:rPr>
      <w:rFonts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95602">
      <w:bodyDiv w:val="1"/>
      <w:marLeft w:val="0"/>
      <w:marRight w:val="0"/>
      <w:marTop w:val="0"/>
      <w:marBottom w:val="0"/>
      <w:divBdr>
        <w:top w:val="none" w:sz="0" w:space="0" w:color="auto"/>
        <w:left w:val="none" w:sz="0" w:space="0" w:color="auto"/>
        <w:bottom w:val="none" w:sz="0" w:space="0" w:color="auto"/>
        <w:right w:val="none" w:sz="0" w:space="0" w:color="auto"/>
      </w:divBdr>
    </w:div>
    <w:div w:id="14693026">
      <w:bodyDiv w:val="1"/>
      <w:marLeft w:val="0"/>
      <w:marRight w:val="0"/>
      <w:marTop w:val="0"/>
      <w:marBottom w:val="0"/>
      <w:divBdr>
        <w:top w:val="none" w:sz="0" w:space="0" w:color="auto"/>
        <w:left w:val="none" w:sz="0" w:space="0" w:color="auto"/>
        <w:bottom w:val="none" w:sz="0" w:space="0" w:color="auto"/>
        <w:right w:val="none" w:sz="0" w:space="0" w:color="auto"/>
      </w:divBdr>
      <w:divsChild>
        <w:div w:id="1537423586">
          <w:marLeft w:val="0"/>
          <w:marRight w:val="0"/>
          <w:marTop w:val="15"/>
          <w:marBottom w:val="0"/>
          <w:divBdr>
            <w:top w:val="single" w:sz="48" w:space="0" w:color="auto"/>
            <w:left w:val="single" w:sz="48" w:space="0" w:color="auto"/>
            <w:bottom w:val="single" w:sz="48" w:space="0" w:color="auto"/>
            <w:right w:val="single" w:sz="48" w:space="0" w:color="auto"/>
          </w:divBdr>
          <w:divsChild>
            <w:div w:id="131098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3400">
      <w:bodyDiv w:val="1"/>
      <w:marLeft w:val="0"/>
      <w:marRight w:val="0"/>
      <w:marTop w:val="0"/>
      <w:marBottom w:val="0"/>
      <w:divBdr>
        <w:top w:val="none" w:sz="0" w:space="0" w:color="auto"/>
        <w:left w:val="none" w:sz="0" w:space="0" w:color="auto"/>
        <w:bottom w:val="none" w:sz="0" w:space="0" w:color="auto"/>
        <w:right w:val="none" w:sz="0" w:space="0" w:color="auto"/>
      </w:divBdr>
    </w:div>
    <w:div w:id="71703765">
      <w:bodyDiv w:val="1"/>
      <w:marLeft w:val="0"/>
      <w:marRight w:val="0"/>
      <w:marTop w:val="0"/>
      <w:marBottom w:val="0"/>
      <w:divBdr>
        <w:top w:val="none" w:sz="0" w:space="0" w:color="auto"/>
        <w:left w:val="none" w:sz="0" w:space="0" w:color="auto"/>
        <w:bottom w:val="none" w:sz="0" w:space="0" w:color="auto"/>
        <w:right w:val="none" w:sz="0" w:space="0" w:color="auto"/>
      </w:divBdr>
    </w:div>
    <w:div w:id="80027650">
      <w:bodyDiv w:val="1"/>
      <w:marLeft w:val="0"/>
      <w:marRight w:val="0"/>
      <w:marTop w:val="0"/>
      <w:marBottom w:val="0"/>
      <w:divBdr>
        <w:top w:val="none" w:sz="0" w:space="0" w:color="auto"/>
        <w:left w:val="none" w:sz="0" w:space="0" w:color="auto"/>
        <w:bottom w:val="none" w:sz="0" w:space="0" w:color="auto"/>
        <w:right w:val="none" w:sz="0" w:space="0" w:color="auto"/>
      </w:divBdr>
    </w:div>
    <w:div w:id="95951778">
      <w:bodyDiv w:val="1"/>
      <w:marLeft w:val="0"/>
      <w:marRight w:val="0"/>
      <w:marTop w:val="0"/>
      <w:marBottom w:val="0"/>
      <w:divBdr>
        <w:top w:val="none" w:sz="0" w:space="0" w:color="auto"/>
        <w:left w:val="none" w:sz="0" w:space="0" w:color="auto"/>
        <w:bottom w:val="none" w:sz="0" w:space="0" w:color="auto"/>
        <w:right w:val="none" w:sz="0" w:space="0" w:color="auto"/>
      </w:divBdr>
    </w:div>
    <w:div w:id="103234561">
      <w:bodyDiv w:val="1"/>
      <w:marLeft w:val="0"/>
      <w:marRight w:val="0"/>
      <w:marTop w:val="0"/>
      <w:marBottom w:val="0"/>
      <w:divBdr>
        <w:top w:val="none" w:sz="0" w:space="0" w:color="auto"/>
        <w:left w:val="none" w:sz="0" w:space="0" w:color="auto"/>
        <w:bottom w:val="none" w:sz="0" w:space="0" w:color="auto"/>
        <w:right w:val="none" w:sz="0" w:space="0" w:color="auto"/>
      </w:divBdr>
    </w:div>
    <w:div w:id="139660398">
      <w:bodyDiv w:val="1"/>
      <w:marLeft w:val="0"/>
      <w:marRight w:val="0"/>
      <w:marTop w:val="0"/>
      <w:marBottom w:val="0"/>
      <w:divBdr>
        <w:top w:val="none" w:sz="0" w:space="0" w:color="auto"/>
        <w:left w:val="none" w:sz="0" w:space="0" w:color="auto"/>
        <w:bottom w:val="none" w:sz="0" w:space="0" w:color="auto"/>
        <w:right w:val="none" w:sz="0" w:space="0" w:color="auto"/>
      </w:divBdr>
    </w:div>
    <w:div w:id="155269651">
      <w:bodyDiv w:val="1"/>
      <w:marLeft w:val="0"/>
      <w:marRight w:val="0"/>
      <w:marTop w:val="0"/>
      <w:marBottom w:val="0"/>
      <w:divBdr>
        <w:top w:val="none" w:sz="0" w:space="0" w:color="auto"/>
        <w:left w:val="none" w:sz="0" w:space="0" w:color="auto"/>
        <w:bottom w:val="none" w:sz="0" w:space="0" w:color="auto"/>
        <w:right w:val="none" w:sz="0" w:space="0" w:color="auto"/>
      </w:divBdr>
    </w:div>
    <w:div w:id="199828221">
      <w:bodyDiv w:val="1"/>
      <w:marLeft w:val="0"/>
      <w:marRight w:val="0"/>
      <w:marTop w:val="0"/>
      <w:marBottom w:val="0"/>
      <w:divBdr>
        <w:top w:val="none" w:sz="0" w:space="0" w:color="auto"/>
        <w:left w:val="none" w:sz="0" w:space="0" w:color="auto"/>
        <w:bottom w:val="none" w:sz="0" w:space="0" w:color="auto"/>
        <w:right w:val="none" w:sz="0" w:space="0" w:color="auto"/>
      </w:divBdr>
    </w:div>
    <w:div w:id="216860010">
      <w:bodyDiv w:val="1"/>
      <w:marLeft w:val="0"/>
      <w:marRight w:val="0"/>
      <w:marTop w:val="0"/>
      <w:marBottom w:val="0"/>
      <w:divBdr>
        <w:top w:val="none" w:sz="0" w:space="0" w:color="auto"/>
        <w:left w:val="none" w:sz="0" w:space="0" w:color="auto"/>
        <w:bottom w:val="none" w:sz="0" w:space="0" w:color="auto"/>
        <w:right w:val="none" w:sz="0" w:space="0" w:color="auto"/>
      </w:divBdr>
      <w:divsChild>
        <w:div w:id="388648669">
          <w:marLeft w:val="0"/>
          <w:marRight w:val="0"/>
          <w:marTop w:val="0"/>
          <w:marBottom w:val="0"/>
          <w:divBdr>
            <w:top w:val="none" w:sz="0" w:space="0" w:color="auto"/>
            <w:left w:val="none" w:sz="0" w:space="0" w:color="auto"/>
            <w:bottom w:val="none" w:sz="0" w:space="0" w:color="auto"/>
            <w:right w:val="none" w:sz="0" w:space="0" w:color="auto"/>
          </w:divBdr>
        </w:div>
        <w:div w:id="645741663">
          <w:marLeft w:val="0"/>
          <w:marRight w:val="0"/>
          <w:marTop w:val="0"/>
          <w:marBottom w:val="0"/>
          <w:divBdr>
            <w:top w:val="none" w:sz="0" w:space="0" w:color="auto"/>
            <w:left w:val="none" w:sz="0" w:space="0" w:color="auto"/>
            <w:bottom w:val="none" w:sz="0" w:space="0" w:color="auto"/>
            <w:right w:val="none" w:sz="0" w:space="0" w:color="auto"/>
          </w:divBdr>
        </w:div>
        <w:div w:id="1256016058">
          <w:marLeft w:val="0"/>
          <w:marRight w:val="0"/>
          <w:marTop w:val="0"/>
          <w:marBottom w:val="0"/>
          <w:divBdr>
            <w:top w:val="none" w:sz="0" w:space="0" w:color="auto"/>
            <w:left w:val="none" w:sz="0" w:space="0" w:color="auto"/>
            <w:bottom w:val="none" w:sz="0" w:space="0" w:color="auto"/>
            <w:right w:val="none" w:sz="0" w:space="0" w:color="auto"/>
          </w:divBdr>
        </w:div>
      </w:divsChild>
    </w:div>
    <w:div w:id="278223198">
      <w:bodyDiv w:val="1"/>
      <w:marLeft w:val="0"/>
      <w:marRight w:val="0"/>
      <w:marTop w:val="0"/>
      <w:marBottom w:val="0"/>
      <w:divBdr>
        <w:top w:val="none" w:sz="0" w:space="0" w:color="auto"/>
        <w:left w:val="none" w:sz="0" w:space="0" w:color="auto"/>
        <w:bottom w:val="none" w:sz="0" w:space="0" w:color="auto"/>
        <w:right w:val="none" w:sz="0" w:space="0" w:color="auto"/>
      </w:divBdr>
      <w:divsChild>
        <w:div w:id="1005979627">
          <w:marLeft w:val="0"/>
          <w:marRight w:val="0"/>
          <w:marTop w:val="15"/>
          <w:marBottom w:val="0"/>
          <w:divBdr>
            <w:top w:val="single" w:sz="48" w:space="0" w:color="auto"/>
            <w:left w:val="single" w:sz="48" w:space="0" w:color="auto"/>
            <w:bottom w:val="single" w:sz="48" w:space="0" w:color="auto"/>
            <w:right w:val="single" w:sz="48" w:space="0" w:color="auto"/>
          </w:divBdr>
          <w:divsChild>
            <w:div w:id="11976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279344">
      <w:bodyDiv w:val="1"/>
      <w:marLeft w:val="0"/>
      <w:marRight w:val="0"/>
      <w:marTop w:val="0"/>
      <w:marBottom w:val="0"/>
      <w:divBdr>
        <w:top w:val="none" w:sz="0" w:space="0" w:color="auto"/>
        <w:left w:val="none" w:sz="0" w:space="0" w:color="auto"/>
        <w:bottom w:val="none" w:sz="0" w:space="0" w:color="auto"/>
        <w:right w:val="none" w:sz="0" w:space="0" w:color="auto"/>
      </w:divBdr>
      <w:divsChild>
        <w:div w:id="525216649">
          <w:marLeft w:val="0"/>
          <w:marRight w:val="0"/>
          <w:marTop w:val="0"/>
          <w:marBottom w:val="0"/>
          <w:divBdr>
            <w:top w:val="none" w:sz="0" w:space="0" w:color="auto"/>
            <w:left w:val="none" w:sz="0" w:space="0" w:color="auto"/>
            <w:bottom w:val="none" w:sz="0" w:space="0" w:color="auto"/>
            <w:right w:val="none" w:sz="0" w:space="0" w:color="auto"/>
          </w:divBdr>
        </w:div>
        <w:div w:id="886835201">
          <w:marLeft w:val="0"/>
          <w:marRight w:val="0"/>
          <w:marTop w:val="0"/>
          <w:marBottom w:val="0"/>
          <w:divBdr>
            <w:top w:val="none" w:sz="0" w:space="0" w:color="auto"/>
            <w:left w:val="none" w:sz="0" w:space="0" w:color="auto"/>
            <w:bottom w:val="none" w:sz="0" w:space="0" w:color="auto"/>
            <w:right w:val="none" w:sz="0" w:space="0" w:color="auto"/>
          </w:divBdr>
        </w:div>
      </w:divsChild>
    </w:div>
    <w:div w:id="382756900">
      <w:bodyDiv w:val="1"/>
      <w:marLeft w:val="0"/>
      <w:marRight w:val="0"/>
      <w:marTop w:val="0"/>
      <w:marBottom w:val="0"/>
      <w:divBdr>
        <w:top w:val="none" w:sz="0" w:space="0" w:color="auto"/>
        <w:left w:val="none" w:sz="0" w:space="0" w:color="auto"/>
        <w:bottom w:val="none" w:sz="0" w:space="0" w:color="auto"/>
        <w:right w:val="none" w:sz="0" w:space="0" w:color="auto"/>
      </w:divBdr>
    </w:div>
    <w:div w:id="526255872">
      <w:bodyDiv w:val="1"/>
      <w:marLeft w:val="0"/>
      <w:marRight w:val="0"/>
      <w:marTop w:val="0"/>
      <w:marBottom w:val="0"/>
      <w:divBdr>
        <w:top w:val="none" w:sz="0" w:space="0" w:color="auto"/>
        <w:left w:val="none" w:sz="0" w:space="0" w:color="auto"/>
        <w:bottom w:val="none" w:sz="0" w:space="0" w:color="auto"/>
        <w:right w:val="none" w:sz="0" w:space="0" w:color="auto"/>
      </w:divBdr>
    </w:div>
    <w:div w:id="608969213">
      <w:bodyDiv w:val="1"/>
      <w:marLeft w:val="0"/>
      <w:marRight w:val="0"/>
      <w:marTop w:val="0"/>
      <w:marBottom w:val="0"/>
      <w:divBdr>
        <w:top w:val="none" w:sz="0" w:space="0" w:color="auto"/>
        <w:left w:val="none" w:sz="0" w:space="0" w:color="auto"/>
        <w:bottom w:val="none" w:sz="0" w:space="0" w:color="auto"/>
        <w:right w:val="none" w:sz="0" w:space="0" w:color="auto"/>
      </w:divBdr>
    </w:div>
    <w:div w:id="680084163">
      <w:bodyDiv w:val="1"/>
      <w:marLeft w:val="0"/>
      <w:marRight w:val="0"/>
      <w:marTop w:val="0"/>
      <w:marBottom w:val="0"/>
      <w:divBdr>
        <w:top w:val="none" w:sz="0" w:space="0" w:color="auto"/>
        <w:left w:val="none" w:sz="0" w:space="0" w:color="auto"/>
        <w:bottom w:val="none" w:sz="0" w:space="0" w:color="auto"/>
        <w:right w:val="none" w:sz="0" w:space="0" w:color="auto"/>
      </w:divBdr>
    </w:div>
    <w:div w:id="728772164">
      <w:bodyDiv w:val="1"/>
      <w:marLeft w:val="0"/>
      <w:marRight w:val="0"/>
      <w:marTop w:val="0"/>
      <w:marBottom w:val="0"/>
      <w:divBdr>
        <w:top w:val="none" w:sz="0" w:space="0" w:color="auto"/>
        <w:left w:val="none" w:sz="0" w:space="0" w:color="auto"/>
        <w:bottom w:val="none" w:sz="0" w:space="0" w:color="auto"/>
        <w:right w:val="none" w:sz="0" w:space="0" w:color="auto"/>
      </w:divBdr>
    </w:div>
    <w:div w:id="744304561">
      <w:bodyDiv w:val="1"/>
      <w:marLeft w:val="0"/>
      <w:marRight w:val="0"/>
      <w:marTop w:val="0"/>
      <w:marBottom w:val="0"/>
      <w:divBdr>
        <w:top w:val="none" w:sz="0" w:space="0" w:color="auto"/>
        <w:left w:val="none" w:sz="0" w:space="0" w:color="auto"/>
        <w:bottom w:val="none" w:sz="0" w:space="0" w:color="auto"/>
        <w:right w:val="none" w:sz="0" w:space="0" w:color="auto"/>
      </w:divBdr>
      <w:divsChild>
        <w:div w:id="934479150">
          <w:marLeft w:val="0"/>
          <w:marRight w:val="0"/>
          <w:marTop w:val="0"/>
          <w:marBottom w:val="0"/>
          <w:divBdr>
            <w:top w:val="none" w:sz="0" w:space="0" w:color="auto"/>
            <w:left w:val="none" w:sz="0" w:space="0" w:color="auto"/>
            <w:bottom w:val="none" w:sz="0" w:space="0" w:color="auto"/>
            <w:right w:val="none" w:sz="0" w:space="0" w:color="auto"/>
          </w:divBdr>
        </w:div>
        <w:div w:id="1314026974">
          <w:marLeft w:val="0"/>
          <w:marRight w:val="0"/>
          <w:marTop w:val="0"/>
          <w:marBottom w:val="0"/>
          <w:divBdr>
            <w:top w:val="none" w:sz="0" w:space="0" w:color="auto"/>
            <w:left w:val="none" w:sz="0" w:space="0" w:color="auto"/>
            <w:bottom w:val="none" w:sz="0" w:space="0" w:color="auto"/>
            <w:right w:val="none" w:sz="0" w:space="0" w:color="auto"/>
          </w:divBdr>
        </w:div>
        <w:div w:id="2013138583">
          <w:marLeft w:val="0"/>
          <w:marRight w:val="0"/>
          <w:marTop w:val="0"/>
          <w:marBottom w:val="0"/>
          <w:divBdr>
            <w:top w:val="none" w:sz="0" w:space="0" w:color="auto"/>
            <w:left w:val="none" w:sz="0" w:space="0" w:color="auto"/>
            <w:bottom w:val="none" w:sz="0" w:space="0" w:color="auto"/>
            <w:right w:val="none" w:sz="0" w:space="0" w:color="auto"/>
          </w:divBdr>
        </w:div>
      </w:divsChild>
    </w:div>
    <w:div w:id="809664372">
      <w:bodyDiv w:val="1"/>
      <w:marLeft w:val="0"/>
      <w:marRight w:val="0"/>
      <w:marTop w:val="0"/>
      <w:marBottom w:val="0"/>
      <w:divBdr>
        <w:top w:val="none" w:sz="0" w:space="0" w:color="auto"/>
        <w:left w:val="none" w:sz="0" w:space="0" w:color="auto"/>
        <w:bottom w:val="none" w:sz="0" w:space="0" w:color="auto"/>
        <w:right w:val="none" w:sz="0" w:space="0" w:color="auto"/>
      </w:divBdr>
      <w:divsChild>
        <w:div w:id="1250654599">
          <w:marLeft w:val="0"/>
          <w:marRight w:val="0"/>
          <w:marTop w:val="15"/>
          <w:marBottom w:val="0"/>
          <w:divBdr>
            <w:top w:val="single" w:sz="48" w:space="0" w:color="auto"/>
            <w:left w:val="single" w:sz="48" w:space="0" w:color="auto"/>
            <w:bottom w:val="single" w:sz="48" w:space="0" w:color="auto"/>
            <w:right w:val="single" w:sz="48" w:space="0" w:color="auto"/>
          </w:divBdr>
          <w:divsChild>
            <w:div w:id="985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880524">
      <w:bodyDiv w:val="1"/>
      <w:marLeft w:val="0"/>
      <w:marRight w:val="0"/>
      <w:marTop w:val="0"/>
      <w:marBottom w:val="0"/>
      <w:divBdr>
        <w:top w:val="none" w:sz="0" w:space="0" w:color="auto"/>
        <w:left w:val="none" w:sz="0" w:space="0" w:color="auto"/>
        <w:bottom w:val="none" w:sz="0" w:space="0" w:color="auto"/>
        <w:right w:val="none" w:sz="0" w:space="0" w:color="auto"/>
      </w:divBdr>
    </w:div>
    <w:div w:id="916131340">
      <w:bodyDiv w:val="1"/>
      <w:marLeft w:val="0"/>
      <w:marRight w:val="0"/>
      <w:marTop w:val="0"/>
      <w:marBottom w:val="0"/>
      <w:divBdr>
        <w:top w:val="none" w:sz="0" w:space="0" w:color="auto"/>
        <w:left w:val="none" w:sz="0" w:space="0" w:color="auto"/>
        <w:bottom w:val="none" w:sz="0" w:space="0" w:color="auto"/>
        <w:right w:val="none" w:sz="0" w:space="0" w:color="auto"/>
      </w:divBdr>
    </w:div>
    <w:div w:id="921521680">
      <w:bodyDiv w:val="1"/>
      <w:marLeft w:val="0"/>
      <w:marRight w:val="0"/>
      <w:marTop w:val="0"/>
      <w:marBottom w:val="0"/>
      <w:divBdr>
        <w:top w:val="none" w:sz="0" w:space="0" w:color="auto"/>
        <w:left w:val="none" w:sz="0" w:space="0" w:color="auto"/>
        <w:bottom w:val="none" w:sz="0" w:space="0" w:color="auto"/>
        <w:right w:val="none" w:sz="0" w:space="0" w:color="auto"/>
      </w:divBdr>
    </w:div>
    <w:div w:id="985280773">
      <w:bodyDiv w:val="1"/>
      <w:marLeft w:val="0"/>
      <w:marRight w:val="0"/>
      <w:marTop w:val="0"/>
      <w:marBottom w:val="0"/>
      <w:divBdr>
        <w:top w:val="none" w:sz="0" w:space="0" w:color="auto"/>
        <w:left w:val="none" w:sz="0" w:space="0" w:color="auto"/>
        <w:bottom w:val="none" w:sz="0" w:space="0" w:color="auto"/>
        <w:right w:val="none" w:sz="0" w:space="0" w:color="auto"/>
      </w:divBdr>
    </w:div>
    <w:div w:id="994574480">
      <w:bodyDiv w:val="1"/>
      <w:marLeft w:val="0"/>
      <w:marRight w:val="0"/>
      <w:marTop w:val="0"/>
      <w:marBottom w:val="0"/>
      <w:divBdr>
        <w:top w:val="none" w:sz="0" w:space="0" w:color="auto"/>
        <w:left w:val="none" w:sz="0" w:space="0" w:color="auto"/>
        <w:bottom w:val="none" w:sz="0" w:space="0" w:color="auto"/>
        <w:right w:val="none" w:sz="0" w:space="0" w:color="auto"/>
      </w:divBdr>
    </w:div>
    <w:div w:id="1030649198">
      <w:bodyDiv w:val="1"/>
      <w:marLeft w:val="0"/>
      <w:marRight w:val="0"/>
      <w:marTop w:val="0"/>
      <w:marBottom w:val="0"/>
      <w:divBdr>
        <w:top w:val="none" w:sz="0" w:space="0" w:color="auto"/>
        <w:left w:val="none" w:sz="0" w:space="0" w:color="auto"/>
        <w:bottom w:val="none" w:sz="0" w:space="0" w:color="auto"/>
        <w:right w:val="none" w:sz="0" w:space="0" w:color="auto"/>
      </w:divBdr>
    </w:div>
    <w:div w:id="1083525627">
      <w:bodyDiv w:val="1"/>
      <w:marLeft w:val="0"/>
      <w:marRight w:val="0"/>
      <w:marTop w:val="0"/>
      <w:marBottom w:val="0"/>
      <w:divBdr>
        <w:top w:val="none" w:sz="0" w:space="0" w:color="auto"/>
        <w:left w:val="none" w:sz="0" w:space="0" w:color="auto"/>
        <w:bottom w:val="none" w:sz="0" w:space="0" w:color="auto"/>
        <w:right w:val="none" w:sz="0" w:space="0" w:color="auto"/>
      </w:divBdr>
      <w:divsChild>
        <w:div w:id="11297808">
          <w:marLeft w:val="0"/>
          <w:marRight w:val="0"/>
          <w:marTop w:val="15"/>
          <w:marBottom w:val="0"/>
          <w:divBdr>
            <w:top w:val="single" w:sz="48" w:space="0" w:color="auto"/>
            <w:left w:val="single" w:sz="48" w:space="0" w:color="auto"/>
            <w:bottom w:val="single" w:sz="48" w:space="0" w:color="auto"/>
            <w:right w:val="single" w:sz="48" w:space="0" w:color="auto"/>
          </w:divBdr>
          <w:divsChild>
            <w:div w:id="7062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715594">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sChild>
        <w:div w:id="202594892">
          <w:marLeft w:val="0"/>
          <w:marRight w:val="0"/>
          <w:marTop w:val="0"/>
          <w:marBottom w:val="0"/>
          <w:divBdr>
            <w:top w:val="none" w:sz="0" w:space="0" w:color="auto"/>
            <w:left w:val="none" w:sz="0" w:space="0" w:color="auto"/>
            <w:bottom w:val="none" w:sz="0" w:space="0" w:color="auto"/>
            <w:right w:val="none" w:sz="0" w:space="0" w:color="auto"/>
          </w:divBdr>
          <w:divsChild>
            <w:div w:id="500701102">
              <w:marLeft w:val="0"/>
              <w:marRight w:val="0"/>
              <w:marTop w:val="0"/>
              <w:marBottom w:val="0"/>
              <w:divBdr>
                <w:top w:val="none" w:sz="0" w:space="0" w:color="auto"/>
                <w:left w:val="none" w:sz="0" w:space="0" w:color="auto"/>
                <w:bottom w:val="none" w:sz="0" w:space="0" w:color="auto"/>
                <w:right w:val="none" w:sz="0" w:space="0" w:color="auto"/>
              </w:divBdr>
              <w:divsChild>
                <w:div w:id="93478994">
                  <w:marLeft w:val="0"/>
                  <w:marRight w:val="0"/>
                  <w:marTop w:val="15"/>
                  <w:marBottom w:val="0"/>
                  <w:divBdr>
                    <w:top w:val="single" w:sz="48" w:space="0" w:color="auto"/>
                    <w:left w:val="single" w:sz="48" w:space="0" w:color="auto"/>
                    <w:bottom w:val="single" w:sz="48" w:space="0" w:color="auto"/>
                    <w:right w:val="single" w:sz="48" w:space="0" w:color="auto"/>
                  </w:divBdr>
                  <w:divsChild>
                    <w:div w:id="952253104">
                      <w:marLeft w:val="0"/>
                      <w:marRight w:val="0"/>
                      <w:marTop w:val="0"/>
                      <w:marBottom w:val="0"/>
                      <w:divBdr>
                        <w:top w:val="none" w:sz="0" w:space="0" w:color="auto"/>
                        <w:left w:val="none" w:sz="0" w:space="0" w:color="auto"/>
                        <w:bottom w:val="none" w:sz="0" w:space="0" w:color="auto"/>
                        <w:right w:val="none" w:sz="0" w:space="0" w:color="auto"/>
                      </w:divBdr>
                    </w:div>
                  </w:divsChild>
                </w:div>
                <w:div w:id="405538462">
                  <w:marLeft w:val="0"/>
                  <w:marRight w:val="0"/>
                  <w:marTop w:val="15"/>
                  <w:marBottom w:val="0"/>
                  <w:divBdr>
                    <w:top w:val="single" w:sz="48" w:space="0" w:color="auto"/>
                    <w:left w:val="single" w:sz="48" w:space="0" w:color="auto"/>
                    <w:bottom w:val="single" w:sz="48" w:space="0" w:color="auto"/>
                    <w:right w:val="single" w:sz="48" w:space="0" w:color="auto"/>
                  </w:divBdr>
                  <w:divsChild>
                    <w:div w:id="136992614">
                      <w:marLeft w:val="0"/>
                      <w:marRight w:val="0"/>
                      <w:marTop w:val="0"/>
                      <w:marBottom w:val="0"/>
                      <w:divBdr>
                        <w:top w:val="none" w:sz="0" w:space="0" w:color="auto"/>
                        <w:left w:val="none" w:sz="0" w:space="0" w:color="auto"/>
                        <w:bottom w:val="none" w:sz="0" w:space="0" w:color="auto"/>
                        <w:right w:val="none" w:sz="0" w:space="0" w:color="auto"/>
                      </w:divBdr>
                    </w:div>
                  </w:divsChild>
                </w:div>
                <w:div w:id="917442501">
                  <w:marLeft w:val="0"/>
                  <w:marRight w:val="0"/>
                  <w:marTop w:val="15"/>
                  <w:marBottom w:val="0"/>
                  <w:divBdr>
                    <w:top w:val="single" w:sz="48" w:space="0" w:color="auto"/>
                    <w:left w:val="single" w:sz="48" w:space="0" w:color="auto"/>
                    <w:bottom w:val="single" w:sz="48" w:space="0" w:color="auto"/>
                    <w:right w:val="single" w:sz="48" w:space="0" w:color="auto"/>
                  </w:divBdr>
                  <w:divsChild>
                    <w:div w:id="1337076377">
                      <w:marLeft w:val="0"/>
                      <w:marRight w:val="0"/>
                      <w:marTop w:val="0"/>
                      <w:marBottom w:val="0"/>
                      <w:divBdr>
                        <w:top w:val="none" w:sz="0" w:space="0" w:color="auto"/>
                        <w:left w:val="none" w:sz="0" w:space="0" w:color="auto"/>
                        <w:bottom w:val="none" w:sz="0" w:space="0" w:color="auto"/>
                        <w:right w:val="none" w:sz="0" w:space="0" w:color="auto"/>
                      </w:divBdr>
                    </w:div>
                  </w:divsChild>
                </w:div>
                <w:div w:id="948589646">
                  <w:marLeft w:val="0"/>
                  <w:marRight w:val="0"/>
                  <w:marTop w:val="15"/>
                  <w:marBottom w:val="0"/>
                  <w:divBdr>
                    <w:top w:val="single" w:sz="48" w:space="0" w:color="auto"/>
                    <w:left w:val="single" w:sz="48" w:space="0" w:color="auto"/>
                    <w:bottom w:val="single" w:sz="48" w:space="0" w:color="auto"/>
                    <w:right w:val="single" w:sz="48" w:space="0" w:color="auto"/>
                  </w:divBdr>
                  <w:divsChild>
                    <w:div w:id="896208338">
                      <w:marLeft w:val="0"/>
                      <w:marRight w:val="0"/>
                      <w:marTop w:val="0"/>
                      <w:marBottom w:val="0"/>
                      <w:divBdr>
                        <w:top w:val="none" w:sz="0" w:space="0" w:color="auto"/>
                        <w:left w:val="none" w:sz="0" w:space="0" w:color="auto"/>
                        <w:bottom w:val="none" w:sz="0" w:space="0" w:color="auto"/>
                        <w:right w:val="none" w:sz="0" w:space="0" w:color="auto"/>
                      </w:divBdr>
                    </w:div>
                  </w:divsChild>
                </w:div>
                <w:div w:id="1149515969">
                  <w:marLeft w:val="0"/>
                  <w:marRight w:val="0"/>
                  <w:marTop w:val="15"/>
                  <w:marBottom w:val="0"/>
                  <w:divBdr>
                    <w:top w:val="single" w:sz="48" w:space="0" w:color="auto"/>
                    <w:left w:val="single" w:sz="48" w:space="0" w:color="auto"/>
                    <w:bottom w:val="single" w:sz="48" w:space="0" w:color="auto"/>
                    <w:right w:val="single" w:sz="48" w:space="0" w:color="auto"/>
                  </w:divBdr>
                  <w:divsChild>
                    <w:div w:id="1607535839">
                      <w:marLeft w:val="0"/>
                      <w:marRight w:val="0"/>
                      <w:marTop w:val="0"/>
                      <w:marBottom w:val="0"/>
                      <w:divBdr>
                        <w:top w:val="none" w:sz="0" w:space="0" w:color="auto"/>
                        <w:left w:val="none" w:sz="0" w:space="0" w:color="auto"/>
                        <w:bottom w:val="none" w:sz="0" w:space="0" w:color="auto"/>
                        <w:right w:val="none" w:sz="0" w:space="0" w:color="auto"/>
                      </w:divBdr>
                    </w:div>
                  </w:divsChild>
                </w:div>
                <w:div w:id="1179781985">
                  <w:marLeft w:val="0"/>
                  <w:marRight w:val="0"/>
                  <w:marTop w:val="15"/>
                  <w:marBottom w:val="0"/>
                  <w:divBdr>
                    <w:top w:val="single" w:sz="48" w:space="0" w:color="auto"/>
                    <w:left w:val="single" w:sz="48" w:space="0" w:color="auto"/>
                    <w:bottom w:val="single" w:sz="48" w:space="0" w:color="auto"/>
                    <w:right w:val="single" w:sz="48" w:space="0" w:color="auto"/>
                  </w:divBdr>
                  <w:divsChild>
                    <w:div w:id="383606839">
                      <w:marLeft w:val="0"/>
                      <w:marRight w:val="0"/>
                      <w:marTop w:val="0"/>
                      <w:marBottom w:val="0"/>
                      <w:divBdr>
                        <w:top w:val="none" w:sz="0" w:space="0" w:color="auto"/>
                        <w:left w:val="none" w:sz="0" w:space="0" w:color="auto"/>
                        <w:bottom w:val="none" w:sz="0" w:space="0" w:color="auto"/>
                        <w:right w:val="none" w:sz="0" w:space="0" w:color="auto"/>
                      </w:divBdr>
                    </w:div>
                  </w:divsChild>
                </w:div>
                <w:div w:id="1224218523">
                  <w:marLeft w:val="0"/>
                  <w:marRight w:val="0"/>
                  <w:marTop w:val="15"/>
                  <w:marBottom w:val="0"/>
                  <w:divBdr>
                    <w:top w:val="single" w:sz="48" w:space="0" w:color="auto"/>
                    <w:left w:val="single" w:sz="48" w:space="0" w:color="auto"/>
                    <w:bottom w:val="single" w:sz="48" w:space="0" w:color="auto"/>
                    <w:right w:val="single" w:sz="48" w:space="0" w:color="auto"/>
                  </w:divBdr>
                  <w:divsChild>
                    <w:div w:id="1450470476">
                      <w:marLeft w:val="0"/>
                      <w:marRight w:val="0"/>
                      <w:marTop w:val="0"/>
                      <w:marBottom w:val="0"/>
                      <w:divBdr>
                        <w:top w:val="none" w:sz="0" w:space="0" w:color="auto"/>
                        <w:left w:val="none" w:sz="0" w:space="0" w:color="auto"/>
                        <w:bottom w:val="none" w:sz="0" w:space="0" w:color="auto"/>
                        <w:right w:val="none" w:sz="0" w:space="0" w:color="auto"/>
                      </w:divBdr>
                    </w:div>
                  </w:divsChild>
                </w:div>
                <w:div w:id="1767773033">
                  <w:marLeft w:val="0"/>
                  <w:marRight w:val="0"/>
                  <w:marTop w:val="15"/>
                  <w:marBottom w:val="0"/>
                  <w:divBdr>
                    <w:top w:val="single" w:sz="48" w:space="0" w:color="auto"/>
                    <w:left w:val="single" w:sz="48" w:space="0" w:color="auto"/>
                    <w:bottom w:val="single" w:sz="48" w:space="0" w:color="auto"/>
                    <w:right w:val="single" w:sz="48" w:space="0" w:color="auto"/>
                  </w:divBdr>
                  <w:divsChild>
                    <w:div w:id="1531644287">
                      <w:marLeft w:val="0"/>
                      <w:marRight w:val="0"/>
                      <w:marTop w:val="0"/>
                      <w:marBottom w:val="0"/>
                      <w:divBdr>
                        <w:top w:val="none" w:sz="0" w:space="0" w:color="auto"/>
                        <w:left w:val="none" w:sz="0" w:space="0" w:color="auto"/>
                        <w:bottom w:val="none" w:sz="0" w:space="0" w:color="auto"/>
                        <w:right w:val="none" w:sz="0" w:space="0" w:color="auto"/>
                      </w:divBdr>
                    </w:div>
                  </w:divsChild>
                </w:div>
                <w:div w:id="1972980338">
                  <w:marLeft w:val="0"/>
                  <w:marRight w:val="0"/>
                  <w:marTop w:val="15"/>
                  <w:marBottom w:val="0"/>
                  <w:divBdr>
                    <w:top w:val="single" w:sz="48" w:space="0" w:color="auto"/>
                    <w:left w:val="single" w:sz="48" w:space="0" w:color="auto"/>
                    <w:bottom w:val="single" w:sz="48" w:space="0" w:color="auto"/>
                    <w:right w:val="single" w:sz="48" w:space="0" w:color="auto"/>
                  </w:divBdr>
                  <w:divsChild>
                    <w:div w:id="125967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763645">
          <w:marLeft w:val="30"/>
          <w:marRight w:val="30"/>
          <w:marTop w:val="60"/>
          <w:marBottom w:val="60"/>
          <w:divBdr>
            <w:top w:val="none" w:sz="0" w:space="0" w:color="auto"/>
            <w:left w:val="none" w:sz="0" w:space="0" w:color="auto"/>
            <w:bottom w:val="none" w:sz="0" w:space="0" w:color="auto"/>
            <w:right w:val="none" w:sz="0" w:space="0" w:color="auto"/>
          </w:divBdr>
          <w:divsChild>
            <w:div w:id="63797911">
              <w:marLeft w:val="0"/>
              <w:marRight w:val="0"/>
              <w:marTop w:val="0"/>
              <w:marBottom w:val="0"/>
              <w:divBdr>
                <w:top w:val="none" w:sz="0" w:space="0" w:color="auto"/>
                <w:left w:val="none" w:sz="0" w:space="0" w:color="auto"/>
                <w:bottom w:val="none" w:sz="0" w:space="0" w:color="auto"/>
                <w:right w:val="none" w:sz="0" w:space="0" w:color="auto"/>
              </w:divBdr>
            </w:div>
          </w:divsChild>
        </w:div>
        <w:div w:id="1266230814">
          <w:marLeft w:val="0"/>
          <w:marRight w:val="0"/>
          <w:marTop w:val="0"/>
          <w:marBottom w:val="0"/>
          <w:divBdr>
            <w:top w:val="none" w:sz="0" w:space="0" w:color="auto"/>
            <w:left w:val="none" w:sz="0" w:space="0" w:color="auto"/>
            <w:bottom w:val="none" w:sz="0" w:space="0" w:color="auto"/>
            <w:right w:val="none" w:sz="0" w:space="0" w:color="auto"/>
          </w:divBdr>
          <w:divsChild>
            <w:div w:id="847714404">
              <w:marLeft w:val="0"/>
              <w:marRight w:val="0"/>
              <w:marTop w:val="0"/>
              <w:marBottom w:val="0"/>
              <w:divBdr>
                <w:top w:val="none" w:sz="0" w:space="0" w:color="auto"/>
                <w:left w:val="none" w:sz="0" w:space="0" w:color="auto"/>
                <w:bottom w:val="none" w:sz="0" w:space="0" w:color="auto"/>
                <w:right w:val="none" w:sz="0" w:space="0" w:color="auto"/>
              </w:divBdr>
              <w:divsChild>
                <w:div w:id="1761414029">
                  <w:marLeft w:val="0"/>
                  <w:marRight w:val="0"/>
                  <w:marTop w:val="0"/>
                  <w:marBottom w:val="0"/>
                  <w:divBdr>
                    <w:top w:val="none" w:sz="0" w:space="0" w:color="auto"/>
                    <w:left w:val="none" w:sz="0" w:space="0" w:color="auto"/>
                    <w:bottom w:val="none" w:sz="0" w:space="0" w:color="auto"/>
                    <w:right w:val="none" w:sz="0" w:space="0" w:color="auto"/>
                  </w:divBdr>
                  <w:divsChild>
                    <w:div w:id="327905440">
                      <w:marLeft w:val="0"/>
                      <w:marRight w:val="0"/>
                      <w:marTop w:val="0"/>
                      <w:marBottom w:val="0"/>
                      <w:divBdr>
                        <w:top w:val="none" w:sz="0" w:space="0" w:color="auto"/>
                        <w:left w:val="none" w:sz="0" w:space="0" w:color="auto"/>
                        <w:bottom w:val="none" w:sz="0" w:space="0" w:color="auto"/>
                        <w:right w:val="none" w:sz="0" w:space="0" w:color="auto"/>
                      </w:divBdr>
                    </w:div>
                    <w:div w:id="147752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330356">
      <w:bodyDiv w:val="1"/>
      <w:marLeft w:val="0"/>
      <w:marRight w:val="0"/>
      <w:marTop w:val="0"/>
      <w:marBottom w:val="0"/>
      <w:divBdr>
        <w:top w:val="none" w:sz="0" w:space="0" w:color="auto"/>
        <w:left w:val="none" w:sz="0" w:space="0" w:color="auto"/>
        <w:bottom w:val="none" w:sz="0" w:space="0" w:color="auto"/>
        <w:right w:val="none" w:sz="0" w:space="0" w:color="auto"/>
      </w:divBdr>
    </w:div>
    <w:div w:id="1251895026">
      <w:bodyDiv w:val="1"/>
      <w:marLeft w:val="0"/>
      <w:marRight w:val="0"/>
      <w:marTop w:val="0"/>
      <w:marBottom w:val="0"/>
      <w:divBdr>
        <w:top w:val="none" w:sz="0" w:space="0" w:color="auto"/>
        <w:left w:val="none" w:sz="0" w:space="0" w:color="auto"/>
        <w:bottom w:val="none" w:sz="0" w:space="0" w:color="auto"/>
        <w:right w:val="none" w:sz="0" w:space="0" w:color="auto"/>
      </w:divBdr>
    </w:div>
    <w:div w:id="1278759162">
      <w:bodyDiv w:val="1"/>
      <w:marLeft w:val="0"/>
      <w:marRight w:val="0"/>
      <w:marTop w:val="0"/>
      <w:marBottom w:val="0"/>
      <w:divBdr>
        <w:top w:val="none" w:sz="0" w:space="0" w:color="auto"/>
        <w:left w:val="none" w:sz="0" w:space="0" w:color="auto"/>
        <w:bottom w:val="none" w:sz="0" w:space="0" w:color="auto"/>
        <w:right w:val="none" w:sz="0" w:space="0" w:color="auto"/>
      </w:divBdr>
    </w:div>
    <w:div w:id="1306081114">
      <w:bodyDiv w:val="1"/>
      <w:marLeft w:val="0"/>
      <w:marRight w:val="0"/>
      <w:marTop w:val="0"/>
      <w:marBottom w:val="0"/>
      <w:divBdr>
        <w:top w:val="none" w:sz="0" w:space="0" w:color="auto"/>
        <w:left w:val="none" w:sz="0" w:space="0" w:color="auto"/>
        <w:bottom w:val="none" w:sz="0" w:space="0" w:color="auto"/>
        <w:right w:val="none" w:sz="0" w:space="0" w:color="auto"/>
      </w:divBdr>
      <w:divsChild>
        <w:div w:id="1626277176">
          <w:marLeft w:val="0"/>
          <w:marRight w:val="0"/>
          <w:marTop w:val="0"/>
          <w:marBottom w:val="0"/>
          <w:divBdr>
            <w:top w:val="none" w:sz="0" w:space="0" w:color="auto"/>
            <w:left w:val="none" w:sz="0" w:space="0" w:color="auto"/>
            <w:bottom w:val="none" w:sz="0" w:space="0" w:color="auto"/>
            <w:right w:val="none" w:sz="0" w:space="0" w:color="auto"/>
          </w:divBdr>
        </w:div>
        <w:div w:id="1805923310">
          <w:marLeft w:val="0"/>
          <w:marRight w:val="0"/>
          <w:marTop w:val="0"/>
          <w:marBottom w:val="0"/>
          <w:divBdr>
            <w:top w:val="none" w:sz="0" w:space="0" w:color="auto"/>
            <w:left w:val="none" w:sz="0" w:space="0" w:color="auto"/>
            <w:bottom w:val="none" w:sz="0" w:space="0" w:color="auto"/>
            <w:right w:val="none" w:sz="0" w:space="0" w:color="auto"/>
          </w:divBdr>
          <w:divsChild>
            <w:div w:id="34089249">
              <w:marLeft w:val="0"/>
              <w:marRight w:val="0"/>
              <w:marTop w:val="0"/>
              <w:marBottom w:val="0"/>
              <w:divBdr>
                <w:top w:val="none" w:sz="0" w:space="0" w:color="auto"/>
                <w:left w:val="none" w:sz="0" w:space="0" w:color="auto"/>
                <w:bottom w:val="none" w:sz="0" w:space="0" w:color="auto"/>
                <w:right w:val="none" w:sz="0" w:space="0" w:color="auto"/>
              </w:divBdr>
            </w:div>
            <w:div w:id="128839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030295">
      <w:bodyDiv w:val="1"/>
      <w:marLeft w:val="0"/>
      <w:marRight w:val="0"/>
      <w:marTop w:val="0"/>
      <w:marBottom w:val="0"/>
      <w:divBdr>
        <w:top w:val="none" w:sz="0" w:space="0" w:color="auto"/>
        <w:left w:val="none" w:sz="0" w:space="0" w:color="auto"/>
        <w:bottom w:val="none" w:sz="0" w:space="0" w:color="auto"/>
        <w:right w:val="none" w:sz="0" w:space="0" w:color="auto"/>
      </w:divBdr>
    </w:div>
    <w:div w:id="1455712673">
      <w:bodyDiv w:val="1"/>
      <w:marLeft w:val="0"/>
      <w:marRight w:val="0"/>
      <w:marTop w:val="0"/>
      <w:marBottom w:val="0"/>
      <w:divBdr>
        <w:top w:val="none" w:sz="0" w:space="0" w:color="auto"/>
        <w:left w:val="none" w:sz="0" w:space="0" w:color="auto"/>
        <w:bottom w:val="none" w:sz="0" w:space="0" w:color="auto"/>
        <w:right w:val="none" w:sz="0" w:space="0" w:color="auto"/>
      </w:divBdr>
    </w:div>
    <w:div w:id="1510019326">
      <w:bodyDiv w:val="1"/>
      <w:marLeft w:val="0"/>
      <w:marRight w:val="0"/>
      <w:marTop w:val="0"/>
      <w:marBottom w:val="0"/>
      <w:divBdr>
        <w:top w:val="none" w:sz="0" w:space="0" w:color="auto"/>
        <w:left w:val="none" w:sz="0" w:space="0" w:color="auto"/>
        <w:bottom w:val="none" w:sz="0" w:space="0" w:color="auto"/>
        <w:right w:val="none" w:sz="0" w:space="0" w:color="auto"/>
      </w:divBdr>
    </w:div>
    <w:div w:id="1611932599">
      <w:bodyDiv w:val="1"/>
      <w:marLeft w:val="0"/>
      <w:marRight w:val="0"/>
      <w:marTop w:val="0"/>
      <w:marBottom w:val="0"/>
      <w:divBdr>
        <w:top w:val="none" w:sz="0" w:space="0" w:color="auto"/>
        <w:left w:val="none" w:sz="0" w:space="0" w:color="auto"/>
        <w:bottom w:val="none" w:sz="0" w:space="0" w:color="auto"/>
        <w:right w:val="none" w:sz="0" w:space="0" w:color="auto"/>
      </w:divBdr>
    </w:div>
    <w:div w:id="1651670564">
      <w:bodyDiv w:val="1"/>
      <w:marLeft w:val="0"/>
      <w:marRight w:val="0"/>
      <w:marTop w:val="0"/>
      <w:marBottom w:val="0"/>
      <w:divBdr>
        <w:top w:val="none" w:sz="0" w:space="0" w:color="auto"/>
        <w:left w:val="none" w:sz="0" w:space="0" w:color="auto"/>
        <w:bottom w:val="none" w:sz="0" w:space="0" w:color="auto"/>
        <w:right w:val="none" w:sz="0" w:space="0" w:color="auto"/>
      </w:divBdr>
    </w:div>
    <w:div w:id="1662928034">
      <w:bodyDiv w:val="1"/>
      <w:marLeft w:val="0"/>
      <w:marRight w:val="0"/>
      <w:marTop w:val="0"/>
      <w:marBottom w:val="0"/>
      <w:divBdr>
        <w:top w:val="none" w:sz="0" w:space="0" w:color="auto"/>
        <w:left w:val="none" w:sz="0" w:space="0" w:color="auto"/>
        <w:bottom w:val="none" w:sz="0" w:space="0" w:color="auto"/>
        <w:right w:val="none" w:sz="0" w:space="0" w:color="auto"/>
      </w:divBdr>
    </w:div>
    <w:div w:id="1666515555">
      <w:bodyDiv w:val="1"/>
      <w:marLeft w:val="0"/>
      <w:marRight w:val="0"/>
      <w:marTop w:val="0"/>
      <w:marBottom w:val="0"/>
      <w:divBdr>
        <w:top w:val="none" w:sz="0" w:space="0" w:color="auto"/>
        <w:left w:val="none" w:sz="0" w:space="0" w:color="auto"/>
        <w:bottom w:val="none" w:sz="0" w:space="0" w:color="auto"/>
        <w:right w:val="none" w:sz="0" w:space="0" w:color="auto"/>
      </w:divBdr>
    </w:div>
    <w:div w:id="1778984344">
      <w:bodyDiv w:val="1"/>
      <w:marLeft w:val="0"/>
      <w:marRight w:val="0"/>
      <w:marTop w:val="0"/>
      <w:marBottom w:val="0"/>
      <w:divBdr>
        <w:top w:val="none" w:sz="0" w:space="0" w:color="auto"/>
        <w:left w:val="none" w:sz="0" w:space="0" w:color="auto"/>
        <w:bottom w:val="none" w:sz="0" w:space="0" w:color="auto"/>
        <w:right w:val="none" w:sz="0" w:space="0" w:color="auto"/>
      </w:divBdr>
    </w:div>
    <w:div w:id="1874347110">
      <w:bodyDiv w:val="1"/>
      <w:marLeft w:val="0"/>
      <w:marRight w:val="0"/>
      <w:marTop w:val="0"/>
      <w:marBottom w:val="0"/>
      <w:divBdr>
        <w:top w:val="none" w:sz="0" w:space="0" w:color="auto"/>
        <w:left w:val="none" w:sz="0" w:space="0" w:color="auto"/>
        <w:bottom w:val="none" w:sz="0" w:space="0" w:color="auto"/>
        <w:right w:val="none" w:sz="0" w:space="0" w:color="auto"/>
      </w:divBdr>
    </w:div>
    <w:div w:id="1900898827">
      <w:bodyDiv w:val="1"/>
      <w:marLeft w:val="0"/>
      <w:marRight w:val="0"/>
      <w:marTop w:val="0"/>
      <w:marBottom w:val="0"/>
      <w:divBdr>
        <w:top w:val="none" w:sz="0" w:space="0" w:color="auto"/>
        <w:left w:val="none" w:sz="0" w:space="0" w:color="auto"/>
        <w:bottom w:val="none" w:sz="0" w:space="0" w:color="auto"/>
        <w:right w:val="none" w:sz="0" w:space="0" w:color="auto"/>
      </w:divBdr>
    </w:div>
    <w:div w:id="1938125588">
      <w:bodyDiv w:val="1"/>
      <w:marLeft w:val="0"/>
      <w:marRight w:val="0"/>
      <w:marTop w:val="0"/>
      <w:marBottom w:val="0"/>
      <w:divBdr>
        <w:top w:val="none" w:sz="0" w:space="0" w:color="auto"/>
        <w:left w:val="none" w:sz="0" w:space="0" w:color="auto"/>
        <w:bottom w:val="none" w:sz="0" w:space="0" w:color="auto"/>
        <w:right w:val="none" w:sz="0" w:space="0" w:color="auto"/>
      </w:divBdr>
    </w:div>
    <w:div w:id="1997108912">
      <w:bodyDiv w:val="1"/>
      <w:marLeft w:val="0"/>
      <w:marRight w:val="0"/>
      <w:marTop w:val="0"/>
      <w:marBottom w:val="0"/>
      <w:divBdr>
        <w:top w:val="none" w:sz="0" w:space="0" w:color="auto"/>
        <w:left w:val="none" w:sz="0" w:space="0" w:color="auto"/>
        <w:bottom w:val="none" w:sz="0" w:space="0" w:color="auto"/>
        <w:right w:val="none" w:sz="0" w:space="0" w:color="auto"/>
      </w:divBdr>
    </w:div>
    <w:div w:id="2038002121">
      <w:bodyDiv w:val="1"/>
      <w:marLeft w:val="0"/>
      <w:marRight w:val="0"/>
      <w:marTop w:val="0"/>
      <w:marBottom w:val="0"/>
      <w:divBdr>
        <w:top w:val="none" w:sz="0" w:space="0" w:color="auto"/>
        <w:left w:val="none" w:sz="0" w:space="0" w:color="auto"/>
        <w:bottom w:val="none" w:sz="0" w:space="0" w:color="auto"/>
        <w:right w:val="none" w:sz="0" w:space="0" w:color="auto"/>
      </w:divBdr>
    </w:div>
    <w:div w:id="2056658193">
      <w:bodyDiv w:val="1"/>
      <w:marLeft w:val="0"/>
      <w:marRight w:val="0"/>
      <w:marTop w:val="0"/>
      <w:marBottom w:val="0"/>
      <w:divBdr>
        <w:top w:val="none" w:sz="0" w:space="0" w:color="auto"/>
        <w:left w:val="none" w:sz="0" w:space="0" w:color="auto"/>
        <w:bottom w:val="none" w:sz="0" w:space="0" w:color="auto"/>
        <w:right w:val="none" w:sz="0" w:space="0" w:color="auto"/>
      </w:divBdr>
    </w:div>
    <w:div w:id="2082023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5fe90581-fde6-4a90-aa7f-5203123ece63" TargetMode="External"/><Relationship Id="rId13" Type="http://schemas.openxmlformats.org/officeDocument/2006/relationships/hyperlink" Target="https://eur-lex.europa.eu/legal-content/LV/TXT/?uri=CELEX%3A62019CO0047&amp;qid=178298301947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curia.curia.europa.eu/tabs/document/C/2004/C-0415-04-00000000RP-01-P-01/ARRET/55646-LV-1-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curia.curia.europa.eu/tabs/document/C/2003/C-0498-03-00000000RP-01-P-01/ARRET/59798-LV-1-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focuria.curia.europa.eu/tabs/document/C/2013/C-0594-13-00000000RP-01-P-01/ARRET/162828-LV-1-html" TargetMode="External"/><Relationship Id="rId4" Type="http://schemas.openxmlformats.org/officeDocument/2006/relationships/settings" Target="settings.xml"/><Relationship Id="rId9" Type="http://schemas.openxmlformats.org/officeDocument/2006/relationships/hyperlink" Target="https://infocuria.curia.europa.eu/tabs/document/C/2020/C-0261-20-00000000RP-01-P-01/ARRET/252342-LV-1-html"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5ACB3B-E172-4F7B-A571-C79BA6BA7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14085</Words>
  <Characters>8030</Characters>
  <Application>Microsoft Office Word</Application>
  <DocSecurity>0</DocSecurity>
  <Lines>66</Lines>
  <Paragraphs>44</Paragraphs>
  <ScaleCrop>false</ScaleCrop>
  <Company/>
  <LinksUpToDate>false</LinksUpToDate>
  <CharactersWithSpaces>22071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2026-07-22T07:45:00Z</dcterms:created>
  <dcterms:modified xsi:type="dcterms:W3CDTF">2026-07-22T07:45:00Z</dcterms:modified>
</cp:coreProperties>
</file>