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94F56" w14:textId="77777777" w:rsidR="005E334C" w:rsidRDefault="005E334C" w:rsidP="005E334C">
      <w:pPr>
        <w:spacing w:line="276" w:lineRule="auto"/>
        <w:jc w:val="both"/>
        <w:rPr>
          <w:b/>
          <w:bCs/>
          <w:lang w:eastAsia="lv-LV"/>
        </w:rPr>
      </w:pPr>
      <w:r>
        <w:rPr>
          <w:b/>
          <w:bCs/>
        </w:rPr>
        <w:t>Prasījums par policijas tiesisku darbību rezultātā ciesta kaitējuma atlīdzinājumu</w:t>
      </w:r>
    </w:p>
    <w:p w14:paraId="7E8597B7" w14:textId="77777777" w:rsidR="005E334C" w:rsidRDefault="005E334C" w:rsidP="005E334C">
      <w:pPr>
        <w:pStyle w:val="Default"/>
        <w:spacing w:line="276" w:lineRule="auto"/>
        <w:jc w:val="both"/>
      </w:pPr>
      <w:r>
        <w:t>Ievērojot Satversmes 91. un 92. panta normas, tiesības uz atlīdzinājumu rodas arī gadījumos, kad persona tiek būtiski individuāli skarta ar kādu valsts pārvaldes iestādes tiesisku darbību, ja tai iepretim citām personām jāpacieš acīmredzami nesamērīgs un tādēļ netaisnīgs tās tiesību ierobežojums, proti, ja atlīdzinājuma nepiešķiršana, liekot zaudējumu ciest konkrētai personai, būtu acīmredzami netaisnīga (īpašā upura situācija). Tas nozīmē, ka atsevišķos gadījumos, ņemot vērā taisnīguma apsvērumus, būtu jālemj par iespējamā zaudējuma atlīdzināšanu personai arī tad, ja iestādes rīcība atbilst tiesību normām un nav konstatējams prettiesiskums.</w:t>
      </w:r>
    </w:p>
    <w:p w14:paraId="661A42E3" w14:textId="77777777" w:rsidR="005E334C" w:rsidRDefault="005E334C" w:rsidP="005E334C">
      <w:pPr>
        <w:spacing w:line="276" w:lineRule="auto"/>
        <w:jc w:val="both"/>
      </w:pPr>
      <w:r>
        <w:t>Ja personai kaitējums nodarīts ar policijas tiesisku darbību (piemēram, ēkas durvju uzlaušana, lai kriminālprocesā veiktu aizturēšanu un kratīšanu), pieteiktais prasījums par kaitējuma atlīdzinājumu var tikt skatīts kā prasījums par atlīdzinājumu īpašā upura dēļ.</w:t>
      </w:r>
    </w:p>
    <w:p w14:paraId="4F15B7DC" w14:textId="67538148" w:rsidR="00B15E90" w:rsidRPr="00960D9C" w:rsidRDefault="00B15E90" w:rsidP="005E334C">
      <w:pPr>
        <w:pStyle w:val="BodyText2"/>
        <w:spacing w:after="0" w:line="276" w:lineRule="auto"/>
      </w:pPr>
    </w:p>
    <w:p w14:paraId="0F3B5F59" w14:textId="0A6372FD" w:rsidR="00B15E90" w:rsidRPr="00960D9C" w:rsidRDefault="00B15E90" w:rsidP="005E334C">
      <w:pPr>
        <w:spacing w:line="276" w:lineRule="auto"/>
        <w:jc w:val="center"/>
        <w:rPr>
          <w:b/>
        </w:rPr>
      </w:pPr>
      <w:r w:rsidRPr="00960D9C">
        <w:rPr>
          <w:b/>
        </w:rPr>
        <w:t>Latvijas Republikas Senāt</w:t>
      </w:r>
      <w:r w:rsidR="005E334C">
        <w:rPr>
          <w:b/>
        </w:rPr>
        <w:t>a</w:t>
      </w:r>
      <w:r w:rsidR="005E334C">
        <w:rPr>
          <w:b/>
        </w:rPr>
        <w:br/>
        <w:t>Administratīvo lietu departamenta</w:t>
      </w:r>
      <w:r w:rsidR="005E334C">
        <w:rPr>
          <w:b/>
        </w:rPr>
        <w:br/>
        <w:t>2026.gada 18.jūnija</w:t>
      </w:r>
    </w:p>
    <w:p w14:paraId="73C58670" w14:textId="77777777" w:rsidR="00B15E90" w:rsidRDefault="00B15E90" w:rsidP="005E334C">
      <w:pPr>
        <w:spacing w:line="276" w:lineRule="auto"/>
        <w:jc w:val="center"/>
        <w:rPr>
          <w:b/>
        </w:rPr>
      </w:pPr>
      <w:r w:rsidRPr="00960D9C">
        <w:rPr>
          <w:b/>
        </w:rPr>
        <w:t>LĒMUMS</w:t>
      </w:r>
    </w:p>
    <w:p w14:paraId="240E234D" w14:textId="31A3D11A" w:rsidR="005E334C" w:rsidRPr="005E334C" w:rsidRDefault="005E334C" w:rsidP="005E334C">
      <w:pPr>
        <w:spacing w:line="276" w:lineRule="auto"/>
        <w:jc w:val="center"/>
        <w:rPr>
          <w:b/>
          <w:bCs/>
        </w:rPr>
      </w:pPr>
      <w:r w:rsidRPr="005E334C">
        <w:rPr>
          <w:b/>
          <w:bCs/>
        </w:rPr>
        <w:t>Lieta Nr. 670006825, SKA-199/2026</w:t>
      </w:r>
    </w:p>
    <w:p w14:paraId="154B7751" w14:textId="77891BB2" w:rsidR="005E334C" w:rsidRPr="005E334C" w:rsidRDefault="005E334C" w:rsidP="005E334C">
      <w:pPr>
        <w:spacing w:line="276" w:lineRule="auto"/>
        <w:jc w:val="center"/>
      </w:pPr>
      <w:hyperlink r:id="rId7" w:history="1">
        <w:r w:rsidRPr="005E334C">
          <w:rPr>
            <w:rStyle w:val="Hyperlink"/>
            <w:rFonts w:eastAsiaTheme="minorHAnsi"/>
            <w:lang w:eastAsia="en-US"/>
          </w:rPr>
          <w:t xml:space="preserve"> ECLI:LV:AT:2026:0618.SKA019926.4.L</w:t>
        </w:r>
      </w:hyperlink>
    </w:p>
    <w:p w14:paraId="10F4C5C6" w14:textId="77777777" w:rsidR="00B15E90" w:rsidRPr="00960D9C" w:rsidRDefault="00B15E90" w:rsidP="005E334C">
      <w:pPr>
        <w:spacing w:line="276" w:lineRule="auto"/>
        <w:jc w:val="center"/>
      </w:pPr>
    </w:p>
    <w:p w14:paraId="1953F25B" w14:textId="77777777" w:rsidR="00B15E90" w:rsidRPr="00960D9C" w:rsidRDefault="00B15E90" w:rsidP="005E334C">
      <w:pPr>
        <w:spacing w:line="276" w:lineRule="auto"/>
        <w:ind w:firstLine="720"/>
        <w:jc w:val="both"/>
      </w:pPr>
      <w:r>
        <w:t>Senāts</w:t>
      </w:r>
      <w:r w:rsidRPr="00960D9C">
        <w:t xml:space="preserve"> šādā sastāvā: senatore referente Dzintra Amerika, senatores </w:t>
      </w:r>
      <w:r>
        <w:t xml:space="preserve">Laura Konošonoka </w:t>
      </w:r>
      <w:r w:rsidRPr="00960D9C">
        <w:t>un Diāna Makarova</w:t>
      </w:r>
    </w:p>
    <w:p w14:paraId="44855417" w14:textId="77777777" w:rsidR="00B15E90" w:rsidRPr="00960D9C" w:rsidRDefault="00B15E90" w:rsidP="005E334C">
      <w:pPr>
        <w:spacing w:line="276" w:lineRule="auto"/>
        <w:ind w:firstLine="720"/>
        <w:jc w:val="both"/>
      </w:pPr>
    </w:p>
    <w:p w14:paraId="49F7D7B0" w14:textId="77777777" w:rsidR="00B15E90" w:rsidRDefault="00B15E90" w:rsidP="005E334C">
      <w:pPr>
        <w:spacing w:line="276" w:lineRule="auto"/>
        <w:ind w:firstLine="720"/>
        <w:jc w:val="both"/>
      </w:pPr>
      <w:r w:rsidRPr="00960D9C">
        <w:t xml:space="preserve">rakstveida procesā izskatīja </w:t>
      </w:r>
      <w:r>
        <w:t>pieteicējas SIA „</w:t>
      </w:r>
      <w:r w:rsidRPr="00A162D9">
        <w:t xml:space="preserve">R.E.D. Namu serviss” </w:t>
      </w:r>
      <w:r w:rsidRPr="00960D9C">
        <w:t xml:space="preserve">blakus sūdzību par Administratīvās rajona tiesas </w:t>
      </w:r>
      <w:r>
        <w:t xml:space="preserve">tiesneša </w:t>
      </w:r>
      <w:r w:rsidRPr="00960D9C">
        <w:t>202</w:t>
      </w:r>
      <w:r>
        <w:t>5</w:t>
      </w:r>
      <w:r w:rsidRPr="00960D9C">
        <w:t xml:space="preserve">.gada </w:t>
      </w:r>
      <w:r>
        <w:t xml:space="preserve">15.maija </w:t>
      </w:r>
      <w:r w:rsidRPr="00960D9C">
        <w:t xml:space="preserve">lēmumu, ar kuru </w:t>
      </w:r>
      <w:r>
        <w:t xml:space="preserve">atteikts pieņemt pieteikumu par </w:t>
      </w:r>
      <w:r w:rsidRPr="00206F18">
        <w:t>Ģenerālprokuratūras 2025.gada 8.aprīļa lēmum</w:t>
      </w:r>
      <w:r>
        <w:t>a</w:t>
      </w:r>
      <w:r w:rsidRPr="00206F18">
        <w:t xml:space="preserve"> Nr.</w:t>
      </w:r>
      <w:r>
        <w:t> </w:t>
      </w:r>
      <w:r w:rsidRPr="00206F18">
        <w:t>N</w:t>
      </w:r>
      <w:r>
        <w:noBreakHyphen/>
      </w:r>
      <w:r w:rsidRPr="00206F18">
        <w:t>131-2025-00242</w:t>
      </w:r>
      <w:r>
        <w:t xml:space="preserve"> un Valsts policijas rīcības atzīšanu par prettiesisku un kaitējuma atlīdzināšanu. </w:t>
      </w:r>
    </w:p>
    <w:p w14:paraId="441A52E7" w14:textId="77777777" w:rsidR="00B15E90" w:rsidRPr="00960D9C" w:rsidRDefault="00B15E90" w:rsidP="005E334C">
      <w:pPr>
        <w:spacing w:line="276" w:lineRule="auto"/>
        <w:ind w:firstLine="720"/>
        <w:jc w:val="both"/>
      </w:pPr>
    </w:p>
    <w:p w14:paraId="40EB4B33" w14:textId="77777777" w:rsidR="00B15E90" w:rsidRPr="00960D9C" w:rsidRDefault="00B15E90" w:rsidP="005E334C">
      <w:pPr>
        <w:spacing w:line="276" w:lineRule="auto"/>
        <w:jc w:val="center"/>
        <w:rPr>
          <w:b/>
        </w:rPr>
      </w:pPr>
      <w:r w:rsidRPr="00960D9C">
        <w:rPr>
          <w:b/>
        </w:rPr>
        <w:t>Aprakstošā daļa</w:t>
      </w:r>
    </w:p>
    <w:p w14:paraId="1DB0B0DB" w14:textId="77777777" w:rsidR="00B15E90" w:rsidRPr="00960D9C" w:rsidRDefault="00B15E90" w:rsidP="005E334C">
      <w:pPr>
        <w:spacing w:line="276" w:lineRule="auto"/>
        <w:ind w:firstLine="720"/>
        <w:jc w:val="both"/>
      </w:pPr>
    </w:p>
    <w:p w14:paraId="1E7D866C" w14:textId="0E5C65BE" w:rsidR="00B15E90" w:rsidRDefault="00B15E90" w:rsidP="005E334C">
      <w:pPr>
        <w:spacing w:line="276" w:lineRule="auto"/>
        <w:ind w:firstLine="720"/>
        <w:jc w:val="both"/>
      </w:pPr>
      <w:r>
        <w:t>[1] P</w:t>
      </w:r>
      <w:r w:rsidRPr="00804C28">
        <w:t xml:space="preserve">ieteicēja </w:t>
      </w:r>
      <w:r>
        <w:t>– SIA „</w:t>
      </w:r>
      <w:r w:rsidRPr="00A162D9">
        <w:t xml:space="preserve">R.E.D. Namu serviss” </w:t>
      </w:r>
      <w:r>
        <w:t xml:space="preserve">– </w:t>
      </w:r>
      <w:r w:rsidRPr="00804C28">
        <w:t>pārvalda nekustamo īpašumu</w:t>
      </w:r>
      <w:r>
        <w:t xml:space="preserve"> – daudzdzīvokļu māju</w:t>
      </w:r>
      <w:r w:rsidR="005E334C">
        <w:t xml:space="preserve"> [Adrese A]</w:t>
      </w:r>
      <w:r>
        <w:t xml:space="preserve">. </w:t>
      </w:r>
    </w:p>
    <w:p w14:paraId="509A8DF0" w14:textId="77777777" w:rsidR="00B15E90" w:rsidRDefault="00B15E90" w:rsidP="005E334C">
      <w:pPr>
        <w:spacing w:line="276" w:lineRule="auto"/>
        <w:ind w:firstLine="720"/>
        <w:jc w:val="both"/>
      </w:pPr>
      <w:r w:rsidRPr="00804C28">
        <w:t>2024.gada 10.septembrī policija</w:t>
      </w:r>
      <w:r>
        <w:t xml:space="preserve"> </w:t>
      </w:r>
      <w:r w:rsidRPr="00804C28">
        <w:t xml:space="preserve">uzlauza </w:t>
      </w:r>
      <w:r>
        <w:t>pieteicējas pārvaldāmā īpašuma ē</w:t>
      </w:r>
      <w:r w:rsidRPr="00804C28">
        <w:t>kas ieejas durvis</w:t>
      </w:r>
      <w:r>
        <w:t>,</w:t>
      </w:r>
      <w:r w:rsidRPr="001772F3">
        <w:t xml:space="preserve"> </w:t>
      </w:r>
      <w:r w:rsidRPr="00804C28">
        <w:t>lai kriminālprocesā veiktu aizturēšanu un kratīšanu. Tika izsists durvju stikls un bojātas abas durvju vērtņu koka konstrukcijas un slēdzenes.</w:t>
      </w:r>
      <w:r>
        <w:t xml:space="preserve"> </w:t>
      </w:r>
    </w:p>
    <w:p w14:paraId="54440C93" w14:textId="77777777" w:rsidR="00B15E90" w:rsidRDefault="00B15E90" w:rsidP="005E334C">
      <w:pPr>
        <w:spacing w:line="276" w:lineRule="auto"/>
        <w:ind w:firstLine="720"/>
        <w:jc w:val="both"/>
      </w:pPr>
      <w:r>
        <w:t>P</w:t>
      </w:r>
      <w:r w:rsidRPr="00CB49A9">
        <w:t xml:space="preserve">ieteicēja </w:t>
      </w:r>
      <w:r>
        <w:t xml:space="preserve">2025.gada 7.janvārī </w:t>
      </w:r>
      <w:r w:rsidRPr="00CB49A9">
        <w:t xml:space="preserve">vērsās </w:t>
      </w:r>
      <w:r w:rsidRPr="00D14698">
        <w:t>Ģenerālprokuratūrā</w:t>
      </w:r>
      <w:r>
        <w:t xml:space="preserve">, lūdzot atlīdzināt </w:t>
      </w:r>
      <w:r w:rsidRPr="00D14698">
        <w:t>zaudējumu</w:t>
      </w:r>
      <w:r>
        <w:t xml:space="preserve">s par sabojātajām ēkas durvīm, kā arī izmaksas par juridisko palīdzību. </w:t>
      </w:r>
    </w:p>
    <w:p w14:paraId="51A33BD1" w14:textId="52341AC4" w:rsidR="00B15E90" w:rsidRDefault="00B15E90" w:rsidP="005E334C">
      <w:pPr>
        <w:spacing w:line="276" w:lineRule="auto"/>
        <w:ind w:firstLine="720"/>
        <w:jc w:val="both"/>
      </w:pPr>
      <w:r w:rsidRPr="008D1E17">
        <w:t>Ar Ģenerālprokuratūras 2025.gada 8.aprīļa lēmumu Nr. N</w:t>
      </w:r>
      <w:r w:rsidRPr="008D1E17">
        <w:noBreakHyphen/>
        <w:t xml:space="preserve">131-2025-00242 (turpmāk – pārsūdzētais lēmums) pieteicējas lūgums noraidīts, jo Ģenerālprokuratūra nekonstatēja policijas prettiesisku rīcību Kriminālprocesā un administratīvo pārkāpumu lietvedībā nodarītā kaitējuma atlīdzināšanas likuma </w:t>
      </w:r>
      <w:r w:rsidR="008500CC">
        <w:t>(</w:t>
      </w:r>
      <w:r w:rsidR="008500CC" w:rsidRPr="008500CC">
        <w:rPr>
          <w:i/>
          <w:iCs/>
        </w:rPr>
        <w:t>likuma nosaukums likuma redakcijā, kas bija spēkā līdz 2026.gada 31.maijam</w:t>
      </w:r>
      <w:r w:rsidR="008500CC">
        <w:t xml:space="preserve">) </w:t>
      </w:r>
      <w:r w:rsidRPr="008D1E17">
        <w:t>(turpmāk – Kaitējuma atlīdzināšanas likums) 6.panta pirmās daļas izpratnē. Proti, lēmumā konstatēts, ka darbības kriminālprocesa ietvaros veiktas atbilstoši normatīvo aktu prasībām. Savukārt lūgums par</w:t>
      </w:r>
      <w:r>
        <w:t xml:space="preserve"> izmaksu par juridisko palīdzību, kas sniegta jautājumā par kaitējuma atlīdzinājumu, atlīdzināšanu </w:t>
      </w:r>
      <w:r>
        <w:lastRenderedPageBreak/>
        <w:t>noraidīts, jo atbilstoši Kaitējuma atlīdzinājuma likuma 10.panta trešajai daļai šā likuma kārtībā var tikt atlīdzināti tikai zaudējumi, kas privātpersonai radušies saistībā ar kriminālprocesā saņemtu juridisko palīdzību. Taču juridiskā palīdzība sniegta jautājumā par kaitējuma atlīdzinājumu, kas izskatāms administratīvā procesa ietvaros.</w:t>
      </w:r>
    </w:p>
    <w:p w14:paraId="7E3AA7A6" w14:textId="77777777" w:rsidR="00B15E90" w:rsidRDefault="00B15E90" w:rsidP="005E334C">
      <w:pPr>
        <w:spacing w:line="276" w:lineRule="auto"/>
        <w:ind w:firstLine="720"/>
        <w:jc w:val="both"/>
      </w:pPr>
      <w:r>
        <w:t>Pieteicēja vērsās administratīvajā tiesā ar pieteikumu par pārsūdzētā lēmuma atcelšanu, par Valsts policijas rīcības atzīšanu par prettiesisku un par kaitējuma, kas ietver zaudējumus par sabojātajām durvīm un izmaksas par juridisko palīdzību, atlīdzinājumu.</w:t>
      </w:r>
    </w:p>
    <w:p w14:paraId="2B3E8CA2" w14:textId="77777777" w:rsidR="00B15E90" w:rsidRPr="00074A17" w:rsidRDefault="00B15E90" w:rsidP="005E334C">
      <w:pPr>
        <w:spacing w:line="276" w:lineRule="auto"/>
        <w:ind w:firstLine="720"/>
        <w:jc w:val="both"/>
      </w:pPr>
    </w:p>
    <w:p w14:paraId="19A5EA1C" w14:textId="77777777" w:rsidR="00B15E90" w:rsidRPr="00960D9C" w:rsidRDefault="00B15E90" w:rsidP="005E334C">
      <w:pPr>
        <w:spacing w:line="276" w:lineRule="auto"/>
        <w:ind w:firstLine="720"/>
        <w:jc w:val="both"/>
      </w:pPr>
      <w:r w:rsidRPr="00960D9C">
        <w:t xml:space="preserve">[2] Ar Administratīvās rajona tiesas </w:t>
      </w:r>
      <w:r>
        <w:t xml:space="preserve">tiesneša </w:t>
      </w:r>
      <w:r w:rsidRPr="00960D9C">
        <w:t>202</w:t>
      </w:r>
      <w:r>
        <w:t>5</w:t>
      </w:r>
      <w:r w:rsidRPr="00960D9C">
        <w:t xml:space="preserve">.gada </w:t>
      </w:r>
      <w:r>
        <w:t>15.maija lēmumu pieteikumu atteikts pieņemt</w:t>
      </w:r>
      <w:r w:rsidRPr="00960D9C">
        <w:t>. Lēmums pamatots ar turpmāk norādītajiem apsvērumiem.</w:t>
      </w:r>
    </w:p>
    <w:p w14:paraId="0D13040D" w14:textId="77777777" w:rsidR="00B15E90" w:rsidRDefault="00B15E90" w:rsidP="005E334C">
      <w:pPr>
        <w:spacing w:line="276" w:lineRule="auto"/>
        <w:ind w:firstLine="720"/>
        <w:jc w:val="both"/>
      </w:pPr>
      <w:r w:rsidRPr="00960D9C">
        <w:t xml:space="preserve">[2.1] </w:t>
      </w:r>
      <w:r>
        <w:t>P</w:t>
      </w:r>
      <w:r w:rsidRPr="004E1E83">
        <w:t xml:space="preserve">ieteicējas mērķis ir saņemt atlīdzinājumu atbilstoši </w:t>
      </w:r>
      <w:r>
        <w:t>K</w:t>
      </w:r>
      <w:r w:rsidRPr="004E1E83">
        <w:t>aitējuma atlīdzināšanas likumam saistībā ar kriminālprocesuāl</w:t>
      </w:r>
      <w:r>
        <w:t>o</w:t>
      </w:r>
      <w:r w:rsidRPr="004E1E83">
        <w:t xml:space="preserve"> darbīb</w:t>
      </w:r>
      <w:r>
        <w:t xml:space="preserve">u </w:t>
      </w:r>
      <w:r w:rsidRPr="004E1E83">
        <w:t xml:space="preserve">laikā sabojātajām </w:t>
      </w:r>
      <w:r>
        <w:t>ē</w:t>
      </w:r>
      <w:r w:rsidRPr="004E1E83">
        <w:t>kas ieejas durvīm. Pieteicēja</w:t>
      </w:r>
      <w:r>
        <w:t xml:space="preserve"> uzskata</w:t>
      </w:r>
      <w:r w:rsidRPr="004E1E83">
        <w:t>,</w:t>
      </w:r>
      <w:r>
        <w:t xml:space="preserve"> ka</w:t>
      </w:r>
      <w:r w:rsidRPr="004E1E83">
        <w:t xml:space="preserve"> kriminālprocesuāl</w:t>
      </w:r>
      <w:r>
        <w:t>o</w:t>
      </w:r>
      <w:r w:rsidRPr="004E1E83">
        <w:t xml:space="preserve"> darbīb</w:t>
      </w:r>
      <w:r>
        <w:t>u</w:t>
      </w:r>
      <w:r w:rsidRPr="004E1E83">
        <w:t xml:space="preserve"> laikā esot pieļauti arī vairāki pārkāpumi.</w:t>
      </w:r>
    </w:p>
    <w:p w14:paraId="2D8F0BF7" w14:textId="77777777" w:rsidR="00B15E90" w:rsidRDefault="00B15E90" w:rsidP="005E334C">
      <w:pPr>
        <w:spacing w:line="276" w:lineRule="auto"/>
        <w:ind w:firstLine="720"/>
        <w:jc w:val="both"/>
      </w:pPr>
      <w:r>
        <w:t xml:space="preserve">[2.2] </w:t>
      </w:r>
      <w:r w:rsidRPr="009422C7">
        <w:t>Administratīvā procesa likums nepiešķir tiesai kontroles tiesības pār kriminālprocesuālām darbībām, proti, administratīvā tiesa nevērtē šādu darbību tiesiskumu (Administratīvā procesa likums 1.panta trešās daļas 5.punkts). Administratīvās tiesas kompetencē ir nodots tikai jautājums par atlīdzinājuma noteikšanu par kaitējumu, kas personai nodarīts kriminālprocesā. Taču arī šādā gadījumā ir jābūt pieņemtam kompetentās iestādes lēmumam, ar kuru pieteicējas norādītās darbības ir atzītas par prettiesiskām (Kaitējum</w:t>
      </w:r>
      <w:r>
        <w:t>a</w:t>
      </w:r>
      <w:r w:rsidRPr="009422C7">
        <w:t xml:space="preserve"> atlīdzināšanas likuma 6.pants). Pretējā gadījumā personai nav subjektīv</w:t>
      </w:r>
      <w:r>
        <w:t>o</w:t>
      </w:r>
      <w:r w:rsidRPr="009422C7">
        <w:t xml:space="preserve"> tiesīb</w:t>
      </w:r>
      <w:r>
        <w:t>u</w:t>
      </w:r>
      <w:r w:rsidRPr="009422C7">
        <w:t xml:space="preserve"> administratīvā procesa kārtībā lūgt atlīdzināt tai kriminālprocesā nodarīto kaitējumu</w:t>
      </w:r>
      <w:r>
        <w:t>.</w:t>
      </w:r>
    </w:p>
    <w:p w14:paraId="63CAC0C5" w14:textId="77777777" w:rsidR="00B15E90" w:rsidRDefault="00B15E90" w:rsidP="005E334C">
      <w:pPr>
        <w:spacing w:line="276" w:lineRule="auto"/>
        <w:ind w:firstLine="720"/>
        <w:jc w:val="both"/>
      </w:pPr>
      <w:r>
        <w:t>K</w:t>
      </w:r>
      <w:r w:rsidRPr="009422C7">
        <w:t>onkrētajā gadījumā nav konstatējams tāds kriminālprocesā pilnvarotas amatpersonas nolēmums, ar kuru kratīšanas un aizturēšanas norisē būtu konstatēts pārkāpums, kura rezultātā</w:t>
      </w:r>
      <w:r>
        <w:t xml:space="preserve"> būtu</w:t>
      </w:r>
      <w:r w:rsidRPr="009422C7">
        <w:t xml:space="preserve"> iznīcināts vai nesamērīgi bojāts īpašums.</w:t>
      </w:r>
    </w:p>
    <w:p w14:paraId="74522EB0" w14:textId="77777777" w:rsidR="00B15E90" w:rsidRDefault="00B15E90" w:rsidP="005E334C">
      <w:pPr>
        <w:spacing w:line="276" w:lineRule="auto"/>
        <w:ind w:firstLine="720"/>
        <w:jc w:val="both"/>
      </w:pPr>
      <w:r w:rsidRPr="009422C7">
        <w:t xml:space="preserve">Ievērojot minēto, pieteikumu </w:t>
      </w:r>
      <w:r>
        <w:t>jāatsaka</w:t>
      </w:r>
      <w:r w:rsidRPr="009422C7">
        <w:t xml:space="preserve"> pieņemt, pamatojoties uz Administratīvā procesa likuma 191.panta pirmās daļas 8.punktu, jo pieteikumu iesniegusi persona, kurai nav tiesību iesniegt pieteikumu.</w:t>
      </w:r>
    </w:p>
    <w:p w14:paraId="0FD61013" w14:textId="77777777" w:rsidR="00B15E90" w:rsidRPr="00960D9C" w:rsidRDefault="00B15E90" w:rsidP="005E334C">
      <w:pPr>
        <w:spacing w:line="276" w:lineRule="auto"/>
        <w:ind w:firstLine="720"/>
        <w:jc w:val="both"/>
      </w:pPr>
    </w:p>
    <w:p w14:paraId="22335F61" w14:textId="77777777" w:rsidR="00B15E90" w:rsidRPr="00960D9C" w:rsidRDefault="00B15E90" w:rsidP="005E334C">
      <w:pPr>
        <w:spacing w:line="276" w:lineRule="auto"/>
        <w:ind w:firstLine="720"/>
        <w:jc w:val="both"/>
      </w:pPr>
      <w:bookmarkStart w:id="0" w:name="_Hlk147910012"/>
      <w:r w:rsidRPr="00960D9C">
        <w:t xml:space="preserve">[3] Par </w:t>
      </w:r>
      <w:r>
        <w:t xml:space="preserve">tiesneša </w:t>
      </w:r>
      <w:r w:rsidRPr="00960D9C">
        <w:t xml:space="preserve">lēmumu </w:t>
      </w:r>
      <w:r>
        <w:t xml:space="preserve">pieteicēja </w:t>
      </w:r>
      <w:r w:rsidRPr="00960D9C">
        <w:t xml:space="preserve">iesniedza blakus sūdzību, </w:t>
      </w:r>
      <w:r>
        <w:t xml:space="preserve">kas pamatota ar </w:t>
      </w:r>
      <w:r w:rsidRPr="00960D9C">
        <w:t xml:space="preserve">turpmāk </w:t>
      </w:r>
      <w:r>
        <w:t>norādītajiem</w:t>
      </w:r>
      <w:r w:rsidRPr="00960D9C">
        <w:t xml:space="preserve"> </w:t>
      </w:r>
      <w:r>
        <w:t>apsvērumiem</w:t>
      </w:r>
      <w:r w:rsidRPr="00960D9C">
        <w:t>.</w:t>
      </w:r>
    </w:p>
    <w:p w14:paraId="27DEC1BD" w14:textId="77777777" w:rsidR="00B15E90" w:rsidRDefault="00B15E90" w:rsidP="005E334C">
      <w:pPr>
        <w:spacing w:line="276" w:lineRule="auto"/>
        <w:ind w:firstLine="720"/>
        <w:jc w:val="both"/>
      </w:pPr>
      <w:r>
        <w:t>[3.1] L</w:t>
      </w:r>
      <w:r w:rsidRPr="002E3ADB">
        <w:t>īdzīgā lietā, kurā arī Ģenerālprokuratūra atteica izmaksāt kaitējuma atlīdzību un nesaskatīja pārkāpumus kriminālprocesā</w:t>
      </w:r>
      <w:r>
        <w:t>,</w:t>
      </w:r>
      <w:r w:rsidRPr="002E3ADB">
        <w:t xml:space="preserve"> Administratīvā rajona </w:t>
      </w:r>
      <w:r>
        <w:t xml:space="preserve">tiesa ierosināja </w:t>
      </w:r>
      <w:r w:rsidRPr="002E3ADB">
        <w:t>administratīv</w:t>
      </w:r>
      <w:r>
        <w:t xml:space="preserve">o </w:t>
      </w:r>
      <w:r w:rsidRPr="002E3ADB">
        <w:t>liet</w:t>
      </w:r>
      <w:r>
        <w:t>u. No tiesībām uz taisnīgu tiesu un vienlīdzības principa izriet tiesas pienākums līdzīgas lietas izlemt līdzīgi.</w:t>
      </w:r>
    </w:p>
    <w:p w14:paraId="27BB3DAA" w14:textId="77777777" w:rsidR="00B15E90" w:rsidRDefault="00B15E90" w:rsidP="005E334C">
      <w:pPr>
        <w:spacing w:line="276" w:lineRule="auto"/>
        <w:ind w:firstLine="720"/>
        <w:jc w:val="both"/>
      </w:pPr>
      <w:r>
        <w:t xml:space="preserve">[3.2] Tas, ka lietā ar kriminālprocesā pilnvarotas amatpersonas nolēmumu nav konstatēts pārkāpums procesuālās darbības norisē, nevar būt šķērslis pieteikuma pieņemšanai, jo </w:t>
      </w:r>
      <w:r w:rsidRPr="002E3ADB">
        <w:t>saskaņā ar Kaitējuma atlīdzināšanas likuma 6.pant</w:t>
      </w:r>
      <w:r>
        <w:t>u</w:t>
      </w:r>
      <w:r w:rsidRPr="002E3ADB">
        <w:t xml:space="preserve"> prettiesisku rīcību var konstatēt arī ar tiesas nolēmumu</w:t>
      </w:r>
      <w:r>
        <w:t>.</w:t>
      </w:r>
      <w:r w:rsidRPr="002E3ADB">
        <w:t xml:space="preserve"> </w:t>
      </w:r>
      <w:r>
        <w:t>T</w:t>
      </w:r>
      <w:r w:rsidRPr="002E3ADB">
        <w:t xml:space="preserve">urklāt </w:t>
      </w:r>
      <w:r>
        <w:t>p</w:t>
      </w:r>
      <w:r w:rsidRPr="002E3ADB">
        <w:t>ieteicējam ir tiesības uz kaitējuma atlīdzību un prokuratūras atteikuma tiesiskuma pārbaudi tiesā</w:t>
      </w:r>
      <w:r>
        <w:t>, pamatojoties</w:t>
      </w:r>
      <w:r w:rsidRPr="002E3ADB">
        <w:t xml:space="preserve"> uz </w:t>
      </w:r>
      <w:r>
        <w:t xml:space="preserve">Latvijas Republikas </w:t>
      </w:r>
      <w:r w:rsidRPr="002E3ADB">
        <w:t xml:space="preserve">Satversmes </w:t>
      </w:r>
      <w:r>
        <w:t xml:space="preserve">(turpmāk – Satversme) </w:t>
      </w:r>
      <w:r w:rsidRPr="002E3ADB">
        <w:t>92.pant</w:t>
      </w:r>
      <w:r>
        <w:t>u</w:t>
      </w:r>
      <w:r w:rsidRPr="002E3ADB">
        <w:t xml:space="preserve"> un Kaitējuma atlīdzināšanas likuma 23.pant</w:t>
      </w:r>
      <w:r>
        <w:t>u</w:t>
      </w:r>
      <w:r w:rsidRPr="002E3ADB">
        <w:t>.</w:t>
      </w:r>
    </w:p>
    <w:p w14:paraId="5539599B" w14:textId="77777777" w:rsidR="00B15E90" w:rsidRDefault="00B15E90" w:rsidP="005E334C">
      <w:pPr>
        <w:spacing w:line="276" w:lineRule="auto"/>
        <w:ind w:firstLine="720"/>
        <w:jc w:val="both"/>
      </w:pPr>
      <w:r>
        <w:t xml:space="preserve">[3.3] </w:t>
      </w:r>
      <w:r w:rsidRPr="00A30D4A">
        <w:t>Tiesības uz atlīdzinājumu par kriminālprocesā nodarītu kaitējumu atbilstoši Kaitējuma atlīdzināšanas likuma tiesību normām privātpersonai ir gan tad, ja policija rīkojusies prettiesiski, gan arī tad, ja tā rīkojusies tiesiski, bet nepamatoti.</w:t>
      </w:r>
      <w:r>
        <w:t xml:space="preserve"> Pārsūdzētajā lēmumā Ģenerālprokuratūra ir vērtējusi tikai to, vai policijas rīcība bija tiesiska. Lēmumā arī nav vērtēts tas, vai policija nav pārkāpusi tiesību normas, kas reglamentē kultūras pieminekļu aizsardzību, jo ēka ir valsts nozīmes aizsargājams arhitektūras kultūras piemineklis. Tādējādi lēmums nenodrošina tiesisko attiecību taisnīgu noregulējumu. </w:t>
      </w:r>
      <w:r w:rsidRPr="00A24C6B">
        <w:t>Pieteicējai nav citu tiesisko mehānismu savu tiesību aizstāvībai, kā vērsties administratīvā tiesā ar pieteikumu. Tas, ka ne policija, ne prokuratūra nevēlas izvērtēt visus lietas</w:t>
      </w:r>
      <w:r w:rsidRPr="00631BE3">
        <w:t xml:space="preserve"> apstākļus un atzīt policijas rīcības prettiesiskumu vai nepamatotību, nevar būt pamats, lai liegtu tiesības </w:t>
      </w:r>
      <w:r>
        <w:t xml:space="preserve">pieteicējai </w:t>
      </w:r>
      <w:r w:rsidRPr="00631BE3">
        <w:t>uz pieeju tiesai un atbilstīgu atlīdzinājumu, kas garantētas Satversmes 92.pantā.</w:t>
      </w:r>
    </w:p>
    <w:p w14:paraId="142F67A7" w14:textId="77777777" w:rsidR="00B15E90" w:rsidRDefault="00B15E90" w:rsidP="005E334C">
      <w:pPr>
        <w:spacing w:line="276" w:lineRule="auto"/>
        <w:ind w:firstLine="720"/>
        <w:jc w:val="both"/>
      </w:pPr>
    </w:p>
    <w:bookmarkEnd w:id="0"/>
    <w:p w14:paraId="79A82B0F" w14:textId="77777777" w:rsidR="00B15E90" w:rsidRPr="00960D9C" w:rsidRDefault="00B15E90" w:rsidP="005E334C">
      <w:pPr>
        <w:spacing w:line="276" w:lineRule="auto"/>
        <w:jc w:val="center"/>
        <w:rPr>
          <w:b/>
        </w:rPr>
      </w:pPr>
      <w:r w:rsidRPr="00960D9C">
        <w:rPr>
          <w:b/>
        </w:rPr>
        <w:t>Motīvu daļa</w:t>
      </w:r>
    </w:p>
    <w:p w14:paraId="4388E3E6" w14:textId="77777777" w:rsidR="00B15E90" w:rsidRDefault="00B15E90" w:rsidP="005E334C">
      <w:pPr>
        <w:spacing w:line="276" w:lineRule="auto"/>
        <w:jc w:val="both"/>
      </w:pPr>
    </w:p>
    <w:p w14:paraId="759BB55C" w14:textId="77777777" w:rsidR="00B15E90" w:rsidRPr="00A24C6B" w:rsidRDefault="00B15E90" w:rsidP="005E334C">
      <w:pPr>
        <w:spacing w:line="276" w:lineRule="auto"/>
        <w:ind w:firstLine="720"/>
        <w:jc w:val="both"/>
      </w:pPr>
      <w:r>
        <w:t xml:space="preserve">[4] Tiesnesis atteicis pieņemt pieteikumu, jo pieteicējai nav subjektīvo tiesību </w:t>
      </w:r>
      <w:r w:rsidRPr="005060C8">
        <w:t xml:space="preserve">administratīvā procesa kārtībā </w:t>
      </w:r>
      <w:r>
        <w:t>prasīt</w:t>
      </w:r>
      <w:r w:rsidRPr="005060C8">
        <w:t xml:space="preserve"> atlīdzināt tai kriminālprocesā nodarīto kaitējumu</w:t>
      </w:r>
      <w:r>
        <w:t xml:space="preserve">, tā kā attiecībā uz pieteicēju atbilstoši Kaitējuma atlīdzinājuma likumam nav pieņemts kompetentās iestādes lēmums, ar kuru būtu konstatēta </w:t>
      </w:r>
      <w:r w:rsidRPr="005060C8">
        <w:t>policijas prettiesisk</w:t>
      </w:r>
      <w:r>
        <w:t>a</w:t>
      </w:r>
      <w:r w:rsidRPr="005060C8">
        <w:t xml:space="preserve"> rīcīb</w:t>
      </w:r>
      <w:r>
        <w:t xml:space="preserve">a, uzlaužot </w:t>
      </w:r>
      <w:r w:rsidRPr="00A23A21">
        <w:t>pieteicējas pārvaldāmā īpašuma ēkas ieejas durvis</w:t>
      </w:r>
      <w:r>
        <w:t xml:space="preserve">, proti, </w:t>
      </w:r>
      <w:r w:rsidRPr="005060C8">
        <w:t>izsi</w:t>
      </w:r>
      <w:r>
        <w:t>tot</w:t>
      </w:r>
      <w:r w:rsidRPr="005060C8">
        <w:t xml:space="preserve"> durvju stikl</w:t>
      </w:r>
      <w:r>
        <w:t>u</w:t>
      </w:r>
      <w:r w:rsidRPr="005060C8">
        <w:t xml:space="preserve"> un </w:t>
      </w:r>
      <w:r w:rsidRPr="00A24C6B">
        <w:t>bojājot durvju vērtņu koka konstrukcijas un slēdzenes.</w:t>
      </w:r>
    </w:p>
    <w:p w14:paraId="71897D36" w14:textId="77777777" w:rsidR="00B15E90" w:rsidRDefault="00B15E90" w:rsidP="005E334C">
      <w:pPr>
        <w:spacing w:line="276" w:lineRule="auto"/>
        <w:ind w:firstLine="720"/>
        <w:jc w:val="both"/>
      </w:pPr>
      <w:r w:rsidRPr="00A24C6B">
        <w:t>Senāts turpmāk minēto iemeslu dēļ atzīst, ka izskatāmās lietas apstākļos tiesnesis ir nonācis pie nepareiziem secinājumiem.</w:t>
      </w:r>
    </w:p>
    <w:p w14:paraId="429564F2" w14:textId="77777777" w:rsidR="00B15E90" w:rsidRDefault="00B15E90" w:rsidP="005E334C">
      <w:pPr>
        <w:spacing w:line="276" w:lineRule="auto"/>
        <w:ind w:firstLine="720"/>
        <w:jc w:val="both"/>
      </w:pPr>
    </w:p>
    <w:p w14:paraId="784E7A24" w14:textId="77777777" w:rsidR="00B15E90" w:rsidRDefault="00B15E90" w:rsidP="005E334C">
      <w:pPr>
        <w:spacing w:line="276" w:lineRule="auto"/>
        <w:ind w:firstLine="720"/>
        <w:jc w:val="both"/>
      </w:pPr>
      <w:r>
        <w:t xml:space="preserve">[5] Izskatāmajā lietā nav šaubu, ka kaitējums pieteicējai nodarīts </w:t>
      </w:r>
      <w:r w:rsidRPr="00290631">
        <w:t>kriminālprocesuālo darbību – aizturēšanas un kratīšanas – izpildes laikā</w:t>
      </w:r>
      <w:r>
        <w:t xml:space="preserve">. Tāpat arī </w:t>
      </w:r>
      <w:r w:rsidRPr="00FD0FF0">
        <w:t>ir skaidrs, ka pieteicēja nav uzskatāma par kriminālprocesā iesaistīto personu</w:t>
      </w:r>
      <w:r>
        <w:t>, proti, pieteicējai</w:t>
      </w:r>
      <w:r w:rsidRPr="003B5271">
        <w:t xml:space="preserve"> konkrētajā kriminālprocesā nav noteikts nekāds statuss</w:t>
      </w:r>
      <w:r>
        <w:t xml:space="preserve">. </w:t>
      </w:r>
    </w:p>
    <w:p w14:paraId="75B0BC4C" w14:textId="77777777" w:rsidR="00B15E90" w:rsidRDefault="00B15E90" w:rsidP="005E334C">
      <w:pPr>
        <w:spacing w:line="276" w:lineRule="auto"/>
        <w:ind w:firstLine="720"/>
        <w:jc w:val="both"/>
      </w:pPr>
      <w:r w:rsidRPr="008C3F16">
        <w:t>Kriminālprocesā nodarītā kaitējuma atlīdzināšan</w:t>
      </w:r>
      <w:r>
        <w:t>u regulē Kaitējuma atlīdzināšanas likums (</w:t>
      </w:r>
      <w:r w:rsidRPr="003D120C">
        <w:rPr>
          <w:i/>
          <w:iCs/>
        </w:rPr>
        <w:t>šeit un turpmāk</w:t>
      </w:r>
      <w:r>
        <w:t xml:space="preserve"> </w:t>
      </w:r>
      <w:r w:rsidRPr="00132B11">
        <w:rPr>
          <w:i/>
          <w:iCs/>
        </w:rPr>
        <w:t>redakcijā, kas bija spēkā līdz 2026.gada 31.maijam</w:t>
      </w:r>
      <w:r>
        <w:t>). Kā tas definēts 1.panta pirmajā daļā, šā li</w:t>
      </w:r>
      <w:r w:rsidRPr="006129EE">
        <w:t xml:space="preserve">kuma mērķis ir nodrošināt privātpersonai </w:t>
      </w:r>
      <w:hyperlink r:id="rId8" w:tgtFrame="_blank" w:history="1">
        <w:r w:rsidRPr="006129EE">
          <w:rPr>
            <w:rStyle w:val="Hyperlink"/>
            <w:color w:val="auto"/>
            <w:u w:val="none"/>
          </w:rPr>
          <w:t>Satversmē</w:t>
        </w:r>
      </w:hyperlink>
      <w:r w:rsidRPr="006129EE">
        <w:t xml:space="preserve"> noteiktās tiesības uz atbilstīgu atlīdzinājumu par zaudējumu un nemantisko kaitējumu, kas tai nodarīts kriminālprocesā vai administratīvā pārkāpuma lietvedībā iestādes, prokuratūras vai tiesas prettiesiskas vai nepamatotas rīcības dēļ.</w:t>
      </w:r>
    </w:p>
    <w:p w14:paraId="1834AE51" w14:textId="663F878F" w:rsidR="00B15E90" w:rsidRDefault="00B15E90" w:rsidP="005E334C">
      <w:pPr>
        <w:spacing w:line="276" w:lineRule="auto"/>
        <w:ind w:firstLine="720"/>
        <w:jc w:val="both"/>
      </w:pPr>
      <w:r>
        <w:t xml:space="preserve">Tātad atbilstoši šim likumam kaitējuma atlīdzinājums ir iespējams divos gadījumos, proti, </w:t>
      </w:r>
      <w:r w:rsidRPr="00AF2D92">
        <w:t xml:space="preserve">iestādes, prokuratūras vai </w:t>
      </w:r>
      <w:r w:rsidRPr="00990916">
        <w:t>tiesas prettiesiskas vai nepamatotas rīcības dēļ. Pirmajā gadījumā atlīdzinājuma</w:t>
      </w:r>
      <w:r w:rsidRPr="00B64B9F">
        <w:t xml:space="preserve"> piešķiršanai nepieciešams kompetentās institūcijas lēmums par to, ka kāda konkrēta darbība bijusi prettiesiska, savukārt otrajā gadījumā šāds lēmums nav nepieciešams. Kaitējuma atlīdzināšanas likuma 6.panta otrā daļa kā vienīgo priekšnoteikumu tam, lai iestādes rīcība tiktu uzskatīta par nepamatotu, paredz apstākli, ka ir iestājies kāds no likumā minētajiem atlīdzinājuma tiesiskajiem pamatiem</w:t>
      </w:r>
      <w:r>
        <w:t xml:space="preserve"> (sal. </w:t>
      </w:r>
      <w:r w:rsidRPr="00046273">
        <w:rPr>
          <w:i/>
          <w:iCs/>
        </w:rPr>
        <w:t xml:space="preserve">Senāta 2025.gada 27.marta lēmuma lietā Nr. SKA-338/2025, </w:t>
      </w:r>
      <w:hyperlink r:id="rId9" w:history="1">
        <w:r w:rsidRPr="002C63FB">
          <w:rPr>
            <w:rStyle w:val="Hyperlink"/>
            <w:i/>
            <w:iCs/>
          </w:rPr>
          <w:t>ECLI:LV:AT:2025:0327.SKA033825.5.L</w:t>
        </w:r>
      </w:hyperlink>
      <w:r w:rsidRPr="00046273">
        <w:rPr>
          <w:i/>
          <w:iCs/>
        </w:rPr>
        <w:t>, 5.punkts</w:t>
      </w:r>
      <w:r>
        <w:t xml:space="preserve">). </w:t>
      </w:r>
    </w:p>
    <w:p w14:paraId="381012E6" w14:textId="4BEB3225" w:rsidR="00B15E90" w:rsidRDefault="00B15E90" w:rsidP="005E334C">
      <w:pPr>
        <w:spacing w:line="276" w:lineRule="auto"/>
        <w:ind w:firstLine="720"/>
        <w:jc w:val="both"/>
      </w:pPr>
      <w:r>
        <w:t xml:space="preserve">No </w:t>
      </w:r>
      <w:r w:rsidRPr="00CC5139">
        <w:t xml:space="preserve">Kaitējuma atlīdzināšanas likuma normām </w:t>
      </w:r>
      <w:r>
        <w:t xml:space="preserve">kopsakarā ar Kriminālprocesa likuma 24.nodaļā, tostarp 336.panta pirmajā daļā, noteiktā izriet, ka </w:t>
      </w:r>
      <w:r w:rsidRPr="00CC5139">
        <w:t xml:space="preserve">prasījumu atlīdzināt zaudējumus vai kaitējumu minētā likuma kārtībā ir tiesīga iesniegt </w:t>
      </w:r>
      <w:r>
        <w:t xml:space="preserve">arī </w:t>
      </w:r>
      <w:r w:rsidRPr="00CC5139">
        <w:t xml:space="preserve">tāda privātpersona, kurai konkrētajā kriminālprocesā </w:t>
      </w:r>
      <w:r>
        <w:t xml:space="preserve">nav </w:t>
      </w:r>
      <w:r w:rsidRPr="00CC5139">
        <w:t>piešķirts noteikts kriminālprocesuāls statuss</w:t>
      </w:r>
      <w:r>
        <w:t xml:space="preserve"> (</w:t>
      </w:r>
      <w:r w:rsidRPr="00A36BEB">
        <w:rPr>
          <w:i/>
          <w:iCs/>
        </w:rPr>
        <w:t xml:space="preserve">Senāta 2019.gada 18.oktobra lēmuma lietā Nr. SKA-1533/2019, </w:t>
      </w:r>
      <w:hyperlink r:id="rId10" w:history="1">
        <w:r w:rsidRPr="00B1738B">
          <w:rPr>
            <w:rStyle w:val="Hyperlink"/>
            <w:i/>
            <w:iCs/>
          </w:rPr>
          <w:t>ECLI:LV:AT:2019:1018.A420255418.13.L</w:t>
        </w:r>
      </w:hyperlink>
      <w:r w:rsidRPr="00A36BEB">
        <w:rPr>
          <w:i/>
          <w:iCs/>
        </w:rPr>
        <w:t>, 13.–14.punkts</w:t>
      </w:r>
      <w:r>
        <w:t>).</w:t>
      </w:r>
    </w:p>
    <w:p w14:paraId="5BB1C13E" w14:textId="5ED62AF6" w:rsidR="00B15E90" w:rsidRDefault="00B15E90" w:rsidP="005E334C">
      <w:pPr>
        <w:spacing w:line="276" w:lineRule="auto"/>
        <w:ind w:firstLine="720"/>
        <w:jc w:val="both"/>
      </w:pPr>
      <w:r>
        <w:t>Tāpat Senāts, analizējot Kaitējuma atlīdzinājuma likuma 2.panta otrās daļas (paredz, ka š</w:t>
      </w:r>
      <w:r w:rsidRPr="00DC4BBF">
        <w:t>ā likuma noteikumi piemērojami arī šajā likumā tieši neminētos gadījumos, ja kriminālprocesā vai administratīvā pārkāpuma lietvedībā privātpersonai nodarīts kaitējums iestādes, prokuratūras vai tiesas prettiesiskas rīcības dēļ</w:t>
      </w:r>
      <w:r>
        <w:t xml:space="preserve">) tvērumu, atzinis, ka </w:t>
      </w:r>
      <w:r w:rsidRPr="001673E6">
        <w:t>likuma 4. un 5.pants aptver tikai tipiskākos un būtiskākos, taču ne visus iespējamos kriminālprocesā un administratīvo pārkāpumu lietvedībā nodarītā zaudējuma vai kaitējuma atlīdzinājuma tiesiskos pamatus (gadījumus), un atlīdzinājums var tikt piešķirts arī minētajās tiesību normās tieši nenorādītās situācijās (</w:t>
      </w:r>
      <w:r w:rsidRPr="001673E6">
        <w:rPr>
          <w:i/>
          <w:iCs/>
        </w:rPr>
        <w:t xml:space="preserve">Senāta 2019.gada 18.oktobra lēmuma lietā Nr. SKA-1533/2019, </w:t>
      </w:r>
      <w:hyperlink r:id="rId11" w:history="1">
        <w:r w:rsidRPr="00B1738B">
          <w:rPr>
            <w:rStyle w:val="Hyperlink"/>
            <w:i/>
            <w:iCs/>
          </w:rPr>
          <w:t>ECLI:LV:AT:2019:1018.A420255418.13.L</w:t>
        </w:r>
      </w:hyperlink>
      <w:r w:rsidRPr="001673E6">
        <w:rPr>
          <w:i/>
          <w:iCs/>
        </w:rPr>
        <w:t xml:space="preserve">, 15.punkts; Senāta 2018.gada 14.novembra lēmuma lietā Nr. SKA-1081/2018, </w:t>
      </w:r>
      <w:hyperlink r:id="rId12" w:history="1">
        <w:r w:rsidRPr="00B1738B">
          <w:rPr>
            <w:rStyle w:val="Hyperlink"/>
            <w:i/>
            <w:iCs/>
          </w:rPr>
          <w:t>ECLI:LV:AT:2018:1114.SKA108118.4.L</w:t>
        </w:r>
      </w:hyperlink>
      <w:r w:rsidRPr="001673E6">
        <w:rPr>
          <w:i/>
          <w:iCs/>
        </w:rPr>
        <w:t>, 12.–13.punkts</w:t>
      </w:r>
      <w:r w:rsidRPr="001673E6">
        <w:t>).</w:t>
      </w:r>
    </w:p>
    <w:p w14:paraId="4D4F507F" w14:textId="77777777" w:rsidR="00B15E90" w:rsidRDefault="00B15E90" w:rsidP="005E334C">
      <w:pPr>
        <w:spacing w:line="276" w:lineRule="auto"/>
        <w:ind w:firstLine="720"/>
        <w:jc w:val="both"/>
      </w:pPr>
      <w:r>
        <w:t xml:space="preserve">Ievērojot minēto, konkrētās lietas gadījums vispārīgi ir </w:t>
      </w:r>
      <w:r w:rsidRPr="001E4704">
        <w:t>izskatāms</w:t>
      </w:r>
      <w:r>
        <w:t xml:space="preserve"> K</w:t>
      </w:r>
      <w:r w:rsidRPr="00DC4BBF">
        <w:t>aitējuma atlīdzināšanas likuma kārtībā.</w:t>
      </w:r>
      <w:r>
        <w:t xml:space="preserve"> Vienlaikus, kā jau tas minēts iepriekš, no Kaitējuma atlīdzināšanas likuma izriet, ka privātpersona var pretendēt uz kaitējuma atlīdzinājumu tikai tad, ja tiek konstatēta prettiesiska vai nepamatota rīcība. Citiem vārdiem, likums neparedz kaitējuma atlīdzinājumu par tiesisku un pamatotu rīcību.</w:t>
      </w:r>
    </w:p>
    <w:p w14:paraId="76D00455" w14:textId="77777777" w:rsidR="00B15E90" w:rsidRDefault="00B15E90" w:rsidP="005E334C">
      <w:pPr>
        <w:spacing w:line="276" w:lineRule="auto"/>
        <w:ind w:firstLine="720"/>
        <w:jc w:val="both"/>
      </w:pPr>
      <w:r>
        <w:t xml:space="preserve">Taču, kā tas izriet no lietas apstākļiem, </w:t>
      </w:r>
      <w:r w:rsidRPr="009F5BDA">
        <w:t>Ģenerālprokuratūra nav konstatējusi policijas prettiesisku rīcību kriminālprocesuālo darbību veikšanas laikā</w:t>
      </w:r>
      <w:r>
        <w:t xml:space="preserve">, kā rezultātā bojāts pieteicējas </w:t>
      </w:r>
      <w:r w:rsidRPr="00A23A21">
        <w:t>pārvaldām</w:t>
      </w:r>
      <w:r>
        <w:t>ais</w:t>
      </w:r>
      <w:r w:rsidRPr="00A23A21">
        <w:t xml:space="preserve"> īpašum</w:t>
      </w:r>
      <w:r>
        <w:t>s</w:t>
      </w:r>
      <w:r w:rsidRPr="009F5BDA">
        <w:t>.</w:t>
      </w:r>
      <w:r>
        <w:t xml:space="preserve"> Tātad, kā to pamatoti konstatējis tiesnesis, lietā nav pieņemts tāds nolēmums, kas atbilstoši </w:t>
      </w:r>
      <w:r w:rsidRPr="009F5BDA">
        <w:t>Kaitējuma atlīdzināšanas likum</w:t>
      </w:r>
      <w:r>
        <w:t>am varētu kalpot par pamatu kaitējuma atlīdzinājumam. Tāpat arī lietā nav iestājušies apstākļi,</w:t>
      </w:r>
      <w:r w:rsidRPr="00DF7095">
        <w:t xml:space="preserve"> </w:t>
      </w:r>
      <w:r>
        <w:t>kas liecinātu par to, ka iestādes rīcība būtu bijusi nepamatota.</w:t>
      </w:r>
    </w:p>
    <w:p w14:paraId="254315CF" w14:textId="77777777" w:rsidR="00B15E90" w:rsidRDefault="00B15E90" w:rsidP="005E334C">
      <w:pPr>
        <w:spacing w:line="276" w:lineRule="auto"/>
        <w:ind w:firstLine="720"/>
        <w:jc w:val="both"/>
      </w:pPr>
      <w:r w:rsidRPr="006F3A80">
        <w:t xml:space="preserve">Vispārīgi tas varētu būt pamats atteikt pieņemt pieteikumu, </w:t>
      </w:r>
      <w:r>
        <w:t xml:space="preserve">kā to atzinis tiesnesis. </w:t>
      </w:r>
    </w:p>
    <w:p w14:paraId="19A87374" w14:textId="77777777" w:rsidR="00B15E90" w:rsidRDefault="00B15E90" w:rsidP="005E334C">
      <w:pPr>
        <w:spacing w:line="276" w:lineRule="auto"/>
        <w:ind w:firstLine="720"/>
        <w:jc w:val="both"/>
      </w:pPr>
      <w:r w:rsidRPr="00A531F4">
        <w:t>Tomēr turpmāk minēt</w:t>
      </w:r>
      <w:r>
        <w:t>o</w:t>
      </w:r>
      <w:r w:rsidRPr="00A531F4">
        <w:t xml:space="preserve"> apsvērum</w:t>
      </w:r>
      <w:r>
        <w:t>u dēļ</w:t>
      </w:r>
      <w:r w:rsidRPr="00A531F4">
        <w:t xml:space="preserve"> Senāt</w:t>
      </w:r>
      <w:r>
        <w:t>s atzīst, ka</w:t>
      </w:r>
      <w:r w:rsidRPr="00A531F4">
        <w:t xml:space="preserve"> </w:t>
      </w:r>
      <w:r>
        <w:t xml:space="preserve">no </w:t>
      </w:r>
      <w:r w:rsidRPr="00A531F4">
        <w:t>Satversme</w:t>
      </w:r>
      <w:r>
        <w:t>s izriet</w:t>
      </w:r>
      <w:r w:rsidRPr="00A531F4">
        <w:t xml:space="preserve"> nepieciešamīb</w:t>
      </w:r>
      <w:r>
        <w:t>a</w:t>
      </w:r>
      <w:r w:rsidRPr="00A531F4">
        <w:t xml:space="preserve"> atlīdzināt </w:t>
      </w:r>
      <w:r>
        <w:t>kaitējumu</w:t>
      </w:r>
      <w:r w:rsidRPr="00A531F4">
        <w:t xml:space="preserve"> arī tādos gadījumos, kad tas radies tiesiska</w:t>
      </w:r>
      <w:r>
        <w:t>s</w:t>
      </w:r>
      <w:r w:rsidRPr="00A531F4">
        <w:t xml:space="preserve"> </w:t>
      </w:r>
      <w:r>
        <w:t xml:space="preserve">un pamatotas </w:t>
      </w:r>
      <w:r w:rsidRPr="00A531F4">
        <w:t>rīcības dēļ.</w:t>
      </w:r>
    </w:p>
    <w:p w14:paraId="6E61E707" w14:textId="77777777" w:rsidR="00B15E90" w:rsidRDefault="00B15E90" w:rsidP="005E334C">
      <w:pPr>
        <w:spacing w:line="276" w:lineRule="auto"/>
        <w:ind w:firstLine="720"/>
        <w:jc w:val="both"/>
      </w:pPr>
    </w:p>
    <w:p w14:paraId="3CE8F918" w14:textId="77777777" w:rsidR="00B15E90" w:rsidRDefault="00B15E90" w:rsidP="005E334C">
      <w:pPr>
        <w:spacing w:line="276" w:lineRule="auto"/>
        <w:ind w:firstLine="720"/>
        <w:jc w:val="both"/>
      </w:pPr>
      <w:r>
        <w:t xml:space="preserve">[6] Senāts līdzīgu tiesību jautājumu ir risinājis </w:t>
      </w:r>
      <w:r w:rsidRPr="00B835C8">
        <w:t>20</w:t>
      </w:r>
      <w:r>
        <w:t>19</w:t>
      </w:r>
      <w:r w:rsidRPr="00B835C8">
        <w:t xml:space="preserve">.gada </w:t>
      </w:r>
      <w:r>
        <w:t xml:space="preserve">24.septembra lēmumā </w:t>
      </w:r>
      <w:r w:rsidRPr="00B835C8">
        <w:t>lietā Nr. SKA-</w:t>
      </w:r>
      <w:r>
        <w:t>1528</w:t>
      </w:r>
      <w:r w:rsidRPr="00B835C8">
        <w:t>/20</w:t>
      </w:r>
      <w:r>
        <w:t>19,</w:t>
      </w:r>
      <w:r w:rsidRPr="00B835C8">
        <w:t xml:space="preserve"> </w:t>
      </w:r>
      <w:hyperlink r:id="rId13" w:history="1">
        <w:r w:rsidRPr="00EC3033">
          <w:rPr>
            <w:rStyle w:val="Hyperlink"/>
            <w:color w:val="0000FF"/>
          </w:rPr>
          <w:t>ECLI:LV:AT:2019:0924.SKA152819.4.L</w:t>
        </w:r>
      </w:hyperlink>
      <w:r>
        <w:t>. Minētajā lietā pamats atteikumam pieņemt pieteikumu par zaudējumu atlīdzinājumu bija prettiesiska administratīvā akta vai faktiskās rīcības neesība, un lietā tika piemērotas Valsts pārvaldes iestāžu nodarīto zaudējumu atlīdzināšanas likuma normas. Tomēr Senāts uzskata par iespējamu atsaukties uz minētajā lietā izteiktajām atziņām, jo no Satversmes 92.panta trešā teikuma izrietošās tiesības uz atlīdzinājumu un no Satversmes izrietošie principi attiecas kā uz administratīvo procesu, tā arī uz kriminālprocesu.</w:t>
      </w:r>
    </w:p>
    <w:p w14:paraId="50A8E9CE" w14:textId="77777777" w:rsidR="00B15E90" w:rsidRDefault="00B15E90" w:rsidP="005E334C">
      <w:pPr>
        <w:spacing w:line="276" w:lineRule="auto"/>
        <w:ind w:firstLine="720"/>
        <w:jc w:val="both"/>
      </w:pPr>
      <w:r>
        <w:t xml:space="preserve">Ievērojot minēto, </w:t>
      </w:r>
      <w:r w:rsidRPr="00E255D2">
        <w:t xml:space="preserve">Senāts šajā </w:t>
      </w:r>
      <w:r>
        <w:t xml:space="preserve">lēmumā </w:t>
      </w:r>
      <w:r w:rsidRPr="00E255D2">
        <w:rPr>
          <w:i/>
        </w:rPr>
        <w:t>mutatis mutandis</w:t>
      </w:r>
      <w:r w:rsidRPr="00E255D2">
        <w:t xml:space="preserve"> izmantos minētajā </w:t>
      </w:r>
      <w:r>
        <w:t xml:space="preserve">Senāta lēmumā </w:t>
      </w:r>
      <w:r w:rsidRPr="00E255D2">
        <w:t>ietvertos argumentus</w:t>
      </w:r>
      <w:r>
        <w:t xml:space="preserve"> (</w:t>
      </w:r>
      <w:r w:rsidRPr="00F6587D">
        <w:rPr>
          <w:i/>
          <w:iCs/>
        </w:rPr>
        <w:t>minētā lēmuma 8.</w:t>
      </w:r>
      <w:r>
        <w:rPr>
          <w:i/>
          <w:iCs/>
        </w:rPr>
        <w:t>–</w:t>
      </w:r>
      <w:r w:rsidRPr="00F6587D">
        <w:rPr>
          <w:i/>
          <w:iCs/>
        </w:rPr>
        <w:t>12.punkts</w:t>
      </w:r>
      <w:r>
        <w:t>)</w:t>
      </w:r>
      <w:r w:rsidRPr="00E255D2">
        <w:t>.</w:t>
      </w:r>
    </w:p>
    <w:p w14:paraId="7B1E66BD" w14:textId="77777777" w:rsidR="00B15E90" w:rsidRDefault="00B15E90" w:rsidP="005E334C">
      <w:pPr>
        <w:spacing w:line="276" w:lineRule="auto"/>
        <w:jc w:val="both"/>
      </w:pPr>
    </w:p>
    <w:p w14:paraId="585857DF" w14:textId="77777777" w:rsidR="00B15E90" w:rsidRDefault="00B15E90" w:rsidP="005E334C">
      <w:pPr>
        <w:spacing w:line="276" w:lineRule="auto"/>
        <w:ind w:right="-141" w:firstLine="709"/>
        <w:jc w:val="both"/>
      </w:pPr>
      <w:r>
        <w:t>[7] Satversmes normās ir atzīta virkne pamattiesību. Vienlaikus 116.pants paredz, ka pieļaujama personas pamattiesību ierobežošana citu cilvēku tiesību aizsardzības, demokrātiskas valsts iekārtas, sabiedrības drošības, labklājības un tikumības aizsardzības interesēs. „Pamattiesību ierobežojumi izriet no pašu pamattiesību būtības. Pamattiesības garantē personas brīvību, taču šo brīvību valstij jāgarantē ekskluzīvi nevis vienai konkrētai personai, bet visām personām vienlaikus. Šā iemesla dēļ vienas personas pamattiesības ierobežo citas personas pamattiesības. Papildus tam pamattiesībām var tikt noteikti ierobežojumi citu konstitucionālo vērtību aizsardzībai, lai nodrošinātu sabiedrības turpmāku pastāvēšanu.” (</w:t>
      </w:r>
      <w:r w:rsidRPr="00864E3E">
        <w:rPr>
          <w:i/>
        </w:rPr>
        <w:t>Pleps J. Komentārs Satversmes 116.pantam. Grām.: Latvijas Republikas Satversmes komentāri. VIII nodaļa. Cilvēka pamattiesības. Zin. vad. Balodis R. Rīga: Latvijas Vēstnesis, 2011, 740.lpp.</w:t>
      </w:r>
      <w:r>
        <w:t>). Atbilstoši Satversmes tiesas atziņām ierobežojumi var tikt noteikti arī tādām pamattiesībām, kas nav minētas Satversmes 116.pantā, jo to prasa Satversmes vienotība un nepieciešamība aizsargāt citu personu pamattiesības (</w:t>
      </w:r>
      <w:r w:rsidRPr="00B63507">
        <w:rPr>
          <w:i/>
        </w:rPr>
        <w:t>Satversmes tiesas 2002.gada 22.oktobra sprieduma lietā Nr. 2002-04-03 secinājumu daļas 2.punkts</w:t>
      </w:r>
      <w:r>
        <w:t>).</w:t>
      </w:r>
    </w:p>
    <w:p w14:paraId="502FDF8D" w14:textId="77777777" w:rsidR="00B15E90" w:rsidRDefault="00B15E90" w:rsidP="005E334C">
      <w:pPr>
        <w:spacing w:line="276" w:lineRule="auto"/>
        <w:ind w:right="-141" w:firstLine="709"/>
        <w:jc w:val="both"/>
      </w:pPr>
      <w:r>
        <w:t>Īpašuma tiesību kā pamattiesību ierobežojumu tieši paredz Satversmes 105.panta otrais, trešais un ceturtais teikums, kas noteic, ka īpašumu nedrīkst izmantot pretēji sabiedrības interesēm; īpašuma tiesības var ierobežot vienīgi saskaņā ar likumu; īpašuma piespiedu atsavināšana sabiedrības vajadzībām pieļaujama tikai izņēmuma gadījumos uz atsevišķa likuma pamata pret taisnīgu atlīdzību.</w:t>
      </w:r>
    </w:p>
    <w:p w14:paraId="57A00062" w14:textId="77777777" w:rsidR="00B15E90" w:rsidRDefault="00B15E90" w:rsidP="005E334C">
      <w:pPr>
        <w:spacing w:line="276" w:lineRule="auto"/>
        <w:ind w:right="-141" w:firstLine="709"/>
        <w:jc w:val="both"/>
      </w:pPr>
      <w:r w:rsidRPr="00A24C6B">
        <w:t>Līdz ar to jau no Satversmes izriet, ka personai ir jāsamierinās ar savu pamattiesību zināmu ierobežojumu.</w:t>
      </w:r>
    </w:p>
    <w:p w14:paraId="303B997A" w14:textId="77777777" w:rsidR="00B15E90" w:rsidRDefault="00B15E90" w:rsidP="005E334C">
      <w:pPr>
        <w:spacing w:line="276" w:lineRule="auto"/>
        <w:ind w:right="-141" w:firstLine="709"/>
        <w:jc w:val="both"/>
      </w:pPr>
    </w:p>
    <w:p w14:paraId="797BAA0B" w14:textId="59652FA0" w:rsidR="00B15E90" w:rsidRDefault="00B15E90" w:rsidP="005E334C">
      <w:pPr>
        <w:spacing w:line="276" w:lineRule="auto"/>
        <w:ind w:right="-141" w:firstLine="709"/>
        <w:jc w:val="both"/>
      </w:pPr>
      <w:r>
        <w:t>[8] Tomēr, kā to konsekventi skaidro Satversmes tiesa, pārbaudot tiesību normu atbilstību Satversmei, samērīguma princips noteic, ka tad, ja publiskā vara ierobežo personas tiesības un likumiskās intereses, ir jāievēro saprātīgs līdzsvars starp personas un sabiedrības interesēm (</w:t>
      </w:r>
      <w:r w:rsidRPr="00DB0F80">
        <w:rPr>
          <w:i/>
        </w:rPr>
        <w:t>Satversmes tiesas 2002.gada 19.marta sprieduma lietā Nr. </w:t>
      </w:r>
      <w:r w:rsidRPr="00756386">
        <w:rPr>
          <w:i/>
        </w:rPr>
        <w:t>2001</w:t>
      </w:r>
      <w:r w:rsidR="00713BBF" w:rsidRPr="00756386">
        <w:rPr>
          <w:i/>
        </w:rPr>
        <w:noBreakHyphen/>
      </w:r>
      <w:r w:rsidRPr="00756386">
        <w:rPr>
          <w:i/>
        </w:rPr>
        <w:t>12-01</w:t>
      </w:r>
      <w:r w:rsidRPr="00DB0F80">
        <w:rPr>
          <w:i/>
        </w:rPr>
        <w:t xml:space="preserve"> </w:t>
      </w:r>
      <w:r>
        <w:rPr>
          <w:i/>
        </w:rPr>
        <w:t xml:space="preserve">secinājumu daļas </w:t>
      </w:r>
      <w:r w:rsidRPr="00DB0F80">
        <w:rPr>
          <w:i/>
        </w:rPr>
        <w:t>3.1.punkts</w:t>
      </w:r>
      <w:r>
        <w:t>).</w:t>
      </w:r>
    </w:p>
    <w:p w14:paraId="18376833" w14:textId="77777777" w:rsidR="00B15E90" w:rsidRDefault="00B15E90" w:rsidP="005E334C">
      <w:pPr>
        <w:spacing w:line="276" w:lineRule="auto"/>
        <w:ind w:right="-141" w:firstLine="709"/>
        <w:jc w:val="both"/>
      </w:pPr>
      <w:r>
        <w:t>Arī iestādes rīcībai kriminālprocesā ir jāatbilst samērīguma principam – lai arī no tiesību normām var izrietēt personas tiesību ierobežojums, šim ierobežojumam ir jābūt samērīgam.</w:t>
      </w:r>
    </w:p>
    <w:p w14:paraId="20A53E47" w14:textId="77777777" w:rsidR="00B15E90" w:rsidRDefault="00B15E90" w:rsidP="005E334C">
      <w:pPr>
        <w:spacing w:line="276" w:lineRule="auto"/>
        <w:ind w:right="-141" w:firstLine="709"/>
        <w:jc w:val="both"/>
      </w:pPr>
      <w:r>
        <w:t>Tāpat jāievēro Satversmes 91.panta pirmajā teikumā ietvertais tiesiskās vienlīdzības princips. No tā izriet, ka ierobežojumi, ar ko personām jāsamierinās, nedrīkst uz kādu personu gult nesalīdzināmi lielākā mērā kā uz citām personām.</w:t>
      </w:r>
    </w:p>
    <w:p w14:paraId="7E52E3C9" w14:textId="77777777" w:rsidR="00B15E90" w:rsidRDefault="00B15E90" w:rsidP="005E334C">
      <w:pPr>
        <w:spacing w:line="276" w:lineRule="auto"/>
        <w:ind w:right="-141" w:firstLine="709"/>
        <w:jc w:val="both"/>
      </w:pPr>
      <w:r>
        <w:t xml:space="preserve">Savukārt Satversmes 92.pants paredz tiesības uz atlīdzinājumu jebkura nepamatota </w:t>
      </w:r>
      <w:r w:rsidRPr="007E5676">
        <w:t>tiesību aizskāruma gadījumā. Tas var ietvert atlīdzinājumu arī gadījumos, kad neatlīdzināšana novestu pie personas tiesību acīmredzami netaisnīga ierobežojuma.</w:t>
      </w:r>
    </w:p>
    <w:p w14:paraId="4CF9867D" w14:textId="77777777" w:rsidR="00B15E90" w:rsidRDefault="00B15E90" w:rsidP="005E334C">
      <w:pPr>
        <w:spacing w:line="276" w:lineRule="auto"/>
        <w:ind w:right="-141" w:firstLine="709"/>
        <w:jc w:val="both"/>
      </w:pPr>
    </w:p>
    <w:p w14:paraId="1BA9359D" w14:textId="77777777" w:rsidR="00B15E90" w:rsidRPr="00A24C6B" w:rsidRDefault="00B15E90" w:rsidP="005E334C">
      <w:pPr>
        <w:spacing w:line="276" w:lineRule="auto"/>
        <w:ind w:right="-141" w:firstLine="709"/>
        <w:jc w:val="both"/>
      </w:pPr>
      <w:r w:rsidRPr="00A24C6B">
        <w:t>[9] Tiesiskajā sistēmā atsevišķos gadījumos jau ar tiesību normu tiešu tekstu ir paredzēts atlīdzinājums arī par tādu valsts pārvaldes lēmumu vai rīcību, kas pati par sevi ir tiesiska.</w:t>
      </w:r>
    </w:p>
    <w:p w14:paraId="457A9776" w14:textId="77777777" w:rsidR="00B15E90" w:rsidRPr="00A24C6B" w:rsidRDefault="00B15E90" w:rsidP="005E334C">
      <w:pPr>
        <w:spacing w:line="276" w:lineRule="auto"/>
        <w:ind w:right="-141" w:firstLine="709"/>
        <w:jc w:val="both"/>
      </w:pPr>
      <w:r w:rsidRPr="00A24C6B">
        <w:t>Piemēram, Administratīvā procesa likuma 374.pantā noteikts: ja administratīvā akta piespiedu izpildes gaitā cieš cita privātpersona, nevis tā, pret kuru piespiedu izpilde vērsta, šai privātpersonai ir tiesības uz atlīdzinājumu saskaņā ar šā likuma 8.nodaļas noteikumiem neatkarīgi no tā, vai piespiedu izpilde bijusi tiesiska vai prettiesiska. Tātad arī par tiesiski veiktu piespiedu izpildi, ja tas radījis zaudējumus citai personai, šī persona var prasīt atlīdzinājumu.</w:t>
      </w:r>
    </w:p>
    <w:p w14:paraId="0B115207" w14:textId="77777777" w:rsidR="00B15E90" w:rsidRPr="00A24C6B" w:rsidRDefault="00B15E90" w:rsidP="005E334C">
      <w:pPr>
        <w:spacing w:line="276" w:lineRule="auto"/>
        <w:ind w:right="-141" w:firstLine="709"/>
        <w:jc w:val="both"/>
      </w:pPr>
      <w:r w:rsidRPr="00A24C6B">
        <w:t>Kā vēl viens piemērs jāmin Administratīvā procesa likuma 85.panta regulējums,</w:t>
      </w:r>
      <w:r>
        <w:t xml:space="preserve"> kad ir iespējams atcelt adresātam labvēlīgu tiesisku administratīvo aktu. Minētā panta otrās daļas 4.punktā noteikts, ka a</w:t>
      </w:r>
      <w:r w:rsidRPr="00576607">
        <w:t>dresātam labvēlīgu tiesisku administratīvo aktu var atcelt tad, ja ir</w:t>
      </w:r>
      <w:r>
        <w:t xml:space="preserve"> </w:t>
      </w:r>
      <w:r w:rsidRPr="00576607">
        <w:t xml:space="preserve">mainījušies lietas faktiskie vai tiesiskie apstākļi, kuriem pastāvot administratīvā akta izdošanas brīdī iestāde varētu šādu administratīvo aktu neizdot, un administratīvā akta </w:t>
      </w:r>
      <w:r w:rsidRPr="00A24C6B">
        <w:t xml:space="preserve">palikšana spēkā skar būtiskas sabiedrības intereses. Šā paša panta piektajā daļā noteikts: ja administratīvo aktu atceļ saskaņā ar šā panta otrās daļas 4.punktu, attiecīgā publisko tiesību juridiskā persona saskaņā ar šā likuma </w:t>
      </w:r>
      <w:hyperlink r:id="rId14" w:anchor="n8" w:history="1">
        <w:r w:rsidRPr="00A24C6B">
          <w:rPr>
            <w:rStyle w:val="Hyperlink"/>
            <w:color w:val="auto"/>
            <w:u w:val="none"/>
          </w:rPr>
          <w:t>8.nodaļu</w:t>
        </w:r>
      </w:hyperlink>
      <w:r w:rsidRPr="00A24C6B">
        <w:t xml:space="preserve"> atlīdzina adresātam zaudējumus un personisko kaitējumu, kas tam radies sakarā ar administratīvā akta atcelšanu.</w:t>
      </w:r>
    </w:p>
    <w:p w14:paraId="328486F3" w14:textId="77777777" w:rsidR="00B15E90" w:rsidRDefault="00B15E90" w:rsidP="005E334C">
      <w:pPr>
        <w:spacing w:line="276" w:lineRule="auto"/>
        <w:ind w:right="-141" w:firstLine="709"/>
        <w:jc w:val="both"/>
      </w:pPr>
      <w:r w:rsidRPr="00A24C6B">
        <w:t>Tātad taisnīguma apsvērumi, kuri izriet no Satversmes 1.panta un ir atzīti arī kā viens no administratīvā procesa pamatmērķiem (Administratīvā procesa likuma 2.panta 1.punkts)</w:t>
      </w:r>
      <w:r>
        <w:t>,</w:t>
      </w:r>
      <w:r w:rsidRPr="00A24C6B">
        <w:t xml:space="preserve"> likuši likumdevējam izšķirties par atlīdzinājumu arī gadījumos, kad persona tiek būtiski individuāli skarta ar kādu valsts pārvaldes iestādes tiesisku darbību.</w:t>
      </w:r>
      <w:r>
        <w:t xml:space="preserve"> </w:t>
      </w:r>
    </w:p>
    <w:p w14:paraId="2139D8CB" w14:textId="77777777" w:rsidR="00B15E90" w:rsidRPr="00A24C6B" w:rsidRDefault="00B15E90" w:rsidP="005E334C">
      <w:pPr>
        <w:spacing w:line="276" w:lineRule="auto"/>
        <w:ind w:right="-141" w:firstLine="709"/>
        <w:jc w:val="both"/>
      </w:pPr>
      <w:r w:rsidRPr="00A24C6B">
        <w:t>Tas liek domāt, ka tiesiskajā sistēmā, ievērojot jau iepriekš minētās Satversmes normas, šādam mehānismam būtu jādarbojas ikvienā tādā gadījumā, kad personai iepretim citām personām jāpacieš acīmredzami nesamērīgs un tādēļ netaisnīgs tās tiesību ierobežojums, proti, ja atlīdzinājuma nepiešķiršana, liekot zaudējumu ciest konkrētai personai, būtu acīmredzami netaisnīga.</w:t>
      </w:r>
    </w:p>
    <w:p w14:paraId="433EA648" w14:textId="77777777" w:rsidR="00B15E90" w:rsidRDefault="00B15E90" w:rsidP="005E334C">
      <w:pPr>
        <w:spacing w:line="276" w:lineRule="auto"/>
        <w:ind w:right="-141" w:firstLine="709"/>
        <w:jc w:val="both"/>
      </w:pPr>
      <w:r w:rsidRPr="00A24C6B">
        <w:t>Tas nozīmē, ka atsevišķos gadījumos, ņemot vērā taisnīguma apsvērumus, būtu jālemj par iespējamā zaudējuma atlīdzināšanu personai arī tad, ja iestādes rīcība atbilst tiesību normām un nav konstatējams prettiesiskums.</w:t>
      </w:r>
    </w:p>
    <w:p w14:paraId="557DFD62" w14:textId="77777777" w:rsidR="00B15E90" w:rsidRDefault="00B15E90" w:rsidP="005E334C">
      <w:pPr>
        <w:spacing w:line="276" w:lineRule="auto"/>
        <w:ind w:right="-141" w:firstLine="709"/>
        <w:jc w:val="both"/>
      </w:pPr>
    </w:p>
    <w:p w14:paraId="5D6E81A6" w14:textId="77777777" w:rsidR="00B15E90" w:rsidRDefault="00B15E90" w:rsidP="005E334C">
      <w:pPr>
        <w:spacing w:line="276" w:lineRule="auto"/>
        <w:ind w:right="-141" w:firstLine="709"/>
        <w:jc w:val="both"/>
      </w:pPr>
      <w:r>
        <w:t>[10] Jānorāda, ka līdzīgas prasības par tāda zaudējuma atlīdzinājumu, kas nodarīts ar valsts pārvaldes iestādes tiesisku rīcību, tiek atzītas arī citās kontinentālās Eiropas valstīs.</w:t>
      </w:r>
    </w:p>
    <w:p w14:paraId="7370B077" w14:textId="77777777" w:rsidR="00B15E90" w:rsidRDefault="00B15E90" w:rsidP="005E334C">
      <w:pPr>
        <w:spacing w:line="276" w:lineRule="auto"/>
        <w:ind w:right="-141" w:firstLine="709"/>
        <w:jc w:val="both"/>
      </w:pPr>
      <w:r>
        <w:t>Tā Vācijā valsts atbildība var iestāties, arī veicot tiesisku rīcību, ja ar to personai radītas sevišķas ciešanas jeb uzlikts pārmērīgs slogs. Šādā gadījumā personai ir tiesības uz pienācīgu kompensāciju (</w:t>
      </w:r>
      <w:r w:rsidRPr="0038436D">
        <w:rPr>
          <w:i/>
        </w:rPr>
        <w:t>Kü</w:t>
      </w:r>
      <w:r>
        <w:rPr>
          <w:i/>
        </w:rPr>
        <w:t xml:space="preserve">nnecke M. </w:t>
      </w:r>
      <w:r w:rsidRPr="0038436D">
        <w:rPr>
          <w:i/>
        </w:rPr>
        <w:t xml:space="preserve">Tradition </w:t>
      </w:r>
      <w:r>
        <w:rPr>
          <w:i/>
        </w:rPr>
        <w:t xml:space="preserve">and Change in Administrative Law. Berlin: Springer, 2007, p. 185; </w:t>
      </w:r>
      <w:r w:rsidRPr="00231602">
        <w:rPr>
          <w:i/>
        </w:rPr>
        <w:t>Paine F.J. Vācijas vispārīgās administratīvās tiesības. Vācijas Administratīvā procesa likums. Rīg</w:t>
      </w:r>
      <w:r>
        <w:rPr>
          <w:i/>
        </w:rPr>
        <w:t>a: Tiesu namu aģentūra, 2002, 363. un 364.</w:t>
      </w:r>
      <w:r w:rsidRPr="00231602">
        <w:rPr>
          <w:i/>
        </w:rPr>
        <w:t>lpp</w:t>
      </w:r>
      <w:r>
        <w:rPr>
          <w:i/>
        </w:rPr>
        <w:t>.</w:t>
      </w:r>
      <w:r>
        <w:t>). Apzīmējot šo tiesību institūtu, tiek lietoti jēdzieni „īpašais upuris” vai „uzupurēšanas tiesības”.</w:t>
      </w:r>
    </w:p>
    <w:p w14:paraId="452ECC67" w14:textId="5161D974" w:rsidR="00B15E90" w:rsidRDefault="00B15E90" w:rsidP="005E334C">
      <w:pPr>
        <w:spacing w:line="276" w:lineRule="auto"/>
        <w:ind w:right="-141" w:firstLine="709"/>
        <w:jc w:val="both"/>
      </w:pPr>
      <w:r>
        <w:t xml:space="preserve">Igaunijas Valsts atbildības likuma 16.panta pirmā daļa paredz, ka persona var prasīt taisnīgu kompensāciju par zaudējumu, kas tai nodarīts ar tiesisku administratīvo aktu vai rīcību, kas sevišķi ierobežo personas pamattiesības un brīvības (pieejams: </w:t>
      </w:r>
      <w:hyperlink r:id="rId15" w:history="1">
        <w:r w:rsidRPr="00713BBF">
          <w:rPr>
            <w:rStyle w:val="Hyperlink"/>
            <w:i/>
          </w:rPr>
          <w:t>https://www.riigiteataja.ee/en/eli/ee/507062016001/consolide</w:t>
        </w:r>
      </w:hyperlink>
      <w:r>
        <w:t>).</w:t>
      </w:r>
    </w:p>
    <w:p w14:paraId="2F6458F8" w14:textId="357B2C2E" w:rsidR="00B15E90" w:rsidRDefault="00B15E90" w:rsidP="005E334C">
      <w:pPr>
        <w:spacing w:line="276" w:lineRule="auto"/>
        <w:ind w:right="-141" w:firstLine="709"/>
        <w:jc w:val="both"/>
      </w:pPr>
      <w:r>
        <w:t>Arī Eiropas Padomes Ministru Komiteja ir atzinusi, ka, pat ja nav konstatējama valsts pārvaldes iestādes prettiesiska rīcība, personai būtu piešķirams atlīdzinājums, ja acīmredzami netaisnīgi būtu likt aizskartajai personai vienai ciest zaudējumus (</w:t>
      </w:r>
      <w:r w:rsidRPr="00751B6C">
        <w:rPr>
          <w:rFonts w:eastAsiaTheme="minorHAnsi"/>
          <w:i/>
          <w:lang w:eastAsia="en-US"/>
        </w:rPr>
        <w:t xml:space="preserve">Eiropas Padomes rekomendācija Nr. R(84) 15 „Par valsts atbildību” II </w:t>
      </w:r>
      <w:r>
        <w:rPr>
          <w:rFonts w:eastAsiaTheme="minorHAnsi"/>
          <w:i/>
          <w:lang w:eastAsia="en-US"/>
        </w:rPr>
        <w:t>princips</w:t>
      </w:r>
      <w:r w:rsidRPr="00751B6C">
        <w:rPr>
          <w:rFonts w:eastAsiaTheme="minorHAnsi"/>
          <w:i/>
          <w:lang w:eastAsia="en-US"/>
        </w:rPr>
        <w:t>. Pieejams:</w:t>
      </w:r>
      <w:r w:rsidRPr="00751B6C">
        <w:rPr>
          <w:i/>
        </w:rPr>
        <w:t xml:space="preserve"> </w:t>
      </w:r>
      <w:hyperlink r:id="rId16" w:history="1">
        <w:r w:rsidRPr="00713BBF">
          <w:rPr>
            <w:rStyle w:val="Hyperlink"/>
            <w:rFonts w:eastAsiaTheme="minorHAnsi"/>
            <w:i/>
            <w:lang w:eastAsia="en-US"/>
          </w:rPr>
          <w:t>https://rm.coe.int/16804e3398</w:t>
        </w:r>
      </w:hyperlink>
      <w:r>
        <w:rPr>
          <w:rFonts w:eastAsiaTheme="minorHAnsi"/>
          <w:lang w:eastAsia="en-US"/>
        </w:rPr>
        <w:t>).</w:t>
      </w:r>
      <w:r>
        <w:t xml:space="preserve"> </w:t>
      </w:r>
    </w:p>
    <w:p w14:paraId="37B5FBDC" w14:textId="181ED4A1" w:rsidR="00B15E90" w:rsidRPr="000A1D68" w:rsidRDefault="00B15E90" w:rsidP="005E334C">
      <w:pPr>
        <w:spacing w:line="276" w:lineRule="auto"/>
        <w:ind w:right="-141" w:firstLine="709"/>
        <w:jc w:val="both"/>
      </w:pPr>
      <w:r>
        <w:t>Eiropas Savienības tiesiskajā sistēmā arī ir nostiprināts uzskats, ka ir iespējama atbildība bez vainas jeb nekonstatējot prettiesisku rīcību, ja tiek konstatēts neparasts un īpašs kaitējums (</w:t>
      </w:r>
      <w:r>
        <w:rPr>
          <w:i/>
        </w:rPr>
        <w:t xml:space="preserve">Eiropas Savienības Tiesas 2000.gada 15.jūnija sprieduma lietā </w:t>
      </w:r>
      <w:r w:rsidRPr="0049297C">
        <w:rPr>
          <w:i/>
        </w:rPr>
        <w:t>Dorsch Consult/Padome un Komisija</w:t>
      </w:r>
      <w:r>
        <w:rPr>
          <w:i/>
        </w:rPr>
        <w:t>,</w:t>
      </w:r>
      <w:r w:rsidRPr="0049297C">
        <w:rPr>
          <w:i/>
        </w:rPr>
        <w:t xml:space="preserve"> </w:t>
      </w:r>
      <w:r>
        <w:rPr>
          <w:i/>
        </w:rPr>
        <w:t xml:space="preserve">C-237/98 P, </w:t>
      </w:r>
      <w:hyperlink r:id="rId17" w:history="1">
        <w:r w:rsidRPr="0074375D">
          <w:rPr>
            <w:rStyle w:val="Hyperlink"/>
            <w:i/>
          </w:rPr>
          <w:t>ECLI:EU:C:2000:321</w:t>
        </w:r>
      </w:hyperlink>
      <w:r w:rsidRPr="0074375D">
        <w:rPr>
          <w:i/>
        </w:rPr>
        <w:t>,</w:t>
      </w:r>
      <w:r>
        <w:rPr>
          <w:i/>
        </w:rPr>
        <w:t xml:space="preserve"> 18.punkts</w:t>
      </w:r>
      <w:r>
        <w:t>).</w:t>
      </w:r>
    </w:p>
    <w:p w14:paraId="5B8BF1A0" w14:textId="77777777" w:rsidR="00B15E90" w:rsidRDefault="00B15E90" w:rsidP="005E334C">
      <w:pPr>
        <w:spacing w:line="276" w:lineRule="auto"/>
        <w:ind w:right="-141" w:firstLine="709"/>
        <w:jc w:val="both"/>
      </w:pPr>
    </w:p>
    <w:p w14:paraId="22C164A3" w14:textId="77777777" w:rsidR="00B15E90" w:rsidRPr="00A24C6B" w:rsidRDefault="00B15E90" w:rsidP="005E334C">
      <w:pPr>
        <w:spacing w:line="276" w:lineRule="auto"/>
        <w:ind w:right="-141" w:firstLine="709"/>
        <w:jc w:val="both"/>
      </w:pPr>
      <w:r>
        <w:t>[11] Vienlaikus iepriekš minētais nenozīmē, ka</w:t>
      </w:r>
      <w:r w:rsidRPr="00923447">
        <w:t xml:space="preserve"> ka</w:t>
      </w:r>
      <w:r>
        <w:t xml:space="preserve">trs tiesību ierobežojums, kas </w:t>
      </w:r>
      <w:r w:rsidRPr="00A24C6B">
        <w:t xml:space="preserve">radīts ar tiesisku iestādes darbību, būtu jāatlīdzina. </w:t>
      </w:r>
    </w:p>
    <w:p w14:paraId="703E8F10" w14:textId="77777777" w:rsidR="00B15E90" w:rsidRDefault="00B15E90" w:rsidP="005E334C">
      <w:pPr>
        <w:spacing w:line="276" w:lineRule="auto"/>
        <w:ind w:right="-141" w:firstLine="709"/>
        <w:jc w:val="both"/>
      </w:pPr>
      <w:r w:rsidRPr="00A24C6B">
        <w:t>Tiesas uzdevums būtu vērtēt, vai pastāv tāds personas tiesību ierobežojums, kas tai atšķirībā no citām personām uzliek sevišķu, ārkārtēju nastu vai liek paciest no citām personām atšķirīgu, sevišķu, ārkārtēju kaitējumu.</w:t>
      </w:r>
    </w:p>
    <w:p w14:paraId="2B034E74" w14:textId="280EFDAB" w:rsidR="00B15E90" w:rsidRPr="00A24C6B" w:rsidRDefault="00B15E90" w:rsidP="005E334C">
      <w:pPr>
        <w:spacing w:line="276" w:lineRule="auto"/>
        <w:ind w:right="-141" w:firstLine="709"/>
        <w:jc w:val="both"/>
      </w:pPr>
      <w:r>
        <w:t xml:space="preserve">Salīdzinot ar Vācijas tiesībām, jau pats Vācijas tiesībās lietotais jēdziens „īpašais upuris” nozīmē, ka personas tiesisko interešu aizskārums ir lielāks nekā parasti. Kaitējums izriet ārpus parastā dzīves riska sakarā ar vienlīdzības principa pārkāpumu vai kaitējuma </w:t>
      </w:r>
      <w:r w:rsidRPr="00A24C6B">
        <w:t>noteiktā smaguma dēļ (</w:t>
      </w:r>
      <w:r w:rsidRPr="00A24C6B">
        <w:rPr>
          <w:i/>
        </w:rPr>
        <w:t>Paine F.J. Vācijas vispārīgās administratīvās tiesības. Vācijas Administratīvā procesa likums. Rīga: Tiesu namu aģentūra, 2002, 363. un 366.lpp.</w:t>
      </w:r>
      <w:r w:rsidRPr="00A24C6B">
        <w:t>). Lai atzītu, ka konkrētais gadījums ir „īpašā upura” gadījums, tam jāatbilst noteiktiem priekšnoteikumiem. Tie ir</w:t>
      </w:r>
      <w:r>
        <w:t>:</w:t>
      </w:r>
      <w:r w:rsidRPr="00A24C6B">
        <w:t xml:space="preserve"> rīcība veikta vispārējās (sabiedrības) interesēs jeb tā ir valstiski svarīga, rīcība ir bijusi nepieciešama, un tās rezultātā personai izraisītas sevišķas ciešanas jeb nodarīts ārkārtējs tiesību vai interešu aizskārums (sal. </w:t>
      </w:r>
      <w:r w:rsidRPr="00A24C6B">
        <w:rPr>
          <w:i/>
        </w:rPr>
        <w:t xml:space="preserve">Paine F.J. Vācijas vispārīgās administratīvās tiesības. Vācijas Administratīvā procesa likums. Rīga: Tiesu namu aģentūra, 2002, 360.–363.lpp.; </w:t>
      </w:r>
      <w:r w:rsidRPr="00A24C6B">
        <w:rPr>
          <w:rFonts w:eastAsiaTheme="minorHAnsi"/>
          <w:i/>
          <w:lang w:eastAsia="en-US"/>
        </w:rPr>
        <w:t>Eiropas Padomes rekomendācija Nr. R(84) 15 „Par valsts atbildību” II princips. Pieejams:</w:t>
      </w:r>
      <w:r w:rsidRPr="00A24C6B">
        <w:t xml:space="preserve"> </w:t>
      </w:r>
      <w:hyperlink r:id="rId18" w:history="1">
        <w:r w:rsidRPr="003A2C4D">
          <w:rPr>
            <w:rStyle w:val="Hyperlink"/>
            <w:i/>
          </w:rPr>
          <w:t>https://rm.coe.int/16804e3398</w:t>
        </w:r>
      </w:hyperlink>
      <w:r w:rsidRPr="00A24C6B">
        <w:t>).</w:t>
      </w:r>
    </w:p>
    <w:p w14:paraId="38E57283" w14:textId="77777777" w:rsidR="00B15E90" w:rsidRPr="00A24C6B" w:rsidRDefault="00B15E90" w:rsidP="005E334C">
      <w:pPr>
        <w:spacing w:line="276" w:lineRule="auto"/>
        <w:ind w:right="-141" w:firstLine="709"/>
        <w:jc w:val="both"/>
      </w:pPr>
    </w:p>
    <w:p w14:paraId="5566D22C" w14:textId="77777777" w:rsidR="00B15E90" w:rsidRDefault="00B15E90" w:rsidP="005E334C">
      <w:pPr>
        <w:spacing w:line="276" w:lineRule="auto"/>
        <w:ind w:right="-141" w:firstLine="709"/>
        <w:jc w:val="both"/>
      </w:pPr>
      <w:r w:rsidRPr="00A24C6B">
        <w:t>[12] Ievērojot minēto, Senāts uzskata, ka pieteicējas pieteiktais prasījums par kaitējuma atlīdzinājumu var tikt skatīts kā prasījums par atlīdzinājumu īpašā upura dēļ, vērtējot pieteicējas prasījuma par kaitējuma atlīdzinājumu pamatotību atbilstoši iepriekš aprakstītajiem kritērijiem.</w:t>
      </w:r>
      <w:r>
        <w:t xml:space="preserve"> </w:t>
      </w:r>
    </w:p>
    <w:p w14:paraId="6499BFDE" w14:textId="77777777" w:rsidR="00B15E90" w:rsidRDefault="00B15E90" w:rsidP="005E334C">
      <w:pPr>
        <w:spacing w:line="276" w:lineRule="auto"/>
        <w:ind w:right="-141" w:firstLine="709"/>
        <w:jc w:val="both"/>
      </w:pPr>
    </w:p>
    <w:p w14:paraId="79629856" w14:textId="77777777" w:rsidR="00B15E90" w:rsidRDefault="00B15E90" w:rsidP="005E334C">
      <w:pPr>
        <w:spacing w:line="276" w:lineRule="auto"/>
        <w:ind w:right="-141" w:firstLine="709"/>
        <w:jc w:val="both"/>
        <w:rPr>
          <w:lang w:eastAsia="lv-LV"/>
        </w:rPr>
      </w:pPr>
      <w:r>
        <w:t>[13] Ņemot vērā minēto, Administratīvās rajona tiesas tiesneša lēmums ir atceļams un</w:t>
      </w:r>
      <w:r w:rsidRPr="00747477">
        <w:rPr>
          <w:lang w:eastAsia="lv-LV"/>
        </w:rPr>
        <w:t xml:space="preserve"> jautājums par </w:t>
      </w:r>
      <w:r>
        <w:rPr>
          <w:lang w:eastAsia="lv-LV"/>
        </w:rPr>
        <w:t xml:space="preserve">pieteikuma virzību </w:t>
      </w:r>
      <w:r w:rsidRPr="00747477">
        <w:rPr>
          <w:lang w:eastAsia="lv-LV"/>
        </w:rPr>
        <w:t>nododams jaunai izskatīšanai A</w:t>
      </w:r>
      <w:r>
        <w:rPr>
          <w:lang w:eastAsia="lv-LV"/>
        </w:rPr>
        <w:t>dministratīvajai rajona tiesai.</w:t>
      </w:r>
      <w:r>
        <w:t xml:space="preserve"> </w:t>
      </w:r>
    </w:p>
    <w:p w14:paraId="567B22A3" w14:textId="77777777" w:rsidR="00B15E90" w:rsidRDefault="00B15E90" w:rsidP="005E334C">
      <w:pPr>
        <w:spacing w:line="276" w:lineRule="auto"/>
        <w:jc w:val="both"/>
      </w:pPr>
    </w:p>
    <w:p w14:paraId="4CECA9BF" w14:textId="77777777" w:rsidR="00B15E90" w:rsidRPr="00960D9C" w:rsidRDefault="00B15E90" w:rsidP="005E334C">
      <w:pPr>
        <w:spacing w:line="276" w:lineRule="auto"/>
        <w:jc w:val="center"/>
        <w:rPr>
          <w:b/>
        </w:rPr>
      </w:pPr>
      <w:r w:rsidRPr="00960D9C">
        <w:rPr>
          <w:b/>
        </w:rPr>
        <w:t>Rezolutīvā daļa</w:t>
      </w:r>
    </w:p>
    <w:p w14:paraId="2E38D8C2" w14:textId="77777777" w:rsidR="00B15E90" w:rsidRPr="00960D9C" w:rsidRDefault="00B15E90" w:rsidP="005E334C">
      <w:pPr>
        <w:spacing w:line="276" w:lineRule="auto"/>
        <w:jc w:val="center"/>
        <w:rPr>
          <w:b/>
        </w:rPr>
      </w:pPr>
    </w:p>
    <w:p w14:paraId="55E0522F" w14:textId="77777777" w:rsidR="00B15E90" w:rsidRPr="002F0099" w:rsidRDefault="00B15E90" w:rsidP="005E334C">
      <w:pPr>
        <w:spacing w:line="276" w:lineRule="auto"/>
        <w:ind w:firstLine="720"/>
        <w:jc w:val="both"/>
      </w:pPr>
      <w:r w:rsidRPr="002F0099">
        <w:t>Pamatojoties uz Administratīvā procesa likuma 129.</w:t>
      </w:r>
      <w:r w:rsidRPr="002F0099">
        <w:rPr>
          <w:vertAlign w:val="superscript"/>
        </w:rPr>
        <w:t>1</w:t>
      </w:r>
      <w:r w:rsidRPr="002F0099">
        <w:t>panta pirmās daļas 1.punktu, 323.panta pirmās daļas 2.punktu un 324.panta pirmo daļu, Senāts</w:t>
      </w:r>
    </w:p>
    <w:p w14:paraId="19BDA866" w14:textId="77777777" w:rsidR="00B15E90" w:rsidRPr="002F0099" w:rsidRDefault="00B15E90" w:rsidP="005E334C">
      <w:pPr>
        <w:spacing w:line="276" w:lineRule="auto"/>
        <w:jc w:val="both"/>
      </w:pPr>
    </w:p>
    <w:p w14:paraId="1BF203EF" w14:textId="77777777" w:rsidR="00B15E90" w:rsidRPr="002F0099" w:rsidRDefault="00B15E90" w:rsidP="005E334C">
      <w:pPr>
        <w:spacing w:line="276" w:lineRule="auto"/>
        <w:jc w:val="center"/>
        <w:rPr>
          <w:b/>
        </w:rPr>
      </w:pPr>
      <w:r w:rsidRPr="002F0099">
        <w:rPr>
          <w:b/>
        </w:rPr>
        <w:t>nolēma</w:t>
      </w:r>
    </w:p>
    <w:p w14:paraId="2E8DA81D" w14:textId="77777777" w:rsidR="00B15E90" w:rsidRPr="002F0099" w:rsidRDefault="00B15E90" w:rsidP="005E334C">
      <w:pPr>
        <w:spacing w:line="276" w:lineRule="auto"/>
        <w:jc w:val="both"/>
        <w:rPr>
          <w:b/>
        </w:rPr>
      </w:pPr>
    </w:p>
    <w:p w14:paraId="0B773489" w14:textId="77777777" w:rsidR="00B15E90" w:rsidRPr="00083267" w:rsidRDefault="00B15E90" w:rsidP="005E334C">
      <w:pPr>
        <w:spacing w:line="276" w:lineRule="auto"/>
        <w:ind w:firstLine="720"/>
        <w:jc w:val="both"/>
      </w:pPr>
      <w:r w:rsidRPr="00083267">
        <w:t>atcelt Administratīvās rajona tiesas tiesneša 2025.gada 15.maija lēmumu un nodot jautājumu par pieteikuma virzību jaunai izskatīšanai Administratīvajā rajona tiesā;</w:t>
      </w:r>
    </w:p>
    <w:p w14:paraId="772710A2" w14:textId="77777777" w:rsidR="00B15E90" w:rsidRPr="00083267" w:rsidRDefault="00B15E90" w:rsidP="005E334C">
      <w:pPr>
        <w:spacing w:line="276" w:lineRule="auto"/>
        <w:ind w:firstLine="720"/>
        <w:jc w:val="both"/>
      </w:pPr>
      <w:r w:rsidRPr="00083267">
        <w:t xml:space="preserve">atmaksāt ZAB „REIHMANIS &amp; PARTNERI” PS </w:t>
      </w:r>
      <w:r>
        <w:t>par SIA „</w:t>
      </w:r>
      <w:r w:rsidRPr="00A162D9">
        <w:t xml:space="preserve">R.E.D. Namu serviss” </w:t>
      </w:r>
      <w:r>
        <w:t xml:space="preserve">blakus sūdzību samaksāto </w:t>
      </w:r>
      <w:r w:rsidRPr="00083267">
        <w:t xml:space="preserve">drošības naudu 15 </w:t>
      </w:r>
      <w:r w:rsidRPr="00083267">
        <w:rPr>
          <w:i/>
        </w:rPr>
        <w:t>euro</w:t>
      </w:r>
      <w:r w:rsidRPr="00083267">
        <w:t>.</w:t>
      </w:r>
    </w:p>
    <w:p w14:paraId="30B5FEC7" w14:textId="77777777" w:rsidR="00B15E90" w:rsidRPr="00083267" w:rsidRDefault="00B15E90" w:rsidP="005E334C">
      <w:pPr>
        <w:spacing w:line="276" w:lineRule="auto"/>
        <w:ind w:firstLine="720"/>
        <w:jc w:val="both"/>
      </w:pPr>
    </w:p>
    <w:p w14:paraId="6C28D829" w14:textId="65A3FF68" w:rsidR="00B15E90" w:rsidRPr="005E334C" w:rsidRDefault="00B15E90" w:rsidP="005E334C">
      <w:pPr>
        <w:spacing w:line="276" w:lineRule="auto"/>
        <w:ind w:firstLine="720"/>
        <w:jc w:val="both"/>
      </w:pPr>
      <w:r w:rsidRPr="00083267">
        <w:t>Lēmums nav pārsūdzams.</w:t>
      </w:r>
    </w:p>
    <w:sectPr w:rsidR="00B15E90" w:rsidRPr="005E334C" w:rsidSect="006B0482">
      <w:footerReference w:type="default" r:id="rId19"/>
      <w:pgSz w:w="11906" w:h="16838" w:code="9"/>
      <w:pgMar w:top="1134" w:right="1701" w:bottom="28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F08E6" w14:textId="77777777" w:rsidR="006C7B99" w:rsidRDefault="006C7B99" w:rsidP="003047F5">
      <w:r>
        <w:separator/>
      </w:r>
    </w:p>
  </w:endnote>
  <w:endnote w:type="continuationSeparator" w:id="0">
    <w:p w14:paraId="40514E09" w14:textId="77777777" w:rsidR="006C7B99" w:rsidRDefault="006C7B99"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inion Pro">
    <w:altName w:val="Cambria"/>
    <w:charset w:val="00"/>
    <w:family w:val="roman"/>
    <w:pitch w:val="variable"/>
    <w:sig w:usb0="E00002AF" w:usb1="5000E07B"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720ED" w14:textId="26F62118" w:rsidR="00AF0E23" w:rsidRPr="00CE6981" w:rsidRDefault="00AF0E23" w:rsidP="00F43FAD">
    <w:pPr>
      <w:pStyle w:val="Footer"/>
      <w:tabs>
        <w:tab w:val="clear" w:pos="4153"/>
        <w:tab w:val="clear" w:pos="8306"/>
      </w:tabs>
      <w:jc w:val="center"/>
      <w:rPr>
        <w:sz w:val="20"/>
        <w:szCs w:val="20"/>
      </w:rPr>
    </w:pPr>
    <w:r w:rsidRPr="00CE6981">
      <w:rPr>
        <w:rStyle w:val="PageNumber"/>
        <w:sz w:val="20"/>
        <w:szCs w:val="20"/>
      </w:rPr>
      <w:fldChar w:fldCharType="begin"/>
    </w:r>
    <w:r w:rsidRPr="00CE6981">
      <w:rPr>
        <w:rStyle w:val="PageNumber"/>
        <w:sz w:val="20"/>
        <w:szCs w:val="20"/>
      </w:rPr>
      <w:instrText xml:space="preserve">PAGE  </w:instrText>
    </w:r>
    <w:r w:rsidRPr="00CE6981">
      <w:rPr>
        <w:rStyle w:val="PageNumber"/>
        <w:sz w:val="20"/>
        <w:szCs w:val="20"/>
      </w:rPr>
      <w:fldChar w:fldCharType="separate"/>
    </w:r>
    <w:r w:rsidR="00342F18">
      <w:rPr>
        <w:rStyle w:val="PageNumber"/>
        <w:noProof/>
        <w:sz w:val="20"/>
        <w:szCs w:val="20"/>
      </w:rPr>
      <w:t>6</w:t>
    </w:r>
    <w:r w:rsidRPr="00CE6981">
      <w:rPr>
        <w:rStyle w:val="PageNumber"/>
        <w:sz w:val="20"/>
        <w:szCs w:val="20"/>
      </w:rPr>
      <w:fldChar w:fldCharType="end"/>
    </w:r>
    <w:r w:rsidRPr="00CE6981">
      <w:rPr>
        <w:rStyle w:val="PageNumber"/>
        <w:sz w:val="20"/>
        <w:szCs w:val="20"/>
      </w:rPr>
      <w:t xml:space="preserve"> no </w:t>
    </w:r>
    <w:r w:rsidRPr="00CE6981">
      <w:rPr>
        <w:rStyle w:val="PageNumber"/>
        <w:noProof/>
        <w:sz w:val="20"/>
        <w:szCs w:val="20"/>
      </w:rPr>
      <w:fldChar w:fldCharType="begin"/>
    </w:r>
    <w:r w:rsidRPr="00CE6981">
      <w:rPr>
        <w:rStyle w:val="PageNumber"/>
        <w:noProof/>
        <w:sz w:val="20"/>
        <w:szCs w:val="20"/>
      </w:rPr>
      <w:instrText xml:space="preserve"> SECTIONPAGES   \* MERGEFORMAT </w:instrText>
    </w:r>
    <w:r w:rsidRPr="00CE6981">
      <w:rPr>
        <w:rStyle w:val="PageNumber"/>
        <w:noProof/>
        <w:sz w:val="20"/>
        <w:szCs w:val="20"/>
      </w:rPr>
      <w:fldChar w:fldCharType="separate"/>
    </w:r>
    <w:r w:rsidR="006C7B99">
      <w:rPr>
        <w:rStyle w:val="PageNumber"/>
        <w:noProof/>
        <w:sz w:val="20"/>
        <w:szCs w:val="20"/>
      </w:rPr>
      <w:t>1</w:t>
    </w:r>
    <w:r w:rsidRPr="00CE6981">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797F5" w14:textId="77777777" w:rsidR="006C7B99" w:rsidRDefault="006C7B99" w:rsidP="003047F5">
      <w:r>
        <w:separator/>
      </w:r>
    </w:p>
  </w:footnote>
  <w:footnote w:type="continuationSeparator" w:id="0">
    <w:p w14:paraId="449E612D" w14:textId="77777777" w:rsidR="006C7B99" w:rsidRDefault="006C7B99" w:rsidP="00304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E1B35"/>
    <w:multiLevelType w:val="hybridMultilevel"/>
    <w:tmpl w:val="D826B148"/>
    <w:lvl w:ilvl="0" w:tplc="CF7A0750">
      <w:start w:val="1"/>
      <w:numFmt w:val="decimal"/>
      <w:lvlText w:val="%1)"/>
      <w:lvlJc w:val="left"/>
      <w:pPr>
        <w:tabs>
          <w:tab w:val="num" w:pos="1440"/>
        </w:tabs>
        <w:ind w:left="1440" w:hanging="900"/>
      </w:pPr>
    </w:lvl>
    <w:lvl w:ilvl="1" w:tplc="04260019">
      <w:start w:val="1"/>
      <w:numFmt w:val="lowerLetter"/>
      <w:lvlText w:val="%2."/>
      <w:lvlJc w:val="left"/>
      <w:pPr>
        <w:tabs>
          <w:tab w:val="num" w:pos="1620"/>
        </w:tabs>
        <w:ind w:left="1620" w:hanging="360"/>
      </w:pPr>
    </w:lvl>
    <w:lvl w:ilvl="2" w:tplc="0426001B">
      <w:start w:val="1"/>
      <w:numFmt w:val="lowerRoman"/>
      <w:lvlText w:val="%3."/>
      <w:lvlJc w:val="right"/>
      <w:pPr>
        <w:tabs>
          <w:tab w:val="num" w:pos="2340"/>
        </w:tabs>
        <w:ind w:left="2340" w:hanging="180"/>
      </w:pPr>
    </w:lvl>
    <w:lvl w:ilvl="3" w:tplc="0426000F">
      <w:start w:val="1"/>
      <w:numFmt w:val="decimal"/>
      <w:lvlText w:val="%4."/>
      <w:lvlJc w:val="left"/>
      <w:pPr>
        <w:tabs>
          <w:tab w:val="num" w:pos="3060"/>
        </w:tabs>
        <w:ind w:left="3060" w:hanging="360"/>
      </w:pPr>
    </w:lvl>
    <w:lvl w:ilvl="4" w:tplc="04260019">
      <w:start w:val="1"/>
      <w:numFmt w:val="lowerLetter"/>
      <w:lvlText w:val="%5."/>
      <w:lvlJc w:val="left"/>
      <w:pPr>
        <w:tabs>
          <w:tab w:val="num" w:pos="3780"/>
        </w:tabs>
        <w:ind w:left="3780" w:hanging="360"/>
      </w:pPr>
    </w:lvl>
    <w:lvl w:ilvl="5" w:tplc="0426001B">
      <w:start w:val="1"/>
      <w:numFmt w:val="lowerRoman"/>
      <w:lvlText w:val="%6."/>
      <w:lvlJc w:val="right"/>
      <w:pPr>
        <w:tabs>
          <w:tab w:val="num" w:pos="4500"/>
        </w:tabs>
        <w:ind w:left="4500" w:hanging="180"/>
      </w:pPr>
    </w:lvl>
    <w:lvl w:ilvl="6" w:tplc="0426000F">
      <w:start w:val="1"/>
      <w:numFmt w:val="decimal"/>
      <w:lvlText w:val="%7."/>
      <w:lvlJc w:val="left"/>
      <w:pPr>
        <w:tabs>
          <w:tab w:val="num" w:pos="5220"/>
        </w:tabs>
        <w:ind w:left="5220" w:hanging="360"/>
      </w:pPr>
    </w:lvl>
    <w:lvl w:ilvl="7" w:tplc="04260019">
      <w:start w:val="1"/>
      <w:numFmt w:val="lowerLetter"/>
      <w:lvlText w:val="%8."/>
      <w:lvlJc w:val="left"/>
      <w:pPr>
        <w:tabs>
          <w:tab w:val="num" w:pos="5940"/>
        </w:tabs>
        <w:ind w:left="5940" w:hanging="360"/>
      </w:pPr>
    </w:lvl>
    <w:lvl w:ilvl="8" w:tplc="0426001B">
      <w:start w:val="1"/>
      <w:numFmt w:val="lowerRoman"/>
      <w:lvlText w:val="%9."/>
      <w:lvlJc w:val="right"/>
      <w:pPr>
        <w:tabs>
          <w:tab w:val="num" w:pos="6660"/>
        </w:tabs>
        <w:ind w:left="6660" w:hanging="180"/>
      </w:pPr>
    </w:lvl>
  </w:abstractNum>
  <w:abstractNum w:abstractNumId="1" w15:restartNumberingAfterBreak="0">
    <w:nsid w:val="3DDC5FF2"/>
    <w:multiLevelType w:val="hybridMultilevel"/>
    <w:tmpl w:val="6A606A08"/>
    <w:lvl w:ilvl="0" w:tplc="4F6E9C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703F0374"/>
    <w:multiLevelType w:val="hybridMultilevel"/>
    <w:tmpl w:val="611AC1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346706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5285495">
    <w:abstractNumId w:val="2"/>
  </w:num>
  <w:num w:numId="3" w16cid:durableId="9263056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812"/>
    <w:rsid w:val="000009E0"/>
    <w:rsid w:val="00001240"/>
    <w:rsid w:val="0000132E"/>
    <w:rsid w:val="00001A44"/>
    <w:rsid w:val="0000348B"/>
    <w:rsid w:val="00004030"/>
    <w:rsid w:val="00006618"/>
    <w:rsid w:val="00010B16"/>
    <w:rsid w:val="00011251"/>
    <w:rsid w:val="00011462"/>
    <w:rsid w:val="0001260B"/>
    <w:rsid w:val="000137A9"/>
    <w:rsid w:val="00013F00"/>
    <w:rsid w:val="000150CE"/>
    <w:rsid w:val="00015419"/>
    <w:rsid w:val="00015778"/>
    <w:rsid w:val="000160F0"/>
    <w:rsid w:val="00016EFD"/>
    <w:rsid w:val="00016F99"/>
    <w:rsid w:val="00020A82"/>
    <w:rsid w:val="000224ED"/>
    <w:rsid w:val="00022CB9"/>
    <w:rsid w:val="000234C9"/>
    <w:rsid w:val="00025DB2"/>
    <w:rsid w:val="00030725"/>
    <w:rsid w:val="000307FF"/>
    <w:rsid w:val="0003118A"/>
    <w:rsid w:val="00031F24"/>
    <w:rsid w:val="000336F7"/>
    <w:rsid w:val="0003496A"/>
    <w:rsid w:val="00035109"/>
    <w:rsid w:val="000351B2"/>
    <w:rsid w:val="00035E08"/>
    <w:rsid w:val="00036EEA"/>
    <w:rsid w:val="0004021C"/>
    <w:rsid w:val="00041956"/>
    <w:rsid w:val="00044059"/>
    <w:rsid w:val="0004531A"/>
    <w:rsid w:val="00046273"/>
    <w:rsid w:val="00046A6E"/>
    <w:rsid w:val="00046D02"/>
    <w:rsid w:val="00047A74"/>
    <w:rsid w:val="00050122"/>
    <w:rsid w:val="0005152D"/>
    <w:rsid w:val="00053C7A"/>
    <w:rsid w:val="000560C0"/>
    <w:rsid w:val="00056524"/>
    <w:rsid w:val="00056D00"/>
    <w:rsid w:val="00060321"/>
    <w:rsid w:val="00060A35"/>
    <w:rsid w:val="0006185C"/>
    <w:rsid w:val="00062C77"/>
    <w:rsid w:val="00065A82"/>
    <w:rsid w:val="00065C9D"/>
    <w:rsid w:val="000671B2"/>
    <w:rsid w:val="00070BD9"/>
    <w:rsid w:val="00071AF6"/>
    <w:rsid w:val="00071E79"/>
    <w:rsid w:val="00071EB3"/>
    <w:rsid w:val="00072485"/>
    <w:rsid w:val="00072B21"/>
    <w:rsid w:val="00074A17"/>
    <w:rsid w:val="0007639B"/>
    <w:rsid w:val="000769CD"/>
    <w:rsid w:val="000776F5"/>
    <w:rsid w:val="00077AF9"/>
    <w:rsid w:val="00077DC8"/>
    <w:rsid w:val="00080712"/>
    <w:rsid w:val="00081EDA"/>
    <w:rsid w:val="000823F2"/>
    <w:rsid w:val="00082519"/>
    <w:rsid w:val="00083225"/>
    <w:rsid w:val="00083267"/>
    <w:rsid w:val="0008406D"/>
    <w:rsid w:val="000846A5"/>
    <w:rsid w:val="000851CB"/>
    <w:rsid w:val="00091FA6"/>
    <w:rsid w:val="000928F1"/>
    <w:rsid w:val="00092D9C"/>
    <w:rsid w:val="000930D9"/>
    <w:rsid w:val="000963A9"/>
    <w:rsid w:val="00097080"/>
    <w:rsid w:val="000A0B6B"/>
    <w:rsid w:val="000A0F42"/>
    <w:rsid w:val="000A20EE"/>
    <w:rsid w:val="000A22DC"/>
    <w:rsid w:val="000A33A2"/>
    <w:rsid w:val="000A687F"/>
    <w:rsid w:val="000A76B2"/>
    <w:rsid w:val="000A7B66"/>
    <w:rsid w:val="000A7E65"/>
    <w:rsid w:val="000B0A3A"/>
    <w:rsid w:val="000B0DE6"/>
    <w:rsid w:val="000B23A7"/>
    <w:rsid w:val="000B3941"/>
    <w:rsid w:val="000B494A"/>
    <w:rsid w:val="000B5FD5"/>
    <w:rsid w:val="000C084D"/>
    <w:rsid w:val="000C08BC"/>
    <w:rsid w:val="000C09AB"/>
    <w:rsid w:val="000C3971"/>
    <w:rsid w:val="000C3ABF"/>
    <w:rsid w:val="000C4668"/>
    <w:rsid w:val="000C68D1"/>
    <w:rsid w:val="000D0865"/>
    <w:rsid w:val="000D1BE6"/>
    <w:rsid w:val="000D26FC"/>
    <w:rsid w:val="000D3655"/>
    <w:rsid w:val="000D4DB5"/>
    <w:rsid w:val="000D50BC"/>
    <w:rsid w:val="000D7C15"/>
    <w:rsid w:val="000E0165"/>
    <w:rsid w:val="000E0244"/>
    <w:rsid w:val="000E0512"/>
    <w:rsid w:val="000E27A0"/>
    <w:rsid w:val="000E44DC"/>
    <w:rsid w:val="000E4988"/>
    <w:rsid w:val="000E58FC"/>
    <w:rsid w:val="000E5B1B"/>
    <w:rsid w:val="000E6B83"/>
    <w:rsid w:val="000E6D4B"/>
    <w:rsid w:val="000E763B"/>
    <w:rsid w:val="000E7EDF"/>
    <w:rsid w:val="000F0F36"/>
    <w:rsid w:val="000F103A"/>
    <w:rsid w:val="000F2146"/>
    <w:rsid w:val="000F2783"/>
    <w:rsid w:val="000F56CF"/>
    <w:rsid w:val="000F6749"/>
    <w:rsid w:val="00102F88"/>
    <w:rsid w:val="001108D8"/>
    <w:rsid w:val="00110BD2"/>
    <w:rsid w:val="0011105E"/>
    <w:rsid w:val="00111CE9"/>
    <w:rsid w:val="001139AF"/>
    <w:rsid w:val="00113FBB"/>
    <w:rsid w:val="001148BC"/>
    <w:rsid w:val="00115A00"/>
    <w:rsid w:val="00115E57"/>
    <w:rsid w:val="00116195"/>
    <w:rsid w:val="001163FF"/>
    <w:rsid w:val="00125DD2"/>
    <w:rsid w:val="00125EF8"/>
    <w:rsid w:val="00126BEE"/>
    <w:rsid w:val="0012734C"/>
    <w:rsid w:val="00127936"/>
    <w:rsid w:val="00130819"/>
    <w:rsid w:val="00130A29"/>
    <w:rsid w:val="00132B11"/>
    <w:rsid w:val="001330C0"/>
    <w:rsid w:val="001338DC"/>
    <w:rsid w:val="00133FCD"/>
    <w:rsid w:val="00134034"/>
    <w:rsid w:val="00140B20"/>
    <w:rsid w:val="00141A24"/>
    <w:rsid w:val="00141BFF"/>
    <w:rsid w:val="00150DA3"/>
    <w:rsid w:val="0015102E"/>
    <w:rsid w:val="0015140B"/>
    <w:rsid w:val="0015160D"/>
    <w:rsid w:val="001522DF"/>
    <w:rsid w:val="001529E2"/>
    <w:rsid w:val="00152BE7"/>
    <w:rsid w:val="00153923"/>
    <w:rsid w:val="001542DE"/>
    <w:rsid w:val="00154748"/>
    <w:rsid w:val="0015480A"/>
    <w:rsid w:val="00155969"/>
    <w:rsid w:val="00156736"/>
    <w:rsid w:val="00157C19"/>
    <w:rsid w:val="00157C57"/>
    <w:rsid w:val="00160948"/>
    <w:rsid w:val="00160BE3"/>
    <w:rsid w:val="0016132C"/>
    <w:rsid w:val="001646E9"/>
    <w:rsid w:val="00165801"/>
    <w:rsid w:val="00165EE2"/>
    <w:rsid w:val="00165FCC"/>
    <w:rsid w:val="001673E6"/>
    <w:rsid w:val="00170B47"/>
    <w:rsid w:val="00173F11"/>
    <w:rsid w:val="001745E4"/>
    <w:rsid w:val="00175211"/>
    <w:rsid w:val="001772F3"/>
    <w:rsid w:val="00177832"/>
    <w:rsid w:val="00177B56"/>
    <w:rsid w:val="00180367"/>
    <w:rsid w:val="00181387"/>
    <w:rsid w:val="00181851"/>
    <w:rsid w:val="001818B9"/>
    <w:rsid w:val="00183310"/>
    <w:rsid w:val="00184C4B"/>
    <w:rsid w:val="001855F2"/>
    <w:rsid w:val="001869AD"/>
    <w:rsid w:val="00186D11"/>
    <w:rsid w:val="00187B59"/>
    <w:rsid w:val="001908DD"/>
    <w:rsid w:val="00190C50"/>
    <w:rsid w:val="0019238A"/>
    <w:rsid w:val="00192B18"/>
    <w:rsid w:val="001932A4"/>
    <w:rsid w:val="00195845"/>
    <w:rsid w:val="001966D3"/>
    <w:rsid w:val="001967FC"/>
    <w:rsid w:val="001A0495"/>
    <w:rsid w:val="001A26AA"/>
    <w:rsid w:val="001A2A87"/>
    <w:rsid w:val="001A53F6"/>
    <w:rsid w:val="001A5DD0"/>
    <w:rsid w:val="001B047E"/>
    <w:rsid w:val="001B04AD"/>
    <w:rsid w:val="001B14A1"/>
    <w:rsid w:val="001B4435"/>
    <w:rsid w:val="001B492D"/>
    <w:rsid w:val="001B5709"/>
    <w:rsid w:val="001B6F57"/>
    <w:rsid w:val="001B7A32"/>
    <w:rsid w:val="001C0BA2"/>
    <w:rsid w:val="001C2B5F"/>
    <w:rsid w:val="001C3BD9"/>
    <w:rsid w:val="001C528A"/>
    <w:rsid w:val="001C6DE4"/>
    <w:rsid w:val="001D1729"/>
    <w:rsid w:val="001D1AA4"/>
    <w:rsid w:val="001D1BE7"/>
    <w:rsid w:val="001D23E8"/>
    <w:rsid w:val="001D29E6"/>
    <w:rsid w:val="001D668B"/>
    <w:rsid w:val="001E0624"/>
    <w:rsid w:val="001E1282"/>
    <w:rsid w:val="001E14BF"/>
    <w:rsid w:val="001E3A09"/>
    <w:rsid w:val="001E4046"/>
    <w:rsid w:val="001E467C"/>
    <w:rsid w:val="001E5B1E"/>
    <w:rsid w:val="001E73C7"/>
    <w:rsid w:val="001F0861"/>
    <w:rsid w:val="001F1374"/>
    <w:rsid w:val="001F2C9D"/>
    <w:rsid w:val="001F3948"/>
    <w:rsid w:val="001F3CB9"/>
    <w:rsid w:val="001F40A0"/>
    <w:rsid w:val="001F4742"/>
    <w:rsid w:val="001F7B57"/>
    <w:rsid w:val="002012D7"/>
    <w:rsid w:val="0020155E"/>
    <w:rsid w:val="00201AB5"/>
    <w:rsid w:val="00201E7B"/>
    <w:rsid w:val="00202652"/>
    <w:rsid w:val="00202EC9"/>
    <w:rsid w:val="00204C3B"/>
    <w:rsid w:val="002053C9"/>
    <w:rsid w:val="00206F18"/>
    <w:rsid w:val="0020738C"/>
    <w:rsid w:val="002154AA"/>
    <w:rsid w:val="00216643"/>
    <w:rsid w:val="00216940"/>
    <w:rsid w:val="00217994"/>
    <w:rsid w:val="00220AB3"/>
    <w:rsid w:val="002221DD"/>
    <w:rsid w:val="00225380"/>
    <w:rsid w:val="0022545E"/>
    <w:rsid w:val="00227C9D"/>
    <w:rsid w:val="00230389"/>
    <w:rsid w:val="00230591"/>
    <w:rsid w:val="0023075E"/>
    <w:rsid w:val="002309A7"/>
    <w:rsid w:val="00231DB0"/>
    <w:rsid w:val="00233E3A"/>
    <w:rsid w:val="00236EB0"/>
    <w:rsid w:val="00237F92"/>
    <w:rsid w:val="00240011"/>
    <w:rsid w:val="002424E7"/>
    <w:rsid w:val="002429BA"/>
    <w:rsid w:val="00242B75"/>
    <w:rsid w:val="0024302D"/>
    <w:rsid w:val="00244452"/>
    <w:rsid w:val="00244D26"/>
    <w:rsid w:val="002454D6"/>
    <w:rsid w:val="002458A1"/>
    <w:rsid w:val="0024610D"/>
    <w:rsid w:val="00247045"/>
    <w:rsid w:val="00247BA2"/>
    <w:rsid w:val="002503C6"/>
    <w:rsid w:val="0025088D"/>
    <w:rsid w:val="00251D13"/>
    <w:rsid w:val="0025489F"/>
    <w:rsid w:val="002549CF"/>
    <w:rsid w:val="00254E18"/>
    <w:rsid w:val="00255186"/>
    <w:rsid w:val="00255B8F"/>
    <w:rsid w:val="00255BB9"/>
    <w:rsid w:val="0025631E"/>
    <w:rsid w:val="00256532"/>
    <w:rsid w:val="00256D56"/>
    <w:rsid w:val="00257E33"/>
    <w:rsid w:val="002617AE"/>
    <w:rsid w:val="00262ABE"/>
    <w:rsid w:val="002630B6"/>
    <w:rsid w:val="002633DD"/>
    <w:rsid w:val="00263682"/>
    <w:rsid w:val="00263B2C"/>
    <w:rsid w:val="002655D8"/>
    <w:rsid w:val="00267440"/>
    <w:rsid w:val="00267604"/>
    <w:rsid w:val="00270129"/>
    <w:rsid w:val="00270651"/>
    <w:rsid w:val="00271532"/>
    <w:rsid w:val="00271659"/>
    <w:rsid w:val="00271F5D"/>
    <w:rsid w:val="00272DAC"/>
    <w:rsid w:val="00272DED"/>
    <w:rsid w:val="0027469B"/>
    <w:rsid w:val="0027497D"/>
    <w:rsid w:val="0027571D"/>
    <w:rsid w:val="00277168"/>
    <w:rsid w:val="00277D3C"/>
    <w:rsid w:val="00277D9E"/>
    <w:rsid w:val="00277FEF"/>
    <w:rsid w:val="0028120C"/>
    <w:rsid w:val="00281D21"/>
    <w:rsid w:val="002850A3"/>
    <w:rsid w:val="00285206"/>
    <w:rsid w:val="00286C66"/>
    <w:rsid w:val="0028741F"/>
    <w:rsid w:val="00290418"/>
    <w:rsid w:val="00290631"/>
    <w:rsid w:val="00291E8D"/>
    <w:rsid w:val="002923DD"/>
    <w:rsid w:val="00293462"/>
    <w:rsid w:val="00294A2A"/>
    <w:rsid w:val="002977E6"/>
    <w:rsid w:val="00297E33"/>
    <w:rsid w:val="002A09A1"/>
    <w:rsid w:val="002A0C94"/>
    <w:rsid w:val="002A0CD0"/>
    <w:rsid w:val="002A38C4"/>
    <w:rsid w:val="002A3F61"/>
    <w:rsid w:val="002A6637"/>
    <w:rsid w:val="002A67F3"/>
    <w:rsid w:val="002A6A80"/>
    <w:rsid w:val="002B0718"/>
    <w:rsid w:val="002B09A0"/>
    <w:rsid w:val="002B1F0C"/>
    <w:rsid w:val="002B2875"/>
    <w:rsid w:val="002B2D30"/>
    <w:rsid w:val="002B3857"/>
    <w:rsid w:val="002B3950"/>
    <w:rsid w:val="002B5CCD"/>
    <w:rsid w:val="002B71B2"/>
    <w:rsid w:val="002B72CF"/>
    <w:rsid w:val="002C0443"/>
    <w:rsid w:val="002C1234"/>
    <w:rsid w:val="002C1454"/>
    <w:rsid w:val="002C1E8A"/>
    <w:rsid w:val="002C36E6"/>
    <w:rsid w:val="002C4706"/>
    <w:rsid w:val="002C4D61"/>
    <w:rsid w:val="002C4E9D"/>
    <w:rsid w:val="002C56A2"/>
    <w:rsid w:val="002C63FB"/>
    <w:rsid w:val="002C694C"/>
    <w:rsid w:val="002C73BF"/>
    <w:rsid w:val="002C766F"/>
    <w:rsid w:val="002D05F5"/>
    <w:rsid w:val="002D0BF8"/>
    <w:rsid w:val="002D11FB"/>
    <w:rsid w:val="002D1466"/>
    <w:rsid w:val="002D1ABF"/>
    <w:rsid w:val="002D1AE8"/>
    <w:rsid w:val="002D4E65"/>
    <w:rsid w:val="002D56BD"/>
    <w:rsid w:val="002D5C7A"/>
    <w:rsid w:val="002D6890"/>
    <w:rsid w:val="002E05A3"/>
    <w:rsid w:val="002E089E"/>
    <w:rsid w:val="002E0E0A"/>
    <w:rsid w:val="002E18B7"/>
    <w:rsid w:val="002E305D"/>
    <w:rsid w:val="002E320D"/>
    <w:rsid w:val="002E322D"/>
    <w:rsid w:val="002E328C"/>
    <w:rsid w:val="002E3375"/>
    <w:rsid w:val="002E3ADB"/>
    <w:rsid w:val="002E3F25"/>
    <w:rsid w:val="002E5595"/>
    <w:rsid w:val="002E65F7"/>
    <w:rsid w:val="002E7C6E"/>
    <w:rsid w:val="002F0099"/>
    <w:rsid w:val="002F11D6"/>
    <w:rsid w:val="002F17FA"/>
    <w:rsid w:val="002F1CA7"/>
    <w:rsid w:val="002F3552"/>
    <w:rsid w:val="002F3AAB"/>
    <w:rsid w:val="002F4279"/>
    <w:rsid w:val="002F50F5"/>
    <w:rsid w:val="002F5BF2"/>
    <w:rsid w:val="0030041E"/>
    <w:rsid w:val="00301A51"/>
    <w:rsid w:val="003047F5"/>
    <w:rsid w:val="00305139"/>
    <w:rsid w:val="00306D34"/>
    <w:rsid w:val="00310457"/>
    <w:rsid w:val="00310B8E"/>
    <w:rsid w:val="003110A8"/>
    <w:rsid w:val="00311E78"/>
    <w:rsid w:val="00311E7D"/>
    <w:rsid w:val="0031278B"/>
    <w:rsid w:val="003135C6"/>
    <w:rsid w:val="00313E52"/>
    <w:rsid w:val="00315B98"/>
    <w:rsid w:val="00315DA2"/>
    <w:rsid w:val="00316427"/>
    <w:rsid w:val="00316868"/>
    <w:rsid w:val="00316E38"/>
    <w:rsid w:val="00317324"/>
    <w:rsid w:val="003203B5"/>
    <w:rsid w:val="003203F9"/>
    <w:rsid w:val="00320652"/>
    <w:rsid w:val="00320A24"/>
    <w:rsid w:val="00320F42"/>
    <w:rsid w:val="003217EB"/>
    <w:rsid w:val="00321CB3"/>
    <w:rsid w:val="00322A35"/>
    <w:rsid w:val="00323810"/>
    <w:rsid w:val="00324F89"/>
    <w:rsid w:val="00325675"/>
    <w:rsid w:val="00326124"/>
    <w:rsid w:val="003300A2"/>
    <w:rsid w:val="00331E9E"/>
    <w:rsid w:val="00332160"/>
    <w:rsid w:val="00332F93"/>
    <w:rsid w:val="00333FB2"/>
    <w:rsid w:val="0033550D"/>
    <w:rsid w:val="00336982"/>
    <w:rsid w:val="00336E9C"/>
    <w:rsid w:val="00340335"/>
    <w:rsid w:val="00340383"/>
    <w:rsid w:val="00340E0C"/>
    <w:rsid w:val="00341319"/>
    <w:rsid w:val="00341DDC"/>
    <w:rsid w:val="00342F18"/>
    <w:rsid w:val="003454D5"/>
    <w:rsid w:val="00345C66"/>
    <w:rsid w:val="00345DCE"/>
    <w:rsid w:val="003515DE"/>
    <w:rsid w:val="003515E6"/>
    <w:rsid w:val="0035346E"/>
    <w:rsid w:val="003539CC"/>
    <w:rsid w:val="00353BAF"/>
    <w:rsid w:val="00354AEA"/>
    <w:rsid w:val="00355096"/>
    <w:rsid w:val="00355D7E"/>
    <w:rsid w:val="00356B09"/>
    <w:rsid w:val="00357A58"/>
    <w:rsid w:val="0036007D"/>
    <w:rsid w:val="0036040B"/>
    <w:rsid w:val="00360784"/>
    <w:rsid w:val="00361959"/>
    <w:rsid w:val="003631F3"/>
    <w:rsid w:val="0036348F"/>
    <w:rsid w:val="00364095"/>
    <w:rsid w:val="00366C91"/>
    <w:rsid w:val="00367884"/>
    <w:rsid w:val="0037255B"/>
    <w:rsid w:val="003725C8"/>
    <w:rsid w:val="00375B40"/>
    <w:rsid w:val="00380FF9"/>
    <w:rsid w:val="00380FFE"/>
    <w:rsid w:val="00381DF6"/>
    <w:rsid w:val="003829C0"/>
    <w:rsid w:val="003845A8"/>
    <w:rsid w:val="00384722"/>
    <w:rsid w:val="003852EA"/>
    <w:rsid w:val="0038595A"/>
    <w:rsid w:val="0038624B"/>
    <w:rsid w:val="003867BD"/>
    <w:rsid w:val="00386A81"/>
    <w:rsid w:val="00387F0E"/>
    <w:rsid w:val="00387F23"/>
    <w:rsid w:val="00390806"/>
    <w:rsid w:val="00391471"/>
    <w:rsid w:val="00392529"/>
    <w:rsid w:val="00392A77"/>
    <w:rsid w:val="00393674"/>
    <w:rsid w:val="003936E1"/>
    <w:rsid w:val="00393D4A"/>
    <w:rsid w:val="003942CF"/>
    <w:rsid w:val="00397B3D"/>
    <w:rsid w:val="00397C7E"/>
    <w:rsid w:val="003A0062"/>
    <w:rsid w:val="003A17E4"/>
    <w:rsid w:val="003A1B02"/>
    <w:rsid w:val="003A2253"/>
    <w:rsid w:val="003A268C"/>
    <w:rsid w:val="003A2C4D"/>
    <w:rsid w:val="003A3F4A"/>
    <w:rsid w:val="003A4FC3"/>
    <w:rsid w:val="003A5E1E"/>
    <w:rsid w:val="003A6176"/>
    <w:rsid w:val="003A64E8"/>
    <w:rsid w:val="003A6954"/>
    <w:rsid w:val="003A6B2C"/>
    <w:rsid w:val="003B09F2"/>
    <w:rsid w:val="003B0B85"/>
    <w:rsid w:val="003B5271"/>
    <w:rsid w:val="003B578F"/>
    <w:rsid w:val="003B60F6"/>
    <w:rsid w:val="003B72D9"/>
    <w:rsid w:val="003B7A85"/>
    <w:rsid w:val="003C36E4"/>
    <w:rsid w:val="003C36FA"/>
    <w:rsid w:val="003C4941"/>
    <w:rsid w:val="003C4D9F"/>
    <w:rsid w:val="003C52FF"/>
    <w:rsid w:val="003C5334"/>
    <w:rsid w:val="003C5523"/>
    <w:rsid w:val="003C5603"/>
    <w:rsid w:val="003C60B2"/>
    <w:rsid w:val="003D120C"/>
    <w:rsid w:val="003D19A9"/>
    <w:rsid w:val="003D3F55"/>
    <w:rsid w:val="003D51E5"/>
    <w:rsid w:val="003D7057"/>
    <w:rsid w:val="003D7342"/>
    <w:rsid w:val="003E06D6"/>
    <w:rsid w:val="003E17A1"/>
    <w:rsid w:val="003E199C"/>
    <w:rsid w:val="003E2301"/>
    <w:rsid w:val="003E6E9C"/>
    <w:rsid w:val="003E71E2"/>
    <w:rsid w:val="003E73F4"/>
    <w:rsid w:val="003E7795"/>
    <w:rsid w:val="003E7AC0"/>
    <w:rsid w:val="003F2390"/>
    <w:rsid w:val="003F2563"/>
    <w:rsid w:val="003F279F"/>
    <w:rsid w:val="003F3E77"/>
    <w:rsid w:val="003F43BB"/>
    <w:rsid w:val="003F4D8C"/>
    <w:rsid w:val="003F4E64"/>
    <w:rsid w:val="003F586B"/>
    <w:rsid w:val="003F7AD1"/>
    <w:rsid w:val="00400D65"/>
    <w:rsid w:val="0040257A"/>
    <w:rsid w:val="0040520F"/>
    <w:rsid w:val="004072BE"/>
    <w:rsid w:val="004126BC"/>
    <w:rsid w:val="0041290F"/>
    <w:rsid w:val="00413144"/>
    <w:rsid w:val="00413F1B"/>
    <w:rsid w:val="00414BCC"/>
    <w:rsid w:val="00415454"/>
    <w:rsid w:val="004158C1"/>
    <w:rsid w:val="00415AA0"/>
    <w:rsid w:val="00416150"/>
    <w:rsid w:val="004168B9"/>
    <w:rsid w:val="004200B5"/>
    <w:rsid w:val="004201C4"/>
    <w:rsid w:val="004228F6"/>
    <w:rsid w:val="00423FFF"/>
    <w:rsid w:val="004244FE"/>
    <w:rsid w:val="00424B0C"/>
    <w:rsid w:val="00424B84"/>
    <w:rsid w:val="00425422"/>
    <w:rsid w:val="00426182"/>
    <w:rsid w:val="0043028B"/>
    <w:rsid w:val="004302B3"/>
    <w:rsid w:val="0043182C"/>
    <w:rsid w:val="004319E3"/>
    <w:rsid w:val="00432DA6"/>
    <w:rsid w:val="00434FBF"/>
    <w:rsid w:val="004357D4"/>
    <w:rsid w:val="00435A51"/>
    <w:rsid w:val="00440585"/>
    <w:rsid w:val="00441A0C"/>
    <w:rsid w:val="0044262A"/>
    <w:rsid w:val="00442A71"/>
    <w:rsid w:val="00443903"/>
    <w:rsid w:val="00444463"/>
    <w:rsid w:val="0044616E"/>
    <w:rsid w:val="00446C77"/>
    <w:rsid w:val="00450256"/>
    <w:rsid w:val="00451C70"/>
    <w:rsid w:val="00451E9D"/>
    <w:rsid w:val="004521EB"/>
    <w:rsid w:val="00454BC0"/>
    <w:rsid w:val="00454DDD"/>
    <w:rsid w:val="00455699"/>
    <w:rsid w:val="00455F3A"/>
    <w:rsid w:val="00457064"/>
    <w:rsid w:val="00457DA4"/>
    <w:rsid w:val="00461235"/>
    <w:rsid w:val="004624D7"/>
    <w:rsid w:val="004629D0"/>
    <w:rsid w:val="004631A6"/>
    <w:rsid w:val="00467E29"/>
    <w:rsid w:val="00467E3C"/>
    <w:rsid w:val="004710B0"/>
    <w:rsid w:val="004720A9"/>
    <w:rsid w:val="00472AEA"/>
    <w:rsid w:val="004731B1"/>
    <w:rsid w:val="004735F4"/>
    <w:rsid w:val="004756FF"/>
    <w:rsid w:val="004809F6"/>
    <w:rsid w:val="004831B6"/>
    <w:rsid w:val="004841B4"/>
    <w:rsid w:val="00485207"/>
    <w:rsid w:val="004870A6"/>
    <w:rsid w:val="004904B4"/>
    <w:rsid w:val="00491C79"/>
    <w:rsid w:val="00491D3A"/>
    <w:rsid w:val="00491DEC"/>
    <w:rsid w:val="00492981"/>
    <w:rsid w:val="00492FE8"/>
    <w:rsid w:val="00493708"/>
    <w:rsid w:val="00493AE5"/>
    <w:rsid w:val="00493B51"/>
    <w:rsid w:val="004955FC"/>
    <w:rsid w:val="00495FCA"/>
    <w:rsid w:val="00497281"/>
    <w:rsid w:val="00497920"/>
    <w:rsid w:val="00497A05"/>
    <w:rsid w:val="00497AC3"/>
    <w:rsid w:val="004A17BC"/>
    <w:rsid w:val="004A3797"/>
    <w:rsid w:val="004A3B25"/>
    <w:rsid w:val="004A41FD"/>
    <w:rsid w:val="004A4903"/>
    <w:rsid w:val="004A7F1F"/>
    <w:rsid w:val="004B074D"/>
    <w:rsid w:val="004B108C"/>
    <w:rsid w:val="004B1814"/>
    <w:rsid w:val="004B182A"/>
    <w:rsid w:val="004B1F33"/>
    <w:rsid w:val="004B4B62"/>
    <w:rsid w:val="004B6467"/>
    <w:rsid w:val="004B6FB7"/>
    <w:rsid w:val="004C40D9"/>
    <w:rsid w:val="004C4F15"/>
    <w:rsid w:val="004C5B22"/>
    <w:rsid w:val="004C64F6"/>
    <w:rsid w:val="004C7B36"/>
    <w:rsid w:val="004C7FB6"/>
    <w:rsid w:val="004D1D41"/>
    <w:rsid w:val="004D2111"/>
    <w:rsid w:val="004D394E"/>
    <w:rsid w:val="004D3E21"/>
    <w:rsid w:val="004D5F11"/>
    <w:rsid w:val="004D6383"/>
    <w:rsid w:val="004D674D"/>
    <w:rsid w:val="004D77B8"/>
    <w:rsid w:val="004D79AA"/>
    <w:rsid w:val="004E0703"/>
    <w:rsid w:val="004E1D2D"/>
    <w:rsid w:val="004E1E83"/>
    <w:rsid w:val="004E2741"/>
    <w:rsid w:val="004E2A29"/>
    <w:rsid w:val="004E48A9"/>
    <w:rsid w:val="004E55D9"/>
    <w:rsid w:val="004E58D8"/>
    <w:rsid w:val="004E5BD2"/>
    <w:rsid w:val="004E61F3"/>
    <w:rsid w:val="004E721A"/>
    <w:rsid w:val="004E7D94"/>
    <w:rsid w:val="004F004D"/>
    <w:rsid w:val="004F12E6"/>
    <w:rsid w:val="004F22BE"/>
    <w:rsid w:val="004F3149"/>
    <w:rsid w:val="00500C72"/>
    <w:rsid w:val="005013F4"/>
    <w:rsid w:val="00501BB1"/>
    <w:rsid w:val="00502089"/>
    <w:rsid w:val="00505381"/>
    <w:rsid w:val="0050580C"/>
    <w:rsid w:val="00505E0A"/>
    <w:rsid w:val="005060C8"/>
    <w:rsid w:val="0050618E"/>
    <w:rsid w:val="005066BA"/>
    <w:rsid w:val="005112A3"/>
    <w:rsid w:val="005119FF"/>
    <w:rsid w:val="0051329A"/>
    <w:rsid w:val="005135CC"/>
    <w:rsid w:val="00514005"/>
    <w:rsid w:val="00514E22"/>
    <w:rsid w:val="00516F6B"/>
    <w:rsid w:val="00517258"/>
    <w:rsid w:val="00521A02"/>
    <w:rsid w:val="00521C49"/>
    <w:rsid w:val="0052427E"/>
    <w:rsid w:val="00530358"/>
    <w:rsid w:val="0053045D"/>
    <w:rsid w:val="0053295F"/>
    <w:rsid w:val="0053310E"/>
    <w:rsid w:val="00533E1B"/>
    <w:rsid w:val="00534121"/>
    <w:rsid w:val="005358B4"/>
    <w:rsid w:val="00535AF2"/>
    <w:rsid w:val="00535EBE"/>
    <w:rsid w:val="005364E1"/>
    <w:rsid w:val="00536AB9"/>
    <w:rsid w:val="005379FD"/>
    <w:rsid w:val="00537FDC"/>
    <w:rsid w:val="00543E36"/>
    <w:rsid w:val="00543E46"/>
    <w:rsid w:val="005446DC"/>
    <w:rsid w:val="00545D91"/>
    <w:rsid w:val="005466A1"/>
    <w:rsid w:val="0054686C"/>
    <w:rsid w:val="00550A73"/>
    <w:rsid w:val="00550C1A"/>
    <w:rsid w:val="00553542"/>
    <w:rsid w:val="00554408"/>
    <w:rsid w:val="005546F1"/>
    <w:rsid w:val="00557EF2"/>
    <w:rsid w:val="00560242"/>
    <w:rsid w:val="005614A8"/>
    <w:rsid w:val="00563DE6"/>
    <w:rsid w:val="00564EFD"/>
    <w:rsid w:val="00565395"/>
    <w:rsid w:val="00565E06"/>
    <w:rsid w:val="00565F63"/>
    <w:rsid w:val="00570397"/>
    <w:rsid w:val="00575094"/>
    <w:rsid w:val="00576328"/>
    <w:rsid w:val="005766F2"/>
    <w:rsid w:val="00577995"/>
    <w:rsid w:val="005826EA"/>
    <w:rsid w:val="00583A7A"/>
    <w:rsid w:val="005845D3"/>
    <w:rsid w:val="00584EB9"/>
    <w:rsid w:val="00586F88"/>
    <w:rsid w:val="0058704B"/>
    <w:rsid w:val="005904D2"/>
    <w:rsid w:val="00590AE2"/>
    <w:rsid w:val="0059109B"/>
    <w:rsid w:val="00591422"/>
    <w:rsid w:val="00593D0E"/>
    <w:rsid w:val="005942CC"/>
    <w:rsid w:val="00594758"/>
    <w:rsid w:val="005959BC"/>
    <w:rsid w:val="00596787"/>
    <w:rsid w:val="005968A4"/>
    <w:rsid w:val="0059700D"/>
    <w:rsid w:val="00597BC9"/>
    <w:rsid w:val="005A0908"/>
    <w:rsid w:val="005A0A1F"/>
    <w:rsid w:val="005A1ABB"/>
    <w:rsid w:val="005A3A1C"/>
    <w:rsid w:val="005A4E2A"/>
    <w:rsid w:val="005A52C0"/>
    <w:rsid w:val="005A7886"/>
    <w:rsid w:val="005B2136"/>
    <w:rsid w:val="005B27FB"/>
    <w:rsid w:val="005B2E88"/>
    <w:rsid w:val="005B3508"/>
    <w:rsid w:val="005B42DC"/>
    <w:rsid w:val="005C13E3"/>
    <w:rsid w:val="005C16C4"/>
    <w:rsid w:val="005C2E13"/>
    <w:rsid w:val="005C2F57"/>
    <w:rsid w:val="005C3068"/>
    <w:rsid w:val="005C37D5"/>
    <w:rsid w:val="005C3DC9"/>
    <w:rsid w:val="005C3FA6"/>
    <w:rsid w:val="005C4D26"/>
    <w:rsid w:val="005C5C0C"/>
    <w:rsid w:val="005C63C0"/>
    <w:rsid w:val="005C788F"/>
    <w:rsid w:val="005C7F67"/>
    <w:rsid w:val="005D0355"/>
    <w:rsid w:val="005D063E"/>
    <w:rsid w:val="005D0693"/>
    <w:rsid w:val="005D06DB"/>
    <w:rsid w:val="005D0AC7"/>
    <w:rsid w:val="005D26F8"/>
    <w:rsid w:val="005D352F"/>
    <w:rsid w:val="005D3C68"/>
    <w:rsid w:val="005D40D8"/>
    <w:rsid w:val="005D4294"/>
    <w:rsid w:val="005D438D"/>
    <w:rsid w:val="005D6699"/>
    <w:rsid w:val="005D6B49"/>
    <w:rsid w:val="005D7072"/>
    <w:rsid w:val="005E034D"/>
    <w:rsid w:val="005E334C"/>
    <w:rsid w:val="005E36F8"/>
    <w:rsid w:val="005E530F"/>
    <w:rsid w:val="005E55E8"/>
    <w:rsid w:val="005E5E12"/>
    <w:rsid w:val="005E72D0"/>
    <w:rsid w:val="005F1028"/>
    <w:rsid w:val="005F2409"/>
    <w:rsid w:val="005F2642"/>
    <w:rsid w:val="005F2C0F"/>
    <w:rsid w:val="005F396E"/>
    <w:rsid w:val="005F4857"/>
    <w:rsid w:val="005F5A33"/>
    <w:rsid w:val="005F72E9"/>
    <w:rsid w:val="00601C92"/>
    <w:rsid w:val="00601F18"/>
    <w:rsid w:val="006035AB"/>
    <w:rsid w:val="00603D44"/>
    <w:rsid w:val="00603E5E"/>
    <w:rsid w:val="00604B19"/>
    <w:rsid w:val="00605E46"/>
    <w:rsid w:val="00611E38"/>
    <w:rsid w:val="006129EE"/>
    <w:rsid w:val="00613625"/>
    <w:rsid w:val="006164C5"/>
    <w:rsid w:val="00617442"/>
    <w:rsid w:val="0061754F"/>
    <w:rsid w:val="00617DCC"/>
    <w:rsid w:val="00621141"/>
    <w:rsid w:val="006216BC"/>
    <w:rsid w:val="00622F25"/>
    <w:rsid w:val="006250D3"/>
    <w:rsid w:val="00625C69"/>
    <w:rsid w:val="00625DB5"/>
    <w:rsid w:val="006274CE"/>
    <w:rsid w:val="006311DC"/>
    <w:rsid w:val="00631235"/>
    <w:rsid w:val="00631BE3"/>
    <w:rsid w:val="00637EFE"/>
    <w:rsid w:val="00640D7E"/>
    <w:rsid w:val="00641252"/>
    <w:rsid w:val="006412C5"/>
    <w:rsid w:val="00641675"/>
    <w:rsid w:val="00641F29"/>
    <w:rsid w:val="0064395D"/>
    <w:rsid w:val="00645E68"/>
    <w:rsid w:val="006462D1"/>
    <w:rsid w:val="00650D4C"/>
    <w:rsid w:val="00651AE2"/>
    <w:rsid w:val="00651C7F"/>
    <w:rsid w:val="006538F5"/>
    <w:rsid w:val="00653B25"/>
    <w:rsid w:val="00653E8E"/>
    <w:rsid w:val="0065571E"/>
    <w:rsid w:val="00655B49"/>
    <w:rsid w:val="00655B70"/>
    <w:rsid w:val="0065691C"/>
    <w:rsid w:val="00660430"/>
    <w:rsid w:val="00661373"/>
    <w:rsid w:val="0066237C"/>
    <w:rsid w:val="00666244"/>
    <w:rsid w:val="00666C0D"/>
    <w:rsid w:val="00666CCE"/>
    <w:rsid w:val="006678E2"/>
    <w:rsid w:val="006679A6"/>
    <w:rsid w:val="00670AE6"/>
    <w:rsid w:val="00673D98"/>
    <w:rsid w:val="00674AC2"/>
    <w:rsid w:val="00674BC7"/>
    <w:rsid w:val="00674C0E"/>
    <w:rsid w:val="00674C52"/>
    <w:rsid w:val="0067678B"/>
    <w:rsid w:val="006800A0"/>
    <w:rsid w:val="00680483"/>
    <w:rsid w:val="0068074A"/>
    <w:rsid w:val="00681A06"/>
    <w:rsid w:val="006839F4"/>
    <w:rsid w:val="006857C9"/>
    <w:rsid w:val="00686E80"/>
    <w:rsid w:val="006876E2"/>
    <w:rsid w:val="0069029B"/>
    <w:rsid w:val="006906A8"/>
    <w:rsid w:val="0069267F"/>
    <w:rsid w:val="00692B53"/>
    <w:rsid w:val="00694834"/>
    <w:rsid w:val="00695697"/>
    <w:rsid w:val="00696286"/>
    <w:rsid w:val="00697A4D"/>
    <w:rsid w:val="006A043E"/>
    <w:rsid w:val="006A20F0"/>
    <w:rsid w:val="006A2DFF"/>
    <w:rsid w:val="006A3C53"/>
    <w:rsid w:val="006A3CF0"/>
    <w:rsid w:val="006A43A9"/>
    <w:rsid w:val="006A6AC5"/>
    <w:rsid w:val="006B0482"/>
    <w:rsid w:val="006B113C"/>
    <w:rsid w:val="006B25A0"/>
    <w:rsid w:val="006B29DA"/>
    <w:rsid w:val="006B3F8B"/>
    <w:rsid w:val="006B4385"/>
    <w:rsid w:val="006B501A"/>
    <w:rsid w:val="006B5756"/>
    <w:rsid w:val="006B665A"/>
    <w:rsid w:val="006B682B"/>
    <w:rsid w:val="006C0677"/>
    <w:rsid w:val="006C128D"/>
    <w:rsid w:val="006C2FEC"/>
    <w:rsid w:val="006C49BA"/>
    <w:rsid w:val="006C59AE"/>
    <w:rsid w:val="006C5FF6"/>
    <w:rsid w:val="006C6F0E"/>
    <w:rsid w:val="006C7252"/>
    <w:rsid w:val="006C7305"/>
    <w:rsid w:val="006C7B99"/>
    <w:rsid w:val="006D01DB"/>
    <w:rsid w:val="006D0486"/>
    <w:rsid w:val="006D3C46"/>
    <w:rsid w:val="006D3CA8"/>
    <w:rsid w:val="006D46AA"/>
    <w:rsid w:val="006D517A"/>
    <w:rsid w:val="006D63AE"/>
    <w:rsid w:val="006D6D9F"/>
    <w:rsid w:val="006D7ECD"/>
    <w:rsid w:val="006E03C2"/>
    <w:rsid w:val="006E34F9"/>
    <w:rsid w:val="006E47D5"/>
    <w:rsid w:val="006E541F"/>
    <w:rsid w:val="006E5945"/>
    <w:rsid w:val="006E609E"/>
    <w:rsid w:val="006E758A"/>
    <w:rsid w:val="006E7FA0"/>
    <w:rsid w:val="006F08AC"/>
    <w:rsid w:val="006F150E"/>
    <w:rsid w:val="006F222A"/>
    <w:rsid w:val="006F2919"/>
    <w:rsid w:val="006F2B4C"/>
    <w:rsid w:val="006F2F26"/>
    <w:rsid w:val="006F3A80"/>
    <w:rsid w:val="006F3F1C"/>
    <w:rsid w:val="006F4408"/>
    <w:rsid w:val="006F55C3"/>
    <w:rsid w:val="006F59BC"/>
    <w:rsid w:val="006F5A16"/>
    <w:rsid w:val="006F5D3B"/>
    <w:rsid w:val="006F65C6"/>
    <w:rsid w:val="006F705E"/>
    <w:rsid w:val="006F7FCC"/>
    <w:rsid w:val="00700A37"/>
    <w:rsid w:val="00701B3B"/>
    <w:rsid w:val="007038F0"/>
    <w:rsid w:val="007059A6"/>
    <w:rsid w:val="00711865"/>
    <w:rsid w:val="0071192A"/>
    <w:rsid w:val="00711E8D"/>
    <w:rsid w:val="007136BF"/>
    <w:rsid w:val="00713A9F"/>
    <w:rsid w:val="00713BBF"/>
    <w:rsid w:val="00714C50"/>
    <w:rsid w:val="007152B0"/>
    <w:rsid w:val="0072027B"/>
    <w:rsid w:val="00720C37"/>
    <w:rsid w:val="00723548"/>
    <w:rsid w:val="0072539C"/>
    <w:rsid w:val="0072559F"/>
    <w:rsid w:val="007267E4"/>
    <w:rsid w:val="0072792C"/>
    <w:rsid w:val="00733772"/>
    <w:rsid w:val="00734D70"/>
    <w:rsid w:val="00735EC9"/>
    <w:rsid w:val="00736556"/>
    <w:rsid w:val="00736B7A"/>
    <w:rsid w:val="00736BD7"/>
    <w:rsid w:val="007370A6"/>
    <w:rsid w:val="00740F44"/>
    <w:rsid w:val="00741E57"/>
    <w:rsid w:val="00742AA5"/>
    <w:rsid w:val="00743377"/>
    <w:rsid w:val="0074375D"/>
    <w:rsid w:val="00744D93"/>
    <w:rsid w:val="007463B6"/>
    <w:rsid w:val="0074665A"/>
    <w:rsid w:val="007468AD"/>
    <w:rsid w:val="00746A1A"/>
    <w:rsid w:val="00746B01"/>
    <w:rsid w:val="00747116"/>
    <w:rsid w:val="007509E2"/>
    <w:rsid w:val="007514CE"/>
    <w:rsid w:val="00753BDE"/>
    <w:rsid w:val="00754124"/>
    <w:rsid w:val="007548FB"/>
    <w:rsid w:val="00755939"/>
    <w:rsid w:val="00756386"/>
    <w:rsid w:val="00756394"/>
    <w:rsid w:val="007566CD"/>
    <w:rsid w:val="00757008"/>
    <w:rsid w:val="00761D77"/>
    <w:rsid w:val="00762326"/>
    <w:rsid w:val="0076364B"/>
    <w:rsid w:val="00763C58"/>
    <w:rsid w:val="00763DB0"/>
    <w:rsid w:val="007652DA"/>
    <w:rsid w:val="0076691F"/>
    <w:rsid w:val="00766FA7"/>
    <w:rsid w:val="007671DC"/>
    <w:rsid w:val="00770B4F"/>
    <w:rsid w:val="00770D07"/>
    <w:rsid w:val="00771285"/>
    <w:rsid w:val="00772966"/>
    <w:rsid w:val="00772CB1"/>
    <w:rsid w:val="00774567"/>
    <w:rsid w:val="00774DBA"/>
    <w:rsid w:val="007763D3"/>
    <w:rsid w:val="0078015F"/>
    <w:rsid w:val="00782497"/>
    <w:rsid w:val="00783786"/>
    <w:rsid w:val="007844B6"/>
    <w:rsid w:val="00787A2E"/>
    <w:rsid w:val="00787A6A"/>
    <w:rsid w:val="0079012D"/>
    <w:rsid w:val="00790A03"/>
    <w:rsid w:val="007913D8"/>
    <w:rsid w:val="00792774"/>
    <w:rsid w:val="007969DF"/>
    <w:rsid w:val="00796F51"/>
    <w:rsid w:val="007A260D"/>
    <w:rsid w:val="007A63FC"/>
    <w:rsid w:val="007A7405"/>
    <w:rsid w:val="007B0478"/>
    <w:rsid w:val="007B072F"/>
    <w:rsid w:val="007B0E9E"/>
    <w:rsid w:val="007B15F4"/>
    <w:rsid w:val="007B1FDA"/>
    <w:rsid w:val="007B66BA"/>
    <w:rsid w:val="007B66F3"/>
    <w:rsid w:val="007B79E9"/>
    <w:rsid w:val="007B7B14"/>
    <w:rsid w:val="007C11B3"/>
    <w:rsid w:val="007C1E93"/>
    <w:rsid w:val="007C20DA"/>
    <w:rsid w:val="007C2DA2"/>
    <w:rsid w:val="007C3CD3"/>
    <w:rsid w:val="007C48D1"/>
    <w:rsid w:val="007C4A33"/>
    <w:rsid w:val="007C7083"/>
    <w:rsid w:val="007C729A"/>
    <w:rsid w:val="007D25EC"/>
    <w:rsid w:val="007D37E8"/>
    <w:rsid w:val="007D3DF8"/>
    <w:rsid w:val="007D5888"/>
    <w:rsid w:val="007D67D7"/>
    <w:rsid w:val="007D6EB2"/>
    <w:rsid w:val="007E0583"/>
    <w:rsid w:val="007E21FB"/>
    <w:rsid w:val="007E243C"/>
    <w:rsid w:val="007E4EE4"/>
    <w:rsid w:val="007E5676"/>
    <w:rsid w:val="007E5727"/>
    <w:rsid w:val="007E7A24"/>
    <w:rsid w:val="007E7DD7"/>
    <w:rsid w:val="007F0172"/>
    <w:rsid w:val="007F41D4"/>
    <w:rsid w:val="007F48DD"/>
    <w:rsid w:val="007F5E45"/>
    <w:rsid w:val="007F62EF"/>
    <w:rsid w:val="007F7BF3"/>
    <w:rsid w:val="00801039"/>
    <w:rsid w:val="00802E4B"/>
    <w:rsid w:val="00804C28"/>
    <w:rsid w:val="008054AD"/>
    <w:rsid w:val="008056CC"/>
    <w:rsid w:val="008068E5"/>
    <w:rsid w:val="008071A3"/>
    <w:rsid w:val="008074B1"/>
    <w:rsid w:val="0080760B"/>
    <w:rsid w:val="00807BAE"/>
    <w:rsid w:val="008109F9"/>
    <w:rsid w:val="0081228F"/>
    <w:rsid w:val="00812B82"/>
    <w:rsid w:val="008173A7"/>
    <w:rsid w:val="00821962"/>
    <w:rsid w:val="00821D0D"/>
    <w:rsid w:val="00823C55"/>
    <w:rsid w:val="00824D92"/>
    <w:rsid w:val="008269FC"/>
    <w:rsid w:val="00830C78"/>
    <w:rsid w:val="00831638"/>
    <w:rsid w:val="008319B8"/>
    <w:rsid w:val="00831A33"/>
    <w:rsid w:val="00833175"/>
    <w:rsid w:val="00836578"/>
    <w:rsid w:val="00837E90"/>
    <w:rsid w:val="008404C0"/>
    <w:rsid w:val="00840B43"/>
    <w:rsid w:val="008446EA"/>
    <w:rsid w:val="008449E7"/>
    <w:rsid w:val="008467A3"/>
    <w:rsid w:val="00846FEE"/>
    <w:rsid w:val="008500CC"/>
    <w:rsid w:val="0085046D"/>
    <w:rsid w:val="00850793"/>
    <w:rsid w:val="0085095E"/>
    <w:rsid w:val="00852F16"/>
    <w:rsid w:val="00853860"/>
    <w:rsid w:val="00853870"/>
    <w:rsid w:val="0085474A"/>
    <w:rsid w:val="0085535E"/>
    <w:rsid w:val="008560F7"/>
    <w:rsid w:val="008600E1"/>
    <w:rsid w:val="008604A1"/>
    <w:rsid w:val="00860684"/>
    <w:rsid w:val="00860D8C"/>
    <w:rsid w:val="0086148E"/>
    <w:rsid w:val="00861F81"/>
    <w:rsid w:val="00862DB4"/>
    <w:rsid w:val="00863F80"/>
    <w:rsid w:val="00865D3D"/>
    <w:rsid w:val="0086617C"/>
    <w:rsid w:val="00866A99"/>
    <w:rsid w:val="00866BC2"/>
    <w:rsid w:val="00867146"/>
    <w:rsid w:val="008672CC"/>
    <w:rsid w:val="0086785A"/>
    <w:rsid w:val="00867A5D"/>
    <w:rsid w:val="00870B32"/>
    <w:rsid w:val="008720A4"/>
    <w:rsid w:val="0087226C"/>
    <w:rsid w:val="0087311C"/>
    <w:rsid w:val="0087336A"/>
    <w:rsid w:val="00873B5E"/>
    <w:rsid w:val="008747C3"/>
    <w:rsid w:val="00874C2A"/>
    <w:rsid w:val="00874EAA"/>
    <w:rsid w:val="00875CFC"/>
    <w:rsid w:val="008760AE"/>
    <w:rsid w:val="00877251"/>
    <w:rsid w:val="00877C36"/>
    <w:rsid w:val="00880961"/>
    <w:rsid w:val="00882E39"/>
    <w:rsid w:val="00884002"/>
    <w:rsid w:val="0088546F"/>
    <w:rsid w:val="00885FC9"/>
    <w:rsid w:val="008862FD"/>
    <w:rsid w:val="00886722"/>
    <w:rsid w:val="00886EA7"/>
    <w:rsid w:val="00887C4D"/>
    <w:rsid w:val="00892B91"/>
    <w:rsid w:val="008947AA"/>
    <w:rsid w:val="00895B2F"/>
    <w:rsid w:val="00896A06"/>
    <w:rsid w:val="00897152"/>
    <w:rsid w:val="008A01AA"/>
    <w:rsid w:val="008A064E"/>
    <w:rsid w:val="008A0E17"/>
    <w:rsid w:val="008A1531"/>
    <w:rsid w:val="008A6B6E"/>
    <w:rsid w:val="008A6FBF"/>
    <w:rsid w:val="008A7986"/>
    <w:rsid w:val="008A7D48"/>
    <w:rsid w:val="008B0639"/>
    <w:rsid w:val="008B098A"/>
    <w:rsid w:val="008B09CB"/>
    <w:rsid w:val="008B0D64"/>
    <w:rsid w:val="008B3AFE"/>
    <w:rsid w:val="008B5DF2"/>
    <w:rsid w:val="008B6B4F"/>
    <w:rsid w:val="008B6EC6"/>
    <w:rsid w:val="008B75F3"/>
    <w:rsid w:val="008B7E1F"/>
    <w:rsid w:val="008C0729"/>
    <w:rsid w:val="008C2F16"/>
    <w:rsid w:val="008C3721"/>
    <w:rsid w:val="008C3F16"/>
    <w:rsid w:val="008C4FD4"/>
    <w:rsid w:val="008C53F9"/>
    <w:rsid w:val="008C5A31"/>
    <w:rsid w:val="008C6796"/>
    <w:rsid w:val="008C746F"/>
    <w:rsid w:val="008D155C"/>
    <w:rsid w:val="008D1E17"/>
    <w:rsid w:val="008D20A2"/>
    <w:rsid w:val="008D21EF"/>
    <w:rsid w:val="008D5777"/>
    <w:rsid w:val="008D588B"/>
    <w:rsid w:val="008D689F"/>
    <w:rsid w:val="008D7178"/>
    <w:rsid w:val="008D73DC"/>
    <w:rsid w:val="008E006A"/>
    <w:rsid w:val="008E06BA"/>
    <w:rsid w:val="008E0963"/>
    <w:rsid w:val="008E116F"/>
    <w:rsid w:val="008E1226"/>
    <w:rsid w:val="008E2073"/>
    <w:rsid w:val="008E2E3B"/>
    <w:rsid w:val="008E328C"/>
    <w:rsid w:val="008E3813"/>
    <w:rsid w:val="008E5323"/>
    <w:rsid w:val="008E620E"/>
    <w:rsid w:val="008F040A"/>
    <w:rsid w:val="008F1283"/>
    <w:rsid w:val="008F4867"/>
    <w:rsid w:val="008F5A3A"/>
    <w:rsid w:val="008F5CE6"/>
    <w:rsid w:val="008F5D2E"/>
    <w:rsid w:val="008F658F"/>
    <w:rsid w:val="008F7BF9"/>
    <w:rsid w:val="008F7F4A"/>
    <w:rsid w:val="00900E01"/>
    <w:rsid w:val="00902813"/>
    <w:rsid w:val="009028A4"/>
    <w:rsid w:val="0090320F"/>
    <w:rsid w:val="00903721"/>
    <w:rsid w:val="00903EFB"/>
    <w:rsid w:val="009053B1"/>
    <w:rsid w:val="00906715"/>
    <w:rsid w:val="00906AD0"/>
    <w:rsid w:val="0090756C"/>
    <w:rsid w:val="00907E91"/>
    <w:rsid w:val="00910B97"/>
    <w:rsid w:val="009110B5"/>
    <w:rsid w:val="00911212"/>
    <w:rsid w:val="00911570"/>
    <w:rsid w:val="00914358"/>
    <w:rsid w:val="00914F30"/>
    <w:rsid w:val="009153C1"/>
    <w:rsid w:val="009158ED"/>
    <w:rsid w:val="00916114"/>
    <w:rsid w:val="00920153"/>
    <w:rsid w:val="009201BF"/>
    <w:rsid w:val="00920284"/>
    <w:rsid w:val="009216CE"/>
    <w:rsid w:val="009216E8"/>
    <w:rsid w:val="009229FE"/>
    <w:rsid w:val="00922B69"/>
    <w:rsid w:val="00922D9F"/>
    <w:rsid w:val="009243B1"/>
    <w:rsid w:val="009247B3"/>
    <w:rsid w:val="00927F3E"/>
    <w:rsid w:val="009300D4"/>
    <w:rsid w:val="0093071A"/>
    <w:rsid w:val="009311C4"/>
    <w:rsid w:val="00932D7B"/>
    <w:rsid w:val="00936EAF"/>
    <w:rsid w:val="009400F9"/>
    <w:rsid w:val="00940926"/>
    <w:rsid w:val="00940CEC"/>
    <w:rsid w:val="009422C7"/>
    <w:rsid w:val="0094256A"/>
    <w:rsid w:val="00942ACC"/>
    <w:rsid w:val="00942BC3"/>
    <w:rsid w:val="00942CC8"/>
    <w:rsid w:val="00943B01"/>
    <w:rsid w:val="00943ED7"/>
    <w:rsid w:val="009449E7"/>
    <w:rsid w:val="009457AF"/>
    <w:rsid w:val="00946551"/>
    <w:rsid w:val="00950DA1"/>
    <w:rsid w:val="00951773"/>
    <w:rsid w:val="00951DA3"/>
    <w:rsid w:val="00956747"/>
    <w:rsid w:val="00960637"/>
    <w:rsid w:val="00960B7F"/>
    <w:rsid w:val="00960D9C"/>
    <w:rsid w:val="00961D9C"/>
    <w:rsid w:val="00962208"/>
    <w:rsid w:val="00963825"/>
    <w:rsid w:val="009639F7"/>
    <w:rsid w:val="009642DE"/>
    <w:rsid w:val="00964708"/>
    <w:rsid w:val="00966D2E"/>
    <w:rsid w:val="0097026E"/>
    <w:rsid w:val="0097234C"/>
    <w:rsid w:val="00973DCC"/>
    <w:rsid w:val="00973FB4"/>
    <w:rsid w:val="00974043"/>
    <w:rsid w:val="009761B3"/>
    <w:rsid w:val="00976455"/>
    <w:rsid w:val="00980902"/>
    <w:rsid w:val="00980A78"/>
    <w:rsid w:val="0098118A"/>
    <w:rsid w:val="00981540"/>
    <w:rsid w:val="009861C8"/>
    <w:rsid w:val="009864AB"/>
    <w:rsid w:val="00986DBE"/>
    <w:rsid w:val="00990916"/>
    <w:rsid w:val="00990DA0"/>
    <w:rsid w:val="00991216"/>
    <w:rsid w:val="00992FD0"/>
    <w:rsid w:val="0099377E"/>
    <w:rsid w:val="00994533"/>
    <w:rsid w:val="00995A94"/>
    <w:rsid w:val="009962D5"/>
    <w:rsid w:val="009A0692"/>
    <w:rsid w:val="009A1356"/>
    <w:rsid w:val="009A19AA"/>
    <w:rsid w:val="009A229C"/>
    <w:rsid w:val="009A2694"/>
    <w:rsid w:val="009A3347"/>
    <w:rsid w:val="009A3503"/>
    <w:rsid w:val="009A364A"/>
    <w:rsid w:val="009A3816"/>
    <w:rsid w:val="009A3D37"/>
    <w:rsid w:val="009A6C5D"/>
    <w:rsid w:val="009B0A56"/>
    <w:rsid w:val="009B39C1"/>
    <w:rsid w:val="009B410A"/>
    <w:rsid w:val="009B4C82"/>
    <w:rsid w:val="009B5291"/>
    <w:rsid w:val="009B69B4"/>
    <w:rsid w:val="009C0C3D"/>
    <w:rsid w:val="009C1346"/>
    <w:rsid w:val="009C18D3"/>
    <w:rsid w:val="009C3345"/>
    <w:rsid w:val="009C3ADD"/>
    <w:rsid w:val="009C3DDB"/>
    <w:rsid w:val="009C3E18"/>
    <w:rsid w:val="009C4520"/>
    <w:rsid w:val="009C4B3C"/>
    <w:rsid w:val="009C549C"/>
    <w:rsid w:val="009C7A96"/>
    <w:rsid w:val="009C7AAA"/>
    <w:rsid w:val="009C7DE8"/>
    <w:rsid w:val="009D19F9"/>
    <w:rsid w:val="009D33B6"/>
    <w:rsid w:val="009D356B"/>
    <w:rsid w:val="009D4C6C"/>
    <w:rsid w:val="009D6D07"/>
    <w:rsid w:val="009E1E5F"/>
    <w:rsid w:val="009E360B"/>
    <w:rsid w:val="009E3D91"/>
    <w:rsid w:val="009E42FF"/>
    <w:rsid w:val="009E4F0B"/>
    <w:rsid w:val="009E5648"/>
    <w:rsid w:val="009E6AF5"/>
    <w:rsid w:val="009E6CBE"/>
    <w:rsid w:val="009E70A2"/>
    <w:rsid w:val="009E70E9"/>
    <w:rsid w:val="009F04D6"/>
    <w:rsid w:val="009F0AFA"/>
    <w:rsid w:val="009F1656"/>
    <w:rsid w:val="009F1CCF"/>
    <w:rsid w:val="009F3824"/>
    <w:rsid w:val="009F4329"/>
    <w:rsid w:val="009F484B"/>
    <w:rsid w:val="009F488E"/>
    <w:rsid w:val="009F4DA0"/>
    <w:rsid w:val="009F5BDA"/>
    <w:rsid w:val="009F5CBC"/>
    <w:rsid w:val="009F6A1F"/>
    <w:rsid w:val="009F6BC1"/>
    <w:rsid w:val="009F6F33"/>
    <w:rsid w:val="00A00062"/>
    <w:rsid w:val="00A013C4"/>
    <w:rsid w:val="00A01771"/>
    <w:rsid w:val="00A01A7E"/>
    <w:rsid w:val="00A02930"/>
    <w:rsid w:val="00A03611"/>
    <w:rsid w:val="00A03C0B"/>
    <w:rsid w:val="00A04F81"/>
    <w:rsid w:val="00A05779"/>
    <w:rsid w:val="00A06196"/>
    <w:rsid w:val="00A0690E"/>
    <w:rsid w:val="00A078A1"/>
    <w:rsid w:val="00A10405"/>
    <w:rsid w:val="00A10510"/>
    <w:rsid w:val="00A10B0C"/>
    <w:rsid w:val="00A114FF"/>
    <w:rsid w:val="00A11851"/>
    <w:rsid w:val="00A11DE8"/>
    <w:rsid w:val="00A123A4"/>
    <w:rsid w:val="00A127A7"/>
    <w:rsid w:val="00A12A1C"/>
    <w:rsid w:val="00A12DF3"/>
    <w:rsid w:val="00A13327"/>
    <w:rsid w:val="00A136A8"/>
    <w:rsid w:val="00A13949"/>
    <w:rsid w:val="00A13BBD"/>
    <w:rsid w:val="00A1433C"/>
    <w:rsid w:val="00A162D9"/>
    <w:rsid w:val="00A1749E"/>
    <w:rsid w:val="00A20255"/>
    <w:rsid w:val="00A202B2"/>
    <w:rsid w:val="00A20A70"/>
    <w:rsid w:val="00A21295"/>
    <w:rsid w:val="00A212BE"/>
    <w:rsid w:val="00A22391"/>
    <w:rsid w:val="00A22FEF"/>
    <w:rsid w:val="00A2359D"/>
    <w:rsid w:val="00A2359E"/>
    <w:rsid w:val="00A23A21"/>
    <w:rsid w:val="00A24A4B"/>
    <w:rsid w:val="00A24C6B"/>
    <w:rsid w:val="00A24FE9"/>
    <w:rsid w:val="00A259CB"/>
    <w:rsid w:val="00A25BC6"/>
    <w:rsid w:val="00A25F59"/>
    <w:rsid w:val="00A26100"/>
    <w:rsid w:val="00A26547"/>
    <w:rsid w:val="00A30659"/>
    <w:rsid w:val="00A30D4A"/>
    <w:rsid w:val="00A327C5"/>
    <w:rsid w:val="00A33304"/>
    <w:rsid w:val="00A34EDC"/>
    <w:rsid w:val="00A3512E"/>
    <w:rsid w:val="00A35407"/>
    <w:rsid w:val="00A35BC1"/>
    <w:rsid w:val="00A366E2"/>
    <w:rsid w:val="00A36BEB"/>
    <w:rsid w:val="00A371F1"/>
    <w:rsid w:val="00A405BA"/>
    <w:rsid w:val="00A4233B"/>
    <w:rsid w:val="00A44464"/>
    <w:rsid w:val="00A44AE3"/>
    <w:rsid w:val="00A45ADF"/>
    <w:rsid w:val="00A47660"/>
    <w:rsid w:val="00A51057"/>
    <w:rsid w:val="00A51A34"/>
    <w:rsid w:val="00A5295A"/>
    <w:rsid w:val="00A531F4"/>
    <w:rsid w:val="00A535CB"/>
    <w:rsid w:val="00A53B8F"/>
    <w:rsid w:val="00A54F50"/>
    <w:rsid w:val="00A56C3A"/>
    <w:rsid w:val="00A57156"/>
    <w:rsid w:val="00A573F2"/>
    <w:rsid w:val="00A5745D"/>
    <w:rsid w:val="00A57FD1"/>
    <w:rsid w:val="00A643EF"/>
    <w:rsid w:val="00A6596A"/>
    <w:rsid w:val="00A67F29"/>
    <w:rsid w:val="00A7187A"/>
    <w:rsid w:val="00A727FF"/>
    <w:rsid w:val="00A73398"/>
    <w:rsid w:val="00A741BF"/>
    <w:rsid w:val="00A7592E"/>
    <w:rsid w:val="00A75F4A"/>
    <w:rsid w:val="00A7709F"/>
    <w:rsid w:val="00A774B6"/>
    <w:rsid w:val="00A77650"/>
    <w:rsid w:val="00A7786A"/>
    <w:rsid w:val="00A831F1"/>
    <w:rsid w:val="00A835B2"/>
    <w:rsid w:val="00A840AB"/>
    <w:rsid w:val="00A8523D"/>
    <w:rsid w:val="00A86068"/>
    <w:rsid w:val="00A873D1"/>
    <w:rsid w:val="00A87BE6"/>
    <w:rsid w:val="00A905BA"/>
    <w:rsid w:val="00A90742"/>
    <w:rsid w:val="00A90B39"/>
    <w:rsid w:val="00A92CC0"/>
    <w:rsid w:val="00A93607"/>
    <w:rsid w:val="00A93C14"/>
    <w:rsid w:val="00A97927"/>
    <w:rsid w:val="00A97F40"/>
    <w:rsid w:val="00AA076D"/>
    <w:rsid w:val="00AA0DE3"/>
    <w:rsid w:val="00AA3974"/>
    <w:rsid w:val="00AA4374"/>
    <w:rsid w:val="00AA49CB"/>
    <w:rsid w:val="00AA72A5"/>
    <w:rsid w:val="00AB017E"/>
    <w:rsid w:val="00AB0E54"/>
    <w:rsid w:val="00AC1761"/>
    <w:rsid w:val="00AC4356"/>
    <w:rsid w:val="00AC48AA"/>
    <w:rsid w:val="00AC5F0B"/>
    <w:rsid w:val="00AC7805"/>
    <w:rsid w:val="00AD0398"/>
    <w:rsid w:val="00AD14AC"/>
    <w:rsid w:val="00AD2172"/>
    <w:rsid w:val="00AD4CA1"/>
    <w:rsid w:val="00AD5D1E"/>
    <w:rsid w:val="00AD7696"/>
    <w:rsid w:val="00AD76A3"/>
    <w:rsid w:val="00AD7D32"/>
    <w:rsid w:val="00AE1D20"/>
    <w:rsid w:val="00AE1D90"/>
    <w:rsid w:val="00AE33F4"/>
    <w:rsid w:val="00AE69FF"/>
    <w:rsid w:val="00AF073C"/>
    <w:rsid w:val="00AF0E23"/>
    <w:rsid w:val="00AF1642"/>
    <w:rsid w:val="00AF2AB3"/>
    <w:rsid w:val="00AF2D7B"/>
    <w:rsid w:val="00AF2D92"/>
    <w:rsid w:val="00AF3FE2"/>
    <w:rsid w:val="00AF401F"/>
    <w:rsid w:val="00AF4235"/>
    <w:rsid w:val="00AF48F1"/>
    <w:rsid w:val="00AF5454"/>
    <w:rsid w:val="00AF5825"/>
    <w:rsid w:val="00AF6361"/>
    <w:rsid w:val="00AF79F4"/>
    <w:rsid w:val="00B00260"/>
    <w:rsid w:val="00B00281"/>
    <w:rsid w:val="00B00ACE"/>
    <w:rsid w:val="00B00EE0"/>
    <w:rsid w:val="00B00FAB"/>
    <w:rsid w:val="00B025C3"/>
    <w:rsid w:val="00B02D18"/>
    <w:rsid w:val="00B035AB"/>
    <w:rsid w:val="00B05A24"/>
    <w:rsid w:val="00B07751"/>
    <w:rsid w:val="00B07C17"/>
    <w:rsid w:val="00B10265"/>
    <w:rsid w:val="00B10E00"/>
    <w:rsid w:val="00B11DD6"/>
    <w:rsid w:val="00B12B36"/>
    <w:rsid w:val="00B131E8"/>
    <w:rsid w:val="00B13EF8"/>
    <w:rsid w:val="00B140BF"/>
    <w:rsid w:val="00B144C9"/>
    <w:rsid w:val="00B14C4F"/>
    <w:rsid w:val="00B14E36"/>
    <w:rsid w:val="00B15604"/>
    <w:rsid w:val="00B15E90"/>
    <w:rsid w:val="00B15F77"/>
    <w:rsid w:val="00B165DD"/>
    <w:rsid w:val="00B16C71"/>
    <w:rsid w:val="00B1738B"/>
    <w:rsid w:val="00B20B0A"/>
    <w:rsid w:val="00B2112D"/>
    <w:rsid w:val="00B21A2C"/>
    <w:rsid w:val="00B21C54"/>
    <w:rsid w:val="00B21F6A"/>
    <w:rsid w:val="00B23330"/>
    <w:rsid w:val="00B238C8"/>
    <w:rsid w:val="00B25EAA"/>
    <w:rsid w:val="00B3035D"/>
    <w:rsid w:val="00B30491"/>
    <w:rsid w:val="00B30C67"/>
    <w:rsid w:val="00B32627"/>
    <w:rsid w:val="00B328BD"/>
    <w:rsid w:val="00B32ACB"/>
    <w:rsid w:val="00B32D2F"/>
    <w:rsid w:val="00B33B50"/>
    <w:rsid w:val="00B33DE2"/>
    <w:rsid w:val="00B34AC0"/>
    <w:rsid w:val="00B34D3D"/>
    <w:rsid w:val="00B34F8B"/>
    <w:rsid w:val="00B35417"/>
    <w:rsid w:val="00B3577F"/>
    <w:rsid w:val="00B3645D"/>
    <w:rsid w:val="00B37288"/>
    <w:rsid w:val="00B37855"/>
    <w:rsid w:val="00B42AC7"/>
    <w:rsid w:val="00B45678"/>
    <w:rsid w:val="00B465FE"/>
    <w:rsid w:val="00B4677B"/>
    <w:rsid w:val="00B46A6C"/>
    <w:rsid w:val="00B46F8A"/>
    <w:rsid w:val="00B47746"/>
    <w:rsid w:val="00B50993"/>
    <w:rsid w:val="00B514B5"/>
    <w:rsid w:val="00B51798"/>
    <w:rsid w:val="00B522B6"/>
    <w:rsid w:val="00B52E2C"/>
    <w:rsid w:val="00B602E7"/>
    <w:rsid w:val="00B625D1"/>
    <w:rsid w:val="00B62E43"/>
    <w:rsid w:val="00B63D9D"/>
    <w:rsid w:val="00B64115"/>
    <w:rsid w:val="00B65628"/>
    <w:rsid w:val="00B65E7A"/>
    <w:rsid w:val="00B660F2"/>
    <w:rsid w:val="00B666A0"/>
    <w:rsid w:val="00B6675D"/>
    <w:rsid w:val="00B672FB"/>
    <w:rsid w:val="00B70EA1"/>
    <w:rsid w:val="00B712B2"/>
    <w:rsid w:val="00B720AC"/>
    <w:rsid w:val="00B724CC"/>
    <w:rsid w:val="00B7508C"/>
    <w:rsid w:val="00B76458"/>
    <w:rsid w:val="00B768E8"/>
    <w:rsid w:val="00B76C10"/>
    <w:rsid w:val="00B77E1A"/>
    <w:rsid w:val="00B77EF7"/>
    <w:rsid w:val="00B808A9"/>
    <w:rsid w:val="00B81AAF"/>
    <w:rsid w:val="00B82529"/>
    <w:rsid w:val="00B835D8"/>
    <w:rsid w:val="00B84162"/>
    <w:rsid w:val="00B84DC9"/>
    <w:rsid w:val="00B85250"/>
    <w:rsid w:val="00B85417"/>
    <w:rsid w:val="00B87C05"/>
    <w:rsid w:val="00B87CA4"/>
    <w:rsid w:val="00B90040"/>
    <w:rsid w:val="00B90AAF"/>
    <w:rsid w:val="00B90F3A"/>
    <w:rsid w:val="00B91115"/>
    <w:rsid w:val="00B91326"/>
    <w:rsid w:val="00B91922"/>
    <w:rsid w:val="00B925CA"/>
    <w:rsid w:val="00B96D0C"/>
    <w:rsid w:val="00B97A5A"/>
    <w:rsid w:val="00BA002A"/>
    <w:rsid w:val="00BA1016"/>
    <w:rsid w:val="00BA2095"/>
    <w:rsid w:val="00BA2FB2"/>
    <w:rsid w:val="00BA404E"/>
    <w:rsid w:val="00BA56C8"/>
    <w:rsid w:val="00BB1F67"/>
    <w:rsid w:val="00BB3267"/>
    <w:rsid w:val="00BB3377"/>
    <w:rsid w:val="00BB3A36"/>
    <w:rsid w:val="00BB3BF2"/>
    <w:rsid w:val="00BB3DA8"/>
    <w:rsid w:val="00BB4182"/>
    <w:rsid w:val="00BB4961"/>
    <w:rsid w:val="00BB4D04"/>
    <w:rsid w:val="00BB4E78"/>
    <w:rsid w:val="00BB4F0D"/>
    <w:rsid w:val="00BB5C75"/>
    <w:rsid w:val="00BB606E"/>
    <w:rsid w:val="00BB75F8"/>
    <w:rsid w:val="00BB7CBC"/>
    <w:rsid w:val="00BC10A8"/>
    <w:rsid w:val="00BC1CD7"/>
    <w:rsid w:val="00BC31A7"/>
    <w:rsid w:val="00BC35CE"/>
    <w:rsid w:val="00BC410A"/>
    <w:rsid w:val="00BC560F"/>
    <w:rsid w:val="00BC5800"/>
    <w:rsid w:val="00BD00C6"/>
    <w:rsid w:val="00BD06ED"/>
    <w:rsid w:val="00BD382F"/>
    <w:rsid w:val="00BE0AE2"/>
    <w:rsid w:val="00BE28D9"/>
    <w:rsid w:val="00BE2AB1"/>
    <w:rsid w:val="00BE3AD8"/>
    <w:rsid w:val="00BE6B0A"/>
    <w:rsid w:val="00BE6E82"/>
    <w:rsid w:val="00BE6F9D"/>
    <w:rsid w:val="00BE7BB4"/>
    <w:rsid w:val="00BF2C42"/>
    <w:rsid w:val="00BF2EBA"/>
    <w:rsid w:val="00BF37CC"/>
    <w:rsid w:val="00BF5603"/>
    <w:rsid w:val="00BF63CF"/>
    <w:rsid w:val="00BF688A"/>
    <w:rsid w:val="00BF7A87"/>
    <w:rsid w:val="00C00C05"/>
    <w:rsid w:val="00C020EC"/>
    <w:rsid w:val="00C029E5"/>
    <w:rsid w:val="00C05798"/>
    <w:rsid w:val="00C06FA1"/>
    <w:rsid w:val="00C078FD"/>
    <w:rsid w:val="00C14DF7"/>
    <w:rsid w:val="00C157EB"/>
    <w:rsid w:val="00C15FC8"/>
    <w:rsid w:val="00C163EB"/>
    <w:rsid w:val="00C20334"/>
    <w:rsid w:val="00C217E0"/>
    <w:rsid w:val="00C21ECC"/>
    <w:rsid w:val="00C230E2"/>
    <w:rsid w:val="00C231C5"/>
    <w:rsid w:val="00C23DE4"/>
    <w:rsid w:val="00C23E27"/>
    <w:rsid w:val="00C26239"/>
    <w:rsid w:val="00C27CFD"/>
    <w:rsid w:val="00C30587"/>
    <w:rsid w:val="00C30F8A"/>
    <w:rsid w:val="00C313F8"/>
    <w:rsid w:val="00C31AED"/>
    <w:rsid w:val="00C32852"/>
    <w:rsid w:val="00C345CD"/>
    <w:rsid w:val="00C34E47"/>
    <w:rsid w:val="00C350A6"/>
    <w:rsid w:val="00C35E03"/>
    <w:rsid w:val="00C35EC4"/>
    <w:rsid w:val="00C365EE"/>
    <w:rsid w:val="00C36B06"/>
    <w:rsid w:val="00C40248"/>
    <w:rsid w:val="00C40502"/>
    <w:rsid w:val="00C40E01"/>
    <w:rsid w:val="00C41BF5"/>
    <w:rsid w:val="00C43018"/>
    <w:rsid w:val="00C4346D"/>
    <w:rsid w:val="00C43E79"/>
    <w:rsid w:val="00C4430B"/>
    <w:rsid w:val="00C44CCF"/>
    <w:rsid w:val="00C46C2C"/>
    <w:rsid w:val="00C47E05"/>
    <w:rsid w:val="00C50641"/>
    <w:rsid w:val="00C511D3"/>
    <w:rsid w:val="00C51438"/>
    <w:rsid w:val="00C522D4"/>
    <w:rsid w:val="00C5480C"/>
    <w:rsid w:val="00C54F4F"/>
    <w:rsid w:val="00C55BB4"/>
    <w:rsid w:val="00C56D63"/>
    <w:rsid w:val="00C570A5"/>
    <w:rsid w:val="00C577B0"/>
    <w:rsid w:val="00C5789D"/>
    <w:rsid w:val="00C603EF"/>
    <w:rsid w:val="00C609FE"/>
    <w:rsid w:val="00C6170A"/>
    <w:rsid w:val="00C61785"/>
    <w:rsid w:val="00C62C2F"/>
    <w:rsid w:val="00C65773"/>
    <w:rsid w:val="00C65BF4"/>
    <w:rsid w:val="00C664BD"/>
    <w:rsid w:val="00C672D1"/>
    <w:rsid w:val="00C67D87"/>
    <w:rsid w:val="00C722C6"/>
    <w:rsid w:val="00C742BD"/>
    <w:rsid w:val="00C74AF1"/>
    <w:rsid w:val="00C751C2"/>
    <w:rsid w:val="00C751EC"/>
    <w:rsid w:val="00C76501"/>
    <w:rsid w:val="00C82849"/>
    <w:rsid w:val="00C83953"/>
    <w:rsid w:val="00C842E7"/>
    <w:rsid w:val="00C84CCD"/>
    <w:rsid w:val="00C8798B"/>
    <w:rsid w:val="00C905C3"/>
    <w:rsid w:val="00C9209B"/>
    <w:rsid w:val="00C924B9"/>
    <w:rsid w:val="00C9277F"/>
    <w:rsid w:val="00C946FF"/>
    <w:rsid w:val="00C95629"/>
    <w:rsid w:val="00C961EC"/>
    <w:rsid w:val="00C967F1"/>
    <w:rsid w:val="00C969BA"/>
    <w:rsid w:val="00C97526"/>
    <w:rsid w:val="00C9799A"/>
    <w:rsid w:val="00CA4535"/>
    <w:rsid w:val="00CA4BCA"/>
    <w:rsid w:val="00CA5BBF"/>
    <w:rsid w:val="00CA5DA3"/>
    <w:rsid w:val="00CA6A55"/>
    <w:rsid w:val="00CA6CCE"/>
    <w:rsid w:val="00CA6D93"/>
    <w:rsid w:val="00CB01F1"/>
    <w:rsid w:val="00CB02A7"/>
    <w:rsid w:val="00CB0D30"/>
    <w:rsid w:val="00CB0E20"/>
    <w:rsid w:val="00CB1898"/>
    <w:rsid w:val="00CB267B"/>
    <w:rsid w:val="00CB2F4B"/>
    <w:rsid w:val="00CB49A9"/>
    <w:rsid w:val="00CB5F8F"/>
    <w:rsid w:val="00CB6F8F"/>
    <w:rsid w:val="00CC192B"/>
    <w:rsid w:val="00CC23F7"/>
    <w:rsid w:val="00CC5139"/>
    <w:rsid w:val="00CC5A5E"/>
    <w:rsid w:val="00CC619E"/>
    <w:rsid w:val="00CD2531"/>
    <w:rsid w:val="00CD3DB6"/>
    <w:rsid w:val="00CD54D1"/>
    <w:rsid w:val="00CD57A7"/>
    <w:rsid w:val="00CD5E19"/>
    <w:rsid w:val="00CD5F52"/>
    <w:rsid w:val="00CD65FB"/>
    <w:rsid w:val="00CD7B84"/>
    <w:rsid w:val="00CE2D54"/>
    <w:rsid w:val="00CE3307"/>
    <w:rsid w:val="00CE37F3"/>
    <w:rsid w:val="00CE5214"/>
    <w:rsid w:val="00CE6717"/>
    <w:rsid w:val="00CE6981"/>
    <w:rsid w:val="00CE7057"/>
    <w:rsid w:val="00CE78CD"/>
    <w:rsid w:val="00CF2161"/>
    <w:rsid w:val="00CF30EB"/>
    <w:rsid w:val="00CF3A50"/>
    <w:rsid w:val="00CF4839"/>
    <w:rsid w:val="00CF4EEF"/>
    <w:rsid w:val="00CF4F4C"/>
    <w:rsid w:val="00CF738D"/>
    <w:rsid w:val="00CF747D"/>
    <w:rsid w:val="00CF7BD4"/>
    <w:rsid w:val="00D003F7"/>
    <w:rsid w:val="00D02AEB"/>
    <w:rsid w:val="00D03E0F"/>
    <w:rsid w:val="00D05BBE"/>
    <w:rsid w:val="00D0623E"/>
    <w:rsid w:val="00D076C7"/>
    <w:rsid w:val="00D10538"/>
    <w:rsid w:val="00D10D2B"/>
    <w:rsid w:val="00D11E22"/>
    <w:rsid w:val="00D12CA3"/>
    <w:rsid w:val="00D12E0E"/>
    <w:rsid w:val="00D143EC"/>
    <w:rsid w:val="00D14643"/>
    <w:rsid w:val="00D14698"/>
    <w:rsid w:val="00D14FDE"/>
    <w:rsid w:val="00D178B3"/>
    <w:rsid w:val="00D17BA9"/>
    <w:rsid w:val="00D2039E"/>
    <w:rsid w:val="00D22778"/>
    <w:rsid w:val="00D22888"/>
    <w:rsid w:val="00D2345D"/>
    <w:rsid w:val="00D23C1A"/>
    <w:rsid w:val="00D24CD1"/>
    <w:rsid w:val="00D260FE"/>
    <w:rsid w:val="00D276E4"/>
    <w:rsid w:val="00D30BEA"/>
    <w:rsid w:val="00D3145E"/>
    <w:rsid w:val="00D3210B"/>
    <w:rsid w:val="00D37B80"/>
    <w:rsid w:val="00D4079B"/>
    <w:rsid w:val="00D41218"/>
    <w:rsid w:val="00D41F92"/>
    <w:rsid w:val="00D42A53"/>
    <w:rsid w:val="00D433C4"/>
    <w:rsid w:val="00D436E2"/>
    <w:rsid w:val="00D43CC4"/>
    <w:rsid w:val="00D44E77"/>
    <w:rsid w:val="00D44FFD"/>
    <w:rsid w:val="00D456E5"/>
    <w:rsid w:val="00D46970"/>
    <w:rsid w:val="00D474DE"/>
    <w:rsid w:val="00D507A2"/>
    <w:rsid w:val="00D50CCC"/>
    <w:rsid w:val="00D51174"/>
    <w:rsid w:val="00D51785"/>
    <w:rsid w:val="00D53F35"/>
    <w:rsid w:val="00D545DD"/>
    <w:rsid w:val="00D55200"/>
    <w:rsid w:val="00D55B26"/>
    <w:rsid w:val="00D62319"/>
    <w:rsid w:val="00D62461"/>
    <w:rsid w:val="00D6312B"/>
    <w:rsid w:val="00D63F13"/>
    <w:rsid w:val="00D65414"/>
    <w:rsid w:val="00D657E6"/>
    <w:rsid w:val="00D66EA7"/>
    <w:rsid w:val="00D67EB4"/>
    <w:rsid w:val="00D7028E"/>
    <w:rsid w:val="00D71BB7"/>
    <w:rsid w:val="00D71C98"/>
    <w:rsid w:val="00D72341"/>
    <w:rsid w:val="00D73E4F"/>
    <w:rsid w:val="00D73F8A"/>
    <w:rsid w:val="00D75701"/>
    <w:rsid w:val="00D76740"/>
    <w:rsid w:val="00D767DA"/>
    <w:rsid w:val="00D7777C"/>
    <w:rsid w:val="00D77E13"/>
    <w:rsid w:val="00D80DFB"/>
    <w:rsid w:val="00D813BC"/>
    <w:rsid w:val="00D813CB"/>
    <w:rsid w:val="00D82B2C"/>
    <w:rsid w:val="00D82D9C"/>
    <w:rsid w:val="00D845CC"/>
    <w:rsid w:val="00D84A36"/>
    <w:rsid w:val="00D85FE5"/>
    <w:rsid w:val="00D86272"/>
    <w:rsid w:val="00D865C3"/>
    <w:rsid w:val="00D86628"/>
    <w:rsid w:val="00D87462"/>
    <w:rsid w:val="00D875E0"/>
    <w:rsid w:val="00D905DA"/>
    <w:rsid w:val="00D90642"/>
    <w:rsid w:val="00D90DD9"/>
    <w:rsid w:val="00D90FD6"/>
    <w:rsid w:val="00D910DA"/>
    <w:rsid w:val="00D91303"/>
    <w:rsid w:val="00D9156D"/>
    <w:rsid w:val="00D91F62"/>
    <w:rsid w:val="00D92C42"/>
    <w:rsid w:val="00D94288"/>
    <w:rsid w:val="00D94290"/>
    <w:rsid w:val="00D94693"/>
    <w:rsid w:val="00D94D7F"/>
    <w:rsid w:val="00D956BD"/>
    <w:rsid w:val="00D956FD"/>
    <w:rsid w:val="00D95A70"/>
    <w:rsid w:val="00DA0A38"/>
    <w:rsid w:val="00DA0FFC"/>
    <w:rsid w:val="00DA2C20"/>
    <w:rsid w:val="00DA47BC"/>
    <w:rsid w:val="00DA556C"/>
    <w:rsid w:val="00DA5B75"/>
    <w:rsid w:val="00DA64EB"/>
    <w:rsid w:val="00DA6793"/>
    <w:rsid w:val="00DA6E64"/>
    <w:rsid w:val="00DB1542"/>
    <w:rsid w:val="00DB15E9"/>
    <w:rsid w:val="00DB18D8"/>
    <w:rsid w:val="00DB4038"/>
    <w:rsid w:val="00DB5DBB"/>
    <w:rsid w:val="00DB5F5A"/>
    <w:rsid w:val="00DB63DC"/>
    <w:rsid w:val="00DB6A73"/>
    <w:rsid w:val="00DB6CFC"/>
    <w:rsid w:val="00DC09B2"/>
    <w:rsid w:val="00DC1175"/>
    <w:rsid w:val="00DC2D62"/>
    <w:rsid w:val="00DC4616"/>
    <w:rsid w:val="00DC4BBF"/>
    <w:rsid w:val="00DC5E2B"/>
    <w:rsid w:val="00DC6A7F"/>
    <w:rsid w:val="00DC71E7"/>
    <w:rsid w:val="00DC76E3"/>
    <w:rsid w:val="00DC799C"/>
    <w:rsid w:val="00DD0177"/>
    <w:rsid w:val="00DD0DA7"/>
    <w:rsid w:val="00DD1ED2"/>
    <w:rsid w:val="00DD1FDF"/>
    <w:rsid w:val="00DD2EED"/>
    <w:rsid w:val="00DD3A4B"/>
    <w:rsid w:val="00DD624B"/>
    <w:rsid w:val="00DD6BBE"/>
    <w:rsid w:val="00DE2D39"/>
    <w:rsid w:val="00DE375E"/>
    <w:rsid w:val="00DE4119"/>
    <w:rsid w:val="00DE46C9"/>
    <w:rsid w:val="00DE4ED9"/>
    <w:rsid w:val="00DE5C7E"/>
    <w:rsid w:val="00DE6A6F"/>
    <w:rsid w:val="00DF0BBC"/>
    <w:rsid w:val="00DF17BB"/>
    <w:rsid w:val="00DF1D36"/>
    <w:rsid w:val="00DF1EE8"/>
    <w:rsid w:val="00DF2F3B"/>
    <w:rsid w:val="00DF2FAF"/>
    <w:rsid w:val="00DF3DC5"/>
    <w:rsid w:val="00DF4A75"/>
    <w:rsid w:val="00DF514B"/>
    <w:rsid w:val="00DF616C"/>
    <w:rsid w:val="00DF7095"/>
    <w:rsid w:val="00DF7C8D"/>
    <w:rsid w:val="00DF7D23"/>
    <w:rsid w:val="00E00D03"/>
    <w:rsid w:val="00E038A4"/>
    <w:rsid w:val="00E13B2B"/>
    <w:rsid w:val="00E144DE"/>
    <w:rsid w:val="00E160F4"/>
    <w:rsid w:val="00E164E9"/>
    <w:rsid w:val="00E2045F"/>
    <w:rsid w:val="00E2091D"/>
    <w:rsid w:val="00E20B19"/>
    <w:rsid w:val="00E20C43"/>
    <w:rsid w:val="00E2659B"/>
    <w:rsid w:val="00E26687"/>
    <w:rsid w:val="00E26C31"/>
    <w:rsid w:val="00E27817"/>
    <w:rsid w:val="00E30D54"/>
    <w:rsid w:val="00E328FA"/>
    <w:rsid w:val="00E330B8"/>
    <w:rsid w:val="00E33F15"/>
    <w:rsid w:val="00E348CE"/>
    <w:rsid w:val="00E34C68"/>
    <w:rsid w:val="00E35717"/>
    <w:rsid w:val="00E373E1"/>
    <w:rsid w:val="00E40D16"/>
    <w:rsid w:val="00E41C5C"/>
    <w:rsid w:val="00E41DAB"/>
    <w:rsid w:val="00E4645D"/>
    <w:rsid w:val="00E4760C"/>
    <w:rsid w:val="00E4776F"/>
    <w:rsid w:val="00E47CB6"/>
    <w:rsid w:val="00E52107"/>
    <w:rsid w:val="00E5248B"/>
    <w:rsid w:val="00E52E05"/>
    <w:rsid w:val="00E53ABA"/>
    <w:rsid w:val="00E5736A"/>
    <w:rsid w:val="00E6256A"/>
    <w:rsid w:val="00E6361A"/>
    <w:rsid w:val="00E66256"/>
    <w:rsid w:val="00E675E8"/>
    <w:rsid w:val="00E736DF"/>
    <w:rsid w:val="00E73D89"/>
    <w:rsid w:val="00E7460C"/>
    <w:rsid w:val="00E74962"/>
    <w:rsid w:val="00E74A8A"/>
    <w:rsid w:val="00E7534F"/>
    <w:rsid w:val="00E76C53"/>
    <w:rsid w:val="00E814F5"/>
    <w:rsid w:val="00E81EB6"/>
    <w:rsid w:val="00E82D7B"/>
    <w:rsid w:val="00E8394F"/>
    <w:rsid w:val="00E85206"/>
    <w:rsid w:val="00E854EB"/>
    <w:rsid w:val="00E861ED"/>
    <w:rsid w:val="00E877E2"/>
    <w:rsid w:val="00E902F9"/>
    <w:rsid w:val="00E90864"/>
    <w:rsid w:val="00E90B6A"/>
    <w:rsid w:val="00E90E9E"/>
    <w:rsid w:val="00E9541E"/>
    <w:rsid w:val="00E956F7"/>
    <w:rsid w:val="00EA0AF9"/>
    <w:rsid w:val="00EA1813"/>
    <w:rsid w:val="00EA2CF2"/>
    <w:rsid w:val="00EA37F1"/>
    <w:rsid w:val="00EA41A0"/>
    <w:rsid w:val="00EA4527"/>
    <w:rsid w:val="00EA53FD"/>
    <w:rsid w:val="00EA55CC"/>
    <w:rsid w:val="00EB05BB"/>
    <w:rsid w:val="00EB0C2F"/>
    <w:rsid w:val="00EB13AF"/>
    <w:rsid w:val="00EB3A59"/>
    <w:rsid w:val="00EB5B0B"/>
    <w:rsid w:val="00EB6A72"/>
    <w:rsid w:val="00EB6CC1"/>
    <w:rsid w:val="00EB7E8B"/>
    <w:rsid w:val="00EC13E8"/>
    <w:rsid w:val="00EC1829"/>
    <w:rsid w:val="00EC3ABB"/>
    <w:rsid w:val="00ED0EAE"/>
    <w:rsid w:val="00ED335E"/>
    <w:rsid w:val="00ED38C0"/>
    <w:rsid w:val="00ED576A"/>
    <w:rsid w:val="00ED67A3"/>
    <w:rsid w:val="00ED7570"/>
    <w:rsid w:val="00EE07B2"/>
    <w:rsid w:val="00EE0816"/>
    <w:rsid w:val="00EE1B31"/>
    <w:rsid w:val="00EE3CC1"/>
    <w:rsid w:val="00EE3E61"/>
    <w:rsid w:val="00EE4F18"/>
    <w:rsid w:val="00EE5605"/>
    <w:rsid w:val="00EE6403"/>
    <w:rsid w:val="00EE683F"/>
    <w:rsid w:val="00EE7AEE"/>
    <w:rsid w:val="00EE7C74"/>
    <w:rsid w:val="00EF16C3"/>
    <w:rsid w:val="00EF1820"/>
    <w:rsid w:val="00EF3779"/>
    <w:rsid w:val="00EF3EF3"/>
    <w:rsid w:val="00EF4FBF"/>
    <w:rsid w:val="00EF79FF"/>
    <w:rsid w:val="00F00B4C"/>
    <w:rsid w:val="00F01BF8"/>
    <w:rsid w:val="00F021D1"/>
    <w:rsid w:val="00F02882"/>
    <w:rsid w:val="00F0348F"/>
    <w:rsid w:val="00F0362D"/>
    <w:rsid w:val="00F04638"/>
    <w:rsid w:val="00F048A5"/>
    <w:rsid w:val="00F05ABE"/>
    <w:rsid w:val="00F05C11"/>
    <w:rsid w:val="00F063D8"/>
    <w:rsid w:val="00F064BF"/>
    <w:rsid w:val="00F07590"/>
    <w:rsid w:val="00F0778E"/>
    <w:rsid w:val="00F07BA7"/>
    <w:rsid w:val="00F1011F"/>
    <w:rsid w:val="00F11015"/>
    <w:rsid w:val="00F13D33"/>
    <w:rsid w:val="00F13EA4"/>
    <w:rsid w:val="00F142B2"/>
    <w:rsid w:val="00F15720"/>
    <w:rsid w:val="00F174E4"/>
    <w:rsid w:val="00F202D8"/>
    <w:rsid w:val="00F226E7"/>
    <w:rsid w:val="00F24DEA"/>
    <w:rsid w:val="00F253D3"/>
    <w:rsid w:val="00F263DB"/>
    <w:rsid w:val="00F26684"/>
    <w:rsid w:val="00F30A04"/>
    <w:rsid w:val="00F30B8A"/>
    <w:rsid w:val="00F3324A"/>
    <w:rsid w:val="00F34A65"/>
    <w:rsid w:val="00F35499"/>
    <w:rsid w:val="00F3641D"/>
    <w:rsid w:val="00F4147B"/>
    <w:rsid w:val="00F43FAD"/>
    <w:rsid w:val="00F44892"/>
    <w:rsid w:val="00F451C1"/>
    <w:rsid w:val="00F464FE"/>
    <w:rsid w:val="00F4774E"/>
    <w:rsid w:val="00F501CF"/>
    <w:rsid w:val="00F509CC"/>
    <w:rsid w:val="00F5118C"/>
    <w:rsid w:val="00F5129F"/>
    <w:rsid w:val="00F51E09"/>
    <w:rsid w:val="00F52675"/>
    <w:rsid w:val="00F52802"/>
    <w:rsid w:val="00F52F52"/>
    <w:rsid w:val="00F55CD8"/>
    <w:rsid w:val="00F573D4"/>
    <w:rsid w:val="00F60268"/>
    <w:rsid w:val="00F614CA"/>
    <w:rsid w:val="00F6587D"/>
    <w:rsid w:val="00F65BA4"/>
    <w:rsid w:val="00F65E89"/>
    <w:rsid w:val="00F65EC7"/>
    <w:rsid w:val="00F666F3"/>
    <w:rsid w:val="00F66B7C"/>
    <w:rsid w:val="00F66C59"/>
    <w:rsid w:val="00F6765D"/>
    <w:rsid w:val="00F709BE"/>
    <w:rsid w:val="00F756F0"/>
    <w:rsid w:val="00F75945"/>
    <w:rsid w:val="00F75CC0"/>
    <w:rsid w:val="00F77570"/>
    <w:rsid w:val="00F80E7E"/>
    <w:rsid w:val="00F8102E"/>
    <w:rsid w:val="00F814AC"/>
    <w:rsid w:val="00F826CF"/>
    <w:rsid w:val="00F82972"/>
    <w:rsid w:val="00F82A47"/>
    <w:rsid w:val="00F82B61"/>
    <w:rsid w:val="00F834DD"/>
    <w:rsid w:val="00F834EF"/>
    <w:rsid w:val="00F8352B"/>
    <w:rsid w:val="00F83FD1"/>
    <w:rsid w:val="00F83FFD"/>
    <w:rsid w:val="00F847D7"/>
    <w:rsid w:val="00F876C4"/>
    <w:rsid w:val="00F90871"/>
    <w:rsid w:val="00F91639"/>
    <w:rsid w:val="00F91C12"/>
    <w:rsid w:val="00F92066"/>
    <w:rsid w:val="00F9289F"/>
    <w:rsid w:val="00F93501"/>
    <w:rsid w:val="00F93C59"/>
    <w:rsid w:val="00F94569"/>
    <w:rsid w:val="00F9505E"/>
    <w:rsid w:val="00F964CA"/>
    <w:rsid w:val="00FA0E50"/>
    <w:rsid w:val="00FA17E7"/>
    <w:rsid w:val="00FA62FB"/>
    <w:rsid w:val="00FA6A85"/>
    <w:rsid w:val="00FA6E91"/>
    <w:rsid w:val="00FB2CA6"/>
    <w:rsid w:val="00FB48F7"/>
    <w:rsid w:val="00FB506D"/>
    <w:rsid w:val="00FB6F19"/>
    <w:rsid w:val="00FB7D89"/>
    <w:rsid w:val="00FB7FE5"/>
    <w:rsid w:val="00FC1301"/>
    <w:rsid w:val="00FC4CFD"/>
    <w:rsid w:val="00FC5963"/>
    <w:rsid w:val="00FC5AE2"/>
    <w:rsid w:val="00FC7CBF"/>
    <w:rsid w:val="00FD018D"/>
    <w:rsid w:val="00FD0D0D"/>
    <w:rsid w:val="00FD0FF0"/>
    <w:rsid w:val="00FD1D93"/>
    <w:rsid w:val="00FD30FB"/>
    <w:rsid w:val="00FD540E"/>
    <w:rsid w:val="00FD5E1C"/>
    <w:rsid w:val="00FD61ED"/>
    <w:rsid w:val="00FD6203"/>
    <w:rsid w:val="00FD67EE"/>
    <w:rsid w:val="00FD6DFD"/>
    <w:rsid w:val="00FD773B"/>
    <w:rsid w:val="00FD7AFF"/>
    <w:rsid w:val="00FE038B"/>
    <w:rsid w:val="00FE090B"/>
    <w:rsid w:val="00FE0FF9"/>
    <w:rsid w:val="00FE1875"/>
    <w:rsid w:val="00FE198D"/>
    <w:rsid w:val="00FE3E9C"/>
    <w:rsid w:val="00FE40CF"/>
    <w:rsid w:val="00FE51E3"/>
    <w:rsid w:val="00FE54AB"/>
    <w:rsid w:val="00FF0F56"/>
    <w:rsid w:val="00FF241C"/>
    <w:rsid w:val="00FF2467"/>
    <w:rsid w:val="00FF3621"/>
    <w:rsid w:val="00FF3F3B"/>
    <w:rsid w:val="00FF40EB"/>
    <w:rsid w:val="00FF45AE"/>
    <w:rsid w:val="00FF4DE8"/>
    <w:rsid w:val="00FF58FB"/>
    <w:rsid w:val="00FF77C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6F8F"/>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Normal"/>
    <w:link w:val="ATpamattekstsChar"/>
    <w:qFormat/>
    <w:rsid w:val="00DB15E9"/>
    <w:pPr>
      <w:spacing w:line="276" w:lineRule="auto"/>
      <w:ind w:firstLine="567"/>
      <w:jc w:val="both"/>
    </w:pPr>
  </w:style>
  <w:style w:type="character" w:customStyle="1" w:styleId="ATpamattekstsChar">
    <w:name w:val="AT pamatteksts Char"/>
    <w:basedOn w:val="DefaultParagraphFont"/>
    <w:link w:val="ATpamatteksts"/>
    <w:rsid w:val="00DB15E9"/>
    <w:rPr>
      <w:rFonts w:eastAsia="Times New Roman" w:cs="Times New Roman"/>
      <w:szCs w:val="24"/>
      <w:lang w:eastAsia="ru-RU"/>
    </w:rPr>
  </w:style>
  <w:style w:type="table" w:styleId="TableGrid">
    <w:name w:val="Table Grid"/>
    <w:basedOn w:val="TableNormal"/>
    <w:uiPriority w:val="39"/>
    <w:rsid w:val="0015480A"/>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269FC"/>
    <w:rPr>
      <w:color w:val="0563C1" w:themeColor="hyperlink"/>
      <w:u w:val="single"/>
    </w:rPr>
  </w:style>
  <w:style w:type="character" w:customStyle="1" w:styleId="UnresolvedMention1">
    <w:name w:val="Unresolved Mention1"/>
    <w:basedOn w:val="DefaultParagraphFont"/>
    <w:uiPriority w:val="99"/>
    <w:semiHidden/>
    <w:unhideWhenUsed/>
    <w:rsid w:val="008269FC"/>
    <w:rPr>
      <w:color w:val="605E5C"/>
      <w:shd w:val="clear" w:color="auto" w:fill="E1DFDD"/>
    </w:rPr>
  </w:style>
  <w:style w:type="character" w:customStyle="1" w:styleId="A2">
    <w:name w:val="A2"/>
    <w:uiPriority w:val="99"/>
    <w:rsid w:val="001E73C7"/>
    <w:rPr>
      <w:rFonts w:cs="Minion Pro"/>
      <w:color w:val="000000"/>
      <w:sz w:val="22"/>
      <w:szCs w:val="22"/>
    </w:rPr>
  </w:style>
  <w:style w:type="paragraph" w:styleId="Revision">
    <w:name w:val="Revision"/>
    <w:hidden/>
    <w:uiPriority w:val="99"/>
    <w:semiHidden/>
    <w:rsid w:val="008319B8"/>
    <w:pPr>
      <w:spacing w:after="0" w:line="240" w:lineRule="auto"/>
    </w:pPr>
    <w:rPr>
      <w:rFonts w:eastAsia="Times New Roman" w:cs="Times New Roman"/>
      <w:szCs w:val="24"/>
      <w:lang w:eastAsia="ru-RU"/>
    </w:rPr>
  </w:style>
  <w:style w:type="character" w:styleId="FollowedHyperlink">
    <w:name w:val="FollowedHyperlink"/>
    <w:basedOn w:val="DefaultParagraphFont"/>
    <w:uiPriority w:val="99"/>
    <w:semiHidden/>
    <w:unhideWhenUsed/>
    <w:rsid w:val="00016F99"/>
    <w:rPr>
      <w:color w:val="954F72" w:themeColor="followedHyperlink"/>
      <w:u w:val="single"/>
    </w:rPr>
  </w:style>
  <w:style w:type="table" w:customStyle="1" w:styleId="TableGrid1">
    <w:name w:val="Table Grid1"/>
    <w:basedOn w:val="TableNormal"/>
    <w:next w:val="TableGrid"/>
    <w:uiPriority w:val="39"/>
    <w:rsid w:val="002E320D"/>
    <w:pPr>
      <w:spacing w:after="0" w:line="240" w:lineRule="auto"/>
    </w:pPr>
    <w:rPr>
      <w:rFonts w:asciiTheme="minorHAnsi" w:hAnsiTheme="minorHAns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FC7CBF"/>
    <w:pPr>
      <w:spacing w:before="100" w:beforeAutospacing="1" w:after="100" w:afterAutospacing="1"/>
    </w:pPr>
    <w:rPr>
      <w:lang w:val="en-US" w:eastAsia="en-US"/>
    </w:rPr>
  </w:style>
  <w:style w:type="paragraph" w:styleId="NormalWeb">
    <w:name w:val="Normal (Web)"/>
    <w:basedOn w:val="Normal"/>
    <w:uiPriority w:val="99"/>
    <w:unhideWhenUsed/>
    <w:rsid w:val="00F07BA7"/>
    <w:pPr>
      <w:spacing w:before="100" w:beforeAutospacing="1" w:after="100" w:afterAutospacing="1"/>
    </w:pPr>
    <w:rPr>
      <w:lang w:eastAsia="lv-LV"/>
    </w:rPr>
  </w:style>
  <w:style w:type="character" w:styleId="UnresolvedMention">
    <w:name w:val="Unresolved Mention"/>
    <w:basedOn w:val="DefaultParagraphFont"/>
    <w:uiPriority w:val="99"/>
    <w:semiHidden/>
    <w:unhideWhenUsed/>
    <w:rsid w:val="00331E9E"/>
    <w:rPr>
      <w:color w:val="605E5C"/>
      <w:shd w:val="clear" w:color="auto" w:fill="E1DFDD"/>
    </w:rPr>
  </w:style>
  <w:style w:type="paragraph" w:styleId="ListParagraph">
    <w:name w:val="List Paragraph"/>
    <w:basedOn w:val="Normal"/>
    <w:uiPriority w:val="34"/>
    <w:qFormat/>
    <w:rsid w:val="002A0CD0"/>
    <w:pPr>
      <w:ind w:left="720"/>
      <w:contextualSpacing/>
    </w:pPr>
  </w:style>
  <w:style w:type="paragraph" w:customStyle="1" w:styleId="Default">
    <w:name w:val="Default"/>
    <w:basedOn w:val="Normal"/>
    <w:rsid w:val="005E334C"/>
    <w:pPr>
      <w:autoSpaceDE w:val="0"/>
      <w:autoSpaceDN w:val="0"/>
    </w:pPr>
    <w:rPr>
      <w:rFonts w:eastAsiaTheme="minorHAnsi"/>
      <w:color w:val="000000"/>
      <w:lang w:eastAsia="lv-LV"/>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789831">
      <w:bodyDiv w:val="1"/>
      <w:marLeft w:val="0"/>
      <w:marRight w:val="0"/>
      <w:marTop w:val="0"/>
      <w:marBottom w:val="0"/>
      <w:divBdr>
        <w:top w:val="none" w:sz="0" w:space="0" w:color="auto"/>
        <w:left w:val="none" w:sz="0" w:space="0" w:color="auto"/>
        <w:bottom w:val="none" w:sz="0" w:space="0" w:color="auto"/>
        <w:right w:val="none" w:sz="0" w:space="0" w:color="auto"/>
      </w:divBdr>
    </w:div>
    <w:div w:id="380785702">
      <w:bodyDiv w:val="1"/>
      <w:marLeft w:val="0"/>
      <w:marRight w:val="0"/>
      <w:marTop w:val="0"/>
      <w:marBottom w:val="0"/>
      <w:divBdr>
        <w:top w:val="none" w:sz="0" w:space="0" w:color="auto"/>
        <w:left w:val="none" w:sz="0" w:space="0" w:color="auto"/>
        <w:bottom w:val="none" w:sz="0" w:space="0" w:color="auto"/>
        <w:right w:val="none" w:sz="0" w:space="0" w:color="auto"/>
      </w:divBdr>
    </w:div>
    <w:div w:id="522288841">
      <w:bodyDiv w:val="1"/>
      <w:marLeft w:val="0"/>
      <w:marRight w:val="0"/>
      <w:marTop w:val="0"/>
      <w:marBottom w:val="0"/>
      <w:divBdr>
        <w:top w:val="none" w:sz="0" w:space="0" w:color="auto"/>
        <w:left w:val="none" w:sz="0" w:space="0" w:color="auto"/>
        <w:bottom w:val="none" w:sz="0" w:space="0" w:color="auto"/>
        <w:right w:val="none" w:sz="0" w:space="0" w:color="auto"/>
      </w:divBdr>
    </w:div>
    <w:div w:id="765419221">
      <w:bodyDiv w:val="1"/>
      <w:marLeft w:val="0"/>
      <w:marRight w:val="0"/>
      <w:marTop w:val="0"/>
      <w:marBottom w:val="0"/>
      <w:divBdr>
        <w:top w:val="none" w:sz="0" w:space="0" w:color="auto"/>
        <w:left w:val="none" w:sz="0" w:space="0" w:color="auto"/>
        <w:bottom w:val="none" w:sz="0" w:space="0" w:color="auto"/>
        <w:right w:val="none" w:sz="0" w:space="0" w:color="auto"/>
      </w:divBdr>
    </w:div>
    <w:div w:id="797140721">
      <w:bodyDiv w:val="1"/>
      <w:marLeft w:val="0"/>
      <w:marRight w:val="0"/>
      <w:marTop w:val="0"/>
      <w:marBottom w:val="0"/>
      <w:divBdr>
        <w:top w:val="none" w:sz="0" w:space="0" w:color="auto"/>
        <w:left w:val="none" w:sz="0" w:space="0" w:color="auto"/>
        <w:bottom w:val="none" w:sz="0" w:space="0" w:color="auto"/>
        <w:right w:val="none" w:sz="0" w:space="0" w:color="auto"/>
      </w:divBdr>
    </w:div>
    <w:div w:id="824319013">
      <w:bodyDiv w:val="1"/>
      <w:marLeft w:val="0"/>
      <w:marRight w:val="0"/>
      <w:marTop w:val="0"/>
      <w:marBottom w:val="0"/>
      <w:divBdr>
        <w:top w:val="none" w:sz="0" w:space="0" w:color="auto"/>
        <w:left w:val="none" w:sz="0" w:space="0" w:color="auto"/>
        <w:bottom w:val="none" w:sz="0" w:space="0" w:color="auto"/>
        <w:right w:val="none" w:sz="0" w:space="0" w:color="auto"/>
      </w:divBdr>
    </w:div>
    <w:div w:id="850293174">
      <w:bodyDiv w:val="1"/>
      <w:marLeft w:val="0"/>
      <w:marRight w:val="0"/>
      <w:marTop w:val="0"/>
      <w:marBottom w:val="0"/>
      <w:divBdr>
        <w:top w:val="none" w:sz="0" w:space="0" w:color="auto"/>
        <w:left w:val="none" w:sz="0" w:space="0" w:color="auto"/>
        <w:bottom w:val="none" w:sz="0" w:space="0" w:color="auto"/>
        <w:right w:val="none" w:sz="0" w:space="0" w:color="auto"/>
      </w:divBdr>
    </w:div>
    <w:div w:id="912084916">
      <w:bodyDiv w:val="1"/>
      <w:marLeft w:val="0"/>
      <w:marRight w:val="0"/>
      <w:marTop w:val="0"/>
      <w:marBottom w:val="0"/>
      <w:divBdr>
        <w:top w:val="none" w:sz="0" w:space="0" w:color="auto"/>
        <w:left w:val="none" w:sz="0" w:space="0" w:color="auto"/>
        <w:bottom w:val="none" w:sz="0" w:space="0" w:color="auto"/>
        <w:right w:val="none" w:sz="0" w:space="0" w:color="auto"/>
      </w:divBdr>
    </w:div>
    <w:div w:id="1032655782">
      <w:bodyDiv w:val="1"/>
      <w:marLeft w:val="0"/>
      <w:marRight w:val="0"/>
      <w:marTop w:val="0"/>
      <w:marBottom w:val="0"/>
      <w:divBdr>
        <w:top w:val="none" w:sz="0" w:space="0" w:color="auto"/>
        <w:left w:val="none" w:sz="0" w:space="0" w:color="auto"/>
        <w:bottom w:val="none" w:sz="0" w:space="0" w:color="auto"/>
        <w:right w:val="none" w:sz="0" w:space="0" w:color="auto"/>
      </w:divBdr>
    </w:div>
    <w:div w:id="1079715640">
      <w:bodyDiv w:val="1"/>
      <w:marLeft w:val="0"/>
      <w:marRight w:val="0"/>
      <w:marTop w:val="0"/>
      <w:marBottom w:val="0"/>
      <w:divBdr>
        <w:top w:val="none" w:sz="0" w:space="0" w:color="auto"/>
        <w:left w:val="none" w:sz="0" w:space="0" w:color="auto"/>
        <w:bottom w:val="none" w:sz="0" w:space="0" w:color="auto"/>
        <w:right w:val="none" w:sz="0" w:space="0" w:color="auto"/>
      </w:divBdr>
      <w:divsChild>
        <w:div w:id="779758198">
          <w:marLeft w:val="0"/>
          <w:marRight w:val="0"/>
          <w:marTop w:val="0"/>
          <w:marBottom w:val="0"/>
          <w:divBdr>
            <w:top w:val="none" w:sz="0" w:space="0" w:color="auto"/>
            <w:left w:val="none" w:sz="0" w:space="0" w:color="auto"/>
            <w:bottom w:val="none" w:sz="0" w:space="0" w:color="auto"/>
            <w:right w:val="none" w:sz="0" w:space="0" w:color="auto"/>
          </w:divBdr>
        </w:div>
      </w:divsChild>
    </w:div>
    <w:div w:id="1175269281">
      <w:bodyDiv w:val="1"/>
      <w:marLeft w:val="0"/>
      <w:marRight w:val="0"/>
      <w:marTop w:val="0"/>
      <w:marBottom w:val="0"/>
      <w:divBdr>
        <w:top w:val="none" w:sz="0" w:space="0" w:color="auto"/>
        <w:left w:val="none" w:sz="0" w:space="0" w:color="auto"/>
        <w:bottom w:val="none" w:sz="0" w:space="0" w:color="auto"/>
        <w:right w:val="none" w:sz="0" w:space="0" w:color="auto"/>
      </w:divBdr>
    </w:div>
    <w:div w:id="1189022450">
      <w:bodyDiv w:val="1"/>
      <w:marLeft w:val="0"/>
      <w:marRight w:val="0"/>
      <w:marTop w:val="0"/>
      <w:marBottom w:val="0"/>
      <w:divBdr>
        <w:top w:val="none" w:sz="0" w:space="0" w:color="auto"/>
        <w:left w:val="none" w:sz="0" w:space="0" w:color="auto"/>
        <w:bottom w:val="none" w:sz="0" w:space="0" w:color="auto"/>
        <w:right w:val="none" w:sz="0" w:space="0" w:color="auto"/>
      </w:divBdr>
    </w:div>
    <w:div w:id="1280720213">
      <w:bodyDiv w:val="1"/>
      <w:marLeft w:val="0"/>
      <w:marRight w:val="0"/>
      <w:marTop w:val="0"/>
      <w:marBottom w:val="0"/>
      <w:divBdr>
        <w:top w:val="none" w:sz="0" w:space="0" w:color="auto"/>
        <w:left w:val="none" w:sz="0" w:space="0" w:color="auto"/>
        <w:bottom w:val="none" w:sz="0" w:space="0" w:color="auto"/>
        <w:right w:val="none" w:sz="0" w:space="0" w:color="auto"/>
      </w:divBdr>
    </w:div>
    <w:div w:id="1336034451">
      <w:bodyDiv w:val="1"/>
      <w:marLeft w:val="0"/>
      <w:marRight w:val="0"/>
      <w:marTop w:val="0"/>
      <w:marBottom w:val="0"/>
      <w:divBdr>
        <w:top w:val="none" w:sz="0" w:space="0" w:color="auto"/>
        <w:left w:val="none" w:sz="0" w:space="0" w:color="auto"/>
        <w:bottom w:val="none" w:sz="0" w:space="0" w:color="auto"/>
        <w:right w:val="none" w:sz="0" w:space="0" w:color="auto"/>
      </w:divBdr>
    </w:div>
    <w:div w:id="1633630213">
      <w:bodyDiv w:val="1"/>
      <w:marLeft w:val="0"/>
      <w:marRight w:val="0"/>
      <w:marTop w:val="0"/>
      <w:marBottom w:val="0"/>
      <w:divBdr>
        <w:top w:val="none" w:sz="0" w:space="0" w:color="auto"/>
        <w:left w:val="none" w:sz="0" w:space="0" w:color="auto"/>
        <w:bottom w:val="none" w:sz="0" w:space="0" w:color="auto"/>
        <w:right w:val="none" w:sz="0" w:space="0" w:color="auto"/>
      </w:divBdr>
    </w:div>
    <w:div w:id="197185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7980-latvijas-republikas-satversme" TargetMode="External"/><Relationship Id="rId13" Type="http://schemas.openxmlformats.org/officeDocument/2006/relationships/hyperlink" Target="https://manas.tiesas.lv/eTiesasMvc/eclinolemumi/ECLI:LV:AT:2019:0924.SKA152819.4.L" TargetMode="External"/><Relationship Id="rId18" Type="http://schemas.openxmlformats.org/officeDocument/2006/relationships/hyperlink" Target="https://rm.coe.int/16804e3398"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gateway.elieta.lv/api/v1/PublicMaterialDownload/aa38736e-e663-4f1a-aa12-626090842f4c" TargetMode="External"/><Relationship Id="rId12" Type="http://schemas.openxmlformats.org/officeDocument/2006/relationships/hyperlink" Target="https://gateway.elieta.lv/api/v1/PublicMaterialDownload/4d330535-6be1-4a2c-9fbd-4a4ee8b40e91" TargetMode="External"/><Relationship Id="rId17" Type="http://schemas.openxmlformats.org/officeDocument/2006/relationships/hyperlink" Target="https://juris.curia.europa.eu/juris/showPdf.jsf?text=&amp;docid=45352&amp;pageIndex=0&amp;doclang=EN&amp;mode=req&amp;dir=&amp;occ=first&amp;part=1&amp;cid=2957509" TargetMode="External"/><Relationship Id="rId2" Type="http://schemas.openxmlformats.org/officeDocument/2006/relationships/styles" Target="styles.xml"/><Relationship Id="rId16" Type="http://schemas.openxmlformats.org/officeDocument/2006/relationships/hyperlink" Target="https://rm.coe.int/16804e3398"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ateway.elieta.lv/api/v1/PublicMaterialDownload/1f51ae29-1329-4b0d-9452-b18e89725eea" TargetMode="External"/><Relationship Id="rId5" Type="http://schemas.openxmlformats.org/officeDocument/2006/relationships/footnotes" Target="footnotes.xml"/><Relationship Id="rId15" Type="http://schemas.openxmlformats.org/officeDocument/2006/relationships/hyperlink" Target="https://www.riigiteataja.ee/en/eli/ee/507062016001/consolide" TargetMode="External"/><Relationship Id="rId10" Type="http://schemas.openxmlformats.org/officeDocument/2006/relationships/hyperlink" Target="https://gateway.elieta.lv/api/v1/PublicMaterialDownload/1f51ae29-1329-4b0d-9452-b18e89725eea"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gateway.elieta.lv/api/v1/PublicMaterialDownload/9e7c62d8-2067-4a91-8498-fdd1074c8147" TargetMode="External"/><Relationship Id="rId14" Type="http://schemas.openxmlformats.org/officeDocument/2006/relationships/hyperlink" Target="https://likumi.lv/ta/id/555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14366</Words>
  <Characters>8190</Characters>
  <Application>Microsoft Office Word</Application>
  <DocSecurity>0</DocSecurity>
  <Lines>68</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2026-07-23T16:08:00Z</dcterms:created>
  <dcterms:modified xsi:type="dcterms:W3CDTF">2026-07-24T05:01:00Z</dcterms:modified>
</cp:coreProperties>
</file>