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6DA48" w14:textId="5F0E001B" w:rsidR="00447EE6" w:rsidRDefault="00EF387A" w:rsidP="005922BA">
      <w:pPr>
        <w:spacing w:line="276" w:lineRule="auto"/>
        <w:jc w:val="both"/>
        <w:rPr>
          <w:b/>
          <w:bCs/>
          <w:lang w:eastAsia="lv-LV"/>
        </w:rPr>
      </w:pPr>
      <w:r>
        <w:rPr>
          <w:b/>
          <w:bCs/>
        </w:rPr>
        <w:t xml:space="preserve">Kombinētās nomenklatūras piemērošana: siltumnīcu komplektējošu elementu nošķiršana no siltumnīcām pilnā to komplektācijā </w:t>
      </w:r>
    </w:p>
    <w:p w14:paraId="0C01C3EE" w14:textId="77777777" w:rsidR="005922BA" w:rsidRPr="005922BA" w:rsidRDefault="005922BA" w:rsidP="005922BA">
      <w:pPr>
        <w:spacing w:line="276" w:lineRule="auto"/>
        <w:jc w:val="both"/>
        <w:rPr>
          <w:b/>
          <w:bCs/>
          <w:lang w:eastAsia="lv-LV"/>
        </w:rPr>
      </w:pPr>
    </w:p>
    <w:p w14:paraId="55E0E475" w14:textId="7B5E2D57" w:rsidR="00447EE6" w:rsidRPr="00011547" w:rsidRDefault="00447EE6" w:rsidP="005922BA">
      <w:pPr>
        <w:spacing w:before="120" w:line="276" w:lineRule="auto"/>
        <w:jc w:val="center"/>
        <w:rPr>
          <w:b/>
        </w:rPr>
      </w:pPr>
      <w:r w:rsidRPr="00011547">
        <w:rPr>
          <w:b/>
        </w:rPr>
        <w:t>Latvijas Republikas Senāt</w:t>
      </w:r>
      <w:r w:rsidR="005922BA">
        <w:rPr>
          <w:b/>
        </w:rPr>
        <w:t>a</w:t>
      </w:r>
      <w:r w:rsidR="005922BA">
        <w:rPr>
          <w:b/>
        </w:rPr>
        <w:br/>
        <w:t>Administratīvo lietu departamenta</w:t>
      </w:r>
      <w:r w:rsidR="005922BA">
        <w:rPr>
          <w:b/>
        </w:rPr>
        <w:br/>
        <w:t>2026.gada 1.jūlija</w:t>
      </w:r>
    </w:p>
    <w:p w14:paraId="2FA9305A" w14:textId="77777777" w:rsidR="00447EE6" w:rsidRDefault="000E008F" w:rsidP="005922BA">
      <w:pPr>
        <w:spacing w:line="276" w:lineRule="auto"/>
        <w:jc w:val="center"/>
        <w:rPr>
          <w:b/>
        </w:rPr>
      </w:pPr>
      <w:r>
        <w:rPr>
          <w:b/>
        </w:rPr>
        <w:t>RĪCĪBAS SĒDES LĒMUMS</w:t>
      </w:r>
    </w:p>
    <w:p w14:paraId="18734DF4" w14:textId="6286CB4A" w:rsidR="005922BA" w:rsidRPr="005922BA" w:rsidRDefault="005922BA" w:rsidP="005922BA">
      <w:pPr>
        <w:spacing w:line="276" w:lineRule="auto"/>
        <w:jc w:val="center"/>
        <w:rPr>
          <w:b/>
          <w:bCs/>
        </w:rPr>
      </w:pPr>
      <w:r w:rsidRPr="005922BA">
        <w:rPr>
          <w:b/>
          <w:bCs/>
        </w:rPr>
        <w:t>Lieta Nr. A420179423, SKA-470/2026</w:t>
      </w:r>
    </w:p>
    <w:p w14:paraId="2A7B82B9" w14:textId="22984A6D" w:rsidR="005922BA" w:rsidRPr="005922BA" w:rsidRDefault="005922BA" w:rsidP="005922BA">
      <w:pPr>
        <w:spacing w:line="276" w:lineRule="auto"/>
        <w:jc w:val="center"/>
        <w:rPr>
          <w:bCs/>
        </w:rPr>
      </w:pPr>
      <w:hyperlink r:id="rId7" w:history="1">
        <w:r w:rsidRPr="005922BA">
          <w:rPr>
            <w:rStyle w:val="Hyperlink"/>
          </w:rPr>
          <w:t xml:space="preserve"> ECLI:LV:AT:2026:0701.A420179423.10.L</w:t>
        </w:r>
      </w:hyperlink>
    </w:p>
    <w:p w14:paraId="34BCCA7C" w14:textId="77777777" w:rsidR="00A50150" w:rsidRPr="00A50150" w:rsidRDefault="00A50150" w:rsidP="005922BA">
      <w:pPr>
        <w:spacing w:line="276" w:lineRule="auto"/>
        <w:jc w:val="both"/>
        <w:rPr>
          <w:rFonts w:asciiTheme="majorBidi" w:hAnsiTheme="majorBidi" w:cstheme="majorBidi"/>
        </w:rPr>
      </w:pPr>
    </w:p>
    <w:p w14:paraId="4F99E0F2" w14:textId="724DFDE0" w:rsidR="00067CAD" w:rsidRDefault="00A50150" w:rsidP="005922BA">
      <w:pPr>
        <w:spacing w:line="276" w:lineRule="auto"/>
        <w:ind w:firstLine="720"/>
        <w:jc w:val="both"/>
        <w:rPr>
          <w:rFonts w:asciiTheme="majorBidi" w:hAnsiTheme="majorBidi" w:cstheme="majorBidi"/>
        </w:rPr>
      </w:pPr>
      <w:r w:rsidRPr="00A50150">
        <w:rPr>
          <w:rFonts w:asciiTheme="majorBidi" w:hAnsiTheme="majorBidi" w:cstheme="majorBidi"/>
        </w:rPr>
        <w:t>[1]</w:t>
      </w:r>
      <w:r w:rsidR="00630780">
        <w:rPr>
          <w:rFonts w:asciiTheme="majorBidi" w:hAnsiTheme="majorBidi" w:cstheme="majorBidi"/>
        </w:rPr>
        <w:t xml:space="preserve"> </w:t>
      </w:r>
      <w:r w:rsidRPr="00A50150">
        <w:rPr>
          <w:rFonts w:asciiTheme="majorBidi" w:hAnsiTheme="majorBidi" w:cstheme="majorBidi"/>
        </w:rPr>
        <w:t xml:space="preserve">Senātā saņemta </w:t>
      </w:r>
      <w:r w:rsidR="00C61C30">
        <w:rPr>
          <w:rFonts w:asciiTheme="majorBidi" w:hAnsiTheme="majorBidi" w:cstheme="majorBidi"/>
        </w:rPr>
        <w:t>pieteicējas</w:t>
      </w:r>
      <w:r w:rsidR="00067CAD">
        <w:rPr>
          <w:rFonts w:asciiTheme="majorBidi" w:hAnsiTheme="majorBidi" w:cstheme="majorBidi"/>
        </w:rPr>
        <w:t xml:space="preserve"> – sabiedrības ar ierobežotu atbildību ,,AVERTO”</w:t>
      </w:r>
      <w:r w:rsidR="00BB6EA3">
        <w:rPr>
          <w:rFonts w:asciiTheme="majorBidi" w:hAnsiTheme="majorBidi" w:cstheme="majorBidi"/>
        </w:rPr>
        <w:t> </w:t>
      </w:r>
      <w:r w:rsidR="00067CAD">
        <w:rPr>
          <w:rFonts w:asciiTheme="majorBidi" w:hAnsiTheme="majorBidi" w:cstheme="majorBidi"/>
        </w:rPr>
        <w:t xml:space="preserve">– kasācijas </w:t>
      </w:r>
      <w:r w:rsidRPr="00A50150">
        <w:rPr>
          <w:rFonts w:asciiTheme="majorBidi" w:hAnsiTheme="majorBidi" w:cstheme="majorBidi"/>
        </w:rPr>
        <w:t xml:space="preserve">sūdzība par Administratīvās </w:t>
      </w:r>
      <w:r w:rsidR="00630780">
        <w:rPr>
          <w:rFonts w:asciiTheme="majorBidi" w:hAnsiTheme="majorBidi" w:cstheme="majorBidi"/>
        </w:rPr>
        <w:t>apgabaltiesas</w:t>
      </w:r>
      <w:r w:rsidRPr="00A50150">
        <w:rPr>
          <w:rFonts w:asciiTheme="majorBidi" w:hAnsiTheme="majorBidi" w:cstheme="majorBidi"/>
        </w:rPr>
        <w:t xml:space="preserve"> </w:t>
      </w:r>
      <w:r w:rsidR="00452ABD">
        <w:rPr>
          <w:rFonts w:asciiTheme="majorBidi" w:hAnsiTheme="majorBidi" w:cstheme="majorBidi"/>
        </w:rPr>
        <w:t>202</w:t>
      </w:r>
      <w:r w:rsidR="00067CAD">
        <w:rPr>
          <w:rFonts w:asciiTheme="majorBidi" w:hAnsiTheme="majorBidi" w:cstheme="majorBidi"/>
        </w:rPr>
        <w:t>5</w:t>
      </w:r>
      <w:r w:rsidR="00452ABD">
        <w:rPr>
          <w:rFonts w:asciiTheme="majorBidi" w:hAnsiTheme="majorBidi" w:cstheme="majorBidi"/>
        </w:rPr>
        <w:t xml:space="preserve">.gada </w:t>
      </w:r>
      <w:r w:rsidR="00630780">
        <w:rPr>
          <w:rFonts w:asciiTheme="majorBidi" w:hAnsiTheme="majorBidi" w:cstheme="majorBidi"/>
        </w:rPr>
        <w:t>1</w:t>
      </w:r>
      <w:r w:rsidR="00067CAD">
        <w:rPr>
          <w:rFonts w:asciiTheme="majorBidi" w:hAnsiTheme="majorBidi" w:cstheme="majorBidi"/>
        </w:rPr>
        <w:t>6</w:t>
      </w:r>
      <w:r w:rsidR="00452ABD">
        <w:rPr>
          <w:rFonts w:asciiTheme="majorBidi" w:hAnsiTheme="majorBidi" w:cstheme="majorBidi"/>
        </w:rPr>
        <w:t>.</w:t>
      </w:r>
      <w:r w:rsidR="00067CAD">
        <w:rPr>
          <w:rFonts w:asciiTheme="majorBidi" w:hAnsiTheme="majorBidi" w:cstheme="majorBidi"/>
        </w:rPr>
        <w:t>decembra spriedumu</w:t>
      </w:r>
      <w:r w:rsidRPr="00A50150">
        <w:rPr>
          <w:rFonts w:asciiTheme="majorBidi" w:hAnsiTheme="majorBidi" w:cstheme="majorBidi"/>
        </w:rPr>
        <w:t>, ar kuru</w:t>
      </w:r>
      <w:r w:rsidR="00630780">
        <w:rPr>
          <w:rFonts w:asciiTheme="majorBidi" w:hAnsiTheme="majorBidi" w:cstheme="majorBidi"/>
        </w:rPr>
        <w:t xml:space="preserve"> </w:t>
      </w:r>
      <w:r w:rsidR="00067CAD">
        <w:rPr>
          <w:rFonts w:asciiTheme="majorBidi" w:hAnsiTheme="majorBidi" w:cstheme="majorBidi"/>
        </w:rPr>
        <w:t>noraidīts pieteicējas pieteikums par Val</w:t>
      </w:r>
      <w:r w:rsidR="00FE4A26">
        <w:rPr>
          <w:rFonts w:asciiTheme="majorBidi" w:hAnsiTheme="majorBidi" w:cstheme="majorBidi"/>
        </w:rPr>
        <w:t>s</w:t>
      </w:r>
      <w:r w:rsidR="00067CAD">
        <w:rPr>
          <w:rFonts w:asciiTheme="majorBidi" w:hAnsiTheme="majorBidi" w:cstheme="majorBidi"/>
        </w:rPr>
        <w:t xml:space="preserve">ts </w:t>
      </w:r>
      <w:r w:rsidR="00067CAD" w:rsidRPr="00067CAD">
        <w:rPr>
          <w:rFonts w:asciiTheme="majorBidi" w:hAnsiTheme="majorBidi" w:cstheme="majorBidi"/>
        </w:rPr>
        <w:t>ieņēmumu dienesta 2023.gada 18.maija lēmuma Nr.</w:t>
      </w:r>
      <w:r w:rsidR="00067CAD">
        <w:rPr>
          <w:rFonts w:asciiTheme="majorBidi" w:hAnsiTheme="majorBidi" w:cstheme="majorBidi"/>
        </w:rPr>
        <w:t> </w:t>
      </w:r>
      <w:r w:rsidR="00067CAD" w:rsidRPr="00067CAD">
        <w:rPr>
          <w:rFonts w:asciiTheme="majorBidi" w:hAnsiTheme="majorBidi" w:cstheme="majorBidi"/>
        </w:rPr>
        <w:t>30.1/22.9/1997 atcelšanu.</w:t>
      </w:r>
      <w:r w:rsidR="00373DC8">
        <w:rPr>
          <w:rFonts w:asciiTheme="majorBidi" w:hAnsiTheme="majorBidi" w:cstheme="majorBidi"/>
        </w:rPr>
        <w:t xml:space="preserve"> Ar minēto lēmumu tika konstatēts, ka</w:t>
      </w:r>
      <w:r w:rsidR="00025A01">
        <w:rPr>
          <w:rFonts w:asciiTheme="majorBidi" w:hAnsiTheme="majorBidi" w:cstheme="majorBidi"/>
        </w:rPr>
        <w:t>: 1) </w:t>
      </w:r>
      <w:r w:rsidR="00373DC8">
        <w:rPr>
          <w:rFonts w:asciiTheme="majorBidi" w:hAnsiTheme="majorBidi" w:cstheme="majorBidi"/>
        </w:rPr>
        <w:t>pieteicēja</w:t>
      </w:r>
      <w:r w:rsidR="00025A01">
        <w:rPr>
          <w:rFonts w:asciiTheme="majorBidi" w:hAnsiTheme="majorBidi" w:cstheme="majorBidi"/>
        </w:rPr>
        <w:t xml:space="preserve"> </w:t>
      </w:r>
      <w:r w:rsidR="00373DC8">
        <w:rPr>
          <w:rFonts w:asciiTheme="majorBidi" w:hAnsiTheme="majorBidi" w:cstheme="majorBidi"/>
        </w:rPr>
        <w:t xml:space="preserve">muitas deklarācijā, piesakot muitas procedūru </w:t>
      </w:r>
      <w:r w:rsidR="005D0C3D">
        <w:rPr>
          <w:rFonts w:asciiTheme="majorBidi" w:hAnsiTheme="majorBidi" w:cstheme="majorBidi"/>
        </w:rPr>
        <w:t>„</w:t>
      </w:r>
      <w:r w:rsidR="00373DC8">
        <w:rPr>
          <w:rFonts w:asciiTheme="majorBidi" w:hAnsiTheme="majorBidi" w:cstheme="majorBidi"/>
        </w:rPr>
        <w:t>laišana brīvā apgrozībā”, deklarēja Baltkrievijas izcelsmes preces ar neatbilstošu k</w:t>
      </w:r>
      <w:r w:rsidR="00373DC8" w:rsidRPr="00373DC8">
        <w:rPr>
          <w:rFonts w:asciiTheme="majorBidi" w:hAnsiTheme="majorBidi" w:cstheme="majorBidi"/>
        </w:rPr>
        <w:t xml:space="preserve">ombinētās nomenklatūras </w:t>
      </w:r>
      <w:r w:rsidR="00494EDB">
        <w:rPr>
          <w:rFonts w:asciiTheme="majorBidi" w:hAnsiTheme="majorBidi" w:cstheme="majorBidi"/>
        </w:rPr>
        <w:t xml:space="preserve">(turpmāk – KN) </w:t>
      </w:r>
      <w:r w:rsidR="00CC6777">
        <w:rPr>
          <w:rFonts w:asciiTheme="majorBidi" w:hAnsiTheme="majorBidi" w:cstheme="majorBidi"/>
        </w:rPr>
        <w:t xml:space="preserve">un </w:t>
      </w:r>
      <w:r w:rsidR="00D522F4">
        <w:rPr>
          <w:rFonts w:asciiTheme="majorBidi" w:hAnsiTheme="majorBidi" w:cstheme="majorBidi"/>
        </w:rPr>
        <w:t xml:space="preserve">Kopienas integrētā tarifa </w:t>
      </w:r>
      <w:r w:rsidR="00494EDB">
        <w:rPr>
          <w:rFonts w:asciiTheme="majorBidi" w:hAnsiTheme="majorBidi" w:cstheme="majorBidi"/>
        </w:rPr>
        <w:t xml:space="preserve">(turpmāk – TARIC) </w:t>
      </w:r>
      <w:r w:rsidR="00D522F4">
        <w:rPr>
          <w:rFonts w:asciiTheme="majorBidi" w:hAnsiTheme="majorBidi" w:cstheme="majorBidi"/>
        </w:rPr>
        <w:t>kodu</w:t>
      </w:r>
      <w:r w:rsidR="00CF076B">
        <w:rPr>
          <w:rFonts w:asciiTheme="majorBidi" w:hAnsiTheme="majorBidi" w:cstheme="majorBidi"/>
        </w:rPr>
        <w:t xml:space="preserve"> </w:t>
      </w:r>
      <w:r w:rsidR="00F4236F" w:rsidRPr="00F4236F">
        <w:rPr>
          <w:rFonts w:asciiTheme="majorBidi" w:hAnsiTheme="majorBidi" w:cstheme="majorBidi"/>
        </w:rPr>
        <w:t>9406</w:t>
      </w:r>
      <w:r w:rsidR="000E7930">
        <w:rPr>
          <w:rFonts w:asciiTheme="majorBidi" w:hAnsiTheme="majorBidi" w:cstheme="majorBidi"/>
        </w:rPr>
        <w:t> </w:t>
      </w:r>
      <w:r w:rsidR="00F4236F" w:rsidRPr="00F4236F">
        <w:rPr>
          <w:rFonts w:asciiTheme="majorBidi" w:hAnsiTheme="majorBidi" w:cstheme="majorBidi"/>
        </w:rPr>
        <w:t>90</w:t>
      </w:r>
      <w:r w:rsidR="00B71525">
        <w:rPr>
          <w:rFonts w:asciiTheme="majorBidi" w:hAnsiTheme="majorBidi" w:cstheme="majorBidi"/>
        </w:rPr>
        <w:t> </w:t>
      </w:r>
      <w:r w:rsidR="00F4236F" w:rsidRPr="00F4236F">
        <w:rPr>
          <w:rFonts w:asciiTheme="majorBidi" w:hAnsiTheme="majorBidi" w:cstheme="majorBidi"/>
        </w:rPr>
        <w:t>31</w:t>
      </w:r>
      <w:r w:rsidR="000E7930">
        <w:rPr>
          <w:rFonts w:asciiTheme="majorBidi" w:hAnsiTheme="majorBidi" w:cstheme="majorBidi"/>
        </w:rPr>
        <w:t> </w:t>
      </w:r>
      <w:r w:rsidR="00F4236F" w:rsidRPr="00F4236F">
        <w:rPr>
          <w:rFonts w:asciiTheme="majorBidi" w:hAnsiTheme="majorBidi" w:cstheme="majorBidi"/>
        </w:rPr>
        <w:t>00</w:t>
      </w:r>
      <w:r w:rsidR="00CC6777">
        <w:rPr>
          <w:rFonts w:asciiTheme="majorBidi" w:hAnsiTheme="majorBidi" w:cstheme="majorBidi"/>
        </w:rPr>
        <w:t>:</w:t>
      </w:r>
      <w:r w:rsidR="00F4236F" w:rsidRPr="00F4236F">
        <w:rPr>
          <w:rFonts w:asciiTheme="majorBidi" w:hAnsiTheme="majorBidi" w:cstheme="majorBidi"/>
        </w:rPr>
        <w:t xml:space="preserve"> </w:t>
      </w:r>
      <w:r w:rsidR="00065612">
        <w:rPr>
          <w:rFonts w:asciiTheme="majorBidi" w:hAnsiTheme="majorBidi" w:cstheme="majorBidi"/>
        </w:rPr>
        <w:t xml:space="preserve">saliekamās būvkonstrukcijas </w:t>
      </w:r>
      <w:r w:rsidR="00F4236F" w:rsidRPr="00F4236F">
        <w:rPr>
          <w:rFonts w:asciiTheme="majorBidi" w:hAnsiTheme="majorBidi" w:cstheme="majorBidi"/>
        </w:rPr>
        <w:t xml:space="preserve">(siltumnīcas) un </w:t>
      </w:r>
      <w:r w:rsidR="00065612">
        <w:rPr>
          <w:rFonts w:asciiTheme="majorBidi" w:hAnsiTheme="majorBidi" w:cstheme="majorBidi"/>
        </w:rPr>
        <w:t xml:space="preserve">kodu </w:t>
      </w:r>
      <w:r w:rsidR="00F4236F" w:rsidRPr="00F4236F">
        <w:rPr>
          <w:rFonts w:asciiTheme="majorBidi" w:hAnsiTheme="majorBidi" w:cstheme="majorBidi"/>
        </w:rPr>
        <w:t>3920</w:t>
      </w:r>
      <w:r w:rsidR="000E7930">
        <w:rPr>
          <w:rFonts w:asciiTheme="majorBidi" w:hAnsiTheme="majorBidi" w:cstheme="majorBidi"/>
        </w:rPr>
        <w:t> </w:t>
      </w:r>
      <w:r w:rsidR="00F4236F" w:rsidRPr="00F4236F">
        <w:rPr>
          <w:rFonts w:asciiTheme="majorBidi" w:hAnsiTheme="majorBidi" w:cstheme="majorBidi"/>
        </w:rPr>
        <w:t>61</w:t>
      </w:r>
      <w:r w:rsidR="00B71525">
        <w:rPr>
          <w:rFonts w:asciiTheme="majorBidi" w:hAnsiTheme="majorBidi" w:cstheme="majorBidi"/>
        </w:rPr>
        <w:t> </w:t>
      </w:r>
      <w:r w:rsidR="00F4236F" w:rsidRPr="00F4236F">
        <w:rPr>
          <w:rFonts w:asciiTheme="majorBidi" w:hAnsiTheme="majorBidi" w:cstheme="majorBidi"/>
        </w:rPr>
        <w:t>00</w:t>
      </w:r>
      <w:r w:rsidR="000E7930">
        <w:rPr>
          <w:rFonts w:asciiTheme="majorBidi" w:hAnsiTheme="majorBidi" w:cstheme="majorBidi"/>
        </w:rPr>
        <w:t> </w:t>
      </w:r>
      <w:r w:rsidR="00F4236F" w:rsidRPr="00F4236F">
        <w:rPr>
          <w:rFonts w:asciiTheme="majorBidi" w:hAnsiTheme="majorBidi" w:cstheme="majorBidi"/>
        </w:rPr>
        <w:t>90</w:t>
      </w:r>
      <w:r w:rsidR="00CC6777">
        <w:rPr>
          <w:rFonts w:asciiTheme="majorBidi" w:hAnsiTheme="majorBidi" w:cstheme="majorBidi"/>
        </w:rPr>
        <w:t xml:space="preserve">: </w:t>
      </w:r>
      <w:r w:rsidR="00F4236F" w:rsidRPr="00F4236F">
        <w:rPr>
          <w:rFonts w:asciiTheme="majorBidi" w:hAnsiTheme="majorBidi" w:cstheme="majorBidi"/>
        </w:rPr>
        <w:t>polikarbonāta loksnes</w:t>
      </w:r>
      <w:r w:rsidR="00025A01">
        <w:rPr>
          <w:rFonts w:asciiTheme="majorBidi" w:hAnsiTheme="majorBidi" w:cstheme="majorBidi"/>
        </w:rPr>
        <w:t>; 2) dienests atzina, ka s</w:t>
      </w:r>
      <w:r w:rsidR="00025A01" w:rsidRPr="00025A01">
        <w:rPr>
          <w:rFonts w:asciiTheme="majorBidi" w:hAnsiTheme="majorBidi" w:cstheme="majorBidi"/>
        </w:rPr>
        <w:t>iltumnīcu karkasi ir klasificējami ar TARIC kodu 7308</w:t>
      </w:r>
      <w:r w:rsidR="000E7930">
        <w:rPr>
          <w:rFonts w:asciiTheme="majorBidi" w:hAnsiTheme="majorBidi" w:cstheme="majorBidi"/>
        </w:rPr>
        <w:t> </w:t>
      </w:r>
      <w:r w:rsidR="00025A01" w:rsidRPr="00025A01">
        <w:rPr>
          <w:rFonts w:asciiTheme="majorBidi" w:hAnsiTheme="majorBidi" w:cstheme="majorBidi"/>
        </w:rPr>
        <w:t>90</w:t>
      </w:r>
      <w:r w:rsidR="00B71525">
        <w:rPr>
          <w:rFonts w:asciiTheme="majorBidi" w:hAnsiTheme="majorBidi" w:cstheme="majorBidi"/>
        </w:rPr>
        <w:t> </w:t>
      </w:r>
      <w:r w:rsidR="00025A01" w:rsidRPr="00025A01">
        <w:rPr>
          <w:rFonts w:asciiTheme="majorBidi" w:hAnsiTheme="majorBidi" w:cstheme="majorBidi"/>
        </w:rPr>
        <w:t>98</w:t>
      </w:r>
      <w:r w:rsidR="000E7930">
        <w:rPr>
          <w:rFonts w:asciiTheme="majorBidi" w:hAnsiTheme="majorBidi" w:cstheme="majorBidi"/>
        </w:rPr>
        <w:t> </w:t>
      </w:r>
      <w:r w:rsidR="00025A01" w:rsidRPr="00025A01">
        <w:rPr>
          <w:rFonts w:asciiTheme="majorBidi" w:hAnsiTheme="majorBidi" w:cstheme="majorBidi"/>
        </w:rPr>
        <w:t>90 un vēdlodziņi no cinkota tērauda ar</w:t>
      </w:r>
      <w:r w:rsidR="00F4236F">
        <w:rPr>
          <w:rFonts w:asciiTheme="majorBidi" w:hAnsiTheme="majorBidi" w:cstheme="majorBidi"/>
        </w:rPr>
        <w:t xml:space="preserve"> </w:t>
      </w:r>
      <w:r w:rsidR="00025A01" w:rsidRPr="00025A01">
        <w:rPr>
          <w:rFonts w:asciiTheme="majorBidi" w:hAnsiTheme="majorBidi" w:cstheme="majorBidi"/>
        </w:rPr>
        <w:t>TARIC kodu 7308</w:t>
      </w:r>
      <w:r w:rsidR="000E7930">
        <w:rPr>
          <w:rFonts w:asciiTheme="majorBidi" w:hAnsiTheme="majorBidi" w:cstheme="majorBidi"/>
        </w:rPr>
        <w:t> </w:t>
      </w:r>
      <w:r w:rsidR="00025A01" w:rsidRPr="00025A01">
        <w:rPr>
          <w:rFonts w:asciiTheme="majorBidi" w:hAnsiTheme="majorBidi" w:cstheme="majorBidi"/>
        </w:rPr>
        <w:t>30</w:t>
      </w:r>
      <w:r w:rsidR="00B71525">
        <w:rPr>
          <w:rFonts w:asciiTheme="majorBidi" w:hAnsiTheme="majorBidi" w:cstheme="majorBidi"/>
        </w:rPr>
        <w:t> </w:t>
      </w:r>
      <w:r w:rsidR="00025A01" w:rsidRPr="00025A01">
        <w:rPr>
          <w:rFonts w:asciiTheme="majorBidi" w:hAnsiTheme="majorBidi" w:cstheme="majorBidi"/>
        </w:rPr>
        <w:t>00</w:t>
      </w:r>
      <w:r w:rsidR="000E7930">
        <w:rPr>
          <w:rFonts w:asciiTheme="majorBidi" w:hAnsiTheme="majorBidi" w:cstheme="majorBidi"/>
        </w:rPr>
        <w:t> </w:t>
      </w:r>
      <w:r w:rsidR="00025A01" w:rsidRPr="00025A01">
        <w:rPr>
          <w:rFonts w:asciiTheme="majorBidi" w:hAnsiTheme="majorBidi" w:cstheme="majorBidi"/>
        </w:rPr>
        <w:t>00</w:t>
      </w:r>
      <w:r w:rsidR="00F4236F">
        <w:rPr>
          <w:rFonts w:asciiTheme="majorBidi" w:hAnsiTheme="majorBidi" w:cstheme="majorBidi"/>
        </w:rPr>
        <w:t>, savukārt polikarbonāta loksnes ir klasificējamas ar TARIC kodu 3925</w:t>
      </w:r>
      <w:r w:rsidR="000E7930">
        <w:rPr>
          <w:rFonts w:asciiTheme="majorBidi" w:hAnsiTheme="majorBidi" w:cstheme="majorBidi"/>
        </w:rPr>
        <w:t> </w:t>
      </w:r>
      <w:r w:rsidR="00F4236F">
        <w:rPr>
          <w:rFonts w:asciiTheme="majorBidi" w:hAnsiTheme="majorBidi" w:cstheme="majorBidi"/>
        </w:rPr>
        <w:t>90</w:t>
      </w:r>
      <w:r w:rsidR="00B71525">
        <w:rPr>
          <w:rFonts w:asciiTheme="majorBidi" w:hAnsiTheme="majorBidi" w:cstheme="majorBidi"/>
        </w:rPr>
        <w:t> </w:t>
      </w:r>
      <w:r w:rsidR="00F4236F">
        <w:rPr>
          <w:rFonts w:asciiTheme="majorBidi" w:hAnsiTheme="majorBidi" w:cstheme="majorBidi"/>
        </w:rPr>
        <w:t>80</w:t>
      </w:r>
      <w:r w:rsidR="000E7930">
        <w:rPr>
          <w:rFonts w:asciiTheme="majorBidi" w:hAnsiTheme="majorBidi" w:cstheme="majorBidi"/>
        </w:rPr>
        <w:t> </w:t>
      </w:r>
      <w:r w:rsidR="00F4236F">
        <w:rPr>
          <w:rFonts w:asciiTheme="majorBidi" w:hAnsiTheme="majorBidi" w:cstheme="majorBidi"/>
        </w:rPr>
        <w:t>00</w:t>
      </w:r>
      <w:r w:rsidR="00025A01">
        <w:rPr>
          <w:rFonts w:asciiTheme="majorBidi" w:hAnsiTheme="majorBidi" w:cstheme="majorBidi"/>
        </w:rPr>
        <w:t xml:space="preserve">; 3) dienests konstatēja, </w:t>
      </w:r>
      <w:r w:rsidR="00CF076B">
        <w:rPr>
          <w:rFonts w:asciiTheme="majorBidi" w:hAnsiTheme="majorBidi" w:cstheme="majorBidi"/>
        </w:rPr>
        <w:t xml:space="preserve">ka </w:t>
      </w:r>
      <w:r w:rsidR="00494EDB">
        <w:rPr>
          <w:rFonts w:asciiTheme="majorBidi" w:hAnsiTheme="majorBidi" w:cstheme="majorBidi"/>
        </w:rPr>
        <w:t>KN</w:t>
      </w:r>
      <w:r w:rsidR="00025A01" w:rsidRPr="00025A01">
        <w:rPr>
          <w:rFonts w:asciiTheme="majorBidi" w:hAnsiTheme="majorBidi" w:cstheme="majorBidi"/>
        </w:rPr>
        <w:t xml:space="preserve"> 73.nodaļā</w:t>
      </w:r>
      <w:r w:rsidR="00CF076B">
        <w:rPr>
          <w:rFonts w:asciiTheme="majorBidi" w:hAnsiTheme="majorBidi" w:cstheme="majorBidi"/>
        </w:rPr>
        <w:t xml:space="preserve"> norādītās preces</w:t>
      </w:r>
      <w:r w:rsidR="00F4236F">
        <w:rPr>
          <w:rFonts w:asciiTheme="majorBidi" w:hAnsiTheme="majorBidi" w:cstheme="majorBidi"/>
        </w:rPr>
        <w:t xml:space="preserve"> (siltumnīcu karkasi un vēdlodziņi)</w:t>
      </w:r>
      <w:r w:rsidR="00025A01" w:rsidRPr="00025A01">
        <w:rPr>
          <w:rFonts w:asciiTheme="majorBidi" w:hAnsiTheme="majorBidi" w:cstheme="majorBidi"/>
        </w:rPr>
        <w:t xml:space="preserve"> ir aizliegts importēt Eiropas Savienībā, ja to izcelsme ir Baltkrievijā vai tās ir eksportētas no Baltkrievijas</w:t>
      </w:r>
      <w:r w:rsidR="00F4236F">
        <w:rPr>
          <w:rFonts w:asciiTheme="majorBidi" w:hAnsiTheme="majorBidi" w:cstheme="majorBidi"/>
        </w:rPr>
        <w:t xml:space="preserve">, tāpēc šīm precēm var </w:t>
      </w:r>
      <w:r w:rsidR="005D0C3D">
        <w:rPr>
          <w:rFonts w:asciiTheme="majorBidi" w:hAnsiTheme="majorBidi" w:cstheme="majorBidi"/>
        </w:rPr>
        <w:t xml:space="preserve">vienīgi </w:t>
      </w:r>
      <w:r w:rsidR="00F4236F">
        <w:rPr>
          <w:rFonts w:asciiTheme="majorBidi" w:hAnsiTheme="majorBidi" w:cstheme="majorBidi"/>
        </w:rPr>
        <w:t xml:space="preserve">piemērot muitas procedūru </w:t>
      </w:r>
      <w:r w:rsidR="005D0C3D">
        <w:rPr>
          <w:rFonts w:asciiTheme="majorBidi" w:hAnsiTheme="majorBidi" w:cstheme="majorBidi"/>
        </w:rPr>
        <w:t>„</w:t>
      </w:r>
      <w:r w:rsidR="00F4236F">
        <w:rPr>
          <w:rFonts w:asciiTheme="majorBidi" w:hAnsiTheme="majorBidi" w:cstheme="majorBidi"/>
        </w:rPr>
        <w:t xml:space="preserve">uzglabāšana muitas noliktavā”, </w:t>
      </w:r>
      <w:r w:rsidR="005D0C3D">
        <w:rPr>
          <w:rFonts w:asciiTheme="majorBidi" w:hAnsiTheme="majorBidi" w:cstheme="majorBidi"/>
        </w:rPr>
        <w:t>„</w:t>
      </w:r>
      <w:r w:rsidR="00F4236F">
        <w:rPr>
          <w:rFonts w:asciiTheme="majorBidi" w:hAnsiTheme="majorBidi" w:cstheme="majorBidi"/>
        </w:rPr>
        <w:t xml:space="preserve">uzglabāšana brīvajā zonā” vai </w:t>
      </w:r>
      <w:r w:rsidR="005D0C3D">
        <w:rPr>
          <w:rFonts w:asciiTheme="majorBidi" w:hAnsiTheme="majorBidi" w:cstheme="majorBidi"/>
        </w:rPr>
        <w:t>„</w:t>
      </w:r>
      <w:r w:rsidR="00F4236F">
        <w:rPr>
          <w:rFonts w:asciiTheme="majorBidi" w:hAnsiTheme="majorBidi" w:cstheme="majorBidi"/>
        </w:rPr>
        <w:t xml:space="preserve">ievešana pārstrādei”, kas pieteikta kā pārstrādes darbība </w:t>
      </w:r>
      <w:r w:rsidR="005D0C3D">
        <w:rPr>
          <w:rFonts w:asciiTheme="majorBidi" w:hAnsiTheme="majorBidi" w:cstheme="majorBidi"/>
        </w:rPr>
        <w:t>„</w:t>
      </w:r>
      <w:r w:rsidR="00F4236F">
        <w:rPr>
          <w:rFonts w:asciiTheme="majorBidi" w:hAnsiTheme="majorBidi" w:cstheme="majorBidi"/>
        </w:rPr>
        <w:t>iznīcināšana”, vai arī atteikties no tām par labu valstij.</w:t>
      </w:r>
    </w:p>
    <w:p w14:paraId="3B0C1966" w14:textId="71F57879" w:rsidR="00240F45" w:rsidRDefault="00240F45" w:rsidP="005922BA">
      <w:pPr>
        <w:spacing w:line="276" w:lineRule="auto"/>
        <w:ind w:firstLine="720"/>
        <w:jc w:val="both"/>
      </w:pPr>
      <w:r>
        <w:t>Apgabaltiesa</w:t>
      </w:r>
      <w:r w:rsidR="00D215BB">
        <w:t xml:space="preserve"> </w:t>
      </w:r>
      <w:r>
        <w:t xml:space="preserve">noraidīja pieteicējas argumentus, ka </w:t>
      </w:r>
      <w:r w:rsidR="00322CF3" w:rsidRPr="00322CF3">
        <w:t>deklarētās preces veido saliekamas būvkonstrukcijas (siltumnīcas) elementu kopumu</w:t>
      </w:r>
      <w:r w:rsidR="00CC6777">
        <w:t xml:space="preserve">, kas klasificējamas </w:t>
      </w:r>
      <w:r w:rsidR="003E25E0">
        <w:t xml:space="preserve">atbilstoši </w:t>
      </w:r>
      <w:r w:rsidR="00494EDB">
        <w:t>KN</w:t>
      </w:r>
      <w:r w:rsidR="00CC6777">
        <w:t xml:space="preserve"> pozīcij</w:t>
      </w:r>
      <w:r w:rsidR="003E25E0">
        <w:t>ai</w:t>
      </w:r>
      <w:r w:rsidR="00CC6777">
        <w:t xml:space="preserve"> 9406</w:t>
      </w:r>
      <w:r w:rsidR="00322CF3">
        <w:t xml:space="preserve">, jo </w:t>
      </w:r>
      <w:r w:rsidR="00E7214D" w:rsidRPr="00E7214D">
        <w:t>preču objektīvās īpašības un pazīmes neliecina, ka pieteicēja vienlai</w:t>
      </w:r>
      <w:r w:rsidR="005D0C3D">
        <w:t>kus</w:t>
      </w:r>
      <w:r w:rsidR="00E7214D" w:rsidRPr="00E7214D">
        <w:t xml:space="preserve"> ir ievedusi elementu kopumu 190 siltumnīcu samontēšanai uz vietas</w:t>
      </w:r>
      <w:r w:rsidR="00E25F34" w:rsidRPr="00E25F34">
        <w:t>, kas būtu pilnībā gatavas un pabeigtas, tāpēc pieteicējas deklarētās preces ir atsevišķi siltumnīcu komplektējošie elementi un attiecīgi klasificējamas</w:t>
      </w:r>
      <w:r w:rsidR="00CC6777">
        <w:t xml:space="preserve"> </w:t>
      </w:r>
      <w:r w:rsidR="003E25E0">
        <w:t xml:space="preserve">atbilstoši </w:t>
      </w:r>
      <w:r w:rsidR="00494EDB">
        <w:t>KN</w:t>
      </w:r>
      <w:r w:rsidR="00CC6777">
        <w:t xml:space="preserve"> pozīcij</w:t>
      </w:r>
      <w:r w:rsidR="003E25E0">
        <w:t xml:space="preserve">ai </w:t>
      </w:r>
      <w:r w:rsidR="00CC6777">
        <w:t>7308</w:t>
      </w:r>
      <w:r w:rsidR="00322CF3">
        <w:t xml:space="preserve">. Apgabaltiesa </w:t>
      </w:r>
      <w:r w:rsidR="00322CF3" w:rsidRPr="00322CF3">
        <w:t xml:space="preserve">secināja, ka pieteicēja pasūtīja nevis konkrētu skaitu siltumnīcu pilnā to komplektācijā, bet </w:t>
      </w:r>
      <w:r w:rsidR="00322CF3">
        <w:t xml:space="preserve">siltumnīcu </w:t>
      </w:r>
      <w:r w:rsidR="00322CF3" w:rsidRPr="00322CF3">
        <w:t>komplektējoš</w:t>
      </w:r>
      <w:r w:rsidR="00D215BB">
        <w:t>o</w:t>
      </w:r>
      <w:r w:rsidR="00322CF3" w:rsidRPr="00322CF3">
        <w:t xml:space="preserve"> elementu</w:t>
      </w:r>
      <w:r w:rsidR="00D215BB">
        <w:t xml:space="preserve"> daļas</w:t>
      </w:r>
      <w:r w:rsidR="00322CF3" w:rsidRPr="00322CF3">
        <w:t>, papildinot savus krājumus.</w:t>
      </w:r>
    </w:p>
    <w:p w14:paraId="6B6B940A" w14:textId="77777777" w:rsidR="00F4236F" w:rsidRDefault="00F4236F" w:rsidP="005922BA">
      <w:pPr>
        <w:spacing w:line="276" w:lineRule="auto"/>
        <w:ind w:firstLine="720"/>
        <w:jc w:val="both"/>
        <w:rPr>
          <w:rFonts w:asciiTheme="majorBidi" w:hAnsiTheme="majorBidi" w:cstheme="majorBidi"/>
        </w:rPr>
      </w:pPr>
    </w:p>
    <w:p w14:paraId="46A82D82" w14:textId="789384CF" w:rsidR="00D215BB" w:rsidRDefault="006178F5" w:rsidP="005922BA">
      <w:pPr>
        <w:spacing w:line="276" w:lineRule="auto"/>
        <w:ind w:firstLine="720"/>
        <w:jc w:val="both"/>
      </w:pPr>
      <w:r>
        <w:rPr>
          <w:rFonts w:asciiTheme="majorBidi" w:hAnsiTheme="majorBidi" w:cstheme="majorBidi"/>
        </w:rPr>
        <w:t>[2]</w:t>
      </w:r>
      <w:r w:rsidR="004D1DDF">
        <w:rPr>
          <w:rFonts w:asciiTheme="majorBidi" w:hAnsiTheme="majorBidi" w:cstheme="majorBidi"/>
        </w:rPr>
        <w:t xml:space="preserve"> </w:t>
      </w:r>
      <w:r w:rsidR="00D215BB">
        <w:t xml:space="preserve">Pieteicēja kasācijas sūdzībā būtībā izvirza tos pašus iebildumus pret Valsts ieņēmumu dienesta lēmumu, kurus bija izteikusi jau pieteikumā un apelācijas sūdzībā. Senatoru kolēģija konstatē, ka apgabaltiesas spriedumā, kas ietver pievienošanos arī Administratīvās rajona tiesas sprieduma motivācijai, ir izvērsti analizēti pieteicējas argumenti, pārbaudot gan faktus, gan tiesību normu piemērošanas pareizību. Senatoru kolēģija atzīst, ka apgabaltiesas spriedums ir balstīts uz pienācīgi noskaidrotiem faktiem, kā arī nav saskatāmas kļūdas tiesību normu piemērošanā. Spriedumā ir izvērsti izskaidrots, kādēļ </w:t>
      </w:r>
      <w:r w:rsidR="00FC7262">
        <w:t xml:space="preserve">Valsts ieņēmumu dienesta </w:t>
      </w:r>
      <w:r w:rsidR="00D215BB">
        <w:t xml:space="preserve">lēmums sakarā ar visiem apstrīdētajiem </w:t>
      </w:r>
      <w:r w:rsidR="00D215BB">
        <w:lastRenderedPageBreak/>
        <w:t>aspektiem ir pamatots. Pieteicēja kasācijas sūdzībā tam nepiekrīt un atkārtoti izklāsta savu subjektīvo redzējumu, taču tas nerada šaubas par apgabaltiesas sprieduma tiesiskumu.</w:t>
      </w:r>
    </w:p>
    <w:p w14:paraId="6FE30A8A" w14:textId="77777777" w:rsidR="00CF076B" w:rsidRDefault="00CF076B" w:rsidP="005922BA">
      <w:pPr>
        <w:spacing w:line="276" w:lineRule="auto"/>
        <w:ind w:firstLine="720"/>
        <w:jc w:val="both"/>
      </w:pPr>
    </w:p>
    <w:p w14:paraId="7BD9670A" w14:textId="6D1E92E8" w:rsidR="00A2201A" w:rsidRDefault="00CF076B" w:rsidP="005922BA">
      <w:pPr>
        <w:spacing w:line="276" w:lineRule="auto"/>
        <w:ind w:firstLine="720"/>
        <w:jc w:val="both"/>
      </w:pPr>
      <w:r>
        <w:t xml:space="preserve">[3] </w:t>
      </w:r>
      <w:r w:rsidR="00BB6EA3">
        <w:t>Pieteicēja</w:t>
      </w:r>
      <w:r w:rsidR="00A2201A">
        <w:t>s kasācijas sūdzībā norādītie argumenti nerada šaubas par apgabaltiesas secinājum</w:t>
      </w:r>
      <w:r w:rsidR="00067112">
        <w:t>u</w:t>
      </w:r>
      <w:r w:rsidR="00A2201A">
        <w:t xml:space="preserve">, ka </w:t>
      </w:r>
      <w:r w:rsidR="00D0326E" w:rsidRPr="00D0326E">
        <w:t xml:space="preserve">no pieteicējas deklarētām precēm nav iespējams samontēt </w:t>
      </w:r>
      <w:r w:rsidR="00494EDB">
        <w:t xml:space="preserve">muitas </w:t>
      </w:r>
      <w:r w:rsidR="00D0326E" w:rsidRPr="00D0326E">
        <w:t>deklar</w:t>
      </w:r>
      <w:r w:rsidR="00D0326E">
        <w:t>ācijā norādītās</w:t>
      </w:r>
      <w:r w:rsidR="00D0326E" w:rsidRPr="00D0326E">
        <w:t xml:space="preserve"> 190 siltumnīcas, kas būtu pilnībā gatavas un pabeigtas, tāpēc pieteicējas deklarētās preces ir atsevišķi siltumnīcu komplektējošie elementi un attiecīgi klasificējamas.</w:t>
      </w:r>
    </w:p>
    <w:p w14:paraId="5D5A50C2" w14:textId="21700050" w:rsidR="00FB1DEC" w:rsidRDefault="00FB1DEC" w:rsidP="005922BA">
      <w:pPr>
        <w:spacing w:line="276" w:lineRule="auto"/>
        <w:ind w:firstLine="720"/>
        <w:jc w:val="both"/>
        <w:rPr>
          <w:bCs/>
          <w:color w:val="0A0A0A"/>
        </w:rPr>
      </w:pPr>
      <w:r>
        <w:rPr>
          <w:bCs/>
          <w:color w:val="0A0A0A"/>
        </w:rPr>
        <w:t xml:space="preserve">Par sprieduma izdarīto secinājumu pareizību neliek šaubīties pieteicējas argumenti par Pasaules Muitas organizācijas </w:t>
      </w:r>
      <w:r w:rsidRPr="00FB1DEC">
        <w:rPr>
          <w:bCs/>
          <w:color w:val="0A0A0A"/>
        </w:rPr>
        <w:t>Preču aprakstīšanas un kodēšanas harmonizēt</w:t>
      </w:r>
      <w:r>
        <w:rPr>
          <w:bCs/>
          <w:color w:val="0A0A0A"/>
        </w:rPr>
        <w:t>ās</w:t>
      </w:r>
      <w:r w:rsidRPr="00FB1DEC">
        <w:rPr>
          <w:bCs/>
          <w:color w:val="0A0A0A"/>
        </w:rPr>
        <w:t xml:space="preserve"> sistēm</w:t>
      </w:r>
      <w:r>
        <w:rPr>
          <w:bCs/>
          <w:color w:val="0A0A0A"/>
        </w:rPr>
        <w:t>as skaidrojumu (HS) un KN skaidrojumu piemērošanu.</w:t>
      </w:r>
    </w:p>
    <w:p w14:paraId="5C545596" w14:textId="3CCD2D10" w:rsidR="00FB1DEC" w:rsidRPr="00FB1DEC" w:rsidRDefault="00FB1DEC" w:rsidP="005922BA">
      <w:pPr>
        <w:spacing w:line="276" w:lineRule="auto"/>
        <w:ind w:firstLine="720"/>
        <w:jc w:val="both"/>
        <w:rPr>
          <w:bCs/>
          <w:color w:val="0A0A0A"/>
        </w:rPr>
      </w:pPr>
      <w:r>
        <w:rPr>
          <w:bCs/>
          <w:color w:val="0A0A0A"/>
        </w:rPr>
        <w:t xml:space="preserve">Eiropas Savienības </w:t>
      </w:r>
      <w:r w:rsidRPr="00FB1DEC">
        <w:rPr>
          <w:bCs/>
          <w:color w:val="0A0A0A"/>
        </w:rPr>
        <w:t xml:space="preserve">Tiesa </w:t>
      </w:r>
      <w:r w:rsidR="00492E1E">
        <w:rPr>
          <w:bCs/>
          <w:color w:val="0A0A0A"/>
        </w:rPr>
        <w:t xml:space="preserve">vairākkārt </w:t>
      </w:r>
      <w:r>
        <w:rPr>
          <w:bCs/>
          <w:color w:val="0A0A0A"/>
        </w:rPr>
        <w:t xml:space="preserve">ir norādījusi, ka </w:t>
      </w:r>
      <w:r w:rsidRPr="00FB1DEC">
        <w:rPr>
          <w:bCs/>
          <w:color w:val="0A0A0A"/>
        </w:rPr>
        <w:t xml:space="preserve">saskaņā ar vispārīgo KN interpretācijas noteikumu 1.noteikumu preču klasifikāciju nosaka atbilstoši </w:t>
      </w:r>
      <w:r w:rsidR="00494EDB">
        <w:rPr>
          <w:bCs/>
          <w:color w:val="0A0A0A"/>
        </w:rPr>
        <w:t>KN</w:t>
      </w:r>
      <w:r w:rsidRPr="00FB1DEC">
        <w:rPr>
          <w:bCs/>
          <w:color w:val="0A0A0A"/>
        </w:rPr>
        <w:t xml:space="preserve"> pozīciju ierakstiem un sadaļu vai nodaļu piezīmēm. Tiesiskās drošības un pārbaužu atvieglošanas interesēs izšķirošais kritērijs preču tarifu klasifikācijā parasti ir attiecīgo </w:t>
      </w:r>
      <w:r w:rsidRPr="00596EF9">
        <w:rPr>
          <w:bCs/>
          <w:color w:val="0A0A0A"/>
        </w:rPr>
        <w:t>preču objektīvās pazīmes un īpašības</w:t>
      </w:r>
      <w:r w:rsidRPr="00FB1DEC">
        <w:rPr>
          <w:bCs/>
          <w:color w:val="0A0A0A"/>
        </w:rPr>
        <w:t xml:space="preserve">, kas norādītas </w:t>
      </w:r>
      <w:r w:rsidR="00494EDB">
        <w:rPr>
          <w:bCs/>
          <w:color w:val="0A0A0A"/>
        </w:rPr>
        <w:t>KN</w:t>
      </w:r>
      <w:r w:rsidRPr="00FB1DEC">
        <w:rPr>
          <w:bCs/>
          <w:color w:val="0A0A0A"/>
        </w:rPr>
        <w:t xml:space="preserve"> pozīciju un sadaļu vai nodaļu piezīmju formulējumā (</w:t>
      </w:r>
      <w:r w:rsidRPr="00FB1DEC">
        <w:rPr>
          <w:bCs/>
          <w:i/>
          <w:iCs/>
          <w:color w:val="0A0A0A"/>
        </w:rPr>
        <w:t xml:space="preserve">Eiropas Savienības Tiesas 2022.gada 28.aprīļa sprieduma lietā </w:t>
      </w:r>
      <w:r w:rsidR="00492E1E">
        <w:rPr>
          <w:bCs/>
          <w:i/>
          <w:iCs/>
          <w:color w:val="0A0A0A"/>
        </w:rPr>
        <w:t>,,</w:t>
      </w:r>
      <w:r w:rsidRPr="00FB1DEC">
        <w:rPr>
          <w:bCs/>
          <w:i/>
          <w:iCs/>
          <w:color w:val="0A0A0A"/>
        </w:rPr>
        <w:t>PRODEX</w:t>
      </w:r>
      <w:r w:rsidR="00492E1E">
        <w:rPr>
          <w:bCs/>
          <w:i/>
          <w:iCs/>
          <w:color w:val="0A0A0A"/>
        </w:rPr>
        <w:t>”</w:t>
      </w:r>
      <w:r w:rsidRPr="00FB1DEC">
        <w:rPr>
          <w:bCs/>
          <w:i/>
          <w:iCs/>
          <w:color w:val="0A0A0A"/>
        </w:rPr>
        <w:t>, C</w:t>
      </w:r>
      <w:r w:rsidRPr="00FB1DEC">
        <w:rPr>
          <w:bCs/>
          <w:i/>
          <w:iCs/>
          <w:color w:val="0A0A0A"/>
        </w:rPr>
        <w:noBreakHyphen/>
        <w:t xml:space="preserve">72/21, </w:t>
      </w:r>
      <w:hyperlink r:id="rId8" w:history="1">
        <w:r w:rsidRPr="00FB1DEC">
          <w:rPr>
            <w:rStyle w:val="Hyperlink"/>
            <w:bCs/>
            <w:i/>
            <w:iCs/>
          </w:rPr>
          <w:t>E</w:t>
        </w:r>
        <w:r w:rsidR="005D0C3D">
          <w:rPr>
            <w:rStyle w:val="Hyperlink"/>
            <w:bCs/>
            <w:i/>
            <w:iCs/>
          </w:rPr>
          <w:t>CLI:E</w:t>
        </w:r>
        <w:r w:rsidRPr="00FB1DEC">
          <w:rPr>
            <w:rStyle w:val="Hyperlink"/>
            <w:bCs/>
            <w:i/>
            <w:iCs/>
          </w:rPr>
          <w:t>U:C:2022:312</w:t>
        </w:r>
      </w:hyperlink>
      <w:r w:rsidRPr="00FB1DEC">
        <w:rPr>
          <w:bCs/>
          <w:i/>
          <w:iCs/>
          <w:color w:val="0A0A0A"/>
        </w:rPr>
        <w:t>, 28.punkts un tajā minētā judikatūra</w:t>
      </w:r>
      <w:r w:rsidRPr="00FB1DEC">
        <w:rPr>
          <w:bCs/>
          <w:color w:val="0A0A0A"/>
        </w:rPr>
        <w:t>).</w:t>
      </w:r>
    </w:p>
    <w:p w14:paraId="3E850861" w14:textId="07D883A4" w:rsidR="00492E1E" w:rsidRDefault="00FB1DEC" w:rsidP="005922BA">
      <w:pPr>
        <w:spacing w:line="276" w:lineRule="auto"/>
        <w:ind w:firstLine="720"/>
        <w:jc w:val="both"/>
        <w:rPr>
          <w:bCs/>
          <w:color w:val="0A0A0A"/>
        </w:rPr>
      </w:pPr>
      <w:r>
        <w:rPr>
          <w:bCs/>
          <w:color w:val="0A0A0A"/>
        </w:rPr>
        <w:t>T</w:t>
      </w:r>
      <w:r w:rsidRPr="00FB1DEC">
        <w:rPr>
          <w:bCs/>
          <w:color w:val="0A0A0A"/>
        </w:rPr>
        <w:t xml:space="preserve">urklāt </w:t>
      </w:r>
      <w:r>
        <w:rPr>
          <w:bCs/>
          <w:color w:val="0A0A0A"/>
        </w:rPr>
        <w:t xml:space="preserve">Eiropas Savienības </w:t>
      </w:r>
      <w:r w:rsidRPr="00FB1DEC">
        <w:rPr>
          <w:bCs/>
          <w:color w:val="0A0A0A"/>
        </w:rPr>
        <w:t>Tiesa vairākkārt ir nospriedusi</w:t>
      </w:r>
      <w:r>
        <w:rPr>
          <w:bCs/>
          <w:color w:val="0A0A0A"/>
        </w:rPr>
        <w:t xml:space="preserve"> </w:t>
      </w:r>
      <w:r w:rsidRPr="00FB1DEC">
        <w:rPr>
          <w:bCs/>
          <w:color w:val="0A0A0A"/>
        </w:rPr>
        <w:t>– lai gan, pirmkārt, HS un, otrkārt, KN skaidrojumi nav saistoši, šie skaidrojumi ir svarīgi līdzekļi, lai nodrošinātu vienveidīgu kopējā muitas tarifa piemērošanu, un paši par sevi sniedz noderīgus elementus tā interpretācijai (</w:t>
      </w:r>
      <w:r w:rsidR="00492E1E" w:rsidRPr="00FB1DEC">
        <w:rPr>
          <w:bCs/>
          <w:i/>
          <w:iCs/>
          <w:color w:val="0A0A0A"/>
        </w:rPr>
        <w:t xml:space="preserve">Eiropas Savienības Tiesas 2022.gada 28.aprīļa sprieduma lietā </w:t>
      </w:r>
      <w:r w:rsidR="00492E1E">
        <w:rPr>
          <w:bCs/>
          <w:i/>
          <w:iCs/>
          <w:color w:val="0A0A0A"/>
        </w:rPr>
        <w:t>,,</w:t>
      </w:r>
      <w:r w:rsidR="00492E1E" w:rsidRPr="00FB1DEC">
        <w:rPr>
          <w:bCs/>
          <w:i/>
          <w:iCs/>
          <w:color w:val="0A0A0A"/>
        </w:rPr>
        <w:t>PRODEX</w:t>
      </w:r>
      <w:r w:rsidR="00492E1E">
        <w:rPr>
          <w:bCs/>
          <w:i/>
          <w:iCs/>
          <w:color w:val="0A0A0A"/>
        </w:rPr>
        <w:t>”</w:t>
      </w:r>
      <w:r w:rsidR="00492E1E" w:rsidRPr="00FB1DEC">
        <w:rPr>
          <w:bCs/>
          <w:i/>
          <w:iCs/>
          <w:color w:val="0A0A0A"/>
        </w:rPr>
        <w:t>, C</w:t>
      </w:r>
      <w:r w:rsidR="00492E1E" w:rsidRPr="00FB1DEC">
        <w:rPr>
          <w:bCs/>
          <w:i/>
          <w:iCs/>
          <w:color w:val="0A0A0A"/>
        </w:rPr>
        <w:noBreakHyphen/>
        <w:t xml:space="preserve">72/21, </w:t>
      </w:r>
      <w:hyperlink r:id="rId9" w:history="1">
        <w:r w:rsidR="00492E1E" w:rsidRPr="00FB1DEC">
          <w:rPr>
            <w:rStyle w:val="Hyperlink"/>
            <w:bCs/>
            <w:i/>
            <w:iCs/>
          </w:rPr>
          <w:t>E</w:t>
        </w:r>
        <w:r w:rsidR="005D0C3D">
          <w:rPr>
            <w:rStyle w:val="Hyperlink"/>
            <w:bCs/>
            <w:i/>
            <w:iCs/>
          </w:rPr>
          <w:t>CLI:E</w:t>
        </w:r>
        <w:r w:rsidR="00492E1E" w:rsidRPr="00FB1DEC">
          <w:rPr>
            <w:rStyle w:val="Hyperlink"/>
            <w:bCs/>
            <w:i/>
            <w:iCs/>
          </w:rPr>
          <w:t>U:C:2022:312</w:t>
        </w:r>
      </w:hyperlink>
      <w:r w:rsidR="00492E1E" w:rsidRPr="00FB1DEC">
        <w:rPr>
          <w:bCs/>
          <w:i/>
          <w:iCs/>
          <w:color w:val="0A0A0A"/>
        </w:rPr>
        <w:t>,</w:t>
      </w:r>
      <w:r w:rsidRPr="00FB1DEC">
        <w:rPr>
          <w:bCs/>
          <w:i/>
          <w:iCs/>
          <w:color w:val="0A0A0A"/>
        </w:rPr>
        <w:t xml:space="preserve"> 29</w:t>
      </w:r>
      <w:r w:rsidR="00492E1E">
        <w:rPr>
          <w:bCs/>
          <w:i/>
          <w:iCs/>
          <w:color w:val="0A0A0A"/>
        </w:rPr>
        <w:t>.</w:t>
      </w:r>
      <w:r w:rsidRPr="00FB1DEC">
        <w:rPr>
          <w:bCs/>
          <w:i/>
          <w:iCs/>
          <w:color w:val="0A0A0A"/>
        </w:rPr>
        <w:t>punkts un tajā minētā judikatūra</w:t>
      </w:r>
      <w:r w:rsidRPr="00FB1DEC">
        <w:rPr>
          <w:bCs/>
          <w:color w:val="0A0A0A"/>
        </w:rPr>
        <w:t>).</w:t>
      </w:r>
      <w:r w:rsidR="00492E1E">
        <w:rPr>
          <w:bCs/>
          <w:color w:val="0A0A0A"/>
        </w:rPr>
        <w:t xml:space="preserve"> </w:t>
      </w:r>
      <w:r w:rsidR="00492E1E" w:rsidRPr="00492E1E">
        <w:rPr>
          <w:bCs/>
          <w:color w:val="0A0A0A"/>
        </w:rPr>
        <w:t>Ar KN skaidrojumiem HS skaidrojumi netiek aizstāti, bet papildināti, un abi skaidrojumi ir aplūkojami kopā (</w:t>
      </w:r>
      <w:r w:rsidR="00492E1E" w:rsidRPr="00492E1E">
        <w:rPr>
          <w:bCs/>
          <w:i/>
          <w:iCs/>
          <w:color w:val="0A0A0A"/>
        </w:rPr>
        <w:t>Eiropas Savienības Tiesas</w:t>
      </w:r>
      <w:r w:rsidR="00492E1E">
        <w:rPr>
          <w:bCs/>
          <w:color w:val="0A0A0A"/>
        </w:rPr>
        <w:t xml:space="preserve"> </w:t>
      </w:r>
      <w:r w:rsidR="00492E1E" w:rsidRPr="00492E1E">
        <w:rPr>
          <w:bCs/>
          <w:i/>
          <w:iCs/>
          <w:color w:val="0A0A0A"/>
        </w:rPr>
        <w:t xml:space="preserve">2022.gada 20.oktobra sprieduma lietā ,,Mikrotīkls”, C-542/21, </w:t>
      </w:r>
      <w:hyperlink r:id="rId10" w:history="1">
        <w:r w:rsidR="00492E1E" w:rsidRPr="00492E1E">
          <w:rPr>
            <w:rStyle w:val="Hyperlink"/>
            <w:bCs/>
            <w:i/>
            <w:iCs/>
          </w:rPr>
          <w:t>E</w:t>
        </w:r>
        <w:r w:rsidR="005D0C3D">
          <w:rPr>
            <w:rStyle w:val="Hyperlink"/>
            <w:bCs/>
            <w:i/>
            <w:iCs/>
          </w:rPr>
          <w:t>CLI:E</w:t>
        </w:r>
        <w:r w:rsidR="00492E1E" w:rsidRPr="00492E1E">
          <w:rPr>
            <w:rStyle w:val="Hyperlink"/>
            <w:bCs/>
            <w:i/>
            <w:iCs/>
          </w:rPr>
          <w:t>U:C:2022:814</w:t>
        </w:r>
      </w:hyperlink>
      <w:r w:rsidR="00492E1E" w:rsidRPr="00492E1E">
        <w:rPr>
          <w:bCs/>
          <w:i/>
          <w:iCs/>
          <w:color w:val="0A0A0A"/>
        </w:rPr>
        <w:t>,</w:t>
      </w:r>
      <w:r w:rsidR="00492E1E">
        <w:rPr>
          <w:bCs/>
          <w:i/>
          <w:iCs/>
          <w:color w:val="0A0A0A"/>
        </w:rPr>
        <w:t xml:space="preserve"> </w:t>
      </w:r>
      <w:r w:rsidR="00492E1E" w:rsidRPr="00492E1E">
        <w:rPr>
          <w:bCs/>
          <w:i/>
          <w:iCs/>
          <w:color w:val="0A0A0A"/>
        </w:rPr>
        <w:t>23.punkts</w:t>
      </w:r>
      <w:r w:rsidR="00492E1E">
        <w:rPr>
          <w:bCs/>
          <w:i/>
          <w:iCs/>
          <w:color w:val="0A0A0A"/>
        </w:rPr>
        <w:t xml:space="preserve"> un tajā minēt</w:t>
      </w:r>
      <w:r w:rsidR="003E25E0">
        <w:rPr>
          <w:bCs/>
          <w:i/>
          <w:iCs/>
          <w:color w:val="0A0A0A"/>
        </w:rPr>
        <w:t>ā</w:t>
      </w:r>
      <w:r w:rsidR="00492E1E">
        <w:rPr>
          <w:bCs/>
          <w:i/>
          <w:iCs/>
          <w:color w:val="0A0A0A"/>
        </w:rPr>
        <w:t xml:space="preserve"> judikatūra</w:t>
      </w:r>
      <w:r w:rsidR="00492E1E" w:rsidRPr="00492E1E">
        <w:rPr>
          <w:bCs/>
          <w:color w:val="0A0A0A"/>
        </w:rPr>
        <w:t>)</w:t>
      </w:r>
      <w:r w:rsidR="00492E1E">
        <w:rPr>
          <w:bCs/>
          <w:i/>
          <w:iCs/>
          <w:color w:val="0A0A0A"/>
        </w:rPr>
        <w:t>.</w:t>
      </w:r>
    </w:p>
    <w:p w14:paraId="7F614D11" w14:textId="06BDE9A4" w:rsidR="00FB1DEC" w:rsidRDefault="00494EDB" w:rsidP="005922BA">
      <w:pPr>
        <w:spacing w:line="276" w:lineRule="auto"/>
        <w:ind w:firstLine="720"/>
        <w:jc w:val="both"/>
      </w:pPr>
      <w:r>
        <w:t>Apgabalt</w:t>
      </w:r>
      <w:r w:rsidR="00596EF9">
        <w:t xml:space="preserve">iesa spriedumā ir izmantojusi KN un HS skaidrojumus kā </w:t>
      </w:r>
      <w:r w:rsidR="008558BD">
        <w:t>palīgavotu</w:t>
      </w:r>
      <w:r w:rsidR="00596EF9">
        <w:t xml:space="preserve">, lai klasificētu preces </w:t>
      </w:r>
      <w:r>
        <w:t>KN</w:t>
      </w:r>
      <w:r w:rsidR="007671B0">
        <w:t xml:space="preserve"> pozīcijā</w:t>
      </w:r>
      <w:r w:rsidR="008558BD">
        <w:t>. Taču i</w:t>
      </w:r>
      <w:r w:rsidR="008558BD">
        <w:rPr>
          <w:bCs/>
          <w:color w:val="0A0A0A"/>
        </w:rPr>
        <w:t>zšķiroša nozīme bijusi preču objektīvo īpašību atbilstībai attiecīgam KN kodam: noskaidrotie fakti neatkarīgi no KN vai HS skaidrojumiem liecināja, ka pieteicēja neieved saliekamas siltumnīcas (pilnus komplektus), kuri ietilptu KN pozīcijā 9406. S</w:t>
      </w:r>
      <w:r w:rsidR="007671B0">
        <w:rPr>
          <w:bCs/>
          <w:color w:val="0A0A0A"/>
        </w:rPr>
        <w:t>enatoru kolēģija</w:t>
      </w:r>
      <w:r w:rsidR="008558BD">
        <w:rPr>
          <w:bCs/>
          <w:color w:val="0A0A0A"/>
        </w:rPr>
        <w:t>i nav šaubu</w:t>
      </w:r>
      <w:r w:rsidR="007671B0">
        <w:rPr>
          <w:bCs/>
          <w:color w:val="0A0A0A"/>
        </w:rPr>
        <w:t xml:space="preserve">, ka tiesa ir pareizi piemērojusi </w:t>
      </w:r>
      <w:r w:rsidR="008558BD">
        <w:rPr>
          <w:bCs/>
          <w:color w:val="0A0A0A"/>
        </w:rPr>
        <w:t>KN</w:t>
      </w:r>
      <w:r w:rsidR="007671B0" w:rsidRPr="007671B0">
        <w:rPr>
          <w:bCs/>
          <w:color w:val="0A0A0A"/>
        </w:rPr>
        <w:t xml:space="preserve"> interpretācijas noteikum</w:t>
      </w:r>
      <w:r w:rsidR="007671B0">
        <w:rPr>
          <w:bCs/>
          <w:color w:val="0A0A0A"/>
        </w:rPr>
        <w:t>us.</w:t>
      </w:r>
    </w:p>
    <w:p w14:paraId="627E9C12" w14:textId="77777777" w:rsidR="00D34457" w:rsidRDefault="00D34457" w:rsidP="005922BA">
      <w:pPr>
        <w:spacing w:line="276" w:lineRule="auto"/>
        <w:ind w:firstLine="720"/>
        <w:jc w:val="both"/>
      </w:pPr>
    </w:p>
    <w:p w14:paraId="21FE3389" w14:textId="520BEA35" w:rsidR="00D0326E" w:rsidRDefault="00596EF9" w:rsidP="005922BA">
      <w:pPr>
        <w:spacing w:line="276" w:lineRule="auto"/>
        <w:ind w:firstLine="720"/>
        <w:jc w:val="both"/>
      </w:pPr>
      <w:r>
        <w:t>[4</w:t>
      </w:r>
      <w:r w:rsidR="009B2726">
        <w:t>]</w:t>
      </w:r>
      <w:r>
        <w:t xml:space="preserve"> </w:t>
      </w:r>
      <w:r w:rsidR="00575AAE">
        <w:t>Par spriedumā izdarīto secinājumu pareizību nerada šaubas arī</w:t>
      </w:r>
      <w:r w:rsidR="00D0326E">
        <w:t xml:space="preserve"> pieteicējas argument</w:t>
      </w:r>
      <w:r w:rsidR="00B2570B">
        <w:t>i</w:t>
      </w:r>
      <w:r w:rsidR="00D0326E">
        <w:t xml:space="preserve"> par</w:t>
      </w:r>
      <w:r w:rsidR="003E25E0">
        <w:t xml:space="preserve"> </w:t>
      </w:r>
      <w:r w:rsidR="00D0326E">
        <w:t>papildu apstrādes pieļaujamību</w:t>
      </w:r>
      <w:r w:rsidR="003E25E0">
        <w:t xml:space="preserve">, lai preces klasificētu </w:t>
      </w:r>
      <w:r w:rsidR="00494EDB">
        <w:rPr>
          <w:rFonts w:asciiTheme="majorBidi" w:hAnsiTheme="majorBidi" w:cstheme="majorBidi"/>
        </w:rPr>
        <w:t>KN</w:t>
      </w:r>
      <w:r w:rsidR="00D0326E" w:rsidRPr="00025A01">
        <w:rPr>
          <w:rFonts w:asciiTheme="majorBidi" w:hAnsiTheme="majorBidi" w:cstheme="majorBidi"/>
        </w:rPr>
        <w:t xml:space="preserve"> </w:t>
      </w:r>
      <w:r w:rsidR="00D0326E" w:rsidRPr="00BB6EA3">
        <w:rPr>
          <w:bCs/>
          <w:color w:val="0A0A0A"/>
        </w:rPr>
        <w:t>pozīcij</w:t>
      </w:r>
      <w:r w:rsidR="003E25E0">
        <w:rPr>
          <w:bCs/>
          <w:color w:val="0A0A0A"/>
        </w:rPr>
        <w:t>ā</w:t>
      </w:r>
      <w:r w:rsidR="00D0326E" w:rsidRPr="00BB6EA3">
        <w:rPr>
          <w:bCs/>
          <w:color w:val="0A0A0A"/>
        </w:rPr>
        <w:t xml:space="preserve"> 9406</w:t>
      </w:r>
      <w:r w:rsidR="00D0326E">
        <w:rPr>
          <w:bCs/>
          <w:color w:val="0A0A0A"/>
        </w:rPr>
        <w:t>.</w:t>
      </w:r>
    </w:p>
    <w:p w14:paraId="4FB083FF" w14:textId="3D63A704" w:rsidR="00BB6EA3" w:rsidRDefault="00593C97" w:rsidP="005922BA">
      <w:pPr>
        <w:spacing w:line="276" w:lineRule="auto"/>
        <w:ind w:firstLine="720"/>
        <w:jc w:val="both"/>
        <w:rPr>
          <w:bCs/>
          <w:color w:val="0A0A0A"/>
        </w:rPr>
      </w:pPr>
      <w:r>
        <w:rPr>
          <w:bCs/>
          <w:color w:val="0A0A0A"/>
        </w:rPr>
        <w:t>Eiropas Savienības T</w:t>
      </w:r>
      <w:r w:rsidRPr="00593C97">
        <w:rPr>
          <w:bCs/>
          <w:color w:val="0A0A0A"/>
        </w:rPr>
        <w:t>iesa</w:t>
      </w:r>
      <w:r>
        <w:rPr>
          <w:bCs/>
          <w:color w:val="0A0A0A"/>
        </w:rPr>
        <w:t xml:space="preserve"> ir norādījusi, ka </w:t>
      </w:r>
      <w:r w:rsidR="003E25E0">
        <w:rPr>
          <w:bCs/>
          <w:color w:val="0A0A0A"/>
        </w:rPr>
        <w:t>n</w:t>
      </w:r>
      <w:r w:rsidR="003E25E0" w:rsidRPr="003E25E0">
        <w:rPr>
          <w:bCs/>
          <w:color w:val="0A0A0A"/>
        </w:rPr>
        <w:t xml:space="preserve">o paskaidrojošās piezīmes, kura attiecas uz HS </w:t>
      </w:r>
      <w:r w:rsidRPr="00593C97">
        <w:rPr>
          <w:bCs/>
          <w:color w:val="0A0A0A"/>
        </w:rPr>
        <w:t>2.vispārīgā noteikuma a) punktu, VII) punkta izriet, ka par preci, kas uzrādīta izjauktā vai nesaliktā stāvoklī, ir jāuzskata prece, kuras dažādās sastāvdaļas ir paredzētas kopā salikšanai ar skrūvēm, bultskrūvēm, uzgriežņiem utt. vai, piemēram, izmantojot kniedēšanu vai metināšanu, tomēr ar nosacījumu, ka tās ir vienīgi kopā salikšanas darbības. Šajā ziņā nav jāņem vērā kopā salikšanas metodes sarežģītība. Tomēr dažādās sastāvdaļas nevar tikt apstrādātas tādējādi, ka tiek pabeigta to ražošana</w:t>
      </w:r>
      <w:r w:rsidR="00E25F34">
        <w:rPr>
          <w:bCs/>
          <w:color w:val="0A0A0A"/>
        </w:rPr>
        <w:t xml:space="preserve"> </w:t>
      </w:r>
      <w:r w:rsidR="00BB6EA3">
        <w:rPr>
          <w:bCs/>
          <w:color w:val="0A0A0A"/>
        </w:rPr>
        <w:t>(</w:t>
      </w:r>
      <w:r w:rsidR="00BB6EA3" w:rsidRPr="00BB6EA3">
        <w:rPr>
          <w:bCs/>
          <w:i/>
          <w:iCs/>
          <w:color w:val="0A0A0A"/>
        </w:rPr>
        <w:t>Eiropas Savienības Tiesas 2023.gada 27.aprīļa spriedum</w:t>
      </w:r>
      <w:r w:rsidR="008558BD">
        <w:rPr>
          <w:bCs/>
          <w:i/>
          <w:iCs/>
          <w:color w:val="0A0A0A"/>
        </w:rPr>
        <w:t>a</w:t>
      </w:r>
      <w:r w:rsidR="00BB6EA3" w:rsidRPr="00BB6EA3">
        <w:rPr>
          <w:bCs/>
          <w:i/>
          <w:iCs/>
          <w:color w:val="0A0A0A"/>
        </w:rPr>
        <w:t xml:space="preserve"> lietā </w:t>
      </w:r>
      <w:r w:rsidR="008558BD">
        <w:rPr>
          <w:bCs/>
          <w:i/>
          <w:iCs/>
          <w:color w:val="0A0A0A"/>
        </w:rPr>
        <w:t>„</w:t>
      </w:r>
      <w:r w:rsidR="00BB6EA3" w:rsidRPr="00BB6EA3">
        <w:rPr>
          <w:bCs/>
          <w:i/>
          <w:iCs/>
          <w:color w:val="0A0A0A"/>
        </w:rPr>
        <w:t>X un Inspecteur van de Belastingdienst Douan</w:t>
      </w:r>
      <w:r w:rsidR="00BB6EA3">
        <w:rPr>
          <w:bCs/>
          <w:i/>
          <w:iCs/>
          <w:color w:val="0A0A0A"/>
        </w:rPr>
        <w:t>e</w:t>
      </w:r>
      <w:r w:rsidR="008558BD">
        <w:rPr>
          <w:bCs/>
          <w:i/>
          <w:iCs/>
          <w:color w:val="0A0A0A"/>
        </w:rPr>
        <w:t>”</w:t>
      </w:r>
      <w:r w:rsidR="00BB6EA3">
        <w:rPr>
          <w:bCs/>
          <w:i/>
          <w:iCs/>
          <w:color w:val="0A0A0A"/>
        </w:rPr>
        <w:t xml:space="preserve">, </w:t>
      </w:r>
      <w:bookmarkStart w:id="0" w:name="ctx3"/>
      <w:r w:rsidR="00BB6EA3" w:rsidRPr="00BB6EA3">
        <w:rPr>
          <w:bCs/>
          <w:i/>
          <w:iCs/>
          <w:color w:val="0A0A0A"/>
        </w:rPr>
        <w:t>C</w:t>
      </w:r>
      <w:r w:rsidR="00BB6EA3" w:rsidRPr="00BB6EA3">
        <w:rPr>
          <w:bCs/>
          <w:i/>
          <w:iCs/>
          <w:color w:val="0A0A0A"/>
        </w:rPr>
        <w:noBreakHyphen/>
        <w:t>107/22</w:t>
      </w:r>
      <w:bookmarkEnd w:id="0"/>
      <w:r w:rsidR="00BB6EA3" w:rsidRPr="00BB6EA3">
        <w:rPr>
          <w:bCs/>
          <w:i/>
          <w:iCs/>
          <w:color w:val="0A0A0A"/>
        </w:rPr>
        <w:t xml:space="preserve">, </w:t>
      </w:r>
      <w:hyperlink r:id="rId11" w:history="1">
        <w:r w:rsidR="00BB6EA3" w:rsidRPr="00586AFB">
          <w:rPr>
            <w:rStyle w:val="Hyperlink"/>
            <w:bCs/>
            <w:i/>
            <w:iCs/>
          </w:rPr>
          <w:t>E</w:t>
        </w:r>
        <w:r w:rsidR="005D0C3D">
          <w:rPr>
            <w:rStyle w:val="Hyperlink"/>
            <w:bCs/>
            <w:i/>
            <w:iCs/>
          </w:rPr>
          <w:t>CLI:E</w:t>
        </w:r>
        <w:r w:rsidR="00BB6EA3" w:rsidRPr="00586AFB">
          <w:rPr>
            <w:rStyle w:val="Hyperlink"/>
            <w:bCs/>
            <w:i/>
            <w:iCs/>
          </w:rPr>
          <w:t>U:C:2023:346</w:t>
        </w:r>
      </w:hyperlink>
      <w:r w:rsidR="00BB6EA3">
        <w:rPr>
          <w:bCs/>
          <w:i/>
          <w:iCs/>
          <w:color w:val="0A0A0A"/>
        </w:rPr>
        <w:t>, 2</w:t>
      </w:r>
      <w:r w:rsidR="003E25E0">
        <w:rPr>
          <w:bCs/>
          <w:i/>
          <w:iCs/>
          <w:color w:val="0A0A0A"/>
        </w:rPr>
        <w:t>1</w:t>
      </w:r>
      <w:r w:rsidR="00BB6EA3">
        <w:rPr>
          <w:bCs/>
          <w:i/>
          <w:iCs/>
          <w:color w:val="0A0A0A"/>
        </w:rPr>
        <w:t>.</w:t>
      </w:r>
      <w:r w:rsidR="003E25E0">
        <w:rPr>
          <w:bCs/>
          <w:i/>
          <w:iCs/>
          <w:color w:val="0A0A0A"/>
        </w:rPr>
        <w:t xml:space="preserve"> un 22.</w:t>
      </w:r>
      <w:r w:rsidR="00BB6EA3">
        <w:rPr>
          <w:bCs/>
          <w:i/>
          <w:iCs/>
          <w:color w:val="0A0A0A"/>
        </w:rPr>
        <w:t>punk</w:t>
      </w:r>
      <w:r w:rsidR="00575AAE">
        <w:rPr>
          <w:bCs/>
          <w:i/>
          <w:iCs/>
          <w:color w:val="0A0A0A"/>
        </w:rPr>
        <w:t>t</w:t>
      </w:r>
      <w:r w:rsidR="00BB6EA3">
        <w:rPr>
          <w:bCs/>
          <w:i/>
          <w:iCs/>
          <w:color w:val="0A0A0A"/>
        </w:rPr>
        <w:t>s</w:t>
      </w:r>
      <w:r w:rsidR="00BB6EA3" w:rsidRPr="00BB6EA3">
        <w:rPr>
          <w:bCs/>
          <w:color w:val="0A0A0A"/>
        </w:rPr>
        <w:t>)</w:t>
      </w:r>
      <w:r w:rsidR="00E25F34">
        <w:rPr>
          <w:bCs/>
          <w:color w:val="0A0A0A"/>
        </w:rPr>
        <w:t>.</w:t>
      </w:r>
    </w:p>
    <w:p w14:paraId="7F595CA9" w14:textId="1161817F" w:rsidR="00FB1DEC" w:rsidRDefault="00E25F34" w:rsidP="005922BA">
      <w:pPr>
        <w:spacing w:line="276" w:lineRule="auto"/>
        <w:ind w:firstLine="720"/>
        <w:jc w:val="both"/>
        <w:rPr>
          <w:bCs/>
          <w:color w:val="0A0A0A"/>
        </w:rPr>
      </w:pPr>
      <w:r>
        <w:rPr>
          <w:bCs/>
          <w:color w:val="0A0A0A"/>
        </w:rPr>
        <w:t xml:space="preserve">Tāpēc </w:t>
      </w:r>
      <w:r w:rsidR="00575AAE">
        <w:rPr>
          <w:bCs/>
          <w:color w:val="0A0A0A"/>
        </w:rPr>
        <w:t>ievestās preces sastāvdaļas nevar tikt apstrādāt</w:t>
      </w:r>
      <w:r w:rsidR="009B2726">
        <w:rPr>
          <w:bCs/>
          <w:color w:val="0A0A0A"/>
        </w:rPr>
        <w:t>a</w:t>
      </w:r>
      <w:r w:rsidR="00575AAE">
        <w:rPr>
          <w:bCs/>
          <w:color w:val="0A0A0A"/>
        </w:rPr>
        <w:t>s tādējādi, ka tiek pabeigta to ražošana, proti, nevar tikt piegrieztas polikarbonāta loksnes, lai izveidotu pilnīgu atsevišķu elementu kopumu siltumnīcu salikšanai.</w:t>
      </w:r>
      <w:r w:rsidR="00B2570B">
        <w:rPr>
          <w:bCs/>
          <w:color w:val="0A0A0A"/>
        </w:rPr>
        <w:t xml:space="preserve"> </w:t>
      </w:r>
      <w:r w:rsidR="00655995">
        <w:rPr>
          <w:bCs/>
          <w:color w:val="0A0A0A"/>
        </w:rPr>
        <w:t xml:space="preserve">Pieteicēja </w:t>
      </w:r>
      <w:r w:rsidR="009B2726">
        <w:rPr>
          <w:bCs/>
          <w:color w:val="0A0A0A"/>
        </w:rPr>
        <w:t>vēlas</w:t>
      </w:r>
      <w:r w:rsidR="00655995">
        <w:rPr>
          <w:bCs/>
          <w:color w:val="0A0A0A"/>
        </w:rPr>
        <w:t xml:space="preserve"> jēdzien</w:t>
      </w:r>
      <w:r w:rsidR="009B2726">
        <w:rPr>
          <w:bCs/>
          <w:color w:val="0A0A0A"/>
        </w:rPr>
        <w:t>ā</w:t>
      </w:r>
      <w:r w:rsidR="00655995">
        <w:rPr>
          <w:bCs/>
          <w:color w:val="0A0A0A"/>
        </w:rPr>
        <w:t xml:space="preserve"> </w:t>
      </w:r>
      <w:r w:rsidR="005D0C3D">
        <w:rPr>
          <w:bCs/>
          <w:color w:val="0A0A0A"/>
        </w:rPr>
        <w:t>„</w:t>
      </w:r>
      <w:r w:rsidR="00655995">
        <w:rPr>
          <w:bCs/>
          <w:color w:val="0A0A0A"/>
        </w:rPr>
        <w:t>kopā salikšan</w:t>
      </w:r>
      <w:r w:rsidR="009B2726">
        <w:rPr>
          <w:bCs/>
          <w:color w:val="0A0A0A"/>
        </w:rPr>
        <w:t xml:space="preserve">a” ietvert arī tādas papildu apstrādes darbības, kuras kvalificējas kā ražošanas pabeigšana. </w:t>
      </w:r>
      <w:r w:rsidR="007671B0">
        <w:rPr>
          <w:bCs/>
          <w:color w:val="0A0A0A"/>
        </w:rPr>
        <w:t>Turklāt</w:t>
      </w:r>
      <w:r w:rsidR="009B2726">
        <w:rPr>
          <w:bCs/>
          <w:color w:val="0A0A0A"/>
        </w:rPr>
        <w:t xml:space="preserve"> </w:t>
      </w:r>
      <w:r w:rsidR="008558BD">
        <w:rPr>
          <w:bCs/>
          <w:color w:val="0A0A0A"/>
        </w:rPr>
        <w:t>pieteicējas</w:t>
      </w:r>
      <w:r w:rsidR="009B2726">
        <w:rPr>
          <w:bCs/>
          <w:color w:val="0A0A0A"/>
        </w:rPr>
        <w:t xml:space="preserve"> arguments </w:t>
      </w:r>
      <w:r w:rsidR="007671B0">
        <w:rPr>
          <w:bCs/>
          <w:color w:val="0A0A0A"/>
        </w:rPr>
        <w:t>neatspēko</w:t>
      </w:r>
      <w:r w:rsidR="009B2726">
        <w:rPr>
          <w:bCs/>
          <w:color w:val="0A0A0A"/>
        </w:rPr>
        <w:t xml:space="preserve"> </w:t>
      </w:r>
      <w:r w:rsidR="007671B0">
        <w:rPr>
          <w:bCs/>
          <w:color w:val="0A0A0A"/>
        </w:rPr>
        <w:t>apgabaltiesas</w:t>
      </w:r>
      <w:r w:rsidR="009B2726">
        <w:rPr>
          <w:bCs/>
          <w:color w:val="0A0A0A"/>
        </w:rPr>
        <w:t xml:space="preserve"> secinājumu, ka </w:t>
      </w:r>
      <w:r w:rsidR="009B2726" w:rsidRPr="009B2726">
        <w:rPr>
          <w:bCs/>
          <w:color w:val="0A0A0A"/>
        </w:rPr>
        <w:t>preču objektīvās īpašības un pazīmes neliecina, ka pieteicēja</w:t>
      </w:r>
      <w:r w:rsidR="009B2726">
        <w:rPr>
          <w:bCs/>
          <w:color w:val="0A0A0A"/>
        </w:rPr>
        <w:t xml:space="preserve"> </w:t>
      </w:r>
      <w:r w:rsidR="009B2726" w:rsidRPr="009B2726">
        <w:rPr>
          <w:bCs/>
          <w:color w:val="0A0A0A"/>
        </w:rPr>
        <w:t>vienlai</w:t>
      </w:r>
      <w:r w:rsidR="005D0C3D">
        <w:rPr>
          <w:bCs/>
          <w:color w:val="0A0A0A"/>
        </w:rPr>
        <w:t>kus</w:t>
      </w:r>
      <w:r w:rsidR="009B2726" w:rsidRPr="009B2726">
        <w:rPr>
          <w:bCs/>
          <w:color w:val="0A0A0A"/>
        </w:rPr>
        <w:t xml:space="preserve"> ir ievedusi elementu kopumu 190 siltumnīcu samontēšanai uz vietas</w:t>
      </w:r>
      <w:r w:rsidR="009B2726">
        <w:rPr>
          <w:bCs/>
          <w:color w:val="0A0A0A"/>
        </w:rPr>
        <w:t>.</w:t>
      </w:r>
    </w:p>
    <w:p w14:paraId="43B3311E" w14:textId="77777777" w:rsidR="009B2726" w:rsidRDefault="009B2726" w:rsidP="005922BA">
      <w:pPr>
        <w:spacing w:line="276" w:lineRule="auto"/>
        <w:ind w:firstLine="720"/>
        <w:jc w:val="both"/>
        <w:rPr>
          <w:bCs/>
          <w:color w:val="0A0A0A"/>
        </w:rPr>
      </w:pPr>
    </w:p>
    <w:p w14:paraId="45612700" w14:textId="1878F12B" w:rsidR="00FE4A26" w:rsidRDefault="00A50150" w:rsidP="005922BA">
      <w:pPr>
        <w:spacing w:line="276" w:lineRule="auto"/>
        <w:ind w:firstLine="720"/>
        <w:jc w:val="both"/>
      </w:pPr>
      <w:r w:rsidRPr="00A50150">
        <w:rPr>
          <w:rFonts w:asciiTheme="majorBidi" w:eastAsiaTheme="minorHAnsi" w:hAnsiTheme="majorBidi" w:cstheme="majorBidi"/>
          <w:lang w:eastAsia="en-US"/>
        </w:rPr>
        <w:t>[</w:t>
      </w:r>
      <w:r w:rsidR="009B2726">
        <w:rPr>
          <w:rFonts w:asciiTheme="majorBidi" w:eastAsiaTheme="minorHAnsi" w:hAnsiTheme="majorBidi" w:cstheme="majorBidi"/>
          <w:lang w:eastAsia="en-US"/>
        </w:rPr>
        <w:t>5</w:t>
      </w:r>
      <w:r w:rsidRPr="00A50150">
        <w:rPr>
          <w:rFonts w:asciiTheme="majorBidi" w:eastAsiaTheme="minorHAnsi" w:hAnsiTheme="majorBidi" w:cstheme="majorBidi"/>
          <w:lang w:eastAsia="en-US"/>
        </w:rPr>
        <w:t>]</w:t>
      </w:r>
      <w:r w:rsidR="004D1DDF">
        <w:rPr>
          <w:rFonts w:asciiTheme="majorBidi" w:eastAsiaTheme="minorHAnsi" w:hAnsiTheme="majorBidi" w:cstheme="majorBidi"/>
          <w:lang w:eastAsia="en-US"/>
        </w:rPr>
        <w:t xml:space="preserve"> </w:t>
      </w:r>
      <w:r w:rsidR="00FE4A26">
        <w:t>Tā kā pieteicējas argumenti nerada šaubas par pārsūdzētā sprieduma tiesiskumu un izskatāmajai lietai nav arī nozīmes judikatūras veidošanā, kasācijas tiesvedības ierosināšana ir atsakāma.</w:t>
      </w:r>
    </w:p>
    <w:p w14:paraId="3B2217CC" w14:textId="77777777" w:rsidR="00FE4A26" w:rsidRDefault="00FE4A26" w:rsidP="005922BA">
      <w:pPr>
        <w:spacing w:line="276" w:lineRule="auto"/>
        <w:ind w:firstLine="720"/>
        <w:jc w:val="both"/>
      </w:pPr>
    </w:p>
    <w:p w14:paraId="25F7BD0F" w14:textId="77777777" w:rsidR="00FE4A26" w:rsidRPr="00D61285" w:rsidRDefault="00FE4A26" w:rsidP="005922BA">
      <w:pPr>
        <w:tabs>
          <w:tab w:val="left" w:pos="3119"/>
        </w:tabs>
        <w:spacing w:line="276" w:lineRule="auto"/>
        <w:ind w:firstLine="720"/>
        <w:jc w:val="both"/>
      </w:pPr>
      <w:r w:rsidRPr="00D61285">
        <w:t>Pamatojoties uz Administratīvā procesa likuma 338.panta otro daļu un 338.</w:t>
      </w:r>
      <w:r w:rsidRPr="00D61285">
        <w:rPr>
          <w:vertAlign w:val="superscript"/>
        </w:rPr>
        <w:t>1</w:t>
      </w:r>
      <w:r w:rsidRPr="00D61285">
        <w:t xml:space="preserve">panta </w:t>
      </w:r>
      <w:r>
        <w:t>otrās daļas 2.punktu</w:t>
      </w:r>
      <w:r w:rsidRPr="00D61285">
        <w:t>, senatoru kolēģija</w:t>
      </w:r>
    </w:p>
    <w:p w14:paraId="6E266C77" w14:textId="2C1CBB06" w:rsidR="00A50150" w:rsidRPr="009A6A06" w:rsidRDefault="00A50150" w:rsidP="005922BA">
      <w:pPr>
        <w:spacing w:line="276" w:lineRule="auto"/>
        <w:ind w:firstLine="720"/>
        <w:jc w:val="both"/>
        <w:rPr>
          <w:strike/>
        </w:rPr>
      </w:pPr>
    </w:p>
    <w:p w14:paraId="531C090A" w14:textId="77777777" w:rsidR="00A50150" w:rsidRPr="00B17B0C" w:rsidRDefault="00A50150" w:rsidP="005922BA">
      <w:pPr>
        <w:spacing w:line="276" w:lineRule="auto"/>
        <w:jc w:val="center"/>
        <w:rPr>
          <w:b/>
        </w:rPr>
      </w:pPr>
      <w:r w:rsidRPr="00B17B0C">
        <w:rPr>
          <w:b/>
        </w:rPr>
        <w:t>nolēma</w:t>
      </w:r>
    </w:p>
    <w:p w14:paraId="7593AF8D" w14:textId="77777777" w:rsidR="00A50150" w:rsidRPr="00B17B0C" w:rsidRDefault="00A50150" w:rsidP="005922BA">
      <w:pPr>
        <w:spacing w:line="276" w:lineRule="auto"/>
        <w:jc w:val="center"/>
        <w:rPr>
          <w:b/>
        </w:rPr>
      </w:pPr>
    </w:p>
    <w:p w14:paraId="6BD1E62D" w14:textId="789531EC" w:rsidR="00FE4A26" w:rsidRDefault="00FE4A26" w:rsidP="005922BA">
      <w:pPr>
        <w:spacing w:line="276" w:lineRule="auto"/>
        <w:ind w:firstLine="720"/>
        <w:jc w:val="both"/>
      </w:pPr>
      <w:r>
        <w:t>a</w:t>
      </w:r>
      <w:r w:rsidRPr="00D61285">
        <w:t>tteikt ierosināt kasācijas tiesvedību sakarā ar</w:t>
      </w:r>
      <w:r w:rsidRPr="00907560">
        <w:rPr>
          <w:i/>
          <w:iCs/>
        </w:rPr>
        <w:t xml:space="preserve"> </w:t>
      </w:r>
      <w:r>
        <w:rPr>
          <w:rFonts w:asciiTheme="majorBidi" w:hAnsiTheme="majorBidi" w:cstheme="majorBidi"/>
        </w:rPr>
        <w:t xml:space="preserve">sabiedrības ar ierobežotu atbildību ,,AVERTO” </w:t>
      </w:r>
      <w:r>
        <w:t xml:space="preserve">kasācijas sūdzību par </w:t>
      </w:r>
      <w:r w:rsidRPr="002E6F21">
        <w:t>Administratīvā</w:t>
      </w:r>
      <w:r>
        <w:t>s</w:t>
      </w:r>
      <w:r w:rsidRPr="002E6F21">
        <w:t xml:space="preserve"> </w:t>
      </w:r>
      <w:r>
        <w:t xml:space="preserve">apgabaltiesas </w:t>
      </w:r>
      <w:r w:rsidRPr="002E6F21">
        <w:t>202</w:t>
      </w:r>
      <w:r>
        <w:t>5</w:t>
      </w:r>
      <w:r w:rsidRPr="002E6F21">
        <w:t xml:space="preserve">.gada </w:t>
      </w:r>
      <w:r>
        <w:t>16.decembra</w:t>
      </w:r>
      <w:r w:rsidRPr="002E6F21">
        <w:t xml:space="preserve"> spriedumu</w:t>
      </w:r>
      <w:r>
        <w:t>.</w:t>
      </w:r>
    </w:p>
    <w:p w14:paraId="62D05F79" w14:textId="77777777" w:rsidR="00A50150" w:rsidRDefault="00A50150" w:rsidP="005922BA">
      <w:pPr>
        <w:spacing w:line="276" w:lineRule="auto"/>
        <w:ind w:firstLine="720"/>
        <w:jc w:val="both"/>
      </w:pPr>
    </w:p>
    <w:p w14:paraId="7B62381C" w14:textId="1C527528" w:rsidR="00A50150" w:rsidRDefault="00A50150" w:rsidP="005922BA">
      <w:pPr>
        <w:spacing w:line="276" w:lineRule="auto"/>
        <w:ind w:firstLine="720"/>
        <w:jc w:val="both"/>
      </w:pPr>
      <w:r>
        <w:t>Lēmums nav pārsūdzams.</w:t>
      </w:r>
    </w:p>
    <w:p w14:paraId="782822D6" w14:textId="77777777" w:rsidR="001B2F01" w:rsidRDefault="001B2F01" w:rsidP="005922BA">
      <w:pPr>
        <w:spacing w:line="276" w:lineRule="auto"/>
        <w:jc w:val="both"/>
      </w:pPr>
    </w:p>
    <w:p w14:paraId="291A5F8D" w14:textId="77777777" w:rsidR="001B2F01" w:rsidRDefault="001B2F01" w:rsidP="005922BA">
      <w:pPr>
        <w:spacing w:line="276" w:lineRule="auto"/>
        <w:jc w:val="both"/>
      </w:pPr>
    </w:p>
    <w:p w14:paraId="03BE8486" w14:textId="77777777" w:rsidR="001B2F01" w:rsidRDefault="001B2F01" w:rsidP="005922BA">
      <w:pPr>
        <w:spacing w:line="276" w:lineRule="auto"/>
        <w:jc w:val="both"/>
      </w:pPr>
    </w:p>
    <w:p w14:paraId="7E18D50E" w14:textId="77777777" w:rsidR="001B2F01" w:rsidRDefault="001B2F01" w:rsidP="005922BA">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5"/>
        <w:gridCol w:w="2861"/>
        <w:gridCol w:w="2818"/>
      </w:tblGrid>
      <w:tr w:rsidR="001B2F01" w14:paraId="4A4DEA74" w14:textId="77777777" w:rsidTr="001B2F01">
        <w:tc>
          <w:tcPr>
            <w:tcW w:w="2942" w:type="dxa"/>
            <w:vAlign w:val="center"/>
          </w:tcPr>
          <w:p w14:paraId="118F7FD9" w14:textId="5CD5A7CF" w:rsidR="001B2F01" w:rsidRPr="001B2F01" w:rsidRDefault="001B2F01" w:rsidP="005922BA">
            <w:pPr>
              <w:spacing w:line="276" w:lineRule="auto"/>
              <w:rPr>
                <w:sz w:val="24"/>
                <w:szCs w:val="32"/>
              </w:rPr>
            </w:pPr>
            <w:r w:rsidRPr="001B2F01">
              <w:rPr>
                <w:sz w:val="24"/>
                <w:szCs w:val="32"/>
              </w:rPr>
              <w:t>Senator</w:t>
            </w:r>
            <w:r w:rsidR="004D1DDF">
              <w:rPr>
                <w:sz w:val="24"/>
                <w:szCs w:val="32"/>
              </w:rPr>
              <w:t>e</w:t>
            </w:r>
            <w:r w:rsidRPr="001B2F01">
              <w:rPr>
                <w:sz w:val="24"/>
                <w:szCs w:val="32"/>
              </w:rPr>
              <w:t xml:space="preserve"> </w:t>
            </w:r>
            <w:r w:rsidR="004D1DDF">
              <w:rPr>
                <w:sz w:val="24"/>
                <w:szCs w:val="32"/>
              </w:rPr>
              <w:t>R</w:t>
            </w:r>
            <w:r w:rsidRPr="001B2F01">
              <w:rPr>
                <w:sz w:val="24"/>
                <w:szCs w:val="32"/>
              </w:rPr>
              <w:t>.</w:t>
            </w:r>
            <w:r w:rsidR="004D1DDF">
              <w:rPr>
                <w:sz w:val="24"/>
                <w:szCs w:val="32"/>
              </w:rPr>
              <w:t> Vīduša</w:t>
            </w:r>
          </w:p>
        </w:tc>
        <w:tc>
          <w:tcPr>
            <w:tcW w:w="2943" w:type="dxa"/>
            <w:vAlign w:val="center"/>
          </w:tcPr>
          <w:p w14:paraId="49286952" w14:textId="2E10AF7E" w:rsidR="001B2F01" w:rsidRPr="001B2F01" w:rsidRDefault="001B2F01" w:rsidP="005922BA">
            <w:pPr>
              <w:spacing w:line="276" w:lineRule="auto"/>
              <w:jc w:val="center"/>
              <w:rPr>
                <w:sz w:val="24"/>
                <w:szCs w:val="32"/>
              </w:rPr>
            </w:pPr>
            <w:r w:rsidRPr="001B2F01">
              <w:rPr>
                <w:sz w:val="24"/>
                <w:szCs w:val="32"/>
              </w:rPr>
              <w:t>Senator</w:t>
            </w:r>
            <w:r w:rsidR="007D7B77">
              <w:rPr>
                <w:sz w:val="24"/>
                <w:szCs w:val="32"/>
              </w:rPr>
              <w:t xml:space="preserve">e </w:t>
            </w:r>
            <w:r w:rsidR="004D1DDF">
              <w:rPr>
                <w:sz w:val="24"/>
                <w:szCs w:val="32"/>
              </w:rPr>
              <w:t>L</w:t>
            </w:r>
            <w:r w:rsidR="007D7B77">
              <w:rPr>
                <w:sz w:val="24"/>
                <w:szCs w:val="32"/>
              </w:rPr>
              <w:t>.</w:t>
            </w:r>
            <w:r w:rsidR="004D1DDF">
              <w:rPr>
                <w:sz w:val="24"/>
                <w:szCs w:val="32"/>
              </w:rPr>
              <w:t> </w:t>
            </w:r>
            <w:r w:rsidR="007D7B77">
              <w:rPr>
                <w:sz w:val="24"/>
                <w:szCs w:val="32"/>
              </w:rPr>
              <w:t>K</w:t>
            </w:r>
            <w:r w:rsidR="004D1DDF">
              <w:rPr>
                <w:sz w:val="24"/>
                <w:szCs w:val="32"/>
              </w:rPr>
              <w:t>onošonoka</w:t>
            </w:r>
          </w:p>
        </w:tc>
        <w:tc>
          <w:tcPr>
            <w:tcW w:w="2943" w:type="dxa"/>
            <w:vAlign w:val="center"/>
          </w:tcPr>
          <w:p w14:paraId="2E5D3F30" w14:textId="570DDC83" w:rsidR="001B2F01" w:rsidRPr="001B2F01" w:rsidRDefault="001B2F01" w:rsidP="005922BA">
            <w:pPr>
              <w:spacing w:line="276" w:lineRule="auto"/>
              <w:jc w:val="right"/>
              <w:rPr>
                <w:sz w:val="24"/>
                <w:szCs w:val="32"/>
              </w:rPr>
            </w:pPr>
            <w:r w:rsidRPr="001B2F01">
              <w:rPr>
                <w:sz w:val="24"/>
                <w:szCs w:val="32"/>
              </w:rPr>
              <w:t>Senator</w:t>
            </w:r>
            <w:r w:rsidR="004D1DDF">
              <w:rPr>
                <w:sz w:val="24"/>
                <w:szCs w:val="32"/>
              </w:rPr>
              <w:t>s</w:t>
            </w:r>
            <w:r w:rsidRPr="001B2F01">
              <w:rPr>
                <w:sz w:val="24"/>
                <w:szCs w:val="32"/>
              </w:rPr>
              <w:t xml:space="preserve"> </w:t>
            </w:r>
            <w:r w:rsidR="004D1DDF">
              <w:rPr>
                <w:sz w:val="24"/>
                <w:szCs w:val="32"/>
              </w:rPr>
              <w:t>J</w:t>
            </w:r>
            <w:r w:rsidR="007D7B77">
              <w:rPr>
                <w:sz w:val="24"/>
                <w:szCs w:val="32"/>
              </w:rPr>
              <w:t>.</w:t>
            </w:r>
            <w:r w:rsidR="004D1DDF">
              <w:rPr>
                <w:sz w:val="24"/>
                <w:szCs w:val="32"/>
              </w:rPr>
              <w:t> Pleps</w:t>
            </w:r>
          </w:p>
        </w:tc>
      </w:tr>
    </w:tbl>
    <w:p w14:paraId="3B4DA945" w14:textId="77777777" w:rsidR="001B2F01" w:rsidRPr="001B2F01" w:rsidRDefault="001B2F01" w:rsidP="005922BA">
      <w:pPr>
        <w:spacing w:line="276" w:lineRule="auto"/>
        <w:jc w:val="both"/>
      </w:pPr>
    </w:p>
    <w:p w14:paraId="020F80A3" w14:textId="77777777" w:rsidR="00A50150" w:rsidRPr="00B17B0C" w:rsidRDefault="00A50150" w:rsidP="005922BA">
      <w:pPr>
        <w:spacing w:line="276" w:lineRule="auto"/>
        <w:ind w:firstLine="567"/>
        <w:jc w:val="both"/>
        <w:rPr>
          <w:color w:val="000000"/>
        </w:rPr>
      </w:pPr>
    </w:p>
    <w:sectPr w:rsidR="00A50150" w:rsidRPr="00B17B0C" w:rsidSect="00EC1261">
      <w:footerReference w:type="default" r:id="rId12"/>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62D0D" w14:textId="77777777" w:rsidR="004A23AF" w:rsidRDefault="004A23AF" w:rsidP="009F7ACE">
      <w:r>
        <w:separator/>
      </w:r>
    </w:p>
  </w:endnote>
  <w:endnote w:type="continuationSeparator" w:id="0">
    <w:p w14:paraId="2D1EFE6A" w14:textId="77777777" w:rsidR="004A23AF" w:rsidRDefault="004A23AF"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007AC160"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4A23AF">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1F731" w14:textId="77777777" w:rsidR="004A23AF" w:rsidRDefault="004A23AF" w:rsidP="009F7ACE">
      <w:r>
        <w:separator/>
      </w:r>
    </w:p>
  </w:footnote>
  <w:footnote w:type="continuationSeparator" w:id="0">
    <w:p w14:paraId="36F9D59D" w14:textId="77777777" w:rsidR="004A23AF" w:rsidRDefault="004A23AF"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147A0"/>
    <w:rsid w:val="00025A01"/>
    <w:rsid w:val="00065612"/>
    <w:rsid w:val="00067112"/>
    <w:rsid w:val="00067CAD"/>
    <w:rsid w:val="00093086"/>
    <w:rsid w:val="000976B4"/>
    <w:rsid w:val="000A2359"/>
    <w:rsid w:val="000A65CA"/>
    <w:rsid w:val="000D1F3C"/>
    <w:rsid w:val="000E008F"/>
    <w:rsid w:val="000E5FFB"/>
    <w:rsid w:val="000E7930"/>
    <w:rsid w:val="000F6ADC"/>
    <w:rsid w:val="001367B6"/>
    <w:rsid w:val="00136A9A"/>
    <w:rsid w:val="0014132F"/>
    <w:rsid w:val="00152600"/>
    <w:rsid w:val="00194C45"/>
    <w:rsid w:val="001A33E9"/>
    <w:rsid w:val="001A7DBE"/>
    <w:rsid w:val="001B2F01"/>
    <w:rsid w:val="001E07DE"/>
    <w:rsid w:val="00232F15"/>
    <w:rsid w:val="00240F45"/>
    <w:rsid w:val="00273A50"/>
    <w:rsid w:val="0027528A"/>
    <w:rsid w:val="002C1F82"/>
    <w:rsid w:val="00305525"/>
    <w:rsid w:val="00307B8A"/>
    <w:rsid w:val="00322CF3"/>
    <w:rsid w:val="003329CF"/>
    <w:rsid w:val="00354597"/>
    <w:rsid w:val="00372702"/>
    <w:rsid w:val="00373DC8"/>
    <w:rsid w:val="00377C08"/>
    <w:rsid w:val="0038523E"/>
    <w:rsid w:val="003928E2"/>
    <w:rsid w:val="003B49E5"/>
    <w:rsid w:val="003B6484"/>
    <w:rsid w:val="003D6244"/>
    <w:rsid w:val="003D76B2"/>
    <w:rsid w:val="003E0A1D"/>
    <w:rsid w:val="003E25E0"/>
    <w:rsid w:val="00405084"/>
    <w:rsid w:val="00411CD0"/>
    <w:rsid w:val="0044568F"/>
    <w:rsid w:val="00447EE6"/>
    <w:rsid w:val="00452ABD"/>
    <w:rsid w:val="00477754"/>
    <w:rsid w:val="00481C6F"/>
    <w:rsid w:val="00492E1E"/>
    <w:rsid w:val="00494EDB"/>
    <w:rsid w:val="004A23AF"/>
    <w:rsid w:val="004A7C37"/>
    <w:rsid w:val="004B2A94"/>
    <w:rsid w:val="004D0F9C"/>
    <w:rsid w:val="004D1DDF"/>
    <w:rsid w:val="004F2B2F"/>
    <w:rsid w:val="0050612E"/>
    <w:rsid w:val="00547C02"/>
    <w:rsid w:val="005506B3"/>
    <w:rsid w:val="00575AAE"/>
    <w:rsid w:val="005776B1"/>
    <w:rsid w:val="00586AFB"/>
    <w:rsid w:val="005922BA"/>
    <w:rsid w:val="00593C97"/>
    <w:rsid w:val="005947AB"/>
    <w:rsid w:val="00596EF9"/>
    <w:rsid w:val="005D0C3D"/>
    <w:rsid w:val="00607D4D"/>
    <w:rsid w:val="006178F5"/>
    <w:rsid w:val="006266C1"/>
    <w:rsid w:val="00630780"/>
    <w:rsid w:val="00655995"/>
    <w:rsid w:val="00677BD2"/>
    <w:rsid w:val="006E41F9"/>
    <w:rsid w:val="0070682F"/>
    <w:rsid w:val="00724B81"/>
    <w:rsid w:val="007523C9"/>
    <w:rsid w:val="007644B5"/>
    <w:rsid w:val="007671B0"/>
    <w:rsid w:val="00773242"/>
    <w:rsid w:val="00782477"/>
    <w:rsid w:val="007A5D9F"/>
    <w:rsid w:val="007C1540"/>
    <w:rsid w:val="007C32C8"/>
    <w:rsid w:val="007C7584"/>
    <w:rsid w:val="007D3AF8"/>
    <w:rsid w:val="007D7B77"/>
    <w:rsid w:val="007F57CA"/>
    <w:rsid w:val="00851FDD"/>
    <w:rsid w:val="008558BD"/>
    <w:rsid w:val="00866FFF"/>
    <w:rsid w:val="0087351A"/>
    <w:rsid w:val="008744A3"/>
    <w:rsid w:val="008774FB"/>
    <w:rsid w:val="008C43F1"/>
    <w:rsid w:val="008D2031"/>
    <w:rsid w:val="008D46CC"/>
    <w:rsid w:val="008E735E"/>
    <w:rsid w:val="008F0317"/>
    <w:rsid w:val="00972062"/>
    <w:rsid w:val="009771E3"/>
    <w:rsid w:val="009A4AD5"/>
    <w:rsid w:val="009B2726"/>
    <w:rsid w:val="009F7ACE"/>
    <w:rsid w:val="00A00B73"/>
    <w:rsid w:val="00A04405"/>
    <w:rsid w:val="00A11873"/>
    <w:rsid w:val="00A2201A"/>
    <w:rsid w:val="00A50150"/>
    <w:rsid w:val="00A95954"/>
    <w:rsid w:val="00AB43A1"/>
    <w:rsid w:val="00AD7453"/>
    <w:rsid w:val="00AE42AE"/>
    <w:rsid w:val="00AE49A6"/>
    <w:rsid w:val="00B2570B"/>
    <w:rsid w:val="00B54F4B"/>
    <w:rsid w:val="00B57336"/>
    <w:rsid w:val="00B71525"/>
    <w:rsid w:val="00B90F48"/>
    <w:rsid w:val="00BB4C76"/>
    <w:rsid w:val="00BB6EA3"/>
    <w:rsid w:val="00BC03B6"/>
    <w:rsid w:val="00BD286D"/>
    <w:rsid w:val="00BD3526"/>
    <w:rsid w:val="00BF21E2"/>
    <w:rsid w:val="00C1458D"/>
    <w:rsid w:val="00C176CF"/>
    <w:rsid w:val="00C25F37"/>
    <w:rsid w:val="00C5023B"/>
    <w:rsid w:val="00C52F4E"/>
    <w:rsid w:val="00C556A3"/>
    <w:rsid w:val="00C563E6"/>
    <w:rsid w:val="00C60C95"/>
    <w:rsid w:val="00C61C30"/>
    <w:rsid w:val="00C8099D"/>
    <w:rsid w:val="00C81FD3"/>
    <w:rsid w:val="00CA6C20"/>
    <w:rsid w:val="00CC5F76"/>
    <w:rsid w:val="00CC6777"/>
    <w:rsid w:val="00CE126D"/>
    <w:rsid w:val="00CE79F0"/>
    <w:rsid w:val="00CF076B"/>
    <w:rsid w:val="00D0326E"/>
    <w:rsid w:val="00D04558"/>
    <w:rsid w:val="00D215BB"/>
    <w:rsid w:val="00D25D87"/>
    <w:rsid w:val="00D34457"/>
    <w:rsid w:val="00D47B62"/>
    <w:rsid w:val="00D522F4"/>
    <w:rsid w:val="00D81854"/>
    <w:rsid w:val="00D87BD4"/>
    <w:rsid w:val="00D90042"/>
    <w:rsid w:val="00DB1978"/>
    <w:rsid w:val="00DB6305"/>
    <w:rsid w:val="00DC18CF"/>
    <w:rsid w:val="00DD09D6"/>
    <w:rsid w:val="00DE3013"/>
    <w:rsid w:val="00E00F8A"/>
    <w:rsid w:val="00E25F34"/>
    <w:rsid w:val="00E41DA0"/>
    <w:rsid w:val="00E64443"/>
    <w:rsid w:val="00E7214D"/>
    <w:rsid w:val="00E95C78"/>
    <w:rsid w:val="00EA40AD"/>
    <w:rsid w:val="00EC1261"/>
    <w:rsid w:val="00EC74DA"/>
    <w:rsid w:val="00EE1B21"/>
    <w:rsid w:val="00EF387A"/>
    <w:rsid w:val="00F1200A"/>
    <w:rsid w:val="00F27433"/>
    <w:rsid w:val="00F41C2D"/>
    <w:rsid w:val="00F41EE7"/>
    <w:rsid w:val="00F4236F"/>
    <w:rsid w:val="00F56934"/>
    <w:rsid w:val="00F569ED"/>
    <w:rsid w:val="00F731C3"/>
    <w:rsid w:val="00FA0AB3"/>
    <w:rsid w:val="00FA0E36"/>
    <w:rsid w:val="00FB1DEC"/>
    <w:rsid w:val="00FC2B1F"/>
    <w:rsid w:val="00FC7262"/>
    <w:rsid w:val="00FD16C0"/>
    <w:rsid w:val="00FE4A26"/>
    <w:rsid w:val="00FF78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1367B6"/>
    <w:rPr>
      <w:color w:val="0563C1" w:themeColor="hyperlink"/>
      <w:u w:val="single"/>
    </w:rPr>
  </w:style>
  <w:style w:type="character" w:styleId="UnresolvedMention">
    <w:name w:val="Unresolved Mention"/>
    <w:basedOn w:val="DefaultParagraphFont"/>
    <w:uiPriority w:val="99"/>
    <w:semiHidden/>
    <w:unhideWhenUsed/>
    <w:rsid w:val="001367B6"/>
    <w:rPr>
      <w:color w:val="605E5C"/>
      <w:shd w:val="clear" w:color="auto" w:fill="E1DFDD"/>
    </w:rPr>
  </w:style>
  <w:style w:type="paragraph" w:styleId="Revision">
    <w:name w:val="Revision"/>
    <w:hidden/>
    <w:uiPriority w:val="99"/>
    <w:semiHidden/>
    <w:rsid w:val="003D76B2"/>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3D76B2"/>
    <w:rPr>
      <w:color w:val="954F72" w:themeColor="followedHyperlink"/>
      <w:u w:val="single"/>
    </w:rPr>
  </w:style>
  <w:style w:type="paragraph" w:customStyle="1" w:styleId="Default">
    <w:name w:val="Default"/>
    <w:rsid w:val="005922BA"/>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curia.curia.europa.eu/tabs/document/C/2021/C-0072-21-00000000RP-01-P-01/ARRET/258494-LV-1-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4dc5e499-9361-4e47-91ee-cdaf76e4c39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curia.curia.europa.eu/tabs/document/C/2022/C-0107-22-00000000RP-01-P-01/ARRET/272974-LV-1-html" TargetMode="External"/><Relationship Id="rId5" Type="http://schemas.openxmlformats.org/officeDocument/2006/relationships/footnotes" Target="footnotes.xml"/><Relationship Id="rId10" Type="http://schemas.openxmlformats.org/officeDocument/2006/relationships/hyperlink" Target="https://infocuria.curia.europa.eu/tabs/document/C/2021/C-0542-21-00000000RP-01-P-01/ARRET/267412-LV-1-html" TargetMode="External"/><Relationship Id="rId4" Type="http://schemas.openxmlformats.org/officeDocument/2006/relationships/webSettings" Target="webSettings.xml"/><Relationship Id="rId9" Type="http://schemas.openxmlformats.org/officeDocument/2006/relationships/hyperlink" Target="https://infocuria.curia.europa.eu/tabs/document/C/2021/C-0072-21-00000000RP-01-P-01/ARRET/258494-LV-1-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5181</Words>
  <Characters>2954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2026-07-23T10:47:00Z</dcterms:created>
  <dcterms:modified xsi:type="dcterms:W3CDTF">2026-07-23T10:47:00Z</dcterms:modified>
</cp:coreProperties>
</file>