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A40C82" w14:textId="77777777" w:rsidR="00DB4CF6" w:rsidRDefault="00DB4CF6" w:rsidP="00BD1472">
      <w:pPr>
        <w:autoSpaceDE w:val="0"/>
        <w:autoSpaceDN w:val="0"/>
        <w:spacing w:line="276" w:lineRule="auto"/>
        <w:jc w:val="both"/>
        <w:rPr>
          <w:b/>
          <w:bCs/>
          <w:lang w:eastAsia="lv-LV"/>
          <w14:ligatures w14:val="standardContextual"/>
        </w:rPr>
      </w:pPr>
      <w:r>
        <w:rPr>
          <w:b/>
          <w:bCs/>
          <w:color w:val="000000"/>
          <w14:ligatures w14:val="standardContextual"/>
        </w:rPr>
        <w:t>Likuma „Par izdienas pensijām Iekšlietu ministrijas sistēmas darbiniekiem ar speciālajām dienesta pakāpēm” 3.panta pirmās daļas 10.punkta interpretācija</w:t>
      </w:r>
    </w:p>
    <w:p w14:paraId="7402D8BB" w14:textId="77777777" w:rsidR="00DB4CF6" w:rsidRDefault="00DB4CF6" w:rsidP="00BD1472">
      <w:pPr>
        <w:numPr>
          <w:ilvl w:val="0"/>
          <w:numId w:val="6"/>
        </w:numPr>
        <w:autoSpaceDE w:val="0"/>
        <w:autoSpaceDN w:val="0"/>
        <w:spacing w:line="276" w:lineRule="auto"/>
        <w:jc w:val="both"/>
        <w:rPr>
          <w:color w:val="000000"/>
          <w14:ligatures w14:val="standardContextual"/>
        </w:rPr>
      </w:pPr>
      <w:r>
        <w:rPr>
          <w:color w:val="000000"/>
          <w14:ligatures w14:val="standardContextual"/>
        </w:rPr>
        <w:t xml:space="preserve">Likuma „Par izdienas pensijām Iekšlietu ministrijas sistēmas darbiniekiem ar speciālajām dienesta pakāpēm” 3.panta pirmās daļas 10.punkts neierobežo nostrādāto laiku citās iestādēs, pie komersantiem un organizācijās ar darbu tikai Latvijas teritorijā. </w:t>
      </w:r>
    </w:p>
    <w:p w14:paraId="348E394E" w14:textId="77777777" w:rsidR="00DB4CF6" w:rsidRDefault="00DB4CF6" w:rsidP="00BD1472">
      <w:pPr>
        <w:autoSpaceDE w:val="0"/>
        <w:autoSpaceDN w:val="0"/>
        <w:spacing w:line="276" w:lineRule="auto"/>
        <w:ind w:left="360"/>
        <w:jc w:val="both"/>
        <w:rPr>
          <w:color w:val="000000"/>
          <w14:ligatures w14:val="standardContextual"/>
        </w:rPr>
      </w:pPr>
      <w:r w:rsidRPr="00DB4CF6">
        <w:rPr>
          <w:color w:val="000000"/>
          <w14:ligatures w14:val="standardContextual"/>
        </w:rPr>
        <w:t xml:space="preserve">Lai pareizi izprastu minētā likuma 3.panta pirmās daļas 10.punktā minēto nostrādāto laiku, izmantojamas tās tiesību normas, kas regulē pensiju un darba tiesību jautājumus, jo strīdus tiesību norma attiecas gan uz pensijas piešķiršanu, gan saistīta ar personas darba perioda noteikšanu. </w:t>
      </w:r>
    </w:p>
    <w:p w14:paraId="04985DF4" w14:textId="0F4DBE67" w:rsidR="00DB4CF6" w:rsidRDefault="00DB4CF6" w:rsidP="00BD1472">
      <w:pPr>
        <w:autoSpaceDE w:val="0"/>
        <w:autoSpaceDN w:val="0"/>
        <w:spacing w:line="276" w:lineRule="auto"/>
        <w:ind w:left="360"/>
        <w:jc w:val="both"/>
        <w:rPr>
          <w:color w:val="000000"/>
          <w14:ligatures w14:val="standardContextual"/>
        </w:rPr>
      </w:pPr>
      <w:r>
        <w:rPr>
          <w:color w:val="000000"/>
          <w14:ligatures w14:val="standardContextual"/>
        </w:rPr>
        <w:t>Apdrošināšanas stāža definīcija, kas ir norādīta Ministru kabineta 2010.gada 21.decembra noteikumu Nr. 1157 „Kārtība, kādā Iekšlietu ministrijas sistēmas iestāžu un Ieslodzījuma vietu pārvaldes darbiniekiem ar speciālajām dienesta pakāpēm aprēķina, piešķir un izmaksā izdienas pensijas” 11.2.apakšpunktā, ir gandrīz identiska ar likuma „Par valsts pensijām” 1.panta 1.punktā ietverto, tad situācijā, kad pastāv strīds tieši par nostrādāto laiku ārpus dienesta attiecībām, uz  nostrādāto laiku ir jāraugās tāpat kā uz apdrošināšanas stāžu, ko ņem vērā, vērtējot tiesības uz valsts sociālās apdrošināšanas pensiju.</w:t>
      </w:r>
    </w:p>
    <w:p w14:paraId="6458FCEE" w14:textId="77777777" w:rsidR="00DB4CF6" w:rsidRDefault="00DB4CF6" w:rsidP="00BD1472">
      <w:pPr>
        <w:numPr>
          <w:ilvl w:val="0"/>
          <w:numId w:val="6"/>
        </w:numPr>
        <w:autoSpaceDE w:val="0"/>
        <w:autoSpaceDN w:val="0"/>
        <w:spacing w:line="276" w:lineRule="auto"/>
        <w:jc w:val="both"/>
        <w:rPr>
          <w:color w:val="000000"/>
          <w14:ligatures w14:val="standardContextual"/>
        </w:rPr>
      </w:pPr>
      <w:r>
        <w:rPr>
          <w:color w:val="000000"/>
          <w14:ligatures w14:val="standardContextual"/>
        </w:rPr>
        <w:t xml:space="preserve">Tas, ka likumdevējs noteicis izdienas stāžā ieskaitīt arī dienējušās personas nostrādāto laiku, nenozīmē, ka tas tiek pielīdzināts dienestam iekšlietu sistēmā. Nostrādātā laika ieskaitīšana izdienas stāžā vērtējama kā likumdevēja noteikts papildu labums tām personām, kas iekšlietu sistēmā nodienējušas vismaz 10 gadus, proti, ka tad tiek ņemts vērā arī personas ārpus dienesta nostrādātais laiks. </w:t>
      </w:r>
    </w:p>
    <w:p w14:paraId="3267A70C" w14:textId="77777777" w:rsidR="00DB4CF6" w:rsidRDefault="00DB4CF6" w:rsidP="00BD1472">
      <w:pPr>
        <w:spacing w:line="276" w:lineRule="auto"/>
        <w:jc w:val="both"/>
      </w:pPr>
    </w:p>
    <w:p w14:paraId="4D804163" w14:textId="77777777" w:rsidR="00DB4CF6" w:rsidRDefault="00DB4CF6" w:rsidP="00BD1472">
      <w:pPr>
        <w:spacing w:line="276" w:lineRule="auto"/>
        <w:jc w:val="both"/>
        <w:rPr>
          <w:b/>
          <w:bCs/>
        </w:rPr>
      </w:pPr>
      <w:r>
        <w:rPr>
          <w:b/>
          <w:bCs/>
        </w:rPr>
        <w:t>Sociālā nodrošinājuma koordinācija starp Latvijas Republiku un Apvienoto Karalisti</w:t>
      </w:r>
    </w:p>
    <w:p w14:paraId="4C595E7D" w14:textId="77777777" w:rsidR="00DB4CF6" w:rsidRDefault="00DB4CF6" w:rsidP="00BD1472">
      <w:pPr>
        <w:spacing w:line="276" w:lineRule="auto"/>
        <w:jc w:val="both"/>
        <w:rPr>
          <w14:ligatures w14:val="standardContextual"/>
        </w:rPr>
      </w:pPr>
      <w:r>
        <w:rPr>
          <w:color w:val="000000"/>
          <w14:ligatures w14:val="standardContextual"/>
        </w:rPr>
        <w:t>Attiecības starp Latviju un Apvienoto Karalisti sociālā nodrošinājuma koordināciju šobrīd regulē Eiropas Savienības un Apvienotās Karalistes noslēgtais līgums par Tirdzniecības un sadarbības nolīgumu starp Eiropas Savienību un Eiropas Atomenerģijas kopienu, no vienas puses, un Lielbritānijas un Ziemeļīrijas Apvienoto Karalisti, no otras puses un tajā ietvertais Protokols par sociālā nodrošinājuma koordināciju.</w:t>
      </w:r>
    </w:p>
    <w:p w14:paraId="1B8AADFD" w14:textId="77777777" w:rsidR="00DB4CF6" w:rsidRDefault="00DB4CF6" w:rsidP="00BD1472">
      <w:pPr>
        <w:spacing w:line="276" w:lineRule="auto"/>
        <w:jc w:val="both"/>
        <w:rPr>
          <w:rFonts w:ascii="Calibri" w:hAnsi="Calibri" w:cs="Calibri"/>
        </w:rPr>
      </w:pPr>
    </w:p>
    <w:p w14:paraId="32418ED0" w14:textId="77777777" w:rsidR="00DB4CF6" w:rsidRDefault="00DB4CF6" w:rsidP="00BD1472">
      <w:pPr>
        <w:spacing w:line="276" w:lineRule="auto"/>
        <w:jc w:val="both"/>
        <w:rPr>
          <w:b/>
          <w:bCs/>
        </w:rPr>
      </w:pPr>
      <w:r>
        <w:rPr>
          <w:b/>
          <w:bCs/>
          <w14:ligatures w14:val="standardContextual"/>
        </w:rPr>
        <w:t>Iekšlietu ministrijas sistēmas darbinieka</w:t>
      </w:r>
      <w:r>
        <w:rPr>
          <w:b/>
          <w:bCs/>
        </w:rPr>
        <w:t xml:space="preserve"> izdienas stāža pielīdzināšana, ja darbs veikts citā valstī; nodarbinātība Apvienotajā Karalistē</w:t>
      </w:r>
    </w:p>
    <w:p w14:paraId="18109B7B" w14:textId="77777777" w:rsidR="00DB4CF6" w:rsidRDefault="00DB4CF6" w:rsidP="00BD1472">
      <w:pPr>
        <w:spacing w:line="276" w:lineRule="auto"/>
        <w:jc w:val="both"/>
      </w:pPr>
      <w:r>
        <w:rPr>
          <w14:ligatures w14:val="standardContextual"/>
        </w:rPr>
        <w:t xml:space="preserve">Iekšlietu ministrijas sistēmas darbiniekiem ar speciālajām dienesta pakāpēm tiesības ieskaitīt izdienas stāžā nostrādāto laiku citās iestādēs, pie komersantiem un organizācijās uz nodarbinātību citās valstīs attiecas, ja tā paredzēts sociālā nodrošinājuma koordināciju regulējošos tiesību aktos. </w:t>
      </w:r>
    </w:p>
    <w:p w14:paraId="50296FF6" w14:textId="77777777" w:rsidR="00DB4CF6" w:rsidRDefault="00DB4CF6" w:rsidP="00BD1472">
      <w:pPr>
        <w:spacing w:line="276" w:lineRule="auto"/>
        <w:jc w:val="both"/>
      </w:pPr>
      <w:r>
        <w:t xml:space="preserve">Ja nostrādātais laiks </w:t>
      </w:r>
      <w:r>
        <w:rPr>
          <w14:ligatures w14:val="standardContextual"/>
        </w:rPr>
        <w:t>citās iestādēs, pie komersantiem un organizācijās bijis Apvienotajā Karalistē, tad, p</w:t>
      </w:r>
      <w:r>
        <w:t xml:space="preserve">iemērojot </w:t>
      </w:r>
      <w:r>
        <w:rPr>
          <w:color w:val="000000"/>
          <w14:ligatures w14:val="standardContextual"/>
        </w:rPr>
        <w:t>Eiropas Savienības un Apvienotās Karalistes noslēgto līgumu par Tirdzniecības un sadarbības nolīgumu starp Eiropas Savienību un Eiropas Atomenerģijas kopienu, no vienas puses, un Lielbritānijas un Ziemeļīrijas Apvienoto Karalisti, no otras puses un tajā ietverto Protokolu par sociālā nodrošinājuma koordināciju, Iekšlietu ministrijas sistēmas darbinieku ar speciālajām dienesta pakāpēm  i</w:t>
      </w:r>
      <w:r>
        <w:t xml:space="preserve">zdienas pensijai tiek piešķirts </w:t>
      </w:r>
      <w:r>
        <w:lastRenderedPageBreak/>
        <w:t xml:space="preserve">priekšlaicīgas pensijas raksturs jeb tā tiek vērtēta kā vecuma pabalsts un tādējādi uz to attiecas minētā Protokola par sociālā nodrošinājuma koordināciju SSC.7.panta noteikumi par periodu summēšanu. </w:t>
      </w:r>
    </w:p>
    <w:p w14:paraId="351A0CD1" w14:textId="77777777" w:rsidR="00DB4CF6" w:rsidRDefault="00DB4CF6" w:rsidP="00BD1472">
      <w:pPr>
        <w:autoSpaceDE w:val="0"/>
        <w:autoSpaceDN w:val="0"/>
        <w:spacing w:line="276" w:lineRule="auto"/>
        <w:jc w:val="both"/>
        <w:rPr>
          <w:u w:val="single"/>
          <w14:ligatures w14:val="standardContextual"/>
        </w:rPr>
      </w:pPr>
    </w:p>
    <w:p w14:paraId="436A7628" w14:textId="77777777" w:rsidR="00DB4CF6" w:rsidRDefault="00DB4CF6" w:rsidP="00BD1472">
      <w:pPr>
        <w:autoSpaceDE w:val="0"/>
        <w:autoSpaceDN w:val="0"/>
        <w:spacing w:line="276" w:lineRule="auto"/>
        <w:jc w:val="both"/>
        <w:rPr>
          <w:b/>
          <w:bCs/>
          <w14:ligatures w14:val="standardContextual"/>
        </w:rPr>
      </w:pPr>
      <w:r>
        <w:rPr>
          <w:b/>
          <w:bCs/>
          <w14:ligatures w14:val="standardContextual"/>
        </w:rPr>
        <w:t>Izdienas pensijas piešķiršanas mērķis un nolūks</w:t>
      </w:r>
    </w:p>
    <w:p w14:paraId="6643BA44" w14:textId="77777777" w:rsidR="00DB4CF6" w:rsidRDefault="00DB4CF6" w:rsidP="00BD1472">
      <w:pPr>
        <w:autoSpaceDE w:val="0"/>
        <w:autoSpaceDN w:val="0"/>
        <w:spacing w:line="276" w:lineRule="auto"/>
        <w:jc w:val="both"/>
        <w:rPr>
          <w14:ligatures w14:val="standardContextual"/>
        </w:rPr>
      </w:pPr>
      <w:r>
        <w:rPr>
          <w14:ligatures w14:val="standardContextual"/>
        </w:rPr>
        <w:t>Izdienas pensijas ir vērstas uz to, lai, iestājoties noteiktiem apstākļiem, nodrošinātu ar iztikas līdzekļiem personas, kuru darbs saistīts ar profesionālo iemaņu zudumu, kas var rasties jau pirms vecuma pensijas piešķiršanai noteiktā vecuma sasniegšanas.</w:t>
      </w:r>
    </w:p>
    <w:p w14:paraId="4F4DA575" w14:textId="77777777" w:rsidR="00DB4CF6" w:rsidRDefault="00DB4CF6" w:rsidP="00BD1472">
      <w:pPr>
        <w:autoSpaceDE w:val="0"/>
        <w:autoSpaceDN w:val="0"/>
        <w:spacing w:line="276" w:lineRule="auto"/>
        <w:jc w:val="both"/>
        <w:rPr>
          <w14:ligatures w14:val="standardContextual"/>
        </w:rPr>
      </w:pPr>
      <w:r>
        <w:rPr>
          <w14:ligatures w14:val="standardContextual"/>
        </w:rPr>
        <w:t>Pat ja izdienas pensijas saņēmējs kā darba ņēmējs izbeidz vai pārtrauc profesionālās darbības veikšanu līdz vecumam, kad viņam tiks piešķirta vecuma pensija, tomēr izdienas pensija nav saistīta nedz ar situāciju darba tirgū ekonomikas krīzes kontekstā, nedz ar uzņēmuma ekonomisko stāvokli, bet vienīgi ar darba veidu, kas ir īpašs un tiek veikts īpašos apstākļos. Likumā „Par izdienas pensijām Iekšlietu ministrijas sistēmas darbiniekiem ar speciālajām dienesta pakāpēm” nav minēts mērķis atbrīvot dienesta vietas jaunāku personu labā. Tādējādi, lai gan izdienas pensijas jēdzienā var saskatīt pazīmes, kas atbilst gan „pirmspensijas pabalsta”, gan „priekšlaicīgas pensijas/priekšlaicīga vecuma pabalsta” pazīmēm, tomēr izdienas pensija vairāk atbilst priekšlaicīgas pensijas raksturam.</w:t>
      </w:r>
    </w:p>
    <w:p w14:paraId="1C1EA9E4" w14:textId="5DE3E95C" w:rsidR="00D51EE9" w:rsidRPr="00DB4CF6" w:rsidRDefault="00DB4CF6" w:rsidP="00BD1472">
      <w:pPr>
        <w:autoSpaceDE w:val="0"/>
        <w:autoSpaceDN w:val="0"/>
        <w:spacing w:line="276" w:lineRule="auto"/>
        <w:jc w:val="both"/>
        <w:rPr>
          <w:color w:val="000000"/>
          <w14:ligatures w14:val="standardContextual"/>
        </w:rPr>
      </w:pPr>
      <w:r>
        <w:rPr>
          <w:color w:val="000000"/>
          <w14:ligatures w14:val="standardContextual"/>
        </w:rPr>
        <w:t>Izdienas pensiju piešķiršana balstās uz pieņēmumu, ka persona, noteiktu laiku veicot attiecīgā dienesta pienākumus, jau pienācīgā mērā ir izpildījusi savu pienākumu pret sabiedrību un viņai vairs nav pienākuma turpināt pildīt dienestu vai vispār būt nodarbinātai, tāpēc izdienas pensiju viņa var saņemt līdz pat vecuma pensijas piešķiršanai. Izdienas pensija arī nevar tikt saistīta ar nodarbinātības politikas mērķiem vai citiem pirmspensijas pabalstiem raksturīgajiem aspektiem, proti, ekonomikas krīzes, pārstrukturēšanas, atlaišanas un racionalizācijas kontekstu.</w:t>
      </w:r>
    </w:p>
    <w:p w14:paraId="5F684088" w14:textId="785A696F" w:rsidR="00D51EE9" w:rsidRPr="00BD1472" w:rsidRDefault="00D51EE9" w:rsidP="00BD1472">
      <w:pPr>
        <w:spacing w:before="240" w:line="276" w:lineRule="auto"/>
        <w:jc w:val="center"/>
        <w:rPr>
          <w:b/>
        </w:rPr>
      </w:pPr>
      <w:r w:rsidRPr="00BD1472">
        <w:rPr>
          <w:b/>
        </w:rPr>
        <w:t>Latvijas Republikas Senāt</w:t>
      </w:r>
      <w:r w:rsidR="00DB4CF6" w:rsidRPr="00BD1472">
        <w:rPr>
          <w:b/>
        </w:rPr>
        <w:t>a</w:t>
      </w:r>
      <w:r w:rsidR="00DB4CF6" w:rsidRPr="00BD1472">
        <w:rPr>
          <w:b/>
        </w:rPr>
        <w:br/>
        <w:t>Administratīvo lietu departamenta</w:t>
      </w:r>
      <w:r w:rsidR="00DB4CF6" w:rsidRPr="00BD1472">
        <w:rPr>
          <w:b/>
        </w:rPr>
        <w:br/>
        <w:t>2026.gada 18.jūnija</w:t>
      </w:r>
    </w:p>
    <w:p w14:paraId="2034D93B" w14:textId="2788FCC3" w:rsidR="00C55B45" w:rsidRPr="00BD1472" w:rsidRDefault="005D59B5" w:rsidP="00BD1472">
      <w:pPr>
        <w:spacing w:line="276" w:lineRule="auto"/>
        <w:jc w:val="center"/>
        <w:rPr>
          <w:b/>
        </w:rPr>
      </w:pPr>
      <w:r w:rsidRPr="00BD1472">
        <w:rPr>
          <w:b/>
        </w:rPr>
        <w:t>SPRIEDUMS</w:t>
      </w:r>
    </w:p>
    <w:p w14:paraId="5F3B1F9E" w14:textId="64402424" w:rsidR="00BD1472" w:rsidRPr="00BD1472" w:rsidRDefault="00DB4CF6" w:rsidP="00BD1472">
      <w:pPr>
        <w:spacing w:line="276" w:lineRule="auto"/>
        <w:jc w:val="center"/>
        <w:rPr>
          <w:b/>
          <w:bCs/>
        </w:rPr>
      </w:pPr>
      <w:r w:rsidRPr="00BD1472">
        <w:rPr>
          <w:b/>
          <w:bCs/>
        </w:rPr>
        <w:t>Lieta Nr. A420241323, SKA-119/2026</w:t>
      </w:r>
    </w:p>
    <w:p w14:paraId="50A8FB4A" w14:textId="265C1DB2" w:rsidR="00DB4CF6" w:rsidRPr="00BD1472" w:rsidRDefault="00BD1472" w:rsidP="00BD1472">
      <w:pPr>
        <w:spacing w:line="276" w:lineRule="auto"/>
        <w:jc w:val="center"/>
      </w:pPr>
      <w:r w:rsidRPr="00BD1472">
        <w:t xml:space="preserve"> </w:t>
      </w:r>
      <w:hyperlink r:id="rId8" w:history="1">
        <w:r w:rsidRPr="00BD1472">
          <w:rPr>
            <w:rStyle w:val="Hyperlink"/>
          </w:rPr>
          <w:t>ECLI:LV:AT:2026:0618.A420241323.11.S</w:t>
        </w:r>
      </w:hyperlink>
    </w:p>
    <w:p w14:paraId="5C73D9CF" w14:textId="77777777" w:rsidR="00C55B45" w:rsidRPr="00665AED" w:rsidRDefault="00C55B45" w:rsidP="00BD1472">
      <w:pPr>
        <w:spacing w:line="276" w:lineRule="auto"/>
        <w:jc w:val="center"/>
      </w:pPr>
    </w:p>
    <w:p w14:paraId="4F724EE3" w14:textId="61D46719" w:rsidR="00A643DC" w:rsidRPr="00665AED" w:rsidRDefault="00A643DC" w:rsidP="00BD1472">
      <w:pPr>
        <w:spacing w:line="276" w:lineRule="auto"/>
        <w:ind w:firstLine="720"/>
        <w:jc w:val="both"/>
      </w:pPr>
      <w:r w:rsidRPr="00665AED">
        <w:t>Senāts šādā sastāvā: senatore referente Līvija Slica, senator</w:t>
      </w:r>
      <w:r w:rsidR="005F70C8" w:rsidRPr="00665AED">
        <w:t>es</w:t>
      </w:r>
      <w:r w:rsidRPr="00665AED">
        <w:t xml:space="preserve"> </w:t>
      </w:r>
      <w:r w:rsidR="005F70C8" w:rsidRPr="00665AED">
        <w:t>Laura Konošonoka</w:t>
      </w:r>
      <w:r w:rsidR="00F13ACE" w:rsidRPr="00665AED">
        <w:t xml:space="preserve"> un </w:t>
      </w:r>
      <w:r w:rsidR="005F70C8" w:rsidRPr="00665AED">
        <w:t>Anita Kovaļevska</w:t>
      </w:r>
    </w:p>
    <w:p w14:paraId="488BB6D4" w14:textId="77777777" w:rsidR="00C15C69" w:rsidRPr="00665AED" w:rsidRDefault="00C15C69" w:rsidP="00BD1472">
      <w:pPr>
        <w:spacing w:line="276" w:lineRule="auto"/>
        <w:ind w:firstLine="720"/>
        <w:jc w:val="both"/>
      </w:pPr>
    </w:p>
    <w:p w14:paraId="31EB53EE" w14:textId="4FFDBC01" w:rsidR="00C55B45" w:rsidRPr="00665AED" w:rsidRDefault="00C55B45" w:rsidP="00BD1472">
      <w:pPr>
        <w:spacing w:line="276" w:lineRule="auto"/>
        <w:ind w:firstLine="720"/>
        <w:jc w:val="both"/>
      </w:pPr>
      <w:r w:rsidRPr="00665AED">
        <w:t xml:space="preserve">rakstveida procesā izskatīja administratīvo lietu, kas ierosināta, </w:t>
      </w:r>
      <w:r w:rsidR="005F0241" w:rsidRPr="00665AED">
        <w:t xml:space="preserve">pamatojoties uz </w:t>
      </w:r>
      <w:r w:rsidR="00BD1472">
        <w:t xml:space="preserve">[pers. A] </w:t>
      </w:r>
      <w:r w:rsidR="00F13ACE" w:rsidRPr="00665AED">
        <w:t xml:space="preserve">pieteikumu par Valsts sociālās apdrošināšanas aģentūras 2023.gada 9.novembra lēmuma Nr. 23/2461394 atzīšanu par prettiesisku un pienākuma uzlikšanu Valsts sociālās apdrošināšanas aģentūrai izdot </w:t>
      </w:r>
      <w:r w:rsidR="00BD1472">
        <w:t xml:space="preserve">[pers. A] </w:t>
      </w:r>
      <w:r w:rsidR="00F13ACE" w:rsidRPr="00665AED">
        <w:t xml:space="preserve">labvēlīgu administratīvo aktu, ar kuru </w:t>
      </w:r>
      <w:r w:rsidR="00BD1472">
        <w:t xml:space="preserve">[pers. A] </w:t>
      </w:r>
      <w:r w:rsidR="00F13ACE" w:rsidRPr="00665AED">
        <w:t>tiktu piešķirta izdienas pensija no 2023.gada 1.septembra un atlīdzināts nemantiskais kaitējums 620 </w:t>
      </w:r>
      <w:r w:rsidR="00F13ACE" w:rsidRPr="00665AED">
        <w:rPr>
          <w:i/>
          <w:iCs/>
        </w:rPr>
        <w:t>euro</w:t>
      </w:r>
      <w:r w:rsidR="005F0241" w:rsidRPr="00665AED">
        <w:t xml:space="preserve">, sakarā ar </w:t>
      </w:r>
      <w:r w:rsidR="00BD1472">
        <w:t xml:space="preserve">[pers. A] </w:t>
      </w:r>
      <w:r w:rsidR="00AA67C7" w:rsidRPr="00665AED">
        <w:t>kasācijas sūdzīb</w:t>
      </w:r>
      <w:r w:rsidR="003D4917" w:rsidRPr="00665AED">
        <w:t>u</w:t>
      </w:r>
      <w:r w:rsidR="00AA67C7" w:rsidRPr="00665AED">
        <w:t xml:space="preserve"> par Administratīvās apgabaltiesas 202</w:t>
      </w:r>
      <w:r w:rsidR="00F13ACE" w:rsidRPr="00665AED">
        <w:t>4</w:t>
      </w:r>
      <w:r w:rsidR="00AA67C7" w:rsidRPr="00665AED">
        <w:t xml:space="preserve">.gada </w:t>
      </w:r>
      <w:r w:rsidR="00F13ACE" w:rsidRPr="00665AED">
        <w:t>12</w:t>
      </w:r>
      <w:r w:rsidR="00322F0F" w:rsidRPr="00665AED">
        <w:t>.</w:t>
      </w:r>
      <w:r w:rsidR="00F13ACE" w:rsidRPr="00665AED">
        <w:t>novembra</w:t>
      </w:r>
      <w:r w:rsidR="00AA67C7" w:rsidRPr="00665AED">
        <w:t xml:space="preserve"> </w:t>
      </w:r>
      <w:r w:rsidRPr="00665AED">
        <w:t>spriedumu.</w:t>
      </w:r>
    </w:p>
    <w:p w14:paraId="2BFFA695" w14:textId="77777777" w:rsidR="00C55B45" w:rsidRPr="00665AED" w:rsidRDefault="00C55B45" w:rsidP="00BD1472">
      <w:pPr>
        <w:spacing w:line="276" w:lineRule="auto"/>
        <w:ind w:firstLine="720"/>
        <w:jc w:val="both"/>
      </w:pPr>
    </w:p>
    <w:p w14:paraId="09A662CC" w14:textId="77777777" w:rsidR="00C55B45" w:rsidRPr="00665AED" w:rsidRDefault="00C55B45" w:rsidP="00BD1472">
      <w:pPr>
        <w:spacing w:line="276" w:lineRule="auto"/>
        <w:jc w:val="center"/>
        <w:rPr>
          <w:b/>
        </w:rPr>
      </w:pPr>
      <w:r w:rsidRPr="00665AED">
        <w:rPr>
          <w:b/>
        </w:rPr>
        <w:t>Aprakstošā daļa</w:t>
      </w:r>
    </w:p>
    <w:p w14:paraId="4F28D638" w14:textId="77777777" w:rsidR="00C55B45" w:rsidRPr="00665AED" w:rsidRDefault="00C55B45" w:rsidP="00BD1472">
      <w:pPr>
        <w:spacing w:line="276" w:lineRule="auto"/>
        <w:ind w:firstLine="720"/>
        <w:jc w:val="both"/>
      </w:pPr>
    </w:p>
    <w:p w14:paraId="5A1E1794" w14:textId="7D0FF599" w:rsidR="0040718B" w:rsidRPr="00665AED" w:rsidRDefault="00C55B45" w:rsidP="00BD1472">
      <w:pPr>
        <w:spacing w:line="276" w:lineRule="auto"/>
        <w:ind w:firstLine="720"/>
        <w:jc w:val="both"/>
      </w:pPr>
      <w:r w:rsidRPr="00665AED">
        <w:t>[1]</w:t>
      </w:r>
      <w:r w:rsidR="00A774EA" w:rsidRPr="00665AED">
        <w:t> </w:t>
      </w:r>
      <w:r w:rsidR="00F13ACE" w:rsidRPr="00665AED">
        <w:t xml:space="preserve">Pieteicējs </w:t>
      </w:r>
      <w:r w:rsidR="00BD1472">
        <w:t xml:space="preserve">[pers. A] </w:t>
      </w:r>
      <w:r w:rsidR="00F13ACE" w:rsidRPr="00665AED">
        <w:t xml:space="preserve">vērsās Valsts sociālās apdrošināšanas aģentūrā (turpmāk – aģentūra) ar iesniegumu, lūdzot piešķirt viņam kā bijušajam Iekšlietu ministrijas sistēmas darbiniekam ar speciālo dienesta pakāpi izdienas pensiju saskaņā ar likumu </w:t>
      </w:r>
      <w:r w:rsidR="00196558" w:rsidRPr="00665AED">
        <w:t>„</w:t>
      </w:r>
      <w:r w:rsidR="00F13ACE" w:rsidRPr="00665AED">
        <w:t>Par izdienas pensijām Iekšlietu ministrijas sistēmas darbiniekiem ar speciālajām dienesta pakāpēm” (turpmāk – Izdienas pensiju likums) no 2023.gada 1.septembra.</w:t>
      </w:r>
    </w:p>
    <w:p w14:paraId="75CC2F22" w14:textId="786790E0" w:rsidR="00A33CB7" w:rsidRPr="00665AED" w:rsidRDefault="00F13ACE" w:rsidP="00BD1472">
      <w:pPr>
        <w:spacing w:line="276" w:lineRule="auto"/>
        <w:ind w:firstLine="720"/>
        <w:jc w:val="both"/>
      </w:pPr>
      <w:r w:rsidRPr="00665AED">
        <w:t>Ar aģentūras 2023.gada 15.septembra lēmumu N</w:t>
      </w:r>
      <w:r w:rsidR="00465E1A" w:rsidRPr="00665AED">
        <w:t>r</w:t>
      </w:r>
      <w:r w:rsidRPr="00665AED">
        <w:t>.</w:t>
      </w:r>
      <w:r w:rsidR="00A33CB7" w:rsidRPr="00665AED">
        <w:t> </w:t>
      </w:r>
      <w:r w:rsidRPr="00665AED">
        <w:t>23/2008444 atteikts piešķirt pieteicējam izdienas pensiju, jo viņam</w:t>
      </w:r>
      <w:r w:rsidR="005F70C8" w:rsidRPr="00665AED">
        <w:t>,</w:t>
      </w:r>
      <w:r w:rsidRPr="00665AED">
        <w:t xml:space="preserve"> atvaļinoties no dienesta sakarā ar noteiktajām prasībām neatbilstošu veselības stāvokli, kopējais izdienas stāžs ir 18 gadi un 25 dienas (t.sk. </w:t>
      </w:r>
      <w:r w:rsidR="005F70C8" w:rsidRPr="00665AED">
        <w:t>četri</w:t>
      </w:r>
      <w:r w:rsidRPr="00665AED">
        <w:t xml:space="preserve"> gadi </w:t>
      </w:r>
      <w:r w:rsidR="005F70C8" w:rsidRPr="00665AED">
        <w:t>deviņi</w:t>
      </w:r>
      <w:r w:rsidRPr="00665AED">
        <w:t xml:space="preserve"> mēneši 22 dienas citās iestādēs, pie komersantiem un organizācijās nostrādātais laiks), vecums 43 gadi, kas nedod tiesības </w:t>
      </w:r>
      <w:r w:rsidR="005F70C8" w:rsidRPr="00665AED">
        <w:t>uz</w:t>
      </w:r>
      <w:r w:rsidRPr="00665AED">
        <w:t xml:space="preserve"> izdienas pensiju. </w:t>
      </w:r>
    </w:p>
    <w:p w14:paraId="6B427A60" w14:textId="0BF3B994" w:rsidR="00F13ACE" w:rsidRPr="00665AED" w:rsidRDefault="00BE04F8" w:rsidP="00BD1472">
      <w:pPr>
        <w:spacing w:line="276" w:lineRule="auto"/>
        <w:ind w:firstLine="720"/>
        <w:jc w:val="both"/>
      </w:pPr>
      <w:r w:rsidRPr="00665AED">
        <w:t xml:space="preserve">Pieteicējs nepiekrita sākotnējam lēmumam un to </w:t>
      </w:r>
      <w:r w:rsidR="00F13ACE" w:rsidRPr="00665AED">
        <w:t xml:space="preserve">apstrīdēja, </w:t>
      </w:r>
      <w:r w:rsidR="00585859" w:rsidRPr="00665AED">
        <w:t xml:space="preserve">kā arī </w:t>
      </w:r>
      <w:r w:rsidR="00F13ACE" w:rsidRPr="00665AED">
        <w:t>lūdz</w:t>
      </w:r>
      <w:r w:rsidR="00585859" w:rsidRPr="00665AED">
        <w:t>a</w:t>
      </w:r>
      <w:r w:rsidR="00F13ACE" w:rsidRPr="00665AED">
        <w:t xml:space="preserve"> atlīdzināt viņam nemantisko kaitējumu 620</w:t>
      </w:r>
      <w:r w:rsidR="00A33CB7" w:rsidRPr="00665AED">
        <w:t> </w:t>
      </w:r>
      <w:r w:rsidR="00F13ACE" w:rsidRPr="00665AED">
        <w:rPr>
          <w:i/>
          <w:iCs/>
        </w:rPr>
        <w:t>euro</w:t>
      </w:r>
      <w:r w:rsidR="00F13ACE" w:rsidRPr="00665AED">
        <w:t>.</w:t>
      </w:r>
    </w:p>
    <w:p w14:paraId="5AB8E8AF" w14:textId="05CF4494" w:rsidR="00F13ACE" w:rsidRPr="00665AED" w:rsidRDefault="00F13ACE" w:rsidP="00BD1472">
      <w:pPr>
        <w:spacing w:line="276" w:lineRule="auto"/>
        <w:ind w:firstLine="720"/>
        <w:jc w:val="both"/>
      </w:pPr>
      <w:r w:rsidRPr="00665AED">
        <w:t>Ar aģentūras 2023.gada 9.novembra lēmumu Nr.</w:t>
      </w:r>
      <w:r w:rsidR="00196558" w:rsidRPr="00665AED">
        <w:t> </w:t>
      </w:r>
      <w:r w:rsidRPr="00665AED">
        <w:t xml:space="preserve">23/2461394 (turpmāk – </w:t>
      </w:r>
      <w:r w:rsidR="00350654" w:rsidRPr="00665AED">
        <w:t xml:space="preserve">pārsūdzētais </w:t>
      </w:r>
      <w:r w:rsidRPr="00665AED">
        <w:t>lēmums) sākotnējais lēmums atstāts negrozīts un atteikts atlīdzināt pieteicējam nemantisko kaitējumu.</w:t>
      </w:r>
    </w:p>
    <w:p w14:paraId="2C8F21F1" w14:textId="77777777" w:rsidR="00E46C1C" w:rsidRPr="00665AED" w:rsidRDefault="00E46C1C" w:rsidP="00BD1472">
      <w:pPr>
        <w:spacing w:line="276" w:lineRule="auto"/>
        <w:ind w:firstLine="720"/>
        <w:jc w:val="both"/>
      </w:pPr>
    </w:p>
    <w:p w14:paraId="330400F4" w14:textId="1CBCEDB2" w:rsidR="00163F8C" w:rsidRPr="00665AED" w:rsidRDefault="00E46C1C" w:rsidP="00BD1472">
      <w:pPr>
        <w:spacing w:line="276" w:lineRule="auto"/>
        <w:ind w:firstLine="720"/>
        <w:jc w:val="both"/>
      </w:pPr>
      <w:r w:rsidRPr="00665AED">
        <w:t>[2] </w:t>
      </w:r>
      <w:r w:rsidR="00F13ACE" w:rsidRPr="00665AED">
        <w:t xml:space="preserve">Pieteicējs vērsās tiesā ar pieteikumu par pārsūdzētā lēmuma </w:t>
      </w:r>
      <w:r w:rsidR="00585859" w:rsidRPr="00665AED">
        <w:t>atzīšanu par prettiesisku un labvēlīga administratīvā akta izdošanu</w:t>
      </w:r>
      <w:r w:rsidR="00465E1A" w:rsidRPr="00665AED">
        <w:t>, kā arī nemantiskā kaitējuma atlīdzināšanu</w:t>
      </w:r>
      <w:r w:rsidR="00F13ACE" w:rsidRPr="00665AED">
        <w:t>.</w:t>
      </w:r>
    </w:p>
    <w:p w14:paraId="328E5334" w14:textId="77777777" w:rsidR="00F13ACE" w:rsidRPr="00665AED" w:rsidRDefault="00F13ACE" w:rsidP="00BD1472">
      <w:pPr>
        <w:spacing w:line="276" w:lineRule="auto"/>
        <w:ind w:firstLine="720"/>
        <w:jc w:val="both"/>
      </w:pPr>
    </w:p>
    <w:p w14:paraId="4D3B39BC" w14:textId="64306CB2" w:rsidR="00A774EA" w:rsidRPr="00665AED" w:rsidRDefault="003777EB" w:rsidP="00BD1472">
      <w:pPr>
        <w:spacing w:line="276" w:lineRule="auto"/>
        <w:ind w:firstLine="720"/>
        <w:jc w:val="both"/>
      </w:pPr>
      <w:r w:rsidRPr="00665AED">
        <w:t>[</w:t>
      </w:r>
      <w:r w:rsidR="00E46C1C" w:rsidRPr="00665AED">
        <w:t>3</w:t>
      </w:r>
      <w:r w:rsidRPr="00665AED">
        <w:t>]</w:t>
      </w:r>
      <w:r w:rsidR="00A774EA" w:rsidRPr="00665AED">
        <w:t xml:space="preserve"> Ar Administratīvās apgabaltiesas </w:t>
      </w:r>
      <w:r w:rsidR="00A33CB7" w:rsidRPr="00665AED">
        <w:t xml:space="preserve">2024.gada 12.novembra </w:t>
      </w:r>
      <w:r w:rsidR="00A774EA" w:rsidRPr="00665AED">
        <w:t xml:space="preserve">spriedumu </w:t>
      </w:r>
      <w:r w:rsidR="00A33CB7" w:rsidRPr="00665AED">
        <w:t>pieteicēja pieteikums noraidīts</w:t>
      </w:r>
      <w:r w:rsidR="00A774EA" w:rsidRPr="00665AED">
        <w:t>.</w:t>
      </w:r>
      <w:r w:rsidR="007A6819" w:rsidRPr="00665AED">
        <w:t xml:space="preserve"> Apgabaltiesa</w:t>
      </w:r>
      <w:r w:rsidR="00F92D93" w:rsidRPr="00665AED">
        <w:t xml:space="preserve"> pievienoj</w:t>
      </w:r>
      <w:r w:rsidR="00E46C1C" w:rsidRPr="00665AED">
        <w:t>ā</w:t>
      </w:r>
      <w:r w:rsidR="00F92D93" w:rsidRPr="00665AED">
        <w:t>s pirmās instances tiesas sprieduma motivācijai</w:t>
      </w:r>
      <w:r w:rsidR="00E46C1C" w:rsidRPr="00665AED">
        <w:t xml:space="preserve"> un</w:t>
      </w:r>
      <w:r w:rsidR="007A6819" w:rsidRPr="00665AED">
        <w:t xml:space="preserve"> spiedumu pamatoja ar </w:t>
      </w:r>
      <w:r w:rsidR="00A774EA" w:rsidRPr="00665AED">
        <w:t xml:space="preserve">turpmāk </w:t>
      </w:r>
      <w:r w:rsidR="007A6819" w:rsidRPr="00665AED">
        <w:t>norādītajiem</w:t>
      </w:r>
      <w:r w:rsidR="00A774EA" w:rsidRPr="00665AED">
        <w:t xml:space="preserve"> argumenti</w:t>
      </w:r>
      <w:r w:rsidR="007A6819" w:rsidRPr="00665AED">
        <w:t>em</w:t>
      </w:r>
      <w:r w:rsidR="00A774EA" w:rsidRPr="00665AED">
        <w:t>.</w:t>
      </w:r>
    </w:p>
    <w:p w14:paraId="13924E99" w14:textId="15F6A356" w:rsidR="00B4654B" w:rsidRPr="00665AED" w:rsidRDefault="00A774EA" w:rsidP="00BD1472">
      <w:pPr>
        <w:spacing w:line="276" w:lineRule="auto"/>
        <w:ind w:firstLine="720"/>
        <w:jc w:val="both"/>
      </w:pPr>
      <w:r w:rsidRPr="00665AED">
        <w:t>[</w:t>
      </w:r>
      <w:r w:rsidR="00E46C1C" w:rsidRPr="00665AED">
        <w:t>3</w:t>
      </w:r>
      <w:r w:rsidRPr="00665AED">
        <w:t>.1] </w:t>
      </w:r>
      <w:r w:rsidR="00F4010B" w:rsidRPr="00665AED">
        <w:t xml:space="preserve">Atbilstoši </w:t>
      </w:r>
      <w:r w:rsidR="00196558" w:rsidRPr="00665AED">
        <w:t>I</w:t>
      </w:r>
      <w:r w:rsidR="00A20CF2" w:rsidRPr="00665AED">
        <w:t>zdienas pensiju likum</w:t>
      </w:r>
      <w:r w:rsidR="00196558" w:rsidRPr="00665AED">
        <w:t>a</w:t>
      </w:r>
      <w:r w:rsidR="00A20CF2" w:rsidRPr="00665AED">
        <w:t xml:space="preserve"> </w:t>
      </w:r>
      <w:r w:rsidR="00F4010B" w:rsidRPr="00665AED">
        <w:t xml:space="preserve">un </w:t>
      </w:r>
      <w:r w:rsidR="00A20CF2" w:rsidRPr="00665AED">
        <w:t xml:space="preserve">Ministru kabineta 2010.gada 21.decembra noteikumu Nr. 1157 „Kārtība, kādā Iekšlietu ministrijas sistēmas iestāžu un Ieslodzījuma vietu pārvaldes darbiniekiem ar speciālajām dienesta pakāpēm aprēķina, piešķir un izmaksā izdienas pensijas” (turpmāk – noteikumi Nr. 1157) </w:t>
      </w:r>
      <w:r w:rsidR="00F4010B" w:rsidRPr="00665AED">
        <w:t>11.2.apakšpunkta regulējumam Iekšlietu ministrijas sistēmas darbinieku ar speciālajām dienesta pakāpēm</w:t>
      </w:r>
      <w:r w:rsidR="009D3FDE" w:rsidRPr="00665AED">
        <w:t xml:space="preserve"> (turpmāk – iekšlietu sistēmas darbinieki)</w:t>
      </w:r>
      <w:r w:rsidR="00F4010B" w:rsidRPr="00665AED">
        <w:t xml:space="preserve"> izdienas stāžā, kas dod tiesības uz izdienas pensiju un ir uzkrāts laikā pēc 1990.gada 4.maija, ir ieskaitāms tikai Latvijā, nevis citās valstīs nostrādātais laiks. Šāds regulējums atbilst likumdevēja mērķim.</w:t>
      </w:r>
    </w:p>
    <w:p w14:paraId="15E5FCC0" w14:textId="3A776129" w:rsidR="00F4010B" w:rsidRPr="00665AED" w:rsidRDefault="00585859" w:rsidP="00BD1472">
      <w:pPr>
        <w:spacing w:line="276" w:lineRule="auto"/>
        <w:ind w:firstLine="720"/>
        <w:jc w:val="both"/>
        <w:rPr>
          <w:rFonts w:asciiTheme="majorBidi" w:hAnsiTheme="majorBidi" w:cstheme="majorBidi"/>
        </w:rPr>
      </w:pPr>
      <w:r w:rsidRPr="00665AED">
        <w:rPr>
          <w:rFonts w:asciiTheme="majorBidi" w:hAnsiTheme="majorBidi" w:cstheme="majorBidi"/>
        </w:rPr>
        <w:t>P</w:t>
      </w:r>
      <w:r w:rsidR="00F4010B" w:rsidRPr="00665AED">
        <w:rPr>
          <w:rFonts w:asciiTheme="majorBidi" w:hAnsiTheme="majorBidi" w:cstheme="majorBidi"/>
        </w:rPr>
        <w:t>ieteicējam nav tiesību uz izdienas pensiju, jo, atvaļinoties no</w:t>
      </w:r>
      <w:r w:rsidR="00E81561" w:rsidRPr="00665AED">
        <w:rPr>
          <w:rFonts w:asciiTheme="majorBidi" w:hAnsiTheme="majorBidi" w:cstheme="majorBidi"/>
        </w:rPr>
        <w:t xml:space="preserve"> dienesta</w:t>
      </w:r>
      <w:r w:rsidR="00F4010B" w:rsidRPr="00665AED">
        <w:rPr>
          <w:rFonts w:asciiTheme="majorBidi" w:hAnsiTheme="majorBidi" w:cstheme="majorBidi"/>
        </w:rPr>
        <w:t xml:space="preserve"> Valsts policijā sakarā ar noteiktajām prasībām neatbilstošu veselības stāvokli, viņa kopējais izdienas stāžs ir 18 gadi un 25 dienas (t.sk. </w:t>
      </w:r>
      <w:r w:rsidRPr="00665AED">
        <w:rPr>
          <w:rFonts w:asciiTheme="majorBidi" w:hAnsiTheme="majorBidi" w:cstheme="majorBidi"/>
        </w:rPr>
        <w:t xml:space="preserve">četri </w:t>
      </w:r>
      <w:r w:rsidR="00F4010B" w:rsidRPr="00665AED">
        <w:rPr>
          <w:rFonts w:asciiTheme="majorBidi" w:hAnsiTheme="majorBidi" w:cstheme="majorBidi"/>
        </w:rPr>
        <w:t xml:space="preserve">gadi </w:t>
      </w:r>
      <w:r w:rsidRPr="00665AED">
        <w:rPr>
          <w:rFonts w:asciiTheme="majorBidi" w:hAnsiTheme="majorBidi" w:cstheme="majorBidi"/>
        </w:rPr>
        <w:t>deviņi</w:t>
      </w:r>
      <w:r w:rsidR="00F4010B" w:rsidRPr="00665AED">
        <w:rPr>
          <w:rFonts w:asciiTheme="majorBidi" w:hAnsiTheme="majorBidi" w:cstheme="majorBidi"/>
        </w:rPr>
        <w:t xml:space="preserve"> mēneši 22 dienas kā 80 procenti no citās iestādēs, pie komersantiem un organizācijās nostrādātā laika), kas nesasniedz minimālo apdrošināšanas stāžu – 20 gadi –</w:t>
      </w:r>
      <w:r w:rsidR="00E81561" w:rsidRPr="00665AED">
        <w:rPr>
          <w:rFonts w:asciiTheme="majorBidi" w:hAnsiTheme="majorBidi" w:cstheme="majorBidi"/>
        </w:rPr>
        <w:t xml:space="preserve"> </w:t>
      </w:r>
      <w:r w:rsidR="00F4010B" w:rsidRPr="00665AED">
        <w:rPr>
          <w:rFonts w:asciiTheme="majorBidi" w:hAnsiTheme="majorBidi" w:cstheme="majorBidi"/>
        </w:rPr>
        <w:t>izdienas pensijas piešķiršanai.</w:t>
      </w:r>
    </w:p>
    <w:p w14:paraId="05C84600" w14:textId="0DBF8FDB" w:rsidR="00FB055A" w:rsidRPr="00665AED" w:rsidRDefault="00A774EA" w:rsidP="00BD1472">
      <w:pPr>
        <w:spacing w:line="276" w:lineRule="auto"/>
        <w:ind w:firstLine="720"/>
        <w:jc w:val="both"/>
      </w:pPr>
      <w:r w:rsidRPr="00665AED">
        <w:t>[</w:t>
      </w:r>
      <w:r w:rsidR="009333EE" w:rsidRPr="00665AED">
        <w:t>3</w:t>
      </w:r>
      <w:r w:rsidRPr="00665AED">
        <w:t>.2] </w:t>
      </w:r>
      <w:r w:rsidR="00A20CF2" w:rsidRPr="00665AED">
        <w:t>Lietā nav piemērojama Senāta 2015.gada 26.jūnija spriedumā lietā Nr. SKA</w:t>
      </w:r>
      <w:r w:rsidR="00A20CF2" w:rsidRPr="00665AED">
        <w:noBreakHyphen/>
        <w:t>395/2015</w:t>
      </w:r>
      <w:r w:rsidR="00350654" w:rsidRPr="00665AED">
        <w:t xml:space="preserve">, </w:t>
      </w:r>
      <w:r w:rsidR="00A20CF2" w:rsidRPr="00665AED">
        <w:t>A420535612</w:t>
      </w:r>
      <w:r w:rsidR="00350654" w:rsidRPr="00665AED">
        <w:t>,</w:t>
      </w:r>
      <w:r w:rsidR="00A20CF2" w:rsidRPr="00665AED">
        <w:t xml:space="preserve"> izteiktā atziņa, ka, piemērojot Izdienas pensiju likuma 3.panta pirmās daļas 10.punktu, izdienas stāžā ieskaitāmajai nostrādātā laika daļai nav jābūt saistītai tikai ar Latvijas teritoriju. Minētajā lietā ir atšķirīgi lietas faktiskie apstākļi.</w:t>
      </w:r>
    </w:p>
    <w:p w14:paraId="281C7CF3" w14:textId="117CE1F6" w:rsidR="00841375" w:rsidRPr="00665AED" w:rsidRDefault="00A774EA" w:rsidP="00BD1472">
      <w:pPr>
        <w:spacing w:line="276" w:lineRule="auto"/>
        <w:ind w:firstLine="720"/>
        <w:jc w:val="both"/>
      </w:pPr>
      <w:r w:rsidRPr="00665AED">
        <w:t>[</w:t>
      </w:r>
      <w:r w:rsidR="0068203B" w:rsidRPr="00665AED">
        <w:t>3</w:t>
      </w:r>
      <w:r w:rsidR="00B90669" w:rsidRPr="00665AED">
        <w:t>.3</w:t>
      </w:r>
      <w:r w:rsidRPr="00665AED">
        <w:t>]</w:t>
      </w:r>
      <w:r w:rsidR="00B90669" w:rsidRPr="00665AED">
        <w:t> </w:t>
      </w:r>
      <w:r w:rsidR="00E81561" w:rsidRPr="00665AED">
        <w:t>K</w:t>
      </w:r>
      <w:r w:rsidR="009B5743" w:rsidRPr="00665AED">
        <w:t>onkrētajā gadījumā ir piemērojams</w:t>
      </w:r>
      <w:r w:rsidR="00465E1A" w:rsidRPr="00665AED">
        <w:t xml:space="preserve"> Izdienas pensiju likuma</w:t>
      </w:r>
      <w:r w:rsidR="009B5743" w:rsidRPr="00665AED">
        <w:t xml:space="preserve"> speciālais tiesiskais regulējums, nevis likum</w:t>
      </w:r>
      <w:r w:rsidR="00465E1A" w:rsidRPr="00665AED">
        <w:t>s</w:t>
      </w:r>
      <w:r w:rsidR="009B5743" w:rsidRPr="00665AED">
        <w:t xml:space="preserve"> „Par valsts pensijām”, kura uzdevums ir regulēt kārtību, kādā valsts sociālās apdrošināšanas pensiju nodrošina vecuma, invaliditātes un apgādnieka zaudējuma gadījumā (likuma „Par valsts pensijām” 2.panta 2.punkts). Secīgi nav piemērojams arī Eiropas Parlamenta un Padomes 2004.gada 29.aprīļa Regulas (EK) Nr. 883/2004 par sociālās nodrošināšanas sistēmu koordinēšanu (turpmāk – </w:t>
      </w:r>
      <w:r w:rsidR="00267D22" w:rsidRPr="00665AED">
        <w:rPr>
          <w:rFonts w:asciiTheme="majorBidi" w:hAnsiTheme="majorBidi" w:cstheme="majorBidi"/>
        </w:rPr>
        <w:t>Regula Nr. 883/2004</w:t>
      </w:r>
      <w:r w:rsidR="009B5743" w:rsidRPr="00665AED">
        <w:t>) 6.pants.</w:t>
      </w:r>
    </w:p>
    <w:p w14:paraId="61ACA738" w14:textId="56F0EE61" w:rsidR="000F1E17" w:rsidRPr="00665AED" w:rsidRDefault="00841375" w:rsidP="00BD1472">
      <w:pPr>
        <w:spacing w:line="276" w:lineRule="auto"/>
        <w:ind w:firstLine="720"/>
        <w:jc w:val="both"/>
      </w:pPr>
      <w:r w:rsidRPr="00665AED">
        <w:t>[</w:t>
      </w:r>
      <w:r w:rsidR="0068203B" w:rsidRPr="00665AED">
        <w:t>3</w:t>
      </w:r>
      <w:r w:rsidRPr="00665AED">
        <w:t>.4] </w:t>
      </w:r>
      <w:r w:rsidR="00803882" w:rsidRPr="00665AED">
        <w:t>N</w:t>
      </w:r>
      <w:r w:rsidR="009B5743" w:rsidRPr="00665AED">
        <w:t>av tiesiska pamata pieteicēja izdienas stāžā iekļaut apdrošināšanas periodus Apvienotajā Karalistē.</w:t>
      </w:r>
    </w:p>
    <w:p w14:paraId="53132BEC" w14:textId="0861FAED" w:rsidR="008A7D8D" w:rsidRPr="00665AED" w:rsidRDefault="00F47358" w:rsidP="00BD1472">
      <w:pPr>
        <w:spacing w:line="276" w:lineRule="auto"/>
        <w:ind w:firstLine="720"/>
        <w:jc w:val="both"/>
      </w:pPr>
      <w:r w:rsidRPr="00665AED">
        <w:t xml:space="preserve">[3.5] No aģentūras 2023.gada 31.oktobra lēmuma Nr. 23/2380411 „Par bezdarbnieka pabalsta pārrēķināšanu” konstatējams, ka, pamatojoties uz likuma „Par apdrošināšanu bezdarba gadījumam” 3.panta pirmo daļu un 6.panta pirmās daļas 1. un 4.punktu un </w:t>
      </w:r>
      <w:r w:rsidR="00267D22" w:rsidRPr="00665AED">
        <w:rPr>
          <w:rFonts w:asciiTheme="majorBidi" w:hAnsiTheme="majorBidi" w:cstheme="majorBidi"/>
        </w:rPr>
        <w:t xml:space="preserve">Regulas Nr. 883/2004 </w:t>
      </w:r>
      <w:r w:rsidRPr="00665AED">
        <w:t>61.panta 1. un 2.punktu, aģentūra pieteicēja apdrošināšanas stāžā bezdarba gadījumam ņēma vērā pieteicēja darba periodus Apvienotajā Karalistē.</w:t>
      </w:r>
      <w:r w:rsidR="00465E1A" w:rsidRPr="00665AED">
        <w:t xml:space="preserve"> </w:t>
      </w:r>
      <w:r w:rsidR="008A7D8D" w:rsidRPr="00665AED">
        <w:t xml:space="preserve">Ievērojot </w:t>
      </w:r>
      <w:r w:rsidR="00196558" w:rsidRPr="00665AED">
        <w:t>minētās tiesību normas</w:t>
      </w:r>
      <w:r w:rsidR="008A7D8D" w:rsidRPr="00665AED">
        <w:t>, strīdus darba periods, ko pieteicējs nostrādājis Apvienotajā Karalistē, ir ieskaitīts bezdarbnieka pabalsta aprēķinā</w:t>
      </w:r>
      <w:r w:rsidR="00803882" w:rsidRPr="00665AED">
        <w:t xml:space="preserve">. Savukārt </w:t>
      </w:r>
      <w:r w:rsidR="008A7D8D" w:rsidRPr="00665AED">
        <w:t xml:space="preserve">tiesiskais regulējums šādu ieskaitu izdienas </w:t>
      </w:r>
      <w:r w:rsidR="00803882" w:rsidRPr="00665AED">
        <w:t>pensijas</w:t>
      </w:r>
      <w:r w:rsidR="008A7D8D" w:rsidRPr="00665AED">
        <w:t xml:space="preserve"> stāžā neparedz. Eiropas Savienības tiesiskais regulējums neaptver Latvijas </w:t>
      </w:r>
      <w:r w:rsidR="004A5A8E" w:rsidRPr="00665AED">
        <w:t>i</w:t>
      </w:r>
      <w:r w:rsidR="008A7D8D" w:rsidRPr="00665AED">
        <w:t xml:space="preserve">ekšlietu </w:t>
      </w:r>
      <w:r w:rsidR="004A5A8E" w:rsidRPr="00665AED">
        <w:t>sistēmas</w:t>
      </w:r>
      <w:r w:rsidR="008A7D8D" w:rsidRPr="00665AED">
        <w:t xml:space="preserve"> darbinieku speciāl</w:t>
      </w:r>
      <w:r w:rsidR="004A5A8E" w:rsidRPr="00665AED">
        <w:t>ās</w:t>
      </w:r>
      <w:r w:rsidR="008A7D8D" w:rsidRPr="00665AED">
        <w:t xml:space="preserve"> izdienas pensij</w:t>
      </w:r>
      <w:r w:rsidR="004A5A8E" w:rsidRPr="00665AED">
        <w:t>as</w:t>
      </w:r>
      <w:r w:rsidR="008A7D8D" w:rsidRPr="00665AED">
        <w:t xml:space="preserve"> gadījumu.</w:t>
      </w:r>
    </w:p>
    <w:p w14:paraId="3045AE5C" w14:textId="4F2758F5" w:rsidR="00803882" w:rsidRPr="00665AED" w:rsidRDefault="00803882" w:rsidP="00BD1472">
      <w:pPr>
        <w:spacing w:line="276" w:lineRule="auto"/>
        <w:ind w:firstLine="720"/>
        <w:jc w:val="both"/>
        <w:rPr>
          <w:rFonts w:asciiTheme="majorBidi" w:hAnsiTheme="majorBidi" w:cstheme="majorBidi"/>
        </w:rPr>
      </w:pPr>
      <w:r w:rsidRPr="00665AED">
        <w:rPr>
          <w:rFonts w:asciiTheme="majorBidi" w:hAnsiTheme="majorBidi" w:cstheme="majorBidi"/>
        </w:rPr>
        <w:t>[3.6] Tā kā pārsūdzētais lēmums ir atzīstams par tiesisku un ir noraidāms pamatprasījums lietā, noraidāms arī pamatprasījumam pakārtot</w:t>
      </w:r>
      <w:r w:rsidR="00887BE3" w:rsidRPr="00665AED">
        <w:rPr>
          <w:rFonts w:asciiTheme="majorBidi" w:hAnsiTheme="majorBidi" w:cstheme="majorBidi"/>
        </w:rPr>
        <w:t>ais</w:t>
      </w:r>
      <w:r w:rsidRPr="00665AED">
        <w:rPr>
          <w:rFonts w:asciiTheme="majorBidi" w:hAnsiTheme="majorBidi" w:cstheme="majorBidi"/>
        </w:rPr>
        <w:t xml:space="preserve"> atlīdzinājuma prasījum</w:t>
      </w:r>
      <w:r w:rsidR="00887BE3" w:rsidRPr="00665AED">
        <w:rPr>
          <w:rFonts w:asciiTheme="majorBidi" w:hAnsiTheme="majorBidi" w:cstheme="majorBidi"/>
        </w:rPr>
        <w:t>s</w:t>
      </w:r>
      <w:r w:rsidRPr="00665AED">
        <w:rPr>
          <w:rFonts w:asciiTheme="majorBidi" w:hAnsiTheme="majorBidi" w:cstheme="majorBidi"/>
        </w:rPr>
        <w:t>.</w:t>
      </w:r>
    </w:p>
    <w:p w14:paraId="4FEFEBF1" w14:textId="77777777" w:rsidR="00A774EA" w:rsidRPr="00665AED" w:rsidRDefault="00A774EA" w:rsidP="00BD1472">
      <w:pPr>
        <w:spacing w:line="276" w:lineRule="auto"/>
        <w:ind w:firstLine="720"/>
        <w:jc w:val="both"/>
      </w:pPr>
    </w:p>
    <w:p w14:paraId="0ADE6B1D" w14:textId="1A5855A3" w:rsidR="00B90669" w:rsidRPr="00665AED" w:rsidRDefault="00B90669" w:rsidP="00BD1472">
      <w:pPr>
        <w:spacing w:line="276" w:lineRule="auto"/>
        <w:ind w:firstLine="720"/>
        <w:jc w:val="both"/>
      </w:pPr>
      <w:r w:rsidRPr="00665AED">
        <w:t>[</w:t>
      </w:r>
      <w:r w:rsidR="0068203B" w:rsidRPr="00665AED">
        <w:t>4</w:t>
      </w:r>
      <w:r w:rsidRPr="00665AED">
        <w:t>] </w:t>
      </w:r>
      <w:r w:rsidR="0040718B" w:rsidRPr="00665AED">
        <w:t>Pieteicējs</w:t>
      </w:r>
      <w:r w:rsidRPr="00665AED">
        <w:t xml:space="preserve"> iesnie</w:t>
      </w:r>
      <w:r w:rsidR="00BF78E9" w:rsidRPr="00665AED">
        <w:t>dz</w:t>
      </w:r>
      <w:r w:rsidR="0000713F" w:rsidRPr="00665AED">
        <w:t>a</w:t>
      </w:r>
      <w:r w:rsidRPr="00665AED">
        <w:t xml:space="preserve"> kasācijas sūdzību par apgabaltiesas spriedumu, </w:t>
      </w:r>
      <w:r w:rsidR="004539D5" w:rsidRPr="00665AED">
        <w:t>kurā norādīti</w:t>
      </w:r>
      <w:r w:rsidRPr="00665AED">
        <w:t xml:space="preserve"> turpmāk minēt</w:t>
      </w:r>
      <w:r w:rsidR="004539D5" w:rsidRPr="00665AED">
        <w:t>ie</w:t>
      </w:r>
      <w:r w:rsidRPr="00665AED">
        <w:t xml:space="preserve"> argument</w:t>
      </w:r>
      <w:r w:rsidR="004539D5" w:rsidRPr="00665AED">
        <w:t>i</w:t>
      </w:r>
      <w:r w:rsidRPr="00665AED">
        <w:t>.</w:t>
      </w:r>
    </w:p>
    <w:p w14:paraId="2EF0648C" w14:textId="77777777" w:rsidR="00F27623" w:rsidRPr="00665AED" w:rsidRDefault="00B90669" w:rsidP="00BD1472">
      <w:pPr>
        <w:spacing w:line="276" w:lineRule="auto"/>
        <w:ind w:firstLine="720"/>
        <w:jc w:val="both"/>
        <w:rPr>
          <w:rFonts w:eastAsia="Calibri"/>
          <w:iCs/>
        </w:rPr>
      </w:pPr>
      <w:r w:rsidRPr="00665AED">
        <w:t>[</w:t>
      </w:r>
      <w:r w:rsidR="00542F03" w:rsidRPr="00665AED">
        <w:t>4</w:t>
      </w:r>
      <w:r w:rsidRPr="00665AED">
        <w:t>.1] </w:t>
      </w:r>
      <w:r w:rsidR="00F27623" w:rsidRPr="00665AED">
        <w:rPr>
          <w:rFonts w:eastAsia="Calibri"/>
          <w:iCs/>
        </w:rPr>
        <w:t>Apgabaltiesa nav pareizi interpretējusi Izdienas pensiju likuma 3.panta pirmās daļas 10.punktu.</w:t>
      </w:r>
    </w:p>
    <w:p w14:paraId="187E1446" w14:textId="77777777" w:rsidR="00AF7365" w:rsidRPr="00665AED" w:rsidRDefault="00B90669" w:rsidP="00BD1472">
      <w:pPr>
        <w:spacing w:line="276" w:lineRule="auto"/>
        <w:ind w:firstLine="720"/>
        <w:jc w:val="both"/>
        <w:rPr>
          <w:rFonts w:eastAsia="Calibri"/>
          <w:iCs/>
        </w:rPr>
      </w:pPr>
      <w:r w:rsidRPr="00665AED">
        <w:t>[</w:t>
      </w:r>
      <w:r w:rsidR="00A375F5" w:rsidRPr="00665AED">
        <w:t>4</w:t>
      </w:r>
      <w:r w:rsidRPr="00665AED">
        <w:t>.</w:t>
      </w:r>
      <w:r w:rsidR="002843B5" w:rsidRPr="00665AED">
        <w:t>2</w:t>
      </w:r>
      <w:r w:rsidRPr="00665AED">
        <w:t>] </w:t>
      </w:r>
      <w:r w:rsidR="00AF7365" w:rsidRPr="00665AED">
        <w:rPr>
          <w:rFonts w:eastAsia="Calibri"/>
          <w:iCs/>
        </w:rPr>
        <w:t>Apgabaltiesa nav vērtējusi visus pierādījumus.</w:t>
      </w:r>
    </w:p>
    <w:p w14:paraId="2CA5D5A1" w14:textId="1D531188" w:rsidR="00B90669" w:rsidRPr="00665AED" w:rsidRDefault="002843B5" w:rsidP="00BD1472">
      <w:pPr>
        <w:spacing w:line="276" w:lineRule="auto"/>
        <w:ind w:firstLine="720"/>
        <w:jc w:val="both"/>
        <w:rPr>
          <w:rFonts w:eastAsia="Calibri"/>
          <w:iCs/>
        </w:rPr>
      </w:pPr>
      <w:r w:rsidRPr="00665AED">
        <w:t>[</w:t>
      </w:r>
      <w:r w:rsidR="0099490C" w:rsidRPr="00665AED">
        <w:t>4</w:t>
      </w:r>
      <w:r w:rsidR="00B90669" w:rsidRPr="00665AED">
        <w:t>.</w:t>
      </w:r>
      <w:r w:rsidRPr="00665AED">
        <w:t>3</w:t>
      </w:r>
      <w:r w:rsidR="00B90669" w:rsidRPr="00665AED">
        <w:t>]</w:t>
      </w:r>
      <w:r w:rsidR="00D2462D" w:rsidRPr="00665AED">
        <w:t> </w:t>
      </w:r>
      <w:r w:rsidR="00AF7365" w:rsidRPr="00665AED">
        <w:rPr>
          <w:rFonts w:eastAsia="Calibri"/>
          <w:iCs/>
        </w:rPr>
        <w:t xml:space="preserve">Apgabaltiesa pretēji Senāta </w:t>
      </w:r>
      <w:r w:rsidR="00196558" w:rsidRPr="00665AED">
        <w:t xml:space="preserve">2015.gada 26.jūnija spriedumā lietā </w:t>
      </w:r>
      <w:r w:rsidR="00AF7365" w:rsidRPr="00665AED">
        <w:rPr>
          <w:rFonts w:eastAsia="Calibri"/>
          <w:iCs/>
        </w:rPr>
        <w:t>Nr. SKA</w:t>
      </w:r>
      <w:r w:rsidR="00196558" w:rsidRPr="00665AED">
        <w:rPr>
          <w:rFonts w:eastAsia="Calibri"/>
          <w:iCs/>
        </w:rPr>
        <w:noBreakHyphen/>
      </w:r>
      <w:r w:rsidR="00AF7365" w:rsidRPr="00665AED">
        <w:rPr>
          <w:rFonts w:eastAsia="Calibri"/>
          <w:iCs/>
        </w:rPr>
        <w:t xml:space="preserve">395/2015 </w:t>
      </w:r>
      <w:r w:rsidR="00196558" w:rsidRPr="00665AED">
        <w:rPr>
          <w:rFonts w:eastAsia="Calibri"/>
          <w:iCs/>
        </w:rPr>
        <w:t xml:space="preserve">paustajām atziņām </w:t>
      </w:r>
      <w:r w:rsidR="00AF7365" w:rsidRPr="00665AED">
        <w:rPr>
          <w:rFonts w:eastAsia="Calibri"/>
          <w:iCs/>
        </w:rPr>
        <w:t xml:space="preserve">ir prettiesiski sašaurinājusi izdienas pensijas saņēmēju loku. Tiesa, neievērojot Senāta atziņas, ir nonākusi pie maldīga atzinuma, ka pieteicēja nodarbinātības un apdrošināšanas stāžs Apvienotajā Karalistē nav </w:t>
      </w:r>
      <w:r w:rsidR="00887BE3" w:rsidRPr="00665AED">
        <w:rPr>
          <w:rFonts w:eastAsia="Calibri"/>
          <w:iCs/>
        </w:rPr>
        <w:t>ies</w:t>
      </w:r>
      <w:r w:rsidR="00AF7365" w:rsidRPr="00665AED">
        <w:rPr>
          <w:rFonts w:eastAsia="Calibri"/>
          <w:iCs/>
        </w:rPr>
        <w:t>kaitāms izdienas stāž</w:t>
      </w:r>
      <w:r w:rsidR="00887BE3" w:rsidRPr="00665AED">
        <w:rPr>
          <w:rFonts w:eastAsia="Calibri"/>
          <w:iCs/>
        </w:rPr>
        <w:t>ā</w:t>
      </w:r>
      <w:r w:rsidR="00AF7365" w:rsidRPr="00665AED">
        <w:rPr>
          <w:rFonts w:eastAsia="Calibri"/>
          <w:iCs/>
        </w:rPr>
        <w:t>, kas savukārt dotu pieteicējam tiesības uz izdienas pensiju.</w:t>
      </w:r>
      <w:r w:rsidR="00887BE3" w:rsidRPr="00665AED">
        <w:rPr>
          <w:rFonts w:eastAsia="Calibri"/>
          <w:iCs/>
        </w:rPr>
        <w:t xml:space="preserve"> </w:t>
      </w:r>
      <w:r w:rsidR="00AF7365" w:rsidRPr="00665AED">
        <w:t xml:space="preserve">Minētajā Senāta nolēmumā norādīts, ka </w:t>
      </w:r>
      <w:r w:rsidR="00AF7365" w:rsidRPr="00665AED">
        <w:rPr>
          <w:rFonts w:eastAsia="Calibri"/>
          <w:iCs/>
        </w:rPr>
        <w:t>strīdu</w:t>
      </w:r>
      <w:r w:rsidR="00196558" w:rsidRPr="00665AED">
        <w:rPr>
          <w:rFonts w:eastAsia="Calibri"/>
          <w:iCs/>
        </w:rPr>
        <w:t>s</w:t>
      </w:r>
      <w:r w:rsidR="00AF7365" w:rsidRPr="00665AED">
        <w:rPr>
          <w:rFonts w:eastAsia="Calibri"/>
          <w:iCs/>
        </w:rPr>
        <w:t xml:space="preserve"> gadījum</w:t>
      </w:r>
      <w:r w:rsidR="00196558" w:rsidRPr="00665AED">
        <w:rPr>
          <w:rFonts w:eastAsia="Calibri"/>
          <w:iCs/>
        </w:rPr>
        <w:t>ā</w:t>
      </w:r>
      <w:r w:rsidR="00AF7365" w:rsidRPr="00665AED">
        <w:rPr>
          <w:rFonts w:eastAsia="Calibri"/>
          <w:iCs/>
        </w:rPr>
        <w:t xml:space="preserve"> var piemērot </w:t>
      </w:r>
      <w:r w:rsidR="00465E1A" w:rsidRPr="00665AED">
        <w:rPr>
          <w:rFonts w:eastAsia="Calibri"/>
          <w:iCs/>
        </w:rPr>
        <w:t>l</w:t>
      </w:r>
      <w:r w:rsidR="00AF7365" w:rsidRPr="00665AED">
        <w:rPr>
          <w:rFonts w:eastAsia="Calibri"/>
          <w:iCs/>
        </w:rPr>
        <w:t>ikuma</w:t>
      </w:r>
      <w:r w:rsidR="00196558" w:rsidRPr="00665AED">
        <w:rPr>
          <w:rFonts w:eastAsia="Calibri"/>
          <w:iCs/>
        </w:rPr>
        <w:t xml:space="preserve"> „Par valsts pensijām”</w:t>
      </w:r>
      <w:r w:rsidR="00465E1A" w:rsidRPr="00665AED">
        <w:rPr>
          <w:rFonts w:eastAsia="Calibri"/>
          <w:iCs/>
        </w:rPr>
        <w:t xml:space="preserve"> tiesību normas</w:t>
      </w:r>
      <w:r w:rsidR="00AF7365" w:rsidRPr="00665AED">
        <w:rPr>
          <w:rFonts w:eastAsia="Calibri"/>
          <w:iCs/>
        </w:rPr>
        <w:t>.</w:t>
      </w:r>
    </w:p>
    <w:p w14:paraId="7D72D787" w14:textId="62E78A5C" w:rsidR="005C797C" w:rsidRPr="00665AED" w:rsidRDefault="000B120B" w:rsidP="00BD1472">
      <w:pPr>
        <w:spacing w:line="276" w:lineRule="auto"/>
        <w:ind w:firstLine="720"/>
        <w:jc w:val="both"/>
      </w:pPr>
      <w:r w:rsidRPr="00665AED">
        <w:t>[</w:t>
      </w:r>
      <w:r w:rsidR="002843B5" w:rsidRPr="00665AED">
        <w:t>4</w:t>
      </w:r>
      <w:r w:rsidRPr="00665AED">
        <w:t>.</w:t>
      </w:r>
      <w:r w:rsidR="002843B5" w:rsidRPr="00665AED">
        <w:t>4</w:t>
      </w:r>
      <w:r w:rsidRPr="00665AED">
        <w:t>] </w:t>
      </w:r>
      <w:r w:rsidR="00196558" w:rsidRPr="00665AED">
        <w:rPr>
          <w:rFonts w:eastAsia="Calibri"/>
          <w:iCs/>
        </w:rPr>
        <w:t xml:space="preserve">Senāts Izdienas pensiju likuma 3.panta pirmās daļas 10.punktu ir interpretējis 2015.gadā un tā redakcija nav mainījusies. Arī likuma jēga un mērķis ir palicis tas pats, kā arī Saeima pēc 2015.gada nav atsevišķi pilnvarojusi Ministru </w:t>
      </w:r>
      <w:r w:rsidR="00D36709">
        <w:rPr>
          <w:rFonts w:eastAsia="Calibri"/>
          <w:iCs/>
        </w:rPr>
        <w:t>k</w:t>
      </w:r>
      <w:r w:rsidR="00196558" w:rsidRPr="00665AED">
        <w:rPr>
          <w:rFonts w:eastAsia="Calibri"/>
          <w:iCs/>
        </w:rPr>
        <w:t>abinetu sašaurināt izdienas pensijas saņēmēju loku.</w:t>
      </w:r>
    </w:p>
    <w:p w14:paraId="4A4A2CDE" w14:textId="77777777" w:rsidR="00A27085" w:rsidRPr="00665AED" w:rsidRDefault="00A27085" w:rsidP="00BD1472">
      <w:pPr>
        <w:spacing w:line="276" w:lineRule="auto"/>
        <w:ind w:firstLine="720"/>
        <w:jc w:val="both"/>
      </w:pPr>
    </w:p>
    <w:p w14:paraId="36439135" w14:textId="7B786F73" w:rsidR="00965F97" w:rsidRPr="00665AED" w:rsidRDefault="00965F97" w:rsidP="00BD1472">
      <w:pPr>
        <w:spacing w:line="276" w:lineRule="auto"/>
        <w:ind w:firstLine="720"/>
        <w:jc w:val="both"/>
      </w:pPr>
      <w:r w:rsidRPr="00665AED">
        <w:t>[</w:t>
      </w:r>
      <w:r w:rsidR="00E458D3" w:rsidRPr="00665AED">
        <w:t>5</w:t>
      </w:r>
      <w:r w:rsidRPr="00665AED">
        <w:t>] </w:t>
      </w:r>
      <w:r w:rsidR="00A33CB7" w:rsidRPr="00665AED">
        <w:t>Aģentūra</w:t>
      </w:r>
      <w:r w:rsidR="00D42F37" w:rsidRPr="00665AED">
        <w:t xml:space="preserve"> paskaidrojumos par kasācijas sūdzību norāda, ka tā </w:t>
      </w:r>
      <w:r w:rsidR="00A82B88" w:rsidRPr="00665AED">
        <w:t>nav pamatota</w:t>
      </w:r>
      <w:r w:rsidRPr="00665AED">
        <w:t>.</w:t>
      </w:r>
    </w:p>
    <w:p w14:paraId="07D71E66" w14:textId="77777777" w:rsidR="0024257D" w:rsidRPr="005D699C" w:rsidRDefault="0024257D" w:rsidP="00BD1472">
      <w:pPr>
        <w:spacing w:line="276" w:lineRule="auto"/>
        <w:jc w:val="center"/>
      </w:pPr>
    </w:p>
    <w:p w14:paraId="1F6CC257" w14:textId="55786C14" w:rsidR="00251D1F" w:rsidRPr="005E280D" w:rsidRDefault="005E280D" w:rsidP="00BD1472">
      <w:pPr>
        <w:spacing w:line="276" w:lineRule="auto"/>
        <w:jc w:val="center"/>
        <w:rPr>
          <w:b/>
          <w:bCs/>
        </w:rPr>
      </w:pPr>
      <w:r w:rsidRPr="005E280D">
        <w:rPr>
          <w:b/>
          <w:bCs/>
        </w:rPr>
        <w:t>Motīvu daļa</w:t>
      </w:r>
    </w:p>
    <w:p w14:paraId="7BDF293F" w14:textId="77777777" w:rsidR="00251D1F" w:rsidRPr="00665AED" w:rsidRDefault="00251D1F" w:rsidP="00BD1472">
      <w:pPr>
        <w:spacing w:line="276" w:lineRule="auto"/>
        <w:ind w:firstLine="720"/>
        <w:contextualSpacing/>
        <w:jc w:val="both"/>
      </w:pPr>
    </w:p>
    <w:p w14:paraId="708143DE" w14:textId="1FF54683" w:rsidR="00887BE3" w:rsidRPr="00665AED" w:rsidRDefault="00965F97" w:rsidP="00BD1472">
      <w:pPr>
        <w:pStyle w:val="NoSpacing"/>
        <w:spacing w:line="276" w:lineRule="auto"/>
        <w:ind w:firstLine="720"/>
        <w:contextualSpacing/>
        <w:jc w:val="both"/>
        <w:rPr>
          <w:rFonts w:asciiTheme="majorBidi" w:hAnsiTheme="majorBidi" w:cstheme="majorBidi"/>
          <w:szCs w:val="24"/>
          <w:lang w:val="lv-LV"/>
        </w:rPr>
      </w:pPr>
      <w:r w:rsidRPr="00665AED">
        <w:rPr>
          <w:lang w:val="lv-LV"/>
        </w:rPr>
        <w:t>[</w:t>
      </w:r>
      <w:r w:rsidR="007B5FC5" w:rsidRPr="00665AED">
        <w:rPr>
          <w:lang w:val="lv-LV"/>
        </w:rPr>
        <w:t>6</w:t>
      </w:r>
      <w:r w:rsidRPr="00665AED">
        <w:rPr>
          <w:lang w:val="lv-LV"/>
        </w:rPr>
        <w:t>] </w:t>
      </w:r>
      <w:r w:rsidR="00887BE3" w:rsidRPr="00665AED">
        <w:rPr>
          <w:rFonts w:asciiTheme="majorBidi" w:hAnsiTheme="majorBidi" w:cstheme="majorBidi"/>
          <w:szCs w:val="24"/>
          <w:lang w:val="lv-LV"/>
        </w:rPr>
        <w:t xml:space="preserve">Kasācijas tiesvedībā </w:t>
      </w:r>
      <w:r w:rsidR="00887BE3" w:rsidRPr="00665AED">
        <w:rPr>
          <w:rFonts w:asciiTheme="majorBidi" w:hAnsiTheme="majorBidi" w:cstheme="majorBidi"/>
          <w:bCs/>
          <w:szCs w:val="24"/>
          <w:lang w:val="lv-LV"/>
        </w:rPr>
        <w:t xml:space="preserve">noskaidrojams, vai </w:t>
      </w:r>
      <w:r w:rsidR="00887BE3" w:rsidRPr="00665AED">
        <w:rPr>
          <w:rFonts w:asciiTheme="majorBidi" w:hAnsiTheme="majorBidi" w:cstheme="majorBidi"/>
          <w:szCs w:val="24"/>
          <w:lang w:val="lv-LV"/>
        </w:rPr>
        <w:t xml:space="preserve">apgabaltiesa ir pareizi interpretējusi </w:t>
      </w:r>
      <w:r w:rsidR="00887BE3" w:rsidRPr="00665AED">
        <w:rPr>
          <w:rFonts w:eastAsia="Calibri"/>
          <w:iCs/>
          <w:lang w:val="lv-LV"/>
        </w:rPr>
        <w:t>Izdienas pensiju likuma 3.panta pirmās daļas 10.punktu</w:t>
      </w:r>
      <w:r w:rsidR="000F6C5E" w:rsidRPr="00665AED">
        <w:rPr>
          <w:rFonts w:eastAsia="Calibri"/>
          <w:iCs/>
          <w:lang w:val="lv-LV"/>
        </w:rPr>
        <w:t>.</w:t>
      </w:r>
    </w:p>
    <w:p w14:paraId="0F07FFA2" w14:textId="76AB55D0" w:rsidR="006C5E73" w:rsidRPr="00665AED" w:rsidRDefault="006C5E73" w:rsidP="00BD1472">
      <w:pPr>
        <w:spacing w:line="276" w:lineRule="auto"/>
        <w:ind w:firstLine="709"/>
        <w:contextualSpacing/>
        <w:jc w:val="both"/>
      </w:pPr>
    </w:p>
    <w:p w14:paraId="5A265CA9" w14:textId="778251DD" w:rsidR="009F5301" w:rsidRPr="00665AED" w:rsidRDefault="009F5301" w:rsidP="00BD1472">
      <w:pPr>
        <w:spacing w:line="276" w:lineRule="auto"/>
        <w:ind w:firstLine="709"/>
        <w:contextualSpacing/>
        <w:jc w:val="both"/>
        <w:rPr>
          <w:i/>
          <w:iCs/>
        </w:rPr>
      </w:pPr>
      <w:r w:rsidRPr="00665AED">
        <w:rPr>
          <w:i/>
          <w:iCs/>
        </w:rPr>
        <w:t>Par Latvijas tiesību normām</w:t>
      </w:r>
    </w:p>
    <w:p w14:paraId="680C1315" w14:textId="55263B10" w:rsidR="007E6DB3" w:rsidRPr="00665AED" w:rsidRDefault="007B5FC5" w:rsidP="00BD1472">
      <w:pPr>
        <w:spacing w:line="276" w:lineRule="auto"/>
        <w:ind w:firstLine="720"/>
        <w:jc w:val="both"/>
        <w:rPr>
          <w:rFonts w:asciiTheme="majorBidi" w:hAnsiTheme="majorBidi" w:cstheme="majorBidi"/>
        </w:rPr>
      </w:pPr>
      <w:r w:rsidRPr="00665AED">
        <w:t>[7] </w:t>
      </w:r>
      <w:r w:rsidR="00423A1F" w:rsidRPr="00665AED">
        <w:t xml:space="preserve">Saskaņā ar </w:t>
      </w:r>
      <w:r w:rsidR="007E6DB3" w:rsidRPr="00665AED">
        <w:rPr>
          <w:rFonts w:asciiTheme="majorBidi" w:hAnsiTheme="majorBidi" w:cstheme="majorBidi"/>
        </w:rPr>
        <w:t>Izdienas pensiju likuma 2.panta pirmās daļas 2.punkt</w:t>
      </w:r>
      <w:r w:rsidR="00423A1F" w:rsidRPr="00665AED">
        <w:rPr>
          <w:rFonts w:asciiTheme="majorBidi" w:hAnsiTheme="majorBidi" w:cstheme="majorBidi"/>
        </w:rPr>
        <w:t>u</w:t>
      </w:r>
      <w:r w:rsidR="007E6DB3" w:rsidRPr="00665AED">
        <w:rPr>
          <w:rFonts w:asciiTheme="majorBidi" w:hAnsiTheme="majorBidi" w:cstheme="majorBidi"/>
        </w:rPr>
        <w:t xml:space="preserve"> tiesības uz izdienas pensiju ir darbiniekiem, kuri neatkarīgi no vecuma ir atbrīvoti no dienesta veselības stāvokļa vai darbinieku skaita samazināšanas dēļ un kuru izdienas stāžs saskaņā ar šā likuma 3.pantu ir ne mazāks par 20 gadiem.</w:t>
      </w:r>
    </w:p>
    <w:p w14:paraId="129B32CF" w14:textId="07E61A21" w:rsidR="007E6DB3" w:rsidRPr="00665AED" w:rsidRDefault="00423A1F" w:rsidP="00BD1472">
      <w:pPr>
        <w:spacing w:line="276" w:lineRule="auto"/>
        <w:ind w:firstLine="720"/>
        <w:jc w:val="both"/>
        <w:rPr>
          <w:rFonts w:asciiTheme="majorBidi" w:hAnsiTheme="majorBidi" w:cstheme="majorBidi"/>
        </w:rPr>
      </w:pPr>
      <w:r w:rsidRPr="00665AED">
        <w:rPr>
          <w:rFonts w:asciiTheme="majorBidi" w:hAnsiTheme="majorBidi" w:cstheme="majorBidi"/>
        </w:rPr>
        <w:t xml:space="preserve">Izdienas pensiju likuma </w:t>
      </w:r>
      <w:r w:rsidR="007E6DB3" w:rsidRPr="00665AED">
        <w:rPr>
          <w:rFonts w:asciiTheme="majorBidi" w:hAnsiTheme="majorBidi" w:cstheme="majorBidi"/>
        </w:rPr>
        <w:t>3.panta</w:t>
      </w:r>
      <w:r w:rsidR="001548D2" w:rsidRPr="00665AED">
        <w:rPr>
          <w:rFonts w:asciiTheme="majorBidi" w:hAnsiTheme="majorBidi" w:cstheme="majorBidi"/>
        </w:rPr>
        <w:t xml:space="preserve"> pirmā daļa noteic, kādi dienesta vai darba periodi tiek ieskaitīti izdienas stāžā, kas dod tiesības uz izdienas pensiju. Tostarp 3.panta</w:t>
      </w:r>
      <w:r w:rsidR="007E6DB3" w:rsidRPr="00665AED">
        <w:rPr>
          <w:rFonts w:asciiTheme="majorBidi" w:hAnsiTheme="majorBidi" w:cstheme="majorBidi"/>
        </w:rPr>
        <w:t xml:space="preserve"> pirmās daļas 10.punkts noteic, ka izdienas stāžā ieskaita 80</w:t>
      </w:r>
      <w:r w:rsidR="001548D2" w:rsidRPr="00665AED">
        <w:rPr>
          <w:rFonts w:asciiTheme="majorBidi" w:hAnsiTheme="majorBidi" w:cstheme="majorBidi"/>
        </w:rPr>
        <w:t> </w:t>
      </w:r>
      <w:r w:rsidR="007E6DB3" w:rsidRPr="00665AED">
        <w:rPr>
          <w:rFonts w:asciiTheme="majorBidi" w:hAnsiTheme="majorBidi" w:cstheme="majorBidi"/>
        </w:rPr>
        <w:t>procentus no citās iestādēs, pie komersantiem un organizācijās nostrādātā laika darbiniekiem, kuri dienestu Iekšlietu ministrijas sistēmas iestādēs uzsākuši pēc 1990.gada 4.maija, – ja Iekšlietu ministrijas sistēmas iestādēs nodienēti vismaz 10 gadi.</w:t>
      </w:r>
    </w:p>
    <w:p w14:paraId="63BC41AC" w14:textId="205DDAE4" w:rsidR="00356CB6" w:rsidRPr="00665AED" w:rsidRDefault="00356CB6" w:rsidP="00BD1472">
      <w:pPr>
        <w:spacing w:line="276" w:lineRule="auto"/>
        <w:ind w:firstLine="720"/>
        <w:jc w:val="both"/>
        <w:rPr>
          <w:rFonts w:asciiTheme="majorBidi" w:hAnsiTheme="majorBidi" w:cstheme="majorBidi"/>
        </w:rPr>
      </w:pPr>
      <w:r w:rsidRPr="00665AED">
        <w:t>Minētās tiesību normas teksts neierobežo nostrādāto laiku</w:t>
      </w:r>
      <w:r w:rsidR="00CA5C6A" w:rsidRPr="00665AED">
        <w:rPr>
          <w:rFonts w:asciiTheme="majorBidi" w:hAnsiTheme="majorBidi" w:cstheme="majorBidi"/>
        </w:rPr>
        <w:t xml:space="preserve"> citās iestādēs, pie komersantiem un organizācijās</w:t>
      </w:r>
      <w:r w:rsidRPr="00665AED">
        <w:t xml:space="preserve"> ar darbu tikai Latvijas teritorijā. </w:t>
      </w:r>
      <w:r w:rsidR="00D36709">
        <w:t>Vienlaikus a</w:t>
      </w:r>
      <w:r w:rsidRPr="00665AED">
        <w:t xml:space="preserve">pgabaltiesa ir pareizi </w:t>
      </w:r>
      <w:r w:rsidR="007C4659" w:rsidRPr="00665AED">
        <w:t xml:space="preserve">norādījusi, ka </w:t>
      </w:r>
      <w:r w:rsidRPr="00665AED">
        <w:t>šajā tiesību normā nav arī tiešas norādes, ka ņemams vērā nostrādātais laiks citās valstīs.</w:t>
      </w:r>
    </w:p>
    <w:p w14:paraId="2AD18B87" w14:textId="36F72D82" w:rsidR="007C4659" w:rsidRPr="00665AED" w:rsidRDefault="007C4659" w:rsidP="00BD1472">
      <w:pPr>
        <w:spacing w:line="276" w:lineRule="auto"/>
        <w:ind w:firstLine="720"/>
        <w:contextualSpacing/>
        <w:jc w:val="both"/>
        <w:rPr>
          <w:rFonts w:asciiTheme="majorBidi" w:hAnsiTheme="majorBidi" w:cstheme="majorBidi"/>
        </w:rPr>
      </w:pPr>
      <w:r w:rsidRPr="00665AED">
        <w:t>Senāts</w:t>
      </w:r>
      <w:r w:rsidR="00CA5C6A" w:rsidRPr="00665AED">
        <w:t xml:space="preserve"> </w:t>
      </w:r>
      <w:r w:rsidRPr="00665AED">
        <w:t>ir atzinis, ka n</w:t>
      </w:r>
      <w:r w:rsidR="00356CB6" w:rsidRPr="00665AED">
        <w:t xml:space="preserve">av apšaubāms Izdienas pensiju likuma mērķis – nodrošināt ar izdienas pensijām tieši Latvijas Republikas Iekšlietu ministrijas sistēmā dienējušās personas. Taču no likuma 3.panta izriet, ka izdienas stāžā, kas ir viens no priekšnoteikumiem izdienas pensijas piešķiršanai, tiek ieskaitīts ne tikai </w:t>
      </w:r>
      <w:r w:rsidR="00BE1094" w:rsidRPr="00665AED">
        <w:t>i</w:t>
      </w:r>
      <w:r w:rsidR="00356CB6" w:rsidRPr="00665AED">
        <w:t>ekšlietu sistēmā nodienētais laiks. Izdienas stāžu veido arī, pirmkārt, cita veida dienests (tostarp citu valstu bruņotajos spēkos), piemēram, obligātais aktīvais militārais dienests, ierindas dienests Zemessardzē. Otrkārt, personas darbs (nostrādātais laiks) ārpus dienesta attiecībām (civilajā dzīvē).</w:t>
      </w:r>
      <w:r w:rsidRPr="00665AED">
        <w:t xml:space="preserve"> </w:t>
      </w:r>
      <w:r w:rsidR="00356CB6" w:rsidRPr="00665AED">
        <w:t xml:space="preserve">Taču tas, ka likumdevējs noteicis izdienas stāžā ieskaitīt arī dienējušās personas nostrādāto laiku, nenozīmē, ka tas tiek pielīdzināts dienestam </w:t>
      </w:r>
      <w:r w:rsidR="00BE1094" w:rsidRPr="00665AED">
        <w:t>i</w:t>
      </w:r>
      <w:r w:rsidR="00356CB6" w:rsidRPr="00665AED">
        <w:t xml:space="preserve">ekšlietu sistēmā. Nostrādātā laika ieskaitīšana izdienas stāžā vērtējama kā likumdevēja noteikts papildu labums tām personām, kas </w:t>
      </w:r>
      <w:r w:rsidR="00BE1094" w:rsidRPr="00665AED">
        <w:t>i</w:t>
      </w:r>
      <w:r w:rsidR="00356CB6" w:rsidRPr="00665AED">
        <w:t>ekšlietu</w:t>
      </w:r>
      <w:r w:rsidRPr="00665AED">
        <w:t xml:space="preserve"> </w:t>
      </w:r>
      <w:r w:rsidR="00356CB6" w:rsidRPr="00665AED">
        <w:t xml:space="preserve">sistēmā nodienējušas vismaz 10 gadus, proti, ka tad tiek ņemts vērā arī personas ārpus dienesta </w:t>
      </w:r>
      <w:r w:rsidR="00356CB6" w:rsidRPr="00CA5C6A">
        <w:t>nostrādātais laiks</w:t>
      </w:r>
      <w:r w:rsidRPr="000F6C5E">
        <w:t xml:space="preserve"> </w:t>
      </w:r>
      <w:r w:rsidRPr="00EE5DBD">
        <w:t>(</w:t>
      </w:r>
      <w:r w:rsidRPr="00EE5DBD">
        <w:rPr>
          <w:rFonts w:asciiTheme="majorBidi" w:hAnsiTheme="majorBidi" w:cstheme="majorBidi"/>
          <w:i/>
          <w:iCs/>
        </w:rPr>
        <w:t>Senāta 2015.gada 26.jūnija sprieduma lietā Nr. </w:t>
      </w:r>
      <w:hyperlink r:id="rId9" w:history="1">
        <w:r w:rsidRPr="00EE5DBD">
          <w:rPr>
            <w:rStyle w:val="Hyperlink"/>
            <w:rFonts w:asciiTheme="majorBidi" w:hAnsiTheme="majorBidi" w:cstheme="majorBidi"/>
            <w:i/>
            <w:iCs/>
          </w:rPr>
          <w:t>SKA-395/2015</w:t>
        </w:r>
      </w:hyperlink>
      <w:r w:rsidR="00EE5DBD" w:rsidRPr="00EE5DBD">
        <w:rPr>
          <w:rFonts w:asciiTheme="majorBidi" w:hAnsiTheme="majorBidi" w:cstheme="majorBidi"/>
          <w:i/>
          <w:iCs/>
        </w:rPr>
        <w:t xml:space="preserve">, </w:t>
      </w:r>
      <w:r w:rsidR="00EE5DBD" w:rsidRPr="00665AED">
        <w:rPr>
          <w:rFonts w:asciiTheme="majorBidi" w:hAnsiTheme="majorBidi" w:cstheme="majorBidi"/>
          <w:i/>
          <w:iCs/>
        </w:rPr>
        <w:t>A420535612,</w:t>
      </w:r>
      <w:r w:rsidRPr="00665AED">
        <w:rPr>
          <w:rFonts w:asciiTheme="majorBidi" w:hAnsiTheme="majorBidi" w:cstheme="majorBidi"/>
          <w:i/>
          <w:iCs/>
        </w:rPr>
        <w:t xml:space="preserve"> 6.punkts</w:t>
      </w:r>
      <w:r w:rsidRPr="00665AED">
        <w:rPr>
          <w:rFonts w:asciiTheme="majorBidi" w:hAnsiTheme="majorBidi" w:cstheme="majorBidi"/>
        </w:rPr>
        <w:t>).</w:t>
      </w:r>
    </w:p>
    <w:p w14:paraId="769C94DF" w14:textId="2C556775" w:rsidR="00B95945" w:rsidRPr="00665AED" w:rsidRDefault="00B95945" w:rsidP="00BD1472">
      <w:pPr>
        <w:spacing w:line="276" w:lineRule="auto"/>
        <w:ind w:firstLine="720"/>
        <w:contextualSpacing/>
        <w:jc w:val="both"/>
        <w:rPr>
          <w:rFonts w:asciiTheme="majorBidi" w:hAnsiTheme="majorBidi" w:cstheme="majorBidi"/>
        </w:rPr>
      </w:pPr>
      <w:r w:rsidRPr="00665AED">
        <w:rPr>
          <w:rFonts w:asciiTheme="majorBidi" w:hAnsiTheme="majorBidi" w:cstheme="majorBidi"/>
        </w:rPr>
        <w:t xml:space="preserve">Izskatāmajā lietā ir strīds tieši par pieteicēja nostrādāto laiku ārpus dienesta attiecībām, kas </w:t>
      </w:r>
      <w:r w:rsidR="00703571" w:rsidRPr="00665AED">
        <w:rPr>
          <w:rFonts w:asciiTheme="majorBidi" w:hAnsiTheme="majorBidi" w:cstheme="majorBidi"/>
        </w:rPr>
        <w:t>veido nevis Iekšlietu ministrijas sistēmas iestādēs nodienēto laiku, bet ir ņemams vērā, nosakot kopējo izdienas stāžu.</w:t>
      </w:r>
    </w:p>
    <w:p w14:paraId="588A823C" w14:textId="77777777" w:rsidR="003B10A7" w:rsidRPr="00665AED" w:rsidRDefault="003B10A7" w:rsidP="00BD1472">
      <w:pPr>
        <w:spacing w:line="276" w:lineRule="auto"/>
        <w:ind w:firstLine="720"/>
        <w:contextualSpacing/>
        <w:jc w:val="both"/>
        <w:rPr>
          <w:rFonts w:asciiTheme="majorBidi" w:hAnsiTheme="majorBidi" w:cstheme="majorBidi"/>
        </w:rPr>
      </w:pPr>
    </w:p>
    <w:p w14:paraId="7BE60A66" w14:textId="4005BD97" w:rsidR="003B10A7" w:rsidRPr="00665AED" w:rsidRDefault="003B10A7" w:rsidP="00BD1472">
      <w:pPr>
        <w:spacing w:line="276" w:lineRule="auto"/>
        <w:ind w:firstLine="720"/>
        <w:contextualSpacing/>
        <w:jc w:val="both"/>
      </w:pPr>
      <w:r w:rsidRPr="00665AED">
        <w:t>[</w:t>
      </w:r>
      <w:r w:rsidR="00BE1094" w:rsidRPr="00665AED">
        <w:t>8</w:t>
      </w:r>
      <w:r w:rsidRPr="00665AED">
        <w:t>] </w:t>
      </w:r>
      <w:r w:rsidRPr="00665AED">
        <w:rPr>
          <w:rFonts w:asciiTheme="majorBidi" w:hAnsiTheme="majorBidi" w:cstheme="majorBidi"/>
        </w:rPr>
        <w:t>Izdienas pensiju likuma 3.panta otrā daļa noteic, ka š</w:t>
      </w:r>
      <w:r w:rsidRPr="00665AED">
        <w:t>ā panta pirmās daļas 7. un 10.punktā minēto citās iestādēs, pie komersantiem un organizācijās nostrādātā laika pierādīšanas, aprēķināšanas un uzskaites kārtību nosaka Ministru kabinets. Saskaņā ar šo deleģējumu ir izdoti noteikumi Nr. 1157.</w:t>
      </w:r>
    </w:p>
    <w:p w14:paraId="4329D860" w14:textId="77777777" w:rsidR="003B10A7" w:rsidRPr="00665AED" w:rsidRDefault="003B10A7" w:rsidP="00BD1472">
      <w:pPr>
        <w:spacing w:line="276" w:lineRule="auto"/>
        <w:ind w:firstLine="720"/>
        <w:contextualSpacing/>
        <w:jc w:val="both"/>
      </w:pPr>
      <w:r w:rsidRPr="00665AED">
        <w:t>Noteikumu Nr. 1157 11.punkts paredz, ka Izdienas pensiju likuma 3.panta pirmās daļas 7. un 10.punktā minēto citās iestādēs, pie komersantiem un organizācijās nostrādāto laiku pierāda, aprēķina un uzskaita, ievērojot šādus nosacījumus: 1) līdz 1995.gada 31.decembrim – kā apdrošināšanas stāžam pielīdzināto periodu atbilstoši normatīvajiem aktiem par likuma „</w:t>
      </w:r>
      <w:hyperlink r:id="rId10" w:tgtFrame="_blank" w:history="1">
        <w:r w:rsidRPr="00665AED">
          <w:rPr>
            <w:rStyle w:val="Hyperlink"/>
            <w:color w:val="auto"/>
            <w:u w:val="none"/>
          </w:rPr>
          <w:t>Par valsts pensijām</w:t>
        </w:r>
      </w:hyperlink>
      <w:r w:rsidRPr="00665AED">
        <w:t xml:space="preserve">” pārejas noteikumu </w:t>
      </w:r>
      <w:hyperlink r:id="rId11" w:anchor="p1" w:history="1">
        <w:r w:rsidRPr="00665AED">
          <w:rPr>
            <w:rStyle w:val="Hyperlink"/>
            <w:color w:val="auto"/>
            <w:u w:val="none"/>
          </w:rPr>
          <w:t>1.</w:t>
        </w:r>
      </w:hyperlink>
      <w:r w:rsidRPr="00665AED">
        <w:t xml:space="preserve"> un </w:t>
      </w:r>
      <w:hyperlink r:id="rId12" w:anchor="p2" w:history="1">
        <w:r w:rsidRPr="00665AED">
          <w:rPr>
            <w:rStyle w:val="Hyperlink"/>
            <w:color w:val="auto"/>
            <w:u w:val="none"/>
          </w:rPr>
          <w:t>2.punktā</w:t>
        </w:r>
      </w:hyperlink>
      <w:r w:rsidRPr="00665AED">
        <w:t xml:space="preserve"> noteikto apdrošināšanas periodu pierādīšanas, aprēķināšanas un uzskaites kārtību (</w:t>
      </w:r>
      <w:r w:rsidRPr="00665AED">
        <w:rPr>
          <w:i/>
          <w:iCs/>
        </w:rPr>
        <w:t>11.1.apakšpunkts</w:t>
      </w:r>
      <w:r w:rsidRPr="00665AED">
        <w:t>); 2) no 1996.gada 1.janvāra – kā apdrošināšanas stāžu, kurā par sociāli apdrošināto personu veiktas vai bija jāveic sociālās apdrošināšanas iemaksas (</w:t>
      </w:r>
      <w:r w:rsidRPr="00665AED">
        <w:rPr>
          <w:i/>
          <w:iCs/>
        </w:rPr>
        <w:t>11.2.apakšpunkts</w:t>
      </w:r>
      <w:r w:rsidRPr="00665AED">
        <w:t>).</w:t>
      </w:r>
    </w:p>
    <w:p w14:paraId="31F8AE78" w14:textId="744C0572" w:rsidR="003B10A7" w:rsidRPr="00665AED" w:rsidRDefault="003B10A7" w:rsidP="00BD1472">
      <w:pPr>
        <w:spacing w:line="276" w:lineRule="auto"/>
        <w:ind w:firstLine="720"/>
        <w:jc w:val="both"/>
        <w:rPr>
          <w:rFonts w:asciiTheme="majorBidi" w:hAnsiTheme="majorBidi" w:cstheme="majorBidi"/>
        </w:rPr>
      </w:pPr>
      <w:r w:rsidRPr="00665AED">
        <w:rPr>
          <w:rFonts w:asciiTheme="majorBidi" w:hAnsiTheme="majorBidi" w:cstheme="majorBidi"/>
        </w:rPr>
        <w:t xml:space="preserve">Senāts piekrīt apgabaltiesas </w:t>
      </w:r>
      <w:r w:rsidR="00AD1C05" w:rsidRPr="00665AED">
        <w:rPr>
          <w:rFonts w:asciiTheme="majorBidi" w:hAnsiTheme="majorBidi" w:cstheme="majorBidi"/>
        </w:rPr>
        <w:t>norādītajam</w:t>
      </w:r>
      <w:r w:rsidRPr="00665AED">
        <w:rPr>
          <w:rFonts w:asciiTheme="majorBidi" w:hAnsiTheme="majorBidi" w:cstheme="majorBidi"/>
        </w:rPr>
        <w:t>, ka</w:t>
      </w:r>
      <w:r w:rsidR="00AD1C05" w:rsidRPr="00665AED">
        <w:rPr>
          <w:rFonts w:asciiTheme="majorBidi" w:hAnsiTheme="majorBidi" w:cstheme="majorBidi"/>
        </w:rPr>
        <w:t xml:space="preserve"> Senāta 2015.gada 26.jūnija spriedumā lietā Nr. SKA-395/2015</w:t>
      </w:r>
      <w:r w:rsidRPr="00665AED">
        <w:rPr>
          <w:rFonts w:asciiTheme="majorBidi" w:hAnsiTheme="majorBidi" w:cstheme="majorBidi"/>
        </w:rPr>
        <w:t xml:space="preserve"> ir citi faktiskie un tiesiskie apstākļi, </w:t>
      </w:r>
      <w:r w:rsidR="00AD1C05" w:rsidRPr="00665AED">
        <w:rPr>
          <w:rFonts w:asciiTheme="majorBidi" w:hAnsiTheme="majorBidi" w:cstheme="majorBidi"/>
        </w:rPr>
        <w:t xml:space="preserve">jo minētajā lietā strīds bija par nostrādāto laiku līdz 1990.gada 31.decembrim, tāpēc bija piemērojams noteikumu Nr. 1157 11.1.apakšpunkts. </w:t>
      </w:r>
      <w:r w:rsidR="00E706FB" w:rsidRPr="00665AED">
        <w:rPr>
          <w:rFonts w:asciiTheme="majorBidi" w:hAnsiTheme="majorBidi" w:cstheme="majorBidi"/>
        </w:rPr>
        <w:t>Savukārt i</w:t>
      </w:r>
      <w:r w:rsidR="00AD1C05" w:rsidRPr="00665AED">
        <w:rPr>
          <w:rFonts w:asciiTheme="majorBidi" w:hAnsiTheme="majorBidi" w:cstheme="majorBidi"/>
        </w:rPr>
        <w:t>zskatāmajā gadījumā strīds</w:t>
      </w:r>
      <w:r w:rsidR="00BE1094" w:rsidRPr="00665AED">
        <w:rPr>
          <w:rFonts w:asciiTheme="majorBidi" w:hAnsiTheme="majorBidi" w:cstheme="majorBidi"/>
        </w:rPr>
        <w:t xml:space="preserve"> ir</w:t>
      </w:r>
      <w:r w:rsidR="00AD1C05" w:rsidRPr="00665AED">
        <w:rPr>
          <w:rFonts w:asciiTheme="majorBidi" w:hAnsiTheme="majorBidi" w:cstheme="majorBidi"/>
        </w:rPr>
        <w:t xml:space="preserve"> par nostrādāto laiku pēc 1996.gada 1.janvār</w:t>
      </w:r>
      <w:r w:rsidR="00D36709">
        <w:rPr>
          <w:rFonts w:asciiTheme="majorBidi" w:hAnsiTheme="majorBidi" w:cstheme="majorBidi"/>
        </w:rPr>
        <w:t>a</w:t>
      </w:r>
      <w:r w:rsidR="00AD1C05" w:rsidRPr="00665AED">
        <w:rPr>
          <w:rFonts w:asciiTheme="majorBidi" w:hAnsiTheme="majorBidi" w:cstheme="majorBidi"/>
        </w:rPr>
        <w:t>, tāpēc ir piemērojams noteikumu Nr. 1157 11.2.apakšpunkts.</w:t>
      </w:r>
    </w:p>
    <w:p w14:paraId="056D4F9E" w14:textId="521CD8D3" w:rsidR="00AD1C05" w:rsidRPr="00665AED" w:rsidRDefault="00BE1094" w:rsidP="00BD1472">
      <w:pPr>
        <w:spacing w:line="276" w:lineRule="auto"/>
        <w:ind w:firstLine="720"/>
        <w:contextualSpacing/>
        <w:jc w:val="both"/>
        <w:rPr>
          <w:rFonts w:asciiTheme="majorBidi" w:hAnsiTheme="majorBidi" w:cstheme="majorBidi"/>
        </w:rPr>
      </w:pPr>
      <w:r w:rsidRPr="00665AED">
        <w:t xml:space="preserve">Vienlaikus Senāts atzīst, ka </w:t>
      </w:r>
      <w:r w:rsidR="00E706FB" w:rsidRPr="00665AED">
        <w:t>nav pamata</w:t>
      </w:r>
      <w:r w:rsidRPr="00665AED">
        <w:t xml:space="preserve"> </w:t>
      </w:r>
      <w:r w:rsidR="00E706FB" w:rsidRPr="00665AED">
        <w:t>ne</w:t>
      </w:r>
      <w:r w:rsidRPr="00665AED">
        <w:t xml:space="preserve">ņemt vērā </w:t>
      </w:r>
      <w:r w:rsidRPr="00665AED">
        <w:rPr>
          <w:rFonts w:asciiTheme="majorBidi" w:hAnsiTheme="majorBidi" w:cstheme="majorBidi"/>
        </w:rPr>
        <w:t>Senāta 2015.gada 26.jūnija spriedumā lietā Nr. SKA-395/2015 izteikto atziņu</w:t>
      </w:r>
      <w:r w:rsidR="00D36709">
        <w:rPr>
          <w:rFonts w:asciiTheme="majorBidi" w:hAnsiTheme="majorBidi" w:cstheme="majorBidi"/>
        </w:rPr>
        <w:t>:</w:t>
      </w:r>
      <w:r w:rsidR="00AD1C05" w:rsidRPr="00665AED">
        <w:t xml:space="preserve"> lai pareizi izprastu </w:t>
      </w:r>
      <w:r w:rsidR="00AD1C05" w:rsidRPr="00665AED">
        <w:rPr>
          <w:rFonts w:asciiTheme="majorBidi" w:hAnsiTheme="majorBidi" w:cstheme="majorBidi"/>
        </w:rPr>
        <w:t xml:space="preserve">Izdienas pensiju likuma 3.panta pirmās daļas </w:t>
      </w:r>
      <w:r w:rsidR="00AD1C05" w:rsidRPr="00665AED">
        <w:t xml:space="preserve">7. un 10.punktā minēto </w:t>
      </w:r>
      <w:r w:rsidR="00AD1C05" w:rsidRPr="00665AED">
        <w:rPr>
          <w:i/>
          <w:iCs/>
        </w:rPr>
        <w:t>nostrādāto laiku</w:t>
      </w:r>
      <w:r w:rsidR="00AD1C05" w:rsidRPr="00665AED">
        <w:t xml:space="preserve">, izmantojamas tās tiesību normas, kas regulē pensiju un darba tiesību jautājumus, proti, kuri nodarbinātības periodi ir ņemami vērā, nosakot personas stāžu valsts pensijas piešķiršanai, jo strīdus tiesību norma attiecas gan uz pensijas piešķiršanu, gan saistīta ar personas darba perioda noteikšanu </w:t>
      </w:r>
      <w:r w:rsidR="00AD1C05" w:rsidRPr="00EE5DBD">
        <w:t>(</w:t>
      </w:r>
      <w:r w:rsidR="00AD1C05" w:rsidRPr="00EE5DBD">
        <w:rPr>
          <w:rFonts w:asciiTheme="majorBidi" w:hAnsiTheme="majorBidi" w:cstheme="majorBidi"/>
          <w:i/>
          <w:iCs/>
        </w:rPr>
        <w:t xml:space="preserve">Senāta 2015.gada 26.jūnija sprieduma lietā </w:t>
      </w:r>
      <w:r w:rsidR="00EE5DBD" w:rsidRPr="00EE5DBD">
        <w:rPr>
          <w:rFonts w:asciiTheme="majorBidi" w:hAnsiTheme="majorBidi" w:cstheme="majorBidi"/>
          <w:i/>
          <w:iCs/>
        </w:rPr>
        <w:t>Nr. </w:t>
      </w:r>
      <w:hyperlink r:id="rId13" w:history="1">
        <w:r w:rsidR="00EE5DBD" w:rsidRPr="00EE5DBD">
          <w:rPr>
            <w:rStyle w:val="Hyperlink"/>
            <w:rFonts w:asciiTheme="majorBidi" w:hAnsiTheme="majorBidi" w:cstheme="majorBidi"/>
            <w:i/>
            <w:iCs/>
          </w:rPr>
          <w:t>SKA-395/2015</w:t>
        </w:r>
      </w:hyperlink>
      <w:r w:rsidR="00EE5DBD" w:rsidRPr="00EE5DBD">
        <w:rPr>
          <w:rFonts w:asciiTheme="majorBidi" w:hAnsiTheme="majorBidi" w:cstheme="majorBidi"/>
          <w:i/>
          <w:iCs/>
        </w:rPr>
        <w:t xml:space="preserve">, </w:t>
      </w:r>
      <w:r w:rsidR="00EE5DBD" w:rsidRPr="00665AED">
        <w:rPr>
          <w:rFonts w:asciiTheme="majorBidi" w:hAnsiTheme="majorBidi" w:cstheme="majorBidi"/>
          <w:i/>
          <w:iCs/>
        </w:rPr>
        <w:t xml:space="preserve">A420535612, </w:t>
      </w:r>
      <w:r w:rsidR="00AD1C05" w:rsidRPr="00665AED">
        <w:rPr>
          <w:rFonts w:asciiTheme="majorBidi" w:hAnsiTheme="majorBidi" w:cstheme="majorBidi"/>
          <w:i/>
          <w:iCs/>
        </w:rPr>
        <w:t>8.punkts</w:t>
      </w:r>
      <w:r w:rsidR="00AD1C05" w:rsidRPr="00665AED">
        <w:rPr>
          <w:rFonts w:asciiTheme="majorBidi" w:hAnsiTheme="majorBidi" w:cstheme="majorBidi"/>
        </w:rPr>
        <w:t>).</w:t>
      </w:r>
    </w:p>
    <w:p w14:paraId="1106A28F" w14:textId="316C6058" w:rsidR="00AC2C4F" w:rsidRPr="00665AED" w:rsidRDefault="00555D41" w:rsidP="00BD1472">
      <w:pPr>
        <w:spacing w:line="276" w:lineRule="auto"/>
        <w:ind w:firstLine="720"/>
        <w:contextualSpacing/>
        <w:jc w:val="both"/>
      </w:pPr>
      <w:r w:rsidRPr="00665AED">
        <w:rPr>
          <w:rFonts w:asciiTheme="majorBidi" w:hAnsiTheme="majorBidi" w:cstheme="majorBidi"/>
        </w:rPr>
        <w:t>Atbilstoši</w:t>
      </w:r>
      <w:r w:rsidRPr="00665AED">
        <w:t xml:space="preserve"> noteikumu Nr. 1157 11.2.apakšpunktam</w:t>
      </w:r>
      <w:r w:rsidRPr="00665AED">
        <w:rPr>
          <w:rFonts w:asciiTheme="majorBidi" w:hAnsiTheme="majorBidi" w:cstheme="majorBidi"/>
        </w:rPr>
        <w:t xml:space="preserve"> </w:t>
      </w:r>
      <w:r w:rsidRPr="00665AED">
        <w:t xml:space="preserve">no 1996.gada 1.janvāra </w:t>
      </w:r>
      <w:r w:rsidR="00E706FB" w:rsidRPr="00665AED">
        <w:t>nostrādāto laiku</w:t>
      </w:r>
      <w:r w:rsidRPr="00665AED">
        <w:t xml:space="preserve"> citās iestādēs, pie komersantiem un organizācijās pierāda, aprēķina un uzskaita kā</w:t>
      </w:r>
      <w:r w:rsidR="00E706FB" w:rsidRPr="00665AED">
        <w:t xml:space="preserve"> </w:t>
      </w:r>
      <w:r w:rsidR="00E706FB" w:rsidRPr="00665AED">
        <w:rPr>
          <w:i/>
          <w:iCs/>
        </w:rPr>
        <w:t>apdrošināšanas stāžu</w:t>
      </w:r>
      <w:r w:rsidRPr="00665AED">
        <w:rPr>
          <w:i/>
          <w:iCs/>
        </w:rPr>
        <w:t>, kurā par sociāli apdrošināto personu veiktas vai bija jāveic sociālās apdrošināšanas iemaksas</w:t>
      </w:r>
      <w:r w:rsidR="00E706FB" w:rsidRPr="00665AED">
        <w:t xml:space="preserve">. </w:t>
      </w:r>
      <w:r w:rsidR="00AC2C4F" w:rsidRPr="00665AED">
        <w:t>Jēdziens „apdrošināšanas stāžs” tiek lietots likumā „Par valsts pensijām”</w:t>
      </w:r>
      <w:r w:rsidR="00E706FB" w:rsidRPr="00665AED">
        <w:t xml:space="preserve">. Minētā likuma </w:t>
      </w:r>
      <w:r w:rsidR="00AC2C4F" w:rsidRPr="00665AED">
        <w:t xml:space="preserve">1.panta 1.punkts apdrošināšanas stāžu definē šādi: pilnos gados izteikts laika periods, </w:t>
      </w:r>
      <w:r w:rsidR="00AC2C4F" w:rsidRPr="00665AED">
        <w:rPr>
          <w:i/>
          <w:iCs/>
        </w:rPr>
        <w:t>kurā sociāli apdrošinātā persona pati veikusi sociālās apdrošināšanas iemaksas vai par to veiktas vai bija jāveic sociālās apdrošināšanas iemaksas</w:t>
      </w:r>
      <w:r w:rsidR="00AC2C4F" w:rsidRPr="00665AED">
        <w:t>, kas attiecas uz tām sociāli apdrošināmajām personām, kuras apdrošināšanas iemaksas veic ar citu personu starpniecību vai par kurām maksājumus izdara citas personas</w:t>
      </w:r>
      <w:r w:rsidR="00CE6E80" w:rsidRPr="00665AED">
        <w:t>.</w:t>
      </w:r>
    </w:p>
    <w:p w14:paraId="3B3D5628" w14:textId="442C888C" w:rsidR="00BD33E6" w:rsidRPr="00665AED" w:rsidRDefault="00A95BDD" w:rsidP="00BD1472">
      <w:pPr>
        <w:spacing w:line="276" w:lineRule="auto"/>
        <w:ind w:firstLine="720"/>
        <w:contextualSpacing/>
        <w:jc w:val="both"/>
        <w:rPr>
          <w:rFonts w:asciiTheme="majorBidi" w:hAnsiTheme="majorBidi" w:cstheme="majorBidi"/>
        </w:rPr>
      </w:pPr>
      <w:r w:rsidRPr="00665AED">
        <w:t xml:space="preserve">Ņemot vērā, ka apdrošināšanas stāža definīcija, kas ir norādīta noteikumu Nr. 1157 11.2.apakšpunktā, ir gandrīz identiska ar likuma „Par valsts pensijām” 1.panta 1.punktā ietverto, kā arī </w:t>
      </w:r>
      <w:r w:rsidR="00187CAB" w:rsidRPr="00665AED">
        <w:t xml:space="preserve">lietā ir strīds </w:t>
      </w:r>
      <w:r w:rsidRPr="00665AED">
        <w:t xml:space="preserve">tieši par </w:t>
      </w:r>
      <w:r w:rsidR="00187CAB" w:rsidRPr="00665AED">
        <w:rPr>
          <w:rFonts w:asciiTheme="majorBidi" w:hAnsiTheme="majorBidi" w:cstheme="majorBidi"/>
        </w:rPr>
        <w:t xml:space="preserve">nostrādāto laiku </w:t>
      </w:r>
      <w:r w:rsidR="00BD33E6" w:rsidRPr="00665AED">
        <w:rPr>
          <w:rFonts w:asciiTheme="majorBidi" w:hAnsiTheme="majorBidi" w:cstheme="majorBidi"/>
        </w:rPr>
        <w:t>ārpus dienesta attiecībām</w:t>
      </w:r>
      <w:r w:rsidR="00187CAB" w:rsidRPr="00665AED">
        <w:rPr>
          <w:rFonts w:asciiTheme="majorBidi" w:hAnsiTheme="majorBidi" w:cstheme="majorBidi"/>
        </w:rPr>
        <w:t xml:space="preserve">, atbilstoši jau iepriekš minētajām Senāta atziņām uz šo </w:t>
      </w:r>
      <w:r w:rsidRPr="00665AED">
        <w:rPr>
          <w:rFonts w:asciiTheme="majorBidi" w:hAnsiTheme="majorBidi" w:cstheme="majorBidi"/>
        </w:rPr>
        <w:t>pieteicēja nostrādāto laiku ir</w:t>
      </w:r>
      <w:r w:rsidR="00187CAB" w:rsidRPr="00665AED">
        <w:rPr>
          <w:rFonts w:asciiTheme="majorBidi" w:hAnsiTheme="majorBidi" w:cstheme="majorBidi"/>
        </w:rPr>
        <w:t xml:space="preserve"> jā</w:t>
      </w:r>
      <w:r w:rsidRPr="00665AED">
        <w:rPr>
          <w:rFonts w:asciiTheme="majorBidi" w:hAnsiTheme="majorBidi" w:cstheme="majorBidi"/>
        </w:rPr>
        <w:t>raugās</w:t>
      </w:r>
      <w:r w:rsidR="00187CAB" w:rsidRPr="00665AED">
        <w:rPr>
          <w:rFonts w:asciiTheme="majorBidi" w:hAnsiTheme="majorBidi" w:cstheme="majorBidi"/>
        </w:rPr>
        <w:t xml:space="preserve"> </w:t>
      </w:r>
      <w:r w:rsidRPr="00665AED">
        <w:rPr>
          <w:rFonts w:asciiTheme="majorBidi" w:hAnsiTheme="majorBidi" w:cstheme="majorBidi"/>
        </w:rPr>
        <w:t xml:space="preserve">tāpat </w:t>
      </w:r>
      <w:r w:rsidR="00187CAB" w:rsidRPr="00665AED">
        <w:rPr>
          <w:rFonts w:asciiTheme="majorBidi" w:hAnsiTheme="majorBidi" w:cstheme="majorBidi"/>
        </w:rPr>
        <w:t>kā uz apdrošināšanas stāžu, ko ņem vērā, vērtējot tiesības uz valsts sociālās apdrošināšanas pensiju.</w:t>
      </w:r>
    </w:p>
    <w:p w14:paraId="5295164B" w14:textId="77777777" w:rsidR="007324D9" w:rsidRPr="00665AED" w:rsidRDefault="007324D9" w:rsidP="00BD1472">
      <w:pPr>
        <w:spacing w:line="276" w:lineRule="auto"/>
        <w:ind w:firstLine="720"/>
        <w:jc w:val="both"/>
        <w:rPr>
          <w:rFonts w:asciiTheme="majorBidi" w:hAnsiTheme="majorBidi" w:cstheme="majorBidi"/>
        </w:rPr>
      </w:pPr>
    </w:p>
    <w:p w14:paraId="48367225" w14:textId="03F75A24" w:rsidR="009F57BA" w:rsidRPr="00665AED" w:rsidRDefault="009F57BA" w:rsidP="00BD1472">
      <w:pPr>
        <w:spacing w:line="276" w:lineRule="auto"/>
        <w:ind w:firstLine="720"/>
        <w:jc w:val="both"/>
        <w:rPr>
          <w:rFonts w:asciiTheme="majorBidi" w:hAnsiTheme="majorBidi" w:cstheme="majorBidi"/>
          <w:i/>
          <w:iCs/>
        </w:rPr>
      </w:pPr>
      <w:r w:rsidRPr="00665AED">
        <w:rPr>
          <w:rFonts w:asciiTheme="majorBidi" w:hAnsiTheme="majorBidi" w:cstheme="majorBidi"/>
          <w:i/>
          <w:iCs/>
        </w:rPr>
        <w:t>Par Regulu Nr. 833/2004</w:t>
      </w:r>
    </w:p>
    <w:p w14:paraId="72F1A10F" w14:textId="30C9DDA3" w:rsidR="009F57BA" w:rsidRPr="00665AED" w:rsidRDefault="0024597D" w:rsidP="00BD1472">
      <w:pPr>
        <w:spacing w:line="276" w:lineRule="auto"/>
        <w:ind w:firstLine="720"/>
        <w:jc w:val="both"/>
      </w:pPr>
      <w:r w:rsidRPr="00665AED">
        <w:t>[</w:t>
      </w:r>
      <w:r w:rsidR="00A95BDD" w:rsidRPr="00665AED">
        <w:t>9</w:t>
      </w:r>
      <w:r w:rsidRPr="00665AED">
        <w:t>]</w:t>
      </w:r>
      <w:r w:rsidR="009F57BA" w:rsidRPr="00665AED">
        <w:t> </w:t>
      </w:r>
      <w:r w:rsidR="00A95BDD" w:rsidRPr="00665AED">
        <w:t>P</w:t>
      </w:r>
      <w:r w:rsidR="009F57BA" w:rsidRPr="00665AED">
        <w:t>ieteicēja nodarbinātība Apvienotajā Karalistē 2009.</w:t>
      </w:r>
      <w:r w:rsidR="00EE5DBD" w:rsidRPr="00665AED">
        <w:rPr>
          <w:rFonts w:asciiTheme="majorBidi" w:hAnsiTheme="majorBidi" w:cstheme="majorBidi"/>
        </w:rPr>
        <w:t>–</w:t>
      </w:r>
      <w:r w:rsidR="009F57BA" w:rsidRPr="00665AED">
        <w:t xml:space="preserve">2015.gadā uzskatāma par darba ņēmēja pārvietošanās brīvības izmantošanu saskaņā ar Eiropas Savienības tiesībām. Pieteicējs </w:t>
      </w:r>
      <w:r w:rsidR="00A95BDD" w:rsidRPr="00665AED">
        <w:t>–</w:t>
      </w:r>
      <w:r w:rsidR="009F57BA" w:rsidRPr="00665AED">
        <w:t xml:space="preserve"> Eiropas Savienības pilsonis, kurš izmantoja tiesības uz darba ņēmēju brīvu pārvietošanos un ir bijis nodarbināts citā dalībvalstī, kas nav viņa izcelsmes dalībvalsts, ietilpa Līguma par Eiropas Savienības darbību (turpmāk – LESD) 45.panta piemērošanas jomā.</w:t>
      </w:r>
    </w:p>
    <w:p w14:paraId="27A4C53A" w14:textId="3AC73A59" w:rsidR="009F57BA" w:rsidRDefault="009F57BA" w:rsidP="00BD1472">
      <w:pPr>
        <w:spacing w:line="276" w:lineRule="auto"/>
        <w:ind w:firstLine="720"/>
        <w:jc w:val="both"/>
      </w:pPr>
      <w:r w:rsidRPr="00665AED">
        <w:t>Eiropas Savienības Tiesa ir skaidrojusi, ka LESD 45.panta mērķis ir izvairīties no tā, ka pret darba ņēmēju, kurš, izmantodams savas tiesības brīvi pārvietoties, ir strādājis vairākās dalībvalstīs, bez objektīva attaisnojuma izturētos mazāk labvēlīgi nekā pret darba ņēmēju, kurš visu karjeru ir īstenojis vienā vienīgā dalībvalstī (</w:t>
      </w:r>
      <w:r w:rsidRPr="00665AED">
        <w:rPr>
          <w:i/>
          <w:iCs/>
        </w:rPr>
        <w:t xml:space="preserve">Eiropas Savienības Tiesas </w:t>
      </w:r>
      <w:r w:rsidRPr="00EE5DBD">
        <w:rPr>
          <w:i/>
          <w:iCs/>
        </w:rPr>
        <w:t xml:space="preserve">2018.gada 7.marta spriedums lietā „DW”, C-651/16, </w:t>
      </w:r>
      <w:hyperlink r:id="rId14" w:history="1">
        <w:r w:rsidRPr="00EE5DBD">
          <w:rPr>
            <w:rStyle w:val="Hyperlink"/>
            <w:i/>
            <w:iCs/>
          </w:rPr>
          <w:t>ECLI:EU:C:2018:162</w:t>
        </w:r>
      </w:hyperlink>
      <w:r w:rsidRPr="00EE5DBD">
        <w:rPr>
          <w:i/>
          <w:iCs/>
        </w:rPr>
        <w:t>, 23.punkts</w:t>
      </w:r>
      <w:r w:rsidRPr="00EE5DBD">
        <w:t>).</w:t>
      </w:r>
    </w:p>
    <w:p w14:paraId="3074FA8C" w14:textId="77777777" w:rsidR="006B0B6D" w:rsidRDefault="00813F3A" w:rsidP="00BD1472">
      <w:pPr>
        <w:spacing w:line="276" w:lineRule="auto"/>
        <w:ind w:firstLine="720"/>
        <w:jc w:val="both"/>
        <w:rPr>
          <w:rFonts w:asciiTheme="majorBidi" w:hAnsiTheme="majorBidi" w:cstheme="majorBidi"/>
        </w:rPr>
      </w:pPr>
      <w:r w:rsidRPr="006975A1">
        <w:rPr>
          <w:rFonts w:asciiTheme="majorBidi" w:hAnsiTheme="majorBidi" w:cstheme="majorBidi"/>
        </w:rPr>
        <w:t>Saskaņā ar Regulas Nr. 883/2004 preambulas 1.punktu valstu sociālās nodrošināšanas sistēmu koordinācijas noteikumi ietilpst personu brīvās pārvietošanās regulējumā, un tiem jāsekmē dzīves kvalitātes un nodarbinātības nosacījumu uzlabošana.</w:t>
      </w:r>
      <w:r w:rsidR="006B0B6D" w:rsidRPr="006975A1">
        <w:rPr>
          <w:rFonts w:asciiTheme="majorBidi" w:hAnsiTheme="majorBidi" w:cstheme="majorBidi"/>
        </w:rPr>
        <w:t xml:space="preserve"> Proti, regulas mērķis ir nodrošināt, lai Eiropas Savienības ietvaros pārvietojušies darba ņēmēji no sociālās drošības tiesību viedokļa nebūtu sliktākā stāvoklī nekā tad, ja viņi būtu palikuši savā dzimtenē, lai viņi nezaudē jau iepriekš iegūtās tiesības, piemēram, uz pabalstiem un pensijām, ja iepriekš ir veiktas sociālās apdrošināšanas iemaksas.</w:t>
      </w:r>
    </w:p>
    <w:p w14:paraId="05DAF118" w14:textId="77777777" w:rsidR="006B0B6D" w:rsidRDefault="006B0B6D" w:rsidP="00BD1472">
      <w:pPr>
        <w:spacing w:line="276" w:lineRule="auto"/>
        <w:ind w:firstLine="720"/>
        <w:jc w:val="both"/>
        <w:rPr>
          <w:rFonts w:asciiTheme="majorBidi" w:hAnsiTheme="majorBidi" w:cstheme="majorBidi"/>
        </w:rPr>
      </w:pPr>
    </w:p>
    <w:p w14:paraId="00A7B2BF" w14:textId="0B4F8CD8" w:rsidR="009F5301" w:rsidRPr="00665AED" w:rsidRDefault="009F5301" w:rsidP="00BD1472">
      <w:pPr>
        <w:spacing w:line="276" w:lineRule="auto"/>
        <w:ind w:firstLine="720"/>
        <w:jc w:val="both"/>
        <w:rPr>
          <w:rFonts w:asciiTheme="majorBidi" w:hAnsiTheme="majorBidi" w:cstheme="majorBidi"/>
        </w:rPr>
      </w:pPr>
      <w:r w:rsidRPr="00665AED">
        <w:rPr>
          <w:rFonts w:asciiTheme="majorBidi" w:hAnsiTheme="majorBidi" w:cstheme="majorBidi"/>
        </w:rPr>
        <w:t>[</w:t>
      </w:r>
      <w:r w:rsidR="00C55C8F" w:rsidRPr="00665AED">
        <w:rPr>
          <w:rFonts w:asciiTheme="majorBidi" w:hAnsiTheme="majorBidi" w:cstheme="majorBidi"/>
        </w:rPr>
        <w:t>1</w:t>
      </w:r>
      <w:r w:rsidR="00547FF0" w:rsidRPr="00665AED">
        <w:rPr>
          <w:rFonts w:asciiTheme="majorBidi" w:hAnsiTheme="majorBidi" w:cstheme="majorBidi"/>
        </w:rPr>
        <w:t>0</w:t>
      </w:r>
      <w:r w:rsidRPr="00665AED">
        <w:rPr>
          <w:rFonts w:asciiTheme="majorBidi" w:hAnsiTheme="majorBidi" w:cstheme="majorBidi"/>
        </w:rPr>
        <w:t>] Regulas Nr. 883/2004</w:t>
      </w:r>
      <w:r w:rsidR="008B6EAA" w:rsidRPr="00665AED">
        <w:rPr>
          <w:rFonts w:asciiTheme="majorBidi" w:hAnsiTheme="majorBidi" w:cstheme="majorBidi"/>
        </w:rPr>
        <w:t xml:space="preserve"> 1.pantā „x” punktā ir </w:t>
      </w:r>
      <w:r w:rsidR="00D36709">
        <w:rPr>
          <w:rFonts w:asciiTheme="majorBidi" w:hAnsiTheme="majorBidi" w:cstheme="majorBidi"/>
        </w:rPr>
        <w:t>skaidrots, ka</w:t>
      </w:r>
      <w:r w:rsidR="008B6EAA" w:rsidRPr="00665AED">
        <w:rPr>
          <w:rFonts w:asciiTheme="majorBidi" w:hAnsiTheme="majorBidi" w:cstheme="majorBidi"/>
        </w:rPr>
        <w:t xml:space="preserve"> </w:t>
      </w:r>
      <w:r w:rsidR="00547FF0" w:rsidRPr="00665AED">
        <w:rPr>
          <w:rFonts w:asciiTheme="majorBidi" w:hAnsiTheme="majorBidi" w:cstheme="majorBidi"/>
        </w:rPr>
        <w:t>„</w:t>
      </w:r>
      <w:r w:rsidR="008B6EAA" w:rsidRPr="00665AED">
        <w:rPr>
          <w:rFonts w:asciiTheme="majorBidi" w:hAnsiTheme="majorBidi" w:cstheme="majorBidi"/>
        </w:rPr>
        <w:t>pirmspensijas pabalsts</w:t>
      </w:r>
      <w:r w:rsidR="00547FF0" w:rsidRPr="00665AED">
        <w:rPr>
          <w:rFonts w:asciiTheme="majorBidi" w:hAnsiTheme="majorBidi" w:cstheme="majorBidi"/>
        </w:rPr>
        <w:t>”</w:t>
      </w:r>
      <w:r w:rsidR="008B6EAA" w:rsidRPr="00665AED">
        <w:rPr>
          <w:rFonts w:asciiTheme="majorBidi" w:hAnsiTheme="majorBidi" w:cstheme="majorBidi"/>
        </w:rPr>
        <w:t xml:space="preserve"> ir visi naudas pabalsti, kas nav bezdarbnieka pabalsti vai priekšlaicīgi vecuma pabalsti un kas no noteikta vecuma paredzēti darbiniekiem, kuri ir samazinājuši, izbeiguši vai pārtraukuši savas darbības, par ko saņem atlīdzību, līdz vecumam, kurā tie var pretendēt uz vecuma pensiju vai priekšlaicīgas pensionēšanas pensiju, kuru saņemšana nav atkarīga no tā, vai attiecīgā persona ir kompetentās valsts nodarbinātības dienestu rīcībā</w:t>
      </w:r>
      <w:r w:rsidR="00D36709">
        <w:rPr>
          <w:rFonts w:asciiTheme="majorBidi" w:hAnsiTheme="majorBidi" w:cstheme="majorBidi"/>
        </w:rPr>
        <w:t>. Šajā punktā ir arī norādīts, ka</w:t>
      </w:r>
      <w:r w:rsidR="008B6EAA" w:rsidRPr="00665AED">
        <w:rPr>
          <w:rFonts w:asciiTheme="majorBidi" w:hAnsiTheme="majorBidi" w:cstheme="majorBidi"/>
        </w:rPr>
        <w:t xml:space="preserve"> </w:t>
      </w:r>
      <w:r w:rsidR="00547FF0" w:rsidRPr="00665AED">
        <w:rPr>
          <w:rFonts w:asciiTheme="majorBidi" w:hAnsiTheme="majorBidi" w:cstheme="majorBidi"/>
        </w:rPr>
        <w:t>„</w:t>
      </w:r>
      <w:r w:rsidR="008B6EAA" w:rsidRPr="00665AED">
        <w:rPr>
          <w:rFonts w:asciiTheme="majorBidi" w:hAnsiTheme="majorBidi" w:cstheme="majorBidi"/>
        </w:rPr>
        <w:t>priekšlaicīgs vecuma pabalsts</w:t>
      </w:r>
      <w:r w:rsidR="00547FF0" w:rsidRPr="00665AED">
        <w:rPr>
          <w:rFonts w:asciiTheme="majorBidi" w:hAnsiTheme="majorBidi" w:cstheme="majorBidi"/>
        </w:rPr>
        <w:t>”</w:t>
      </w:r>
      <w:r w:rsidR="008B6EAA" w:rsidRPr="00665AED">
        <w:rPr>
          <w:rFonts w:asciiTheme="majorBidi" w:hAnsiTheme="majorBidi" w:cstheme="majorBidi"/>
        </w:rPr>
        <w:t xml:space="preserve"> ir pabalsts, ko nodrošina, pirms sasniegts vecums, kurš parasti dod tiesības uz pensiju, un ko turpina nodrošināt, kad ir sasniegts minētais vecums, vai aizstāj ar citu vecuma pabalstu.</w:t>
      </w:r>
    </w:p>
    <w:p w14:paraId="7D134F18" w14:textId="3DE5034A" w:rsidR="009F5301" w:rsidRPr="00665AED" w:rsidRDefault="008B6EAA" w:rsidP="00BD1472">
      <w:pPr>
        <w:spacing w:line="276" w:lineRule="auto"/>
        <w:ind w:firstLine="720"/>
        <w:jc w:val="both"/>
        <w:rPr>
          <w:rFonts w:asciiTheme="majorBidi" w:hAnsiTheme="majorBidi" w:cstheme="majorBidi"/>
        </w:rPr>
      </w:pPr>
      <w:r w:rsidRPr="00665AED">
        <w:rPr>
          <w:rFonts w:asciiTheme="majorBidi" w:hAnsiTheme="majorBidi" w:cstheme="majorBidi"/>
        </w:rPr>
        <w:t>Regulas Nr. 883/2004 3.pant</w:t>
      </w:r>
      <w:r w:rsidR="009145D1" w:rsidRPr="00665AED">
        <w:rPr>
          <w:rFonts w:asciiTheme="majorBidi" w:hAnsiTheme="majorBidi" w:cstheme="majorBidi"/>
        </w:rPr>
        <w:t>a</w:t>
      </w:r>
      <w:r w:rsidRPr="00665AED">
        <w:rPr>
          <w:rFonts w:asciiTheme="majorBidi" w:hAnsiTheme="majorBidi" w:cstheme="majorBidi"/>
        </w:rPr>
        <w:t xml:space="preserve"> „Jomas, uz kurām attiecas šī regula”</w:t>
      </w:r>
      <w:r w:rsidR="009145D1" w:rsidRPr="00665AED">
        <w:rPr>
          <w:rFonts w:asciiTheme="majorBidi" w:hAnsiTheme="majorBidi" w:cstheme="majorBidi"/>
        </w:rPr>
        <w:t xml:space="preserve"> 1.punktā paredzēts, ka šī regula attiecas uz visiem tiesību aktiem, kuri skar šādas sociālā nodrošinājuma jomas: vecuma pabalsti („</w:t>
      </w:r>
      <w:r w:rsidR="009145D1" w:rsidRPr="00665AED">
        <w:rPr>
          <w:rFonts w:asciiTheme="majorBidi" w:hAnsiTheme="majorBidi" w:cstheme="majorBidi"/>
          <w:i/>
          <w:iCs/>
        </w:rPr>
        <w:t>d” apakšpunkts</w:t>
      </w:r>
      <w:r w:rsidR="009145D1" w:rsidRPr="00665AED">
        <w:rPr>
          <w:rFonts w:asciiTheme="majorBidi" w:hAnsiTheme="majorBidi" w:cstheme="majorBidi"/>
        </w:rPr>
        <w:t>); pirmspensijas pabalsti („</w:t>
      </w:r>
      <w:r w:rsidR="009145D1" w:rsidRPr="00665AED">
        <w:rPr>
          <w:rFonts w:asciiTheme="majorBidi" w:hAnsiTheme="majorBidi" w:cstheme="majorBidi"/>
          <w:i/>
          <w:iCs/>
        </w:rPr>
        <w:t>i” apakšpunkts</w:t>
      </w:r>
      <w:r w:rsidR="009145D1" w:rsidRPr="00665AED">
        <w:rPr>
          <w:rFonts w:asciiTheme="majorBidi" w:hAnsiTheme="majorBidi" w:cstheme="majorBidi"/>
        </w:rPr>
        <w:t>).</w:t>
      </w:r>
    </w:p>
    <w:p w14:paraId="37302FFC" w14:textId="77777777" w:rsidR="003A7B21" w:rsidRPr="00665AED" w:rsidRDefault="003A7B21" w:rsidP="00BD1472">
      <w:pPr>
        <w:spacing w:line="276" w:lineRule="auto"/>
        <w:ind w:firstLine="720"/>
        <w:jc w:val="both"/>
        <w:rPr>
          <w:rFonts w:asciiTheme="majorBidi" w:hAnsiTheme="majorBidi" w:cstheme="majorBidi"/>
        </w:rPr>
      </w:pPr>
    </w:p>
    <w:p w14:paraId="21B73F5C" w14:textId="297F05B5" w:rsidR="00E70B6C" w:rsidRPr="00665AED" w:rsidRDefault="00A940D4" w:rsidP="00BD1472">
      <w:pPr>
        <w:spacing w:line="276" w:lineRule="auto"/>
        <w:ind w:firstLine="720"/>
        <w:jc w:val="both"/>
        <w:rPr>
          <w:rFonts w:asciiTheme="majorBidi" w:hAnsiTheme="majorBidi" w:cstheme="majorBidi"/>
        </w:rPr>
      </w:pPr>
      <w:r w:rsidRPr="00665AED">
        <w:rPr>
          <w:rFonts w:asciiTheme="majorBidi" w:hAnsiTheme="majorBidi" w:cstheme="majorBidi"/>
        </w:rPr>
        <w:t>[</w:t>
      </w:r>
      <w:r w:rsidR="00C55C8F" w:rsidRPr="00665AED">
        <w:rPr>
          <w:rFonts w:asciiTheme="majorBidi" w:hAnsiTheme="majorBidi" w:cstheme="majorBidi"/>
        </w:rPr>
        <w:t>1</w:t>
      </w:r>
      <w:r w:rsidR="00F17D40" w:rsidRPr="00665AED">
        <w:rPr>
          <w:rFonts w:asciiTheme="majorBidi" w:hAnsiTheme="majorBidi" w:cstheme="majorBidi"/>
        </w:rPr>
        <w:t>1</w:t>
      </w:r>
      <w:r w:rsidRPr="00665AED">
        <w:rPr>
          <w:rFonts w:asciiTheme="majorBidi" w:hAnsiTheme="majorBidi" w:cstheme="majorBidi"/>
        </w:rPr>
        <w:t>] </w:t>
      </w:r>
      <w:r w:rsidR="006B0B6D">
        <w:rPr>
          <w:rFonts w:asciiTheme="majorBidi" w:hAnsiTheme="majorBidi" w:cstheme="majorBidi"/>
        </w:rPr>
        <w:t>Saskaņā R</w:t>
      </w:r>
      <w:r w:rsidR="00E70B6C" w:rsidRPr="00665AED">
        <w:rPr>
          <w:rFonts w:asciiTheme="majorBidi" w:hAnsiTheme="majorBidi" w:cstheme="majorBidi"/>
        </w:rPr>
        <w:t>egulas Nr. 883/2004 9.panta 1.punkt</w:t>
      </w:r>
      <w:r w:rsidR="006B0B6D">
        <w:rPr>
          <w:rFonts w:asciiTheme="majorBidi" w:hAnsiTheme="majorBidi" w:cstheme="majorBidi"/>
        </w:rPr>
        <w:t xml:space="preserve">u </w:t>
      </w:r>
      <w:r w:rsidR="00E70B6C" w:rsidRPr="00665AED">
        <w:rPr>
          <w:rFonts w:asciiTheme="majorBidi" w:hAnsiTheme="majorBidi" w:cstheme="majorBidi"/>
        </w:rPr>
        <w:t>dalībvalstis Eiropas Komisijai rakstveidā paziņo par deklarācijām, kas saskaņā ar 1.panta 1.punktu sniegtas par 3.pantā minētajiem tiesību aktiem un shēmām</w:t>
      </w:r>
      <w:r w:rsidR="006B0B6D">
        <w:rPr>
          <w:rFonts w:asciiTheme="majorBidi" w:hAnsiTheme="majorBidi" w:cstheme="majorBidi"/>
        </w:rPr>
        <w:t>.</w:t>
      </w:r>
      <w:r w:rsidR="00E70B6C" w:rsidRPr="00665AED">
        <w:rPr>
          <w:rFonts w:asciiTheme="majorBidi" w:hAnsiTheme="majorBidi" w:cstheme="majorBidi"/>
        </w:rPr>
        <w:t xml:space="preserve"> </w:t>
      </w:r>
      <w:r w:rsidR="006B0B6D" w:rsidRPr="006B0B6D">
        <w:rPr>
          <w:rFonts w:asciiTheme="majorBidi" w:hAnsiTheme="majorBidi" w:cstheme="majorBidi"/>
        </w:rPr>
        <w:t>Šajos paziņojumos norāda attiecīgo likumu un shēmu spēkā stāšanās dienu vai – 1.panta 1.punktā paredzēto deklarāciju gadījumā – dienu, no kuras šo regulu piemēro shēmām, kas norādītas dalībvalstu deklarācijās.</w:t>
      </w:r>
    </w:p>
    <w:p w14:paraId="457F7408" w14:textId="4CF01296" w:rsidR="00B6699F" w:rsidRPr="00665AED" w:rsidRDefault="00B6699F" w:rsidP="00BD1472">
      <w:pPr>
        <w:spacing w:line="276" w:lineRule="auto"/>
        <w:ind w:firstLine="720"/>
        <w:jc w:val="both"/>
        <w:rPr>
          <w:rFonts w:asciiTheme="majorBidi" w:hAnsiTheme="majorBidi" w:cstheme="majorBidi"/>
        </w:rPr>
      </w:pPr>
      <w:r w:rsidRPr="00665AED">
        <w:rPr>
          <w:rFonts w:asciiTheme="majorBidi" w:hAnsiTheme="majorBidi" w:cstheme="majorBidi"/>
        </w:rPr>
        <w:t xml:space="preserve">Tādējādi, lai noteiktu, </w:t>
      </w:r>
      <w:r w:rsidRPr="00665AED">
        <w:t xml:space="preserve">vai Izdienas pensiju likumā </w:t>
      </w:r>
      <w:r w:rsidRPr="00665AED">
        <w:rPr>
          <w:rFonts w:asciiTheme="majorBidi" w:hAnsiTheme="majorBidi" w:cstheme="majorBidi"/>
        </w:rPr>
        <w:t xml:space="preserve">paredzētā </w:t>
      </w:r>
      <w:r w:rsidRPr="00665AED">
        <w:t xml:space="preserve">izdienas pensija ietilpst </w:t>
      </w:r>
      <w:r w:rsidRPr="00665AED">
        <w:rPr>
          <w:rFonts w:asciiTheme="majorBidi" w:hAnsiTheme="majorBidi" w:cstheme="majorBidi"/>
        </w:rPr>
        <w:t>Regulas Nr. 883/2004 materiālās piemērojamības jomā, vispirms jānoskaidro, vai izdienas pensija ir minēta deklarācijā, kas paredzēta Regulas Nr. 883/2004 9.pantā.</w:t>
      </w:r>
    </w:p>
    <w:p w14:paraId="31B9826E" w14:textId="3E26A1D0" w:rsidR="00547FF0" w:rsidRPr="00665AED" w:rsidRDefault="00547FF0" w:rsidP="00BD1472">
      <w:pPr>
        <w:spacing w:line="276" w:lineRule="auto"/>
        <w:ind w:firstLine="720"/>
        <w:jc w:val="both"/>
        <w:rPr>
          <w:rFonts w:asciiTheme="majorBidi" w:hAnsiTheme="majorBidi" w:cstheme="majorBidi"/>
        </w:rPr>
      </w:pPr>
      <w:r w:rsidRPr="003A0A75">
        <w:rPr>
          <w:rFonts w:asciiTheme="majorBidi" w:hAnsiTheme="majorBidi" w:cstheme="majorBidi"/>
        </w:rPr>
        <w:t xml:space="preserve">Eiropas Komisijas tīmekļa vietnē ir pieejama </w:t>
      </w:r>
      <w:hyperlink r:id="rId15" w:history="1">
        <w:r w:rsidRPr="002A7952">
          <w:rPr>
            <w:rStyle w:val="Hyperlink"/>
            <w:rFonts w:asciiTheme="majorBidi" w:hAnsiTheme="majorBidi" w:cstheme="majorBidi"/>
          </w:rPr>
          <w:t>Latvijas Republikas deklarācija</w:t>
        </w:r>
      </w:hyperlink>
      <w:r w:rsidRPr="002A7952">
        <w:rPr>
          <w:rFonts w:asciiTheme="majorBidi" w:hAnsiTheme="majorBidi" w:cstheme="majorBidi"/>
        </w:rPr>
        <w:t>, ņe</w:t>
      </w:r>
      <w:r w:rsidRPr="003A0A75">
        <w:rPr>
          <w:rFonts w:asciiTheme="majorBidi" w:hAnsiTheme="majorBidi" w:cstheme="majorBidi"/>
        </w:rPr>
        <w:t xml:space="preserve">mot </w:t>
      </w:r>
      <w:r w:rsidRPr="00665AED">
        <w:rPr>
          <w:rFonts w:asciiTheme="majorBidi" w:hAnsiTheme="majorBidi" w:cstheme="majorBidi"/>
        </w:rPr>
        <w:t xml:space="preserve">vērā Regulas Nr. 883/2004 9.pantu, par atskaites gadu, kas beidzas 2023.gada 31.decembrī. Deklarācijas II. sadaļā „Tiesību akti un shēmas, kas minētas Regulas Nr. 883/2004 3.pantā un datums kopš kura regula ir attiecināma” 4.punktā „Vecuma pabalsti” „ii” apakšpunktā „Pabalsti naudā” norādītas arī vairākas Latvijas likumos paredzētās izdienas pensijas, </w:t>
      </w:r>
      <w:r w:rsidR="00D36709">
        <w:rPr>
          <w:rFonts w:asciiTheme="majorBidi" w:hAnsiTheme="majorBidi" w:cstheme="majorBidi"/>
        </w:rPr>
        <w:t>tostarp</w:t>
      </w:r>
      <w:r w:rsidRPr="00665AED">
        <w:rPr>
          <w:rFonts w:asciiTheme="majorBidi" w:hAnsiTheme="majorBidi" w:cstheme="majorBidi"/>
        </w:rPr>
        <w:t xml:space="preserve"> „1998.gada 2.aprīļa likums „Par izdienas pensijām Iekšlietu ministrijas sistēmas darbiniekiem ar speciālajām dienesta pakāpēm”, Latvijas Vēstnesis, 1998.gada 16.aprīlis, Nr. 100/101”. Savukārt 9.punktā „Pirmspensijas pabalsti” nav norādīts neviens pabalsts. </w:t>
      </w:r>
    </w:p>
    <w:p w14:paraId="34CD7AAC" w14:textId="59F7D4ED" w:rsidR="00547FF0" w:rsidRPr="00665AED" w:rsidRDefault="00547FF0" w:rsidP="00BD1472">
      <w:pPr>
        <w:spacing w:line="276" w:lineRule="auto"/>
        <w:ind w:firstLine="720"/>
        <w:jc w:val="both"/>
        <w:rPr>
          <w:rFonts w:asciiTheme="majorBidi" w:hAnsiTheme="majorBidi" w:cstheme="majorBidi"/>
        </w:rPr>
      </w:pPr>
      <w:r w:rsidRPr="00665AED">
        <w:rPr>
          <w:rFonts w:asciiTheme="majorBidi" w:hAnsiTheme="majorBidi" w:cstheme="majorBidi"/>
        </w:rPr>
        <w:t xml:space="preserve">Tātad </w:t>
      </w:r>
      <w:r w:rsidRPr="00665AED">
        <w:t xml:space="preserve">iekšlietu sistēmas darbinieku </w:t>
      </w:r>
      <w:r w:rsidRPr="00665AED">
        <w:rPr>
          <w:rFonts w:asciiTheme="majorBidi" w:hAnsiTheme="majorBidi" w:cstheme="majorBidi"/>
        </w:rPr>
        <w:t>izdienas pensija Latvijas deklarācijā ir minēta</w:t>
      </w:r>
      <w:r w:rsidR="00D36709">
        <w:rPr>
          <w:rFonts w:asciiTheme="majorBidi" w:hAnsiTheme="majorBidi" w:cstheme="majorBidi"/>
        </w:rPr>
        <w:t>. Turklāt</w:t>
      </w:r>
      <w:r w:rsidRPr="00665AED">
        <w:rPr>
          <w:rFonts w:asciiTheme="majorBidi" w:hAnsiTheme="majorBidi" w:cstheme="majorBidi"/>
        </w:rPr>
        <w:t xml:space="preserve"> deklarācijā tā ir kvalificēta kā „vecuma pabalsts” un nevis „pirmspensijas pabalsts”.</w:t>
      </w:r>
      <w:r w:rsidR="006B0B6D">
        <w:rPr>
          <w:rFonts w:asciiTheme="majorBidi" w:hAnsiTheme="majorBidi" w:cstheme="majorBidi"/>
        </w:rPr>
        <w:t xml:space="preserve"> </w:t>
      </w:r>
      <w:r w:rsidR="006B0B6D" w:rsidRPr="006975A1">
        <w:rPr>
          <w:rFonts w:asciiTheme="majorBidi" w:hAnsiTheme="majorBidi" w:cstheme="majorBidi"/>
        </w:rPr>
        <w:t xml:space="preserve">Tātad Latvijas valsts ir kvalificējusi izdienas pensiju kā tādu, kas ietilpst vienā no </w:t>
      </w:r>
      <w:r w:rsidR="006B0B6D" w:rsidRPr="006975A1">
        <w:t>Regulas Nr. 883/2004 3.panta uzskaitītajām sociālā nodrošinājuma jomām – vecuma pabalsts.</w:t>
      </w:r>
    </w:p>
    <w:p w14:paraId="09F25AA1" w14:textId="77777777" w:rsidR="006B0B6D" w:rsidRDefault="006B0B6D" w:rsidP="00BD1472">
      <w:pPr>
        <w:spacing w:line="276" w:lineRule="auto"/>
        <w:ind w:firstLine="720"/>
        <w:jc w:val="both"/>
        <w:rPr>
          <w:rFonts w:asciiTheme="majorBidi" w:hAnsiTheme="majorBidi" w:cstheme="majorBidi"/>
        </w:rPr>
      </w:pPr>
    </w:p>
    <w:p w14:paraId="4BFC1CF4" w14:textId="0C4D3B8D" w:rsidR="00B6699F" w:rsidRPr="002A7952" w:rsidRDefault="00F17D40" w:rsidP="00BD1472">
      <w:pPr>
        <w:spacing w:line="276" w:lineRule="auto"/>
        <w:ind w:firstLine="720"/>
        <w:jc w:val="both"/>
      </w:pPr>
      <w:r w:rsidRPr="00665AED">
        <w:rPr>
          <w:rFonts w:asciiTheme="majorBidi" w:hAnsiTheme="majorBidi" w:cstheme="majorBidi"/>
        </w:rPr>
        <w:t>[12] </w:t>
      </w:r>
      <w:r w:rsidR="00E70B6C" w:rsidRPr="00665AED">
        <w:rPr>
          <w:rFonts w:asciiTheme="majorBidi" w:hAnsiTheme="majorBidi" w:cstheme="majorBidi"/>
        </w:rPr>
        <w:t xml:space="preserve">Attiecībā uz atbilstoši Regulas Nr. 883/2004 9.panta 1.punktam iesniegto deklarāciju Eiropas Savienības Tiesa ir nospriedusi, </w:t>
      </w:r>
      <w:r w:rsidRPr="00665AED">
        <w:rPr>
          <w:rFonts w:asciiTheme="majorBidi" w:hAnsiTheme="majorBidi" w:cstheme="majorBidi"/>
        </w:rPr>
        <w:t>ka</w:t>
      </w:r>
      <w:r w:rsidR="003A0A75" w:rsidRPr="00665AED">
        <w:t xml:space="preserve"> šī deklarācija rada pieņēmumu, ka valsts tiesību akti, par kuriem ir sniegtas deklarācijas atbilstoši Regulas Nr. 883/2004 9.pantam, ietilpst šīs regulas materiālajā piemērošanas jomā, un principā ir saistoša citām dalībvalstīm. </w:t>
      </w:r>
      <w:r w:rsidR="00D36709">
        <w:t>Taču</w:t>
      </w:r>
      <w:r w:rsidR="003A0A75" w:rsidRPr="00665AED">
        <w:t xml:space="preserve"> tas, ka valsts likums vai regulējums nav ticis minēts deklarācijā, kas paredzēta Regulas Nr. 883/2004 9.pantā, pats par sevi nenozīmē, ka šis likums vai regulējums neietilpst šīs regulas piemērošanas jomā. Proti, Eiropas Savienības Tiesa ir vairākkārt nospriedusi, ka atšķirība starp pabalstiem, uz kuriem neattiecas Regulas Nr. 883/2004 piemērošanas joma, un pabalstiem, uz kuriem tā attiecas, galvenokārt pamatojas uz katra pabalsta būtiskajām iezīmēm, it īpaši uz tā mērķiem un piešķiršanas nosacījumiem, nevis uz to, ka pabalsts valsts tiesību aktā ir vai nav kvalificēts kā sociālā nodrošinājuma pabalsts (</w:t>
      </w:r>
      <w:r w:rsidR="00B6699F" w:rsidRPr="00665AED">
        <w:rPr>
          <w:rFonts w:asciiTheme="majorBidi" w:hAnsiTheme="majorBidi" w:cstheme="majorBidi"/>
          <w:i/>
          <w:iCs/>
        </w:rPr>
        <w:t xml:space="preserve">Eiropas Savienības Tiesas 2018.gada 30.maija sprieduma lietā „Czerwiński”, </w:t>
      </w:r>
      <w:r w:rsidR="00B6699F" w:rsidRPr="002A7952">
        <w:rPr>
          <w:rFonts w:asciiTheme="majorBidi" w:hAnsiTheme="majorBidi" w:cstheme="majorBidi"/>
          <w:i/>
          <w:iCs/>
        </w:rPr>
        <w:t>C-517/16,</w:t>
      </w:r>
      <w:r w:rsidR="002A7952">
        <w:rPr>
          <w:rFonts w:asciiTheme="majorBidi" w:hAnsiTheme="majorBidi" w:cstheme="majorBidi"/>
          <w:i/>
          <w:iCs/>
        </w:rPr>
        <w:t xml:space="preserve"> </w:t>
      </w:r>
      <w:hyperlink r:id="rId16" w:history="1">
        <w:r w:rsidR="00B6699F" w:rsidRPr="002A7952">
          <w:rPr>
            <w:rStyle w:val="Hyperlink"/>
            <w:rFonts w:asciiTheme="majorBidi" w:hAnsiTheme="majorBidi" w:cstheme="majorBidi"/>
            <w:i/>
            <w:iCs/>
          </w:rPr>
          <w:t>ECLI:EU:C:2018:350</w:t>
        </w:r>
      </w:hyperlink>
      <w:r w:rsidR="00B6699F" w:rsidRPr="002A7952">
        <w:rPr>
          <w:rFonts w:asciiTheme="majorBidi" w:hAnsiTheme="majorBidi" w:cstheme="majorBidi"/>
          <w:i/>
          <w:iCs/>
        </w:rPr>
        <w:t>, 31.</w:t>
      </w:r>
      <w:r w:rsidR="002A7952" w:rsidRPr="002A7952">
        <w:rPr>
          <w:i/>
          <w:iCs/>
        </w:rPr>
        <w:t>–</w:t>
      </w:r>
      <w:r w:rsidR="00B6699F" w:rsidRPr="002A7952">
        <w:rPr>
          <w:rFonts w:asciiTheme="majorBidi" w:hAnsiTheme="majorBidi" w:cstheme="majorBidi"/>
          <w:i/>
          <w:iCs/>
        </w:rPr>
        <w:t xml:space="preserve">33.punkts un </w:t>
      </w:r>
      <w:r w:rsidR="003A0A75" w:rsidRPr="002A7952">
        <w:rPr>
          <w:i/>
          <w:iCs/>
        </w:rPr>
        <w:t>tajā minētā judikatūra</w:t>
      </w:r>
      <w:r w:rsidR="003A0A75" w:rsidRPr="002A7952">
        <w:t>).</w:t>
      </w:r>
    </w:p>
    <w:p w14:paraId="17652EE2" w14:textId="2C8BCB68" w:rsidR="00E70B6C" w:rsidRPr="00665AED" w:rsidRDefault="00B6699F" w:rsidP="00BD1472">
      <w:pPr>
        <w:spacing w:line="276" w:lineRule="auto"/>
        <w:ind w:firstLine="720"/>
        <w:jc w:val="both"/>
        <w:rPr>
          <w:rFonts w:asciiTheme="majorBidi" w:hAnsiTheme="majorBidi" w:cstheme="majorBidi"/>
        </w:rPr>
      </w:pPr>
      <w:r w:rsidRPr="00665AED">
        <w:rPr>
          <w:rFonts w:asciiTheme="majorBidi" w:hAnsiTheme="majorBidi" w:cstheme="majorBidi"/>
        </w:rPr>
        <w:t>Tāpat Eiropas Savienības Tiesa ir norādījusi</w:t>
      </w:r>
      <w:r w:rsidR="00D36709">
        <w:rPr>
          <w:rFonts w:asciiTheme="majorBidi" w:hAnsiTheme="majorBidi" w:cstheme="majorBidi"/>
        </w:rPr>
        <w:t>:</w:t>
      </w:r>
      <w:r w:rsidRPr="00665AED">
        <w:rPr>
          <w:rFonts w:asciiTheme="majorBidi" w:hAnsiTheme="majorBidi" w:cstheme="majorBidi"/>
        </w:rPr>
        <w:t xml:space="preserve"> tā kā s</w:t>
      </w:r>
      <w:r w:rsidR="003A0A75" w:rsidRPr="00665AED">
        <w:rPr>
          <w:rFonts w:asciiTheme="majorBidi" w:hAnsiTheme="majorBidi" w:cstheme="majorBidi"/>
        </w:rPr>
        <w:t>ociālā pabalsta klasificēšana Regulas Nr. 883/2004 izpratnē ir jāveic attiecīgajai valsts tiesai</w:t>
      </w:r>
      <w:r w:rsidR="00A368D0" w:rsidRPr="00665AED">
        <w:rPr>
          <w:rFonts w:asciiTheme="majorBidi" w:hAnsiTheme="majorBidi" w:cstheme="majorBidi"/>
        </w:rPr>
        <w:t xml:space="preserve"> </w:t>
      </w:r>
      <w:r w:rsidR="003A0A75" w:rsidRPr="00665AED">
        <w:rPr>
          <w:rFonts w:asciiTheme="majorBidi" w:hAnsiTheme="majorBidi" w:cstheme="majorBidi"/>
        </w:rPr>
        <w:t>– un tas ir jādara autonomi, ņemot vērā attiecīgo sociālo pabalstu veidojošos elementus, vajadzības gadījumā vēršoties Tiesā ar prejudiciālu jautājumu</w:t>
      </w:r>
      <w:r w:rsidR="00A368D0" w:rsidRPr="00665AED">
        <w:rPr>
          <w:rFonts w:asciiTheme="majorBidi" w:hAnsiTheme="majorBidi" w:cstheme="majorBidi"/>
        </w:rPr>
        <w:t xml:space="preserve"> </w:t>
      </w:r>
      <w:r w:rsidR="003A0A75" w:rsidRPr="00665AED">
        <w:rPr>
          <w:rFonts w:asciiTheme="majorBidi" w:hAnsiTheme="majorBidi" w:cstheme="majorBidi"/>
        </w:rPr>
        <w:t>–, sociālo pabalstu klasifikācija, ko kompetentā valsts iestāde ir veikusi deklarācijā, kas iesniegta atbilstoši minētās regulas 9.pantam, nevar būt galīga</w:t>
      </w:r>
      <w:r w:rsidRPr="00665AED">
        <w:rPr>
          <w:rFonts w:asciiTheme="majorBidi" w:hAnsiTheme="majorBidi" w:cstheme="majorBidi"/>
        </w:rPr>
        <w:t xml:space="preserve"> (</w:t>
      </w:r>
      <w:r w:rsidRPr="00665AED">
        <w:rPr>
          <w:rFonts w:asciiTheme="majorBidi" w:hAnsiTheme="majorBidi" w:cstheme="majorBidi"/>
          <w:i/>
          <w:iCs/>
        </w:rPr>
        <w:t>turpat</w:t>
      </w:r>
      <w:r w:rsidR="006975A1">
        <w:rPr>
          <w:rFonts w:asciiTheme="majorBidi" w:hAnsiTheme="majorBidi" w:cstheme="majorBidi"/>
          <w:i/>
          <w:iCs/>
        </w:rPr>
        <w:t>,</w:t>
      </w:r>
      <w:r w:rsidRPr="00665AED">
        <w:rPr>
          <w:rFonts w:asciiTheme="majorBidi" w:hAnsiTheme="majorBidi" w:cstheme="majorBidi"/>
          <w:i/>
          <w:iCs/>
        </w:rPr>
        <w:t xml:space="preserve"> 38.punkts</w:t>
      </w:r>
      <w:r w:rsidRPr="00665AED">
        <w:rPr>
          <w:rFonts w:asciiTheme="majorBidi" w:hAnsiTheme="majorBidi" w:cstheme="majorBidi"/>
        </w:rPr>
        <w:t>)</w:t>
      </w:r>
      <w:r w:rsidR="003A0A75" w:rsidRPr="00665AED">
        <w:rPr>
          <w:rFonts w:asciiTheme="majorBidi" w:hAnsiTheme="majorBidi" w:cstheme="majorBidi"/>
        </w:rPr>
        <w:t>.</w:t>
      </w:r>
    </w:p>
    <w:p w14:paraId="0972066E" w14:textId="77777777" w:rsidR="00F17D40" w:rsidRDefault="00F17D40" w:rsidP="00BD1472">
      <w:pPr>
        <w:spacing w:line="276" w:lineRule="auto"/>
        <w:ind w:firstLine="720"/>
        <w:jc w:val="both"/>
        <w:rPr>
          <w:rFonts w:asciiTheme="majorBidi" w:hAnsiTheme="majorBidi" w:cstheme="majorBidi"/>
        </w:rPr>
      </w:pPr>
    </w:p>
    <w:p w14:paraId="23F8BE87" w14:textId="0D9EB5CD" w:rsidR="00125669" w:rsidRPr="00267D22" w:rsidRDefault="00F17D40" w:rsidP="00BD1472">
      <w:pPr>
        <w:spacing w:line="276" w:lineRule="auto"/>
        <w:ind w:firstLine="720"/>
        <w:jc w:val="both"/>
        <w:rPr>
          <w:rFonts w:asciiTheme="majorBidi" w:hAnsiTheme="majorBidi" w:cstheme="majorBidi"/>
        </w:rPr>
      </w:pPr>
      <w:r>
        <w:rPr>
          <w:rFonts w:asciiTheme="majorBidi" w:hAnsiTheme="majorBidi" w:cstheme="majorBidi"/>
        </w:rPr>
        <w:t>[13] </w:t>
      </w:r>
      <w:r w:rsidR="00125669">
        <w:rPr>
          <w:rFonts w:asciiTheme="majorBidi" w:hAnsiTheme="majorBidi" w:cstheme="majorBidi"/>
        </w:rPr>
        <w:t xml:space="preserve">Eiropas Savienības Tiesa </w:t>
      </w:r>
      <w:r w:rsidR="00125669" w:rsidRPr="00897214">
        <w:rPr>
          <w:rFonts w:asciiTheme="majorBidi" w:hAnsiTheme="majorBidi" w:cstheme="majorBidi"/>
        </w:rPr>
        <w:t xml:space="preserve">2018.gada 30.maija </w:t>
      </w:r>
      <w:r w:rsidR="00125669">
        <w:rPr>
          <w:rFonts w:asciiTheme="majorBidi" w:hAnsiTheme="majorBidi" w:cstheme="majorBidi"/>
        </w:rPr>
        <w:t xml:space="preserve">spriedumā </w:t>
      </w:r>
      <w:r w:rsidR="00125669" w:rsidRPr="00897214">
        <w:rPr>
          <w:rFonts w:asciiTheme="majorBidi" w:hAnsiTheme="majorBidi" w:cstheme="majorBidi"/>
        </w:rPr>
        <w:t>lietā „Czerwiński”, C</w:t>
      </w:r>
      <w:r w:rsidR="00A368D0">
        <w:rPr>
          <w:rFonts w:asciiTheme="majorBidi" w:hAnsiTheme="majorBidi" w:cstheme="majorBidi"/>
        </w:rPr>
        <w:noBreakHyphen/>
      </w:r>
      <w:r w:rsidR="00125669" w:rsidRPr="00897214">
        <w:rPr>
          <w:rFonts w:asciiTheme="majorBidi" w:hAnsiTheme="majorBidi" w:cstheme="majorBidi"/>
        </w:rPr>
        <w:t>17/16,</w:t>
      </w:r>
      <w:r w:rsidR="00A368D0">
        <w:rPr>
          <w:rFonts w:asciiTheme="majorBidi" w:hAnsiTheme="majorBidi" w:cstheme="majorBidi"/>
        </w:rPr>
        <w:t xml:space="preserve"> </w:t>
      </w:r>
      <w:hyperlink r:id="rId17" w:history="1">
        <w:r w:rsidR="00125669" w:rsidRPr="008A5ADE">
          <w:rPr>
            <w:rStyle w:val="Hyperlink"/>
            <w:rFonts w:asciiTheme="majorBidi" w:hAnsiTheme="majorBidi" w:cstheme="majorBidi"/>
          </w:rPr>
          <w:t>ECLI:EU:C:2018:350</w:t>
        </w:r>
      </w:hyperlink>
      <w:r w:rsidR="00A368D0">
        <w:t>,</w:t>
      </w:r>
      <w:r w:rsidR="00125669" w:rsidRPr="008A5ADE">
        <w:rPr>
          <w:rFonts w:asciiTheme="majorBidi" w:hAnsiTheme="majorBidi" w:cstheme="majorBidi"/>
        </w:rPr>
        <w:t xml:space="preserve"> </w:t>
      </w:r>
      <w:r w:rsidR="00125669">
        <w:rPr>
          <w:rFonts w:asciiTheme="majorBidi" w:hAnsiTheme="majorBidi" w:cstheme="majorBidi"/>
        </w:rPr>
        <w:t xml:space="preserve">skaidroja sociālā nodrošinājuma pabalsta kvalifikācijas metodoloģiju un analizēja </w:t>
      </w:r>
      <w:r w:rsidR="00125669" w:rsidRPr="00A5405E">
        <w:rPr>
          <w:rFonts w:asciiTheme="majorBidi" w:hAnsiTheme="majorBidi" w:cstheme="majorBidi"/>
        </w:rPr>
        <w:t>„</w:t>
      </w:r>
      <w:r w:rsidR="00125669" w:rsidRPr="00F17D40">
        <w:rPr>
          <w:rFonts w:asciiTheme="majorBidi" w:hAnsiTheme="majorBidi" w:cstheme="majorBidi"/>
        </w:rPr>
        <w:t>vecuma pabalsta” un „pirmspensijas pabalsta</w:t>
      </w:r>
      <w:r w:rsidR="00125669" w:rsidRPr="00A5405E">
        <w:rPr>
          <w:rFonts w:asciiTheme="majorBidi" w:hAnsiTheme="majorBidi" w:cstheme="majorBidi"/>
        </w:rPr>
        <w:t>”</w:t>
      </w:r>
      <w:r w:rsidR="00125669">
        <w:rPr>
          <w:rFonts w:asciiTheme="majorBidi" w:hAnsiTheme="majorBidi" w:cstheme="majorBidi"/>
        </w:rPr>
        <w:t xml:space="preserve"> atšķirības.</w:t>
      </w:r>
    </w:p>
    <w:p w14:paraId="24BCF364" w14:textId="0598E3DB" w:rsidR="00897214" w:rsidRDefault="00897214" w:rsidP="00BD1472">
      <w:pPr>
        <w:spacing w:line="276" w:lineRule="auto"/>
        <w:ind w:firstLine="720"/>
        <w:jc w:val="both"/>
        <w:rPr>
          <w:rFonts w:asciiTheme="majorBidi" w:hAnsiTheme="majorBidi" w:cstheme="majorBidi"/>
        </w:rPr>
      </w:pPr>
      <w:r w:rsidRPr="00665AED">
        <w:rPr>
          <w:rFonts w:asciiTheme="majorBidi" w:hAnsiTheme="majorBidi" w:cstheme="majorBidi"/>
        </w:rPr>
        <w:t>Eiropas Savienības Tiesa norādīj</w:t>
      </w:r>
      <w:r w:rsidR="00F17D40" w:rsidRPr="00665AED">
        <w:rPr>
          <w:rFonts w:asciiTheme="majorBidi" w:hAnsiTheme="majorBidi" w:cstheme="majorBidi"/>
        </w:rPr>
        <w:t>a</w:t>
      </w:r>
      <w:r w:rsidRPr="00665AED">
        <w:rPr>
          <w:rFonts w:asciiTheme="majorBidi" w:hAnsiTheme="majorBidi" w:cstheme="majorBidi"/>
        </w:rPr>
        <w:t>, ka saskaņā ar pastāvīgo judikatūru sociālā nodrošinājuma pabalstiem – neatkarīgi no iezīmēm, kas raksturīgas katras valsts tiesību aktiem, – ir jātiek uzskatītiem par tāda paša veida pabalstiem, ja to nolūks un mērķis, kā arī aprēķina bāze un piešķiršanas nosacījumi ir identiski. Savukārt iezīmes, kas ir tikai formālas, nevar tikt uzskatītas par klasifikācijai būtiskiem kritērijiem</w:t>
      </w:r>
      <w:r w:rsidR="001D10BF" w:rsidRPr="00665AED">
        <w:rPr>
          <w:rFonts w:asciiTheme="majorBidi" w:hAnsiTheme="majorBidi" w:cstheme="majorBidi"/>
        </w:rPr>
        <w:t>. Lai nošķirtu dažādas sociālā nodrošinājuma pabalstu kategorijas, ir jāņem vērā risks, uz kuru attiecas katrs pabalsts</w:t>
      </w:r>
      <w:r w:rsidRPr="00665AED">
        <w:rPr>
          <w:rFonts w:asciiTheme="majorBidi" w:hAnsiTheme="majorBidi" w:cstheme="majorBidi"/>
        </w:rPr>
        <w:t xml:space="preserve"> (</w:t>
      </w:r>
      <w:r w:rsidR="001D10BF" w:rsidRPr="00665AED">
        <w:rPr>
          <w:rFonts w:asciiTheme="majorBidi" w:hAnsiTheme="majorBidi" w:cstheme="majorBidi"/>
          <w:i/>
          <w:iCs/>
        </w:rPr>
        <w:t>Eiropas Savienības Tiesas 2018.gada 30.maija sprieduma lietā „Czerwiński</w:t>
      </w:r>
      <w:r w:rsidR="001D10BF" w:rsidRPr="00A368D0">
        <w:rPr>
          <w:rFonts w:asciiTheme="majorBidi" w:hAnsiTheme="majorBidi" w:cstheme="majorBidi"/>
          <w:i/>
          <w:iCs/>
        </w:rPr>
        <w:t>”, C-517/16,</w:t>
      </w:r>
      <w:r w:rsidR="001D10BF" w:rsidRPr="00A368D0">
        <w:rPr>
          <w:rFonts w:asciiTheme="majorBidi" w:hAnsiTheme="majorBidi" w:cstheme="majorBidi"/>
          <w:b/>
          <w:bCs/>
          <w:i/>
          <w:iCs/>
        </w:rPr>
        <w:t xml:space="preserve"> </w:t>
      </w:r>
      <w:hyperlink r:id="rId18" w:history="1">
        <w:r w:rsidR="001D10BF" w:rsidRPr="00A368D0">
          <w:rPr>
            <w:rStyle w:val="Hyperlink"/>
            <w:rFonts w:asciiTheme="majorBidi" w:hAnsiTheme="majorBidi" w:cstheme="majorBidi"/>
            <w:i/>
            <w:iCs/>
          </w:rPr>
          <w:t>ECLI:EU:C:2018:350</w:t>
        </w:r>
      </w:hyperlink>
      <w:r w:rsidR="001D10BF" w:rsidRPr="00A368D0">
        <w:rPr>
          <w:rFonts w:asciiTheme="majorBidi" w:hAnsiTheme="majorBidi" w:cstheme="majorBidi"/>
          <w:i/>
          <w:iCs/>
        </w:rPr>
        <w:t>,</w:t>
      </w:r>
      <w:r w:rsidRPr="00A368D0">
        <w:rPr>
          <w:rFonts w:asciiTheme="majorBidi" w:hAnsiTheme="majorBidi" w:cstheme="majorBidi"/>
          <w:i/>
          <w:iCs/>
        </w:rPr>
        <w:t xml:space="preserve"> 43.</w:t>
      </w:r>
      <w:r w:rsidR="00A368D0" w:rsidRPr="002A7952">
        <w:rPr>
          <w:i/>
          <w:iCs/>
        </w:rPr>
        <w:t>–</w:t>
      </w:r>
      <w:r w:rsidR="001D10BF" w:rsidRPr="00A368D0">
        <w:rPr>
          <w:rFonts w:asciiTheme="majorBidi" w:hAnsiTheme="majorBidi" w:cstheme="majorBidi"/>
          <w:i/>
          <w:iCs/>
        </w:rPr>
        <w:t>44.</w:t>
      </w:r>
      <w:r w:rsidRPr="00A368D0">
        <w:rPr>
          <w:rFonts w:asciiTheme="majorBidi" w:hAnsiTheme="majorBidi" w:cstheme="majorBidi"/>
          <w:i/>
          <w:iCs/>
        </w:rPr>
        <w:t>punkts</w:t>
      </w:r>
      <w:r w:rsidR="001D10BF" w:rsidRPr="00A368D0">
        <w:rPr>
          <w:rFonts w:asciiTheme="majorBidi" w:hAnsiTheme="majorBidi" w:cstheme="majorBidi"/>
          <w:i/>
          <w:iCs/>
        </w:rPr>
        <w:t xml:space="preserve"> un tajā minētā judikatūra</w:t>
      </w:r>
      <w:r w:rsidRPr="00A368D0">
        <w:rPr>
          <w:rFonts w:asciiTheme="majorBidi" w:hAnsiTheme="majorBidi" w:cstheme="majorBidi"/>
        </w:rPr>
        <w:t>).</w:t>
      </w:r>
    </w:p>
    <w:p w14:paraId="4BC0BC5E" w14:textId="047307A3" w:rsidR="00F02C7D" w:rsidRPr="00665AED" w:rsidRDefault="00F02C7D" w:rsidP="00BD1472">
      <w:pPr>
        <w:spacing w:line="276" w:lineRule="auto"/>
        <w:ind w:firstLine="720"/>
        <w:jc w:val="both"/>
      </w:pPr>
      <w:r w:rsidRPr="00805CEE">
        <w:t>Regulas Nr. </w:t>
      </w:r>
      <w:r w:rsidRPr="00665AED">
        <w:t>883/2004 3.panta 1.punkta „d” apakšpunktā norādītos vecuma pabalstus galvenokārt raksturo tas, ka to mērķis ir nodrošināt tādu personu iztikas līdzekļus, kuras, sasniedzot zināmu vecumu, atstāj darbu un kurām vairs nav pienākuma būt pieejamām nodarbinātības administrācijai (</w:t>
      </w:r>
      <w:r w:rsidR="00F17D40" w:rsidRPr="00665AED">
        <w:rPr>
          <w:i/>
          <w:iCs/>
        </w:rPr>
        <w:t xml:space="preserve">turpat, </w:t>
      </w:r>
      <w:r w:rsidRPr="00665AED">
        <w:rPr>
          <w:i/>
          <w:iCs/>
        </w:rPr>
        <w:t>45.punkts un tajā minētā judikatūra</w:t>
      </w:r>
      <w:r w:rsidRPr="00665AED">
        <w:t>).</w:t>
      </w:r>
    </w:p>
    <w:p w14:paraId="278284AA" w14:textId="62FDFB30" w:rsidR="00F02C7D" w:rsidRPr="00665AED" w:rsidRDefault="00F02C7D" w:rsidP="00BD1472">
      <w:pPr>
        <w:spacing w:line="276" w:lineRule="auto"/>
        <w:ind w:firstLine="720"/>
        <w:jc w:val="both"/>
      </w:pPr>
      <w:r w:rsidRPr="00665AED">
        <w:t>Turpretī pirmspensijas pabalsti, pat ja tiem ir zināma līdzība ar vecuma pabalstiem attiecībā uz to priekšmetu un mērķi, proti, tostarp nodrošināt iztikas līdzekļus personām, kuras ir sasniegušas zināmu vecumu, no vecuma pabalstiem atšķiras tostarp tādā ziņā, ka to mērķis ir saistīts ar nodarbinātības politiku, palīdzot atbrīvot darba vietas, ko ieņem darbinieki, kam tuvojas pensijas vecums, par labu jauniešiem bez darba, kas ir mērķis, kurš radies saistībā ar ekonomikas krīzi, kas skārusi Eiropu. Tāpat, ja uzņēmums izbeidz saimniecisko darbību, šāda pabalsta piešķiršana veicina atlaisto darbinieku, kam tiek piemērota bezdarba apdrošināšanas shēma, skaita samazināšanu (</w:t>
      </w:r>
      <w:r w:rsidR="00F17D40" w:rsidRPr="00665AED">
        <w:rPr>
          <w:i/>
          <w:iCs/>
        </w:rPr>
        <w:t xml:space="preserve">turpat, </w:t>
      </w:r>
      <w:r w:rsidRPr="00665AED">
        <w:rPr>
          <w:i/>
          <w:iCs/>
        </w:rPr>
        <w:t>46.punkts un tajā minētā judikatūra</w:t>
      </w:r>
      <w:r w:rsidRPr="00665AED">
        <w:t>). Līdz ar to pirmspensijas pabalsti ir saistīti arī ar ekonomikas krīzes, pārstrukturēšanas, atlaišanas un racionalizācijas kontekstu (</w:t>
      </w:r>
      <w:r w:rsidR="00F17D40" w:rsidRPr="00665AED">
        <w:rPr>
          <w:i/>
          <w:iCs/>
        </w:rPr>
        <w:t xml:space="preserve">turpat, </w:t>
      </w:r>
      <w:r w:rsidRPr="00665AED">
        <w:rPr>
          <w:i/>
          <w:iCs/>
        </w:rPr>
        <w:t>47.punkts</w:t>
      </w:r>
      <w:r w:rsidRPr="00665AED">
        <w:t>).</w:t>
      </w:r>
    </w:p>
    <w:p w14:paraId="381B96D0" w14:textId="1F1B6E58" w:rsidR="00F02C7D" w:rsidRPr="00665AED" w:rsidRDefault="00F02C7D" w:rsidP="00BD1472">
      <w:pPr>
        <w:spacing w:line="276" w:lineRule="auto"/>
        <w:ind w:firstLine="720"/>
        <w:jc w:val="both"/>
      </w:pPr>
      <w:r w:rsidRPr="00665AED">
        <w:t>Turklāt saskaņā ar Regulas Nr. 883/2004 3.panta 1.punkta „x” apakšpunktā ietverto pirmspensijas pabalsta definīciju „pirmspensijas pabalsts” atšķiras no „priekšlaicīga vecuma pabalsta” ar to, ka šis pēdējais minētais tiek piešķirts, pirms attiecīgā persona ir sasniegusi parasto vecumu, lai saņemtu vecuma pensiju, un ko vai nu turpina nodrošināt, kad ir sasniegts minētais vecums, vai aizstāj ar citu vecuma pabalstu (</w:t>
      </w:r>
      <w:r w:rsidR="003A7B21" w:rsidRPr="00665AED">
        <w:rPr>
          <w:i/>
          <w:iCs/>
        </w:rPr>
        <w:t xml:space="preserve">turpat, </w:t>
      </w:r>
      <w:r w:rsidRPr="00665AED">
        <w:rPr>
          <w:i/>
          <w:iCs/>
        </w:rPr>
        <w:t>49.punkts</w:t>
      </w:r>
      <w:r w:rsidRPr="00665AED">
        <w:t>)</w:t>
      </w:r>
      <w:r w:rsidR="00C003E9" w:rsidRPr="00665AED">
        <w:t>.</w:t>
      </w:r>
    </w:p>
    <w:p w14:paraId="5C782C80" w14:textId="77777777" w:rsidR="003A7B21" w:rsidRPr="00665AED" w:rsidRDefault="003A7B21" w:rsidP="00BD1472">
      <w:pPr>
        <w:spacing w:line="276" w:lineRule="auto"/>
        <w:ind w:firstLine="720"/>
        <w:jc w:val="both"/>
      </w:pPr>
    </w:p>
    <w:p w14:paraId="4F16AD65" w14:textId="77777777" w:rsidR="00A95BDD" w:rsidRPr="00665AED" w:rsidRDefault="00A95BDD" w:rsidP="00BD1472">
      <w:pPr>
        <w:spacing w:line="276" w:lineRule="auto"/>
        <w:ind w:firstLine="720"/>
        <w:jc w:val="both"/>
        <w:rPr>
          <w:rFonts w:asciiTheme="majorBidi" w:hAnsiTheme="majorBidi" w:cstheme="majorBidi"/>
          <w:i/>
          <w:iCs/>
        </w:rPr>
      </w:pPr>
      <w:r w:rsidRPr="00665AED">
        <w:rPr>
          <w:rFonts w:asciiTheme="majorBidi" w:hAnsiTheme="majorBidi" w:cstheme="majorBidi"/>
          <w:i/>
          <w:iCs/>
        </w:rPr>
        <w:t>Par līgumiem ar Apvienoto Karalisti</w:t>
      </w:r>
    </w:p>
    <w:p w14:paraId="3406D695" w14:textId="395BB916" w:rsidR="00A95BDD" w:rsidRPr="00665AED" w:rsidRDefault="00A95BDD" w:rsidP="00BD1472">
      <w:pPr>
        <w:spacing w:line="276" w:lineRule="auto"/>
        <w:ind w:firstLine="720"/>
        <w:jc w:val="both"/>
        <w:rPr>
          <w:rFonts w:asciiTheme="majorBidi" w:hAnsiTheme="majorBidi" w:cstheme="majorBidi"/>
        </w:rPr>
      </w:pPr>
      <w:r w:rsidRPr="00665AED">
        <w:rPr>
          <w:rFonts w:asciiTheme="majorBidi" w:hAnsiTheme="majorBidi" w:cstheme="majorBidi"/>
        </w:rPr>
        <w:t>[</w:t>
      </w:r>
      <w:r w:rsidR="003A7B21" w:rsidRPr="00665AED">
        <w:rPr>
          <w:rFonts w:asciiTheme="majorBidi" w:hAnsiTheme="majorBidi" w:cstheme="majorBidi"/>
        </w:rPr>
        <w:t>14</w:t>
      </w:r>
      <w:r w:rsidRPr="00665AED">
        <w:rPr>
          <w:rFonts w:asciiTheme="majorBidi" w:hAnsiTheme="majorBidi" w:cstheme="majorBidi"/>
        </w:rPr>
        <w:t>] T</w:t>
      </w:r>
      <w:r w:rsidR="002E4B27" w:rsidRPr="00665AED">
        <w:rPr>
          <w:rFonts w:asciiTheme="majorBidi" w:hAnsiTheme="majorBidi" w:cstheme="majorBidi"/>
        </w:rPr>
        <w:t>aču</w:t>
      </w:r>
      <w:r w:rsidR="00D36709">
        <w:rPr>
          <w:rFonts w:asciiTheme="majorBidi" w:hAnsiTheme="majorBidi" w:cstheme="majorBidi"/>
        </w:rPr>
        <w:t>,</w:t>
      </w:r>
      <w:r w:rsidR="002E4B27" w:rsidRPr="00665AED">
        <w:rPr>
          <w:rFonts w:asciiTheme="majorBidi" w:hAnsiTheme="majorBidi" w:cstheme="majorBidi"/>
        </w:rPr>
        <w:t xml:space="preserve"> t</w:t>
      </w:r>
      <w:r w:rsidRPr="00665AED">
        <w:rPr>
          <w:rFonts w:asciiTheme="majorBidi" w:hAnsiTheme="majorBidi" w:cstheme="majorBidi"/>
        </w:rPr>
        <w:t>ā kā lietā ir strīds par pieteicēja apdrošināšanas stāžu Apvienotajā Karalistē, tad ir jāņem vērā, ka Apvienotā Karaliste ir izstājusies no Eiropas Savienības.</w:t>
      </w:r>
    </w:p>
    <w:p w14:paraId="0562D245" w14:textId="77941F9E" w:rsidR="00A95BDD" w:rsidRPr="00665AED" w:rsidRDefault="00A95BDD" w:rsidP="00BD1472">
      <w:pPr>
        <w:spacing w:line="276" w:lineRule="auto"/>
        <w:ind w:firstLine="720"/>
        <w:jc w:val="both"/>
        <w:rPr>
          <w:rFonts w:asciiTheme="majorBidi" w:hAnsiTheme="majorBidi" w:cstheme="majorBidi"/>
        </w:rPr>
      </w:pPr>
      <w:r w:rsidRPr="00665AED">
        <w:rPr>
          <w:rFonts w:asciiTheme="majorBidi" w:hAnsiTheme="majorBidi" w:cstheme="majorBidi"/>
        </w:rPr>
        <w:t xml:space="preserve">Proti, 2020.gada 31.janvārī, kad stājās spēkā </w:t>
      </w:r>
      <w:hyperlink r:id="rId19" w:history="1">
        <w:r w:rsidRPr="00665AED">
          <w:rPr>
            <w:rStyle w:val="Hyperlink"/>
            <w:rFonts w:asciiTheme="majorBidi" w:hAnsiTheme="majorBidi" w:cstheme="majorBidi"/>
            <w:color w:val="auto"/>
            <w:u w:val="none"/>
          </w:rPr>
          <w:t>Līgums par Lielbritānijas un Ziemeļīrijas Apvienotās Karalistes izstāšanos no Eiropas Savienības un Eiropas Atomenerģijas kopienas</w:t>
        </w:r>
      </w:hyperlink>
      <w:r w:rsidRPr="00665AED">
        <w:rPr>
          <w:rFonts w:asciiTheme="majorBidi" w:hAnsiTheme="majorBidi" w:cstheme="majorBidi"/>
        </w:rPr>
        <w:t xml:space="preserve"> (2019/C 384 I/01) (turpmāk – Izstāšanās līgums), Apvienotā Karaliste izstājās no Eiropas Savienības un kļuva par trešo valsti. Tas bija arī sākums pārejas periodam, kas ilga līdz 2020.gada 31.decembrim. Izstāšanās līguma III sadaļā bija ietverti nosacījumi par Sociālās nodrošinājuma sistēmu koordināciju (30.–36.pants), kas cita starpā saturēja tiešu atsauci uz R</w:t>
      </w:r>
      <w:r w:rsidRPr="00665AED">
        <w:t>egulu Nr. 883/2004, proti, noteica, ka tās noteikumi pārejas periodā vēl arvien ir piemērojami.</w:t>
      </w:r>
    </w:p>
    <w:p w14:paraId="3B296720" w14:textId="18B1D5E3" w:rsidR="00A95BDD" w:rsidRPr="00665AED" w:rsidRDefault="00A95BDD" w:rsidP="00BD1472">
      <w:pPr>
        <w:spacing w:line="276" w:lineRule="auto"/>
        <w:ind w:firstLine="720"/>
        <w:jc w:val="both"/>
      </w:pPr>
      <w:r w:rsidRPr="00665AED">
        <w:t xml:space="preserve">2020.gada 24.decembrī Eiropas Savienība un Apvienotā Karaliste vienojās par </w:t>
      </w:r>
      <w:hyperlink r:id="rId20" w:history="1">
        <w:r w:rsidRPr="00665AED">
          <w:rPr>
            <w:rStyle w:val="Hyperlink"/>
            <w:color w:val="auto"/>
            <w:u w:val="none"/>
          </w:rPr>
          <w:t>Tirdzniecības un sadarbības nolīgumu starp Eiropas Savienību un Eiropas Atomenerģijas kopienu, no vienas puses, un Lielbritānijas un Ziemeļīrijas Apvienoto Karalisti, no otras puses</w:t>
        </w:r>
      </w:hyperlink>
      <w:r w:rsidRPr="00665AED">
        <w:t xml:space="preserve"> (turpmāk – Tirdzniecības un sadarbības nolīgums). Šis līgums</w:t>
      </w:r>
      <w:r w:rsidR="00A368D0" w:rsidRPr="00665AED">
        <w:t xml:space="preserve"> </w:t>
      </w:r>
      <w:r w:rsidRPr="00665AED">
        <w:t>ir turpinājums Izstāšanās līgumam.</w:t>
      </w:r>
    </w:p>
    <w:p w14:paraId="3E660A18" w14:textId="0EA500D9" w:rsidR="00A95BDD" w:rsidRPr="00665AED" w:rsidRDefault="00A95BDD" w:rsidP="00BD1472">
      <w:pPr>
        <w:spacing w:line="276" w:lineRule="auto"/>
        <w:ind w:firstLine="720"/>
        <w:jc w:val="both"/>
      </w:pPr>
      <w:r w:rsidRPr="00665AED">
        <w:t xml:space="preserve">Tirdzniecības un sadarbības nolīgumā ir noregulēta dažu sociālā nodrošinājuma pabalstu koordinēšana (vecuma un apgādnieka zaudējuma pensija, priekšlaicīga pensionēšanās, veselības aprūpe, maternitāte un paternitāte, negadījumi darbā). Taču atšķirībā no Izstāšanās līgumā tajā vairs nav iekļauta norāde par Regulas Nr. 883/2004 piemērojamību. </w:t>
      </w:r>
      <w:r w:rsidRPr="00665AED">
        <w:rPr>
          <w:rFonts w:asciiTheme="majorBidi" w:hAnsiTheme="majorBidi" w:cstheme="majorBidi"/>
        </w:rPr>
        <w:t>Tādējādi attiecības starp Latviju un Apvienoto Karalisti sociālā nodrošinājuma koordinācij</w:t>
      </w:r>
      <w:r w:rsidR="00FE41EE">
        <w:rPr>
          <w:rFonts w:asciiTheme="majorBidi" w:hAnsiTheme="majorBidi" w:cstheme="majorBidi"/>
        </w:rPr>
        <w:t>u</w:t>
      </w:r>
      <w:r w:rsidRPr="00665AED">
        <w:rPr>
          <w:rFonts w:asciiTheme="majorBidi" w:hAnsiTheme="majorBidi" w:cstheme="majorBidi"/>
        </w:rPr>
        <w:t xml:space="preserve"> šobrīd</w:t>
      </w:r>
      <w:r w:rsidRPr="00665AED">
        <w:t xml:space="preserve"> regulē Tirdzniecības un sadarbības nolīgums un tajā ietvertais Protokols par sociālā nodrošinājuma koordināciju. </w:t>
      </w:r>
    </w:p>
    <w:p w14:paraId="6B9E21E5" w14:textId="14E0F3EB" w:rsidR="00A95BDD" w:rsidRPr="00665AED" w:rsidRDefault="00A95BDD" w:rsidP="00BD1472">
      <w:pPr>
        <w:spacing w:line="276" w:lineRule="auto"/>
        <w:ind w:firstLine="720"/>
        <w:jc w:val="both"/>
      </w:pPr>
      <w:r w:rsidRPr="00665AED">
        <w:t xml:space="preserve">No lietas materiāliem konstatējams, ka aģentūra pārsūdzētajā lēmumā ir ietvērusi atsauci uz Izstāšanās līguma 30.pantu, </w:t>
      </w:r>
      <w:r w:rsidR="002E4B27" w:rsidRPr="00665AED">
        <w:t>savukārt</w:t>
      </w:r>
      <w:r w:rsidRPr="00665AED">
        <w:t xml:space="preserve"> apgabaltiesa spriedumā nav vērtējusi minētos tiesiskos apstākļus saistībā ar Apvienoto Karalisti, jo atzinusi, ka pieteicēja izdienas stāžā ir ieskaitāms tikai Latvijā, nevis citās valstīs nostrādātais laiks.</w:t>
      </w:r>
    </w:p>
    <w:p w14:paraId="22CD1CC7" w14:textId="77777777" w:rsidR="003A7B21" w:rsidRPr="00665AED" w:rsidRDefault="003A7B21" w:rsidP="00BD1472">
      <w:pPr>
        <w:spacing w:line="276" w:lineRule="auto"/>
        <w:ind w:firstLine="720"/>
        <w:jc w:val="both"/>
      </w:pPr>
    </w:p>
    <w:p w14:paraId="1038C4C1" w14:textId="77777777" w:rsidR="002E4B27" w:rsidRPr="00665AED" w:rsidRDefault="00FF60D1" w:rsidP="00BD1472">
      <w:pPr>
        <w:spacing w:line="276" w:lineRule="auto"/>
        <w:ind w:firstLine="709"/>
        <w:jc w:val="both"/>
        <w:rPr>
          <w:rFonts w:asciiTheme="majorBidi" w:hAnsiTheme="majorBidi" w:cstheme="majorBidi"/>
        </w:rPr>
      </w:pPr>
      <w:r w:rsidRPr="00665AED">
        <w:t>[1</w:t>
      </w:r>
      <w:r w:rsidR="002E4B27" w:rsidRPr="00665AED">
        <w:t>5</w:t>
      </w:r>
      <w:r w:rsidRPr="00665AED">
        <w:t>] Tirdzniecības un sadarbības nolīguma</w:t>
      </w:r>
      <w:r w:rsidRPr="00665AED">
        <w:rPr>
          <w:rStyle w:val="oj-italic"/>
        </w:rPr>
        <w:t xml:space="preserve"> </w:t>
      </w:r>
      <w:r w:rsidR="002E4B27" w:rsidRPr="00665AED">
        <w:rPr>
          <w:rStyle w:val="oj-italic"/>
        </w:rPr>
        <w:t>Protokola par sociālā nodrošinājuma koordināciju SSC.3.panta 1.punkts nosaka sociālā nodrošinājuma jomas, uz kurām attiecas šis protokols, tostarp, vecuma pabalstiem (</w:t>
      </w:r>
      <w:r w:rsidR="002E4B27" w:rsidRPr="00665AED">
        <w:rPr>
          <w:rFonts w:asciiTheme="majorBidi" w:hAnsiTheme="majorBidi" w:cstheme="majorBidi"/>
          <w:i/>
          <w:iCs/>
        </w:rPr>
        <w:t>„d” apakšpunkts</w:t>
      </w:r>
      <w:r w:rsidR="002E4B27" w:rsidRPr="00665AED">
        <w:rPr>
          <w:rStyle w:val="oj-italic"/>
        </w:rPr>
        <w:t>).</w:t>
      </w:r>
    </w:p>
    <w:p w14:paraId="78191E58" w14:textId="6B437BF1" w:rsidR="00FF60D1" w:rsidRPr="00665AED" w:rsidRDefault="002E4B27" w:rsidP="00BD1472">
      <w:pPr>
        <w:spacing w:line="276" w:lineRule="auto"/>
        <w:ind w:firstLine="720"/>
        <w:jc w:val="both"/>
        <w:rPr>
          <w:rFonts w:asciiTheme="majorBidi" w:hAnsiTheme="majorBidi" w:cstheme="majorBidi"/>
        </w:rPr>
      </w:pPr>
      <w:r w:rsidRPr="00665AED">
        <w:rPr>
          <w:rStyle w:val="oj-italic"/>
        </w:rPr>
        <w:t xml:space="preserve">Savukārt </w:t>
      </w:r>
      <w:r w:rsidRPr="00665AED">
        <w:t>Tirdzniecības un sadarbības nolīguma</w:t>
      </w:r>
      <w:r w:rsidRPr="00665AED">
        <w:rPr>
          <w:rStyle w:val="oj-italic"/>
        </w:rPr>
        <w:t xml:space="preserve"> </w:t>
      </w:r>
      <w:r w:rsidR="00FF60D1" w:rsidRPr="00665AED">
        <w:rPr>
          <w:rStyle w:val="oj-italic"/>
        </w:rPr>
        <w:t>Protokola par sociālā nodrošinājuma koordināciju SSC.1.pantā ir ietvertas protokolā piemērojamās definīcijas</w:t>
      </w:r>
      <w:r w:rsidR="00D36709">
        <w:rPr>
          <w:rStyle w:val="oj-italic"/>
        </w:rPr>
        <w:t>. Proti,</w:t>
      </w:r>
      <w:r w:rsidR="00FF60D1" w:rsidRPr="00665AED">
        <w:rPr>
          <w:rStyle w:val="oj-italic"/>
        </w:rPr>
        <w:t xml:space="preserve"> „</w:t>
      </w:r>
      <w:r w:rsidR="00D36709">
        <w:rPr>
          <w:rStyle w:val="oj-italic"/>
        </w:rPr>
        <w:t>p</w:t>
      </w:r>
      <w:r w:rsidR="00FF60D1" w:rsidRPr="00665AED">
        <w:rPr>
          <w:rFonts w:asciiTheme="majorBidi" w:hAnsiTheme="majorBidi" w:cstheme="majorBidi"/>
        </w:rPr>
        <w:t>ensija” ietver ne tikai pensijas, bet arī vienreizējus pabalstus, ar kuriem var aizstāt pensijas, un maksājumus iemaksu atlīdzināšanas veidā un, ievērojot III sadaļas noteikumus, pārrēķināšanas pieaugumus vai papildu piemaksas (</w:t>
      </w:r>
      <w:r w:rsidR="00FF60D1" w:rsidRPr="00665AED">
        <w:rPr>
          <w:rFonts w:asciiTheme="majorBidi" w:hAnsiTheme="majorBidi" w:cstheme="majorBidi"/>
          <w:i/>
          <w:iCs/>
        </w:rPr>
        <w:t>„w” apakšpunkts</w:t>
      </w:r>
      <w:r w:rsidR="00FF60D1" w:rsidRPr="00665AED">
        <w:rPr>
          <w:rFonts w:asciiTheme="majorBidi" w:hAnsiTheme="majorBidi" w:cstheme="majorBidi"/>
        </w:rPr>
        <w:t>)</w:t>
      </w:r>
      <w:r w:rsidR="00D36709">
        <w:rPr>
          <w:rFonts w:asciiTheme="majorBidi" w:hAnsiTheme="majorBidi" w:cstheme="majorBidi"/>
        </w:rPr>
        <w:t>. Savukārt</w:t>
      </w:r>
      <w:r w:rsidR="00FF60D1" w:rsidRPr="00665AED">
        <w:rPr>
          <w:rFonts w:asciiTheme="majorBidi" w:hAnsiTheme="majorBidi" w:cstheme="majorBidi"/>
        </w:rPr>
        <w:t xml:space="preserve"> „pirmspensijas pabalsts” ir visi naudas pabalsti, kas nav bezdarbnieka pabalsti vai priekšlaicīgi vecuma pabalsti un kas no noteikta vecuma paredzēti darbiniekiem, kuri ir samazinājuši, izbeiguši vai pārtraukuši savas aktivitātes, par ko saņem atlīdzību, līdz vecumam, kurā tie var pretendēt uz vecuma pensiju vai priekšlaicīgu pensiju, kuru saņemšana nav atkarīga no tā, vai attiecīgā persona ir kompetentās valsts nodarbinātības dienestu rīcībā; „priekšlaicīga pensija” ir pabalsts, ko nodrošina, pirms sasniegts vecums, kurš parasti dod tiesības uz pensiju, un ko turpina nodrošināt, kad ir sasniegts minētais vecums, vai aizstāj ar citu vecuma pabalstu (</w:t>
      </w:r>
      <w:r w:rsidR="00FF60D1" w:rsidRPr="00665AED">
        <w:rPr>
          <w:rFonts w:asciiTheme="majorBidi" w:hAnsiTheme="majorBidi" w:cstheme="majorBidi"/>
          <w:i/>
          <w:iCs/>
        </w:rPr>
        <w:t>„x” apakšpunkts</w:t>
      </w:r>
      <w:r w:rsidR="00FF60D1" w:rsidRPr="00665AED">
        <w:rPr>
          <w:rFonts w:asciiTheme="majorBidi" w:hAnsiTheme="majorBidi" w:cstheme="majorBidi"/>
        </w:rPr>
        <w:t>).</w:t>
      </w:r>
    </w:p>
    <w:p w14:paraId="78B7634D" w14:textId="6175F987" w:rsidR="002E4B27" w:rsidRPr="00665AED" w:rsidRDefault="00D9415E" w:rsidP="00BD1472">
      <w:pPr>
        <w:spacing w:line="276" w:lineRule="auto"/>
        <w:ind w:firstLine="709"/>
        <w:jc w:val="both"/>
        <w:rPr>
          <w:rFonts w:asciiTheme="majorBidi" w:hAnsiTheme="majorBidi" w:cstheme="majorBidi"/>
        </w:rPr>
      </w:pPr>
      <w:r w:rsidRPr="00665AED">
        <w:t>Tirdzniecības un sadarbības nolīguma</w:t>
      </w:r>
      <w:r w:rsidRPr="00665AED">
        <w:rPr>
          <w:rStyle w:val="oj-italic"/>
        </w:rPr>
        <w:t xml:space="preserve"> </w:t>
      </w:r>
      <w:r w:rsidR="002E4B27" w:rsidRPr="00665AED">
        <w:rPr>
          <w:rStyle w:val="oj-italic"/>
        </w:rPr>
        <w:t>Protokola par sociālā nodrošinājuma koordināciju SSC.7.pants paredz: j</w:t>
      </w:r>
      <w:r w:rsidR="002E4B27" w:rsidRPr="00665AED">
        <w:rPr>
          <w:rFonts w:asciiTheme="majorBidi" w:hAnsiTheme="majorBidi" w:cstheme="majorBidi"/>
        </w:rPr>
        <w:t>a šajā protokolā nav noteikts citādi, valsts kompetentā iestāde, ciktāl nepieciešams, ņem vērā apdrošināšanas, nodarbinātības, pašnodarbinātības vai dzīvesvietas periodus, kas izpildīti saskaņā ar citas valsts tiesību aktiem, tā, it kā tie būtu periodi, kas izpildīti saskaņā ar tiesību aktiem, kurus tā piemēro, ja tās tiesību aktos ir noteikts, ka no apdrošināšanas, nodarbinātības, pašnodarbinātības vai dzīvesvietas periodu izpildes ir atkarīga: a) tiesību uz pabalstu iegūšana, paturēšana, ilgums un atgūšana; b) tiesību aktu piemērošanas jomam; vai c) piekļuve obligātajai apdrošināšanai, fakultatīvi turpināmajai apdrošināšanai vai brīvprātīgajai apdrošināšanai vai atbrīvojums no tām.</w:t>
      </w:r>
    </w:p>
    <w:p w14:paraId="2E69854C" w14:textId="77777777" w:rsidR="002E4B27" w:rsidRDefault="002E4B27" w:rsidP="00BD1472">
      <w:pPr>
        <w:spacing w:line="276" w:lineRule="auto"/>
        <w:ind w:firstLine="709"/>
        <w:jc w:val="both"/>
        <w:rPr>
          <w:rFonts w:asciiTheme="majorBidi" w:hAnsiTheme="majorBidi" w:cstheme="majorBidi"/>
        </w:rPr>
      </w:pPr>
      <w:r w:rsidRPr="00665AED">
        <w:rPr>
          <w:rFonts w:asciiTheme="majorBidi" w:hAnsiTheme="majorBidi" w:cstheme="majorBidi"/>
        </w:rPr>
        <w:t xml:space="preserve">Savukārt </w:t>
      </w:r>
      <w:r w:rsidRPr="00665AED">
        <w:rPr>
          <w:rStyle w:val="oj-italic"/>
        </w:rPr>
        <w:t xml:space="preserve">Protokola par sociālā nodrošinājuma koordināciju 7.nodaļas „Pirmspensijas pabalsti” SSC.58.pants noteic, ja </w:t>
      </w:r>
      <w:r w:rsidRPr="00665AED">
        <w:rPr>
          <w:rFonts w:asciiTheme="majorBidi" w:hAnsiTheme="majorBidi" w:cstheme="majorBidi"/>
        </w:rPr>
        <w:t>piemērojamie tiesību akti paredz, ka tiesības uz pirmspensijas pabalstiem ir atkarīgas no tā, vai ir izpildīti apdrošināšanas, nodarbinātības vai pašnodarbinātības periodi, SSC.7.pantu nepiemēro.</w:t>
      </w:r>
    </w:p>
    <w:p w14:paraId="1FCF81E4" w14:textId="5972189F" w:rsidR="00D36709" w:rsidRPr="006975A1" w:rsidRDefault="00423E5A" w:rsidP="00BD1472">
      <w:pPr>
        <w:spacing w:line="276" w:lineRule="auto"/>
        <w:ind w:firstLine="709"/>
        <w:jc w:val="both"/>
        <w:rPr>
          <w:rFonts w:asciiTheme="majorBidi" w:hAnsiTheme="majorBidi" w:cstheme="majorBidi"/>
        </w:rPr>
      </w:pPr>
      <w:r w:rsidRPr="006975A1">
        <w:rPr>
          <w:rFonts w:asciiTheme="majorBidi" w:hAnsiTheme="majorBidi" w:cstheme="majorBidi"/>
        </w:rPr>
        <w:t xml:space="preserve">Tātad, ja izdienas pensija kvalificējama kā pensija vai priekšlaicīga pensija, tad ir piemērojami </w:t>
      </w:r>
      <w:r w:rsidRPr="006975A1">
        <w:t>Tirdzniecības un sadarbības nolīguma</w:t>
      </w:r>
      <w:r w:rsidRPr="006975A1">
        <w:rPr>
          <w:rStyle w:val="oj-italic"/>
        </w:rPr>
        <w:t xml:space="preserve"> Protokola par sociālā nodrošinājuma koordināciju SSC.7.panta </w:t>
      </w:r>
      <w:r w:rsidRPr="006975A1">
        <w:rPr>
          <w:rFonts w:asciiTheme="majorBidi" w:hAnsiTheme="majorBidi" w:cstheme="majorBidi"/>
        </w:rPr>
        <w:t xml:space="preserve">noteikumi par periodu summēšanu. Savukārt, ja izdienas pensija kvalificējama kā pirmspensijas pabalsts, tad saskaņā ar </w:t>
      </w:r>
      <w:r w:rsidR="00B200F2" w:rsidRPr="006975A1">
        <w:t>šā normatīvā akta</w:t>
      </w:r>
      <w:r w:rsidRPr="006975A1">
        <w:rPr>
          <w:rStyle w:val="oj-italic"/>
        </w:rPr>
        <w:t xml:space="preserve"> SSC.58.pantu minētie periodu summēšanas noteikumi</w:t>
      </w:r>
      <w:r w:rsidR="00B200F2" w:rsidRPr="006975A1">
        <w:rPr>
          <w:rStyle w:val="oj-italic"/>
        </w:rPr>
        <w:t xml:space="preserve"> nav piemērojami.</w:t>
      </w:r>
    </w:p>
    <w:p w14:paraId="65C3F5DB" w14:textId="77777777" w:rsidR="002E4B27" w:rsidRPr="006975A1" w:rsidRDefault="002E4B27" w:rsidP="00BD1472">
      <w:pPr>
        <w:spacing w:line="276" w:lineRule="auto"/>
        <w:ind w:firstLine="720"/>
        <w:jc w:val="both"/>
        <w:rPr>
          <w:rFonts w:asciiTheme="majorBidi" w:hAnsiTheme="majorBidi" w:cstheme="majorBidi"/>
        </w:rPr>
      </w:pPr>
    </w:p>
    <w:p w14:paraId="4CA2C8A6" w14:textId="65661345" w:rsidR="00FF60D1" w:rsidRPr="00665AED" w:rsidRDefault="002E4B27" w:rsidP="00BD1472">
      <w:pPr>
        <w:spacing w:line="276" w:lineRule="auto"/>
        <w:ind w:firstLine="720"/>
        <w:jc w:val="both"/>
        <w:rPr>
          <w:rFonts w:asciiTheme="majorBidi" w:hAnsiTheme="majorBidi" w:cstheme="majorBidi"/>
        </w:rPr>
      </w:pPr>
      <w:r w:rsidRPr="006975A1">
        <w:rPr>
          <w:rFonts w:asciiTheme="majorBidi" w:hAnsiTheme="majorBidi" w:cstheme="majorBidi"/>
        </w:rPr>
        <w:t>[16] </w:t>
      </w:r>
      <w:r w:rsidR="00FF60D1" w:rsidRPr="006975A1">
        <w:t xml:space="preserve">Tāpēc izskatāmajā lietā jāvērtē, vai Izdienas pensiju likumā </w:t>
      </w:r>
      <w:r w:rsidR="00FF60D1" w:rsidRPr="006975A1">
        <w:rPr>
          <w:rFonts w:asciiTheme="majorBidi" w:hAnsiTheme="majorBidi" w:cstheme="majorBidi"/>
        </w:rPr>
        <w:t xml:space="preserve">paredzētā </w:t>
      </w:r>
      <w:r w:rsidR="00FF60D1" w:rsidRPr="006975A1">
        <w:t>izdienas</w:t>
      </w:r>
      <w:r w:rsidR="00FF60D1" w:rsidRPr="00665AED">
        <w:t xml:space="preserve"> pensija uzskatāma par „</w:t>
      </w:r>
      <w:r w:rsidR="00FF60D1" w:rsidRPr="00665AED">
        <w:rPr>
          <w:rFonts w:asciiTheme="majorBidi" w:hAnsiTheme="majorBidi" w:cstheme="majorBidi"/>
        </w:rPr>
        <w:t xml:space="preserve">pirmspensijas pabalstu” </w:t>
      </w:r>
      <w:r w:rsidR="00FF60D1" w:rsidRPr="00665AED">
        <w:t>Tirdzniecības un sadarbības nolīguma</w:t>
      </w:r>
      <w:r w:rsidR="00FF60D1" w:rsidRPr="00FE41EE">
        <w:rPr>
          <w:rStyle w:val="oj-italic"/>
        </w:rPr>
        <w:t xml:space="preserve"> </w:t>
      </w:r>
      <w:r w:rsidR="00FF60D1" w:rsidRPr="00665AED">
        <w:rPr>
          <w:rStyle w:val="oj-italic"/>
        </w:rPr>
        <w:t>Protokola par sociālā nodrošinājuma koordināciju</w:t>
      </w:r>
      <w:r w:rsidR="00FF60D1" w:rsidRPr="00665AED">
        <w:rPr>
          <w:rStyle w:val="oj-italic"/>
          <w:b/>
          <w:bCs/>
        </w:rPr>
        <w:t xml:space="preserve"> </w:t>
      </w:r>
      <w:r w:rsidR="00FF60D1" w:rsidRPr="00665AED">
        <w:rPr>
          <w:rStyle w:val="oj-italic"/>
        </w:rPr>
        <w:t>SSC.1.panta „x” apakšpunkta izpratnē. Šajā ziņā jāievēro, ka minētajā normā ietvertā definīcija note</w:t>
      </w:r>
      <w:r w:rsidR="006975A1">
        <w:rPr>
          <w:rStyle w:val="oj-italic"/>
        </w:rPr>
        <w:t>i</w:t>
      </w:r>
      <w:r w:rsidR="00FF60D1" w:rsidRPr="00665AED">
        <w:rPr>
          <w:rStyle w:val="oj-italic"/>
        </w:rPr>
        <w:t xml:space="preserve">c, ka </w:t>
      </w:r>
      <w:r w:rsidR="00FF60D1" w:rsidRPr="00665AED">
        <w:t>„</w:t>
      </w:r>
      <w:r w:rsidR="00FF60D1" w:rsidRPr="00665AED">
        <w:rPr>
          <w:rFonts w:asciiTheme="majorBidi" w:hAnsiTheme="majorBidi" w:cstheme="majorBidi"/>
        </w:rPr>
        <w:t>pirmspensijas pabalsts” jānošķir no „priekšlaicīga vecuma pabalsta” jeb „priekšlaicīgas pensijas”, kas nolīguma tekstā angļu valodā abos gadījumos tiek dēvēta vienādi, proti, par „</w:t>
      </w:r>
      <w:r w:rsidR="00FF60D1" w:rsidRPr="00665AED">
        <w:rPr>
          <w:rFonts w:asciiTheme="majorBidi" w:hAnsiTheme="majorBidi" w:cstheme="majorBidi"/>
          <w:i/>
          <w:iCs/>
        </w:rPr>
        <w:t>early old-age benefit</w:t>
      </w:r>
      <w:r w:rsidR="00FF60D1" w:rsidRPr="00665AED">
        <w:rPr>
          <w:rFonts w:asciiTheme="majorBidi" w:hAnsiTheme="majorBidi" w:cstheme="majorBidi"/>
        </w:rPr>
        <w:t xml:space="preserve">”. Ja izdienas pensija būtu kvalificējama kā „pirmspensijas pabalsts”, tad saskaņā ar </w:t>
      </w:r>
      <w:r w:rsidRPr="00665AED">
        <w:t xml:space="preserve">Tirdzniecības un sadarbības nolīguma </w:t>
      </w:r>
      <w:r w:rsidR="00FF60D1" w:rsidRPr="00665AED">
        <w:rPr>
          <w:rStyle w:val="oj-italic"/>
        </w:rPr>
        <w:t xml:space="preserve">Protokola par sociālā nodrošinājuma koordināciju </w:t>
      </w:r>
      <w:r w:rsidR="00FF60D1" w:rsidRPr="00665AED">
        <w:rPr>
          <w:rFonts w:asciiTheme="majorBidi" w:hAnsiTheme="majorBidi" w:cstheme="majorBidi"/>
        </w:rPr>
        <w:t xml:space="preserve">SSC.58.pantu izdienas stāža noteikšanai nebūtu piemērojami noteikumi par periodu summēšanu. </w:t>
      </w:r>
    </w:p>
    <w:p w14:paraId="1BF85628" w14:textId="59E88DE1" w:rsidR="00FF60D1" w:rsidRDefault="006975A1" w:rsidP="00BD1472">
      <w:pPr>
        <w:spacing w:line="276" w:lineRule="auto"/>
        <w:ind w:firstLine="720"/>
        <w:jc w:val="both"/>
        <w:rPr>
          <w:rFonts w:asciiTheme="majorBidi" w:hAnsiTheme="majorBidi" w:cstheme="majorBidi"/>
        </w:rPr>
      </w:pPr>
      <w:r>
        <w:rPr>
          <w:rFonts w:asciiTheme="majorBidi" w:hAnsiTheme="majorBidi" w:cstheme="majorBidi"/>
        </w:rPr>
        <w:t>Ņ</w:t>
      </w:r>
      <w:r w:rsidR="00B200F2" w:rsidRPr="006975A1">
        <w:rPr>
          <w:rFonts w:asciiTheme="majorBidi" w:hAnsiTheme="majorBidi" w:cstheme="majorBidi"/>
        </w:rPr>
        <w:t>emot vēr</w:t>
      </w:r>
      <w:r w:rsidRPr="006975A1">
        <w:rPr>
          <w:rFonts w:asciiTheme="majorBidi" w:hAnsiTheme="majorBidi" w:cstheme="majorBidi"/>
        </w:rPr>
        <w:t>ā</w:t>
      </w:r>
      <w:r w:rsidR="00B200F2" w:rsidRPr="006975A1">
        <w:t xml:space="preserve"> Tirdzniecības un sadarbības nolīgumā un Regulā Nr. 883/2004 ietverto definīciju līdzību un </w:t>
      </w:r>
      <w:r w:rsidR="00FE17A2" w:rsidRPr="006975A1">
        <w:t xml:space="preserve">vienu no </w:t>
      </w:r>
      <w:r w:rsidR="00B200F2" w:rsidRPr="006975A1">
        <w:t>nolīguma mērķi</w:t>
      </w:r>
      <w:r w:rsidR="00FE17A2" w:rsidRPr="006975A1">
        <w:t xml:space="preserve">em – dažu sociālā nodrošinājuma pabalstu koordinēšana </w:t>
      </w:r>
      <w:r w:rsidR="00FE17A2" w:rsidRPr="006975A1">
        <w:rPr>
          <w:rFonts w:asciiTheme="majorBidi" w:hAnsiTheme="majorBidi" w:cstheme="majorBidi"/>
        </w:rPr>
        <w:t>(vecuma un apgādnieka zaudējuma pensija, priekšlaicīga pensionēšanās, veselības aprūpe, maternitāte un paternitāte, negadījumi darbā), padarot vienkāršāku strādāšanu ārvalstīs un tiesību saglabāšanu –, kas pēc būtības atbilst tai, kas darboj</w:t>
      </w:r>
      <w:r>
        <w:rPr>
          <w:rFonts w:asciiTheme="majorBidi" w:hAnsiTheme="majorBidi" w:cstheme="majorBidi"/>
        </w:rPr>
        <w:t>a</w:t>
      </w:r>
      <w:r w:rsidR="00FE17A2" w:rsidRPr="006975A1">
        <w:rPr>
          <w:rFonts w:asciiTheme="majorBidi" w:hAnsiTheme="majorBidi" w:cstheme="majorBidi"/>
        </w:rPr>
        <w:t xml:space="preserve">s Eiropas Savienībā, </w:t>
      </w:r>
      <w:r w:rsidR="00FF60D1" w:rsidRPr="006975A1">
        <w:rPr>
          <w:rFonts w:asciiTheme="majorBidi" w:hAnsiTheme="majorBidi" w:cstheme="majorBidi"/>
        </w:rPr>
        <w:t>Senāts uzskata</w:t>
      </w:r>
      <w:r w:rsidR="00FE17A2" w:rsidRPr="006975A1">
        <w:rPr>
          <w:rFonts w:asciiTheme="majorBidi" w:hAnsiTheme="majorBidi" w:cstheme="majorBidi"/>
        </w:rPr>
        <w:t xml:space="preserve"> par iespējamu</w:t>
      </w:r>
      <w:r w:rsidR="00FF60D1" w:rsidRPr="006975A1">
        <w:rPr>
          <w:rFonts w:asciiTheme="majorBidi" w:hAnsiTheme="majorBidi" w:cstheme="majorBidi"/>
        </w:rPr>
        <w:t xml:space="preserve"> šajā gadījumā izdienas pensijas kvalifikācijā izmantot Eiropas Savienības Tiesas 2018.gada 30.maija spriedumā lietā „Czerwiński”, C</w:t>
      </w:r>
      <w:r w:rsidR="00065DE7">
        <w:rPr>
          <w:rFonts w:asciiTheme="majorBidi" w:hAnsiTheme="majorBidi" w:cstheme="majorBidi"/>
        </w:rPr>
        <w:noBreakHyphen/>
      </w:r>
      <w:r w:rsidR="00FF60D1" w:rsidRPr="006975A1">
        <w:rPr>
          <w:rFonts w:asciiTheme="majorBidi" w:hAnsiTheme="majorBidi" w:cstheme="majorBidi"/>
        </w:rPr>
        <w:t>517/16</w:t>
      </w:r>
      <w:r>
        <w:rPr>
          <w:rFonts w:asciiTheme="majorBidi" w:hAnsiTheme="majorBidi" w:cstheme="majorBidi"/>
        </w:rPr>
        <w:t>,</w:t>
      </w:r>
      <w:r w:rsidR="00FF60D1" w:rsidRPr="006975A1">
        <w:rPr>
          <w:rFonts w:asciiTheme="majorBidi" w:hAnsiTheme="majorBidi" w:cstheme="majorBidi"/>
        </w:rPr>
        <w:t xml:space="preserve"> norādītos kritērijus.</w:t>
      </w:r>
    </w:p>
    <w:p w14:paraId="64F6673A" w14:textId="210E0BCF" w:rsidR="00FF60D1" w:rsidRPr="00665AED" w:rsidRDefault="00FF60D1" w:rsidP="00BD1472">
      <w:pPr>
        <w:spacing w:line="276" w:lineRule="auto"/>
        <w:ind w:firstLine="720"/>
        <w:jc w:val="both"/>
      </w:pPr>
    </w:p>
    <w:p w14:paraId="3F20F889" w14:textId="7A37E967" w:rsidR="00D46679" w:rsidRPr="00665AED" w:rsidRDefault="00142B17" w:rsidP="00BD1472">
      <w:pPr>
        <w:spacing w:line="276" w:lineRule="auto"/>
        <w:ind w:firstLine="709"/>
        <w:jc w:val="both"/>
        <w:rPr>
          <w:rFonts w:asciiTheme="majorBidi" w:hAnsiTheme="majorBidi" w:cstheme="majorBidi"/>
        </w:rPr>
      </w:pPr>
      <w:r w:rsidRPr="00665AED">
        <w:rPr>
          <w:rFonts w:asciiTheme="majorBidi" w:hAnsiTheme="majorBidi" w:cstheme="majorBidi"/>
        </w:rPr>
        <w:t>[</w:t>
      </w:r>
      <w:r w:rsidR="00125669" w:rsidRPr="00665AED">
        <w:rPr>
          <w:rFonts w:asciiTheme="majorBidi" w:hAnsiTheme="majorBidi" w:cstheme="majorBidi"/>
        </w:rPr>
        <w:t>1</w:t>
      </w:r>
      <w:r w:rsidR="002E4B27" w:rsidRPr="00665AED">
        <w:rPr>
          <w:rFonts w:asciiTheme="majorBidi" w:hAnsiTheme="majorBidi" w:cstheme="majorBidi"/>
        </w:rPr>
        <w:t>7</w:t>
      </w:r>
      <w:r w:rsidRPr="00665AED">
        <w:rPr>
          <w:rFonts w:asciiTheme="majorBidi" w:hAnsiTheme="majorBidi" w:cstheme="majorBidi"/>
        </w:rPr>
        <w:t>] </w:t>
      </w:r>
      <w:r w:rsidR="00C23EFF" w:rsidRPr="00665AED">
        <w:rPr>
          <w:rFonts w:asciiTheme="majorBidi" w:hAnsiTheme="majorBidi" w:cstheme="majorBidi"/>
        </w:rPr>
        <w:t>Saskaņā ar Izdienas pensiju likum</w:t>
      </w:r>
      <w:r w:rsidR="003E3A86" w:rsidRPr="00665AED">
        <w:rPr>
          <w:rFonts w:asciiTheme="majorBidi" w:hAnsiTheme="majorBidi" w:cstheme="majorBidi"/>
        </w:rPr>
        <w:t>a</w:t>
      </w:r>
      <w:r w:rsidR="003E3A86" w:rsidRPr="00665AED">
        <w:t xml:space="preserve"> 2.panta pirmo daļu priekšnoteikumi izdienas pensijas piešķiršanai ir noteikta vecuma sasniegšana vai atsevišķos gadījumos neatkarīgi no vecuma (atbrīvoti no dienesta veselības stāvokļa dēļ vai darbinieku skaita samazināšanas dēļ) un noteikts izdienas stāžs. Izdienas pensiju piešķir bez termiņa ierobežojuma pēc darbinieka atbrīvošanas no dienesta (</w:t>
      </w:r>
      <w:r w:rsidR="003E3A86" w:rsidRPr="00665AED">
        <w:rPr>
          <w:i/>
          <w:iCs/>
        </w:rPr>
        <w:t>8.pants</w:t>
      </w:r>
      <w:r w:rsidR="003E3A86" w:rsidRPr="00665AED">
        <w:t>). Saskaņā ar likuma 5.panta septīto un astoto daļu izdienas pensijas izmaksu pārtrauc</w:t>
      </w:r>
      <w:r w:rsidR="00264710" w:rsidRPr="00665AED">
        <w:t xml:space="preserve"> vai</w:t>
      </w:r>
      <w:r w:rsidR="003E3A86" w:rsidRPr="00665AED">
        <w:t xml:space="preserve"> samazina tās apmēru</w:t>
      </w:r>
      <w:r w:rsidR="00D46679" w:rsidRPr="00665AED">
        <w:t>,</w:t>
      </w:r>
      <w:r w:rsidR="003E3A86" w:rsidRPr="00665AED">
        <w:t xml:space="preserve"> ja tās saņēmējam tie</w:t>
      </w:r>
      <w:r w:rsidR="00D9415E" w:rsidRPr="00665AED">
        <w:t>k</w:t>
      </w:r>
      <w:r w:rsidR="003E3A86" w:rsidRPr="00665AED">
        <w:t xml:space="preserve"> piešķirta valsts sociālās apdrošināšanas vecuma pensija</w:t>
      </w:r>
      <w:r w:rsidR="00D46679" w:rsidRPr="00665AED">
        <w:t xml:space="preserve">. Arī gadījumā, ja izdienas pensijas saņēmējs uzsāk </w:t>
      </w:r>
      <w:r w:rsidR="00D46679" w:rsidRPr="00665AED">
        <w:rPr>
          <w:rFonts w:asciiTheme="majorBidi" w:hAnsiTheme="majorBidi" w:cstheme="majorBidi"/>
        </w:rPr>
        <w:t>dienestu (darbu) jebkurā profesijā (amatā), kas dod tiesības uz izdienas pensiju, izdienas pensijas izmaksa tiek pārtraukta (</w:t>
      </w:r>
      <w:r w:rsidR="00D46679" w:rsidRPr="00665AED">
        <w:rPr>
          <w:rFonts w:asciiTheme="majorBidi" w:hAnsiTheme="majorBidi" w:cstheme="majorBidi"/>
          <w:i/>
          <w:iCs/>
        </w:rPr>
        <w:t>9.panta pirmās daļas 2.punkts</w:t>
      </w:r>
      <w:r w:rsidR="00D46679" w:rsidRPr="00665AED">
        <w:rPr>
          <w:rFonts w:asciiTheme="majorBidi" w:hAnsiTheme="majorBidi" w:cstheme="majorBidi"/>
        </w:rPr>
        <w:t>).</w:t>
      </w:r>
    </w:p>
    <w:p w14:paraId="0490070B" w14:textId="161FEAF6" w:rsidR="00142B17" w:rsidRPr="00665AED" w:rsidRDefault="00142B17" w:rsidP="00BD1472">
      <w:pPr>
        <w:spacing w:line="276" w:lineRule="auto"/>
        <w:ind w:firstLine="720"/>
        <w:jc w:val="both"/>
      </w:pPr>
      <w:r w:rsidRPr="00665AED">
        <w:rPr>
          <w:rFonts w:asciiTheme="majorBidi" w:hAnsiTheme="majorBidi" w:cstheme="majorBidi"/>
        </w:rPr>
        <w:t>Vērtējot izdienas pensijas piešķiršanas nolūku un mērķi, secināms, ka tas ir kompensēt darbspēju zudumu. Proti, izdienas pensijas ir vērstas uz to, lai, iestājoties noteiktiem apstākļiem, nodrošinātu ar iztikas līdzekļiem personas, kuru darbs saistīts ar profesionālo iemaņu zudumu, kas var rasties jau pirms vecuma pensijas piešķiršanai noteiktā vecuma sasniegšanas. Satversmes tiesa ir skaidrojusi, ka „izdienas pensija iekšlietu sistēmā kalpo gan kā materiālā stāvokļa nodrošinājums, gan arī kā sociālā garantija darbiniekam, kurš noteiktu darba dzīves posmu veltījis valstij svarīgu funkciju izpildei – valsts iekšējās drošības sargāšanai, turklāt specifiskos, fiziski un psihoemocionāli sarežģītos un ne vienmēr prognozējamos dienesta apstākļos. Dienestā esošie darbinieki arī no darba brīvajā laikā var tikt iesaistīti dabas stihiju radītu postījumu, ugunsgrēku un citu katastrofu seku likvidācijā vai valstij nozīmīgu pienākumu veikšanā, ja valsts rīcībā esošie cilvēku resursi ir nepietiekami. Spējas pildīt dienestu minētajos apstākļos ar gadiem samazinās” (</w:t>
      </w:r>
      <w:r w:rsidRPr="00665AED">
        <w:rPr>
          <w:rFonts w:asciiTheme="majorBidi" w:hAnsiTheme="majorBidi" w:cstheme="majorBidi"/>
          <w:i/>
          <w:iCs/>
        </w:rPr>
        <w:t xml:space="preserve">Satversmes </w:t>
      </w:r>
      <w:r w:rsidRPr="00635255">
        <w:rPr>
          <w:rFonts w:asciiTheme="majorBidi" w:hAnsiTheme="majorBidi" w:cstheme="majorBidi"/>
          <w:i/>
          <w:iCs/>
        </w:rPr>
        <w:t>tiesas 2007.gada 4.janvāra sprieduma lietā Nr. </w:t>
      </w:r>
      <w:hyperlink r:id="rId21" w:history="1">
        <w:r w:rsidRPr="00635255">
          <w:rPr>
            <w:rStyle w:val="Hyperlink"/>
            <w:rFonts w:asciiTheme="majorBidi" w:hAnsiTheme="majorBidi" w:cstheme="majorBidi"/>
            <w:i/>
            <w:iCs/>
          </w:rPr>
          <w:t>2006-13-0103</w:t>
        </w:r>
      </w:hyperlink>
      <w:r w:rsidRPr="00635255">
        <w:rPr>
          <w:rFonts w:asciiTheme="majorBidi" w:hAnsiTheme="majorBidi" w:cstheme="majorBidi"/>
          <w:i/>
          <w:iCs/>
        </w:rPr>
        <w:t xml:space="preserve"> 7.1.punkts</w:t>
      </w:r>
      <w:r w:rsidRPr="00635255">
        <w:rPr>
          <w:rFonts w:asciiTheme="majorBidi" w:hAnsiTheme="majorBidi" w:cstheme="majorBidi"/>
        </w:rPr>
        <w:t xml:space="preserve">). Pat ja izdienas </w:t>
      </w:r>
      <w:r w:rsidRPr="00665AED">
        <w:rPr>
          <w:rFonts w:asciiTheme="majorBidi" w:hAnsiTheme="majorBidi" w:cstheme="majorBidi"/>
        </w:rPr>
        <w:t>pensijas saņēmējs kā darba ņēmējs izbeidz vai pārtrauc</w:t>
      </w:r>
      <w:r w:rsidRPr="00665AED">
        <w:t xml:space="preserve"> profesionālās darbības veikšanu līdz vecumam, kad viņam tiks piešķirta vecuma pensija, tomēr izdienas pensija nav saistīta nedz ar situāciju darba tirgū ekonomikas krīzes kontekstā, ne</w:t>
      </w:r>
      <w:r w:rsidR="00E5761A" w:rsidRPr="00665AED">
        <w:t>d</w:t>
      </w:r>
      <w:r w:rsidRPr="00665AED">
        <w:t xml:space="preserve">z ar uzņēmuma </w:t>
      </w:r>
      <w:r w:rsidR="00D36709">
        <w:t>ekonomisko stāvokli</w:t>
      </w:r>
      <w:r w:rsidRPr="00665AED">
        <w:t>, bet vienīgi ar darba veidu, kas ir īpašs un tiek veikts īpašos apstākļos. Izdienas pensiju likumā nav minēts mērķis atbrīvot dienesta vietas jaunāku personu labā.</w:t>
      </w:r>
    </w:p>
    <w:p w14:paraId="2A8E4FE1" w14:textId="7BCB2E77" w:rsidR="0078166F" w:rsidRPr="00665AED" w:rsidRDefault="00AE2E8E" w:rsidP="00BD1472">
      <w:pPr>
        <w:spacing w:line="276" w:lineRule="auto"/>
        <w:ind w:firstLine="720"/>
        <w:jc w:val="both"/>
        <w:rPr>
          <w:rFonts w:asciiTheme="majorBidi" w:hAnsiTheme="majorBidi" w:cstheme="majorBidi"/>
        </w:rPr>
      </w:pPr>
      <w:r w:rsidRPr="00665AED">
        <w:rPr>
          <w:rFonts w:asciiTheme="majorBidi" w:hAnsiTheme="majorBidi" w:cstheme="majorBidi"/>
        </w:rPr>
        <w:t xml:space="preserve">Lai gan </w:t>
      </w:r>
      <w:r w:rsidR="0078166F" w:rsidRPr="00665AED">
        <w:rPr>
          <w:rFonts w:asciiTheme="majorBidi" w:hAnsiTheme="majorBidi" w:cstheme="majorBidi"/>
        </w:rPr>
        <w:t xml:space="preserve">izdienas pensijas jēdzienā var saskatīt pazīmes, kas atbilst gan </w:t>
      </w:r>
      <w:r w:rsidR="0078166F" w:rsidRPr="00665AED">
        <w:t>„pirmspensijas pabalsta”, gan „priekšlaicīgas pensijas/priekšlaicīga vecuma pabalsta” pazīmēm</w:t>
      </w:r>
      <w:r w:rsidRPr="00665AED">
        <w:t xml:space="preserve">, tomēr </w:t>
      </w:r>
      <w:r w:rsidR="0078166F" w:rsidRPr="00665AED">
        <w:t xml:space="preserve">izdienas pensija </w:t>
      </w:r>
      <w:r w:rsidRPr="00665AED">
        <w:t>vairāk</w:t>
      </w:r>
      <w:r w:rsidR="0078166F" w:rsidRPr="00665AED">
        <w:t xml:space="preserve"> atbilst priekšlaicīgas pensijas raksturam. Apsvērumi, kas liecina par labu šādai izpratnei:</w:t>
      </w:r>
      <w:r w:rsidRPr="00665AED">
        <w:t xml:space="preserve"> 1) </w:t>
      </w:r>
      <w:r w:rsidR="0078166F" w:rsidRPr="00665AED">
        <w:rPr>
          <w:rFonts w:asciiTheme="majorBidi" w:hAnsiTheme="majorBidi" w:cstheme="majorBidi"/>
        </w:rPr>
        <w:t>izdienas pensiju nodrošina pirms tāda vecuma sasniegšanas, kas dod tiesības uz vecuma pensiju;</w:t>
      </w:r>
      <w:r w:rsidRPr="00665AED">
        <w:rPr>
          <w:rFonts w:asciiTheme="majorBidi" w:hAnsiTheme="majorBidi" w:cstheme="majorBidi"/>
        </w:rPr>
        <w:t xml:space="preserve"> 2) </w:t>
      </w:r>
      <w:r w:rsidR="0078166F" w:rsidRPr="00665AED">
        <w:t>sasniedzot vecumu</w:t>
      </w:r>
      <w:r w:rsidRPr="00665AED">
        <w:t xml:space="preserve"> pensijas saņemšanas vecumu</w:t>
      </w:r>
      <w:r w:rsidR="0078166F" w:rsidRPr="00665AED">
        <w:t xml:space="preserve">, </w:t>
      </w:r>
      <w:r w:rsidRPr="00665AED">
        <w:t>izdienas pensiju</w:t>
      </w:r>
      <w:r w:rsidR="0078166F" w:rsidRPr="00665AED">
        <w:t xml:space="preserve"> aizstāj ar citu vecuma pabalstu, proti, vecuma pensiju;</w:t>
      </w:r>
      <w:r w:rsidRPr="00665AED">
        <w:t xml:space="preserve"> 3) </w:t>
      </w:r>
      <w:r w:rsidR="0078166F" w:rsidRPr="00665AED">
        <w:rPr>
          <w:rFonts w:asciiTheme="majorBidi" w:hAnsiTheme="majorBidi" w:cstheme="majorBidi"/>
        </w:rPr>
        <w:t>izdienas pensijas mērķis atbilst „vecuma pabalsta” mērķim, proti, nodrošināt tādu personu iztikas līdzekļus, kuras, sasniedzot zināmu vecumu, atstāj darbu un kurām vairs nav pienākuma būt pieejamām nodarbinātības administrācijai. Atslēgas vārdi šeit būtu – nav pienākuma būt pieejamām nodarbinātībai. Izdienas pensiju piešķiršana balstās uz pieņē</w:t>
      </w:r>
      <w:r w:rsidR="00D36709">
        <w:rPr>
          <w:rFonts w:asciiTheme="majorBidi" w:hAnsiTheme="majorBidi" w:cstheme="majorBidi"/>
        </w:rPr>
        <w:t>mu</w:t>
      </w:r>
      <w:r w:rsidR="0078166F" w:rsidRPr="00665AED">
        <w:rPr>
          <w:rFonts w:asciiTheme="majorBidi" w:hAnsiTheme="majorBidi" w:cstheme="majorBidi"/>
        </w:rPr>
        <w:t xml:space="preserve">mu, ka persona, noteiktu laiku veicot attiecīgā dienesta pienākumus, jau pienācīgā mērā ir izpildījusi savu pienākumu pret sabiedrību un viņai vairs nav pienākuma turpināt pildīt dienestu vai vispār būt nodarbinātai, tāpēc izdienas pensiju viņa var saņemt līdz pat vecuma pensijas piešķiršanai. Izdienas pensija arī nevar tikt saistīta ar nodarbinātības politikas mērķiem vai citiem pirmspensijas pabalstiem raksturīgajiem aspektiem, proti, ekonomikas krīzes, pārstrukturēšanas, atlaišanas un racionalizācijas kontekstu. </w:t>
      </w:r>
    </w:p>
    <w:p w14:paraId="6E29A1F8" w14:textId="05DC9B7B" w:rsidR="00D9415E" w:rsidRPr="00665AED" w:rsidRDefault="00D9415E" w:rsidP="00BD1472">
      <w:pPr>
        <w:spacing w:line="276" w:lineRule="auto"/>
        <w:ind w:firstLine="720"/>
        <w:jc w:val="both"/>
        <w:rPr>
          <w:rFonts w:asciiTheme="majorBidi" w:hAnsiTheme="majorBidi" w:cstheme="majorBidi"/>
        </w:rPr>
      </w:pPr>
      <w:r w:rsidRPr="00665AED">
        <w:rPr>
          <w:rFonts w:asciiTheme="majorBidi" w:hAnsiTheme="majorBidi" w:cstheme="majorBidi"/>
        </w:rPr>
        <w:t xml:space="preserve">Savukārt uz vecuma pabalstiem attiecas </w:t>
      </w:r>
      <w:r w:rsidRPr="00665AED">
        <w:t>Tirdzniecības un sadarbības nolīguma</w:t>
      </w:r>
      <w:r w:rsidRPr="00665AED">
        <w:rPr>
          <w:rStyle w:val="oj-italic"/>
        </w:rPr>
        <w:t xml:space="preserve"> Protokola par sociālā nodrošinājuma koordināciju SSC.7.panta</w:t>
      </w:r>
      <w:r w:rsidRPr="00665AED">
        <w:rPr>
          <w:rFonts w:asciiTheme="majorBidi" w:hAnsiTheme="majorBidi" w:cstheme="majorBidi"/>
        </w:rPr>
        <w:t xml:space="preserve"> noteikumi par periodu summēšanu.</w:t>
      </w:r>
    </w:p>
    <w:p w14:paraId="72F15B6F" w14:textId="77777777" w:rsidR="00D9415E" w:rsidRPr="00665AED" w:rsidRDefault="00D9415E" w:rsidP="00BD1472">
      <w:pPr>
        <w:spacing w:line="276" w:lineRule="auto"/>
        <w:ind w:firstLine="720"/>
        <w:jc w:val="both"/>
        <w:rPr>
          <w:rFonts w:asciiTheme="majorBidi" w:hAnsiTheme="majorBidi" w:cstheme="majorBidi"/>
          <w:i/>
          <w:iCs/>
        </w:rPr>
      </w:pPr>
    </w:p>
    <w:p w14:paraId="5FACC2D0" w14:textId="6182D34F" w:rsidR="00D431C1" w:rsidRPr="00665AED" w:rsidRDefault="00D9415E" w:rsidP="00BD1472">
      <w:pPr>
        <w:spacing w:line="276" w:lineRule="auto"/>
        <w:ind w:firstLine="720"/>
        <w:jc w:val="both"/>
        <w:rPr>
          <w:rFonts w:asciiTheme="majorBidi" w:hAnsiTheme="majorBidi" w:cstheme="majorBidi"/>
          <w:i/>
          <w:iCs/>
        </w:rPr>
      </w:pPr>
      <w:r w:rsidRPr="00665AED">
        <w:rPr>
          <w:rFonts w:asciiTheme="majorBidi" w:hAnsiTheme="majorBidi" w:cstheme="majorBidi"/>
          <w:i/>
          <w:iCs/>
        </w:rPr>
        <w:t>Secinājums</w:t>
      </w:r>
    </w:p>
    <w:p w14:paraId="058F6C80" w14:textId="7EE5BB1B" w:rsidR="00D431C1" w:rsidRPr="00665AED" w:rsidRDefault="00D431C1" w:rsidP="00BD1472">
      <w:pPr>
        <w:spacing w:line="276" w:lineRule="auto"/>
        <w:ind w:firstLine="720"/>
        <w:jc w:val="both"/>
      </w:pPr>
      <w:r w:rsidRPr="00665AED">
        <w:rPr>
          <w:rFonts w:asciiTheme="majorBidi" w:hAnsiTheme="majorBidi" w:cstheme="majorBidi"/>
        </w:rPr>
        <w:t>[1</w:t>
      </w:r>
      <w:r w:rsidR="00665AED" w:rsidRPr="00665AED">
        <w:rPr>
          <w:rFonts w:asciiTheme="majorBidi" w:hAnsiTheme="majorBidi" w:cstheme="majorBidi"/>
        </w:rPr>
        <w:t>8</w:t>
      </w:r>
      <w:r w:rsidRPr="00665AED">
        <w:rPr>
          <w:rFonts w:asciiTheme="majorBidi" w:hAnsiTheme="majorBidi" w:cstheme="majorBidi"/>
        </w:rPr>
        <w:t xml:space="preserve">] Ievērojot iepriekš minēto, Senāts atzīst, ka apgabaltiesa ir nepareizi interpretējusi </w:t>
      </w:r>
      <w:r w:rsidRPr="00665AED">
        <w:rPr>
          <w:rFonts w:eastAsia="Calibri"/>
          <w:iCs/>
        </w:rPr>
        <w:t xml:space="preserve">Izdienas pensiju likuma 3.panta pirmās daļas 10.punktu, atzīstot, ka izdienas stāžā ir ieskaitāms </w:t>
      </w:r>
      <w:r w:rsidRPr="00665AED">
        <w:t xml:space="preserve">citās iestādēs, pie komersantiem un organizācijās nostrādātais laiks </w:t>
      </w:r>
      <w:r w:rsidR="00635255" w:rsidRPr="00665AED">
        <w:t xml:space="preserve">tikai </w:t>
      </w:r>
      <w:r w:rsidRPr="00665AED">
        <w:t>Latvijas teritorijā. Attiecīgi apgabaltiesa nav vērtējusi tiesisko regulējumu par</w:t>
      </w:r>
      <w:r w:rsidR="00762DDE">
        <w:t xml:space="preserve"> pieteicēja</w:t>
      </w:r>
      <w:r w:rsidRPr="00665AED">
        <w:t xml:space="preserve"> </w:t>
      </w:r>
      <w:r w:rsidR="00D9415E" w:rsidRPr="00665AED">
        <w:t>nostrādā</w:t>
      </w:r>
      <w:r w:rsidR="00762DDE">
        <w:t>tā</w:t>
      </w:r>
      <w:r w:rsidR="00D9415E" w:rsidRPr="00665AED">
        <w:t xml:space="preserve"> laika</w:t>
      </w:r>
      <w:r w:rsidRPr="00665AED">
        <w:t xml:space="preserve"> Apvienotajā Karalistē</w:t>
      </w:r>
      <w:r w:rsidR="00D9415E" w:rsidRPr="00665AED">
        <w:t xml:space="preserve"> ieskaitīšanu apdrošināšanas stāžā</w:t>
      </w:r>
      <w:r w:rsidRPr="00665AED">
        <w:t>. Līdz ar to apgabaltiesas spriedums ir atceļams.</w:t>
      </w:r>
    </w:p>
    <w:p w14:paraId="3656A345" w14:textId="77777777" w:rsidR="00A33CB7" w:rsidRDefault="00A33CB7" w:rsidP="00BD1472">
      <w:pPr>
        <w:spacing w:line="276" w:lineRule="auto"/>
        <w:ind w:firstLine="720"/>
        <w:contextualSpacing/>
        <w:jc w:val="both"/>
      </w:pPr>
    </w:p>
    <w:p w14:paraId="483DFCFA" w14:textId="77777777" w:rsidR="0046057A" w:rsidRPr="006D7E3B" w:rsidRDefault="0046057A" w:rsidP="00BD1472">
      <w:pPr>
        <w:keepNext/>
        <w:spacing w:line="276" w:lineRule="auto"/>
        <w:jc w:val="center"/>
        <w:rPr>
          <w:b/>
          <w:bCs/>
        </w:rPr>
      </w:pPr>
      <w:r w:rsidRPr="006D7E3B">
        <w:rPr>
          <w:b/>
          <w:bCs/>
        </w:rPr>
        <w:t>Rezolutīvā daļa</w:t>
      </w:r>
    </w:p>
    <w:p w14:paraId="2B45D0E7" w14:textId="77777777" w:rsidR="005650D2" w:rsidRDefault="005650D2" w:rsidP="00BD1472">
      <w:pPr>
        <w:keepNext/>
        <w:tabs>
          <w:tab w:val="left" w:pos="6660"/>
        </w:tabs>
        <w:spacing w:line="276" w:lineRule="auto"/>
        <w:ind w:firstLine="720"/>
        <w:jc w:val="both"/>
      </w:pPr>
    </w:p>
    <w:p w14:paraId="3A925526" w14:textId="6B4E05EA" w:rsidR="00D431C1" w:rsidRDefault="00D431C1" w:rsidP="00BD1472">
      <w:pPr>
        <w:keepNext/>
        <w:tabs>
          <w:tab w:val="left" w:pos="6660"/>
        </w:tabs>
        <w:spacing w:line="276" w:lineRule="auto"/>
        <w:ind w:firstLine="720"/>
        <w:jc w:val="both"/>
      </w:pPr>
      <w:r>
        <w:t>Pamatojoties uz Administratīvā procesa likuma 129.</w:t>
      </w:r>
      <w:r>
        <w:rPr>
          <w:vertAlign w:val="superscript"/>
        </w:rPr>
        <w:t>1</w:t>
      </w:r>
      <w:r>
        <w:t>panta pirmās daļas 1.punktu, 348.panta pirmās daļas 2.punktu un 351.pantu, Senāts</w:t>
      </w:r>
    </w:p>
    <w:p w14:paraId="27AA9732" w14:textId="77777777" w:rsidR="0046057A" w:rsidRPr="006D7E3B" w:rsidRDefault="0046057A" w:rsidP="00BD1472">
      <w:pPr>
        <w:tabs>
          <w:tab w:val="left" w:pos="6660"/>
        </w:tabs>
        <w:spacing w:line="276" w:lineRule="auto"/>
        <w:ind w:firstLine="720"/>
        <w:jc w:val="both"/>
        <w:rPr>
          <w:strike/>
        </w:rPr>
      </w:pPr>
    </w:p>
    <w:p w14:paraId="56772810" w14:textId="77777777" w:rsidR="0046057A" w:rsidRPr="006D7E3B" w:rsidRDefault="0046057A" w:rsidP="00BD1472">
      <w:pPr>
        <w:keepNext/>
        <w:spacing w:line="276" w:lineRule="auto"/>
        <w:jc w:val="center"/>
        <w:rPr>
          <w:b/>
          <w:bCs/>
        </w:rPr>
      </w:pPr>
      <w:r w:rsidRPr="006D7E3B">
        <w:rPr>
          <w:b/>
          <w:bCs/>
        </w:rPr>
        <w:t>nosprieda</w:t>
      </w:r>
    </w:p>
    <w:p w14:paraId="50B8B380" w14:textId="77777777" w:rsidR="005650D2" w:rsidRDefault="005650D2" w:rsidP="00BD1472">
      <w:pPr>
        <w:keepNext/>
        <w:spacing w:line="276" w:lineRule="auto"/>
        <w:ind w:firstLine="720"/>
        <w:jc w:val="both"/>
      </w:pPr>
    </w:p>
    <w:p w14:paraId="5FD2245E" w14:textId="57C58CD5" w:rsidR="00D431C1" w:rsidRDefault="00D431C1" w:rsidP="00BD1472">
      <w:pPr>
        <w:keepNext/>
        <w:spacing w:line="276" w:lineRule="auto"/>
        <w:ind w:firstLine="720"/>
        <w:jc w:val="both"/>
      </w:pPr>
      <w:r>
        <w:t xml:space="preserve">atcelt </w:t>
      </w:r>
      <w:r w:rsidRPr="00894CA2">
        <w:t xml:space="preserve">Administratīvās apgabaltiesas </w:t>
      </w:r>
      <w:r w:rsidRPr="0061219A">
        <w:t>202</w:t>
      </w:r>
      <w:r>
        <w:t>4</w:t>
      </w:r>
      <w:r w:rsidRPr="0061219A">
        <w:t xml:space="preserve">.gada </w:t>
      </w:r>
      <w:r>
        <w:t>12.novembra</w:t>
      </w:r>
      <w:r w:rsidRPr="0061219A">
        <w:t xml:space="preserve"> </w:t>
      </w:r>
      <w:r w:rsidRPr="00894CA2">
        <w:t>spriedumu</w:t>
      </w:r>
      <w:r w:rsidRPr="001A2AA5">
        <w:t xml:space="preserve"> </w:t>
      </w:r>
      <w:r>
        <w:t>un nosūtīt lietu jaunai izskatīšanai Administratīvajai apgabaltiesai;</w:t>
      </w:r>
    </w:p>
    <w:p w14:paraId="1BCA161F" w14:textId="15DB9D43" w:rsidR="00D431C1" w:rsidRDefault="00D431C1" w:rsidP="00BD1472">
      <w:pPr>
        <w:spacing w:line="276" w:lineRule="auto"/>
        <w:ind w:firstLine="720"/>
        <w:jc w:val="both"/>
        <w:rPr>
          <w:lang w:eastAsia="en-US"/>
        </w:rPr>
      </w:pPr>
      <w:r>
        <w:rPr>
          <w:lang w:eastAsia="en-US"/>
        </w:rPr>
        <w:t xml:space="preserve">atmaksāt </w:t>
      </w:r>
      <w:r w:rsidR="00BD1472">
        <w:t xml:space="preserve">[pers. A] </w:t>
      </w:r>
      <w:r>
        <w:rPr>
          <w:shd w:val="clear" w:color="auto" w:fill="FFFFFF"/>
        </w:rPr>
        <w:t>par</w:t>
      </w:r>
      <w:r>
        <w:rPr>
          <w:lang w:eastAsia="en-US"/>
        </w:rPr>
        <w:t xml:space="preserve"> kasācijas sūdzību samaksāto drošības naudu 70 </w:t>
      </w:r>
      <w:r>
        <w:rPr>
          <w:i/>
          <w:iCs/>
          <w:lang w:eastAsia="en-US"/>
        </w:rPr>
        <w:t>euro</w:t>
      </w:r>
      <w:r>
        <w:rPr>
          <w:lang w:eastAsia="en-US"/>
        </w:rPr>
        <w:t>.</w:t>
      </w:r>
    </w:p>
    <w:p w14:paraId="5AA74504" w14:textId="77777777" w:rsidR="0046057A" w:rsidRPr="006D7E3B" w:rsidRDefault="0046057A" w:rsidP="00BD1472">
      <w:pPr>
        <w:pStyle w:val="NoSpacing"/>
        <w:spacing w:line="276" w:lineRule="auto"/>
        <w:ind w:firstLine="720"/>
        <w:jc w:val="both"/>
        <w:rPr>
          <w:iCs/>
          <w:lang w:val="lv-LV"/>
        </w:rPr>
      </w:pPr>
    </w:p>
    <w:p w14:paraId="399A7E5C" w14:textId="0D14E6C8" w:rsidR="005650D2" w:rsidRPr="00BD1472" w:rsidRDefault="00AE6B45" w:rsidP="00BD1472">
      <w:pPr>
        <w:tabs>
          <w:tab w:val="left" w:pos="6660"/>
        </w:tabs>
        <w:spacing w:line="276" w:lineRule="auto"/>
        <w:ind w:firstLine="720"/>
        <w:contextualSpacing/>
        <w:jc w:val="both"/>
      </w:pPr>
      <w:bookmarkStart w:id="0" w:name="_Hlk107329799"/>
      <w:r w:rsidRPr="006D7E3B">
        <w:t>Spriedums nav pārsūdzams.</w:t>
      </w:r>
      <w:bookmarkEnd w:id="0"/>
    </w:p>
    <w:sectPr w:rsidR="005650D2" w:rsidRPr="00BD1472" w:rsidSect="00A33CB7">
      <w:footerReference w:type="default" r:id="rId22"/>
      <w:pgSz w:w="12240" w:h="15840"/>
      <w:pgMar w:top="1134" w:right="170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D73ED1" w14:textId="77777777" w:rsidR="00234610" w:rsidRDefault="00234610" w:rsidP="00585C37">
      <w:r>
        <w:separator/>
      </w:r>
    </w:p>
  </w:endnote>
  <w:endnote w:type="continuationSeparator" w:id="0">
    <w:p w14:paraId="2B863E99" w14:textId="77777777" w:rsidR="00234610" w:rsidRDefault="00234610" w:rsidP="00585C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altName w:val="Times New Roman PSMT"/>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640B32" w14:textId="5957735B" w:rsidR="00585C37" w:rsidRPr="00D51EE9" w:rsidRDefault="00585C37" w:rsidP="00D51EE9">
    <w:pPr>
      <w:pStyle w:val="Footer"/>
      <w:jc w:val="center"/>
      <w:rPr>
        <w:sz w:val="20"/>
        <w:szCs w:val="20"/>
      </w:rPr>
    </w:pPr>
    <w:r w:rsidRPr="00103089">
      <w:rPr>
        <w:sz w:val="20"/>
        <w:szCs w:val="20"/>
      </w:rPr>
      <w:fldChar w:fldCharType="begin"/>
    </w:r>
    <w:r w:rsidRPr="00103089">
      <w:rPr>
        <w:sz w:val="20"/>
        <w:szCs w:val="20"/>
      </w:rPr>
      <w:instrText>PAGE</w:instrText>
    </w:r>
    <w:r w:rsidRPr="00103089">
      <w:rPr>
        <w:sz w:val="20"/>
        <w:szCs w:val="20"/>
      </w:rPr>
      <w:fldChar w:fldCharType="separate"/>
    </w:r>
    <w:r w:rsidR="00315A02">
      <w:rPr>
        <w:noProof/>
        <w:sz w:val="20"/>
        <w:szCs w:val="20"/>
      </w:rPr>
      <w:t>15</w:t>
    </w:r>
    <w:r w:rsidRPr="00103089">
      <w:rPr>
        <w:sz w:val="20"/>
        <w:szCs w:val="20"/>
      </w:rPr>
      <w:fldChar w:fldCharType="end"/>
    </w:r>
    <w:r w:rsidRPr="00103089">
      <w:rPr>
        <w:rStyle w:val="PageNumber"/>
        <w:sz w:val="20"/>
        <w:szCs w:val="20"/>
      </w:rPr>
      <w:t xml:space="preserve"> no </w:t>
    </w:r>
    <w:r w:rsidRPr="00103089">
      <w:rPr>
        <w:noProof/>
        <w:sz w:val="20"/>
        <w:szCs w:val="20"/>
      </w:rPr>
      <w:fldChar w:fldCharType="begin"/>
    </w:r>
    <w:r w:rsidRPr="00103089">
      <w:rPr>
        <w:noProof/>
        <w:sz w:val="20"/>
        <w:szCs w:val="20"/>
      </w:rPr>
      <w:instrText>SECTIONPAGES   \* MERGEFORMAT</w:instrText>
    </w:r>
    <w:r w:rsidRPr="00103089">
      <w:rPr>
        <w:noProof/>
        <w:sz w:val="20"/>
        <w:szCs w:val="20"/>
      </w:rPr>
      <w:fldChar w:fldCharType="separate"/>
    </w:r>
    <w:r w:rsidR="00234610">
      <w:rPr>
        <w:noProof/>
        <w:sz w:val="20"/>
        <w:szCs w:val="20"/>
      </w:rPr>
      <w:t>1</w:t>
    </w:r>
    <w:r w:rsidRPr="00103089">
      <w:rPr>
        <w:noProof/>
        <w:sz w:val="20"/>
        <w:szCs w:val="20"/>
      </w:rPr>
      <w:fldChar w:fldCharType="end"/>
    </w:r>
    <w:bookmarkStart w:id="1" w:name="__Fieldmark__171_3260321367"/>
    <w:bookmarkStart w:id="2" w:name="__Fieldmark__667_1373986896"/>
    <w:bookmarkStart w:id="3" w:name="__Fieldmark__363_2235992191"/>
    <w:bookmarkEnd w:id="1"/>
    <w:bookmarkEnd w:id="2"/>
    <w:bookmarkEnd w:id="3"/>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4102F6" w14:textId="77777777" w:rsidR="00234610" w:rsidRDefault="00234610" w:rsidP="00585C37">
      <w:r>
        <w:separator/>
      </w:r>
    </w:p>
  </w:footnote>
  <w:footnote w:type="continuationSeparator" w:id="0">
    <w:p w14:paraId="15AE1FA6" w14:textId="77777777" w:rsidR="00234610" w:rsidRDefault="00234610" w:rsidP="00585C3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88331C"/>
    <w:multiLevelType w:val="multilevel"/>
    <w:tmpl w:val="B2D64BE8"/>
    <w:lvl w:ilvl="0">
      <w:start w:val="1"/>
      <w:numFmt w:val="decimal"/>
      <w:lvlText w:val="[%1]"/>
      <w:lvlJc w:val="left"/>
      <w:pPr>
        <w:ind w:left="0" w:firstLine="794"/>
      </w:pPr>
      <w:rPr>
        <w:b w:val="0"/>
        <w:color w:val="auto"/>
      </w:rPr>
    </w:lvl>
    <w:lvl w:ilvl="1">
      <w:start w:val="1"/>
      <w:numFmt w:val="decimal"/>
      <w:lvlText w:val="[%1.%2]"/>
      <w:lvlJc w:val="left"/>
      <w:pPr>
        <w:ind w:left="0" w:firstLine="851"/>
      </w:pPr>
      <w:rPr>
        <w:b w:val="0"/>
      </w:rPr>
    </w:lvl>
    <w:lvl w:ilvl="2">
      <w:start w:val="1"/>
      <w:numFmt w:val="decimal"/>
      <w:lvlText w:val="[%1.%2.%3]"/>
      <w:lvlJc w:val="left"/>
      <w:pPr>
        <w:ind w:left="680" w:hanging="680"/>
      </w:pPr>
    </w:lvl>
    <w:lvl w:ilvl="3">
      <w:start w:val="1"/>
      <w:numFmt w:val="bullet"/>
      <w:lvlText w:val=""/>
      <w:lvlJc w:val="left"/>
      <w:pPr>
        <w:ind w:left="680" w:hanging="680"/>
      </w:pPr>
      <w:rPr>
        <w:rFonts w:ascii="Symbol" w:hAnsi="Symbol" w:hint="default"/>
      </w:rPr>
    </w:lvl>
    <w:lvl w:ilvl="4">
      <w:start w:val="1"/>
      <w:numFmt w:val="bullet"/>
      <w:lvlText w:val="o"/>
      <w:lvlJc w:val="left"/>
      <w:pPr>
        <w:ind w:left="680" w:hanging="680"/>
      </w:pPr>
      <w:rPr>
        <w:rFonts w:ascii="Courier New" w:hAnsi="Courier New" w:cs="Courier New" w:hint="default"/>
      </w:rPr>
    </w:lvl>
    <w:lvl w:ilvl="5">
      <w:start w:val="1"/>
      <w:numFmt w:val="bullet"/>
      <w:lvlText w:val=""/>
      <w:lvlJc w:val="left"/>
      <w:pPr>
        <w:ind w:left="680" w:hanging="680"/>
      </w:pPr>
      <w:rPr>
        <w:rFonts w:ascii="Wingdings" w:hAnsi="Wingdings" w:hint="default"/>
      </w:rPr>
    </w:lvl>
    <w:lvl w:ilvl="6">
      <w:start w:val="1"/>
      <w:numFmt w:val="bullet"/>
      <w:lvlText w:val=""/>
      <w:lvlJc w:val="left"/>
      <w:pPr>
        <w:ind w:left="680" w:hanging="680"/>
      </w:pPr>
      <w:rPr>
        <w:rFonts w:ascii="Symbol" w:hAnsi="Symbol" w:hint="default"/>
      </w:rPr>
    </w:lvl>
    <w:lvl w:ilvl="7">
      <w:start w:val="1"/>
      <w:numFmt w:val="bullet"/>
      <w:lvlText w:val="o"/>
      <w:lvlJc w:val="left"/>
      <w:pPr>
        <w:ind w:left="680" w:hanging="680"/>
      </w:pPr>
      <w:rPr>
        <w:rFonts w:ascii="Courier New" w:hAnsi="Courier New" w:cs="Courier New" w:hint="default"/>
      </w:rPr>
    </w:lvl>
    <w:lvl w:ilvl="8">
      <w:start w:val="1"/>
      <w:numFmt w:val="bullet"/>
      <w:lvlText w:val=""/>
      <w:lvlJc w:val="left"/>
      <w:pPr>
        <w:ind w:left="680" w:hanging="680"/>
      </w:pPr>
      <w:rPr>
        <w:rFonts w:ascii="Wingdings" w:hAnsi="Wingdings" w:hint="default"/>
      </w:rPr>
    </w:lvl>
  </w:abstractNum>
  <w:abstractNum w:abstractNumId="1" w15:restartNumberingAfterBreak="0">
    <w:nsid w:val="2C211AF7"/>
    <w:multiLevelType w:val="hybridMultilevel"/>
    <w:tmpl w:val="E03C0010"/>
    <w:lvl w:ilvl="0" w:tplc="BD2E4444">
      <w:start w:val="1"/>
      <w:numFmt w:val="decimal"/>
      <w:lvlText w:val="%1."/>
      <w:lvlJc w:val="left"/>
      <w:pPr>
        <w:ind w:left="360" w:hanging="360"/>
      </w:pPr>
      <w:rPr>
        <w:rFonts w:hint="default"/>
        <w:b/>
        <w:bCs/>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2" w15:restartNumberingAfterBreak="0">
    <w:nsid w:val="34C36C88"/>
    <w:multiLevelType w:val="hybridMultilevel"/>
    <w:tmpl w:val="3B8240F8"/>
    <w:lvl w:ilvl="0" w:tplc="0426000F">
      <w:start w:val="1"/>
      <w:numFmt w:val="decimal"/>
      <w:lvlText w:val="%1."/>
      <w:lvlJc w:val="left"/>
      <w:pPr>
        <w:ind w:left="36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3" w15:restartNumberingAfterBreak="0">
    <w:nsid w:val="51600580"/>
    <w:multiLevelType w:val="multilevel"/>
    <w:tmpl w:val="4C4EBD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88C47E8"/>
    <w:multiLevelType w:val="hybridMultilevel"/>
    <w:tmpl w:val="D610ACCA"/>
    <w:lvl w:ilvl="0" w:tplc="2BFCC36E">
      <w:start w:val="1"/>
      <w:numFmt w:val="decimal"/>
      <w:lvlText w:val="%1)"/>
      <w:lvlJc w:val="left"/>
      <w:pPr>
        <w:ind w:left="1080" w:hanging="360"/>
      </w:pPr>
      <w:rPr>
        <w:rFonts w:ascii="Times New Roman" w:hAnsi="Times New Roman" w:cstheme="minorBidi"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5" w15:restartNumberingAfterBreak="0">
    <w:nsid w:val="746110E2"/>
    <w:multiLevelType w:val="hybridMultilevel"/>
    <w:tmpl w:val="6930DB22"/>
    <w:lvl w:ilvl="0" w:tplc="04260011">
      <w:start w:val="1"/>
      <w:numFmt w:val="decimal"/>
      <w:lvlText w:val="%1)"/>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num w:numId="1" w16cid:durableId="985933187">
    <w:abstractNumId w:val="0"/>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2" w16cid:durableId="677387336">
    <w:abstractNumId w:val="5"/>
  </w:num>
  <w:num w:numId="3" w16cid:durableId="1260912776">
    <w:abstractNumId w:val="1"/>
  </w:num>
  <w:num w:numId="4" w16cid:durableId="839197127">
    <w:abstractNumId w:val="4"/>
  </w:num>
  <w:num w:numId="5" w16cid:durableId="1507405278">
    <w:abstractNumId w:val="3"/>
  </w:num>
  <w:num w:numId="6" w16cid:durableId="132790153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removePersonalInformation/>
  <w:removeDateAndTime/>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5B45"/>
    <w:rsid w:val="000007C1"/>
    <w:rsid w:val="00002D40"/>
    <w:rsid w:val="0000713F"/>
    <w:rsid w:val="00007928"/>
    <w:rsid w:val="0001082E"/>
    <w:rsid w:val="00011DD9"/>
    <w:rsid w:val="00012566"/>
    <w:rsid w:val="00013F84"/>
    <w:rsid w:val="00015188"/>
    <w:rsid w:val="000158E5"/>
    <w:rsid w:val="00015E08"/>
    <w:rsid w:val="000228B9"/>
    <w:rsid w:val="00024BF0"/>
    <w:rsid w:val="00025BBF"/>
    <w:rsid w:val="00027C28"/>
    <w:rsid w:val="000327C5"/>
    <w:rsid w:val="00032E29"/>
    <w:rsid w:val="00034A4A"/>
    <w:rsid w:val="000415B5"/>
    <w:rsid w:val="000418FA"/>
    <w:rsid w:val="00042889"/>
    <w:rsid w:val="00042B98"/>
    <w:rsid w:val="00043A33"/>
    <w:rsid w:val="00044BCA"/>
    <w:rsid w:val="00044C1F"/>
    <w:rsid w:val="00045CF7"/>
    <w:rsid w:val="0004672C"/>
    <w:rsid w:val="00050BB4"/>
    <w:rsid w:val="0005185E"/>
    <w:rsid w:val="00054AFF"/>
    <w:rsid w:val="00056AFB"/>
    <w:rsid w:val="0005721F"/>
    <w:rsid w:val="00060651"/>
    <w:rsid w:val="00063529"/>
    <w:rsid w:val="000659F5"/>
    <w:rsid w:val="00065AA5"/>
    <w:rsid w:val="00065DE7"/>
    <w:rsid w:val="0006612B"/>
    <w:rsid w:val="000666BE"/>
    <w:rsid w:val="00071DF0"/>
    <w:rsid w:val="00073628"/>
    <w:rsid w:val="0007506C"/>
    <w:rsid w:val="00075460"/>
    <w:rsid w:val="00077255"/>
    <w:rsid w:val="000774F2"/>
    <w:rsid w:val="0008022B"/>
    <w:rsid w:val="00080D38"/>
    <w:rsid w:val="00083684"/>
    <w:rsid w:val="00083C86"/>
    <w:rsid w:val="000843CE"/>
    <w:rsid w:val="000867E7"/>
    <w:rsid w:val="00086D26"/>
    <w:rsid w:val="000878A0"/>
    <w:rsid w:val="000913B5"/>
    <w:rsid w:val="00092FC9"/>
    <w:rsid w:val="00093612"/>
    <w:rsid w:val="00093BB8"/>
    <w:rsid w:val="000942E8"/>
    <w:rsid w:val="000957AC"/>
    <w:rsid w:val="000957E4"/>
    <w:rsid w:val="00095FAC"/>
    <w:rsid w:val="00096263"/>
    <w:rsid w:val="00096D60"/>
    <w:rsid w:val="0009716F"/>
    <w:rsid w:val="000A124E"/>
    <w:rsid w:val="000A2169"/>
    <w:rsid w:val="000A4084"/>
    <w:rsid w:val="000A45EE"/>
    <w:rsid w:val="000A6D28"/>
    <w:rsid w:val="000A6F0B"/>
    <w:rsid w:val="000A7A94"/>
    <w:rsid w:val="000B0229"/>
    <w:rsid w:val="000B120B"/>
    <w:rsid w:val="000B5C14"/>
    <w:rsid w:val="000C11CF"/>
    <w:rsid w:val="000C1CC6"/>
    <w:rsid w:val="000C2A7A"/>
    <w:rsid w:val="000C6B25"/>
    <w:rsid w:val="000C7919"/>
    <w:rsid w:val="000D11D2"/>
    <w:rsid w:val="000D226D"/>
    <w:rsid w:val="000D26BE"/>
    <w:rsid w:val="000D30AC"/>
    <w:rsid w:val="000D30F5"/>
    <w:rsid w:val="000D6016"/>
    <w:rsid w:val="000E0C50"/>
    <w:rsid w:val="000E3911"/>
    <w:rsid w:val="000E715E"/>
    <w:rsid w:val="000E744D"/>
    <w:rsid w:val="000F1E17"/>
    <w:rsid w:val="000F1F00"/>
    <w:rsid w:val="000F2F06"/>
    <w:rsid w:val="000F33E9"/>
    <w:rsid w:val="000F5605"/>
    <w:rsid w:val="000F5FEB"/>
    <w:rsid w:val="000F6362"/>
    <w:rsid w:val="000F6C5C"/>
    <w:rsid w:val="000F6C5E"/>
    <w:rsid w:val="000F776C"/>
    <w:rsid w:val="0010138F"/>
    <w:rsid w:val="00101C8A"/>
    <w:rsid w:val="00101DB3"/>
    <w:rsid w:val="00103A52"/>
    <w:rsid w:val="001048F5"/>
    <w:rsid w:val="0010558D"/>
    <w:rsid w:val="00106095"/>
    <w:rsid w:val="00106EF5"/>
    <w:rsid w:val="00106FCA"/>
    <w:rsid w:val="0011056A"/>
    <w:rsid w:val="001106A6"/>
    <w:rsid w:val="00110D4B"/>
    <w:rsid w:val="00115A62"/>
    <w:rsid w:val="00116A89"/>
    <w:rsid w:val="001201AF"/>
    <w:rsid w:val="00120E95"/>
    <w:rsid w:val="00122A6A"/>
    <w:rsid w:val="00123E14"/>
    <w:rsid w:val="00124FC8"/>
    <w:rsid w:val="00125669"/>
    <w:rsid w:val="00125C79"/>
    <w:rsid w:val="00126B8D"/>
    <w:rsid w:val="0012724E"/>
    <w:rsid w:val="00127ACE"/>
    <w:rsid w:val="00130F5D"/>
    <w:rsid w:val="0013366E"/>
    <w:rsid w:val="00135FD7"/>
    <w:rsid w:val="00136BB6"/>
    <w:rsid w:val="00140034"/>
    <w:rsid w:val="00141443"/>
    <w:rsid w:val="00141CB6"/>
    <w:rsid w:val="0014290F"/>
    <w:rsid w:val="00142B17"/>
    <w:rsid w:val="00144A19"/>
    <w:rsid w:val="00144C72"/>
    <w:rsid w:val="0015083E"/>
    <w:rsid w:val="001545EF"/>
    <w:rsid w:val="001548D2"/>
    <w:rsid w:val="00154A11"/>
    <w:rsid w:val="00155A51"/>
    <w:rsid w:val="001624F4"/>
    <w:rsid w:val="00162E13"/>
    <w:rsid w:val="00163F8C"/>
    <w:rsid w:val="0016715E"/>
    <w:rsid w:val="001729C8"/>
    <w:rsid w:val="001736AA"/>
    <w:rsid w:val="00173C32"/>
    <w:rsid w:val="001742E0"/>
    <w:rsid w:val="0017470D"/>
    <w:rsid w:val="00174C57"/>
    <w:rsid w:val="00176CF6"/>
    <w:rsid w:val="00176E96"/>
    <w:rsid w:val="001775BF"/>
    <w:rsid w:val="00177A68"/>
    <w:rsid w:val="00180943"/>
    <w:rsid w:val="0018312C"/>
    <w:rsid w:val="0018333B"/>
    <w:rsid w:val="00187514"/>
    <w:rsid w:val="00187CAB"/>
    <w:rsid w:val="00192679"/>
    <w:rsid w:val="00193649"/>
    <w:rsid w:val="00195BEA"/>
    <w:rsid w:val="00196558"/>
    <w:rsid w:val="00197557"/>
    <w:rsid w:val="001A2FD5"/>
    <w:rsid w:val="001A2FEF"/>
    <w:rsid w:val="001A323B"/>
    <w:rsid w:val="001A3BB8"/>
    <w:rsid w:val="001A45E3"/>
    <w:rsid w:val="001A5F92"/>
    <w:rsid w:val="001B4C4B"/>
    <w:rsid w:val="001B53E7"/>
    <w:rsid w:val="001B7B84"/>
    <w:rsid w:val="001C2332"/>
    <w:rsid w:val="001C3046"/>
    <w:rsid w:val="001C69D1"/>
    <w:rsid w:val="001C6B2C"/>
    <w:rsid w:val="001D10BF"/>
    <w:rsid w:val="001D1DC9"/>
    <w:rsid w:val="001D3C27"/>
    <w:rsid w:val="001D4028"/>
    <w:rsid w:val="001D4316"/>
    <w:rsid w:val="001D470F"/>
    <w:rsid w:val="001D494B"/>
    <w:rsid w:val="001D5717"/>
    <w:rsid w:val="001D796C"/>
    <w:rsid w:val="001E0103"/>
    <w:rsid w:val="001E2232"/>
    <w:rsid w:val="001E3B38"/>
    <w:rsid w:val="001E499D"/>
    <w:rsid w:val="001E6BD3"/>
    <w:rsid w:val="001F1D17"/>
    <w:rsid w:val="001F520D"/>
    <w:rsid w:val="001F5F38"/>
    <w:rsid w:val="001F7B4D"/>
    <w:rsid w:val="002014F7"/>
    <w:rsid w:val="00210135"/>
    <w:rsid w:val="00210618"/>
    <w:rsid w:val="00210C38"/>
    <w:rsid w:val="00212753"/>
    <w:rsid w:val="00212C9A"/>
    <w:rsid w:val="0021385D"/>
    <w:rsid w:val="00221F66"/>
    <w:rsid w:val="00222217"/>
    <w:rsid w:val="00223319"/>
    <w:rsid w:val="002246CF"/>
    <w:rsid w:val="002256BA"/>
    <w:rsid w:val="00226292"/>
    <w:rsid w:val="00227C35"/>
    <w:rsid w:val="0023115E"/>
    <w:rsid w:val="0023182D"/>
    <w:rsid w:val="002324DF"/>
    <w:rsid w:val="002329A4"/>
    <w:rsid w:val="00232C0B"/>
    <w:rsid w:val="002342D4"/>
    <w:rsid w:val="00234610"/>
    <w:rsid w:val="00240562"/>
    <w:rsid w:val="002408FE"/>
    <w:rsid w:val="002421AE"/>
    <w:rsid w:val="00242561"/>
    <w:rsid w:val="0024257D"/>
    <w:rsid w:val="00242C91"/>
    <w:rsid w:val="0024597D"/>
    <w:rsid w:val="0024609F"/>
    <w:rsid w:val="002467D9"/>
    <w:rsid w:val="00246C26"/>
    <w:rsid w:val="00250B2B"/>
    <w:rsid w:val="00251409"/>
    <w:rsid w:val="00251D1F"/>
    <w:rsid w:val="002539D0"/>
    <w:rsid w:val="002542E1"/>
    <w:rsid w:val="002547D8"/>
    <w:rsid w:val="00260A4A"/>
    <w:rsid w:val="00260C5A"/>
    <w:rsid w:val="00260D76"/>
    <w:rsid w:val="002612A5"/>
    <w:rsid w:val="00261EC8"/>
    <w:rsid w:val="00262648"/>
    <w:rsid w:val="00264710"/>
    <w:rsid w:val="00264CDE"/>
    <w:rsid w:val="00265137"/>
    <w:rsid w:val="0026656E"/>
    <w:rsid w:val="00266663"/>
    <w:rsid w:val="00266BBD"/>
    <w:rsid w:val="00266D73"/>
    <w:rsid w:val="00267468"/>
    <w:rsid w:val="002676A8"/>
    <w:rsid w:val="00267D0E"/>
    <w:rsid w:val="00267D22"/>
    <w:rsid w:val="00272845"/>
    <w:rsid w:val="00274319"/>
    <w:rsid w:val="00275347"/>
    <w:rsid w:val="00276181"/>
    <w:rsid w:val="0027663A"/>
    <w:rsid w:val="00276A43"/>
    <w:rsid w:val="00277FA6"/>
    <w:rsid w:val="00281428"/>
    <w:rsid w:val="00281457"/>
    <w:rsid w:val="002814E6"/>
    <w:rsid w:val="00281F3A"/>
    <w:rsid w:val="00282ED9"/>
    <w:rsid w:val="002843B5"/>
    <w:rsid w:val="00284C7A"/>
    <w:rsid w:val="002861FC"/>
    <w:rsid w:val="0028658E"/>
    <w:rsid w:val="00290299"/>
    <w:rsid w:val="00291C07"/>
    <w:rsid w:val="00293E2E"/>
    <w:rsid w:val="002A0995"/>
    <w:rsid w:val="002A13D6"/>
    <w:rsid w:val="002A1D0D"/>
    <w:rsid w:val="002A210B"/>
    <w:rsid w:val="002A3EE5"/>
    <w:rsid w:val="002A5257"/>
    <w:rsid w:val="002A5D09"/>
    <w:rsid w:val="002A7952"/>
    <w:rsid w:val="002B026D"/>
    <w:rsid w:val="002B09B1"/>
    <w:rsid w:val="002B1981"/>
    <w:rsid w:val="002B2123"/>
    <w:rsid w:val="002B43FC"/>
    <w:rsid w:val="002B50F2"/>
    <w:rsid w:val="002B652D"/>
    <w:rsid w:val="002B7057"/>
    <w:rsid w:val="002C2624"/>
    <w:rsid w:val="002C2CBE"/>
    <w:rsid w:val="002C30E8"/>
    <w:rsid w:val="002C4C0D"/>
    <w:rsid w:val="002C50C8"/>
    <w:rsid w:val="002C5960"/>
    <w:rsid w:val="002D0A3C"/>
    <w:rsid w:val="002D0B2B"/>
    <w:rsid w:val="002D0EE4"/>
    <w:rsid w:val="002D23C6"/>
    <w:rsid w:val="002D3741"/>
    <w:rsid w:val="002D4BC2"/>
    <w:rsid w:val="002D5CAA"/>
    <w:rsid w:val="002D7B5E"/>
    <w:rsid w:val="002E01AA"/>
    <w:rsid w:val="002E11F9"/>
    <w:rsid w:val="002E4B27"/>
    <w:rsid w:val="002E704F"/>
    <w:rsid w:val="002F015D"/>
    <w:rsid w:val="002F1D18"/>
    <w:rsid w:val="002F5389"/>
    <w:rsid w:val="002F5629"/>
    <w:rsid w:val="00301546"/>
    <w:rsid w:val="0030283E"/>
    <w:rsid w:val="003030CE"/>
    <w:rsid w:val="00305467"/>
    <w:rsid w:val="0030559F"/>
    <w:rsid w:val="00306695"/>
    <w:rsid w:val="003070AF"/>
    <w:rsid w:val="00310328"/>
    <w:rsid w:val="00310AAB"/>
    <w:rsid w:val="0031198E"/>
    <w:rsid w:val="003122DC"/>
    <w:rsid w:val="00312494"/>
    <w:rsid w:val="00314AC9"/>
    <w:rsid w:val="00314B7C"/>
    <w:rsid w:val="00315A02"/>
    <w:rsid w:val="0031755C"/>
    <w:rsid w:val="00320B23"/>
    <w:rsid w:val="0032223A"/>
    <w:rsid w:val="003224FB"/>
    <w:rsid w:val="00322F0F"/>
    <w:rsid w:val="0032386F"/>
    <w:rsid w:val="003244A8"/>
    <w:rsid w:val="003253F5"/>
    <w:rsid w:val="00326BDE"/>
    <w:rsid w:val="00326EDD"/>
    <w:rsid w:val="003300CC"/>
    <w:rsid w:val="0033022E"/>
    <w:rsid w:val="00331F46"/>
    <w:rsid w:val="00332D16"/>
    <w:rsid w:val="00332F6A"/>
    <w:rsid w:val="00333D4B"/>
    <w:rsid w:val="00334ED3"/>
    <w:rsid w:val="0033560D"/>
    <w:rsid w:val="003372FD"/>
    <w:rsid w:val="003378BB"/>
    <w:rsid w:val="0034257B"/>
    <w:rsid w:val="00342DEF"/>
    <w:rsid w:val="00343492"/>
    <w:rsid w:val="003439D1"/>
    <w:rsid w:val="0034533F"/>
    <w:rsid w:val="003456DE"/>
    <w:rsid w:val="00346765"/>
    <w:rsid w:val="00346D97"/>
    <w:rsid w:val="00350654"/>
    <w:rsid w:val="00353445"/>
    <w:rsid w:val="00353791"/>
    <w:rsid w:val="00353BDA"/>
    <w:rsid w:val="00354A42"/>
    <w:rsid w:val="00354EF2"/>
    <w:rsid w:val="00356647"/>
    <w:rsid w:val="00356CB0"/>
    <w:rsid w:val="00356CB6"/>
    <w:rsid w:val="003573B6"/>
    <w:rsid w:val="00357D8B"/>
    <w:rsid w:val="00360A42"/>
    <w:rsid w:val="00360FFE"/>
    <w:rsid w:val="00361C97"/>
    <w:rsid w:val="00363D15"/>
    <w:rsid w:val="00371CD2"/>
    <w:rsid w:val="00373529"/>
    <w:rsid w:val="00374353"/>
    <w:rsid w:val="00375C6E"/>
    <w:rsid w:val="0037693E"/>
    <w:rsid w:val="003775D8"/>
    <w:rsid w:val="003777EB"/>
    <w:rsid w:val="00380709"/>
    <w:rsid w:val="00380CF7"/>
    <w:rsid w:val="00380EAD"/>
    <w:rsid w:val="00381C43"/>
    <w:rsid w:val="003821D2"/>
    <w:rsid w:val="003825A2"/>
    <w:rsid w:val="0038319B"/>
    <w:rsid w:val="00383F01"/>
    <w:rsid w:val="00385A7F"/>
    <w:rsid w:val="0039000E"/>
    <w:rsid w:val="00391421"/>
    <w:rsid w:val="00393700"/>
    <w:rsid w:val="0039393E"/>
    <w:rsid w:val="00393B6A"/>
    <w:rsid w:val="003946FA"/>
    <w:rsid w:val="003951F5"/>
    <w:rsid w:val="00396244"/>
    <w:rsid w:val="003A0A75"/>
    <w:rsid w:val="003A1F02"/>
    <w:rsid w:val="003A2790"/>
    <w:rsid w:val="003A39D3"/>
    <w:rsid w:val="003A4DBD"/>
    <w:rsid w:val="003A7B21"/>
    <w:rsid w:val="003A7CAD"/>
    <w:rsid w:val="003B10A7"/>
    <w:rsid w:val="003B1CE8"/>
    <w:rsid w:val="003B3ADE"/>
    <w:rsid w:val="003B468B"/>
    <w:rsid w:val="003B6FAD"/>
    <w:rsid w:val="003C0034"/>
    <w:rsid w:val="003C09F8"/>
    <w:rsid w:val="003C1C0B"/>
    <w:rsid w:val="003C231C"/>
    <w:rsid w:val="003C27CA"/>
    <w:rsid w:val="003C4335"/>
    <w:rsid w:val="003C44C9"/>
    <w:rsid w:val="003C4C1A"/>
    <w:rsid w:val="003C507B"/>
    <w:rsid w:val="003C5F31"/>
    <w:rsid w:val="003C60B7"/>
    <w:rsid w:val="003C71E2"/>
    <w:rsid w:val="003C7518"/>
    <w:rsid w:val="003C76A2"/>
    <w:rsid w:val="003D25F4"/>
    <w:rsid w:val="003D4917"/>
    <w:rsid w:val="003D69BE"/>
    <w:rsid w:val="003D7C11"/>
    <w:rsid w:val="003E19C1"/>
    <w:rsid w:val="003E312C"/>
    <w:rsid w:val="003E3A86"/>
    <w:rsid w:val="003E472B"/>
    <w:rsid w:val="003E4B1B"/>
    <w:rsid w:val="003E59D7"/>
    <w:rsid w:val="003F1246"/>
    <w:rsid w:val="003F1C11"/>
    <w:rsid w:val="003F203D"/>
    <w:rsid w:val="003F2E19"/>
    <w:rsid w:val="003F3757"/>
    <w:rsid w:val="003F4247"/>
    <w:rsid w:val="003F444E"/>
    <w:rsid w:val="003F53ED"/>
    <w:rsid w:val="003F7B34"/>
    <w:rsid w:val="00401892"/>
    <w:rsid w:val="00402589"/>
    <w:rsid w:val="00405447"/>
    <w:rsid w:val="004063F7"/>
    <w:rsid w:val="004067EA"/>
    <w:rsid w:val="0040718B"/>
    <w:rsid w:val="00410698"/>
    <w:rsid w:val="00410F3C"/>
    <w:rsid w:val="00411D09"/>
    <w:rsid w:val="00412E63"/>
    <w:rsid w:val="004130EF"/>
    <w:rsid w:val="004146F2"/>
    <w:rsid w:val="00414975"/>
    <w:rsid w:val="0041501C"/>
    <w:rsid w:val="004208C5"/>
    <w:rsid w:val="00421117"/>
    <w:rsid w:val="004215D9"/>
    <w:rsid w:val="004222E2"/>
    <w:rsid w:val="00423A1F"/>
    <w:rsid w:val="00423E5A"/>
    <w:rsid w:val="00424D68"/>
    <w:rsid w:val="00424E5E"/>
    <w:rsid w:val="00426DA4"/>
    <w:rsid w:val="0043139F"/>
    <w:rsid w:val="00431D13"/>
    <w:rsid w:val="004322FD"/>
    <w:rsid w:val="00433457"/>
    <w:rsid w:val="004358E1"/>
    <w:rsid w:val="00435952"/>
    <w:rsid w:val="00441643"/>
    <w:rsid w:val="00442392"/>
    <w:rsid w:val="0045322A"/>
    <w:rsid w:val="004539D5"/>
    <w:rsid w:val="00455DD8"/>
    <w:rsid w:val="004570DA"/>
    <w:rsid w:val="00457BAD"/>
    <w:rsid w:val="004601A1"/>
    <w:rsid w:val="0046057A"/>
    <w:rsid w:val="004649A2"/>
    <w:rsid w:val="00465198"/>
    <w:rsid w:val="00465E1A"/>
    <w:rsid w:val="0046653B"/>
    <w:rsid w:val="00467FE4"/>
    <w:rsid w:val="00470E28"/>
    <w:rsid w:val="00471CED"/>
    <w:rsid w:val="004751AE"/>
    <w:rsid w:val="00475407"/>
    <w:rsid w:val="00480335"/>
    <w:rsid w:val="00481A51"/>
    <w:rsid w:val="00483C03"/>
    <w:rsid w:val="004849C7"/>
    <w:rsid w:val="0048666B"/>
    <w:rsid w:val="00486CD8"/>
    <w:rsid w:val="004879C5"/>
    <w:rsid w:val="00487F5B"/>
    <w:rsid w:val="0049093B"/>
    <w:rsid w:val="00490CC5"/>
    <w:rsid w:val="00493936"/>
    <w:rsid w:val="004970E6"/>
    <w:rsid w:val="004A026D"/>
    <w:rsid w:val="004A1D39"/>
    <w:rsid w:val="004A2342"/>
    <w:rsid w:val="004A29D0"/>
    <w:rsid w:val="004A2CA2"/>
    <w:rsid w:val="004A476B"/>
    <w:rsid w:val="004A55CC"/>
    <w:rsid w:val="004A5685"/>
    <w:rsid w:val="004A5840"/>
    <w:rsid w:val="004A5A8E"/>
    <w:rsid w:val="004B3AE4"/>
    <w:rsid w:val="004B3B57"/>
    <w:rsid w:val="004B558F"/>
    <w:rsid w:val="004B79C6"/>
    <w:rsid w:val="004C32EB"/>
    <w:rsid w:val="004C5629"/>
    <w:rsid w:val="004C5BC5"/>
    <w:rsid w:val="004C5F53"/>
    <w:rsid w:val="004C60A9"/>
    <w:rsid w:val="004D1B99"/>
    <w:rsid w:val="004D46C4"/>
    <w:rsid w:val="004D479B"/>
    <w:rsid w:val="004D4D63"/>
    <w:rsid w:val="004D504B"/>
    <w:rsid w:val="004D5825"/>
    <w:rsid w:val="004D7346"/>
    <w:rsid w:val="004E3602"/>
    <w:rsid w:val="004E7485"/>
    <w:rsid w:val="004F04DC"/>
    <w:rsid w:val="004F0B45"/>
    <w:rsid w:val="004F3232"/>
    <w:rsid w:val="004F3652"/>
    <w:rsid w:val="004F5573"/>
    <w:rsid w:val="004F65B1"/>
    <w:rsid w:val="004F6E85"/>
    <w:rsid w:val="004F7352"/>
    <w:rsid w:val="004F7394"/>
    <w:rsid w:val="004F7626"/>
    <w:rsid w:val="00500D57"/>
    <w:rsid w:val="005018A4"/>
    <w:rsid w:val="00502D68"/>
    <w:rsid w:val="005047C5"/>
    <w:rsid w:val="00505310"/>
    <w:rsid w:val="00505D2C"/>
    <w:rsid w:val="00511408"/>
    <w:rsid w:val="00514143"/>
    <w:rsid w:val="00515ED3"/>
    <w:rsid w:val="00516129"/>
    <w:rsid w:val="00516C7E"/>
    <w:rsid w:val="00516F68"/>
    <w:rsid w:val="005175A7"/>
    <w:rsid w:val="00517676"/>
    <w:rsid w:val="00520C4F"/>
    <w:rsid w:val="00523098"/>
    <w:rsid w:val="00523616"/>
    <w:rsid w:val="00524DEF"/>
    <w:rsid w:val="00524FBB"/>
    <w:rsid w:val="0052768B"/>
    <w:rsid w:val="00530FC6"/>
    <w:rsid w:val="0053404E"/>
    <w:rsid w:val="005350D7"/>
    <w:rsid w:val="0053672D"/>
    <w:rsid w:val="00542F03"/>
    <w:rsid w:val="005449DD"/>
    <w:rsid w:val="00546093"/>
    <w:rsid w:val="00547FF0"/>
    <w:rsid w:val="00550840"/>
    <w:rsid w:val="00551F39"/>
    <w:rsid w:val="00551F3B"/>
    <w:rsid w:val="005529CD"/>
    <w:rsid w:val="0055424A"/>
    <w:rsid w:val="0055451A"/>
    <w:rsid w:val="00555D41"/>
    <w:rsid w:val="00560399"/>
    <w:rsid w:val="00561A96"/>
    <w:rsid w:val="005624F4"/>
    <w:rsid w:val="0056260D"/>
    <w:rsid w:val="0056291F"/>
    <w:rsid w:val="005632C6"/>
    <w:rsid w:val="00564555"/>
    <w:rsid w:val="00564BEF"/>
    <w:rsid w:val="005650D2"/>
    <w:rsid w:val="00566012"/>
    <w:rsid w:val="0056690F"/>
    <w:rsid w:val="00566A4F"/>
    <w:rsid w:val="00566E3B"/>
    <w:rsid w:val="00570489"/>
    <w:rsid w:val="00571427"/>
    <w:rsid w:val="005736E6"/>
    <w:rsid w:val="005749FB"/>
    <w:rsid w:val="00575512"/>
    <w:rsid w:val="0057575D"/>
    <w:rsid w:val="0057627B"/>
    <w:rsid w:val="005766F8"/>
    <w:rsid w:val="00576D08"/>
    <w:rsid w:val="005852E8"/>
    <w:rsid w:val="00585859"/>
    <w:rsid w:val="00585C37"/>
    <w:rsid w:val="00585E67"/>
    <w:rsid w:val="00590192"/>
    <w:rsid w:val="0059197B"/>
    <w:rsid w:val="00593D59"/>
    <w:rsid w:val="00595CBC"/>
    <w:rsid w:val="00596790"/>
    <w:rsid w:val="00596B8D"/>
    <w:rsid w:val="005970DA"/>
    <w:rsid w:val="00597179"/>
    <w:rsid w:val="00597C1B"/>
    <w:rsid w:val="005A0AD0"/>
    <w:rsid w:val="005A2066"/>
    <w:rsid w:val="005A296B"/>
    <w:rsid w:val="005A5932"/>
    <w:rsid w:val="005A61C2"/>
    <w:rsid w:val="005B1577"/>
    <w:rsid w:val="005B196F"/>
    <w:rsid w:val="005B1CDB"/>
    <w:rsid w:val="005B1DCF"/>
    <w:rsid w:val="005B1E30"/>
    <w:rsid w:val="005B2346"/>
    <w:rsid w:val="005B3307"/>
    <w:rsid w:val="005B49CC"/>
    <w:rsid w:val="005B65E9"/>
    <w:rsid w:val="005B7B04"/>
    <w:rsid w:val="005C0797"/>
    <w:rsid w:val="005C0C62"/>
    <w:rsid w:val="005C3BF1"/>
    <w:rsid w:val="005C436B"/>
    <w:rsid w:val="005C4B2A"/>
    <w:rsid w:val="005C4E71"/>
    <w:rsid w:val="005C6073"/>
    <w:rsid w:val="005C6082"/>
    <w:rsid w:val="005C6427"/>
    <w:rsid w:val="005C797C"/>
    <w:rsid w:val="005D17C5"/>
    <w:rsid w:val="005D1C9A"/>
    <w:rsid w:val="005D2038"/>
    <w:rsid w:val="005D2075"/>
    <w:rsid w:val="005D2390"/>
    <w:rsid w:val="005D3ACA"/>
    <w:rsid w:val="005D3B67"/>
    <w:rsid w:val="005D59B5"/>
    <w:rsid w:val="005D5CAB"/>
    <w:rsid w:val="005D6717"/>
    <w:rsid w:val="005D699C"/>
    <w:rsid w:val="005D7306"/>
    <w:rsid w:val="005E280D"/>
    <w:rsid w:val="005E41C9"/>
    <w:rsid w:val="005E4D08"/>
    <w:rsid w:val="005E53F6"/>
    <w:rsid w:val="005E54B1"/>
    <w:rsid w:val="005E5F62"/>
    <w:rsid w:val="005F0241"/>
    <w:rsid w:val="005F2E11"/>
    <w:rsid w:val="005F39BC"/>
    <w:rsid w:val="005F51A7"/>
    <w:rsid w:val="005F52CC"/>
    <w:rsid w:val="005F624B"/>
    <w:rsid w:val="005F70C8"/>
    <w:rsid w:val="005F7FB3"/>
    <w:rsid w:val="0060168B"/>
    <w:rsid w:val="0060185C"/>
    <w:rsid w:val="00601C7B"/>
    <w:rsid w:val="00601CF0"/>
    <w:rsid w:val="00603D84"/>
    <w:rsid w:val="006069E5"/>
    <w:rsid w:val="006076B4"/>
    <w:rsid w:val="00607981"/>
    <w:rsid w:val="006152B8"/>
    <w:rsid w:val="006157EC"/>
    <w:rsid w:val="00621390"/>
    <w:rsid w:val="00622265"/>
    <w:rsid w:val="006227B2"/>
    <w:rsid w:val="0062346C"/>
    <w:rsid w:val="00623EC1"/>
    <w:rsid w:val="00624BF0"/>
    <w:rsid w:val="00625491"/>
    <w:rsid w:val="006304CC"/>
    <w:rsid w:val="006307CC"/>
    <w:rsid w:val="00631D16"/>
    <w:rsid w:val="00632793"/>
    <w:rsid w:val="00633D6C"/>
    <w:rsid w:val="00634F37"/>
    <w:rsid w:val="00635255"/>
    <w:rsid w:val="0063576F"/>
    <w:rsid w:val="00635A4A"/>
    <w:rsid w:val="00635E08"/>
    <w:rsid w:val="00635FBC"/>
    <w:rsid w:val="0063608B"/>
    <w:rsid w:val="00640EC0"/>
    <w:rsid w:val="00643E0F"/>
    <w:rsid w:val="00644922"/>
    <w:rsid w:val="00645D73"/>
    <w:rsid w:val="006463A5"/>
    <w:rsid w:val="00646F21"/>
    <w:rsid w:val="00646FF4"/>
    <w:rsid w:val="006545CB"/>
    <w:rsid w:val="00655A3B"/>
    <w:rsid w:val="00655AF8"/>
    <w:rsid w:val="006564DA"/>
    <w:rsid w:val="006630CE"/>
    <w:rsid w:val="00663FB9"/>
    <w:rsid w:val="00664266"/>
    <w:rsid w:val="00665291"/>
    <w:rsid w:val="00665AED"/>
    <w:rsid w:val="00666448"/>
    <w:rsid w:val="00673D59"/>
    <w:rsid w:val="00677A5C"/>
    <w:rsid w:val="00677A67"/>
    <w:rsid w:val="0068203B"/>
    <w:rsid w:val="00682A31"/>
    <w:rsid w:val="00684C6C"/>
    <w:rsid w:val="00684E97"/>
    <w:rsid w:val="00687A24"/>
    <w:rsid w:val="00690212"/>
    <w:rsid w:val="006905B7"/>
    <w:rsid w:val="00690C2A"/>
    <w:rsid w:val="0069113A"/>
    <w:rsid w:val="0069170C"/>
    <w:rsid w:val="0069227A"/>
    <w:rsid w:val="0069306F"/>
    <w:rsid w:val="00694384"/>
    <w:rsid w:val="0069438D"/>
    <w:rsid w:val="006949ED"/>
    <w:rsid w:val="00694CE6"/>
    <w:rsid w:val="00696EBB"/>
    <w:rsid w:val="006975A1"/>
    <w:rsid w:val="006A4747"/>
    <w:rsid w:val="006A4F72"/>
    <w:rsid w:val="006A5230"/>
    <w:rsid w:val="006A5ACF"/>
    <w:rsid w:val="006A6EF1"/>
    <w:rsid w:val="006B0892"/>
    <w:rsid w:val="006B0B6D"/>
    <w:rsid w:val="006B2ECC"/>
    <w:rsid w:val="006B3354"/>
    <w:rsid w:val="006B4492"/>
    <w:rsid w:val="006B4856"/>
    <w:rsid w:val="006B48A8"/>
    <w:rsid w:val="006B5C17"/>
    <w:rsid w:val="006B5EE1"/>
    <w:rsid w:val="006B6E94"/>
    <w:rsid w:val="006B756F"/>
    <w:rsid w:val="006C2ACD"/>
    <w:rsid w:val="006C440B"/>
    <w:rsid w:val="006C5E73"/>
    <w:rsid w:val="006C6EBC"/>
    <w:rsid w:val="006C7607"/>
    <w:rsid w:val="006C7FF0"/>
    <w:rsid w:val="006D10DB"/>
    <w:rsid w:val="006D19EF"/>
    <w:rsid w:val="006D214A"/>
    <w:rsid w:val="006D26CF"/>
    <w:rsid w:val="006D6B8B"/>
    <w:rsid w:val="006D77ED"/>
    <w:rsid w:val="006E1A5A"/>
    <w:rsid w:val="006E1A78"/>
    <w:rsid w:val="006E282D"/>
    <w:rsid w:val="006E6CFF"/>
    <w:rsid w:val="006E73B2"/>
    <w:rsid w:val="006F332F"/>
    <w:rsid w:val="0070051B"/>
    <w:rsid w:val="00703571"/>
    <w:rsid w:val="00703AB6"/>
    <w:rsid w:val="0070409A"/>
    <w:rsid w:val="00704278"/>
    <w:rsid w:val="00706D37"/>
    <w:rsid w:val="00706F78"/>
    <w:rsid w:val="0070757F"/>
    <w:rsid w:val="007128F3"/>
    <w:rsid w:val="00712F40"/>
    <w:rsid w:val="007153E6"/>
    <w:rsid w:val="00716BB5"/>
    <w:rsid w:val="007171DD"/>
    <w:rsid w:val="0071769B"/>
    <w:rsid w:val="00720B3A"/>
    <w:rsid w:val="007224FB"/>
    <w:rsid w:val="00722660"/>
    <w:rsid w:val="00724334"/>
    <w:rsid w:val="00724A65"/>
    <w:rsid w:val="00726792"/>
    <w:rsid w:val="00726A91"/>
    <w:rsid w:val="00726FE1"/>
    <w:rsid w:val="007277EF"/>
    <w:rsid w:val="007324D9"/>
    <w:rsid w:val="00734D3E"/>
    <w:rsid w:val="00744FEC"/>
    <w:rsid w:val="00745B3F"/>
    <w:rsid w:val="00746F4F"/>
    <w:rsid w:val="00747A79"/>
    <w:rsid w:val="007506A0"/>
    <w:rsid w:val="0075288C"/>
    <w:rsid w:val="00752B32"/>
    <w:rsid w:val="007550FE"/>
    <w:rsid w:val="00756345"/>
    <w:rsid w:val="00762DDE"/>
    <w:rsid w:val="0076351B"/>
    <w:rsid w:val="00763F44"/>
    <w:rsid w:val="007640F0"/>
    <w:rsid w:val="00764BE3"/>
    <w:rsid w:val="007656EC"/>
    <w:rsid w:val="00767D01"/>
    <w:rsid w:val="007725DA"/>
    <w:rsid w:val="00772945"/>
    <w:rsid w:val="007734C9"/>
    <w:rsid w:val="007756BF"/>
    <w:rsid w:val="0077634F"/>
    <w:rsid w:val="00780739"/>
    <w:rsid w:val="0078166F"/>
    <w:rsid w:val="0078238C"/>
    <w:rsid w:val="00784C65"/>
    <w:rsid w:val="00791173"/>
    <w:rsid w:val="007961E6"/>
    <w:rsid w:val="007969F8"/>
    <w:rsid w:val="007977F1"/>
    <w:rsid w:val="007A0400"/>
    <w:rsid w:val="007A0B41"/>
    <w:rsid w:val="007A2164"/>
    <w:rsid w:val="007A2C0F"/>
    <w:rsid w:val="007A47E8"/>
    <w:rsid w:val="007A50C7"/>
    <w:rsid w:val="007A51A8"/>
    <w:rsid w:val="007A631B"/>
    <w:rsid w:val="007A6819"/>
    <w:rsid w:val="007A6B6E"/>
    <w:rsid w:val="007B5BA3"/>
    <w:rsid w:val="007B5FC5"/>
    <w:rsid w:val="007B6601"/>
    <w:rsid w:val="007C137B"/>
    <w:rsid w:val="007C30A3"/>
    <w:rsid w:val="007C4659"/>
    <w:rsid w:val="007C54D2"/>
    <w:rsid w:val="007C5AD1"/>
    <w:rsid w:val="007C5B3F"/>
    <w:rsid w:val="007C6A06"/>
    <w:rsid w:val="007C6BF1"/>
    <w:rsid w:val="007C7716"/>
    <w:rsid w:val="007D02D7"/>
    <w:rsid w:val="007D0514"/>
    <w:rsid w:val="007D0E93"/>
    <w:rsid w:val="007D15F4"/>
    <w:rsid w:val="007D33E4"/>
    <w:rsid w:val="007D78F3"/>
    <w:rsid w:val="007D7EF5"/>
    <w:rsid w:val="007E0877"/>
    <w:rsid w:val="007E31B1"/>
    <w:rsid w:val="007E35D3"/>
    <w:rsid w:val="007E4C5F"/>
    <w:rsid w:val="007E6DB3"/>
    <w:rsid w:val="007F0579"/>
    <w:rsid w:val="007F1792"/>
    <w:rsid w:val="007F218A"/>
    <w:rsid w:val="007F3F5F"/>
    <w:rsid w:val="007F3FAE"/>
    <w:rsid w:val="007F7E4D"/>
    <w:rsid w:val="00802689"/>
    <w:rsid w:val="00803374"/>
    <w:rsid w:val="00803882"/>
    <w:rsid w:val="008049B6"/>
    <w:rsid w:val="008049D6"/>
    <w:rsid w:val="00806CB6"/>
    <w:rsid w:val="00807211"/>
    <w:rsid w:val="0080751D"/>
    <w:rsid w:val="00811438"/>
    <w:rsid w:val="0081227A"/>
    <w:rsid w:val="00812D65"/>
    <w:rsid w:val="00812FDE"/>
    <w:rsid w:val="00813F3A"/>
    <w:rsid w:val="00815B35"/>
    <w:rsid w:val="0081628C"/>
    <w:rsid w:val="0082277E"/>
    <w:rsid w:val="008234FB"/>
    <w:rsid w:val="00827BF9"/>
    <w:rsid w:val="008302D4"/>
    <w:rsid w:val="00831AF9"/>
    <w:rsid w:val="008322C3"/>
    <w:rsid w:val="00833176"/>
    <w:rsid w:val="008332D4"/>
    <w:rsid w:val="008334CE"/>
    <w:rsid w:val="00834447"/>
    <w:rsid w:val="00834974"/>
    <w:rsid w:val="00834E1D"/>
    <w:rsid w:val="008350E4"/>
    <w:rsid w:val="008351B8"/>
    <w:rsid w:val="00837514"/>
    <w:rsid w:val="008376C3"/>
    <w:rsid w:val="008379D0"/>
    <w:rsid w:val="00841020"/>
    <w:rsid w:val="00841223"/>
    <w:rsid w:val="00841375"/>
    <w:rsid w:val="00842C11"/>
    <w:rsid w:val="00846337"/>
    <w:rsid w:val="0084764B"/>
    <w:rsid w:val="008504DA"/>
    <w:rsid w:val="00851193"/>
    <w:rsid w:val="00853977"/>
    <w:rsid w:val="00855053"/>
    <w:rsid w:val="008559ED"/>
    <w:rsid w:val="00857220"/>
    <w:rsid w:val="00857A49"/>
    <w:rsid w:val="00860C34"/>
    <w:rsid w:val="0086279E"/>
    <w:rsid w:val="00863A73"/>
    <w:rsid w:val="00863F2C"/>
    <w:rsid w:val="008662B2"/>
    <w:rsid w:val="008677DC"/>
    <w:rsid w:val="008678BD"/>
    <w:rsid w:val="008712B5"/>
    <w:rsid w:val="008713E1"/>
    <w:rsid w:val="00871595"/>
    <w:rsid w:val="008716E9"/>
    <w:rsid w:val="008725F9"/>
    <w:rsid w:val="008743E7"/>
    <w:rsid w:val="0087444F"/>
    <w:rsid w:val="00874CBD"/>
    <w:rsid w:val="00875BB5"/>
    <w:rsid w:val="00876A54"/>
    <w:rsid w:val="00876CE3"/>
    <w:rsid w:val="00877950"/>
    <w:rsid w:val="008815C2"/>
    <w:rsid w:val="00881FC3"/>
    <w:rsid w:val="00882505"/>
    <w:rsid w:val="00886C8C"/>
    <w:rsid w:val="00886D5E"/>
    <w:rsid w:val="0088777C"/>
    <w:rsid w:val="00887BE3"/>
    <w:rsid w:val="00887DB8"/>
    <w:rsid w:val="00893727"/>
    <w:rsid w:val="0089375B"/>
    <w:rsid w:val="00893D1D"/>
    <w:rsid w:val="00894BB7"/>
    <w:rsid w:val="00894CA2"/>
    <w:rsid w:val="00897214"/>
    <w:rsid w:val="008A1D09"/>
    <w:rsid w:val="008A28CF"/>
    <w:rsid w:val="008A3DE5"/>
    <w:rsid w:val="008A4BD3"/>
    <w:rsid w:val="008A4FF1"/>
    <w:rsid w:val="008A50DC"/>
    <w:rsid w:val="008A5E25"/>
    <w:rsid w:val="008A6681"/>
    <w:rsid w:val="008A7040"/>
    <w:rsid w:val="008A7D8D"/>
    <w:rsid w:val="008B1480"/>
    <w:rsid w:val="008B1A65"/>
    <w:rsid w:val="008B266A"/>
    <w:rsid w:val="008B470A"/>
    <w:rsid w:val="008B6EAA"/>
    <w:rsid w:val="008B79B1"/>
    <w:rsid w:val="008B7DBA"/>
    <w:rsid w:val="008B7E8C"/>
    <w:rsid w:val="008B7FAB"/>
    <w:rsid w:val="008C040D"/>
    <w:rsid w:val="008C17B6"/>
    <w:rsid w:val="008C4229"/>
    <w:rsid w:val="008C44AE"/>
    <w:rsid w:val="008C6784"/>
    <w:rsid w:val="008C70C3"/>
    <w:rsid w:val="008D0D38"/>
    <w:rsid w:val="008D22D4"/>
    <w:rsid w:val="008D2ABE"/>
    <w:rsid w:val="008D3ADA"/>
    <w:rsid w:val="008D45AE"/>
    <w:rsid w:val="008D48D0"/>
    <w:rsid w:val="008D595E"/>
    <w:rsid w:val="008D761E"/>
    <w:rsid w:val="008E1154"/>
    <w:rsid w:val="008E695B"/>
    <w:rsid w:val="008E7BF1"/>
    <w:rsid w:val="008F0841"/>
    <w:rsid w:val="008F3BAD"/>
    <w:rsid w:val="008F3C10"/>
    <w:rsid w:val="008F7958"/>
    <w:rsid w:val="0090169B"/>
    <w:rsid w:val="009026E0"/>
    <w:rsid w:val="00902AFD"/>
    <w:rsid w:val="00902D67"/>
    <w:rsid w:val="00903289"/>
    <w:rsid w:val="00903606"/>
    <w:rsid w:val="00910BC2"/>
    <w:rsid w:val="00910C2C"/>
    <w:rsid w:val="009112A0"/>
    <w:rsid w:val="00911D16"/>
    <w:rsid w:val="00912F6A"/>
    <w:rsid w:val="00913E0A"/>
    <w:rsid w:val="009145D1"/>
    <w:rsid w:val="009149C2"/>
    <w:rsid w:val="0091611B"/>
    <w:rsid w:val="009204DA"/>
    <w:rsid w:val="009231A3"/>
    <w:rsid w:val="0092381B"/>
    <w:rsid w:val="00925208"/>
    <w:rsid w:val="0092561B"/>
    <w:rsid w:val="0092658D"/>
    <w:rsid w:val="00930B28"/>
    <w:rsid w:val="00931F7E"/>
    <w:rsid w:val="009329D2"/>
    <w:rsid w:val="00932AA9"/>
    <w:rsid w:val="009333EE"/>
    <w:rsid w:val="009346C4"/>
    <w:rsid w:val="00935EF9"/>
    <w:rsid w:val="009369DB"/>
    <w:rsid w:val="00937DE3"/>
    <w:rsid w:val="00940C53"/>
    <w:rsid w:val="00942B2A"/>
    <w:rsid w:val="00942B34"/>
    <w:rsid w:val="00942BEA"/>
    <w:rsid w:val="00943675"/>
    <w:rsid w:val="009439A4"/>
    <w:rsid w:val="009456F6"/>
    <w:rsid w:val="00945AA8"/>
    <w:rsid w:val="00946E8D"/>
    <w:rsid w:val="00947281"/>
    <w:rsid w:val="00947431"/>
    <w:rsid w:val="00947FA9"/>
    <w:rsid w:val="009506C2"/>
    <w:rsid w:val="0095118F"/>
    <w:rsid w:val="00951A6F"/>
    <w:rsid w:val="00952EBF"/>
    <w:rsid w:val="00956268"/>
    <w:rsid w:val="009609F6"/>
    <w:rsid w:val="009610A9"/>
    <w:rsid w:val="00961332"/>
    <w:rsid w:val="00961695"/>
    <w:rsid w:val="009619C5"/>
    <w:rsid w:val="00962B0D"/>
    <w:rsid w:val="00965F97"/>
    <w:rsid w:val="009722D7"/>
    <w:rsid w:val="009733A4"/>
    <w:rsid w:val="0097659A"/>
    <w:rsid w:val="00977037"/>
    <w:rsid w:val="0097773C"/>
    <w:rsid w:val="00980F87"/>
    <w:rsid w:val="009823BE"/>
    <w:rsid w:val="00992C9F"/>
    <w:rsid w:val="00993465"/>
    <w:rsid w:val="00993840"/>
    <w:rsid w:val="00994031"/>
    <w:rsid w:val="009945A8"/>
    <w:rsid w:val="0099490C"/>
    <w:rsid w:val="00995BC6"/>
    <w:rsid w:val="009A0759"/>
    <w:rsid w:val="009A7748"/>
    <w:rsid w:val="009B00E8"/>
    <w:rsid w:val="009B06A2"/>
    <w:rsid w:val="009B1653"/>
    <w:rsid w:val="009B3297"/>
    <w:rsid w:val="009B3B16"/>
    <w:rsid w:val="009B3BCD"/>
    <w:rsid w:val="009B4091"/>
    <w:rsid w:val="009B5743"/>
    <w:rsid w:val="009B5CAE"/>
    <w:rsid w:val="009C0AF9"/>
    <w:rsid w:val="009C20CB"/>
    <w:rsid w:val="009C4BE2"/>
    <w:rsid w:val="009C6101"/>
    <w:rsid w:val="009C6E41"/>
    <w:rsid w:val="009C736A"/>
    <w:rsid w:val="009C786A"/>
    <w:rsid w:val="009D0148"/>
    <w:rsid w:val="009D16BB"/>
    <w:rsid w:val="009D214F"/>
    <w:rsid w:val="009D2DEE"/>
    <w:rsid w:val="009D3681"/>
    <w:rsid w:val="009D3FDE"/>
    <w:rsid w:val="009D4EFF"/>
    <w:rsid w:val="009D5E32"/>
    <w:rsid w:val="009D745D"/>
    <w:rsid w:val="009E1DFD"/>
    <w:rsid w:val="009E1E88"/>
    <w:rsid w:val="009E2EB8"/>
    <w:rsid w:val="009E40D0"/>
    <w:rsid w:val="009E4432"/>
    <w:rsid w:val="009E4F0A"/>
    <w:rsid w:val="009E566C"/>
    <w:rsid w:val="009E6890"/>
    <w:rsid w:val="009E7124"/>
    <w:rsid w:val="009F2B98"/>
    <w:rsid w:val="009F324F"/>
    <w:rsid w:val="009F47D5"/>
    <w:rsid w:val="009F4A06"/>
    <w:rsid w:val="009F4ADA"/>
    <w:rsid w:val="009F4F04"/>
    <w:rsid w:val="009F5301"/>
    <w:rsid w:val="009F57BA"/>
    <w:rsid w:val="009F6D3F"/>
    <w:rsid w:val="009F7867"/>
    <w:rsid w:val="009F7F8B"/>
    <w:rsid w:val="00A00FDF"/>
    <w:rsid w:val="00A02B17"/>
    <w:rsid w:val="00A06717"/>
    <w:rsid w:val="00A104BE"/>
    <w:rsid w:val="00A10FA8"/>
    <w:rsid w:val="00A1192E"/>
    <w:rsid w:val="00A139A2"/>
    <w:rsid w:val="00A15B3D"/>
    <w:rsid w:val="00A169DE"/>
    <w:rsid w:val="00A17228"/>
    <w:rsid w:val="00A20CF2"/>
    <w:rsid w:val="00A20E8D"/>
    <w:rsid w:val="00A21CCA"/>
    <w:rsid w:val="00A22B21"/>
    <w:rsid w:val="00A23C17"/>
    <w:rsid w:val="00A258B5"/>
    <w:rsid w:val="00A27085"/>
    <w:rsid w:val="00A2782D"/>
    <w:rsid w:val="00A306BA"/>
    <w:rsid w:val="00A312D1"/>
    <w:rsid w:val="00A3370B"/>
    <w:rsid w:val="00A33CB7"/>
    <w:rsid w:val="00A3536C"/>
    <w:rsid w:val="00A368D0"/>
    <w:rsid w:val="00A375F5"/>
    <w:rsid w:val="00A416DF"/>
    <w:rsid w:val="00A4215A"/>
    <w:rsid w:val="00A43045"/>
    <w:rsid w:val="00A43126"/>
    <w:rsid w:val="00A431A2"/>
    <w:rsid w:val="00A43489"/>
    <w:rsid w:val="00A44DBB"/>
    <w:rsid w:val="00A45021"/>
    <w:rsid w:val="00A450AF"/>
    <w:rsid w:val="00A45EEB"/>
    <w:rsid w:val="00A479EF"/>
    <w:rsid w:val="00A47A31"/>
    <w:rsid w:val="00A47C73"/>
    <w:rsid w:val="00A530EE"/>
    <w:rsid w:val="00A5400D"/>
    <w:rsid w:val="00A54268"/>
    <w:rsid w:val="00A5481B"/>
    <w:rsid w:val="00A54EA5"/>
    <w:rsid w:val="00A55E1B"/>
    <w:rsid w:val="00A57621"/>
    <w:rsid w:val="00A60182"/>
    <w:rsid w:val="00A60485"/>
    <w:rsid w:val="00A61A1D"/>
    <w:rsid w:val="00A63A9E"/>
    <w:rsid w:val="00A643DC"/>
    <w:rsid w:val="00A663B0"/>
    <w:rsid w:val="00A66FF0"/>
    <w:rsid w:val="00A67696"/>
    <w:rsid w:val="00A70A9E"/>
    <w:rsid w:val="00A73E5E"/>
    <w:rsid w:val="00A74CC8"/>
    <w:rsid w:val="00A757AA"/>
    <w:rsid w:val="00A767B3"/>
    <w:rsid w:val="00A774EA"/>
    <w:rsid w:val="00A82B88"/>
    <w:rsid w:val="00A8472A"/>
    <w:rsid w:val="00A87582"/>
    <w:rsid w:val="00A91F45"/>
    <w:rsid w:val="00A937A4"/>
    <w:rsid w:val="00A940D4"/>
    <w:rsid w:val="00A947F5"/>
    <w:rsid w:val="00A95BDD"/>
    <w:rsid w:val="00A96154"/>
    <w:rsid w:val="00A97388"/>
    <w:rsid w:val="00AA1534"/>
    <w:rsid w:val="00AA21EF"/>
    <w:rsid w:val="00AA2985"/>
    <w:rsid w:val="00AA50CC"/>
    <w:rsid w:val="00AA617C"/>
    <w:rsid w:val="00AA67C7"/>
    <w:rsid w:val="00AA710E"/>
    <w:rsid w:val="00AB2444"/>
    <w:rsid w:val="00AB5320"/>
    <w:rsid w:val="00AB6274"/>
    <w:rsid w:val="00AB6C69"/>
    <w:rsid w:val="00AC09EC"/>
    <w:rsid w:val="00AC1925"/>
    <w:rsid w:val="00AC2C4F"/>
    <w:rsid w:val="00AC2C68"/>
    <w:rsid w:val="00AC5F9B"/>
    <w:rsid w:val="00AD1C05"/>
    <w:rsid w:val="00AD3B91"/>
    <w:rsid w:val="00AD7386"/>
    <w:rsid w:val="00AE19E4"/>
    <w:rsid w:val="00AE1A2E"/>
    <w:rsid w:val="00AE2E8E"/>
    <w:rsid w:val="00AE417A"/>
    <w:rsid w:val="00AE5E46"/>
    <w:rsid w:val="00AE6B45"/>
    <w:rsid w:val="00AE7A36"/>
    <w:rsid w:val="00AF180A"/>
    <w:rsid w:val="00AF424D"/>
    <w:rsid w:val="00AF7365"/>
    <w:rsid w:val="00B00911"/>
    <w:rsid w:val="00B02D66"/>
    <w:rsid w:val="00B03625"/>
    <w:rsid w:val="00B045A9"/>
    <w:rsid w:val="00B04858"/>
    <w:rsid w:val="00B06252"/>
    <w:rsid w:val="00B06255"/>
    <w:rsid w:val="00B06B51"/>
    <w:rsid w:val="00B200F2"/>
    <w:rsid w:val="00B20593"/>
    <w:rsid w:val="00B24E2A"/>
    <w:rsid w:val="00B253C0"/>
    <w:rsid w:val="00B25789"/>
    <w:rsid w:val="00B26518"/>
    <w:rsid w:val="00B31DA3"/>
    <w:rsid w:val="00B3289E"/>
    <w:rsid w:val="00B32EF4"/>
    <w:rsid w:val="00B33BF3"/>
    <w:rsid w:val="00B3401B"/>
    <w:rsid w:val="00B3567D"/>
    <w:rsid w:val="00B35774"/>
    <w:rsid w:val="00B35EE5"/>
    <w:rsid w:val="00B37BA9"/>
    <w:rsid w:val="00B40112"/>
    <w:rsid w:val="00B40F29"/>
    <w:rsid w:val="00B45B6E"/>
    <w:rsid w:val="00B45E49"/>
    <w:rsid w:val="00B4639C"/>
    <w:rsid w:val="00B4654B"/>
    <w:rsid w:val="00B51FCC"/>
    <w:rsid w:val="00B52976"/>
    <w:rsid w:val="00B52E38"/>
    <w:rsid w:val="00B54FFF"/>
    <w:rsid w:val="00B5707B"/>
    <w:rsid w:val="00B5739F"/>
    <w:rsid w:val="00B61DB2"/>
    <w:rsid w:val="00B62BE0"/>
    <w:rsid w:val="00B6398A"/>
    <w:rsid w:val="00B65DCA"/>
    <w:rsid w:val="00B6614D"/>
    <w:rsid w:val="00B6699F"/>
    <w:rsid w:val="00B67862"/>
    <w:rsid w:val="00B71678"/>
    <w:rsid w:val="00B743EC"/>
    <w:rsid w:val="00B744C6"/>
    <w:rsid w:val="00B77575"/>
    <w:rsid w:val="00B800DC"/>
    <w:rsid w:val="00B8072B"/>
    <w:rsid w:val="00B8162A"/>
    <w:rsid w:val="00B817FA"/>
    <w:rsid w:val="00B82B89"/>
    <w:rsid w:val="00B82D9B"/>
    <w:rsid w:val="00B836D9"/>
    <w:rsid w:val="00B85197"/>
    <w:rsid w:val="00B85957"/>
    <w:rsid w:val="00B90669"/>
    <w:rsid w:val="00B91FC0"/>
    <w:rsid w:val="00B928BF"/>
    <w:rsid w:val="00B93A78"/>
    <w:rsid w:val="00B95945"/>
    <w:rsid w:val="00B97978"/>
    <w:rsid w:val="00B97F78"/>
    <w:rsid w:val="00BB0E5B"/>
    <w:rsid w:val="00BB1895"/>
    <w:rsid w:val="00BB20C2"/>
    <w:rsid w:val="00BB22DB"/>
    <w:rsid w:val="00BB2B81"/>
    <w:rsid w:val="00BB3BD1"/>
    <w:rsid w:val="00BB5741"/>
    <w:rsid w:val="00BB5809"/>
    <w:rsid w:val="00BB6025"/>
    <w:rsid w:val="00BB76E9"/>
    <w:rsid w:val="00BC102E"/>
    <w:rsid w:val="00BC1E63"/>
    <w:rsid w:val="00BC3949"/>
    <w:rsid w:val="00BC3D6E"/>
    <w:rsid w:val="00BC6D8A"/>
    <w:rsid w:val="00BD036F"/>
    <w:rsid w:val="00BD08C9"/>
    <w:rsid w:val="00BD1472"/>
    <w:rsid w:val="00BD1A8E"/>
    <w:rsid w:val="00BD25E1"/>
    <w:rsid w:val="00BD33E6"/>
    <w:rsid w:val="00BD3C8E"/>
    <w:rsid w:val="00BD6597"/>
    <w:rsid w:val="00BD6BE5"/>
    <w:rsid w:val="00BD78E4"/>
    <w:rsid w:val="00BE03B6"/>
    <w:rsid w:val="00BE04F8"/>
    <w:rsid w:val="00BE1094"/>
    <w:rsid w:val="00BE166E"/>
    <w:rsid w:val="00BE21BE"/>
    <w:rsid w:val="00BE39BF"/>
    <w:rsid w:val="00BE4A60"/>
    <w:rsid w:val="00BE60DE"/>
    <w:rsid w:val="00BF1B43"/>
    <w:rsid w:val="00BF36DE"/>
    <w:rsid w:val="00BF3C21"/>
    <w:rsid w:val="00BF4BA0"/>
    <w:rsid w:val="00BF5E08"/>
    <w:rsid w:val="00BF7090"/>
    <w:rsid w:val="00BF78E9"/>
    <w:rsid w:val="00C0007D"/>
    <w:rsid w:val="00C003E9"/>
    <w:rsid w:val="00C011E4"/>
    <w:rsid w:val="00C02CB5"/>
    <w:rsid w:val="00C05062"/>
    <w:rsid w:val="00C1018F"/>
    <w:rsid w:val="00C10910"/>
    <w:rsid w:val="00C11DCC"/>
    <w:rsid w:val="00C12BAE"/>
    <w:rsid w:val="00C135C0"/>
    <w:rsid w:val="00C13846"/>
    <w:rsid w:val="00C139A9"/>
    <w:rsid w:val="00C15C69"/>
    <w:rsid w:val="00C20652"/>
    <w:rsid w:val="00C21797"/>
    <w:rsid w:val="00C23657"/>
    <w:rsid w:val="00C239D9"/>
    <w:rsid w:val="00C23EFF"/>
    <w:rsid w:val="00C24DB4"/>
    <w:rsid w:val="00C263A7"/>
    <w:rsid w:val="00C2661F"/>
    <w:rsid w:val="00C31176"/>
    <w:rsid w:val="00C32240"/>
    <w:rsid w:val="00C36501"/>
    <w:rsid w:val="00C37DE7"/>
    <w:rsid w:val="00C4002C"/>
    <w:rsid w:val="00C41E13"/>
    <w:rsid w:val="00C45136"/>
    <w:rsid w:val="00C45B14"/>
    <w:rsid w:val="00C478E5"/>
    <w:rsid w:val="00C50E66"/>
    <w:rsid w:val="00C51001"/>
    <w:rsid w:val="00C53E98"/>
    <w:rsid w:val="00C542D3"/>
    <w:rsid w:val="00C55B45"/>
    <w:rsid w:val="00C55C8F"/>
    <w:rsid w:val="00C56FDA"/>
    <w:rsid w:val="00C570E4"/>
    <w:rsid w:val="00C60639"/>
    <w:rsid w:val="00C61A78"/>
    <w:rsid w:val="00C638A6"/>
    <w:rsid w:val="00C718CF"/>
    <w:rsid w:val="00C74A55"/>
    <w:rsid w:val="00C7601F"/>
    <w:rsid w:val="00C807C0"/>
    <w:rsid w:val="00C810A7"/>
    <w:rsid w:val="00C82170"/>
    <w:rsid w:val="00C84941"/>
    <w:rsid w:val="00C86BB6"/>
    <w:rsid w:val="00C9004E"/>
    <w:rsid w:val="00C909BC"/>
    <w:rsid w:val="00C90E09"/>
    <w:rsid w:val="00C914B9"/>
    <w:rsid w:val="00C927E7"/>
    <w:rsid w:val="00C93DFA"/>
    <w:rsid w:val="00C93E05"/>
    <w:rsid w:val="00C96B0D"/>
    <w:rsid w:val="00C96B38"/>
    <w:rsid w:val="00C97EBE"/>
    <w:rsid w:val="00CA0D39"/>
    <w:rsid w:val="00CA1138"/>
    <w:rsid w:val="00CA361D"/>
    <w:rsid w:val="00CA4537"/>
    <w:rsid w:val="00CA51CA"/>
    <w:rsid w:val="00CA521E"/>
    <w:rsid w:val="00CA5A5A"/>
    <w:rsid w:val="00CA5C6A"/>
    <w:rsid w:val="00CA7B52"/>
    <w:rsid w:val="00CB04B0"/>
    <w:rsid w:val="00CB0F32"/>
    <w:rsid w:val="00CB1D63"/>
    <w:rsid w:val="00CB35D8"/>
    <w:rsid w:val="00CB5A4D"/>
    <w:rsid w:val="00CC3250"/>
    <w:rsid w:val="00CC568D"/>
    <w:rsid w:val="00CC5AE5"/>
    <w:rsid w:val="00CC5BD9"/>
    <w:rsid w:val="00CC6D98"/>
    <w:rsid w:val="00CC6EE0"/>
    <w:rsid w:val="00CD0746"/>
    <w:rsid w:val="00CD1470"/>
    <w:rsid w:val="00CD2EE1"/>
    <w:rsid w:val="00CD6574"/>
    <w:rsid w:val="00CD77E1"/>
    <w:rsid w:val="00CE018A"/>
    <w:rsid w:val="00CE59AB"/>
    <w:rsid w:val="00CE6E80"/>
    <w:rsid w:val="00CF633D"/>
    <w:rsid w:val="00CF7EAE"/>
    <w:rsid w:val="00D01D35"/>
    <w:rsid w:val="00D032BB"/>
    <w:rsid w:val="00D03B52"/>
    <w:rsid w:val="00D0763E"/>
    <w:rsid w:val="00D1053F"/>
    <w:rsid w:val="00D10C26"/>
    <w:rsid w:val="00D11F09"/>
    <w:rsid w:val="00D120B5"/>
    <w:rsid w:val="00D132BC"/>
    <w:rsid w:val="00D13C2E"/>
    <w:rsid w:val="00D15B5C"/>
    <w:rsid w:val="00D17110"/>
    <w:rsid w:val="00D2101A"/>
    <w:rsid w:val="00D214E1"/>
    <w:rsid w:val="00D2295E"/>
    <w:rsid w:val="00D23350"/>
    <w:rsid w:val="00D2462D"/>
    <w:rsid w:val="00D24A44"/>
    <w:rsid w:val="00D2776A"/>
    <w:rsid w:val="00D3052E"/>
    <w:rsid w:val="00D308C2"/>
    <w:rsid w:val="00D322D6"/>
    <w:rsid w:val="00D3337D"/>
    <w:rsid w:val="00D34BAE"/>
    <w:rsid w:val="00D36709"/>
    <w:rsid w:val="00D40509"/>
    <w:rsid w:val="00D41693"/>
    <w:rsid w:val="00D4255F"/>
    <w:rsid w:val="00D42F37"/>
    <w:rsid w:val="00D431C1"/>
    <w:rsid w:val="00D4352B"/>
    <w:rsid w:val="00D45007"/>
    <w:rsid w:val="00D46679"/>
    <w:rsid w:val="00D50171"/>
    <w:rsid w:val="00D51EE9"/>
    <w:rsid w:val="00D54970"/>
    <w:rsid w:val="00D56239"/>
    <w:rsid w:val="00D5634E"/>
    <w:rsid w:val="00D56D3F"/>
    <w:rsid w:val="00D57262"/>
    <w:rsid w:val="00D62EE3"/>
    <w:rsid w:val="00D63838"/>
    <w:rsid w:val="00D6730D"/>
    <w:rsid w:val="00D70DEF"/>
    <w:rsid w:val="00D7133E"/>
    <w:rsid w:val="00D7212F"/>
    <w:rsid w:val="00D76903"/>
    <w:rsid w:val="00D77553"/>
    <w:rsid w:val="00D779CC"/>
    <w:rsid w:val="00D80579"/>
    <w:rsid w:val="00D80C92"/>
    <w:rsid w:val="00D81A94"/>
    <w:rsid w:val="00D81E9B"/>
    <w:rsid w:val="00D84BC2"/>
    <w:rsid w:val="00D85EC7"/>
    <w:rsid w:val="00D904DD"/>
    <w:rsid w:val="00D93C48"/>
    <w:rsid w:val="00D93D0A"/>
    <w:rsid w:val="00D9415E"/>
    <w:rsid w:val="00D95FEF"/>
    <w:rsid w:val="00D96593"/>
    <w:rsid w:val="00D97634"/>
    <w:rsid w:val="00D97918"/>
    <w:rsid w:val="00DA6B00"/>
    <w:rsid w:val="00DA77D5"/>
    <w:rsid w:val="00DB0435"/>
    <w:rsid w:val="00DB17CA"/>
    <w:rsid w:val="00DB30E8"/>
    <w:rsid w:val="00DB4621"/>
    <w:rsid w:val="00DB4CF6"/>
    <w:rsid w:val="00DB577A"/>
    <w:rsid w:val="00DB5894"/>
    <w:rsid w:val="00DB58FE"/>
    <w:rsid w:val="00DB63A9"/>
    <w:rsid w:val="00DC110C"/>
    <w:rsid w:val="00DC16D8"/>
    <w:rsid w:val="00DC640F"/>
    <w:rsid w:val="00DC7600"/>
    <w:rsid w:val="00DD4A10"/>
    <w:rsid w:val="00DD5245"/>
    <w:rsid w:val="00DD63D8"/>
    <w:rsid w:val="00DE1D5C"/>
    <w:rsid w:val="00DE4907"/>
    <w:rsid w:val="00DE5094"/>
    <w:rsid w:val="00DE5573"/>
    <w:rsid w:val="00DE61EC"/>
    <w:rsid w:val="00DE7F28"/>
    <w:rsid w:val="00DF0624"/>
    <w:rsid w:val="00DF5FB6"/>
    <w:rsid w:val="00DF6242"/>
    <w:rsid w:val="00DF6880"/>
    <w:rsid w:val="00DF7663"/>
    <w:rsid w:val="00DF7C59"/>
    <w:rsid w:val="00E000DA"/>
    <w:rsid w:val="00E026EB"/>
    <w:rsid w:val="00E0427C"/>
    <w:rsid w:val="00E11AA1"/>
    <w:rsid w:val="00E12AF9"/>
    <w:rsid w:val="00E14081"/>
    <w:rsid w:val="00E22123"/>
    <w:rsid w:val="00E23AA3"/>
    <w:rsid w:val="00E24F71"/>
    <w:rsid w:val="00E27E28"/>
    <w:rsid w:val="00E31534"/>
    <w:rsid w:val="00E31F83"/>
    <w:rsid w:val="00E330AB"/>
    <w:rsid w:val="00E33B13"/>
    <w:rsid w:val="00E4037E"/>
    <w:rsid w:val="00E40497"/>
    <w:rsid w:val="00E40FBB"/>
    <w:rsid w:val="00E410F8"/>
    <w:rsid w:val="00E43056"/>
    <w:rsid w:val="00E443DF"/>
    <w:rsid w:val="00E458D3"/>
    <w:rsid w:val="00E4590F"/>
    <w:rsid w:val="00E466FD"/>
    <w:rsid w:val="00E46C1C"/>
    <w:rsid w:val="00E47511"/>
    <w:rsid w:val="00E500F2"/>
    <w:rsid w:val="00E50399"/>
    <w:rsid w:val="00E51C6A"/>
    <w:rsid w:val="00E557CB"/>
    <w:rsid w:val="00E5684B"/>
    <w:rsid w:val="00E5761A"/>
    <w:rsid w:val="00E577B9"/>
    <w:rsid w:val="00E6158B"/>
    <w:rsid w:val="00E62377"/>
    <w:rsid w:val="00E64656"/>
    <w:rsid w:val="00E6685F"/>
    <w:rsid w:val="00E676BC"/>
    <w:rsid w:val="00E700AA"/>
    <w:rsid w:val="00E706FB"/>
    <w:rsid w:val="00E70B6C"/>
    <w:rsid w:val="00E72A28"/>
    <w:rsid w:val="00E72BF5"/>
    <w:rsid w:val="00E7308C"/>
    <w:rsid w:val="00E7341E"/>
    <w:rsid w:val="00E74BCB"/>
    <w:rsid w:val="00E76D1F"/>
    <w:rsid w:val="00E80F3B"/>
    <w:rsid w:val="00E81561"/>
    <w:rsid w:val="00E86205"/>
    <w:rsid w:val="00E8685C"/>
    <w:rsid w:val="00E870E0"/>
    <w:rsid w:val="00E90272"/>
    <w:rsid w:val="00E91195"/>
    <w:rsid w:val="00E91F4F"/>
    <w:rsid w:val="00E9615E"/>
    <w:rsid w:val="00EA445F"/>
    <w:rsid w:val="00EA5A5E"/>
    <w:rsid w:val="00EA685A"/>
    <w:rsid w:val="00EA68D1"/>
    <w:rsid w:val="00EA6CDF"/>
    <w:rsid w:val="00EB0D4B"/>
    <w:rsid w:val="00EB0DFB"/>
    <w:rsid w:val="00EB1BF7"/>
    <w:rsid w:val="00EB33F0"/>
    <w:rsid w:val="00EB40C3"/>
    <w:rsid w:val="00EB7456"/>
    <w:rsid w:val="00EC0008"/>
    <w:rsid w:val="00EC13D4"/>
    <w:rsid w:val="00EC38AE"/>
    <w:rsid w:val="00EC3D5C"/>
    <w:rsid w:val="00EC53AC"/>
    <w:rsid w:val="00ED045E"/>
    <w:rsid w:val="00ED12E4"/>
    <w:rsid w:val="00ED23A0"/>
    <w:rsid w:val="00ED2D07"/>
    <w:rsid w:val="00ED3178"/>
    <w:rsid w:val="00ED5034"/>
    <w:rsid w:val="00ED51AD"/>
    <w:rsid w:val="00ED5D56"/>
    <w:rsid w:val="00ED6E8C"/>
    <w:rsid w:val="00EE1416"/>
    <w:rsid w:val="00EE337A"/>
    <w:rsid w:val="00EE5DBD"/>
    <w:rsid w:val="00EE7F3E"/>
    <w:rsid w:val="00EF26C6"/>
    <w:rsid w:val="00EF2B75"/>
    <w:rsid w:val="00EF3636"/>
    <w:rsid w:val="00EF5917"/>
    <w:rsid w:val="00EF6798"/>
    <w:rsid w:val="00EF7454"/>
    <w:rsid w:val="00F00F49"/>
    <w:rsid w:val="00F02C7D"/>
    <w:rsid w:val="00F040AB"/>
    <w:rsid w:val="00F05455"/>
    <w:rsid w:val="00F06EC0"/>
    <w:rsid w:val="00F07122"/>
    <w:rsid w:val="00F075D9"/>
    <w:rsid w:val="00F122AD"/>
    <w:rsid w:val="00F130A1"/>
    <w:rsid w:val="00F13AC5"/>
    <w:rsid w:val="00F13ACE"/>
    <w:rsid w:val="00F13D27"/>
    <w:rsid w:val="00F16BAA"/>
    <w:rsid w:val="00F17B36"/>
    <w:rsid w:val="00F17D40"/>
    <w:rsid w:val="00F226C7"/>
    <w:rsid w:val="00F2280A"/>
    <w:rsid w:val="00F2404A"/>
    <w:rsid w:val="00F24B30"/>
    <w:rsid w:val="00F253E9"/>
    <w:rsid w:val="00F27623"/>
    <w:rsid w:val="00F276EB"/>
    <w:rsid w:val="00F30507"/>
    <w:rsid w:val="00F306DD"/>
    <w:rsid w:val="00F31CAA"/>
    <w:rsid w:val="00F33015"/>
    <w:rsid w:val="00F33267"/>
    <w:rsid w:val="00F33AB7"/>
    <w:rsid w:val="00F33B22"/>
    <w:rsid w:val="00F3440A"/>
    <w:rsid w:val="00F3696E"/>
    <w:rsid w:val="00F37178"/>
    <w:rsid w:val="00F37C4B"/>
    <w:rsid w:val="00F4010B"/>
    <w:rsid w:val="00F40322"/>
    <w:rsid w:val="00F414C3"/>
    <w:rsid w:val="00F427AD"/>
    <w:rsid w:val="00F4461B"/>
    <w:rsid w:val="00F4478A"/>
    <w:rsid w:val="00F457AB"/>
    <w:rsid w:val="00F459AF"/>
    <w:rsid w:val="00F468F1"/>
    <w:rsid w:val="00F47358"/>
    <w:rsid w:val="00F50070"/>
    <w:rsid w:val="00F50C80"/>
    <w:rsid w:val="00F565FA"/>
    <w:rsid w:val="00F56C15"/>
    <w:rsid w:val="00F5724E"/>
    <w:rsid w:val="00F601BD"/>
    <w:rsid w:val="00F70B2E"/>
    <w:rsid w:val="00F74681"/>
    <w:rsid w:val="00F75B23"/>
    <w:rsid w:val="00F7693B"/>
    <w:rsid w:val="00F778E2"/>
    <w:rsid w:val="00F77D7B"/>
    <w:rsid w:val="00F8031F"/>
    <w:rsid w:val="00F817FB"/>
    <w:rsid w:val="00F8360A"/>
    <w:rsid w:val="00F877DF"/>
    <w:rsid w:val="00F90A46"/>
    <w:rsid w:val="00F92514"/>
    <w:rsid w:val="00F92D93"/>
    <w:rsid w:val="00F93122"/>
    <w:rsid w:val="00F9555C"/>
    <w:rsid w:val="00F975F3"/>
    <w:rsid w:val="00FA1307"/>
    <w:rsid w:val="00FA39E4"/>
    <w:rsid w:val="00FA3C69"/>
    <w:rsid w:val="00FA63DB"/>
    <w:rsid w:val="00FA6B77"/>
    <w:rsid w:val="00FA7150"/>
    <w:rsid w:val="00FB018A"/>
    <w:rsid w:val="00FB055A"/>
    <w:rsid w:val="00FB1388"/>
    <w:rsid w:val="00FB3FB0"/>
    <w:rsid w:val="00FB592B"/>
    <w:rsid w:val="00FB77B3"/>
    <w:rsid w:val="00FC0099"/>
    <w:rsid w:val="00FC0756"/>
    <w:rsid w:val="00FC2D51"/>
    <w:rsid w:val="00FC364C"/>
    <w:rsid w:val="00FC534A"/>
    <w:rsid w:val="00FC5460"/>
    <w:rsid w:val="00FC5748"/>
    <w:rsid w:val="00FC6DCB"/>
    <w:rsid w:val="00FD169F"/>
    <w:rsid w:val="00FD3BFB"/>
    <w:rsid w:val="00FD4F32"/>
    <w:rsid w:val="00FD5203"/>
    <w:rsid w:val="00FD7182"/>
    <w:rsid w:val="00FD72C9"/>
    <w:rsid w:val="00FE011B"/>
    <w:rsid w:val="00FE128F"/>
    <w:rsid w:val="00FE17A2"/>
    <w:rsid w:val="00FE41EE"/>
    <w:rsid w:val="00FE47CF"/>
    <w:rsid w:val="00FE58E4"/>
    <w:rsid w:val="00FE6880"/>
    <w:rsid w:val="00FE7255"/>
    <w:rsid w:val="00FE7473"/>
    <w:rsid w:val="00FE79CB"/>
    <w:rsid w:val="00FF21A8"/>
    <w:rsid w:val="00FF22AB"/>
    <w:rsid w:val="00FF60D1"/>
    <w:rsid w:val="00FF7C8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EB5F6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55B45"/>
    <w:pPr>
      <w:spacing w:after="0" w:line="240" w:lineRule="auto"/>
    </w:pPr>
    <w:rPr>
      <w:rFonts w:ascii="Times New Roman" w:eastAsia="Times New Roman" w:hAnsi="Times New Roman" w:cs="Times New Roman"/>
      <w:kern w:val="0"/>
      <w:sz w:val="24"/>
      <w:szCs w:val="24"/>
      <w:lang w:eastAsia="ru-RU"/>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link w:val="BodyText2Char"/>
    <w:rsid w:val="00C55B45"/>
    <w:pPr>
      <w:spacing w:after="120" w:line="480" w:lineRule="auto"/>
    </w:pPr>
    <w:rPr>
      <w:lang w:val="x-none"/>
    </w:rPr>
  </w:style>
  <w:style w:type="character" w:customStyle="1" w:styleId="BodyText2Char">
    <w:name w:val="Body Text 2 Char"/>
    <w:basedOn w:val="DefaultParagraphFont"/>
    <w:link w:val="BodyText2"/>
    <w:rsid w:val="00C55B45"/>
    <w:rPr>
      <w:rFonts w:ascii="Times New Roman" w:eastAsia="Times New Roman" w:hAnsi="Times New Roman" w:cs="Times New Roman"/>
      <w:kern w:val="0"/>
      <w:sz w:val="24"/>
      <w:szCs w:val="24"/>
      <w:lang w:val="x-none" w:eastAsia="ru-RU"/>
      <w14:ligatures w14:val="none"/>
    </w:rPr>
  </w:style>
  <w:style w:type="paragraph" w:styleId="Header">
    <w:name w:val="header"/>
    <w:basedOn w:val="Normal"/>
    <w:link w:val="HeaderChar"/>
    <w:uiPriority w:val="99"/>
    <w:unhideWhenUsed/>
    <w:rsid w:val="00585C37"/>
    <w:pPr>
      <w:tabs>
        <w:tab w:val="center" w:pos="4513"/>
        <w:tab w:val="right" w:pos="9026"/>
      </w:tabs>
    </w:pPr>
  </w:style>
  <w:style w:type="character" w:customStyle="1" w:styleId="HeaderChar">
    <w:name w:val="Header Char"/>
    <w:basedOn w:val="DefaultParagraphFont"/>
    <w:link w:val="Header"/>
    <w:uiPriority w:val="99"/>
    <w:rsid w:val="00585C37"/>
    <w:rPr>
      <w:rFonts w:ascii="Times New Roman" w:eastAsia="Times New Roman" w:hAnsi="Times New Roman" w:cs="Times New Roman"/>
      <w:kern w:val="0"/>
      <w:sz w:val="24"/>
      <w:szCs w:val="24"/>
      <w:lang w:eastAsia="ru-RU"/>
      <w14:ligatures w14:val="none"/>
    </w:rPr>
  </w:style>
  <w:style w:type="paragraph" w:styleId="Footer">
    <w:name w:val="footer"/>
    <w:basedOn w:val="Normal"/>
    <w:link w:val="FooterChar"/>
    <w:uiPriority w:val="99"/>
    <w:unhideWhenUsed/>
    <w:rsid w:val="00585C37"/>
    <w:pPr>
      <w:tabs>
        <w:tab w:val="center" w:pos="4513"/>
        <w:tab w:val="right" w:pos="9026"/>
      </w:tabs>
    </w:pPr>
  </w:style>
  <w:style w:type="character" w:customStyle="1" w:styleId="FooterChar">
    <w:name w:val="Footer Char"/>
    <w:basedOn w:val="DefaultParagraphFont"/>
    <w:link w:val="Footer"/>
    <w:uiPriority w:val="99"/>
    <w:qFormat/>
    <w:rsid w:val="00585C37"/>
    <w:rPr>
      <w:rFonts w:ascii="Times New Roman" w:eastAsia="Times New Roman" w:hAnsi="Times New Roman" w:cs="Times New Roman"/>
      <w:kern w:val="0"/>
      <w:sz w:val="24"/>
      <w:szCs w:val="24"/>
      <w:lang w:eastAsia="ru-RU"/>
      <w14:ligatures w14:val="none"/>
    </w:rPr>
  </w:style>
  <w:style w:type="character" w:styleId="PageNumber">
    <w:name w:val="page number"/>
    <w:basedOn w:val="DefaultParagraphFont"/>
    <w:qFormat/>
    <w:rsid w:val="00585C37"/>
  </w:style>
  <w:style w:type="character" w:styleId="Hyperlink">
    <w:name w:val="Hyperlink"/>
    <w:basedOn w:val="DefaultParagraphFont"/>
    <w:unhideWhenUsed/>
    <w:rsid w:val="008504DA"/>
    <w:rPr>
      <w:color w:val="0000FF"/>
      <w:u w:val="single"/>
    </w:rPr>
  </w:style>
  <w:style w:type="character" w:styleId="CommentReference">
    <w:name w:val="annotation reference"/>
    <w:basedOn w:val="DefaultParagraphFont"/>
    <w:uiPriority w:val="99"/>
    <w:semiHidden/>
    <w:unhideWhenUsed/>
    <w:rsid w:val="00514143"/>
    <w:rPr>
      <w:sz w:val="16"/>
      <w:szCs w:val="16"/>
    </w:rPr>
  </w:style>
  <w:style w:type="paragraph" w:styleId="CommentText">
    <w:name w:val="annotation text"/>
    <w:basedOn w:val="Normal"/>
    <w:link w:val="CommentTextChar"/>
    <w:uiPriority w:val="99"/>
    <w:unhideWhenUsed/>
    <w:rsid w:val="00514143"/>
    <w:rPr>
      <w:sz w:val="20"/>
      <w:szCs w:val="20"/>
    </w:rPr>
  </w:style>
  <w:style w:type="character" w:customStyle="1" w:styleId="CommentTextChar">
    <w:name w:val="Comment Text Char"/>
    <w:basedOn w:val="DefaultParagraphFont"/>
    <w:link w:val="CommentText"/>
    <w:uiPriority w:val="99"/>
    <w:rsid w:val="00514143"/>
    <w:rPr>
      <w:rFonts w:ascii="Times New Roman" w:eastAsia="Times New Roman" w:hAnsi="Times New Roman" w:cs="Times New Roman"/>
      <w:kern w:val="0"/>
      <w:sz w:val="20"/>
      <w:szCs w:val="20"/>
      <w:lang w:eastAsia="ru-RU"/>
      <w14:ligatures w14:val="none"/>
    </w:rPr>
  </w:style>
  <w:style w:type="paragraph" w:styleId="CommentSubject">
    <w:name w:val="annotation subject"/>
    <w:basedOn w:val="CommentText"/>
    <w:next w:val="CommentText"/>
    <w:link w:val="CommentSubjectChar"/>
    <w:uiPriority w:val="99"/>
    <w:semiHidden/>
    <w:unhideWhenUsed/>
    <w:rsid w:val="00514143"/>
    <w:rPr>
      <w:b/>
      <w:bCs/>
    </w:rPr>
  </w:style>
  <w:style w:type="character" w:customStyle="1" w:styleId="CommentSubjectChar">
    <w:name w:val="Comment Subject Char"/>
    <w:basedOn w:val="CommentTextChar"/>
    <w:link w:val="CommentSubject"/>
    <w:uiPriority w:val="99"/>
    <w:semiHidden/>
    <w:rsid w:val="00514143"/>
    <w:rPr>
      <w:rFonts w:ascii="Times New Roman" w:eastAsia="Times New Roman" w:hAnsi="Times New Roman" w:cs="Times New Roman"/>
      <w:b/>
      <w:bCs/>
      <w:kern w:val="0"/>
      <w:sz w:val="20"/>
      <w:szCs w:val="20"/>
      <w:lang w:eastAsia="ru-RU"/>
      <w14:ligatures w14:val="none"/>
    </w:rPr>
  </w:style>
  <w:style w:type="paragraph" w:styleId="BalloonText">
    <w:name w:val="Balloon Text"/>
    <w:basedOn w:val="Normal"/>
    <w:link w:val="BalloonTextChar"/>
    <w:uiPriority w:val="99"/>
    <w:semiHidden/>
    <w:unhideWhenUsed/>
    <w:rsid w:val="007961E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961E6"/>
    <w:rPr>
      <w:rFonts w:ascii="Segoe UI" w:eastAsia="Times New Roman" w:hAnsi="Segoe UI" w:cs="Segoe UI"/>
      <w:kern w:val="0"/>
      <w:sz w:val="18"/>
      <w:szCs w:val="18"/>
      <w:lang w:eastAsia="ru-RU"/>
      <w14:ligatures w14:val="none"/>
    </w:rPr>
  </w:style>
  <w:style w:type="character" w:customStyle="1" w:styleId="highlight">
    <w:name w:val="highlight"/>
    <w:basedOn w:val="DefaultParagraphFont"/>
    <w:rsid w:val="00B04858"/>
  </w:style>
  <w:style w:type="character" w:styleId="UnresolvedMention">
    <w:name w:val="Unresolved Mention"/>
    <w:basedOn w:val="DefaultParagraphFont"/>
    <w:uiPriority w:val="99"/>
    <w:semiHidden/>
    <w:unhideWhenUsed/>
    <w:rsid w:val="00176CF6"/>
    <w:rPr>
      <w:color w:val="605E5C"/>
      <w:shd w:val="clear" w:color="auto" w:fill="E1DFDD"/>
    </w:rPr>
  </w:style>
  <w:style w:type="character" w:styleId="FollowedHyperlink">
    <w:name w:val="FollowedHyperlink"/>
    <w:basedOn w:val="DefaultParagraphFont"/>
    <w:uiPriority w:val="99"/>
    <w:semiHidden/>
    <w:unhideWhenUsed/>
    <w:rsid w:val="00176CF6"/>
    <w:rPr>
      <w:color w:val="954F72" w:themeColor="followedHyperlink"/>
      <w:u w:val="single"/>
    </w:rPr>
  </w:style>
  <w:style w:type="paragraph" w:styleId="Revision">
    <w:name w:val="Revision"/>
    <w:hidden/>
    <w:uiPriority w:val="99"/>
    <w:semiHidden/>
    <w:rsid w:val="007F0579"/>
    <w:pPr>
      <w:spacing w:after="0" w:line="240" w:lineRule="auto"/>
    </w:pPr>
    <w:rPr>
      <w:rFonts w:ascii="Times New Roman" w:eastAsia="Times New Roman" w:hAnsi="Times New Roman" w:cs="Times New Roman"/>
      <w:kern w:val="0"/>
      <w:sz w:val="24"/>
      <w:szCs w:val="24"/>
      <w:lang w:eastAsia="ru-RU"/>
      <w14:ligatures w14:val="none"/>
    </w:rPr>
  </w:style>
  <w:style w:type="table" w:styleId="TableGrid">
    <w:name w:val="Table Grid"/>
    <w:basedOn w:val="TableNormal"/>
    <w:uiPriority w:val="39"/>
    <w:rsid w:val="00D51EE9"/>
    <w:pPr>
      <w:spacing w:after="0" w:line="240" w:lineRule="auto"/>
    </w:pPr>
    <w:rPr>
      <w:rFonts w:ascii="Times New Roman" w:eastAsia="Times New Roman"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link w:val="NoSpacingChar"/>
    <w:uiPriority w:val="1"/>
    <w:qFormat/>
    <w:rsid w:val="0046057A"/>
    <w:pPr>
      <w:spacing w:after="0" w:line="240" w:lineRule="auto"/>
    </w:pPr>
    <w:rPr>
      <w:rFonts w:ascii="Times New Roman" w:hAnsi="Times New Roman"/>
      <w:kern w:val="0"/>
      <w:sz w:val="24"/>
      <w:lang w:val="en-US"/>
      <w14:ligatures w14:val="none"/>
    </w:rPr>
  </w:style>
  <w:style w:type="paragraph" w:styleId="ListParagraph">
    <w:name w:val="List Paragraph"/>
    <w:basedOn w:val="Normal"/>
    <w:uiPriority w:val="34"/>
    <w:qFormat/>
    <w:rsid w:val="006C5E73"/>
    <w:pPr>
      <w:ind w:left="720"/>
      <w:contextualSpacing/>
    </w:pPr>
  </w:style>
  <w:style w:type="character" w:customStyle="1" w:styleId="NoSpacingChar">
    <w:name w:val="No Spacing Char"/>
    <w:link w:val="NoSpacing"/>
    <w:uiPriority w:val="1"/>
    <w:rsid w:val="0056260D"/>
    <w:rPr>
      <w:rFonts w:ascii="Times New Roman" w:hAnsi="Times New Roman"/>
      <w:kern w:val="0"/>
      <w:sz w:val="24"/>
      <w:lang w:val="en-US"/>
      <w14:ligatures w14:val="none"/>
    </w:rPr>
  </w:style>
  <w:style w:type="character" w:customStyle="1" w:styleId="oj-italic">
    <w:name w:val="oj-italic"/>
    <w:basedOn w:val="DefaultParagraphFont"/>
    <w:rsid w:val="00A940D4"/>
  </w:style>
  <w:style w:type="paragraph" w:styleId="FootnoteText">
    <w:name w:val="footnote text"/>
    <w:basedOn w:val="Normal"/>
    <w:link w:val="FootnoteTextChar"/>
    <w:uiPriority w:val="99"/>
    <w:unhideWhenUsed/>
    <w:rsid w:val="007A0B41"/>
    <w:rPr>
      <w:rFonts w:eastAsiaTheme="minorHAnsi" w:cstheme="minorBidi"/>
      <w:kern w:val="2"/>
      <w:sz w:val="20"/>
      <w:szCs w:val="20"/>
      <w:lang w:eastAsia="en-US"/>
      <w14:ligatures w14:val="standardContextual"/>
    </w:rPr>
  </w:style>
  <w:style w:type="character" w:customStyle="1" w:styleId="FootnoteTextChar">
    <w:name w:val="Footnote Text Char"/>
    <w:basedOn w:val="DefaultParagraphFont"/>
    <w:link w:val="FootnoteText"/>
    <w:uiPriority w:val="99"/>
    <w:rsid w:val="007A0B41"/>
    <w:rPr>
      <w:rFonts w:ascii="Times New Roman" w:hAnsi="Times New Roman"/>
      <w:sz w:val="20"/>
      <w:szCs w:val="20"/>
    </w:rPr>
  </w:style>
  <w:style w:type="paragraph" w:customStyle="1" w:styleId="Normal1">
    <w:name w:val="Normal1"/>
    <w:basedOn w:val="Normal"/>
    <w:rsid w:val="003A0A75"/>
    <w:pPr>
      <w:spacing w:before="100" w:beforeAutospacing="1" w:after="100" w:afterAutospacing="1"/>
    </w:pPr>
    <w:rPr>
      <w:lang w:eastAsia="lv-LV"/>
    </w:rPr>
  </w:style>
  <w:style w:type="character" w:styleId="FootnoteReference">
    <w:name w:val="footnote reference"/>
    <w:basedOn w:val="DefaultParagraphFont"/>
    <w:uiPriority w:val="99"/>
    <w:semiHidden/>
    <w:unhideWhenUsed/>
    <w:rsid w:val="0078166F"/>
    <w:rPr>
      <w:vertAlign w:val="superscript"/>
    </w:rPr>
  </w:style>
  <w:style w:type="paragraph" w:customStyle="1" w:styleId="Default">
    <w:name w:val="Default"/>
    <w:rsid w:val="00BD1472"/>
    <w:pPr>
      <w:autoSpaceDE w:val="0"/>
      <w:autoSpaceDN w:val="0"/>
      <w:adjustRightInd w:val="0"/>
      <w:spacing w:after="0" w:line="240" w:lineRule="auto"/>
    </w:pPr>
    <w:rPr>
      <w:rFonts w:ascii="Times New Roman" w:hAnsi="Times New Roman" w:cs="Times New Roman"/>
      <w:color w:val="000000"/>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2638">
      <w:bodyDiv w:val="1"/>
      <w:marLeft w:val="0"/>
      <w:marRight w:val="0"/>
      <w:marTop w:val="0"/>
      <w:marBottom w:val="0"/>
      <w:divBdr>
        <w:top w:val="none" w:sz="0" w:space="0" w:color="auto"/>
        <w:left w:val="none" w:sz="0" w:space="0" w:color="auto"/>
        <w:bottom w:val="none" w:sz="0" w:space="0" w:color="auto"/>
        <w:right w:val="none" w:sz="0" w:space="0" w:color="auto"/>
      </w:divBdr>
    </w:div>
    <w:div w:id="473331293">
      <w:bodyDiv w:val="1"/>
      <w:marLeft w:val="0"/>
      <w:marRight w:val="0"/>
      <w:marTop w:val="0"/>
      <w:marBottom w:val="0"/>
      <w:divBdr>
        <w:top w:val="none" w:sz="0" w:space="0" w:color="auto"/>
        <w:left w:val="none" w:sz="0" w:space="0" w:color="auto"/>
        <w:bottom w:val="none" w:sz="0" w:space="0" w:color="auto"/>
        <w:right w:val="none" w:sz="0" w:space="0" w:color="auto"/>
      </w:divBdr>
    </w:div>
    <w:div w:id="715005018">
      <w:bodyDiv w:val="1"/>
      <w:marLeft w:val="0"/>
      <w:marRight w:val="0"/>
      <w:marTop w:val="0"/>
      <w:marBottom w:val="0"/>
      <w:divBdr>
        <w:top w:val="none" w:sz="0" w:space="0" w:color="auto"/>
        <w:left w:val="none" w:sz="0" w:space="0" w:color="auto"/>
        <w:bottom w:val="none" w:sz="0" w:space="0" w:color="auto"/>
        <w:right w:val="none" w:sz="0" w:space="0" w:color="auto"/>
      </w:divBdr>
    </w:div>
    <w:div w:id="1675837935">
      <w:bodyDiv w:val="1"/>
      <w:marLeft w:val="0"/>
      <w:marRight w:val="0"/>
      <w:marTop w:val="0"/>
      <w:marBottom w:val="0"/>
      <w:divBdr>
        <w:top w:val="none" w:sz="0" w:space="0" w:color="auto"/>
        <w:left w:val="none" w:sz="0" w:space="0" w:color="auto"/>
        <w:bottom w:val="none" w:sz="0" w:space="0" w:color="auto"/>
        <w:right w:val="none" w:sz="0" w:space="0" w:color="auto"/>
      </w:divBdr>
    </w:div>
    <w:div w:id="1677920250">
      <w:bodyDiv w:val="1"/>
      <w:marLeft w:val="0"/>
      <w:marRight w:val="0"/>
      <w:marTop w:val="0"/>
      <w:marBottom w:val="0"/>
      <w:divBdr>
        <w:top w:val="none" w:sz="0" w:space="0" w:color="auto"/>
        <w:left w:val="none" w:sz="0" w:space="0" w:color="auto"/>
        <w:bottom w:val="none" w:sz="0" w:space="0" w:color="auto"/>
        <w:right w:val="none" w:sz="0" w:space="0" w:color="auto"/>
      </w:divBdr>
      <w:divsChild>
        <w:div w:id="234978102">
          <w:marLeft w:val="0"/>
          <w:marRight w:val="0"/>
          <w:marTop w:val="15"/>
          <w:marBottom w:val="0"/>
          <w:divBdr>
            <w:top w:val="single" w:sz="48" w:space="0" w:color="auto"/>
            <w:left w:val="single" w:sz="48" w:space="0" w:color="auto"/>
            <w:bottom w:val="single" w:sz="48" w:space="0" w:color="auto"/>
            <w:right w:val="single" w:sz="48" w:space="0" w:color="auto"/>
          </w:divBdr>
          <w:divsChild>
            <w:div w:id="21592787">
              <w:marLeft w:val="0"/>
              <w:marRight w:val="0"/>
              <w:marTop w:val="0"/>
              <w:marBottom w:val="0"/>
              <w:divBdr>
                <w:top w:val="none" w:sz="0" w:space="0" w:color="auto"/>
                <w:left w:val="none" w:sz="0" w:space="0" w:color="auto"/>
                <w:bottom w:val="none" w:sz="0" w:space="0" w:color="auto"/>
                <w:right w:val="none" w:sz="0" w:space="0" w:color="auto"/>
              </w:divBdr>
            </w:div>
          </w:divsChild>
        </w:div>
        <w:div w:id="1715040691">
          <w:marLeft w:val="0"/>
          <w:marRight w:val="0"/>
          <w:marTop w:val="15"/>
          <w:marBottom w:val="0"/>
          <w:divBdr>
            <w:top w:val="single" w:sz="48" w:space="0" w:color="auto"/>
            <w:left w:val="single" w:sz="48" w:space="0" w:color="auto"/>
            <w:bottom w:val="single" w:sz="48" w:space="0" w:color="auto"/>
            <w:right w:val="single" w:sz="48" w:space="0" w:color="auto"/>
          </w:divBdr>
          <w:divsChild>
            <w:div w:id="1431507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6329542">
      <w:bodyDiv w:val="1"/>
      <w:marLeft w:val="0"/>
      <w:marRight w:val="0"/>
      <w:marTop w:val="0"/>
      <w:marBottom w:val="0"/>
      <w:divBdr>
        <w:top w:val="none" w:sz="0" w:space="0" w:color="auto"/>
        <w:left w:val="none" w:sz="0" w:space="0" w:color="auto"/>
        <w:bottom w:val="none" w:sz="0" w:space="0" w:color="auto"/>
        <w:right w:val="none" w:sz="0" w:space="0" w:color="auto"/>
      </w:divBdr>
    </w:div>
    <w:div w:id="19291934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gateway.elieta.lv/api/v1/PublicMaterialDownload/b5b2ce2a-2b85-419d-aedd-a5d5e09b60c5" TargetMode="External"/><Relationship Id="rId13" Type="http://schemas.openxmlformats.org/officeDocument/2006/relationships/hyperlink" Target="https://gateway.elieta.lv/api/v1/PublicMaterialDownload/8a88d4ce-f285-4c64-955a-25f30deb8210" TargetMode="External"/><Relationship Id="rId18" Type="http://schemas.openxmlformats.org/officeDocument/2006/relationships/hyperlink" Target="https://curia.europa.eu/juris/document/document.jsf?text=&amp;docid=202344&amp;pageIndex=0&amp;doclang=LV&amp;mode=lst&amp;dir=&amp;occ=first&amp;part=1&amp;cid=2039995" TargetMode="External"/><Relationship Id="rId3" Type="http://schemas.openxmlformats.org/officeDocument/2006/relationships/styles" Target="styles.xml"/><Relationship Id="rId21" Type="http://schemas.openxmlformats.org/officeDocument/2006/relationships/hyperlink" Target="https://likumi.lv/ta/id/151589-par-ministru-kabineta-2000-gada-15-augusta-noteikumu-nr-272-grozijumi-militarpersonu-izdienas-pensiju-likuma-3-punkta-2000" TargetMode="External"/><Relationship Id="rId7" Type="http://schemas.openxmlformats.org/officeDocument/2006/relationships/endnotes" Target="endnotes.xml"/><Relationship Id="rId12" Type="http://schemas.openxmlformats.org/officeDocument/2006/relationships/hyperlink" Target="https://likumi.lv/ta/id/223336" TargetMode="External"/><Relationship Id="rId17" Type="http://schemas.openxmlformats.org/officeDocument/2006/relationships/hyperlink" Target="https://curia.europa.eu/juris/document/document.jsf?text=&amp;docid=202344&amp;pageIndex=0&amp;doclang=LV&amp;mode=lst&amp;dir=&amp;occ=first&amp;part=1&amp;cid=2039995" TargetMode="External"/><Relationship Id="rId2" Type="http://schemas.openxmlformats.org/officeDocument/2006/relationships/numbering" Target="numbering.xml"/><Relationship Id="rId16" Type="http://schemas.openxmlformats.org/officeDocument/2006/relationships/hyperlink" Target="https://curia.europa.eu/juris/document/document.jsf?text=&amp;docid=202344&amp;pageIndex=0&amp;doclang=LV&amp;mode=lst&amp;dir=&amp;occ=first&amp;part=1&amp;cid=2039995" TargetMode="External"/><Relationship Id="rId20" Type="http://schemas.openxmlformats.org/officeDocument/2006/relationships/hyperlink" Target="http://data.europa.eu/eli/agree_internation/2021/689(1)/oj"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ikumi.lv/ta/id/223336"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employment-social-affairs.ec.europa.eu/document/download/e8b86b27-62a6-426e-8307-71372a43a17b_lv?filename=LV%20-%20Art.9%20%28ex2024%29%20-%20lv%20%28ORI%29.pdf" TargetMode="External"/><Relationship Id="rId23" Type="http://schemas.openxmlformats.org/officeDocument/2006/relationships/fontTable" Target="fontTable.xml"/><Relationship Id="rId10" Type="http://schemas.openxmlformats.org/officeDocument/2006/relationships/hyperlink" Target="https://likumi.lv/ta/id/38048-par-valsts-pensijam" TargetMode="External"/><Relationship Id="rId19" Type="http://schemas.openxmlformats.org/officeDocument/2006/relationships/hyperlink" Target="https://eur-lex.europa.eu/legal-content/LV/TXT/HTML/?uri=CELEX:12019W/TXT(02)" TargetMode="External"/><Relationship Id="rId4" Type="http://schemas.openxmlformats.org/officeDocument/2006/relationships/settings" Target="settings.xml"/><Relationship Id="rId9" Type="http://schemas.openxmlformats.org/officeDocument/2006/relationships/hyperlink" Target="https://gateway.elieta.lv/api/v1/PublicMaterialDownload/8a88d4ce-f285-4c64-955a-25f30deb8210" TargetMode="External"/><Relationship Id="rId14" Type="http://schemas.openxmlformats.org/officeDocument/2006/relationships/hyperlink" Target="https://curia.europa.eu/juris/document/document.jsf?text=&amp;docid=200017&amp;pageIndex=0&amp;doclang=LV&amp;mode=lst&amp;dir=&amp;occ=first&amp;part=1&amp;cid=7797539" TargetMode="External"/><Relationship Id="rId2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224A284-8FC9-45F6-A876-29D5FED48C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24659</Words>
  <Characters>14056</Characters>
  <Application>Microsoft Office Word</Application>
  <DocSecurity>0</DocSecurity>
  <Lines>117</Lines>
  <Paragraphs>77</Paragraphs>
  <ScaleCrop>false</ScaleCrop>
  <Company/>
  <LinksUpToDate>false</LinksUpToDate>
  <CharactersWithSpaces>38638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2026-07-29T08:27:00Z</dcterms:created>
  <dcterms:modified xsi:type="dcterms:W3CDTF">2026-07-29T08:27:00Z</dcterms:modified>
</cp:coreProperties>
</file>