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D4B0A" w14:textId="77777777" w:rsidR="00E23132" w:rsidRPr="00E23132" w:rsidRDefault="00E23132" w:rsidP="002D3B67">
      <w:pPr>
        <w:spacing w:before="120" w:line="276" w:lineRule="auto"/>
        <w:contextualSpacing/>
        <w:jc w:val="both"/>
        <w:rPr>
          <w:b/>
          <w:bCs/>
        </w:rPr>
      </w:pPr>
      <w:r w:rsidRPr="00E23132">
        <w:rPr>
          <w:b/>
          <w:bCs/>
        </w:rPr>
        <w:t>Ārstniecības personas pienākums informēt pacientu par ārstniecības riskiem viņam saprotamā veidā kā būtiska ārstniecības procesa sastāvdaļa</w:t>
      </w:r>
    </w:p>
    <w:p w14:paraId="7C64CB0C" w14:textId="77777777" w:rsidR="00E23132" w:rsidRPr="00E23132" w:rsidRDefault="00E23132" w:rsidP="002D3B67">
      <w:pPr>
        <w:spacing w:before="120" w:line="276" w:lineRule="auto"/>
        <w:contextualSpacing/>
        <w:jc w:val="both"/>
        <w:rPr>
          <w:bCs/>
        </w:rPr>
      </w:pPr>
      <w:r w:rsidRPr="00E23132">
        <w:rPr>
          <w:bCs/>
        </w:rPr>
        <w:t>Ārstniecības personai ir jāpiešķir pienācīga vērība tam, ar kādām grūtībām saskaras medicīnā nezinošas personas, kad jāpieņem lēmums par potenciāli vairāk vai mazāk riskantu ārstniecību. Jo būtiskāka un riskantāka ir paredzētā ārstniecība, jo plašākai ir jābūt sarunai, lai pacients objektīvi izprastu sava lēmuma iespējamās sekas un piekrišana konkrētajai ārstniecībai tiešām būtu informēta. Pacienta informēšana viņam saprotamā veidā ir būtiska ārstniecības procesa sastāvdaļa, nevis tikai vispārīga informētās piekrišanas veidlapas parakstīšana ar mērķi mazināt ārstniecības personu juridisko atbildību. Ja ikvienu pacientu pirms operācijas informē tikai par vispārīgiem riskiem veselībai un dzīvībai, bet neizskaidro konkrētāk, arī piekrišana var tikt sniegta neapdomīgi, pamatojoties uz vispārīgu izpratni par to, ka vispār jebkurai operācijai ir kaut kādi riski.</w:t>
      </w:r>
    </w:p>
    <w:p w14:paraId="21C605FE" w14:textId="77777777" w:rsidR="00E23132" w:rsidRDefault="00E23132" w:rsidP="00E23132">
      <w:pPr>
        <w:spacing w:before="120" w:line="276" w:lineRule="auto"/>
        <w:contextualSpacing/>
        <w:jc w:val="center"/>
        <w:rPr>
          <w:b/>
        </w:rPr>
      </w:pPr>
    </w:p>
    <w:p w14:paraId="20978D57" w14:textId="77777777" w:rsidR="00E23132" w:rsidRDefault="00E23132" w:rsidP="00E23132">
      <w:pPr>
        <w:spacing w:before="120" w:line="276" w:lineRule="auto"/>
        <w:contextualSpacing/>
        <w:jc w:val="center"/>
        <w:rPr>
          <w:b/>
        </w:rPr>
      </w:pPr>
    </w:p>
    <w:p w14:paraId="5C555030" w14:textId="20E415F8" w:rsidR="00E23132" w:rsidRPr="00DE6BC0" w:rsidRDefault="00E23132" w:rsidP="00E23132">
      <w:pPr>
        <w:spacing w:before="120" w:line="276" w:lineRule="auto"/>
        <w:contextualSpacing/>
        <w:jc w:val="center"/>
        <w:rPr>
          <w:b/>
        </w:rPr>
      </w:pPr>
      <w:r w:rsidRPr="00DE6BC0">
        <w:rPr>
          <w:b/>
        </w:rPr>
        <w:t>Latvijas Republikas Senāt</w:t>
      </w:r>
      <w:r>
        <w:rPr>
          <w:b/>
        </w:rPr>
        <w:t>a</w:t>
      </w:r>
      <w:r>
        <w:rPr>
          <w:b/>
        </w:rPr>
        <w:br/>
        <w:t>Administratīvo lietu departamenta</w:t>
      </w:r>
      <w:r>
        <w:rPr>
          <w:b/>
        </w:rPr>
        <w:br/>
        <w:t>2026.gada 3.augusta</w:t>
      </w:r>
    </w:p>
    <w:p w14:paraId="4FF21655" w14:textId="45FC6931" w:rsidR="00E23132" w:rsidRDefault="00E23132" w:rsidP="00E23132">
      <w:pPr>
        <w:spacing w:line="276" w:lineRule="auto"/>
        <w:contextualSpacing/>
        <w:jc w:val="center"/>
        <w:rPr>
          <w:b/>
        </w:rPr>
      </w:pPr>
      <w:r w:rsidRPr="00163785">
        <w:rPr>
          <w:b/>
        </w:rPr>
        <w:t xml:space="preserve">RĪCĪBAS SĒDES </w:t>
      </w:r>
      <w:r w:rsidRPr="00DE6BC0">
        <w:rPr>
          <w:b/>
        </w:rPr>
        <w:t>LĒMUMS</w:t>
      </w:r>
    </w:p>
    <w:p w14:paraId="154F8D01" w14:textId="42E381F9" w:rsidR="00E23132" w:rsidRDefault="00E23132" w:rsidP="00E23132">
      <w:pPr>
        <w:spacing w:line="276" w:lineRule="auto"/>
        <w:contextualSpacing/>
        <w:jc w:val="center"/>
        <w:rPr>
          <w:b/>
          <w:bCs/>
        </w:rPr>
      </w:pPr>
      <w:r w:rsidRPr="005F67AF">
        <w:rPr>
          <w:b/>
          <w:bCs/>
        </w:rPr>
        <w:t>Lieta Nr. </w:t>
      </w:r>
      <w:r w:rsidR="009C3DC2">
        <w:rPr>
          <w:b/>
          <w:bCs/>
        </w:rPr>
        <w:t>A</w:t>
      </w:r>
      <w:r w:rsidRPr="00E23132">
        <w:rPr>
          <w:b/>
          <w:bCs/>
        </w:rPr>
        <w:t>420290622,</w:t>
      </w:r>
      <w:r w:rsidRPr="005F67AF">
        <w:rPr>
          <w:b/>
          <w:bCs/>
          <w:lang w:eastAsia="lv-LV"/>
        </w:rPr>
        <w:t> </w:t>
      </w:r>
      <w:r w:rsidRPr="005F67AF">
        <w:rPr>
          <w:b/>
          <w:bCs/>
        </w:rPr>
        <w:t>SKA-</w:t>
      </w:r>
      <w:r>
        <w:rPr>
          <w:b/>
          <w:bCs/>
        </w:rPr>
        <w:t>525</w:t>
      </w:r>
      <w:r w:rsidRPr="005F67AF">
        <w:rPr>
          <w:b/>
          <w:bCs/>
        </w:rPr>
        <w:t>/2026</w:t>
      </w:r>
    </w:p>
    <w:p w14:paraId="6A9FF286" w14:textId="42DD73F3" w:rsidR="00E23132" w:rsidRPr="005F67AF" w:rsidRDefault="00C86B5E" w:rsidP="00C86B5E">
      <w:pPr>
        <w:spacing w:line="276" w:lineRule="auto"/>
        <w:contextualSpacing/>
        <w:jc w:val="center"/>
        <w:rPr>
          <w:b/>
          <w:bCs/>
        </w:rPr>
      </w:pPr>
      <w:hyperlink r:id="rId7" w:history="1">
        <w:r w:rsidRPr="00975717">
          <w:rPr>
            <w:rStyle w:val="Hyperlink"/>
          </w:rPr>
          <w:t>ECLI:LV:AT:2026:0803.A420290622.23.L</w:t>
        </w:r>
      </w:hyperlink>
      <w:r w:rsidRPr="00C86B5E">
        <w:t xml:space="preserve"> </w:t>
      </w:r>
    </w:p>
    <w:p w14:paraId="4FC89051" w14:textId="77777777" w:rsidR="00E23132" w:rsidRDefault="00E23132" w:rsidP="00E23132">
      <w:pPr>
        <w:spacing w:line="276" w:lineRule="auto"/>
        <w:jc w:val="center"/>
      </w:pPr>
    </w:p>
    <w:p w14:paraId="37770388" w14:textId="77777777" w:rsidR="00A964D9" w:rsidRPr="00CF3D53" w:rsidRDefault="00A964D9" w:rsidP="00CF3D53">
      <w:pPr>
        <w:spacing w:line="276" w:lineRule="auto"/>
        <w:ind w:firstLine="720"/>
        <w:jc w:val="both"/>
        <w:rPr>
          <w:sz w:val="22"/>
          <w:szCs w:val="22"/>
        </w:rPr>
      </w:pPr>
    </w:p>
    <w:p w14:paraId="37464FBB" w14:textId="02C0605F" w:rsidR="00CC211B" w:rsidRDefault="00A964D9" w:rsidP="00CF3D53">
      <w:pPr>
        <w:spacing w:line="276" w:lineRule="auto"/>
        <w:ind w:firstLine="720"/>
        <w:jc w:val="both"/>
      </w:pPr>
      <w:r w:rsidRPr="00D61285">
        <w:t>[1]</w:t>
      </w:r>
      <w:r w:rsidR="00FC5A08">
        <w:t xml:space="preserve"> </w:t>
      </w:r>
      <w:r>
        <w:t xml:space="preserve">Senātā saņemta </w:t>
      </w:r>
      <w:r w:rsidR="00C8558D">
        <w:t xml:space="preserve">atbildētājas Latvijas Republikas pusē pieaicināto iestāžu Veselības inspekcijas un Veselības ministrijas kasācijas sūdzības </w:t>
      </w:r>
      <w:r>
        <w:t xml:space="preserve">par </w:t>
      </w:r>
      <w:r w:rsidRPr="002E6F21">
        <w:t>Administratīvā</w:t>
      </w:r>
      <w:r w:rsidR="000C3221">
        <w:t>s</w:t>
      </w:r>
      <w:r w:rsidRPr="002E6F21">
        <w:t xml:space="preserve"> </w:t>
      </w:r>
      <w:r w:rsidR="00746A88">
        <w:t xml:space="preserve">apgabaltiesas </w:t>
      </w:r>
      <w:r w:rsidRPr="002E6F21">
        <w:t>20</w:t>
      </w:r>
      <w:r w:rsidR="00CC211B">
        <w:t>2</w:t>
      </w:r>
      <w:r w:rsidR="00C8558D">
        <w:t>6</w:t>
      </w:r>
      <w:r w:rsidRPr="002E6F21">
        <w:t xml:space="preserve">.gada </w:t>
      </w:r>
      <w:r w:rsidR="00B02FB6">
        <w:t>1</w:t>
      </w:r>
      <w:r w:rsidR="00CC211B">
        <w:t>9.</w:t>
      </w:r>
      <w:r w:rsidR="00C8558D">
        <w:t>janvā</w:t>
      </w:r>
      <w:r w:rsidR="00B02FB6">
        <w:t>ra</w:t>
      </w:r>
      <w:r w:rsidRPr="002E6F21">
        <w:t xml:space="preserve"> spriedumu</w:t>
      </w:r>
      <w:r w:rsidR="006F4988">
        <w:t xml:space="preserve"> lietā par </w:t>
      </w:r>
      <w:r w:rsidR="00B02FB6">
        <w:t>labvēlīg</w:t>
      </w:r>
      <w:r w:rsidR="00C8558D">
        <w:t>āk</w:t>
      </w:r>
      <w:r w:rsidR="00B02FB6">
        <w:t>a administratīvā akta izdošanu</w:t>
      </w:r>
      <w:r w:rsidR="00CC211B">
        <w:t xml:space="preserve">, ar kuru tiktu izmaksāta atlīdzība no Ārstniecības riska fonda par pieteicēja </w:t>
      </w:r>
      <w:r w:rsidR="00C86B5E">
        <w:t>[pers. A]</w:t>
      </w:r>
      <w:r w:rsidR="00A76DEA">
        <w:t xml:space="preserve"> </w:t>
      </w:r>
      <w:r w:rsidR="00CC211B">
        <w:t>veselībai nodarīto kaitējumu.</w:t>
      </w:r>
    </w:p>
    <w:p w14:paraId="4775BE2E" w14:textId="2C8F2801" w:rsidR="00C8558D" w:rsidRDefault="00CC211B" w:rsidP="00CF3D53">
      <w:pPr>
        <w:spacing w:line="276" w:lineRule="auto"/>
        <w:ind w:firstLine="720"/>
        <w:jc w:val="both"/>
      </w:pPr>
      <w:r>
        <w:t xml:space="preserve">Apgabaltiesa </w:t>
      </w:r>
      <w:r w:rsidR="00C8558D">
        <w:t>apmierināja</w:t>
      </w:r>
      <w:r>
        <w:t xml:space="preserve"> pieteikumu, </w:t>
      </w:r>
      <w:r w:rsidR="00F74BFC">
        <w:t xml:space="preserve">atzīstot, ka </w:t>
      </w:r>
      <w:r w:rsidR="00F74BFC" w:rsidRPr="00F74BFC">
        <w:t>pieteicēja veselībai nodarītais kaitējums ir novērtējams 100</w:t>
      </w:r>
      <w:r w:rsidR="005A2C7F">
        <w:t> </w:t>
      </w:r>
      <w:r w:rsidR="00F74BFC" w:rsidRPr="00F74BFC">
        <w:t>% apmērā, t.i., Pacientu tiesību likuma 16.panta otrās daļas</w:t>
      </w:r>
      <w:r w:rsidR="005A2C7F">
        <w:t xml:space="preserve"> </w:t>
      </w:r>
      <w:r w:rsidR="00F74BFC" w:rsidRPr="00F74BFC">
        <w:t>1.punktā noteiktās maksimālās summas (142</w:t>
      </w:r>
      <w:r w:rsidR="004647E2">
        <w:t> </w:t>
      </w:r>
      <w:r w:rsidR="00F74BFC" w:rsidRPr="00F74BFC">
        <w:t xml:space="preserve">290 </w:t>
      </w:r>
      <w:r w:rsidR="00F74BFC" w:rsidRPr="00F74BFC">
        <w:rPr>
          <w:i/>
          <w:iCs/>
        </w:rPr>
        <w:t>euro</w:t>
      </w:r>
      <w:r w:rsidR="00F74BFC" w:rsidRPr="00F74BFC">
        <w:t>) apmērā</w:t>
      </w:r>
      <w:r>
        <w:t xml:space="preserve">, </w:t>
      </w:r>
      <w:r w:rsidR="00F74BFC">
        <w:t>un attiecīgi uzliekot pienākumu izmaksāt no Ārstniecības riska fonda summu, kas iepriekš ne</w:t>
      </w:r>
      <w:r w:rsidR="005A2C7F">
        <w:t>bija</w:t>
      </w:r>
      <w:r w:rsidR="00F74BFC">
        <w:t xml:space="preserve"> piešķirta ar iestādes lēmumu. Apgabaltiesa konstatēja, </w:t>
      </w:r>
      <w:r>
        <w:t>ka</w:t>
      </w:r>
      <w:r w:rsidR="00F74BFC">
        <w:t xml:space="preserve"> p</w:t>
      </w:r>
      <w:r w:rsidR="000A62F1" w:rsidRPr="000A62F1">
        <w:t xml:space="preserve">ieteicējam </w:t>
      </w:r>
      <w:r w:rsidR="000A62F1">
        <w:t>saistībā ar diagnozi</w:t>
      </w:r>
      <w:r w:rsidR="00F74BFC">
        <w:t xml:space="preserve"> </w:t>
      </w:r>
      <w:proofErr w:type="spellStart"/>
      <w:r w:rsidR="000A62F1" w:rsidRPr="00F74BFC">
        <w:rPr>
          <w:i/>
          <w:iCs/>
        </w:rPr>
        <w:t>Fallo</w:t>
      </w:r>
      <w:proofErr w:type="spellEnd"/>
      <w:r w:rsidR="000A62F1" w:rsidRPr="00F74BFC">
        <w:rPr>
          <w:i/>
          <w:iCs/>
        </w:rPr>
        <w:t xml:space="preserve"> </w:t>
      </w:r>
      <w:proofErr w:type="spellStart"/>
      <w:r w:rsidR="000A62F1" w:rsidRPr="00F74BFC">
        <w:rPr>
          <w:i/>
          <w:iCs/>
        </w:rPr>
        <w:t>tetrāde</w:t>
      </w:r>
      <w:proofErr w:type="spellEnd"/>
      <w:r w:rsidR="00F74BFC">
        <w:t xml:space="preserve"> </w:t>
      </w:r>
      <w:r w:rsidR="000A62F1">
        <w:t xml:space="preserve">valsts </w:t>
      </w:r>
      <w:r w:rsidR="00F74BFC">
        <w:t>sabiedrībā ar ierobežotu atbildību </w:t>
      </w:r>
      <w:r w:rsidR="000A62F1">
        <w:t>„Bērnu klīniskā universitātes slimnīca” veica plānveida operāciju</w:t>
      </w:r>
      <w:r w:rsidR="00F74BFC">
        <w:t xml:space="preserve">, pēc kuras pieteicējam ir </w:t>
      </w:r>
      <w:r w:rsidR="000A62F1" w:rsidRPr="000A62F1">
        <w:t>nervu sistēmas</w:t>
      </w:r>
      <w:r w:rsidR="00F74BFC">
        <w:t xml:space="preserve"> </w:t>
      </w:r>
      <w:r w:rsidR="000A62F1" w:rsidRPr="000A62F1">
        <w:t>darbības paliekoš</w:t>
      </w:r>
      <w:r w:rsidR="00CA226D">
        <w:t>i</w:t>
      </w:r>
      <w:r w:rsidR="000A62F1" w:rsidRPr="000A62F1">
        <w:t xml:space="preserve"> traucējumi, ļoti smagi fizisko spēju funkcionāli ierobežojumi, pieteicēja pašaprūpes spējas un</w:t>
      </w:r>
      <w:r w:rsidR="00F74BFC">
        <w:t xml:space="preserve"> </w:t>
      </w:r>
      <w:r w:rsidR="000A62F1" w:rsidRPr="000A62F1">
        <w:t xml:space="preserve">funkcionālie ierobežojumi būs paliekoši un neatgriezeniski, pieteicējs ir aprūpējams visas dzīves garumā, </w:t>
      </w:r>
      <w:r w:rsidR="00F74BFC">
        <w:t>viņam</w:t>
      </w:r>
      <w:r w:rsidR="000A62F1" w:rsidRPr="000A62F1">
        <w:t xml:space="preserve"> nepieciešama neiroloģiska</w:t>
      </w:r>
      <w:r w:rsidR="00F74BFC">
        <w:t xml:space="preserve"> </w:t>
      </w:r>
      <w:r w:rsidR="000A62F1" w:rsidRPr="000A62F1">
        <w:t>ārstēšana un rehabilitācija, kas saistīta ar papildu finanšu ieguldījumu.</w:t>
      </w:r>
      <w:r w:rsidR="00F74BFC">
        <w:t xml:space="preserve"> Izmaksājamās atlīdzības apmērs noteikts, novērtējot Ministru kabineta </w:t>
      </w:r>
      <w:r w:rsidR="004647E2">
        <w:t xml:space="preserve">2013.gada 5.novembra </w:t>
      </w:r>
      <w:r w:rsidR="00F74BFC">
        <w:t>noteikumu Nr. 1268 „Ārstniecības riska fonda darbības noteikumi” (turpmāk – noteikumi Nr. 1268) (</w:t>
      </w:r>
      <w:r w:rsidR="00F74BFC" w:rsidRPr="005A2C7F">
        <w:rPr>
          <w:i/>
          <w:iCs/>
        </w:rPr>
        <w:t xml:space="preserve">redakcijā, kas bija spēkā </w:t>
      </w:r>
      <w:r w:rsidR="005A2C7F" w:rsidRPr="005A2C7F">
        <w:rPr>
          <w:i/>
          <w:iCs/>
        </w:rPr>
        <w:t>līdz 2021.gada 31.maijam</w:t>
      </w:r>
      <w:r w:rsidR="005A2C7F">
        <w:t xml:space="preserve">) </w:t>
      </w:r>
      <w:r w:rsidR="00F74BFC">
        <w:t>9.punktā norādītos aspektus kopsakarā ar noteikumu 2.pielikuma 1.2.1.apakšpunktā norādītā nodarītā kaitējuma smagumu, 2.pielikuma piezīmē norādīto, kā arī to, ka operācijas veikšanai netika saņemta informētā piekrišana</w:t>
      </w:r>
      <w:r w:rsidR="005A2C7F">
        <w:t>.</w:t>
      </w:r>
    </w:p>
    <w:p w14:paraId="2C1A314C" w14:textId="77777777" w:rsidR="00C8558D" w:rsidRPr="00CF3D53" w:rsidRDefault="00C8558D" w:rsidP="00CF3D53">
      <w:pPr>
        <w:spacing w:line="276" w:lineRule="auto"/>
        <w:ind w:firstLine="720"/>
        <w:jc w:val="both"/>
        <w:rPr>
          <w:sz w:val="22"/>
          <w:szCs w:val="22"/>
        </w:rPr>
      </w:pPr>
    </w:p>
    <w:p w14:paraId="11FF8C38" w14:textId="4CC55FFC" w:rsidR="00C8558D" w:rsidRDefault="006649F4" w:rsidP="00CF3D53">
      <w:pPr>
        <w:spacing w:line="276" w:lineRule="auto"/>
        <w:ind w:firstLine="720"/>
        <w:jc w:val="both"/>
      </w:pPr>
      <w:r>
        <w:lastRenderedPageBreak/>
        <w:t>[</w:t>
      </w:r>
      <w:r w:rsidR="00A76DEA">
        <w:t>2</w:t>
      </w:r>
      <w:r>
        <w:t>] Gan Veselības inspekcija, gan Veselības ministrija nepiekrīt apgabaltiesas pamatojumam, kādēļ bija jāpiemēro noteikumu Nr. 1268 redakcija, kas bija spēkā līdz 2021.gada 31.maijam. Abas iestādes piekrīt, ka apstākļos, kad administratīvā procesa gaitā mainījās regulējums, ir jāpiemēro tā redakcija, kura ir labvēlīg</w:t>
      </w:r>
      <w:r w:rsidR="00A76DEA">
        <w:t>āk</w:t>
      </w:r>
      <w:r>
        <w:t xml:space="preserve">a personai, taču nepiekrīt, ka šajā sakarā jāņem vērā tikai </w:t>
      </w:r>
      <w:r w:rsidR="00D96328">
        <w:t xml:space="preserve">tas, ka noteiktam </w:t>
      </w:r>
      <w:r w:rsidRPr="006649F4">
        <w:t>kaitējuma veid</w:t>
      </w:r>
      <w:r w:rsidR="00D96328">
        <w:t xml:space="preserve">am vispārīgi ir paredzēts lielāks </w:t>
      </w:r>
      <w:r w:rsidRPr="006649F4">
        <w:t>procentuālais apmērs.</w:t>
      </w:r>
    </w:p>
    <w:p w14:paraId="71D3388B" w14:textId="3FF3588D" w:rsidR="006649F4" w:rsidRDefault="00D96328" w:rsidP="00CF3D53">
      <w:pPr>
        <w:spacing w:line="276" w:lineRule="auto"/>
        <w:ind w:firstLine="720"/>
        <w:jc w:val="both"/>
      </w:pPr>
      <w:r>
        <w:t>I</w:t>
      </w:r>
      <w:r w:rsidR="006649F4">
        <w:t xml:space="preserve">estāžu apsvērumi varētu būt pamatoti, jo labvēlīgāks iznākums ir atkarīgs no visu katrā attiecīgajā noteikumu redakcijā būtisko apstākļu kopuma, tie visi būtu jāskata kopā, nevis tikai viens kritērijs. Taču šajā gadījumā tam nav nozīmes, jo apgabaltiesa ir piespriedusi maksimālo iespējamo kaitējuma atlīdzību. </w:t>
      </w:r>
      <w:r w:rsidR="00BD1C4C">
        <w:t xml:space="preserve">Savukārt apsvērumi, ka tieši jaunākā redakcija būtu bijusi labvēlīgāka, balstās Veselības inspekcijas vērtējumā par </w:t>
      </w:r>
      <w:r w:rsidR="004669AF">
        <w:t>konkrētā gadījum</w:t>
      </w:r>
      <w:r w:rsidR="00A76DEA">
        <w:t>a</w:t>
      </w:r>
      <w:r w:rsidR="004669AF">
        <w:t xml:space="preserve"> </w:t>
      </w:r>
      <w:r w:rsidR="00BD1C4C">
        <w:t xml:space="preserve">apstākļiem, taču apgabaltiesa </w:t>
      </w:r>
      <w:r w:rsidR="00A76DEA">
        <w:t>šādu vērtējumu</w:t>
      </w:r>
      <w:r w:rsidR="00BD1C4C">
        <w:t xml:space="preserve"> nav atzinusi par pareizu</w:t>
      </w:r>
      <w:r w:rsidR="004669AF">
        <w:t>.</w:t>
      </w:r>
    </w:p>
    <w:p w14:paraId="25E5FD27" w14:textId="77777777" w:rsidR="006649F4" w:rsidRPr="00CF3D53" w:rsidRDefault="006649F4" w:rsidP="00CF3D53">
      <w:pPr>
        <w:spacing w:line="276" w:lineRule="auto"/>
        <w:ind w:firstLine="720"/>
        <w:jc w:val="both"/>
        <w:rPr>
          <w:sz w:val="22"/>
          <w:szCs w:val="22"/>
        </w:rPr>
      </w:pPr>
    </w:p>
    <w:p w14:paraId="073EB1CD" w14:textId="7598F202" w:rsidR="006649F4" w:rsidRDefault="006649F4" w:rsidP="00CF3D53">
      <w:pPr>
        <w:spacing w:line="276" w:lineRule="auto"/>
        <w:ind w:firstLine="720"/>
        <w:jc w:val="both"/>
      </w:pPr>
      <w:r>
        <w:t>[</w:t>
      </w:r>
      <w:r w:rsidR="00A76DEA">
        <w:t>3</w:t>
      </w:r>
      <w:r>
        <w:t xml:space="preserve">] </w:t>
      </w:r>
      <w:r w:rsidR="00BD1C4C">
        <w:t>Veselības inspekcija</w:t>
      </w:r>
      <w:r w:rsidR="004669AF">
        <w:t xml:space="preserve"> uzskata, ka, nosakot kaitējuma smaguma apmēru</w:t>
      </w:r>
      <w:r w:rsidR="00C04186">
        <w:t xml:space="preserve"> un attiecīgi atlīdzību par nodarīto kaitējumu</w:t>
      </w:r>
      <w:r w:rsidR="004669AF">
        <w:t xml:space="preserve">, bija jāņem vērā tās iesniegtā </w:t>
      </w:r>
      <w:r w:rsidR="004669AF" w:rsidRPr="004669AF">
        <w:t xml:space="preserve">tabula </w:t>
      </w:r>
      <w:r w:rsidR="004669AF">
        <w:t>„</w:t>
      </w:r>
      <w:r w:rsidR="004669AF" w:rsidRPr="004669AF">
        <w:t>Kaitējuma apmēra noteikšana”</w:t>
      </w:r>
      <w:r w:rsidR="004669AF">
        <w:t xml:space="preserve">. </w:t>
      </w:r>
    </w:p>
    <w:p w14:paraId="1DCE10FB" w14:textId="2FA298CC" w:rsidR="004669AF" w:rsidRDefault="004669AF" w:rsidP="00CF3D53">
      <w:pPr>
        <w:spacing w:line="276" w:lineRule="auto"/>
        <w:ind w:firstLine="720"/>
        <w:jc w:val="both"/>
      </w:pPr>
      <w:r>
        <w:t xml:space="preserve">Senatoru kolēģija tam nepiekrīt. Apgabaltiesa ir vērtējusi tai pieejamos pierādījumus un Veselības inspekcijas paskaidrojumus gan par šīs tabulas izcelsmi, gan piemērošanu, gan to, ka iestāde nav spējusi uzrādīt tabulu jebkādā formā, kurai būtu juridisks spēks. Apgabaltiesa nekonstatēja, ka </w:t>
      </w:r>
      <w:r w:rsidR="00A76DEA">
        <w:t>tabula</w:t>
      </w:r>
      <w:r>
        <w:t xml:space="preserve"> būtu piemērojama un būtu tikusi konsekventi piemērota kā iekšējs normatīvais akts ar mērķi vienveidot atlīdzības noteikšanu. Senāta kompetencē nav pārvērtēt pierādījumus par šīs tabulas izcelsmi un piemērošanu.</w:t>
      </w:r>
    </w:p>
    <w:p w14:paraId="1DEF0476" w14:textId="09598764" w:rsidR="004669AF" w:rsidRDefault="004669AF" w:rsidP="00CF3D53">
      <w:pPr>
        <w:spacing w:line="276" w:lineRule="auto"/>
        <w:ind w:firstLine="720"/>
        <w:jc w:val="both"/>
      </w:pPr>
      <w:r>
        <w:t xml:space="preserve">Taču izšķiroši jebkurā gadījumā ir tas, ka tiesas kompetencē ir patstāvīgi un neatkarīgi izvērtēt administratīvā akta tiesiskumu atbilstoši ārējām tiesību normām, tātad tiesai nav saistošas iestādes </w:t>
      </w:r>
      <w:r w:rsidR="000715A1">
        <w:t xml:space="preserve">iekšējās </w:t>
      </w:r>
      <w:r>
        <w:t>vadlīnijas vai iestādes izpratne par to piemērošanu. Ja iestāde nepareizi novērtējusi apstākļus un kļūdījusies ārējā normatīvajā aktā noteikto kaitējuma atlīdzības noteikšanas kritēriju piemērošanā, tiesai ir pienākums noteikt atbilstošu atlīdzību, pat ja rezultāts neatbilst iestādes iekšējam normatīvajam aktam.</w:t>
      </w:r>
      <w:r w:rsidR="00A60A3B">
        <w:t xml:space="preserve"> Turklāt </w:t>
      </w:r>
      <w:r w:rsidR="00011EC9">
        <w:t xml:space="preserve">Veselības </w:t>
      </w:r>
      <w:r w:rsidR="00A60A3B">
        <w:t xml:space="preserve">inspekcija nepamatoti apgalvo, ka tabulas nepiemērošanas dēļ </w:t>
      </w:r>
      <w:r w:rsidR="00A60A3B" w:rsidRPr="00A60A3B">
        <w:t xml:space="preserve">administratīvās lietas dalībniekiem nepastāv iespēja saņemt saprotamu </w:t>
      </w:r>
      <w:r w:rsidR="00A60A3B">
        <w:t>s</w:t>
      </w:r>
      <w:r w:rsidR="00A60A3B" w:rsidRPr="00A60A3B">
        <w:t xml:space="preserve">priedumu par to, kādēļ </w:t>
      </w:r>
      <w:r w:rsidR="00A60A3B">
        <w:t>p</w:t>
      </w:r>
      <w:r w:rsidR="00A60A3B" w:rsidRPr="00A60A3B">
        <w:t xml:space="preserve">ieteicēja veselības aprūpē ir nosakāms </w:t>
      </w:r>
      <w:r w:rsidR="00A76DEA">
        <w:t>konkrēts</w:t>
      </w:r>
      <w:r w:rsidR="00A60A3B" w:rsidRPr="00A60A3B">
        <w:t xml:space="preserve"> kaitējuma apmērs</w:t>
      </w:r>
      <w:r w:rsidR="00A60A3B">
        <w:t xml:space="preserve">. Šādu pamatojumu sniegt ir tieši apgabaltiesas uzdevums, atspoguļojot spriedumā to, kā tiek nodibināti konkrētās lietas faktiskie apstākļi un kā tie tiek </w:t>
      </w:r>
      <w:proofErr w:type="spellStart"/>
      <w:r w:rsidR="00A60A3B">
        <w:t>subsumēti</w:t>
      </w:r>
      <w:proofErr w:type="spellEnd"/>
      <w:r w:rsidR="00A60A3B">
        <w:t xml:space="preserve"> ārējām tiesību normām.</w:t>
      </w:r>
      <w:r w:rsidR="00C73888">
        <w:t xml:space="preserve"> Tas, ka netiek ņemta vērā iestādes tabula</w:t>
      </w:r>
      <w:r w:rsidR="000715A1">
        <w:t>,</w:t>
      </w:r>
      <w:r w:rsidR="00C73888">
        <w:t xml:space="preserve"> pats par sevi arī nepadara tiesību normu piemērošanu par subjektīvu, un tāpat tas nenozīmē lietderības apsvērumu izdarīšanu, kur tiem nebūtu jābūt, bet tikai to, ka tiesa patstāvīgi, nevis atbilstoši iestādes iekšējām vadlīnijām piemēro ārējās tiesību normas.</w:t>
      </w:r>
      <w:r w:rsidR="00E31A22">
        <w:t xml:space="preserve"> </w:t>
      </w:r>
    </w:p>
    <w:p w14:paraId="37CE1765" w14:textId="1F11DB1A" w:rsidR="00E31A22" w:rsidRDefault="00E31A22" w:rsidP="00CF3D53">
      <w:pPr>
        <w:spacing w:line="276" w:lineRule="auto"/>
        <w:ind w:firstLine="720"/>
        <w:jc w:val="both"/>
      </w:pPr>
      <w:r>
        <w:t xml:space="preserve">Senatoru kolēģija arī norāda, ka iestādes iekšējās vadlīnijas </w:t>
      </w:r>
      <w:r w:rsidR="00BE1852">
        <w:t xml:space="preserve">un iestādes skaidrojums par tiesību normu piemērošanu </w:t>
      </w:r>
      <w:r>
        <w:t>nav pierādījum</w:t>
      </w:r>
      <w:r w:rsidR="00A76DEA">
        <w:t>i</w:t>
      </w:r>
      <w:r>
        <w:t xml:space="preserve">, tādēļ pretēji Veselības inspekcijas viedoklim tiesai nebija </w:t>
      </w:r>
      <w:r w:rsidR="00A76DEA">
        <w:t xml:space="preserve">atbilstoši </w:t>
      </w:r>
      <w:r>
        <w:t>Administratīvā procesa likuma 154.panta trešaj</w:t>
      </w:r>
      <w:r w:rsidR="00A76DEA">
        <w:t>ai</w:t>
      </w:r>
      <w:r>
        <w:t xml:space="preserve"> daļ</w:t>
      </w:r>
      <w:r w:rsidR="00A76DEA">
        <w:t>ai</w:t>
      </w:r>
      <w:r>
        <w:t xml:space="preserve"> </w:t>
      </w:r>
      <w:r w:rsidR="00A76DEA">
        <w:t>jā</w:t>
      </w:r>
      <w:r>
        <w:t xml:space="preserve">pamato, kādēļ tā dod priekšroku </w:t>
      </w:r>
      <w:r w:rsidR="00BE1852">
        <w:t>pašas tiesas secinājumiem par to, kā konkrētajā gadījumā piemērojamas noteikumu Nr. 1268 normas, nevis vadlīnijām vai iestādes skaidrojumam</w:t>
      </w:r>
      <w:r>
        <w:t>.</w:t>
      </w:r>
    </w:p>
    <w:p w14:paraId="18AF01D3" w14:textId="77777777" w:rsidR="004669AF" w:rsidRPr="00CF3D53" w:rsidRDefault="004669AF" w:rsidP="00CF3D53">
      <w:pPr>
        <w:spacing w:line="276" w:lineRule="auto"/>
        <w:ind w:firstLine="720"/>
        <w:jc w:val="both"/>
        <w:rPr>
          <w:sz w:val="22"/>
          <w:szCs w:val="22"/>
        </w:rPr>
      </w:pPr>
    </w:p>
    <w:p w14:paraId="15E54E5E" w14:textId="607B2EE5" w:rsidR="004669AF" w:rsidRDefault="004669AF" w:rsidP="00CF3D53">
      <w:pPr>
        <w:spacing w:line="276" w:lineRule="auto"/>
        <w:ind w:firstLine="720"/>
        <w:jc w:val="both"/>
      </w:pPr>
      <w:r>
        <w:lastRenderedPageBreak/>
        <w:t>[</w:t>
      </w:r>
      <w:r w:rsidR="00A76DEA">
        <w:t>4</w:t>
      </w:r>
      <w:r>
        <w:t xml:space="preserve">] </w:t>
      </w:r>
      <w:r w:rsidR="00CC52DE">
        <w:t>Veselības inspekcija iebilst tam, kā tiesa ir aprēķinājusi p</w:t>
      </w:r>
      <w:r w:rsidR="00CC52DE" w:rsidRPr="00CC52DE">
        <w:t>ieteicējam nosakāmā</w:t>
      </w:r>
      <w:r w:rsidR="00A76DEA">
        <w:t>s</w:t>
      </w:r>
      <w:r w:rsidR="00CC52DE" w:rsidRPr="00CC52DE">
        <w:t xml:space="preserve"> atlīdzības apmēr</w:t>
      </w:r>
      <w:r w:rsidR="00CC52DE">
        <w:t>u pēc noteikumu Nr. 1268 9.punktā noteiktajiem kritērijiem.</w:t>
      </w:r>
      <w:r w:rsidR="000715A1">
        <w:t xml:space="preserve"> Inspekcija uzskata, ka tiesas spriedums šajā daļā nav saprotams. </w:t>
      </w:r>
    </w:p>
    <w:p w14:paraId="34C0632F" w14:textId="7947F1C6" w:rsidR="009E0AD2" w:rsidRDefault="009E0AD2" w:rsidP="00CF3D53">
      <w:pPr>
        <w:spacing w:line="276" w:lineRule="auto"/>
        <w:ind w:firstLine="720"/>
        <w:jc w:val="both"/>
      </w:pPr>
      <w:r>
        <w:t>Senatoru kolēģija noraida vispārīgus iebildumus par to, ka no apgabaltiesas sprieduma neesot saprotams, kādi apstākļi un kā ir ietekmējuši kaitējuma apmēra un atlīdzības noteikšanu</w:t>
      </w:r>
      <w:r w:rsidR="004D1153">
        <w:t xml:space="preserve">, ka </w:t>
      </w:r>
      <w:r w:rsidR="00A76DEA">
        <w:t>spriedums</w:t>
      </w:r>
      <w:r w:rsidR="004D1153">
        <w:t xml:space="preserve"> esot abstrakts un bez saturiska pamatojuma</w:t>
      </w:r>
      <w:r>
        <w:t xml:space="preserve">. Tas acīmredzami neatbilst </w:t>
      </w:r>
      <w:r w:rsidR="004D1153">
        <w:t>apgabaltiesas sp</w:t>
      </w:r>
      <w:r>
        <w:t>rieduma saturam, jo apgabaltiesa secīgi ir piemērojusi noteikumu Nr. 1268 9.punkta normas, paskaidrojot, ar kādiem apstākļiem tā katru apakšpunktu saista.</w:t>
      </w:r>
      <w:r w:rsidR="00615C87">
        <w:t xml:space="preserve"> Tas, ka katra 9.punkta apakšpunkta piemērošanā tiesa nav noteikusi kādu skaitlisku vai citādi precizētu vērtību konkrēta kritērija atsevišķai ietekmei, nenozīmē, ka tiesa nav katru kritēriju izvērtējusi. Kā redzams, piemērotās noteikumu Nr. 1268 redakcijas normas neietvēra katra kritērija ietekmes skaitliskus lielumus, bet visi kritēriji bija jānovērtē vienlaikus un kompleksi nolūkā noteikt kaitējumam atbilstošu atlīdzību</w:t>
      </w:r>
      <w:r w:rsidR="00A76DEA">
        <w:t>, ciktāl kaitējums ir cēloniskā sakarā ar ārstniecības personu darbību vai bezdarbību</w:t>
      </w:r>
      <w:r w:rsidR="00615C87">
        <w:t>. Apgabaltiesa ir aprakstoši atspoguļojusi katra kritērija vērtējumu un izdarījusi kopējo gala secinājumu par nosakāmo atlīdzību.</w:t>
      </w:r>
    </w:p>
    <w:p w14:paraId="53B3C5BC" w14:textId="77777777" w:rsidR="004D1153" w:rsidRPr="00CF3D53" w:rsidRDefault="004D1153" w:rsidP="00CF3D53">
      <w:pPr>
        <w:spacing w:line="276" w:lineRule="auto"/>
        <w:ind w:firstLine="720"/>
        <w:jc w:val="both"/>
        <w:rPr>
          <w:sz w:val="22"/>
          <w:szCs w:val="22"/>
        </w:rPr>
      </w:pPr>
    </w:p>
    <w:p w14:paraId="03CEB491" w14:textId="404C4119" w:rsidR="000715A1" w:rsidRDefault="004D1153" w:rsidP="00CF3D53">
      <w:pPr>
        <w:spacing w:line="276" w:lineRule="auto"/>
        <w:ind w:firstLine="720"/>
        <w:jc w:val="both"/>
      </w:pPr>
      <w:r>
        <w:t>[</w:t>
      </w:r>
      <w:r w:rsidR="00A76DEA">
        <w:t>5</w:t>
      </w:r>
      <w:r>
        <w:t xml:space="preserve">] </w:t>
      </w:r>
      <w:r w:rsidR="000715A1">
        <w:t xml:space="preserve">Kā </w:t>
      </w:r>
      <w:r w:rsidR="009E0AD2">
        <w:t xml:space="preserve">konkrētu </w:t>
      </w:r>
      <w:r w:rsidR="000715A1">
        <w:t>piemēru</w:t>
      </w:r>
      <w:r w:rsidR="00011EC9">
        <w:t xml:space="preserve"> Veselības</w:t>
      </w:r>
      <w:r w:rsidR="000715A1">
        <w:t xml:space="preserve"> inspekcija min apgabaltiesas sprieduma 26.punktu, kur neesot saprotams, kā, pēc tiesas domām, apmēru ietekmēja note</w:t>
      </w:r>
      <w:r w:rsidR="00F10D1D">
        <w:t>i</w:t>
      </w:r>
      <w:r w:rsidR="000715A1">
        <w:t>kumu Nr. 1268 9.2. un 9.5.apakšpunkta piemērošana</w:t>
      </w:r>
      <w:r w:rsidR="009E0AD2">
        <w:t xml:space="preserve"> (slimības paredzamā norise pie atbilstošas ārstēšanas un cēloņsakarība starp ārstniecības personu darbību vai bezdarbību un kaitējumu, kā arī radušies neparedzamie veselības traucējumi, kas ir vai nav saistāmi ar ārstniecības personu darbību vai bezdarbību)</w:t>
      </w:r>
      <w:r w:rsidR="000715A1">
        <w:t>.</w:t>
      </w:r>
    </w:p>
    <w:p w14:paraId="6F8D019B" w14:textId="73168F72" w:rsidR="000715A1" w:rsidRDefault="000715A1" w:rsidP="00CF3D53">
      <w:pPr>
        <w:spacing w:line="276" w:lineRule="auto"/>
        <w:ind w:firstLine="720"/>
        <w:jc w:val="both"/>
      </w:pPr>
      <w:r>
        <w:t xml:space="preserve">Senatoru kolēģija konstatē, ka apgabaltiesa abu apakšpunktu piemērošanā būtībā secinājusi, ka ārstniecība </w:t>
      </w:r>
      <w:proofErr w:type="spellStart"/>
      <w:r>
        <w:t>cēloņsakarīgi</w:t>
      </w:r>
      <w:proofErr w:type="spellEnd"/>
      <w:r>
        <w:t xml:space="preserve"> radīja kaitējumu, turklāt netika paredzēts un novērsts rets komplikāciju risks. Lai arī apgabaltiesa nav pateikusi, tieši kā</w:t>
      </w:r>
      <w:r w:rsidR="00F10D1D">
        <w:t>dā apmērā</w:t>
      </w:r>
      <w:r>
        <w:t xml:space="preserve"> tas ietekmē kaitējuma apmēra noteikšanu, no galarezultāta (maksimālās summas piespriešanas) ir saprotams, ka apgabaltiesa nav saskatījusi pamatu šo kritēriju piemērošanas rezultātā </w:t>
      </w:r>
      <w:r w:rsidR="00F10D1D">
        <w:t xml:space="preserve">samazināt atlīdzības apmēru, kas atbilst </w:t>
      </w:r>
      <w:r>
        <w:t>attiecīgā veida kaitējum</w:t>
      </w:r>
      <w:r w:rsidR="009E0AD2">
        <w:t>am</w:t>
      </w:r>
      <w:r w:rsidR="00F10D1D">
        <w:t xml:space="preserve"> vispārīgi paredzētajam maksimālajam 100 % apmēram. Citiem vārdiem, ir skaidrs, ka apgabaltiesa ir pilnībā atzinusi kaitējuma cēlonisko sakaru ar ārstniecību.</w:t>
      </w:r>
    </w:p>
    <w:p w14:paraId="33961DA5" w14:textId="77777777" w:rsidR="004D1153" w:rsidRPr="00CF3D53" w:rsidRDefault="004D1153" w:rsidP="00CF3D53">
      <w:pPr>
        <w:spacing w:line="276" w:lineRule="auto"/>
        <w:ind w:firstLine="720"/>
        <w:jc w:val="both"/>
        <w:rPr>
          <w:sz w:val="22"/>
          <w:szCs w:val="22"/>
        </w:rPr>
      </w:pPr>
    </w:p>
    <w:p w14:paraId="26E52D21" w14:textId="6E0A7424" w:rsidR="00A339B1" w:rsidRDefault="004D1153" w:rsidP="00CF3D53">
      <w:pPr>
        <w:spacing w:line="276" w:lineRule="auto"/>
        <w:ind w:firstLine="720"/>
        <w:jc w:val="both"/>
      </w:pPr>
      <w:r>
        <w:t>[</w:t>
      </w:r>
      <w:r w:rsidR="00A76DEA">
        <w:t>6</w:t>
      </w:r>
      <w:r>
        <w:t xml:space="preserve">] </w:t>
      </w:r>
      <w:r w:rsidR="00A339B1">
        <w:t>Piemērojot noteikumu Nr. 1268 9.10.apakšpunktu (ārstniecības personu darb</w:t>
      </w:r>
      <w:r w:rsidR="0080601E">
        <w:t>ī</w:t>
      </w:r>
      <w:r w:rsidR="00A339B1">
        <w:t>bas atbilstīb</w:t>
      </w:r>
      <w:r w:rsidR="00A76DEA">
        <w:t>a</w:t>
      </w:r>
      <w:r w:rsidR="00A339B1">
        <w:t xml:space="preserve"> vadlīnijām</w:t>
      </w:r>
      <w:r w:rsidR="0080601E">
        <w:t>, klīniskajiem</w:t>
      </w:r>
      <w:r w:rsidR="0080601E" w:rsidRPr="0080601E">
        <w:t xml:space="preserve"> algoritmiem un klīniskajiem ceļiem</w:t>
      </w:r>
      <w:r w:rsidR="00A339B1">
        <w:t>), apgabaltiesa arī nav tiešā tekstā pateikusi, kā tieši tas ietekmē kaitējuma apmēra un atlīdzības noteikšanu, taču no sprieduma ir saprotams, ka apgabaltiesa piešķ</w:t>
      </w:r>
      <w:r w:rsidR="0080601E">
        <w:t>ir nozīmi tam, ka veselības traucējumi netika laikus atpazīti un, pat ja ārstniecības personu tālākā rīcība bija vērsta uz seku novēršanu, tas vairs nebija iespējams. Tātad arī šī kritērija piemērošanā apgabaltiesa nav saskatījusi pamatu samazināt kaitējuma apmēru vai nosakāmo atlīdzību.</w:t>
      </w:r>
      <w:r w:rsidR="00087FD5">
        <w:t xml:space="preserve"> Senatoru kolēģija neuzskata, ka Pacientu tiesību likuma 16.panta pirmās daļas jēga būtu atbrīvot no pienākuma atlīdzināt kaitējumu tikai par to, ka vispārīgi ārstniecības personu rīcība kaut kādā daļā bija pareiza. Minētā likuma norma paredz, ka pacientam ir tiesības uz kaitējuma atlīdzinājumu par to, kas nodarīts ar ārstniecības personu darbību un bezdarbību vai apstākļiem ārstniecības laikā. Šajā ziņā nav jāvērtē ārstu subjektīvā attieksme, cenšanās nesekmīgi novērst radušos kaitējumu vai jebkura cita rīcība, kas nav cēloņsakarībā ar radīto kaitējumu. Pacientam ir tiesības uz pilnu kaitējumu atlīdzību, </w:t>
      </w:r>
      <w:r w:rsidR="00087FD5">
        <w:lastRenderedPageBreak/>
        <w:t>ciktāl kaitējuma cēlonis objektīvi ir neprofesionāla ārstniecība vai apstākļi ārstniecības laikā. Atlīdzība samazināma tikai tiktāl, ciktāl kaitējumu radījuši citi to ietekmējoši apstākļi</w:t>
      </w:r>
      <w:r w:rsidR="00D51D06">
        <w:t>, piemēram, iznākumu ietekmējošas hroniskas slimības vai līdzestības trūkums no pacienta puses</w:t>
      </w:r>
      <w:r w:rsidR="00087FD5">
        <w:t>.</w:t>
      </w:r>
      <w:r w:rsidR="00D51D06">
        <w:t xml:space="preserve"> Tādējādi ārstniecības personu darbības vai bezdarbības vērtējums kaitējuma atlīdzības noteikšanas nolūkā būtiski var atšķirties no tā, kāds tas būtu, piemērojot personīgo atbildību par neprofesionāli veiktu ārstniecību.</w:t>
      </w:r>
    </w:p>
    <w:p w14:paraId="3795E457" w14:textId="77777777" w:rsidR="00CE6843" w:rsidRPr="00CF3D53" w:rsidRDefault="00CE6843" w:rsidP="00CF3D53">
      <w:pPr>
        <w:spacing w:line="276" w:lineRule="auto"/>
        <w:ind w:firstLine="720"/>
        <w:jc w:val="both"/>
        <w:rPr>
          <w:sz w:val="22"/>
          <w:szCs w:val="22"/>
        </w:rPr>
      </w:pPr>
    </w:p>
    <w:p w14:paraId="5C0C6017" w14:textId="3116786D" w:rsidR="00F22965" w:rsidRDefault="00CE6843" w:rsidP="00CF3D53">
      <w:pPr>
        <w:spacing w:line="276" w:lineRule="auto"/>
        <w:ind w:firstLine="720"/>
        <w:jc w:val="both"/>
      </w:pPr>
      <w:r>
        <w:t>[</w:t>
      </w:r>
      <w:r w:rsidR="00AE11E5">
        <w:t>7</w:t>
      </w:r>
      <w:r>
        <w:t xml:space="preserve">] </w:t>
      </w:r>
      <w:r w:rsidR="00F22965">
        <w:t>Veselības inspekcija iebilst tam, kā apgabaltiesa ir piemērojusi noteikumu Nr. 1268 9.1.apakšpunktā noteikto kritēriju (</w:t>
      </w:r>
      <w:r w:rsidR="00F22965" w:rsidRPr="00F22965">
        <w:t>veselības stāvoklis, slimības raksturs un smagums ārstniecības procesa sākumā</w:t>
      </w:r>
      <w:r w:rsidR="00F22965">
        <w:t>), un šajā ziņā norāda, ka pacientam bija iedzimta sirdskaite ar iespējamām neiroloģiskām komplikācijām, ka viņš nebija praktiski vesels.</w:t>
      </w:r>
    </w:p>
    <w:p w14:paraId="3627177B" w14:textId="67BA62F3" w:rsidR="00CE6843" w:rsidRDefault="00F22965" w:rsidP="00CF3D53">
      <w:pPr>
        <w:spacing w:line="276" w:lineRule="auto"/>
        <w:ind w:firstLine="720"/>
        <w:jc w:val="both"/>
      </w:pPr>
      <w:r>
        <w:t xml:space="preserve">Senatoru kolēģija konstatē, ka apgabaltiesa ir rūpīgi vērtējusi to, vai konkrētā hroniskā slimība ir tāda, kura būtu varējusi ietekmēt kaitējuma rašanos, tostarp vērtējot Veselības inspekcijas norādītos zinātniskos pētījumus. Apgabaltiesa nav konstatējusi šādu saistību. </w:t>
      </w:r>
      <w:r w:rsidR="005C5AB4">
        <w:t xml:space="preserve">Pierādījumu pārvērtēšana nav kasācijas instances tiesas kompetencē. </w:t>
      </w:r>
      <w:r>
        <w:t xml:space="preserve">Arī kasācijas sūdzībā nav norādīts, kāda ietekme sirdskaitei varēja būt tieši uz </w:t>
      </w:r>
      <w:r w:rsidR="005C5AB4">
        <w:t xml:space="preserve">izskatāmajā gadījumā konstatētā </w:t>
      </w:r>
      <w:r>
        <w:t xml:space="preserve">kaitējuma rašanos. Kaitējumu radīja tas, ka operācijas laikā netika </w:t>
      </w:r>
      <w:r w:rsidR="00F516EB">
        <w:t xml:space="preserve">pietiekoši </w:t>
      </w:r>
      <w:r>
        <w:t xml:space="preserve">apasiņotas galvas smadzenes, un tam nav sakara ar to, ka vispār </w:t>
      </w:r>
      <w:r w:rsidR="00AE11E5">
        <w:t xml:space="preserve">arī </w:t>
      </w:r>
      <w:r>
        <w:t xml:space="preserve">dzīves laikā pacientam varētu rasties </w:t>
      </w:r>
      <w:r w:rsidR="00AE11E5">
        <w:t xml:space="preserve">kādi </w:t>
      </w:r>
      <w:r>
        <w:t xml:space="preserve">neiroloģiski sarežģījumi. Tas, ka pacients nebija praktiski vesels un viņam tādēļ bija izlemts veikt operāciju, pats par sevi </w:t>
      </w:r>
      <w:r w:rsidR="00F516EB">
        <w:t>neradīja kaitējumu, par kura atlīdzināšanu ir strīds lietā</w:t>
      </w:r>
      <w:r>
        <w:t>.</w:t>
      </w:r>
    </w:p>
    <w:p w14:paraId="06232D5C" w14:textId="77777777" w:rsidR="005C5AB4" w:rsidRPr="00CF3D53" w:rsidRDefault="005C5AB4" w:rsidP="00CF3D53">
      <w:pPr>
        <w:spacing w:line="276" w:lineRule="auto"/>
        <w:ind w:firstLine="720"/>
        <w:jc w:val="both"/>
        <w:rPr>
          <w:sz w:val="22"/>
          <w:szCs w:val="22"/>
        </w:rPr>
      </w:pPr>
    </w:p>
    <w:p w14:paraId="3FA32380" w14:textId="7472E71B" w:rsidR="005C5AB4" w:rsidRDefault="005C5AB4" w:rsidP="00CF3D53">
      <w:pPr>
        <w:spacing w:line="276" w:lineRule="auto"/>
        <w:ind w:firstLine="720"/>
        <w:jc w:val="both"/>
      </w:pPr>
      <w:r>
        <w:t>[</w:t>
      </w:r>
      <w:r w:rsidR="00AE11E5">
        <w:t>8</w:t>
      </w:r>
      <w:r>
        <w:t xml:space="preserve">] </w:t>
      </w:r>
      <w:r w:rsidR="00BF4A48">
        <w:t>Gan Veselības inspekcija, gan Veselības ministrija iebilst tam, kā tiesa ir vērtējusi apstākļus sakarā ar pacienta vecāku informēšanu par operācijas riskiem un attiecīgi par informētas piekrišanas neesību.</w:t>
      </w:r>
    </w:p>
    <w:p w14:paraId="0E29E97B" w14:textId="44F70605" w:rsidR="00BF4A48" w:rsidRDefault="00BF4A48" w:rsidP="00CF3D53">
      <w:pPr>
        <w:spacing w:line="276" w:lineRule="auto"/>
        <w:ind w:firstLine="720"/>
        <w:jc w:val="both"/>
      </w:pPr>
      <w:r>
        <w:t>Senatoru kolēģija konstatē, ka, pirmkārt, iestādes iebilst pierādījumu vērtējumam par to, kādā apjomā pacienta vecāki tikuši informēti. No apgabaltiesas sprieduma redzams, ka tiesa ir ņēmusi vērā gan to, ka pacienta vecāki ir parakstījuši standartizētu informētās piekrišanas veidlapu, gan izvērtējusi paskaidrojumus par informēšanas apjomu, gan faktus, kas norādīja uz to, ka pat pašas ārstniecības personas iepriekš nebija apzinājušās to risku, kas galu galā īstenojās. No tā apgabaltiesa secināja, ka informēšanas apjoms nebija pietiekams, lai pacienta vecāku piekrišanu varētu uzskatīt par informētu piekrišanu.</w:t>
      </w:r>
      <w:r w:rsidRPr="00BF4A48">
        <w:t xml:space="preserve"> </w:t>
      </w:r>
      <w:r>
        <w:t>Pierādījumu pārvērtēšana nav kasācijas instances tiesas kompetencē, un nepiekrišana pierādījumu novērtējumam nevar būt kasācijas tiesvedības ierosināšanas pamats.</w:t>
      </w:r>
    </w:p>
    <w:p w14:paraId="5CAAC325" w14:textId="77777777" w:rsidR="00F56C55" w:rsidRDefault="00BF4A48" w:rsidP="00CF3D53">
      <w:pPr>
        <w:spacing w:line="276" w:lineRule="auto"/>
        <w:ind w:firstLine="720"/>
        <w:jc w:val="both"/>
      </w:pPr>
      <w:r>
        <w:t xml:space="preserve">Otrkārt, iestādes iebilst apgabaltiesas secinājumiem, ka ārstniecības personām bija pienākums plašāk informēt par konkrētiem, tostarp retiem, riskiem. Senatoru kolēģija šos iebildumus konkrētajā gadījumā uzskata par nepamatotiem. Atbilstoši Pacientu tiesību likuma 1.panta otrās daļas 2.punktam </w:t>
      </w:r>
      <w:r w:rsidRPr="00BF4A48">
        <w:t xml:space="preserve">pacienta piekrišana ārstniecībai, kuru viņš dod mutvārdos, rakstveidā vai ar tādām darbībām, kas nepārprotami apliecina piekrišanu, turklāt dod to brīvi, pamatojoties uz ārstniecības personas savlaicīgi sniegto informāciju par ārstniecības mērķi, </w:t>
      </w:r>
      <w:r w:rsidRPr="005E676C">
        <w:rPr>
          <w:i/>
          <w:iCs/>
        </w:rPr>
        <w:t>risku</w:t>
      </w:r>
      <w:r w:rsidRPr="00BF4A48">
        <w:t xml:space="preserve">, </w:t>
      </w:r>
      <w:r w:rsidRPr="00AE11E5">
        <w:t>sekām</w:t>
      </w:r>
      <w:r w:rsidRPr="00BF4A48">
        <w:t xml:space="preserve"> un izmantojamām metodēm</w:t>
      </w:r>
      <w:r w:rsidR="005E676C">
        <w:t>.</w:t>
      </w:r>
      <w:r w:rsidRPr="00BF4A48">
        <w:t xml:space="preserve"> </w:t>
      </w:r>
      <w:r w:rsidR="00F56C55">
        <w:t xml:space="preserve">Pacientu tiesību likuma 4.pantā plašāk izklāstītas pacientu tiesības uz informāciju. To aprakstījusi arī apgabaltiesa savā spriedumā. </w:t>
      </w:r>
    </w:p>
    <w:p w14:paraId="710F0225" w14:textId="0AFE7DDE" w:rsidR="00BF4A48" w:rsidRDefault="00BF4A48" w:rsidP="00CF3D53">
      <w:pPr>
        <w:spacing w:line="276" w:lineRule="auto"/>
        <w:ind w:firstLine="720"/>
        <w:jc w:val="both"/>
      </w:pPr>
      <w:r>
        <w:t xml:space="preserve">Konkrētajā gadījumā paredzētā ārstniecība bija pietiekami nopietna iejaukšanās pacienta organismā, ar sarežģītu tehniku, kas varēja ietekmēt vitāli svarīgus orgānus. Lai </w:t>
      </w:r>
      <w:r>
        <w:lastRenderedPageBreak/>
        <w:t>izšķirtos par šādas operācijas veikšanu bērnam, vecākiem</w:t>
      </w:r>
      <w:r w:rsidR="005E676C">
        <w:t>, kas šajā gadījumā pieņēma lēmumu kā likumiskie pārstāvji,</w:t>
      </w:r>
      <w:r>
        <w:t xml:space="preserve"> </w:t>
      </w:r>
      <w:r w:rsidR="005E676C">
        <w:t>bija</w:t>
      </w:r>
      <w:r>
        <w:t xml:space="preserve"> jābūt pienācīgi informētiem. Var piekrist, ka informēšanas apjoms katrā </w:t>
      </w:r>
      <w:r w:rsidR="005E676C">
        <w:t xml:space="preserve">ārstniecības </w:t>
      </w:r>
      <w:r>
        <w:t xml:space="preserve">gadījumā var būt atšķirīgs, taču </w:t>
      </w:r>
      <w:r w:rsidR="005E676C">
        <w:t>izskatāmajā</w:t>
      </w:r>
      <w:r>
        <w:t xml:space="preserve"> </w:t>
      </w:r>
      <w:r w:rsidR="005E676C">
        <w:t xml:space="preserve">lietā </w:t>
      </w:r>
      <w:r>
        <w:t>senatoru kolēģija</w:t>
      </w:r>
      <w:r w:rsidR="005E676C">
        <w:t>i</w:t>
      </w:r>
      <w:r>
        <w:t xml:space="preserve"> nav pamata nepiekrist apgabaltiesas novērtējuma par informēšanas būtiskumu. </w:t>
      </w:r>
      <w:r w:rsidR="005E676C">
        <w:t xml:space="preserve">Nevar piekrist, ka tiek apšaubīts, cik </w:t>
      </w:r>
      <w:r w:rsidR="005E676C" w:rsidRPr="005E676C">
        <w:t>saprātīgi būtu ārstniecības personai pirms katras operācijas vai ķirurģiskas manipulācijas uzlikt pienākumu sniegt pacientam vai viņa tuviniekiem izvērstu konkrētā klīniskā gadījuma analīzi ar visām iespējamām komplikācijām un sarežģījumiem</w:t>
      </w:r>
      <w:r w:rsidR="005E676C">
        <w:t xml:space="preserve">. Senatoru kolēģija uzskata, ka </w:t>
      </w:r>
      <w:r w:rsidR="00F56C55">
        <w:t>iestāžu argumentācijā netiek</w:t>
      </w:r>
      <w:r w:rsidR="005E676C">
        <w:t xml:space="preserve"> novērtē</w:t>
      </w:r>
      <w:r w:rsidR="00F56C55">
        <w:t>ta</w:t>
      </w:r>
      <w:r w:rsidR="005E676C">
        <w:t xml:space="preserve"> t</w:t>
      </w:r>
      <w:r w:rsidR="00F56C55">
        <w:t>ā</w:t>
      </w:r>
      <w:r w:rsidR="005E676C">
        <w:t xml:space="preserve"> nozīm</w:t>
      </w:r>
      <w:r w:rsidR="00F56C55">
        <w:t>e</w:t>
      </w:r>
      <w:r w:rsidR="005E676C">
        <w:t xml:space="preserve">, kāda pašiem pacientiem (vai citām personām, kuras konkrētā gadījumā pieņem lēmumu) </w:t>
      </w:r>
      <w:r w:rsidR="00AE11E5">
        <w:t xml:space="preserve">kā saprātīgām un spriest spējīgām, par savu dzīvi atbildīgām personām </w:t>
      </w:r>
      <w:r w:rsidR="005E676C">
        <w:t xml:space="preserve">ir viņu </w:t>
      </w:r>
      <w:r w:rsidR="00AE11E5">
        <w:t>noteikšanā</w:t>
      </w:r>
      <w:r w:rsidR="005E676C">
        <w:t xml:space="preserve"> pār savu veselību un ārstniecību, un </w:t>
      </w:r>
      <w:r w:rsidR="00AE11E5">
        <w:t>netiek piešķirta</w:t>
      </w:r>
      <w:r w:rsidR="005E676C">
        <w:t xml:space="preserve"> pienācīg</w:t>
      </w:r>
      <w:r w:rsidR="00AE11E5">
        <w:t>a</w:t>
      </w:r>
      <w:r w:rsidR="005E676C">
        <w:t xml:space="preserve"> vērīb</w:t>
      </w:r>
      <w:r w:rsidR="00AE11E5">
        <w:t>a</w:t>
      </w:r>
      <w:r w:rsidR="005E676C">
        <w:t xml:space="preserve"> tam, ar kādām grūtībām </w:t>
      </w:r>
      <w:r w:rsidR="00F56C55">
        <w:t xml:space="preserve">saskaras </w:t>
      </w:r>
      <w:r w:rsidR="005E676C">
        <w:t xml:space="preserve">medicīnā nezinošas personas, kad jāpieņem lēmums par potenciāli </w:t>
      </w:r>
      <w:r w:rsidR="00F56C55">
        <w:t xml:space="preserve">vairāk vai mazāk </w:t>
      </w:r>
      <w:r w:rsidR="005E676C">
        <w:t xml:space="preserve">riskantu ārstniecību. Jo būtiskāka un riskantāka ir paredzētā ārstniecība, jo plašākai ir jābūt sarunai, lai pacients objektīvi izprastu sava lēmuma iespējamās sekas un piekrišana tiešām būtu informēta. Pacienta informēšana </w:t>
      </w:r>
      <w:r w:rsidR="00F56C55">
        <w:t xml:space="preserve">viņam saprotamā veidā </w:t>
      </w:r>
      <w:r w:rsidR="005E676C">
        <w:t xml:space="preserve">ir būtiska ārstniecības </w:t>
      </w:r>
      <w:r w:rsidR="00AE11E5">
        <w:t xml:space="preserve">procesa </w:t>
      </w:r>
      <w:r w:rsidR="005E676C">
        <w:t xml:space="preserve">sastāvdaļa, nevis tikai vispārīga informētās piekrišanas veidlapas parakstīšana ar mērķi mazināt </w:t>
      </w:r>
      <w:r w:rsidR="00F56C55">
        <w:t xml:space="preserve">ārstniecības personu </w:t>
      </w:r>
      <w:r w:rsidR="005E676C">
        <w:t xml:space="preserve">juridisko atbildību. Ja ikvienu pacientu pirms operācijas informē tikai par vispārīgiem riskiem </w:t>
      </w:r>
      <w:r w:rsidR="00AE11E5">
        <w:t xml:space="preserve">veselībai un </w:t>
      </w:r>
      <w:r w:rsidR="005E676C">
        <w:t>dzīvībai, bet neizskaidro konkrētāk, arī piekrišana var tikt sniegta neapdomīgi, pamatojoties uz vispārīgu izpratni par to, ka vispār jebkurai operācijai ir kaut kādi riski.</w:t>
      </w:r>
    </w:p>
    <w:p w14:paraId="45C60430" w14:textId="486A365F" w:rsidR="00F56C55" w:rsidRDefault="00F56C55" w:rsidP="00CF3D53">
      <w:pPr>
        <w:spacing w:line="276" w:lineRule="auto"/>
        <w:ind w:firstLine="720"/>
        <w:jc w:val="both"/>
      </w:pPr>
      <w:r>
        <w:t xml:space="preserve">Treškārt, </w:t>
      </w:r>
      <w:r w:rsidR="00AE11E5">
        <w:t xml:space="preserve">kasācijas sūdzībās </w:t>
      </w:r>
      <w:r>
        <w:t xml:space="preserve">tiek argumentēts, ka nav saprotams, kādā veidā informētās piekrišanas neesība tikusi novērtēta noteikumu Nr. 1268 normu ietvaros. Senatoru kolēģija tam nepiekrīt. Apgabaltiesa pamatoti ir norādījusi uz Senāta jau agrāk pausto atziņu: </w:t>
      </w:r>
      <w:r w:rsidR="00752535">
        <w:t>ja tiesa nonāktu pie secinājuma, ka konkrētajos apstākļos, ievērojot gan medicīniskās indikācijas un pretindikācijas, gan pacient</w:t>
      </w:r>
      <w:r w:rsidR="00AE11E5">
        <w:t>a</w:t>
      </w:r>
      <w:r w:rsidR="00752535">
        <w:t xml:space="preserve"> informētas piekrišanas esību ārstniecības metodei, operācija nebūtu veikta, tas varētu būt pamats ārsta neprofesionālai rīcībai pierēķināt arī tās operācijas sekas, kuras bija iespējamas un sagaidāmas arī pienācīgi veiktas operācijas gadījumā, tomēr nebūtu iestājušās, ja operācija vispār nebūtu veikta </w:t>
      </w:r>
      <w:r>
        <w:t>(</w:t>
      </w:r>
      <w:r w:rsidRPr="00752535">
        <w:rPr>
          <w:i/>
          <w:iCs/>
        </w:rPr>
        <w:t>Senāta 2020.gada 24.marta sprieduma lietā Nr.</w:t>
      </w:r>
      <w:r w:rsidR="004647E2">
        <w:rPr>
          <w:i/>
          <w:iCs/>
        </w:rPr>
        <w:t> </w:t>
      </w:r>
      <w:r w:rsidRPr="00752535">
        <w:rPr>
          <w:i/>
          <w:iCs/>
        </w:rPr>
        <w:t>SKA-790/2020</w:t>
      </w:r>
      <w:r w:rsidR="00752535" w:rsidRPr="00752535">
        <w:rPr>
          <w:i/>
          <w:iCs/>
        </w:rPr>
        <w:t xml:space="preserve">, </w:t>
      </w:r>
      <w:hyperlink r:id="rId8" w:history="1">
        <w:r w:rsidR="00752535" w:rsidRPr="00752535">
          <w:rPr>
            <w:rStyle w:val="Hyperlink"/>
            <w:i/>
            <w:iCs/>
          </w:rPr>
          <w:t>ECLI:LV:AT:2020:0324.A420172018.13.S</w:t>
        </w:r>
      </w:hyperlink>
      <w:r w:rsidR="00752535" w:rsidRPr="00752535">
        <w:rPr>
          <w:i/>
          <w:iCs/>
        </w:rPr>
        <w:t xml:space="preserve">, </w:t>
      </w:r>
      <w:r w:rsidRPr="00752535">
        <w:rPr>
          <w:i/>
          <w:iCs/>
        </w:rPr>
        <w:t>13.punkt</w:t>
      </w:r>
      <w:r w:rsidR="00752535" w:rsidRPr="00752535">
        <w:rPr>
          <w:i/>
          <w:iCs/>
        </w:rPr>
        <w:t>s</w:t>
      </w:r>
      <w:r>
        <w:t>).</w:t>
      </w:r>
      <w:r w:rsidR="00752535">
        <w:t xml:space="preserve"> Proti, ja operācija veikta, neesot informētai piekrišanai, tas nav tikai viens no noteikumu Nr. 1268 9.punktā minētajiem faktoriem, kas palīdz identificēt tieši neprofesionālas, bet kopumā pamatoti veiktas ārstniecības dēļ radīto kaitējumu; operācija bez informētas piekrišanas pati par sevi būtībā ir veikta nepamatoti un līdz ar to nav attaisnojuma tās radītajām sekām. Tas izriet no Pacienta tiesību likuma 16.panta pirmās daļas, kura paredz vērtēt cēloņsakarību starp ārstniecību – tātad arī tās nepamatotu veikšanu – un radīto kaitējumu.</w:t>
      </w:r>
    </w:p>
    <w:p w14:paraId="55343C7D" w14:textId="77777777" w:rsidR="00CA226D" w:rsidRPr="00CF3D53" w:rsidRDefault="00CA226D" w:rsidP="00CF3D53">
      <w:pPr>
        <w:spacing w:line="276" w:lineRule="auto"/>
        <w:ind w:firstLine="720"/>
        <w:jc w:val="both"/>
        <w:rPr>
          <w:sz w:val="22"/>
          <w:szCs w:val="22"/>
        </w:rPr>
      </w:pPr>
    </w:p>
    <w:p w14:paraId="623E6BED" w14:textId="2D27E4FB" w:rsidR="00CA226D" w:rsidRDefault="00CA226D" w:rsidP="00CF3D53">
      <w:pPr>
        <w:spacing w:line="276" w:lineRule="auto"/>
        <w:ind w:firstLine="720"/>
        <w:jc w:val="both"/>
      </w:pPr>
      <w:r>
        <w:t>[</w:t>
      </w:r>
      <w:r w:rsidR="00AE11E5">
        <w:t>9</w:t>
      </w:r>
      <w:r>
        <w:t xml:space="preserve">] Apgabaltiesas spriedums arī kopumā nerada šaubas par tiesas noteiktā atlīdzības apmēra atbilstību nodarītajam kaitējumam. </w:t>
      </w:r>
    </w:p>
    <w:p w14:paraId="5A427AE8" w14:textId="77777777" w:rsidR="00752535" w:rsidRPr="00CF3D53" w:rsidRDefault="00752535" w:rsidP="00CF3D53">
      <w:pPr>
        <w:spacing w:line="276" w:lineRule="auto"/>
        <w:ind w:firstLine="720"/>
        <w:rPr>
          <w:sz w:val="22"/>
          <w:szCs w:val="22"/>
        </w:rPr>
      </w:pPr>
    </w:p>
    <w:p w14:paraId="096B3504" w14:textId="7B5FF19E" w:rsidR="00752535" w:rsidRDefault="00752535" w:rsidP="00CF3D53">
      <w:pPr>
        <w:spacing w:line="276" w:lineRule="auto"/>
        <w:ind w:firstLine="720"/>
        <w:jc w:val="both"/>
      </w:pPr>
      <w:r>
        <w:t>[</w:t>
      </w:r>
      <w:r w:rsidR="00AE11E5">
        <w:t>10</w:t>
      </w:r>
      <w:r>
        <w:t>] Ievērojot iepriekš minētos apsvērumus, kasācijas sūdzību argumenti nerada šaubas par apgabaltiesas sprieduma tiesiskumu.</w:t>
      </w:r>
      <w:r w:rsidR="00CA226D">
        <w:t xml:space="preserve"> </w:t>
      </w:r>
      <w:r>
        <w:t>Lietai arī nav nozīmes judikatūras veidošanā.</w:t>
      </w:r>
      <w:r w:rsidR="00CA226D">
        <w:t xml:space="preserve"> Tādēļ kasācijas tiesvedības ierosināšana ir atsakāma.</w:t>
      </w:r>
    </w:p>
    <w:p w14:paraId="15E7C36C" w14:textId="77777777" w:rsidR="00FC5A08" w:rsidRPr="00CF3D53" w:rsidRDefault="00FC5A08" w:rsidP="00CF3D53">
      <w:pPr>
        <w:spacing w:line="276" w:lineRule="auto"/>
        <w:ind w:firstLine="720"/>
        <w:jc w:val="both"/>
        <w:rPr>
          <w:sz w:val="22"/>
          <w:szCs w:val="22"/>
        </w:rPr>
      </w:pPr>
    </w:p>
    <w:p w14:paraId="18846508" w14:textId="31174193" w:rsidR="00A964D9" w:rsidRPr="00D61285" w:rsidRDefault="002F5F89" w:rsidP="00CF3D53">
      <w:pPr>
        <w:tabs>
          <w:tab w:val="left" w:pos="3119"/>
        </w:tabs>
        <w:spacing w:line="276" w:lineRule="auto"/>
        <w:ind w:firstLine="720"/>
        <w:jc w:val="both"/>
      </w:pPr>
      <w:r w:rsidRPr="00D61285">
        <w:t>Pamatojoties uz Administratīvā procesa likuma 338.panta otro daļu un 338.</w:t>
      </w:r>
      <w:r w:rsidRPr="00D61285">
        <w:rPr>
          <w:vertAlign w:val="superscript"/>
        </w:rPr>
        <w:t>1</w:t>
      </w:r>
      <w:r w:rsidRPr="00D61285">
        <w:t xml:space="preserve">panta </w:t>
      </w:r>
      <w:r>
        <w:t>otrās daļas 2.punktu</w:t>
      </w:r>
      <w:r w:rsidRPr="00D61285">
        <w:t>, senatoru kolēģija</w:t>
      </w:r>
    </w:p>
    <w:p w14:paraId="2A2491B0" w14:textId="77777777" w:rsidR="00A964D9" w:rsidRPr="00CF3D53" w:rsidRDefault="00A964D9" w:rsidP="00A964D9">
      <w:pPr>
        <w:spacing w:line="276" w:lineRule="auto"/>
        <w:jc w:val="center"/>
        <w:rPr>
          <w:bCs/>
          <w:sz w:val="22"/>
          <w:szCs w:val="22"/>
        </w:rPr>
      </w:pPr>
    </w:p>
    <w:p w14:paraId="57F5E61A" w14:textId="77777777" w:rsidR="00A964D9" w:rsidRPr="00D61285" w:rsidRDefault="00A964D9" w:rsidP="00BE73C1">
      <w:pPr>
        <w:keepNext/>
        <w:spacing w:line="276" w:lineRule="auto"/>
        <w:jc w:val="center"/>
        <w:rPr>
          <w:b/>
        </w:rPr>
      </w:pPr>
      <w:r w:rsidRPr="00D61285">
        <w:rPr>
          <w:b/>
        </w:rPr>
        <w:t>nolēma</w:t>
      </w:r>
    </w:p>
    <w:p w14:paraId="0F895322" w14:textId="77777777" w:rsidR="00A964D9" w:rsidRPr="00CF3D53" w:rsidRDefault="00A964D9" w:rsidP="00CF3D53">
      <w:pPr>
        <w:spacing w:line="276" w:lineRule="auto"/>
        <w:ind w:firstLine="720"/>
        <w:jc w:val="both"/>
        <w:rPr>
          <w:sz w:val="22"/>
          <w:szCs w:val="22"/>
        </w:rPr>
      </w:pPr>
    </w:p>
    <w:p w14:paraId="316FB090" w14:textId="78D411E5" w:rsidR="009F4D17" w:rsidRDefault="00A964D9" w:rsidP="00CF3D53">
      <w:pPr>
        <w:spacing w:line="276" w:lineRule="auto"/>
        <w:ind w:firstLine="720"/>
        <w:jc w:val="both"/>
      </w:pPr>
      <w:r>
        <w:t>a</w:t>
      </w:r>
      <w:r w:rsidRPr="00D61285">
        <w:t>tteikt ierosināt kasācijas tiesvedību sakarā ar</w:t>
      </w:r>
      <w:r w:rsidRPr="00907560">
        <w:rPr>
          <w:i/>
          <w:iCs/>
        </w:rPr>
        <w:t xml:space="preserve"> </w:t>
      </w:r>
      <w:r w:rsidR="00CA226D">
        <w:t>Veselības inspekcijas un Veselības ministrijas</w:t>
      </w:r>
      <w:r w:rsidR="00ED6E12">
        <w:t xml:space="preserve"> </w:t>
      </w:r>
      <w:r w:rsidR="004A69EF">
        <w:t>kasācijas sūdzīb</w:t>
      </w:r>
      <w:r w:rsidR="00CA226D">
        <w:t>ām</w:t>
      </w:r>
      <w:r w:rsidR="004A69EF">
        <w:t xml:space="preserve"> par </w:t>
      </w:r>
      <w:r w:rsidR="004A69EF" w:rsidRPr="002E6F21">
        <w:t>Administratīvā</w:t>
      </w:r>
      <w:r w:rsidR="004A69EF">
        <w:t>s</w:t>
      </w:r>
      <w:r w:rsidR="004A69EF" w:rsidRPr="002E6F21">
        <w:t xml:space="preserve"> </w:t>
      </w:r>
      <w:r w:rsidR="004A69EF">
        <w:t xml:space="preserve">apgabaltiesas </w:t>
      </w:r>
      <w:r w:rsidR="004A69EF" w:rsidRPr="002E6F21">
        <w:t>202</w:t>
      </w:r>
      <w:r w:rsidR="00CA226D">
        <w:t>6</w:t>
      </w:r>
      <w:r w:rsidR="004A69EF" w:rsidRPr="002E6F21">
        <w:t xml:space="preserve">.gada </w:t>
      </w:r>
      <w:r w:rsidR="00FC5A08">
        <w:t>19.</w:t>
      </w:r>
      <w:r w:rsidR="00CA226D">
        <w:t>janvā</w:t>
      </w:r>
      <w:r w:rsidR="00FC5A08">
        <w:t>ra</w:t>
      </w:r>
      <w:r w:rsidR="004A69EF" w:rsidRPr="002E6F21">
        <w:t xml:space="preserve"> spriedumu</w:t>
      </w:r>
      <w:r w:rsidR="004A69EF">
        <w:t>.</w:t>
      </w:r>
    </w:p>
    <w:p w14:paraId="1846A5FD" w14:textId="77777777" w:rsidR="004A69EF" w:rsidRPr="00CF3D53" w:rsidRDefault="004A69EF" w:rsidP="00CF3D53">
      <w:pPr>
        <w:spacing w:line="276" w:lineRule="auto"/>
        <w:ind w:firstLine="720"/>
        <w:jc w:val="both"/>
        <w:rPr>
          <w:sz w:val="22"/>
          <w:szCs w:val="22"/>
        </w:rPr>
      </w:pPr>
    </w:p>
    <w:p w14:paraId="6E457054" w14:textId="77F7E672" w:rsidR="00CF3D53" w:rsidRDefault="00A964D9" w:rsidP="00E02B8B">
      <w:pPr>
        <w:spacing w:line="276" w:lineRule="auto"/>
        <w:ind w:firstLine="720"/>
        <w:jc w:val="both"/>
      </w:pPr>
      <w:r w:rsidRPr="00D61285">
        <w:t>Lēmums nav pārsūdzams.</w:t>
      </w:r>
    </w:p>
    <w:p w14:paraId="38266514" w14:textId="77777777" w:rsidR="00A964D9" w:rsidRPr="00CF3D53" w:rsidRDefault="00A964D9" w:rsidP="00A964D9">
      <w:pPr>
        <w:shd w:val="clear" w:color="auto" w:fill="FFFFFF"/>
        <w:spacing w:line="276" w:lineRule="auto"/>
        <w:rPr>
          <w:bCs/>
        </w:rPr>
      </w:pPr>
    </w:p>
    <w:p w14:paraId="6FAAA5D0" w14:textId="77777777" w:rsidR="00AD269A" w:rsidRPr="00CF3D53" w:rsidRDefault="00AD269A" w:rsidP="00A964D9">
      <w:pPr>
        <w:shd w:val="clear" w:color="auto" w:fill="FFFFFF"/>
        <w:spacing w:line="276" w:lineRule="auto"/>
        <w:rPr>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2"/>
      </w:tblGrid>
      <w:tr w:rsidR="00670C7B" w14:paraId="587346EB" w14:textId="77777777" w:rsidTr="00225F6F">
        <w:tc>
          <w:tcPr>
            <w:tcW w:w="2831" w:type="dxa"/>
          </w:tcPr>
          <w:p w14:paraId="511D7F2E" w14:textId="65191F82" w:rsidR="00670C7B" w:rsidRPr="00670C7B" w:rsidRDefault="00670C7B" w:rsidP="00225F6F">
            <w:pPr>
              <w:tabs>
                <w:tab w:val="center" w:pos="1276"/>
                <w:tab w:val="center" w:pos="4678"/>
                <w:tab w:val="center" w:pos="8080"/>
              </w:tabs>
              <w:spacing w:line="276" w:lineRule="auto"/>
              <w:ind w:left="-118"/>
              <w:rPr>
                <w:sz w:val="24"/>
                <w:szCs w:val="24"/>
              </w:rPr>
            </w:pPr>
            <w:bookmarkStart w:id="0" w:name="_Hlk172900127"/>
            <w:r w:rsidRPr="00670C7B">
              <w:rPr>
                <w:sz w:val="24"/>
                <w:szCs w:val="24"/>
              </w:rPr>
              <w:t>Senatore R. Vīduša</w:t>
            </w:r>
          </w:p>
        </w:tc>
        <w:tc>
          <w:tcPr>
            <w:tcW w:w="2831" w:type="dxa"/>
          </w:tcPr>
          <w:p w14:paraId="73A4D868" w14:textId="3EE3070E" w:rsidR="00670C7B" w:rsidRPr="00670C7B" w:rsidRDefault="00670C7B" w:rsidP="00225F6F">
            <w:pPr>
              <w:tabs>
                <w:tab w:val="center" w:pos="1276"/>
                <w:tab w:val="center" w:pos="4678"/>
                <w:tab w:val="center" w:pos="8080"/>
              </w:tabs>
              <w:spacing w:line="276" w:lineRule="auto"/>
              <w:jc w:val="center"/>
              <w:rPr>
                <w:sz w:val="24"/>
                <w:szCs w:val="24"/>
              </w:rPr>
            </w:pPr>
            <w:r w:rsidRPr="00670C7B">
              <w:rPr>
                <w:sz w:val="24"/>
                <w:szCs w:val="24"/>
              </w:rPr>
              <w:t>Senator</w:t>
            </w:r>
            <w:r w:rsidR="00E63F0A">
              <w:rPr>
                <w:sz w:val="24"/>
                <w:szCs w:val="24"/>
              </w:rPr>
              <w:t>e</w:t>
            </w:r>
            <w:r w:rsidRPr="00670C7B">
              <w:rPr>
                <w:sz w:val="24"/>
                <w:szCs w:val="24"/>
              </w:rPr>
              <w:t xml:space="preserve"> </w:t>
            </w:r>
            <w:r w:rsidR="00C8558D">
              <w:rPr>
                <w:sz w:val="24"/>
                <w:szCs w:val="24"/>
              </w:rPr>
              <w:t>Dz.</w:t>
            </w:r>
            <w:r w:rsidR="00FC5A08">
              <w:rPr>
                <w:sz w:val="24"/>
                <w:szCs w:val="24"/>
              </w:rPr>
              <w:t> </w:t>
            </w:r>
            <w:r w:rsidR="00C8558D">
              <w:rPr>
                <w:sz w:val="24"/>
                <w:szCs w:val="24"/>
              </w:rPr>
              <w:t>Amerika</w:t>
            </w:r>
          </w:p>
        </w:tc>
        <w:tc>
          <w:tcPr>
            <w:tcW w:w="2832" w:type="dxa"/>
          </w:tcPr>
          <w:p w14:paraId="160EFFAD" w14:textId="7269F07C" w:rsidR="00670C7B" w:rsidRPr="00670C7B" w:rsidRDefault="00670C7B" w:rsidP="00225F6F">
            <w:pPr>
              <w:tabs>
                <w:tab w:val="center" w:pos="1276"/>
                <w:tab w:val="center" w:pos="4678"/>
                <w:tab w:val="center" w:pos="8080"/>
              </w:tabs>
              <w:spacing w:line="276" w:lineRule="auto"/>
              <w:ind w:right="-112"/>
              <w:jc w:val="right"/>
              <w:rPr>
                <w:sz w:val="24"/>
                <w:szCs w:val="24"/>
              </w:rPr>
            </w:pPr>
            <w:r w:rsidRPr="00670C7B">
              <w:rPr>
                <w:sz w:val="24"/>
                <w:szCs w:val="24"/>
              </w:rPr>
              <w:t>Senator</w:t>
            </w:r>
            <w:r w:rsidR="00C8558D">
              <w:rPr>
                <w:sz w:val="24"/>
                <w:szCs w:val="24"/>
              </w:rPr>
              <w:t>e</w:t>
            </w:r>
            <w:r w:rsidR="00FC5A08">
              <w:rPr>
                <w:sz w:val="24"/>
                <w:szCs w:val="24"/>
              </w:rPr>
              <w:t xml:space="preserve"> </w:t>
            </w:r>
            <w:r w:rsidR="00C8558D">
              <w:rPr>
                <w:sz w:val="24"/>
                <w:szCs w:val="24"/>
              </w:rPr>
              <w:t>L. Slica</w:t>
            </w:r>
          </w:p>
        </w:tc>
      </w:tr>
      <w:bookmarkEnd w:id="0"/>
    </w:tbl>
    <w:p w14:paraId="2C823F0E" w14:textId="77777777" w:rsidR="00A964D9" w:rsidRDefault="00A964D9"/>
    <w:sectPr w:rsidR="00A964D9" w:rsidSect="00CF3D53">
      <w:footerReference w:type="default" r:id="rId9"/>
      <w:pgSz w:w="11906" w:h="16838"/>
      <w:pgMar w:top="1134" w:right="1701" w:bottom="907" w:left="1701"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A7A8A" w14:textId="77777777" w:rsidR="00CE5B90" w:rsidRDefault="00CE5B90">
      <w:r>
        <w:separator/>
      </w:r>
    </w:p>
  </w:endnote>
  <w:endnote w:type="continuationSeparator" w:id="0">
    <w:p w14:paraId="16E828F6" w14:textId="77777777" w:rsidR="00CE5B90" w:rsidRDefault="00CE5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33285758"/>
      <w:docPartObj>
        <w:docPartGallery w:val="Page Numbers (Bottom of Page)"/>
        <w:docPartUnique/>
      </w:docPartObj>
    </w:sdtPr>
    <w:sdtContent>
      <w:sdt>
        <w:sdtPr>
          <w:rPr>
            <w:sz w:val="20"/>
            <w:szCs w:val="20"/>
          </w:rPr>
          <w:id w:val="-1449623365"/>
          <w:docPartObj>
            <w:docPartGallery w:val="Page Numbers (Top of Page)"/>
            <w:docPartUnique/>
          </w:docPartObj>
        </w:sdtPr>
        <w:sdtContent>
          <w:p w14:paraId="71A5F7D4" w14:textId="676CA7A3" w:rsidR="008278B7" w:rsidRPr="00011EC9" w:rsidRDefault="00E77F6D" w:rsidP="00011EC9">
            <w:pPr>
              <w:pStyle w:val="Footer"/>
              <w:jc w:val="center"/>
              <w:rPr>
                <w:sz w:val="20"/>
                <w:szCs w:val="20"/>
              </w:rPr>
            </w:pPr>
            <w:r w:rsidRPr="00670C7B">
              <w:rPr>
                <w:sz w:val="20"/>
                <w:szCs w:val="20"/>
              </w:rPr>
              <w:fldChar w:fldCharType="begin"/>
            </w:r>
            <w:r w:rsidRPr="00670C7B">
              <w:rPr>
                <w:sz w:val="20"/>
                <w:szCs w:val="20"/>
              </w:rPr>
              <w:instrText xml:space="preserve"> PAGE </w:instrText>
            </w:r>
            <w:r w:rsidRPr="00670C7B">
              <w:rPr>
                <w:sz w:val="20"/>
                <w:szCs w:val="20"/>
              </w:rPr>
              <w:fldChar w:fldCharType="separate"/>
            </w:r>
            <w:r w:rsidRPr="00670C7B">
              <w:rPr>
                <w:noProof/>
                <w:sz w:val="20"/>
                <w:szCs w:val="20"/>
              </w:rPr>
              <w:t>2</w:t>
            </w:r>
            <w:r w:rsidRPr="00670C7B">
              <w:rPr>
                <w:sz w:val="20"/>
                <w:szCs w:val="20"/>
              </w:rPr>
              <w:fldChar w:fldCharType="end"/>
            </w:r>
            <w:r w:rsidRPr="00670C7B">
              <w:rPr>
                <w:sz w:val="20"/>
                <w:szCs w:val="20"/>
              </w:rPr>
              <w:t xml:space="preserve"> no </w:t>
            </w:r>
            <w:r w:rsidRPr="00670C7B">
              <w:rPr>
                <w:noProof/>
                <w:sz w:val="20"/>
                <w:szCs w:val="20"/>
              </w:rPr>
              <w:fldChar w:fldCharType="begin"/>
            </w:r>
            <w:r w:rsidRPr="00670C7B">
              <w:rPr>
                <w:noProof/>
                <w:sz w:val="20"/>
                <w:szCs w:val="20"/>
              </w:rPr>
              <w:instrText xml:space="preserve"> NUMPAGES  </w:instrText>
            </w:r>
            <w:r w:rsidRPr="00670C7B">
              <w:rPr>
                <w:noProof/>
                <w:sz w:val="20"/>
                <w:szCs w:val="20"/>
              </w:rPr>
              <w:fldChar w:fldCharType="separate"/>
            </w:r>
            <w:r w:rsidRPr="00670C7B">
              <w:rPr>
                <w:noProof/>
                <w:sz w:val="20"/>
                <w:szCs w:val="20"/>
              </w:rPr>
              <w:t>3</w:t>
            </w:r>
            <w:r w:rsidRPr="00670C7B">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4EE19" w14:textId="77777777" w:rsidR="00CE5B90" w:rsidRDefault="00CE5B90">
      <w:r>
        <w:separator/>
      </w:r>
    </w:p>
  </w:footnote>
  <w:footnote w:type="continuationSeparator" w:id="0">
    <w:p w14:paraId="4C24F9D3" w14:textId="77777777" w:rsidR="00CE5B90" w:rsidRDefault="00CE5B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4D9"/>
    <w:rsid w:val="00011EC9"/>
    <w:rsid w:val="0003532C"/>
    <w:rsid w:val="000428FC"/>
    <w:rsid w:val="00047C19"/>
    <w:rsid w:val="000547E2"/>
    <w:rsid w:val="000651FA"/>
    <w:rsid w:val="000715A1"/>
    <w:rsid w:val="0007610D"/>
    <w:rsid w:val="00087FD5"/>
    <w:rsid w:val="00094288"/>
    <w:rsid w:val="000A62F1"/>
    <w:rsid w:val="000B4BAC"/>
    <w:rsid w:val="000B71D6"/>
    <w:rsid w:val="000C3221"/>
    <w:rsid w:val="000C4907"/>
    <w:rsid w:val="000C51D1"/>
    <w:rsid w:val="000C6E4E"/>
    <w:rsid w:val="000E6BFC"/>
    <w:rsid w:val="000E71A6"/>
    <w:rsid w:val="000F783F"/>
    <w:rsid w:val="00100984"/>
    <w:rsid w:val="00103ADA"/>
    <w:rsid w:val="0012448A"/>
    <w:rsid w:val="001360F0"/>
    <w:rsid w:val="00140057"/>
    <w:rsid w:val="00146854"/>
    <w:rsid w:val="00153EAF"/>
    <w:rsid w:val="00163785"/>
    <w:rsid w:val="00166FD1"/>
    <w:rsid w:val="00167B51"/>
    <w:rsid w:val="001744A3"/>
    <w:rsid w:val="00183444"/>
    <w:rsid w:val="001A76DA"/>
    <w:rsid w:val="001E68FB"/>
    <w:rsid w:val="001F0ACE"/>
    <w:rsid w:val="001F10D7"/>
    <w:rsid w:val="001F57B1"/>
    <w:rsid w:val="00202E78"/>
    <w:rsid w:val="00210027"/>
    <w:rsid w:val="00211E02"/>
    <w:rsid w:val="00212E0C"/>
    <w:rsid w:val="00213113"/>
    <w:rsid w:val="00226353"/>
    <w:rsid w:val="00255DB9"/>
    <w:rsid w:val="00265A80"/>
    <w:rsid w:val="00273488"/>
    <w:rsid w:val="00273490"/>
    <w:rsid w:val="002A0996"/>
    <w:rsid w:val="002A4A84"/>
    <w:rsid w:val="002B6DCB"/>
    <w:rsid w:val="002C75A8"/>
    <w:rsid w:val="002D3B67"/>
    <w:rsid w:val="002E33DA"/>
    <w:rsid w:val="002E7DDD"/>
    <w:rsid w:val="002F3387"/>
    <w:rsid w:val="002F4CA6"/>
    <w:rsid w:val="002F5F89"/>
    <w:rsid w:val="003201F3"/>
    <w:rsid w:val="00331F09"/>
    <w:rsid w:val="003369E0"/>
    <w:rsid w:val="00341750"/>
    <w:rsid w:val="00350429"/>
    <w:rsid w:val="00362ED4"/>
    <w:rsid w:val="00374A41"/>
    <w:rsid w:val="0037665D"/>
    <w:rsid w:val="003921C5"/>
    <w:rsid w:val="003A3635"/>
    <w:rsid w:val="003A5BB2"/>
    <w:rsid w:val="003B4A58"/>
    <w:rsid w:val="003C550F"/>
    <w:rsid w:val="003D70D8"/>
    <w:rsid w:val="003E0039"/>
    <w:rsid w:val="003F25FC"/>
    <w:rsid w:val="00407873"/>
    <w:rsid w:val="00430C29"/>
    <w:rsid w:val="004556CC"/>
    <w:rsid w:val="004647E2"/>
    <w:rsid w:val="004653FD"/>
    <w:rsid w:val="004669AF"/>
    <w:rsid w:val="004959B8"/>
    <w:rsid w:val="004A69EF"/>
    <w:rsid w:val="004B01A4"/>
    <w:rsid w:val="004B3BA2"/>
    <w:rsid w:val="004C0708"/>
    <w:rsid w:val="004D0852"/>
    <w:rsid w:val="004D1153"/>
    <w:rsid w:val="004D4664"/>
    <w:rsid w:val="004D683D"/>
    <w:rsid w:val="004E7D4D"/>
    <w:rsid w:val="004F55D7"/>
    <w:rsid w:val="005126B6"/>
    <w:rsid w:val="005139E6"/>
    <w:rsid w:val="005204DD"/>
    <w:rsid w:val="005226E4"/>
    <w:rsid w:val="005248D8"/>
    <w:rsid w:val="00541F6D"/>
    <w:rsid w:val="005458A4"/>
    <w:rsid w:val="00550BE4"/>
    <w:rsid w:val="00553E24"/>
    <w:rsid w:val="0056097C"/>
    <w:rsid w:val="00566E2A"/>
    <w:rsid w:val="005678F0"/>
    <w:rsid w:val="00572D1D"/>
    <w:rsid w:val="00592D02"/>
    <w:rsid w:val="005A2C7F"/>
    <w:rsid w:val="005A3FD3"/>
    <w:rsid w:val="005A42E5"/>
    <w:rsid w:val="005B06F7"/>
    <w:rsid w:val="005B20F8"/>
    <w:rsid w:val="005C12D9"/>
    <w:rsid w:val="005C556A"/>
    <w:rsid w:val="005C5580"/>
    <w:rsid w:val="005C5AB4"/>
    <w:rsid w:val="005D6C3D"/>
    <w:rsid w:val="005E0F42"/>
    <w:rsid w:val="005E676C"/>
    <w:rsid w:val="005E6F4E"/>
    <w:rsid w:val="005F4519"/>
    <w:rsid w:val="005F78D6"/>
    <w:rsid w:val="006003D1"/>
    <w:rsid w:val="00612A70"/>
    <w:rsid w:val="00615C87"/>
    <w:rsid w:val="00620459"/>
    <w:rsid w:val="00625C28"/>
    <w:rsid w:val="006377C0"/>
    <w:rsid w:val="006416F0"/>
    <w:rsid w:val="006473A5"/>
    <w:rsid w:val="00647572"/>
    <w:rsid w:val="006649F4"/>
    <w:rsid w:val="00670C7B"/>
    <w:rsid w:val="00681DBC"/>
    <w:rsid w:val="006D30B0"/>
    <w:rsid w:val="006D48E0"/>
    <w:rsid w:val="006D719E"/>
    <w:rsid w:val="006E6ED6"/>
    <w:rsid w:val="006F03D1"/>
    <w:rsid w:val="006F1A6B"/>
    <w:rsid w:val="006F30B5"/>
    <w:rsid w:val="006F4988"/>
    <w:rsid w:val="007019E7"/>
    <w:rsid w:val="0070223A"/>
    <w:rsid w:val="00707813"/>
    <w:rsid w:val="007144A4"/>
    <w:rsid w:val="00716C5D"/>
    <w:rsid w:val="00720FF0"/>
    <w:rsid w:val="0073102E"/>
    <w:rsid w:val="007325DE"/>
    <w:rsid w:val="007409D4"/>
    <w:rsid w:val="00742289"/>
    <w:rsid w:val="0074352F"/>
    <w:rsid w:val="00746A88"/>
    <w:rsid w:val="00752535"/>
    <w:rsid w:val="007560B2"/>
    <w:rsid w:val="00790059"/>
    <w:rsid w:val="00791E30"/>
    <w:rsid w:val="0079408D"/>
    <w:rsid w:val="00796746"/>
    <w:rsid w:val="007A2A83"/>
    <w:rsid w:val="007B261A"/>
    <w:rsid w:val="007C115D"/>
    <w:rsid w:val="007D4240"/>
    <w:rsid w:val="007D518D"/>
    <w:rsid w:val="007D5A6E"/>
    <w:rsid w:val="007E307F"/>
    <w:rsid w:val="007E3248"/>
    <w:rsid w:val="007E4B40"/>
    <w:rsid w:val="007F2C5C"/>
    <w:rsid w:val="00801F7E"/>
    <w:rsid w:val="00802441"/>
    <w:rsid w:val="0080601E"/>
    <w:rsid w:val="008078BD"/>
    <w:rsid w:val="008116DB"/>
    <w:rsid w:val="00822496"/>
    <w:rsid w:val="008278B7"/>
    <w:rsid w:val="00836E93"/>
    <w:rsid w:val="00837B07"/>
    <w:rsid w:val="00842BD0"/>
    <w:rsid w:val="00852A54"/>
    <w:rsid w:val="00861DFB"/>
    <w:rsid w:val="00867A33"/>
    <w:rsid w:val="00873DBD"/>
    <w:rsid w:val="00874C55"/>
    <w:rsid w:val="00875D39"/>
    <w:rsid w:val="00893193"/>
    <w:rsid w:val="008A088A"/>
    <w:rsid w:val="008B690E"/>
    <w:rsid w:val="008D2FFB"/>
    <w:rsid w:val="008D334B"/>
    <w:rsid w:val="008D4752"/>
    <w:rsid w:val="008D6B42"/>
    <w:rsid w:val="008E7720"/>
    <w:rsid w:val="008F6DD3"/>
    <w:rsid w:val="00904AC6"/>
    <w:rsid w:val="009214CA"/>
    <w:rsid w:val="0094366F"/>
    <w:rsid w:val="00952103"/>
    <w:rsid w:val="00975717"/>
    <w:rsid w:val="00975BFA"/>
    <w:rsid w:val="00983A2D"/>
    <w:rsid w:val="00985678"/>
    <w:rsid w:val="00985FCC"/>
    <w:rsid w:val="00991B70"/>
    <w:rsid w:val="009A4763"/>
    <w:rsid w:val="009A4CEB"/>
    <w:rsid w:val="009C3DC2"/>
    <w:rsid w:val="009D7DEF"/>
    <w:rsid w:val="009E0AD2"/>
    <w:rsid w:val="009E1ED6"/>
    <w:rsid w:val="009E6436"/>
    <w:rsid w:val="009F39E7"/>
    <w:rsid w:val="009F47F5"/>
    <w:rsid w:val="009F4D17"/>
    <w:rsid w:val="00A01996"/>
    <w:rsid w:val="00A3166B"/>
    <w:rsid w:val="00A339B1"/>
    <w:rsid w:val="00A3679F"/>
    <w:rsid w:val="00A46ED2"/>
    <w:rsid w:val="00A51697"/>
    <w:rsid w:val="00A52CAF"/>
    <w:rsid w:val="00A52F3C"/>
    <w:rsid w:val="00A60A3B"/>
    <w:rsid w:val="00A60F68"/>
    <w:rsid w:val="00A76478"/>
    <w:rsid w:val="00A76DEA"/>
    <w:rsid w:val="00A8397F"/>
    <w:rsid w:val="00A8707D"/>
    <w:rsid w:val="00A91242"/>
    <w:rsid w:val="00A964D9"/>
    <w:rsid w:val="00A97930"/>
    <w:rsid w:val="00AB4A20"/>
    <w:rsid w:val="00AC7442"/>
    <w:rsid w:val="00AD269A"/>
    <w:rsid w:val="00AE11E5"/>
    <w:rsid w:val="00B02FB6"/>
    <w:rsid w:val="00B03E1B"/>
    <w:rsid w:val="00B0584B"/>
    <w:rsid w:val="00B07ED7"/>
    <w:rsid w:val="00B15D8D"/>
    <w:rsid w:val="00B2418C"/>
    <w:rsid w:val="00B2770E"/>
    <w:rsid w:val="00B45589"/>
    <w:rsid w:val="00B539E0"/>
    <w:rsid w:val="00B726CD"/>
    <w:rsid w:val="00B7580B"/>
    <w:rsid w:val="00B96500"/>
    <w:rsid w:val="00BA3ECC"/>
    <w:rsid w:val="00BA4AE4"/>
    <w:rsid w:val="00BA52DC"/>
    <w:rsid w:val="00BD1C4C"/>
    <w:rsid w:val="00BD203C"/>
    <w:rsid w:val="00BD68EC"/>
    <w:rsid w:val="00BE1852"/>
    <w:rsid w:val="00BE20E5"/>
    <w:rsid w:val="00BE2842"/>
    <w:rsid w:val="00BE73C1"/>
    <w:rsid w:val="00BF3894"/>
    <w:rsid w:val="00BF4A48"/>
    <w:rsid w:val="00C04186"/>
    <w:rsid w:val="00C30E82"/>
    <w:rsid w:val="00C40309"/>
    <w:rsid w:val="00C4587D"/>
    <w:rsid w:val="00C73888"/>
    <w:rsid w:val="00C75A5E"/>
    <w:rsid w:val="00C77E3F"/>
    <w:rsid w:val="00C8558D"/>
    <w:rsid w:val="00C86B5E"/>
    <w:rsid w:val="00C87832"/>
    <w:rsid w:val="00C9046A"/>
    <w:rsid w:val="00C93737"/>
    <w:rsid w:val="00C94A48"/>
    <w:rsid w:val="00CA226D"/>
    <w:rsid w:val="00CA5B2D"/>
    <w:rsid w:val="00CB47AE"/>
    <w:rsid w:val="00CB4BCF"/>
    <w:rsid w:val="00CC211B"/>
    <w:rsid w:val="00CC52DE"/>
    <w:rsid w:val="00CD18DA"/>
    <w:rsid w:val="00CD5ED2"/>
    <w:rsid w:val="00CE08BD"/>
    <w:rsid w:val="00CE5B90"/>
    <w:rsid w:val="00CE6843"/>
    <w:rsid w:val="00CF3D53"/>
    <w:rsid w:val="00CF5F5D"/>
    <w:rsid w:val="00D012E4"/>
    <w:rsid w:val="00D16E3E"/>
    <w:rsid w:val="00D17EEA"/>
    <w:rsid w:val="00D229C8"/>
    <w:rsid w:val="00D301ED"/>
    <w:rsid w:val="00D51D06"/>
    <w:rsid w:val="00D51FDE"/>
    <w:rsid w:val="00D61A54"/>
    <w:rsid w:val="00D96328"/>
    <w:rsid w:val="00DA0554"/>
    <w:rsid w:val="00DA6F77"/>
    <w:rsid w:val="00DA73B0"/>
    <w:rsid w:val="00DD1A10"/>
    <w:rsid w:val="00DD46F6"/>
    <w:rsid w:val="00DE417F"/>
    <w:rsid w:val="00E02B8B"/>
    <w:rsid w:val="00E11511"/>
    <w:rsid w:val="00E17EF4"/>
    <w:rsid w:val="00E20F44"/>
    <w:rsid w:val="00E23132"/>
    <w:rsid w:val="00E2659D"/>
    <w:rsid w:val="00E30118"/>
    <w:rsid w:val="00E31A22"/>
    <w:rsid w:val="00E41A30"/>
    <w:rsid w:val="00E44BC9"/>
    <w:rsid w:val="00E44C7C"/>
    <w:rsid w:val="00E540B1"/>
    <w:rsid w:val="00E63F0A"/>
    <w:rsid w:val="00E77F6D"/>
    <w:rsid w:val="00E92ED3"/>
    <w:rsid w:val="00EB0653"/>
    <w:rsid w:val="00EC64BD"/>
    <w:rsid w:val="00EC74C0"/>
    <w:rsid w:val="00ED0E47"/>
    <w:rsid w:val="00ED3D70"/>
    <w:rsid w:val="00ED6E12"/>
    <w:rsid w:val="00EE4846"/>
    <w:rsid w:val="00F040E1"/>
    <w:rsid w:val="00F10D1D"/>
    <w:rsid w:val="00F20648"/>
    <w:rsid w:val="00F22965"/>
    <w:rsid w:val="00F27278"/>
    <w:rsid w:val="00F40235"/>
    <w:rsid w:val="00F45AC9"/>
    <w:rsid w:val="00F516EB"/>
    <w:rsid w:val="00F56C55"/>
    <w:rsid w:val="00F669BA"/>
    <w:rsid w:val="00F74BFC"/>
    <w:rsid w:val="00F83E49"/>
    <w:rsid w:val="00F840B9"/>
    <w:rsid w:val="00FB2B91"/>
    <w:rsid w:val="00FC5A08"/>
    <w:rsid w:val="00FD006A"/>
    <w:rsid w:val="00FD4BD4"/>
    <w:rsid w:val="00FD6A96"/>
    <w:rsid w:val="00FE65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472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4D9"/>
    <w:pPr>
      <w:spacing w:after="0" w:line="240" w:lineRule="auto"/>
    </w:pPr>
    <w:rPr>
      <w:rFonts w:ascii="Times New Roman" w:eastAsia="Times New Roman" w:hAnsi="Times New Roman" w:cs="Times New Roman"/>
      <w:kern w:val="0"/>
      <w:lang w:val="lv-LV" w:eastAsia="ru-RU"/>
      <w14:ligatures w14:val="none"/>
    </w:rPr>
  </w:style>
  <w:style w:type="paragraph" w:styleId="Heading1">
    <w:name w:val="heading 1"/>
    <w:basedOn w:val="Normal"/>
    <w:next w:val="Normal"/>
    <w:link w:val="Heading1Char"/>
    <w:uiPriority w:val="9"/>
    <w:qFormat/>
    <w:rsid w:val="00A964D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A964D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A964D9"/>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A964D9"/>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A964D9"/>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A964D9"/>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A964D9"/>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A964D9"/>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A964D9"/>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4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64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64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64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64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64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4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4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4D9"/>
    <w:rPr>
      <w:rFonts w:eastAsiaTheme="majorEastAsia" w:cstheme="majorBidi"/>
      <w:color w:val="272727" w:themeColor="text1" w:themeTint="D8"/>
    </w:rPr>
  </w:style>
  <w:style w:type="paragraph" w:styleId="Title">
    <w:name w:val="Title"/>
    <w:basedOn w:val="Normal"/>
    <w:next w:val="Normal"/>
    <w:link w:val="TitleChar"/>
    <w:uiPriority w:val="10"/>
    <w:qFormat/>
    <w:rsid w:val="00A964D9"/>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A964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4D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A964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4D9"/>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A964D9"/>
    <w:rPr>
      <w:i/>
      <w:iCs/>
      <w:color w:val="404040" w:themeColor="text1" w:themeTint="BF"/>
    </w:rPr>
  </w:style>
  <w:style w:type="paragraph" w:styleId="ListParagraph">
    <w:name w:val="List Paragraph"/>
    <w:basedOn w:val="Normal"/>
    <w:uiPriority w:val="34"/>
    <w:qFormat/>
    <w:rsid w:val="00A964D9"/>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A964D9"/>
    <w:rPr>
      <w:i/>
      <w:iCs/>
      <w:color w:val="2F5496" w:themeColor="accent1" w:themeShade="BF"/>
    </w:rPr>
  </w:style>
  <w:style w:type="paragraph" w:styleId="IntenseQuote">
    <w:name w:val="Intense Quote"/>
    <w:basedOn w:val="Normal"/>
    <w:next w:val="Normal"/>
    <w:link w:val="IntenseQuoteChar"/>
    <w:uiPriority w:val="30"/>
    <w:qFormat/>
    <w:rsid w:val="00A964D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A964D9"/>
    <w:rPr>
      <w:i/>
      <w:iCs/>
      <w:color w:val="2F5496" w:themeColor="accent1" w:themeShade="BF"/>
    </w:rPr>
  </w:style>
  <w:style w:type="character" w:styleId="IntenseReference">
    <w:name w:val="Intense Reference"/>
    <w:basedOn w:val="DefaultParagraphFont"/>
    <w:uiPriority w:val="32"/>
    <w:qFormat/>
    <w:rsid w:val="00A964D9"/>
    <w:rPr>
      <w:b/>
      <w:bCs/>
      <w:smallCaps/>
      <w:color w:val="2F5496" w:themeColor="accent1" w:themeShade="BF"/>
      <w:spacing w:val="5"/>
    </w:rPr>
  </w:style>
  <w:style w:type="paragraph" w:styleId="BodyText2">
    <w:name w:val="Body Text 2"/>
    <w:basedOn w:val="Normal"/>
    <w:link w:val="BodyText2Char"/>
    <w:semiHidden/>
    <w:unhideWhenUsed/>
    <w:rsid w:val="00A964D9"/>
    <w:pPr>
      <w:spacing w:after="120" w:line="480" w:lineRule="auto"/>
    </w:pPr>
    <w:rPr>
      <w:lang w:val="x-none"/>
    </w:rPr>
  </w:style>
  <w:style w:type="character" w:customStyle="1" w:styleId="BodyText2Char">
    <w:name w:val="Body Text 2 Char"/>
    <w:basedOn w:val="DefaultParagraphFont"/>
    <w:link w:val="BodyText2"/>
    <w:semiHidden/>
    <w:rsid w:val="00A964D9"/>
    <w:rPr>
      <w:rFonts w:ascii="Times New Roman" w:eastAsia="Times New Roman" w:hAnsi="Times New Roman" w:cs="Times New Roman"/>
      <w:kern w:val="0"/>
      <w:lang w:val="x-none" w:eastAsia="ru-RU"/>
      <w14:ligatures w14:val="none"/>
    </w:rPr>
  </w:style>
  <w:style w:type="table" w:styleId="TableGrid">
    <w:name w:val="Table Grid"/>
    <w:basedOn w:val="TableNormal"/>
    <w:rsid w:val="00A964D9"/>
    <w:pPr>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64D9"/>
    <w:pPr>
      <w:tabs>
        <w:tab w:val="center" w:pos="4153"/>
        <w:tab w:val="right" w:pos="8306"/>
      </w:tabs>
    </w:pPr>
  </w:style>
  <w:style w:type="character" w:customStyle="1" w:styleId="HeaderChar">
    <w:name w:val="Header Char"/>
    <w:basedOn w:val="DefaultParagraphFont"/>
    <w:link w:val="Header"/>
    <w:uiPriority w:val="99"/>
    <w:rsid w:val="00A964D9"/>
    <w:rPr>
      <w:rFonts w:ascii="Times New Roman" w:eastAsia="Times New Roman" w:hAnsi="Times New Roman" w:cs="Times New Roman"/>
      <w:kern w:val="0"/>
      <w:lang w:val="lv-LV" w:eastAsia="ru-RU"/>
      <w14:ligatures w14:val="none"/>
    </w:rPr>
  </w:style>
  <w:style w:type="paragraph" w:styleId="Footer">
    <w:name w:val="footer"/>
    <w:basedOn w:val="Normal"/>
    <w:link w:val="FooterChar"/>
    <w:uiPriority w:val="99"/>
    <w:unhideWhenUsed/>
    <w:rsid w:val="00A964D9"/>
    <w:pPr>
      <w:tabs>
        <w:tab w:val="center" w:pos="4153"/>
        <w:tab w:val="right" w:pos="8306"/>
      </w:tabs>
    </w:pPr>
  </w:style>
  <w:style w:type="character" w:customStyle="1" w:styleId="FooterChar">
    <w:name w:val="Footer Char"/>
    <w:basedOn w:val="DefaultParagraphFont"/>
    <w:link w:val="Footer"/>
    <w:uiPriority w:val="99"/>
    <w:rsid w:val="00A964D9"/>
    <w:rPr>
      <w:rFonts w:ascii="Times New Roman" w:eastAsia="Times New Roman" w:hAnsi="Times New Roman" w:cs="Times New Roman"/>
      <w:kern w:val="0"/>
      <w:lang w:val="lv-LV" w:eastAsia="ru-RU"/>
      <w14:ligatures w14:val="none"/>
    </w:rPr>
  </w:style>
  <w:style w:type="character" w:styleId="Hyperlink">
    <w:name w:val="Hyperlink"/>
    <w:basedOn w:val="DefaultParagraphFont"/>
    <w:uiPriority w:val="99"/>
    <w:unhideWhenUsed/>
    <w:rsid w:val="00A964D9"/>
    <w:rPr>
      <w:color w:val="0563C1" w:themeColor="hyperlink"/>
      <w:u w:val="single"/>
    </w:rPr>
  </w:style>
  <w:style w:type="character" w:styleId="FollowedHyperlink">
    <w:name w:val="FollowedHyperlink"/>
    <w:basedOn w:val="DefaultParagraphFont"/>
    <w:uiPriority w:val="99"/>
    <w:semiHidden/>
    <w:unhideWhenUsed/>
    <w:rsid w:val="00F040E1"/>
    <w:rPr>
      <w:color w:val="954F72" w:themeColor="followedHyperlink"/>
      <w:u w:val="single"/>
    </w:rPr>
  </w:style>
  <w:style w:type="character" w:styleId="UnresolvedMention">
    <w:name w:val="Unresolved Mention"/>
    <w:basedOn w:val="DefaultParagraphFont"/>
    <w:uiPriority w:val="99"/>
    <w:semiHidden/>
    <w:unhideWhenUsed/>
    <w:rsid w:val="00572D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352226">
      <w:bodyDiv w:val="1"/>
      <w:marLeft w:val="0"/>
      <w:marRight w:val="0"/>
      <w:marTop w:val="0"/>
      <w:marBottom w:val="0"/>
      <w:divBdr>
        <w:top w:val="none" w:sz="0" w:space="0" w:color="auto"/>
        <w:left w:val="none" w:sz="0" w:space="0" w:color="auto"/>
        <w:bottom w:val="none" w:sz="0" w:space="0" w:color="auto"/>
        <w:right w:val="none" w:sz="0" w:space="0" w:color="auto"/>
      </w:divBdr>
      <w:divsChild>
        <w:div w:id="432169073">
          <w:marLeft w:val="0"/>
          <w:marRight w:val="0"/>
          <w:marTop w:val="0"/>
          <w:marBottom w:val="0"/>
          <w:divBdr>
            <w:top w:val="none" w:sz="0" w:space="0" w:color="auto"/>
            <w:left w:val="none" w:sz="0" w:space="0" w:color="auto"/>
            <w:bottom w:val="none" w:sz="0" w:space="0" w:color="auto"/>
            <w:right w:val="none" w:sz="0" w:space="0" w:color="auto"/>
          </w:divBdr>
        </w:div>
      </w:divsChild>
    </w:div>
    <w:div w:id="686711459">
      <w:bodyDiv w:val="1"/>
      <w:marLeft w:val="0"/>
      <w:marRight w:val="0"/>
      <w:marTop w:val="0"/>
      <w:marBottom w:val="0"/>
      <w:divBdr>
        <w:top w:val="none" w:sz="0" w:space="0" w:color="auto"/>
        <w:left w:val="none" w:sz="0" w:space="0" w:color="auto"/>
        <w:bottom w:val="none" w:sz="0" w:space="0" w:color="auto"/>
        <w:right w:val="none" w:sz="0" w:space="0" w:color="auto"/>
      </w:divBdr>
      <w:divsChild>
        <w:div w:id="1263755894">
          <w:marLeft w:val="0"/>
          <w:marRight w:val="0"/>
          <w:marTop w:val="0"/>
          <w:marBottom w:val="0"/>
          <w:divBdr>
            <w:top w:val="none" w:sz="0" w:space="0" w:color="auto"/>
            <w:left w:val="none" w:sz="0" w:space="0" w:color="auto"/>
            <w:bottom w:val="none" w:sz="0" w:space="0" w:color="auto"/>
            <w:right w:val="none" w:sz="0" w:space="0" w:color="auto"/>
          </w:divBdr>
        </w:div>
      </w:divsChild>
    </w:div>
    <w:div w:id="2128113754">
      <w:bodyDiv w:val="1"/>
      <w:marLeft w:val="0"/>
      <w:marRight w:val="0"/>
      <w:marTop w:val="0"/>
      <w:marBottom w:val="0"/>
      <w:divBdr>
        <w:top w:val="none" w:sz="0" w:space="0" w:color="auto"/>
        <w:left w:val="none" w:sz="0" w:space="0" w:color="auto"/>
        <w:bottom w:val="none" w:sz="0" w:space="0" w:color="auto"/>
        <w:right w:val="none" w:sz="0" w:space="0" w:color="auto"/>
      </w:divBdr>
      <w:divsChild>
        <w:div w:id="1924954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668fe3e9-bb69-4a62-9e22-a55d8d2406b8" TargetMode="External"/><Relationship Id="rId3" Type="http://schemas.openxmlformats.org/officeDocument/2006/relationships/settings" Target="settings.xml"/><Relationship Id="rId7" Type="http://schemas.openxmlformats.org/officeDocument/2006/relationships/hyperlink" Target="https://gateway.elieta.lv/api/v1/PublicMaterialDownload/37c067c0-092d-4102-8b4b-adbf3de96bf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8273B-A05E-4901-AB20-6D070F2C1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11184</Words>
  <Characters>6376</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2026-09-02T07:48:00Z</dcterms:created>
  <dcterms:modified xsi:type="dcterms:W3CDTF">2026-09-02T07:48:00Z</dcterms:modified>
</cp:coreProperties>
</file>