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7CDE5" w14:textId="77777777" w:rsidR="00F94E7B" w:rsidRPr="00F94E7B" w:rsidRDefault="00F94E7B" w:rsidP="00F94E7B">
      <w:pPr>
        <w:spacing w:after="0" w:line="276" w:lineRule="auto"/>
        <w:jc w:val="both"/>
        <w:rPr>
          <w:b/>
          <w:bCs/>
        </w:rPr>
      </w:pPr>
      <w:r w:rsidRPr="00F94E7B">
        <w:rPr>
          <w:b/>
          <w:bCs/>
        </w:rPr>
        <w:t>Tiesas tiesības atbildību mīkstinošo apstākļu noteikšanā</w:t>
      </w:r>
    </w:p>
    <w:p w14:paraId="2992CC32" w14:textId="77777777" w:rsidR="00F94E7B" w:rsidRDefault="00F94E7B" w:rsidP="00F94E7B">
      <w:pPr>
        <w:spacing w:after="0" w:line="276" w:lineRule="auto"/>
        <w:jc w:val="both"/>
      </w:pPr>
      <w:r>
        <w:t>Atzīt tādus apstākļus, kas nav minēti Krimināllikuma 47.panta pirmajā daļā, par atbildību mīkstinošiem ir tiesas tiesības, nevis pienākums (Krimināllikuma 47.panta otrā daļa).</w:t>
      </w:r>
    </w:p>
    <w:p w14:paraId="452A165F" w14:textId="77777777" w:rsidR="00F94E7B" w:rsidRDefault="00F94E7B" w:rsidP="00F94E7B">
      <w:pPr>
        <w:spacing w:after="0" w:line="276" w:lineRule="auto"/>
        <w:jc w:val="both"/>
      </w:pPr>
    </w:p>
    <w:p w14:paraId="7FB05355" w14:textId="1A8B6292" w:rsidR="00F94E7B" w:rsidRDefault="00F94E7B" w:rsidP="00F94E7B">
      <w:pPr>
        <w:spacing w:after="0" w:line="276" w:lineRule="auto"/>
        <w:jc w:val="both"/>
      </w:pPr>
      <w:r>
        <w:t>Rīgā, 2006.gada 2.oktobrī</w:t>
      </w:r>
      <w:r>
        <w:tab/>
      </w:r>
      <w:r>
        <w:tab/>
      </w:r>
      <w:r>
        <w:tab/>
      </w:r>
      <w:r>
        <w:tab/>
      </w:r>
      <w:r>
        <w:tab/>
        <w:t>Lieta</w:t>
      </w:r>
      <w:r>
        <w:tab/>
        <w:t>Nr.SKK-568</w:t>
      </w:r>
      <w:r w:rsidR="004A3AC6">
        <w:t>/2006</w:t>
      </w:r>
      <w:r w:rsidR="004A3AC6">
        <w:rPr>
          <w:rStyle w:val="FootnoteReference"/>
          <w:rFonts w:asciiTheme="majorBidi" w:hAnsiTheme="majorBidi" w:cstheme="majorBidi"/>
          <w:szCs w:val="24"/>
        </w:rPr>
        <w:footnoteReference w:id="1"/>
      </w:r>
    </w:p>
    <w:p w14:paraId="31E5A992" w14:textId="77777777" w:rsidR="00F94E7B" w:rsidRDefault="00F94E7B" w:rsidP="00F94E7B">
      <w:pPr>
        <w:spacing w:after="0" w:line="276" w:lineRule="auto"/>
        <w:jc w:val="both"/>
      </w:pPr>
    </w:p>
    <w:p w14:paraId="2A79D46C" w14:textId="77777777" w:rsidR="00F94E7B" w:rsidRPr="00F94E7B" w:rsidRDefault="00F94E7B" w:rsidP="00F94E7B">
      <w:pPr>
        <w:spacing w:after="0" w:line="276" w:lineRule="auto"/>
        <w:jc w:val="center"/>
        <w:rPr>
          <w:b/>
          <w:bCs/>
        </w:rPr>
      </w:pPr>
      <w:r w:rsidRPr="00F94E7B">
        <w:rPr>
          <w:b/>
          <w:bCs/>
        </w:rPr>
        <w:t>LĒMUMS</w:t>
      </w:r>
    </w:p>
    <w:p w14:paraId="6F2E7B8A" w14:textId="77777777" w:rsidR="00F94E7B" w:rsidRDefault="00F94E7B" w:rsidP="00F94E7B">
      <w:pPr>
        <w:spacing w:after="0" w:line="276" w:lineRule="auto"/>
        <w:jc w:val="center"/>
      </w:pPr>
    </w:p>
    <w:p w14:paraId="1ED7067B" w14:textId="77777777" w:rsidR="00F94E7B" w:rsidRDefault="00F94E7B" w:rsidP="00F94E7B">
      <w:pPr>
        <w:spacing w:after="0" w:line="276" w:lineRule="auto"/>
        <w:jc w:val="both"/>
      </w:pPr>
      <w:r>
        <w:t>Latvijas Republikas Augstākās tiesas Senāta Krimināllietu departaments šādā sastāvā:</w:t>
      </w:r>
    </w:p>
    <w:p w14:paraId="3A206EF5" w14:textId="4630A7C0" w:rsidR="00F94E7B" w:rsidRDefault="00F94E7B" w:rsidP="00F94E7B">
      <w:pPr>
        <w:spacing w:after="0" w:line="276" w:lineRule="auto"/>
        <w:jc w:val="both"/>
      </w:pPr>
      <w:r>
        <w:tab/>
        <w:t>senators referents</w:t>
      </w:r>
      <w:r>
        <w:tab/>
      </w:r>
      <w:r>
        <w:tab/>
      </w:r>
      <w:r>
        <w:tab/>
      </w:r>
      <w:r>
        <w:tab/>
      </w:r>
      <w:r>
        <w:tab/>
      </w:r>
      <w:r>
        <w:tab/>
      </w:r>
      <w:proofErr w:type="spellStart"/>
      <w:r>
        <w:t>P.Dzalbe</w:t>
      </w:r>
      <w:proofErr w:type="spellEnd"/>
      <w:r>
        <w:t>,</w:t>
      </w:r>
    </w:p>
    <w:p w14:paraId="094D716B" w14:textId="2286FCE0" w:rsidR="00F94E7B" w:rsidRDefault="00F94E7B" w:rsidP="00F94E7B">
      <w:pPr>
        <w:spacing w:after="0" w:line="276" w:lineRule="auto"/>
        <w:jc w:val="both"/>
      </w:pPr>
      <w:r>
        <w:tab/>
        <w:t>senatori</w:t>
      </w:r>
      <w:r>
        <w:tab/>
      </w:r>
      <w:r>
        <w:tab/>
      </w:r>
      <w:r>
        <w:tab/>
      </w:r>
      <w:r>
        <w:tab/>
      </w:r>
      <w:r>
        <w:tab/>
      </w:r>
      <w:r>
        <w:tab/>
      </w:r>
      <w:r>
        <w:tab/>
      </w:r>
      <w:proofErr w:type="spellStart"/>
      <w:r>
        <w:t>V.Eilande</w:t>
      </w:r>
      <w:proofErr w:type="spellEnd"/>
      <w:r>
        <w:t xml:space="preserve"> un</w:t>
      </w:r>
    </w:p>
    <w:p w14:paraId="7B04C320" w14:textId="2A919792" w:rsidR="00F94E7B" w:rsidRDefault="00F94E7B" w:rsidP="00F94E7B">
      <w:pPr>
        <w:spacing w:after="0" w:line="276" w:lineRule="auto"/>
        <w:jc w:val="both"/>
      </w:pPr>
      <w:r>
        <w:tab/>
      </w:r>
      <w:r>
        <w:tab/>
      </w:r>
      <w:r>
        <w:tab/>
      </w:r>
      <w:r>
        <w:tab/>
      </w:r>
      <w:r>
        <w:tab/>
      </w:r>
      <w:r>
        <w:tab/>
      </w:r>
      <w:r>
        <w:tab/>
      </w:r>
      <w:r>
        <w:tab/>
      </w:r>
      <w:r>
        <w:tab/>
      </w:r>
      <w:proofErr w:type="spellStart"/>
      <w:r>
        <w:t>A.Freibergs</w:t>
      </w:r>
      <w:proofErr w:type="spellEnd"/>
    </w:p>
    <w:p w14:paraId="00BE97BE" w14:textId="59A7527C" w:rsidR="00F94E7B" w:rsidRDefault="00F94E7B" w:rsidP="00F94E7B">
      <w:pPr>
        <w:spacing w:after="0" w:line="276" w:lineRule="auto"/>
        <w:jc w:val="both"/>
      </w:pPr>
      <w:r>
        <w:t xml:space="preserve">izskatīja rakstveida procesā lietu sakarā ar apsūdzētā [pers. A] aizstāvja zvērināta advokāta </w:t>
      </w:r>
      <w:proofErr w:type="spellStart"/>
      <w:r>
        <w:t>S.Vārpiņa</w:t>
      </w:r>
      <w:proofErr w:type="spellEnd"/>
      <w:r>
        <w:t xml:space="preserve"> kasācijas sūdzību par Augstākās tiesas Krimināllietu tiesu palātas 2006.gada 6.apr</w:t>
      </w:r>
      <w:r w:rsidR="0041601B">
        <w:t>ī</w:t>
      </w:r>
      <w:r>
        <w:t>ļa lēmuma un</w:t>
      </w:r>
    </w:p>
    <w:p w14:paraId="1080FAD8" w14:textId="77777777" w:rsidR="00F94E7B" w:rsidRDefault="00F94E7B" w:rsidP="00F94E7B">
      <w:pPr>
        <w:spacing w:after="0" w:line="276" w:lineRule="auto"/>
        <w:jc w:val="both"/>
      </w:pPr>
    </w:p>
    <w:p w14:paraId="2AD003E7" w14:textId="77777777" w:rsidR="00F94E7B" w:rsidRPr="00F94E7B" w:rsidRDefault="00F94E7B" w:rsidP="00F94E7B">
      <w:pPr>
        <w:spacing w:after="0" w:line="276" w:lineRule="auto"/>
        <w:jc w:val="center"/>
        <w:rPr>
          <w:b/>
          <w:bCs/>
          <w:spacing w:val="40"/>
        </w:rPr>
      </w:pPr>
      <w:r w:rsidRPr="00F94E7B">
        <w:rPr>
          <w:b/>
          <w:bCs/>
          <w:spacing w:val="40"/>
        </w:rPr>
        <w:t>konstatēja</w:t>
      </w:r>
    </w:p>
    <w:p w14:paraId="5ED58D9E" w14:textId="77777777" w:rsidR="00F94E7B" w:rsidRDefault="00F94E7B" w:rsidP="00F94E7B">
      <w:pPr>
        <w:spacing w:after="0" w:line="276" w:lineRule="auto"/>
        <w:jc w:val="both"/>
      </w:pPr>
    </w:p>
    <w:p w14:paraId="09329162" w14:textId="74C82AC5" w:rsidR="00F94E7B" w:rsidRDefault="00F94E7B" w:rsidP="00F94E7B">
      <w:pPr>
        <w:spacing w:after="0" w:line="276" w:lineRule="auto"/>
        <w:ind w:firstLine="720"/>
        <w:jc w:val="both"/>
      </w:pPr>
      <w:r>
        <w:t>Ar Rīgas apgabaltiesas Krimināllietu tiesas kolēģijas 2004.gada 15.marta spriedumu [pers. A], (..), atzīts par vainīgu noziedzīga nodarījuma izdarīšanā, kas paredzēts Krimināllikuma 183.panta otrajā daļā, un sodīts ar brīvības atņemšanu uz septiņiem gadiem, konfiscējot mantu, un ar policijas kontroli uz diviem gadiem.</w:t>
      </w:r>
    </w:p>
    <w:p w14:paraId="7400211F" w14:textId="77777777" w:rsidR="00F94E7B" w:rsidRDefault="00F94E7B" w:rsidP="00F94E7B">
      <w:pPr>
        <w:spacing w:after="0" w:line="276" w:lineRule="auto"/>
        <w:ind w:firstLine="720"/>
        <w:jc w:val="both"/>
      </w:pPr>
      <w:r>
        <w:t>Ar Augstākās tiesas Krimināllietu tiesu palātas 2006.gada lēmumu Rīgas apgabaltiesas Krimināllietu tiesas kolēģijas 2004.gada 15.marta spriedums atstāts negrozīts.</w:t>
      </w:r>
    </w:p>
    <w:p w14:paraId="44039384" w14:textId="3D8EA355" w:rsidR="00F94E7B" w:rsidRDefault="00F94E7B" w:rsidP="00F94E7B">
      <w:pPr>
        <w:spacing w:after="0" w:line="276" w:lineRule="auto"/>
        <w:ind w:firstLine="720"/>
        <w:jc w:val="both"/>
      </w:pPr>
      <w:r>
        <w:t>Apsūdzētā [pers. A</w:t>
      </w:r>
      <w:r w:rsidR="0041601B">
        <w:t>]</w:t>
      </w:r>
      <w:r>
        <w:t xml:space="preserve"> aizstāvis zvērināts advokāts </w:t>
      </w:r>
      <w:proofErr w:type="spellStart"/>
      <w:r>
        <w:t>S.Vārpiņš</w:t>
      </w:r>
      <w:proofErr w:type="spellEnd"/>
      <w:r>
        <w:t xml:space="preserve"> iesniedzis kasācijas sūdzību, kurā lūdz atcelt apelācijas instances tiesas lēmumu un nosūtīt lietu jaunai iztiesāšanai.</w:t>
      </w:r>
    </w:p>
    <w:p w14:paraId="583F0ABD" w14:textId="77777777" w:rsidR="00F94E7B" w:rsidRDefault="00F94E7B" w:rsidP="00F94E7B">
      <w:pPr>
        <w:spacing w:after="0" w:line="276" w:lineRule="auto"/>
        <w:ind w:firstLine="720"/>
        <w:jc w:val="both"/>
      </w:pPr>
      <w:r>
        <w:t>Aizstāvis norāda, ka apelācijas instances tiesa esot pieļāvusi sekojošus materiālo tiesību normu pārkāpumus.</w:t>
      </w:r>
    </w:p>
    <w:p w14:paraId="058BE20F"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Krimināllikuma 183.panta otrajā daļā ir paredzēta kriminālatbildība par izspiešanu - pieprasījumu bez tiesiska pamata atdot mantu vai tiesības uz mantu, vai izdarīt kādas mantiska rakstura darbības, piedraudot ar vardarbību cietušajam vai viņa tuviniekiem, piedraudot izpaust apkaunojošas ziņas par cietušo vai viņa tuviniekiem, piedraudot iznīcināt viņu mantu vai radīt viņiem citu būtisku kaitējumu, ja tā izdarīta atkārtoti vai ja to izdarījusi personu grupā pēc iepriekšējas vienošanās, vai ja tā izdarīta, lietojot vardarbību, ieročus vai sprāgstošas vielas.</w:t>
      </w:r>
    </w:p>
    <w:p w14:paraId="680F17F5" w14:textId="0052E974"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Rīgas apgabaltiesas Krimināllietu tiesas kolēģija savā 2004.gada 15.marta spriedumā un Augstākās tiesas Krimināllietu tiesu palāta savā 2006.gada 6.aprīļa lēmumā neesot pareizi piemērojušas minēto materiālo tiesību normu, jo lietas iztiesāšanas gaitā neesot konstatēts vardarbības pielietojams no </w:t>
      </w:r>
      <w:r>
        <w:rPr>
          <w:rFonts w:asciiTheme="majorBidi" w:hAnsiTheme="majorBidi" w:cstheme="majorBidi"/>
          <w:szCs w:val="24"/>
        </w:rPr>
        <w:t>[pers. A]</w:t>
      </w:r>
      <w:r w:rsidRPr="00F94E7B">
        <w:rPr>
          <w:rFonts w:asciiTheme="majorBidi" w:hAnsiTheme="majorBidi" w:cstheme="majorBidi"/>
          <w:szCs w:val="24"/>
        </w:rPr>
        <w:t xml:space="preserve"> puses tieši ar mērķi izspiest no cietušā naudu.</w:t>
      </w:r>
    </w:p>
    <w:p w14:paraId="26170D6A"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lastRenderedPageBreak/>
        <w:t>Iztiesāšanas laikā neesot ņemts vērā, ka izspiešanas, kas saistītas ar vardarbību, objektīvā puses izpaužas tieši prettiesiska pieprasījuma laikā fiziski ietekmējot cietušo. Izspiešanā, kas saistīta ar vardarbību, vienlaikus ir jābūt apdraudētām gan cietušā mantiskajām interesēm, gan veselībai.</w:t>
      </w:r>
    </w:p>
    <w:p w14:paraId="5D6A5533" w14:textId="3B3126DB"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nepamatoti saistījusi </w:t>
      </w:r>
      <w:r>
        <w:rPr>
          <w:rFonts w:asciiTheme="majorBidi" w:hAnsiTheme="majorBidi" w:cstheme="majorBidi"/>
          <w:szCs w:val="24"/>
        </w:rPr>
        <w:t>[pers. A]</w:t>
      </w:r>
      <w:r w:rsidRPr="00F94E7B">
        <w:rPr>
          <w:rFonts w:asciiTheme="majorBidi" w:hAnsiTheme="majorBidi" w:cstheme="majorBidi"/>
          <w:szCs w:val="24"/>
        </w:rPr>
        <w:t xml:space="preserve"> pielietoto vardarbību ar izspiešanu, jo </w:t>
      </w:r>
      <w:r>
        <w:rPr>
          <w:rFonts w:asciiTheme="majorBidi" w:hAnsiTheme="majorBidi" w:cstheme="majorBidi"/>
          <w:szCs w:val="24"/>
        </w:rPr>
        <w:t>[pers. A]</w:t>
      </w:r>
      <w:r w:rsidRPr="00F94E7B">
        <w:rPr>
          <w:rFonts w:asciiTheme="majorBidi" w:hAnsiTheme="majorBidi" w:cstheme="majorBidi"/>
          <w:szCs w:val="24"/>
        </w:rPr>
        <w:t xml:space="preserve"> pielietojis vardarbību vienīgi sakarā ar to, ka cietušais uzmācies tramvaja pieturā stāvošai meitenei. Minēto uzmākšanās faktu netieši atzinis arī pats cietušais. Pēc miesas bojājumu nodarīšanas cietušajam </w:t>
      </w:r>
      <w:r>
        <w:rPr>
          <w:rFonts w:asciiTheme="majorBidi" w:hAnsiTheme="majorBidi" w:cstheme="majorBidi"/>
          <w:szCs w:val="24"/>
        </w:rPr>
        <w:t>[pers. A]</w:t>
      </w:r>
      <w:r w:rsidRPr="00F94E7B">
        <w:rPr>
          <w:rFonts w:asciiTheme="majorBidi" w:hAnsiTheme="majorBidi" w:cstheme="majorBidi"/>
          <w:szCs w:val="24"/>
        </w:rPr>
        <w:t xml:space="preserve"> no incidenta norises vietas bija aizgājis, neveicot papildus nekādas darbības, kas būtu saistītas ar izspiešanu, un par naudu sācis jautāt cietušajam tikai aptuveni pēc 15-20 minūtēm, kad saticis to kafejnīcas „Zilais dimants” priekštelpā.</w:t>
      </w:r>
    </w:p>
    <w:p w14:paraId="5353807C" w14:textId="0BCD19B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Neesot pierādījumu un neesot iespējams pierādīt, ka </w:t>
      </w:r>
      <w:r>
        <w:rPr>
          <w:rFonts w:asciiTheme="majorBidi" w:hAnsiTheme="majorBidi" w:cstheme="majorBidi"/>
          <w:szCs w:val="24"/>
        </w:rPr>
        <w:t>[pers. A]</w:t>
      </w:r>
      <w:r w:rsidRPr="00F94E7B">
        <w:rPr>
          <w:rFonts w:asciiTheme="majorBidi" w:hAnsiTheme="majorBidi" w:cstheme="majorBidi"/>
          <w:szCs w:val="24"/>
        </w:rPr>
        <w:t xml:space="preserve"> tikšanās ar cietušo kafejnīcas „Zilais dimants” priekštelpā bijusi iepriekš izplānota. Lietas materiāli norādot, ka tā bijusi nejauša, jo cietušais pats iegājis kafejnīcā cita liecinieka pavadībā, kuram neesot inkriminēta jebkāda veida līdzdalība ar </w:t>
      </w:r>
      <w:r>
        <w:rPr>
          <w:rFonts w:asciiTheme="majorBidi" w:hAnsiTheme="majorBidi" w:cstheme="majorBidi"/>
          <w:szCs w:val="24"/>
        </w:rPr>
        <w:t>[pers. A]</w:t>
      </w:r>
      <w:r w:rsidRPr="00F94E7B">
        <w:rPr>
          <w:rFonts w:asciiTheme="majorBidi" w:hAnsiTheme="majorBidi" w:cstheme="majorBidi"/>
          <w:szCs w:val="24"/>
        </w:rPr>
        <w:t xml:space="preserve"> izspiešanas izdarīšanā. Bez tam minētajā kafejnīcā cietušais iegājis pats un pavadījis tur vismaz 15 minūtes, taču tajā laikā </w:t>
      </w:r>
      <w:r>
        <w:rPr>
          <w:rFonts w:asciiTheme="majorBidi" w:hAnsiTheme="majorBidi" w:cstheme="majorBidi"/>
          <w:szCs w:val="24"/>
        </w:rPr>
        <w:t>[pers. A]</w:t>
      </w:r>
      <w:r w:rsidRPr="00F94E7B">
        <w:rPr>
          <w:rFonts w:asciiTheme="majorBidi" w:hAnsiTheme="majorBidi" w:cstheme="majorBidi"/>
          <w:szCs w:val="24"/>
        </w:rPr>
        <w:t xml:space="preserve"> viņu nemeklēja un nekādā veidā nemēģināja jebko pieprasīt. Faktiski minētie apstākļi norādot, ka notikušajai vardarbībai (sitienam) no </w:t>
      </w:r>
      <w:r>
        <w:rPr>
          <w:rFonts w:asciiTheme="majorBidi" w:hAnsiTheme="majorBidi" w:cstheme="majorBidi"/>
          <w:szCs w:val="24"/>
        </w:rPr>
        <w:t>[pers. A]</w:t>
      </w:r>
      <w:r w:rsidRPr="00F94E7B">
        <w:rPr>
          <w:rFonts w:asciiTheme="majorBidi" w:hAnsiTheme="majorBidi" w:cstheme="majorBidi"/>
          <w:szCs w:val="24"/>
        </w:rPr>
        <w:t xml:space="preserve"> puses nebija nekādas saistības ar jau vēlāk izteikto pieprasījumu. Minētie apstākļi neatrodoties savstarpējā saistībā un cēloņsakarībā un esot aplūkojami atsevišķi. Par pretējo lietā neesot nekādu pierādījumu.</w:t>
      </w:r>
    </w:p>
    <w:p w14:paraId="4574F1A9" w14:textId="54D204C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Pirmās instances tiesa savā spriedumā un apelācijas instances tiesa savā lēmumā norādījusi, ka </w:t>
      </w:r>
      <w:r>
        <w:rPr>
          <w:rFonts w:asciiTheme="majorBidi" w:hAnsiTheme="majorBidi" w:cstheme="majorBidi"/>
          <w:szCs w:val="24"/>
        </w:rPr>
        <w:t>[pers. A]</w:t>
      </w:r>
      <w:r w:rsidRPr="00F94E7B">
        <w:rPr>
          <w:rFonts w:asciiTheme="majorBidi" w:hAnsiTheme="majorBidi" w:cstheme="majorBidi"/>
          <w:szCs w:val="24"/>
        </w:rPr>
        <w:t xml:space="preserve"> iesita cietušajam pa galvu nolūkā apspiest cietušā vēlmi pretoties ar nolūku izdarīt izspiešanu, taču tas ir tikai un vienīgi apsūdzības un tiesas pieņēmums.</w:t>
      </w:r>
    </w:p>
    <w:p w14:paraId="3267A75A" w14:textId="46FCCCB4"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nepamatoti kvalificējusi </w:t>
      </w:r>
      <w:r>
        <w:rPr>
          <w:rFonts w:asciiTheme="majorBidi" w:hAnsiTheme="majorBidi" w:cstheme="majorBidi"/>
          <w:szCs w:val="24"/>
        </w:rPr>
        <w:t>[pers. A]</w:t>
      </w:r>
      <w:r w:rsidRPr="00F94E7B">
        <w:rPr>
          <w:rFonts w:asciiTheme="majorBidi" w:hAnsiTheme="majorBidi" w:cstheme="majorBidi"/>
          <w:szCs w:val="24"/>
        </w:rPr>
        <w:t xml:space="preserve"> prasījumu samaksāt par sabojātiem zobiem kā pieprasījumu „bez tiesiska pamata”. Lietas materiālos neesot pierādījumu, kas atspēkotu </w:t>
      </w:r>
      <w:r>
        <w:rPr>
          <w:rFonts w:asciiTheme="majorBidi" w:hAnsiTheme="majorBidi" w:cstheme="majorBidi"/>
          <w:szCs w:val="24"/>
        </w:rPr>
        <w:t>[pers. A]</w:t>
      </w:r>
      <w:r w:rsidRPr="00F94E7B">
        <w:rPr>
          <w:rFonts w:asciiTheme="majorBidi" w:hAnsiTheme="majorBidi" w:cstheme="majorBidi"/>
          <w:szCs w:val="24"/>
        </w:rPr>
        <w:t xml:space="preserve"> paskaidrojumus, ka cietušais salauzis viņam zobu plati. Tieši par salauzto zobu plati, par kuru liecinājis arī </w:t>
      </w:r>
      <w:r>
        <w:rPr>
          <w:rFonts w:asciiTheme="majorBidi" w:hAnsiTheme="majorBidi" w:cstheme="majorBidi"/>
          <w:szCs w:val="24"/>
        </w:rPr>
        <w:t>[pers. A]</w:t>
      </w:r>
      <w:r w:rsidRPr="00F94E7B">
        <w:rPr>
          <w:rFonts w:asciiTheme="majorBidi" w:hAnsiTheme="majorBidi" w:cstheme="majorBidi"/>
          <w:szCs w:val="24"/>
        </w:rPr>
        <w:t xml:space="preserve"> ārstējošais ārsts un citi liecinieki, </w:t>
      </w:r>
      <w:r>
        <w:rPr>
          <w:rFonts w:asciiTheme="majorBidi" w:hAnsiTheme="majorBidi" w:cstheme="majorBidi"/>
          <w:szCs w:val="24"/>
        </w:rPr>
        <w:t>[pers. A]</w:t>
      </w:r>
      <w:r w:rsidRPr="00F94E7B">
        <w:rPr>
          <w:rFonts w:asciiTheme="majorBidi" w:hAnsiTheme="majorBidi" w:cstheme="majorBidi"/>
          <w:szCs w:val="24"/>
        </w:rPr>
        <w:t xml:space="preserve"> pieprasījis kompensāciju.</w:t>
      </w:r>
    </w:p>
    <w:p w14:paraId="4D8C020F"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Šajā gadījumā pieprasījums bijis tiesiski pamatots, taču tā apmierināšanai izmantoti netiesiski līdzekļi.</w:t>
      </w:r>
    </w:p>
    <w:p w14:paraId="0F37D58A" w14:textId="20FC83B9"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Neskatoties uz to, ka </w:t>
      </w:r>
      <w:r>
        <w:rPr>
          <w:rFonts w:asciiTheme="majorBidi" w:hAnsiTheme="majorBidi" w:cstheme="majorBidi"/>
          <w:szCs w:val="24"/>
        </w:rPr>
        <w:t>[pers. A]</w:t>
      </w:r>
      <w:r w:rsidRPr="00F94E7B">
        <w:rPr>
          <w:rFonts w:asciiTheme="majorBidi" w:hAnsiTheme="majorBidi" w:cstheme="majorBidi"/>
          <w:szCs w:val="24"/>
        </w:rPr>
        <w:t xml:space="preserve"> atzinis savu vainu noziedzīga nodarījuma izdarīšanā, kurš paredzēts Krimināllikuma 183.panta pirmajā daļā, Iztiesāšanas laikā netika konstatēts viņa mantkārīgs nolūks. </w:t>
      </w:r>
      <w:r>
        <w:rPr>
          <w:rFonts w:asciiTheme="majorBidi" w:hAnsiTheme="majorBidi" w:cstheme="majorBidi"/>
          <w:szCs w:val="24"/>
        </w:rPr>
        <w:t>[Pers. A]</w:t>
      </w:r>
      <w:r w:rsidRPr="00F94E7B">
        <w:rPr>
          <w:rFonts w:asciiTheme="majorBidi" w:hAnsiTheme="majorBidi" w:cstheme="majorBidi"/>
          <w:szCs w:val="24"/>
        </w:rPr>
        <w:t xml:space="preserve"> neesot bijusi vēlēšanās iegūt svešu mantu, bet gan saņemt kompensāciju par salauzto zobu plati. Vēlmi saņemt zaudējumu atlīdzību nevarot uzskatīt par mantkārību, un, ja mantkārība nav konstatēta, tad noziedzīgais nodarījums nevar tikt kvalificēts kā izspiešana.</w:t>
      </w:r>
    </w:p>
    <w:p w14:paraId="6C07CBAC" w14:textId="0B0B88E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Apelācijas instances tiesa savā lēmumā n</w:t>
      </w:r>
      <w:r>
        <w:rPr>
          <w:rFonts w:asciiTheme="majorBidi" w:hAnsiTheme="majorBidi" w:cstheme="majorBidi"/>
          <w:szCs w:val="24"/>
        </w:rPr>
        <w:t>o</w:t>
      </w:r>
      <w:r w:rsidRPr="00F94E7B">
        <w:rPr>
          <w:rFonts w:asciiTheme="majorBidi" w:hAnsiTheme="majorBidi" w:cstheme="majorBidi"/>
          <w:szCs w:val="24"/>
        </w:rPr>
        <w:t xml:space="preserve">rādījusi, ka izspiešana tika pabeigta 2003.gada 6.aprīlī. Tomēr, kvalificējot </w:t>
      </w:r>
      <w:r>
        <w:rPr>
          <w:rFonts w:asciiTheme="majorBidi" w:hAnsiTheme="majorBidi" w:cstheme="majorBidi"/>
          <w:szCs w:val="24"/>
        </w:rPr>
        <w:t>[pers. A]</w:t>
      </w:r>
      <w:r w:rsidRPr="00F94E7B">
        <w:rPr>
          <w:rFonts w:asciiTheme="majorBidi" w:hAnsiTheme="majorBidi" w:cstheme="majorBidi"/>
          <w:szCs w:val="24"/>
        </w:rPr>
        <w:t xml:space="preserve"> darbības kā izspiešanu ar vardarbības piedraudējumu, līdz juridiskas ticamības līmenim neesot konstatēts fakts, ka </w:t>
      </w:r>
      <w:r>
        <w:rPr>
          <w:rFonts w:asciiTheme="majorBidi" w:hAnsiTheme="majorBidi" w:cstheme="majorBidi"/>
          <w:szCs w:val="24"/>
        </w:rPr>
        <w:t>[pers. A]</w:t>
      </w:r>
      <w:r w:rsidRPr="00F94E7B">
        <w:rPr>
          <w:rFonts w:asciiTheme="majorBidi" w:hAnsiTheme="majorBidi" w:cstheme="majorBidi"/>
          <w:szCs w:val="24"/>
        </w:rPr>
        <w:t xml:space="preserve"> būtu kādā veidā draudējis cietušajam ne līdz šim datumam, ne arī pēc tam.</w:t>
      </w:r>
    </w:p>
    <w:p w14:paraId="021D7CB3" w14:textId="6F9074D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Tiesas atsauce, ka </w:t>
      </w:r>
      <w:r>
        <w:rPr>
          <w:rFonts w:asciiTheme="majorBidi" w:hAnsiTheme="majorBidi" w:cstheme="majorBidi"/>
          <w:szCs w:val="24"/>
        </w:rPr>
        <w:t>[pers. A]</w:t>
      </w:r>
      <w:r w:rsidRPr="00F94E7B">
        <w:rPr>
          <w:rFonts w:asciiTheme="majorBidi" w:hAnsiTheme="majorBidi" w:cstheme="majorBidi"/>
          <w:szCs w:val="24"/>
        </w:rPr>
        <w:t xml:space="preserve"> būtu draudējis ar pistolei līdzīgu priekšmetu sašaut ceļu locītavas, nevar tikt atzīts par pierādītu faktu, jo, izņemot cietušā liecības, kas ir lietā ieinteresēta persona, citu ziņu lietā neesot un šie apgalvojumi ne ar ko vairāk objektīvi neapstiprinoties.</w:t>
      </w:r>
    </w:p>
    <w:p w14:paraId="40459234" w14:textId="22AAD10C"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lastRenderedPageBreak/>
        <w:t xml:space="preserve">Ka pati apsūdzība neticējusi cietušā liecībām šajā daļā, netieši norādot kaut vai tas, ka ieroča pielietošana </w:t>
      </w:r>
      <w:r>
        <w:rPr>
          <w:rFonts w:asciiTheme="majorBidi" w:hAnsiTheme="majorBidi" w:cstheme="majorBidi"/>
          <w:szCs w:val="24"/>
        </w:rPr>
        <w:t>[pers. A]</w:t>
      </w:r>
      <w:r w:rsidRPr="00F94E7B">
        <w:rPr>
          <w:rFonts w:asciiTheme="majorBidi" w:hAnsiTheme="majorBidi" w:cstheme="majorBidi"/>
          <w:szCs w:val="24"/>
        </w:rPr>
        <w:t xml:space="preserve"> kā kvalificējošā pazīme pat netika inkriminēta.</w:t>
      </w:r>
    </w:p>
    <w:p w14:paraId="4806B10E" w14:textId="5F2560D2"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Pat ja tiktu uzskatīts, ka iztiesāšanas laikā konstatēta draudu esamība, to realitāte un realizācija tādā veidā, lai pietiekami bīstami apdraudētu cietušā dzīvību un veselību, neesot pierādīta. Tiesas norādot, ka cietušais gan </w:t>
      </w:r>
      <w:proofErr w:type="spellStart"/>
      <w:r w:rsidRPr="00F94E7B">
        <w:rPr>
          <w:rFonts w:asciiTheme="majorBidi" w:hAnsiTheme="majorBidi" w:cstheme="majorBidi"/>
          <w:szCs w:val="24"/>
        </w:rPr>
        <w:t>pirmstiesas</w:t>
      </w:r>
      <w:proofErr w:type="spellEnd"/>
      <w:r w:rsidRPr="00F94E7B">
        <w:rPr>
          <w:rFonts w:asciiTheme="majorBidi" w:hAnsiTheme="majorBidi" w:cstheme="majorBidi"/>
          <w:szCs w:val="24"/>
        </w:rPr>
        <w:t xml:space="preserve"> izmeklēšanā, gan arī tiesā liecinājis, ka viņam bijis pamats reāli baidīties un draudus viņš esot uztvēris nopietni. Tomēr šī norāde spriedumā un lēmumā esot formāla, jo netika ņemti vērā faktiskie apstākļi - cietušais apgalvo, ka viņš kā bijušais milicijas darbinieks „zinot, kā jār</w:t>
      </w:r>
      <w:r>
        <w:rPr>
          <w:rFonts w:asciiTheme="majorBidi" w:hAnsiTheme="majorBidi" w:cstheme="majorBidi"/>
          <w:szCs w:val="24"/>
        </w:rPr>
        <w:t>ī</w:t>
      </w:r>
      <w:r w:rsidRPr="00F94E7B">
        <w:rPr>
          <w:rFonts w:asciiTheme="majorBidi" w:hAnsiTheme="majorBidi" w:cstheme="majorBidi"/>
          <w:szCs w:val="24"/>
        </w:rPr>
        <w:t>kojas šādās situācijās’’. Tajā pat laikā pēc sitiena viņš nevis gājis vai bēdzis no notikuma vietas, bet gan iegājis kafejnīcā, nomazgājis asinis. Par notikušo policijai cietušais paziņojis tikai nākamajā dienā pēc konsultācijas ar sievu.</w:t>
      </w:r>
    </w:p>
    <w:p w14:paraId="43C34099"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Taisot notiesājošo spriedumu un atstājot spriedumu negrozītu, esot pārkāptas Krimināllikuma 46.panta prasības.</w:t>
      </w:r>
    </w:p>
    <w:p w14:paraId="3492179B"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Krimināllikuma 46.pants nosaka, ka, nosakot sodu, tiesa ņem vērā izdarītā noziedzīgā nodarījuma raksturu, radīto kaitējumu, vainīgā personību, atbildību mīkstinošos un pastiprinošos apstākļus.</w:t>
      </w:r>
    </w:p>
    <w:p w14:paraId="63A06FF8" w14:textId="7A8A2DE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Neskatoties uz to, ka Augstākās tiesas Krimināllietu tiesu palāta kā apelācijas instances tiesa savā lēmumā izslēdza </w:t>
      </w:r>
      <w:r>
        <w:rPr>
          <w:rFonts w:asciiTheme="majorBidi" w:hAnsiTheme="majorBidi" w:cstheme="majorBidi"/>
          <w:szCs w:val="24"/>
        </w:rPr>
        <w:t>[pers. A]</w:t>
      </w:r>
      <w:r w:rsidRPr="00F94E7B">
        <w:rPr>
          <w:rFonts w:asciiTheme="majorBidi" w:hAnsiTheme="majorBidi" w:cstheme="majorBidi"/>
          <w:szCs w:val="24"/>
        </w:rPr>
        <w:t xml:space="preserve"> atbildību pastiprinošo apstākli - „noziedzīgs nodarījums izdarīts narkotisko un psihotropo vielu reibumā”, sods mīkstināts netika.</w:t>
      </w:r>
    </w:p>
    <w:p w14:paraId="1CF4750E"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Augstākās tiesas Senāta Krimināllietu departaments 2004.gada 28.maija lēmumā lietā Nr. SKK-339 norādījis, ka kvalificējošās pazīmes izslēgšana ir iemesls noteiktā soda samazināšanai.</w:t>
      </w:r>
    </w:p>
    <w:p w14:paraId="01998E79" w14:textId="6924B07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nosakot sodu, neņēmusi vērā, ka </w:t>
      </w:r>
      <w:r>
        <w:rPr>
          <w:rFonts w:asciiTheme="majorBidi" w:hAnsiTheme="majorBidi" w:cstheme="majorBidi"/>
          <w:szCs w:val="24"/>
        </w:rPr>
        <w:t>[pers. A]</w:t>
      </w:r>
      <w:r w:rsidRPr="00F94E7B">
        <w:rPr>
          <w:rFonts w:asciiTheme="majorBidi" w:hAnsiTheme="majorBidi" w:cstheme="majorBidi"/>
          <w:szCs w:val="24"/>
        </w:rPr>
        <w:t xml:space="preserve"> esot pozitīvi raksturots, viņam ir pastāvīga darba vieta, ģimene, apgādībā nepilngadīgs bērns, ka viņš iepriekš nav tiesāts. Neesot ņemts vērā</w:t>
      </w:r>
      <w:r>
        <w:rPr>
          <w:rFonts w:asciiTheme="majorBidi" w:hAnsiTheme="majorBidi" w:cstheme="majorBidi"/>
          <w:szCs w:val="24"/>
        </w:rPr>
        <w:t xml:space="preserve"> [pers. A]</w:t>
      </w:r>
      <w:r w:rsidRPr="00F94E7B">
        <w:rPr>
          <w:rFonts w:asciiTheme="majorBidi" w:hAnsiTheme="majorBidi" w:cstheme="majorBidi"/>
          <w:szCs w:val="24"/>
        </w:rPr>
        <w:t xml:space="preserve"> veselības stāvoklis.</w:t>
      </w:r>
    </w:p>
    <w:p w14:paraId="7AFB5CE5"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Neņemot vērā šos apstākļus, tiekot pārkāpts vienlīdzības tiesas priekšā princips. Augstākās tiesas Senāta Krimināllietu departaments, piemēram, lietā Nr. SKK-687 (2004.gada 21 .decembra lēmums) norādījis, ka, nosakot sodu tiesājamam, jāņem vērā arī humānisma princips.</w:t>
      </w:r>
    </w:p>
    <w:p w14:paraId="1827AC17" w14:textId="36EDF75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Vainīgā personības vērtēšanai, pārkāpjot materiālo tiesību normu prasības, tiesa personību raksturojošos datus aizstājusi ar pastarpinātu un nepārbaudītu operatīva rakstura informāciju (policijas darbinieka liecībām), ka </w:t>
      </w:r>
      <w:r>
        <w:rPr>
          <w:rFonts w:asciiTheme="majorBidi" w:hAnsiTheme="majorBidi" w:cstheme="majorBidi"/>
          <w:szCs w:val="24"/>
        </w:rPr>
        <w:t>[pers. A]</w:t>
      </w:r>
      <w:r w:rsidRPr="00F94E7B">
        <w:rPr>
          <w:rFonts w:asciiTheme="majorBidi" w:hAnsiTheme="majorBidi" w:cstheme="majorBidi"/>
          <w:szCs w:val="24"/>
        </w:rPr>
        <w:t xml:space="preserve"> nodarbojoties ar naudas izspiešanu un esot noziedznieku autoritāte. Minētais pieņēmums esot klajā pretrunā ar nevainīguma prezumpciju, kas nostiprināta Eiropas Cilvēktiesību konvencijā un Kriminālprocesa likuma 19.pantā.</w:t>
      </w:r>
    </w:p>
    <w:p w14:paraId="4501A6C7"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Taisot notiesājošo spriedumu un atstājot spriedumu negrozītu, tikušas pārkāptas Krimināllikuma 47.panta prasības.</w:t>
      </w:r>
    </w:p>
    <w:p w14:paraId="6B67F183" w14:textId="72C5C7AD"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savā lēmumā norādījusi, ka </w:t>
      </w:r>
      <w:r>
        <w:rPr>
          <w:rFonts w:asciiTheme="majorBidi" w:hAnsiTheme="majorBidi" w:cstheme="majorBidi"/>
          <w:szCs w:val="24"/>
        </w:rPr>
        <w:t>[pers. A]</w:t>
      </w:r>
      <w:r w:rsidRPr="00F94E7B">
        <w:rPr>
          <w:rFonts w:asciiTheme="majorBidi" w:hAnsiTheme="majorBidi" w:cstheme="majorBidi"/>
          <w:szCs w:val="24"/>
        </w:rPr>
        <w:t xml:space="preserve"> cietušajam pārskaitījis Ls 100 kā atlīdzinājumu, iztiesāšanas laikā atzinis savu vainu, paudis savu nožēlu, taču tajā pat laikā tos neatzina par atbildību mīkstinošiem apstākļiem.</w:t>
      </w:r>
    </w:p>
    <w:p w14:paraId="0DA92AE6" w14:textId="0D3CE63E"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norādījusi, ka aizstāvības lūgums atzīt par </w:t>
      </w:r>
      <w:r>
        <w:rPr>
          <w:rFonts w:asciiTheme="majorBidi" w:hAnsiTheme="majorBidi" w:cstheme="majorBidi"/>
          <w:szCs w:val="24"/>
        </w:rPr>
        <w:t>[pers. A]</w:t>
      </w:r>
      <w:r w:rsidRPr="00F94E7B">
        <w:rPr>
          <w:rFonts w:asciiTheme="majorBidi" w:hAnsiTheme="majorBidi" w:cstheme="majorBidi"/>
          <w:szCs w:val="24"/>
        </w:rPr>
        <w:t xml:space="preserve"> atbildību mīkstinošu apstākli savas vainas atzīšanu un izdarītā nožēlošanu esot noraidāms, jo </w:t>
      </w:r>
      <w:r>
        <w:rPr>
          <w:rFonts w:asciiTheme="majorBidi" w:hAnsiTheme="majorBidi" w:cstheme="majorBidi"/>
          <w:szCs w:val="24"/>
        </w:rPr>
        <w:t>[pers. A]</w:t>
      </w:r>
      <w:r w:rsidRPr="00F94E7B">
        <w:rPr>
          <w:rFonts w:asciiTheme="majorBidi" w:hAnsiTheme="majorBidi" w:cstheme="majorBidi"/>
          <w:szCs w:val="24"/>
        </w:rPr>
        <w:t xml:space="preserve"> savu vainu izspiešanā neesot atzinis. </w:t>
      </w:r>
      <w:r>
        <w:rPr>
          <w:rFonts w:asciiTheme="majorBidi" w:hAnsiTheme="majorBidi" w:cstheme="majorBidi"/>
          <w:szCs w:val="24"/>
        </w:rPr>
        <w:t>[Pers. A]</w:t>
      </w:r>
      <w:r w:rsidRPr="00F94E7B">
        <w:rPr>
          <w:rFonts w:asciiTheme="majorBidi" w:hAnsiTheme="majorBidi" w:cstheme="majorBidi"/>
          <w:szCs w:val="24"/>
        </w:rPr>
        <w:t xml:space="preserve"> apelācijas instances tiesā tikai esot izteicis nožēlu par to, ka esot prasījis naudu no cietušā par izsistajiem zobiem.</w:t>
      </w:r>
    </w:p>
    <w:p w14:paraId="2DDF7A38"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lastRenderedPageBreak/>
        <w:t>Augstākās tiesas Senāta Krimināllietu departaments lietā Nr. SKK-140 (2001.gada 24.aprīļa lēmums) norādījis, ka tiesājamam, kurš atzīst, ka viņš izdarījis viņam inkriminētās darbības, iebildumus pret viņa darbību juridisko kvalifikāciju nevar uzskatīt par vainas neatzīšanu.</w:t>
      </w:r>
    </w:p>
    <w:p w14:paraId="716086D0" w14:textId="195BFE24"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Bez jebkāda juridiska pamatojuma par atbildību mīkstinošu apstākli neesot atzīts tas, ka </w:t>
      </w:r>
      <w:r>
        <w:rPr>
          <w:rFonts w:asciiTheme="majorBidi" w:hAnsiTheme="majorBidi" w:cstheme="majorBidi"/>
          <w:szCs w:val="24"/>
        </w:rPr>
        <w:t>[pers. A]</w:t>
      </w:r>
      <w:r w:rsidRPr="00F94E7B">
        <w:rPr>
          <w:rFonts w:asciiTheme="majorBidi" w:hAnsiTheme="majorBidi" w:cstheme="majorBidi"/>
          <w:szCs w:val="24"/>
        </w:rPr>
        <w:t xml:space="preserve"> „atlīdzinājis cietušajam radīto zaudējumu” - pārskaitījis cietušajam kompensāciju Ls 100 apmērā par radīto kaitējumu. Minētā kompensācija neesot saistīta un to nevar saistīt ar cietušā nepieteikto civilprasību kriminālprocesā, bet gan atspoguļojot apsūdzētā subjektīvo attieksmi attiecībā pret nodarītajiem miesas bojājumiem, radītiem ārstniecības izdevumiem un to atlīdzināšanu cietušajam. Minētais apstāklis noteikti mīkstinot </w:t>
      </w:r>
      <w:r>
        <w:rPr>
          <w:rFonts w:asciiTheme="majorBidi" w:hAnsiTheme="majorBidi" w:cstheme="majorBidi"/>
          <w:szCs w:val="24"/>
        </w:rPr>
        <w:t>[pers. A]</w:t>
      </w:r>
      <w:r w:rsidRPr="00F94E7B">
        <w:rPr>
          <w:rFonts w:asciiTheme="majorBidi" w:hAnsiTheme="majorBidi" w:cstheme="majorBidi"/>
          <w:szCs w:val="24"/>
        </w:rPr>
        <w:t xml:space="preserve"> atbildību, un tas bijis jāņem vērā saskaņā ar Krimināllikuma 47.panta pirmās daļas 4.punktu.</w:t>
      </w:r>
    </w:p>
    <w:p w14:paraId="1F20DCEA"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Augstākās tiesas Krimināllietu tiesu palāta iztiesāšanas gaitā pieļāvusi šādus būtiskus procesuālo tiesību normu pārkāpumus, kas noveduši pie nelikumīga nolēmuma.</w:t>
      </w:r>
    </w:p>
    <w:p w14:paraId="4AC7C085"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Iztiesāšanas gaitā ticis pārkāpts Kriminālprocesa likuma 15.pants, kas nosaka, ka ikvienam ir tiesības uz lietas izskatīšanu taisnīgā, objektīvā un neatkarīgā tiesā.</w:t>
      </w:r>
    </w:p>
    <w:p w14:paraId="6C317B0A"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Taisnīga tiesa kā pienācīgs tiesiskai valstij atbilstošs process nozīmējot taisnīgu lietas izskatīšanu, proti, katrā konkrētā gadījumā tiesai jāievēro taisnīguma princips. Kriminālprocesa likuma 511.pantā noteikts, ka spriedumam jābūt tiesiskam un pamatotam. Tas nozīmējot, ka spriedumam jābūt pamatotam ar pierādījumiem, kuri pārbaudīti tiesas sēdē.</w:t>
      </w:r>
    </w:p>
    <w:p w14:paraId="414A2ED6"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Minētais princips iztiesāšanas laikā ticis pārkāpts tādējādi, ka „taisnīga” tiesas sprieduma pamatā esot vienas personas (cietušā) liecības par notikušo, ko nevarot atzīt par pierādījumu. Tiesību teorijā esot pausta atziņa, ka personas liecības par un pret sevi nevar tikt uzskatītas par patiesām un tiesām ir jāizvairās izmantot subjektīvas ziņas par faktiem. Tiesai jākonstatējot objektīvi pierādījumi, kas liecina par noziedzīga nodarījuma izdarīšanas faktu.</w:t>
      </w:r>
    </w:p>
    <w:p w14:paraId="55F3997D" w14:textId="6BF25DE9"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Tiesības uz taisnīgu tiesu saturā iekļauts pienākums tiesām pietiekami precīzi norādīt argumentus, uz kuriem tās pamato savu pieņemto lēmumu. Visu lietā esošo liecinieku liecības esot atspēkotas ar „tiesisku argumentu” - ka tās ir ieinteresētas palīdzēt </w:t>
      </w:r>
      <w:r>
        <w:rPr>
          <w:rFonts w:asciiTheme="majorBidi" w:hAnsiTheme="majorBidi" w:cstheme="majorBidi"/>
          <w:szCs w:val="24"/>
        </w:rPr>
        <w:t>[pers. A]</w:t>
      </w:r>
      <w:r w:rsidRPr="00F94E7B">
        <w:rPr>
          <w:rFonts w:asciiTheme="majorBidi" w:hAnsiTheme="majorBidi" w:cstheme="majorBidi"/>
          <w:szCs w:val="24"/>
        </w:rPr>
        <w:t xml:space="preserve"> izvairīties no kriminālatbildības. Saskaņā ar Eiropas Cilvēktiesību tiesas praksi minētais arguments, kas ir tikai un vienīgi apsūdzības un tiesas klajš pieņēmums, pieskaitāms pie stereotipa, nevis tiesiska argumenta.</w:t>
      </w:r>
    </w:p>
    <w:p w14:paraId="7D5430C4"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Taisnīguma princips ietverot prasības, kas nepieciešamas taisnīgai lietu izskatīšanas procedūrai. Viena no šādām prasībām esot </w:t>
      </w:r>
      <w:proofErr w:type="spellStart"/>
      <w:r w:rsidRPr="00F94E7B">
        <w:rPr>
          <w:rFonts w:asciiTheme="majorBidi" w:hAnsiTheme="majorBidi" w:cstheme="majorBidi"/>
          <w:i/>
          <w:iCs/>
          <w:szCs w:val="24"/>
        </w:rPr>
        <w:t>audiatur</w:t>
      </w:r>
      <w:proofErr w:type="spellEnd"/>
      <w:r w:rsidRPr="00F94E7B">
        <w:rPr>
          <w:rFonts w:asciiTheme="majorBidi" w:hAnsiTheme="majorBidi" w:cstheme="majorBidi"/>
          <w:i/>
          <w:iCs/>
          <w:szCs w:val="24"/>
        </w:rPr>
        <w:t xml:space="preserve"> </w:t>
      </w:r>
      <w:proofErr w:type="spellStart"/>
      <w:r w:rsidRPr="00F94E7B">
        <w:rPr>
          <w:rFonts w:asciiTheme="majorBidi" w:hAnsiTheme="majorBidi" w:cstheme="majorBidi"/>
          <w:i/>
          <w:iCs/>
          <w:szCs w:val="24"/>
        </w:rPr>
        <w:t>et</w:t>
      </w:r>
      <w:proofErr w:type="spellEnd"/>
      <w:r w:rsidRPr="00F94E7B">
        <w:rPr>
          <w:rFonts w:asciiTheme="majorBidi" w:hAnsiTheme="majorBidi" w:cstheme="majorBidi"/>
          <w:i/>
          <w:iCs/>
          <w:szCs w:val="24"/>
        </w:rPr>
        <w:t xml:space="preserve"> </w:t>
      </w:r>
      <w:proofErr w:type="spellStart"/>
      <w:r w:rsidRPr="00F94E7B">
        <w:rPr>
          <w:rFonts w:asciiTheme="majorBidi" w:hAnsiTheme="majorBidi" w:cstheme="majorBidi"/>
          <w:i/>
          <w:iCs/>
          <w:szCs w:val="24"/>
        </w:rPr>
        <w:t>altera</w:t>
      </w:r>
      <w:proofErr w:type="spellEnd"/>
      <w:r w:rsidRPr="00F94E7B">
        <w:rPr>
          <w:rFonts w:asciiTheme="majorBidi" w:hAnsiTheme="majorBidi" w:cstheme="majorBidi"/>
          <w:i/>
          <w:iCs/>
          <w:szCs w:val="24"/>
        </w:rPr>
        <w:t xml:space="preserve"> </w:t>
      </w:r>
      <w:proofErr w:type="spellStart"/>
      <w:r w:rsidRPr="00F94E7B">
        <w:rPr>
          <w:rFonts w:asciiTheme="majorBidi" w:hAnsiTheme="majorBidi" w:cstheme="majorBidi"/>
          <w:i/>
          <w:iCs/>
          <w:szCs w:val="24"/>
        </w:rPr>
        <w:t>pars</w:t>
      </w:r>
      <w:proofErr w:type="spellEnd"/>
      <w:r w:rsidRPr="00F94E7B">
        <w:rPr>
          <w:rFonts w:asciiTheme="majorBidi" w:hAnsiTheme="majorBidi" w:cstheme="majorBidi"/>
          <w:szCs w:val="24"/>
        </w:rPr>
        <w:t>. Tas nozīmējot, ka abām procesa pusēm ir tiesības izklāstīt savu viedokli attiecīgajā jautājumā, tas ir, tiesības tikt uzklausītām izskatāmajā lietā. Jēdziens „taisnīga tiesa" ietverot sevī arī pienācīgu, tiesiskai valstij atbilstošu procesu, kurā lieta tiek izskatīta.</w:t>
      </w:r>
    </w:p>
    <w:p w14:paraId="21DFBFAC" w14:textId="3E65F664"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Minētā principa realizācijas procesā apsūdzētais </w:t>
      </w:r>
      <w:r>
        <w:rPr>
          <w:rFonts w:asciiTheme="majorBidi" w:hAnsiTheme="majorBidi" w:cstheme="majorBidi"/>
          <w:szCs w:val="24"/>
        </w:rPr>
        <w:t>[pers. A]</w:t>
      </w:r>
      <w:r w:rsidRPr="00F94E7B">
        <w:rPr>
          <w:rFonts w:asciiTheme="majorBidi" w:hAnsiTheme="majorBidi" w:cstheme="majorBidi"/>
          <w:szCs w:val="24"/>
        </w:rPr>
        <w:t xml:space="preserve"> paudis savu viedokli attiecīgajā jautājumā, tomēr bez jebkāda pamata tas ticis vērtēts kā nepatiesu liecību sniegšana uz vienošanās pamata, kā arī ar nolūku izvairīties no kriminālatbildības.</w:t>
      </w:r>
    </w:p>
    <w:p w14:paraId="1FC8F5B0"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Iztiesāšanas laikā esot pārkāpta Kriminālprocesa likuma 19.panta otrā un trešā daļa.</w:t>
      </w:r>
    </w:p>
    <w:p w14:paraId="7B86305C"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lastRenderedPageBreak/>
        <w:t>Minētajās procesuālajās tiesību normās noteikts, ka personai, kurai ir tiesības uz aizstāvību, nav jāpierāda savs nevainīgums, un visas šaubas par vainu, kuras nav iespējams novērst, jāvērtē par labu personai, kurai ir tiesības uz aizstāvību.</w:t>
      </w:r>
    </w:p>
    <w:p w14:paraId="65FA27F0" w14:textId="2B427DC9"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Šaubu minētajā lietā esot pietiekami daudz. Jāņemot vērā, ka par cietušā uzmākšanos meitenei uz ielas sniedzot liecības četras personas, no kurām trīs esot lietā neieinteresētas personas pēc sava procesuālā statusa - liecinieki. Liecinieki sniedzot liecības par </w:t>
      </w:r>
      <w:r>
        <w:rPr>
          <w:rFonts w:asciiTheme="majorBidi" w:hAnsiTheme="majorBidi" w:cstheme="majorBidi"/>
          <w:szCs w:val="24"/>
        </w:rPr>
        <w:t>[pers. A]</w:t>
      </w:r>
      <w:r w:rsidRPr="00F94E7B">
        <w:rPr>
          <w:rFonts w:asciiTheme="majorBidi" w:hAnsiTheme="majorBidi" w:cstheme="majorBidi"/>
          <w:szCs w:val="24"/>
        </w:rPr>
        <w:t xml:space="preserve"> salauzto zobu plati, arī </w:t>
      </w:r>
      <w:r>
        <w:rPr>
          <w:rFonts w:asciiTheme="majorBidi" w:hAnsiTheme="majorBidi" w:cstheme="majorBidi"/>
          <w:szCs w:val="24"/>
        </w:rPr>
        <w:t>[pers. A]</w:t>
      </w:r>
      <w:r w:rsidRPr="00F94E7B">
        <w:rPr>
          <w:rFonts w:asciiTheme="majorBidi" w:hAnsiTheme="majorBidi" w:cstheme="majorBidi"/>
          <w:szCs w:val="24"/>
        </w:rPr>
        <w:t xml:space="preserve"> ārstējošais ārsts. Tāpat bez ievērības neesot atstājams tas fakts, ka par pistoli </w:t>
      </w:r>
      <w:r>
        <w:rPr>
          <w:rFonts w:asciiTheme="majorBidi" w:hAnsiTheme="majorBidi" w:cstheme="majorBidi"/>
          <w:szCs w:val="24"/>
        </w:rPr>
        <w:t>[pers. A]</w:t>
      </w:r>
      <w:r w:rsidRPr="00F94E7B">
        <w:rPr>
          <w:rFonts w:asciiTheme="majorBidi" w:hAnsiTheme="majorBidi" w:cstheme="majorBidi"/>
          <w:szCs w:val="24"/>
        </w:rPr>
        <w:t xml:space="preserve"> rokās, par vardarbības piedraudējumu un par pieprasījumu, kas izdarīts bez tiesiska pamata, liecinājis tikai un vienīgi cietušais. Tajā pašā laikā liecinieku liecības tiek atspēkotas ar „tiesisku argumentu” - „ar nolūku palīdzēt izvairīties no kriminālatbildības”. Tiesa ignorējusi iztiesāšanas laikā konstatētas minētās šaubas, tajā pat laikā atzīstot par pierādītiem atsevišķus apsūdzību apstiprinošus faktus bez jebkāda tiesiska pamata.</w:t>
      </w:r>
    </w:p>
    <w:p w14:paraId="48DB1F64" w14:textId="7459A0C0"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Apstākļa vērtējums, vai cietušais uz ielas uzmācies meitenei, atkarīgs gan no konkrēto cilvēku pilsoniskās nostājas, gan intelekta, gan sociālā stāvokļa, gan etniskās izcelsmes. Tieši cietušā darbības bijušas aizsākums </w:t>
      </w:r>
      <w:r>
        <w:rPr>
          <w:rFonts w:asciiTheme="majorBidi" w:hAnsiTheme="majorBidi" w:cstheme="majorBidi"/>
          <w:szCs w:val="24"/>
        </w:rPr>
        <w:t>[pers. A]</w:t>
      </w:r>
      <w:r w:rsidRPr="00F94E7B">
        <w:rPr>
          <w:rFonts w:asciiTheme="majorBidi" w:hAnsiTheme="majorBidi" w:cstheme="majorBidi"/>
          <w:szCs w:val="24"/>
        </w:rPr>
        <w:t xml:space="preserve"> darbībām, kautiņam, kura rezultāts bijuši miesas bojājumi gan cietušajam, gan </w:t>
      </w:r>
      <w:r>
        <w:rPr>
          <w:rFonts w:asciiTheme="majorBidi" w:hAnsiTheme="majorBidi" w:cstheme="majorBidi"/>
          <w:szCs w:val="24"/>
        </w:rPr>
        <w:t>[pers. A].</w:t>
      </w:r>
      <w:r w:rsidRPr="00F94E7B">
        <w:rPr>
          <w:rFonts w:asciiTheme="majorBidi" w:hAnsiTheme="majorBidi" w:cstheme="majorBidi"/>
          <w:szCs w:val="24"/>
        </w:rPr>
        <w:t xml:space="preserve"> Par pretējo - pretrunā ar piecu personu liecībām - liecinot cietušais, un minētajā situācijā šaubas ne tikai esot saprātīgas, bet arī ticamas.</w:t>
      </w:r>
    </w:p>
    <w:p w14:paraId="19502D2D"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 pārkāpusi Kriminālprocesa likuma 124.pantu. Neticis ņemts vērā, ka tikai pareiza pierādījumu novērtēšana ļauj tiesai pareizi konstatēt lietā esošos faktiskos apstākļus, kam savukārt ir būtiska loma pareizas tiesību normas piemērošanā.</w:t>
      </w:r>
    </w:p>
    <w:p w14:paraId="33E1D5C4"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Tiesā pierādījumi jāvērtējot to kopumā, nevis izolēti, turklāt tie jāvērtējot kopā ar pierādīšanas līdzekļiem.</w:t>
      </w:r>
    </w:p>
    <w:p w14:paraId="79D27F70"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Tiesai vienlaikus esot jāvērtē arī pierādījumu forma un saturs</w:t>
      </w:r>
    </w:p>
    <w:p w14:paraId="1B6FF795" w14:textId="7249D83B"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Tiesai esot jānosaka pierādījumu nozīmība saistībā </w:t>
      </w:r>
      <w:r w:rsidR="00895CD9">
        <w:rPr>
          <w:rFonts w:asciiTheme="majorBidi" w:hAnsiTheme="majorBidi" w:cstheme="majorBidi"/>
          <w:szCs w:val="24"/>
        </w:rPr>
        <w:t>ar lietā</w:t>
      </w:r>
      <w:r w:rsidRPr="00F94E7B">
        <w:rPr>
          <w:rFonts w:asciiTheme="majorBidi" w:hAnsiTheme="majorBidi" w:cstheme="majorBidi"/>
          <w:szCs w:val="24"/>
        </w:rPr>
        <w:t xml:space="preserve"> nepieciešamajiem konstatētajiem apstākļiem un faktiem.</w:t>
      </w:r>
    </w:p>
    <w:p w14:paraId="3179C767"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Tiesai esot jāizdara secinājumi par pierādījumu pietiekamību.</w:t>
      </w:r>
    </w:p>
    <w:p w14:paraId="27E37DB5"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Tiesai jāņemot vērā, ka lietā var pastāvēt gan tiešie, gan netiešie pierādījumi. Pierādījumi jāvērtējot kopumā, neizolējot tos, jo vairāki netiešie pierādījumi tikai kopumā sniedzot pilnīgu izpratni par lietas faktiskajiem apstākļiem.</w:t>
      </w:r>
    </w:p>
    <w:p w14:paraId="5D5A4093"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 neņēmusi vērā, ka lietā var pastāvēt gan tiešie, gan arī netiešie pierādījumi, kā arī fakti un palīgfakti. Tiesa izvairījusies no tiešo un netiešo pierādījumu atspoguļošanas spriedumā, faktu un palīgfaktu uzskaitījuma, visiem minētajiem netiešajiem pierādījumiem piešķirot augstāku spēku, neskatoties uz to, ka tie tieši neliecinot par noziedzīga nodarījuma izdarīšanu.</w:t>
      </w:r>
    </w:p>
    <w:p w14:paraId="2FCDFDB5" w14:textId="602F37B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Tiesa pierādījumus vērtējusi izolēti. Iztiesāšanas laikā konstatēts, ka </w:t>
      </w:r>
      <w:r>
        <w:rPr>
          <w:rFonts w:asciiTheme="majorBidi" w:hAnsiTheme="majorBidi" w:cstheme="majorBidi"/>
          <w:szCs w:val="24"/>
        </w:rPr>
        <w:t>[pers. A]</w:t>
      </w:r>
      <w:r w:rsidRPr="00F94E7B">
        <w:rPr>
          <w:rFonts w:asciiTheme="majorBidi" w:hAnsiTheme="majorBidi" w:cstheme="majorBidi"/>
          <w:szCs w:val="24"/>
        </w:rPr>
        <w:t xml:space="preserve"> aizturēšanas brīdī automašīnā tika atrasta cietušā atnestā nauda un no audio ierakstiem izrietošs naudas pieprasījums no cietušā. Minētie apstākļi nedodot un arī nevarot dot secinājumu par to, ka </w:t>
      </w:r>
      <w:r>
        <w:rPr>
          <w:rFonts w:asciiTheme="majorBidi" w:hAnsiTheme="majorBidi" w:cstheme="majorBidi"/>
          <w:szCs w:val="24"/>
        </w:rPr>
        <w:t>[pers. A]</w:t>
      </w:r>
      <w:r w:rsidRPr="00F94E7B">
        <w:rPr>
          <w:rFonts w:asciiTheme="majorBidi" w:hAnsiTheme="majorBidi" w:cstheme="majorBidi"/>
          <w:szCs w:val="24"/>
        </w:rPr>
        <w:t xml:space="preserve"> izdarījis izspiešanu, piedraudot un izmantojot vardarbību. Tiesa atrauti vērtējusi liecinieku </w:t>
      </w:r>
      <w:r w:rsidR="00895CD9">
        <w:rPr>
          <w:rFonts w:asciiTheme="majorBidi" w:hAnsiTheme="majorBidi" w:cstheme="majorBidi"/>
          <w:szCs w:val="24"/>
        </w:rPr>
        <w:t>[pers. B]</w:t>
      </w:r>
      <w:r w:rsidRPr="00F94E7B">
        <w:rPr>
          <w:rFonts w:asciiTheme="majorBidi" w:hAnsiTheme="majorBidi" w:cstheme="majorBidi"/>
          <w:szCs w:val="24"/>
        </w:rPr>
        <w:t xml:space="preserve">, </w:t>
      </w:r>
      <w:r w:rsidR="00895CD9">
        <w:rPr>
          <w:rFonts w:asciiTheme="majorBidi" w:hAnsiTheme="majorBidi" w:cstheme="majorBidi"/>
          <w:szCs w:val="24"/>
        </w:rPr>
        <w:t>[pers. C]</w:t>
      </w:r>
      <w:r w:rsidRPr="00F94E7B">
        <w:rPr>
          <w:rFonts w:asciiTheme="majorBidi" w:hAnsiTheme="majorBidi" w:cstheme="majorBidi"/>
          <w:szCs w:val="24"/>
        </w:rPr>
        <w:t xml:space="preserve">, </w:t>
      </w:r>
      <w:r w:rsidR="00895CD9">
        <w:rPr>
          <w:rFonts w:asciiTheme="majorBidi" w:hAnsiTheme="majorBidi" w:cstheme="majorBidi"/>
          <w:szCs w:val="24"/>
        </w:rPr>
        <w:t>[pers. D]</w:t>
      </w:r>
      <w:r w:rsidRPr="00F94E7B">
        <w:rPr>
          <w:rFonts w:asciiTheme="majorBidi" w:hAnsiTheme="majorBidi" w:cstheme="majorBidi"/>
          <w:szCs w:val="24"/>
        </w:rPr>
        <w:t xml:space="preserve"> un </w:t>
      </w:r>
      <w:r w:rsidR="00895CD9">
        <w:rPr>
          <w:rFonts w:asciiTheme="majorBidi" w:hAnsiTheme="majorBidi" w:cstheme="majorBidi"/>
          <w:szCs w:val="24"/>
        </w:rPr>
        <w:t>[pers. E]</w:t>
      </w:r>
      <w:r w:rsidRPr="00F94E7B">
        <w:rPr>
          <w:rFonts w:asciiTheme="majorBidi" w:hAnsiTheme="majorBidi" w:cstheme="majorBidi"/>
          <w:szCs w:val="24"/>
        </w:rPr>
        <w:t xml:space="preserve"> liecības. Tiesa vienkārši pieņēmusi, ka, ja </w:t>
      </w:r>
      <w:r>
        <w:rPr>
          <w:rFonts w:asciiTheme="majorBidi" w:hAnsiTheme="majorBidi" w:cstheme="majorBidi"/>
          <w:szCs w:val="24"/>
        </w:rPr>
        <w:t>[pers. A]</w:t>
      </w:r>
      <w:r w:rsidRPr="00F94E7B">
        <w:rPr>
          <w:rFonts w:asciiTheme="majorBidi" w:hAnsiTheme="majorBidi" w:cstheme="majorBidi"/>
          <w:szCs w:val="24"/>
        </w:rPr>
        <w:t xml:space="preserve"> prasījis naudu, tad tā noteikti bijusi izspiešana. Tiesa izvairījusies no pierādījumu pietiekamības analīzes, nenorādot, kādēļ tā vienam pierādījumam devusi priekšroku salīdzinājumā ar citu.</w:t>
      </w:r>
    </w:p>
    <w:p w14:paraId="0C8AE4D8"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lastRenderedPageBreak/>
        <w:t>Spriedumā tiesa ignorējusi apstākli, ka, konstatējot noziedzīgā nodarījuma sastāva esamību, spriedums jāpamato pietiekami kvalitatīvi, izslēdzot jebkādas šaubas par pretējo.</w:t>
      </w:r>
    </w:p>
    <w:p w14:paraId="4779EF03" w14:textId="482E4250"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Savukārt spriedumā tiesa </w:t>
      </w:r>
      <w:r>
        <w:rPr>
          <w:rFonts w:asciiTheme="majorBidi" w:hAnsiTheme="majorBidi" w:cstheme="majorBidi"/>
          <w:szCs w:val="24"/>
        </w:rPr>
        <w:t>[pers. A]</w:t>
      </w:r>
      <w:r w:rsidRPr="00F94E7B">
        <w:rPr>
          <w:rFonts w:asciiTheme="majorBidi" w:hAnsiTheme="majorBidi" w:cstheme="majorBidi"/>
          <w:szCs w:val="24"/>
        </w:rPr>
        <w:t xml:space="preserve">, </w:t>
      </w:r>
      <w:r w:rsidR="00895CD9">
        <w:rPr>
          <w:rFonts w:asciiTheme="majorBidi" w:hAnsiTheme="majorBidi" w:cstheme="majorBidi"/>
          <w:szCs w:val="24"/>
        </w:rPr>
        <w:t>[pers. B]</w:t>
      </w:r>
      <w:r w:rsidRPr="00F94E7B">
        <w:rPr>
          <w:rFonts w:asciiTheme="majorBidi" w:hAnsiTheme="majorBidi" w:cstheme="majorBidi"/>
          <w:szCs w:val="24"/>
        </w:rPr>
        <w:t xml:space="preserve">, </w:t>
      </w:r>
      <w:r w:rsidR="00895CD9">
        <w:rPr>
          <w:rFonts w:asciiTheme="majorBidi" w:hAnsiTheme="majorBidi" w:cstheme="majorBidi"/>
          <w:szCs w:val="24"/>
        </w:rPr>
        <w:t>[pers. C]</w:t>
      </w:r>
      <w:r w:rsidRPr="00F94E7B">
        <w:rPr>
          <w:rFonts w:asciiTheme="majorBidi" w:hAnsiTheme="majorBidi" w:cstheme="majorBidi"/>
          <w:szCs w:val="24"/>
        </w:rPr>
        <w:t xml:space="preserve">, </w:t>
      </w:r>
      <w:r w:rsidR="00895CD9">
        <w:rPr>
          <w:rFonts w:asciiTheme="majorBidi" w:hAnsiTheme="majorBidi" w:cstheme="majorBidi"/>
          <w:szCs w:val="24"/>
        </w:rPr>
        <w:t>[pers. D]</w:t>
      </w:r>
      <w:r w:rsidRPr="00F94E7B">
        <w:rPr>
          <w:rFonts w:asciiTheme="majorBidi" w:hAnsiTheme="majorBidi" w:cstheme="majorBidi"/>
          <w:szCs w:val="24"/>
        </w:rPr>
        <w:t xml:space="preserve"> un </w:t>
      </w:r>
      <w:r w:rsidR="00895CD9">
        <w:rPr>
          <w:rFonts w:asciiTheme="majorBidi" w:hAnsiTheme="majorBidi" w:cstheme="majorBidi"/>
          <w:szCs w:val="24"/>
        </w:rPr>
        <w:t>[pers. E]</w:t>
      </w:r>
      <w:r w:rsidRPr="00F94E7B">
        <w:rPr>
          <w:rFonts w:asciiTheme="majorBidi" w:hAnsiTheme="majorBidi" w:cstheme="majorBidi"/>
          <w:szCs w:val="24"/>
        </w:rPr>
        <w:t xml:space="preserve"> argumentus par konfliktu ar cietušo un salauzto zobu plati atspēkojusi ar tiesisku argumentu - „liecības nav ticamas”.</w:t>
      </w:r>
    </w:p>
    <w:p w14:paraId="2BD316F0"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Iztiesāšanas laikā esot pārkāpts Kriminālprocesa likuma 128.pants, kas nosaka, ka nevienam no pierādījumiem nav iepriekš noteikta augstāka ticamības pakāpe nekā pārējiem pierādījumiem.</w:t>
      </w:r>
    </w:p>
    <w:p w14:paraId="5C23CEA7"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Minētā norma tikusi ignorēta, vienkārši piešķirot augstāku ticamības pakāpi cietušās personas liecībām, nevērtējot, ka liecībām pēc sava rakstura ir subjektīvs raksturs, ka tām bieži vien piemīt pieņēmuma līmenis vai tas ir liecinātāja iztēles atspoguļojums.</w:t>
      </w:r>
    </w:p>
    <w:p w14:paraId="64BBB1DC"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Cietušā liecības esot pieņemtas par ticamām tādos apstākļos, kad par noziedzīgā nodarījuma notikumu sniedza liecības vairākas personas, tieši četri liecinieki. Tomēr ar kriminālprocesa laikā iegūtiem faktiem un ziņām par faktiem netika norādīts, kādēļ minētās liecības nebūtu ticamas.</w:t>
      </w:r>
    </w:p>
    <w:p w14:paraId="0FA332EB"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Tiesa esot pārkāpusi Kriminālprocesa likuma 527.panta otrās daļas 2.punkta prasības, kas nosaka, ka notiesājošā sprieduma motīvu daļā norāda „motīvus, kāpēc tiesa noraidījusi citus pierādījumus”.</w:t>
      </w:r>
    </w:p>
    <w:p w14:paraId="02E52DBA" w14:textId="19C7DEFA"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Pretēji minētajām prasībām tiesa savus secinājumus balstījusi uz pieņēmumiem, nevis pierādījumiem, jo no lietā esošām cietušā liecībām ticamas tikai ziņas par notikuma esamību, nevis par </w:t>
      </w:r>
      <w:r>
        <w:rPr>
          <w:rFonts w:asciiTheme="majorBidi" w:hAnsiTheme="majorBidi" w:cstheme="majorBidi"/>
          <w:szCs w:val="24"/>
        </w:rPr>
        <w:t>[pers. A]</w:t>
      </w:r>
      <w:r w:rsidRPr="00F94E7B">
        <w:rPr>
          <w:rFonts w:asciiTheme="majorBidi" w:hAnsiTheme="majorBidi" w:cstheme="majorBidi"/>
          <w:szCs w:val="24"/>
        </w:rPr>
        <w:t xml:space="preserve"> darbību un motivāciju. Tiesa nepamatoti bez jebkādas pierādījumu bāzes norādījusi uz noziedzīga nodarījuma izdarīšanu, nevērtējot citus pierādījumus un lietas materiālus to kopībā un savstarpējā saistībā.</w:t>
      </w:r>
    </w:p>
    <w:p w14:paraId="2D17EF92"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Ņemot vērā to, ka kasācijas sūdzības iemesls esot Krimināllikuma pārkāpums vai Kriminālprocesa likuma būtisks pārkāpums un esot saistīts ar lietā minēto materiālo un procesuālo normu pārkāpumiem, kuriem esot īpaša nozīme likuma normu interpretēšanā jautājumā, kas saistīts ar noziedzīgā nodarījuma kvalifikāciju, soda noteikšanu, taisnīgu un objektīvu pierādīšanas procesu, par šo kasācijas sūdzību kasācijas sūdzības iesniedzējs izsaka gatavību sniegt papildu paskaidrojumus.</w:t>
      </w:r>
    </w:p>
    <w:p w14:paraId="0A4E73F5" w14:textId="5D862399"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Augstākās tiesas Senāta Krimināllietu departaments uzskata, ka iespējams pieņemt lēmumu pēc lietā esošajiem materiāliem, papildu paskaidrojumi no personām, kurām ir tiesības piedalīties procesā, nav nepieciešami, apsūdzētā </w:t>
      </w:r>
      <w:r>
        <w:rPr>
          <w:rFonts w:asciiTheme="majorBidi" w:hAnsiTheme="majorBidi" w:cstheme="majorBidi"/>
          <w:szCs w:val="24"/>
        </w:rPr>
        <w:t>[pers. A]</w:t>
      </w:r>
      <w:r w:rsidRPr="00F94E7B">
        <w:rPr>
          <w:rFonts w:asciiTheme="majorBidi" w:hAnsiTheme="majorBidi" w:cstheme="majorBidi"/>
          <w:szCs w:val="24"/>
        </w:rPr>
        <w:t xml:space="preserve"> aizstāvis zvērināts advokāts S. </w:t>
      </w:r>
      <w:proofErr w:type="spellStart"/>
      <w:r w:rsidRPr="00F94E7B">
        <w:rPr>
          <w:rFonts w:asciiTheme="majorBidi" w:hAnsiTheme="majorBidi" w:cstheme="majorBidi"/>
          <w:szCs w:val="24"/>
        </w:rPr>
        <w:t>Vārpiņš</w:t>
      </w:r>
      <w:proofErr w:type="spellEnd"/>
      <w:r w:rsidRPr="00F94E7B">
        <w:rPr>
          <w:rFonts w:asciiTheme="majorBidi" w:hAnsiTheme="majorBidi" w:cstheme="majorBidi"/>
          <w:szCs w:val="24"/>
        </w:rPr>
        <w:t xml:space="preserve"> plaši ir izteicis savu viedokli un domas kasācijas sūdzībā, īpaša nozīme likuma normu interpretēšanā šajā lietā nav saskatāma. </w:t>
      </w:r>
    </w:p>
    <w:p w14:paraId="7EC34628" w14:textId="5D35BFB8"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Kasācijas instances tiesa atzīst, ka apelācijas instances tiesas lēmums jāatstāj negrozīts, bet apsūdzētā </w:t>
      </w:r>
      <w:r>
        <w:rPr>
          <w:rFonts w:asciiTheme="majorBidi" w:hAnsiTheme="majorBidi" w:cstheme="majorBidi"/>
          <w:szCs w:val="24"/>
        </w:rPr>
        <w:t>[pers. A]</w:t>
      </w:r>
      <w:r w:rsidRPr="00F94E7B">
        <w:rPr>
          <w:rFonts w:asciiTheme="majorBidi" w:hAnsiTheme="majorBidi" w:cstheme="majorBidi"/>
          <w:szCs w:val="24"/>
        </w:rPr>
        <w:t xml:space="preserve"> aizstāvja zvērināta advokāta S. Vārpiņa kasācijas sūdzība jānoraida.</w:t>
      </w:r>
    </w:p>
    <w:p w14:paraId="246769AA" w14:textId="599DE104"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Kasācijas sūdzībā aizstāvis paplašināti atkārtojis apsūdzētā </w:t>
      </w:r>
      <w:r>
        <w:rPr>
          <w:rFonts w:asciiTheme="majorBidi" w:hAnsiTheme="majorBidi" w:cstheme="majorBidi"/>
          <w:szCs w:val="24"/>
        </w:rPr>
        <w:t>[pers. A]</w:t>
      </w:r>
      <w:r w:rsidRPr="00F94E7B">
        <w:rPr>
          <w:rFonts w:asciiTheme="majorBidi" w:hAnsiTheme="majorBidi" w:cstheme="majorBidi"/>
          <w:szCs w:val="24"/>
        </w:rPr>
        <w:t xml:space="preserve"> un viņa aizstāvja apelācijas sūdzību motīvus, kas izskatīti apelācijas instances tiesā.</w:t>
      </w:r>
    </w:p>
    <w:p w14:paraId="2E4D5F6C" w14:textId="48EAAC43"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Apelācijas instances tiesa ir noskaidrojusi juridiski nozīmīgos lietas apstāk</w:t>
      </w:r>
      <w:r w:rsidR="004A3AC6">
        <w:rPr>
          <w:rFonts w:asciiTheme="majorBidi" w:hAnsiTheme="majorBidi" w:cstheme="majorBidi"/>
          <w:szCs w:val="24"/>
        </w:rPr>
        <w:t>ļ</w:t>
      </w:r>
      <w:r w:rsidRPr="00F94E7B">
        <w:rPr>
          <w:rFonts w:asciiTheme="majorBidi" w:hAnsiTheme="majorBidi" w:cstheme="majorBidi"/>
          <w:szCs w:val="24"/>
        </w:rPr>
        <w:t xml:space="preserve">us, konstatējusi Krimināllikuma 183.panta otrajā daļā paredzētā noziedzīgā nodarījuma sastāva objektīvās un subjektīvās pazīmes apsūdzētā </w:t>
      </w:r>
      <w:r>
        <w:rPr>
          <w:rFonts w:asciiTheme="majorBidi" w:hAnsiTheme="majorBidi" w:cstheme="majorBidi"/>
          <w:szCs w:val="24"/>
        </w:rPr>
        <w:t>[pers. A]</w:t>
      </w:r>
      <w:r w:rsidRPr="00F94E7B">
        <w:rPr>
          <w:rFonts w:asciiTheme="majorBidi" w:hAnsiTheme="majorBidi" w:cstheme="majorBidi"/>
          <w:szCs w:val="24"/>
        </w:rPr>
        <w:t xml:space="preserve"> rīcībā. Krimināllikuma 183.panta otrajā daļā kā izspiešanas kvalificējoša pazīme, kas inkriminēta apsūdzētajam </w:t>
      </w:r>
      <w:r>
        <w:rPr>
          <w:rFonts w:asciiTheme="majorBidi" w:hAnsiTheme="majorBidi" w:cstheme="majorBidi"/>
          <w:szCs w:val="24"/>
        </w:rPr>
        <w:lastRenderedPageBreak/>
        <w:t>[pers. A]</w:t>
      </w:r>
      <w:r w:rsidRPr="00F94E7B">
        <w:rPr>
          <w:rFonts w:asciiTheme="majorBidi" w:hAnsiTheme="majorBidi" w:cstheme="majorBidi"/>
          <w:szCs w:val="24"/>
        </w:rPr>
        <w:t>, ir vardarbības lietošana, nevis vardarbības pielietošana, ko kasācijas sūdzībā plaši iztirzā aizstāvis.</w:t>
      </w:r>
    </w:p>
    <w:p w14:paraId="695282B5"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Saskaņā ar Kriminālprocesa likuma 569.panta trešo daļu kasācijas instances tiesa pierādījumus lietā no jauna neizvērtē. Pierādījumu vērtēšana sevī ietver pierādījumu attiecināmību, pieļaujamību, ticamību, pietiekamību. Pierādījumu vērtēšana balstās uz tiesnešu iekšējo pārliecību, kas formālā motivācijā ne vienmēr ir ietverama. Kriminālprocesa likums izvirza atsevišķas prasības pierādījumu vērtēšanā. Kasācijas instances tiesas kompetencē ir pārbaudīt, vai apelācijas instances tiesa ir vērtējusi pierādījumus un vai vērtējums atbilst likumā izvirzītajām prasībām.</w:t>
      </w:r>
    </w:p>
    <w:p w14:paraId="1D6D36BE"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Augstākās tiesas Senāta Krimināllietu departaments konstatē, ka apelācijas instances tiesa ir novērtējusi lietā iegūtos un pārbaudītos pierādījumus un nav pārkāpusi Kriminālprocesa likumā izvirzītās prasības pierādījumu vērtēšanā.</w:t>
      </w:r>
    </w:p>
    <w:p w14:paraId="01D9DA77"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Kasācijas kārtībā nav pārbaudāmi kasācijas sūdzības iesniedzēja prātojumi par citādu lietas apstākļu novērtējumu, nekā to ir izdarījusi apelācijas instances tiesa. Aizstāvja kasācijas sūdzībā ietverti vispārīgi apcerējumi par pierādījumiem, to ticamību, pietiekamību, kas neattiecas uz konkrēto lietu.</w:t>
      </w:r>
    </w:p>
    <w:p w14:paraId="2BA1024B" w14:textId="157E1471" w:rsidR="00F94E7B" w:rsidRPr="00F94E7B" w:rsidRDefault="00F94E7B" w:rsidP="00FA6C8A">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Apsūdzētajam </w:t>
      </w:r>
      <w:r>
        <w:rPr>
          <w:rFonts w:asciiTheme="majorBidi" w:hAnsiTheme="majorBidi" w:cstheme="majorBidi"/>
          <w:szCs w:val="24"/>
        </w:rPr>
        <w:t>[pers. A]</w:t>
      </w:r>
      <w:r w:rsidRPr="00F94E7B">
        <w:rPr>
          <w:rFonts w:asciiTheme="majorBidi" w:hAnsiTheme="majorBidi" w:cstheme="majorBidi"/>
          <w:szCs w:val="24"/>
        </w:rPr>
        <w:t xml:space="preserve"> sods noteikts atbilstoši Krimināllikuma</w:t>
      </w:r>
      <w:r w:rsidR="004A3AC6">
        <w:rPr>
          <w:rFonts w:asciiTheme="majorBidi" w:hAnsiTheme="majorBidi" w:cstheme="majorBidi"/>
          <w:szCs w:val="24"/>
        </w:rPr>
        <w:t xml:space="preserve"> </w:t>
      </w:r>
      <w:r w:rsidR="00FA6C8A">
        <w:rPr>
          <w:rFonts w:asciiTheme="majorBidi" w:hAnsiTheme="majorBidi" w:cstheme="majorBidi"/>
          <w:szCs w:val="24"/>
        </w:rPr>
        <w:t>46.panta prasībām</w:t>
      </w:r>
      <w:r w:rsidRPr="00F94E7B">
        <w:rPr>
          <w:rFonts w:asciiTheme="majorBidi" w:hAnsiTheme="majorBidi" w:cstheme="majorBidi"/>
          <w:szCs w:val="24"/>
        </w:rPr>
        <w:t>. Atzīt tādus apstākļus, kas nav minēti Krimināllikuma</w:t>
      </w:r>
      <w:r w:rsidR="004A3AC6">
        <w:rPr>
          <w:rFonts w:asciiTheme="majorBidi" w:hAnsiTheme="majorBidi" w:cstheme="majorBidi"/>
          <w:szCs w:val="24"/>
        </w:rPr>
        <w:t xml:space="preserve"> </w:t>
      </w:r>
      <w:r w:rsidRPr="00F94E7B">
        <w:rPr>
          <w:rFonts w:asciiTheme="majorBidi" w:hAnsiTheme="majorBidi" w:cstheme="majorBidi"/>
          <w:szCs w:val="24"/>
        </w:rPr>
        <w:t>47.</w:t>
      </w:r>
      <w:r w:rsidRPr="00F94E7B">
        <w:rPr>
          <w:rFonts w:asciiTheme="majorBidi" w:hAnsiTheme="majorBidi" w:cstheme="majorBidi"/>
          <w:szCs w:val="24"/>
        </w:rPr>
        <w:tab/>
        <w:t>panta pirmajā daļā, par atbildību apstākļiem ir tiesas tiesības, nevis pienākums. Atsauces kasācijas sūdzībā uz Augstākās tiesas Senāta Krimināllietu departamenta lēmumiem citās lietās neattiecas uz izskatāmo lietu. Pie tam aizstāvis jauc jēdzienu „noziedzīga nodarījuma kvalificējošas pazīmes” ar „atbildību pastiprinošiem apstākļiem”.</w:t>
      </w:r>
    </w:p>
    <w:p w14:paraId="5AE1CB17" w14:textId="2DC9AA41"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Apelācijas instances tiesas lēmums atbilst Kriminālprocesa </w:t>
      </w:r>
      <w:r w:rsidR="004A3AC6">
        <w:rPr>
          <w:rFonts w:asciiTheme="majorBidi" w:hAnsiTheme="majorBidi" w:cstheme="majorBidi"/>
          <w:szCs w:val="24"/>
        </w:rPr>
        <w:t>l</w:t>
      </w:r>
      <w:r w:rsidRPr="00F94E7B">
        <w:rPr>
          <w:rFonts w:asciiTheme="majorBidi" w:hAnsiTheme="majorBidi" w:cstheme="majorBidi"/>
          <w:szCs w:val="24"/>
        </w:rPr>
        <w:t>ikuma 511., 512., 563., 564.pantam.</w:t>
      </w:r>
    </w:p>
    <w:p w14:paraId="23391503" w14:textId="7777777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 xml:space="preserve">Līdz ar to kasācijas sūdzībā norādīti neesoši likuma pārkāpumi un pārkāpumi, kas neatbilst Kriminālprocesa likuma 574., 575.pantu prasībām. </w:t>
      </w:r>
    </w:p>
    <w:p w14:paraId="5FE7DDE5" w14:textId="77777777" w:rsid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Vadoties pēc Kriminālprocesā likuma 585., 587.panta, Augstākās tiesas Senāta Krimināllietu departaments</w:t>
      </w:r>
    </w:p>
    <w:p w14:paraId="74B015B0" w14:textId="77777777" w:rsidR="004A3AC6" w:rsidRPr="00F94E7B" w:rsidRDefault="004A3AC6" w:rsidP="00F94E7B">
      <w:pPr>
        <w:spacing w:after="0" w:line="276" w:lineRule="auto"/>
        <w:ind w:firstLine="720"/>
        <w:jc w:val="both"/>
        <w:rPr>
          <w:rFonts w:asciiTheme="majorBidi" w:hAnsiTheme="majorBidi" w:cstheme="majorBidi"/>
          <w:szCs w:val="24"/>
        </w:rPr>
      </w:pPr>
    </w:p>
    <w:p w14:paraId="5D3870CF" w14:textId="35CD9A58" w:rsidR="00F94E7B" w:rsidRPr="004A3AC6" w:rsidRDefault="004A3AC6" w:rsidP="004A3AC6">
      <w:pPr>
        <w:spacing w:after="0" w:line="276" w:lineRule="auto"/>
        <w:ind w:firstLine="720"/>
        <w:jc w:val="center"/>
        <w:rPr>
          <w:rFonts w:asciiTheme="majorBidi" w:hAnsiTheme="majorBidi" w:cstheme="majorBidi"/>
          <w:b/>
          <w:bCs/>
          <w:spacing w:val="40"/>
          <w:szCs w:val="24"/>
        </w:rPr>
      </w:pPr>
      <w:r w:rsidRPr="004A3AC6">
        <w:rPr>
          <w:rFonts w:asciiTheme="majorBidi" w:hAnsiTheme="majorBidi" w:cstheme="majorBidi"/>
          <w:b/>
          <w:bCs/>
          <w:spacing w:val="40"/>
          <w:szCs w:val="24"/>
        </w:rPr>
        <w:t>n</w:t>
      </w:r>
      <w:r w:rsidR="00F94E7B" w:rsidRPr="004A3AC6">
        <w:rPr>
          <w:rFonts w:asciiTheme="majorBidi" w:hAnsiTheme="majorBidi" w:cstheme="majorBidi"/>
          <w:b/>
          <w:bCs/>
          <w:spacing w:val="40"/>
          <w:szCs w:val="24"/>
        </w:rPr>
        <w:t>olēma</w:t>
      </w:r>
    </w:p>
    <w:p w14:paraId="1525E4A9" w14:textId="77777777" w:rsidR="004A3AC6" w:rsidRPr="00F94E7B" w:rsidRDefault="004A3AC6" w:rsidP="00F94E7B">
      <w:pPr>
        <w:spacing w:after="0" w:line="276" w:lineRule="auto"/>
        <w:ind w:firstLine="720"/>
        <w:jc w:val="both"/>
        <w:rPr>
          <w:rFonts w:asciiTheme="majorBidi" w:hAnsiTheme="majorBidi" w:cstheme="majorBidi"/>
          <w:szCs w:val="24"/>
        </w:rPr>
      </w:pPr>
    </w:p>
    <w:p w14:paraId="594C8E23" w14:textId="3E621987" w:rsidR="00F94E7B"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Augstākās tiesas Krimināllietu tiesu palātas 2006.gada 6.apr</w:t>
      </w:r>
      <w:r w:rsidR="004A3AC6">
        <w:rPr>
          <w:rFonts w:asciiTheme="majorBidi" w:hAnsiTheme="majorBidi" w:cstheme="majorBidi"/>
          <w:szCs w:val="24"/>
        </w:rPr>
        <w:t>ī</w:t>
      </w:r>
      <w:r w:rsidRPr="00F94E7B">
        <w:rPr>
          <w:rFonts w:asciiTheme="majorBidi" w:hAnsiTheme="majorBidi" w:cstheme="majorBidi"/>
          <w:szCs w:val="24"/>
        </w:rPr>
        <w:t xml:space="preserve">ļa lēmumu atstāt negrozītu, bet apsūdzētā </w:t>
      </w:r>
      <w:r>
        <w:rPr>
          <w:rFonts w:asciiTheme="majorBidi" w:hAnsiTheme="majorBidi" w:cstheme="majorBidi"/>
          <w:szCs w:val="24"/>
        </w:rPr>
        <w:t>[pers. A]</w:t>
      </w:r>
      <w:r w:rsidRPr="00F94E7B">
        <w:rPr>
          <w:rFonts w:asciiTheme="majorBidi" w:hAnsiTheme="majorBidi" w:cstheme="majorBidi"/>
          <w:szCs w:val="24"/>
        </w:rPr>
        <w:t xml:space="preserve"> aizstāvja zvērināta advokāta </w:t>
      </w:r>
      <w:proofErr w:type="spellStart"/>
      <w:r w:rsidRPr="00F94E7B">
        <w:rPr>
          <w:rFonts w:asciiTheme="majorBidi" w:hAnsiTheme="majorBidi" w:cstheme="majorBidi"/>
          <w:szCs w:val="24"/>
        </w:rPr>
        <w:t>S.Vārpiņa</w:t>
      </w:r>
      <w:proofErr w:type="spellEnd"/>
      <w:r w:rsidRPr="00F94E7B">
        <w:rPr>
          <w:rFonts w:asciiTheme="majorBidi" w:hAnsiTheme="majorBidi" w:cstheme="majorBidi"/>
          <w:szCs w:val="24"/>
        </w:rPr>
        <w:t xml:space="preserve"> kasācijas sūdzību noraidīt.</w:t>
      </w:r>
    </w:p>
    <w:p w14:paraId="5E9255F8" w14:textId="68F5C5DB" w:rsidR="009323D8" w:rsidRPr="00F94E7B" w:rsidRDefault="00F94E7B" w:rsidP="00F94E7B">
      <w:pPr>
        <w:spacing w:after="0" w:line="276" w:lineRule="auto"/>
        <w:ind w:firstLine="720"/>
        <w:jc w:val="both"/>
        <w:rPr>
          <w:rFonts w:asciiTheme="majorBidi" w:hAnsiTheme="majorBidi" w:cstheme="majorBidi"/>
          <w:szCs w:val="24"/>
        </w:rPr>
      </w:pPr>
      <w:r w:rsidRPr="00F94E7B">
        <w:rPr>
          <w:rFonts w:asciiTheme="majorBidi" w:hAnsiTheme="majorBidi" w:cstheme="majorBidi"/>
          <w:szCs w:val="24"/>
        </w:rPr>
        <w:t>Lēmums nav pārsūdzams.</w:t>
      </w:r>
    </w:p>
    <w:sectPr w:rsidR="009323D8" w:rsidRPr="00F94E7B" w:rsidSect="00F94E7B">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AEC59" w14:textId="77777777" w:rsidR="00D058FA" w:rsidRDefault="00D058FA" w:rsidP="004A3AC6">
      <w:pPr>
        <w:spacing w:after="0" w:line="240" w:lineRule="auto"/>
      </w:pPr>
      <w:r>
        <w:separator/>
      </w:r>
    </w:p>
  </w:endnote>
  <w:endnote w:type="continuationSeparator" w:id="0">
    <w:p w14:paraId="3864BAEC" w14:textId="77777777" w:rsidR="00D058FA" w:rsidRDefault="00D058FA" w:rsidP="004A3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587814"/>
      <w:docPartObj>
        <w:docPartGallery w:val="Page Numbers (Bottom of Page)"/>
        <w:docPartUnique/>
      </w:docPartObj>
    </w:sdtPr>
    <w:sdtEndPr/>
    <w:sdtContent>
      <w:sdt>
        <w:sdtPr>
          <w:id w:val="1728636285"/>
          <w:docPartObj>
            <w:docPartGallery w:val="Page Numbers (Top of Page)"/>
            <w:docPartUnique/>
          </w:docPartObj>
        </w:sdtPr>
        <w:sdtEndPr/>
        <w:sdtContent>
          <w:p w14:paraId="2C329503" w14:textId="1A4AEB95" w:rsidR="004A3AC6" w:rsidRDefault="004A3AC6">
            <w:pPr>
              <w:pStyle w:val="Footer"/>
              <w:jc w:val="center"/>
            </w:pPr>
            <w:r>
              <w:t xml:space="preserv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no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17B29E13" w14:textId="77777777" w:rsidR="004A3AC6" w:rsidRDefault="004A3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6F46" w14:textId="77777777" w:rsidR="00D058FA" w:rsidRDefault="00D058FA" w:rsidP="004A3AC6">
      <w:pPr>
        <w:spacing w:after="0" w:line="240" w:lineRule="auto"/>
      </w:pPr>
      <w:r>
        <w:separator/>
      </w:r>
    </w:p>
  </w:footnote>
  <w:footnote w:type="continuationSeparator" w:id="0">
    <w:p w14:paraId="627E301D" w14:textId="77777777" w:rsidR="00D058FA" w:rsidRDefault="00D058FA" w:rsidP="004A3AC6">
      <w:pPr>
        <w:spacing w:after="0" w:line="240" w:lineRule="auto"/>
      </w:pPr>
      <w:r>
        <w:continuationSeparator/>
      </w:r>
    </w:p>
  </w:footnote>
  <w:footnote w:id="1">
    <w:p w14:paraId="20EB3C1C" w14:textId="0483D5C5" w:rsidR="004A3AC6" w:rsidRPr="00C472BB" w:rsidRDefault="004A3AC6" w:rsidP="004A3AC6">
      <w:pPr>
        <w:pStyle w:val="FootnoteText"/>
        <w:jc w:val="both"/>
        <w:rPr>
          <w:rFonts w:asciiTheme="majorBidi" w:hAnsiTheme="majorBidi" w:cstheme="majorBidi"/>
          <w:highlight w:val="yellow"/>
        </w:rPr>
      </w:pPr>
      <w:r w:rsidRPr="00C472BB">
        <w:rPr>
          <w:rStyle w:val="FootnoteReference"/>
          <w:rFonts w:asciiTheme="majorBidi" w:hAnsiTheme="majorBidi" w:cstheme="majorBidi"/>
        </w:rPr>
        <w:footnoteRef/>
      </w:r>
      <w:proofErr w:type="spellStart"/>
      <w:r w:rsidRPr="00C472BB">
        <w:rPr>
          <w:rFonts w:asciiTheme="majorBidi" w:hAnsiTheme="majorBidi" w:cstheme="majorBidi"/>
          <w:lang w:val="en-US"/>
        </w:rPr>
        <w:t>Judikatūras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arhīva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papildināšanai</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izmantota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lēmuma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publikācija</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gadagrāmatā</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Latvijas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Republikas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Augstākās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tiesas</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Krimināllietu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departamenta</w:t>
      </w:r>
      <w:proofErr w:type="spellEnd"/>
      <w:r w:rsidRPr="00C472BB">
        <w:rPr>
          <w:rFonts w:asciiTheme="majorBidi" w:hAnsiTheme="majorBidi" w:cstheme="majorBidi"/>
          <w:lang w:val="en-US"/>
        </w:rPr>
        <w:t xml:space="preserve"> lēmumi 200</w:t>
      </w:r>
      <w:r>
        <w:rPr>
          <w:rFonts w:asciiTheme="majorBidi" w:hAnsiTheme="majorBidi" w:cstheme="majorBidi"/>
          <w:lang w:val="en-US"/>
        </w:rPr>
        <w:t>6</w:t>
      </w:r>
      <w:r w:rsidRPr="00C472BB">
        <w:rPr>
          <w:rFonts w:asciiTheme="majorBidi" w:hAnsiTheme="majorBidi" w:cstheme="majorBidi"/>
          <w:lang w:val="en-US"/>
        </w:rPr>
        <w:t xml:space="preserve">”, </w:t>
      </w:r>
      <w:r>
        <w:rPr>
          <w:rFonts w:asciiTheme="majorBidi" w:hAnsiTheme="majorBidi" w:cstheme="majorBidi"/>
          <w:lang w:val="en-US"/>
        </w:rPr>
        <w:t>80</w:t>
      </w:r>
      <w:r w:rsidRPr="00C472BB">
        <w:rPr>
          <w:rFonts w:asciiTheme="majorBidi" w:hAnsiTheme="majorBidi" w:cstheme="majorBidi"/>
          <w:lang w:val="en-US"/>
        </w:rPr>
        <w:t>.-</w:t>
      </w:r>
      <w:r>
        <w:rPr>
          <w:rFonts w:asciiTheme="majorBidi" w:hAnsiTheme="majorBidi" w:cstheme="majorBidi"/>
          <w:lang w:val="en-US"/>
        </w:rPr>
        <w:t>88</w:t>
      </w:r>
      <w:r w:rsidRPr="00C472BB">
        <w:rPr>
          <w:rFonts w:asciiTheme="majorBidi" w:hAnsiTheme="majorBidi" w:cstheme="majorBidi"/>
          <w:lang w:val="en-US"/>
        </w:rPr>
        <w:t>.lpp.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7B"/>
    <w:rsid w:val="001343BA"/>
    <w:rsid w:val="00152D01"/>
    <w:rsid w:val="0041601B"/>
    <w:rsid w:val="004A3AC6"/>
    <w:rsid w:val="00684A18"/>
    <w:rsid w:val="007C14D3"/>
    <w:rsid w:val="00884A10"/>
    <w:rsid w:val="00895CD9"/>
    <w:rsid w:val="009323D8"/>
    <w:rsid w:val="00C475AA"/>
    <w:rsid w:val="00CB6FE0"/>
    <w:rsid w:val="00D058FA"/>
    <w:rsid w:val="00F2472C"/>
    <w:rsid w:val="00F34234"/>
    <w:rsid w:val="00F94E7B"/>
    <w:rsid w:val="00FA6C8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CF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E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4E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4E7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4E7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4E7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94E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94E7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94E7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94E7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E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4E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4E7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4E7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94E7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94E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4E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4E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4E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4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E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E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E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4E7B"/>
    <w:pPr>
      <w:spacing w:before="160"/>
      <w:jc w:val="center"/>
    </w:pPr>
    <w:rPr>
      <w:i/>
      <w:iCs/>
      <w:color w:val="404040" w:themeColor="text1" w:themeTint="BF"/>
    </w:rPr>
  </w:style>
  <w:style w:type="character" w:customStyle="1" w:styleId="QuoteChar">
    <w:name w:val="Quote Char"/>
    <w:basedOn w:val="DefaultParagraphFont"/>
    <w:link w:val="Quote"/>
    <w:uiPriority w:val="29"/>
    <w:rsid w:val="00F94E7B"/>
    <w:rPr>
      <w:i/>
      <w:iCs/>
      <w:color w:val="404040" w:themeColor="text1" w:themeTint="BF"/>
    </w:rPr>
  </w:style>
  <w:style w:type="paragraph" w:styleId="ListParagraph">
    <w:name w:val="List Paragraph"/>
    <w:basedOn w:val="Normal"/>
    <w:uiPriority w:val="34"/>
    <w:qFormat/>
    <w:rsid w:val="00F94E7B"/>
    <w:pPr>
      <w:ind w:left="720"/>
      <w:contextualSpacing/>
    </w:pPr>
  </w:style>
  <w:style w:type="character" w:styleId="IntenseEmphasis">
    <w:name w:val="Intense Emphasis"/>
    <w:basedOn w:val="DefaultParagraphFont"/>
    <w:uiPriority w:val="21"/>
    <w:qFormat/>
    <w:rsid w:val="00F94E7B"/>
    <w:rPr>
      <w:i/>
      <w:iCs/>
      <w:color w:val="2F5496" w:themeColor="accent1" w:themeShade="BF"/>
    </w:rPr>
  </w:style>
  <w:style w:type="paragraph" w:styleId="IntenseQuote">
    <w:name w:val="Intense Quote"/>
    <w:basedOn w:val="Normal"/>
    <w:next w:val="Normal"/>
    <w:link w:val="IntenseQuoteChar"/>
    <w:uiPriority w:val="30"/>
    <w:qFormat/>
    <w:rsid w:val="00F94E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4E7B"/>
    <w:rPr>
      <w:i/>
      <w:iCs/>
      <w:color w:val="2F5496" w:themeColor="accent1" w:themeShade="BF"/>
    </w:rPr>
  </w:style>
  <w:style w:type="character" w:styleId="IntenseReference">
    <w:name w:val="Intense Reference"/>
    <w:basedOn w:val="DefaultParagraphFont"/>
    <w:uiPriority w:val="32"/>
    <w:qFormat/>
    <w:rsid w:val="00F94E7B"/>
    <w:rPr>
      <w:b/>
      <w:bCs/>
      <w:smallCaps/>
      <w:color w:val="2F5496" w:themeColor="accent1" w:themeShade="BF"/>
      <w:spacing w:val="5"/>
    </w:rPr>
  </w:style>
  <w:style w:type="paragraph" w:styleId="Header">
    <w:name w:val="header"/>
    <w:basedOn w:val="Normal"/>
    <w:link w:val="HeaderChar"/>
    <w:uiPriority w:val="99"/>
    <w:unhideWhenUsed/>
    <w:rsid w:val="004A3A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AC6"/>
  </w:style>
  <w:style w:type="paragraph" w:styleId="Footer">
    <w:name w:val="footer"/>
    <w:basedOn w:val="Normal"/>
    <w:link w:val="FooterChar"/>
    <w:uiPriority w:val="99"/>
    <w:unhideWhenUsed/>
    <w:rsid w:val="004A3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AC6"/>
  </w:style>
  <w:style w:type="paragraph" w:styleId="FootnoteText">
    <w:name w:val="footnote text"/>
    <w:basedOn w:val="Normal"/>
    <w:link w:val="FootnoteTextChar"/>
    <w:uiPriority w:val="99"/>
    <w:semiHidden/>
    <w:unhideWhenUsed/>
    <w:rsid w:val="004A3AC6"/>
    <w:pPr>
      <w:widowControl w:val="0"/>
      <w:spacing w:after="0" w:line="240" w:lineRule="auto"/>
    </w:pPr>
    <w:rPr>
      <w:rFonts w:ascii="Microsoft Sans Serif" w:eastAsia="Microsoft Sans Serif" w:hAnsi="Microsoft Sans Serif" w:cs="Microsoft Sans Serif"/>
      <w:color w:val="000000"/>
      <w:kern w:val="0"/>
      <w:sz w:val="20"/>
      <w:szCs w:val="20"/>
      <w:lang w:eastAsia="lv-LV" w:bidi="lv-LV"/>
      <w14:ligatures w14:val="none"/>
    </w:rPr>
  </w:style>
  <w:style w:type="character" w:customStyle="1" w:styleId="FootnoteTextChar">
    <w:name w:val="Footnote Text Char"/>
    <w:basedOn w:val="DefaultParagraphFont"/>
    <w:link w:val="FootnoteText"/>
    <w:uiPriority w:val="99"/>
    <w:semiHidden/>
    <w:rsid w:val="004A3AC6"/>
    <w:rPr>
      <w:rFonts w:ascii="Microsoft Sans Serif" w:eastAsia="Microsoft Sans Serif" w:hAnsi="Microsoft Sans Serif" w:cs="Microsoft Sans Serif"/>
      <w:color w:val="000000"/>
      <w:kern w:val="0"/>
      <w:sz w:val="20"/>
      <w:szCs w:val="20"/>
      <w:lang w:eastAsia="lv-LV" w:bidi="lv-LV"/>
      <w14:ligatures w14:val="none"/>
    </w:rPr>
  </w:style>
  <w:style w:type="character" w:styleId="FootnoteReference">
    <w:name w:val="footnote reference"/>
    <w:basedOn w:val="DefaultParagraphFont"/>
    <w:uiPriority w:val="99"/>
    <w:semiHidden/>
    <w:unhideWhenUsed/>
    <w:rsid w:val="004A3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13601</Words>
  <Characters>7754</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2026-08-12T13:34:00Z</dcterms:created>
  <dcterms:modified xsi:type="dcterms:W3CDTF">2026-08-12T13:34:00Z</dcterms:modified>
</cp:coreProperties>
</file>