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8E2D5" w14:textId="77777777" w:rsidR="00B247B3" w:rsidRPr="00B247B3" w:rsidRDefault="00B247B3" w:rsidP="00B247B3">
      <w:pPr>
        <w:pStyle w:val="ListParagraph"/>
        <w:spacing w:after="0" w:line="276" w:lineRule="auto"/>
        <w:ind w:left="0"/>
        <w:jc w:val="both"/>
        <w:rPr>
          <w:rFonts w:asciiTheme="majorBidi" w:hAnsiTheme="majorBidi" w:cstheme="majorBidi"/>
          <w:b/>
          <w:bCs/>
          <w:szCs w:val="24"/>
          <w:lang w:val="lv-LV"/>
        </w:rPr>
      </w:pPr>
      <w:r w:rsidRPr="00B247B3">
        <w:rPr>
          <w:rFonts w:asciiTheme="majorBidi" w:hAnsiTheme="majorBidi" w:cstheme="majorBidi"/>
          <w:b/>
          <w:bCs/>
          <w:szCs w:val="24"/>
          <w:lang w:val="lv-LV"/>
        </w:rPr>
        <w:t>Paziņošanas par ierašanās laiku ieslodzījuma vietā vērtēšana, saucot personu pie kriminālatbildības par izvairīšanos no īslaicīga brīvības atņemšanas soda izciešanas (Krimināllikuma 312. panta otrā daļa)</w:t>
      </w:r>
    </w:p>
    <w:p w14:paraId="20D2C213" w14:textId="77777777" w:rsidR="00B247B3" w:rsidRPr="00DB26F5" w:rsidRDefault="00B247B3" w:rsidP="00B247B3">
      <w:pPr>
        <w:spacing w:after="0" w:line="276" w:lineRule="auto"/>
        <w:jc w:val="both"/>
        <w:rPr>
          <w:rFonts w:asciiTheme="majorBidi" w:hAnsiTheme="majorBidi" w:cstheme="majorBidi"/>
        </w:rPr>
      </w:pPr>
      <w:r w:rsidRPr="00DB26F5">
        <w:rPr>
          <w:rFonts w:asciiTheme="majorBidi" w:hAnsiTheme="majorBidi" w:cstheme="majorBidi"/>
        </w:rPr>
        <w:t>Latvijas Sodu izpildes kodeksa 15.</w:t>
      </w:r>
      <w:r>
        <w:rPr>
          <w:rFonts w:asciiTheme="majorBidi" w:hAnsiTheme="majorBidi" w:cstheme="majorBidi"/>
        </w:rPr>
        <w:t> </w:t>
      </w:r>
      <w:r w:rsidRPr="00DB26F5">
        <w:rPr>
          <w:rFonts w:asciiTheme="majorBidi" w:hAnsiTheme="majorBidi" w:cstheme="majorBidi"/>
        </w:rPr>
        <w:t>panta otrajā daļā noteiktais termiņš nerada un neatceļ personas pienākumu uzsākt brīvības atņemšanas soda izciešanu, jo š</w:t>
      </w:r>
      <w:r>
        <w:rPr>
          <w:rFonts w:asciiTheme="majorBidi" w:hAnsiTheme="majorBidi" w:cstheme="majorBidi"/>
        </w:rPr>
        <w:t xml:space="preserve">o </w:t>
      </w:r>
      <w:r w:rsidRPr="00DB26F5">
        <w:rPr>
          <w:rFonts w:asciiTheme="majorBidi" w:hAnsiTheme="majorBidi" w:cstheme="majorBidi"/>
        </w:rPr>
        <w:t>pienākum</w:t>
      </w:r>
      <w:r>
        <w:rPr>
          <w:rFonts w:asciiTheme="majorBidi" w:hAnsiTheme="majorBidi" w:cstheme="majorBidi"/>
        </w:rPr>
        <w:t>u</w:t>
      </w:r>
      <w:r w:rsidRPr="00DB26F5">
        <w:rPr>
          <w:rFonts w:asciiTheme="majorBidi" w:hAnsiTheme="majorBidi" w:cstheme="majorBidi"/>
        </w:rPr>
        <w:t xml:space="preserve"> </w:t>
      </w:r>
      <w:r>
        <w:rPr>
          <w:rFonts w:asciiTheme="majorBidi" w:hAnsiTheme="majorBidi" w:cstheme="majorBidi"/>
        </w:rPr>
        <w:t>nosaka</w:t>
      </w:r>
      <w:r w:rsidRPr="00DB26F5">
        <w:rPr>
          <w:rFonts w:asciiTheme="majorBidi" w:hAnsiTheme="majorBidi" w:cstheme="majorBidi"/>
        </w:rPr>
        <w:t xml:space="preserve"> spēkā stāj</w:t>
      </w:r>
      <w:r>
        <w:rPr>
          <w:rFonts w:asciiTheme="majorBidi" w:hAnsiTheme="majorBidi" w:cstheme="majorBidi"/>
        </w:rPr>
        <w:t>ies</w:t>
      </w:r>
      <w:r w:rsidRPr="00DB26F5">
        <w:rPr>
          <w:rFonts w:asciiTheme="majorBidi" w:hAnsiTheme="majorBidi" w:cstheme="majorBidi"/>
        </w:rPr>
        <w:t xml:space="preserve"> tiesas nolēmum</w:t>
      </w:r>
      <w:r>
        <w:rPr>
          <w:rFonts w:asciiTheme="majorBidi" w:hAnsiTheme="majorBidi" w:cstheme="majorBidi"/>
        </w:rPr>
        <w:t>s</w:t>
      </w:r>
      <w:r w:rsidRPr="00DB26F5">
        <w:rPr>
          <w:rFonts w:asciiTheme="majorBidi" w:hAnsiTheme="majorBidi" w:cstheme="majorBidi"/>
        </w:rPr>
        <w:t>. Šā termiņa mērķis ir vienīgi informēt notiesāto par ierašanās laiku ieslodzījuma vietā un nodrošināt viņam saprātīgu laiku viņam uzliktā pienākuma izpildei.</w:t>
      </w:r>
    </w:p>
    <w:p w14:paraId="506C0B53" w14:textId="77777777" w:rsidR="00B247B3" w:rsidRPr="00DB26F5" w:rsidRDefault="00B247B3" w:rsidP="00B247B3">
      <w:pPr>
        <w:spacing w:after="0" w:line="276" w:lineRule="auto"/>
        <w:jc w:val="both"/>
        <w:rPr>
          <w:rFonts w:asciiTheme="majorBidi" w:hAnsiTheme="majorBidi" w:cstheme="majorBidi"/>
        </w:rPr>
      </w:pPr>
      <w:r w:rsidRPr="00DB26F5">
        <w:rPr>
          <w:rFonts w:asciiTheme="majorBidi" w:hAnsiTheme="majorBidi" w:cstheme="majorBidi"/>
        </w:rPr>
        <w:t>Iestādes noteikts īsāks termiņš, vērtējot kriminālatbildību par pienākuma neizpildīšanu, ir nozīmīgs tikai tiktāl, ciktāl tas konkrētajā lietā varēja ietekmēt reālu iespēju izpildīt pienākumu. Izšķiroši ir tas, vai apsūdzētais paziņojumu faktiski saņēma un bija informēts par pienākumu ierasties soda izciešanai, vai viņam bija reāla iespēja šo pienākumu izpildīt paziņojumā noteiktajā datumā un vai viņš to apzināti neizpildīja. Proti, šī termiņa neievērošanas gadījumā nozīme ir tam, vai notiesātajam tika liegta reāla iespēja izpildīt pienākumu uzsākt brīvības atņemšanas soda izciešanu paziņojumā norādītajā datumā.</w:t>
      </w:r>
    </w:p>
    <w:p w14:paraId="43EE5D65" w14:textId="77777777" w:rsidR="000346A9" w:rsidRDefault="000346A9" w:rsidP="000346A9">
      <w:pPr>
        <w:widowControl w:val="0"/>
        <w:spacing w:after="0" w:line="276" w:lineRule="auto"/>
        <w:jc w:val="right"/>
      </w:pPr>
    </w:p>
    <w:p w14:paraId="731C738C" w14:textId="2354DE78" w:rsidR="000346A9" w:rsidRPr="00C84416" w:rsidRDefault="000346A9" w:rsidP="00C84416">
      <w:pPr>
        <w:widowControl w:val="0"/>
        <w:spacing w:after="0" w:line="276" w:lineRule="auto"/>
        <w:jc w:val="center"/>
        <w:rPr>
          <w:b/>
          <w:bCs/>
        </w:rPr>
      </w:pPr>
      <w:r w:rsidRPr="00C84416">
        <w:rPr>
          <w:b/>
          <w:bCs/>
        </w:rPr>
        <w:t>Latvijas Republikas Senāt</w:t>
      </w:r>
      <w:r w:rsidR="00C84416" w:rsidRPr="00C84416">
        <w:rPr>
          <w:b/>
          <w:bCs/>
        </w:rPr>
        <w:t>a</w:t>
      </w:r>
    </w:p>
    <w:p w14:paraId="14439CC1" w14:textId="4DD8C783" w:rsidR="00C84416" w:rsidRPr="00C84416" w:rsidRDefault="00C84416" w:rsidP="00C84416">
      <w:pPr>
        <w:widowControl w:val="0"/>
        <w:spacing w:after="0" w:line="276" w:lineRule="auto"/>
        <w:jc w:val="center"/>
        <w:rPr>
          <w:b/>
          <w:bCs/>
        </w:rPr>
      </w:pPr>
      <w:r w:rsidRPr="00C84416">
        <w:rPr>
          <w:b/>
          <w:bCs/>
        </w:rPr>
        <w:t>Krimināllietu departament</w:t>
      </w:r>
      <w:r>
        <w:rPr>
          <w:b/>
          <w:bCs/>
        </w:rPr>
        <w:t>a</w:t>
      </w:r>
    </w:p>
    <w:p w14:paraId="0C4F92DA" w14:textId="6B6ADA35" w:rsidR="00C84416" w:rsidRPr="00C84416" w:rsidRDefault="00C84416" w:rsidP="00C84416">
      <w:pPr>
        <w:widowControl w:val="0"/>
        <w:spacing w:after="0" w:line="276" w:lineRule="auto"/>
        <w:jc w:val="center"/>
        <w:rPr>
          <w:b/>
          <w:bCs/>
        </w:rPr>
      </w:pPr>
      <w:r w:rsidRPr="00C84416">
        <w:rPr>
          <w:b/>
          <w:bCs/>
        </w:rPr>
        <w:t>2026. gada 7. jūlij</w:t>
      </w:r>
      <w:r>
        <w:rPr>
          <w:b/>
          <w:bCs/>
        </w:rPr>
        <w:t>a</w:t>
      </w:r>
    </w:p>
    <w:p w14:paraId="2589C3A3" w14:textId="77777777" w:rsidR="000346A9" w:rsidRPr="00C84416" w:rsidRDefault="000346A9" w:rsidP="00C84416">
      <w:pPr>
        <w:widowControl w:val="0"/>
        <w:spacing w:after="0" w:line="276" w:lineRule="auto"/>
        <w:jc w:val="center"/>
        <w:rPr>
          <w:b/>
          <w:bCs/>
        </w:rPr>
      </w:pPr>
      <w:r w:rsidRPr="00C84416">
        <w:rPr>
          <w:b/>
          <w:bCs/>
        </w:rPr>
        <w:t>LĒMUMS</w:t>
      </w:r>
    </w:p>
    <w:p w14:paraId="572CB53A" w14:textId="77777777" w:rsidR="00C84416" w:rsidRDefault="00C84416" w:rsidP="00C84416">
      <w:pPr>
        <w:widowControl w:val="0"/>
        <w:spacing w:after="0" w:line="276" w:lineRule="auto"/>
        <w:jc w:val="center"/>
        <w:rPr>
          <w:b/>
          <w:bCs/>
        </w:rPr>
      </w:pPr>
      <w:r w:rsidRPr="00C84416">
        <w:rPr>
          <w:b/>
          <w:bCs/>
        </w:rPr>
        <w:t>Lieta Nr. </w:t>
      </w:r>
      <w:r w:rsidRPr="00C84416">
        <w:rPr>
          <w:b/>
          <w:bCs/>
          <w:lang w:val="en-US"/>
        </w:rPr>
        <w:t>14100131324,</w:t>
      </w:r>
      <w:r w:rsidRPr="00C84416">
        <w:rPr>
          <w:b/>
          <w:bCs/>
        </w:rPr>
        <w:t xml:space="preserve"> SKK-319/2026</w:t>
      </w:r>
    </w:p>
    <w:p w14:paraId="6C3A7DFA" w14:textId="6FF81860" w:rsidR="00C84416" w:rsidRPr="00C84416" w:rsidRDefault="00C84416" w:rsidP="00C84416">
      <w:pPr>
        <w:widowControl w:val="0"/>
        <w:spacing w:after="0" w:line="276" w:lineRule="auto"/>
        <w:jc w:val="center"/>
        <w:rPr>
          <w:lang w:val="en-US"/>
        </w:rPr>
      </w:pPr>
      <w:hyperlink r:id="rId6" w:history="1">
        <w:r w:rsidRPr="00C84416">
          <w:rPr>
            <w:rStyle w:val="Hyperlink"/>
          </w:rPr>
          <w:t>ECLI:LV:AT:2026:0707.14100131324</w:t>
        </w:r>
        <w:r w:rsidRPr="00C84416">
          <w:rPr>
            <w:rStyle w:val="Hyperlink"/>
          </w:rPr>
          <w:t>.</w:t>
        </w:r>
        <w:r w:rsidRPr="00C84416">
          <w:rPr>
            <w:rStyle w:val="Hyperlink"/>
          </w:rPr>
          <w:t>5.L</w:t>
        </w:r>
      </w:hyperlink>
    </w:p>
    <w:p w14:paraId="28FA6B24" w14:textId="77777777" w:rsidR="000346A9" w:rsidRDefault="000346A9" w:rsidP="000346A9">
      <w:pPr>
        <w:widowControl w:val="0"/>
        <w:spacing w:after="0" w:line="276" w:lineRule="auto"/>
        <w:jc w:val="center"/>
      </w:pPr>
    </w:p>
    <w:p w14:paraId="29ED1A2C" w14:textId="66F37FE0" w:rsidR="000346A9" w:rsidRDefault="000346A9" w:rsidP="000346A9">
      <w:pPr>
        <w:widowControl w:val="0"/>
        <w:spacing w:after="0" w:line="276" w:lineRule="auto"/>
        <w:ind w:firstLine="720"/>
        <w:jc w:val="both"/>
      </w:pPr>
      <w:r>
        <w:t>Senāts šādā sastāvā: senatori Māris Leja, Aija Branta, Sandra Kaija,</w:t>
      </w:r>
    </w:p>
    <w:p w14:paraId="0811D883" w14:textId="77777777" w:rsidR="000346A9" w:rsidRDefault="000346A9" w:rsidP="000346A9">
      <w:pPr>
        <w:widowControl w:val="0"/>
        <w:spacing w:after="0" w:line="276" w:lineRule="auto"/>
        <w:ind w:firstLine="720"/>
        <w:jc w:val="both"/>
      </w:pPr>
    </w:p>
    <w:p w14:paraId="2FABDADB" w14:textId="235EB82C" w:rsidR="000346A9" w:rsidRDefault="000346A9" w:rsidP="000346A9">
      <w:pPr>
        <w:widowControl w:val="0"/>
        <w:spacing w:after="0" w:line="276" w:lineRule="auto"/>
        <w:ind w:firstLine="720"/>
        <w:jc w:val="both"/>
      </w:pPr>
      <w:r>
        <w:t>iepazinies ar apsūdzētā [</w:t>
      </w:r>
      <w:r w:rsidR="00C84416">
        <w:t>pers. </w:t>
      </w:r>
      <w:r>
        <w:t>A] aizstāves zvērinātas advokātes Andras Ločmeles kasācijas sūdzību par Rīgas apgabaltiesas 2026. gada 23. marta spriedumu, atzīst, ka ir pamats atteikt ierosināt kasācijas tiesvedību.</w:t>
      </w:r>
    </w:p>
    <w:p w14:paraId="6EF7BF0D" w14:textId="4B0BA56F" w:rsidR="000346A9" w:rsidRDefault="000346A9" w:rsidP="00D56FC1">
      <w:pPr>
        <w:widowControl w:val="0"/>
        <w:spacing w:after="0" w:line="276" w:lineRule="auto"/>
        <w:ind w:firstLine="720"/>
        <w:jc w:val="both"/>
      </w:pPr>
      <w:r>
        <w:t>Aizstāve kasācijas sūdzībā lūdz atcelt apelācijas instances tiesas spriedumu par apsūdzētā [</w:t>
      </w:r>
      <w:r w:rsidR="00C84416">
        <w:t>pers. </w:t>
      </w:r>
      <w:r>
        <w:t>A] atzīšanu par vainīgu Krimināllikuma 312. panta otrajā daļā paredzētajā noziedzīgajā nodarījumā (izvairīšanās no brīvības atņemšanas soda izciešanas) un nosūtīt lietu jaunai iztiesāšanai apelācijas instances tiesā.</w:t>
      </w:r>
    </w:p>
    <w:p w14:paraId="517433B2" w14:textId="74DBF94A" w:rsidR="00770400" w:rsidRDefault="000346A9" w:rsidP="00F604DB">
      <w:pPr>
        <w:widowControl w:val="0"/>
        <w:spacing w:after="0" w:line="276" w:lineRule="auto"/>
        <w:ind w:firstLine="720"/>
        <w:jc w:val="both"/>
      </w:pPr>
      <w:r>
        <w:t>Pamatojot kasācijas sūdzībā izteikto lūgumu, aizstāve norādījusi, ka apelācijas instances tiesa ir nepamatoti atzinusi, ka uz VAS „Latvijas Pasts” apliecinājuma par paziņojuma ierasties Rīgas Centrālcietumā īslaicīgas brīvības atņemšanas izciešanai izsniegšanu ir apsūdzētā [</w:t>
      </w:r>
      <w:r w:rsidR="00C84416">
        <w:t>pers. </w:t>
      </w:r>
      <w:r>
        <w:t>A] paraksts. Apelācijas instances tiesa nav ņēmusi vērā: 1) apsūdzētā liecības, kuras pirmās instances tiesa atzinusi par ticamām, proti, ka paraksts uz apliecinājuma nav viņa, kā arī 2) ziņas par apsūdzētā analfabētismu. Tāpat apelācijas instances tiesa nav pamatojusi, kādēļ tā noraida pirmās instances tiesas atzinumu, ka paraksts uz pasta apliecinājuma acīmredzami atšķiras no apsūdzētā parakstiem citos lietā esošajos dokumentos.</w:t>
      </w:r>
    </w:p>
    <w:p w14:paraId="131C1BAA" w14:textId="476437A1" w:rsidR="007E1334" w:rsidRDefault="007E1334" w:rsidP="007E1334">
      <w:pPr>
        <w:widowControl w:val="0"/>
        <w:spacing w:after="0" w:line="276" w:lineRule="auto"/>
        <w:ind w:firstLine="720"/>
        <w:jc w:val="both"/>
      </w:pPr>
      <w:r>
        <w:t>Turklāt a</w:t>
      </w:r>
      <w:r w:rsidR="000346A9" w:rsidRPr="000346A9">
        <w:t xml:space="preserve">pelācijas instances tiesas secinājums, ka paziņojums par pienākumu ierasties </w:t>
      </w:r>
      <w:r w:rsidR="000346A9" w:rsidRPr="000346A9">
        <w:lastRenderedPageBreak/>
        <w:t xml:space="preserve">Rīgas Centrālcietumā īslaicīgas brīvības atņemšanas izciešanai nosūtīts atbilstoši Latvijas Sodu izpildes kodeksa 15. panta otrajai daļai, ir pretrunā pirmās instances tiesas konstatētajam, ka </w:t>
      </w:r>
      <w:r w:rsidR="00602CAA">
        <w:t>no</w:t>
      </w:r>
      <w:r w:rsidR="000346A9" w:rsidRPr="000346A9">
        <w:t xml:space="preserve"> paziņojuma nosūtīšanas dien</w:t>
      </w:r>
      <w:r w:rsidR="00602CAA">
        <w:t>as</w:t>
      </w:r>
      <w:r w:rsidR="000346A9" w:rsidRPr="000346A9">
        <w:t xml:space="preserve"> </w:t>
      </w:r>
      <w:r w:rsidR="00602CAA">
        <w:t>līdz</w:t>
      </w:r>
      <w:r w:rsidR="000346A9" w:rsidRPr="000346A9">
        <w:t xml:space="preserve"> soda izciešanas uzsākšanas dien</w:t>
      </w:r>
      <w:r w:rsidR="00602CAA">
        <w:t>ai</w:t>
      </w:r>
      <w:r w:rsidR="000346A9" w:rsidRPr="000346A9">
        <w:t xml:space="preserve"> bija tikai 7 darba dienas</w:t>
      </w:r>
      <w:r w:rsidR="00D63D13">
        <w:t>, nevis</w:t>
      </w:r>
      <w:r w:rsidR="000346A9" w:rsidRPr="000346A9">
        <w:t xml:space="preserve"> likumā noteikt</w:t>
      </w:r>
      <w:r w:rsidR="00D63D13">
        <w:t>ās</w:t>
      </w:r>
      <w:r w:rsidR="000346A9" w:rsidRPr="000346A9">
        <w:t xml:space="preserve"> </w:t>
      </w:r>
      <w:r w:rsidR="0092798D">
        <w:t>10</w:t>
      </w:r>
      <w:r w:rsidR="000346A9" w:rsidRPr="000346A9">
        <w:t xml:space="preserve"> darba dien</w:t>
      </w:r>
      <w:r w:rsidR="000A1755">
        <w:t>as</w:t>
      </w:r>
      <w:r w:rsidR="000346A9" w:rsidRPr="000346A9">
        <w:t>.</w:t>
      </w:r>
      <w:r w:rsidR="000346A9">
        <w:t xml:space="preserve"> </w:t>
      </w:r>
      <w:r w:rsidRPr="007E1334">
        <w:t xml:space="preserve">Apelācijas instances tiesa </w:t>
      </w:r>
      <w:r w:rsidR="00BC20D5">
        <w:t>pieļāvusi</w:t>
      </w:r>
      <w:r w:rsidR="00D63D13">
        <w:t xml:space="preserve"> tiesiskās paļāvības princip</w:t>
      </w:r>
      <w:r w:rsidR="00BC20D5">
        <w:t>a pārkāpumu</w:t>
      </w:r>
      <w:r>
        <w:t>,</w:t>
      </w:r>
      <w:r w:rsidRPr="007E1334">
        <w:t xml:space="preserve"> </w:t>
      </w:r>
      <w:r>
        <w:t>kas paredz, ka</w:t>
      </w:r>
      <w:r w:rsidRPr="007E1334">
        <w:t xml:space="preserve"> personai ir tiesības paļauties, ka valsts iestādes savā darbībā ievēro likuma normas.</w:t>
      </w:r>
    </w:p>
    <w:p w14:paraId="5455CA6B" w14:textId="6B36099F" w:rsidR="000346A9" w:rsidRDefault="000346A9" w:rsidP="007E1334">
      <w:pPr>
        <w:widowControl w:val="0"/>
        <w:spacing w:after="0" w:line="276" w:lineRule="auto"/>
        <w:ind w:firstLine="720"/>
        <w:jc w:val="both"/>
      </w:pPr>
      <w:r>
        <w:t>Saskaņā ar Kriminālprocesa likuma 573.</w:t>
      </w:r>
      <w:r w:rsidRPr="0064002C">
        <w:rPr>
          <w:vertAlign w:val="superscript"/>
        </w:rPr>
        <w:t>1</w:t>
      </w:r>
      <w:r>
        <w:t xml:space="preserve"> panta pirmo daļu tiesa atsakās ierosināt kasācijas tiesvedību, ja kasācijas sūdzība vai protests neatbilst šā likuma 569. pantā minētajām prasībām </w:t>
      </w:r>
      <w:r w:rsidRPr="00F740D6">
        <w:t>vai ja kasācijas sūdzība vai protests iesniegts par tiesas nolēmumu, kas saskaņā ar likumu nav pārsūdzams.</w:t>
      </w:r>
    </w:p>
    <w:p w14:paraId="7A434B86" w14:textId="77777777" w:rsidR="000346A9" w:rsidRDefault="000346A9" w:rsidP="000346A9">
      <w:pPr>
        <w:widowControl w:val="0"/>
        <w:spacing w:after="0" w:line="276" w:lineRule="auto"/>
        <w:ind w:firstLine="720"/>
        <w:jc w:val="both"/>
      </w:pPr>
      <w:r>
        <w:t>Atbilstoši</w:t>
      </w:r>
      <w:r w:rsidRPr="00104200">
        <w:t xml:space="preserve"> Kriminālprocesa likuma </w:t>
      </w:r>
      <w:r>
        <w:t>569. panta pirmajai daļai</w:t>
      </w:r>
      <w:r w:rsidRPr="00C8090B">
        <w:t xml:space="preserve"> </w:t>
      </w:r>
      <w:r>
        <w:t>p</w:t>
      </w:r>
      <w:r w:rsidRPr="00C8090B">
        <w:t>ārsūdzēšana kasācijas kārtībā ir rakstveida kasācijas protesta vai sūdzības iesniegšana Augstākajā tiesā par tāda apelācijas instances tiesas nolēmuma tiesiskumu, kurš vēl nav stājies spēkā, nolūkā panākt tā atcelšanu pilnībā vai kādā tā daļā vai arī tā grozīšanu juridisku iemeslu dēļ.</w:t>
      </w:r>
    </w:p>
    <w:p w14:paraId="1343EAA1" w14:textId="73840838" w:rsidR="000346A9" w:rsidRDefault="006C32FA" w:rsidP="006C32FA">
      <w:pPr>
        <w:widowControl w:val="0"/>
        <w:spacing w:after="0" w:line="276" w:lineRule="auto"/>
        <w:ind w:firstLine="720"/>
        <w:jc w:val="both"/>
      </w:pPr>
      <w:r w:rsidRPr="006C32FA">
        <w:t>Senāts konstatē, ka apelācijas instances tiesa ir atcēlusi pirmās instances tiesas attaisnojošo spriedumu un taisījusi lietā jaunu – notiesājošu – spriedumu, atzīstot, ka apsūdzētā [</w:t>
      </w:r>
      <w:r w:rsidR="00C84416">
        <w:t>pers. </w:t>
      </w:r>
      <w:r w:rsidRPr="006C32FA">
        <w:t>A] vainīgums Krimināllikuma 312. panta otrajā daļā paredzētajā noziedzīgajā nodarījumā ir pierādīts ārpus saprātīgām šaubām.</w:t>
      </w:r>
    </w:p>
    <w:p w14:paraId="323B23E9" w14:textId="6DF43CB7" w:rsidR="006C32FA" w:rsidRDefault="007E6520" w:rsidP="00244AD8">
      <w:pPr>
        <w:widowControl w:val="0"/>
        <w:spacing w:after="0" w:line="276" w:lineRule="auto"/>
        <w:ind w:firstLine="720"/>
        <w:jc w:val="both"/>
      </w:pPr>
      <w:r>
        <w:t>Izvērtējusi lietā esošos pierādījumus, tajā skaitā: 1) Rīgas Centrālcietuma iesniegumā par kriminālprocesa uzsākšanu un [</w:t>
      </w:r>
      <w:r w:rsidR="00C84416">
        <w:t>pers. </w:t>
      </w:r>
      <w:r>
        <w:t>B] ziņojumā; 2) VAS „Latvijas Pasts” izziņā; 3) policijas inspektora [</w:t>
      </w:r>
      <w:r w:rsidR="00C84416">
        <w:t>pers. </w:t>
      </w:r>
      <w:r>
        <w:t>C] ziņojumā; 4) Ieslodzījuma vietu pārvaldes atbildē un tās pielikumā esošajā vēstulē norādītās ziņas, apelācijas instances tiesa atzinusi par pierādītu, ka apsūdzētais [</w:t>
      </w:r>
      <w:r w:rsidR="00C84416">
        <w:t>pers. </w:t>
      </w:r>
      <w:r>
        <w:t>A] likumā noteiktā kārtībā bija informēts par pienākumu ierasties īslaicīgās brīvības atņemšanas izciešanai Rīgas Centrālcietumā, taču bez attaisnojoša iemesla neieradās, līdz ar to apzināti izvairījās no brīvības atņemšanas soda izciešanas.</w:t>
      </w:r>
    </w:p>
    <w:p w14:paraId="5F2CF8BE" w14:textId="1B430BF3" w:rsidR="00917B04" w:rsidRDefault="00917B04" w:rsidP="00917B04">
      <w:pPr>
        <w:widowControl w:val="0"/>
        <w:spacing w:after="0" w:line="276" w:lineRule="auto"/>
        <w:ind w:firstLine="720"/>
        <w:jc w:val="both"/>
      </w:pPr>
      <w:r w:rsidRPr="00845546">
        <w:t>Izvērtējusi Ieslodzījuma vietu pārvaldes atbildi un tās pielikumā esošos dokumentus apelācijas instances tiesa secinājusi, ka: 1) 2024. gada 4. septembrī Ieslodzījuma vietu pārvalde nosūtīja [</w:t>
      </w:r>
      <w:r w:rsidR="00C84416">
        <w:t>pers. </w:t>
      </w:r>
      <w:r w:rsidRPr="00845546">
        <w:t>A] paziņojumu, nosakot viņam pienākumu 2024. gada 13. septembrī ierasties Rīgas Centrālcietumā brīvības atņemšanas soda izciešanai, vienlaikus brīdinot par Krimināllikumā noteikto atbildību par izvairīšanos no soda izciešanas; 2) 2024. gada 4. septembrī Ieslodzījuma vietu pārvalde arī telefoniski informēja [</w:t>
      </w:r>
      <w:r w:rsidR="00C84416">
        <w:t>pers. </w:t>
      </w:r>
      <w:r w:rsidRPr="00845546">
        <w:t>A] par pienākumu 2024. gada 13. septembrī ierasties Rīgas Centrālcietumā soda izciešanai, bet [</w:t>
      </w:r>
      <w:r w:rsidR="00C84416">
        <w:t>pers. </w:t>
      </w:r>
      <w:r w:rsidRPr="00845546">
        <w:t>A] apliecināja, ka ieradīsies soda izciešanai; 3) turpmāk [</w:t>
      </w:r>
      <w:r w:rsidR="00C84416">
        <w:t>pers. </w:t>
      </w:r>
      <w:r w:rsidRPr="00845546">
        <w:t xml:space="preserve">A] nebija sazinājies ar Ieslodzījuma vietu pārvaldi, lai paziņotu, ka nevar noteiktajā laikā ierasties cietumā piespriestā soda izciešanai. </w:t>
      </w:r>
    </w:p>
    <w:p w14:paraId="5CF4A1B5" w14:textId="4BB5A6CD" w:rsidR="00D673E4" w:rsidRPr="00DF3BC0" w:rsidRDefault="00D673E4" w:rsidP="0092798D">
      <w:pPr>
        <w:widowControl w:val="0"/>
        <w:spacing w:after="0" w:line="276" w:lineRule="auto"/>
        <w:ind w:firstLine="720"/>
        <w:jc w:val="both"/>
      </w:pPr>
      <w:r>
        <w:t>Apelācijas instances tiesa atzinusi</w:t>
      </w:r>
      <w:r w:rsidRPr="00D673E4">
        <w:t xml:space="preserve"> par nepamatotu pirmās instances tiesas </w:t>
      </w:r>
      <w:r w:rsidR="00602CAA">
        <w:t>atzinumu</w:t>
      </w:r>
      <w:r w:rsidRPr="00D673E4">
        <w:t>, ka nav</w:t>
      </w:r>
      <w:r>
        <w:t xml:space="preserve"> </w:t>
      </w:r>
      <w:r w:rsidRPr="00D673E4">
        <w:t>pierādīts, ka Ieslodzījuma vietu pārvaldes nosūtīto vēstuli būtu saņēmis apsūdzētais</w:t>
      </w:r>
      <w:r>
        <w:t xml:space="preserve">. No lietā esošajiem pierādījumiem, tajā skaitā </w:t>
      </w:r>
      <w:r w:rsidRPr="00D673E4">
        <w:t>VAS</w:t>
      </w:r>
      <w:r w:rsidR="0092798D">
        <w:t> </w:t>
      </w:r>
      <w:r>
        <w:t>„</w:t>
      </w:r>
      <w:r w:rsidRPr="00D673E4">
        <w:t>Latvijas Pasts” apliecinājum</w:t>
      </w:r>
      <w:r>
        <w:t>a</w:t>
      </w:r>
      <w:r w:rsidRPr="00D673E4">
        <w:t xml:space="preserve"> par</w:t>
      </w:r>
      <w:r>
        <w:t xml:space="preserve"> </w:t>
      </w:r>
      <w:r w:rsidRPr="00D673E4">
        <w:t>sūtījuma izsniegšanu</w:t>
      </w:r>
      <w:r>
        <w:t>,</w:t>
      </w:r>
      <w:r w:rsidRPr="00D673E4">
        <w:t xml:space="preserve"> </w:t>
      </w:r>
      <w:r>
        <w:t xml:space="preserve">tiesa konstatējusi, ka </w:t>
      </w:r>
      <w:r w:rsidR="00917B04">
        <w:t>š</w:t>
      </w:r>
      <w:r w:rsidR="00602CAA">
        <w:t>o paziņojumu</w:t>
      </w:r>
      <w:r w:rsidRPr="00D673E4">
        <w:t xml:space="preserve"> apsūdzētais saņēm</w:t>
      </w:r>
      <w:r w:rsidR="00D8315D">
        <w:t>is</w:t>
      </w:r>
      <w:r w:rsidRPr="00D673E4">
        <w:t xml:space="preserve"> 2024.</w:t>
      </w:r>
      <w:r>
        <w:t> </w:t>
      </w:r>
      <w:r w:rsidRPr="00D673E4">
        <w:t>gada</w:t>
      </w:r>
      <w:r>
        <w:t xml:space="preserve"> </w:t>
      </w:r>
      <w:r w:rsidRPr="00D673E4">
        <w:t>6.</w:t>
      </w:r>
      <w:r>
        <w:t> </w:t>
      </w:r>
      <w:r w:rsidRPr="00D673E4">
        <w:t>septembrī</w:t>
      </w:r>
      <w:r>
        <w:t xml:space="preserve"> </w:t>
      </w:r>
      <w:r w:rsidRPr="00D673E4">
        <w:t>pret parakstu</w:t>
      </w:r>
      <w:r>
        <w:t>.</w:t>
      </w:r>
    </w:p>
    <w:p w14:paraId="31927D7F" w14:textId="737E7C73" w:rsidR="00072D64" w:rsidRPr="00D673E4" w:rsidRDefault="00D673E4" w:rsidP="0092798D">
      <w:pPr>
        <w:widowControl w:val="0"/>
        <w:spacing w:after="0" w:line="276" w:lineRule="auto"/>
        <w:ind w:firstLine="720"/>
        <w:jc w:val="both"/>
      </w:pPr>
      <w:r w:rsidRPr="00D673E4">
        <w:t>Vērtējot VAS</w:t>
      </w:r>
      <w:r w:rsidR="0092798D">
        <w:t> </w:t>
      </w:r>
      <w:r>
        <w:t>„</w:t>
      </w:r>
      <w:r w:rsidRPr="00D673E4">
        <w:t>Latvijas Pasts” apliecinājumu par sūtījuma izsniegšanu 2024.</w:t>
      </w:r>
      <w:r>
        <w:t> </w:t>
      </w:r>
      <w:r w:rsidRPr="00D673E4">
        <w:t>gada 6.</w:t>
      </w:r>
      <w:r>
        <w:t> </w:t>
      </w:r>
      <w:r w:rsidRPr="00D673E4">
        <w:t xml:space="preserve">septembrī </w:t>
      </w:r>
      <w:r w:rsidR="00244AD8">
        <w:t xml:space="preserve">kopsakarā </w:t>
      </w:r>
      <w:r w:rsidRPr="00D673E4">
        <w:t>ar apliecinājumu par sūtījuma</w:t>
      </w:r>
      <w:r>
        <w:t xml:space="preserve"> </w:t>
      </w:r>
      <w:r w:rsidRPr="00D673E4">
        <w:t xml:space="preserve">izsniegšanu </w:t>
      </w:r>
      <w:r w:rsidR="00F53B95">
        <w:t>iepriekš</w:t>
      </w:r>
      <w:r w:rsidR="0092798D">
        <w:t xml:space="preserve"> – </w:t>
      </w:r>
      <w:r w:rsidRPr="00D673E4">
        <w:t>2024.</w:t>
      </w:r>
      <w:r w:rsidR="00244AD8">
        <w:t> </w:t>
      </w:r>
      <w:r w:rsidRPr="00D673E4">
        <w:t xml:space="preserve">gada </w:t>
      </w:r>
      <w:r w:rsidRPr="00D673E4">
        <w:lastRenderedPageBreak/>
        <w:t>8.</w:t>
      </w:r>
      <w:r w:rsidR="00DF3BC0">
        <w:t> </w:t>
      </w:r>
      <w:r w:rsidRPr="00D673E4">
        <w:t>augustā</w:t>
      </w:r>
      <w:r w:rsidR="0092798D">
        <w:t xml:space="preserve"> –</w:t>
      </w:r>
      <w:r>
        <w:t>,</w:t>
      </w:r>
      <w:r w:rsidR="00DF3BC0">
        <w:t xml:space="preserve"> </w:t>
      </w:r>
      <w:r>
        <w:t>apelācijas instances tiesa konstatējusi</w:t>
      </w:r>
      <w:r w:rsidRPr="00D673E4">
        <w:t>, ka paraksti abos apliecinājumos ir</w:t>
      </w:r>
      <w:r>
        <w:t xml:space="preserve"> </w:t>
      </w:r>
      <w:r w:rsidRPr="00D673E4">
        <w:t>līdzīgi</w:t>
      </w:r>
      <w:r>
        <w:t>.</w:t>
      </w:r>
    </w:p>
    <w:p w14:paraId="03B42A71" w14:textId="7D56F1F7" w:rsidR="00072D64" w:rsidRPr="00096509" w:rsidRDefault="00096509" w:rsidP="007F6C51">
      <w:pPr>
        <w:widowControl w:val="0"/>
        <w:spacing w:after="0" w:line="276" w:lineRule="auto"/>
        <w:ind w:firstLine="720"/>
        <w:jc w:val="both"/>
      </w:pPr>
      <w:r>
        <w:t>Turklāt a</w:t>
      </w:r>
      <w:r w:rsidR="00244AD8">
        <w:t xml:space="preserve">pelācijas instances tiesa ņēmusi vērā apsūdzētā norādīto, </w:t>
      </w:r>
      <w:r w:rsidR="00D673E4" w:rsidRPr="00D673E4">
        <w:t xml:space="preserve">ka </w:t>
      </w:r>
      <w:r w:rsidR="00066930">
        <w:t xml:space="preserve">analfabētisma dēļ </w:t>
      </w:r>
      <w:r w:rsidR="00D673E4" w:rsidRPr="00D673E4">
        <w:t>viņš var parakstīties</w:t>
      </w:r>
      <w:r w:rsidR="00244AD8">
        <w:t xml:space="preserve"> </w:t>
      </w:r>
      <w:r w:rsidR="00D673E4" w:rsidRPr="00D673E4">
        <w:t>dažādi</w:t>
      </w:r>
      <w:r w:rsidR="007F6C51">
        <w:t xml:space="preserve"> – </w:t>
      </w:r>
      <w:r w:rsidR="00D673E4" w:rsidRPr="00D673E4">
        <w:t>arī ar krustiņu</w:t>
      </w:r>
      <w:r w:rsidR="007F6C51">
        <w:t xml:space="preserve"> –</w:t>
      </w:r>
      <w:r w:rsidR="00D673E4" w:rsidRPr="00D673E4">
        <w:t xml:space="preserve">, līdz ar to apsūdzētā norādīto, ka </w:t>
      </w:r>
      <w:r w:rsidR="00244AD8">
        <w:t xml:space="preserve">viņš </w:t>
      </w:r>
      <w:r w:rsidR="00D673E4" w:rsidRPr="00D673E4">
        <w:t>nav saņēmis</w:t>
      </w:r>
      <w:r w:rsidR="007F6C51">
        <w:t xml:space="preserve"> paziņojumu</w:t>
      </w:r>
      <w:r w:rsidR="00244AD8">
        <w:t xml:space="preserve">, </w:t>
      </w:r>
      <w:r w:rsidR="00602CAA">
        <w:t xml:space="preserve">tiesa </w:t>
      </w:r>
      <w:r w:rsidR="00D673E4" w:rsidRPr="00D673E4">
        <w:t>vērtē</w:t>
      </w:r>
      <w:r w:rsidR="00244AD8">
        <w:t>jusi</w:t>
      </w:r>
      <w:r w:rsidR="00D673E4" w:rsidRPr="00D673E4">
        <w:t xml:space="preserve"> kā vēlmi izvairīties no atbildības.</w:t>
      </w:r>
      <w:r>
        <w:t xml:space="preserve"> </w:t>
      </w:r>
      <w:r w:rsidRPr="00096509">
        <w:t xml:space="preserve">Tāpat tiesa </w:t>
      </w:r>
      <w:r>
        <w:t>atzinusi</w:t>
      </w:r>
      <w:r w:rsidRPr="00096509">
        <w:t xml:space="preserve"> par nepamatotu apsūdzētā norādīto, ka paziņojumu saņēmis</w:t>
      </w:r>
      <w:r>
        <w:t xml:space="preserve"> </w:t>
      </w:r>
      <w:r w:rsidRPr="00096509">
        <w:t xml:space="preserve">kāds </w:t>
      </w:r>
      <w:r w:rsidR="007F6C51">
        <w:t>no viņa ģimenes locekļiem</w:t>
      </w:r>
      <w:r w:rsidRPr="00096509">
        <w:t xml:space="preserve"> un iedevis viņam</w:t>
      </w:r>
      <w:r w:rsidR="00602CAA">
        <w:t xml:space="preserve"> to</w:t>
      </w:r>
      <w:r w:rsidRPr="00096509">
        <w:t xml:space="preserve"> tikai apmēram </w:t>
      </w:r>
      <w:r w:rsidR="007F6C51" w:rsidRPr="00096509">
        <w:t xml:space="preserve">pēc </w:t>
      </w:r>
      <w:r w:rsidRPr="00096509">
        <w:t>nedēļas, jo tas ir pretrunā ar</w:t>
      </w:r>
      <w:r>
        <w:t xml:space="preserve"> lietā esošajiem</w:t>
      </w:r>
      <w:r w:rsidRPr="00096509">
        <w:t xml:space="preserve"> pierādījumiem.</w:t>
      </w:r>
    </w:p>
    <w:p w14:paraId="71EB4563" w14:textId="77777777" w:rsidR="007F6C51" w:rsidRDefault="007F6C51" w:rsidP="007F6C51">
      <w:pPr>
        <w:widowControl w:val="0"/>
        <w:spacing w:after="0" w:line="276" w:lineRule="auto"/>
        <w:ind w:firstLine="720"/>
        <w:contextualSpacing/>
        <w:jc w:val="both"/>
      </w:pPr>
      <w:r w:rsidRPr="00784512">
        <w:t>Pierādījumu pietiekamības kritērijs ir saprātīgu šaubu esība vai neesība par apsūdzētā vainīgumu, kura izvērtēšana ir tās tiesas kompetencē, kas izskata lietu pēc būtības (</w:t>
      </w:r>
      <w:r w:rsidRPr="00784512">
        <w:rPr>
          <w:i/>
        </w:rPr>
        <w:t>Senāta 2013. gada 3. jūlija lēmums lietā Nr. </w:t>
      </w:r>
      <w:hyperlink r:id="rId7" w:history="1">
        <w:r w:rsidRPr="005260C8">
          <w:rPr>
            <w:rStyle w:val="Hyperlink"/>
            <w:i/>
          </w:rPr>
          <w:t>SKK-333/2013</w:t>
        </w:r>
      </w:hyperlink>
      <w:r w:rsidRPr="005260C8">
        <w:rPr>
          <w:i/>
        </w:rPr>
        <w:t>, 15890002407, 2019. gada</w:t>
      </w:r>
      <w:r>
        <w:rPr>
          <w:i/>
        </w:rPr>
        <w:t xml:space="preserve"> </w:t>
      </w:r>
      <w:r w:rsidRPr="005260C8">
        <w:rPr>
          <w:i/>
        </w:rPr>
        <w:t>27. decembra lēmuma lietā</w:t>
      </w:r>
      <w:r>
        <w:rPr>
          <w:i/>
        </w:rPr>
        <w:t xml:space="preserve"> </w:t>
      </w:r>
      <w:r w:rsidRPr="005260C8">
        <w:rPr>
          <w:i/>
        </w:rPr>
        <w:t xml:space="preserve">Nr. SKK-433/2019, </w:t>
      </w:r>
      <w:hyperlink r:id="rId8" w:history="1">
        <w:r w:rsidRPr="005260C8">
          <w:rPr>
            <w:rStyle w:val="Hyperlink"/>
            <w:i/>
          </w:rPr>
          <w:t>ECLI:LV:AT:2019:1227.11089238414.8.L</w:t>
        </w:r>
      </w:hyperlink>
      <w:r w:rsidRPr="005260C8">
        <w:rPr>
          <w:i/>
        </w:rPr>
        <w:t xml:space="preserve">, 9. punkts, 2024. gada 7. jūnija lēmuma lietā Nr. SKK-56/2024, </w:t>
      </w:r>
      <w:hyperlink r:id="rId9" w:history="1">
        <w:r w:rsidRPr="005260C8">
          <w:rPr>
            <w:rStyle w:val="Hyperlink"/>
            <w:i/>
          </w:rPr>
          <w:t>ECLI:LV:AT:2024:0607.11518003918.4.L</w:t>
        </w:r>
      </w:hyperlink>
      <w:r w:rsidRPr="005260C8">
        <w:rPr>
          <w:i/>
        </w:rPr>
        <w:t>, 8. punkts</w:t>
      </w:r>
      <w:r w:rsidRPr="005260C8">
        <w:t>).</w:t>
      </w:r>
    </w:p>
    <w:p w14:paraId="510E6D8C" w14:textId="36658376" w:rsidR="00244AD8" w:rsidRDefault="007F6C51" w:rsidP="007F6C51">
      <w:pPr>
        <w:widowControl w:val="0"/>
        <w:spacing w:after="0" w:line="276" w:lineRule="auto"/>
        <w:ind w:firstLine="720"/>
        <w:jc w:val="both"/>
        <w:rPr>
          <w:rFonts w:asciiTheme="majorBidi" w:hAnsiTheme="majorBidi" w:cstheme="majorBidi"/>
        </w:rPr>
      </w:pPr>
      <w:r w:rsidRPr="00542E5A">
        <w:rPr>
          <w:rFonts w:asciiTheme="majorBidi" w:hAnsiTheme="majorBidi" w:cstheme="majorBidi"/>
        </w:rPr>
        <w:t xml:space="preserve">Ievērojot minēto, Senāts atzīst, ka </w:t>
      </w:r>
      <w:r>
        <w:rPr>
          <w:rFonts w:asciiTheme="majorBidi" w:hAnsiTheme="majorBidi" w:cstheme="majorBidi"/>
        </w:rPr>
        <w:t>aizstāves kasācijas sūdzības</w:t>
      </w:r>
      <w:r w:rsidRPr="00542E5A">
        <w:rPr>
          <w:rFonts w:asciiTheme="majorBidi" w:hAnsiTheme="majorBidi" w:cstheme="majorBidi"/>
        </w:rPr>
        <w:t xml:space="preserve"> argumenti</w:t>
      </w:r>
      <w:r>
        <w:rPr>
          <w:rFonts w:asciiTheme="majorBidi" w:hAnsiTheme="majorBidi" w:cstheme="majorBidi"/>
        </w:rPr>
        <w:t xml:space="preserve"> šajā daļā ir</w:t>
      </w:r>
      <w:r w:rsidRPr="00542E5A">
        <w:rPr>
          <w:rFonts w:asciiTheme="majorBidi" w:hAnsiTheme="majorBidi" w:cstheme="majorBidi"/>
        </w:rPr>
        <w:t xml:space="preserve"> </w:t>
      </w:r>
      <w:r w:rsidRPr="00C57E61">
        <w:rPr>
          <w:rFonts w:asciiTheme="majorBidi" w:hAnsiTheme="majorBidi" w:cstheme="majorBidi"/>
        </w:rPr>
        <w:t xml:space="preserve">pamatoti ar </w:t>
      </w:r>
      <w:r>
        <w:rPr>
          <w:rFonts w:asciiTheme="majorBidi" w:hAnsiTheme="majorBidi" w:cstheme="majorBidi"/>
        </w:rPr>
        <w:t>viņas atšķirīgo</w:t>
      </w:r>
      <w:r w:rsidRPr="00C57E61">
        <w:rPr>
          <w:rFonts w:asciiTheme="majorBidi" w:hAnsiTheme="majorBidi" w:cstheme="majorBidi"/>
        </w:rPr>
        <w:t xml:space="preserve"> viedokli par lietā </w:t>
      </w:r>
      <w:r>
        <w:rPr>
          <w:rFonts w:asciiTheme="majorBidi" w:hAnsiTheme="majorBidi" w:cstheme="majorBidi"/>
        </w:rPr>
        <w:t>esošo</w:t>
      </w:r>
      <w:r w:rsidRPr="00C57E61">
        <w:rPr>
          <w:rFonts w:asciiTheme="majorBidi" w:hAnsiTheme="majorBidi" w:cstheme="majorBidi"/>
        </w:rPr>
        <w:t xml:space="preserve"> pierādījumu vērtējumu</w:t>
      </w:r>
      <w:r w:rsidRPr="00542E5A">
        <w:rPr>
          <w:rFonts w:asciiTheme="majorBidi" w:hAnsiTheme="majorBidi" w:cstheme="majorBidi"/>
        </w:rPr>
        <w:t xml:space="preserve">, un pēc būtības </w:t>
      </w:r>
      <w:r w:rsidR="00F53B95">
        <w:rPr>
          <w:rFonts w:asciiTheme="majorBidi" w:hAnsiTheme="majorBidi" w:cstheme="majorBidi"/>
        </w:rPr>
        <w:t xml:space="preserve">ir </w:t>
      </w:r>
      <w:r w:rsidRPr="00542E5A">
        <w:rPr>
          <w:rFonts w:asciiTheme="majorBidi" w:hAnsiTheme="majorBidi" w:cstheme="majorBidi"/>
        </w:rPr>
        <w:t>vērsti uz to, lai panāktu apelācijas instances tiesas nolēmuma atcelšanu nevis juridisku, bet faktisku iemeslu dēļ, kas ir pretrunā ar Kriminālprocesa likuma 569.</w:t>
      </w:r>
      <w:r>
        <w:rPr>
          <w:rFonts w:asciiTheme="majorBidi" w:hAnsiTheme="majorBidi" w:cstheme="majorBidi"/>
        </w:rPr>
        <w:t> </w:t>
      </w:r>
      <w:r w:rsidRPr="00542E5A">
        <w:rPr>
          <w:rFonts w:asciiTheme="majorBidi" w:hAnsiTheme="majorBidi" w:cstheme="majorBidi"/>
        </w:rPr>
        <w:t>panta pirmo daļu.</w:t>
      </w:r>
    </w:p>
    <w:p w14:paraId="7744EE1A" w14:textId="583406EF" w:rsidR="00641D33" w:rsidRDefault="00641D33" w:rsidP="00641D33">
      <w:pPr>
        <w:widowControl w:val="0"/>
        <w:spacing w:after="0" w:line="276" w:lineRule="auto"/>
        <w:ind w:firstLine="720"/>
        <w:jc w:val="both"/>
      </w:pPr>
      <w:r w:rsidRPr="00104200">
        <w:t>Minētais ir pamats atteikumam ierosināt kasācijas tiesvedību</w:t>
      </w:r>
      <w:r>
        <w:t xml:space="preserve"> šajā daļā </w:t>
      </w:r>
      <w:r w:rsidRPr="00104200">
        <w:t>saskaņā ar Kriminālprocesa likuma 573.</w:t>
      </w:r>
      <w:r w:rsidRPr="00104200">
        <w:rPr>
          <w:vertAlign w:val="superscript"/>
        </w:rPr>
        <w:t>1</w:t>
      </w:r>
      <w:r w:rsidRPr="00104200">
        <w:t> panta pirmo daļu.</w:t>
      </w:r>
    </w:p>
    <w:p w14:paraId="5BF13A50" w14:textId="0AE61FA3" w:rsidR="00E113C0" w:rsidRDefault="00E71D29" w:rsidP="00E71D29">
      <w:pPr>
        <w:widowControl w:val="0"/>
        <w:spacing w:after="0" w:line="276" w:lineRule="auto"/>
        <w:ind w:firstLine="720"/>
        <w:jc w:val="both"/>
      </w:pPr>
      <w:r w:rsidRPr="00104200">
        <w:t>Saskaņā ar Kriminālprocesa likuma 573.</w:t>
      </w:r>
      <w:r w:rsidRPr="00104200">
        <w:rPr>
          <w:vertAlign w:val="superscript"/>
        </w:rPr>
        <w:t>1 </w:t>
      </w:r>
      <w:r w:rsidRPr="00104200">
        <w:t>panta otrās daļas 2. punktu tiesa var atteikties ierosināt kasācijas tiesvedību, ja, izvērtējot kasācijas sūdzībā vai protestā minētos argumentus, nerodas šaubas par pārsūdzētā nolēmuma tiesiskumu un izskatāmajai lietai nav būtiskas nozīmes judikatūras veidošanā.</w:t>
      </w:r>
    </w:p>
    <w:p w14:paraId="15EC2505" w14:textId="77777777" w:rsidR="00917B04" w:rsidRDefault="00917B04" w:rsidP="00917B04">
      <w:pPr>
        <w:widowControl w:val="0"/>
        <w:spacing w:after="0" w:line="276" w:lineRule="auto"/>
        <w:ind w:firstLine="720"/>
        <w:jc w:val="both"/>
      </w:pPr>
      <w:r w:rsidRPr="001D2008">
        <w:t>Latvijas Sodu izpildes kodeksa 15. panta otrajā daļā noteikts, ka laikposms starp vēstules nosūtīšanas dienu un soda izciešanas uzsākšanas dienu nedrīkst būt mazāks par desmit darba dienām.</w:t>
      </w:r>
    </w:p>
    <w:p w14:paraId="1F54FA2C" w14:textId="2C27B680" w:rsidR="00917B04" w:rsidRDefault="00917B04" w:rsidP="00917B04">
      <w:pPr>
        <w:widowControl w:val="0"/>
        <w:spacing w:after="0" w:line="276" w:lineRule="auto"/>
        <w:ind w:firstLine="720"/>
        <w:jc w:val="both"/>
      </w:pPr>
      <w:r>
        <w:t xml:space="preserve">Šis </w:t>
      </w:r>
      <w:r w:rsidRPr="00896111">
        <w:t xml:space="preserve">termiņš nerada un neatceļ personas pienākumu uzsākt brīvības atņemšanas soda izciešanu, jo </w:t>
      </w:r>
      <w:r>
        <w:t xml:space="preserve">šis pienākums </w:t>
      </w:r>
      <w:r w:rsidRPr="00896111">
        <w:t>izriet no spēkā stājušā tiesas nolēmuma.</w:t>
      </w:r>
      <w:r>
        <w:t xml:space="preserve"> </w:t>
      </w:r>
      <w:r w:rsidRPr="0083007D">
        <w:t>Šā termiņa mērķis ir vienī</w:t>
      </w:r>
      <w:r>
        <w:t xml:space="preserve">gi </w:t>
      </w:r>
      <w:r w:rsidRPr="0083007D">
        <w:t xml:space="preserve">informēt notiesāto par ierašanās laiku ieslodzījuma vietā un nodrošināt viņam saprātīgu laiku </w:t>
      </w:r>
      <w:r>
        <w:t xml:space="preserve">viņam uzliktā </w:t>
      </w:r>
      <w:r w:rsidRPr="0083007D">
        <w:t>pienākuma izpildei.</w:t>
      </w:r>
    </w:p>
    <w:p w14:paraId="1A0E3D28" w14:textId="4761ABC3" w:rsidR="00917B04" w:rsidRPr="001628DB" w:rsidRDefault="00917B04" w:rsidP="00917B04">
      <w:pPr>
        <w:widowControl w:val="0"/>
        <w:spacing w:after="0" w:line="276" w:lineRule="auto"/>
        <w:ind w:firstLine="720"/>
        <w:jc w:val="both"/>
      </w:pPr>
      <w:r>
        <w:t>T</w:t>
      </w:r>
      <w:r w:rsidRPr="001628DB">
        <w:t>as atbilst vispārīgajam noteikumam par noziedzīgiem nodarījumiem bezdarbības formā, ka personai jābūt nodrošinātai reālai iespējai izpildīt pienākumu, par kura neizpildi likums paredz kriminālatbildību</w:t>
      </w:r>
      <w:r w:rsidRPr="005451E9">
        <w:rPr>
          <w:rFonts w:asciiTheme="majorBidi" w:hAnsiTheme="majorBidi" w:cstheme="majorBidi"/>
        </w:rPr>
        <w:t xml:space="preserve"> (</w:t>
      </w:r>
      <w:proofErr w:type="spellStart"/>
      <w:r w:rsidRPr="005451E9">
        <w:rPr>
          <w:rFonts w:asciiTheme="majorBidi" w:hAnsiTheme="majorBidi" w:cstheme="majorBidi"/>
          <w:i/>
          <w:iCs/>
        </w:rPr>
        <w:t>Liholaja</w:t>
      </w:r>
      <w:proofErr w:type="spellEnd"/>
      <w:r w:rsidRPr="005451E9">
        <w:rPr>
          <w:rFonts w:asciiTheme="majorBidi" w:hAnsiTheme="majorBidi" w:cstheme="majorBidi"/>
          <w:i/>
          <w:iCs/>
        </w:rPr>
        <w:t xml:space="preserve"> V. Noziedzīgu nodarījumu kvalifikācijas teorētiskie pamati un prakse. Rīga: firma </w:t>
      </w:r>
      <w:r w:rsidR="00974412">
        <w:rPr>
          <w:rFonts w:asciiTheme="majorBidi" w:hAnsiTheme="majorBidi" w:cstheme="majorBidi"/>
          <w:i/>
          <w:iCs/>
        </w:rPr>
        <w:t>„</w:t>
      </w:r>
      <w:r w:rsidRPr="005451E9">
        <w:rPr>
          <w:rFonts w:asciiTheme="majorBidi" w:hAnsiTheme="majorBidi" w:cstheme="majorBidi"/>
          <w:i/>
          <w:iCs/>
        </w:rPr>
        <w:t>AFS", 2001, 15. lpp.; Krastiņš U. Noziedzīga nodarījuma sastāvs un nodarījuma kvalifikācija. Teorētiskie aspekti. Rīga: Tiesu namu aģentūra, 2014, 86. lpp</w:t>
      </w:r>
      <w:r>
        <w:rPr>
          <w:rFonts w:asciiTheme="majorBidi" w:hAnsiTheme="majorBidi" w:cstheme="majorBidi"/>
          <w:i/>
          <w:iCs/>
        </w:rPr>
        <w:t>.</w:t>
      </w:r>
      <w:r w:rsidRPr="005451E9">
        <w:rPr>
          <w:rFonts w:asciiTheme="majorBidi" w:hAnsiTheme="majorBidi" w:cstheme="majorBidi"/>
        </w:rPr>
        <w:t xml:space="preserve">). </w:t>
      </w:r>
    </w:p>
    <w:p w14:paraId="0C62AB3F" w14:textId="77777777" w:rsidR="00917B04" w:rsidRDefault="00917B04" w:rsidP="00917B04">
      <w:pPr>
        <w:widowControl w:val="0"/>
        <w:spacing w:after="0" w:line="276" w:lineRule="auto"/>
        <w:ind w:firstLine="720"/>
        <w:jc w:val="both"/>
      </w:pPr>
      <w:r w:rsidRPr="005451E9">
        <w:t>Krimināllikums termiņu</w:t>
      </w:r>
      <w:r>
        <w:t>s pienākuma izpildei</w:t>
      </w:r>
      <w:r w:rsidRPr="005451E9">
        <w:t xml:space="preserve"> nenosaka</w:t>
      </w:r>
      <w:r>
        <w:t>,</w:t>
      </w:r>
      <w:r w:rsidRPr="005451E9">
        <w:t xml:space="preserve"> </w:t>
      </w:r>
      <w:r>
        <w:t>s</w:t>
      </w:r>
      <w:r w:rsidRPr="005451E9">
        <w:t xml:space="preserve">avukārt </w:t>
      </w:r>
      <w:r w:rsidRPr="001628DB">
        <w:t>Latvijas Sodu izpildes kodeksa 15.</w:t>
      </w:r>
      <w:r>
        <w:t> </w:t>
      </w:r>
      <w:r w:rsidRPr="001628DB">
        <w:t>panta otrā daļa nosaka iestādes rīcību soda izpildes organizēšanā. Šī norma pati par sevi nenosaka K</w:t>
      </w:r>
      <w:r>
        <w:t>rimināllikuma</w:t>
      </w:r>
      <w:r w:rsidRPr="001628DB">
        <w:t xml:space="preserve"> 312.</w:t>
      </w:r>
      <w:r>
        <w:t> </w:t>
      </w:r>
      <w:r w:rsidRPr="001628DB">
        <w:t>pantā paredzētās kriminālatbildības priekšnoteikumus.</w:t>
      </w:r>
      <w:r>
        <w:t xml:space="preserve"> </w:t>
      </w:r>
    </w:p>
    <w:p w14:paraId="2F4CF2D6" w14:textId="3272C700" w:rsidR="00917B04" w:rsidRDefault="00917B04" w:rsidP="00917B04">
      <w:pPr>
        <w:widowControl w:val="0"/>
        <w:spacing w:after="0" w:line="276" w:lineRule="auto"/>
        <w:ind w:firstLine="720"/>
        <w:jc w:val="both"/>
      </w:pPr>
      <w:r>
        <w:t>No minētā izriet, ka iestādes noteikts ī</w:t>
      </w:r>
      <w:r w:rsidRPr="00635D8F">
        <w:t>sāks termiņš</w:t>
      </w:r>
      <w:r>
        <w:t xml:space="preserve">, vērtējot kriminālatbildību par pienākuma neizpildīšanu, </w:t>
      </w:r>
      <w:r w:rsidRPr="00896111">
        <w:t>ir nozīmīg</w:t>
      </w:r>
      <w:r>
        <w:t>s</w:t>
      </w:r>
      <w:r w:rsidRPr="00896111">
        <w:t xml:space="preserve"> tikai tiktāl, ciktāl t</w:t>
      </w:r>
      <w:r>
        <w:t>as</w:t>
      </w:r>
      <w:r w:rsidRPr="00896111">
        <w:t xml:space="preserve"> konkrētajā lietā varēja ietekmēt </w:t>
      </w:r>
      <w:r w:rsidRPr="00896111">
        <w:lastRenderedPageBreak/>
        <w:t>reāl</w:t>
      </w:r>
      <w:r>
        <w:t>u</w:t>
      </w:r>
      <w:r w:rsidRPr="00896111">
        <w:t xml:space="preserve"> iespēju izpildīt pienākumu</w:t>
      </w:r>
      <w:r>
        <w:t>. I</w:t>
      </w:r>
      <w:r w:rsidRPr="00487EB5">
        <w:t>zšķiroši ir</w:t>
      </w:r>
      <w:r>
        <w:t xml:space="preserve"> </w:t>
      </w:r>
      <w:r w:rsidRPr="00487EB5">
        <w:t>tas, vai apsūdzētais paziņojumu faktiski saņēma</w:t>
      </w:r>
      <w:r w:rsidR="00D8315D">
        <w:t xml:space="preserve"> un </w:t>
      </w:r>
      <w:r w:rsidRPr="00487EB5">
        <w:t xml:space="preserve">bija informēts par pienākumu ierasties soda izciešanai, </w:t>
      </w:r>
      <w:r w:rsidR="00D8315D">
        <w:t xml:space="preserve">vai </w:t>
      </w:r>
      <w:r w:rsidRPr="00487EB5">
        <w:t xml:space="preserve">viņam bija reāla iespēja šo pienākumu izpildīt paziņojumā noteiktajā datumā un </w:t>
      </w:r>
      <w:r w:rsidR="0035550C">
        <w:t xml:space="preserve">vai </w:t>
      </w:r>
      <w:r w:rsidRPr="00487EB5">
        <w:t>viņš to apzināti neizpildīja.</w:t>
      </w:r>
    </w:p>
    <w:p w14:paraId="6CFF734F" w14:textId="4C7240C1" w:rsidR="00917B04" w:rsidRDefault="00917B04" w:rsidP="00917B04">
      <w:pPr>
        <w:widowControl w:val="0"/>
        <w:spacing w:after="0" w:line="276" w:lineRule="auto"/>
        <w:ind w:firstLine="720"/>
        <w:jc w:val="both"/>
      </w:pPr>
      <w:r>
        <w:t>Izskatāmajā lietā apelācijas instances tiesa konstatējusi, ka apsūdzētais</w:t>
      </w:r>
      <w:r w:rsidRPr="00C847EB">
        <w:t xml:space="preserve"> par pienākumu ierasties soda izciešanai tika informēts jau 2024.</w:t>
      </w:r>
      <w:r w:rsidR="00566FD6">
        <w:t> </w:t>
      </w:r>
      <w:r w:rsidRPr="00C847EB">
        <w:t>gada 4.</w:t>
      </w:r>
      <w:r w:rsidR="00566FD6">
        <w:t> </w:t>
      </w:r>
      <w:r w:rsidRPr="00C847EB">
        <w:t>septembr</w:t>
      </w:r>
      <w:r>
        <w:t>ī telefoniski. Tāpat tiesa konstatējusi, ka apsūdzētais neieradās soda izciešanai bez attaisnojoša iemesla.</w:t>
      </w:r>
    </w:p>
    <w:p w14:paraId="360CC446" w14:textId="09072073" w:rsidR="00917B04" w:rsidRDefault="00917B04" w:rsidP="00917B04">
      <w:pPr>
        <w:widowControl w:val="0"/>
        <w:spacing w:after="0" w:line="276" w:lineRule="auto"/>
        <w:ind w:firstLine="720"/>
        <w:jc w:val="both"/>
      </w:pPr>
      <w:r>
        <w:t xml:space="preserve">Kasācijas sūdzībā nav argumentu par to, ka Ieslodzījuma vietu pārvaldes noteiktais termiņš apsūdzētajam liedza vai objektīvi apgrūtināja iespēju ierasties soda izciešanai 2024. gada 13. septembrī. </w:t>
      </w:r>
    </w:p>
    <w:p w14:paraId="2807D701" w14:textId="36DAC0F4" w:rsidR="00917B04" w:rsidRDefault="00917B04" w:rsidP="00917B04">
      <w:pPr>
        <w:widowControl w:val="0"/>
        <w:spacing w:after="0" w:line="276" w:lineRule="auto"/>
        <w:ind w:firstLine="720"/>
        <w:jc w:val="both"/>
      </w:pPr>
      <w:r>
        <w:t xml:space="preserve">Turklāt izvairīšanās no soda izciešanas ir ilgstošs noziedzīgs nodarījums. No pārsūdzētā sprieduma izriet, ka apsūdzētais tika aizturēts tikai </w:t>
      </w:r>
      <w:r w:rsidRPr="00E71D29">
        <w:t>2024.</w:t>
      </w:r>
      <w:r>
        <w:t> </w:t>
      </w:r>
      <w:r w:rsidRPr="00E71D29">
        <w:t>gada 23.</w:t>
      </w:r>
      <w:r>
        <w:t> </w:t>
      </w:r>
      <w:r w:rsidRPr="00E71D29">
        <w:t>septembrī.</w:t>
      </w:r>
    </w:p>
    <w:p w14:paraId="101C5D05" w14:textId="5229C8C4" w:rsidR="00E71D29" w:rsidRPr="00104200" w:rsidRDefault="00E71D29" w:rsidP="00E71D29">
      <w:pPr>
        <w:widowControl w:val="0"/>
        <w:spacing w:after="0" w:line="276" w:lineRule="auto"/>
        <w:ind w:firstLine="720"/>
        <w:jc w:val="both"/>
      </w:pPr>
      <w:r w:rsidRPr="00104200">
        <w:t>Ievērojot minēto, Senātam šajā daļā nerodas šaubas par pārsūdzētā nolēmuma tiesiskumu un izskatāmajai lietai nav būtiskas nozīmes judikatūras veidošanā.</w:t>
      </w:r>
    </w:p>
    <w:p w14:paraId="2B293540" w14:textId="77777777" w:rsidR="00E71D29" w:rsidRDefault="00E71D29" w:rsidP="00E71D29">
      <w:pPr>
        <w:widowControl w:val="0"/>
        <w:spacing w:after="0" w:line="276" w:lineRule="auto"/>
        <w:ind w:firstLine="720"/>
        <w:jc w:val="both"/>
      </w:pPr>
      <w:r w:rsidRPr="00104200">
        <w:t xml:space="preserve">Minētais ir pamats atteikumam ierosināt kasācijas tiesvedību </w:t>
      </w:r>
      <w:r w:rsidRPr="004B6392">
        <w:t xml:space="preserve">šajā daļā </w:t>
      </w:r>
      <w:r w:rsidRPr="00104200">
        <w:t>saskaņā ar Kriminālprocesa likuma 573.</w:t>
      </w:r>
      <w:r w:rsidRPr="00104200">
        <w:rPr>
          <w:vertAlign w:val="superscript"/>
        </w:rPr>
        <w:t>1</w:t>
      </w:r>
      <w:r>
        <w:t> </w:t>
      </w:r>
      <w:r w:rsidRPr="00104200">
        <w:t>panta otrās daļas 2. punktu.</w:t>
      </w:r>
    </w:p>
    <w:p w14:paraId="2D052599" w14:textId="58A7BC39" w:rsidR="000346A9" w:rsidRDefault="000346A9" w:rsidP="000346A9">
      <w:pPr>
        <w:widowControl w:val="0"/>
        <w:spacing w:after="0" w:line="276" w:lineRule="auto"/>
        <w:ind w:firstLine="720"/>
        <w:jc w:val="both"/>
      </w:pPr>
      <w:r w:rsidRPr="008907EC">
        <w:t>Pamatojoties uz Kriminālprocesa likuma 573. panta trešo un piekto daļu, 573.</w:t>
      </w:r>
      <w:r w:rsidRPr="008907EC">
        <w:rPr>
          <w:vertAlign w:val="superscript"/>
        </w:rPr>
        <w:t>1 </w:t>
      </w:r>
      <w:r w:rsidRPr="008907EC">
        <w:t>panta pirmo daļu</w:t>
      </w:r>
      <w:r w:rsidR="00E71D29">
        <w:t xml:space="preserve"> un otrās daļas 2. punktu</w:t>
      </w:r>
      <w:r w:rsidRPr="008907EC">
        <w:t>, Senāts</w:t>
      </w:r>
    </w:p>
    <w:p w14:paraId="398028C3" w14:textId="77777777" w:rsidR="000346A9" w:rsidRDefault="000346A9" w:rsidP="000346A9">
      <w:pPr>
        <w:widowControl w:val="0"/>
        <w:spacing w:after="0" w:line="276" w:lineRule="auto"/>
        <w:ind w:firstLine="720"/>
        <w:jc w:val="both"/>
      </w:pPr>
    </w:p>
    <w:p w14:paraId="04A893F0" w14:textId="77777777" w:rsidR="000346A9" w:rsidRPr="00CC0A2A" w:rsidRDefault="000346A9" w:rsidP="000346A9">
      <w:pPr>
        <w:widowControl w:val="0"/>
        <w:spacing w:after="0" w:line="276" w:lineRule="auto"/>
        <w:jc w:val="center"/>
        <w:rPr>
          <w:b/>
          <w:bCs/>
        </w:rPr>
      </w:pPr>
      <w:r w:rsidRPr="00CC0A2A">
        <w:rPr>
          <w:b/>
          <w:bCs/>
        </w:rPr>
        <w:t>nolēma</w:t>
      </w:r>
    </w:p>
    <w:p w14:paraId="52402285" w14:textId="77777777" w:rsidR="000346A9" w:rsidRDefault="000346A9" w:rsidP="000346A9">
      <w:pPr>
        <w:widowControl w:val="0"/>
        <w:spacing w:after="0" w:line="276" w:lineRule="auto"/>
        <w:ind w:firstLine="720"/>
        <w:jc w:val="both"/>
      </w:pPr>
    </w:p>
    <w:p w14:paraId="01793B56" w14:textId="77777777" w:rsidR="000346A9" w:rsidRDefault="000346A9" w:rsidP="000346A9">
      <w:pPr>
        <w:widowControl w:val="0"/>
        <w:spacing w:after="0" w:line="276" w:lineRule="auto"/>
        <w:ind w:firstLine="720"/>
        <w:jc w:val="both"/>
      </w:pPr>
      <w:r>
        <w:t>atteikt ierosināt kasācijas tiesvedību.</w:t>
      </w:r>
    </w:p>
    <w:p w14:paraId="5B5B7603" w14:textId="77777777" w:rsidR="000346A9" w:rsidRDefault="000346A9" w:rsidP="00C2217E">
      <w:pPr>
        <w:widowControl w:val="0"/>
        <w:spacing w:after="0" w:line="276" w:lineRule="auto"/>
        <w:jc w:val="both"/>
      </w:pPr>
    </w:p>
    <w:p w14:paraId="7517E4B8" w14:textId="762E20F2" w:rsidR="000346A9" w:rsidRDefault="000346A9" w:rsidP="00C84416">
      <w:pPr>
        <w:widowControl w:val="0"/>
        <w:spacing w:after="0" w:line="276" w:lineRule="auto"/>
        <w:ind w:firstLine="720"/>
        <w:jc w:val="both"/>
      </w:pPr>
      <w:r>
        <w:t>Lēmums nav pārsūdzams.</w:t>
      </w:r>
    </w:p>
    <w:p w14:paraId="152D7196" w14:textId="77777777" w:rsidR="006B1995" w:rsidRDefault="006B1995"/>
    <w:sectPr w:rsidR="006B1995" w:rsidSect="000346A9">
      <w:footerReference w:type="default" r:id="rId10"/>
      <w:pgSz w:w="12240" w:h="15840"/>
      <w:pgMar w:top="1135"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348E7" w14:textId="77777777" w:rsidR="00377403" w:rsidRDefault="00377403">
      <w:pPr>
        <w:spacing w:after="0" w:line="240" w:lineRule="auto"/>
      </w:pPr>
      <w:r>
        <w:separator/>
      </w:r>
    </w:p>
  </w:endnote>
  <w:endnote w:type="continuationSeparator" w:id="0">
    <w:p w14:paraId="20719055" w14:textId="77777777" w:rsidR="00377403" w:rsidRDefault="00377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962382"/>
      <w:docPartObj>
        <w:docPartGallery w:val="Page Numbers (Bottom of Page)"/>
        <w:docPartUnique/>
      </w:docPartObj>
    </w:sdtPr>
    <w:sdtEndPr/>
    <w:sdtContent>
      <w:sdt>
        <w:sdtPr>
          <w:id w:val="1728636285"/>
          <w:docPartObj>
            <w:docPartGallery w:val="Page Numbers (Top of Page)"/>
            <w:docPartUnique/>
          </w:docPartObj>
        </w:sdtPr>
        <w:sdtEndPr/>
        <w:sdtContent>
          <w:p w14:paraId="3E56B6A4" w14:textId="77777777" w:rsidR="000346A9" w:rsidRDefault="000346A9">
            <w:pPr>
              <w:pStyle w:val="Footer"/>
              <w:jc w:val="center"/>
            </w:pPr>
            <w:r w:rsidRPr="002B46DB">
              <w:rPr>
                <w:sz w:val="20"/>
                <w:szCs w:val="20"/>
              </w:rPr>
              <w:fldChar w:fldCharType="begin"/>
            </w:r>
            <w:r w:rsidRPr="002B46DB">
              <w:rPr>
                <w:sz w:val="20"/>
                <w:szCs w:val="20"/>
              </w:rPr>
              <w:instrText xml:space="preserve"> PAGE </w:instrText>
            </w:r>
            <w:r w:rsidRPr="002B46DB">
              <w:rPr>
                <w:sz w:val="20"/>
                <w:szCs w:val="20"/>
              </w:rPr>
              <w:fldChar w:fldCharType="separate"/>
            </w:r>
            <w:r w:rsidRPr="002B46DB">
              <w:rPr>
                <w:noProof/>
                <w:sz w:val="20"/>
                <w:szCs w:val="20"/>
              </w:rPr>
              <w:t>2</w:t>
            </w:r>
            <w:r w:rsidRPr="002B46DB">
              <w:rPr>
                <w:sz w:val="20"/>
                <w:szCs w:val="20"/>
              </w:rPr>
              <w:fldChar w:fldCharType="end"/>
            </w:r>
            <w:r w:rsidRPr="002B46DB">
              <w:rPr>
                <w:sz w:val="20"/>
                <w:szCs w:val="20"/>
              </w:rPr>
              <w:t xml:space="preserve"> no </w:t>
            </w:r>
            <w:r w:rsidRPr="002B46DB">
              <w:rPr>
                <w:sz w:val="20"/>
                <w:szCs w:val="20"/>
              </w:rPr>
              <w:fldChar w:fldCharType="begin"/>
            </w:r>
            <w:r w:rsidRPr="002B46DB">
              <w:rPr>
                <w:sz w:val="20"/>
                <w:szCs w:val="20"/>
              </w:rPr>
              <w:instrText xml:space="preserve"> NUMPAGES  </w:instrText>
            </w:r>
            <w:r w:rsidRPr="002B46DB">
              <w:rPr>
                <w:sz w:val="20"/>
                <w:szCs w:val="20"/>
              </w:rPr>
              <w:fldChar w:fldCharType="separate"/>
            </w:r>
            <w:r w:rsidRPr="002B46DB">
              <w:rPr>
                <w:noProof/>
                <w:sz w:val="20"/>
                <w:szCs w:val="20"/>
              </w:rPr>
              <w:t>2</w:t>
            </w:r>
            <w:r w:rsidRPr="002B46DB">
              <w:rPr>
                <w:sz w:val="20"/>
                <w:szCs w:val="20"/>
              </w:rPr>
              <w:fldChar w:fldCharType="end"/>
            </w:r>
          </w:p>
        </w:sdtContent>
      </w:sdt>
    </w:sdtContent>
  </w:sdt>
  <w:p w14:paraId="1FA986B3" w14:textId="77777777" w:rsidR="000346A9" w:rsidRDefault="000346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FF425" w14:textId="77777777" w:rsidR="00377403" w:rsidRDefault="00377403">
      <w:pPr>
        <w:spacing w:after="0" w:line="240" w:lineRule="auto"/>
      </w:pPr>
      <w:r>
        <w:separator/>
      </w:r>
    </w:p>
  </w:footnote>
  <w:footnote w:type="continuationSeparator" w:id="0">
    <w:p w14:paraId="7513CD2B" w14:textId="77777777" w:rsidR="00377403" w:rsidRDefault="0037740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6A9"/>
    <w:rsid w:val="000346A9"/>
    <w:rsid w:val="00066930"/>
    <w:rsid w:val="00072D64"/>
    <w:rsid w:val="00096509"/>
    <w:rsid w:val="000A1755"/>
    <w:rsid w:val="000A5AB9"/>
    <w:rsid w:val="000E27C0"/>
    <w:rsid w:val="00135465"/>
    <w:rsid w:val="001427D5"/>
    <w:rsid w:val="001941C6"/>
    <w:rsid w:val="001A0F1B"/>
    <w:rsid w:val="00244AD8"/>
    <w:rsid w:val="00294D12"/>
    <w:rsid w:val="00330B21"/>
    <w:rsid w:val="0035550C"/>
    <w:rsid w:val="00377403"/>
    <w:rsid w:val="003A7BE0"/>
    <w:rsid w:val="003D3B38"/>
    <w:rsid w:val="003E1456"/>
    <w:rsid w:val="003E2F0C"/>
    <w:rsid w:val="00437091"/>
    <w:rsid w:val="004D1B8C"/>
    <w:rsid w:val="00566FD6"/>
    <w:rsid w:val="00576692"/>
    <w:rsid w:val="005D5C2C"/>
    <w:rsid w:val="005F29C9"/>
    <w:rsid w:val="005F3576"/>
    <w:rsid w:val="00602CAA"/>
    <w:rsid w:val="00641D33"/>
    <w:rsid w:val="00646C6A"/>
    <w:rsid w:val="006B1995"/>
    <w:rsid w:val="006C32FA"/>
    <w:rsid w:val="006C6B94"/>
    <w:rsid w:val="0071513B"/>
    <w:rsid w:val="00770400"/>
    <w:rsid w:val="007A14D8"/>
    <w:rsid w:val="007A4F65"/>
    <w:rsid w:val="007E1334"/>
    <w:rsid w:val="007E6520"/>
    <w:rsid w:val="007F6C51"/>
    <w:rsid w:val="00904E9E"/>
    <w:rsid w:val="00917B04"/>
    <w:rsid w:val="0092798D"/>
    <w:rsid w:val="00974412"/>
    <w:rsid w:val="00984AB5"/>
    <w:rsid w:val="00995BED"/>
    <w:rsid w:val="009F726F"/>
    <w:rsid w:val="00A72FFC"/>
    <w:rsid w:val="00A96834"/>
    <w:rsid w:val="00AF682B"/>
    <w:rsid w:val="00B22BAF"/>
    <w:rsid w:val="00B247B3"/>
    <w:rsid w:val="00B325E2"/>
    <w:rsid w:val="00B355F7"/>
    <w:rsid w:val="00BC20D5"/>
    <w:rsid w:val="00C012B8"/>
    <w:rsid w:val="00C2217E"/>
    <w:rsid w:val="00C22A79"/>
    <w:rsid w:val="00C36936"/>
    <w:rsid w:val="00C84416"/>
    <w:rsid w:val="00D06771"/>
    <w:rsid w:val="00D21300"/>
    <w:rsid w:val="00D41474"/>
    <w:rsid w:val="00D56FC1"/>
    <w:rsid w:val="00D63D13"/>
    <w:rsid w:val="00D673E4"/>
    <w:rsid w:val="00D8315D"/>
    <w:rsid w:val="00DF3BC0"/>
    <w:rsid w:val="00E113C0"/>
    <w:rsid w:val="00E17A14"/>
    <w:rsid w:val="00E55F3E"/>
    <w:rsid w:val="00E71D29"/>
    <w:rsid w:val="00F53B95"/>
    <w:rsid w:val="00F604DB"/>
    <w:rsid w:val="00F8327C"/>
    <w:rsid w:val="00FB321E"/>
    <w:rsid w:val="00FD13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50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46A9"/>
    <w:pPr>
      <w:spacing w:line="278" w:lineRule="auto"/>
    </w:pPr>
    <w:rPr>
      <w:szCs w:val="24"/>
      <w:lang w:val="lv-LV"/>
    </w:rPr>
  </w:style>
  <w:style w:type="paragraph" w:styleId="Heading1">
    <w:name w:val="heading 1"/>
    <w:basedOn w:val="Normal"/>
    <w:next w:val="Normal"/>
    <w:link w:val="Heading1Char"/>
    <w:uiPriority w:val="9"/>
    <w:qFormat/>
    <w:rsid w:val="000346A9"/>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lang w:val="en-US"/>
    </w:rPr>
  </w:style>
  <w:style w:type="paragraph" w:styleId="Heading2">
    <w:name w:val="heading 2"/>
    <w:basedOn w:val="Normal"/>
    <w:next w:val="Normal"/>
    <w:link w:val="Heading2Char"/>
    <w:uiPriority w:val="9"/>
    <w:semiHidden/>
    <w:unhideWhenUsed/>
    <w:qFormat/>
    <w:rsid w:val="000346A9"/>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lang w:val="en-US"/>
    </w:rPr>
  </w:style>
  <w:style w:type="paragraph" w:styleId="Heading3">
    <w:name w:val="heading 3"/>
    <w:basedOn w:val="Normal"/>
    <w:next w:val="Normal"/>
    <w:link w:val="Heading3Char"/>
    <w:uiPriority w:val="9"/>
    <w:semiHidden/>
    <w:unhideWhenUsed/>
    <w:qFormat/>
    <w:rsid w:val="000346A9"/>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lang w:val="en-US"/>
    </w:rPr>
  </w:style>
  <w:style w:type="paragraph" w:styleId="Heading4">
    <w:name w:val="heading 4"/>
    <w:basedOn w:val="Normal"/>
    <w:next w:val="Normal"/>
    <w:link w:val="Heading4Char"/>
    <w:uiPriority w:val="9"/>
    <w:semiHidden/>
    <w:unhideWhenUsed/>
    <w:qFormat/>
    <w:rsid w:val="000346A9"/>
    <w:pPr>
      <w:keepNext/>
      <w:keepLines/>
      <w:spacing w:before="80" w:after="40" w:line="259" w:lineRule="auto"/>
      <w:outlineLvl w:val="3"/>
    </w:pPr>
    <w:rPr>
      <w:rFonts w:asciiTheme="minorHAnsi" w:eastAsiaTheme="majorEastAsia" w:hAnsiTheme="minorHAnsi" w:cstheme="majorBidi"/>
      <w:i/>
      <w:iCs/>
      <w:color w:val="2F5496" w:themeColor="accent1" w:themeShade="BF"/>
      <w:szCs w:val="22"/>
      <w:lang w:val="en-US"/>
    </w:rPr>
  </w:style>
  <w:style w:type="paragraph" w:styleId="Heading5">
    <w:name w:val="heading 5"/>
    <w:basedOn w:val="Normal"/>
    <w:next w:val="Normal"/>
    <w:link w:val="Heading5Char"/>
    <w:uiPriority w:val="9"/>
    <w:semiHidden/>
    <w:unhideWhenUsed/>
    <w:qFormat/>
    <w:rsid w:val="000346A9"/>
    <w:pPr>
      <w:keepNext/>
      <w:keepLines/>
      <w:spacing w:before="80" w:after="40" w:line="259" w:lineRule="auto"/>
      <w:outlineLvl w:val="4"/>
    </w:pPr>
    <w:rPr>
      <w:rFonts w:asciiTheme="minorHAnsi" w:eastAsiaTheme="majorEastAsia" w:hAnsiTheme="minorHAnsi" w:cstheme="majorBidi"/>
      <w:color w:val="2F5496" w:themeColor="accent1" w:themeShade="BF"/>
      <w:szCs w:val="22"/>
      <w:lang w:val="en-US"/>
    </w:rPr>
  </w:style>
  <w:style w:type="paragraph" w:styleId="Heading6">
    <w:name w:val="heading 6"/>
    <w:basedOn w:val="Normal"/>
    <w:next w:val="Normal"/>
    <w:link w:val="Heading6Char"/>
    <w:uiPriority w:val="9"/>
    <w:semiHidden/>
    <w:unhideWhenUsed/>
    <w:qFormat/>
    <w:rsid w:val="000346A9"/>
    <w:pPr>
      <w:keepNext/>
      <w:keepLines/>
      <w:spacing w:before="40" w:after="0" w:line="259" w:lineRule="auto"/>
      <w:outlineLvl w:val="5"/>
    </w:pPr>
    <w:rPr>
      <w:rFonts w:asciiTheme="minorHAnsi" w:eastAsiaTheme="majorEastAsia" w:hAnsiTheme="minorHAnsi" w:cstheme="majorBidi"/>
      <w:i/>
      <w:iCs/>
      <w:color w:val="595959" w:themeColor="text1" w:themeTint="A6"/>
      <w:szCs w:val="22"/>
      <w:lang w:val="en-US"/>
    </w:rPr>
  </w:style>
  <w:style w:type="paragraph" w:styleId="Heading7">
    <w:name w:val="heading 7"/>
    <w:basedOn w:val="Normal"/>
    <w:next w:val="Normal"/>
    <w:link w:val="Heading7Char"/>
    <w:uiPriority w:val="9"/>
    <w:semiHidden/>
    <w:unhideWhenUsed/>
    <w:qFormat/>
    <w:rsid w:val="000346A9"/>
    <w:pPr>
      <w:keepNext/>
      <w:keepLines/>
      <w:spacing w:before="40" w:after="0" w:line="259" w:lineRule="auto"/>
      <w:outlineLvl w:val="6"/>
    </w:pPr>
    <w:rPr>
      <w:rFonts w:asciiTheme="minorHAnsi" w:eastAsiaTheme="majorEastAsia" w:hAnsiTheme="minorHAnsi" w:cstheme="majorBidi"/>
      <w:color w:val="595959" w:themeColor="text1" w:themeTint="A6"/>
      <w:szCs w:val="22"/>
      <w:lang w:val="en-US"/>
    </w:rPr>
  </w:style>
  <w:style w:type="paragraph" w:styleId="Heading8">
    <w:name w:val="heading 8"/>
    <w:basedOn w:val="Normal"/>
    <w:next w:val="Normal"/>
    <w:link w:val="Heading8Char"/>
    <w:uiPriority w:val="9"/>
    <w:semiHidden/>
    <w:unhideWhenUsed/>
    <w:qFormat/>
    <w:rsid w:val="000346A9"/>
    <w:pPr>
      <w:keepNext/>
      <w:keepLines/>
      <w:spacing w:after="0" w:line="259" w:lineRule="auto"/>
      <w:outlineLvl w:val="7"/>
    </w:pPr>
    <w:rPr>
      <w:rFonts w:asciiTheme="minorHAnsi" w:eastAsiaTheme="majorEastAsia" w:hAnsiTheme="minorHAnsi" w:cstheme="majorBidi"/>
      <w:i/>
      <w:iCs/>
      <w:color w:val="272727" w:themeColor="text1" w:themeTint="D8"/>
      <w:szCs w:val="22"/>
      <w:lang w:val="en-US"/>
    </w:rPr>
  </w:style>
  <w:style w:type="paragraph" w:styleId="Heading9">
    <w:name w:val="heading 9"/>
    <w:basedOn w:val="Normal"/>
    <w:next w:val="Normal"/>
    <w:link w:val="Heading9Char"/>
    <w:uiPriority w:val="9"/>
    <w:semiHidden/>
    <w:unhideWhenUsed/>
    <w:qFormat/>
    <w:rsid w:val="000346A9"/>
    <w:pPr>
      <w:keepNext/>
      <w:keepLines/>
      <w:spacing w:after="0" w:line="259" w:lineRule="auto"/>
      <w:outlineLvl w:val="8"/>
    </w:pPr>
    <w:rPr>
      <w:rFonts w:asciiTheme="minorHAnsi" w:eastAsiaTheme="majorEastAsia" w:hAnsiTheme="minorHAnsi" w:cstheme="majorBidi"/>
      <w:color w:val="272727" w:themeColor="text1" w:themeTint="D8"/>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46A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346A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346A9"/>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346A9"/>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0346A9"/>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0346A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346A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346A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346A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346A9"/>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0346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46A9"/>
    <w:pPr>
      <w:numPr>
        <w:ilvl w:val="1"/>
      </w:numPr>
      <w:spacing w:line="259" w:lineRule="auto"/>
    </w:pPr>
    <w:rPr>
      <w:rFonts w:asciiTheme="minorHAnsi" w:eastAsiaTheme="majorEastAsia" w:hAnsiTheme="minorHAnsi"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0346A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346A9"/>
    <w:pPr>
      <w:spacing w:before="160" w:line="259" w:lineRule="auto"/>
      <w:jc w:val="center"/>
    </w:pPr>
    <w:rPr>
      <w:i/>
      <w:iCs/>
      <w:color w:val="404040" w:themeColor="text1" w:themeTint="BF"/>
      <w:szCs w:val="22"/>
      <w:lang w:val="en-US"/>
    </w:rPr>
  </w:style>
  <w:style w:type="character" w:customStyle="1" w:styleId="QuoteChar">
    <w:name w:val="Quote Char"/>
    <w:basedOn w:val="DefaultParagraphFont"/>
    <w:link w:val="Quote"/>
    <w:uiPriority w:val="29"/>
    <w:rsid w:val="000346A9"/>
    <w:rPr>
      <w:i/>
      <w:iCs/>
      <w:color w:val="404040" w:themeColor="text1" w:themeTint="BF"/>
    </w:rPr>
  </w:style>
  <w:style w:type="paragraph" w:styleId="ListParagraph">
    <w:name w:val="List Paragraph"/>
    <w:basedOn w:val="Normal"/>
    <w:uiPriority w:val="34"/>
    <w:qFormat/>
    <w:rsid w:val="000346A9"/>
    <w:pPr>
      <w:spacing w:line="259" w:lineRule="auto"/>
      <w:ind w:left="720"/>
      <w:contextualSpacing/>
    </w:pPr>
    <w:rPr>
      <w:szCs w:val="22"/>
      <w:lang w:val="en-US"/>
    </w:rPr>
  </w:style>
  <w:style w:type="character" w:styleId="IntenseEmphasis">
    <w:name w:val="Intense Emphasis"/>
    <w:basedOn w:val="DefaultParagraphFont"/>
    <w:uiPriority w:val="21"/>
    <w:qFormat/>
    <w:rsid w:val="000346A9"/>
    <w:rPr>
      <w:i/>
      <w:iCs/>
      <w:color w:val="2F5496" w:themeColor="accent1" w:themeShade="BF"/>
    </w:rPr>
  </w:style>
  <w:style w:type="paragraph" w:styleId="IntenseQuote">
    <w:name w:val="Intense Quote"/>
    <w:basedOn w:val="Normal"/>
    <w:next w:val="Normal"/>
    <w:link w:val="IntenseQuoteChar"/>
    <w:uiPriority w:val="30"/>
    <w:qFormat/>
    <w:rsid w:val="000346A9"/>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szCs w:val="22"/>
      <w:lang w:val="en-US"/>
    </w:rPr>
  </w:style>
  <w:style w:type="character" w:customStyle="1" w:styleId="IntenseQuoteChar">
    <w:name w:val="Intense Quote Char"/>
    <w:basedOn w:val="DefaultParagraphFont"/>
    <w:link w:val="IntenseQuote"/>
    <w:uiPriority w:val="30"/>
    <w:rsid w:val="000346A9"/>
    <w:rPr>
      <w:i/>
      <w:iCs/>
      <w:color w:val="2F5496" w:themeColor="accent1" w:themeShade="BF"/>
    </w:rPr>
  </w:style>
  <w:style w:type="character" w:styleId="IntenseReference">
    <w:name w:val="Intense Reference"/>
    <w:basedOn w:val="DefaultParagraphFont"/>
    <w:uiPriority w:val="32"/>
    <w:qFormat/>
    <w:rsid w:val="000346A9"/>
    <w:rPr>
      <w:b/>
      <w:bCs/>
      <w:smallCaps/>
      <w:color w:val="2F5496" w:themeColor="accent1" w:themeShade="BF"/>
      <w:spacing w:val="5"/>
    </w:rPr>
  </w:style>
  <w:style w:type="table" w:styleId="TableGrid">
    <w:name w:val="Table Grid"/>
    <w:basedOn w:val="TableNormal"/>
    <w:uiPriority w:val="39"/>
    <w:rsid w:val="000346A9"/>
    <w:pPr>
      <w:spacing w:after="0" w:line="240" w:lineRule="auto"/>
    </w:pPr>
    <w:rPr>
      <w:kern w:val="0"/>
      <w:szCs w:val="24"/>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346A9"/>
    <w:rPr>
      <w:color w:val="0563C1" w:themeColor="hyperlink"/>
      <w:u w:val="single"/>
    </w:rPr>
  </w:style>
  <w:style w:type="paragraph" w:styleId="Header">
    <w:name w:val="header"/>
    <w:basedOn w:val="Normal"/>
    <w:link w:val="HeaderChar"/>
    <w:uiPriority w:val="99"/>
    <w:unhideWhenUsed/>
    <w:rsid w:val="000346A9"/>
    <w:pPr>
      <w:tabs>
        <w:tab w:val="center" w:pos="4320"/>
        <w:tab w:val="right" w:pos="8640"/>
      </w:tabs>
      <w:spacing w:after="0" w:line="240" w:lineRule="auto"/>
    </w:pPr>
  </w:style>
  <w:style w:type="character" w:customStyle="1" w:styleId="HeaderChar">
    <w:name w:val="Header Char"/>
    <w:basedOn w:val="DefaultParagraphFont"/>
    <w:link w:val="Header"/>
    <w:uiPriority w:val="99"/>
    <w:rsid w:val="000346A9"/>
    <w:rPr>
      <w:szCs w:val="24"/>
      <w:lang w:val="lv-LV"/>
    </w:rPr>
  </w:style>
  <w:style w:type="paragraph" w:styleId="Footer">
    <w:name w:val="footer"/>
    <w:basedOn w:val="Normal"/>
    <w:link w:val="FooterChar"/>
    <w:uiPriority w:val="99"/>
    <w:unhideWhenUsed/>
    <w:rsid w:val="000346A9"/>
    <w:pPr>
      <w:tabs>
        <w:tab w:val="center" w:pos="4320"/>
        <w:tab w:val="right" w:pos="8640"/>
      </w:tabs>
      <w:spacing w:after="0" w:line="240" w:lineRule="auto"/>
    </w:pPr>
  </w:style>
  <w:style w:type="character" w:customStyle="1" w:styleId="FooterChar">
    <w:name w:val="Footer Char"/>
    <w:basedOn w:val="DefaultParagraphFont"/>
    <w:link w:val="Footer"/>
    <w:uiPriority w:val="99"/>
    <w:rsid w:val="000346A9"/>
    <w:rPr>
      <w:szCs w:val="24"/>
      <w:lang w:val="lv-LV"/>
    </w:rPr>
  </w:style>
  <w:style w:type="character" w:styleId="UnresolvedMention">
    <w:name w:val="Unresolved Mention"/>
    <w:basedOn w:val="DefaultParagraphFont"/>
    <w:uiPriority w:val="99"/>
    <w:semiHidden/>
    <w:unhideWhenUsed/>
    <w:rsid w:val="00D06771"/>
    <w:rPr>
      <w:color w:val="605E5C"/>
      <w:shd w:val="clear" w:color="auto" w:fill="E1DFDD"/>
    </w:rPr>
  </w:style>
  <w:style w:type="paragraph" w:styleId="Revision">
    <w:name w:val="Revision"/>
    <w:hidden/>
    <w:uiPriority w:val="99"/>
    <w:semiHidden/>
    <w:rsid w:val="006C6B94"/>
    <w:pPr>
      <w:spacing w:after="0" w:line="240" w:lineRule="auto"/>
    </w:pPr>
    <w:rPr>
      <w:szCs w:val="24"/>
      <w:lang w:val="lv-LV"/>
    </w:rPr>
  </w:style>
  <w:style w:type="character" w:styleId="CommentReference">
    <w:name w:val="annotation reference"/>
    <w:basedOn w:val="DefaultParagraphFont"/>
    <w:uiPriority w:val="99"/>
    <w:semiHidden/>
    <w:unhideWhenUsed/>
    <w:rsid w:val="00330B21"/>
    <w:rPr>
      <w:sz w:val="16"/>
      <w:szCs w:val="16"/>
    </w:rPr>
  </w:style>
  <w:style w:type="paragraph" w:styleId="CommentText">
    <w:name w:val="annotation text"/>
    <w:basedOn w:val="Normal"/>
    <w:link w:val="CommentTextChar"/>
    <w:uiPriority w:val="99"/>
    <w:unhideWhenUsed/>
    <w:rsid w:val="00330B21"/>
    <w:pPr>
      <w:spacing w:line="240" w:lineRule="auto"/>
    </w:pPr>
    <w:rPr>
      <w:sz w:val="20"/>
      <w:szCs w:val="20"/>
    </w:rPr>
  </w:style>
  <w:style w:type="character" w:customStyle="1" w:styleId="CommentTextChar">
    <w:name w:val="Comment Text Char"/>
    <w:basedOn w:val="DefaultParagraphFont"/>
    <w:link w:val="CommentText"/>
    <w:uiPriority w:val="99"/>
    <w:rsid w:val="00330B21"/>
    <w:rPr>
      <w:sz w:val="20"/>
      <w:szCs w:val="20"/>
      <w:lang w:val="lv-LV"/>
    </w:rPr>
  </w:style>
  <w:style w:type="paragraph" w:styleId="CommentSubject">
    <w:name w:val="annotation subject"/>
    <w:basedOn w:val="CommentText"/>
    <w:next w:val="CommentText"/>
    <w:link w:val="CommentSubjectChar"/>
    <w:uiPriority w:val="99"/>
    <w:semiHidden/>
    <w:unhideWhenUsed/>
    <w:rsid w:val="00330B21"/>
    <w:rPr>
      <w:b/>
      <w:bCs/>
    </w:rPr>
  </w:style>
  <w:style w:type="character" w:customStyle="1" w:styleId="CommentSubjectChar">
    <w:name w:val="Comment Subject Char"/>
    <w:basedOn w:val="CommentTextChar"/>
    <w:link w:val="CommentSubject"/>
    <w:uiPriority w:val="99"/>
    <w:semiHidden/>
    <w:rsid w:val="00330B21"/>
    <w:rPr>
      <w:b/>
      <w:bCs/>
      <w:sz w:val="20"/>
      <w:szCs w:val="20"/>
      <w:lang w:val="lv-LV"/>
    </w:rPr>
  </w:style>
  <w:style w:type="character" w:styleId="FollowedHyperlink">
    <w:name w:val="FollowedHyperlink"/>
    <w:basedOn w:val="DefaultParagraphFont"/>
    <w:uiPriority w:val="99"/>
    <w:semiHidden/>
    <w:unhideWhenUsed/>
    <w:rsid w:val="00C8441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6091" TargetMode="External"/><Relationship Id="rId3" Type="http://schemas.openxmlformats.org/officeDocument/2006/relationships/webSettings" Target="webSettings.xml"/><Relationship Id="rId7" Type="http://schemas.openxmlformats.org/officeDocument/2006/relationships/hyperlink" Target="https://www.at.gov.lv/downloadlawfile/3755"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ateway.elieta.lv/api/v1/PublicMaterialDownload/775d1d17-9a9d-4b51-bc65-c9d1835e18bc"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manas.tiesas.lv/eTiesasMvc/nolemumi/pdf/53393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7072</Words>
  <Characters>4032</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2026-07-24T08:31:00Z</dcterms:created>
  <dcterms:modified xsi:type="dcterms:W3CDTF">2026-08-18T08:57:00Z</dcterms:modified>
</cp:coreProperties>
</file>