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729C1" w14:textId="77777777" w:rsidR="00AF02B0" w:rsidRPr="00AF02B0" w:rsidRDefault="00AF02B0" w:rsidP="00AF02B0">
      <w:pPr>
        <w:pStyle w:val="ListParagraph"/>
        <w:spacing w:after="0" w:line="276" w:lineRule="auto"/>
        <w:ind w:left="0"/>
        <w:jc w:val="both"/>
        <w:rPr>
          <w:b/>
          <w:bCs/>
          <w:lang w:val="lv-LV"/>
        </w:rPr>
      </w:pPr>
      <w:r w:rsidRPr="00AF02B0">
        <w:rPr>
          <w:b/>
          <w:bCs/>
          <w:lang w:val="lv-LV"/>
        </w:rPr>
        <w:t>Kriminālatbildības noilguma aprēķināšana vairāku mazāk smagu noziegumu un smagu noziegumu – krāpšanas (Krimināllikuma 177. panta pirmā un otrā daļa) – gadījumā</w:t>
      </w:r>
    </w:p>
    <w:p w14:paraId="535D9983" w14:textId="77777777" w:rsidR="00AF02B0" w:rsidRDefault="00AF02B0" w:rsidP="00616142">
      <w:pPr>
        <w:widowControl w:val="0"/>
        <w:spacing w:after="0" w:line="276" w:lineRule="auto"/>
        <w:jc w:val="center"/>
        <w:rPr>
          <w:b/>
          <w:bCs/>
        </w:rPr>
      </w:pPr>
    </w:p>
    <w:p w14:paraId="3A7F6197" w14:textId="1B1228C4" w:rsidR="00A15090" w:rsidRPr="00616142" w:rsidRDefault="00A15090" w:rsidP="00616142">
      <w:pPr>
        <w:widowControl w:val="0"/>
        <w:spacing w:after="0" w:line="276" w:lineRule="auto"/>
        <w:jc w:val="center"/>
        <w:rPr>
          <w:b/>
          <w:bCs/>
        </w:rPr>
      </w:pPr>
      <w:r w:rsidRPr="00616142">
        <w:rPr>
          <w:b/>
          <w:bCs/>
        </w:rPr>
        <w:t>Latvijas Republikas Senāt</w:t>
      </w:r>
      <w:r w:rsidR="00616142" w:rsidRPr="00616142">
        <w:rPr>
          <w:b/>
          <w:bCs/>
        </w:rPr>
        <w:t>a</w:t>
      </w:r>
    </w:p>
    <w:p w14:paraId="6C50A3BA" w14:textId="3A180370" w:rsidR="00616142" w:rsidRPr="00616142" w:rsidRDefault="00616142" w:rsidP="00616142">
      <w:pPr>
        <w:widowControl w:val="0"/>
        <w:spacing w:after="0" w:line="276" w:lineRule="auto"/>
        <w:jc w:val="center"/>
        <w:rPr>
          <w:b/>
          <w:bCs/>
        </w:rPr>
      </w:pPr>
      <w:r w:rsidRPr="00616142">
        <w:rPr>
          <w:b/>
          <w:bCs/>
        </w:rPr>
        <w:t>Krimināllietu departamenta</w:t>
      </w:r>
    </w:p>
    <w:p w14:paraId="3BA51E81" w14:textId="361B98CD" w:rsidR="00616142" w:rsidRPr="00616142" w:rsidRDefault="00616142" w:rsidP="00616142">
      <w:pPr>
        <w:widowControl w:val="0"/>
        <w:spacing w:after="0" w:line="276" w:lineRule="auto"/>
        <w:jc w:val="center"/>
        <w:rPr>
          <w:b/>
          <w:bCs/>
        </w:rPr>
      </w:pPr>
      <w:r w:rsidRPr="00616142">
        <w:rPr>
          <w:b/>
          <w:bCs/>
        </w:rPr>
        <w:t>2026. gada 16. jūlija</w:t>
      </w:r>
    </w:p>
    <w:p w14:paraId="43CFA650" w14:textId="77777777" w:rsidR="00A15090" w:rsidRPr="00616142" w:rsidRDefault="00A15090" w:rsidP="00616142">
      <w:pPr>
        <w:widowControl w:val="0"/>
        <w:spacing w:after="0" w:line="276" w:lineRule="auto"/>
        <w:jc w:val="center"/>
        <w:rPr>
          <w:b/>
          <w:bCs/>
        </w:rPr>
      </w:pPr>
      <w:r w:rsidRPr="00616142">
        <w:rPr>
          <w:b/>
          <w:bCs/>
        </w:rPr>
        <w:t>LĒMUMS</w:t>
      </w:r>
    </w:p>
    <w:p w14:paraId="460CAC3E" w14:textId="77777777" w:rsidR="00616142" w:rsidRDefault="00616142" w:rsidP="00616142">
      <w:pPr>
        <w:widowControl w:val="0"/>
        <w:spacing w:after="0" w:line="276" w:lineRule="auto"/>
        <w:jc w:val="center"/>
        <w:rPr>
          <w:b/>
          <w:bCs/>
        </w:rPr>
      </w:pPr>
      <w:r w:rsidRPr="00616142">
        <w:rPr>
          <w:b/>
          <w:bCs/>
        </w:rPr>
        <w:t>Lieta Nr. 11151042915, SKK</w:t>
      </w:r>
      <w:r w:rsidRPr="00616142">
        <w:rPr>
          <w:b/>
          <w:bCs/>
        </w:rPr>
        <w:noBreakHyphen/>
        <w:t>304/2026</w:t>
      </w:r>
    </w:p>
    <w:p w14:paraId="69674D39" w14:textId="50B004CD" w:rsidR="00616142" w:rsidRPr="000F2EB4" w:rsidRDefault="000F2EB4" w:rsidP="000F2EB4">
      <w:pPr>
        <w:widowControl w:val="0"/>
        <w:spacing w:after="0" w:line="276" w:lineRule="auto"/>
        <w:jc w:val="center"/>
      </w:pPr>
      <w:hyperlink r:id="rId7" w:history="1">
        <w:r w:rsidRPr="000F2EB4">
          <w:rPr>
            <w:rStyle w:val="Hyperlink"/>
          </w:rPr>
          <w:t>ECLI:LV:AT:2026:0716.11151042915.20.L</w:t>
        </w:r>
      </w:hyperlink>
    </w:p>
    <w:p w14:paraId="06883B00" w14:textId="77777777" w:rsidR="00A15090" w:rsidRPr="00934860" w:rsidRDefault="00A15090" w:rsidP="00A17941">
      <w:pPr>
        <w:widowControl w:val="0"/>
        <w:spacing w:after="0" w:line="276" w:lineRule="auto"/>
        <w:ind w:firstLine="720"/>
        <w:jc w:val="center"/>
      </w:pPr>
    </w:p>
    <w:p w14:paraId="334C3309" w14:textId="77777777" w:rsidR="00A15090" w:rsidRPr="00934860" w:rsidRDefault="00A15090" w:rsidP="00A17941">
      <w:pPr>
        <w:widowControl w:val="0"/>
        <w:spacing w:after="0" w:line="276" w:lineRule="auto"/>
        <w:ind w:firstLine="720"/>
        <w:jc w:val="both"/>
      </w:pPr>
      <w:r w:rsidRPr="00934860">
        <w:t>Senāts šādā sastāvā: senator</w:t>
      </w:r>
      <w:r w:rsidR="0092784D">
        <w:t>es</w:t>
      </w:r>
      <w:r w:rsidRPr="00934860">
        <w:t xml:space="preserve"> Sandra Kaija,</w:t>
      </w:r>
      <w:r w:rsidR="0027392E" w:rsidRPr="00934860">
        <w:t xml:space="preserve"> </w:t>
      </w:r>
      <w:r w:rsidR="00471C90">
        <w:t xml:space="preserve">Irīna Jansone, </w:t>
      </w:r>
      <w:r w:rsidR="0092784D">
        <w:t>Anita Poļakova</w:t>
      </w:r>
      <w:r w:rsidR="00E8279C">
        <w:t>,</w:t>
      </w:r>
    </w:p>
    <w:p w14:paraId="0D4EB76A" w14:textId="77777777" w:rsidR="00A15090" w:rsidRPr="00934860" w:rsidRDefault="00A15090" w:rsidP="00A17941">
      <w:pPr>
        <w:widowControl w:val="0"/>
        <w:spacing w:after="0" w:line="276" w:lineRule="auto"/>
        <w:ind w:firstLine="720"/>
        <w:jc w:val="both"/>
      </w:pPr>
    </w:p>
    <w:p w14:paraId="1FDF1A80" w14:textId="7A2EE16B" w:rsidR="00A15090" w:rsidRPr="00934860" w:rsidRDefault="00A15090" w:rsidP="00A17941">
      <w:pPr>
        <w:widowControl w:val="0"/>
        <w:spacing w:after="0" w:line="276" w:lineRule="auto"/>
        <w:ind w:firstLine="720"/>
        <w:jc w:val="both"/>
      </w:pPr>
      <w:r w:rsidRPr="00934860">
        <w:t>iepazinies ar apsūdzētā [</w:t>
      </w:r>
      <w:r w:rsidR="00616142">
        <w:t>pers. </w:t>
      </w:r>
      <w:r w:rsidRPr="00934860">
        <w:t>A] kasācijas sūdzību par Kurzemes apgabaltiesas 2025. gada 30. septembra spriedumu, atzīst, ka ir pamats atteikt ierosināt kasācijas tiesvedību.</w:t>
      </w:r>
    </w:p>
    <w:p w14:paraId="4D0874CB" w14:textId="2B70B496" w:rsidR="009E1E40" w:rsidRDefault="00FD038B" w:rsidP="009E1E40">
      <w:pPr>
        <w:suppressAutoHyphens/>
        <w:autoSpaceDN w:val="0"/>
        <w:spacing w:after="0" w:line="276" w:lineRule="auto"/>
        <w:ind w:firstLine="720"/>
        <w:jc w:val="both"/>
      </w:pPr>
      <w:r w:rsidRPr="00934860">
        <w:t xml:space="preserve">Apsūdzētais kasācijas sūdzībā izteicis alternatīvu lūgumu – atcelt apelācijas instances tiesas spriedumu pilnībā un izbeigt kriminālprocesu vai atcelt apelācijas instances tiesas spriedumu pilnībā un nosūtīt lietu jaunai izskatīšanai. Pamatojot savu lūgumu, apsūdzētais norādījis, ka apelācijas instances tiesa: 1) nav ņēmusi vērā, ka celtā apsūdzība neatbilst Kriminālprocesa likuma 405. panta prasībām, jo tajā nav norādīts noziedzīgā nodarījuma izdarīšanas laiks, izmantotās ierīces un IP adreses; 2) konstatējusi no apsūdzības atšķirīgus noziedzīgā nodarījuma faktiskos apstākļus; 3) nav izvērtējusi būtiskus pārkāpumus pierādījumu iegūšanā </w:t>
      </w:r>
      <w:proofErr w:type="spellStart"/>
      <w:r w:rsidRPr="00934860">
        <w:t>pirmstiesas</w:t>
      </w:r>
      <w:proofErr w:type="spellEnd"/>
      <w:r w:rsidRPr="00934860">
        <w:t xml:space="preserve"> kriminālprocesā, jo īpaši izmeklētājas [</w:t>
      </w:r>
      <w:r w:rsidR="00616142">
        <w:t>pers. </w:t>
      </w:r>
      <w:r w:rsidRPr="00934860">
        <w:t>B] rīcību; 4) nav norādījusi konkrētus pierādījumus, kas apstiprinātu katra noziedzīgā nodarījuma izdarīšanu, turklāt no lietas materiāliem izriet, ka naudas līdzekļus faktiski saņēmušas citas personas; 5) nepareizi piemērojusi Krimināllikuma 177. panta otro daļu, jo lietā nav konstatēts apsūdzētā tiešs nodoms; 6) nav ņēmusi vērā, ka viens no apsūdzētajiem ir pilnībā vai daļēji atlīdzinājis cietušajiem nodarīto kaitējumu, un nav samazinājusi no visiem apsūdzētajiem piedzenamās kaitējuma kompensācijas apmēru; 7) nav piemērojusi soda individualizācijas principu; 8) nav ņēmusi vērā kriminālprocesa ilgumu; 9) nav izvērtējusi piemērotā drošības līdzekļa – apcietinājuma – samērīgumu, ievērojot to, ka viņam noteikts ar brīvības atņemšanu nesaistīts sods; 10) nepamatoti nav konstatējusi noilgumu, jo noziedzīgie nodarījumi izdarīti 2015. gadā, savukārt spriedums pasludināts 2025. gadā.</w:t>
      </w:r>
    </w:p>
    <w:p w14:paraId="587576D9" w14:textId="77777777" w:rsidR="00A15090" w:rsidRPr="00934860" w:rsidRDefault="00A15090" w:rsidP="009E1E40">
      <w:pPr>
        <w:suppressAutoHyphens/>
        <w:autoSpaceDN w:val="0"/>
        <w:spacing w:after="0" w:line="276" w:lineRule="auto"/>
        <w:ind w:firstLine="720"/>
        <w:jc w:val="both"/>
      </w:pPr>
      <w:r w:rsidRPr="00934860">
        <w:t>Saskaņā ar Kriminālprocesa likuma 573.</w:t>
      </w:r>
      <w:r w:rsidRPr="00934860">
        <w:rPr>
          <w:vertAlign w:val="superscript"/>
        </w:rPr>
        <w:t>1</w:t>
      </w:r>
      <w:r w:rsidRPr="00934860">
        <w:t> panta pirmo daļu tiesa atsakās ierosināt kasācijas tiesvedību, ja kasācijas sūdzība vai protests neatbilst šā likuma 569., 571., 572. panta un 573. panta pirmajā daļā minētajām prasībām.</w:t>
      </w:r>
    </w:p>
    <w:p w14:paraId="2D5D3A46" w14:textId="77777777" w:rsidR="0055133C" w:rsidRDefault="00A15090" w:rsidP="00A17941">
      <w:pPr>
        <w:suppressAutoHyphens/>
        <w:autoSpaceDN w:val="0"/>
        <w:spacing w:after="0" w:line="276" w:lineRule="auto"/>
        <w:ind w:firstLine="720"/>
        <w:jc w:val="both"/>
      </w:pPr>
      <w:r w:rsidRPr="00934860">
        <w:t>Atbilstoši Kriminālprocesa likuma 569. panta pirmajai daļai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 Šī panta trešā daļa noteic, ka kasācijas instances tiesa pierādījumus lietā no jauna neizvērtē.</w:t>
      </w:r>
    </w:p>
    <w:p w14:paraId="6C91684B" w14:textId="25D9FC61" w:rsidR="0055133C" w:rsidRDefault="00F25A08" w:rsidP="00A17941">
      <w:pPr>
        <w:suppressAutoHyphens/>
        <w:autoSpaceDN w:val="0"/>
        <w:spacing w:after="0" w:line="276" w:lineRule="auto"/>
        <w:ind w:firstLine="720"/>
        <w:jc w:val="both"/>
      </w:pPr>
      <w:r w:rsidRPr="00F25A08">
        <w:t>Senāts konstatē, ka apelācijas instances tiesa ir izvērtējusi lietā esošos pierādījumus un, pamatojoties uz tiem, motivēti atzinusi apsūdzēto [</w:t>
      </w:r>
      <w:r w:rsidR="00616142">
        <w:t>pers. </w:t>
      </w:r>
      <w:r w:rsidRPr="00F25A08">
        <w:t xml:space="preserve">A] par vainīgu </w:t>
      </w:r>
      <w:r w:rsidRPr="00F25A08">
        <w:lastRenderedPageBreak/>
        <w:t>Krimināllikuma 177. panta pirmajā un otrajā daļā paredzēto noziedzīgo nodarījumu izdarīšanā. Apelācijas instances tiesa ir izvērtējusi [</w:t>
      </w:r>
      <w:r w:rsidR="00616142">
        <w:t>pers. </w:t>
      </w:r>
      <w:r w:rsidRPr="00F25A08">
        <w:t xml:space="preserve">A] celtās apsūdzības atbilstību Kriminālprocesa likuma 405. pantam, sniegusi jaunus pierādīto noziedzīgo nodarījumu aprakstus, daļu no noziedzīgajiem nodarījumiem, pārkvalificējot no Krimināllikuma 177. panta otrās daļas uz pirmo daļu, tādējādi samazinot apsūdzības apjomu. Tiesa norādījusi, ka apelācijas sūdzības arguments par apsūdzības satura neatbilstību Kriminālprocesa likuma 405. panta pirmās daļas prasībām nav attiecināms uz celtās apsūdzības satura atbilstību vai neatbilstību Kriminālprocesa likuma 405. pantā noteiktajām apsūdzības prasībām, bet saistīts ar apsūdzētā nepiekrišanu tiesas sniegtajam pierādījumu </w:t>
      </w:r>
      <w:proofErr w:type="spellStart"/>
      <w:r w:rsidRPr="00F25A08">
        <w:t>izvērtējumam</w:t>
      </w:r>
      <w:proofErr w:type="spellEnd"/>
      <w:r w:rsidRPr="00F25A08">
        <w:t>.</w:t>
      </w:r>
    </w:p>
    <w:p w14:paraId="215AEF6C" w14:textId="77777777" w:rsidR="0055133C" w:rsidRDefault="0055133C" w:rsidP="00A17941">
      <w:pPr>
        <w:suppressAutoHyphens/>
        <w:autoSpaceDN w:val="0"/>
        <w:spacing w:after="0" w:line="276" w:lineRule="auto"/>
        <w:ind w:firstLine="720"/>
        <w:jc w:val="both"/>
      </w:pPr>
      <w:r>
        <w:t xml:space="preserve">Tiesa atzinusi, ka apsūdzētā </w:t>
      </w:r>
      <w:r w:rsidRPr="0055133C">
        <w:t>subjektīvā attieksme pret inkriminēt</w:t>
      </w:r>
      <w:r>
        <w:t>ajiem</w:t>
      </w:r>
      <w:r w:rsidRPr="0055133C">
        <w:t xml:space="preserve"> nodarījum</w:t>
      </w:r>
      <w:r>
        <w:t>iem</w:t>
      </w:r>
      <w:r w:rsidRPr="0055133C">
        <w:t xml:space="preserve"> izpaužas tieša nodoma veidā, jo viņš apzinā</w:t>
      </w:r>
      <w:r>
        <w:t>jā</w:t>
      </w:r>
      <w:r w:rsidRPr="0055133C">
        <w:t>s</w:t>
      </w:r>
      <w:r>
        <w:t xml:space="preserve"> </w:t>
      </w:r>
      <w:r w:rsidRPr="0055133C">
        <w:t>savu darbību prettiesiskumu, paredz</w:t>
      </w:r>
      <w:r>
        <w:t>ēja</w:t>
      </w:r>
      <w:r w:rsidRPr="0055133C">
        <w:t xml:space="preserve"> zaudējumu nodarīšanu cietušaj</w:t>
      </w:r>
      <w:r>
        <w:t>ie</w:t>
      </w:r>
      <w:r w:rsidRPr="0055133C">
        <w:t>m un vēl</w:t>
      </w:r>
      <w:r>
        <w:t>ējās</w:t>
      </w:r>
      <w:r w:rsidRPr="0055133C">
        <w:t xml:space="preserve"> iedzīvoties no prettiesiski iegūtā mantiskā labuma</w:t>
      </w:r>
      <w:r>
        <w:t>.</w:t>
      </w:r>
    </w:p>
    <w:p w14:paraId="389FC48C" w14:textId="2A3365A3" w:rsidR="0055133C" w:rsidRDefault="00DE3C73" w:rsidP="00A17941">
      <w:pPr>
        <w:widowControl w:val="0"/>
        <w:spacing w:after="0" w:line="276" w:lineRule="auto"/>
        <w:ind w:firstLine="720"/>
        <w:jc w:val="both"/>
      </w:pPr>
      <w:r w:rsidRPr="005F0616">
        <w:t>Pretēji kasācijas sūdzībā norādītajam tiesa spriedumā katru noziedzīgo nodarījumu ir pamatojusi ar pierādījumiem, kas apstiprina [</w:t>
      </w:r>
      <w:r w:rsidR="00616142">
        <w:t>pers. </w:t>
      </w:r>
      <w:r w:rsidRPr="005F0616">
        <w:t>A] vainīgumu, atsaucoties gan uz konkrētu personu liecībām, gan uz lietā esošajiem rakstveida pierādījumiem.</w:t>
      </w:r>
    </w:p>
    <w:p w14:paraId="6443FF2E" w14:textId="16A53B01" w:rsidR="00F25A08" w:rsidRDefault="00F12268" w:rsidP="00A17941">
      <w:pPr>
        <w:widowControl w:val="0"/>
        <w:spacing w:after="0" w:line="276" w:lineRule="auto"/>
        <w:ind w:firstLine="720"/>
        <w:jc w:val="both"/>
      </w:pPr>
      <w:r>
        <w:t>Apelācijas instances tiesa nav konstatējusi izmeklētājas [</w:t>
      </w:r>
      <w:r w:rsidR="00616142">
        <w:t>pers. </w:t>
      </w:r>
      <w:r>
        <w:t>B] pieļautus pārkāpumus procesuālo dokumentu noformēšanā. Tāpat tiesa nav konstatējusi apstākļus, kas norādītu uz to, ka [</w:t>
      </w:r>
      <w:r w:rsidR="00616142">
        <w:t>pers. </w:t>
      </w:r>
      <w:r>
        <w:t>A] nopratināšanas laikā būtu pieļauti Kriminālprocesa likuma 130. panta otrajā daļā noteiktie pārkāpumi un kuru dēļ iegūtās ziņas par faktiem būtu atzīstamas par nepieļaujamām. Tiesa secinājusi, ka 2017. gada 2. jūnijā un 5. jūlijā [</w:t>
      </w:r>
      <w:r w:rsidR="00616142">
        <w:t>pers. </w:t>
      </w:r>
      <w:r>
        <w:t>A] liecības sniedzis labprātīgi, nav bijis ietekmēts no procesa virzītājas.</w:t>
      </w:r>
    </w:p>
    <w:p w14:paraId="1FA17D20" w14:textId="77777777" w:rsidR="00F25A08" w:rsidRDefault="00F25A08" w:rsidP="00A17941">
      <w:pPr>
        <w:suppressAutoHyphens/>
        <w:autoSpaceDN w:val="0"/>
        <w:spacing w:after="0" w:line="276" w:lineRule="auto"/>
        <w:ind w:firstLine="720"/>
        <w:jc w:val="both"/>
      </w:pPr>
      <w:r>
        <w:t>Senāts jau iepriekš ir norādījis, ka p</w:t>
      </w:r>
      <w:r w:rsidRPr="00A83F94">
        <w:t>ierādījumu ticamības jēdziens un novērtēšanas prasības ir noteiktas Kriminālprocesa likuma 128.</w:t>
      </w:r>
      <w:r>
        <w:t> </w:t>
      </w:r>
      <w:r w:rsidRPr="00A83F94">
        <w:t>pantā, taču izvēle, kuriem pierādījumiem ticēt, bet kuriem n</w:t>
      </w:r>
      <w:r>
        <w:t>e</w:t>
      </w:r>
      <w:r w:rsidRPr="00A83F94">
        <w:t>, ir tās tiesas kompetencē, kas izspriež lietu pēc būtības. Arī jautājums par to, vai lietā esošie pierādījumi ir vai nav pietiekami apsūdzētā vainīguma konstatēšanai, ir būtības jautājums, kas kasācijas kārtībā nav pārbaudāms. Pierādījumu pietiekamības kritērijs ir saprātīgu šaubu esamība vai neesamība par apsūdzētā vainīgumu, kura izvērtēšana tāpat ir tās tiesas kompetencē, kas izskata lietu pēc būtības</w:t>
      </w:r>
      <w:r>
        <w:t xml:space="preserve"> (</w:t>
      </w:r>
      <w:r w:rsidRPr="00681394">
        <w:t>sk</w:t>
      </w:r>
      <w:r w:rsidRPr="00F30B8C">
        <w:rPr>
          <w:i/>
          <w:iCs/>
        </w:rPr>
        <w:t>.</w:t>
      </w:r>
      <w:r>
        <w:t> </w:t>
      </w:r>
      <w:r w:rsidRPr="00A83F94">
        <w:rPr>
          <w:i/>
          <w:iCs/>
        </w:rPr>
        <w:t>Senāta 2013. gada 3. jūlija lēmum</w:t>
      </w:r>
      <w:r>
        <w:rPr>
          <w:i/>
          <w:iCs/>
        </w:rPr>
        <w:t>u</w:t>
      </w:r>
      <w:r w:rsidRPr="00A83F94">
        <w:rPr>
          <w:i/>
          <w:iCs/>
        </w:rPr>
        <w:t xml:space="preserve"> lietā Nr</w:t>
      </w:r>
      <w:r w:rsidR="00963FC9">
        <w:rPr>
          <w:i/>
          <w:iCs/>
        </w:rPr>
        <w:t>. </w:t>
      </w:r>
      <w:hyperlink r:id="rId8" w:history="1">
        <w:r w:rsidR="00963FC9" w:rsidRPr="00963FC9">
          <w:rPr>
            <w:rStyle w:val="Hyperlink"/>
            <w:i/>
            <w:iCs/>
          </w:rPr>
          <w:t>SKK-333/2013</w:t>
        </w:r>
      </w:hyperlink>
      <w:r w:rsidR="00963FC9">
        <w:rPr>
          <w:i/>
          <w:iCs/>
        </w:rPr>
        <w:t xml:space="preserve">, </w:t>
      </w:r>
      <w:r w:rsidRPr="00A83F94">
        <w:rPr>
          <w:i/>
          <w:iCs/>
        </w:rPr>
        <w:t>15890002407</w:t>
      </w:r>
      <w:r>
        <w:t>)</w:t>
      </w:r>
      <w:r w:rsidRPr="00A83F94">
        <w:t>.</w:t>
      </w:r>
    </w:p>
    <w:p w14:paraId="114A004E" w14:textId="2141074E" w:rsidR="00A56408" w:rsidRDefault="00D3240F" w:rsidP="00A17941">
      <w:pPr>
        <w:spacing w:after="0" w:line="276" w:lineRule="auto"/>
        <w:ind w:firstLine="720"/>
        <w:jc w:val="both"/>
      </w:pPr>
      <w:r>
        <w:t xml:space="preserve">Tiesa konstatējusi, ka pēc pirmās instances tiesas sprieduma taisīšanas </w:t>
      </w:r>
      <w:proofErr w:type="spellStart"/>
      <w:r>
        <w:t>līdzapsūdzētais</w:t>
      </w:r>
      <w:proofErr w:type="spellEnd"/>
      <w:r>
        <w:t xml:space="preserve"> [</w:t>
      </w:r>
      <w:r w:rsidR="00616142">
        <w:t>pers. </w:t>
      </w:r>
      <w:r>
        <w:t>C] ir labprātīgi daļēji atlīdzinājis kaitējuma kompensācijas cietušajiem, un norādījusi, ka šis apstāklis ir ņemams vērā, izpildot spriedumu.</w:t>
      </w:r>
    </w:p>
    <w:p w14:paraId="5EFA7558" w14:textId="04CB7379" w:rsidR="00E658C1" w:rsidRDefault="00FD17A0" w:rsidP="00A17941">
      <w:pPr>
        <w:spacing w:after="0" w:line="276" w:lineRule="auto"/>
        <w:ind w:firstLine="720"/>
        <w:jc w:val="both"/>
      </w:pPr>
      <w:r w:rsidRPr="009F797F">
        <w:t>Tiesa norādījusi, ka saskaņā ar Kriminālprocesa likuma 241. panta trešo daļu gadījumos, kad par smagu vai sevišķi smagu noziegumu tiesa piespriedusi brīvības atņemšanas sodu, notiesājošs spriedums var būt par pamatu drošības līdzekļa – apcietinājuma – izraudzīšanai. Ievērojot to, ka ar pirmās instances tiesas spriedumu [</w:t>
      </w:r>
      <w:r w:rsidR="00616142">
        <w:t>pers. </w:t>
      </w:r>
      <w:r w:rsidRPr="009F797F">
        <w:t>A] galīgais sods, tajā skaitā par smagiem noziegumiem, tika noteikts brīvības atņemšana uz 2 gadiem 6 mēnešiem, tiesa nav konstatējusi pārkāpumus drošības līdzekļa – apcietinājuma – piemērošanā [</w:t>
      </w:r>
      <w:r w:rsidR="00616142">
        <w:t>pers. </w:t>
      </w:r>
      <w:r w:rsidRPr="009F797F">
        <w:t>A]. Savukārt nosakot probācijas uzraudzību, apelācijas instances tiesa probācijas uzraudzības izciešanas laikā ieskaitījusi apcietinājumā pavadīto laiku.</w:t>
      </w:r>
    </w:p>
    <w:p w14:paraId="497495F9" w14:textId="76C1DA1F" w:rsidR="007B1FE5" w:rsidRDefault="00630E9E" w:rsidP="00A17941">
      <w:pPr>
        <w:spacing w:after="0" w:line="276" w:lineRule="auto"/>
        <w:ind w:firstLine="720"/>
        <w:jc w:val="both"/>
      </w:pPr>
      <w:r>
        <w:t>Pretēji kasācijas sūdzībā norādītajam tiesa ir ievērojusi soda individualizācijas principu un, nosakot [</w:t>
      </w:r>
      <w:r w:rsidR="00616142">
        <w:t>pers. </w:t>
      </w:r>
      <w:r>
        <w:t xml:space="preserve">A] sodu, ņēmusi vērā apsūdzētā lomu noziedzīgo nodarījumu </w:t>
      </w:r>
      <w:r>
        <w:lastRenderedPageBreak/>
        <w:t>izdarīšanā, izvērtējusi katra izdarītā noziedzīgā nodarījuma raksturu, radīto kaitējumu, kā arī ziņas par [</w:t>
      </w:r>
      <w:r w:rsidR="00616142">
        <w:t>pers. </w:t>
      </w:r>
      <w:r>
        <w:t>A] personību, un atzinusi, ka soda veids – probācijas uzraudzība – sasniegs Krimināllikuma 35. pantā definēto soda mērķi. Vienlaikus tiesa ir konstatējusi apsūdzētā [</w:t>
      </w:r>
      <w:r w:rsidR="00616142">
        <w:t>pers. </w:t>
      </w:r>
      <w:r>
        <w:t>A] tiesības uz kriminālprocesa pabeigšanu saprātīgā termiņā pārkāpumu un, nosakot sodu par katru noziedzīgo nodarījumu, piemērojusi Krimināllikuma 49.</w:t>
      </w:r>
      <w:r w:rsidRPr="00E46395">
        <w:rPr>
          <w:vertAlign w:val="superscript"/>
        </w:rPr>
        <w:t>1</w:t>
      </w:r>
      <w:r>
        <w:t xml:space="preserve"> panta pirmās daļas 1. punktā paredzēto kompensējošo mehānismu. </w:t>
      </w:r>
    </w:p>
    <w:p w14:paraId="18AA459B" w14:textId="77777777" w:rsidR="00CA0EAC" w:rsidRDefault="00934860" w:rsidP="00A17941">
      <w:pPr>
        <w:spacing w:after="0" w:line="276" w:lineRule="auto"/>
        <w:ind w:firstLine="720"/>
        <w:jc w:val="both"/>
      </w:pPr>
      <w:r w:rsidRPr="00934860">
        <w:rPr>
          <w:rFonts w:asciiTheme="majorBidi" w:hAnsiTheme="majorBidi" w:cstheme="majorBidi"/>
        </w:rPr>
        <w:t xml:space="preserve">Ievērojot minēto, Senāts atzīst, ka apsūdzētā kasācijas sūdzības argumenti </w:t>
      </w:r>
      <w:r w:rsidR="00C1116E">
        <w:rPr>
          <w:rFonts w:asciiTheme="majorBidi" w:hAnsiTheme="majorBidi" w:cstheme="majorBidi"/>
        </w:rPr>
        <w:t xml:space="preserve">šajā daļā </w:t>
      </w:r>
      <w:r w:rsidRPr="00934860">
        <w:rPr>
          <w:rFonts w:asciiTheme="majorBidi" w:hAnsiTheme="majorBidi" w:cstheme="majorBidi"/>
        </w:rPr>
        <w:t xml:space="preserve">ir pamatoti ar atšķirīgu </w:t>
      </w:r>
      <w:r w:rsidR="00CA0EAC">
        <w:t>viedokli par inkriminēt</w:t>
      </w:r>
      <w:r w:rsidR="0069572E">
        <w:t>o</w:t>
      </w:r>
      <w:r w:rsidR="00CA0EAC">
        <w:t xml:space="preserve"> noziedzīg</w:t>
      </w:r>
      <w:r w:rsidR="0069572E">
        <w:t>o</w:t>
      </w:r>
      <w:r w:rsidR="00CA0EAC">
        <w:t xml:space="preserve"> nodarījum</w:t>
      </w:r>
      <w:r w:rsidR="0069572E">
        <w:t>u</w:t>
      </w:r>
      <w:r w:rsidR="00CA0EAC">
        <w:t xml:space="preserve"> faktiskajiem apstākļiem</w:t>
      </w:r>
      <w:r w:rsidR="00DC2643">
        <w:t xml:space="preserve">, </w:t>
      </w:r>
      <w:r w:rsidR="00CA0EAC">
        <w:t xml:space="preserve">lietā </w:t>
      </w:r>
      <w:r w:rsidR="00CA0EAC" w:rsidRPr="00934860">
        <w:rPr>
          <w:rFonts w:asciiTheme="majorBidi" w:hAnsiTheme="majorBidi" w:cstheme="majorBidi"/>
        </w:rPr>
        <w:t>esošo</w:t>
      </w:r>
      <w:r w:rsidR="00CA0EAC">
        <w:t xml:space="preserve"> pierādījumu vērtē</w:t>
      </w:r>
      <w:r w:rsidR="000C5846">
        <w:t>jumu</w:t>
      </w:r>
      <w:r w:rsidR="00DC2643">
        <w:t xml:space="preserve"> un sodu ietekmējošiem apstākļiem</w:t>
      </w:r>
      <w:r w:rsidR="00CA0EAC">
        <w:t xml:space="preserve">, savukārt pierādījumu izvērtēšanu atbilstoši likumam veic tā tiesa, kas izskata lietu pēc būtības. </w:t>
      </w:r>
      <w:r w:rsidR="002C5171">
        <w:t>A</w:t>
      </w:r>
      <w:r w:rsidR="00CA0EAC">
        <w:t>psūdzētā kasācijas sūdzības argumenti faktiski pauž viņa neapmierinātību ar tiem secinājumiem, kādus izdarījusi apelācijas instances tiesa, izvērtējot lietā esošos pierādījumus, un vērsti uz to, lai panāktu apelācijas instances tiesas nolēmuma atcelšanu nevis juridisku, bet faktisku iemeslu dēļ, kas ir pretrunā ar Kriminālprocesa likuma</w:t>
      </w:r>
      <w:r w:rsidR="00963FC9">
        <w:t> </w:t>
      </w:r>
      <w:r w:rsidR="00CA0EAC">
        <w:t>569.</w:t>
      </w:r>
      <w:r w:rsidR="00F316F2">
        <w:t> </w:t>
      </w:r>
      <w:r w:rsidR="00CA0EAC">
        <w:t>panta pirmo daļu.</w:t>
      </w:r>
    </w:p>
    <w:p w14:paraId="573CFE1C" w14:textId="77777777" w:rsidR="00A15090" w:rsidRDefault="00A15090" w:rsidP="00A17941">
      <w:pPr>
        <w:widowControl w:val="0"/>
        <w:spacing w:after="0" w:line="276" w:lineRule="auto"/>
        <w:ind w:firstLine="720"/>
        <w:jc w:val="both"/>
        <w:rPr>
          <w:rFonts w:asciiTheme="majorBidi" w:hAnsiTheme="majorBidi" w:cstheme="majorBidi"/>
        </w:rPr>
      </w:pPr>
      <w:r w:rsidRPr="00934860">
        <w:rPr>
          <w:rFonts w:asciiTheme="majorBidi" w:hAnsiTheme="majorBidi" w:cstheme="majorBidi"/>
        </w:rPr>
        <w:t>Minētais ir pamats atteikumam ierosināt kasācijas tiesvedību</w:t>
      </w:r>
      <w:r w:rsidR="00DC2643">
        <w:rPr>
          <w:rFonts w:asciiTheme="majorBidi" w:hAnsiTheme="majorBidi" w:cstheme="majorBidi"/>
        </w:rPr>
        <w:t xml:space="preserve"> šajā daļā</w:t>
      </w:r>
      <w:r w:rsidRPr="00934860">
        <w:rPr>
          <w:rFonts w:asciiTheme="majorBidi" w:hAnsiTheme="majorBidi" w:cstheme="majorBidi"/>
        </w:rPr>
        <w:t xml:space="preserve"> saskaņā ar Kriminālprocesa likuma 573.</w:t>
      </w:r>
      <w:r w:rsidRPr="00934860">
        <w:rPr>
          <w:rFonts w:asciiTheme="majorBidi" w:hAnsiTheme="majorBidi" w:cstheme="majorBidi"/>
          <w:vertAlign w:val="superscript"/>
        </w:rPr>
        <w:t>1</w:t>
      </w:r>
      <w:r w:rsidRPr="00934860">
        <w:rPr>
          <w:rFonts w:asciiTheme="majorBidi" w:hAnsiTheme="majorBidi" w:cstheme="majorBidi"/>
        </w:rPr>
        <w:t> panta pirmo daļu.</w:t>
      </w:r>
    </w:p>
    <w:p w14:paraId="59ED57DB" w14:textId="77777777" w:rsidR="008E3A77" w:rsidRPr="005F0616" w:rsidRDefault="008E3A77" w:rsidP="00A17941">
      <w:pPr>
        <w:widowControl w:val="0"/>
        <w:spacing w:after="0" w:line="276" w:lineRule="auto"/>
        <w:ind w:firstLine="720"/>
        <w:jc w:val="both"/>
        <w:rPr>
          <w:rFonts w:asciiTheme="majorBidi" w:hAnsiTheme="majorBidi" w:cstheme="majorBidi"/>
        </w:rPr>
      </w:pPr>
      <w:r w:rsidRPr="008E3A77">
        <w:rPr>
          <w:rFonts w:asciiTheme="majorBidi" w:hAnsiTheme="majorBidi" w:cstheme="majorBidi"/>
        </w:rPr>
        <w:t>Saskaņā ar Kriminālprocesa likuma 573.</w:t>
      </w:r>
      <w:r w:rsidRPr="008E3A77">
        <w:rPr>
          <w:rFonts w:asciiTheme="majorBidi" w:hAnsiTheme="majorBidi" w:cstheme="majorBidi"/>
          <w:vertAlign w:val="superscript"/>
        </w:rPr>
        <w:t>1</w:t>
      </w:r>
      <w:r>
        <w:rPr>
          <w:rFonts w:asciiTheme="majorBidi" w:hAnsiTheme="majorBidi" w:cstheme="majorBidi"/>
        </w:rPr>
        <w:t> </w:t>
      </w:r>
      <w:r w:rsidRPr="008E3A77">
        <w:rPr>
          <w:rFonts w:asciiTheme="majorBidi" w:hAnsiTheme="majorBidi" w:cstheme="majorBidi"/>
        </w:rPr>
        <w:t>panta otrās daļas 2.</w:t>
      </w:r>
      <w:r>
        <w:rPr>
          <w:rFonts w:asciiTheme="majorBidi" w:hAnsiTheme="majorBidi" w:cstheme="majorBidi"/>
        </w:rPr>
        <w:t> </w:t>
      </w:r>
      <w:r w:rsidRPr="008E3A77">
        <w:rPr>
          <w:rFonts w:asciiTheme="majorBidi" w:hAnsiTheme="majorBidi" w:cstheme="majorBidi"/>
        </w:rPr>
        <w:t xml:space="preserve">punktu tiesa var atteikties ierosināt kasācijas tiesvedību, ja, izvērtējot kasācijas sūdzībā vai protestā minētos argumentus, nerodas šaubas par pārsūdzētā nolēmuma tiesiskumu un izskatāmajai lietai </w:t>
      </w:r>
      <w:r w:rsidRPr="005F0616">
        <w:rPr>
          <w:rFonts w:asciiTheme="majorBidi" w:hAnsiTheme="majorBidi" w:cstheme="majorBidi"/>
        </w:rPr>
        <w:t>nav būtiskas nozīmes judikatūras veidošanā.</w:t>
      </w:r>
    </w:p>
    <w:p w14:paraId="015044AE" w14:textId="77777777" w:rsidR="00DC2643" w:rsidRPr="00AC5B92" w:rsidRDefault="008E3A77" w:rsidP="00A17941">
      <w:pPr>
        <w:widowControl w:val="0"/>
        <w:spacing w:after="0" w:line="276" w:lineRule="auto"/>
        <w:ind w:firstLine="720"/>
        <w:jc w:val="both"/>
        <w:rPr>
          <w:rFonts w:asciiTheme="majorBidi" w:hAnsiTheme="majorBidi" w:cstheme="majorBidi"/>
        </w:rPr>
      </w:pPr>
      <w:r w:rsidRPr="005F0616">
        <w:rPr>
          <w:rFonts w:asciiTheme="majorBidi" w:hAnsiTheme="majorBidi" w:cstheme="majorBidi"/>
        </w:rPr>
        <w:t xml:space="preserve">Senāts atzīst, ka kasācijas sūdzības </w:t>
      </w:r>
      <w:r w:rsidR="00C22150" w:rsidRPr="005F0616">
        <w:rPr>
          <w:rFonts w:asciiTheme="majorBidi" w:hAnsiTheme="majorBidi" w:cstheme="majorBidi"/>
        </w:rPr>
        <w:t xml:space="preserve">iesniedzēja </w:t>
      </w:r>
      <w:r w:rsidRPr="005F0616">
        <w:rPr>
          <w:rFonts w:asciiTheme="majorBidi" w:hAnsiTheme="majorBidi" w:cstheme="majorBidi"/>
        </w:rPr>
        <w:t xml:space="preserve">arguments par to, ka lietā ir </w:t>
      </w:r>
      <w:r w:rsidR="00DF31EC" w:rsidRPr="005F0616">
        <w:rPr>
          <w:rFonts w:asciiTheme="majorBidi" w:hAnsiTheme="majorBidi" w:cstheme="majorBidi"/>
        </w:rPr>
        <w:t>konstatējams</w:t>
      </w:r>
      <w:r w:rsidRPr="005F0616">
        <w:rPr>
          <w:rFonts w:asciiTheme="majorBidi" w:hAnsiTheme="majorBidi" w:cstheme="majorBidi"/>
        </w:rPr>
        <w:t xml:space="preserve"> </w:t>
      </w:r>
      <w:r w:rsidR="00DF31EC" w:rsidRPr="005F0616">
        <w:rPr>
          <w:rFonts w:asciiTheme="majorBidi" w:hAnsiTheme="majorBidi" w:cstheme="majorBidi"/>
        </w:rPr>
        <w:t xml:space="preserve">kriminālatbildības </w:t>
      </w:r>
      <w:r w:rsidRPr="005F0616">
        <w:rPr>
          <w:rFonts w:asciiTheme="majorBidi" w:hAnsiTheme="majorBidi" w:cstheme="majorBidi"/>
        </w:rPr>
        <w:t>noilgums</w:t>
      </w:r>
      <w:r w:rsidR="001B69A3">
        <w:rPr>
          <w:rFonts w:asciiTheme="majorBidi" w:hAnsiTheme="majorBidi" w:cstheme="majorBidi"/>
        </w:rPr>
        <w:t>,</w:t>
      </w:r>
      <w:r>
        <w:rPr>
          <w:rFonts w:asciiTheme="majorBidi" w:hAnsiTheme="majorBidi" w:cstheme="majorBidi"/>
        </w:rPr>
        <w:t xml:space="preserve"> </w:t>
      </w:r>
      <w:r w:rsidRPr="008E3A77">
        <w:rPr>
          <w:rFonts w:asciiTheme="majorBidi" w:hAnsiTheme="majorBidi" w:cstheme="majorBidi"/>
        </w:rPr>
        <w:t xml:space="preserve">nerada šaubas par pārsūdzētā </w:t>
      </w:r>
      <w:r>
        <w:rPr>
          <w:rFonts w:asciiTheme="majorBidi" w:hAnsiTheme="majorBidi" w:cstheme="majorBidi"/>
        </w:rPr>
        <w:t>sprieduma</w:t>
      </w:r>
      <w:r w:rsidRPr="008E3A77">
        <w:rPr>
          <w:rFonts w:asciiTheme="majorBidi" w:hAnsiTheme="majorBidi" w:cstheme="majorBidi"/>
        </w:rPr>
        <w:t xml:space="preserve"> tiesiskumu un izskatāmajai lietai nav būtiskas nozīmes judikatūras veidošanā, jo arguments nav saistīts </w:t>
      </w:r>
      <w:r w:rsidRPr="00AC5B92">
        <w:rPr>
          <w:rFonts w:asciiTheme="majorBidi" w:hAnsiTheme="majorBidi" w:cstheme="majorBidi"/>
        </w:rPr>
        <w:t>ar tiesu praksē nozīmīgu tiesību normu interpretāciju.</w:t>
      </w:r>
    </w:p>
    <w:p w14:paraId="7F676BB3" w14:textId="16DF04E3" w:rsidR="00506C83" w:rsidRDefault="00AC5B92" w:rsidP="00A17941">
      <w:pPr>
        <w:widowControl w:val="0"/>
        <w:spacing w:after="0" w:line="276" w:lineRule="auto"/>
        <w:ind w:firstLine="720"/>
        <w:jc w:val="both"/>
        <w:rPr>
          <w:rFonts w:asciiTheme="majorBidi" w:hAnsiTheme="majorBidi" w:cstheme="majorBidi"/>
        </w:rPr>
      </w:pPr>
      <w:r w:rsidRPr="00716FE6">
        <w:rPr>
          <w:rFonts w:asciiTheme="majorBidi" w:hAnsiTheme="majorBidi" w:cstheme="majorBidi"/>
        </w:rPr>
        <w:t>[</w:t>
      </w:r>
      <w:r w:rsidR="00E46395">
        <w:rPr>
          <w:rFonts w:asciiTheme="majorBidi" w:hAnsiTheme="majorBidi" w:cstheme="majorBidi"/>
        </w:rPr>
        <w:t>P</w:t>
      </w:r>
      <w:r w:rsidR="00616142">
        <w:rPr>
          <w:rFonts w:asciiTheme="majorBidi" w:hAnsiTheme="majorBidi" w:cstheme="majorBidi"/>
        </w:rPr>
        <w:t>ers. </w:t>
      </w:r>
      <w:r w:rsidRPr="00716FE6">
        <w:rPr>
          <w:rFonts w:asciiTheme="majorBidi" w:hAnsiTheme="majorBidi" w:cstheme="majorBidi"/>
        </w:rPr>
        <w:t>A] atzīts par vainīgu piecos Krimināllikuma 177. panta pirmajā daļā paredzētajos noziedzīgajos nodarījumos, kas atbilstoši Krimināllikuma 7. pantam ir mazāk smagi noziegumi, un piecos Krimināllikuma 177. panta otrajā daļā paredzētajos noziedzīgajos nodarījumos, kas ir smagi noziegumi. Saskaņā ar Krimināllikuma 56. panta pirmās daļas 3. un 4. punktu personu nevar saukt pie kriminālatbildības, ja no dienas, kad tā izdarījusi noziedzīgu nodarījumu, pagājuši pieci gadi no mazāk smaga nozieguma izdarīšanas un desmit gadi no smaga nozieguma izdarīšanas dienas. Atbilstoši Krimināllikuma 56. panta trešajai daļai noilgums tiek pārtraukts, ja līdz šā panta pirmajā vai 11 daļā norādīto termiņu izbeigšanās brīdim persona, kas izdarījusi noziedzīgo nodarījumu, izdara jaunu noziedzīgu nodarījumu. Šajā gadījumā noilguma laiku, kas paredzēts par smagāko no izdarītajiem noziedzīgajiem nodarījumiem, sāk skaitīt no jaunā noziedzīgā nodarījuma izdarīšanas brīža.</w:t>
      </w:r>
    </w:p>
    <w:p w14:paraId="3D9B9D7A" w14:textId="5E8E7625" w:rsidR="008E3A77" w:rsidRPr="00934860" w:rsidRDefault="008E3A77" w:rsidP="00A17941">
      <w:pPr>
        <w:widowControl w:val="0"/>
        <w:spacing w:after="0" w:line="276" w:lineRule="auto"/>
        <w:ind w:firstLine="720"/>
        <w:jc w:val="both"/>
        <w:rPr>
          <w:rFonts w:asciiTheme="majorBidi" w:hAnsiTheme="majorBidi" w:cstheme="majorBidi"/>
        </w:rPr>
      </w:pPr>
      <w:r w:rsidRPr="00AC5B92">
        <w:rPr>
          <w:rFonts w:asciiTheme="majorBidi" w:hAnsiTheme="majorBidi" w:cstheme="majorBidi"/>
        </w:rPr>
        <w:t>No [</w:t>
      </w:r>
      <w:r w:rsidR="00616142">
        <w:rPr>
          <w:rFonts w:asciiTheme="majorBidi" w:hAnsiTheme="majorBidi" w:cstheme="majorBidi"/>
        </w:rPr>
        <w:t>pers. </w:t>
      </w:r>
      <w:r w:rsidRPr="00AC5B92">
        <w:rPr>
          <w:rFonts w:asciiTheme="majorBidi" w:hAnsiTheme="majorBidi" w:cstheme="majorBidi"/>
        </w:rPr>
        <w:t>A] celtās apsūdzības izriet, ka pēdējais viņam inkriminētais noziedzīgais nodarījums pēc Krimināllikuma 177. panta pirmās daļas izdarīts 2015. gada oktobrī, savukārt lēmums par personas saukšanu pie kriminālatbildības pieņemts 2017. gada 2. oktobrī un apsūdzība [</w:t>
      </w:r>
      <w:r w:rsidR="00616142">
        <w:rPr>
          <w:rFonts w:asciiTheme="majorBidi" w:hAnsiTheme="majorBidi" w:cstheme="majorBidi"/>
        </w:rPr>
        <w:t>pers. </w:t>
      </w:r>
      <w:r w:rsidRPr="00AC5B92">
        <w:rPr>
          <w:rFonts w:asciiTheme="majorBidi" w:hAnsiTheme="majorBidi" w:cstheme="majorBidi"/>
        </w:rPr>
        <w:t>A] izsniegta 2017. gada 1. novembrī (lietas 7. sējuma 8. lapa). Ņemot vērā, ka no noziedzīgu nodarījumu izdarīšanas līdz [</w:t>
      </w:r>
      <w:r w:rsidR="00616142">
        <w:rPr>
          <w:rFonts w:asciiTheme="majorBidi" w:hAnsiTheme="majorBidi" w:cstheme="majorBidi"/>
        </w:rPr>
        <w:t>pers. </w:t>
      </w:r>
      <w:r w:rsidRPr="00AC5B92">
        <w:rPr>
          <w:rFonts w:asciiTheme="majorBidi" w:hAnsiTheme="majorBidi" w:cstheme="majorBidi"/>
        </w:rPr>
        <w:t>A] saukšanai pie kriminālatbildības bija pagājuši divi gadi, kriminālatbildības noilgums nebija iestājies, savukārt sprieduma pasludināšanas laiks neietekmē noilguma termiņu.</w:t>
      </w:r>
    </w:p>
    <w:p w14:paraId="15F52278" w14:textId="77777777" w:rsidR="00DD6358" w:rsidRPr="00195561" w:rsidRDefault="00DD6358" w:rsidP="00A17941">
      <w:pPr>
        <w:widowControl w:val="0"/>
        <w:spacing w:after="0" w:line="276" w:lineRule="auto"/>
        <w:ind w:firstLine="720"/>
        <w:jc w:val="both"/>
        <w:rPr>
          <w:rFonts w:asciiTheme="majorBidi" w:hAnsiTheme="majorBidi" w:cstheme="majorBidi"/>
        </w:rPr>
      </w:pPr>
      <w:r w:rsidRPr="0086639F">
        <w:rPr>
          <w:rFonts w:asciiTheme="majorBidi" w:hAnsiTheme="majorBidi" w:cstheme="majorBidi"/>
        </w:rPr>
        <w:t>Minētais ir pamats atteikumam ierosināt kasācijas tiesvedību šajā daļā saskaņā ar Kriminālprocesa likuma 573.</w:t>
      </w:r>
      <w:r w:rsidRPr="0086639F">
        <w:rPr>
          <w:rFonts w:asciiTheme="majorBidi" w:hAnsiTheme="majorBidi" w:cstheme="majorBidi"/>
          <w:vertAlign w:val="superscript"/>
        </w:rPr>
        <w:t>1</w:t>
      </w:r>
      <w:r w:rsidRPr="0086639F">
        <w:rPr>
          <w:rFonts w:asciiTheme="majorBidi" w:hAnsiTheme="majorBidi" w:cstheme="majorBidi"/>
        </w:rPr>
        <w:t xml:space="preserve"> panta </w:t>
      </w:r>
      <w:r w:rsidRPr="0086639F">
        <w:t>otrās daļas 2. punktu</w:t>
      </w:r>
      <w:r w:rsidRPr="0086639F">
        <w:rPr>
          <w:rFonts w:asciiTheme="majorBidi" w:hAnsiTheme="majorBidi" w:cstheme="majorBidi"/>
        </w:rPr>
        <w:t>.</w:t>
      </w:r>
      <w:r>
        <w:rPr>
          <w:rFonts w:asciiTheme="majorBidi" w:hAnsiTheme="majorBidi" w:cstheme="majorBidi"/>
        </w:rPr>
        <w:t xml:space="preserve"> </w:t>
      </w:r>
    </w:p>
    <w:p w14:paraId="78382491" w14:textId="77777777" w:rsidR="00DD6358" w:rsidRDefault="00DD6358" w:rsidP="00A17941">
      <w:pPr>
        <w:widowControl w:val="0"/>
        <w:spacing w:after="0" w:line="276" w:lineRule="auto"/>
        <w:ind w:firstLine="720"/>
        <w:jc w:val="both"/>
      </w:pPr>
      <w:r>
        <w:lastRenderedPageBreak/>
        <w:t>Pamatojoties uz Kriminālprocesa likuma 573. panta trešo un piekto daļu, 573.</w:t>
      </w:r>
      <w:r w:rsidRPr="00090037">
        <w:rPr>
          <w:vertAlign w:val="superscript"/>
        </w:rPr>
        <w:t>1</w:t>
      </w:r>
      <w:r w:rsidRPr="006700B0">
        <w:t> </w:t>
      </w:r>
      <w:r>
        <w:t xml:space="preserve">panta pirmo daļu un </w:t>
      </w:r>
      <w:r w:rsidRPr="0086639F">
        <w:t>otrās daļas 2. punktu</w:t>
      </w:r>
      <w:r>
        <w:t>, Senāts</w:t>
      </w:r>
    </w:p>
    <w:p w14:paraId="1CDFB9C0" w14:textId="77777777" w:rsidR="00A15090" w:rsidRPr="00934860" w:rsidRDefault="00A15090" w:rsidP="00A17941">
      <w:pPr>
        <w:widowControl w:val="0"/>
        <w:spacing w:after="0" w:line="276" w:lineRule="auto"/>
        <w:ind w:firstLine="720"/>
        <w:jc w:val="both"/>
      </w:pPr>
    </w:p>
    <w:p w14:paraId="4DE5C3F4" w14:textId="77777777" w:rsidR="00A15090" w:rsidRPr="00934860" w:rsidRDefault="00A15090" w:rsidP="00A17941">
      <w:pPr>
        <w:widowControl w:val="0"/>
        <w:spacing w:after="0" w:line="276" w:lineRule="auto"/>
        <w:jc w:val="center"/>
        <w:rPr>
          <w:b/>
          <w:bCs/>
        </w:rPr>
      </w:pPr>
      <w:r w:rsidRPr="00934860">
        <w:rPr>
          <w:b/>
          <w:bCs/>
        </w:rPr>
        <w:t>nolēma</w:t>
      </w:r>
    </w:p>
    <w:p w14:paraId="029B533E" w14:textId="77777777" w:rsidR="00A15090" w:rsidRPr="00934860" w:rsidRDefault="00A15090" w:rsidP="00A17941">
      <w:pPr>
        <w:widowControl w:val="0"/>
        <w:spacing w:after="0" w:line="276" w:lineRule="auto"/>
        <w:ind w:firstLine="720"/>
        <w:jc w:val="both"/>
      </w:pPr>
    </w:p>
    <w:p w14:paraId="1BD51EB5" w14:textId="77777777" w:rsidR="00A15090" w:rsidRPr="00934860" w:rsidRDefault="00A15090" w:rsidP="00A17941">
      <w:pPr>
        <w:widowControl w:val="0"/>
        <w:spacing w:after="0" w:line="276" w:lineRule="auto"/>
        <w:ind w:firstLine="720"/>
        <w:jc w:val="both"/>
      </w:pPr>
      <w:r w:rsidRPr="00934860">
        <w:t>atteikt ierosināt kasācijas tiesvedību.</w:t>
      </w:r>
    </w:p>
    <w:p w14:paraId="5A07CD89" w14:textId="77777777" w:rsidR="00A15090" w:rsidRPr="00934860" w:rsidRDefault="00A15090" w:rsidP="00A17941">
      <w:pPr>
        <w:widowControl w:val="0"/>
        <w:spacing w:after="0" w:line="276" w:lineRule="auto"/>
        <w:jc w:val="both"/>
      </w:pPr>
    </w:p>
    <w:p w14:paraId="254293D8" w14:textId="1A5749E0" w:rsidR="00066D11" w:rsidRDefault="00A15090" w:rsidP="00616142">
      <w:pPr>
        <w:widowControl w:val="0"/>
        <w:spacing w:after="0" w:line="276" w:lineRule="auto"/>
        <w:ind w:firstLine="720"/>
        <w:jc w:val="both"/>
      </w:pPr>
      <w:r w:rsidRPr="00934860">
        <w:t>Lēmums nav pārsūdzams.</w:t>
      </w:r>
    </w:p>
    <w:sectPr w:rsidR="00066D11" w:rsidSect="00A15090">
      <w:headerReference w:type="default" r:id="rId9"/>
      <w:footerReference w:type="default" r:id="rId10"/>
      <w:footerReference w:type="first" r:id="rId11"/>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18014" w14:textId="77777777" w:rsidR="00FA3896" w:rsidRDefault="00FA3896">
      <w:pPr>
        <w:spacing w:after="0" w:line="240" w:lineRule="auto"/>
      </w:pPr>
      <w:r>
        <w:separator/>
      </w:r>
    </w:p>
  </w:endnote>
  <w:endnote w:type="continuationSeparator" w:id="0">
    <w:p w14:paraId="66658C7D" w14:textId="77777777" w:rsidR="00FA3896" w:rsidRDefault="00FA3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69312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673BBC56" w14:textId="77777777" w:rsidR="00A15090" w:rsidRPr="00F32B99" w:rsidRDefault="00A15090" w:rsidP="00220388">
            <w:pPr>
              <w:pStyle w:val="Footer"/>
              <w:jc w:val="center"/>
            </w:pPr>
            <w:r w:rsidRPr="00F32B99">
              <w:rPr>
                <w:sz w:val="20"/>
                <w:szCs w:val="20"/>
              </w:rPr>
              <w:fldChar w:fldCharType="begin"/>
            </w:r>
            <w:r w:rsidRPr="00F32B99">
              <w:rPr>
                <w:sz w:val="20"/>
                <w:szCs w:val="20"/>
              </w:rPr>
              <w:instrText xml:space="preserve"> PAGE </w:instrText>
            </w:r>
            <w:r w:rsidRPr="00F32B99">
              <w:rPr>
                <w:sz w:val="20"/>
                <w:szCs w:val="20"/>
              </w:rPr>
              <w:fldChar w:fldCharType="separate"/>
            </w:r>
            <w:r w:rsidRPr="00F32B99">
              <w:rPr>
                <w:sz w:val="20"/>
                <w:szCs w:val="20"/>
              </w:rPr>
              <w:t>2</w:t>
            </w:r>
            <w:r w:rsidRPr="00F32B99">
              <w:rPr>
                <w:sz w:val="20"/>
                <w:szCs w:val="20"/>
              </w:rPr>
              <w:fldChar w:fldCharType="end"/>
            </w:r>
            <w:r w:rsidRPr="00F32B99">
              <w:rPr>
                <w:sz w:val="20"/>
                <w:szCs w:val="20"/>
              </w:rPr>
              <w:t xml:space="preserve"> no </w:t>
            </w:r>
            <w:r w:rsidRPr="00F32B99">
              <w:rPr>
                <w:sz w:val="20"/>
                <w:szCs w:val="20"/>
              </w:rPr>
              <w:fldChar w:fldCharType="begin"/>
            </w:r>
            <w:r w:rsidRPr="00F32B99">
              <w:rPr>
                <w:sz w:val="20"/>
                <w:szCs w:val="20"/>
              </w:rPr>
              <w:instrText xml:space="preserve"> NUMPAGES  </w:instrText>
            </w:r>
            <w:r w:rsidRPr="00F32B99">
              <w:rPr>
                <w:sz w:val="20"/>
                <w:szCs w:val="20"/>
              </w:rPr>
              <w:fldChar w:fldCharType="separate"/>
            </w:r>
            <w:r w:rsidRPr="00F32B99">
              <w:rPr>
                <w:sz w:val="20"/>
                <w:szCs w:val="20"/>
              </w:rPr>
              <w:t>2</w:t>
            </w:r>
            <w:r w:rsidRPr="00F32B99">
              <w:rPr>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543170"/>
      <w:docPartObj>
        <w:docPartGallery w:val="Page Numbers (Bottom of Page)"/>
        <w:docPartUnique/>
      </w:docPartObj>
    </w:sdtPr>
    <w:sdtEndPr/>
    <w:sdtContent>
      <w:sdt>
        <w:sdtPr>
          <w:id w:val="-1260518195"/>
          <w:docPartObj>
            <w:docPartGallery w:val="Page Numbers (Top of Page)"/>
            <w:docPartUnique/>
          </w:docPartObj>
        </w:sdtPr>
        <w:sdtEndPr/>
        <w:sdtContent>
          <w:p w14:paraId="35156F2B" w14:textId="77777777" w:rsidR="00A15090" w:rsidRPr="00F32B99" w:rsidRDefault="00A15090" w:rsidP="00220388">
            <w:pPr>
              <w:pStyle w:val="Footer"/>
              <w:jc w:val="center"/>
            </w:pPr>
            <w:r w:rsidRPr="00F32B99">
              <w:rPr>
                <w:sz w:val="20"/>
                <w:szCs w:val="20"/>
              </w:rPr>
              <w:fldChar w:fldCharType="begin"/>
            </w:r>
            <w:r w:rsidRPr="00F32B99">
              <w:rPr>
                <w:sz w:val="20"/>
                <w:szCs w:val="20"/>
              </w:rPr>
              <w:instrText xml:space="preserve"> PAGE </w:instrText>
            </w:r>
            <w:r w:rsidRPr="00F32B99">
              <w:rPr>
                <w:sz w:val="20"/>
                <w:szCs w:val="20"/>
              </w:rPr>
              <w:fldChar w:fldCharType="separate"/>
            </w:r>
            <w:r w:rsidRPr="00F32B99">
              <w:rPr>
                <w:sz w:val="20"/>
                <w:szCs w:val="20"/>
              </w:rPr>
              <w:t>2</w:t>
            </w:r>
            <w:r w:rsidRPr="00F32B99">
              <w:rPr>
                <w:sz w:val="20"/>
                <w:szCs w:val="20"/>
              </w:rPr>
              <w:fldChar w:fldCharType="end"/>
            </w:r>
            <w:r w:rsidRPr="00F32B99">
              <w:rPr>
                <w:sz w:val="20"/>
                <w:szCs w:val="20"/>
              </w:rPr>
              <w:t xml:space="preserve"> no </w:t>
            </w:r>
            <w:r w:rsidRPr="00F32B99">
              <w:rPr>
                <w:sz w:val="20"/>
                <w:szCs w:val="20"/>
              </w:rPr>
              <w:fldChar w:fldCharType="begin"/>
            </w:r>
            <w:r w:rsidRPr="00F32B99">
              <w:rPr>
                <w:sz w:val="20"/>
                <w:szCs w:val="20"/>
              </w:rPr>
              <w:instrText xml:space="preserve"> NUMPAGES  </w:instrText>
            </w:r>
            <w:r w:rsidRPr="00F32B99">
              <w:rPr>
                <w:sz w:val="20"/>
                <w:szCs w:val="20"/>
              </w:rPr>
              <w:fldChar w:fldCharType="separate"/>
            </w:r>
            <w:r w:rsidRPr="00F32B99">
              <w:rPr>
                <w:sz w:val="20"/>
                <w:szCs w:val="20"/>
              </w:rPr>
              <w:t>2</w:t>
            </w:r>
            <w:r w:rsidRPr="00F32B99">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2C793" w14:textId="77777777" w:rsidR="00FA3896" w:rsidRDefault="00FA3896">
      <w:pPr>
        <w:spacing w:after="0" w:line="240" w:lineRule="auto"/>
      </w:pPr>
      <w:r>
        <w:separator/>
      </w:r>
    </w:p>
  </w:footnote>
  <w:footnote w:type="continuationSeparator" w:id="0">
    <w:p w14:paraId="63D8F0B5" w14:textId="77777777" w:rsidR="00FA3896" w:rsidRDefault="00FA38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0B78C" w14:textId="77777777" w:rsidR="00E43FA0" w:rsidRDefault="00E43F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090"/>
    <w:rsid w:val="00017FB9"/>
    <w:rsid w:val="00034FB6"/>
    <w:rsid w:val="00037854"/>
    <w:rsid w:val="00051C9B"/>
    <w:rsid w:val="00053E78"/>
    <w:rsid w:val="00055F1D"/>
    <w:rsid w:val="000647D2"/>
    <w:rsid w:val="00066D11"/>
    <w:rsid w:val="00080F89"/>
    <w:rsid w:val="000A0D89"/>
    <w:rsid w:val="000C38EE"/>
    <w:rsid w:val="000C5846"/>
    <w:rsid w:val="000C5A65"/>
    <w:rsid w:val="000D4349"/>
    <w:rsid w:val="000D552D"/>
    <w:rsid w:val="000E1B6B"/>
    <w:rsid w:val="000F2EB4"/>
    <w:rsid w:val="000F6BC8"/>
    <w:rsid w:val="001142F9"/>
    <w:rsid w:val="001173A2"/>
    <w:rsid w:val="001457A5"/>
    <w:rsid w:val="0017531E"/>
    <w:rsid w:val="001A0F1B"/>
    <w:rsid w:val="001B69A3"/>
    <w:rsid w:val="001C1512"/>
    <w:rsid w:val="001C4FFF"/>
    <w:rsid w:val="001F5669"/>
    <w:rsid w:val="002547C1"/>
    <w:rsid w:val="00273601"/>
    <w:rsid w:val="0027392E"/>
    <w:rsid w:val="00275F83"/>
    <w:rsid w:val="002A48AE"/>
    <w:rsid w:val="002B06B3"/>
    <w:rsid w:val="002B6191"/>
    <w:rsid w:val="002C0681"/>
    <w:rsid w:val="002C5171"/>
    <w:rsid w:val="002E4D85"/>
    <w:rsid w:val="00313FF4"/>
    <w:rsid w:val="00342464"/>
    <w:rsid w:val="00362474"/>
    <w:rsid w:val="003723EA"/>
    <w:rsid w:val="00382544"/>
    <w:rsid w:val="003D4E56"/>
    <w:rsid w:val="00420041"/>
    <w:rsid w:val="00421F8F"/>
    <w:rsid w:val="004243B3"/>
    <w:rsid w:val="00427524"/>
    <w:rsid w:val="0046113A"/>
    <w:rsid w:val="004642C6"/>
    <w:rsid w:val="00471C90"/>
    <w:rsid w:val="00493C7C"/>
    <w:rsid w:val="004943FD"/>
    <w:rsid w:val="004A6633"/>
    <w:rsid w:val="004D5513"/>
    <w:rsid w:val="004F0263"/>
    <w:rsid w:val="004F4AF4"/>
    <w:rsid w:val="00506C83"/>
    <w:rsid w:val="0055133C"/>
    <w:rsid w:val="005625A0"/>
    <w:rsid w:val="005750C3"/>
    <w:rsid w:val="00586822"/>
    <w:rsid w:val="005C0EA3"/>
    <w:rsid w:val="005C1370"/>
    <w:rsid w:val="005E450A"/>
    <w:rsid w:val="005F0616"/>
    <w:rsid w:val="00616142"/>
    <w:rsid w:val="00616853"/>
    <w:rsid w:val="00621A5C"/>
    <w:rsid w:val="00622412"/>
    <w:rsid w:val="00625164"/>
    <w:rsid w:val="00630E9E"/>
    <w:rsid w:val="0066288B"/>
    <w:rsid w:val="00672E35"/>
    <w:rsid w:val="00677ADF"/>
    <w:rsid w:val="00681394"/>
    <w:rsid w:val="0069572E"/>
    <w:rsid w:val="006A3E8A"/>
    <w:rsid w:val="006A5977"/>
    <w:rsid w:val="006B167D"/>
    <w:rsid w:val="006B1C61"/>
    <w:rsid w:val="006B46E4"/>
    <w:rsid w:val="006B663A"/>
    <w:rsid w:val="006C4E5D"/>
    <w:rsid w:val="006F40A4"/>
    <w:rsid w:val="006F69C8"/>
    <w:rsid w:val="0071068E"/>
    <w:rsid w:val="00710A6F"/>
    <w:rsid w:val="007134A4"/>
    <w:rsid w:val="00716FE6"/>
    <w:rsid w:val="007211FF"/>
    <w:rsid w:val="00736607"/>
    <w:rsid w:val="00765BED"/>
    <w:rsid w:val="007667AC"/>
    <w:rsid w:val="007B1C62"/>
    <w:rsid w:val="007B1FE5"/>
    <w:rsid w:val="007B7C89"/>
    <w:rsid w:val="007C0A45"/>
    <w:rsid w:val="007C3B7C"/>
    <w:rsid w:val="007C4F15"/>
    <w:rsid w:val="008218B3"/>
    <w:rsid w:val="00822C29"/>
    <w:rsid w:val="00890BDC"/>
    <w:rsid w:val="00892D0A"/>
    <w:rsid w:val="008A5DB3"/>
    <w:rsid w:val="008B6D89"/>
    <w:rsid w:val="008C5500"/>
    <w:rsid w:val="008E3A77"/>
    <w:rsid w:val="008E6B0D"/>
    <w:rsid w:val="008F0B96"/>
    <w:rsid w:val="008F6E15"/>
    <w:rsid w:val="00906528"/>
    <w:rsid w:val="00915519"/>
    <w:rsid w:val="0091722D"/>
    <w:rsid w:val="00925071"/>
    <w:rsid w:val="0092784D"/>
    <w:rsid w:val="00931B83"/>
    <w:rsid w:val="00934860"/>
    <w:rsid w:val="0095058F"/>
    <w:rsid w:val="00963FC9"/>
    <w:rsid w:val="009755C8"/>
    <w:rsid w:val="00975EEF"/>
    <w:rsid w:val="009831DD"/>
    <w:rsid w:val="009C41ED"/>
    <w:rsid w:val="009D751F"/>
    <w:rsid w:val="009E025B"/>
    <w:rsid w:val="009E1E40"/>
    <w:rsid w:val="009F797F"/>
    <w:rsid w:val="00A15090"/>
    <w:rsid w:val="00A17941"/>
    <w:rsid w:val="00A220EB"/>
    <w:rsid w:val="00A52EFA"/>
    <w:rsid w:val="00A541FD"/>
    <w:rsid w:val="00A56408"/>
    <w:rsid w:val="00A64903"/>
    <w:rsid w:val="00A82BCB"/>
    <w:rsid w:val="00A83F94"/>
    <w:rsid w:val="00A868AB"/>
    <w:rsid w:val="00A93DE1"/>
    <w:rsid w:val="00AC5B92"/>
    <w:rsid w:val="00AD32D8"/>
    <w:rsid w:val="00AF02B0"/>
    <w:rsid w:val="00AF3631"/>
    <w:rsid w:val="00B131FB"/>
    <w:rsid w:val="00B54BC4"/>
    <w:rsid w:val="00B7730A"/>
    <w:rsid w:val="00B84F51"/>
    <w:rsid w:val="00B86F30"/>
    <w:rsid w:val="00B94224"/>
    <w:rsid w:val="00B95276"/>
    <w:rsid w:val="00BB6D3A"/>
    <w:rsid w:val="00BD4819"/>
    <w:rsid w:val="00BF152F"/>
    <w:rsid w:val="00BF7A8E"/>
    <w:rsid w:val="00C04C2B"/>
    <w:rsid w:val="00C05E60"/>
    <w:rsid w:val="00C1116E"/>
    <w:rsid w:val="00C1359C"/>
    <w:rsid w:val="00C2040A"/>
    <w:rsid w:val="00C22150"/>
    <w:rsid w:val="00C37F33"/>
    <w:rsid w:val="00C40263"/>
    <w:rsid w:val="00C4152D"/>
    <w:rsid w:val="00C56DB3"/>
    <w:rsid w:val="00CA0EAC"/>
    <w:rsid w:val="00CA3AA7"/>
    <w:rsid w:val="00CA3D5E"/>
    <w:rsid w:val="00CA6B65"/>
    <w:rsid w:val="00CA7FAB"/>
    <w:rsid w:val="00CE2D7C"/>
    <w:rsid w:val="00CE3225"/>
    <w:rsid w:val="00CE7290"/>
    <w:rsid w:val="00CF431A"/>
    <w:rsid w:val="00D3240F"/>
    <w:rsid w:val="00D374ED"/>
    <w:rsid w:val="00D5257F"/>
    <w:rsid w:val="00D63634"/>
    <w:rsid w:val="00D673DF"/>
    <w:rsid w:val="00D8089F"/>
    <w:rsid w:val="00D930F7"/>
    <w:rsid w:val="00DA250F"/>
    <w:rsid w:val="00DB2D02"/>
    <w:rsid w:val="00DC2643"/>
    <w:rsid w:val="00DC608C"/>
    <w:rsid w:val="00DD3151"/>
    <w:rsid w:val="00DD6358"/>
    <w:rsid w:val="00DE3C73"/>
    <w:rsid w:val="00DF05BF"/>
    <w:rsid w:val="00DF31EC"/>
    <w:rsid w:val="00E134DA"/>
    <w:rsid w:val="00E21FC9"/>
    <w:rsid w:val="00E31657"/>
    <w:rsid w:val="00E4054A"/>
    <w:rsid w:val="00E43FA0"/>
    <w:rsid w:val="00E46395"/>
    <w:rsid w:val="00E658C1"/>
    <w:rsid w:val="00E8279C"/>
    <w:rsid w:val="00EA5D5D"/>
    <w:rsid w:val="00EB0E60"/>
    <w:rsid w:val="00EB3CD2"/>
    <w:rsid w:val="00EB7570"/>
    <w:rsid w:val="00EE76D2"/>
    <w:rsid w:val="00F008C2"/>
    <w:rsid w:val="00F12268"/>
    <w:rsid w:val="00F20316"/>
    <w:rsid w:val="00F256EC"/>
    <w:rsid w:val="00F25A08"/>
    <w:rsid w:val="00F30B8C"/>
    <w:rsid w:val="00F316F2"/>
    <w:rsid w:val="00F32627"/>
    <w:rsid w:val="00F67E35"/>
    <w:rsid w:val="00F755AF"/>
    <w:rsid w:val="00F77D0E"/>
    <w:rsid w:val="00F866D9"/>
    <w:rsid w:val="00FA3896"/>
    <w:rsid w:val="00FA5F8D"/>
    <w:rsid w:val="00FC1D2D"/>
    <w:rsid w:val="00FC670C"/>
    <w:rsid w:val="00FD012C"/>
    <w:rsid w:val="00FD038B"/>
    <w:rsid w:val="00FD17A0"/>
    <w:rsid w:val="00FF5F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C4F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aj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090"/>
    <w:rPr>
      <w:rFonts w:cstheme="minorBidi"/>
      <w:lang w:val="lv-LV"/>
    </w:rPr>
  </w:style>
  <w:style w:type="paragraph" w:styleId="Heading1">
    <w:name w:val="heading 1"/>
    <w:basedOn w:val="Normal"/>
    <w:next w:val="Normal"/>
    <w:link w:val="Heading1Char"/>
    <w:uiPriority w:val="9"/>
    <w:qFormat/>
    <w:rsid w:val="00A15090"/>
    <w:pPr>
      <w:keepNext/>
      <w:keepLines/>
      <w:spacing w:before="360" w:after="80"/>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A15090"/>
    <w:pPr>
      <w:keepNext/>
      <w:keepLines/>
      <w:spacing w:before="160" w:after="80"/>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A15090"/>
    <w:pPr>
      <w:keepNext/>
      <w:keepLines/>
      <w:spacing w:before="160" w:after="80"/>
      <w:outlineLvl w:val="2"/>
    </w:pPr>
    <w:rPr>
      <w:rFonts w:asciiTheme="minorHAnsi" w:eastAsiaTheme="majorEastAsia" w:hAnsiTheme="minorHAnsi"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A15090"/>
    <w:pPr>
      <w:keepNext/>
      <w:keepLines/>
      <w:spacing w:before="80" w:after="40"/>
      <w:outlineLvl w:val="3"/>
    </w:pPr>
    <w:rPr>
      <w:rFonts w:asciiTheme="minorHAnsi" w:eastAsiaTheme="majorEastAsia" w:hAnsiTheme="minorHAnsi" w:cstheme="majorBidi"/>
      <w:i/>
      <w:iCs/>
      <w:color w:val="0F4761" w:themeColor="accent1" w:themeShade="BF"/>
      <w:lang w:val="en-US"/>
    </w:rPr>
  </w:style>
  <w:style w:type="paragraph" w:styleId="Heading5">
    <w:name w:val="heading 5"/>
    <w:basedOn w:val="Normal"/>
    <w:next w:val="Normal"/>
    <w:link w:val="Heading5Char"/>
    <w:uiPriority w:val="9"/>
    <w:semiHidden/>
    <w:unhideWhenUsed/>
    <w:qFormat/>
    <w:rsid w:val="00A15090"/>
    <w:pPr>
      <w:keepNext/>
      <w:keepLines/>
      <w:spacing w:before="80" w:after="40"/>
      <w:outlineLvl w:val="4"/>
    </w:pPr>
    <w:rPr>
      <w:rFonts w:asciiTheme="minorHAnsi" w:eastAsiaTheme="majorEastAsia" w:hAnsiTheme="minorHAnsi" w:cstheme="majorBidi"/>
      <w:color w:val="0F4761" w:themeColor="accent1" w:themeShade="BF"/>
      <w:lang w:val="en-US"/>
    </w:rPr>
  </w:style>
  <w:style w:type="paragraph" w:styleId="Heading6">
    <w:name w:val="heading 6"/>
    <w:basedOn w:val="Normal"/>
    <w:next w:val="Normal"/>
    <w:link w:val="Heading6Char"/>
    <w:uiPriority w:val="9"/>
    <w:semiHidden/>
    <w:unhideWhenUsed/>
    <w:qFormat/>
    <w:rsid w:val="00A15090"/>
    <w:pPr>
      <w:keepNext/>
      <w:keepLines/>
      <w:spacing w:before="40" w:after="0"/>
      <w:outlineLvl w:val="5"/>
    </w:pPr>
    <w:rPr>
      <w:rFonts w:asciiTheme="minorHAnsi" w:eastAsiaTheme="majorEastAsia" w:hAnsiTheme="minorHAnsi"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0A15090"/>
    <w:pPr>
      <w:keepNext/>
      <w:keepLines/>
      <w:spacing w:before="40" w:after="0"/>
      <w:outlineLvl w:val="6"/>
    </w:pPr>
    <w:rPr>
      <w:rFonts w:asciiTheme="minorHAnsi" w:eastAsiaTheme="majorEastAsia" w:hAnsiTheme="minorHAnsi" w:cstheme="majorBidi"/>
      <w:color w:val="595959" w:themeColor="text1" w:themeTint="A6"/>
      <w:lang w:val="en-US"/>
    </w:rPr>
  </w:style>
  <w:style w:type="paragraph" w:styleId="Heading8">
    <w:name w:val="heading 8"/>
    <w:basedOn w:val="Normal"/>
    <w:next w:val="Normal"/>
    <w:link w:val="Heading8Char"/>
    <w:uiPriority w:val="9"/>
    <w:semiHidden/>
    <w:unhideWhenUsed/>
    <w:qFormat/>
    <w:rsid w:val="00A15090"/>
    <w:pPr>
      <w:keepNext/>
      <w:keepLines/>
      <w:spacing w:after="0"/>
      <w:outlineLvl w:val="7"/>
    </w:pPr>
    <w:rPr>
      <w:rFonts w:asciiTheme="minorHAnsi" w:eastAsiaTheme="majorEastAsia" w:hAnsiTheme="minorHAnsi" w:cstheme="majorBidi"/>
      <w:i/>
      <w:iCs/>
      <w:color w:val="272727" w:themeColor="text1" w:themeTint="D8"/>
      <w:lang w:val="en-US"/>
    </w:rPr>
  </w:style>
  <w:style w:type="paragraph" w:styleId="Heading9">
    <w:name w:val="heading 9"/>
    <w:basedOn w:val="Normal"/>
    <w:next w:val="Normal"/>
    <w:link w:val="Heading9Char"/>
    <w:uiPriority w:val="9"/>
    <w:semiHidden/>
    <w:unhideWhenUsed/>
    <w:qFormat/>
    <w:rsid w:val="00A15090"/>
    <w:pPr>
      <w:keepNext/>
      <w:keepLines/>
      <w:spacing w:after="0"/>
      <w:outlineLvl w:val="8"/>
    </w:pPr>
    <w:rPr>
      <w:rFonts w:asciiTheme="minorHAnsi" w:eastAsiaTheme="majorEastAsia" w:hAnsiTheme="minorHAnsi" w:cstheme="majorBidi"/>
      <w:color w:val="272727" w:themeColor="text1" w:themeTint="D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090"/>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A15090"/>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A15090"/>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A15090"/>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A15090"/>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A15090"/>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A15090"/>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A15090"/>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A15090"/>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A15090"/>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A15090"/>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A15090"/>
    <w:pPr>
      <w:numPr>
        <w:ilvl w:val="1"/>
      </w:numPr>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A15090"/>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A15090"/>
    <w:pPr>
      <w:spacing w:before="160"/>
      <w:jc w:val="center"/>
    </w:pPr>
    <w:rPr>
      <w:rFonts w:cstheme="majorBidi"/>
      <w:i/>
      <w:iCs/>
      <w:color w:val="404040" w:themeColor="text1" w:themeTint="BF"/>
      <w:lang w:val="en-US"/>
    </w:rPr>
  </w:style>
  <w:style w:type="character" w:customStyle="1" w:styleId="QuoteChar">
    <w:name w:val="Quote Char"/>
    <w:basedOn w:val="DefaultParagraphFont"/>
    <w:link w:val="Quote"/>
    <w:uiPriority w:val="29"/>
    <w:rsid w:val="00A15090"/>
    <w:rPr>
      <w:i/>
      <w:iCs/>
      <w:color w:val="404040" w:themeColor="text1" w:themeTint="BF"/>
    </w:rPr>
  </w:style>
  <w:style w:type="paragraph" w:styleId="ListParagraph">
    <w:name w:val="List Paragraph"/>
    <w:basedOn w:val="Normal"/>
    <w:uiPriority w:val="34"/>
    <w:qFormat/>
    <w:rsid w:val="00A15090"/>
    <w:pPr>
      <w:ind w:left="720"/>
      <w:contextualSpacing/>
    </w:pPr>
    <w:rPr>
      <w:rFonts w:cstheme="majorBidi"/>
      <w:lang w:val="en-US"/>
    </w:rPr>
  </w:style>
  <w:style w:type="character" w:styleId="IntenseEmphasis">
    <w:name w:val="Intense Emphasis"/>
    <w:basedOn w:val="DefaultParagraphFont"/>
    <w:uiPriority w:val="21"/>
    <w:qFormat/>
    <w:rsid w:val="00A15090"/>
    <w:rPr>
      <w:i/>
      <w:iCs/>
      <w:color w:val="0F4761" w:themeColor="accent1" w:themeShade="BF"/>
    </w:rPr>
  </w:style>
  <w:style w:type="paragraph" w:styleId="IntenseQuote">
    <w:name w:val="Intense Quote"/>
    <w:basedOn w:val="Normal"/>
    <w:next w:val="Normal"/>
    <w:link w:val="IntenseQuoteChar"/>
    <w:uiPriority w:val="30"/>
    <w:qFormat/>
    <w:rsid w:val="00A15090"/>
    <w:pPr>
      <w:pBdr>
        <w:top w:val="single" w:sz="4" w:space="10" w:color="0F4761" w:themeColor="accent1" w:themeShade="BF"/>
        <w:bottom w:val="single" w:sz="4" w:space="10" w:color="0F4761" w:themeColor="accent1" w:themeShade="BF"/>
      </w:pBdr>
      <w:spacing w:before="360" w:after="360"/>
      <w:ind w:left="864" w:right="864"/>
      <w:jc w:val="center"/>
    </w:pPr>
    <w:rPr>
      <w:rFonts w:cstheme="majorBidi"/>
      <w:i/>
      <w:iCs/>
      <w:color w:val="0F4761" w:themeColor="accent1" w:themeShade="BF"/>
      <w:lang w:val="en-US"/>
    </w:rPr>
  </w:style>
  <w:style w:type="character" w:customStyle="1" w:styleId="IntenseQuoteChar">
    <w:name w:val="Intense Quote Char"/>
    <w:basedOn w:val="DefaultParagraphFont"/>
    <w:link w:val="IntenseQuote"/>
    <w:uiPriority w:val="30"/>
    <w:rsid w:val="00A15090"/>
    <w:rPr>
      <w:i/>
      <w:iCs/>
      <w:color w:val="0F4761" w:themeColor="accent1" w:themeShade="BF"/>
    </w:rPr>
  </w:style>
  <w:style w:type="character" w:styleId="IntenseReference">
    <w:name w:val="Intense Reference"/>
    <w:basedOn w:val="DefaultParagraphFont"/>
    <w:uiPriority w:val="32"/>
    <w:qFormat/>
    <w:rsid w:val="00A15090"/>
    <w:rPr>
      <w:b/>
      <w:bCs/>
      <w:smallCaps/>
      <w:color w:val="0F4761" w:themeColor="accent1" w:themeShade="BF"/>
      <w:spacing w:val="5"/>
    </w:rPr>
  </w:style>
  <w:style w:type="paragraph" w:styleId="Footer">
    <w:name w:val="footer"/>
    <w:basedOn w:val="Normal"/>
    <w:link w:val="FooterChar"/>
    <w:uiPriority w:val="99"/>
    <w:unhideWhenUsed/>
    <w:rsid w:val="00A150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090"/>
    <w:rPr>
      <w:rFonts w:cstheme="minorBidi"/>
      <w:lang w:val="lv-LV"/>
    </w:rPr>
  </w:style>
  <w:style w:type="table" w:styleId="TableGrid">
    <w:name w:val="Table Grid"/>
    <w:basedOn w:val="TableNormal"/>
    <w:uiPriority w:val="39"/>
    <w:rsid w:val="00A15090"/>
    <w:pPr>
      <w:spacing w:after="0" w:line="240" w:lineRule="auto"/>
    </w:pPr>
    <w:rPr>
      <w:rFonts w:cstheme="minorBidi"/>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058F"/>
    <w:rPr>
      <w:sz w:val="16"/>
      <w:szCs w:val="16"/>
    </w:rPr>
  </w:style>
  <w:style w:type="paragraph" w:styleId="CommentText">
    <w:name w:val="annotation text"/>
    <w:basedOn w:val="Normal"/>
    <w:link w:val="CommentTextChar"/>
    <w:uiPriority w:val="99"/>
    <w:unhideWhenUsed/>
    <w:rsid w:val="0095058F"/>
    <w:pPr>
      <w:spacing w:line="240" w:lineRule="auto"/>
    </w:pPr>
    <w:rPr>
      <w:sz w:val="20"/>
      <w:szCs w:val="20"/>
    </w:rPr>
  </w:style>
  <w:style w:type="character" w:customStyle="1" w:styleId="CommentTextChar">
    <w:name w:val="Comment Text Char"/>
    <w:basedOn w:val="DefaultParagraphFont"/>
    <w:link w:val="CommentText"/>
    <w:uiPriority w:val="99"/>
    <w:rsid w:val="0095058F"/>
    <w:rPr>
      <w:rFonts w:cstheme="minorBidi"/>
      <w:sz w:val="20"/>
      <w:szCs w:val="20"/>
      <w:lang w:val="lv-LV"/>
    </w:rPr>
  </w:style>
  <w:style w:type="paragraph" w:styleId="CommentSubject">
    <w:name w:val="annotation subject"/>
    <w:basedOn w:val="CommentText"/>
    <w:next w:val="CommentText"/>
    <w:link w:val="CommentSubjectChar"/>
    <w:uiPriority w:val="99"/>
    <w:semiHidden/>
    <w:unhideWhenUsed/>
    <w:rsid w:val="0095058F"/>
    <w:rPr>
      <w:b/>
      <w:bCs/>
    </w:rPr>
  </w:style>
  <w:style w:type="character" w:customStyle="1" w:styleId="CommentSubjectChar">
    <w:name w:val="Comment Subject Char"/>
    <w:basedOn w:val="CommentTextChar"/>
    <w:link w:val="CommentSubject"/>
    <w:uiPriority w:val="99"/>
    <w:semiHidden/>
    <w:rsid w:val="0095058F"/>
    <w:rPr>
      <w:rFonts w:cstheme="minorBidi"/>
      <w:b/>
      <w:bCs/>
      <w:sz w:val="20"/>
      <w:szCs w:val="20"/>
      <w:lang w:val="lv-LV"/>
    </w:rPr>
  </w:style>
  <w:style w:type="paragraph" w:styleId="Revision">
    <w:name w:val="Revision"/>
    <w:hidden/>
    <w:uiPriority w:val="99"/>
    <w:semiHidden/>
    <w:rsid w:val="0046113A"/>
    <w:pPr>
      <w:spacing w:after="0" w:line="240" w:lineRule="auto"/>
    </w:pPr>
    <w:rPr>
      <w:rFonts w:cstheme="minorBidi"/>
      <w:lang w:val="lv-LV"/>
    </w:rPr>
  </w:style>
  <w:style w:type="character" w:styleId="Hyperlink">
    <w:name w:val="Hyperlink"/>
    <w:basedOn w:val="DefaultParagraphFont"/>
    <w:uiPriority w:val="99"/>
    <w:unhideWhenUsed/>
    <w:rsid w:val="005C0EA3"/>
    <w:rPr>
      <w:color w:val="467886" w:themeColor="hyperlink"/>
      <w:u w:val="single"/>
    </w:rPr>
  </w:style>
  <w:style w:type="character" w:styleId="UnresolvedMention">
    <w:name w:val="Unresolved Mention"/>
    <w:basedOn w:val="DefaultParagraphFont"/>
    <w:uiPriority w:val="99"/>
    <w:semiHidden/>
    <w:unhideWhenUsed/>
    <w:rsid w:val="005C0EA3"/>
    <w:rPr>
      <w:color w:val="605E5C"/>
      <w:shd w:val="clear" w:color="auto" w:fill="E1DFDD"/>
    </w:rPr>
  </w:style>
  <w:style w:type="character" w:styleId="FollowedHyperlink">
    <w:name w:val="FollowedHyperlink"/>
    <w:basedOn w:val="DefaultParagraphFont"/>
    <w:uiPriority w:val="99"/>
    <w:semiHidden/>
    <w:unhideWhenUsed/>
    <w:rsid w:val="002E4D85"/>
    <w:rPr>
      <w:color w:val="96607D" w:themeColor="followedHyperlink"/>
      <w:u w:val="single"/>
    </w:rPr>
  </w:style>
  <w:style w:type="paragraph" w:styleId="Header">
    <w:name w:val="header"/>
    <w:basedOn w:val="Normal"/>
    <w:link w:val="HeaderChar"/>
    <w:uiPriority w:val="99"/>
    <w:unhideWhenUsed/>
    <w:rsid w:val="000E1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B6B"/>
    <w:rPr>
      <w:rFonts w:cstheme="minorBidi"/>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375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d7a60450-fb41-4bb4-b9d4-7575b4fc499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B58D8-2C8E-48DC-8876-868490C0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6742</Words>
  <Characters>3844</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2026-07-24T09:11:00Z</dcterms:created>
  <dcterms:modified xsi:type="dcterms:W3CDTF">2026-08-19T07:47:00Z</dcterms:modified>
</cp:coreProperties>
</file>