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FF5D" w14:textId="77777777" w:rsidR="000B037C" w:rsidRPr="000B037C" w:rsidRDefault="000B037C" w:rsidP="00D44348">
      <w:pPr>
        <w:spacing w:line="276" w:lineRule="auto"/>
        <w:jc w:val="both"/>
        <w:rPr>
          <w:b/>
          <w:bCs/>
          <w:lang w:eastAsia="lv-LV"/>
          <w14:ligatures w14:val="standardContextual"/>
        </w:rPr>
      </w:pPr>
      <w:r w:rsidRPr="000B037C">
        <w:rPr>
          <w:b/>
          <w:bCs/>
          <w14:ligatures w14:val="standardContextual"/>
        </w:rPr>
        <w:t>Būtisks valsts un attiecīgās administratīvās teritorijas iedzīvotāju interešu aizskāruma vērtējums azartspēļu organizēšanas atļaujas atcelšanas pamatojumā</w:t>
      </w:r>
    </w:p>
    <w:p w14:paraId="5F705B2A" w14:textId="77777777" w:rsidR="000B037C" w:rsidRPr="000B037C" w:rsidRDefault="000B037C" w:rsidP="00D44348">
      <w:pPr>
        <w:spacing w:line="276" w:lineRule="auto"/>
        <w:jc w:val="both"/>
        <w:rPr>
          <w14:ligatures w14:val="standardContextual"/>
        </w:rPr>
      </w:pPr>
      <w:r w:rsidRPr="000B037C">
        <w:rPr>
          <w14:ligatures w14:val="standardContextual"/>
        </w:rPr>
        <w:t xml:space="preserve">1. Vispārīgus apsvērumus par azartspēļu nelabvēlīgo ietekmi un to negatīvo vērtējumu sabiedrībā ir izdarījis likumdevējs, tāpēc iedzīvotāju negatīvā attieksme pret azartspēlēm kopumā nav pamats, lai ierobežotu azartspēļu organizēšanu atbilstoši Azartspēļu un izložu likuma 42.panta sestajai daļai. </w:t>
      </w:r>
    </w:p>
    <w:p w14:paraId="746645ED" w14:textId="77777777" w:rsidR="000B037C" w:rsidRPr="000B037C" w:rsidRDefault="000B037C" w:rsidP="00D44348">
      <w:pPr>
        <w:spacing w:line="276" w:lineRule="auto"/>
        <w:jc w:val="both"/>
        <w:rPr>
          <w14:ligatures w14:val="standardContextual"/>
        </w:rPr>
      </w:pPr>
      <w:r w:rsidRPr="000B037C">
        <w:rPr>
          <w14:ligatures w14:val="standardContextual"/>
        </w:rPr>
        <w:t>2. Paaugstināta sabiedriskās kārtības apdraudējuma iespēja konkrētā vietā var radīt azartspēļu organizēšanas un sabiedriskās kārtības interešu sadursmi. Tomēr tādā gadījumā lēmumam, ar kuru tiek ierobežota azartspēļu organizēšana, šī interešu sadursme būtu pietiekami precīzi jāatklāj tieši saistībā ar konkrētajai vietai raksturīgajām īpatnībām.</w:t>
      </w:r>
    </w:p>
    <w:p w14:paraId="747104FA" w14:textId="5FA05BF1" w:rsidR="000B037C" w:rsidRPr="000B037C" w:rsidRDefault="000B037C" w:rsidP="00D44348">
      <w:pPr>
        <w:spacing w:line="276" w:lineRule="auto"/>
        <w:jc w:val="both"/>
        <w:rPr>
          <w:i/>
          <w:iCs/>
          <w14:ligatures w14:val="standardContextual"/>
        </w:rPr>
      </w:pPr>
      <w:r w:rsidRPr="000B037C">
        <w:rPr>
          <w14:ligatures w14:val="standardContextual"/>
        </w:rPr>
        <w:t>3. Ja azartspēļu organizēšana kā komercdarbība konkrētajā teritorijā kopumā ir pieļaujama atbilstoši teritorijas plānošanas dokumentiem un pašvaldības saistošajiem noteikumiem, azartspēļu organizēšanu ierobežojošā lēmuma pamatojumam ir jāietver tādus apsvērumus, kuru dēļ konkrētā vieta ir atšķirīga no citām vietām pilsētvidē. Pamatojums, ar kādu varētu ierobežot azartspēļu organizēšanu jebkur konkrētajā teritorijā, neatbilst Azartspēļu un izložu likuma 42.panta sestās daļas mērķim.</w:t>
      </w:r>
      <w:r w:rsidRPr="000B037C">
        <w:rPr>
          <w:i/>
          <w:iCs/>
          <w14:ligatures w14:val="standardContextual"/>
        </w:rPr>
        <w:t xml:space="preserve"> </w:t>
      </w:r>
    </w:p>
    <w:p w14:paraId="7DFE14B1" w14:textId="7C95AABD" w:rsidR="00447EE6" w:rsidRPr="00011547" w:rsidRDefault="00447EE6" w:rsidP="00D44348">
      <w:pPr>
        <w:spacing w:before="240" w:line="276" w:lineRule="auto"/>
        <w:jc w:val="center"/>
        <w:rPr>
          <w:b/>
        </w:rPr>
      </w:pPr>
      <w:r w:rsidRPr="00011547">
        <w:rPr>
          <w:b/>
        </w:rPr>
        <w:t>Latvijas Republikas Senāt</w:t>
      </w:r>
      <w:r w:rsidR="000B037C">
        <w:rPr>
          <w:b/>
        </w:rPr>
        <w:t>a</w:t>
      </w:r>
      <w:r w:rsidR="000B037C">
        <w:rPr>
          <w:b/>
        </w:rPr>
        <w:br/>
        <w:t xml:space="preserve">Administratīvo lietu departamenta </w:t>
      </w:r>
      <w:r w:rsidR="000B037C">
        <w:rPr>
          <w:b/>
        </w:rPr>
        <w:br/>
        <w:t>2026.gada 9.jūlija</w:t>
      </w:r>
    </w:p>
    <w:p w14:paraId="176CC32A" w14:textId="41559370" w:rsidR="00447EE6" w:rsidRDefault="00447EE6" w:rsidP="00D44348">
      <w:pPr>
        <w:spacing w:line="276" w:lineRule="auto"/>
        <w:jc w:val="center"/>
        <w:rPr>
          <w:b/>
        </w:rPr>
      </w:pPr>
      <w:r w:rsidRPr="00D160F6">
        <w:rPr>
          <w:b/>
        </w:rPr>
        <w:t>SPRIEDUMS</w:t>
      </w:r>
    </w:p>
    <w:p w14:paraId="6E609D3F" w14:textId="7C694759" w:rsidR="00D44348" w:rsidRPr="00D44348" w:rsidRDefault="000B037C" w:rsidP="00D44348">
      <w:pPr>
        <w:spacing w:line="276" w:lineRule="auto"/>
        <w:jc w:val="center"/>
        <w:rPr>
          <w:b/>
          <w:bCs/>
        </w:rPr>
      </w:pPr>
      <w:r w:rsidRPr="000B037C">
        <w:rPr>
          <w:b/>
          <w:bCs/>
        </w:rPr>
        <w:t>Lieta Nr. </w:t>
      </w:r>
      <w:r w:rsidRPr="000B037C">
        <w:rPr>
          <w:b/>
          <w:bCs/>
          <w:lang w:eastAsia="lv-LV"/>
        </w:rPr>
        <w:t xml:space="preserve">A420170122, </w:t>
      </w:r>
      <w:r w:rsidRPr="000B037C">
        <w:rPr>
          <w:b/>
          <w:bCs/>
        </w:rPr>
        <w:t>SKA-57/2026</w:t>
      </w:r>
    </w:p>
    <w:p w14:paraId="3E11A754" w14:textId="64083E3D" w:rsidR="000B037C" w:rsidRPr="00D44348" w:rsidRDefault="00D44348" w:rsidP="00D44348">
      <w:pPr>
        <w:spacing w:line="276" w:lineRule="auto"/>
        <w:jc w:val="center"/>
      </w:pPr>
      <w:hyperlink r:id="rId7" w:history="1">
        <w:r w:rsidRPr="00D44348">
          <w:rPr>
            <w:rStyle w:val="Hyperlink"/>
          </w:rPr>
          <w:t xml:space="preserve"> ECLI:LV:AT:2026:0709.A420170122.11.S</w:t>
        </w:r>
      </w:hyperlink>
    </w:p>
    <w:p w14:paraId="700E1FBE" w14:textId="77777777" w:rsidR="00411CD0" w:rsidRPr="00011547" w:rsidRDefault="00411CD0" w:rsidP="00D44348">
      <w:pPr>
        <w:spacing w:line="276" w:lineRule="auto"/>
        <w:ind w:firstLine="720"/>
        <w:jc w:val="center"/>
      </w:pPr>
    </w:p>
    <w:p w14:paraId="68E4AE23" w14:textId="5AB3B772" w:rsidR="00447EE6" w:rsidRPr="00BC50F0" w:rsidRDefault="00447EE6" w:rsidP="00D44348">
      <w:pPr>
        <w:spacing w:line="276" w:lineRule="auto"/>
        <w:ind w:firstLine="720"/>
        <w:jc w:val="both"/>
      </w:pPr>
      <w:r w:rsidRPr="00BC50F0">
        <w:t>Senāts šādā sastāvā:</w:t>
      </w:r>
      <w:r w:rsidR="00D25D87" w:rsidRPr="00BC50F0">
        <w:t xml:space="preserve"> </w:t>
      </w:r>
      <w:r w:rsidR="00594565" w:rsidRPr="00BC50F0">
        <w:t>senatore referente Laura Konošonoka, senator</w:t>
      </w:r>
      <w:r w:rsidR="004B52B8">
        <w:t>i Jānis Pleps un Rudīte Vīduša</w:t>
      </w:r>
    </w:p>
    <w:p w14:paraId="27F96722" w14:textId="77777777" w:rsidR="00A11873" w:rsidRPr="00BC50F0" w:rsidRDefault="00A11873" w:rsidP="00D44348">
      <w:pPr>
        <w:spacing w:line="276" w:lineRule="auto"/>
        <w:ind w:firstLine="720"/>
        <w:jc w:val="both"/>
      </w:pPr>
    </w:p>
    <w:p w14:paraId="25F644D7" w14:textId="4B543188" w:rsidR="00A11873" w:rsidRDefault="00A11873" w:rsidP="00D44348">
      <w:pPr>
        <w:spacing w:line="276" w:lineRule="auto"/>
        <w:ind w:firstLine="720"/>
        <w:jc w:val="both"/>
      </w:pPr>
      <w:r w:rsidRPr="00BC50F0">
        <w:t xml:space="preserve">rakstveida procesā izskatīja administratīvo lietu, kas ierosināta, pamatojoties uz </w:t>
      </w:r>
      <w:r w:rsidR="00106A84" w:rsidRPr="00BC50F0">
        <w:t xml:space="preserve">SIA „ALFOR” pieteikumu par </w:t>
      </w:r>
      <w:r w:rsidR="00BC50F0" w:rsidRPr="00BC50F0">
        <w:t>Ādažu novada pašvaldības domes 2022.gada 23.februāra lēmuma Nr. 85 atcelšanu</w:t>
      </w:r>
      <w:r w:rsidR="00FC1F8A" w:rsidRPr="00BC50F0">
        <w:t>,</w:t>
      </w:r>
      <w:r w:rsidRPr="00BC50F0">
        <w:t xml:space="preserve"> sakarā ar </w:t>
      </w:r>
      <w:r w:rsidR="00BC50F0" w:rsidRPr="00BC50F0">
        <w:t>Ādažu novada</w:t>
      </w:r>
      <w:r w:rsidR="00106A84" w:rsidRPr="00BC50F0">
        <w:t xml:space="preserve"> pašvaldības</w:t>
      </w:r>
      <w:r w:rsidRPr="00BC50F0">
        <w:t xml:space="preserve"> </w:t>
      </w:r>
      <w:r w:rsidR="00446387">
        <w:t xml:space="preserve">domes </w:t>
      </w:r>
      <w:r w:rsidRPr="00BC50F0">
        <w:t xml:space="preserve">kasācijas sūdzību par Administratīvās </w:t>
      </w:r>
      <w:r w:rsidR="00106A84" w:rsidRPr="00BC50F0">
        <w:t xml:space="preserve">apgabaltiesas 2024.gada </w:t>
      </w:r>
      <w:r w:rsidR="00BC50F0" w:rsidRPr="00BC50F0">
        <w:t>3</w:t>
      </w:r>
      <w:r w:rsidR="00106A84" w:rsidRPr="00BC50F0">
        <w:t>.aprīļa</w:t>
      </w:r>
      <w:r w:rsidRPr="00BC50F0">
        <w:t xml:space="preserve"> spriedumu.</w:t>
      </w:r>
    </w:p>
    <w:p w14:paraId="73BBBC80" w14:textId="77777777" w:rsidR="00411CD0" w:rsidRDefault="00411CD0" w:rsidP="00D44348">
      <w:pPr>
        <w:spacing w:line="276" w:lineRule="auto"/>
        <w:ind w:firstLine="720"/>
        <w:jc w:val="both"/>
      </w:pPr>
    </w:p>
    <w:p w14:paraId="043B76E3" w14:textId="77777777" w:rsidR="00447EE6" w:rsidRDefault="00447EE6" w:rsidP="00D44348">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D44348">
      <w:pPr>
        <w:spacing w:line="276" w:lineRule="auto"/>
        <w:jc w:val="center"/>
        <w:rPr>
          <w:shd w:val="clear" w:color="auto" w:fill="FFFFFF"/>
        </w:rPr>
      </w:pPr>
    </w:p>
    <w:p w14:paraId="3D7A6EFC" w14:textId="359F0FC6" w:rsidR="009F76AA" w:rsidRPr="00BC50F0" w:rsidRDefault="00447EE6" w:rsidP="00D44348">
      <w:pPr>
        <w:pStyle w:val="NormalWeb"/>
        <w:shd w:val="clear" w:color="auto" w:fill="FFFFFF"/>
        <w:spacing w:before="0" w:beforeAutospacing="0" w:after="0" w:afterAutospacing="0" w:line="276" w:lineRule="auto"/>
        <w:ind w:firstLine="720"/>
        <w:jc w:val="both"/>
        <w:rPr>
          <w:shd w:val="clear" w:color="auto" w:fill="FFFFFF"/>
        </w:rPr>
      </w:pPr>
      <w:r w:rsidRPr="00BC50F0">
        <w:rPr>
          <w:shd w:val="clear" w:color="auto" w:fill="FFFFFF"/>
        </w:rPr>
        <w:t>[1]</w:t>
      </w:r>
      <w:r w:rsidR="000A65CA" w:rsidRPr="00BC50F0">
        <w:rPr>
          <w:shd w:val="clear" w:color="auto" w:fill="FFFFFF"/>
        </w:rPr>
        <w:t> </w:t>
      </w:r>
      <w:r w:rsidR="009F76AA" w:rsidRPr="00BC50F0">
        <w:rPr>
          <w:shd w:val="clear" w:color="auto" w:fill="FFFFFF"/>
        </w:rPr>
        <w:t>Pieteicējai</w:t>
      </w:r>
      <w:r w:rsidR="00C170F3" w:rsidRPr="00BC50F0">
        <w:rPr>
          <w:shd w:val="clear" w:color="auto" w:fill="FFFFFF"/>
        </w:rPr>
        <w:t xml:space="preserve"> –</w:t>
      </w:r>
      <w:r w:rsidR="009F76AA" w:rsidRPr="00BC50F0">
        <w:rPr>
          <w:shd w:val="clear" w:color="auto" w:fill="FFFFFF"/>
        </w:rPr>
        <w:t xml:space="preserve"> SIA „ALFOR”</w:t>
      </w:r>
      <w:r w:rsidR="00C170F3" w:rsidRPr="00BC50F0">
        <w:rPr>
          <w:shd w:val="clear" w:color="auto" w:fill="FFFFFF"/>
        </w:rPr>
        <w:t xml:space="preserve"> – 200</w:t>
      </w:r>
      <w:r w:rsidR="00BC50F0" w:rsidRPr="00BC50F0">
        <w:rPr>
          <w:shd w:val="clear" w:color="auto" w:fill="FFFFFF"/>
        </w:rPr>
        <w:t>7</w:t>
      </w:r>
      <w:r w:rsidR="00C170F3" w:rsidRPr="00BC50F0">
        <w:rPr>
          <w:shd w:val="clear" w:color="auto" w:fill="FFFFFF"/>
        </w:rPr>
        <w:t>.gad</w:t>
      </w:r>
      <w:r w:rsidR="00404809">
        <w:rPr>
          <w:shd w:val="clear" w:color="auto" w:fill="FFFFFF"/>
        </w:rPr>
        <w:t>a 28.augustā</w:t>
      </w:r>
      <w:r w:rsidR="00C170F3" w:rsidRPr="00BC50F0">
        <w:rPr>
          <w:shd w:val="clear" w:color="auto" w:fill="FFFFFF"/>
        </w:rPr>
        <w:t xml:space="preserve"> tika izsniegta atļauja </w:t>
      </w:r>
      <w:r w:rsidR="006058A4" w:rsidRPr="00BC50F0">
        <w:rPr>
          <w:shd w:val="clear" w:color="auto" w:fill="FFFFFF"/>
        </w:rPr>
        <w:t>organizēt azartspēles</w:t>
      </w:r>
      <w:r w:rsidR="00D44348">
        <w:rPr>
          <w:shd w:val="clear" w:color="auto" w:fill="FFFFFF"/>
        </w:rPr>
        <w:t xml:space="preserve"> [Adrese A]</w:t>
      </w:r>
      <w:r w:rsidR="00BC50F0" w:rsidRPr="00BC50F0">
        <w:rPr>
          <w:shd w:val="clear" w:color="auto" w:fill="FFFFFF"/>
        </w:rPr>
        <w:t>.</w:t>
      </w:r>
    </w:p>
    <w:p w14:paraId="653E0ACC" w14:textId="6F75F9DD" w:rsidR="00BC50F0" w:rsidRPr="00BC50F0" w:rsidRDefault="00BC50F0" w:rsidP="00D44348">
      <w:pPr>
        <w:pStyle w:val="NormalWeb"/>
        <w:shd w:val="clear" w:color="auto" w:fill="FFFFFF"/>
        <w:spacing w:before="0" w:beforeAutospacing="0" w:after="0" w:afterAutospacing="0" w:line="276" w:lineRule="auto"/>
        <w:ind w:firstLine="720"/>
        <w:jc w:val="both"/>
        <w:rPr>
          <w:shd w:val="clear" w:color="auto" w:fill="FFFFFF"/>
        </w:rPr>
      </w:pPr>
      <w:r w:rsidRPr="00BC50F0">
        <w:rPr>
          <w:shd w:val="clear" w:color="auto" w:fill="FFFFFF"/>
        </w:rPr>
        <w:t xml:space="preserve">Ādažu novada </w:t>
      </w:r>
      <w:r w:rsidR="008261F9">
        <w:rPr>
          <w:shd w:val="clear" w:color="auto" w:fill="FFFFFF"/>
        </w:rPr>
        <w:t xml:space="preserve">pašvaldības </w:t>
      </w:r>
      <w:r w:rsidRPr="00BC50F0">
        <w:rPr>
          <w:shd w:val="clear" w:color="auto" w:fill="FFFFFF"/>
        </w:rPr>
        <w:t>dome 2022.gada 23.februārī pieņēma lēmumu Nr. 85 „Par Ādažu novada domes 2007.gada 28.augusta lēmuma (Nr. 9</w:t>
      </w:r>
      <w:r w:rsidR="00705E04">
        <w:rPr>
          <w:shd w:val="clear" w:color="auto" w:fill="FFFFFF"/>
        </w:rPr>
        <w:t>,</w:t>
      </w:r>
      <w:r w:rsidR="004F25F3">
        <w:rPr>
          <w:shd w:val="clear" w:color="auto" w:fill="FFFFFF"/>
        </w:rPr>
        <w:t xml:space="preserve"> </w:t>
      </w:r>
      <w:r w:rsidRPr="00BC50F0">
        <w:rPr>
          <w:shd w:val="clear" w:color="auto" w:fill="FFFFFF"/>
        </w:rPr>
        <w:t>5.5.</w:t>
      </w:r>
      <w:r w:rsidR="00705E04" w:rsidRPr="00BC50F0">
        <w:rPr>
          <w:shd w:val="clear" w:color="auto" w:fill="FFFFFF"/>
        </w:rPr>
        <w:t>§</w:t>
      </w:r>
      <w:r w:rsidRPr="00BC50F0">
        <w:rPr>
          <w:shd w:val="clear" w:color="auto" w:fill="FFFFFF"/>
        </w:rPr>
        <w:t>), ar kuru izsniegta atļauja organizēt azartspēles</w:t>
      </w:r>
      <w:r w:rsidR="00D44348">
        <w:rPr>
          <w:shd w:val="clear" w:color="auto" w:fill="FFFFFF"/>
        </w:rPr>
        <w:t xml:space="preserve"> [Adrese A]</w:t>
      </w:r>
      <w:r w:rsidRPr="00BC50F0">
        <w:rPr>
          <w:shd w:val="clear" w:color="auto" w:fill="FFFFFF"/>
        </w:rPr>
        <w:t>, atcelšanu” (turpmāk – pārsūdzētais lēmums). Ar šo lēmumu, pamatojoties uz Azartspēļu un izložu likuma 42.panta sesto daļu, pieteicēja</w:t>
      </w:r>
      <w:r w:rsidR="00404809">
        <w:rPr>
          <w:shd w:val="clear" w:color="auto" w:fill="FFFFFF"/>
        </w:rPr>
        <w:t>i iepriekš izsniegtā</w:t>
      </w:r>
      <w:r w:rsidRPr="00BC50F0">
        <w:rPr>
          <w:shd w:val="clear" w:color="auto" w:fill="FFFFFF"/>
        </w:rPr>
        <w:t xml:space="preserve"> </w:t>
      </w:r>
      <w:r w:rsidR="00404809">
        <w:rPr>
          <w:shd w:val="clear" w:color="auto" w:fill="FFFFFF"/>
        </w:rPr>
        <w:t xml:space="preserve">atļauja </w:t>
      </w:r>
      <w:r w:rsidRPr="00BC50F0">
        <w:rPr>
          <w:shd w:val="clear" w:color="auto" w:fill="FFFFFF"/>
        </w:rPr>
        <w:t>azartspēļu organizēšana</w:t>
      </w:r>
      <w:r w:rsidR="00404809">
        <w:rPr>
          <w:shd w:val="clear" w:color="auto" w:fill="FFFFFF"/>
        </w:rPr>
        <w:t>i</w:t>
      </w:r>
      <w:r w:rsidRPr="00BC50F0">
        <w:rPr>
          <w:shd w:val="clear" w:color="auto" w:fill="FFFFFF"/>
        </w:rPr>
        <w:t xml:space="preserve"> tika atcelta, jo dome atzina, ka azartspēļu organizēšana konkrētajā vietā rada būtisku</w:t>
      </w:r>
      <w:r w:rsidR="008261F9">
        <w:rPr>
          <w:shd w:val="clear" w:color="auto" w:fill="FFFFFF"/>
        </w:rPr>
        <w:t xml:space="preserve"> </w:t>
      </w:r>
      <w:r w:rsidRPr="00BC50F0">
        <w:rPr>
          <w:shd w:val="clear" w:color="auto" w:fill="FFFFFF"/>
        </w:rPr>
        <w:t>iedzīvotāju interešu aizskārumu.</w:t>
      </w:r>
    </w:p>
    <w:p w14:paraId="18312C39" w14:textId="47E9E3A9" w:rsidR="00BC50F0" w:rsidRPr="00BC50F0" w:rsidRDefault="00BC50F0" w:rsidP="00D44348">
      <w:pPr>
        <w:pStyle w:val="NormalWeb"/>
        <w:shd w:val="clear" w:color="auto" w:fill="FFFFFF"/>
        <w:spacing w:before="0" w:beforeAutospacing="0" w:after="0" w:afterAutospacing="0" w:line="276" w:lineRule="auto"/>
        <w:ind w:firstLine="720"/>
        <w:jc w:val="both"/>
        <w:rPr>
          <w:shd w:val="clear" w:color="auto" w:fill="FFFFFF"/>
        </w:rPr>
      </w:pPr>
      <w:r w:rsidRPr="00BC50F0">
        <w:rPr>
          <w:shd w:val="clear" w:color="auto" w:fill="FFFFFF"/>
        </w:rPr>
        <w:t>Pieteicēja šim lēmumam nepiekrita un vērsās tiesā.</w:t>
      </w:r>
    </w:p>
    <w:p w14:paraId="4D5B46ED" w14:textId="77777777" w:rsidR="000A65CA" w:rsidRPr="00BC50F0" w:rsidRDefault="000A65CA" w:rsidP="00D44348">
      <w:pPr>
        <w:pStyle w:val="NormalWeb"/>
        <w:shd w:val="clear" w:color="auto" w:fill="FFFFFF"/>
        <w:spacing w:before="0" w:beforeAutospacing="0" w:after="0" w:afterAutospacing="0" w:line="276" w:lineRule="auto"/>
        <w:jc w:val="both"/>
        <w:rPr>
          <w:shd w:val="clear" w:color="auto" w:fill="FFFFFF"/>
        </w:rPr>
      </w:pPr>
    </w:p>
    <w:p w14:paraId="41BCBF93" w14:textId="4102FBA5" w:rsidR="000A65CA" w:rsidRPr="00BC50F0" w:rsidRDefault="000A65CA" w:rsidP="00D44348">
      <w:pPr>
        <w:pStyle w:val="NormalWeb"/>
        <w:shd w:val="clear" w:color="auto" w:fill="FFFFFF"/>
        <w:spacing w:before="0" w:beforeAutospacing="0" w:after="0" w:afterAutospacing="0" w:line="276" w:lineRule="auto"/>
        <w:ind w:firstLine="720"/>
        <w:jc w:val="both"/>
        <w:rPr>
          <w:shd w:val="clear" w:color="auto" w:fill="FFFFFF"/>
        </w:rPr>
      </w:pPr>
      <w:r w:rsidRPr="00BC50F0">
        <w:rPr>
          <w:shd w:val="clear" w:color="auto" w:fill="FFFFFF"/>
        </w:rPr>
        <w:t>[2]</w:t>
      </w:r>
      <w:r w:rsidR="00102A18">
        <w:rPr>
          <w:shd w:val="clear" w:color="auto" w:fill="FFFFFF"/>
        </w:rPr>
        <w:t> </w:t>
      </w:r>
      <w:r w:rsidR="009F76AA" w:rsidRPr="00BC50F0">
        <w:rPr>
          <w:shd w:val="clear" w:color="auto" w:fill="FFFFFF"/>
        </w:rPr>
        <w:t>Administratīvā apgabaltiesa</w:t>
      </w:r>
      <w:r w:rsidR="009D3F7C" w:rsidRPr="00BC50F0">
        <w:rPr>
          <w:shd w:val="clear" w:color="auto" w:fill="FFFFFF"/>
        </w:rPr>
        <w:t xml:space="preserve"> ar 2024.gada </w:t>
      </w:r>
      <w:r w:rsidR="00BC50F0" w:rsidRPr="00BC50F0">
        <w:rPr>
          <w:shd w:val="clear" w:color="auto" w:fill="FFFFFF"/>
        </w:rPr>
        <w:t>3</w:t>
      </w:r>
      <w:r w:rsidR="009D3F7C" w:rsidRPr="00BC50F0">
        <w:rPr>
          <w:shd w:val="clear" w:color="auto" w:fill="FFFFFF"/>
        </w:rPr>
        <w:t xml:space="preserve">.aprīļa spriedumu pieteikumu apmierināja. </w:t>
      </w:r>
      <w:r w:rsidR="00C2076A">
        <w:rPr>
          <w:shd w:val="clear" w:color="auto" w:fill="FFFFFF"/>
        </w:rPr>
        <w:t>Spriedums pamatots ar turpmāk minētajiem argumentiem.</w:t>
      </w:r>
    </w:p>
    <w:p w14:paraId="0F17973B" w14:textId="77777777" w:rsidR="00705E04" w:rsidRDefault="00303A46" w:rsidP="00D44348">
      <w:pPr>
        <w:pStyle w:val="NormalWeb"/>
        <w:shd w:val="clear" w:color="auto" w:fill="FFFFFF"/>
        <w:spacing w:before="0" w:beforeAutospacing="0" w:after="0" w:afterAutospacing="0" w:line="276" w:lineRule="auto"/>
        <w:ind w:firstLine="720"/>
        <w:jc w:val="both"/>
        <w:rPr>
          <w:shd w:val="clear" w:color="auto" w:fill="FFFFFF"/>
        </w:rPr>
      </w:pPr>
      <w:r w:rsidRPr="00BC50F0">
        <w:rPr>
          <w:shd w:val="clear" w:color="auto" w:fill="FFFFFF"/>
        </w:rPr>
        <w:t>[2.1]</w:t>
      </w:r>
      <w:r w:rsidR="00102A18">
        <w:rPr>
          <w:shd w:val="clear" w:color="auto" w:fill="FFFFFF"/>
        </w:rPr>
        <w:t> </w:t>
      </w:r>
      <w:r w:rsidR="008255F2" w:rsidRPr="00BC50F0">
        <w:rPr>
          <w:shd w:val="clear" w:color="auto" w:fill="FFFFFF"/>
        </w:rPr>
        <w:t>Lietā ir strīds, vai dome tiesiski atcēla pieteicējai izsniegto atļauju azartspēļu organizēšanai</w:t>
      </w:r>
      <w:r w:rsidR="00C168C8" w:rsidRPr="00BC50F0">
        <w:rPr>
          <w:shd w:val="clear" w:color="auto" w:fill="FFFFFF"/>
        </w:rPr>
        <w:t xml:space="preserve">, pamatojoties uz </w:t>
      </w:r>
      <w:r w:rsidR="00F86AB1">
        <w:rPr>
          <w:shd w:val="clear" w:color="auto" w:fill="FFFFFF"/>
        </w:rPr>
        <w:t xml:space="preserve">Administratīvā procesa likuma 85.panta otrās daļas 4.punktu un </w:t>
      </w:r>
      <w:r w:rsidR="00C168C8" w:rsidRPr="00BC50F0">
        <w:rPr>
          <w:shd w:val="clear" w:color="auto" w:fill="FFFFFF"/>
        </w:rPr>
        <w:t>Azartspēļu un izložu likuma 42.panta sesto daļu</w:t>
      </w:r>
      <w:r w:rsidR="008255F2" w:rsidRPr="00BC50F0">
        <w:rPr>
          <w:shd w:val="clear" w:color="auto" w:fill="FFFFFF"/>
        </w:rPr>
        <w:t>.</w:t>
      </w:r>
    </w:p>
    <w:p w14:paraId="2126B13E" w14:textId="1A5BF432" w:rsidR="00097BEE" w:rsidRDefault="00705E04"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w:t>
      </w:r>
      <w:r w:rsidR="00C168C8" w:rsidRPr="00BC50F0">
        <w:rPr>
          <w:shd w:val="clear" w:color="auto" w:fill="FFFFFF"/>
        </w:rPr>
        <w:t>Azartspēļu un izložu likuma normas aizsargā ne vien sabiedrības intereses</w:t>
      </w:r>
      <w:r w:rsidR="00C168C8">
        <w:rPr>
          <w:shd w:val="clear" w:color="auto" w:fill="FFFFFF"/>
        </w:rPr>
        <w:t xml:space="preserve">, bet arī komersantu tiesības, kas veic attiecīgā rakstura licencētu komercdarbību. </w:t>
      </w:r>
      <w:r w:rsidR="00C168C8" w:rsidRPr="008255F2">
        <w:rPr>
          <w:shd w:val="clear" w:color="auto" w:fill="FFFFFF"/>
        </w:rPr>
        <w:t>Azartspēļu un izložu likuma mērķis nav pilnībā izskaust azartspēles, bet</w:t>
      </w:r>
      <w:r w:rsidR="00C168C8">
        <w:rPr>
          <w:shd w:val="clear" w:color="auto" w:fill="FFFFFF"/>
        </w:rPr>
        <w:t xml:space="preserve"> </w:t>
      </w:r>
      <w:r w:rsidR="00C168C8" w:rsidRPr="008255F2">
        <w:rPr>
          <w:shd w:val="clear" w:color="auto" w:fill="FFFFFF"/>
        </w:rPr>
        <w:t xml:space="preserve">gan </w:t>
      </w:r>
      <w:r w:rsidR="00102A18">
        <w:rPr>
          <w:shd w:val="clear" w:color="auto" w:fill="FFFFFF"/>
        </w:rPr>
        <w:t xml:space="preserve">saskaņot </w:t>
      </w:r>
      <w:r w:rsidR="00C168C8" w:rsidRPr="008255F2">
        <w:rPr>
          <w:shd w:val="clear" w:color="auto" w:fill="FFFFFF"/>
        </w:rPr>
        <w:t>komersanta un sabiedrības intereses.</w:t>
      </w:r>
      <w:r w:rsidR="000C6AC6">
        <w:rPr>
          <w:shd w:val="clear" w:color="auto" w:fill="FFFFFF"/>
        </w:rPr>
        <w:t xml:space="preserve"> </w:t>
      </w:r>
      <w:r w:rsidR="00C168C8">
        <w:rPr>
          <w:shd w:val="clear" w:color="auto" w:fill="FFFFFF"/>
        </w:rPr>
        <w:t>Tāpēc pārsūdzētā lēmuma pamatojum</w:t>
      </w:r>
      <w:r w:rsidR="00E07277">
        <w:rPr>
          <w:shd w:val="clear" w:color="auto" w:fill="FFFFFF"/>
        </w:rPr>
        <w:t xml:space="preserve">ā </w:t>
      </w:r>
      <w:r w:rsidR="00C168C8" w:rsidRPr="008255F2">
        <w:rPr>
          <w:shd w:val="clear" w:color="auto" w:fill="FFFFFF"/>
        </w:rPr>
        <w:t>ir</w:t>
      </w:r>
      <w:r w:rsidR="00C168C8">
        <w:rPr>
          <w:shd w:val="clear" w:color="auto" w:fill="FFFFFF"/>
        </w:rPr>
        <w:t xml:space="preserve"> </w:t>
      </w:r>
      <w:r w:rsidR="00C168C8" w:rsidRPr="008255F2">
        <w:rPr>
          <w:shd w:val="clear" w:color="auto" w:fill="FFFFFF"/>
        </w:rPr>
        <w:t>jāiekļauj sabiedrības interešu būtiska aizskāruma objektīva iespējamība, kurai ir jābūt konkrētās</w:t>
      </w:r>
      <w:r w:rsidR="00C168C8">
        <w:rPr>
          <w:shd w:val="clear" w:color="auto" w:fill="FFFFFF"/>
        </w:rPr>
        <w:t xml:space="preserve"> </w:t>
      </w:r>
      <w:r w:rsidR="00C168C8" w:rsidRPr="008255F2">
        <w:rPr>
          <w:shd w:val="clear" w:color="auto" w:fill="FFFFFF"/>
        </w:rPr>
        <w:t xml:space="preserve">vietas apstākļos pietiekami precīzi pamatotai, nevis vispārīgai. </w:t>
      </w:r>
    </w:p>
    <w:p w14:paraId="0599E273" w14:textId="688A6BFB" w:rsidR="00C07AA9" w:rsidRDefault="008255F2"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705E04">
        <w:rPr>
          <w:shd w:val="clear" w:color="auto" w:fill="FFFFFF"/>
        </w:rPr>
        <w:t>3</w:t>
      </w:r>
      <w:r>
        <w:rPr>
          <w:shd w:val="clear" w:color="auto" w:fill="FFFFFF"/>
        </w:rPr>
        <w:t>]</w:t>
      </w:r>
      <w:r w:rsidR="00102A18">
        <w:rPr>
          <w:shd w:val="clear" w:color="auto" w:fill="FFFFFF"/>
        </w:rPr>
        <w:t> </w:t>
      </w:r>
      <w:r w:rsidR="00C07AA9">
        <w:rPr>
          <w:shd w:val="clear" w:color="auto" w:fill="FFFFFF"/>
        </w:rPr>
        <w:t xml:space="preserve">Arguments, ka Ādaži ir ieguvuši pilsētas statusu un tas ļauj pašvaldībai rūpīgāk izvērtēt prasības un nosacījumus konkrētās </w:t>
      </w:r>
      <w:r w:rsidR="00C07AA9" w:rsidRPr="00717F04">
        <w:rPr>
          <w:shd w:val="clear" w:color="auto" w:fill="FFFFFF"/>
        </w:rPr>
        <w:t>teritorija</w:t>
      </w:r>
      <w:r w:rsidR="00717F04" w:rsidRPr="00717F04">
        <w:rPr>
          <w:shd w:val="clear" w:color="auto" w:fill="FFFFFF"/>
        </w:rPr>
        <w:t>s</w:t>
      </w:r>
      <w:r w:rsidR="00717F04">
        <w:rPr>
          <w:shd w:val="clear" w:color="auto" w:fill="FFFFFF"/>
        </w:rPr>
        <w:t xml:space="preserve"> publiskajai ārtelpai</w:t>
      </w:r>
      <w:r w:rsidR="00C07AA9">
        <w:rPr>
          <w:shd w:val="clear" w:color="auto" w:fill="FFFFFF"/>
        </w:rPr>
        <w:t xml:space="preserve">, ir vispārīgs un nesniedz objektīvu konkrētās vietas apstākļu novērtējumu. Arī </w:t>
      </w:r>
      <w:r w:rsidR="00F57FA6" w:rsidRPr="00F57FA6">
        <w:rPr>
          <w:shd w:val="clear" w:color="auto" w:fill="FFFFFF"/>
        </w:rPr>
        <w:t>Ministru kabineta</w:t>
      </w:r>
      <w:r w:rsidR="00765490">
        <w:rPr>
          <w:shd w:val="clear" w:color="auto" w:fill="FFFFFF"/>
        </w:rPr>
        <w:t xml:space="preserve"> </w:t>
      </w:r>
      <w:r w:rsidR="00765490" w:rsidRPr="00765490">
        <w:rPr>
          <w:shd w:val="clear" w:color="auto" w:fill="FFFFFF"/>
        </w:rPr>
        <w:t>2021.gada 14.jūlija</w:t>
      </w:r>
      <w:r w:rsidR="00F57FA6" w:rsidRPr="00F57FA6">
        <w:rPr>
          <w:shd w:val="clear" w:color="auto" w:fill="FFFFFF"/>
        </w:rPr>
        <w:t xml:space="preserve"> rīkojum</w:t>
      </w:r>
      <w:r w:rsidR="00F57FA6">
        <w:rPr>
          <w:shd w:val="clear" w:color="auto" w:fill="FFFFFF"/>
        </w:rPr>
        <w:t>s</w:t>
      </w:r>
      <w:r w:rsidR="00F57FA6" w:rsidRPr="00F57FA6">
        <w:rPr>
          <w:shd w:val="clear" w:color="auto" w:fill="FFFFFF"/>
        </w:rPr>
        <w:t xml:space="preserve"> Nr.</w:t>
      </w:r>
      <w:r w:rsidR="00F57FA6">
        <w:rPr>
          <w:shd w:val="clear" w:color="auto" w:fill="FFFFFF"/>
        </w:rPr>
        <w:t> </w:t>
      </w:r>
      <w:r w:rsidR="00F57FA6" w:rsidRPr="00F57FA6">
        <w:rPr>
          <w:shd w:val="clear" w:color="auto" w:fill="FFFFFF"/>
        </w:rPr>
        <w:t>509 „Par Azartspēļu un izložu politikas pamatnostādnēm 2021.</w:t>
      </w:r>
      <w:r w:rsidR="00A24531">
        <w:rPr>
          <w:shd w:val="clear" w:color="auto" w:fill="FFFFFF"/>
        </w:rPr>
        <w:t>–</w:t>
      </w:r>
      <w:r w:rsidR="00F57FA6" w:rsidRPr="00F57FA6">
        <w:rPr>
          <w:shd w:val="clear" w:color="auto" w:fill="FFFFFF"/>
        </w:rPr>
        <w:t>2027. gadam”</w:t>
      </w:r>
      <w:r w:rsidR="00F57FA6">
        <w:rPr>
          <w:shd w:val="clear" w:color="auto" w:fill="FFFFFF"/>
        </w:rPr>
        <w:t xml:space="preserve"> un tajā norādītais nav uzskatāms par šādu pamatojumu.</w:t>
      </w:r>
    </w:p>
    <w:p w14:paraId="33A696C8" w14:textId="5D1D772A" w:rsidR="00F57FA6" w:rsidRDefault="00C07AA9"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705E04">
        <w:rPr>
          <w:shd w:val="clear" w:color="auto" w:fill="FFFFFF"/>
        </w:rPr>
        <w:t>4</w:t>
      </w:r>
      <w:r>
        <w:rPr>
          <w:shd w:val="clear" w:color="auto" w:fill="FFFFFF"/>
        </w:rPr>
        <w:t>]</w:t>
      </w:r>
      <w:r w:rsidR="00102A18">
        <w:rPr>
          <w:shd w:val="clear" w:color="auto" w:fill="FFFFFF"/>
        </w:rPr>
        <w:t> </w:t>
      </w:r>
      <w:r w:rsidR="00F57FA6">
        <w:rPr>
          <w:shd w:val="clear" w:color="auto" w:fill="FFFFFF"/>
        </w:rPr>
        <w:t xml:space="preserve">Atsaucoties uz </w:t>
      </w:r>
      <w:r w:rsidR="00F57FA6" w:rsidRPr="00F57FA6">
        <w:rPr>
          <w:shd w:val="clear" w:color="auto" w:fill="FFFFFF"/>
        </w:rPr>
        <w:t>pētījum</w:t>
      </w:r>
      <w:r w:rsidR="00F57FA6">
        <w:rPr>
          <w:shd w:val="clear" w:color="auto" w:fill="FFFFFF"/>
        </w:rPr>
        <w:t>u</w:t>
      </w:r>
      <w:r w:rsidR="00F57FA6" w:rsidRPr="00F57FA6">
        <w:rPr>
          <w:shd w:val="clear" w:color="auto" w:fill="FFFFFF"/>
        </w:rPr>
        <w:t xml:space="preserve"> „Priekšnosacījumi azartspēļu un izložu organizēšanas vietu</w:t>
      </w:r>
      <w:r w:rsidR="00F57FA6">
        <w:rPr>
          <w:shd w:val="clear" w:color="auto" w:fill="FFFFFF"/>
        </w:rPr>
        <w:t xml:space="preserve"> </w:t>
      </w:r>
      <w:r w:rsidR="00F57FA6" w:rsidRPr="00F57FA6">
        <w:rPr>
          <w:shd w:val="clear" w:color="auto" w:fill="FFFFFF"/>
        </w:rPr>
        <w:t>noteikšanai Ādažu novadā”</w:t>
      </w:r>
      <w:r w:rsidR="00F57FA6">
        <w:rPr>
          <w:shd w:val="clear" w:color="auto" w:fill="FFFFFF"/>
        </w:rPr>
        <w:t xml:space="preserve"> (turpmāk – Pētījums)</w:t>
      </w:r>
      <w:r w:rsidR="00F57FA6" w:rsidRPr="00F57FA6">
        <w:rPr>
          <w:shd w:val="clear" w:color="auto" w:fill="FFFFFF"/>
        </w:rPr>
        <w:t xml:space="preserve"> par azartspēļu nozares nepieciešamību un darbības iespējamību Ādažu</w:t>
      </w:r>
      <w:r w:rsidR="00F57FA6">
        <w:rPr>
          <w:shd w:val="clear" w:color="auto" w:fill="FFFFFF"/>
        </w:rPr>
        <w:t xml:space="preserve"> </w:t>
      </w:r>
      <w:r w:rsidR="00F57FA6" w:rsidRPr="00F57FA6">
        <w:rPr>
          <w:shd w:val="clear" w:color="auto" w:fill="FFFFFF"/>
        </w:rPr>
        <w:t>novadā</w:t>
      </w:r>
      <w:r w:rsidR="00F57FA6">
        <w:rPr>
          <w:shd w:val="clear" w:color="auto" w:fill="FFFFFF"/>
        </w:rPr>
        <w:t>, pārsūdzētajā lēmumā norādīts uz azartspēļu kaitīgo ietekmi,</w:t>
      </w:r>
      <w:r w:rsidR="003E64D5">
        <w:rPr>
          <w:shd w:val="clear" w:color="auto" w:fill="FFFFFF"/>
        </w:rPr>
        <w:t xml:space="preserve"> ietverti</w:t>
      </w:r>
      <w:r w:rsidR="00F57FA6">
        <w:rPr>
          <w:shd w:val="clear" w:color="auto" w:fill="FFFFFF"/>
        </w:rPr>
        <w:t xml:space="preserve"> fakti par sabiedriskās kārtības traucējumiem spēļu zālē un </w:t>
      </w:r>
      <w:r w:rsidR="003E64D5">
        <w:rPr>
          <w:shd w:val="clear" w:color="auto" w:fill="FFFFFF"/>
        </w:rPr>
        <w:t xml:space="preserve">sniegti </w:t>
      </w:r>
      <w:r w:rsidR="00F57FA6">
        <w:rPr>
          <w:shd w:val="clear" w:color="auto" w:fill="FFFFFF"/>
        </w:rPr>
        <w:t>iedzīvotāju aptauja</w:t>
      </w:r>
      <w:r w:rsidR="003E64D5">
        <w:rPr>
          <w:shd w:val="clear" w:color="auto" w:fill="FFFFFF"/>
        </w:rPr>
        <w:t>s</w:t>
      </w:r>
      <w:r w:rsidR="001232D3">
        <w:rPr>
          <w:shd w:val="clear" w:color="auto" w:fill="FFFFFF"/>
        </w:rPr>
        <w:t xml:space="preserve"> rezultāti</w:t>
      </w:r>
      <w:r w:rsidR="003E64D5">
        <w:rPr>
          <w:shd w:val="clear" w:color="auto" w:fill="FFFFFF"/>
        </w:rPr>
        <w:t xml:space="preserve"> par azartspēļu organizēšanu Ādažu pašvaldībā</w:t>
      </w:r>
      <w:r w:rsidR="00F57FA6">
        <w:rPr>
          <w:shd w:val="clear" w:color="auto" w:fill="FFFFFF"/>
        </w:rPr>
        <w:t xml:space="preserve">. </w:t>
      </w:r>
      <w:r w:rsidR="00987005">
        <w:rPr>
          <w:shd w:val="clear" w:color="auto" w:fill="FFFFFF"/>
        </w:rPr>
        <w:t>Attiecībā uz sabiedriskās kārtības traucējumiem p</w:t>
      </w:r>
      <w:r w:rsidR="00F57FA6">
        <w:rPr>
          <w:shd w:val="clear" w:color="auto" w:fill="FFFFFF"/>
        </w:rPr>
        <w:t>ārsūdzētajā lēmumā norādīts, ka laikā no 20</w:t>
      </w:r>
      <w:r w:rsidR="00717F04">
        <w:rPr>
          <w:shd w:val="clear" w:color="auto" w:fill="FFFFFF"/>
        </w:rPr>
        <w:t>16</w:t>
      </w:r>
      <w:r w:rsidR="00F57FA6">
        <w:rPr>
          <w:shd w:val="clear" w:color="auto" w:fill="FFFFFF"/>
        </w:rPr>
        <w:t>.gada 8.novembra līdz 2021.gada 8.novembrim Ādažu pašvaldības policijā reģistrēti 34 gadījumi saistībā ar izsaukumiem spēļu zālē</w:t>
      </w:r>
      <w:r w:rsidR="00717F04">
        <w:rPr>
          <w:shd w:val="clear" w:color="auto" w:fill="FFFFFF"/>
        </w:rPr>
        <w:t xml:space="preserve"> un lielākoties</w:t>
      </w:r>
      <w:r w:rsidR="00F57FA6">
        <w:rPr>
          <w:shd w:val="clear" w:color="auto" w:fill="FFFFFF"/>
        </w:rPr>
        <w:t xml:space="preserve"> apmeklētāji </w:t>
      </w:r>
      <w:r w:rsidR="001232D3">
        <w:rPr>
          <w:shd w:val="clear" w:color="auto" w:fill="FFFFFF"/>
        </w:rPr>
        <w:t>bijuši</w:t>
      </w:r>
      <w:r w:rsidR="00F57FA6">
        <w:rPr>
          <w:shd w:val="clear" w:color="auto" w:fill="FFFFFF"/>
        </w:rPr>
        <w:t xml:space="preserve"> alkohola reibumā. Neapšaubāmi konstatētie sabiedriskās kārtības traucējumi ir būtiski un sabiedrības drošību ietekmējoši</w:t>
      </w:r>
      <w:r w:rsidR="001232D3">
        <w:rPr>
          <w:shd w:val="clear" w:color="auto" w:fill="FFFFFF"/>
        </w:rPr>
        <w:t>,</w:t>
      </w:r>
      <w:r w:rsidR="00F57FA6">
        <w:rPr>
          <w:shd w:val="clear" w:color="auto" w:fill="FFFFFF"/>
        </w:rPr>
        <w:t xml:space="preserve"> </w:t>
      </w:r>
      <w:r w:rsidR="001232D3">
        <w:rPr>
          <w:shd w:val="clear" w:color="auto" w:fill="FFFFFF"/>
        </w:rPr>
        <w:t>t</w:t>
      </w:r>
      <w:r w:rsidR="00F57FA6">
        <w:rPr>
          <w:shd w:val="clear" w:color="auto" w:fill="FFFFFF"/>
        </w:rPr>
        <w:t xml:space="preserve">omēr </w:t>
      </w:r>
      <w:r w:rsidR="001232D3">
        <w:rPr>
          <w:shd w:val="clear" w:color="auto" w:fill="FFFFFF"/>
        </w:rPr>
        <w:t>pārkāpumi ir</w:t>
      </w:r>
      <w:r w:rsidR="00F57FA6">
        <w:rPr>
          <w:shd w:val="clear" w:color="auto" w:fill="FFFFFF"/>
        </w:rPr>
        <w:t xml:space="preserve"> izdarīt</w:t>
      </w:r>
      <w:r w:rsidR="001232D3">
        <w:rPr>
          <w:shd w:val="clear" w:color="auto" w:fill="FFFFFF"/>
        </w:rPr>
        <w:t>i</w:t>
      </w:r>
      <w:r w:rsidR="00F57FA6">
        <w:rPr>
          <w:shd w:val="clear" w:color="auto" w:fill="FFFFFF"/>
        </w:rPr>
        <w:t xml:space="preserve"> piecu gadu laikā (vidēji septiņi pārkāpumi gadā). Turklāt Pētījumā nav iekļauta salīdzinoš</w:t>
      </w:r>
      <w:r w:rsidR="00102A18">
        <w:rPr>
          <w:shd w:val="clear" w:color="auto" w:fill="FFFFFF"/>
        </w:rPr>
        <w:t>a</w:t>
      </w:r>
      <w:r w:rsidR="00F57FA6">
        <w:rPr>
          <w:shd w:val="clear" w:color="auto" w:fill="FFFFFF"/>
        </w:rPr>
        <w:t xml:space="preserve"> analīze par līdzīgu pārkāpumu skaitu un veidu visā Ādažu novadā, lai va</w:t>
      </w:r>
      <w:r w:rsidR="003E64D5">
        <w:rPr>
          <w:shd w:val="clear" w:color="auto" w:fill="FFFFFF"/>
        </w:rPr>
        <w:t>r</w:t>
      </w:r>
      <w:r w:rsidR="00F57FA6">
        <w:rPr>
          <w:shd w:val="clear" w:color="auto" w:fill="FFFFFF"/>
        </w:rPr>
        <w:t xml:space="preserve">ētu </w:t>
      </w:r>
      <w:r w:rsidR="00102A18">
        <w:rPr>
          <w:shd w:val="clear" w:color="auto" w:fill="FFFFFF"/>
        </w:rPr>
        <w:t>pārliecināties</w:t>
      </w:r>
      <w:r w:rsidR="00F57FA6">
        <w:rPr>
          <w:shd w:val="clear" w:color="auto" w:fill="FFFFFF"/>
        </w:rPr>
        <w:t xml:space="preserve">, ka tieši spēļu zāle ir ievērojamākais sabiedriskās kārtības traucējumu un noziedzīgo nodarījumu avots. </w:t>
      </w:r>
      <w:r w:rsidR="00987005">
        <w:rPr>
          <w:shd w:val="clear" w:color="auto" w:fill="FFFFFF"/>
        </w:rPr>
        <w:t>Apstāklis, ka ir reģistrēts</w:t>
      </w:r>
      <w:r w:rsidR="00A34C72">
        <w:rPr>
          <w:shd w:val="clear" w:color="auto" w:fill="FFFFFF"/>
        </w:rPr>
        <w:t xml:space="preserve"> viens</w:t>
      </w:r>
      <w:r w:rsidR="00987005">
        <w:rPr>
          <w:shd w:val="clear" w:color="auto" w:fill="FFFFFF"/>
        </w:rPr>
        <w:t xml:space="preserve"> incidents ar nepilngadīgu personu, neliecina par sistemātisku nepilngadīgo iesaistīšanos azartspēlēs. Savukārt atbilstoši Senāta judikatūras atziņām iedzīvotāju aptauja ar mērķi noskaidrot novada iedzīvotāju viedokli par azartspēļu ierobežojumu pašvaldībā nav uzskatāms par pamatu atļaujas atcelšanai.</w:t>
      </w:r>
    </w:p>
    <w:p w14:paraId="75692AC2" w14:textId="5F263277" w:rsidR="00FD166B" w:rsidRDefault="003E64D5"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705E04">
        <w:rPr>
          <w:shd w:val="clear" w:color="auto" w:fill="FFFFFF"/>
        </w:rPr>
        <w:t>5</w:t>
      </w:r>
      <w:r>
        <w:rPr>
          <w:shd w:val="clear" w:color="auto" w:fill="FFFFFF"/>
        </w:rPr>
        <w:t>]</w:t>
      </w:r>
      <w:r w:rsidR="00102A18">
        <w:rPr>
          <w:shd w:val="clear" w:color="auto" w:fill="FFFFFF"/>
        </w:rPr>
        <w:t> </w:t>
      </w:r>
      <w:r w:rsidR="00FD166B">
        <w:rPr>
          <w:shd w:val="clear" w:color="auto" w:fill="FFFFFF"/>
        </w:rPr>
        <w:t xml:space="preserve">Izvērtējot </w:t>
      </w:r>
      <w:r>
        <w:rPr>
          <w:shd w:val="clear" w:color="auto" w:fill="FFFFFF"/>
        </w:rPr>
        <w:t xml:space="preserve">pārsūdzētā lēmuma </w:t>
      </w:r>
      <w:r w:rsidR="00FD166B">
        <w:rPr>
          <w:shd w:val="clear" w:color="auto" w:fill="FFFFFF"/>
        </w:rPr>
        <w:t>pamatojumu, nav konstatējams, ka spēļu zāle tās atrašan</w:t>
      </w:r>
      <w:r w:rsidR="00515414">
        <w:rPr>
          <w:shd w:val="clear" w:color="auto" w:fill="FFFFFF"/>
        </w:rPr>
        <w:t>ās</w:t>
      </w:r>
      <w:r w:rsidR="00FD166B">
        <w:rPr>
          <w:shd w:val="clear" w:color="auto" w:fill="FFFFFF"/>
        </w:rPr>
        <w:t xml:space="preserve"> vietā varētu provocēt personu interesi par azartspēlēm un radīt kaitīgu ietekmi un pretrunas starp azartspēļu un kultūras, izglītības vai reliģisko organizāciju piedāvātajām vērtībām. </w:t>
      </w:r>
      <w:r w:rsidR="00FD166B" w:rsidRPr="00FD166B">
        <w:rPr>
          <w:shd w:val="clear" w:color="auto" w:fill="FFFFFF"/>
        </w:rPr>
        <w:t>Ādažu pilsēta lielā mērā ir izvietojusies līdztekus autoceļam.</w:t>
      </w:r>
      <w:r w:rsidR="00FD166B">
        <w:rPr>
          <w:shd w:val="clear" w:color="auto" w:fill="FFFFFF"/>
        </w:rPr>
        <w:t xml:space="preserve"> </w:t>
      </w:r>
      <w:r w:rsidR="00FD166B" w:rsidRPr="00FD166B">
        <w:rPr>
          <w:shd w:val="clear" w:color="auto" w:fill="FFFFFF"/>
        </w:rPr>
        <w:t>Autoceļa tiešā tuvumā (pilsētas pusē) ir automazgāt</w:t>
      </w:r>
      <w:r w:rsidR="00705E04">
        <w:rPr>
          <w:shd w:val="clear" w:color="auto" w:fill="FFFFFF"/>
        </w:rPr>
        <w:t>a</w:t>
      </w:r>
      <w:r w:rsidR="00FD166B" w:rsidRPr="00FD166B">
        <w:rPr>
          <w:shd w:val="clear" w:color="auto" w:fill="FFFFFF"/>
        </w:rPr>
        <w:t>v</w:t>
      </w:r>
      <w:r w:rsidR="00705E04">
        <w:rPr>
          <w:shd w:val="clear" w:color="auto" w:fill="FFFFFF"/>
        </w:rPr>
        <w:t>a</w:t>
      </w:r>
      <w:r w:rsidR="00FD166B" w:rsidRPr="00FD166B">
        <w:rPr>
          <w:shd w:val="clear" w:color="auto" w:fill="FFFFFF"/>
        </w:rPr>
        <w:t>s, degvielas uzpildes stacijas, lielveikali</w:t>
      </w:r>
      <w:r w:rsidR="00220ADE">
        <w:rPr>
          <w:shd w:val="clear" w:color="auto" w:fill="FFFFFF"/>
        </w:rPr>
        <w:t xml:space="preserve">. </w:t>
      </w:r>
      <w:r w:rsidR="00FD166B" w:rsidRPr="00FD166B">
        <w:rPr>
          <w:shd w:val="clear" w:color="auto" w:fill="FFFFFF"/>
        </w:rPr>
        <w:t>No dzīvojamo ēku teritorijas šo autoceļam piegulošo teritoriju atdala iela – Rīgas gatve.</w:t>
      </w:r>
      <w:r w:rsidR="00FD166B">
        <w:rPr>
          <w:shd w:val="clear" w:color="auto" w:fill="FFFFFF"/>
        </w:rPr>
        <w:t xml:space="preserve"> </w:t>
      </w:r>
      <w:r w:rsidR="00FD166B" w:rsidRPr="00FD166B">
        <w:rPr>
          <w:shd w:val="clear" w:color="auto" w:fill="FFFFFF"/>
        </w:rPr>
        <w:t xml:space="preserve">Daudzdzīvokļu dzīvojamo ēku un bērnu spēļu laukumu </w:t>
      </w:r>
      <w:r w:rsidR="00515414">
        <w:rPr>
          <w:shd w:val="clear" w:color="auto" w:fill="FFFFFF"/>
        </w:rPr>
        <w:t>s</w:t>
      </w:r>
      <w:r w:rsidR="00FD166B" w:rsidRPr="00FD166B">
        <w:rPr>
          <w:shd w:val="clear" w:color="auto" w:fill="FFFFFF"/>
        </w:rPr>
        <w:t>pēļu zāles tiešā tuvumā (100 m</w:t>
      </w:r>
      <w:r>
        <w:rPr>
          <w:shd w:val="clear" w:color="auto" w:fill="FFFFFF"/>
        </w:rPr>
        <w:t>etru attālumā</w:t>
      </w:r>
      <w:r w:rsidR="00FD166B" w:rsidRPr="00FD166B">
        <w:rPr>
          <w:shd w:val="clear" w:color="auto" w:fill="FFFFFF"/>
        </w:rPr>
        <w:t>) nav.</w:t>
      </w:r>
      <w:r w:rsidR="00FD166B">
        <w:rPr>
          <w:shd w:val="clear" w:color="auto" w:fill="FFFFFF"/>
        </w:rPr>
        <w:t xml:space="preserve"> </w:t>
      </w:r>
      <w:r w:rsidR="00FD166B" w:rsidRPr="00FD166B">
        <w:rPr>
          <w:shd w:val="clear" w:color="auto" w:fill="FFFFFF"/>
        </w:rPr>
        <w:t>Spēļu zāles tiešā tuvumā arī nav izveidota gājēju pāreja, kas šķērsotu Rīgas gatvi.</w:t>
      </w:r>
      <w:r w:rsidR="00FD166B">
        <w:rPr>
          <w:shd w:val="clear" w:color="auto" w:fill="FFFFFF"/>
        </w:rPr>
        <w:t xml:space="preserve"> </w:t>
      </w:r>
      <w:r w:rsidR="00FD166B" w:rsidRPr="00FD166B">
        <w:rPr>
          <w:shd w:val="clear" w:color="auto" w:fill="FFFFFF"/>
        </w:rPr>
        <w:t>Lai gan atbilstoši domes norādītajam Rīgas gatve ir viena no noslogotākajām ielām Ādažu</w:t>
      </w:r>
      <w:r w:rsidR="00FD166B">
        <w:rPr>
          <w:shd w:val="clear" w:color="auto" w:fill="FFFFFF"/>
        </w:rPr>
        <w:t xml:space="preserve"> </w:t>
      </w:r>
      <w:r w:rsidR="00FD166B" w:rsidRPr="00FD166B">
        <w:rPr>
          <w:shd w:val="clear" w:color="auto" w:fill="FFFFFF"/>
        </w:rPr>
        <w:t xml:space="preserve">centrā un tajā ir liela gājēju un autosatiksmes intensitāte, </w:t>
      </w:r>
      <w:r w:rsidR="00220ADE">
        <w:rPr>
          <w:shd w:val="clear" w:color="auto" w:fill="FFFFFF"/>
        </w:rPr>
        <w:t>konstatējams</w:t>
      </w:r>
      <w:r w:rsidR="00FD166B" w:rsidRPr="00FD166B">
        <w:rPr>
          <w:shd w:val="clear" w:color="auto" w:fill="FFFFFF"/>
        </w:rPr>
        <w:t xml:space="preserve">, ka </w:t>
      </w:r>
      <w:r w:rsidR="00220ADE">
        <w:rPr>
          <w:shd w:val="clear" w:color="auto" w:fill="FFFFFF"/>
        </w:rPr>
        <w:t>s</w:t>
      </w:r>
      <w:r w:rsidR="00FD166B" w:rsidRPr="00FD166B">
        <w:rPr>
          <w:shd w:val="clear" w:color="auto" w:fill="FFFFFF"/>
        </w:rPr>
        <w:t>pēļu zāles tiešā</w:t>
      </w:r>
      <w:r w:rsidR="00FD166B">
        <w:rPr>
          <w:shd w:val="clear" w:color="auto" w:fill="FFFFFF"/>
        </w:rPr>
        <w:t xml:space="preserve"> </w:t>
      </w:r>
      <w:r w:rsidR="00FD166B" w:rsidRPr="00FD166B">
        <w:rPr>
          <w:shd w:val="clear" w:color="auto" w:fill="FFFFFF"/>
        </w:rPr>
        <w:t>tuvumā nav sabiedrībai nozīmīgu objektu un pati zāle atrodas salīdzinoši nomaļus no cilvēku bieži</w:t>
      </w:r>
      <w:r w:rsidR="00FD166B">
        <w:rPr>
          <w:shd w:val="clear" w:color="auto" w:fill="FFFFFF"/>
        </w:rPr>
        <w:t xml:space="preserve"> </w:t>
      </w:r>
      <w:r w:rsidR="00FD166B" w:rsidRPr="00FD166B">
        <w:rPr>
          <w:shd w:val="clear" w:color="auto" w:fill="FFFFFF"/>
        </w:rPr>
        <w:t>apmeklētām vietām. Arī dome norādīja, ka tuvākā sabiedriskā transporta pieturvieta atrodas ne</w:t>
      </w:r>
      <w:r w:rsidR="00FD166B">
        <w:rPr>
          <w:shd w:val="clear" w:color="auto" w:fill="FFFFFF"/>
        </w:rPr>
        <w:t xml:space="preserve"> </w:t>
      </w:r>
      <w:r w:rsidR="00FD166B" w:rsidRPr="00FD166B">
        <w:rPr>
          <w:shd w:val="clear" w:color="auto" w:fill="FFFFFF"/>
        </w:rPr>
        <w:t>tuvāk par 400</w:t>
      </w:r>
      <w:r w:rsidR="003C57FF">
        <w:rPr>
          <w:shd w:val="clear" w:color="auto" w:fill="FFFFFF"/>
        </w:rPr>
        <w:t> </w:t>
      </w:r>
      <w:r w:rsidR="00FD166B" w:rsidRPr="00FD166B">
        <w:rPr>
          <w:shd w:val="clear" w:color="auto" w:fill="FFFFFF"/>
        </w:rPr>
        <w:t>m</w:t>
      </w:r>
      <w:r w:rsidR="00220ADE">
        <w:rPr>
          <w:shd w:val="clear" w:color="auto" w:fill="FFFFFF"/>
        </w:rPr>
        <w:t>etriem no spēļu zāles</w:t>
      </w:r>
      <w:r w:rsidR="00FD166B" w:rsidRPr="00FD166B">
        <w:rPr>
          <w:shd w:val="clear" w:color="auto" w:fill="FFFFFF"/>
        </w:rPr>
        <w:t xml:space="preserve">, </w:t>
      </w:r>
      <w:r w:rsidR="00FD166B" w:rsidRPr="00717F04">
        <w:rPr>
          <w:i/>
          <w:iCs/>
          <w:shd w:val="clear" w:color="auto" w:fill="FFFFFF"/>
        </w:rPr>
        <w:t>Benu</w:t>
      </w:r>
      <w:r w:rsidR="00FD166B" w:rsidRPr="00FD166B">
        <w:rPr>
          <w:shd w:val="clear" w:color="auto" w:fill="FFFFFF"/>
        </w:rPr>
        <w:t xml:space="preserve"> aptieka – 500</w:t>
      </w:r>
      <w:r w:rsidR="00A34C72">
        <w:rPr>
          <w:shd w:val="clear" w:color="auto" w:fill="FFFFFF"/>
        </w:rPr>
        <w:t> </w:t>
      </w:r>
      <w:r w:rsidR="00FD166B" w:rsidRPr="00FD166B">
        <w:rPr>
          <w:shd w:val="clear" w:color="auto" w:fill="FFFFFF"/>
        </w:rPr>
        <w:t>m</w:t>
      </w:r>
      <w:r w:rsidR="00220ADE">
        <w:rPr>
          <w:shd w:val="clear" w:color="auto" w:fill="FFFFFF"/>
        </w:rPr>
        <w:t>etriem</w:t>
      </w:r>
      <w:r w:rsidR="00FD166B" w:rsidRPr="00FD166B">
        <w:rPr>
          <w:shd w:val="clear" w:color="auto" w:fill="FFFFFF"/>
        </w:rPr>
        <w:t>, zvērināt</w:t>
      </w:r>
      <w:r w:rsidR="00705E04">
        <w:rPr>
          <w:shd w:val="clear" w:color="auto" w:fill="FFFFFF"/>
        </w:rPr>
        <w:t>a</w:t>
      </w:r>
      <w:r w:rsidR="00FD166B" w:rsidRPr="00FD166B">
        <w:rPr>
          <w:shd w:val="clear" w:color="auto" w:fill="FFFFFF"/>
        </w:rPr>
        <w:t xml:space="preserve"> notār</w:t>
      </w:r>
      <w:r w:rsidR="00705E04">
        <w:rPr>
          <w:shd w:val="clear" w:color="auto" w:fill="FFFFFF"/>
        </w:rPr>
        <w:t>a birojs</w:t>
      </w:r>
      <w:r w:rsidR="00FD166B" w:rsidRPr="00FD166B">
        <w:rPr>
          <w:shd w:val="clear" w:color="auto" w:fill="FFFFFF"/>
        </w:rPr>
        <w:t xml:space="preserve"> – 600</w:t>
      </w:r>
      <w:r w:rsidR="00A34C72">
        <w:rPr>
          <w:shd w:val="clear" w:color="auto" w:fill="FFFFFF"/>
        </w:rPr>
        <w:t> </w:t>
      </w:r>
      <w:r w:rsidR="00FD166B" w:rsidRPr="00FD166B">
        <w:rPr>
          <w:shd w:val="clear" w:color="auto" w:fill="FFFFFF"/>
        </w:rPr>
        <w:t>m</w:t>
      </w:r>
      <w:r w:rsidR="00220ADE">
        <w:rPr>
          <w:shd w:val="clear" w:color="auto" w:fill="FFFFFF"/>
        </w:rPr>
        <w:t>etriem</w:t>
      </w:r>
      <w:r w:rsidR="00FD166B" w:rsidRPr="00FD166B">
        <w:rPr>
          <w:shd w:val="clear" w:color="auto" w:fill="FFFFFF"/>
        </w:rPr>
        <w:t>, VAS</w:t>
      </w:r>
      <w:r w:rsidR="00220ADE" w:rsidRPr="00FD166B">
        <w:rPr>
          <w:shd w:val="clear" w:color="auto" w:fill="FFFFFF"/>
        </w:rPr>
        <w:t xml:space="preserve"> „</w:t>
      </w:r>
      <w:r w:rsidR="00FD166B" w:rsidRPr="00FD166B">
        <w:rPr>
          <w:shd w:val="clear" w:color="auto" w:fill="FFFFFF"/>
        </w:rPr>
        <w:t>Latvijas</w:t>
      </w:r>
      <w:r w:rsidR="00FD166B">
        <w:rPr>
          <w:shd w:val="clear" w:color="auto" w:fill="FFFFFF"/>
        </w:rPr>
        <w:t xml:space="preserve"> </w:t>
      </w:r>
      <w:r w:rsidR="00FD166B" w:rsidRPr="00FD166B">
        <w:rPr>
          <w:shd w:val="clear" w:color="auto" w:fill="FFFFFF"/>
        </w:rPr>
        <w:t>Pasts”</w:t>
      </w:r>
      <w:r w:rsidR="00705E04">
        <w:rPr>
          <w:shd w:val="clear" w:color="auto" w:fill="FFFFFF"/>
        </w:rPr>
        <w:t xml:space="preserve"> pasta nodaļa</w:t>
      </w:r>
      <w:r w:rsidR="00FD166B" w:rsidRPr="00FD166B">
        <w:rPr>
          <w:shd w:val="clear" w:color="auto" w:fill="FFFFFF"/>
        </w:rPr>
        <w:t xml:space="preserve"> un E.Gulbja laboratorija – apmēram </w:t>
      </w:r>
      <w:r w:rsidR="00FD166B" w:rsidRPr="00717F04">
        <w:t>750</w:t>
      </w:r>
      <w:r w:rsidR="00717F04">
        <w:t> </w:t>
      </w:r>
      <w:r w:rsidR="00FD166B" w:rsidRPr="00717F04">
        <w:t>m</w:t>
      </w:r>
      <w:r w:rsidR="00220ADE" w:rsidRPr="00717F04">
        <w:t>etriem</w:t>
      </w:r>
      <w:r w:rsidR="00FD166B" w:rsidRPr="00FD166B">
        <w:rPr>
          <w:shd w:val="clear" w:color="auto" w:fill="FFFFFF"/>
        </w:rPr>
        <w:t>, Ādažu medicīnas centrs – apmēram 850</w:t>
      </w:r>
      <w:r w:rsidR="00D76784">
        <w:rPr>
          <w:shd w:val="clear" w:color="auto" w:fill="FFFFFF"/>
        </w:rPr>
        <w:t> </w:t>
      </w:r>
      <w:r w:rsidR="00FD166B" w:rsidRPr="00FD166B">
        <w:rPr>
          <w:shd w:val="clear" w:color="auto" w:fill="FFFFFF"/>
        </w:rPr>
        <w:t>m</w:t>
      </w:r>
      <w:r w:rsidR="00220ADE">
        <w:rPr>
          <w:shd w:val="clear" w:color="auto" w:fill="FFFFFF"/>
        </w:rPr>
        <w:t>etr</w:t>
      </w:r>
      <w:r w:rsidR="00705E04">
        <w:rPr>
          <w:shd w:val="clear" w:color="auto" w:fill="FFFFFF"/>
        </w:rPr>
        <w:t>iem</w:t>
      </w:r>
      <w:r w:rsidR="00FD166B" w:rsidRPr="00FD166B">
        <w:rPr>
          <w:shd w:val="clear" w:color="auto" w:fill="FFFFFF"/>
        </w:rPr>
        <w:t>.</w:t>
      </w:r>
      <w:r w:rsidR="00FD166B">
        <w:rPr>
          <w:shd w:val="clear" w:color="auto" w:fill="FFFFFF"/>
        </w:rPr>
        <w:t xml:space="preserve"> </w:t>
      </w:r>
      <w:r w:rsidR="00220ADE">
        <w:rPr>
          <w:shd w:val="clear" w:color="auto" w:fill="FFFFFF"/>
        </w:rPr>
        <w:t>400</w:t>
      </w:r>
      <w:r w:rsidR="00705E04">
        <w:rPr>
          <w:shd w:val="clear" w:color="auto" w:fill="FFFFFF"/>
        </w:rPr>
        <w:t> </w:t>
      </w:r>
      <w:r w:rsidR="00220ADE">
        <w:rPr>
          <w:shd w:val="clear" w:color="auto" w:fill="FFFFFF"/>
        </w:rPr>
        <w:t>līdz 500</w:t>
      </w:r>
      <w:r w:rsidR="00783F0E">
        <w:rPr>
          <w:shd w:val="clear" w:color="auto" w:fill="FFFFFF"/>
        </w:rPr>
        <w:t> </w:t>
      </w:r>
      <w:r w:rsidR="00220ADE">
        <w:rPr>
          <w:shd w:val="clear" w:color="auto" w:fill="FFFFFF"/>
        </w:rPr>
        <w:t>metru</w:t>
      </w:r>
      <w:r w:rsidR="00FD166B" w:rsidRPr="00FD166B">
        <w:rPr>
          <w:shd w:val="clear" w:color="auto" w:fill="FFFFFF"/>
        </w:rPr>
        <w:t xml:space="preserve"> attālums ir pietiekami liels, lai atzītu, ka personas</w:t>
      </w:r>
      <w:r w:rsidR="00FD166B">
        <w:rPr>
          <w:shd w:val="clear" w:color="auto" w:fill="FFFFFF"/>
        </w:rPr>
        <w:t xml:space="preserve"> </w:t>
      </w:r>
      <w:r w:rsidR="00705E04">
        <w:rPr>
          <w:shd w:val="clear" w:color="auto" w:fill="FFFFFF"/>
        </w:rPr>
        <w:t>spēļu zāli</w:t>
      </w:r>
      <w:r w:rsidR="00FD166B" w:rsidRPr="00FD166B">
        <w:rPr>
          <w:shd w:val="clear" w:color="auto" w:fill="FFFFFF"/>
        </w:rPr>
        <w:t xml:space="preserve"> apmeklē apzināti, nevis nokļūst tajā neviļus, meklējot vai apmeklējot citu objektu.</w:t>
      </w:r>
      <w:r w:rsidR="00FD166B">
        <w:rPr>
          <w:shd w:val="clear" w:color="auto" w:fill="FFFFFF"/>
        </w:rPr>
        <w:t xml:space="preserve"> </w:t>
      </w:r>
      <w:r w:rsidR="00FD166B" w:rsidRPr="00FD166B">
        <w:rPr>
          <w:shd w:val="clear" w:color="auto" w:fill="FFFFFF"/>
        </w:rPr>
        <w:t>Lai gan dome uzskata, ka izglītības iestāžu atrašanās aptuveni 500</w:t>
      </w:r>
      <w:r w:rsidR="00A34C72">
        <w:rPr>
          <w:shd w:val="clear" w:color="auto" w:fill="FFFFFF"/>
        </w:rPr>
        <w:t> </w:t>
      </w:r>
      <w:r w:rsidR="00FD166B" w:rsidRPr="00FD166B">
        <w:rPr>
          <w:shd w:val="clear" w:color="auto" w:fill="FFFFFF"/>
        </w:rPr>
        <w:t>m</w:t>
      </w:r>
      <w:r w:rsidR="00220ADE">
        <w:rPr>
          <w:shd w:val="clear" w:color="auto" w:fill="FFFFFF"/>
        </w:rPr>
        <w:t>etru</w:t>
      </w:r>
      <w:r w:rsidR="00FD166B" w:rsidRPr="00FD166B">
        <w:rPr>
          <w:shd w:val="clear" w:color="auto" w:fill="FFFFFF"/>
        </w:rPr>
        <w:t xml:space="preserve"> attālumā ir salīdzinoši</w:t>
      </w:r>
      <w:r w:rsidR="00FD166B">
        <w:rPr>
          <w:shd w:val="clear" w:color="auto" w:fill="FFFFFF"/>
        </w:rPr>
        <w:t xml:space="preserve"> </w:t>
      </w:r>
      <w:r w:rsidR="00FD166B" w:rsidRPr="00FD166B">
        <w:rPr>
          <w:shd w:val="clear" w:color="auto" w:fill="FFFFFF"/>
        </w:rPr>
        <w:t xml:space="preserve">netālu, izmantojot </w:t>
      </w:r>
      <w:r w:rsidR="00FD166B" w:rsidRPr="00220ADE">
        <w:rPr>
          <w:i/>
          <w:iCs/>
          <w:shd w:val="clear" w:color="auto" w:fill="FFFFFF"/>
        </w:rPr>
        <w:t>Google Maps</w:t>
      </w:r>
      <w:r w:rsidR="00FD166B" w:rsidRPr="00FD166B">
        <w:rPr>
          <w:shd w:val="clear" w:color="auto" w:fill="FFFFFF"/>
        </w:rPr>
        <w:t xml:space="preserve"> datus, ir secināms, ka kājāmgājējam un</w:t>
      </w:r>
      <w:r w:rsidR="00FD166B">
        <w:rPr>
          <w:shd w:val="clear" w:color="auto" w:fill="FFFFFF"/>
        </w:rPr>
        <w:t xml:space="preserve"> </w:t>
      </w:r>
      <w:r w:rsidR="00FD166B" w:rsidRPr="00FD166B">
        <w:rPr>
          <w:shd w:val="clear" w:color="auto" w:fill="FFFFFF"/>
        </w:rPr>
        <w:t>automašīnai saistībā ar ielu izvietojumu Ādažos ir faktiski jāpārvar apmēram 900</w:t>
      </w:r>
      <w:r w:rsidR="00783F0E">
        <w:rPr>
          <w:shd w:val="clear" w:color="auto" w:fill="FFFFFF"/>
        </w:rPr>
        <w:t> </w:t>
      </w:r>
      <w:r w:rsidR="00FD166B" w:rsidRPr="00FD166B">
        <w:rPr>
          <w:shd w:val="clear" w:color="auto" w:fill="FFFFFF"/>
        </w:rPr>
        <w:t>m</w:t>
      </w:r>
      <w:r w:rsidR="00220ADE">
        <w:rPr>
          <w:shd w:val="clear" w:color="auto" w:fill="FFFFFF"/>
        </w:rPr>
        <w:t xml:space="preserve">etru. Līdz ar to nav iespējams, ka </w:t>
      </w:r>
      <w:r w:rsidR="00FD166B" w:rsidRPr="00FD166B">
        <w:rPr>
          <w:shd w:val="clear" w:color="auto" w:fill="FFFFFF"/>
        </w:rPr>
        <w:t xml:space="preserve">persona no kādas Ādažu izglītības iestādes varētu </w:t>
      </w:r>
      <w:r w:rsidR="00220ADE">
        <w:rPr>
          <w:shd w:val="clear" w:color="auto" w:fill="FFFFFF"/>
        </w:rPr>
        <w:t>s</w:t>
      </w:r>
      <w:r w:rsidR="00FD166B" w:rsidRPr="00FD166B">
        <w:rPr>
          <w:shd w:val="clear" w:color="auto" w:fill="FFFFFF"/>
        </w:rPr>
        <w:t>pēļu zālē nokļūt</w:t>
      </w:r>
      <w:r w:rsidR="00FD166B">
        <w:rPr>
          <w:shd w:val="clear" w:color="auto" w:fill="FFFFFF"/>
        </w:rPr>
        <w:t xml:space="preserve"> </w:t>
      </w:r>
      <w:r w:rsidR="00FD166B" w:rsidRPr="00FD166B">
        <w:rPr>
          <w:shd w:val="clear" w:color="auto" w:fill="FFFFFF"/>
        </w:rPr>
        <w:t>nejauši. Arī ielu tīkls Ādažos nodrošina alternatīvu pārvietošanos uz pilsētā svarīgiem objektiem,</w:t>
      </w:r>
      <w:r w:rsidR="00FD166B">
        <w:rPr>
          <w:shd w:val="clear" w:color="auto" w:fill="FFFFFF"/>
        </w:rPr>
        <w:t xml:space="preserve"> </w:t>
      </w:r>
      <w:r w:rsidR="00FD166B" w:rsidRPr="00FD166B">
        <w:rPr>
          <w:shd w:val="clear" w:color="auto" w:fill="FFFFFF"/>
        </w:rPr>
        <w:t>nepārvietojoties tieši garām</w:t>
      </w:r>
      <w:r w:rsidR="00220ADE">
        <w:rPr>
          <w:shd w:val="clear" w:color="auto" w:fill="FFFFFF"/>
        </w:rPr>
        <w:t xml:space="preserve"> spēļu</w:t>
      </w:r>
      <w:r w:rsidR="00FD166B" w:rsidRPr="00FD166B">
        <w:rPr>
          <w:shd w:val="clear" w:color="auto" w:fill="FFFFFF"/>
        </w:rPr>
        <w:t xml:space="preserve"> zālei.</w:t>
      </w:r>
    </w:p>
    <w:p w14:paraId="054D745B" w14:textId="0CF04606" w:rsidR="00FD166B" w:rsidRDefault="00FD166B"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705E04">
        <w:rPr>
          <w:shd w:val="clear" w:color="auto" w:fill="FFFFFF"/>
        </w:rPr>
        <w:t>6</w:t>
      </w:r>
      <w:r>
        <w:rPr>
          <w:shd w:val="clear" w:color="auto" w:fill="FFFFFF"/>
        </w:rPr>
        <w:t>]</w:t>
      </w:r>
      <w:r w:rsidR="00102A18">
        <w:rPr>
          <w:shd w:val="clear" w:color="auto" w:fill="FFFFFF"/>
        </w:rPr>
        <w:t> </w:t>
      </w:r>
      <w:r>
        <w:rPr>
          <w:shd w:val="clear" w:color="auto" w:fill="FFFFFF"/>
        </w:rPr>
        <w:t xml:space="preserve">Ņemot vērā to, ka pārsūdzētajā lēmumā nav iekļauts objektīvs un individualizēts novērtējums, lai konstatētu, ka spēļu zāles atrašanās konkrētajā teritorijā skar būtiskas sabiedrības intereses, atzīstams, ka pārsūdzētais lēmums nav pietiekami pamatots. </w:t>
      </w:r>
    </w:p>
    <w:p w14:paraId="010E3D34" w14:textId="77777777" w:rsidR="00BF21E2" w:rsidRDefault="00BF21E2" w:rsidP="00D44348">
      <w:pPr>
        <w:pStyle w:val="NormalWeb"/>
        <w:shd w:val="clear" w:color="auto" w:fill="FFFFFF"/>
        <w:spacing w:before="0" w:beforeAutospacing="0" w:after="0" w:afterAutospacing="0" w:line="276" w:lineRule="auto"/>
        <w:ind w:firstLine="720"/>
        <w:jc w:val="both"/>
        <w:rPr>
          <w:shd w:val="clear" w:color="auto" w:fill="FFFFFF"/>
        </w:rPr>
      </w:pPr>
    </w:p>
    <w:p w14:paraId="1A4E9C5B" w14:textId="3726EEBD" w:rsidR="00BF21E2" w:rsidRDefault="00BF21E2"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 </w:t>
      </w:r>
      <w:r w:rsidR="003A7045">
        <w:rPr>
          <w:shd w:val="clear" w:color="auto" w:fill="FFFFFF"/>
        </w:rPr>
        <w:t xml:space="preserve">Dome iesniedza kasācijas sūdzību par apgabaltiesas spriedumu. Kasācijas sūdzība pamatota ar turpmāk norādītajiem apsvērumiem. </w:t>
      </w:r>
    </w:p>
    <w:p w14:paraId="3DEEEC9C" w14:textId="5BC05FB1" w:rsidR="00220ADE" w:rsidRDefault="003C23EC"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w:t>
      </w:r>
      <w:r w:rsidR="003C57FF">
        <w:rPr>
          <w:shd w:val="clear" w:color="auto" w:fill="FFFFFF"/>
        </w:rPr>
        <w:t> </w:t>
      </w:r>
      <w:r>
        <w:rPr>
          <w:shd w:val="clear" w:color="auto" w:fill="FFFFFF"/>
        </w:rPr>
        <w:t xml:space="preserve">Tiesa atzinusi, ka pārsūdzētajā lēmumā aplūkotie apstākļi esot pārāk vispārīgi un iztrūkstot individualizēta novērtējuma. Šāds secinājums ir pretējs pirmās instances tiesas secinājumiem šajā </w:t>
      </w:r>
      <w:r w:rsidR="00220ADE">
        <w:rPr>
          <w:shd w:val="clear" w:color="auto" w:fill="FFFFFF"/>
        </w:rPr>
        <w:t>lietā</w:t>
      </w:r>
      <w:r w:rsidR="00705E04">
        <w:rPr>
          <w:shd w:val="clear" w:color="auto" w:fill="FFFFFF"/>
        </w:rPr>
        <w:t xml:space="preserve"> (pirmās instances tiesa noraidīja pieteikumu)</w:t>
      </w:r>
      <w:r>
        <w:rPr>
          <w:shd w:val="clear" w:color="auto" w:fill="FFFFFF"/>
        </w:rPr>
        <w:t>, un no apgabaltiesas sprieduma neizriet, kāpēc tas tā ir. Turklāt nav saprotams, kād</w:t>
      </w:r>
      <w:r w:rsidR="001863B3">
        <w:rPr>
          <w:shd w:val="clear" w:color="auto" w:fill="FFFFFF"/>
        </w:rPr>
        <w:t>ai būtu jābūt</w:t>
      </w:r>
      <w:r>
        <w:rPr>
          <w:shd w:val="clear" w:color="auto" w:fill="FFFFFF"/>
        </w:rPr>
        <w:t xml:space="preserve"> Azartspēļu un izložu likuma 42.panta sestās daļas kārtībā pieņemta lēmuma</w:t>
      </w:r>
      <w:r w:rsidR="001863B3">
        <w:rPr>
          <w:shd w:val="clear" w:color="auto" w:fill="FFFFFF"/>
        </w:rPr>
        <w:t xml:space="preserve"> argumentācijai</w:t>
      </w:r>
      <w:r>
        <w:rPr>
          <w:shd w:val="clear" w:color="auto" w:fill="FFFFFF"/>
        </w:rPr>
        <w:t xml:space="preserve">, lai to varētu atzīt par pietiekami pamatotu. </w:t>
      </w:r>
      <w:r w:rsidR="001863B3">
        <w:rPr>
          <w:shd w:val="clear" w:color="auto" w:fill="FFFFFF"/>
        </w:rPr>
        <w:t>N</w:t>
      </w:r>
      <w:r>
        <w:rPr>
          <w:shd w:val="clear" w:color="auto" w:fill="FFFFFF"/>
        </w:rPr>
        <w:t xml:space="preserve">eviens normatīvais akts nenosaka minētās Azartspēļu un izložu likuma normas kārtībā pieņemta lēmuma saturiskās vadlīnijas vai lēmuma pieņemšanas izvērtējuma kritērijus. </w:t>
      </w:r>
      <w:r w:rsidR="00795546">
        <w:rPr>
          <w:shd w:val="clear" w:color="auto" w:fill="FFFFFF"/>
        </w:rPr>
        <w:t>Tiesas secinājumi</w:t>
      </w:r>
      <w:r w:rsidR="001863B3">
        <w:rPr>
          <w:shd w:val="clear" w:color="auto" w:fill="FFFFFF"/>
        </w:rPr>
        <w:t xml:space="preserve"> </w:t>
      </w:r>
      <w:r w:rsidR="00795546">
        <w:rPr>
          <w:shd w:val="clear" w:color="auto" w:fill="FFFFFF"/>
        </w:rPr>
        <w:t>ir pretrunīgi</w:t>
      </w:r>
      <w:r w:rsidR="001863B3">
        <w:rPr>
          <w:shd w:val="clear" w:color="auto" w:fill="FFFFFF"/>
        </w:rPr>
        <w:t>:</w:t>
      </w:r>
      <w:r w:rsidR="00795546">
        <w:rPr>
          <w:shd w:val="clear" w:color="auto" w:fill="FFFFFF"/>
        </w:rPr>
        <w:t xml:space="preserve"> </w:t>
      </w:r>
      <w:r w:rsidR="001863B3">
        <w:rPr>
          <w:shd w:val="clear" w:color="auto" w:fill="FFFFFF"/>
        </w:rPr>
        <w:t>v</w:t>
      </w:r>
      <w:r w:rsidR="00795546">
        <w:rPr>
          <w:shd w:val="clear" w:color="auto" w:fill="FFFFFF"/>
        </w:rPr>
        <w:t>ispirms tiesa norāda, ka dome ir veikusi konkrētās vietas individuālo izvērtējumu</w:t>
      </w:r>
      <w:r w:rsidR="001863B3">
        <w:rPr>
          <w:shd w:val="clear" w:color="auto" w:fill="FFFFFF"/>
        </w:rPr>
        <w:t>, bet</w:t>
      </w:r>
      <w:r w:rsidR="00795546">
        <w:rPr>
          <w:shd w:val="clear" w:color="auto" w:fill="FFFFFF"/>
        </w:rPr>
        <w:t xml:space="preserve"> tālāk secina, ka pārsūdzētajā lēmumā nav iekļauts objektīvs un individualizēts izvērtējums.</w:t>
      </w:r>
    </w:p>
    <w:p w14:paraId="21CB8D46" w14:textId="1C6BAF37" w:rsidR="003C23EC" w:rsidRDefault="00220ADE"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w:t>
      </w:r>
      <w:r w:rsidR="00A34C72">
        <w:rPr>
          <w:shd w:val="clear" w:color="auto" w:fill="FFFFFF"/>
        </w:rPr>
        <w:t> </w:t>
      </w:r>
      <w:r w:rsidR="003C23EC">
        <w:rPr>
          <w:shd w:val="clear" w:color="auto" w:fill="FFFFFF"/>
        </w:rPr>
        <w:t xml:space="preserve">Dome, </w:t>
      </w:r>
      <w:r w:rsidR="00E700D9">
        <w:rPr>
          <w:shd w:val="clear" w:color="auto" w:fill="FFFFFF"/>
        </w:rPr>
        <w:t>lemjot par atļaujas atcelšanu Azartspēļu un izložu likuma 42.panta sestās daļas kārtībā, piepildīja nenoteikto tiesību jēdzienu ar saturu</w:t>
      </w:r>
      <w:r w:rsidR="000C6AC6">
        <w:rPr>
          <w:shd w:val="clear" w:color="auto" w:fill="FFFFFF"/>
        </w:rPr>
        <w:t xml:space="preserve"> un motivēja lēmumu ar</w:t>
      </w:r>
      <w:r w:rsidR="00E700D9">
        <w:rPr>
          <w:shd w:val="clear" w:color="auto" w:fill="FFFFFF"/>
        </w:rPr>
        <w:t xml:space="preserve"> konkrētās vietas apstākļos precīzi pamatotiem faktiem.</w:t>
      </w:r>
      <w:r w:rsidR="001761A4" w:rsidRPr="001761A4">
        <w:rPr>
          <w:shd w:val="clear" w:color="auto" w:fill="FFFFFF"/>
        </w:rPr>
        <w:t xml:space="preserve"> </w:t>
      </w:r>
      <w:r w:rsidR="001761A4">
        <w:rPr>
          <w:shd w:val="clear" w:color="auto" w:fill="FFFFFF"/>
        </w:rPr>
        <w:t>Pašvaldības pienākums ir pēc iespējas novērst azartspēļu iespējamo negatīvo ietekmi.</w:t>
      </w:r>
      <w:r w:rsidR="00736423">
        <w:rPr>
          <w:shd w:val="clear" w:color="auto" w:fill="FFFFFF"/>
        </w:rPr>
        <w:t xml:space="preserve"> </w:t>
      </w:r>
      <w:r w:rsidR="005758B8">
        <w:rPr>
          <w:shd w:val="clear" w:color="auto" w:fill="FFFFFF"/>
        </w:rPr>
        <w:t>A</w:t>
      </w:r>
      <w:r w:rsidR="008C78FC">
        <w:rPr>
          <w:shd w:val="clear" w:color="auto" w:fill="FFFFFF"/>
        </w:rPr>
        <w:t xml:space="preserve">rī </w:t>
      </w:r>
      <w:r w:rsidR="00E75718">
        <w:rPr>
          <w:shd w:val="clear" w:color="auto" w:fill="FFFFFF"/>
        </w:rPr>
        <w:t xml:space="preserve">no </w:t>
      </w:r>
      <w:r w:rsidR="008C78FC">
        <w:rPr>
          <w:shd w:val="clear" w:color="auto" w:fill="FFFFFF"/>
        </w:rPr>
        <w:t>Eiropas Savienības Tiesas prakse</w:t>
      </w:r>
      <w:r w:rsidR="005758B8">
        <w:rPr>
          <w:shd w:val="clear" w:color="auto" w:fill="FFFFFF"/>
        </w:rPr>
        <w:t>s</w:t>
      </w:r>
      <w:r w:rsidR="008C78FC">
        <w:rPr>
          <w:shd w:val="clear" w:color="auto" w:fill="FFFFFF"/>
        </w:rPr>
        <w:t xml:space="preserve"> izriet, ka ar spēlēm un derībām saistītās </w:t>
      </w:r>
      <w:r w:rsidR="00BD576C">
        <w:rPr>
          <w:shd w:val="clear" w:color="auto" w:fill="FFFFFF"/>
        </w:rPr>
        <w:t xml:space="preserve">kaitīgās </w:t>
      </w:r>
      <w:r w:rsidR="008C78FC">
        <w:rPr>
          <w:shd w:val="clear" w:color="auto" w:fill="FFFFFF"/>
        </w:rPr>
        <w:t>sekas var būt pietiekams pamats valsts iestāžu rīcības brīvībai, lai noteiktu patērētāju</w:t>
      </w:r>
      <w:r w:rsidR="00705E04">
        <w:rPr>
          <w:shd w:val="clear" w:color="auto" w:fill="FFFFFF"/>
        </w:rPr>
        <w:t xml:space="preserve"> tiesību aizsardzības</w:t>
      </w:r>
      <w:r w:rsidR="008C78FC">
        <w:rPr>
          <w:shd w:val="clear" w:color="auto" w:fill="FFFFFF"/>
        </w:rPr>
        <w:t xml:space="preserve"> un sabiedriskās kārtības prasības.</w:t>
      </w:r>
    </w:p>
    <w:p w14:paraId="48C15669" w14:textId="173EBBFB" w:rsidR="003C23EC" w:rsidRDefault="003C23EC"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795546">
        <w:rPr>
          <w:shd w:val="clear" w:color="auto" w:fill="FFFFFF"/>
        </w:rPr>
        <w:t>3</w:t>
      </w:r>
      <w:r>
        <w:rPr>
          <w:shd w:val="clear" w:color="auto" w:fill="FFFFFF"/>
        </w:rPr>
        <w:t>]</w:t>
      </w:r>
      <w:r w:rsidR="007C55EF">
        <w:rPr>
          <w:shd w:val="clear" w:color="auto" w:fill="FFFFFF"/>
        </w:rPr>
        <w:t> </w:t>
      </w:r>
      <w:r w:rsidR="00CC3BDA">
        <w:rPr>
          <w:shd w:val="clear" w:color="auto" w:fill="FFFFFF"/>
        </w:rPr>
        <w:t xml:space="preserve">Tiesas </w:t>
      </w:r>
      <w:r w:rsidR="009F6B11">
        <w:rPr>
          <w:shd w:val="clear" w:color="auto" w:fill="FFFFFF"/>
        </w:rPr>
        <w:t xml:space="preserve">secinājumi, ka pārsūdzētais lēmums </w:t>
      </w:r>
      <w:r w:rsidR="00705E04">
        <w:rPr>
          <w:shd w:val="clear" w:color="auto" w:fill="FFFFFF"/>
        </w:rPr>
        <w:t>neietver</w:t>
      </w:r>
      <w:r w:rsidR="009F6B11">
        <w:rPr>
          <w:shd w:val="clear" w:color="auto" w:fill="FFFFFF"/>
        </w:rPr>
        <w:t xml:space="preserve"> analīzi par līdzīgu </w:t>
      </w:r>
      <w:r w:rsidR="00795546">
        <w:rPr>
          <w:shd w:val="clear" w:color="auto" w:fill="FFFFFF"/>
        </w:rPr>
        <w:t xml:space="preserve">sabiedriskās kārtības </w:t>
      </w:r>
      <w:r w:rsidR="009F6B11">
        <w:rPr>
          <w:shd w:val="clear" w:color="auto" w:fill="FFFFFF"/>
        </w:rPr>
        <w:t>pārkāpumu skaitu visā Ādažu novadā</w:t>
      </w:r>
      <w:r w:rsidR="004D51F2">
        <w:rPr>
          <w:shd w:val="clear" w:color="auto" w:fill="FFFFFF"/>
        </w:rPr>
        <w:t>,</w:t>
      </w:r>
      <w:r w:rsidR="00FE13DF">
        <w:rPr>
          <w:shd w:val="clear" w:color="auto" w:fill="FFFFFF"/>
        </w:rPr>
        <w:t xml:space="preserve"> ir pretrunā judikatūras atziņām par Azartspēļu un izložu likuma 42.panta sestās daļas piemērošanu. </w:t>
      </w:r>
      <w:r w:rsidR="001863B3">
        <w:rPr>
          <w:shd w:val="clear" w:color="auto" w:fill="FFFFFF"/>
        </w:rPr>
        <w:t>P</w:t>
      </w:r>
      <w:r w:rsidR="00FE13DF">
        <w:rPr>
          <w:shd w:val="clear" w:color="auto" w:fill="FFFFFF"/>
        </w:rPr>
        <w:t>ašvaldība</w:t>
      </w:r>
      <w:r w:rsidR="00CC3BDA">
        <w:rPr>
          <w:shd w:val="clear" w:color="auto" w:fill="FFFFFF"/>
        </w:rPr>
        <w:t>i</w:t>
      </w:r>
      <w:r w:rsidR="00FE13DF">
        <w:rPr>
          <w:shd w:val="clear" w:color="auto" w:fill="FFFFFF"/>
        </w:rPr>
        <w:t xml:space="preserve"> </w:t>
      </w:r>
      <w:r w:rsidR="001863B3">
        <w:rPr>
          <w:shd w:val="clear" w:color="auto" w:fill="FFFFFF"/>
        </w:rPr>
        <w:t>nav jāpierāda</w:t>
      </w:r>
      <w:r w:rsidR="00FE13DF">
        <w:rPr>
          <w:shd w:val="clear" w:color="auto" w:fill="FFFFFF"/>
        </w:rPr>
        <w:t xml:space="preserve">, ka azartspēļu organizēšanas vieta ir nevēlami ietekmējusi personu uztveri, apziņu vai rīcību. </w:t>
      </w:r>
      <w:r w:rsidR="00CC3BDA">
        <w:rPr>
          <w:shd w:val="clear" w:color="auto" w:fill="FFFFFF"/>
        </w:rPr>
        <w:t>Turklāt šādu analīzi par visu Ādažu novadu nebija nepieciešams veikt, jo konkrētā spēļu zāle ir vienīgā Ādažu pilsētā. Tāpat</w:t>
      </w:r>
      <w:r w:rsidR="00FE13DF">
        <w:rPr>
          <w:shd w:val="clear" w:color="auto" w:fill="FFFFFF"/>
        </w:rPr>
        <w:t xml:space="preserve"> tiesa ir apšaubījusi pašvaldības kompetentās struktūrvienības sagatavotā Pētījuma saturu. </w:t>
      </w:r>
      <w:r w:rsidR="00005E4E">
        <w:rPr>
          <w:shd w:val="clear" w:color="auto" w:fill="FFFFFF"/>
        </w:rPr>
        <w:t xml:space="preserve">Konstatētais gadījums par nepilngadīgas personas iesaisti azartspēlēs visdrīzāk nav vienīgais, turklāt arī </w:t>
      </w:r>
      <w:r w:rsidR="00CC3BDA">
        <w:rPr>
          <w:shd w:val="clear" w:color="auto" w:fill="FFFFFF"/>
        </w:rPr>
        <w:t xml:space="preserve">viens gadījums apliecina sabiedrības interešu būtiska aizskāruma objektīvu iespējamību. </w:t>
      </w:r>
      <w:r w:rsidR="00005E4E">
        <w:rPr>
          <w:shd w:val="clear" w:color="auto" w:fill="FFFFFF"/>
        </w:rPr>
        <w:t>Līdz ar to tiesa kļūdaini secinājusi</w:t>
      </w:r>
      <w:r w:rsidR="004D51F2">
        <w:rPr>
          <w:shd w:val="clear" w:color="auto" w:fill="FFFFFF"/>
        </w:rPr>
        <w:t>, ka</w:t>
      </w:r>
      <w:r w:rsidR="00CC3BDA">
        <w:rPr>
          <w:shd w:val="clear" w:color="auto" w:fill="FFFFFF"/>
        </w:rPr>
        <w:t xml:space="preserve"> </w:t>
      </w:r>
      <w:r w:rsidR="00BD576C">
        <w:rPr>
          <w:shd w:val="clear" w:color="auto" w:fill="FFFFFF"/>
        </w:rPr>
        <w:t>neesot</w:t>
      </w:r>
      <w:r w:rsidR="00CC3BDA">
        <w:rPr>
          <w:shd w:val="clear" w:color="auto" w:fill="FFFFFF"/>
        </w:rPr>
        <w:t xml:space="preserve"> pamat</w:t>
      </w:r>
      <w:r w:rsidR="00705E04">
        <w:rPr>
          <w:shd w:val="clear" w:color="auto" w:fill="FFFFFF"/>
        </w:rPr>
        <w:t>a</w:t>
      </w:r>
      <w:r w:rsidR="00CC3BDA">
        <w:rPr>
          <w:shd w:val="clear" w:color="auto" w:fill="FFFFFF"/>
        </w:rPr>
        <w:t xml:space="preserve"> uzskatīt, ka persona no kādas Ādažu izglītības iestādes spēļu zālē varētu nokļūt nejauši.</w:t>
      </w:r>
    </w:p>
    <w:p w14:paraId="5E2D179D" w14:textId="2501458D" w:rsidR="004D51F2" w:rsidRDefault="00FE13DF"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795546">
        <w:rPr>
          <w:shd w:val="clear" w:color="auto" w:fill="FFFFFF"/>
        </w:rPr>
        <w:t>4</w:t>
      </w:r>
      <w:r>
        <w:rPr>
          <w:shd w:val="clear" w:color="auto" w:fill="FFFFFF"/>
        </w:rPr>
        <w:t>]</w:t>
      </w:r>
      <w:r w:rsidR="007C55EF">
        <w:rPr>
          <w:shd w:val="clear" w:color="auto" w:fill="FFFFFF"/>
        </w:rPr>
        <w:t> </w:t>
      </w:r>
      <w:r w:rsidR="004D51F2">
        <w:rPr>
          <w:shd w:val="clear" w:color="auto" w:fill="FFFFFF"/>
        </w:rPr>
        <w:t>Iedzīvotāju viedoklis par azartspēļu organizēšanas pieļaujamību Ādažu novadā ir būtisks. Ievērojot labas pārvaldības principu, sabiedrības uzklausīšana pirms lēmumu pieņemšanas ir</w:t>
      </w:r>
      <w:r w:rsidR="00005E4E">
        <w:rPr>
          <w:shd w:val="clear" w:color="auto" w:fill="FFFFFF"/>
        </w:rPr>
        <w:t xml:space="preserve"> </w:t>
      </w:r>
      <w:r w:rsidR="004D51F2">
        <w:rPr>
          <w:shd w:val="clear" w:color="auto" w:fill="FFFFFF"/>
        </w:rPr>
        <w:t>pašvaldības pienākums. Tiesa nav vērtējusi iedzīvotāju uzklausīšanas pienākuma lomu pašvaldības darbā.</w:t>
      </w:r>
      <w:r w:rsidR="004D51F2" w:rsidRPr="004D51F2">
        <w:rPr>
          <w:shd w:val="clear" w:color="auto" w:fill="FFFFFF"/>
        </w:rPr>
        <w:t xml:space="preserve"> </w:t>
      </w:r>
      <w:r w:rsidR="00F6739B">
        <w:rPr>
          <w:shd w:val="clear" w:color="auto" w:fill="FFFFFF"/>
        </w:rPr>
        <w:t>Lai gan saistībā</w:t>
      </w:r>
      <w:r w:rsidR="004D51F2">
        <w:rPr>
          <w:shd w:val="clear" w:color="auto" w:fill="FFFFFF"/>
        </w:rPr>
        <w:t xml:space="preserve"> ar minētā apstākļa nozīmi azartspēļu organizēšanas ierobežojumu noteikšanā ir izveidojusies judikatūra</w:t>
      </w:r>
      <w:r w:rsidR="00F6739B">
        <w:rPr>
          <w:shd w:val="clear" w:color="auto" w:fill="FFFFFF"/>
        </w:rPr>
        <w:t>, jāņem vērā, ka</w:t>
      </w:r>
      <w:r w:rsidR="004D51F2">
        <w:rPr>
          <w:shd w:val="clear" w:color="auto" w:fill="FFFFFF"/>
        </w:rPr>
        <w:t xml:space="preserve"> tiesību sistēma un </w:t>
      </w:r>
      <w:r w:rsidR="00F6739B">
        <w:rPr>
          <w:shd w:val="clear" w:color="auto" w:fill="FFFFFF"/>
        </w:rPr>
        <w:t xml:space="preserve">aizsargājamās </w:t>
      </w:r>
      <w:r w:rsidR="004D51F2">
        <w:rPr>
          <w:shd w:val="clear" w:color="auto" w:fill="FFFFFF"/>
        </w:rPr>
        <w:t>vērtības laika gaitā transformējas.</w:t>
      </w:r>
    </w:p>
    <w:p w14:paraId="3D88505B" w14:textId="744E3775" w:rsidR="008C78FC" w:rsidRDefault="00F068BD" w:rsidP="00D4434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910EB4">
        <w:rPr>
          <w:shd w:val="clear" w:color="auto" w:fill="FFFFFF"/>
        </w:rPr>
        <w:t>5</w:t>
      </w:r>
      <w:r>
        <w:rPr>
          <w:shd w:val="clear" w:color="auto" w:fill="FFFFFF"/>
        </w:rPr>
        <w:t>]</w:t>
      </w:r>
      <w:r w:rsidR="007C55EF">
        <w:rPr>
          <w:shd w:val="clear" w:color="auto" w:fill="FFFFFF"/>
        </w:rPr>
        <w:t> </w:t>
      </w:r>
      <w:r>
        <w:rPr>
          <w:shd w:val="clear" w:color="auto" w:fill="FFFFFF"/>
        </w:rPr>
        <w:t xml:space="preserve">Tiesa </w:t>
      </w:r>
      <w:r w:rsidR="00005E4E">
        <w:rPr>
          <w:shd w:val="clear" w:color="auto" w:fill="FFFFFF"/>
        </w:rPr>
        <w:t>kļūdaini secinājusi</w:t>
      </w:r>
      <w:r>
        <w:rPr>
          <w:shd w:val="clear" w:color="auto" w:fill="FFFFFF"/>
        </w:rPr>
        <w:t xml:space="preserve">, ka spēļu zāles tiešā tuvumā nav izvietota gājēju pāreja. </w:t>
      </w:r>
      <w:r w:rsidR="00795546">
        <w:rPr>
          <w:shd w:val="clear" w:color="auto" w:fill="FFFFFF"/>
        </w:rPr>
        <w:t xml:space="preserve">Spēļu </w:t>
      </w:r>
      <w:r w:rsidR="00EE610F">
        <w:rPr>
          <w:shd w:val="clear" w:color="auto" w:fill="FFFFFF"/>
        </w:rPr>
        <w:t>zāles tuvumā ir divas gājēju pārejas (apmēram 90 un 110</w:t>
      </w:r>
      <w:r w:rsidR="007C55EF">
        <w:rPr>
          <w:shd w:val="clear" w:color="auto" w:fill="FFFFFF"/>
        </w:rPr>
        <w:t> </w:t>
      </w:r>
      <w:r w:rsidR="00EE610F">
        <w:rPr>
          <w:shd w:val="clear" w:color="auto" w:fill="FFFFFF"/>
        </w:rPr>
        <w:t>metru attālumā), kas šķērso Rīgas gatvi. Tāpat tiesa kļūdaini secinājusi, ka spēļu zāle atrodas salīdzinoši nomaļus no cilvēku bieži apmeklētām vietām. Spēļu zāle atrodas apmēram 150</w:t>
      </w:r>
      <w:r w:rsidR="00795546">
        <w:rPr>
          <w:shd w:val="clear" w:color="auto" w:fill="FFFFFF"/>
        </w:rPr>
        <w:t> </w:t>
      </w:r>
      <w:r w:rsidR="00EE610F">
        <w:rPr>
          <w:shd w:val="clear" w:color="auto" w:fill="FFFFFF"/>
        </w:rPr>
        <w:t>metru attālumā no dzīvojamās mājas (privātmājas) un 400</w:t>
      </w:r>
      <w:r w:rsidR="007C55EF">
        <w:rPr>
          <w:shd w:val="clear" w:color="auto" w:fill="FFFFFF"/>
        </w:rPr>
        <w:t> </w:t>
      </w:r>
      <w:r w:rsidR="00EE610F">
        <w:rPr>
          <w:shd w:val="clear" w:color="auto" w:fill="FFFFFF"/>
        </w:rPr>
        <w:t>metru attālumā no daudzdzīvokļu māj</w:t>
      </w:r>
      <w:r w:rsidR="00005E4E">
        <w:rPr>
          <w:shd w:val="clear" w:color="auto" w:fill="FFFFFF"/>
        </w:rPr>
        <w:t>ām</w:t>
      </w:r>
      <w:r w:rsidR="00EE610F">
        <w:rPr>
          <w:shd w:val="clear" w:color="auto" w:fill="FFFFFF"/>
        </w:rPr>
        <w:t>.</w:t>
      </w:r>
    </w:p>
    <w:p w14:paraId="5482C306" w14:textId="77777777" w:rsidR="0060643B" w:rsidRDefault="0060643B" w:rsidP="00D44348">
      <w:pPr>
        <w:pStyle w:val="NormalWeb"/>
        <w:shd w:val="clear" w:color="auto" w:fill="FFFFFF"/>
        <w:spacing w:before="0" w:beforeAutospacing="0" w:after="0" w:afterAutospacing="0" w:line="276" w:lineRule="auto"/>
        <w:ind w:firstLine="720"/>
        <w:jc w:val="both"/>
        <w:rPr>
          <w:shd w:val="clear" w:color="auto" w:fill="FFFFFF"/>
        </w:rPr>
      </w:pPr>
    </w:p>
    <w:p w14:paraId="5F3C7B65" w14:textId="58C0ABD8" w:rsidR="0060643B" w:rsidRDefault="0060643B" w:rsidP="00D44348">
      <w:pPr>
        <w:pStyle w:val="NormalWeb"/>
        <w:shd w:val="clear" w:color="auto" w:fill="FFFFFF"/>
        <w:spacing w:before="0" w:beforeAutospacing="0" w:after="0" w:afterAutospacing="0" w:line="276" w:lineRule="auto"/>
        <w:ind w:firstLine="720"/>
        <w:jc w:val="both"/>
        <w:rPr>
          <w:shd w:val="clear" w:color="auto" w:fill="FFFFFF"/>
        </w:rPr>
      </w:pPr>
      <w:r w:rsidRPr="008C78FC">
        <w:rPr>
          <w:shd w:val="clear" w:color="auto" w:fill="FFFFFF"/>
        </w:rPr>
        <w:t>[4]</w:t>
      </w:r>
      <w:r w:rsidR="007C55EF">
        <w:rPr>
          <w:shd w:val="clear" w:color="auto" w:fill="FFFFFF"/>
        </w:rPr>
        <w:t> </w:t>
      </w:r>
      <w:r w:rsidR="0012288C" w:rsidRPr="008C78FC">
        <w:rPr>
          <w:shd w:val="clear" w:color="auto" w:fill="FFFFFF"/>
        </w:rPr>
        <w:t>Pieteicēja</w:t>
      </w:r>
      <w:r w:rsidR="0012288C">
        <w:rPr>
          <w:shd w:val="clear" w:color="auto" w:fill="FFFFFF"/>
        </w:rPr>
        <w:t xml:space="preserve"> paskaidrojumos par kasācijas sūdzību norāda, ka tā ir nepamatota.</w:t>
      </w:r>
    </w:p>
    <w:p w14:paraId="71D99940" w14:textId="77777777" w:rsidR="00411CD0" w:rsidRDefault="00411CD0" w:rsidP="00D44348">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D44348">
      <w:pPr>
        <w:shd w:val="clear" w:color="auto" w:fill="FFFFFF"/>
        <w:spacing w:line="276" w:lineRule="auto"/>
        <w:jc w:val="center"/>
        <w:rPr>
          <w:b/>
        </w:rPr>
      </w:pPr>
      <w:r w:rsidRPr="00011547">
        <w:rPr>
          <w:b/>
        </w:rPr>
        <w:t>Motīvu daļa</w:t>
      </w:r>
    </w:p>
    <w:p w14:paraId="7B7D277A" w14:textId="77777777" w:rsidR="00411CD0" w:rsidRPr="00011547" w:rsidRDefault="00411CD0" w:rsidP="00D44348">
      <w:pPr>
        <w:shd w:val="clear" w:color="auto" w:fill="FFFFFF"/>
        <w:spacing w:line="276" w:lineRule="auto"/>
        <w:jc w:val="center"/>
      </w:pPr>
    </w:p>
    <w:p w14:paraId="6013DC3B" w14:textId="752EC0F1" w:rsidR="00B01A05" w:rsidRDefault="00447EE6" w:rsidP="00D44348">
      <w:pPr>
        <w:shd w:val="clear" w:color="auto" w:fill="FFFFFF"/>
        <w:spacing w:line="276" w:lineRule="auto"/>
        <w:ind w:firstLine="720"/>
        <w:jc w:val="both"/>
      </w:pPr>
      <w:r w:rsidRPr="00011547">
        <w:t>[</w:t>
      </w:r>
      <w:r w:rsidR="007711A0">
        <w:t>5</w:t>
      </w:r>
      <w:r w:rsidRPr="00011547">
        <w:t>]</w:t>
      </w:r>
      <w:r w:rsidR="007C55EF">
        <w:t> </w:t>
      </w:r>
      <w:r w:rsidR="00CB1CE6">
        <w:t xml:space="preserve">Senātam šajā lietā jāsniedz atbilde, vai </w:t>
      </w:r>
      <w:r w:rsidR="003B23FD">
        <w:t xml:space="preserve">apgabaltiesas </w:t>
      </w:r>
      <w:r w:rsidR="00CB1CE6">
        <w:t>atzītais, ka pārsūdzētā lēmuma pamatojums ir nepietiekams,</w:t>
      </w:r>
      <w:r w:rsidR="00427A80">
        <w:t xml:space="preserve"> ir balstīts pareizos secinājumos par </w:t>
      </w:r>
      <w:r w:rsidR="00A73451">
        <w:t xml:space="preserve">to, </w:t>
      </w:r>
      <w:r w:rsidR="00A36A7C">
        <w:t>kas</w:t>
      </w:r>
      <w:r w:rsidR="00DA2382">
        <w:t xml:space="preserve"> </w:t>
      </w:r>
      <w:r w:rsidR="00A36A7C">
        <w:t xml:space="preserve">(kādi </w:t>
      </w:r>
      <w:r w:rsidR="00DA2382">
        <w:t>principi</w:t>
      </w:r>
      <w:r w:rsidR="00A36A7C">
        <w:t>) pašvaldība</w:t>
      </w:r>
      <w:r w:rsidR="00F6739B">
        <w:t>i</w:t>
      </w:r>
      <w:r w:rsidR="00A36A7C">
        <w:t xml:space="preserve"> </w:t>
      </w:r>
      <w:r w:rsidR="00DA2382">
        <w:t>jāņem vērā</w:t>
      </w:r>
      <w:r w:rsidR="001F171D">
        <w:t xml:space="preserve">, konkretizējot Azartspēļu un izložu likuma 42.panta sestajā daļā </w:t>
      </w:r>
      <w:r w:rsidR="00A36A7C">
        <w:t>ietverto</w:t>
      </w:r>
      <w:r w:rsidR="001F171D">
        <w:t xml:space="preserve"> jēdzienu „būtisks </w:t>
      </w:r>
      <w:r w:rsidR="00852BBC">
        <w:t xml:space="preserve">valsts un </w:t>
      </w:r>
      <w:r w:rsidR="001F171D">
        <w:t>attiecīgās administratīvās teritorijas iedzīvotāju interešu aizskārums”.</w:t>
      </w:r>
    </w:p>
    <w:p w14:paraId="76FF36FC" w14:textId="77777777" w:rsidR="00B01A05" w:rsidRDefault="00B01A05" w:rsidP="00D44348">
      <w:pPr>
        <w:shd w:val="clear" w:color="auto" w:fill="FFFFFF"/>
        <w:spacing w:line="276" w:lineRule="auto"/>
        <w:ind w:firstLine="720"/>
        <w:jc w:val="both"/>
      </w:pPr>
    </w:p>
    <w:p w14:paraId="258D8F1F" w14:textId="4388F861" w:rsidR="0081313B" w:rsidRDefault="00B01A05" w:rsidP="00D44348">
      <w:pPr>
        <w:shd w:val="clear" w:color="auto" w:fill="FFFFFF"/>
        <w:spacing w:line="276" w:lineRule="auto"/>
        <w:ind w:firstLine="720"/>
        <w:jc w:val="both"/>
      </w:pPr>
      <w:r>
        <w:t>[6]</w:t>
      </w:r>
      <w:r w:rsidR="007C55EF">
        <w:t> </w:t>
      </w:r>
      <w:r w:rsidR="0081313B">
        <w:t>Atbilstoši Azartspēļu un izložu likuma 42.panta sestajai daļai, ja</w:t>
      </w:r>
      <w:r w:rsidR="0081313B" w:rsidRPr="009F724D">
        <w:t xml:space="preserve"> azartspēļu organizēšana konkrētajā vietā rada būtisku valsts un attiecīgās administratīvās teritorijas iedzīvotāju interešu aizskārumu, pašvaldība ar motivētu lēmumu ir tiesīga atcelt izsniegto atļauju atvērt kazino, spēļu zāli, bingo zāli, totalizatoru vai derību likmju pieņemšanas vietu un organizēt attiecīgās azartspēles konkrētajās telpās.</w:t>
      </w:r>
    </w:p>
    <w:p w14:paraId="456043C4" w14:textId="74B899C5" w:rsidR="003231E3" w:rsidRDefault="0081313B" w:rsidP="00D44348">
      <w:pPr>
        <w:shd w:val="clear" w:color="auto" w:fill="FFFFFF"/>
        <w:spacing w:line="276" w:lineRule="auto"/>
        <w:ind w:firstLine="720"/>
        <w:jc w:val="both"/>
      </w:pPr>
      <w:r>
        <w:t xml:space="preserve">Šajā </w:t>
      </w:r>
      <w:r w:rsidR="00665C5D">
        <w:t xml:space="preserve">likuma </w:t>
      </w:r>
      <w:r>
        <w:t>normā nostiprinātās pašvaldības tiesības</w:t>
      </w:r>
      <w:r w:rsidR="00A73451">
        <w:t xml:space="preserve"> </w:t>
      </w:r>
      <w:r w:rsidR="00DD73DE">
        <w:t xml:space="preserve">ir </w:t>
      </w:r>
      <w:r w:rsidR="00A73451">
        <w:t xml:space="preserve">daļa </w:t>
      </w:r>
      <w:r w:rsidR="009F724D">
        <w:t xml:space="preserve">no likumdevēja izveidotā mehānisma, kā pašvaldībai iespējams īstenot azartspēļu </w:t>
      </w:r>
      <w:r w:rsidR="00BB190F">
        <w:t xml:space="preserve">politiku savā administratīvajā teritorijā. Šīs tiesības uzlūkojamas kontekstā ar Azartspēļu un izložu likuma 2.panta pirmajā daļā nostiprināto likuma mērķi – nodrošināt gan sabiedrības interešu, gan spēlētāju aizsardzību. </w:t>
      </w:r>
      <w:r w:rsidR="00665C5D">
        <w:t>J</w:t>
      </w:r>
      <w:r w:rsidR="00C647F9">
        <w:t>āņem vērā</w:t>
      </w:r>
      <w:r w:rsidR="00BB190F">
        <w:t xml:space="preserve">, ka azartspēļu organizēšana kopumā ir </w:t>
      </w:r>
      <w:r w:rsidR="00BB190F" w:rsidRPr="00DA1C3B">
        <w:t>brīvas konkurences apstākļos pastāvošs legāls komercdarbības veids.</w:t>
      </w:r>
      <w:r w:rsidR="00BB190F">
        <w:t xml:space="preserve"> Vienlaikus likumdevējs, nosakot šajā likumā azartspēļu organizēšanai </w:t>
      </w:r>
      <w:r w:rsidR="00BB190F" w:rsidRPr="00426007">
        <w:t>virkni ierobežojumu, ir vēlējies rast līdzsvaru starp azartspēļu organizēšanu kā komercdarbību un sabiedrības interesēm, tostarp nodrošināt personu tiesību aizsardzību, novēršot iespējamo azartspēļu atkarības rašanos, kā arī mazinot sabiedrības veselības un sociālos riskus (</w:t>
      </w:r>
      <w:r w:rsidR="00BB190F" w:rsidRPr="00426007">
        <w:rPr>
          <w:i/>
          <w:iCs/>
        </w:rPr>
        <w:t>Senāta 2026.gada 26.maija sprieduma lietā Nr. SKA-48/2026,</w:t>
      </w:r>
      <w:r w:rsidR="00717D77" w:rsidRPr="00426007">
        <w:rPr>
          <w:i/>
          <w:iCs/>
        </w:rPr>
        <w:t xml:space="preserve"> </w:t>
      </w:r>
      <w:hyperlink r:id="rId8" w:history="1">
        <w:r w:rsidR="00426007" w:rsidRPr="00426007">
          <w:rPr>
            <w:rStyle w:val="Hyperlink"/>
            <w:i/>
            <w:iCs/>
          </w:rPr>
          <w:t>ECLI:LV:AT:2026:0526.A420250122.11.S</w:t>
        </w:r>
      </w:hyperlink>
      <w:r w:rsidR="00426007" w:rsidRPr="00426007">
        <w:rPr>
          <w:i/>
          <w:iCs/>
        </w:rPr>
        <w:t>, 8.punkts</w:t>
      </w:r>
      <w:r w:rsidR="00B93686" w:rsidRPr="00426007">
        <w:rPr>
          <w:i/>
          <w:iCs/>
        </w:rPr>
        <w:t xml:space="preserve"> </w:t>
      </w:r>
      <w:r w:rsidR="00B93686" w:rsidRPr="00CF1AD1">
        <w:t>un tajā norādītā judikatūra</w:t>
      </w:r>
      <w:r w:rsidR="00BB190F" w:rsidRPr="00426007">
        <w:t>).</w:t>
      </w:r>
    </w:p>
    <w:p w14:paraId="12BBFBAD" w14:textId="7147D209" w:rsidR="001517FB" w:rsidRDefault="003231E3" w:rsidP="00D44348">
      <w:pPr>
        <w:shd w:val="clear" w:color="auto" w:fill="FFFFFF"/>
        <w:spacing w:line="276" w:lineRule="auto"/>
        <w:ind w:firstLine="720"/>
        <w:jc w:val="both"/>
      </w:pPr>
      <w:r>
        <w:t>Šī mērķa sasniegšanai l</w:t>
      </w:r>
      <w:r w:rsidR="00B26734" w:rsidRPr="00B26734">
        <w:t>ikumdevējs Azartspēļu</w:t>
      </w:r>
      <w:r>
        <w:t xml:space="preserve"> un izložu</w:t>
      </w:r>
      <w:r w:rsidR="00B26734" w:rsidRPr="00B26734">
        <w:t xml:space="preserve"> likum</w:t>
      </w:r>
      <w:r w:rsidR="008E6420">
        <w:t>a 41.panta otr</w:t>
      </w:r>
      <w:r w:rsidR="00665C5D">
        <w:t>ajā</w:t>
      </w:r>
      <w:r w:rsidR="008E6420">
        <w:t xml:space="preserve"> daļ</w:t>
      </w:r>
      <w:r w:rsidR="00665C5D">
        <w:t>ā</w:t>
      </w:r>
      <w:r w:rsidR="008E6420">
        <w:t xml:space="preserve"> </w:t>
      </w:r>
      <w:r w:rsidR="00B26734" w:rsidRPr="00B26734">
        <w:t xml:space="preserve">jau ir noteicis vietas un teritorijas, kurās azartspēles organizēt nav atļauts. </w:t>
      </w:r>
      <w:r w:rsidR="00CB0C9C">
        <w:t>Tā</w:t>
      </w:r>
      <w:r w:rsidR="007C55EF">
        <w:t>,</w:t>
      </w:r>
      <w:r w:rsidR="00CB0C9C">
        <w:t xml:space="preserve"> p</w:t>
      </w:r>
      <w:r w:rsidR="00B26734" w:rsidRPr="00B26734">
        <w:t>iemēram, azartspēles nevar organizēt valsts iestādēs, baznīcās, ārstniecības un izglītības iestāžu ēkās, teritorijās, kurām noteiktā kārtībā piešķirts tirgus statuss</w:t>
      </w:r>
      <w:r w:rsidR="008E6420">
        <w:t>.</w:t>
      </w:r>
      <w:r w:rsidR="00B26734" w:rsidRPr="00B26734">
        <w:t xml:space="preserve"> </w:t>
      </w:r>
      <w:r w:rsidR="003A1E02" w:rsidRPr="003A1E02">
        <w:t>Attiecībā uz šiem gadījumiem likumdevējs pats jau ir izdarījis apsvērumus azartspēļu organizēšanas ierobežojuma attaisnojumam.</w:t>
      </w:r>
      <w:r w:rsidR="003A1E02">
        <w:t xml:space="preserve"> Vienlaikus likumdevējs ir</w:t>
      </w:r>
      <w:r w:rsidR="008E6420">
        <w:t xml:space="preserve"> </w:t>
      </w:r>
      <w:r w:rsidR="003A1E02">
        <w:t xml:space="preserve">pilnvarojis pašvaldību ierobežot azartspēļu organizēšanu </w:t>
      </w:r>
      <w:r w:rsidR="00EE246C">
        <w:t xml:space="preserve">arī citos veidos </w:t>
      </w:r>
      <w:r w:rsidR="00BD3407">
        <w:t xml:space="preserve">– </w:t>
      </w:r>
      <w:r w:rsidR="008E6420">
        <w:t xml:space="preserve">atbilstoši likuma 42.panta desmitajai daļai </w:t>
      </w:r>
      <w:r w:rsidR="00BD3407">
        <w:t xml:space="preserve">pašvaldības saistošajos noteikumos nosakot vietas un teritorijas, kurās </w:t>
      </w:r>
      <w:r w:rsidR="00BD3407" w:rsidRPr="00B26734">
        <w:t>azartspēles organizēt nav atļauts</w:t>
      </w:r>
      <w:r w:rsidR="008E6420">
        <w:t>,</w:t>
      </w:r>
      <w:r w:rsidR="00BD3407">
        <w:t xml:space="preserve"> un </w:t>
      </w:r>
      <w:r w:rsidR="008E6420">
        <w:t xml:space="preserve">atbilstoši minētā panta trešajai un sestajai daļai </w:t>
      </w:r>
      <w:r w:rsidR="00BD3407">
        <w:t>lemjot par azartspēļu organizēšanas atļaujas izsniegšanu, atteikšanos to izsniegt vai tās atcelšanu</w:t>
      </w:r>
      <w:r w:rsidR="008E6420">
        <w:t xml:space="preserve"> </w:t>
      </w:r>
      <w:r w:rsidR="003A1E02" w:rsidRPr="00B26734">
        <w:t>(</w:t>
      </w:r>
      <w:r w:rsidR="003A1E02">
        <w:t xml:space="preserve">sal. </w:t>
      </w:r>
      <w:r w:rsidR="003A1E02" w:rsidRPr="00B26734">
        <w:rPr>
          <w:i/>
          <w:iCs/>
        </w:rPr>
        <w:t>Satversmes tiesas 2023.gada 20.aprīļa spriedum</w:t>
      </w:r>
      <w:r w:rsidR="009A7F3E">
        <w:rPr>
          <w:i/>
          <w:iCs/>
        </w:rPr>
        <w:t>a</w:t>
      </w:r>
      <w:r w:rsidR="003A1E02" w:rsidRPr="00B26734">
        <w:rPr>
          <w:i/>
          <w:iCs/>
        </w:rPr>
        <w:t xml:space="preserve"> lietā </w:t>
      </w:r>
      <w:r w:rsidR="003A1E02" w:rsidRPr="00E57062">
        <w:rPr>
          <w:i/>
          <w:iCs/>
        </w:rPr>
        <w:t>Nr. </w:t>
      </w:r>
      <w:hyperlink r:id="rId9" w:history="1">
        <w:r w:rsidR="003A1E02" w:rsidRPr="00E57062">
          <w:rPr>
            <w:rStyle w:val="Hyperlink"/>
            <w:i/>
            <w:iCs/>
          </w:rPr>
          <w:t>2022-13-05</w:t>
        </w:r>
      </w:hyperlink>
      <w:r w:rsidR="003A1E02" w:rsidRPr="00B26734">
        <w:rPr>
          <w:i/>
          <w:iCs/>
        </w:rPr>
        <w:t xml:space="preserve"> 20.punkt</w:t>
      </w:r>
      <w:r w:rsidR="005070EC">
        <w:rPr>
          <w:i/>
          <w:iCs/>
        </w:rPr>
        <w:t>s</w:t>
      </w:r>
      <w:r w:rsidR="003A1E02">
        <w:rPr>
          <w:i/>
          <w:iCs/>
        </w:rPr>
        <w:t>,</w:t>
      </w:r>
      <w:r w:rsidR="003A1E02" w:rsidRPr="003A1E02">
        <w:rPr>
          <w:rFonts w:asciiTheme="majorBidi" w:eastAsiaTheme="minorHAnsi" w:hAnsiTheme="majorBidi" w:cstheme="majorBidi"/>
          <w:i/>
          <w:iCs/>
          <w:lang w:eastAsia="en-US"/>
          <w14:ligatures w14:val="standardContextual"/>
        </w:rPr>
        <w:t xml:space="preserve"> </w:t>
      </w:r>
      <w:r w:rsidR="003A1E02" w:rsidRPr="003A1E02">
        <w:rPr>
          <w:i/>
          <w:iCs/>
        </w:rPr>
        <w:t xml:space="preserve">Senāta 2012.gada 25.jūnija sprieduma lietā </w:t>
      </w:r>
      <w:r w:rsidR="003A1E02" w:rsidRPr="009A7F3E">
        <w:rPr>
          <w:i/>
          <w:iCs/>
        </w:rPr>
        <w:t>Nr. </w:t>
      </w:r>
      <w:hyperlink r:id="rId10" w:history="1">
        <w:r w:rsidR="003A1E02" w:rsidRPr="00E57062">
          <w:rPr>
            <w:rStyle w:val="Hyperlink"/>
            <w:i/>
            <w:iCs/>
          </w:rPr>
          <w:t>SKA-185/2012</w:t>
        </w:r>
      </w:hyperlink>
      <w:r w:rsidR="003A1E02" w:rsidRPr="003A1E02">
        <w:rPr>
          <w:i/>
          <w:iCs/>
        </w:rPr>
        <w:t xml:space="preserve">, </w:t>
      </w:r>
      <w:r w:rsidR="003A1E02" w:rsidRPr="00E57062">
        <w:rPr>
          <w:i/>
          <w:iCs/>
        </w:rPr>
        <w:t>A42778909</w:t>
      </w:r>
      <w:r w:rsidR="003A1E02" w:rsidRPr="003A1E02">
        <w:rPr>
          <w:i/>
          <w:iCs/>
        </w:rPr>
        <w:t>, 6.punkt</w:t>
      </w:r>
      <w:r w:rsidR="005070EC">
        <w:rPr>
          <w:i/>
          <w:iCs/>
        </w:rPr>
        <w:t>s</w:t>
      </w:r>
      <w:r w:rsidR="003A1E02" w:rsidRPr="00B26734">
        <w:t>).</w:t>
      </w:r>
      <w:r w:rsidR="00C035C9">
        <w:t xml:space="preserve"> </w:t>
      </w:r>
      <w:r w:rsidR="00B93686">
        <w:t xml:space="preserve">Tādējādi likumdevējs ir </w:t>
      </w:r>
      <w:r w:rsidR="00B93686" w:rsidRPr="00B93686">
        <w:t>pieļāvis, ka attiecīgo pakalpojumu vietu skaits var tikt būtiski samazināts un izvietojums pārstrukturēts atbilstoši sabiedrības interesēm.</w:t>
      </w:r>
      <w:r w:rsidR="001517FB">
        <w:t xml:space="preserve"> </w:t>
      </w:r>
      <w:r w:rsidR="00956983">
        <w:t>Š</w:t>
      </w:r>
      <w:r w:rsidR="001517FB">
        <w:t xml:space="preserve">ādas kompetences piešķiršana tieši pašvaldībām balstās nepieciešamībā pārzināt un novērtēt attiecīgās administratīvās teritorijas un iespējamās azartspēļu rīkošanas vietas konkrētos apstākļus. Proti, tā kā </w:t>
      </w:r>
      <w:r w:rsidR="001517FB" w:rsidRPr="00B93686">
        <w:t>vietējā pašvaldība objektīvi vislabāk pārzina attiecīgās administratīvās teritorijas apstākļus</w:t>
      </w:r>
      <w:r w:rsidR="001517FB">
        <w:t xml:space="preserve">, tai ir iespējams novērtēt attiecīgās darbības riskus un lemt, kuros gadījumos šis komercdarbības veids ir atļaujams konkrētā vietā un kuros nav (sal. </w:t>
      </w:r>
      <w:r w:rsidR="001517FB" w:rsidRPr="001517FB">
        <w:rPr>
          <w:i/>
          <w:iCs/>
        </w:rPr>
        <w:t xml:space="preserve">Senāta 2010.gada 14.oktobra sprieduma lietā </w:t>
      </w:r>
      <w:r w:rsidR="001517FB" w:rsidRPr="009A7F3E">
        <w:rPr>
          <w:i/>
          <w:iCs/>
        </w:rPr>
        <w:t>Nr.</w:t>
      </w:r>
      <w:r w:rsidR="009A7F3E">
        <w:rPr>
          <w:i/>
          <w:iCs/>
        </w:rPr>
        <w:t> </w:t>
      </w:r>
      <w:hyperlink r:id="rId11" w:history="1">
        <w:r w:rsidR="001517FB" w:rsidRPr="00E57062">
          <w:rPr>
            <w:rStyle w:val="Hyperlink"/>
            <w:i/>
            <w:iCs/>
          </w:rPr>
          <w:t>SKA-404/2010</w:t>
        </w:r>
      </w:hyperlink>
      <w:r w:rsidR="001517FB" w:rsidRPr="001517FB">
        <w:rPr>
          <w:i/>
          <w:iCs/>
        </w:rPr>
        <w:t xml:space="preserve">, </w:t>
      </w:r>
      <w:r w:rsidR="001517FB" w:rsidRPr="00E57062">
        <w:rPr>
          <w:i/>
          <w:iCs/>
        </w:rPr>
        <w:t>A42447407</w:t>
      </w:r>
      <w:r w:rsidR="001517FB" w:rsidRPr="001517FB">
        <w:rPr>
          <w:i/>
          <w:iCs/>
        </w:rPr>
        <w:t>, 7.punkt</w:t>
      </w:r>
      <w:r w:rsidR="005070EC">
        <w:rPr>
          <w:i/>
          <w:iCs/>
        </w:rPr>
        <w:t>s</w:t>
      </w:r>
      <w:r w:rsidR="001517FB">
        <w:rPr>
          <w:i/>
          <w:iCs/>
        </w:rPr>
        <w:t xml:space="preserve"> un </w:t>
      </w:r>
      <w:r w:rsidR="001517FB" w:rsidRPr="00B93686">
        <w:rPr>
          <w:i/>
          <w:iCs/>
        </w:rPr>
        <w:t xml:space="preserve">2010.gada 17.jūnija sprieduma lietā </w:t>
      </w:r>
      <w:r w:rsidR="001517FB" w:rsidRPr="009A7F3E">
        <w:rPr>
          <w:i/>
          <w:iCs/>
        </w:rPr>
        <w:t>Nr. </w:t>
      </w:r>
      <w:hyperlink r:id="rId12" w:history="1">
        <w:r w:rsidR="001517FB" w:rsidRPr="00E57062">
          <w:rPr>
            <w:rStyle w:val="Hyperlink"/>
            <w:i/>
            <w:iCs/>
          </w:rPr>
          <w:t>SKA</w:t>
        </w:r>
        <w:r w:rsidR="001C1BD7">
          <w:rPr>
            <w:rStyle w:val="Hyperlink"/>
            <w:i/>
            <w:iCs/>
          </w:rPr>
          <w:noBreakHyphen/>
        </w:r>
        <w:r w:rsidR="001517FB" w:rsidRPr="00E57062">
          <w:rPr>
            <w:rStyle w:val="Hyperlink"/>
            <w:i/>
            <w:iCs/>
          </w:rPr>
          <w:t>227/2010</w:t>
        </w:r>
      </w:hyperlink>
      <w:r w:rsidR="001517FB" w:rsidRPr="00B93686">
        <w:rPr>
          <w:i/>
          <w:iCs/>
        </w:rPr>
        <w:t xml:space="preserve">, </w:t>
      </w:r>
      <w:r w:rsidR="001517FB" w:rsidRPr="00E57062">
        <w:rPr>
          <w:i/>
          <w:iCs/>
        </w:rPr>
        <w:t>A42546107</w:t>
      </w:r>
      <w:r w:rsidR="001517FB" w:rsidRPr="00B93686">
        <w:rPr>
          <w:i/>
          <w:iCs/>
        </w:rPr>
        <w:t>, 8.punkt</w:t>
      </w:r>
      <w:r w:rsidR="005070EC">
        <w:rPr>
          <w:i/>
          <w:iCs/>
        </w:rPr>
        <w:t>s</w:t>
      </w:r>
      <w:r w:rsidR="001517FB">
        <w:t xml:space="preserve">). </w:t>
      </w:r>
    </w:p>
    <w:p w14:paraId="7D4BD0B7" w14:textId="77777777" w:rsidR="00B01A05" w:rsidRDefault="00B01A05" w:rsidP="00D44348">
      <w:pPr>
        <w:shd w:val="clear" w:color="auto" w:fill="FFFFFF"/>
        <w:spacing w:line="276" w:lineRule="auto"/>
        <w:ind w:firstLine="720"/>
        <w:jc w:val="both"/>
      </w:pPr>
    </w:p>
    <w:p w14:paraId="6EFD4F89" w14:textId="6CA75278" w:rsidR="00DC41B2" w:rsidRDefault="00B01A05" w:rsidP="00D44348">
      <w:pPr>
        <w:shd w:val="clear" w:color="auto" w:fill="FFFFFF"/>
        <w:spacing w:line="276" w:lineRule="auto"/>
        <w:ind w:firstLine="720"/>
        <w:jc w:val="both"/>
      </w:pPr>
      <w:r>
        <w:t>[7]</w:t>
      </w:r>
      <w:r w:rsidR="009C7DEB">
        <w:t> </w:t>
      </w:r>
      <w:r w:rsidR="00DC41B2" w:rsidRPr="00DC41B2">
        <w:t>Dome kasācijas sūdzībā iebilst tiesas secinātajam, ka pārsūdzētā lēmuma pamatojums ir nepietiekams, proti, ka dome</w:t>
      </w:r>
      <w:r w:rsidR="00897870">
        <w:t>,</w:t>
      </w:r>
      <w:r w:rsidR="00DC41B2" w:rsidRPr="00DC41B2">
        <w:t xml:space="preserve"> atceļot pieteicējas azartspēļu organizēšanas atļauju, neesot sniegusi objektīvu un individualizētu izvērtējumu</w:t>
      </w:r>
      <w:r w:rsidR="00897870">
        <w:t>, kāpēc azartspēļu organizēšana konkrētajā vietā nav pieļaujama</w:t>
      </w:r>
      <w:r w:rsidR="00DC41B2" w:rsidRPr="00DC41B2">
        <w:t xml:space="preserve">. </w:t>
      </w:r>
      <w:r w:rsidR="004B29B9">
        <w:t>Kasācijas sūdzī</w:t>
      </w:r>
      <w:r w:rsidR="004249C3">
        <w:t xml:space="preserve">bā </w:t>
      </w:r>
      <w:r w:rsidR="00B5227D">
        <w:t>izvērsti</w:t>
      </w:r>
      <w:r w:rsidR="004249C3">
        <w:t xml:space="preserve"> argumentēts, ka iebildums par Azartspēļu un izložu likuma 42.panta sestās daļas kārtībā pieņemta lēmuma pamatojuma nepietiekamību ir pārlieku nekonkrēts. Dome </w:t>
      </w:r>
      <w:r w:rsidR="00665C5D">
        <w:t>uzsver</w:t>
      </w:r>
      <w:r w:rsidR="004249C3">
        <w:t xml:space="preserve">, ka neviens normatīvais akts nenosaka šāda lēmuma satura pieņemšanas vadlīnijas. </w:t>
      </w:r>
      <w:r w:rsidR="00DC41B2" w:rsidRPr="00DC41B2">
        <w:t>No kasācijas sūdzības iebildumiem</w:t>
      </w:r>
      <w:r w:rsidR="004249C3">
        <w:t xml:space="preserve"> arī</w:t>
      </w:r>
      <w:r w:rsidR="00DC41B2" w:rsidRPr="00DC41B2">
        <w:t xml:space="preserve"> izriet domes uzskats: tā kā pārsūdzētajā lēmumā</w:t>
      </w:r>
      <w:r w:rsidR="00B67C28">
        <w:t xml:space="preserve"> ir</w:t>
      </w:r>
      <w:r w:rsidR="00DC41B2" w:rsidRPr="00DC41B2">
        <w:t xml:space="preserve"> detalizēti analizēta azartspēļu organizēšanas vieta, pārsūdzētais lēmums ir </w:t>
      </w:r>
      <w:r w:rsidR="00897870">
        <w:t xml:space="preserve">pienācīgi </w:t>
      </w:r>
      <w:r w:rsidR="00DC41B2" w:rsidRPr="00DC41B2">
        <w:t>motivēts.</w:t>
      </w:r>
    </w:p>
    <w:p w14:paraId="54632415" w14:textId="57447C05" w:rsidR="00B67C28" w:rsidRDefault="00DC41B2" w:rsidP="00D44348">
      <w:pPr>
        <w:shd w:val="clear" w:color="auto" w:fill="FFFFFF"/>
        <w:spacing w:line="276" w:lineRule="auto"/>
        <w:ind w:firstLine="720"/>
        <w:jc w:val="both"/>
      </w:pPr>
      <w:r w:rsidRPr="00DC41B2">
        <w:t xml:space="preserve">Atbildot uz šiem iebildumiem, vispirms norādāms, ka Azartspēļu un izložu likuma 42.panta sestās daļas kārtībā pieņemta lēmuma pamatojuma pietiekamība nav atkarīga no tā, cik plaši vai šauri dome ir raksturojusi konkrēto apkārtni, bet gan no tā, </w:t>
      </w:r>
      <w:r w:rsidR="00426007">
        <w:t>vai</w:t>
      </w:r>
      <w:r w:rsidRPr="00DC41B2">
        <w:t xml:space="preserve"> šis pamatojums atklāj</w:t>
      </w:r>
      <w:r w:rsidR="00A2369A">
        <w:t>, kā</w:t>
      </w:r>
      <w:r w:rsidR="003E30D1">
        <w:t>pēc pastāv objektīva iespējamība, ka</w:t>
      </w:r>
      <w:r w:rsidR="00A2369A">
        <w:t xml:space="preserve"> azartspēļu organizēšana konkrētajā vietā rad</w:t>
      </w:r>
      <w:r w:rsidR="003E30D1">
        <w:t>īs</w:t>
      </w:r>
      <w:r w:rsidRPr="00DC41B2">
        <w:t xml:space="preserve"> būtisk</w:t>
      </w:r>
      <w:r w:rsidR="00EB241D">
        <w:t>u</w:t>
      </w:r>
      <w:r w:rsidRPr="00DC41B2">
        <w:t xml:space="preserve"> valsts vai attiecīgās administratīvās teritorijas iedzīvotāju </w:t>
      </w:r>
      <w:r w:rsidR="00EB241D">
        <w:t xml:space="preserve">interešu </w:t>
      </w:r>
      <w:r w:rsidRPr="00DC41B2">
        <w:t>aizskārum</w:t>
      </w:r>
      <w:r w:rsidR="00EB241D">
        <w:t>u</w:t>
      </w:r>
      <w:r w:rsidRPr="00DC41B2">
        <w:t>.</w:t>
      </w:r>
      <w:r w:rsidR="00B5582D">
        <w:t xml:space="preserve"> </w:t>
      </w:r>
    </w:p>
    <w:p w14:paraId="70B97F33" w14:textId="28224886" w:rsidR="00DC41B2" w:rsidRDefault="00EA74BF" w:rsidP="00D44348">
      <w:pPr>
        <w:shd w:val="clear" w:color="auto" w:fill="FFFFFF"/>
        <w:spacing w:line="276" w:lineRule="auto"/>
        <w:ind w:firstLine="720"/>
        <w:jc w:val="both"/>
      </w:pPr>
      <w:r w:rsidRPr="00EA74BF">
        <w:t xml:space="preserve">Azartspēļu un izložu likuma 42.panta </w:t>
      </w:r>
      <w:r w:rsidR="0010001D">
        <w:t xml:space="preserve">sestajā </w:t>
      </w:r>
      <w:r w:rsidRPr="00EA74BF">
        <w:t>daļā ietvert</w:t>
      </w:r>
      <w:r w:rsidR="00F83A3D">
        <w:t>s</w:t>
      </w:r>
      <w:r w:rsidRPr="00EA74BF">
        <w:t xml:space="preserve"> atklāt</w:t>
      </w:r>
      <w:r w:rsidR="00F83A3D">
        <w:t>s</w:t>
      </w:r>
      <w:r w:rsidRPr="00EA74BF">
        <w:t xml:space="preserve"> jeb nenoteikts tiesību (juridisks) jēdziens</w:t>
      </w:r>
      <w:r w:rsidR="009B3739">
        <w:t xml:space="preserve"> – </w:t>
      </w:r>
      <w:r w:rsidRPr="00EA74BF">
        <w:t>„būtisks</w:t>
      </w:r>
      <w:r w:rsidR="00B01A05">
        <w:t xml:space="preserve"> valsts vai</w:t>
      </w:r>
      <w:r w:rsidRPr="00EA74BF">
        <w:t xml:space="preserve"> attiecīgās administratīvās teritorijas</w:t>
      </w:r>
      <w:r w:rsidR="00074F14">
        <w:t xml:space="preserve"> iedzīvotāju</w:t>
      </w:r>
      <w:r w:rsidRPr="00EA74BF">
        <w:t xml:space="preserve"> interešu aizskārums”</w:t>
      </w:r>
      <w:r w:rsidR="00F83A3D">
        <w:t>. Š</w:t>
      </w:r>
      <w:r w:rsidR="00665C5D">
        <w:t>i</w:t>
      </w:r>
      <w:r w:rsidR="00F83A3D">
        <w:t>s jēdziens</w:t>
      </w:r>
      <w:r w:rsidRPr="00EA74BF">
        <w:t xml:space="preserve"> pašvaldība</w:t>
      </w:r>
      <w:r w:rsidR="00665C5D">
        <w:t>i</w:t>
      </w:r>
      <w:r w:rsidR="00F86CFF">
        <w:t xml:space="preserve"> </w:t>
      </w:r>
      <w:r w:rsidRPr="00EA74BF">
        <w:t xml:space="preserve">katrā konkrētajā gadījumā </w:t>
      </w:r>
      <w:r w:rsidR="00925FA3">
        <w:t>jāpiepilda ar saturu</w:t>
      </w:r>
      <w:r w:rsidRPr="00EA74BF">
        <w:t>, izvērtējot visus lietas apstākļus, taisnīgi līdzsvarojot iesaistīto pušu intereses un pamatojot veikto izvērtējumu</w:t>
      </w:r>
      <w:r w:rsidR="00E973A1">
        <w:t xml:space="preserve"> </w:t>
      </w:r>
      <w:r w:rsidRPr="00EA74BF">
        <w:t>(</w:t>
      </w:r>
      <w:r w:rsidR="0010001D">
        <w:t xml:space="preserve">sal. </w:t>
      </w:r>
      <w:r w:rsidRPr="00EA74BF">
        <w:rPr>
          <w:i/>
          <w:iCs/>
        </w:rPr>
        <w:t xml:space="preserve">Senāta </w:t>
      </w:r>
      <w:r w:rsidR="00925FA3" w:rsidRPr="009A7F3E">
        <w:rPr>
          <w:i/>
          <w:iCs/>
        </w:rPr>
        <w:t xml:space="preserve">2023.gada 31.oktobra sprieduma lietā Nr. SKA-121/2023, </w:t>
      </w:r>
      <w:hyperlink r:id="rId13" w:history="1">
        <w:r w:rsidR="00925FA3" w:rsidRPr="009A7F3E">
          <w:rPr>
            <w:rStyle w:val="Hyperlink"/>
            <w:i/>
            <w:iCs/>
          </w:rPr>
          <w:t>ECLI:LV:AT:2023:1031.A420220819.9.S</w:t>
        </w:r>
      </w:hyperlink>
      <w:r w:rsidR="00925FA3" w:rsidRPr="009A7F3E">
        <w:rPr>
          <w:i/>
          <w:iCs/>
        </w:rPr>
        <w:t>, 14.punkt</w:t>
      </w:r>
      <w:r w:rsidR="00B67C28">
        <w:rPr>
          <w:i/>
          <w:iCs/>
        </w:rPr>
        <w:t>s</w:t>
      </w:r>
      <w:r w:rsidR="00E973A1">
        <w:rPr>
          <w:i/>
          <w:iCs/>
        </w:rPr>
        <w:t xml:space="preserve"> </w:t>
      </w:r>
      <w:r w:rsidR="00E973A1" w:rsidRPr="00B67C28">
        <w:t>un tajā norādīt</w:t>
      </w:r>
      <w:r w:rsidR="00B67C28" w:rsidRPr="00B67C28">
        <w:t>ā</w:t>
      </w:r>
      <w:r w:rsidR="00E973A1" w:rsidRPr="00B67C28">
        <w:t xml:space="preserve"> judikatūr</w:t>
      </w:r>
      <w:r w:rsidR="00B67C28" w:rsidRPr="00B67C28">
        <w:t>a</w:t>
      </w:r>
      <w:r w:rsidRPr="00EA74BF">
        <w:t>).</w:t>
      </w:r>
    </w:p>
    <w:p w14:paraId="5EE6A0B3" w14:textId="58EF27A4" w:rsidR="00050EFE" w:rsidRDefault="00305F83" w:rsidP="00D44348">
      <w:pPr>
        <w:shd w:val="clear" w:color="auto" w:fill="FFFFFF"/>
        <w:spacing w:line="276" w:lineRule="auto"/>
        <w:ind w:firstLine="720"/>
        <w:jc w:val="both"/>
      </w:pPr>
      <w:r>
        <w:t>No Azartspēļu un izložu likuma mērķa, kā arī tā mērķa, kura dēļ likumdevējs ir piešķīris attiecīgo kompetenci</w:t>
      </w:r>
      <w:r w:rsidR="00046778">
        <w:t xml:space="preserve"> tieši</w:t>
      </w:r>
      <w:r>
        <w:t xml:space="preserve"> pašvaldībai, iespējams atvasināt vairākus principus, kas </w:t>
      </w:r>
      <w:r w:rsidR="00EA74BF">
        <w:t>jāņem vērā,</w:t>
      </w:r>
      <w:r w:rsidR="00925FA3">
        <w:t xml:space="preserve"> veicot šo konkretizāciju un</w:t>
      </w:r>
      <w:r w:rsidR="00EA74BF">
        <w:t xml:space="preserve"> </w:t>
      </w:r>
      <w:r w:rsidR="004E22D1">
        <w:t xml:space="preserve">lemjot par azartspēļu organizēšanas atļaujas atcelšanu tad, ja azartspēļu organizēšana nav regulēta pašvaldības saistošajos noteikumos. </w:t>
      </w:r>
      <w:r w:rsidR="00050EFE">
        <w:t>Šie principi Senāta praksē skaidroti jau iepriekš</w:t>
      </w:r>
      <w:r w:rsidR="00C54536">
        <w:t xml:space="preserve"> un </w:t>
      </w:r>
      <w:r w:rsidR="00C54536" w:rsidRPr="00FD4EB9">
        <w:t>apkopojošā formā izklāstīti Senāta 2026.gada</w:t>
      </w:r>
      <w:r w:rsidR="00D07C1E" w:rsidRPr="00FD4EB9">
        <w:t xml:space="preserve"> </w:t>
      </w:r>
      <w:r w:rsidR="00B67C28" w:rsidRPr="00FD4EB9">
        <w:t xml:space="preserve">17.jūnija </w:t>
      </w:r>
      <w:r w:rsidR="00C54536" w:rsidRPr="00FD4EB9">
        <w:t>spriedumā lietā Nr. SKA-67/2026</w:t>
      </w:r>
      <w:r w:rsidR="00FD4EB9" w:rsidRPr="00FD4EB9">
        <w:t>,</w:t>
      </w:r>
      <w:r w:rsidR="00FD4EB9">
        <w:t xml:space="preserve"> </w:t>
      </w:r>
      <w:hyperlink r:id="rId14" w:history="1">
        <w:r w:rsidR="00FD4EB9" w:rsidRPr="00FD4EB9">
          <w:rPr>
            <w:rStyle w:val="Hyperlink"/>
          </w:rPr>
          <w:t>ECLI:LV:AT:2026:0617.A420251421.16.S</w:t>
        </w:r>
      </w:hyperlink>
      <w:r w:rsidR="00050EFE">
        <w:t>.</w:t>
      </w:r>
    </w:p>
    <w:p w14:paraId="10708CC3" w14:textId="77777777" w:rsidR="00046778" w:rsidRDefault="00046778" w:rsidP="00D44348">
      <w:pPr>
        <w:shd w:val="clear" w:color="auto" w:fill="FFFFFF"/>
        <w:spacing w:line="276" w:lineRule="auto"/>
        <w:jc w:val="both"/>
      </w:pPr>
    </w:p>
    <w:p w14:paraId="5B769D49" w14:textId="17BC090B" w:rsidR="009C7C8F" w:rsidRDefault="00046778" w:rsidP="00D44348">
      <w:pPr>
        <w:shd w:val="clear" w:color="auto" w:fill="FFFFFF"/>
        <w:spacing w:line="276" w:lineRule="auto"/>
        <w:ind w:firstLine="720"/>
        <w:jc w:val="both"/>
      </w:pPr>
      <w:r>
        <w:t>[8]</w:t>
      </w:r>
      <w:r w:rsidR="00B67C28">
        <w:t> </w:t>
      </w:r>
      <w:r w:rsidR="00305F83">
        <w:t xml:space="preserve">Pirmkārt, </w:t>
      </w:r>
      <w:r w:rsidR="00F82E38">
        <w:t>n</w:t>
      </w:r>
      <w:r w:rsidR="00F82E38" w:rsidRPr="00305F83">
        <w:t xml:space="preserve">o Azartspēļu </w:t>
      </w:r>
      <w:r w:rsidR="008F516E">
        <w:t xml:space="preserve">un izložu </w:t>
      </w:r>
      <w:r w:rsidR="00F82E38" w:rsidRPr="00305F83">
        <w:t>likuma 42.panta sestās daļas</w:t>
      </w:r>
      <w:r w:rsidR="00F82E38">
        <w:t xml:space="preserve"> formulējuma izriet, ka pašvaldībai </w:t>
      </w:r>
      <w:r w:rsidR="00F82E38" w:rsidRPr="00305F83">
        <w:t xml:space="preserve">sabiedrības intereses jāvērtē, aplūkojot </w:t>
      </w:r>
      <w:r w:rsidR="00F82E38">
        <w:t>tieši konkrēto</w:t>
      </w:r>
      <w:r w:rsidR="00F82E38" w:rsidRPr="00305F83">
        <w:t xml:space="preserve"> azartspēļu organizēšanas vietu.</w:t>
      </w:r>
      <w:r w:rsidR="00F82E38" w:rsidRPr="00305F83">
        <w:rPr>
          <w:rFonts w:asciiTheme="majorBidi" w:eastAsiaTheme="minorHAnsi" w:hAnsiTheme="majorBidi" w:cstheme="majorBidi"/>
          <w:lang w:eastAsia="en-US"/>
          <w14:ligatures w14:val="standardContextual"/>
        </w:rPr>
        <w:t xml:space="preserve"> </w:t>
      </w:r>
      <w:r w:rsidR="00F82E38">
        <w:t>P</w:t>
      </w:r>
      <w:r w:rsidR="00F82E38" w:rsidRPr="00305F83">
        <w:t>ieņemot individuālo lēmumu, jāņem vērā likumdevēja iezīmētais leģitīmais mērķis ierobežojumu noteikšanai</w:t>
      </w:r>
      <w:r w:rsidR="00285BA1">
        <w:t xml:space="preserve">, </w:t>
      </w:r>
      <w:r w:rsidR="00F82E38" w:rsidRPr="00305F83">
        <w:t>kas tieši noteikts Azartspēļu</w:t>
      </w:r>
      <w:r w:rsidR="008C0598">
        <w:t xml:space="preserve"> un izložu</w:t>
      </w:r>
      <w:r w:rsidR="00F82E38" w:rsidRPr="00305F83">
        <w:t xml:space="preserve"> likuma 2.panta pirmajā daļā un netieši izriet no tiem ierobežojumiem, kas skaidri noteikti likumā (likuma 41.panta otrā daļa).</w:t>
      </w:r>
      <w:r w:rsidR="00E37AD7">
        <w:t xml:space="preserve"> </w:t>
      </w:r>
      <w:r w:rsidR="00F82E38" w:rsidRPr="00305F83">
        <w:t>Pašvaldīb</w:t>
      </w:r>
      <w:r w:rsidR="00E37AD7">
        <w:t>as</w:t>
      </w:r>
      <w:r w:rsidR="00F82E38" w:rsidRPr="00305F83">
        <w:t xml:space="preserve"> uzdevums ir likumdevēja iezīmētos virzienus precizēt atbilstoši vietējiem apstākļiem, lēmumu pieņemšanā arvien ievērojot samērīguma principu (</w:t>
      </w:r>
      <w:r w:rsidR="00F82E38" w:rsidRPr="00305F83">
        <w:rPr>
          <w:i/>
          <w:iCs/>
        </w:rPr>
        <w:t xml:space="preserve">Senāta 2010.gada 18.jūnija sprieduma lietā </w:t>
      </w:r>
      <w:r w:rsidR="00F82E38" w:rsidRPr="008C0598">
        <w:rPr>
          <w:i/>
          <w:iCs/>
        </w:rPr>
        <w:t>Nr. </w:t>
      </w:r>
      <w:hyperlink r:id="rId15" w:history="1">
        <w:r w:rsidR="00F82E38" w:rsidRPr="00FD4EB9">
          <w:rPr>
            <w:rStyle w:val="Hyperlink"/>
            <w:i/>
            <w:iCs/>
          </w:rPr>
          <w:t>SKA-289/2010</w:t>
        </w:r>
      </w:hyperlink>
      <w:r w:rsidR="00F82E38" w:rsidRPr="00305F83">
        <w:rPr>
          <w:i/>
          <w:iCs/>
        </w:rPr>
        <w:t xml:space="preserve">, </w:t>
      </w:r>
      <w:r w:rsidR="00F82E38" w:rsidRPr="00FD4EB9">
        <w:rPr>
          <w:i/>
          <w:iCs/>
        </w:rPr>
        <w:t>A42545506</w:t>
      </w:r>
      <w:r w:rsidR="00F82E38" w:rsidRPr="00305F83">
        <w:rPr>
          <w:i/>
          <w:iCs/>
        </w:rPr>
        <w:t>, 9.punkts</w:t>
      </w:r>
      <w:r w:rsidR="00F82E38" w:rsidRPr="00305F83">
        <w:t>).</w:t>
      </w:r>
      <w:r>
        <w:t xml:space="preserve"> </w:t>
      </w:r>
      <w:r w:rsidR="00F70E23">
        <w:t>No</w:t>
      </w:r>
      <w:r w:rsidRPr="00305F83">
        <w:t xml:space="preserve"> likuma mērķa neizriet likumdevēja griba azartspēļu pakalpojumus vispār izskaust. Tādēļ, vērtējot sabiedrības interešu aizskāruma esību un būtiskumu, pašvaldībai jāraugās, lai pakalpojuma sniegšanas ierobežojumi nesniegtos tiktāl, ka pakalpojumu sniegšanas iespēja attiecīgajā administratīvajā teritorijā tiek izslēgta, pamatojot šādu lēmumu ar vispārīgu vērtību spriedum</w:t>
      </w:r>
      <w:r>
        <w:t>u. Vispārīgus apsvērumus par azartspēļu negatīvo ietekmi un to negatīvo vērtējumu sabiedrībā ir izdarījis likumdevējs</w:t>
      </w:r>
      <w:r w:rsidR="00F70E23">
        <w:t>, pieņemot attiecīgu regulējumu</w:t>
      </w:r>
      <w:r>
        <w:t xml:space="preserve"> </w:t>
      </w:r>
      <w:r w:rsidRPr="00305F83">
        <w:t>(</w:t>
      </w:r>
      <w:r w:rsidRPr="00305F83">
        <w:rPr>
          <w:i/>
          <w:iCs/>
        </w:rPr>
        <w:t xml:space="preserve">Senāta 2010.gada 17.jūnija sprieduma lietā </w:t>
      </w:r>
      <w:r w:rsidRPr="008C0598">
        <w:rPr>
          <w:i/>
          <w:iCs/>
        </w:rPr>
        <w:t>Nr. </w:t>
      </w:r>
      <w:hyperlink r:id="rId16" w:history="1">
        <w:r w:rsidRPr="00FD4EB9">
          <w:rPr>
            <w:rStyle w:val="Hyperlink"/>
            <w:i/>
            <w:iCs/>
          </w:rPr>
          <w:t>SKA-227/2010</w:t>
        </w:r>
      </w:hyperlink>
      <w:r w:rsidRPr="00305F83">
        <w:rPr>
          <w:i/>
          <w:iCs/>
        </w:rPr>
        <w:t xml:space="preserve">, </w:t>
      </w:r>
      <w:r w:rsidRPr="00FD4EB9">
        <w:rPr>
          <w:i/>
          <w:iCs/>
        </w:rPr>
        <w:t>A42546107</w:t>
      </w:r>
      <w:r w:rsidR="00FD4EB9">
        <w:rPr>
          <w:i/>
          <w:iCs/>
        </w:rPr>
        <w:t>,</w:t>
      </w:r>
      <w:r w:rsidRPr="00305F83">
        <w:rPr>
          <w:i/>
          <w:iCs/>
        </w:rPr>
        <w:t xml:space="preserve"> 9.</w:t>
      </w:r>
      <w:r>
        <w:rPr>
          <w:i/>
          <w:iCs/>
        </w:rPr>
        <w:t xml:space="preserve"> un 10.punkts</w:t>
      </w:r>
      <w:r w:rsidR="008C0598">
        <w:t>).</w:t>
      </w:r>
    </w:p>
    <w:p w14:paraId="6DE47517" w14:textId="4F15E81F" w:rsidR="00046778" w:rsidRPr="008859EA" w:rsidRDefault="00046778" w:rsidP="00D44348">
      <w:pPr>
        <w:shd w:val="clear" w:color="auto" w:fill="FFFFFF"/>
        <w:spacing w:line="276" w:lineRule="auto"/>
        <w:ind w:firstLine="720"/>
        <w:jc w:val="both"/>
      </w:pPr>
      <w:r>
        <w:t xml:space="preserve">Otrkārt, ierobežojošā lēmuma apsvērumiem ir jābūt </w:t>
      </w:r>
      <w:r w:rsidRPr="00305F83">
        <w:t>konkrētās vietas apstākļos pietiekami precīzi pamatotiem, nevis vispārīgiem</w:t>
      </w:r>
      <w:r w:rsidR="008859EA">
        <w:t>, ar ko pašvaldība varētu liegt azartspēļu organizēšanu teju visā pilsētas teritorijā (</w:t>
      </w:r>
      <w:r w:rsidR="008859EA" w:rsidRPr="008859EA">
        <w:rPr>
          <w:i/>
          <w:iCs/>
        </w:rPr>
        <w:t xml:space="preserve">Senāta 2010.gada 18.jūnija sprieduma lietā </w:t>
      </w:r>
      <w:r w:rsidR="008859EA" w:rsidRPr="001F69F9">
        <w:rPr>
          <w:i/>
          <w:iCs/>
        </w:rPr>
        <w:t>Nr. </w:t>
      </w:r>
      <w:hyperlink r:id="rId17" w:history="1">
        <w:r w:rsidR="008859EA" w:rsidRPr="00FD4EB9">
          <w:rPr>
            <w:rStyle w:val="Hyperlink"/>
            <w:i/>
            <w:iCs/>
          </w:rPr>
          <w:t>SKA-289/2010</w:t>
        </w:r>
      </w:hyperlink>
      <w:r w:rsidR="008859EA" w:rsidRPr="008859EA">
        <w:rPr>
          <w:i/>
          <w:iCs/>
        </w:rPr>
        <w:t xml:space="preserve">, </w:t>
      </w:r>
      <w:r w:rsidR="008859EA" w:rsidRPr="00FD4EB9">
        <w:rPr>
          <w:i/>
          <w:iCs/>
        </w:rPr>
        <w:t>A42545506</w:t>
      </w:r>
      <w:r w:rsidR="008859EA" w:rsidRPr="008859EA">
        <w:rPr>
          <w:i/>
          <w:iCs/>
        </w:rPr>
        <w:t>, 10.punkts</w:t>
      </w:r>
      <w:r w:rsidR="008859EA">
        <w:t xml:space="preserve">). </w:t>
      </w:r>
      <w:r w:rsidR="00573244">
        <w:t>Tāpēc</w:t>
      </w:r>
      <w:r w:rsidR="008859EA">
        <w:t xml:space="preserve"> </w:t>
      </w:r>
      <w:r w:rsidR="00DB2B6C">
        <w:t xml:space="preserve">ierobežojošā lēmuma pamatojumam jāsniedz atbilde uz jautājumu, </w:t>
      </w:r>
      <w:r w:rsidR="008859EA">
        <w:t xml:space="preserve">kāpēc </w:t>
      </w:r>
      <w:r w:rsidR="008859EA" w:rsidRPr="008859EA">
        <w:t>konkrētā vieta</w:t>
      </w:r>
      <w:r w:rsidR="009B3739">
        <w:t xml:space="preserve">, </w:t>
      </w:r>
      <w:r w:rsidR="008859EA" w:rsidRPr="008859EA">
        <w:t>kas raksturīga pilsētas videi ar noteiktu ēku un apdzīvotības blīvumu</w:t>
      </w:r>
      <w:r w:rsidR="00DB2B6C">
        <w:t>,</w:t>
      </w:r>
      <w:r w:rsidR="008859EA" w:rsidRPr="008859EA">
        <w:t xml:space="preserve"> ir atšķirīga no citām līdzīgām vietām pilsētā, kas rada būtisku sabiedrības apdraudējumu</w:t>
      </w:r>
      <w:r w:rsidR="008859EA">
        <w:t xml:space="preserve"> (</w:t>
      </w:r>
      <w:r w:rsidR="00CD3123" w:rsidRPr="00CD3123">
        <w:rPr>
          <w:i/>
          <w:iCs/>
        </w:rPr>
        <w:t xml:space="preserve">Senāta 2012.gada 25.jūnija sprieduma lietā </w:t>
      </w:r>
      <w:r w:rsidR="00CD3123" w:rsidRPr="001F69F9">
        <w:rPr>
          <w:i/>
          <w:iCs/>
        </w:rPr>
        <w:t>Nr. </w:t>
      </w:r>
      <w:hyperlink r:id="rId18" w:history="1">
        <w:r w:rsidR="00CD3123" w:rsidRPr="00FD4EB9">
          <w:rPr>
            <w:rStyle w:val="Hyperlink"/>
            <w:i/>
            <w:iCs/>
          </w:rPr>
          <w:t>SKA-185/2012</w:t>
        </w:r>
      </w:hyperlink>
      <w:r w:rsidR="00CD3123" w:rsidRPr="00CD3123">
        <w:rPr>
          <w:i/>
          <w:iCs/>
        </w:rPr>
        <w:t xml:space="preserve">, </w:t>
      </w:r>
      <w:r w:rsidR="00CD3123" w:rsidRPr="00FD4EB9">
        <w:rPr>
          <w:i/>
          <w:iCs/>
        </w:rPr>
        <w:t>A42778909</w:t>
      </w:r>
      <w:r w:rsidR="00CD3123" w:rsidRPr="00CD3123">
        <w:rPr>
          <w:i/>
          <w:iCs/>
        </w:rPr>
        <w:t>, 1</w:t>
      </w:r>
      <w:r w:rsidR="001F69F9">
        <w:rPr>
          <w:i/>
          <w:iCs/>
        </w:rPr>
        <w:t>0</w:t>
      </w:r>
      <w:r w:rsidR="00CD3123" w:rsidRPr="00CD3123">
        <w:rPr>
          <w:i/>
          <w:iCs/>
        </w:rPr>
        <w:t>.punkts</w:t>
      </w:r>
      <w:r w:rsidR="008859EA">
        <w:t xml:space="preserve">). </w:t>
      </w:r>
    </w:p>
    <w:p w14:paraId="4EE7912F" w14:textId="773631EB" w:rsidR="00662413" w:rsidRPr="006F28AB" w:rsidRDefault="00662413" w:rsidP="00D44348">
      <w:pPr>
        <w:shd w:val="clear" w:color="auto" w:fill="FFFFFF"/>
        <w:spacing w:line="276" w:lineRule="auto"/>
        <w:ind w:firstLine="720"/>
        <w:jc w:val="both"/>
      </w:pPr>
      <w:r>
        <w:t xml:space="preserve">Treškārt, </w:t>
      </w:r>
      <w:r w:rsidRPr="00662413">
        <w:t xml:space="preserve">likumdevējs nav noteicis pašvaldības pienākumu katrā gadījumā pierādīt, ka konkrētā azartspēļu vieta ir nevēlami ietekmējusi personu uztveri, apziņu vai rīcību attiecībā uz azartspēļu pakalpojumiem. Šādu faktu esības un cēloņsakarības pierādīšana būtu pārlieku apgrūtinoša (pat neiespējama), kas novestu pie tiesību normas nepiemērojamības. Tādēļ, ievērojot </w:t>
      </w:r>
      <w:r w:rsidR="00665C5D">
        <w:t xml:space="preserve">šīs </w:t>
      </w:r>
      <w:r w:rsidRPr="00662413">
        <w:t xml:space="preserve">normas mērķi, ir atzīstams, ka pašvaldībai ir jāpamato sabiedrības interešu būtiska aizskāruma objektīva iespējamība, bet nav jāpierāda </w:t>
      </w:r>
      <w:r w:rsidRPr="00FD4EB9">
        <w:t>konkrēti interešu aizskāruma gadījumi (</w:t>
      </w:r>
      <w:r w:rsidR="006F28AB" w:rsidRPr="00FD4EB9">
        <w:rPr>
          <w:i/>
          <w:iCs/>
        </w:rPr>
        <w:t xml:space="preserve">Senāta 2026.gada </w:t>
      </w:r>
      <w:r w:rsidR="001343EE" w:rsidRPr="00FD4EB9">
        <w:rPr>
          <w:i/>
          <w:iCs/>
        </w:rPr>
        <w:t>17.jūnija</w:t>
      </w:r>
      <w:r w:rsidR="006F28AB" w:rsidRPr="00FD4EB9">
        <w:rPr>
          <w:i/>
          <w:iCs/>
        </w:rPr>
        <w:t xml:space="preserve"> </w:t>
      </w:r>
      <w:r w:rsidR="00FA3B21" w:rsidRPr="00FD4EB9">
        <w:rPr>
          <w:i/>
          <w:iCs/>
        </w:rPr>
        <w:t xml:space="preserve">sprieduma lietā Nr. SKA-67/2026, </w:t>
      </w:r>
      <w:hyperlink r:id="rId19" w:history="1">
        <w:r w:rsidR="00FD4EB9" w:rsidRPr="00FD4EB9">
          <w:rPr>
            <w:rStyle w:val="Hyperlink"/>
            <w:i/>
            <w:iCs/>
          </w:rPr>
          <w:t>ECLI:LV:AT:2026:0617.A420251421.16.S</w:t>
        </w:r>
      </w:hyperlink>
      <w:r w:rsidR="00FD4EB9" w:rsidRPr="00FD4EB9">
        <w:rPr>
          <w:i/>
          <w:iCs/>
        </w:rPr>
        <w:t xml:space="preserve">, </w:t>
      </w:r>
      <w:r w:rsidR="001343EE" w:rsidRPr="00FD4EB9">
        <w:rPr>
          <w:i/>
          <w:iCs/>
        </w:rPr>
        <w:t>8.punkts</w:t>
      </w:r>
      <w:r w:rsidR="00FA3B21" w:rsidRPr="00FD4EB9">
        <w:t>).</w:t>
      </w:r>
    </w:p>
    <w:p w14:paraId="71308472" w14:textId="77777777" w:rsidR="00050EFE" w:rsidRDefault="00050EFE" w:rsidP="00D44348">
      <w:pPr>
        <w:shd w:val="clear" w:color="auto" w:fill="FFFFFF"/>
        <w:spacing w:line="276" w:lineRule="auto"/>
        <w:ind w:firstLine="720"/>
        <w:jc w:val="both"/>
      </w:pPr>
    </w:p>
    <w:p w14:paraId="3DE07FAC" w14:textId="390CB32B" w:rsidR="00C71E9E" w:rsidRDefault="00050EFE" w:rsidP="00D44348">
      <w:pPr>
        <w:shd w:val="clear" w:color="auto" w:fill="FFFFFF"/>
        <w:spacing w:line="276" w:lineRule="auto"/>
        <w:ind w:firstLine="720"/>
        <w:jc w:val="both"/>
      </w:pPr>
      <w:r>
        <w:t>[9]</w:t>
      </w:r>
      <w:r w:rsidR="00105658">
        <w:t> </w:t>
      </w:r>
      <w:r w:rsidR="00356C27" w:rsidRPr="00137949">
        <w:t>Senāta praksē atrodami vairāki piemēri situācijām, kurās konkrēto teritoriju raksturojošie apstākļi liecin</w:t>
      </w:r>
      <w:r w:rsidR="00AE444B">
        <w:t>a</w:t>
      </w:r>
      <w:r w:rsidR="00356C27" w:rsidRPr="00137949">
        <w:t xml:space="preserve"> par būtiska attiecīgās administratīvās teritorijas iedzīvotāju interešu aizskāruma esību. Piemēram, Senāts atzinis, ka par būtisku iedzīvotāju interešu aizskārumu liecina tādi apstākļi, kas norāda, ka palielinās risks, ka var pieaugt tādu azartspēļu zālē nokļuvušo personu skaits, kurām tur nemaz nav bijis nolūka doties (piemēram, </w:t>
      </w:r>
      <w:r w:rsidR="00356C27" w:rsidRPr="00137949">
        <w:rPr>
          <w:i/>
          <w:iCs/>
        </w:rPr>
        <w:t>Senāta 2010.gada 17.jūnija sprieduma lietā Nr. </w:t>
      </w:r>
      <w:hyperlink r:id="rId20" w:history="1">
        <w:r w:rsidR="00356C27" w:rsidRPr="006F05D7">
          <w:rPr>
            <w:rStyle w:val="Hyperlink"/>
            <w:i/>
            <w:iCs/>
          </w:rPr>
          <w:t>SKA-227/2010</w:t>
        </w:r>
      </w:hyperlink>
      <w:r w:rsidR="00356C27" w:rsidRPr="00137949">
        <w:rPr>
          <w:i/>
          <w:iCs/>
        </w:rPr>
        <w:t xml:space="preserve">, </w:t>
      </w:r>
      <w:r w:rsidR="00356C27" w:rsidRPr="006F05D7">
        <w:rPr>
          <w:i/>
          <w:iCs/>
        </w:rPr>
        <w:t>A42546107</w:t>
      </w:r>
      <w:r w:rsidR="00356C27" w:rsidRPr="00137949">
        <w:rPr>
          <w:i/>
          <w:iCs/>
        </w:rPr>
        <w:t xml:space="preserve">, 10.punkts, 2010.gada 14.oktobra sprieduma lietā Nr. </w:t>
      </w:r>
      <w:hyperlink r:id="rId21" w:history="1">
        <w:r w:rsidR="00356C27" w:rsidRPr="006F05D7">
          <w:rPr>
            <w:rStyle w:val="Hyperlink"/>
            <w:i/>
            <w:iCs/>
          </w:rPr>
          <w:t>SKA-404/2010</w:t>
        </w:r>
      </w:hyperlink>
      <w:r w:rsidR="00356C27" w:rsidRPr="00137949">
        <w:rPr>
          <w:i/>
          <w:iCs/>
        </w:rPr>
        <w:t xml:space="preserve">, </w:t>
      </w:r>
      <w:r w:rsidR="00356C27" w:rsidRPr="006F05D7">
        <w:rPr>
          <w:i/>
          <w:iCs/>
        </w:rPr>
        <w:t>A42447407</w:t>
      </w:r>
      <w:r w:rsidR="00356C27" w:rsidRPr="00137949">
        <w:rPr>
          <w:i/>
          <w:iCs/>
        </w:rPr>
        <w:t>, 9.punkts</w:t>
      </w:r>
      <w:r w:rsidR="00356C27" w:rsidRPr="00137949">
        <w:t xml:space="preserve">). </w:t>
      </w:r>
      <w:r w:rsidR="003B7B52">
        <w:t xml:space="preserve">Senāts </w:t>
      </w:r>
      <w:r w:rsidR="00AE444B">
        <w:t xml:space="preserve">arī </w:t>
      </w:r>
      <w:r w:rsidR="003B7B52">
        <w:t xml:space="preserve">norādījis, ka uz attiecīga aizskāruma esību var norādīt apstākļi, kuros </w:t>
      </w:r>
      <w:r w:rsidR="00356C27" w:rsidRPr="00137949">
        <w:t>varētu tikt provocēta tieši nepilngadīgo personu interese par azartspēlēm (</w:t>
      </w:r>
      <w:r w:rsidR="00356C27" w:rsidRPr="00137949">
        <w:rPr>
          <w:i/>
          <w:iCs/>
        </w:rPr>
        <w:t>Senāta 2010.gada 22.jūnija sprieduma lietā Nr.</w:t>
      </w:r>
      <w:r w:rsidR="00105658">
        <w:rPr>
          <w:i/>
          <w:iCs/>
        </w:rPr>
        <w:t> </w:t>
      </w:r>
      <w:hyperlink r:id="rId22" w:history="1">
        <w:r w:rsidR="00356C27" w:rsidRPr="006F05D7">
          <w:rPr>
            <w:rStyle w:val="Hyperlink"/>
            <w:i/>
            <w:iCs/>
          </w:rPr>
          <w:t>SKA-318/2010</w:t>
        </w:r>
      </w:hyperlink>
      <w:r w:rsidR="00356C27" w:rsidRPr="00137949">
        <w:rPr>
          <w:i/>
          <w:iCs/>
        </w:rPr>
        <w:t xml:space="preserve">, </w:t>
      </w:r>
      <w:r w:rsidR="00356C27" w:rsidRPr="006F05D7">
        <w:rPr>
          <w:i/>
          <w:iCs/>
        </w:rPr>
        <w:t>A42452207</w:t>
      </w:r>
      <w:r w:rsidR="00356C27" w:rsidRPr="00137949">
        <w:rPr>
          <w:i/>
          <w:iCs/>
        </w:rPr>
        <w:t>, 14.punkts</w:t>
      </w:r>
      <w:r w:rsidR="00356C27" w:rsidRPr="00137949">
        <w:t xml:space="preserve">). </w:t>
      </w:r>
      <w:r w:rsidR="00665C5D">
        <w:t>Tāpat būtiska iedzīvotāju interešu a</w:t>
      </w:r>
      <w:r w:rsidR="00356C27" w:rsidRPr="00137949">
        <w:t xml:space="preserve">izskāruma esība var būt saskatāma situācija, kurā azartspēļu organizēšana konkrētajā vietā nav saderīga ar citu organizāciju piedāvātajām vērtībām (piemēram, </w:t>
      </w:r>
      <w:r w:rsidR="00356C27" w:rsidRPr="00137949">
        <w:rPr>
          <w:i/>
          <w:iCs/>
        </w:rPr>
        <w:t xml:space="preserve">Senāta 2019.gada 30.janvāra sprieduma lietā Nr. SKA-51/2019, </w:t>
      </w:r>
      <w:hyperlink r:id="rId23" w:history="1">
        <w:r w:rsidR="00356C27" w:rsidRPr="00137949">
          <w:rPr>
            <w:rStyle w:val="Hyperlink"/>
            <w:i/>
            <w:iCs/>
          </w:rPr>
          <w:t>ECLI:LV:AT:2019:0130.A420224514.2.S</w:t>
        </w:r>
      </w:hyperlink>
      <w:r w:rsidR="00356C27" w:rsidRPr="00137949">
        <w:rPr>
          <w:i/>
          <w:iCs/>
        </w:rPr>
        <w:t>, 10.punkts</w:t>
      </w:r>
      <w:r w:rsidR="00356C27" w:rsidRPr="00105658">
        <w:t xml:space="preserve"> un tajā norādītā judikatūra</w:t>
      </w:r>
      <w:r w:rsidR="00356C27" w:rsidRPr="00137949">
        <w:t>).</w:t>
      </w:r>
    </w:p>
    <w:p w14:paraId="07247790" w14:textId="77777777" w:rsidR="005A28F6" w:rsidRDefault="005A28F6" w:rsidP="00D44348">
      <w:pPr>
        <w:shd w:val="clear" w:color="auto" w:fill="FFFFFF"/>
        <w:spacing w:line="276" w:lineRule="auto"/>
        <w:ind w:firstLine="720"/>
        <w:jc w:val="both"/>
      </w:pPr>
    </w:p>
    <w:p w14:paraId="108FA908" w14:textId="34CC26C3" w:rsidR="00FA3B21" w:rsidRPr="005E61CE" w:rsidRDefault="005A28F6" w:rsidP="00D44348">
      <w:pPr>
        <w:shd w:val="clear" w:color="auto" w:fill="FFFFFF"/>
        <w:spacing w:line="276" w:lineRule="auto"/>
        <w:ind w:firstLine="720"/>
        <w:jc w:val="both"/>
      </w:pPr>
      <w:r w:rsidRPr="005E61CE">
        <w:t>[10]</w:t>
      </w:r>
      <w:r w:rsidR="00105658" w:rsidRPr="005E61CE">
        <w:t> </w:t>
      </w:r>
      <w:r w:rsidR="00B5227D" w:rsidRPr="005E61CE">
        <w:t>Apkopojot</w:t>
      </w:r>
      <w:r w:rsidR="00426007" w:rsidRPr="005E61CE">
        <w:t xml:space="preserve"> minēto</w:t>
      </w:r>
      <w:r w:rsidR="00E11FD5" w:rsidRPr="005E61CE">
        <w:t>:</w:t>
      </w:r>
      <w:r w:rsidR="00426007" w:rsidRPr="005E61CE">
        <w:t xml:space="preserve"> </w:t>
      </w:r>
      <w:r w:rsidR="00FA3B21" w:rsidRPr="005E61CE">
        <w:t>Azartspēļu un izložu likuma 42.panta sestās daļas kārtībā pieņemta lēmuma par azartspēļu organizēšanas atļaujas atcelšanu</w:t>
      </w:r>
      <w:r w:rsidR="007D64AD" w:rsidRPr="005E61CE">
        <w:t xml:space="preserve"> pamatojumam </w:t>
      </w:r>
      <w:r w:rsidR="00FA3B21" w:rsidRPr="005E61CE">
        <w:t>ir jāatklāj, kāpēc konkrētā vieta</w:t>
      </w:r>
      <w:r w:rsidR="001B493F" w:rsidRPr="005E61CE">
        <w:t xml:space="preserve"> </w:t>
      </w:r>
      <w:r w:rsidR="00FA3B21" w:rsidRPr="005E61CE">
        <w:t>ir uzskatāma par azartspēļu organizēšanai nepiemērotu</w:t>
      </w:r>
      <w:r w:rsidR="00426007" w:rsidRPr="005E61CE">
        <w:t>,</w:t>
      </w:r>
      <w:r w:rsidR="00665C5D" w:rsidRPr="005E61CE">
        <w:t xml:space="preserve"> proti,</w:t>
      </w:r>
      <w:r w:rsidR="00426007" w:rsidRPr="005E61CE">
        <w:t xml:space="preserve"> </w:t>
      </w:r>
      <w:r w:rsidR="00665C5D" w:rsidRPr="005E61CE">
        <w:t>kāpēc azartspēļu organizēšana konkrētajā vietā</w:t>
      </w:r>
      <w:r w:rsidR="00FA3B21" w:rsidRPr="005E61CE">
        <w:t xml:space="preserve"> rada būtisku valsts vai attiecīgās administratīvās teritorijas iedzīvotāju interešu aizskārumu.</w:t>
      </w:r>
    </w:p>
    <w:p w14:paraId="23C623F9" w14:textId="10466750" w:rsidR="00D66AD1" w:rsidRDefault="005A28F6" w:rsidP="00D44348">
      <w:pPr>
        <w:shd w:val="clear" w:color="auto" w:fill="FFFFFF"/>
        <w:spacing w:line="276" w:lineRule="auto"/>
        <w:ind w:firstLine="720"/>
        <w:jc w:val="both"/>
      </w:pPr>
      <w:r>
        <w:t xml:space="preserve">Līdz ar to apgabaltiesa </w:t>
      </w:r>
      <w:r w:rsidR="00137949">
        <w:t xml:space="preserve">pamatoti </w:t>
      </w:r>
      <w:r w:rsidR="00226DDF">
        <w:t>vērtēja</w:t>
      </w:r>
      <w:r w:rsidR="00137949">
        <w:t xml:space="preserve">, vai </w:t>
      </w:r>
      <w:r w:rsidR="00D66AD1">
        <w:t>pārsūdzēt</w:t>
      </w:r>
      <w:r w:rsidR="007D64AD">
        <w:t xml:space="preserve">ais lēmums šādu pamatojumu </w:t>
      </w:r>
      <w:r w:rsidR="00665C5D">
        <w:t>ietver</w:t>
      </w:r>
      <w:r w:rsidR="007D64AD">
        <w:t xml:space="preserve">. </w:t>
      </w:r>
      <w:r w:rsidR="00C71E9E">
        <w:t>Pretēji kasācijas sūdzības iebildumiem apgabaltiesa domei nav pārmetusi to, ka pārsūdzētajā lēmumā nebūtu vērtēta tieši konkrētā vieta. Tiesas argumentu būtība</w:t>
      </w:r>
      <w:r w:rsidR="00625207">
        <w:t>, norādot, ka pārsūdzētā lēmuma pamatojums ir nepietiekams,</w:t>
      </w:r>
      <w:r w:rsidR="00C71E9E">
        <w:t xml:space="preserve"> ir tāda, ka </w:t>
      </w:r>
      <w:r w:rsidR="00726C16">
        <w:t>lēmumā ietvertais spēļu zāles vietas</w:t>
      </w:r>
      <w:r w:rsidR="00C71E9E">
        <w:t xml:space="preserve"> raksturojums neatklāj, kā azartspēļu </w:t>
      </w:r>
      <w:r w:rsidR="00C71E9E" w:rsidRPr="004F4022">
        <w:t>darbība tieši konkrētajā vietā</w:t>
      </w:r>
      <w:r w:rsidR="00C71E9E">
        <w:t xml:space="preserve"> rada </w:t>
      </w:r>
      <w:r w:rsidR="00FA3B21">
        <w:t>attiecīgo aizskārumu.</w:t>
      </w:r>
    </w:p>
    <w:p w14:paraId="097DBB20" w14:textId="77777777" w:rsidR="00047CF1" w:rsidRDefault="00047CF1" w:rsidP="00D44348">
      <w:pPr>
        <w:shd w:val="clear" w:color="auto" w:fill="FFFFFF"/>
        <w:spacing w:line="276" w:lineRule="auto"/>
        <w:jc w:val="both"/>
      </w:pPr>
    </w:p>
    <w:p w14:paraId="7D523A17" w14:textId="701D2AFD" w:rsidR="00EB4846" w:rsidRDefault="00047CF1" w:rsidP="00D44348">
      <w:pPr>
        <w:shd w:val="clear" w:color="auto" w:fill="FFFFFF"/>
        <w:spacing w:line="276" w:lineRule="auto"/>
        <w:ind w:firstLine="720"/>
        <w:jc w:val="both"/>
      </w:pPr>
      <w:r>
        <w:t>[1</w:t>
      </w:r>
      <w:r w:rsidR="00F240B0">
        <w:t>1</w:t>
      </w:r>
      <w:r>
        <w:t>]</w:t>
      </w:r>
      <w:r w:rsidR="00992B83">
        <w:t> </w:t>
      </w:r>
      <w:r w:rsidR="00EB4846">
        <w:t xml:space="preserve">Šajā sakarā apgabaltiesa pamatoti kritiski raudzījās uz domes argumentiem, ka Azartspēļu un izložu likuma 42.panta sestās daļas kārtībā pieņemtā lēmuma pamatojumu veido argumenti par pašvaldības iedzīvotāju negatīvo attieksmi pret azartspēlēm. </w:t>
      </w:r>
    </w:p>
    <w:p w14:paraId="012438D6" w14:textId="1F18BC48" w:rsidR="00EB4846" w:rsidRDefault="00EB4846" w:rsidP="00D44348">
      <w:pPr>
        <w:shd w:val="clear" w:color="auto" w:fill="FFFFFF"/>
        <w:spacing w:line="276" w:lineRule="auto"/>
        <w:ind w:firstLine="720"/>
        <w:jc w:val="both"/>
      </w:pPr>
      <w:r>
        <w:t xml:space="preserve">Dome kasācijas sūdzībā paudusi virkni iebildumu minētajam, uzsverot </w:t>
      </w:r>
      <w:r w:rsidR="00B63048">
        <w:t>arī pašvaldības</w:t>
      </w:r>
      <w:r>
        <w:t xml:space="preserve"> vispārīgu pienākumu ņemt vērā iedzīvotāju</w:t>
      </w:r>
      <w:r w:rsidR="00113DDB">
        <w:t xml:space="preserve"> viedokli</w:t>
      </w:r>
      <w:r w:rsidR="0016708C">
        <w:t xml:space="preserve">. </w:t>
      </w:r>
    </w:p>
    <w:p w14:paraId="67F8E9BC" w14:textId="70C5216A" w:rsidR="001B493F" w:rsidRDefault="00EB4846" w:rsidP="00D44348">
      <w:pPr>
        <w:shd w:val="clear" w:color="auto" w:fill="FFFFFF"/>
        <w:spacing w:line="276" w:lineRule="auto"/>
        <w:ind w:firstLine="720"/>
        <w:jc w:val="both"/>
      </w:pPr>
      <w:r>
        <w:t xml:space="preserve">Senāts nenoliedz, ka </w:t>
      </w:r>
      <w:r w:rsidR="00050EFE">
        <w:t>pašvaldība kopumā darbojas</w:t>
      </w:r>
      <w:r w:rsidR="00311BEB">
        <w:t xml:space="preserve"> ar mērķi nodrošināt tās</w:t>
      </w:r>
      <w:r w:rsidR="006E1AC5">
        <w:t xml:space="preserve"> administratīvās teritorijas</w:t>
      </w:r>
      <w:r w:rsidR="00311BEB">
        <w:t xml:space="preserve"> iedzīvotāju interešu īstenošanu.</w:t>
      </w:r>
      <w:r w:rsidR="00050EFE">
        <w:t xml:space="preserve"> </w:t>
      </w:r>
      <w:r w:rsidR="00311BEB">
        <w:t>Tāpēc</w:t>
      </w:r>
      <w:r w:rsidR="00884A39">
        <w:t xml:space="preserve"> pašvaldības iedzīvotāju viedokļa uzklausīšana ar pašvaldības attīstību saistīto lēmumu pieņemšanā ir viens no nozīmīgākajiem sabiedrības līdzdalības tiesību īstenošanas mehānismiem.</w:t>
      </w:r>
      <w:r w:rsidR="009D6743">
        <w:t xml:space="preserve"> </w:t>
      </w:r>
      <w:r w:rsidR="00884A39">
        <w:t xml:space="preserve">Tomēr arī šo tiesību īstenošanai ir jānotiek, ievērojot tiesību normās tam paredzēto kārtību un formu. </w:t>
      </w:r>
    </w:p>
    <w:p w14:paraId="34AB0458" w14:textId="6C64DCE5" w:rsidR="00311BEB" w:rsidRDefault="00212D45" w:rsidP="00D44348">
      <w:pPr>
        <w:spacing w:line="276" w:lineRule="auto"/>
        <w:ind w:firstLine="567"/>
        <w:jc w:val="both"/>
        <w:rPr>
          <w:rFonts w:eastAsia="Calibri"/>
          <w:lang w:eastAsia="en-US"/>
          <w14:ligatures w14:val="standardContextual"/>
        </w:rPr>
      </w:pPr>
      <w:r>
        <w:t>L</w:t>
      </w:r>
      <w:r w:rsidR="00351403">
        <w:t xml:space="preserve">ikumdevējs Azartspēļu un izložu likuma normās ir piešķīris pašvaldībai tiesības īstenot azartspēļu politiku savā administratīvajā teritorijā. Tas ir darāms </w:t>
      </w:r>
      <w:r w:rsidR="00C25CFB">
        <w:t xml:space="preserve">likumdevēja piešķirtā pilnvarojuma robežās un </w:t>
      </w:r>
      <w:r w:rsidR="00351403">
        <w:t>tādā mērā, cik</w:t>
      </w:r>
      <w:r w:rsidR="009D6743">
        <w:t xml:space="preserve">tāl </w:t>
      </w:r>
      <w:r w:rsidR="00351403">
        <w:t xml:space="preserve">to tiesību normās </w:t>
      </w:r>
      <w:r w:rsidR="009D6743">
        <w:t xml:space="preserve">jau </w:t>
      </w:r>
      <w:r w:rsidR="00351403">
        <w:t xml:space="preserve">nav noregulējis pats likumdevējs (sal. </w:t>
      </w:r>
      <w:r w:rsidR="00351403" w:rsidRPr="00351403">
        <w:rPr>
          <w:rFonts w:eastAsia="Calibri"/>
          <w:i/>
          <w:iCs/>
          <w:lang w:eastAsia="en-US"/>
          <w14:ligatures w14:val="standardContextual"/>
        </w:rPr>
        <w:t xml:space="preserve">Senāta 2019.gada 30.janvāra sprieduma lietā </w:t>
      </w:r>
      <w:r w:rsidR="00351403" w:rsidRPr="00223B51">
        <w:rPr>
          <w:rFonts w:eastAsia="Calibri"/>
          <w:i/>
          <w:iCs/>
          <w:lang w:eastAsia="en-US"/>
          <w14:ligatures w14:val="standardContextual"/>
        </w:rPr>
        <w:t>Nr. SKA-51/2019</w:t>
      </w:r>
      <w:r w:rsidR="00351403" w:rsidRPr="00351403">
        <w:rPr>
          <w:rFonts w:eastAsia="Calibri"/>
          <w:i/>
          <w:iCs/>
          <w:lang w:eastAsia="en-US"/>
          <w14:ligatures w14:val="standardContextual"/>
        </w:rPr>
        <w:t xml:space="preserve">, </w:t>
      </w:r>
      <w:hyperlink r:id="rId24" w:history="1">
        <w:r w:rsidR="00351403" w:rsidRPr="00223B51">
          <w:rPr>
            <w:rStyle w:val="Hyperlink"/>
            <w:rFonts w:eastAsia="Calibri"/>
            <w:i/>
            <w:iCs/>
            <w:lang w:eastAsia="en-US"/>
            <w14:ligatures w14:val="standardContextual"/>
          </w:rPr>
          <w:t>ECLI:LV:AT:2019:0130.A420224514.2.S</w:t>
        </w:r>
      </w:hyperlink>
      <w:r w:rsidR="00351403" w:rsidRPr="00351403">
        <w:rPr>
          <w:rFonts w:eastAsia="Calibri"/>
          <w:i/>
          <w:iCs/>
          <w:lang w:eastAsia="en-US"/>
          <w14:ligatures w14:val="standardContextual"/>
        </w:rPr>
        <w:t>, 7.punkt</w:t>
      </w:r>
      <w:r w:rsidR="00640BDD">
        <w:rPr>
          <w:rFonts w:eastAsia="Calibri"/>
          <w:i/>
          <w:iCs/>
          <w:lang w:eastAsia="en-US"/>
          <w14:ligatures w14:val="standardContextual"/>
        </w:rPr>
        <w:t>s</w:t>
      </w:r>
      <w:r w:rsidR="00351403">
        <w:rPr>
          <w:rFonts w:eastAsia="Calibri"/>
          <w:lang w:eastAsia="en-US"/>
          <w14:ligatures w14:val="standardContextual"/>
        </w:rPr>
        <w:t xml:space="preserve">). </w:t>
      </w:r>
      <w:r w:rsidR="009D6743" w:rsidRPr="009D6743">
        <w:rPr>
          <w:rFonts w:eastAsia="Calibri"/>
          <w:lang w:eastAsia="en-US"/>
          <w14:ligatures w14:val="standardContextual"/>
        </w:rPr>
        <w:t xml:space="preserve">Senāts neapšauba, ka sabiedrības attieksme pret azartspēļu organizēšanu ir vērtību jautājums. </w:t>
      </w:r>
      <w:r w:rsidR="006D2943" w:rsidRPr="006D2943">
        <w:rPr>
          <w:rFonts w:eastAsia="Calibri"/>
          <w:lang w:eastAsia="en-US"/>
          <w14:ligatures w14:val="standardContextual"/>
        </w:rPr>
        <w:t>N</w:t>
      </w:r>
      <w:r w:rsidR="00C647F9">
        <w:rPr>
          <w:rFonts w:eastAsia="Calibri"/>
          <w:lang w:eastAsia="en-US"/>
          <w14:ligatures w14:val="standardContextual"/>
        </w:rPr>
        <w:t>enoliedzami</w:t>
      </w:r>
      <w:r w:rsidR="006E4A78">
        <w:rPr>
          <w:rFonts w:eastAsia="Calibri"/>
          <w:lang w:eastAsia="en-US"/>
          <w14:ligatures w14:val="standardContextual"/>
        </w:rPr>
        <w:t>,</w:t>
      </w:r>
      <w:r w:rsidR="006D2943" w:rsidRPr="006D2943">
        <w:rPr>
          <w:rFonts w:eastAsia="Calibri"/>
          <w:lang w:eastAsia="en-US"/>
          <w14:ligatures w14:val="standardContextual"/>
        </w:rPr>
        <w:t xml:space="preserve"> azartspēļu atkarība var izraisīt nelabvēlīgas sekas gan pašai atkarīgajai personai, gan </w:t>
      </w:r>
      <w:r w:rsidR="00726C16">
        <w:rPr>
          <w:rFonts w:eastAsia="Calibri"/>
          <w:lang w:eastAsia="en-US"/>
          <w14:ligatures w14:val="standardContextual"/>
        </w:rPr>
        <w:t>tās</w:t>
      </w:r>
      <w:r w:rsidR="006D2943" w:rsidRPr="006D2943">
        <w:rPr>
          <w:rFonts w:eastAsia="Calibri"/>
          <w:lang w:eastAsia="en-US"/>
          <w14:ligatures w14:val="standardContextual"/>
        </w:rPr>
        <w:t xml:space="preserve"> ģimenei un vietējai kopienai. Līdz ar to sabiedrībā valdošā negatīv</w:t>
      </w:r>
      <w:r w:rsidR="000F2AD0">
        <w:rPr>
          <w:rFonts w:eastAsia="Calibri"/>
          <w:lang w:eastAsia="en-US"/>
          <w14:ligatures w14:val="standardContextual"/>
        </w:rPr>
        <w:t>ā</w:t>
      </w:r>
      <w:r w:rsidR="006D2943" w:rsidRPr="006D2943">
        <w:rPr>
          <w:rFonts w:eastAsia="Calibri"/>
          <w:lang w:eastAsia="en-US"/>
          <w14:ligatures w14:val="standardContextual"/>
        </w:rPr>
        <w:t xml:space="preserve"> attieksme pret azartspēlēm ir racionāli saprotama un likumsakarīga</w:t>
      </w:r>
      <w:r w:rsidR="006D2943">
        <w:rPr>
          <w:rFonts w:eastAsia="Calibri"/>
          <w:lang w:eastAsia="en-US"/>
          <w14:ligatures w14:val="standardContextual"/>
        </w:rPr>
        <w:t xml:space="preserve">. </w:t>
      </w:r>
      <w:r w:rsidR="00311BEB">
        <w:rPr>
          <w:rFonts w:eastAsia="Calibri"/>
          <w:lang w:eastAsia="en-US"/>
          <w14:ligatures w14:val="standardContextual"/>
        </w:rPr>
        <w:t xml:space="preserve">Tomēr vispārīgus </w:t>
      </w:r>
      <w:r w:rsidR="00311BEB">
        <w:t xml:space="preserve">apsvērumus par </w:t>
      </w:r>
      <w:r w:rsidR="00311BEB" w:rsidRPr="00A83682">
        <w:t xml:space="preserve">azartspēļu </w:t>
      </w:r>
      <w:r w:rsidR="000F2AD0">
        <w:t>nelabvēlīgo</w:t>
      </w:r>
      <w:r w:rsidR="00311BEB" w:rsidRPr="00A83682">
        <w:t xml:space="preserve"> ietekmi un to negatīvo vērtējumu sabiedrībā ir izdarījis </w:t>
      </w:r>
      <w:r w:rsidR="00311BEB" w:rsidRPr="00BA4038">
        <w:t>likumdevējs.</w:t>
      </w:r>
      <w:r w:rsidR="00311BEB" w:rsidRPr="00BA4038">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Kā jau minē</w:t>
      </w:r>
      <w:r w:rsidR="00B8789F">
        <w:rPr>
          <w:rFonts w:asciiTheme="majorBidi" w:eastAsiaTheme="minorHAnsi" w:hAnsiTheme="majorBidi" w:cstheme="majorBidi"/>
          <w:lang w:eastAsia="en-US"/>
          <w14:ligatures w14:val="standardContextual"/>
        </w:rPr>
        <w:t>ts</w:t>
      </w:r>
      <w:r>
        <w:rPr>
          <w:rFonts w:asciiTheme="majorBidi" w:eastAsiaTheme="minorHAnsi" w:hAnsiTheme="majorBidi" w:cstheme="majorBidi"/>
          <w:lang w:eastAsia="en-US"/>
          <w14:ligatures w14:val="standardContextual"/>
        </w:rPr>
        <w:t>, A</w:t>
      </w:r>
      <w:r w:rsidR="00311BEB" w:rsidRPr="00BA4038">
        <w:t xml:space="preserve">zartspēļu un izložu likums aizsargā ne vien attiecīgās pašvaldības administratīvās teritorijas iedzīvotāju intereses, bet arī komersantu tiesības, kuri veic attiecīga rakstura legālu komercdarbību. </w:t>
      </w:r>
      <w:r w:rsidR="00311BEB">
        <w:t>L</w:t>
      </w:r>
      <w:r w:rsidR="00311BEB" w:rsidRPr="00BA4038">
        <w:t>ikuma mērķis nav pilnībā izskaust azartspēles, bet gan samērīgi saskaņot komersanta un attiecīgās pašvaldības administratīvās teritorijas iedzīvotāju intereses</w:t>
      </w:r>
      <w:r w:rsidR="00311BEB">
        <w:t xml:space="preserve">. Tāpēc, kā </w:t>
      </w:r>
      <w:r w:rsidR="00311BEB" w:rsidRPr="006D3489">
        <w:t xml:space="preserve">Senāts </w:t>
      </w:r>
      <w:r w:rsidR="00311BEB">
        <w:t xml:space="preserve">to </w:t>
      </w:r>
      <w:r w:rsidR="00311BEB" w:rsidRPr="006D3489">
        <w:t>vairākkārt ir atzinis</w:t>
      </w:r>
      <w:r w:rsidR="00311BEB">
        <w:t xml:space="preserve">, </w:t>
      </w:r>
      <w:r w:rsidR="00311BEB" w:rsidRPr="006D3489">
        <w:t>sabiedrības negatīvā attieksme nepierāda iedzīvotāju interešu būtisku aizskārumu azartspēļu organizēšanai konkrētā vietā. Šāda kritērija izmantošana vienmēr novestu pie ierobežojuma piemērošanas, jo attiecībā uz azartspēļu rīkošanu kāda sabiedrības daļa vienmēr būs noraidoša</w:t>
      </w:r>
      <w:r w:rsidR="00311BEB">
        <w:t xml:space="preserve"> (</w:t>
      </w:r>
      <w:r w:rsidR="00726C16" w:rsidRPr="00726C16">
        <w:rPr>
          <w:i/>
          <w:iCs/>
        </w:rPr>
        <w:t xml:space="preserve">Senāta </w:t>
      </w:r>
      <w:r w:rsidR="00311BEB" w:rsidRPr="006D3489">
        <w:rPr>
          <w:i/>
          <w:iCs/>
        </w:rPr>
        <w:t xml:space="preserve">2021.gada 25.februāra sprieduma lietā </w:t>
      </w:r>
      <w:r w:rsidR="00311BEB" w:rsidRPr="00223B51">
        <w:rPr>
          <w:i/>
          <w:iCs/>
        </w:rPr>
        <w:t>Nr. SKA-510/2021</w:t>
      </w:r>
      <w:r w:rsidR="00311BEB" w:rsidRPr="006D3489">
        <w:rPr>
          <w:i/>
          <w:iCs/>
        </w:rPr>
        <w:t xml:space="preserve">, </w:t>
      </w:r>
      <w:hyperlink r:id="rId25" w:history="1">
        <w:r w:rsidR="00311BEB" w:rsidRPr="00223B51">
          <w:rPr>
            <w:rStyle w:val="Hyperlink"/>
            <w:i/>
            <w:iCs/>
          </w:rPr>
          <w:t>ECLI:LV:AT:2021:0225.A420200019.9.S</w:t>
        </w:r>
      </w:hyperlink>
      <w:r w:rsidR="00311BEB" w:rsidRPr="006D3489">
        <w:rPr>
          <w:i/>
          <w:iCs/>
        </w:rPr>
        <w:t>, 14.punkts</w:t>
      </w:r>
      <w:r w:rsidR="00311BEB">
        <w:rPr>
          <w:i/>
          <w:iCs/>
        </w:rPr>
        <w:t>,</w:t>
      </w:r>
      <w:r w:rsidR="00311BEB" w:rsidRPr="005F3CFD">
        <w:rPr>
          <w:i/>
          <w:iCs/>
        </w:rPr>
        <w:t xml:space="preserve"> 2023.gada 23.maija spriedum</w:t>
      </w:r>
      <w:r w:rsidR="000F2AD0">
        <w:rPr>
          <w:i/>
          <w:iCs/>
        </w:rPr>
        <w:t>a</w:t>
      </w:r>
      <w:r w:rsidR="00311BEB" w:rsidRPr="005F3CFD">
        <w:rPr>
          <w:i/>
          <w:iCs/>
        </w:rPr>
        <w:t xml:space="preserve"> lietā </w:t>
      </w:r>
      <w:r w:rsidR="00311BEB" w:rsidRPr="00223B51">
        <w:rPr>
          <w:i/>
          <w:iCs/>
        </w:rPr>
        <w:t>Nr. SKA-111/2023</w:t>
      </w:r>
      <w:r w:rsidR="00311BEB" w:rsidRPr="005F3CFD">
        <w:rPr>
          <w:i/>
          <w:iCs/>
        </w:rPr>
        <w:t xml:space="preserve">, </w:t>
      </w:r>
      <w:hyperlink r:id="rId26" w:history="1">
        <w:r w:rsidR="00311BEB" w:rsidRPr="00223B51">
          <w:rPr>
            <w:rStyle w:val="Hyperlink"/>
            <w:i/>
            <w:iCs/>
          </w:rPr>
          <w:t>ECLI:LV:AT:2023:0523.A420308918.9.S</w:t>
        </w:r>
      </w:hyperlink>
      <w:r w:rsidR="00311BEB" w:rsidRPr="005F3CFD">
        <w:rPr>
          <w:i/>
          <w:iCs/>
        </w:rPr>
        <w:t>, 10.punkts</w:t>
      </w:r>
      <w:r w:rsidR="00311BEB">
        <w:t xml:space="preserve">). </w:t>
      </w:r>
    </w:p>
    <w:p w14:paraId="0BFAC8BC" w14:textId="0331CE6B" w:rsidR="00771659" w:rsidRPr="00311BEB" w:rsidRDefault="009E2BB2" w:rsidP="00D44348">
      <w:pPr>
        <w:spacing w:line="276" w:lineRule="auto"/>
        <w:ind w:firstLine="567"/>
        <w:jc w:val="both"/>
        <w:rPr>
          <w:rFonts w:eastAsia="Calibri"/>
          <w:lang w:eastAsia="en-US"/>
          <w14:ligatures w14:val="standardContextual"/>
        </w:rPr>
      </w:pPr>
      <w:r>
        <w:t>Tā</w:t>
      </w:r>
      <w:r w:rsidR="00226DDF">
        <w:t>dējādi</w:t>
      </w:r>
      <w:r w:rsidR="00113DDB">
        <w:t xml:space="preserve"> apgabaltiesa pamatoti atzina, ka iedzīvotāju negatīvā attieksme pret azartspēlēm kopumā nav pamats, </w:t>
      </w:r>
      <w:r>
        <w:t>lai ierobežotu azartspēļu organizēšanu atbilstoši Azartspēļu un izložu likuma 42.panta sest</w:t>
      </w:r>
      <w:r w:rsidR="00B8789F">
        <w:t>ajai</w:t>
      </w:r>
      <w:r>
        <w:t xml:space="preserve"> daļai. Šie secinājumi atbilst </w:t>
      </w:r>
      <w:r w:rsidR="000B1A12">
        <w:t>Senāta judikatūrai</w:t>
      </w:r>
      <w:r w:rsidR="00160236">
        <w:t>,</w:t>
      </w:r>
      <w:r w:rsidR="00351403">
        <w:t xml:space="preserve"> un Senāts nesaskata pamatu šīs atziņas pārskatīt. </w:t>
      </w:r>
    </w:p>
    <w:p w14:paraId="145597FC" w14:textId="77777777" w:rsidR="009E2BB2" w:rsidRDefault="009E2BB2" w:rsidP="00D44348">
      <w:pPr>
        <w:shd w:val="clear" w:color="auto" w:fill="FFFFFF"/>
        <w:spacing w:line="276" w:lineRule="auto"/>
        <w:ind w:firstLine="720"/>
        <w:jc w:val="both"/>
      </w:pPr>
    </w:p>
    <w:p w14:paraId="7D00DEE7" w14:textId="35E9AA8D" w:rsidR="00507AD2" w:rsidRDefault="00771659" w:rsidP="00D44348">
      <w:pPr>
        <w:shd w:val="clear" w:color="auto" w:fill="FFFFFF"/>
        <w:spacing w:line="276" w:lineRule="auto"/>
        <w:ind w:firstLine="720"/>
        <w:jc w:val="both"/>
      </w:pPr>
      <w:r>
        <w:t>[1</w:t>
      </w:r>
      <w:r w:rsidR="00507AD2">
        <w:t>2</w:t>
      </w:r>
      <w:r>
        <w:t>]</w:t>
      </w:r>
      <w:r w:rsidR="00B8789F">
        <w:t> </w:t>
      </w:r>
      <w:r w:rsidR="000006D0">
        <w:t xml:space="preserve">Tāpat Senāta praksē jau iepriekš atzīts, ka </w:t>
      </w:r>
      <w:r w:rsidR="00C647F9">
        <w:t xml:space="preserve">azartspēļu organizēšanas pārkāpumi paši par sevi nevar būt </w:t>
      </w:r>
      <w:r w:rsidR="000006D0" w:rsidRPr="00D94132">
        <w:t xml:space="preserve">Azartspēļu </w:t>
      </w:r>
      <w:r w:rsidR="008F516E">
        <w:t xml:space="preserve">un izložu </w:t>
      </w:r>
      <w:r w:rsidR="000006D0" w:rsidRPr="00D94132">
        <w:t xml:space="preserve">likuma 42.panta sestās daļas piemērošanas pamats. </w:t>
      </w:r>
      <w:r w:rsidR="00C647F9">
        <w:t>Minētā tiesību norma</w:t>
      </w:r>
      <w:r w:rsidR="000006D0" w:rsidRPr="00D94132">
        <w:t xml:space="preserve"> ir vērsta uz azartspēļu pakalpojumu piedāvājuma saskaņošanu ar būtiskām sabiedrības interesēm, bet ne uz iespējamu pārkāpumu kontroli to organizēšanā. Atbildību par normatīvo aktu pārkāpumiem šajā jomā regulē Azartspēļu </w:t>
      </w:r>
      <w:r w:rsidR="004A2390">
        <w:t xml:space="preserve">un izložu </w:t>
      </w:r>
      <w:r w:rsidR="000006D0" w:rsidRPr="00D94132">
        <w:t>likuma 1</w:t>
      </w:r>
      <w:r w:rsidR="00B675F4">
        <w:t>1.</w:t>
      </w:r>
      <w:r w:rsidR="00B13AAA">
        <w:t xml:space="preserve">, </w:t>
      </w:r>
      <w:r w:rsidR="00B675F4">
        <w:t>12</w:t>
      </w:r>
      <w:r w:rsidR="000006D0" w:rsidRPr="00D94132">
        <w:t>.</w:t>
      </w:r>
      <w:r w:rsidR="00B13AAA">
        <w:t xml:space="preserve"> un 13.</w:t>
      </w:r>
      <w:r w:rsidR="000006D0" w:rsidRPr="00D94132">
        <w:t>nodaļa (</w:t>
      </w:r>
      <w:r w:rsidR="00B675F4">
        <w:t xml:space="preserve">sal. </w:t>
      </w:r>
      <w:r w:rsidR="000006D0" w:rsidRPr="00D94132">
        <w:rPr>
          <w:i/>
          <w:iCs/>
        </w:rPr>
        <w:t xml:space="preserve">Senāta 2010.gada 17.jūnija sprieduma lietā </w:t>
      </w:r>
      <w:r w:rsidR="000006D0" w:rsidRPr="00223B51">
        <w:rPr>
          <w:i/>
          <w:iCs/>
        </w:rPr>
        <w:t>Nr. </w:t>
      </w:r>
      <w:hyperlink r:id="rId27" w:history="1">
        <w:r w:rsidR="000006D0" w:rsidRPr="006215A9">
          <w:rPr>
            <w:rStyle w:val="Hyperlink"/>
            <w:i/>
            <w:iCs/>
          </w:rPr>
          <w:t>SKA-227/2010</w:t>
        </w:r>
      </w:hyperlink>
      <w:r w:rsidR="000006D0" w:rsidRPr="00D94132">
        <w:rPr>
          <w:i/>
          <w:iCs/>
        </w:rPr>
        <w:t xml:space="preserve">, </w:t>
      </w:r>
      <w:r w:rsidR="000006D0" w:rsidRPr="006215A9">
        <w:rPr>
          <w:i/>
          <w:iCs/>
        </w:rPr>
        <w:t>A42546107</w:t>
      </w:r>
      <w:r w:rsidR="000006D0" w:rsidRPr="00D94132">
        <w:rPr>
          <w:i/>
          <w:iCs/>
        </w:rPr>
        <w:t>, 11.punkt</w:t>
      </w:r>
      <w:r w:rsidR="00B8789F">
        <w:rPr>
          <w:i/>
          <w:iCs/>
        </w:rPr>
        <w:t>s</w:t>
      </w:r>
      <w:r w:rsidR="000006D0" w:rsidRPr="00D94132">
        <w:t>)</w:t>
      </w:r>
      <w:r w:rsidR="004B3074">
        <w:t xml:space="preserve">. </w:t>
      </w:r>
    </w:p>
    <w:p w14:paraId="03EA7456" w14:textId="755F8F91" w:rsidR="000006D0" w:rsidRDefault="009E65D6" w:rsidP="00D44348">
      <w:pPr>
        <w:shd w:val="clear" w:color="auto" w:fill="FFFFFF"/>
        <w:spacing w:line="276" w:lineRule="auto"/>
        <w:ind w:firstLine="720"/>
        <w:jc w:val="both"/>
      </w:pPr>
      <w:r>
        <w:t>Turklāt kasācijas sūdzībā norādītais, ka</w:t>
      </w:r>
      <w:r w:rsidR="00507AD2">
        <w:t>, visticamāk,</w:t>
      </w:r>
      <w:r>
        <w:t xml:space="preserve"> ir arī citi gadījumi, kuros spēļu zālē iekļuvušas nepilngadīgas personas, ir pieņēmumi, kas paši par sevi nevar būt pamats </w:t>
      </w:r>
      <w:r w:rsidR="00A135E8">
        <w:t xml:space="preserve">personai izdotā labvēlīgā administratīvā akta atcelšanai. </w:t>
      </w:r>
    </w:p>
    <w:p w14:paraId="6A127793" w14:textId="4A852B49" w:rsidR="008964E4" w:rsidRPr="005E61CE" w:rsidRDefault="003F14A4" w:rsidP="00D44348">
      <w:pPr>
        <w:shd w:val="clear" w:color="auto" w:fill="FFFFFF"/>
        <w:spacing w:line="276" w:lineRule="auto"/>
        <w:ind w:firstLine="720"/>
        <w:jc w:val="both"/>
      </w:pPr>
      <w:r w:rsidRPr="005E61CE">
        <w:t>A</w:t>
      </w:r>
      <w:r w:rsidR="00DD3EAF" w:rsidRPr="005E61CE">
        <w:t xml:space="preserve">rī </w:t>
      </w:r>
      <w:r w:rsidR="00726C16" w:rsidRPr="005E61CE">
        <w:t>domes</w:t>
      </w:r>
      <w:r w:rsidR="00DD3EAF" w:rsidRPr="005E61CE">
        <w:t xml:space="preserve"> argumenti par azartspēļu organizēšanas vietu kā sabiedriskās kārtības traucējuma avotu neatklāj, kāpēc azartspēļu organizēšana nav pieļaujama tieši konkrētajā vietā. Sabiedriskās kārtības pārkāpumi, kas </w:t>
      </w:r>
      <w:r w:rsidR="00726C16" w:rsidRPr="005E61CE">
        <w:t>citstarp</w:t>
      </w:r>
      <w:r w:rsidR="00AF0419" w:rsidRPr="005E61CE">
        <w:t xml:space="preserve"> </w:t>
      </w:r>
      <w:r w:rsidR="00DD3EAF" w:rsidRPr="005E61CE">
        <w:t>saistīti ar alkohola lietošanu, var būt raksturīgi ne tikai spēļu zālei, bet arī citām izklaižu vietām</w:t>
      </w:r>
      <w:r w:rsidR="00AF0419" w:rsidRPr="005E61CE">
        <w:t xml:space="preserve"> (piemēram, bāriem vai naktsklubiem)</w:t>
      </w:r>
      <w:r w:rsidR="00DD3EAF" w:rsidRPr="005E61CE">
        <w:t xml:space="preserve">. </w:t>
      </w:r>
      <w:r w:rsidR="004F4022" w:rsidRPr="005E61CE">
        <w:t>Nenoliedzami</w:t>
      </w:r>
      <w:r w:rsidR="00DD3EAF" w:rsidRPr="005E61CE">
        <w:t>, paaugstināt</w:t>
      </w:r>
      <w:r w:rsidR="00C70C6B" w:rsidRPr="005E61CE">
        <w:t>a</w:t>
      </w:r>
      <w:r w:rsidR="00DD3EAF" w:rsidRPr="005E61CE">
        <w:t xml:space="preserve"> sabiedriskās kārtības apdraudējum</w:t>
      </w:r>
      <w:r w:rsidR="00C70C6B" w:rsidRPr="005E61CE">
        <w:t>a iespēja</w:t>
      </w:r>
      <w:r w:rsidR="00DD3EAF" w:rsidRPr="005E61CE">
        <w:t xml:space="preserve"> konkrētā vietā var radīt </w:t>
      </w:r>
      <w:r w:rsidR="00726C16" w:rsidRPr="005E61CE">
        <w:t>azartspēļu organizēšanas</w:t>
      </w:r>
      <w:r w:rsidR="00DD3EAF" w:rsidRPr="005E61CE">
        <w:t xml:space="preserve"> un </w:t>
      </w:r>
      <w:r w:rsidR="00726C16" w:rsidRPr="005E61CE">
        <w:t>sabiedriskās kārtības</w:t>
      </w:r>
      <w:r w:rsidR="00DD3EAF" w:rsidRPr="005E61CE">
        <w:t xml:space="preserve"> interešu sadursmi. </w:t>
      </w:r>
      <w:r w:rsidR="00C679DC" w:rsidRPr="005E61CE">
        <w:t xml:space="preserve">Tomēr tādā gadījumā </w:t>
      </w:r>
      <w:r w:rsidRPr="005E61CE">
        <w:t xml:space="preserve">lēmumam, ar kuru tiek ierobežota azartspēļu organizēšana, šī </w:t>
      </w:r>
      <w:r w:rsidR="00726C16" w:rsidRPr="005E61CE">
        <w:t>interešu</w:t>
      </w:r>
      <w:r w:rsidRPr="005E61CE">
        <w:t xml:space="preserve"> sadursme būtu pietiekami precīzi jāatklāj</w:t>
      </w:r>
      <w:r w:rsidR="005E61CE" w:rsidRPr="005E61CE">
        <w:t xml:space="preserve"> tieši saistībā ar konkrētajai vietai raksturīgajām īpatnībām.</w:t>
      </w:r>
    </w:p>
    <w:p w14:paraId="1941F0C4" w14:textId="7FA21A7C" w:rsidR="00135F63" w:rsidRDefault="00E20901" w:rsidP="00D44348">
      <w:pPr>
        <w:shd w:val="clear" w:color="auto" w:fill="FFFFFF"/>
        <w:spacing w:line="276" w:lineRule="auto"/>
        <w:ind w:firstLine="720"/>
        <w:jc w:val="both"/>
      </w:pPr>
      <w:r>
        <w:t>Dome kasācijas sūdzībā iebilst apgabaltiesas norādītajam</w:t>
      </w:r>
      <w:r w:rsidR="00AC5723">
        <w:t xml:space="preserve"> un uzskata, ka</w:t>
      </w:r>
      <w:r>
        <w:t xml:space="preserve"> šāda pieeja neatbilst Azartspēļu un izložu</w:t>
      </w:r>
      <w:r w:rsidR="006E4A78">
        <w:t xml:space="preserve"> likuma</w:t>
      </w:r>
      <w:r>
        <w:t xml:space="preserve"> 42.panta sestās daļas kārtībā pieņemta lēmuma mērķim, kas ir raksturot konkrēto azartspēļu organizēšanas vietu. Tomēr</w:t>
      </w:r>
      <w:r w:rsidR="00B25B5A">
        <w:t xml:space="preserve"> Senāts piekrīt, ka</w:t>
      </w:r>
      <w:r>
        <w:t xml:space="preserve"> pats par sevi konstatējums, ka piecu gadu laikā ir saņemti 34 izsaukumi, kas saistīti ar sabiedriskā miera traucēšanu konkrētajā adresē, nesniedz pilnvērtīgu priekšstatu par to, </w:t>
      </w:r>
      <w:r w:rsidR="00CE1925">
        <w:t xml:space="preserve">kāda ir šī apstākļa loma attiecīgās administratīvās teritorijas ikdienas </w:t>
      </w:r>
      <w:r w:rsidR="00B25B5A">
        <w:t>norisē</w:t>
      </w:r>
      <w:r w:rsidR="00CE1925">
        <w:t>.</w:t>
      </w:r>
      <w:r>
        <w:t xml:space="preserve"> </w:t>
      </w:r>
      <w:r w:rsidR="000F2AD0">
        <w:t>Š</w:t>
      </w:r>
      <w:r>
        <w:t xml:space="preserve">ādi pārkāpumi var </w:t>
      </w:r>
      <w:r w:rsidR="004D519B">
        <w:t>būt raksturīgi arī citām izklaižu vietām vai noteiktiem rajoniem pašvaldības administratīvajā teritorijā</w:t>
      </w:r>
      <w:r>
        <w:t>. Līdz</w:t>
      </w:r>
      <w:r w:rsidR="00135F63">
        <w:t xml:space="preserve"> ar to apgabaltiesa kopumā pamatoti </w:t>
      </w:r>
      <w:r w:rsidR="000F2AD0">
        <w:t>atzina</w:t>
      </w:r>
      <w:r w:rsidR="00AC5723">
        <w:t>:</w:t>
      </w:r>
      <w:r w:rsidR="00135F63">
        <w:t xml:space="preserve"> lai argumentus par sabiedriskās kārtības traucējumiem uzlūkotu kā pamatu atļaujas atcelšanai, </w:t>
      </w:r>
      <w:r w:rsidR="002E5F81">
        <w:t xml:space="preserve">arī šo argumentu sakarā </w:t>
      </w:r>
      <w:r w:rsidR="00201DD4">
        <w:t xml:space="preserve">ir </w:t>
      </w:r>
      <w:r w:rsidR="00B25B5A">
        <w:t>jāsaprot</w:t>
      </w:r>
      <w:r w:rsidR="00135F63">
        <w:t xml:space="preserve">, kāpēc tieši </w:t>
      </w:r>
      <w:r w:rsidR="00135F63" w:rsidRPr="00AC5723">
        <w:t>konkrētā vieta</w:t>
      </w:r>
      <w:r w:rsidR="00135F63">
        <w:t xml:space="preserve"> ir atzīstama par azartspēļu organizēšanai nepiemērotu.</w:t>
      </w:r>
    </w:p>
    <w:p w14:paraId="0881A5AB" w14:textId="77777777" w:rsidR="00B5481A" w:rsidRDefault="00B5481A" w:rsidP="00D44348">
      <w:pPr>
        <w:shd w:val="clear" w:color="auto" w:fill="FFFFFF"/>
        <w:spacing w:line="276" w:lineRule="auto"/>
        <w:ind w:firstLine="720"/>
        <w:jc w:val="both"/>
      </w:pPr>
    </w:p>
    <w:p w14:paraId="16D376D1" w14:textId="730D6252" w:rsidR="009E65D6" w:rsidRDefault="000006D0" w:rsidP="00D44348">
      <w:pPr>
        <w:shd w:val="clear" w:color="auto" w:fill="FFFFFF"/>
        <w:spacing w:line="276" w:lineRule="auto"/>
        <w:ind w:firstLine="720"/>
        <w:jc w:val="both"/>
      </w:pPr>
      <w:r>
        <w:t>[1</w:t>
      </w:r>
      <w:r w:rsidR="00EC624D">
        <w:t>3</w:t>
      </w:r>
      <w:r>
        <w:t>]</w:t>
      </w:r>
      <w:r w:rsidR="00EC624D">
        <w:t> </w:t>
      </w:r>
      <w:r w:rsidR="008F516E">
        <w:t>Apgabaltiesa atzina, ka pārsūdzētā lēmuma pamatojums, kas raksturo azartspēļu organizēšanas vietu, neatklāj</w:t>
      </w:r>
      <w:r w:rsidR="009E65D6">
        <w:t xml:space="preserve">, </w:t>
      </w:r>
      <w:r w:rsidR="00C27366">
        <w:t xml:space="preserve">kāpēc azartspēļu organizēšana </w:t>
      </w:r>
      <w:r w:rsidR="00EC624D">
        <w:t>šajā</w:t>
      </w:r>
      <w:r w:rsidR="00C27366">
        <w:t xml:space="preserve"> vietā rada būtisku valsts un attiecīgās administratīvās teritorijas iedzīvotāju interešu aizskārumu.</w:t>
      </w:r>
    </w:p>
    <w:p w14:paraId="4C532955" w14:textId="5D6DAB3A" w:rsidR="00C27366" w:rsidRDefault="009E65D6" w:rsidP="00D44348">
      <w:pPr>
        <w:shd w:val="clear" w:color="auto" w:fill="FFFFFF"/>
        <w:spacing w:line="276" w:lineRule="auto"/>
        <w:ind w:firstLine="720"/>
        <w:jc w:val="both"/>
      </w:pPr>
      <w:r>
        <w:t>T</w:t>
      </w:r>
      <w:r w:rsidR="00C27366">
        <w:t xml:space="preserve">iesa secināja, ka </w:t>
      </w:r>
      <w:r w:rsidR="00270210" w:rsidRPr="00270210">
        <w:t>Ādažu pilsēta lielā mērā ir izvietojusies līdztekus autoceļam A1.</w:t>
      </w:r>
      <w:r w:rsidR="00887F91">
        <w:t xml:space="preserve"> A</w:t>
      </w:r>
      <w:r w:rsidR="00270210" w:rsidRPr="00270210">
        <w:t>utoceļa tiešā tuvumā (pilsētas pusē) ir automazgāt</w:t>
      </w:r>
      <w:r w:rsidR="00B5481A">
        <w:t>avas</w:t>
      </w:r>
      <w:r w:rsidR="00270210" w:rsidRPr="00270210">
        <w:t>, degvielas uzpildes stacijas, lielveikali un</w:t>
      </w:r>
      <w:r w:rsidR="00270210">
        <w:t xml:space="preserve"> </w:t>
      </w:r>
      <w:r w:rsidR="00C27366">
        <w:t>s</w:t>
      </w:r>
      <w:r w:rsidR="00270210" w:rsidRPr="00270210">
        <w:t xml:space="preserve">pēļu zāle. </w:t>
      </w:r>
      <w:r w:rsidR="00C27366">
        <w:t xml:space="preserve">Tiesa konstatēja, ka </w:t>
      </w:r>
      <w:r w:rsidR="00270210" w:rsidRPr="00270210">
        <w:t xml:space="preserve">dzīvojamo ēku teritorijas </w:t>
      </w:r>
      <w:r w:rsidR="00887F91">
        <w:t xml:space="preserve">un </w:t>
      </w:r>
      <w:r w:rsidR="00270210" w:rsidRPr="00270210">
        <w:t>autoceļam piegulošo teritoriju atdala iela – Rīgas gatve.</w:t>
      </w:r>
      <w:r w:rsidR="00270210">
        <w:t xml:space="preserve"> </w:t>
      </w:r>
      <w:r w:rsidR="00C27366">
        <w:t>Tāpat tiesa konstatēja, ka d</w:t>
      </w:r>
      <w:r w:rsidR="00270210" w:rsidRPr="00270210">
        <w:t xml:space="preserve">audzdzīvokļu dzīvojamo ēku un bērnu spēļu laukumu </w:t>
      </w:r>
      <w:r w:rsidR="00C27366">
        <w:t>s</w:t>
      </w:r>
      <w:r w:rsidR="00270210" w:rsidRPr="00270210">
        <w:t>pēļu zāles tiešā tuvumā (100</w:t>
      </w:r>
      <w:r w:rsidR="00887F91">
        <w:t> </w:t>
      </w:r>
      <w:r w:rsidR="00270210" w:rsidRPr="00270210">
        <w:t>m</w:t>
      </w:r>
      <w:r w:rsidR="00B5481A">
        <w:t>etri</w:t>
      </w:r>
      <w:r w:rsidR="00270210" w:rsidRPr="00270210">
        <w:t>) nav</w:t>
      </w:r>
      <w:r w:rsidR="00887F91">
        <w:t xml:space="preserve"> un</w:t>
      </w:r>
      <w:r w:rsidR="00C27366">
        <w:t xml:space="preserve"> spēļu zāles</w:t>
      </w:r>
      <w:r w:rsidR="00270210">
        <w:t xml:space="preserve"> </w:t>
      </w:r>
      <w:r w:rsidR="00270210" w:rsidRPr="00270210">
        <w:t>tiešā tuvumā nav izveidota gājēju pāreja, kas šķērsotu Rīgas gatvi.</w:t>
      </w:r>
      <w:r>
        <w:t xml:space="preserve"> </w:t>
      </w:r>
      <w:r w:rsidR="00887F91">
        <w:t>Vērtējot</w:t>
      </w:r>
      <w:r w:rsidR="00C27366">
        <w:t xml:space="preserve"> domes norādīt</w:t>
      </w:r>
      <w:r w:rsidR="00887F91">
        <w:t>o</w:t>
      </w:r>
      <w:r w:rsidR="00C27366">
        <w:t xml:space="preserve">, ka </w:t>
      </w:r>
      <w:r w:rsidR="00270210" w:rsidRPr="00270210">
        <w:t>Rīgas gatve ir viena no noslogotākajām ielām Ādažu</w:t>
      </w:r>
      <w:r w:rsidR="00270210">
        <w:t xml:space="preserve"> </w:t>
      </w:r>
      <w:r w:rsidR="00270210" w:rsidRPr="00270210">
        <w:t xml:space="preserve">centrā un tajā ir liela gājēju un autosatiksmes intensitāte, </w:t>
      </w:r>
      <w:r w:rsidR="00C27366">
        <w:t xml:space="preserve">tiesa konstatēja, ka spēļu zāles </w:t>
      </w:r>
      <w:r w:rsidR="00C27366" w:rsidRPr="00270210">
        <w:t>tiešā</w:t>
      </w:r>
      <w:r w:rsidR="00C27366">
        <w:t xml:space="preserve"> </w:t>
      </w:r>
      <w:r w:rsidR="00C27366" w:rsidRPr="00270210">
        <w:t>tuvumā nav sabiedrībai nozīmīgu objektu un pati zāle atrodas salīdzinoši nomaļus no cilvēku bieži</w:t>
      </w:r>
      <w:r w:rsidR="00C27366">
        <w:t xml:space="preserve"> </w:t>
      </w:r>
      <w:r w:rsidR="00C27366" w:rsidRPr="00270210">
        <w:t>apmeklētām vietām.</w:t>
      </w:r>
      <w:r w:rsidR="00C27366">
        <w:t xml:space="preserve"> </w:t>
      </w:r>
      <w:r w:rsidR="00604FA7">
        <w:t>Savukārt i</w:t>
      </w:r>
      <w:r w:rsidR="00604FA7" w:rsidRPr="00270210">
        <w:t>elu tīkls Ādažos nodrošina alternatīvu pārvietošanos uz pilsētā svarīgiem objektiem,</w:t>
      </w:r>
      <w:r w:rsidR="00604FA7">
        <w:t xml:space="preserve"> </w:t>
      </w:r>
      <w:r w:rsidR="00604FA7" w:rsidRPr="00270210">
        <w:t xml:space="preserve">nepārvietojoties tieši garām </w:t>
      </w:r>
      <w:r w:rsidR="00604FA7">
        <w:t>s</w:t>
      </w:r>
      <w:r w:rsidR="00604FA7" w:rsidRPr="00270210">
        <w:t>pēļu zālei.</w:t>
      </w:r>
      <w:r w:rsidR="00604FA7">
        <w:t xml:space="preserve"> </w:t>
      </w:r>
      <w:r w:rsidR="008F516E">
        <w:t>T</w:t>
      </w:r>
      <w:r w:rsidR="00604FA7">
        <w:t xml:space="preserve">iesa secināja, ka </w:t>
      </w:r>
      <w:r w:rsidR="0089036D">
        <w:t>tie objekti, kas atrodas spēļu zāles salīdzinošā tuvumā (piemēram, sabiedriskā transporta pietura, aptieka, zvērināt</w:t>
      </w:r>
      <w:r w:rsidR="00B5481A">
        <w:t>a</w:t>
      </w:r>
      <w:r w:rsidR="0089036D">
        <w:t xml:space="preserve"> notār</w:t>
      </w:r>
      <w:r w:rsidR="00B5481A">
        <w:t>a birojs</w:t>
      </w:r>
      <w:r w:rsidR="0089036D">
        <w:t>)</w:t>
      </w:r>
      <w:r w:rsidR="00217D92">
        <w:t>,</w:t>
      </w:r>
      <w:r w:rsidR="0089036D">
        <w:t xml:space="preserve"> atrodas 400 un vairāk metru attālumā</w:t>
      </w:r>
      <w:r w:rsidR="00217D92">
        <w:t>. Š</w:t>
      </w:r>
      <w:r w:rsidR="0089036D">
        <w:t xml:space="preserve">āds attālums, apgabaltiesas ieskatā, ir pietiekami liels, lai </w:t>
      </w:r>
      <w:r w:rsidR="00C27366" w:rsidRPr="00270210">
        <w:t>atzītu, ka personas</w:t>
      </w:r>
      <w:r w:rsidR="00C27366">
        <w:t xml:space="preserve"> </w:t>
      </w:r>
      <w:r w:rsidR="00C27366" w:rsidRPr="00270210">
        <w:t>konkrēto vietu apmeklē apzināti, nevis nokļūst tajā neviļus, meklējot vai apmeklējot citu objektu.</w:t>
      </w:r>
      <w:r w:rsidR="00C27366">
        <w:t xml:space="preserve"> </w:t>
      </w:r>
      <w:r w:rsidR="0089036D">
        <w:t>Attiecībā uz domes norādīto, ka 500</w:t>
      </w:r>
      <w:r w:rsidR="00887F91">
        <w:t> </w:t>
      </w:r>
      <w:r w:rsidR="0089036D">
        <w:t xml:space="preserve">metru attālumā no spēļu zāles atrodas izglītības iestādes, apgabaltiesa secināja, ka Ādažu ielu tīkla izvietojuma dēļ </w:t>
      </w:r>
      <w:r w:rsidR="0089036D" w:rsidRPr="00270210">
        <w:t>kājāmgājējam un</w:t>
      </w:r>
      <w:r w:rsidR="0089036D">
        <w:t xml:space="preserve"> </w:t>
      </w:r>
      <w:r w:rsidR="0089036D" w:rsidRPr="00270210">
        <w:t>automašīnai</w:t>
      </w:r>
      <w:r w:rsidR="0089036D" w:rsidRPr="0089036D">
        <w:t xml:space="preserve"> </w:t>
      </w:r>
      <w:r w:rsidR="0089036D" w:rsidRPr="00270210">
        <w:t>faktiski jāpārvar apmēram 900</w:t>
      </w:r>
      <w:r w:rsidR="00887F91">
        <w:t> </w:t>
      </w:r>
      <w:r w:rsidR="0089036D" w:rsidRPr="00270210">
        <w:t>m</w:t>
      </w:r>
      <w:r w:rsidR="0089036D">
        <w:t>etru attālum</w:t>
      </w:r>
      <w:r w:rsidR="00D32116">
        <w:t>s</w:t>
      </w:r>
      <w:r w:rsidR="0089036D">
        <w:t>, lai nokļūtu spēļu zālē</w:t>
      </w:r>
      <w:r w:rsidR="00217D92">
        <w:t>.</w:t>
      </w:r>
      <w:r w:rsidR="0089036D">
        <w:t xml:space="preserve"> </w:t>
      </w:r>
      <w:r w:rsidR="00217D92">
        <w:t>T</w:t>
      </w:r>
      <w:r w:rsidR="0089036D">
        <w:t xml:space="preserve">āpēc izslēdzama iespēja, ka </w:t>
      </w:r>
      <w:r w:rsidR="0089036D" w:rsidRPr="00270210">
        <w:t xml:space="preserve">persona no kādas Ādažu izglītības iestādes varētu </w:t>
      </w:r>
      <w:r w:rsidR="0089036D">
        <w:t>s</w:t>
      </w:r>
      <w:r w:rsidR="0089036D" w:rsidRPr="00270210">
        <w:t>pēļu zālē nokļūt</w:t>
      </w:r>
      <w:r w:rsidR="0089036D">
        <w:t xml:space="preserve"> </w:t>
      </w:r>
      <w:r w:rsidR="0089036D" w:rsidRPr="00270210">
        <w:t>nejauši.</w:t>
      </w:r>
    </w:p>
    <w:p w14:paraId="6B77E948" w14:textId="77777777" w:rsidR="00C27366" w:rsidRDefault="00C27366" w:rsidP="00D44348">
      <w:pPr>
        <w:shd w:val="clear" w:color="auto" w:fill="FFFFFF"/>
        <w:spacing w:line="276" w:lineRule="auto"/>
        <w:ind w:firstLine="720"/>
        <w:jc w:val="both"/>
      </w:pPr>
    </w:p>
    <w:p w14:paraId="07138768" w14:textId="3CA75143" w:rsidR="00A86EC5" w:rsidRDefault="00C27366" w:rsidP="00D44348">
      <w:pPr>
        <w:shd w:val="clear" w:color="auto" w:fill="FFFFFF"/>
        <w:spacing w:line="276" w:lineRule="auto"/>
        <w:ind w:firstLine="720"/>
        <w:jc w:val="both"/>
      </w:pPr>
      <w:r>
        <w:t>[1</w:t>
      </w:r>
      <w:r w:rsidR="00887F91">
        <w:t>4</w:t>
      </w:r>
      <w:r>
        <w:t>]</w:t>
      </w:r>
      <w:r w:rsidR="00887F91">
        <w:t> </w:t>
      </w:r>
      <w:r w:rsidR="008F516E">
        <w:t>D</w:t>
      </w:r>
      <w:r w:rsidR="004C125C">
        <w:t>ome kasācijas sūdzībā norāda uz apgabaltiesas kļūdainiem secinājumiem, ka spēļu zāles tuvumā nav gājēju pārejas, jo 90 un 100</w:t>
      </w:r>
      <w:r w:rsidR="00887F91">
        <w:t> </w:t>
      </w:r>
      <w:r w:rsidR="004C125C">
        <w:t xml:space="preserve">metru attālumā no spēļu zāles </w:t>
      </w:r>
      <w:r w:rsidR="00215071">
        <w:t>esot</w:t>
      </w:r>
      <w:r w:rsidR="004C125C">
        <w:t xml:space="preserve"> divas gājēju pārejas. </w:t>
      </w:r>
      <w:r w:rsidR="00270210">
        <w:t xml:space="preserve">Senāts piekrīt domei tiktāl, ka no lietotnes </w:t>
      </w:r>
      <w:r w:rsidR="00270210" w:rsidRPr="00270210">
        <w:rPr>
          <w:i/>
          <w:iCs/>
        </w:rPr>
        <w:t xml:space="preserve">Google </w:t>
      </w:r>
      <w:r w:rsidR="008F516E">
        <w:rPr>
          <w:i/>
          <w:iCs/>
        </w:rPr>
        <w:t>M</w:t>
      </w:r>
      <w:r w:rsidR="00270210" w:rsidRPr="00270210">
        <w:rPr>
          <w:i/>
          <w:iCs/>
        </w:rPr>
        <w:t>aps</w:t>
      </w:r>
      <w:r w:rsidR="00270210">
        <w:t xml:space="preserve"> patiesi ir konstatējams, ka spēļu zāles tuvumā atrodas divas gājēju pārejas</w:t>
      </w:r>
      <w:r w:rsidR="00C168C8">
        <w:t>, kas šķērso Rīgas gatvi</w:t>
      </w:r>
      <w:r w:rsidR="00270210">
        <w:t xml:space="preserve">. </w:t>
      </w:r>
      <w:r w:rsidR="004C125C">
        <w:t xml:space="preserve">Tomēr dome kasācijas sūdzībā nav paskaidrojusi, kāpēc minētais </w:t>
      </w:r>
      <w:r w:rsidR="00D32116">
        <w:t>ļautu</w:t>
      </w:r>
      <w:r w:rsidR="004C125C">
        <w:t xml:space="preserve"> nonākt pie atšķirīgiem secinājumiem par pārsūdzētā lēmuma tiesiskumu, tostarp </w:t>
      </w:r>
      <w:r w:rsidR="00D32116">
        <w:t xml:space="preserve">ietekmētu </w:t>
      </w:r>
      <w:r w:rsidR="004C125C">
        <w:t>tiesas secināto, ka spēļu zāle atrodas salīdzinoši nomaļus no iedzīvotāju bieži apmeklētām vietām. Pats par sevi apstāklis, ka satiksme un gājēju pārvietošanās tiek organizēta ar gājēju pārejām (</w:t>
      </w:r>
      <w:r w:rsidR="004C125C" w:rsidRPr="00B5481A">
        <w:t>kas turklāt neved tieši uz spēļu zāli, jo spēļu zāle nav izvietota pie ceļa, bet ceļa malā</w:t>
      </w:r>
      <w:r w:rsidR="00907706" w:rsidRPr="00B5481A">
        <w:t xml:space="preserve"> </w:t>
      </w:r>
      <w:r w:rsidR="004C125C" w:rsidRPr="00B5481A">
        <w:t>stāvlaukuma nostūrī</w:t>
      </w:r>
      <w:r w:rsidR="004C125C">
        <w:t>), nenorāda uz tādiem apstākļiem, kuros spēļu zāles novietojums provocētu personas doties to aplūkot.</w:t>
      </w:r>
      <w:r w:rsidR="00215071">
        <w:t xml:space="preserve"> </w:t>
      </w:r>
      <w:r w:rsidR="00A86EC5">
        <w:t>Vienīgie kasācijas sūdzības iebildumi par apgabaltiesas secinājumiem saistībā ar spēļu zāles novietojum</w:t>
      </w:r>
      <w:r w:rsidR="00D32116">
        <w:t>a ietekmi</w:t>
      </w:r>
      <w:r w:rsidR="00A86EC5">
        <w:t xml:space="preserve"> ir tie, ka spēļu zāles tuvumā </w:t>
      </w:r>
      <w:r w:rsidR="00215071">
        <w:t>(150</w:t>
      </w:r>
      <w:r w:rsidR="00887F91">
        <w:t> </w:t>
      </w:r>
      <w:r w:rsidR="00215071">
        <w:t xml:space="preserve">metru attālumā) </w:t>
      </w:r>
      <w:r w:rsidR="00A86EC5">
        <w:t xml:space="preserve">atrodas </w:t>
      </w:r>
      <w:r w:rsidR="00215071">
        <w:t>privāt</w:t>
      </w:r>
      <w:r w:rsidR="00A86EC5">
        <w:t>māja, bet pāri ceļam (aptuveni 400</w:t>
      </w:r>
      <w:r w:rsidR="00887F91">
        <w:t> </w:t>
      </w:r>
      <w:r w:rsidR="00A86EC5">
        <w:t>metru attālumā) daudzdzīvokļu dzīvojamās mājas.</w:t>
      </w:r>
      <w:r w:rsidR="00215071">
        <w:t xml:space="preserve"> </w:t>
      </w:r>
      <w:r w:rsidR="00A86EC5">
        <w:t>Tomēr, kā jau tiesa spriedumā akcentēja, 400</w:t>
      </w:r>
      <w:r w:rsidR="00887F91">
        <w:t> </w:t>
      </w:r>
      <w:r w:rsidR="00A86EC5">
        <w:t>metru attālums kopumā vērtējams kā pietiekami liels, lai atzītu, ka personas konkrēto vietu apmeklē apzināti, nevis nokļūst tajā neviļus, meklējot vai apmeklējot citu objektu. Arī vienas privātmājas atrašanās spēļu zāles tuvumā nenorāda uz tādiem izņēmuma apstākļiem, kuros teritorijā, kurā konkrētā veida komercdarbību pati pašvaldība kopumā ir atļāvusi, azartspēļu organizēšana būtu ierobežojama.</w:t>
      </w:r>
    </w:p>
    <w:p w14:paraId="4EB2E9C2" w14:textId="6D7EB29B" w:rsidR="00135F63" w:rsidRDefault="00E37454" w:rsidP="00D44348">
      <w:pPr>
        <w:shd w:val="clear" w:color="auto" w:fill="FFFFFF"/>
        <w:spacing w:line="276" w:lineRule="auto"/>
        <w:ind w:firstLine="720"/>
        <w:jc w:val="both"/>
      </w:pPr>
      <w:r>
        <w:t xml:space="preserve">Saistībā ar minēto Senāts </w:t>
      </w:r>
      <w:r w:rsidR="00752A83">
        <w:t>paskaidro</w:t>
      </w:r>
      <w:r w:rsidR="00EA67BB">
        <w:t xml:space="preserve">: </w:t>
      </w:r>
      <w:r w:rsidRPr="00DF44D1">
        <w:t>ņemot vērā pilsētas kā apdzīvotas vietas specifiku un plānojumu, ir iespējams, ka it visur samērā netālu atradīsies skolas, veikali, pasts, banka vai kāda cita iestāde, kas attiecīgi rada gājēju plūsmu. Šādā kontekstā pašvaldības paustie apsvērumi par dažādu iestāžu atrašanos netālu no spēļu zāles vietas var tikt novērtēti kā pārlieku vispārīgi (</w:t>
      </w:r>
      <w:r w:rsidRPr="00DF44D1">
        <w:rPr>
          <w:i/>
          <w:iCs/>
        </w:rPr>
        <w:t>Senāta 2020.gada 21.aprīļa rīcības sēdes lēmuma lietā Nr. SKA-145/2020, ECLI:LV:AT:2020:0421.A420271516.4.L, 7.punkts</w:t>
      </w:r>
      <w:r w:rsidRPr="00DF44D1">
        <w:t>).</w:t>
      </w:r>
      <w:r w:rsidR="00D32116">
        <w:t xml:space="preserve"> </w:t>
      </w:r>
      <w:r w:rsidRPr="00DF44D1">
        <w:t xml:space="preserve">Tāpēc </w:t>
      </w:r>
      <w:r w:rsidR="002B5C4E">
        <w:t xml:space="preserve">azartspēļu organizēšanu ierobežojošā lēmuma </w:t>
      </w:r>
      <w:r w:rsidRPr="00DF44D1">
        <w:t xml:space="preserve">pamatojumam, ja </w:t>
      </w:r>
      <w:r w:rsidR="002B5C4E">
        <w:t xml:space="preserve">šī komercdarbība </w:t>
      </w:r>
      <w:r w:rsidRPr="00DF44D1">
        <w:t>konkrētajā teritorijā</w:t>
      </w:r>
      <w:r w:rsidR="002B5C4E">
        <w:t xml:space="preserve"> kopumā</w:t>
      </w:r>
      <w:r w:rsidRPr="00DF44D1">
        <w:t xml:space="preserve"> ir pieļaujama atbilstoši teritorijas plānošanas dokumentiem un pašvaldības saistošajiem noteikumiem, ir jāietver tādus apsvērumus, kuru dēļ konkrētā vieta ir atšķirīga no citām vietām pilsēt</w:t>
      </w:r>
      <w:r w:rsidR="002B5C4E">
        <w:t>vidē</w:t>
      </w:r>
      <w:r w:rsidRPr="00DF44D1">
        <w:t xml:space="preserve"> (sal. </w:t>
      </w:r>
      <w:r w:rsidRPr="00DF44D1">
        <w:rPr>
          <w:i/>
        </w:rPr>
        <w:t>Senāta 2010.gada 18.jūnija sprieduma lietā Nr. </w:t>
      </w:r>
      <w:hyperlink r:id="rId28" w:history="1">
        <w:r w:rsidRPr="00ED5EFA">
          <w:rPr>
            <w:rStyle w:val="Hyperlink"/>
            <w:i/>
          </w:rPr>
          <w:t>SKA</w:t>
        </w:r>
        <w:r w:rsidR="007860D6">
          <w:rPr>
            <w:rStyle w:val="Hyperlink"/>
            <w:i/>
          </w:rPr>
          <w:noBreakHyphen/>
        </w:r>
        <w:r w:rsidRPr="00ED5EFA">
          <w:rPr>
            <w:rStyle w:val="Hyperlink"/>
            <w:i/>
          </w:rPr>
          <w:t>289/2010</w:t>
        </w:r>
      </w:hyperlink>
      <w:r w:rsidRPr="00DF44D1">
        <w:rPr>
          <w:i/>
        </w:rPr>
        <w:t>,</w:t>
      </w:r>
      <w:r w:rsidRPr="00DF44D1">
        <w:t xml:space="preserve"> </w:t>
      </w:r>
      <w:r w:rsidRPr="00ED5EFA">
        <w:rPr>
          <w:i/>
          <w:iCs/>
        </w:rPr>
        <w:t>A42545506</w:t>
      </w:r>
      <w:r w:rsidR="002B5C4E">
        <w:t xml:space="preserve">, </w:t>
      </w:r>
      <w:r w:rsidR="00ED5EFA">
        <w:rPr>
          <w:i/>
        </w:rPr>
        <w:t>10</w:t>
      </w:r>
      <w:r w:rsidR="00ED5EFA" w:rsidRPr="00DF44D1">
        <w:rPr>
          <w:i/>
        </w:rPr>
        <w:t>.punkt</w:t>
      </w:r>
      <w:r w:rsidR="007860D6">
        <w:rPr>
          <w:i/>
        </w:rPr>
        <w:t>s</w:t>
      </w:r>
      <w:r w:rsidR="00ED5EFA">
        <w:rPr>
          <w:rFonts w:eastAsia="Calibri"/>
          <w:i/>
          <w:iCs/>
          <w:lang w:eastAsia="en-US"/>
          <w14:ligatures w14:val="standardContextual"/>
        </w:rPr>
        <w:t xml:space="preserve">, </w:t>
      </w:r>
      <w:r w:rsidR="002B5C4E" w:rsidRPr="002B5C4E">
        <w:rPr>
          <w:rFonts w:eastAsia="Calibri"/>
          <w:i/>
          <w:iCs/>
          <w:lang w:eastAsia="en-US"/>
          <w14:ligatures w14:val="standardContextual"/>
        </w:rPr>
        <w:t xml:space="preserve">Senāta 2012.gada 25.jūnija sprieduma lietā </w:t>
      </w:r>
      <w:r w:rsidR="002B5C4E" w:rsidRPr="00ED5EFA">
        <w:rPr>
          <w:rFonts w:eastAsia="Calibri"/>
          <w:i/>
          <w:iCs/>
          <w:lang w:eastAsia="en-US"/>
          <w14:ligatures w14:val="standardContextual"/>
        </w:rPr>
        <w:t>Nr.</w:t>
      </w:r>
      <w:r w:rsidR="007E6981">
        <w:rPr>
          <w:rFonts w:eastAsia="Calibri"/>
          <w:i/>
          <w:iCs/>
          <w:lang w:eastAsia="en-US"/>
          <w14:ligatures w14:val="standardContextual"/>
        </w:rPr>
        <w:t> </w:t>
      </w:r>
      <w:hyperlink r:id="rId29" w:history="1">
        <w:r w:rsidR="002B5C4E" w:rsidRPr="00ED5EFA">
          <w:rPr>
            <w:rStyle w:val="Hyperlink"/>
            <w:rFonts w:eastAsia="Calibri"/>
            <w:i/>
            <w:iCs/>
            <w:lang w:eastAsia="en-US"/>
            <w14:ligatures w14:val="standardContextual"/>
          </w:rPr>
          <w:t>SKA-185/2012</w:t>
        </w:r>
      </w:hyperlink>
      <w:r w:rsidR="002B5C4E" w:rsidRPr="002B5C4E">
        <w:rPr>
          <w:rFonts w:eastAsia="Calibri"/>
          <w:i/>
          <w:iCs/>
          <w:lang w:eastAsia="en-US"/>
          <w14:ligatures w14:val="standardContextual"/>
        </w:rPr>
        <w:t xml:space="preserve">, </w:t>
      </w:r>
      <w:r w:rsidR="002B5C4E" w:rsidRPr="00ED5EFA">
        <w:rPr>
          <w:rFonts w:eastAsia="Calibri"/>
          <w:i/>
          <w:iCs/>
          <w:lang w:eastAsia="en-US"/>
          <w14:ligatures w14:val="standardContextual"/>
        </w:rPr>
        <w:t>A42778909</w:t>
      </w:r>
      <w:r w:rsidR="002B5C4E" w:rsidRPr="002B5C4E">
        <w:rPr>
          <w:rFonts w:eastAsia="Calibri"/>
          <w:i/>
          <w:iCs/>
          <w:lang w:eastAsia="en-US"/>
          <w14:ligatures w14:val="standardContextual"/>
        </w:rPr>
        <w:t>, 1</w:t>
      </w:r>
      <w:r w:rsidR="002B5C4E">
        <w:rPr>
          <w:rFonts w:eastAsia="Calibri"/>
          <w:i/>
          <w:iCs/>
          <w:lang w:eastAsia="en-US"/>
          <w14:ligatures w14:val="standardContextual"/>
        </w:rPr>
        <w:t>0</w:t>
      </w:r>
      <w:r w:rsidR="002B5C4E" w:rsidRPr="002B5C4E">
        <w:rPr>
          <w:rFonts w:eastAsia="Calibri"/>
          <w:i/>
          <w:iCs/>
          <w:lang w:eastAsia="en-US"/>
          <w14:ligatures w14:val="standardContextual"/>
        </w:rPr>
        <w:t>.punkts</w:t>
      </w:r>
      <w:r w:rsidRPr="005E61CE">
        <w:t xml:space="preserve">). </w:t>
      </w:r>
      <w:r w:rsidR="00B5481A" w:rsidRPr="005E61CE">
        <w:t xml:space="preserve">No apgabaltiesas izvērtējuma ir secināms, ka apgabaltiesa būtībā ir atzinusi par nepieļaujamu </w:t>
      </w:r>
      <w:r w:rsidRPr="005E61CE">
        <w:t xml:space="preserve">tādu </w:t>
      </w:r>
      <w:r w:rsidR="00135F63" w:rsidRPr="005E61CE">
        <w:t>pamatojumu, ar kādu varētu ierobežot azartspēļu organizēšanu jebkur pilsētā</w:t>
      </w:r>
      <w:r w:rsidRPr="005E61CE">
        <w:t xml:space="preserve">. </w:t>
      </w:r>
      <w:r w:rsidR="00887F91" w:rsidRPr="005E61CE">
        <w:t>T</w:t>
      </w:r>
      <w:r w:rsidR="00135F63" w:rsidRPr="005E61CE">
        <w:t>as</w:t>
      </w:r>
      <w:r w:rsidR="00887F91" w:rsidRPr="005E61CE">
        <w:t xml:space="preserve"> savukārt</w:t>
      </w:r>
      <w:r w:rsidR="00135F63" w:rsidRPr="005E61CE">
        <w:t xml:space="preserve"> </w:t>
      </w:r>
      <w:r w:rsidR="00135F63">
        <w:t>neatbilst Azartspēļu un izložu likuma 42.panta sestās daļas mērķim.</w:t>
      </w:r>
    </w:p>
    <w:p w14:paraId="4DDBA9E9" w14:textId="77777777" w:rsidR="003F199F" w:rsidRDefault="003F199F" w:rsidP="00D44348">
      <w:pPr>
        <w:shd w:val="clear" w:color="auto" w:fill="FFFFFF"/>
        <w:spacing w:line="276" w:lineRule="auto"/>
        <w:ind w:firstLine="720"/>
        <w:jc w:val="both"/>
      </w:pPr>
    </w:p>
    <w:p w14:paraId="49B7CE3A" w14:textId="7359D3F1" w:rsidR="003F199F" w:rsidRDefault="003F199F" w:rsidP="00D44348">
      <w:pPr>
        <w:shd w:val="clear" w:color="auto" w:fill="FFFFFF"/>
        <w:spacing w:line="276" w:lineRule="auto"/>
        <w:ind w:firstLine="720"/>
        <w:jc w:val="both"/>
      </w:pPr>
      <w:r>
        <w:t>[1</w:t>
      </w:r>
      <w:r w:rsidR="00887F91">
        <w:t>5</w:t>
      </w:r>
      <w:r>
        <w:t>]</w:t>
      </w:r>
      <w:r w:rsidR="00887F91">
        <w:t> </w:t>
      </w:r>
      <w:r w:rsidR="00EF11A4" w:rsidRPr="00EF11A4">
        <w:t>Apkopojot minēto, Senāts atzīst, ka kasācijas sūdzības argumenti nav pamats apgabaltiesas sprieduma atcelšanai.</w:t>
      </w:r>
    </w:p>
    <w:p w14:paraId="532DE3B6" w14:textId="77777777" w:rsidR="00411CD0" w:rsidRDefault="00411CD0" w:rsidP="00D44348">
      <w:pPr>
        <w:shd w:val="clear" w:color="auto" w:fill="FFFFFF"/>
        <w:spacing w:line="276" w:lineRule="auto"/>
        <w:jc w:val="both"/>
      </w:pPr>
    </w:p>
    <w:p w14:paraId="2285B0BC" w14:textId="77777777" w:rsidR="00447EE6" w:rsidRDefault="00447EE6" w:rsidP="00D44348">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D44348">
      <w:pPr>
        <w:shd w:val="clear" w:color="auto" w:fill="FFFFFF"/>
        <w:spacing w:line="276" w:lineRule="auto"/>
        <w:jc w:val="center"/>
        <w:rPr>
          <w:b/>
        </w:rPr>
      </w:pPr>
    </w:p>
    <w:p w14:paraId="29943EA0" w14:textId="224E4F50" w:rsidR="00447EE6" w:rsidRDefault="00447EE6" w:rsidP="00D44348">
      <w:pPr>
        <w:shd w:val="clear" w:color="auto" w:fill="FFFFFF"/>
        <w:spacing w:line="276" w:lineRule="auto"/>
        <w:ind w:firstLine="720"/>
        <w:jc w:val="both"/>
      </w:pPr>
      <w:r w:rsidRPr="00FE1F13">
        <w:t xml:space="preserve">Pamatojoties uz </w:t>
      </w:r>
      <w:r w:rsidR="000A65CA" w:rsidRPr="00FE1F13">
        <w:rPr>
          <w:rFonts w:eastAsiaTheme="minorHAnsi"/>
          <w:lang w:eastAsia="en-US"/>
        </w:rPr>
        <w:t xml:space="preserve">Administratīvā procesa likuma 348.panta pirmās daļas </w:t>
      </w:r>
      <w:r w:rsidR="008E38AE">
        <w:rPr>
          <w:rFonts w:eastAsiaTheme="minorHAnsi"/>
          <w:lang w:eastAsia="en-US"/>
        </w:rPr>
        <w:t>1</w:t>
      </w:r>
      <w:r w:rsidR="000A65CA" w:rsidRPr="00FE1F13">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D44348">
      <w:pPr>
        <w:shd w:val="clear" w:color="auto" w:fill="FFFFFF"/>
        <w:spacing w:line="276" w:lineRule="auto"/>
        <w:ind w:firstLine="720"/>
        <w:jc w:val="both"/>
      </w:pPr>
    </w:p>
    <w:p w14:paraId="48656686" w14:textId="77777777" w:rsidR="00447EE6" w:rsidRDefault="00411CD0" w:rsidP="00D44348">
      <w:pPr>
        <w:shd w:val="clear" w:color="auto" w:fill="FFFFFF"/>
        <w:spacing w:line="276" w:lineRule="auto"/>
        <w:jc w:val="center"/>
        <w:rPr>
          <w:b/>
        </w:rPr>
      </w:pPr>
      <w:r>
        <w:rPr>
          <w:b/>
        </w:rPr>
        <w:t>n</w:t>
      </w:r>
      <w:r w:rsidR="00447EE6" w:rsidRPr="00A53E41">
        <w:rPr>
          <w:b/>
        </w:rPr>
        <w:t>osprieda</w:t>
      </w:r>
    </w:p>
    <w:p w14:paraId="11425D71" w14:textId="77777777" w:rsidR="00BF21E2" w:rsidRDefault="00BF21E2" w:rsidP="00D44348">
      <w:pPr>
        <w:spacing w:line="276" w:lineRule="auto"/>
        <w:jc w:val="both"/>
      </w:pPr>
    </w:p>
    <w:p w14:paraId="48EE94A3" w14:textId="4E6BA772" w:rsidR="00BF21E2" w:rsidRDefault="00994DAE" w:rsidP="00D44348">
      <w:pPr>
        <w:spacing w:line="276" w:lineRule="auto"/>
        <w:ind w:firstLine="720"/>
        <w:jc w:val="both"/>
      </w:pPr>
      <w:r>
        <w:t>atstāt negro</w:t>
      </w:r>
      <w:r w:rsidRPr="007860D6">
        <w:t>zītu</w:t>
      </w:r>
      <w:r w:rsidR="00BF21E2" w:rsidRPr="007860D6">
        <w:t xml:space="preserve"> </w:t>
      </w:r>
      <w:r w:rsidR="00FE1F13" w:rsidRPr="007860D6">
        <w:t xml:space="preserve">Administratīvās apgabaltiesas 2024.gada </w:t>
      </w:r>
      <w:r w:rsidRPr="007860D6">
        <w:t>3</w:t>
      </w:r>
      <w:r w:rsidR="00FE1F13" w:rsidRPr="007860D6">
        <w:t>.aprīļa spriedumu</w:t>
      </w:r>
      <w:r w:rsidRPr="007860D6">
        <w:t xml:space="preserve">, bet Ādažu novada </w:t>
      </w:r>
      <w:r w:rsidR="007860D6" w:rsidRPr="007860D6">
        <w:t xml:space="preserve">pašvaldības </w:t>
      </w:r>
      <w:r w:rsidRPr="007860D6">
        <w:t>domes</w:t>
      </w:r>
      <w:r>
        <w:t xml:space="preserve"> kasācijas sūdzību noraidīt. </w:t>
      </w:r>
    </w:p>
    <w:p w14:paraId="03C91A6B" w14:textId="77777777" w:rsidR="007F57CA" w:rsidRPr="0082381C" w:rsidRDefault="007F57CA" w:rsidP="00D44348">
      <w:pPr>
        <w:spacing w:line="276" w:lineRule="auto"/>
        <w:ind w:firstLine="720"/>
        <w:jc w:val="both"/>
      </w:pPr>
    </w:p>
    <w:p w14:paraId="0D7D76F3" w14:textId="1D01A17C" w:rsidR="00B54F4B" w:rsidRDefault="00BF21E2" w:rsidP="00D44348">
      <w:pPr>
        <w:spacing w:line="276" w:lineRule="auto"/>
        <w:ind w:firstLine="720"/>
        <w:jc w:val="both"/>
      </w:pPr>
      <w:r w:rsidRPr="0082381C">
        <w:t xml:space="preserve">Spriedums </w:t>
      </w:r>
      <w:r w:rsidRPr="001F40A0">
        <w:t>nav pārsūdzams.</w:t>
      </w:r>
    </w:p>
    <w:sectPr w:rsidR="00B54F4B" w:rsidSect="00D25D87">
      <w:footerReference w:type="default" r:id="rId3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FF7CF" w14:textId="77777777" w:rsidR="005B6A0D" w:rsidRDefault="005B6A0D" w:rsidP="009F7ACE">
      <w:r>
        <w:separator/>
      </w:r>
    </w:p>
  </w:endnote>
  <w:endnote w:type="continuationSeparator" w:id="0">
    <w:p w14:paraId="233AC1F1" w14:textId="77777777" w:rsidR="005B6A0D" w:rsidRDefault="005B6A0D"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1B5417C7"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5B6A0D">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91E5" w14:textId="77777777" w:rsidR="005B6A0D" w:rsidRDefault="005B6A0D" w:rsidP="009F7ACE">
      <w:r>
        <w:separator/>
      </w:r>
    </w:p>
  </w:footnote>
  <w:footnote w:type="continuationSeparator" w:id="0">
    <w:p w14:paraId="7BFEA2DB" w14:textId="77777777" w:rsidR="005B6A0D" w:rsidRDefault="005B6A0D"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72E7942"/>
    <w:multiLevelType w:val="hybridMultilevel"/>
    <w:tmpl w:val="FC585B8A"/>
    <w:lvl w:ilvl="0" w:tplc="FDDC88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72F1399"/>
    <w:multiLevelType w:val="hybridMultilevel"/>
    <w:tmpl w:val="CC16F7EE"/>
    <w:lvl w:ilvl="0" w:tplc="F55A3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1022585289">
    <w:abstractNumId w:val="1"/>
  </w:num>
  <w:num w:numId="3" w16cid:durableId="1450584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6D0"/>
    <w:rsid w:val="00005E4E"/>
    <w:rsid w:val="000125C6"/>
    <w:rsid w:val="000200DF"/>
    <w:rsid w:val="000224D2"/>
    <w:rsid w:val="00022CC4"/>
    <w:rsid w:val="0002335E"/>
    <w:rsid w:val="00025528"/>
    <w:rsid w:val="00034E68"/>
    <w:rsid w:val="000364F4"/>
    <w:rsid w:val="00040139"/>
    <w:rsid w:val="00040594"/>
    <w:rsid w:val="00045729"/>
    <w:rsid w:val="00046778"/>
    <w:rsid w:val="00047CF1"/>
    <w:rsid w:val="00050025"/>
    <w:rsid w:val="00050EFE"/>
    <w:rsid w:val="000663BA"/>
    <w:rsid w:val="000675C3"/>
    <w:rsid w:val="00067FD2"/>
    <w:rsid w:val="00071F13"/>
    <w:rsid w:val="00074F14"/>
    <w:rsid w:val="00083A29"/>
    <w:rsid w:val="00086814"/>
    <w:rsid w:val="0009063E"/>
    <w:rsid w:val="000915C7"/>
    <w:rsid w:val="00093086"/>
    <w:rsid w:val="00097BEE"/>
    <w:rsid w:val="000A1388"/>
    <w:rsid w:val="000A5376"/>
    <w:rsid w:val="000A574D"/>
    <w:rsid w:val="000A5D5F"/>
    <w:rsid w:val="000A64B6"/>
    <w:rsid w:val="000A65CA"/>
    <w:rsid w:val="000B037C"/>
    <w:rsid w:val="000B06CF"/>
    <w:rsid w:val="000B09E8"/>
    <w:rsid w:val="000B1A12"/>
    <w:rsid w:val="000C39E1"/>
    <w:rsid w:val="000C6AC6"/>
    <w:rsid w:val="000C76F0"/>
    <w:rsid w:val="000D07AD"/>
    <w:rsid w:val="000D118B"/>
    <w:rsid w:val="000D251E"/>
    <w:rsid w:val="000D34E5"/>
    <w:rsid w:val="000E02D2"/>
    <w:rsid w:val="000E2358"/>
    <w:rsid w:val="000F2AD0"/>
    <w:rsid w:val="0010001D"/>
    <w:rsid w:val="00102A18"/>
    <w:rsid w:val="00105153"/>
    <w:rsid w:val="00105658"/>
    <w:rsid w:val="00106A84"/>
    <w:rsid w:val="00113DDB"/>
    <w:rsid w:val="00114529"/>
    <w:rsid w:val="00115EE5"/>
    <w:rsid w:val="0012238D"/>
    <w:rsid w:val="0012288C"/>
    <w:rsid w:val="001232D3"/>
    <w:rsid w:val="00132179"/>
    <w:rsid w:val="001343EE"/>
    <w:rsid w:val="00135F63"/>
    <w:rsid w:val="00137949"/>
    <w:rsid w:val="00137FD5"/>
    <w:rsid w:val="001517FB"/>
    <w:rsid w:val="00155212"/>
    <w:rsid w:val="00160236"/>
    <w:rsid w:val="0016708C"/>
    <w:rsid w:val="001761A4"/>
    <w:rsid w:val="0018299A"/>
    <w:rsid w:val="00182CAC"/>
    <w:rsid w:val="00182EB7"/>
    <w:rsid w:val="0018432B"/>
    <w:rsid w:val="001863B3"/>
    <w:rsid w:val="00186B4A"/>
    <w:rsid w:val="001945B5"/>
    <w:rsid w:val="00195C5D"/>
    <w:rsid w:val="001A778E"/>
    <w:rsid w:val="001B4112"/>
    <w:rsid w:val="001B493F"/>
    <w:rsid w:val="001B709B"/>
    <w:rsid w:val="001C1BD7"/>
    <w:rsid w:val="001C1C29"/>
    <w:rsid w:val="001C6447"/>
    <w:rsid w:val="001D15C4"/>
    <w:rsid w:val="001D4010"/>
    <w:rsid w:val="001D43AD"/>
    <w:rsid w:val="001D4979"/>
    <w:rsid w:val="001D63A0"/>
    <w:rsid w:val="001D68CF"/>
    <w:rsid w:val="001D6F15"/>
    <w:rsid w:val="001E0D78"/>
    <w:rsid w:val="001E1A16"/>
    <w:rsid w:val="001F016A"/>
    <w:rsid w:val="001F171D"/>
    <w:rsid w:val="001F6052"/>
    <w:rsid w:val="001F69F9"/>
    <w:rsid w:val="00201DD4"/>
    <w:rsid w:val="00203BB1"/>
    <w:rsid w:val="0021070B"/>
    <w:rsid w:val="00211498"/>
    <w:rsid w:val="00212D45"/>
    <w:rsid w:val="00215071"/>
    <w:rsid w:val="0021554E"/>
    <w:rsid w:val="00217D92"/>
    <w:rsid w:val="00220ADE"/>
    <w:rsid w:val="00222BB0"/>
    <w:rsid w:val="00223B51"/>
    <w:rsid w:val="00226A7E"/>
    <w:rsid w:val="00226DDF"/>
    <w:rsid w:val="002308A0"/>
    <w:rsid w:val="00235896"/>
    <w:rsid w:val="002416DE"/>
    <w:rsid w:val="002440BE"/>
    <w:rsid w:val="0024517C"/>
    <w:rsid w:val="002477EF"/>
    <w:rsid w:val="00251CB1"/>
    <w:rsid w:val="002528A8"/>
    <w:rsid w:val="00253569"/>
    <w:rsid w:val="0025431A"/>
    <w:rsid w:val="0026021A"/>
    <w:rsid w:val="00266BEC"/>
    <w:rsid w:val="002679A1"/>
    <w:rsid w:val="00270210"/>
    <w:rsid w:val="002721C6"/>
    <w:rsid w:val="00272E84"/>
    <w:rsid w:val="00273A50"/>
    <w:rsid w:val="0027431D"/>
    <w:rsid w:val="00275AA9"/>
    <w:rsid w:val="00285BA1"/>
    <w:rsid w:val="00290690"/>
    <w:rsid w:val="00290786"/>
    <w:rsid w:val="0029292E"/>
    <w:rsid w:val="00297917"/>
    <w:rsid w:val="002A3718"/>
    <w:rsid w:val="002B3EF4"/>
    <w:rsid w:val="002B5309"/>
    <w:rsid w:val="002B5C4E"/>
    <w:rsid w:val="002C69FB"/>
    <w:rsid w:val="002C7199"/>
    <w:rsid w:val="002C74F9"/>
    <w:rsid w:val="002D60B4"/>
    <w:rsid w:val="002E4D71"/>
    <w:rsid w:val="002E5F81"/>
    <w:rsid w:val="002E6DCF"/>
    <w:rsid w:val="002F464D"/>
    <w:rsid w:val="002F5734"/>
    <w:rsid w:val="002F64E9"/>
    <w:rsid w:val="003018A0"/>
    <w:rsid w:val="00302A36"/>
    <w:rsid w:val="00303A46"/>
    <w:rsid w:val="003040E3"/>
    <w:rsid w:val="00305CAF"/>
    <w:rsid w:val="00305F83"/>
    <w:rsid w:val="00307B8A"/>
    <w:rsid w:val="00311BEB"/>
    <w:rsid w:val="00313B90"/>
    <w:rsid w:val="003161C8"/>
    <w:rsid w:val="00316BE8"/>
    <w:rsid w:val="00317C1B"/>
    <w:rsid w:val="00320B38"/>
    <w:rsid w:val="003231E3"/>
    <w:rsid w:val="00326FA6"/>
    <w:rsid w:val="00327179"/>
    <w:rsid w:val="00327E69"/>
    <w:rsid w:val="00333D64"/>
    <w:rsid w:val="003349B4"/>
    <w:rsid w:val="00343FFB"/>
    <w:rsid w:val="00347E03"/>
    <w:rsid w:val="00351403"/>
    <w:rsid w:val="00355670"/>
    <w:rsid w:val="00356C27"/>
    <w:rsid w:val="0035786B"/>
    <w:rsid w:val="00360311"/>
    <w:rsid w:val="0036172B"/>
    <w:rsid w:val="00374AAC"/>
    <w:rsid w:val="00376102"/>
    <w:rsid w:val="00376AA5"/>
    <w:rsid w:val="00384465"/>
    <w:rsid w:val="003A0065"/>
    <w:rsid w:val="003A1E02"/>
    <w:rsid w:val="003A7045"/>
    <w:rsid w:val="003B23FD"/>
    <w:rsid w:val="003B3A67"/>
    <w:rsid w:val="003B5865"/>
    <w:rsid w:val="003B7B52"/>
    <w:rsid w:val="003B7B57"/>
    <w:rsid w:val="003C23EC"/>
    <w:rsid w:val="003C370D"/>
    <w:rsid w:val="003C57FF"/>
    <w:rsid w:val="003D6244"/>
    <w:rsid w:val="003E30D1"/>
    <w:rsid w:val="003E64D5"/>
    <w:rsid w:val="003F14A4"/>
    <w:rsid w:val="003F199F"/>
    <w:rsid w:val="0040073B"/>
    <w:rsid w:val="00401223"/>
    <w:rsid w:val="00404809"/>
    <w:rsid w:val="00406521"/>
    <w:rsid w:val="00410691"/>
    <w:rsid w:val="00411CD0"/>
    <w:rsid w:val="00416213"/>
    <w:rsid w:val="004249C3"/>
    <w:rsid w:val="004256A8"/>
    <w:rsid w:val="00426007"/>
    <w:rsid w:val="004263FF"/>
    <w:rsid w:val="00427673"/>
    <w:rsid w:val="00427A80"/>
    <w:rsid w:val="0043002C"/>
    <w:rsid w:val="004313A3"/>
    <w:rsid w:val="00431815"/>
    <w:rsid w:val="00440DBC"/>
    <w:rsid w:val="00444BB1"/>
    <w:rsid w:val="00445D3F"/>
    <w:rsid w:val="00446387"/>
    <w:rsid w:val="004465FF"/>
    <w:rsid w:val="00447EE6"/>
    <w:rsid w:val="004604FD"/>
    <w:rsid w:val="004632BC"/>
    <w:rsid w:val="004633B4"/>
    <w:rsid w:val="004635FE"/>
    <w:rsid w:val="004638B2"/>
    <w:rsid w:val="004640C5"/>
    <w:rsid w:val="004643AC"/>
    <w:rsid w:val="00472E72"/>
    <w:rsid w:val="00474F91"/>
    <w:rsid w:val="00475594"/>
    <w:rsid w:val="0047692B"/>
    <w:rsid w:val="0048189D"/>
    <w:rsid w:val="00485C0C"/>
    <w:rsid w:val="00491916"/>
    <w:rsid w:val="00491AA4"/>
    <w:rsid w:val="0049219B"/>
    <w:rsid w:val="00496F93"/>
    <w:rsid w:val="004A1DF6"/>
    <w:rsid w:val="004A2390"/>
    <w:rsid w:val="004A770E"/>
    <w:rsid w:val="004B29B9"/>
    <w:rsid w:val="004B2A94"/>
    <w:rsid w:val="004B301A"/>
    <w:rsid w:val="004B3074"/>
    <w:rsid w:val="004B52B8"/>
    <w:rsid w:val="004B6E19"/>
    <w:rsid w:val="004B7A81"/>
    <w:rsid w:val="004C024F"/>
    <w:rsid w:val="004C125C"/>
    <w:rsid w:val="004C1EE0"/>
    <w:rsid w:val="004C2843"/>
    <w:rsid w:val="004C6302"/>
    <w:rsid w:val="004D519B"/>
    <w:rsid w:val="004D51F2"/>
    <w:rsid w:val="004D568E"/>
    <w:rsid w:val="004E075E"/>
    <w:rsid w:val="004E22D1"/>
    <w:rsid w:val="004E28AF"/>
    <w:rsid w:val="004E470A"/>
    <w:rsid w:val="004E5251"/>
    <w:rsid w:val="004E5D18"/>
    <w:rsid w:val="004E70E7"/>
    <w:rsid w:val="004F25F3"/>
    <w:rsid w:val="004F4022"/>
    <w:rsid w:val="004F77FD"/>
    <w:rsid w:val="00505849"/>
    <w:rsid w:val="00506B64"/>
    <w:rsid w:val="005070EC"/>
    <w:rsid w:val="00507AD2"/>
    <w:rsid w:val="0051018D"/>
    <w:rsid w:val="005131E7"/>
    <w:rsid w:val="00514FBB"/>
    <w:rsid w:val="00515414"/>
    <w:rsid w:val="00515B86"/>
    <w:rsid w:val="00516033"/>
    <w:rsid w:val="0051741A"/>
    <w:rsid w:val="005215EE"/>
    <w:rsid w:val="005253AB"/>
    <w:rsid w:val="0053122B"/>
    <w:rsid w:val="005413B9"/>
    <w:rsid w:val="00541D36"/>
    <w:rsid w:val="005472E7"/>
    <w:rsid w:val="00547C02"/>
    <w:rsid w:val="00551575"/>
    <w:rsid w:val="0056661C"/>
    <w:rsid w:val="00570D6D"/>
    <w:rsid w:val="00573244"/>
    <w:rsid w:val="005758B8"/>
    <w:rsid w:val="00576069"/>
    <w:rsid w:val="00577449"/>
    <w:rsid w:val="00582BE6"/>
    <w:rsid w:val="00585859"/>
    <w:rsid w:val="00586489"/>
    <w:rsid w:val="00593E4C"/>
    <w:rsid w:val="00594221"/>
    <w:rsid w:val="00594565"/>
    <w:rsid w:val="005A1344"/>
    <w:rsid w:val="005A28F6"/>
    <w:rsid w:val="005A7859"/>
    <w:rsid w:val="005B2FE7"/>
    <w:rsid w:val="005B345F"/>
    <w:rsid w:val="005B427E"/>
    <w:rsid w:val="005B6A0D"/>
    <w:rsid w:val="005B6EFD"/>
    <w:rsid w:val="005C0828"/>
    <w:rsid w:val="005C12B2"/>
    <w:rsid w:val="005D71E1"/>
    <w:rsid w:val="005E2B5C"/>
    <w:rsid w:val="005E61CE"/>
    <w:rsid w:val="005F3CFD"/>
    <w:rsid w:val="005F6F27"/>
    <w:rsid w:val="006014C9"/>
    <w:rsid w:val="00602A60"/>
    <w:rsid w:val="00602CC0"/>
    <w:rsid w:val="00604FA7"/>
    <w:rsid w:val="006058A4"/>
    <w:rsid w:val="0060643B"/>
    <w:rsid w:val="00613D2A"/>
    <w:rsid w:val="006155B1"/>
    <w:rsid w:val="006215A9"/>
    <w:rsid w:val="00622838"/>
    <w:rsid w:val="00625207"/>
    <w:rsid w:val="006266C1"/>
    <w:rsid w:val="00627190"/>
    <w:rsid w:val="00630228"/>
    <w:rsid w:val="006367E9"/>
    <w:rsid w:val="00640BDD"/>
    <w:rsid w:val="006545BD"/>
    <w:rsid w:val="006565CD"/>
    <w:rsid w:val="006573FF"/>
    <w:rsid w:val="00657ADD"/>
    <w:rsid w:val="00662413"/>
    <w:rsid w:val="00662DBB"/>
    <w:rsid w:val="00663E18"/>
    <w:rsid w:val="00665375"/>
    <w:rsid w:val="00665C5D"/>
    <w:rsid w:val="006672D8"/>
    <w:rsid w:val="00670B77"/>
    <w:rsid w:val="006710EC"/>
    <w:rsid w:val="00671820"/>
    <w:rsid w:val="0067438D"/>
    <w:rsid w:val="006756E4"/>
    <w:rsid w:val="006756F2"/>
    <w:rsid w:val="00676AA9"/>
    <w:rsid w:val="0068251E"/>
    <w:rsid w:val="00683F0B"/>
    <w:rsid w:val="00686B5A"/>
    <w:rsid w:val="00694420"/>
    <w:rsid w:val="0069513E"/>
    <w:rsid w:val="0069629F"/>
    <w:rsid w:val="006A04FB"/>
    <w:rsid w:val="006A0BCE"/>
    <w:rsid w:val="006A1FA4"/>
    <w:rsid w:val="006B4011"/>
    <w:rsid w:val="006B65F2"/>
    <w:rsid w:val="006B7FFC"/>
    <w:rsid w:val="006C1035"/>
    <w:rsid w:val="006C3E4F"/>
    <w:rsid w:val="006C4C24"/>
    <w:rsid w:val="006C54D2"/>
    <w:rsid w:val="006C6AC3"/>
    <w:rsid w:val="006D2943"/>
    <w:rsid w:val="006D3489"/>
    <w:rsid w:val="006D3CCB"/>
    <w:rsid w:val="006E1AC5"/>
    <w:rsid w:val="006E4A78"/>
    <w:rsid w:val="006E7226"/>
    <w:rsid w:val="006F05D7"/>
    <w:rsid w:val="006F28AB"/>
    <w:rsid w:val="006F2E4E"/>
    <w:rsid w:val="006F4B40"/>
    <w:rsid w:val="006F7DF5"/>
    <w:rsid w:val="0070055F"/>
    <w:rsid w:val="00705147"/>
    <w:rsid w:val="00705371"/>
    <w:rsid w:val="00705E04"/>
    <w:rsid w:val="0071063A"/>
    <w:rsid w:val="00715743"/>
    <w:rsid w:val="00717D77"/>
    <w:rsid w:val="00717F04"/>
    <w:rsid w:val="007208EA"/>
    <w:rsid w:val="00725B1C"/>
    <w:rsid w:val="00726C16"/>
    <w:rsid w:val="007344F2"/>
    <w:rsid w:val="007361BF"/>
    <w:rsid w:val="00736423"/>
    <w:rsid w:val="00736611"/>
    <w:rsid w:val="00740A9A"/>
    <w:rsid w:val="00741847"/>
    <w:rsid w:val="00742AFE"/>
    <w:rsid w:val="00743F6E"/>
    <w:rsid w:val="00744FD6"/>
    <w:rsid w:val="007463B2"/>
    <w:rsid w:val="007513C7"/>
    <w:rsid w:val="00752A83"/>
    <w:rsid w:val="0075543F"/>
    <w:rsid w:val="00757125"/>
    <w:rsid w:val="0076371A"/>
    <w:rsid w:val="00765490"/>
    <w:rsid w:val="007710B5"/>
    <w:rsid w:val="007711A0"/>
    <w:rsid w:val="00771659"/>
    <w:rsid w:val="007820B4"/>
    <w:rsid w:val="00783F0E"/>
    <w:rsid w:val="007860D6"/>
    <w:rsid w:val="00786EF0"/>
    <w:rsid w:val="00791D88"/>
    <w:rsid w:val="007923E9"/>
    <w:rsid w:val="00795546"/>
    <w:rsid w:val="007A0976"/>
    <w:rsid w:val="007B1473"/>
    <w:rsid w:val="007B63B1"/>
    <w:rsid w:val="007B6450"/>
    <w:rsid w:val="007C32C8"/>
    <w:rsid w:val="007C55EF"/>
    <w:rsid w:val="007C5F4B"/>
    <w:rsid w:val="007D64AD"/>
    <w:rsid w:val="007E081C"/>
    <w:rsid w:val="007E27D9"/>
    <w:rsid w:val="007E6981"/>
    <w:rsid w:val="007F550F"/>
    <w:rsid w:val="007F57CA"/>
    <w:rsid w:val="007F6EA5"/>
    <w:rsid w:val="0080149A"/>
    <w:rsid w:val="00802B57"/>
    <w:rsid w:val="00803DCB"/>
    <w:rsid w:val="0081313B"/>
    <w:rsid w:val="00814883"/>
    <w:rsid w:val="00817658"/>
    <w:rsid w:val="00822A20"/>
    <w:rsid w:val="008242AD"/>
    <w:rsid w:val="008255F2"/>
    <w:rsid w:val="008261F9"/>
    <w:rsid w:val="00826D02"/>
    <w:rsid w:val="00827B08"/>
    <w:rsid w:val="00833A2A"/>
    <w:rsid w:val="00842279"/>
    <w:rsid w:val="008422F8"/>
    <w:rsid w:val="00842371"/>
    <w:rsid w:val="00842F1E"/>
    <w:rsid w:val="00845B86"/>
    <w:rsid w:val="00846E3C"/>
    <w:rsid w:val="00847B34"/>
    <w:rsid w:val="00851A7D"/>
    <w:rsid w:val="00851F06"/>
    <w:rsid w:val="00852BBC"/>
    <w:rsid w:val="00852EE9"/>
    <w:rsid w:val="0085400D"/>
    <w:rsid w:val="00860431"/>
    <w:rsid w:val="008663B0"/>
    <w:rsid w:val="00873575"/>
    <w:rsid w:val="00874E34"/>
    <w:rsid w:val="00877DD9"/>
    <w:rsid w:val="008807C7"/>
    <w:rsid w:val="0088352D"/>
    <w:rsid w:val="00884A39"/>
    <w:rsid w:val="008859EA"/>
    <w:rsid w:val="00887F91"/>
    <w:rsid w:val="008902D1"/>
    <w:rsid w:val="0089036D"/>
    <w:rsid w:val="00893860"/>
    <w:rsid w:val="00895676"/>
    <w:rsid w:val="008964E4"/>
    <w:rsid w:val="00897870"/>
    <w:rsid w:val="008B0E3D"/>
    <w:rsid w:val="008B48B6"/>
    <w:rsid w:val="008B57D2"/>
    <w:rsid w:val="008B7DDA"/>
    <w:rsid w:val="008C0598"/>
    <w:rsid w:val="008C3157"/>
    <w:rsid w:val="008C6352"/>
    <w:rsid w:val="008C78FC"/>
    <w:rsid w:val="008C7DF2"/>
    <w:rsid w:val="008E38AE"/>
    <w:rsid w:val="008E3AC1"/>
    <w:rsid w:val="008E3C4E"/>
    <w:rsid w:val="008E5FCB"/>
    <w:rsid w:val="008E6420"/>
    <w:rsid w:val="008F0317"/>
    <w:rsid w:val="008F2FEC"/>
    <w:rsid w:val="008F3C4D"/>
    <w:rsid w:val="008F3CC2"/>
    <w:rsid w:val="008F516E"/>
    <w:rsid w:val="008F794E"/>
    <w:rsid w:val="008F7A65"/>
    <w:rsid w:val="009009EB"/>
    <w:rsid w:val="00901A42"/>
    <w:rsid w:val="00907706"/>
    <w:rsid w:val="00910EB4"/>
    <w:rsid w:val="0091629A"/>
    <w:rsid w:val="00917A1D"/>
    <w:rsid w:val="00917B99"/>
    <w:rsid w:val="0092319F"/>
    <w:rsid w:val="00924447"/>
    <w:rsid w:val="00925FA3"/>
    <w:rsid w:val="009264C9"/>
    <w:rsid w:val="0093110D"/>
    <w:rsid w:val="009329C0"/>
    <w:rsid w:val="0094233D"/>
    <w:rsid w:val="00943FB9"/>
    <w:rsid w:val="00954844"/>
    <w:rsid w:val="00956983"/>
    <w:rsid w:val="00971B20"/>
    <w:rsid w:val="009739D3"/>
    <w:rsid w:val="009807F4"/>
    <w:rsid w:val="00981D6D"/>
    <w:rsid w:val="00985FA0"/>
    <w:rsid w:val="00987005"/>
    <w:rsid w:val="00992B83"/>
    <w:rsid w:val="009949BA"/>
    <w:rsid w:val="00994DAE"/>
    <w:rsid w:val="00994E7A"/>
    <w:rsid w:val="00997ED7"/>
    <w:rsid w:val="009A2078"/>
    <w:rsid w:val="009A3A0B"/>
    <w:rsid w:val="009A495C"/>
    <w:rsid w:val="009A4AD5"/>
    <w:rsid w:val="009A60C2"/>
    <w:rsid w:val="009A7F3E"/>
    <w:rsid w:val="009B12F1"/>
    <w:rsid w:val="009B3739"/>
    <w:rsid w:val="009C176C"/>
    <w:rsid w:val="009C3478"/>
    <w:rsid w:val="009C4A63"/>
    <w:rsid w:val="009C5437"/>
    <w:rsid w:val="009C7C8F"/>
    <w:rsid w:val="009C7DEB"/>
    <w:rsid w:val="009D1630"/>
    <w:rsid w:val="009D3F7C"/>
    <w:rsid w:val="009D65F0"/>
    <w:rsid w:val="009D6743"/>
    <w:rsid w:val="009E2BB2"/>
    <w:rsid w:val="009E458E"/>
    <w:rsid w:val="009E49E2"/>
    <w:rsid w:val="009E5428"/>
    <w:rsid w:val="009E5546"/>
    <w:rsid w:val="009E65D6"/>
    <w:rsid w:val="009E68E9"/>
    <w:rsid w:val="009F0E2E"/>
    <w:rsid w:val="009F1F70"/>
    <w:rsid w:val="009F32FE"/>
    <w:rsid w:val="009F5BD0"/>
    <w:rsid w:val="009F6B11"/>
    <w:rsid w:val="009F724D"/>
    <w:rsid w:val="009F76AA"/>
    <w:rsid w:val="009F7ACE"/>
    <w:rsid w:val="00A014F6"/>
    <w:rsid w:val="00A10A61"/>
    <w:rsid w:val="00A117BE"/>
    <w:rsid w:val="00A11873"/>
    <w:rsid w:val="00A135E8"/>
    <w:rsid w:val="00A13E0B"/>
    <w:rsid w:val="00A15B1E"/>
    <w:rsid w:val="00A22938"/>
    <w:rsid w:val="00A2369A"/>
    <w:rsid w:val="00A23C10"/>
    <w:rsid w:val="00A24531"/>
    <w:rsid w:val="00A26503"/>
    <w:rsid w:val="00A27901"/>
    <w:rsid w:val="00A339A6"/>
    <w:rsid w:val="00A34C72"/>
    <w:rsid w:val="00A35FA3"/>
    <w:rsid w:val="00A36A7C"/>
    <w:rsid w:val="00A467A3"/>
    <w:rsid w:val="00A511CF"/>
    <w:rsid w:val="00A5142D"/>
    <w:rsid w:val="00A52476"/>
    <w:rsid w:val="00A52EA3"/>
    <w:rsid w:val="00A533ED"/>
    <w:rsid w:val="00A61808"/>
    <w:rsid w:val="00A663B3"/>
    <w:rsid w:val="00A73451"/>
    <w:rsid w:val="00A76EB7"/>
    <w:rsid w:val="00A77A60"/>
    <w:rsid w:val="00A80257"/>
    <w:rsid w:val="00A829F8"/>
    <w:rsid w:val="00A83682"/>
    <w:rsid w:val="00A84686"/>
    <w:rsid w:val="00A8566A"/>
    <w:rsid w:val="00A86EC5"/>
    <w:rsid w:val="00A8706C"/>
    <w:rsid w:val="00A90F74"/>
    <w:rsid w:val="00A91B65"/>
    <w:rsid w:val="00A92685"/>
    <w:rsid w:val="00A92B95"/>
    <w:rsid w:val="00A9310E"/>
    <w:rsid w:val="00A940F1"/>
    <w:rsid w:val="00A94781"/>
    <w:rsid w:val="00A94A4B"/>
    <w:rsid w:val="00A9731C"/>
    <w:rsid w:val="00AA6CF3"/>
    <w:rsid w:val="00AB24FA"/>
    <w:rsid w:val="00AB3BDE"/>
    <w:rsid w:val="00AB3DA3"/>
    <w:rsid w:val="00AC0B1F"/>
    <w:rsid w:val="00AC10C2"/>
    <w:rsid w:val="00AC14F9"/>
    <w:rsid w:val="00AC2F66"/>
    <w:rsid w:val="00AC3D37"/>
    <w:rsid w:val="00AC5723"/>
    <w:rsid w:val="00AD0637"/>
    <w:rsid w:val="00AE0525"/>
    <w:rsid w:val="00AE444B"/>
    <w:rsid w:val="00AE4481"/>
    <w:rsid w:val="00AE7FB9"/>
    <w:rsid w:val="00AF00B8"/>
    <w:rsid w:val="00AF0419"/>
    <w:rsid w:val="00AF0B58"/>
    <w:rsid w:val="00AF1017"/>
    <w:rsid w:val="00AF37B5"/>
    <w:rsid w:val="00AF49C5"/>
    <w:rsid w:val="00AF49E6"/>
    <w:rsid w:val="00AF710E"/>
    <w:rsid w:val="00B01A05"/>
    <w:rsid w:val="00B05CBD"/>
    <w:rsid w:val="00B131D5"/>
    <w:rsid w:val="00B13601"/>
    <w:rsid w:val="00B13AAA"/>
    <w:rsid w:val="00B152DB"/>
    <w:rsid w:val="00B16E15"/>
    <w:rsid w:val="00B2193C"/>
    <w:rsid w:val="00B22202"/>
    <w:rsid w:val="00B25B5A"/>
    <w:rsid w:val="00B262F4"/>
    <w:rsid w:val="00B26734"/>
    <w:rsid w:val="00B311F9"/>
    <w:rsid w:val="00B31FCB"/>
    <w:rsid w:val="00B32B4B"/>
    <w:rsid w:val="00B338E3"/>
    <w:rsid w:val="00B34ADE"/>
    <w:rsid w:val="00B40CA6"/>
    <w:rsid w:val="00B47855"/>
    <w:rsid w:val="00B47F1D"/>
    <w:rsid w:val="00B500FE"/>
    <w:rsid w:val="00B5227D"/>
    <w:rsid w:val="00B5481A"/>
    <w:rsid w:val="00B54F4B"/>
    <w:rsid w:val="00B5582D"/>
    <w:rsid w:val="00B6140C"/>
    <w:rsid w:val="00B63048"/>
    <w:rsid w:val="00B6435D"/>
    <w:rsid w:val="00B663D5"/>
    <w:rsid w:val="00B675F4"/>
    <w:rsid w:val="00B679A4"/>
    <w:rsid w:val="00B67C28"/>
    <w:rsid w:val="00B67EE4"/>
    <w:rsid w:val="00B742BB"/>
    <w:rsid w:val="00B76EF7"/>
    <w:rsid w:val="00B81ADC"/>
    <w:rsid w:val="00B824D4"/>
    <w:rsid w:val="00B8789F"/>
    <w:rsid w:val="00B93686"/>
    <w:rsid w:val="00B956C4"/>
    <w:rsid w:val="00B95A72"/>
    <w:rsid w:val="00BA26FF"/>
    <w:rsid w:val="00BA4038"/>
    <w:rsid w:val="00BB0B57"/>
    <w:rsid w:val="00BB190F"/>
    <w:rsid w:val="00BC0DAE"/>
    <w:rsid w:val="00BC3D54"/>
    <w:rsid w:val="00BC50F0"/>
    <w:rsid w:val="00BC7F2A"/>
    <w:rsid w:val="00BD2AA3"/>
    <w:rsid w:val="00BD3155"/>
    <w:rsid w:val="00BD3407"/>
    <w:rsid w:val="00BD5138"/>
    <w:rsid w:val="00BD576C"/>
    <w:rsid w:val="00BE0DCB"/>
    <w:rsid w:val="00BE23BA"/>
    <w:rsid w:val="00BE2C24"/>
    <w:rsid w:val="00BF0947"/>
    <w:rsid w:val="00BF21E2"/>
    <w:rsid w:val="00BF2640"/>
    <w:rsid w:val="00BF69C7"/>
    <w:rsid w:val="00BF6CF1"/>
    <w:rsid w:val="00C00D7F"/>
    <w:rsid w:val="00C029BB"/>
    <w:rsid w:val="00C035C9"/>
    <w:rsid w:val="00C061E9"/>
    <w:rsid w:val="00C07AA9"/>
    <w:rsid w:val="00C168C8"/>
    <w:rsid w:val="00C170F3"/>
    <w:rsid w:val="00C2076A"/>
    <w:rsid w:val="00C25CFB"/>
    <w:rsid w:val="00C27366"/>
    <w:rsid w:val="00C309E6"/>
    <w:rsid w:val="00C30E7B"/>
    <w:rsid w:val="00C3373A"/>
    <w:rsid w:val="00C37957"/>
    <w:rsid w:val="00C427CD"/>
    <w:rsid w:val="00C451C6"/>
    <w:rsid w:val="00C5023B"/>
    <w:rsid w:val="00C53484"/>
    <w:rsid w:val="00C53CAD"/>
    <w:rsid w:val="00C5443F"/>
    <w:rsid w:val="00C54536"/>
    <w:rsid w:val="00C607A0"/>
    <w:rsid w:val="00C623DC"/>
    <w:rsid w:val="00C647F9"/>
    <w:rsid w:val="00C67945"/>
    <w:rsid w:val="00C679DC"/>
    <w:rsid w:val="00C70C6B"/>
    <w:rsid w:val="00C71E9E"/>
    <w:rsid w:val="00C808D8"/>
    <w:rsid w:val="00C92AC6"/>
    <w:rsid w:val="00C95E38"/>
    <w:rsid w:val="00CA0601"/>
    <w:rsid w:val="00CA1DF8"/>
    <w:rsid w:val="00CA40D9"/>
    <w:rsid w:val="00CA4366"/>
    <w:rsid w:val="00CB0C9C"/>
    <w:rsid w:val="00CB192B"/>
    <w:rsid w:val="00CB1CE6"/>
    <w:rsid w:val="00CB6A61"/>
    <w:rsid w:val="00CB6F03"/>
    <w:rsid w:val="00CB76C0"/>
    <w:rsid w:val="00CC3BDA"/>
    <w:rsid w:val="00CC5BD1"/>
    <w:rsid w:val="00CD048D"/>
    <w:rsid w:val="00CD2C4B"/>
    <w:rsid w:val="00CD3123"/>
    <w:rsid w:val="00CE01C3"/>
    <w:rsid w:val="00CE126D"/>
    <w:rsid w:val="00CE1925"/>
    <w:rsid w:val="00CF11A6"/>
    <w:rsid w:val="00CF1383"/>
    <w:rsid w:val="00CF1694"/>
    <w:rsid w:val="00CF1AD1"/>
    <w:rsid w:val="00D0124B"/>
    <w:rsid w:val="00D02F6A"/>
    <w:rsid w:val="00D04A17"/>
    <w:rsid w:val="00D0685E"/>
    <w:rsid w:val="00D07C1E"/>
    <w:rsid w:val="00D162FE"/>
    <w:rsid w:val="00D165A8"/>
    <w:rsid w:val="00D16FED"/>
    <w:rsid w:val="00D24DAF"/>
    <w:rsid w:val="00D25D87"/>
    <w:rsid w:val="00D307BF"/>
    <w:rsid w:val="00D32116"/>
    <w:rsid w:val="00D44348"/>
    <w:rsid w:val="00D512B1"/>
    <w:rsid w:val="00D560A9"/>
    <w:rsid w:val="00D6405D"/>
    <w:rsid w:val="00D66AD1"/>
    <w:rsid w:val="00D6781F"/>
    <w:rsid w:val="00D704C3"/>
    <w:rsid w:val="00D722FD"/>
    <w:rsid w:val="00D76784"/>
    <w:rsid w:val="00D81AB2"/>
    <w:rsid w:val="00D84977"/>
    <w:rsid w:val="00D84F98"/>
    <w:rsid w:val="00D8563B"/>
    <w:rsid w:val="00D93314"/>
    <w:rsid w:val="00D94132"/>
    <w:rsid w:val="00D94EA9"/>
    <w:rsid w:val="00D96271"/>
    <w:rsid w:val="00DA006E"/>
    <w:rsid w:val="00DA052A"/>
    <w:rsid w:val="00DA0DA3"/>
    <w:rsid w:val="00DA2382"/>
    <w:rsid w:val="00DB1B62"/>
    <w:rsid w:val="00DB1ECE"/>
    <w:rsid w:val="00DB2B6C"/>
    <w:rsid w:val="00DB60FA"/>
    <w:rsid w:val="00DC41B2"/>
    <w:rsid w:val="00DC50CA"/>
    <w:rsid w:val="00DC5D95"/>
    <w:rsid w:val="00DC67A2"/>
    <w:rsid w:val="00DD2582"/>
    <w:rsid w:val="00DD3EAF"/>
    <w:rsid w:val="00DD6D47"/>
    <w:rsid w:val="00DD73DE"/>
    <w:rsid w:val="00DF03A1"/>
    <w:rsid w:val="00DF0643"/>
    <w:rsid w:val="00DF2C44"/>
    <w:rsid w:val="00DF44D1"/>
    <w:rsid w:val="00DF4516"/>
    <w:rsid w:val="00E0141A"/>
    <w:rsid w:val="00E05513"/>
    <w:rsid w:val="00E05B28"/>
    <w:rsid w:val="00E06CDE"/>
    <w:rsid w:val="00E07277"/>
    <w:rsid w:val="00E11FD5"/>
    <w:rsid w:val="00E13675"/>
    <w:rsid w:val="00E14092"/>
    <w:rsid w:val="00E1619F"/>
    <w:rsid w:val="00E1686D"/>
    <w:rsid w:val="00E17928"/>
    <w:rsid w:val="00E20901"/>
    <w:rsid w:val="00E21B2F"/>
    <w:rsid w:val="00E27B45"/>
    <w:rsid w:val="00E32598"/>
    <w:rsid w:val="00E32917"/>
    <w:rsid w:val="00E37454"/>
    <w:rsid w:val="00E37AD7"/>
    <w:rsid w:val="00E547D6"/>
    <w:rsid w:val="00E56033"/>
    <w:rsid w:val="00E56F1A"/>
    <w:rsid w:val="00E57062"/>
    <w:rsid w:val="00E668D7"/>
    <w:rsid w:val="00E67048"/>
    <w:rsid w:val="00E700D9"/>
    <w:rsid w:val="00E70B10"/>
    <w:rsid w:val="00E72690"/>
    <w:rsid w:val="00E748DA"/>
    <w:rsid w:val="00E75718"/>
    <w:rsid w:val="00E75A12"/>
    <w:rsid w:val="00E77CC5"/>
    <w:rsid w:val="00E84319"/>
    <w:rsid w:val="00E845E7"/>
    <w:rsid w:val="00E868D5"/>
    <w:rsid w:val="00E8732E"/>
    <w:rsid w:val="00E87F38"/>
    <w:rsid w:val="00E90B9A"/>
    <w:rsid w:val="00E9460F"/>
    <w:rsid w:val="00E973A1"/>
    <w:rsid w:val="00EA2C43"/>
    <w:rsid w:val="00EA67BB"/>
    <w:rsid w:val="00EA74BF"/>
    <w:rsid w:val="00EB241D"/>
    <w:rsid w:val="00EB4846"/>
    <w:rsid w:val="00EC22D8"/>
    <w:rsid w:val="00EC39F7"/>
    <w:rsid w:val="00EC4D5E"/>
    <w:rsid w:val="00EC579E"/>
    <w:rsid w:val="00EC5ADE"/>
    <w:rsid w:val="00EC624D"/>
    <w:rsid w:val="00EC7223"/>
    <w:rsid w:val="00EC746C"/>
    <w:rsid w:val="00ED47B2"/>
    <w:rsid w:val="00ED5EFA"/>
    <w:rsid w:val="00EE246C"/>
    <w:rsid w:val="00EE610F"/>
    <w:rsid w:val="00EE70A8"/>
    <w:rsid w:val="00EF00DC"/>
    <w:rsid w:val="00EF0E30"/>
    <w:rsid w:val="00EF11A4"/>
    <w:rsid w:val="00EF1825"/>
    <w:rsid w:val="00EF24DE"/>
    <w:rsid w:val="00EF3587"/>
    <w:rsid w:val="00F03FED"/>
    <w:rsid w:val="00F05EBF"/>
    <w:rsid w:val="00F068BD"/>
    <w:rsid w:val="00F07F78"/>
    <w:rsid w:val="00F111A2"/>
    <w:rsid w:val="00F111BD"/>
    <w:rsid w:val="00F13AC7"/>
    <w:rsid w:val="00F144CE"/>
    <w:rsid w:val="00F17090"/>
    <w:rsid w:val="00F2355D"/>
    <w:rsid w:val="00F240B0"/>
    <w:rsid w:val="00F2428E"/>
    <w:rsid w:val="00F24799"/>
    <w:rsid w:val="00F27433"/>
    <w:rsid w:val="00F36611"/>
    <w:rsid w:val="00F4069B"/>
    <w:rsid w:val="00F4384C"/>
    <w:rsid w:val="00F46CBC"/>
    <w:rsid w:val="00F51BBD"/>
    <w:rsid w:val="00F53CD3"/>
    <w:rsid w:val="00F5401C"/>
    <w:rsid w:val="00F5505A"/>
    <w:rsid w:val="00F56CD8"/>
    <w:rsid w:val="00F572DD"/>
    <w:rsid w:val="00F57FA6"/>
    <w:rsid w:val="00F62598"/>
    <w:rsid w:val="00F6739B"/>
    <w:rsid w:val="00F70E23"/>
    <w:rsid w:val="00F70E4D"/>
    <w:rsid w:val="00F81D88"/>
    <w:rsid w:val="00F82E38"/>
    <w:rsid w:val="00F83A3D"/>
    <w:rsid w:val="00F8426E"/>
    <w:rsid w:val="00F8681F"/>
    <w:rsid w:val="00F86826"/>
    <w:rsid w:val="00F86AB1"/>
    <w:rsid w:val="00F86CFF"/>
    <w:rsid w:val="00F90959"/>
    <w:rsid w:val="00F94FD9"/>
    <w:rsid w:val="00FA3B21"/>
    <w:rsid w:val="00FA7266"/>
    <w:rsid w:val="00FB24A4"/>
    <w:rsid w:val="00FC140B"/>
    <w:rsid w:val="00FC1F8A"/>
    <w:rsid w:val="00FC6010"/>
    <w:rsid w:val="00FC769B"/>
    <w:rsid w:val="00FC77C1"/>
    <w:rsid w:val="00FD1480"/>
    <w:rsid w:val="00FD166B"/>
    <w:rsid w:val="00FD313A"/>
    <w:rsid w:val="00FD4EB9"/>
    <w:rsid w:val="00FD5D23"/>
    <w:rsid w:val="00FE0092"/>
    <w:rsid w:val="00FE13DF"/>
    <w:rsid w:val="00FE1F13"/>
    <w:rsid w:val="00FF2C37"/>
    <w:rsid w:val="00FF74B5"/>
    <w:rsid w:val="00FF77D8"/>
    <w:rsid w:val="00FF7ADF"/>
    <w:rsid w:val="00FF7E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D96271"/>
    <w:rPr>
      <w:sz w:val="16"/>
      <w:szCs w:val="16"/>
    </w:rPr>
  </w:style>
  <w:style w:type="paragraph" w:styleId="CommentText">
    <w:name w:val="annotation text"/>
    <w:basedOn w:val="Normal"/>
    <w:link w:val="CommentTextChar"/>
    <w:uiPriority w:val="99"/>
    <w:unhideWhenUsed/>
    <w:rsid w:val="00D96271"/>
    <w:rPr>
      <w:sz w:val="20"/>
      <w:szCs w:val="20"/>
    </w:rPr>
  </w:style>
  <w:style w:type="character" w:customStyle="1" w:styleId="CommentTextChar">
    <w:name w:val="Comment Text Char"/>
    <w:basedOn w:val="DefaultParagraphFont"/>
    <w:link w:val="CommentText"/>
    <w:uiPriority w:val="99"/>
    <w:rsid w:val="00D9627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96271"/>
    <w:rPr>
      <w:b/>
      <w:bCs/>
    </w:rPr>
  </w:style>
  <w:style w:type="character" w:customStyle="1" w:styleId="CommentSubjectChar">
    <w:name w:val="Comment Subject Char"/>
    <w:basedOn w:val="CommentTextChar"/>
    <w:link w:val="CommentSubject"/>
    <w:uiPriority w:val="99"/>
    <w:semiHidden/>
    <w:rsid w:val="00D96271"/>
    <w:rPr>
      <w:rFonts w:eastAsia="Times New Roman" w:cs="Times New Roman"/>
      <w:b/>
      <w:bCs/>
      <w:sz w:val="20"/>
      <w:szCs w:val="20"/>
      <w:lang w:val="lv-LV" w:eastAsia="ru-RU"/>
    </w:rPr>
  </w:style>
  <w:style w:type="character" w:styleId="Hyperlink">
    <w:name w:val="Hyperlink"/>
    <w:basedOn w:val="DefaultParagraphFont"/>
    <w:uiPriority w:val="99"/>
    <w:unhideWhenUsed/>
    <w:rsid w:val="00917A1D"/>
    <w:rPr>
      <w:color w:val="0563C1" w:themeColor="hyperlink"/>
      <w:u w:val="single"/>
    </w:rPr>
  </w:style>
  <w:style w:type="character" w:styleId="UnresolvedMention">
    <w:name w:val="Unresolved Mention"/>
    <w:basedOn w:val="DefaultParagraphFont"/>
    <w:uiPriority w:val="99"/>
    <w:semiHidden/>
    <w:unhideWhenUsed/>
    <w:rsid w:val="00917A1D"/>
    <w:rPr>
      <w:color w:val="605E5C"/>
      <w:shd w:val="clear" w:color="auto" w:fill="E1DFDD"/>
    </w:rPr>
  </w:style>
  <w:style w:type="paragraph" w:styleId="ListParagraph">
    <w:name w:val="List Paragraph"/>
    <w:basedOn w:val="Normal"/>
    <w:uiPriority w:val="34"/>
    <w:qFormat/>
    <w:rsid w:val="00AC10C2"/>
    <w:pPr>
      <w:ind w:left="720"/>
      <w:contextualSpacing/>
    </w:pPr>
  </w:style>
  <w:style w:type="character" w:styleId="FollowedHyperlink">
    <w:name w:val="FollowedHyperlink"/>
    <w:basedOn w:val="DefaultParagraphFont"/>
    <w:uiPriority w:val="99"/>
    <w:semiHidden/>
    <w:unhideWhenUsed/>
    <w:rsid w:val="00B40CA6"/>
    <w:rPr>
      <w:color w:val="954F72" w:themeColor="followedHyperlink"/>
      <w:u w:val="single"/>
    </w:rPr>
  </w:style>
  <w:style w:type="paragraph" w:styleId="Revision">
    <w:name w:val="Revision"/>
    <w:hidden/>
    <w:uiPriority w:val="99"/>
    <w:semiHidden/>
    <w:rsid w:val="00B32B4B"/>
    <w:pPr>
      <w:spacing w:after="0" w:line="240" w:lineRule="auto"/>
    </w:pPr>
    <w:rPr>
      <w:rFonts w:eastAsia="Times New Roman" w:cs="Times New Roman"/>
      <w:szCs w:val="24"/>
      <w:lang w:val="lv-LV" w:eastAsia="ru-RU"/>
    </w:rPr>
  </w:style>
  <w:style w:type="paragraph" w:customStyle="1" w:styleId="Default">
    <w:name w:val="Default"/>
    <w:rsid w:val="00D44348"/>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9fd254b-a185-4572-8c4e-5cb3a5948d98" TargetMode="External"/><Relationship Id="rId13" Type="http://schemas.openxmlformats.org/officeDocument/2006/relationships/hyperlink" Target="https://manas.tiesas.lv/eTiesasMvc/eclinolemumi/ECLI:LV:AT:2023:1031.A420220819.9.S" TargetMode="External"/><Relationship Id="rId18" Type="http://schemas.openxmlformats.org/officeDocument/2006/relationships/hyperlink" Target="https://gateway.elieta.lv/api/v1/PublicMaterialDownload/8cd43bd0-71ad-4bca-b118-e5e270384cf4" TargetMode="External"/><Relationship Id="rId26" Type="http://schemas.openxmlformats.org/officeDocument/2006/relationships/hyperlink" Target="https://gateway.elieta.lv/api/v1/PublicMaterialDownload/3df440cb-6274-4aaa-8e98-af7d558886be" TargetMode="External"/><Relationship Id="rId3" Type="http://schemas.openxmlformats.org/officeDocument/2006/relationships/settings" Target="settings.xml"/><Relationship Id="rId21" Type="http://schemas.openxmlformats.org/officeDocument/2006/relationships/hyperlink" Target="https://gateway.elieta.lv/api/v1/PublicMaterialDownload/6335e750-bf8c-4d97-9ea0-acc0ff3d8803" TargetMode="External"/><Relationship Id="rId7" Type="http://schemas.openxmlformats.org/officeDocument/2006/relationships/hyperlink" Target="https://gateway.elieta.lv/api/v1/PublicMaterialDownload/ced393f1-f608-4c3a-a3cf-cdd0d83853e9" TargetMode="External"/><Relationship Id="rId12" Type="http://schemas.openxmlformats.org/officeDocument/2006/relationships/hyperlink" Target="https://gateway.elieta.lv/api/v1/PublicMaterialDownload/bd2f1be4-1caf-4e12-b2b5-494f7d4c7a94" TargetMode="External"/><Relationship Id="rId17" Type="http://schemas.openxmlformats.org/officeDocument/2006/relationships/hyperlink" Target="https://gateway.elieta.lv/api/v1/PublicMaterialDownload/5f15a2dd-9c34-46f5-ac1a-0575e90622a3" TargetMode="External"/><Relationship Id="rId25" Type="http://schemas.openxmlformats.org/officeDocument/2006/relationships/hyperlink" Target="https://www.at.gov.lv/downloadlawfile/7033" TargetMode="External"/><Relationship Id="rId2" Type="http://schemas.openxmlformats.org/officeDocument/2006/relationships/styles" Target="styles.xml"/><Relationship Id="rId16" Type="http://schemas.openxmlformats.org/officeDocument/2006/relationships/hyperlink" Target="https://gateway.elieta.lv/api/v1/PublicMaterialDownload/bd2f1be4-1caf-4e12-b2b5-494f7d4c7a94" TargetMode="External"/><Relationship Id="rId20" Type="http://schemas.openxmlformats.org/officeDocument/2006/relationships/hyperlink" Target="https://gateway.elieta.lv/api/v1/PublicMaterialDownload/bd2f1be4-1caf-4e12-b2b5-494f7d4c7a94" TargetMode="External"/><Relationship Id="rId29" Type="http://schemas.openxmlformats.org/officeDocument/2006/relationships/hyperlink" Target="https://gateway.elieta.lv/api/v1/PublicMaterialDownload/8cd43bd0-71ad-4bca-b118-e5e270384cf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6335e750-bf8c-4d97-9ea0-acc0ff3d8803" TargetMode="External"/><Relationship Id="rId24" Type="http://schemas.openxmlformats.org/officeDocument/2006/relationships/hyperlink" Target="https://manas.tiesas.lv/eTiesasMvc/eclinolemumi/ECLI:LV:AT:2019:0130.A420224514.2.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ateway.elieta.lv/api/v1/PublicMaterialDownload/5f15a2dd-9c34-46f5-ac1a-0575e90622a3" TargetMode="External"/><Relationship Id="rId23" Type="http://schemas.openxmlformats.org/officeDocument/2006/relationships/hyperlink" Target="https://manas.tiesas.lv/eTiesasMvc/eclinolemumi/ECLI:LV:AT:2019:0130.A420224514.2.S" TargetMode="External"/><Relationship Id="rId28" Type="http://schemas.openxmlformats.org/officeDocument/2006/relationships/hyperlink" Target="https://gateway.elieta.lv/api/v1/PublicMaterialDownload/5f15a2dd-9c34-46f5-ac1a-0575e90622a3" TargetMode="External"/><Relationship Id="rId10" Type="http://schemas.openxmlformats.org/officeDocument/2006/relationships/hyperlink" Target="https://gateway.elieta.lv/api/v1/PublicMaterialDownload/8cd43bd0-71ad-4bca-b118-e5e270384cf4" TargetMode="External"/><Relationship Id="rId19" Type="http://schemas.openxmlformats.org/officeDocument/2006/relationships/hyperlink" Target="https://gateway.elieta.lv/api/v1/PublicMaterialDownload/c800dee6-68c9-4f88-bfa8-2c67edfacf9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41333-par-vides-aizsardzibas-un-regionalas-attistibas-ministra-2021-gada-21-decembra-rikojuma-nr-1-2-11040-par-kekavas-novada-domes-2..." TargetMode="External"/><Relationship Id="rId14" Type="http://schemas.openxmlformats.org/officeDocument/2006/relationships/hyperlink" Target="https://gateway.elieta.lv/api/v1/PublicMaterialDownload/c800dee6-68c9-4f88-bfa8-2c67edfacf91" TargetMode="External"/><Relationship Id="rId22" Type="http://schemas.openxmlformats.org/officeDocument/2006/relationships/hyperlink" Target="https://gateway.elieta.lv/api/v1/PublicMaterialDownload/906f28fd-f020-4db1-bf8a-085d1863e5ba" TargetMode="External"/><Relationship Id="rId27" Type="http://schemas.openxmlformats.org/officeDocument/2006/relationships/hyperlink" Target="https://gateway.elieta.lv/api/v1/PublicMaterialDownload/bd2f1be4-1caf-4e12-b2b5-494f7d4c7a94"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21943</Words>
  <Characters>12509</Characters>
  <Application>Microsoft Office Word</Application>
  <DocSecurity>0</DocSecurity>
  <Lines>104</Lines>
  <Paragraphs>68</Paragraphs>
  <ScaleCrop>false</ScaleCrop>
  <Company/>
  <LinksUpToDate>false</LinksUpToDate>
  <CharactersWithSpaces>34384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2026-08-19T11:19:00Z</dcterms:created>
  <dcterms:modified xsi:type="dcterms:W3CDTF">2026-08-19T11:19:00Z</dcterms:modified>
</cp:coreProperties>
</file>