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FA851" w14:textId="77777777" w:rsidR="00F33664" w:rsidRPr="00B37140" w:rsidRDefault="00F33664" w:rsidP="00F33664">
      <w:pPr>
        <w:pStyle w:val="ListParagraph"/>
        <w:spacing w:line="276" w:lineRule="auto"/>
        <w:ind w:left="0"/>
        <w:jc w:val="both"/>
        <w:rPr>
          <w:rFonts w:cs="Times New Roman"/>
          <w:b/>
          <w:bCs/>
          <w:szCs w:val="24"/>
        </w:rPr>
      </w:pPr>
      <w:r w:rsidRPr="00B37140">
        <w:rPr>
          <w:rFonts w:cs="Times New Roman"/>
          <w:b/>
          <w:bCs/>
          <w:szCs w:val="24"/>
        </w:rPr>
        <w:t xml:space="preserve">Apelācijas instances tiesas pilnvaras jauna sprieduma taisīšanā Kriminālprocesa </w:t>
      </w:r>
      <w:r>
        <w:rPr>
          <w:rFonts w:cs="Times New Roman"/>
          <w:b/>
          <w:bCs/>
          <w:szCs w:val="24"/>
        </w:rPr>
        <w:t xml:space="preserve">likuma </w:t>
      </w:r>
      <w:r w:rsidRPr="00B37140">
        <w:rPr>
          <w:rFonts w:cs="Times New Roman"/>
          <w:b/>
          <w:bCs/>
          <w:szCs w:val="24"/>
        </w:rPr>
        <w:t>565.</w:t>
      </w:r>
      <w:r>
        <w:rPr>
          <w:rFonts w:cs="Times New Roman"/>
          <w:b/>
          <w:bCs/>
          <w:szCs w:val="24"/>
        </w:rPr>
        <w:t> </w:t>
      </w:r>
      <w:r w:rsidRPr="00B37140">
        <w:rPr>
          <w:rFonts w:cs="Times New Roman"/>
          <w:b/>
          <w:bCs/>
          <w:szCs w:val="24"/>
        </w:rPr>
        <w:t>pants noteic neatkarīgi no tā, vai lieta iztiesāta mutvārdu vai rakstveida procesā</w:t>
      </w:r>
    </w:p>
    <w:p w14:paraId="235E0CA2" w14:textId="77777777" w:rsidR="00F33664" w:rsidRDefault="00F33664" w:rsidP="00C6534A">
      <w:pPr>
        <w:widowControl w:val="0"/>
        <w:spacing w:line="276" w:lineRule="auto"/>
        <w:jc w:val="center"/>
        <w:rPr>
          <w:b/>
        </w:rPr>
      </w:pPr>
    </w:p>
    <w:p w14:paraId="314BE466" w14:textId="63CBFAB6" w:rsidR="00B36B26" w:rsidRPr="00C6534A" w:rsidRDefault="00B36B26" w:rsidP="00C6534A">
      <w:pPr>
        <w:widowControl w:val="0"/>
        <w:spacing w:line="276" w:lineRule="auto"/>
        <w:jc w:val="center"/>
        <w:rPr>
          <w:b/>
        </w:rPr>
      </w:pPr>
      <w:r w:rsidRPr="00C6534A">
        <w:rPr>
          <w:b/>
        </w:rPr>
        <w:t>Latvijas Republikas Senāt</w:t>
      </w:r>
      <w:r w:rsidR="00C6534A" w:rsidRPr="00C6534A">
        <w:rPr>
          <w:b/>
        </w:rPr>
        <w:t>a</w:t>
      </w:r>
    </w:p>
    <w:p w14:paraId="62D82397" w14:textId="36BED41C" w:rsidR="00C6534A" w:rsidRPr="00C6534A" w:rsidRDefault="00C6534A" w:rsidP="00C6534A">
      <w:pPr>
        <w:widowControl w:val="0"/>
        <w:spacing w:line="276" w:lineRule="auto"/>
        <w:jc w:val="center"/>
        <w:rPr>
          <w:b/>
          <w:lang w:eastAsia="lv-LV"/>
        </w:rPr>
      </w:pPr>
      <w:r w:rsidRPr="00C6534A">
        <w:rPr>
          <w:b/>
          <w:lang w:eastAsia="lv-LV"/>
        </w:rPr>
        <w:t>Krimināllietu departament</w:t>
      </w:r>
      <w:r>
        <w:rPr>
          <w:b/>
          <w:lang w:eastAsia="lv-LV"/>
        </w:rPr>
        <w:t>a</w:t>
      </w:r>
    </w:p>
    <w:p w14:paraId="1AEE545D" w14:textId="7EF81BF2" w:rsidR="00C6534A" w:rsidRPr="00C6534A" w:rsidRDefault="00C6534A" w:rsidP="00C6534A">
      <w:pPr>
        <w:widowControl w:val="0"/>
        <w:spacing w:line="276" w:lineRule="auto"/>
        <w:jc w:val="center"/>
        <w:rPr>
          <w:b/>
        </w:rPr>
      </w:pPr>
      <w:r w:rsidRPr="00C6534A">
        <w:rPr>
          <w:b/>
        </w:rPr>
        <w:t>2026. gada 26. august</w:t>
      </w:r>
      <w:r>
        <w:rPr>
          <w:b/>
        </w:rPr>
        <w:t>a</w:t>
      </w:r>
    </w:p>
    <w:p w14:paraId="4785EC24" w14:textId="77777777" w:rsidR="00B36B26" w:rsidRPr="00C6534A" w:rsidRDefault="00B36B26" w:rsidP="00C6534A">
      <w:pPr>
        <w:widowControl w:val="0"/>
        <w:spacing w:line="276" w:lineRule="auto"/>
        <w:jc w:val="center"/>
        <w:rPr>
          <w:b/>
        </w:rPr>
      </w:pPr>
      <w:r w:rsidRPr="00C6534A">
        <w:rPr>
          <w:b/>
        </w:rPr>
        <w:t>LĒMUMS</w:t>
      </w:r>
    </w:p>
    <w:p w14:paraId="5E475009" w14:textId="6BC74211" w:rsidR="00C6534A" w:rsidRPr="00C6534A" w:rsidRDefault="00C6534A" w:rsidP="00C6534A">
      <w:pPr>
        <w:widowControl w:val="0"/>
        <w:spacing w:line="276" w:lineRule="auto"/>
        <w:jc w:val="center"/>
        <w:rPr>
          <w:b/>
          <w:lang w:eastAsia="lv-LV"/>
        </w:rPr>
      </w:pPr>
      <w:r w:rsidRPr="00C6534A">
        <w:rPr>
          <w:b/>
          <w:lang w:eastAsia="lv-LV"/>
        </w:rPr>
        <w:t>Lieta Nr. 11370038219, SKK</w:t>
      </w:r>
      <w:r w:rsidRPr="00C6534A">
        <w:rPr>
          <w:b/>
          <w:lang w:eastAsia="lv-LV"/>
        </w:rPr>
        <w:noBreakHyphen/>
        <w:t>316/2026</w:t>
      </w:r>
    </w:p>
    <w:p w14:paraId="77C1036B" w14:textId="17AE2909" w:rsidR="00B36B26" w:rsidRDefault="00C6534A" w:rsidP="00C6534A">
      <w:pPr>
        <w:widowControl w:val="0"/>
        <w:spacing w:line="276" w:lineRule="auto"/>
        <w:jc w:val="center"/>
      </w:pPr>
      <w:hyperlink r:id="rId6" w:history="1">
        <w:r w:rsidRPr="00C6534A">
          <w:rPr>
            <w:rStyle w:val="Hyperlink"/>
          </w:rPr>
          <w:t>ECLI:LV:AT:2026:0826.11370038219.12.L</w:t>
        </w:r>
      </w:hyperlink>
    </w:p>
    <w:p w14:paraId="42AD1C67" w14:textId="77777777" w:rsidR="00B36B26" w:rsidRPr="00011547" w:rsidRDefault="00B36B26" w:rsidP="00B36B26">
      <w:pPr>
        <w:widowControl w:val="0"/>
        <w:spacing w:line="276" w:lineRule="auto"/>
        <w:ind w:firstLine="720"/>
        <w:jc w:val="both"/>
      </w:pPr>
    </w:p>
    <w:p w14:paraId="06277111" w14:textId="44BE9169" w:rsidR="00B36B26" w:rsidRDefault="00B36B26" w:rsidP="00B36B26">
      <w:pPr>
        <w:widowControl w:val="0"/>
        <w:spacing w:line="276" w:lineRule="auto"/>
        <w:ind w:firstLine="720"/>
        <w:jc w:val="both"/>
        <w:rPr>
          <w:lang w:eastAsia="lv-LV"/>
        </w:rPr>
      </w:pPr>
      <w:r>
        <w:t xml:space="preserve">Senāts </w:t>
      </w:r>
      <w:r w:rsidRPr="00011547">
        <w:t>šādā sastāvā</w:t>
      </w:r>
      <w:r>
        <w:t>: senatori Aivars Uminskis, Jānis Rozenbergs, Inese Laura Zemīte,</w:t>
      </w:r>
    </w:p>
    <w:p w14:paraId="32293DE4" w14:textId="77777777" w:rsidR="00B36B26" w:rsidRDefault="00B36B26" w:rsidP="00B36B26">
      <w:pPr>
        <w:widowControl w:val="0"/>
        <w:shd w:val="clear" w:color="auto" w:fill="FFFFFF"/>
        <w:spacing w:line="276" w:lineRule="auto"/>
        <w:ind w:firstLine="720"/>
        <w:jc w:val="both"/>
        <w:rPr>
          <w:b/>
        </w:rPr>
      </w:pPr>
    </w:p>
    <w:p w14:paraId="4123322A" w14:textId="76BBE4D3" w:rsidR="00564F92" w:rsidRDefault="00B36B26" w:rsidP="00564F92">
      <w:pPr>
        <w:widowControl w:val="0"/>
        <w:shd w:val="clear" w:color="auto" w:fill="FFFFFF"/>
        <w:spacing w:line="276" w:lineRule="auto"/>
        <w:ind w:firstLine="720"/>
        <w:jc w:val="both"/>
        <w:rPr>
          <w:bCs/>
        </w:rPr>
      </w:pPr>
      <w:r>
        <w:rPr>
          <w:bCs/>
        </w:rPr>
        <w:t xml:space="preserve">iepazinies ar apsūdzētā </w:t>
      </w:r>
      <w:r w:rsidR="00C6534A">
        <w:rPr>
          <w:bCs/>
        </w:rPr>
        <w:t>[pers. A]</w:t>
      </w:r>
      <w:r>
        <w:rPr>
          <w:bCs/>
        </w:rPr>
        <w:t xml:space="preserve"> aizstāvja zvērināta advokāta Gata </w:t>
      </w:r>
      <w:proofErr w:type="spellStart"/>
      <w:r>
        <w:rPr>
          <w:bCs/>
        </w:rPr>
        <w:t>Štauera</w:t>
      </w:r>
      <w:proofErr w:type="spellEnd"/>
      <w:r>
        <w:rPr>
          <w:bCs/>
        </w:rPr>
        <w:t xml:space="preserve"> kasācijas sūdzību par Zemgales apgabaltiesas 2026. gada 31. marta spriedumu, atzīst, ka ir pamats atteikt ierosināt kasācijas tiesvedību.</w:t>
      </w:r>
    </w:p>
    <w:p w14:paraId="7F4C8097" w14:textId="77777777" w:rsidR="00564F92" w:rsidRDefault="00B36B26" w:rsidP="00564F92">
      <w:pPr>
        <w:widowControl w:val="0"/>
        <w:shd w:val="clear" w:color="auto" w:fill="FFFFFF"/>
        <w:spacing w:line="276" w:lineRule="auto"/>
        <w:ind w:firstLine="720"/>
        <w:jc w:val="both"/>
        <w:rPr>
          <w:bCs/>
        </w:rPr>
      </w:pPr>
      <w:r>
        <w:rPr>
          <w:bCs/>
        </w:rPr>
        <w:t>Aizstāvis kasācijas sūdzībā lūdzis atcelt apelācijas instances tiesas nolēmumu pilnībā un lietu nosūtīt jaunai izskatīšanai.</w:t>
      </w:r>
    </w:p>
    <w:p w14:paraId="7E2EE737" w14:textId="1292D77C" w:rsidR="00564F92" w:rsidRPr="00564F92" w:rsidRDefault="00B36B26" w:rsidP="00564F92">
      <w:pPr>
        <w:widowControl w:val="0"/>
        <w:shd w:val="clear" w:color="auto" w:fill="FFFFFF"/>
        <w:spacing w:line="276" w:lineRule="auto"/>
        <w:ind w:firstLine="720"/>
        <w:jc w:val="both"/>
        <w:rPr>
          <w:bCs/>
        </w:rPr>
      </w:pPr>
      <w:r>
        <w:rPr>
          <w:bCs/>
        </w:rPr>
        <w:t>Pamatojot savu lūgumu, aizstāvis norādījis, ka apelācijas instances tiesa</w:t>
      </w:r>
      <w:r w:rsidR="00A31662">
        <w:rPr>
          <w:bCs/>
        </w:rPr>
        <w:t>, iz</w:t>
      </w:r>
      <w:r w:rsidR="00891A5A">
        <w:rPr>
          <w:bCs/>
        </w:rPr>
        <w:t>tiesājot</w:t>
      </w:r>
      <w:r w:rsidR="00A31662">
        <w:rPr>
          <w:bCs/>
        </w:rPr>
        <w:t xml:space="preserve"> lietu rakstveida procesā un taisot attaisnojoša sprieduma vietā notiesājošu, pārkāpusi Kriminālprocesa likuma 15. pantā noteiktās apsūdzētā tiesības uz lietas izskatīšanu taisnīgā, objektīvā un neatkarīgā tiesā</w:t>
      </w:r>
      <w:r w:rsidR="00564F92">
        <w:rPr>
          <w:bCs/>
        </w:rPr>
        <w:t>.</w:t>
      </w:r>
      <w:r w:rsidR="00A31662">
        <w:rPr>
          <w:bCs/>
        </w:rPr>
        <w:t xml:space="preserve"> </w:t>
      </w:r>
      <w:r w:rsidR="00564F92">
        <w:t>Tiesa, izskatot lietu rakstveida procesā, taisījusi arī spriedumu, kas neatbilst Kriminālprocesa likuma 563. panta 1.</w:t>
      </w:r>
      <w:r w:rsidR="00564F92" w:rsidRPr="00564F92">
        <w:rPr>
          <w:vertAlign w:val="superscript"/>
        </w:rPr>
        <w:t>1</w:t>
      </w:r>
      <w:r w:rsidR="00564F92">
        <w:t> daļā paredzētajiem nolēmumu veidiem, proti, pieņēmusi nolēmumu, kādu tā varēja pieņemt, tikai iztiesājot lietu mutvārdu procesā, tādējādi pārkāpusi apsūdzētā tiesības paļauties, ka</w:t>
      </w:r>
      <w:r w:rsidR="00560D42">
        <w:t>,</w:t>
      </w:r>
      <w:r w:rsidR="00564F92">
        <w:t xml:space="preserve"> izskatot lietu rakstveida procesā, tiks pieņemts viens no Kriminālprocesa likuma 563. panta 1.</w:t>
      </w:r>
      <w:r w:rsidR="00564F92" w:rsidRPr="00564F92">
        <w:rPr>
          <w:vertAlign w:val="superscript"/>
        </w:rPr>
        <w:t>1</w:t>
      </w:r>
      <w:r w:rsidR="00564F92">
        <w:t> daļā paredzētajiem nolēmumiem.</w:t>
      </w:r>
    </w:p>
    <w:p w14:paraId="02FE4975" w14:textId="77777777" w:rsidR="00B36B26" w:rsidRDefault="00B36B26" w:rsidP="00B36B26">
      <w:pPr>
        <w:widowControl w:val="0"/>
        <w:spacing w:line="276" w:lineRule="auto"/>
        <w:ind w:firstLine="720"/>
        <w:jc w:val="both"/>
      </w:pPr>
      <w:r w:rsidRPr="00955C61">
        <w:t>Kriminālprocesa likuma 573.</w:t>
      </w:r>
      <w:r w:rsidRPr="000A4C80">
        <w:rPr>
          <w:vertAlign w:val="superscript"/>
        </w:rPr>
        <w:t>1</w:t>
      </w:r>
      <w:r>
        <w:t> </w:t>
      </w:r>
      <w:r w:rsidRPr="00955C61">
        <w:t xml:space="preserve">panta otrās daļas </w:t>
      </w:r>
      <w:r w:rsidRPr="008F6674">
        <w:t>2. punkts</w:t>
      </w:r>
      <w:r w:rsidRPr="00955C61">
        <w:t xml:space="preserve"> noteic, ka tiesa var atteikties ierosināt kasācijas tiesvedību, ja, izvērtējot kasācijas sūdzībā vai protestā minētos argumentus, nerodas šaubas par pārsūdzētā nolēmuma tiesiskumu un izskatāmajai lietai nav būtiskas nozīmes judikatūras veidošanā.</w:t>
      </w:r>
    </w:p>
    <w:p w14:paraId="45086A00" w14:textId="26616B3E" w:rsidR="00AA2545" w:rsidRDefault="00AA2545" w:rsidP="00AA2545">
      <w:pPr>
        <w:widowControl w:val="0"/>
        <w:shd w:val="clear" w:color="auto" w:fill="FFFFFF"/>
        <w:spacing w:line="276" w:lineRule="auto"/>
        <w:ind w:firstLine="720"/>
        <w:jc w:val="both"/>
        <w:rPr>
          <w:bCs/>
        </w:rPr>
      </w:pPr>
      <w:r w:rsidRPr="00003375">
        <w:rPr>
          <w:bCs/>
        </w:rPr>
        <w:t xml:space="preserve">Saskaņā ar </w:t>
      </w:r>
      <w:r>
        <w:rPr>
          <w:bCs/>
        </w:rPr>
        <w:t>Kriminālprocesa likuma 559. panta 4.</w:t>
      </w:r>
      <w:r>
        <w:rPr>
          <w:bCs/>
          <w:vertAlign w:val="superscript"/>
        </w:rPr>
        <w:t>1 </w:t>
      </w:r>
      <w:r>
        <w:rPr>
          <w:bCs/>
        </w:rPr>
        <w:t>daļu lietu var iztiesāt rakstveida procesā arī gadījumos, kas nav minēti šā panta ceturtajā daļā, ja pret to neiebilst prokurors vai persona, kuras intereses un tiesības sūdzība vai protests aizskar.</w:t>
      </w:r>
    </w:p>
    <w:p w14:paraId="0EAAECF5" w14:textId="025BF009" w:rsidR="000C7756" w:rsidRPr="003C32A5" w:rsidRDefault="003C32A5" w:rsidP="007573E1">
      <w:pPr>
        <w:widowControl w:val="0"/>
        <w:spacing w:after="10" w:line="276" w:lineRule="auto"/>
        <w:ind w:right="6" w:firstLine="720"/>
        <w:jc w:val="both"/>
        <w:rPr>
          <w:rFonts w:asciiTheme="majorBidi" w:hAnsiTheme="majorBidi" w:cstheme="majorBidi"/>
          <w:color w:val="000000"/>
        </w:rPr>
      </w:pPr>
      <w:bookmarkStart w:id="0" w:name="_Hlk128328370"/>
      <w:r w:rsidRPr="00365F68">
        <w:rPr>
          <w:rFonts w:asciiTheme="majorBidi" w:hAnsiTheme="majorBidi" w:cstheme="majorBidi"/>
          <w:color w:val="000000"/>
        </w:rPr>
        <w:t>Eiropas Cilvēktiesību tiesas judikatūrā, analizējot lietu izskatīšanu mutvārdu vai rakstveida procesā no tiesību uz taisnīgu tiesu viedokļa, atzīts, ka pēc vispārējā principa, ja persona vēlas lietas izskatīšanu mutvārdu procesā, tai šāda iespēja ir jānodrošina vienā instancē, kas izskata lietu pēc būtības. Apelācijas instances tiesā lietu pretēji pieteicēja vēlmēm var izskatīt rakstveida procesā, ja procesa veids, pēc tiesas ieskata, neietekmē lietas objektīvu un taisnīgu izspriešanu, proti, ja lietas apstākļi neprasa pieteicēja personīgu uzklausīšanu un tiesa lietu var izspriest, iepazīstoties ar lietas materiāliem un procesa dalībnieku viedokli rakstveidā (</w:t>
      </w:r>
      <w:bookmarkStart w:id="1" w:name="_Hlk182481139"/>
      <w:r w:rsidRPr="00365F68">
        <w:rPr>
          <w:rFonts w:asciiTheme="majorBidi" w:hAnsiTheme="majorBidi" w:cstheme="majorBidi"/>
          <w:i/>
          <w:iCs/>
          <w:color w:val="000000"/>
        </w:rPr>
        <w:t>Eiropas Cilvēktiesību tiesas 1994. gada 23. februāra spriedums lietā ,,</w:t>
      </w:r>
      <w:proofErr w:type="spellStart"/>
      <w:r w:rsidRPr="00365F68">
        <w:rPr>
          <w:rFonts w:asciiTheme="majorBidi" w:hAnsiTheme="majorBidi" w:cstheme="majorBidi"/>
          <w:i/>
          <w:iCs/>
          <w:color w:val="000000"/>
        </w:rPr>
        <w:t>Fredin</w:t>
      </w:r>
      <w:proofErr w:type="spellEnd"/>
      <w:r w:rsidRPr="00365F68">
        <w:rPr>
          <w:rFonts w:asciiTheme="majorBidi" w:hAnsiTheme="majorBidi" w:cstheme="majorBidi"/>
          <w:i/>
          <w:iCs/>
          <w:color w:val="000000"/>
        </w:rPr>
        <w:t xml:space="preserve"> v. </w:t>
      </w:r>
      <w:proofErr w:type="spellStart"/>
      <w:r w:rsidRPr="00365F68">
        <w:rPr>
          <w:rFonts w:asciiTheme="majorBidi" w:hAnsiTheme="majorBidi" w:cstheme="majorBidi"/>
          <w:i/>
          <w:iCs/>
          <w:color w:val="000000"/>
        </w:rPr>
        <w:t>Sweden</w:t>
      </w:r>
      <w:proofErr w:type="spellEnd"/>
      <w:r w:rsidRPr="00365F68">
        <w:rPr>
          <w:rFonts w:asciiTheme="majorBidi" w:hAnsiTheme="majorBidi" w:cstheme="majorBidi"/>
          <w:i/>
          <w:iCs/>
          <w:color w:val="000000"/>
        </w:rPr>
        <w:t>”, iesniegums Nr. </w:t>
      </w:r>
      <w:hyperlink r:id="rId7" w:history="1">
        <w:r w:rsidRPr="00365F68">
          <w:rPr>
            <w:rStyle w:val="Hyperlink"/>
            <w:rFonts w:asciiTheme="majorBidi" w:hAnsiTheme="majorBidi" w:cstheme="majorBidi"/>
            <w:i/>
            <w:iCs/>
          </w:rPr>
          <w:t>18928/91</w:t>
        </w:r>
      </w:hyperlink>
      <w:r w:rsidRPr="00365F68">
        <w:rPr>
          <w:rFonts w:asciiTheme="majorBidi" w:hAnsiTheme="majorBidi" w:cstheme="majorBidi"/>
          <w:i/>
          <w:iCs/>
          <w:color w:val="000000"/>
        </w:rPr>
        <w:t>; 1996. gada 19. februāra spriedums lietā ,,</w:t>
      </w:r>
      <w:proofErr w:type="spellStart"/>
      <w:r w:rsidRPr="00365F68">
        <w:rPr>
          <w:rFonts w:asciiTheme="majorBidi" w:hAnsiTheme="majorBidi" w:cstheme="majorBidi"/>
          <w:i/>
          <w:iCs/>
          <w:color w:val="000000"/>
        </w:rPr>
        <w:t>Botten</w:t>
      </w:r>
      <w:proofErr w:type="spellEnd"/>
      <w:r w:rsidRPr="00365F68">
        <w:rPr>
          <w:rFonts w:asciiTheme="majorBidi" w:hAnsiTheme="majorBidi" w:cstheme="majorBidi"/>
          <w:i/>
          <w:iCs/>
          <w:color w:val="000000"/>
        </w:rPr>
        <w:t xml:space="preserve"> v. </w:t>
      </w:r>
      <w:proofErr w:type="spellStart"/>
      <w:r w:rsidRPr="00365F68">
        <w:rPr>
          <w:rFonts w:asciiTheme="majorBidi" w:hAnsiTheme="majorBidi" w:cstheme="majorBidi"/>
          <w:i/>
          <w:iCs/>
          <w:color w:val="000000"/>
        </w:rPr>
        <w:t>Norway</w:t>
      </w:r>
      <w:proofErr w:type="spellEnd"/>
      <w:r w:rsidRPr="00365F68">
        <w:rPr>
          <w:rFonts w:asciiTheme="majorBidi" w:hAnsiTheme="majorBidi" w:cstheme="majorBidi"/>
          <w:i/>
          <w:iCs/>
          <w:color w:val="000000"/>
        </w:rPr>
        <w:t>”, iesniegums Nr. </w:t>
      </w:r>
      <w:hyperlink r:id="rId8" w:history="1">
        <w:r w:rsidRPr="00365F68">
          <w:rPr>
            <w:rStyle w:val="Hyperlink"/>
            <w:rFonts w:asciiTheme="majorBidi" w:hAnsiTheme="majorBidi" w:cstheme="majorBidi"/>
            <w:i/>
            <w:iCs/>
          </w:rPr>
          <w:t>16206/90</w:t>
        </w:r>
      </w:hyperlink>
      <w:r w:rsidRPr="00365F68">
        <w:rPr>
          <w:rFonts w:asciiTheme="majorBidi" w:hAnsiTheme="majorBidi" w:cstheme="majorBidi"/>
          <w:i/>
          <w:iCs/>
          <w:color w:val="000000"/>
        </w:rPr>
        <w:t>; 1996. gada 22. februāra spriedums lietā ,,</w:t>
      </w:r>
      <w:proofErr w:type="spellStart"/>
      <w:r w:rsidRPr="00365F68">
        <w:rPr>
          <w:rFonts w:asciiTheme="majorBidi" w:hAnsiTheme="majorBidi" w:cstheme="majorBidi"/>
          <w:i/>
          <w:iCs/>
          <w:color w:val="000000"/>
        </w:rPr>
        <w:t>Bulut</w:t>
      </w:r>
      <w:proofErr w:type="spellEnd"/>
      <w:r w:rsidRPr="00365F68">
        <w:rPr>
          <w:rFonts w:asciiTheme="majorBidi" w:hAnsiTheme="majorBidi" w:cstheme="majorBidi"/>
          <w:i/>
          <w:iCs/>
          <w:color w:val="000000"/>
        </w:rPr>
        <w:t xml:space="preserve"> v. </w:t>
      </w:r>
      <w:proofErr w:type="spellStart"/>
      <w:r w:rsidRPr="00365F68">
        <w:rPr>
          <w:rFonts w:asciiTheme="majorBidi" w:hAnsiTheme="majorBidi" w:cstheme="majorBidi"/>
          <w:i/>
          <w:iCs/>
          <w:color w:val="000000"/>
        </w:rPr>
        <w:t>Austria</w:t>
      </w:r>
      <w:proofErr w:type="spellEnd"/>
      <w:r w:rsidRPr="00365F68">
        <w:rPr>
          <w:rFonts w:asciiTheme="majorBidi" w:hAnsiTheme="majorBidi" w:cstheme="majorBidi"/>
          <w:i/>
          <w:iCs/>
          <w:color w:val="000000"/>
        </w:rPr>
        <w:t>”, iesniegums Nr. </w:t>
      </w:r>
      <w:hyperlink r:id="rId9" w:history="1">
        <w:r w:rsidRPr="00365F68">
          <w:rPr>
            <w:rStyle w:val="Hyperlink"/>
            <w:rFonts w:asciiTheme="majorBidi" w:hAnsiTheme="majorBidi" w:cstheme="majorBidi"/>
            <w:i/>
            <w:iCs/>
          </w:rPr>
          <w:t>17358/90</w:t>
        </w:r>
      </w:hyperlink>
      <w:r w:rsidRPr="00365F68">
        <w:rPr>
          <w:rFonts w:asciiTheme="majorBidi" w:hAnsiTheme="majorBidi" w:cstheme="majorBidi"/>
          <w:i/>
          <w:iCs/>
          <w:color w:val="000000"/>
        </w:rPr>
        <w:t xml:space="preserve">; 2002. gada 12. novembra </w:t>
      </w:r>
      <w:r w:rsidRPr="00365F68">
        <w:rPr>
          <w:rFonts w:asciiTheme="majorBidi" w:hAnsiTheme="majorBidi" w:cstheme="majorBidi"/>
          <w:i/>
          <w:iCs/>
          <w:color w:val="000000"/>
        </w:rPr>
        <w:lastRenderedPageBreak/>
        <w:t>spriedums lietā ,,</w:t>
      </w:r>
      <w:proofErr w:type="spellStart"/>
      <w:r w:rsidRPr="00365F68">
        <w:rPr>
          <w:rFonts w:asciiTheme="majorBidi" w:hAnsiTheme="majorBidi" w:cstheme="majorBidi"/>
          <w:i/>
          <w:iCs/>
          <w:color w:val="000000"/>
        </w:rPr>
        <w:t>Döry</w:t>
      </w:r>
      <w:proofErr w:type="spellEnd"/>
      <w:r w:rsidRPr="00365F68">
        <w:rPr>
          <w:rFonts w:asciiTheme="majorBidi" w:hAnsiTheme="majorBidi" w:cstheme="majorBidi"/>
          <w:i/>
          <w:iCs/>
          <w:color w:val="000000"/>
        </w:rPr>
        <w:t xml:space="preserve"> v. </w:t>
      </w:r>
      <w:proofErr w:type="spellStart"/>
      <w:r w:rsidRPr="00365F68">
        <w:rPr>
          <w:rFonts w:asciiTheme="majorBidi" w:hAnsiTheme="majorBidi" w:cstheme="majorBidi"/>
          <w:i/>
          <w:iCs/>
          <w:color w:val="000000"/>
        </w:rPr>
        <w:t>Sweden</w:t>
      </w:r>
      <w:proofErr w:type="spellEnd"/>
      <w:r w:rsidRPr="00365F68">
        <w:rPr>
          <w:rFonts w:asciiTheme="majorBidi" w:hAnsiTheme="majorBidi" w:cstheme="majorBidi"/>
          <w:i/>
          <w:iCs/>
          <w:color w:val="000000"/>
        </w:rPr>
        <w:t>”, iesniegums Nr. </w:t>
      </w:r>
      <w:hyperlink r:id="rId10" w:history="1">
        <w:r w:rsidRPr="00365F68">
          <w:rPr>
            <w:rStyle w:val="Hyperlink"/>
            <w:rFonts w:asciiTheme="majorBidi" w:hAnsiTheme="majorBidi" w:cstheme="majorBidi"/>
            <w:i/>
            <w:iCs/>
          </w:rPr>
          <w:t>28394/95</w:t>
        </w:r>
      </w:hyperlink>
      <w:bookmarkEnd w:id="1"/>
      <w:r w:rsidRPr="00365F68">
        <w:rPr>
          <w:rFonts w:asciiTheme="majorBidi" w:hAnsiTheme="majorBidi" w:cstheme="majorBidi"/>
          <w:color w:val="000000"/>
        </w:rPr>
        <w:t>).</w:t>
      </w:r>
    </w:p>
    <w:p w14:paraId="0F526CBA" w14:textId="57BE3CEA" w:rsidR="00143737" w:rsidRPr="00AB4C2B" w:rsidRDefault="000C7756" w:rsidP="00AB4C2B">
      <w:pPr>
        <w:spacing w:line="276" w:lineRule="auto"/>
        <w:ind w:firstLine="709"/>
        <w:jc w:val="both"/>
        <w:rPr>
          <w:rFonts w:eastAsiaTheme="minorHAnsi"/>
          <w:i/>
          <w:iCs/>
          <w:lang w:eastAsia="en-US"/>
        </w:rPr>
      </w:pPr>
      <w:r>
        <w:rPr>
          <w:rFonts w:eastAsiaTheme="minorHAnsi"/>
          <w:lang w:eastAsia="en-US"/>
        </w:rPr>
        <w:t xml:space="preserve">Arī </w:t>
      </w:r>
      <w:r w:rsidR="00143737" w:rsidRPr="00130478">
        <w:rPr>
          <w:rFonts w:eastAsiaTheme="minorHAnsi"/>
          <w:lang w:eastAsia="en-US"/>
        </w:rPr>
        <w:t>Senāts jau iepriekš ir paudis atziņu, ka rakstveida process pats par sevi neierobežo procesā iesaistīto personu tiesības uz taisnīgu tiesu. Rakstveida procesa būtība izpaužas apstāklī, ka lieta tiek iztiesāta pēc lietas materiāliem bez procesā iesaistīto personu piedalīšanās klātienē [..]</w:t>
      </w:r>
      <w:r w:rsidR="00AB4C2B">
        <w:rPr>
          <w:rFonts w:eastAsiaTheme="minorHAnsi"/>
          <w:lang w:eastAsia="en-US"/>
        </w:rPr>
        <w:t xml:space="preserve"> </w:t>
      </w:r>
      <w:r w:rsidR="00143737" w:rsidRPr="00130478">
        <w:rPr>
          <w:rFonts w:eastAsiaTheme="minorHAnsi"/>
          <w:lang w:eastAsia="en-US"/>
        </w:rPr>
        <w:t>(</w:t>
      </w:r>
      <w:r w:rsidR="00143737" w:rsidRPr="00130478">
        <w:rPr>
          <w:rFonts w:eastAsiaTheme="minorHAnsi"/>
          <w:i/>
          <w:iCs/>
          <w:lang w:eastAsia="en-US"/>
        </w:rPr>
        <w:t>Senāta 2021. gada 1. decembra lēmums lietā Nr. SKK-155/2021</w:t>
      </w:r>
      <w:r w:rsidR="00AB4C2B">
        <w:rPr>
          <w:rFonts w:eastAsiaTheme="minorHAnsi"/>
          <w:i/>
          <w:iCs/>
          <w:lang w:eastAsia="en-US"/>
        </w:rPr>
        <w:t xml:space="preserve">, </w:t>
      </w:r>
      <w:hyperlink r:id="rId11" w:history="1">
        <w:r w:rsidR="00143737" w:rsidRPr="00521634">
          <w:rPr>
            <w:rStyle w:val="Hyperlink"/>
            <w:rFonts w:eastAsiaTheme="minorHAnsi"/>
            <w:i/>
            <w:iCs/>
            <w:lang w:eastAsia="en-US"/>
          </w:rPr>
          <w:t>ECLI:LV:AT:2021:1201.11815000218.5.L</w:t>
        </w:r>
      </w:hyperlink>
      <w:r w:rsidR="00143737" w:rsidRPr="00130478">
        <w:rPr>
          <w:rFonts w:eastAsiaTheme="minorHAnsi"/>
          <w:lang w:eastAsia="en-US"/>
        </w:rPr>
        <w:t>).</w:t>
      </w:r>
      <w:bookmarkEnd w:id="0"/>
    </w:p>
    <w:p w14:paraId="0F427E93" w14:textId="3EBB940C" w:rsidR="003C32A5" w:rsidRDefault="003C32A5" w:rsidP="00E67C3C">
      <w:pPr>
        <w:widowControl w:val="0"/>
        <w:shd w:val="clear" w:color="auto" w:fill="FFFFFF"/>
        <w:spacing w:line="276" w:lineRule="auto"/>
        <w:ind w:firstLine="720"/>
        <w:jc w:val="both"/>
        <w:rPr>
          <w:bCs/>
        </w:rPr>
      </w:pPr>
      <w:r w:rsidRPr="009024F2">
        <w:rPr>
          <w:bCs/>
        </w:rPr>
        <w:t xml:space="preserve">Tādējādi </w:t>
      </w:r>
      <w:r w:rsidR="00D97A54" w:rsidRPr="009024F2">
        <w:rPr>
          <w:bCs/>
        </w:rPr>
        <w:t xml:space="preserve">konkrētajā gadījumā </w:t>
      </w:r>
      <w:r w:rsidRPr="009024F2">
        <w:rPr>
          <w:bCs/>
        </w:rPr>
        <w:t>Kriminālprocesa likuma 559.</w:t>
      </w:r>
      <w:r w:rsidR="00D236FB" w:rsidRPr="009024F2">
        <w:rPr>
          <w:bCs/>
        </w:rPr>
        <w:t> </w:t>
      </w:r>
      <w:r w:rsidRPr="009024F2">
        <w:rPr>
          <w:bCs/>
        </w:rPr>
        <w:t>pant</w:t>
      </w:r>
      <w:r w:rsidR="00D236FB" w:rsidRPr="009024F2">
        <w:rPr>
          <w:bCs/>
        </w:rPr>
        <w:t>s</w:t>
      </w:r>
      <w:r w:rsidRPr="009024F2">
        <w:rPr>
          <w:bCs/>
        </w:rPr>
        <w:t xml:space="preserve"> neizslēdz mutvārdu procesu kā lietas iztiesāšanas pamatformu, bet nosaka, ka lietu var iztiesāt</w:t>
      </w:r>
      <w:r w:rsidR="00E67C3C" w:rsidRPr="009024F2">
        <w:rPr>
          <w:bCs/>
        </w:rPr>
        <w:t xml:space="preserve"> arī</w:t>
      </w:r>
      <w:r w:rsidRPr="009024F2">
        <w:rPr>
          <w:bCs/>
        </w:rPr>
        <w:t xml:space="preserve"> rakstveida formā, ja pret to neiebilst prokurors vai persona, kuras intereses un tiesības sūdzība vai protests aizskar. </w:t>
      </w:r>
      <w:r w:rsidR="00D1269D" w:rsidRPr="009024F2">
        <w:rPr>
          <w:bCs/>
        </w:rPr>
        <w:t>T</w:t>
      </w:r>
      <w:r w:rsidR="00E67C3C" w:rsidRPr="009024F2">
        <w:rPr>
          <w:bCs/>
        </w:rPr>
        <w:t>iesai tiek noteikts pienākums pienācīgā kārtā informēt lietas dalībniekus par viņu tiesībām iesniegt iebildumus pret lietas iztiesāšanu rakstveida procesā un iesniegt viedokli par apelācijas sūdzību vai protestu un apsūdzētajam t</w:t>
      </w:r>
      <w:r w:rsidRPr="009024F2">
        <w:rPr>
          <w:bCs/>
        </w:rPr>
        <w:t>iek saglabātas apsūdzētā tiesības piedalīties lietas iztiesāšanā mutvārdu procesā, ja viņš to vēlas</w:t>
      </w:r>
      <w:r w:rsidR="00E67C3C" w:rsidRPr="009024F2">
        <w:rPr>
          <w:bCs/>
        </w:rPr>
        <w:t>.</w:t>
      </w:r>
    </w:p>
    <w:p w14:paraId="31F69A14" w14:textId="17B75AD0" w:rsidR="003C32A5" w:rsidRDefault="003C32A5" w:rsidP="00C6534A">
      <w:pPr>
        <w:widowControl w:val="0"/>
        <w:shd w:val="clear" w:color="auto" w:fill="FFFFFF"/>
        <w:spacing w:line="276" w:lineRule="auto"/>
        <w:ind w:firstLine="720"/>
        <w:jc w:val="both"/>
        <w:rPr>
          <w:bCs/>
        </w:rPr>
      </w:pPr>
      <w:r>
        <w:rPr>
          <w:bCs/>
        </w:rPr>
        <w:t xml:space="preserve">No lietas materiāliem </w:t>
      </w:r>
      <w:r w:rsidR="003D7E74">
        <w:rPr>
          <w:bCs/>
        </w:rPr>
        <w:t>konstatējams</w:t>
      </w:r>
      <w:r>
        <w:rPr>
          <w:bCs/>
        </w:rPr>
        <w:t xml:space="preserve">, ka apsūdzētais </w:t>
      </w:r>
      <w:r w:rsidR="00C6534A">
        <w:rPr>
          <w:bCs/>
        </w:rPr>
        <w:t>[pers. A]</w:t>
      </w:r>
      <w:r>
        <w:rPr>
          <w:bCs/>
        </w:rPr>
        <w:t xml:space="preserve"> un viņa aizstāvis G. </w:t>
      </w:r>
      <w:proofErr w:type="spellStart"/>
      <w:r>
        <w:rPr>
          <w:bCs/>
        </w:rPr>
        <w:t>Štauers</w:t>
      </w:r>
      <w:proofErr w:type="spellEnd"/>
      <w:r>
        <w:rPr>
          <w:bCs/>
        </w:rPr>
        <w:t xml:space="preserve"> </w:t>
      </w:r>
      <w:r w:rsidR="006F52A6">
        <w:rPr>
          <w:bCs/>
        </w:rPr>
        <w:t>savlaicīgi tika informēt</w:t>
      </w:r>
      <w:r w:rsidR="003D7E74">
        <w:rPr>
          <w:bCs/>
        </w:rPr>
        <w:t>i</w:t>
      </w:r>
      <w:r w:rsidR="006F52A6">
        <w:rPr>
          <w:bCs/>
        </w:rPr>
        <w:t xml:space="preserve"> par lietas iztiesāšanu rakstveidā, apsūdzētais iebildumus pret to nebija iesniedzis, bet viņa aizstāvis piekrita lietas iztiesāšanai rakstveidā.</w:t>
      </w:r>
    </w:p>
    <w:p w14:paraId="5F3FC46C" w14:textId="67DBFCF4" w:rsidR="003C32A5" w:rsidRDefault="006F52A6" w:rsidP="003C32A5">
      <w:pPr>
        <w:widowControl w:val="0"/>
        <w:shd w:val="clear" w:color="auto" w:fill="FFFFFF"/>
        <w:spacing w:line="276" w:lineRule="auto"/>
        <w:ind w:firstLine="720"/>
        <w:jc w:val="both"/>
        <w:rPr>
          <w:bCs/>
        </w:rPr>
      </w:pPr>
      <w:r>
        <w:rPr>
          <w:bCs/>
        </w:rPr>
        <w:t>Ievērojot minēto, a</w:t>
      </w:r>
      <w:r w:rsidR="003C32A5">
        <w:rPr>
          <w:bCs/>
        </w:rPr>
        <w:t xml:space="preserve">pelācijas instances tiesa atzinusi, ka, ņemot vērā Kriminālprocesa likuma 14. panta otrajā daļā un 559. panta </w:t>
      </w:r>
      <w:bookmarkStart w:id="2" w:name="_Hlk236834860"/>
      <w:r w:rsidR="003C32A5">
        <w:rPr>
          <w:bCs/>
        </w:rPr>
        <w:t>4.</w:t>
      </w:r>
      <w:r w:rsidR="003C32A5">
        <w:rPr>
          <w:bCs/>
          <w:vertAlign w:val="superscript"/>
        </w:rPr>
        <w:t>1 </w:t>
      </w:r>
      <w:r w:rsidR="003C32A5">
        <w:rPr>
          <w:bCs/>
        </w:rPr>
        <w:t xml:space="preserve">daļā </w:t>
      </w:r>
      <w:bookmarkEnd w:id="2"/>
      <w:r w:rsidR="003C32A5">
        <w:rPr>
          <w:bCs/>
        </w:rPr>
        <w:t>noteikto, lietā nav konstatējami tādi apstākļi, kas būtu par pamatu lietas izskatīšanai mutvārdu procesā. Nolēmumu iespējams pieņemt pēc lietā esošajiem materiāliem, nav nepieciešama lietas dalībnieku uzklausīšana. Turklāt lietas dalībnieki nav iebilduši lietas izskatīšanai rakstveida procesā.</w:t>
      </w:r>
    </w:p>
    <w:p w14:paraId="4C9BC7F2" w14:textId="69E32D30" w:rsidR="00143737" w:rsidRPr="00C710A5" w:rsidRDefault="006F52A6" w:rsidP="00085745">
      <w:pPr>
        <w:widowControl w:val="0"/>
        <w:shd w:val="clear" w:color="auto" w:fill="FFFFFF"/>
        <w:spacing w:line="276" w:lineRule="auto"/>
        <w:ind w:firstLine="720"/>
        <w:jc w:val="both"/>
        <w:rPr>
          <w:bCs/>
        </w:rPr>
      </w:pPr>
      <w:r w:rsidRPr="00C710A5">
        <w:rPr>
          <w:bCs/>
        </w:rPr>
        <w:t xml:space="preserve">Vienlaikus Senāts norāda, ka </w:t>
      </w:r>
      <w:r w:rsidR="000C7756" w:rsidRPr="00C710A5">
        <w:rPr>
          <w:bCs/>
        </w:rPr>
        <w:t>apelācijas instances tiesa</w:t>
      </w:r>
      <w:r w:rsidRPr="00C710A5">
        <w:rPr>
          <w:bCs/>
        </w:rPr>
        <w:t>s</w:t>
      </w:r>
      <w:r w:rsidR="000C7756" w:rsidRPr="00C710A5">
        <w:rPr>
          <w:bCs/>
        </w:rPr>
        <w:t xml:space="preserve"> </w:t>
      </w:r>
      <w:r w:rsidR="00D43A87" w:rsidRPr="00C710A5">
        <w:rPr>
          <w:bCs/>
        </w:rPr>
        <w:t>pilnvaras</w:t>
      </w:r>
      <w:r w:rsidRPr="00C710A5">
        <w:rPr>
          <w:bCs/>
        </w:rPr>
        <w:t xml:space="preserve"> jauna sprieduma taisīšanā noteic Kriminālprocesa likuma 565.</w:t>
      </w:r>
      <w:r w:rsidR="00236C94">
        <w:rPr>
          <w:bCs/>
        </w:rPr>
        <w:t> </w:t>
      </w:r>
      <w:r w:rsidRPr="00C710A5">
        <w:rPr>
          <w:bCs/>
        </w:rPr>
        <w:t>pants, neatkarīgi no tā</w:t>
      </w:r>
      <w:r w:rsidR="00236C94">
        <w:rPr>
          <w:bCs/>
        </w:rPr>
        <w:t>,</w:t>
      </w:r>
      <w:r w:rsidRPr="00C710A5">
        <w:rPr>
          <w:bCs/>
        </w:rPr>
        <w:t xml:space="preserve"> vai lieta iztiesāta mutvārdu vai rakstveida procesā</w:t>
      </w:r>
      <w:r w:rsidR="00085745" w:rsidRPr="00C710A5">
        <w:rPr>
          <w:bCs/>
        </w:rPr>
        <w:t xml:space="preserve">, nevis </w:t>
      </w:r>
      <w:r w:rsidR="00236C94">
        <w:rPr>
          <w:bCs/>
        </w:rPr>
        <w:t xml:space="preserve">kasācijas sūdzībā norādītais </w:t>
      </w:r>
      <w:r w:rsidR="00085745" w:rsidRPr="00C710A5">
        <w:rPr>
          <w:bCs/>
        </w:rPr>
        <w:t>Kriminālprocesa likuma 563.</w:t>
      </w:r>
      <w:r w:rsidR="00236C94">
        <w:rPr>
          <w:bCs/>
        </w:rPr>
        <w:t> </w:t>
      </w:r>
      <w:r w:rsidR="00085745" w:rsidRPr="00C710A5">
        <w:rPr>
          <w:bCs/>
        </w:rPr>
        <w:t>pants</w:t>
      </w:r>
      <w:r w:rsidR="00236C94">
        <w:rPr>
          <w:bCs/>
        </w:rPr>
        <w:t>.</w:t>
      </w:r>
    </w:p>
    <w:p w14:paraId="0790C7EF" w14:textId="5BC0B0A2" w:rsidR="00B36B26" w:rsidRDefault="00B36B26" w:rsidP="00236C94">
      <w:pPr>
        <w:widowControl w:val="0"/>
        <w:shd w:val="clear" w:color="auto" w:fill="FFFFFF"/>
        <w:spacing w:line="276" w:lineRule="auto"/>
        <w:ind w:firstLine="720"/>
        <w:jc w:val="both"/>
      </w:pPr>
      <w:r>
        <w:rPr>
          <w:bCs/>
        </w:rPr>
        <w:t>Ievērojot minēto, aizstāvja kasācijas sūdzības argumenti nerada šaubas par pārsūdzētā nolēmuma tiesiskumu.</w:t>
      </w:r>
      <w:r w:rsidR="00236C94">
        <w:rPr>
          <w:bCs/>
        </w:rPr>
        <w:t xml:space="preserve"> </w:t>
      </w:r>
      <w:r w:rsidRPr="00E2331D">
        <w:t>Turklāt izskatāmajai lietai nav būtiskas nozīmes judikatūras veidošanā</w:t>
      </w:r>
      <w:r>
        <w:t>.</w:t>
      </w:r>
    </w:p>
    <w:p w14:paraId="5852D212" w14:textId="77777777" w:rsidR="00B36B26" w:rsidRDefault="00B36B26" w:rsidP="00B36B26">
      <w:pPr>
        <w:widowControl w:val="0"/>
        <w:spacing w:line="276" w:lineRule="auto"/>
        <w:ind w:firstLine="720"/>
        <w:jc w:val="both"/>
      </w:pPr>
      <w:r>
        <w:t>Minētais ir pamats</w:t>
      </w:r>
      <w:r w:rsidRPr="00E2331D">
        <w:t xml:space="preserve"> atteikumam ierosināt kasācijas tiesvedību </w:t>
      </w:r>
      <w:r>
        <w:t xml:space="preserve">saskaņā ar </w:t>
      </w:r>
      <w:r w:rsidRPr="00E2331D">
        <w:t>Kriminālprocesa likuma 573.</w:t>
      </w:r>
      <w:r w:rsidRPr="00E2331D">
        <w:rPr>
          <w:vertAlign w:val="superscript"/>
        </w:rPr>
        <w:t>1</w:t>
      </w:r>
      <w:r>
        <w:t> </w:t>
      </w:r>
      <w:r w:rsidRPr="00E2331D">
        <w:t>panta otrās daļas 2.</w:t>
      </w:r>
      <w:r>
        <w:t> </w:t>
      </w:r>
      <w:r w:rsidRPr="00E2331D">
        <w:t>punkt</w:t>
      </w:r>
      <w:r>
        <w:t>u.</w:t>
      </w:r>
    </w:p>
    <w:p w14:paraId="7C51E9DB" w14:textId="7C0184EF" w:rsidR="00B36B26" w:rsidRPr="005A0638" w:rsidRDefault="00B36B26" w:rsidP="00B36B26">
      <w:pPr>
        <w:widowControl w:val="0"/>
        <w:spacing w:line="276" w:lineRule="auto"/>
        <w:ind w:firstLine="720"/>
        <w:jc w:val="both"/>
      </w:pPr>
      <w:r w:rsidRPr="00410092">
        <w:t xml:space="preserve">Pamatojoties uz Kriminālprocesa </w:t>
      </w:r>
      <w:r w:rsidRPr="00322C2B">
        <w:t>likuma 573. panta trešo un piekto daļu, 573.</w:t>
      </w:r>
      <w:r w:rsidRPr="00322C2B">
        <w:rPr>
          <w:vertAlign w:val="superscript"/>
        </w:rPr>
        <w:t>1</w:t>
      </w:r>
      <w:r w:rsidRPr="00322C2B">
        <w:t> panta otrās daļas 2. punktu, Senāts</w:t>
      </w:r>
    </w:p>
    <w:p w14:paraId="6D857748" w14:textId="77777777" w:rsidR="00B36B26" w:rsidRPr="00F54D02" w:rsidRDefault="00B36B26" w:rsidP="00B36B26">
      <w:pPr>
        <w:widowControl w:val="0"/>
        <w:shd w:val="clear" w:color="auto" w:fill="FFFFFF"/>
        <w:spacing w:line="276" w:lineRule="auto"/>
        <w:ind w:firstLine="720"/>
        <w:jc w:val="both"/>
        <w:rPr>
          <w:bCs/>
        </w:rPr>
      </w:pPr>
    </w:p>
    <w:p w14:paraId="343E07C2" w14:textId="77777777" w:rsidR="00B36B26" w:rsidRDefault="00B36B26" w:rsidP="00B36B26">
      <w:pPr>
        <w:widowControl w:val="0"/>
        <w:shd w:val="clear" w:color="auto" w:fill="FFFFFF"/>
        <w:spacing w:line="276" w:lineRule="auto"/>
        <w:jc w:val="center"/>
        <w:rPr>
          <w:b/>
        </w:rPr>
      </w:pPr>
      <w:r>
        <w:rPr>
          <w:b/>
        </w:rPr>
        <w:t>nolēma</w:t>
      </w:r>
    </w:p>
    <w:p w14:paraId="4ABC6808" w14:textId="77777777" w:rsidR="00B36B26" w:rsidRPr="00A53E41" w:rsidRDefault="00B36B26" w:rsidP="00B36B26">
      <w:pPr>
        <w:widowControl w:val="0"/>
        <w:shd w:val="clear" w:color="auto" w:fill="FFFFFF"/>
        <w:spacing w:line="276" w:lineRule="auto"/>
        <w:ind w:firstLine="720"/>
        <w:jc w:val="both"/>
        <w:rPr>
          <w:b/>
        </w:rPr>
      </w:pPr>
    </w:p>
    <w:p w14:paraId="38EFCA7B" w14:textId="77777777" w:rsidR="00B36B26" w:rsidRDefault="00B36B26" w:rsidP="00B36B26">
      <w:pPr>
        <w:widowControl w:val="0"/>
        <w:spacing w:line="276" w:lineRule="auto"/>
        <w:ind w:firstLine="720"/>
        <w:jc w:val="both"/>
      </w:pPr>
      <w:r>
        <w:t>atteikt ierosināt kasācijas tiesvedību.</w:t>
      </w:r>
    </w:p>
    <w:p w14:paraId="6237A6C6" w14:textId="77777777" w:rsidR="00B36B26" w:rsidRDefault="00B36B26" w:rsidP="00B36B26">
      <w:pPr>
        <w:widowControl w:val="0"/>
        <w:spacing w:line="276" w:lineRule="auto"/>
        <w:ind w:firstLine="720"/>
        <w:jc w:val="both"/>
      </w:pPr>
    </w:p>
    <w:p w14:paraId="0DB85FA6" w14:textId="33D25866" w:rsidR="00B36B26" w:rsidRDefault="00B36B26" w:rsidP="00C6534A">
      <w:pPr>
        <w:widowControl w:val="0"/>
        <w:spacing w:line="276" w:lineRule="auto"/>
        <w:ind w:firstLine="720"/>
        <w:jc w:val="both"/>
      </w:pPr>
      <w:r>
        <w:t>Lēmums nav pārsūdzams</w:t>
      </w:r>
      <w:r w:rsidR="00C6534A">
        <w:t>.</w:t>
      </w:r>
    </w:p>
    <w:p w14:paraId="44DA175E" w14:textId="77777777" w:rsidR="000A3D39" w:rsidRDefault="000A3D39" w:rsidP="00C6534A">
      <w:pPr>
        <w:widowControl w:val="0"/>
        <w:tabs>
          <w:tab w:val="left" w:pos="2880"/>
        </w:tabs>
        <w:spacing w:line="276" w:lineRule="auto"/>
        <w:jc w:val="both"/>
        <w:rPr>
          <w:sz w:val="2"/>
          <w:szCs w:val="2"/>
        </w:rPr>
      </w:pPr>
    </w:p>
    <w:sectPr w:rsidR="000A3D39" w:rsidSect="00E443E7">
      <w:footerReference w:type="default" r:id="rId12"/>
      <w:pgSz w:w="12240" w:h="15840"/>
      <w:pgMar w:top="1077" w:right="1644" w:bottom="284" w:left="164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52A9" w14:textId="77777777" w:rsidR="00857CD3" w:rsidRDefault="00857CD3">
      <w:r>
        <w:separator/>
      </w:r>
    </w:p>
  </w:endnote>
  <w:endnote w:type="continuationSeparator" w:id="0">
    <w:p w14:paraId="65520DEB" w14:textId="77777777" w:rsidR="00857CD3" w:rsidRDefault="00857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331523"/>
      <w:docPartObj>
        <w:docPartGallery w:val="Page Numbers (Bottom of Page)"/>
        <w:docPartUnique/>
      </w:docPartObj>
    </w:sdtPr>
    <w:sdtEndPr>
      <w:rPr>
        <w:sz w:val="20"/>
        <w:szCs w:val="20"/>
      </w:rPr>
    </w:sdtEndPr>
    <w:sdtContent>
      <w:sdt>
        <w:sdtPr>
          <w:rPr>
            <w:sz w:val="20"/>
            <w:szCs w:val="20"/>
          </w:rPr>
          <w:id w:val="1728636285"/>
          <w:docPartObj>
            <w:docPartGallery w:val="Page Numbers (Top of Page)"/>
            <w:docPartUnique/>
          </w:docPartObj>
        </w:sdtPr>
        <w:sdtEndPr/>
        <w:sdtContent>
          <w:p w14:paraId="7DCC290E" w14:textId="77777777" w:rsidR="00B36B26" w:rsidRDefault="00B36B26" w:rsidP="00A64674">
            <w:pPr>
              <w:pStyle w:val="Footer"/>
              <w:jc w:val="center"/>
            </w:pPr>
            <w:r w:rsidRPr="00A64674">
              <w:rPr>
                <w:sz w:val="20"/>
                <w:szCs w:val="20"/>
              </w:rPr>
              <w:fldChar w:fldCharType="begin"/>
            </w:r>
            <w:r w:rsidRPr="00A64674">
              <w:rPr>
                <w:sz w:val="20"/>
                <w:szCs w:val="20"/>
              </w:rPr>
              <w:instrText xml:space="preserve"> PAGE </w:instrText>
            </w:r>
            <w:r w:rsidRPr="00A64674">
              <w:rPr>
                <w:sz w:val="20"/>
                <w:szCs w:val="20"/>
              </w:rPr>
              <w:fldChar w:fldCharType="separate"/>
            </w:r>
            <w:r w:rsidRPr="00A64674">
              <w:rPr>
                <w:noProof/>
                <w:sz w:val="20"/>
                <w:szCs w:val="20"/>
              </w:rPr>
              <w:t>2</w:t>
            </w:r>
            <w:r w:rsidRPr="00A64674">
              <w:rPr>
                <w:sz w:val="20"/>
                <w:szCs w:val="20"/>
              </w:rPr>
              <w:fldChar w:fldCharType="end"/>
            </w:r>
            <w:r w:rsidRPr="00A64674">
              <w:rPr>
                <w:sz w:val="20"/>
                <w:szCs w:val="20"/>
              </w:rPr>
              <w:t xml:space="preserve"> no </w:t>
            </w:r>
            <w:r w:rsidRPr="00A64674">
              <w:rPr>
                <w:sz w:val="20"/>
                <w:szCs w:val="20"/>
              </w:rPr>
              <w:fldChar w:fldCharType="begin"/>
            </w:r>
            <w:r w:rsidRPr="00A64674">
              <w:rPr>
                <w:sz w:val="20"/>
                <w:szCs w:val="20"/>
              </w:rPr>
              <w:instrText xml:space="preserve"> NUMPAGES  </w:instrText>
            </w:r>
            <w:r w:rsidRPr="00A64674">
              <w:rPr>
                <w:sz w:val="20"/>
                <w:szCs w:val="20"/>
              </w:rPr>
              <w:fldChar w:fldCharType="separate"/>
            </w:r>
            <w:r w:rsidRPr="00A64674">
              <w:rPr>
                <w:noProof/>
                <w:sz w:val="20"/>
                <w:szCs w:val="20"/>
              </w:rPr>
              <w:t>2</w:t>
            </w:r>
            <w:r w:rsidRPr="00A64674">
              <w:rPr>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5DE8A" w14:textId="77777777" w:rsidR="00857CD3" w:rsidRDefault="00857CD3">
      <w:r>
        <w:separator/>
      </w:r>
    </w:p>
  </w:footnote>
  <w:footnote w:type="continuationSeparator" w:id="0">
    <w:p w14:paraId="21B27E6C" w14:textId="77777777" w:rsidR="00857CD3" w:rsidRDefault="00857C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B26"/>
    <w:rsid w:val="00042B51"/>
    <w:rsid w:val="000665AF"/>
    <w:rsid w:val="00073D83"/>
    <w:rsid w:val="00085745"/>
    <w:rsid w:val="000A3D39"/>
    <w:rsid w:val="000B6DDE"/>
    <w:rsid w:val="000C7756"/>
    <w:rsid w:val="00143737"/>
    <w:rsid w:val="001528D6"/>
    <w:rsid w:val="00155E5A"/>
    <w:rsid w:val="00181D5F"/>
    <w:rsid w:val="001C1B34"/>
    <w:rsid w:val="00222AD9"/>
    <w:rsid w:val="00236C94"/>
    <w:rsid w:val="002A6896"/>
    <w:rsid w:val="002E5C81"/>
    <w:rsid w:val="00344FC6"/>
    <w:rsid w:val="003C32A5"/>
    <w:rsid w:val="003D7E74"/>
    <w:rsid w:val="00400DE0"/>
    <w:rsid w:val="0054137A"/>
    <w:rsid w:val="005474D6"/>
    <w:rsid w:val="00560D42"/>
    <w:rsid w:val="00564F92"/>
    <w:rsid w:val="006B36E9"/>
    <w:rsid w:val="006F52A6"/>
    <w:rsid w:val="00724808"/>
    <w:rsid w:val="007343CF"/>
    <w:rsid w:val="007573E1"/>
    <w:rsid w:val="007A1D73"/>
    <w:rsid w:val="00857CD3"/>
    <w:rsid w:val="00891A5A"/>
    <w:rsid w:val="008A6636"/>
    <w:rsid w:val="008B6DB9"/>
    <w:rsid w:val="009024F2"/>
    <w:rsid w:val="00963FF5"/>
    <w:rsid w:val="00A04DA8"/>
    <w:rsid w:val="00A249D9"/>
    <w:rsid w:val="00A31662"/>
    <w:rsid w:val="00A54F63"/>
    <w:rsid w:val="00A70C5C"/>
    <w:rsid w:val="00AA2545"/>
    <w:rsid w:val="00AB4C2B"/>
    <w:rsid w:val="00AB7D83"/>
    <w:rsid w:val="00AC0B11"/>
    <w:rsid w:val="00AD6253"/>
    <w:rsid w:val="00B04BBB"/>
    <w:rsid w:val="00B32214"/>
    <w:rsid w:val="00B36B26"/>
    <w:rsid w:val="00B91667"/>
    <w:rsid w:val="00BA77A4"/>
    <w:rsid w:val="00C43CC7"/>
    <w:rsid w:val="00C6534A"/>
    <w:rsid w:val="00C710A5"/>
    <w:rsid w:val="00D055BC"/>
    <w:rsid w:val="00D1269D"/>
    <w:rsid w:val="00D1497A"/>
    <w:rsid w:val="00D236FB"/>
    <w:rsid w:val="00D43A87"/>
    <w:rsid w:val="00D76018"/>
    <w:rsid w:val="00D940DB"/>
    <w:rsid w:val="00D97A54"/>
    <w:rsid w:val="00DA0335"/>
    <w:rsid w:val="00DA79BD"/>
    <w:rsid w:val="00E443E7"/>
    <w:rsid w:val="00E67C3C"/>
    <w:rsid w:val="00E96BAE"/>
    <w:rsid w:val="00EB2726"/>
    <w:rsid w:val="00F05002"/>
    <w:rsid w:val="00F33664"/>
    <w:rsid w:val="00F80F1C"/>
    <w:rsid w:val="00FA77A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573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B26"/>
    <w:pPr>
      <w:spacing w:after="0" w:line="240" w:lineRule="auto"/>
    </w:pPr>
    <w:rPr>
      <w:rFonts w:eastAsia="Times New Roman" w:cs="Times New Roman"/>
      <w:kern w:val="0"/>
      <w:szCs w:val="24"/>
      <w:lang w:eastAsia="ru-RU"/>
      <w14:ligatures w14:val="none"/>
    </w:rPr>
  </w:style>
  <w:style w:type="paragraph" w:styleId="Heading1">
    <w:name w:val="heading 1"/>
    <w:basedOn w:val="Normal"/>
    <w:next w:val="Normal"/>
    <w:link w:val="Heading1Char"/>
    <w:uiPriority w:val="9"/>
    <w:qFormat/>
    <w:rsid w:val="00B36B26"/>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36B26"/>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36B26"/>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36B26"/>
    <w:pPr>
      <w:keepNext/>
      <w:keepLines/>
      <w:spacing w:before="80" w:after="40" w:line="259" w:lineRule="auto"/>
      <w:outlineLvl w:val="3"/>
    </w:pPr>
    <w:rPr>
      <w:rFonts w:asciiTheme="minorHAnsi" w:eastAsiaTheme="majorEastAsia" w:hAnsiTheme="minorHAnsi" w:cstheme="majorBidi"/>
      <w:i/>
      <w:iCs/>
      <w:color w:val="2F5496" w:themeColor="accent1" w:themeShade="BF"/>
      <w:kern w:val="2"/>
      <w:szCs w:val="22"/>
      <w:lang w:eastAsia="en-US"/>
      <w14:ligatures w14:val="standardContextual"/>
    </w:rPr>
  </w:style>
  <w:style w:type="paragraph" w:styleId="Heading5">
    <w:name w:val="heading 5"/>
    <w:basedOn w:val="Normal"/>
    <w:next w:val="Normal"/>
    <w:link w:val="Heading5Char"/>
    <w:uiPriority w:val="9"/>
    <w:semiHidden/>
    <w:unhideWhenUsed/>
    <w:qFormat/>
    <w:rsid w:val="00B36B26"/>
    <w:pPr>
      <w:keepNext/>
      <w:keepLines/>
      <w:spacing w:before="80" w:after="40" w:line="259" w:lineRule="auto"/>
      <w:outlineLvl w:val="4"/>
    </w:pPr>
    <w:rPr>
      <w:rFonts w:asciiTheme="minorHAnsi" w:eastAsiaTheme="majorEastAsia" w:hAnsiTheme="minorHAnsi" w:cstheme="majorBidi"/>
      <w:color w:val="2F5496" w:themeColor="accent1" w:themeShade="BF"/>
      <w:kern w:val="2"/>
      <w:szCs w:val="22"/>
      <w:lang w:eastAsia="en-US"/>
      <w14:ligatures w14:val="standardContextual"/>
    </w:rPr>
  </w:style>
  <w:style w:type="paragraph" w:styleId="Heading6">
    <w:name w:val="heading 6"/>
    <w:basedOn w:val="Normal"/>
    <w:next w:val="Normal"/>
    <w:link w:val="Heading6Char"/>
    <w:uiPriority w:val="9"/>
    <w:semiHidden/>
    <w:unhideWhenUsed/>
    <w:qFormat/>
    <w:rsid w:val="00B36B26"/>
    <w:pPr>
      <w:keepNext/>
      <w:keepLines/>
      <w:spacing w:before="40" w:line="259" w:lineRule="auto"/>
      <w:outlineLvl w:val="5"/>
    </w:pPr>
    <w:rPr>
      <w:rFonts w:asciiTheme="minorHAnsi" w:eastAsiaTheme="majorEastAsia" w:hAnsiTheme="minorHAnsi" w:cstheme="majorBidi"/>
      <w:i/>
      <w:iCs/>
      <w:color w:val="595959" w:themeColor="text1" w:themeTint="A6"/>
      <w:kern w:val="2"/>
      <w:szCs w:val="22"/>
      <w:lang w:eastAsia="en-US"/>
      <w14:ligatures w14:val="standardContextual"/>
    </w:rPr>
  </w:style>
  <w:style w:type="paragraph" w:styleId="Heading7">
    <w:name w:val="heading 7"/>
    <w:basedOn w:val="Normal"/>
    <w:next w:val="Normal"/>
    <w:link w:val="Heading7Char"/>
    <w:uiPriority w:val="9"/>
    <w:semiHidden/>
    <w:unhideWhenUsed/>
    <w:qFormat/>
    <w:rsid w:val="00B36B26"/>
    <w:pPr>
      <w:keepNext/>
      <w:keepLines/>
      <w:spacing w:before="40" w:line="259" w:lineRule="auto"/>
      <w:outlineLvl w:val="6"/>
    </w:pPr>
    <w:rPr>
      <w:rFonts w:asciiTheme="minorHAnsi" w:eastAsiaTheme="majorEastAsia" w:hAnsiTheme="minorHAnsi" w:cstheme="majorBidi"/>
      <w:color w:val="595959" w:themeColor="text1" w:themeTint="A6"/>
      <w:kern w:val="2"/>
      <w:szCs w:val="22"/>
      <w:lang w:eastAsia="en-US"/>
      <w14:ligatures w14:val="standardContextual"/>
    </w:rPr>
  </w:style>
  <w:style w:type="paragraph" w:styleId="Heading8">
    <w:name w:val="heading 8"/>
    <w:basedOn w:val="Normal"/>
    <w:next w:val="Normal"/>
    <w:link w:val="Heading8Char"/>
    <w:uiPriority w:val="9"/>
    <w:semiHidden/>
    <w:unhideWhenUsed/>
    <w:qFormat/>
    <w:rsid w:val="00B36B26"/>
    <w:pPr>
      <w:keepNext/>
      <w:keepLines/>
      <w:spacing w:line="259" w:lineRule="auto"/>
      <w:outlineLvl w:val="7"/>
    </w:pPr>
    <w:rPr>
      <w:rFonts w:asciiTheme="minorHAnsi" w:eastAsiaTheme="majorEastAsia" w:hAnsiTheme="minorHAnsi" w:cstheme="majorBidi"/>
      <w:i/>
      <w:iCs/>
      <w:color w:val="272727" w:themeColor="text1" w:themeTint="D8"/>
      <w:kern w:val="2"/>
      <w:szCs w:val="22"/>
      <w:lang w:eastAsia="en-US"/>
      <w14:ligatures w14:val="standardContextual"/>
    </w:rPr>
  </w:style>
  <w:style w:type="paragraph" w:styleId="Heading9">
    <w:name w:val="heading 9"/>
    <w:basedOn w:val="Normal"/>
    <w:next w:val="Normal"/>
    <w:link w:val="Heading9Char"/>
    <w:uiPriority w:val="9"/>
    <w:semiHidden/>
    <w:unhideWhenUsed/>
    <w:qFormat/>
    <w:rsid w:val="00B36B26"/>
    <w:pPr>
      <w:keepNext/>
      <w:keepLines/>
      <w:spacing w:line="259" w:lineRule="auto"/>
      <w:outlineLvl w:val="8"/>
    </w:pPr>
    <w:rPr>
      <w:rFonts w:asciiTheme="minorHAnsi" w:eastAsiaTheme="majorEastAsia" w:hAnsiTheme="minorHAnsi" w:cstheme="majorBidi"/>
      <w:color w:val="272727" w:themeColor="text1" w:themeTint="D8"/>
      <w:kern w:val="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B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6B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6B26"/>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6B26"/>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36B26"/>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36B2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36B2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36B2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36B2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36B2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36B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B2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36B2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36B26"/>
    <w:pPr>
      <w:spacing w:before="160" w:after="160" w:line="259" w:lineRule="auto"/>
      <w:jc w:val="center"/>
    </w:pPr>
    <w:rPr>
      <w:rFonts w:eastAsiaTheme="minorHAnsi" w:cstheme="minorBidi"/>
      <w:i/>
      <w:iCs/>
      <w:color w:val="404040" w:themeColor="text1" w:themeTint="BF"/>
      <w:kern w:val="2"/>
      <w:szCs w:val="22"/>
      <w:lang w:eastAsia="en-US"/>
      <w14:ligatures w14:val="standardContextual"/>
    </w:rPr>
  </w:style>
  <w:style w:type="character" w:customStyle="1" w:styleId="QuoteChar">
    <w:name w:val="Quote Char"/>
    <w:basedOn w:val="DefaultParagraphFont"/>
    <w:link w:val="Quote"/>
    <w:uiPriority w:val="29"/>
    <w:rsid w:val="00B36B26"/>
    <w:rPr>
      <w:i/>
      <w:iCs/>
      <w:color w:val="404040" w:themeColor="text1" w:themeTint="BF"/>
    </w:rPr>
  </w:style>
  <w:style w:type="paragraph" w:styleId="ListParagraph">
    <w:name w:val="List Paragraph"/>
    <w:basedOn w:val="Normal"/>
    <w:uiPriority w:val="34"/>
    <w:qFormat/>
    <w:rsid w:val="00B36B26"/>
    <w:pPr>
      <w:spacing w:after="160" w:line="259" w:lineRule="auto"/>
      <w:ind w:left="720"/>
      <w:contextualSpacing/>
    </w:pPr>
    <w:rPr>
      <w:rFonts w:eastAsiaTheme="minorHAnsi" w:cstheme="minorBidi"/>
      <w:kern w:val="2"/>
      <w:szCs w:val="22"/>
      <w:lang w:eastAsia="en-US"/>
      <w14:ligatures w14:val="standardContextual"/>
    </w:rPr>
  </w:style>
  <w:style w:type="character" w:styleId="IntenseEmphasis">
    <w:name w:val="Intense Emphasis"/>
    <w:basedOn w:val="DefaultParagraphFont"/>
    <w:uiPriority w:val="21"/>
    <w:qFormat/>
    <w:rsid w:val="00B36B26"/>
    <w:rPr>
      <w:i/>
      <w:iCs/>
      <w:color w:val="2F5496" w:themeColor="accent1" w:themeShade="BF"/>
    </w:rPr>
  </w:style>
  <w:style w:type="paragraph" w:styleId="IntenseQuote">
    <w:name w:val="Intense Quote"/>
    <w:basedOn w:val="Normal"/>
    <w:next w:val="Normal"/>
    <w:link w:val="IntenseQuoteChar"/>
    <w:uiPriority w:val="30"/>
    <w:qFormat/>
    <w:rsid w:val="00B36B2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cstheme="minorBidi"/>
      <w:i/>
      <w:iCs/>
      <w:color w:val="2F5496" w:themeColor="accent1" w:themeShade="BF"/>
      <w:kern w:val="2"/>
      <w:szCs w:val="22"/>
      <w:lang w:eastAsia="en-US"/>
      <w14:ligatures w14:val="standardContextual"/>
    </w:rPr>
  </w:style>
  <w:style w:type="character" w:customStyle="1" w:styleId="IntenseQuoteChar">
    <w:name w:val="Intense Quote Char"/>
    <w:basedOn w:val="DefaultParagraphFont"/>
    <w:link w:val="IntenseQuote"/>
    <w:uiPriority w:val="30"/>
    <w:rsid w:val="00B36B26"/>
    <w:rPr>
      <w:i/>
      <w:iCs/>
      <w:color w:val="2F5496" w:themeColor="accent1" w:themeShade="BF"/>
    </w:rPr>
  </w:style>
  <w:style w:type="character" w:styleId="IntenseReference">
    <w:name w:val="Intense Reference"/>
    <w:basedOn w:val="DefaultParagraphFont"/>
    <w:uiPriority w:val="32"/>
    <w:qFormat/>
    <w:rsid w:val="00B36B26"/>
    <w:rPr>
      <w:b/>
      <w:bCs/>
      <w:smallCaps/>
      <w:color w:val="2F5496" w:themeColor="accent1" w:themeShade="BF"/>
      <w:spacing w:val="5"/>
    </w:rPr>
  </w:style>
  <w:style w:type="table" w:styleId="TableGrid">
    <w:name w:val="Table Grid"/>
    <w:basedOn w:val="TableNormal"/>
    <w:rsid w:val="00B36B26"/>
    <w:pPr>
      <w:spacing w:after="0" w:line="240" w:lineRule="auto"/>
    </w:pPr>
    <w:rPr>
      <w:rFonts w:eastAsia="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6B26"/>
    <w:rPr>
      <w:color w:val="0563C1" w:themeColor="hyperlink"/>
      <w:u w:val="single"/>
    </w:rPr>
  </w:style>
  <w:style w:type="paragraph" w:styleId="Footer">
    <w:name w:val="footer"/>
    <w:basedOn w:val="Normal"/>
    <w:link w:val="FooterChar"/>
    <w:uiPriority w:val="99"/>
    <w:unhideWhenUsed/>
    <w:rsid w:val="00B36B26"/>
    <w:pPr>
      <w:tabs>
        <w:tab w:val="center" w:pos="4153"/>
        <w:tab w:val="right" w:pos="8306"/>
      </w:tabs>
    </w:pPr>
  </w:style>
  <w:style w:type="character" w:customStyle="1" w:styleId="FooterChar">
    <w:name w:val="Footer Char"/>
    <w:basedOn w:val="DefaultParagraphFont"/>
    <w:link w:val="Footer"/>
    <w:uiPriority w:val="99"/>
    <w:rsid w:val="00B36B26"/>
    <w:rPr>
      <w:rFonts w:eastAsia="Times New Roman" w:cs="Times New Roman"/>
      <w:kern w:val="0"/>
      <w:szCs w:val="24"/>
      <w:lang w:eastAsia="ru-RU"/>
      <w14:ligatures w14:val="none"/>
    </w:rPr>
  </w:style>
  <w:style w:type="character" w:styleId="FollowedHyperlink">
    <w:name w:val="FollowedHyperlink"/>
    <w:basedOn w:val="DefaultParagraphFont"/>
    <w:uiPriority w:val="99"/>
    <w:semiHidden/>
    <w:unhideWhenUsed/>
    <w:rsid w:val="00AB4C2B"/>
    <w:rPr>
      <w:color w:val="954F72" w:themeColor="followedHyperlink"/>
      <w:u w:val="single"/>
    </w:rPr>
  </w:style>
  <w:style w:type="paragraph" w:styleId="Revision">
    <w:name w:val="Revision"/>
    <w:hidden/>
    <w:uiPriority w:val="99"/>
    <w:semiHidden/>
    <w:rsid w:val="00D97A54"/>
    <w:pPr>
      <w:spacing w:after="0" w:line="240" w:lineRule="auto"/>
    </w:pPr>
    <w:rPr>
      <w:rFonts w:eastAsia="Times New Roman" w:cs="Times New Roman"/>
      <w:kern w:val="0"/>
      <w:szCs w:val="24"/>
      <w:lang w:eastAsia="ru-RU"/>
      <w14:ligatures w14:val="none"/>
    </w:rPr>
  </w:style>
  <w:style w:type="character" w:styleId="CommentReference">
    <w:name w:val="annotation reference"/>
    <w:basedOn w:val="DefaultParagraphFont"/>
    <w:uiPriority w:val="99"/>
    <w:semiHidden/>
    <w:unhideWhenUsed/>
    <w:rsid w:val="00D97A54"/>
    <w:rPr>
      <w:sz w:val="16"/>
      <w:szCs w:val="16"/>
    </w:rPr>
  </w:style>
  <w:style w:type="paragraph" w:styleId="CommentText">
    <w:name w:val="annotation text"/>
    <w:basedOn w:val="Normal"/>
    <w:link w:val="CommentTextChar"/>
    <w:uiPriority w:val="99"/>
    <w:unhideWhenUsed/>
    <w:rsid w:val="00D97A54"/>
    <w:rPr>
      <w:sz w:val="20"/>
      <w:szCs w:val="20"/>
    </w:rPr>
  </w:style>
  <w:style w:type="character" w:customStyle="1" w:styleId="CommentTextChar">
    <w:name w:val="Comment Text Char"/>
    <w:basedOn w:val="DefaultParagraphFont"/>
    <w:link w:val="CommentText"/>
    <w:uiPriority w:val="99"/>
    <w:rsid w:val="00D97A54"/>
    <w:rPr>
      <w:rFonts w:eastAsia="Times New Roman" w:cs="Times New Roman"/>
      <w:kern w:val="0"/>
      <w:sz w:val="20"/>
      <w:szCs w:val="20"/>
      <w:lang w:eastAsia="ru-RU"/>
      <w14:ligatures w14:val="none"/>
    </w:rPr>
  </w:style>
  <w:style w:type="paragraph" w:styleId="CommentSubject">
    <w:name w:val="annotation subject"/>
    <w:basedOn w:val="CommentText"/>
    <w:next w:val="CommentText"/>
    <w:link w:val="CommentSubjectChar"/>
    <w:uiPriority w:val="99"/>
    <w:semiHidden/>
    <w:unhideWhenUsed/>
    <w:rsid w:val="00D97A54"/>
    <w:rPr>
      <w:b/>
      <w:bCs/>
    </w:rPr>
  </w:style>
  <w:style w:type="character" w:customStyle="1" w:styleId="CommentSubjectChar">
    <w:name w:val="Comment Subject Char"/>
    <w:basedOn w:val="CommentTextChar"/>
    <w:link w:val="CommentSubject"/>
    <w:uiPriority w:val="99"/>
    <w:semiHidden/>
    <w:rsid w:val="00D97A54"/>
    <w:rPr>
      <w:rFonts w:eastAsia="Times New Roman" w:cs="Times New Roman"/>
      <w:b/>
      <w:bCs/>
      <w:kern w:val="0"/>
      <w:sz w:val="20"/>
      <w:szCs w:val="20"/>
      <w:lang w:eastAsia="ru-RU"/>
      <w14:ligatures w14:val="none"/>
    </w:rPr>
  </w:style>
  <w:style w:type="paragraph" w:styleId="Header">
    <w:name w:val="header"/>
    <w:basedOn w:val="Normal"/>
    <w:link w:val="HeaderChar"/>
    <w:uiPriority w:val="99"/>
    <w:unhideWhenUsed/>
    <w:rsid w:val="00724808"/>
    <w:pPr>
      <w:tabs>
        <w:tab w:val="center" w:pos="4320"/>
        <w:tab w:val="right" w:pos="8640"/>
      </w:tabs>
    </w:pPr>
  </w:style>
  <w:style w:type="character" w:customStyle="1" w:styleId="HeaderChar">
    <w:name w:val="Header Char"/>
    <w:basedOn w:val="DefaultParagraphFont"/>
    <w:link w:val="Header"/>
    <w:uiPriority w:val="99"/>
    <w:rsid w:val="00724808"/>
    <w:rPr>
      <w:rFonts w:eastAsia="Times New Roman" w:cs="Times New Roman"/>
      <w:kern w:val="0"/>
      <w:szCs w:val="24"/>
      <w:lang w:eastAsia="ru-RU"/>
      <w14:ligatures w14:val="none"/>
    </w:rPr>
  </w:style>
  <w:style w:type="character" w:styleId="UnresolvedMention">
    <w:name w:val="Unresolved Mention"/>
    <w:basedOn w:val="DefaultParagraphFont"/>
    <w:uiPriority w:val="99"/>
    <w:semiHidden/>
    <w:unhideWhenUsed/>
    <w:rsid w:val="00C65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doc.echr.coe.int/eng?i=001-5797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udoc.echr.coe.int/eng?i=001-57867"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ateway.elieta.lv/api/v1/PublicMaterialDownload/7e82bd46-605a-4f4f-aa12-344b08c59135" TargetMode="External"/><Relationship Id="rId11" Type="http://schemas.openxmlformats.org/officeDocument/2006/relationships/hyperlink" Target="https://www.at.gov.lv/downloadlawfile/8149" TargetMode="External"/><Relationship Id="rId5" Type="http://schemas.openxmlformats.org/officeDocument/2006/relationships/endnotes" Target="endnotes.xml"/><Relationship Id="rId10" Type="http://schemas.openxmlformats.org/officeDocument/2006/relationships/hyperlink" Target="https://hudoc.echr.coe.int/eng?i=001-60737" TargetMode="External"/><Relationship Id="rId4" Type="http://schemas.openxmlformats.org/officeDocument/2006/relationships/footnotes" Target="footnotes.xml"/><Relationship Id="rId9" Type="http://schemas.openxmlformats.org/officeDocument/2006/relationships/hyperlink" Target="https://hudoc.echr.coe.int/eng?i=001-5797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2026-09-09T07:45:00Z</dcterms:created>
  <dcterms:modified xsi:type="dcterms:W3CDTF">2026-09-10T08:42:00Z</dcterms:modified>
</cp:coreProperties>
</file>