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B166D" w14:textId="69FBD58E" w:rsidR="00107C8B" w:rsidRPr="00107C8B" w:rsidRDefault="00107C8B" w:rsidP="00107C8B">
      <w:pPr>
        <w:spacing w:before="240" w:line="240" w:lineRule="auto"/>
        <w:jc w:val="right"/>
        <w:rPr>
          <w:rFonts w:ascii="Times New Roman" w:hAnsi="Times New Roman"/>
          <w:b/>
          <w:sz w:val="24"/>
          <w:szCs w:val="24"/>
          <w:lang w:val="lv-LV"/>
        </w:rPr>
      </w:pPr>
      <w:bookmarkStart w:id="0" w:name="_GoBack"/>
      <w:bookmarkEnd w:id="0"/>
      <w:r w:rsidRPr="00107C8B">
        <w:rPr>
          <w:rFonts w:ascii="Times New Roman" w:hAnsi="Times New Roman"/>
          <w:b/>
          <w:bCs/>
          <w:sz w:val="24"/>
          <w:szCs w:val="24"/>
          <w:lang w:val="lv-LV" w:eastAsia="lv-LV"/>
        </w:rPr>
        <w:t xml:space="preserve">„Skatīt JUDIKATŪRAS MAIŅU NOLĒMUMĀ </w:t>
      </w:r>
      <w:r w:rsidRPr="00107C8B">
        <w:rPr>
          <w:rFonts w:ascii="Times New Roman" w:hAnsi="Times New Roman"/>
          <w:b/>
          <w:sz w:val="24"/>
          <w:szCs w:val="24"/>
          <w:lang w:val="lv-LV"/>
        </w:rPr>
        <w:t>SKA-1372/2018”</w:t>
      </w:r>
    </w:p>
    <w:p w14:paraId="129CFDA7" w14:textId="4C484E92" w:rsidR="007557C0" w:rsidRPr="00107C8B" w:rsidRDefault="00107C8B" w:rsidP="00107C8B">
      <w:pPr>
        <w:spacing w:after="0" w:line="276" w:lineRule="auto"/>
        <w:jc w:val="both"/>
        <w:rPr>
          <w:rFonts w:ascii="Times New Roman" w:hAnsi="Times New Roman"/>
          <w:b/>
          <w:sz w:val="24"/>
          <w:szCs w:val="24"/>
          <w:lang w:val="lv-LV"/>
        </w:rPr>
      </w:pPr>
      <w:r w:rsidRPr="00107C8B">
        <w:rPr>
          <w:rFonts w:ascii="Times New Roman" w:hAnsi="Times New Roman"/>
          <w:b/>
          <w:sz w:val="24"/>
          <w:szCs w:val="24"/>
          <w:lang w:val="lv-LV"/>
        </w:rPr>
        <w:t>Personas subjektīvās tiesības pārsūdzēt citiem tirgus dalībniekiem dotu apvienošanās atļauju</w:t>
      </w:r>
    </w:p>
    <w:p w14:paraId="7A630D1D" w14:textId="100D6D7D" w:rsidR="00107C8B" w:rsidRPr="00107C8B" w:rsidRDefault="00107C8B" w:rsidP="00107C8B">
      <w:pPr>
        <w:spacing w:after="0" w:line="276" w:lineRule="auto"/>
        <w:jc w:val="both"/>
        <w:rPr>
          <w:rFonts w:ascii="Times New Roman" w:hAnsi="Times New Roman"/>
          <w:sz w:val="24"/>
          <w:szCs w:val="24"/>
          <w:lang w:val="lv-LV"/>
        </w:rPr>
      </w:pPr>
      <w:r w:rsidRPr="00107C8B">
        <w:rPr>
          <w:rFonts w:ascii="Times New Roman" w:hAnsi="Times New Roman"/>
          <w:sz w:val="24"/>
          <w:szCs w:val="24"/>
          <w:lang w:val="lv-LV"/>
        </w:rPr>
        <w:t xml:space="preserve">1. Lai personai būtu subjektīvās tiesības pārsūdzēt citiem tirgus dalībniekiem dotu apvienošanās atļauju, apvienošanās ir jāskar šo personu tieši un individuāli. </w:t>
      </w:r>
      <w:proofErr w:type="gramStart"/>
      <w:r w:rsidRPr="00107C8B">
        <w:rPr>
          <w:rFonts w:ascii="Times New Roman" w:hAnsi="Times New Roman"/>
          <w:sz w:val="24"/>
          <w:szCs w:val="24"/>
          <w:lang w:val="lv-LV"/>
        </w:rPr>
        <w:t>Pie tam</w:t>
      </w:r>
      <w:proofErr w:type="gramEnd"/>
      <w:r w:rsidRPr="00107C8B">
        <w:rPr>
          <w:rFonts w:ascii="Times New Roman" w:hAnsi="Times New Roman"/>
          <w:sz w:val="24"/>
          <w:szCs w:val="24"/>
          <w:lang w:val="lv-LV"/>
        </w:rPr>
        <w:t xml:space="preserve"> svarīgi, vai lēmums skar personu individuāli. Ja lēmums neskar personu individuāli, tad zūd nepieciešamība noskaidrot, vai tas personu skar tieši. Citas personas, kas nav lēmuma adresātes, ir individuāli un tieši skartas tad, ja lēmums tās skar personisko iezīmju vai īpašu apstākļu dēļ, kas tās izceļ no pārējo personu loka, un tās līdz ar to līdzīgā veidā tiek individualizētas tāpat kā adresāti. Vienkārša līdzdalība apvienošanās izmeklēšanas procesā nav uzskatāma par pietiekamu. Būtībā pat nav izšķiroši, vai persona ir bijusi vai nav bijusi pieaicināta apvienošanās izmeklēšanas procesā iestādē, jo tas pats par sevi vēl neprezumē tai individuālu tiesību aizskārumu. </w:t>
      </w:r>
      <w:proofErr w:type="gramStart"/>
      <w:r w:rsidRPr="00107C8B">
        <w:rPr>
          <w:rFonts w:ascii="Times New Roman" w:hAnsi="Times New Roman"/>
          <w:sz w:val="24"/>
          <w:szCs w:val="24"/>
          <w:lang w:val="lv-LV"/>
        </w:rPr>
        <w:t>Vienlaikus,</w:t>
      </w:r>
      <w:proofErr w:type="gramEnd"/>
      <w:r w:rsidRPr="00107C8B">
        <w:rPr>
          <w:rFonts w:ascii="Times New Roman" w:hAnsi="Times New Roman"/>
          <w:sz w:val="24"/>
          <w:szCs w:val="24"/>
          <w:lang w:val="lv-LV"/>
        </w:rPr>
        <w:t xml:space="preserve"> aktīva līdzdalība administratīvajā procesā ir faktors, kas tiek ņemts vērā konkurences jautājumos, lai kopā ar citiem īpašiem apstākļiem pamatotu prasības pieļaujamību.</w:t>
      </w:r>
    </w:p>
    <w:p w14:paraId="6E2E07CF" w14:textId="6F0239BB" w:rsidR="00107C8B" w:rsidRPr="00107C8B" w:rsidRDefault="00107C8B" w:rsidP="00107C8B">
      <w:pPr>
        <w:spacing w:after="0" w:line="276" w:lineRule="auto"/>
        <w:jc w:val="both"/>
        <w:rPr>
          <w:rFonts w:ascii="Times New Roman" w:hAnsi="Times New Roman"/>
          <w:sz w:val="24"/>
          <w:szCs w:val="24"/>
          <w:lang w:val="lv-LV" w:bidi="ar-SA"/>
        </w:rPr>
      </w:pPr>
      <w:r w:rsidRPr="00107C8B">
        <w:rPr>
          <w:rFonts w:ascii="Times New Roman" w:hAnsi="Times New Roman"/>
          <w:sz w:val="24"/>
          <w:szCs w:val="24"/>
          <w:lang w:val="lv-LV" w:bidi="ar-SA"/>
        </w:rPr>
        <w:t xml:space="preserve">2. </w:t>
      </w:r>
      <w:r w:rsidRPr="00107C8B">
        <w:rPr>
          <w:rFonts w:ascii="Times New Roman" w:hAnsi="Times New Roman"/>
          <w:sz w:val="24"/>
          <w:szCs w:val="24"/>
          <w:lang w:val="lv-LV"/>
        </w:rPr>
        <w:t>Līdzdalība pamatkapitālā apvienošanā iesaistītajā sabiedrībā vēl nenozīmē individuālu aizskārumu. Ja apvienošanās lēmums ir ticis pieņemts, neievērojot mazākumdalībnieku intereses, pastāv citi tiesiski mehānismi, kā aizsargāt savas kā mazākumdalībnieka ekonomiskās intereses.</w:t>
      </w:r>
    </w:p>
    <w:p w14:paraId="30C1E36D" w14:textId="77777777" w:rsidR="00107C8B" w:rsidRDefault="00107C8B" w:rsidP="00107C8B">
      <w:pPr>
        <w:spacing w:after="0" w:line="276" w:lineRule="auto"/>
        <w:jc w:val="right"/>
        <w:rPr>
          <w:rFonts w:ascii="Times New Roman" w:hAnsi="Times New Roman"/>
          <w:sz w:val="24"/>
          <w:szCs w:val="24"/>
          <w:lang w:val="lv-LV" w:bidi="ar-SA"/>
        </w:rPr>
      </w:pPr>
    </w:p>
    <w:p w14:paraId="7AE9D057" w14:textId="0A3EADC3" w:rsidR="00107C8B" w:rsidRPr="00107C8B" w:rsidRDefault="00107C8B" w:rsidP="00107C8B">
      <w:pPr>
        <w:spacing w:after="0" w:line="276" w:lineRule="auto"/>
        <w:jc w:val="center"/>
        <w:rPr>
          <w:rFonts w:ascii="Times New Roman" w:hAnsi="Times New Roman"/>
          <w:b/>
          <w:sz w:val="24"/>
          <w:szCs w:val="24"/>
          <w:lang w:val="lv-LV"/>
        </w:rPr>
      </w:pPr>
      <w:r w:rsidRPr="00107C8B">
        <w:rPr>
          <w:rFonts w:ascii="Times New Roman" w:hAnsi="Times New Roman"/>
          <w:b/>
          <w:sz w:val="24"/>
          <w:szCs w:val="24"/>
          <w:lang w:val="lv-LV"/>
        </w:rPr>
        <w:t xml:space="preserve">Latvijas Republikas </w:t>
      </w:r>
      <w:r>
        <w:rPr>
          <w:rFonts w:ascii="Times New Roman" w:hAnsi="Times New Roman"/>
          <w:b/>
          <w:sz w:val="24"/>
          <w:szCs w:val="24"/>
          <w:lang w:val="lv-LV"/>
        </w:rPr>
        <w:t>Augstākās tiesas</w:t>
      </w:r>
    </w:p>
    <w:p w14:paraId="76EA9E9A" w14:textId="77777777" w:rsidR="00107C8B" w:rsidRPr="00107C8B" w:rsidRDefault="00107C8B" w:rsidP="00107C8B">
      <w:pPr>
        <w:spacing w:after="0" w:line="276" w:lineRule="auto"/>
        <w:jc w:val="center"/>
        <w:rPr>
          <w:rFonts w:ascii="Times New Roman" w:hAnsi="Times New Roman"/>
          <w:b/>
          <w:sz w:val="24"/>
          <w:szCs w:val="24"/>
          <w:lang w:val="lv-LV"/>
        </w:rPr>
      </w:pPr>
      <w:r w:rsidRPr="00107C8B">
        <w:rPr>
          <w:rFonts w:ascii="Times New Roman" w:hAnsi="Times New Roman"/>
          <w:b/>
          <w:sz w:val="24"/>
          <w:szCs w:val="24"/>
          <w:lang w:val="lv-LV"/>
        </w:rPr>
        <w:t>Administratīvo lietu departamenta</w:t>
      </w:r>
    </w:p>
    <w:p w14:paraId="21D363AC" w14:textId="0C1FFB8A" w:rsidR="00107C8B" w:rsidRPr="00107C8B" w:rsidRDefault="00107C8B" w:rsidP="00107C8B">
      <w:pPr>
        <w:spacing w:after="0" w:line="276" w:lineRule="auto"/>
        <w:jc w:val="center"/>
        <w:rPr>
          <w:rFonts w:ascii="Times New Roman" w:hAnsi="Times New Roman"/>
          <w:b/>
          <w:sz w:val="24"/>
          <w:szCs w:val="24"/>
          <w:lang w:val="lv-LV"/>
        </w:rPr>
      </w:pPr>
      <w:proofErr w:type="gramStart"/>
      <w:r w:rsidRPr="00107C8B">
        <w:rPr>
          <w:rFonts w:ascii="Times New Roman" w:hAnsi="Times New Roman"/>
          <w:b/>
          <w:sz w:val="24"/>
          <w:szCs w:val="24"/>
          <w:lang w:val="lv-LV"/>
        </w:rPr>
        <w:t>201</w:t>
      </w:r>
      <w:r>
        <w:rPr>
          <w:rFonts w:ascii="Times New Roman" w:hAnsi="Times New Roman"/>
          <w:b/>
          <w:sz w:val="24"/>
          <w:szCs w:val="24"/>
          <w:lang w:val="lv-LV"/>
        </w:rPr>
        <w:t>1</w:t>
      </w:r>
      <w:r w:rsidRPr="00107C8B">
        <w:rPr>
          <w:rFonts w:ascii="Times New Roman" w:hAnsi="Times New Roman"/>
          <w:b/>
          <w:sz w:val="24"/>
          <w:szCs w:val="24"/>
          <w:lang w:val="lv-LV"/>
        </w:rPr>
        <w:t>.gada</w:t>
      </w:r>
      <w:proofErr w:type="gramEnd"/>
      <w:r w:rsidRPr="00107C8B">
        <w:rPr>
          <w:rFonts w:ascii="Times New Roman" w:hAnsi="Times New Roman"/>
          <w:b/>
          <w:sz w:val="24"/>
          <w:szCs w:val="24"/>
          <w:lang w:val="lv-LV"/>
        </w:rPr>
        <w:t xml:space="preserve"> </w:t>
      </w:r>
      <w:r>
        <w:rPr>
          <w:rFonts w:ascii="Times New Roman" w:hAnsi="Times New Roman"/>
          <w:b/>
          <w:sz w:val="24"/>
          <w:szCs w:val="24"/>
          <w:lang w:val="lv-LV"/>
        </w:rPr>
        <w:t>8.februāra</w:t>
      </w:r>
    </w:p>
    <w:p w14:paraId="45A37C59" w14:textId="77777777" w:rsidR="00107C8B" w:rsidRPr="00107C8B" w:rsidRDefault="00107C8B" w:rsidP="00107C8B">
      <w:pPr>
        <w:spacing w:after="0" w:line="276" w:lineRule="auto"/>
        <w:jc w:val="center"/>
        <w:rPr>
          <w:rFonts w:ascii="Times New Roman" w:hAnsi="Times New Roman"/>
          <w:b/>
          <w:sz w:val="24"/>
          <w:szCs w:val="24"/>
          <w:lang w:val="lv-LV"/>
        </w:rPr>
      </w:pPr>
      <w:r w:rsidRPr="00107C8B">
        <w:rPr>
          <w:rFonts w:ascii="Times New Roman" w:hAnsi="Times New Roman"/>
          <w:b/>
          <w:sz w:val="24"/>
          <w:szCs w:val="24"/>
          <w:lang w:val="lv-LV"/>
        </w:rPr>
        <w:t>LĒMUMS</w:t>
      </w:r>
    </w:p>
    <w:p w14:paraId="454AE17A" w14:textId="55220F42" w:rsidR="003B0B9A" w:rsidRDefault="00107C8B" w:rsidP="00107C8B">
      <w:pPr>
        <w:spacing w:after="0" w:line="276" w:lineRule="auto"/>
        <w:jc w:val="center"/>
        <w:rPr>
          <w:rFonts w:ascii="Times New Roman" w:hAnsi="Times New Roman"/>
          <w:b/>
          <w:sz w:val="24"/>
          <w:szCs w:val="24"/>
          <w:lang w:val="lv-LV"/>
        </w:rPr>
      </w:pPr>
      <w:r w:rsidRPr="00107C8B">
        <w:rPr>
          <w:rFonts w:ascii="Times New Roman" w:hAnsi="Times New Roman"/>
          <w:b/>
          <w:sz w:val="24"/>
          <w:szCs w:val="24"/>
          <w:lang w:val="lv-LV"/>
        </w:rPr>
        <w:t xml:space="preserve">Lieta Nr. </w:t>
      </w:r>
      <w:r>
        <w:rPr>
          <w:rFonts w:ascii="Times New Roman" w:hAnsi="Times New Roman"/>
          <w:b/>
          <w:sz w:val="24"/>
          <w:szCs w:val="24"/>
          <w:lang w:val="lv-LV"/>
        </w:rPr>
        <w:t>A43005809</w:t>
      </w:r>
      <w:r w:rsidRPr="00107C8B">
        <w:rPr>
          <w:rFonts w:ascii="Times New Roman" w:hAnsi="Times New Roman"/>
          <w:b/>
          <w:sz w:val="24"/>
          <w:szCs w:val="24"/>
          <w:lang w:val="lv-LV"/>
        </w:rPr>
        <w:t>, SKA</w:t>
      </w:r>
      <w:r>
        <w:rPr>
          <w:rFonts w:ascii="Times New Roman" w:hAnsi="Times New Roman"/>
          <w:b/>
          <w:sz w:val="24"/>
          <w:szCs w:val="24"/>
          <w:lang w:val="lv-LV"/>
        </w:rPr>
        <w:t>-157/2011</w:t>
      </w:r>
    </w:p>
    <w:p w14:paraId="16B02F3F" w14:textId="77777777" w:rsidR="00107C8B" w:rsidRPr="00107C8B" w:rsidRDefault="00107C8B" w:rsidP="00107C8B">
      <w:pPr>
        <w:spacing w:after="0" w:line="276" w:lineRule="auto"/>
        <w:jc w:val="center"/>
        <w:rPr>
          <w:rFonts w:ascii="Times New Roman" w:hAnsi="Times New Roman"/>
          <w:b/>
          <w:sz w:val="24"/>
          <w:szCs w:val="24"/>
          <w:lang w:val="lv-LV"/>
        </w:rPr>
      </w:pPr>
    </w:p>
    <w:p w14:paraId="2161D012" w14:textId="580C9CD6" w:rsidR="00017E09" w:rsidRPr="00A54B76" w:rsidRDefault="003B0B9A" w:rsidP="00107C8B">
      <w:pPr>
        <w:spacing w:after="0" w:line="276" w:lineRule="auto"/>
        <w:ind w:firstLine="720"/>
        <w:jc w:val="both"/>
        <w:rPr>
          <w:rFonts w:ascii="Times New Roman" w:hAnsi="Times New Roman"/>
          <w:sz w:val="24"/>
          <w:szCs w:val="24"/>
          <w:lang w:val="lv-LV" w:bidi="ar-SA"/>
        </w:rPr>
      </w:pPr>
      <w:r w:rsidRPr="00A54B76">
        <w:rPr>
          <w:rFonts w:ascii="Times New Roman" w:hAnsi="Times New Roman"/>
          <w:sz w:val="24"/>
          <w:szCs w:val="24"/>
          <w:lang w:val="lv-LV" w:bidi="ar-SA"/>
        </w:rPr>
        <w:t>Latvijas Republikas Augstākās tiesas Senāta Administratīvo lietu departament</w:t>
      </w:r>
      <w:r w:rsidR="00017E09" w:rsidRPr="00A54B76">
        <w:rPr>
          <w:rFonts w:ascii="Times New Roman" w:hAnsi="Times New Roman"/>
          <w:sz w:val="24"/>
          <w:szCs w:val="24"/>
          <w:lang w:val="lv-LV" w:bidi="ar-SA"/>
        </w:rPr>
        <w:t>s šādā sastāvā:</w:t>
      </w:r>
    </w:p>
    <w:p w14:paraId="40781017" w14:textId="77777777" w:rsidR="00017E09" w:rsidRPr="00A54B76" w:rsidRDefault="002C789D" w:rsidP="00107C8B">
      <w:pPr>
        <w:spacing w:after="0" w:line="276" w:lineRule="auto"/>
        <w:ind w:firstLine="720"/>
        <w:jc w:val="both"/>
        <w:rPr>
          <w:rFonts w:ascii="Times New Roman" w:hAnsi="Times New Roman"/>
          <w:sz w:val="24"/>
          <w:szCs w:val="24"/>
          <w:lang w:val="lv-LV" w:bidi="ar-SA"/>
        </w:rPr>
      </w:pPr>
      <w:r>
        <w:rPr>
          <w:rFonts w:ascii="Times New Roman" w:hAnsi="Times New Roman"/>
          <w:sz w:val="24"/>
          <w:szCs w:val="24"/>
          <w:lang w:val="lv-LV" w:bidi="ar-SA"/>
        </w:rPr>
        <w:t xml:space="preserve">tiesas sēdes priekšsēdētājs </w:t>
      </w:r>
      <w:r w:rsidR="003B0B9A" w:rsidRPr="00A54B76">
        <w:rPr>
          <w:rFonts w:ascii="Times New Roman" w:hAnsi="Times New Roman"/>
          <w:sz w:val="24"/>
          <w:szCs w:val="24"/>
          <w:lang w:val="lv-LV" w:bidi="ar-SA"/>
        </w:rPr>
        <w:t>senators J</w:t>
      </w:r>
      <w:r w:rsidR="00017E09" w:rsidRPr="00A54B76">
        <w:rPr>
          <w:rFonts w:ascii="Times New Roman" w:hAnsi="Times New Roman"/>
          <w:sz w:val="24"/>
          <w:szCs w:val="24"/>
          <w:lang w:val="lv-LV" w:bidi="ar-SA"/>
        </w:rPr>
        <w:t>.Neimanis</w:t>
      </w:r>
    </w:p>
    <w:p w14:paraId="590E1C1E" w14:textId="77777777" w:rsidR="00017E09" w:rsidRPr="00A54B76" w:rsidRDefault="00A54B76" w:rsidP="00107C8B">
      <w:pPr>
        <w:spacing w:after="0" w:line="276" w:lineRule="auto"/>
        <w:ind w:left="2880" w:firstLine="522"/>
        <w:jc w:val="both"/>
        <w:rPr>
          <w:rFonts w:ascii="Times New Roman" w:hAnsi="Times New Roman"/>
          <w:sz w:val="24"/>
          <w:szCs w:val="24"/>
          <w:lang w:val="lv-LV" w:bidi="ar-SA"/>
        </w:rPr>
      </w:pPr>
      <w:r>
        <w:rPr>
          <w:rFonts w:ascii="Times New Roman" w:hAnsi="Times New Roman"/>
          <w:sz w:val="24"/>
          <w:szCs w:val="24"/>
          <w:lang w:val="lv-LV" w:bidi="ar-SA"/>
        </w:rPr>
        <w:t>senator</w:t>
      </w:r>
      <w:r w:rsidR="002C789D">
        <w:rPr>
          <w:rFonts w:ascii="Times New Roman" w:hAnsi="Times New Roman"/>
          <w:sz w:val="24"/>
          <w:szCs w:val="24"/>
          <w:lang w:val="lv-LV" w:bidi="ar-SA"/>
        </w:rPr>
        <w:t>e</w:t>
      </w:r>
      <w:r>
        <w:rPr>
          <w:rFonts w:ascii="Times New Roman" w:hAnsi="Times New Roman"/>
          <w:sz w:val="24"/>
          <w:szCs w:val="24"/>
          <w:lang w:val="lv-LV" w:bidi="ar-SA"/>
        </w:rPr>
        <w:t xml:space="preserve"> </w:t>
      </w:r>
      <w:r w:rsidR="002C789D">
        <w:rPr>
          <w:rFonts w:ascii="Times New Roman" w:hAnsi="Times New Roman"/>
          <w:sz w:val="24"/>
          <w:szCs w:val="24"/>
          <w:lang w:val="lv-LV" w:bidi="ar-SA"/>
        </w:rPr>
        <w:t>V.Krūmiņa</w:t>
      </w:r>
    </w:p>
    <w:p w14:paraId="0D599BF8" w14:textId="77777777" w:rsidR="00017E09" w:rsidRPr="00A54B76" w:rsidRDefault="00017E09" w:rsidP="00107C8B">
      <w:pPr>
        <w:spacing w:after="0" w:line="276" w:lineRule="auto"/>
        <w:ind w:left="2880" w:firstLine="522"/>
        <w:jc w:val="both"/>
        <w:rPr>
          <w:rFonts w:ascii="Times New Roman" w:hAnsi="Times New Roman"/>
          <w:sz w:val="24"/>
          <w:szCs w:val="24"/>
          <w:lang w:val="lv-LV" w:bidi="ar-SA"/>
        </w:rPr>
      </w:pPr>
      <w:r w:rsidRPr="00A54B76">
        <w:rPr>
          <w:rFonts w:ascii="Times New Roman" w:hAnsi="Times New Roman"/>
          <w:sz w:val="24"/>
          <w:szCs w:val="24"/>
          <w:lang w:val="lv-LV" w:bidi="ar-SA"/>
        </w:rPr>
        <w:t>senatore</w:t>
      </w:r>
      <w:r w:rsidR="00A54B76">
        <w:rPr>
          <w:rFonts w:ascii="Times New Roman" w:hAnsi="Times New Roman"/>
          <w:sz w:val="24"/>
          <w:szCs w:val="24"/>
          <w:lang w:val="lv-LV" w:bidi="ar-SA"/>
        </w:rPr>
        <w:t xml:space="preserve"> I.Skultāne</w:t>
      </w:r>
    </w:p>
    <w:p w14:paraId="41C1303E" w14:textId="77777777" w:rsidR="003B0B9A" w:rsidRDefault="003B0B9A" w:rsidP="00107C8B">
      <w:pPr>
        <w:spacing w:after="0" w:line="276" w:lineRule="auto"/>
        <w:ind w:firstLine="720"/>
        <w:jc w:val="both"/>
        <w:rPr>
          <w:rFonts w:ascii="Times New Roman" w:hAnsi="Times New Roman"/>
          <w:sz w:val="24"/>
          <w:szCs w:val="24"/>
          <w:lang w:val="lv-LV" w:bidi="ar-SA"/>
        </w:rPr>
      </w:pPr>
    </w:p>
    <w:p w14:paraId="2B648860" w14:textId="6910576B" w:rsidR="002C789D" w:rsidRDefault="002C789D" w:rsidP="00107C8B">
      <w:pPr>
        <w:spacing w:after="0" w:line="276" w:lineRule="auto"/>
        <w:ind w:firstLine="720"/>
        <w:jc w:val="both"/>
        <w:rPr>
          <w:rFonts w:ascii="Times New Roman" w:hAnsi="Times New Roman"/>
          <w:sz w:val="24"/>
          <w:szCs w:val="24"/>
          <w:lang w:val="lv-LV" w:bidi="ar-SA"/>
        </w:rPr>
      </w:pPr>
      <w:r>
        <w:rPr>
          <w:rFonts w:ascii="Times New Roman" w:hAnsi="Times New Roman"/>
          <w:sz w:val="24"/>
          <w:szCs w:val="24"/>
          <w:lang w:val="lv-LV" w:bidi="ar-SA"/>
        </w:rPr>
        <w:t xml:space="preserve">piedaloties pieteicējas </w:t>
      </w:r>
      <w:r w:rsidRPr="00A54B76">
        <w:rPr>
          <w:rFonts w:ascii="Times New Roman" w:hAnsi="Times New Roman"/>
          <w:sz w:val="24"/>
          <w:szCs w:val="24"/>
          <w:lang w:val="lv-LV" w:bidi="ar-SA"/>
        </w:rPr>
        <w:t>SIA „LSF Holdings” un SIA „</w:t>
      </w:r>
      <w:proofErr w:type="spellStart"/>
      <w:r w:rsidRPr="00A54B76">
        <w:rPr>
          <w:rFonts w:ascii="Times New Roman" w:hAnsi="Times New Roman"/>
          <w:sz w:val="24"/>
          <w:szCs w:val="24"/>
          <w:lang w:val="lv-LV" w:bidi="ar-SA"/>
        </w:rPr>
        <w:t>Amberholdings</w:t>
      </w:r>
      <w:proofErr w:type="spellEnd"/>
      <w:r w:rsidRPr="00A54B76">
        <w:rPr>
          <w:rFonts w:ascii="Times New Roman" w:hAnsi="Times New Roman"/>
          <w:sz w:val="24"/>
          <w:szCs w:val="24"/>
          <w:lang w:val="lv-LV" w:bidi="ar-SA"/>
        </w:rPr>
        <w:t>”</w:t>
      </w:r>
      <w:r>
        <w:rPr>
          <w:rFonts w:ascii="Times New Roman" w:hAnsi="Times New Roman"/>
          <w:sz w:val="24"/>
          <w:szCs w:val="24"/>
          <w:lang w:val="lv-LV" w:bidi="ar-SA"/>
        </w:rPr>
        <w:t xml:space="preserve"> pārstāvim </w:t>
      </w:r>
      <w:proofErr w:type="gramStart"/>
      <w:r w:rsidR="00107C8B">
        <w:rPr>
          <w:rFonts w:ascii="Times New Roman" w:hAnsi="Times New Roman"/>
          <w:sz w:val="24"/>
          <w:szCs w:val="24"/>
          <w:lang w:val="lv-LV" w:bidi="ar-SA"/>
        </w:rPr>
        <w:t>[</w:t>
      </w:r>
      <w:proofErr w:type="gramEnd"/>
      <w:r w:rsidR="00107C8B">
        <w:rPr>
          <w:rFonts w:ascii="Times New Roman" w:hAnsi="Times New Roman"/>
          <w:sz w:val="24"/>
          <w:szCs w:val="24"/>
          <w:lang w:val="lv-LV" w:bidi="ar-SA"/>
        </w:rPr>
        <w:t>pers. A]</w:t>
      </w:r>
      <w:r>
        <w:rPr>
          <w:rFonts w:ascii="Times New Roman" w:hAnsi="Times New Roman"/>
          <w:sz w:val="24"/>
          <w:szCs w:val="24"/>
          <w:lang w:val="lv-LV" w:bidi="ar-SA"/>
        </w:rPr>
        <w:t>,</w:t>
      </w:r>
    </w:p>
    <w:p w14:paraId="4AD09A26" w14:textId="3691D1A9" w:rsidR="002C789D" w:rsidRDefault="002C789D" w:rsidP="00107C8B">
      <w:pPr>
        <w:spacing w:after="0" w:line="276" w:lineRule="auto"/>
        <w:ind w:firstLine="720"/>
        <w:jc w:val="both"/>
        <w:rPr>
          <w:rFonts w:ascii="Times New Roman" w:hAnsi="Times New Roman"/>
          <w:sz w:val="24"/>
          <w:szCs w:val="24"/>
          <w:lang w:val="lv-LV" w:bidi="ar-SA"/>
        </w:rPr>
      </w:pPr>
      <w:r>
        <w:rPr>
          <w:rFonts w:ascii="Times New Roman" w:hAnsi="Times New Roman"/>
          <w:sz w:val="24"/>
          <w:szCs w:val="24"/>
          <w:lang w:val="lv-LV" w:bidi="ar-SA"/>
        </w:rPr>
        <w:t xml:space="preserve">pieteicējas SIA „Ostas flote” pārstāvim </w:t>
      </w:r>
      <w:proofErr w:type="gramStart"/>
      <w:r w:rsidR="00107C8B">
        <w:rPr>
          <w:rFonts w:ascii="Times New Roman" w:hAnsi="Times New Roman"/>
          <w:sz w:val="24"/>
          <w:szCs w:val="24"/>
          <w:lang w:val="lv-LV" w:bidi="ar-SA"/>
        </w:rPr>
        <w:t>[</w:t>
      </w:r>
      <w:proofErr w:type="gramEnd"/>
      <w:r w:rsidR="00107C8B">
        <w:rPr>
          <w:rFonts w:ascii="Times New Roman" w:hAnsi="Times New Roman"/>
          <w:sz w:val="24"/>
          <w:szCs w:val="24"/>
          <w:lang w:val="lv-LV" w:bidi="ar-SA"/>
        </w:rPr>
        <w:t>pers. B]</w:t>
      </w:r>
      <w:r>
        <w:rPr>
          <w:rFonts w:ascii="Times New Roman" w:hAnsi="Times New Roman"/>
          <w:sz w:val="24"/>
          <w:szCs w:val="24"/>
          <w:lang w:val="lv-LV" w:bidi="ar-SA"/>
        </w:rPr>
        <w:t>,</w:t>
      </w:r>
    </w:p>
    <w:p w14:paraId="3FB68463" w14:textId="0E1687E2" w:rsidR="002C789D" w:rsidRDefault="002C789D" w:rsidP="00107C8B">
      <w:pPr>
        <w:spacing w:after="0" w:line="276" w:lineRule="auto"/>
        <w:ind w:firstLine="720"/>
        <w:jc w:val="both"/>
        <w:rPr>
          <w:rFonts w:ascii="Times New Roman" w:hAnsi="Times New Roman"/>
          <w:sz w:val="24"/>
          <w:szCs w:val="24"/>
          <w:lang w:val="lv-LV" w:bidi="ar-SA"/>
        </w:rPr>
      </w:pPr>
      <w:r>
        <w:rPr>
          <w:rFonts w:ascii="Times New Roman" w:hAnsi="Times New Roman"/>
          <w:sz w:val="24"/>
          <w:szCs w:val="24"/>
          <w:lang w:val="lv-LV" w:bidi="ar-SA"/>
        </w:rPr>
        <w:t xml:space="preserve">atbildētājas Latvijas Republikas pusē pieaicinātās iestādes – Konkurences padomes </w:t>
      </w:r>
      <w:r w:rsidR="007D6390">
        <w:rPr>
          <w:rFonts w:ascii="Times New Roman" w:hAnsi="Times New Roman"/>
          <w:sz w:val="24"/>
          <w:szCs w:val="24"/>
          <w:lang w:val="lv-LV" w:bidi="ar-SA"/>
        </w:rPr>
        <w:t xml:space="preserve">– </w:t>
      </w:r>
      <w:r>
        <w:rPr>
          <w:rFonts w:ascii="Times New Roman" w:hAnsi="Times New Roman"/>
          <w:sz w:val="24"/>
          <w:szCs w:val="24"/>
          <w:lang w:val="lv-LV" w:bidi="ar-SA"/>
        </w:rPr>
        <w:t xml:space="preserve">pārstāvim </w:t>
      </w:r>
      <w:proofErr w:type="gramStart"/>
      <w:r w:rsidR="00107C8B">
        <w:rPr>
          <w:rFonts w:ascii="Times New Roman" w:hAnsi="Times New Roman"/>
          <w:sz w:val="24"/>
          <w:szCs w:val="24"/>
          <w:lang w:val="lv-LV" w:bidi="ar-SA"/>
        </w:rPr>
        <w:t>[</w:t>
      </w:r>
      <w:proofErr w:type="gramEnd"/>
      <w:r w:rsidR="00107C8B">
        <w:rPr>
          <w:rFonts w:ascii="Times New Roman" w:hAnsi="Times New Roman"/>
          <w:sz w:val="24"/>
          <w:szCs w:val="24"/>
          <w:lang w:val="lv-LV" w:bidi="ar-SA"/>
        </w:rPr>
        <w:t>pers. C]</w:t>
      </w:r>
      <w:r>
        <w:rPr>
          <w:rFonts w:ascii="Times New Roman" w:hAnsi="Times New Roman"/>
          <w:sz w:val="24"/>
          <w:szCs w:val="24"/>
          <w:lang w:val="lv-LV" w:bidi="ar-SA"/>
        </w:rPr>
        <w:t>,</w:t>
      </w:r>
    </w:p>
    <w:p w14:paraId="5801A8F9" w14:textId="4E50928D" w:rsidR="002C789D" w:rsidRPr="00A54B76" w:rsidRDefault="002C789D" w:rsidP="00107C8B">
      <w:pPr>
        <w:spacing w:after="0" w:line="276" w:lineRule="auto"/>
        <w:ind w:firstLine="720"/>
        <w:jc w:val="both"/>
        <w:rPr>
          <w:rFonts w:ascii="Times New Roman" w:hAnsi="Times New Roman"/>
          <w:sz w:val="24"/>
          <w:szCs w:val="24"/>
          <w:lang w:val="lv-LV" w:bidi="ar-SA"/>
        </w:rPr>
      </w:pPr>
      <w:r>
        <w:rPr>
          <w:rFonts w:ascii="Times New Roman" w:hAnsi="Times New Roman"/>
          <w:sz w:val="24"/>
          <w:szCs w:val="24"/>
          <w:lang w:val="lv-LV" w:bidi="ar-SA"/>
        </w:rPr>
        <w:t xml:space="preserve">trešās personas AS „PKL Flote” pārstāvim </w:t>
      </w:r>
      <w:proofErr w:type="gramStart"/>
      <w:r w:rsidR="00107C8B">
        <w:rPr>
          <w:rFonts w:ascii="Times New Roman" w:hAnsi="Times New Roman"/>
          <w:sz w:val="24"/>
          <w:szCs w:val="24"/>
          <w:lang w:val="lv-LV" w:bidi="ar-SA"/>
        </w:rPr>
        <w:t>[</w:t>
      </w:r>
      <w:proofErr w:type="gramEnd"/>
      <w:r w:rsidR="00107C8B">
        <w:rPr>
          <w:rFonts w:ascii="Times New Roman" w:hAnsi="Times New Roman"/>
          <w:sz w:val="24"/>
          <w:szCs w:val="24"/>
          <w:lang w:val="lv-LV" w:bidi="ar-SA"/>
        </w:rPr>
        <w:t>pers. D]</w:t>
      </w:r>
      <w:r>
        <w:rPr>
          <w:rFonts w:ascii="Times New Roman" w:hAnsi="Times New Roman"/>
          <w:sz w:val="24"/>
          <w:szCs w:val="24"/>
          <w:lang w:val="lv-LV" w:bidi="ar-SA"/>
        </w:rPr>
        <w:t xml:space="preserve">, </w:t>
      </w:r>
    </w:p>
    <w:p w14:paraId="52BC3E95" w14:textId="77777777" w:rsidR="002C789D" w:rsidRDefault="002C789D" w:rsidP="00107C8B">
      <w:pPr>
        <w:spacing w:after="0" w:line="276" w:lineRule="auto"/>
        <w:ind w:firstLine="720"/>
        <w:jc w:val="both"/>
        <w:rPr>
          <w:rFonts w:ascii="Times New Roman" w:hAnsi="Times New Roman"/>
          <w:sz w:val="24"/>
          <w:szCs w:val="24"/>
          <w:lang w:val="lv-LV" w:bidi="ar-SA"/>
        </w:rPr>
      </w:pPr>
    </w:p>
    <w:p w14:paraId="1AB9CA13" w14:textId="77777777" w:rsidR="003B0B9A" w:rsidRPr="00A54B76" w:rsidRDefault="002C789D" w:rsidP="00107C8B">
      <w:pPr>
        <w:spacing w:after="0" w:line="276" w:lineRule="auto"/>
        <w:ind w:firstLine="720"/>
        <w:jc w:val="both"/>
        <w:rPr>
          <w:rFonts w:ascii="Times New Roman" w:hAnsi="Times New Roman"/>
          <w:sz w:val="24"/>
          <w:szCs w:val="24"/>
          <w:lang w:val="lv-LV" w:bidi="ar-SA"/>
        </w:rPr>
      </w:pPr>
      <w:r>
        <w:rPr>
          <w:rFonts w:ascii="Times New Roman" w:hAnsi="Times New Roman"/>
          <w:sz w:val="24"/>
          <w:szCs w:val="24"/>
          <w:lang w:val="lv-LV" w:bidi="ar-SA"/>
        </w:rPr>
        <w:t xml:space="preserve">atklātā tiesas sēdē </w:t>
      </w:r>
      <w:r w:rsidR="00017E09" w:rsidRPr="00A54B76">
        <w:rPr>
          <w:rFonts w:ascii="Times New Roman" w:hAnsi="Times New Roman"/>
          <w:sz w:val="24"/>
          <w:szCs w:val="24"/>
          <w:lang w:val="lv-LV" w:bidi="ar-SA"/>
        </w:rPr>
        <w:t>izskatīja</w:t>
      </w:r>
      <w:r w:rsidR="003B0B9A" w:rsidRPr="00A54B76">
        <w:rPr>
          <w:rFonts w:ascii="Times New Roman" w:hAnsi="Times New Roman"/>
          <w:sz w:val="24"/>
          <w:szCs w:val="24"/>
          <w:lang w:val="lv-LV" w:bidi="ar-SA"/>
        </w:rPr>
        <w:t xml:space="preserve"> </w:t>
      </w:r>
      <w:r w:rsidR="00A5136D" w:rsidRPr="00A54B76">
        <w:rPr>
          <w:rFonts w:ascii="Times New Roman" w:hAnsi="Times New Roman"/>
          <w:sz w:val="24"/>
          <w:szCs w:val="24"/>
          <w:lang w:val="lv-LV" w:bidi="ar-SA"/>
        </w:rPr>
        <w:t>SIA „LSF Holdings” un SIA „Amberholdings”</w:t>
      </w:r>
      <w:r w:rsidR="00E64E6F" w:rsidRPr="00A54B76">
        <w:rPr>
          <w:rFonts w:ascii="Times New Roman" w:hAnsi="Times New Roman"/>
          <w:sz w:val="24"/>
          <w:szCs w:val="24"/>
          <w:lang w:val="lv-LV" w:bidi="ar-SA"/>
        </w:rPr>
        <w:t xml:space="preserve"> </w:t>
      </w:r>
      <w:r w:rsidR="003B0B9A" w:rsidRPr="00A54B76">
        <w:rPr>
          <w:rFonts w:ascii="Times New Roman" w:hAnsi="Times New Roman"/>
          <w:sz w:val="24"/>
          <w:szCs w:val="24"/>
          <w:lang w:val="lv-LV" w:bidi="ar-SA"/>
        </w:rPr>
        <w:t xml:space="preserve">blakus sūdzību par </w:t>
      </w:r>
      <w:r w:rsidR="00A571CF" w:rsidRPr="00A54B76">
        <w:rPr>
          <w:rFonts w:ascii="Times New Roman" w:hAnsi="Times New Roman"/>
          <w:sz w:val="24"/>
          <w:szCs w:val="24"/>
          <w:lang w:val="lv-LV" w:bidi="ar-SA"/>
        </w:rPr>
        <w:t xml:space="preserve">Administratīvās </w:t>
      </w:r>
      <w:r w:rsidR="00623C15" w:rsidRPr="00A54B76">
        <w:rPr>
          <w:rFonts w:ascii="Times New Roman" w:hAnsi="Times New Roman"/>
          <w:sz w:val="24"/>
          <w:szCs w:val="24"/>
          <w:lang w:val="lv-LV" w:bidi="ar-SA"/>
        </w:rPr>
        <w:t>apgabaltiesas</w:t>
      </w:r>
      <w:r w:rsidR="0012231D" w:rsidRPr="00A54B76">
        <w:rPr>
          <w:rFonts w:ascii="Times New Roman" w:hAnsi="Times New Roman"/>
          <w:sz w:val="24"/>
          <w:szCs w:val="24"/>
          <w:lang w:val="lv-LV" w:bidi="ar-SA"/>
        </w:rPr>
        <w:t xml:space="preserve"> </w:t>
      </w:r>
      <w:proofErr w:type="gramStart"/>
      <w:r w:rsidR="0012231D" w:rsidRPr="00A54B76">
        <w:rPr>
          <w:rFonts w:ascii="Times New Roman" w:hAnsi="Times New Roman"/>
          <w:sz w:val="24"/>
          <w:szCs w:val="24"/>
          <w:lang w:val="lv-LV" w:bidi="ar-SA"/>
        </w:rPr>
        <w:t>2010.gada</w:t>
      </w:r>
      <w:proofErr w:type="gramEnd"/>
      <w:r w:rsidR="0012231D" w:rsidRPr="00A54B76">
        <w:rPr>
          <w:rFonts w:ascii="Times New Roman" w:hAnsi="Times New Roman"/>
          <w:sz w:val="24"/>
          <w:szCs w:val="24"/>
          <w:lang w:val="lv-LV" w:bidi="ar-SA"/>
        </w:rPr>
        <w:t xml:space="preserve"> </w:t>
      </w:r>
      <w:r w:rsidR="00A5136D" w:rsidRPr="00A54B76">
        <w:rPr>
          <w:rFonts w:ascii="Times New Roman" w:hAnsi="Times New Roman"/>
          <w:sz w:val="24"/>
          <w:szCs w:val="24"/>
          <w:lang w:val="lv-LV" w:bidi="ar-SA"/>
        </w:rPr>
        <w:t>15</w:t>
      </w:r>
      <w:r w:rsidR="00623C15" w:rsidRPr="00A54B76">
        <w:rPr>
          <w:rFonts w:ascii="Times New Roman" w:hAnsi="Times New Roman"/>
          <w:sz w:val="24"/>
          <w:szCs w:val="24"/>
          <w:lang w:val="lv-LV" w:bidi="ar-SA"/>
        </w:rPr>
        <w:t>.oktobra</w:t>
      </w:r>
      <w:r w:rsidR="0012231D" w:rsidRPr="00A54B76">
        <w:rPr>
          <w:rFonts w:ascii="Times New Roman" w:hAnsi="Times New Roman"/>
          <w:sz w:val="24"/>
          <w:szCs w:val="24"/>
          <w:lang w:val="lv-LV" w:bidi="ar-SA"/>
        </w:rPr>
        <w:t xml:space="preserve"> </w:t>
      </w:r>
      <w:r w:rsidR="003B0B9A" w:rsidRPr="00A54B76">
        <w:rPr>
          <w:rFonts w:ascii="Times New Roman" w:hAnsi="Times New Roman"/>
          <w:sz w:val="24"/>
          <w:szCs w:val="24"/>
          <w:lang w:val="lv-LV" w:bidi="ar-SA"/>
        </w:rPr>
        <w:t>lēmumu</w:t>
      </w:r>
      <w:r w:rsidR="00A54B76">
        <w:rPr>
          <w:rFonts w:ascii="Times New Roman" w:hAnsi="Times New Roman"/>
          <w:sz w:val="24"/>
          <w:szCs w:val="24"/>
          <w:lang w:val="lv-LV" w:bidi="ar-SA"/>
        </w:rPr>
        <w:t>, ar kuru izbeigta tiesvedība lietā.</w:t>
      </w:r>
    </w:p>
    <w:p w14:paraId="6489FC9D" w14:textId="77777777" w:rsidR="003B0B9A" w:rsidRPr="00A54B76" w:rsidRDefault="003B0B9A" w:rsidP="00107C8B">
      <w:pPr>
        <w:spacing w:after="0" w:line="276" w:lineRule="auto"/>
        <w:jc w:val="both"/>
        <w:rPr>
          <w:rFonts w:ascii="Times New Roman" w:hAnsi="Times New Roman"/>
          <w:sz w:val="24"/>
          <w:szCs w:val="24"/>
          <w:lang w:val="lv-LV" w:bidi="ar-SA"/>
        </w:rPr>
      </w:pPr>
    </w:p>
    <w:p w14:paraId="1CACF857" w14:textId="77777777" w:rsidR="00017E09" w:rsidRPr="00A54B76" w:rsidRDefault="00017E09" w:rsidP="00107C8B">
      <w:pPr>
        <w:spacing w:after="0" w:line="276" w:lineRule="auto"/>
        <w:jc w:val="center"/>
        <w:rPr>
          <w:rFonts w:ascii="Times New Roman" w:hAnsi="Times New Roman"/>
          <w:b/>
          <w:sz w:val="24"/>
          <w:szCs w:val="24"/>
          <w:lang w:val="lv-LV" w:bidi="ar-SA"/>
        </w:rPr>
      </w:pPr>
      <w:r w:rsidRPr="00A54B76">
        <w:rPr>
          <w:rFonts w:ascii="Times New Roman" w:hAnsi="Times New Roman"/>
          <w:b/>
          <w:sz w:val="24"/>
          <w:szCs w:val="24"/>
          <w:lang w:val="lv-LV" w:bidi="ar-SA"/>
        </w:rPr>
        <w:t>Aprakstošā daļa</w:t>
      </w:r>
    </w:p>
    <w:p w14:paraId="32BFEB43" w14:textId="77777777" w:rsidR="003B0B9A" w:rsidRPr="00A54B76" w:rsidRDefault="003B0B9A" w:rsidP="00107C8B">
      <w:pPr>
        <w:spacing w:after="0" w:line="276" w:lineRule="auto"/>
        <w:ind w:right="-2"/>
        <w:jc w:val="both"/>
        <w:rPr>
          <w:rFonts w:ascii="Times New Roman" w:hAnsi="Times New Roman"/>
          <w:sz w:val="24"/>
          <w:szCs w:val="24"/>
          <w:lang w:val="lv-LV" w:bidi="ar-SA"/>
        </w:rPr>
      </w:pPr>
    </w:p>
    <w:p w14:paraId="07B13206" w14:textId="77777777" w:rsidR="00A54B76" w:rsidRPr="00A54B76" w:rsidRDefault="00017E09" w:rsidP="00107C8B">
      <w:pPr>
        <w:numPr>
          <w:ilvl w:val="0"/>
          <w:numId w:val="1"/>
        </w:numPr>
        <w:spacing w:after="0" w:line="276" w:lineRule="auto"/>
        <w:ind w:right="-2"/>
        <w:jc w:val="both"/>
        <w:rPr>
          <w:rFonts w:ascii="Times New Roman" w:hAnsi="Times New Roman"/>
          <w:sz w:val="24"/>
          <w:szCs w:val="24"/>
          <w:lang w:val="lv-LV" w:bidi="ar-SA"/>
        </w:rPr>
      </w:pPr>
      <w:r w:rsidRPr="00A54B76">
        <w:rPr>
          <w:rFonts w:ascii="Times New Roman" w:hAnsi="Times New Roman"/>
          <w:sz w:val="24"/>
          <w:szCs w:val="24"/>
          <w:lang w:val="lv-LV"/>
        </w:rPr>
        <w:lastRenderedPageBreak/>
        <w:t xml:space="preserve">Pamatojoties uz līdzpieteicēju SIA „LSF Holdings” un SIA „Amberholdings” iesniegumu, Konkurences padome </w:t>
      </w:r>
      <w:proofErr w:type="gramStart"/>
      <w:r w:rsidRPr="00A54B76">
        <w:rPr>
          <w:rFonts w:ascii="Times New Roman" w:hAnsi="Times New Roman"/>
          <w:sz w:val="24"/>
          <w:szCs w:val="24"/>
          <w:lang w:val="lv-LV"/>
        </w:rPr>
        <w:t>2009.gada</w:t>
      </w:r>
      <w:proofErr w:type="gramEnd"/>
      <w:r w:rsidRPr="00A54B76">
        <w:rPr>
          <w:rFonts w:ascii="Times New Roman" w:hAnsi="Times New Roman"/>
          <w:sz w:val="24"/>
          <w:szCs w:val="24"/>
          <w:lang w:val="lv-LV"/>
        </w:rPr>
        <w:t xml:space="preserve"> 30.aprīlī ierosināja lietu par Konkurences likuma 15.panta otrās daļas pārkāpumu SIA „Ostas flote” darbībās, neiesniedzot ziņojumu pirms apvienošanās.</w:t>
      </w:r>
      <w:r w:rsidR="00A54B76">
        <w:rPr>
          <w:rFonts w:ascii="Times New Roman" w:hAnsi="Times New Roman"/>
          <w:sz w:val="24"/>
          <w:szCs w:val="24"/>
          <w:lang w:val="lv-LV" w:bidi="ar-SA"/>
        </w:rPr>
        <w:t xml:space="preserve"> </w:t>
      </w:r>
      <w:r w:rsidR="00A54B76" w:rsidRPr="00A54B76">
        <w:rPr>
          <w:rFonts w:ascii="Times New Roman" w:hAnsi="Times New Roman"/>
          <w:sz w:val="24"/>
          <w:szCs w:val="24"/>
          <w:lang w:val="lv-LV"/>
        </w:rPr>
        <w:t xml:space="preserve">Ar Konkurences padomes </w:t>
      </w:r>
      <w:proofErr w:type="gramStart"/>
      <w:r w:rsidR="00A54B76" w:rsidRPr="00A54B76">
        <w:rPr>
          <w:rFonts w:ascii="Times New Roman" w:hAnsi="Times New Roman"/>
          <w:sz w:val="24"/>
          <w:szCs w:val="24"/>
          <w:lang w:val="lv-LV"/>
        </w:rPr>
        <w:t>2010.gada</w:t>
      </w:r>
      <w:proofErr w:type="gramEnd"/>
      <w:r w:rsidR="00A54B76" w:rsidRPr="00A54B76">
        <w:rPr>
          <w:rFonts w:ascii="Times New Roman" w:hAnsi="Times New Roman"/>
          <w:sz w:val="24"/>
          <w:szCs w:val="24"/>
          <w:lang w:val="lv-LV"/>
        </w:rPr>
        <w:t xml:space="preserve"> 14.janvāra lēmumu SIA „Ostas flote” uzlikts naudas sods Ls 27 250 apmērā. </w:t>
      </w:r>
    </w:p>
    <w:p w14:paraId="33D8CB00" w14:textId="77777777" w:rsidR="00017E09" w:rsidRPr="00A54B76" w:rsidRDefault="00017E09" w:rsidP="00107C8B">
      <w:pPr>
        <w:spacing w:after="0" w:line="276" w:lineRule="auto"/>
        <w:ind w:left="851" w:right="-2"/>
        <w:jc w:val="both"/>
        <w:rPr>
          <w:rFonts w:ascii="Times New Roman" w:hAnsi="Times New Roman"/>
          <w:sz w:val="24"/>
          <w:szCs w:val="24"/>
          <w:lang w:val="lv-LV" w:bidi="ar-SA"/>
        </w:rPr>
      </w:pPr>
    </w:p>
    <w:p w14:paraId="1EF08908" w14:textId="77777777" w:rsidR="00017E09" w:rsidRPr="00A54B76" w:rsidRDefault="00017E09" w:rsidP="00107C8B">
      <w:pPr>
        <w:numPr>
          <w:ilvl w:val="0"/>
          <w:numId w:val="1"/>
        </w:numPr>
        <w:spacing w:after="0" w:line="276" w:lineRule="auto"/>
        <w:ind w:right="-2"/>
        <w:jc w:val="both"/>
        <w:rPr>
          <w:rFonts w:ascii="Times New Roman" w:hAnsi="Times New Roman"/>
          <w:sz w:val="24"/>
          <w:szCs w:val="24"/>
          <w:lang w:val="lv-LV" w:bidi="ar-SA"/>
        </w:rPr>
      </w:pPr>
      <w:r w:rsidRPr="00A54B76">
        <w:rPr>
          <w:rFonts w:ascii="Times New Roman" w:hAnsi="Times New Roman"/>
          <w:sz w:val="24"/>
          <w:szCs w:val="24"/>
          <w:lang w:val="lv-LV"/>
        </w:rPr>
        <w:t xml:space="preserve">Vienlaikus Konkurences padome </w:t>
      </w:r>
      <w:proofErr w:type="gramStart"/>
      <w:r w:rsidRPr="00A54B76">
        <w:rPr>
          <w:rFonts w:ascii="Times New Roman" w:hAnsi="Times New Roman"/>
          <w:sz w:val="24"/>
          <w:szCs w:val="24"/>
          <w:lang w:val="lv-LV"/>
        </w:rPr>
        <w:t>2009.gada</w:t>
      </w:r>
      <w:proofErr w:type="gramEnd"/>
      <w:r w:rsidRPr="00A54B76">
        <w:rPr>
          <w:rFonts w:ascii="Times New Roman" w:hAnsi="Times New Roman"/>
          <w:sz w:val="24"/>
          <w:szCs w:val="24"/>
          <w:lang w:val="lv-LV"/>
        </w:rPr>
        <w:t xml:space="preserve"> 27.jūnijā ierosināja lietu par SIA „Ostas flote” un AS „PKL Flote” apvienošanos, jo SIA „Ostas flote” nebija iesniegusi apvienošanās ziņojumu. </w:t>
      </w:r>
      <w:r w:rsidR="00A5136D" w:rsidRPr="00A54B76">
        <w:rPr>
          <w:rFonts w:ascii="Times New Roman" w:hAnsi="Times New Roman"/>
          <w:sz w:val="24"/>
          <w:szCs w:val="24"/>
          <w:lang w:val="lv-LV" w:bidi="ar-SA"/>
        </w:rPr>
        <w:t xml:space="preserve">Ar Konkurences padomes </w:t>
      </w:r>
      <w:proofErr w:type="gramStart"/>
      <w:r w:rsidR="00A5136D" w:rsidRPr="00A54B76">
        <w:rPr>
          <w:rFonts w:ascii="Times New Roman" w:hAnsi="Times New Roman"/>
          <w:sz w:val="24"/>
          <w:szCs w:val="24"/>
          <w:lang w:val="lv-LV" w:bidi="ar-SA"/>
        </w:rPr>
        <w:t>2009.gada</w:t>
      </w:r>
      <w:proofErr w:type="gramEnd"/>
      <w:r w:rsidR="00A5136D" w:rsidRPr="00A54B76">
        <w:rPr>
          <w:rFonts w:ascii="Times New Roman" w:hAnsi="Times New Roman"/>
          <w:sz w:val="24"/>
          <w:szCs w:val="24"/>
          <w:lang w:val="lv-LV" w:bidi="ar-SA"/>
        </w:rPr>
        <w:t xml:space="preserve"> 22.oktobra lēmumu tika atļauta SIA „Ostas flote” un AS „PKL Flote” apvienošanās</w:t>
      </w:r>
      <w:r w:rsidRPr="00A54B76">
        <w:rPr>
          <w:rFonts w:ascii="Times New Roman" w:hAnsi="Times New Roman"/>
          <w:sz w:val="24"/>
          <w:szCs w:val="24"/>
          <w:lang w:val="lv-LV" w:bidi="ar-SA"/>
        </w:rPr>
        <w:t xml:space="preserve"> </w:t>
      </w:r>
      <w:r w:rsidRPr="00A54B76">
        <w:rPr>
          <w:rFonts w:ascii="Times New Roman" w:hAnsi="Times New Roman"/>
          <w:sz w:val="24"/>
          <w:szCs w:val="24"/>
          <w:lang w:val="lv-LV"/>
        </w:rPr>
        <w:t>2008.gada 21.novembrī, SIA „Ostas flote” iegūstot izšķirošu ietekmi SIA „PKL Flote”</w:t>
      </w:r>
      <w:r w:rsidR="00A5136D" w:rsidRPr="00A54B76">
        <w:rPr>
          <w:rFonts w:ascii="Times New Roman" w:hAnsi="Times New Roman"/>
          <w:sz w:val="24"/>
          <w:szCs w:val="24"/>
          <w:lang w:val="lv-LV" w:bidi="ar-SA"/>
        </w:rPr>
        <w:t>.</w:t>
      </w:r>
    </w:p>
    <w:p w14:paraId="0CC5BD12" w14:textId="77777777" w:rsidR="00017E09" w:rsidRPr="00A54B76" w:rsidRDefault="00017E09" w:rsidP="00107C8B">
      <w:pPr>
        <w:pStyle w:val="ListParagraph"/>
        <w:spacing w:after="0" w:line="276" w:lineRule="auto"/>
        <w:rPr>
          <w:rFonts w:ascii="Times New Roman" w:hAnsi="Times New Roman"/>
          <w:sz w:val="24"/>
          <w:szCs w:val="24"/>
          <w:lang w:val="lv-LV"/>
        </w:rPr>
      </w:pPr>
    </w:p>
    <w:p w14:paraId="18F301C1" w14:textId="77777777" w:rsidR="00A5136D" w:rsidRPr="00A54B76" w:rsidRDefault="00A5136D" w:rsidP="00107C8B">
      <w:pPr>
        <w:numPr>
          <w:ilvl w:val="0"/>
          <w:numId w:val="1"/>
        </w:numPr>
        <w:spacing w:after="0" w:line="276" w:lineRule="auto"/>
        <w:ind w:right="-2"/>
        <w:jc w:val="both"/>
        <w:rPr>
          <w:rFonts w:ascii="Times New Roman" w:hAnsi="Times New Roman"/>
          <w:sz w:val="24"/>
          <w:szCs w:val="24"/>
          <w:lang w:val="lv-LV" w:bidi="ar-SA"/>
        </w:rPr>
      </w:pPr>
      <w:r w:rsidRPr="00A54B76">
        <w:rPr>
          <w:rFonts w:ascii="Times New Roman" w:hAnsi="Times New Roman"/>
          <w:sz w:val="24"/>
          <w:szCs w:val="24"/>
          <w:lang w:val="lv-LV" w:bidi="ar-SA"/>
        </w:rPr>
        <w:t xml:space="preserve">Līdzpieteicējas SIA „LSF Holdings” un SIA „Amberholdings” iesniedza pieteikumu administratīvajā tiesā par Konkurences padomes </w:t>
      </w:r>
      <w:proofErr w:type="gramStart"/>
      <w:r w:rsidRPr="00A54B76">
        <w:rPr>
          <w:rFonts w:ascii="Times New Roman" w:hAnsi="Times New Roman"/>
          <w:sz w:val="24"/>
          <w:szCs w:val="24"/>
          <w:lang w:val="lv-LV" w:bidi="ar-SA"/>
        </w:rPr>
        <w:t>2009.gada</w:t>
      </w:r>
      <w:proofErr w:type="gramEnd"/>
      <w:r w:rsidRPr="00A54B76">
        <w:rPr>
          <w:rFonts w:ascii="Times New Roman" w:hAnsi="Times New Roman"/>
          <w:sz w:val="24"/>
          <w:szCs w:val="24"/>
          <w:lang w:val="lv-LV" w:bidi="ar-SA"/>
        </w:rPr>
        <w:t xml:space="preserve"> 22.oktobra lēmuma atcelšanu.</w:t>
      </w:r>
    </w:p>
    <w:p w14:paraId="3D971504" w14:textId="77777777" w:rsidR="00A5136D" w:rsidRPr="00A54B76" w:rsidRDefault="00A5136D" w:rsidP="00107C8B">
      <w:pPr>
        <w:spacing w:after="0" w:line="276" w:lineRule="auto"/>
        <w:ind w:left="851" w:right="-2"/>
        <w:jc w:val="both"/>
        <w:rPr>
          <w:rFonts w:ascii="Times New Roman" w:hAnsi="Times New Roman"/>
          <w:sz w:val="24"/>
          <w:szCs w:val="24"/>
          <w:lang w:val="lv-LV" w:bidi="ar-SA"/>
        </w:rPr>
      </w:pPr>
    </w:p>
    <w:p w14:paraId="680E145D" w14:textId="77777777" w:rsidR="00F14384" w:rsidRPr="00A54B76" w:rsidRDefault="00A5136D" w:rsidP="00107C8B">
      <w:pPr>
        <w:numPr>
          <w:ilvl w:val="0"/>
          <w:numId w:val="1"/>
        </w:numPr>
        <w:spacing w:after="0" w:line="276" w:lineRule="auto"/>
        <w:ind w:right="-2"/>
        <w:jc w:val="both"/>
        <w:rPr>
          <w:rFonts w:ascii="Times New Roman" w:hAnsi="Times New Roman"/>
          <w:sz w:val="24"/>
          <w:szCs w:val="24"/>
          <w:lang w:val="lv-LV" w:bidi="ar-SA"/>
        </w:rPr>
      </w:pPr>
      <w:r w:rsidRPr="00A54B76">
        <w:rPr>
          <w:rFonts w:ascii="Times New Roman" w:hAnsi="Times New Roman"/>
          <w:sz w:val="24"/>
          <w:szCs w:val="24"/>
          <w:lang w:val="lv-LV" w:bidi="ar-SA"/>
        </w:rPr>
        <w:t xml:space="preserve">Ar Administratīvās apgabaltiesas </w:t>
      </w:r>
      <w:proofErr w:type="gramStart"/>
      <w:r w:rsidRPr="00A54B76">
        <w:rPr>
          <w:rFonts w:ascii="Times New Roman" w:hAnsi="Times New Roman"/>
          <w:sz w:val="24"/>
          <w:szCs w:val="24"/>
          <w:lang w:val="lv-LV" w:bidi="ar-SA"/>
        </w:rPr>
        <w:t>2010.gada</w:t>
      </w:r>
      <w:proofErr w:type="gramEnd"/>
      <w:r w:rsidRPr="00A54B76">
        <w:rPr>
          <w:rFonts w:ascii="Times New Roman" w:hAnsi="Times New Roman"/>
          <w:sz w:val="24"/>
          <w:szCs w:val="24"/>
          <w:lang w:val="lv-LV" w:bidi="ar-SA"/>
        </w:rPr>
        <w:t xml:space="preserve"> 15.oktobra lēmumu tiesvedība lietā izbeigta, jo </w:t>
      </w:r>
      <w:r w:rsidR="00F14384" w:rsidRPr="00A54B76">
        <w:rPr>
          <w:rFonts w:ascii="Times New Roman" w:hAnsi="Times New Roman"/>
          <w:sz w:val="24"/>
          <w:szCs w:val="24"/>
          <w:lang w:val="lv-LV" w:bidi="ar-SA"/>
        </w:rPr>
        <w:t>līdz</w:t>
      </w:r>
      <w:r w:rsidRPr="00A54B76">
        <w:rPr>
          <w:rFonts w:ascii="Times New Roman" w:hAnsi="Times New Roman"/>
          <w:sz w:val="24"/>
          <w:szCs w:val="24"/>
          <w:lang w:val="lv-LV" w:bidi="ar-SA"/>
        </w:rPr>
        <w:t>pieteicējām nav subjektīvo tiesību iesniegt pieteikumu.</w:t>
      </w:r>
    </w:p>
    <w:p w14:paraId="7F3032C9" w14:textId="77777777" w:rsidR="00F14384" w:rsidRPr="00A54B76" w:rsidRDefault="00F14384" w:rsidP="00107C8B">
      <w:pPr>
        <w:numPr>
          <w:ilvl w:val="1"/>
          <w:numId w:val="1"/>
        </w:numPr>
        <w:spacing w:after="0" w:line="276" w:lineRule="auto"/>
        <w:ind w:right="-2"/>
        <w:jc w:val="both"/>
        <w:rPr>
          <w:rFonts w:ascii="Times New Roman" w:hAnsi="Times New Roman"/>
          <w:sz w:val="24"/>
          <w:szCs w:val="24"/>
          <w:lang w:val="lv-LV" w:bidi="ar-SA"/>
        </w:rPr>
      </w:pPr>
      <w:r w:rsidRPr="00A54B76">
        <w:rPr>
          <w:rFonts w:ascii="Times New Roman" w:hAnsi="Times New Roman"/>
          <w:sz w:val="24"/>
          <w:szCs w:val="24"/>
          <w:lang w:val="lv-LV" w:bidi="ar-SA"/>
        </w:rPr>
        <w:t xml:space="preserve">Administratīvā lieta, kas noslēgusies ar Konkurences padomes </w:t>
      </w:r>
      <w:proofErr w:type="gramStart"/>
      <w:r w:rsidRPr="00A54B76">
        <w:rPr>
          <w:rFonts w:ascii="Times New Roman" w:hAnsi="Times New Roman"/>
          <w:sz w:val="24"/>
          <w:szCs w:val="24"/>
          <w:lang w:val="lv-LV" w:bidi="ar-SA"/>
        </w:rPr>
        <w:t>2009.gada</w:t>
      </w:r>
      <w:proofErr w:type="gramEnd"/>
      <w:r w:rsidRPr="00A54B76">
        <w:rPr>
          <w:rFonts w:ascii="Times New Roman" w:hAnsi="Times New Roman"/>
          <w:sz w:val="24"/>
          <w:szCs w:val="24"/>
          <w:lang w:val="lv-LV" w:bidi="ar-SA"/>
        </w:rPr>
        <w:t xml:space="preserve"> 22.oktobra lēmumu, ierosināta pēc iestādes iniciatīvas. Līdzpieteicējas nav šīs lietas dalībnieki.</w:t>
      </w:r>
    </w:p>
    <w:p w14:paraId="771944A6" w14:textId="77777777" w:rsidR="00F14384" w:rsidRPr="00A54B76" w:rsidRDefault="00F14384" w:rsidP="00107C8B">
      <w:pPr>
        <w:numPr>
          <w:ilvl w:val="1"/>
          <w:numId w:val="1"/>
        </w:numPr>
        <w:spacing w:after="0" w:line="276" w:lineRule="auto"/>
        <w:ind w:right="-2"/>
        <w:jc w:val="both"/>
        <w:rPr>
          <w:rFonts w:ascii="Times New Roman" w:hAnsi="Times New Roman"/>
          <w:sz w:val="24"/>
          <w:szCs w:val="24"/>
          <w:lang w:val="lv-LV" w:bidi="ar-SA"/>
        </w:rPr>
      </w:pPr>
      <w:r w:rsidRPr="00A54B76">
        <w:rPr>
          <w:rFonts w:ascii="Times New Roman" w:hAnsi="Times New Roman"/>
          <w:sz w:val="24"/>
          <w:szCs w:val="24"/>
          <w:lang w:val="lv-LV" w:bidi="ar-SA"/>
        </w:rPr>
        <w:t>Faktiskais apstāklis, ka SIA „LSF Holdings” pieder 3</w:t>
      </w:r>
      <w:r w:rsidR="00CE2C86">
        <w:rPr>
          <w:rFonts w:ascii="Times New Roman" w:hAnsi="Times New Roman"/>
          <w:sz w:val="24"/>
          <w:szCs w:val="24"/>
          <w:lang w:val="lv-LV" w:bidi="ar-SA"/>
        </w:rPr>
        <w:t xml:space="preserve"> procenti</w:t>
      </w:r>
      <w:r w:rsidRPr="00A54B76">
        <w:rPr>
          <w:rFonts w:ascii="Times New Roman" w:hAnsi="Times New Roman"/>
          <w:sz w:val="24"/>
          <w:szCs w:val="24"/>
          <w:lang w:val="lv-LV" w:bidi="ar-SA"/>
        </w:rPr>
        <w:t xml:space="preserve"> no SIA „Ostas flote” pamatkapitāla, </w:t>
      </w:r>
      <w:r w:rsidRPr="00A54B76">
        <w:rPr>
          <w:rFonts w:ascii="Times New Roman" w:hAnsi="Times New Roman"/>
          <w:sz w:val="24"/>
          <w:szCs w:val="24"/>
          <w:lang w:val="lv-LV"/>
        </w:rPr>
        <w:t>nerada subjektīvas prasījuma tiesības Konkurences likuma izpratnē. Konkurences tiesībās personas aizskartajām subjektīvajām tiesībām ir jābūt tādām, kas izriet no konkurences ietekmēšanas.</w:t>
      </w:r>
      <w:r w:rsidRPr="00A54B76">
        <w:rPr>
          <w:rFonts w:ascii="Times New Roman" w:hAnsi="Times New Roman"/>
          <w:sz w:val="24"/>
          <w:szCs w:val="24"/>
          <w:lang w:val="lv-LV" w:bidi="ar-SA"/>
        </w:rPr>
        <w:t xml:space="preserve"> </w:t>
      </w:r>
      <w:r w:rsidRPr="00A54B76">
        <w:rPr>
          <w:rFonts w:ascii="Times New Roman" w:hAnsi="Times New Roman"/>
          <w:sz w:val="24"/>
          <w:szCs w:val="24"/>
          <w:lang w:val="lv-LV"/>
        </w:rPr>
        <w:t>Lietā, kurā tiek izvērtēta tirgus dalībnieku apvienošanās, SIA „LSF Holdings” intereses netiek skartas, jo SIA „LSF Holdings” nav SIA „Ostas flote” vai AS „PKL Flote” konkurents, jo velkoņu pakalpojumus nesniedz. Daļu piederība nav saimnieciskās darbības izpausme.</w:t>
      </w:r>
    </w:p>
    <w:p w14:paraId="1F6B896C" w14:textId="77777777" w:rsidR="00F14384" w:rsidRPr="00A54B76" w:rsidRDefault="00F14384" w:rsidP="00107C8B">
      <w:pPr>
        <w:numPr>
          <w:ilvl w:val="1"/>
          <w:numId w:val="1"/>
        </w:numPr>
        <w:spacing w:after="0" w:line="276" w:lineRule="auto"/>
        <w:ind w:right="-2"/>
        <w:jc w:val="both"/>
        <w:rPr>
          <w:rFonts w:ascii="Times New Roman" w:hAnsi="Times New Roman"/>
          <w:sz w:val="24"/>
          <w:szCs w:val="24"/>
          <w:lang w:val="lv-LV" w:bidi="ar-SA"/>
        </w:rPr>
      </w:pPr>
      <w:r w:rsidRPr="00A54B76">
        <w:rPr>
          <w:rFonts w:ascii="Times New Roman" w:hAnsi="Times New Roman"/>
          <w:color w:val="000000"/>
          <w:sz w:val="24"/>
          <w:szCs w:val="24"/>
          <w:lang w:val="lv-LV"/>
        </w:rPr>
        <w:t>SIA „LSF Holdings” pieder SIA „Amberholdings”</w:t>
      </w:r>
      <w:r w:rsidR="002C789D">
        <w:rPr>
          <w:rFonts w:ascii="Times New Roman" w:hAnsi="Times New Roman"/>
          <w:color w:val="000000"/>
          <w:sz w:val="24"/>
          <w:szCs w:val="24"/>
          <w:lang w:val="lv-LV"/>
        </w:rPr>
        <w:t>,</w:t>
      </w:r>
      <w:r w:rsidRPr="00A54B76">
        <w:rPr>
          <w:rFonts w:ascii="Times New Roman" w:hAnsi="Times New Roman"/>
          <w:color w:val="000000"/>
          <w:sz w:val="24"/>
          <w:szCs w:val="24"/>
          <w:lang w:val="lv-LV"/>
        </w:rPr>
        <w:t xml:space="preserve"> tādēļ līdzpieteicējas nav uzskatāmas par atsevišķiem ar patstāvīgām vai atšķirīgām tiesiskām interesēm apveltītiem procesa dalībniekiem.</w:t>
      </w:r>
    </w:p>
    <w:p w14:paraId="7B83A41C" w14:textId="77777777" w:rsidR="00F14384" w:rsidRPr="00A54B76" w:rsidRDefault="00F14384" w:rsidP="00107C8B">
      <w:pPr>
        <w:numPr>
          <w:ilvl w:val="1"/>
          <w:numId w:val="1"/>
        </w:numPr>
        <w:spacing w:after="0" w:line="276" w:lineRule="auto"/>
        <w:ind w:right="-2"/>
        <w:jc w:val="both"/>
        <w:rPr>
          <w:rFonts w:ascii="Times New Roman" w:hAnsi="Times New Roman"/>
          <w:sz w:val="24"/>
          <w:szCs w:val="24"/>
          <w:lang w:val="lv-LV" w:bidi="ar-SA"/>
        </w:rPr>
      </w:pPr>
      <w:r w:rsidRPr="00A54B76">
        <w:rPr>
          <w:rFonts w:ascii="Times New Roman" w:hAnsi="Times New Roman"/>
          <w:sz w:val="24"/>
          <w:szCs w:val="24"/>
          <w:lang w:val="lv-LV"/>
        </w:rPr>
        <w:t xml:space="preserve">SIA „Ostas flote” un AS „PKL Flote” </w:t>
      </w:r>
      <w:r w:rsidRPr="008B4CFB">
        <w:rPr>
          <w:rFonts w:ascii="Times New Roman" w:hAnsi="Times New Roman"/>
          <w:sz w:val="24"/>
          <w:szCs w:val="24"/>
          <w:lang w:val="lv-LV"/>
        </w:rPr>
        <w:t xml:space="preserve">apvienošanās brīdī </w:t>
      </w:r>
      <w:proofErr w:type="gramStart"/>
      <w:r w:rsidRPr="008B4CFB">
        <w:rPr>
          <w:rFonts w:ascii="Times New Roman" w:hAnsi="Times New Roman"/>
          <w:sz w:val="24"/>
          <w:szCs w:val="24"/>
          <w:lang w:val="lv-LV"/>
        </w:rPr>
        <w:t>2008.gada</w:t>
      </w:r>
      <w:proofErr w:type="gramEnd"/>
      <w:r w:rsidRPr="008B4CFB">
        <w:rPr>
          <w:rFonts w:ascii="Times New Roman" w:hAnsi="Times New Roman"/>
          <w:sz w:val="24"/>
          <w:szCs w:val="24"/>
          <w:lang w:val="lv-LV"/>
        </w:rPr>
        <w:t xml:space="preserve"> 21.novembrī SIA „Amberholdings” nebija to konkurents</w:t>
      </w:r>
      <w:r w:rsidRPr="00A54B76">
        <w:rPr>
          <w:rFonts w:ascii="Times New Roman" w:hAnsi="Times New Roman"/>
          <w:sz w:val="24"/>
          <w:szCs w:val="24"/>
          <w:lang w:val="lv-LV"/>
        </w:rPr>
        <w:t xml:space="preserve"> </w:t>
      </w:r>
      <w:r w:rsidRPr="00B0205A">
        <w:rPr>
          <w:rFonts w:ascii="Times New Roman" w:hAnsi="Times New Roman"/>
          <w:sz w:val="24"/>
          <w:szCs w:val="24"/>
          <w:lang w:val="lv-LV"/>
        </w:rPr>
        <w:t>nevienā no konkrētajiem tirgiem</w:t>
      </w:r>
      <w:r w:rsidR="00A54B76" w:rsidRPr="00B0205A">
        <w:rPr>
          <w:rFonts w:ascii="Times New Roman" w:hAnsi="Times New Roman"/>
          <w:sz w:val="24"/>
          <w:szCs w:val="24"/>
          <w:lang w:val="lv-LV"/>
        </w:rPr>
        <w:t>: Rīgas ostas un Liepājas ostas velkoņu pakalpojumu tirgos</w:t>
      </w:r>
      <w:r w:rsidRPr="00B0205A">
        <w:rPr>
          <w:rFonts w:ascii="Times New Roman" w:hAnsi="Times New Roman"/>
          <w:sz w:val="24"/>
          <w:szCs w:val="24"/>
          <w:lang w:val="lv-LV"/>
        </w:rPr>
        <w:t>.</w:t>
      </w:r>
      <w:r w:rsidRPr="00A54B76">
        <w:rPr>
          <w:rFonts w:ascii="Times New Roman" w:hAnsi="Times New Roman"/>
          <w:sz w:val="24"/>
          <w:szCs w:val="24"/>
          <w:lang w:val="lv-LV"/>
        </w:rPr>
        <w:t xml:space="preserve"> Apstāklis, ka SIA „Amberholdings” kļuva par AS „PKL Flote” konkurentu </w:t>
      </w:r>
      <w:proofErr w:type="gramStart"/>
      <w:r w:rsidRPr="00A54B76">
        <w:rPr>
          <w:rFonts w:ascii="Times New Roman" w:hAnsi="Times New Roman"/>
          <w:sz w:val="24"/>
          <w:szCs w:val="24"/>
          <w:lang w:val="lv-LV"/>
        </w:rPr>
        <w:t>2009.gada</w:t>
      </w:r>
      <w:proofErr w:type="gramEnd"/>
      <w:r w:rsidRPr="00A54B76">
        <w:rPr>
          <w:rFonts w:ascii="Times New Roman" w:hAnsi="Times New Roman"/>
          <w:sz w:val="24"/>
          <w:szCs w:val="24"/>
          <w:lang w:val="lv-LV"/>
        </w:rPr>
        <w:t xml:space="preserve"> nogalē</w:t>
      </w:r>
      <w:r w:rsidR="00B0205A">
        <w:rPr>
          <w:rFonts w:ascii="Times New Roman" w:hAnsi="Times New Roman"/>
          <w:sz w:val="24"/>
          <w:szCs w:val="24"/>
          <w:lang w:val="lv-LV"/>
        </w:rPr>
        <w:t>,</w:t>
      </w:r>
      <w:r w:rsidRPr="00A54B76">
        <w:rPr>
          <w:rFonts w:ascii="Times New Roman" w:hAnsi="Times New Roman"/>
          <w:sz w:val="24"/>
          <w:szCs w:val="24"/>
          <w:lang w:val="lv-LV"/>
        </w:rPr>
        <w:t xml:space="preserve"> nemaina situāciju, ka SIA „Amberholdings” tiesības vai tiesiskās intereses tiek aizskartas, jo apvienošanās notika gadu ātrāk. </w:t>
      </w:r>
    </w:p>
    <w:p w14:paraId="043BC900" w14:textId="77777777" w:rsidR="00F14384" w:rsidRPr="00A54B76" w:rsidRDefault="00F14384" w:rsidP="00107C8B">
      <w:pPr>
        <w:spacing w:after="0" w:line="276" w:lineRule="auto"/>
        <w:ind w:left="851" w:right="-2"/>
        <w:jc w:val="both"/>
        <w:rPr>
          <w:rFonts w:ascii="Times New Roman" w:hAnsi="Times New Roman"/>
          <w:sz w:val="24"/>
          <w:szCs w:val="24"/>
          <w:lang w:bidi="ar-SA"/>
        </w:rPr>
      </w:pPr>
    </w:p>
    <w:p w14:paraId="049ABE2D" w14:textId="77777777" w:rsidR="009D3DDA" w:rsidRDefault="00A5136D" w:rsidP="00107C8B">
      <w:pPr>
        <w:numPr>
          <w:ilvl w:val="0"/>
          <w:numId w:val="1"/>
        </w:numPr>
        <w:spacing w:after="0" w:line="276" w:lineRule="auto"/>
        <w:ind w:right="-2"/>
        <w:jc w:val="both"/>
        <w:rPr>
          <w:rFonts w:ascii="Times New Roman" w:hAnsi="Times New Roman"/>
          <w:sz w:val="24"/>
          <w:szCs w:val="24"/>
          <w:lang w:val="lv-LV" w:bidi="ar-SA"/>
        </w:rPr>
      </w:pPr>
      <w:r w:rsidRPr="00A54B76">
        <w:rPr>
          <w:rFonts w:ascii="Times New Roman" w:hAnsi="Times New Roman"/>
          <w:sz w:val="24"/>
          <w:szCs w:val="24"/>
          <w:lang w:val="lv-LV" w:bidi="ar-SA"/>
        </w:rPr>
        <w:t>Līdzpieteicējas</w:t>
      </w:r>
      <w:r w:rsidR="009D3DDA" w:rsidRPr="00A54B76">
        <w:rPr>
          <w:rFonts w:ascii="Times New Roman" w:hAnsi="Times New Roman"/>
          <w:sz w:val="24"/>
          <w:szCs w:val="24"/>
          <w:lang w:val="lv-LV" w:bidi="ar-SA"/>
        </w:rPr>
        <w:t xml:space="preserve"> iesnie</w:t>
      </w:r>
      <w:r w:rsidRPr="00A54B76">
        <w:rPr>
          <w:rFonts w:ascii="Times New Roman" w:hAnsi="Times New Roman"/>
          <w:sz w:val="24"/>
          <w:szCs w:val="24"/>
          <w:lang w:val="lv-LV" w:bidi="ar-SA"/>
        </w:rPr>
        <w:t>gušas</w:t>
      </w:r>
      <w:r w:rsidR="009D3DDA" w:rsidRPr="00A54B76">
        <w:rPr>
          <w:rFonts w:ascii="Times New Roman" w:hAnsi="Times New Roman"/>
          <w:sz w:val="24"/>
          <w:szCs w:val="24"/>
          <w:lang w:val="lv-LV" w:bidi="ar-SA"/>
        </w:rPr>
        <w:t xml:space="preserve"> blakus sūdzību, kurā norāda, ka </w:t>
      </w:r>
      <w:r w:rsidR="00A54B76">
        <w:rPr>
          <w:rFonts w:ascii="Times New Roman" w:hAnsi="Times New Roman"/>
          <w:sz w:val="24"/>
          <w:szCs w:val="24"/>
          <w:lang w:val="lv-LV" w:bidi="ar-SA"/>
        </w:rPr>
        <w:t xml:space="preserve">Konkurences padomes </w:t>
      </w:r>
      <w:proofErr w:type="gramStart"/>
      <w:r w:rsidR="00A54B76">
        <w:rPr>
          <w:rFonts w:ascii="Times New Roman" w:hAnsi="Times New Roman"/>
          <w:sz w:val="24"/>
          <w:szCs w:val="24"/>
          <w:lang w:val="lv-LV" w:bidi="ar-SA"/>
        </w:rPr>
        <w:t>2009.gada</w:t>
      </w:r>
      <w:proofErr w:type="gramEnd"/>
      <w:r w:rsidR="00A54B76">
        <w:rPr>
          <w:rFonts w:ascii="Times New Roman" w:hAnsi="Times New Roman"/>
          <w:sz w:val="24"/>
          <w:szCs w:val="24"/>
          <w:lang w:val="lv-LV" w:bidi="ar-SA"/>
        </w:rPr>
        <w:t xml:space="preserve"> 22.oktobra </w:t>
      </w:r>
      <w:r w:rsidR="00A54B76" w:rsidRPr="008B4CFB">
        <w:rPr>
          <w:rFonts w:ascii="Times New Roman" w:hAnsi="Times New Roman"/>
          <w:sz w:val="24"/>
          <w:szCs w:val="24"/>
          <w:lang w:val="lv-LV" w:bidi="ar-SA"/>
        </w:rPr>
        <w:t xml:space="preserve">lēmuma </w:t>
      </w:r>
      <w:r w:rsidRPr="008B4CFB">
        <w:rPr>
          <w:rFonts w:ascii="Times New Roman" w:hAnsi="Times New Roman"/>
          <w:sz w:val="24"/>
          <w:szCs w:val="24"/>
          <w:lang w:val="lv-LV" w:bidi="ar-SA"/>
        </w:rPr>
        <w:t>pieņemšanas brīdī</w:t>
      </w:r>
      <w:r w:rsidRPr="00A54B76">
        <w:rPr>
          <w:rFonts w:ascii="Times New Roman" w:hAnsi="Times New Roman"/>
          <w:sz w:val="24"/>
          <w:szCs w:val="24"/>
          <w:lang w:val="lv-LV" w:bidi="ar-SA"/>
        </w:rPr>
        <w:t xml:space="preserve"> līdzpieteicējas bija tirgus dalībnieki velkoņu pakalpojumu tirgū</w:t>
      </w:r>
      <w:r w:rsidR="00A66577">
        <w:rPr>
          <w:rFonts w:ascii="Times New Roman" w:hAnsi="Times New Roman"/>
          <w:sz w:val="24"/>
          <w:szCs w:val="24"/>
          <w:lang w:val="lv-LV" w:bidi="ar-SA"/>
        </w:rPr>
        <w:t>, tādēļ</w:t>
      </w:r>
      <w:r w:rsidRPr="00A54B76">
        <w:rPr>
          <w:rFonts w:ascii="Times New Roman" w:hAnsi="Times New Roman"/>
          <w:sz w:val="24"/>
          <w:szCs w:val="24"/>
          <w:lang w:val="lv-LV" w:bidi="ar-SA"/>
        </w:rPr>
        <w:t xml:space="preserve"> </w:t>
      </w:r>
      <w:r w:rsidR="00A66577">
        <w:rPr>
          <w:rFonts w:ascii="Times New Roman" w:hAnsi="Times New Roman"/>
          <w:sz w:val="24"/>
          <w:szCs w:val="24"/>
          <w:lang w:val="lv-LV" w:bidi="ar-SA"/>
        </w:rPr>
        <w:t>l</w:t>
      </w:r>
      <w:r w:rsidRPr="00A54B76">
        <w:rPr>
          <w:rFonts w:ascii="Times New Roman" w:hAnsi="Times New Roman"/>
          <w:sz w:val="24"/>
          <w:szCs w:val="24"/>
          <w:lang w:val="lv-LV" w:bidi="ar-SA"/>
        </w:rPr>
        <w:t>īdzpieteicējām ir subjektīvās tiesības pārsūdzēt Konkurences padomes 2009.gada 22.oktobra lēmumu.</w:t>
      </w:r>
    </w:p>
    <w:p w14:paraId="3F7E682A" w14:textId="77777777" w:rsidR="00A66577" w:rsidRDefault="00A66577" w:rsidP="00107C8B">
      <w:pPr>
        <w:spacing w:after="0" w:line="276" w:lineRule="auto"/>
        <w:ind w:left="851" w:right="-2"/>
        <w:jc w:val="both"/>
        <w:rPr>
          <w:rFonts w:ascii="Times New Roman" w:hAnsi="Times New Roman"/>
          <w:sz w:val="24"/>
          <w:szCs w:val="24"/>
          <w:lang w:val="lv-LV" w:bidi="ar-SA"/>
        </w:rPr>
      </w:pPr>
    </w:p>
    <w:p w14:paraId="6F6EE65A" w14:textId="77777777" w:rsidR="00A66577" w:rsidRDefault="00A66577" w:rsidP="00107C8B">
      <w:pPr>
        <w:numPr>
          <w:ilvl w:val="0"/>
          <w:numId w:val="1"/>
        </w:numPr>
        <w:spacing w:after="0" w:line="276" w:lineRule="auto"/>
        <w:ind w:right="-2"/>
        <w:jc w:val="both"/>
        <w:rPr>
          <w:rFonts w:ascii="Times New Roman" w:hAnsi="Times New Roman"/>
          <w:sz w:val="24"/>
          <w:szCs w:val="24"/>
          <w:lang w:val="lv-LV" w:bidi="ar-SA"/>
        </w:rPr>
      </w:pPr>
      <w:r>
        <w:rPr>
          <w:rFonts w:ascii="Times New Roman" w:hAnsi="Times New Roman"/>
          <w:sz w:val="24"/>
          <w:szCs w:val="24"/>
          <w:lang w:val="lv-LV" w:bidi="ar-SA"/>
        </w:rPr>
        <w:t xml:space="preserve">Konkurences padome par blakus sūdzību paskaidrojusi, ka līdzpieteicējām būtu tiesības pārsūdzēt Konkurences padomes lēmumu, ja tās būtu konkurentes konkrētajos tirgos, un atļautā apvienošanās ir radījusi tiešas un negatīvas sekas. SIA „LSF Holdings” nav SIA </w:t>
      </w:r>
      <w:r>
        <w:rPr>
          <w:rFonts w:ascii="Times New Roman" w:hAnsi="Times New Roman"/>
          <w:sz w:val="24"/>
          <w:szCs w:val="24"/>
          <w:lang w:val="lv-LV" w:bidi="ar-SA"/>
        </w:rPr>
        <w:lastRenderedPageBreak/>
        <w:t xml:space="preserve">„Ostas flote” un </w:t>
      </w:r>
      <w:r w:rsidRPr="00A54B76">
        <w:rPr>
          <w:rFonts w:ascii="Times New Roman" w:hAnsi="Times New Roman"/>
          <w:sz w:val="24"/>
          <w:szCs w:val="24"/>
          <w:lang w:val="lv-LV"/>
        </w:rPr>
        <w:t>AS „PKL Flote”</w:t>
      </w:r>
      <w:r>
        <w:rPr>
          <w:rFonts w:ascii="Times New Roman" w:hAnsi="Times New Roman"/>
          <w:sz w:val="24"/>
          <w:szCs w:val="24"/>
          <w:lang w:val="lv-LV"/>
        </w:rPr>
        <w:t xml:space="preserve"> konkurents. SIA „Amberholdings” konkurentu apvienošanās brīdī nebija tirgus dalībnieks. Konkurences padomes lēmuma pieņemšanas brīdī SIA „Amberholdings” sniedza velkoņu pakalpojumus Rīgas brīvostā. Tagad SIA „Amberholdings” vairs nesniedz velkoņu pakalpojumus Rīgas brīvostā.</w:t>
      </w:r>
    </w:p>
    <w:p w14:paraId="0C87F566" w14:textId="77777777" w:rsidR="00275A06" w:rsidRDefault="00275A06" w:rsidP="00107C8B">
      <w:pPr>
        <w:pStyle w:val="ListParagraph"/>
        <w:spacing w:after="0" w:line="276" w:lineRule="auto"/>
        <w:rPr>
          <w:rFonts w:ascii="Times New Roman" w:hAnsi="Times New Roman"/>
          <w:sz w:val="24"/>
          <w:szCs w:val="24"/>
          <w:lang w:val="lv-LV" w:bidi="ar-SA"/>
        </w:rPr>
      </w:pPr>
    </w:p>
    <w:p w14:paraId="56DDF058" w14:textId="77777777" w:rsidR="00A54B76" w:rsidRPr="00A54B76" w:rsidRDefault="00A54B76" w:rsidP="00107C8B">
      <w:pPr>
        <w:spacing w:after="0" w:line="276" w:lineRule="auto"/>
        <w:ind w:right="-2"/>
        <w:jc w:val="center"/>
        <w:rPr>
          <w:rFonts w:ascii="Times New Roman" w:hAnsi="Times New Roman"/>
          <w:b/>
          <w:sz w:val="24"/>
          <w:szCs w:val="24"/>
          <w:lang w:val="lv-LV" w:bidi="ar-SA"/>
        </w:rPr>
      </w:pPr>
      <w:r w:rsidRPr="00A54B76">
        <w:rPr>
          <w:rFonts w:ascii="Times New Roman" w:hAnsi="Times New Roman"/>
          <w:b/>
          <w:sz w:val="24"/>
          <w:szCs w:val="24"/>
          <w:lang w:val="lv-LV" w:bidi="ar-SA"/>
        </w:rPr>
        <w:t>Motīvu daļa</w:t>
      </w:r>
    </w:p>
    <w:p w14:paraId="1B5A32D8" w14:textId="77777777" w:rsidR="008F5BBB" w:rsidRPr="00A54B76" w:rsidRDefault="008F5BBB" w:rsidP="00107C8B">
      <w:pPr>
        <w:spacing w:after="0" w:line="276" w:lineRule="auto"/>
        <w:jc w:val="center"/>
        <w:rPr>
          <w:rFonts w:ascii="Times New Roman" w:hAnsi="Times New Roman"/>
          <w:b/>
          <w:bCs/>
          <w:spacing w:val="70"/>
          <w:sz w:val="24"/>
          <w:szCs w:val="24"/>
          <w:lang w:val="lv-LV" w:bidi="ar-SA"/>
        </w:rPr>
      </w:pPr>
    </w:p>
    <w:p w14:paraId="6E5D37E5" w14:textId="77777777" w:rsidR="00963EAB" w:rsidRPr="00C4224C" w:rsidRDefault="00963EAB" w:rsidP="00107C8B">
      <w:pPr>
        <w:numPr>
          <w:ilvl w:val="0"/>
          <w:numId w:val="1"/>
        </w:numPr>
        <w:spacing w:after="0" w:line="276" w:lineRule="auto"/>
        <w:ind w:right="-2"/>
        <w:jc w:val="both"/>
        <w:rPr>
          <w:rFonts w:ascii="Times New Roman" w:hAnsi="Times New Roman"/>
          <w:sz w:val="24"/>
          <w:szCs w:val="24"/>
          <w:lang w:val="lv-LV" w:bidi="ar-SA"/>
        </w:rPr>
      </w:pPr>
      <w:r w:rsidRPr="0067750D">
        <w:rPr>
          <w:rFonts w:ascii="Times New Roman" w:hAnsi="Times New Roman"/>
          <w:sz w:val="24"/>
          <w:szCs w:val="24"/>
          <w:lang w:val="lv-LV" w:bidi="ar-SA"/>
        </w:rPr>
        <w:t>Konkurence</w:t>
      </w:r>
      <w:r>
        <w:rPr>
          <w:rFonts w:ascii="Times New Roman" w:hAnsi="Times New Roman"/>
          <w:sz w:val="24"/>
          <w:szCs w:val="24"/>
          <w:lang w:val="lv-LV" w:bidi="ar-SA"/>
        </w:rPr>
        <w:t xml:space="preserve">s likuma </w:t>
      </w:r>
      <w:proofErr w:type="gramStart"/>
      <w:r>
        <w:rPr>
          <w:rFonts w:ascii="Times New Roman" w:hAnsi="Times New Roman"/>
          <w:sz w:val="24"/>
          <w:szCs w:val="24"/>
          <w:lang w:val="lv-LV" w:bidi="ar-SA"/>
        </w:rPr>
        <w:t>16.panta</w:t>
      </w:r>
      <w:proofErr w:type="gramEnd"/>
      <w:r>
        <w:rPr>
          <w:rFonts w:ascii="Times New Roman" w:hAnsi="Times New Roman"/>
          <w:sz w:val="24"/>
          <w:szCs w:val="24"/>
          <w:lang w:val="lv-LV" w:bidi="ar-SA"/>
        </w:rPr>
        <w:t xml:space="preserve"> ceturtā daļa </w:t>
      </w:r>
      <w:r w:rsidRPr="0067750D">
        <w:rPr>
          <w:rFonts w:ascii="Times New Roman" w:hAnsi="Times New Roman"/>
          <w:sz w:val="24"/>
          <w:szCs w:val="24"/>
          <w:lang w:val="lv-LV" w:bidi="ar-SA"/>
        </w:rPr>
        <w:t>noteic, ka Konkurences padome</w:t>
      </w:r>
      <w:r>
        <w:rPr>
          <w:rFonts w:ascii="Times New Roman" w:hAnsi="Times New Roman"/>
          <w:sz w:val="24"/>
          <w:szCs w:val="24"/>
          <w:lang w:val="lv-LV" w:bidi="ar-SA"/>
        </w:rPr>
        <w:t xml:space="preserve"> </w:t>
      </w:r>
      <w:r w:rsidRPr="0067750D">
        <w:rPr>
          <w:rFonts w:ascii="Times New Roman" w:hAnsi="Times New Roman"/>
          <w:sz w:val="24"/>
          <w:szCs w:val="24"/>
          <w:lang w:val="lv-LV" w:bidi="ar-SA"/>
        </w:rPr>
        <w:t xml:space="preserve">dod atļauju apvienoties tirgus dalībniekiem, ja </w:t>
      </w:r>
      <w:r w:rsidRPr="0067750D">
        <w:rPr>
          <w:rStyle w:val="apple-style-span"/>
          <w:rFonts w:ascii="Times New Roman" w:hAnsi="Times New Roman"/>
          <w:color w:val="000000"/>
          <w:sz w:val="24"/>
          <w:szCs w:val="24"/>
          <w:lang w:val="lv-LV"/>
        </w:rPr>
        <w:t xml:space="preserve">paziņotā tirgus dalībnieku apvienošanās nerada vai nenostiprina dominējošo stāvokli vai nevar būtiski samazināt konkurenci jebkurā konkrētajā tirgū. </w:t>
      </w:r>
      <w:r w:rsidRPr="00BF6DA7">
        <w:rPr>
          <w:rStyle w:val="apple-style-span"/>
          <w:rFonts w:ascii="Times New Roman" w:hAnsi="Times New Roman"/>
          <w:sz w:val="24"/>
          <w:szCs w:val="24"/>
          <w:lang w:val="lv-LV" w:bidi="ar-SA"/>
        </w:rPr>
        <w:t>N</w:t>
      </w:r>
      <w:r w:rsidRPr="00BF6DA7">
        <w:rPr>
          <w:rFonts w:ascii="Times New Roman" w:hAnsi="Times New Roman"/>
          <w:sz w:val="24"/>
          <w:szCs w:val="24"/>
          <w:lang w:val="lv-LV" w:bidi="ar-SA"/>
        </w:rPr>
        <w:t xml:space="preserve">o Konkurences likuma </w:t>
      </w:r>
      <w:proofErr w:type="gramStart"/>
      <w:r w:rsidRPr="00BF6DA7">
        <w:rPr>
          <w:rFonts w:ascii="Times New Roman" w:hAnsi="Times New Roman"/>
          <w:sz w:val="24"/>
          <w:szCs w:val="24"/>
          <w:lang w:val="lv-LV" w:bidi="ar-SA"/>
        </w:rPr>
        <w:t>16.panta</w:t>
      </w:r>
      <w:proofErr w:type="gramEnd"/>
      <w:r w:rsidRPr="00BF6DA7">
        <w:rPr>
          <w:rFonts w:ascii="Times New Roman" w:hAnsi="Times New Roman"/>
          <w:sz w:val="24"/>
          <w:szCs w:val="24"/>
          <w:lang w:val="lv-LV" w:bidi="ar-SA"/>
        </w:rPr>
        <w:t xml:space="preserve"> ceturtās daļas izriet subjektīvās publiskās tiesības tirgus dalībniekiem, kuri nolēmuši apvienoties, prasīt apvienošanās atļaujas izsniegšanu. </w:t>
      </w:r>
      <w:r>
        <w:rPr>
          <w:rFonts w:ascii="Times New Roman" w:hAnsi="Times New Roman"/>
          <w:sz w:val="24"/>
          <w:szCs w:val="24"/>
          <w:lang w:val="lv-LV" w:bidi="ar-SA"/>
        </w:rPr>
        <w:t>Vienlaikus n</w:t>
      </w:r>
      <w:r w:rsidRPr="00C4224C">
        <w:rPr>
          <w:rFonts w:ascii="Times New Roman" w:hAnsi="Times New Roman"/>
          <w:sz w:val="24"/>
          <w:szCs w:val="24"/>
          <w:lang w:val="lv-LV" w:bidi="ar-SA"/>
        </w:rPr>
        <w:t xml:space="preserve">o Konkurences likuma </w:t>
      </w:r>
      <w:proofErr w:type="gramStart"/>
      <w:r w:rsidRPr="00C4224C">
        <w:rPr>
          <w:rFonts w:ascii="Times New Roman" w:hAnsi="Times New Roman"/>
          <w:sz w:val="24"/>
          <w:szCs w:val="24"/>
          <w:lang w:val="lv-LV" w:bidi="ar-SA"/>
        </w:rPr>
        <w:t>16.panta</w:t>
      </w:r>
      <w:proofErr w:type="gramEnd"/>
      <w:r w:rsidRPr="00C4224C">
        <w:rPr>
          <w:rFonts w:ascii="Times New Roman" w:hAnsi="Times New Roman"/>
          <w:sz w:val="24"/>
          <w:szCs w:val="24"/>
          <w:lang w:val="lv-LV" w:bidi="ar-SA"/>
        </w:rPr>
        <w:t xml:space="preserve"> ceturtās daļas izriet arī subjektīvās publiskās tiesības pārējiem tirgus dalībniekiem</w:t>
      </w:r>
      <w:r>
        <w:rPr>
          <w:rFonts w:ascii="Times New Roman" w:hAnsi="Times New Roman"/>
          <w:sz w:val="24"/>
          <w:szCs w:val="24"/>
          <w:lang w:val="lv-LV" w:bidi="ar-SA"/>
        </w:rPr>
        <w:t xml:space="preserve"> </w:t>
      </w:r>
      <w:r w:rsidRPr="00C4224C">
        <w:rPr>
          <w:rFonts w:ascii="Times New Roman" w:hAnsi="Times New Roman"/>
          <w:sz w:val="24"/>
          <w:szCs w:val="24"/>
          <w:lang w:val="lv-LV" w:bidi="ar-SA"/>
        </w:rPr>
        <w:t xml:space="preserve">prasīt apvienošanās atļaujas pārbaudi tiesā. </w:t>
      </w:r>
    </w:p>
    <w:p w14:paraId="09364B93" w14:textId="77777777" w:rsidR="00963EAB" w:rsidRDefault="00963EAB" w:rsidP="00107C8B">
      <w:pPr>
        <w:spacing w:after="0" w:line="276" w:lineRule="auto"/>
        <w:ind w:right="-2" w:firstLine="720"/>
        <w:jc w:val="both"/>
        <w:rPr>
          <w:rStyle w:val="apple-style-span"/>
          <w:rFonts w:ascii="Times New Roman" w:hAnsi="Times New Roman"/>
          <w:sz w:val="24"/>
          <w:szCs w:val="24"/>
          <w:lang w:val="lv-LV" w:bidi="ar-SA"/>
        </w:rPr>
      </w:pPr>
    </w:p>
    <w:p w14:paraId="02FDF1CA" w14:textId="77777777" w:rsidR="00963EAB" w:rsidRDefault="00963EAB" w:rsidP="00107C8B">
      <w:pPr>
        <w:numPr>
          <w:ilvl w:val="0"/>
          <w:numId w:val="1"/>
        </w:numPr>
        <w:spacing w:after="0" w:line="276" w:lineRule="auto"/>
        <w:ind w:right="-2"/>
        <w:jc w:val="both"/>
        <w:rPr>
          <w:rFonts w:ascii="Times New Roman" w:hAnsi="Times New Roman"/>
          <w:sz w:val="24"/>
          <w:szCs w:val="24"/>
          <w:lang w:val="lv-LV" w:bidi="ar-SA"/>
        </w:rPr>
      </w:pPr>
      <w:r w:rsidRPr="00117DC4">
        <w:rPr>
          <w:rFonts w:ascii="Times New Roman" w:hAnsi="Times New Roman"/>
          <w:sz w:val="24"/>
          <w:szCs w:val="24"/>
          <w:lang w:val="lv-LV" w:bidi="ar-SA"/>
        </w:rPr>
        <w:t xml:space="preserve">Kā atzīts Eiropas Savienības tiesas judikatūrā, lai personai būtu subjektīvās tiesības pārsūdzēt citiem tirgus dalībniekiem dotu apvienošanās atļauju, apvienošanās ir jāskar šo personu tieši un individuāli. </w:t>
      </w:r>
      <w:proofErr w:type="gramStart"/>
      <w:r w:rsidRPr="00117DC4">
        <w:rPr>
          <w:rFonts w:ascii="Times New Roman" w:hAnsi="Times New Roman"/>
          <w:sz w:val="24"/>
          <w:szCs w:val="24"/>
          <w:lang w:val="lv-LV" w:bidi="ar-SA"/>
        </w:rPr>
        <w:t>Pie tam</w:t>
      </w:r>
      <w:proofErr w:type="gramEnd"/>
      <w:r w:rsidRPr="00117DC4">
        <w:rPr>
          <w:rFonts w:ascii="Times New Roman" w:hAnsi="Times New Roman"/>
          <w:sz w:val="24"/>
          <w:szCs w:val="24"/>
          <w:lang w:val="lv-LV" w:bidi="ar-SA"/>
        </w:rPr>
        <w:t xml:space="preserve"> svarīgi, vai </w:t>
      </w:r>
      <w:r w:rsidRPr="00117DC4">
        <w:rPr>
          <w:rFonts w:ascii="Times New Roman" w:hAnsi="Times New Roman"/>
          <w:sz w:val="24"/>
          <w:szCs w:val="24"/>
          <w:lang w:val="lv-LV"/>
        </w:rPr>
        <w:t>lēmums skar personu individuāli</w:t>
      </w:r>
      <w:r>
        <w:rPr>
          <w:rFonts w:ascii="Times New Roman" w:hAnsi="Times New Roman"/>
          <w:sz w:val="24"/>
          <w:szCs w:val="24"/>
          <w:lang w:val="lv-LV"/>
        </w:rPr>
        <w:t>. Ja lēmums neskar personu individuāli, tad</w:t>
      </w:r>
      <w:r w:rsidRPr="00117DC4">
        <w:rPr>
          <w:rFonts w:ascii="Times New Roman" w:hAnsi="Times New Roman"/>
          <w:sz w:val="24"/>
          <w:szCs w:val="24"/>
          <w:lang w:val="lv-LV"/>
        </w:rPr>
        <w:t xml:space="preserve"> zūd nepieciešamība noskaidrot, vai tas personu skar tieši. Citas personas, kas nav lēmuma adresātes, ir individuāli un tieši </w:t>
      </w:r>
      <w:r>
        <w:rPr>
          <w:rFonts w:ascii="Times New Roman" w:hAnsi="Times New Roman"/>
          <w:sz w:val="24"/>
          <w:szCs w:val="24"/>
          <w:lang w:val="lv-LV"/>
        </w:rPr>
        <w:t>skartas tad, ja lēmums tās</w:t>
      </w:r>
      <w:r w:rsidRPr="00117DC4">
        <w:rPr>
          <w:rFonts w:ascii="Times New Roman" w:hAnsi="Times New Roman"/>
          <w:sz w:val="24"/>
          <w:szCs w:val="24"/>
          <w:lang w:val="lv-LV"/>
        </w:rPr>
        <w:t xml:space="preserve"> skar personisko iezīmju vai īpašu apstākļu dēļ, kas tās i</w:t>
      </w:r>
      <w:r>
        <w:rPr>
          <w:rFonts w:ascii="Times New Roman" w:hAnsi="Times New Roman"/>
          <w:sz w:val="24"/>
          <w:szCs w:val="24"/>
          <w:lang w:val="lv-LV"/>
        </w:rPr>
        <w:t>zceļ no pārējo personu loka, un tās</w:t>
      </w:r>
      <w:r w:rsidRPr="00117DC4">
        <w:rPr>
          <w:rFonts w:ascii="Times New Roman" w:hAnsi="Times New Roman"/>
          <w:sz w:val="24"/>
          <w:szCs w:val="24"/>
          <w:lang w:val="lv-LV"/>
        </w:rPr>
        <w:t xml:space="preserve"> līdz ar to līdzīgā veidā tiek individualizētas tāpat kā adresāti </w:t>
      </w:r>
      <w:r w:rsidRPr="00117DC4">
        <w:rPr>
          <w:rFonts w:ascii="Times New Roman" w:hAnsi="Times New Roman"/>
          <w:i/>
          <w:sz w:val="24"/>
          <w:szCs w:val="24"/>
          <w:lang w:val="lv-LV"/>
        </w:rPr>
        <w:t xml:space="preserve">(sk. Eiropas Savienības </w:t>
      </w:r>
      <w:r>
        <w:rPr>
          <w:rFonts w:ascii="Times New Roman" w:hAnsi="Times New Roman"/>
          <w:i/>
          <w:sz w:val="24"/>
          <w:szCs w:val="24"/>
          <w:lang w:val="lv-LV"/>
        </w:rPr>
        <w:t xml:space="preserve">Tiesas </w:t>
      </w:r>
      <w:proofErr w:type="gramStart"/>
      <w:r>
        <w:rPr>
          <w:rFonts w:ascii="Times New Roman" w:hAnsi="Times New Roman"/>
          <w:i/>
          <w:sz w:val="24"/>
          <w:szCs w:val="24"/>
          <w:lang w:val="lv-LV"/>
        </w:rPr>
        <w:t>1963.gada</w:t>
      </w:r>
      <w:proofErr w:type="gramEnd"/>
      <w:r>
        <w:rPr>
          <w:rFonts w:ascii="Times New Roman" w:hAnsi="Times New Roman"/>
          <w:i/>
          <w:sz w:val="24"/>
          <w:szCs w:val="24"/>
          <w:lang w:val="lv-LV"/>
        </w:rPr>
        <w:t xml:space="preserve"> 15.</w:t>
      </w:r>
      <w:r w:rsidRPr="00117DC4">
        <w:rPr>
          <w:rFonts w:ascii="Times New Roman" w:hAnsi="Times New Roman"/>
          <w:i/>
          <w:sz w:val="24"/>
          <w:szCs w:val="24"/>
          <w:lang w:val="lv-LV"/>
        </w:rPr>
        <w:t xml:space="preserve">jūlija spriedumu lietā Nr.25/62 </w:t>
      </w:r>
      <w:proofErr w:type="spellStart"/>
      <w:r w:rsidRPr="00117DC4">
        <w:rPr>
          <w:rFonts w:ascii="Times New Roman" w:hAnsi="Times New Roman"/>
          <w:i/>
          <w:iCs/>
          <w:sz w:val="24"/>
          <w:szCs w:val="24"/>
          <w:lang w:val="lv-LV"/>
        </w:rPr>
        <w:t>Plaumann</w:t>
      </w:r>
      <w:proofErr w:type="spellEnd"/>
      <w:r w:rsidRPr="00117DC4">
        <w:rPr>
          <w:rFonts w:ascii="Times New Roman" w:hAnsi="Times New Roman"/>
          <w:i/>
          <w:sz w:val="24"/>
          <w:szCs w:val="24"/>
          <w:lang w:val="lv-LV"/>
        </w:rPr>
        <w:t xml:space="preserve">, 2002.gada 25.jūlija sprieduma lietā </w:t>
      </w:r>
      <w:proofErr w:type="spellStart"/>
      <w:r w:rsidRPr="00117DC4">
        <w:rPr>
          <w:rFonts w:ascii="Times New Roman" w:hAnsi="Times New Roman"/>
          <w:i/>
          <w:sz w:val="24"/>
          <w:szCs w:val="24"/>
          <w:lang w:val="lv-LV"/>
        </w:rPr>
        <w:t>Nr.C-50</w:t>
      </w:r>
      <w:proofErr w:type="spellEnd"/>
      <w:r w:rsidRPr="00117DC4">
        <w:rPr>
          <w:rFonts w:ascii="Times New Roman" w:hAnsi="Times New Roman"/>
          <w:i/>
          <w:sz w:val="24"/>
          <w:szCs w:val="24"/>
          <w:lang w:val="lv-LV"/>
        </w:rPr>
        <w:t xml:space="preserve">/00 P </w:t>
      </w:r>
      <w:proofErr w:type="spellStart"/>
      <w:r w:rsidRPr="00117DC4">
        <w:rPr>
          <w:rFonts w:ascii="Times New Roman" w:hAnsi="Times New Roman"/>
          <w:i/>
          <w:iCs/>
          <w:sz w:val="24"/>
          <w:szCs w:val="24"/>
          <w:lang w:val="lv-LV"/>
        </w:rPr>
        <w:t>Unión</w:t>
      </w:r>
      <w:proofErr w:type="spellEnd"/>
      <w:r w:rsidRPr="00117DC4">
        <w:rPr>
          <w:rFonts w:ascii="Times New Roman" w:hAnsi="Times New Roman"/>
          <w:i/>
          <w:iCs/>
          <w:sz w:val="24"/>
          <w:szCs w:val="24"/>
          <w:lang w:val="lv-LV"/>
        </w:rPr>
        <w:t xml:space="preserve"> </w:t>
      </w:r>
      <w:proofErr w:type="spellStart"/>
      <w:r w:rsidRPr="00117DC4">
        <w:rPr>
          <w:rFonts w:ascii="Times New Roman" w:hAnsi="Times New Roman"/>
          <w:i/>
          <w:iCs/>
          <w:sz w:val="24"/>
          <w:szCs w:val="24"/>
          <w:lang w:val="lv-LV"/>
        </w:rPr>
        <w:t>de</w:t>
      </w:r>
      <w:proofErr w:type="spellEnd"/>
      <w:r w:rsidRPr="00117DC4">
        <w:rPr>
          <w:rFonts w:ascii="Times New Roman" w:hAnsi="Times New Roman"/>
          <w:i/>
          <w:iCs/>
          <w:sz w:val="24"/>
          <w:szCs w:val="24"/>
          <w:lang w:val="lv-LV"/>
        </w:rPr>
        <w:t xml:space="preserve"> </w:t>
      </w:r>
      <w:proofErr w:type="spellStart"/>
      <w:r w:rsidRPr="00117DC4">
        <w:rPr>
          <w:rFonts w:ascii="Times New Roman" w:hAnsi="Times New Roman"/>
          <w:i/>
          <w:iCs/>
          <w:sz w:val="24"/>
          <w:szCs w:val="24"/>
          <w:lang w:val="lv-LV"/>
        </w:rPr>
        <w:t>Pequeños</w:t>
      </w:r>
      <w:proofErr w:type="spellEnd"/>
      <w:r w:rsidRPr="00117DC4">
        <w:rPr>
          <w:rFonts w:ascii="Times New Roman" w:hAnsi="Times New Roman"/>
          <w:i/>
          <w:iCs/>
          <w:sz w:val="24"/>
          <w:szCs w:val="24"/>
          <w:lang w:val="lv-LV"/>
        </w:rPr>
        <w:t xml:space="preserve"> </w:t>
      </w:r>
      <w:proofErr w:type="spellStart"/>
      <w:r w:rsidRPr="00117DC4">
        <w:rPr>
          <w:rFonts w:ascii="Times New Roman" w:hAnsi="Times New Roman"/>
          <w:i/>
          <w:iCs/>
          <w:sz w:val="24"/>
          <w:szCs w:val="24"/>
          <w:lang w:val="lv-LV"/>
        </w:rPr>
        <w:t>Agricultores</w:t>
      </w:r>
      <w:proofErr w:type="spellEnd"/>
      <w:r w:rsidRPr="00117DC4">
        <w:rPr>
          <w:rFonts w:ascii="Times New Roman" w:hAnsi="Times New Roman"/>
          <w:i/>
          <w:sz w:val="24"/>
          <w:szCs w:val="24"/>
          <w:lang w:val="lv-LV"/>
        </w:rPr>
        <w:t xml:space="preserve"> 36.punktu)</w:t>
      </w:r>
      <w:r w:rsidRPr="00117DC4">
        <w:rPr>
          <w:rFonts w:ascii="Times New Roman" w:hAnsi="Times New Roman"/>
          <w:sz w:val="24"/>
          <w:szCs w:val="24"/>
          <w:lang w:val="lv-LV"/>
        </w:rPr>
        <w:t xml:space="preserve">. </w:t>
      </w:r>
      <w:r>
        <w:rPr>
          <w:rFonts w:ascii="Times New Roman" w:hAnsi="Times New Roman"/>
          <w:sz w:val="24"/>
          <w:szCs w:val="24"/>
          <w:lang w:val="lv-LV" w:bidi="ar-SA"/>
        </w:rPr>
        <w:t>Turklāt</w:t>
      </w:r>
      <w:r w:rsidRPr="00117DC4">
        <w:rPr>
          <w:rFonts w:ascii="Times New Roman" w:hAnsi="Times New Roman"/>
          <w:sz w:val="24"/>
          <w:szCs w:val="24"/>
          <w:lang w:val="lv-LV" w:bidi="ar-SA"/>
        </w:rPr>
        <w:t xml:space="preserve"> norādīts, ka </w:t>
      </w:r>
      <w:r w:rsidRPr="00117DC4">
        <w:rPr>
          <w:rFonts w:ascii="Times New Roman" w:hAnsi="Times New Roman"/>
          <w:sz w:val="24"/>
          <w:szCs w:val="24"/>
          <w:lang w:val="lv-LV"/>
        </w:rPr>
        <w:t>vienkārša līdzdalība apvienošanās izmeklēšanas procesā nav uzskatāma par pietiekamu. Būtībā pat nav izšķiroši, vai</w:t>
      </w:r>
      <w:r w:rsidRPr="00117DC4">
        <w:rPr>
          <w:rFonts w:ascii="Times New Roman" w:hAnsi="Times New Roman"/>
          <w:sz w:val="24"/>
          <w:szCs w:val="24"/>
          <w:lang w:val="lv-LV" w:bidi="ar-SA"/>
        </w:rPr>
        <w:t xml:space="preserve"> persona ir bijusi vai nav bijusi pieaicināta apvienošanās izmeklēšanas procesā iestādē, jo tas pats par sevi vēl neprezumē tai individuālu tiesību aizskārumu.</w:t>
      </w:r>
      <w:r w:rsidRPr="00117DC4">
        <w:rPr>
          <w:rFonts w:ascii="Times New Roman" w:hAnsi="Times New Roman"/>
          <w:sz w:val="24"/>
          <w:szCs w:val="24"/>
          <w:lang w:val="lv-LV"/>
        </w:rPr>
        <w:t xml:space="preserve"> </w:t>
      </w:r>
      <w:r>
        <w:rPr>
          <w:rFonts w:ascii="Times New Roman" w:hAnsi="Times New Roman"/>
          <w:sz w:val="24"/>
          <w:szCs w:val="24"/>
          <w:lang w:val="lv-LV"/>
        </w:rPr>
        <w:t>Vienlaikus,</w:t>
      </w:r>
      <w:r w:rsidRPr="00117DC4">
        <w:rPr>
          <w:rFonts w:ascii="Times New Roman" w:hAnsi="Times New Roman"/>
          <w:sz w:val="24"/>
          <w:szCs w:val="24"/>
          <w:lang w:val="lv-LV"/>
        </w:rPr>
        <w:t xml:space="preserve"> aktīva līdzdalība administratīvajā procesā ir faktors, kas judikatūrā regulāri tiek ņemts vērā konkurences jautājumos, lai kopā ar citiem īpašiem apstākļiem </w:t>
      </w:r>
      <w:r>
        <w:rPr>
          <w:rFonts w:ascii="Times New Roman" w:hAnsi="Times New Roman"/>
          <w:sz w:val="24"/>
          <w:szCs w:val="24"/>
          <w:lang w:val="lv-LV"/>
        </w:rPr>
        <w:t>pamatotu</w:t>
      </w:r>
      <w:r w:rsidRPr="00117DC4">
        <w:rPr>
          <w:rFonts w:ascii="Times New Roman" w:hAnsi="Times New Roman"/>
          <w:sz w:val="24"/>
          <w:szCs w:val="24"/>
          <w:lang w:val="lv-LV"/>
        </w:rPr>
        <w:t xml:space="preserve"> prasības </w:t>
      </w:r>
      <w:r>
        <w:rPr>
          <w:rFonts w:ascii="Times New Roman" w:hAnsi="Times New Roman"/>
          <w:sz w:val="24"/>
          <w:szCs w:val="24"/>
          <w:lang w:val="lv-LV"/>
        </w:rPr>
        <w:t>pieļaujamību</w:t>
      </w:r>
      <w:r w:rsidRPr="00117DC4">
        <w:rPr>
          <w:rFonts w:ascii="Times New Roman" w:hAnsi="Times New Roman"/>
          <w:sz w:val="24"/>
          <w:szCs w:val="24"/>
          <w:lang w:val="lv-LV"/>
        </w:rPr>
        <w:t xml:space="preserve"> </w:t>
      </w:r>
      <w:r w:rsidRPr="00117DC4">
        <w:rPr>
          <w:rFonts w:ascii="Times New Roman" w:hAnsi="Times New Roman"/>
          <w:i/>
          <w:sz w:val="24"/>
          <w:szCs w:val="24"/>
          <w:lang w:val="lv-LV"/>
        </w:rPr>
        <w:t xml:space="preserve">(sk. Eiropas Savienības </w:t>
      </w:r>
      <w:r>
        <w:rPr>
          <w:rFonts w:ascii="Times New Roman" w:hAnsi="Times New Roman"/>
          <w:i/>
          <w:sz w:val="24"/>
          <w:szCs w:val="24"/>
          <w:lang w:val="lv-LV"/>
        </w:rPr>
        <w:t>Tiesas 1986.gada 28.</w:t>
      </w:r>
      <w:r w:rsidRPr="00117DC4">
        <w:rPr>
          <w:rFonts w:ascii="Times New Roman" w:hAnsi="Times New Roman"/>
          <w:i/>
          <w:sz w:val="24"/>
          <w:szCs w:val="24"/>
          <w:lang w:val="lv-LV"/>
        </w:rPr>
        <w:t xml:space="preserve">janvāra sprieduma lietā Nr.169/84 </w:t>
      </w:r>
      <w:proofErr w:type="spellStart"/>
      <w:r w:rsidRPr="00117DC4">
        <w:rPr>
          <w:rFonts w:ascii="Times New Roman" w:hAnsi="Times New Roman"/>
          <w:i/>
          <w:iCs/>
          <w:sz w:val="24"/>
          <w:szCs w:val="24"/>
          <w:lang w:val="lv-LV"/>
        </w:rPr>
        <w:t>Cofaz</w:t>
      </w:r>
      <w:proofErr w:type="spellEnd"/>
      <w:r w:rsidRPr="00117DC4">
        <w:rPr>
          <w:rFonts w:ascii="Times New Roman" w:hAnsi="Times New Roman"/>
          <w:i/>
          <w:sz w:val="24"/>
          <w:szCs w:val="24"/>
          <w:lang w:val="lv-LV"/>
        </w:rPr>
        <w:t xml:space="preserve"> 24. un 25.punktu, </w:t>
      </w:r>
      <w:r>
        <w:rPr>
          <w:rFonts w:ascii="Times New Roman" w:hAnsi="Times New Roman"/>
          <w:i/>
          <w:sz w:val="24"/>
          <w:szCs w:val="24"/>
          <w:lang w:val="lv-LV"/>
        </w:rPr>
        <w:t>1994.gada 19.</w:t>
      </w:r>
      <w:r w:rsidRPr="00117DC4">
        <w:rPr>
          <w:rFonts w:ascii="Times New Roman" w:hAnsi="Times New Roman"/>
          <w:i/>
          <w:sz w:val="24"/>
          <w:szCs w:val="24"/>
          <w:lang w:val="lv-LV"/>
        </w:rPr>
        <w:t xml:space="preserve">maija sprieduma lietā </w:t>
      </w:r>
      <w:proofErr w:type="spellStart"/>
      <w:r w:rsidRPr="00117DC4">
        <w:rPr>
          <w:rFonts w:ascii="Times New Roman" w:hAnsi="Times New Roman"/>
          <w:i/>
          <w:iCs/>
          <w:sz w:val="24"/>
          <w:szCs w:val="24"/>
          <w:lang w:val="lv-LV"/>
        </w:rPr>
        <w:t>Air</w:t>
      </w:r>
      <w:proofErr w:type="spellEnd"/>
      <w:r w:rsidRPr="00117DC4">
        <w:rPr>
          <w:rFonts w:ascii="Times New Roman" w:hAnsi="Times New Roman"/>
          <w:i/>
          <w:iCs/>
          <w:sz w:val="24"/>
          <w:szCs w:val="24"/>
          <w:lang w:val="lv-LV"/>
        </w:rPr>
        <w:t xml:space="preserve"> </w:t>
      </w:r>
      <w:proofErr w:type="spellStart"/>
      <w:r w:rsidRPr="00117DC4">
        <w:rPr>
          <w:rFonts w:ascii="Times New Roman" w:hAnsi="Times New Roman"/>
          <w:i/>
          <w:iCs/>
          <w:sz w:val="24"/>
          <w:szCs w:val="24"/>
          <w:lang w:val="lv-LV"/>
        </w:rPr>
        <w:t>France</w:t>
      </w:r>
      <w:proofErr w:type="spellEnd"/>
      <w:r w:rsidRPr="00117DC4">
        <w:rPr>
          <w:rFonts w:ascii="Times New Roman" w:hAnsi="Times New Roman"/>
          <w:i/>
          <w:sz w:val="24"/>
          <w:szCs w:val="24"/>
          <w:lang w:val="lv-LV"/>
        </w:rPr>
        <w:t xml:space="preserve">, 44.punktu, </w:t>
      </w:r>
      <w:r>
        <w:rPr>
          <w:rFonts w:ascii="Times New Roman" w:hAnsi="Times New Roman"/>
          <w:i/>
          <w:sz w:val="24"/>
          <w:szCs w:val="24"/>
          <w:lang w:val="lv-LV"/>
        </w:rPr>
        <w:t>1998.gada 31.</w:t>
      </w:r>
      <w:r w:rsidRPr="00117DC4">
        <w:rPr>
          <w:rFonts w:ascii="Times New Roman" w:hAnsi="Times New Roman"/>
          <w:i/>
          <w:sz w:val="24"/>
          <w:szCs w:val="24"/>
          <w:lang w:val="lv-LV"/>
        </w:rPr>
        <w:t xml:space="preserve">marta spriedumu apvienotajās lietās </w:t>
      </w:r>
      <w:proofErr w:type="spellStart"/>
      <w:r w:rsidRPr="00117DC4">
        <w:rPr>
          <w:rFonts w:ascii="Times New Roman" w:hAnsi="Times New Roman"/>
          <w:i/>
          <w:sz w:val="24"/>
          <w:szCs w:val="24"/>
          <w:lang w:val="lv-LV"/>
        </w:rPr>
        <w:t>Nr.C</w:t>
      </w:r>
      <w:proofErr w:type="spellEnd"/>
      <w:r w:rsidRPr="00117DC4">
        <w:rPr>
          <w:rFonts w:ascii="Times New Roman" w:hAnsi="Times New Roman"/>
          <w:i/>
          <w:sz w:val="24"/>
          <w:szCs w:val="24"/>
          <w:lang w:val="lv-LV"/>
        </w:rPr>
        <w:noBreakHyphen/>
        <w:t>68/94 un C</w:t>
      </w:r>
      <w:r w:rsidRPr="00117DC4">
        <w:rPr>
          <w:rFonts w:ascii="Times New Roman" w:hAnsi="Times New Roman"/>
          <w:i/>
          <w:sz w:val="24"/>
          <w:szCs w:val="24"/>
          <w:lang w:val="lv-LV"/>
        </w:rPr>
        <w:noBreakHyphen/>
        <w:t>30/95 Kali &amp; </w:t>
      </w:r>
      <w:proofErr w:type="spellStart"/>
      <w:r w:rsidRPr="00117DC4">
        <w:rPr>
          <w:rFonts w:ascii="Times New Roman" w:hAnsi="Times New Roman"/>
          <w:i/>
          <w:sz w:val="24"/>
          <w:szCs w:val="24"/>
          <w:lang w:val="lv-LV"/>
        </w:rPr>
        <w:t>Salz</w:t>
      </w:r>
      <w:proofErr w:type="spellEnd"/>
      <w:r w:rsidRPr="00117DC4">
        <w:rPr>
          <w:rFonts w:ascii="Times New Roman" w:hAnsi="Times New Roman"/>
          <w:i/>
          <w:sz w:val="24"/>
          <w:szCs w:val="24"/>
          <w:lang w:val="lv-LV"/>
        </w:rPr>
        <w:t xml:space="preserve"> 54.punktu)</w:t>
      </w:r>
      <w:r w:rsidRPr="00117DC4">
        <w:rPr>
          <w:rFonts w:ascii="Times New Roman" w:hAnsi="Times New Roman"/>
          <w:sz w:val="24"/>
          <w:szCs w:val="24"/>
          <w:lang w:val="lv-LV"/>
        </w:rPr>
        <w:t>.</w:t>
      </w:r>
    </w:p>
    <w:p w14:paraId="63318C60" w14:textId="77777777" w:rsidR="00963EAB" w:rsidRDefault="00963EAB" w:rsidP="00107C8B">
      <w:pPr>
        <w:spacing w:after="0" w:line="276" w:lineRule="auto"/>
        <w:ind w:left="851" w:right="-2"/>
        <w:jc w:val="both"/>
        <w:rPr>
          <w:rFonts w:ascii="Times New Roman" w:hAnsi="Times New Roman"/>
          <w:sz w:val="24"/>
          <w:szCs w:val="24"/>
          <w:lang w:val="lv-LV" w:bidi="ar-SA"/>
        </w:rPr>
      </w:pPr>
    </w:p>
    <w:p w14:paraId="7EE32F57" w14:textId="77777777" w:rsidR="00B74368" w:rsidRDefault="00117DC4" w:rsidP="00107C8B">
      <w:pPr>
        <w:numPr>
          <w:ilvl w:val="0"/>
          <w:numId w:val="1"/>
        </w:numPr>
        <w:spacing w:after="0" w:line="276" w:lineRule="auto"/>
        <w:ind w:right="-2"/>
        <w:jc w:val="both"/>
        <w:rPr>
          <w:rFonts w:ascii="Times New Roman" w:hAnsi="Times New Roman"/>
          <w:sz w:val="24"/>
          <w:szCs w:val="24"/>
          <w:lang w:val="lv-LV" w:bidi="ar-SA"/>
        </w:rPr>
      </w:pPr>
      <w:r>
        <w:rPr>
          <w:rFonts w:ascii="Times New Roman" w:hAnsi="Times New Roman"/>
          <w:sz w:val="24"/>
          <w:szCs w:val="24"/>
          <w:lang w:val="lv-LV" w:bidi="ar-SA"/>
        </w:rPr>
        <w:t xml:space="preserve">Izskatāmajā lietā SIA „LSF Holdings” norāda, ka Konkurences padomes lēmums to skar individuāli, jo tai pieder 3 procenti no apvienošanā iesaistītās SIA „Ostas flote”. </w:t>
      </w:r>
    </w:p>
    <w:p w14:paraId="6C9C2619" w14:textId="77777777" w:rsidR="002C6132" w:rsidRDefault="00B74368" w:rsidP="00107C8B">
      <w:pPr>
        <w:spacing w:after="0" w:line="276" w:lineRule="auto"/>
        <w:ind w:right="-2" w:firstLine="720"/>
        <w:jc w:val="both"/>
        <w:rPr>
          <w:rFonts w:ascii="Times New Roman" w:hAnsi="Times New Roman"/>
          <w:sz w:val="24"/>
          <w:szCs w:val="24"/>
          <w:lang w:val="lv-LV" w:bidi="ar-SA"/>
        </w:rPr>
      </w:pPr>
      <w:r>
        <w:rPr>
          <w:rFonts w:ascii="Times New Roman" w:hAnsi="Times New Roman"/>
          <w:sz w:val="24"/>
          <w:szCs w:val="24"/>
          <w:lang w:val="lv-LV" w:bidi="ar-SA"/>
        </w:rPr>
        <w:t xml:space="preserve">Senāts atzīst, ka </w:t>
      </w:r>
      <w:r w:rsidR="00117DC4">
        <w:rPr>
          <w:rFonts w:ascii="Times New Roman" w:hAnsi="Times New Roman"/>
          <w:sz w:val="24"/>
          <w:szCs w:val="24"/>
          <w:lang w:val="lv-LV" w:bidi="ar-SA"/>
        </w:rPr>
        <w:t>Administratīvā apgabaltiesa pareizi norādījusi, ka līdzdalība pamatkapitālā iesaistītajā sabiedrībā vēl nenozīmē individuālu aizskārumu</w:t>
      </w:r>
      <w:r w:rsidR="002C6132">
        <w:rPr>
          <w:rFonts w:ascii="Times New Roman" w:hAnsi="Times New Roman"/>
          <w:sz w:val="24"/>
          <w:szCs w:val="24"/>
          <w:lang w:val="lv-LV" w:bidi="ar-SA"/>
        </w:rPr>
        <w:t xml:space="preserve">. Ja apvienošanās lēmums ir ticis pieņemts, neievērojot mazākumdalībnieku intereses, pastāv citi </w:t>
      </w:r>
      <w:r w:rsidR="00CE2C86">
        <w:rPr>
          <w:rFonts w:ascii="Times New Roman" w:hAnsi="Times New Roman"/>
          <w:sz w:val="24"/>
          <w:szCs w:val="24"/>
          <w:lang w:val="lv-LV" w:bidi="ar-SA"/>
        </w:rPr>
        <w:t xml:space="preserve">tiesiski </w:t>
      </w:r>
      <w:r w:rsidR="002C6132">
        <w:rPr>
          <w:rFonts w:ascii="Times New Roman" w:hAnsi="Times New Roman"/>
          <w:sz w:val="24"/>
          <w:szCs w:val="24"/>
          <w:lang w:val="lv-LV" w:bidi="ar-SA"/>
        </w:rPr>
        <w:t xml:space="preserve">mehānismi, kā aizsargāt savas kā mazākumdalībnieka ekonomiskās intereses. Lietā nav strīda, ka SIA „LSF Holdings” nedarbojas velkoņu pakalpojumu tirgos, tādēļ, Senāta ieskatā, tas nav nedz esošs, nedz potenciāls tirgus dalībnieks ar apvienošanās iesaistītajiem komersantiem un to individuāli neskar apvienošanās atļauja. Tātad to arī tieši neskar pārsūdzētais lēmums. Tiesa pareizi atzinusi, ka SIA „LSF Holdings” nav subjektīvo tiesību pārsūdzēt Konkurences padomes lēmumu, ar kuru atļauta apvienošanās. Apstāklim, ka SIA „LSF Holdings” ir vērsies </w:t>
      </w:r>
      <w:r w:rsidR="002C6132">
        <w:rPr>
          <w:rFonts w:ascii="Times New Roman" w:hAnsi="Times New Roman"/>
          <w:sz w:val="24"/>
          <w:szCs w:val="24"/>
          <w:lang w:val="lv-LV" w:bidi="ar-SA"/>
        </w:rPr>
        <w:lastRenderedPageBreak/>
        <w:t xml:space="preserve">Konkurences padomē ar iebildumiem par SIA „Ostas flote” un AS „PKL Flote” apvienošanos, nav nozīmes, </w:t>
      </w:r>
      <w:r w:rsidR="002C6132" w:rsidRPr="00117DC4">
        <w:rPr>
          <w:rFonts w:ascii="Times New Roman" w:hAnsi="Times New Roman"/>
          <w:sz w:val="24"/>
          <w:szCs w:val="24"/>
          <w:lang w:val="lv-LV" w:bidi="ar-SA"/>
        </w:rPr>
        <w:t>jo tas pats par sevi vēl neprezumē tai individuālu tiesību aizskārumu.</w:t>
      </w:r>
    </w:p>
    <w:p w14:paraId="3D6E72E9" w14:textId="77777777" w:rsidR="002C6132" w:rsidRDefault="002C6132" w:rsidP="00107C8B">
      <w:pPr>
        <w:pStyle w:val="ListParagraph"/>
        <w:spacing w:after="0" w:line="276" w:lineRule="auto"/>
        <w:rPr>
          <w:rFonts w:ascii="Times New Roman" w:hAnsi="Times New Roman"/>
          <w:sz w:val="24"/>
          <w:szCs w:val="24"/>
          <w:lang w:val="lv-LV" w:bidi="ar-SA"/>
        </w:rPr>
      </w:pPr>
    </w:p>
    <w:p w14:paraId="513B28CA" w14:textId="77777777" w:rsidR="00117DC4" w:rsidRDefault="002C6132" w:rsidP="00107C8B">
      <w:pPr>
        <w:numPr>
          <w:ilvl w:val="0"/>
          <w:numId w:val="1"/>
        </w:numPr>
        <w:spacing w:after="0" w:line="276" w:lineRule="auto"/>
        <w:ind w:right="-2"/>
        <w:jc w:val="both"/>
        <w:rPr>
          <w:rFonts w:ascii="Times New Roman" w:hAnsi="Times New Roman"/>
          <w:sz w:val="24"/>
          <w:szCs w:val="24"/>
          <w:lang w:val="lv-LV" w:bidi="ar-SA"/>
        </w:rPr>
      </w:pPr>
      <w:r>
        <w:rPr>
          <w:rFonts w:ascii="Times New Roman" w:hAnsi="Times New Roman"/>
          <w:sz w:val="24"/>
          <w:szCs w:val="24"/>
          <w:lang w:val="lv-LV" w:bidi="ar-SA"/>
        </w:rPr>
        <w:t xml:space="preserve">SIA „Amberholdings” norāda, ka to skar apvienošanās atļauja, jo </w:t>
      </w:r>
      <w:r w:rsidR="00636190">
        <w:rPr>
          <w:rFonts w:ascii="Times New Roman" w:hAnsi="Times New Roman"/>
          <w:sz w:val="24"/>
          <w:szCs w:val="24"/>
          <w:lang w:val="lv-LV" w:bidi="ar-SA"/>
        </w:rPr>
        <w:t xml:space="preserve">tā </w:t>
      </w:r>
      <w:r>
        <w:rPr>
          <w:rFonts w:ascii="Times New Roman" w:hAnsi="Times New Roman"/>
          <w:sz w:val="24"/>
          <w:szCs w:val="24"/>
          <w:lang w:val="lv-LV" w:bidi="ar-SA"/>
        </w:rPr>
        <w:t xml:space="preserve">ir </w:t>
      </w:r>
      <w:r w:rsidR="00275A06">
        <w:rPr>
          <w:rFonts w:ascii="Times New Roman" w:hAnsi="Times New Roman"/>
          <w:sz w:val="24"/>
          <w:szCs w:val="24"/>
          <w:lang w:val="lv-LV" w:bidi="ar-SA"/>
        </w:rPr>
        <w:t>bij</w:t>
      </w:r>
      <w:r w:rsidR="00636190">
        <w:rPr>
          <w:rFonts w:ascii="Times New Roman" w:hAnsi="Times New Roman"/>
          <w:sz w:val="24"/>
          <w:szCs w:val="24"/>
          <w:lang w:val="lv-LV" w:bidi="ar-SA"/>
        </w:rPr>
        <w:t>usi</w:t>
      </w:r>
      <w:r w:rsidR="00275A06">
        <w:rPr>
          <w:rFonts w:ascii="Times New Roman" w:hAnsi="Times New Roman"/>
          <w:sz w:val="24"/>
          <w:szCs w:val="24"/>
          <w:lang w:val="lv-LV" w:bidi="ar-SA"/>
        </w:rPr>
        <w:t xml:space="preserve"> </w:t>
      </w:r>
      <w:r>
        <w:rPr>
          <w:rFonts w:ascii="Times New Roman" w:hAnsi="Times New Roman"/>
          <w:sz w:val="24"/>
          <w:szCs w:val="24"/>
          <w:lang w:val="lv-LV" w:bidi="ar-SA"/>
        </w:rPr>
        <w:t>tirgus dalībnie</w:t>
      </w:r>
      <w:r w:rsidR="00636190">
        <w:rPr>
          <w:rFonts w:ascii="Times New Roman" w:hAnsi="Times New Roman"/>
          <w:sz w:val="24"/>
          <w:szCs w:val="24"/>
          <w:lang w:val="lv-LV" w:bidi="ar-SA"/>
        </w:rPr>
        <w:t>ce</w:t>
      </w:r>
      <w:r w:rsidR="00BE083C">
        <w:rPr>
          <w:rFonts w:ascii="Times New Roman" w:hAnsi="Times New Roman"/>
          <w:sz w:val="24"/>
          <w:szCs w:val="24"/>
          <w:lang w:val="lv-LV" w:bidi="ar-SA"/>
        </w:rPr>
        <w:t>, sniedzot</w:t>
      </w:r>
      <w:r>
        <w:rPr>
          <w:rFonts w:ascii="Times New Roman" w:hAnsi="Times New Roman"/>
          <w:sz w:val="24"/>
          <w:szCs w:val="24"/>
          <w:lang w:val="lv-LV" w:bidi="ar-SA"/>
        </w:rPr>
        <w:t xml:space="preserve"> velkoņu pakalpojumu</w:t>
      </w:r>
      <w:r w:rsidR="00BE083C">
        <w:rPr>
          <w:rFonts w:ascii="Times New Roman" w:hAnsi="Times New Roman"/>
          <w:sz w:val="24"/>
          <w:szCs w:val="24"/>
          <w:lang w:val="lv-LV" w:bidi="ar-SA"/>
        </w:rPr>
        <w:t>s</w:t>
      </w:r>
      <w:r>
        <w:rPr>
          <w:rFonts w:ascii="Times New Roman" w:hAnsi="Times New Roman"/>
          <w:sz w:val="24"/>
          <w:szCs w:val="24"/>
          <w:lang w:val="lv-LV" w:bidi="ar-SA"/>
        </w:rPr>
        <w:t xml:space="preserve"> </w:t>
      </w:r>
      <w:r w:rsidR="00BE083C">
        <w:rPr>
          <w:rFonts w:ascii="Times New Roman" w:hAnsi="Times New Roman"/>
          <w:sz w:val="24"/>
          <w:szCs w:val="24"/>
          <w:lang w:val="lv-LV" w:bidi="ar-SA"/>
        </w:rPr>
        <w:t>Liepājas ostā, un pēc konkurējošo uzņēmumu apvienošanās, sniedzot velkoņu pakalpojumus Rīgas ostā.</w:t>
      </w:r>
    </w:p>
    <w:p w14:paraId="6598A68C" w14:textId="77777777" w:rsidR="00825D10" w:rsidRPr="00117DC4" w:rsidRDefault="00825D10" w:rsidP="00107C8B">
      <w:pPr>
        <w:spacing w:after="0" w:line="276" w:lineRule="auto"/>
        <w:ind w:right="-2" w:firstLine="720"/>
        <w:jc w:val="both"/>
        <w:rPr>
          <w:rFonts w:ascii="Times New Roman" w:hAnsi="Times New Roman"/>
          <w:sz w:val="24"/>
          <w:szCs w:val="24"/>
          <w:lang w:val="lv-LV" w:bidi="ar-SA"/>
        </w:rPr>
      </w:pPr>
      <w:r>
        <w:rPr>
          <w:rFonts w:ascii="Times New Roman" w:hAnsi="Times New Roman"/>
          <w:sz w:val="24"/>
          <w:szCs w:val="24"/>
          <w:lang w:val="lv-LV" w:bidi="ar-SA"/>
        </w:rPr>
        <w:t>Senāts konstatē, ka SIA „Amberholdings” pirms apvienošanās nav snie</w:t>
      </w:r>
      <w:r w:rsidR="00443218">
        <w:rPr>
          <w:rFonts w:ascii="Times New Roman" w:hAnsi="Times New Roman"/>
          <w:sz w:val="24"/>
          <w:szCs w:val="24"/>
          <w:lang w:val="lv-LV" w:bidi="ar-SA"/>
        </w:rPr>
        <w:t>gusi</w:t>
      </w:r>
      <w:r>
        <w:rPr>
          <w:rFonts w:ascii="Times New Roman" w:hAnsi="Times New Roman"/>
          <w:sz w:val="24"/>
          <w:szCs w:val="24"/>
          <w:lang w:val="lv-LV" w:bidi="ar-SA"/>
        </w:rPr>
        <w:t xml:space="preserve"> velkoņu pakalpojumus apvienošanās skartajos tirgos – Ventspils un Rīgas ostās. SIA „</w:t>
      </w:r>
      <w:proofErr w:type="spellStart"/>
      <w:r>
        <w:rPr>
          <w:rFonts w:ascii="Times New Roman" w:hAnsi="Times New Roman"/>
          <w:sz w:val="24"/>
          <w:szCs w:val="24"/>
          <w:lang w:val="lv-LV" w:bidi="ar-SA"/>
        </w:rPr>
        <w:t>Amberholdings</w:t>
      </w:r>
      <w:proofErr w:type="spellEnd"/>
      <w:r>
        <w:rPr>
          <w:rFonts w:ascii="Times New Roman" w:hAnsi="Times New Roman"/>
          <w:sz w:val="24"/>
          <w:szCs w:val="24"/>
          <w:lang w:val="lv-LV" w:bidi="ar-SA"/>
        </w:rPr>
        <w:t>” ir snie</w:t>
      </w:r>
      <w:r w:rsidR="00443218">
        <w:rPr>
          <w:rFonts w:ascii="Times New Roman" w:hAnsi="Times New Roman"/>
          <w:sz w:val="24"/>
          <w:szCs w:val="24"/>
          <w:lang w:val="lv-LV" w:bidi="ar-SA"/>
        </w:rPr>
        <w:t>gusi</w:t>
      </w:r>
      <w:r>
        <w:rPr>
          <w:rFonts w:ascii="Times New Roman" w:hAnsi="Times New Roman"/>
          <w:sz w:val="24"/>
          <w:szCs w:val="24"/>
          <w:lang w:val="lv-LV" w:bidi="ar-SA"/>
        </w:rPr>
        <w:t xml:space="preserve"> velkoņu pakalpojumus citā tirgū – Liepājas ostā. SIA „Amberholdings” pēc apvienošanās </w:t>
      </w:r>
      <w:r w:rsidR="00275A06">
        <w:rPr>
          <w:rFonts w:ascii="Times New Roman" w:hAnsi="Times New Roman"/>
          <w:sz w:val="24"/>
          <w:szCs w:val="24"/>
          <w:lang w:val="lv-LV" w:bidi="ar-SA"/>
        </w:rPr>
        <w:t xml:space="preserve">trīs mēnešus </w:t>
      </w:r>
      <w:r>
        <w:rPr>
          <w:rFonts w:ascii="Times New Roman" w:hAnsi="Times New Roman"/>
          <w:sz w:val="24"/>
          <w:szCs w:val="24"/>
          <w:lang w:val="lv-LV" w:bidi="ar-SA"/>
        </w:rPr>
        <w:t>ir snie</w:t>
      </w:r>
      <w:r w:rsidR="00443218">
        <w:rPr>
          <w:rFonts w:ascii="Times New Roman" w:hAnsi="Times New Roman"/>
          <w:sz w:val="24"/>
          <w:szCs w:val="24"/>
          <w:lang w:val="lv-LV" w:bidi="ar-SA"/>
        </w:rPr>
        <w:t>gusi</w:t>
      </w:r>
      <w:r>
        <w:rPr>
          <w:rFonts w:ascii="Times New Roman" w:hAnsi="Times New Roman"/>
          <w:sz w:val="24"/>
          <w:szCs w:val="24"/>
          <w:lang w:val="lv-LV" w:bidi="ar-SA"/>
        </w:rPr>
        <w:t xml:space="preserve"> velkoņu pakalpojumus Rīgas ostā</w:t>
      </w:r>
      <w:r w:rsidR="00275A06">
        <w:rPr>
          <w:rFonts w:ascii="Times New Roman" w:hAnsi="Times New Roman"/>
          <w:sz w:val="24"/>
          <w:szCs w:val="24"/>
          <w:lang w:val="lv-LV" w:bidi="ar-SA"/>
        </w:rPr>
        <w:t xml:space="preserve"> pēc laika frakta līgumiem</w:t>
      </w:r>
      <w:r>
        <w:rPr>
          <w:rFonts w:ascii="Times New Roman" w:hAnsi="Times New Roman"/>
          <w:sz w:val="24"/>
          <w:szCs w:val="24"/>
          <w:lang w:val="lv-LV" w:bidi="ar-SA"/>
        </w:rPr>
        <w:t>, taču to pārtrau</w:t>
      </w:r>
      <w:r w:rsidR="00443218">
        <w:rPr>
          <w:rFonts w:ascii="Times New Roman" w:hAnsi="Times New Roman"/>
          <w:sz w:val="24"/>
          <w:szCs w:val="24"/>
          <w:lang w:val="lv-LV" w:bidi="ar-SA"/>
        </w:rPr>
        <w:t>kusi</w:t>
      </w:r>
      <w:r>
        <w:rPr>
          <w:rFonts w:ascii="Times New Roman" w:hAnsi="Times New Roman"/>
          <w:sz w:val="24"/>
          <w:szCs w:val="24"/>
          <w:lang w:val="lv-LV" w:bidi="ar-SA"/>
        </w:rPr>
        <w:t xml:space="preserve"> un šobrīd vispār pārtrau</w:t>
      </w:r>
      <w:r w:rsidR="00443218">
        <w:rPr>
          <w:rFonts w:ascii="Times New Roman" w:hAnsi="Times New Roman"/>
          <w:sz w:val="24"/>
          <w:szCs w:val="24"/>
          <w:lang w:val="lv-LV" w:bidi="ar-SA"/>
        </w:rPr>
        <w:t>kusi</w:t>
      </w:r>
      <w:r>
        <w:rPr>
          <w:rFonts w:ascii="Times New Roman" w:hAnsi="Times New Roman"/>
          <w:sz w:val="24"/>
          <w:szCs w:val="24"/>
          <w:lang w:val="lv-LV" w:bidi="ar-SA"/>
        </w:rPr>
        <w:t xml:space="preserve"> darboties iepriekšminētajos tirgos. Pastāvot šādiem apstākļiem, Senāts nekonstatē SIA „Amberholdings” </w:t>
      </w:r>
      <w:r w:rsidR="00275A06">
        <w:rPr>
          <w:rFonts w:ascii="Times New Roman" w:hAnsi="Times New Roman"/>
          <w:sz w:val="24"/>
          <w:szCs w:val="24"/>
          <w:lang w:val="lv-LV" w:bidi="ar-SA"/>
        </w:rPr>
        <w:t xml:space="preserve">esošu vai potenciālu </w:t>
      </w:r>
      <w:r>
        <w:rPr>
          <w:rFonts w:ascii="Times New Roman" w:hAnsi="Times New Roman"/>
          <w:sz w:val="24"/>
          <w:szCs w:val="24"/>
          <w:lang w:val="lv-LV" w:bidi="ar-SA"/>
        </w:rPr>
        <w:t xml:space="preserve">individuālu </w:t>
      </w:r>
      <w:r w:rsidR="00817636">
        <w:rPr>
          <w:rFonts w:ascii="Times New Roman" w:hAnsi="Times New Roman"/>
          <w:sz w:val="24"/>
          <w:szCs w:val="24"/>
          <w:lang w:val="lv-LV" w:bidi="ar-SA"/>
        </w:rPr>
        <w:t xml:space="preserve">tiesību </w:t>
      </w:r>
      <w:r>
        <w:rPr>
          <w:rFonts w:ascii="Times New Roman" w:hAnsi="Times New Roman"/>
          <w:sz w:val="24"/>
          <w:szCs w:val="24"/>
          <w:lang w:val="lv-LV" w:bidi="ar-SA"/>
        </w:rPr>
        <w:t>aizskārumu, ko tai nodarītu apvienošanās atļauj</w:t>
      </w:r>
      <w:r w:rsidR="00817636">
        <w:rPr>
          <w:rFonts w:ascii="Times New Roman" w:hAnsi="Times New Roman"/>
          <w:sz w:val="24"/>
          <w:szCs w:val="24"/>
          <w:lang w:val="lv-LV" w:bidi="ar-SA"/>
        </w:rPr>
        <w:t>a</w:t>
      </w:r>
      <w:r>
        <w:rPr>
          <w:rFonts w:ascii="Times New Roman" w:hAnsi="Times New Roman"/>
          <w:sz w:val="24"/>
          <w:szCs w:val="24"/>
          <w:lang w:val="lv-LV" w:bidi="ar-SA"/>
        </w:rPr>
        <w:t>.</w:t>
      </w:r>
    </w:p>
    <w:p w14:paraId="2C3A288B" w14:textId="77777777" w:rsidR="008B4CFB" w:rsidRPr="008B4CFB" w:rsidRDefault="008B4CFB" w:rsidP="00107C8B">
      <w:pPr>
        <w:spacing w:after="0" w:line="276" w:lineRule="auto"/>
        <w:ind w:left="851" w:right="-2"/>
        <w:jc w:val="both"/>
        <w:rPr>
          <w:rFonts w:ascii="Times New Roman" w:hAnsi="Times New Roman"/>
          <w:sz w:val="24"/>
          <w:szCs w:val="24"/>
          <w:lang w:val="lv-LV" w:bidi="ar-SA"/>
        </w:rPr>
      </w:pPr>
    </w:p>
    <w:p w14:paraId="4E32349C" w14:textId="77777777" w:rsidR="00A54B76" w:rsidRPr="00A54B76" w:rsidRDefault="00A54B76" w:rsidP="00107C8B">
      <w:pPr>
        <w:spacing w:after="0" w:line="276" w:lineRule="auto"/>
        <w:ind w:right="-2"/>
        <w:jc w:val="center"/>
        <w:rPr>
          <w:rFonts w:ascii="Times New Roman" w:hAnsi="Times New Roman"/>
          <w:b/>
          <w:sz w:val="24"/>
          <w:szCs w:val="24"/>
          <w:lang w:val="lv-LV" w:bidi="ar-SA"/>
        </w:rPr>
      </w:pPr>
      <w:r w:rsidRPr="00A54B76">
        <w:rPr>
          <w:rFonts w:ascii="Times New Roman" w:hAnsi="Times New Roman"/>
          <w:b/>
          <w:sz w:val="24"/>
          <w:szCs w:val="24"/>
          <w:lang w:val="lv-LV" w:bidi="ar-SA"/>
        </w:rPr>
        <w:t>Nolēmuma daļa</w:t>
      </w:r>
    </w:p>
    <w:p w14:paraId="771935E3" w14:textId="77777777" w:rsidR="00A54B76" w:rsidRPr="00F001D5" w:rsidRDefault="00A54B76" w:rsidP="00107C8B">
      <w:pPr>
        <w:spacing w:after="0" w:line="276" w:lineRule="auto"/>
        <w:ind w:right="-2"/>
        <w:jc w:val="both"/>
        <w:rPr>
          <w:rFonts w:ascii="Times New Roman" w:hAnsi="Times New Roman"/>
          <w:sz w:val="24"/>
          <w:szCs w:val="24"/>
          <w:lang w:val="lv-LV" w:bidi="ar-SA"/>
        </w:rPr>
      </w:pPr>
    </w:p>
    <w:p w14:paraId="1CA246C5" w14:textId="71C7DB4A" w:rsidR="005F2421" w:rsidRPr="00107C8B" w:rsidRDefault="00A54B76" w:rsidP="00107C8B">
      <w:pPr>
        <w:spacing w:after="0" w:line="276" w:lineRule="auto"/>
        <w:ind w:firstLine="880"/>
        <w:jc w:val="both"/>
        <w:rPr>
          <w:rFonts w:ascii="Times New Roman" w:hAnsi="Times New Roman"/>
          <w:bCs/>
          <w:spacing w:val="70"/>
          <w:sz w:val="24"/>
          <w:szCs w:val="24"/>
          <w:lang w:val="pt-BR"/>
        </w:rPr>
      </w:pPr>
      <w:r w:rsidRPr="00A12078">
        <w:rPr>
          <w:rFonts w:ascii="Times New Roman" w:hAnsi="Times New Roman"/>
          <w:sz w:val="24"/>
          <w:szCs w:val="24"/>
          <w:lang w:val="pt-BR"/>
        </w:rPr>
        <w:t>Pamatojoties uz Administratīvā procesa likuma 323.panta pirmās daļas 1.punktu un 324.panta pirmo daļu, Latvijas Republikas Augstākās tiesas Senāta Administratīvo lietu departaments</w:t>
      </w:r>
    </w:p>
    <w:p w14:paraId="1881AB2A" w14:textId="77777777" w:rsidR="00443218" w:rsidRDefault="00443218" w:rsidP="00107C8B">
      <w:pPr>
        <w:spacing w:after="0" w:line="276" w:lineRule="auto"/>
        <w:jc w:val="both"/>
        <w:rPr>
          <w:rFonts w:ascii="Times New Roman" w:hAnsi="Times New Roman"/>
          <w:sz w:val="20"/>
          <w:szCs w:val="20"/>
          <w:lang w:val="pt-BR" w:bidi="ar-SA"/>
        </w:rPr>
      </w:pPr>
    </w:p>
    <w:p w14:paraId="41903B8E" w14:textId="77777777" w:rsidR="005F2421" w:rsidRPr="00F001D5" w:rsidRDefault="005F2421" w:rsidP="00107C8B">
      <w:pPr>
        <w:spacing w:after="0" w:line="276" w:lineRule="auto"/>
        <w:jc w:val="center"/>
        <w:rPr>
          <w:rFonts w:ascii="Times New Roman" w:hAnsi="Times New Roman"/>
          <w:sz w:val="24"/>
          <w:szCs w:val="24"/>
          <w:lang w:val="lv-LV" w:bidi="ar-SA"/>
        </w:rPr>
      </w:pPr>
      <w:r w:rsidRPr="00F001D5">
        <w:rPr>
          <w:rFonts w:ascii="Times New Roman" w:hAnsi="Times New Roman"/>
          <w:b/>
          <w:bCs/>
          <w:spacing w:val="70"/>
          <w:sz w:val="24"/>
          <w:szCs w:val="24"/>
          <w:lang w:val="lv-LV" w:bidi="ar-SA"/>
        </w:rPr>
        <w:t>nolēma</w:t>
      </w:r>
    </w:p>
    <w:p w14:paraId="5549937F" w14:textId="77777777" w:rsidR="005F2421" w:rsidRPr="00E5366B" w:rsidRDefault="005F2421" w:rsidP="00107C8B">
      <w:pPr>
        <w:spacing w:after="0" w:line="276" w:lineRule="auto"/>
        <w:ind w:firstLine="720"/>
        <w:jc w:val="both"/>
        <w:rPr>
          <w:rFonts w:ascii="Times New Roman" w:hAnsi="Times New Roman"/>
          <w:sz w:val="20"/>
          <w:szCs w:val="20"/>
          <w:lang w:val="lv-LV" w:bidi="ar-SA"/>
        </w:rPr>
      </w:pPr>
    </w:p>
    <w:p w14:paraId="02AC51F9" w14:textId="77777777" w:rsidR="005F2421" w:rsidRPr="00F001D5" w:rsidRDefault="00A54B76" w:rsidP="00107C8B">
      <w:pPr>
        <w:spacing w:after="0" w:line="276" w:lineRule="auto"/>
        <w:ind w:firstLine="720"/>
        <w:jc w:val="both"/>
        <w:rPr>
          <w:rFonts w:ascii="Times New Roman" w:hAnsi="Times New Roman"/>
          <w:sz w:val="24"/>
          <w:szCs w:val="24"/>
          <w:lang w:val="lv-LV" w:bidi="ar-SA"/>
        </w:rPr>
      </w:pPr>
      <w:r>
        <w:rPr>
          <w:rFonts w:ascii="Times New Roman" w:hAnsi="Times New Roman"/>
          <w:sz w:val="24"/>
          <w:szCs w:val="24"/>
          <w:lang w:val="lv-LV" w:bidi="ar-SA"/>
        </w:rPr>
        <w:t>Atstāt negrozītu</w:t>
      </w:r>
      <w:r w:rsidR="005F2421" w:rsidRPr="00F001D5">
        <w:rPr>
          <w:rFonts w:ascii="Times New Roman" w:hAnsi="Times New Roman"/>
          <w:sz w:val="24"/>
          <w:szCs w:val="24"/>
          <w:lang w:val="lv-LV" w:bidi="ar-SA"/>
        </w:rPr>
        <w:t xml:space="preserve"> Administratīvās </w:t>
      </w:r>
      <w:r w:rsidR="00EA4F18">
        <w:rPr>
          <w:rFonts w:ascii="Times New Roman" w:hAnsi="Times New Roman"/>
          <w:sz w:val="24"/>
          <w:szCs w:val="24"/>
          <w:lang w:val="lv-LV" w:bidi="ar-SA"/>
        </w:rPr>
        <w:t>apgabaltiesas</w:t>
      </w:r>
      <w:r w:rsidR="004F3B2D">
        <w:rPr>
          <w:rFonts w:ascii="Times New Roman" w:hAnsi="Times New Roman"/>
          <w:sz w:val="24"/>
          <w:szCs w:val="24"/>
          <w:lang w:val="lv-LV" w:bidi="ar-SA"/>
        </w:rPr>
        <w:t xml:space="preserve"> </w:t>
      </w:r>
      <w:proofErr w:type="gramStart"/>
      <w:r w:rsidR="004F3B2D">
        <w:rPr>
          <w:rFonts w:ascii="Times New Roman" w:hAnsi="Times New Roman"/>
          <w:sz w:val="24"/>
          <w:szCs w:val="24"/>
          <w:lang w:val="lv-LV" w:bidi="ar-SA"/>
        </w:rPr>
        <w:t>2010</w:t>
      </w:r>
      <w:r w:rsidR="00CA24E8">
        <w:rPr>
          <w:rFonts w:ascii="Times New Roman" w:hAnsi="Times New Roman"/>
          <w:sz w:val="24"/>
          <w:szCs w:val="24"/>
          <w:lang w:val="lv-LV" w:bidi="ar-SA"/>
        </w:rPr>
        <w:t>.gada</w:t>
      </w:r>
      <w:proofErr w:type="gramEnd"/>
      <w:r w:rsidR="00CA24E8">
        <w:rPr>
          <w:rFonts w:ascii="Times New Roman" w:hAnsi="Times New Roman"/>
          <w:sz w:val="24"/>
          <w:szCs w:val="24"/>
          <w:lang w:val="lv-LV" w:bidi="ar-SA"/>
        </w:rPr>
        <w:t xml:space="preserve"> </w:t>
      </w:r>
      <w:r w:rsidR="008F5BBB">
        <w:rPr>
          <w:rFonts w:ascii="Times New Roman" w:hAnsi="Times New Roman"/>
          <w:sz w:val="24"/>
          <w:szCs w:val="24"/>
          <w:lang w:val="lv-LV" w:bidi="ar-SA"/>
        </w:rPr>
        <w:t>1</w:t>
      </w:r>
      <w:r w:rsidR="00A5136D">
        <w:rPr>
          <w:rFonts w:ascii="Times New Roman" w:hAnsi="Times New Roman"/>
          <w:sz w:val="24"/>
          <w:szCs w:val="24"/>
          <w:lang w:val="lv-LV" w:bidi="ar-SA"/>
        </w:rPr>
        <w:t>5</w:t>
      </w:r>
      <w:r w:rsidR="00EA4F18">
        <w:rPr>
          <w:rFonts w:ascii="Times New Roman" w:hAnsi="Times New Roman"/>
          <w:sz w:val="24"/>
          <w:szCs w:val="24"/>
          <w:lang w:val="lv-LV" w:bidi="ar-SA"/>
        </w:rPr>
        <w:t xml:space="preserve">.oktobra </w:t>
      </w:r>
      <w:r>
        <w:rPr>
          <w:rFonts w:ascii="Times New Roman" w:hAnsi="Times New Roman"/>
          <w:sz w:val="24"/>
          <w:szCs w:val="24"/>
          <w:lang w:val="lv-LV" w:bidi="ar-SA"/>
        </w:rPr>
        <w:t>lēmumu, bet SIA „LSF Holdings” un SIA „Amberholdings” blakus sūdzības noraidīt.</w:t>
      </w:r>
    </w:p>
    <w:p w14:paraId="27D160FA" w14:textId="77777777" w:rsidR="005F2421" w:rsidRPr="00F001D5" w:rsidRDefault="005F2421" w:rsidP="00107C8B">
      <w:pPr>
        <w:spacing w:after="0" w:line="276" w:lineRule="auto"/>
        <w:ind w:firstLine="720"/>
        <w:jc w:val="both"/>
        <w:rPr>
          <w:rFonts w:ascii="Times New Roman" w:hAnsi="Times New Roman"/>
          <w:sz w:val="24"/>
          <w:szCs w:val="24"/>
          <w:lang w:val="lv-LV" w:bidi="ar-SA"/>
        </w:rPr>
      </w:pPr>
      <w:r w:rsidRPr="00F001D5">
        <w:rPr>
          <w:rFonts w:ascii="Times New Roman" w:hAnsi="Times New Roman"/>
          <w:sz w:val="24"/>
          <w:szCs w:val="24"/>
          <w:lang w:val="lv-LV" w:bidi="ar-SA"/>
        </w:rPr>
        <w:t>Lēmums nav pārsūdzams.</w:t>
      </w:r>
    </w:p>
    <w:p w14:paraId="317D4058" w14:textId="67DDB278" w:rsidR="00EA3AF2" w:rsidRPr="00A731E6" w:rsidRDefault="00EA3AF2" w:rsidP="00107C8B">
      <w:pPr>
        <w:spacing w:after="0" w:line="276" w:lineRule="auto"/>
        <w:ind w:right="706"/>
        <w:jc w:val="both"/>
        <w:rPr>
          <w:rFonts w:ascii="Times New Roman" w:hAnsi="Times New Roman"/>
          <w:sz w:val="24"/>
          <w:szCs w:val="24"/>
          <w:lang w:val="lv-LV" w:bidi="ar-SA"/>
        </w:rPr>
      </w:pPr>
    </w:p>
    <w:sectPr w:rsidR="00EA3AF2" w:rsidRPr="00A731E6" w:rsidSect="00107C8B">
      <w:footerReference w:type="default" r:id="rId7"/>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4CF13" w14:textId="77777777" w:rsidR="00264925" w:rsidRDefault="00264925" w:rsidP="005564A0">
      <w:pPr>
        <w:spacing w:after="0" w:line="240" w:lineRule="auto"/>
      </w:pPr>
      <w:r>
        <w:separator/>
      </w:r>
    </w:p>
  </w:endnote>
  <w:endnote w:type="continuationSeparator" w:id="0">
    <w:p w14:paraId="7D39ECA2" w14:textId="77777777" w:rsidR="00264925" w:rsidRDefault="00264925" w:rsidP="00556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4C081" w14:textId="77777777" w:rsidR="0006237F" w:rsidRPr="0094140D" w:rsidRDefault="0006237F" w:rsidP="0094140D">
    <w:pPr>
      <w:pStyle w:val="Footer"/>
      <w:jc w:val="center"/>
      <w:rPr>
        <w:rFonts w:ascii="Times New Roman" w:hAnsi="Times New Roman"/>
        <w:sz w:val="24"/>
        <w:szCs w:val="24"/>
      </w:rPr>
    </w:pPr>
    <w:r w:rsidRPr="0094140D">
      <w:rPr>
        <w:rFonts w:ascii="Times New Roman" w:hAnsi="Times New Roman"/>
        <w:sz w:val="24"/>
        <w:szCs w:val="24"/>
      </w:rPr>
      <w:fldChar w:fldCharType="begin"/>
    </w:r>
    <w:r w:rsidRPr="0094140D">
      <w:rPr>
        <w:rFonts w:ascii="Times New Roman" w:hAnsi="Times New Roman"/>
        <w:sz w:val="24"/>
        <w:szCs w:val="24"/>
      </w:rPr>
      <w:instrText xml:space="preserve"> PAGE   \* MERGEFORMAT </w:instrText>
    </w:r>
    <w:r w:rsidRPr="0094140D">
      <w:rPr>
        <w:rFonts w:ascii="Times New Roman" w:hAnsi="Times New Roman"/>
        <w:sz w:val="24"/>
        <w:szCs w:val="24"/>
      </w:rPr>
      <w:fldChar w:fldCharType="separate"/>
    </w:r>
    <w:r w:rsidR="00202BDB">
      <w:rPr>
        <w:rFonts w:ascii="Times New Roman" w:hAnsi="Times New Roman"/>
        <w:noProof/>
        <w:sz w:val="24"/>
        <w:szCs w:val="24"/>
      </w:rPr>
      <w:t>5</w:t>
    </w:r>
    <w:r w:rsidRPr="0094140D">
      <w:rPr>
        <w:rFonts w:ascii="Times New Roman" w:hAnsi="Times New Roman"/>
        <w:sz w:val="24"/>
        <w:szCs w:val="24"/>
      </w:rPr>
      <w:fldChar w:fldCharType="end"/>
    </w:r>
    <w:r w:rsidRPr="0094140D">
      <w:rPr>
        <w:rFonts w:ascii="Times New Roman" w:hAnsi="Times New Roman"/>
        <w:sz w:val="24"/>
        <w:szCs w:val="24"/>
      </w:rPr>
      <w:t>.</w:t>
    </w:r>
    <w:proofErr w:type="spellStart"/>
    <w:r w:rsidRPr="0094140D">
      <w:rPr>
        <w:rFonts w:ascii="Times New Roman" w:hAnsi="Times New Roman"/>
        <w:sz w:val="24"/>
        <w:szCs w:val="24"/>
      </w:rPr>
      <w:t>lappuse</w:t>
    </w:r>
    <w:proofErr w:type="spellEnd"/>
    <w:r w:rsidRPr="0094140D">
      <w:rPr>
        <w:rFonts w:ascii="Times New Roman" w:hAnsi="Times New Roman"/>
        <w:sz w:val="24"/>
        <w:szCs w:val="24"/>
      </w:rPr>
      <w:t xml:space="preserve"> no </w:t>
    </w:r>
    <w:r w:rsidRPr="0094140D">
      <w:rPr>
        <w:rFonts w:ascii="Times New Roman" w:hAnsi="Times New Roman"/>
        <w:sz w:val="24"/>
        <w:szCs w:val="24"/>
      </w:rPr>
      <w:fldChar w:fldCharType="begin"/>
    </w:r>
    <w:r w:rsidRPr="0094140D">
      <w:rPr>
        <w:rFonts w:ascii="Times New Roman" w:hAnsi="Times New Roman"/>
        <w:sz w:val="24"/>
        <w:szCs w:val="24"/>
      </w:rPr>
      <w:instrText xml:space="preserve"> NUMPAGES  </w:instrText>
    </w:r>
    <w:r w:rsidRPr="0094140D">
      <w:rPr>
        <w:rFonts w:ascii="Times New Roman" w:hAnsi="Times New Roman"/>
        <w:sz w:val="24"/>
        <w:szCs w:val="24"/>
      </w:rPr>
      <w:fldChar w:fldCharType="separate"/>
    </w:r>
    <w:r w:rsidR="00202BDB">
      <w:rPr>
        <w:rFonts w:ascii="Times New Roman" w:hAnsi="Times New Roman"/>
        <w:noProof/>
        <w:sz w:val="24"/>
        <w:szCs w:val="24"/>
      </w:rPr>
      <w:t>5</w:t>
    </w:r>
    <w:r w:rsidRPr="0094140D">
      <w:rPr>
        <w:rFonts w:ascii="Times New Roman" w:hAnsi="Times New Roman"/>
        <w:sz w:val="24"/>
        <w:szCs w:val="24"/>
      </w:rPr>
      <w:fldChar w:fldCharType="end"/>
    </w:r>
  </w:p>
  <w:p w14:paraId="7ABA02EE" w14:textId="77777777" w:rsidR="0006237F" w:rsidRDefault="00062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24BF0" w14:textId="77777777" w:rsidR="00264925" w:rsidRDefault="00264925" w:rsidP="005564A0">
      <w:pPr>
        <w:spacing w:after="0" w:line="240" w:lineRule="auto"/>
      </w:pPr>
      <w:r>
        <w:separator/>
      </w:r>
    </w:p>
  </w:footnote>
  <w:footnote w:type="continuationSeparator" w:id="0">
    <w:p w14:paraId="45299130" w14:textId="77777777" w:rsidR="00264925" w:rsidRDefault="00264925" w:rsidP="00556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0D5C"/>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5900E1"/>
    <w:multiLevelType w:val="hybridMultilevel"/>
    <w:tmpl w:val="B8368074"/>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1EE599A"/>
    <w:multiLevelType w:val="hybridMultilevel"/>
    <w:tmpl w:val="4DC86F74"/>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355543C0"/>
    <w:multiLevelType w:val="hybridMultilevel"/>
    <w:tmpl w:val="53F2CCBC"/>
    <w:lvl w:ilvl="0" w:tplc="FB5CBEE4">
      <w:start w:val="1"/>
      <w:numFmt w:val="decimal"/>
      <w:lvlText w:val="%1."/>
      <w:lvlJc w:val="left"/>
      <w:pPr>
        <w:tabs>
          <w:tab w:val="num" w:pos="1080"/>
        </w:tabs>
        <w:ind w:left="1080" w:hanging="360"/>
      </w:pPr>
      <w:rPr>
        <w:rFonts w:ascii="Times New Roman" w:eastAsia="Times New Roman" w:hAnsi="Times New Roman" w:cs="Times New Roman"/>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4" w15:restartNumberingAfterBreak="0">
    <w:nsid w:val="4BB23C1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EA66FFE"/>
    <w:multiLevelType w:val="hybridMultilevel"/>
    <w:tmpl w:val="5AE0CCB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0473EAF"/>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D0B1F89"/>
    <w:multiLevelType w:val="hybridMultilevel"/>
    <w:tmpl w:val="043AA6AC"/>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79396498"/>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D4D39A0"/>
    <w:multiLevelType w:val="multilevel"/>
    <w:tmpl w:val="6734B532"/>
    <w:lvl w:ilvl="0">
      <w:start w:val="1"/>
      <w:numFmt w:val="decimal"/>
      <w:lvlText w:val="[%1]"/>
      <w:lvlJc w:val="left"/>
      <w:pPr>
        <w:tabs>
          <w:tab w:val="num" w:pos="0"/>
        </w:tabs>
        <w:ind w:left="0" w:firstLine="851"/>
      </w:pPr>
      <w:rPr>
        <w:rFonts w:hint="default"/>
        <w:i w:val="0"/>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ED16595"/>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2"/>
  </w:num>
  <w:num w:numId="3">
    <w:abstractNumId w:val="9"/>
  </w:num>
  <w:num w:numId="4">
    <w:abstractNumId w:val="1"/>
  </w:num>
  <w:num w:numId="5">
    <w:abstractNumId w:val="3"/>
  </w:num>
  <w:num w:numId="6">
    <w:abstractNumId w:val="7"/>
  </w:num>
  <w:num w:numId="7">
    <w:abstractNumId w:val="5"/>
  </w:num>
  <w:num w:numId="8">
    <w:abstractNumId w:val="10"/>
  </w:num>
  <w:num w:numId="9">
    <w:abstractNumId w:val="8"/>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4A0"/>
    <w:rsid w:val="00005C9E"/>
    <w:rsid w:val="00010D63"/>
    <w:rsid w:val="00017E09"/>
    <w:rsid w:val="00022914"/>
    <w:rsid w:val="0003145B"/>
    <w:rsid w:val="0003313A"/>
    <w:rsid w:val="00051AC7"/>
    <w:rsid w:val="00051B69"/>
    <w:rsid w:val="00056E48"/>
    <w:rsid w:val="00060BE8"/>
    <w:rsid w:val="0006237F"/>
    <w:rsid w:val="00064E1D"/>
    <w:rsid w:val="00065E18"/>
    <w:rsid w:val="00065FF0"/>
    <w:rsid w:val="0006748A"/>
    <w:rsid w:val="0006796C"/>
    <w:rsid w:val="0008309B"/>
    <w:rsid w:val="000846E4"/>
    <w:rsid w:val="000A0E7B"/>
    <w:rsid w:val="000A3FB6"/>
    <w:rsid w:val="000A4273"/>
    <w:rsid w:val="000C1A37"/>
    <w:rsid w:val="000F2528"/>
    <w:rsid w:val="001024F1"/>
    <w:rsid w:val="00107C8B"/>
    <w:rsid w:val="001117E7"/>
    <w:rsid w:val="00112D12"/>
    <w:rsid w:val="001167EA"/>
    <w:rsid w:val="00117DC4"/>
    <w:rsid w:val="0012231D"/>
    <w:rsid w:val="001331F5"/>
    <w:rsid w:val="00136ABA"/>
    <w:rsid w:val="001863FE"/>
    <w:rsid w:val="001967F2"/>
    <w:rsid w:val="001974A9"/>
    <w:rsid w:val="001C1ABC"/>
    <w:rsid w:val="001D501B"/>
    <w:rsid w:val="00202BDB"/>
    <w:rsid w:val="0020328C"/>
    <w:rsid w:val="0020425E"/>
    <w:rsid w:val="0021612C"/>
    <w:rsid w:val="002167C1"/>
    <w:rsid w:val="002278AC"/>
    <w:rsid w:val="00227C34"/>
    <w:rsid w:val="00241219"/>
    <w:rsid w:val="00250492"/>
    <w:rsid w:val="0025597C"/>
    <w:rsid w:val="002624C1"/>
    <w:rsid w:val="00264925"/>
    <w:rsid w:val="00266C37"/>
    <w:rsid w:val="00267FDB"/>
    <w:rsid w:val="002702AF"/>
    <w:rsid w:val="00275A06"/>
    <w:rsid w:val="00283775"/>
    <w:rsid w:val="002865EC"/>
    <w:rsid w:val="00290F86"/>
    <w:rsid w:val="00295F03"/>
    <w:rsid w:val="002A29A7"/>
    <w:rsid w:val="002C4114"/>
    <w:rsid w:val="002C6132"/>
    <w:rsid w:val="002C789D"/>
    <w:rsid w:val="002F1019"/>
    <w:rsid w:val="002F1283"/>
    <w:rsid w:val="002F3C92"/>
    <w:rsid w:val="00302589"/>
    <w:rsid w:val="003044B9"/>
    <w:rsid w:val="003053DD"/>
    <w:rsid w:val="003233CB"/>
    <w:rsid w:val="00325135"/>
    <w:rsid w:val="0032577E"/>
    <w:rsid w:val="003259D6"/>
    <w:rsid w:val="003313AC"/>
    <w:rsid w:val="00351050"/>
    <w:rsid w:val="003753E1"/>
    <w:rsid w:val="00386295"/>
    <w:rsid w:val="003B0B9A"/>
    <w:rsid w:val="003B2D93"/>
    <w:rsid w:val="003C5C7F"/>
    <w:rsid w:val="00404A37"/>
    <w:rsid w:val="004212CF"/>
    <w:rsid w:val="00427B81"/>
    <w:rsid w:val="00437CCB"/>
    <w:rsid w:val="00443218"/>
    <w:rsid w:val="004560E2"/>
    <w:rsid w:val="00461245"/>
    <w:rsid w:val="004720CF"/>
    <w:rsid w:val="00476885"/>
    <w:rsid w:val="00480E97"/>
    <w:rsid w:val="004859A3"/>
    <w:rsid w:val="00490349"/>
    <w:rsid w:val="00495FAD"/>
    <w:rsid w:val="004A10B5"/>
    <w:rsid w:val="004A2D3E"/>
    <w:rsid w:val="004C1A6D"/>
    <w:rsid w:val="004E0B34"/>
    <w:rsid w:val="004E7FF1"/>
    <w:rsid w:val="004F3312"/>
    <w:rsid w:val="004F3B2D"/>
    <w:rsid w:val="004F4BB5"/>
    <w:rsid w:val="004F6820"/>
    <w:rsid w:val="00512173"/>
    <w:rsid w:val="00517D46"/>
    <w:rsid w:val="005260A0"/>
    <w:rsid w:val="0053037D"/>
    <w:rsid w:val="00534C8B"/>
    <w:rsid w:val="00541DBF"/>
    <w:rsid w:val="0054349A"/>
    <w:rsid w:val="00552A03"/>
    <w:rsid w:val="005564A0"/>
    <w:rsid w:val="00562952"/>
    <w:rsid w:val="00576A5E"/>
    <w:rsid w:val="005B13D8"/>
    <w:rsid w:val="005B722E"/>
    <w:rsid w:val="005B7281"/>
    <w:rsid w:val="005F2421"/>
    <w:rsid w:val="00604E9E"/>
    <w:rsid w:val="00616677"/>
    <w:rsid w:val="006232D6"/>
    <w:rsid w:val="00623C15"/>
    <w:rsid w:val="006276FB"/>
    <w:rsid w:val="00636190"/>
    <w:rsid w:val="00651D28"/>
    <w:rsid w:val="0066295A"/>
    <w:rsid w:val="00662F62"/>
    <w:rsid w:val="00674B6E"/>
    <w:rsid w:val="0067640A"/>
    <w:rsid w:val="00680E4A"/>
    <w:rsid w:val="00691361"/>
    <w:rsid w:val="006A78DF"/>
    <w:rsid w:val="006A799B"/>
    <w:rsid w:val="006B0A70"/>
    <w:rsid w:val="006B3B9E"/>
    <w:rsid w:val="006C5101"/>
    <w:rsid w:val="006E1E12"/>
    <w:rsid w:val="0070261A"/>
    <w:rsid w:val="00707375"/>
    <w:rsid w:val="00711BD6"/>
    <w:rsid w:val="007213D2"/>
    <w:rsid w:val="007225B4"/>
    <w:rsid w:val="00750B5B"/>
    <w:rsid w:val="007557C0"/>
    <w:rsid w:val="00757D88"/>
    <w:rsid w:val="00766783"/>
    <w:rsid w:val="007973A3"/>
    <w:rsid w:val="0079775B"/>
    <w:rsid w:val="007B4181"/>
    <w:rsid w:val="007C06A5"/>
    <w:rsid w:val="007D2699"/>
    <w:rsid w:val="007D3C0D"/>
    <w:rsid w:val="007D41F3"/>
    <w:rsid w:val="007D6390"/>
    <w:rsid w:val="007E7071"/>
    <w:rsid w:val="00800E29"/>
    <w:rsid w:val="008025BE"/>
    <w:rsid w:val="00816A19"/>
    <w:rsid w:val="00817636"/>
    <w:rsid w:val="00824FAC"/>
    <w:rsid w:val="00825D10"/>
    <w:rsid w:val="008274C5"/>
    <w:rsid w:val="00850279"/>
    <w:rsid w:val="00866135"/>
    <w:rsid w:val="008720BA"/>
    <w:rsid w:val="008732D5"/>
    <w:rsid w:val="008750F6"/>
    <w:rsid w:val="00886C37"/>
    <w:rsid w:val="008B4CFB"/>
    <w:rsid w:val="008C03EE"/>
    <w:rsid w:val="008D7381"/>
    <w:rsid w:val="008E5652"/>
    <w:rsid w:val="008F5BBB"/>
    <w:rsid w:val="008F7CB8"/>
    <w:rsid w:val="00922E3D"/>
    <w:rsid w:val="00935B17"/>
    <w:rsid w:val="00940CA2"/>
    <w:rsid w:val="0094140D"/>
    <w:rsid w:val="00945ECB"/>
    <w:rsid w:val="00962582"/>
    <w:rsid w:val="00963EAB"/>
    <w:rsid w:val="00970365"/>
    <w:rsid w:val="0098067F"/>
    <w:rsid w:val="00980E42"/>
    <w:rsid w:val="00984ED8"/>
    <w:rsid w:val="009927B9"/>
    <w:rsid w:val="00996B63"/>
    <w:rsid w:val="009B55C2"/>
    <w:rsid w:val="009D3DDA"/>
    <w:rsid w:val="009F18DE"/>
    <w:rsid w:val="009F2A98"/>
    <w:rsid w:val="00A05DE9"/>
    <w:rsid w:val="00A4504F"/>
    <w:rsid w:val="00A5136D"/>
    <w:rsid w:val="00A54B76"/>
    <w:rsid w:val="00A571CF"/>
    <w:rsid w:val="00A66577"/>
    <w:rsid w:val="00A731E6"/>
    <w:rsid w:val="00A75ABA"/>
    <w:rsid w:val="00A90548"/>
    <w:rsid w:val="00AC0541"/>
    <w:rsid w:val="00AC10CB"/>
    <w:rsid w:val="00AD0ADB"/>
    <w:rsid w:val="00AE2E67"/>
    <w:rsid w:val="00B0205A"/>
    <w:rsid w:val="00B05A16"/>
    <w:rsid w:val="00B065D5"/>
    <w:rsid w:val="00B248C6"/>
    <w:rsid w:val="00B370AF"/>
    <w:rsid w:val="00B5158A"/>
    <w:rsid w:val="00B53F4F"/>
    <w:rsid w:val="00B74368"/>
    <w:rsid w:val="00BA6644"/>
    <w:rsid w:val="00BC7E7E"/>
    <w:rsid w:val="00BE083C"/>
    <w:rsid w:val="00BE2877"/>
    <w:rsid w:val="00C16581"/>
    <w:rsid w:val="00C30968"/>
    <w:rsid w:val="00C40193"/>
    <w:rsid w:val="00C42D78"/>
    <w:rsid w:val="00C44444"/>
    <w:rsid w:val="00C50D17"/>
    <w:rsid w:val="00C541A0"/>
    <w:rsid w:val="00C661FC"/>
    <w:rsid w:val="00C715AA"/>
    <w:rsid w:val="00C76EB7"/>
    <w:rsid w:val="00C83DAD"/>
    <w:rsid w:val="00C946B5"/>
    <w:rsid w:val="00CA24E8"/>
    <w:rsid w:val="00CA3C51"/>
    <w:rsid w:val="00CD1700"/>
    <w:rsid w:val="00CD3ED1"/>
    <w:rsid w:val="00CD4EB0"/>
    <w:rsid w:val="00CE0948"/>
    <w:rsid w:val="00CE2C86"/>
    <w:rsid w:val="00D11884"/>
    <w:rsid w:val="00D140E5"/>
    <w:rsid w:val="00D17DEB"/>
    <w:rsid w:val="00D46643"/>
    <w:rsid w:val="00D4768C"/>
    <w:rsid w:val="00D50052"/>
    <w:rsid w:val="00D50C55"/>
    <w:rsid w:val="00D667E0"/>
    <w:rsid w:val="00D92D2A"/>
    <w:rsid w:val="00DC4A71"/>
    <w:rsid w:val="00DE5176"/>
    <w:rsid w:val="00DF048A"/>
    <w:rsid w:val="00DF68CC"/>
    <w:rsid w:val="00E014B1"/>
    <w:rsid w:val="00E160B5"/>
    <w:rsid w:val="00E22A57"/>
    <w:rsid w:val="00E26F03"/>
    <w:rsid w:val="00E27BE6"/>
    <w:rsid w:val="00E45AF2"/>
    <w:rsid w:val="00E469F9"/>
    <w:rsid w:val="00E5366B"/>
    <w:rsid w:val="00E5415C"/>
    <w:rsid w:val="00E61AC4"/>
    <w:rsid w:val="00E64E6F"/>
    <w:rsid w:val="00E80107"/>
    <w:rsid w:val="00E8024F"/>
    <w:rsid w:val="00E945C9"/>
    <w:rsid w:val="00EA3AF2"/>
    <w:rsid w:val="00EA4A61"/>
    <w:rsid w:val="00EA4F18"/>
    <w:rsid w:val="00ED0408"/>
    <w:rsid w:val="00ED7F65"/>
    <w:rsid w:val="00EF0A71"/>
    <w:rsid w:val="00EF3F2F"/>
    <w:rsid w:val="00F001D5"/>
    <w:rsid w:val="00F04441"/>
    <w:rsid w:val="00F13845"/>
    <w:rsid w:val="00F14384"/>
    <w:rsid w:val="00F21912"/>
    <w:rsid w:val="00F21F19"/>
    <w:rsid w:val="00F22AA4"/>
    <w:rsid w:val="00F31847"/>
    <w:rsid w:val="00F352E7"/>
    <w:rsid w:val="00F41515"/>
    <w:rsid w:val="00F87335"/>
    <w:rsid w:val="00FA13A6"/>
    <w:rsid w:val="00FB4A03"/>
    <w:rsid w:val="00FC52DA"/>
    <w:rsid w:val="00FC57ED"/>
    <w:rsid w:val="00FD02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07B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64A0"/>
    <w:pPr>
      <w:spacing w:after="200" w:line="252" w:lineRule="auto"/>
    </w:pPr>
    <w:rPr>
      <w:rFonts w:ascii="Cambria" w:eastAsia="Times New Roman" w:hAnsi="Cambria"/>
      <w:sz w:val="22"/>
      <w:szCs w:val="22"/>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64A0"/>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5564A0"/>
    <w:rPr>
      <w:rFonts w:ascii="Cambria" w:eastAsia="Times New Roman" w:hAnsi="Cambria" w:cs="Times New Roman"/>
      <w:sz w:val="22"/>
      <w:lang w:bidi="en-US"/>
    </w:rPr>
  </w:style>
  <w:style w:type="paragraph" w:styleId="Footer">
    <w:name w:val="footer"/>
    <w:basedOn w:val="Normal"/>
    <w:link w:val="FooterChar"/>
    <w:uiPriority w:val="99"/>
    <w:unhideWhenUsed/>
    <w:rsid w:val="005564A0"/>
    <w:pPr>
      <w:tabs>
        <w:tab w:val="center" w:pos="4320"/>
        <w:tab w:val="right" w:pos="8640"/>
      </w:tabs>
      <w:spacing w:after="0" w:line="240" w:lineRule="auto"/>
    </w:pPr>
  </w:style>
  <w:style w:type="character" w:customStyle="1" w:styleId="FooterChar">
    <w:name w:val="Footer Char"/>
    <w:basedOn w:val="DefaultParagraphFont"/>
    <w:link w:val="Footer"/>
    <w:uiPriority w:val="99"/>
    <w:rsid w:val="005564A0"/>
    <w:rPr>
      <w:rFonts w:ascii="Cambria" w:eastAsia="Times New Roman" w:hAnsi="Cambria" w:cs="Times New Roman"/>
      <w:sz w:val="22"/>
      <w:lang w:bidi="en-US"/>
    </w:rPr>
  </w:style>
  <w:style w:type="paragraph" w:customStyle="1" w:styleId="CharCharCharCharCharCharCharCharCharCharCharCharCharCharCharCharCharCharCharCharChar1CharCharCharCharCharCharChar">
    <w:name w:val="Char Char Char Char Char Char Char Char Char Char Char Char Char Char Char Char Char Char Char Char Char1 Char Char Char Char Char Char Char"/>
    <w:basedOn w:val="Normal"/>
    <w:rsid w:val="00064E1D"/>
    <w:pPr>
      <w:spacing w:after="160" w:line="240" w:lineRule="exact"/>
    </w:pPr>
    <w:rPr>
      <w:rFonts w:ascii="Tahoma" w:hAnsi="Tahoma"/>
      <w:sz w:val="20"/>
      <w:szCs w:val="20"/>
      <w:lang w:bidi="ar-SA"/>
    </w:rPr>
  </w:style>
  <w:style w:type="paragraph" w:styleId="ListParagraph">
    <w:name w:val="List Paragraph"/>
    <w:basedOn w:val="Normal"/>
    <w:uiPriority w:val="34"/>
    <w:qFormat/>
    <w:rsid w:val="00C83DAD"/>
    <w:pPr>
      <w:ind w:left="720"/>
    </w:pPr>
  </w:style>
  <w:style w:type="character" w:customStyle="1" w:styleId="apple-style-span">
    <w:name w:val="apple-style-span"/>
    <w:basedOn w:val="DefaultParagraphFont"/>
    <w:rsid w:val="00A66577"/>
  </w:style>
  <w:style w:type="character" w:styleId="Hyperlink">
    <w:name w:val="Hyperlink"/>
    <w:basedOn w:val="DefaultParagraphFont"/>
    <w:uiPriority w:val="99"/>
    <w:unhideWhenUsed/>
    <w:rsid w:val="00B53F4F"/>
    <w:rPr>
      <w:color w:val="0000FF"/>
      <w:u w:val="single"/>
    </w:rPr>
  </w:style>
  <w:style w:type="character" w:styleId="FollowedHyperlink">
    <w:name w:val="FollowedHyperlink"/>
    <w:basedOn w:val="DefaultParagraphFont"/>
    <w:uiPriority w:val="99"/>
    <w:semiHidden/>
    <w:unhideWhenUsed/>
    <w:rsid w:val="0020425E"/>
    <w:rPr>
      <w:color w:val="800080"/>
      <w:u w:val="single"/>
    </w:rPr>
  </w:style>
  <w:style w:type="character" w:styleId="CommentReference">
    <w:name w:val="annotation reference"/>
    <w:basedOn w:val="DefaultParagraphFont"/>
    <w:uiPriority w:val="99"/>
    <w:semiHidden/>
    <w:unhideWhenUsed/>
    <w:rsid w:val="00636190"/>
    <w:rPr>
      <w:sz w:val="16"/>
      <w:szCs w:val="16"/>
    </w:rPr>
  </w:style>
  <w:style w:type="paragraph" w:styleId="CommentText">
    <w:name w:val="annotation text"/>
    <w:basedOn w:val="Normal"/>
    <w:link w:val="CommentTextChar"/>
    <w:uiPriority w:val="99"/>
    <w:semiHidden/>
    <w:unhideWhenUsed/>
    <w:rsid w:val="00636190"/>
    <w:rPr>
      <w:sz w:val="20"/>
      <w:szCs w:val="20"/>
    </w:rPr>
  </w:style>
  <w:style w:type="character" w:customStyle="1" w:styleId="CommentTextChar">
    <w:name w:val="Comment Text Char"/>
    <w:basedOn w:val="DefaultParagraphFont"/>
    <w:link w:val="CommentText"/>
    <w:uiPriority w:val="99"/>
    <w:semiHidden/>
    <w:rsid w:val="00636190"/>
    <w:rPr>
      <w:rFonts w:ascii="Cambria" w:eastAsia="Times New Roman" w:hAnsi="Cambria"/>
      <w:lang w:bidi="en-US"/>
    </w:rPr>
  </w:style>
  <w:style w:type="paragraph" w:styleId="CommentSubject">
    <w:name w:val="annotation subject"/>
    <w:basedOn w:val="CommentText"/>
    <w:next w:val="CommentText"/>
    <w:link w:val="CommentSubjectChar"/>
    <w:uiPriority w:val="99"/>
    <w:semiHidden/>
    <w:unhideWhenUsed/>
    <w:rsid w:val="00636190"/>
    <w:rPr>
      <w:b/>
      <w:bCs/>
    </w:rPr>
  </w:style>
  <w:style w:type="character" w:customStyle="1" w:styleId="CommentSubjectChar">
    <w:name w:val="Comment Subject Char"/>
    <w:basedOn w:val="CommentTextChar"/>
    <w:link w:val="CommentSubject"/>
    <w:uiPriority w:val="99"/>
    <w:semiHidden/>
    <w:rsid w:val="00636190"/>
    <w:rPr>
      <w:rFonts w:ascii="Cambria" w:eastAsia="Times New Roman" w:hAnsi="Cambria"/>
      <w:b/>
      <w:bCs/>
      <w:lang w:bidi="en-US"/>
    </w:rPr>
  </w:style>
  <w:style w:type="paragraph" w:styleId="BalloonText">
    <w:name w:val="Balloon Text"/>
    <w:basedOn w:val="Normal"/>
    <w:link w:val="BalloonTextChar"/>
    <w:uiPriority w:val="99"/>
    <w:semiHidden/>
    <w:unhideWhenUsed/>
    <w:rsid w:val="00636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190"/>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6401</Words>
  <Characters>3649</Characters>
  <Application>Microsoft Office Word</Application>
  <DocSecurity>0</DocSecurity>
  <Lines>30</Lines>
  <Paragraphs>20</Paragraphs>
  <ScaleCrop>false</ScaleCrop>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2019-01-09T08:15:00Z</dcterms:created>
  <dcterms:modified xsi:type="dcterms:W3CDTF">2019-01-09T08:15:00Z</dcterms:modified>
</cp:coreProperties>
</file>