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9D" w:rsidRPr="00F606EF" w:rsidRDefault="00C2049D" w:rsidP="00F606EF">
      <w:pPr>
        <w:spacing w:after="0" w:line="276" w:lineRule="auto"/>
        <w:rPr>
          <w:rFonts w:cs="Times New Roman"/>
          <w:szCs w:val="24"/>
        </w:rPr>
      </w:pPr>
      <w:r w:rsidRPr="00F606EF">
        <w:rPr>
          <w:rFonts w:cs="Times New Roman"/>
          <w:b/>
          <w:szCs w:val="24"/>
        </w:rPr>
        <w:t>Nepieciešamie nosacījumi īpašuma iegūšanai ar ieilgumu</w:t>
      </w:r>
    </w:p>
    <w:p w:rsidR="00C2049D" w:rsidRPr="00F606EF" w:rsidRDefault="00C2049D" w:rsidP="00F606EF">
      <w:pPr>
        <w:spacing w:after="0" w:line="276" w:lineRule="auto"/>
        <w:rPr>
          <w:rFonts w:cs="Times New Roman"/>
          <w:szCs w:val="24"/>
        </w:rPr>
      </w:pPr>
    </w:p>
    <w:p w:rsidR="00C2049D" w:rsidRPr="00F606EF" w:rsidRDefault="00C2049D" w:rsidP="00F606EF">
      <w:pPr>
        <w:spacing w:after="0" w:line="276" w:lineRule="auto"/>
        <w:jc w:val="center"/>
        <w:rPr>
          <w:rFonts w:cs="Times New Roman"/>
          <w:b/>
          <w:bCs/>
          <w:szCs w:val="24"/>
        </w:rPr>
      </w:pPr>
      <w:r w:rsidRPr="00F606EF">
        <w:rPr>
          <w:rFonts w:cs="Times New Roman"/>
          <w:b/>
          <w:bCs/>
          <w:szCs w:val="24"/>
        </w:rPr>
        <w:t>Latvijas Republikas Augstākās tiesas</w:t>
      </w:r>
    </w:p>
    <w:p w:rsidR="00C2049D" w:rsidRPr="00F606EF" w:rsidRDefault="00C2049D" w:rsidP="00F606EF">
      <w:pPr>
        <w:spacing w:after="0" w:line="276" w:lineRule="auto"/>
        <w:jc w:val="center"/>
        <w:rPr>
          <w:rFonts w:cs="Times New Roman"/>
          <w:b/>
          <w:bCs/>
          <w:szCs w:val="24"/>
        </w:rPr>
      </w:pPr>
      <w:r w:rsidRPr="00F606EF">
        <w:rPr>
          <w:rFonts w:cs="Times New Roman"/>
          <w:b/>
          <w:bCs/>
          <w:szCs w:val="24"/>
        </w:rPr>
        <w:t>Civillietu departamenta</w:t>
      </w:r>
    </w:p>
    <w:p w:rsidR="00C2049D" w:rsidRPr="00F606EF" w:rsidRDefault="00C2049D" w:rsidP="00F606EF">
      <w:pPr>
        <w:spacing w:after="0" w:line="276" w:lineRule="auto"/>
        <w:jc w:val="center"/>
        <w:rPr>
          <w:rFonts w:cs="Times New Roman"/>
          <w:b/>
          <w:bCs/>
          <w:szCs w:val="24"/>
        </w:rPr>
      </w:pPr>
      <w:r w:rsidRPr="00F606EF">
        <w:rPr>
          <w:rFonts w:cs="Times New Roman"/>
          <w:b/>
          <w:bCs/>
          <w:szCs w:val="24"/>
        </w:rPr>
        <w:t>2017. gada 3</w:t>
      </w:r>
      <w:r w:rsidRPr="00F606EF">
        <w:rPr>
          <w:rFonts w:cs="Times New Roman"/>
          <w:b/>
          <w:bCs/>
          <w:szCs w:val="24"/>
        </w:rPr>
        <w:t>1</w:t>
      </w:r>
      <w:r w:rsidRPr="00F606EF">
        <w:rPr>
          <w:rFonts w:cs="Times New Roman"/>
          <w:b/>
          <w:bCs/>
          <w:szCs w:val="24"/>
        </w:rPr>
        <w:t>.</w:t>
      </w:r>
      <w:r w:rsidRPr="00F606EF">
        <w:rPr>
          <w:rFonts w:cs="Times New Roman"/>
          <w:b/>
          <w:bCs/>
          <w:szCs w:val="24"/>
        </w:rPr>
        <w:t>marta</w:t>
      </w:r>
    </w:p>
    <w:p w:rsidR="00C2049D" w:rsidRPr="00F606EF" w:rsidRDefault="00C2049D" w:rsidP="00F606EF">
      <w:pPr>
        <w:spacing w:after="0" w:line="276" w:lineRule="auto"/>
        <w:ind w:right="2"/>
        <w:jc w:val="center"/>
        <w:rPr>
          <w:rFonts w:cs="Times New Roman"/>
          <w:b/>
          <w:bCs/>
          <w:szCs w:val="24"/>
        </w:rPr>
      </w:pPr>
      <w:r w:rsidRPr="00F606EF">
        <w:rPr>
          <w:rFonts w:cs="Times New Roman"/>
          <w:b/>
          <w:bCs/>
          <w:szCs w:val="24"/>
        </w:rPr>
        <w:t xml:space="preserve">SPRIEDUMS </w:t>
      </w:r>
    </w:p>
    <w:p w:rsidR="00C2049D" w:rsidRPr="00F606EF" w:rsidRDefault="00C2049D" w:rsidP="00F606EF">
      <w:pPr>
        <w:spacing w:after="0" w:line="276" w:lineRule="auto"/>
        <w:ind w:right="2"/>
        <w:jc w:val="center"/>
        <w:rPr>
          <w:rFonts w:eastAsia="Times New Roman" w:cs="Times New Roman"/>
          <w:b/>
          <w:color w:val="000000"/>
          <w:szCs w:val="24"/>
          <w:lang w:eastAsia="lv-LV"/>
        </w:rPr>
      </w:pPr>
      <w:r w:rsidRPr="00F606EF">
        <w:rPr>
          <w:rFonts w:cs="Times New Roman"/>
          <w:b/>
          <w:bCs/>
          <w:szCs w:val="24"/>
        </w:rPr>
        <w:t>Lietā Nr.</w:t>
      </w:r>
      <w:r w:rsidRPr="00F606EF">
        <w:rPr>
          <w:rFonts w:eastAsia="Times New Roman" w:cs="Times New Roman"/>
          <w:b/>
          <w:color w:val="000000"/>
          <w:szCs w:val="24"/>
          <w:lang w:eastAsia="lv-LV"/>
        </w:rPr>
        <w:t>C03015012</w:t>
      </w:r>
    </w:p>
    <w:p w:rsidR="00C2049D" w:rsidRPr="00F606EF" w:rsidRDefault="00C2049D" w:rsidP="00F606EF">
      <w:pPr>
        <w:tabs>
          <w:tab w:val="left" w:pos="0"/>
        </w:tabs>
        <w:spacing w:after="0" w:line="276" w:lineRule="auto"/>
        <w:jc w:val="center"/>
        <w:rPr>
          <w:rFonts w:cs="Times New Roman"/>
          <w:b/>
          <w:szCs w:val="24"/>
        </w:rPr>
      </w:pPr>
      <w:r w:rsidRPr="00F606EF">
        <w:rPr>
          <w:rFonts w:cs="Times New Roman"/>
          <w:b/>
          <w:bCs/>
          <w:szCs w:val="24"/>
        </w:rPr>
        <w:t>SKC-115</w:t>
      </w:r>
      <w:r w:rsidRPr="00F606EF">
        <w:rPr>
          <w:rFonts w:cs="Times New Roman"/>
          <w:b/>
          <w:bCs/>
          <w:szCs w:val="24"/>
        </w:rPr>
        <w:t>/2017</w:t>
      </w:r>
    </w:p>
    <w:p w:rsidR="00C2049D" w:rsidRPr="00F606EF" w:rsidRDefault="00C2049D" w:rsidP="00F606EF">
      <w:pPr>
        <w:spacing w:after="0" w:line="276" w:lineRule="auto"/>
        <w:jc w:val="center"/>
        <w:rPr>
          <w:rFonts w:eastAsia="Times New Roman" w:cs="Times New Roman"/>
          <w:color w:val="000000"/>
          <w:szCs w:val="24"/>
          <w:lang w:eastAsia="lv-LV"/>
        </w:rPr>
      </w:pPr>
      <w:r w:rsidRPr="00F606EF">
        <w:rPr>
          <w:rFonts w:eastAsia="Times New Roman" w:cs="Times New Roman"/>
          <w:color w:val="000000"/>
          <w:szCs w:val="24"/>
          <w:lang w:eastAsia="lv-LV"/>
        </w:rPr>
        <w:t xml:space="preserve"> </w:t>
      </w:r>
    </w:p>
    <w:p w:rsidR="00C2049D" w:rsidRPr="00F606EF" w:rsidRDefault="00C2049D" w:rsidP="00F606EF">
      <w:pPr>
        <w:spacing w:after="0" w:line="276" w:lineRule="auto"/>
        <w:rPr>
          <w:rFonts w:eastAsia="Times New Roman" w:cs="Times New Roman"/>
          <w:color w:val="000000"/>
          <w:szCs w:val="24"/>
          <w:lang w:eastAsia="lv-LV"/>
        </w:rPr>
      </w:pPr>
      <w:r w:rsidRPr="00F606EF">
        <w:rPr>
          <w:rFonts w:eastAsia="Times New Roman" w:cs="Times New Roman"/>
          <w:color w:val="000000"/>
          <w:szCs w:val="24"/>
          <w:lang w:eastAsia="lv-LV"/>
        </w:rPr>
        <w:t>Augstākā tiesa šādā sastāvā:</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tiesnese referente Ļubova Kušnire,</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tiesnesis Valerijs Maksimovs,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tiesnesis Aigars Strupišs </w:t>
      </w:r>
    </w:p>
    <w:p w:rsidR="00C2049D" w:rsidRPr="00F606EF" w:rsidRDefault="00C2049D" w:rsidP="00F606EF">
      <w:pPr>
        <w:spacing w:after="0" w:line="276" w:lineRule="auto"/>
        <w:ind w:firstLine="568"/>
        <w:jc w:val="both"/>
        <w:rPr>
          <w:rFonts w:eastAsia="Times New Roman" w:cs="Times New Roman"/>
          <w:color w:val="000000"/>
          <w:szCs w:val="24"/>
          <w:lang w:eastAsia="lv-LV"/>
        </w:rPr>
      </w:pPr>
    </w:p>
    <w:p w:rsidR="00C2049D" w:rsidRPr="00F606EF" w:rsidRDefault="00C2049D" w:rsidP="00F606EF">
      <w:pPr>
        <w:spacing w:after="0" w:line="276" w:lineRule="auto"/>
        <w:ind w:firstLine="567"/>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rakstveida procesā izskatīja civillietu sakarā ar </w:t>
      </w:r>
      <w:r w:rsidRPr="00F606EF">
        <w:rPr>
          <w:rFonts w:eastAsia="Times New Roman" w:cs="Times New Roman"/>
          <w:color w:val="000000"/>
          <w:szCs w:val="24"/>
          <w:lang w:eastAsia="lv-LV"/>
        </w:rPr>
        <w:t xml:space="preserve">[pers. A] </w:t>
      </w:r>
      <w:r w:rsidRPr="00F606EF">
        <w:rPr>
          <w:rFonts w:eastAsia="Times New Roman" w:cs="Times New Roman"/>
          <w:color w:val="000000"/>
          <w:szCs w:val="24"/>
          <w:lang w:eastAsia="lv-LV"/>
        </w:rPr>
        <w:t xml:space="preserve">kasācijas sūdzību par Augstākās tiesas Civillietu tiesu palātas 2014.gada 29.maija spriedumu </w:t>
      </w:r>
      <w:r w:rsidRPr="00F606EF">
        <w:rPr>
          <w:rFonts w:eastAsia="Times New Roman" w:cs="Times New Roman"/>
          <w:color w:val="000000"/>
          <w:szCs w:val="24"/>
          <w:lang w:eastAsia="lv-LV"/>
        </w:rPr>
        <w:t xml:space="preserve">[pers. A] </w:t>
      </w:r>
      <w:r w:rsidRPr="00F606EF">
        <w:rPr>
          <w:rFonts w:eastAsia="Times New Roman" w:cs="Times New Roman"/>
          <w:color w:val="000000"/>
          <w:szCs w:val="24"/>
          <w:lang w:eastAsia="lv-LV"/>
        </w:rPr>
        <w:t xml:space="preserve">prasībā pret Aglonas novada domi ar trešo personu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par īpašuma tiesību atzīšanu uz nekustamo īpašumu un trešās personas ar patstāvīgu prasījumu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prasībā pret Aglonas novada domi par īpašuma tiesību atzīšanu uz nekustamo īpašumu.</w:t>
      </w:r>
    </w:p>
    <w:p w:rsidR="00C2049D" w:rsidRPr="00F606EF" w:rsidRDefault="00C2049D" w:rsidP="00F606EF">
      <w:pPr>
        <w:spacing w:after="0" w:line="276" w:lineRule="auto"/>
        <w:ind w:firstLine="568"/>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jc w:val="center"/>
        <w:rPr>
          <w:rFonts w:eastAsia="Times New Roman" w:cs="Times New Roman"/>
          <w:color w:val="000000"/>
          <w:szCs w:val="24"/>
          <w:lang w:eastAsia="lv-LV"/>
        </w:rPr>
      </w:pPr>
      <w:r w:rsidRPr="00F606EF">
        <w:rPr>
          <w:rFonts w:eastAsia="Times New Roman" w:cs="Times New Roman"/>
          <w:b/>
          <w:bCs/>
          <w:color w:val="000000"/>
          <w:szCs w:val="24"/>
          <w:lang w:eastAsia="lv-LV"/>
        </w:rPr>
        <w:t>Aprakstošā</w:t>
      </w:r>
      <w:r w:rsidR="00FC5B0F" w:rsidRPr="00F606EF">
        <w:rPr>
          <w:rFonts w:eastAsia="Times New Roman" w:cs="Times New Roman"/>
          <w:color w:val="000000"/>
          <w:szCs w:val="24"/>
          <w:lang w:eastAsia="lv-LV"/>
        </w:rPr>
        <w:t xml:space="preserve"> </w:t>
      </w:r>
      <w:r w:rsidRPr="00F606EF">
        <w:rPr>
          <w:rFonts w:eastAsia="Times New Roman" w:cs="Times New Roman"/>
          <w:b/>
          <w:bCs/>
          <w:color w:val="000000"/>
          <w:szCs w:val="24"/>
          <w:lang w:eastAsia="lv-LV"/>
        </w:rPr>
        <w:t>daļa</w:t>
      </w:r>
    </w:p>
    <w:p w:rsidR="00C2049D" w:rsidRPr="00F606EF" w:rsidRDefault="00C2049D" w:rsidP="00F606EF">
      <w:pPr>
        <w:spacing w:after="0" w:line="276" w:lineRule="auto"/>
        <w:ind w:firstLine="567"/>
        <w:jc w:val="center"/>
        <w:rPr>
          <w:rFonts w:eastAsia="Times New Roman" w:cs="Times New Roman"/>
          <w:color w:val="000000"/>
          <w:szCs w:val="24"/>
          <w:lang w:eastAsia="lv-LV"/>
        </w:rPr>
      </w:pP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[1]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2012.gada 21.martā cēlusi tiesā prasību pret Aglonas novada domi ar trešo personu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lūdzot atzīt īpašuma tiesības uz nekustamo īpašumu - rezerves daļu noliktavas ēku </w:t>
      </w:r>
      <w:r w:rsidR="00FC5B0F" w:rsidRPr="00F606EF">
        <w:rPr>
          <w:rFonts w:eastAsia="Times New Roman" w:cs="Times New Roman"/>
          <w:color w:val="000000"/>
          <w:szCs w:val="24"/>
          <w:lang w:eastAsia="lv-LV"/>
        </w:rPr>
        <w:t>[adrese]</w:t>
      </w:r>
      <w:r w:rsidRPr="00F606EF">
        <w:rPr>
          <w:rFonts w:eastAsia="Times New Roman" w:cs="Times New Roman"/>
          <w:color w:val="000000"/>
          <w:szCs w:val="24"/>
          <w:lang w:eastAsia="lv-LV"/>
        </w:rPr>
        <w:t>.</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Prasības pieteikumā norādīti šādi apstākļi.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[1.1]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1994.gada 15.jūnijā nopirkusi no paju sabiedrības ,,Grāveri” rezerves daļu noliktavas ēku, kas atrodas uz </w:t>
      </w:r>
      <w:r w:rsidR="00FC5B0F" w:rsidRPr="00F606EF">
        <w:rPr>
          <w:rFonts w:eastAsia="Times New Roman" w:cs="Times New Roman"/>
          <w:color w:val="000000"/>
          <w:szCs w:val="24"/>
          <w:lang w:eastAsia="lv-LV"/>
        </w:rPr>
        <w:t xml:space="preserve">[pers. B] </w:t>
      </w:r>
      <w:r w:rsidRPr="00F606EF">
        <w:rPr>
          <w:rFonts w:eastAsia="Times New Roman" w:cs="Times New Roman"/>
          <w:color w:val="000000"/>
          <w:szCs w:val="24"/>
          <w:lang w:eastAsia="lv-LV"/>
        </w:rPr>
        <w:t>piederošā zemes gabala</w:t>
      </w:r>
      <w:r w:rsidR="00FC5B0F" w:rsidRPr="00F606EF">
        <w:rPr>
          <w:rFonts w:eastAsia="Times New Roman" w:cs="Times New Roman"/>
          <w:color w:val="000000"/>
          <w:szCs w:val="24"/>
          <w:lang w:eastAsia="lv-LV"/>
        </w:rPr>
        <w:t xml:space="preserve"> [adrese]</w:t>
      </w:r>
      <w:r w:rsidRPr="00F606EF">
        <w:rPr>
          <w:rFonts w:eastAsia="Times New Roman" w:cs="Times New Roman"/>
          <w:color w:val="000000"/>
          <w:szCs w:val="24"/>
          <w:lang w:eastAsia="lv-LV"/>
        </w:rPr>
        <w:t>. To apstiprina paju sabiedrības ,,Grāveri” 1994.gada 15.jūnija akts Nr.7, no kura izriet, ka mantas pārdošana veikta saskaņā ar 1993.gada 23.jūlija lēmumu Nr.14.</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[1.2] Saskaņā ar Daugavpils zonālā valsts arhīva 2011.gada 21.jūnija izziņu paju sabiedrības ,,Grāveri” valdes sēžu protokoli un lēmumi nav saglabājušies. Paju sabiedrība ,,Grāveri” 1998.gada 16.aprīlī izslēgta no Uzņēmumu reģistra.</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[1.3] Rezerves daļu noliktavas ēka kopš 1994.gada 15.jūnija atrodas </w:t>
      </w:r>
      <w:r w:rsidRPr="00F606EF">
        <w:rPr>
          <w:rFonts w:eastAsia="Times New Roman" w:cs="Times New Roman"/>
          <w:color w:val="000000"/>
          <w:szCs w:val="24"/>
          <w:lang w:eastAsia="lv-LV"/>
        </w:rPr>
        <w:t>[pers. A]</w:t>
      </w:r>
      <w:r w:rsidR="00FC5B0F"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nepārtrauktā valdījumā, viņa rīkojas ar to kā īpašniece. Minēto apstiprina Grāveru pagasta pārvaldes </w:t>
      </w:r>
      <w:r w:rsidR="00FC5B0F" w:rsidRPr="00F606EF">
        <w:rPr>
          <w:rFonts w:eastAsia="Times New Roman" w:cs="Times New Roman"/>
          <w:color w:val="000000"/>
          <w:szCs w:val="24"/>
          <w:lang w:eastAsia="lv-LV"/>
        </w:rPr>
        <w:t>[datums]</w:t>
      </w:r>
      <w:r w:rsidRPr="00F606EF">
        <w:rPr>
          <w:rFonts w:eastAsia="Times New Roman" w:cs="Times New Roman"/>
          <w:color w:val="000000"/>
          <w:szCs w:val="24"/>
          <w:lang w:eastAsia="lv-LV"/>
        </w:rPr>
        <w:t xml:space="preserve"> izziņa Nr.</w:t>
      </w:r>
      <w:r w:rsidR="00FC5B0F" w:rsidRPr="00F606EF">
        <w:rPr>
          <w:rFonts w:eastAsia="Times New Roman" w:cs="Times New Roman"/>
          <w:color w:val="000000"/>
          <w:szCs w:val="24"/>
          <w:lang w:eastAsia="lv-LV"/>
        </w:rPr>
        <w:t>[..]</w:t>
      </w:r>
      <w:r w:rsidRPr="00F606EF">
        <w:rPr>
          <w:rFonts w:eastAsia="Times New Roman" w:cs="Times New Roman"/>
          <w:color w:val="000000"/>
          <w:szCs w:val="24"/>
          <w:lang w:eastAsia="lv-LV"/>
        </w:rPr>
        <w:t>. Līdz ar to atzīstams, ka prasītāja šo objektu ieguvusi īpašumā ar ieilgumu.</w:t>
      </w:r>
    </w:p>
    <w:p w:rsidR="00C2049D" w:rsidRPr="00F606EF" w:rsidRDefault="00FC5B0F"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w:t>
      </w:r>
      <w:r w:rsidR="00C2049D" w:rsidRPr="00F606EF">
        <w:rPr>
          <w:rFonts w:eastAsia="Times New Roman" w:cs="Times New Roman"/>
          <w:color w:val="000000"/>
          <w:szCs w:val="24"/>
          <w:lang w:eastAsia="lv-LV"/>
        </w:rPr>
        <w:t>rasība pamatota ar Civillikuma 998.,1006.pantu un 1007.panta 2.punktu.</w:t>
      </w:r>
    </w:p>
    <w:p w:rsidR="00FC5B0F" w:rsidRPr="00F606EF" w:rsidRDefault="00FC5B0F" w:rsidP="00F606EF">
      <w:pPr>
        <w:spacing w:after="0" w:line="276" w:lineRule="auto"/>
        <w:ind w:firstLine="720"/>
        <w:jc w:val="both"/>
        <w:rPr>
          <w:rFonts w:eastAsia="Times New Roman" w:cs="Times New Roman"/>
          <w:color w:val="000000"/>
          <w:szCs w:val="24"/>
          <w:lang w:eastAsia="lv-LV"/>
        </w:rPr>
      </w:pP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[2] Trešā persona ar patstāvīgu prasījumu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2012.gada 9.maijā cēlusi tiesā prasību pret</w:t>
      </w:r>
      <w:r w:rsidR="00FC5B0F" w:rsidRPr="00F606EF">
        <w:rPr>
          <w:rFonts w:eastAsia="Times New Roman" w:cs="Times New Roman"/>
          <w:color w:val="000000"/>
          <w:szCs w:val="24"/>
          <w:lang w:eastAsia="lv-LV"/>
        </w:rPr>
        <w:t xml:space="preserve"> Aglonas novada domi, lūdzot </w:t>
      </w:r>
      <w:r w:rsidRPr="00F606EF">
        <w:rPr>
          <w:rFonts w:eastAsia="Times New Roman" w:cs="Times New Roman"/>
          <w:color w:val="000000"/>
          <w:szCs w:val="24"/>
          <w:lang w:eastAsia="lv-LV"/>
        </w:rPr>
        <w:t xml:space="preserve">atzīt īpašuma tiesības uz nekustamo īpašumu - rezerves daļu noliktavas ēku </w:t>
      </w:r>
      <w:r w:rsidR="00FC5B0F" w:rsidRPr="00F606EF">
        <w:rPr>
          <w:rFonts w:eastAsia="Times New Roman" w:cs="Times New Roman"/>
          <w:color w:val="000000"/>
          <w:szCs w:val="24"/>
          <w:lang w:eastAsia="lv-LV"/>
        </w:rPr>
        <w:t>[adrese]</w:t>
      </w:r>
      <w:r w:rsidRPr="00F606EF">
        <w:rPr>
          <w:rFonts w:eastAsia="Times New Roman" w:cs="Times New Roman"/>
          <w:color w:val="000000"/>
          <w:szCs w:val="24"/>
          <w:lang w:eastAsia="lv-LV"/>
        </w:rPr>
        <w:t>.</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Prasības pieteikumā norādīti šādi apstākļi.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[2.1] Ar Grāveru pagasta padomes 1995.gada 27.februāra lēmumu </w:t>
      </w:r>
      <w:r w:rsidR="00FC5B0F" w:rsidRPr="00F606EF">
        <w:rPr>
          <w:rFonts w:eastAsia="Times New Roman" w:cs="Times New Roman"/>
          <w:color w:val="000000"/>
          <w:szCs w:val="24"/>
          <w:lang w:eastAsia="lv-LV"/>
        </w:rPr>
        <w:t xml:space="preserve">[pers. B] </w:t>
      </w:r>
      <w:r w:rsidRPr="00F606EF">
        <w:rPr>
          <w:rFonts w:eastAsia="Times New Roman" w:cs="Times New Roman"/>
          <w:color w:val="000000"/>
          <w:szCs w:val="24"/>
          <w:lang w:eastAsia="lv-LV"/>
        </w:rPr>
        <w:t xml:space="preserve">atjaunotas īpašuma tiesības uz </w:t>
      </w:r>
      <w:r w:rsidR="00C15BF6" w:rsidRPr="00F606EF">
        <w:rPr>
          <w:rFonts w:eastAsia="Times New Roman" w:cs="Times New Roman"/>
          <w:color w:val="000000"/>
          <w:szCs w:val="24"/>
          <w:lang w:eastAsia="lv-LV"/>
        </w:rPr>
        <w:t>[adrese] Nr.[..]</w:t>
      </w:r>
      <w:r w:rsidRPr="00F606EF">
        <w:rPr>
          <w:rFonts w:eastAsia="Times New Roman" w:cs="Times New Roman"/>
          <w:color w:val="000000"/>
          <w:szCs w:val="24"/>
          <w:lang w:eastAsia="lv-LV"/>
        </w:rPr>
        <w:t xml:space="preserve"> māju zemi 39,6 ha kopplatībā. Minētajā lēmumā nav norādīti nekādi apgrūtinājumi vai servitūti par labu citiem objektiem vai personām.</w:t>
      </w:r>
      <w:r w:rsidR="00FC5B0F" w:rsidRPr="00F606EF">
        <w:rPr>
          <w:rFonts w:eastAsia="Times New Roman" w:cs="Times New Roman"/>
          <w:color w:val="000000"/>
          <w:szCs w:val="24"/>
          <w:lang w:eastAsia="lv-LV"/>
        </w:rPr>
        <w:t xml:space="preserve"> </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lastRenderedPageBreak/>
        <w:t xml:space="preserve">Rezerves daļu noliktavas ēka atrodas uz </w:t>
      </w:r>
      <w:r w:rsidR="00C15BF6"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piederošā zemes gabala. Līdz ar to piekļūt tai var tikai zemes īpašnieks. Neviens nekad nav informējis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par vēlmi valdīt īpašumu kā savu.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[2.2] Likuma ,,Par atjaunotā Latvijas Republikas 1937.gada Civillikuma ievada, mantojuma tiesību un lietu tiesību daļas spēkā stāšanās laiku un kārtību” 14.panta ceturtā daļa nosaka, ka ēkas (būves), kuras Zemesgrāmatu nodaļā, valsts zemes dienestā vai pašvaldībā nav reģistrētas kā pastāvīgi īpašuma objekti, uzskatāmas par zemes īpašnieka īpašumu atbilstoši Civillikuma 968.pantam.</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Civillikuma 968.pants noteic, ka uz zemes uzcelta un cieši ar to savienota ēka atzīstama par tās daļu.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Noliktava, kas uzbūvēta saskaņā ar tajā laikā spēkā esošo Latvijas Civilkodeksu, nevarēja būt patstāvīgs īpašuma objekts, tādēļ nav par tādu uzskatāma arī pēc 1937.gada Civillikuma stāšanās spēkā. Tiesības iegūt ēku īpašumā ar ieilgumu ir</w:t>
      </w:r>
      <w:r w:rsidR="00C15BF6" w:rsidRPr="00F606EF">
        <w:rPr>
          <w:rFonts w:eastAsia="Times New Roman" w:cs="Times New Roman"/>
          <w:color w:val="000000"/>
          <w:szCs w:val="24"/>
          <w:lang w:eastAsia="lv-LV"/>
        </w:rPr>
        <w:t xml:space="preserve"> [pers. B]</w:t>
      </w:r>
      <w:r w:rsidRPr="00F606EF">
        <w:rPr>
          <w:rFonts w:eastAsia="Times New Roman" w:cs="Times New Roman"/>
          <w:color w:val="000000"/>
          <w:szCs w:val="24"/>
          <w:lang w:eastAsia="lv-LV"/>
        </w:rPr>
        <w:t>, jo viņa to valda kopš 1995.gada.</w:t>
      </w:r>
    </w:p>
    <w:p w:rsidR="00C2049D" w:rsidRPr="00F606EF" w:rsidRDefault="00C15BF6"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 </w:t>
      </w:r>
      <w:r w:rsidR="00C2049D" w:rsidRPr="00F606EF">
        <w:rPr>
          <w:rFonts w:eastAsia="Times New Roman" w:cs="Times New Roman"/>
          <w:color w:val="000000"/>
          <w:szCs w:val="24"/>
          <w:lang w:eastAsia="lv-LV"/>
        </w:rPr>
        <w:t xml:space="preserve">[2.3] </w:t>
      </w:r>
      <w:r w:rsidR="00C2049D" w:rsidRPr="00F606EF">
        <w:rPr>
          <w:rFonts w:eastAsia="Times New Roman" w:cs="Times New Roman"/>
          <w:color w:val="000000"/>
          <w:szCs w:val="24"/>
          <w:lang w:eastAsia="lv-LV"/>
        </w:rPr>
        <w:t>[pers. A]</w:t>
      </w:r>
      <w:r w:rsidR="00C2049D" w:rsidRPr="00F606EF">
        <w:rPr>
          <w:rFonts w:eastAsia="Times New Roman" w:cs="Times New Roman"/>
          <w:color w:val="000000"/>
          <w:szCs w:val="24"/>
          <w:lang w:eastAsia="lv-LV"/>
        </w:rPr>
        <w:t xml:space="preserve"> savas īpašuma tiesības cenšas apliecināt ar aktu, kurā objekti nav precīzi norādīti. Ar aktu nevar pierādīt samaksu. Līdz ar to </w:t>
      </w:r>
      <w:r w:rsidR="00C2049D"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w:t>
      </w:r>
      <w:r w:rsidR="00C2049D" w:rsidRPr="00F606EF">
        <w:rPr>
          <w:rFonts w:eastAsia="Times New Roman" w:cs="Times New Roman"/>
          <w:color w:val="000000"/>
          <w:szCs w:val="24"/>
          <w:lang w:eastAsia="lv-LV"/>
        </w:rPr>
        <w:t>valdījums ir prettiesisks un viņai nav tiesību iegūt noliktavas ēku īpašumā.</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Prasība pamatota ar Civillikuma 968., 998., 999. un 1007.pantu.</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[3] Ar Latgales apgabaltiesas Civillietu tiesas kolēģijas 2012.gada 20.augusta spriedumu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prasība apmierināta,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prasība noraidīta.</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[4] Izskatījusi lietu sakarā ar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apelācijas sūdzību Augstākās tiesas Civillietu tiesu palāta ar 2014.gada 29.maija spriedumu </w:t>
      </w:r>
      <w:r w:rsidRPr="00F606EF">
        <w:rPr>
          <w:rFonts w:eastAsia="Times New Roman" w:cs="Times New Roman"/>
          <w:color w:val="000000"/>
          <w:szCs w:val="24"/>
          <w:lang w:eastAsia="lv-LV"/>
        </w:rPr>
        <w:t>[pers. A]</w:t>
      </w:r>
      <w:r w:rsidR="00C15BF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prasību noraidījusi,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prasību apmierinājusi.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Spriedums pamatots ar šādiem motīviem.</w:t>
      </w:r>
      <w:r w:rsidR="00C15BF6" w:rsidRPr="00F606EF">
        <w:rPr>
          <w:rFonts w:eastAsia="Times New Roman" w:cs="Times New Roman"/>
          <w:color w:val="000000"/>
          <w:szCs w:val="24"/>
          <w:lang w:eastAsia="lv-LV"/>
        </w:rPr>
        <w:t xml:space="preserve">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[4.1]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cēlusi tiesā prasību par īpašuma iegūšanu ar ieilgumu. Taču valdījumam, lai tas dotu tiesības iegūt kādu lietu īpašumā ar ieilgumu, jābalstās uz tāda tiesiska pamata, kas jau pats par sevi varētu piešķirt īpašuma tiesību, bet kam attiecīgajā situācijā sevišķa šķēršļa dēļ īpašuma iegūšana nav tūliņ sekojusi (Civillikuma 1006.pants).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[pers. A]</w:t>
      </w:r>
      <w:r w:rsidR="00C15BF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jāpierāda, ka rezerves daļu noliktavas ēku viņa ieguvusi tiesiska darījuma rezultātā un atsavinātājs bijis šīs būves īpašnieks. Lietā nav neviena pierādījuma, ka strīdus būve piederēja paju sabiedrībai ,,Grāveri” un tai 1993.gadā bija tiesības to atsavināt </w:t>
      </w:r>
      <w:r w:rsidR="00C15BF6" w:rsidRPr="00F606EF">
        <w:rPr>
          <w:rFonts w:eastAsia="Times New Roman" w:cs="Times New Roman"/>
          <w:color w:val="000000"/>
          <w:szCs w:val="24"/>
          <w:lang w:eastAsia="lv-LV"/>
        </w:rPr>
        <w:t>[pers. A].</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Latvijas Nacionālā arhīva Daugavpils zonālā valsts arhīva 2011.gada 21.jūnija </w:t>
      </w:r>
      <w:r w:rsidR="00C15BF6" w:rsidRPr="00F606EF">
        <w:rPr>
          <w:rFonts w:eastAsia="Times New Roman" w:cs="Times New Roman"/>
          <w:color w:val="000000"/>
          <w:szCs w:val="24"/>
          <w:lang w:eastAsia="lv-LV"/>
        </w:rPr>
        <w:t xml:space="preserve">izziņa </w:t>
      </w:r>
      <w:r w:rsidRPr="00F606EF">
        <w:rPr>
          <w:rFonts w:eastAsia="Times New Roman" w:cs="Times New Roman"/>
          <w:color w:val="000000"/>
          <w:szCs w:val="24"/>
          <w:lang w:eastAsia="lv-LV"/>
        </w:rPr>
        <w:t xml:space="preserve">apliecina, ka padomju saimniecības - vēlāk paju sabiedrības ,,Grāveri” dokumenti saglabājušies nepilnīgi un tajos nav ziņu par rezerves daļu noliktavas ēkas piederību padomju saimniecībai ,,Grāveri”. Tāpat nav lēmuma par padomju saimniecības īpašuma nodošanu paju sabiedrībai. Turklāt Grāveru pagasta padome 2012.gada 10.februāra izziņā apliecinājusi, ka vienošanās par rezerves daļu noliktavas ēkas nodošanu īpašumā starp paju sabiedrību ,,Grāveri” un </w:t>
      </w:r>
      <w:r w:rsidR="00C15BF6" w:rsidRPr="00F606EF">
        <w:rPr>
          <w:rFonts w:eastAsia="Times New Roman" w:cs="Times New Roman"/>
          <w:color w:val="000000"/>
          <w:szCs w:val="24"/>
          <w:lang w:eastAsia="lv-LV"/>
        </w:rPr>
        <w:t xml:space="preserve">[pers. A] </w:t>
      </w:r>
      <w:r w:rsidRPr="00F606EF">
        <w:rPr>
          <w:rFonts w:eastAsia="Times New Roman" w:cs="Times New Roman"/>
          <w:color w:val="000000"/>
          <w:szCs w:val="24"/>
          <w:lang w:eastAsia="lv-LV"/>
        </w:rPr>
        <w:t>1994.gadā nav apstiprināta.</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Civillikuma 1009.pantā noteikts, ka tiesiskam darījumam, kas ir par valdījuma pamatu, jābūt pašam par sevi derīgam un ietērptam šādiem darījumiem noteiktā formā.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konkrētajā gadījumā norādījusi uz paju sabiedrības ,,Grāveri” 1994.gada 15.jūnija aktu Nr.7 kā vienīgo viņas rīcībā esošo dokumentu. No minētā akta nevar secināt, ka rezerves daļu noliktavas ēka būtu atsavināta tiesiska darījuma rezultātā, kā arī tajā strīdus objekts nav identificējams.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lastRenderedPageBreak/>
        <w:t xml:space="preserve">Tāpat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nav norādījusi, kas tie ir par ,,sevišķiem šķēršļiem”, kuru dēļ īpašumu var iegūt tikai ar ieilgumu.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[4.2] Ar pierādījumiem lietā neapstiprinās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apgalvojumi, ka rezerves daļu noliktavas ēka kopš 1994.gada 15.jūnija atrodas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nepārtrauktā valdījumā, viņa rīkojas ar to kā īpašniece. To nav secinājusi arī pirmās instances tiesa, kā arī tas neatbilst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norādītajam, ka viņai kā zemes īpašniecei nekas nav zināms par rezerves daļu noliktas ēkas atrašanos kādas citas personas valdījumā.</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Turklāt, kā konkrēti izpaudās strīdus būves nepārtraukts valdījums uz svešas zemes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pārstāvis nevarēja paskaidrot arī apelācijas instances tiesas sēdē. Šādos apstākļos uzskatāms, ka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nav pierādījusi rezerves daļu noliktas ēkas iegūšanu īpašumā ar ieilgumu.</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[4.3] Likuma ,,Par atjaunotā Latvijas Republikas 1937.gada Civillikuma ievada, mantojuma tiesību un lietu tiesību daļas spēkā stāšanās laiku un kārtību” 14.panta ceturtā daļa nosaka, ka ēkas un būves, kuras Zemesgrāmatu nodaļā, Valsts zemes dienestā vai pašvaldībā nav reģistrētas kā patstāvīgi īpašuma objekti, uzskatāmas par zemes īpašnieka īpašumu atbilstoši Civillikuma 968.pantam. Citas personas īpašuma tiesības uz šādām ēkām (būvēm) var iegūt, ja tiesa apmierinājusi šo personu prasību atzīt īpašuma tiesības uz attiecīgajiem objektiem.</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Pirmās instances tiesai bija jāņem vērā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iebildumi, ka rezerves daļu noliktavas ēka, kas atrodas uz viņas zemes, kā patstāvīgs īpašuma objekts reģistrēta Valsts zemes dienestā tikai 2011.gadā. Līdz ar to nav tiesiska pamata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prasības apmierināšanai.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[4.4] Saskaņā ar Civillikuma 968.pantu uz zemes uzcelta un cieši ar to savienota ēka atzīstama par tās daļu. Šādos apstākļos strīdus būve atzīstama par </w:t>
      </w:r>
      <w:r w:rsidR="00FC5B0F"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īpašumu, kas iegūts uz likuma pamata.</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[5] Par minēto spriedumu kasācijas sūdzību iesniegusi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lūdzot spriedumu atcelt un lietu nodot jaunai izskatīšanai.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Sūdzība pamatota ar šādiem argumentiem.</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[5.1] Tiesai vajadzēja piemērot Civillikuma 878. un 879.pantu.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w:t>
      </w:r>
      <w:r w:rsidR="007A1316" w:rsidRPr="00F606EF">
        <w:rPr>
          <w:rFonts w:eastAsia="Times New Roman" w:cs="Times New Roman"/>
          <w:color w:val="000000"/>
          <w:szCs w:val="24"/>
          <w:lang w:eastAsia="lv-LV"/>
        </w:rPr>
        <w:t>P</w:t>
      </w:r>
      <w:r w:rsidRPr="00F606EF">
        <w:rPr>
          <w:rFonts w:eastAsia="Times New Roman" w:cs="Times New Roman"/>
          <w:color w:val="000000"/>
          <w:szCs w:val="24"/>
          <w:lang w:eastAsia="lv-LV"/>
        </w:rPr>
        <w:t>ers. A]</w:t>
      </w:r>
      <w:r w:rsidRPr="00F606EF">
        <w:rPr>
          <w:rFonts w:eastAsia="Times New Roman" w:cs="Times New Roman"/>
          <w:color w:val="000000"/>
          <w:szCs w:val="24"/>
          <w:lang w:eastAsia="lv-LV"/>
        </w:rPr>
        <w:t xml:space="preserve"> 1994.gada 15.jūnijā nopirkusi no paju sabiedrības ,,Grāveri” rezerves daļu noliktavas ēku. To apstiprina paju sabiedrības ,,Grāveri” 1994.gada 15.jūnija akts Nr.7.</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Kopš 1994.gada 15.jūnija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noliktavu lieto, uztur kārtībā, kā arī veic elektroenerģijas maksājumus. </w:t>
      </w:r>
      <w:r w:rsidR="007A1316" w:rsidRPr="00F606EF">
        <w:rPr>
          <w:rFonts w:eastAsia="Times New Roman" w:cs="Times New Roman"/>
          <w:color w:val="000000"/>
          <w:szCs w:val="24"/>
          <w:lang w:eastAsia="lv-LV"/>
        </w:rPr>
        <w:t xml:space="preserve">[pers. B] </w:t>
      </w:r>
      <w:r w:rsidRPr="00F606EF">
        <w:rPr>
          <w:rFonts w:eastAsia="Times New Roman" w:cs="Times New Roman"/>
          <w:color w:val="000000"/>
          <w:szCs w:val="24"/>
          <w:lang w:eastAsia="lv-LV"/>
        </w:rPr>
        <w:t>nav valdījuma tiesību, kā arī nav iespējams pat fiziski iekļūt noliktavā.</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[5.2] Tiesai bija jāpiemēro Civillikuma 987.pants.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To, ka paju sabiedrība ,,Grāveri” ar 1994.gada 15.jūnija aktu Nr.7 nodevusi rezerves daļu noliktavas ēku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apliecinājis arī liecinieks</w:t>
      </w:r>
      <w:r w:rsidR="007A1316" w:rsidRPr="00F606EF">
        <w:rPr>
          <w:rFonts w:eastAsia="Times New Roman" w:cs="Times New Roman"/>
          <w:color w:val="000000"/>
          <w:szCs w:val="24"/>
          <w:lang w:eastAsia="lv-LV"/>
        </w:rPr>
        <w:t xml:space="preserve"> [pers. C]</w:t>
      </w:r>
      <w:r w:rsidRPr="00F606EF">
        <w:rPr>
          <w:rFonts w:eastAsia="Times New Roman" w:cs="Times New Roman"/>
          <w:color w:val="000000"/>
          <w:szCs w:val="24"/>
          <w:lang w:eastAsia="lv-LV"/>
        </w:rPr>
        <w:t xml:space="preserve">, norādot, ka 1994.gadā, likvidējot paju sabiedrību ,,Grāveri”, pārdevis rezerves daļu noliktavas ēku </w:t>
      </w:r>
      <w:r w:rsidR="007A1316"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jo, izņemot viņu, neviens cits to nevēlējās pirkt.</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[5.3] Tiesai, taisot spriedumu, vajadzēja piemērot Civillikuma normas, kuras regulē pirkuma līgumu, t.i., Civillikuma 2002. un 2004.pantu.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Tai bija jāņem vērā, ka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samaksājot pirkuma maksu, iegādājusies no paju sabiedrības ,,Grāveri” rezerves daļu noliktavas ēku.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[5.4] Tiesai bija jāpiemēro Civillikuma 998., 999., 1006. un 1024.pants.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lastRenderedPageBreak/>
        <w:t xml:space="preserve">Tai bija jāpievērš uzmanība tam, ka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valdījusi nekustamo īpašumu 19 gadus. Viņa noliktavu lietojusi, uzturējusi kārtībā, kā arī tikai ar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 xml:space="preserve">atļauju tajā varēja ienākt trešās personas, tajā skaitā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[5.5] Tiesa nepareizi iztulkojusi Civillikuma 968.pantu un likuma ,,Par atjaunotā Latvijas Republikas 1937.gada Civillikuma ievada, mantojuma tiesību un lietu tiesību daļas spēkā stāšanās laiku un kārtību” 14.panta ceturto daļu.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Uz prasības celšanas brīdi rezerves daļu noliktavas ēka reģistrēta Valsts zemes dienestā kā patstāvīgs īpašuma objekts. Nav izšķirošas nozīmes tam, ka tas tika izdarīts tikai 2011.gadā. Ja šādai reģistrēšanai nebūtu tiesiska pamata, Valsts zemes dienesta darbinieki to būtu atteikuši darīt.</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Tāpat tiesai bija jāņem vērā, ka līdz pat prasības celšanai tiesai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nezināja, ka uz viņai piederošā zemes gabala atrodas rezerves daļu noliktavas ēka.</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[5.6] Tiesa pārkāpusi Civilprocesa likuma 92.pantu.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Tai bija jāņem vērā, ka Grāveru pagasta padome nav paju sabiedrības ,,Grāveri” tiesību un saistību pārņēmēja. Līdz ar to 2012.gada 10.febr</w:t>
      </w:r>
      <w:r w:rsidR="007A1316" w:rsidRPr="00F606EF">
        <w:rPr>
          <w:rFonts w:eastAsia="Times New Roman" w:cs="Times New Roman"/>
          <w:color w:val="000000"/>
          <w:szCs w:val="24"/>
          <w:lang w:eastAsia="lv-LV"/>
        </w:rPr>
        <w:t xml:space="preserve">uāra izziņai, kurā norādīts, ka </w:t>
      </w:r>
      <w:r w:rsidRPr="00F606EF">
        <w:rPr>
          <w:rFonts w:eastAsia="Times New Roman" w:cs="Times New Roman"/>
          <w:color w:val="000000"/>
          <w:szCs w:val="24"/>
          <w:lang w:eastAsia="lv-LV"/>
        </w:rPr>
        <w:t xml:space="preserve">vienošanās par rezerves daļu noliktavas ēkas nodošanu īpašumā starp paju sabiedrību ,,Grāveri” un </w:t>
      </w:r>
      <w:r w:rsidR="007A1316"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1994.gadā nav apstiprināta, nav tiesiska spēka.</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[5.7] Gadījumā, ja tiesa uzskatīja, ka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nav iesniegusi attiecīgus pierādījumus par to, kādā stāvoklī ir rezerves daļu noliktavas ēka un veikusi maksājumus par īpašumu, tai atbilstoši Civilprocesa likuma 93.panta ceturtajai daļai bija </w:t>
      </w:r>
      <w:r w:rsidRPr="00F606EF">
        <w:rPr>
          <w:rFonts w:eastAsia="Times New Roman" w:cs="Times New Roman"/>
          <w:color w:val="000000"/>
          <w:szCs w:val="24"/>
          <w:lang w:eastAsia="lv-LV"/>
        </w:rPr>
        <w:t>[pers. A]</w:t>
      </w:r>
      <w:r w:rsidR="007A131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par to jāziņo un jādod laiks pierādījumu iesniegšanai.</w:t>
      </w:r>
      <w:r w:rsidR="007A1316" w:rsidRPr="00F606EF">
        <w:rPr>
          <w:rFonts w:eastAsia="Times New Roman" w:cs="Times New Roman"/>
          <w:color w:val="000000"/>
          <w:szCs w:val="24"/>
          <w:lang w:eastAsia="lv-LV"/>
        </w:rPr>
        <w:t xml:space="preserve"> </w:t>
      </w:r>
    </w:p>
    <w:p w:rsidR="00C2049D" w:rsidRPr="00F606EF" w:rsidRDefault="00C2049D" w:rsidP="00F606EF">
      <w:pPr>
        <w:spacing w:after="0" w:line="276" w:lineRule="auto"/>
        <w:jc w:val="both"/>
        <w:rPr>
          <w:rFonts w:eastAsia="Times New Roman" w:cs="Times New Roman"/>
          <w:color w:val="000000"/>
          <w:szCs w:val="24"/>
          <w:lang w:eastAsia="lv-LV"/>
        </w:rPr>
      </w:pP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[6] Paskaidrojumus saistībā ar kasācijas sūdzību iesniegusi </w:t>
      </w:r>
      <w:r w:rsidRPr="00F606EF">
        <w:rPr>
          <w:rFonts w:eastAsia="Times New Roman" w:cs="Times New Roman"/>
          <w:color w:val="000000"/>
          <w:szCs w:val="24"/>
          <w:lang w:eastAsia="lv-LV"/>
        </w:rPr>
        <w:t>[pers. B]</w:t>
      </w:r>
      <w:r w:rsidRPr="00F606EF">
        <w:rPr>
          <w:rFonts w:eastAsia="Times New Roman" w:cs="Times New Roman"/>
          <w:color w:val="000000"/>
          <w:szCs w:val="24"/>
          <w:lang w:eastAsia="lv-LV"/>
        </w:rPr>
        <w:t xml:space="preserve">, lūdzot Augstākās tiesas Civillietu tiesu palātas 2014.gada 29.maija spriedumu atstāt negrozītu, bet kasācijas </w:t>
      </w:r>
      <w:r w:rsidR="007A1316" w:rsidRPr="00F606EF">
        <w:rPr>
          <w:rFonts w:eastAsia="Times New Roman" w:cs="Times New Roman"/>
          <w:color w:val="000000"/>
          <w:szCs w:val="24"/>
          <w:lang w:eastAsia="lv-LV"/>
        </w:rPr>
        <w:t>sūdzību kā nepamatotu noraidīt.</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jc w:val="center"/>
        <w:rPr>
          <w:rFonts w:eastAsia="Times New Roman" w:cs="Times New Roman"/>
          <w:color w:val="000000"/>
          <w:szCs w:val="24"/>
          <w:lang w:eastAsia="lv-LV"/>
        </w:rPr>
      </w:pPr>
      <w:r w:rsidRPr="00F606EF">
        <w:rPr>
          <w:rFonts w:eastAsia="Times New Roman" w:cs="Times New Roman"/>
          <w:b/>
          <w:bCs/>
          <w:color w:val="000000"/>
          <w:szCs w:val="24"/>
          <w:lang w:eastAsia="lv-LV"/>
        </w:rPr>
        <w:t>Motīvu daļa</w:t>
      </w:r>
    </w:p>
    <w:p w:rsidR="00C2049D" w:rsidRPr="00F606EF" w:rsidRDefault="00C2049D" w:rsidP="00F606EF">
      <w:pPr>
        <w:spacing w:after="0" w:line="276" w:lineRule="auto"/>
        <w:jc w:val="center"/>
        <w:rPr>
          <w:rFonts w:eastAsia="Times New Roman" w:cs="Times New Roman"/>
          <w:color w:val="000000"/>
          <w:szCs w:val="24"/>
          <w:lang w:eastAsia="lv-LV"/>
        </w:rPr>
      </w:pPr>
    </w:p>
    <w:p w:rsidR="00C2049D" w:rsidRPr="00F606EF" w:rsidRDefault="00C2049D" w:rsidP="00F606EF">
      <w:pPr>
        <w:spacing w:after="0" w:line="276" w:lineRule="auto"/>
        <w:ind w:firstLine="709"/>
        <w:jc w:val="both"/>
        <w:rPr>
          <w:rFonts w:eastAsia="Times New Roman" w:cs="Times New Roman"/>
          <w:color w:val="000000"/>
          <w:szCs w:val="24"/>
          <w:lang w:eastAsia="lv-LV"/>
        </w:rPr>
      </w:pPr>
      <w:r w:rsidRPr="00F606EF">
        <w:rPr>
          <w:rFonts w:eastAsia="Times New Roman" w:cs="Times New Roman"/>
          <w:color w:val="000000"/>
          <w:szCs w:val="24"/>
          <w:lang w:eastAsia="lv-LV"/>
        </w:rPr>
        <w:t>[7] Pārbaudījusi sprieduma likumību attiecībā uz personu, kas to pārsūdzējusi, un attiecībā uz argumentiem, kas minēti kasācijas sūdzībā, kā to nosaka Civilprocesa likuma 473.panta pirmā daļa, Augstākā tiesa atzīst, ka pārsūdzētais spriedums ir atstājams negrozīts.</w:t>
      </w:r>
    </w:p>
    <w:p w:rsidR="00C2049D" w:rsidRPr="00F606EF" w:rsidRDefault="00C2049D"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[8] Civillikuma 998.pants noteic, ka ar ieilgumu lietu iegūst par īpašumu, ja ieguvējs to ir valdījis likumā noteiktu laiku kā savu, ievērojot arī citus likumiskus nosacījumus.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Šie nepieciešamie nosacījumi ir ietverti Civillikuma 999.pantā atbilstoši kuram, lai valdījums nodibinātu īpašumu ar ieilgumu, ir vajadzīgi: 1) priekšmets, ko var iegūt ar ieilgumu (1000. - 1005.pants); 2) tiesisks pamats (1006. - 1012.pants); 3) valdītāja laba ticība (1013. - 1017.pants); 4) nepārtraukts valdījums (1018. - 1022.pants); 5) noteiktā laika notecējums (1023 un 1024.pants); 6) lietas īpašnieka tiesiska iespēja izlietot savu tiesību uz lietu (1025. - 1029.pants).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Atbilstoši Civillikuma 1006.panta noteikumiem valdījumam, lai tas dotu tiesības iegūt kādu lietu īpašumā ar ieilgumu, jābalstās uz tāda tiesiska pamata, kas jau pats par sevi varētu piešķirt īpašuma tiesību, bet kam attiecīgā gadījumā sevišķa šķēršļa dēļ īpašuma iegūšana nav tūliņ sekojusi.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Civillikuma 1007.pantā noteikts, ka tādi pamati ir:</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lastRenderedPageBreak/>
        <w:t>1) visas darbības un visas stāvokļa pārmaiņas, kas pašas par sevi ir viens no pirmējiem īpašuma iegūšanas veidiem, un proti, piegūšana un pieaugums;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2) visi tiesiskie darījumi, saprotot ar to kā vienpusējus gribas izteikumus, tā arī līgumus, kuru mērķis ir atdot citam īpašumu;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3) likumiska mantošana, uz kuras pamata mantinieks var iegūt ar ieilgumu arī svešas lietas, kas ietilpušas viņam piekritušā mantojumā;</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4) likumīgā spēkā nākuši tiesas spriedumi, ar kuriem ieguvējam atzīta īpašuma tiesība.</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[9] Kā redzams no lietas materiāliem, </w:t>
      </w:r>
      <w:r w:rsidRPr="00F606EF">
        <w:rPr>
          <w:rFonts w:eastAsia="Times New Roman" w:cs="Times New Roman"/>
          <w:color w:val="000000"/>
          <w:szCs w:val="24"/>
          <w:lang w:eastAsia="lv-LV"/>
        </w:rPr>
        <w:t>[pers. A]</w:t>
      </w:r>
      <w:r w:rsidRPr="00F606EF">
        <w:rPr>
          <w:rFonts w:eastAsia="Times New Roman" w:cs="Times New Roman"/>
          <w:color w:val="000000"/>
          <w:szCs w:val="24"/>
          <w:lang w:eastAsia="lv-LV"/>
        </w:rPr>
        <w:t xml:space="preserve"> valdījuma tiesiskā pamata esamību saistījusi ar 1994.gada 15.jūnijā noslēgto pirkuma darījumu, kura ietvaros paju sabiedrībai ,,Grāveri” par nolīgto pirkuma maksu esot atsavinājusi un, pamatojoties uz abpusēji parakstītu aktu, nodevusi viņai rezerves daļu noliktavas ēku.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Izvērtējot prasītājas apsvērumus par atsavināšanas darījumu kā konkrētā valdījuma tiesisko pamatu, tiesa pārbaudāmajā spriedumā norādījusi, ka no 1994.gada 15.jūnija akta Nr.7 nevar secināt būves atsavināšanas faktu tiesiska darījuma rezultātā, jo strīdus objekts no tā nav identificējams. Tāpat tas neesot identificējams no liecinieka </w:t>
      </w:r>
      <w:r w:rsidR="00BF2DA6" w:rsidRPr="00F606EF">
        <w:rPr>
          <w:rFonts w:eastAsia="Times New Roman" w:cs="Times New Roman"/>
          <w:color w:val="000000"/>
          <w:szCs w:val="24"/>
          <w:lang w:eastAsia="lv-LV"/>
        </w:rPr>
        <w:t>[pers.</w:t>
      </w:r>
      <w:r w:rsidR="00BF2DA6" w:rsidRPr="00F606EF">
        <w:rPr>
          <w:rFonts w:cs="Times New Roman"/>
          <w:szCs w:val="24"/>
        </w:rPr>
        <w:t xml:space="preserve">C] </w:t>
      </w:r>
      <w:r w:rsidRPr="00F606EF">
        <w:rPr>
          <w:rFonts w:eastAsia="Times New Roman" w:cs="Times New Roman"/>
          <w:color w:val="000000"/>
          <w:szCs w:val="24"/>
          <w:lang w:eastAsia="lv-LV"/>
        </w:rPr>
        <w:t>liecībām.</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Kasācijas sūdzībā nav atrodami argumenti par procesuāliem pārkāpumiem, tiesai pārbaudot un izvērtējot pierādījumus, ar kuriem prasītāja pamatojusi darījuma noslēgšanas faktu.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No šī sprieduma 5.3.punktā atreferētajiem kasācijas sūdzības argumentiem redzams, ka tās iesniedzēja acīmredzami maldīgi uzskata, ka viņas paskaidrojumos norādītie apstākļi par darījumu, tā būtiskām sastāvdaļām un izpildes gaitu paši par sevi ir pietiekami, lai konstatētu, ka valdījums ir balstīts uz tāda tiesiskā pamata, kas pats par sevi varētu piešķirt īpašuma tiesību. Proti, kasācijas sūdzības iesniedzējas ieskatā, Civillietu tiesu palātai uz konkrēto lietu bija jāattiecina Civillikuma 2003. un 2004.pantu, pamatojoties uz prasītājas paskaidrojumos norādītajiem faktiem par darījuma noslēgšanas apstākļiem, kā arī viņas subjektīvo izpratni par iesniegto pierādījumu nozīmi, konstatējot valdījuma tiesiskā pamata esamību..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Šajā sakarā Augstākā tiesa norāda, ka nevar būt iemesls sprieduma atcelšanai argumenti kasācijas sūdzībā, kuros tās iesniedzējs, atsaucoties uz subjektīvu redzējumu par kādu apstākļu esamību un pierādījumu nozīmīgumu, apšauba apelācijas instances tiesas sprieduma pamatotību, neizvirzot konkrētus argumentus par pieļautajiem procesuālajiem pārkāpumiem apstākļu noskaidrošanā vai pierādījumu novērtēšanā.</w:t>
      </w:r>
    </w:p>
    <w:p w:rsidR="00C2049D" w:rsidRPr="00F606EF" w:rsidRDefault="00C2049D" w:rsidP="00F606EF">
      <w:pPr>
        <w:spacing w:after="0" w:line="276" w:lineRule="auto"/>
        <w:jc w:val="both"/>
        <w:rPr>
          <w:rFonts w:eastAsia="Times New Roman" w:cs="Times New Roman"/>
          <w:color w:val="000000"/>
          <w:szCs w:val="24"/>
          <w:lang w:eastAsia="lv-LV"/>
        </w:rPr>
      </w:pP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[10] Atbilstoši Civillikuma 1018.pantam, lai iegūtu īpašumu ar ieilgumu, ieguvējam nepieciešams visu likumā noteikto laiku, kas atbilstoši Civillikuma 1024.pantam ir 10 gadi, nepārtraukti un netraucēti valdīt iegūstamo priekšmetu un rīkoties ar to kā īpašniekam.</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Šajā sakarā pārsūdzētajā sprieduma ir atzīts, ka prasītājas apgalvojums, ka strīdus būve, ar kuru viņa esot rīkojusies kā īpašniece kopš 1994.gada, visu ieilguma laiku atradusies viņas nepārtrauktā valdījumā, nav apstiprināts ar citiem pierādījumiem lietā, tāpēc prasītājas paskaidrojumiem šajā jautājumā, ņemot vērā Civilprocesa likuma 104.panta pirmās daļas noteikumus, nav pierādījumu nozīmes.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Kā redzams no kasācijas sūdzības, prasītāja šīs atziņas neapstrīd, bet to sakarā norāda uz Civilprocesa likuma 93.panta ceturtās daļas pārkāpumu, tiesai nenorādot uz pierādījumu trūkumu.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Vispārīgi var piekrist kasācijas sūdzībā norādītajam, ka apstākļos, ja par kādu no faktiem, uz kuriem pamatoti puses prasījumi vai iebildumi, nav iesniegti pierādījumi, tiesai </w:t>
      </w:r>
      <w:r w:rsidRPr="00F606EF">
        <w:rPr>
          <w:rFonts w:eastAsia="Times New Roman" w:cs="Times New Roman"/>
          <w:color w:val="000000"/>
          <w:szCs w:val="24"/>
          <w:lang w:eastAsia="lv-LV"/>
        </w:rPr>
        <w:lastRenderedPageBreak/>
        <w:t>saskaņā ar Civilprocesa 93.panta ceturto daļu ir jāpaziņo par to pusēm, nosakot termiņu pierādījumu iesniegšanai.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Tomēr tas, ka šajā gadījumā tiesa nav norādījusi prasītājai uz pierādījumu neesamību par valdījumam likumā izvirzītām prasībām, Augstākās tiesas ieskatā, nav uzskatāms par būtisku procesuālu pārkāpumu, kas varēja novest pie nepareiza sprieduma pieņemšanas.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Pirmkārt, uz šādu pierādījumu neesamību skaidri un nepārprotami bija norādīts trešās personas apelācijas sūdzībā. Līdz ar to, saņemot apelācijas sūdzības norakstu, prasītāja jau bija informēta par to, ka trešā persona neatzīst prasītājas paskaidrojumos norādītos faktus un tādējādi atbilstoši Civilprocesa likuma 93.panta pirmajai daļai prasītājai tie ir jāpierāda, iesniedzot pierādījumus, vai arī lūdzot tiesai tos izprasīt. </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Otrkārt, pat tad, ja pierādījumi par nepārtrauktu un netraucētu valdījumu 10 gadu garumā būtu iesniegti, tas negarantētu prasītājas izredzes uz labvēlīgu strīda iznākumu, ņemot vērā Civillietu tiesu palātas secināto attiecībā uz Civillikuma 1006. - 1012.pantā definētā priekšnoteikuma neesamību.</w:t>
      </w:r>
    </w:p>
    <w:p w:rsidR="00717DF8" w:rsidRPr="00F606EF" w:rsidRDefault="00717DF8" w:rsidP="00F606EF">
      <w:pPr>
        <w:spacing w:after="0" w:line="276" w:lineRule="auto"/>
        <w:jc w:val="both"/>
        <w:rPr>
          <w:rFonts w:eastAsia="Times New Roman" w:cs="Times New Roman"/>
          <w:color w:val="000000"/>
          <w:szCs w:val="24"/>
          <w:lang w:eastAsia="lv-LV"/>
        </w:rPr>
      </w:pP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[11] Nav dibināts un nevar būt pamats pārsūdzētā sprieduma atcelšanai kasācijas sūdzības arguments, ka tiesa nepareizi iztulkojusi Civillikuma 968.pantu un likuma ,,Par atjaunotā Latvijas Republikas 1937.gada Civillikuma ievada, mantojuma tiesību un lietu tiesību daļas spēkā stāšanās laiku un kārtību” 14.panta ceturto daļu, jo rezerves daļu noliktavas ēka uz prasības celšanas brīdi reģistrēta Valsts zemes dienestā kā patstāvīgs īpašuma objekts.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Pirmkārt, ēkas kā patstāvīga nekustamā īpašuma objekta reģistrācija Valsts nekustamo īpašumu kadastrā minētajos un arī citos likumos nav noteikta par patstāvīgu tiesisko pamatu īpašuma tiesību iegūšanai.</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Otrkārt, objekta reģistrācija Valsts nekustamo īpašumu kadastrā Civilprocesa likuma 96.pantā, t.i., procesuālajā normā, kurā ir reglamentēti pamati</w:t>
      </w:r>
      <w:r w:rsidR="00BF2DA6" w:rsidRPr="00F606EF">
        <w:rPr>
          <w:rFonts w:eastAsia="Times New Roman" w:cs="Times New Roman"/>
          <w:color w:val="000000"/>
          <w:szCs w:val="24"/>
          <w:lang w:eastAsia="lv-LV"/>
        </w:rPr>
        <w:t xml:space="preserve"> atbrīvošanai no pierādīšanas, </w:t>
      </w:r>
      <w:r w:rsidRPr="00F606EF">
        <w:rPr>
          <w:rFonts w:eastAsia="Times New Roman" w:cs="Times New Roman"/>
          <w:color w:val="000000"/>
          <w:szCs w:val="24"/>
          <w:lang w:eastAsia="lv-LV"/>
        </w:rPr>
        <w:t>nav noteikta par apstākli, kas atbrīvotu personu no nepieciešamības pierādīt faktus, uz kuriem ir pamatota tās prasība par īpašuma iegūšanu ar ieilgumu.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Ievērojot minēto, personai, kas apgalvo, ka tai piemīt īpašuma tiesības uz ēku sakarā, pamatojoties uz ieilgumu, ir jāpierāda šī sprieduma 8.punktā norādīto priekšnoteikumu esamība neatkarīgi no tā, ka ēka ir reģistrēta kā patstāvīgs īpašuma objekts.</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Līdz ar to, izskatot prasību, kas ir celta uz tāda pamata kā izskatāmajā lietā, faktam, ka Valsts zemes dienests ir reģistrējis ēku kā patstāvīgu īpašuma objektu, nav iepriekš noteikta spēka, kas saistītu tiesu, konstatējot valdījuma tiesiskā pamata esamību.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Nozīme tam būtu tādā gadījumā, ja lietā būtu nodibināti visi priekšnoteikumi, kas veido tiesisko pamatu īpašuma iegūšanai ar ieilgumu.</w:t>
      </w:r>
    </w:p>
    <w:p w:rsidR="00C2049D" w:rsidRPr="00F606EF" w:rsidRDefault="00C2049D" w:rsidP="00F606EF">
      <w:pPr>
        <w:spacing w:after="0" w:line="276" w:lineRule="auto"/>
        <w:ind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Ņemot vērā, ka konkrētajā gadījumā šāds pamats netika nodibināts, tiesai nebija iemesla dot šim faktam juridisku kvalifikāciju.</w:t>
      </w:r>
    </w:p>
    <w:p w:rsidR="00C2049D" w:rsidRPr="00F606EF" w:rsidRDefault="00C2049D" w:rsidP="004A108F">
      <w:pPr>
        <w:spacing w:after="0" w:line="276" w:lineRule="auto"/>
        <w:jc w:val="both"/>
        <w:rPr>
          <w:rFonts w:eastAsia="Times New Roman" w:cs="Times New Roman"/>
          <w:color w:val="000000"/>
          <w:szCs w:val="24"/>
          <w:lang w:eastAsia="lv-LV"/>
        </w:rPr>
      </w:pP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[12] Apkopojot iepriekš 8., 9., 10., 11. un 12.punktā izklāstītos apsvērumus, Augstākā tiesa atzīst, ka apelācijas instances tiesas spriedums atstājams negrozīts, bet kasācijas sūdzība noraidāma.</w:t>
      </w:r>
    </w:p>
    <w:p w:rsidR="00C2049D" w:rsidRPr="00F606EF" w:rsidRDefault="00C2049D" w:rsidP="00F606EF">
      <w:pPr>
        <w:spacing w:after="0" w:line="276" w:lineRule="auto"/>
        <w:ind w:right="-74"/>
        <w:jc w:val="both"/>
        <w:rPr>
          <w:rFonts w:eastAsia="Times New Roman" w:cs="Times New Roman"/>
          <w:color w:val="000000"/>
          <w:szCs w:val="24"/>
          <w:lang w:eastAsia="lv-LV"/>
        </w:rPr>
      </w:pPr>
    </w:p>
    <w:p w:rsidR="00C2049D" w:rsidRPr="00F606EF" w:rsidRDefault="00C2049D" w:rsidP="00F606EF">
      <w:pPr>
        <w:spacing w:after="0" w:line="276" w:lineRule="auto"/>
        <w:ind w:right="-74" w:firstLine="720"/>
        <w:jc w:val="center"/>
        <w:rPr>
          <w:rFonts w:eastAsia="Times New Roman" w:cs="Times New Roman"/>
          <w:color w:val="000000"/>
          <w:szCs w:val="24"/>
          <w:lang w:eastAsia="lv-LV"/>
        </w:rPr>
      </w:pPr>
      <w:r w:rsidRPr="00F606EF">
        <w:rPr>
          <w:rFonts w:eastAsia="Times New Roman" w:cs="Times New Roman"/>
          <w:b/>
          <w:bCs/>
          <w:color w:val="000000"/>
          <w:szCs w:val="24"/>
          <w:lang w:eastAsia="lv-LV"/>
        </w:rPr>
        <w:t>Rezolutīvā daļa</w:t>
      </w:r>
    </w:p>
    <w:p w:rsidR="00C2049D" w:rsidRPr="00F606EF" w:rsidRDefault="00C2049D" w:rsidP="00F606EF">
      <w:pPr>
        <w:spacing w:after="0" w:line="276" w:lineRule="auto"/>
        <w:ind w:right="-74"/>
        <w:jc w:val="both"/>
        <w:rPr>
          <w:rFonts w:eastAsia="Times New Roman" w:cs="Times New Roman"/>
          <w:color w:val="000000"/>
          <w:szCs w:val="24"/>
          <w:lang w:eastAsia="lv-LV"/>
        </w:rPr>
      </w:pP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Pamatojoties uz Civilprocesa likuma 474.panta 1.punktu, Augstākā tiesa</w:t>
      </w: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 </w:t>
      </w:r>
      <w:bookmarkStart w:id="0" w:name="_GoBack"/>
      <w:bookmarkEnd w:id="0"/>
    </w:p>
    <w:p w:rsidR="00C2049D" w:rsidRPr="00F606EF" w:rsidRDefault="00C2049D" w:rsidP="00F606EF">
      <w:pPr>
        <w:spacing w:after="0" w:line="276" w:lineRule="auto"/>
        <w:ind w:right="-74" w:firstLine="720"/>
        <w:jc w:val="center"/>
        <w:rPr>
          <w:rFonts w:eastAsia="Times New Roman" w:cs="Times New Roman"/>
          <w:color w:val="000000"/>
          <w:szCs w:val="24"/>
          <w:lang w:eastAsia="lv-LV"/>
        </w:rPr>
      </w:pPr>
      <w:r w:rsidRPr="00F606EF">
        <w:rPr>
          <w:rFonts w:eastAsia="Times New Roman" w:cs="Times New Roman"/>
          <w:b/>
          <w:bCs/>
          <w:color w:val="000000"/>
          <w:szCs w:val="24"/>
          <w:lang w:eastAsia="lv-LV"/>
        </w:rPr>
        <w:lastRenderedPageBreak/>
        <w:t>nosprieda:</w:t>
      </w:r>
    </w:p>
    <w:p w:rsidR="00C2049D" w:rsidRPr="00F606EF" w:rsidRDefault="00C2049D" w:rsidP="00F606EF">
      <w:pPr>
        <w:spacing w:after="0" w:line="276" w:lineRule="auto"/>
        <w:ind w:right="-74"/>
        <w:jc w:val="both"/>
        <w:rPr>
          <w:rFonts w:eastAsia="Times New Roman" w:cs="Times New Roman"/>
          <w:color w:val="000000"/>
          <w:szCs w:val="24"/>
          <w:lang w:eastAsia="lv-LV"/>
        </w:rPr>
      </w:pP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Augstākās tiesas Civillietu t</w:t>
      </w:r>
      <w:r w:rsidR="00E847C9">
        <w:rPr>
          <w:rFonts w:eastAsia="Times New Roman" w:cs="Times New Roman"/>
          <w:color w:val="000000"/>
          <w:szCs w:val="24"/>
          <w:lang w:eastAsia="lv-LV"/>
        </w:rPr>
        <w:t xml:space="preserve">iesu palātas 2014.gada 29.maija </w:t>
      </w:r>
      <w:r w:rsidRPr="00F606EF">
        <w:rPr>
          <w:rFonts w:eastAsia="Times New Roman" w:cs="Times New Roman"/>
          <w:color w:val="000000"/>
          <w:szCs w:val="24"/>
          <w:lang w:eastAsia="lv-LV"/>
        </w:rPr>
        <w:t>spriedumu atstāt negrozītu, bet</w:t>
      </w:r>
      <w:r w:rsidR="00F33440"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[pers. A]</w:t>
      </w:r>
      <w:r w:rsidR="00BF2DA6" w:rsidRPr="00F606EF">
        <w:rPr>
          <w:rFonts w:eastAsia="Times New Roman" w:cs="Times New Roman"/>
          <w:color w:val="000000"/>
          <w:szCs w:val="24"/>
          <w:lang w:eastAsia="lv-LV"/>
        </w:rPr>
        <w:t xml:space="preserve"> </w:t>
      </w:r>
      <w:r w:rsidRPr="00F606EF">
        <w:rPr>
          <w:rFonts w:eastAsia="Times New Roman" w:cs="Times New Roman"/>
          <w:color w:val="000000"/>
          <w:szCs w:val="24"/>
          <w:lang w:eastAsia="lv-LV"/>
        </w:rPr>
        <w:t>kasācijas sūdzību noraidīt.</w:t>
      </w: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r w:rsidRPr="00F606EF">
        <w:rPr>
          <w:rFonts w:eastAsia="Times New Roman" w:cs="Times New Roman"/>
          <w:color w:val="000000"/>
          <w:szCs w:val="24"/>
          <w:lang w:eastAsia="lv-LV"/>
        </w:rPr>
        <w:t>Spriedums nav pārsūdzams.</w:t>
      </w:r>
    </w:p>
    <w:p w:rsidR="00C2049D" w:rsidRPr="00F606EF" w:rsidRDefault="00C2049D" w:rsidP="00F606EF">
      <w:pPr>
        <w:spacing w:after="0" w:line="276" w:lineRule="auto"/>
        <w:ind w:right="-74" w:firstLine="720"/>
        <w:jc w:val="both"/>
        <w:rPr>
          <w:rFonts w:eastAsia="Times New Roman" w:cs="Times New Roman"/>
          <w:color w:val="000000"/>
          <w:szCs w:val="24"/>
          <w:lang w:eastAsia="lv-LV"/>
        </w:rPr>
      </w:pPr>
    </w:p>
    <w:p w:rsidR="00BF2DA6" w:rsidRPr="00F606EF" w:rsidRDefault="00BF2DA6" w:rsidP="00F606EF">
      <w:pPr>
        <w:spacing w:after="0" w:line="276" w:lineRule="auto"/>
        <w:ind w:right="-74" w:firstLine="720"/>
        <w:jc w:val="both"/>
        <w:rPr>
          <w:rFonts w:eastAsia="Times New Roman" w:cs="Times New Roman"/>
          <w:color w:val="000000"/>
          <w:szCs w:val="24"/>
          <w:lang w:eastAsia="lv-LV"/>
        </w:rPr>
      </w:pPr>
    </w:p>
    <w:p w:rsidR="00BF2DA6" w:rsidRPr="00F606EF" w:rsidRDefault="00BF2DA6" w:rsidP="00F606EF">
      <w:pPr>
        <w:spacing w:after="0" w:line="276" w:lineRule="auto"/>
        <w:ind w:right="-74" w:firstLine="720"/>
        <w:jc w:val="both"/>
        <w:rPr>
          <w:rFonts w:eastAsia="Times New Roman" w:cs="Times New Roman"/>
          <w:color w:val="000000"/>
          <w:szCs w:val="24"/>
          <w:lang w:eastAsia="lv-LV"/>
        </w:rPr>
      </w:pPr>
    </w:p>
    <w:p w:rsidR="00BF2DA6" w:rsidRPr="00F606EF" w:rsidRDefault="00BF2DA6" w:rsidP="00F606EF">
      <w:pPr>
        <w:autoSpaceDE w:val="0"/>
        <w:autoSpaceDN w:val="0"/>
        <w:adjustRightInd w:val="0"/>
        <w:spacing w:after="0" w:line="276" w:lineRule="auto"/>
        <w:ind w:firstLine="720"/>
        <w:jc w:val="center"/>
        <w:rPr>
          <w:rFonts w:cs="Times New Roman"/>
          <w:b/>
          <w:szCs w:val="24"/>
        </w:rPr>
      </w:pPr>
      <w:r w:rsidRPr="00F606EF">
        <w:rPr>
          <w:rFonts w:cs="Times New Roman"/>
          <w:b/>
          <w:szCs w:val="24"/>
        </w:rPr>
        <w:t>Tiesību aktu un nolēmumu rādītājs</w:t>
      </w:r>
    </w:p>
    <w:p w:rsidR="00F33440" w:rsidRPr="00F606EF" w:rsidRDefault="00F33440" w:rsidP="00F606EF">
      <w:pPr>
        <w:autoSpaceDE w:val="0"/>
        <w:autoSpaceDN w:val="0"/>
        <w:adjustRightInd w:val="0"/>
        <w:spacing w:after="0" w:line="276" w:lineRule="auto"/>
        <w:ind w:firstLine="720"/>
        <w:jc w:val="center"/>
        <w:rPr>
          <w:rFonts w:cs="Times New Roman"/>
          <w:b/>
          <w:szCs w:val="24"/>
        </w:rPr>
      </w:pPr>
    </w:p>
    <w:p w:rsidR="00F33440" w:rsidRPr="00F606EF" w:rsidRDefault="00F33440" w:rsidP="00F606EF">
      <w:pPr>
        <w:autoSpaceDE w:val="0"/>
        <w:autoSpaceDN w:val="0"/>
        <w:adjustRightInd w:val="0"/>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likums</w:t>
      </w:r>
      <w:r w:rsidRPr="00F606EF">
        <w:rPr>
          <w:rFonts w:eastAsia="Times New Roman" w:cs="Times New Roman"/>
          <w:color w:val="000000"/>
          <w:szCs w:val="24"/>
          <w:lang w:eastAsia="lv-LV"/>
        </w:rPr>
        <w:t xml:space="preserve"> ,,Par atjaunotā Latvijas Republikas 1937.gada Civillikuma ievada, mantojuma tiesību un lietu tiesību daļas spēkā stāšanās laiku un kārtību” </w:t>
      </w:r>
    </w:p>
    <w:p w:rsidR="00F33440" w:rsidRPr="00F606EF" w:rsidRDefault="00F33440" w:rsidP="00F606EF">
      <w:pPr>
        <w:autoSpaceDE w:val="0"/>
        <w:autoSpaceDN w:val="0"/>
        <w:adjustRightInd w:val="0"/>
        <w:spacing w:after="0" w:line="276" w:lineRule="auto"/>
        <w:jc w:val="both"/>
        <w:rPr>
          <w:rFonts w:cs="Times New Roman"/>
          <w:b/>
          <w:szCs w:val="24"/>
        </w:rPr>
      </w:pPr>
      <w:r w:rsidRPr="00F606EF">
        <w:rPr>
          <w:rFonts w:eastAsia="Times New Roman" w:cs="Times New Roman"/>
          <w:color w:val="000000"/>
          <w:szCs w:val="24"/>
          <w:lang w:eastAsia="lv-LV"/>
        </w:rPr>
        <w:t>14.panta ceturtā daļa</w:t>
      </w:r>
    </w:p>
    <w:p w:rsidR="00BF2DA6" w:rsidRPr="00F606EF" w:rsidRDefault="00BF2DA6" w:rsidP="00F606EF">
      <w:pPr>
        <w:spacing w:after="0" w:line="276" w:lineRule="auto"/>
        <w:rPr>
          <w:rFonts w:eastAsia="Times New Roman" w:cs="Times New Roman"/>
          <w:color w:val="000000"/>
          <w:szCs w:val="24"/>
          <w:lang w:eastAsia="lv-LV"/>
        </w:rPr>
      </w:pP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Civillikums</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968.pants,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998.pants</w:t>
      </w:r>
      <w:r w:rsidRPr="00F606EF">
        <w:rPr>
          <w:rFonts w:eastAsia="Times New Roman" w:cs="Times New Roman"/>
          <w:color w:val="000000"/>
          <w:szCs w:val="24"/>
          <w:lang w:eastAsia="lv-LV"/>
        </w:rPr>
        <w:t>,</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999.pants,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1000. - 1005.p</w:t>
      </w:r>
      <w:r w:rsidRPr="00F606EF">
        <w:rPr>
          <w:rFonts w:eastAsia="Times New Roman" w:cs="Times New Roman"/>
          <w:color w:val="000000"/>
          <w:szCs w:val="24"/>
          <w:lang w:eastAsia="lv-LV"/>
        </w:rPr>
        <w:t>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1006.pants,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1006. - 1012.pants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1007.pants,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1013. - 1017.pants,</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1018.pants,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1018. - 1022.pants,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 xml:space="preserve">1023 un 1024.pants, </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1024.pants,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1025. - 1029.pants,</w:t>
      </w:r>
    </w:p>
    <w:p w:rsidR="009369FE" w:rsidRDefault="009369FE" w:rsidP="00F606EF">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2003.pants,</w:t>
      </w:r>
    </w:p>
    <w:p w:rsidR="00BF2DA6" w:rsidRPr="00F606EF" w:rsidRDefault="00BF2DA6"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2004.pants</w:t>
      </w:r>
    </w:p>
    <w:p w:rsidR="00F33440" w:rsidRPr="00F606EF" w:rsidRDefault="00F33440" w:rsidP="00F606EF">
      <w:pPr>
        <w:spacing w:after="0" w:line="276" w:lineRule="auto"/>
        <w:jc w:val="both"/>
        <w:rPr>
          <w:rFonts w:eastAsia="Times New Roman" w:cs="Times New Roman"/>
          <w:color w:val="000000"/>
          <w:szCs w:val="24"/>
          <w:lang w:eastAsia="lv-LV"/>
        </w:rPr>
      </w:pP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Civilprocesa likums</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93.panta pirmā</w:t>
      </w:r>
      <w:r w:rsidRPr="00F606EF">
        <w:rPr>
          <w:rFonts w:eastAsia="Times New Roman" w:cs="Times New Roman"/>
          <w:color w:val="000000"/>
          <w:szCs w:val="24"/>
          <w:lang w:eastAsia="lv-LV"/>
        </w:rPr>
        <w:t xml:space="preserve"> da</w:t>
      </w:r>
      <w:r w:rsidRPr="00F606EF">
        <w:rPr>
          <w:rFonts w:eastAsia="Times New Roman" w:cs="Times New Roman"/>
          <w:color w:val="000000"/>
          <w:szCs w:val="24"/>
          <w:lang w:eastAsia="lv-LV"/>
        </w:rPr>
        <w:t>ļa</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93.panta ceturtā daļa,</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96.pants,</w:t>
      </w:r>
    </w:p>
    <w:p w:rsidR="00F33440" w:rsidRPr="00F606EF" w:rsidRDefault="00F33440" w:rsidP="00F606EF">
      <w:pPr>
        <w:spacing w:after="0" w:line="276" w:lineRule="auto"/>
        <w:jc w:val="both"/>
        <w:rPr>
          <w:rFonts w:eastAsia="Times New Roman" w:cs="Times New Roman"/>
          <w:color w:val="000000"/>
          <w:szCs w:val="24"/>
          <w:lang w:eastAsia="lv-LV"/>
        </w:rPr>
      </w:pPr>
      <w:r w:rsidRPr="00F606EF">
        <w:rPr>
          <w:rFonts w:eastAsia="Times New Roman" w:cs="Times New Roman"/>
          <w:color w:val="000000"/>
          <w:szCs w:val="24"/>
          <w:lang w:eastAsia="lv-LV"/>
        </w:rPr>
        <w:t>104.panta pirmās daļa</w:t>
      </w:r>
    </w:p>
    <w:sectPr w:rsidR="00F33440" w:rsidRPr="00F606EF"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D3" w:rsidRDefault="007B55D3" w:rsidP="00BF2DA6">
      <w:pPr>
        <w:spacing w:after="0" w:line="240" w:lineRule="auto"/>
      </w:pPr>
      <w:r>
        <w:separator/>
      </w:r>
    </w:p>
  </w:endnote>
  <w:endnote w:type="continuationSeparator" w:id="0">
    <w:p w:rsidR="007B55D3" w:rsidRDefault="007B55D3" w:rsidP="00BF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485027349"/>
  <w:bookmarkStart w:id="2" w:name="_Hlk485027350"/>
  <w:p w:rsidR="0080523E" w:rsidRDefault="0080523E" w:rsidP="0080523E">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Pr>
        <w:rFonts w:cs="Times New Roman"/>
        <w:noProof/>
        <w:szCs w:val="24"/>
      </w:rPr>
      <w:t>7</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Pr>
        <w:rFonts w:cs="Times New Roman"/>
        <w:noProof/>
        <w:szCs w:val="24"/>
      </w:rPr>
      <w:t>7</w:t>
    </w:r>
    <w:r w:rsidRPr="00B803D8">
      <w:rPr>
        <w:rFonts w:cs="Times New Roman"/>
        <w:noProof/>
        <w:szCs w:val="24"/>
      </w:rP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D3" w:rsidRDefault="007B55D3" w:rsidP="00BF2DA6">
      <w:pPr>
        <w:spacing w:after="0" w:line="240" w:lineRule="auto"/>
      </w:pPr>
      <w:r>
        <w:separator/>
      </w:r>
    </w:p>
  </w:footnote>
  <w:footnote w:type="continuationSeparator" w:id="0">
    <w:p w:rsidR="007B55D3" w:rsidRDefault="007B55D3" w:rsidP="00BF2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9D"/>
    <w:rsid w:val="004A108F"/>
    <w:rsid w:val="00530B80"/>
    <w:rsid w:val="005F5809"/>
    <w:rsid w:val="00717DF8"/>
    <w:rsid w:val="007A1316"/>
    <w:rsid w:val="007B55D3"/>
    <w:rsid w:val="007C6D38"/>
    <w:rsid w:val="0080523E"/>
    <w:rsid w:val="009369FE"/>
    <w:rsid w:val="0094657E"/>
    <w:rsid w:val="009C0685"/>
    <w:rsid w:val="00BF03EB"/>
    <w:rsid w:val="00BF2DA6"/>
    <w:rsid w:val="00C15BF6"/>
    <w:rsid w:val="00C2049D"/>
    <w:rsid w:val="00E847C9"/>
    <w:rsid w:val="00F33440"/>
    <w:rsid w:val="00F606EF"/>
    <w:rsid w:val="00FC5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B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04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D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2DA6"/>
  </w:style>
  <w:style w:type="paragraph" w:styleId="Footer">
    <w:name w:val="footer"/>
    <w:basedOn w:val="Normal"/>
    <w:link w:val="FooterChar"/>
    <w:uiPriority w:val="99"/>
    <w:unhideWhenUsed/>
    <w:rsid w:val="00BF2D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2DA6"/>
  </w:style>
  <w:style w:type="paragraph" w:styleId="BalloonText">
    <w:name w:val="Balloon Text"/>
    <w:basedOn w:val="Normal"/>
    <w:link w:val="BalloonTextChar"/>
    <w:uiPriority w:val="99"/>
    <w:semiHidden/>
    <w:unhideWhenUsed/>
    <w:rsid w:val="00E84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12287</Words>
  <Characters>7004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2017-06-12T09:10:00Z</dcterms:created>
  <dcterms:modified xsi:type="dcterms:W3CDTF">2017-06-12T09:11:00Z</dcterms:modified>
</cp:coreProperties>
</file>