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4E2" w:rsidRDefault="00A044E2" w:rsidP="00A044E2">
      <w:pPr>
        <w:pStyle w:val="BodyText2"/>
        <w:spacing w:after="0" w:line="240" w:lineRule="auto"/>
        <w:outlineLvl w:val="0"/>
        <w:rPr>
          <w:b/>
        </w:rPr>
      </w:pPr>
      <w:bookmarkStart w:id="0" w:name="_GoBack"/>
      <w:bookmarkEnd w:id="0"/>
      <w:r>
        <w:rPr>
          <w:b/>
        </w:rPr>
        <w:t>Pamats tiesu psihiatriskās ekspertīzes veikšanai</w:t>
      </w:r>
    </w:p>
    <w:p w:rsidR="00A044E2" w:rsidRDefault="00A044E2" w:rsidP="00A044E2">
      <w:pPr>
        <w:pStyle w:val="BodyText2"/>
        <w:spacing w:after="0" w:line="240" w:lineRule="auto"/>
        <w:jc w:val="both"/>
        <w:outlineLvl w:val="0"/>
        <w:rPr>
          <w:b/>
        </w:rPr>
      </w:pPr>
    </w:p>
    <w:p w:rsidR="00A044E2" w:rsidRDefault="00A044E2" w:rsidP="00A044E2">
      <w:pPr>
        <w:pStyle w:val="BodyText2"/>
        <w:spacing w:after="0" w:line="240" w:lineRule="auto"/>
        <w:jc w:val="both"/>
        <w:outlineLvl w:val="0"/>
      </w:pPr>
      <w:r w:rsidRPr="00A044E2">
        <w:t xml:space="preserve">Apstāklis, ka apsūdzētais </w:t>
      </w:r>
      <w:r>
        <w:t>ambulatorās tiesu psihiatriskās ekspertīzes laikā atteicās runāt ar ekspertu, nevar būt par pamatu tiesu psihiatriskās ekspertīzes neveikšanai vispār, jo stacionārā tiesu psihiatriskā ekspertīze sniegtu atbildes uz procesa virzītāja uzdotajiem jautājumiem.</w:t>
      </w:r>
    </w:p>
    <w:p w:rsidR="00A044E2" w:rsidRDefault="00A044E2" w:rsidP="00A044E2">
      <w:pPr>
        <w:pStyle w:val="BodyText2"/>
        <w:spacing w:after="0" w:line="240" w:lineRule="auto"/>
        <w:outlineLvl w:val="0"/>
      </w:pPr>
    </w:p>
    <w:p w:rsidR="00A044E2" w:rsidRPr="00A044E2" w:rsidRDefault="00A044E2" w:rsidP="00A044E2">
      <w:pPr>
        <w:pStyle w:val="BodyText2"/>
        <w:spacing w:after="0" w:line="240" w:lineRule="auto"/>
        <w:outlineLvl w:val="0"/>
      </w:pPr>
    </w:p>
    <w:p w:rsidR="00A044E2" w:rsidRDefault="00A044E2" w:rsidP="00A044E2">
      <w:pPr>
        <w:pStyle w:val="BodyText2"/>
        <w:spacing w:after="0" w:line="240" w:lineRule="auto"/>
        <w:jc w:val="center"/>
        <w:outlineLvl w:val="0"/>
        <w:rPr>
          <w:b/>
        </w:rPr>
      </w:pPr>
      <w:r w:rsidRPr="00473F47">
        <w:rPr>
          <w:b/>
        </w:rPr>
        <w:t>Latvijas Republikas Augstākā</w:t>
      </w:r>
      <w:r>
        <w:rPr>
          <w:b/>
        </w:rPr>
        <w:t>s</w:t>
      </w:r>
      <w:r w:rsidRPr="00473F47">
        <w:rPr>
          <w:b/>
        </w:rPr>
        <w:t xml:space="preserve"> tiesa</w:t>
      </w:r>
      <w:r>
        <w:rPr>
          <w:b/>
        </w:rPr>
        <w:t>s</w:t>
      </w:r>
    </w:p>
    <w:p w:rsidR="00A044E2" w:rsidRDefault="00A044E2" w:rsidP="00A044E2">
      <w:pPr>
        <w:pStyle w:val="BodyText2"/>
        <w:spacing w:after="0" w:line="240" w:lineRule="auto"/>
        <w:jc w:val="center"/>
        <w:outlineLvl w:val="0"/>
        <w:rPr>
          <w:b/>
        </w:rPr>
      </w:pPr>
      <w:r>
        <w:rPr>
          <w:b/>
        </w:rPr>
        <w:t>Krimināllietu departamenta</w:t>
      </w:r>
    </w:p>
    <w:p w:rsidR="00A044E2" w:rsidRPr="00473F47" w:rsidRDefault="00A044E2" w:rsidP="00A044E2">
      <w:pPr>
        <w:pStyle w:val="BodyText2"/>
        <w:spacing w:after="0" w:line="240" w:lineRule="auto"/>
        <w:jc w:val="center"/>
        <w:outlineLvl w:val="0"/>
        <w:rPr>
          <w:b/>
        </w:rPr>
      </w:pPr>
      <w:r>
        <w:rPr>
          <w:b/>
        </w:rPr>
        <w:t>2017. gada 3. maija</w:t>
      </w:r>
    </w:p>
    <w:p w:rsidR="00A044E2" w:rsidRPr="00473F47" w:rsidRDefault="00A044E2" w:rsidP="00A044E2">
      <w:pPr>
        <w:pStyle w:val="BodyText2"/>
        <w:spacing w:after="0" w:line="240" w:lineRule="auto"/>
        <w:jc w:val="center"/>
        <w:outlineLvl w:val="0"/>
        <w:rPr>
          <w:b/>
          <w:spacing w:val="30"/>
        </w:rPr>
      </w:pPr>
      <w:smartTag w:uri="schemas-tilde-lv/tildestengine" w:element="veidnes">
        <w:smartTagPr>
          <w:attr w:name="id" w:val="-1"/>
          <w:attr w:name="baseform" w:val="Lēmums"/>
          <w:attr w:name="text" w:val="LĒMUMS&#10;"/>
        </w:smartTagPr>
        <w:r w:rsidRPr="00473F47">
          <w:rPr>
            <w:b/>
          </w:rPr>
          <w:t>LĒMUMS</w:t>
        </w:r>
      </w:smartTag>
    </w:p>
    <w:p w:rsidR="00A044E2" w:rsidRPr="00E5675C" w:rsidRDefault="00A044E2" w:rsidP="00A044E2">
      <w:pPr>
        <w:jc w:val="center"/>
        <w:outlineLvl w:val="0"/>
        <w:rPr>
          <w:b/>
        </w:rPr>
      </w:pPr>
      <w:r>
        <w:rPr>
          <w:b/>
        </w:rPr>
        <w:t xml:space="preserve">Lietā Nr. </w:t>
      </w:r>
      <w:r w:rsidRPr="00A044E2">
        <w:rPr>
          <w:rFonts w:ascii="TimesNewRomanPSMT" w:eastAsiaTheme="minorHAnsi" w:hAnsi="TimesNewRomanPSMT" w:cs="TimesNewRomanPSMT"/>
          <w:b/>
        </w:rPr>
        <w:t>11130088815</w:t>
      </w:r>
    </w:p>
    <w:p w:rsidR="00A044E2" w:rsidRDefault="00A044E2" w:rsidP="00A044E2">
      <w:pPr>
        <w:jc w:val="center"/>
        <w:outlineLvl w:val="0"/>
        <w:rPr>
          <w:b/>
        </w:rPr>
      </w:pPr>
      <w:r>
        <w:rPr>
          <w:b/>
        </w:rPr>
        <w:t>SKK-211</w:t>
      </w:r>
      <w:r w:rsidRPr="00E5675C">
        <w:rPr>
          <w:b/>
        </w:rPr>
        <w:t>/2017</w:t>
      </w:r>
    </w:p>
    <w:p w:rsidR="00A044E2" w:rsidRPr="00E5675C" w:rsidRDefault="00A044E2" w:rsidP="00A044E2">
      <w:pPr>
        <w:jc w:val="center"/>
        <w:outlineLvl w:val="0"/>
        <w:rPr>
          <w:b/>
        </w:rPr>
      </w:pPr>
    </w:p>
    <w:p w:rsidR="00F72EB2" w:rsidRPr="00D01F4F" w:rsidRDefault="00F72EB2" w:rsidP="00F72EB2">
      <w:pPr>
        <w:spacing w:line="276" w:lineRule="auto"/>
        <w:jc w:val="both"/>
      </w:pPr>
      <w:r w:rsidRPr="00D01F4F">
        <w:t xml:space="preserve">Augstākā tiesa šādā sastāvā: </w:t>
      </w:r>
    </w:p>
    <w:p w:rsidR="00F72EB2" w:rsidRPr="00D01F4F" w:rsidRDefault="00F72EB2" w:rsidP="00F72EB2">
      <w:pPr>
        <w:spacing w:line="276" w:lineRule="auto"/>
        <w:ind w:firstLine="720"/>
        <w:jc w:val="both"/>
      </w:pPr>
      <w:r w:rsidRPr="00D01F4F">
        <w:t xml:space="preserve">tiesnesis </w:t>
      </w:r>
      <w:bookmarkStart w:id="1" w:name="Dropdown6"/>
      <w:bookmarkStart w:id="2" w:name="Dropdown15"/>
      <w:r w:rsidRPr="00D01F4F">
        <w:t>A</w:t>
      </w:r>
      <w:r>
        <w:t xml:space="preserve">rtūrs </w:t>
      </w:r>
      <w:r w:rsidRPr="00D01F4F">
        <w:t>Freibergs</w:t>
      </w:r>
      <w:bookmarkEnd w:id="1"/>
      <w:bookmarkEnd w:id="2"/>
      <w:r w:rsidR="00310F7D">
        <w:t>,</w:t>
      </w:r>
    </w:p>
    <w:p w:rsidR="00F72EB2" w:rsidRPr="00FD0503" w:rsidRDefault="00F72EB2" w:rsidP="00F72EB2">
      <w:pPr>
        <w:spacing w:line="276" w:lineRule="auto"/>
        <w:ind w:firstLine="720"/>
        <w:jc w:val="both"/>
      </w:pPr>
      <w:r w:rsidRPr="00FD0503">
        <w:t>tiesnes</w:t>
      </w:r>
      <w:r w:rsidR="00C22C58">
        <w:t>is Voldemārs Čiževskis</w:t>
      </w:r>
      <w:r w:rsidR="00310F7D">
        <w:t>,</w:t>
      </w:r>
    </w:p>
    <w:p w:rsidR="00F72EB2" w:rsidRPr="00C0700A" w:rsidRDefault="00F72EB2" w:rsidP="00C0700A">
      <w:pPr>
        <w:spacing w:line="276" w:lineRule="auto"/>
        <w:ind w:firstLine="720"/>
        <w:jc w:val="both"/>
      </w:pPr>
      <w:r w:rsidRPr="00C0700A">
        <w:t xml:space="preserve">tiesnese </w:t>
      </w:r>
      <w:r w:rsidR="00C22C58" w:rsidRPr="00C0700A">
        <w:t>Inguna Radzeviča</w:t>
      </w:r>
    </w:p>
    <w:p w:rsidR="00C22C58" w:rsidRPr="00C0700A" w:rsidRDefault="00F72EB2" w:rsidP="00C0700A">
      <w:pPr>
        <w:spacing w:line="276" w:lineRule="auto"/>
        <w:jc w:val="both"/>
        <w:rPr>
          <w:rFonts w:eastAsiaTheme="minorHAnsi"/>
        </w:rPr>
      </w:pPr>
      <w:r w:rsidRPr="00C0700A">
        <w:rPr>
          <w:rFonts w:eastAsia="Calibri"/>
        </w:rPr>
        <w:t xml:space="preserve">izskatīja rakstveida procesā krimināllietu sakarā ar </w:t>
      </w:r>
      <w:r w:rsidR="00C22C58" w:rsidRPr="00C0700A">
        <w:rPr>
          <w:rFonts w:eastAsiaTheme="minorHAnsi"/>
        </w:rPr>
        <w:t xml:space="preserve">apsūdzētā </w:t>
      </w:r>
      <w:proofErr w:type="gramStart"/>
      <w:r w:rsidR="004C5522">
        <w:rPr>
          <w:rFonts w:eastAsiaTheme="minorHAnsi"/>
        </w:rPr>
        <w:t>[</w:t>
      </w:r>
      <w:proofErr w:type="gramEnd"/>
      <w:r w:rsidR="004C5522">
        <w:rPr>
          <w:rFonts w:eastAsiaTheme="minorHAnsi"/>
        </w:rPr>
        <w:t>pers. A]</w:t>
      </w:r>
      <w:r w:rsidR="00C22C58" w:rsidRPr="00C0700A">
        <w:rPr>
          <w:rFonts w:eastAsiaTheme="minorHAnsi"/>
        </w:rPr>
        <w:t xml:space="preserve"> kasācijas sūdzību par Vidzemes apgabaltiesas </w:t>
      </w:r>
      <w:proofErr w:type="gramStart"/>
      <w:r w:rsidR="00C22C58" w:rsidRPr="00C0700A">
        <w:rPr>
          <w:rFonts w:eastAsiaTheme="minorHAnsi"/>
        </w:rPr>
        <w:t>2017.gada</w:t>
      </w:r>
      <w:proofErr w:type="gramEnd"/>
      <w:r w:rsidR="00C22C58" w:rsidRPr="00C0700A">
        <w:rPr>
          <w:rFonts w:eastAsiaTheme="minorHAnsi"/>
        </w:rPr>
        <w:t xml:space="preserve"> 5.janvāra lēmumu.</w:t>
      </w:r>
    </w:p>
    <w:p w:rsidR="00F72EB2" w:rsidRPr="00C0700A" w:rsidRDefault="00F72EB2" w:rsidP="00C0700A">
      <w:pPr>
        <w:spacing w:line="276" w:lineRule="auto"/>
        <w:jc w:val="both"/>
        <w:rPr>
          <w:rFonts w:eastAsia="Calibri"/>
        </w:rPr>
      </w:pPr>
    </w:p>
    <w:p w:rsidR="00F72EB2" w:rsidRPr="00C0700A" w:rsidRDefault="00F72EB2" w:rsidP="00C0700A">
      <w:pPr>
        <w:spacing w:line="276" w:lineRule="auto"/>
        <w:jc w:val="center"/>
        <w:rPr>
          <w:b/>
        </w:rPr>
      </w:pPr>
      <w:r w:rsidRPr="00C0700A">
        <w:rPr>
          <w:b/>
        </w:rPr>
        <w:t>Aprakstošā daļa</w:t>
      </w:r>
    </w:p>
    <w:p w:rsidR="00F72EB2" w:rsidRPr="00C0700A" w:rsidRDefault="00F72EB2" w:rsidP="00C0700A">
      <w:pPr>
        <w:spacing w:line="276" w:lineRule="auto"/>
        <w:jc w:val="both"/>
        <w:rPr>
          <w:iCs/>
        </w:rPr>
      </w:pPr>
    </w:p>
    <w:p w:rsidR="00C22C58" w:rsidRPr="00C0700A" w:rsidRDefault="00C22C58" w:rsidP="00C0700A">
      <w:pPr>
        <w:autoSpaceDE w:val="0"/>
        <w:autoSpaceDN w:val="0"/>
        <w:adjustRightInd w:val="0"/>
        <w:spacing w:line="276" w:lineRule="auto"/>
        <w:ind w:firstLine="720"/>
        <w:jc w:val="both"/>
        <w:rPr>
          <w:rFonts w:eastAsiaTheme="minorHAnsi"/>
        </w:rPr>
      </w:pPr>
      <w:r w:rsidRPr="00C0700A">
        <w:t>[1] Ar Valmieras rajona</w:t>
      </w:r>
      <w:r w:rsidRPr="00C0700A">
        <w:rPr>
          <w:rFonts w:eastAsiaTheme="minorHAnsi"/>
        </w:rPr>
        <w:t xml:space="preserve"> tiesas </w:t>
      </w:r>
      <w:proofErr w:type="gramStart"/>
      <w:r w:rsidRPr="00C0700A">
        <w:rPr>
          <w:rFonts w:eastAsiaTheme="minorHAnsi"/>
        </w:rPr>
        <w:t>2016.gada</w:t>
      </w:r>
      <w:proofErr w:type="gramEnd"/>
      <w:r w:rsidRPr="00C0700A">
        <w:rPr>
          <w:rFonts w:eastAsiaTheme="minorHAnsi"/>
        </w:rPr>
        <w:t xml:space="preserve"> 18.jūlija spriedumu</w:t>
      </w:r>
    </w:p>
    <w:p w:rsidR="00C22C58" w:rsidRPr="00C0700A" w:rsidRDefault="00F22C45" w:rsidP="00C0700A">
      <w:pPr>
        <w:autoSpaceDE w:val="0"/>
        <w:autoSpaceDN w:val="0"/>
        <w:adjustRightInd w:val="0"/>
        <w:spacing w:line="276" w:lineRule="auto"/>
        <w:ind w:firstLine="720"/>
        <w:jc w:val="both"/>
        <w:rPr>
          <w:rFonts w:eastAsiaTheme="minorHAnsi"/>
        </w:rPr>
      </w:pPr>
      <w:r>
        <w:rPr>
          <w:rFonts w:eastAsiaTheme="minorHAnsi"/>
        </w:rPr>
        <w:t>[pers. A]</w:t>
      </w:r>
      <w:r w:rsidR="00C22C58" w:rsidRPr="00C0700A">
        <w:rPr>
          <w:rFonts w:eastAsiaTheme="minorHAnsi"/>
          <w:bCs/>
        </w:rPr>
        <w:t xml:space="preserve">, personas kods </w:t>
      </w:r>
      <w:r>
        <w:rPr>
          <w:rFonts w:eastAsiaTheme="minorHAnsi"/>
        </w:rPr>
        <w:t>[..]</w:t>
      </w:r>
      <w:r w:rsidR="00C22C58" w:rsidRPr="00C0700A">
        <w:rPr>
          <w:rFonts w:eastAsiaTheme="minorHAnsi"/>
        </w:rPr>
        <w:t>,</w:t>
      </w:r>
    </w:p>
    <w:p w:rsidR="00C0700A" w:rsidRPr="00C0700A" w:rsidRDefault="00C22C58" w:rsidP="00C0700A">
      <w:pPr>
        <w:autoSpaceDE w:val="0"/>
        <w:autoSpaceDN w:val="0"/>
        <w:adjustRightInd w:val="0"/>
        <w:spacing w:line="276" w:lineRule="auto"/>
        <w:ind w:firstLine="720"/>
        <w:jc w:val="both"/>
      </w:pPr>
      <w:r w:rsidRPr="00C0700A">
        <w:t xml:space="preserve">atzīts par vainīgu Krimināllikuma </w:t>
      </w:r>
      <w:proofErr w:type="gramStart"/>
      <w:r w:rsidRPr="00C0700A">
        <w:t>17</w:t>
      </w:r>
      <w:r w:rsidR="00C0700A" w:rsidRPr="00C0700A">
        <w:t>5</w:t>
      </w:r>
      <w:r w:rsidRPr="00C0700A">
        <w:rPr>
          <w:rFonts w:eastAsiaTheme="minorHAnsi"/>
        </w:rPr>
        <w:t>.panta</w:t>
      </w:r>
      <w:proofErr w:type="gramEnd"/>
      <w:r w:rsidRPr="00C0700A">
        <w:rPr>
          <w:rFonts w:eastAsiaTheme="minorHAnsi"/>
        </w:rPr>
        <w:t xml:space="preserve"> </w:t>
      </w:r>
      <w:r w:rsidR="00C0700A" w:rsidRPr="00C0700A">
        <w:rPr>
          <w:rFonts w:eastAsiaTheme="minorHAnsi"/>
        </w:rPr>
        <w:t>trešajā</w:t>
      </w:r>
      <w:r w:rsidRPr="00C0700A">
        <w:t xml:space="preserve"> </w:t>
      </w:r>
      <w:r w:rsidR="00F80B51" w:rsidRPr="00C0700A">
        <w:t xml:space="preserve">daļā </w:t>
      </w:r>
      <w:r w:rsidRPr="00C0700A">
        <w:t>paredzētajā noziedzīgajā nodarījumā</w:t>
      </w:r>
      <w:r w:rsidR="00C0700A" w:rsidRPr="00C0700A">
        <w:t xml:space="preserve"> (noziedzīgais nodarījums izdarīts laikā no 2015.gada 27.novembra līdz 29.novembrim) </w:t>
      </w:r>
      <w:r w:rsidRPr="00C0700A">
        <w:t xml:space="preserve">un sodīts ar brīvības atņemšanu uz </w:t>
      </w:r>
      <w:r w:rsidR="00C0700A" w:rsidRPr="00C0700A">
        <w:t>3 gadiem;</w:t>
      </w:r>
    </w:p>
    <w:p w:rsidR="00C0700A" w:rsidRPr="00C0700A" w:rsidRDefault="00C0700A" w:rsidP="00C0700A">
      <w:pPr>
        <w:autoSpaceDE w:val="0"/>
        <w:autoSpaceDN w:val="0"/>
        <w:adjustRightInd w:val="0"/>
        <w:spacing w:line="276" w:lineRule="auto"/>
        <w:ind w:firstLine="720"/>
        <w:jc w:val="both"/>
      </w:pPr>
      <w:r w:rsidRPr="00C0700A">
        <w:t xml:space="preserve">atzīts par vainīgu Krimināllikuma </w:t>
      </w:r>
      <w:proofErr w:type="gramStart"/>
      <w:r w:rsidRPr="00C0700A">
        <w:t>175.panta</w:t>
      </w:r>
      <w:proofErr w:type="gramEnd"/>
      <w:r w:rsidRPr="00C0700A">
        <w:t xml:space="preserve"> trešajā daļā paredzētajā noziedzīgajā nodarījumā (noziedzīgais nodarījums izdarīts 2015.gada 10.decembrī) un sodīts ar brīvības atņemšanu uz 2 gadiem;</w:t>
      </w:r>
    </w:p>
    <w:p w:rsidR="00C0700A" w:rsidRPr="00C0700A" w:rsidRDefault="00C0700A" w:rsidP="00C0700A">
      <w:pPr>
        <w:autoSpaceDE w:val="0"/>
        <w:autoSpaceDN w:val="0"/>
        <w:adjustRightInd w:val="0"/>
        <w:spacing w:line="276" w:lineRule="auto"/>
        <w:ind w:firstLine="720"/>
        <w:jc w:val="both"/>
      </w:pPr>
      <w:r w:rsidRPr="00C0700A">
        <w:t xml:space="preserve">Saskaņā ar </w:t>
      </w:r>
      <w:r w:rsidRPr="00C0700A">
        <w:rPr>
          <w:bCs/>
          <w:iCs/>
        </w:rPr>
        <w:t xml:space="preserve">Krimināllikuma </w:t>
      </w:r>
      <w:proofErr w:type="gramStart"/>
      <w:r w:rsidRPr="00C0700A">
        <w:t>50.panta</w:t>
      </w:r>
      <w:proofErr w:type="gramEnd"/>
      <w:r w:rsidRPr="00C0700A">
        <w:t xml:space="preserve"> pirmo un trešo daļu galīgais sods </w:t>
      </w:r>
      <w:r w:rsidR="00F22C45">
        <w:t>[pers. A]</w:t>
      </w:r>
      <w:r w:rsidRPr="00C0700A">
        <w:t xml:space="preserve"> </w:t>
      </w:r>
      <w:proofErr w:type="gramStart"/>
      <w:r w:rsidRPr="00C0700A">
        <w:rPr>
          <w:rFonts w:eastAsiaTheme="minorHAnsi"/>
        </w:rPr>
        <w:t>noteikts</w:t>
      </w:r>
      <w:r w:rsidRPr="00C0700A">
        <w:t xml:space="preserve"> brīvības atņemšana uz 4 gadiem</w:t>
      </w:r>
      <w:proofErr w:type="gramEnd"/>
      <w:r w:rsidRPr="00C0700A">
        <w:t>.</w:t>
      </w:r>
    </w:p>
    <w:p w:rsidR="00C22C58" w:rsidRDefault="00C22C58" w:rsidP="00C22C58">
      <w:pPr>
        <w:autoSpaceDE w:val="0"/>
        <w:autoSpaceDN w:val="0"/>
        <w:adjustRightInd w:val="0"/>
        <w:spacing w:line="276" w:lineRule="auto"/>
        <w:ind w:firstLine="720"/>
        <w:jc w:val="both"/>
      </w:pPr>
    </w:p>
    <w:p w:rsidR="00121F5B" w:rsidRDefault="00C22C58" w:rsidP="00C22C58">
      <w:pPr>
        <w:autoSpaceDE w:val="0"/>
        <w:autoSpaceDN w:val="0"/>
        <w:adjustRightInd w:val="0"/>
        <w:spacing w:line="276" w:lineRule="auto"/>
        <w:ind w:firstLine="720"/>
        <w:jc w:val="both"/>
        <w:rPr>
          <w:rFonts w:eastAsiaTheme="minorHAnsi"/>
        </w:rPr>
      </w:pPr>
      <w:r>
        <w:t xml:space="preserve">[2] </w:t>
      </w:r>
      <w:r w:rsidRPr="00B450DC">
        <w:t>Ar</w:t>
      </w:r>
      <w:r w:rsidR="00121F5B" w:rsidRPr="00121F5B">
        <w:t xml:space="preserve"> </w:t>
      </w:r>
      <w:r w:rsidR="00121F5B" w:rsidRPr="00C0700A">
        <w:t>Valmieras rajona</w:t>
      </w:r>
      <w:r w:rsidR="00121F5B" w:rsidRPr="00C0700A">
        <w:rPr>
          <w:rFonts w:eastAsiaTheme="minorHAnsi"/>
        </w:rPr>
        <w:t xml:space="preserve"> tiesas </w:t>
      </w:r>
      <w:proofErr w:type="gramStart"/>
      <w:r w:rsidR="00121F5B" w:rsidRPr="00C0700A">
        <w:rPr>
          <w:rFonts w:eastAsiaTheme="minorHAnsi"/>
        </w:rPr>
        <w:t>2016.gada</w:t>
      </w:r>
      <w:proofErr w:type="gramEnd"/>
      <w:r w:rsidR="00121F5B" w:rsidRPr="00C0700A">
        <w:rPr>
          <w:rFonts w:eastAsiaTheme="minorHAnsi"/>
        </w:rPr>
        <w:t xml:space="preserve"> 18.jūlija spriedumu</w:t>
      </w:r>
      <w:r w:rsidR="00121F5B" w:rsidRPr="00121F5B">
        <w:t xml:space="preserve"> </w:t>
      </w:r>
      <w:r w:rsidR="00F22C45">
        <w:t>[pers. A]</w:t>
      </w:r>
      <w:r w:rsidR="00121F5B">
        <w:t xml:space="preserve"> </w:t>
      </w:r>
      <w:r w:rsidRPr="00B450DC">
        <w:t xml:space="preserve">atzīts par vainīgu </w:t>
      </w:r>
      <w:r w:rsidRPr="00F76933">
        <w:t xml:space="preserve">un sodīts pēc Krimināllikuma </w:t>
      </w:r>
      <w:proofErr w:type="gramStart"/>
      <w:r w:rsidRPr="00F76933">
        <w:t>17</w:t>
      </w:r>
      <w:r w:rsidR="00121F5B">
        <w:t>5</w:t>
      </w:r>
      <w:r w:rsidRPr="00F76933">
        <w:t>.panta</w:t>
      </w:r>
      <w:proofErr w:type="gramEnd"/>
      <w:r w:rsidRPr="00F76933">
        <w:t xml:space="preserve"> </w:t>
      </w:r>
      <w:r w:rsidR="00121F5B">
        <w:t xml:space="preserve">trešās daļas </w:t>
      </w:r>
      <w:r w:rsidRPr="00F76933">
        <w:rPr>
          <w:rFonts w:eastAsiaTheme="minorHAnsi"/>
        </w:rPr>
        <w:t xml:space="preserve">par </w:t>
      </w:r>
      <w:r w:rsidR="00121F5B">
        <w:rPr>
          <w:rFonts w:eastAsiaTheme="minorHAnsi"/>
        </w:rPr>
        <w:t xml:space="preserve">divu zādzību izdarīšanu, </w:t>
      </w:r>
      <w:r w:rsidR="00121F5B" w:rsidRPr="00F76933">
        <w:rPr>
          <w:rFonts w:eastAsiaTheme="minorHAnsi"/>
        </w:rPr>
        <w:t>iekļūstot dzīvoklī</w:t>
      </w:r>
      <w:r w:rsidR="00121F5B">
        <w:rPr>
          <w:rFonts w:eastAsiaTheme="minorHAnsi"/>
        </w:rPr>
        <w:t>.</w:t>
      </w:r>
    </w:p>
    <w:p w:rsidR="00121F5B" w:rsidRPr="005A4ABF" w:rsidRDefault="00121F5B" w:rsidP="00121F5B">
      <w:pPr>
        <w:autoSpaceDE w:val="0"/>
        <w:autoSpaceDN w:val="0"/>
        <w:adjustRightInd w:val="0"/>
        <w:spacing w:line="276" w:lineRule="auto"/>
        <w:ind w:firstLine="720"/>
        <w:jc w:val="both"/>
        <w:rPr>
          <w:rFonts w:eastAsiaTheme="minorHAnsi"/>
        </w:rPr>
      </w:pPr>
    </w:p>
    <w:p w:rsidR="00121F5B" w:rsidRPr="005A4ABF" w:rsidRDefault="00121F5B" w:rsidP="00121F5B">
      <w:pPr>
        <w:autoSpaceDE w:val="0"/>
        <w:autoSpaceDN w:val="0"/>
        <w:adjustRightInd w:val="0"/>
        <w:spacing w:line="276" w:lineRule="auto"/>
        <w:ind w:firstLine="720"/>
        <w:jc w:val="both"/>
        <w:rPr>
          <w:rFonts w:eastAsiaTheme="minorHAnsi"/>
        </w:rPr>
      </w:pPr>
      <w:r>
        <w:t>[</w:t>
      </w:r>
      <w:r w:rsidR="00720320">
        <w:t>3</w:t>
      </w:r>
      <w:r>
        <w:t xml:space="preserve">] </w:t>
      </w:r>
      <w:r w:rsidRPr="005A4ABF">
        <w:rPr>
          <w:rFonts w:eastAsiaTheme="minorHAnsi"/>
        </w:rPr>
        <w:t>Ar</w:t>
      </w:r>
      <w:r w:rsidRPr="00C0700A">
        <w:rPr>
          <w:rFonts w:eastAsiaTheme="minorHAnsi"/>
        </w:rPr>
        <w:t xml:space="preserve"> Vidzemes apgabaltiesas </w:t>
      </w:r>
      <w:proofErr w:type="gramStart"/>
      <w:r w:rsidRPr="00C0700A">
        <w:rPr>
          <w:rFonts w:eastAsiaTheme="minorHAnsi"/>
        </w:rPr>
        <w:t>2017.gada</w:t>
      </w:r>
      <w:proofErr w:type="gramEnd"/>
      <w:r w:rsidRPr="00C0700A">
        <w:rPr>
          <w:rFonts w:eastAsiaTheme="minorHAnsi"/>
        </w:rPr>
        <w:t xml:space="preserve"> 5.janvāra lēmumu</w:t>
      </w:r>
      <w:r w:rsidRPr="005A4ABF">
        <w:rPr>
          <w:rFonts w:eastAsiaTheme="minorHAnsi"/>
        </w:rPr>
        <w:t xml:space="preserve"> </w:t>
      </w:r>
      <w:r w:rsidRPr="00C0700A">
        <w:t>Valmieras rajona</w:t>
      </w:r>
      <w:r w:rsidRPr="00C0700A">
        <w:rPr>
          <w:rFonts w:eastAsiaTheme="minorHAnsi"/>
        </w:rPr>
        <w:t xml:space="preserve"> tiesas </w:t>
      </w:r>
      <w:proofErr w:type="gramStart"/>
      <w:r w:rsidRPr="00C0700A">
        <w:rPr>
          <w:rFonts w:eastAsiaTheme="minorHAnsi"/>
        </w:rPr>
        <w:t>2016.gada</w:t>
      </w:r>
      <w:proofErr w:type="gramEnd"/>
      <w:r w:rsidRPr="00C0700A">
        <w:rPr>
          <w:rFonts w:eastAsiaTheme="minorHAnsi"/>
        </w:rPr>
        <w:t xml:space="preserve"> 18.jūlija</w:t>
      </w:r>
      <w:r w:rsidRPr="00B450DC">
        <w:rPr>
          <w:rFonts w:eastAsiaTheme="minorHAnsi"/>
        </w:rPr>
        <w:t xml:space="preserve"> </w:t>
      </w:r>
      <w:r w:rsidRPr="005A4ABF">
        <w:rPr>
          <w:rFonts w:eastAsiaTheme="minorHAnsi"/>
        </w:rPr>
        <w:t>spriedums atstāts negrozīts.</w:t>
      </w:r>
    </w:p>
    <w:p w:rsidR="00C22C58" w:rsidRDefault="00C22C58" w:rsidP="00C22C58">
      <w:pPr>
        <w:spacing w:line="276" w:lineRule="auto"/>
        <w:ind w:firstLine="720"/>
        <w:jc w:val="both"/>
      </w:pPr>
    </w:p>
    <w:p w:rsidR="009455FF" w:rsidRDefault="009455FF" w:rsidP="009455FF">
      <w:pPr>
        <w:autoSpaceDE w:val="0"/>
        <w:autoSpaceDN w:val="0"/>
        <w:adjustRightInd w:val="0"/>
        <w:spacing w:line="276" w:lineRule="auto"/>
        <w:ind w:firstLine="720"/>
        <w:jc w:val="both"/>
      </w:pPr>
      <w:r>
        <w:t>[</w:t>
      </w:r>
      <w:r w:rsidR="00720320">
        <w:t>4</w:t>
      </w:r>
      <w:r>
        <w:t xml:space="preserve">] </w:t>
      </w:r>
      <w:r w:rsidRPr="005A4ABF">
        <w:t>Kasācijas sūdzību par šo lēmumu iesniedza apsūdzēt</w:t>
      </w:r>
      <w:r>
        <w:t>ais</w:t>
      </w:r>
      <w:r w:rsidRPr="00F76933">
        <w:t xml:space="preserve"> </w:t>
      </w:r>
      <w:r w:rsidR="00F22C45">
        <w:t>[pers. A]</w:t>
      </w:r>
      <w:r>
        <w:t>, lūdzot atcelt pirmās un apelācijas instances tiesas nolēmumus un nosūtīt lietu jaunai izskatīšanai pirmās instances tiesā.</w:t>
      </w:r>
    </w:p>
    <w:p w:rsidR="009455FF" w:rsidRDefault="009455FF" w:rsidP="009455FF">
      <w:pPr>
        <w:autoSpaceDE w:val="0"/>
        <w:autoSpaceDN w:val="0"/>
        <w:adjustRightInd w:val="0"/>
        <w:spacing w:line="276" w:lineRule="auto"/>
        <w:ind w:firstLine="720"/>
        <w:jc w:val="both"/>
      </w:pPr>
      <w:r>
        <w:t xml:space="preserve">Kasācijas sūdzības autora ieskatā, </w:t>
      </w:r>
      <w:r w:rsidR="00720320">
        <w:t xml:space="preserve">izskatot krimināllietu, </w:t>
      </w:r>
      <w:r>
        <w:t xml:space="preserve">ir pieļauts Kriminālprocesa likuma 194., </w:t>
      </w:r>
      <w:proofErr w:type="gramStart"/>
      <w:r>
        <w:t>195.panta</w:t>
      </w:r>
      <w:proofErr w:type="gramEnd"/>
      <w:r>
        <w:t xml:space="preserve"> pārkāpums,</w:t>
      </w:r>
      <w:r w:rsidR="00720320">
        <w:t xml:space="preserve"> kas atzīstams par Kriminālprocesa likuma </w:t>
      </w:r>
      <w:r w:rsidR="009A3E55">
        <w:t xml:space="preserve">būtisku </w:t>
      </w:r>
      <w:r w:rsidR="00720320">
        <w:lastRenderedPageBreak/>
        <w:t xml:space="preserve">pārkāpumu šā likuma 575.panta trešās daļas izpratnē, </w:t>
      </w:r>
      <w:r>
        <w:t xml:space="preserve">kā arī </w:t>
      </w:r>
      <w:r w:rsidR="009A3E55">
        <w:t xml:space="preserve">pieļauts </w:t>
      </w:r>
      <w:r>
        <w:t>Krimināllikuma 8.panta pārkāpums, jo lietā nav veikta tiesu psihiatriskā ekspertīze.</w:t>
      </w:r>
    </w:p>
    <w:p w:rsidR="009A3E55" w:rsidRDefault="009455FF" w:rsidP="009455FF">
      <w:pPr>
        <w:autoSpaceDE w:val="0"/>
        <w:autoSpaceDN w:val="0"/>
        <w:adjustRightInd w:val="0"/>
        <w:spacing w:line="276" w:lineRule="auto"/>
        <w:ind w:firstLine="720"/>
        <w:jc w:val="both"/>
      </w:pPr>
      <w:r>
        <w:t xml:space="preserve">Kasācijas sūdzībā apsūdzētais izklāsta </w:t>
      </w:r>
      <w:r w:rsidR="003D24E3">
        <w:t>informāciju</w:t>
      </w:r>
      <w:r>
        <w:t>, kas saistīt</w:t>
      </w:r>
      <w:r w:rsidR="003D24E3">
        <w:t>a</w:t>
      </w:r>
      <w:r>
        <w:t xml:space="preserve"> ar viņa </w:t>
      </w:r>
      <w:r w:rsidR="003D24E3">
        <w:t>psihiskās veselības problēmām un norāda, ka pirmst</w:t>
      </w:r>
      <w:r w:rsidR="002269F1">
        <w:t xml:space="preserve">iesas kriminālprocesā viņam, </w:t>
      </w:r>
      <w:r w:rsidR="00F22C45">
        <w:t>[pers. A]</w:t>
      </w:r>
      <w:r w:rsidR="002269F1">
        <w:t>,</w:t>
      </w:r>
      <w:r w:rsidR="003D24E3">
        <w:t xml:space="preserve"> bija no</w:t>
      </w:r>
      <w:r w:rsidR="002555B1">
        <w:t>teikta</w:t>
      </w:r>
      <w:r w:rsidR="003D24E3">
        <w:t xml:space="preserve"> ambulatorā tiesu psi</w:t>
      </w:r>
      <w:r>
        <w:t>h</w:t>
      </w:r>
      <w:r w:rsidR="002269F1">
        <w:t>iatriskā</w:t>
      </w:r>
      <w:r w:rsidR="00E91B84">
        <w:t xml:space="preserve"> ekspertīze</w:t>
      </w:r>
      <w:r w:rsidR="000019E2">
        <w:t xml:space="preserve">. Ekspertīzes laikā viņš, </w:t>
      </w:r>
      <w:proofErr w:type="gramStart"/>
      <w:r w:rsidR="00F22C45">
        <w:t>[</w:t>
      </w:r>
      <w:proofErr w:type="gramEnd"/>
      <w:r w:rsidR="00F22C45">
        <w:t>pers. A]</w:t>
      </w:r>
      <w:r w:rsidR="000019E2">
        <w:t xml:space="preserve">, nerunāja ar ekspertu, jo visu laiku klāt bija procesa virzītājs, ar kuru bija </w:t>
      </w:r>
      <w:r w:rsidR="00A248A5">
        <w:t>izveidojies konflikts</w:t>
      </w:r>
      <w:r w:rsidR="009A3E55">
        <w:t>.</w:t>
      </w:r>
    </w:p>
    <w:p w:rsidR="00A248A5" w:rsidRDefault="00A248A5" w:rsidP="009455FF">
      <w:pPr>
        <w:autoSpaceDE w:val="0"/>
        <w:autoSpaceDN w:val="0"/>
        <w:adjustRightInd w:val="0"/>
        <w:spacing w:line="276" w:lineRule="auto"/>
        <w:ind w:firstLine="720"/>
        <w:jc w:val="both"/>
      </w:pPr>
      <w:r>
        <w:t xml:space="preserve">Apsūdzētais </w:t>
      </w:r>
      <w:proofErr w:type="gramStart"/>
      <w:r w:rsidR="00F22C45">
        <w:t>[</w:t>
      </w:r>
      <w:proofErr w:type="gramEnd"/>
      <w:r w:rsidR="00F22C45">
        <w:t>pers. A]</w:t>
      </w:r>
      <w:r>
        <w:t xml:space="preserve"> norāda, ka gan pirmās instances tiesā, gan apelācijas instances tiesā viņš vairākkārt rakstīja iesniegumus, kur norādīja </w:t>
      </w:r>
      <w:r w:rsidR="00B03D3A">
        <w:t>uz</w:t>
      </w:r>
      <w:r>
        <w:t xml:space="preserve"> savas psihiskās veselības pasliktināšanos</w:t>
      </w:r>
      <w:r w:rsidR="009A3E55">
        <w:t>. A</w:t>
      </w:r>
      <w:r>
        <w:t>izstāve lū</w:t>
      </w:r>
      <w:r w:rsidR="009A3E55">
        <w:t>dza</w:t>
      </w:r>
      <w:r>
        <w:t xml:space="preserve"> tiesai no</w:t>
      </w:r>
      <w:r w:rsidR="002555B1">
        <w:t>teikt</w:t>
      </w:r>
      <w:r>
        <w:t xml:space="preserve"> tiesu psihiatrisko ekspertīzi, taču abu instanču tiesas ignorēj</w:t>
      </w:r>
      <w:r w:rsidR="009A3E55">
        <w:t>a</w:t>
      </w:r>
      <w:r>
        <w:t xml:space="preserve"> lietā esošos medicīnas dokumentus un </w:t>
      </w:r>
      <w:r w:rsidR="009A3E55">
        <w:t xml:space="preserve">nepamatoti </w:t>
      </w:r>
      <w:r>
        <w:t>noraidīja lūgumu par ekspertīzes no</w:t>
      </w:r>
      <w:r w:rsidR="00B03D3A">
        <w:t>teikšanu</w:t>
      </w:r>
      <w:r>
        <w:t>.</w:t>
      </w:r>
    </w:p>
    <w:p w:rsidR="00720320" w:rsidRDefault="00A248A5" w:rsidP="009455FF">
      <w:pPr>
        <w:autoSpaceDE w:val="0"/>
        <w:autoSpaceDN w:val="0"/>
        <w:adjustRightInd w:val="0"/>
        <w:spacing w:line="276" w:lineRule="auto"/>
        <w:ind w:firstLine="720"/>
        <w:jc w:val="both"/>
      </w:pPr>
      <w:r>
        <w:t xml:space="preserve">Apsūdzētā ieskatā, apelācijas instances tiesa pieļāva Kriminālprocesa likuma </w:t>
      </w:r>
      <w:proofErr w:type="gramStart"/>
      <w:r>
        <w:t>562.panta</w:t>
      </w:r>
      <w:proofErr w:type="gramEnd"/>
      <w:r w:rsidR="00720320">
        <w:t xml:space="preserve"> </w:t>
      </w:r>
      <w:r>
        <w:t>pirmās daļas, 511.panta otrās</w:t>
      </w:r>
      <w:r w:rsidR="00720320">
        <w:t xml:space="preserve"> </w:t>
      </w:r>
      <w:r>
        <w:t>daļas pārkāpumu, jo neizskatīja apelācijas sūdzību daļā, kurā bija lūgts</w:t>
      </w:r>
      <w:r w:rsidR="00720320">
        <w:t xml:space="preserve"> izvērtēt viņa psihiskās veselības stāvokli un </w:t>
      </w:r>
      <w:r w:rsidR="009A3E55">
        <w:t>neno</w:t>
      </w:r>
      <w:r w:rsidR="002555B1">
        <w:t>teica</w:t>
      </w:r>
      <w:r w:rsidR="00720320">
        <w:t xml:space="preserve"> stacionār</w:t>
      </w:r>
      <w:r w:rsidR="009A3E55">
        <w:t>o</w:t>
      </w:r>
      <w:r w:rsidR="00720320">
        <w:t xml:space="preserve"> tiesu psihiatrisk</w:t>
      </w:r>
      <w:r w:rsidR="009A3E55">
        <w:t xml:space="preserve">o </w:t>
      </w:r>
      <w:r w:rsidR="00720320">
        <w:t>ekspertīz</w:t>
      </w:r>
      <w:r w:rsidR="009A3E55">
        <w:t>i</w:t>
      </w:r>
      <w:r w:rsidR="00720320">
        <w:t xml:space="preserve">.  </w:t>
      </w:r>
    </w:p>
    <w:p w:rsidR="00720320" w:rsidRDefault="00720320" w:rsidP="009455FF">
      <w:pPr>
        <w:autoSpaceDE w:val="0"/>
        <w:autoSpaceDN w:val="0"/>
        <w:adjustRightInd w:val="0"/>
        <w:spacing w:line="276" w:lineRule="auto"/>
        <w:ind w:firstLine="720"/>
        <w:jc w:val="both"/>
      </w:pPr>
    </w:p>
    <w:p w:rsidR="00F72EB2" w:rsidRPr="00FD0503" w:rsidRDefault="00F72EB2" w:rsidP="00F72EB2">
      <w:pPr>
        <w:spacing w:line="276" w:lineRule="auto"/>
        <w:jc w:val="center"/>
        <w:rPr>
          <w:b/>
        </w:rPr>
      </w:pPr>
      <w:r>
        <w:rPr>
          <w:b/>
        </w:rPr>
        <w:t>Motīvu daļa</w:t>
      </w:r>
    </w:p>
    <w:p w:rsidR="00F72EB2" w:rsidRDefault="00F72EB2" w:rsidP="00F72EB2">
      <w:pPr>
        <w:spacing w:line="276" w:lineRule="auto"/>
        <w:ind w:firstLine="720"/>
        <w:jc w:val="both"/>
        <w:rPr>
          <w:rFonts w:ascii="TimesNewRomanPSMT" w:hAnsi="TimesNewRomanPSMT" w:cs="TimesNewRomanPSMT"/>
        </w:rPr>
      </w:pPr>
    </w:p>
    <w:p w:rsidR="00F72EB2" w:rsidRDefault="00F72EB2" w:rsidP="00F72EB2">
      <w:pPr>
        <w:spacing w:line="276" w:lineRule="auto"/>
        <w:ind w:firstLine="720"/>
        <w:jc w:val="both"/>
        <w:rPr>
          <w:rFonts w:ascii="TimesNewRomanPSMT" w:hAnsi="TimesNewRomanPSMT" w:cs="TimesNewRomanPSMT"/>
        </w:rPr>
      </w:pPr>
      <w:r>
        <w:t>[</w:t>
      </w:r>
      <w:r w:rsidR="00720320">
        <w:t>5</w:t>
      </w:r>
      <w:r>
        <w:t xml:space="preserve">] </w:t>
      </w:r>
      <w:r w:rsidRPr="008626ED">
        <w:rPr>
          <w:rFonts w:ascii="TimesNewRomanPSMT" w:hAnsi="TimesNewRomanPSMT" w:cs="TimesNewRomanPSMT"/>
        </w:rPr>
        <w:t xml:space="preserve">Augstākā tiesa atzīst, ka </w:t>
      </w:r>
      <w:r>
        <w:rPr>
          <w:rFonts w:ascii="TimesNewRomanPSMT" w:hAnsi="TimesNewRomanPSMT" w:cs="TimesNewRomanPSMT"/>
        </w:rPr>
        <w:t xml:space="preserve">Vidzemes apgabaltiesas </w:t>
      </w:r>
      <w:proofErr w:type="gramStart"/>
      <w:r>
        <w:rPr>
          <w:rFonts w:ascii="TimesNewRomanPSMT" w:hAnsi="TimesNewRomanPSMT" w:cs="TimesNewRomanPSMT"/>
        </w:rPr>
        <w:t>2017.gada</w:t>
      </w:r>
      <w:proofErr w:type="gramEnd"/>
      <w:r>
        <w:rPr>
          <w:rFonts w:ascii="TimesNewRomanPSMT" w:hAnsi="TimesNewRomanPSMT" w:cs="TimesNewRomanPSMT"/>
        </w:rPr>
        <w:t xml:space="preserve"> 5.janvāra lēmums</w:t>
      </w:r>
      <w:r w:rsidRPr="008626ED">
        <w:rPr>
          <w:rFonts w:ascii="TimesNewRomanPSMT" w:hAnsi="TimesNewRomanPSMT" w:cs="TimesNewRomanPSMT"/>
        </w:rPr>
        <w:t xml:space="preserve"> atceļams </w:t>
      </w:r>
      <w:r>
        <w:rPr>
          <w:rFonts w:ascii="TimesNewRomanPSMT" w:hAnsi="TimesNewRomanPSMT" w:cs="TimesNewRomanPSMT"/>
        </w:rPr>
        <w:t>un lieta nosūtāma jaunai izskatīšanai Vidzemes apgabaltiesā</w:t>
      </w:r>
      <w:r w:rsidRPr="008626ED">
        <w:rPr>
          <w:rFonts w:ascii="TimesNewRomanPSMT" w:hAnsi="TimesNewRomanPSMT" w:cs="TimesNewRomanPSMT"/>
        </w:rPr>
        <w:t>.</w:t>
      </w:r>
    </w:p>
    <w:p w:rsidR="0087712A" w:rsidRPr="008626ED" w:rsidRDefault="0087712A" w:rsidP="00F72EB2">
      <w:pPr>
        <w:spacing w:line="276" w:lineRule="auto"/>
        <w:ind w:firstLine="720"/>
        <w:jc w:val="both"/>
        <w:rPr>
          <w:rFonts w:ascii="TimesNewRomanPSMT" w:hAnsi="TimesNewRomanPSMT" w:cs="TimesNewRomanPSMT"/>
        </w:rPr>
      </w:pPr>
    </w:p>
    <w:p w:rsidR="00951826" w:rsidRDefault="00F72EB2" w:rsidP="00F72EB2">
      <w:pPr>
        <w:autoSpaceDE w:val="0"/>
        <w:autoSpaceDN w:val="0"/>
        <w:adjustRightInd w:val="0"/>
        <w:spacing w:line="276" w:lineRule="auto"/>
        <w:ind w:firstLine="720"/>
        <w:jc w:val="both"/>
        <w:rPr>
          <w:rFonts w:ascii="TimesNewRomanPSMT" w:hAnsi="TimesNewRomanPSMT" w:cs="TimesNewRomanPSMT"/>
        </w:rPr>
      </w:pPr>
      <w:r>
        <w:t>[</w:t>
      </w:r>
      <w:r w:rsidR="009A3E55">
        <w:t>5.1</w:t>
      </w:r>
      <w:r>
        <w:t xml:space="preserve">] </w:t>
      </w:r>
      <w:r>
        <w:rPr>
          <w:rFonts w:ascii="TimesNewRomanPSMT" w:hAnsi="TimesNewRomanPSMT" w:cs="TimesNewRomanPSMT"/>
        </w:rPr>
        <w:t>Kasācijas instances ti</w:t>
      </w:r>
      <w:r w:rsidRPr="008626ED">
        <w:rPr>
          <w:rFonts w:ascii="TimesNewRomanPSMT" w:hAnsi="TimesNewRomanPSMT" w:cs="TimesNewRomanPSMT"/>
        </w:rPr>
        <w:t>esa konstatē, ka</w:t>
      </w:r>
      <w:r>
        <w:rPr>
          <w:rFonts w:ascii="TimesNewRomanPSMT" w:hAnsi="TimesNewRomanPSMT" w:cs="TimesNewRomanPSMT"/>
        </w:rPr>
        <w:t xml:space="preserve"> pirmstiesas kriminālprocesā </w:t>
      </w:r>
      <w:proofErr w:type="gramStart"/>
      <w:r>
        <w:rPr>
          <w:rFonts w:ascii="TimesNewRomanPSMT" w:hAnsi="TimesNewRomanPSMT" w:cs="TimesNewRomanPSMT"/>
        </w:rPr>
        <w:t>2016.gada</w:t>
      </w:r>
      <w:proofErr w:type="gramEnd"/>
      <w:r>
        <w:rPr>
          <w:rFonts w:ascii="TimesNewRomanPSMT" w:hAnsi="TimesNewRomanPSMT" w:cs="TimesNewRomanPSMT"/>
        </w:rPr>
        <w:t xml:space="preserve"> 1.</w:t>
      </w:r>
      <w:r w:rsidR="009A3E55">
        <w:rPr>
          <w:rFonts w:ascii="TimesNewRomanPSMT" w:hAnsi="TimesNewRomanPSMT" w:cs="TimesNewRomanPSMT"/>
        </w:rPr>
        <w:t>februārī</w:t>
      </w:r>
      <w:r>
        <w:rPr>
          <w:rFonts w:ascii="TimesNewRomanPSMT" w:hAnsi="TimesNewRomanPSMT" w:cs="TimesNewRomanPSMT"/>
        </w:rPr>
        <w:t xml:space="preserve"> procesa virzītājs pieņēma lēmumu par ambulatorās tiesu psihiatriskās ekspertīzes noteikšanu aizdomās turētajam </w:t>
      </w:r>
      <w:r w:rsidR="00F22C45">
        <w:rPr>
          <w:rFonts w:ascii="TimesNewRomanPSMT" w:hAnsi="TimesNewRomanPSMT" w:cs="TimesNewRomanPSMT"/>
        </w:rPr>
        <w:t>[pers. A]</w:t>
      </w:r>
      <w:r>
        <w:rPr>
          <w:rFonts w:ascii="TimesNewRomanPSMT" w:hAnsi="TimesNewRomanPSMT" w:cs="TimesNewRomanPSMT"/>
        </w:rPr>
        <w:t xml:space="preserve"> (</w:t>
      </w:r>
      <w:r w:rsidRPr="00B03D3A">
        <w:rPr>
          <w:rFonts w:ascii="TimesNewRomanPSMT" w:hAnsi="TimesNewRomanPSMT" w:cs="TimesNewRomanPSMT"/>
          <w:i/>
        </w:rPr>
        <w:t xml:space="preserve">1.sējuma </w:t>
      </w:r>
      <w:proofErr w:type="gramStart"/>
      <w:r w:rsidRPr="00B03D3A">
        <w:rPr>
          <w:rFonts w:ascii="TimesNewRomanPSMT" w:hAnsi="TimesNewRomanPSMT" w:cs="TimesNewRomanPSMT"/>
          <w:i/>
        </w:rPr>
        <w:t>144.lapa</w:t>
      </w:r>
      <w:proofErr w:type="gramEnd"/>
      <w:r>
        <w:rPr>
          <w:rFonts w:ascii="TimesNewRomanPSMT" w:hAnsi="TimesNewRomanPSMT" w:cs="TimesNewRomanPSMT"/>
        </w:rPr>
        <w:t xml:space="preserve">). Lietā ir Strenču psihoneiroloģiskās slimnīcas izziņa par to, ka </w:t>
      </w:r>
      <w:proofErr w:type="gramStart"/>
      <w:r>
        <w:rPr>
          <w:rFonts w:ascii="TimesNewRomanPSMT" w:hAnsi="TimesNewRomanPSMT" w:cs="TimesNewRomanPSMT"/>
        </w:rPr>
        <w:t>2016.gada</w:t>
      </w:r>
      <w:proofErr w:type="gramEnd"/>
      <w:r>
        <w:rPr>
          <w:rFonts w:ascii="TimesNewRomanPSMT" w:hAnsi="TimesNewRomanPSMT" w:cs="TimesNewRomanPSMT"/>
        </w:rPr>
        <w:t xml:space="preserve"> 4.februārī uz ekspertīzi tika atvests </w:t>
      </w:r>
      <w:r w:rsidR="00F22C45">
        <w:rPr>
          <w:rFonts w:ascii="TimesNewRomanPSMT" w:hAnsi="TimesNewRomanPSMT" w:cs="TimesNewRomanPSMT"/>
        </w:rPr>
        <w:t>[pers. A]</w:t>
      </w:r>
      <w:r>
        <w:rPr>
          <w:rFonts w:ascii="TimesNewRomanPSMT" w:hAnsi="TimesNewRomanPSMT" w:cs="TimesNewRomanPSMT"/>
        </w:rPr>
        <w:t>, kurš visu ekspertīzes laiku klusēja, neatbildēja ne uz vienu jautājumu, tādēļ ekspertīzi nevarēja veikt. Ar procesa virzītāja</w:t>
      </w:r>
      <w:r w:rsidR="00B03D3A">
        <w:rPr>
          <w:rFonts w:ascii="TimesNewRomanPSMT" w:hAnsi="TimesNewRomanPSMT" w:cs="TimesNewRomanPSMT"/>
        </w:rPr>
        <w:t xml:space="preserve"> </w:t>
      </w:r>
      <w:proofErr w:type="gramStart"/>
      <w:r w:rsidR="00B03D3A">
        <w:rPr>
          <w:rFonts w:ascii="TimesNewRomanPSMT" w:hAnsi="TimesNewRomanPSMT" w:cs="TimesNewRomanPSMT"/>
        </w:rPr>
        <w:t>2016.gada</w:t>
      </w:r>
      <w:proofErr w:type="gramEnd"/>
      <w:r w:rsidR="00B03D3A">
        <w:rPr>
          <w:rFonts w:ascii="TimesNewRomanPSMT" w:hAnsi="TimesNewRomanPSMT" w:cs="TimesNewRomanPSMT"/>
        </w:rPr>
        <w:t xml:space="preserve"> 4.marta</w:t>
      </w:r>
      <w:r>
        <w:rPr>
          <w:rFonts w:ascii="TimesNewRomanPSMT" w:hAnsi="TimesNewRomanPSMT" w:cs="TimesNewRomanPSMT"/>
        </w:rPr>
        <w:t xml:space="preserve"> lēmumu kriminālprocess nosūtīts prokuroram kriminālvajāšanas uzsākšanai. Prokurore </w:t>
      </w:r>
      <w:r w:rsidR="00951826">
        <w:rPr>
          <w:rFonts w:ascii="TimesNewRomanPSMT" w:hAnsi="TimesNewRomanPSMT" w:cs="TimesNewRomanPSMT"/>
        </w:rPr>
        <w:t>V. </w:t>
      </w:r>
      <w:proofErr w:type="spellStart"/>
      <w:r w:rsidR="00951826">
        <w:rPr>
          <w:rFonts w:ascii="TimesNewRomanPSMT" w:hAnsi="TimesNewRomanPSMT" w:cs="TimesNewRomanPSMT"/>
        </w:rPr>
        <w:t>Žērbele</w:t>
      </w:r>
      <w:proofErr w:type="spellEnd"/>
      <w:r w:rsidR="00951826">
        <w:rPr>
          <w:rFonts w:ascii="TimesNewRomanPSMT" w:hAnsi="TimesNewRomanPSMT" w:cs="TimesNewRomanPSMT"/>
        </w:rPr>
        <w:t xml:space="preserve"> </w:t>
      </w:r>
      <w:proofErr w:type="gramStart"/>
      <w:r w:rsidR="00951826">
        <w:rPr>
          <w:rFonts w:ascii="TimesNewRomanPSMT" w:hAnsi="TimesNewRomanPSMT" w:cs="TimesNewRomanPSMT"/>
        </w:rPr>
        <w:t>2016.ga</w:t>
      </w:r>
      <w:r w:rsidR="009A3E55">
        <w:rPr>
          <w:rFonts w:ascii="TimesNewRomanPSMT" w:hAnsi="TimesNewRomanPSMT" w:cs="TimesNewRomanPSMT"/>
        </w:rPr>
        <w:t>da</w:t>
      </w:r>
      <w:proofErr w:type="gramEnd"/>
      <w:r w:rsidR="009A3E55">
        <w:rPr>
          <w:rFonts w:ascii="TimesNewRomanPSMT" w:hAnsi="TimesNewRomanPSMT" w:cs="TimesNewRomanPSMT"/>
        </w:rPr>
        <w:t xml:space="preserve"> 10.martā pieņēma lēmumu par </w:t>
      </w:r>
      <w:r w:rsidR="00F22C45">
        <w:rPr>
          <w:rFonts w:ascii="TimesNewRomanPSMT" w:hAnsi="TimesNewRomanPSMT" w:cs="TimesNewRomanPSMT"/>
        </w:rPr>
        <w:t>[pers. A]</w:t>
      </w:r>
      <w:r w:rsidR="00951826">
        <w:rPr>
          <w:rFonts w:ascii="TimesNewRomanPSMT" w:hAnsi="TimesNewRomanPSMT" w:cs="TimesNewRomanPSMT"/>
        </w:rPr>
        <w:t xml:space="preserve"> saukšanu pie kriminālatbildības, bet </w:t>
      </w:r>
      <w:proofErr w:type="gramStart"/>
      <w:r w:rsidR="00951826">
        <w:rPr>
          <w:rFonts w:ascii="TimesNewRomanPSMT" w:hAnsi="TimesNewRomanPSMT" w:cs="TimesNewRomanPSMT"/>
        </w:rPr>
        <w:t>2016.gada</w:t>
      </w:r>
      <w:proofErr w:type="gramEnd"/>
      <w:r w:rsidR="00951826">
        <w:rPr>
          <w:rFonts w:ascii="TimesNewRomanPSMT" w:hAnsi="TimesNewRomanPSMT" w:cs="TimesNewRomanPSMT"/>
        </w:rPr>
        <w:t xml:space="preserve"> 16.martā lieta nodota tiesai.</w:t>
      </w:r>
      <w:r w:rsidR="009A3E55">
        <w:rPr>
          <w:rFonts w:ascii="TimesNewRomanPSMT" w:hAnsi="TimesNewRomanPSMT" w:cs="TimesNewRomanPSMT"/>
        </w:rPr>
        <w:t xml:space="preserve"> </w:t>
      </w:r>
      <w:r w:rsidR="00951826">
        <w:rPr>
          <w:rFonts w:ascii="TimesNewRomanPSMT" w:hAnsi="TimesNewRomanPSMT" w:cs="TimesNewRomanPSMT"/>
        </w:rPr>
        <w:t>Pi</w:t>
      </w:r>
      <w:r w:rsidR="009A3E55">
        <w:rPr>
          <w:rFonts w:ascii="TimesNewRomanPSMT" w:hAnsi="TimesNewRomanPSMT" w:cs="TimesNewRomanPSMT"/>
        </w:rPr>
        <w:t xml:space="preserve">rmās instances tiesā apsūdzētā </w:t>
      </w:r>
      <w:proofErr w:type="gramStart"/>
      <w:r w:rsidR="00F22C45">
        <w:rPr>
          <w:rFonts w:ascii="TimesNewRomanPSMT" w:hAnsi="TimesNewRomanPSMT" w:cs="TimesNewRomanPSMT"/>
        </w:rPr>
        <w:t>[</w:t>
      </w:r>
      <w:proofErr w:type="gramEnd"/>
      <w:r w:rsidR="00F22C45">
        <w:rPr>
          <w:rFonts w:ascii="TimesNewRomanPSMT" w:hAnsi="TimesNewRomanPSMT" w:cs="TimesNewRomanPSMT"/>
        </w:rPr>
        <w:t>pers. A]</w:t>
      </w:r>
      <w:r w:rsidR="00951826">
        <w:rPr>
          <w:rFonts w:ascii="TimesNewRomanPSMT" w:hAnsi="TimesNewRomanPSMT" w:cs="TimesNewRomanPSMT"/>
        </w:rPr>
        <w:t xml:space="preserve"> aizstāve K. </w:t>
      </w:r>
      <w:proofErr w:type="spellStart"/>
      <w:r w:rsidR="00951826">
        <w:rPr>
          <w:rFonts w:ascii="TimesNewRomanPSMT" w:hAnsi="TimesNewRomanPSMT" w:cs="TimesNewRomanPSMT"/>
        </w:rPr>
        <w:t>Milberga</w:t>
      </w:r>
      <w:proofErr w:type="spellEnd"/>
      <w:r w:rsidR="00951826">
        <w:rPr>
          <w:rFonts w:ascii="TimesNewRomanPSMT" w:hAnsi="TimesNewRomanPSMT" w:cs="TimesNewRomanPSMT"/>
        </w:rPr>
        <w:t xml:space="preserve"> pieteica lūgumu par stacionārās tiesu psihiatriskās ekspe</w:t>
      </w:r>
      <w:r w:rsidR="009A3E55">
        <w:rPr>
          <w:rFonts w:ascii="TimesNewRomanPSMT" w:hAnsi="TimesNewRomanPSMT" w:cs="TimesNewRomanPSMT"/>
        </w:rPr>
        <w:t>rtīzes no</w:t>
      </w:r>
      <w:r w:rsidR="00B03D3A">
        <w:rPr>
          <w:rFonts w:ascii="TimesNewRomanPSMT" w:hAnsi="TimesNewRomanPSMT" w:cs="TimesNewRomanPSMT"/>
        </w:rPr>
        <w:t>teikšanu</w:t>
      </w:r>
      <w:r w:rsidR="009A3E55">
        <w:rPr>
          <w:rFonts w:ascii="TimesNewRomanPSMT" w:hAnsi="TimesNewRomanPSMT" w:cs="TimesNewRomanPSMT"/>
        </w:rPr>
        <w:t xml:space="preserve"> apsūdzētajam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sidR="00951826">
        <w:rPr>
          <w:rFonts w:ascii="TimesNewRomanPSMT" w:hAnsi="TimesNewRomanPSMT" w:cs="TimesNewRomanPSMT"/>
        </w:rPr>
        <w:t>. Ar tiesas lēmumu aizstāves lūgums noraidīts. Lietā taisīts notiesājošs spriedum</w:t>
      </w:r>
      <w:r w:rsidR="009A3E55">
        <w:rPr>
          <w:rFonts w:ascii="TimesNewRomanPSMT" w:hAnsi="TimesNewRomanPSMT" w:cs="TimesNewRomanPSMT"/>
        </w:rPr>
        <w:t xml:space="preserve">s, kuru pārsūdzēja apsūdzētais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sidR="00951826">
        <w:rPr>
          <w:rFonts w:ascii="TimesNewRomanPSMT" w:hAnsi="TimesNewRomanPSMT" w:cs="TimesNewRomanPSMT"/>
        </w:rPr>
        <w:t xml:space="preserve"> un viņa aizstāve K. </w:t>
      </w:r>
      <w:proofErr w:type="spellStart"/>
      <w:r w:rsidR="00951826">
        <w:rPr>
          <w:rFonts w:ascii="TimesNewRomanPSMT" w:hAnsi="TimesNewRomanPSMT" w:cs="TimesNewRomanPSMT"/>
        </w:rPr>
        <w:t>Milberga</w:t>
      </w:r>
      <w:proofErr w:type="spellEnd"/>
      <w:r w:rsidR="00951826">
        <w:rPr>
          <w:rFonts w:ascii="TimesNewRomanPSMT" w:hAnsi="TimesNewRomanPSMT" w:cs="TimesNewRomanPSMT"/>
        </w:rPr>
        <w:t>.</w:t>
      </w:r>
    </w:p>
    <w:p w:rsidR="0087712A" w:rsidRDefault="00951826" w:rsidP="0087712A">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Apelācijas instances tiesas lēmuma aprakstošajā daļā, izklāstot apsūdzētā</w:t>
      </w:r>
      <w:r w:rsidRPr="00951826">
        <w:rPr>
          <w:rFonts w:ascii="TimesNewRomanPSMT" w:hAnsi="TimesNewRomanPSMT" w:cs="TimesNewRomanPSMT"/>
        </w:rPr>
        <w:t xml:space="preserve">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apelācijas sūdzības saturu, t</w:t>
      </w:r>
      <w:r w:rsidR="00B03D3A">
        <w:rPr>
          <w:rFonts w:ascii="TimesNewRomanPSMT" w:hAnsi="TimesNewRomanPSMT" w:cs="TimesNewRomanPSMT"/>
        </w:rPr>
        <w:t>ostarp</w:t>
      </w:r>
      <w:r>
        <w:rPr>
          <w:rFonts w:ascii="TimesNewRomanPSMT" w:hAnsi="TimesNewRomanPSMT" w:cs="TimesNewRomanPSMT"/>
        </w:rPr>
        <w:t xml:space="preserve"> </w:t>
      </w:r>
      <w:r w:rsidR="009A3E55">
        <w:rPr>
          <w:rFonts w:ascii="TimesNewRomanPSMT" w:hAnsi="TimesNewRomanPSMT" w:cs="TimesNewRomanPSMT"/>
        </w:rPr>
        <w:t>norādīts</w:t>
      </w:r>
      <w:r>
        <w:rPr>
          <w:rFonts w:ascii="TimesNewRomanPSMT" w:hAnsi="TimesNewRomanPSMT" w:cs="TimesNewRomanPSMT"/>
        </w:rPr>
        <w:t xml:space="preserve">, ka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w:t>
      </w:r>
      <w:proofErr w:type="gramStart"/>
      <w:r w:rsidR="0087712A" w:rsidRPr="0087712A">
        <w:rPr>
          <w:rFonts w:ascii="TimesNewRomanPSMT" w:hAnsi="TimesNewRomanPSMT" w:cs="TimesNewRomanPSMT"/>
        </w:rPr>
        <w:t>2013.gadā</w:t>
      </w:r>
      <w:proofErr w:type="gramEnd"/>
      <w:r w:rsidR="0087712A" w:rsidRPr="0087712A">
        <w:rPr>
          <w:rFonts w:ascii="TimesNewRomanPSMT" w:hAnsi="TimesNewRomanPSMT" w:cs="TimesNewRomanPSMT"/>
        </w:rPr>
        <w:t xml:space="preserve"> veikta stacionārā tiesu psihiatriskā</w:t>
      </w:r>
      <w:r w:rsidR="0087712A">
        <w:rPr>
          <w:rFonts w:ascii="TimesNewRomanPSMT" w:hAnsi="TimesNewRomanPSMT" w:cs="TimesNewRomanPSMT"/>
        </w:rPr>
        <w:t xml:space="preserve"> </w:t>
      </w:r>
      <w:r w:rsidR="0087712A" w:rsidRPr="0087712A">
        <w:rPr>
          <w:rFonts w:ascii="TimesNewRomanPSMT" w:hAnsi="TimesNewRomanPSMT" w:cs="TimesNewRomanPSMT"/>
        </w:rPr>
        <w:t>ekspertīze, kurā konstatēta papildu psihiskās saslimšanas diagnoze. Minētā</w:t>
      </w:r>
      <w:r w:rsidR="0087712A">
        <w:rPr>
          <w:rFonts w:ascii="TimesNewRomanPSMT" w:hAnsi="TimesNewRomanPSMT" w:cs="TimesNewRomanPSMT"/>
        </w:rPr>
        <w:t xml:space="preserve"> </w:t>
      </w:r>
      <w:r w:rsidR="0087712A" w:rsidRPr="0087712A">
        <w:rPr>
          <w:rFonts w:ascii="TimesNewRomanPSMT" w:hAnsi="TimesNewRomanPSMT" w:cs="TimesNewRomanPSMT"/>
        </w:rPr>
        <w:t xml:space="preserve">diagnoze neesot norādīta kriminālprocesa </w:t>
      </w:r>
      <w:r w:rsidR="009A3E55">
        <w:rPr>
          <w:rFonts w:ascii="TimesNewRomanPSMT" w:hAnsi="TimesNewRomanPSMT" w:cs="TimesNewRomanPSMT"/>
        </w:rPr>
        <w:t>materiālos</w:t>
      </w:r>
      <w:r w:rsidR="0087712A" w:rsidRPr="0087712A">
        <w:rPr>
          <w:rFonts w:ascii="TimesNewRomanPSMT" w:hAnsi="TimesNewRomanPSMT" w:cs="TimesNewRomanPSMT"/>
        </w:rPr>
        <w:t xml:space="preserve">, bet tādas ziņas rakstveidā esot aizstāvei </w:t>
      </w:r>
      <w:proofErr w:type="spellStart"/>
      <w:r w:rsidR="0087712A" w:rsidRPr="0087712A">
        <w:rPr>
          <w:rFonts w:ascii="TimesNewRomanPSMT" w:hAnsi="TimesNewRomanPSMT" w:cs="TimesNewRomanPSMT"/>
        </w:rPr>
        <w:t>K.Milbergai</w:t>
      </w:r>
      <w:proofErr w:type="spellEnd"/>
      <w:r w:rsidR="0087712A" w:rsidRPr="0087712A">
        <w:rPr>
          <w:rFonts w:ascii="TimesNewRomanPSMT" w:hAnsi="TimesNewRomanPSMT" w:cs="TimesNewRomanPSMT"/>
        </w:rPr>
        <w:t>.</w:t>
      </w:r>
      <w:r w:rsidR="0087712A">
        <w:rPr>
          <w:rFonts w:ascii="TimesNewRomanPSMT" w:hAnsi="TimesNewRomanPSMT" w:cs="TimesNewRomanPSMT"/>
        </w:rPr>
        <w:t xml:space="preserve"> </w:t>
      </w:r>
      <w:r w:rsidR="0087712A" w:rsidRPr="0087712A">
        <w:rPr>
          <w:rFonts w:ascii="TimesNewRomanPSMT" w:hAnsi="TimesNewRomanPSMT" w:cs="TimesNewRomanPSMT"/>
        </w:rPr>
        <w:t xml:space="preserve">Pēc </w:t>
      </w:r>
      <w:r w:rsidR="009A3E55">
        <w:rPr>
          <w:rFonts w:ascii="TimesNewRomanPSMT" w:hAnsi="TimesNewRomanPSMT" w:cs="TimesNewRomanPSMT"/>
        </w:rPr>
        <w:t xml:space="preserve">šīs </w:t>
      </w:r>
      <w:r w:rsidR="0087712A" w:rsidRPr="0087712A">
        <w:rPr>
          <w:rFonts w:ascii="TimesNewRomanPSMT" w:hAnsi="TimesNewRomanPSMT" w:cs="TimesNewRomanPSMT"/>
        </w:rPr>
        <w:t>ekspertīzes apsūdzētais Valmieras cietumā regulāri apmeklējis</w:t>
      </w:r>
      <w:r w:rsidR="0087712A">
        <w:rPr>
          <w:rFonts w:ascii="TimesNewRomanPSMT" w:hAnsi="TimesNewRomanPSMT" w:cs="TimesNewRomanPSMT"/>
        </w:rPr>
        <w:t xml:space="preserve"> </w:t>
      </w:r>
      <w:r w:rsidR="0087712A" w:rsidRPr="0087712A">
        <w:rPr>
          <w:rFonts w:ascii="TimesNewRomanPSMT" w:hAnsi="TimesNewRomanPSMT" w:cs="TimesNewRomanPSMT"/>
        </w:rPr>
        <w:t xml:space="preserve">psihiatru, un viņam vairākkārt nozīmēta medikamentu terapija. </w:t>
      </w:r>
      <w:proofErr w:type="gramStart"/>
      <w:r w:rsidR="0087712A" w:rsidRPr="0087712A">
        <w:rPr>
          <w:rFonts w:ascii="TimesNewRomanPSMT" w:hAnsi="TimesNewRomanPSMT" w:cs="TimesNewRomanPSMT"/>
        </w:rPr>
        <w:t>2014.gadā</w:t>
      </w:r>
      <w:proofErr w:type="gramEnd"/>
      <w:r w:rsidR="0087712A" w:rsidRPr="0087712A">
        <w:rPr>
          <w:rFonts w:ascii="TimesNewRomanPSMT" w:hAnsi="TimesNewRomanPSMT" w:cs="TimesNewRomanPSMT"/>
        </w:rPr>
        <w:t xml:space="preserve"> Valmieras cietuma psihologs sastādījis ziņojumu par</w:t>
      </w:r>
      <w:r w:rsidR="0087712A">
        <w:rPr>
          <w:rFonts w:ascii="TimesNewRomanPSMT" w:hAnsi="TimesNewRomanPSMT" w:cs="TimesNewRomanPSMT"/>
        </w:rPr>
        <w:t xml:space="preserve"> </w:t>
      </w:r>
      <w:r w:rsidR="0087712A" w:rsidRPr="0087712A">
        <w:rPr>
          <w:rFonts w:ascii="TimesNewRomanPSMT" w:hAnsi="TimesNewRomanPSMT" w:cs="TimesNewRomanPSMT"/>
        </w:rPr>
        <w:t>suicīda risku, novērtējot to kā vidēju, bet atkārtotā psihologa novērtējumā</w:t>
      </w:r>
      <w:r w:rsidR="0087712A">
        <w:rPr>
          <w:rFonts w:ascii="TimesNewRomanPSMT" w:hAnsi="TimesNewRomanPSMT" w:cs="TimesNewRomanPSMT"/>
        </w:rPr>
        <w:t xml:space="preserve"> </w:t>
      </w:r>
      <w:r w:rsidR="0087712A" w:rsidRPr="0087712A">
        <w:rPr>
          <w:rFonts w:ascii="TimesNewRomanPSMT" w:hAnsi="TimesNewRomanPSMT" w:cs="TimesNewRomanPSMT"/>
        </w:rPr>
        <w:t>jau noteikta augsta suicīda riska pakāpe.</w:t>
      </w:r>
      <w:r w:rsidR="0087712A">
        <w:rPr>
          <w:rFonts w:ascii="TimesNewRomanPSMT" w:hAnsi="TimesNewRomanPSMT" w:cs="TimesNewRomanPSMT"/>
        </w:rPr>
        <w:t xml:space="preserve"> A</w:t>
      </w:r>
      <w:r w:rsidR="0087712A" w:rsidRPr="0087712A">
        <w:rPr>
          <w:rFonts w:ascii="TimesNewRomanPSMT" w:hAnsi="TimesNewRomanPSMT" w:cs="TimesNewRomanPSMT"/>
        </w:rPr>
        <w:t xml:space="preserve">pcietinājuma laikā pasliktinājusies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sidR="0087712A">
        <w:rPr>
          <w:rFonts w:ascii="TimesNewRomanPSMT" w:hAnsi="TimesNewRomanPSMT" w:cs="TimesNewRomanPSMT"/>
        </w:rPr>
        <w:t xml:space="preserve"> </w:t>
      </w:r>
      <w:r w:rsidR="0087712A" w:rsidRPr="0087712A">
        <w:rPr>
          <w:rFonts w:ascii="TimesNewRomanPSMT" w:hAnsi="TimesNewRomanPSMT" w:cs="TimesNewRomanPSMT"/>
        </w:rPr>
        <w:t>psihiskā veselība</w:t>
      </w:r>
      <w:r w:rsidR="009A3E55">
        <w:rPr>
          <w:rFonts w:ascii="TimesNewRomanPSMT" w:hAnsi="TimesNewRomanPSMT" w:cs="TimesNewRomanPSMT"/>
        </w:rPr>
        <w:t>, bet</w:t>
      </w:r>
      <w:r w:rsidR="0087712A" w:rsidRPr="0087712A">
        <w:rPr>
          <w:rFonts w:ascii="TimesNewRomanPSMT" w:hAnsi="TimesNewRomanPSMT" w:cs="TimesNewRomanPSMT"/>
        </w:rPr>
        <w:t xml:space="preserve"> Valmieras cietumā psihiatrs</w:t>
      </w:r>
      <w:r w:rsidR="0087712A">
        <w:rPr>
          <w:rFonts w:ascii="TimesNewRomanPSMT" w:hAnsi="TimesNewRomanPSMT" w:cs="TimesNewRomanPSMT"/>
        </w:rPr>
        <w:t xml:space="preserve"> nav </w:t>
      </w:r>
      <w:r w:rsidR="0087712A" w:rsidRPr="0087712A">
        <w:rPr>
          <w:rFonts w:ascii="TimesNewRomanPSMT" w:hAnsi="TimesNewRomanPSMT" w:cs="TimesNewRomanPSMT"/>
        </w:rPr>
        <w:t>pieejams</w:t>
      </w:r>
      <w:r w:rsidR="0087712A">
        <w:rPr>
          <w:rFonts w:ascii="TimesNewRomanPSMT" w:hAnsi="TimesNewRomanPSMT" w:cs="TimesNewRomanPSMT"/>
        </w:rPr>
        <w:t>.</w:t>
      </w:r>
    </w:p>
    <w:p w:rsidR="00951826" w:rsidRDefault="00951826" w:rsidP="00F72EB2">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Vidzemes apgabaltiesas lēmuma aprakstošajā daļā, izklāstot apsūdzētā</w:t>
      </w:r>
      <w:r w:rsidRPr="00951826">
        <w:rPr>
          <w:rFonts w:ascii="TimesNewRomanPSMT" w:hAnsi="TimesNewRomanPSMT" w:cs="TimesNewRomanPSMT"/>
        </w:rPr>
        <w:t xml:space="preserve">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aizstāves K. </w:t>
      </w:r>
      <w:proofErr w:type="spellStart"/>
      <w:r>
        <w:rPr>
          <w:rFonts w:ascii="TimesNewRomanPSMT" w:hAnsi="TimesNewRomanPSMT" w:cs="TimesNewRomanPSMT"/>
        </w:rPr>
        <w:t>Milbergas</w:t>
      </w:r>
      <w:proofErr w:type="spellEnd"/>
      <w:r>
        <w:rPr>
          <w:rFonts w:ascii="TimesNewRomanPSMT" w:hAnsi="TimesNewRomanPSMT" w:cs="TimesNewRomanPSMT"/>
        </w:rPr>
        <w:t xml:space="preserve"> apelācijas sūdzības saturu, t</w:t>
      </w:r>
      <w:r w:rsidR="00B03D3A">
        <w:rPr>
          <w:rFonts w:ascii="TimesNewRomanPSMT" w:hAnsi="TimesNewRomanPSMT" w:cs="TimesNewRomanPSMT"/>
        </w:rPr>
        <w:t>ostarp</w:t>
      </w:r>
      <w:r>
        <w:rPr>
          <w:rFonts w:ascii="TimesNewRomanPSMT" w:hAnsi="TimesNewRomanPSMT" w:cs="TimesNewRomanPSMT"/>
        </w:rPr>
        <w:t xml:space="preserve"> </w:t>
      </w:r>
      <w:r w:rsidR="009A3E55">
        <w:rPr>
          <w:rFonts w:ascii="TimesNewRomanPSMT" w:hAnsi="TimesNewRomanPSMT" w:cs="TimesNewRomanPSMT"/>
        </w:rPr>
        <w:t>norādīts</w:t>
      </w:r>
      <w:r>
        <w:rPr>
          <w:rFonts w:ascii="TimesNewRomanPSMT" w:hAnsi="TimesNewRomanPSMT" w:cs="TimesNewRomanPSMT"/>
        </w:rPr>
        <w:t xml:space="preserve"> lūgums no</w:t>
      </w:r>
      <w:r w:rsidR="002555B1">
        <w:rPr>
          <w:rFonts w:ascii="TimesNewRomanPSMT" w:hAnsi="TimesNewRomanPSMT" w:cs="TimesNewRomanPSMT"/>
        </w:rPr>
        <w:t>teik</w:t>
      </w:r>
      <w:r>
        <w:rPr>
          <w:rFonts w:ascii="TimesNewRomanPSMT" w:hAnsi="TimesNewRomanPSMT" w:cs="TimesNewRomanPSMT"/>
        </w:rPr>
        <w:t>t</w:t>
      </w:r>
      <w:r w:rsidR="0087712A" w:rsidRPr="0087712A">
        <w:rPr>
          <w:rFonts w:ascii="TimesNewRomanPSMT" w:hAnsi="TimesNewRomanPSMT" w:cs="TimesNewRomanPSMT"/>
        </w:rPr>
        <w:t xml:space="preserve">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sidR="0087712A">
        <w:rPr>
          <w:rFonts w:ascii="TimesNewRomanPSMT" w:hAnsi="TimesNewRomanPSMT" w:cs="TimesNewRomanPSMT"/>
        </w:rPr>
        <w:t xml:space="preserve"> </w:t>
      </w:r>
      <w:r>
        <w:rPr>
          <w:rFonts w:ascii="TimesNewRomanPSMT" w:hAnsi="TimesNewRomanPSMT" w:cs="TimesNewRomanPSMT"/>
        </w:rPr>
        <w:t>stacionāro tiesu psihiatrisko ekspertīzi.</w:t>
      </w:r>
    </w:p>
    <w:p w:rsidR="009A3E55" w:rsidRDefault="009A3E55" w:rsidP="00F72EB2">
      <w:pPr>
        <w:autoSpaceDE w:val="0"/>
        <w:autoSpaceDN w:val="0"/>
        <w:adjustRightInd w:val="0"/>
        <w:spacing w:line="276" w:lineRule="auto"/>
        <w:ind w:firstLine="720"/>
        <w:jc w:val="both"/>
        <w:rPr>
          <w:rFonts w:ascii="TimesNewRomanPSMT" w:hAnsi="TimesNewRomanPSMT" w:cs="TimesNewRomanPSMT"/>
        </w:rPr>
      </w:pPr>
    </w:p>
    <w:p w:rsidR="00951826" w:rsidRDefault="009A3E55" w:rsidP="00F72EB2">
      <w:pPr>
        <w:autoSpaceDE w:val="0"/>
        <w:autoSpaceDN w:val="0"/>
        <w:adjustRightInd w:val="0"/>
        <w:spacing w:line="276" w:lineRule="auto"/>
        <w:ind w:firstLine="720"/>
        <w:jc w:val="both"/>
        <w:rPr>
          <w:rFonts w:ascii="TimesNewRomanPSMT" w:hAnsi="TimesNewRomanPSMT" w:cs="TimesNewRomanPSMT"/>
        </w:rPr>
      </w:pPr>
      <w:r>
        <w:t xml:space="preserve">[5.2] </w:t>
      </w:r>
      <w:r w:rsidR="00951826">
        <w:rPr>
          <w:rFonts w:ascii="TimesNewRomanPSMT" w:hAnsi="TimesNewRomanPSMT" w:cs="TimesNewRomanPSMT"/>
        </w:rPr>
        <w:t xml:space="preserve">Krimināllikuma </w:t>
      </w:r>
      <w:proofErr w:type="gramStart"/>
      <w:r w:rsidR="00951826">
        <w:rPr>
          <w:rFonts w:ascii="TimesNewRomanPSMT" w:hAnsi="TimesNewRomanPSMT" w:cs="TimesNewRomanPSMT"/>
        </w:rPr>
        <w:t>1.panta</w:t>
      </w:r>
      <w:proofErr w:type="gramEnd"/>
      <w:r w:rsidR="00951826">
        <w:rPr>
          <w:rFonts w:ascii="TimesNewRomanPSMT" w:hAnsi="TimesNewRomanPSMT" w:cs="TimesNewRomanPSMT"/>
        </w:rPr>
        <w:t xml:space="preserve"> pirmā daļa noteic, ka p</w:t>
      </w:r>
      <w:r w:rsidR="00951826" w:rsidRPr="00951826">
        <w:rPr>
          <w:rFonts w:ascii="TimesNewRomanPSMT" w:hAnsi="TimesNewRomanPSMT" w:cs="TimesNewRomanPSMT"/>
        </w:rPr>
        <w:t>ie kriminālatbildības saucama un sodāma tikai tāda persona, kura ir vainīga noziedzīga nodarījuma izdarīšanā, tas ir, kura ar nodomu (tīši) vai aiz neuzmanības izdarījusi šajā likumā paredzētu nodarījumu, kam ir visas noziedzīga nodarījuma sastāva pazīmes.</w:t>
      </w:r>
    </w:p>
    <w:p w:rsidR="00951826" w:rsidRDefault="00951826" w:rsidP="00F72EB2">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Viena no noziedzīga nodarījuma sastāva obligātajām pazīmēm ir noziedzīg</w:t>
      </w:r>
      <w:r w:rsidR="002269F1">
        <w:rPr>
          <w:rFonts w:ascii="TimesNewRomanPSMT" w:hAnsi="TimesNewRomanPSMT" w:cs="TimesNewRomanPSMT"/>
        </w:rPr>
        <w:t>a</w:t>
      </w:r>
      <w:r>
        <w:rPr>
          <w:rFonts w:ascii="TimesNewRomanPSMT" w:hAnsi="TimesNewRomanPSMT" w:cs="TimesNewRomanPSMT"/>
        </w:rPr>
        <w:t xml:space="preserve"> nodarījuma subjekts.</w:t>
      </w:r>
    </w:p>
    <w:p w:rsidR="0087712A" w:rsidRPr="008A117C" w:rsidRDefault="00951826" w:rsidP="002269F1">
      <w:pPr>
        <w:autoSpaceDE w:val="0"/>
        <w:autoSpaceDN w:val="0"/>
        <w:adjustRightInd w:val="0"/>
        <w:spacing w:line="276" w:lineRule="auto"/>
        <w:ind w:firstLine="720"/>
        <w:jc w:val="both"/>
        <w:rPr>
          <w:i/>
        </w:rPr>
      </w:pPr>
      <w:r>
        <w:rPr>
          <w:rFonts w:ascii="TimesNewRomanPSMT" w:hAnsi="TimesNewRomanPSMT" w:cs="TimesNewRomanPSMT"/>
        </w:rPr>
        <w:t xml:space="preserve">Tiesību doktrīnā atzīts, ka </w:t>
      </w:r>
      <w:r w:rsidR="002269F1">
        <w:rPr>
          <w:rFonts w:ascii="TimesNewRomanPSMT" w:hAnsi="TimesNewRomanPSMT" w:cs="TimesNewRomanPSMT"/>
        </w:rPr>
        <w:t xml:space="preserve">noziedzīga nodarījuma subjekts ir prettiesisko darbību izdarījusī vai bezdarbību pieļāvusī fiziska un pieskaitāma persona, kas sasniegusi Krimināllikumā paredzētu vecumu, no kura iestājas kriminālatbildība, un līdz ar to viņu par izdarīto noziedzīgo nodarījumu ir pamats saukt pie kriminālatbildības. Par noziedzīga nodarījuma subjektu krimināltiesībās var būt vienīgi fiziska un pieskaitāma persona, jo tikai tāda persona spēj saprast savu darbību un to vadīt un līdz ar to atbildēt par savu rīcību </w:t>
      </w:r>
      <w:proofErr w:type="gramStart"/>
      <w:r w:rsidR="0087712A" w:rsidRPr="002269F1">
        <w:t>(</w:t>
      </w:r>
      <w:proofErr w:type="gramEnd"/>
      <w:r w:rsidR="0087712A" w:rsidRPr="001C5C0A">
        <w:rPr>
          <w:i/>
        </w:rPr>
        <w:t>skat.</w:t>
      </w:r>
      <w:r w:rsidR="0087712A">
        <w:t xml:space="preserve"> </w:t>
      </w:r>
      <w:r w:rsidR="0087712A" w:rsidRPr="008A117C">
        <w:rPr>
          <w:i/>
        </w:rPr>
        <w:t>Krastiņš</w:t>
      </w:r>
      <w:r w:rsidR="00DE35DA" w:rsidRPr="00DE35DA">
        <w:rPr>
          <w:i/>
        </w:rPr>
        <w:t xml:space="preserve"> </w:t>
      </w:r>
      <w:r w:rsidR="00DE35DA">
        <w:rPr>
          <w:i/>
        </w:rPr>
        <w:t>U</w:t>
      </w:r>
      <w:r w:rsidR="0087712A" w:rsidRPr="008A117C">
        <w:rPr>
          <w:i/>
        </w:rPr>
        <w:t xml:space="preserve">. </w:t>
      </w:r>
      <w:r w:rsidR="0087712A">
        <w:rPr>
          <w:i/>
        </w:rPr>
        <w:t xml:space="preserve">Noziedzīga nodarījuma sastāvs un nodarījuma kvalifikācija. Teorētiskie aspekti. </w:t>
      </w:r>
      <w:r w:rsidR="00F42450">
        <w:rPr>
          <w:i/>
          <w:iCs/>
        </w:rPr>
        <w:t xml:space="preserve">Rīga: </w:t>
      </w:r>
      <w:r w:rsidR="0087712A">
        <w:rPr>
          <w:i/>
        </w:rPr>
        <w:t>Tiesu namu aģentūra,</w:t>
      </w:r>
      <w:r w:rsidR="0087712A" w:rsidRPr="008A117C">
        <w:rPr>
          <w:i/>
        </w:rPr>
        <w:t xml:space="preserve"> </w:t>
      </w:r>
      <w:r w:rsidR="0087712A">
        <w:rPr>
          <w:i/>
        </w:rPr>
        <w:t>2014</w:t>
      </w:r>
      <w:r w:rsidR="0087712A" w:rsidRPr="008A117C">
        <w:rPr>
          <w:i/>
        </w:rPr>
        <w:t xml:space="preserve">, </w:t>
      </w:r>
      <w:r w:rsidR="0087712A">
        <w:rPr>
          <w:i/>
        </w:rPr>
        <w:t>108., 114</w:t>
      </w:r>
      <w:r w:rsidR="0087712A" w:rsidRPr="008A117C">
        <w:rPr>
          <w:i/>
        </w:rPr>
        <w:t>.lpp.</w:t>
      </w:r>
      <w:r w:rsidR="0087712A" w:rsidRPr="002269F1">
        <w:t>)</w:t>
      </w:r>
      <w:r w:rsidR="0087712A">
        <w:rPr>
          <w:i/>
        </w:rPr>
        <w:t>.</w:t>
      </w:r>
    </w:p>
    <w:p w:rsidR="00951826" w:rsidRDefault="00951826" w:rsidP="00F72EB2">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Krimināllikuma </w:t>
      </w:r>
      <w:proofErr w:type="gramStart"/>
      <w:r>
        <w:rPr>
          <w:rFonts w:ascii="TimesNewRomanPSMT" w:hAnsi="TimesNewRomanPSMT" w:cs="TimesNewRomanPSMT"/>
        </w:rPr>
        <w:t>13.panta</w:t>
      </w:r>
      <w:proofErr w:type="gramEnd"/>
      <w:r>
        <w:rPr>
          <w:rFonts w:ascii="TimesNewRomanPSMT" w:hAnsi="TimesNewRomanPSMT" w:cs="TimesNewRomanPSMT"/>
        </w:rPr>
        <w:t xml:space="preserve"> pirmā daļa noteic, ka</w:t>
      </w:r>
      <w:r w:rsidRPr="00951826">
        <w:rPr>
          <w:rFonts w:ascii="TimesNewRomanPSMT" w:hAnsi="TimesNewRomanPSMT" w:cs="TimesNewRomanPSMT"/>
        </w:rPr>
        <w:t xml:space="preserve"> </w:t>
      </w:r>
      <w:r>
        <w:rPr>
          <w:rFonts w:ascii="TimesNewRomanPSMT" w:hAnsi="TimesNewRomanPSMT" w:cs="TimesNewRomanPSMT"/>
        </w:rPr>
        <w:t>p</w:t>
      </w:r>
      <w:r w:rsidRPr="00951826">
        <w:rPr>
          <w:rFonts w:ascii="TimesNewRomanPSMT" w:hAnsi="TimesNewRomanPSMT" w:cs="TimesNewRomanPSMT"/>
        </w:rPr>
        <w:t>ie kriminālatbildības nav saucama persona, kas nodarījuma izdarīšanas laikā atradusies nepieskaitāmības stāvoklī, tas ir, psihisko traucējumu vai garīgās atpalicības dēļ nav varējusi saprast savu darbību vai to vadīt.</w:t>
      </w:r>
    </w:p>
    <w:p w:rsidR="00F42450" w:rsidRDefault="002269F1" w:rsidP="00F42450">
      <w:pPr>
        <w:pStyle w:val="tv213"/>
        <w:spacing w:before="0" w:after="0" w:line="276" w:lineRule="auto"/>
        <w:ind w:firstLine="720"/>
        <w:jc w:val="both"/>
        <w:rPr>
          <w:i/>
          <w:iCs/>
        </w:rPr>
      </w:pPr>
      <w:r>
        <w:rPr>
          <w:rFonts w:ascii="TimesNewRomanPSMT" w:hAnsi="TimesNewRomanPSMT" w:cs="TimesNewRomanPSMT"/>
        </w:rPr>
        <w:t>Jautājumu</w:t>
      </w:r>
      <w:r w:rsidR="003D7730">
        <w:rPr>
          <w:rFonts w:ascii="TimesNewRomanPSMT" w:hAnsi="TimesNewRomanPSMT" w:cs="TimesNewRomanPSMT"/>
        </w:rPr>
        <w:t xml:space="preserve"> par to, vai persona nodarījumu ir izdarījusi pieskaitāmības vai nepieskaitāmības stāvoklī, uz juridisko kritēriju pamata galīgi izlemj tiesa, pamatojoties uz tiesu psihiatriskās ekspertīzes atzinumu, kurā tiek norādīta personas psihiskās darbības traucējumu smaguma pakāpe un raksturs (medicīniskie kritēriji) </w:t>
      </w:r>
      <w:proofErr w:type="gramStart"/>
      <w:r w:rsidR="003D7730">
        <w:rPr>
          <w:rFonts w:ascii="TimesNewRomanPSMT" w:hAnsi="TimesNewRomanPSMT" w:cs="TimesNewRomanPSMT"/>
        </w:rPr>
        <w:t>(</w:t>
      </w:r>
      <w:proofErr w:type="gramEnd"/>
      <w:r w:rsidR="00F42450" w:rsidRPr="00802FF6">
        <w:rPr>
          <w:i/>
          <w:iCs/>
        </w:rPr>
        <w:t xml:space="preserve">skat. </w:t>
      </w:r>
      <w:r w:rsidR="00F42450" w:rsidRPr="00802FF6">
        <w:rPr>
          <w:i/>
        </w:rPr>
        <w:t>Krastiņš</w:t>
      </w:r>
      <w:r w:rsidR="00F42450">
        <w:rPr>
          <w:i/>
        </w:rPr>
        <w:t xml:space="preserve"> </w:t>
      </w:r>
      <w:r w:rsidR="00F42450" w:rsidRPr="00802FF6">
        <w:rPr>
          <w:i/>
        </w:rPr>
        <w:t xml:space="preserve">U., </w:t>
      </w:r>
      <w:proofErr w:type="spellStart"/>
      <w:r w:rsidR="00F42450" w:rsidRPr="00802FF6">
        <w:rPr>
          <w:i/>
        </w:rPr>
        <w:t>Liholaja</w:t>
      </w:r>
      <w:proofErr w:type="spellEnd"/>
      <w:r w:rsidR="00F42450" w:rsidRPr="00705C3D">
        <w:rPr>
          <w:i/>
        </w:rPr>
        <w:t xml:space="preserve"> </w:t>
      </w:r>
      <w:r w:rsidR="00F42450" w:rsidRPr="00802FF6">
        <w:rPr>
          <w:i/>
        </w:rPr>
        <w:t xml:space="preserve">V., </w:t>
      </w:r>
      <w:r w:rsidR="00F42450" w:rsidRPr="00802FF6">
        <w:rPr>
          <w:i/>
          <w:iCs/>
        </w:rPr>
        <w:t>Krimināllikuma komentār</w:t>
      </w:r>
      <w:r w:rsidR="00F42450">
        <w:rPr>
          <w:i/>
          <w:iCs/>
        </w:rPr>
        <w:t>i</w:t>
      </w:r>
      <w:r w:rsidR="00F42450" w:rsidRPr="00802FF6">
        <w:rPr>
          <w:i/>
          <w:iCs/>
        </w:rPr>
        <w:t xml:space="preserve">. </w:t>
      </w:r>
      <w:r w:rsidR="00F42450">
        <w:rPr>
          <w:i/>
          <w:iCs/>
        </w:rPr>
        <w:t>Pirmā</w:t>
      </w:r>
      <w:r w:rsidR="00F42450" w:rsidRPr="00802FF6">
        <w:rPr>
          <w:i/>
          <w:iCs/>
        </w:rPr>
        <w:t xml:space="preserve"> daļa. </w:t>
      </w:r>
      <w:r w:rsidR="00F42450">
        <w:rPr>
          <w:i/>
          <w:iCs/>
        </w:rPr>
        <w:t>Rīga: Tiesu namu aģentūra</w:t>
      </w:r>
      <w:r w:rsidR="00F42450" w:rsidRPr="00802FF6">
        <w:rPr>
          <w:i/>
          <w:iCs/>
        </w:rPr>
        <w:t>, 20</w:t>
      </w:r>
      <w:r w:rsidR="00F42450">
        <w:rPr>
          <w:i/>
          <w:iCs/>
        </w:rPr>
        <w:t>15, 83</w:t>
      </w:r>
      <w:r w:rsidR="00F42450" w:rsidRPr="00802FF6">
        <w:rPr>
          <w:i/>
          <w:iCs/>
        </w:rPr>
        <w:t>.lpp.</w:t>
      </w:r>
      <w:r w:rsidR="00F42450" w:rsidRPr="00F42450">
        <w:rPr>
          <w:iCs/>
        </w:rPr>
        <w:t>)</w:t>
      </w:r>
      <w:r w:rsidR="00F42450" w:rsidRPr="00802FF6">
        <w:rPr>
          <w:i/>
          <w:iCs/>
        </w:rPr>
        <w:t>.</w:t>
      </w:r>
    </w:p>
    <w:p w:rsidR="008065C6" w:rsidRDefault="008065C6" w:rsidP="00F72EB2">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Kriminālprocesa likuma </w:t>
      </w:r>
      <w:proofErr w:type="gramStart"/>
      <w:r>
        <w:rPr>
          <w:rFonts w:ascii="TimesNewRomanPSMT" w:hAnsi="TimesNewRomanPSMT" w:cs="TimesNewRomanPSMT"/>
        </w:rPr>
        <w:t>195.panta</w:t>
      </w:r>
      <w:proofErr w:type="gramEnd"/>
      <w:r>
        <w:rPr>
          <w:rFonts w:ascii="TimesNewRomanPSMT" w:hAnsi="TimesNewRomanPSMT" w:cs="TimesNewRomanPSMT"/>
        </w:rPr>
        <w:t xml:space="preserve"> 5.punkts noteic, ka e</w:t>
      </w:r>
      <w:r w:rsidRPr="008065C6">
        <w:rPr>
          <w:rFonts w:ascii="TimesNewRomanPSMT" w:hAnsi="TimesNewRomanPSMT" w:cs="TimesNewRomanPSMT"/>
        </w:rPr>
        <w:t>kspertīze ir obligāta, lai noteiktu</w:t>
      </w:r>
      <w:r>
        <w:rPr>
          <w:rFonts w:ascii="TimesNewRomanPSMT" w:hAnsi="TimesNewRomanPSMT" w:cs="TimesNewRomanPSMT"/>
        </w:rPr>
        <w:t xml:space="preserve"> </w:t>
      </w:r>
      <w:r w:rsidRPr="008065C6">
        <w:rPr>
          <w:rFonts w:ascii="TimesNewRomanPSMT" w:hAnsi="TimesNewRomanPSMT" w:cs="TimesNewRomanPSMT"/>
        </w:rPr>
        <w:t>aizdomās turētā vai apsūdzētā psihisko stāvokli vai tādas personas psihisko stāvokli, par kuru notiek tiesvedība medicīniska rakstura piespiedu līdzekļu noteikšanai, ja procesa virzītājam rodas pamatotas šaubas par attiecīgo personu pieskaitāmību</w:t>
      </w:r>
      <w:r>
        <w:rPr>
          <w:rFonts w:ascii="TimesNewRomanPSMT" w:hAnsi="TimesNewRomanPSMT" w:cs="TimesNewRomanPSMT"/>
        </w:rPr>
        <w:t>.</w:t>
      </w:r>
    </w:p>
    <w:p w:rsidR="009A3E55" w:rsidRDefault="009A3E55" w:rsidP="00F72EB2">
      <w:pPr>
        <w:autoSpaceDE w:val="0"/>
        <w:autoSpaceDN w:val="0"/>
        <w:adjustRightInd w:val="0"/>
        <w:spacing w:line="276" w:lineRule="auto"/>
        <w:ind w:firstLine="720"/>
        <w:jc w:val="both"/>
        <w:rPr>
          <w:rFonts w:ascii="TimesNewRomanPSMT" w:hAnsi="TimesNewRomanPSMT" w:cs="TimesNewRomanPSMT"/>
        </w:rPr>
      </w:pPr>
    </w:p>
    <w:p w:rsidR="009A3E55" w:rsidRDefault="009A3E55" w:rsidP="009A3E55">
      <w:pPr>
        <w:autoSpaceDE w:val="0"/>
        <w:autoSpaceDN w:val="0"/>
        <w:adjustRightInd w:val="0"/>
        <w:spacing w:line="276" w:lineRule="auto"/>
        <w:ind w:firstLine="720"/>
        <w:jc w:val="both"/>
        <w:rPr>
          <w:rFonts w:ascii="TimesNewRomanPSMT" w:hAnsi="TimesNewRomanPSMT" w:cs="TimesNewRomanPSMT"/>
        </w:rPr>
      </w:pPr>
      <w:r>
        <w:t xml:space="preserve">[5.3] </w:t>
      </w:r>
      <w:r>
        <w:rPr>
          <w:rFonts w:ascii="TimesNewRomanPSMT" w:hAnsi="TimesNewRomanPSMT" w:cs="TimesNewRomanPSMT"/>
        </w:rPr>
        <w:t xml:space="preserve">Augstākā tiesa konstatē, ka pirmstiesas kriminālprocesā procesa virzītājam radās pamatotas šaubas par </w:t>
      </w:r>
      <w:r w:rsidR="00BB45BA">
        <w:rPr>
          <w:rFonts w:ascii="TimesNewRomanPSMT" w:hAnsi="TimesNewRomanPSMT" w:cs="TimesNewRomanPSMT"/>
        </w:rPr>
        <w:t>[pers. A]</w:t>
      </w:r>
      <w:r>
        <w:rPr>
          <w:rFonts w:ascii="TimesNewRomanPSMT" w:hAnsi="TimesNewRomanPSMT" w:cs="TimesNewRomanPSMT"/>
        </w:rPr>
        <w:t xml:space="preserve"> psihisko stāvokli un viņš pieņēma lēmumu par ambulatorās tiesu psihiatriskās ekspertīzes no</w:t>
      </w:r>
      <w:r w:rsidR="00B03D3A">
        <w:rPr>
          <w:rFonts w:ascii="TimesNewRomanPSMT" w:hAnsi="TimesNewRomanPSMT" w:cs="TimesNewRomanPSMT"/>
        </w:rPr>
        <w:t>teikšanu</w:t>
      </w:r>
      <w:r>
        <w:rPr>
          <w:rFonts w:ascii="TimesNewRomanPSMT" w:hAnsi="TimesNewRomanPSMT" w:cs="TimesNewRomanPSMT"/>
        </w:rPr>
        <w:t>.</w:t>
      </w:r>
    </w:p>
    <w:p w:rsidR="008065C6" w:rsidRDefault="008065C6" w:rsidP="00F72EB2">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Kriminālprocesa likuma </w:t>
      </w:r>
      <w:proofErr w:type="gramStart"/>
      <w:r>
        <w:rPr>
          <w:rFonts w:ascii="TimesNewRomanPSMT" w:hAnsi="TimesNewRomanPSMT" w:cs="TimesNewRomanPSMT"/>
        </w:rPr>
        <w:t>205.pantā</w:t>
      </w:r>
      <w:proofErr w:type="gramEnd"/>
      <w:r>
        <w:rPr>
          <w:rFonts w:ascii="TimesNewRomanPSMT" w:hAnsi="TimesNewRomanPSMT" w:cs="TimesNewRomanPSMT"/>
        </w:rPr>
        <w:t xml:space="preserve"> norādīts, ka gadījumā, ja</w:t>
      </w:r>
      <w:r w:rsidRPr="008065C6">
        <w:rPr>
          <w:rFonts w:ascii="TimesNewRomanPSMT" w:hAnsi="TimesNewRomanPSMT" w:cs="TimesNewRomanPSMT"/>
        </w:rPr>
        <w:t xml:space="preserve"> pirms izpētes uzsākšanas eksperts pārliecinās, ka nevarēs atbildēt uz lēmumā uzdotajiem jautājumiem tādēļ, ka viņam nav attiecīgu speciālo zināšanu, attiecīgas izpētes metodikas vai izpētes objekti ir nepietiekami vai nekvalitatīvi, vai citu būtisku apstākļu dēļ, viņš par to raksta motivētu paziņojumu, kuru nodod procesa virzītājam.</w:t>
      </w:r>
    </w:p>
    <w:p w:rsidR="008065C6" w:rsidRDefault="008065C6" w:rsidP="00F72EB2">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Kasācijas instances tiesa konstatē, ka pirmstiesas kriminālprocesa virzītājam saskaņā ar Kriminālprocesa likuma </w:t>
      </w:r>
      <w:proofErr w:type="gramStart"/>
      <w:r>
        <w:rPr>
          <w:rFonts w:ascii="TimesNewRomanPSMT" w:hAnsi="TimesNewRomanPSMT" w:cs="TimesNewRomanPSMT"/>
        </w:rPr>
        <w:t>205.pantā</w:t>
      </w:r>
      <w:proofErr w:type="gramEnd"/>
      <w:r>
        <w:rPr>
          <w:rFonts w:ascii="TimesNewRomanPSMT" w:hAnsi="TimesNewRomanPSMT" w:cs="TimesNewRomanPSMT"/>
        </w:rPr>
        <w:t xml:space="preserve"> noteikto nosūtīts paziņojums par neiespējamību veikt ekspertīzi</w:t>
      </w:r>
      <w:r w:rsidR="009A3E55">
        <w:rPr>
          <w:rFonts w:ascii="TimesNewRomanPSMT" w:hAnsi="TimesNewRomanPSMT" w:cs="TimesNewRomanPSMT"/>
        </w:rPr>
        <w:t xml:space="preserve"> sakarā ar to, ka apsūdzētais </w:t>
      </w:r>
      <w:r w:rsidR="00BB45BA">
        <w:rPr>
          <w:rFonts w:ascii="TimesNewRomanPSMT" w:hAnsi="TimesNewRomanPSMT" w:cs="TimesNewRomanPSMT"/>
        </w:rPr>
        <w:t>[pers. A]</w:t>
      </w:r>
      <w:r w:rsidR="009A3E55">
        <w:rPr>
          <w:rFonts w:ascii="TimesNewRomanPSMT" w:hAnsi="TimesNewRomanPSMT" w:cs="TimesNewRomanPSMT"/>
        </w:rPr>
        <w:t xml:space="preserve"> neatbildēja uz eksperta uzdotajiem jautājumiem</w:t>
      </w:r>
      <w:r>
        <w:rPr>
          <w:rFonts w:ascii="TimesNewRomanPSMT" w:hAnsi="TimesNewRomanPSMT" w:cs="TimesNewRomanPSMT"/>
        </w:rPr>
        <w:t>.</w:t>
      </w:r>
    </w:p>
    <w:p w:rsidR="008065C6" w:rsidRDefault="008065C6" w:rsidP="008065C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Augstākā tiesa konstatē, ka pirmstiesas kriminālprocess pabeigts, nenoskaidrojot viena no noziedzīga nodarījuma sastāva obligāta elementa esību – noziedzīgā nodarījuma subjekta pieskaitāmību.</w:t>
      </w:r>
    </w:p>
    <w:p w:rsidR="008065C6" w:rsidRDefault="008065C6" w:rsidP="008065C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Kasācijas instances tiesas ieskatā, minēto nepilnību bija iespējams novērst</w:t>
      </w:r>
      <w:r w:rsidR="009A3E55">
        <w:rPr>
          <w:rFonts w:ascii="TimesNewRomanPSMT" w:hAnsi="TimesNewRomanPSMT" w:cs="TimesNewRomanPSMT"/>
        </w:rPr>
        <w:t xml:space="preserve"> jau pirmstiesas kriminālprocesā</w:t>
      </w:r>
      <w:r w:rsidR="0026111D">
        <w:rPr>
          <w:rFonts w:ascii="TimesNewRomanPSMT" w:hAnsi="TimesNewRomanPSMT" w:cs="TimesNewRomanPSMT"/>
        </w:rPr>
        <w:t>,</w:t>
      </w:r>
      <w:r w:rsidR="009A3E55">
        <w:rPr>
          <w:rFonts w:ascii="TimesNewRomanPSMT" w:hAnsi="TimesNewRomanPSMT" w:cs="TimesNewRomanPSMT"/>
        </w:rPr>
        <w:t xml:space="preserve"> no</w:t>
      </w:r>
      <w:r w:rsidR="00783F5D">
        <w:rPr>
          <w:rFonts w:ascii="TimesNewRomanPSMT" w:hAnsi="TimesNewRomanPSMT" w:cs="TimesNewRomanPSMT"/>
        </w:rPr>
        <w:t>sakot</w:t>
      </w:r>
      <w:r w:rsidR="009A3E55">
        <w:rPr>
          <w:rFonts w:ascii="TimesNewRomanPSMT" w:hAnsi="TimesNewRomanPSMT" w:cs="TimesNewRomanPSMT"/>
        </w:rPr>
        <w:t xml:space="preserve"> stacionāro tiesu psihiatrisko ekspertīzi. Tā kā norādītā nepilnība pirmstiesas kriminālprocesā nebija novērsta, to vajadzēja izdarīt</w:t>
      </w:r>
      <w:r w:rsidR="0026111D">
        <w:rPr>
          <w:rFonts w:ascii="TimesNewRomanPSMT" w:hAnsi="TimesNewRomanPSMT" w:cs="TimesNewRomanPSMT"/>
        </w:rPr>
        <w:t xml:space="preserve">, </w:t>
      </w:r>
      <w:r>
        <w:rPr>
          <w:rFonts w:ascii="TimesNewRomanPSMT" w:hAnsi="TimesNewRomanPSMT" w:cs="TimesNewRomanPSMT"/>
        </w:rPr>
        <w:t>no</w:t>
      </w:r>
      <w:r w:rsidR="00783F5D">
        <w:rPr>
          <w:rFonts w:ascii="TimesNewRomanPSMT" w:hAnsi="TimesNewRomanPSMT" w:cs="TimesNewRomanPSMT"/>
        </w:rPr>
        <w:t>sakot</w:t>
      </w:r>
      <w:r>
        <w:rPr>
          <w:rFonts w:ascii="TimesNewRomanPSMT" w:hAnsi="TimesNewRomanPSMT" w:cs="TimesNewRomanPSMT"/>
        </w:rPr>
        <w:t xml:space="preserve"> tiesu </w:t>
      </w:r>
      <w:r>
        <w:rPr>
          <w:rFonts w:ascii="TimesNewRomanPSMT" w:hAnsi="TimesNewRomanPSMT" w:cs="TimesNewRomanPSMT"/>
        </w:rPr>
        <w:lastRenderedPageBreak/>
        <w:t>psihiatrisko ekspertīzi ar pirmās instances vai apelācijas instances tiesas lēmumu, ņemot vērā aizstāves pieteikto lūgumu.</w:t>
      </w:r>
    </w:p>
    <w:p w:rsidR="009A3E55" w:rsidRDefault="009A3E55" w:rsidP="008065C6">
      <w:pPr>
        <w:autoSpaceDE w:val="0"/>
        <w:autoSpaceDN w:val="0"/>
        <w:adjustRightInd w:val="0"/>
        <w:spacing w:line="276" w:lineRule="auto"/>
        <w:ind w:firstLine="720"/>
        <w:jc w:val="both"/>
        <w:rPr>
          <w:rFonts w:ascii="TimesNewRomanPSMT" w:hAnsi="TimesNewRomanPSMT" w:cs="TimesNewRomanPSMT"/>
        </w:rPr>
      </w:pPr>
    </w:p>
    <w:p w:rsidR="008065C6" w:rsidRDefault="009A3E55" w:rsidP="008065C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[5.4] </w:t>
      </w:r>
      <w:r w:rsidR="008065C6">
        <w:rPr>
          <w:rFonts w:ascii="TimesNewRomanPSMT" w:hAnsi="TimesNewRomanPSMT" w:cs="TimesNewRomanPSMT"/>
        </w:rPr>
        <w:t xml:space="preserve">Kriminālprocesa likuma </w:t>
      </w:r>
      <w:proofErr w:type="gramStart"/>
      <w:r w:rsidR="008065C6">
        <w:rPr>
          <w:rFonts w:ascii="TimesNewRomanPSMT" w:hAnsi="TimesNewRomanPSMT" w:cs="TimesNewRomanPSMT"/>
        </w:rPr>
        <w:t>511.panta</w:t>
      </w:r>
      <w:proofErr w:type="gramEnd"/>
      <w:r w:rsidR="008065C6">
        <w:rPr>
          <w:rFonts w:ascii="TimesNewRomanPSMT" w:hAnsi="TimesNewRomanPSMT" w:cs="TimesNewRomanPSMT"/>
        </w:rPr>
        <w:t xml:space="preserve"> otrā daļa noteic, ka tiesas s</w:t>
      </w:r>
      <w:r w:rsidR="008065C6" w:rsidRPr="008065C6">
        <w:rPr>
          <w:rFonts w:ascii="TimesNewRomanPSMT" w:hAnsi="TimesNewRomanPSMT" w:cs="TimesNewRomanPSMT"/>
        </w:rPr>
        <w:t>priedumam jābūt tiesiskam un pamatotam.</w:t>
      </w:r>
      <w:r>
        <w:rPr>
          <w:rFonts w:ascii="TimesNewRomanPSMT" w:hAnsi="TimesNewRomanPSMT" w:cs="TimesNewRomanPSMT"/>
        </w:rPr>
        <w:t xml:space="preserve"> </w:t>
      </w:r>
      <w:r w:rsidR="008065C6">
        <w:rPr>
          <w:rFonts w:ascii="TimesNewRomanPSMT" w:hAnsi="TimesNewRomanPSMT" w:cs="TimesNewRomanPSMT"/>
        </w:rPr>
        <w:t xml:space="preserve">Kriminālprocesa likuma </w:t>
      </w:r>
      <w:proofErr w:type="gramStart"/>
      <w:r w:rsidR="008065C6">
        <w:rPr>
          <w:rFonts w:ascii="TimesNewRomanPSMT" w:hAnsi="TimesNewRomanPSMT" w:cs="TimesNewRomanPSMT"/>
        </w:rPr>
        <w:t>512.panta</w:t>
      </w:r>
      <w:proofErr w:type="gramEnd"/>
      <w:r w:rsidR="008065C6">
        <w:rPr>
          <w:rFonts w:ascii="TimesNewRomanPSMT" w:hAnsi="TimesNewRomanPSMT" w:cs="TimesNewRomanPSMT"/>
        </w:rPr>
        <w:t xml:space="preserve"> pirmajā daļā norādīts, ka t</w:t>
      </w:r>
      <w:r w:rsidR="008065C6" w:rsidRPr="008065C6">
        <w:rPr>
          <w:rFonts w:ascii="TimesNewRomanPSMT" w:hAnsi="TimesNewRomanPSMT" w:cs="TimesNewRomanPSMT"/>
        </w:rPr>
        <w:t>iesa, taisot spriedumu, pamatojas uz materiālo un procesuālo tiesību normām</w:t>
      </w:r>
      <w:r w:rsidR="008065C6">
        <w:rPr>
          <w:rFonts w:ascii="TimesNewRomanPSMT" w:hAnsi="TimesNewRomanPSMT" w:cs="TimesNewRomanPSMT"/>
        </w:rPr>
        <w:t>, bet šā panta otrā daļa noteic, ka t</w:t>
      </w:r>
      <w:r w:rsidR="008065C6" w:rsidRPr="008065C6">
        <w:rPr>
          <w:rFonts w:ascii="TimesNewRomanPSMT" w:hAnsi="TimesNewRomanPSMT" w:cs="TimesNewRomanPSMT"/>
        </w:rPr>
        <w:t>iesa spriedumu pamato ar pierādījumiem, kuri pārbaudīti tiesas sēdē, un rakstveida pierādījumiem un dokumentiem, kuri norādīti lēmumā par krimināllietas nodošanu tiesai, vai ar pierādījumiem, kurus saskaņā ar šā likuma 125.panta noteikumiem nav nepieciešams pārbaudīt.</w:t>
      </w:r>
    </w:p>
    <w:p w:rsidR="00D41C46" w:rsidRPr="008065C6" w:rsidRDefault="00D41C46" w:rsidP="008065C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Kriminālprocesa likuma </w:t>
      </w:r>
      <w:proofErr w:type="gramStart"/>
      <w:r>
        <w:rPr>
          <w:rFonts w:ascii="TimesNewRomanPSMT" w:hAnsi="TimesNewRomanPSMT" w:cs="TimesNewRomanPSMT"/>
        </w:rPr>
        <w:t>15.pantā</w:t>
      </w:r>
      <w:proofErr w:type="gramEnd"/>
      <w:r>
        <w:rPr>
          <w:rFonts w:ascii="TimesNewRomanPSMT" w:hAnsi="TimesNewRomanPSMT" w:cs="TimesNewRomanPSMT"/>
        </w:rPr>
        <w:t xml:space="preserve"> norādīts, ka i</w:t>
      </w:r>
      <w:r w:rsidRPr="00D41C46">
        <w:rPr>
          <w:rFonts w:ascii="TimesNewRomanPSMT" w:hAnsi="TimesNewRomanPSMT" w:cs="TimesNewRomanPSMT"/>
        </w:rPr>
        <w:t>kvienam ir tiesības uz lietas izskatīšanu taisnīgā, objektīvā un neatkarīgā tiesā.</w:t>
      </w:r>
    </w:p>
    <w:p w:rsidR="00D41C46" w:rsidRDefault="00D41C46" w:rsidP="00D41C4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Augstākā tiesa konstatē, ka lietā ir dokumenti, kuri norāda uz iespējamām </w:t>
      </w:r>
      <w:r w:rsidR="00AA2E68">
        <w:rPr>
          <w:rFonts w:ascii="TimesNewRomanPSMT" w:hAnsi="TimesNewRomanPSMT" w:cs="TimesNewRomanPSMT"/>
        </w:rPr>
        <w:t xml:space="preserve">pamatotām šaubām par apsūdzētā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psihisko stāvokli, tādēļ pirmstiesas kriminālprocesā procesa virzītāja – policijas inspektora – pieņemto lēmumu par ambulatorās tiesu psihiatriskās ekspertīzes no</w:t>
      </w:r>
      <w:r w:rsidR="002555B1">
        <w:rPr>
          <w:rFonts w:ascii="TimesNewRomanPSMT" w:hAnsi="TimesNewRomanPSMT" w:cs="TimesNewRomanPSMT"/>
        </w:rPr>
        <w:t>teikšanu</w:t>
      </w:r>
      <w:r>
        <w:rPr>
          <w:rFonts w:ascii="TimesNewRomanPSMT" w:hAnsi="TimesNewRomanPSMT" w:cs="TimesNewRomanPSMT"/>
        </w:rPr>
        <w:t xml:space="preserve"> nevar atzīt par pilnībā nepamatotu. Turklāt šāds policijas inspektora lēmums pirmstiesas kriminālprocesā nav atcelts.</w:t>
      </w:r>
    </w:p>
    <w:p w:rsidR="0026111D" w:rsidRDefault="0026111D" w:rsidP="00D41C4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Kasācijas instances tiesa atzīst, ka apelācijas instances tiesas </w:t>
      </w:r>
      <w:r w:rsidR="00B82854">
        <w:rPr>
          <w:rFonts w:ascii="TimesNewRomanPSMT" w:hAnsi="TimesNewRomanPSMT" w:cs="TimesNewRomanPSMT"/>
        </w:rPr>
        <w:t>lēmumā</w:t>
      </w:r>
      <w:r>
        <w:rPr>
          <w:rFonts w:ascii="TimesNewRomanPSMT" w:hAnsi="TimesNewRomanPSMT" w:cs="TimesNewRomanPSMT"/>
        </w:rPr>
        <w:t xml:space="preserve"> izteiktā atziņa, ka „Vidzemes apgabaltiesai nerodas šaubas par apsūdzētā psihiskās veselības stāvokli” nav </w:t>
      </w:r>
      <w:r w:rsidR="00783F5D">
        <w:rPr>
          <w:rFonts w:ascii="TimesNewRomanPSMT" w:hAnsi="TimesNewRomanPSMT" w:cs="TimesNewRomanPSMT"/>
        </w:rPr>
        <w:t>motivēta atbilstoši</w:t>
      </w:r>
      <w:r>
        <w:rPr>
          <w:rFonts w:ascii="TimesNewRomanPSMT" w:hAnsi="TimesNewRomanPSMT" w:cs="TimesNewRomanPSMT"/>
        </w:rPr>
        <w:t xml:space="preserve"> Kriminālprocesa likuma </w:t>
      </w:r>
      <w:proofErr w:type="gramStart"/>
      <w:r>
        <w:rPr>
          <w:rFonts w:ascii="TimesNewRomanPSMT" w:hAnsi="TimesNewRomanPSMT" w:cs="TimesNewRomanPSMT"/>
        </w:rPr>
        <w:t>512.panta</w:t>
      </w:r>
      <w:proofErr w:type="gramEnd"/>
      <w:r>
        <w:rPr>
          <w:rFonts w:ascii="TimesNewRomanPSMT" w:hAnsi="TimesNewRomanPSMT" w:cs="TimesNewRomanPSMT"/>
        </w:rPr>
        <w:t xml:space="preserve"> otrajā daļā</w:t>
      </w:r>
      <w:r w:rsidR="00783F5D">
        <w:rPr>
          <w:rFonts w:ascii="TimesNewRomanPSMT" w:hAnsi="TimesNewRomanPSMT" w:cs="TimesNewRomanPSMT"/>
        </w:rPr>
        <w:t xml:space="preserve"> un 564.panta ceturtajā daļā</w:t>
      </w:r>
      <w:r>
        <w:rPr>
          <w:rFonts w:ascii="TimesNewRomanPSMT" w:hAnsi="TimesNewRomanPSMT" w:cs="TimesNewRomanPSMT"/>
        </w:rPr>
        <w:t xml:space="preserve"> noteikt</w:t>
      </w:r>
      <w:r w:rsidR="00783F5D">
        <w:rPr>
          <w:rFonts w:ascii="TimesNewRomanPSMT" w:hAnsi="TimesNewRomanPSMT" w:cs="TimesNewRomanPSMT"/>
        </w:rPr>
        <w:t>ajam</w:t>
      </w:r>
      <w:r>
        <w:rPr>
          <w:rFonts w:ascii="TimesNewRomanPSMT" w:hAnsi="TimesNewRomanPSMT" w:cs="TimesNewRomanPSMT"/>
        </w:rPr>
        <w:t>.</w:t>
      </w:r>
    </w:p>
    <w:p w:rsidR="00D41C46" w:rsidRDefault="00D41C46" w:rsidP="00D41C46">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 xml:space="preserve">Tas apstāklis, ka apsūdzētais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tobrīd atteicās runāt ar ekspertu, nevar būt par pamatu tiesu psihiatriskās ekspertīzes neveikšanai vispār, jo stacionārā tiesu psihiatriskā ekspertīze sniegtu atbildes uz procesa virzītāja uzdotajiem jautājumiem.</w:t>
      </w:r>
    </w:p>
    <w:p w:rsidR="00D41C46" w:rsidRDefault="00D41C46" w:rsidP="00E86787">
      <w:pPr>
        <w:autoSpaceDE w:val="0"/>
        <w:autoSpaceDN w:val="0"/>
        <w:adjustRightInd w:val="0"/>
        <w:spacing w:line="276" w:lineRule="auto"/>
        <w:ind w:firstLine="720"/>
        <w:jc w:val="both"/>
        <w:rPr>
          <w:rFonts w:ascii="TimesNewRomanPSMT" w:hAnsi="TimesNewRomanPSMT" w:cs="TimesNewRomanPSMT"/>
        </w:rPr>
      </w:pPr>
      <w:r>
        <w:rPr>
          <w:rFonts w:ascii="TimesNewRomanPSMT" w:hAnsi="TimesNewRomanPSMT" w:cs="TimesNewRomanPSMT"/>
        </w:rPr>
        <w:t>Augstākā tiesa atzīst, ka apelācijas instances tiesa, neno</w:t>
      </w:r>
      <w:r w:rsidR="00783F5D">
        <w:rPr>
          <w:rFonts w:ascii="TimesNewRomanPSMT" w:hAnsi="TimesNewRomanPSMT" w:cs="TimesNewRomanPSMT"/>
        </w:rPr>
        <w:t>sakot</w:t>
      </w:r>
      <w:r>
        <w:rPr>
          <w:rFonts w:ascii="TimesNewRomanPSMT" w:hAnsi="TimesNewRomanPSMT" w:cs="TimesNewRomanPSMT"/>
        </w:rPr>
        <w:t xml:space="preserve"> konkrēt</w:t>
      </w:r>
      <w:r w:rsidR="002555B1">
        <w:rPr>
          <w:rFonts w:ascii="TimesNewRomanPSMT" w:hAnsi="TimesNewRomanPSMT" w:cs="TimesNewRomanPSMT"/>
        </w:rPr>
        <w:t>aj</w:t>
      </w:r>
      <w:r>
        <w:rPr>
          <w:rFonts w:ascii="TimesNewRomanPSMT" w:hAnsi="TimesNewRomanPSMT" w:cs="TimesNewRomanPSMT"/>
        </w:rPr>
        <w:t>ā lietā</w:t>
      </w:r>
      <w:r w:rsidRPr="00D41C46">
        <w:rPr>
          <w:rFonts w:ascii="TimesNewRomanPSMT" w:hAnsi="TimesNewRomanPSMT" w:cs="TimesNewRomanPSMT"/>
        </w:rPr>
        <w:t xml:space="preserve"> </w:t>
      </w:r>
      <w:r>
        <w:rPr>
          <w:rFonts w:ascii="TimesNewRomanPSMT" w:hAnsi="TimesNewRomanPSMT" w:cs="TimesNewRomanPSMT"/>
        </w:rPr>
        <w:t xml:space="preserve">apsūdzētajam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tiesu psihiatrisko ekspertīzi, pieļāv</w:t>
      </w:r>
      <w:r w:rsidR="0026111D">
        <w:rPr>
          <w:rFonts w:ascii="TimesNewRomanPSMT" w:hAnsi="TimesNewRomanPSMT" w:cs="TimesNewRomanPSMT"/>
        </w:rPr>
        <w:t>a</w:t>
      </w:r>
      <w:r>
        <w:rPr>
          <w:rFonts w:ascii="TimesNewRomanPSMT" w:hAnsi="TimesNewRomanPSMT" w:cs="TimesNewRomanPSMT"/>
        </w:rPr>
        <w:t xml:space="preserve"> Kriminālprocesa likuma </w:t>
      </w:r>
      <w:proofErr w:type="gramStart"/>
      <w:r>
        <w:rPr>
          <w:rFonts w:ascii="TimesNewRomanPSMT" w:hAnsi="TimesNewRomanPSMT" w:cs="TimesNewRomanPSMT"/>
        </w:rPr>
        <w:t>15.panta</w:t>
      </w:r>
      <w:proofErr w:type="gramEnd"/>
      <w:r>
        <w:rPr>
          <w:rFonts w:ascii="TimesNewRomanPSMT" w:hAnsi="TimesNewRomanPSMT" w:cs="TimesNewRomanPSMT"/>
        </w:rPr>
        <w:t>, 511.panta otrās daļas, 512.panta</w:t>
      </w:r>
      <w:r w:rsidR="00783F5D">
        <w:rPr>
          <w:rFonts w:ascii="TimesNewRomanPSMT" w:hAnsi="TimesNewRomanPSMT" w:cs="TimesNewRomanPSMT"/>
        </w:rPr>
        <w:t>, 564.panta ceturtās daļas</w:t>
      </w:r>
      <w:r>
        <w:rPr>
          <w:rFonts w:ascii="TimesNewRomanPSMT" w:hAnsi="TimesNewRomanPSMT" w:cs="TimesNewRomanPSMT"/>
        </w:rPr>
        <w:t xml:space="preserve"> pārkāpumu, kas atzīstams par Kriminālprocesa likuma būtisku pārkāpumu šā likuma 575.panta trešās daļas izpratnē</w:t>
      </w:r>
      <w:r w:rsidR="0026111D">
        <w:rPr>
          <w:rFonts w:ascii="TimesNewRomanPSMT" w:hAnsi="TimesNewRomanPSMT" w:cs="TimesNewRomanPSMT"/>
        </w:rPr>
        <w:t>, noveda pie nelikumīga nolēmuma</w:t>
      </w:r>
      <w:r>
        <w:rPr>
          <w:rFonts w:ascii="TimesNewRomanPSMT" w:hAnsi="TimesNewRomanPSMT" w:cs="TimesNewRomanPSMT"/>
        </w:rPr>
        <w:t xml:space="preserve"> un ir pamats apelācijas instances tiesas lēmuma atcelšanai.</w:t>
      </w:r>
    </w:p>
    <w:p w:rsidR="00E86787" w:rsidRDefault="00E86787" w:rsidP="00E86787">
      <w:pPr>
        <w:autoSpaceDE w:val="0"/>
        <w:autoSpaceDN w:val="0"/>
        <w:adjustRightInd w:val="0"/>
        <w:spacing w:line="276" w:lineRule="auto"/>
        <w:ind w:firstLine="720"/>
        <w:jc w:val="both"/>
        <w:rPr>
          <w:rFonts w:ascii="TimesNewRomanPSMT" w:hAnsi="TimesNewRomanPSMT" w:cs="TimesNewRomanPSMT"/>
        </w:rPr>
      </w:pPr>
    </w:p>
    <w:p w:rsidR="00E86787" w:rsidRPr="00E86787" w:rsidRDefault="00720320" w:rsidP="00E86787">
      <w:pPr>
        <w:spacing w:line="276" w:lineRule="auto"/>
        <w:ind w:firstLine="720"/>
        <w:jc w:val="both"/>
        <w:rPr>
          <w:rFonts w:ascii="TimesNewRomanPSMT" w:hAnsi="TimesNewRomanPSMT" w:cs="TimesNewRomanPSMT"/>
        </w:rPr>
      </w:pPr>
      <w:r w:rsidRPr="00C0700A">
        <w:t>[</w:t>
      </w:r>
      <w:r w:rsidR="000D28F8">
        <w:t>6</w:t>
      </w:r>
      <w:r w:rsidRPr="00C0700A">
        <w:t xml:space="preserve">] </w:t>
      </w:r>
      <w:r w:rsidR="00E86787" w:rsidRPr="00E86787">
        <w:rPr>
          <w:rFonts w:ascii="TimesNewRomanPSMT" w:hAnsi="TimesNewRomanPSMT" w:cs="TimesNewRomanPSMT"/>
        </w:rPr>
        <w:t xml:space="preserve">Ar pirmās instances tiesas spriedumu apsūdzētajam </w:t>
      </w:r>
      <w:r w:rsidR="00BB45BA">
        <w:rPr>
          <w:rFonts w:ascii="TimesNewRomanPSMT" w:hAnsi="TimesNewRomanPSMT" w:cs="TimesNewRomanPSMT"/>
        </w:rPr>
        <w:t>[pers. A]</w:t>
      </w:r>
      <w:r w:rsidR="00E86787">
        <w:rPr>
          <w:rFonts w:ascii="TimesNewRomanPSMT" w:hAnsi="TimesNewRomanPSMT" w:cs="TimesNewRomanPSMT"/>
        </w:rPr>
        <w:t>, lai nodrošinātu sprieduma izpildi daļā par sodu,</w:t>
      </w:r>
      <w:r w:rsidR="00E86787" w:rsidRPr="00E86787">
        <w:rPr>
          <w:rFonts w:ascii="TimesNewRomanPSMT" w:hAnsi="TimesNewRomanPSMT" w:cs="TimesNewRomanPSMT"/>
        </w:rPr>
        <w:t xml:space="preserve"> atstāts negrozīts pirmstiesas kriminālprocesā piemērotais drošības līdzeklis – apcietinājums.</w:t>
      </w:r>
      <w:r w:rsidR="0026111D" w:rsidRPr="0026111D">
        <w:rPr>
          <w:rFonts w:ascii="TimesNewRomanPSMT" w:hAnsi="TimesNewRomanPSMT" w:cs="TimesNewRomanPSMT"/>
        </w:rPr>
        <w:t xml:space="preserve"> </w:t>
      </w:r>
      <w:r w:rsidR="00BB45BA">
        <w:rPr>
          <w:rFonts w:ascii="TimesNewRomanPSMT" w:hAnsi="TimesNewRomanPSMT" w:cs="TimesNewRomanPSMT"/>
        </w:rPr>
        <w:t>[pers. A]</w:t>
      </w:r>
      <w:r w:rsidR="0026111D">
        <w:rPr>
          <w:rFonts w:ascii="TimesNewRomanPSMT" w:hAnsi="TimesNewRomanPSMT" w:cs="TimesNewRomanPSMT"/>
        </w:rPr>
        <w:t xml:space="preserve"> atrodas apcietinājumā no </w:t>
      </w:r>
      <w:proofErr w:type="gramStart"/>
      <w:r w:rsidR="0026111D">
        <w:rPr>
          <w:rFonts w:ascii="TimesNewRomanPSMT" w:hAnsi="TimesNewRomanPSMT" w:cs="TimesNewRomanPSMT"/>
        </w:rPr>
        <w:t>2015.gada</w:t>
      </w:r>
      <w:proofErr w:type="gramEnd"/>
      <w:r w:rsidR="0026111D">
        <w:rPr>
          <w:rFonts w:ascii="TimesNewRomanPSMT" w:hAnsi="TimesNewRomanPSMT" w:cs="TimesNewRomanPSMT"/>
        </w:rPr>
        <w:t xml:space="preserve"> 15.decembra.</w:t>
      </w:r>
    </w:p>
    <w:p w:rsidR="00E86787" w:rsidRPr="00E86787" w:rsidRDefault="00E86787" w:rsidP="00E86787">
      <w:pPr>
        <w:pStyle w:val="BodyText"/>
        <w:spacing w:after="0" w:line="276" w:lineRule="auto"/>
        <w:ind w:firstLine="720"/>
        <w:jc w:val="both"/>
        <w:rPr>
          <w:rFonts w:ascii="TimesNewRomanPSMT" w:hAnsi="TimesNewRomanPSMT" w:cs="TimesNewRomanPSMT"/>
          <w:color w:val="auto"/>
          <w:kern w:val="0"/>
          <w:lang w:eastAsia="en-US"/>
        </w:rPr>
      </w:pPr>
      <w:r w:rsidRPr="00E86787">
        <w:rPr>
          <w:rFonts w:ascii="TimesNewRomanPSMT" w:hAnsi="TimesNewRomanPSMT" w:cs="TimesNewRomanPSMT"/>
          <w:color w:val="auto"/>
          <w:kern w:val="0"/>
          <w:lang w:eastAsia="en-US"/>
        </w:rPr>
        <w:t xml:space="preserve">Apelācijas instances tiesa apsūdzētajam </w:t>
      </w:r>
      <w:proofErr w:type="gramStart"/>
      <w:r w:rsidR="00BB45BA">
        <w:rPr>
          <w:rFonts w:ascii="TimesNewRomanPSMT" w:hAnsi="TimesNewRomanPSMT" w:cs="TimesNewRomanPSMT"/>
          <w:color w:val="auto"/>
          <w:kern w:val="0"/>
          <w:lang w:eastAsia="en-US"/>
        </w:rPr>
        <w:t>[</w:t>
      </w:r>
      <w:proofErr w:type="gramEnd"/>
      <w:r w:rsidR="00BB45BA">
        <w:rPr>
          <w:rFonts w:ascii="TimesNewRomanPSMT" w:hAnsi="TimesNewRomanPSMT" w:cs="TimesNewRomanPSMT"/>
          <w:color w:val="auto"/>
          <w:kern w:val="0"/>
          <w:lang w:eastAsia="en-US"/>
        </w:rPr>
        <w:t>pers. A]</w:t>
      </w:r>
      <w:r w:rsidRPr="00E86787">
        <w:rPr>
          <w:rFonts w:ascii="TimesNewRomanPSMT" w:hAnsi="TimesNewRomanPSMT" w:cs="TimesNewRomanPSMT"/>
          <w:color w:val="auto"/>
          <w:kern w:val="0"/>
          <w:lang w:eastAsia="en-US"/>
        </w:rPr>
        <w:t xml:space="preserve"> drošības līdzekli negrozīja.</w:t>
      </w:r>
    </w:p>
    <w:p w:rsidR="00E86787" w:rsidRPr="00E86787" w:rsidRDefault="00E86787" w:rsidP="00E86787">
      <w:pPr>
        <w:autoSpaceDE w:val="0"/>
        <w:autoSpaceDN w:val="0"/>
        <w:adjustRightInd w:val="0"/>
        <w:spacing w:line="276" w:lineRule="auto"/>
        <w:ind w:firstLine="720"/>
        <w:jc w:val="both"/>
        <w:rPr>
          <w:rFonts w:ascii="TimesNewRomanPSMT" w:hAnsi="TimesNewRomanPSMT" w:cs="TimesNewRomanPSMT"/>
        </w:rPr>
      </w:pPr>
      <w:r w:rsidRPr="00E86787">
        <w:rPr>
          <w:rFonts w:ascii="TimesNewRomanPSMT" w:hAnsi="TimesNewRomanPSMT" w:cs="TimesNewRomanPSMT"/>
        </w:rPr>
        <w:t xml:space="preserve">Kriminālprocesa likuma </w:t>
      </w:r>
      <w:proofErr w:type="gramStart"/>
      <w:r w:rsidRPr="00E86787">
        <w:rPr>
          <w:rFonts w:ascii="TimesNewRomanPSMT" w:hAnsi="TimesNewRomanPSMT" w:cs="TimesNewRomanPSMT"/>
        </w:rPr>
        <w:t>272.panta</w:t>
      </w:r>
      <w:proofErr w:type="gramEnd"/>
      <w:r w:rsidRPr="00E86787">
        <w:rPr>
          <w:rFonts w:ascii="TimesNewRomanPSMT" w:hAnsi="TimesNewRomanPSMT" w:cs="TimesNewRomanPSMT"/>
        </w:rPr>
        <w:t xml:space="preserve"> ceturtajā daļā norādīts, ka  pamats apcietinājumam var būt tiesas spriedums par smaga vai sevišķi smaga nozieguma izdarīšanu, par kuru piespriests brīvības atņemšanas sods.</w:t>
      </w:r>
    </w:p>
    <w:p w:rsidR="00E86787" w:rsidRDefault="00E86787" w:rsidP="00E86787">
      <w:pPr>
        <w:spacing w:line="276" w:lineRule="auto"/>
        <w:ind w:firstLine="720"/>
        <w:jc w:val="both"/>
        <w:rPr>
          <w:rFonts w:ascii="TimesNewRomanPSMT" w:hAnsi="TimesNewRomanPSMT" w:cs="TimesNewRomanPSMT"/>
        </w:rPr>
      </w:pPr>
      <w:r w:rsidRPr="00E86787">
        <w:rPr>
          <w:rFonts w:ascii="TimesNewRomanPSMT" w:hAnsi="TimesNewRomanPSMT" w:cs="TimesNewRomanPSMT"/>
        </w:rPr>
        <w:t xml:space="preserve">Ar pirmās instances </w:t>
      </w:r>
      <w:r>
        <w:rPr>
          <w:rFonts w:ascii="TimesNewRomanPSMT" w:hAnsi="TimesNewRomanPSMT" w:cs="TimesNewRomanPSMT"/>
        </w:rPr>
        <w:t>tiesas</w:t>
      </w:r>
      <w:r w:rsidRPr="00E86787">
        <w:rPr>
          <w:rFonts w:ascii="TimesNewRomanPSMT" w:hAnsi="TimesNewRomanPSMT" w:cs="TimesNewRomanPSMT"/>
        </w:rPr>
        <w:t xml:space="preserve"> spriedum</w:t>
      </w:r>
      <w:r>
        <w:rPr>
          <w:rFonts w:ascii="TimesNewRomanPSMT" w:hAnsi="TimesNewRomanPSMT" w:cs="TimesNewRomanPSMT"/>
        </w:rPr>
        <w:t>u</w:t>
      </w:r>
      <w:r w:rsidRPr="00E86787">
        <w:rPr>
          <w:rFonts w:ascii="TimesNewRomanPSMT" w:hAnsi="TimesNewRomanPSMT" w:cs="TimesNewRomanPSMT"/>
        </w:rPr>
        <w:t xml:space="preserve">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sidRPr="00E86787">
        <w:rPr>
          <w:rFonts w:ascii="TimesNewRomanPSMT" w:hAnsi="TimesNewRomanPSMT" w:cs="TimesNewRomanPSMT"/>
        </w:rPr>
        <w:t xml:space="preserve"> atzīt</w:t>
      </w:r>
      <w:r>
        <w:rPr>
          <w:rFonts w:ascii="TimesNewRomanPSMT" w:hAnsi="TimesNewRomanPSMT" w:cs="TimesNewRomanPSMT"/>
        </w:rPr>
        <w:t>s</w:t>
      </w:r>
      <w:r w:rsidRPr="00E86787">
        <w:rPr>
          <w:rFonts w:ascii="TimesNewRomanPSMT" w:hAnsi="TimesNewRomanPSMT" w:cs="TimesNewRomanPSMT"/>
        </w:rPr>
        <w:t xml:space="preserve"> par vainīg</w:t>
      </w:r>
      <w:r>
        <w:rPr>
          <w:rFonts w:ascii="TimesNewRomanPSMT" w:hAnsi="TimesNewRomanPSMT" w:cs="TimesNewRomanPSMT"/>
        </w:rPr>
        <w:t>u divu</w:t>
      </w:r>
      <w:r w:rsidRPr="00E86787">
        <w:rPr>
          <w:rFonts w:ascii="TimesNewRomanPSMT" w:hAnsi="TimesNewRomanPSMT" w:cs="TimesNewRomanPSMT"/>
        </w:rPr>
        <w:t xml:space="preserve"> smag</w:t>
      </w:r>
      <w:r>
        <w:rPr>
          <w:rFonts w:ascii="TimesNewRomanPSMT" w:hAnsi="TimesNewRomanPSMT" w:cs="TimesNewRomanPSMT"/>
        </w:rPr>
        <w:t xml:space="preserve">u </w:t>
      </w:r>
      <w:r w:rsidRPr="00E86787">
        <w:rPr>
          <w:rFonts w:ascii="TimesNewRomanPSMT" w:hAnsi="TimesNewRomanPSMT" w:cs="TimesNewRomanPSMT"/>
        </w:rPr>
        <w:t>noziegum</w:t>
      </w:r>
      <w:r>
        <w:rPr>
          <w:rFonts w:ascii="TimesNewRomanPSMT" w:hAnsi="TimesNewRomanPSMT" w:cs="TimesNewRomanPSMT"/>
        </w:rPr>
        <w:t>u</w:t>
      </w:r>
      <w:r w:rsidRPr="00E86787">
        <w:rPr>
          <w:rFonts w:ascii="TimesNewRomanPSMT" w:hAnsi="TimesNewRomanPSMT" w:cs="TimesNewRomanPSMT"/>
        </w:rPr>
        <w:t xml:space="preserve"> izdarīšanā un sodīt</w:t>
      </w:r>
      <w:r>
        <w:rPr>
          <w:rFonts w:ascii="TimesNewRomanPSMT" w:hAnsi="TimesNewRomanPSMT" w:cs="TimesNewRomanPSMT"/>
        </w:rPr>
        <w:t xml:space="preserve">s </w:t>
      </w:r>
      <w:r w:rsidRPr="00E86787">
        <w:rPr>
          <w:rFonts w:ascii="TimesNewRomanPSMT" w:hAnsi="TimesNewRomanPSMT" w:cs="TimesNewRomanPSMT"/>
        </w:rPr>
        <w:t>ar brīvības atņemšanu.</w:t>
      </w:r>
    </w:p>
    <w:p w:rsidR="00E86787" w:rsidRDefault="00E86787" w:rsidP="00E86787">
      <w:pPr>
        <w:spacing w:line="276" w:lineRule="auto"/>
        <w:ind w:firstLine="720"/>
        <w:jc w:val="both"/>
      </w:pPr>
      <w:r w:rsidRPr="00490780">
        <w:t xml:space="preserve">Ievērojot to, ka </w:t>
      </w:r>
      <w:r>
        <w:t xml:space="preserve">ar kasācijas instances tiesas lēmumu tiek atcelts tikai </w:t>
      </w:r>
      <w:r w:rsidRPr="00490780">
        <w:t xml:space="preserve">apelācijas instances tiesas </w:t>
      </w:r>
      <w:r>
        <w:t>lēmums</w:t>
      </w:r>
      <w:r w:rsidR="00583DCF">
        <w:t xml:space="preserve">, </w:t>
      </w:r>
      <w:r>
        <w:t>k</w:t>
      </w:r>
      <w:r w:rsidRPr="007779E9">
        <w:t xml:space="preserve">asācijas instances tiesa atzīst, ka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sidR="00583DCF" w:rsidRPr="00E86787">
        <w:rPr>
          <w:rFonts w:ascii="TimesNewRomanPSMT" w:hAnsi="TimesNewRomanPSMT" w:cs="TimesNewRomanPSMT"/>
        </w:rPr>
        <w:t xml:space="preserve"> </w:t>
      </w:r>
      <w:r>
        <w:t>šajā procesa stadijā jāturpina</w:t>
      </w:r>
      <w:proofErr w:type="gramStart"/>
      <w:r>
        <w:t xml:space="preserve"> piemērot </w:t>
      </w:r>
      <w:r w:rsidRPr="00490780">
        <w:t>drošības līdzekli – apcietinājum</w:t>
      </w:r>
      <w:r>
        <w:t>u</w:t>
      </w:r>
      <w:proofErr w:type="gramEnd"/>
      <w:r>
        <w:t>.</w:t>
      </w:r>
    </w:p>
    <w:p w:rsidR="00D41C46" w:rsidRDefault="00D41C46" w:rsidP="00F72EB2">
      <w:pPr>
        <w:spacing w:line="276" w:lineRule="auto"/>
        <w:jc w:val="center"/>
        <w:rPr>
          <w:rFonts w:ascii="TimesNewRomanPSMT" w:hAnsi="TimesNewRomanPSMT" w:cs="TimesNewRomanPSMT"/>
        </w:rPr>
      </w:pPr>
    </w:p>
    <w:p w:rsidR="00F72EB2" w:rsidRDefault="00F72EB2" w:rsidP="00F72EB2">
      <w:pPr>
        <w:spacing w:line="276" w:lineRule="auto"/>
        <w:jc w:val="center"/>
        <w:rPr>
          <w:b/>
        </w:rPr>
      </w:pPr>
      <w:r>
        <w:rPr>
          <w:b/>
        </w:rPr>
        <w:t>Rezolutīvā daļa</w:t>
      </w:r>
    </w:p>
    <w:p w:rsidR="00F72EB2" w:rsidRPr="00FD0503" w:rsidRDefault="00F72EB2" w:rsidP="00F72EB2">
      <w:pPr>
        <w:spacing w:line="276" w:lineRule="auto"/>
        <w:jc w:val="center"/>
        <w:rPr>
          <w:b/>
        </w:rPr>
      </w:pPr>
    </w:p>
    <w:p w:rsidR="00D41C46" w:rsidRDefault="00D41C46" w:rsidP="00D41C46">
      <w:pPr>
        <w:spacing w:line="360" w:lineRule="auto"/>
        <w:ind w:firstLine="720"/>
        <w:jc w:val="both"/>
      </w:pPr>
      <w:r w:rsidRPr="00E32DF6">
        <w:lastRenderedPageBreak/>
        <w:t>Pamatojoties uz Kriminālprocesa likuma</w:t>
      </w:r>
      <w:r>
        <w:t xml:space="preserve"> </w:t>
      </w:r>
      <w:r w:rsidRPr="00E32DF6">
        <w:t xml:space="preserve">585., </w:t>
      </w:r>
      <w:proofErr w:type="gramStart"/>
      <w:r w:rsidRPr="00E32DF6">
        <w:t>587.pantu</w:t>
      </w:r>
      <w:proofErr w:type="gramEnd"/>
      <w:r w:rsidRPr="00E32DF6">
        <w:t xml:space="preserve">, Augstākā tiesa </w:t>
      </w:r>
    </w:p>
    <w:p w:rsidR="00F72EB2" w:rsidRPr="00BF71C0" w:rsidRDefault="00F72EB2" w:rsidP="00F72EB2">
      <w:pPr>
        <w:spacing w:line="276" w:lineRule="auto"/>
        <w:ind w:firstLine="720"/>
        <w:jc w:val="both"/>
      </w:pPr>
    </w:p>
    <w:p w:rsidR="00F72EB2" w:rsidRPr="00DE0937" w:rsidRDefault="00F72EB2" w:rsidP="00F72EB2">
      <w:pPr>
        <w:spacing w:line="276" w:lineRule="auto"/>
        <w:jc w:val="center"/>
        <w:rPr>
          <w:b/>
        </w:rPr>
      </w:pPr>
      <w:r>
        <w:rPr>
          <w:b/>
        </w:rPr>
        <w:t>n</w:t>
      </w:r>
      <w:r w:rsidRPr="00DE0937">
        <w:rPr>
          <w:b/>
        </w:rPr>
        <w:t>olēma</w:t>
      </w:r>
      <w:r>
        <w:rPr>
          <w:b/>
        </w:rPr>
        <w:t>:</w:t>
      </w:r>
    </w:p>
    <w:p w:rsidR="00F72EB2" w:rsidRPr="008626ED" w:rsidRDefault="00F72EB2" w:rsidP="00F72EB2">
      <w:pPr>
        <w:spacing w:line="276" w:lineRule="auto"/>
        <w:ind w:firstLine="720"/>
        <w:jc w:val="both"/>
        <w:rPr>
          <w:rFonts w:ascii="TimesNewRomanPSMT" w:hAnsi="TimesNewRomanPSMT" w:cs="TimesNewRomanPSMT"/>
        </w:rPr>
      </w:pPr>
    </w:p>
    <w:p w:rsidR="00D41C46" w:rsidRPr="008626ED" w:rsidRDefault="00D41C46" w:rsidP="00D41C46">
      <w:pPr>
        <w:spacing w:line="276" w:lineRule="auto"/>
        <w:ind w:firstLine="720"/>
        <w:jc w:val="both"/>
        <w:rPr>
          <w:rFonts w:ascii="TimesNewRomanPSMT" w:hAnsi="TimesNewRomanPSMT" w:cs="TimesNewRomanPSMT"/>
        </w:rPr>
      </w:pPr>
      <w:r>
        <w:t>atcelt</w:t>
      </w:r>
      <w:r w:rsidRPr="00F24C11">
        <w:t xml:space="preserve"> </w:t>
      </w:r>
      <w:r>
        <w:t>pilnībā</w:t>
      </w:r>
      <w:r w:rsidRPr="00C77D9F">
        <w:rPr>
          <w:color w:val="000000"/>
        </w:rPr>
        <w:t xml:space="preserve"> </w:t>
      </w:r>
      <w:r>
        <w:rPr>
          <w:rFonts w:ascii="TimesNewRomanPSMT" w:hAnsi="TimesNewRomanPSMT" w:cs="TimesNewRomanPSMT"/>
        </w:rPr>
        <w:t xml:space="preserve">Vidzemes apgabaltiesas </w:t>
      </w:r>
      <w:proofErr w:type="gramStart"/>
      <w:r>
        <w:rPr>
          <w:rFonts w:ascii="TimesNewRomanPSMT" w:hAnsi="TimesNewRomanPSMT" w:cs="TimesNewRomanPSMT"/>
        </w:rPr>
        <w:t>2017.gada</w:t>
      </w:r>
      <w:proofErr w:type="gramEnd"/>
      <w:r>
        <w:rPr>
          <w:rFonts w:ascii="TimesNewRomanPSMT" w:hAnsi="TimesNewRomanPSMT" w:cs="TimesNewRomanPSMT"/>
        </w:rPr>
        <w:t xml:space="preserve"> 5.janvāra lēmumu</w:t>
      </w:r>
      <w:r w:rsidRPr="008626ED">
        <w:rPr>
          <w:rFonts w:ascii="TimesNewRomanPSMT" w:hAnsi="TimesNewRomanPSMT" w:cs="TimesNewRomanPSMT"/>
        </w:rPr>
        <w:t xml:space="preserve"> </w:t>
      </w:r>
      <w:r>
        <w:rPr>
          <w:rFonts w:ascii="TimesNewRomanPSMT" w:hAnsi="TimesNewRomanPSMT" w:cs="TimesNewRomanPSMT"/>
        </w:rPr>
        <w:t xml:space="preserve">un </w:t>
      </w:r>
      <w:r>
        <w:t xml:space="preserve">lietu nosūtīt </w:t>
      </w:r>
      <w:r>
        <w:rPr>
          <w:color w:val="000000"/>
        </w:rPr>
        <w:t xml:space="preserve">jaunai izskatīšanai </w:t>
      </w:r>
      <w:r>
        <w:rPr>
          <w:rFonts w:ascii="TimesNewRomanPSMT" w:hAnsi="TimesNewRomanPSMT" w:cs="TimesNewRomanPSMT"/>
        </w:rPr>
        <w:t>Vidzemes apgabaltiesā</w:t>
      </w:r>
      <w:r w:rsidRPr="008626ED">
        <w:rPr>
          <w:rFonts w:ascii="TimesNewRomanPSMT" w:hAnsi="TimesNewRomanPSMT" w:cs="TimesNewRomanPSMT"/>
        </w:rPr>
        <w:t>.</w:t>
      </w:r>
    </w:p>
    <w:p w:rsidR="00D41C46" w:rsidRDefault="00D41C46" w:rsidP="00D41C46">
      <w:pPr>
        <w:spacing w:line="276" w:lineRule="auto"/>
        <w:ind w:firstLine="720"/>
        <w:jc w:val="both"/>
      </w:pPr>
      <w:r w:rsidRPr="00490780">
        <w:t xml:space="preserve">Apsūdzētajam </w:t>
      </w:r>
      <w:proofErr w:type="gramStart"/>
      <w:r w:rsidR="00BB45BA">
        <w:rPr>
          <w:rFonts w:ascii="TimesNewRomanPSMT" w:hAnsi="TimesNewRomanPSMT" w:cs="TimesNewRomanPSMT"/>
        </w:rPr>
        <w:t>[</w:t>
      </w:r>
      <w:proofErr w:type="gramEnd"/>
      <w:r w:rsidR="00BB45BA">
        <w:rPr>
          <w:rFonts w:ascii="TimesNewRomanPSMT" w:hAnsi="TimesNewRomanPSMT" w:cs="TimesNewRomanPSMT"/>
        </w:rPr>
        <w:t>pers. A]</w:t>
      </w:r>
      <w:r>
        <w:rPr>
          <w:rFonts w:ascii="TimesNewRomanPSMT" w:hAnsi="TimesNewRomanPSMT" w:cs="TimesNewRomanPSMT"/>
        </w:rPr>
        <w:t xml:space="preserve"> </w:t>
      </w:r>
      <w:r>
        <w:t xml:space="preserve">turpināt piemērot </w:t>
      </w:r>
      <w:r w:rsidRPr="00490780">
        <w:t>drošības līdzekli – apcietinājumu</w:t>
      </w:r>
      <w:r>
        <w:t>.</w:t>
      </w:r>
    </w:p>
    <w:p w:rsidR="00F72EB2" w:rsidRDefault="00F72EB2" w:rsidP="00F72EB2">
      <w:pPr>
        <w:tabs>
          <w:tab w:val="left" w:pos="2700"/>
          <w:tab w:val="left" w:pos="6660"/>
        </w:tabs>
        <w:spacing w:line="276" w:lineRule="auto"/>
        <w:ind w:firstLine="709"/>
        <w:jc w:val="both"/>
        <w:rPr>
          <w:rFonts w:eastAsia="Calibri"/>
          <w:color w:val="000000"/>
        </w:rPr>
      </w:pPr>
      <w:smartTag w:uri="schemas-tilde-lv/tildestengine" w:element="veidnes">
        <w:smartTagPr>
          <w:attr w:name="text" w:val="Lēmums"/>
          <w:attr w:name="baseform" w:val="lēmum|s"/>
          <w:attr w:name="id" w:val="-1"/>
        </w:smartTagPr>
        <w:r w:rsidRPr="008626ED">
          <w:rPr>
            <w:rFonts w:eastAsia="Calibri"/>
            <w:color w:val="000000"/>
          </w:rPr>
          <w:t>Lēmums</w:t>
        </w:r>
      </w:smartTag>
      <w:r w:rsidRPr="008626ED">
        <w:rPr>
          <w:rFonts w:eastAsia="Calibri"/>
          <w:color w:val="000000"/>
        </w:rPr>
        <w:t xml:space="preserve"> nav pārsūdzams.</w:t>
      </w:r>
    </w:p>
    <w:p w:rsidR="00A044E2" w:rsidRDefault="00A044E2" w:rsidP="00F72EB2">
      <w:pPr>
        <w:tabs>
          <w:tab w:val="left" w:pos="2700"/>
          <w:tab w:val="left" w:pos="6660"/>
        </w:tabs>
        <w:spacing w:line="276" w:lineRule="auto"/>
        <w:ind w:firstLine="709"/>
        <w:jc w:val="both"/>
        <w:rPr>
          <w:rFonts w:eastAsia="Calibri"/>
          <w:color w:val="000000"/>
        </w:rPr>
      </w:pPr>
    </w:p>
    <w:p w:rsidR="00A044E2" w:rsidRDefault="00A044E2" w:rsidP="00A044E2">
      <w:pPr>
        <w:tabs>
          <w:tab w:val="left" w:pos="1134"/>
        </w:tabs>
        <w:spacing w:line="276" w:lineRule="auto"/>
        <w:ind w:firstLine="710"/>
        <w:jc w:val="center"/>
        <w:rPr>
          <w:b/>
        </w:rPr>
      </w:pPr>
    </w:p>
    <w:p w:rsidR="00A044E2" w:rsidRDefault="00A044E2" w:rsidP="00A044E2">
      <w:pPr>
        <w:tabs>
          <w:tab w:val="left" w:pos="1134"/>
        </w:tabs>
        <w:spacing w:line="276" w:lineRule="auto"/>
        <w:ind w:firstLine="710"/>
        <w:jc w:val="center"/>
        <w:rPr>
          <w:b/>
        </w:rPr>
      </w:pPr>
      <w:r w:rsidRPr="00EE3D98">
        <w:rPr>
          <w:b/>
        </w:rPr>
        <w:t>Tiesību aktu un nolēmumu rādītājs</w:t>
      </w:r>
    </w:p>
    <w:p w:rsidR="00A044E2" w:rsidRDefault="00A044E2" w:rsidP="00A044E2">
      <w:pPr>
        <w:tabs>
          <w:tab w:val="left" w:pos="1134"/>
        </w:tabs>
        <w:spacing w:line="276" w:lineRule="auto"/>
        <w:ind w:firstLine="710"/>
        <w:jc w:val="center"/>
        <w:rPr>
          <w:b/>
        </w:rPr>
      </w:pPr>
    </w:p>
    <w:p w:rsidR="00AF4032" w:rsidRDefault="00AF4032" w:rsidP="00AF4032">
      <w:pPr>
        <w:tabs>
          <w:tab w:val="left" w:pos="1134"/>
        </w:tabs>
        <w:spacing w:line="276" w:lineRule="auto"/>
      </w:pPr>
      <w:r w:rsidRPr="00AF4032">
        <w:t>Kriminālprocesa likums</w:t>
      </w:r>
      <w:r>
        <w:tab/>
      </w:r>
      <w:r>
        <w:tab/>
      </w:r>
      <w:r>
        <w:tab/>
        <w:t>15.pants</w:t>
      </w:r>
      <w:r>
        <w:tab/>
      </w:r>
      <w:r>
        <w:tab/>
      </w:r>
      <w:r>
        <w:tab/>
      </w:r>
      <w:r>
        <w:tab/>
      </w:r>
    </w:p>
    <w:p w:rsidR="000F5C02" w:rsidRDefault="00AF4032" w:rsidP="00AF4032">
      <w:pPr>
        <w:tabs>
          <w:tab w:val="left" w:pos="1134"/>
        </w:tabs>
        <w:spacing w:line="276" w:lineRule="auto"/>
      </w:pPr>
      <w:r>
        <w:tab/>
      </w:r>
      <w:r>
        <w:tab/>
      </w:r>
      <w:r>
        <w:tab/>
      </w:r>
      <w:r>
        <w:tab/>
      </w:r>
      <w:r>
        <w:tab/>
      </w:r>
      <w:r>
        <w:tab/>
      </w:r>
      <w:proofErr w:type="gramStart"/>
      <w:r>
        <w:t>195.panta</w:t>
      </w:r>
      <w:proofErr w:type="gramEnd"/>
      <w:r>
        <w:t xml:space="preserve"> 5.punkts</w:t>
      </w:r>
    </w:p>
    <w:p w:rsidR="0077094F" w:rsidRDefault="000F5C02" w:rsidP="00AF4032">
      <w:pPr>
        <w:tabs>
          <w:tab w:val="left" w:pos="1134"/>
        </w:tabs>
        <w:spacing w:line="276" w:lineRule="auto"/>
      </w:pPr>
      <w:r>
        <w:tab/>
      </w:r>
      <w:r>
        <w:tab/>
      </w:r>
      <w:r>
        <w:tab/>
      </w:r>
      <w:r>
        <w:tab/>
      </w:r>
      <w:r>
        <w:tab/>
      </w:r>
      <w:r>
        <w:tab/>
      </w:r>
      <w:proofErr w:type="gramStart"/>
      <w:r>
        <w:t>205.pants</w:t>
      </w:r>
      <w:proofErr w:type="gramEnd"/>
    </w:p>
    <w:p w:rsidR="00AF4032" w:rsidRPr="0077094F" w:rsidRDefault="0077094F" w:rsidP="00AF4032">
      <w:pPr>
        <w:tabs>
          <w:tab w:val="left" w:pos="1134"/>
        </w:tabs>
        <w:spacing w:line="276" w:lineRule="auto"/>
      </w:pPr>
      <w:r>
        <w:tab/>
      </w:r>
      <w:r>
        <w:tab/>
      </w:r>
      <w:r>
        <w:tab/>
      </w:r>
      <w:r>
        <w:tab/>
      </w:r>
      <w:r>
        <w:tab/>
      </w:r>
      <w:r>
        <w:tab/>
        <w:t>575.panta trešā daļa</w:t>
      </w:r>
      <w:r w:rsidR="00AF4032" w:rsidRPr="00AF4032">
        <w:tab/>
      </w:r>
      <w:r w:rsidR="00AF4032" w:rsidRPr="00AF4032">
        <w:rPr>
          <w:rFonts w:eastAsia="Calibri"/>
          <w:b/>
          <w:bCs/>
          <w:spacing w:val="70"/>
        </w:rPr>
        <w:tab/>
      </w:r>
      <w:r w:rsidR="00AF4032" w:rsidRPr="00AF4032">
        <w:rPr>
          <w:rFonts w:eastAsia="Calibri"/>
          <w:b/>
          <w:bCs/>
          <w:spacing w:val="70"/>
        </w:rPr>
        <w:tab/>
      </w:r>
      <w:r w:rsidR="00AF4032" w:rsidRPr="00AF4032">
        <w:rPr>
          <w:rFonts w:eastAsia="Calibri"/>
          <w:b/>
          <w:bCs/>
          <w:spacing w:val="70"/>
        </w:rPr>
        <w:tab/>
      </w:r>
    </w:p>
    <w:p w:rsidR="00A044E2" w:rsidRPr="008626ED" w:rsidRDefault="00A044E2" w:rsidP="00F72EB2">
      <w:pPr>
        <w:tabs>
          <w:tab w:val="left" w:pos="2700"/>
          <w:tab w:val="left" w:pos="6660"/>
        </w:tabs>
        <w:spacing w:line="276" w:lineRule="auto"/>
        <w:ind w:firstLine="709"/>
        <w:jc w:val="both"/>
        <w:rPr>
          <w:rFonts w:eastAsia="Calibri"/>
          <w:b/>
          <w:bCs/>
          <w:spacing w:val="70"/>
        </w:rPr>
      </w:pPr>
    </w:p>
    <w:p w:rsidR="00F72EB2" w:rsidRPr="008626ED" w:rsidRDefault="00F72EB2" w:rsidP="00F72EB2">
      <w:pPr>
        <w:spacing w:line="276" w:lineRule="auto"/>
        <w:rPr>
          <w:rFonts w:eastAsia="Calibri"/>
        </w:rPr>
      </w:pPr>
    </w:p>
    <w:p w:rsidR="00F72EB2" w:rsidRPr="008626ED" w:rsidRDefault="00F72EB2" w:rsidP="00F72EB2">
      <w:pPr>
        <w:spacing w:line="276" w:lineRule="auto"/>
      </w:pPr>
    </w:p>
    <w:p w:rsidR="00F72EB2" w:rsidRDefault="00F72EB2" w:rsidP="00F72EB2">
      <w:pPr>
        <w:spacing w:line="276" w:lineRule="auto"/>
      </w:pPr>
    </w:p>
    <w:p w:rsidR="00F72EB2" w:rsidRDefault="00F72EB2" w:rsidP="00F72EB2">
      <w:pPr>
        <w:spacing w:line="276" w:lineRule="auto"/>
      </w:pPr>
    </w:p>
    <w:p w:rsidR="00F72EB2" w:rsidRPr="008626ED" w:rsidRDefault="00F72EB2" w:rsidP="00F72EB2">
      <w:pPr>
        <w:spacing w:line="276" w:lineRule="auto"/>
        <w:ind w:firstLine="720"/>
        <w:jc w:val="both"/>
        <w:rPr>
          <w:rFonts w:ascii="TimesNewRomanPSMT" w:hAnsi="TimesNewRomanPSMT" w:cs="TimesNewRomanPSMT"/>
        </w:rPr>
      </w:pPr>
    </w:p>
    <w:p w:rsidR="0045655B" w:rsidRDefault="0045655B"/>
    <w:sectPr w:rsidR="0045655B" w:rsidSect="000D28F8">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47D" w:rsidRDefault="00FA547D">
      <w:r>
        <w:separator/>
      </w:r>
    </w:p>
  </w:endnote>
  <w:endnote w:type="continuationSeparator" w:id="0">
    <w:p w:rsidR="00FA547D" w:rsidRDefault="00FA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192086"/>
      <w:docPartObj>
        <w:docPartGallery w:val="Page Numbers (Bottom of Page)"/>
        <w:docPartUnique/>
      </w:docPartObj>
    </w:sdtPr>
    <w:sdtEndPr>
      <w:rPr>
        <w:noProof/>
      </w:rPr>
    </w:sdtEndPr>
    <w:sdtContent>
      <w:p w:rsidR="005408C4" w:rsidRDefault="0087712A">
        <w:pPr>
          <w:pStyle w:val="Footer"/>
          <w:jc w:val="center"/>
        </w:pPr>
        <w:r w:rsidRPr="000F36E5">
          <w:rPr>
            <w:sz w:val="22"/>
            <w:szCs w:val="22"/>
          </w:rPr>
          <w:fldChar w:fldCharType="begin"/>
        </w:r>
        <w:r w:rsidRPr="000F36E5">
          <w:rPr>
            <w:sz w:val="22"/>
            <w:szCs w:val="22"/>
          </w:rPr>
          <w:instrText xml:space="preserve"> PAGE   \* MERGEFORMAT </w:instrText>
        </w:r>
        <w:r w:rsidRPr="000F36E5">
          <w:rPr>
            <w:sz w:val="22"/>
            <w:szCs w:val="22"/>
          </w:rPr>
          <w:fldChar w:fldCharType="separate"/>
        </w:r>
        <w:r w:rsidR="001B399B">
          <w:rPr>
            <w:noProof/>
            <w:sz w:val="22"/>
            <w:szCs w:val="22"/>
          </w:rPr>
          <w:t>5</w:t>
        </w:r>
        <w:r w:rsidRPr="000F36E5">
          <w:rPr>
            <w:noProof/>
            <w:sz w:val="22"/>
            <w:szCs w:val="22"/>
          </w:rPr>
          <w:fldChar w:fldCharType="end"/>
        </w:r>
        <w:r w:rsidRPr="000F36E5">
          <w:rPr>
            <w:noProof/>
            <w:sz w:val="22"/>
            <w:szCs w:val="22"/>
          </w:rPr>
          <w:t xml:space="preserve">.lapa no </w:t>
        </w:r>
        <w:r w:rsidR="00720320">
          <w:rPr>
            <w:noProof/>
            <w:sz w:val="22"/>
            <w:szCs w:val="22"/>
          </w:rPr>
          <w:t>5</w:t>
        </w:r>
      </w:p>
    </w:sdtContent>
  </w:sdt>
  <w:p w:rsidR="005408C4" w:rsidRDefault="00FA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47D" w:rsidRDefault="00FA547D">
      <w:r>
        <w:separator/>
      </w:r>
    </w:p>
  </w:footnote>
  <w:footnote w:type="continuationSeparator" w:id="0">
    <w:p w:rsidR="00FA547D" w:rsidRDefault="00FA54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B2"/>
    <w:rsid w:val="000019E2"/>
    <w:rsid w:val="00023463"/>
    <w:rsid w:val="00031EA5"/>
    <w:rsid w:val="000D28F8"/>
    <w:rsid w:val="000F5C02"/>
    <w:rsid w:val="0011080C"/>
    <w:rsid w:val="00111F03"/>
    <w:rsid w:val="00121F5B"/>
    <w:rsid w:val="001B399B"/>
    <w:rsid w:val="002269F1"/>
    <w:rsid w:val="002555B1"/>
    <w:rsid w:val="0026111D"/>
    <w:rsid w:val="00310F7D"/>
    <w:rsid w:val="00312D11"/>
    <w:rsid w:val="00322661"/>
    <w:rsid w:val="003D24E3"/>
    <w:rsid w:val="003D7730"/>
    <w:rsid w:val="003F180B"/>
    <w:rsid w:val="0045655B"/>
    <w:rsid w:val="004C5522"/>
    <w:rsid w:val="00583DCF"/>
    <w:rsid w:val="00606F6D"/>
    <w:rsid w:val="006D1738"/>
    <w:rsid w:val="00720320"/>
    <w:rsid w:val="0077094F"/>
    <w:rsid w:val="007743AD"/>
    <w:rsid w:val="00783F5D"/>
    <w:rsid w:val="007B2D4E"/>
    <w:rsid w:val="008065C6"/>
    <w:rsid w:val="0087712A"/>
    <w:rsid w:val="009455FF"/>
    <w:rsid w:val="00951826"/>
    <w:rsid w:val="00997748"/>
    <w:rsid w:val="009A3E55"/>
    <w:rsid w:val="00A044E2"/>
    <w:rsid w:val="00A248A5"/>
    <w:rsid w:val="00A530A0"/>
    <w:rsid w:val="00A61E73"/>
    <w:rsid w:val="00AA2E68"/>
    <w:rsid w:val="00AF4032"/>
    <w:rsid w:val="00B03D3A"/>
    <w:rsid w:val="00B25997"/>
    <w:rsid w:val="00B82854"/>
    <w:rsid w:val="00BB45BA"/>
    <w:rsid w:val="00C0700A"/>
    <w:rsid w:val="00C22C58"/>
    <w:rsid w:val="00CA549F"/>
    <w:rsid w:val="00D41C46"/>
    <w:rsid w:val="00D456FF"/>
    <w:rsid w:val="00D52E3C"/>
    <w:rsid w:val="00D95F18"/>
    <w:rsid w:val="00DE35DA"/>
    <w:rsid w:val="00E834D7"/>
    <w:rsid w:val="00E86787"/>
    <w:rsid w:val="00E91B84"/>
    <w:rsid w:val="00E91C47"/>
    <w:rsid w:val="00F22C45"/>
    <w:rsid w:val="00F42450"/>
    <w:rsid w:val="00F44DE3"/>
    <w:rsid w:val="00F72EB2"/>
    <w:rsid w:val="00F80B51"/>
    <w:rsid w:val="00FA547D"/>
    <w:rsid w:val="00FE5D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EB2"/>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72EB2"/>
    <w:pPr>
      <w:tabs>
        <w:tab w:val="center" w:pos="4153"/>
        <w:tab w:val="right" w:pos="8306"/>
      </w:tabs>
    </w:pPr>
  </w:style>
  <w:style w:type="character" w:customStyle="1" w:styleId="FooterChar">
    <w:name w:val="Footer Char"/>
    <w:basedOn w:val="DefaultParagraphFont"/>
    <w:link w:val="Footer"/>
    <w:uiPriority w:val="99"/>
    <w:rsid w:val="00F72EB2"/>
    <w:rPr>
      <w:rFonts w:eastAsia="Times New Roman" w:cs="Times New Roman"/>
      <w:szCs w:val="24"/>
    </w:rPr>
  </w:style>
  <w:style w:type="character" w:styleId="Hyperlink">
    <w:name w:val="Hyperlink"/>
    <w:basedOn w:val="DefaultParagraphFont"/>
    <w:uiPriority w:val="99"/>
    <w:semiHidden/>
    <w:unhideWhenUsed/>
    <w:rsid w:val="00F72EB2"/>
    <w:rPr>
      <w:color w:val="0000FF"/>
      <w:u w:val="single"/>
    </w:rPr>
  </w:style>
  <w:style w:type="paragraph" w:styleId="BodyText">
    <w:name w:val="Body Text"/>
    <w:basedOn w:val="Normal"/>
    <w:link w:val="BodyTextChar"/>
    <w:unhideWhenUsed/>
    <w:rsid w:val="0087712A"/>
    <w:pPr>
      <w:suppressAutoHyphens/>
      <w:spacing w:after="120" w:line="100" w:lineRule="atLeast"/>
    </w:pPr>
    <w:rPr>
      <w:color w:val="000000"/>
      <w:kern w:val="1"/>
      <w:lang w:eastAsia="ar-SA"/>
    </w:rPr>
  </w:style>
  <w:style w:type="character" w:customStyle="1" w:styleId="BodyTextChar">
    <w:name w:val="Body Text Char"/>
    <w:basedOn w:val="DefaultParagraphFont"/>
    <w:link w:val="BodyText"/>
    <w:rsid w:val="0087712A"/>
    <w:rPr>
      <w:rFonts w:eastAsia="Times New Roman" w:cs="Times New Roman"/>
      <w:color w:val="000000"/>
      <w:kern w:val="1"/>
      <w:szCs w:val="24"/>
      <w:lang w:eastAsia="ar-SA"/>
    </w:rPr>
  </w:style>
  <w:style w:type="paragraph" w:customStyle="1" w:styleId="tv213">
    <w:name w:val="tv213"/>
    <w:basedOn w:val="Normal"/>
    <w:rsid w:val="00F42450"/>
    <w:pPr>
      <w:suppressAutoHyphens/>
      <w:spacing w:before="100" w:after="100" w:line="100" w:lineRule="atLeast"/>
    </w:pPr>
    <w:rPr>
      <w:color w:val="000000"/>
      <w:kern w:val="1"/>
      <w:lang w:eastAsia="ar-SA"/>
    </w:rPr>
  </w:style>
  <w:style w:type="paragraph" w:styleId="Header">
    <w:name w:val="header"/>
    <w:basedOn w:val="Normal"/>
    <w:link w:val="HeaderChar"/>
    <w:uiPriority w:val="99"/>
    <w:unhideWhenUsed/>
    <w:rsid w:val="00720320"/>
    <w:pPr>
      <w:tabs>
        <w:tab w:val="center" w:pos="4153"/>
        <w:tab w:val="right" w:pos="8306"/>
      </w:tabs>
    </w:pPr>
  </w:style>
  <w:style w:type="character" w:customStyle="1" w:styleId="HeaderChar">
    <w:name w:val="Header Char"/>
    <w:basedOn w:val="DefaultParagraphFont"/>
    <w:link w:val="Header"/>
    <w:uiPriority w:val="99"/>
    <w:rsid w:val="00720320"/>
    <w:rPr>
      <w:rFonts w:eastAsia="Times New Roman" w:cs="Times New Roman"/>
      <w:szCs w:val="24"/>
    </w:rPr>
  </w:style>
  <w:style w:type="paragraph" w:styleId="BalloonText">
    <w:name w:val="Balloon Text"/>
    <w:basedOn w:val="Normal"/>
    <w:link w:val="BalloonTextChar"/>
    <w:uiPriority w:val="99"/>
    <w:semiHidden/>
    <w:unhideWhenUsed/>
    <w:rsid w:val="000D28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8F8"/>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A044E2"/>
    <w:pPr>
      <w:spacing w:after="120" w:line="480" w:lineRule="auto"/>
    </w:pPr>
  </w:style>
  <w:style w:type="character" w:customStyle="1" w:styleId="BodyText2Char">
    <w:name w:val="Body Text 2 Char"/>
    <w:basedOn w:val="DefaultParagraphFont"/>
    <w:link w:val="BodyText2"/>
    <w:uiPriority w:val="99"/>
    <w:semiHidden/>
    <w:rsid w:val="00A044E2"/>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7949</Words>
  <Characters>4532</Characters>
  <Application>Microsoft Office Word</Application>
  <DocSecurity>0</DocSecurity>
  <Lines>37</Lines>
  <Paragraphs>24</Paragraphs>
  <ScaleCrop>false</ScaleCrop>
  <Company/>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2017-09-29T06:20:00Z</dcterms:created>
  <dcterms:modified xsi:type="dcterms:W3CDTF">2017-09-29T06:21:00Z</dcterms:modified>
</cp:coreProperties>
</file>