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DD4" w:rsidRPr="00433DD4" w:rsidRDefault="00433DD4" w:rsidP="00433DD4">
      <w:pPr>
        <w:spacing w:line="276" w:lineRule="auto"/>
        <w:jc w:val="both"/>
        <w:rPr>
          <w:rFonts w:eastAsiaTheme="minorHAnsi"/>
          <w:b/>
          <w:color w:val="000000"/>
          <w:lang w:eastAsia="en-US"/>
        </w:rPr>
      </w:pPr>
      <w:bookmarkStart w:id="0" w:name="_Hlk487477198"/>
      <w:r w:rsidRPr="00433DD4">
        <w:rPr>
          <w:b/>
        </w:rPr>
        <w:t>Patērētāja statusa piemērošana personām, kuras kredīta līguma nodrošināšanai noslēgušas galvojuma līgumu</w:t>
      </w:r>
    </w:p>
    <w:p w:rsidR="001D4248" w:rsidRDefault="005779F4" w:rsidP="00433DD4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J</w:t>
      </w:r>
      <w:r w:rsidRPr="00F0799B">
        <w:rPr>
          <w:rFonts w:eastAsiaTheme="minorHAnsi"/>
          <w:color w:val="000000"/>
          <w:lang w:eastAsia="en-US"/>
        </w:rPr>
        <w:t>autājumu par līgumslēdzēju pušu tiesisko vienlīdzību, kā arī to, vai līguma noteikumi nav atzīstami par netaisnīgiem</w:t>
      </w:r>
      <w:r>
        <w:rPr>
          <w:rFonts w:eastAsiaTheme="minorHAnsi"/>
          <w:color w:val="000000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lang w:eastAsia="en-US"/>
        </w:rPr>
        <w:t>Patērētāju tiesību aizsardzības</w:t>
      </w:r>
      <w:r w:rsidRPr="00F0799B">
        <w:rPr>
          <w:rFonts w:eastAsiaTheme="minorHAnsi"/>
          <w:color w:val="000000"/>
          <w:lang w:eastAsia="en-US"/>
        </w:rPr>
        <w:t xml:space="preserve"> likuma izpratnē,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tiesa </w:t>
      </w:r>
      <w:r>
        <w:rPr>
          <w:rFonts w:eastAsiaTheme="minorHAnsi"/>
          <w:color w:val="000000"/>
          <w:lang w:eastAsia="en-US"/>
        </w:rPr>
        <w:t xml:space="preserve">pēc savas iniciatīvas </w:t>
      </w:r>
      <w:r w:rsidRPr="00F0799B">
        <w:rPr>
          <w:rFonts w:eastAsiaTheme="minorHAnsi"/>
          <w:color w:val="000000"/>
          <w:lang w:eastAsia="en-US"/>
        </w:rPr>
        <w:t>izvērtē ne vien tad, kad iebildumus attiecībā par līguma noteikumiem ir izteicis galvenais parādnieks – patērētājs, bet arī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šādas starp ražotāju, pārdevēju, pakalpojuma sniedzēju un patērētāju noslēgtas saistības nodrošinātāji – galvinieks un/vai ķīlas devējs.</w:t>
      </w:r>
    </w:p>
    <w:bookmarkEnd w:id="0"/>
    <w:p w:rsidR="002E23E0" w:rsidRDefault="002E23E0" w:rsidP="00433DD4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2E23E0" w:rsidRPr="00080F32" w:rsidRDefault="002E23E0" w:rsidP="00433DD4">
      <w:pPr>
        <w:shd w:val="clear" w:color="auto" w:fill="FFFFFF"/>
        <w:spacing w:line="276" w:lineRule="auto"/>
        <w:jc w:val="center"/>
        <w:rPr>
          <w:b/>
        </w:rPr>
      </w:pPr>
      <w:r w:rsidRPr="00080F32">
        <w:rPr>
          <w:b/>
          <w:color w:val="000000"/>
        </w:rPr>
        <w:t>Latvijas Republikas</w:t>
      </w:r>
      <w:r>
        <w:rPr>
          <w:b/>
          <w:color w:val="000000"/>
        </w:rPr>
        <w:t xml:space="preserve"> </w:t>
      </w:r>
      <w:r w:rsidRPr="00080F32">
        <w:rPr>
          <w:b/>
          <w:color w:val="000000"/>
        </w:rPr>
        <w:t>Augstākās tiesas</w:t>
      </w:r>
    </w:p>
    <w:p w:rsidR="002E23E0" w:rsidRDefault="002E23E0" w:rsidP="00433DD4">
      <w:pPr>
        <w:shd w:val="clear" w:color="auto" w:fill="FFFFFF"/>
        <w:spacing w:line="276" w:lineRule="auto"/>
        <w:jc w:val="center"/>
        <w:rPr>
          <w:b/>
          <w:color w:val="000000"/>
        </w:rPr>
      </w:pPr>
      <w:r w:rsidRPr="00080F32">
        <w:rPr>
          <w:b/>
          <w:color w:val="000000"/>
        </w:rPr>
        <w:t>Civillietu departamenta</w:t>
      </w:r>
    </w:p>
    <w:p w:rsidR="002E23E0" w:rsidRPr="009A3B0E" w:rsidRDefault="002E23E0" w:rsidP="00433DD4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  <w:color w:val="000000"/>
        </w:rPr>
        <w:t>2017.gada 6</w:t>
      </w:r>
      <w:r w:rsidRPr="009A3B0E">
        <w:rPr>
          <w:b/>
          <w:color w:val="000000"/>
        </w:rPr>
        <w:t>.jū</w:t>
      </w:r>
      <w:r>
        <w:rPr>
          <w:b/>
          <w:color w:val="000000"/>
        </w:rPr>
        <w:t>l</w:t>
      </w:r>
      <w:r w:rsidRPr="009A3B0E">
        <w:rPr>
          <w:b/>
          <w:color w:val="000000"/>
        </w:rPr>
        <w:t>ija</w:t>
      </w:r>
    </w:p>
    <w:p w:rsidR="002E23E0" w:rsidRPr="00080F32" w:rsidRDefault="002E23E0" w:rsidP="00433DD4">
      <w:pPr>
        <w:shd w:val="clear" w:color="auto" w:fill="FFFFFF"/>
        <w:spacing w:line="276" w:lineRule="auto"/>
        <w:ind w:right="-15"/>
        <w:jc w:val="center"/>
        <w:rPr>
          <w:b/>
        </w:rPr>
      </w:pPr>
      <w:r w:rsidRPr="00080F32">
        <w:rPr>
          <w:b/>
          <w:bCs/>
        </w:rPr>
        <w:t>SPRIEDUMS</w:t>
      </w:r>
    </w:p>
    <w:p w:rsidR="002E23E0" w:rsidRPr="00080F32" w:rsidRDefault="002E23E0" w:rsidP="00433DD4">
      <w:pPr>
        <w:spacing w:line="276" w:lineRule="auto"/>
        <w:jc w:val="center"/>
        <w:rPr>
          <w:b/>
        </w:rPr>
      </w:pPr>
      <w:r w:rsidRPr="00080F32">
        <w:rPr>
          <w:b/>
        </w:rPr>
        <w:t>Lieta Nr.</w:t>
      </w:r>
      <w:r w:rsidRPr="009A3B0E">
        <w:rPr>
          <w:b/>
          <w:color w:val="000000"/>
        </w:rPr>
        <w:t>C</w:t>
      </w:r>
      <w:r>
        <w:rPr>
          <w:b/>
          <w:color w:val="000000"/>
        </w:rPr>
        <w:t>12143212</w:t>
      </w:r>
    </w:p>
    <w:p w:rsidR="002E23E0" w:rsidRPr="00F0799B" w:rsidRDefault="002E23E0" w:rsidP="00433DD4">
      <w:pPr>
        <w:spacing w:line="276" w:lineRule="auto"/>
        <w:jc w:val="center"/>
      </w:pPr>
      <w:r w:rsidRPr="00080F32">
        <w:rPr>
          <w:b/>
        </w:rPr>
        <w:t>SKC</w:t>
      </w:r>
      <w:r w:rsidRPr="00080F32">
        <w:rPr>
          <w:b/>
        </w:rPr>
        <w:noBreakHyphen/>
      </w:r>
      <w:r>
        <w:rPr>
          <w:b/>
        </w:rPr>
        <w:t>204/2017</w:t>
      </w:r>
    </w:p>
    <w:p w:rsidR="0024284D" w:rsidRDefault="0024284D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Augstākā tiesa šādā sastāvā: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tiesnesis referents Valerijans Jonikāns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tiesnese Ināra Garda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tiesnesis Aigars Strupišs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rakstveida procesā izskatīja civillietu sakarā ar atbildētāja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kasācijas sūdzību par Latgales apgabaltiesas Civillietu tiesas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kolēģijas </w:t>
      </w:r>
      <w:proofErr w:type="gramStart"/>
      <w:r w:rsidRPr="00F0799B">
        <w:rPr>
          <w:rFonts w:eastAsiaTheme="minorHAnsi"/>
          <w:color w:val="000000"/>
          <w:lang w:eastAsia="en-US"/>
        </w:rPr>
        <w:t>2014.gada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4.decembra spriedumu AS „</w:t>
      </w:r>
      <w:proofErr w:type="spellStart"/>
      <w:r w:rsidRPr="00F0799B">
        <w:rPr>
          <w:rFonts w:eastAsiaTheme="minorHAnsi"/>
          <w:color w:val="000000"/>
          <w:lang w:eastAsia="en-US"/>
        </w:rPr>
        <w:t>Swedbank</w:t>
      </w:r>
      <w:proofErr w:type="spellEnd"/>
      <w:r w:rsidRPr="00F0799B">
        <w:rPr>
          <w:rFonts w:eastAsiaTheme="minorHAnsi"/>
          <w:color w:val="000000"/>
          <w:lang w:eastAsia="en-US"/>
        </w:rPr>
        <w:t xml:space="preserve">” prasībā pret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 un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par parāda piedziņu.</w:t>
      </w:r>
    </w:p>
    <w:p w:rsidR="00B26D9A" w:rsidRDefault="00B26D9A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Default="00F0799B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F0799B">
        <w:rPr>
          <w:rFonts w:eastAsiaTheme="minorHAnsi"/>
          <w:b/>
          <w:bCs/>
          <w:color w:val="000000"/>
          <w:lang w:eastAsia="en-US"/>
        </w:rPr>
        <w:t>Aprakstošā daļa</w:t>
      </w:r>
    </w:p>
    <w:p w:rsidR="00433DD4" w:rsidRPr="00F0799B" w:rsidRDefault="00433DD4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[1] Starp AS „Swedbank” (iepriekš AS „Hansabanka”) un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 (šobrīd</w:t>
      </w:r>
      <w:r w:rsidR="00092AE8">
        <w:rPr>
          <w:rFonts w:eastAsiaTheme="minorHAnsi"/>
          <w:color w:val="000000"/>
          <w:lang w:eastAsia="en-US"/>
        </w:rPr>
        <w:t xml:space="preserve"> </w:t>
      </w:r>
      <w:r w:rsidR="00B26D9A">
        <w:rPr>
          <w:rFonts w:eastAsiaTheme="minorHAnsi"/>
          <w:color w:val="000000"/>
          <w:lang w:eastAsia="en-US"/>
        </w:rPr>
        <w:t>– [pers. B]</w:t>
      </w:r>
      <w:r w:rsidRPr="00F0799B">
        <w:rPr>
          <w:rFonts w:eastAsiaTheme="minorHAnsi"/>
          <w:color w:val="000000"/>
          <w:lang w:eastAsia="en-US"/>
        </w:rPr>
        <w:t xml:space="preserve">) </w:t>
      </w:r>
      <w:proofErr w:type="gramStart"/>
      <w:r w:rsidRPr="00F0799B">
        <w:rPr>
          <w:rFonts w:eastAsiaTheme="minorHAnsi"/>
          <w:color w:val="000000"/>
          <w:lang w:eastAsia="en-US"/>
        </w:rPr>
        <w:t>2006.gada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1.novembrī (ar 2006.gada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11.decembra, 2007.gada 3.decembra, 2008.gada 7.jūlija, 2008.gada 4.decembra un 15.decembra grozījumiem) noslēgts aizdevuma līgums, saskaņā ar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kuru AS „</w:t>
      </w:r>
      <w:proofErr w:type="spellStart"/>
      <w:r w:rsidRPr="00F0799B">
        <w:rPr>
          <w:rFonts w:eastAsiaTheme="minorHAnsi"/>
          <w:color w:val="000000"/>
          <w:lang w:eastAsia="en-US"/>
        </w:rPr>
        <w:t>Swedbank</w:t>
      </w:r>
      <w:proofErr w:type="spellEnd"/>
      <w:r w:rsidRPr="00F0799B">
        <w:rPr>
          <w:rFonts w:eastAsiaTheme="minorHAnsi"/>
          <w:color w:val="000000"/>
          <w:lang w:eastAsia="en-US"/>
        </w:rPr>
        <w:t xml:space="preserve">” </w:t>
      </w:r>
      <w:r w:rsidR="0024284D">
        <w:rPr>
          <w:rFonts w:eastAsiaTheme="minorHAnsi"/>
          <w:color w:val="000000"/>
          <w:lang w:eastAsia="en-US"/>
        </w:rPr>
        <w:t xml:space="preserve">piešķīra </w:t>
      </w:r>
      <w:r w:rsidR="00B26D9A">
        <w:rPr>
          <w:rFonts w:eastAsiaTheme="minorHAnsi"/>
          <w:color w:val="000000"/>
          <w:lang w:eastAsia="en-US"/>
        </w:rPr>
        <w:t>[pers. B]</w:t>
      </w:r>
      <w:r w:rsidR="0024284D">
        <w:rPr>
          <w:rFonts w:eastAsiaTheme="minorHAnsi"/>
          <w:color w:val="000000"/>
          <w:lang w:eastAsia="en-US"/>
        </w:rPr>
        <w:t xml:space="preserve"> aizdevumu 42 </w:t>
      </w:r>
      <w:r w:rsidRPr="00F0799B">
        <w:rPr>
          <w:rFonts w:eastAsiaTheme="minorHAnsi"/>
          <w:color w:val="000000"/>
          <w:lang w:eastAsia="en-US"/>
        </w:rPr>
        <w:t>200,00 EUR apmērā neku</w:t>
      </w:r>
      <w:r w:rsidR="00B26D9A">
        <w:rPr>
          <w:rFonts w:eastAsiaTheme="minorHAnsi"/>
          <w:color w:val="000000"/>
          <w:lang w:eastAsia="en-US"/>
        </w:rPr>
        <w:t>stamā īpašuma jaunajā projektā [</w:t>
      </w:r>
      <w:r w:rsidRPr="00F0799B">
        <w:rPr>
          <w:rFonts w:eastAsiaTheme="minorHAnsi"/>
          <w:color w:val="000000"/>
          <w:lang w:eastAsia="en-US"/>
        </w:rPr>
        <w:t>Nosaukums C</w:t>
      </w:r>
      <w:r w:rsidR="00B26D9A">
        <w:rPr>
          <w:rFonts w:eastAsiaTheme="minorHAnsi"/>
          <w:color w:val="000000"/>
          <w:lang w:eastAsia="en-US"/>
        </w:rPr>
        <w:t>], [</w:t>
      </w:r>
      <w:r w:rsidRPr="00F0799B">
        <w:rPr>
          <w:rFonts w:eastAsiaTheme="minorHAnsi"/>
          <w:color w:val="000000"/>
          <w:lang w:eastAsia="en-US"/>
        </w:rPr>
        <w:t>adrese</w:t>
      </w:r>
      <w:r w:rsidR="00B26D9A">
        <w:rPr>
          <w:rFonts w:eastAsiaTheme="minorHAnsi"/>
          <w:color w:val="000000"/>
          <w:lang w:eastAsia="en-US"/>
        </w:rPr>
        <w:t>]</w:t>
      </w:r>
      <w:r w:rsidRPr="00F0799B">
        <w:rPr>
          <w:rFonts w:eastAsiaTheme="minorHAnsi"/>
          <w:color w:val="000000"/>
          <w:lang w:eastAsia="en-US"/>
        </w:rPr>
        <w:t>, iegādei un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zemes gabala d/s </w:t>
      </w:r>
      <w:r w:rsidR="00092AE8">
        <w:rPr>
          <w:rFonts w:eastAsiaTheme="minorHAnsi"/>
          <w:color w:val="000000"/>
          <w:lang w:eastAsia="en-US"/>
        </w:rPr>
        <w:t>[adrese C]</w:t>
      </w:r>
      <w:r w:rsidRPr="00F0799B">
        <w:rPr>
          <w:rFonts w:eastAsiaTheme="minorHAnsi"/>
          <w:color w:val="000000"/>
          <w:lang w:eastAsia="en-US"/>
        </w:rPr>
        <w:t>, iegādei.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Aizdevuma summ</w:t>
      </w:r>
      <w:r w:rsidR="00092AE8">
        <w:rPr>
          <w:rFonts w:eastAsiaTheme="minorHAnsi"/>
          <w:color w:val="000000"/>
          <w:lang w:eastAsia="en-US"/>
        </w:rPr>
        <w:t>as izmaksa veikta pa daļām – 31 </w:t>
      </w:r>
      <w:r w:rsidRPr="00F0799B">
        <w:rPr>
          <w:rFonts w:eastAsiaTheme="minorHAnsi"/>
          <w:color w:val="000000"/>
          <w:lang w:eastAsia="en-US"/>
        </w:rPr>
        <w:t xml:space="preserve">700 EUR ieskaitīti aizņēmējas kontā </w:t>
      </w:r>
      <w:proofErr w:type="gramStart"/>
      <w:r w:rsidRPr="00F0799B">
        <w:rPr>
          <w:rFonts w:eastAsiaTheme="minorHAnsi"/>
          <w:color w:val="000000"/>
          <w:lang w:eastAsia="en-US"/>
        </w:rPr>
        <w:t>2006.gada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10.novembrī, bet 10</w:t>
      </w:r>
      <w:r w:rsidR="00092AE8">
        <w:rPr>
          <w:rFonts w:eastAsiaTheme="minorHAnsi"/>
          <w:color w:val="000000"/>
          <w:lang w:eastAsia="en-US"/>
        </w:rPr>
        <w:t> </w:t>
      </w:r>
      <w:r w:rsidRPr="00F0799B">
        <w:rPr>
          <w:rFonts w:eastAsiaTheme="minorHAnsi"/>
          <w:color w:val="000000"/>
          <w:lang w:eastAsia="en-US"/>
        </w:rPr>
        <w:t xml:space="preserve">500 EUR ieskaitīti </w:t>
      </w:r>
      <w:r w:rsidR="00B26D9A">
        <w:rPr>
          <w:rFonts w:eastAsiaTheme="minorHAnsi"/>
          <w:color w:val="000000"/>
          <w:lang w:eastAsia="en-US"/>
        </w:rPr>
        <w:t>[pers. G]</w:t>
      </w:r>
      <w:r w:rsidRPr="00F0799B">
        <w:rPr>
          <w:rFonts w:eastAsiaTheme="minorHAnsi"/>
          <w:color w:val="000000"/>
          <w:lang w:eastAsia="en-US"/>
        </w:rPr>
        <w:t xml:space="preserve"> algas kontā 2007.gada 2.aprīlī.</w:t>
      </w:r>
    </w:p>
    <w:p w:rsid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Aizdevuma līgumā noteikto saistību nodrošināšanai </w:t>
      </w:r>
      <w:proofErr w:type="gramStart"/>
      <w:r w:rsidRPr="00F0799B">
        <w:rPr>
          <w:rFonts w:eastAsiaTheme="minorHAnsi"/>
          <w:color w:val="000000"/>
          <w:lang w:eastAsia="en-US"/>
        </w:rPr>
        <w:t>2006.gada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1.novembrī starp pusēm noslēgts hipotēkas līgums, ar kuru AS „Swedbank” labā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="00B26D9A">
        <w:rPr>
          <w:rFonts w:eastAsiaTheme="minorHAnsi"/>
          <w:color w:val="000000"/>
          <w:lang w:eastAsia="en-US"/>
        </w:rPr>
        <w:t>ieķīlāts nekustamais īpašums [adrese A]</w:t>
      </w:r>
      <w:r w:rsidRPr="00F0799B">
        <w:rPr>
          <w:rFonts w:eastAsiaTheme="minorHAnsi"/>
          <w:color w:val="000000"/>
          <w:lang w:eastAsia="en-US"/>
        </w:rPr>
        <w:t xml:space="preserve">. Starp banku un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F0799B">
        <w:rPr>
          <w:rFonts w:eastAsiaTheme="minorHAnsi"/>
          <w:color w:val="000000"/>
          <w:lang w:eastAsia="en-US"/>
        </w:rPr>
        <w:t>2006.gada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1.novembrī noslēgts galvojuma līgums, ar kuru galvinieks apņēmās no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aizdevuma līguma izrietošo saistību izpildi kā pats parādnieks. Tāpat starp AS „</w:t>
      </w:r>
      <w:proofErr w:type="spellStart"/>
      <w:r w:rsidRPr="00F0799B">
        <w:rPr>
          <w:rFonts w:eastAsiaTheme="minorHAnsi"/>
          <w:color w:val="000000"/>
          <w:lang w:eastAsia="en-US"/>
        </w:rPr>
        <w:t>Swedbank</w:t>
      </w:r>
      <w:proofErr w:type="spellEnd"/>
      <w:r w:rsidRPr="00F0799B">
        <w:rPr>
          <w:rFonts w:eastAsiaTheme="minorHAnsi"/>
          <w:color w:val="000000"/>
          <w:lang w:eastAsia="en-US"/>
        </w:rPr>
        <w:t xml:space="preserve">” un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F0799B">
        <w:rPr>
          <w:rFonts w:eastAsiaTheme="minorHAnsi"/>
          <w:color w:val="000000"/>
          <w:lang w:eastAsia="en-US"/>
        </w:rPr>
        <w:t>2007.gada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3.decembrī noslēgts hipotēkas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līgums, ar kuru AS „Swedbank” lab</w:t>
      </w:r>
      <w:r w:rsidR="00B26D9A">
        <w:rPr>
          <w:rFonts w:eastAsiaTheme="minorHAnsi"/>
          <w:color w:val="000000"/>
          <w:lang w:eastAsia="en-US"/>
        </w:rPr>
        <w:t>ā ieķīlāts nekustamais īpašums [adrese B]</w:t>
      </w:r>
      <w:r w:rsidRPr="00F0799B">
        <w:rPr>
          <w:rFonts w:eastAsiaTheme="minorHAnsi"/>
          <w:color w:val="000000"/>
          <w:lang w:eastAsia="en-US"/>
        </w:rPr>
        <w:t>, Rīgā.</w:t>
      </w:r>
    </w:p>
    <w:p w:rsidR="0024284D" w:rsidRPr="00F0799B" w:rsidRDefault="0024284D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lastRenderedPageBreak/>
        <w:t xml:space="preserve">[2] AS „Swedbank” </w:t>
      </w:r>
      <w:proofErr w:type="gramStart"/>
      <w:r w:rsidRPr="00F0799B">
        <w:rPr>
          <w:rFonts w:eastAsiaTheme="minorHAnsi"/>
          <w:color w:val="000000"/>
          <w:lang w:eastAsia="en-US"/>
        </w:rPr>
        <w:t>2012.gada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6.februārī cēlusi tiesā prasību pret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 un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>, kurā, pamatojoties uz Civillikuma 1278., 1319., 1321.,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1587., 1590., 1669., 1670., 1672., 1692., 1698., 1702., 1716., 1720., 1756., 1759., 1763., 1943., 1946.pantu, lūgusi piedzīt solidāri no atbildētājiem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 un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parādu 41</w:t>
      </w:r>
      <w:r w:rsidR="00092AE8">
        <w:rPr>
          <w:rFonts w:eastAsiaTheme="minorHAnsi"/>
          <w:color w:val="000000"/>
          <w:lang w:eastAsia="en-US"/>
        </w:rPr>
        <w:t> </w:t>
      </w:r>
      <w:r w:rsidRPr="00F0799B">
        <w:rPr>
          <w:rFonts w:eastAsiaTheme="minorHAnsi"/>
          <w:color w:val="000000"/>
          <w:lang w:eastAsia="en-US"/>
        </w:rPr>
        <w:t>277,69 EUR – neatmaksātā ai</w:t>
      </w:r>
      <w:r w:rsidR="00092AE8">
        <w:rPr>
          <w:rFonts w:eastAsiaTheme="minorHAnsi"/>
          <w:color w:val="000000"/>
          <w:lang w:eastAsia="en-US"/>
        </w:rPr>
        <w:t>zdevuma pamatsummu 37 </w:t>
      </w:r>
      <w:r w:rsidRPr="00F0799B">
        <w:rPr>
          <w:rFonts w:eastAsiaTheme="minorHAnsi"/>
          <w:color w:val="000000"/>
          <w:lang w:eastAsia="en-US"/>
        </w:rPr>
        <w:t>835,61 EUR, aprēķinātos un nesamaksātos procentus 3442,08 EUR par aizdevuma izmantošanu.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Prasības pieteikumā norādīts, ka atbildētāja savas ar aizdevuma līgumu uzņemtās saistības nepilda kopš 2009.gada 20.februāra, tāpēc prasītāja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2010.gada 4.februārī nosūtījusi atbildētājiem uz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deklarēto un līgumā norādīto adresi paziņojumu, pieprasot nekavējoties atmaksāt visu saskaņā ar aizdevuma līgumu saņemto un bankai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neatmaksāto aizdevuma pamatsummu 37</w:t>
      </w:r>
      <w:r w:rsidR="0024284D">
        <w:rPr>
          <w:rFonts w:eastAsiaTheme="minorHAnsi"/>
          <w:color w:val="000000"/>
          <w:lang w:eastAsia="en-US"/>
        </w:rPr>
        <w:t> </w:t>
      </w:r>
      <w:r w:rsidRPr="00F0799B">
        <w:rPr>
          <w:rFonts w:eastAsiaTheme="minorHAnsi"/>
          <w:color w:val="000000"/>
          <w:lang w:eastAsia="en-US"/>
        </w:rPr>
        <w:t>835,61 EUR, kā arī procentus tādā apmērā, kāds tas būs līdzekļu atmaksas dienā.</w:t>
      </w:r>
    </w:p>
    <w:p w:rsid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Atbildētāji saistību izpildi nav veikuši.</w:t>
      </w:r>
    </w:p>
    <w:p w:rsidR="00092AE8" w:rsidRPr="00F0799B" w:rsidRDefault="00092AE8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[3] Ar Daugavpils tiesas 2014.gada 10.aprīļa spriedumu AS „Swedbank” prasība apmierināta.</w:t>
      </w:r>
    </w:p>
    <w:p w:rsidR="0024284D" w:rsidRPr="00F0799B" w:rsidRDefault="0024284D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[4] Izskatījusi lietu sakarā ar atbildētāja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apelācijas sūdzību, Latgales apgabaltiesas Civillietu tiesas kolēģija ar </w:t>
      </w:r>
      <w:proofErr w:type="gramStart"/>
      <w:r w:rsidRPr="00F0799B">
        <w:rPr>
          <w:rFonts w:eastAsiaTheme="minorHAnsi"/>
          <w:color w:val="000000"/>
          <w:lang w:eastAsia="en-US"/>
        </w:rPr>
        <w:t>2014.gada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4.decembra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spriedumu prasību apmierinājusi daļēji.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Tiesa nospriedusi piedzīt no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, bet piedziņas neiespējamības gadījumā no galvinieka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>, AS „</w:t>
      </w:r>
      <w:proofErr w:type="spellStart"/>
      <w:r w:rsidRPr="00F0799B">
        <w:rPr>
          <w:rFonts w:eastAsiaTheme="minorHAnsi"/>
          <w:color w:val="000000"/>
          <w:lang w:eastAsia="en-US"/>
        </w:rPr>
        <w:t>Swedbank</w:t>
      </w:r>
      <w:proofErr w:type="spellEnd"/>
      <w:r w:rsidRPr="00F0799B">
        <w:rPr>
          <w:rFonts w:eastAsiaTheme="minorHAnsi"/>
          <w:color w:val="000000"/>
          <w:lang w:eastAsia="en-US"/>
        </w:rPr>
        <w:t>” labā pamatparādu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37</w:t>
      </w:r>
      <w:r w:rsidR="0024284D">
        <w:rPr>
          <w:rFonts w:eastAsiaTheme="minorHAnsi"/>
          <w:color w:val="000000"/>
          <w:lang w:eastAsia="en-US"/>
        </w:rPr>
        <w:t> </w:t>
      </w:r>
      <w:r w:rsidRPr="00F0799B">
        <w:rPr>
          <w:rFonts w:eastAsiaTheme="minorHAnsi"/>
          <w:color w:val="000000"/>
          <w:lang w:eastAsia="en-US"/>
        </w:rPr>
        <w:t xml:space="preserve">835,61 EUR, procentus 3442,08 EUR un tiesas izdevumus 825,41 EUR. Noteiktas AS „Swedbank” tiesības saņemt no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>, bet saņemšanas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neiespējamības gadījumā no galvinieka, likumiskos procentus – 6% gadā no nea</w:t>
      </w:r>
      <w:r w:rsidR="0024284D">
        <w:rPr>
          <w:rFonts w:eastAsiaTheme="minorHAnsi"/>
          <w:color w:val="000000"/>
          <w:lang w:eastAsia="en-US"/>
        </w:rPr>
        <w:t>tmaksātās parāda pamatsummas 37 </w:t>
      </w:r>
      <w:r w:rsidRPr="00F0799B">
        <w:rPr>
          <w:rFonts w:eastAsiaTheme="minorHAnsi"/>
          <w:color w:val="000000"/>
          <w:lang w:eastAsia="en-US"/>
        </w:rPr>
        <w:t>835,61 EUR par laiku no sprieduma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stāšanas likumīgā spēkā dienas</w:t>
      </w:r>
      <w:proofErr w:type="gramStart"/>
      <w:r w:rsidRPr="00F0799B">
        <w:rPr>
          <w:rFonts w:eastAsiaTheme="minorHAnsi"/>
          <w:color w:val="000000"/>
          <w:lang w:eastAsia="en-US"/>
        </w:rPr>
        <w:t xml:space="preserve"> un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līdz sprieduma izpildei (izsoles dienai), ievērojot Civillikuma nosacījumus procentu pieauguma aprobežojumam.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Pārējā daļā prasība noraidīta.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Spriedums pamatots ar šādiem argumentiem.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[4.1] Lietā nav strīda par prasītājas norādītās parāda summas apmēru un pamatojumu, ko no atbildētājiem piedzina pirmās instances tiesa, jo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atbildētājs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apelācijas sūdzībā norāda, ka starp pusēm nepastāv strīds par aizdevuma, hipotēkas un galvojuma līguma noslēgšanu.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[4.2] Nepamatots ir apelācijas sūdzības iesniedzēja arguments, ka pret viņu kā galvinieku ir piemērojamas Patērētāju tiesības aizsardzības likuma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normas. Noslēgtais galvojuma līgums nav atzīstams par patērētāju līgumu, jo saskaņā ar Patērētāju tiesību aizsardzības likuma 1.panta 3.punktu patērētājs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ir fiziska persona, kas izsaka vēlēšanos iegādāties, iegādājas vai varētu iegādāties preci vai izmantot pakalpojumu nolūkam, kurš nav saistīts ar tās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saimniecisko darbību vai profesionālo darbību.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Atbildētājs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kā galvinieks Patērētāju tiesību aizsardzības likuma </w:t>
      </w:r>
      <w:proofErr w:type="gramStart"/>
      <w:r w:rsidRPr="00F0799B">
        <w:rPr>
          <w:rFonts w:eastAsiaTheme="minorHAnsi"/>
          <w:color w:val="000000"/>
          <w:lang w:eastAsia="en-US"/>
        </w:rPr>
        <w:t>1.panta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3.punkta un 1993.gada 5.aprīļa Padomes Direktīvas 93/13/EEK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par negodīgiem noteikumiem patērētāju līgumos izpratnē nevar tik atzīts par patērētāju, jo galvojama līguma gadījumā netiek sniegts pakalpojums un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netiek pārdota prece, kā arī galvinieks </w:t>
      </w:r>
      <w:r w:rsidRPr="00F0799B">
        <w:rPr>
          <w:rFonts w:eastAsiaTheme="minorHAnsi"/>
          <w:color w:val="000000"/>
          <w:lang w:eastAsia="en-US"/>
        </w:rPr>
        <w:lastRenderedPageBreak/>
        <w:t>neiegādājas preci un nesaņem pakalpojumu nolūkam, kurš nav saistīts ar tā</w:t>
      </w:r>
      <w:r w:rsidR="0024284D">
        <w:rPr>
          <w:rFonts w:eastAsiaTheme="minorHAnsi"/>
          <w:color w:val="000000"/>
          <w:lang w:eastAsia="en-US"/>
        </w:rPr>
        <w:t xml:space="preserve">s saimniecisko vai profesionālo </w:t>
      </w:r>
      <w:r w:rsidRPr="00F0799B">
        <w:rPr>
          <w:rFonts w:eastAsiaTheme="minorHAnsi"/>
          <w:color w:val="000000"/>
          <w:lang w:eastAsia="en-US"/>
        </w:rPr>
        <w:t>darbību.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[4.3] Atbildētājs</w:t>
      </w:r>
      <w:r w:rsidR="00B26D9A">
        <w:rPr>
          <w:rFonts w:eastAsiaTheme="minorHAnsi"/>
          <w:color w:val="000000"/>
          <w:lang w:eastAsia="en-US"/>
        </w:rPr>
        <w:t xml:space="preserve"> [pers. A]</w:t>
      </w:r>
      <w:r w:rsidRPr="00F0799B">
        <w:rPr>
          <w:rFonts w:eastAsiaTheme="minorHAnsi"/>
          <w:color w:val="000000"/>
          <w:lang w:eastAsia="en-US"/>
        </w:rPr>
        <w:t xml:space="preserve"> apelācijas sūdzībā </w:t>
      </w:r>
      <w:proofErr w:type="gramStart"/>
      <w:r w:rsidRPr="00F0799B">
        <w:rPr>
          <w:rFonts w:eastAsiaTheme="minorHAnsi"/>
          <w:color w:val="000000"/>
          <w:lang w:eastAsia="en-US"/>
        </w:rPr>
        <w:t>vienlaicīgi norāda</w:t>
      </w:r>
      <w:proofErr w:type="gramEnd"/>
      <w:r w:rsidRPr="00F0799B">
        <w:rPr>
          <w:rFonts w:eastAsiaTheme="minorHAnsi"/>
          <w:color w:val="000000"/>
          <w:lang w:eastAsia="en-US"/>
        </w:rPr>
        <w:t>, ka viņš nav sapratis pušu starpā noslēgto līgumu būtību. Uzskatījis, ka aizdevuma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neatmaksāšanas gadījumā viņam būs pienākums nodot ķīlas priekšmetu prasītājai.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Civillikuma 1319.panta noteikumi pieļauj ķīlas ņēmējam meklēt apmierinājumu no ieķīlātās lietas, t.i., pārdot to, lai dzēstu prasījumu. Ieķīlātās lietas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pārdošanas veids un kārtība ir atkarīga no tā, vai ķīlas priekšmets ir kustama manta vai nekustamais īpašums, tāpēc nepamatots ir apelācijas sūdzībā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izteiktais arguments, ka prasītājai ir tiesības pārformēt uz sava vārda ieķīlāto nekustamo īpašumu.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[4.4] Saskaņā ar Civillikuma 1692.panta noteikumiem galvojums ir blakus saistība, kuras uzdevums ir kalpot par citas galvenās parādu saistības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nodrošinājumu. Galvojums ir līgums starp galvinieku un kreditoru, tāpēc nepamatots un noraidāms ir apelācijas sūdzībā izteiktais atbildētāja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>, kas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ir galvinieks lietā, viedoklis,</w:t>
      </w:r>
      <w:proofErr w:type="gramStart"/>
      <w:r w:rsidRPr="00F0799B">
        <w:rPr>
          <w:rFonts w:eastAsiaTheme="minorHAnsi"/>
          <w:color w:val="000000"/>
          <w:lang w:eastAsia="en-US"/>
        </w:rPr>
        <w:t xml:space="preserve"> ka aizdevuma līgumā noteiktā mainīgā procentu likme neatbilst labas ticības principam</w:t>
      </w:r>
      <w:proofErr w:type="gramEnd"/>
      <w:r w:rsidRPr="00F0799B">
        <w:rPr>
          <w:rFonts w:eastAsiaTheme="minorHAnsi"/>
          <w:color w:val="000000"/>
          <w:lang w:eastAsia="en-US"/>
        </w:rPr>
        <w:t>. Galvojums ir atbildības uzņemšanās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par konkrētas personas parādu, bet aizdevuma līgumu noslēdza AS „Swedbank” kā aizdevēja un atbildētāja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 kā aizņēmēja, nevis atbildētājs</w:t>
      </w:r>
      <w:r w:rsidR="0024284D">
        <w:rPr>
          <w:rFonts w:eastAsiaTheme="minorHAnsi"/>
          <w:color w:val="000000"/>
          <w:lang w:eastAsia="en-US"/>
        </w:rPr>
        <w:t xml:space="preserve">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>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[4.5] Civillikuma 1702.pantā noteiktais, ka pie ekspromisoriskā galvojuma, kad galvinieks uzņemas saistību kā pats parādnieks, kreditoram dotas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tiesības izvēlēties, pret ko pirmo vērst savu prasījumu – parādnieku vai galvinieku, bet nedod tiesības pielīdzināt galvinieku parādniekam, veicot no abiem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solidāro piedziņu.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Saskaņā ar Civillikuma 1682., 1686.pantu solidārās saistības būtība izpaužas tādējādi, ka no vairākiem parādniekiem katram ir pienākums izpildīt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visu saistību kopumā un pēc tam kopparādnieku starpā veicami savstarpējie norēķini pēc vienādu daļu principa, t.i., katrs atbild par savu saistības daļu.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Minēto normu mērķis ir atvieglot kreditora prasījuma apmierināšanu no tā parādnieka, kurš ir spējīgs nokārtot visu parādu, taču galvinieks nav atzīstams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par parādnieku.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Nepamatots ir pirmās instances tiesas spriedumā norādītais apstāklis, ka atbildētāja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solidārā atbildība atbilstoši Civillikuma </w:t>
      </w:r>
      <w:proofErr w:type="gramStart"/>
      <w:r w:rsidRPr="00F0799B">
        <w:rPr>
          <w:rFonts w:eastAsiaTheme="minorHAnsi"/>
          <w:color w:val="000000"/>
          <w:lang w:eastAsia="en-US"/>
        </w:rPr>
        <w:t>1672.pantam</w:t>
      </w:r>
      <w:proofErr w:type="gramEnd"/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nodibināta ar līgumu.</w:t>
      </w:r>
    </w:p>
    <w:p w:rsidR="00F0799B" w:rsidRPr="00F0799B" w:rsidRDefault="00B26D9A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[Pers. B]</w:t>
      </w:r>
      <w:r w:rsidR="00F0799B" w:rsidRPr="00F0799B">
        <w:rPr>
          <w:rFonts w:eastAsiaTheme="minorHAnsi"/>
          <w:color w:val="000000"/>
          <w:lang w:eastAsia="en-US"/>
        </w:rPr>
        <w:t xml:space="preserve"> saistības pamats ir aizdevuma līgums</w:t>
      </w:r>
      <w:proofErr w:type="gramStart"/>
      <w:r w:rsidR="00F0799B" w:rsidRPr="00F0799B">
        <w:rPr>
          <w:rFonts w:eastAsiaTheme="minorHAnsi"/>
          <w:color w:val="000000"/>
          <w:lang w:eastAsia="en-US"/>
        </w:rPr>
        <w:t xml:space="preserve"> un</w:t>
      </w:r>
      <w:proofErr w:type="gramEnd"/>
      <w:r w:rsidR="00F0799B" w:rsidRPr="00F0799B">
        <w:rPr>
          <w:rFonts w:eastAsiaTheme="minorHAnsi"/>
          <w:color w:val="000000"/>
          <w:lang w:eastAsia="en-US"/>
        </w:rPr>
        <w:t xml:space="preserve"> viņa ir parādniece attiecībā pret AS „</w:t>
      </w:r>
      <w:proofErr w:type="spellStart"/>
      <w:r w:rsidR="00F0799B" w:rsidRPr="00F0799B">
        <w:rPr>
          <w:rFonts w:eastAsiaTheme="minorHAnsi"/>
          <w:color w:val="000000"/>
          <w:lang w:eastAsia="en-US"/>
        </w:rPr>
        <w:t>Swedbank</w:t>
      </w:r>
      <w:proofErr w:type="spellEnd"/>
      <w:r w:rsidR="00F0799B" w:rsidRPr="00F0799B">
        <w:rPr>
          <w:rFonts w:eastAsiaTheme="minorHAnsi"/>
          <w:color w:val="000000"/>
          <w:lang w:eastAsia="en-US"/>
        </w:rPr>
        <w:t xml:space="preserve">”, savukārt </w:t>
      </w:r>
      <w:r>
        <w:rPr>
          <w:rFonts w:eastAsiaTheme="minorHAnsi"/>
          <w:color w:val="000000"/>
          <w:lang w:eastAsia="en-US"/>
        </w:rPr>
        <w:t>[pers. A]</w:t>
      </w:r>
      <w:r w:rsidR="00F0799B" w:rsidRPr="00F0799B">
        <w:rPr>
          <w:rFonts w:eastAsiaTheme="minorHAnsi"/>
          <w:color w:val="000000"/>
          <w:lang w:eastAsia="en-US"/>
        </w:rPr>
        <w:t xml:space="preserve"> saistības pamatā ir</w:t>
      </w:r>
      <w:r w:rsidR="00F0799B">
        <w:rPr>
          <w:rFonts w:eastAsiaTheme="minorHAnsi"/>
          <w:color w:val="000000"/>
          <w:lang w:eastAsia="en-US"/>
        </w:rPr>
        <w:t xml:space="preserve"> </w:t>
      </w:r>
      <w:r w:rsidR="00F0799B" w:rsidRPr="00F0799B">
        <w:rPr>
          <w:rFonts w:eastAsiaTheme="minorHAnsi"/>
          <w:color w:val="000000"/>
          <w:lang w:eastAsia="en-US"/>
        </w:rPr>
        <w:t>galvojuma līgums, kas kalpo kā papildu jeb akcesora saistība, un abas šīs saistības un arī atbildību, kas no tām izriet, nevar vērtēt vienā līmenī.</w:t>
      </w:r>
    </w:p>
    <w:p w:rsid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Konkrētajā lietā ne loģiski, ne tiesiski nevar piemērot solidāro principu aizņēmējam un galviniekam tikai aizdevuma līguma atbildības daļā, kad aizdevuma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summa piešķirta tikai vienam – aizņēmējam.</w:t>
      </w:r>
    </w:p>
    <w:p w:rsidR="00007BE9" w:rsidRPr="00F0799B" w:rsidRDefault="00007BE9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[5] Kasācijas sūdzībā atbildētājs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lūdzis atcelt apelācijas instances tiesas spriedumu un nodot lietu jaunai izskatīšanai apelācijas instances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tiesā.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Kasācijas sūdzībā minēti šādi argumenti.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[5.1] Tiesai bija pienākums aizdevuma, hipotēkas un galvojuma līgumus izvērtēt saskaņā ar Patērētāju tiesību aizsardzības likuma normām.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lastRenderedPageBreak/>
        <w:t>Kritērijs darījuma atzīšanai par tādu, kas pakļauts patērētāju tiesību tiesiskajam regulējumam, ir līguma subjekts patērētājs – fiziskā persona, kas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izsaka vēlēšanos iegādāties, iegādājas vai varētu iegādāties vai izmantot preci vai pakalpojumu nolūkam, kurš nav saistīts ar tās saimniecisko vai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profesionālo darbību (Patērētāju tiesību aizsardzības likuma 1.panta pirmās daļas 3.punkts). Savukārt, prasītāja kā kredīta devēja savas saimnieciskās vai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profesionālās darbības ietvaros nodarbojas ar kreditēšanu. Tādējādi, noslēdzot minētos darījumus, starp pusēm nodibinātas patērētāju attiecības.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[5.2] Atbildētājam nav bijusi iespēja apspriest galvojuma līguma noteikumus, tas atzīstams par standartlīgumu, tādēļ atbilstoši Patērētāju tiesību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aizsardzības likuma 5.panta otrās daļas 5.punktam un 6.panta trešajai daļai nav spēkā.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[5.3] Atbildētāji neprot valsts valodu un nav sapratuši aizdevuma līguma būtību. Bankas darbinieks paskaidrojis </w:t>
      </w:r>
      <w:r w:rsidR="00B26D9A">
        <w:rPr>
          <w:rFonts w:eastAsiaTheme="minorHAnsi"/>
          <w:color w:val="000000"/>
          <w:lang w:eastAsia="en-US"/>
        </w:rPr>
        <w:t xml:space="preserve">– </w:t>
      </w:r>
      <w:r w:rsidRPr="00F0799B">
        <w:rPr>
          <w:rFonts w:eastAsiaTheme="minorHAnsi"/>
          <w:color w:val="000000"/>
          <w:lang w:eastAsia="en-US"/>
        </w:rPr>
        <w:t xml:space="preserve">ja atbildētāja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 nevarēs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atmaksāt aizdevumu,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būs jāatdod prasītājai nekustamais īpašums, taču vairāk maksāt nevajadzēs.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Līdz ar to uzskata, ka prasītājam ir tiesības pārformēt uz sava vārda ieķīlāto nekustamo īpašumu.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[5.4] Tiesai bija pienākums izvērtēt aizdevuma līguma noteikumus par mainīgo procentu likmi no Civillikuma 1.pantā nostiprinātā labticīguma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aspekta.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Mainīga procentu likme ne ar ko nav aprobežota un pastāv reāla iespēja, ka aizņēmējam būs pienākums maksāt pārmērīgus procentus par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aizdevuma lietošanu, taču tāda neizdevīga un nevienlīdzīga situācija neatbilst labas ticības principam.</w:t>
      </w:r>
    </w:p>
    <w:p w:rsidR="00433DD4" w:rsidRDefault="00433DD4" w:rsidP="00433DD4">
      <w:pPr>
        <w:tabs>
          <w:tab w:val="left" w:pos="3480"/>
          <w:tab w:val="left" w:pos="3730"/>
          <w:tab w:val="center" w:pos="4393"/>
        </w:tabs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Default="00F0799B" w:rsidP="00433DD4">
      <w:pPr>
        <w:tabs>
          <w:tab w:val="left" w:pos="3480"/>
          <w:tab w:val="left" w:pos="3730"/>
          <w:tab w:val="center" w:pos="4393"/>
        </w:tabs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F0799B">
        <w:rPr>
          <w:rFonts w:eastAsiaTheme="minorHAnsi"/>
          <w:b/>
          <w:bCs/>
          <w:color w:val="000000"/>
          <w:lang w:eastAsia="en-US"/>
        </w:rPr>
        <w:t>Motīvu daļa</w:t>
      </w:r>
    </w:p>
    <w:p w:rsidR="00433DD4" w:rsidRPr="00F0799B" w:rsidRDefault="00433DD4" w:rsidP="00433DD4">
      <w:pPr>
        <w:tabs>
          <w:tab w:val="left" w:pos="3480"/>
          <w:tab w:val="left" w:pos="3730"/>
          <w:tab w:val="center" w:pos="4393"/>
        </w:tabs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[6] Izskatījis lietu, Civillietu departaments atzīst, ka tiesas spriedums ir atceļams un lieta nododama jaunai izskatīšanai.</w:t>
      </w:r>
    </w:p>
    <w:p w:rsidR="00007BE9" w:rsidRPr="00F0799B" w:rsidRDefault="00007BE9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[7] Patērētāju tiesību aizsardzības likuma 4.1 panta otrā daļa noteic, ka šā likuma 5.un 6.panta noteikumi piemērojami arī tādām tiesiskajām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attiecībām, kuras uz līguma pamata tiek nodibinātas starp fizisko personu un ražotāju, pārdevēju vai pakalpojuma sniedzēju saskaņā ar līgumu, kas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noslēgts ar patērētāju, tajā skaitā par patērētāja līgumsaistību izpildes nodrošināšanu ar ķīlu vai galvojumu, ja šādu attiecību nodibināšana nav saistīta ar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minētās fiziskās personas saimniecisko vai profesionālo darbību.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Šī likuma norma nozīmē to, ka jautājumu par līgumslēdzēju pušu tiesisko vienlīdzību, kā arī to, vai līguma noteikumi nav atzīstami par netaisnīgiem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minētā likuma izpratnē, tiesa izvērtē ne vien tad, kad iebildumus attiecībā par līguma noteikumiem ir izteicis galvenais parādnieks – patērētājs, bet arī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šādas starp ražotāju, pārdevēju, pakalpojuma sniedzēju un patērētāju noslēgtas saistības nodrošinātāji – galvinieks un/vai ķīlas devējs.</w:t>
      </w:r>
    </w:p>
    <w:p w:rsid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Izšķirot strīdu, tiesa kļūdaini nav piemērojusi Patērētāju tiesību aizsardzības likuma 4.1 panta otro daļu, izdarot šai tiesību normai pretēju atzinumu,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kas varēja novest pie lietas nepareizas izspriešanas un ir pamats tiesas sprieduma atcelšanai.</w:t>
      </w:r>
    </w:p>
    <w:p w:rsidR="00007BE9" w:rsidRPr="00F0799B" w:rsidRDefault="00007BE9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lastRenderedPageBreak/>
        <w:t xml:space="preserve">[8]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apelācijas sūdzībā bija norādīts ne vien uz to, ka galvojuma līgums nav apspriests un tāpēc tas nevar iegūt leģitīmu spēku, bet arī uz to,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ka aizdevuma līgumā noteiktā mainīgā procentu likme ir netaisnīgs līguma noteikums un nevar tikt piemērots.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Atbilstoši Patērētāju tiesību aizsardzības likuma 6.panta vienpadsmitajai daļai tiesa, izšķirot strīdu vai veicot citas no ražotāja, pārdevēja vai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pakalpojuma sniedzēja un patērētāja noslēgtā līguma izrietošās procesuālās darbības, izvērtē līguma noteikumus un strīda atrisināšanai attiecībā uz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patērētāju nepiemēro līgumā ietvertos netaisnīgos noteikumus. Minētā likuma norma noteic tiesas pienākumu pašai pēc savas iniciatīvas izvērtēt to, vai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attiecīgajā strīdā nav konstatējami netaisnīgi līguma noteikumi.</w:t>
      </w:r>
    </w:p>
    <w:p w:rsid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Pat pie kļūdaina tiesas viedokļa, ka galvinieka iebildes līguma noteikumiem nav ņemamas vērā, tiesai, izpildot Patērētāju tiesību aizsardzības likuma</w:t>
      </w:r>
      <w:r>
        <w:rPr>
          <w:rFonts w:eastAsiaTheme="minorHAnsi"/>
          <w:color w:val="000000"/>
          <w:lang w:eastAsia="en-US"/>
        </w:rPr>
        <w:t xml:space="preserve"> </w:t>
      </w:r>
      <w:proofErr w:type="gramStart"/>
      <w:r w:rsidRPr="00F0799B">
        <w:rPr>
          <w:rFonts w:eastAsiaTheme="minorHAnsi"/>
          <w:color w:val="000000"/>
          <w:lang w:eastAsia="en-US"/>
        </w:rPr>
        <w:t>6.panta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vienpadsmitās daļas prasības, bija jāveic noslēgto līgumu vērtējums Patērētāju tiesību aizsardzības likuma normu gaismā, lai konstatētu, ka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patērētāju tiesību aizskārums attiecīgo darījumu slēgšanā nav noticis. Apelācijas instances tiesas spriedums šādu vērtējumu un atziņu, ka, slēdzot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 xml:space="preserve">attiecīgos darījumus, patērētāju tiesību aizsardzības likuma noteikumi nav pārkāpti, nesatur. Neskatoties uz to, ka atbildētāja </w:t>
      </w:r>
      <w:r w:rsidR="00B26D9A">
        <w:rPr>
          <w:rFonts w:eastAsiaTheme="minorHAnsi"/>
          <w:color w:val="000000"/>
          <w:lang w:eastAsia="en-US"/>
        </w:rPr>
        <w:t>[pers. B]</w:t>
      </w:r>
      <w:r w:rsidRPr="00F0799B">
        <w:rPr>
          <w:rFonts w:eastAsiaTheme="minorHAnsi"/>
          <w:color w:val="000000"/>
          <w:lang w:eastAsia="en-US"/>
        </w:rPr>
        <w:t xml:space="preserve"> spriedumu nav pārsūdzējusi, tas, pamatojoties uz Civilprocesa likuma 473.panta otro daļu, ir atceļams kopumā.</w:t>
      </w:r>
    </w:p>
    <w:p w:rsidR="00007BE9" w:rsidRPr="00F0799B" w:rsidRDefault="00007BE9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[</w:t>
      </w:r>
      <w:r w:rsidR="00B26D9A">
        <w:rPr>
          <w:rFonts w:eastAsiaTheme="minorHAnsi"/>
          <w:color w:val="000000"/>
          <w:lang w:eastAsia="en-US"/>
        </w:rPr>
        <w:t>9] Spriedumu atceļot, personai [pers. A]</w:t>
      </w:r>
      <w:r w:rsidRPr="00F0799B">
        <w:rPr>
          <w:rFonts w:eastAsiaTheme="minorHAnsi"/>
          <w:color w:val="000000"/>
          <w:lang w:eastAsia="en-US"/>
        </w:rPr>
        <w:t xml:space="preserve">, kura iemaksājusi drošības naudu 285 EUR, tā atbilstoši Civilprocesa likuma </w:t>
      </w:r>
      <w:proofErr w:type="gramStart"/>
      <w:r w:rsidRPr="00F0799B">
        <w:rPr>
          <w:rFonts w:eastAsiaTheme="minorHAnsi"/>
          <w:color w:val="000000"/>
          <w:lang w:eastAsia="en-US"/>
        </w:rPr>
        <w:t>458.panta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otrajai daļai ir</w:t>
      </w:r>
      <w:r>
        <w:rPr>
          <w:rFonts w:eastAsiaTheme="minorHAnsi"/>
          <w:color w:val="000000"/>
          <w:lang w:eastAsia="en-US"/>
        </w:rPr>
        <w:t xml:space="preserve"> </w:t>
      </w:r>
      <w:r w:rsidRPr="00F0799B">
        <w:rPr>
          <w:rFonts w:eastAsiaTheme="minorHAnsi"/>
          <w:color w:val="000000"/>
          <w:lang w:eastAsia="en-US"/>
        </w:rPr>
        <w:t>atmaksājama.</w:t>
      </w:r>
    </w:p>
    <w:p w:rsidR="00433DD4" w:rsidRDefault="00433DD4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Default="00F0799B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F0799B">
        <w:rPr>
          <w:rFonts w:eastAsiaTheme="minorHAnsi"/>
          <w:b/>
          <w:bCs/>
          <w:color w:val="000000"/>
          <w:lang w:eastAsia="en-US"/>
        </w:rPr>
        <w:t>Rezolutīvā daļa</w:t>
      </w:r>
    </w:p>
    <w:p w:rsidR="00433DD4" w:rsidRPr="00F0799B" w:rsidRDefault="00433DD4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Pamatojoties uz Civilprocesa likuma </w:t>
      </w:r>
      <w:proofErr w:type="gramStart"/>
      <w:r w:rsidRPr="00F0799B">
        <w:rPr>
          <w:rFonts w:eastAsiaTheme="minorHAnsi"/>
          <w:color w:val="000000"/>
          <w:lang w:eastAsia="en-US"/>
        </w:rPr>
        <w:t>474.panta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2.punktu, Augstākā tiesa</w:t>
      </w:r>
    </w:p>
    <w:p w:rsidR="00433DD4" w:rsidRDefault="00433DD4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Default="00433DD4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n</w:t>
      </w:r>
      <w:bookmarkStart w:id="1" w:name="_GoBack"/>
      <w:bookmarkEnd w:id="1"/>
      <w:r w:rsidR="00F0799B" w:rsidRPr="00F0799B">
        <w:rPr>
          <w:rFonts w:eastAsiaTheme="minorHAnsi"/>
          <w:b/>
          <w:bCs/>
          <w:color w:val="000000"/>
          <w:lang w:eastAsia="en-US"/>
        </w:rPr>
        <w:t>osprieda</w:t>
      </w:r>
    </w:p>
    <w:p w:rsidR="00433DD4" w:rsidRPr="00F0799B" w:rsidRDefault="00433DD4" w:rsidP="00433DD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Latgales apgabaltiesas Civillietu tiesas kolēģijas </w:t>
      </w:r>
      <w:proofErr w:type="gramStart"/>
      <w:r w:rsidRPr="00F0799B">
        <w:rPr>
          <w:rFonts w:eastAsiaTheme="minorHAnsi"/>
          <w:color w:val="000000"/>
          <w:lang w:eastAsia="en-US"/>
        </w:rPr>
        <w:t>2014.gada</w:t>
      </w:r>
      <w:proofErr w:type="gramEnd"/>
      <w:r w:rsidRPr="00F0799B">
        <w:rPr>
          <w:rFonts w:eastAsiaTheme="minorHAnsi"/>
          <w:color w:val="000000"/>
          <w:lang w:eastAsia="en-US"/>
        </w:rPr>
        <w:t xml:space="preserve"> 4.decembra spriedumu atcelt un lietu nodot jaunai izskatīšanai apelācijas instances tiesā.</w:t>
      </w:r>
    </w:p>
    <w:p w:rsidR="00F0799B" w:rsidRPr="00F0799B" w:rsidRDefault="00F0799B" w:rsidP="00433DD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 xml:space="preserve">Atmaksāt </w:t>
      </w:r>
      <w:r w:rsidR="00B26D9A">
        <w:rPr>
          <w:rFonts w:eastAsiaTheme="minorHAnsi"/>
          <w:color w:val="000000"/>
          <w:lang w:eastAsia="en-US"/>
        </w:rPr>
        <w:t>[pers. A]</w:t>
      </w:r>
      <w:r w:rsidRPr="00F0799B">
        <w:rPr>
          <w:rFonts w:eastAsiaTheme="minorHAnsi"/>
          <w:color w:val="000000"/>
          <w:lang w:eastAsia="en-US"/>
        </w:rPr>
        <w:t xml:space="preserve"> drošības naudu 285 EUR.</w:t>
      </w:r>
    </w:p>
    <w:p w:rsidR="00F0799B" w:rsidRDefault="00F0799B" w:rsidP="00433DD4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0799B">
        <w:rPr>
          <w:rFonts w:eastAsiaTheme="minorHAnsi"/>
          <w:color w:val="000000"/>
          <w:lang w:eastAsia="en-US"/>
        </w:rPr>
        <w:t>Spriedums nav pārsūdzams.</w:t>
      </w:r>
    </w:p>
    <w:p w:rsidR="00007BE9" w:rsidRDefault="00007BE9" w:rsidP="00433DD4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007BE9" w:rsidRDefault="00007BE9" w:rsidP="00433DD4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007BE9" w:rsidRDefault="00007BE9" w:rsidP="00433DD4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:rsidR="00007BE9" w:rsidRPr="00007BE9" w:rsidRDefault="00007BE9" w:rsidP="00433DD4">
      <w:pPr>
        <w:spacing w:line="276" w:lineRule="auto"/>
        <w:ind w:firstLine="567"/>
        <w:jc w:val="both"/>
        <w:rPr>
          <w:b/>
        </w:rPr>
      </w:pPr>
      <w:r w:rsidRPr="00007BE9">
        <w:rPr>
          <w:rFonts w:eastAsiaTheme="minorHAnsi"/>
          <w:b/>
          <w:color w:val="000000"/>
          <w:lang w:eastAsia="en-US"/>
        </w:rPr>
        <w:t>Tiesību aktu saraksts</w:t>
      </w:r>
    </w:p>
    <w:p w:rsidR="005779F4" w:rsidRDefault="00007BE9" w:rsidP="00433DD4">
      <w:pPr>
        <w:spacing w:line="276" w:lineRule="auto"/>
        <w:jc w:val="both"/>
        <w:rPr>
          <w:rFonts w:eastAsiaTheme="minorHAnsi"/>
          <w:lang w:eastAsia="en-US"/>
        </w:rPr>
      </w:pPr>
      <w:r w:rsidRPr="00007BE9">
        <w:rPr>
          <w:rFonts w:eastAsiaTheme="minorHAnsi"/>
          <w:lang w:eastAsia="en-US"/>
        </w:rPr>
        <w:t xml:space="preserve">Patērētāju tiesību aizsardzības likuma </w:t>
      </w:r>
    </w:p>
    <w:p w:rsidR="00007BE9" w:rsidRDefault="00007BE9" w:rsidP="00433DD4">
      <w:pPr>
        <w:spacing w:line="276" w:lineRule="auto"/>
        <w:ind w:left="567"/>
        <w:jc w:val="both"/>
        <w:rPr>
          <w:rFonts w:eastAsiaTheme="minorHAnsi"/>
          <w:lang w:eastAsia="en-US"/>
        </w:rPr>
      </w:pPr>
      <w:r w:rsidRPr="00007BE9">
        <w:rPr>
          <w:rFonts w:eastAsiaTheme="minorHAnsi"/>
          <w:lang w:eastAsia="en-US"/>
        </w:rPr>
        <w:t>4.</w:t>
      </w:r>
      <w:r w:rsidRPr="00007BE9">
        <w:rPr>
          <w:rFonts w:eastAsiaTheme="minorHAnsi"/>
          <w:vertAlign w:val="superscript"/>
          <w:lang w:eastAsia="en-US"/>
        </w:rPr>
        <w:t>1</w:t>
      </w:r>
      <w:r w:rsidRPr="00007BE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panta otrā</w:t>
      </w:r>
      <w:r w:rsidRPr="00007BE9">
        <w:rPr>
          <w:rFonts w:eastAsiaTheme="minorHAnsi"/>
          <w:lang w:eastAsia="en-US"/>
        </w:rPr>
        <w:t xml:space="preserve"> daļ</w:t>
      </w:r>
      <w:r>
        <w:rPr>
          <w:rFonts w:eastAsiaTheme="minorHAnsi"/>
          <w:lang w:eastAsia="en-US"/>
        </w:rPr>
        <w:t>a</w:t>
      </w:r>
      <w:r w:rsidRPr="00007BE9">
        <w:rPr>
          <w:rFonts w:eastAsiaTheme="minorHAnsi"/>
          <w:lang w:eastAsia="en-US"/>
        </w:rPr>
        <w:t>,</w:t>
      </w:r>
    </w:p>
    <w:p w:rsidR="00007BE9" w:rsidRDefault="00007BE9" w:rsidP="00433DD4">
      <w:pPr>
        <w:spacing w:line="276" w:lineRule="auto"/>
        <w:ind w:left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5.pants,</w:t>
      </w:r>
    </w:p>
    <w:p w:rsidR="00007BE9" w:rsidRPr="00F0799B" w:rsidRDefault="00007BE9" w:rsidP="00433DD4">
      <w:pPr>
        <w:spacing w:line="276" w:lineRule="auto"/>
        <w:ind w:left="567"/>
        <w:jc w:val="both"/>
      </w:pPr>
      <w:r>
        <w:rPr>
          <w:rFonts w:eastAsiaTheme="minorHAnsi"/>
          <w:lang w:eastAsia="en-US"/>
        </w:rPr>
        <w:t>6.pants un vienpadsmita daļa</w:t>
      </w:r>
    </w:p>
    <w:sectPr w:rsidR="00007BE9" w:rsidRPr="00F0799B" w:rsidSect="006E17F6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12"/>
    <w:rsid w:val="00007BE9"/>
    <w:rsid w:val="000576D1"/>
    <w:rsid w:val="00064633"/>
    <w:rsid w:val="00092AE8"/>
    <w:rsid w:val="000E16F2"/>
    <w:rsid w:val="001128EA"/>
    <w:rsid w:val="00131BB0"/>
    <w:rsid w:val="0019055F"/>
    <w:rsid w:val="001D4248"/>
    <w:rsid w:val="00201BF5"/>
    <w:rsid w:val="0024284D"/>
    <w:rsid w:val="002C0ACC"/>
    <w:rsid w:val="002E23E0"/>
    <w:rsid w:val="003218D9"/>
    <w:rsid w:val="00433DD4"/>
    <w:rsid w:val="005645B5"/>
    <w:rsid w:val="005659AF"/>
    <w:rsid w:val="005779F4"/>
    <w:rsid w:val="005A1272"/>
    <w:rsid w:val="00691512"/>
    <w:rsid w:val="006E17F6"/>
    <w:rsid w:val="00877CF2"/>
    <w:rsid w:val="009C26FE"/>
    <w:rsid w:val="00A42F88"/>
    <w:rsid w:val="00AF416C"/>
    <w:rsid w:val="00B26D9A"/>
    <w:rsid w:val="00CA72BC"/>
    <w:rsid w:val="00DD20DB"/>
    <w:rsid w:val="00E7045F"/>
    <w:rsid w:val="00EC1AA5"/>
    <w:rsid w:val="00F0799B"/>
    <w:rsid w:val="00F76B00"/>
    <w:rsid w:val="00FC54EA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910B"/>
  <w15:docId w15:val="{8E8B8AA1-843D-42BD-A9D6-8799E4DE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BF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BF5"/>
    <w:pPr>
      <w:spacing w:after="0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8440</Words>
  <Characters>4812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Zinaida Indrūna</cp:lastModifiedBy>
  <cp:revision>9</cp:revision>
  <dcterms:created xsi:type="dcterms:W3CDTF">2017-07-09T00:02:00Z</dcterms:created>
  <dcterms:modified xsi:type="dcterms:W3CDTF">2017-09-29T06:29:00Z</dcterms:modified>
</cp:coreProperties>
</file>