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CE0" w:rsidRDefault="003D7CE0" w:rsidP="003D7CE0">
      <w:pPr>
        <w:jc w:val="both"/>
        <w:rPr>
          <w:b/>
        </w:rPr>
      </w:pPr>
      <w:bookmarkStart w:id="0" w:name="_GoBack"/>
      <w:bookmarkEnd w:id="0"/>
      <w:r w:rsidRPr="003D7CE0">
        <w:rPr>
          <w:b/>
        </w:rPr>
        <w:t xml:space="preserve">Liecinieka un apsūdzētā </w:t>
      </w:r>
      <w:r w:rsidR="00AA286C">
        <w:rPr>
          <w:b/>
        </w:rPr>
        <w:t>tiesību neliecināt nošķiršana; z</w:t>
      </w:r>
      <w:r w:rsidRPr="003D7CE0">
        <w:rPr>
          <w:b/>
        </w:rPr>
        <w:t>iņu, kuras iegūtas pratinot liecinieka statusā personu, kurai faktiski ir tiesības uz aizstāvību, pieļaujamība un izmantošana pierādīšanā</w:t>
      </w:r>
    </w:p>
    <w:p w:rsidR="003D7CE0" w:rsidRDefault="003D7CE0" w:rsidP="003D7CE0">
      <w:pPr>
        <w:jc w:val="both"/>
        <w:rPr>
          <w:b/>
        </w:rPr>
      </w:pPr>
    </w:p>
    <w:p w:rsidR="003D7CE0" w:rsidRPr="003D7CE0" w:rsidRDefault="00F40D8B" w:rsidP="00F40D8B">
      <w:pPr>
        <w:jc w:val="both"/>
      </w:pPr>
      <w:r>
        <w:rPr>
          <w:rFonts w:ascii="TimesNewRomanPSMT" w:hAnsi="TimesNewRomanPSMT" w:cs="TimesNewRomanPSMT"/>
        </w:rPr>
        <w:t xml:space="preserve">1. </w:t>
      </w:r>
      <w:r w:rsidR="003D7CE0" w:rsidRPr="00F40D8B">
        <w:rPr>
          <w:rFonts w:ascii="TimesNewRomanPSMT" w:hAnsi="TimesNewRomanPSMT" w:cs="TimesNewRomanPSMT"/>
        </w:rPr>
        <w:t>Lieciniekam un personai, kurai ir tiesības uz aizstāvību, piešķirto tiesību neliecināt apjoms un sekas par nepatiesu liecību sniegšanu ir atšķirīgas. Proti, personām, kurām ir tiesības uz aizstāvību, ir tiesības neliecināt, kas ietver gan tiesības klusēt, gan tiesības neatbildēt uz konkrētiem jautājumiem, neparedzot atbildību par nepatiesu liecību sniegšanu. Savukārt lieciniekam tiesības neliecināt ir noteiktas ierobežotā apjomā, turklāt lieciniekam ir pienākums sniegt patiesas liecības.</w:t>
      </w:r>
    </w:p>
    <w:p w:rsidR="003D7CE0" w:rsidRDefault="003D7CE0" w:rsidP="003D7CE0">
      <w:pPr>
        <w:pStyle w:val="ListParagraph"/>
        <w:jc w:val="both"/>
      </w:pPr>
    </w:p>
    <w:p w:rsidR="003D7CE0" w:rsidRDefault="00F40D8B" w:rsidP="00F40D8B">
      <w:pPr>
        <w:jc w:val="both"/>
      </w:pPr>
      <w:r>
        <w:t xml:space="preserve">2. </w:t>
      </w:r>
      <w:r w:rsidR="003D7CE0">
        <w:t>Lai noteiktu, vai ziņas, kuras iegūtas, pratinot faktisko apsūdzēto liecinieka statusā, atbilstoši Kriminālprocesa likuma 130. pantā noteiktajam ir pieļaujamas un pierādīšanā izmantojamas, būtiska nozīme ir vispusīgam to apstākļu vērtējumam, kas noteic personas faktisko saistību ar konkrēto noziedzīgo nodarījumu un to, vai persona pamatoti pratināta kā liecinieks.</w:t>
      </w:r>
    </w:p>
    <w:p w:rsidR="003D7CE0" w:rsidRDefault="003D7CE0" w:rsidP="003D7CE0">
      <w:pPr>
        <w:pStyle w:val="ListParagraph"/>
      </w:pPr>
    </w:p>
    <w:p w:rsidR="003D7CE0" w:rsidRDefault="003D7CE0" w:rsidP="003D7CE0">
      <w:pPr>
        <w:jc w:val="both"/>
      </w:pPr>
    </w:p>
    <w:p w:rsidR="003D7CE0" w:rsidRPr="003D7CE0" w:rsidRDefault="003D7CE0" w:rsidP="003D7CE0">
      <w:pPr>
        <w:pStyle w:val="BodyText2"/>
        <w:jc w:val="center"/>
        <w:outlineLvl w:val="0"/>
        <w:rPr>
          <w:rFonts w:ascii="Times New Roman" w:hAnsi="Times New Roman"/>
          <w:b/>
          <w:sz w:val="24"/>
          <w:szCs w:val="24"/>
        </w:rPr>
      </w:pPr>
      <w:r w:rsidRPr="003D7CE0">
        <w:rPr>
          <w:rFonts w:ascii="Times New Roman" w:hAnsi="Times New Roman"/>
          <w:b/>
          <w:sz w:val="24"/>
          <w:szCs w:val="24"/>
        </w:rPr>
        <w:t>Latvijas Republikas Augstākās tiesas</w:t>
      </w:r>
    </w:p>
    <w:p w:rsidR="003D7CE0" w:rsidRPr="003D7CE0" w:rsidRDefault="003D7CE0" w:rsidP="003D7CE0">
      <w:pPr>
        <w:pStyle w:val="BodyText2"/>
        <w:jc w:val="center"/>
        <w:outlineLvl w:val="0"/>
        <w:rPr>
          <w:rFonts w:ascii="Times New Roman" w:hAnsi="Times New Roman"/>
          <w:b/>
          <w:sz w:val="24"/>
          <w:szCs w:val="24"/>
        </w:rPr>
      </w:pPr>
      <w:r w:rsidRPr="003D7CE0">
        <w:rPr>
          <w:rFonts w:ascii="Times New Roman" w:hAnsi="Times New Roman"/>
          <w:b/>
          <w:sz w:val="24"/>
          <w:szCs w:val="24"/>
        </w:rPr>
        <w:t>Krimināllietu departamenta</w:t>
      </w:r>
    </w:p>
    <w:p w:rsidR="003D7CE0" w:rsidRPr="003D7CE0" w:rsidRDefault="003D7CE0" w:rsidP="003D7CE0">
      <w:pPr>
        <w:pStyle w:val="BodyText2"/>
        <w:jc w:val="center"/>
        <w:outlineLvl w:val="0"/>
        <w:rPr>
          <w:rFonts w:ascii="Times New Roman" w:hAnsi="Times New Roman"/>
          <w:b/>
          <w:sz w:val="24"/>
          <w:szCs w:val="24"/>
        </w:rPr>
      </w:pPr>
      <w:r>
        <w:rPr>
          <w:rFonts w:ascii="Times New Roman" w:hAnsi="Times New Roman"/>
          <w:b/>
          <w:sz w:val="24"/>
          <w:szCs w:val="24"/>
        </w:rPr>
        <w:t>2017. gada 30</w:t>
      </w:r>
      <w:r w:rsidRPr="003D7CE0">
        <w:rPr>
          <w:rFonts w:ascii="Times New Roman" w:hAnsi="Times New Roman"/>
          <w:b/>
          <w:sz w:val="24"/>
          <w:szCs w:val="24"/>
        </w:rPr>
        <w:t xml:space="preserve">. </w:t>
      </w:r>
      <w:r>
        <w:rPr>
          <w:rFonts w:ascii="Times New Roman" w:hAnsi="Times New Roman"/>
          <w:b/>
          <w:sz w:val="24"/>
          <w:szCs w:val="24"/>
        </w:rPr>
        <w:t>maija</w:t>
      </w:r>
    </w:p>
    <w:p w:rsidR="003D7CE0" w:rsidRPr="003D7CE0" w:rsidRDefault="003D7CE0" w:rsidP="003D7CE0">
      <w:pPr>
        <w:pStyle w:val="BodyText2"/>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3D7CE0">
          <w:rPr>
            <w:rFonts w:ascii="Times New Roman" w:hAnsi="Times New Roman"/>
            <w:b/>
            <w:sz w:val="24"/>
            <w:szCs w:val="24"/>
          </w:rPr>
          <w:t>LĒMUMS</w:t>
        </w:r>
      </w:smartTag>
    </w:p>
    <w:p w:rsidR="003D7CE0" w:rsidRPr="003D7CE0" w:rsidRDefault="003D7CE0" w:rsidP="003D7CE0">
      <w:pPr>
        <w:jc w:val="center"/>
        <w:outlineLvl w:val="0"/>
        <w:rPr>
          <w:b/>
        </w:rPr>
      </w:pPr>
      <w:r w:rsidRPr="003D7CE0">
        <w:rPr>
          <w:b/>
        </w:rPr>
        <w:t xml:space="preserve">Lietā Nr. </w:t>
      </w:r>
      <w:r>
        <w:rPr>
          <w:b/>
        </w:rPr>
        <w:t>15830000615</w:t>
      </w:r>
    </w:p>
    <w:p w:rsidR="003D7CE0" w:rsidRPr="003D7CE0" w:rsidRDefault="003D7CE0" w:rsidP="003D7CE0">
      <w:pPr>
        <w:jc w:val="center"/>
      </w:pPr>
      <w:r>
        <w:rPr>
          <w:b/>
        </w:rPr>
        <w:t>SKK-60</w:t>
      </w:r>
      <w:r w:rsidRPr="003D7CE0">
        <w:rPr>
          <w:b/>
        </w:rPr>
        <w:t>/2017</w:t>
      </w:r>
    </w:p>
    <w:p w:rsidR="004A22DA" w:rsidRPr="009747EE" w:rsidRDefault="004A22DA" w:rsidP="003D7CE0">
      <w:pPr>
        <w:pStyle w:val="BodyText2"/>
        <w:spacing w:line="276" w:lineRule="auto"/>
        <w:jc w:val="left"/>
        <w:rPr>
          <w:rFonts w:ascii="Times New Roman" w:hAnsi="Times New Roman"/>
          <w:sz w:val="24"/>
          <w:szCs w:val="24"/>
        </w:rPr>
      </w:pPr>
    </w:p>
    <w:p w:rsidR="004A22DA" w:rsidRPr="009747EE" w:rsidRDefault="004A22DA" w:rsidP="00080484">
      <w:pPr>
        <w:spacing w:line="276" w:lineRule="auto"/>
        <w:jc w:val="both"/>
      </w:pPr>
      <w:r w:rsidRPr="009747EE">
        <w:t>Augstākā tiesa šādā sastāvā:</w:t>
      </w:r>
    </w:p>
    <w:p w:rsidR="004A22DA" w:rsidRPr="009747EE" w:rsidRDefault="004A22DA" w:rsidP="00080484">
      <w:pPr>
        <w:spacing w:line="276" w:lineRule="auto"/>
        <w:ind w:firstLine="709"/>
        <w:jc w:val="both"/>
      </w:pPr>
      <w:r>
        <w:t>t</w:t>
      </w:r>
      <w:r w:rsidRPr="009747EE">
        <w:t>iesnese</w:t>
      </w:r>
      <w:r>
        <w:t xml:space="preserve"> Anita </w:t>
      </w:r>
      <w:r w:rsidRPr="009747EE">
        <w:t>Poļakova</w:t>
      </w:r>
      <w:r w:rsidR="00422FD4">
        <w:t>,</w:t>
      </w:r>
    </w:p>
    <w:p w:rsidR="004A22DA" w:rsidRPr="009747EE" w:rsidRDefault="0044116C" w:rsidP="00080484">
      <w:pPr>
        <w:spacing w:line="276" w:lineRule="auto"/>
        <w:ind w:firstLine="709"/>
        <w:jc w:val="both"/>
      </w:pPr>
      <w:r>
        <w:t>tiesnese Aija Branta</w:t>
      </w:r>
      <w:r w:rsidR="00422FD4">
        <w:t>,</w:t>
      </w:r>
    </w:p>
    <w:p w:rsidR="004A22DA" w:rsidRDefault="0044116C" w:rsidP="00080484">
      <w:pPr>
        <w:spacing w:line="276" w:lineRule="auto"/>
        <w:ind w:firstLine="709"/>
        <w:jc w:val="both"/>
      </w:pPr>
      <w:r>
        <w:t>tiesnese Inguna Radzeviča</w:t>
      </w:r>
    </w:p>
    <w:p w:rsidR="00422FD4" w:rsidRPr="009747EE" w:rsidRDefault="00422FD4" w:rsidP="00080484">
      <w:pPr>
        <w:spacing w:line="276" w:lineRule="auto"/>
        <w:ind w:firstLine="709"/>
        <w:jc w:val="both"/>
      </w:pPr>
    </w:p>
    <w:p w:rsidR="004A22DA" w:rsidRDefault="004A22DA" w:rsidP="00080484">
      <w:pPr>
        <w:spacing w:line="276" w:lineRule="auto"/>
        <w:jc w:val="both"/>
      </w:pPr>
      <w:r w:rsidRPr="009747EE">
        <w:t xml:space="preserve">izskatīja rakstveida procesā krimināllietu sakarā ar </w:t>
      </w:r>
      <w:r>
        <w:t xml:space="preserve">apsūdzētā </w:t>
      </w:r>
      <w:r w:rsidR="006700ED">
        <w:t>[pers. A]</w:t>
      </w:r>
      <w:r w:rsidR="00101852">
        <w:t xml:space="preserve"> aizstāvja Aivara Purmaļa</w:t>
      </w:r>
      <w:r>
        <w:t xml:space="preserve"> kasācijas sūdzību</w:t>
      </w:r>
      <w:r w:rsidRPr="009747EE">
        <w:t xml:space="preserve"> par </w:t>
      </w:r>
      <w:r w:rsidR="00101852">
        <w:t>Zemgales</w:t>
      </w:r>
      <w:r w:rsidRPr="009747EE">
        <w:t xml:space="preserve"> apgabaltiesas 201</w:t>
      </w:r>
      <w:r>
        <w:t>6</w:t>
      </w:r>
      <w:r w:rsidRPr="009747EE">
        <w:t xml:space="preserve">.gada </w:t>
      </w:r>
      <w:r w:rsidR="00101852">
        <w:t>31</w:t>
      </w:r>
      <w:r>
        <w:t>.oktobra</w:t>
      </w:r>
      <w:r w:rsidRPr="009747EE">
        <w:t xml:space="preserve"> </w:t>
      </w:r>
      <w:r>
        <w:t>lēmumu.</w:t>
      </w:r>
    </w:p>
    <w:p w:rsidR="004A22DA" w:rsidRPr="009747EE" w:rsidRDefault="004A22DA" w:rsidP="00080484">
      <w:pPr>
        <w:spacing w:line="276" w:lineRule="auto"/>
        <w:jc w:val="both"/>
      </w:pPr>
    </w:p>
    <w:p w:rsidR="004A22DA" w:rsidRDefault="004A22DA" w:rsidP="00080484">
      <w:pPr>
        <w:autoSpaceDE w:val="0"/>
        <w:autoSpaceDN w:val="0"/>
        <w:adjustRightInd w:val="0"/>
        <w:spacing w:line="276" w:lineRule="auto"/>
        <w:jc w:val="center"/>
        <w:rPr>
          <w:rFonts w:ascii="TimesNewRomanPS-BoldMT" w:hAnsi="TimesNewRomanPS-BoldMT" w:cs="TimesNewRomanPS-BoldMT"/>
          <w:b/>
          <w:bCs/>
        </w:rPr>
      </w:pPr>
      <w:r w:rsidRPr="00291D22">
        <w:rPr>
          <w:rFonts w:ascii="TimesNewRomanPS-BoldMT" w:hAnsi="TimesNewRomanPS-BoldMT" w:cs="TimesNewRomanPS-BoldMT"/>
          <w:b/>
          <w:bCs/>
        </w:rPr>
        <w:t>Aprakstošā daļa</w:t>
      </w:r>
    </w:p>
    <w:p w:rsidR="004A22DA" w:rsidRPr="00291D22" w:rsidRDefault="004A22DA" w:rsidP="00080484">
      <w:pPr>
        <w:autoSpaceDE w:val="0"/>
        <w:autoSpaceDN w:val="0"/>
        <w:adjustRightInd w:val="0"/>
        <w:spacing w:line="276" w:lineRule="auto"/>
        <w:jc w:val="center"/>
        <w:rPr>
          <w:rFonts w:ascii="TimesNewRomanPS-BoldMT" w:hAnsi="TimesNewRomanPS-BoldMT" w:cs="TimesNewRomanPS-BoldMT"/>
          <w:b/>
          <w:bCs/>
        </w:rPr>
      </w:pPr>
    </w:p>
    <w:p w:rsidR="004A22DA" w:rsidRPr="00E57C57" w:rsidRDefault="004A22DA" w:rsidP="00080484">
      <w:pPr>
        <w:spacing w:line="276" w:lineRule="auto"/>
        <w:ind w:firstLine="709"/>
        <w:jc w:val="both"/>
      </w:pPr>
      <w:r>
        <w:t xml:space="preserve">[1] </w:t>
      </w:r>
      <w:r w:rsidRPr="00E57C57">
        <w:t xml:space="preserve">Ar </w:t>
      </w:r>
      <w:r w:rsidR="00714D65">
        <w:t>Tukuma rajona tiesas 2016.gada 19.maija</w:t>
      </w:r>
      <w:r w:rsidRPr="00E57C57">
        <w:t xml:space="preserve"> spriedumu</w:t>
      </w:r>
    </w:p>
    <w:p w:rsidR="004A22DA" w:rsidRDefault="00EA5FF1" w:rsidP="00080484">
      <w:pPr>
        <w:spacing w:line="276" w:lineRule="auto"/>
        <w:ind w:firstLine="709"/>
        <w:jc w:val="both"/>
        <w:rPr>
          <w:bCs/>
        </w:rPr>
      </w:pPr>
      <w:r>
        <w:rPr>
          <w:b/>
          <w:bCs/>
        </w:rPr>
        <w:t>[pers. A]</w:t>
      </w:r>
      <w:r w:rsidR="004A22DA" w:rsidRPr="00E57C57">
        <w:t xml:space="preserve">, personas kods </w:t>
      </w:r>
      <w:r>
        <w:rPr>
          <w:rFonts w:eastAsiaTheme="minorHAnsi"/>
          <w:bCs/>
        </w:rPr>
        <w:t>[..]</w:t>
      </w:r>
      <w:r w:rsidR="004A22DA" w:rsidRPr="00E57C57">
        <w:t>,</w:t>
      </w:r>
    </w:p>
    <w:p w:rsidR="004A22DA" w:rsidRDefault="004A22DA" w:rsidP="00080484">
      <w:pPr>
        <w:spacing w:line="276" w:lineRule="auto"/>
        <w:ind w:firstLine="709"/>
        <w:jc w:val="both"/>
        <w:rPr>
          <w:rFonts w:eastAsiaTheme="minorHAnsi"/>
        </w:rPr>
      </w:pPr>
      <w:r w:rsidRPr="00E57C57">
        <w:rPr>
          <w:rFonts w:eastAsiaTheme="minorHAnsi"/>
        </w:rPr>
        <w:t>atzīt</w:t>
      </w:r>
      <w:r>
        <w:rPr>
          <w:rFonts w:eastAsiaTheme="minorHAnsi"/>
        </w:rPr>
        <w:t>s</w:t>
      </w:r>
      <w:r w:rsidRPr="00E57C57">
        <w:rPr>
          <w:rFonts w:eastAsiaTheme="minorHAnsi"/>
        </w:rPr>
        <w:t xml:space="preserve"> par vainīgu </w:t>
      </w:r>
      <w:r>
        <w:rPr>
          <w:rFonts w:eastAsiaTheme="minorHAnsi"/>
        </w:rPr>
        <w:t xml:space="preserve">Krimināllikuma </w:t>
      </w:r>
      <w:r w:rsidR="00714D65">
        <w:rPr>
          <w:rFonts w:eastAsiaTheme="minorHAnsi"/>
        </w:rPr>
        <w:t>218.panta otrajā daļā</w:t>
      </w:r>
      <w:r>
        <w:rPr>
          <w:rFonts w:eastAsiaTheme="minorHAnsi"/>
        </w:rPr>
        <w:t xml:space="preserve"> paredzētaj</w:t>
      </w:r>
      <w:r w:rsidR="00714D65">
        <w:rPr>
          <w:rFonts w:eastAsiaTheme="minorHAnsi"/>
        </w:rPr>
        <w:t>ā</w:t>
      </w:r>
      <w:r>
        <w:rPr>
          <w:rFonts w:eastAsiaTheme="minorHAnsi"/>
        </w:rPr>
        <w:t xml:space="preserve"> </w:t>
      </w:r>
      <w:r w:rsidRPr="00E57C57">
        <w:rPr>
          <w:rFonts w:eastAsiaTheme="minorHAnsi"/>
        </w:rPr>
        <w:t>noziedzīga</w:t>
      </w:r>
      <w:r w:rsidR="00714D65">
        <w:rPr>
          <w:rFonts w:eastAsiaTheme="minorHAnsi"/>
        </w:rPr>
        <w:t>jā nodarījumā</w:t>
      </w:r>
      <w:r w:rsidRPr="00E57C57">
        <w:rPr>
          <w:rFonts w:eastAsiaTheme="minorHAnsi"/>
        </w:rPr>
        <w:t xml:space="preserve"> un sodīt</w:t>
      </w:r>
      <w:r>
        <w:rPr>
          <w:rFonts w:eastAsiaTheme="minorHAnsi"/>
        </w:rPr>
        <w:t>s</w:t>
      </w:r>
      <w:r w:rsidRPr="00E57C57">
        <w:rPr>
          <w:rFonts w:eastAsiaTheme="minorHAnsi"/>
        </w:rPr>
        <w:t xml:space="preserve"> ar </w:t>
      </w:r>
      <w:r w:rsidR="00C6184A">
        <w:rPr>
          <w:rFonts w:eastAsiaTheme="minorHAnsi"/>
        </w:rPr>
        <w:t>piespiedu darbu uz 250 stundām, atņemot tiesības veikt visa veida komercdarbību uz 2 gadiem</w:t>
      </w:r>
      <w:r w:rsidRPr="00E57C57">
        <w:rPr>
          <w:rFonts w:eastAsiaTheme="minorHAnsi"/>
        </w:rPr>
        <w:t>.</w:t>
      </w:r>
    </w:p>
    <w:p w:rsidR="004A22DA" w:rsidRDefault="00A002D6" w:rsidP="00080484">
      <w:pPr>
        <w:spacing w:line="276" w:lineRule="auto"/>
        <w:ind w:firstLine="709"/>
        <w:jc w:val="both"/>
        <w:rPr>
          <w:rFonts w:eastAsiaTheme="minorHAnsi"/>
        </w:rPr>
      </w:pPr>
      <w:r>
        <w:rPr>
          <w:rFonts w:eastAsiaTheme="minorHAnsi"/>
        </w:rPr>
        <w:t xml:space="preserve">No </w:t>
      </w:r>
      <w:r w:rsidR="00EA5FF1">
        <w:rPr>
          <w:rFonts w:eastAsiaTheme="minorHAnsi"/>
        </w:rPr>
        <w:t>[pers. A]</w:t>
      </w:r>
      <w:r>
        <w:rPr>
          <w:rFonts w:eastAsiaTheme="minorHAnsi"/>
        </w:rPr>
        <w:t xml:space="preserve"> valsts labā piedzīta</w:t>
      </w:r>
      <w:r w:rsidR="00C666ED">
        <w:rPr>
          <w:rFonts w:eastAsiaTheme="minorHAnsi"/>
        </w:rPr>
        <w:t xml:space="preserve"> mantiskā zaudējuma kompensācija 8 104,68 </w:t>
      </w:r>
      <w:r w:rsidR="00C666ED" w:rsidRPr="00C666ED">
        <w:rPr>
          <w:rFonts w:eastAsiaTheme="minorHAnsi"/>
          <w:i/>
        </w:rPr>
        <w:t>euro</w:t>
      </w:r>
      <w:r w:rsidR="004A22DA">
        <w:rPr>
          <w:rFonts w:eastAsiaTheme="minorHAnsi"/>
        </w:rPr>
        <w:t>.</w:t>
      </w:r>
    </w:p>
    <w:p w:rsidR="00422FD4" w:rsidRDefault="00422FD4" w:rsidP="00080484">
      <w:pPr>
        <w:spacing w:line="276" w:lineRule="auto"/>
        <w:ind w:firstLine="709"/>
        <w:jc w:val="both"/>
        <w:rPr>
          <w:rFonts w:eastAsiaTheme="minorHAnsi"/>
        </w:rPr>
      </w:pPr>
    </w:p>
    <w:p w:rsidR="00C666ED" w:rsidRDefault="00C666ED" w:rsidP="00080484">
      <w:pPr>
        <w:spacing w:line="276" w:lineRule="auto"/>
        <w:ind w:firstLine="709"/>
        <w:jc w:val="both"/>
        <w:rPr>
          <w:rFonts w:eastAsiaTheme="minorHAnsi"/>
        </w:rPr>
      </w:pPr>
      <w:r>
        <w:rPr>
          <w:rFonts w:eastAsiaTheme="minorHAnsi"/>
        </w:rPr>
        <w:t>[</w:t>
      </w:r>
      <w:r w:rsidR="00422FD4">
        <w:rPr>
          <w:rFonts w:eastAsiaTheme="minorHAnsi"/>
        </w:rPr>
        <w:t>2</w:t>
      </w:r>
      <w:r>
        <w:rPr>
          <w:rFonts w:eastAsiaTheme="minorHAnsi"/>
        </w:rPr>
        <w:t xml:space="preserve">] Ar Tukuma rajona tiesas 2016.gada 19.maija spriedumu </w:t>
      </w:r>
      <w:r w:rsidR="00EA5FF1">
        <w:rPr>
          <w:rFonts w:eastAsiaTheme="minorHAnsi"/>
        </w:rPr>
        <w:t>[pers. A]</w:t>
      </w:r>
      <w:r>
        <w:rPr>
          <w:rFonts w:eastAsiaTheme="minorHAnsi"/>
        </w:rPr>
        <w:t xml:space="preserve"> atzīts par vainīgu un sodīts pēc Krimināllikuma 218.panta otrās daļas par to, ka </w:t>
      </w:r>
      <w:r w:rsidR="006C49A3">
        <w:rPr>
          <w:rFonts w:eastAsiaTheme="minorHAnsi"/>
        </w:rPr>
        <w:t>viņš izvairījās no nodokļu nomaksas, nodarot valstij zaudējumus lielā apmērā.</w:t>
      </w:r>
    </w:p>
    <w:p w:rsidR="006C49A3" w:rsidRDefault="006C49A3" w:rsidP="00080484">
      <w:pPr>
        <w:spacing w:line="276" w:lineRule="auto"/>
        <w:ind w:firstLine="709"/>
        <w:jc w:val="both"/>
        <w:rPr>
          <w:rFonts w:eastAsiaTheme="minorHAnsi"/>
        </w:rPr>
      </w:pPr>
    </w:p>
    <w:p w:rsidR="006C49A3" w:rsidRDefault="006C49A3" w:rsidP="00080484">
      <w:pPr>
        <w:spacing w:line="276" w:lineRule="auto"/>
        <w:ind w:firstLine="709"/>
        <w:jc w:val="both"/>
        <w:rPr>
          <w:rFonts w:eastAsiaTheme="minorHAnsi"/>
        </w:rPr>
      </w:pPr>
      <w:r>
        <w:rPr>
          <w:rFonts w:eastAsiaTheme="minorHAnsi"/>
        </w:rPr>
        <w:t>[</w:t>
      </w:r>
      <w:r w:rsidR="00360645">
        <w:rPr>
          <w:rFonts w:eastAsiaTheme="minorHAnsi"/>
        </w:rPr>
        <w:t>3</w:t>
      </w:r>
      <w:r>
        <w:rPr>
          <w:rFonts w:eastAsiaTheme="minorHAnsi"/>
        </w:rPr>
        <w:t xml:space="preserve">] Ar </w:t>
      </w:r>
      <w:r w:rsidR="00F2452A">
        <w:rPr>
          <w:rFonts w:eastAsiaTheme="minorHAnsi"/>
        </w:rPr>
        <w:t xml:space="preserve">Zemgales apgabaltiesas 2016.gada 31.oktobra lēmumu, iztiesājot krimināllietu apelācijas kārtībā sakarā ar apsūdzētā </w:t>
      </w:r>
      <w:r w:rsidR="00EA5FF1">
        <w:rPr>
          <w:rFonts w:eastAsiaTheme="minorHAnsi"/>
        </w:rPr>
        <w:t>[pers. A]</w:t>
      </w:r>
      <w:r w:rsidR="00F2452A">
        <w:rPr>
          <w:rFonts w:eastAsiaTheme="minorHAnsi"/>
        </w:rPr>
        <w:t xml:space="preserve"> aizstāvja A</w:t>
      </w:r>
      <w:r w:rsidR="004E7CAE">
        <w:rPr>
          <w:rFonts w:eastAsiaTheme="minorHAnsi"/>
        </w:rPr>
        <w:t>. </w:t>
      </w:r>
      <w:r w:rsidR="00F2452A">
        <w:rPr>
          <w:rFonts w:eastAsiaTheme="minorHAnsi"/>
        </w:rPr>
        <w:t>Purmaļa apelācijas sūdzību, Tukuma rajona tiesas 2016.gada 19.maija spriedums atstāts negrozīts.</w:t>
      </w:r>
    </w:p>
    <w:p w:rsidR="00F2452A" w:rsidRDefault="00F2452A" w:rsidP="00080484">
      <w:pPr>
        <w:spacing w:line="276" w:lineRule="auto"/>
        <w:ind w:firstLine="709"/>
        <w:jc w:val="both"/>
        <w:rPr>
          <w:rFonts w:eastAsiaTheme="minorHAnsi"/>
        </w:rPr>
      </w:pPr>
    </w:p>
    <w:p w:rsidR="000105F6" w:rsidRDefault="000105F6" w:rsidP="00080484">
      <w:pPr>
        <w:spacing w:line="276" w:lineRule="auto"/>
        <w:ind w:firstLine="709"/>
        <w:jc w:val="both"/>
        <w:rPr>
          <w:rFonts w:eastAsiaTheme="minorHAnsi"/>
        </w:rPr>
      </w:pPr>
      <w:r>
        <w:rPr>
          <w:rFonts w:eastAsiaTheme="minorHAnsi"/>
        </w:rPr>
        <w:lastRenderedPageBreak/>
        <w:t>[</w:t>
      </w:r>
      <w:r w:rsidR="005D39AF">
        <w:rPr>
          <w:rFonts w:eastAsiaTheme="minorHAnsi"/>
        </w:rPr>
        <w:t>4</w:t>
      </w:r>
      <w:r>
        <w:rPr>
          <w:rFonts w:eastAsiaTheme="minorHAnsi"/>
        </w:rPr>
        <w:t xml:space="preserve">] Par apelācijas instances tiesas lēmumu apsūdzētā </w:t>
      </w:r>
      <w:r w:rsidR="00EA5FF1">
        <w:rPr>
          <w:rFonts w:eastAsiaTheme="minorHAnsi"/>
        </w:rPr>
        <w:t>[pers. A]</w:t>
      </w:r>
      <w:r>
        <w:rPr>
          <w:rFonts w:eastAsiaTheme="minorHAnsi"/>
        </w:rPr>
        <w:t xml:space="preserve"> aizstāvis A</w:t>
      </w:r>
      <w:r w:rsidR="005D39AF">
        <w:rPr>
          <w:rFonts w:eastAsiaTheme="minorHAnsi"/>
        </w:rPr>
        <w:t>. </w:t>
      </w:r>
      <w:r>
        <w:rPr>
          <w:rFonts w:eastAsiaTheme="minorHAnsi"/>
        </w:rPr>
        <w:t>Purmalis</w:t>
      </w:r>
      <w:r w:rsidRPr="000105F6">
        <w:rPr>
          <w:rFonts w:eastAsiaTheme="minorHAnsi"/>
        </w:rPr>
        <w:t xml:space="preserve"> </w:t>
      </w:r>
      <w:r>
        <w:rPr>
          <w:rFonts w:eastAsiaTheme="minorHAnsi"/>
        </w:rPr>
        <w:t xml:space="preserve">iesniedza kasācijas sūdzību, lūdzot </w:t>
      </w:r>
      <w:r w:rsidR="00FF06EE">
        <w:rPr>
          <w:rFonts w:eastAsiaTheme="minorHAnsi"/>
        </w:rPr>
        <w:t>atcelt Zemgales apgabaltiesas 2016.gada 31.oktobra lēmumu pilnībā un nosūtīt lietu jaunai izskatīšanai.</w:t>
      </w:r>
    </w:p>
    <w:p w:rsidR="001F737A" w:rsidRDefault="0044116C" w:rsidP="00080484">
      <w:pPr>
        <w:spacing w:line="276" w:lineRule="auto"/>
        <w:ind w:firstLine="709"/>
        <w:jc w:val="both"/>
        <w:rPr>
          <w:rFonts w:eastAsiaTheme="minorHAnsi"/>
        </w:rPr>
      </w:pPr>
      <w:r>
        <w:rPr>
          <w:rFonts w:eastAsiaTheme="minorHAnsi"/>
        </w:rPr>
        <w:t>Aizstāvja ieskatā,</w:t>
      </w:r>
      <w:r w:rsidR="003B7422">
        <w:rPr>
          <w:rFonts w:eastAsiaTheme="minorHAnsi"/>
        </w:rPr>
        <w:t xml:space="preserve"> abu zemāko i</w:t>
      </w:r>
      <w:r>
        <w:rPr>
          <w:rFonts w:eastAsiaTheme="minorHAnsi"/>
        </w:rPr>
        <w:t>nstanču tiesu nolēmumi ir taisīti, pārkāpjot</w:t>
      </w:r>
      <w:r w:rsidR="003B7422">
        <w:rPr>
          <w:rFonts w:eastAsiaTheme="minorHAnsi"/>
        </w:rPr>
        <w:t xml:space="preserve"> Kriminālprocesa l</w:t>
      </w:r>
      <w:r>
        <w:rPr>
          <w:rFonts w:eastAsiaTheme="minorHAnsi"/>
        </w:rPr>
        <w:t>ikuma 512.panta pirmo un otro</w:t>
      </w:r>
      <w:r w:rsidR="00D5304F">
        <w:rPr>
          <w:rFonts w:eastAsiaTheme="minorHAnsi"/>
        </w:rPr>
        <w:t xml:space="preserve"> daļu,</w:t>
      </w:r>
      <w:r>
        <w:rPr>
          <w:rFonts w:eastAsiaTheme="minorHAnsi"/>
        </w:rPr>
        <w:t xml:space="preserve"> 564.panta ceturto un sesto daļu</w:t>
      </w:r>
      <w:r w:rsidR="00D5304F">
        <w:rPr>
          <w:rFonts w:eastAsiaTheme="minorHAnsi"/>
        </w:rPr>
        <w:t>, 527.panta pirmo daļu un 20.pantu.</w:t>
      </w:r>
    </w:p>
    <w:p w:rsidR="0044116C" w:rsidRDefault="0044116C" w:rsidP="00080484">
      <w:pPr>
        <w:spacing w:line="276" w:lineRule="auto"/>
        <w:ind w:firstLine="709"/>
        <w:jc w:val="both"/>
        <w:rPr>
          <w:rFonts w:eastAsiaTheme="minorHAnsi"/>
        </w:rPr>
      </w:pPr>
      <w:r>
        <w:rPr>
          <w:rFonts w:eastAsiaTheme="minorHAnsi"/>
        </w:rPr>
        <w:t>Kasācijas sūdzībā pausto lūgumu aizstāvis pamatojis ar tālāk norādītajiem argumentiem.</w:t>
      </w:r>
    </w:p>
    <w:p w:rsidR="00E27890" w:rsidRDefault="0044116C" w:rsidP="003B77AF">
      <w:pPr>
        <w:spacing w:line="276" w:lineRule="auto"/>
        <w:ind w:firstLine="709"/>
        <w:jc w:val="both"/>
        <w:rPr>
          <w:rFonts w:eastAsiaTheme="minorHAnsi"/>
        </w:rPr>
      </w:pPr>
      <w:r>
        <w:rPr>
          <w:rFonts w:eastAsiaTheme="minorHAnsi"/>
        </w:rPr>
        <w:t>[</w:t>
      </w:r>
      <w:r w:rsidR="00CE75CC">
        <w:rPr>
          <w:rFonts w:eastAsiaTheme="minorHAnsi"/>
        </w:rPr>
        <w:t>4</w:t>
      </w:r>
      <w:r>
        <w:rPr>
          <w:rFonts w:eastAsiaTheme="minorHAnsi"/>
        </w:rPr>
        <w:t xml:space="preserve">.1] </w:t>
      </w:r>
      <w:r w:rsidR="00CE75CC">
        <w:rPr>
          <w:rFonts w:eastAsiaTheme="minorHAnsi"/>
        </w:rPr>
        <w:t>A</w:t>
      </w:r>
      <w:r w:rsidR="003B77AF">
        <w:rPr>
          <w:rFonts w:eastAsiaTheme="minorHAnsi"/>
        </w:rPr>
        <w:t xml:space="preserve">pelācijas instances tiesa ir konstatējusi, ka SIA </w:t>
      </w:r>
      <w:r w:rsidR="006C4574">
        <w:rPr>
          <w:rFonts w:eastAsiaTheme="minorHAnsi"/>
          <w:i/>
        </w:rPr>
        <w:t>[Nosaukums A]</w:t>
      </w:r>
      <w:r w:rsidR="003B77AF">
        <w:rPr>
          <w:rFonts w:eastAsiaTheme="minorHAnsi"/>
        </w:rPr>
        <w:t xml:space="preserve"> 2013.gada februārī – novembrī ir izveidojusies </w:t>
      </w:r>
      <w:r w:rsidR="004A293D">
        <w:rPr>
          <w:rFonts w:eastAsiaTheme="minorHAnsi"/>
        </w:rPr>
        <w:t xml:space="preserve">pievienotās vērtības nodokļa (turpmāk – PVN) </w:t>
      </w:r>
      <w:r w:rsidR="003B77AF">
        <w:rPr>
          <w:rFonts w:eastAsiaTheme="minorHAnsi"/>
        </w:rPr>
        <w:t>pārmaksa, kas novirzīta nod</w:t>
      </w:r>
      <w:r w:rsidR="00281EC3">
        <w:rPr>
          <w:rFonts w:eastAsiaTheme="minorHAnsi"/>
        </w:rPr>
        <w:t xml:space="preserve">okļu nomaksai un atmaksāta SIA </w:t>
      </w:r>
      <w:r w:rsidR="006C4574">
        <w:rPr>
          <w:rFonts w:eastAsiaTheme="minorHAnsi"/>
          <w:i/>
        </w:rPr>
        <w:t>[Nosaukums A]</w:t>
      </w:r>
      <w:r w:rsidR="003B77AF">
        <w:rPr>
          <w:rFonts w:eastAsiaTheme="minorHAnsi"/>
        </w:rPr>
        <w:t>. Tādējādi no tiesas sprieduma nav saprotams, kur</w:t>
      </w:r>
      <w:r w:rsidR="0055386F">
        <w:rPr>
          <w:rFonts w:eastAsiaTheme="minorHAnsi"/>
        </w:rPr>
        <w:t>a daļa no pārmaksātā PVN summas</w:t>
      </w:r>
      <w:r w:rsidR="003B77AF">
        <w:rPr>
          <w:rFonts w:eastAsiaTheme="minorHAnsi"/>
        </w:rPr>
        <w:t xml:space="preserve"> ir attiecināma uz darbībām, kas kvalificējamas pēc Krimināllikuma 218.panta otrās daļas, un kura da</w:t>
      </w:r>
      <w:r w:rsidR="00F06EAE">
        <w:rPr>
          <w:rFonts w:eastAsiaTheme="minorHAnsi"/>
        </w:rPr>
        <w:t>ļa –</w:t>
      </w:r>
      <w:r w:rsidR="003B77AF">
        <w:rPr>
          <w:rFonts w:eastAsiaTheme="minorHAnsi"/>
        </w:rPr>
        <w:t xml:space="preserve"> uz darbībām, kas kvalificējamas pēc Krimināllikuma 177.panta. Tādējādi ir apšaubāms, vai apsūdzētā </w:t>
      </w:r>
      <w:r w:rsidR="00EA5FF1">
        <w:rPr>
          <w:rFonts w:eastAsiaTheme="minorHAnsi"/>
        </w:rPr>
        <w:t>[pers. A]</w:t>
      </w:r>
      <w:r w:rsidR="003B77AF">
        <w:rPr>
          <w:rFonts w:eastAsiaTheme="minorHAnsi"/>
        </w:rPr>
        <w:t xml:space="preserve"> nodarījumā konstatējama Krimināllikuma 218.panta otrajā daļā paredzētā noziedzīgā nodarījuma kvalificējošā pazīme – lielā apmērā.</w:t>
      </w:r>
    </w:p>
    <w:p w:rsidR="00613CC9" w:rsidRDefault="00CE75CC" w:rsidP="00F06EAE">
      <w:pPr>
        <w:spacing w:line="276" w:lineRule="auto"/>
        <w:ind w:firstLine="709"/>
        <w:jc w:val="both"/>
        <w:rPr>
          <w:rFonts w:eastAsiaTheme="minorHAnsi"/>
        </w:rPr>
      </w:pPr>
      <w:r>
        <w:rPr>
          <w:rFonts w:eastAsiaTheme="minorHAnsi"/>
        </w:rPr>
        <w:t>[4</w:t>
      </w:r>
      <w:r w:rsidR="00F06EAE">
        <w:rPr>
          <w:rFonts w:eastAsiaTheme="minorHAnsi"/>
        </w:rPr>
        <w:t xml:space="preserve">.2] </w:t>
      </w:r>
      <w:r w:rsidR="00422D82">
        <w:rPr>
          <w:rFonts w:eastAsiaTheme="minorHAnsi"/>
        </w:rPr>
        <w:t>Normatīvajos tiesību aktos</w:t>
      </w:r>
      <w:r w:rsidR="00F06EAE">
        <w:rPr>
          <w:rFonts w:eastAsiaTheme="minorHAnsi"/>
        </w:rPr>
        <w:t xml:space="preserve"> paredzēta atšķirīga kārtība</w:t>
      </w:r>
      <w:r w:rsidR="008774D7">
        <w:rPr>
          <w:rFonts w:eastAsiaTheme="minorHAnsi"/>
        </w:rPr>
        <w:t xml:space="preserve"> </w:t>
      </w:r>
      <w:r w:rsidR="000D5491">
        <w:rPr>
          <w:rFonts w:eastAsiaTheme="minorHAnsi"/>
        </w:rPr>
        <w:t>PVN</w:t>
      </w:r>
      <w:r w:rsidR="00E51C13">
        <w:rPr>
          <w:rFonts w:eastAsiaTheme="minorHAnsi"/>
        </w:rPr>
        <w:t xml:space="preserve"> un </w:t>
      </w:r>
      <w:r w:rsidR="00422D82">
        <w:rPr>
          <w:rFonts w:eastAsiaTheme="minorHAnsi"/>
        </w:rPr>
        <w:t xml:space="preserve">uzņēmumu ienākuma nodokļa (turpmāk – </w:t>
      </w:r>
      <w:r w:rsidR="000D5491">
        <w:rPr>
          <w:rFonts w:eastAsiaTheme="minorHAnsi"/>
        </w:rPr>
        <w:t>UIN</w:t>
      </w:r>
      <w:r w:rsidR="00422D82">
        <w:rPr>
          <w:rFonts w:eastAsiaTheme="minorHAnsi"/>
        </w:rPr>
        <w:t>)</w:t>
      </w:r>
      <w:r w:rsidR="00E51C13">
        <w:rPr>
          <w:rFonts w:eastAsiaTheme="minorHAnsi"/>
        </w:rPr>
        <w:t xml:space="preserve"> </w:t>
      </w:r>
      <w:r w:rsidR="008774D7">
        <w:rPr>
          <w:rFonts w:eastAsiaTheme="minorHAnsi"/>
        </w:rPr>
        <w:t>maksājumu aprēķināšanā un veikšanā, kā arī</w:t>
      </w:r>
      <w:r w:rsidR="00F06EAE">
        <w:rPr>
          <w:rFonts w:eastAsiaTheme="minorHAnsi"/>
        </w:rPr>
        <w:t xml:space="preserve"> </w:t>
      </w:r>
      <w:r w:rsidR="00373E54">
        <w:rPr>
          <w:rFonts w:eastAsiaTheme="minorHAnsi"/>
        </w:rPr>
        <w:t>atšķiras</w:t>
      </w:r>
      <w:r w:rsidR="00F06EAE">
        <w:rPr>
          <w:rFonts w:eastAsiaTheme="minorHAnsi"/>
        </w:rPr>
        <w:t xml:space="preserve"> apsūdzībā norādītie</w:t>
      </w:r>
      <w:r w:rsidR="008774D7">
        <w:rPr>
          <w:rFonts w:eastAsiaTheme="minorHAnsi"/>
        </w:rPr>
        <w:t xml:space="preserve"> laika perio</w:t>
      </w:r>
      <w:r w:rsidR="00F06EAE">
        <w:rPr>
          <w:rFonts w:eastAsiaTheme="minorHAnsi"/>
        </w:rPr>
        <w:t>di, kuros iesniegtas</w:t>
      </w:r>
      <w:r w:rsidR="008774D7">
        <w:rPr>
          <w:rFonts w:eastAsiaTheme="minorHAnsi"/>
        </w:rPr>
        <w:t xml:space="preserve"> </w:t>
      </w:r>
      <w:r w:rsidR="00AE2056">
        <w:rPr>
          <w:rFonts w:eastAsiaTheme="minorHAnsi"/>
        </w:rPr>
        <w:t xml:space="preserve">norādīto nodokļu </w:t>
      </w:r>
      <w:r w:rsidR="008774D7">
        <w:rPr>
          <w:rFonts w:eastAsiaTheme="minorHAnsi"/>
        </w:rPr>
        <w:t>de</w:t>
      </w:r>
      <w:r w:rsidR="00F06EAE">
        <w:rPr>
          <w:rFonts w:eastAsiaTheme="minorHAnsi"/>
        </w:rPr>
        <w:t xml:space="preserve">klarācijas, tādēļ </w:t>
      </w:r>
      <w:r w:rsidR="00373E54">
        <w:rPr>
          <w:rFonts w:eastAsiaTheme="minorHAnsi"/>
        </w:rPr>
        <w:t xml:space="preserve">nav pamatots </w:t>
      </w:r>
      <w:r w:rsidR="00F06EAE">
        <w:rPr>
          <w:rFonts w:eastAsiaTheme="minorHAnsi"/>
        </w:rPr>
        <w:t>tiesas atzinums,</w:t>
      </w:r>
      <w:r w:rsidR="00F06EAE" w:rsidRPr="00F06EAE">
        <w:rPr>
          <w:rFonts w:eastAsiaTheme="minorHAnsi"/>
        </w:rPr>
        <w:t xml:space="preserve"> </w:t>
      </w:r>
      <w:r w:rsidR="00F06EAE">
        <w:rPr>
          <w:rFonts w:eastAsiaTheme="minorHAnsi"/>
        </w:rPr>
        <w:t>ka apsūdzētajam inkriminētais noziedzīgais nodarījums izdarīts ar vienotu nodomu kā viens pa</w:t>
      </w:r>
      <w:r w:rsidR="00373E54">
        <w:rPr>
          <w:rFonts w:eastAsiaTheme="minorHAnsi"/>
        </w:rPr>
        <w:t>t</w:t>
      </w:r>
      <w:r w:rsidR="00F06EAE">
        <w:rPr>
          <w:rFonts w:eastAsiaTheme="minorHAnsi"/>
        </w:rPr>
        <w:t>stāvīgs Krimināllikuma 218.panta otrajā daļā paredzētais noziedzīgais nodarījums.</w:t>
      </w:r>
    </w:p>
    <w:p w:rsidR="009E6A93" w:rsidRDefault="00F06EAE" w:rsidP="00080484">
      <w:pPr>
        <w:spacing w:line="276" w:lineRule="auto"/>
        <w:ind w:firstLine="709"/>
        <w:jc w:val="both"/>
        <w:rPr>
          <w:rFonts w:eastAsiaTheme="minorHAnsi"/>
        </w:rPr>
      </w:pPr>
      <w:r>
        <w:rPr>
          <w:rFonts w:eastAsiaTheme="minorHAnsi"/>
        </w:rPr>
        <w:t>[</w:t>
      </w:r>
      <w:r w:rsidR="00CE75CC">
        <w:rPr>
          <w:rFonts w:eastAsiaTheme="minorHAnsi"/>
        </w:rPr>
        <w:t>4</w:t>
      </w:r>
      <w:r>
        <w:rPr>
          <w:rFonts w:eastAsiaTheme="minorHAnsi"/>
        </w:rPr>
        <w:t>.3</w:t>
      </w:r>
      <w:r w:rsidR="007E7CEF">
        <w:rPr>
          <w:rFonts w:eastAsiaTheme="minorHAnsi"/>
        </w:rPr>
        <w:t xml:space="preserve">] </w:t>
      </w:r>
      <w:r w:rsidR="009E6A93">
        <w:rPr>
          <w:rFonts w:eastAsiaTheme="minorHAnsi"/>
        </w:rPr>
        <w:t>N</w:t>
      </w:r>
      <w:r w:rsidR="00926877">
        <w:rPr>
          <w:rFonts w:eastAsiaTheme="minorHAnsi"/>
        </w:rPr>
        <w:t>o abu zemāko instanču tiesu nolēmumiem nav saprotam</w:t>
      </w:r>
      <w:r w:rsidR="009E6A93">
        <w:rPr>
          <w:rFonts w:eastAsiaTheme="minorHAnsi"/>
        </w:rPr>
        <w:t>s, vai ir sastādīti</w:t>
      </w:r>
      <w:r w:rsidR="00926877">
        <w:rPr>
          <w:rFonts w:eastAsiaTheme="minorHAnsi"/>
        </w:rPr>
        <w:t xml:space="preserve"> fiktīvi dokumenti par </w:t>
      </w:r>
      <w:r w:rsidR="003C6A04">
        <w:rPr>
          <w:rFonts w:eastAsiaTheme="minorHAnsi"/>
        </w:rPr>
        <w:t>faktiski ne</w:t>
      </w:r>
      <w:r w:rsidR="00926877">
        <w:rPr>
          <w:rFonts w:eastAsiaTheme="minorHAnsi"/>
        </w:rPr>
        <w:t>veiktajiem darījumiem, vai arī darījumi ir veikti, bet ne ar konkrēt</w:t>
      </w:r>
      <w:r w:rsidR="00EF4560">
        <w:rPr>
          <w:rFonts w:eastAsiaTheme="minorHAnsi"/>
        </w:rPr>
        <w:t>ajiem darījumu partneriem – SIA </w:t>
      </w:r>
      <w:r w:rsidR="0062641A">
        <w:rPr>
          <w:rFonts w:eastAsiaTheme="minorHAnsi"/>
          <w:i/>
        </w:rPr>
        <w:t>[Nosaukums B]</w:t>
      </w:r>
      <w:r w:rsidR="00926877">
        <w:rPr>
          <w:rFonts w:eastAsiaTheme="minorHAnsi"/>
        </w:rPr>
        <w:t xml:space="preserve"> un SIA</w:t>
      </w:r>
      <w:r w:rsidR="00EF4560">
        <w:rPr>
          <w:rFonts w:eastAsiaTheme="minorHAnsi"/>
        </w:rPr>
        <w:t> </w:t>
      </w:r>
      <w:r w:rsidR="0062641A">
        <w:rPr>
          <w:rFonts w:eastAsiaTheme="minorHAnsi"/>
          <w:i/>
        </w:rPr>
        <w:t>[Nosaukums C]</w:t>
      </w:r>
      <w:r w:rsidR="00926877">
        <w:rPr>
          <w:rFonts w:eastAsiaTheme="minorHAnsi"/>
        </w:rPr>
        <w:t>.</w:t>
      </w:r>
      <w:r w:rsidR="00EF4560">
        <w:rPr>
          <w:rFonts w:eastAsiaTheme="minorHAnsi"/>
        </w:rPr>
        <w:t xml:space="preserve"> </w:t>
      </w:r>
      <w:r w:rsidR="009E6A93">
        <w:rPr>
          <w:rFonts w:eastAsiaTheme="minorHAnsi"/>
        </w:rPr>
        <w:t xml:space="preserve">Turklāt </w:t>
      </w:r>
      <w:r w:rsidR="00EF4560">
        <w:rPr>
          <w:rFonts w:eastAsiaTheme="minorHAnsi"/>
        </w:rPr>
        <w:t>SIA </w:t>
      </w:r>
      <w:r w:rsidR="0062641A">
        <w:rPr>
          <w:rFonts w:eastAsiaTheme="minorHAnsi"/>
          <w:i/>
        </w:rPr>
        <w:t>[Nosaukums A]</w:t>
      </w:r>
      <w:r w:rsidR="00B6055E">
        <w:rPr>
          <w:rFonts w:eastAsiaTheme="minorHAnsi"/>
        </w:rPr>
        <w:t xml:space="preserve"> </w:t>
      </w:r>
      <w:r w:rsidR="000E195E">
        <w:rPr>
          <w:rFonts w:eastAsiaTheme="minorHAnsi"/>
        </w:rPr>
        <w:t>ir vei</w:t>
      </w:r>
      <w:r w:rsidR="00B82A1D">
        <w:rPr>
          <w:rFonts w:eastAsiaTheme="minorHAnsi"/>
        </w:rPr>
        <w:t>kusi</w:t>
      </w:r>
      <w:r w:rsidR="000E195E">
        <w:rPr>
          <w:rFonts w:eastAsiaTheme="minorHAnsi"/>
        </w:rPr>
        <w:t xml:space="preserve"> maksājumus norādītajiem darījumu partneriem </w:t>
      </w:r>
      <w:r w:rsidR="009E6A93">
        <w:rPr>
          <w:rFonts w:eastAsiaTheme="minorHAnsi"/>
        </w:rPr>
        <w:t>naudas pārskaitījumu veidā</w:t>
      </w:r>
      <w:r w:rsidR="00B6055E">
        <w:rPr>
          <w:rFonts w:eastAsiaTheme="minorHAnsi"/>
        </w:rPr>
        <w:t xml:space="preserve">, tajā skaitā samaksājot </w:t>
      </w:r>
      <w:r w:rsidR="002B4629">
        <w:rPr>
          <w:rFonts w:eastAsiaTheme="minorHAnsi"/>
        </w:rPr>
        <w:t>PVN</w:t>
      </w:r>
      <w:r w:rsidR="00B6055E">
        <w:rPr>
          <w:rFonts w:eastAsiaTheme="minorHAnsi"/>
        </w:rPr>
        <w:t>.</w:t>
      </w:r>
      <w:r w:rsidR="009E6A93">
        <w:rPr>
          <w:rFonts w:eastAsiaTheme="minorHAnsi"/>
        </w:rPr>
        <w:t xml:space="preserve"> V</w:t>
      </w:r>
      <w:r w:rsidR="00B6055E">
        <w:rPr>
          <w:rFonts w:eastAsiaTheme="minorHAnsi"/>
        </w:rPr>
        <w:t>eiktie darījum</w:t>
      </w:r>
      <w:r w:rsidR="00EF4560">
        <w:rPr>
          <w:rFonts w:eastAsiaTheme="minorHAnsi"/>
        </w:rPr>
        <w:t>i</w:t>
      </w:r>
      <w:r w:rsidR="00804AAF">
        <w:rPr>
          <w:rFonts w:eastAsiaTheme="minorHAnsi"/>
        </w:rPr>
        <w:t xml:space="preserve"> tika atspoguļoti ne tikai SIA </w:t>
      </w:r>
      <w:r w:rsidR="0062641A">
        <w:rPr>
          <w:rFonts w:eastAsiaTheme="minorHAnsi"/>
          <w:i/>
        </w:rPr>
        <w:t>[Nosaukums A]</w:t>
      </w:r>
      <w:r w:rsidR="00804AAF">
        <w:rPr>
          <w:rFonts w:eastAsiaTheme="minorHAnsi"/>
        </w:rPr>
        <w:t>, bet arī SIA </w:t>
      </w:r>
      <w:r w:rsidR="0062641A">
        <w:rPr>
          <w:rFonts w:eastAsiaTheme="minorHAnsi"/>
          <w:i/>
        </w:rPr>
        <w:t>[Nosaukums B]</w:t>
      </w:r>
      <w:r w:rsidR="00EF4560">
        <w:rPr>
          <w:rFonts w:eastAsiaTheme="minorHAnsi"/>
        </w:rPr>
        <w:t xml:space="preserve"> un SIA </w:t>
      </w:r>
      <w:r w:rsidR="0062641A">
        <w:rPr>
          <w:rFonts w:eastAsiaTheme="minorHAnsi"/>
          <w:i/>
        </w:rPr>
        <w:t>[Nosaukums C]</w:t>
      </w:r>
      <w:r w:rsidR="00B6055E">
        <w:rPr>
          <w:rFonts w:eastAsiaTheme="minorHAnsi"/>
        </w:rPr>
        <w:t xml:space="preserve"> grāmatvedības uzskaitē, </w:t>
      </w:r>
      <w:r w:rsidR="00804AAF">
        <w:rPr>
          <w:rFonts w:eastAsiaTheme="minorHAnsi"/>
        </w:rPr>
        <w:t xml:space="preserve">turklāt SIA </w:t>
      </w:r>
      <w:r w:rsidR="0062641A">
        <w:rPr>
          <w:rFonts w:eastAsiaTheme="minorHAnsi"/>
          <w:i/>
        </w:rPr>
        <w:t>[Nosaukums B]</w:t>
      </w:r>
      <w:r w:rsidR="00804AAF">
        <w:rPr>
          <w:rFonts w:eastAsiaTheme="minorHAnsi"/>
        </w:rPr>
        <w:t xml:space="preserve"> un SIA </w:t>
      </w:r>
      <w:r w:rsidR="0062641A">
        <w:rPr>
          <w:rFonts w:eastAsiaTheme="minorHAnsi"/>
          <w:i/>
        </w:rPr>
        <w:t>[Nosaukums C]</w:t>
      </w:r>
      <w:r w:rsidR="00A355A0">
        <w:rPr>
          <w:rFonts w:eastAsiaTheme="minorHAnsi"/>
        </w:rPr>
        <w:t xml:space="preserve"> aprēķināja arī atbilstošās valsts budžetā maksājamās </w:t>
      </w:r>
      <w:r w:rsidR="002B4629">
        <w:rPr>
          <w:rFonts w:eastAsiaTheme="minorHAnsi"/>
        </w:rPr>
        <w:t>PVN</w:t>
      </w:r>
      <w:r w:rsidR="00EF4560">
        <w:rPr>
          <w:rFonts w:eastAsiaTheme="minorHAnsi"/>
        </w:rPr>
        <w:t xml:space="preserve"> summ</w:t>
      </w:r>
      <w:r w:rsidR="009E6A93">
        <w:rPr>
          <w:rFonts w:eastAsiaTheme="minorHAnsi"/>
        </w:rPr>
        <w:t>as un</w:t>
      </w:r>
      <w:r w:rsidR="00175F14">
        <w:rPr>
          <w:rFonts w:eastAsiaTheme="minorHAnsi"/>
        </w:rPr>
        <w:t xml:space="preserve"> r</w:t>
      </w:r>
      <w:r w:rsidR="009E6A93">
        <w:rPr>
          <w:rFonts w:eastAsiaTheme="minorHAnsi"/>
        </w:rPr>
        <w:t>īkojās ar</w:t>
      </w:r>
      <w:r w:rsidR="00DA3DCC">
        <w:rPr>
          <w:rFonts w:eastAsiaTheme="minorHAnsi"/>
        </w:rPr>
        <w:t xml:space="preserve"> saņemtajiem naudas līdzekļiem pēc saviem ieskatiem.</w:t>
      </w:r>
    </w:p>
    <w:p w:rsidR="00080484" w:rsidRDefault="00DE0F92" w:rsidP="00080484">
      <w:pPr>
        <w:spacing w:line="276" w:lineRule="auto"/>
        <w:ind w:firstLine="709"/>
        <w:jc w:val="both"/>
        <w:rPr>
          <w:rFonts w:eastAsiaTheme="minorHAnsi"/>
        </w:rPr>
      </w:pPr>
      <w:r>
        <w:rPr>
          <w:rFonts w:eastAsiaTheme="minorHAnsi"/>
        </w:rPr>
        <w:t>Ievērojot izklāstītos argumentus,</w:t>
      </w:r>
      <w:r w:rsidR="00E5045C">
        <w:rPr>
          <w:rFonts w:eastAsiaTheme="minorHAnsi"/>
        </w:rPr>
        <w:t xml:space="preserve"> nav </w:t>
      </w:r>
      <w:r w:rsidR="009E6A93">
        <w:rPr>
          <w:rFonts w:eastAsiaTheme="minorHAnsi"/>
        </w:rPr>
        <w:t xml:space="preserve">pamatots tiesas atzinums, ka </w:t>
      </w:r>
      <w:r w:rsidR="00EA5FF1">
        <w:rPr>
          <w:rFonts w:eastAsiaTheme="minorHAnsi"/>
        </w:rPr>
        <w:t>[pers. A]</w:t>
      </w:r>
      <w:r w:rsidR="00E5045C">
        <w:rPr>
          <w:rFonts w:eastAsiaTheme="minorHAnsi"/>
        </w:rPr>
        <w:t xml:space="preserve"> bija</w:t>
      </w:r>
      <w:r w:rsidR="009E6A93">
        <w:rPr>
          <w:rFonts w:eastAsiaTheme="minorHAnsi"/>
        </w:rPr>
        <w:t xml:space="preserve"> nodoms</w:t>
      </w:r>
      <w:r w:rsidR="00175F14">
        <w:rPr>
          <w:rFonts w:eastAsiaTheme="minorHAnsi"/>
        </w:rPr>
        <w:t xml:space="preserve"> izvairīties</w:t>
      </w:r>
      <w:r w:rsidR="009E6A93">
        <w:rPr>
          <w:rFonts w:eastAsiaTheme="minorHAnsi"/>
        </w:rPr>
        <w:t xml:space="preserve"> no nodokļu nomaksas, jo</w:t>
      </w:r>
      <w:r>
        <w:rPr>
          <w:rFonts w:eastAsiaTheme="minorHAnsi"/>
        </w:rPr>
        <w:t xml:space="preserve"> faktiskā labuma guv</w:t>
      </w:r>
      <w:r w:rsidR="007725BA">
        <w:rPr>
          <w:rFonts w:eastAsiaTheme="minorHAnsi"/>
        </w:rPr>
        <w:t>ēji</w:t>
      </w:r>
      <w:r w:rsidR="00804AAF">
        <w:rPr>
          <w:rFonts w:eastAsiaTheme="minorHAnsi"/>
        </w:rPr>
        <w:t xml:space="preserve"> ir personas, kas rīkojās SIA </w:t>
      </w:r>
      <w:r w:rsidR="0062641A">
        <w:rPr>
          <w:rFonts w:eastAsiaTheme="minorHAnsi"/>
          <w:i/>
        </w:rPr>
        <w:t>[Nosaukums B]</w:t>
      </w:r>
      <w:r w:rsidR="00175F14">
        <w:rPr>
          <w:rFonts w:eastAsiaTheme="minorHAnsi"/>
        </w:rPr>
        <w:t xml:space="preserve"> un SIA </w:t>
      </w:r>
      <w:r w:rsidR="0062641A">
        <w:rPr>
          <w:rFonts w:eastAsiaTheme="minorHAnsi"/>
          <w:i/>
        </w:rPr>
        <w:t>[Nosaukums C]</w:t>
      </w:r>
      <w:r w:rsidR="009E6A93">
        <w:rPr>
          <w:rFonts w:eastAsiaTheme="minorHAnsi"/>
        </w:rPr>
        <w:t xml:space="preserve"> vārdā un</w:t>
      </w:r>
      <w:r w:rsidR="0099236E">
        <w:rPr>
          <w:rFonts w:eastAsiaTheme="minorHAnsi"/>
        </w:rPr>
        <w:t xml:space="preserve"> pieļāva nodokļu likumu pārkāpum</w:t>
      </w:r>
      <w:r w:rsidR="00EB0D6F">
        <w:rPr>
          <w:rFonts w:eastAsiaTheme="minorHAnsi"/>
        </w:rPr>
        <w:t>us</w:t>
      </w:r>
      <w:r w:rsidR="00CB4EAF">
        <w:rPr>
          <w:rFonts w:eastAsiaTheme="minorHAnsi"/>
        </w:rPr>
        <w:t>.</w:t>
      </w:r>
    </w:p>
    <w:p w:rsidR="00CB4EAF" w:rsidRDefault="00CE75CC" w:rsidP="006C0756">
      <w:pPr>
        <w:spacing w:line="276" w:lineRule="auto"/>
        <w:ind w:firstLine="709"/>
        <w:jc w:val="both"/>
        <w:rPr>
          <w:rFonts w:eastAsiaTheme="minorHAnsi"/>
        </w:rPr>
      </w:pPr>
      <w:r>
        <w:rPr>
          <w:rFonts w:eastAsiaTheme="minorHAnsi"/>
        </w:rPr>
        <w:t>[4</w:t>
      </w:r>
      <w:r w:rsidR="00722172">
        <w:rPr>
          <w:rFonts w:eastAsiaTheme="minorHAnsi"/>
        </w:rPr>
        <w:t>.4</w:t>
      </w:r>
      <w:r w:rsidR="00337072">
        <w:rPr>
          <w:rFonts w:eastAsiaTheme="minorHAnsi"/>
        </w:rPr>
        <w:t xml:space="preserve">] </w:t>
      </w:r>
      <w:r w:rsidR="00722172">
        <w:rPr>
          <w:rFonts w:eastAsiaTheme="minorHAnsi"/>
        </w:rPr>
        <w:t>Atbilstoši</w:t>
      </w:r>
      <w:r w:rsidR="006B56DB">
        <w:rPr>
          <w:rFonts w:eastAsiaTheme="minorHAnsi"/>
        </w:rPr>
        <w:t xml:space="preserve"> likuma „Par </w:t>
      </w:r>
      <w:r w:rsidR="00B550F2">
        <w:rPr>
          <w:rFonts w:eastAsiaTheme="minorHAnsi"/>
        </w:rPr>
        <w:t>PVN</w:t>
      </w:r>
      <w:r w:rsidR="006B56DB">
        <w:rPr>
          <w:rFonts w:eastAsiaTheme="minorHAnsi"/>
        </w:rPr>
        <w:t>” 1.panta 9.punkta a) un d) apak</w:t>
      </w:r>
      <w:r w:rsidR="00722172">
        <w:rPr>
          <w:rFonts w:eastAsiaTheme="minorHAnsi"/>
        </w:rPr>
        <w:t>špunktam</w:t>
      </w:r>
      <w:r w:rsidR="006B56DB">
        <w:rPr>
          <w:rFonts w:eastAsiaTheme="minorHAnsi"/>
        </w:rPr>
        <w:t xml:space="preserve">, </w:t>
      </w:r>
      <w:r w:rsidR="00D45137">
        <w:rPr>
          <w:rFonts w:eastAsiaTheme="minorHAnsi"/>
        </w:rPr>
        <w:t>kas paredz, ka</w:t>
      </w:r>
      <w:r w:rsidR="006B56DB">
        <w:rPr>
          <w:rFonts w:eastAsiaTheme="minorHAnsi"/>
        </w:rPr>
        <w:t xml:space="preserve"> priekšnodoklis ir </w:t>
      </w:r>
      <w:r w:rsidR="00A30CA1">
        <w:rPr>
          <w:rFonts w:eastAsiaTheme="minorHAnsi"/>
        </w:rPr>
        <w:t>PVN</w:t>
      </w:r>
      <w:r w:rsidR="002A620C">
        <w:rPr>
          <w:rFonts w:eastAsiaTheme="minorHAnsi"/>
        </w:rPr>
        <w:t xml:space="preserve"> summa, kas norādīta apliekamajai personai izrakstītajā </w:t>
      </w:r>
      <w:r w:rsidR="00A30CA1">
        <w:rPr>
          <w:rFonts w:eastAsiaTheme="minorHAnsi"/>
        </w:rPr>
        <w:t>PVN</w:t>
      </w:r>
      <w:r w:rsidR="002A620C">
        <w:rPr>
          <w:rFonts w:eastAsiaTheme="minorHAnsi"/>
        </w:rPr>
        <w:t xml:space="preserve"> rēķinā par iegādātajām precēm vai saņemtajiem pakalpojumiem tās saimnieciskās darbības nodrošinā</w:t>
      </w:r>
      <w:r w:rsidR="00091BB0">
        <w:rPr>
          <w:rFonts w:eastAsiaTheme="minorHAnsi"/>
        </w:rPr>
        <w:t>šanai vai samaksāta avansā p</w:t>
      </w:r>
      <w:r w:rsidR="00722172">
        <w:rPr>
          <w:rFonts w:eastAsiaTheme="minorHAnsi"/>
        </w:rPr>
        <w:t>ar precēm vai pakalpojumiem, un šā likuma 8.panta pirmajā</w:t>
      </w:r>
      <w:r w:rsidR="00091BB0">
        <w:rPr>
          <w:rFonts w:eastAsiaTheme="minorHAnsi"/>
        </w:rPr>
        <w:t xml:space="preserve"> un o</w:t>
      </w:r>
      <w:r w:rsidR="00722172">
        <w:rPr>
          <w:rFonts w:eastAsiaTheme="minorHAnsi"/>
        </w:rPr>
        <w:t>trajā daļā noteiktajam, ka</w:t>
      </w:r>
      <w:r w:rsidR="00091BB0">
        <w:rPr>
          <w:rFonts w:eastAsiaTheme="minorHAnsi"/>
        </w:rPr>
        <w:t xml:space="preserve"> nodokļa rēķinos norādītās nodokļa summas par saņemtajām precēm vai pakalpojumiem atskaitāmas pēc preču vai pakalpojuma un nodokļa rēķina saņemšanas vai pēc nodokļa rēķinā norādītās nodokļa summas</w:t>
      </w:r>
      <w:r w:rsidR="00722172">
        <w:rPr>
          <w:rFonts w:eastAsiaTheme="minorHAnsi"/>
        </w:rPr>
        <w:t xml:space="preserve"> samaksas avansā,</w:t>
      </w:r>
      <w:r w:rsidR="006C0756">
        <w:rPr>
          <w:rFonts w:eastAsiaTheme="minorHAnsi"/>
        </w:rPr>
        <w:t xml:space="preserve"> SIA </w:t>
      </w:r>
      <w:r w:rsidR="0062641A">
        <w:rPr>
          <w:rFonts w:eastAsiaTheme="minorHAnsi"/>
          <w:i/>
        </w:rPr>
        <w:t>[Nosaukums A]</w:t>
      </w:r>
      <w:r w:rsidR="00091BB0">
        <w:rPr>
          <w:rFonts w:eastAsiaTheme="minorHAnsi"/>
        </w:rPr>
        <w:t xml:space="preserve"> bija tiesīga atskaitīt </w:t>
      </w:r>
      <w:r w:rsidR="00A30CA1">
        <w:rPr>
          <w:rFonts w:eastAsiaTheme="minorHAnsi"/>
        </w:rPr>
        <w:t>PVN</w:t>
      </w:r>
      <w:r w:rsidR="006C0756">
        <w:rPr>
          <w:rFonts w:eastAsiaTheme="minorHAnsi"/>
        </w:rPr>
        <w:t xml:space="preserve"> priekšnodokli par </w:t>
      </w:r>
      <w:r w:rsidR="0088442C">
        <w:rPr>
          <w:rFonts w:eastAsiaTheme="minorHAnsi"/>
        </w:rPr>
        <w:t xml:space="preserve">saņemtajiem pakalpojumiem </w:t>
      </w:r>
      <w:r w:rsidR="006C0756">
        <w:rPr>
          <w:rFonts w:eastAsiaTheme="minorHAnsi"/>
        </w:rPr>
        <w:t>no SIA </w:t>
      </w:r>
      <w:r w:rsidR="0062641A">
        <w:rPr>
          <w:rFonts w:eastAsiaTheme="minorHAnsi"/>
          <w:i/>
        </w:rPr>
        <w:t>[Nosaukums B]</w:t>
      </w:r>
      <w:r w:rsidR="006C0756">
        <w:rPr>
          <w:rFonts w:eastAsiaTheme="minorHAnsi"/>
        </w:rPr>
        <w:t xml:space="preserve"> un SIA </w:t>
      </w:r>
      <w:r w:rsidR="0062641A">
        <w:rPr>
          <w:rFonts w:eastAsiaTheme="minorHAnsi"/>
          <w:i/>
        </w:rPr>
        <w:t>[Nosaukums C]</w:t>
      </w:r>
      <w:r w:rsidR="00091BB0">
        <w:rPr>
          <w:rFonts w:eastAsiaTheme="minorHAnsi"/>
        </w:rPr>
        <w:t>.</w:t>
      </w:r>
    </w:p>
    <w:p w:rsidR="00A14788" w:rsidRDefault="00CE75CC" w:rsidP="006C0756">
      <w:pPr>
        <w:spacing w:line="276" w:lineRule="auto"/>
        <w:ind w:firstLine="709"/>
        <w:jc w:val="both"/>
        <w:rPr>
          <w:rFonts w:eastAsiaTheme="minorHAnsi"/>
        </w:rPr>
      </w:pPr>
      <w:r>
        <w:rPr>
          <w:rFonts w:eastAsiaTheme="minorHAnsi"/>
        </w:rPr>
        <w:t>[4</w:t>
      </w:r>
      <w:r w:rsidR="00722172">
        <w:rPr>
          <w:rFonts w:eastAsiaTheme="minorHAnsi"/>
        </w:rPr>
        <w:t>.5] T</w:t>
      </w:r>
      <w:r w:rsidR="00A14788">
        <w:rPr>
          <w:rFonts w:eastAsiaTheme="minorHAnsi"/>
        </w:rPr>
        <w:t>iesības izmantot priekšnodokļa atskaitīšanu preču iegādes un pakalpojumu saņemšanas gadījumos rodas, pastāvot šādiem priekšnoteikumiem:</w:t>
      </w:r>
    </w:p>
    <w:p w:rsidR="000411C2" w:rsidRPr="009B5EA6" w:rsidRDefault="00940673" w:rsidP="006C0756">
      <w:pPr>
        <w:pStyle w:val="ListParagraph"/>
        <w:numPr>
          <w:ilvl w:val="0"/>
          <w:numId w:val="2"/>
        </w:numPr>
        <w:spacing w:line="276" w:lineRule="auto"/>
        <w:jc w:val="both"/>
        <w:rPr>
          <w:rFonts w:eastAsiaTheme="minorHAnsi"/>
        </w:rPr>
      </w:pPr>
      <w:r w:rsidRPr="009B5EA6">
        <w:rPr>
          <w:rFonts w:eastAsiaTheme="minorHAnsi"/>
        </w:rPr>
        <w:lastRenderedPageBreak/>
        <w:t>p</w:t>
      </w:r>
      <w:r w:rsidR="00A14788" w:rsidRPr="009B5EA6">
        <w:rPr>
          <w:rFonts w:eastAsiaTheme="minorHAnsi"/>
        </w:rPr>
        <w:t xml:space="preserve">ersona reģistrēta Valsts ieņēmumu dienestā </w:t>
      </w:r>
      <w:r w:rsidR="00D82EF5">
        <w:rPr>
          <w:rFonts w:eastAsiaTheme="minorHAnsi"/>
        </w:rPr>
        <w:t xml:space="preserve">(turpmāk – VID) </w:t>
      </w:r>
      <w:r w:rsidR="00A14788" w:rsidRPr="009B5EA6">
        <w:rPr>
          <w:rFonts w:eastAsiaTheme="minorHAnsi"/>
        </w:rPr>
        <w:t xml:space="preserve">kā ar </w:t>
      </w:r>
      <w:r w:rsidR="00D82EF5">
        <w:rPr>
          <w:rFonts w:eastAsiaTheme="minorHAnsi"/>
        </w:rPr>
        <w:t>PVN</w:t>
      </w:r>
      <w:r w:rsidR="000411C2" w:rsidRPr="009B5EA6">
        <w:rPr>
          <w:rFonts w:eastAsiaTheme="minorHAnsi"/>
        </w:rPr>
        <w:t xml:space="preserve"> apliekamā persona;</w:t>
      </w:r>
    </w:p>
    <w:p w:rsidR="00A14788" w:rsidRPr="009B5EA6" w:rsidRDefault="00940673" w:rsidP="006C0756">
      <w:pPr>
        <w:pStyle w:val="ListParagraph"/>
        <w:numPr>
          <w:ilvl w:val="0"/>
          <w:numId w:val="2"/>
        </w:numPr>
        <w:spacing w:line="276" w:lineRule="auto"/>
        <w:jc w:val="both"/>
        <w:rPr>
          <w:rFonts w:eastAsiaTheme="minorHAnsi"/>
        </w:rPr>
      </w:pPr>
      <w:r w:rsidRPr="009B5EA6">
        <w:rPr>
          <w:rFonts w:eastAsiaTheme="minorHAnsi"/>
        </w:rPr>
        <w:t>t</w:t>
      </w:r>
      <w:r w:rsidR="000411C2" w:rsidRPr="009B5EA6">
        <w:rPr>
          <w:rFonts w:eastAsiaTheme="minorHAnsi"/>
        </w:rPr>
        <w:t xml:space="preserve">ā saņēmusi preces vai pakalpojumus un likumā noteiktajā </w:t>
      </w:r>
      <w:r w:rsidR="00A14788" w:rsidRPr="009B5EA6">
        <w:rPr>
          <w:rFonts w:eastAsiaTheme="minorHAnsi"/>
        </w:rPr>
        <w:t xml:space="preserve">kārtībā noformētu </w:t>
      </w:r>
      <w:r w:rsidR="00D82EF5">
        <w:rPr>
          <w:rFonts w:eastAsiaTheme="minorHAnsi"/>
        </w:rPr>
        <w:t>PVN</w:t>
      </w:r>
      <w:r w:rsidR="00A14788" w:rsidRPr="009B5EA6">
        <w:rPr>
          <w:rFonts w:eastAsiaTheme="minorHAnsi"/>
        </w:rPr>
        <w:t xml:space="preserve"> rēķinu</w:t>
      </w:r>
      <w:r w:rsidR="000411C2" w:rsidRPr="009B5EA6">
        <w:rPr>
          <w:rFonts w:eastAsiaTheme="minorHAnsi"/>
        </w:rPr>
        <w:t>;</w:t>
      </w:r>
    </w:p>
    <w:p w:rsidR="000411C2" w:rsidRPr="009B5EA6" w:rsidRDefault="00D82EF5" w:rsidP="006C0756">
      <w:pPr>
        <w:pStyle w:val="ListParagraph"/>
        <w:numPr>
          <w:ilvl w:val="0"/>
          <w:numId w:val="2"/>
        </w:numPr>
        <w:spacing w:line="276" w:lineRule="auto"/>
        <w:jc w:val="both"/>
        <w:rPr>
          <w:rFonts w:eastAsiaTheme="minorHAnsi"/>
        </w:rPr>
      </w:pPr>
      <w:r>
        <w:rPr>
          <w:rFonts w:eastAsiaTheme="minorHAnsi"/>
        </w:rPr>
        <w:t>PVN</w:t>
      </w:r>
      <w:r w:rsidR="000411C2" w:rsidRPr="009B5EA6">
        <w:rPr>
          <w:rFonts w:eastAsiaTheme="minorHAnsi"/>
        </w:rPr>
        <w:t xml:space="preserve"> rēķins saņemts no citas ar </w:t>
      </w:r>
      <w:r>
        <w:rPr>
          <w:rFonts w:eastAsiaTheme="minorHAnsi"/>
        </w:rPr>
        <w:t>PVN</w:t>
      </w:r>
      <w:r w:rsidR="000411C2" w:rsidRPr="009B5EA6">
        <w:rPr>
          <w:rFonts w:eastAsiaTheme="minorHAnsi"/>
        </w:rPr>
        <w:t xml:space="preserve"> apliekamās personas, kas atbilstošā kārtībā reģistrēta </w:t>
      </w:r>
      <w:r>
        <w:rPr>
          <w:rFonts w:eastAsiaTheme="minorHAnsi"/>
        </w:rPr>
        <w:t>VID</w:t>
      </w:r>
      <w:r w:rsidR="000411C2" w:rsidRPr="009B5EA6">
        <w:rPr>
          <w:rFonts w:eastAsiaTheme="minorHAnsi"/>
        </w:rPr>
        <w:t>;</w:t>
      </w:r>
    </w:p>
    <w:p w:rsidR="000411C2" w:rsidRPr="009B5EA6" w:rsidRDefault="00940673" w:rsidP="006C0756">
      <w:pPr>
        <w:pStyle w:val="ListParagraph"/>
        <w:numPr>
          <w:ilvl w:val="0"/>
          <w:numId w:val="2"/>
        </w:numPr>
        <w:spacing w:line="276" w:lineRule="auto"/>
        <w:jc w:val="both"/>
        <w:rPr>
          <w:rFonts w:eastAsiaTheme="minorHAnsi"/>
        </w:rPr>
      </w:pPr>
      <w:r w:rsidRPr="009B5EA6">
        <w:rPr>
          <w:rFonts w:eastAsiaTheme="minorHAnsi"/>
        </w:rPr>
        <w:t>s</w:t>
      </w:r>
      <w:r w:rsidR="000411C2" w:rsidRPr="009B5EA6">
        <w:rPr>
          <w:rFonts w:eastAsiaTheme="minorHAnsi"/>
        </w:rPr>
        <w:t xml:space="preserve">aņemtās preces vai pakalpojumi tiek izmantoti savu ar </w:t>
      </w:r>
      <w:r w:rsidR="00D82EF5">
        <w:rPr>
          <w:rFonts w:eastAsiaTheme="minorHAnsi"/>
        </w:rPr>
        <w:t>PVN</w:t>
      </w:r>
      <w:r w:rsidR="000411C2" w:rsidRPr="009B5EA6">
        <w:rPr>
          <w:rFonts w:eastAsiaTheme="minorHAnsi"/>
        </w:rPr>
        <w:t xml:space="preserve"> apliekamo darījumu nodrošināšanai, tas ir, tiek radīta jauna ar </w:t>
      </w:r>
      <w:r w:rsidR="00D82EF5">
        <w:rPr>
          <w:rFonts w:eastAsiaTheme="minorHAnsi"/>
        </w:rPr>
        <w:t>PVN</w:t>
      </w:r>
      <w:r w:rsidR="000411C2" w:rsidRPr="009B5EA6">
        <w:rPr>
          <w:rFonts w:eastAsiaTheme="minorHAnsi"/>
        </w:rPr>
        <w:t xml:space="preserve"> apliekamā prece vai pakalpojums.</w:t>
      </w:r>
    </w:p>
    <w:p w:rsidR="00940673" w:rsidRDefault="00722172" w:rsidP="006C0756">
      <w:pPr>
        <w:spacing w:line="276" w:lineRule="auto"/>
        <w:ind w:firstLine="709"/>
        <w:jc w:val="both"/>
        <w:rPr>
          <w:rFonts w:eastAsiaTheme="minorHAnsi"/>
        </w:rPr>
      </w:pPr>
      <w:r>
        <w:rPr>
          <w:rFonts w:eastAsiaTheme="minorHAnsi"/>
        </w:rPr>
        <w:t>Tādējādi secināms, ka</w:t>
      </w:r>
      <w:r w:rsidR="006C0756">
        <w:rPr>
          <w:rFonts w:eastAsiaTheme="minorHAnsi"/>
        </w:rPr>
        <w:t xml:space="preserve"> SIA </w:t>
      </w:r>
      <w:r w:rsidR="0062641A">
        <w:rPr>
          <w:rFonts w:eastAsiaTheme="minorHAnsi"/>
          <w:i/>
        </w:rPr>
        <w:t>[Nosaukums A]</w:t>
      </w:r>
      <w:r w:rsidR="00940673">
        <w:rPr>
          <w:rFonts w:eastAsiaTheme="minorHAnsi"/>
        </w:rPr>
        <w:t xml:space="preserve"> un </w:t>
      </w:r>
      <w:r w:rsidR="00EA5FF1">
        <w:rPr>
          <w:rFonts w:eastAsiaTheme="minorHAnsi"/>
        </w:rPr>
        <w:t>[pers. A]</w:t>
      </w:r>
      <w:r w:rsidR="00940673">
        <w:rPr>
          <w:rFonts w:eastAsiaTheme="minorHAnsi"/>
        </w:rPr>
        <w:t xml:space="preserve"> bija ievērojuši visus priekšnoteikumus </w:t>
      </w:r>
      <w:r w:rsidR="00F7250E">
        <w:rPr>
          <w:rFonts w:eastAsiaTheme="minorHAnsi"/>
        </w:rPr>
        <w:t>PVN</w:t>
      </w:r>
      <w:r w:rsidR="00940673">
        <w:rPr>
          <w:rFonts w:eastAsiaTheme="minorHAnsi"/>
        </w:rPr>
        <w:t xml:space="preserve"> priekšnodokļa atskaitīšanai.</w:t>
      </w:r>
    </w:p>
    <w:p w:rsidR="00940673" w:rsidRDefault="00337072" w:rsidP="006C0756">
      <w:pPr>
        <w:spacing w:line="276" w:lineRule="auto"/>
        <w:ind w:firstLine="709"/>
        <w:jc w:val="both"/>
        <w:rPr>
          <w:rFonts w:eastAsiaTheme="minorHAnsi"/>
        </w:rPr>
      </w:pPr>
      <w:r>
        <w:rPr>
          <w:rFonts w:eastAsiaTheme="minorHAnsi"/>
        </w:rPr>
        <w:t>[</w:t>
      </w:r>
      <w:r w:rsidR="00CE75CC">
        <w:rPr>
          <w:rFonts w:eastAsiaTheme="minorHAnsi"/>
        </w:rPr>
        <w:t>4</w:t>
      </w:r>
      <w:r>
        <w:rPr>
          <w:rFonts w:eastAsiaTheme="minorHAnsi"/>
        </w:rPr>
        <w:t xml:space="preserve">.6] </w:t>
      </w:r>
      <w:r w:rsidR="00CE282C">
        <w:rPr>
          <w:rFonts w:eastAsiaTheme="minorHAnsi"/>
        </w:rPr>
        <w:t>Abas</w:t>
      </w:r>
      <w:r w:rsidR="001243C7">
        <w:rPr>
          <w:rFonts w:eastAsiaTheme="minorHAnsi"/>
        </w:rPr>
        <w:t xml:space="preserve"> zemāko instan</w:t>
      </w:r>
      <w:r w:rsidR="00CE282C">
        <w:rPr>
          <w:rFonts w:eastAsiaTheme="minorHAnsi"/>
        </w:rPr>
        <w:t>ču tiesas</w:t>
      </w:r>
      <w:r w:rsidR="006B6F83">
        <w:rPr>
          <w:rFonts w:eastAsiaTheme="minorHAnsi"/>
        </w:rPr>
        <w:t xml:space="preserve"> atzinumu</w:t>
      </w:r>
      <w:r w:rsidR="001243C7">
        <w:rPr>
          <w:rFonts w:eastAsiaTheme="minorHAnsi"/>
        </w:rPr>
        <w:t xml:space="preserve"> par </w:t>
      </w:r>
      <w:r w:rsidR="00393017">
        <w:rPr>
          <w:rFonts w:eastAsiaTheme="minorHAnsi"/>
        </w:rPr>
        <w:t>darījumu ar SIA </w:t>
      </w:r>
      <w:r w:rsidR="0062641A">
        <w:rPr>
          <w:rFonts w:eastAsiaTheme="minorHAnsi"/>
          <w:i/>
        </w:rPr>
        <w:t>[Nosaukums B]</w:t>
      </w:r>
      <w:r w:rsidR="006C0756">
        <w:rPr>
          <w:rFonts w:eastAsiaTheme="minorHAnsi"/>
        </w:rPr>
        <w:t xml:space="preserve"> un SIA </w:t>
      </w:r>
      <w:r w:rsidR="0062641A">
        <w:rPr>
          <w:rFonts w:eastAsiaTheme="minorHAnsi"/>
          <w:i/>
        </w:rPr>
        <w:t>[Nosaukums C]</w:t>
      </w:r>
      <w:r w:rsidR="00652D5E">
        <w:rPr>
          <w:rFonts w:eastAsiaTheme="minorHAnsi"/>
        </w:rPr>
        <w:t xml:space="preserve"> </w:t>
      </w:r>
      <w:r w:rsidR="0055066E">
        <w:rPr>
          <w:rFonts w:eastAsiaTheme="minorHAnsi"/>
        </w:rPr>
        <w:t>fiktīvo raksturu</w:t>
      </w:r>
      <w:r w:rsidR="00652D5E">
        <w:rPr>
          <w:rFonts w:eastAsiaTheme="minorHAnsi"/>
        </w:rPr>
        <w:t xml:space="preserve"> </w:t>
      </w:r>
      <w:r w:rsidR="00CE282C">
        <w:rPr>
          <w:rFonts w:eastAsiaTheme="minorHAnsi"/>
        </w:rPr>
        <w:t>pamatoja</w:t>
      </w:r>
      <w:r w:rsidR="006B6F83">
        <w:rPr>
          <w:rFonts w:eastAsiaTheme="minorHAnsi"/>
        </w:rPr>
        <w:t xml:space="preserve"> ar šo uzņēmumu</w:t>
      </w:r>
      <w:r w:rsidR="001243C7">
        <w:rPr>
          <w:rFonts w:eastAsiaTheme="minorHAnsi"/>
        </w:rPr>
        <w:t xml:space="preserve"> amatpersonas </w:t>
      </w:r>
      <w:r w:rsidR="00EA5FF1">
        <w:rPr>
          <w:rFonts w:eastAsiaTheme="minorHAnsi"/>
        </w:rPr>
        <w:t>[pers. B]</w:t>
      </w:r>
      <w:r w:rsidR="006B6F83">
        <w:rPr>
          <w:rFonts w:eastAsiaTheme="minorHAnsi"/>
        </w:rPr>
        <w:t xml:space="preserve"> sniegtajām liecībām, kuras ir pretrunā</w:t>
      </w:r>
      <w:r w:rsidR="000E1151">
        <w:rPr>
          <w:rFonts w:eastAsiaTheme="minorHAnsi"/>
        </w:rPr>
        <w:t xml:space="preserve"> liecinieku</w:t>
      </w:r>
      <w:r w:rsidR="00F577BD">
        <w:rPr>
          <w:rFonts w:eastAsiaTheme="minorHAnsi"/>
        </w:rPr>
        <w:t xml:space="preserve"> </w:t>
      </w:r>
      <w:r w:rsidR="00EA5FF1">
        <w:rPr>
          <w:rFonts w:eastAsiaTheme="minorHAnsi"/>
        </w:rPr>
        <w:t>[pers. C]</w:t>
      </w:r>
      <w:r w:rsidR="00F577BD">
        <w:rPr>
          <w:rFonts w:eastAsiaTheme="minorHAnsi"/>
        </w:rPr>
        <w:t xml:space="preserve">, </w:t>
      </w:r>
      <w:r w:rsidR="00EA5FF1">
        <w:rPr>
          <w:rFonts w:eastAsiaTheme="minorHAnsi"/>
        </w:rPr>
        <w:t>[pers. D]</w:t>
      </w:r>
      <w:r w:rsidR="00F577BD">
        <w:rPr>
          <w:rFonts w:eastAsiaTheme="minorHAnsi"/>
        </w:rPr>
        <w:t xml:space="preserve">, </w:t>
      </w:r>
      <w:r w:rsidR="00EA5FF1">
        <w:rPr>
          <w:rFonts w:eastAsiaTheme="minorHAnsi"/>
        </w:rPr>
        <w:t>[pers. E]</w:t>
      </w:r>
      <w:r w:rsidR="00F577BD">
        <w:rPr>
          <w:rFonts w:eastAsiaTheme="minorHAnsi"/>
        </w:rPr>
        <w:t xml:space="preserve">, </w:t>
      </w:r>
      <w:r w:rsidR="00EA5FF1">
        <w:rPr>
          <w:rFonts w:eastAsiaTheme="minorHAnsi"/>
        </w:rPr>
        <w:t>[pers. F]</w:t>
      </w:r>
      <w:r w:rsidR="00F577BD">
        <w:rPr>
          <w:rFonts w:eastAsiaTheme="minorHAnsi"/>
        </w:rPr>
        <w:t xml:space="preserve">, </w:t>
      </w:r>
      <w:r w:rsidR="00EA5FF1">
        <w:rPr>
          <w:rFonts w:eastAsiaTheme="minorHAnsi"/>
        </w:rPr>
        <w:t>[pers. G]</w:t>
      </w:r>
      <w:r w:rsidR="00F577BD">
        <w:rPr>
          <w:rFonts w:eastAsiaTheme="minorHAnsi"/>
        </w:rPr>
        <w:t>,</w:t>
      </w:r>
      <w:r w:rsidR="000E1151">
        <w:rPr>
          <w:rFonts w:eastAsiaTheme="minorHAnsi"/>
        </w:rPr>
        <w:t xml:space="preserve"> </w:t>
      </w:r>
      <w:r w:rsidR="00EA5FF1">
        <w:rPr>
          <w:rFonts w:eastAsiaTheme="minorHAnsi"/>
        </w:rPr>
        <w:t>[pers. H]</w:t>
      </w:r>
      <w:r w:rsidR="000E1151">
        <w:rPr>
          <w:rFonts w:eastAsiaTheme="minorHAnsi"/>
        </w:rPr>
        <w:t xml:space="preserve"> un </w:t>
      </w:r>
      <w:r w:rsidR="00EA5FF1">
        <w:rPr>
          <w:rFonts w:eastAsiaTheme="minorHAnsi"/>
        </w:rPr>
        <w:t>[pers. I]</w:t>
      </w:r>
      <w:r w:rsidR="00F577BD">
        <w:rPr>
          <w:rFonts w:eastAsiaTheme="minorHAnsi"/>
        </w:rPr>
        <w:t xml:space="preserve"> sniegtajām liecībām</w:t>
      </w:r>
      <w:r w:rsidR="006B6F83">
        <w:rPr>
          <w:rFonts w:eastAsiaTheme="minorHAnsi"/>
        </w:rPr>
        <w:t xml:space="preserve"> u</w:t>
      </w:r>
      <w:r w:rsidR="00393017">
        <w:rPr>
          <w:rFonts w:eastAsiaTheme="minorHAnsi"/>
        </w:rPr>
        <w:t>n VID sniegtajām ziņām par SIA </w:t>
      </w:r>
      <w:r w:rsidR="0062641A">
        <w:rPr>
          <w:rFonts w:eastAsiaTheme="minorHAnsi"/>
          <w:i/>
        </w:rPr>
        <w:t>[Nosaukums B]</w:t>
      </w:r>
      <w:r w:rsidR="00393017">
        <w:rPr>
          <w:rFonts w:eastAsiaTheme="minorHAnsi"/>
        </w:rPr>
        <w:t xml:space="preserve"> un SIA </w:t>
      </w:r>
      <w:r w:rsidR="0062641A">
        <w:rPr>
          <w:rFonts w:eastAsiaTheme="minorHAnsi"/>
          <w:i/>
        </w:rPr>
        <w:t>[Nosaukums C]</w:t>
      </w:r>
      <w:r w:rsidR="006B6F83">
        <w:rPr>
          <w:rFonts w:eastAsiaTheme="minorHAnsi"/>
        </w:rPr>
        <w:t xml:space="preserve"> komercdarbību</w:t>
      </w:r>
      <w:r w:rsidR="008A090B">
        <w:rPr>
          <w:rFonts w:eastAsiaTheme="minorHAnsi"/>
        </w:rPr>
        <w:t xml:space="preserve">. Tādējādi </w:t>
      </w:r>
      <w:r w:rsidR="00B1550C">
        <w:rPr>
          <w:rFonts w:eastAsiaTheme="minorHAnsi"/>
        </w:rPr>
        <w:t xml:space="preserve">apelācijas instances tiesa </w:t>
      </w:r>
      <w:r w:rsidR="008A090B">
        <w:rPr>
          <w:rFonts w:eastAsiaTheme="minorHAnsi"/>
        </w:rPr>
        <w:t>nav vispusīgi un obje</w:t>
      </w:r>
      <w:r w:rsidR="005556EF">
        <w:rPr>
          <w:rFonts w:eastAsiaTheme="minorHAnsi"/>
        </w:rPr>
        <w:t>ktīvi izvērtējusi krimināllietā</w:t>
      </w:r>
      <w:r w:rsidR="008A090B">
        <w:rPr>
          <w:rFonts w:eastAsiaTheme="minorHAnsi"/>
        </w:rPr>
        <w:t xml:space="preserve"> esošos pierādījumus, nav sniegusi savu </w:t>
      </w:r>
      <w:r w:rsidR="005556EF">
        <w:rPr>
          <w:rFonts w:eastAsiaTheme="minorHAnsi"/>
        </w:rPr>
        <w:t>vērtējumu par apelācijas sūdzības</w:t>
      </w:r>
      <w:r w:rsidR="008A090B">
        <w:rPr>
          <w:rFonts w:eastAsiaTheme="minorHAnsi"/>
        </w:rPr>
        <w:t xml:space="preserve"> motīviem, </w:t>
      </w:r>
      <w:r w:rsidR="00B1550C">
        <w:rPr>
          <w:rFonts w:eastAsiaTheme="minorHAnsi"/>
        </w:rPr>
        <w:t xml:space="preserve">nav norādījusi, </w:t>
      </w:r>
      <w:r w:rsidR="008A090B">
        <w:rPr>
          <w:rFonts w:eastAsiaTheme="minorHAnsi"/>
        </w:rPr>
        <w:t xml:space="preserve">kāpēc noraida vai neņem vērā pierādījumus, ka </w:t>
      </w:r>
      <w:r w:rsidR="00EA5FF1">
        <w:rPr>
          <w:rFonts w:eastAsiaTheme="minorHAnsi"/>
        </w:rPr>
        <w:t>[pers. B]</w:t>
      </w:r>
      <w:r w:rsidR="008A090B">
        <w:rPr>
          <w:rFonts w:eastAsiaTheme="minorHAnsi"/>
        </w:rPr>
        <w:t xml:space="preserve"> ir veicis komercda</w:t>
      </w:r>
      <w:r w:rsidR="006B6F83">
        <w:rPr>
          <w:rFonts w:eastAsiaTheme="minorHAnsi"/>
        </w:rPr>
        <w:t>rbību abos uzņēmumos un</w:t>
      </w:r>
      <w:r w:rsidR="008A090B">
        <w:rPr>
          <w:rFonts w:eastAsiaTheme="minorHAnsi"/>
        </w:rPr>
        <w:t xml:space="preserve"> pieņēmis darbā darbiniekus, kas</w:t>
      </w:r>
      <w:r w:rsidR="006B6F83">
        <w:rPr>
          <w:rFonts w:eastAsiaTheme="minorHAnsi"/>
        </w:rPr>
        <w:t xml:space="preserve"> veikuši reālus darbus mežsaimniecībā.</w:t>
      </w:r>
    </w:p>
    <w:p w:rsidR="00781453" w:rsidRDefault="00CE75CC" w:rsidP="00080484">
      <w:pPr>
        <w:spacing w:line="276" w:lineRule="auto"/>
        <w:ind w:firstLine="709"/>
        <w:jc w:val="both"/>
        <w:rPr>
          <w:rFonts w:eastAsiaTheme="minorHAnsi"/>
        </w:rPr>
      </w:pPr>
      <w:r>
        <w:rPr>
          <w:rFonts w:eastAsiaTheme="minorHAnsi"/>
        </w:rPr>
        <w:t>[4</w:t>
      </w:r>
      <w:r w:rsidR="006B6F83">
        <w:rPr>
          <w:rFonts w:eastAsiaTheme="minorHAnsi"/>
        </w:rPr>
        <w:t>.7] Abas zemāko instanču tiesas ir apšaubījušas</w:t>
      </w:r>
      <w:r w:rsidR="00AC7FEC">
        <w:rPr>
          <w:rFonts w:eastAsiaTheme="minorHAnsi"/>
        </w:rPr>
        <w:t xml:space="preserve"> </w:t>
      </w:r>
      <w:r w:rsidR="00F7598F">
        <w:rPr>
          <w:rFonts w:eastAsiaTheme="minorHAnsi"/>
        </w:rPr>
        <w:t>[pers. B]</w:t>
      </w:r>
      <w:r w:rsidR="00AC7FEC">
        <w:rPr>
          <w:rFonts w:eastAsiaTheme="minorHAnsi"/>
        </w:rPr>
        <w:t xml:space="preserve"> un </w:t>
      </w:r>
      <w:r w:rsidR="00F7598F">
        <w:rPr>
          <w:rFonts w:eastAsiaTheme="minorHAnsi"/>
        </w:rPr>
        <w:t>[pers. F]</w:t>
      </w:r>
      <w:r w:rsidR="006B6F83">
        <w:rPr>
          <w:rFonts w:eastAsiaTheme="minorHAnsi"/>
        </w:rPr>
        <w:t xml:space="preserve"> parakstu īstumu</w:t>
      </w:r>
      <w:r w:rsidR="00393017">
        <w:rPr>
          <w:rFonts w:eastAsiaTheme="minorHAnsi"/>
        </w:rPr>
        <w:t xml:space="preserve"> SIA </w:t>
      </w:r>
      <w:r w:rsidR="0062641A">
        <w:rPr>
          <w:rFonts w:eastAsiaTheme="minorHAnsi"/>
          <w:i/>
        </w:rPr>
        <w:t>[Nosaukums B]</w:t>
      </w:r>
      <w:r w:rsidR="00B06B3C">
        <w:rPr>
          <w:rFonts w:eastAsiaTheme="minorHAnsi"/>
        </w:rPr>
        <w:t xml:space="preserve"> un SIA </w:t>
      </w:r>
      <w:r w:rsidR="0062641A">
        <w:rPr>
          <w:rFonts w:eastAsiaTheme="minorHAnsi"/>
          <w:i/>
        </w:rPr>
        <w:t>[Nosaukums C]</w:t>
      </w:r>
      <w:r w:rsidR="00AC7FEC">
        <w:rPr>
          <w:rFonts w:eastAsiaTheme="minorHAnsi"/>
        </w:rPr>
        <w:t xml:space="preserve"> dokumentos.</w:t>
      </w:r>
      <w:r w:rsidR="006B6F83">
        <w:rPr>
          <w:rFonts w:eastAsiaTheme="minorHAnsi"/>
        </w:rPr>
        <w:t xml:space="preserve"> Tādējādi </w:t>
      </w:r>
      <w:r w:rsidR="007902F9">
        <w:rPr>
          <w:rFonts w:eastAsiaTheme="minorHAnsi"/>
        </w:rPr>
        <w:t xml:space="preserve">tiesas </w:t>
      </w:r>
      <w:r w:rsidR="006B6F83">
        <w:rPr>
          <w:rFonts w:eastAsiaTheme="minorHAnsi"/>
        </w:rPr>
        <w:t>nav ņēmušas vērā,</w:t>
      </w:r>
      <w:r w:rsidR="00AC7FEC">
        <w:rPr>
          <w:rFonts w:eastAsiaTheme="minorHAnsi"/>
        </w:rPr>
        <w:t xml:space="preserve"> ka</w:t>
      </w:r>
      <w:r w:rsidR="006B6F83">
        <w:rPr>
          <w:rFonts w:eastAsiaTheme="minorHAnsi"/>
        </w:rPr>
        <w:t xml:space="preserve"> rokrakstu ekspertīzes atzinums nav kategorisks, savukārt</w:t>
      </w:r>
      <w:r w:rsidR="00EA18BF">
        <w:rPr>
          <w:rFonts w:eastAsiaTheme="minorHAnsi"/>
        </w:rPr>
        <w:t xml:space="preserve"> lieciniekiem </w:t>
      </w:r>
      <w:r w:rsidR="00BB69B9">
        <w:rPr>
          <w:rFonts w:eastAsiaTheme="minorHAnsi"/>
        </w:rPr>
        <w:t>[pers. B]</w:t>
      </w:r>
      <w:r w:rsidR="00EA18BF">
        <w:rPr>
          <w:rFonts w:eastAsiaTheme="minorHAnsi"/>
        </w:rPr>
        <w:t xml:space="preserve"> un </w:t>
      </w:r>
      <w:r w:rsidR="00BB69B9">
        <w:rPr>
          <w:rFonts w:eastAsiaTheme="minorHAnsi"/>
        </w:rPr>
        <w:t>[pers. F]</w:t>
      </w:r>
      <w:r w:rsidR="00EA18BF">
        <w:rPr>
          <w:rFonts w:eastAsiaTheme="minorHAnsi"/>
        </w:rPr>
        <w:t xml:space="preserve"> ir izdevīgi apgalvot, ka viņi nav pa</w:t>
      </w:r>
      <w:r w:rsidR="00E908F7">
        <w:rPr>
          <w:rFonts w:eastAsiaTheme="minorHAnsi"/>
        </w:rPr>
        <w:t>r</w:t>
      </w:r>
      <w:r w:rsidR="006B6F83">
        <w:rPr>
          <w:rFonts w:eastAsiaTheme="minorHAnsi"/>
        </w:rPr>
        <w:t xml:space="preserve">akstījuši dokumentus. Turklāt tiesa nav </w:t>
      </w:r>
      <w:r w:rsidR="0081207B">
        <w:rPr>
          <w:rFonts w:eastAsiaTheme="minorHAnsi"/>
        </w:rPr>
        <w:t>skaidrojusi faktus</w:t>
      </w:r>
      <w:r w:rsidR="00E908F7">
        <w:rPr>
          <w:rFonts w:eastAsiaTheme="minorHAnsi"/>
        </w:rPr>
        <w:t xml:space="preserve"> par SIA </w:t>
      </w:r>
      <w:r w:rsidR="0062641A">
        <w:rPr>
          <w:rFonts w:eastAsiaTheme="minorHAnsi"/>
          <w:i/>
        </w:rPr>
        <w:t>[Nosaukums B]</w:t>
      </w:r>
      <w:r w:rsidR="00E908F7">
        <w:rPr>
          <w:rFonts w:eastAsiaTheme="minorHAnsi"/>
        </w:rPr>
        <w:t xml:space="preserve"> un SIA </w:t>
      </w:r>
      <w:r w:rsidR="0062641A">
        <w:rPr>
          <w:rFonts w:eastAsiaTheme="minorHAnsi"/>
          <w:i/>
        </w:rPr>
        <w:t>[Nosaukums C]</w:t>
      </w:r>
      <w:r w:rsidR="00EA18BF">
        <w:rPr>
          <w:rFonts w:eastAsiaTheme="minorHAnsi"/>
        </w:rPr>
        <w:t xml:space="preserve"> dokumentu izgatavošanas vietu</w:t>
      </w:r>
      <w:r w:rsidR="00E908F7">
        <w:rPr>
          <w:rFonts w:eastAsiaTheme="minorHAnsi"/>
        </w:rPr>
        <w:t xml:space="preserve"> un to autentiskumu</w:t>
      </w:r>
      <w:r w:rsidR="0081207B">
        <w:rPr>
          <w:rFonts w:eastAsiaTheme="minorHAnsi"/>
        </w:rPr>
        <w:t>. No lietā iegūtajiem pierādījumiem izriet,</w:t>
      </w:r>
      <w:r w:rsidR="00E908F7">
        <w:rPr>
          <w:rFonts w:eastAsiaTheme="minorHAnsi"/>
        </w:rPr>
        <w:t xml:space="preserve"> ka </w:t>
      </w:r>
      <w:r w:rsidR="00BB69B9">
        <w:rPr>
          <w:rFonts w:eastAsiaTheme="minorHAnsi"/>
        </w:rPr>
        <w:t>[pers. A]</w:t>
      </w:r>
      <w:r w:rsidR="00EB26E6">
        <w:rPr>
          <w:rFonts w:eastAsiaTheme="minorHAnsi"/>
        </w:rPr>
        <w:t xml:space="preserve"> nav </w:t>
      </w:r>
      <w:r w:rsidR="00E908F7">
        <w:rPr>
          <w:rFonts w:eastAsiaTheme="minorHAnsi"/>
        </w:rPr>
        <w:t>saistīts</w:t>
      </w:r>
      <w:r w:rsidR="00EB26E6">
        <w:rPr>
          <w:rFonts w:eastAsiaTheme="minorHAnsi"/>
        </w:rPr>
        <w:t xml:space="preserve"> ar norādīto dokumentu izgatavošanu</w:t>
      </w:r>
      <w:r w:rsidR="0081207B">
        <w:rPr>
          <w:rFonts w:eastAsiaTheme="minorHAnsi"/>
        </w:rPr>
        <w:t>, tādēļ tiesas atzinums, ka</w:t>
      </w:r>
      <w:r w:rsidR="00EB26E6">
        <w:rPr>
          <w:rFonts w:eastAsiaTheme="minorHAnsi"/>
        </w:rPr>
        <w:t xml:space="preserve"> </w:t>
      </w:r>
      <w:r w:rsidR="00AE493D">
        <w:rPr>
          <w:rFonts w:eastAsiaTheme="minorHAnsi"/>
        </w:rPr>
        <w:t>apsūdzētais</w:t>
      </w:r>
      <w:r w:rsidR="0081207B">
        <w:rPr>
          <w:rFonts w:eastAsiaTheme="minorHAnsi"/>
        </w:rPr>
        <w:t xml:space="preserve"> noziedzīgu nodarījumu ir izdarījis</w:t>
      </w:r>
      <w:r w:rsidR="00A73BC1">
        <w:rPr>
          <w:rFonts w:eastAsiaTheme="minorHAnsi"/>
        </w:rPr>
        <w:t>,</w:t>
      </w:r>
      <w:r w:rsidR="0081207B">
        <w:rPr>
          <w:rFonts w:eastAsiaTheme="minorHAnsi"/>
        </w:rPr>
        <w:t xml:space="preserve"> izmantojot fiktīvus dokumentus, </w:t>
      </w:r>
      <w:r w:rsidR="007902F9">
        <w:rPr>
          <w:rFonts w:eastAsiaTheme="minorHAnsi"/>
        </w:rPr>
        <w:t xml:space="preserve">nav </w:t>
      </w:r>
      <w:r w:rsidR="0081207B">
        <w:rPr>
          <w:rFonts w:eastAsiaTheme="minorHAnsi"/>
        </w:rPr>
        <w:t>pamatots.</w:t>
      </w:r>
    </w:p>
    <w:p w:rsidR="00EB26E6" w:rsidRDefault="0081207B" w:rsidP="00080484">
      <w:pPr>
        <w:spacing w:line="276" w:lineRule="auto"/>
        <w:ind w:firstLine="709"/>
        <w:jc w:val="both"/>
        <w:rPr>
          <w:rFonts w:eastAsiaTheme="minorHAnsi"/>
        </w:rPr>
      </w:pPr>
      <w:r>
        <w:rPr>
          <w:rFonts w:eastAsiaTheme="minorHAnsi"/>
        </w:rPr>
        <w:t>[</w:t>
      </w:r>
      <w:r w:rsidR="00CE75CC">
        <w:rPr>
          <w:rFonts w:eastAsiaTheme="minorHAnsi"/>
        </w:rPr>
        <w:t>4</w:t>
      </w:r>
      <w:r>
        <w:rPr>
          <w:rFonts w:eastAsiaTheme="minorHAnsi"/>
        </w:rPr>
        <w:t>.8] A</w:t>
      </w:r>
      <w:r w:rsidR="00047F7E">
        <w:rPr>
          <w:rFonts w:eastAsiaTheme="minorHAnsi"/>
        </w:rPr>
        <w:t>bas zemāko instanču tiesas</w:t>
      </w:r>
      <w:r w:rsidR="00727EFF">
        <w:rPr>
          <w:rFonts w:eastAsiaTheme="minorHAnsi"/>
        </w:rPr>
        <w:t xml:space="preserve">, vērtējot pierādījumus, </w:t>
      </w:r>
      <w:r w:rsidR="00047F7E">
        <w:rPr>
          <w:rFonts w:eastAsiaTheme="minorHAnsi"/>
        </w:rPr>
        <w:t>ir pārkāpušas Krimin</w:t>
      </w:r>
      <w:r>
        <w:rPr>
          <w:rFonts w:eastAsiaTheme="minorHAnsi"/>
        </w:rPr>
        <w:t>ālprocesa likuma 128.panta otro un trešo</w:t>
      </w:r>
      <w:r w:rsidR="00047F7E">
        <w:rPr>
          <w:rFonts w:eastAsiaTheme="minorHAnsi"/>
        </w:rPr>
        <w:t xml:space="preserve"> d</w:t>
      </w:r>
      <w:r>
        <w:rPr>
          <w:rFonts w:eastAsiaTheme="minorHAnsi"/>
        </w:rPr>
        <w:t>aļu</w:t>
      </w:r>
      <w:r w:rsidR="00047F7E">
        <w:rPr>
          <w:rFonts w:eastAsiaTheme="minorHAnsi"/>
        </w:rPr>
        <w:t xml:space="preserve"> un nav ievērojušas Kriminālprocesa likuma 19.panta otrajā un trešajā daļā noteikto</w:t>
      </w:r>
      <w:r w:rsidR="00727EFF">
        <w:rPr>
          <w:rFonts w:eastAsiaTheme="minorHAnsi"/>
        </w:rPr>
        <w:t>.</w:t>
      </w:r>
    </w:p>
    <w:p w:rsidR="00727EFF" w:rsidRDefault="00CE75CC" w:rsidP="00080484">
      <w:pPr>
        <w:spacing w:line="276" w:lineRule="auto"/>
        <w:ind w:firstLine="709"/>
        <w:jc w:val="both"/>
        <w:rPr>
          <w:rFonts w:eastAsiaTheme="minorHAnsi"/>
        </w:rPr>
      </w:pPr>
      <w:r>
        <w:rPr>
          <w:rFonts w:eastAsiaTheme="minorHAnsi"/>
        </w:rPr>
        <w:t>[4</w:t>
      </w:r>
      <w:r w:rsidR="0081207B">
        <w:rPr>
          <w:rFonts w:eastAsiaTheme="minorHAnsi"/>
        </w:rPr>
        <w:t xml:space="preserve">.9] Apsūdzība un abu </w:t>
      </w:r>
      <w:r w:rsidR="00A73BC1">
        <w:rPr>
          <w:rFonts w:eastAsiaTheme="minorHAnsi"/>
        </w:rPr>
        <w:t xml:space="preserve">zemāko </w:t>
      </w:r>
      <w:r w:rsidR="0081207B">
        <w:rPr>
          <w:rFonts w:eastAsiaTheme="minorHAnsi"/>
        </w:rPr>
        <w:t>instanču tiesu nolēmumi neatbilst</w:t>
      </w:r>
      <w:r w:rsidR="00727EFF">
        <w:rPr>
          <w:rFonts w:eastAsiaTheme="minorHAnsi"/>
        </w:rPr>
        <w:t xml:space="preserve"> Krimin</w:t>
      </w:r>
      <w:r w:rsidR="00A04031">
        <w:rPr>
          <w:rFonts w:eastAsiaTheme="minorHAnsi"/>
        </w:rPr>
        <w:t>ālp</w:t>
      </w:r>
      <w:r w:rsidR="0081207B">
        <w:rPr>
          <w:rFonts w:eastAsiaTheme="minorHAnsi"/>
        </w:rPr>
        <w:t>rocesa likuma 405.pantā un 527.pa</w:t>
      </w:r>
      <w:r w:rsidR="00D5304F">
        <w:rPr>
          <w:rFonts w:eastAsiaTheme="minorHAnsi"/>
        </w:rPr>
        <w:t>n</w:t>
      </w:r>
      <w:r w:rsidR="0081207B">
        <w:rPr>
          <w:rFonts w:eastAsiaTheme="minorHAnsi"/>
        </w:rPr>
        <w:t>ta pirmajā daļā noteiktajām prasībām, jo</w:t>
      </w:r>
      <w:r w:rsidR="00874EDF">
        <w:rPr>
          <w:rFonts w:eastAsiaTheme="minorHAnsi"/>
        </w:rPr>
        <w:t xml:space="preserve"> apsūdzībā un tiesas nolēmumos sniegtais</w:t>
      </w:r>
      <w:r w:rsidR="0081207B">
        <w:rPr>
          <w:rFonts w:eastAsiaTheme="minorHAnsi"/>
        </w:rPr>
        <w:t xml:space="preserve"> noziedzīgā nodarījuma apraksts </w:t>
      </w:r>
      <w:r w:rsidR="00874EDF">
        <w:rPr>
          <w:rFonts w:eastAsiaTheme="minorHAnsi"/>
        </w:rPr>
        <w:t>ir vispārīgs, nekonkrēts,</w:t>
      </w:r>
      <w:r w:rsidR="0081207B">
        <w:rPr>
          <w:rFonts w:eastAsiaTheme="minorHAnsi"/>
        </w:rPr>
        <w:t xml:space="preserve"> nesap</w:t>
      </w:r>
      <w:r w:rsidR="00874EDF">
        <w:rPr>
          <w:rFonts w:eastAsiaTheme="minorHAnsi"/>
        </w:rPr>
        <w:t>rotams un</w:t>
      </w:r>
      <w:r w:rsidR="0081207B">
        <w:rPr>
          <w:rFonts w:eastAsiaTheme="minorHAnsi"/>
        </w:rPr>
        <w:t xml:space="preserve"> </w:t>
      </w:r>
      <w:r w:rsidR="00A62E29">
        <w:rPr>
          <w:rFonts w:eastAsiaTheme="minorHAnsi"/>
        </w:rPr>
        <w:t>pamatots ar</w:t>
      </w:r>
      <w:r w:rsidR="0081207B">
        <w:rPr>
          <w:rFonts w:eastAsiaTheme="minorHAnsi"/>
        </w:rPr>
        <w:t xml:space="preserve"> pieņēmumiem</w:t>
      </w:r>
      <w:r w:rsidR="00D5304F">
        <w:rPr>
          <w:rFonts w:eastAsiaTheme="minorHAnsi"/>
        </w:rPr>
        <w:t>, apsūdzības būtība nav saprotama, nemeklējot papildus izskaidrojumu lietas materiālos.</w:t>
      </w:r>
      <w:r w:rsidR="00874EDF">
        <w:rPr>
          <w:rFonts w:eastAsiaTheme="minorHAnsi"/>
        </w:rPr>
        <w:t xml:space="preserve"> Tādējādi tiesa ir pārkāpusi</w:t>
      </w:r>
      <w:r w:rsidR="00072173">
        <w:rPr>
          <w:rFonts w:eastAsiaTheme="minorHAnsi"/>
        </w:rPr>
        <w:t xml:space="preserve"> Eiropas Cilvēktiesību un pamatbrīvību aizsardzī</w:t>
      </w:r>
      <w:r w:rsidR="00874EDF">
        <w:rPr>
          <w:rFonts w:eastAsiaTheme="minorHAnsi"/>
        </w:rPr>
        <w:t>bas konvencijas 6.panta 3.punktu</w:t>
      </w:r>
      <w:r w:rsidR="00072173">
        <w:rPr>
          <w:rFonts w:eastAsiaTheme="minorHAnsi"/>
        </w:rPr>
        <w:t xml:space="preserve"> (acīmredzami domāts – 6.</w:t>
      </w:r>
      <w:r w:rsidR="005E0759">
        <w:rPr>
          <w:rFonts w:eastAsiaTheme="minorHAnsi"/>
        </w:rPr>
        <w:t>panta trešo</w:t>
      </w:r>
      <w:r w:rsidR="0081207B">
        <w:rPr>
          <w:rFonts w:eastAsiaTheme="minorHAnsi"/>
        </w:rPr>
        <w:t xml:space="preserve"> daļ</w:t>
      </w:r>
      <w:r w:rsidR="005E0759">
        <w:rPr>
          <w:rFonts w:eastAsiaTheme="minorHAnsi"/>
        </w:rPr>
        <w:t>u</w:t>
      </w:r>
      <w:r w:rsidR="0081207B">
        <w:rPr>
          <w:rFonts w:eastAsiaTheme="minorHAnsi"/>
        </w:rPr>
        <w:t>)</w:t>
      </w:r>
      <w:r w:rsidR="00874EDF">
        <w:rPr>
          <w:rFonts w:eastAsiaTheme="minorHAnsi"/>
        </w:rPr>
        <w:t>, kas noteic, ka</w:t>
      </w:r>
      <w:r w:rsidR="00072173">
        <w:rPr>
          <w:rFonts w:eastAsiaTheme="minorHAnsi"/>
        </w:rPr>
        <w:t xml:space="preserve"> ikvienam, kas tiek apsūdzēts kriminālnoziegumā, ir šādas minimālās prasības: tikt nekavējoties informētam, viņam saprotamā valodā un detalizēti, par viņam izvirzītās </w:t>
      </w:r>
      <w:r w:rsidR="00874EDF">
        <w:rPr>
          <w:rFonts w:eastAsiaTheme="minorHAnsi"/>
        </w:rPr>
        <w:t>apsūdzības raksturu un iemeslu.</w:t>
      </w:r>
      <w:r w:rsidR="001C43F7">
        <w:rPr>
          <w:rFonts w:eastAsiaTheme="minorHAnsi"/>
        </w:rPr>
        <w:t xml:space="preserve"> </w:t>
      </w:r>
    </w:p>
    <w:p w:rsidR="0012321F" w:rsidRDefault="00CE75CC" w:rsidP="008E644F">
      <w:pPr>
        <w:spacing w:line="276" w:lineRule="auto"/>
        <w:ind w:firstLine="709"/>
        <w:jc w:val="both"/>
        <w:rPr>
          <w:rFonts w:eastAsiaTheme="minorHAnsi"/>
        </w:rPr>
      </w:pPr>
      <w:r>
        <w:rPr>
          <w:rFonts w:eastAsiaTheme="minorHAnsi"/>
        </w:rPr>
        <w:t>[4</w:t>
      </w:r>
      <w:r w:rsidR="00D5304F">
        <w:rPr>
          <w:rFonts w:eastAsiaTheme="minorHAnsi"/>
        </w:rPr>
        <w:t xml:space="preserve">.10] </w:t>
      </w:r>
      <w:r w:rsidR="00BB69B9">
        <w:rPr>
          <w:rFonts w:eastAsiaTheme="minorHAnsi"/>
        </w:rPr>
        <w:t>[pers. A]</w:t>
      </w:r>
      <w:r w:rsidR="00DE3A2A">
        <w:rPr>
          <w:rFonts w:eastAsiaTheme="minorHAnsi"/>
        </w:rPr>
        <w:t xml:space="preserve"> rīcībā nav konstatējamas Krimināllikuma 218.panta otrajā daļā paredzētā noziedzīga nodarījuma subjektīvās puses – nodoma </w:t>
      </w:r>
      <w:r w:rsidR="0012321F">
        <w:rPr>
          <w:rFonts w:eastAsiaTheme="minorHAnsi"/>
        </w:rPr>
        <w:t>–</w:t>
      </w:r>
      <w:r w:rsidR="00DE3A2A">
        <w:rPr>
          <w:rFonts w:eastAsiaTheme="minorHAnsi"/>
        </w:rPr>
        <w:t xml:space="preserve"> </w:t>
      </w:r>
      <w:r w:rsidR="00D5304F">
        <w:rPr>
          <w:rFonts w:eastAsiaTheme="minorHAnsi"/>
        </w:rPr>
        <w:t>pazīmes</w:t>
      </w:r>
      <w:r w:rsidR="008E644F">
        <w:rPr>
          <w:rFonts w:eastAsiaTheme="minorHAnsi"/>
        </w:rPr>
        <w:t>, tādēļ viņa nodarījumā nav minētā noziedzīgā nodarījuma sastāva.</w:t>
      </w:r>
    </w:p>
    <w:p w:rsidR="00E20594" w:rsidRDefault="00CE75CC" w:rsidP="00080484">
      <w:pPr>
        <w:spacing w:line="276" w:lineRule="auto"/>
        <w:ind w:firstLine="709"/>
        <w:jc w:val="both"/>
        <w:rPr>
          <w:rFonts w:eastAsiaTheme="minorHAnsi"/>
        </w:rPr>
      </w:pPr>
      <w:r>
        <w:rPr>
          <w:rFonts w:eastAsiaTheme="minorHAnsi"/>
        </w:rPr>
        <w:t>[4</w:t>
      </w:r>
      <w:r w:rsidR="008E644F">
        <w:rPr>
          <w:rFonts w:eastAsiaTheme="minorHAnsi"/>
        </w:rPr>
        <w:t>.11</w:t>
      </w:r>
      <w:r w:rsidR="00E20594">
        <w:rPr>
          <w:rFonts w:eastAsiaTheme="minorHAnsi"/>
        </w:rPr>
        <w:t xml:space="preserve">] </w:t>
      </w:r>
      <w:r w:rsidR="008E644F">
        <w:rPr>
          <w:rFonts w:eastAsiaTheme="minorHAnsi"/>
        </w:rPr>
        <w:t>A</w:t>
      </w:r>
      <w:r w:rsidR="00621518">
        <w:rPr>
          <w:rFonts w:eastAsiaTheme="minorHAnsi"/>
        </w:rPr>
        <w:t>bu zemāko instan</w:t>
      </w:r>
      <w:r w:rsidR="00B82088">
        <w:rPr>
          <w:rFonts w:eastAsiaTheme="minorHAnsi"/>
        </w:rPr>
        <w:t>ču tiesas</w:t>
      </w:r>
      <w:r w:rsidR="00621518">
        <w:rPr>
          <w:rFonts w:eastAsiaTheme="minorHAnsi"/>
        </w:rPr>
        <w:t xml:space="preserve"> </w:t>
      </w:r>
      <w:r w:rsidR="008E644F">
        <w:rPr>
          <w:rFonts w:eastAsiaTheme="minorHAnsi"/>
        </w:rPr>
        <w:t>nepamatoti atzinušas</w:t>
      </w:r>
      <w:r w:rsidR="00621518">
        <w:rPr>
          <w:rFonts w:eastAsiaTheme="minorHAnsi"/>
        </w:rPr>
        <w:t xml:space="preserve"> </w:t>
      </w:r>
      <w:r w:rsidR="00BB69B9">
        <w:rPr>
          <w:rFonts w:eastAsiaTheme="minorHAnsi"/>
        </w:rPr>
        <w:t>[pers. A]</w:t>
      </w:r>
      <w:r w:rsidR="00621518">
        <w:rPr>
          <w:rFonts w:eastAsiaTheme="minorHAnsi"/>
        </w:rPr>
        <w:t xml:space="preserve"> liecības, kuras viņš sniedza pirmstiesas kriminālprocesā liecinieka statusā, </w:t>
      </w:r>
      <w:r w:rsidR="008E644F">
        <w:rPr>
          <w:rFonts w:eastAsiaTheme="minorHAnsi"/>
        </w:rPr>
        <w:t>par pieļaujamām</w:t>
      </w:r>
      <w:r w:rsidR="00B82088">
        <w:rPr>
          <w:rFonts w:eastAsiaTheme="minorHAnsi"/>
        </w:rPr>
        <w:t xml:space="preserve"> un pierādīšanā izmantojam</w:t>
      </w:r>
      <w:r w:rsidR="009E57CE">
        <w:rPr>
          <w:rFonts w:eastAsiaTheme="minorHAnsi"/>
        </w:rPr>
        <w:t>ām</w:t>
      </w:r>
      <w:r w:rsidR="00B82088">
        <w:rPr>
          <w:rFonts w:eastAsiaTheme="minorHAnsi"/>
        </w:rPr>
        <w:t xml:space="preserve">, </w:t>
      </w:r>
      <w:r w:rsidR="00A464CB">
        <w:rPr>
          <w:rFonts w:eastAsiaTheme="minorHAnsi"/>
        </w:rPr>
        <w:t xml:space="preserve">jo norādītās liecības iegūtas, pārkāpjot Kriminālprocesa likuma 130.panta otrās </w:t>
      </w:r>
      <w:r w:rsidR="00A464CB">
        <w:rPr>
          <w:rFonts w:eastAsiaTheme="minorHAnsi"/>
        </w:rPr>
        <w:lastRenderedPageBreak/>
        <w:t xml:space="preserve">daļas 4.punktu – tas ir, nenodrošinot Kriminālprocesa likuma 15. un 20.pantā </w:t>
      </w:r>
      <w:r w:rsidR="00621EC6">
        <w:rPr>
          <w:rFonts w:eastAsiaTheme="minorHAnsi"/>
        </w:rPr>
        <w:t>paredzēto kriminālprocesa pamatprincipu ievērošanu.</w:t>
      </w:r>
    </w:p>
    <w:p w:rsidR="008E644F" w:rsidRDefault="00CE75CC" w:rsidP="00080484">
      <w:pPr>
        <w:spacing w:line="276" w:lineRule="auto"/>
        <w:ind w:firstLine="709"/>
        <w:jc w:val="both"/>
        <w:rPr>
          <w:rFonts w:eastAsiaTheme="minorHAnsi"/>
        </w:rPr>
      </w:pPr>
      <w:r>
        <w:rPr>
          <w:rFonts w:eastAsiaTheme="minorHAnsi"/>
        </w:rPr>
        <w:t>[4</w:t>
      </w:r>
      <w:r w:rsidR="008E644F">
        <w:rPr>
          <w:rFonts w:eastAsiaTheme="minorHAnsi"/>
        </w:rPr>
        <w:t>.12] Tiesa nav izvērtējusi pirmstiesas kriminālprocesā</w:t>
      </w:r>
      <w:r w:rsidR="002B19C3">
        <w:rPr>
          <w:rFonts w:eastAsiaTheme="minorHAnsi"/>
        </w:rPr>
        <w:t xml:space="preserve"> iegūtās ziņas, ka SIA </w:t>
      </w:r>
      <w:r w:rsidR="0062641A">
        <w:rPr>
          <w:rFonts w:eastAsiaTheme="minorHAnsi"/>
          <w:i/>
        </w:rPr>
        <w:t>[Nosaukums A]</w:t>
      </w:r>
      <w:r w:rsidR="00621EC6">
        <w:rPr>
          <w:rFonts w:eastAsiaTheme="minorHAnsi"/>
        </w:rPr>
        <w:t xml:space="preserve"> saistībā ar veiktajiem </w:t>
      </w:r>
      <w:r w:rsidR="004A54F4">
        <w:rPr>
          <w:rFonts w:eastAsiaTheme="minorHAnsi"/>
        </w:rPr>
        <w:t>d</w:t>
      </w:r>
      <w:r w:rsidR="00393017">
        <w:rPr>
          <w:rFonts w:eastAsiaTheme="minorHAnsi"/>
        </w:rPr>
        <w:t>arījumiem ar SIA </w:t>
      </w:r>
      <w:r w:rsidR="0062641A">
        <w:rPr>
          <w:rFonts w:eastAsiaTheme="minorHAnsi"/>
          <w:i/>
        </w:rPr>
        <w:t>[Nosaukums B]</w:t>
      </w:r>
      <w:r w:rsidR="002B19C3">
        <w:rPr>
          <w:rFonts w:eastAsiaTheme="minorHAnsi"/>
        </w:rPr>
        <w:t xml:space="preserve"> un SIA </w:t>
      </w:r>
      <w:r w:rsidR="0062641A">
        <w:rPr>
          <w:rFonts w:eastAsiaTheme="minorHAnsi"/>
          <w:i/>
        </w:rPr>
        <w:t>[Nosaukums C]</w:t>
      </w:r>
      <w:r w:rsidR="004A54F4">
        <w:rPr>
          <w:rFonts w:eastAsiaTheme="minorHAnsi"/>
        </w:rPr>
        <w:t xml:space="preserve">, ņemot vērā </w:t>
      </w:r>
      <w:r w:rsidR="0017192C">
        <w:rPr>
          <w:rFonts w:eastAsiaTheme="minorHAnsi"/>
        </w:rPr>
        <w:t>VID</w:t>
      </w:r>
      <w:r w:rsidR="004A54F4">
        <w:rPr>
          <w:rFonts w:eastAsiaTheme="minorHAnsi"/>
        </w:rPr>
        <w:t xml:space="preserve"> veiktā nodokļu audita rezultātu</w:t>
      </w:r>
      <w:r w:rsidR="002B19C3">
        <w:rPr>
          <w:rFonts w:eastAsiaTheme="minorHAnsi"/>
        </w:rPr>
        <w:t>s, ir atbilstoši koriģējusi SIA </w:t>
      </w:r>
      <w:r w:rsidR="0062641A">
        <w:rPr>
          <w:rFonts w:eastAsiaTheme="minorHAnsi"/>
          <w:i/>
        </w:rPr>
        <w:t>[Nosaukums A]</w:t>
      </w:r>
      <w:r w:rsidR="004A54F4">
        <w:rPr>
          <w:rFonts w:eastAsiaTheme="minorHAnsi"/>
        </w:rPr>
        <w:t xml:space="preserve"> 2014.gada peļņas un zaudējumu aprēķinu, palielinot valsts budžetā maksājamā </w:t>
      </w:r>
      <w:r w:rsidR="0017192C">
        <w:rPr>
          <w:rFonts w:eastAsiaTheme="minorHAnsi"/>
        </w:rPr>
        <w:t xml:space="preserve">UIN summu par 2014.gadu. </w:t>
      </w:r>
    </w:p>
    <w:p w:rsidR="004A54F4" w:rsidRDefault="0017192C" w:rsidP="008E644F">
      <w:pPr>
        <w:spacing w:line="276" w:lineRule="auto"/>
        <w:ind w:firstLine="709"/>
        <w:jc w:val="both"/>
        <w:rPr>
          <w:rFonts w:eastAsiaTheme="minorHAnsi"/>
        </w:rPr>
      </w:pPr>
      <w:r>
        <w:rPr>
          <w:rFonts w:eastAsiaTheme="minorHAnsi"/>
        </w:rPr>
        <w:t>VID</w:t>
      </w:r>
      <w:r w:rsidR="004A54F4">
        <w:rPr>
          <w:rFonts w:eastAsiaTheme="minorHAnsi"/>
        </w:rPr>
        <w:t xml:space="preserve"> veiktajā nodokļu aprēķinā un nodokļu auditā esošie da</w:t>
      </w:r>
      <w:r w:rsidR="008E644F">
        <w:rPr>
          <w:rFonts w:eastAsiaTheme="minorHAnsi"/>
        </w:rPr>
        <w:t>ti faktiski dublējas</w:t>
      </w:r>
      <w:r w:rsidR="004A54F4">
        <w:rPr>
          <w:rFonts w:eastAsiaTheme="minorHAnsi"/>
        </w:rPr>
        <w:t xml:space="preserve">, </w:t>
      </w:r>
      <w:r w:rsidR="00014F6B">
        <w:rPr>
          <w:rFonts w:eastAsiaTheme="minorHAnsi"/>
        </w:rPr>
        <w:t xml:space="preserve">savukārt izskatāmajā lietā ir </w:t>
      </w:r>
      <w:r w:rsidR="004A54F4">
        <w:rPr>
          <w:rFonts w:eastAsiaTheme="minorHAnsi"/>
        </w:rPr>
        <w:t>b</w:t>
      </w:r>
      <w:r w:rsidR="00F7250E">
        <w:rPr>
          <w:rFonts w:eastAsiaTheme="minorHAnsi"/>
        </w:rPr>
        <w:t>ū</w:t>
      </w:r>
      <w:r w:rsidR="00856350">
        <w:rPr>
          <w:rFonts w:eastAsiaTheme="minorHAnsi"/>
        </w:rPr>
        <w:t>tiski</w:t>
      </w:r>
      <w:r w:rsidR="004A54F4">
        <w:rPr>
          <w:rFonts w:eastAsiaTheme="minorHAnsi"/>
        </w:rPr>
        <w:t xml:space="preserve"> </w:t>
      </w:r>
      <w:r w:rsidR="00856350">
        <w:rPr>
          <w:rFonts w:eastAsiaTheme="minorHAnsi"/>
        </w:rPr>
        <w:t>nošķirt administratīvo procesu</w:t>
      </w:r>
      <w:r w:rsidR="004A54F4">
        <w:rPr>
          <w:rFonts w:eastAsiaTheme="minorHAnsi"/>
        </w:rPr>
        <w:t xml:space="preserve"> no kriminālprocesa un </w:t>
      </w:r>
      <w:r w:rsidR="00856350">
        <w:rPr>
          <w:rFonts w:eastAsiaTheme="minorHAnsi"/>
        </w:rPr>
        <w:t>nepieļaut apsūdzētā dubulto sodīšanu</w:t>
      </w:r>
      <w:r w:rsidR="004A54F4">
        <w:rPr>
          <w:rFonts w:eastAsiaTheme="minorHAnsi"/>
        </w:rPr>
        <w:t>.</w:t>
      </w:r>
    </w:p>
    <w:p w:rsidR="00080484" w:rsidRDefault="00080484" w:rsidP="0021146C">
      <w:pPr>
        <w:spacing w:line="276" w:lineRule="auto"/>
        <w:ind w:firstLine="709"/>
        <w:jc w:val="both"/>
      </w:pPr>
    </w:p>
    <w:p w:rsidR="00080484" w:rsidRDefault="00080484" w:rsidP="0021146C">
      <w:pPr>
        <w:spacing w:line="276" w:lineRule="auto"/>
        <w:jc w:val="center"/>
        <w:rPr>
          <w:b/>
        </w:rPr>
      </w:pPr>
      <w:r w:rsidRPr="00291D22">
        <w:rPr>
          <w:b/>
        </w:rPr>
        <w:t>Motīvu daļa</w:t>
      </w:r>
    </w:p>
    <w:p w:rsidR="00461DEE" w:rsidRDefault="00461DEE" w:rsidP="0021146C">
      <w:pPr>
        <w:spacing w:line="276" w:lineRule="auto"/>
        <w:jc w:val="both"/>
        <w:rPr>
          <w:b/>
        </w:rPr>
      </w:pPr>
    </w:p>
    <w:p w:rsidR="00080484" w:rsidRDefault="00080484" w:rsidP="00B07DAF">
      <w:pPr>
        <w:spacing w:line="276" w:lineRule="auto"/>
        <w:ind w:firstLine="709"/>
        <w:jc w:val="both"/>
      </w:pPr>
      <w:r>
        <w:t>[</w:t>
      </w:r>
      <w:r w:rsidR="00CE75CC">
        <w:t>5</w:t>
      </w:r>
      <w:r>
        <w:t>] Augstākā tiesa atzīst, ka Zemgales apgabaltiesas 2016.gada 31.</w:t>
      </w:r>
      <w:r w:rsidR="00275905">
        <w:t>oktobra lēmums atceļams pilnībā</w:t>
      </w:r>
      <w:r>
        <w:t xml:space="preserve"> un lieta nosūtāma jaunai izskatīšanai apelācijas instances tiesā.</w:t>
      </w:r>
    </w:p>
    <w:p w:rsidR="00CE75CC" w:rsidRDefault="00CE75CC" w:rsidP="00B07DAF">
      <w:pPr>
        <w:spacing w:line="276" w:lineRule="auto"/>
        <w:ind w:firstLine="709"/>
        <w:jc w:val="both"/>
      </w:pPr>
    </w:p>
    <w:p w:rsidR="00080484" w:rsidRDefault="00080484" w:rsidP="00DF55AE">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w:t>
      </w:r>
      <w:r w:rsidR="00CE75CC">
        <w:rPr>
          <w:rFonts w:ascii="TimesNewRomanPSMT" w:eastAsiaTheme="minorHAnsi" w:hAnsi="TimesNewRomanPSMT" w:cs="TimesNewRomanPSMT"/>
        </w:rPr>
        <w:t>6</w:t>
      </w:r>
      <w:r>
        <w:rPr>
          <w:rFonts w:ascii="TimesNewRomanPSMT" w:eastAsiaTheme="minorHAnsi" w:hAnsi="TimesNewRomanPSMT" w:cs="TimesNewRomanPSMT"/>
        </w:rPr>
        <w:t xml:space="preserve">] </w:t>
      </w:r>
      <w:r w:rsidR="007B7207">
        <w:rPr>
          <w:rFonts w:ascii="TimesNewRomanPSMT" w:eastAsiaTheme="minorHAnsi" w:hAnsi="TimesNewRomanPSMT" w:cs="TimesNewRomanPSMT"/>
        </w:rPr>
        <w:t xml:space="preserve">Kriminālprocesa likuma 511.panta otrajā daļā noteikts, ka tiesas spriedumam jābūt tiesiskam un pamatotam. Tiesas spriedums ir tiesisks un pamatots, ja tas atbilst Kriminālprocesa likuma 512.panta nosacījumiem, tostarp </w:t>
      </w:r>
      <w:r w:rsidR="00DF55AE">
        <w:rPr>
          <w:rFonts w:ascii="TimesNewRomanPSMT" w:eastAsiaTheme="minorHAnsi" w:hAnsi="TimesNewRomanPSMT" w:cs="TimesNewRomanPSMT"/>
        </w:rPr>
        <w:t>minētā panta otrajai</w:t>
      </w:r>
      <w:r w:rsidR="007B7207">
        <w:rPr>
          <w:rFonts w:ascii="TimesNewRomanPSMT" w:eastAsiaTheme="minorHAnsi" w:hAnsi="TimesNewRomanPSMT" w:cs="TimesNewRomanPSMT"/>
        </w:rPr>
        <w:t xml:space="preserve"> da</w:t>
      </w:r>
      <w:r w:rsidR="00DF55AE">
        <w:rPr>
          <w:rFonts w:ascii="TimesNewRomanPSMT" w:eastAsiaTheme="minorHAnsi" w:hAnsi="TimesNewRomanPSMT" w:cs="TimesNewRomanPSMT"/>
        </w:rPr>
        <w:t>ļai, kas noteic,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r w:rsidR="007B7207">
        <w:rPr>
          <w:rFonts w:ascii="TimesNewRomanPSMT" w:eastAsiaTheme="minorHAnsi" w:hAnsi="TimesNewRomanPSMT" w:cs="TimesNewRomanPSMT"/>
        </w:rPr>
        <w:t>. Minētais attiecināms arī uz apelācijas instances tiesas lēmumu.</w:t>
      </w:r>
    </w:p>
    <w:p w:rsidR="00DF55AE" w:rsidRDefault="00DF55AE" w:rsidP="00DF55AE">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Atbilstoši Kriminālprocesa likuma 564.panta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DF55AE" w:rsidRDefault="00563F23" w:rsidP="00DF55AE">
      <w:pPr>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Pierādījumu pieļaujamības kritēriji ir noteikti Kriminālprocesa likuma 130.pantā.</w:t>
      </w:r>
    </w:p>
    <w:p w:rsidR="00FB4B8A" w:rsidRDefault="00FB4B8A" w:rsidP="00563F23">
      <w:pPr>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Augstākā tiesa atzīst, ka apelācijas instances tiesa, iztiesājot krimināllietu, norādītās tiesību normas nav ievērojusi.</w:t>
      </w:r>
    </w:p>
    <w:p w:rsidR="00DF55AE" w:rsidRDefault="006C6EF5" w:rsidP="006C6EF5">
      <w:pPr>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w:t>
      </w:r>
      <w:r w:rsidR="00CE75CC">
        <w:rPr>
          <w:rFonts w:ascii="TimesNewRomanPSMT" w:eastAsiaTheme="minorHAnsi" w:hAnsi="TimesNewRomanPSMT" w:cs="TimesNewRomanPSMT"/>
        </w:rPr>
        <w:t>6</w:t>
      </w:r>
      <w:r>
        <w:rPr>
          <w:rFonts w:ascii="TimesNewRomanPSMT" w:eastAsiaTheme="minorHAnsi" w:hAnsi="TimesNewRomanPSMT" w:cs="TimesNewRomanPSMT"/>
        </w:rPr>
        <w:t xml:space="preserve">.1] </w:t>
      </w:r>
      <w:r w:rsidR="008166A2">
        <w:rPr>
          <w:rFonts w:ascii="TimesNewRomanPSMT" w:eastAsiaTheme="minorHAnsi" w:hAnsi="TimesNewRomanPSMT" w:cs="TimesNewRomanPSMT"/>
        </w:rPr>
        <w:t>Apelācijas instances tiesa pirmās instances tiesas spriedumu atstājusi bez grozījumiem un piekritusi pirmās instances tiesas spriedumā izdarītajiem atzinumiem.</w:t>
      </w:r>
    </w:p>
    <w:p w:rsidR="001E01A3" w:rsidRDefault="008166A2" w:rsidP="00682825">
      <w:pPr>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Savukārt pirmās instances tiesa atzinumu par </w:t>
      </w:r>
      <w:r w:rsidR="00BB69B9">
        <w:rPr>
          <w:rFonts w:ascii="TimesNewRomanPSMT" w:eastAsiaTheme="minorHAnsi" w:hAnsi="TimesNewRomanPSMT" w:cs="TimesNewRomanPSMT"/>
        </w:rPr>
        <w:t>[pers. A]</w:t>
      </w:r>
      <w:r>
        <w:rPr>
          <w:rFonts w:ascii="TimesNewRomanPSMT" w:eastAsiaTheme="minorHAnsi" w:hAnsi="TimesNewRomanPSMT" w:cs="TimesNewRomanPSMT"/>
        </w:rPr>
        <w:t xml:space="preserve"> vainīgumu viņam inkriminētajā noziedzīgajā nodarījumā ir pamatojusi ar tiesas izmeklēšanā pārbaudītajiem pierādījumiem, </w:t>
      </w:r>
      <w:r w:rsidR="001A3491">
        <w:rPr>
          <w:rFonts w:ascii="TimesNewRomanPSMT" w:eastAsiaTheme="minorHAnsi" w:hAnsi="TimesNewRomanPSMT" w:cs="TimesNewRomanPSMT"/>
        </w:rPr>
        <w:t>tajā skaitā</w:t>
      </w:r>
      <w:r>
        <w:rPr>
          <w:rFonts w:ascii="TimesNewRomanPSMT" w:eastAsiaTheme="minorHAnsi" w:hAnsi="TimesNewRomanPSMT" w:cs="TimesNewRomanPSMT"/>
        </w:rPr>
        <w:t xml:space="preserve"> </w:t>
      </w:r>
      <w:r w:rsidR="000454C6">
        <w:rPr>
          <w:rFonts w:ascii="TimesNewRomanPSMT" w:eastAsiaTheme="minorHAnsi" w:hAnsi="TimesNewRomanPSMT" w:cs="TimesNewRomanPSMT"/>
        </w:rPr>
        <w:t xml:space="preserve">ar </w:t>
      </w:r>
      <w:r w:rsidR="00BB69B9">
        <w:rPr>
          <w:rFonts w:ascii="TimesNewRomanPSMT" w:eastAsiaTheme="minorHAnsi" w:hAnsi="TimesNewRomanPSMT" w:cs="TimesNewRomanPSMT"/>
        </w:rPr>
        <w:t>[pers. A]</w:t>
      </w:r>
      <w:r w:rsidR="000454C6">
        <w:rPr>
          <w:rFonts w:ascii="TimesNewRomanPSMT" w:eastAsiaTheme="minorHAnsi" w:hAnsi="TimesNewRomanPSMT" w:cs="TimesNewRomanPSMT"/>
        </w:rPr>
        <w:t xml:space="preserve"> </w:t>
      </w:r>
      <w:r>
        <w:rPr>
          <w:rFonts w:ascii="TimesNewRomanPSMT" w:eastAsiaTheme="minorHAnsi" w:hAnsi="TimesNewRomanPSMT" w:cs="TimesNewRomanPSMT"/>
        </w:rPr>
        <w:t>2015.gada 2.martā</w:t>
      </w:r>
      <w:r w:rsidRPr="008166A2">
        <w:rPr>
          <w:rFonts w:ascii="TimesNewRomanPSMT" w:eastAsiaTheme="minorHAnsi" w:hAnsi="TimesNewRomanPSMT" w:cs="TimesNewRomanPSMT"/>
        </w:rPr>
        <w:t xml:space="preserve"> </w:t>
      </w:r>
      <w:r w:rsidR="000454C6">
        <w:rPr>
          <w:rFonts w:ascii="TimesNewRomanPSMT" w:eastAsiaTheme="minorHAnsi" w:hAnsi="TimesNewRomanPSMT" w:cs="TimesNewRomanPSMT"/>
        </w:rPr>
        <w:t xml:space="preserve">liecinieka statusā </w:t>
      </w:r>
      <w:r>
        <w:rPr>
          <w:rFonts w:ascii="TimesNewRomanPSMT" w:eastAsiaTheme="minorHAnsi" w:hAnsi="TimesNewRomanPSMT" w:cs="TimesNewRomanPSMT"/>
        </w:rPr>
        <w:t>sniegtajām liecībām</w:t>
      </w:r>
      <w:r w:rsidR="00B07DAF">
        <w:rPr>
          <w:rFonts w:ascii="TimesNewRomanPSMT" w:eastAsiaTheme="minorHAnsi" w:hAnsi="TimesNewRomanPSMT" w:cs="TimesNewRomanPSMT"/>
        </w:rPr>
        <w:t>.</w:t>
      </w:r>
    </w:p>
    <w:p w:rsidR="006C6EF5" w:rsidRDefault="00B07DAF" w:rsidP="006C6EF5">
      <w:pPr>
        <w:spacing w:line="276" w:lineRule="auto"/>
        <w:ind w:firstLine="709"/>
        <w:jc w:val="both"/>
      </w:pPr>
      <w:r>
        <w:rPr>
          <w:rFonts w:ascii="TimesNewRomanPSMT" w:eastAsiaTheme="minorHAnsi" w:hAnsi="TimesNewRomanPSMT" w:cs="TimesNewRomanPSMT"/>
        </w:rPr>
        <w:t>[</w:t>
      </w:r>
      <w:r w:rsidR="00CE75CC">
        <w:rPr>
          <w:rFonts w:ascii="TimesNewRomanPSMT" w:eastAsiaTheme="minorHAnsi" w:hAnsi="TimesNewRomanPSMT" w:cs="TimesNewRomanPSMT"/>
        </w:rPr>
        <w:t>6</w:t>
      </w:r>
      <w:r>
        <w:rPr>
          <w:rFonts w:ascii="TimesNewRomanPSMT" w:eastAsiaTheme="minorHAnsi" w:hAnsi="TimesNewRomanPSMT" w:cs="TimesNewRomanPSMT"/>
        </w:rPr>
        <w:t xml:space="preserve">.2] </w:t>
      </w:r>
      <w:r w:rsidR="006C6EF5">
        <w:rPr>
          <w:rFonts w:ascii="TimesNewRomanPSMT" w:eastAsiaTheme="minorHAnsi" w:hAnsi="TimesNewRomanPSMT" w:cs="TimesNewRomanPSMT"/>
        </w:rPr>
        <w:t xml:space="preserve">Saskaņā ar Kriminālprocesa likuma 109.panta pirmo daļu </w:t>
      </w:r>
      <w:r w:rsidR="006C6EF5">
        <w:t>liecinieks ir persona, kura likumā noteiktajā kārtībā uzaicināta sniegt ziņas (liecināt) par kriminālprocesā pierādāmajiem apstākļiem un ar tiem saistītajiem faktiem un palīgfaktiem.</w:t>
      </w:r>
    </w:p>
    <w:p w:rsidR="006C6EF5" w:rsidRDefault="006C6EF5" w:rsidP="00563F23">
      <w:pPr>
        <w:spacing w:line="276" w:lineRule="auto"/>
        <w:ind w:firstLine="709"/>
        <w:jc w:val="both"/>
      </w:pPr>
      <w:r>
        <w:rPr>
          <w:rFonts w:ascii="TimesNewRomanPSMT" w:eastAsiaTheme="minorHAnsi" w:hAnsi="TimesNewRomanPSMT" w:cs="TimesNewRomanPSMT"/>
        </w:rPr>
        <w:t xml:space="preserve">Kriminālprocesa likuma 110.panta trešās daļas 2.punkts paredz, ka </w:t>
      </w:r>
      <w:r>
        <w:t>lieciniekam ir tiesības neliecināt pret sevi un saviem tuviniekiem. Savukārt atbilstoši Kriminālprocesa likuma 111.panta</w:t>
      </w:r>
      <w:r w:rsidR="00491950">
        <w:t xml:space="preserve"> pirmās daļas pirmajam teikumam</w:t>
      </w:r>
      <w:r>
        <w:t xml:space="preserve"> lieciniekam, atbildot uz uzdotajiem jautājumiem, jāsniedz tikai patiesas ziņas un jāliecina par visu, kas viņam zināms sais</w:t>
      </w:r>
      <w:r>
        <w:softHyphen/>
        <w:t>tībā ar konkrēto noziedzīgo nodarījumu.</w:t>
      </w:r>
    </w:p>
    <w:p w:rsidR="00B07DAF" w:rsidRDefault="002E1FE0" w:rsidP="00563F23">
      <w:pPr>
        <w:spacing w:line="276" w:lineRule="auto"/>
        <w:ind w:firstLine="709"/>
        <w:jc w:val="both"/>
      </w:pPr>
      <w:r>
        <w:t>Kriminālprocesa likuma 60.</w:t>
      </w:r>
      <w:r w:rsidR="00CE75CC">
        <w:rPr>
          <w:vertAlign w:val="superscript"/>
        </w:rPr>
        <w:t>2</w:t>
      </w:r>
      <w:r>
        <w:t xml:space="preserve">pants noteic personas, kurai ir tiesības uz aizstāvību, pamattiesības kriminālprocesā. Tostarp šā panta pirmās daļas 8.punkts noteic tiesības sniegt </w:t>
      </w:r>
      <w:r>
        <w:lastRenderedPageBreak/>
        <w:t xml:space="preserve">liecību vai atteikties liecināt. Savukārt </w:t>
      </w:r>
      <w:r w:rsidR="00450C6D">
        <w:t>Kriminālprocesa</w:t>
      </w:r>
      <w:r>
        <w:t xml:space="preserve"> likuma 150.pants regulē personas, kurai ir tiesības uz aizstāvību, pratināšanu. Šā panta ceturtā da</w:t>
      </w:r>
      <w:r w:rsidR="00FC14EA">
        <w:t>ļa noteic, ka</w:t>
      </w:r>
      <w:r>
        <w:t xml:space="preserve"> pirmās pratināšanas sākumā personai </w:t>
      </w:r>
      <w:r w:rsidR="00FC14EA">
        <w:t xml:space="preserve">izskaidro </w:t>
      </w:r>
      <w:r>
        <w:t>tās tiesības neliecināt un brīdina, ka visu, kas ti</w:t>
      </w:r>
      <w:r w:rsidR="00FC14EA">
        <w:t>k</w:t>
      </w:r>
      <w:r>
        <w:t>s teikts, var izmantot pret šo personu.</w:t>
      </w:r>
    </w:p>
    <w:p w:rsidR="003129A2" w:rsidRDefault="00FC14EA" w:rsidP="003129A2">
      <w:pPr>
        <w:spacing w:line="276" w:lineRule="auto"/>
        <w:ind w:firstLine="709"/>
        <w:jc w:val="both"/>
      </w:pPr>
      <w:r>
        <w:t>No iepriekš norādītajām tiesību normām izriet, ka</w:t>
      </w:r>
      <w:r w:rsidR="0003112B">
        <w:t xml:space="preserve"> lieciniekam un personai, kurai ir tiesības uz aizstāvību, piešķirto tiesību neliecināt apjoms un sekas par nepatiesu liecību sniegšanu ir atšķirīgas. Proti,</w:t>
      </w:r>
      <w:r>
        <w:t xml:space="preserve"> personām, kurām ir tiesības uz aizstāvību, ir tiesības neliecināt, kas ietver gan tiesības klusēt, gan tiesības neatbildēt uz konkrētiem jautājumiem</w:t>
      </w:r>
      <w:r w:rsidR="00EA1354">
        <w:t>, neparedzot atbildību par nepatiesu liecību sniegšanu. Savukārt lieciniekam tiesības neliecināt ir noteiktas ierobežotā apjomā, turklāt lieciniekam ir pienākums sniegt patiesas liecības.</w:t>
      </w:r>
      <w:r>
        <w:t xml:space="preserve"> </w:t>
      </w:r>
    </w:p>
    <w:p w:rsidR="00530D6D" w:rsidRPr="00530D6D" w:rsidRDefault="00530D6D" w:rsidP="00530D6D">
      <w:pPr>
        <w:spacing w:line="276" w:lineRule="auto"/>
        <w:ind w:firstLine="709"/>
        <w:jc w:val="both"/>
        <w:rPr>
          <w:rFonts w:ascii="TimesNewRomanPSMT" w:eastAsiaTheme="minorHAnsi" w:hAnsi="TimesNewRomanPSMT" w:cs="TimesNewRomanPSMT"/>
        </w:rPr>
      </w:pPr>
      <w:r>
        <w:t>[</w:t>
      </w:r>
      <w:r w:rsidR="00CE75CC">
        <w:t>6</w:t>
      </w:r>
      <w:r>
        <w:t xml:space="preserve">.3] Augstākā tiesa, atsaucoties uz Latvijas Republikā atzītu tiesību zinātnieku viedokli, jau ir paudusi atziņu, ka, lemjot jautājumu par personas </w:t>
      </w:r>
      <w:r>
        <w:rPr>
          <w:rFonts w:cs="Arial"/>
        </w:rPr>
        <w:t xml:space="preserve">faktisko atbilstību liecinieka statusam, un, vai uz viņu bija attiecināma Kriminālprocesa likuma 111.panta pirmajā daļā lieciniekam izvirzītā prasība – sniegt patiesu liecību, nozīme ir nevis personas procesuālajam statusam, kam šajā gadījumā ir vienīgi formāls raksturs, bet gan personas faktiskajai saistībai ar konkrēto noziedzīgo nodarījumu </w:t>
      </w:r>
      <w:r w:rsidRPr="00720251">
        <w:rPr>
          <w:rFonts w:cs="Arial"/>
        </w:rPr>
        <w:t>(</w:t>
      </w:r>
      <w:r w:rsidRPr="005644B3">
        <w:rPr>
          <w:rFonts w:cs="Arial"/>
          <w:i/>
        </w:rPr>
        <w:t>sk. Augstākās tiesas 2012.gada 17.decembra lēmumu lietā Nr.</w:t>
      </w:r>
      <w:r>
        <w:rPr>
          <w:rFonts w:cs="Arial"/>
          <w:i/>
        </w:rPr>
        <w:t> SKK</w:t>
      </w:r>
      <w:r>
        <w:rPr>
          <w:rFonts w:cs="Arial"/>
          <w:i/>
        </w:rPr>
        <w:noBreakHyphen/>
      </w:r>
      <w:r w:rsidRPr="005644B3">
        <w:rPr>
          <w:rFonts w:cs="Arial"/>
          <w:i/>
        </w:rPr>
        <w:t>174/2012 (</w:t>
      </w:r>
      <w:r w:rsidRPr="005644B3">
        <w:rPr>
          <w:i/>
          <w:sz w:val="26"/>
          <w:szCs w:val="26"/>
        </w:rPr>
        <w:t>11355039309)</w:t>
      </w:r>
      <w:r w:rsidRPr="00720251">
        <w:rPr>
          <w:sz w:val="26"/>
          <w:szCs w:val="26"/>
        </w:rPr>
        <w:t>)</w:t>
      </w:r>
      <w:r>
        <w:rPr>
          <w:sz w:val="26"/>
          <w:szCs w:val="26"/>
        </w:rPr>
        <w:t>.</w:t>
      </w:r>
      <w:r w:rsidRPr="00A05213">
        <w:rPr>
          <w:rFonts w:ascii="TimesNewRomanPSMT" w:eastAsiaTheme="minorHAnsi" w:hAnsi="TimesNewRomanPSMT" w:cs="TimesNewRomanPSMT"/>
        </w:rPr>
        <w:t xml:space="preserve"> </w:t>
      </w:r>
    </w:p>
    <w:p w:rsidR="003129A2" w:rsidRDefault="003129A2" w:rsidP="003129A2">
      <w:pPr>
        <w:spacing w:line="276" w:lineRule="auto"/>
        <w:ind w:firstLine="709"/>
        <w:jc w:val="both"/>
      </w:pPr>
      <w:r>
        <w:t>[</w:t>
      </w:r>
      <w:r w:rsidR="00CE75CC">
        <w:t>6.4</w:t>
      </w:r>
      <w:r>
        <w:t xml:space="preserve">] </w:t>
      </w:r>
      <w:r>
        <w:rPr>
          <w:rFonts w:eastAsiaTheme="minorHAnsi"/>
        </w:rPr>
        <w:t xml:space="preserve">Saskaņā ar </w:t>
      </w:r>
      <w:r w:rsidRPr="00476EE6">
        <w:rPr>
          <w:rFonts w:eastAsiaTheme="minorHAnsi"/>
        </w:rPr>
        <w:t>Starptautisk</w:t>
      </w:r>
      <w:r>
        <w:rPr>
          <w:rFonts w:eastAsiaTheme="minorHAnsi"/>
        </w:rPr>
        <w:t>ā pakta</w:t>
      </w:r>
      <w:r w:rsidRPr="00476EE6">
        <w:rPr>
          <w:rFonts w:eastAsiaTheme="minorHAnsi"/>
        </w:rPr>
        <w:t xml:space="preserve"> par pilso</w:t>
      </w:r>
      <w:r w:rsidR="000242FB">
        <w:rPr>
          <w:rFonts w:eastAsiaTheme="minorHAnsi"/>
        </w:rPr>
        <w:t>ņu</w:t>
      </w:r>
      <w:r w:rsidRPr="00476EE6">
        <w:rPr>
          <w:rFonts w:eastAsiaTheme="minorHAnsi"/>
        </w:rPr>
        <w:t xml:space="preserve"> un politiskajām tiesībām 14.panta trešās daļas g) punkt</w:t>
      </w:r>
      <w:r>
        <w:rPr>
          <w:rFonts w:eastAsiaTheme="minorHAnsi"/>
        </w:rPr>
        <w:t>u</w:t>
      </w:r>
      <w:r w:rsidRPr="00476EE6">
        <w:rPr>
          <w:rFonts w:eastAsiaTheme="minorHAnsi"/>
        </w:rPr>
        <w:t xml:space="preserve"> </w:t>
      </w:r>
      <w:r>
        <w:rPr>
          <w:rFonts w:eastAsiaTheme="minorHAnsi"/>
        </w:rPr>
        <w:t>i</w:t>
      </w:r>
      <w:r w:rsidRPr="00476EE6">
        <w:t>kvienam ir tiesības, ja tiek izskatīta jebkura viņam uzrādīta kriminālapsūdzība, netikt piespiestam dot</w:t>
      </w:r>
      <w:r>
        <w:t xml:space="preserve"> liecības pašam pret sevi vai atzīt sevi par vainīgu.</w:t>
      </w:r>
    </w:p>
    <w:p w:rsidR="00530D6D" w:rsidRDefault="003129A2" w:rsidP="00530D6D">
      <w:pPr>
        <w:spacing w:line="276" w:lineRule="auto"/>
        <w:ind w:firstLine="709"/>
        <w:jc w:val="both"/>
        <w:rPr>
          <w:rFonts w:ascii="TimesNewRomanPSMT" w:eastAsiaTheme="minorHAnsi" w:hAnsi="TimesNewRomanPSMT" w:cs="TimesNewRomanPSMT"/>
        </w:rPr>
      </w:pPr>
      <w:r>
        <w:t>Eiropas Cilvēktiesību tiesa savā judikatūrā (</w:t>
      </w:r>
      <w:r w:rsidRPr="00D9407E">
        <w:rPr>
          <w:i/>
        </w:rPr>
        <w:t>sk. Eiropas Cilvēktiesību tiesas 1996.gada 8.februāra sprieduma lietā „John Murray v. United Kingdom”, iesnieguma Nr. </w:t>
      </w:r>
      <w:r w:rsidRPr="00D9407E">
        <w:rPr>
          <w:i/>
          <w:color w:val="000000"/>
        </w:rPr>
        <w:t>18731/91, 45.punktu; Eiropas Cilvēktiesību tiesas 1996.gada 17.decembra sprieduma lietā „Saunders v. United Kingdom</w:t>
      </w:r>
      <w:r w:rsidR="00984DFA">
        <w:rPr>
          <w:i/>
          <w:color w:val="000000"/>
        </w:rPr>
        <w:t>”</w:t>
      </w:r>
      <w:r w:rsidRPr="00D9407E">
        <w:rPr>
          <w:i/>
          <w:color w:val="000000"/>
        </w:rPr>
        <w:t>, iesnieguma Nr. 19187/91, 68.punktu</w:t>
      </w:r>
      <w:r w:rsidRPr="000B0A1D">
        <w:t xml:space="preserve">) </w:t>
      </w:r>
      <w:r>
        <w:t xml:space="preserve">norādījusi, ka </w:t>
      </w:r>
      <w:r>
        <w:rPr>
          <w:rFonts w:ascii="TimesNewRomanPSMT" w:eastAsiaTheme="minorHAnsi" w:hAnsi="TimesNewRomanPSMT" w:cs="TimesNewRomanPSMT"/>
        </w:rPr>
        <w:t>tiesības sevi neapsūdzēt ir vispārēji atzīts starptautisks princips, kas izriet no tiesību uz taisnīgu tiesu satura.</w:t>
      </w:r>
    </w:p>
    <w:p w:rsidR="00530D6D" w:rsidRDefault="00312FB4" w:rsidP="003C4131">
      <w:pPr>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Juridiskajā literatūrā pausta atziņa, ka gadījumā, ja liecinieka procesuālais statuss mainās uz personas, kurai ir tiesības uz aizstāvību, statusu, </w:t>
      </w:r>
      <w:r w:rsidR="003C4131">
        <w:rPr>
          <w:rFonts w:ascii="TimesNewRomanPSMT" w:eastAsiaTheme="minorHAnsi" w:hAnsi="TimesNewRomanPSMT" w:cs="TimesNewRomanPSMT"/>
        </w:rPr>
        <w:t>amatpersonām, kuras veic kriminālprocesu, ir pienākums nodrošināt, ka šādā gadījumā tiek ievērotas personu tiesības neliecināt pilnā apjomā</w:t>
      </w:r>
      <w:r w:rsidR="00530D6D">
        <w:rPr>
          <w:rFonts w:ascii="TimesNewRomanPSMT" w:eastAsiaTheme="minorHAnsi" w:hAnsi="TimesNewRomanPSMT" w:cs="TimesNewRomanPSMT"/>
        </w:rPr>
        <w:t xml:space="preserve"> (</w:t>
      </w:r>
      <w:r w:rsidR="00530D6D" w:rsidRPr="001A4B74">
        <w:rPr>
          <w:rFonts w:ascii="TimesNewRomanPSMT" w:eastAsiaTheme="minorHAnsi" w:hAnsi="TimesNewRomanPSMT" w:cs="TimesNewRomanPSMT"/>
          <w:i/>
        </w:rPr>
        <w:t xml:space="preserve">sk. Ņesterova I. Tiesības sevi neapsūdzēt kriminālprocesā. Latvijas Universitātes Juridiskā fakultāte. Promocijas darbs. Rīga, 2013, 170.lpp. Pieejams </w:t>
      </w:r>
      <w:hyperlink r:id="rId8" w:history="1">
        <w:r w:rsidR="00530D6D" w:rsidRPr="001A4B74">
          <w:rPr>
            <w:rStyle w:val="Hyperlink"/>
            <w:rFonts w:ascii="TimesNewRomanPSMT" w:eastAsiaTheme="minorHAnsi" w:hAnsi="TimesNewRomanPSMT" w:cs="TimesNewRomanPSMT"/>
            <w:i/>
          </w:rPr>
          <w:t>https://dspace.lu.lv/dspace/bitstream/handle/7/5200/34504</w:t>
        </w:r>
        <w:r w:rsidR="00530D6D" w:rsidRPr="001A4B74">
          <w:rPr>
            <w:rStyle w:val="Hyperlink"/>
            <w:rFonts w:ascii="TimesNewRomanPSMT" w:eastAsiaTheme="minorHAnsi" w:hAnsi="TimesNewRomanPSMT" w:cs="TimesNewRomanPSMT"/>
            <w:i/>
          </w:rPr>
          <w:noBreakHyphen/>
          <w:t>Promocijas_darbs_IrenaNesterova_08112013.pdf?sequence=1</w:t>
        </w:r>
      </w:hyperlink>
      <w:r w:rsidR="00530D6D">
        <w:rPr>
          <w:rFonts w:ascii="TimesNewRomanPSMT" w:eastAsiaTheme="minorHAnsi" w:hAnsi="TimesNewRomanPSMT" w:cs="TimesNewRomanPSMT"/>
        </w:rPr>
        <w:t xml:space="preserve"> ).</w:t>
      </w:r>
    </w:p>
    <w:p w:rsidR="003129A2" w:rsidRDefault="00D45526" w:rsidP="00530D6D">
      <w:pPr>
        <w:spacing w:line="276" w:lineRule="auto"/>
        <w:ind w:firstLine="709"/>
        <w:jc w:val="both"/>
      </w:pPr>
      <w:r>
        <w:rPr>
          <w:rFonts w:ascii="TimesNewRomanPSMT" w:eastAsiaTheme="minorHAnsi" w:hAnsi="TimesNewRomanPSMT" w:cs="TimesNewRomanPSMT"/>
        </w:rPr>
        <w:t>Minētais princips ietverts arī Kriminālprocesa likumā. Proti, ar</w:t>
      </w:r>
      <w:r w:rsidR="00530D6D">
        <w:rPr>
          <w:rFonts w:ascii="TimesNewRomanPSMT" w:eastAsiaTheme="minorHAnsi" w:hAnsi="TimesNewRomanPSMT" w:cs="TimesNewRomanPSMT"/>
        </w:rPr>
        <w:t xml:space="preserve"> 2016.gada 18.februāra likumu „Grozījumi Kriminālprocesa likumā”, kas stājās spēkā 2016.gada 23.martā, Kriminālprocesa likuma 151.panta otrā daļa papildināta ar teikumu šādā redakcijā: „</w:t>
      </w:r>
      <w:r w:rsidR="00530D6D">
        <w:t>Ja liecinieka pratināšanas laikā konstatē, ka ir pamats mainīt liecinieka procesuālo statusu, nosakot, ka tas ir persona, kurai ir tiesības uz aizstāvību, šādas personas pratināšanu liecinieka statusā pārtrauc”.</w:t>
      </w:r>
    </w:p>
    <w:p w:rsidR="00530D6D" w:rsidRPr="00530D6D" w:rsidRDefault="00530D6D" w:rsidP="00530D6D">
      <w:pPr>
        <w:spacing w:line="276" w:lineRule="auto"/>
        <w:ind w:firstLine="709"/>
        <w:jc w:val="both"/>
      </w:pPr>
      <w:r>
        <w:t>[</w:t>
      </w:r>
      <w:r w:rsidR="00CE75CC">
        <w:t>6.5</w:t>
      </w:r>
      <w:r>
        <w:t>] Pamatojoties uz iepriekš izklāstīto apsvērumu kopumu</w:t>
      </w:r>
      <w:r w:rsidR="00F37448">
        <w:t>,</w:t>
      </w:r>
      <w:r>
        <w:t xml:space="preserve"> Augstākā tiesa atzīst</w:t>
      </w:r>
      <w:r w:rsidR="00ED380B">
        <w:t>, ka, lai noteiktu, vai ziņas, kuras iegūtas</w:t>
      </w:r>
      <w:r w:rsidR="00F37448">
        <w:t>,</w:t>
      </w:r>
      <w:r w:rsidR="00ED380B">
        <w:t xml:space="preserve"> </w:t>
      </w:r>
      <w:r w:rsidR="00F37448">
        <w:t xml:space="preserve">pratinot </w:t>
      </w:r>
      <w:r w:rsidR="00ED380B">
        <w:t>apsūdzēto liecinieka statusā, atbilstoši Kriminālprocesa likuma 130.pantā noteiktajam ir pieļaujamas un pierādīšanā izmantojamas, būtiska nozīme ir vispusīgam to apstākļu vērtējumam,</w:t>
      </w:r>
      <w:r w:rsidR="0040383C">
        <w:t xml:space="preserve"> kas noteic</w:t>
      </w:r>
      <w:r w:rsidR="00ED380B">
        <w:t xml:space="preserve"> </w:t>
      </w:r>
      <w:r w:rsidR="0040383C">
        <w:t>personas faktisko saistību ar konkrēto noziedzīgo nodarījumu un to, vai persona pa</w:t>
      </w:r>
      <w:r w:rsidR="009E155B">
        <w:t>matoti pratināta kā liecinieks.</w:t>
      </w:r>
    </w:p>
    <w:p w:rsidR="00645D21" w:rsidRDefault="00305FC7" w:rsidP="00A05213">
      <w:pPr>
        <w:spacing w:line="276" w:lineRule="auto"/>
        <w:ind w:firstLine="709"/>
        <w:jc w:val="both"/>
      </w:pPr>
      <w:r>
        <w:lastRenderedPageBreak/>
        <w:t>[</w:t>
      </w:r>
      <w:r w:rsidR="00CE75CC">
        <w:t>6.6</w:t>
      </w:r>
      <w:r>
        <w:t xml:space="preserve">] Augstākā tiesa konstatē, ka </w:t>
      </w:r>
      <w:r w:rsidR="00275849">
        <w:t>pirmās instances tiesa un</w:t>
      </w:r>
      <w:r>
        <w:t xml:space="preserve"> apelācijas instances tiesa izskatāmajā lietā nav vērtēju</w:t>
      </w:r>
      <w:r w:rsidR="00275849">
        <w:t>šas</w:t>
      </w:r>
      <w:r>
        <w:t xml:space="preserve"> ziņas par </w:t>
      </w:r>
      <w:r w:rsidR="00BB69B9">
        <w:t>[pers. A]</w:t>
      </w:r>
      <w:r>
        <w:t xml:space="preserve"> faktisko saistību ar konkrēto noziedzīgo nodarījumu un to, vai </w:t>
      </w:r>
      <w:r w:rsidR="00BB69B9">
        <w:t>[pers. A]</w:t>
      </w:r>
      <w:r>
        <w:t xml:space="preserve"> </w:t>
      </w:r>
      <w:r w:rsidR="007C027D">
        <w:t>2015.gada 2.martā pamatoti pratināts liecinieka statusā.</w:t>
      </w:r>
    </w:p>
    <w:p w:rsidR="001E01A3" w:rsidRDefault="001E01A3" w:rsidP="001E01A3">
      <w:pPr>
        <w:spacing w:line="276" w:lineRule="auto"/>
        <w:ind w:firstLine="709"/>
        <w:jc w:val="both"/>
        <w:rPr>
          <w:rFonts w:ascii="TimesNewRomanPSMT" w:eastAsiaTheme="minorHAnsi" w:hAnsi="TimesNewRomanPSMT" w:cs="TimesNewRomanPSMT"/>
        </w:rPr>
      </w:pPr>
      <w:r>
        <w:t xml:space="preserve">Turklāt </w:t>
      </w:r>
      <w:r>
        <w:rPr>
          <w:rFonts w:ascii="TimesNewRomanPSMT" w:eastAsiaTheme="minorHAnsi" w:hAnsi="TimesNewRomanPSMT" w:cs="TimesNewRomanPSMT"/>
        </w:rPr>
        <w:t>pirmās instances tiesa nav sniegusi jebkādu argumentāciju atzinumam par ziņu, kas iegūtas</w:t>
      </w:r>
      <w:r w:rsidR="00CB413C">
        <w:rPr>
          <w:rFonts w:ascii="TimesNewRomanPSMT" w:eastAsiaTheme="minorHAnsi" w:hAnsi="TimesNewRomanPSMT" w:cs="TimesNewRomanPSMT"/>
        </w:rPr>
        <w:t>,</w:t>
      </w:r>
      <w:r>
        <w:rPr>
          <w:rFonts w:ascii="TimesNewRomanPSMT" w:eastAsiaTheme="minorHAnsi" w:hAnsi="TimesNewRomanPSMT" w:cs="TimesNewRomanPSMT"/>
        </w:rPr>
        <w:t xml:space="preserve"> </w:t>
      </w:r>
      <w:r w:rsidR="00CB413C">
        <w:rPr>
          <w:rFonts w:ascii="TimesNewRomanPSMT" w:eastAsiaTheme="minorHAnsi" w:hAnsi="TimesNewRomanPSMT" w:cs="TimesNewRomanPSMT"/>
        </w:rPr>
        <w:t xml:space="preserve">pratinot </w:t>
      </w:r>
      <w:r w:rsidR="00BB69B9">
        <w:rPr>
          <w:rFonts w:ascii="TimesNewRomanPSMT" w:eastAsiaTheme="minorHAnsi" w:hAnsi="TimesNewRomanPSMT" w:cs="TimesNewRomanPSMT"/>
        </w:rPr>
        <w:t>[pers. A]</w:t>
      </w:r>
      <w:r>
        <w:rPr>
          <w:rFonts w:ascii="TimesNewRomanPSMT" w:eastAsiaTheme="minorHAnsi" w:hAnsi="TimesNewRomanPSMT" w:cs="TimesNewRomanPSMT"/>
        </w:rPr>
        <w:t xml:space="preserve"> liecinieka statusā, </w:t>
      </w:r>
      <w:r w:rsidRPr="001E01A3">
        <w:rPr>
          <w:rFonts w:ascii="TimesNewRomanPSMT" w:eastAsiaTheme="minorHAnsi" w:hAnsi="TimesNewRomanPSMT" w:cs="TimesNewRomanPSMT"/>
        </w:rPr>
        <w:t>pieļaujamību pierādīšanā.</w:t>
      </w:r>
    </w:p>
    <w:p w:rsidR="001E01A3" w:rsidRPr="001E01A3" w:rsidRDefault="001E01A3" w:rsidP="001E01A3">
      <w:pPr>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Savukārt apelācijas instances tiesa atzinusi, ka pirmās instances tiesa pamatoti nav konstatējusi Kriminālprocesa likuma 130.panta otrajā daļā norādītos apstākļus, kas būtu par pamatu </w:t>
      </w:r>
      <w:r w:rsidR="00BB69B9">
        <w:rPr>
          <w:rFonts w:ascii="TimesNewRomanPSMT" w:eastAsiaTheme="minorHAnsi" w:hAnsi="TimesNewRomanPSMT" w:cs="TimesNewRomanPSMT"/>
        </w:rPr>
        <w:t>[pers. A]</w:t>
      </w:r>
      <w:r>
        <w:rPr>
          <w:rFonts w:ascii="TimesNewRomanPSMT" w:eastAsiaTheme="minorHAnsi" w:hAnsi="TimesNewRomanPSMT" w:cs="TimesNewRomanPSMT"/>
        </w:rPr>
        <w:t xml:space="preserve"> pirmstiesas kriminālprocesā sniegto liecību atzīšanai par nepieļaujamām un pierādīšanā neizmantojamām. Savu atzinumu apelācijas instances tiesa nav pamatojusi.</w:t>
      </w:r>
    </w:p>
    <w:p w:rsidR="00457654" w:rsidRPr="001E01A3" w:rsidRDefault="00682825" w:rsidP="001E01A3">
      <w:pPr>
        <w:spacing w:line="276" w:lineRule="auto"/>
        <w:ind w:firstLine="709"/>
        <w:jc w:val="both"/>
      </w:pPr>
      <w:r>
        <w:t>[</w:t>
      </w:r>
      <w:r w:rsidR="00CE75CC">
        <w:t>6.7</w:t>
      </w:r>
      <w:r>
        <w:t>] Augstākā tiesa atzīst, ka a</w:t>
      </w:r>
      <w:r w:rsidR="00645D21">
        <w:t xml:space="preserve">pelācijas instances tiesa, neizvērtējot </w:t>
      </w:r>
      <w:r w:rsidR="00BB69B9">
        <w:t>[pers. A]</w:t>
      </w:r>
      <w:r w:rsidR="00B77514">
        <w:t xml:space="preserve"> </w:t>
      </w:r>
      <w:r w:rsidR="00645D21">
        <w:t xml:space="preserve">liecinieka statusā sniegto liecību atbilstību Kriminālprocesa likuma 130.pantā noteiktajiem pierādījumu pieļaujamības kritērijiem, izdarījusi nepamatotu atzinumu </w:t>
      </w:r>
      <w:r w:rsidR="00483BBC">
        <w:t>par šā pierādījuma pieļaujamību un</w:t>
      </w:r>
      <w:r w:rsidR="00645D21">
        <w:t xml:space="preserve"> tādējādi pārkāpusi Kriminālprocesa likuma</w:t>
      </w:r>
      <w:r w:rsidR="00B77514">
        <w:t xml:space="preserve"> 130.pant</w:t>
      </w:r>
      <w:r w:rsidR="00D22AB5">
        <w:t>u,</w:t>
      </w:r>
      <w:r w:rsidR="00645D21">
        <w:t xml:space="preserve"> 564.panta ceturto daļu, 511.panta otro daļ</w:t>
      </w:r>
      <w:r w:rsidR="00B101C1">
        <w:t>u un 512.panta otro daļu. Norādītie pārkāpumi</w:t>
      </w:r>
      <w:r w:rsidR="00645D21">
        <w:t xml:space="preserve"> atzīstami par Kriminālprocesa likuma būtiskiem pārkāpumiem šā likuma 575.panta trešās daļas izpratnē</w:t>
      </w:r>
      <w:r w:rsidR="00B101C1">
        <w:t>, kas</w:t>
      </w:r>
      <w:r w:rsidR="00645D21">
        <w:t xml:space="preserve"> noveduši pie nelikumīga nolēmuma.</w:t>
      </w:r>
    </w:p>
    <w:p w:rsidR="008F3895" w:rsidRDefault="00D22AB5" w:rsidP="009457CD">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w:t>
      </w:r>
      <w:r w:rsidR="00CE75CC">
        <w:rPr>
          <w:rFonts w:ascii="TimesNewRomanPSMT" w:eastAsiaTheme="minorHAnsi" w:hAnsi="TimesNewRomanPSMT" w:cs="TimesNewRomanPSMT"/>
        </w:rPr>
        <w:t>6.8</w:t>
      </w:r>
      <w:r w:rsidR="00A479D6">
        <w:rPr>
          <w:rFonts w:ascii="TimesNewRomanPSMT" w:eastAsiaTheme="minorHAnsi" w:hAnsi="TimesNewRomanPSMT" w:cs="TimesNewRomanPSMT"/>
        </w:rPr>
        <w:t xml:space="preserve">] </w:t>
      </w:r>
      <w:r w:rsidR="008F3895">
        <w:rPr>
          <w:rFonts w:ascii="TimesNewRomanPSMT" w:eastAsiaTheme="minorHAnsi" w:hAnsi="TimesNewRomanPSMT" w:cs="TimesNewRomanPSMT"/>
        </w:rPr>
        <w:t>Ņemot vērā, ka lieta apelācijas instances tiesā jāizskata no jauna atbilstoši Kriminālprocesa likuma 53.nodaļas prasībām, pārējie kasācijas sūdzības argumenti netiek izvērtēti.</w:t>
      </w:r>
    </w:p>
    <w:p w:rsidR="00CE75CC" w:rsidRDefault="00CE75CC" w:rsidP="009457CD">
      <w:pPr>
        <w:autoSpaceDE w:val="0"/>
        <w:autoSpaceDN w:val="0"/>
        <w:adjustRightInd w:val="0"/>
        <w:spacing w:line="276" w:lineRule="auto"/>
        <w:ind w:firstLine="709"/>
        <w:jc w:val="both"/>
        <w:rPr>
          <w:rFonts w:ascii="TimesNewRomanPSMT" w:eastAsiaTheme="minorHAnsi" w:hAnsi="TimesNewRomanPSMT" w:cs="TimesNewRomanPSMT"/>
        </w:rPr>
      </w:pPr>
    </w:p>
    <w:p w:rsidR="009B4445" w:rsidRDefault="00A479D6" w:rsidP="006D6118">
      <w:pPr>
        <w:autoSpaceDE w:val="0"/>
        <w:autoSpaceDN w:val="0"/>
        <w:adjustRightInd w:val="0"/>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w:t>
      </w:r>
      <w:r w:rsidR="00CE75CC">
        <w:rPr>
          <w:rFonts w:ascii="TimesNewRomanPSMT" w:eastAsia="Calibri" w:hAnsi="TimesNewRomanPSMT" w:cs="TimesNewRomanPSMT"/>
        </w:rPr>
        <w:t>7</w:t>
      </w:r>
      <w:r>
        <w:rPr>
          <w:rFonts w:ascii="TimesNewRomanPSMT" w:eastAsia="Calibri" w:hAnsi="TimesNewRomanPSMT" w:cs="TimesNewRomanPSMT"/>
        </w:rPr>
        <w:t xml:space="preserve">] </w:t>
      </w:r>
      <w:r w:rsidR="009B4445">
        <w:rPr>
          <w:rFonts w:ascii="TimesNewRomanPSMT" w:eastAsia="Calibri" w:hAnsi="TimesNewRomanPSMT" w:cs="TimesNewRomanPSMT"/>
        </w:rPr>
        <w:t xml:space="preserve">Izskatāmajā lietā apsūdzētajam </w:t>
      </w:r>
      <w:r w:rsidR="00BB69B9">
        <w:rPr>
          <w:rFonts w:ascii="TimesNewRomanPSMT" w:eastAsia="Calibri" w:hAnsi="TimesNewRomanPSMT" w:cs="TimesNewRomanPSMT"/>
        </w:rPr>
        <w:t>[pers. A]</w:t>
      </w:r>
      <w:r w:rsidR="009B4445">
        <w:rPr>
          <w:rFonts w:ascii="TimesNewRomanPSMT" w:eastAsia="Calibri" w:hAnsi="TimesNewRomanPSMT" w:cs="TimesNewRomanPSMT"/>
        </w:rPr>
        <w:t xml:space="preserve"> drošības līdzeklis nav piemērots.</w:t>
      </w:r>
    </w:p>
    <w:p w:rsidR="00080484" w:rsidRDefault="009B4445" w:rsidP="006D6118">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Calibri" w:hAnsi="TimesNewRomanPSMT" w:cs="TimesNewRomanPSMT"/>
        </w:rPr>
        <w:t xml:space="preserve">Augstākā tiesa nekonstatē tiesisku pamatu drošības līdzekļa piemērošanai apsūdzētajam </w:t>
      </w:r>
      <w:r w:rsidR="00BB69B9">
        <w:rPr>
          <w:rFonts w:ascii="TimesNewRomanPSMT" w:eastAsia="Calibri" w:hAnsi="TimesNewRomanPSMT" w:cs="TimesNewRomanPSMT"/>
        </w:rPr>
        <w:t>[pers. A]</w:t>
      </w:r>
      <w:r>
        <w:rPr>
          <w:rFonts w:ascii="TimesNewRomanPSMT" w:eastAsia="Calibri" w:hAnsi="TimesNewRomanPSMT" w:cs="TimesNewRomanPSMT"/>
        </w:rPr>
        <w:t>.</w:t>
      </w:r>
    </w:p>
    <w:p w:rsidR="00080484" w:rsidRDefault="00080484" w:rsidP="006D6118">
      <w:pPr>
        <w:spacing w:line="276" w:lineRule="auto"/>
        <w:ind w:firstLine="709"/>
        <w:jc w:val="both"/>
        <w:rPr>
          <w:rStyle w:val="sb8d990e2"/>
        </w:rPr>
      </w:pPr>
    </w:p>
    <w:p w:rsidR="00080484" w:rsidRDefault="00080484" w:rsidP="00080484">
      <w:pPr>
        <w:spacing w:line="276" w:lineRule="auto"/>
        <w:jc w:val="center"/>
        <w:rPr>
          <w:rStyle w:val="sb8d990e2"/>
          <w:b/>
        </w:rPr>
      </w:pPr>
      <w:r w:rsidRPr="00D41CEC">
        <w:rPr>
          <w:rStyle w:val="sb8d990e2"/>
          <w:b/>
        </w:rPr>
        <w:t>Rezolutīvā daļa</w:t>
      </w:r>
    </w:p>
    <w:p w:rsidR="00080484" w:rsidRPr="00D41CEC" w:rsidRDefault="00080484" w:rsidP="00080484">
      <w:pPr>
        <w:spacing w:line="276" w:lineRule="auto"/>
        <w:jc w:val="center"/>
        <w:rPr>
          <w:b/>
        </w:rPr>
      </w:pPr>
    </w:p>
    <w:p w:rsidR="00080484" w:rsidRDefault="00080484" w:rsidP="00080484">
      <w:pPr>
        <w:spacing w:line="276" w:lineRule="auto"/>
        <w:ind w:firstLine="709"/>
        <w:jc w:val="both"/>
        <w:rPr>
          <w:bCs/>
        </w:rPr>
      </w:pPr>
      <w:r w:rsidRPr="00907122">
        <w:t>P</w:t>
      </w:r>
      <w:r w:rsidRPr="00907122">
        <w:rPr>
          <w:bCs/>
        </w:rPr>
        <w:t>amatojoties uz Kriminālprocesa likuma 585. un 587.pantu, Augstākā tiesa</w:t>
      </w:r>
    </w:p>
    <w:p w:rsidR="00080484" w:rsidRDefault="00080484" w:rsidP="00080484">
      <w:pPr>
        <w:spacing w:line="276" w:lineRule="auto"/>
        <w:ind w:firstLine="709"/>
        <w:jc w:val="both"/>
        <w:rPr>
          <w:rFonts w:ascii="Times New Roman Bold" w:hAnsi="Times New Roman Bold"/>
          <w:b/>
        </w:rPr>
      </w:pPr>
    </w:p>
    <w:p w:rsidR="00080484" w:rsidRDefault="00080484" w:rsidP="00080484">
      <w:pPr>
        <w:spacing w:line="276" w:lineRule="auto"/>
        <w:jc w:val="center"/>
        <w:rPr>
          <w:rFonts w:ascii="Times New Roman Bold" w:hAnsi="Times New Roman Bold"/>
          <w:b/>
        </w:rPr>
      </w:pPr>
      <w:r w:rsidRPr="00D41CEC">
        <w:rPr>
          <w:rFonts w:ascii="Times New Roman Bold" w:hAnsi="Times New Roman Bold"/>
          <w:b/>
        </w:rPr>
        <w:t>nolēma:</w:t>
      </w:r>
    </w:p>
    <w:p w:rsidR="00080484" w:rsidRPr="00D41CEC" w:rsidRDefault="00080484" w:rsidP="00080484">
      <w:pPr>
        <w:spacing w:line="276" w:lineRule="auto"/>
        <w:jc w:val="center"/>
        <w:rPr>
          <w:rFonts w:ascii="Times New Roman Bold" w:hAnsi="Times New Roman Bold"/>
          <w:b/>
        </w:rPr>
      </w:pPr>
    </w:p>
    <w:p w:rsidR="00080484" w:rsidRDefault="00080484" w:rsidP="00080484">
      <w:pPr>
        <w:spacing w:line="276" w:lineRule="auto"/>
        <w:ind w:firstLine="709"/>
        <w:jc w:val="both"/>
        <w:rPr>
          <w:rFonts w:eastAsia="Calibri"/>
        </w:rPr>
      </w:pPr>
      <w:r>
        <w:t>a</w:t>
      </w:r>
      <w:r w:rsidRPr="00194589">
        <w:t xml:space="preserve">tcelt </w:t>
      </w:r>
      <w:r w:rsidR="00461DEE">
        <w:t>Zemgales</w:t>
      </w:r>
      <w:r w:rsidRPr="00194589">
        <w:t xml:space="preserve"> apgabaltiesas 2016.gada </w:t>
      </w:r>
      <w:r w:rsidR="00461DEE">
        <w:t>31</w:t>
      </w:r>
      <w:r>
        <w:t>.oktobra</w:t>
      </w:r>
      <w:r w:rsidRPr="00194589">
        <w:t xml:space="preserve"> </w:t>
      </w:r>
      <w:r>
        <w:t>lēmumu</w:t>
      </w:r>
      <w:r w:rsidR="003241BF">
        <w:t xml:space="preserve"> pilnībā</w:t>
      </w:r>
      <w:r w:rsidRPr="00194589">
        <w:t xml:space="preserve"> un lietu nosūtīt jaunai izskatīšanai apelācijas instances tiesā</w:t>
      </w:r>
      <w:r w:rsidRPr="00194589">
        <w:rPr>
          <w:rFonts w:eastAsia="Calibri"/>
        </w:rPr>
        <w:t>.</w:t>
      </w:r>
    </w:p>
    <w:p w:rsidR="00BB69B9" w:rsidRDefault="00080484" w:rsidP="00BB69B9">
      <w:pPr>
        <w:spacing w:line="276" w:lineRule="auto"/>
        <w:ind w:firstLine="709"/>
        <w:jc w:val="both"/>
      </w:pPr>
      <w:r w:rsidRPr="005D44C7">
        <w:t>Lēmums nav pārsūdzams.</w:t>
      </w:r>
    </w:p>
    <w:p w:rsidR="00BB69B9" w:rsidRDefault="00BB69B9" w:rsidP="00BB69B9">
      <w:pPr>
        <w:spacing w:line="276" w:lineRule="auto"/>
        <w:jc w:val="both"/>
      </w:pPr>
    </w:p>
    <w:p w:rsidR="00BB69B9" w:rsidRDefault="00BB69B9" w:rsidP="00BB69B9">
      <w:pPr>
        <w:spacing w:line="276" w:lineRule="auto"/>
        <w:jc w:val="both"/>
      </w:pPr>
    </w:p>
    <w:p w:rsidR="00A25D2E" w:rsidRDefault="00A25D2E" w:rsidP="00A25D2E">
      <w:pPr>
        <w:tabs>
          <w:tab w:val="left" w:pos="1134"/>
        </w:tabs>
      </w:pPr>
    </w:p>
    <w:p w:rsidR="00A25D2E" w:rsidRPr="00A25D2E" w:rsidRDefault="00A25D2E" w:rsidP="00A25D2E">
      <w:pPr>
        <w:tabs>
          <w:tab w:val="left" w:pos="1134"/>
        </w:tabs>
        <w:spacing w:line="276" w:lineRule="auto"/>
      </w:pPr>
    </w:p>
    <w:p w:rsidR="00BB69B9" w:rsidRDefault="00BB69B9" w:rsidP="00BB69B9">
      <w:pPr>
        <w:spacing w:line="276" w:lineRule="auto"/>
        <w:jc w:val="both"/>
      </w:pPr>
    </w:p>
    <w:p w:rsidR="00080484" w:rsidRDefault="00080484" w:rsidP="00080484">
      <w:pPr>
        <w:spacing w:line="276" w:lineRule="auto"/>
        <w:ind w:firstLine="709"/>
        <w:jc w:val="both"/>
      </w:pPr>
    </w:p>
    <w:sectPr w:rsidR="00080484" w:rsidSect="0043619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871" w:rsidRDefault="006D2871" w:rsidP="004A22DA">
      <w:r>
        <w:separator/>
      </w:r>
    </w:p>
  </w:endnote>
  <w:endnote w:type="continuationSeparator" w:id="0">
    <w:p w:rsidR="006D2871" w:rsidRDefault="006D2871" w:rsidP="004A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776136" w:rsidRDefault="00776136" w:rsidP="004A22DA">
        <w:pPr>
          <w:pStyle w:val="Footer"/>
          <w:jc w:val="center"/>
        </w:pPr>
        <w:r>
          <w:rPr>
            <w:rStyle w:val="PageNumber"/>
          </w:rPr>
          <w:fldChar w:fldCharType="begin"/>
        </w:r>
        <w:r>
          <w:rPr>
            <w:rStyle w:val="PageNumber"/>
          </w:rPr>
          <w:instrText xml:space="preserve"> PAGE </w:instrText>
        </w:r>
        <w:r>
          <w:rPr>
            <w:rStyle w:val="PageNumber"/>
          </w:rPr>
          <w:fldChar w:fldCharType="separate"/>
        </w:r>
        <w:r w:rsidR="00BA31BD">
          <w:rPr>
            <w:rStyle w:val="PageNumber"/>
            <w:noProof/>
          </w:rPr>
          <w:t>1</w:t>
        </w:r>
        <w:r>
          <w:rPr>
            <w:rStyle w:val="PageNumber"/>
          </w:rPr>
          <w:fldChar w:fldCharType="end"/>
        </w:r>
        <w:r>
          <w:rPr>
            <w:rStyle w:val="PageNumber"/>
          </w:rPr>
          <w:t xml:space="preserve">.lapa no </w:t>
        </w:r>
        <w:r>
          <w:rPr>
            <w:rStyle w:val="PageNumber"/>
          </w:rPr>
          <w:fldChar w:fldCharType="begin"/>
        </w:r>
        <w:r>
          <w:rPr>
            <w:rStyle w:val="PageNumber"/>
          </w:rPr>
          <w:instrText xml:space="preserve"> NUMPAGES </w:instrText>
        </w:r>
        <w:r>
          <w:rPr>
            <w:rStyle w:val="PageNumber"/>
          </w:rPr>
          <w:fldChar w:fldCharType="separate"/>
        </w:r>
        <w:r w:rsidR="00BA31BD">
          <w:rPr>
            <w:rStyle w:val="PageNumber"/>
            <w:noProof/>
          </w:rPr>
          <w:t>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871" w:rsidRDefault="006D2871" w:rsidP="004A22DA">
      <w:r>
        <w:separator/>
      </w:r>
    </w:p>
  </w:footnote>
  <w:footnote w:type="continuationSeparator" w:id="0">
    <w:p w:rsidR="006D2871" w:rsidRDefault="006D2871" w:rsidP="004A2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856BF"/>
    <w:multiLevelType w:val="hybridMultilevel"/>
    <w:tmpl w:val="9034B42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DE2D34"/>
    <w:multiLevelType w:val="hybridMultilevel"/>
    <w:tmpl w:val="00E008E8"/>
    <w:lvl w:ilvl="0" w:tplc="72B03A96">
      <w:start w:val="1"/>
      <w:numFmt w:val="decimal"/>
      <w:lvlText w:val="%1."/>
      <w:lvlJc w:val="left"/>
      <w:pPr>
        <w:ind w:left="720" w:hanging="360"/>
      </w:pPr>
      <w:rPr>
        <w:rFonts w:ascii="TimesNewRomanPSMT" w:hAnsi="TimesNewRomanPSMT" w:cs="TimesNewRomanPSMT"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E24D30"/>
    <w:multiLevelType w:val="hybridMultilevel"/>
    <w:tmpl w:val="382A1A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5A0EE6"/>
    <w:multiLevelType w:val="hybridMultilevel"/>
    <w:tmpl w:val="8E5CDE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4273121"/>
    <w:multiLevelType w:val="hybridMultilevel"/>
    <w:tmpl w:val="DAE89E34"/>
    <w:lvl w:ilvl="0" w:tplc="7374C62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A16754D"/>
    <w:multiLevelType w:val="hybridMultilevel"/>
    <w:tmpl w:val="B73E491E"/>
    <w:lvl w:ilvl="0" w:tplc="0A40AF32">
      <w:start w:val="1"/>
      <w:numFmt w:val="decimal"/>
      <w:lvlText w:val="%1."/>
      <w:lvlJc w:val="left"/>
      <w:pPr>
        <w:ind w:left="720" w:hanging="360"/>
      </w:pPr>
      <w:rPr>
        <w:rFonts w:ascii="TimesNewRomanPSMT" w:hAnsi="TimesNewRomanPSMT" w:cs="TimesNewRomanPSMT"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16"/>
    <w:rsid w:val="00003B29"/>
    <w:rsid w:val="000105F6"/>
    <w:rsid w:val="000110F1"/>
    <w:rsid w:val="000125B2"/>
    <w:rsid w:val="00014F6B"/>
    <w:rsid w:val="0002159B"/>
    <w:rsid w:val="00023DBE"/>
    <w:rsid w:val="000242FB"/>
    <w:rsid w:val="0003112B"/>
    <w:rsid w:val="0003492B"/>
    <w:rsid w:val="00034D89"/>
    <w:rsid w:val="000411C2"/>
    <w:rsid w:val="000454C6"/>
    <w:rsid w:val="00047843"/>
    <w:rsid w:val="00047F7E"/>
    <w:rsid w:val="00050B19"/>
    <w:rsid w:val="00052204"/>
    <w:rsid w:val="0005758F"/>
    <w:rsid w:val="00067DBA"/>
    <w:rsid w:val="0007042F"/>
    <w:rsid w:val="00070EF5"/>
    <w:rsid w:val="00072173"/>
    <w:rsid w:val="00080484"/>
    <w:rsid w:val="00084C8E"/>
    <w:rsid w:val="00085E29"/>
    <w:rsid w:val="00091BB0"/>
    <w:rsid w:val="000A515A"/>
    <w:rsid w:val="000A5486"/>
    <w:rsid w:val="000B0A1D"/>
    <w:rsid w:val="000B4ED8"/>
    <w:rsid w:val="000C33E7"/>
    <w:rsid w:val="000D3763"/>
    <w:rsid w:val="000D37A7"/>
    <w:rsid w:val="000D5491"/>
    <w:rsid w:val="000E1151"/>
    <w:rsid w:val="000E195E"/>
    <w:rsid w:val="00101852"/>
    <w:rsid w:val="0012321F"/>
    <w:rsid w:val="001243C7"/>
    <w:rsid w:val="0012701B"/>
    <w:rsid w:val="001500E1"/>
    <w:rsid w:val="0017192C"/>
    <w:rsid w:val="001726BC"/>
    <w:rsid w:val="00175F14"/>
    <w:rsid w:val="00182DAC"/>
    <w:rsid w:val="00183F6E"/>
    <w:rsid w:val="00185899"/>
    <w:rsid w:val="001A3491"/>
    <w:rsid w:val="001A4B74"/>
    <w:rsid w:val="001A5B06"/>
    <w:rsid w:val="001B7ECB"/>
    <w:rsid w:val="001C43F7"/>
    <w:rsid w:val="001E01A3"/>
    <w:rsid w:val="001F737A"/>
    <w:rsid w:val="0021146C"/>
    <w:rsid w:val="002116C7"/>
    <w:rsid w:val="0023011C"/>
    <w:rsid w:val="002413A0"/>
    <w:rsid w:val="002465CE"/>
    <w:rsid w:val="00267E3F"/>
    <w:rsid w:val="00275849"/>
    <w:rsid w:val="00275905"/>
    <w:rsid w:val="00281EC3"/>
    <w:rsid w:val="00293AFD"/>
    <w:rsid w:val="002A2B4B"/>
    <w:rsid w:val="002A620C"/>
    <w:rsid w:val="002B19C3"/>
    <w:rsid w:val="002B4629"/>
    <w:rsid w:val="002B7662"/>
    <w:rsid w:val="002C29E0"/>
    <w:rsid w:val="002C6280"/>
    <w:rsid w:val="002D286C"/>
    <w:rsid w:val="002D6A72"/>
    <w:rsid w:val="002E1FE0"/>
    <w:rsid w:val="002E26B7"/>
    <w:rsid w:val="002E2B53"/>
    <w:rsid w:val="00305FC7"/>
    <w:rsid w:val="003129A2"/>
    <w:rsid w:val="00312FB4"/>
    <w:rsid w:val="00322046"/>
    <w:rsid w:val="00323830"/>
    <w:rsid w:val="003241BF"/>
    <w:rsid w:val="0033482F"/>
    <w:rsid w:val="00337072"/>
    <w:rsid w:val="003378B8"/>
    <w:rsid w:val="0035588D"/>
    <w:rsid w:val="00360645"/>
    <w:rsid w:val="0036614E"/>
    <w:rsid w:val="003725DB"/>
    <w:rsid w:val="00373E54"/>
    <w:rsid w:val="00392388"/>
    <w:rsid w:val="00393017"/>
    <w:rsid w:val="003B7422"/>
    <w:rsid w:val="003B77AF"/>
    <w:rsid w:val="003C4131"/>
    <w:rsid w:val="003C5AF6"/>
    <w:rsid w:val="003C6A04"/>
    <w:rsid w:val="003D0545"/>
    <w:rsid w:val="003D3435"/>
    <w:rsid w:val="003D7CE0"/>
    <w:rsid w:val="003E2F2A"/>
    <w:rsid w:val="0040383C"/>
    <w:rsid w:val="00412698"/>
    <w:rsid w:val="00416AB8"/>
    <w:rsid w:val="00422D82"/>
    <w:rsid w:val="00422FD4"/>
    <w:rsid w:val="00426AF6"/>
    <w:rsid w:val="00436199"/>
    <w:rsid w:val="0044116C"/>
    <w:rsid w:val="00450AD8"/>
    <w:rsid w:val="00450C6D"/>
    <w:rsid w:val="004567C2"/>
    <w:rsid w:val="00457654"/>
    <w:rsid w:val="00457724"/>
    <w:rsid w:val="00461DEE"/>
    <w:rsid w:val="00476EE6"/>
    <w:rsid w:val="004777C3"/>
    <w:rsid w:val="004812E2"/>
    <w:rsid w:val="00483BBC"/>
    <w:rsid w:val="004901CD"/>
    <w:rsid w:val="00490BC9"/>
    <w:rsid w:val="00491950"/>
    <w:rsid w:val="00496B36"/>
    <w:rsid w:val="004A22DA"/>
    <w:rsid w:val="004A293D"/>
    <w:rsid w:val="004A54F4"/>
    <w:rsid w:val="004B1FCC"/>
    <w:rsid w:val="004C597F"/>
    <w:rsid w:val="004C5C10"/>
    <w:rsid w:val="004D54A1"/>
    <w:rsid w:val="004E3FE5"/>
    <w:rsid w:val="004E7CAE"/>
    <w:rsid w:val="004F0C55"/>
    <w:rsid w:val="004F436B"/>
    <w:rsid w:val="004F4949"/>
    <w:rsid w:val="00522AFE"/>
    <w:rsid w:val="00530D6D"/>
    <w:rsid w:val="005453C6"/>
    <w:rsid w:val="0055066E"/>
    <w:rsid w:val="00551B93"/>
    <w:rsid w:val="0055230F"/>
    <w:rsid w:val="0055386F"/>
    <w:rsid w:val="005556EF"/>
    <w:rsid w:val="00556958"/>
    <w:rsid w:val="005571BA"/>
    <w:rsid w:val="00563F23"/>
    <w:rsid w:val="005644B3"/>
    <w:rsid w:val="00595BCC"/>
    <w:rsid w:val="005A3010"/>
    <w:rsid w:val="005B343F"/>
    <w:rsid w:val="005C628A"/>
    <w:rsid w:val="005D39AF"/>
    <w:rsid w:val="005E0759"/>
    <w:rsid w:val="00612ADE"/>
    <w:rsid w:val="00613CC9"/>
    <w:rsid w:val="00621518"/>
    <w:rsid w:val="00621EC6"/>
    <w:rsid w:val="00624514"/>
    <w:rsid w:val="00624E20"/>
    <w:rsid w:val="0062641A"/>
    <w:rsid w:val="0063104D"/>
    <w:rsid w:val="0064168D"/>
    <w:rsid w:val="00643AEA"/>
    <w:rsid w:val="00645D21"/>
    <w:rsid w:val="00647219"/>
    <w:rsid w:val="00651586"/>
    <w:rsid w:val="00652D5E"/>
    <w:rsid w:val="00661054"/>
    <w:rsid w:val="00662BC7"/>
    <w:rsid w:val="006700ED"/>
    <w:rsid w:val="00682825"/>
    <w:rsid w:val="006A37E2"/>
    <w:rsid w:val="006B2DD6"/>
    <w:rsid w:val="006B56DB"/>
    <w:rsid w:val="006B6F83"/>
    <w:rsid w:val="006C0756"/>
    <w:rsid w:val="006C4574"/>
    <w:rsid w:val="006C49A3"/>
    <w:rsid w:val="006C6707"/>
    <w:rsid w:val="006C6EF5"/>
    <w:rsid w:val="006D2871"/>
    <w:rsid w:val="006D5111"/>
    <w:rsid w:val="006D5AD7"/>
    <w:rsid w:val="006D6118"/>
    <w:rsid w:val="006E6DC2"/>
    <w:rsid w:val="006F5580"/>
    <w:rsid w:val="00714D65"/>
    <w:rsid w:val="00715BF9"/>
    <w:rsid w:val="00720251"/>
    <w:rsid w:val="00722172"/>
    <w:rsid w:val="00724E1F"/>
    <w:rsid w:val="007265DF"/>
    <w:rsid w:val="00727EFF"/>
    <w:rsid w:val="00733FC1"/>
    <w:rsid w:val="007551C6"/>
    <w:rsid w:val="007725BA"/>
    <w:rsid w:val="00774D48"/>
    <w:rsid w:val="00776136"/>
    <w:rsid w:val="00781453"/>
    <w:rsid w:val="00783056"/>
    <w:rsid w:val="00785935"/>
    <w:rsid w:val="007902F9"/>
    <w:rsid w:val="00790606"/>
    <w:rsid w:val="00791735"/>
    <w:rsid w:val="0079780B"/>
    <w:rsid w:val="007B682F"/>
    <w:rsid w:val="007B6E69"/>
    <w:rsid w:val="007B7207"/>
    <w:rsid w:val="007C027D"/>
    <w:rsid w:val="007C5995"/>
    <w:rsid w:val="007D28A9"/>
    <w:rsid w:val="007D32F1"/>
    <w:rsid w:val="007E06AF"/>
    <w:rsid w:val="007E7CEF"/>
    <w:rsid w:val="00804AAF"/>
    <w:rsid w:val="0081207B"/>
    <w:rsid w:val="008166A2"/>
    <w:rsid w:val="00817DD2"/>
    <w:rsid w:val="00832C33"/>
    <w:rsid w:val="00833CDD"/>
    <w:rsid w:val="00841FE3"/>
    <w:rsid w:val="00856350"/>
    <w:rsid w:val="00872C26"/>
    <w:rsid w:val="00874EDF"/>
    <w:rsid w:val="008774D7"/>
    <w:rsid w:val="0088442C"/>
    <w:rsid w:val="008A090B"/>
    <w:rsid w:val="008A5D52"/>
    <w:rsid w:val="008B2410"/>
    <w:rsid w:val="008C23C1"/>
    <w:rsid w:val="008C76A8"/>
    <w:rsid w:val="008E18B9"/>
    <w:rsid w:val="008E30C0"/>
    <w:rsid w:val="008E388E"/>
    <w:rsid w:val="008E644F"/>
    <w:rsid w:val="008F252C"/>
    <w:rsid w:val="008F3895"/>
    <w:rsid w:val="008F533F"/>
    <w:rsid w:val="008F545F"/>
    <w:rsid w:val="009059EC"/>
    <w:rsid w:val="00926877"/>
    <w:rsid w:val="00940673"/>
    <w:rsid w:val="009457CD"/>
    <w:rsid w:val="009839DF"/>
    <w:rsid w:val="00984DFA"/>
    <w:rsid w:val="0099236E"/>
    <w:rsid w:val="0099772E"/>
    <w:rsid w:val="009B4445"/>
    <w:rsid w:val="009B5EA6"/>
    <w:rsid w:val="009E155B"/>
    <w:rsid w:val="009E214D"/>
    <w:rsid w:val="009E2E02"/>
    <w:rsid w:val="009E3BEB"/>
    <w:rsid w:val="009E5777"/>
    <w:rsid w:val="009E57CE"/>
    <w:rsid w:val="009E6A93"/>
    <w:rsid w:val="00A002D6"/>
    <w:rsid w:val="00A04031"/>
    <w:rsid w:val="00A05213"/>
    <w:rsid w:val="00A14788"/>
    <w:rsid w:val="00A202BC"/>
    <w:rsid w:val="00A236D0"/>
    <w:rsid w:val="00A25D2E"/>
    <w:rsid w:val="00A30CA1"/>
    <w:rsid w:val="00A31EA0"/>
    <w:rsid w:val="00A355A0"/>
    <w:rsid w:val="00A40212"/>
    <w:rsid w:val="00A464CB"/>
    <w:rsid w:val="00A479D6"/>
    <w:rsid w:val="00A53213"/>
    <w:rsid w:val="00A62E29"/>
    <w:rsid w:val="00A73BC1"/>
    <w:rsid w:val="00AA286C"/>
    <w:rsid w:val="00AA2ADE"/>
    <w:rsid w:val="00AC7FEC"/>
    <w:rsid w:val="00AD50CA"/>
    <w:rsid w:val="00AE2056"/>
    <w:rsid w:val="00AE3A5A"/>
    <w:rsid w:val="00AE493D"/>
    <w:rsid w:val="00AE5B1B"/>
    <w:rsid w:val="00B06AE0"/>
    <w:rsid w:val="00B06B3C"/>
    <w:rsid w:val="00B07DAF"/>
    <w:rsid w:val="00B101C1"/>
    <w:rsid w:val="00B1313D"/>
    <w:rsid w:val="00B1550C"/>
    <w:rsid w:val="00B20DF9"/>
    <w:rsid w:val="00B550F2"/>
    <w:rsid w:val="00B56F63"/>
    <w:rsid w:val="00B6055E"/>
    <w:rsid w:val="00B72B8E"/>
    <w:rsid w:val="00B7597E"/>
    <w:rsid w:val="00B7624D"/>
    <w:rsid w:val="00B77514"/>
    <w:rsid w:val="00B82088"/>
    <w:rsid w:val="00B82A1D"/>
    <w:rsid w:val="00B91C65"/>
    <w:rsid w:val="00BA31BD"/>
    <w:rsid w:val="00BB3ECF"/>
    <w:rsid w:val="00BB69B9"/>
    <w:rsid w:val="00BC339D"/>
    <w:rsid w:val="00BC450B"/>
    <w:rsid w:val="00BE4315"/>
    <w:rsid w:val="00C3235E"/>
    <w:rsid w:val="00C6184A"/>
    <w:rsid w:val="00C666ED"/>
    <w:rsid w:val="00C67F18"/>
    <w:rsid w:val="00C80B89"/>
    <w:rsid w:val="00CA77CB"/>
    <w:rsid w:val="00CB413C"/>
    <w:rsid w:val="00CB4EAF"/>
    <w:rsid w:val="00CD2DB8"/>
    <w:rsid w:val="00CD4899"/>
    <w:rsid w:val="00CE282C"/>
    <w:rsid w:val="00CE3D64"/>
    <w:rsid w:val="00CE75CC"/>
    <w:rsid w:val="00D0140D"/>
    <w:rsid w:val="00D02508"/>
    <w:rsid w:val="00D07E70"/>
    <w:rsid w:val="00D22AB5"/>
    <w:rsid w:val="00D25AEE"/>
    <w:rsid w:val="00D349A9"/>
    <w:rsid w:val="00D362D1"/>
    <w:rsid w:val="00D45137"/>
    <w:rsid w:val="00D45526"/>
    <w:rsid w:val="00D464BE"/>
    <w:rsid w:val="00D5304F"/>
    <w:rsid w:val="00D7176B"/>
    <w:rsid w:val="00D71AA2"/>
    <w:rsid w:val="00D73B16"/>
    <w:rsid w:val="00D807A1"/>
    <w:rsid w:val="00D82EF5"/>
    <w:rsid w:val="00D8528E"/>
    <w:rsid w:val="00D91FBB"/>
    <w:rsid w:val="00D9407E"/>
    <w:rsid w:val="00D95334"/>
    <w:rsid w:val="00DA1A58"/>
    <w:rsid w:val="00DA3DCC"/>
    <w:rsid w:val="00DA45BA"/>
    <w:rsid w:val="00DA68CD"/>
    <w:rsid w:val="00DA6955"/>
    <w:rsid w:val="00DB0C51"/>
    <w:rsid w:val="00DB46E5"/>
    <w:rsid w:val="00DB4DA9"/>
    <w:rsid w:val="00DB7C21"/>
    <w:rsid w:val="00DE0F92"/>
    <w:rsid w:val="00DE1BCD"/>
    <w:rsid w:val="00DE3A2A"/>
    <w:rsid w:val="00DF0E03"/>
    <w:rsid w:val="00DF55AE"/>
    <w:rsid w:val="00E07C96"/>
    <w:rsid w:val="00E17C02"/>
    <w:rsid w:val="00E20594"/>
    <w:rsid w:val="00E22162"/>
    <w:rsid w:val="00E27890"/>
    <w:rsid w:val="00E4061F"/>
    <w:rsid w:val="00E5045C"/>
    <w:rsid w:val="00E50D5D"/>
    <w:rsid w:val="00E51C13"/>
    <w:rsid w:val="00E543DF"/>
    <w:rsid w:val="00E54CC0"/>
    <w:rsid w:val="00E720AC"/>
    <w:rsid w:val="00E86C1C"/>
    <w:rsid w:val="00E908F7"/>
    <w:rsid w:val="00E93EE4"/>
    <w:rsid w:val="00EA1354"/>
    <w:rsid w:val="00EA18BF"/>
    <w:rsid w:val="00EA2DFB"/>
    <w:rsid w:val="00EA3DA6"/>
    <w:rsid w:val="00EA5FF1"/>
    <w:rsid w:val="00EA66FA"/>
    <w:rsid w:val="00EB0725"/>
    <w:rsid w:val="00EB0D6F"/>
    <w:rsid w:val="00EB26E6"/>
    <w:rsid w:val="00EC57C7"/>
    <w:rsid w:val="00ED1876"/>
    <w:rsid w:val="00ED380B"/>
    <w:rsid w:val="00ED5958"/>
    <w:rsid w:val="00EF4560"/>
    <w:rsid w:val="00F02AD7"/>
    <w:rsid w:val="00F06EAE"/>
    <w:rsid w:val="00F077D9"/>
    <w:rsid w:val="00F110BB"/>
    <w:rsid w:val="00F2278A"/>
    <w:rsid w:val="00F2452A"/>
    <w:rsid w:val="00F37448"/>
    <w:rsid w:val="00F40D8B"/>
    <w:rsid w:val="00F577BD"/>
    <w:rsid w:val="00F71BDF"/>
    <w:rsid w:val="00F7250E"/>
    <w:rsid w:val="00F7598F"/>
    <w:rsid w:val="00F75F0B"/>
    <w:rsid w:val="00F8123A"/>
    <w:rsid w:val="00F96183"/>
    <w:rsid w:val="00F97E3A"/>
    <w:rsid w:val="00FA7B22"/>
    <w:rsid w:val="00FB08E9"/>
    <w:rsid w:val="00FB4B8A"/>
    <w:rsid w:val="00FC14EA"/>
    <w:rsid w:val="00FC55DB"/>
    <w:rsid w:val="00FC63AD"/>
    <w:rsid w:val="00FD7530"/>
    <w:rsid w:val="00FF0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2D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22DA"/>
    <w:pPr>
      <w:jc w:val="right"/>
    </w:pPr>
    <w:rPr>
      <w:rFonts w:ascii="Garamond" w:hAnsi="Garamond"/>
      <w:sz w:val="28"/>
      <w:szCs w:val="28"/>
    </w:rPr>
  </w:style>
  <w:style w:type="character" w:customStyle="1" w:styleId="BodyText2Char">
    <w:name w:val="Body Text 2 Char"/>
    <w:basedOn w:val="DefaultParagraphFont"/>
    <w:link w:val="BodyText2"/>
    <w:rsid w:val="004A22DA"/>
    <w:rPr>
      <w:rFonts w:ascii="Garamond" w:eastAsia="Times New Roman" w:hAnsi="Garamond" w:cs="Times New Roman"/>
      <w:sz w:val="28"/>
      <w:szCs w:val="28"/>
    </w:rPr>
  </w:style>
  <w:style w:type="paragraph" w:styleId="Header">
    <w:name w:val="header"/>
    <w:basedOn w:val="Normal"/>
    <w:link w:val="HeaderChar"/>
    <w:uiPriority w:val="99"/>
    <w:unhideWhenUsed/>
    <w:rsid w:val="004A22DA"/>
    <w:pPr>
      <w:tabs>
        <w:tab w:val="center" w:pos="4153"/>
        <w:tab w:val="right" w:pos="8306"/>
      </w:tabs>
    </w:pPr>
  </w:style>
  <w:style w:type="character" w:customStyle="1" w:styleId="HeaderChar">
    <w:name w:val="Header Char"/>
    <w:basedOn w:val="DefaultParagraphFont"/>
    <w:link w:val="Header"/>
    <w:uiPriority w:val="99"/>
    <w:rsid w:val="004A22DA"/>
    <w:rPr>
      <w:rFonts w:eastAsia="Times New Roman" w:cs="Times New Roman"/>
      <w:szCs w:val="24"/>
    </w:rPr>
  </w:style>
  <w:style w:type="paragraph" w:styleId="Footer">
    <w:name w:val="footer"/>
    <w:basedOn w:val="Normal"/>
    <w:link w:val="FooterChar"/>
    <w:unhideWhenUsed/>
    <w:rsid w:val="004A22DA"/>
    <w:pPr>
      <w:tabs>
        <w:tab w:val="center" w:pos="4153"/>
        <w:tab w:val="right" w:pos="8306"/>
      </w:tabs>
    </w:pPr>
  </w:style>
  <w:style w:type="character" w:customStyle="1" w:styleId="FooterChar">
    <w:name w:val="Footer Char"/>
    <w:basedOn w:val="DefaultParagraphFont"/>
    <w:link w:val="Footer"/>
    <w:rsid w:val="004A22DA"/>
    <w:rPr>
      <w:rFonts w:eastAsia="Times New Roman" w:cs="Times New Roman"/>
      <w:szCs w:val="24"/>
    </w:rPr>
  </w:style>
  <w:style w:type="character" w:styleId="PageNumber">
    <w:name w:val="page number"/>
    <w:basedOn w:val="DefaultParagraphFont"/>
    <w:rsid w:val="004A22DA"/>
  </w:style>
  <w:style w:type="character" w:customStyle="1" w:styleId="sb8d990e2">
    <w:name w:val="sb8d990e2"/>
    <w:rsid w:val="00080484"/>
  </w:style>
  <w:style w:type="paragraph" w:styleId="ListParagraph">
    <w:name w:val="List Paragraph"/>
    <w:basedOn w:val="Normal"/>
    <w:uiPriority w:val="34"/>
    <w:qFormat/>
    <w:rsid w:val="009B5EA6"/>
    <w:pPr>
      <w:ind w:left="720"/>
      <w:contextualSpacing/>
    </w:pPr>
  </w:style>
  <w:style w:type="character" w:styleId="Hyperlink">
    <w:name w:val="Hyperlink"/>
    <w:basedOn w:val="DefaultParagraphFont"/>
    <w:uiPriority w:val="99"/>
    <w:unhideWhenUsed/>
    <w:rsid w:val="00023DBE"/>
    <w:rPr>
      <w:color w:val="0563C1" w:themeColor="hyperlink"/>
      <w:u w:val="single"/>
    </w:rPr>
  </w:style>
  <w:style w:type="character" w:styleId="FollowedHyperlink">
    <w:name w:val="FollowedHyperlink"/>
    <w:basedOn w:val="DefaultParagraphFont"/>
    <w:uiPriority w:val="99"/>
    <w:semiHidden/>
    <w:unhideWhenUsed/>
    <w:rsid w:val="001A4B74"/>
    <w:rPr>
      <w:color w:val="954F72" w:themeColor="followedHyperlink"/>
      <w:u w:val="single"/>
    </w:rPr>
  </w:style>
  <w:style w:type="paragraph" w:styleId="BalloonText">
    <w:name w:val="Balloon Text"/>
    <w:basedOn w:val="Normal"/>
    <w:link w:val="BalloonTextChar"/>
    <w:uiPriority w:val="99"/>
    <w:semiHidden/>
    <w:unhideWhenUsed/>
    <w:rsid w:val="00945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lu.lv/dspace/bitstream/handle/7/5200/34504Promocijas_darbs_IrenaNesterova_08112013.pdf?sequenc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93B7-8246-4324-B405-F1F55ADC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11590</Words>
  <Characters>6607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2017-10-17T05:50:00Z</dcterms:created>
  <dcterms:modified xsi:type="dcterms:W3CDTF">2017-10-17T05:50:00Z</dcterms:modified>
</cp:coreProperties>
</file>