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10F" w:rsidRPr="00CE031A" w:rsidRDefault="0067710F" w:rsidP="00BF5D69">
      <w:pPr>
        <w:spacing w:after="0" w:line="276" w:lineRule="auto"/>
        <w:jc w:val="both"/>
        <w:rPr>
          <w:b/>
          <w:bCs/>
        </w:rPr>
      </w:pPr>
      <w:r w:rsidRPr="00CE031A">
        <w:rPr>
          <w:b/>
          <w:bCs/>
        </w:rPr>
        <w:t>Brīdinājuma par nekustamā īpašuma labprātīgu pārdošanu izsolē tiesas ceļā izsniegšana parādniekam</w:t>
      </w:r>
    </w:p>
    <w:p w:rsidR="0067710F" w:rsidRPr="00592873" w:rsidRDefault="0067710F" w:rsidP="00BF5D69">
      <w:pPr>
        <w:spacing w:after="0" w:line="276" w:lineRule="auto"/>
        <w:ind w:firstLine="567"/>
        <w:jc w:val="both"/>
      </w:pPr>
      <w:r w:rsidRPr="00592873">
        <w:t xml:space="preserve">Civilprocesa likuma </w:t>
      </w:r>
      <w:proofErr w:type="gramStart"/>
      <w:r w:rsidRPr="00592873">
        <w:t>396.pants</w:t>
      </w:r>
      <w:proofErr w:type="gramEnd"/>
      <w:r w:rsidRPr="00592873">
        <w:t xml:space="preserve"> nenosaka, kā tieši izdarāma parādnieka brīdināšana par nekustamā īpašuma labprātīgu pārdošanu izsolē tiesas ceļā. </w:t>
      </w:r>
    </w:p>
    <w:p w:rsidR="0067710F" w:rsidRPr="00592873" w:rsidRDefault="0067710F" w:rsidP="00BF5D69">
      <w:pPr>
        <w:spacing w:after="0" w:line="276" w:lineRule="auto"/>
        <w:ind w:firstLine="567"/>
        <w:jc w:val="both"/>
      </w:pPr>
      <w:r w:rsidRPr="00592873">
        <w:t>Ņemot vērā, ka par brīdināšanu rūpējas ķīlas ņēmējs, nevis tiesa, brīdinājuma izsniegšanas veidi nav ierobežoti ar Civilprocesa likuma 6.nodaļā paredzētajiem, un faktiski brīdinājums izdarāms jebkurā likumā vai līgumā atļautā veidā.</w:t>
      </w:r>
    </w:p>
    <w:p w:rsidR="0067710F" w:rsidRDefault="0067710F" w:rsidP="00BF5D69">
      <w:pPr>
        <w:spacing w:after="0" w:line="276" w:lineRule="auto"/>
        <w:ind w:firstLine="567"/>
        <w:jc w:val="both"/>
      </w:pPr>
      <w:r w:rsidRPr="00592873">
        <w:t xml:space="preserve">Pievienojot pieteikumam par nekustamā īpašuma pārdošanu tiesas ceļā zvērināta notāra izdotu apliecību, ir ievērots Civilprocesa likuma </w:t>
      </w:r>
      <w:proofErr w:type="gramStart"/>
      <w:r w:rsidRPr="00592873">
        <w:t>396.panta</w:t>
      </w:r>
      <w:proofErr w:type="gramEnd"/>
      <w:r w:rsidRPr="00592873">
        <w:t xml:space="preserve"> otrajā daļā noteiktais pienākums iesniegt pierādījumus par parādnieka brīdinājumu</w:t>
      </w:r>
      <w:r w:rsidR="00592873">
        <w:t>.</w:t>
      </w:r>
    </w:p>
    <w:p w:rsidR="00592873" w:rsidRDefault="00592873" w:rsidP="00BF5D69">
      <w:pPr>
        <w:spacing w:after="0" w:line="276" w:lineRule="auto"/>
        <w:ind w:firstLine="567"/>
        <w:jc w:val="both"/>
      </w:pPr>
    </w:p>
    <w:p w:rsidR="00592873" w:rsidRPr="00080F32" w:rsidRDefault="00592873" w:rsidP="00592873">
      <w:pPr>
        <w:shd w:val="clear" w:color="auto" w:fill="FFFFFF"/>
        <w:spacing w:after="0"/>
        <w:jc w:val="center"/>
        <w:rPr>
          <w:b/>
        </w:rPr>
      </w:pPr>
      <w:r w:rsidRPr="00080F32">
        <w:rPr>
          <w:b/>
        </w:rPr>
        <w:t>Latvijas Republikas</w:t>
      </w:r>
      <w:r>
        <w:rPr>
          <w:b/>
        </w:rPr>
        <w:t xml:space="preserve"> </w:t>
      </w:r>
      <w:r w:rsidRPr="00080F32">
        <w:rPr>
          <w:b/>
        </w:rPr>
        <w:t>Augstākās tiesas</w:t>
      </w:r>
    </w:p>
    <w:p w:rsidR="00592873" w:rsidRDefault="00592873" w:rsidP="00592873">
      <w:pPr>
        <w:shd w:val="clear" w:color="auto" w:fill="FFFFFF"/>
        <w:spacing w:after="0"/>
        <w:jc w:val="center"/>
        <w:rPr>
          <w:b/>
        </w:rPr>
      </w:pPr>
      <w:r w:rsidRPr="00080F32">
        <w:rPr>
          <w:b/>
        </w:rPr>
        <w:t>Civillietu departamenta</w:t>
      </w:r>
    </w:p>
    <w:p w:rsidR="00592873" w:rsidRPr="009A3B0E" w:rsidRDefault="00592873" w:rsidP="00592873">
      <w:pPr>
        <w:shd w:val="clear" w:color="auto" w:fill="FFFFFF"/>
        <w:spacing w:after="0"/>
        <w:jc w:val="center"/>
        <w:rPr>
          <w:b/>
        </w:rPr>
      </w:pPr>
      <w:proofErr w:type="gramStart"/>
      <w:r>
        <w:rPr>
          <w:b/>
        </w:rPr>
        <w:t>2017.gada</w:t>
      </w:r>
      <w:proofErr w:type="gramEnd"/>
      <w:r>
        <w:rPr>
          <w:b/>
        </w:rPr>
        <w:t xml:space="preserve"> 1</w:t>
      </w:r>
      <w:r>
        <w:rPr>
          <w:b/>
        </w:rPr>
        <w:t>1</w:t>
      </w:r>
      <w:r w:rsidRPr="009A3B0E">
        <w:rPr>
          <w:b/>
        </w:rPr>
        <w:t>.</w:t>
      </w:r>
      <w:r>
        <w:rPr>
          <w:b/>
        </w:rPr>
        <w:t>aprīļ</w:t>
      </w:r>
      <w:r>
        <w:rPr>
          <w:b/>
        </w:rPr>
        <w:t>a</w:t>
      </w:r>
    </w:p>
    <w:p w:rsidR="00592873" w:rsidRPr="00080F32" w:rsidRDefault="00592873" w:rsidP="00592873">
      <w:pPr>
        <w:shd w:val="clear" w:color="auto" w:fill="FFFFFF"/>
        <w:spacing w:after="0"/>
        <w:ind w:right="-15"/>
        <w:jc w:val="center"/>
        <w:rPr>
          <w:b/>
        </w:rPr>
      </w:pPr>
      <w:r>
        <w:rPr>
          <w:b/>
          <w:bCs/>
        </w:rPr>
        <w:t>LĒM</w:t>
      </w:r>
      <w:r w:rsidRPr="00080F32">
        <w:rPr>
          <w:b/>
          <w:bCs/>
        </w:rPr>
        <w:t>UMS</w:t>
      </w:r>
    </w:p>
    <w:p w:rsidR="00592873" w:rsidRDefault="00592873" w:rsidP="00592873">
      <w:pPr>
        <w:spacing w:after="0"/>
        <w:jc w:val="center"/>
        <w:rPr>
          <w:b/>
        </w:rPr>
      </w:pPr>
      <w:r w:rsidRPr="00080F32">
        <w:rPr>
          <w:b/>
        </w:rPr>
        <w:t>Lieta Nr</w:t>
      </w:r>
      <w:r>
        <w:rPr>
          <w:b/>
        </w:rPr>
        <w:t>.</w:t>
      </w:r>
      <w:r w:rsidRPr="00592873">
        <w:rPr>
          <w:b/>
          <w:bCs/>
        </w:rPr>
        <w:t>3-12/0163</w:t>
      </w:r>
      <w:r>
        <w:rPr>
          <w:b/>
        </w:rPr>
        <w:t> SP</w:t>
      </w:r>
      <w:r w:rsidRPr="00080F32">
        <w:rPr>
          <w:b/>
        </w:rPr>
        <w:t>C</w:t>
      </w:r>
      <w:r w:rsidRPr="00080F32">
        <w:rPr>
          <w:b/>
        </w:rPr>
        <w:noBreakHyphen/>
      </w:r>
      <w:r>
        <w:rPr>
          <w:b/>
        </w:rPr>
        <w:t>1</w:t>
      </w:r>
      <w:r>
        <w:rPr>
          <w:b/>
        </w:rPr>
        <w:t>/2017</w:t>
      </w:r>
    </w:p>
    <w:p w:rsidR="00592873" w:rsidRPr="00592873" w:rsidRDefault="00592873" w:rsidP="00592873">
      <w:pPr>
        <w:spacing w:after="0" w:line="276" w:lineRule="auto"/>
        <w:jc w:val="center"/>
      </w:pPr>
    </w:p>
    <w:p w:rsidR="00CE031A" w:rsidRPr="00CE031A" w:rsidRDefault="00CE031A" w:rsidP="00CE031A">
      <w:pPr>
        <w:spacing w:after="0" w:line="276" w:lineRule="auto"/>
        <w:jc w:val="both"/>
        <w:rPr>
          <w:rFonts w:eastAsia="Times New Roman" w:cs="Times New Roman"/>
          <w:color w:val="000000"/>
          <w:szCs w:val="24"/>
          <w:lang w:eastAsia="lv-LV"/>
        </w:rPr>
      </w:pPr>
      <w:r w:rsidRPr="00CE031A">
        <w:rPr>
          <w:rFonts w:eastAsia="Times New Roman" w:cs="Times New Roman"/>
          <w:color w:val="000000"/>
          <w:szCs w:val="24"/>
          <w:lang w:eastAsia="lv-LV"/>
        </w:rPr>
        <w:t>Augstākā tiesa šādā sastāvā:</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referente Inta Lauka</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tiesnesis Intars Bisters</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Anda Briede</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Vanda Cīrule</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Anita Čerņavska</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Ināra Garda</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tiesnesis Valerijans Jonikāns</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tiesnesis Aivars Keišs</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Ļubova Kušnire</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tiesnesis Valerijs Maksimovs</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Zane Pētersone</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tiesnesis Normunds Salenieks</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Marika Senkāne</w:t>
      </w:r>
      <w:r w:rsidR="00A60597">
        <w:rPr>
          <w:rFonts w:eastAsia="Times New Roman" w:cs="Times New Roman"/>
          <w:color w:val="000000"/>
          <w:szCs w:val="24"/>
          <w:lang w:eastAsia="lv-LV"/>
        </w:rPr>
        <w:t>,</w:t>
      </w:r>
    </w:p>
    <w:p w:rsidR="00CE031A" w:rsidRPr="00CE031A" w:rsidRDefault="00CE031A" w:rsidP="00CE031A">
      <w:pPr>
        <w:spacing w:after="0" w:line="276" w:lineRule="auto"/>
        <w:ind w:firstLine="720"/>
        <w:jc w:val="both"/>
        <w:rPr>
          <w:rFonts w:eastAsia="Times New Roman" w:cs="Times New Roman"/>
          <w:color w:val="000000"/>
          <w:szCs w:val="24"/>
          <w:lang w:eastAsia="lv-LV"/>
        </w:rPr>
      </w:pPr>
      <w:r w:rsidRPr="00CE031A">
        <w:rPr>
          <w:rFonts w:eastAsia="Times New Roman" w:cs="Times New Roman"/>
          <w:color w:val="000000"/>
          <w:szCs w:val="24"/>
          <w:lang w:eastAsia="lv-LV"/>
        </w:rPr>
        <w:t>tiesnese Anda Vītola</w:t>
      </w:r>
      <w:r w:rsidR="00A60597">
        <w:rPr>
          <w:rFonts w:eastAsia="Times New Roman" w:cs="Times New Roman"/>
          <w:color w:val="000000"/>
          <w:szCs w:val="24"/>
          <w:lang w:eastAsia="lv-LV"/>
        </w:rPr>
        <w:t>,</w:t>
      </w:r>
    </w:p>
    <w:p w:rsidR="00CE031A" w:rsidRDefault="0074529D" w:rsidP="00CE031A">
      <w:pPr>
        <w:spacing w:after="0" w:line="276" w:lineRule="auto"/>
        <w:ind w:firstLine="600"/>
        <w:jc w:val="both"/>
        <w:rPr>
          <w:rFonts w:eastAsia="Times New Roman" w:cs="Times New Roman"/>
          <w:color w:val="000000"/>
          <w:szCs w:val="24"/>
          <w:lang w:eastAsia="lv-LV"/>
        </w:rPr>
      </w:pPr>
      <w:r>
        <w:rPr>
          <w:rFonts w:eastAsia="Times New Roman" w:cs="Times New Roman"/>
          <w:color w:val="000000"/>
          <w:szCs w:val="24"/>
          <w:lang w:eastAsia="lv-LV"/>
        </w:rPr>
        <w:t xml:space="preserve">  </w:t>
      </w:r>
      <w:r w:rsidR="00CE031A" w:rsidRPr="00CE031A">
        <w:rPr>
          <w:rFonts w:eastAsia="Times New Roman" w:cs="Times New Roman"/>
          <w:color w:val="000000"/>
          <w:szCs w:val="24"/>
          <w:lang w:eastAsia="lv-LV"/>
        </w:rPr>
        <w:t>tiesnese Mārīte Zāģere</w:t>
      </w:r>
    </w:p>
    <w:p w:rsidR="00CE031A" w:rsidRPr="00CE031A" w:rsidRDefault="00CE031A" w:rsidP="00CE031A">
      <w:pPr>
        <w:spacing w:after="0" w:line="276" w:lineRule="auto"/>
        <w:ind w:firstLine="600"/>
        <w:jc w:val="both"/>
        <w:rPr>
          <w:rFonts w:eastAsia="Times New Roman" w:cs="Times New Roman"/>
          <w:color w:val="000000"/>
          <w:szCs w:val="24"/>
          <w:lang w:eastAsia="lv-LV"/>
        </w:rPr>
      </w:pPr>
    </w:p>
    <w:p w:rsidR="00CE031A" w:rsidRPr="00CE031A" w:rsidRDefault="00CE031A" w:rsidP="005E4A4F">
      <w:pPr>
        <w:spacing w:after="0" w:line="276" w:lineRule="auto"/>
        <w:ind w:firstLine="567"/>
        <w:jc w:val="both"/>
        <w:rPr>
          <w:rFonts w:eastAsia="Times New Roman" w:cs="Times New Roman"/>
          <w:color w:val="000000"/>
          <w:szCs w:val="24"/>
          <w:lang w:eastAsia="lv-LV"/>
        </w:rPr>
      </w:pPr>
      <w:r w:rsidRPr="00CE031A">
        <w:rPr>
          <w:rFonts w:eastAsia="Times New Roman" w:cs="Times New Roman"/>
          <w:color w:val="000000"/>
          <w:szCs w:val="24"/>
          <w:lang w:eastAsia="lv-LV"/>
        </w:rPr>
        <w:t xml:space="preserve">izskatīja rakstveida procesā Ģenerālprokuratūras Personu un valsts tiesību aizsardzības departamenta virsprokurora protestu par Rīgas pilsētas Zemgales priekšpilsētas tiesas tiesneša </w:t>
      </w:r>
      <w:proofErr w:type="gramStart"/>
      <w:r w:rsidRPr="00CE031A">
        <w:rPr>
          <w:rFonts w:eastAsia="Times New Roman" w:cs="Times New Roman"/>
          <w:color w:val="000000"/>
          <w:szCs w:val="24"/>
          <w:lang w:eastAsia="lv-LV"/>
        </w:rPr>
        <w:t>2015.gada</w:t>
      </w:r>
      <w:proofErr w:type="gramEnd"/>
      <w:r w:rsidRPr="00CE031A">
        <w:rPr>
          <w:rFonts w:eastAsia="Times New Roman" w:cs="Times New Roman"/>
          <w:color w:val="000000"/>
          <w:szCs w:val="24"/>
          <w:lang w:eastAsia="lv-LV"/>
        </w:rPr>
        <w:t xml:space="preserve"> 16.decembra lēmumu, ar kuru noraidīts AS „</w:t>
      </w:r>
      <w:proofErr w:type="spellStart"/>
      <w:r w:rsidRPr="00CE031A">
        <w:rPr>
          <w:rFonts w:eastAsia="Times New Roman" w:cs="Times New Roman"/>
          <w:color w:val="000000"/>
          <w:szCs w:val="24"/>
          <w:lang w:eastAsia="lv-LV"/>
        </w:rPr>
        <w:t>Swedbank</w:t>
      </w:r>
      <w:proofErr w:type="spellEnd"/>
      <w:r w:rsidRPr="00CE031A">
        <w:rPr>
          <w:rFonts w:eastAsia="Times New Roman" w:cs="Times New Roman"/>
          <w:color w:val="000000"/>
          <w:szCs w:val="24"/>
          <w:lang w:eastAsia="lv-LV"/>
        </w:rPr>
        <w:t xml:space="preserve">” pieteikums par </w:t>
      </w:r>
      <w:r w:rsidR="00A60597">
        <w:rPr>
          <w:rFonts w:eastAsia="Times New Roman" w:cs="Times New Roman"/>
          <w:color w:val="000000"/>
          <w:szCs w:val="24"/>
          <w:lang w:eastAsia="lv-LV"/>
        </w:rPr>
        <w:t>[pers. A]</w:t>
      </w:r>
      <w:r w:rsidRPr="00CE031A">
        <w:rPr>
          <w:rFonts w:eastAsia="Times New Roman" w:cs="Times New Roman"/>
          <w:color w:val="000000"/>
          <w:szCs w:val="24"/>
          <w:lang w:eastAsia="lv-LV"/>
        </w:rPr>
        <w:t xml:space="preserve"> piederoša nekustamā īpašuma labprātīgu pārdošanu izsolē tiesas ceļā.</w:t>
      </w:r>
    </w:p>
    <w:p w:rsidR="00CE031A" w:rsidRPr="00CE031A" w:rsidRDefault="00CE031A" w:rsidP="005E4A4F">
      <w:pPr>
        <w:spacing w:before="120" w:after="120" w:line="276" w:lineRule="auto"/>
        <w:jc w:val="center"/>
        <w:rPr>
          <w:rFonts w:eastAsia="Times New Roman" w:cs="Times New Roman"/>
          <w:color w:val="000000"/>
          <w:szCs w:val="24"/>
          <w:lang w:eastAsia="lv-LV"/>
        </w:rPr>
      </w:pPr>
      <w:r w:rsidRPr="00CE031A">
        <w:rPr>
          <w:rFonts w:eastAsia="Times New Roman" w:cs="Times New Roman"/>
          <w:b/>
          <w:bCs/>
          <w:color w:val="000000"/>
          <w:szCs w:val="24"/>
          <w:lang w:eastAsia="lv-LV"/>
        </w:rPr>
        <w:t>Aprakstošā daļa</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[1] </w:t>
      </w:r>
      <w:r w:rsidRPr="00592873">
        <w:rPr>
          <w:rFonts w:eastAsia="Times New Roman" w:cs="Times New Roman"/>
          <w:color w:val="000000"/>
          <w:szCs w:val="24"/>
          <w:lang w:val="x-none" w:eastAsia="lv-LV"/>
        </w:rPr>
        <w:t>AS „</w:t>
      </w:r>
      <w:proofErr w:type="spellStart"/>
      <w:r w:rsidRPr="00592873">
        <w:rPr>
          <w:rFonts w:eastAsia="Times New Roman" w:cs="Times New Roman"/>
          <w:color w:val="000000"/>
          <w:szCs w:val="24"/>
          <w:lang w:val="x-none" w:eastAsia="lv-LV"/>
        </w:rPr>
        <w:t>Swedbank</w:t>
      </w:r>
      <w:proofErr w:type="spellEnd"/>
      <w:r w:rsidRPr="00592873">
        <w:rPr>
          <w:rFonts w:eastAsia="Times New Roman" w:cs="Times New Roman"/>
          <w:color w:val="000000"/>
          <w:szCs w:val="24"/>
          <w:lang w:val="x-none" w:eastAsia="lv-LV"/>
        </w:rPr>
        <w:t>”</w:t>
      </w:r>
      <w:r w:rsidR="002F0E8A" w:rsidRPr="00592873">
        <w:rPr>
          <w:rFonts w:eastAsia="Times New Roman" w:cs="Times New Roman"/>
          <w:color w:val="000000"/>
          <w:szCs w:val="24"/>
          <w:lang w:eastAsia="lv-LV"/>
        </w:rPr>
        <w:t xml:space="preserve"> </w:t>
      </w:r>
      <w:proofErr w:type="gramStart"/>
      <w:r w:rsidRPr="00592873">
        <w:rPr>
          <w:rFonts w:eastAsia="Times New Roman" w:cs="Times New Roman"/>
          <w:color w:val="000000"/>
          <w:szCs w:val="24"/>
          <w:lang w:eastAsia="lv-LV"/>
        </w:rPr>
        <w:t>2015.gada</w:t>
      </w:r>
      <w:proofErr w:type="gramEnd"/>
      <w:r w:rsidRPr="00592873">
        <w:rPr>
          <w:rFonts w:eastAsia="Times New Roman" w:cs="Times New Roman"/>
          <w:color w:val="000000"/>
          <w:szCs w:val="24"/>
          <w:lang w:eastAsia="lv-LV"/>
        </w:rPr>
        <w:t xml:space="preserve"> 14.decembrī </w:t>
      </w:r>
      <w:r w:rsidRPr="00592873">
        <w:rPr>
          <w:rFonts w:eastAsia="Times New Roman" w:cs="Times New Roman"/>
          <w:color w:val="000000"/>
          <w:szCs w:val="24"/>
          <w:lang w:val="x-none" w:eastAsia="lv-LV"/>
        </w:rPr>
        <w:t>Rīgas pilsētas Zemgales priekšpilsētas ties</w:t>
      </w:r>
      <w:r w:rsidRPr="00592873">
        <w:rPr>
          <w:rFonts w:eastAsia="Times New Roman" w:cs="Times New Roman"/>
          <w:color w:val="000000"/>
          <w:szCs w:val="24"/>
          <w:lang w:eastAsia="lv-LV"/>
        </w:rPr>
        <w:t>ā iesniedza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pieteikumu</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par</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nekustamā īpašuma labprātīgu pārdošanu izsolē tiesas ceļā</w:t>
      </w:r>
      <w:r w:rsidRPr="00592873">
        <w:rPr>
          <w:rFonts w:eastAsia="Times New Roman" w:cs="Times New Roman"/>
          <w:color w:val="000000"/>
          <w:szCs w:val="24"/>
          <w:lang w:eastAsia="lv-LV"/>
        </w:rPr>
        <w:t>.</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Pamatojoties uz Civillikuma 1321., 2075., 2083., 2086.</w:t>
      </w:r>
      <w:r w:rsidR="00A60597" w:rsidRPr="00592873">
        <w:rPr>
          <w:rFonts w:eastAsia="Times New Roman" w:cs="Times New Roman"/>
          <w:color w:val="000000"/>
          <w:szCs w:val="24"/>
          <w:lang w:eastAsia="lv-LV"/>
        </w:rPr>
        <w:noBreakHyphen/>
      </w:r>
      <w:proofErr w:type="gramStart"/>
      <w:r w:rsidRPr="00592873">
        <w:rPr>
          <w:rFonts w:eastAsia="Times New Roman" w:cs="Times New Roman"/>
          <w:color w:val="000000"/>
          <w:szCs w:val="24"/>
          <w:lang w:eastAsia="lv-LV"/>
        </w:rPr>
        <w:t>2090.pantu</w:t>
      </w:r>
      <w:proofErr w:type="gramEnd"/>
      <w:r w:rsidRPr="00592873">
        <w:rPr>
          <w:rFonts w:eastAsia="Times New Roman" w:cs="Times New Roman"/>
          <w:color w:val="000000"/>
          <w:szCs w:val="24"/>
          <w:lang w:eastAsia="lv-LV"/>
        </w:rPr>
        <w:t>, Civilprocesa likuma 395.</w:t>
      </w:r>
      <w:r w:rsidR="00A60597" w:rsidRPr="00592873">
        <w:rPr>
          <w:rFonts w:eastAsia="Times New Roman" w:cs="Times New Roman"/>
          <w:color w:val="000000"/>
          <w:szCs w:val="24"/>
          <w:lang w:eastAsia="lv-LV"/>
        </w:rPr>
        <w:noBreakHyphen/>
      </w:r>
      <w:r w:rsidRPr="00592873">
        <w:rPr>
          <w:rFonts w:eastAsia="Times New Roman" w:cs="Times New Roman"/>
          <w:color w:val="000000"/>
          <w:szCs w:val="24"/>
          <w:lang w:eastAsia="lv-LV"/>
        </w:rPr>
        <w:t>399.pantu, Notariāta likuma 139.pantu,</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AS „</w:t>
      </w:r>
      <w:proofErr w:type="spellStart"/>
      <w:r w:rsidRPr="00592873">
        <w:rPr>
          <w:rFonts w:eastAsia="Times New Roman" w:cs="Times New Roman"/>
          <w:color w:val="000000"/>
          <w:szCs w:val="24"/>
          <w:lang w:val="x-none" w:eastAsia="lv-LV"/>
        </w:rPr>
        <w:t>Swedbank</w:t>
      </w:r>
      <w:proofErr w:type="spellEnd"/>
      <w:r w:rsidRPr="00592873">
        <w:rPr>
          <w:rFonts w:eastAsia="Times New Roman" w:cs="Times New Roman"/>
          <w:color w:val="000000"/>
          <w:szCs w:val="24"/>
          <w:lang w:val="x-none" w:eastAsia="lv-LV"/>
        </w:rPr>
        <w:t>”</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lūdza atļaut pārdot</w:t>
      </w:r>
      <w:r w:rsidR="00A60597" w:rsidRPr="00592873">
        <w:rPr>
          <w:rFonts w:eastAsia="Times New Roman" w:cs="Times New Roman"/>
          <w:color w:val="000000"/>
          <w:szCs w:val="24"/>
          <w:lang w:eastAsia="lv-LV"/>
        </w:rPr>
        <w:t xml:space="preserve"> [pers. A]</w:t>
      </w:r>
      <w:r w:rsidRPr="00592873">
        <w:rPr>
          <w:rFonts w:eastAsia="Times New Roman" w:cs="Times New Roman"/>
          <w:color w:val="000000"/>
          <w:szCs w:val="24"/>
          <w:lang w:val="x-none" w:eastAsia="lv-LV"/>
        </w:rPr>
        <w:t xml:space="preserve"> piederošo</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un par labu AS „</w:t>
      </w:r>
      <w:proofErr w:type="spellStart"/>
      <w:r w:rsidRPr="00592873">
        <w:rPr>
          <w:rFonts w:eastAsia="Times New Roman" w:cs="Times New Roman"/>
          <w:color w:val="000000"/>
          <w:szCs w:val="24"/>
          <w:lang w:eastAsia="lv-LV"/>
        </w:rPr>
        <w:t>Swedbank</w:t>
      </w:r>
      <w:proofErr w:type="spellEnd"/>
      <w:r w:rsidRPr="00592873">
        <w:rPr>
          <w:rFonts w:eastAsia="Times New Roman" w:cs="Times New Roman"/>
          <w:color w:val="000000"/>
          <w:szCs w:val="24"/>
          <w:lang w:eastAsia="lv-LV"/>
        </w:rPr>
        <w:t>” ieķīlāto</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 xml:space="preserve">nekustamo īpašumu </w:t>
      </w:r>
      <w:r w:rsidR="00A60597" w:rsidRPr="00592873">
        <w:rPr>
          <w:rFonts w:eastAsia="Times New Roman" w:cs="Times New Roman"/>
          <w:color w:val="000000"/>
          <w:szCs w:val="24"/>
          <w:lang w:eastAsia="lv-LV"/>
        </w:rPr>
        <w:t>[</w:t>
      </w:r>
      <w:r w:rsidR="00BF5D69" w:rsidRPr="00592873">
        <w:rPr>
          <w:rFonts w:eastAsia="Times New Roman" w:cs="Times New Roman"/>
          <w:color w:val="000000"/>
          <w:szCs w:val="24"/>
          <w:lang w:eastAsia="lv-LV"/>
        </w:rPr>
        <w:t>adrese</w:t>
      </w:r>
      <w:r w:rsidR="00A60597" w:rsidRPr="00592873">
        <w:rPr>
          <w:rFonts w:eastAsia="Times New Roman" w:cs="Times New Roman"/>
          <w:color w:val="000000"/>
          <w:szCs w:val="24"/>
          <w:lang w:eastAsia="lv-LV"/>
        </w:rPr>
        <w:t>]</w:t>
      </w:r>
      <w:r w:rsidRPr="00592873">
        <w:rPr>
          <w:rFonts w:eastAsia="Times New Roman" w:cs="Times New Roman"/>
          <w:color w:val="000000"/>
          <w:szCs w:val="24"/>
          <w:lang w:eastAsia="lv-LV"/>
        </w:rPr>
        <w:t>, labprātīgā izsolē ar izsoles sākumcenu 35 600 EUR.</w:t>
      </w:r>
    </w:p>
    <w:p w:rsidR="00CE031A" w:rsidRPr="00592873" w:rsidRDefault="00CE031A" w:rsidP="00CE031A">
      <w:pPr>
        <w:spacing w:after="0" w:line="276" w:lineRule="auto"/>
        <w:ind w:firstLine="709"/>
        <w:jc w:val="both"/>
        <w:rPr>
          <w:rFonts w:eastAsia="Times New Roman" w:cs="Times New Roman"/>
          <w:color w:val="000000"/>
          <w:szCs w:val="24"/>
          <w:lang w:eastAsia="lv-LV"/>
        </w:rPr>
      </w:pPr>
      <w:r w:rsidRPr="00592873">
        <w:rPr>
          <w:rFonts w:eastAsia="Times New Roman" w:cs="Times New Roman"/>
          <w:color w:val="000000"/>
          <w:szCs w:val="24"/>
          <w:lang w:eastAsia="lv-LV"/>
        </w:rPr>
        <w:lastRenderedPageBreak/>
        <w:t> </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[2] Ar</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Rīgas pilsētas Zemgales priekšpilsētas tiesas tiesne</w:t>
      </w:r>
      <w:r w:rsidRPr="00592873">
        <w:rPr>
          <w:rFonts w:eastAsia="Times New Roman" w:cs="Times New Roman"/>
          <w:color w:val="000000"/>
          <w:szCs w:val="24"/>
          <w:lang w:eastAsia="lv-LV"/>
        </w:rPr>
        <w:t>ša</w:t>
      </w:r>
      <w:r w:rsidR="00A60597" w:rsidRPr="00592873">
        <w:rPr>
          <w:rFonts w:eastAsia="Times New Roman" w:cs="Times New Roman"/>
          <w:color w:val="000000"/>
          <w:szCs w:val="24"/>
          <w:lang w:eastAsia="lv-LV"/>
        </w:rPr>
        <w:t xml:space="preserve"> </w:t>
      </w:r>
      <w:proofErr w:type="gramStart"/>
      <w:r w:rsidRPr="00592873">
        <w:rPr>
          <w:rFonts w:eastAsia="Times New Roman" w:cs="Times New Roman"/>
          <w:color w:val="000000"/>
          <w:szCs w:val="24"/>
          <w:lang w:val="x-none" w:eastAsia="lv-LV"/>
        </w:rPr>
        <w:t>2015.gada</w:t>
      </w:r>
      <w:proofErr w:type="gramEnd"/>
      <w:r w:rsidRPr="00592873">
        <w:rPr>
          <w:rFonts w:eastAsia="Times New Roman" w:cs="Times New Roman"/>
          <w:color w:val="000000"/>
          <w:szCs w:val="24"/>
          <w:lang w:val="x-none" w:eastAsia="lv-LV"/>
        </w:rPr>
        <w:t xml:space="preserve"> 16.decembra lēmumu</w:t>
      </w:r>
      <w:r w:rsidRPr="00592873">
        <w:rPr>
          <w:rFonts w:eastAsia="Times New Roman" w:cs="Times New Roman"/>
          <w:color w:val="000000"/>
          <w:szCs w:val="24"/>
          <w:lang w:eastAsia="lv-LV"/>
        </w:rPr>
        <w:t> pieteikums noraidīts.</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Minētais lēmums kā nepārsūdzams stājies likumīgā spēkā</w:t>
      </w:r>
      <w:r w:rsidR="00A60597" w:rsidRPr="00592873">
        <w:rPr>
          <w:rFonts w:eastAsia="Times New Roman" w:cs="Times New Roman"/>
          <w:color w:val="000000"/>
          <w:szCs w:val="24"/>
          <w:lang w:eastAsia="lv-LV"/>
        </w:rPr>
        <w:t xml:space="preserve"> </w:t>
      </w:r>
      <w:proofErr w:type="gramStart"/>
      <w:r w:rsidRPr="00592873">
        <w:rPr>
          <w:rFonts w:eastAsia="Times New Roman" w:cs="Times New Roman"/>
          <w:color w:val="000000"/>
          <w:szCs w:val="24"/>
          <w:lang w:val="x-none" w:eastAsia="lv-LV"/>
        </w:rPr>
        <w:t>2015.gada</w:t>
      </w:r>
      <w:proofErr w:type="gramEnd"/>
      <w:r w:rsidRPr="00592873">
        <w:rPr>
          <w:rFonts w:eastAsia="Times New Roman" w:cs="Times New Roman"/>
          <w:color w:val="000000"/>
          <w:szCs w:val="24"/>
          <w:lang w:val="x-none" w:eastAsia="lv-LV"/>
        </w:rPr>
        <w:t xml:space="preserve"> 16.decembr</w:t>
      </w:r>
      <w:r w:rsidRPr="00592873">
        <w:rPr>
          <w:rFonts w:eastAsia="Times New Roman" w:cs="Times New Roman"/>
          <w:color w:val="000000"/>
          <w:szCs w:val="24"/>
          <w:lang w:eastAsia="lv-LV"/>
        </w:rPr>
        <w:t>ī.</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Lēmums pamatots ar šādiem motīviem.</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[2.1] </w:t>
      </w:r>
      <w:r w:rsidRPr="00592873">
        <w:rPr>
          <w:rFonts w:eastAsia="Times New Roman" w:cs="Times New Roman"/>
          <w:color w:val="000000"/>
          <w:szCs w:val="24"/>
          <w:lang w:val="x-none" w:eastAsia="lv-LV"/>
        </w:rPr>
        <w:t>No</w:t>
      </w:r>
      <w:r w:rsidR="00A60597" w:rsidRPr="00592873">
        <w:rPr>
          <w:rFonts w:eastAsia="Times New Roman" w:cs="Times New Roman"/>
          <w:color w:val="000000"/>
          <w:szCs w:val="24"/>
          <w:lang w:eastAsia="lv-LV"/>
        </w:rPr>
        <w:t xml:space="preserve"> </w:t>
      </w:r>
      <w:proofErr w:type="gramStart"/>
      <w:r w:rsidRPr="00592873">
        <w:rPr>
          <w:rFonts w:eastAsia="Times New Roman" w:cs="Times New Roman"/>
          <w:color w:val="000000"/>
          <w:szCs w:val="24"/>
          <w:lang w:eastAsia="lv-LV"/>
        </w:rPr>
        <w:t>2005.gada</w:t>
      </w:r>
      <w:proofErr w:type="gramEnd"/>
      <w:r w:rsidRPr="00592873">
        <w:rPr>
          <w:rFonts w:eastAsia="Times New Roman" w:cs="Times New Roman"/>
          <w:color w:val="000000"/>
          <w:szCs w:val="24"/>
          <w:lang w:eastAsia="lv-LV"/>
        </w:rPr>
        <w:t xml:space="preserve"> 30.novembra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aizdevuma līguma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Nr.</w:t>
      </w:r>
      <w:r w:rsidR="00A60597" w:rsidRPr="00592873">
        <w:rPr>
          <w:rFonts w:eastAsia="Times New Roman" w:cs="Times New Roman"/>
          <w:color w:val="000000"/>
          <w:szCs w:val="24"/>
          <w:lang w:eastAsia="lv-LV"/>
        </w:rPr>
        <w:t>[..]</w:t>
      </w:r>
      <w:r w:rsidRPr="00592873">
        <w:rPr>
          <w:rFonts w:eastAsia="Times New Roman" w:cs="Times New Roman"/>
          <w:color w:val="000000"/>
          <w:szCs w:val="24"/>
          <w:lang w:eastAsia="lv-LV"/>
        </w:rPr>
        <w:t>, ar kuru AS „</w:t>
      </w:r>
      <w:proofErr w:type="spellStart"/>
      <w:r w:rsidRPr="00592873">
        <w:rPr>
          <w:rFonts w:eastAsia="Times New Roman" w:cs="Times New Roman"/>
          <w:color w:val="000000"/>
          <w:szCs w:val="24"/>
          <w:lang w:eastAsia="lv-LV"/>
        </w:rPr>
        <w:t>Swedbank</w:t>
      </w:r>
      <w:proofErr w:type="spellEnd"/>
      <w:r w:rsidRPr="00592873">
        <w:rPr>
          <w:rFonts w:eastAsia="Times New Roman" w:cs="Times New Roman"/>
          <w:color w:val="000000"/>
          <w:szCs w:val="24"/>
          <w:lang w:eastAsia="lv-LV"/>
        </w:rPr>
        <w:t>” aizdeva</w:t>
      </w:r>
      <w:r w:rsidR="00A60597" w:rsidRPr="00592873">
        <w:rPr>
          <w:rFonts w:eastAsia="Times New Roman" w:cs="Times New Roman"/>
          <w:color w:val="000000"/>
          <w:szCs w:val="24"/>
          <w:lang w:eastAsia="lv-LV"/>
        </w:rPr>
        <w:t xml:space="preserve"> [pers. A] </w:t>
      </w:r>
      <w:r w:rsidRPr="00592873">
        <w:rPr>
          <w:rFonts w:eastAsia="Times New Roman" w:cs="Times New Roman"/>
          <w:color w:val="000000"/>
          <w:szCs w:val="24"/>
          <w:lang w:val="x-none" w:eastAsia="lv-LV"/>
        </w:rPr>
        <w:t>55</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531,49 EUR, un</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2005.gada 30.novembra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hipotēkas līguma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Nr.</w:t>
      </w:r>
      <w:r w:rsidR="00A60597" w:rsidRPr="00592873">
        <w:rPr>
          <w:rFonts w:eastAsia="Times New Roman" w:cs="Times New Roman"/>
          <w:color w:val="000000"/>
          <w:szCs w:val="24"/>
          <w:lang w:eastAsia="lv-LV"/>
        </w:rPr>
        <w:t>[..]</w:t>
      </w:r>
      <w:r w:rsidRPr="00592873">
        <w:rPr>
          <w:rFonts w:eastAsia="Times New Roman" w:cs="Times New Roman"/>
          <w:color w:val="000000"/>
          <w:szCs w:val="24"/>
          <w:lang w:eastAsia="lv-LV"/>
        </w:rPr>
        <w:t>,</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ar kuru parādniece</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ieķīlāja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viņai piederošo</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 xml:space="preserve">nekustamo īpašumu </w:t>
      </w:r>
      <w:r w:rsidR="00A60597" w:rsidRPr="00592873">
        <w:rPr>
          <w:rFonts w:eastAsia="Times New Roman" w:cs="Times New Roman"/>
          <w:color w:val="000000"/>
          <w:szCs w:val="24"/>
          <w:lang w:eastAsia="lv-LV"/>
        </w:rPr>
        <w:t>[</w:t>
      </w:r>
      <w:r w:rsidR="00BF5D69" w:rsidRPr="00592873">
        <w:rPr>
          <w:rFonts w:eastAsia="Times New Roman" w:cs="Times New Roman"/>
          <w:color w:val="000000"/>
          <w:szCs w:val="24"/>
          <w:lang w:eastAsia="lv-LV"/>
        </w:rPr>
        <w:t>adrese]</w:t>
      </w:r>
      <w:r w:rsidRPr="00592873">
        <w:rPr>
          <w:rFonts w:eastAsia="Times New Roman" w:cs="Times New Roman"/>
          <w:color w:val="000000"/>
          <w:szCs w:val="24"/>
          <w:lang w:eastAsia="lv-LV"/>
        </w:rPr>
        <w:t>,</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izriet, ka AS „</w:t>
      </w:r>
      <w:proofErr w:type="spellStart"/>
      <w:r w:rsidRPr="00592873">
        <w:rPr>
          <w:rFonts w:eastAsia="Times New Roman" w:cs="Times New Roman"/>
          <w:color w:val="000000"/>
          <w:szCs w:val="24"/>
          <w:lang w:eastAsia="lv-LV"/>
        </w:rPr>
        <w:t>Swedbank</w:t>
      </w:r>
      <w:proofErr w:type="spellEnd"/>
      <w:r w:rsidRPr="00592873">
        <w:rPr>
          <w:rFonts w:eastAsia="Times New Roman" w:cs="Times New Roman"/>
          <w:color w:val="000000"/>
          <w:szCs w:val="24"/>
          <w:lang w:eastAsia="lv-LV"/>
        </w:rPr>
        <w:t>” kā ķīlas ņēmējai</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ir</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pielīgta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tiesība prasīt</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minētā</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nekustamā īpašuma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pārdošanu izsolē tiesas ceļā par brīvu cenu.</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No pieteikumam </w:t>
      </w:r>
      <w:r w:rsidRPr="00592873">
        <w:rPr>
          <w:rFonts w:eastAsia="Times New Roman" w:cs="Times New Roman"/>
          <w:color w:val="000000"/>
          <w:szCs w:val="24"/>
          <w:lang w:eastAsia="lv-LV"/>
        </w:rPr>
        <w:t>pievienotajiem pierādījumiem redzams, ka ir </w:t>
      </w:r>
      <w:r w:rsidRPr="00592873">
        <w:rPr>
          <w:rFonts w:eastAsia="Times New Roman" w:cs="Times New Roman"/>
          <w:color w:val="000000"/>
          <w:szCs w:val="24"/>
          <w:lang w:val="x-none" w:eastAsia="lv-LV"/>
        </w:rPr>
        <w:t>iestājies saistību neizpildes gadījums.</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[2.2] Atbilstoši </w:t>
      </w:r>
      <w:r w:rsidRPr="00592873">
        <w:rPr>
          <w:rFonts w:eastAsia="Times New Roman" w:cs="Times New Roman"/>
          <w:color w:val="000000"/>
          <w:szCs w:val="24"/>
          <w:lang w:val="x-none" w:eastAsia="lv-LV"/>
        </w:rPr>
        <w:t xml:space="preserve">Civilprocesa likuma </w:t>
      </w:r>
      <w:proofErr w:type="gramStart"/>
      <w:r w:rsidRPr="00592873">
        <w:rPr>
          <w:rFonts w:eastAsia="Times New Roman" w:cs="Times New Roman"/>
          <w:color w:val="000000"/>
          <w:szCs w:val="24"/>
          <w:lang w:val="x-none" w:eastAsia="lv-LV"/>
        </w:rPr>
        <w:t>396.panta</w:t>
      </w:r>
      <w:proofErr w:type="gramEnd"/>
      <w:r w:rsidRPr="00592873">
        <w:rPr>
          <w:rFonts w:eastAsia="Times New Roman" w:cs="Times New Roman"/>
          <w:color w:val="000000"/>
          <w:szCs w:val="24"/>
          <w:lang w:val="x-none" w:eastAsia="lv-LV"/>
        </w:rPr>
        <w:t xml:space="preserve"> otr</w:t>
      </w:r>
      <w:r w:rsidRPr="00592873">
        <w:rPr>
          <w:rFonts w:eastAsia="Times New Roman" w:cs="Times New Roman"/>
          <w:color w:val="000000"/>
          <w:szCs w:val="24"/>
          <w:lang w:eastAsia="lv-LV"/>
        </w:rPr>
        <w:t>ajai</w:t>
      </w:r>
      <w:r w:rsidRPr="00592873">
        <w:rPr>
          <w:rFonts w:eastAsia="Times New Roman" w:cs="Times New Roman"/>
          <w:color w:val="000000"/>
          <w:szCs w:val="24"/>
          <w:lang w:val="x-none" w:eastAsia="lv-LV"/>
        </w:rPr>
        <w:t> daļa</w:t>
      </w:r>
      <w:r w:rsidRPr="00592873">
        <w:rPr>
          <w:rFonts w:eastAsia="Times New Roman" w:cs="Times New Roman"/>
          <w:color w:val="000000"/>
          <w:szCs w:val="24"/>
          <w:lang w:eastAsia="lv-LV"/>
        </w:rPr>
        <w:t>i, vērtējot to kopsakarā ar</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Satversmes tiesas 2010.gada 24.novembra spriedum</w:t>
      </w:r>
      <w:r w:rsidRPr="00592873">
        <w:rPr>
          <w:rFonts w:eastAsia="Times New Roman" w:cs="Times New Roman"/>
          <w:color w:val="000000"/>
          <w:szCs w:val="24"/>
          <w:lang w:eastAsia="lv-LV"/>
        </w:rPr>
        <w:t>ā</w:t>
      </w:r>
      <w:r w:rsidRPr="00592873">
        <w:rPr>
          <w:rFonts w:eastAsia="Times New Roman" w:cs="Times New Roman"/>
          <w:color w:val="000000"/>
          <w:szCs w:val="24"/>
          <w:lang w:val="x-none" w:eastAsia="lv-LV"/>
        </w:rPr>
        <w:t> lietā Nr.2010-08-01</w:t>
      </w:r>
      <w:r w:rsidRPr="00592873">
        <w:rPr>
          <w:rFonts w:eastAsia="Times New Roman" w:cs="Times New Roman"/>
          <w:color w:val="000000"/>
          <w:szCs w:val="24"/>
          <w:lang w:eastAsia="lv-LV"/>
        </w:rPr>
        <w:t> ietverto atziņu, ka </w:t>
      </w:r>
      <w:r w:rsidRPr="00592873">
        <w:rPr>
          <w:rFonts w:eastAsia="Times New Roman" w:cs="Times New Roman"/>
          <w:color w:val="000000"/>
          <w:szCs w:val="24"/>
          <w:lang w:val="x-none" w:eastAsia="lv-LV"/>
        </w:rPr>
        <w:t>brīdinājuma saņemšana ir uzskatāma par būtisku parādnieka tiesību aizsardzības garantiju</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parādniecei jābūt brīdinātai par pieteikuma iesniegšanu tiesā,</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kas nozīmē, ka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parādniecei brīdinājums ir jāsaņem.</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[2.3] AS „</w:t>
      </w:r>
      <w:proofErr w:type="spellStart"/>
      <w:r w:rsidRPr="00592873">
        <w:rPr>
          <w:rFonts w:eastAsia="Times New Roman" w:cs="Times New Roman"/>
          <w:color w:val="000000"/>
          <w:szCs w:val="24"/>
          <w:lang w:eastAsia="lv-LV"/>
        </w:rPr>
        <w:t>Swedbank</w:t>
      </w:r>
      <w:proofErr w:type="spellEnd"/>
      <w:r w:rsidRPr="00592873">
        <w:rPr>
          <w:rFonts w:eastAsia="Times New Roman" w:cs="Times New Roman"/>
          <w:color w:val="000000"/>
          <w:szCs w:val="24"/>
          <w:lang w:eastAsia="lv-LV"/>
        </w:rPr>
        <w:t>” pieteikumam pievienojusi </w:t>
      </w:r>
      <w:r w:rsidRPr="00592873">
        <w:rPr>
          <w:rFonts w:eastAsia="Times New Roman" w:cs="Times New Roman"/>
          <w:color w:val="000000"/>
          <w:szCs w:val="24"/>
          <w:lang w:val="x-none" w:eastAsia="lv-LV"/>
        </w:rPr>
        <w:t xml:space="preserve">izrakstu no zvērinātas notāres Loretas Balodes </w:t>
      </w:r>
      <w:proofErr w:type="gramStart"/>
      <w:r w:rsidRPr="00592873">
        <w:rPr>
          <w:rFonts w:eastAsia="Times New Roman" w:cs="Times New Roman"/>
          <w:color w:val="000000"/>
          <w:szCs w:val="24"/>
          <w:lang w:val="x-none" w:eastAsia="lv-LV"/>
        </w:rPr>
        <w:t>2015.gada</w:t>
      </w:r>
      <w:proofErr w:type="gramEnd"/>
      <w:r w:rsidRPr="00592873">
        <w:rPr>
          <w:rFonts w:eastAsia="Times New Roman" w:cs="Times New Roman"/>
          <w:color w:val="000000"/>
          <w:szCs w:val="24"/>
          <w:lang w:val="x-none" w:eastAsia="lv-LV"/>
        </w:rPr>
        <w:t xml:space="preserve"> notariālo aktu grāmatas</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jeb 2015.gada 5.augusta</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apliecību par paziņojuma nodošanu</w:t>
      </w:r>
      <w:r w:rsidRPr="00592873">
        <w:rPr>
          <w:rFonts w:eastAsia="Times New Roman" w:cs="Times New Roman"/>
          <w:color w:val="000000"/>
          <w:szCs w:val="24"/>
          <w:lang w:eastAsia="lv-LV"/>
        </w:rPr>
        <w:t>, kurā</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 xml:space="preserve">notāre apliecina, ka 2015.gada 3.jūnijā </w:t>
      </w:r>
      <w:r w:rsidR="00A60597" w:rsidRPr="00592873">
        <w:rPr>
          <w:rFonts w:eastAsia="Times New Roman" w:cs="Times New Roman"/>
          <w:color w:val="000000"/>
          <w:szCs w:val="24"/>
          <w:lang w:eastAsia="lv-LV"/>
        </w:rPr>
        <w:t xml:space="preserve">[pers. A] </w:t>
      </w:r>
      <w:r w:rsidRPr="00592873">
        <w:rPr>
          <w:rFonts w:eastAsia="Times New Roman" w:cs="Times New Roman"/>
          <w:color w:val="000000"/>
          <w:szCs w:val="24"/>
          <w:lang w:val="x-none" w:eastAsia="lv-LV"/>
        </w:rPr>
        <w:t xml:space="preserve">nosūtīts paziņojums uz adresi </w:t>
      </w:r>
      <w:r w:rsidR="00A60597" w:rsidRPr="00592873">
        <w:rPr>
          <w:rFonts w:eastAsia="Times New Roman" w:cs="Times New Roman"/>
          <w:color w:val="000000"/>
          <w:szCs w:val="24"/>
          <w:lang w:eastAsia="lv-LV"/>
        </w:rPr>
        <w:t>[</w:t>
      </w:r>
      <w:r w:rsidR="00BF5D69" w:rsidRPr="00592873">
        <w:rPr>
          <w:rFonts w:eastAsia="Times New Roman" w:cs="Times New Roman"/>
          <w:color w:val="000000"/>
          <w:szCs w:val="24"/>
          <w:lang w:eastAsia="lv-LV"/>
        </w:rPr>
        <w:t>adrese]</w:t>
      </w:r>
      <w:r w:rsidRPr="00592873">
        <w:rPr>
          <w:rFonts w:eastAsia="Times New Roman" w:cs="Times New Roman"/>
          <w:color w:val="000000"/>
          <w:szCs w:val="24"/>
          <w:lang w:val="x-none" w:eastAsia="lv-LV"/>
        </w:rPr>
        <w:t>,</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bet</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2015.gada 7.jūlijā</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minētais paziņojums</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saņemts</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kā</w:t>
      </w:r>
      <w:r w:rsidR="00A60597" w:rsidRPr="00592873">
        <w:rPr>
          <w:rFonts w:eastAsia="Times New Roman" w:cs="Times New Roman"/>
          <w:color w:val="000000"/>
          <w:szCs w:val="24"/>
          <w:lang w:eastAsia="lv-LV"/>
        </w:rPr>
        <w:t xml:space="preserve"> </w:t>
      </w:r>
      <w:proofErr w:type="spellStart"/>
      <w:r w:rsidRPr="00592873">
        <w:rPr>
          <w:rFonts w:eastAsia="Times New Roman" w:cs="Times New Roman"/>
          <w:color w:val="000000"/>
          <w:szCs w:val="24"/>
          <w:lang w:val="x-none" w:eastAsia="lv-LV"/>
        </w:rPr>
        <w:t>atpakaļsūtīts</w:t>
      </w:r>
      <w:proofErr w:type="spellEnd"/>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ar</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norādi: „Adresāts nebija mājās. Atstāts uzaicinājums. Beidzies glabāšanas laiks”.</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Savuk</w:t>
      </w:r>
      <w:r w:rsidRPr="00592873">
        <w:rPr>
          <w:rFonts w:eastAsia="Times New Roman" w:cs="Times New Roman"/>
          <w:color w:val="000000"/>
          <w:szCs w:val="24"/>
          <w:lang w:eastAsia="lv-LV"/>
        </w:rPr>
        <w:t>ārt</w:t>
      </w:r>
      <w:r w:rsidR="00A60597" w:rsidRPr="00592873">
        <w:rPr>
          <w:rFonts w:eastAsia="Times New Roman" w:cs="Times New Roman"/>
          <w:color w:val="000000"/>
          <w:szCs w:val="24"/>
          <w:lang w:eastAsia="lv-LV"/>
        </w:rPr>
        <w:t xml:space="preserve"> [datums]</w:t>
      </w:r>
      <w:r w:rsidRPr="00592873">
        <w:rPr>
          <w:rFonts w:eastAsia="Times New Roman" w:cs="Times New Roman"/>
          <w:color w:val="000000"/>
          <w:szCs w:val="24"/>
          <w:lang w:val="x-none" w:eastAsia="lv-LV"/>
        </w:rPr>
        <w:t xml:space="preserve"> Latvijas Republikas oficiālā izdevuma „Latvijas Vēstnesis” laidienā Nr.141 publicēts paziņojums par no aizdevuma līguma izrietoš</w:t>
      </w:r>
      <w:r w:rsidRPr="00592873">
        <w:rPr>
          <w:rFonts w:eastAsia="Times New Roman" w:cs="Times New Roman"/>
          <w:color w:val="000000"/>
          <w:szCs w:val="24"/>
          <w:lang w:eastAsia="lv-LV"/>
        </w:rPr>
        <w:t>ā</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parāda piedziņu</w:t>
      </w:r>
      <w:r w:rsidR="00A60597"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no</w:t>
      </w:r>
      <w:r w:rsidR="00A60597" w:rsidRPr="00592873">
        <w:rPr>
          <w:rFonts w:eastAsia="Times New Roman" w:cs="Times New Roman"/>
          <w:color w:val="000000"/>
          <w:szCs w:val="24"/>
          <w:lang w:eastAsia="lv-LV"/>
        </w:rPr>
        <w:t xml:space="preserve"> [pers. A]</w:t>
      </w:r>
      <w:r w:rsidRPr="00592873">
        <w:rPr>
          <w:rFonts w:eastAsia="Times New Roman" w:cs="Times New Roman"/>
          <w:color w:val="000000"/>
          <w:szCs w:val="24"/>
          <w:lang w:val="x-none" w:eastAsia="lv-LV"/>
        </w:rPr>
        <w:t>, vienlaikus norādot, ka saskaņā ar Notariāta likuma</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138.</w:t>
      </w:r>
      <w:proofErr w:type="gramStart"/>
      <w:r w:rsidRPr="00592873">
        <w:rPr>
          <w:rFonts w:eastAsia="Times New Roman" w:cs="Times New Roman"/>
          <w:color w:val="000000"/>
          <w:szCs w:val="24"/>
          <w:lang w:val="x-none" w:eastAsia="lv-LV"/>
        </w:rPr>
        <w:t>¹pantu</w:t>
      </w:r>
      <w:proofErr w:type="gramEnd"/>
      <w:r w:rsidRPr="00592873">
        <w:rPr>
          <w:rFonts w:eastAsia="Times New Roman" w:cs="Times New Roman"/>
          <w:color w:val="000000"/>
          <w:szCs w:val="24"/>
          <w:lang w:val="x-none" w:eastAsia="lv-LV"/>
        </w:rPr>
        <w:t xml:space="preserve"> paziņojums uzskatāms par nodotu nākamajā darba dienā pēc tā publikācijas oficiālajā izdevumā „Latvijas Vēstnesis”. T</w:t>
      </w:r>
      <w:r w:rsidRPr="00592873">
        <w:rPr>
          <w:rFonts w:eastAsia="Times New Roman" w:cs="Times New Roman"/>
          <w:color w:val="000000"/>
          <w:szCs w:val="24"/>
          <w:lang w:eastAsia="lv-LV"/>
        </w:rPr>
        <w:t xml:space="preserve">ādējādi uzskatāms, ka minētais paziņojums nodots </w:t>
      </w:r>
      <w:r w:rsidR="002F0E8A" w:rsidRPr="00592873">
        <w:rPr>
          <w:rFonts w:eastAsia="Times New Roman" w:cs="Times New Roman"/>
          <w:color w:val="000000"/>
          <w:szCs w:val="24"/>
          <w:lang w:eastAsia="lv-LV"/>
        </w:rPr>
        <w:t xml:space="preserve">[pers. A] </w:t>
      </w:r>
      <w:proofErr w:type="gramStart"/>
      <w:r w:rsidRPr="00592873">
        <w:rPr>
          <w:rFonts w:eastAsia="Times New Roman" w:cs="Times New Roman"/>
          <w:color w:val="000000"/>
          <w:szCs w:val="24"/>
          <w:lang w:val="x-none" w:eastAsia="lv-LV"/>
        </w:rPr>
        <w:t>2015.gada</w:t>
      </w:r>
      <w:proofErr w:type="gramEnd"/>
      <w:r w:rsidRPr="00592873">
        <w:rPr>
          <w:rFonts w:eastAsia="Times New Roman" w:cs="Times New Roman"/>
          <w:color w:val="000000"/>
          <w:szCs w:val="24"/>
          <w:lang w:val="x-none" w:eastAsia="lv-LV"/>
        </w:rPr>
        <w:t xml:space="preserve"> 23.jūlij</w:t>
      </w:r>
      <w:r w:rsidRPr="00592873">
        <w:rPr>
          <w:rFonts w:eastAsia="Times New Roman" w:cs="Times New Roman"/>
          <w:color w:val="000000"/>
          <w:szCs w:val="24"/>
          <w:lang w:eastAsia="lv-LV"/>
        </w:rPr>
        <w:t>ā</w:t>
      </w:r>
      <w:r w:rsidRPr="00592873">
        <w:rPr>
          <w:rFonts w:eastAsia="Times New Roman" w:cs="Times New Roman"/>
          <w:color w:val="000000"/>
          <w:szCs w:val="24"/>
          <w:lang w:val="x-none" w:eastAsia="lv-LV"/>
        </w:rPr>
        <w:t>.</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[2.4] Atbilstoši </w:t>
      </w:r>
      <w:r w:rsidRPr="00592873">
        <w:rPr>
          <w:rFonts w:eastAsia="Times New Roman" w:cs="Times New Roman"/>
          <w:color w:val="000000"/>
          <w:szCs w:val="24"/>
          <w:lang w:val="x-none" w:eastAsia="lv-LV"/>
        </w:rPr>
        <w:t xml:space="preserve">Civilprocesa likuma </w:t>
      </w:r>
      <w:proofErr w:type="gramStart"/>
      <w:r w:rsidRPr="00592873">
        <w:rPr>
          <w:rFonts w:eastAsia="Times New Roman" w:cs="Times New Roman"/>
          <w:color w:val="000000"/>
          <w:szCs w:val="24"/>
          <w:lang w:val="x-none" w:eastAsia="lv-LV"/>
        </w:rPr>
        <w:t>396.panta</w:t>
      </w:r>
      <w:proofErr w:type="gramEnd"/>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otrajai</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daļ</w:t>
      </w:r>
      <w:r w:rsidRPr="00592873">
        <w:rPr>
          <w:rFonts w:eastAsia="Times New Roman" w:cs="Times New Roman"/>
          <w:color w:val="000000"/>
          <w:szCs w:val="24"/>
          <w:lang w:eastAsia="lv-LV"/>
        </w:rPr>
        <w:t>ai</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tiesnesim jākonstatē</w:t>
      </w:r>
      <w:r w:rsidRPr="00592873">
        <w:rPr>
          <w:rFonts w:eastAsia="Times New Roman" w:cs="Times New Roman"/>
          <w:color w:val="000000"/>
          <w:szCs w:val="24"/>
          <w:lang w:eastAsia="lv-LV"/>
        </w:rPr>
        <w:t>, ka brīdinājums parādniekam ir personīgi izsniegts,</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nevis</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nosūtīts.</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„Ievērojot likumdevēja mērķi </w:t>
      </w:r>
      <w:r w:rsidR="002F0E8A" w:rsidRPr="00592873">
        <w:rPr>
          <w:rFonts w:eastAsia="Times New Roman" w:cs="Times New Roman"/>
          <w:color w:val="000000"/>
          <w:szCs w:val="24"/>
          <w:lang w:eastAsia="lv-LV"/>
        </w:rPr>
        <w:noBreakHyphen/>
      </w:r>
      <w:r w:rsidRPr="00592873">
        <w:rPr>
          <w:rFonts w:eastAsia="Times New Roman" w:cs="Times New Roman"/>
          <w:color w:val="000000"/>
          <w:szCs w:val="24"/>
          <w:lang w:eastAsia="lv-LV"/>
        </w:rPr>
        <w:t xml:space="preserve"> personīgi brīdināt personu (parādnieku), pret kuru pieteikums tiek iesniegts, </w:t>
      </w:r>
      <w:r w:rsidRPr="00592873">
        <w:rPr>
          <w:rFonts w:eastAsia="Times New Roman" w:cs="Times New Roman"/>
          <w:color w:val="000000"/>
          <w:szCs w:val="24"/>
          <w:lang w:val="x-none" w:eastAsia="lv-LV"/>
        </w:rPr>
        <w:t>pieteikuma iesniedzēja</w:t>
      </w:r>
      <w:r w:rsidRPr="00592873">
        <w:rPr>
          <w:rFonts w:eastAsia="Times New Roman" w:cs="Times New Roman"/>
          <w:color w:val="000000"/>
          <w:szCs w:val="24"/>
          <w:lang w:eastAsia="lv-LV"/>
        </w:rPr>
        <w:t>s</w:t>
      </w:r>
      <w:r w:rsidRPr="00592873">
        <w:rPr>
          <w:rFonts w:eastAsia="Times New Roman" w:cs="Times New Roman"/>
          <w:color w:val="000000"/>
          <w:szCs w:val="24"/>
          <w:lang w:val="x-none" w:eastAsia="lv-LV"/>
        </w:rPr>
        <w:t> norādītajās tiesību normās ietverto paziņošanas faktu un atsaukšanos uz Notariāta likumu nevar „pārnest” uz konkrēto tiesisko situāciju un atzīt par pietiekamu paziņojuma nosūtīšanas un informēšanas faktu.</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Š</w:t>
      </w:r>
      <w:r w:rsidRPr="00592873">
        <w:rPr>
          <w:rFonts w:eastAsia="Times New Roman" w:cs="Times New Roman"/>
          <w:color w:val="000000"/>
          <w:szCs w:val="24"/>
          <w:lang w:val="x-none" w:eastAsia="lv-LV"/>
        </w:rPr>
        <w:t>āda paziņošanas prezumpcija varētu būtiski ietekmēt parādnieces tiesības </w:t>
      </w:r>
      <w:r w:rsidRPr="00592873">
        <w:rPr>
          <w:rFonts w:eastAsia="Times New Roman" w:cs="Times New Roman"/>
          <w:color w:val="000000"/>
          <w:szCs w:val="24"/>
          <w:lang w:eastAsia="lv-LV"/>
        </w:rPr>
        <w:t>u</w:t>
      </w:r>
      <w:r w:rsidRPr="00592873">
        <w:rPr>
          <w:rFonts w:eastAsia="Times New Roman" w:cs="Times New Roman"/>
          <w:color w:val="000000"/>
          <w:szCs w:val="24"/>
          <w:lang w:val="x-none" w:eastAsia="lv-LV"/>
        </w:rPr>
        <w:t>z taisnīgu tiesu kā vērtību</w:t>
      </w:r>
      <w:r w:rsidRPr="00592873">
        <w:rPr>
          <w:rFonts w:eastAsia="Times New Roman" w:cs="Times New Roman"/>
          <w:color w:val="000000"/>
          <w:szCs w:val="24"/>
          <w:lang w:eastAsia="lv-LV"/>
        </w:rPr>
        <w:t>,</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 xml:space="preserve">un jebkāds pieņēmums nevar „locīt” likumā noteikto kārtību, lai konkrēto situāciju pietuvinātu kreditora interesei. Civilprocesa likuma noteikumu paplašināta interpretācija var nepamatoti aizskart parādnieces procesuālās tiesības, līdz ar to nav pieļaujams iziet ārpus gramatiskās tulkošanas metodes un tās kontekstā vērtējami tikai un vienīgi pierādījumi par brīdinājuma izsniegšanu parādniekam personīgi. Turklāt nav pamats uzskatīt, ka likumā noteikto prasību precīza izpilde varētu tikt tulkota kā kreditora – ķīlas ņēmēja </w:t>
      </w:r>
      <w:r w:rsidR="002F0E8A" w:rsidRPr="00592873">
        <w:rPr>
          <w:rFonts w:eastAsia="Times New Roman" w:cs="Times New Roman"/>
          <w:color w:val="000000"/>
          <w:szCs w:val="24"/>
          <w:lang w:val="x-none" w:eastAsia="lv-LV"/>
        </w:rPr>
        <w:noBreakHyphen/>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interešu neievērošana. Kreditoram ir iespēja izvēlēties visdažādākos līdzekļus, kā aizpildīt likuma prasības par parādnieka – ķīlas devēja brīdināšanu [..]</w:t>
      </w:r>
      <w:r w:rsidR="002F0E8A" w:rsidRPr="00592873">
        <w:rPr>
          <w:rFonts w:eastAsia="Times New Roman" w:cs="Times New Roman"/>
          <w:color w:val="000000"/>
          <w:szCs w:val="24"/>
          <w:lang w:eastAsia="lv-LV"/>
        </w:rPr>
        <w:t>.</w:t>
      </w:r>
      <w:r w:rsidRPr="00592873">
        <w:rPr>
          <w:rFonts w:eastAsia="Times New Roman" w:cs="Times New Roman"/>
          <w:color w:val="000000"/>
          <w:szCs w:val="24"/>
          <w:lang w:eastAsia="lv-LV"/>
        </w:rPr>
        <w:t>”</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(Iepriekš minētā rindkopa tiesneša lēmumā norādīta kā atsauce </w:t>
      </w:r>
      <w:r w:rsidR="002F0E8A" w:rsidRPr="00592873">
        <w:rPr>
          <w:rFonts w:eastAsia="Times New Roman" w:cs="Times New Roman"/>
          <w:color w:val="000000"/>
          <w:szCs w:val="24"/>
          <w:lang w:eastAsia="lv-LV"/>
        </w:rPr>
        <w:noBreakHyphen/>
        <w:t xml:space="preserve"> </w:t>
      </w:r>
      <w:r w:rsidRPr="00592873">
        <w:rPr>
          <w:rFonts w:eastAsia="Times New Roman" w:cs="Times New Roman"/>
          <w:color w:val="000000"/>
          <w:szCs w:val="24"/>
          <w:lang w:eastAsia="lv-LV"/>
        </w:rPr>
        <w:t>uz</w:t>
      </w:r>
      <w:r w:rsidR="002F0E8A" w:rsidRPr="00592873">
        <w:rPr>
          <w:rFonts w:eastAsia="Times New Roman" w:cs="Times New Roman"/>
          <w:color w:val="000000"/>
          <w:szCs w:val="24"/>
          <w:lang w:eastAsia="lv-LV"/>
        </w:rPr>
        <w:t xml:space="preserve"> </w:t>
      </w:r>
      <w:proofErr w:type="gramStart"/>
      <w:r w:rsidRPr="00592873">
        <w:rPr>
          <w:rFonts w:eastAsia="Times New Roman" w:cs="Times New Roman"/>
          <w:color w:val="000000"/>
          <w:szCs w:val="24"/>
          <w:lang w:val="x-none" w:eastAsia="lv-LV"/>
        </w:rPr>
        <w:t>2012</w:t>
      </w:r>
      <w:r w:rsidRPr="00592873">
        <w:rPr>
          <w:rFonts w:eastAsia="Times New Roman" w:cs="Times New Roman"/>
          <w:color w:val="000000"/>
          <w:szCs w:val="24"/>
          <w:lang w:eastAsia="lv-LV"/>
        </w:rPr>
        <w:t>.gadā</w:t>
      </w:r>
      <w:proofErr w:type="gramEnd"/>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Rīg</w:t>
      </w:r>
      <w:r w:rsidRPr="00592873">
        <w:rPr>
          <w:rFonts w:eastAsia="Times New Roman" w:cs="Times New Roman"/>
          <w:color w:val="000000"/>
          <w:szCs w:val="24"/>
          <w:lang w:eastAsia="lv-LV"/>
        </w:rPr>
        <w:t>ā,</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Tiesu namu aģentūr</w:t>
      </w:r>
      <w:r w:rsidRPr="00592873">
        <w:rPr>
          <w:rFonts w:eastAsia="Times New Roman" w:cs="Times New Roman"/>
          <w:color w:val="000000"/>
          <w:szCs w:val="24"/>
          <w:lang w:eastAsia="lv-LV"/>
        </w:rPr>
        <w:t>ā</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izdoto Civilprocesa likuma komentāru II da</w:t>
      </w:r>
      <w:r w:rsidRPr="00592873">
        <w:rPr>
          <w:rFonts w:eastAsia="Times New Roman" w:cs="Times New Roman"/>
          <w:color w:val="000000"/>
          <w:szCs w:val="24"/>
          <w:lang w:eastAsia="lv-LV"/>
        </w:rPr>
        <w:t>ļas (29.</w:t>
      </w:r>
      <w:r w:rsidR="002F0E8A" w:rsidRPr="00592873">
        <w:rPr>
          <w:rFonts w:eastAsia="Times New Roman" w:cs="Times New Roman"/>
          <w:color w:val="000000"/>
          <w:szCs w:val="24"/>
          <w:lang w:eastAsia="lv-LV"/>
        </w:rPr>
        <w:noBreakHyphen/>
      </w:r>
      <w:r w:rsidRPr="00592873">
        <w:rPr>
          <w:rFonts w:eastAsia="Times New Roman" w:cs="Times New Roman"/>
          <w:color w:val="000000"/>
          <w:szCs w:val="24"/>
          <w:lang w:eastAsia="lv-LV"/>
        </w:rPr>
        <w:t>60.</w:t>
      </w:r>
      <w:r w:rsidRPr="00592873">
        <w:rPr>
          <w:rFonts w:eastAsia="Times New Roman" w:cs="Times New Roman"/>
          <w:color w:val="000000"/>
          <w:szCs w:val="24"/>
          <w:vertAlign w:val="superscript"/>
          <w:lang w:eastAsia="lv-LV"/>
        </w:rPr>
        <w:t>1</w:t>
      </w:r>
      <w:r w:rsidRPr="00592873">
        <w:rPr>
          <w:rFonts w:eastAsia="Times New Roman" w:cs="Times New Roman"/>
          <w:color w:val="000000"/>
          <w:szCs w:val="24"/>
          <w:lang w:eastAsia="lv-LV"/>
        </w:rPr>
        <w:t>nodaļa), ko </w:t>
      </w:r>
      <w:r w:rsidRPr="00592873">
        <w:rPr>
          <w:rFonts w:eastAsia="Times New Roman" w:cs="Times New Roman"/>
          <w:color w:val="000000"/>
          <w:szCs w:val="24"/>
          <w:lang w:val="x-none" w:eastAsia="lv-LV"/>
        </w:rPr>
        <w:t>sagatavojis autoru kolektīvs</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profesora</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K.Torgāna zinātniskajā redakcijā, 641.lappusi).</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lastRenderedPageBreak/>
        <w:t>[2.5] </w:t>
      </w:r>
      <w:r w:rsidRPr="00592873">
        <w:rPr>
          <w:rFonts w:eastAsia="Times New Roman" w:cs="Times New Roman"/>
          <w:color w:val="000000"/>
          <w:szCs w:val="24"/>
          <w:lang w:val="x-none" w:eastAsia="lv-LV"/>
        </w:rPr>
        <w:t>Parādnieka brīdināšana par</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nekustamā īpašuma</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labprātīgu pārdošanu izsolē ir nozīmīga</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konkrētās personas</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tiesību aizsardzības garantija, jo pieteikums tiek izskatīts bez saistības dalībnieku klātbūtnes.</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Pieteikumu iespējams apmierināt tikai gadījumā, ja tiesnesim nav šaubu par pieteikuma atbilstību tiesību normu prasībām.</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Civilprocesa likuma 396.panta otrās daļas izpratnē nav pietiekami konstatēt</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faktu</w:t>
      </w:r>
      <w:r w:rsidRPr="00592873">
        <w:rPr>
          <w:rFonts w:eastAsia="Times New Roman" w:cs="Times New Roman"/>
          <w:color w:val="000000"/>
          <w:szCs w:val="24"/>
          <w:lang w:val="x-none" w:eastAsia="lv-LV"/>
        </w:rPr>
        <w:t>, ka brīdinājums parādniekam</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ir</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nosūtīts vai</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tas</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publicēts oficiālajā izdevumā „Latvijas Vēstnesis”, bet ir jākonstatē, ka brīdinājums parādniekam ir izsniegts.</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AS „</w:t>
      </w:r>
      <w:proofErr w:type="spellStart"/>
      <w:r w:rsidRPr="00592873">
        <w:rPr>
          <w:rFonts w:eastAsia="Times New Roman" w:cs="Times New Roman"/>
          <w:color w:val="000000"/>
          <w:szCs w:val="24"/>
          <w:lang w:val="x-none" w:eastAsia="lv-LV"/>
        </w:rPr>
        <w:t>Swedbank</w:t>
      </w:r>
      <w:proofErr w:type="spellEnd"/>
      <w:r w:rsidRPr="00592873">
        <w:rPr>
          <w:rFonts w:eastAsia="Times New Roman" w:cs="Times New Roman"/>
          <w:color w:val="000000"/>
          <w:szCs w:val="24"/>
          <w:lang w:val="x-none" w:eastAsia="lv-LV"/>
        </w:rPr>
        <w:t>” pieteikumam nav pievienoti pierādījumi, no kuriem būtu secināms, ka parādniece ir izlasījusi pieteicējas publicēto paziņojumu oficiālajā izdevumā „Latvijas Vēstnesis” un pēc </w:t>
      </w:r>
      <w:r w:rsidRPr="00592873">
        <w:rPr>
          <w:rFonts w:eastAsia="Times New Roman" w:cs="Times New Roman"/>
          <w:color w:val="000000"/>
          <w:szCs w:val="24"/>
          <w:lang w:eastAsia="lv-LV"/>
        </w:rPr>
        <w:t>paziņojuma </w:t>
      </w:r>
      <w:r w:rsidRPr="00592873">
        <w:rPr>
          <w:rFonts w:eastAsia="Times New Roman" w:cs="Times New Roman"/>
          <w:color w:val="000000"/>
          <w:szCs w:val="24"/>
          <w:lang w:val="x-none" w:eastAsia="lv-LV"/>
        </w:rPr>
        <w:t>publicēšanas būtu izrādījusi aktivitāti savu tiesību </w:t>
      </w:r>
      <w:r w:rsidRPr="00592873">
        <w:rPr>
          <w:rFonts w:eastAsia="Times New Roman" w:cs="Times New Roman"/>
          <w:color w:val="000000"/>
          <w:szCs w:val="24"/>
          <w:lang w:eastAsia="lv-LV"/>
        </w:rPr>
        <w:t>īstenošanā</w:t>
      </w:r>
      <w:r w:rsidRPr="00592873">
        <w:rPr>
          <w:rFonts w:eastAsia="Times New Roman" w:cs="Times New Roman"/>
          <w:color w:val="000000"/>
          <w:szCs w:val="24"/>
          <w:lang w:val="x-none" w:eastAsia="lv-LV"/>
        </w:rPr>
        <w:t>, kas liecinātu, ka</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ir informēta par pieteicēja</w:t>
      </w:r>
      <w:r w:rsidRPr="00592873">
        <w:rPr>
          <w:rFonts w:eastAsia="Times New Roman" w:cs="Times New Roman"/>
          <w:color w:val="000000"/>
          <w:szCs w:val="24"/>
          <w:lang w:eastAsia="lv-LV"/>
        </w:rPr>
        <w:t>s</w:t>
      </w:r>
      <w:r w:rsidRPr="00592873">
        <w:rPr>
          <w:rFonts w:eastAsia="Times New Roman" w:cs="Times New Roman"/>
          <w:color w:val="000000"/>
          <w:szCs w:val="24"/>
          <w:lang w:val="x-none" w:eastAsia="lv-LV"/>
        </w:rPr>
        <w:t> nodomu pārdot ķīlu. </w:t>
      </w:r>
      <w:r w:rsidRPr="00592873">
        <w:rPr>
          <w:rFonts w:eastAsia="Times New Roman" w:cs="Times New Roman"/>
          <w:color w:val="000000"/>
          <w:szCs w:val="24"/>
          <w:lang w:eastAsia="lv-LV"/>
        </w:rPr>
        <w:t>Līdz ar to tiesnesis </w:t>
      </w:r>
      <w:r w:rsidRPr="00592873">
        <w:rPr>
          <w:rFonts w:eastAsia="Times New Roman" w:cs="Times New Roman"/>
          <w:color w:val="000000"/>
          <w:szCs w:val="24"/>
          <w:lang w:val="x-none" w:eastAsia="lv-LV"/>
        </w:rPr>
        <w:t>nevar pārliecināties, vai</w:t>
      </w:r>
      <w:r w:rsidR="002F0E8A" w:rsidRPr="00592873">
        <w:rPr>
          <w:rFonts w:eastAsia="Times New Roman" w:cs="Times New Roman"/>
          <w:color w:val="000000"/>
          <w:szCs w:val="24"/>
          <w:lang w:eastAsia="lv-LV"/>
        </w:rPr>
        <w:t xml:space="preserve"> [pers. A] </w:t>
      </w:r>
      <w:r w:rsidRPr="00592873">
        <w:rPr>
          <w:rFonts w:eastAsia="Times New Roman" w:cs="Times New Roman"/>
          <w:color w:val="000000"/>
          <w:szCs w:val="24"/>
          <w:lang w:val="x-none" w:eastAsia="lv-LV"/>
        </w:rPr>
        <w:t>ir brīdināta pirms pieteikuma iesniegšanas tiesā,</w:t>
      </w:r>
      <w:r w:rsidRPr="00592873">
        <w:rPr>
          <w:rFonts w:eastAsia="Times New Roman" w:cs="Times New Roman"/>
          <w:color w:val="000000"/>
          <w:szCs w:val="24"/>
          <w:lang w:eastAsia="lv-LV"/>
        </w:rPr>
        <w:t> kas</w:t>
      </w:r>
      <w:r w:rsidRPr="00592873">
        <w:rPr>
          <w:rFonts w:eastAsia="Times New Roman" w:cs="Times New Roman"/>
          <w:color w:val="000000"/>
          <w:szCs w:val="24"/>
          <w:lang w:val="x-none" w:eastAsia="lv-LV"/>
        </w:rPr>
        <w:t xml:space="preserve"> ir pietiekams pamats pieteikuma noraidīšanai, jo nav ievērotas Civilprocesa likuma </w:t>
      </w:r>
      <w:proofErr w:type="gramStart"/>
      <w:r w:rsidRPr="00592873">
        <w:rPr>
          <w:rFonts w:eastAsia="Times New Roman" w:cs="Times New Roman"/>
          <w:color w:val="000000"/>
          <w:szCs w:val="24"/>
          <w:lang w:val="x-none" w:eastAsia="lv-LV"/>
        </w:rPr>
        <w:t>396.panta</w:t>
      </w:r>
      <w:proofErr w:type="gramEnd"/>
      <w:r w:rsidRPr="00592873">
        <w:rPr>
          <w:rFonts w:eastAsia="Times New Roman" w:cs="Times New Roman"/>
          <w:color w:val="000000"/>
          <w:szCs w:val="24"/>
          <w:lang w:val="x-none" w:eastAsia="lv-LV"/>
        </w:rPr>
        <w:t xml:space="preserve"> otrās daļas prasības par brīdinājuma izsniegšanu parādniekam</w:t>
      </w:r>
      <w:r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[3] Par minēto </w:t>
      </w:r>
      <w:r w:rsidRPr="00592873">
        <w:rPr>
          <w:rFonts w:eastAsia="Times New Roman" w:cs="Times New Roman"/>
          <w:color w:val="000000"/>
          <w:szCs w:val="24"/>
          <w:lang w:val="x-none" w:eastAsia="lv-LV"/>
        </w:rPr>
        <w:t>lēmumu</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Ģenerālprokuratūras Personu un valsts tiesību aizsardzības departamenta virsprokuror</w:t>
      </w:r>
      <w:r w:rsidRPr="00592873">
        <w:rPr>
          <w:rFonts w:eastAsia="Times New Roman" w:cs="Times New Roman"/>
          <w:color w:val="000000"/>
          <w:szCs w:val="24"/>
          <w:lang w:eastAsia="lv-LV"/>
        </w:rPr>
        <w:t xml:space="preserve">s </w:t>
      </w:r>
      <w:proofErr w:type="gramStart"/>
      <w:r w:rsidRPr="00592873">
        <w:rPr>
          <w:rFonts w:eastAsia="Times New Roman" w:cs="Times New Roman"/>
          <w:color w:val="000000"/>
          <w:szCs w:val="24"/>
          <w:lang w:eastAsia="lv-LV"/>
        </w:rPr>
        <w:t>2016.gada</w:t>
      </w:r>
      <w:proofErr w:type="gramEnd"/>
      <w:r w:rsidRPr="00592873">
        <w:rPr>
          <w:rFonts w:eastAsia="Times New Roman" w:cs="Times New Roman"/>
          <w:color w:val="000000"/>
          <w:szCs w:val="24"/>
          <w:lang w:eastAsia="lv-LV"/>
        </w:rPr>
        <w:t xml:space="preserve"> 18.janvārī iesniedza</w:t>
      </w:r>
      <w:r w:rsidRPr="00592873">
        <w:rPr>
          <w:rFonts w:eastAsia="Times New Roman" w:cs="Times New Roman"/>
          <w:color w:val="000000"/>
          <w:szCs w:val="24"/>
          <w:lang w:val="x-none" w:eastAsia="lv-LV"/>
        </w:rPr>
        <w:t> protestu</w:t>
      </w:r>
      <w:r w:rsidRPr="00592873">
        <w:rPr>
          <w:rFonts w:eastAsia="Times New Roman" w:cs="Times New Roman"/>
          <w:color w:val="000000"/>
          <w:szCs w:val="24"/>
          <w:lang w:eastAsia="lv-LV"/>
        </w:rPr>
        <w:t>, kurā, pamatojoties uz Civilprocesa likuma 483.</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un 484.pantu, lūdz atcelt </w:t>
      </w:r>
      <w:r w:rsidRPr="00592873">
        <w:rPr>
          <w:rFonts w:eastAsia="Times New Roman" w:cs="Times New Roman"/>
          <w:color w:val="000000"/>
          <w:szCs w:val="24"/>
          <w:lang w:val="x-none" w:eastAsia="lv-LV"/>
        </w:rPr>
        <w:t>Rīgas pilsētas Zemgales priekšpilsētas tiesas tiesne</w:t>
      </w:r>
      <w:r w:rsidRPr="00592873">
        <w:rPr>
          <w:rFonts w:eastAsia="Times New Roman" w:cs="Times New Roman"/>
          <w:color w:val="000000"/>
          <w:szCs w:val="24"/>
          <w:lang w:eastAsia="lv-LV"/>
        </w:rPr>
        <w:t>ša</w:t>
      </w:r>
      <w:r w:rsidR="0074529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2015.gada 16.decembra </w:t>
      </w:r>
      <w:r w:rsidRPr="00592873">
        <w:rPr>
          <w:rFonts w:eastAsia="Times New Roman" w:cs="Times New Roman"/>
          <w:color w:val="000000"/>
          <w:szCs w:val="24"/>
          <w:lang w:eastAsia="lv-LV"/>
        </w:rPr>
        <w:t>lēmumu un nodot pieteikumu jaunai izskatīšanai.</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Protests pamatots ar šādiem argumentiem.</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[3.1] Pieteikumam par nekustamā īpašuma labprātīgu pārdošanu izsolē tiesas ceļā AS „</w:t>
      </w:r>
      <w:proofErr w:type="spellStart"/>
      <w:r w:rsidRPr="00592873">
        <w:rPr>
          <w:rFonts w:eastAsia="Times New Roman" w:cs="Times New Roman"/>
          <w:color w:val="000000"/>
          <w:szCs w:val="24"/>
          <w:lang w:val="x-none" w:eastAsia="lv-LV"/>
        </w:rPr>
        <w:t>Swedbank</w:t>
      </w:r>
      <w:proofErr w:type="spellEnd"/>
      <w:r w:rsidRPr="00592873">
        <w:rPr>
          <w:rFonts w:eastAsia="Times New Roman" w:cs="Times New Roman"/>
          <w:color w:val="000000"/>
          <w:szCs w:val="24"/>
          <w:lang w:val="x-none" w:eastAsia="lv-LV"/>
        </w:rPr>
        <w:t xml:space="preserve">” pievienoja zvērināta notāra izdotu apliecību par paziņojuma nodošanu parādniecei </w:t>
      </w:r>
      <w:r w:rsidR="002F0E8A" w:rsidRPr="00592873">
        <w:rPr>
          <w:rFonts w:eastAsia="Times New Roman" w:cs="Times New Roman"/>
          <w:color w:val="000000"/>
          <w:szCs w:val="24"/>
          <w:lang w:eastAsia="lv-LV"/>
        </w:rPr>
        <w:t>[pers. A]</w:t>
      </w:r>
      <w:r w:rsidRPr="00592873">
        <w:rPr>
          <w:rFonts w:eastAsia="Times New Roman" w:cs="Times New Roman"/>
          <w:color w:val="000000"/>
          <w:szCs w:val="24"/>
          <w:lang w:val="x-none" w:eastAsia="lv-LV"/>
        </w:rPr>
        <w:t>, kas, tiesneša ieskatā, nav vērtējama kā pierādījums par brīdinājuma izsniegšanu parādniecei. Nonākot pie šāda secinājuma, </w:t>
      </w:r>
      <w:r w:rsidRPr="00592873">
        <w:rPr>
          <w:rFonts w:eastAsia="Times New Roman" w:cs="Times New Roman"/>
          <w:color w:val="000000"/>
          <w:szCs w:val="24"/>
          <w:lang w:eastAsia="lv-LV"/>
        </w:rPr>
        <w:t>nepamatoti </w:t>
      </w:r>
      <w:r w:rsidRPr="00592873">
        <w:rPr>
          <w:rFonts w:eastAsia="Times New Roman" w:cs="Times New Roman"/>
          <w:color w:val="000000"/>
          <w:szCs w:val="24"/>
          <w:lang w:val="x-none" w:eastAsia="lv-LV"/>
        </w:rPr>
        <w:t>nav piemērots Notariāta likuma 138.¹</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un 139.pants, kā arī nepareizi iztulkota Civilprocesa likuma 396.panta otrā daļa, kas ir novedis pie nepareiza lēmuma pieņemšanas.</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[3.2] Judikatūrā atzīts: „Notariāta likuma 138.¹ un </w:t>
      </w:r>
      <w:proofErr w:type="gramStart"/>
      <w:r w:rsidRPr="00592873">
        <w:rPr>
          <w:rFonts w:eastAsia="Times New Roman" w:cs="Times New Roman"/>
          <w:color w:val="000000"/>
          <w:szCs w:val="24"/>
          <w:lang w:eastAsia="lv-LV"/>
        </w:rPr>
        <w:t>139.panta</w:t>
      </w:r>
      <w:proofErr w:type="gramEnd"/>
      <w:r w:rsidRPr="00592873">
        <w:rPr>
          <w:rFonts w:eastAsia="Times New Roman" w:cs="Times New Roman"/>
          <w:color w:val="000000"/>
          <w:szCs w:val="24"/>
          <w:lang w:eastAsia="lv-LV"/>
        </w:rPr>
        <w:t xml:space="preserve"> kārtībā izdota apliecība par paziņojuma nodošanu parādniekam ir kvalificējama kā attiecīga paziņojuma nodošanas faktu apliecinošs dokuments, kas atbilstoši Civilprocesa likuma 404.panta trešās daļas 3.punkta prasībām jāpievieno pieteikumam par saistību bezstrīdus piespiedu izpildīšanu” (</w:t>
      </w:r>
      <w:r w:rsidRPr="00592873">
        <w:rPr>
          <w:rFonts w:eastAsia="Times New Roman" w:cs="Times New Roman"/>
          <w:i/>
          <w:iCs/>
          <w:color w:val="000000"/>
          <w:szCs w:val="24"/>
          <w:lang w:eastAsia="lv-LV"/>
        </w:rPr>
        <w:t xml:space="preserve">sk. Augstākās tiesas Civillietu departamenta 2014.gada 4.jūnija lēmumu lietā </w:t>
      </w:r>
      <w:proofErr w:type="spellStart"/>
      <w:r w:rsidRPr="00592873">
        <w:rPr>
          <w:rFonts w:eastAsia="Times New Roman" w:cs="Times New Roman"/>
          <w:i/>
          <w:iCs/>
          <w:color w:val="000000"/>
          <w:szCs w:val="24"/>
          <w:lang w:eastAsia="lv-LV"/>
        </w:rPr>
        <w:t>Nr.SPC</w:t>
      </w:r>
      <w:r w:rsidR="002F0E8A" w:rsidRPr="00592873">
        <w:rPr>
          <w:rFonts w:eastAsia="Times New Roman" w:cs="Times New Roman"/>
          <w:i/>
          <w:iCs/>
          <w:color w:val="000000"/>
          <w:szCs w:val="24"/>
          <w:lang w:eastAsia="lv-LV"/>
        </w:rPr>
        <w:t>-</w:t>
      </w:r>
      <w:r w:rsidRPr="00592873">
        <w:rPr>
          <w:rFonts w:eastAsia="Times New Roman" w:cs="Times New Roman"/>
          <w:i/>
          <w:iCs/>
          <w:color w:val="000000"/>
          <w:szCs w:val="24"/>
          <w:lang w:eastAsia="lv-LV"/>
        </w:rPr>
        <w:t>14</w:t>
      </w:r>
      <w:proofErr w:type="spellEnd"/>
      <w:r w:rsidRPr="00592873">
        <w:rPr>
          <w:rFonts w:eastAsia="Times New Roman" w:cs="Times New Roman"/>
          <w:i/>
          <w:iCs/>
          <w:color w:val="000000"/>
          <w:szCs w:val="24"/>
          <w:lang w:eastAsia="lv-LV"/>
        </w:rPr>
        <w:t xml:space="preserve">/2014; 2015.gada 30.decembra lēmumu lietā </w:t>
      </w:r>
      <w:proofErr w:type="spellStart"/>
      <w:r w:rsidRPr="00592873">
        <w:rPr>
          <w:rFonts w:eastAsia="Times New Roman" w:cs="Times New Roman"/>
          <w:i/>
          <w:iCs/>
          <w:color w:val="000000"/>
          <w:szCs w:val="24"/>
          <w:lang w:eastAsia="lv-LV"/>
        </w:rPr>
        <w:t>Nr.SPC-45</w:t>
      </w:r>
      <w:proofErr w:type="spellEnd"/>
      <w:r w:rsidRPr="00592873">
        <w:rPr>
          <w:rFonts w:eastAsia="Times New Roman" w:cs="Times New Roman"/>
          <w:i/>
          <w:iCs/>
          <w:color w:val="000000"/>
          <w:szCs w:val="24"/>
          <w:lang w:eastAsia="lv-LV"/>
        </w:rPr>
        <w:t>/2014).</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Minētā judikatūras atziņa izmantojama arī konkrētajā lietā par nekustamā īpašuma labprātīgu pārdošanu izsolē, jo prasības attiecībā uz parādnieka brīdināšanu Civilprocesa likuma 396. un </w:t>
      </w:r>
      <w:proofErr w:type="gramStart"/>
      <w:r w:rsidRPr="00592873">
        <w:rPr>
          <w:rFonts w:eastAsia="Times New Roman" w:cs="Times New Roman"/>
          <w:color w:val="000000"/>
          <w:szCs w:val="24"/>
          <w:lang w:eastAsia="lv-LV"/>
        </w:rPr>
        <w:t>404.pantā</w:t>
      </w:r>
      <w:proofErr w:type="gramEnd"/>
      <w:r w:rsidRPr="00592873">
        <w:rPr>
          <w:rFonts w:eastAsia="Times New Roman" w:cs="Times New Roman"/>
          <w:color w:val="000000"/>
          <w:szCs w:val="24"/>
          <w:lang w:eastAsia="lv-LV"/>
        </w:rPr>
        <w:t xml:space="preserve"> ir identiskas.</w:t>
      </w:r>
    </w:p>
    <w:p w:rsidR="00CE031A" w:rsidRPr="00592873" w:rsidRDefault="00CE031A" w:rsidP="005E4A4F">
      <w:pPr>
        <w:spacing w:after="0" w:line="276" w:lineRule="auto"/>
        <w:ind w:firstLine="567"/>
        <w:jc w:val="both"/>
        <w:rPr>
          <w:rFonts w:eastAsia="Times New Roman" w:cs="Times New Roman"/>
          <w:color w:val="000000"/>
          <w:szCs w:val="24"/>
          <w:lang w:eastAsia="lv-LV"/>
        </w:rPr>
      </w:pP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[4] Rakstveida paskaidrojumos par protestu </w:t>
      </w:r>
      <w:r w:rsidR="002F0E8A" w:rsidRPr="00592873">
        <w:rPr>
          <w:rFonts w:eastAsia="Times New Roman" w:cs="Times New Roman"/>
          <w:color w:val="000000"/>
          <w:szCs w:val="24"/>
          <w:lang w:eastAsia="lv-LV"/>
        </w:rPr>
        <w:t>[pers. A]</w:t>
      </w:r>
      <w:r w:rsidRPr="00592873">
        <w:rPr>
          <w:rFonts w:eastAsia="Times New Roman" w:cs="Times New Roman"/>
          <w:color w:val="000000"/>
          <w:szCs w:val="24"/>
          <w:lang w:eastAsia="lv-LV"/>
        </w:rPr>
        <w:t xml:space="preserve"> norādījusi, ka </w:t>
      </w:r>
      <w:r w:rsidRPr="00592873">
        <w:rPr>
          <w:rFonts w:eastAsia="Times New Roman" w:cs="Times New Roman"/>
          <w:color w:val="000000"/>
          <w:szCs w:val="24"/>
          <w:lang w:val="x-none" w:eastAsia="lv-LV"/>
        </w:rPr>
        <w:t>Rīgas pilsētas Zemgales priekšpilsētas tiesas tiesne</w:t>
      </w:r>
      <w:r w:rsidRPr="00592873">
        <w:rPr>
          <w:rFonts w:eastAsia="Times New Roman" w:cs="Times New Roman"/>
          <w:color w:val="000000"/>
          <w:szCs w:val="24"/>
          <w:lang w:eastAsia="lv-LV"/>
        </w:rPr>
        <w:t>ša</w:t>
      </w:r>
      <w:r w:rsidR="002F0E8A" w:rsidRPr="00592873">
        <w:rPr>
          <w:rFonts w:eastAsia="Times New Roman" w:cs="Times New Roman"/>
          <w:color w:val="000000"/>
          <w:szCs w:val="24"/>
          <w:lang w:eastAsia="lv-LV"/>
        </w:rPr>
        <w:t xml:space="preserve"> </w:t>
      </w:r>
      <w:proofErr w:type="gramStart"/>
      <w:r w:rsidRPr="00592873">
        <w:rPr>
          <w:rFonts w:eastAsia="Times New Roman" w:cs="Times New Roman"/>
          <w:color w:val="000000"/>
          <w:szCs w:val="24"/>
          <w:lang w:val="x-none" w:eastAsia="lv-LV"/>
        </w:rPr>
        <w:t>2015.gada</w:t>
      </w:r>
      <w:proofErr w:type="gramEnd"/>
      <w:r w:rsidRPr="00592873">
        <w:rPr>
          <w:rFonts w:eastAsia="Times New Roman" w:cs="Times New Roman"/>
          <w:color w:val="000000"/>
          <w:szCs w:val="24"/>
          <w:lang w:val="x-none" w:eastAsia="lv-LV"/>
        </w:rPr>
        <w:t xml:space="preserve"> 16.decembra</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 xml:space="preserve">lēmums ir taisnīgs un pamatots, pareizi atzīstot, ka Civilprocesa likuma 396.panta otro daļu nevar iztulkot paplašināti, jo parādniece brīdinājumu nav saņēmusi. Līdz ar to iesniegtais protests ir nepamatots un neatbilstošs Civilprocesa likuma 451. un </w:t>
      </w:r>
      <w:proofErr w:type="gramStart"/>
      <w:r w:rsidRPr="00592873">
        <w:rPr>
          <w:rFonts w:eastAsia="Times New Roman" w:cs="Times New Roman"/>
          <w:color w:val="000000"/>
          <w:szCs w:val="24"/>
          <w:lang w:eastAsia="lv-LV"/>
        </w:rPr>
        <w:t>452.panta</w:t>
      </w:r>
      <w:proofErr w:type="gramEnd"/>
      <w:r w:rsidRPr="00592873">
        <w:rPr>
          <w:rFonts w:eastAsia="Times New Roman" w:cs="Times New Roman"/>
          <w:color w:val="000000"/>
          <w:szCs w:val="24"/>
          <w:lang w:eastAsia="lv-LV"/>
        </w:rPr>
        <w:t xml:space="preserve"> prasībām.</w:t>
      </w:r>
    </w:p>
    <w:p w:rsidR="00CE031A" w:rsidRPr="004A1F49" w:rsidRDefault="00CE031A" w:rsidP="005E4A4F">
      <w:pPr>
        <w:spacing w:before="120" w:after="120" w:line="276" w:lineRule="auto"/>
        <w:jc w:val="center"/>
        <w:rPr>
          <w:rFonts w:eastAsia="Times New Roman" w:cs="Times New Roman"/>
          <w:b/>
          <w:color w:val="000000"/>
          <w:szCs w:val="24"/>
          <w:lang w:eastAsia="lv-LV"/>
        </w:rPr>
      </w:pPr>
      <w:r w:rsidRPr="004A1F49">
        <w:rPr>
          <w:rFonts w:eastAsia="Times New Roman" w:cs="Times New Roman"/>
          <w:b/>
          <w:color w:val="000000"/>
          <w:szCs w:val="24"/>
          <w:lang w:eastAsia="lv-LV"/>
        </w:rPr>
        <w:t>Motīvu daļa</w:t>
      </w:r>
    </w:p>
    <w:p w:rsidR="00CE031A" w:rsidRPr="00592873" w:rsidRDefault="00CE031A" w:rsidP="00DE4D7D">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[5] Pārbaudījusi lietas materiālus un apsvērusi protestā norādītos argumentus, Augstākā tiesa atzīst, ka</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Rīgas pilsētas Zemgales priekšpilsētas tiesas tiesne</w:t>
      </w:r>
      <w:r w:rsidRPr="00592873">
        <w:rPr>
          <w:rFonts w:eastAsia="Times New Roman" w:cs="Times New Roman"/>
          <w:color w:val="000000"/>
          <w:szCs w:val="24"/>
          <w:lang w:eastAsia="lv-LV"/>
        </w:rPr>
        <w:t>ša</w:t>
      </w:r>
      <w:r w:rsidR="00BF5D69" w:rsidRPr="00592873">
        <w:rPr>
          <w:rFonts w:eastAsia="Times New Roman" w:cs="Times New Roman"/>
          <w:color w:val="000000"/>
          <w:szCs w:val="24"/>
          <w:lang w:eastAsia="lv-LV"/>
        </w:rPr>
        <w:t xml:space="preserve"> </w:t>
      </w:r>
      <w:proofErr w:type="gramStart"/>
      <w:r w:rsidRPr="00592873">
        <w:rPr>
          <w:rFonts w:eastAsia="Times New Roman" w:cs="Times New Roman"/>
          <w:color w:val="000000"/>
          <w:szCs w:val="24"/>
          <w:lang w:val="x-none" w:eastAsia="lv-LV"/>
        </w:rPr>
        <w:t>2015.gada</w:t>
      </w:r>
      <w:proofErr w:type="gramEnd"/>
      <w:r w:rsidRPr="00592873">
        <w:rPr>
          <w:rFonts w:eastAsia="Times New Roman" w:cs="Times New Roman"/>
          <w:color w:val="000000"/>
          <w:szCs w:val="24"/>
          <w:lang w:val="x-none" w:eastAsia="lv-LV"/>
        </w:rPr>
        <w:t xml:space="preserve"> 16.decembra</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lēmum</w:t>
      </w:r>
      <w:r w:rsidRPr="00592873">
        <w:rPr>
          <w:rFonts w:eastAsia="Times New Roman" w:cs="Times New Roman"/>
          <w:color w:val="000000"/>
          <w:szCs w:val="24"/>
          <w:lang w:eastAsia="lv-LV"/>
        </w:rPr>
        <w:t>s atceļams un lieta nododama jaunai izskatīšanai.</w:t>
      </w:r>
    </w:p>
    <w:p w:rsidR="00CE031A" w:rsidRPr="00592873" w:rsidRDefault="00CE031A" w:rsidP="00DE4D7D">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lastRenderedPageBreak/>
        <w:t>[5.1] AS „</w:t>
      </w:r>
      <w:proofErr w:type="spellStart"/>
      <w:r w:rsidRPr="00592873">
        <w:rPr>
          <w:rFonts w:eastAsia="Times New Roman" w:cs="Times New Roman"/>
          <w:color w:val="000000"/>
          <w:szCs w:val="24"/>
          <w:lang w:eastAsia="lv-LV"/>
        </w:rPr>
        <w:t>Swedbank</w:t>
      </w:r>
      <w:proofErr w:type="spellEnd"/>
      <w:r w:rsidRPr="00592873">
        <w:rPr>
          <w:rFonts w:eastAsia="Times New Roman" w:cs="Times New Roman"/>
          <w:color w:val="000000"/>
          <w:szCs w:val="24"/>
          <w:lang w:eastAsia="lv-LV"/>
        </w:rPr>
        <w:t>” pieteikums</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par</w:t>
      </w:r>
      <w:r w:rsidR="002F0E8A" w:rsidRPr="00592873">
        <w:rPr>
          <w:rFonts w:eastAsia="Times New Roman" w:cs="Times New Roman"/>
          <w:color w:val="000000"/>
          <w:szCs w:val="24"/>
          <w:lang w:eastAsia="lv-LV"/>
        </w:rPr>
        <w:t xml:space="preserve"> [pers. A] </w:t>
      </w:r>
      <w:r w:rsidRPr="00592873">
        <w:rPr>
          <w:rFonts w:eastAsia="Times New Roman" w:cs="Times New Roman"/>
          <w:color w:val="000000"/>
          <w:szCs w:val="24"/>
          <w:lang w:val="x-none" w:eastAsia="lv-LV"/>
        </w:rPr>
        <w:t>piederošā nekustamā īpašuma labprātīgu pārdošanu izsolē tiesas ceļā</w:t>
      </w:r>
      <w:r w:rsidR="00E6183B"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 xml:space="preserve">noraidīts, secinot, ka parādniece faktiski nav brīdināta, jo brīdinājums nav izsniegts </w:t>
      </w:r>
      <w:r w:rsidR="002F0E8A" w:rsidRPr="00592873">
        <w:rPr>
          <w:rFonts w:eastAsia="Times New Roman" w:cs="Times New Roman"/>
          <w:color w:val="000000"/>
          <w:szCs w:val="24"/>
          <w:lang w:eastAsia="lv-LV"/>
        </w:rPr>
        <w:t>[pers. A]</w:t>
      </w:r>
      <w:r w:rsidRPr="00592873">
        <w:rPr>
          <w:rFonts w:eastAsia="Times New Roman" w:cs="Times New Roman"/>
          <w:color w:val="000000"/>
          <w:szCs w:val="24"/>
          <w:lang w:eastAsia="lv-LV"/>
        </w:rPr>
        <w:t xml:space="preserve"> personīgi un viņa to nav izlasījusi. Līdz ar to </w:t>
      </w:r>
      <w:proofErr w:type="gramStart"/>
      <w:r w:rsidRPr="00592873">
        <w:rPr>
          <w:rFonts w:eastAsia="Times New Roman" w:cs="Times New Roman"/>
          <w:color w:val="000000"/>
          <w:szCs w:val="24"/>
          <w:lang w:eastAsia="lv-LV"/>
        </w:rPr>
        <w:t>2015.gada</w:t>
      </w:r>
      <w:proofErr w:type="gramEnd"/>
      <w:r w:rsidRPr="00592873">
        <w:rPr>
          <w:rFonts w:eastAsia="Times New Roman" w:cs="Times New Roman"/>
          <w:color w:val="000000"/>
          <w:szCs w:val="24"/>
          <w:lang w:eastAsia="lv-LV"/>
        </w:rPr>
        <w:t xml:space="preserve"> 5.augustā sastādītais notariālais akts – apliecība par paziņojuma nodošanu parādniecei, tiesneša ieskatā, nav uzskatāms par pierādījumu, kas apstiprina parādnieces brīdināšanu atbilstoši</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Civilprocesa likuma 396.panta otr</w:t>
      </w:r>
      <w:r w:rsidRPr="00592873">
        <w:rPr>
          <w:rFonts w:eastAsia="Times New Roman" w:cs="Times New Roman"/>
          <w:color w:val="000000"/>
          <w:szCs w:val="24"/>
          <w:lang w:eastAsia="lv-LV"/>
        </w:rPr>
        <w:t>ajai</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daļ</w:t>
      </w:r>
      <w:r w:rsidRPr="00592873">
        <w:rPr>
          <w:rFonts w:eastAsia="Times New Roman" w:cs="Times New Roman"/>
          <w:color w:val="000000"/>
          <w:szCs w:val="24"/>
          <w:lang w:eastAsia="lv-LV"/>
        </w:rPr>
        <w:t>ai.</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Augstākā</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tiesa piekrīt protesta iesniedzēja viedoklim, ka</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iepriekš minētie</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tiesne</w:t>
      </w:r>
      <w:r w:rsidRPr="00592873">
        <w:rPr>
          <w:rFonts w:eastAsia="Times New Roman" w:cs="Times New Roman"/>
          <w:color w:val="000000"/>
          <w:szCs w:val="24"/>
          <w:lang w:eastAsia="lv-LV"/>
        </w:rPr>
        <w:t>ša</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secinājum</w:t>
      </w:r>
      <w:r w:rsidRPr="00592873">
        <w:rPr>
          <w:rFonts w:eastAsia="Times New Roman" w:cs="Times New Roman"/>
          <w:color w:val="000000"/>
          <w:szCs w:val="24"/>
          <w:lang w:eastAsia="lv-LV"/>
        </w:rPr>
        <w:t>i nav</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pamatot</w:t>
      </w:r>
      <w:r w:rsidRPr="00592873">
        <w:rPr>
          <w:rFonts w:eastAsia="Times New Roman" w:cs="Times New Roman"/>
          <w:color w:val="000000"/>
          <w:szCs w:val="24"/>
          <w:lang w:eastAsia="lv-LV"/>
        </w:rPr>
        <w:t>i</w:t>
      </w:r>
      <w:r w:rsidRPr="00592873">
        <w:rPr>
          <w:rFonts w:eastAsia="Times New Roman" w:cs="Times New Roman"/>
          <w:color w:val="000000"/>
          <w:szCs w:val="24"/>
          <w:lang w:val="x-none" w:eastAsia="lv-LV"/>
        </w:rPr>
        <w:t>,</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jo</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w:t>
      </w:r>
      <w:r w:rsidRPr="00592873">
        <w:rPr>
          <w:rFonts w:eastAsia="Times New Roman" w:cs="Times New Roman"/>
          <w:color w:val="000000"/>
          <w:szCs w:val="24"/>
          <w:lang w:eastAsia="lv-LV"/>
        </w:rPr>
        <w:t>ie</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balstīt</w:t>
      </w:r>
      <w:r w:rsidRPr="00592873">
        <w:rPr>
          <w:rFonts w:eastAsia="Times New Roman" w:cs="Times New Roman"/>
          <w:color w:val="000000"/>
          <w:szCs w:val="24"/>
          <w:lang w:eastAsia="lv-LV"/>
        </w:rPr>
        <w:t>i vienīgi</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uz Civilprocesa likuma 396.panta</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otrās daļas gramatisku</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iztulkojumu</w:t>
      </w:r>
      <w:r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[5.2] Civilprocesa likuma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otrā daļa noteic, ka</w:t>
      </w:r>
      <w:r w:rsidR="002F0E8A" w:rsidRPr="00592873">
        <w:rPr>
          <w:rFonts w:eastAsia="Times New Roman" w:cs="Times New Roman"/>
          <w:color w:val="000000"/>
          <w:szCs w:val="24"/>
          <w:lang w:eastAsia="lv-LV"/>
        </w:rPr>
        <w:t xml:space="preserve"> </w:t>
      </w:r>
      <w:bookmarkStart w:id="0" w:name="_Hlk503799077"/>
      <w:r w:rsidRPr="00592873">
        <w:rPr>
          <w:rFonts w:eastAsia="Times New Roman" w:cs="Times New Roman"/>
          <w:color w:val="000000"/>
          <w:szCs w:val="24"/>
          <w:lang w:val="x-none" w:eastAsia="lv-LV"/>
        </w:rPr>
        <w:t xml:space="preserve">pieteikumam par nekustamā īpašuma labprātīgu pārdošanu izsolē tiesas ceļā </w:t>
      </w:r>
      <w:bookmarkEnd w:id="0"/>
      <w:r w:rsidRPr="00592873">
        <w:rPr>
          <w:rFonts w:eastAsia="Times New Roman" w:cs="Times New Roman"/>
          <w:color w:val="000000"/>
          <w:szCs w:val="24"/>
          <w:lang w:val="x-none" w:eastAsia="lv-LV"/>
        </w:rPr>
        <w:t>pievienojami [..] pierādījumi par parādnieka brīdinājumu, ja vien no likuma neizriet, ka šāds brīdinājums nav nepieciešams. Apliecinājums par brīdinājuma izsniegšanu var būt arī zvērināta tiesu izpildītāja vai viņa palīga sastādīts akts par atteikšanos saņemt brīdinājumu.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Ja parādnieks netiek brīdināts par ķīlas ņēmēja nolūku iesniegt pieteikumu par nekustamā īpašuma labprātīgu pārdošanu izsolē, tad viņš nevar vērst kreditora uzmanību uz iespējamiem pārpratumiem vai kļūdām, kā arī nevar aicināt attiecīgo jautājumu risināt pārrunu ceļā. Tāpat arī parādnieka tiesības izmantot Civilprocesa likumā paredzētos mehānismus strīdu risināšanai tiek apgrūtinātas, tādējādi ierobežojot viņa iespēju efektīvi īstenot savas tiesības uz taisnīgu tiesu procesā, kurā tiek nodrošināts pušu līdztiesības un sacīkstes princips (</w:t>
      </w:r>
      <w:r w:rsidRPr="00592873">
        <w:rPr>
          <w:rFonts w:eastAsia="Times New Roman" w:cs="Times New Roman"/>
          <w:i/>
          <w:iCs/>
          <w:color w:val="000000"/>
          <w:szCs w:val="24"/>
          <w:lang w:eastAsia="lv-LV"/>
        </w:rPr>
        <w:t xml:space="preserve">sk. Satversmes tiesas </w:t>
      </w:r>
      <w:proofErr w:type="gramStart"/>
      <w:r w:rsidRPr="00592873">
        <w:rPr>
          <w:rFonts w:eastAsia="Times New Roman" w:cs="Times New Roman"/>
          <w:i/>
          <w:iCs/>
          <w:color w:val="000000"/>
          <w:szCs w:val="24"/>
          <w:lang w:eastAsia="lv-LV"/>
        </w:rPr>
        <w:t>2010.gada</w:t>
      </w:r>
      <w:proofErr w:type="gramEnd"/>
      <w:r w:rsidRPr="00592873">
        <w:rPr>
          <w:rFonts w:eastAsia="Times New Roman" w:cs="Times New Roman"/>
          <w:i/>
          <w:iCs/>
          <w:color w:val="000000"/>
          <w:szCs w:val="24"/>
          <w:lang w:eastAsia="lv-LV"/>
        </w:rPr>
        <w:t xml:space="preserve"> 24.novembra sprieduma lietā Nr.2010</w:t>
      </w:r>
      <w:r w:rsidR="002F0E8A" w:rsidRPr="00592873">
        <w:rPr>
          <w:rFonts w:eastAsia="Times New Roman" w:cs="Times New Roman"/>
          <w:i/>
          <w:iCs/>
          <w:color w:val="000000"/>
          <w:szCs w:val="24"/>
          <w:lang w:eastAsia="lv-LV"/>
        </w:rPr>
        <w:t>-</w:t>
      </w:r>
      <w:r w:rsidRPr="00592873">
        <w:rPr>
          <w:rFonts w:eastAsia="Times New Roman" w:cs="Times New Roman"/>
          <w:i/>
          <w:iCs/>
          <w:color w:val="000000"/>
          <w:szCs w:val="24"/>
          <w:lang w:eastAsia="lv-LV"/>
        </w:rPr>
        <w:t>08-01 19.5.punktu</w:t>
      </w:r>
      <w:r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No minētā izriet, ka parādnieka brīdināšana par</w:t>
      </w:r>
      <w:r w:rsidR="00E6183B"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nekustamā īpašuma labprātīgu pārdošanu izsolē tiesas ceļā</w:t>
      </w:r>
      <w:r w:rsidR="00E6183B"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ir nozīmīga viņa tiesību garantija apstākļos, kad pieteikums tiek izskatīts bez saistības dalībnieku klātbūtnes, nepaziņojot viņiem par izskatīšanas laiku.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Līdz ar to </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 xml:space="preserve">Civilprocesa likuma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otrā daļa ir imperatīva norma, kas kreditoram – ķīlas ņēmējam uzliek pienākumu pienācīgā veidā brīdināt parādnieku par savu nodomu vērsties tiesā ar pieteikumu par </w:t>
      </w:r>
      <w:r w:rsidRPr="00592873">
        <w:rPr>
          <w:rFonts w:eastAsia="Times New Roman" w:cs="Times New Roman"/>
          <w:color w:val="000000"/>
          <w:szCs w:val="24"/>
          <w:lang w:val="x-none" w:eastAsia="lv-LV"/>
        </w:rPr>
        <w:t>nekustamā īpašuma labprātīgu pārdošanu izsolē tiesas ceļā</w:t>
      </w:r>
      <w:r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Lai minēto tiesību normu piemērotu pareizi, nepieciešams noskaidrot, vai normas formulējumam izraudzītie vārdi „</w:t>
      </w:r>
      <w:r w:rsidRPr="00592873">
        <w:rPr>
          <w:rFonts w:eastAsia="Times New Roman" w:cs="Times New Roman"/>
          <w:color w:val="000000"/>
          <w:szCs w:val="24"/>
          <w:lang w:val="x-none" w:eastAsia="lv-LV"/>
        </w:rPr>
        <w:t>pierādījumi par parādnieka brīdinājumu</w:t>
      </w:r>
      <w:r w:rsidRPr="00592873">
        <w:rPr>
          <w:rFonts w:eastAsia="Times New Roman" w:cs="Times New Roman"/>
          <w:color w:val="000000"/>
          <w:szCs w:val="24"/>
          <w:lang w:eastAsia="lv-LV"/>
        </w:rPr>
        <w:t>”</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un</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„a</w:t>
      </w:r>
      <w:proofErr w:type="spellStart"/>
      <w:r w:rsidRPr="00592873">
        <w:rPr>
          <w:rFonts w:eastAsia="Times New Roman" w:cs="Times New Roman"/>
          <w:color w:val="000000"/>
          <w:szCs w:val="24"/>
          <w:lang w:val="x-none" w:eastAsia="lv-LV"/>
        </w:rPr>
        <w:t>pliecinājums</w:t>
      </w:r>
      <w:proofErr w:type="spellEnd"/>
      <w:r w:rsidRPr="00592873">
        <w:rPr>
          <w:rFonts w:eastAsia="Times New Roman" w:cs="Times New Roman"/>
          <w:color w:val="000000"/>
          <w:szCs w:val="24"/>
          <w:lang w:val="x-none" w:eastAsia="lv-LV"/>
        </w:rPr>
        <w:t xml:space="preserve"> par brīdinājuma izsniegšanu</w:t>
      </w:r>
      <w:r w:rsidRPr="00592873">
        <w:rPr>
          <w:rFonts w:eastAsia="Times New Roman" w:cs="Times New Roman"/>
          <w:color w:val="000000"/>
          <w:szCs w:val="24"/>
          <w:lang w:eastAsia="lv-LV"/>
        </w:rPr>
        <w:t>” vienmēr saistāms ar tādu pierādījumu iesniegšanu, kas apliecina, ka parādnieks brīdinājumu saņēmis personīgi, kā to atzinis tiesnesis apstrīdētajā lēmumā.</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[5.3] „Kaut arī konkrētais dzīves gadījums ir tas, kas mudina tiesnesi iztulkot piemērojamo normu, viņš nevar to iztulkot tikai šim noteiktam gadījumam. Norma, kā atzīst iztulkošanas teorija, viņam jāiztulko tā, lai to varētu attiecināt uz visiem līdzīgiem tā paša veida un tā paša tipa gadījumiem. [..] </w:t>
      </w:r>
      <w:proofErr w:type="gramStart"/>
      <w:r w:rsidRPr="00592873">
        <w:rPr>
          <w:rFonts w:eastAsia="Times New Roman" w:cs="Times New Roman"/>
          <w:color w:val="000000"/>
          <w:szCs w:val="24"/>
          <w:lang w:eastAsia="lv-LV"/>
        </w:rPr>
        <w:t>Ja gramatisko metodi pielieto normas teksta un tā sastāvdaļu jēdzieniskā satura noskaidrošanai, tad sistēmiskā metode</w:t>
      </w:r>
      <w:proofErr w:type="gramEnd"/>
      <w:r w:rsidRPr="00592873">
        <w:rPr>
          <w:rFonts w:eastAsia="Times New Roman" w:cs="Times New Roman"/>
          <w:color w:val="000000"/>
          <w:szCs w:val="24"/>
          <w:lang w:eastAsia="lv-LV"/>
        </w:rPr>
        <w:t xml:space="preserve"> kalpo tiesību normas savstarpējās sasaistes un atkarības izzināšanai. [..] Tas viss rada nepieciešamību, lai katra atsevišķa tiesību norma tiktu piemērota atbilstoši visai sistēmai un saskanīgi iekļautos tās kopējā funkcionēšanā” (</w:t>
      </w:r>
      <w:r w:rsidRPr="00592873">
        <w:rPr>
          <w:rFonts w:eastAsia="Times New Roman" w:cs="Times New Roman"/>
          <w:i/>
          <w:iCs/>
          <w:color w:val="000000"/>
          <w:szCs w:val="24"/>
          <w:lang w:eastAsia="lv-LV"/>
        </w:rPr>
        <w:t xml:space="preserve">sk. Edgars </w:t>
      </w:r>
      <w:proofErr w:type="spellStart"/>
      <w:r w:rsidRPr="00592873">
        <w:rPr>
          <w:rFonts w:eastAsia="Times New Roman" w:cs="Times New Roman"/>
          <w:i/>
          <w:iCs/>
          <w:color w:val="000000"/>
          <w:szCs w:val="24"/>
          <w:lang w:eastAsia="lv-LV"/>
        </w:rPr>
        <w:t>Meļķisis</w:t>
      </w:r>
      <w:proofErr w:type="spellEnd"/>
      <w:r w:rsidRPr="00592873">
        <w:rPr>
          <w:rFonts w:eastAsia="Times New Roman" w:cs="Times New Roman"/>
          <w:i/>
          <w:iCs/>
          <w:color w:val="000000"/>
          <w:szCs w:val="24"/>
          <w:lang w:eastAsia="lv-LV"/>
        </w:rPr>
        <w:t>. Latvijas tiesiskās sistēmas ceļš uz demokrātisku tiesisku valsti. Rakstu krājums. Rīga. Tiesu namu aģentūra, 2014, 197., 223.lpp.</w:t>
      </w:r>
      <w:r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Kā redzams no iepriekš minētā, iztulkojot tiesību normas, ir nepieciešams noskaidrot ne tikai normu tekstuālo saturu, bet arī analizēt tās kontekstā ar citām normām, noskaidrojot normu jēdzienisko saturu, kas ir īpaši svarīgi</w:t>
      </w:r>
      <w:proofErr w:type="gramStart"/>
      <w:r w:rsidRPr="00592873">
        <w:rPr>
          <w:rFonts w:eastAsia="Times New Roman" w:cs="Times New Roman"/>
          <w:color w:val="000000"/>
          <w:szCs w:val="24"/>
          <w:lang w:eastAsia="lv-LV"/>
        </w:rPr>
        <w:t xml:space="preserve"> gadījumos, kad</w:t>
      </w:r>
      <w:proofErr w:type="gramEnd"/>
      <w:r w:rsidRPr="00592873">
        <w:rPr>
          <w:rFonts w:eastAsia="Times New Roman" w:cs="Times New Roman"/>
          <w:color w:val="000000"/>
          <w:szCs w:val="24"/>
          <w:lang w:eastAsia="lv-LV"/>
        </w:rPr>
        <w:t xml:space="preserve"> dažādās tiesību normās iekļautie vārdi vai vārdu kopas ir identiskas.</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Tādējādi, lai pareizi iztulkotu Civilprocesa likuma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otrajā daļā iekļautās vārdu kopas „</w:t>
      </w:r>
      <w:r w:rsidRPr="00592873">
        <w:rPr>
          <w:rFonts w:eastAsia="Times New Roman" w:cs="Times New Roman"/>
          <w:color w:val="000000"/>
          <w:szCs w:val="24"/>
          <w:lang w:val="x-none" w:eastAsia="lv-LV"/>
        </w:rPr>
        <w:t>pierādījumi par parādnieka brīdinājumu</w:t>
      </w:r>
      <w:r w:rsidRPr="00592873">
        <w:rPr>
          <w:rFonts w:eastAsia="Times New Roman" w:cs="Times New Roman"/>
          <w:color w:val="000000"/>
          <w:szCs w:val="24"/>
          <w:lang w:eastAsia="lv-LV"/>
        </w:rPr>
        <w:t>”</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un</w:t>
      </w:r>
      <w:r w:rsidR="002F0E8A"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w:t>
      </w:r>
      <w:bookmarkStart w:id="1" w:name="_Hlk503799133"/>
      <w:r w:rsidRPr="00592873">
        <w:rPr>
          <w:rFonts w:eastAsia="Times New Roman" w:cs="Times New Roman"/>
          <w:color w:val="000000"/>
          <w:szCs w:val="24"/>
          <w:lang w:eastAsia="lv-LV"/>
        </w:rPr>
        <w:t>a</w:t>
      </w:r>
      <w:proofErr w:type="spellStart"/>
      <w:r w:rsidRPr="00592873">
        <w:rPr>
          <w:rFonts w:eastAsia="Times New Roman" w:cs="Times New Roman"/>
          <w:color w:val="000000"/>
          <w:szCs w:val="24"/>
          <w:lang w:val="x-none" w:eastAsia="lv-LV"/>
        </w:rPr>
        <w:t>pliecinājums</w:t>
      </w:r>
      <w:proofErr w:type="spellEnd"/>
      <w:r w:rsidRPr="00592873">
        <w:rPr>
          <w:rFonts w:eastAsia="Times New Roman" w:cs="Times New Roman"/>
          <w:color w:val="000000"/>
          <w:szCs w:val="24"/>
          <w:lang w:val="x-none" w:eastAsia="lv-LV"/>
        </w:rPr>
        <w:t xml:space="preserve"> par brīdinājuma </w:t>
      </w:r>
      <w:r w:rsidRPr="00592873">
        <w:rPr>
          <w:rFonts w:eastAsia="Times New Roman" w:cs="Times New Roman"/>
          <w:color w:val="000000"/>
          <w:szCs w:val="24"/>
          <w:lang w:val="x-none" w:eastAsia="lv-LV"/>
        </w:rPr>
        <w:lastRenderedPageBreak/>
        <w:t>izsniegšanu</w:t>
      </w:r>
      <w:bookmarkEnd w:id="1"/>
      <w:r w:rsidRPr="00592873">
        <w:rPr>
          <w:rFonts w:eastAsia="Times New Roman" w:cs="Times New Roman"/>
          <w:color w:val="000000"/>
          <w:szCs w:val="24"/>
          <w:lang w:eastAsia="lv-LV"/>
        </w:rPr>
        <w:t>”, minētā tiesību norma aplūkojama kontekstā ar Civilprocesa likuma 404.panta trešās daļas 3.punktu, kas noteic, ka arī</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pieteikumam par bezstrīdus piespiedu izpildīšanu pievieno</w:t>
      </w:r>
      <w:r w:rsidRPr="00592873">
        <w:rPr>
          <w:rFonts w:eastAsia="Times New Roman" w:cs="Times New Roman"/>
          <w:color w:val="000000"/>
          <w:szCs w:val="24"/>
          <w:lang w:eastAsia="lv-LV"/>
        </w:rPr>
        <w:t>jami</w:t>
      </w:r>
      <w:r w:rsidRPr="00592873">
        <w:rPr>
          <w:rFonts w:eastAsia="Times New Roman" w:cs="Times New Roman"/>
          <w:color w:val="000000"/>
          <w:szCs w:val="24"/>
          <w:lang w:val="x-none" w:eastAsia="lv-LV"/>
        </w:rPr>
        <w:t> pierādījumi par brīdinājuma izsniegšanu parādniekam (</w:t>
      </w:r>
      <w:r w:rsidRPr="00592873">
        <w:rPr>
          <w:rFonts w:eastAsia="Times New Roman" w:cs="Times New Roman"/>
          <w:color w:val="000000"/>
          <w:szCs w:val="24"/>
          <w:lang w:eastAsia="lv-LV"/>
        </w:rPr>
        <w:t>tostarp</w:t>
      </w:r>
      <w:r w:rsidRPr="00592873">
        <w:rPr>
          <w:rFonts w:eastAsia="Times New Roman" w:cs="Times New Roman"/>
          <w:color w:val="000000"/>
          <w:szCs w:val="24"/>
          <w:lang w:val="x-none" w:eastAsia="lv-LV"/>
        </w:rPr>
        <w:t> nekustamā īpašuma īpašniekam vai komercķīlas devējam), ja no likuma neizriet, ka šāds brīdinājums nav nepieciešams. Apliecinājums par brīdinājuma izsniegšanu</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var būt arī zvērināta tiesu izpildītāja vai viņa palīga sastādīts akts par atteikšanos saņemt brīdinājumu.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Ievērojot, ka abas minētās tiesību normas, kas iekļautas Civilprocesa likuma septītajā sadaļā „Saistību izpildīšana tiesas ceļā”, gan pēc gramatiskā (valodas) pielietojuma, gan pēc jēdzieniskā satura ir līdzīgas, Civilprocesa likuma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otrās daļas iztulkojumam nav loģiska pamata atšķirties, un tas pat nav pieļaujams, no Civilprocesa likuma 404.panta trešās daļas 3.punkta iztulkojuma, kas jau dots Augstākās tiesas 2014.gada 4.jūnija lēmumā lietā </w:t>
      </w:r>
      <w:proofErr w:type="spellStart"/>
      <w:r w:rsidRPr="00592873">
        <w:rPr>
          <w:rFonts w:eastAsia="Times New Roman" w:cs="Times New Roman"/>
          <w:color w:val="000000"/>
          <w:szCs w:val="24"/>
          <w:lang w:eastAsia="lv-LV"/>
        </w:rPr>
        <w:t>Nr.SPC-14</w:t>
      </w:r>
      <w:proofErr w:type="spellEnd"/>
      <w:r w:rsidRPr="00592873">
        <w:rPr>
          <w:rFonts w:eastAsia="Times New Roman" w:cs="Times New Roman"/>
          <w:color w:val="000000"/>
          <w:szCs w:val="24"/>
          <w:lang w:eastAsia="lv-LV"/>
        </w:rPr>
        <w:t>/2014 (Nr.3-12/6953) un 2015.gada 30.decembra lēmu</w:t>
      </w:r>
      <w:r w:rsidR="004A1F49" w:rsidRPr="00592873">
        <w:rPr>
          <w:rFonts w:eastAsia="Times New Roman" w:cs="Times New Roman"/>
          <w:color w:val="000000"/>
          <w:szCs w:val="24"/>
          <w:lang w:eastAsia="lv-LV"/>
        </w:rPr>
        <w:t xml:space="preserve">mā lietā </w:t>
      </w:r>
      <w:proofErr w:type="spellStart"/>
      <w:r w:rsidR="004A1F49" w:rsidRPr="00592873">
        <w:rPr>
          <w:rFonts w:eastAsia="Times New Roman" w:cs="Times New Roman"/>
          <w:color w:val="000000"/>
          <w:szCs w:val="24"/>
          <w:lang w:eastAsia="lv-LV"/>
        </w:rPr>
        <w:t>Nr.SPC-45</w:t>
      </w:r>
      <w:proofErr w:type="spellEnd"/>
      <w:r w:rsidR="004A1F49" w:rsidRPr="00592873">
        <w:rPr>
          <w:rFonts w:eastAsia="Times New Roman" w:cs="Times New Roman"/>
          <w:color w:val="000000"/>
          <w:szCs w:val="24"/>
          <w:lang w:eastAsia="lv-LV"/>
        </w:rPr>
        <w:t>/2014 (Nr.3-</w:t>
      </w:r>
      <w:r w:rsidRPr="00592873">
        <w:rPr>
          <w:rFonts w:eastAsia="Times New Roman" w:cs="Times New Roman"/>
          <w:color w:val="000000"/>
          <w:szCs w:val="24"/>
          <w:lang w:eastAsia="lv-LV"/>
        </w:rPr>
        <w:t>12/0559).</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[5.4] Minētajos kasācijas instances tiesas lēmumos, līdzīgi kā tas ir šajā lietā, tika konstatēts, ka nodot pirmstiesas brīdinājumu parādniecei, izmantojot sakaru iestādes (pasta) pakalpojumu, nebija iespējams, jo uz parādnieces deklarēto dzīvesvietas adresi nosūtītais paziņojums tika atgriezts atpakaļ pieteicējam sakarā ar to, ka adresāts piegādes laikā nebija mājās, bet pēc tam ignorēja atstāto uzaicinājumu ierasties pasta nodaļā sūtījuma saņemšanai.</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Tādēļ kreditors vērsās pie zvērināta notāra ar lūgumu par paziņojuma nodošanu parādniecei Notariāta likumā noteiktā kārtībā.</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Kasācijas instances tiesa atzina, ka tiesību</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normā</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lietotie vārdi „apliecinājums par brīdinājuma izsniegšanu var būt arī zvērināta tiesu</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izpildītāja</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w:t>
      </w:r>
      <w:r w:rsidRPr="00592873">
        <w:rPr>
          <w:rFonts w:eastAsia="Times New Roman" w:cs="Times New Roman"/>
          <w:color w:val="000000"/>
          <w:szCs w:val="24"/>
          <w:lang w:val="x-none" w:eastAsia="lv-LV"/>
        </w:rPr>
        <w:t>..</w:t>
      </w:r>
      <w:r w:rsidRPr="00592873">
        <w:rPr>
          <w:rFonts w:eastAsia="Times New Roman" w:cs="Times New Roman"/>
          <w:color w:val="000000"/>
          <w:szCs w:val="24"/>
          <w:lang w:eastAsia="lv-LV"/>
        </w:rPr>
        <w:t>]</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sastādīts akts</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eastAsia="lv-LV"/>
        </w:rPr>
        <w:t>[</w:t>
      </w:r>
      <w:r w:rsidRPr="00592873">
        <w:rPr>
          <w:rFonts w:eastAsia="Times New Roman" w:cs="Times New Roman"/>
          <w:color w:val="000000"/>
          <w:szCs w:val="24"/>
          <w:lang w:val="x-none" w:eastAsia="lv-LV"/>
        </w:rPr>
        <w:t>..</w:t>
      </w:r>
      <w:r w:rsidRPr="00592873">
        <w:rPr>
          <w:rFonts w:eastAsia="Times New Roman" w:cs="Times New Roman"/>
          <w:color w:val="000000"/>
          <w:szCs w:val="24"/>
          <w:lang w:eastAsia="lv-LV"/>
        </w:rPr>
        <w:t>]</w:t>
      </w:r>
      <w:r w:rsidRPr="00592873">
        <w:rPr>
          <w:rFonts w:eastAsia="Times New Roman" w:cs="Times New Roman"/>
          <w:color w:val="000000"/>
          <w:szCs w:val="24"/>
          <w:lang w:val="x-none" w:eastAsia="lv-LV"/>
        </w:rPr>
        <w:t>” norāda uz veidu, kā iespējams noformēt pierādījumu par</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brīdināšanas pienākuma izpildi gadījumā, ja parādnieks atsakās saņemt brīdinājumu. Tādējādi nav</w:t>
      </w:r>
      <w:r w:rsidR="00E6183B"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iemesla uzskatīt, ka parādnieka atteikumu saņemt brīdinājumu būtu liegts apliecināt ar citiem</w:t>
      </w:r>
      <w:r w:rsidR="00E6183B"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ticamiem rakstveida pierādījumiem, piemēram, zvērināta notāra izdotu apliecību (</w:t>
      </w:r>
      <w:r w:rsidRPr="00592873">
        <w:rPr>
          <w:rFonts w:eastAsia="Times New Roman" w:cs="Times New Roman"/>
          <w:i/>
          <w:iCs/>
          <w:color w:val="000000"/>
          <w:szCs w:val="24"/>
          <w:lang w:val="x-none" w:eastAsia="lv-LV"/>
        </w:rPr>
        <w:t>sk. Notariāta</w:t>
      </w:r>
      <w:r w:rsidRPr="00592873">
        <w:rPr>
          <w:rFonts w:eastAsia="Times New Roman" w:cs="Times New Roman"/>
          <w:color w:val="000000"/>
          <w:szCs w:val="24"/>
          <w:lang w:eastAsia="lv-LV"/>
        </w:rPr>
        <w:t> </w:t>
      </w:r>
      <w:r w:rsidRPr="00592873">
        <w:rPr>
          <w:rFonts w:eastAsia="Times New Roman" w:cs="Times New Roman"/>
          <w:i/>
          <w:iCs/>
          <w:color w:val="000000"/>
          <w:szCs w:val="24"/>
          <w:lang w:val="x-none" w:eastAsia="lv-LV"/>
        </w:rPr>
        <w:t>likuma 135., 138. un 139.pantu</w:t>
      </w:r>
      <w:r w:rsidRPr="00592873">
        <w:rPr>
          <w:rFonts w:eastAsia="Times New Roman" w:cs="Times New Roman"/>
          <w:color w:val="000000"/>
          <w:szCs w:val="24"/>
          <w:lang w:val="x-none" w:eastAsia="lv-LV"/>
        </w:rPr>
        <w:t>)</w:t>
      </w:r>
      <w:r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Ikviena persona ir tiesīga vērsties pie zvērināta notāra ar lūgumu par</w:t>
      </w:r>
      <w:r w:rsidRPr="00592873">
        <w:rPr>
          <w:rFonts w:eastAsia="Times New Roman" w:cs="Times New Roman"/>
          <w:color w:val="000000"/>
          <w:szCs w:val="24"/>
          <w:lang w:eastAsia="lv-LV"/>
        </w:rPr>
        <w:t> tāda</w:t>
      </w:r>
      <w:r w:rsidRPr="00592873">
        <w:rPr>
          <w:rFonts w:eastAsia="Times New Roman" w:cs="Times New Roman"/>
          <w:color w:val="000000"/>
          <w:szCs w:val="24"/>
          <w:lang w:val="x-none" w:eastAsia="lv-LV"/>
        </w:rPr>
        <w:t> paziņojuma</w:t>
      </w:r>
      <w:r w:rsidRPr="00592873">
        <w:rPr>
          <w:rFonts w:eastAsia="Times New Roman" w:cs="Times New Roman"/>
          <w:color w:val="000000"/>
          <w:szCs w:val="24"/>
          <w:lang w:eastAsia="lv-LV"/>
        </w:rPr>
        <w:t> nodošanu</w:t>
      </w:r>
      <w:r w:rsidRPr="00592873">
        <w:rPr>
          <w:rFonts w:eastAsia="Times New Roman" w:cs="Times New Roman"/>
          <w:color w:val="000000"/>
          <w:szCs w:val="24"/>
          <w:lang w:val="x-none" w:eastAsia="lv-LV"/>
        </w:rPr>
        <w:t>, kuram, ievērojot</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tā juridisko dabu, pielīdzināms pirmstiesas brīdinājums</w:t>
      </w:r>
      <w:r w:rsidRPr="00592873">
        <w:rPr>
          <w:rFonts w:eastAsia="Times New Roman" w:cs="Times New Roman"/>
          <w:color w:val="000000"/>
          <w:szCs w:val="24"/>
          <w:lang w:eastAsia="lv-LV"/>
        </w:rPr>
        <w:t>.</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Šāda paziņojuma apliecināšanas</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kārtība reglamentēta Notariāta likuma XVI nodaļā ietvertajās normās.</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val="x-none" w:eastAsia="lv-LV"/>
        </w:rPr>
        <w:t>Saeima 2010.gada 28.oktobrī pieņēma likumu „Grozījumi Notariāta likumā” (spēkā no 2011.gada</w:t>
      </w:r>
      <w:r w:rsidR="00BF5D69"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1.februāra). Atbilstoši šiem grozījumiem Notariāta likums papildināts ar jaunu 138</w:t>
      </w:r>
      <w:r w:rsidRPr="00592873">
        <w:rPr>
          <w:rFonts w:eastAsia="Times New Roman" w:cs="Times New Roman"/>
          <w:color w:val="000000"/>
          <w:szCs w:val="24"/>
          <w:lang w:eastAsia="lv-LV"/>
        </w:rPr>
        <w:t>.</w:t>
      </w:r>
      <w:r w:rsidRPr="00592873">
        <w:rPr>
          <w:rFonts w:eastAsia="Times New Roman" w:cs="Times New Roman"/>
          <w:color w:val="000000"/>
          <w:szCs w:val="24"/>
          <w:vertAlign w:val="superscript"/>
          <w:lang w:eastAsia="lv-LV"/>
        </w:rPr>
        <w:t>1</w:t>
      </w:r>
      <w:r w:rsidRPr="00592873">
        <w:rPr>
          <w:rFonts w:eastAsia="Times New Roman" w:cs="Times New Roman"/>
          <w:color w:val="000000"/>
          <w:szCs w:val="24"/>
          <w:lang w:val="x-none" w:eastAsia="lv-LV"/>
        </w:rPr>
        <w:t>pantu, kas</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noteic, ja personai, kurai lūdz nodot paziņojumu, nav zināma juridiskā adrese vai dzīvesvieta,</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zvērināts notārs to saņem no Komercreģistra vai Iedzīvotāju reģistra (pirmā daļa). Ja adresāta</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(fiziskās personas) dzīvesvieta Iedzīvotāju reģistrā nav norādīta, zvērināts notārs publicē</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paziņojumu oficiālajā izdevumā „Latvijas </w:t>
      </w:r>
      <w:r w:rsidRPr="00592873">
        <w:rPr>
          <w:rFonts w:eastAsia="Times New Roman" w:cs="Times New Roman"/>
          <w:color w:val="000000"/>
          <w:szCs w:val="24"/>
          <w:lang w:eastAsia="lv-LV"/>
        </w:rPr>
        <w:t>V</w:t>
      </w:r>
      <w:proofErr w:type="spellStart"/>
      <w:r w:rsidRPr="00592873">
        <w:rPr>
          <w:rFonts w:eastAsia="Times New Roman" w:cs="Times New Roman"/>
          <w:color w:val="000000"/>
          <w:szCs w:val="24"/>
          <w:lang w:val="x-none" w:eastAsia="lv-LV"/>
        </w:rPr>
        <w:t>ēstnesis</w:t>
      </w:r>
      <w:proofErr w:type="spellEnd"/>
      <w:r w:rsidRPr="00592873">
        <w:rPr>
          <w:rFonts w:eastAsia="Times New Roman" w:cs="Times New Roman"/>
          <w:color w:val="000000"/>
          <w:szCs w:val="24"/>
          <w:lang w:val="x-none" w:eastAsia="lv-LV"/>
        </w:rPr>
        <w:t>”. Šādi zvērināts notārs rīkojas arī tad, ja,</w:t>
      </w:r>
      <w:r w:rsidR="00DE4D7D" w:rsidRPr="00592873">
        <w:rPr>
          <w:rFonts w:eastAsia="Times New Roman" w:cs="Times New Roman"/>
          <w:color w:val="000000"/>
          <w:szCs w:val="24"/>
          <w:lang w:eastAsia="lv-LV"/>
        </w:rPr>
        <w:t xml:space="preserve"> </w:t>
      </w:r>
      <w:r w:rsidRPr="00592873">
        <w:rPr>
          <w:rFonts w:eastAsia="Times New Roman" w:cs="Times New Roman"/>
          <w:color w:val="000000"/>
          <w:szCs w:val="24"/>
          <w:lang w:val="x-none" w:eastAsia="lv-LV"/>
        </w:rPr>
        <w:t>nosūtot paziņojumu uz adresāta juridisko adresi vai dzīvesvietu, saņem pasta paziņojumu par</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neiespējamību nodot sūtījumu adresātam (otrā daļa). Paziņojums uzskatāms par nodotu nākamajā</w:t>
      </w:r>
      <w:r w:rsidRPr="00592873">
        <w:rPr>
          <w:rFonts w:eastAsia="Times New Roman" w:cs="Times New Roman"/>
          <w:color w:val="000000"/>
          <w:szCs w:val="24"/>
          <w:lang w:eastAsia="lv-LV"/>
        </w:rPr>
        <w:t> </w:t>
      </w:r>
      <w:r w:rsidRPr="00592873">
        <w:rPr>
          <w:rFonts w:eastAsia="Times New Roman" w:cs="Times New Roman"/>
          <w:color w:val="000000"/>
          <w:szCs w:val="24"/>
          <w:lang w:val="x-none" w:eastAsia="lv-LV"/>
        </w:rPr>
        <w:t>dienā pēc tā publikācijas oficiālajā izdevumā „Latvijas Vēstnesis” (trešā daļa).</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Minētajās normās paredzēto regulējumu sasaistot ar izskatāmās lietas apstākļiem, atzīstams, ka likumdevēja mērķis bija, no vienas puses, nodrošināt parādnieka tiesību tikt informētam (brīdinātam) par kreditora vēlmi iesniegt pieteikumu tiesā, bet, no otras puses, noteikt īpašu procedūru, kādā kreditors ar zvērināta notāra starpniecību var nodot pirmstiesas brīdinājumu parādniekam, kurš, piemēram, ir mainījis savu dzīvesvietu vai radušies citi no </w:t>
      </w:r>
      <w:r w:rsidRPr="00592873">
        <w:rPr>
          <w:rFonts w:eastAsia="Times New Roman" w:cs="Times New Roman"/>
          <w:color w:val="000000"/>
          <w:szCs w:val="24"/>
          <w:lang w:eastAsia="lv-LV"/>
        </w:rPr>
        <w:lastRenderedPageBreak/>
        <w:t>kreditora gribas neatkarīgi šķēršļi, kas kavē šā brīdinājuma izsniegšanu parādniekam personīgi. Tādējādi tiek panākts saprātīgs līdzsvars starp līguma dalībnieku tiesībām un pienākumiem.</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Oficiālo publikāciju un tiesiskās informācijas likuma </w:t>
      </w:r>
      <w:proofErr w:type="gramStart"/>
      <w:r w:rsidRPr="00592873">
        <w:rPr>
          <w:rFonts w:eastAsia="Times New Roman" w:cs="Times New Roman"/>
          <w:color w:val="000000"/>
          <w:szCs w:val="24"/>
          <w:lang w:eastAsia="lv-LV"/>
        </w:rPr>
        <w:t>10.panta</w:t>
      </w:r>
      <w:proofErr w:type="gramEnd"/>
      <w:r w:rsidRPr="00592873">
        <w:rPr>
          <w:rFonts w:eastAsia="Times New Roman" w:cs="Times New Roman"/>
          <w:color w:val="000000"/>
          <w:szCs w:val="24"/>
          <w:lang w:eastAsia="lv-LV"/>
        </w:rPr>
        <w:t xml:space="preserve"> pirmā daļa noteic, ka oficiālajā izdevumā kā oficiālus paziņojumus publicē publisko reģistru ierakstus, [..] un privātpersonu sludinājumus, paziņojumus vai informāciju, jo to oficiālu publicēšanu paredz ārējie normatīvie akti. Savukārt atbilstoši šā likuma </w:t>
      </w:r>
      <w:proofErr w:type="gramStart"/>
      <w:r w:rsidRPr="00592873">
        <w:rPr>
          <w:rFonts w:eastAsia="Times New Roman" w:cs="Times New Roman"/>
          <w:color w:val="000000"/>
          <w:szCs w:val="24"/>
          <w:lang w:eastAsia="lv-LV"/>
        </w:rPr>
        <w:t>2.panta</w:t>
      </w:r>
      <w:proofErr w:type="gramEnd"/>
      <w:r w:rsidRPr="00592873">
        <w:rPr>
          <w:rFonts w:eastAsia="Times New Roman" w:cs="Times New Roman"/>
          <w:color w:val="000000"/>
          <w:szCs w:val="24"/>
          <w:lang w:eastAsia="lv-LV"/>
        </w:rPr>
        <w:t xml:space="preserve"> otrajai daļai oficiālā publikācija ir publiski ticama un saistoša. Neviens nevar aizbildināties ar oficiālajā izdevumā publicēto tiesību aktu vai oficiālo paziņojumu nezināšanu (</w:t>
      </w:r>
      <w:r w:rsidRPr="00592873">
        <w:rPr>
          <w:rFonts w:eastAsia="Times New Roman" w:cs="Times New Roman"/>
          <w:i/>
          <w:iCs/>
          <w:color w:val="000000"/>
          <w:szCs w:val="24"/>
          <w:lang w:eastAsia="lv-LV"/>
        </w:rPr>
        <w:t xml:space="preserve">sk. Augstākās tiesas </w:t>
      </w:r>
      <w:proofErr w:type="gramStart"/>
      <w:r w:rsidRPr="00592873">
        <w:rPr>
          <w:rFonts w:eastAsia="Times New Roman" w:cs="Times New Roman"/>
          <w:i/>
          <w:iCs/>
          <w:color w:val="000000"/>
          <w:szCs w:val="24"/>
          <w:lang w:eastAsia="lv-LV"/>
        </w:rPr>
        <w:t>2014.gada</w:t>
      </w:r>
      <w:proofErr w:type="gramEnd"/>
      <w:r w:rsidRPr="00592873">
        <w:rPr>
          <w:rFonts w:eastAsia="Times New Roman" w:cs="Times New Roman"/>
          <w:i/>
          <w:iCs/>
          <w:color w:val="000000"/>
          <w:szCs w:val="24"/>
          <w:lang w:eastAsia="lv-LV"/>
        </w:rPr>
        <w:t xml:space="preserve"> 4.jūnija lēmuma lietā </w:t>
      </w:r>
      <w:proofErr w:type="spellStart"/>
      <w:r w:rsidRPr="00592873">
        <w:rPr>
          <w:rFonts w:eastAsia="Times New Roman" w:cs="Times New Roman"/>
          <w:i/>
          <w:iCs/>
          <w:color w:val="000000"/>
          <w:szCs w:val="24"/>
          <w:lang w:eastAsia="lv-LV"/>
        </w:rPr>
        <w:t>Nr.SPC-14</w:t>
      </w:r>
      <w:proofErr w:type="spellEnd"/>
      <w:r w:rsidRPr="00592873">
        <w:rPr>
          <w:rFonts w:eastAsia="Times New Roman" w:cs="Times New Roman"/>
          <w:i/>
          <w:iCs/>
          <w:color w:val="000000"/>
          <w:szCs w:val="24"/>
          <w:lang w:eastAsia="lv-LV"/>
        </w:rPr>
        <w:t>/2014 (Nr.3-12/6953) 4.2.punktu</w:t>
      </w:r>
      <w:r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Ievērojot iepriekš norādīto, kontekstā ar daudziem citiem argumentiem, Augstākā tiesa atzina, ka, kreditoram pievienojot pieteikumam zvērināta notāra izdoto apliecību, kas kvalificējama kā attiecīga paziņojuma nodošanas adresātam faktu apstiprinošs dokuments, Civilprocesa likuma </w:t>
      </w:r>
      <w:proofErr w:type="gramStart"/>
      <w:r w:rsidRPr="00592873">
        <w:rPr>
          <w:rFonts w:eastAsia="Times New Roman" w:cs="Times New Roman"/>
          <w:color w:val="000000"/>
          <w:szCs w:val="24"/>
          <w:lang w:eastAsia="lv-LV"/>
        </w:rPr>
        <w:t>404.panta</w:t>
      </w:r>
      <w:proofErr w:type="gramEnd"/>
      <w:r w:rsidRPr="00592873">
        <w:rPr>
          <w:rFonts w:eastAsia="Times New Roman" w:cs="Times New Roman"/>
          <w:color w:val="000000"/>
          <w:szCs w:val="24"/>
          <w:lang w:eastAsia="lv-LV"/>
        </w:rPr>
        <w:t xml:space="preserve"> trešās daļas 3.punkta noteikumi nav pārkāpti.</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Augstākā tiesa, nesaskatot pamatu atkāpties no judikatūrā nostiprinātā tiesību normas iztulkojuma, vienlaikus atzīst, ka tas attiecināms arī uz Civilprocesa likuma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otro daļu.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Līdz ar to secināms, ka, pievienojot pieteikumam zvērināta notāra izdoto apliecību, AS „</w:t>
      </w:r>
      <w:proofErr w:type="spellStart"/>
      <w:r w:rsidRPr="00592873">
        <w:rPr>
          <w:rFonts w:eastAsia="Times New Roman" w:cs="Times New Roman"/>
          <w:color w:val="000000"/>
          <w:szCs w:val="24"/>
          <w:lang w:eastAsia="lv-LV"/>
        </w:rPr>
        <w:t>Swedbank</w:t>
      </w:r>
      <w:proofErr w:type="spellEnd"/>
      <w:r w:rsidRPr="00592873">
        <w:rPr>
          <w:rFonts w:eastAsia="Times New Roman" w:cs="Times New Roman"/>
          <w:color w:val="000000"/>
          <w:szCs w:val="24"/>
          <w:lang w:eastAsia="lv-LV"/>
        </w:rPr>
        <w:t xml:space="preserve">” ievērojusi Civilprocesa likuma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otrajā daļā noteikto pienākumu iesniegt pierādījumus par parādnieces brīdinājumu.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Pretējā gadījumā apstākļos, kad parādnieks nav sastopams deklarētajā dzīvesvietā un arī pēc uzaicinājuma neierodas saņemt nosūtīto brīdinājumu, prasība, lai parādnieks brīdinājumu būtu saņēmis personīgi, faktiski atņemtu kreditoram tiesības saistību neizpildes gadījumā prasīt no parādnieka vai ķīlas devēja saistību izpildes nodrošinājumam ieķīlātā nekustamā īpašuma labprātīgu pārdošanu izsolē tiesas ceļā.</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Arī šajā lietā ir konstatēts, ka notāra publicētais paziņojums oficiālajā izdevumā „Latvijas Vēstnesis” ir tikai daļa no parādnieces </w:t>
      </w:r>
      <w:r w:rsidR="002F0E8A" w:rsidRPr="00592873">
        <w:rPr>
          <w:rFonts w:eastAsia="Times New Roman" w:cs="Times New Roman"/>
          <w:color w:val="000000"/>
          <w:szCs w:val="24"/>
          <w:lang w:eastAsia="lv-LV"/>
        </w:rPr>
        <w:t>[pers. A]</w:t>
      </w:r>
      <w:r w:rsidRPr="00592873">
        <w:rPr>
          <w:rFonts w:eastAsia="Times New Roman" w:cs="Times New Roman"/>
          <w:color w:val="000000"/>
          <w:szCs w:val="24"/>
          <w:lang w:eastAsia="lv-LV"/>
        </w:rPr>
        <w:t xml:space="preserve"> brīdināšanas procesa, jo vispirms viņai nosūtīts paziņojums uz parādnieces deklarēto dzīvesvietas adresi </w:t>
      </w:r>
      <w:r w:rsidR="005E4A4F" w:rsidRPr="00592873">
        <w:rPr>
          <w:rFonts w:eastAsia="Times New Roman" w:cs="Times New Roman"/>
          <w:color w:val="000000"/>
          <w:szCs w:val="24"/>
          <w:lang w:eastAsia="lv-LV"/>
        </w:rPr>
        <w:t>[</w:t>
      </w:r>
      <w:r w:rsidR="00BF5D69" w:rsidRPr="00592873">
        <w:rPr>
          <w:rFonts w:eastAsia="Times New Roman" w:cs="Times New Roman"/>
          <w:color w:val="000000"/>
          <w:szCs w:val="24"/>
          <w:lang w:eastAsia="lv-LV"/>
        </w:rPr>
        <w:t>adrese]</w:t>
      </w:r>
      <w:r w:rsidRPr="00592873">
        <w:rPr>
          <w:rFonts w:eastAsia="Times New Roman" w:cs="Times New Roman"/>
          <w:color w:val="000000"/>
          <w:szCs w:val="24"/>
          <w:lang w:eastAsia="lv-LV"/>
        </w:rPr>
        <w:t xml:space="preserve">, bet </w:t>
      </w:r>
      <w:proofErr w:type="gramStart"/>
      <w:r w:rsidRPr="00592873">
        <w:rPr>
          <w:rFonts w:eastAsia="Times New Roman" w:cs="Times New Roman"/>
          <w:color w:val="000000"/>
          <w:szCs w:val="24"/>
          <w:lang w:eastAsia="lv-LV"/>
        </w:rPr>
        <w:t>2015.gada</w:t>
      </w:r>
      <w:proofErr w:type="gramEnd"/>
      <w:r w:rsidRPr="00592873">
        <w:rPr>
          <w:rFonts w:eastAsia="Times New Roman" w:cs="Times New Roman"/>
          <w:color w:val="000000"/>
          <w:szCs w:val="24"/>
          <w:lang w:eastAsia="lv-LV"/>
        </w:rPr>
        <w:t xml:space="preserve"> 7.jūlijā minētais paziņojums saņemts atpakaļ ar norādi: „Adresāts nebija mājās. Atstāts uzaicinājums. Beidzies glabāšanas laiks”</w:t>
      </w:r>
      <w:r w:rsidR="00DE4D7D" w:rsidRPr="00592873">
        <w:rPr>
          <w:rFonts w:eastAsia="Times New Roman" w:cs="Times New Roman"/>
          <w:color w:val="000000"/>
          <w:szCs w:val="24"/>
          <w:lang w:eastAsia="lv-LV"/>
        </w:rPr>
        <w:t>.</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Tātad </w:t>
      </w:r>
      <w:r w:rsidR="005E4A4F" w:rsidRPr="00592873">
        <w:rPr>
          <w:rFonts w:eastAsia="Times New Roman" w:cs="Times New Roman"/>
          <w:color w:val="000000"/>
          <w:szCs w:val="24"/>
          <w:lang w:eastAsia="lv-LV"/>
        </w:rPr>
        <w:t>[pers. A]</w:t>
      </w:r>
      <w:r w:rsidRPr="00592873">
        <w:rPr>
          <w:rFonts w:eastAsia="Times New Roman" w:cs="Times New Roman"/>
          <w:color w:val="000000"/>
          <w:szCs w:val="24"/>
          <w:lang w:eastAsia="lv-LV"/>
        </w:rPr>
        <w:t xml:space="preserve"> atteikusies doties uz pastu saņemt brīdinājumu, un publikācija oficiālajā izdevumā „Latvijas Vēstnesis” ir bijis vēl papildu līdzeklis, lai novērstu tādas sūtījuma nesaņemšanas sekas, kuras izsaukusi parādnieka neattaisnojama rīcība (bezdarbība), ko katrā ziņā nevar atzīt par tiesību labticīgu izmantošanu.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[5.5] Civilprocesa likuma </w:t>
      </w:r>
      <w:proofErr w:type="gramStart"/>
      <w:r w:rsidRPr="00592873">
        <w:rPr>
          <w:rFonts w:eastAsia="Times New Roman" w:cs="Times New Roman"/>
          <w:color w:val="000000"/>
          <w:szCs w:val="24"/>
          <w:lang w:eastAsia="lv-LV"/>
        </w:rPr>
        <w:t>396.pants</w:t>
      </w:r>
      <w:proofErr w:type="gramEnd"/>
      <w:r w:rsidRPr="00592873">
        <w:rPr>
          <w:rFonts w:eastAsia="Times New Roman" w:cs="Times New Roman"/>
          <w:color w:val="000000"/>
          <w:szCs w:val="24"/>
          <w:lang w:eastAsia="lv-LV"/>
        </w:rPr>
        <w:t xml:space="preserve"> nenosaka, kā tieši brīdināšana ir izdarāma. Ņemot vērā, ka par brīdināšanu rūpējas ķīlas ņēmējs, nevis tiesa, brīdinājuma izsniegšanas veidi nav ierobežoti ar Civilprocesa likuma 6.nodaļā paredzētajiem, un faktiski brīdinājums izdarāms jebkurā likumā vai līgumā atļautā veidā.</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Līdz ar to Civilprocesa likuma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otrās daļas pēdējā teikumā paredzētais zvērināta tiesu izpildītāja vai viņa palīga sastādīts akts par atteikšanos saņemt brīdinājumu nevis ierobežo brīdināšanas veidus, bet uzsver, ka nav vienmēr jābūt pozitīvi apliecinātam brīdinājuma saņemšanas faktam, bet pietiek arī ar kompetentas amatpersonas fiksētu negatīvu (atteikšanās saņemt) faktu.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[5.6] Būtiski atzīmēt, ka Civilprocesa likuma septītajā sadaļā „Saistību izpildīšana tiesas ceļā” ir paredzētas divas atšķirīgas brīdināšanas kārtības.</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Proti, Civilprocesa likuma 50.</w:t>
      </w:r>
      <w:r w:rsidRPr="00592873">
        <w:rPr>
          <w:rFonts w:eastAsia="Times New Roman" w:cs="Times New Roman"/>
          <w:color w:val="000000"/>
          <w:szCs w:val="24"/>
          <w:vertAlign w:val="superscript"/>
          <w:lang w:eastAsia="lv-LV"/>
        </w:rPr>
        <w:t>1</w:t>
      </w:r>
      <w:r w:rsidRPr="00592873">
        <w:rPr>
          <w:rFonts w:eastAsia="Times New Roman" w:cs="Times New Roman"/>
          <w:color w:val="000000"/>
          <w:szCs w:val="24"/>
          <w:lang w:eastAsia="lv-LV"/>
        </w:rPr>
        <w:t>nodaļas „Saistību piespiedu izpildīšana brīdinājuma kārtībā” 406.</w:t>
      </w:r>
      <w:proofErr w:type="gramStart"/>
      <w:r w:rsidRPr="00592873">
        <w:rPr>
          <w:rFonts w:eastAsia="Times New Roman" w:cs="Times New Roman"/>
          <w:color w:val="000000"/>
          <w:szCs w:val="24"/>
          <w:vertAlign w:val="superscript"/>
          <w:lang w:eastAsia="lv-LV"/>
        </w:rPr>
        <w:t>6</w:t>
      </w:r>
      <w:r w:rsidRPr="00592873">
        <w:rPr>
          <w:rFonts w:eastAsia="Times New Roman" w:cs="Times New Roman"/>
          <w:color w:val="000000"/>
          <w:szCs w:val="24"/>
          <w:lang w:eastAsia="lv-LV"/>
        </w:rPr>
        <w:t>panta</w:t>
      </w:r>
      <w:proofErr w:type="gramEnd"/>
      <w:r w:rsidRPr="00592873">
        <w:rPr>
          <w:rFonts w:eastAsia="Times New Roman" w:cs="Times New Roman"/>
          <w:color w:val="000000"/>
          <w:szCs w:val="24"/>
          <w:lang w:eastAsia="lv-LV"/>
        </w:rPr>
        <w:t xml:space="preserve"> pirmā daļa paredz brīdinājuma izsniegšanu parādniekam pret parakstu.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lastRenderedPageBreak/>
        <w:t xml:space="preserve">Turpretī 49.nodaļā „Nekustamā īpašuma labprātīga pārdošana izsolē tiesas ceļā” iekļautā </w:t>
      </w:r>
      <w:proofErr w:type="gramStart"/>
      <w:r w:rsidRPr="00592873">
        <w:rPr>
          <w:rFonts w:eastAsia="Times New Roman" w:cs="Times New Roman"/>
          <w:color w:val="000000"/>
          <w:szCs w:val="24"/>
          <w:lang w:eastAsia="lv-LV"/>
        </w:rPr>
        <w:t>396.panta</w:t>
      </w:r>
      <w:proofErr w:type="gramEnd"/>
      <w:r w:rsidRPr="00592873">
        <w:rPr>
          <w:rFonts w:eastAsia="Times New Roman" w:cs="Times New Roman"/>
          <w:color w:val="000000"/>
          <w:szCs w:val="24"/>
          <w:lang w:eastAsia="lv-LV"/>
        </w:rPr>
        <w:t xml:space="preserve"> otrajā daļā, kā arī 50.nodaļā „Saistību bezstrīdus piespiedu izpildīšana” iekļautā 404.panta trešās daļas 3.punktā likumdevējs nav noteicis prasību par brīdinājuma izsniegšanu parādniekam pret parakstu.</w:t>
      </w:r>
    </w:p>
    <w:p w:rsidR="00CE031A" w:rsidRPr="00592873" w:rsidRDefault="00CE031A" w:rsidP="002F0E8A">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Šāda atšķirība ir saprotama, ievērojot Civilprocesa likuma 50.</w:t>
      </w:r>
      <w:r w:rsidRPr="00592873">
        <w:rPr>
          <w:rFonts w:eastAsia="Times New Roman" w:cs="Times New Roman"/>
          <w:color w:val="000000"/>
          <w:szCs w:val="24"/>
          <w:vertAlign w:val="superscript"/>
          <w:lang w:eastAsia="lv-LV"/>
        </w:rPr>
        <w:t>1</w:t>
      </w:r>
      <w:r w:rsidRPr="00592873">
        <w:rPr>
          <w:rFonts w:eastAsia="Times New Roman" w:cs="Times New Roman"/>
          <w:color w:val="000000"/>
          <w:szCs w:val="24"/>
          <w:lang w:eastAsia="lv-LV"/>
        </w:rPr>
        <w:t>nodaļā ietvertā tiesību institūta būtību un tiesisko regulējumu, kas paredz, ka pēc kreditora pieteikuma par saistību piespiedu izpildīšanu brīdinājuma kārtībā saņemšanas tiesa nepārbauda prasījuma pamatotību un brīdinājumā, ko nosūta pati tiesa, informē par to parādnieku.</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 xml:space="preserve">Grozījumi, kas vairākkārt izdarīti gan Civilprocesa likuma </w:t>
      </w:r>
      <w:proofErr w:type="gramStart"/>
      <w:r w:rsidRPr="00592873">
        <w:rPr>
          <w:rFonts w:eastAsia="Times New Roman" w:cs="Times New Roman"/>
          <w:color w:val="000000"/>
          <w:szCs w:val="24"/>
          <w:lang w:eastAsia="lv-LV"/>
        </w:rPr>
        <w:t>396.pantā</w:t>
      </w:r>
      <w:proofErr w:type="gramEnd"/>
      <w:r w:rsidRPr="00592873">
        <w:rPr>
          <w:rFonts w:eastAsia="Times New Roman" w:cs="Times New Roman"/>
          <w:color w:val="000000"/>
          <w:szCs w:val="24"/>
          <w:lang w:eastAsia="lv-LV"/>
        </w:rPr>
        <w:t>, gan 404.pantā, liecina par likumdevēja pievēršanos minētajās tiesību normās ietvertā regulējuma precizēšanai, un parādnieka brīdināšanas kārtība arī šajās normās</w:t>
      </w:r>
      <w:r w:rsidR="005E4A4F" w:rsidRPr="00592873">
        <w:rPr>
          <w:rFonts w:eastAsia="Times New Roman" w:cs="Times New Roman"/>
          <w:color w:val="000000"/>
          <w:szCs w:val="24"/>
          <w:lang w:eastAsia="lv-LV"/>
        </w:rPr>
        <w:t>,</w:t>
      </w:r>
      <w:r w:rsidRPr="00592873">
        <w:rPr>
          <w:rFonts w:eastAsia="Times New Roman" w:cs="Times New Roman"/>
          <w:color w:val="000000"/>
          <w:szCs w:val="24"/>
          <w:lang w:eastAsia="lv-LV"/>
        </w:rPr>
        <w:t xml:space="preserve"> visticamāk</w:t>
      </w:r>
      <w:r w:rsidR="005E4A4F" w:rsidRPr="00592873">
        <w:rPr>
          <w:rFonts w:eastAsia="Times New Roman" w:cs="Times New Roman"/>
          <w:color w:val="000000"/>
          <w:szCs w:val="24"/>
          <w:lang w:eastAsia="lv-LV"/>
        </w:rPr>
        <w:t>,</w:t>
      </w:r>
      <w:r w:rsidRPr="00592873">
        <w:rPr>
          <w:rFonts w:eastAsia="Times New Roman" w:cs="Times New Roman"/>
          <w:color w:val="000000"/>
          <w:szCs w:val="24"/>
          <w:lang w:eastAsia="lv-LV"/>
        </w:rPr>
        <w:t xml:space="preserve"> būtu noteikta vienādi ar Civilprocesa likuma 406.</w:t>
      </w:r>
      <w:r w:rsidRPr="00592873">
        <w:rPr>
          <w:rFonts w:eastAsia="Times New Roman" w:cs="Times New Roman"/>
          <w:color w:val="000000"/>
          <w:szCs w:val="24"/>
          <w:vertAlign w:val="superscript"/>
          <w:lang w:eastAsia="lv-LV"/>
        </w:rPr>
        <w:t>6</w:t>
      </w:r>
      <w:r w:rsidRPr="00592873">
        <w:rPr>
          <w:rFonts w:eastAsia="Times New Roman" w:cs="Times New Roman"/>
          <w:color w:val="000000"/>
          <w:szCs w:val="24"/>
          <w:lang w:eastAsia="lv-LV"/>
        </w:rPr>
        <w:t>panta pirmajā daļā noteikto kārtību, ja vien tāda būtu bijusi likumdevēja griba.</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No iepriekš norādītā secināms, ka likumdevējs atšķirības attiecībā uz parādnieka brīdinājumu minētajās procesuālo tiesību normās ir noteicis apzināti, un līdz ar to Civilprocesa likuma 406.</w:t>
      </w:r>
      <w:proofErr w:type="gramStart"/>
      <w:r w:rsidRPr="00592873">
        <w:rPr>
          <w:rFonts w:eastAsia="Times New Roman" w:cs="Times New Roman"/>
          <w:color w:val="000000"/>
          <w:szCs w:val="24"/>
          <w:vertAlign w:val="superscript"/>
          <w:lang w:eastAsia="lv-LV"/>
        </w:rPr>
        <w:t>6</w:t>
      </w:r>
      <w:r w:rsidRPr="00592873">
        <w:rPr>
          <w:rFonts w:eastAsia="Times New Roman" w:cs="Times New Roman"/>
          <w:color w:val="000000"/>
          <w:szCs w:val="24"/>
          <w:lang w:eastAsia="lv-LV"/>
        </w:rPr>
        <w:t>panta</w:t>
      </w:r>
      <w:proofErr w:type="gramEnd"/>
      <w:r w:rsidRPr="00592873">
        <w:rPr>
          <w:rFonts w:eastAsia="Times New Roman" w:cs="Times New Roman"/>
          <w:color w:val="000000"/>
          <w:szCs w:val="24"/>
          <w:lang w:eastAsia="lv-LV"/>
        </w:rPr>
        <w:t xml:space="preserve"> pirmajā daļā ietvertā prasība par brīdinājuma izsniegšanu pret parakstu kā vienīgo brīdinājuma veidu nav attiecināma uz parādnieka brīdinājumu, kas izdarīts pirms pieteikuma iesniegšanas tiesā un pievienojams kā pierādījums atbilstoši Civilprocesa likuma 396.panta otrajai daļai.</w:t>
      </w:r>
    </w:p>
    <w:p w:rsidR="00CE031A" w:rsidRPr="00592873"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[5.7] Augstākā tiesa konstatē, ka tādas tiesību doktrīnas atziņas, kuras „citējis” tiesnesis (šā lēmuma [2.4] punkts), Civilprocesa likuma komentāru II daļas (29.</w:t>
      </w:r>
      <w:r w:rsidR="005E4A4F" w:rsidRPr="00592873">
        <w:rPr>
          <w:rFonts w:eastAsia="Times New Roman" w:cs="Times New Roman"/>
          <w:color w:val="000000"/>
          <w:szCs w:val="24"/>
          <w:lang w:eastAsia="lv-LV"/>
        </w:rPr>
        <w:noBreakHyphen/>
      </w:r>
      <w:r w:rsidRPr="00592873">
        <w:rPr>
          <w:rFonts w:eastAsia="Times New Roman" w:cs="Times New Roman"/>
          <w:color w:val="000000"/>
          <w:szCs w:val="24"/>
          <w:lang w:eastAsia="lv-LV"/>
        </w:rPr>
        <w:t>60.</w:t>
      </w:r>
      <w:r w:rsidRPr="00592873">
        <w:rPr>
          <w:rFonts w:eastAsia="Times New Roman" w:cs="Times New Roman"/>
          <w:color w:val="000000"/>
          <w:szCs w:val="24"/>
          <w:vertAlign w:val="superscript"/>
          <w:lang w:eastAsia="lv-LV"/>
        </w:rPr>
        <w:t>1</w:t>
      </w:r>
      <w:r w:rsidRPr="00592873">
        <w:rPr>
          <w:rFonts w:eastAsia="Times New Roman" w:cs="Times New Roman"/>
          <w:color w:val="000000"/>
          <w:szCs w:val="24"/>
          <w:lang w:eastAsia="lv-LV"/>
        </w:rPr>
        <w:t xml:space="preserve">nodaļa), ko sagatavojis autoru kolektīvs profesora K.Torgāna zinātniskajā redakcijā un </w:t>
      </w:r>
      <w:proofErr w:type="gramStart"/>
      <w:r w:rsidRPr="00592873">
        <w:rPr>
          <w:rFonts w:eastAsia="Times New Roman" w:cs="Times New Roman"/>
          <w:color w:val="000000"/>
          <w:szCs w:val="24"/>
          <w:lang w:eastAsia="lv-LV"/>
        </w:rPr>
        <w:t>2012.gadā</w:t>
      </w:r>
      <w:proofErr w:type="gramEnd"/>
      <w:r w:rsidRPr="00592873">
        <w:rPr>
          <w:rFonts w:eastAsia="Times New Roman" w:cs="Times New Roman"/>
          <w:color w:val="000000"/>
          <w:szCs w:val="24"/>
          <w:lang w:eastAsia="lv-LV"/>
        </w:rPr>
        <w:t xml:space="preserve"> izdevusi Tiesu namu aģentūra, 641.lappusē, faktiski nav atrodamas. Tādējādi ir acīmredzami, ka tiesnesis savu viedokli par Notariāta likuma normu pārnešanas uz analizējamo gadījumu nepieļaujamību pasniedzis kā saskanīgu ar autoritatīva tiesību eksperta profesora K.Torgāna atziņām, kas patiesībā tā nav.</w:t>
      </w:r>
    </w:p>
    <w:p w:rsidR="00CE031A" w:rsidRPr="00CE031A" w:rsidRDefault="00CE031A" w:rsidP="005E4A4F">
      <w:pPr>
        <w:spacing w:after="0" w:line="276" w:lineRule="auto"/>
        <w:ind w:firstLine="567"/>
        <w:jc w:val="both"/>
        <w:rPr>
          <w:rFonts w:eastAsia="Times New Roman" w:cs="Times New Roman"/>
          <w:color w:val="000000"/>
          <w:szCs w:val="24"/>
          <w:lang w:eastAsia="lv-LV"/>
        </w:rPr>
      </w:pPr>
      <w:r w:rsidRPr="00592873">
        <w:rPr>
          <w:rFonts w:eastAsia="Times New Roman" w:cs="Times New Roman"/>
          <w:color w:val="000000"/>
          <w:szCs w:val="24"/>
          <w:lang w:eastAsia="lv-LV"/>
        </w:rPr>
        <w:t>[5.8] Ievērojot iepriekš norādīto, Civillietu departaments atzīst, ka AS „</w:t>
      </w:r>
      <w:proofErr w:type="spellStart"/>
      <w:r w:rsidRPr="00592873">
        <w:rPr>
          <w:rFonts w:eastAsia="Times New Roman" w:cs="Times New Roman"/>
          <w:color w:val="000000"/>
          <w:szCs w:val="24"/>
          <w:lang w:eastAsia="lv-LV"/>
        </w:rPr>
        <w:t>Swedbank</w:t>
      </w:r>
      <w:proofErr w:type="spellEnd"/>
      <w:r w:rsidRPr="00592873">
        <w:rPr>
          <w:rFonts w:eastAsia="Times New Roman" w:cs="Times New Roman"/>
          <w:color w:val="000000"/>
          <w:szCs w:val="24"/>
          <w:lang w:eastAsia="lv-LV"/>
        </w:rPr>
        <w:t>” pieteikums par nekustamā īpašuma pārdošanu labprātīgā izsolē tiesas ceļā noraidīts bez pietiekama pamata, tādē</w:t>
      </w:r>
      <w:r w:rsidR="004A1F49" w:rsidRPr="00592873">
        <w:rPr>
          <w:rFonts w:eastAsia="Times New Roman" w:cs="Times New Roman"/>
          <w:color w:val="000000"/>
          <w:szCs w:val="24"/>
          <w:lang w:eastAsia="lv-LV"/>
        </w:rPr>
        <w:t>ļ protests</w:t>
      </w:r>
      <w:r w:rsidR="00BF5D69" w:rsidRPr="00592873">
        <w:rPr>
          <w:rFonts w:eastAsia="Times New Roman" w:cs="Times New Roman"/>
          <w:color w:val="000000"/>
          <w:szCs w:val="24"/>
          <w:lang w:eastAsia="lv-LV"/>
        </w:rPr>
        <w:t xml:space="preserve"> </w:t>
      </w:r>
      <w:r w:rsidR="004A1F49" w:rsidRPr="00592873">
        <w:rPr>
          <w:rFonts w:eastAsia="Times New Roman" w:cs="Times New Roman"/>
          <w:color w:val="000000"/>
          <w:szCs w:val="24"/>
          <w:lang w:eastAsia="lv-LV"/>
        </w:rPr>
        <w:t>ir</w:t>
      </w:r>
      <w:r w:rsidR="00BF5D69" w:rsidRPr="00592873">
        <w:rPr>
          <w:rFonts w:eastAsia="Times New Roman" w:cs="Times New Roman"/>
          <w:color w:val="000000"/>
          <w:szCs w:val="24"/>
          <w:lang w:eastAsia="lv-LV"/>
        </w:rPr>
        <w:t xml:space="preserve"> </w:t>
      </w:r>
      <w:r w:rsidR="004A1F49" w:rsidRPr="00592873">
        <w:rPr>
          <w:rFonts w:eastAsia="Times New Roman" w:cs="Times New Roman"/>
          <w:color w:val="000000"/>
          <w:szCs w:val="24"/>
          <w:lang w:eastAsia="lv-LV"/>
        </w:rPr>
        <w:t>apmierināms</w:t>
      </w:r>
      <w:r w:rsidR="004A1F49">
        <w:rPr>
          <w:rFonts w:eastAsia="Times New Roman" w:cs="Times New Roman"/>
          <w:color w:val="000000"/>
          <w:szCs w:val="24"/>
          <w:lang w:eastAsia="lv-LV"/>
        </w:rPr>
        <w:t>.</w:t>
      </w:r>
    </w:p>
    <w:p w:rsidR="00CE031A" w:rsidRPr="00CE031A" w:rsidRDefault="00CE031A" w:rsidP="005E4A4F">
      <w:pPr>
        <w:spacing w:before="120" w:after="120" w:line="276" w:lineRule="auto"/>
        <w:jc w:val="center"/>
        <w:rPr>
          <w:rFonts w:eastAsia="Times New Roman" w:cs="Times New Roman"/>
          <w:color w:val="000000"/>
          <w:szCs w:val="24"/>
          <w:lang w:eastAsia="lv-LV"/>
        </w:rPr>
      </w:pPr>
      <w:r w:rsidRPr="00CE031A">
        <w:rPr>
          <w:rFonts w:eastAsia="Times New Roman" w:cs="Times New Roman"/>
          <w:b/>
          <w:bCs/>
          <w:color w:val="000000"/>
          <w:szCs w:val="24"/>
          <w:lang w:eastAsia="lv-LV"/>
        </w:rPr>
        <w:t>Rezolutīvā daļa</w:t>
      </w:r>
    </w:p>
    <w:p w:rsidR="00CE031A" w:rsidRPr="00CE031A" w:rsidRDefault="00CE031A" w:rsidP="005E4A4F">
      <w:pPr>
        <w:spacing w:after="0" w:line="276" w:lineRule="auto"/>
        <w:ind w:firstLine="567"/>
        <w:jc w:val="both"/>
        <w:rPr>
          <w:rFonts w:eastAsia="Times New Roman" w:cs="Times New Roman"/>
          <w:color w:val="000000"/>
          <w:szCs w:val="24"/>
          <w:lang w:eastAsia="lv-LV"/>
        </w:rPr>
      </w:pPr>
      <w:r w:rsidRPr="00CE031A">
        <w:rPr>
          <w:rFonts w:eastAsia="Times New Roman" w:cs="Times New Roman"/>
          <w:color w:val="000000"/>
          <w:szCs w:val="24"/>
          <w:lang w:eastAsia="lv-LV"/>
        </w:rPr>
        <w:t xml:space="preserve">Pamatojoties uz Civilprocesa likuma </w:t>
      </w:r>
      <w:proofErr w:type="gramStart"/>
      <w:r w:rsidRPr="00CE031A">
        <w:rPr>
          <w:rFonts w:eastAsia="Times New Roman" w:cs="Times New Roman"/>
          <w:color w:val="000000"/>
          <w:szCs w:val="24"/>
          <w:lang w:eastAsia="lv-LV"/>
        </w:rPr>
        <w:t>485.pantu</w:t>
      </w:r>
      <w:proofErr w:type="gramEnd"/>
      <w:r w:rsidRPr="00CE031A">
        <w:rPr>
          <w:rFonts w:eastAsia="Times New Roman" w:cs="Times New Roman"/>
          <w:color w:val="000000"/>
          <w:szCs w:val="24"/>
          <w:lang w:eastAsia="lv-LV"/>
        </w:rPr>
        <w:t xml:space="preserve"> un 474.panta 2.punktu, Augstākā tiesa</w:t>
      </w:r>
    </w:p>
    <w:p w:rsidR="00CE031A" w:rsidRPr="00F042C0" w:rsidRDefault="00CE031A" w:rsidP="005E4A4F">
      <w:pPr>
        <w:spacing w:before="120" w:after="120" w:line="276" w:lineRule="auto"/>
        <w:jc w:val="center"/>
        <w:rPr>
          <w:rFonts w:ascii="Times New Roman Bold" w:eastAsia="Times New Roman" w:hAnsi="Times New Roman Bold" w:cs="Times New Roman"/>
          <w:b/>
          <w:bCs/>
          <w:color w:val="000000"/>
          <w:spacing w:val="40"/>
          <w:szCs w:val="24"/>
          <w:lang w:eastAsia="lv-LV"/>
        </w:rPr>
      </w:pPr>
      <w:r w:rsidRPr="00F042C0">
        <w:rPr>
          <w:rFonts w:ascii="Times New Roman Bold" w:eastAsia="Times New Roman" w:hAnsi="Times New Roman Bold" w:cs="Times New Roman"/>
          <w:b/>
          <w:bCs/>
          <w:color w:val="000000"/>
          <w:spacing w:val="40"/>
          <w:szCs w:val="24"/>
          <w:lang w:eastAsia="lv-LV"/>
        </w:rPr>
        <w:t>nolēma</w:t>
      </w:r>
    </w:p>
    <w:p w:rsidR="00CE031A" w:rsidRPr="00CE031A" w:rsidRDefault="00CE031A" w:rsidP="00BF5D69">
      <w:pPr>
        <w:spacing w:after="0" w:line="276" w:lineRule="auto"/>
        <w:ind w:firstLine="567"/>
        <w:jc w:val="both"/>
        <w:rPr>
          <w:rFonts w:eastAsia="Times New Roman" w:cs="Times New Roman"/>
          <w:color w:val="000000"/>
          <w:szCs w:val="24"/>
          <w:lang w:eastAsia="lv-LV"/>
        </w:rPr>
      </w:pPr>
      <w:r w:rsidRPr="00CE031A">
        <w:rPr>
          <w:rFonts w:eastAsia="Times New Roman" w:cs="Times New Roman"/>
          <w:color w:val="000000"/>
          <w:szCs w:val="24"/>
          <w:lang w:eastAsia="lv-LV"/>
        </w:rPr>
        <w:t xml:space="preserve">Rīgas pilsētas Zemgales priekšpilsētas tiesas tiesneša </w:t>
      </w:r>
      <w:proofErr w:type="gramStart"/>
      <w:r w:rsidRPr="00CE031A">
        <w:rPr>
          <w:rFonts w:eastAsia="Times New Roman" w:cs="Times New Roman"/>
          <w:color w:val="000000"/>
          <w:szCs w:val="24"/>
          <w:lang w:eastAsia="lv-LV"/>
        </w:rPr>
        <w:t>2015.gada</w:t>
      </w:r>
      <w:proofErr w:type="gramEnd"/>
      <w:r w:rsidRPr="00CE031A">
        <w:rPr>
          <w:rFonts w:eastAsia="Times New Roman" w:cs="Times New Roman"/>
          <w:color w:val="000000"/>
          <w:szCs w:val="24"/>
          <w:lang w:eastAsia="lv-LV"/>
        </w:rPr>
        <w:t xml:space="preserve"> 16.decembra lēmumu atcelt un AS „</w:t>
      </w:r>
      <w:proofErr w:type="spellStart"/>
      <w:r w:rsidRPr="00CE031A">
        <w:rPr>
          <w:rFonts w:eastAsia="Times New Roman" w:cs="Times New Roman"/>
          <w:color w:val="000000"/>
          <w:szCs w:val="24"/>
          <w:lang w:eastAsia="lv-LV"/>
        </w:rPr>
        <w:t>Swedbank</w:t>
      </w:r>
      <w:proofErr w:type="spellEnd"/>
      <w:r w:rsidRPr="00CE031A">
        <w:rPr>
          <w:rFonts w:eastAsia="Times New Roman" w:cs="Times New Roman"/>
          <w:color w:val="000000"/>
          <w:szCs w:val="24"/>
          <w:lang w:eastAsia="lv-LV"/>
        </w:rPr>
        <w:t xml:space="preserve">” pieteikumu pret </w:t>
      </w:r>
      <w:r w:rsidR="005E4A4F">
        <w:rPr>
          <w:rFonts w:eastAsia="Times New Roman" w:cs="Times New Roman"/>
          <w:color w:val="000000"/>
          <w:szCs w:val="24"/>
          <w:lang w:eastAsia="lv-LV"/>
        </w:rPr>
        <w:t>[pers. A]</w:t>
      </w:r>
      <w:r w:rsidRPr="00CE031A">
        <w:rPr>
          <w:rFonts w:eastAsia="Times New Roman" w:cs="Times New Roman"/>
          <w:color w:val="000000"/>
          <w:szCs w:val="24"/>
          <w:lang w:eastAsia="lv-LV"/>
        </w:rPr>
        <w:t xml:space="preserve"> par nekustamā īpašuma labprātīgu pārdošanu izsolē tiesas ceļā nodot jaunai izskatīšanai tai pašai tiesai.</w:t>
      </w:r>
    </w:p>
    <w:p w:rsidR="00CE031A" w:rsidRDefault="00CE031A" w:rsidP="00BF5D69">
      <w:pPr>
        <w:spacing w:after="0" w:line="276" w:lineRule="auto"/>
        <w:ind w:firstLine="567"/>
        <w:jc w:val="both"/>
        <w:rPr>
          <w:rFonts w:eastAsia="Times New Roman" w:cs="Times New Roman"/>
          <w:color w:val="000000"/>
          <w:szCs w:val="24"/>
          <w:lang w:eastAsia="lv-LV"/>
        </w:rPr>
      </w:pPr>
      <w:r w:rsidRPr="00CE031A">
        <w:rPr>
          <w:rFonts w:eastAsia="Times New Roman" w:cs="Times New Roman"/>
          <w:color w:val="000000"/>
          <w:szCs w:val="24"/>
          <w:lang w:eastAsia="lv-LV"/>
        </w:rPr>
        <w:t>Lēmums nav pārsūdzams.</w:t>
      </w:r>
    </w:p>
    <w:p w:rsidR="0074529D" w:rsidRDefault="0074529D" w:rsidP="00BF5D69">
      <w:pPr>
        <w:spacing w:after="0" w:line="276" w:lineRule="auto"/>
        <w:ind w:firstLine="567"/>
        <w:jc w:val="both"/>
        <w:rPr>
          <w:rFonts w:cs="Times New Roman"/>
          <w:szCs w:val="24"/>
        </w:rPr>
      </w:pPr>
    </w:p>
    <w:p w:rsidR="0074529D" w:rsidRDefault="0074529D">
      <w:pPr>
        <w:rPr>
          <w:rFonts w:cs="Times New Roman"/>
          <w:szCs w:val="24"/>
        </w:rPr>
      </w:pPr>
      <w:r>
        <w:rPr>
          <w:rFonts w:cs="Times New Roman"/>
          <w:szCs w:val="24"/>
        </w:rPr>
        <w:br w:type="page"/>
      </w:r>
    </w:p>
    <w:p w:rsidR="0074529D" w:rsidRDefault="0074529D" w:rsidP="0074529D"/>
    <w:p w:rsidR="0074529D" w:rsidRPr="00F8380A" w:rsidRDefault="0074529D" w:rsidP="0074529D">
      <w:pPr>
        <w:spacing w:after="0" w:line="276" w:lineRule="auto"/>
        <w:jc w:val="center"/>
        <w:rPr>
          <w:rFonts w:cs="Times New Roman"/>
          <w:szCs w:val="24"/>
        </w:rPr>
      </w:pPr>
      <w:r w:rsidRPr="00F8380A">
        <w:rPr>
          <w:rFonts w:cs="Times New Roman"/>
          <w:szCs w:val="24"/>
        </w:rPr>
        <w:t>Augstākās tiesas Civillietu departamenta tiesnešu</w:t>
      </w:r>
    </w:p>
    <w:p w:rsidR="0074529D" w:rsidRPr="00F8380A" w:rsidRDefault="0074529D" w:rsidP="0074529D">
      <w:pPr>
        <w:spacing w:after="0" w:line="276" w:lineRule="auto"/>
        <w:jc w:val="center"/>
        <w:rPr>
          <w:rFonts w:eastAsia="Times New Roman" w:cs="Times New Roman"/>
          <w:szCs w:val="24"/>
          <w:lang w:eastAsia="lv-LV"/>
        </w:rPr>
      </w:pPr>
      <w:r w:rsidRPr="00F8380A">
        <w:rPr>
          <w:rFonts w:eastAsia="Times New Roman" w:cs="Times New Roman"/>
          <w:szCs w:val="24"/>
          <w:lang w:eastAsia="lv-LV"/>
        </w:rPr>
        <w:t xml:space="preserve">Vandas Cīrules, </w:t>
      </w:r>
      <w:proofErr w:type="spellStart"/>
      <w:r w:rsidRPr="00F8380A">
        <w:rPr>
          <w:rFonts w:eastAsia="Times New Roman" w:cs="Times New Roman"/>
          <w:szCs w:val="24"/>
          <w:lang w:eastAsia="lv-LV"/>
        </w:rPr>
        <w:t>Valerijana</w:t>
      </w:r>
      <w:proofErr w:type="spellEnd"/>
      <w:r w:rsidRPr="00F8380A">
        <w:rPr>
          <w:rFonts w:eastAsia="Times New Roman" w:cs="Times New Roman"/>
          <w:szCs w:val="24"/>
          <w:lang w:eastAsia="lv-LV"/>
        </w:rPr>
        <w:t xml:space="preserve"> </w:t>
      </w:r>
      <w:proofErr w:type="spellStart"/>
      <w:r w:rsidRPr="00F8380A">
        <w:rPr>
          <w:rFonts w:eastAsia="Times New Roman" w:cs="Times New Roman"/>
          <w:szCs w:val="24"/>
          <w:lang w:eastAsia="lv-LV"/>
        </w:rPr>
        <w:t>Jonikāna</w:t>
      </w:r>
      <w:proofErr w:type="spellEnd"/>
      <w:r w:rsidRPr="00F8380A">
        <w:rPr>
          <w:rFonts w:eastAsia="Times New Roman" w:cs="Times New Roman"/>
          <w:szCs w:val="24"/>
          <w:lang w:eastAsia="lv-LV"/>
        </w:rPr>
        <w:t xml:space="preserve">, Aivara Keiša, </w:t>
      </w:r>
    </w:p>
    <w:p w:rsidR="0074529D" w:rsidRPr="00F8380A" w:rsidRDefault="0074529D" w:rsidP="0074529D">
      <w:pPr>
        <w:spacing w:after="0" w:line="276" w:lineRule="auto"/>
        <w:jc w:val="center"/>
        <w:rPr>
          <w:rFonts w:eastAsia="Times New Roman" w:cs="Times New Roman"/>
          <w:szCs w:val="24"/>
          <w:lang w:eastAsia="lv-LV"/>
        </w:rPr>
      </w:pPr>
      <w:r w:rsidRPr="00F8380A">
        <w:rPr>
          <w:rFonts w:eastAsia="Times New Roman" w:cs="Times New Roman"/>
          <w:szCs w:val="24"/>
          <w:lang w:eastAsia="lv-LV"/>
        </w:rPr>
        <w:t xml:space="preserve">Intas </w:t>
      </w:r>
      <w:proofErr w:type="spellStart"/>
      <w:r w:rsidRPr="00F8380A">
        <w:rPr>
          <w:rFonts w:eastAsia="Times New Roman" w:cs="Times New Roman"/>
          <w:szCs w:val="24"/>
          <w:lang w:eastAsia="lv-LV"/>
        </w:rPr>
        <w:t>Laukas</w:t>
      </w:r>
      <w:proofErr w:type="spellEnd"/>
      <w:r w:rsidRPr="00F8380A">
        <w:rPr>
          <w:rFonts w:eastAsia="Times New Roman" w:cs="Times New Roman"/>
          <w:szCs w:val="24"/>
          <w:lang w:eastAsia="lv-LV"/>
        </w:rPr>
        <w:t xml:space="preserve">, Marikas </w:t>
      </w:r>
      <w:proofErr w:type="spellStart"/>
      <w:r w:rsidRPr="00F8380A">
        <w:rPr>
          <w:rFonts w:eastAsia="Times New Roman" w:cs="Times New Roman"/>
          <w:szCs w:val="24"/>
          <w:lang w:eastAsia="lv-LV"/>
        </w:rPr>
        <w:t>Senkānes</w:t>
      </w:r>
      <w:proofErr w:type="spellEnd"/>
      <w:r w:rsidRPr="00F8380A">
        <w:rPr>
          <w:rFonts w:eastAsia="Times New Roman" w:cs="Times New Roman"/>
          <w:szCs w:val="24"/>
          <w:lang w:eastAsia="lv-LV"/>
        </w:rPr>
        <w:t>, Andas Vītolas</w:t>
      </w:r>
    </w:p>
    <w:p w:rsidR="0074529D" w:rsidRPr="00F8380A" w:rsidRDefault="0074529D" w:rsidP="0074529D">
      <w:pPr>
        <w:spacing w:before="120" w:after="120" w:line="276" w:lineRule="auto"/>
        <w:jc w:val="center"/>
        <w:rPr>
          <w:rFonts w:cs="Times New Roman"/>
          <w:b/>
          <w:szCs w:val="24"/>
        </w:rPr>
      </w:pPr>
      <w:r w:rsidRPr="00F8380A">
        <w:rPr>
          <w:rFonts w:cs="Times New Roman"/>
          <w:b/>
          <w:szCs w:val="24"/>
        </w:rPr>
        <w:t>atsevišķās domas</w:t>
      </w:r>
    </w:p>
    <w:p w:rsidR="0074529D" w:rsidRPr="00F8380A" w:rsidRDefault="0074529D" w:rsidP="0074529D">
      <w:pPr>
        <w:spacing w:after="0" w:line="276" w:lineRule="auto"/>
        <w:jc w:val="center"/>
        <w:rPr>
          <w:rFonts w:eastAsia="Times New Roman" w:cs="Times New Roman"/>
          <w:szCs w:val="24"/>
          <w:lang w:eastAsia="lv-LV"/>
        </w:rPr>
      </w:pPr>
      <w:r w:rsidRPr="00F8380A">
        <w:rPr>
          <w:rFonts w:eastAsia="Times New Roman" w:cs="Times New Roman"/>
          <w:szCs w:val="24"/>
          <w:lang w:eastAsia="lv-LV"/>
        </w:rPr>
        <w:t xml:space="preserve">par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iztulkojumu </w:t>
      </w:r>
    </w:p>
    <w:p w:rsidR="0074529D" w:rsidRPr="00F8380A" w:rsidRDefault="0074529D" w:rsidP="0074529D">
      <w:pPr>
        <w:spacing w:after="0" w:line="276" w:lineRule="auto"/>
        <w:jc w:val="center"/>
        <w:rPr>
          <w:rFonts w:eastAsia="Times New Roman" w:cs="Times New Roman"/>
          <w:szCs w:val="24"/>
          <w:lang w:eastAsia="lv-LV"/>
        </w:rPr>
      </w:pPr>
      <w:r w:rsidRPr="00F8380A">
        <w:rPr>
          <w:rFonts w:eastAsia="Times New Roman" w:cs="Times New Roman"/>
          <w:szCs w:val="24"/>
          <w:lang w:eastAsia="lv-LV"/>
        </w:rPr>
        <w:t xml:space="preserve">Civillietu departamenta </w:t>
      </w:r>
      <w:proofErr w:type="gramStart"/>
      <w:r w:rsidRPr="00F8380A">
        <w:rPr>
          <w:rFonts w:eastAsia="Times New Roman" w:cs="Times New Roman"/>
          <w:szCs w:val="24"/>
          <w:lang w:eastAsia="lv-LV"/>
        </w:rPr>
        <w:t>2017.gada</w:t>
      </w:r>
      <w:proofErr w:type="gramEnd"/>
      <w:r w:rsidRPr="00F8380A">
        <w:rPr>
          <w:rFonts w:eastAsia="Times New Roman" w:cs="Times New Roman"/>
          <w:szCs w:val="24"/>
          <w:lang w:eastAsia="lv-LV"/>
        </w:rPr>
        <w:t xml:space="preserve"> 11.aprīļa lēmumā civillietā </w:t>
      </w:r>
      <w:proofErr w:type="spellStart"/>
      <w:r w:rsidRPr="00F8380A">
        <w:rPr>
          <w:rFonts w:eastAsia="Times New Roman" w:cs="Times New Roman"/>
          <w:szCs w:val="24"/>
          <w:lang w:eastAsia="lv-LV"/>
        </w:rPr>
        <w:t>Nr.SPC-1</w:t>
      </w:r>
      <w:proofErr w:type="spellEnd"/>
      <w:r w:rsidRPr="00F8380A">
        <w:rPr>
          <w:rFonts w:eastAsia="Times New Roman" w:cs="Times New Roman"/>
          <w:szCs w:val="24"/>
          <w:lang w:eastAsia="lv-LV"/>
        </w:rPr>
        <w:t>/2017,</w:t>
      </w:r>
    </w:p>
    <w:p w:rsidR="0074529D" w:rsidRPr="00F8380A" w:rsidRDefault="0074529D" w:rsidP="0074529D">
      <w:pPr>
        <w:spacing w:after="0" w:line="276" w:lineRule="auto"/>
        <w:jc w:val="both"/>
        <w:rPr>
          <w:rFonts w:eastAsia="Times New Roman" w:cs="Times New Roman"/>
          <w:szCs w:val="24"/>
          <w:lang w:eastAsia="lv-LV"/>
        </w:rPr>
      </w:pPr>
      <w:r w:rsidRPr="00F8380A">
        <w:rPr>
          <w:rFonts w:eastAsia="Times New Roman" w:cs="Times New Roman"/>
          <w:szCs w:val="24"/>
          <w:lang w:eastAsia="lv-LV"/>
        </w:rPr>
        <w:t xml:space="preserve">izskatot Ģenerālprokuratūras Personu un valsts tiesību aizsardzības departamenta virsprokurora protestu par Rīgas pilsētas Zemgales priekšpilsētas tiesas tiesneša </w:t>
      </w:r>
      <w:proofErr w:type="gramStart"/>
      <w:r w:rsidRPr="00F8380A">
        <w:rPr>
          <w:rFonts w:eastAsia="Times New Roman" w:cs="Times New Roman"/>
          <w:szCs w:val="24"/>
          <w:lang w:eastAsia="lv-LV"/>
        </w:rPr>
        <w:t>2015.gada</w:t>
      </w:r>
      <w:proofErr w:type="gramEnd"/>
      <w:r w:rsidRPr="00F8380A">
        <w:rPr>
          <w:rFonts w:eastAsia="Times New Roman" w:cs="Times New Roman"/>
          <w:szCs w:val="24"/>
          <w:lang w:eastAsia="lv-LV"/>
        </w:rPr>
        <w:t xml:space="preserve"> 16.decembra lēmumu, ar kuru noraidīts AS </w:t>
      </w:r>
      <w:r>
        <w:rPr>
          <w:rFonts w:eastAsia="Times New Roman" w:cs="Times New Roman"/>
          <w:szCs w:val="24"/>
          <w:lang w:eastAsia="lv-LV"/>
        </w:rPr>
        <w:t>„</w:t>
      </w:r>
      <w:proofErr w:type="spellStart"/>
      <w:r w:rsidRPr="00F8380A">
        <w:rPr>
          <w:rFonts w:eastAsia="Times New Roman" w:cs="Times New Roman"/>
          <w:szCs w:val="24"/>
          <w:lang w:eastAsia="lv-LV"/>
        </w:rPr>
        <w:t>Swedbank</w:t>
      </w:r>
      <w:proofErr w:type="spellEnd"/>
      <w:r w:rsidRPr="00F8380A">
        <w:rPr>
          <w:rFonts w:eastAsia="Times New Roman" w:cs="Times New Roman"/>
          <w:szCs w:val="24"/>
          <w:lang w:eastAsia="lv-LV"/>
        </w:rPr>
        <w:t>” pieteikums par [pers. A] piederoša nekustama īpašuma labprātīgu pārdošanu izsolē tiesas ceļā.</w:t>
      </w:r>
    </w:p>
    <w:p w:rsidR="0074529D" w:rsidRPr="00F8380A" w:rsidRDefault="0074529D" w:rsidP="0074529D">
      <w:pPr>
        <w:spacing w:after="0" w:line="276" w:lineRule="auto"/>
        <w:rPr>
          <w:rFonts w:eastAsia="Times New Roman" w:cs="Times New Roman"/>
          <w:szCs w:val="24"/>
          <w:lang w:eastAsia="lv-LV"/>
        </w:rPr>
      </w:pPr>
      <w:r w:rsidRPr="00F8380A">
        <w:rPr>
          <w:rFonts w:eastAsia="Times New Roman" w:cs="Times New Roman"/>
          <w:szCs w:val="24"/>
          <w:lang w:eastAsia="lv-LV"/>
        </w:rPr>
        <w:t xml:space="preserve">Rīgā, </w:t>
      </w:r>
      <w:proofErr w:type="gramStart"/>
      <w:r w:rsidRPr="00F8380A">
        <w:rPr>
          <w:rFonts w:eastAsia="Times New Roman" w:cs="Times New Roman"/>
          <w:szCs w:val="24"/>
          <w:lang w:eastAsia="lv-LV"/>
        </w:rPr>
        <w:t>2017.gada</w:t>
      </w:r>
      <w:proofErr w:type="gramEnd"/>
      <w:r w:rsidRPr="00F8380A">
        <w:rPr>
          <w:rFonts w:eastAsia="Times New Roman" w:cs="Times New Roman"/>
          <w:szCs w:val="24"/>
          <w:lang w:eastAsia="lv-LV"/>
        </w:rPr>
        <w:t xml:space="preserve"> 13.aprīlī</w:t>
      </w:r>
    </w:p>
    <w:p w:rsidR="0074529D" w:rsidRPr="00F8380A" w:rsidRDefault="0074529D" w:rsidP="0074529D">
      <w:pPr>
        <w:spacing w:after="0" w:line="276" w:lineRule="auto"/>
        <w:jc w:val="both"/>
        <w:rPr>
          <w:rFonts w:eastAsia="Times New Roman" w:cs="Times New Roman"/>
          <w:szCs w:val="24"/>
          <w:lang w:eastAsia="lv-LV"/>
        </w:rPr>
      </w:pPr>
    </w:p>
    <w:p w:rsidR="0074529D" w:rsidRPr="00F8380A" w:rsidRDefault="0074529D" w:rsidP="0074529D">
      <w:pPr>
        <w:spacing w:after="0" w:line="276" w:lineRule="auto"/>
        <w:jc w:val="both"/>
        <w:rPr>
          <w:rFonts w:eastAsia="Times New Roman" w:cs="Times New Roman"/>
          <w:szCs w:val="24"/>
          <w:lang w:eastAsia="lv-LV"/>
        </w:rPr>
      </w:pPr>
      <w:r w:rsidRPr="00F8380A">
        <w:rPr>
          <w:rFonts w:eastAsia="Times New Roman" w:cs="Times New Roman"/>
          <w:szCs w:val="24"/>
          <w:lang w:eastAsia="lv-LV"/>
        </w:rPr>
        <w:t xml:space="preserve">Augstākās tiesas secinājumus par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saturu un tā iztulkojumu uzskatām par nepamatotu šādu apsvērumu dēļ.</w:t>
      </w:r>
    </w:p>
    <w:p w:rsidR="0074529D" w:rsidRPr="00F8380A" w:rsidRDefault="0074529D" w:rsidP="0074529D">
      <w:pPr>
        <w:spacing w:after="0" w:line="276" w:lineRule="auto"/>
        <w:jc w:val="both"/>
        <w:rPr>
          <w:rFonts w:eastAsia="Times New Roman" w:cs="Times New Roman"/>
          <w:szCs w:val="24"/>
          <w:lang w:eastAsia="lv-LV"/>
        </w:rPr>
      </w:pP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[1]</w:t>
      </w:r>
      <w:r w:rsidRPr="00F8380A">
        <w:rPr>
          <w:rFonts w:eastAsia="Times New Roman" w:cs="Times New Roman"/>
          <w:szCs w:val="24"/>
          <w:lang w:eastAsia="lv-LV"/>
        </w:rPr>
        <w:t xml:space="preserve"> Rīgas pilsētas Zemgales priekšpilsētas tiesas tiesneša </w:t>
      </w:r>
      <w:proofErr w:type="gramStart"/>
      <w:r w:rsidRPr="00F8380A">
        <w:rPr>
          <w:rFonts w:eastAsia="Times New Roman" w:cs="Times New Roman"/>
          <w:szCs w:val="24"/>
          <w:lang w:eastAsia="lv-LV"/>
        </w:rPr>
        <w:t>2015.gada</w:t>
      </w:r>
      <w:proofErr w:type="gramEnd"/>
      <w:r w:rsidRPr="00F8380A">
        <w:rPr>
          <w:rFonts w:eastAsia="Times New Roman" w:cs="Times New Roman"/>
          <w:szCs w:val="24"/>
          <w:lang w:eastAsia="lv-LV"/>
        </w:rPr>
        <w:t xml:space="preserve"> 16.decembra lēmumā izteiktā atziņa, ka, izskatot pieteikumu par nekustamā īpašuma labprātīgu pārdošanu izsolē tiesas ceļā, ir nepieciešams konstatēt brīdinājuma personīgu izsniegšanu parādniekam, atbilst Civilprocesa likuma 396.panta otrās daļas prasībām.</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Šīs atziņas pamatošanai tiesnesis lēmumā atsaucies uz Satversmes tiesas 2010. gada 24. novembra spriedumu lietā Nr.2010-08-01, </w:t>
      </w:r>
      <w:proofErr w:type="gramStart"/>
      <w:r w:rsidRPr="00F8380A">
        <w:rPr>
          <w:rFonts w:eastAsia="Times New Roman" w:cs="Times New Roman"/>
          <w:szCs w:val="24"/>
          <w:lang w:eastAsia="lv-LV"/>
        </w:rPr>
        <w:t>kura 19.5 punktā uzsvērta nepieciešamība</w:t>
      </w:r>
      <w:proofErr w:type="gramEnd"/>
      <w:r w:rsidRPr="00F8380A">
        <w:rPr>
          <w:rFonts w:eastAsia="Times New Roman" w:cs="Times New Roman"/>
          <w:szCs w:val="24"/>
          <w:lang w:eastAsia="lv-LV"/>
        </w:rPr>
        <w:t xml:space="preserve"> ķīlas devējam būt informētam par paredzamo kreditora vēršanos tiesā ieķīlātā nekustamā īpašuma pārdošanai. Turklāt ķīlas devēja atteikšanās no šāda brīdinājuma saņemšanas, kas nereti tika ietverta kredītlīgumos, tika atzīta par neatbilstošu Satversmes </w:t>
      </w:r>
      <w:proofErr w:type="gramStart"/>
      <w:r w:rsidRPr="00F8380A">
        <w:rPr>
          <w:rFonts w:eastAsia="Times New Roman" w:cs="Times New Roman"/>
          <w:szCs w:val="24"/>
          <w:lang w:eastAsia="lv-LV"/>
        </w:rPr>
        <w:t>96.pantam</w:t>
      </w:r>
      <w:proofErr w:type="gramEnd"/>
      <w:r w:rsidRPr="00F8380A">
        <w:rPr>
          <w:rFonts w:eastAsia="Times New Roman" w:cs="Times New Roman"/>
          <w:szCs w:val="24"/>
          <w:lang w:eastAsia="lv-LV"/>
        </w:rPr>
        <w:t>, tādējādi īpaši akcentējot brīdinājuma personīgas izsniegšanas nepieciešamību.</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Pieminētais Satversmes tiesas spriedums saistījās ar sūdzību par Civilprocesa likuma 49.nodaļas kārtībā izskatāmo pieteikumu neatbilstību Satversmes </w:t>
      </w:r>
      <w:proofErr w:type="gramStart"/>
      <w:r w:rsidRPr="00F8380A">
        <w:rPr>
          <w:rFonts w:eastAsia="Times New Roman" w:cs="Times New Roman"/>
          <w:szCs w:val="24"/>
          <w:lang w:eastAsia="lv-LV"/>
        </w:rPr>
        <w:t>92.pantam</w:t>
      </w:r>
      <w:proofErr w:type="gramEnd"/>
      <w:r w:rsidRPr="00F8380A">
        <w:rPr>
          <w:rFonts w:eastAsia="Times New Roman" w:cs="Times New Roman"/>
          <w:szCs w:val="24"/>
          <w:lang w:eastAsia="lv-LV"/>
        </w:rPr>
        <w:t>, un tiesai bija jāatbild uz jautājumu, vai ar šajā nodaļā ietverto regulējumu netiek pārkāptas personas (parādnieka) tiesības uz taisnīgu tiesu.</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Tiesa atzina, ka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otrajā daļā ietvertā norma, ka brīdinājums nav nepieciešams, ja līgumā puses tā ir vienojušās, neatbilst Satversmes 92.pantam: </w:t>
      </w:r>
      <w:r>
        <w:rPr>
          <w:rFonts w:eastAsia="Times New Roman" w:cs="Times New Roman"/>
          <w:szCs w:val="24"/>
          <w:lang w:eastAsia="lv-LV"/>
        </w:rPr>
        <w:t>„</w:t>
      </w:r>
      <w:r w:rsidRPr="00F8380A">
        <w:rPr>
          <w:rFonts w:eastAsia="Times New Roman" w:cs="Times New Roman"/>
          <w:szCs w:val="24"/>
          <w:lang w:eastAsia="lv-LV"/>
        </w:rPr>
        <w:t>Atteikšanās no brīdinājuma saņemšanas var būtiski ierobežot parādnieka tiesības uz taisnīgu tiesu. Ja parādnieks netiek brīdināts par ķīlas ņēmēja nolūku iesniegt pieteikumu par nekustamā īpašuma labprātīgu pārdošanu izsolē, viņš nevar vērst kreditoru uzmanību uz iespējamiem pārpratumiem vai kļūdām, kā arī nevar aicināt attiecīgo jautājumu risināt pārrunu ceļā. (..) Tādēļ brīdinājuma saņemšana ir uzskatāma par tik būtisku parādnieka tiesību aizsardzības garantiju, ka viņš no tās nevar atte</w:t>
      </w:r>
      <w:r>
        <w:rPr>
          <w:rFonts w:eastAsia="Times New Roman" w:cs="Times New Roman"/>
          <w:szCs w:val="24"/>
          <w:lang w:eastAsia="lv-LV"/>
        </w:rPr>
        <w:t>i</w:t>
      </w:r>
      <w:r w:rsidRPr="00F8380A">
        <w:rPr>
          <w:rFonts w:eastAsia="Times New Roman" w:cs="Times New Roman"/>
          <w:szCs w:val="24"/>
          <w:lang w:eastAsia="lv-LV"/>
        </w:rPr>
        <w:t>kties, noslēdzot tiesisku darījumu</w:t>
      </w:r>
      <w:r>
        <w:rPr>
          <w:rFonts w:eastAsia="Times New Roman" w:cs="Times New Roman"/>
          <w:szCs w:val="24"/>
          <w:lang w:eastAsia="lv-LV"/>
        </w:rPr>
        <w:t>.</w:t>
      </w:r>
      <w:r w:rsidRPr="00F8380A">
        <w:rPr>
          <w:rFonts w:eastAsia="Times New Roman" w:cs="Times New Roman"/>
          <w:szCs w:val="24"/>
          <w:lang w:eastAsia="lv-LV"/>
        </w:rPr>
        <w:t>”</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No minētā izriet, ka parādnieka iepriekšēja brīdināšana, realizējot viņa nekustamā īpašuma labprātīgu pārdošanu izsolē, ir atzīta par īpaši nozīmīgu, lai maksimāli izslēgtu gadījumus, kad minētais process tiek uzsākts bez parādnieka ziņas.</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Atbilstoši šim mērķim tulkojot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otro daļu, atzīstams, ka atšķirībā no citiem Civilprocesa likumā reglamentētajiem tiesas dokumentu izsniegšanas veidiem konkrētajā gadījumā ir pieļaujama vienīgi parādnieka personīga brīdināšana. Pēc </w:t>
      </w:r>
      <w:r w:rsidRPr="00F8380A">
        <w:rPr>
          <w:rFonts w:eastAsia="Times New Roman" w:cs="Times New Roman"/>
          <w:szCs w:val="24"/>
          <w:lang w:eastAsia="lv-LV"/>
        </w:rPr>
        <w:lastRenderedPageBreak/>
        <w:t>būtības tas nozīmē, ka tiesnesim, pieņemot lēmumu atļaut pārdošanu izsolē, ir jāvar pārliecināties ne vien par formālu procedūras ievērošanu, bet arī par brīdinājuma izsniegšanu adresātam kā tās reālo rezultātu.</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[2]</w:t>
      </w:r>
      <w:r w:rsidRPr="00F8380A">
        <w:rPr>
          <w:rFonts w:eastAsia="Times New Roman" w:cs="Times New Roman"/>
          <w:szCs w:val="24"/>
          <w:lang w:eastAsia="lv-LV"/>
        </w:rPr>
        <w:t xml:space="preserve"> Pārsūdzētajā tiesneša lēmumā izteiktās atziņas pareizību apstiprina arī izveidojusies Senāta Civillietu departamenta judikatūra laikā no 2008. līdz </w:t>
      </w:r>
      <w:proofErr w:type="gramStart"/>
      <w:r w:rsidRPr="00F8380A">
        <w:rPr>
          <w:rFonts w:eastAsia="Times New Roman" w:cs="Times New Roman"/>
          <w:szCs w:val="24"/>
          <w:lang w:eastAsia="lv-LV"/>
        </w:rPr>
        <w:t>2013.gadam</w:t>
      </w:r>
      <w:proofErr w:type="gramEnd"/>
      <w:r w:rsidRPr="00F8380A">
        <w:rPr>
          <w:rFonts w:eastAsia="Times New Roman" w:cs="Times New Roman"/>
          <w:szCs w:val="24"/>
          <w:lang w:eastAsia="lv-LV"/>
        </w:rPr>
        <w:t>.</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Piemēram, Senāta </w:t>
      </w:r>
      <w:proofErr w:type="gramStart"/>
      <w:r w:rsidRPr="00F8380A">
        <w:rPr>
          <w:rFonts w:eastAsia="Times New Roman" w:cs="Times New Roman"/>
          <w:szCs w:val="24"/>
          <w:lang w:eastAsia="lv-LV"/>
        </w:rPr>
        <w:t>2009.gada</w:t>
      </w:r>
      <w:proofErr w:type="gramEnd"/>
      <w:r w:rsidRPr="00F8380A">
        <w:rPr>
          <w:rFonts w:eastAsia="Times New Roman" w:cs="Times New Roman"/>
          <w:szCs w:val="24"/>
          <w:lang w:eastAsia="lv-LV"/>
        </w:rPr>
        <w:t xml:space="preserve"> 28.oktobra lēmumā lietā </w:t>
      </w:r>
      <w:proofErr w:type="spellStart"/>
      <w:r w:rsidRPr="00F8380A">
        <w:rPr>
          <w:rFonts w:eastAsia="Times New Roman" w:cs="Times New Roman"/>
          <w:szCs w:val="24"/>
          <w:lang w:eastAsia="lv-LV"/>
        </w:rPr>
        <w:t>Nr.SPC-87</w:t>
      </w:r>
      <w:proofErr w:type="spellEnd"/>
      <w:r w:rsidRPr="00F8380A">
        <w:rPr>
          <w:rFonts w:eastAsia="Times New Roman" w:cs="Times New Roman"/>
          <w:szCs w:val="24"/>
          <w:lang w:eastAsia="lv-LV"/>
        </w:rPr>
        <w:t xml:space="preserve">/2009 norādīts: </w:t>
      </w:r>
      <w:r>
        <w:rPr>
          <w:rFonts w:eastAsia="Times New Roman" w:cs="Times New Roman"/>
          <w:szCs w:val="24"/>
          <w:lang w:eastAsia="lv-LV"/>
        </w:rPr>
        <w:t>„</w:t>
      </w:r>
      <w:r w:rsidRPr="00F8380A">
        <w:rPr>
          <w:rFonts w:eastAsia="Times New Roman" w:cs="Times New Roman"/>
          <w:szCs w:val="24"/>
          <w:lang w:eastAsia="lv-LV"/>
        </w:rPr>
        <w:t>No Civilprocesa likuma 49.nodaļā paredzētās saistību izpildes kārtības izriet vispārējs noteikums, ka brīdinājumam, ja vien puses līgumā nav paredzējušas, ka tāds nav nepieciešams, ir jābūt personīgi izsniegtam un tiesnesim, pieņemot lēmumu par atļauju pārdot ieķīlāto nekustamo īpašumu izsolē par brīvu cenu, ir jāpārliecinās, vai parādnieks ir brīdināts, kas konkrētajā gadījumā nav izdarīts</w:t>
      </w:r>
      <w:r>
        <w:rPr>
          <w:rFonts w:eastAsia="Times New Roman" w:cs="Times New Roman"/>
          <w:szCs w:val="24"/>
          <w:lang w:eastAsia="lv-LV"/>
        </w:rPr>
        <w:t>.</w:t>
      </w:r>
      <w:r w:rsidRPr="00F8380A">
        <w:rPr>
          <w:rFonts w:eastAsia="Times New Roman" w:cs="Times New Roman"/>
          <w:szCs w:val="24"/>
          <w:lang w:eastAsia="lv-LV"/>
        </w:rPr>
        <w:t>”</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Senāta </w:t>
      </w:r>
      <w:proofErr w:type="gramStart"/>
      <w:r w:rsidRPr="00F8380A">
        <w:rPr>
          <w:rFonts w:eastAsia="Times New Roman" w:cs="Times New Roman"/>
          <w:szCs w:val="24"/>
          <w:lang w:eastAsia="lv-LV"/>
        </w:rPr>
        <w:t>2009.gada</w:t>
      </w:r>
      <w:proofErr w:type="gramEnd"/>
      <w:r w:rsidRPr="00F8380A">
        <w:rPr>
          <w:rFonts w:eastAsia="Times New Roman" w:cs="Times New Roman"/>
          <w:szCs w:val="24"/>
          <w:lang w:eastAsia="lv-LV"/>
        </w:rPr>
        <w:t xml:space="preserve"> 25.novembra lēmumā lietā </w:t>
      </w:r>
      <w:proofErr w:type="spellStart"/>
      <w:r w:rsidRPr="00F8380A">
        <w:rPr>
          <w:rFonts w:eastAsia="Times New Roman" w:cs="Times New Roman"/>
          <w:szCs w:val="24"/>
          <w:lang w:eastAsia="lv-LV"/>
        </w:rPr>
        <w:t>Nr.SPC-105</w:t>
      </w:r>
      <w:proofErr w:type="spellEnd"/>
      <w:r w:rsidRPr="00F8380A">
        <w:rPr>
          <w:rFonts w:eastAsia="Times New Roman" w:cs="Times New Roman"/>
          <w:szCs w:val="24"/>
          <w:lang w:eastAsia="lv-LV"/>
        </w:rPr>
        <w:t xml:space="preserve">/2009 norādīts: </w:t>
      </w:r>
      <w:r>
        <w:rPr>
          <w:rFonts w:eastAsia="Times New Roman" w:cs="Times New Roman"/>
          <w:szCs w:val="24"/>
          <w:lang w:eastAsia="lv-LV"/>
        </w:rPr>
        <w:t>„</w:t>
      </w:r>
      <w:r w:rsidRPr="00F8380A">
        <w:rPr>
          <w:rFonts w:eastAsia="Times New Roman" w:cs="Times New Roman"/>
          <w:szCs w:val="24"/>
          <w:lang w:eastAsia="lv-LV"/>
        </w:rPr>
        <w:t>Senāts atzīst, ka tiesneša secinājums, ka brīdinājuma saņemšanu apliecina Latvijas Pasta zīmogs par ierakstītas vēstules pieņemšanu, neatbilst Civilprocesa likuma 396. panta otrās daļas prasībām un tiesu praksei, no kuras izriet, ka brīdinājuma saņemšanu apliecina attiecīgās personas personīgs paraksts”.</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[3]</w:t>
      </w:r>
      <w:r w:rsidRPr="00F8380A">
        <w:rPr>
          <w:rFonts w:eastAsia="Times New Roman" w:cs="Times New Roman"/>
          <w:szCs w:val="24"/>
          <w:lang w:eastAsia="lv-LV"/>
        </w:rPr>
        <w:t xml:space="preserve">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otrajai daļai analogs regulējums ietverts arī Civilprocesa likuma 404.panta trešās daļas 3.punktā attiecībā uz saistību bezstrīdus piespiedu izpildīšanu.</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Satversmes tiesas </w:t>
      </w:r>
      <w:proofErr w:type="gramStart"/>
      <w:r w:rsidRPr="00F8380A">
        <w:rPr>
          <w:rFonts w:eastAsia="Times New Roman" w:cs="Times New Roman"/>
          <w:szCs w:val="24"/>
          <w:lang w:eastAsia="lv-LV"/>
        </w:rPr>
        <w:t>2010.gada</w:t>
      </w:r>
      <w:proofErr w:type="gramEnd"/>
      <w:r w:rsidRPr="00F8380A">
        <w:rPr>
          <w:rFonts w:eastAsia="Times New Roman" w:cs="Times New Roman"/>
          <w:szCs w:val="24"/>
          <w:lang w:eastAsia="lv-LV"/>
        </w:rPr>
        <w:t xml:space="preserve"> 17.maija sprieduma 12.punktā lietā Nr.2009-93-01 norādīts, ka pirms pieteikuma iesniegšanas tiesā pieteicējam ir pienācīgā kārtā jābrīdina parādnieks par savu nodomu vērsties tiesā ar pieteikumu par saistību bezstrīdus piespiedu izpildīšanu. Norādīts, ka Satversmes tiesa brīdinājuma izsniegšanu saista ar tiesību uz taisnīgu tiesu realizēšanu, tādēļ tam jānonāk pie atbildētāja.</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Augstākās tiesas tiesu prakses apkopojuma </w:t>
      </w:r>
      <w:r>
        <w:rPr>
          <w:rFonts w:eastAsia="Times New Roman" w:cs="Times New Roman"/>
          <w:szCs w:val="24"/>
          <w:lang w:eastAsia="lv-LV"/>
        </w:rPr>
        <w:t>„</w:t>
      </w:r>
      <w:r w:rsidRPr="00F8380A">
        <w:rPr>
          <w:rFonts w:eastAsia="Times New Roman" w:cs="Times New Roman"/>
          <w:szCs w:val="24"/>
          <w:lang w:eastAsia="lv-LV"/>
        </w:rPr>
        <w:t>Tiesu prakse saistību bezstrīdus piespiedu izpildīšanā” secinājumu daļā norādīts, ka kreditoram ir jāiesniedz pierādījumi, ka brīdinājums ir izsniegts tieši parādniekam.</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Senāta </w:t>
      </w:r>
      <w:proofErr w:type="gramStart"/>
      <w:r w:rsidRPr="00F8380A">
        <w:rPr>
          <w:rFonts w:eastAsia="Times New Roman" w:cs="Times New Roman"/>
          <w:szCs w:val="24"/>
          <w:lang w:eastAsia="lv-LV"/>
        </w:rPr>
        <w:t>2010.gada</w:t>
      </w:r>
      <w:proofErr w:type="gramEnd"/>
      <w:r w:rsidRPr="00F8380A">
        <w:rPr>
          <w:rFonts w:eastAsia="Times New Roman" w:cs="Times New Roman"/>
          <w:szCs w:val="24"/>
          <w:lang w:eastAsia="lv-LV"/>
        </w:rPr>
        <w:t xml:space="preserve"> 27.janvāra lēmumā lietā </w:t>
      </w:r>
      <w:proofErr w:type="spellStart"/>
      <w:r w:rsidRPr="00F8380A">
        <w:rPr>
          <w:rFonts w:eastAsia="Times New Roman" w:cs="Times New Roman"/>
          <w:szCs w:val="24"/>
          <w:lang w:eastAsia="lv-LV"/>
        </w:rPr>
        <w:t>Nr.SPC-24</w:t>
      </w:r>
      <w:proofErr w:type="spellEnd"/>
      <w:r w:rsidRPr="00F8380A">
        <w:rPr>
          <w:rFonts w:eastAsia="Times New Roman" w:cs="Times New Roman"/>
          <w:szCs w:val="24"/>
          <w:lang w:eastAsia="lv-LV"/>
        </w:rPr>
        <w:t xml:space="preserve">/2010 norādīts: </w:t>
      </w:r>
      <w:r>
        <w:rPr>
          <w:rFonts w:eastAsia="Times New Roman" w:cs="Times New Roman"/>
          <w:szCs w:val="24"/>
          <w:lang w:eastAsia="lv-LV"/>
        </w:rPr>
        <w:t>„</w:t>
      </w:r>
      <w:r w:rsidRPr="00F8380A">
        <w:rPr>
          <w:rFonts w:eastAsia="Times New Roman" w:cs="Times New Roman"/>
          <w:szCs w:val="24"/>
          <w:lang w:eastAsia="lv-LV"/>
        </w:rPr>
        <w:t>No lietas materiāliem ir redzams, ka D.V. adresēto brīdinājumu saņēmusi viņa māte (..) Piekrītot argumentam protestā, ka tādējādi parādniekiem brīdinājumi nav izsniegti, Senāts atzīst, ka pieteicēja Civilprocesa likuma 404.panta trešās daļas 3.punkta prasības nav izpildījusi.”</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Brīdinājumu izsniegšana pret parakstu akcentēta arī Senāta </w:t>
      </w:r>
      <w:proofErr w:type="gramStart"/>
      <w:r w:rsidRPr="00F8380A">
        <w:rPr>
          <w:rFonts w:eastAsia="Times New Roman" w:cs="Times New Roman"/>
          <w:szCs w:val="24"/>
          <w:lang w:eastAsia="lv-LV"/>
        </w:rPr>
        <w:t>2008.gada</w:t>
      </w:r>
      <w:proofErr w:type="gramEnd"/>
      <w:r w:rsidRPr="00F8380A">
        <w:rPr>
          <w:rFonts w:eastAsia="Times New Roman" w:cs="Times New Roman"/>
          <w:szCs w:val="24"/>
          <w:lang w:eastAsia="lv-LV"/>
        </w:rPr>
        <w:t xml:space="preserve"> 12.novembr</w:t>
      </w:r>
      <w:r>
        <w:rPr>
          <w:rFonts w:eastAsia="Times New Roman" w:cs="Times New Roman"/>
          <w:szCs w:val="24"/>
          <w:lang w:eastAsia="lv-LV"/>
        </w:rPr>
        <w:t xml:space="preserve">a lēmumā lietā </w:t>
      </w:r>
      <w:proofErr w:type="spellStart"/>
      <w:r>
        <w:rPr>
          <w:rFonts w:eastAsia="Times New Roman" w:cs="Times New Roman"/>
          <w:szCs w:val="24"/>
          <w:lang w:eastAsia="lv-LV"/>
        </w:rPr>
        <w:t>Nr.SPC-91</w:t>
      </w:r>
      <w:proofErr w:type="spellEnd"/>
      <w:r>
        <w:rPr>
          <w:rFonts w:eastAsia="Times New Roman" w:cs="Times New Roman"/>
          <w:szCs w:val="24"/>
          <w:lang w:eastAsia="lv-LV"/>
        </w:rPr>
        <w:t>/2008.</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[4] Piekrītam, ka, iztulkojot likuma normu, nevar aprobežoties tikai ar gramatisko iztulkojumu, ja vārdiski uzrakstītais nedod skaidru atbildi par normas saturu. Taču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otrajā daļā ietvertās normas jēga ir skaidri saprotama, ko apstiprina augstāk pieminētā judikatūra.</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[5]</w:t>
      </w:r>
      <w:r w:rsidRPr="00F8380A">
        <w:rPr>
          <w:rFonts w:eastAsia="Times New Roman" w:cs="Times New Roman"/>
          <w:szCs w:val="24"/>
          <w:lang w:eastAsia="lv-LV"/>
        </w:rPr>
        <w:t xml:space="preserve"> Lai novērstu situācijas, kad, parādniekam negodprātīgu apsvērumu dēļ atsakoties saņemt brīdinājumu, kreditoram būtībā tiek liegta iespēja izmantot šo saistību izpildes paātrināto kārtību,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 daļa 2011.gada 8.septembrī tika grozīta, papildinot to ar teikumu, ka apliecinājums par brīdinājuma izsniegšanu var būt arī zvērināta tiesu izpildītāja vai viņa palīga sastādīts akts par atteikšanos saņemt brīdinājumu.</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Lai gan šīs likuma normas grozījumiem nav anotācijas, Saeimas Juridiskās komisijas </w:t>
      </w:r>
      <w:proofErr w:type="gramStart"/>
      <w:r w:rsidRPr="00F8380A">
        <w:rPr>
          <w:rFonts w:eastAsia="Times New Roman" w:cs="Times New Roman"/>
          <w:szCs w:val="24"/>
          <w:lang w:eastAsia="lv-LV"/>
        </w:rPr>
        <w:t>2011.gada</w:t>
      </w:r>
      <w:proofErr w:type="gramEnd"/>
      <w:r w:rsidRPr="00F8380A">
        <w:rPr>
          <w:rFonts w:eastAsia="Times New Roman" w:cs="Times New Roman"/>
          <w:szCs w:val="24"/>
          <w:lang w:eastAsia="lv-LV"/>
        </w:rPr>
        <w:t xml:space="preserve"> 16.marta sēdes audioieraksts apliecina, ka </w:t>
      </w:r>
      <w:r>
        <w:rPr>
          <w:rFonts w:eastAsia="Times New Roman" w:cs="Times New Roman"/>
          <w:szCs w:val="24"/>
          <w:lang w:eastAsia="lv-LV"/>
        </w:rPr>
        <w:t>„</w:t>
      </w:r>
      <w:r w:rsidRPr="00F8380A">
        <w:rPr>
          <w:rFonts w:eastAsia="Times New Roman" w:cs="Times New Roman"/>
          <w:szCs w:val="24"/>
          <w:lang w:eastAsia="lv-LV"/>
        </w:rPr>
        <w:t>(..) šādi grozījumi civilprocesā (..) ir vairāk kreditoru labā, lai viņiem būtu iespēja pierādīt, ka brīdinājumu parādniekam ir mēģināts izsniegt un parādnieks ir atteicies to saņemt. Šādu aktu tiesu izpildītājs sastādīs vienpersoniski.”</w:t>
      </w:r>
    </w:p>
    <w:p w:rsidR="0074529D" w:rsidRPr="00F8380A" w:rsidRDefault="0074529D" w:rsidP="0074529D">
      <w:pPr>
        <w:spacing w:after="0" w:line="276" w:lineRule="auto"/>
        <w:ind w:firstLine="720"/>
        <w:jc w:val="both"/>
        <w:rPr>
          <w:rFonts w:eastAsia="Times New Roman" w:cs="Times New Roman"/>
          <w:szCs w:val="24"/>
          <w:lang w:eastAsia="lv-LV"/>
        </w:rPr>
      </w:pPr>
      <w:r w:rsidRPr="00F8380A">
        <w:rPr>
          <w:rFonts w:eastAsia="Times New Roman" w:cs="Times New Roman"/>
          <w:szCs w:val="24"/>
          <w:lang w:eastAsia="lv-LV"/>
        </w:rPr>
        <w:lastRenderedPageBreak/>
        <w:t xml:space="preserve">Minētais vēlreiz apstiprina gan to, ka normas iztulkojums par brīdinājuma personīgu izsniegšanu parādniekam ir pareizs, gan to, ka likumdevējs nav atteicies no prasības parādnieku iepriekš informēt par parāda esamību un kreditora nodomu vērsties tiesā nekustamā īpašuma labprātīgai pārdošanai. Kā papildu iespēja tiesā pierādīt faktu, ka parādnieks ir atteicies saņemt viņam personīgi izsniegšanai piedāvāto brīdinājumu, grozījumos ietverts zvērināta tiesu izpildītāja vai viņa palīga sastādīts apliecinājums, </w:t>
      </w:r>
      <w:proofErr w:type="gramStart"/>
      <w:r w:rsidRPr="00F8380A">
        <w:rPr>
          <w:rFonts w:eastAsia="Times New Roman" w:cs="Times New Roman"/>
          <w:szCs w:val="24"/>
          <w:lang w:eastAsia="lv-LV"/>
        </w:rPr>
        <w:t>līdz ar to novēršot iespēju parādniekam novilcināt konkrēto saistību izpildes procedūru</w:t>
      </w:r>
      <w:proofErr w:type="gramEnd"/>
      <w:r w:rsidRPr="00F8380A">
        <w:rPr>
          <w:rFonts w:eastAsia="Times New Roman" w:cs="Times New Roman"/>
          <w:szCs w:val="24"/>
          <w:lang w:eastAsia="lv-LV"/>
        </w:rPr>
        <w:t xml:space="preserve"> vai padarīt to neiespējamu negodprātīgu motīvu dēļ.</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Citiem vārdiem, normā ietvertā prasība iesniegt </w:t>
      </w:r>
      <w:proofErr w:type="gramStart"/>
      <w:r w:rsidRPr="00F8380A">
        <w:rPr>
          <w:rFonts w:eastAsia="Times New Roman" w:cs="Times New Roman"/>
          <w:szCs w:val="24"/>
          <w:lang w:eastAsia="lv-LV"/>
        </w:rPr>
        <w:t>pierādījumus par parādnieka brīdinājumu un kā vienīgo pieļaujamo atkāpi attiecībā uz brīdinājuma nesaņemšanu personīgi pieļaujot zvērināta tiesu izpildītāja vai viņa palīga sastādītu apliecinājumu par atteikšanos</w:t>
      </w:r>
      <w:proofErr w:type="gramEnd"/>
      <w:r w:rsidRPr="00F8380A">
        <w:rPr>
          <w:rFonts w:eastAsia="Times New Roman" w:cs="Times New Roman"/>
          <w:szCs w:val="24"/>
          <w:lang w:eastAsia="lv-LV"/>
        </w:rPr>
        <w:t xml:space="preserve"> to saņemt skaidri un nepārprotami liecina par likumdevēja nolūku brīdināt parādnieku personīgi vai dokumentāli fiksēt viņa atteikšanos noteiktā procedūrā, faktiski padarot par neiespējamu situāciju, kad no parādnieka neatkarīgu iemeslu dēļ formālā dokumentu nodošanas procedūra nesasniedz mērķi.</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[6]</w:t>
      </w:r>
      <w:r w:rsidRPr="00F8380A">
        <w:rPr>
          <w:rFonts w:eastAsia="Times New Roman" w:cs="Times New Roman"/>
          <w:szCs w:val="24"/>
          <w:lang w:eastAsia="lv-LV"/>
        </w:rPr>
        <w:t xml:space="preserve"> Augstākās tiesas </w:t>
      </w:r>
      <w:proofErr w:type="gramStart"/>
      <w:r w:rsidRPr="00F8380A">
        <w:rPr>
          <w:rFonts w:eastAsia="Times New Roman" w:cs="Times New Roman"/>
          <w:szCs w:val="24"/>
          <w:lang w:eastAsia="lv-LV"/>
        </w:rPr>
        <w:t>2017.gada</w:t>
      </w:r>
      <w:proofErr w:type="gramEnd"/>
      <w:r w:rsidRPr="00F8380A">
        <w:rPr>
          <w:rFonts w:eastAsia="Times New Roman" w:cs="Times New Roman"/>
          <w:szCs w:val="24"/>
          <w:lang w:eastAsia="lv-LV"/>
        </w:rPr>
        <w:t xml:space="preserve"> 11.aprīļa lēmumā lietā </w:t>
      </w:r>
      <w:proofErr w:type="spellStart"/>
      <w:r w:rsidRPr="00F8380A">
        <w:rPr>
          <w:rFonts w:eastAsia="Times New Roman" w:cs="Times New Roman"/>
          <w:szCs w:val="24"/>
          <w:lang w:eastAsia="lv-LV"/>
        </w:rPr>
        <w:t>Nr.SPC-1</w:t>
      </w:r>
      <w:proofErr w:type="spellEnd"/>
      <w:r w:rsidRPr="00F8380A">
        <w:rPr>
          <w:rFonts w:eastAsia="Times New Roman" w:cs="Times New Roman"/>
          <w:szCs w:val="24"/>
          <w:lang w:eastAsia="lv-LV"/>
        </w:rPr>
        <w:t xml:space="preserve"> izteikto atziņu, ka nav pamata uzskatīt, ka ar grozījumiem Civilprocesa likuma 396.panta otrajā daļā atteikumu saņemt brīdinājumu būtu liegts apliecināt ar citiem ticamiem pierādījumiem, atspēko arī Ministru kabineta 2012.gada 26.jūnija noteikumu Nr.44 </w:t>
      </w:r>
      <w:r>
        <w:rPr>
          <w:rFonts w:eastAsia="Times New Roman" w:cs="Times New Roman"/>
          <w:szCs w:val="24"/>
          <w:lang w:eastAsia="lv-LV"/>
        </w:rPr>
        <w:t>„</w:t>
      </w:r>
      <w:r w:rsidRPr="00F8380A">
        <w:rPr>
          <w:rFonts w:eastAsia="Times New Roman" w:cs="Times New Roman"/>
          <w:szCs w:val="24"/>
          <w:lang w:eastAsia="lv-LV"/>
        </w:rPr>
        <w:t>Kārtība, kādā zvērināts tiesu izpildītājs pēc ieinteresēto personu lūguma piegādā tiesu pavēstes un citus dokumentus”, kuru 14.punktā sīki reglamentēta zvērināta tiesu izpildītāja aktā par dokumenta piegādi ietveramā informācija un procedūra.</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Un lai gan minētā lēmuma 5.4 punktā ir norādīts uz pierādījumiem, kas var apliecināt ķīlas parādnieka atteikumu saņemt brīdinājumu un arī 5.5 punktā </w:t>
      </w:r>
      <w:r>
        <w:rPr>
          <w:rFonts w:eastAsia="Times New Roman" w:cs="Times New Roman"/>
          <w:szCs w:val="24"/>
          <w:lang w:eastAsia="lv-LV"/>
        </w:rPr>
        <w:noBreakHyphen/>
      </w:r>
      <w:r w:rsidRPr="00F8380A">
        <w:rPr>
          <w:rFonts w:eastAsia="Times New Roman" w:cs="Times New Roman"/>
          <w:szCs w:val="24"/>
          <w:lang w:eastAsia="lv-LV"/>
        </w:rPr>
        <w:t xml:space="preserve"> par atteikšanos to saņemt, pēc būtības lēmuma argumentācija vērsta uz to, ka brīdinājuma personīga nodošana parādniekam vispār nav nepieciešama, un tiesai vienīgi jāpārliecinās par formālu brīdinājuma nosūtīšanas procedūras ievērošanu.</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[7]</w:t>
      </w:r>
      <w:r w:rsidRPr="00F8380A">
        <w:rPr>
          <w:rFonts w:eastAsia="Times New Roman" w:cs="Times New Roman"/>
          <w:szCs w:val="24"/>
          <w:lang w:eastAsia="lv-LV"/>
        </w:rPr>
        <w:t xml:space="preserve"> Varētu būt diskutējams jautājums, vai zvērināta notāra, kas tāpat kā zvērināts tiesu izpildītājs ir tiesu sistēmai piederīga persona, sastādīts akts par parādnieka atteikšanos saņemt brīdinājumu būtu pieļaujams pierādījums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kontekstā. Taču konkrētajā situācijā zvērināts notārs nav centies izsniegt brīdinājumu parādniekam, bet gan aprobežojies ar sludinājuma publikāciju laikrakstā </w:t>
      </w:r>
      <w:r>
        <w:rPr>
          <w:rFonts w:eastAsia="Times New Roman" w:cs="Times New Roman"/>
          <w:szCs w:val="24"/>
          <w:lang w:eastAsia="lv-LV"/>
        </w:rPr>
        <w:t>„</w:t>
      </w:r>
      <w:r w:rsidRPr="00F8380A">
        <w:rPr>
          <w:rFonts w:eastAsia="Times New Roman" w:cs="Times New Roman"/>
          <w:szCs w:val="24"/>
          <w:lang w:eastAsia="lv-LV"/>
        </w:rPr>
        <w:t xml:space="preserve">Latvijas Vēstnesis”, kas turklāt kopš </w:t>
      </w:r>
      <w:proofErr w:type="gramStart"/>
      <w:r w:rsidRPr="00F8380A">
        <w:rPr>
          <w:rFonts w:eastAsia="Times New Roman" w:cs="Times New Roman"/>
          <w:szCs w:val="24"/>
          <w:lang w:eastAsia="lv-LV"/>
        </w:rPr>
        <w:t>2013.gada</w:t>
      </w:r>
      <w:proofErr w:type="gramEnd"/>
      <w:r w:rsidRPr="00F8380A">
        <w:rPr>
          <w:rFonts w:eastAsia="Times New Roman" w:cs="Times New Roman"/>
          <w:szCs w:val="24"/>
          <w:lang w:eastAsia="lv-LV"/>
        </w:rPr>
        <w:t xml:space="preserve"> 1.janvāra iznāk tikai elektroniski, tādējādi faktiski veicot vien formālu procedūru.</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Šādos apstākļos zvērināta notāra izdotā apliecība par paziņojuma nodošanu parādniecei ir brīdinājuma fikcija, un paziņojuma nodošana atbilstoši Civilprocesa likuma 396. panta otrajā daļā reglamentētajai kārtībai nav notikusi.</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[8]</w:t>
      </w:r>
      <w:r w:rsidRPr="00F8380A">
        <w:rPr>
          <w:rFonts w:eastAsia="Times New Roman" w:cs="Times New Roman"/>
          <w:szCs w:val="24"/>
          <w:lang w:eastAsia="lv-LV"/>
        </w:rPr>
        <w:t xml:space="preserve"> Augstākās tiesas </w:t>
      </w:r>
      <w:proofErr w:type="gramStart"/>
      <w:r w:rsidRPr="00F8380A">
        <w:rPr>
          <w:rFonts w:eastAsia="Times New Roman" w:cs="Times New Roman"/>
          <w:szCs w:val="24"/>
          <w:lang w:eastAsia="lv-LV"/>
        </w:rPr>
        <w:t>2017.gada</w:t>
      </w:r>
      <w:proofErr w:type="gramEnd"/>
      <w:r w:rsidRPr="00F8380A">
        <w:rPr>
          <w:rFonts w:eastAsia="Times New Roman" w:cs="Times New Roman"/>
          <w:szCs w:val="24"/>
          <w:lang w:eastAsia="lv-LV"/>
        </w:rPr>
        <w:t xml:space="preserve"> 11.aprīļa lēmumā lietā </w:t>
      </w:r>
      <w:proofErr w:type="spellStart"/>
      <w:r w:rsidRPr="00F8380A">
        <w:rPr>
          <w:rFonts w:eastAsia="Times New Roman" w:cs="Times New Roman"/>
          <w:szCs w:val="24"/>
          <w:lang w:eastAsia="lv-LV"/>
        </w:rPr>
        <w:t>Nr.SPC-1</w:t>
      </w:r>
      <w:proofErr w:type="spellEnd"/>
      <w:r>
        <w:rPr>
          <w:rFonts w:eastAsia="Times New Roman" w:cs="Times New Roman"/>
          <w:szCs w:val="24"/>
          <w:lang w:eastAsia="lv-LV"/>
        </w:rPr>
        <w:t>/2017</w:t>
      </w:r>
      <w:r w:rsidRPr="00F8380A">
        <w:rPr>
          <w:rFonts w:eastAsia="Times New Roman" w:cs="Times New Roman"/>
          <w:szCs w:val="24"/>
          <w:lang w:eastAsia="lv-LV"/>
        </w:rPr>
        <w:t xml:space="preserve"> ietverta Civilprocesa likuma 49.nodaļas 396.panta otrās daļas salīdzinošā analīze ar Civilprocesa likuma 50.</w:t>
      </w:r>
      <w:r w:rsidRPr="00F8380A">
        <w:rPr>
          <w:rFonts w:eastAsia="Times New Roman" w:cs="Times New Roman"/>
          <w:szCs w:val="24"/>
          <w:vertAlign w:val="superscript"/>
          <w:lang w:eastAsia="lv-LV"/>
        </w:rPr>
        <w:t>1</w:t>
      </w:r>
      <w:r w:rsidRPr="00F8380A">
        <w:rPr>
          <w:rFonts w:eastAsia="Times New Roman" w:cs="Times New Roman"/>
          <w:szCs w:val="24"/>
          <w:lang w:eastAsia="lv-LV"/>
        </w:rPr>
        <w:t>nodaļas 404.panta trešās daļas 3.punktu, kurā ietverta prasība par brīdinājuma izsniegšanu parādniekam pret parakstu, izdarot secinājumu, ka, tā kā Civilprocesa likuma 396. panta otrajā daļā nav ietverta prasība brīdinājumu parādniekam izsniegt pret parakstu, likumdevējs apzināti noteicis atšķirīgu regulējumu.</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Minētās atšķirības likuma pantos ietvertajos formulējumos nenozīmē atšķirību regulējumā pēc būtības, uz ko norāda jau analizētais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saturs. Būtiski norādīt, ka Civilprocesa likuma 50.</w:t>
      </w:r>
      <w:r w:rsidRPr="00F8380A">
        <w:rPr>
          <w:rFonts w:eastAsia="Times New Roman" w:cs="Times New Roman"/>
          <w:szCs w:val="24"/>
          <w:vertAlign w:val="superscript"/>
          <w:lang w:eastAsia="lv-LV"/>
        </w:rPr>
        <w:t>1</w:t>
      </w:r>
      <w:r w:rsidRPr="00F8380A">
        <w:rPr>
          <w:rFonts w:eastAsia="Times New Roman" w:cs="Times New Roman"/>
          <w:szCs w:val="24"/>
          <w:lang w:eastAsia="lv-LV"/>
        </w:rPr>
        <w:t xml:space="preserve">nodaļa Civilprocesa likumā ietverta tikai ar </w:t>
      </w:r>
      <w:proofErr w:type="gramStart"/>
      <w:r w:rsidRPr="00F8380A">
        <w:rPr>
          <w:rFonts w:eastAsia="Times New Roman" w:cs="Times New Roman"/>
          <w:szCs w:val="24"/>
          <w:lang w:eastAsia="lv-LV"/>
        </w:rPr>
        <w:t>2002.gada</w:t>
      </w:r>
      <w:proofErr w:type="gramEnd"/>
      <w:r w:rsidRPr="00F8380A">
        <w:rPr>
          <w:rFonts w:eastAsia="Times New Roman" w:cs="Times New Roman"/>
          <w:szCs w:val="24"/>
          <w:lang w:eastAsia="lv-LV"/>
        </w:rPr>
        <w:t xml:space="preserve"> 31.oktobra likumu </w:t>
      </w:r>
      <w:r>
        <w:rPr>
          <w:rFonts w:eastAsia="Times New Roman" w:cs="Times New Roman"/>
          <w:szCs w:val="24"/>
          <w:lang w:eastAsia="lv-LV"/>
        </w:rPr>
        <w:t>„</w:t>
      </w:r>
      <w:r w:rsidRPr="00F8380A">
        <w:rPr>
          <w:rFonts w:eastAsia="Times New Roman" w:cs="Times New Roman"/>
          <w:szCs w:val="24"/>
          <w:lang w:eastAsia="lv-LV"/>
        </w:rPr>
        <w:t xml:space="preserve">Grozījumi Civilprocesa likumā” un tāpēc satur pilnīgāku </w:t>
      </w:r>
      <w:r w:rsidRPr="00F8380A">
        <w:rPr>
          <w:rFonts w:eastAsia="Times New Roman" w:cs="Times New Roman"/>
          <w:szCs w:val="24"/>
          <w:lang w:eastAsia="lv-LV"/>
        </w:rPr>
        <w:lastRenderedPageBreak/>
        <w:t>regulējumu. Turklāt, kā norādīts šā likumprojekta anotācijā, ir notikušas konsultācijas ar Vācijas un citu ārvalstu ekspertiem.</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Grozījumus likumos izdara, tajā skaitā, lai novērstu neskaidru un pretrunīgu tiesu praksi. Tiesu prakse par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piemērošanu jautājumā par brīdinājuma izsniegšanu, kā norādīts iepriekš, bija vienveidīga un likumdevējam nebija nepieciešamības veikt grozījumus likuma normā, par kuras saturu tās piemērotājiem nebija šaubu. Brīdinājuma izsniegšanu parasti apliecināja pasta operatora korespondences nosūtītājam atgriezts saņēmēja paraksts par sūtījuma izsniegšanu, kas arī kalpo par pierādījumu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prasību izpildei.</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Civilprocesa likuma 50.</w:t>
      </w:r>
      <w:r w:rsidRPr="00F8380A">
        <w:rPr>
          <w:rFonts w:eastAsia="Times New Roman" w:cs="Times New Roman"/>
          <w:szCs w:val="24"/>
          <w:vertAlign w:val="superscript"/>
          <w:lang w:eastAsia="lv-LV"/>
        </w:rPr>
        <w:t>1</w:t>
      </w:r>
      <w:r w:rsidRPr="00F8380A">
        <w:rPr>
          <w:rFonts w:eastAsia="Times New Roman" w:cs="Times New Roman"/>
          <w:szCs w:val="24"/>
          <w:lang w:eastAsia="lv-LV"/>
        </w:rPr>
        <w:t>nodaļas kārtībā tiek izskatīti pieteikumi par maksājuma saistībām, kuras nepārsniedz 15 000 EUR, bet pārsvarā tie ir pieteikumi par laikā neveiktajiem kārtējiem naudas maksājumiem. Savukārt Civilprocesa likuma 49.nodaļas kārtībā tiek risināts jautājums par ieķīlāto nekustamo īpašumu, kas nereti ir personu mājoklis, pārdošanu. Nebūtu loģiska tāda likumdevēja rīcība, kas parādniekam smagāku seku gadījumā noteiktu kreditoram vieglākus nosacījumus tā tiesību realizēšanai.</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[9]</w:t>
      </w:r>
      <w:r w:rsidRPr="00F8380A">
        <w:rPr>
          <w:rFonts w:eastAsia="Times New Roman" w:cs="Times New Roman"/>
          <w:szCs w:val="24"/>
          <w:lang w:eastAsia="lv-LV"/>
        </w:rPr>
        <w:t xml:space="preserve"> Tiesvedību civilprocesā atbilstoši Civilprocesa likuma </w:t>
      </w:r>
      <w:proofErr w:type="gramStart"/>
      <w:r w:rsidRPr="00F8380A">
        <w:rPr>
          <w:rFonts w:eastAsia="Times New Roman" w:cs="Times New Roman"/>
          <w:szCs w:val="24"/>
          <w:lang w:eastAsia="lv-LV"/>
        </w:rPr>
        <w:t>2.pantam</w:t>
      </w:r>
      <w:proofErr w:type="gramEnd"/>
      <w:r w:rsidRPr="00F8380A">
        <w:rPr>
          <w:rFonts w:eastAsia="Times New Roman" w:cs="Times New Roman"/>
          <w:szCs w:val="24"/>
          <w:lang w:eastAsia="lv-LV"/>
        </w:rPr>
        <w:t xml:space="preserve"> reglamentē šā likuma normas.</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Protestā nepamatoti pārmests tiesnesim, ka viņš nav piemērojis Notariāta likuma 138.</w:t>
      </w:r>
      <w:r w:rsidRPr="00F8380A">
        <w:rPr>
          <w:rFonts w:eastAsia="Times New Roman" w:cs="Times New Roman"/>
          <w:szCs w:val="24"/>
          <w:vertAlign w:val="superscript"/>
          <w:lang w:eastAsia="lv-LV"/>
        </w:rPr>
        <w:t xml:space="preserve">1 </w:t>
      </w:r>
      <w:r w:rsidRPr="00F8380A">
        <w:rPr>
          <w:rFonts w:eastAsia="Times New Roman" w:cs="Times New Roman"/>
          <w:szCs w:val="24"/>
          <w:lang w:eastAsia="lv-LV"/>
        </w:rPr>
        <w:t xml:space="preserve">un </w:t>
      </w:r>
      <w:proofErr w:type="gramStart"/>
      <w:r w:rsidRPr="00F8380A">
        <w:rPr>
          <w:rFonts w:eastAsia="Times New Roman" w:cs="Times New Roman"/>
          <w:szCs w:val="24"/>
          <w:lang w:eastAsia="lv-LV"/>
        </w:rPr>
        <w:t>139.panta</w:t>
      </w:r>
      <w:proofErr w:type="gramEnd"/>
      <w:r w:rsidRPr="00F8380A">
        <w:rPr>
          <w:rFonts w:eastAsia="Times New Roman" w:cs="Times New Roman"/>
          <w:szCs w:val="24"/>
          <w:lang w:eastAsia="lv-LV"/>
        </w:rPr>
        <w:t xml:space="preserve"> normas. Izskatot pieteikumu par nekustamā īpašuma labprātīgu pārdošanu izsolē tiesas ceļā, tiesnesim ir saistošas Civilprocesa likuma, nevis Notariāta likuma normas.</w:t>
      </w:r>
    </w:p>
    <w:p w:rsidR="0074529D" w:rsidRPr="00F8380A"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Prokurora protestā nav norādes uz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vai citas Civilprocesa likumā ietvertas normas nepareizu piemērošanu vai pārkāpumu. Šādos apstākļos tiesneša lēmuma atzīšana par nelikumīgu un, sekojoši, tā atcelšana nav iespējama.</w:t>
      </w:r>
    </w:p>
    <w:p w:rsidR="0074529D" w:rsidRPr="00F8380A" w:rsidRDefault="0074529D" w:rsidP="0074529D">
      <w:pPr>
        <w:spacing w:after="0" w:line="276" w:lineRule="auto"/>
        <w:ind w:firstLine="567"/>
        <w:jc w:val="both"/>
        <w:rPr>
          <w:rFonts w:eastAsia="Times New Roman" w:cs="Times New Roman"/>
          <w:szCs w:val="24"/>
          <w:lang w:eastAsia="lv-LV"/>
        </w:rPr>
      </w:pPr>
      <w:r w:rsidRPr="00592873">
        <w:rPr>
          <w:rFonts w:eastAsia="Times New Roman" w:cs="Times New Roman"/>
          <w:szCs w:val="24"/>
          <w:lang w:eastAsia="lv-LV"/>
        </w:rPr>
        <w:t>[10]</w:t>
      </w:r>
      <w:r w:rsidRPr="00F8380A">
        <w:rPr>
          <w:rFonts w:eastAsia="Times New Roman" w:cs="Times New Roman"/>
          <w:szCs w:val="24"/>
          <w:lang w:eastAsia="lv-LV"/>
        </w:rPr>
        <w:t xml:space="preserve">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 daļa ir speciālā tiesību norma attiecībā pret Notariāta likuma 138.</w:t>
      </w:r>
      <w:r w:rsidRPr="00F8380A">
        <w:rPr>
          <w:rFonts w:eastAsia="Times New Roman" w:cs="Times New Roman"/>
          <w:szCs w:val="24"/>
          <w:vertAlign w:val="superscript"/>
          <w:lang w:eastAsia="lv-LV"/>
        </w:rPr>
        <w:t xml:space="preserve">1 </w:t>
      </w:r>
      <w:r w:rsidRPr="00F8380A">
        <w:rPr>
          <w:rFonts w:eastAsia="Times New Roman" w:cs="Times New Roman"/>
          <w:szCs w:val="24"/>
          <w:lang w:eastAsia="lv-LV"/>
        </w:rPr>
        <w:t xml:space="preserve">un 139.panta normām. Ja atbilstoši minētajai Satversmes tiesas un Senāta judikatūrai Civilprocesa likuma normas par brīdinājuma izsniegšanu ir iztulkojamas tādējādi, ka brīdinājumam ir jābūt personīgi izsniegtam, arī notāra paziņojums un uz tā pamata izdotā apliecība varētu būt par pierādījumu parādnieka brīdināšanai pēc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otrās daļas </w:t>
      </w:r>
      <w:r>
        <w:rPr>
          <w:rFonts w:eastAsia="Times New Roman" w:cs="Times New Roman"/>
          <w:szCs w:val="24"/>
          <w:lang w:eastAsia="lv-LV"/>
        </w:rPr>
        <w:t>ar</w:t>
      </w:r>
      <w:r w:rsidRPr="00F8380A">
        <w:rPr>
          <w:rFonts w:eastAsia="Times New Roman" w:cs="Times New Roman"/>
          <w:szCs w:val="24"/>
          <w:lang w:eastAsia="lv-LV"/>
        </w:rPr>
        <w:t xml:space="preserve"> nosacījum</w:t>
      </w:r>
      <w:r>
        <w:rPr>
          <w:rFonts w:eastAsia="Times New Roman" w:cs="Times New Roman"/>
          <w:szCs w:val="24"/>
          <w:lang w:eastAsia="lv-LV"/>
        </w:rPr>
        <w:t>u</w:t>
      </w:r>
      <w:r w:rsidRPr="00F8380A">
        <w:rPr>
          <w:rFonts w:eastAsia="Times New Roman" w:cs="Times New Roman"/>
          <w:szCs w:val="24"/>
          <w:lang w:eastAsia="lv-LV"/>
        </w:rPr>
        <w:t>, ja šo notāra paziņojumu parādnieks ir saņēmis personīgi.</w:t>
      </w:r>
    </w:p>
    <w:p w:rsidR="0074529D" w:rsidRDefault="0074529D" w:rsidP="0074529D">
      <w:pPr>
        <w:spacing w:after="0" w:line="276" w:lineRule="auto"/>
        <w:ind w:firstLine="567"/>
        <w:jc w:val="both"/>
        <w:rPr>
          <w:rFonts w:eastAsia="Times New Roman" w:cs="Times New Roman"/>
          <w:szCs w:val="24"/>
          <w:lang w:eastAsia="lv-LV"/>
        </w:rPr>
      </w:pPr>
      <w:r w:rsidRPr="00F8380A">
        <w:rPr>
          <w:rFonts w:eastAsia="Times New Roman" w:cs="Times New Roman"/>
          <w:szCs w:val="24"/>
          <w:lang w:eastAsia="lv-LV"/>
        </w:rPr>
        <w:t xml:space="preserve">Konkrētajā gadījumā ar notāra paziņojuma nosūtīšanu nav izpildīta Civilprocesa likuma </w:t>
      </w:r>
      <w:proofErr w:type="gramStart"/>
      <w:r w:rsidRPr="00F8380A">
        <w:rPr>
          <w:rFonts w:eastAsia="Times New Roman" w:cs="Times New Roman"/>
          <w:szCs w:val="24"/>
          <w:lang w:eastAsia="lv-LV"/>
        </w:rPr>
        <w:t>396.panta</w:t>
      </w:r>
      <w:proofErr w:type="gramEnd"/>
      <w:r w:rsidRPr="00F8380A">
        <w:rPr>
          <w:rFonts w:eastAsia="Times New Roman" w:cs="Times New Roman"/>
          <w:szCs w:val="24"/>
          <w:lang w:eastAsia="lv-LV"/>
        </w:rPr>
        <w:t xml:space="preserve"> otrajā daļā noteiktā prasība brīdināt parādnieku, tāpēc izsniegtā notāra apliecība nerada tiesiskas sekas.</w:t>
      </w:r>
    </w:p>
    <w:p w:rsidR="0074529D" w:rsidRDefault="0074529D" w:rsidP="0074529D">
      <w:pPr>
        <w:spacing w:after="0" w:line="276" w:lineRule="auto"/>
        <w:jc w:val="both"/>
        <w:rPr>
          <w:rFonts w:eastAsia="Times New Roman" w:cs="Times New Roman"/>
          <w:szCs w:val="24"/>
          <w:lang w:eastAsia="lv-LV"/>
        </w:rPr>
      </w:pPr>
    </w:p>
    <w:tbl>
      <w:tblPr>
        <w:tblStyle w:val="TableGrid"/>
        <w:tblW w:w="0" w:type="auto"/>
        <w:tblLook w:val="04A0" w:firstRow="1" w:lastRow="0" w:firstColumn="1" w:lastColumn="0" w:noHBand="0" w:noVBand="1"/>
      </w:tblPr>
      <w:tblGrid>
        <w:gridCol w:w="4530"/>
        <w:gridCol w:w="4531"/>
      </w:tblGrid>
      <w:tr w:rsidR="0074529D" w:rsidRPr="00F8380A" w:rsidTr="00257701">
        <w:tc>
          <w:tcPr>
            <w:tcW w:w="4530" w:type="dxa"/>
            <w:tcBorders>
              <w:top w:val="nil"/>
              <w:left w:val="nil"/>
              <w:bottom w:val="nil"/>
              <w:right w:val="nil"/>
            </w:tcBorders>
          </w:tcPr>
          <w:p w:rsidR="0074529D" w:rsidRPr="00F8380A" w:rsidRDefault="0074529D" w:rsidP="00257701">
            <w:pPr>
              <w:autoSpaceDE w:val="0"/>
              <w:autoSpaceDN w:val="0"/>
              <w:adjustRightInd w:val="0"/>
              <w:spacing w:line="276" w:lineRule="auto"/>
              <w:jc w:val="both"/>
              <w:rPr>
                <w:rFonts w:cs="Times New Roman"/>
                <w:szCs w:val="24"/>
              </w:rPr>
            </w:pPr>
            <w:r w:rsidRPr="00F8380A">
              <w:rPr>
                <w:rFonts w:cs="Times New Roman"/>
                <w:szCs w:val="24"/>
              </w:rPr>
              <w:t>Tiesnese</w:t>
            </w:r>
          </w:p>
        </w:tc>
        <w:tc>
          <w:tcPr>
            <w:tcW w:w="4531" w:type="dxa"/>
            <w:tcBorders>
              <w:top w:val="nil"/>
              <w:left w:val="nil"/>
              <w:bottom w:val="nil"/>
              <w:right w:val="nil"/>
            </w:tcBorders>
          </w:tcPr>
          <w:p w:rsidR="0074529D" w:rsidRPr="00F8380A" w:rsidRDefault="0074529D" w:rsidP="00257701">
            <w:pPr>
              <w:spacing w:line="276" w:lineRule="auto"/>
              <w:jc w:val="right"/>
              <w:rPr>
                <w:rFonts w:cs="Times New Roman"/>
                <w:szCs w:val="24"/>
              </w:rPr>
            </w:pPr>
            <w:r w:rsidRPr="00F8380A">
              <w:rPr>
                <w:rFonts w:eastAsia="Times New Roman" w:cs="Times New Roman"/>
                <w:szCs w:val="24"/>
                <w:lang w:eastAsia="lv-LV"/>
              </w:rPr>
              <w:t>V Cīrule</w:t>
            </w:r>
          </w:p>
        </w:tc>
      </w:tr>
      <w:tr w:rsidR="0074529D" w:rsidRPr="00F8380A" w:rsidTr="00257701">
        <w:tc>
          <w:tcPr>
            <w:tcW w:w="4530" w:type="dxa"/>
            <w:tcBorders>
              <w:top w:val="nil"/>
              <w:left w:val="nil"/>
              <w:bottom w:val="nil"/>
              <w:right w:val="nil"/>
            </w:tcBorders>
          </w:tcPr>
          <w:p w:rsidR="0074529D" w:rsidRPr="00F8380A" w:rsidRDefault="0074529D" w:rsidP="00257701">
            <w:pPr>
              <w:autoSpaceDE w:val="0"/>
              <w:autoSpaceDN w:val="0"/>
              <w:adjustRightInd w:val="0"/>
              <w:spacing w:line="276" w:lineRule="auto"/>
              <w:jc w:val="both"/>
              <w:rPr>
                <w:rFonts w:cs="Times New Roman"/>
                <w:szCs w:val="24"/>
              </w:rPr>
            </w:pPr>
            <w:r w:rsidRPr="00F8380A">
              <w:rPr>
                <w:rFonts w:cs="Times New Roman"/>
                <w:szCs w:val="24"/>
              </w:rPr>
              <w:t>Tiesnese</w:t>
            </w:r>
          </w:p>
        </w:tc>
        <w:tc>
          <w:tcPr>
            <w:tcW w:w="4531" w:type="dxa"/>
            <w:tcBorders>
              <w:top w:val="nil"/>
              <w:left w:val="nil"/>
              <w:bottom w:val="nil"/>
              <w:right w:val="nil"/>
            </w:tcBorders>
          </w:tcPr>
          <w:p w:rsidR="0074529D" w:rsidRPr="00F8380A" w:rsidRDefault="0074529D" w:rsidP="00257701">
            <w:pPr>
              <w:autoSpaceDE w:val="0"/>
              <w:autoSpaceDN w:val="0"/>
              <w:adjustRightInd w:val="0"/>
              <w:spacing w:line="276" w:lineRule="auto"/>
              <w:jc w:val="right"/>
              <w:rPr>
                <w:rFonts w:cs="Times New Roman"/>
                <w:szCs w:val="24"/>
              </w:rPr>
            </w:pPr>
            <w:r w:rsidRPr="00F8380A">
              <w:rPr>
                <w:rFonts w:cs="Times New Roman"/>
                <w:szCs w:val="24"/>
              </w:rPr>
              <w:t>V.Jonikāns</w:t>
            </w:r>
          </w:p>
        </w:tc>
      </w:tr>
      <w:tr w:rsidR="0074529D" w:rsidRPr="00F8380A" w:rsidTr="00257701">
        <w:tc>
          <w:tcPr>
            <w:tcW w:w="4530" w:type="dxa"/>
            <w:tcBorders>
              <w:top w:val="nil"/>
              <w:left w:val="nil"/>
              <w:bottom w:val="nil"/>
              <w:right w:val="nil"/>
            </w:tcBorders>
          </w:tcPr>
          <w:p w:rsidR="0074529D" w:rsidRPr="00F8380A" w:rsidRDefault="0074529D" w:rsidP="00257701">
            <w:pPr>
              <w:autoSpaceDE w:val="0"/>
              <w:autoSpaceDN w:val="0"/>
              <w:adjustRightInd w:val="0"/>
              <w:spacing w:line="276" w:lineRule="auto"/>
              <w:jc w:val="both"/>
              <w:rPr>
                <w:rFonts w:cs="Times New Roman"/>
                <w:szCs w:val="24"/>
              </w:rPr>
            </w:pPr>
            <w:r w:rsidRPr="00F8380A">
              <w:rPr>
                <w:rFonts w:cs="Times New Roman"/>
                <w:szCs w:val="24"/>
              </w:rPr>
              <w:t>Tiesnese</w:t>
            </w:r>
          </w:p>
        </w:tc>
        <w:tc>
          <w:tcPr>
            <w:tcW w:w="4531" w:type="dxa"/>
            <w:tcBorders>
              <w:top w:val="nil"/>
              <w:left w:val="nil"/>
              <w:bottom w:val="nil"/>
              <w:right w:val="nil"/>
            </w:tcBorders>
          </w:tcPr>
          <w:p w:rsidR="0074529D" w:rsidRPr="00F8380A" w:rsidRDefault="0074529D" w:rsidP="00257701">
            <w:pPr>
              <w:autoSpaceDE w:val="0"/>
              <w:autoSpaceDN w:val="0"/>
              <w:adjustRightInd w:val="0"/>
              <w:spacing w:line="276" w:lineRule="auto"/>
              <w:jc w:val="right"/>
              <w:rPr>
                <w:rFonts w:cs="Times New Roman"/>
                <w:szCs w:val="24"/>
              </w:rPr>
            </w:pPr>
            <w:r w:rsidRPr="00F8380A">
              <w:rPr>
                <w:rFonts w:eastAsia="Times New Roman" w:cs="Times New Roman"/>
                <w:szCs w:val="24"/>
                <w:lang w:eastAsia="lv-LV"/>
              </w:rPr>
              <w:t>A.Keišs</w:t>
            </w:r>
          </w:p>
        </w:tc>
      </w:tr>
      <w:tr w:rsidR="0074529D" w:rsidRPr="00F8380A" w:rsidTr="00257701">
        <w:tc>
          <w:tcPr>
            <w:tcW w:w="4530" w:type="dxa"/>
            <w:tcBorders>
              <w:top w:val="nil"/>
              <w:left w:val="nil"/>
              <w:bottom w:val="nil"/>
              <w:right w:val="nil"/>
            </w:tcBorders>
          </w:tcPr>
          <w:p w:rsidR="0074529D" w:rsidRPr="00F8380A" w:rsidRDefault="0074529D" w:rsidP="00257701">
            <w:pPr>
              <w:autoSpaceDE w:val="0"/>
              <w:autoSpaceDN w:val="0"/>
              <w:adjustRightInd w:val="0"/>
              <w:spacing w:line="276" w:lineRule="auto"/>
              <w:jc w:val="both"/>
              <w:rPr>
                <w:rFonts w:cs="Times New Roman"/>
                <w:szCs w:val="24"/>
              </w:rPr>
            </w:pPr>
            <w:r w:rsidRPr="00F8380A">
              <w:rPr>
                <w:rFonts w:cs="Times New Roman"/>
                <w:szCs w:val="24"/>
              </w:rPr>
              <w:t>Tiesnese</w:t>
            </w:r>
            <w:bookmarkStart w:id="2" w:name="_GoBack"/>
            <w:bookmarkEnd w:id="2"/>
          </w:p>
        </w:tc>
        <w:tc>
          <w:tcPr>
            <w:tcW w:w="4531" w:type="dxa"/>
            <w:tcBorders>
              <w:top w:val="nil"/>
              <w:left w:val="nil"/>
              <w:bottom w:val="nil"/>
              <w:right w:val="nil"/>
            </w:tcBorders>
          </w:tcPr>
          <w:p w:rsidR="0074529D" w:rsidRPr="00F8380A" w:rsidRDefault="0074529D" w:rsidP="00257701">
            <w:pPr>
              <w:autoSpaceDE w:val="0"/>
              <w:autoSpaceDN w:val="0"/>
              <w:adjustRightInd w:val="0"/>
              <w:spacing w:line="276" w:lineRule="auto"/>
              <w:jc w:val="right"/>
              <w:rPr>
                <w:rFonts w:cs="Times New Roman"/>
                <w:szCs w:val="24"/>
              </w:rPr>
            </w:pPr>
            <w:r w:rsidRPr="00F8380A">
              <w:rPr>
                <w:rFonts w:eastAsia="Times New Roman" w:cs="Times New Roman"/>
                <w:szCs w:val="24"/>
                <w:lang w:eastAsia="lv-LV"/>
              </w:rPr>
              <w:t>I.Lauka</w:t>
            </w:r>
          </w:p>
        </w:tc>
      </w:tr>
      <w:tr w:rsidR="0074529D" w:rsidRPr="00F8380A" w:rsidTr="00257701">
        <w:tc>
          <w:tcPr>
            <w:tcW w:w="4530" w:type="dxa"/>
            <w:tcBorders>
              <w:top w:val="nil"/>
              <w:left w:val="nil"/>
              <w:bottom w:val="nil"/>
              <w:right w:val="nil"/>
            </w:tcBorders>
          </w:tcPr>
          <w:p w:rsidR="0074529D" w:rsidRPr="00F8380A" w:rsidRDefault="0074529D" w:rsidP="00257701">
            <w:pPr>
              <w:autoSpaceDE w:val="0"/>
              <w:autoSpaceDN w:val="0"/>
              <w:adjustRightInd w:val="0"/>
              <w:spacing w:line="276" w:lineRule="auto"/>
              <w:jc w:val="both"/>
              <w:rPr>
                <w:rFonts w:cs="Times New Roman"/>
                <w:szCs w:val="24"/>
              </w:rPr>
            </w:pPr>
            <w:r w:rsidRPr="00F8380A">
              <w:rPr>
                <w:rFonts w:cs="Times New Roman"/>
                <w:szCs w:val="24"/>
              </w:rPr>
              <w:t>Tiesnese</w:t>
            </w:r>
          </w:p>
        </w:tc>
        <w:tc>
          <w:tcPr>
            <w:tcW w:w="4531" w:type="dxa"/>
            <w:tcBorders>
              <w:top w:val="nil"/>
              <w:left w:val="nil"/>
              <w:bottom w:val="nil"/>
              <w:right w:val="nil"/>
            </w:tcBorders>
          </w:tcPr>
          <w:p w:rsidR="0074529D" w:rsidRPr="00F8380A" w:rsidRDefault="0074529D" w:rsidP="00257701">
            <w:pPr>
              <w:autoSpaceDE w:val="0"/>
              <w:autoSpaceDN w:val="0"/>
              <w:adjustRightInd w:val="0"/>
              <w:spacing w:line="276" w:lineRule="auto"/>
              <w:jc w:val="right"/>
              <w:rPr>
                <w:rFonts w:cs="Times New Roman"/>
                <w:szCs w:val="24"/>
              </w:rPr>
            </w:pPr>
            <w:r w:rsidRPr="00F8380A">
              <w:rPr>
                <w:rFonts w:eastAsia="Times New Roman" w:cs="Times New Roman"/>
                <w:szCs w:val="24"/>
                <w:lang w:eastAsia="lv-LV"/>
              </w:rPr>
              <w:t>M.Senkāne</w:t>
            </w:r>
          </w:p>
        </w:tc>
      </w:tr>
      <w:tr w:rsidR="0074529D" w:rsidRPr="00F8380A" w:rsidTr="00257701">
        <w:tc>
          <w:tcPr>
            <w:tcW w:w="4530" w:type="dxa"/>
            <w:tcBorders>
              <w:top w:val="nil"/>
              <w:left w:val="nil"/>
              <w:bottom w:val="nil"/>
              <w:right w:val="nil"/>
            </w:tcBorders>
          </w:tcPr>
          <w:p w:rsidR="0074529D" w:rsidRPr="00F8380A" w:rsidRDefault="0074529D" w:rsidP="00257701">
            <w:pPr>
              <w:autoSpaceDE w:val="0"/>
              <w:autoSpaceDN w:val="0"/>
              <w:adjustRightInd w:val="0"/>
              <w:spacing w:line="276" w:lineRule="auto"/>
              <w:jc w:val="both"/>
              <w:rPr>
                <w:rFonts w:cs="Times New Roman"/>
                <w:szCs w:val="24"/>
              </w:rPr>
            </w:pPr>
            <w:r w:rsidRPr="00F8380A">
              <w:rPr>
                <w:rFonts w:cs="Times New Roman"/>
                <w:szCs w:val="24"/>
              </w:rPr>
              <w:t>Tiesnese</w:t>
            </w:r>
          </w:p>
        </w:tc>
        <w:tc>
          <w:tcPr>
            <w:tcW w:w="4531" w:type="dxa"/>
            <w:tcBorders>
              <w:top w:val="nil"/>
              <w:left w:val="nil"/>
              <w:bottom w:val="nil"/>
              <w:right w:val="nil"/>
            </w:tcBorders>
          </w:tcPr>
          <w:p w:rsidR="0074529D" w:rsidRPr="00F8380A" w:rsidRDefault="0074529D" w:rsidP="00257701">
            <w:pPr>
              <w:autoSpaceDE w:val="0"/>
              <w:autoSpaceDN w:val="0"/>
              <w:adjustRightInd w:val="0"/>
              <w:spacing w:line="276" w:lineRule="auto"/>
              <w:jc w:val="right"/>
              <w:rPr>
                <w:rFonts w:cs="Times New Roman"/>
                <w:szCs w:val="24"/>
              </w:rPr>
            </w:pPr>
            <w:r w:rsidRPr="00F8380A">
              <w:rPr>
                <w:rFonts w:eastAsia="Times New Roman" w:cs="Times New Roman"/>
                <w:szCs w:val="24"/>
                <w:lang w:eastAsia="lv-LV"/>
              </w:rPr>
              <w:t>A.Vītola</w:t>
            </w:r>
          </w:p>
        </w:tc>
      </w:tr>
    </w:tbl>
    <w:p w:rsidR="0074529D" w:rsidRPr="00CE031A" w:rsidRDefault="0074529D" w:rsidP="0074529D">
      <w:pPr>
        <w:spacing w:after="0" w:line="276" w:lineRule="auto"/>
        <w:ind w:firstLine="567"/>
        <w:jc w:val="both"/>
        <w:rPr>
          <w:rFonts w:cs="Times New Roman"/>
          <w:szCs w:val="24"/>
        </w:rPr>
      </w:pPr>
    </w:p>
    <w:sectPr w:rsidR="0074529D" w:rsidRPr="00CE031A"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A9D" w:rsidRDefault="00192A9D" w:rsidP="00CE031A">
      <w:pPr>
        <w:spacing w:after="0" w:line="240" w:lineRule="auto"/>
      </w:pPr>
      <w:r>
        <w:separator/>
      </w:r>
    </w:p>
  </w:endnote>
  <w:endnote w:type="continuationSeparator" w:id="0">
    <w:p w:rsidR="00192A9D" w:rsidRDefault="00192A9D" w:rsidP="00CE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31A" w:rsidRDefault="00CE031A" w:rsidP="00CE031A">
    <w:pPr>
      <w:tabs>
        <w:tab w:val="center" w:pos="4153"/>
        <w:tab w:val="right" w:pos="8306"/>
      </w:tabs>
      <w:spacing w:after="0" w:line="240" w:lineRule="auto"/>
      <w:ind w:firstLine="692"/>
      <w:jc w:val="center"/>
    </w:pPr>
    <w:r w:rsidRPr="00B57AC4">
      <w:rPr>
        <w:rFonts w:cs="Times New Roman"/>
        <w:szCs w:val="24"/>
      </w:rPr>
      <w:fldChar w:fldCharType="begin"/>
    </w:r>
    <w:r w:rsidRPr="00B57AC4">
      <w:rPr>
        <w:rFonts w:cs="Times New Roman"/>
        <w:szCs w:val="24"/>
      </w:rPr>
      <w:instrText xml:space="preserve"> PAGE </w:instrText>
    </w:r>
    <w:r w:rsidRPr="00B57AC4">
      <w:rPr>
        <w:rFonts w:cs="Times New Roman"/>
        <w:szCs w:val="24"/>
      </w:rPr>
      <w:fldChar w:fldCharType="separate"/>
    </w:r>
    <w:r w:rsidR="00592873">
      <w:rPr>
        <w:rFonts w:cs="Times New Roman"/>
        <w:noProof/>
        <w:szCs w:val="24"/>
      </w:rPr>
      <w:t>1</w:t>
    </w:r>
    <w:r w:rsidRPr="00B57AC4">
      <w:rPr>
        <w:rFonts w:cs="Times New Roman"/>
        <w:noProof/>
        <w:szCs w:val="24"/>
      </w:rPr>
      <w:fldChar w:fldCharType="end"/>
    </w:r>
    <w:r w:rsidRPr="00B57AC4">
      <w:rPr>
        <w:rFonts w:cs="Times New Roman"/>
        <w:szCs w:val="24"/>
      </w:rPr>
      <w:t xml:space="preserve">. lapa no </w:t>
    </w:r>
    <w:r w:rsidRPr="00B57AC4">
      <w:rPr>
        <w:rFonts w:cs="Times New Roman"/>
        <w:szCs w:val="24"/>
      </w:rPr>
      <w:fldChar w:fldCharType="begin"/>
    </w:r>
    <w:r w:rsidRPr="00B57AC4">
      <w:rPr>
        <w:rFonts w:cs="Times New Roman"/>
        <w:szCs w:val="24"/>
      </w:rPr>
      <w:instrText xml:space="preserve"> NUMPAGES </w:instrText>
    </w:r>
    <w:r w:rsidRPr="00B57AC4">
      <w:rPr>
        <w:rFonts w:cs="Times New Roman"/>
        <w:szCs w:val="24"/>
      </w:rPr>
      <w:fldChar w:fldCharType="separate"/>
    </w:r>
    <w:r w:rsidR="00592873">
      <w:rPr>
        <w:rFonts w:cs="Times New Roman"/>
        <w:noProof/>
        <w:szCs w:val="24"/>
      </w:rPr>
      <w:t>11</w:t>
    </w:r>
    <w:r w:rsidRPr="00B57AC4">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A9D" w:rsidRDefault="00192A9D" w:rsidP="00CE031A">
      <w:pPr>
        <w:spacing w:after="0" w:line="240" w:lineRule="auto"/>
      </w:pPr>
      <w:r>
        <w:separator/>
      </w:r>
    </w:p>
  </w:footnote>
  <w:footnote w:type="continuationSeparator" w:id="0">
    <w:p w:rsidR="00192A9D" w:rsidRDefault="00192A9D" w:rsidP="00CE0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1A"/>
    <w:rsid w:val="0019011D"/>
    <w:rsid w:val="00192A9D"/>
    <w:rsid w:val="001C1245"/>
    <w:rsid w:val="002F0E8A"/>
    <w:rsid w:val="004A1F49"/>
    <w:rsid w:val="00592873"/>
    <w:rsid w:val="005E4A4F"/>
    <w:rsid w:val="005F5809"/>
    <w:rsid w:val="00626CA3"/>
    <w:rsid w:val="0067710F"/>
    <w:rsid w:val="00680A9C"/>
    <w:rsid w:val="0074529D"/>
    <w:rsid w:val="007C6D38"/>
    <w:rsid w:val="0094657E"/>
    <w:rsid w:val="009C0685"/>
    <w:rsid w:val="009C7F6E"/>
    <w:rsid w:val="00A51717"/>
    <w:rsid w:val="00A60597"/>
    <w:rsid w:val="00B83DF3"/>
    <w:rsid w:val="00BF5D69"/>
    <w:rsid w:val="00CE031A"/>
    <w:rsid w:val="00D04FB4"/>
    <w:rsid w:val="00DE1B1F"/>
    <w:rsid w:val="00DE4D7D"/>
    <w:rsid w:val="00E34891"/>
    <w:rsid w:val="00E35777"/>
    <w:rsid w:val="00E6183B"/>
    <w:rsid w:val="00F042C0"/>
    <w:rsid w:val="00FD52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C481"/>
  <w15:chartTrackingRefBased/>
  <w15:docId w15:val="{06B258F1-A4C6-4CE6-B25F-B99035E3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031A"/>
    <w:rPr>
      <w:b/>
      <w:bCs/>
    </w:rPr>
  </w:style>
  <w:style w:type="paragraph" w:styleId="Title">
    <w:name w:val="Title"/>
    <w:basedOn w:val="Normal"/>
    <w:link w:val="TitleChar"/>
    <w:uiPriority w:val="10"/>
    <w:qFormat/>
    <w:rsid w:val="00CE031A"/>
    <w:pPr>
      <w:spacing w:before="100" w:beforeAutospacing="1" w:after="100" w:afterAutospacing="1" w:line="240" w:lineRule="auto"/>
    </w:pPr>
    <w:rPr>
      <w:rFonts w:eastAsia="Times New Roman" w:cs="Times New Roman"/>
      <w:szCs w:val="24"/>
      <w:lang w:eastAsia="lv-LV"/>
    </w:rPr>
  </w:style>
  <w:style w:type="character" w:customStyle="1" w:styleId="TitleChar">
    <w:name w:val="Title Char"/>
    <w:basedOn w:val="DefaultParagraphFont"/>
    <w:link w:val="Title"/>
    <w:uiPriority w:val="10"/>
    <w:rsid w:val="00CE031A"/>
    <w:rPr>
      <w:rFonts w:eastAsia="Times New Roman" w:cs="Times New Roman"/>
      <w:szCs w:val="24"/>
      <w:lang w:eastAsia="lv-LV"/>
    </w:rPr>
  </w:style>
  <w:style w:type="character" w:customStyle="1" w:styleId="apple-converted-space">
    <w:name w:val="apple-converted-space"/>
    <w:basedOn w:val="DefaultParagraphFont"/>
    <w:rsid w:val="00CE031A"/>
  </w:style>
  <w:style w:type="character" w:styleId="Emphasis">
    <w:name w:val="Emphasis"/>
    <w:basedOn w:val="DefaultParagraphFont"/>
    <w:uiPriority w:val="20"/>
    <w:qFormat/>
    <w:rsid w:val="00CE031A"/>
    <w:rPr>
      <w:i/>
      <w:iCs/>
    </w:rPr>
  </w:style>
  <w:style w:type="paragraph" w:styleId="Header">
    <w:name w:val="header"/>
    <w:basedOn w:val="Normal"/>
    <w:link w:val="HeaderChar"/>
    <w:uiPriority w:val="99"/>
    <w:unhideWhenUsed/>
    <w:rsid w:val="00CE03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031A"/>
  </w:style>
  <w:style w:type="paragraph" w:styleId="Footer">
    <w:name w:val="footer"/>
    <w:basedOn w:val="Normal"/>
    <w:link w:val="FooterChar"/>
    <w:uiPriority w:val="99"/>
    <w:unhideWhenUsed/>
    <w:rsid w:val="00CE03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031A"/>
  </w:style>
  <w:style w:type="table" w:styleId="TableGrid">
    <w:name w:val="Table Grid"/>
    <w:basedOn w:val="TableNormal"/>
    <w:uiPriority w:val="39"/>
    <w:rsid w:val="0074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22771">
      <w:bodyDiv w:val="1"/>
      <w:marLeft w:val="0"/>
      <w:marRight w:val="0"/>
      <w:marTop w:val="0"/>
      <w:marBottom w:val="0"/>
      <w:divBdr>
        <w:top w:val="none" w:sz="0" w:space="0" w:color="auto"/>
        <w:left w:val="none" w:sz="0" w:space="0" w:color="auto"/>
        <w:bottom w:val="none" w:sz="0" w:space="0" w:color="auto"/>
        <w:right w:val="none" w:sz="0" w:space="0" w:color="auto"/>
      </w:divBdr>
    </w:div>
    <w:div w:id="20113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23059</Words>
  <Characters>13144</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 Markvarts</dc:creator>
  <cp:keywords/>
  <dc:description/>
  <cp:lastModifiedBy>Zinaida Indrūna</cp:lastModifiedBy>
  <cp:revision>13</cp:revision>
  <dcterms:created xsi:type="dcterms:W3CDTF">2017-09-11T07:40:00Z</dcterms:created>
  <dcterms:modified xsi:type="dcterms:W3CDTF">2018-01-18T10:28:00Z</dcterms:modified>
</cp:coreProperties>
</file>