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1D6BC" w14:textId="77777777" w:rsidR="00AF4F7B" w:rsidRDefault="00AF4F7B" w:rsidP="00AF4F7B">
      <w:pPr>
        <w:spacing w:after="0"/>
        <w:rPr>
          <w:b/>
        </w:rPr>
      </w:pPr>
      <w:bookmarkStart w:id="0" w:name="_Hlk493581479"/>
      <w:r w:rsidRPr="00336252">
        <w:rPr>
          <w:b/>
        </w:rPr>
        <w:t>Motivēta sprieduma iztrūkums kā pamats izpildraksta izsniegšanas atteikumam šķīrējtiesas sprieduma izpildei</w:t>
      </w:r>
    </w:p>
    <w:p w14:paraId="1099AFC7" w14:textId="2617B12E" w:rsidR="00446775" w:rsidRPr="00AF4F7B" w:rsidRDefault="00AF4F7B" w:rsidP="00AF4F7B">
      <w:pPr>
        <w:pStyle w:val="NoSpacing"/>
        <w:spacing w:line="276" w:lineRule="auto"/>
        <w:ind w:firstLine="567"/>
        <w:jc w:val="both"/>
        <w:rPr>
          <w:szCs w:val="24"/>
          <w:lang w:val="lv-LV"/>
        </w:rPr>
      </w:pPr>
      <w:r w:rsidRPr="00AF4F7B">
        <w:rPr>
          <w:lang w:val="lv-LV"/>
        </w:rPr>
        <w:t xml:space="preserve">Motivācijas trūkums šķīrējtiesas spriedumā attiecībā uz svarīgiem lietas apstākļiem saskaņā ar Civilprocesa likuma </w:t>
      </w:r>
      <w:proofErr w:type="gramStart"/>
      <w:r w:rsidRPr="00AF4F7B">
        <w:rPr>
          <w:lang w:val="lv-LV"/>
        </w:rPr>
        <w:t>536.panta</w:t>
      </w:r>
      <w:proofErr w:type="gramEnd"/>
      <w:r w:rsidRPr="00AF4F7B">
        <w:rPr>
          <w:lang w:val="lv-LV"/>
        </w:rPr>
        <w:t xml:space="preserve"> 6.punktu var būt pamats izpildu raksta izsniegšanas atteikumam.</w:t>
      </w:r>
      <w:bookmarkEnd w:id="0"/>
    </w:p>
    <w:p w14:paraId="03A463F2" w14:textId="77777777" w:rsidR="00AF4F7B" w:rsidRPr="00784FA1" w:rsidRDefault="00AF4F7B" w:rsidP="00AF4F7B">
      <w:pPr>
        <w:pStyle w:val="NoSpacing"/>
        <w:spacing w:line="276" w:lineRule="auto"/>
        <w:ind w:firstLine="567"/>
        <w:jc w:val="both"/>
        <w:rPr>
          <w:szCs w:val="24"/>
          <w:lang w:val="lv-LV"/>
        </w:rPr>
      </w:pPr>
    </w:p>
    <w:p w14:paraId="2DA89AA2" w14:textId="77777777" w:rsidR="00AF4F7B" w:rsidRPr="00080F32" w:rsidRDefault="00AF4F7B" w:rsidP="00AF4F7B">
      <w:pPr>
        <w:shd w:val="clear" w:color="auto" w:fill="FFFFFF"/>
        <w:spacing w:after="0"/>
        <w:jc w:val="center"/>
        <w:rPr>
          <w:b/>
        </w:rPr>
      </w:pPr>
      <w:r w:rsidRPr="00080F32">
        <w:rPr>
          <w:b/>
        </w:rPr>
        <w:t>Latvijas Republikas</w:t>
      </w:r>
      <w:r>
        <w:rPr>
          <w:b/>
        </w:rPr>
        <w:t xml:space="preserve"> </w:t>
      </w:r>
      <w:r w:rsidRPr="00080F32">
        <w:rPr>
          <w:b/>
        </w:rPr>
        <w:t>Augstākās tiesas</w:t>
      </w:r>
    </w:p>
    <w:p w14:paraId="384115FD" w14:textId="77777777" w:rsidR="00AF4F7B" w:rsidRDefault="00AF4F7B" w:rsidP="00AF4F7B">
      <w:pPr>
        <w:shd w:val="clear" w:color="auto" w:fill="FFFFFF"/>
        <w:spacing w:after="0"/>
        <w:jc w:val="center"/>
        <w:rPr>
          <w:b/>
        </w:rPr>
      </w:pPr>
      <w:r w:rsidRPr="00080F32">
        <w:rPr>
          <w:b/>
        </w:rPr>
        <w:t>Civillietu departamenta</w:t>
      </w:r>
    </w:p>
    <w:p w14:paraId="33F55C49" w14:textId="11A403D1" w:rsidR="00AF4F7B" w:rsidRPr="009A3B0E" w:rsidRDefault="00AF4F7B" w:rsidP="00AF4F7B">
      <w:pPr>
        <w:shd w:val="clear" w:color="auto" w:fill="FFFFFF"/>
        <w:spacing w:after="0"/>
        <w:jc w:val="center"/>
        <w:rPr>
          <w:b/>
        </w:rPr>
      </w:pPr>
      <w:proofErr w:type="gramStart"/>
      <w:r>
        <w:rPr>
          <w:b/>
        </w:rPr>
        <w:t>2017.gada</w:t>
      </w:r>
      <w:proofErr w:type="gramEnd"/>
      <w:r>
        <w:rPr>
          <w:b/>
        </w:rPr>
        <w:t xml:space="preserve"> 15</w:t>
      </w:r>
      <w:r w:rsidRPr="009A3B0E">
        <w:rPr>
          <w:b/>
        </w:rPr>
        <w:t>.</w:t>
      </w:r>
      <w:r>
        <w:rPr>
          <w:b/>
        </w:rPr>
        <w:t>sepetmbra</w:t>
      </w:r>
    </w:p>
    <w:p w14:paraId="66E21A09" w14:textId="77777777" w:rsidR="00AF4F7B" w:rsidRPr="00080F32" w:rsidRDefault="00AF4F7B" w:rsidP="00AF4F7B">
      <w:pPr>
        <w:shd w:val="clear" w:color="auto" w:fill="FFFFFF"/>
        <w:spacing w:after="0"/>
        <w:ind w:right="-15"/>
        <w:jc w:val="center"/>
        <w:rPr>
          <w:b/>
        </w:rPr>
      </w:pPr>
      <w:r>
        <w:rPr>
          <w:b/>
          <w:bCs/>
        </w:rPr>
        <w:t>LĒM</w:t>
      </w:r>
      <w:r w:rsidRPr="00080F32">
        <w:rPr>
          <w:b/>
          <w:bCs/>
        </w:rPr>
        <w:t>UMS</w:t>
      </w:r>
    </w:p>
    <w:p w14:paraId="58FE91D3" w14:textId="20A045B6" w:rsidR="00446775" w:rsidRDefault="00AF4F7B" w:rsidP="00AF4F7B">
      <w:pPr>
        <w:spacing w:after="0"/>
        <w:jc w:val="center"/>
        <w:rPr>
          <w:b/>
        </w:rPr>
      </w:pPr>
      <w:r w:rsidRPr="00080F32">
        <w:rPr>
          <w:b/>
        </w:rPr>
        <w:t>Lieta Nr.</w:t>
      </w:r>
      <w:r>
        <w:rPr>
          <w:b/>
        </w:rPr>
        <w:t> SP</w:t>
      </w:r>
      <w:r w:rsidRPr="00080F32">
        <w:rPr>
          <w:b/>
        </w:rPr>
        <w:t>C</w:t>
      </w:r>
      <w:r w:rsidRPr="00080F32">
        <w:rPr>
          <w:b/>
        </w:rPr>
        <w:noBreakHyphen/>
      </w:r>
      <w:r>
        <w:rPr>
          <w:b/>
        </w:rPr>
        <w:t>20/2017</w:t>
      </w:r>
    </w:p>
    <w:p w14:paraId="3F9F0CC4" w14:textId="2E7C17D1" w:rsidR="00232DF8" w:rsidRDefault="00232DF8" w:rsidP="00AF4F7B">
      <w:pPr>
        <w:spacing w:after="0"/>
        <w:jc w:val="center"/>
        <w:rPr>
          <w:rFonts w:ascii="TimesNewRomanPSMT" w:eastAsiaTheme="minorHAnsi" w:hAnsi="TimesNewRomanPSMT" w:cs="TimesNewRomanPSMT"/>
          <w:color w:val="000081"/>
          <w:szCs w:val="24"/>
        </w:rPr>
      </w:pPr>
      <w:r>
        <w:rPr>
          <w:rFonts w:ascii="TimesNewRomanPSMT" w:eastAsiaTheme="minorHAnsi" w:hAnsi="TimesNewRomanPSMT" w:cs="TimesNewRomanPSMT"/>
          <w:color w:val="000081"/>
          <w:szCs w:val="24"/>
        </w:rPr>
        <w:t>ECLI:LV:AT:2017:0915.SPC-0020-17.1.L</w:t>
      </w:r>
    </w:p>
    <w:p w14:paraId="4A171AEB" w14:textId="77777777" w:rsidR="00446775" w:rsidRPr="00784FA1" w:rsidRDefault="00446775" w:rsidP="00784FA1">
      <w:pPr>
        <w:pStyle w:val="NoSpacing"/>
        <w:spacing w:line="276" w:lineRule="auto"/>
        <w:ind w:firstLine="567"/>
        <w:jc w:val="both"/>
        <w:rPr>
          <w:szCs w:val="24"/>
          <w:lang w:val="lv-LV"/>
        </w:rPr>
      </w:pPr>
    </w:p>
    <w:p w14:paraId="737094F7"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Augstākā tiesa šādā sastāvā:</w:t>
      </w:r>
    </w:p>
    <w:p w14:paraId="410FC1A4" w14:textId="77777777" w:rsidR="00446775" w:rsidRPr="00784FA1" w:rsidRDefault="00446775" w:rsidP="00784FA1">
      <w:pPr>
        <w:pStyle w:val="NoSpacing"/>
        <w:spacing w:line="276" w:lineRule="auto"/>
        <w:ind w:firstLine="1134"/>
        <w:jc w:val="both"/>
        <w:rPr>
          <w:szCs w:val="24"/>
          <w:lang w:val="lv-LV"/>
        </w:rPr>
      </w:pPr>
      <w:r w:rsidRPr="00784FA1">
        <w:rPr>
          <w:szCs w:val="24"/>
          <w:lang w:val="lv-LV"/>
        </w:rPr>
        <w:t>tiesnese Ļubova Kušnire,</w:t>
      </w:r>
    </w:p>
    <w:p w14:paraId="14847870" w14:textId="77777777" w:rsidR="00446775" w:rsidRPr="00784FA1" w:rsidRDefault="00446775" w:rsidP="00784FA1">
      <w:pPr>
        <w:pStyle w:val="NoSpacing"/>
        <w:spacing w:line="276" w:lineRule="auto"/>
        <w:ind w:firstLine="1134"/>
        <w:jc w:val="both"/>
        <w:rPr>
          <w:szCs w:val="24"/>
          <w:lang w:val="lv-LV"/>
        </w:rPr>
      </w:pPr>
      <w:r w:rsidRPr="00784FA1">
        <w:rPr>
          <w:szCs w:val="24"/>
          <w:lang w:val="lv-LV"/>
        </w:rPr>
        <w:t>tiesnese Inta Lauka,</w:t>
      </w:r>
    </w:p>
    <w:p w14:paraId="390D1B95" w14:textId="716F65E2" w:rsidR="00446775" w:rsidRPr="00784FA1" w:rsidRDefault="00446775" w:rsidP="00784FA1">
      <w:pPr>
        <w:pStyle w:val="NoSpacing"/>
        <w:spacing w:line="276" w:lineRule="auto"/>
        <w:ind w:firstLine="1134"/>
        <w:jc w:val="both"/>
        <w:rPr>
          <w:szCs w:val="24"/>
          <w:lang w:val="lv-LV"/>
        </w:rPr>
      </w:pPr>
      <w:r w:rsidRPr="00784FA1">
        <w:rPr>
          <w:szCs w:val="24"/>
          <w:lang w:val="lv-LV"/>
        </w:rPr>
        <w:t xml:space="preserve">tiesnese </w:t>
      </w:r>
      <w:r w:rsidR="005A1DEB" w:rsidRPr="00784FA1">
        <w:rPr>
          <w:szCs w:val="24"/>
          <w:lang w:val="lv-LV"/>
        </w:rPr>
        <w:t>Anita </w:t>
      </w:r>
      <w:r w:rsidR="00003517" w:rsidRPr="00784FA1">
        <w:rPr>
          <w:szCs w:val="24"/>
          <w:lang w:val="lv-LV"/>
        </w:rPr>
        <w:t>Čerņavska</w:t>
      </w:r>
    </w:p>
    <w:p w14:paraId="46E7F420" w14:textId="77777777" w:rsidR="00446775" w:rsidRPr="00784FA1" w:rsidRDefault="00446775" w:rsidP="00784FA1">
      <w:pPr>
        <w:pStyle w:val="NoSpacing"/>
        <w:spacing w:line="276" w:lineRule="auto"/>
        <w:ind w:firstLine="567"/>
        <w:jc w:val="both"/>
        <w:rPr>
          <w:szCs w:val="24"/>
          <w:lang w:val="lv-LV"/>
        </w:rPr>
      </w:pPr>
    </w:p>
    <w:p w14:paraId="4B8D5707" w14:textId="20BB0691"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izskatīja rakstveida procesā Latvijas Republikas Ģenerālprokuratūras Personu un valsts tiesību aizsardzības departamenta virsprokurora protestu par Rēzeknes tiesas tiesneša </w:t>
      </w:r>
      <w:proofErr w:type="gramStart"/>
      <w:r w:rsidRPr="00784FA1">
        <w:rPr>
          <w:szCs w:val="24"/>
          <w:lang w:val="lv-LV"/>
        </w:rPr>
        <w:t>2016.gada</w:t>
      </w:r>
      <w:proofErr w:type="gramEnd"/>
      <w:r w:rsidRPr="00784FA1">
        <w:rPr>
          <w:szCs w:val="24"/>
          <w:lang w:val="lv-LV"/>
        </w:rPr>
        <w:t xml:space="preserve"> 17.oktobra </w:t>
      </w:r>
      <w:r w:rsidR="00AF4F7B">
        <w:rPr>
          <w:szCs w:val="24"/>
          <w:lang w:val="lv-LV"/>
        </w:rPr>
        <w:t xml:space="preserve">lēmumu lietā akciju sabiedrības „Attīstības </w:t>
      </w:r>
      <w:r w:rsidRPr="00784FA1">
        <w:rPr>
          <w:szCs w:val="24"/>
          <w:lang w:val="lv-LV"/>
        </w:rPr>
        <w:t>finanšu institūcija </w:t>
      </w:r>
      <w:proofErr w:type="spellStart"/>
      <w:r w:rsidRPr="00784FA1">
        <w:rPr>
          <w:szCs w:val="24"/>
          <w:lang w:val="lv-LV"/>
        </w:rPr>
        <w:t>Altum</w:t>
      </w:r>
      <w:proofErr w:type="spellEnd"/>
      <w:r w:rsidRPr="00784FA1">
        <w:rPr>
          <w:szCs w:val="24"/>
          <w:lang w:val="lv-LV"/>
        </w:rPr>
        <w:t>” pieteikumā pret sabiedrību ar ierobežotu atbildību „</w:t>
      </w:r>
      <w:proofErr w:type="spellStart"/>
      <w:r w:rsidRPr="00784FA1">
        <w:rPr>
          <w:szCs w:val="24"/>
          <w:lang w:val="lv-LV"/>
        </w:rPr>
        <w:t>Wood</w:t>
      </w:r>
      <w:proofErr w:type="spellEnd"/>
      <w:r w:rsidRPr="00784FA1">
        <w:rPr>
          <w:szCs w:val="24"/>
          <w:lang w:val="lv-LV"/>
        </w:rPr>
        <w:t> </w:t>
      </w:r>
      <w:proofErr w:type="spellStart"/>
      <w:r w:rsidRPr="00784FA1">
        <w:rPr>
          <w:szCs w:val="24"/>
          <w:lang w:val="lv-LV"/>
        </w:rPr>
        <w:t>export</w:t>
      </w:r>
      <w:proofErr w:type="spellEnd"/>
      <w:r w:rsidRPr="00784FA1">
        <w:rPr>
          <w:szCs w:val="24"/>
          <w:lang w:val="lv-LV"/>
        </w:rPr>
        <w:t xml:space="preserve">” un </w:t>
      </w:r>
      <w:r w:rsidR="00AF4F7B">
        <w:rPr>
          <w:szCs w:val="24"/>
          <w:lang w:val="lv-LV"/>
        </w:rPr>
        <w:t>[pers. A]</w:t>
      </w:r>
      <w:r w:rsidRPr="00784FA1">
        <w:rPr>
          <w:szCs w:val="24"/>
          <w:lang w:val="lv-LV"/>
        </w:rPr>
        <w:t xml:space="preserve"> par izpildu raksta izsniegšanu šķīrējtiesas sprieduma izpildei. </w:t>
      </w:r>
    </w:p>
    <w:p w14:paraId="08507480" w14:textId="77777777" w:rsidR="00446775" w:rsidRPr="00784FA1" w:rsidRDefault="00446775" w:rsidP="00784FA1">
      <w:pPr>
        <w:pStyle w:val="NoSpacing"/>
        <w:spacing w:line="276" w:lineRule="auto"/>
        <w:ind w:firstLine="567"/>
        <w:jc w:val="both"/>
        <w:rPr>
          <w:szCs w:val="24"/>
          <w:lang w:val="lv-LV"/>
        </w:rPr>
      </w:pPr>
    </w:p>
    <w:p w14:paraId="1191F485" w14:textId="77777777" w:rsidR="00446775" w:rsidRPr="00784FA1" w:rsidRDefault="00446775" w:rsidP="0061120C">
      <w:pPr>
        <w:pStyle w:val="NoSpacing"/>
        <w:spacing w:line="276" w:lineRule="auto"/>
        <w:jc w:val="center"/>
        <w:rPr>
          <w:b/>
          <w:szCs w:val="24"/>
          <w:lang w:val="lv-LV"/>
        </w:rPr>
      </w:pPr>
      <w:r w:rsidRPr="00784FA1">
        <w:rPr>
          <w:b/>
          <w:szCs w:val="24"/>
          <w:lang w:val="lv-LV"/>
        </w:rPr>
        <w:t>Aprakstošā daļa</w:t>
      </w:r>
    </w:p>
    <w:p w14:paraId="275E57A0" w14:textId="77777777" w:rsidR="00446775" w:rsidRPr="00784FA1" w:rsidRDefault="00446775" w:rsidP="00784FA1">
      <w:pPr>
        <w:pStyle w:val="NoSpacing"/>
        <w:spacing w:line="276" w:lineRule="auto"/>
        <w:ind w:firstLine="567"/>
        <w:jc w:val="both"/>
        <w:rPr>
          <w:szCs w:val="24"/>
          <w:lang w:val="lv-LV"/>
        </w:rPr>
      </w:pPr>
    </w:p>
    <w:p w14:paraId="69546FA3"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[1] Ar Rēzeknes tiesas tiesneša </w:t>
      </w:r>
      <w:proofErr w:type="gramStart"/>
      <w:r w:rsidRPr="00784FA1">
        <w:rPr>
          <w:szCs w:val="24"/>
          <w:lang w:val="lv-LV"/>
        </w:rPr>
        <w:t>2016.gada</w:t>
      </w:r>
      <w:proofErr w:type="gramEnd"/>
      <w:r w:rsidRPr="00784FA1">
        <w:rPr>
          <w:szCs w:val="24"/>
          <w:lang w:val="lv-LV"/>
        </w:rPr>
        <w:t xml:space="preserve"> 17.oktobra lēmumu apmierināts akciju sabiedrības (turpmāk arī AS) „Attīstības finanšu institūcija </w:t>
      </w:r>
      <w:proofErr w:type="spellStart"/>
      <w:r w:rsidRPr="00784FA1">
        <w:rPr>
          <w:szCs w:val="24"/>
          <w:lang w:val="lv-LV"/>
        </w:rPr>
        <w:t>Altum</w:t>
      </w:r>
      <w:proofErr w:type="spellEnd"/>
      <w:r w:rsidRPr="00784FA1">
        <w:rPr>
          <w:szCs w:val="24"/>
          <w:lang w:val="lv-LV"/>
        </w:rPr>
        <w:t xml:space="preserve">” pieteikums par izpildu raksta izsniegšanu Latvijas Komercbanku asociācijas šķīrējtiesas 2016.gada 4.jūlija sprieduma izpildei. </w:t>
      </w:r>
    </w:p>
    <w:p w14:paraId="674BAA3C"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Lēmums pamatots ar šādiem argumentiem. </w:t>
      </w:r>
    </w:p>
    <w:p w14:paraId="5CCEC0D2" w14:textId="57579C22" w:rsidR="00446775" w:rsidRPr="00784FA1" w:rsidRDefault="00446775" w:rsidP="00784FA1">
      <w:pPr>
        <w:pStyle w:val="NoSpacing"/>
        <w:spacing w:line="276" w:lineRule="auto"/>
        <w:ind w:firstLine="567"/>
        <w:jc w:val="both"/>
        <w:rPr>
          <w:szCs w:val="24"/>
          <w:lang w:val="lv-LV"/>
        </w:rPr>
      </w:pPr>
      <w:r w:rsidRPr="00784FA1">
        <w:rPr>
          <w:szCs w:val="24"/>
          <w:lang w:val="lv-LV"/>
        </w:rPr>
        <w:t>[1.1] Starp AS „Attīstības finanšu institūcija </w:t>
      </w:r>
      <w:proofErr w:type="spellStart"/>
      <w:r w:rsidRPr="00784FA1">
        <w:rPr>
          <w:szCs w:val="24"/>
          <w:lang w:val="lv-LV"/>
        </w:rPr>
        <w:t>Altum</w:t>
      </w:r>
      <w:proofErr w:type="spellEnd"/>
      <w:r w:rsidRPr="00784FA1">
        <w:rPr>
          <w:szCs w:val="24"/>
          <w:lang w:val="lv-LV"/>
        </w:rPr>
        <w:t>” un sabiedrību ar ierobežotu atbildību (turpmāk arī SIA) „</w:t>
      </w:r>
      <w:proofErr w:type="spellStart"/>
      <w:r w:rsidRPr="00784FA1">
        <w:rPr>
          <w:szCs w:val="24"/>
          <w:lang w:val="lv-LV"/>
        </w:rPr>
        <w:t>Wood</w:t>
      </w:r>
      <w:proofErr w:type="spellEnd"/>
      <w:r w:rsidRPr="00784FA1">
        <w:rPr>
          <w:szCs w:val="24"/>
          <w:lang w:val="lv-LV"/>
        </w:rPr>
        <w:t> </w:t>
      </w:r>
      <w:proofErr w:type="spellStart"/>
      <w:r w:rsidRPr="00784FA1">
        <w:rPr>
          <w:szCs w:val="24"/>
          <w:lang w:val="lv-LV"/>
        </w:rPr>
        <w:t>export</w:t>
      </w:r>
      <w:proofErr w:type="spellEnd"/>
      <w:r w:rsidRPr="00784FA1">
        <w:rPr>
          <w:szCs w:val="24"/>
          <w:lang w:val="lv-LV"/>
        </w:rPr>
        <w:t xml:space="preserve">” </w:t>
      </w:r>
      <w:proofErr w:type="gramStart"/>
      <w:r w:rsidRPr="00784FA1">
        <w:rPr>
          <w:szCs w:val="24"/>
          <w:lang w:val="lv-LV"/>
        </w:rPr>
        <w:t>2014.gada</w:t>
      </w:r>
      <w:proofErr w:type="gramEnd"/>
      <w:r w:rsidRPr="00784FA1">
        <w:rPr>
          <w:szCs w:val="24"/>
          <w:lang w:val="lv-LV"/>
        </w:rPr>
        <w:t xml:space="preserve"> 24.jūlijā noslēgts aizdevuma līgums Nr.213613/01, kura 26.punktā ietverta šķīrējtiesas klauzula, paredzot strīda izšķiršanu pēc iesniedzēja izvēles </w:t>
      </w:r>
      <w:bookmarkStart w:id="1" w:name="_Hlk493583938"/>
      <w:r w:rsidRPr="00784FA1">
        <w:rPr>
          <w:szCs w:val="24"/>
          <w:lang w:val="lv-LV"/>
        </w:rPr>
        <w:t xml:space="preserve">Latvijas Komercbanku asociācijas </w:t>
      </w:r>
      <w:bookmarkEnd w:id="1"/>
      <w:r w:rsidRPr="00784FA1">
        <w:rPr>
          <w:szCs w:val="24"/>
          <w:lang w:val="lv-LV"/>
        </w:rPr>
        <w:t>šķīrējtiesā vai vispārējās jurisdikcijas tiesā. Tāpat 2014.gada 24.jūlijā starp AS „Attīstības finanšu institūcija </w:t>
      </w:r>
      <w:proofErr w:type="spellStart"/>
      <w:r w:rsidRPr="00784FA1">
        <w:rPr>
          <w:szCs w:val="24"/>
          <w:lang w:val="lv-LV"/>
        </w:rPr>
        <w:t>Altum</w:t>
      </w:r>
      <w:proofErr w:type="spellEnd"/>
      <w:r w:rsidRPr="00784FA1">
        <w:rPr>
          <w:szCs w:val="24"/>
          <w:lang w:val="lv-LV"/>
        </w:rPr>
        <w:t xml:space="preserve">” un </w:t>
      </w:r>
      <w:r w:rsidR="00AF4F7B">
        <w:rPr>
          <w:szCs w:val="24"/>
          <w:lang w:val="lv-LV"/>
        </w:rPr>
        <w:t>[pers. A]</w:t>
      </w:r>
      <w:r w:rsidRPr="00784FA1">
        <w:rPr>
          <w:szCs w:val="24"/>
          <w:lang w:val="lv-LV"/>
        </w:rPr>
        <w:t xml:space="preserve"> noslēgts galvojuma līgums Nr.213613/01-1G, kura 1.21.1.punktā arī ietverta minētā šķīrējtiesas klauzula.</w:t>
      </w:r>
    </w:p>
    <w:p w14:paraId="02C83041" w14:textId="0B1C81E4" w:rsidR="00446775" w:rsidRPr="00784FA1" w:rsidRDefault="00446775" w:rsidP="00784FA1">
      <w:pPr>
        <w:pStyle w:val="NoSpacing"/>
        <w:spacing w:line="276" w:lineRule="auto"/>
        <w:ind w:firstLine="567"/>
        <w:jc w:val="both"/>
        <w:rPr>
          <w:szCs w:val="24"/>
          <w:lang w:val="lv-LV"/>
        </w:rPr>
      </w:pPr>
      <w:r w:rsidRPr="00784FA1">
        <w:rPr>
          <w:szCs w:val="24"/>
          <w:lang w:val="lv-LV"/>
        </w:rPr>
        <w:t>SIA „</w:t>
      </w:r>
      <w:proofErr w:type="spellStart"/>
      <w:r w:rsidRPr="00784FA1">
        <w:rPr>
          <w:szCs w:val="24"/>
          <w:lang w:val="lv-LV"/>
        </w:rPr>
        <w:t>Wood</w:t>
      </w:r>
      <w:proofErr w:type="spellEnd"/>
      <w:r w:rsidRPr="00784FA1">
        <w:rPr>
          <w:szCs w:val="24"/>
          <w:lang w:val="lv-LV"/>
        </w:rPr>
        <w:t> </w:t>
      </w:r>
      <w:proofErr w:type="spellStart"/>
      <w:r w:rsidRPr="00784FA1">
        <w:rPr>
          <w:szCs w:val="24"/>
          <w:lang w:val="lv-LV"/>
        </w:rPr>
        <w:t>export</w:t>
      </w:r>
      <w:proofErr w:type="spellEnd"/>
      <w:r w:rsidRPr="00784FA1">
        <w:rPr>
          <w:szCs w:val="24"/>
          <w:lang w:val="lv-LV"/>
        </w:rPr>
        <w:t xml:space="preserve">” un </w:t>
      </w:r>
      <w:r w:rsidR="00AF4F7B">
        <w:rPr>
          <w:szCs w:val="24"/>
          <w:lang w:val="lv-LV"/>
        </w:rPr>
        <w:t>[pers. A]</w:t>
      </w:r>
      <w:r w:rsidRPr="00784FA1">
        <w:rPr>
          <w:szCs w:val="24"/>
          <w:lang w:val="lv-LV"/>
        </w:rPr>
        <w:t xml:space="preserve"> saistības, kas izriet no noslēgtajiem aizdevuma un galvojuma līgumiem nebija pienācīgi izpildīju</w:t>
      </w:r>
      <w:r w:rsidR="00AF4F7B">
        <w:rPr>
          <w:szCs w:val="24"/>
          <w:lang w:val="lv-LV"/>
        </w:rPr>
        <w:t xml:space="preserve">ši, kā rezultātā AS „Attīstības finanšu institūcija </w:t>
      </w:r>
      <w:proofErr w:type="spellStart"/>
      <w:r w:rsidRPr="00784FA1">
        <w:rPr>
          <w:szCs w:val="24"/>
          <w:lang w:val="lv-LV"/>
        </w:rPr>
        <w:t>Altum</w:t>
      </w:r>
      <w:proofErr w:type="spellEnd"/>
      <w:r w:rsidRPr="00784FA1">
        <w:rPr>
          <w:szCs w:val="24"/>
          <w:lang w:val="lv-LV"/>
        </w:rPr>
        <w:t xml:space="preserve">” Latvijas Komercbanku asociācijas šķīrējtiesā iesniedza pieteikumu par parāda piedziņu. </w:t>
      </w:r>
    </w:p>
    <w:p w14:paraId="54EFD9AC" w14:textId="7A758EF0" w:rsidR="00446775" w:rsidRPr="00784FA1" w:rsidRDefault="00446775" w:rsidP="00784FA1">
      <w:pPr>
        <w:pStyle w:val="NoSpacing"/>
        <w:spacing w:line="276" w:lineRule="auto"/>
        <w:ind w:firstLine="567"/>
        <w:jc w:val="both"/>
        <w:rPr>
          <w:szCs w:val="24"/>
          <w:lang w:val="lv-LV"/>
        </w:rPr>
      </w:pPr>
      <w:r w:rsidRPr="00784FA1">
        <w:rPr>
          <w:szCs w:val="24"/>
          <w:lang w:val="lv-LV"/>
        </w:rPr>
        <w:lastRenderedPageBreak/>
        <w:t xml:space="preserve">Ar Latvijas Komercbanku asociācijas šķīrējtiesas </w:t>
      </w:r>
      <w:proofErr w:type="gramStart"/>
      <w:r w:rsidRPr="00784FA1">
        <w:rPr>
          <w:szCs w:val="24"/>
          <w:lang w:val="lv-LV"/>
        </w:rPr>
        <w:t>2016.gada</w:t>
      </w:r>
      <w:proofErr w:type="gramEnd"/>
      <w:r w:rsidRPr="00784FA1">
        <w:rPr>
          <w:szCs w:val="24"/>
          <w:lang w:val="lv-LV"/>
        </w:rPr>
        <w:t xml:space="preserve"> 4.jūlija spriedumu no SIA „</w:t>
      </w:r>
      <w:proofErr w:type="spellStart"/>
      <w:r w:rsidRPr="00784FA1">
        <w:rPr>
          <w:szCs w:val="24"/>
          <w:lang w:val="lv-LV"/>
        </w:rPr>
        <w:t>Wood</w:t>
      </w:r>
      <w:proofErr w:type="spellEnd"/>
      <w:r w:rsidRPr="00784FA1">
        <w:rPr>
          <w:szCs w:val="24"/>
          <w:lang w:val="lv-LV"/>
        </w:rPr>
        <w:t> </w:t>
      </w:r>
      <w:proofErr w:type="spellStart"/>
      <w:r w:rsidRPr="00784FA1">
        <w:rPr>
          <w:szCs w:val="24"/>
          <w:lang w:val="lv-LV"/>
        </w:rPr>
        <w:t>export</w:t>
      </w:r>
      <w:proofErr w:type="spellEnd"/>
      <w:r w:rsidRPr="00784FA1">
        <w:rPr>
          <w:szCs w:val="24"/>
          <w:lang w:val="lv-LV"/>
        </w:rPr>
        <w:t xml:space="preserve">”, bet piedziņas neiespējamības vai daļējas piedziņas gadījumā no </w:t>
      </w:r>
      <w:r w:rsidR="00AF4F7B">
        <w:rPr>
          <w:szCs w:val="24"/>
          <w:lang w:val="lv-LV"/>
        </w:rPr>
        <w:t>[pers. A]</w:t>
      </w:r>
      <w:r w:rsidRPr="00784FA1">
        <w:rPr>
          <w:szCs w:val="24"/>
          <w:lang w:val="lv-LV"/>
        </w:rPr>
        <w:t xml:space="preserve"> par labu AS „Attīstības finanšu institūcija </w:t>
      </w:r>
      <w:proofErr w:type="spellStart"/>
      <w:r w:rsidRPr="00784FA1">
        <w:rPr>
          <w:szCs w:val="24"/>
          <w:lang w:val="lv-LV"/>
        </w:rPr>
        <w:t>Altum</w:t>
      </w:r>
      <w:proofErr w:type="spellEnd"/>
      <w:r w:rsidRPr="00784FA1">
        <w:rPr>
          <w:szCs w:val="24"/>
          <w:lang w:val="lv-LV"/>
        </w:rPr>
        <w:t>” piedzīts parāds 16 594,35 EUR, noteikts, ka no SIA „</w:t>
      </w:r>
      <w:proofErr w:type="spellStart"/>
      <w:r w:rsidRPr="00784FA1">
        <w:rPr>
          <w:szCs w:val="24"/>
          <w:lang w:val="lv-LV"/>
        </w:rPr>
        <w:t>Wood</w:t>
      </w:r>
      <w:proofErr w:type="spellEnd"/>
      <w:r w:rsidRPr="00784FA1">
        <w:rPr>
          <w:szCs w:val="24"/>
          <w:lang w:val="lv-LV"/>
        </w:rPr>
        <w:t> </w:t>
      </w:r>
      <w:proofErr w:type="spellStart"/>
      <w:r w:rsidRPr="00784FA1">
        <w:rPr>
          <w:szCs w:val="24"/>
          <w:lang w:val="lv-LV"/>
        </w:rPr>
        <w:t>export</w:t>
      </w:r>
      <w:proofErr w:type="spellEnd"/>
      <w:r w:rsidRPr="00784FA1">
        <w:rPr>
          <w:szCs w:val="24"/>
          <w:lang w:val="lv-LV"/>
        </w:rPr>
        <w:t xml:space="preserve">” un </w:t>
      </w:r>
      <w:r w:rsidR="00AF4F7B">
        <w:rPr>
          <w:szCs w:val="24"/>
          <w:lang w:val="lv-LV"/>
        </w:rPr>
        <w:t>[pers. A]</w:t>
      </w:r>
      <w:r w:rsidRPr="00784FA1">
        <w:rPr>
          <w:szCs w:val="24"/>
          <w:lang w:val="lv-LV"/>
        </w:rPr>
        <w:t xml:space="preserve"> kopējā piedzenamā summa nedrīkst pārsniegt parāda 16 594,35 EUR un šķīrējtiesas izdevumu 511,90 EUR summu, kā arī noteiktas AS „Attīstības finanšu institūcija </w:t>
      </w:r>
      <w:proofErr w:type="spellStart"/>
      <w:r w:rsidRPr="00784FA1">
        <w:rPr>
          <w:szCs w:val="24"/>
          <w:lang w:val="lv-LV"/>
        </w:rPr>
        <w:t>Altum</w:t>
      </w:r>
      <w:proofErr w:type="spellEnd"/>
      <w:r w:rsidRPr="00784FA1">
        <w:rPr>
          <w:szCs w:val="24"/>
          <w:lang w:val="lv-LV"/>
        </w:rPr>
        <w:t xml:space="preserve">” tiesības par laiku līdz sprieduma izpildei saņemt likumiskos 8,05% gadā no neatmaksātās aizdevuma pamatsummas. </w:t>
      </w:r>
    </w:p>
    <w:p w14:paraId="107E6DD6"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[1.2] Ņemot vērā, ka šķīrējtiesas spriedums netika izpildīts labprātīgi, AS „Attīstības finanšu institūcija </w:t>
      </w:r>
      <w:proofErr w:type="spellStart"/>
      <w:r w:rsidRPr="00784FA1">
        <w:rPr>
          <w:szCs w:val="24"/>
          <w:lang w:val="lv-LV"/>
        </w:rPr>
        <w:t>Altum</w:t>
      </w:r>
      <w:proofErr w:type="spellEnd"/>
      <w:r w:rsidRPr="00784FA1">
        <w:rPr>
          <w:szCs w:val="24"/>
          <w:lang w:val="lv-LV"/>
        </w:rPr>
        <w:t xml:space="preserve">” lūgusi izsniegt izpildu rakstu. </w:t>
      </w:r>
    </w:p>
    <w:p w14:paraId="5D4866C2"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Tiesā nav iesniegti pierādījumi, ka šķīrējtiesas līgums būtu atcelts, atzīts par spēkā neesošu vai grozīts. Parādniekiem par šķīrējtiesas procesu paziņots pienācīgā kārtībā, kā arī tiesā nav iesniegtas ziņas par to, ka parādniekiem nav bijusi iespēja iesniegt paskaidrojumus un tas būtiski ietekmējis šķīrējtiesas procesu. </w:t>
      </w:r>
    </w:p>
    <w:p w14:paraId="3D9B0D46"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[1.3] Vispārējās jurisdikcijas tiesas tiesneša kompetencē neietilpst izvērtēt, vai šķīrējtiesas spriedumā pareizi novērtēti pierādījumi un pušu argumenti, kā arī to, vai strīds pēc būtības izšķirts pareizi. Šķīrējtiesa ir vērtējusi gan strīda pakļautību izskatīšanai šķīrējtiesā, gan starp pusēm noslēgtā līguma saturu. </w:t>
      </w:r>
    </w:p>
    <w:p w14:paraId="00590662"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[1.4] Atbilstoši Civilprocesa likuma 534.pantam pieteikumam pievienoti dokumenti, kas apliecina, ka šķīrējtiesas spriedums ir pamatots ar materiālajām un procesuālajām tiesību normām, kā arī pušu nodibinātajām saistībām.</w:t>
      </w:r>
    </w:p>
    <w:p w14:paraId="725689CE"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Lietā nav konstatējama tādu apstākļu esamība, kas saskaņā ar Civilprocesa likuma 536.pantu būtu par pamatu atteikumam izsniegt izpildu rakstu šķīrējtiesas sprieduma izpildei. </w:t>
      </w:r>
    </w:p>
    <w:p w14:paraId="7CF1AA7B" w14:textId="77777777" w:rsidR="00446775" w:rsidRPr="00784FA1" w:rsidRDefault="00446775" w:rsidP="00784FA1">
      <w:pPr>
        <w:pStyle w:val="NoSpacing"/>
        <w:spacing w:line="276" w:lineRule="auto"/>
        <w:ind w:firstLine="567"/>
        <w:jc w:val="both"/>
        <w:rPr>
          <w:szCs w:val="24"/>
          <w:lang w:val="lv-LV"/>
        </w:rPr>
      </w:pPr>
    </w:p>
    <w:p w14:paraId="5E2628A4" w14:textId="7688D4E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[2] Par Rēzeknes tiesas tiesneša </w:t>
      </w:r>
      <w:proofErr w:type="gramStart"/>
      <w:r w:rsidRPr="00784FA1">
        <w:rPr>
          <w:szCs w:val="24"/>
          <w:lang w:val="lv-LV"/>
        </w:rPr>
        <w:t>2016.gada</w:t>
      </w:r>
      <w:proofErr w:type="gramEnd"/>
      <w:r w:rsidRPr="00784FA1">
        <w:rPr>
          <w:szCs w:val="24"/>
          <w:lang w:val="lv-LV"/>
        </w:rPr>
        <w:t xml:space="preserve"> 17.oktobra lēmumu </w:t>
      </w:r>
      <w:r w:rsidR="00634B3B" w:rsidRPr="00784FA1">
        <w:rPr>
          <w:szCs w:val="24"/>
          <w:lang w:val="lv-LV"/>
        </w:rPr>
        <w:t xml:space="preserve">Latvijas Republikas Ģenerālprokuratūras </w:t>
      </w:r>
      <w:r w:rsidRPr="00784FA1">
        <w:rPr>
          <w:szCs w:val="24"/>
          <w:lang w:val="lv-LV"/>
        </w:rPr>
        <w:t xml:space="preserve">Personu un valsts tiesību aizsardzības departamenta virsprokurors iesniedza protestu, lūdzot lēmumu atcelt daļā par parāda piedziņu no </w:t>
      </w:r>
      <w:r w:rsidR="00AF4F7B">
        <w:rPr>
          <w:szCs w:val="24"/>
          <w:lang w:val="lv-LV"/>
        </w:rPr>
        <w:t>[pers. A]</w:t>
      </w:r>
      <w:r w:rsidRPr="00784FA1">
        <w:rPr>
          <w:szCs w:val="24"/>
          <w:lang w:val="lv-LV"/>
        </w:rPr>
        <w:t xml:space="preserve"> un nosūtīt lietu jaunai izskatīšanai. </w:t>
      </w:r>
    </w:p>
    <w:p w14:paraId="78F2146F"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Prokurora ieskatā lietas izskatīšanā pieļauts būtisks procesuālo tiesību normu pārkāpums, kas novedis pie lietas nepareizas izlemšanas. </w:t>
      </w:r>
    </w:p>
    <w:p w14:paraId="7A06E600"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Protestā norādīti šādi argumenti.</w:t>
      </w:r>
    </w:p>
    <w:p w14:paraId="75B27B9E" w14:textId="5EA40BC8"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[2.1] No lietas materiāliem redzams, ka atbilstoši aizdevuma līguma 20.2.punktam un galvojuma līguma 1.12.1.punktam </w:t>
      </w:r>
      <w:r w:rsidR="00AF4F7B">
        <w:rPr>
          <w:szCs w:val="24"/>
          <w:lang w:val="lv-LV"/>
        </w:rPr>
        <w:t>[pers. A]</w:t>
      </w:r>
      <w:r w:rsidRPr="00784FA1">
        <w:rPr>
          <w:szCs w:val="24"/>
          <w:lang w:val="lv-LV"/>
        </w:rPr>
        <w:t xml:space="preserve"> atbild par aizdevuma līgumā paredzētajām saistībām 5 400 EUR apmērā. </w:t>
      </w:r>
    </w:p>
    <w:p w14:paraId="5B3D52B5" w14:textId="540D8C8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Šķīrējtiesas spriedumā nav ņemts vērā, ka </w:t>
      </w:r>
      <w:r w:rsidR="00AF4F7B">
        <w:rPr>
          <w:szCs w:val="24"/>
          <w:lang w:val="lv-LV"/>
        </w:rPr>
        <w:t>[pers. A]</w:t>
      </w:r>
      <w:r w:rsidRPr="00784FA1">
        <w:rPr>
          <w:szCs w:val="24"/>
          <w:lang w:val="lv-LV"/>
        </w:rPr>
        <w:t xml:space="preserve"> galvojuma apmērs par SIA „</w:t>
      </w:r>
      <w:proofErr w:type="spellStart"/>
      <w:r w:rsidRPr="00784FA1">
        <w:rPr>
          <w:szCs w:val="24"/>
          <w:lang w:val="lv-LV"/>
        </w:rPr>
        <w:t>Wood</w:t>
      </w:r>
      <w:proofErr w:type="spellEnd"/>
      <w:r w:rsidRPr="00784FA1">
        <w:rPr>
          <w:szCs w:val="24"/>
          <w:lang w:val="lv-LV"/>
        </w:rPr>
        <w:t> </w:t>
      </w:r>
      <w:proofErr w:type="spellStart"/>
      <w:r w:rsidRPr="00784FA1">
        <w:rPr>
          <w:szCs w:val="24"/>
          <w:lang w:val="lv-LV"/>
        </w:rPr>
        <w:t>export</w:t>
      </w:r>
      <w:proofErr w:type="spellEnd"/>
      <w:r w:rsidRPr="00784FA1">
        <w:rPr>
          <w:szCs w:val="24"/>
          <w:lang w:val="lv-LV"/>
        </w:rPr>
        <w:t xml:space="preserve">” saistībām ierobežots līdz 5 400 EUR. Minēto apstākli </w:t>
      </w:r>
      <w:r w:rsidR="00AF4F7B">
        <w:rPr>
          <w:szCs w:val="24"/>
          <w:lang w:val="lv-LV"/>
        </w:rPr>
        <w:t>[pers. A]</w:t>
      </w:r>
      <w:r w:rsidRPr="00784FA1">
        <w:rPr>
          <w:szCs w:val="24"/>
          <w:lang w:val="lv-LV"/>
        </w:rPr>
        <w:t xml:space="preserve"> norādīja paskaidrojumā, kas tiesai iesniegts Civilprocesa likuma 534.</w:t>
      </w:r>
      <w:r w:rsidRPr="00784FA1">
        <w:rPr>
          <w:szCs w:val="24"/>
          <w:vertAlign w:val="superscript"/>
          <w:lang w:val="lv-LV"/>
        </w:rPr>
        <w:t>1</w:t>
      </w:r>
      <w:r w:rsidRPr="00784FA1">
        <w:rPr>
          <w:szCs w:val="24"/>
          <w:lang w:val="lv-LV"/>
        </w:rPr>
        <w:t> panta otrajā daļā noteiktajā kārtībā.</w:t>
      </w:r>
    </w:p>
    <w:p w14:paraId="5A9AE2C3"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Atbilstoši Civillikuma 1697.pantam gadījumā, ja galvinieks uzņemas maksāt mazāku summu nekā galvenais parādnieks, tad no galvinieka var prasīt vienīgi to, ko viņš uzņēmies. </w:t>
      </w:r>
    </w:p>
    <w:p w14:paraId="02FA3A18" w14:textId="1ACC0D9C"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Tādējādi aizdevuma un galvojuma līgumos ietvertā šķīrējtiesas klauzula neparedz nodot izskatīšanai strīdu ar galvinieku </w:t>
      </w:r>
      <w:r w:rsidR="00AF4F7B">
        <w:rPr>
          <w:szCs w:val="24"/>
          <w:lang w:val="lv-LV"/>
        </w:rPr>
        <w:t>[pers. A]</w:t>
      </w:r>
      <w:r w:rsidRPr="00784FA1">
        <w:rPr>
          <w:szCs w:val="24"/>
          <w:lang w:val="lv-LV"/>
        </w:rPr>
        <w:t xml:space="preserve"> par parādu, kas pārsniedz 5 400 EUR. </w:t>
      </w:r>
    </w:p>
    <w:p w14:paraId="549369BC" w14:textId="77777777" w:rsidR="00446775" w:rsidRPr="00784FA1" w:rsidRDefault="00446775" w:rsidP="00784FA1">
      <w:pPr>
        <w:pStyle w:val="NoSpacing"/>
        <w:spacing w:line="276" w:lineRule="auto"/>
        <w:ind w:firstLine="567"/>
        <w:jc w:val="both"/>
        <w:rPr>
          <w:szCs w:val="24"/>
          <w:lang w:val="lv-LV"/>
        </w:rPr>
      </w:pPr>
      <w:r w:rsidRPr="00784FA1">
        <w:rPr>
          <w:szCs w:val="24"/>
          <w:lang w:val="lv-LV"/>
        </w:rPr>
        <w:lastRenderedPageBreak/>
        <w:t xml:space="preserve">[2.2] Saskaņā ar Civilprocesa likuma 536.panta pirmās daļas 7.punktu tiesnesis atsaka izsniegt izpildu rakstu pastāvīgās šķīrējtiesas sprieduma izpildei, ja šķīrējtiesas spriedums pieņemts par civiltiesisku strīdu, kas neatbilst šķīrējtiesas līguma noteikumiem. </w:t>
      </w:r>
    </w:p>
    <w:p w14:paraId="364C21EC" w14:textId="31CA5C4C" w:rsidR="00446775" w:rsidRPr="00784FA1" w:rsidRDefault="00446775" w:rsidP="00784FA1">
      <w:pPr>
        <w:pStyle w:val="NoSpacing"/>
        <w:spacing w:line="276" w:lineRule="auto"/>
        <w:ind w:firstLine="567"/>
        <w:jc w:val="both"/>
        <w:rPr>
          <w:szCs w:val="24"/>
          <w:lang w:val="lv-LV"/>
        </w:rPr>
      </w:pPr>
      <w:r w:rsidRPr="00784FA1">
        <w:rPr>
          <w:szCs w:val="24"/>
          <w:lang w:val="lv-LV"/>
        </w:rPr>
        <w:t xml:space="preserve">Šajā gadījumā tiesnesis nav izvērtējis jautājumu, vai attiecībā uz </w:t>
      </w:r>
      <w:r w:rsidR="00AF4F7B">
        <w:rPr>
          <w:szCs w:val="24"/>
          <w:lang w:val="lv-LV"/>
        </w:rPr>
        <w:t>[pers. A]</w:t>
      </w:r>
      <w:r w:rsidRPr="00784FA1">
        <w:rPr>
          <w:szCs w:val="24"/>
          <w:lang w:val="lv-LV"/>
        </w:rPr>
        <w:t xml:space="preserve"> šķīrējtiesas spriedums pieņemts par civiltiesisku strīdu, kas atbilst šķīrējtiesas līguma noteikumiem. </w:t>
      </w:r>
    </w:p>
    <w:p w14:paraId="21BE364D" w14:textId="77777777" w:rsidR="00446775" w:rsidRPr="00784FA1" w:rsidRDefault="00446775" w:rsidP="00784FA1">
      <w:pPr>
        <w:pStyle w:val="NoSpacing"/>
        <w:spacing w:line="276" w:lineRule="auto"/>
        <w:ind w:firstLine="567"/>
        <w:jc w:val="both"/>
        <w:rPr>
          <w:szCs w:val="24"/>
          <w:lang w:val="lv-LV"/>
        </w:rPr>
      </w:pPr>
    </w:p>
    <w:p w14:paraId="1935DA1A" w14:textId="5741B59B" w:rsidR="00446775" w:rsidRPr="00784FA1" w:rsidRDefault="00446775" w:rsidP="00784FA1">
      <w:pPr>
        <w:pStyle w:val="NoSpacing"/>
        <w:spacing w:line="276" w:lineRule="auto"/>
        <w:ind w:firstLine="567"/>
        <w:jc w:val="both"/>
        <w:rPr>
          <w:szCs w:val="24"/>
          <w:lang w:val="lv-LV"/>
        </w:rPr>
      </w:pPr>
      <w:r w:rsidRPr="00784FA1">
        <w:rPr>
          <w:szCs w:val="24"/>
          <w:lang w:val="lv-LV"/>
        </w:rPr>
        <w:t>[3] Sakarā ar iesniegto protestu tiesā</w:t>
      </w:r>
      <w:r w:rsidR="0061120C">
        <w:rPr>
          <w:szCs w:val="24"/>
          <w:lang w:val="lv-LV"/>
        </w:rPr>
        <w:t xml:space="preserve"> saņemts AS „Attīstības finanšu institūcija </w:t>
      </w:r>
      <w:proofErr w:type="spellStart"/>
      <w:r w:rsidRPr="00784FA1">
        <w:rPr>
          <w:szCs w:val="24"/>
          <w:lang w:val="lv-LV"/>
        </w:rPr>
        <w:t>Altum</w:t>
      </w:r>
      <w:proofErr w:type="spellEnd"/>
      <w:r w:rsidRPr="00784FA1">
        <w:rPr>
          <w:szCs w:val="24"/>
          <w:lang w:val="lv-LV"/>
        </w:rPr>
        <w:t xml:space="preserve">” paskaidrojums, kurā norādīts, ka lēmums ir likumīgs un pamatots. </w:t>
      </w:r>
    </w:p>
    <w:p w14:paraId="41FCDEC7" w14:textId="5BBBC931" w:rsidR="00446775" w:rsidRPr="00784FA1" w:rsidRDefault="00446775" w:rsidP="00784FA1">
      <w:pPr>
        <w:pStyle w:val="NoSpacing"/>
        <w:spacing w:line="276" w:lineRule="auto"/>
        <w:ind w:firstLine="567"/>
        <w:jc w:val="both"/>
        <w:rPr>
          <w:szCs w:val="24"/>
          <w:lang w:val="lv-LV"/>
        </w:rPr>
      </w:pPr>
      <w:proofErr w:type="gramStart"/>
      <w:r w:rsidRPr="00784FA1">
        <w:rPr>
          <w:szCs w:val="24"/>
          <w:lang w:val="lv-LV"/>
        </w:rPr>
        <w:t>Izpildu</w:t>
      </w:r>
      <w:proofErr w:type="gramEnd"/>
      <w:r w:rsidRPr="00784FA1">
        <w:rPr>
          <w:szCs w:val="24"/>
          <w:lang w:val="lv-LV"/>
        </w:rPr>
        <w:t xml:space="preserve"> raksts iesniegts zvērinātai tiesu izpildītājai Lilijai </w:t>
      </w:r>
      <w:proofErr w:type="spellStart"/>
      <w:r w:rsidRPr="00784FA1">
        <w:rPr>
          <w:szCs w:val="24"/>
          <w:lang w:val="lv-LV"/>
        </w:rPr>
        <w:t>Solovjovai</w:t>
      </w:r>
      <w:proofErr w:type="spellEnd"/>
      <w:r w:rsidRPr="00784FA1">
        <w:rPr>
          <w:szCs w:val="24"/>
          <w:lang w:val="lv-LV"/>
        </w:rPr>
        <w:t xml:space="preserve">, norādot, ka no </w:t>
      </w:r>
      <w:r w:rsidR="00AF4F7B">
        <w:rPr>
          <w:szCs w:val="24"/>
          <w:lang w:val="lv-LV"/>
        </w:rPr>
        <w:t>[pers. A]</w:t>
      </w:r>
      <w:r w:rsidRPr="00784FA1">
        <w:rPr>
          <w:szCs w:val="24"/>
          <w:lang w:val="lv-LV"/>
        </w:rPr>
        <w:t xml:space="preserve"> piedzenama summa, kas nav lielāka par 5 400 EUR. Iespējamā pieļautā kļūda vai neskaidrība šķīrējtiesas spriedumā nekādā veidā neaizskar </w:t>
      </w:r>
      <w:r w:rsidR="00AF4F7B">
        <w:rPr>
          <w:szCs w:val="24"/>
          <w:lang w:val="lv-LV"/>
        </w:rPr>
        <w:t>[pers. A]</w:t>
      </w:r>
      <w:r w:rsidRPr="00784FA1">
        <w:rPr>
          <w:szCs w:val="24"/>
          <w:lang w:val="lv-LV"/>
        </w:rPr>
        <w:t xml:space="preserve"> tiesīb</w:t>
      </w:r>
      <w:r w:rsidR="0061120C">
        <w:rPr>
          <w:szCs w:val="24"/>
          <w:lang w:val="lv-LV"/>
        </w:rPr>
        <w:t>as, jo AS „Attīstības </w:t>
      </w:r>
      <w:r w:rsidRPr="00784FA1">
        <w:rPr>
          <w:szCs w:val="24"/>
          <w:lang w:val="lv-LV"/>
        </w:rPr>
        <w:t>finanšu institūcija </w:t>
      </w:r>
      <w:proofErr w:type="spellStart"/>
      <w:r w:rsidRPr="00784FA1">
        <w:rPr>
          <w:szCs w:val="24"/>
          <w:lang w:val="lv-LV"/>
        </w:rPr>
        <w:t>Altum</w:t>
      </w:r>
      <w:proofErr w:type="spellEnd"/>
      <w:r w:rsidRPr="00784FA1">
        <w:rPr>
          <w:szCs w:val="24"/>
          <w:lang w:val="lv-LV"/>
        </w:rPr>
        <w:t xml:space="preserve">” neprasa un nekad nav prasījusi vairāk par 5 400 EUR. </w:t>
      </w:r>
    </w:p>
    <w:p w14:paraId="1CFB4F23" w14:textId="77777777" w:rsidR="00446775" w:rsidRPr="00784FA1" w:rsidRDefault="00446775" w:rsidP="00784FA1">
      <w:pPr>
        <w:pStyle w:val="NoSpacing"/>
        <w:spacing w:line="276" w:lineRule="auto"/>
        <w:ind w:firstLine="567"/>
        <w:jc w:val="both"/>
        <w:rPr>
          <w:szCs w:val="24"/>
          <w:lang w:val="lv-LV"/>
        </w:rPr>
      </w:pPr>
    </w:p>
    <w:p w14:paraId="7017B932" w14:textId="77777777" w:rsidR="00446775" w:rsidRPr="00784FA1" w:rsidRDefault="00446775" w:rsidP="00AF4F7B">
      <w:pPr>
        <w:pStyle w:val="NoSpacing"/>
        <w:spacing w:line="276" w:lineRule="auto"/>
        <w:jc w:val="center"/>
        <w:rPr>
          <w:b/>
          <w:szCs w:val="24"/>
          <w:lang w:val="lv-LV"/>
        </w:rPr>
      </w:pPr>
      <w:r w:rsidRPr="00784FA1">
        <w:rPr>
          <w:b/>
          <w:szCs w:val="24"/>
          <w:lang w:val="lv-LV"/>
        </w:rPr>
        <w:t>Motīvu daļa</w:t>
      </w:r>
    </w:p>
    <w:p w14:paraId="592897F1" w14:textId="77777777" w:rsidR="00446775" w:rsidRPr="00784FA1" w:rsidRDefault="00446775" w:rsidP="00784FA1">
      <w:pPr>
        <w:pStyle w:val="NoSpacing"/>
        <w:spacing w:line="276" w:lineRule="auto"/>
        <w:ind w:firstLine="567"/>
        <w:jc w:val="both"/>
        <w:rPr>
          <w:b/>
          <w:szCs w:val="24"/>
          <w:lang w:val="lv-LV"/>
        </w:rPr>
      </w:pPr>
    </w:p>
    <w:p w14:paraId="55BFEC1D" w14:textId="0D224E6C" w:rsidR="00446775" w:rsidRPr="00784FA1" w:rsidRDefault="00446775" w:rsidP="00784FA1">
      <w:pPr>
        <w:pStyle w:val="NoSpacing"/>
        <w:spacing w:line="276" w:lineRule="auto"/>
        <w:ind w:firstLine="567"/>
        <w:jc w:val="both"/>
        <w:rPr>
          <w:rFonts w:eastAsia="Times New Roman"/>
          <w:szCs w:val="24"/>
          <w:lang w:val="lv-LV" w:eastAsia="lv-LV"/>
        </w:rPr>
      </w:pPr>
      <w:r w:rsidRPr="00784FA1">
        <w:rPr>
          <w:szCs w:val="24"/>
          <w:lang w:val="lv-LV"/>
        </w:rPr>
        <w:t xml:space="preserve">[4] </w:t>
      </w:r>
      <w:r w:rsidRPr="00784FA1">
        <w:rPr>
          <w:rFonts w:eastAsia="Times New Roman"/>
          <w:szCs w:val="24"/>
          <w:lang w:val="lv-LV" w:eastAsia="lv-LV"/>
        </w:rPr>
        <w:t xml:space="preserve">Izskatījusi protestu, Augstākā tiesa atzīst, ka lēmums </w:t>
      </w:r>
      <w:r w:rsidR="005615A9" w:rsidRPr="00784FA1">
        <w:rPr>
          <w:rFonts w:eastAsia="Times New Roman"/>
          <w:szCs w:val="24"/>
          <w:lang w:val="lv-LV" w:eastAsia="lv-LV"/>
        </w:rPr>
        <w:t>atceļams daļā, ar kuru izpildu raksts</w:t>
      </w:r>
      <w:r w:rsidR="001624C7" w:rsidRPr="00784FA1">
        <w:rPr>
          <w:rFonts w:eastAsia="Times New Roman"/>
          <w:szCs w:val="24"/>
          <w:lang w:val="lv-LV" w:eastAsia="lv-LV"/>
        </w:rPr>
        <w:t xml:space="preserve"> </w:t>
      </w:r>
      <w:r w:rsidR="005615A9" w:rsidRPr="00784FA1">
        <w:rPr>
          <w:szCs w:val="24"/>
          <w:lang w:val="lv-LV"/>
        </w:rPr>
        <w:t xml:space="preserve">Latvijas Komercbanku asociācijas šķīrējtiesas </w:t>
      </w:r>
      <w:proofErr w:type="gramStart"/>
      <w:r w:rsidR="005615A9" w:rsidRPr="00784FA1">
        <w:rPr>
          <w:szCs w:val="24"/>
          <w:lang w:val="lv-LV"/>
        </w:rPr>
        <w:t>2016.gada</w:t>
      </w:r>
      <w:proofErr w:type="gramEnd"/>
      <w:r w:rsidR="005615A9" w:rsidRPr="00784FA1">
        <w:rPr>
          <w:szCs w:val="24"/>
          <w:lang w:val="lv-LV"/>
        </w:rPr>
        <w:t xml:space="preserve"> 4.jūlija sprieduma </w:t>
      </w:r>
      <w:r w:rsidR="000249E5" w:rsidRPr="00784FA1">
        <w:rPr>
          <w:szCs w:val="24"/>
          <w:lang w:val="lv-LV"/>
        </w:rPr>
        <w:t xml:space="preserve">piespiedu </w:t>
      </w:r>
      <w:r w:rsidR="005615A9" w:rsidRPr="00784FA1">
        <w:rPr>
          <w:szCs w:val="24"/>
          <w:lang w:val="lv-LV"/>
        </w:rPr>
        <w:t>izpildei izsniegts</w:t>
      </w:r>
      <w:r w:rsidR="000249E5" w:rsidRPr="00784FA1">
        <w:rPr>
          <w:szCs w:val="24"/>
          <w:lang w:val="lv-LV"/>
        </w:rPr>
        <w:t xml:space="preserve"> attiecībā </w:t>
      </w:r>
      <w:r w:rsidR="005615A9" w:rsidRPr="00784FA1">
        <w:rPr>
          <w:szCs w:val="24"/>
          <w:lang w:val="lv-LV"/>
        </w:rPr>
        <w:t xml:space="preserve">uz </w:t>
      </w:r>
      <w:r w:rsidR="00AF4F7B">
        <w:rPr>
          <w:szCs w:val="24"/>
          <w:lang w:val="lv-LV"/>
        </w:rPr>
        <w:t>[pers. A]</w:t>
      </w:r>
      <w:r w:rsidR="000249E5" w:rsidRPr="00784FA1">
        <w:rPr>
          <w:szCs w:val="24"/>
          <w:lang w:val="lv-LV"/>
        </w:rPr>
        <w:t>.</w:t>
      </w:r>
    </w:p>
    <w:p w14:paraId="56AD3775" w14:textId="77777777" w:rsidR="00901636" w:rsidRPr="00784FA1" w:rsidRDefault="00901636" w:rsidP="00784FA1">
      <w:pPr>
        <w:pStyle w:val="NoSpacing"/>
        <w:spacing w:line="276" w:lineRule="auto"/>
        <w:ind w:firstLine="567"/>
        <w:jc w:val="both"/>
        <w:rPr>
          <w:rFonts w:eastAsia="Times New Roman"/>
          <w:szCs w:val="24"/>
          <w:lang w:val="lv-LV" w:eastAsia="lv-LV"/>
        </w:rPr>
      </w:pPr>
    </w:p>
    <w:p w14:paraId="1C09A6E8" w14:textId="6F01EFBF" w:rsidR="00C64F12" w:rsidRPr="00784FA1" w:rsidRDefault="0083510B" w:rsidP="00784FA1">
      <w:pPr>
        <w:pStyle w:val="NoSpacing"/>
        <w:spacing w:line="276" w:lineRule="auto"/>
        <w:ind w:firstLine="567"/>
        <w:jc w:val="both"/>
        <w:rPr>
          <w:szCs w:val="24"/>
          <w:lang w:val="lv-LV"/>
        </w:rPr>
      </w:pPr>
      <w:r w:rsidRPr="00784FA1">
        <w:rPr>
          <w:rFonts w:eastAsia="Times New Roman"/>
          <w:szCs w:val="24"/>
          <w:lang w:val="lv-LV" w:eastAsia="lv-LV"/>
        </w:rPr>
        <w:t>[</w:t>
      </w:r>
      <w:r w:rsidR="007D5BB1" w:rsidRPr="00784FA1">
        <w:rPr>
          <w:rFonts w:eastAsia="Times New Roman"/>
          <w:szCs w:val="24"/>
          <w:lang w:val="lv-LV" w:eastAsia="lv-LV"/>
        </w:rPr>
        <w:t>5</w:t>
      </w:r>
      <w:r w:rsidRPr="00784FA1">
        <w:rPr>
          <w:rFonts w:eastAsia="Times New Roman"/>
          <w:szCs w:val="24"/>
          <w:lang w:val="lv-LV" w:eastAsia="lv-LV"/>
        </w:rPr>
        <w:t>]</w:t>
      </w:r>
      <w:r w:rsidR="001624C7" w:rsidRPr="00784FA1">
        <w:rPr>
          <w:szCs w:val="24"/>
          <w:lang w:val="lv-LV"/>
        </w:rPr>
        <w:t xml:space="preserve"> </w:t>
      </w:r>
      <w:bookmarkStart w:id="2" w:name="_Hlk493583639"/>
      <w:r w:rsidR="006D76F2" w:rsidRPr="00784FA1">
        <w:rPr>
          <w:szCs w:val="24"/>
          <w:lang w:val="lv-LV"/>
        </w:rPr>
        <w:t xml:space="preserve">Satversmes tiesa </w:t>
      </w:r>
      <w:proofErr w:type="gramStart"/>
      <w:r w:rsidR="006D76F2" w:rsidRPr="00784FA1">
        <w:rPr>
          <w:szCs w:val="24"/>
          <w:lang w:val="lv-LV"/>
        </w:rPr>
        <w:t>2005.gada</w:t>
      </w:r>
      <w:proofErr w:type="gramEnd"/>
      <w:r w:rsidR="006D76F2" w:rsidRPr="00784FA1">
        <w:rPr>
          <w:szCs w:val="24"/>
          <w:lang w:val="lv-LV"/>
        </w:rPr>
        <w:t xml:space="preserve"> 17.janvāra spriedumā </w:t>
      </w:r>
      <w:r w:rsidR="00DC2563" w:rsidRPr="00784FA1">
        <w:rPr>
          <w:szCs w:val="24"/>
          <w:lang w:val="lv-LV"/>
        </w:rPr>
        <w:t>lietā Nr.2004-10-01</w:t>
      </w:r>
      <w:bookmarkEnd w:id="2"/>
      <w:r w:rsidR="00DC2563" w:rsidRPr="00784FA1">
        <w:rPr>
          <w:szCs w:val="24"/>
          <w:lang w:val="lv-LV"/>
        </w:rPr>
        <w:t xml:space="preserve"> </w:t>
      </w:r>
      <w:r w:rsidR="006D76F2" w:rsidRPr="00784FA1">
        <w:rPr>
          <w:szCs w:val="24"/>
          <w:lang w:val="lv-LV"/>
        </w:rPr>
        <w:t>„Par Civilprocesa likuma 132.panta pirmās daļas 3.punkta un 223.panta 6.punkta atbilstību Latvijas Republikas Satversmes 92.pantam” norādījusi, ka „saskaņā ar vispārējo principu valsts nav atbildīga par šķīrējtiesas procesā pieļau</w:t>
      </w:r>
      <w:r w:rsidR="00C64F12" w:rsidRPr="00784FA1">
        <w:rPr>
          <w:szCs w:val="24"/>
          <w:lang w:val="lv-LV"/>
        </w:rPr>
        <w:t>tiem pamattiesību pārkāpumiem. [..]</w:t>
      </w:r>
      <w:r w:rsidR="006D76F2" w:rsidRPr="00784FA1">
        <w:rPr>
          <w:szCs w:val="24"/>
          <w:lang w:val="lv-LV"/>
        </w:rPr>
        <w:t xml:space="preserve"> Tādēļ šķīrējtiesu kontrole ir koncentrēta izpild</w:t>
      </w:r>
      <w:r w:rsidR="00C64F12" w:rsidRPr="00784FA1">
        <w:rPr>
          <w:szCs w:val="24"/>
          <w:lang w:val="lv-LV"/>
        </w:rPr>
        <w:t>u raksta izsniegšanas stadijā. [..]</w:t>
      </w:r>
      <w:r w:rsidR="006D76F2" w:rsidRPr="00784FA1">
        <w:rPr>
          <w:szCs w:val="24"/>
          <w:lang w:val="lv-LV"/>
        </w:rPr>
        <w:t xml:space="preserve"> Valstij ir pienākums, pirmkārt, nodrošin</w:t>
      </w:r>
      <w:r w:rsidR="00C64F12" w:rsidRPr="00784FA1">
        <w:rPr>
          <w:szCs w:val="24"/>
          <w:lang w:val="lv-LV"/>
        </w:rPr>
        <w:t>āt līdzekļus aizsardzībai pret [..]</w:t>
      </w:r>
      <w:r w:rsidR="006D76F2" w:rsidRPr="00784FA1">
        <w:rPr>
          <w:szCs w:val="24"/>
          <w:lang w:val="lv-LV"/>
        </w:rPr>
        <w:t xml:space="preserve"> procesuālo tiesību pārkāpumiem šķīrējtiesas procesā un, otrkārt, neatzīt šāda šķīrējtiesas procesa rezultātu”. </w:t>
      </w:r>
    </w:p>
    <w:p w14:paraId="3442FADA" w14:textId="3367BBC2" w:rsidR="006D76F2" w:rsidRPr="00784FA1" w:rsidRDefault="006D76F2" w:rsidP="00784FA1">
      <w:pPr>
        <w:pStyle w:val="NoSpacing"/>
        <w:spacing w:line="276" w:lineRule="auto"/>
        <w:ind w:firstLine="567"/>
        <w:jc w:val="both"/>
        <w:rPr>
          <w:szCs w:val="24"/>
          <w:lang w:val="lv-LV"/>
        </w:rPr>
      </w:pPr>
      <w:r w:rsidRPr="00784FA1">
        <w:rPr>
          <w:szCs w:val="24"/>
          <w:lang w:val="lv-LV"/>
        </w:rPr>
        <w:t xml:space="preserve">Civilprocesa likuma 536.panta 6.punktā noteikts, ka tiesa atsaka </w:t>
      </w:r>
      <w:r w:rsidR="00C64F12" w:rsidRPr="00784FA1">
        <w:rPr>
          <w:szCs w:val="24"/>
          <w:lang w:val="lv-LV"/>
        </w:rPr>
        <w:t>izpildu raksta izsniegšanu, ja [..]</w:t>
      </w:r>
      <w:r w:rsidRPr="00784FA1">
        <w:rPr>
          <w:szCs w:val="24"/>
          <w:lang w:val="lv-LV"/>
        </w:rPr>
        <w:t xml:space="preserve"> šķīrējties</w:t>
      </w:r>
      <w:r w:rsidR="00C64F12" w:rsidRPr="00784FA1">
        <w:rPr>
          <w:szCs w:val="24"/>
          <w:lang w:val="lv-LV"/>
        </w:rPr>
        <w:t>as process nenotika atbilstoši [..]</w:t>
      </w:r>
      <w:r w:rsidRPr="00784FA1">
        <w:rPr>
          <w:szCs w:val="24"/>
          <w:lang w:val="lv-LV"/>
        </w:rPr>
        <w:t xml:space="preserve"> Šķīrējties</w:t>
      </w:r>
      <w:r w:rsidR="00DC2563" w:rsidRPr="00784FA1">
        <w:rPr>
          <w:szCs w:val="24"/>
          <w:lang w:val="lv-LV"/>
        </w:rPr>
        <w:t>u</w:t>
      </w:r>
      <w:r w:rsidRPr="00784FA1">
        <w:rPr>
          <w:szCs w:val="24"/>
          <w:lang w:val="lv-LV"/>
        </w:rPr>
        <w:t xml:space="preserve"> likuma noteikumiem. </w:t>
      </w:r>
    </w:p>
    <w:p w14:paraId="3E086AE3" w14:textId="35396037" w:rsidR="006D76F2" w:rsidRPr="00784FA1" w:rsidRDefault="006D76F2" w:rsidP="00784FA1">
      <w:pPr>
        <w:pStyle w:val="NoSpacing"/>
        <w:spacing w:line="276" w:lineRule="auto"/>
        <w:ind w:firstLine="567"/>
        <w:jc w:val="both"/>
        <w:rPr>
          <w:rFonts w:eastAsia="Times New Roman"/>
          <w:szCs w:val="24"/>
          <w:lang w:val="lv-LV" w:eastAsia="lv-LV"/>
        </w:rPr>
      </w:pPr>
      <w:r w:rsidRPr="00784FA1">
        <w:rPr>
          <w:rFonts w:eastAsia="Times New Roman"/>
          <w:szCs w:val="24"/>
          <w:lang w:val="lv-LV" w:eastAsia="lv-LV"/>
        </w:rPr>
        <w:t>No galvojuma līguma 1.12.1.punkt</w:t>
      </w:r>
      <w:r w:rsidR="0072264B" w:rsidRPr="00784FA1">
        <w:rPr>
          <w:rFonts w:eastAsia="Times New Roman"/>
          <w:szCs w:val="24"/>
          <w:lang w:val="lv-LV" w:eastAsia="lv-LV"/>
        </w:rPr>
        <w:t>a</w:t>
      </w:r>
      <w:r w:rsidR="00C64F12" w:rsidRPr="00784FA1">
        <w:rPr>
          <w:rFonts w:eastAsia="Times New Roman"/>
          <w:szCs w:val="24"/>
          <w:lang w:val="lv-LV" w:eastAsia="lv-LV"/>
        </w:rPr>
        <w:t>,</w:t>
      </w:r>
      <w:r w:rsidR="0072264B" w:rsidRPr="00784FA1">
        <w:rPr>
          <w:rFonts w:eastAsia="Times New Roman"/>
          <w:szCs w:val="24"/>
          <w:lang w:val="lv-LV" w:eastAsia="lv-LV"/>
        </w:rPr>
        <w:t xml:space="preserve"> </w:t>
      </w:r>
      <w:r w:rsidRPr="00784FA1">
        <w:rPr>
          <w:rFonts w:eastAsia="Times New Roman"/>
          <w:szCs w:val="24"/>
          <w:lang w:val="lv-LV" w:eastAsia="lv-LV"/>
        </w:rPr>
        <w:t>tāpat arī aizdev</w:t>
      </w:r>
      <w:r w:rsidR="00901636" w:rsidRPr="00784FA1">
        <w:rPr>
          <w:rFonts w:eastAsia="Times New Roman"/>
          <w:szCs w:val="24"/>
          <w:lang w:val="lv-LV" w:eastAsia="lv-LV"/>
        </w:rPr>
        <w:t>uma līguma 20.2.punkt</w:t>
      </w:r>
      <w:r w:rsidR="004E2FAE" w:rsidRPr="00784FA1">
        <w:rPr>
          <w:rFonts w:eastAsia="Times New Roman"/>
          <w:szCs w:val="24"/>
          <w:lang w:val="lv-LV" w:eastAsia="lv-LV"/>
        </w:rPr>
        <w:t>a</w:t>
      </w:r>
      <w:r w:rsidR="00901636" w:rsidRPr="00784FA1">
        <w:rPr>
          <w:rFonts w:eastAsia="Times New Roman"/>
          <w:szCs w:val="24"/>
          <w:lang w:val="lv-LV" w:eastAsia="lv-LV"/>
        </w:rPr>
        <w:t xml:space="preserve"> redzams,</w:t>
      </w:r>
      <w:r w:rsidR="002F19D2" w:rsidRPr="00784FA1">
        <w:rPr>
          <w:rFonts w:eastAsia="Times New Roman"/>
          <w:szCs w:val="24"/>
          <w:lang w:val="lv-LV" w:eastAsia="lv-LV"/>
        </w:rPr>
        <w:t xml:space="preserve"> ka galvinieks </w:t>
      </w:r>
      <w:r w:rsidR="00AF4F7B">
        <w:rPr>
          <w:szCs w:val="24"/>
          <w:lang w:val="lv-LV"/>
        </w:rPr>
        <w:t>[pers. A]</w:t>
      </w:r>
      <w:r w:rsidRPr="00784FA1">
        <w:rPr>
          <w:rFonts w:eastAsia="Times New Roman"/>
          <w:szCs w:val="24"/>
          <w:lang w:val="lv-LV" w:eastAsia="lv-LV"/>
        </w:rPr>
        <w:t xml:space="preserve"> ir galvojis par aizņēmēja saistībām 5 400 EUR apmērā. </w:t>
      </w:r>
    </w:p>
    <w:p w14:paraId="538B43EB" w14:textId="17EDB804" w:rsidR="00F92AE5" w:rsidRPr="00784FA1" w:rsidRDefault="00F92AE5" w:rsidP="00784FA1">
      <w:pPr>
        <w:pStyle w:val="NoSpacing"/>
        <w:spacing w:line="276" w:lineRule="auto"/>
        <w:ind w:firstLine="567"/>
        <w:jc w:val="both"/>
        <w:rPr>
          <w:szCs w:val="24"/>
          <w:lang w:val="lv-LV"/>
        </w:rPr>
      </w:pPr>
      <w:r w:rsidRPr="00784FA1">
        <w:rPr>
          <w:szCs w:val="24"/>
          <w:lang w:val="lv-LV"/>
        </w:rPr>
        <w:t>Ņemot vērā, ka AS „Attīstības finanšu institūcija </w:t>
      </w:r>
      <w:proofErr w:type="spellStart"/>
      <w:r w:rsidRPr="00784FA1">
        <w:rPr>
          <w:szCs w:val="24"/>
          <w:lang w:val="lv-LV"/>
        </w:rPr>
        <w:t>Altum</w:t>
      </w:r>
      <w:proofErr w:type="spellEnd"/>
      <w:r w:rsidRPr="00784FA1">
        <w:rPr>
          <w:szCs w:val="24"/>
          <w:lang w:val="lv-LV"/>
        </w:rPr>
        <w:t xml:space="preserve">” pieprasītais un ar šķīrējtiesas spriedumu no </w:t>
      </w:r>
      <w:r w:rsidR="00AF4F7B">
        <w:rPr>
          <w:szCs w:val="24"/>
          <w:lang w:val="lv-LV"/>
        </w:rPr>
        <w:t>[pers. A]</w:t>
      </w:r>
      <w:r w:rsidRPr="00784FA1">
        <w:rPr>
          <w:szCs w:val="24"/>
          <w:lang w:val="lv-LV"/>
        </w:rPr>
        <w:t xml:space="preserve"> piedzītais parāds 16 594,35 EUR būtiski pārsniedz galvinieka saistības apmēru, šķīrējtiesai, kā atzīst Augstākā tiesa, bija pienākums motivēt, kādēļ prasību tiesa apmierinājusi pilnī</w:t>
      </w:r>
      <w:r w:rsidR="006D35E4" w:rsidRPr="00784FA1">
        <w:rPr>
          <w:szCs w:val="24"/>
          <w:lang w:val="lv-LV"/>
        </w:rPr>
        <w:t>bā</w:t>
      </w:r>
      <w:r w:rsidRPr="00784FA1">
        <w:rPr>
          <w:szCs w:val="24"/>
          <w:lang w:val="lv-LV"/>
        </w:rPr>
        <w:t>.</w:t>
      </w:r>
    </w:p>
    <w:p w14:paraId="6640281A" w14:textId="0DF2F2F6" w:rsidR="0098625F" w:rsidRPr="00784FA1" w:rsidRDefault="00F92AE5" w:rsidP="00784FA1">
      <w:pPr>
        <w:pStyle w:val="NoSpacing"/>
        <w:spacing w:line="276" w:lineRule="auto"/>
        <w:ind w:firstLine="567"/>
        <w:jc w:val="both"/>
        <w:rPr>
          <w:szCs w:val="24"/>
          <w:lang w:val="lv-LV"/>
        </w:rPr>
      </w:pPr>
      <w:bookmarkStart w:id="3" w:name="_Hlk493583712"/>
      <w:r w:rsidRPr="00784FA1">
        <w:rPr>
          <w:szCs w:val="24"/>
          <w:lang w:val="lv-LV"/>
        </w:rPr>
        <w:t>Š</w:t>
      </w:r>
      <w:r w:rsidR="0072264B" w:rsidRPr="00784FA1">
        <w:rPr>
          <w:szCs w:val="24"/>
          <w:lang w:val="lv-LV"/>
        </w:rPr>
        <w:t xml:space="preserve">ķīrējtiesas </w:t>
      </w:r>
      <w:proofErr w:type="gramStart"/>
      <w:r w:rsidR="0072264B" w:rsidRPr="00784FA1">
        <w:rPr>
          <w:szCs w:val="24"/>
          <w:lang w:val="lv-LV"/>
        </w:rPr>
        <w:t>2016.gada</w:t>
      </w:r>
      <w:proofErr w:type="gramEnd"/>
      <w:r w:rsidR="0072264B" w:rsidRPr="00784FA1">
        <w:rPr>
          <w:szCs w:val="24"/>
          <w:lang w:val="lv-LV"/>
        </w:rPr>
        <w:t xml:space="preserve"> 4.jūlija </w:t>
      </w:r>
      <w:r w:rsidRPr="00784FA1">
        <w:rPr>
          <w:szCs w:val="24"/>
          <w:lang w:val="lv-LV"/>
        </w:rPr>
        <w:t xml:space="preserve">spriedumā </w:t>
      </w:r>
      <w:bookmarkEnd w:id="3"/>
      <w:r w:rsidRPr="00784FA1">
        <w:rPr>
          <w:szCs w:val="24"/>
          <w:lang w:val="lv-LV"/>
        </w:rPr>
        <w:t>prasības pamatotība šādā aspektā</w:t>
      </w:r>
      <w:r w:rsidR="0072264B" w:rsidRPr="00784FA1">
        <w:rPr>
          <w:szCs w:val="24"/>
          <w:lang w:val="lv-LV"/>
        </w:rPr>
        <w:t xml:space="preserve"> </w:t>
      </w:r>
      <w:r w:rsidRPr="00784FA1">
        <w:rPr>
          <w:szCs w:val="24"/>
          <w:lang w:val="lv-LV"/>
        </w:rPr>
        <w:t xml:space="preserve">nav </w:t>
      </w:r>
      <w:r w:rsidR="0072264B" w:rsidRPr="00784FA1">
        <w:rPr>
          <w:szCs w:val="24"/>
          <w:lang w:val="lv-LV"/>
        </w:rPr>
        <w:t>izvērtēt</w:t>
      </w:r>
      <w:r w:rsidRPr="00784FA1">
        <w:rPr>
          <w:szCs w:val="24"/>
          <w:lang w:val="lv-LV"/>
        </w:rPr>
        <w:t>a</w:t>
      </w:r>
      <w:r w:rsidR="006D76F2" w:rsidRPr="00784FA1">
        <w:rPr>
          <w:szCs w:val="24"/>
          <w:lang w:val="lv-LV"/>
        </w:rPr>
        <w:t>,</w:t>
      </w:r>
      <w:r w:rsidR="0072264B" w:rsidRPr="00784FA1">
        <w:rPr>
          <w:szCs w:val="24"/>
          <w:lang w:val="lv-LV"/>
        </w:rPr>
        <w:t xml:space="preserve"> kas, Augstākās tiesas ieskatā, ir</w:t>
      </w:r>
      <w:r w:rsidR="006D76F2" w:rsidRPr="00784FA1">
        <w:rPr>
          <w:szCs w:val="24"/>
          <w:lang w:val="lv-LV"/>
        </w:rPr>
        <w:t xml:space="preserve"> kvalificējams kā </w:t>
      </w:r>
      <w:r w:rsidR="0098625F" w:rsidRPr="00784FA1">
        <w:rPr>
          <w:szCs w:val="24"/>
          <w:lang w:val="lv-LV"/>
        </w:rPr>
        <w:t>Šķīr</w:t>
      </w:r>
      <w:r w:rsidR="0072264B" w:rsidRPr="00784FA1">
        <w:rPr>
          <w:szCs w:val="24"/>
          <w:lang w:val="lv-LV"/>
        </w:rPr>
        <w:t>ējties</w:t>
      </w:r>
      <w:r w:rsidR="00FE1BC5" w:rsidRPr="00784FA1">
        <w:rPr>
          <w:szCs w:val="24"/>
          <w:lang w:val="lv-LV"/>
        </w:rPr>
        <w:t>u</w:t>
      </w:r>
      <w:r w:rsidR="0072264B" w:rsidRPr="00784FA1">
        <w:rPr>
          <w:szCs w:val="24"/>
          <w:lang w:val="lv-LV"/>
        </w:rPr>
        <w:t xml:space="preserve"> likuma 54.panta treš</w:t>
      </w:r>
      <w:r w:rsidR="0098625F" w:rsidRPr="00784FA1">
        <w:rPr>
          <w:szCs w:val="24"/>
          <w:lang w:val="lv-LV"/>
        </w:rPr>
        <w:t>ā</w:t>
      </w:r>
      <w:r w:rsidR="0072264B" w:rsidRPr="00784FA1">
        <w:rPr>
          <w:szCs w:val="24"/>
          <w:lang w:val="lv-LV"/>
        </w:rPr>
        <w:t>s daļas 5.punktā definētā</w:t>
      </w:r>
      <w:r w:rsidR="00F85AEF" w:rsidRPr="00784FA1">
        <w:rPr>
          <w:szCs w:val="24"/>
          <w:lang w:val="lv-LV"/>
        </w:rPr>
        <w:t xml:space="preserve"> noteikuma</w:t>
      </w:r>
      <w:r w:rsidR="006D76F2" w:rsidRPr="00784FA1">
        <w:rPr>
          <w:szCs w:val="24"/>
          <w:lang w:val="lv-LV"/>
        </w:rPr>
        <w:t xml:space="preserve"> par sprieduma motivēšanu pārkāpums</w:t>
      </w:r>
      <w:r w:rsidR="0098625F" w:rsidRPr="00784FA1">
        <w:rPr>
          <w:szCs w:val="24"/>
          <w:lang w:val="lv-LV"/>
        </w:rPr>
        <w:t>.</w:t>
      </w:r>
    </w:p>
    <w:p w14:paraId="3F91DE4A" w14:textId="404C5686" w:rsidR="0098625F" w:rsidRPr="00784FA1" w:rsidRDefault="00901636" w:rsidP="00784FA1">
      <w:pPr>
        <w:pStyle w:val="NoSpacing"/>
        <w:spacing w:line="276" w:lineRule="auto"/>
        <w:ind w:firstLine="567"/>
        <w:jc w:val="both"/>
        <w:rPr>
          <w:szCs w:val="24"/>
          <w:lang w:val="lv-LV"/>
        </w:rPr>
      </w:pPr>
      <w:r w:rsidRPr="00784FA1">
        <w:rPr>
          <w:szCs w:val="24"/>
          <w:lang w:val="lv-LV"/>
        </w:rPr>
        <w:t>Augstākā tiesa atzīst, ka m</w:t>
      </w:r>
      <w:r w:rsidR="0098625F" w:rsidRPr="00784FA1">
        <w:rPr>
          <w:szCs w:val="24"/>
          <w:lang w:val="lv-LV"/>
        </w:rPr>
        <w:t>otivācijas trūkums šķīrējtiesas spriedumā attiecībā uz svarīgiem lietas apstākļiem saskaņā ar Civilprocesa likuma 536.panta 6.punktu var būt pamats izpildu raksta izsniegšanas atteikumam</w:t>
      </w:r>
      <w:r w:rsidR="001624C7" w:rsidRPr="00784FA1">
        <w:rPr>
          <w:szCs w:val="24"/>
          <w:lang w:val="lv-LV"/>
        </w:rPr>
        <w:t>.</w:t>
      </w:r>
    </w:p>
    <w:p w14:paraId="164A2E80" w14:textId="1B1993BA" w:rsidR="001624C7" w:rsidRPr="00784FA1" w:rsidRDefault="001624C7" w:rsidP="00784FA1">
      <w:pPr>
        <w:pStyle w:val="NoSpacing"/>
        <w:spacing w:line="276" w:lineRule="auto"/>
        <w:ind w:firstLine="567"/>
        <w:jc w:val="both"/>
        <w:rPr>
          <w:szCs w:val="24"/>
          <w:lang w:val="lv-LV"/>
        </w:rPr>
      </w:pPr>
      <w:r w:rsidRPr="00784FA1">
        <w:rPr>
          <w:szCs w:val="24"/>
          <w:lang w:val="lv-LV"/>
        </w:rPr>
        <w:lastRenderedPageBreak/>
        <w:t>Iepriekš minētajā Satversmes tiesas spriedumā arī norādīts</w:t>
      </w:r>
      <w:r w:rsidR="00F85AEF" w:rsidRPr="00784FA1">
        <w:rPr>
          <w:szCs w:val="24"/>
          <w:lang w:val="lv-LV"/>
        </w:rPr>
        <w:t>:</w:t>
      </w:r>
      <w:r w:rsidRPr="00784FA1">
        <w:rPr>
          <w:szCs w:val="24"/>
          <w:lang w:val="lv-LV"/>
        </w:rPr>
        <w:t xml:space="preserve"> „ja vien puses nav vienojušās par pretējo, šķīrējtiesas </w:t>
      </w:r>
      <w:r w:rsidR="00F85AEF" w:rsidRPr="00784FA1">
        <w:rPr>
          <w:szCs w:val="24"/>
          <w:lang w:val="lv-LV"/>
        </w:rPr>
        <w:t>spriedumā jānorāda motivācija. [..]</w:t>
      </w:r>
      <w:r w:rsidRPr="00784FA1">
        <w:rPr>
          <w:szCs w:val="24"/>
          <w:lang w:val="lv-LV"/>
        </w:rPr>
        <w:t xml:space="preserve"> Motivācijas trūkums, tāpat kā pārējo tiesību (pušu līdztiesība; tiesības tikt uzklausītam, un strīda izskatīšana objekt</w:t>
      </w:r>
      <w:r w:rsidR="00F85AEF" w:rsidRPr="00784FA1">
        <w:rPr>
          <w:szCs w:val="24"/>
          <w:lang w:val="lv-LV"/>
        </w:rPr>
        <w:t xml:space="preserve">īvā un neatkarīgā šķīrējtiesā) </w:t>
      </w:r>
      <w:r w:rsidRPr="00784FA1">
        <w:rPr>
          <w:szCs w:val="24"/>
          <w:lang w:val="lv-LV"/>
        </w:rPr>
        <w:t>liegšana, kad puses nav to vēlējušās, var būt iemesls atteikumam izsniegt izpildu rakstu”.</w:t>
      </w:r>
    </w:p>
    <w:p w14:paraId="4F713554" w14:textId="77777777" w:rsidR="007D5BB1" w:rsidRPr="00784FA1" w:rsidRDefault="007D5BB1" w:rsidP="00784FA1">
      <w:pPr>
        <w:pStyle w:val="NoSpacing"/>
        <w:spacing w:line="276" w:lineRule="auto"/>
        <w:ind w:firstLine="567"/>
        <w:jc w:val="both"/>
        <w:rPr>
          <w:szCs w:val="24"/>
          <w:lang w:val="lv-LV"/>
        </w:rPr>
      </w:pPr>
    </w:p>
    <w:p w14:paraId="068213C1" w14:textId="63D2C290" w:rsidR="00F85AEF" w:rsidRPr="00784FA1" w:rsidRDefault="001624C7" w:rsidP="00784FA1">
      <w:pPr>
        <w:pStyle w:val="NoSpacing"/>
        <w:spacing w:line="276" w:lineRule="auto"/>
        <w:ind w:firstLine="567"/>
        <w:jc w:val="both"/>
        <w:rPr>
          <w:szCs w:val="24"/>
          <w:lang w:val="lv-LV"/>
        </w:rPr>
      </w:pPr>
      <w:r w:rsidRPr="00784FA1">
        <w:rPr>
          <w:szCs w:val="24"/>
          <w:lang w:val="lv-LV"/>
        </w:rPr>
        <w:t>[</w:t>
      </w:r>
      <w:r w:rsidR="007D5BB1" w:rsidRPr="00784FA1">
        <w:rPr>
          <w:szCs w:val="24"/>
          <w:lang w:val="lv-LV"/>
        </w:rPr>
        <w:t>6</w:t>
      </w:r>
      <w:r w:rsidRPr="00784FA1">
        <w:rPr>
          <w:szCs w:val="24"/>
          <w:lang w:val="lv-LV"/>
        </w:rPr>
        <w:t xml:space="preserve">] </w:t>
      </w:r>
      <w:r w:rsidR="006D76F2" w:rsidRPr="00784FA1">
        <w:rPr>
          <w:szCs w:val="24"/>
          <w:lang w:val="lv-LV"/>
        </w:rPr>
        <w:t>Atbilstoši Civilprocesa likuma 535.panta pirmajai daļai lēmumu par izpildu raksta izsniegšanu</w:t>
      </w:r>
      <w:r w:rsidR="0011738B" w:rsidRPr="00784FA1">
        <w:rPr>
          <w:szCs w:val="24"/>
          <w:lang w:val="lv-LV"/>
        </w:rPr>
        <w:t>,</w:t>
      </w:r>
      <w:r w:rsidR="006D76F2" w:rsidRPr="00784FA1">
        <w:rPr>
          <w:szCs w:val="24"/>
          <w:lang w:val="lv-LV"/>
        </w:rPr>
        <w:t xml:space="preserve"> vai motivētu atteikumu tiesnesis pieņem uz iesniegto dokumentu pamata. Savukārt šā likuma 534.</w:t>
      </w:r>
      <w:r w:rsidR="006D76F2" w:rsidRPr="00784FA1">
        <w:rPr>
          <w:szCs w:val="24"/>
          <w:vertAlign w:val="superscript"/>
          <w:lang w:val="lv-LV"/>
        </w:rPr>
        <w:t>1</w:t>
      </w:r>
      <w:r w:rsidR="00F85AEF" w:rsidRPr="00784FA1">
        <w:rPr>
          <w:szCs w:val="24"/>
          <w:vertAlign w:val="superscript"/>
          <w:lang w:val="lv-LV"/>
        </w:rPr>
        <w:t> </w:t>
      </w:r>
      <w:r w:rsidR="006D76F2" w:rsidRPr="00784FA1">
        <w:rPr>
          <w:szCs w:val="24"/>
          <w:lang w:val="lv-LV"/>
        </w:rPr>
        <w:t xml:space="preserve">pants paredz tiesas pienākumu nosūtīt pieteikumu lietas dalībniekiem paskaidrojumu, tostarp, iebildumu sniegšanai. </w:t>
      </w:r>
    </w:p>
    <w:p w14:paraId="6BFE6E1A" w14:textId="473C987F" w:rsidR="006D76F2" w:rsidRPr="00784FA1" w:rsidRDefault="006D76F2" w:rsidP="00784FA1">
      <w:pPr>
        <w:pStyle w:val="NoSpacing"/>
        <w:spacing w:line="276" w:lineRule="auto"/>
        <w:ind w:firstLine="567"/>
        <w:jc w:val="both"/>
        <w:rPr>
          <w:szCs w:val="24"/>
          <w:lang w:val="lv-LV"/>
        </w:rPr>
      </w:pPr>
      <w:r w:rsidRPr="00784FA1">
        <w:rPr>
          <w:szCs w:val="24"/>
          <w:lang w:val="lv-LV"/>
        </w:rPr>
        <w:t>Tādējādi parādnieku rakstveida iebildumi tiesnesim jāapspriež, pieņemot lēmumu par izpildu raksta izsniegšanu</w:t>
      </w:r>
      <w:r w:rsidR="00F92AE5" w:rsidRPr="00784FA1">
        <w:rPr>
          <w:szCs w:val="24"/>
          <w:lang w:val="lv-LV"/>
        </w:rPr>
        <w:t>.</w:t>
      </w:r>
    </w:p>
    <w:p w14:paraId="7957E0E4" w14:textId="5F8DD590" w:rsidR="00F92AE5" w:rsidRPr="00784FA1" w:rsidRDefault="00F92AE5" w:rsidP="00784FA1">
      <w:pPr>
        <w:pStyle w:val="NoSpacing"/>
        <w:spacing w:line="276" w:lineRule="auto"/>
        <w:ind w:firstLine="567"/>
        <w:jc w:val="both"/>
        <w:rPr>
          <w:rFonts w:eastAsia="Times New Roman"/>
          <w:szCs w:val="24"/>
          <w:lang w:val="lv-LV" w:eastAsia="lv-LV"/>
        </w:rPr>
      </w:pPr>
      <w:r w:rsidRPr="00784FA1">
        <w:rPr>
          <w:szCs w:val="24"/>
          <w:lang w:val="lv-LV"/>
        </w:rPr>
        <w:t xml:space="preserve">Šajā gadījumā parādnieks </w:t>
      </w:r>
      <w:r w:rsidR="00AF4F7B">
        <w:rPr>
          <w:szCs w:val="24"/>
          <w:lang w:val="lv-LV"/>
        </w:rPr>
        <w:t>[pers. A]</w:t>
      </w:r>
      <w:r w:rsidRPr="00784FA1">
        <w:rPr>
          <w:szCs w:val="24"/>
          <w:lang w:val="lv-LV"/>
        </w:rPr>
        <w:t>, izmantojot Civilprocesa likuma 534.</w:t>
      </w:r>
      <w:r w:rsidRPr="00784FA1">
        <w:rPr>
          <w:szCs w:val="24"/>
          <w:vertAlign w:val="superscript"/>
          <w:lang w:val="lv-LV"/>
        </w:rPr>
        <w:t>1</w:t>
      </w:r>
      <w:r w:rsidRPr="00784FA1">
        <w:rPr>
          <w:szCs w:val="24"/>
          <w:lang w:val="lv-LV"/>
        </w:rPr>
        <w:t> pantā noteiktās tiesības, iesniedzis paskaidrojumu, norādot iebildumus sakarā ar pieteikumu šķīrējtiesas spried</w:t>
      </w:r>
      <w:r w:rsidRPr="00784FA1">
        <w:rPr>
          <w:rFonts w:eastAsia="Times New Roman"/>
          <w:szCs w:val="24"/>
          <w:lang w:val="lv-LV" w:eastAsia="lv-LV"/>
        </w:rPr>
        <w:t>uma izpildei (</w:t>
      </w:r>
      <w:r w:rsidRPr="00784FA1">
        <w:rPr>
          <w:rFonts w:eastAsia="Times New Roman"/>
          <w:i/>
          <w:szCs w:val="24"/>
          <w:lang w:val="lv-LV" w:eastAsia="lv-LV"/>
        </w:rPr>
        <w:t>sk. lietas 29.lp.</w:t>
      </w:r>
      <w:r w:rsidRPr="00784FA1">
        <w:rPr>
          <w:rFonts w:eastAsia="Times New Roman"/>
          <w:szCs w:val="24"/>
          <w:lang w:val="lv-LV" w:eastAsia="lv-LV"/>
        </w:rPr>
        <w:t xml:space="preserve">). Proti, </w:t>
      </w:r>
      <w:r w:rsidR="00AF4F7B">
        <w:rPr>
          <w:szCs w:val="24"/>
          <w:lang w:val="lv-LV"/>
        </w:rPr>
        <w:t>[pers. A]</w:t>
      </w:r>
      <w:r w:rsidRPr="00784FA1">
        <w:rPr>
          <w:rFonts w:eastAsia="Times New Roman"/>
          <w:szCs w:val="24"/>
          <w:lang w:val="lv-LV" w:eastAsia="lv-LV"/>
        </w:rPr>
        <w:t xml:space="preserve"> paskaidrojumā tiesai ir norādīts uz saistību apmēra ierobežojumu, kas noteikts galvojuma līgumā.</w:t>
      </w:r>
    </w:p>
    <w:p w14:paraId="72050B3C" w14:textId="5ECBF881" w:rsidR="00F92AE5" w:rsidRPr="00784FA1" w:rsidRDefault="00F92AE5" w:rsidP="00784FA1">
      <w:pPr>
        <w:pStyle w:val="NoSpacing"/>
        <w:spacing w:line="276" w:lineRule="auto"/>
        <w:ind w:firstLine="567"/>
        <w:jc w:val="both"/>
        <w:rPr>
          <w:rFonts w:eastAsia="Times New Roman"/>
          <w:szCs w:val="24"/>
          <w:lang w:val="lv-LV" w:eastAsia="lv-LV"/>
        </w:rPr>
      </w:pPr>
      <w:r w:rsidRPr="00784FA1">
        <w:rPr>
          <w:rFonts w:eastAsia="Times New Roman"/>
          <w:szCs w:val="24"/>
          <w:lang w:val="lv-LV" w:eastAsia="lv-LV"/>
        </w:rPr>
        <w:t xml:space="preserve">Pārsūdzētajā lēmumā ir sniegts vērtējums iebildumiem attiecībā uz paziņojumu nosūtīšanu un pienācīgu parādnieku informēšanu šķīrējtiesas procesā, taču tiesnesis bez ievērības atstājis </w:t>
      </w:r>
      <w:r w:rsidR="00AF4F7B">
        <w:rPr>
          <w:szCs w:val="24"/>
          <w:lang w:val="lv-LV"/>
        </w:rPr>
        <w:t>[pers. A]</w:t>
      </w:r>
      <w:r w:rsidRPr="00784FA1">
        <w:rPr>
          <w:rFonts w:eastAsia="Times New Roman"/>
          <w:szCs w:val="24"/>
          <w:lang w:val="lv-LV" w:eastAsia="lv-LV"/>
        </w:rPr>
        <w:t xml:space="preserve"> paskaidrojumā minēto par galvojuma saistības ierobežojumu līdz 5 400 EUR. </w:t>
      </w:r>
    </w:p>
    <w:p w14:paraId="1A35B503" w14:textId="7EAE0489" w:rsidR="00F85AEF" w:rsidRPr="00784FA1" w:rsidRDefault="00F92AE5" w:rsidP="00784FA1">
      <w:pPr>
        <w:pStyle w:val="NoSpacing"/>
        <w:spacing w:line="276" w:lineRule="auto"/>
        <w:ind w:firstLine="567"/>
        <w:jc w:val="both"/>
        <w:rPr>
          <w:szCs w:val="24"/>
          <w:lang w:val="lv-LV"/>
        </w:rPr>
      </w:pPr>
      <w:r w:rsidRPr="00784FA1">
        <w:rPr>
          <w:szCs w:val="24"/>
          <w:lang w:val="lv-LV"/>
        </w:rPr>
        <w:t>Tādējādi t</w:t>
      </w:r>
      <w:r w:rsidR="000249E5" w:rsidRPr="00784FA1">
        <w:rPr>
          <w:szCs w:val="24"/>
          <w:lang w:val="lv-LV"/>
        </w:rPr>
        <w:t>iesnesis, apmierinādams</w:t>
      </w:r>
      <w:r w:rsidRPr="00784FA1">
        <w:rPr>
          <w:szCs w:val="24"/>
          <w:lang w:val="lv-LV"/>
        </w:rPr>
        <w:t xml:space="preserve"> AS „Attīstības finanšu institūcija </w:t>
      </w:r>
      <w:proofErr w:type="spellStart"/>
      <w:r w:rsidRPr="00784FA1">
        <w:rPr>
          <w:szCs w:val="24"/>
          <w:lang w:val="lv-LV"/>
        </w:rPr>
        <w:t>Altum</w:t>
      </w:r>
      <w:proofErr w:type="spellEnd"/>
      <w:r w:rsidRPr="00784FA1">
        <w:rPr>
          <w:szCs w:val="24"/>
          <w:lang w:val="lv-LV"/>
        </w:rPr>
        <w:t xml:space="preserve">” </w:t>
      </w:r>
      <w:r w:rsidR="006D76F2" w:rsidRPr="00784FA1">
        <w:rPr>
          <w:szCs w:val="24"/>
          <w:lang w:val="lv-LV"/>
        </w:rPr>
        <w:t xml:space="preserve">pieteikumu par izpildu raksta izsniegšanu šķīrējtiesas sprieduma izpildei, nav apsvēris, vai šķīrējtiesas spriedums </w:t>
      </w:r>
      <w:r w:rsidR="0053486D" w:rsidRPr="00784FA1">
        <w:rPr>
          <w:szCs w:val="24"/>
          <w:lang w:val="lv-LV"/>
        </w:rPr>
        <w:t xml:space="preserve">attiecībā uz </w:t>
      </w:r>
      <w:r w:rsidR="00AF4F7B">
        <w:rPr>
          <w:szCs w:val="24"/>
          <w:lang w:val="lv-LV"/>
        </w:rPr>
        <w:t>[pers. A]</w:t>
      </w:r>
      <w:r w:rsidR="0053486D" w:rsidRPr="00784FA1">
        <w:rPr>
          <w:szCs w:val="24"/>
          <w:lang w:val="lv-LV"/>
        </w:rPr>
        <w:t xml:space="preserve"> </w:t>
      </w:r>
      <w:r w:rsidR="006D76F2" w:rsidRPr="00784FA1">
        <w:rPr>
          <w:szCs w:val="24"/>
          <w:lang w:val="lv-LV"/>
        </w:rPr>
        <w:t xml:space="preserve">atbilst Civilprocesa likuma </w:t>
      </w:r>
      <w:proofErr w:type="gramStart"/>
      <w:r w:rsidR="006D76F2" w:rsidRPr="00784FA1">
        <w:rPr>
          <w:szCs w:val="24"/>
          <w:lang w:val="lv-LV"/>
        </w:rPr>
        <w:t>536.panta</w:t>
      </w:r>
      <w:proofErr w:type="gramEnd"/>
      <w:r w:rsidR="006D76F2" w:rsidRPr="00784FA1">
        <w:rPr>
          <w:szCs w:val="24"/>
          <w:lang w:val="lv-LV"/>
        </w:rPr>
        <w:t xml:space="preserve"> 6.punktam, proti, vai šķīrējtiesas process noticis atbilstoši </w:t>
      </w:r>
      <w:r w:rsidRPr="00784FA1">
        <w:rPr>
          <w:szCs w:val="24"/>
          <w:lang w:val="lv-LV"/>
        </w:rPr>
        <w:t>Šķīrējties</w:t>
      </w:r>
      <w:r w:rsidR="0011738B" w:rsidRPr="00784FA1">
        <w:rPr>
          <w:szCs w:val="24"/>
          <w:lang w:val="lv-LV"/>
        </w:rPr>
        <w:t>u</w:t>
      </w:r>
      <w:r w:rsidRPr="00784FA1">
        <w:rPr>
          <w:szCs w:val="24"/>
          <w:lang w:val="lv-LV"/>
        </w:rPr>
        <w:t xml:space="preserve"> likuma</w:t>
      </w:r>
      <w:r w:rsidR="006D76F2" w:rsidRPr="00784FA1">
        <w:rPr>
          <w:szCs w:val="24"/>
          <w:lang w:val="lv-LV"/>
        </w:rPr>
        <w:t xml:space="preserve"> noteikumiem, </w:t>
      </w:r>
      <w:r w:rsidR="001624C7" w:rsidRPr="00784FA1">
        <w:rPr>
          <w:szCs w:val="24"/>
          <w:lang w:val="lv-LV"/>
        </w:rPr>
        <w:t xml:space="preserve">kura 54.panta trešās daļas 5.punkts </w:t>
      </w:r>
      <w:r w:rsidR="006D76F2" w:rsidRPr="00784FA1">
        <w:rPr>
          <w:szCs w:val="24"/>
          <w:lang w:val="lv-LV"/>
        </w:rPr>
        <w:t xml:space="preserve">paredz motivēta sprieduma taisīšanu. </w:t>
      </w:r>
    </w:p>
    <w:p w14:paraId="2835666F" w14:textId="78613AA5" w:rsidR="000F244D" w:rsidRPr="00784FA1" w:rsidRDefault="006D76F2" w:rsidP="00784FA1">
      <w:pPr>
        <w:pStyle w:val="NoSpacing"/>
        <w:spacing w:line="276" w:lineRule="auto"/>
        <w:ind w:firstLine="567"/>
        <w:jc w:val="both"/>
        <w:rPr>
          <w:szCs w:val="24"/>
          <w:lang w:val="lv-LV"/>
        </w:rPr>
      </w:pPr>
      <w:r w:rsidRPr="00784FA1">
        <w:rPr>
          <w:szCs w:val="24"/>
          <w:lang w:val="lv-LV"/>
        </w:rPr>
        <w:t xml:space="preserve">Rezumējot iepriekš norādīto, </w:t>
      </w:r>
      <w:r w:rsidR="001624C7" w:rsidRPr="00784FA1">
        <w:rPr>
          <w:szCs w:val="24"/>
          <w:lang w:val="lv-LV"/>
        </w:rPr>
        <w:t>Augstākā tiesa</w:t>
      </w:r>
      <w:r w:rsidRPr="00784FA1">
        <w:rPr>
          <w:szCs w:val="24"/>
          <w:lang w:val="lv-LV"/>
        </w:rPr>
        <w:t xml:space="preserve"> uzskata, ka </w:t>
      </w:r>
      <w:r w:rsidR="000F244D" w:rsidRPr="00784FA1">
        <w:rPr>
          <w:szCs w:val="24"/>
          <w:lang w:val="lv-LV"/>
        </w:rPr>
        <w:t>protests kā pamatots ir apmierināms</w:t>
      </w:r>
      <w:r w:rsidR="006A213B" w:rsidRPr="00784FA1">
        <w:rPr>
          <w:szCs w:val="24"/>
          <w:lang w:val="lv-LV"/>
        </w:rPr>
        <w:t>.</w:t>
      </w:r>
      <w:r w:rsidR="000F244D" w:rsidRPr="00784FA1">
        <w:rPr>
          <w:szCs w:val="24"/>
          <w:lang w:val="lv-LV"/>
        </w:rPr>
        <w:t xml:space="preserve"> </w:t>
      </w:r>
    </w:p>
    <w:p w14:paraId="798A47E9" w14:textId="77777777" w:rsidR="000F244D" w:rsidRPr="00784FA1" w:rsidRDefault="000F244D" w:rsidP="00784FA1">
      <w:pPr>
        <w:pStyle w:val="NoSpacing"/>
        <w:spacing w:line="276" w:lineRule="auto"/>
        <w:ind w:firstLine="567"/>
        <w:jc w:val="both"/>
        <w:rPr>
          <w:szCs w:val="24"/>
          <w:lang w:val="lv-LV"/>
        </w:rPr>
      </w:pPr>
    </w:p>
    <w:p w14:paraId="79281682" w14:textId="77777777" w:rsidR="0053486D" w:rsidRPr="00784FA1" w:rsidRDefault="00CC37DD" w:rsidP="00784FA1">
      <w:pPr>
        <w:pStyle w:val="NoSpacing"/>
        <w:spacing w:line="276" w:lineRule="auto"/>
        <w:ind w:firstLine="567"/>
        <w:jc w:val="both"/>
        <w:rPr>
          <w:rFonts w:eastAsia="Times New Roman"/>
          <w:szCs w:val="24"/>
          <w:lang w:val="lv-LV" w:eastAsia="lv-LV"/>
        </w:rPr>
      </w:pPr>
      <w:r w:rsidRPr="00784FA1">
        <w:rPr>
          <w:szCs w:val="24"/>
          <w:lang w:val="lv-LV"/>
        </w:rPr>
        <w:t>[</w:t>
      </w:r>
      <w:r w:rsidR="000F244D" w:rsidRPr="00784FA1">
        <w:rPr>
          <w:szCs w:val="24"/>
          <w:lang w:val="lv-LV"/>
        </w:rPr>
        <w:t>7</w:t>
      </w:r>
      <w:r w:rsidRPr="00784FA1">
        <w:rPr>
          <w:szCs w:val="24"/>
          <w:lang w:val="lv-LV"/>
        </w:rPr>
        <w:t>]</w:t>
      </w:r>
      <w:r w:rsidR="000F244D" w:rsidRPr="00784FA1">
        <w:rPr>
          <w:szCs w:val="24"/>
          <w:lang w:val="lv-LV"/>
        </w:rPr>
        <w:t xml:space="preserve"> </w:t>
      </w:r>
      <w:r w:rsidR="0053486D" w:rsidRPr="00784FA1">
        <w:rPr>
          <w:rFonts w:eastAsia="Times New Roman"/>
          <w:szCs w:val="24"/>
          <w:lang w:val="lv-LV" w:eastAsia="lv-LV"/>
        </w:rPr>
        <w:t xml:space="preserve">Prokurora ieskatā šajā gadījumā pastāv Civilprocesa likuma 536.panta 7.punktā minētais pamats atteikumam izsniegt izpildu rakstu šķīrējtiesas sprieduma izpildei, jo lēmums pieņemts par strīdu, kas neatbilst šķīrējtiesas līguma noteikumiem. </w:t>
      </w:r>
    </w:p>
    <w:p w14:paraId="11F476A9" w14:textId="77777777" w:rsidR="0053486D" w:rsidRPr="00784FA1" w:rsidRDefault="0053486D" w:rsidP="00784FA1">
      <w:pPr>
        <w:pStyle w:val="NoSpacing"/>
        <w:spacing w:line="276" w:lineRule="auto"/>
        <w:ind w:firstLine="567"/>
        <w:jc w:val="both"/>
        <w:rPr>
          <w:rFonts w:eastAsia="Times New Roman"/>
          <w:szCs w:val="24"/>
          <w:lang w:val="lv-LV" w:eastAsia="lv-LV"/>
        </w:rPr>
      </w:pPr>
      <w:r w:rsidRPr="00784FA1">
        <w:rPr>
          <w:rFonts w:eastAsia="Times New Roman"/>
          <w:szCs w:val="24"/>
          <w:lang w:val="lv-LV" w:eastAsia="lv-LV"/>
        </w:rPr>
        <w:t xml:space="preserve">Augstākā tiesa šādu argumentu atzīst par nepamatotu, jo galvojuma līgumā ir ietverta šķīrējtiesas klauzula, un fakts, ka strīda izskatīšanā nav ievērots galvojuma saistības apmērs, nemaina strīda pakļautību izskatīšanai šķīrējtiesā un līdz ar to arī nenozīmē, ka izskatīts strīds, kas neatbilst šķīrējtiesas līguma noteikumiem. </w:t>
      </w:r>
    </w:p>
    <w:p w14:paraId="4B21C5AC" w14:textId="1A3FC74E" w:rsidR="004A6433" w:rsidRPr="00784FA1" w:rsidRDefault="0053486D" w:rsidP="00784FA1">
      <w:pPr>
        <w:pStyle w:val="NoSpacing"/>
        <w:spacing w:line="276" w:lineRule="auto"/>
        <w:ind w:firstLine="567"/>
        <w:jc w:val="both"/>
        <w:rPr>
          <w:szCs w:val="24"/>
          <w:lang w:val="lv-LV"/>
        </w:rPr>
      </w:pPr>
      <w:r w:rsidRPr="00784FA1">
        <w:rPr>
          <w:szCs w:val="24"/>
          <w:lang w:val="lv-LV"/>
        </w:rPr>
        <w:t>Tas t</w:t>
      </w:r>
      <w:r w:rsidR="000F244D" w:rsidRPr="00784FA1">
        <w:rPr>
          <w:szCs w:val="24"/>
          <w:lang w:val="lv-LV"/>
        </w:rPr>
        <w:t>omēr</w:t>
      </w:r>
      <w:r w:rsidRPr="00784FA1">
        <w:rPr>
          <w:szCs w:val="24"/>
          <w:lang w:val="lv-LV"/>
        </w:rPr>
        <w:t xml:space="preserve"> nevar būt par</w:t>
      </w:r>
      <w:r w:rsidR="00003517" w:rsidRPr="00784FA1">
        <w:rPr>
          <w:szCs w:val="24"/>
          <w:lang w:val="lv-LV"/>
        </w:rPr>
        <w:t xml:space="preserve"> šķērsli protesta apmierināšanai, jo pamatu Rēzeknes tiesa</w:t>
      </w:r>
      <w:r w:rsidR="00F85AEF" w:rsidRPr="00784FA1">
        <w:rPr>
          <w:szCs w:val="24"/>
          <w:lang w:val="lv-LV"/>
        </w:rPr>
        <w:t>s</w:t>
      </w:r>
      <w:r w:rsidR="00003517" w:rsidRPr="00784FA1">
        <w:rPr>
          <w:szCs w:val="24"/>
          <w:lang w:val="lv-LV"/>
        </w:rPr>
        <w:t xml:space="preserve"> tiesneša lēmuma atcelšanai rada </w:t>
      </w:r>
      <w:r w:rsidRPr="00784FA1">
        <w:rPr>
          <w:szCs w:val="24"/>
          <w:lang w:val="lv-LV"/>
        </w:rPr>
        <w:t>AS „Attīstības finanšu institūcija </w:t>
      </w:r>
      <w:proofErr w:type="spellStart"/>
      <w:r w:rsidRPr="00784FA1">
        <w:rPr>
          <w:szCs w:val="24"/>
          <w:lang w:val="lv-LV"/>
        </w:rPr>
        <w:t>Altum</w:t>
      </w:r>
      <w:proofErr w:type="spellEnd"/>
      <w:r w:rsidRPr="00784FA1">
        <w:rPr>
          <w:szCs w:val="24"/>
          <w:lang w:val="lv-LV"/>
        </w:rPr>
        <w:t>” pieteikuma izlemšanā pieļautie</w:t>
      </w:r>
      <w:r w:rsidR="00003517" w:rsidRPr="00784FA1">
        <w:rPr>
          <w:szCs w:val="24"/>
          <w:lang w:val="lv-LV"/>
        </w:rPr>
        <w:t xml:space="preserve"> procesuālo tiesību normu pārkāpumi</w:t>
      </w:r>
      <w:r w:rsidRPr="00784FA1">
        <w:rPr>
          <w:szCs w:val="24"/>
          <w:lang w:val="lv-LV"/>
        </w:rPr>
        <w:t xml:space="preserve"> (sk. šī lēmuma 5.</w:t>
      </w:r>
      <w:r w:rsidR="007B42E5" w:rsidRPr="00784FA1">
        <w:rPr>
          <w:szCs w:val="24"/>
          <w:lang w:val="lv-LV"/>
        </w:rPr>
        <w:t> </w:t>
      </w:r>
      <w:r w:rsidRPr="00784FA1">
        <w:rPr>
          <w:szCs w:val="24"/>
          <w:lang w:val="lv-LV"/>
        </w:rPr>
        <w:t>un 6.punktu).</w:t>
      </w:r>
    </w:p>
    <w:p w14:paraId="3111F91B" w14:textId="34DF55C8" w:rsidR="00603C12" w:rsidRPr="00784FA1" w:rsidRDefault="0053486D" w:rsidP="00784FA1">
      <w:pPr>
        <w:pStyle w:val="NoSpacing"/>
        <w:spacing w:line="276" w:lineRule="auto"/>
        <w:ind w:firstLine="567"/>
        <w:jc w:val="both"/>
        <w:rPr>
          <w:rFonts w:eastAsia="Times New Roman"/>
          <w:szCs w:val="24"/>
          <w:lang w:val="lv-LV" w:eastAsia="lv-LV"/>
        </w:rPr>
      </w:pPr>
      <w:r w:rsidRPr="00784FA1">
        <w:rPr>
          <w:szCs w:val="24"/>
          <w:lang w:val="lv-LV"/>
        </w:rPr>
        <w:t xml:space="preserve"> </w:t>
      </w:r>
    </w:p>
    <w:p w14:paraId="7A5CAA28" w14:textId="77777777" w:rsidR="00446775" w:rsidRPr="00784FA1" w:rsidRDefault="00446775" w:rsidP="00784FA1">
      <w:pPr>
        <w:pStyle w:val="NoSpacing"/>
        <w:spacing w:line="276" w:lineRule="auto"/>
        <w:ind w:firstLine="567"/>
        <w:jc w:val="center"/>
        <w:rPr>
          <w:rFonts w:eastAsia="Times New Roman"/>
          <w:b/>
          <w:szCs w:val="24"/>
          <w:lang w:val="lv-LV" w:eastAsia="lv-LV"/>
        </w:rPr>
      </w:pPr>
      <w:r w:rsidRPr="00784FA1">
        <w:rPr>
          <w:rFonts w:eastAsia="Times New Roman"/>
          <w:b/>
          <w:szCs w:val="24"/>
          <w:lang w:val="lv-LV" w:eastAsia="lv-LV"/>
        </w:rPr>
        <w:t>Rezolutīvā daļa</w:t>
      </w:r>
    </w:p>
    <w:p w14:paraId="4FF8B472" w14:textId="77777777" w:rsidR="00446775" w:rsidRPr="00784FA1" w:rsidRDefault="00446775" w:rsidP="00784FA1">
      <w:pPr>
        <w:pStyle w:val="NoSpacing"/>
        <w:spacing w:line="276" w:lineRule="auto"/>
        <w:ind w:firstLine="567"/>
        <w:jc w:val="both"/>
        <w:rPr>
          <w:rFonts w:eastAsia="Times New Roman"/>
          <w:szCs w:val="24"/>
          <w:lang w:val="lv-LV" w:eastAsia="lv-LV"/>
        </w:rPr>
      </w:pPr>
    </w:p>
    <w:p w14:paraId="132F5342" w14:textId="780AF759" w:rsidR="00446775" w:rsidRPr="00784FA1" w:rsidRDefault="00446775" w:rsidP="00784FA1">
      <w:pPr>
        <w:pStyle w:val="NoSpacing"/>
        <w:spacing w:line="276" w:lineRule="auto"/>
        <w:ind w:firstLine="567"/>
        <w:jc w:val="both"/>
        <w:rPr>
          <w:rFonts w:eastAsia="Times New Roman"/>
          <w:szCs w:val="24"/>
          <w:lang w:val="lv-LV" w:eastAsia="lv-LV"/>
        </w:rPr>
      </w:pPr>
      <w:r w:rsidRPr="00784FA1">
        <w:rPr>
          <w:rFonts w:eastAsia="Times New Roman"/>
          <w:szCs w:val="24"/>
          <w:lang w:val="lv-LV" w:eastAsia="lv-LV"/>
        </w:rPr>
        <w:t xml:space="preserve">Pamatojoties uz Civilprocesa likuma 485.pantu un 474.panta </w:t>
      </w:r>
      <w:r w:rsidR="00003517" w:rsidRPr="00784FA1">
        <w:rPr>
          <w:rFonts w:eastAsia="Times New Roman"/>
          <w:szCs w:val="24"/>
          <w:lang w:val="lv-LV" w:eastAsia="lv-LV"/>
        </w:rPr>
        <w:t>1</w:t>
      </w:r>
      <w:r w:rsidRPr="00784FA1">
        <w:rPr>
          <w:rFonts w:eastAsia="Times New Roman"/>
          <w:szCs w:val="24"/>
          <w:lang w:val="lv-LV" w:eastAsia="lv-LV"/>
        </w:rPr>
        <w:t>.punktu, Augstākā tiesa</w:t>
      </w:r>
    </w:p>
    <w:p w14:paraId="1999B64A" w14:textId="77777777" w:rsidR="00446775" w:rsidRPr="00784FA1" w:rsidRDefault="00446775" w:rsidP="00784FA1">
      <w:pPr>
        <w:pStyle w:val="NoSpacing"/>
        <w:spacing w:line="276" w:lineRule="auto"/>
        <w:ind w:firstLine="567"/>
        <w:jc w:val="both"/>
        <w:rPr>
          <w:rFonts w:eastAsia="Times New Roman"/>
          <w:szCs w:val="24"/>
          <w:lang w:val="lv-LV" w:eastAsia="lv-LV"/>
        </w:rPr>
      </w:pPr>
    </w:p>
    <w:p w14:paraId="38F2E7E9" w14:textId="77777777" w:rsidR="00446775" w:rsidRPr="00784FA1" w:rsidRDefault="00446775" w:rsidP="00AF4F7B">
      <w:pPr>
        <w:pStyle w:val="NoSpacing"/>
        <w:spacing w:line="276" w:lineRule="auto"/>
        <w:jc w:val="center"/>
        <w:rPr>
          <w:rFonts w:eastAsia="Times New Roman"/>
          <w:b/>
          <w:szCs w:val="24"/>
          <w:lang w:val="lv-LV" w:eastAsia="lv-LV"/>
        </w:rPr>
      </w:pPr>
      <w:r w:rsidRPr="00784FA1">
        <w:rPr>
          <w:rFonts w:eastAsia="Times New Roman"/>
          <w:b/>
          <w:szCs w:val="24"/>
          <w:lang w:val="lv-LV" w:eastAsia="lv-LV"/>
        </w:rPr>
        <w:lastRenderedPageBreak/>
        <w:t>nolēma</w:t>
      </w:r>
    </w:p>
    <w:p w14:paraId="59B7A3DE" w14:textId="77777777" w:rsidR="00446775" w:rsidRPr="00784FA1" w:rsidRDefault="00446775" w:rsidP="00784FA1">
      <w:pPr>
        <w:pStyle w:val="NoSpacing"/>
        <w:spacing w:line="276" w:lineRule="auto"/>
        <w:ind w:firstLine="567"/>
        <w:jc w:val="both"/>
        <w:rPr>
          <w:rFonts w:eastAsia="Times New Roman"/>
          <w:szCs w:val="24"/>
          <w:lang w:val="lv-LV" w:eastAsia="lv-LV"/>
        </w:rPr>
      </w:pPr>
    </w:p>
    <w:p w14:paraId="6D924169" w14:textId="0E03285F" w:rsidR="00F85AEF" w:rsidRPr="00784FA1" w:rsidRDefault="00446775" w:rsidP="00784FA1">
      <w:pPr>
        <w:pStyle w:val="NoSpacing"/>
        <w:spacing w:line="276" w:lineRule="auto"/>
        <w:ind w:firstLine="567"/>
        <w:jc w:val="both"/>
        <w:rPr>
          <w:szCs w:val="24"/>
          <w:lang w:val="lv-LV"/>
        </w:rPr>
      </w:pPr>
      <w:r w:rsidRPr="00784FA1">
        <w:rPr>
          <w:szCs w:val="24"/>
          <w:lang w:val="lv-LV"/>
        </w:rPr>
        <w:t xml:space="preserve">atcelt Rēzeknes tiesas tiesneša </w:t>
      </w:r>
      <w:proofErr w:type="gramStart"/>
      <w:r w:rsidRPr="00784FA1">
        <w:rPr>
          <w:szCs w:val="24"/>
          <w:lang w:val="lv-LV"/>
        </w:rPr>
        <w:t>2016.gada</w:t>
      </w:r>
      <w:proofErr w:type="gramEnd"/>
      <w:r w:rsidRPr="00784FA1">
        <w:rPr>
          <w:szCs w:val="24"/>
          <w:lang w:val="lv-LV"/>
        </w:rPr>
        <w:t xml:space="preserve"> 17.oktobra lēmumu daļā, ar kuru izsniegts izpildu raksts Latvijas Komercbanku asociācijas šķīrējtiesas 2016.gada 4.jūlija sprieduma lietā Nr.93/2016 izpildei</w:t>
      </w:r>
      <w:r w:rsidR="00003517" w:rsidRPr="00784FA1">
        <w:rPr>
          <w:szCs w:val="24"/>
          <w:lang w:val="lv-LV"/>
        </w:rPr>
        <w:t xml:space="preserve"> par 16 594,35 EUR piedziņu no</w:t>
      </w:r>
      <w:r w:rsidRPr="00784FA1">
        <w:rPr>
          <w:szCs w:val="24"/>
          <w:lang w:val="lv-LV"/>
        </w:rPr>
        <w:t xml:space="preserve"> </w:t>
      </w:r>
      <w:r w:rsidR="00AF4F7B">
        <w:rPr>
          <w:szCs w:val="24"/>
          <w:lang w:val="lv-LV"/>
        </w:rPr>
        <w:t>[pers. A]</w:t>
      </w:r>
      <w:r w:rsidR="00003517" w:rsidRPr="00784FA1">
        <w:rPr>
          <w:szCs w:val="24"/>
          <w:lang w:val="lv-LV"/>
        </w:rPr>
        <w:t>, un nodot jautājumu jaunai izskatīšanai Rēzeknes tiesai.</w:t>
      </w:r>
    </w:p>
    <w:p w14:paraId="787DC42D" w14:textId="1EE45B26" w:rsidR="00446775" w:rsidRPr="00784FA1" w:rsidRDefault="00446775" w:rsidP="00784FA1">
      <w:pPr>
        <w:pStyle w:val="NoSpacing"/>
        <w:spacing w:line="276" w:lineRule="auto"/>
        <w:ind w:firstLine="567"/>
        <w:jc w:val="both"/>
        <w:rPr>
          <w:szCs w:val="24"/>
          <w:lang w:val="lv-LV"/>
        </w:rPr>
      </w:pPr>
      <w:r w:rsidRPr="00784FA1">
        <w:rPr>
          <w:rFonts w:eastAsia="Times New Roman"/>
          <w:szCs w:val="24"/>
          <w:lang w:val="lv-LV"/>
        </w:rPr>
        <w:t>Lēmums</w:t>
      </w:r>
      <w:r w:rsidRPr="00784FA1">
        <w:rPr>
          <w:rFonts w:eastAsia="Times New Roman"/>
          <w:bCs/>
          <w:szCs w:val="24"/>
          <w:lang w:val="lv-LV"/>
        </w:rPr>
        <w:t xml:space="preserve"> nav pārsūdzams. </w:t>
      </w:r>
    </w:p>
    <w:p w14:paraId="0BDBF9BF" w14:textId="2D58D78A" w:rsidR="00446775" w:rsidRDefault="00446775" w:rsidP="00784FA1">
      <w:pPr>
        <w:pStyle w:val="NoSpacing"/>
        <w:spacing w:line="276" w:lineRule="auto"/>
        <w:ind w:firstLine="567"/>
        <w:jc w:val="both"/>
        <w:rPr>
          <w:rFonts w:eastAsia="Times New Roman"/>
          <w:bCs/>
          <w:szCs w:val="24"/>
          <w:lang w:val="lv-LV"/>
        </w:rPr>
      </w:pPr>
    </w:p>
    <w:p w14:paraId="44519C74" w14:textId="6733966D" w:rsidR="00AF4F7B" w:rsidRDefault="00AF4F7B" w:rsidP="00784FA1">
      <w:pPr>
        <w:pStyle w:val="NoSpacing"/>
        <w:spacing w:line="276" w:lineRule="auto"/>
        <w:ind w:firstLine="567"/>
        <w:jc w:val="both"/>
        <w:rPr>
          <w:rFonts w:eastAsia="Times New Roman"/>
          <w:bCs/>
          <w:szCs w:val="24"/>
          <w:lang w:val="lv-LV"/>
        </w:rPr>
      </w:pPr>
    </w:p>
    <w:p w14:paraId="411EB3F5" w14:textId="6E7D2D6A" w:rsidR="00AF4F7B" w:rsidRDefault="00AF4F7B" w:rsidP="00784FA1">
      <w:pPr>
        <w:pStyle w:val="NoSpacing"/>
        <w:spacing w:line="276" w:lineRule="auto"/>
        <w:ind w:firstLine="567"/>
        <w:jc w:val="both"/>
        <w:rPr>
          <w:rFonts w:eastAsia="Times New Roman"/>
          <w:bCs/>
          <w:szCs w:val="24"/>
          <w:lang w:val="lv-LV"/>
        </w:rPr>
      </w:pPr>
    </w:p>
    <w:p w14:paraId="534433B1" w14:textId="25BB6E39" w:rsidR="00AF4F7B" w:rsidRPr="00AF4F7B" w:rsidRDefault="00AF4F7B" w:rsidP="00AF4F7B">
      <w:pPr>
        <w:pStyle w:val="NoSpacing"/>
        <w:spacing w:line="276" w:lineRule="auto"/>
        <w:jc w:val="both"/>
        <w:rPr>
          <w:rFonts w:eastAsia="Times New Roman"/>
          <w:b/>
          <w:bCs/>
          <w:szCs w:val="24"/>
          <w:lang w:val="lv-LV"/>
        </w:rPr>
      </w:pPr>
      <w:r w:rsidRPr="00AF4F7B">
        <w:rPr>
          <w:rFonts w:eastAsia="Times New Roman"/>
          <w:b/>
          <w:bCs/>
          <w:szCs w:val="24"/>
          <w:lang w:val="lv-LV"/>
        </w:rPr>
        <w:t>Tiesību aktu un tiesas nolēmumu saraksts</w:t>
      </w:r>
    </w:p>
    <w:p w14:paraId="5701B22C" w14:textId="77777777" w:rsidR="0061120C" w:rsidRDefault="0061120C" w:rsidP="0061120C">
      <w:pPr>
        <w:spacing w:after="0"/>
      </w:pPr>
    </w:p>
    <w:p w14:paraId="17865FD7" w14:textId="4A025849" w:rsidR="0061120C" w:rsidRDefault="0061120C" w:rsidP="0061120C">
      <w:pPr>
        <w:spacing w:after="0"/>
      </w:pPr>
      <w:r>
        <w:t xml:space="preserve">Civilprocesa likuma </w:t>
      </w:r>
      <w:proofErr w:type="gramStart"/>
      <w:r>
        <w:t>485.pants</w:t>
      </w:r>
      <w:proofErr w:type="gramEnd"/>
    </w:p>
    <w:p w14:paraId="19178271" w14:textId="77777777" w:rsidR="0061120C" w:rsidRDefault="0061120C" w:rsidP="0061120C">
      <w:pPr>
        <w:spacing w:after="0"/>
        <w:ind w:left="1985"/>
      </w:pPr>
      <w:proofErr w:type="gramStart"/>
      <w:r>
        <w:t>474.panta</w:t>
      </w:r>
      <w:proofErr w:type="gramEnd"/>
      <w:r>
        <w:t xml:space="preserve"> 1.punkts</w:t>
      </w:r>
    </w:p>
    <w:p w14:paraId="35F3D988" w14:textId="77777777" w:rsidR="0061120C" w:rsidRDefault="0061120C" w:rsidP="0061120C">
      <w:pPr>
        <w:spacing w:after="0"/>
        <w:ind w:left="1985"/>
      </w:pPr>
      <w:r>
        <w:t>534.</w:t>
      </w:r>
      <w:r w:rsidRPr="006A5337">
        <w:rPr>
          <w:vertAlign w:val="superscript"/>
        </w:rPr>
        <w:t>1</w:t>
      </w:r>
      <w:r>
        <w:rPr>
          <w:vertAlign w:val="superscript"/>
        </w:rPr>
        <w:t> </w:t>
      </w:r>
      <w:r>
        <w:t>pants</w:t>
      </w:r>
    </w:p>
    <w:p w14:paraId="66ECFDE3" w14:textId="77777777" w:rsidR="0061120C" w:rsidRDefault="0061120C" w:rsidP="0061120C">
      <w:pPr>
        <w:spacing w:after="0"/>
        <w:ind w:left="1985"/>
      </w:pPr>
      <w:proofErr w:type="gramStart"/>
      <w:r>
        <w:t>535.panta</w:t>
      </w:r>
      <w:proofErr w:type="gramEnd"/>
      <w:r>
        <w:t xml:space="preserve"> pirmā daļa</w:t>
      </w:r>
    </w:p>
    <w:p w14:paraId="2CD4D23F" w14:textId="77777777" w:rsidR="0061120C" w:rsidRDefault="0061120C" w:rsidP="0061120C">
      <w:pPr>
        <w:spacing w:after="0"/>
        <w:ind w:left="1985"/>
      </w:pPr>
      <w:proofErr w:type="gramStart"/>
      <w:r>
        <w:t>536.panta</w:t>
      </w:r>
      <w:proofErr w:type="gramEnd"/>
      <w:r>
        <w:t xml:space="preserve"> 6., 7.punkts</w:t>
      </w:r>
    </w:p>
    <w:p w14:paraId="7B927A1F" w14:textId="77777777" w:rsidR="0061120C" w:rsidRDefault="0061120C" w:rsidP="0061120C">
      <w:pPr>
        <w:spacing w:after="0"/>
      </w:pPr>
    </w:p>
    <w:p w14:paraId="3D640327" w14:textId="77777777" w:rsidR="0061120C" w:rsidRDefault="0061120C" w:rsidP="0061120C">
      <w:pPr>
        <w:spacing w:after="0"/>
      </w:pPr>
      <w:r>
        <w:t xml:space="preserve">Šķīrējtiesu likuma </w:t>
      </w:r>
      <w:proofErr w:type="gramStart"/>
      <w:r>
        <w:t>54.panta</w:t>
      </w:r>
      <w:proofErr w:type="gramEnd"/>
      <w:r>
        <w:t xml:space="preserve"> trešās daļas 5.punkts</w:t>
      </w:r>
    </w:p>
    <w:p w14:paraId="40D9CDCD" w14:textId="77777777" w:rsidR="0061120C" w:rsidRDefault="0061120C" w:rsidP="0061120C">
      <w:pPr>
        <w:spacing w:after="0"/>
      </w:pPr>
    </w:p>
    <w:p w14:paraId="7EB91B1E" w14:textId="4FFBBF4A" w:rsidR="0061120C" w:rsidRDefault="0061120C" w:rsidP="0061120C">
      <w:pPr>
        <w:spacing w:after="0"/>
      </w:pPr>
      <w:r w:rsidRPr="00784FA1">
        <w:rPr>
          <w:szCs w:val="24"/>
        </w:rPr>
        <w:t>Satversmes ties</w:t>
      </w:r>
      <w:r>
        <w:t xml:space="preserve">as </w:t>
      </w:r>
      <w:proofErr w:type="gramStart"/>
      <w:r>
        <w:t>2005.gada</w:t>
      </w:r>
      <w:proofErr w:type="gramEnd"/>
      <w:r>
        <w:t xml:space="preserve"> 17.janvāra spriedums</w:t>
      </w:r>
      <w:r w:rsidRPr="00784FA1">
        <w:rPr>
          <w:szCs w:val="24"/>
        </w:rPr>
        <w:t xml:space="preserve"> lietā Nr.2004-10-01</w:t>
      </w:r>
      <w:bookmarkStart w:id="4" w:name="_GoBack"/>
      <w:bookmarkEnd w:id="4"/>
    </w:p>
    <w:sectPr w:rsidR="0061120C" w:rsidSect="00CA6404">
      <w:footerReference w:type="default" r:id="rId7"/>
      <w:pgSz w:w="11906" w:h="16838"/>
      <w:pgMar w:top="1474" w:right="1474" w:bottom="147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58DDC" w14:textId="77777777" w:rsidR="00F54317" w:rsidRDefault="00F54317" w:rsidP="00241BD0">
      <w:pPr>
        <w:spacing w:after="0" w:line="240" w:lineRule="auto"/>
      </w:pPr>
      <w:r>
        <w:separator/>
      </w:r>
    </w:p>
  </w:endnote>
  <w:endnote w:type="continuationSeparator" w:id="0">
    <w:p w14:paraId="20F5E470" w14:textId="77777777" w:rsidR="00F54317" w:rsidRDefault="00F54317" w:rsidP="0024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712952"/>
      <w:docPartObj>
        <w:docPartGallery w:val="Page Numbers (Bottom of Page)"/>
        <w:docPartUnique/>
      </w:docPartObj>
    </w:sdtPr>
    <w:sdtEndPr/>
    <w:sdtContent>
      <w:sdt>
        <w:sdtPr>
          <w:id w:val="1728636285"/>
          <w:docPartObj>
            <w:docPartGallery w:val="Page Numbers (Top of Page)"/>
            <w:docPartUnique/>
          </w:docPartObj>
        </w:sdtPr>
        <w:sdtEndPr/>
        <w:sdtContent>
          <w:p w14:paraId="6F7FA056" w14:textId="7A729F7C" w:rsidR="005A1DEB" w:rsidRPr="005A1DEB" w:rsidRDefault="005A1DEB" w:rsidP="005A1DEB">
            <w:pPr>
              <w:pStyle w:val="Footer"/>
              <w:ind w:firstLine="567"/>
              <w:jc w:val="center"/>
            </w:pPr>
            <w:r w:rsidRPr="005A1DEB">
              <w:rPr>
                <w:bCs/>
                <w:szCs w:val="24"/>
              </w:rPr>
              <w:fldChar w:fldCharType="begin"/>
            </w:r>
            <w:r w:rsidRPr="005A1DEB">
              <w:rPr>
                <w:bCs/>
              </w:rPr>
              <w:instrText xml:space="preserve"> PAGE </w:instrText>
            </w:r>
            <w:r w:rsidRPr="005A1DEB">
              <w:rPr>
                <w:bCs/>
                <w:szCs w:val="24"/>
              </w:rPr>
              <w:fldChar w:fldCharType="separate"/>
            </w:r>
            <w:r w:rsidR="00277790">
              <w:rPr>
                <w:bCs/>
                <w:noProof/>
              </w:rPr>
              <w:t>4</w:t>
            </w:r>
            <w:r w:rsidRPr="005A1DEB">
              <w:rPr>
                <w:bCs/>
                <w:szCs w:val="24"/>
              </w:rPr>
              <w:fldChar w:fldCharType="end"/>
            </w:r>
            <w:r>
              <w:t>.lapa no</w:t>
            </w:r>
            <w:r w:rsidRPr="005A1DEB">
              <w:t xml:space="preserve"> </w:t>
            </w:r>
            <w:r w:rsidRPr="005A1DEB">
              <w:rPr>
                <w:bCs/>
                <w:szCs w:val="24"/>
              </w:rPr>
              <w:fldChar w:fldCharType="begin"/>
            </w:r>
            <w:r w:rsidRPr="005A1DEB">
              <w:rPr>
                <w:bCs/>
              </w:rPr>
              <w:instrText xml:space="preserve"> NUMPAGES  </w:instrText>
            </w:r>
            <w:r w:rsidRPr="005A1DEB">
              <w:rPr>
                <w:bCs/>
                <w:szCs w:val="24"/>
              </w:rPr>
              <w:fldChar w:fldCharType="separate"/>
            </w:r>
            <w:r w:rsidR="00277790">
              <w:rPr>
                <w:bCs/>
                <w:noProof/>
              </w:rPr>
              <w:t>5</w:t>
            </w:r>
            <w:r w:rsidRPr="005A1DEB">
              <w:rPr>
                <w:bCs/>
                <w:szCs w:val="24"/>
              </w:rPr>
              <w:fldChar w:fldCharType="end"/>
            </w:r>
          </w:p>
        </w:sdtContent>
      </w:sdt>
    </w:sdtContent>
  </w:sdt>
  <w:p w14:paraId="4B29F2F7" w14:textId="77777777" w:rsidR="00241BD0" w:rsidRPr="005A1DEB" w:rsidRDefault="00241BD0" w:rsidP="005A1DEB">
    <w:pPr>
      <w:pStyle w:val="Footer"/>
      <w:ind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5EEF7" w14:textId="77777777" w:rsidR="00F54317" w:rsidRDefault="00F54317" w:rsidP="00241BD0">
      <w:pPr>
        <w:spacing w:after="0" w:line="240" w:lineRule="auto"/>
      </w:pPr>
      <w:r>
        <w:separator/>
      </w:r>
    </w:p>
  </w:footnote>
  <w:footnote w:type="continuationSeparator" w:id="0">
    <w:p w14:paraId="6B954251" w14:textId="77777777" w:rsidR="00F54317" w:rsidRDefault="00F54317" w:rsidP="00241B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74"/>
    <w:rsid w:val="00003517"/>
    <w:rsid w:val="00004BE7"/>
    <w:rsid w:val="00014E1B"/>
    <w:rsid w:val="000249E5"/>
    <w:rsid w:val="0005436C"/>
    <w:rsid w:val="000944FB"/>
    <w:rsid w:val="000F244D"/>
    <w:rsid w:val="000F506F"/>
    <w:rsid w:val="0011738B"/>
    <w:rsid w:val="00135F85"/>
    <w:rsid w:val="001438AE"/>
    <w:rsid w:val="00155EC7"/>
    <w:rsid w:val="00157962"/>
    <w:rsid w:val="001624C7"/>
    <w:rsid w:val="00177DC6"/>
    <w:rsid w:val="00192D63"/>
    <w:rsid w:val="001C3089"/>
    <w:rsid w:val="001D4419"/>
    <w:rsid w:val="00232DF8"/>
    <w:rsid w:val="00241BD0"/>
    <w:rsid w:val="00271D0C"/>
    <w:rsid w:val="00277790"/>
    <w:rsid w:val="00277F5B"/>
    <w:rsid w:val="00295065"/>
    <w:rsid w:val="002B76CC"/>
    <w:rsid w:val="002E4B53"/>
    <w:rsid w:val="002F19D2"/>
    <w:rsid w:val="00440106"/>
    <w:rsid w:val="00446775"/>
    <w:rsid w:val="004720C5"/>
    <w:rsid w:val="00487053"/>
    <w:rsid w:val="004907BC"/>
    <w:rsid w:val="00494999"/>
    <w:rsid w:val="004A6433"/>
    <w:rsid w:val="004E2FAE"/>
    <w:rsid w:val="004E3477"/>
    <w:rsid w:val="00503190"/>
    <w:rsid w:val="0053486D"/>
    <w:rsid w:val="005615A9"/>
    <w:rsid w:val="005A1DEB"/>
    <w:rsid w:val="005E6AE4"/>
    <w:rsid w:val="00602D00"/>
    <w:rsid w:val="00603C12"/>
    <w:rsid w:val="0061120C"/>
    <w:rsid w:val="00634B3B"/>
    <w:rsid w:val="006A213B"/>
    <w:rsid w:val="006D35E4"/>
    <w:rsid w:val="006D76F2"/>
    <w:rsid w:val="0072264B"/>
    <w:rsid w:val="007732FC"/>
    <w:rsid w:val="00783BE9"/>
    <w:rsid w:val="00784FA1"/>
    <w:rsid w:val="007B42E5"/>
    <w:rsid w:val="007D5BB1"/>
    <w:rsid w:val="00812406"/>
    <w:rsid w:val="008154FF"/>
    <w:rsid w:val="0083510B"/>
    <w:rsid w:val="00896652"/>
    <w:rsid w:val="00896F70"/>
    <w:rsid w:val="008A5DD7"/>
    <w:rsid w:val="008B11D0"/>
    <w:rsid w:val="008C2D86"/>
    <w:rsid w:val="008D5975"/>
    <w:rsid w:val="00901636"/>
    <w:rsid w:val="009049A8"/>
    <w:rsid w:val="00931D30"/>
    <w:rsid w:val="009719F7"/>
    <w:rsid w:val="00977190"/>
    <w:rsid w:val="0098069E"/>
    <w:rsid w:val="0098625F"/>
    <w:rsid w:val="00AD1E6D"/>
    <w:rsid w:val="00AF4F7B"/>
    <w:rsid w:val="00B62DA8"/>
    <w:rsid w:val="00BA23E0"/>
    <w:rsid w:val="00BB1174"/>
    <w:rsid w:val="00BC2657"/>
    <w:rsid w:val="00BC49E9"/>
    <w:rsid w:val="00C64F12"/>
    <w:rsid w:val="00CA0FE1"/>
    <w:rsid w:val="00CA6404"/>
    <w:rsid w:val="00CC320F"/>
    <w:rsid w:val="00CC37DD"/>
    <w:rsid w:val="00CD3925"/>
    <w:rsid w:val="00CF2F1E"/>
    <w:rsid w:val="00CF5FC5"/>
    <w:rsid w:val="00D013DB"/>
    <w:rsid w:val="00D65A91"/>
    <w:rsid w:val="00DA2B2F"/>
    <w:rsid w:val="00DC0E21"/>
    <w:rsid w:val="00DC2563"/>
    <w:rsid w:val="00E3076C"/>
    <w:rsid w:val="00E5022F"/>
    <w:rsid w:val="00E531C1"/>
    <w:rsid w:val="00EA2B61"/>
    <w:rsid w:val="00F35A66"/>
    <w:rsid w:val="00F43777"/>
    <w:rsid w:val="00F54317"/>
    <w:rsid w:val="00F85AEF"/>
    <w:rsid w:val="00F92AE5"/>
    <w:rsid w:val="00FA78C8"/>
    <w:rsid w:val="00FE1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F0D0"/>
  <w15:chartTrackingRefBased/>
  <w15:docId w15:val="{0C772A76-B354-4932-B97E-F3186B4F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174"/>
    <w:pPr>
      <w:spacing w:after="200" w:line="276" w:lineRule="auto"/>
    </w:pPr>
    <w:rPr>
      <w:rFonts w:eastAsia="Calibri" w:cs="Times New Roman"/>
    </w:rPr>
  </w:style>
  <w:style w:type="paragraph" w:styleId="Heading1">
    <w:name w:val="heading 1"/>
    <w:next w:val="Normal"/>
    <w:link w:val="Heading1Char"/>
    <w:uiPriority w:val="9"/>
    <w:unhideWhenUsed/>
    <w:qFormat/>
    <w:rsid w:val="00AF4F7B"/>
    <w:pPr>
      <w:keepNext/>
      <w:keepLines/>
      <w:spacing w:after="0"/>
      <w:jc w:val="center"/>
      <w:outlineLvl w:val="0"/>
    </w:pPr>
    <w:rPr>
      <w:rFonts w:eastAsia="Times New Roman" w:cs="Times New Roman"/>
      <w:b/>
      <w:color w:val="000000"/>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1174"/>
    <w:pPr>
      <w:spacing w:after="0" w:line="240" w:lineRule="auto"/>
    </w:pPr>
    <w:rPr>
      <w:rFonts w:eastAsia="Calibri" w:cs="Times New Roman"/>
      <w:lang w:val="en-US"/>
    </w:rPr>
  </w:style>
  <w:style w:type="character" w:styleId="CommentReference">
    <w:name w:val="annotation reference"/>
    <w:basedOn w:val="DefaultParagraphFont"/>
    <w:uiPriority w:val="99"/>
    <w:semiHidden/>
    <w:unhideWhenUsed/>
    <w:rsid w:val="00BB1174"/>
    <w:rPr>
      <w:sz w:val="16"/>
      <w:szCs w:val="16"/>
    </w:rPr>
  </w:style>
  <w:style w:type="paragraph" w:styleId="CommentText">
    <w:name w:val="annotation text"/>
    <w:basedOn w:val="Normal"/>
    <w:link w:val="CommentTextChar"/>
    <w:uiPriority w:val="99"/>
    <w:unhideWhenUsed/>
    <w:rsid w:val="00BB1174"/>
    <w:pPr>
      <w:spacing w:line="240" w:lineRule="auto"/>
    </w:pPr>
    <w:rPr>
      <w:sz w:val="20"/>
      <w:szCs w:val="20"/>
    </w:rPr>
  </w:style>
  <w:style w:type="character" w:customStyle="1" w:styleId="CommentTextChar">
    <w:name w:val="Comment Text Char"/>
    <w:basedOn w:val="DefaultParagraphFont"/>
    <w:link w:val="CommentText"/>
    <w:uiPriority w:val="99"/>
    <w:rsid w:val="00BB1174"/>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B1174"/>
    <w:rPr>
      <w:b/>
      <w:bCs/>
    </w:rPr>
  </w:style>
  <w:style w:type="character" w:customStyle="1" w:styleId="CommentSubjectChar">
    <w:name w:val="Comment Subject Char"/>
    <w:basedOn w:val="CommentTextChar"/>
    <w:link w:val="CommentSubject"/>
    <w:uiPriority w:val="99"/>
    <w:semiHidden/>
    <w:rsid w:val="00BB1174"/>
    <w:rPr>
      <w:rFonts w:eastAsia="Calibri" w:cs="Times New Roman"/>
      <w:b/>
      <w:bCs/>
      <w:sz w:val="20"/>
      <w:szCs w:val="20"/>
    </w:rPr>
  </w:style>
  <w:style w:type="paragraph" w:styleId="BalloonText">
    <w:name w:val="Balloon Text"/>
    <w:basedOn w:val="Normal"/>
    <w:link w:val="BalloonTextChar"/>
    <w:uiPriority w:val="99"/>
    <w:semiHidden/>
    <w:unhideWhenUsed/>
    <w:rsid w:val="00BB1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74"/>
    <w:rPr>
      <w:rFonts w:ascii="Segoe UI" w:eastAsia="Calibri" w:hAnsi="Segoe UI" w:cs="Segoe UI"/>
      <w:sz w:val="18"/>
      <w:szCs w:val="18"/>
    </w:rPr>
  </w:style>
  <w:style w:type="paragraph" w:styleId="Header">
    <w:name w:val="header"/>
    <w:basedOn w:val="Normal"/>
    <w:link w:val="HeaderChar"/>
    <w:uiPriority w:val="99"/>
    <w:unhideWhenUsed/>
    <w:rsid w:val="00241B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1BD0"/>
    <w:rPr>
      <w:rFonts w:eastAsia="Calibri" w:cs="Times New Roman"/>
    </w:rPr>
  </w:style>
  <w:style w:type="paragraph" w:styleId="Footer">
    <w:name w:val="footer"/>
    <w:basedOn w:val="Normal"/>
    <w:link w:val="FooterChar"/>
    <w:uiPriority w:val="99"/>
    <w:unhideWhenUsed/>
    <w:rsid w:val="00241B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1BD0"/>
    <w:rPr>
      <w:rFonts w:eastAsia="Calibri" w:cs="Times New Roman"/>
    </w:rPr>
  </w:style>
  <w:style w:type="character" w:customStyle="1" w:styleId="Heading1Char">
    <w:name w:val="Heading 1 Char"/>
    <w:basedOn w:val="DefaultParagraphFont"/>
    <w:link w:val="Heading1"/>
    <w:uiPriority w:val="9"/>
    <w:rsid w:val="00AF4F7B"/>
    <w:rPr>
      <w:rFonts w:eastAsia="Times New Roman" w:cs="Times New Roman"/>
      <w:b/>
      <w:color w:val="000000"/>
      <w:sz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495440">
      <w:bodyDiv w:val="1"/>
      <w:marLeft w:val="0"/>
      <w:marRight w:val="0"/>
      <w:marTop w:val="0"/>
      <w:marBottom w:val="0"/>
      <w:divBdr>
        <w:top w:val="none" w:sz="0" w:space="0" w:color="auto"/>
        <w:left w:val="none" w:sz="0" w:space="0" w:color="auto"/>
        <w:bottom w:val="none" w:sz="0" w:space="0" w:color="auto"/>
        <w:right w:val="none" w:sz="0" w:space="0" w:color="auto"/>
      </w:divBdr>
    </w:div>
    <w:div w:id="362486443">
      <w:bodyDiv w:val="1"/>
      <w:marLeft w:val="0"/>
      <w:marRight w:val="0"/>
      <w:marTop w:val="0"/>
      <w:marBottom w:val="0"/>
      <w:divBdr>
        <w:top w:val="none" w:sz="0" w:space="0" w:color="auto"/>
        <w:left w:val="none" w:sz="0" w:space="0" w:color="auto"/>
        <w:bottom w:val="none" w:sz="0" w:space="0" w:color="auto"/>
        <w:right w:val="none" w:sz="0" w:space="0" w:color="auto"/>
      </w:divBdr>
    </w:div>
    <w:div w:id="386950269">
      <w:bodyDiv w:val="1"/>
      <w:marLeft w:val="0"/>
      <w:marRight w:val="0"/>
      <w:marTop w:val="0"/>
      <w:marBottom w:val="0"/>
      <w:divBdr>
        <w:top w:val="none" w:sz="0" w:space="0" w:color="auto"/>
        <w:left w:val="none" w:sz="0" w:space="0" w:color="auto"/>
        <w:bottom w:val="none" w:sz="0" w:space="0" w:color="auto"/>
        <w:right w:val="none" w:sz="0" w:space="0" w:color="auto"/>
      </w:divBdr>
    </w:div>
    <w:div w:id="588780545">
      <w:bodyDiv w:val="1"/>
      <w:marLeft w:val="0"/>
      <w:marRight w:val="0"/>
      <w:marTop w:val="0"/>
      <w:marBottom w:val="0"/>
      <w:divBdr>
        <w:top w:val="none" w:sz="0" w:space="0" w:color="auto"/>
        <w:left w:val="none" w:sz="0" w:space="0" w:color="auto"/>
        <w:bottom w:val="none" w:sz="0" w:space="0" w:color="auto"/>
        <w:right w:val="none" w:sz="0" w:space="0" w:color="auto"/>
      </w:divBdr>
    </w:div>
    <w:div w:id="775170699">
      <w:bodyDiv w:val="1"/>
      <w:marLeft w:val="0"/>
      <w:marRight w:val="0"/>
      <w:marTop w:val="0"/>
      <w:marBottom w:val="0"/>
      <w:divBdr>
        <w:top w:val="none" w:sz="0" w:space="0" w:color="auto"/>
        <w:left w:val="none" w:sz="0" w:space="0" w:color="auto"/>
        <w:bottom w:val="none" w:sz="0" w:space="0" w:color="auto"/>
        <w:right w:val="none" w:sz="0" w:space="0" w:color="auto"/>
      </w:divBdr>
    </w:div>
    <w:div w:id="1233157606">
      <w:bodyDiv w:val="1"/>
      <w:marLeft w:val="0"/>
      <w:marRight w:val="0"/>
      <w:marTop w:val="0"/>
      <w:marBottom w:val="0"/>
      <w:divBdr>
        <w:top w:val="none" w:sz="0" w:space="0" w:color="auto"/>
        <w:left w:val="none" w:sz="0" w:space="0" w:color="auto"/>
        <w:bottom w:val="none" w:sz="0" w:space="0" w:color="auto"/>
        <w:right w:val="none" w:sz="0" w:space="0" w:color="auto"/>
      </w:divBdr>
    </w:div>
    <w:div w:id="1462578550">
      <w:bodyDiv w:val="1"/>
      <w:marLeft w:val="0"/>
      <w:marRight w:val="0"/>
      <w:marTop w:val="0"/>
      <w:marBottom w:val="0"/>
      <w:divBdr>
        <w:top w:val="none" w:sz="0" w:space="0" w:color="auto"/>
        <w:left w:val="none" w:sz="0" w:space="0" w:color="auto"/>
        <w:bottom w:val="none" w:sz="0" w:space="0" w:color="auto"/>
        <w:right w:val="none" w:sz="0" w:space="0" w:color="auto"/>
      </w:divBdr>
    </w:div>
    <w:div w:id="1499416431">
      <w:bodyDiv w:val="1"/>
      <w:marLeft w:val="0"/>
      <w:marRight w:val="0"/>
      <w:marTop w:val="0"/>
      <w:marBottom w:val="0"/>
      <w:divBdr>
        <w:top w:val="none" w:sz="0" w:space="0" w:color="auto"/>
        <w:left w:val="none" w:sz="0" w:space="0" w:color="auto"/>
        <w:bottom w:val="none" w:sz="0" w:space="0" w:color="auto"/>
        <w:right w:val="none" w:sz="0" w:space="0" w:color="auto"/>
      </w:divBdr>
    </w:div>
    <w:div w:id="1499544028">
      <w:bodyDiv w:val="1"/>
      <w:marLeft w:val="0"/>
      <w:marRight w:val="0"/>
      <w:marTop w:val="0"/>
      <w:marBottom w:val="0"/>
      <w:divBdr>
        <w:top w:val="none" w:sz="0" w:space="0" w:color="auto"/>
        <w:left w:val="none" w:sz="0" w:space="0" w:color="auto"/>
        <w:bottom w:val="none" w:sz="0" w:space="0" w:color="auto"/>
        <w:right w:val="none" w:sz="0" w:space="0" w:color="auto"/>
      </w:divBdr>
    </w:div>
    <w:div w:id="1587760493">
      <w:bodyDiv w:val="1"/>
      <w:marLeft w:val="0"/>
      <w:marRight w:val="0"/>
      <w:marTop w:val="0"/>
      <w:marBottom w:val="0"/>
      <w:divBdr>
        <w:top w:val="none" w:sz="0" w:space="0" w:color="auto"/>
        <w:left w:val="none" w:sz="0" w:space="0" w:color="auto"/>
        <w:bottom w:val="none" w:sz="0" w:space="0" w:color="auto"/>
        <w:right w:val="none" w:sz="0" w:space="0" w:color="auto"/>
      </w:divBdr>
    </w:div>
    <w:div w:id="1592591000">
      <w:bodyDiv w:val="1"/>
      <w:marLeft w:val="0"/>
      <w:marRight w:val="0"/>
      <w:marTop w:val="0"/>
      <w:marBottom w:val="0"/>
      <w:divBdr>
        <w:top w:val="none" w:sz="0" w:space="0" w:color="auto"/>
        <w:left w:val="none" w:sz="0" w:space="0" w:color="auto"/>
        <w:bottom w:val="none" w:sz="0" w:space="0" w:color="auto"/>
        <w:right w:val="none" w:sz="0" w:space="0" w:color="auto"/>
      </w:divBdr>
    </w:div>
    <w:div w:id="1708292642">
      <w:bodyDiv w:val="1"/>
      <w:marLeft w:val="0"/>
      <w:marRight w:val="0"/>
      <w:marTop w:val="0"/>
      <w:marBottom w:val="0"/>
      <w:divBdr>
        <w:top w:val="none" w:sz="0" w:space="0" w:color="auto"/>
        <w:left w:val="none" w:sz="0" w:space="0" w:color="auto"/>
        <w:bottom w:val="none" w:sz="0" w:space="0" w:color="auto"/>
        <w:right w:val="none" w:sz="0" w:space="0" w:color="auto"/>
      </w:divBdr>
    </w:div>
    <w:div w:id="2029017066">
      <w:bodyDiv w:val="1"/>
      <w:marLeft w:val="0"/>
      <w:marRight w:val="0"/>
      <w:marTop w:val="0"/>
      <w:marBottom w:val="0"/>
      <w:divBdr>
        <w:top w:val="none" w:sz="0" w:space="0" w:color="auto"/>
        <w:left w:val="none" w:sz="0" w:space="0" w:color="auto"/>
        <w:bottom w:val="none" w:sz="0" w:space="0" w:color="auto"/>
        <w:right w:val="none" w:sz="0" w:space="0" w:color="auto"/>
      </w:divBdr>
    </w:div>
    <w:div w:id="20816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2758-C5C6-419A-9F6D-5ED8658B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7337</Words>
  <Characters>4183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31</cp:revision>
  <cp:lastPrinted>2017-09-04T13:30:00Z</cp:lastPrinted>
  <dcterms:created xsi:type="dcterms:W3CDTF">2017-09-01T08:15:00Z</dcterms:created>
  <dcterms:modified xsi:type="dcterms:W3CDTF">2017-10-06T08:55:00Z</dcterms:modified>
</cp:coreProperties>
</file>