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CD" w:rsidRPr="0061647F" w:rsidRDefault="00B26768" w:rsidP="00F01933">
      <w:pPr>
        <w:spacing w:after="0"/>
        <w:ind w:firstLine="709"/>
        <w:jc w:val="both"/>
        <w:rPr>
          <w:b/>
        </w:rPr>
      </w:pPr>
      <w:r w:rsidRPr="0061647F">
        <w:rPr>
          <w:b/>
        </w:rPr>
        <w:t xml:space="preserve">No fiziskās personas </w:t>
      </w:r>
      <w:r w:rsidR="00AC2694">
        <w:rPr>
          <w:b/>
        </w:rPr>
        <w:t xml:space="preserve">saimnieciskās darbības </w:t>
      </w:r>
      <w:r w:rsidR="00273802">
        <w:rPr>
          <w:b/>
        </w:rPr>
        <w:t>ienākumiem atskaitāmo</w:t>
      </w:r>
      <w:bookmarkStart w:id="0" w:name="_GoBack"/>
      <w:bookmarkEnd w:id="0"/>
      <w:r w:rsidR="00273802">
        <w:rPr>
          <w:b/>
        </w:rPr>
        <w:t xml:space="preserve"> izdevumu raksturs</w:t>
      </w:r>
    </w:p>
    <w:p w:rsidR="00D31FCD" w:rsidRDefault="00D31FCD" w:rsidP="00F01933">
      <w:pPr>
        <w:spacing w:after="0"/>
        <w:ind w:firstLine="709"/>
        <w:jc w:val="both"/>
      </w:pPr>
    </w:p>
    <w:p w:rsidR="00F01933" w:rsidRPr="000E393A" w:rsidRDefault="00F01933" w:rsidP="00F01933">
      <w:pPr>
        <w:spacing w:after="0"/>
        <w:ind w:firstLine="709"/>
        <w:jc w:val="both"/>
        <w:rPr>
          <w:rFonts w:eastAsia="Times New Roman" w:cs="Times New Roman"/>
          <w:spacing w:val="-2"/>
          <w:szCs w:val="24"/>
        </w:rPr>
      </w:pPr>
      <w:r>
        <w:t xml:space="preserve">Fiziskās personas </w:t>
      </w:r>
      <w:r w:rsidRPr="000E393A">
        <w:t xml:space="preserve">apliekamo ienākumu nosaka, no attiecīgajā taksācijas periodā saņemtajiem ieņēmumiem atskaitot likumā noteiktos dažāda rakstura personai radušos izdevumus. Jāņem vērā, ka izdevumi pēc sava rakstura var kalpot gan konkrēta darījuma vai darbības īstenošanai, gan būt vispārīgi, piemēram, par degvielu, kancelejas precēm, sakariem, pamatlīdzekļu remontu u.tml. </w:t>
      </w:r>
    </w:p>
    <w:p w:rsidR="00AE69DB" w:rsidRPr="000E393A" w:rsidRDefault="000E393A" w:rsidP="00F01933">
      <w:pPr>
        <w:pStyle w:val="BodyText2"/>
        <w:spacing w:after="0" w:line="276" w:lineRule="auto"/>
        <w:jc w:val="both"/>
        <w:rPr>
          <w:rFonts w:cs="Times New Roman"/>
          <w:szCs w:val="24"/>
        </w:rPr>
      </w:pPr>
      <w:r w:rsidRPr="000E393A">
        <w:rPr>
          <w:rFonts w:cs="Times New Roman"/>
          <w:szCs w:val="24"/>
        </w:rPr>
        <w:tab/>
      </w:r>
      <w:r w:rsidRPr="000E393A">
        <w:rPr>
          <w:rFonts w:cs="Times New Roman"/>
          <w:szCs w:val="24"/>
        </w:rPr>
        <w:tab/>
      </w:r>
    </w:p>
    <w:p w:rsidR="00AE69DB" w:rsidRDefault="00AE69DB" w:rsidP="00AE69DB">
      <w:pPr>
        <w:spacing w:after="0"/>
        <w:jc w:val="center"/>
        <w:rPr>
          <w:rFonts w:ascii="Times New Roman Bold" w:hAnsi="Times New Roman Bold" w:cs="Times New Roman"/>
          <w:b/>
          <w:szCs w:val="24"/>
        </w:rPr>
      </w:pPr>
    </w:p>
    <w:p w:rsidR="00E006EF" w:rsidRPr="000E393A" w:rsidRDefault="00E006EF" w:rsidP="00AE69DB">
      <w:pPr>
        <w:spacing w:after="0"/>
        <w:jc w:val="center"/>
        <w:rPr>
          <w:rFonts w:ascii="Times New Roman Bold" w:hAnsi="Times New Roman Bold" w:cs="Times New Roman"/>
          <w:b/>
          <w:szCs w:val="24"/>
        </w:rPr>
      </w:pPr>
    </w:p>
    <w:p w:rsidR="00C655CA" w:rsidRPr="00C655CA" w:rsidRDefault="00C655CA" w:rsidP="00C655CA">
      <w:pPr>
        <w:spacing w:after="0"/>
        <w:jc w:val="center"/>
        <w:rPr>
          <w:rFonts w:ascii="Times New Roman Bold" w:hAnsi="Times New Roman Bold" w:cs="Times New Roman"/>
          <w:b/>
          <w:szCs w:val="24"/>
        </w:rPr>
      </w:pPr>
      <w:r w:rsidRPr="00C655CA">
        <w:rPr>
          <w:rFonts w:ascii="Times New Roman Bold" w:hAnsi="Times New Roman Bold" w:cs="Times New Roman"/>
          <w:b/>
          <w:szCs w:val="24"/>
        </w:rPr>
        <w:t>Latvijas Republikas Augstākās tiesas</w:t>
      </w:r>
    </w:p>
    <w:p w:rsidR="00C655CA" w:rsidRDefault="00C655CA" w:rsidP="00C655CA">
      <w:pPr>
        <w:spacing w:after="0"/>
        <w:jc w:val="center"/>
        <w:rPr>
          <w:rFonts w:ascii="Times New Roman Bold" w:hAnsi="Times New Roman Bold" w:cs="Times New Roman"/>
          <w:b/>
          <w:szCs w:val="24"/>
        </w:rPr>
      </w:pPr>
      <w:r w:rsidRPr="00C655CA">
        <w:rPr>
          <w:rFonts w:ascii="Times New Roman Bold" w:hAnsi="Times New Roman Bold" w:cs="Times New Roman"/>
          <w:b/>
          <w:szCs w:val="24"/>
        </w:rPr>
        <w:t>Administratīvo lietu departamenta</w:t>
      </w:r>
    </w:p>
    <w:p w:rsidR="00C655CA" w:rsidRDefault="00C655CA" w:rsidP="00C655CA">
      <w:pPr>
        <w:spacing w:after="0"/>
        <w:jc w:val="center"/>
        <w:rPr>
          <w:rFonts w:ascii="Times New Roman Bold" w:hAnsi="Times New Roman Bold" w:cs="Times New Roman"/>
          <w:b/>
          <w:szCs w:val="24"/>
        </w:rPr>
      </w:pPr>
      <w:r>
        <w:rPr>
          <w:rFonts w:ascii="Times New Roman Bold" w:hAnsi="Times New Roman Bold" w:cs="Times New Roman"/>
          <w:b/>
          <w:szCs w:val="24"/>
        </w:rPr>
        <w:t>2017.gada 11.oktobra</w:t>
      </w:r>
    </w:p>
    <w:p w:rsidR="00AE69DB" w:rsidRDefault="003B3A36" w:rsidP="00C655CA">
      <w:pPr>
        <w:spacing w:after="0"/>
        <w:jc w:val="center"/>
        <w:rPr>
          <w:rFonts w:ascii="Times New Roman Bold" w:hAnsi="Times New Roman Bold" w:cs="Times New Roman"/>
          <w:b/>
          <w:szCs w:val="24"/>
        </w:rPr>
      </w:pPr>
      <w:r w:rsidRPr="000E393A">
        <w:rPr>
          <w:rFonts w:ascii="Times New Roman Bold" w:hAnsi="Times New Roman Bold" w:cs="Times New Roman"/>
          <w:b/>
          <w:szCs w:val="24"/>
        </w:rPr>
        <w:t>SPRIEDUMS</w:t>
      </w:r>
    </w:p>
    <w:p w:rsidR="007402A2" w:rsidRDefault="007402A2" w:rsidP="007402A2">
      <w:pPr>
        <w:spacing w:after="0"/>
        <w:jc w:val="center"/>
        <w:rPr>
          <w:rFonts w:ascii="Times New Roman Bold" w:hAnsi="Times New Roman Bold" w:cs="Times New Roman"/>
          <w:b/>
          <w:szCs w:val="24"/>
        </w:rPr>
      </w:pPr>
      <w:r w:rsidRPr="007402A2">
        <w:rPr>
          <w:rFonts w:ascii="Times New Roman Bold" w:hAnsi="Times New Roman Bold" w:cs="Times New Roman"/>
          <w:b/>
          <w:szCs w:val="24"/>
        </w:rPr>
        <w:t>Lieta Nr. A420327513</w:t>
      </w:r>
      <w:r>
        <w:rPr>
          <w:rFonts w:ascii="Times New Roman Bold" w:hAnsi="Times New Roman Bold" w:cs="Times New Roman"/>
          <w:b/>
          <w:szCs w:val="24"/>
        </w:rPr>
        <w:t xml:space="preserve">; </w:t>
      </w:r>
      <w:r w:rsidRPr="007402A2">
        <w:rPr>
          <w:rFonts w:ascii="Times New Roman Bold" w:hAnsi="Times New Roman Bold" w:cs="Times New Roman"/>
          <w:b/>
          <w:szCs w:val="24"/>
        </w:rPr>
        <w:t>SKA-80/2017</w:t>
      </w:r>
    </w:p>
    <w:p w:rsidR="006D2ED4" w:rsidRDefault="006D2ED4" w:rsidP="007402A2">
      <w:pPr>
        <w:spacing w:after="0"/>
        <w:jc w:val="center"/>
        <w:rPr>
          <w:rFonts w:ascii="Times New Roman Bold" w:hAnsi="Times New Roman Bold" w:cs="Times New Roman"/>
          <w:b/>
          <w:szCs w:val="24"/>
        </w:rPr>
      </w:pPr>
      <w:r w:rsidRPr="006D2ED4">
        <w:rPr>
          <w:rFonts w:ascii="Times New Roman Bold" w:hAnsi="Times New Roman Bold" w:cs="Times New Roman"/>
          <w:b/>
          <w:szCs w:val="24"/>
        </w:rPr>
        <w:t>ECLI:LV:AT:2017:1011.A420327513.2.S</w:t>
      </w:r>
      <w:r w:rsidRPr="006D2ED4">
        <w:rPr>
          <w:rFonts w:ascii="Times New Roman Bold" w:hAnsi="Times New Roman Bold" w:cs="Times New Roman"/>
          <w:b/>
          <w:szCs w:val="24"/>
        </w:rPr>
        <w:tab/>
      </w:r>
    </w:p>
    <w:p w:rsidR="007402A2" w:rsidRPr="000E393A" w:rsidRDefault="007402A2" w:rsidP="007402A2">
      <w:pPr>
        <w:spacing w:after="0"/>
        <w:jc w:val="center"/>
        <w:rPr>
          <w:rFonts w:ascii="Times New Roman Bold" w:hAnsi="Times New Roman Bold" w:cs="Times New Roman"/>
          <w:b/>
          <w:szCs w:val="24"/>
        </w:rPr>
      </w:pPr>
    </w:p>
    <w:p w:rsidR="00AE69DB" w:rsidRPr="000E393A" w:rsidRDefault="00AE69DB" w:rsidP="00AE69DB">
      <w:pPr>
        <w:spacing w:after="0"/>
        <w:ind w:firstLine="720"/>
        <w:jc w:val="both"/>
        <w:rPr>
          <w:rFonts w:cs="Times New Roman"/>
          <w:szCs w:val="24"/>
        </w:rPr>
      </w:pPr>
      <w:r w:rsidRPr="000E393A">
        <w:rPr>
          <w:rFonts w:cs="Times New Roman"/>
          <w:szCs w:val="24"/>
        </w:rPr>
        <w:t xml:space="preserve">Augstākā tiesa šādā sastāvā: </w:t>
      </w:r>
    </w:p>
    <w:p w:rsidR="00AE69DB" w:rsidRPr="000E393A" w:rsidRDefault="00AE69DB" w:rsidP="00AE69DB">
      <w:pPr>
        <w:tabs>
          <w:tab w:val="left" w:pos="1276"/>
        </w:tabs>
        <w:spacing w:after="0"/>
        <w:ind w:left="720"/>
        <w:jc w:val="both"/>
        <w:rPr>
          <w:rFonts w:cs="Times New Roman"/>
          <w:szCs w:val="24"/>
        </w:rPr>
      </w:pPr>
      <w:r w:rsidRPr="000E393A">
        <w:rPr>
          <w:rFonts w:cs="Times New Roman"/>
          <w:szCs w:val="24"/>
        </w:rPr>
        <w:tab/>
        <w:t>tiesnese Vēsma Kakste,</w:t>
      </w:r>
    </w:p>
    <w:p w:rsidR="00AE69DB" w:rsidRPr="000E393A" w:rsidRDefault="00AE69DB" w:rsidP="00AE69DB">
      <w:pPr>
        <w:tabs>
          <w:tab w:val="left" w:pos="1276"/>
        </w:tabs>
        <w:spacing w:after="0"/>
        <w:ind w:left="720"/>
        <w:jc w:val="both"/>
        <w:rPr>
          <w:rFonts w:cs="Times New Roman"/>
          <w:szCs w:val="24"/>
        </w:rPr>
      </w:pPr>
      <w:r w:rsidRPr="000E393A">
        <w:rPr>
          <w:rFonts w:cs="Times New Roman"/>
          <w:szCs w:val="24"/>
        </w:rPr>
        <w:tab/>
        <w:t>tiesnese Dzintra Amerika,</w:t>
      </w:r>
    </w:p>
    <w:p w:rsidR="00AE69DB" w:rsidRPr="000E393A" w:rsidRDefault="00AE69DB" w:rsidP="00AE69DB">
      <w:pPr>
        <w:tabs>
          <w:tab w:val="left" w:pos="1276"/>
        </w:tabs>
        <w:spacing w:after="0"/>
        <w:ind w:left="720"/>
        <w:jc w:val="both"/>
        <w:rPr>
          <w:rFonts w:cs="Times New Roman"/>
          <w:szCs w:val="24"/>
        </w:rPr>
      </w:pPr>
      <w:r w:rsidRPr="000E393A">
        <w:rPr>
          <w:rFonts w:cs="Times New Roman"/>
          <w:szCs w:val="24"/>
        </w:rPr>
        <w:tab/>
        <w:t>tiesnesis Andris Guļāns,</w:t>
      </w:r>
    </w:p>
    <w:p w:rsidR="00AE69DB" w:rsidRPr="000E393A" w:rsidRDefault="00AE69DB" w:rsidP="00AE69DB">
      <w:pPr>
        <w:spacing w:after="0"/>
        <w:ind w:firstLine="720"/>
        <w:jc w:val="both"/>
        <w:rPr>
          <w:rFonts w:cs="Times New Roman"/>
          <w:szCs w:val="24"/>
        </w:rPr>
      </w:pPr>
    </w:p>
    <w:p w:rsidR="00AE69DB" w:rsidRPr="000E393A" w:rsidRDefault="00AE69DB" w:rsidP="00AE69DB">
      <w:pPr>
        <w:tabs>
          <w:tab w:val="left" w:pos="540"/>
        </w:tabs>
        <w:spacing w:after="0"/>
        <w:ind w:firstLine="720"/>
        <w:jc w:val="both"/>
        <w:rPr>
          <w:rFonts w:cs="Times New Roman"/>
          <w:szCs w:val="24"/>
        </w:rPr>
      </w:pPr>
      <w:r w:rsidRPr="000E393A">
        <w:rPr>
          <w:rFonts w:cs="Times New Roman"/>
          <w:szCs w:val="24"/>
        </w:rPr>
        <w:t>r</w:t>
      </w:r>
      <w:r w:rsidR="003B3A36" w:rsidRPr="000E393A">
        <w:rPr>
          <w:rFonts w:cs="Times New Roman"/>
          <w:szCs w:val="24"/>
        </w:rPr>
        <w:t xml:space="preserve">akstveida procesā </w:t>
      </w:r>
      <w:r w:rsidRPr="000E393A">
        <w:rPr>
          <w:rFonts w:cs="Times New Roman"/>
          <w:szCs w:val="24"/>
        </w:rPr>
        <w:t xml:space="preserve">izskatīja </w:t>
      </w:r>
      <w:r w:rsidR="00BF5348">
        <w:rPr>
          <w:rFonts w:cs="Times New Roman"/>
          <w:szCs w:val="24"/>
        </w:rPr>
        <w:t>[pers. A]</w:t>
      </w:r>
      <w:r w:rsidRPr="000E393A">
        <w:rPr>
          <w:rFonts w:cs="Times New Roman"/>
          <w:szCs w:val="24"/>
        </w:rPr>
        <w:t xml:space="preserve"> kasācijas sūdzību par Administratīvās apgabaltiesas 2015.gada 10.jūnija spriedumu administratīvajā lietā, kas ierosināta, pamatojoties uz </w:t>
      </w:r>
      <w:r w:rsidR="00BF5348">
        <w:rPr>
          <w:rFonts w:cs="Times New Roman"/>
          <w:szCs w:val="24"/>
        </w:rPr>
        <w:t xml:space="preserve">[pers. A] </w:t>
      </w:r>
      <w:r w:rsidRPr="000E393A">
        <w:rPr>
          <w:rFonts w:cs="Times New Roman"/>
          <w:szCs w:val="24"/>
        </w:rPr>
        <w:t>pieteikumu par Valsts ieņēmumu dienesta 2013.gada 8.februāra lēmuma Nr.</w:t>
      </w:r>
      <w:r w:rsidR="003B3A36" w:rsidRPr="000E393A">
        <w:rPr>
          <w:rFonts w:cs="Times New Roman"/>
          <w:szCs w:val="24"/>
        </w:rPr>
        <w:t> </w:t>
      </w:r>
      <w:r w:rsidRPr="000E393A">
        <w:rPr>
          <w:rFonts w:cs="Times New Roman"/>
          <w:szCs w:val="24"/>
        </w:rPr>
        <w:t>22.10/L-4275 atcelšanu.</w:t>
      </w:r>
    </w:p>
    <w:p w:rsidR="00AE69DB" w:rsidRPr="000E393A" w:rsidRDefault="00AE69DB" w:rsidP="00AE69DB">
      <w:pPr>
        <w:spacing w:after="0" w:line="360" w:lineRule="auto"/>
        <w:jc w:val="center"/>
        <w:rPr>
          <w:rFonts w:cs="Times New Roman"/>
          <w:szCs w:val="24"/>
        </w:rPr>
      </w:pPr>
    </w:p>
    <w:p w:rsidR="00AE69DB" w:rsidRPr="000E393A" w:rsidRDefault="00AE69DB" w:rsidP="00AE69DB">
      <w:pPr>
        <w:spacing w:after="0" w:line="360" w:lineRule="auto"/>
        <w:jc w:val="center"/>
        <w:rPr>
          <w:rFonts w:cs="Times New Roman"/>
          <w:b/>
          <w:szCs w:val="24"/>
        </w:rPr>
      </w:pPr>
      <w:r w:rsidRPr="000E393A">
        <w:rPr>
          <w:rFonts w:cs="Times New Roman"/>
          <w:b/>
          <w:szCs w:val="24"/>
        </w:rPr>
        <w:t>Aprakstošā daļa</w:t>
      </w:r>
    </w:p>
    <w:p w:rsidR="00AE69DB" w:rsidRPr="000E393A" w:rsidRDefault="00AE69DB" w:rsidP="00AE69DB">
      <w:pPr>
        <w:spacing w:after="0" w:line="360" w:lineRule="auto"/>
        <w:ind w:firstLine="540"/>
        <w:jc w:val="both"/>
        <w:rPr>
          <w:rFonts w:cs="Times New Roman"/>
          <w:szCs w:val="24"/>
        </w:rPr>
      </w:pPr>
    </w:p>
    <w:p w:rsidR="00AE69DB" w:rsidRPr="000E393A" w:rsidRDefault="00AE69DB" w:rsidP="008A0B7C">
      <w:pPr>
        <w:pStyle w:val="NormalWeb"/>
        <w:spacing w:before="0" w:beforeAutospacing="0" w:after="0" w:afterAutospacing="0" w:line="276" w:lineRule="auto"/>
        <w:ind w:firstLine="720"/>
        <w:jc w:val="both"/>
      </w:pPr>
      <w:r w:rsidRPr="000E393A">
        <w:t>[1] Valsts ieņēmumu dienest</w:t>
      </w:r>
      <w:r w:rsidR="00B00C6D" w:rsidRPr="000E393A">
        <w:t xml:space="preserve">s ar </w:t>
      </w:r>
      <w:r w:rsidRPr="000E393A">
        <w:t xml:space="preserve">2013.gada 8.februāra lēmumu Nr. 22.10/L-4275 kā administratīvā akta galīgo noformējumu pieteicējam </w:t>
      </w:r>
      <w:r w:rsidR="00F84967">
        <w:t>[pers. A]</w:t>
      </w:r>
      <w:r w:rsidRPr="000E393A">
        <w:t xml:space="preserve"> </w:t>
      </w:r>
      <w:r w:rsidR="00B00C6D" w:rsidRPr="000E393A">
        <w:t>citastarp samazināja 2011.gada saimnieciskās darbības izdevumus par 12 925,21 Ls.</w:t>
      </w:r>
      <w:r w:rsidR="008A0B7C" w:rsidRPr="000E393A">
        <w:t xml:space="preserve"> Lēmumā norādīts, ka pieteicēja saimnieciskās darbības izdevumos iekļauti izdevumi 12 925,21 Ls par darījuma ar SIA „LUK” ietvaros saņemtajiem mežizstrādes un citiem pakalpojumiem. Minētie izdevumi nav saistīti ar deklarētajiem taksācijas gada saimnieciskās darbības ieņēmumiem, jo pieteicējs no SIA „LUK” nav saņēmis samaksu par kokmateriāliem 40 114,27 Ls. </w:t>
      </w:r>
    </w:p>
    <w:p w:rsidR="001B1A2B" w:rsidRPr="000E393A" w:rsidRDefault="001B1A2B" w:rsidP="008A0B7C">
      <w:pPr>
        <w:pStyle w:val="NormalWeb"/>
        <w:spacing w:before="0" w:beforeAutospacing="0" w:after="0" w:afterAutospacing="0" w:line="276" w:lineRule="auto"/>
        <w:ind w:firstLine="720"/>
        <w:jc w:val="both"/>
      </w:pPr>
    </w:p>
    <w:p w:rsidR="00AE69DB" w:rsidRPr="000E393A" w:rsidRDefault="00AE69DB" w:rsidP="00B64B78">
      <w:pPr>
        <w:pStyle w:val="NormalWeb"/>
        <w:spacing w:before="0" w:beforeAutospacing="0" w:after="0" w:afterAutospacing="0" w:line="276" w:lineRule="auto"/>
        <w:ind w:firstLine="720"/>
        <w:jc w:val="both"/>
      </w:pPr>
      <w:r w:rsidRPr="000E393A">
        <w:t>[</w:t>
      </w:r>
      <w:r w:rsidR="00B00C6D" w:rsidRPr="000E393A">
        <w:t>2</w:t>
      </w:r>
      <w:r w:rsidRPr="000E393A">
        <w:t>] Administratīvā rajona tiesa</w:t>
      </w:r>
      <w:r w:rsidR="00B00C6D" w:rsidRPr="000E393A">
        <w:t xml:space="preserve"> ar</w:t>
      </w:r>
      <w:r w:rsidRPr="000E393A">
        <w:t xml:space="preserve"> 2014.gada 13.marta spriedumu un Administratīvā </w:t>
      </w:r>
      <w:r w:rsidR="00B00C6D" w:rsidRPr="000E393A">
        <w:t xml:space="preserve"> </w:t>
      </w:r>
      <w:r w:rsidRPr="000E393A">
        <w:t>apgabaltiesa</w:t>
      </w:r>
      <w:r w:rsidR="00B00C6D" w:rsidRPr="000E393A">
        <w:t xml:space="preserve"> ar</w:t>
      </w:r>
      <w:r w:rsidRPr="000E393A">
        <w:t xml:space="preserve"> 2015.gada 10.jūnija spriedumu </w:t>
      </w:r>
      <w:r w:rsidR="00B00C6D" w:rsidRPr="000E393A">
        <w:t xml:space="preserve">noraidīja pieteicēja pieteikumu </w:t>
      </w:r>
      <w:r w:rsidR="00A727ED" w:rsidRPr="000E393A">
        <w:t xml:space="preserve">tostarp </w:t>
      </w:r>
      <w:r w:rsidR="00B00C6D" w:rsidRPr="000E393A">
        <w:t xml:space="preserve">daļā par minēto izdevumu attiecināšanu uz 2011.gada ieņēmumiem. </w:t>
      </w:r>
      <w:r w:rsidRPr="000E393A">
        <w:t>Apgabaltiesa, pievienojoties pirmās instances tiesas sprieduma motivācijai, norādīja turpmāk minēto.</w:t>
      </w:r>
    </w:p>
    <w:p w:rsidR="003B3A36" w:rsidRPr="000E393A" w:rsidRDefault="003B3A36" w:rsidP="003B3A36">
      <w:pPr>
        <w:pStyle w:val="NormalWeb"/>
        <w:spacing w:before="0" w:beforeAutospacing="0" w:after="0" w:afterAutospacing="0" w:line="276" w:lineRule="auto"/>
        <w:ind w:firstLine="720"/>
        <w:jc w:val="both"/>
      </w:pPr>
      <w:r w:rsidRPr="000E393A">
        <w:t xml:space="preserve">[2.1] Likuma „Par iedzīvotāju ienākuma nodokli” 11.panta trešā daļa uzskaita izdevumus, kas iekļaujami saimnieciskās darbības izdevumos, ja tie saistīti ar taksācijas gada ienākuma gūšanu no saimnieciskās darbības. No minētā izriet, ka uz taksācijas gada </w:t>
      </w:r>
      <w:r w:rsidRPr="000E393A">
        <w:lastRenderedPageBreak/>
        <w:t>izdevumiem var attiecināt tikai tādus likumā uzskaitītus izdevumus, kas ir saistīti ar ienākumu gūšanu attiecīgajā taksācijas gadā.</w:t>
      </w:r>
    </w:p>
    <w:p w:rsidR="003B3A36" w:rsidRPr="000E393A" w:rsidRDefault="00AE69DB" w:rsidP="00B64B78">
      <w:pPr>
        <w:pStyle w:val="NormalWeb"/>
        <w:spacing w:before="0" w:beforeAutospacing="0" w:after="0" w:afterAutospacing="0" w:line="276" w:lineRule="auto"/>
        <w:ind w:firstLine="720"/>
        <w:jc w:val="both"/>
      </w:pPr>
      <w:r w:rsidRPr="000E393A">
        <w:t>[</w:t>
      </w:r>
      <w:r w:rsidR="00B00C6D" w:rsidRPr="000E393A">
        <w:t>2.</w:t>
      </w:r>
      <w:r w:rsidR="003B3A36" w:rsidRPr="000E393A">
        <w:t>2</w:t>
      </w:r>
      <w:r w:rsidRPr="000E393A">
        <w:t xml:space="preserve">] Pieteicējs saimnieciskās darbības ietvaros grāmatvedību kārto vienkāršā ierakstu sistēmā. Nav strīda, ka vienkāršā ierakstu sistēmā žurnālā ieņēmumus un izdevumus ieraksta hronoloģiskā secībā, proti, 2011.gada izdevumi ir ierakstāmi 2011.gada žurnālā, ievērojot ieņēmumu un izdevumu hronoloģiju. </w:t>
      </w:r>
    </w:p>
    <w:p w:rsidR="003B3A36" w:rsidRPr="000E393A" w:rsidRDefault="00AE69DB" w:rsidP="003B3A36">
      <w:pPr>
        <w:pStyle w:val="NormalWeb"/>
        <w:spacing w:before="0" w:beforeAutospacing="0" w:after="0" w:afterAutospacing="0" w:line="276" w:lineRule="auto"/>
        <w:ind w:firstLine="720"/>
        <w:jc w:val="both"/>
      </w:pPr>
      <w:r w:rsidRPr="000E393A">
        <w:t>Nav strīda, ka izdevumi saimnieciskās darbības ietvaros pieteicējam radušies 2011.gadā, savukārt ieņēmumi 2011.gadā nav bijuši, jo SIA „LUK” ar pieteicēju nav norēķinājusies. Nav strīda, ka pieteicējs 2011.gadā nav guvis ienākumus, uz kuriem attiecināmi izdevumi 12 925,21 Ls.</w:t>
      </w:r>
      <w:r w:rsidR="003B3A36" w:rsidRPr="000E393A">
        <w:t xml:space="preserve"> Pieteicējs iegūs tiesības no ienākumiem atskaitīt konkrētos 2011.gadā radušos izdevumus tad, kad pieteicējs būs guvis ar šiem izdevumiem saistītos ienākumus. </w:t>
      </w:r>
    </w:p>
    <w:p w:rsidR="00AE69DB" w:rsidRPr="000E393A" w:rsidRDefault="00AE69DB" w:rsidP="00B64B78">
      <w:pPr>
        <w:pStyle w:val="NormalWeb"/>
        <w:spacing w:before="0" w:beforeAutospacing="0" w:after="0" w:afterAutospacing="0" w:line="276" w:lineRule="auto"/>
        <w:ind w:firstLine="720"/>
        <w:jc w:val="both"/>
      </w:pPr>
      <w:r w:rsidRPr="000E393A">
        <w:t>Līdz ar to dienests atbilstoši likuma „Par iedzīvotāju ienākuma nodokli” 11.panta trešajai daļai pamatoti samazināja pieteicēja attiecīgā taksācijas gada saimnieciskās darbības izdevumus no saimnieciskās darbības.</w:t>
      </w:r>
    </w:p>
    <w:p w:rsidR="00AE69DB" w:rsidRPr="000E393A" w:rsidRDefault="00AE69DB" w:rsidP="00B64B78">
      <w:pPr>
        <w:pStyle w:val="NormalWeb"/>
        <w:spacing w:before="0" w:beforeAutospacing="0" w:after="0" w:afterAutospacing="0" w:line="276" w:lineRule="auto"/>
        <w:ind w:firstLine="720"/>
        <w:jc w:val="both"/>
      </w:pPr>
      <w:r w:rsidRPr="000E393A">
        <w:t>[</w:t>
      </w:r>
      <w:r w:rsidR="00B00C6D" w:rsidRPr="000E393A">
        <w:t>2.</w:t>
      </w:r>
      <w:r w:rsidR="008A0B7C" w:rsidRPr="000E393A">
        <w:t>3</w:t>
      </w:r>
      <w:r w:rsidRPr="000E393A">
        <w:t>] </w:t>
      </w:r>
      <w:r w:rsidR="0009549C" w:rsidRPr="000E393A">
        <w:t>L</w:t>
      </w:r>
      <w:r w:rsidRPr="000E393A">
        <w:t>ikumdevēja mērķis, izdevumus sasaistot ar ienākumu gūšanu attiecīgajā taksācijas periodā, ir nepieļaut, ka nodokļu maksātājs ļaunprātīgi neuzrāda ienākumus, tādējādi veicot savu saimniecisko darbību tikai ar izdevumiem un zaudējumiem, secīg</w:t>
      </w:r>
      <w:r w:rsidR="0009549C" w:rsidRPr="000E393A">
        <w:t xml:space="preserve">i nemaksājot budžetā nodokļus. Pieteicējs </w:t>
      </w:r>
      <w:r w:rsidRPr="000E393A">
        <w:t xml:space="preserve">atbilstoši grāmatvedības normatīvajiem aktiem nezaudē iespēju attiecīgos izdevumus attiecināt uz saimnieciskās darbības objektiem, taču izdevumi ir iekļaujami tajā taksācijas gadā, kurā </w:t>
      </w:r>
      <w:r w:rsidR="0009549C" w:rsidRPr="000E393A">
        <w:t xml:space="preserve">pieteicējs </w:t>
      </w:r>
      <w:r w:rsidRPr="000E393A">
        <w:t>ir guvis ienākumus no konkrētā saimniecis</w:t>
      </w:r>
      <w:r w:rsidR="0009549C" w:rsidRPr="000E393A">
        <w:t xml:space="preserve">kās darbības objekta. Tādējādi pieteicēja </w:t>
      </w:r>
      <w:r w:rsidRPr="000E393A">
        <w:t>viedoklis, ka viņam tiek liegtas tiesības uz saimniecisko darbību attiecināt ar to saistītās izmaksas, nav pamatots.</w:t>
      </w:r>
    </w:p>
    <w:p w:rsidR="00B00C6D" w:rsidRPr="000E393A" w:rsidRDefault="00B00C6D" w:rsidP="00B64B78">
      <w:pPr>
        <w:spacing w:after="0"/>
        <w:ind w:firstLine="709"/>
        <w:jc w:val="both"/>
        <w:rPr>
          <w:szCs w:val="24"/>
        </w:rPr>
      </w:pPr>
    </w:p>
    <w:p w:rsidR="00234BC2" w:rsidRPr="000E393A" w:rsidRDefault="00AE69DB" w:rsidP="00B64B78">
      <w:pPr>
        <w:spacing w:after="0"/>
        <w:ind w:firstLine="709"/>
        <w:jc w:val="both"/>
        <w:rPr>
          <w:rFonts w:eastAsia="Times New Roman" w:cs="Times New Roman"/>
          <w:szCs w:val="24"/>
          <w:lang w:eastAsia="lv-LV"/>
        </w:rPr>
      </w:pPr>
      <w:r w:rsidRPr="000E393A">
        <w:rPr>
          <w:szCs w:val="24"/>
        </w:rPr>
        <w:t>[</w:t>
      </w:r>
      <w:r w:rsidR="00B00C6D" w:rsidRPr="000E393A">
        <w:rPr>
          <w:szCs w:val="24"/>
        </w:rPr>
        <w:t>3</w:t>
      </w:r>
      <w:r w:rsidRPr="000E393A">
        <w:rPr>
          <w:szCs w:val="24"/>
        </w:rPr>
        <w:t xml:space="preserve">] </w:t>
      </w:r>
      <w:r w:rsidRPr="000E393A">
        <w:rPr>
          <w:rFonts w:eastAsia="Times New Roman" w:cs="Times New Roman"/>
          <w:szCs w:val="24"/>
          <w:lang w:eastAsia="lv-LV"/>
        </w:rPr>
        <w:t>Pieteicēj</w:t>
      </w:r>
      <w:r w:rsidR="00B64B78" w:rsidRPr="000E393A">
        <w:rPr>
          <w:rFonts w:eastAsia="Times New Roman" w:cs="Times New Roman"/>
          <w:szCs w:val="24"/>
          <w:lang w:eastAsia="lv-LV"/>
        </w:rPr>
        <w:t>s</w:t>
      </w:r>
      <w:r w:rsidRPr="000E393A">
        <w:rPr>
          <w:rFonts w:eastAsia="Times New Roman" w:cs="Times New Roman"/>
          <w:szCs w:val="24"/>
          <w:lang w:eastAsia="lv-LV"/>
        </w:rPr>
        <w:t xml:space="preserve"> iesnie</w:t>
      </w:r>
      <w:r w:rsidR="00B64B78" w:rsidRPr="000E393A">
        <w:rPr>
          <w:rFonts w:eastAsia="Times New Roman" w:cs="Times New Roman"/>
          <w:szCs w:val="24"/>
          <w:lang w:eastAsia="lv-LV"/>
        </w:rPr>
        <w:t xml:space="preserve">dza </w:t>
      </w:r>
      <w:r w:rsidRPr="000E393A">
        <w:rPr>
          <w:rFonts w:eastAsia="Times New Roman" w:cs="Times New Roman"/>
          <w:szCs w:val="24"/>
          <w:lang w:eastAsia="lv-LV"/>
        </w:rPr>
        <w:t>kasācijas sūdzību par tiesas spriedumu</w:t>
      </w:r>
      <w:r w:rsidR="00234BC2" w:rsidRPr="000E393A">
        <w:rPr>
          <w:rFonts w:eastAsia="Times New Roman" w:cs="Times New Roman"/>
          <w:szCs w:val="24"/>
          <w:lang w:eastAsia="lv-LV"/>
        </w:rPr>
        <w:t>, norād</w:t>
      </w:r>
      <w:r w:rsidR="00B64B78" w:rsidRPr="000E393A">
        <w:rPr>
          <w:rFonts w:eastAsia="Times New Roman" w:cs="Times New Roman"/>
          <w:szCs w:val="24"/>
          <w:lang w:eastAsia="lv-LV"/>
        </w:rPr>
        <w:t>o</w:t>
      </w:r>
      <w:r w:rsidR="00234BC2" w:rsidRPr="000E393A">
        <w:rPr>
          <w:rFonts w:eastAsia="Times New Roman" w:cs="Times New Roman"/>
          <w:szCs w:val="24"/>
          <w:lang w:eastAsia="lv-LV"/>
        </w:rPr>
        <w:t xml:space="preserve">t turpmāk minētos apsvērumus. </w:t>
      </w:r>
    </w:p>
    <w:p w:rsidR="00AE69DB" w:rsidRPr="000E393A" w:rsidRDefault="00A727ED" w:rsidP="00B64B78">
      <w:pPr>
        <w:shd w:val="clear" w:color="auto" w:fill="FFFFFF"/>
        <w:spacing w:after="0"/>
        <w:ind w:firstLine="720"/>
        <w:jc w:val="both"/>
        <w:rPr>
          <w:rFonts w:cs="Times New Roman"/>
          <w:szCs w:val="24"/>
        </w:rPr>
      </w:pPr>
      <w:r w:rsidRPr="000E393A">
        <w:rPr>
          <w:rFonts w:cs="Times New Roman"/>
          <w:szCs w:val="24"/>
        </w:rPr>
        <w:t>[3</w:t>
      </w:r>
      <w:r w:rsidR="00AE69DB" w:rsidRPr="000E393A">
        <w:rPr>
          <w:rFonts w:cs="Times New Roman"/>
          <w:szCs w:val="24"/>
        </w:rPr>
        <w:t xml:space="preserve">.1] </w:t>
      </w:r>
      <w:r w:rsidR="00B64B78" w:rsidRPr="000E393A">
        <w:rPr>
          <w:rFonts w:cs="Times New Roman"/>
          <w:szCs w:val="24"/>
        </w:rPr>
        <w:t xml:space="preserve">Nav pareizs tiesas atzinums, ka saimnieciskās darbības izdevumi nav iekļaujami attiecīgā taksācijas gada izdevumos, ja nav faktiski gūti uz izdevumiem attiecināmi ienākumi, kas atspoguļojas naudas plūsmā tajā pašā taksācijas gadā. </w:t>
      </w:r>
    </w:p>
    <w:p w:rsidR="00B64B78" w:rsidRPr="000E393A" w:rsidRDefault="00CB23D5" w:rsidP="00B64B78">
      <w:pPr>
        <w:shd w:val="clear" w:color="auto" w:fill="FFFFFF"/>
        <w:spacing w:after="0"/>
        <w:ind w:firstLine="720"/>
        <w:jc w:val="both"/>
        <w:rPr>
          <w:rFonts w:cs="Times New Roman"/>
          <w:szCs w:val="24"/>
        </w:rPr>
      </w:pPr>
      <w:r w:rsidRPr="000E393A">
        <w:rPr>
          <w:rFonts w:cs="Times New Roman"/>
          <w:szCs w:val="24"/>
        </w:rPr>
        <w:t>[</w:t>
      </w:r>
      <w:r w:rsidR="00A727ED" w:rsidRPr="000E393A">
        <w:rPr>
          <w:rFonts w:cs="Times New Roman"/>
          <w:szCs w:val="24"/>
        </w:rPr>
        <w:t>3</w:t>
      </w:r>
      <w:r w:rsidRPr="000E393A">
        <w:rPr>
          <w:rFonts w:cs="Times New Roman"/>
          <w:szCs w:val="24"/>
        </w:rPr>
        <w:t xml:space="preserve">.2] </w:t>
      </w:r>
      <w:r w:rsidR="00B64B78" w:rsidRPr="000E393A">
        <w:rPr>
          <w:rFonts w:cs="Times New Roman"/>
          <w:szCs w:val="24"/>
        </w:rPr>
        <w:t>Neskatoties uz to, ka ir iespējams veidot teorētisku saimnieciskās darbības izdevumu attiecinājumu un konkrētu ienākumu gūšanu (kāda informācija ir iesniegta), bet nebūtu korekti padarīt šo attiecināmību abstraktu, ņemot vērā to, ka saimnieciskā darbība ir pastāvīga, ilgstoša darbība un veido veselu pasākumu kopumu.</w:t>
      </w:r>
    </w:p>
    <w:p w:rsidR="00B64B78" w:rsidRPr="000E393A" w:rsidRDefault="00B64B78" w:rsidP="00B64B78">
      <w:pPr>
        <w:shd w:val="clear" w:color="auto" w:fill="FFFFFF"/>
        <w:spacing w:after="0"/>
        <w:ind w:firstLine="720"/>
        <w:jc w:val="both"/>
        <w:rPr>
          <w:rFonts w:cs="Times New Roman"/>
          <w:szCs w:val="24"/>
        </w:rPr>
      </w:pPr>
      <w:r w:rsidRPr="000E393A">
        <w:rPr>
          <w:rFonts w:cs="Times New Roman"/>
          <w:szCs w:val="24"/>
        </w:rPr>
        <w:t xml:space="preserve">Tāpat, veicot grāmatvedības </w:t>
      </w:r>
      <w:r w:rsidR="00A80F6F" w:rsidRPr="000E393A">
        <w:rPr>
          <w:rFonts w:cs="Times New Roman"/>
          <w:szCs w:val="24"/>
        </w:rPr>
        <w:t>u</w:t>
      </w:r>
      <w:r w:rsidRPr="000E393A">
        <w:rPr>
          <w:rFonts w:cs="Times New Roman"/>
          <w:szCs w:val="24"/>
        </w:rPr>
        <w:t>zskaiti vienkārš</w:t>
      </w:r>
      <w:r w:rsidR="00A80F6F" w:rsidRPr="000E393A">
        <w:rPr>
          <w:rFonts w:cs="Times New Roman"/>
          <w:szCs w:val="24"/>
        </w:rPr>
        <w:t xml:space="preserve">ajā </w:t>
      </w:r>
      <w:r w:rsidRPr="000E393A">
        <w:rPr>
          <w:rFonts w:cs="Times New Roman"/>
          <w:szCs w:val="24"/>
        </w:rPr>
        <w:t xml:space="preserve">ierakstu </w:t>
      </w:r>
      <w:r w:rsidR="00A80F6F" w:rsidRPr="000E393A">
        <w:rPr>
          <w:rFonts w:cs="Times New Roman"/>
          <w:szCs w:val="24"/>
        </w:rPr>
        <w:t xml:space="preserve">sistēmā, </w:t>
      </w:r>
      <w:r w:rsidRPr="000E393A">
        <w:rPr>
          <w:rFonts w:cs="Times New Roman"/>
          <w:szCs w:val="24"/>
        </w:rPr>
        <w:t xml:space="preserve">izdevumi un ienākumi tiek atzīti pēc naudas plūsmas jeb kases principa. Attiecīgi – ieraksti veicami brīdī, kad notiek naudas kustība. Līdz ar to </w:t>
      </w:r>
      <w:r w:rsidR="00DF6313" w:rsidRPr="000E393A">
        <w:rPr>
          <w:rFonts w:cs="Times New Roman"/>
          <w:szCs w:val="24"/>
        </w:rPr>
        <w:t>2</w:t>
      </w:r>
      <w:r w:rsidRPr="000E393A">
        <w:rPr>
          <w:rFonts w:cs="Times New Roman"/>
          <w:szCs w:val="24"/>
        </w:rPr>
        <w:t>011.gadā tika iekļauti izdevumi, kas samaksāti attiecīgajā gadā, bet ienākumi, par ko tika izsniegti rēķini, bet netika saņemta samaksa</w:t>
      </w:r>
      <w:r w:rsidR="00DF6313" w:rsidRPr="000E393A">
        <w:rPr>
          <w:rFonts w:cs="Times New Roman"/>
          <w:szCs w:val="24"/>
        </w:rPr>
        <w:t xml:space="preserve">, </w:t>
      </w:r>
      <w:r w:rsidRPr="000E393A">
        <w:rPr>
          <w:rFonts w:cs="Times New Roman"/>
          <w:szCs w:val="24"/>
        </w:rPr>
        <w:t xml:space="preserve">netika iekļauti. </w:t>
      </w:r>
      <w:r w:rsidR="00CB23D5" w:rsidRPr="000E393A">
        <w:rPr>
          <w:rFonts w:cs="Times New Roman"/>
          <w:szCs w:val="24"/>
        </w:rPr>
        <w:t>Citādāka uzskaites kārtība nebūtu iespējama, jo gadījumā, ja izdevumi netiktu iekļauti attiecīgajā taksācijas gadā, tad gadā, kad tiktu saņemts ienākums, tos nevarētu iekļaut.</w:t>
      </w:r>
    </w:p>
    <w:p w:rsidR="00CB23D5" w:rsidRPr="000E393A" w:rsidRDefault="00CB23D5" w:rsidP="00B64B78">
      <w:pPr>
        <w:shd w:val="clear" w:color="auto" w:fill="FFFFFF"/>
        <w:spacing w:after="0"/>
        <w:ind w:firstLine="720"/>
        <w:jc w:val="both"/>
        <w:rPr>
          <w:rFonts w:cs="Times New Roman"/>
          <w:szCs w:val="24"/>
        </w:rPr>
      </w:pPr>
      <w:r w:rsidRPr="000E393A">
        <w:rPr>
          <w:rFonts w:cs="Times New Roman"/>
          <w:szCs w:val="24"/>
        </w:rPr>
        <w:t>Turklāt normatīvie akti neparedz šādu korekciju veikšanu, kas attiecas uz izdevumu izslēgšanu no attiecīgā taksācijas gada.</w:t>
      </w:r>
    </w:p>
    <w:p w:rsidR="00CB23D5" w:rsidRPr="000E393A" w:rsidRDefault="00CB23D5" w:rsidP="00B64B78">
      <w:pPr>
        <w:shd w:val="clear" w:color="auto" w:fill="FFFFFF"/>
        <w:spacing w:after="0"/>
        <w:ind w:firstLine="720"/>
        <w:jc w:val="both"/>
        <w:rPr>
          <w:rFonts w:cs="Times New Roman"/>
          <w:szCs w:val="24"/>
        </w:rPr>
      </w:pPr>
      <w:r w:rsidRPr="000E393A">
        <w:rPr>
          <w:rFonts w:cs="Times New Roman"/>
          <w:szCs w:val="24"/>
        </w:rPr>
        <w:t>[</w:t>
      </w:r>
      <w:r w:rsidR="00A727ED" w:rsidRPr="000E393A">
        <w:rPr>
          <w:rFonts w:cs="Times New Roman"/>
          <w:szCs w:val="24"/>
        </w:rPr>
        <w:t>3</w:t>
      </w:r>
      <w:r w:rsidRPr="000E393A">
        <w:rPr>
          <w:rFonts w:cs="Times New Roman"/>
          <w:szCs w:val="24"/>
        </w:rPr>
        <w:t>.3] Personas iespējas ietekmēt tās izrakstīto rēķinu samaksu ir ierobežotas. Persona nevar uzņemties atbildību par to, kurā brīdī rēķins tiek samaksāts no klienta puses.</w:t>
      </w:r>
    </w:p>
    <w:p w:rsidR="00CB23D5" w:rsidRPr="000E393A" w:rsidRDefault="00A727ED" w:rsidP="00B64B78">
      <w:pPr>
        <w:shd w:val="clear" w:color="auto" w:fill="FFFFFF"/>
        <w:spacing w:after="0"/>
        <w:ind w:firstLine="720"/>
        <w:jc w:val="both"/>
        <w:rPr>
          <w:rFonts w:cs="Times New Roman"/>
          <w:szCs w:val="24"/>
        </w:rPr>
      </w:pPr>
      <w:r w:rsidRPr="000E393A">
        <w:rPr>
          <w:rFonts w:cs="Times New Roman"/>
          <w:szCs w:val="24"/>
        </w:rPr>
        <w:t>[3</w:t>
      </w:r>
      <w:r w:rsidR="00CB23D5" w:rsidRPr="000E393A">
        <w:rPr>
          <w:rFonts w:cs="Times New Roman"/>
          <w:szCs w:val="24"/>
        </w:rPr>
        <w:t>.4] Likumdevējs ir paredzējis, ka iepriekšējo gadu zaudējumi var tikt segti no nākamo gadu peļņas. Tas saskan ar pieteicēja viedokli par to, ka saimnieciskā darbība ir pasākumu kopums, un nevar tikt veikta atrauta izdevumu attiecināšana uz konkrēto ienākumu.</w:t>
      </w:r>
    </w:p>
    <w:p w:rsidR="00215529" w:rsidRPr="000E393A" w:rsidRDefault="00CB23D5" w:rsidP="00B64B78">
      <w:pPr>
        <w:shd w:val="clear" w:color="auto" w:fill="FFFFFF"/>
        <w:spacing w:after="0"/>
        <w:ind w:firstLine="720"/>
        <w:jc w:val="both"/>
        <w:rPr>
          <w:rFonts w:cs="Times New Roman"/>
          <w:szCs w:val="24"/>
        </w:rPr>
      </w:pPr>
      <w:r w:rsidRPr="000E393A">
        <w:rPr>
          <w:rFonts w:cs="Times New Roman"/>
          <w:szCs w:val="24"/>
        </w:rPr>
        <w:lastRenderedPageBreak/>
        <w:t xml:space="preserve">Ja auditā izteikto viedokli atzītu par pareizu, veidotos absurda </w:t>
      </w:r>
      <w:r w:rsidR="00BA18FB" w:rsidRPr="000E393A">
        <w:rPr>
          <w:rFonts w:cs="Times New Roman"/>
          <w:szCs w:val="24"/>
        </w:rPr>
        <w:t xml:space="preserve">situācija. Likuma </w:t>
      </w:r>
      <w:r w:rsidR="00F47FDE" w:rsidRPr="000E393A">
        <w:rPr>
          <w:szCs w:val="24"/>
        </w:rPr>
        <w:t>„</w:t>
      </w:r>
      <w:r w:rsidR="00BA18FB" w:rsidRPr="000E393A">
        <w:rPr>
          <w:rFonts w:cs="Times New Roman"/>
          <w:szCs w:val="24"/>
        </w:rPr>
        <w:t xml:space="preserve">Par iedzīvotāju ienākuma nodokli” 11.panta devītā daļa, kas nosaka iepriekšējo gadu zaudējumu segšanu ar nākamo taksācijas periodu ienākumiem, zaudētu jēgu un nebūtu piemērojama. Vai arī būtu piemērojama tikai tādā gadījumā, ja nodokļu maksātājs veiktu saimniecisko darbību, kas pēc savas ekonomiskās būtības būtu neatbilstoša, proti, visi ar saimniecisko darbību saistītie izdevumi attiecīgajā gadā pārsniegtu ieņēmumus. </w:t>
      </w:r>
      <w:r w:rsidR="00215529" w:rsidRPr="000E393A">
        <w:rPr>
          <w:rFonts w:cs="Times New Roman"/>
          <w:szCs w:val="24"/>
        </w:rPr>
        <w:t>Tādai saimnieciskajai darbībai trūkst peļņas gūšanas rakstura. Zaudējumi var veidoties divos gadījumos. Būtisku ekonomiskās situācijas izmaiņu gadījumā, kas tomēr nav parādība, kas notiek katrā taksācijas periodā, un faktiski tāda situācija arī nebūtu pamats likumdevējam izstrādāt tiesību normu par iepriekšējo periodu zaudējumu segšanu no nākamo periodu ieņēmumiem. Kā arī gadījumā, ja netiek saņemta samaksa par visiem rēķiniem. Attiecīgi arī šādā gadījumā likumdevēja izstrādātā zaudējumu segšanas formula ir saprotama un loģiska.</w:t>
      </w:r>
    </w:p>
    <w:p w:rsidR="00215529" w:rsidRPr="000E393A" w:rsidRDefault="00215529" w:rsidP="00B64B78">
      <w:pPr>
        <w:shd w:val="clear" w:color="auto" w:fill="FFFFFF"/>
        <w:spacing w:after="0"/>
        <w:ind w:firstLine="720"/>
        <w:jc w:val="both"/>
        <w:rPr>
          <w:rFonts w:cs="Times New Roman"/>
          <w:szCs w:val="24"/>
        </w:rPr>
      </w:pPr>
      <w:r w:rsidRPr="000E393A">
        <w:rPr>
          <w:rFonts w:cs="Times New Roman"/>
          <w:szCs w:val="24"/>
        </w:rPr>
        <w:t xml:space="preserve">Likuma </w:t>
      </w:r>
      <w:r w:rsidR="00F47FDE" w:rsidRPr="000E393A">
        <w:rPr>
          <w:szCs w:val="24"/>
        </w:rPr>
        <w:t>„</w:t>
      </w:r>
      <w:r w:rsidRPr="000E393A">
        <w:rPr>
          <w:rFonts w:cs="Times New Roman"/>
          <w:szCs w:val="24"/>
        </w:rPr>
        <w:t>Par iedzīvotāju ienākuma nodokli” 11.panta trešā daļa ir jātulko plašāk, piemērojot visas interpretācijas metodes, tostarp sistēmisko, vērtējot kopsakarā ar citām tiesību normām, kas regulē zaudējumu segšanu. Tādējādi iespējams nonākt pie secinājuma, ka izdevumiem jābūt tādiem, kas ir attiecināmi uz darbībām, kas vērstas uz ienākumu gūšanu, par ko atlīdzību iespējams saņemt attiecīgajā taksācijas periodā. Kā arī šī tiesību norma nosaka, ka nedrīkst būt izdevumi, kas radušies pilnībā nesaistīti ar saimniecisko darbību, piemēram, mežistrādes izdevumos iekļaut izdevumus par baleta apavu iegādi.</w:t>
      </w:r>
    </w:p>
    <w:p w:rsidR="00215529" w:rsidRPr="000E393A" w:rsidRDefault="00215529" w:rsidP="00B64B78">
      <w:pPr>
        <w:shd w:val="clear" w:color="auto" w:fill="FFFFFF"/>
        <w:spacing w:after="0"/>
        <w:ind w:firstLine="720"/>
        <w:jc w:val="both"/>
        <w:rPr>
          <w:rFonts w:cs="Times New Roman"/>
          <w:szCs w:val="24"/>
        </w:rPr>
      </w:pPr>
      <w:r w:rsidRPr="000E393A">
        <w:rPr>
          <w:rFonts w:cs="Times New Roman"/>
          <w:szCs w:val="24"/>
        </w:rPr>
        <w:t>[</w:t>
      </w:r>
      <w:r w:rsidR="00A727ED" w:rsidRPr="000E393A">
        <w:rPr>
          <w:rFonts w:cs="Times New Roman"/>
          <w:szCs w:val="24"/>
        </w:rPr>
        <w:t>3</w:t>
      </w:r>
      <w:r w:rsidRPr="000E393A">
        <w:rPr>
          <w:rFonts w:cs="Times New Roman"/>
          <w:szCs w:val="24"/>
        </w:rPr>
        <w:t>.5] Turklāt rajona tiesa pieteicēja argumentus ir noraidījusi</w:t>
      </w:r>
      <w:r w:rsidR="00A80F6F" w:rsidRPr="000E393A">
        <w:rPr>
          <w:rFonts w:cs="Times New Roman"/>
          <w:szCs w:val="24"/>
        </w:rPr>
        <w:t>,</w:t>
      </w:r>
      <w:r w:rsidRPr="000E393A">
        <w:rPr>
          <w:rFonts w:cs="Times New Roman"/>
          <w:szCs w:val="24"/>
        </w:rPr>
        <w:t xml:space="preserve"> ļoti nekonkrēti un vispārīgi atsaucoties uz grāmatvedību regulējošiem normatīvajiem aktiem. Savukārt apgabaltiesa tikai nedaudz to papildinājusi ar </w:t>
      </w:r>
      <w:r w:rsidR="007A4379" w:rsidRPr="000E393A">
        <w:rPr>
          <w:rFonts w:cs="Times New Roman"/>
          <w:szCs w:val="24"/>
        </w:rPr>
        <w:t xml:space="preserve">atsauci uz likuma </w:t>
      </w:r>
      <w:r w:rsidR="00F47FDE" w:rsidRPr="000E393A">
        <w:rPr>
          <w:szCs w:val="24"/>
        </w:rPr>
        <w:t>„</w:t>
      </w:r>
      <w:r w:rsidR="007A4379" w:rsidRPr="000E393A">
        <w:rPr>
          <w:rFonts w:cs="Times New Roman"/>
          <w:szCs w:val="24"/>
        </w:rPr>
        <w:t>Par iedzīvotāju ienākuma nodokli” 11.panta trešo daļu, neizskaidrojot, kāpēc pieteicēja argumenti nav pareizi.</w:t>
      </w:r>
      <w:r w:rsidRPr="000E393A">
        <w:rPr>
          <w:rFonts w:cs="Times New Roman"/>
          <w:szCs w:val="24"/>
        </w:rPr>
        <w:t xml:space="preserve"> </w:t>
      </w:r>
    </w:p>
    <w:p w:rsidR="00CB23D5" w:rsidRPr="000E393A" w:rsidRDefault="00BA18FB" w:rsidP="00B64B78">
      <w:pPr>
        <w:shd w:val="clear" w:color="auto" w:fill="FFFFFF"/>
        <w:spacing w:after="0"/>
        <w:ind w:firstLine="720"/>
        <w:jc w:val="both"/>
        <w:rPr>
          <w:rFonts w:cs="Times New Roman"/>
          <w:szCs w:val="24"/>
        </w:rPr>
      </w:pPr>
      <w:r w:rsidRPr="000E393A">
        <w:rPr>
          <w:rFonts w:cs="Times New Roman"/>
          <w:szCs w:val="24"/>
        </w:rPr>
        <w:t xml:space="preserve"> </w:t>
      </w:r>
    </w:p>
    <w:p w:rsidR="00AE69DB" w:rsidRPr="000E393A" w:rsidRDefault="00AE69DB" w:rsidP="00B64B78">
      <w:pPr>
        <w:spacing w:after="0"/>
        <w:ind w:firstLine="720"/>
        <w:jc w:val="both"/>
        <w:rPr>
          <w:rFonts w:cs="Times New Roman"/>
          <w:szCs w:val="24"/>
        </w:rPr>
      </w:pPr>
      <w:r w:rsidRPr="000E393A">
        <w:rPr>
          <w:rFonts w:cs="Times New Roman"/>
          <w:szCs w:val="24"/>
        </w:rPr>
        <w:t>[</w:t>
      </w:r>
      <w:r w:rsidR="00A727ED" w:rsidRPr="000E393A">
        <w:rPr>
          <w:rFonts w:cs="Times New Roman"/>
          <w:szCs w:val="24"/>
        </w:rPr>
        <w:t>4</w:t>
      </w:r>
      <w:r w:rsidRPr="000E393A">
        <w:rPr>
          <w:rFonts w:cs="Times New Roman"/>
          <w:szCs w:val="24"/>
        </w:rPr>
        <w:t>] Valsts ieņēmumu dienests iesniedz</w:t>
      </w:r>
      <w:r w:rsidR="00A045BC" w:rsidRPr="000E393A">
        <w:rPr>
          <w:rFonts w:cs="Times New Roman"/>
          <w:szCs w:val="24"/>
        </w:rPr>
        <w:t>a</w:t>
      </w:r>
      <w:r w:rsidRPr="000E393A">
        <w:rPr>
          <w:rFonts w:cs="Times New Roman"/>
          <w:szCs w:val="24"/>
        </w:rPr>
        <w:t xml:space="preserve"> paskaidrojumu par kasācijas sūdzību, norādot, ka tā nav pamatota.</w:t>
      </w:r>
      <w:r w:rsidR="00F47FDE" w:rsidRPr="000E393A">
        <w:rPr>
          <w:rFonts w:cs="Times New Roman"/>
          <w:szCs w:val="24"/>
        </w:rPr>
        <w:t xml:space="preserve"> Dienests norāda, ka likuma </w:t>
      </w:r>
      <w:r w:rsidR="00F47FDE" w:rsidRPr="000E393A">
        <w:rPr>
          <w:szCs w:val="24"/>
        </w:rPr>
        <w:t>„</w:t>
      </w:r>
      <w:r w:rsidR="00F47FDE" w:rsidRPr="000E393A">
        <w:rPr>
          <w:rFonts w:cs="Times New Roman"/>
          <w:szCs w:val="24"/>
        </w:rPr>
        <w:t xml:space="preserve">Par iedzīvotāju ienākuma nodokli” 11.panta trešā daļa izsaka prasību taksācijas gada saimnieciskās darbības izdevumus saistīt ar taksācijas gada ienākumu gūšanu un nosaka konkrētus izdevumu veidus. Pieteicējam kā saimnieciskās darbības veicējam bija pienākums ievērot likuma </w:t>
      </w:r>
      <w:r w:rsidR="00F47FDE" w:rsidRPr="000E393A">
        <w:rPr>
          <w:szCs w:val="24"/>
        </w:rPr>
        <w:t>„</w:t>
      </w:r>
      <w:r w:rsidR="00F47FDE" w:rsidRPr="000E393A">
        <w:rPr>
          <w:rFonts w:cs="Times New Roman"/>
          <w:szCs w:val="24"/>
        </w:rPr>
        <w:t xml:space="preserve">Par grāmatvedību” 2.pantu, kas uzliek pienākumu kārtot grāmatvedības uzskaiti, tās reģistros uzrādot patiesu, salīdzināmu, savlaicīgu, saprotamu un identificējamu informāciju. </w:t>
      </w:r>
      <w:r w:rsidR="00EE332C" w:rsidRPr="000E393A">
        <w:rPr>
          <w:rFonts w:cs="Times New Roman"/>
          <w:szCs w:val="24"/>
        </w:rPr>
        <w:t xml:space="preserve">Ievērojot likuma </w:t>
      </w:r>
      <w:r w:rsidR="00EE332C" w:rsidRPr="000E393A">
        <w:rPr>
          <w:szCs w:val="24"/>
        </w:rPr>
        <w:t>„</w:t>
      </w:r>
      <w:r w:rsidR="00EE332C" w:rsidRPr="000E393A">
        <w:rPr>
          <w:rFonts w:cs="Times New Roman"/>
          <w:szCs w:val="24"/>
        </w:rPr>
        <w:t xml:space="preserve">Par iedzīvotāju ienākuma nodokli” 11.panta trešo daļu, izdevumu saistību ar konkrētu ienākumu gūšanu no saimnieciskās darbības pieteicējam bija iespēja tad, kad viņš saņēma samaksu no SIA </w:t>
      </w:r>
      <w:r w:rsidR="002837F0" w:rsidRPr="000E393A">
        <w:rPr>
          <w:szCs w:val="24"/>
        </w:rPr>
        <w:t>„</w:t>
      </w:r>
      <w:r w:rsidR="00EE332C" w:rsidRPr="000E393A">
        <w:rPr>
          <w:rFonts w:cs="Times New Roman"/>
          <w:szCs w:val="24"/>
        </w:rPr>
        <w:t>LUK” par sniegtajiem pakalpojumiem norādīt pie konkrētajiem ieņēmumiem attiecīgos izdevumus. Tādā veidā ir izsekojama ieņēmumu un izdevumu saistība. Šajā lietā arī jāņem vērā, ka pieteicējs bija SIA</w:t>
      </w:r>
      <w:r w:rsidR="002837F0" w:rsidRPr="000E393A">
        <w:rPr>
          <w:rFonts w:cs="Times New Roman"/>
          <w:szCs w:val="24"/>
        </w:rPr>
        <w:t> </w:t>
      </w:r>
      <w:r w:rsidR="002837F0" w:rsidRPr="000E393A">
        <w:rPr>
          <w:szCs w:val="24"/>
        </w:rPr>
        <w:t>„</w:t>
      </w:r>
      <w:r w:rsidR="00EE332C" w:rsidRPr="000E393A">
        <w:rPr>
          <w:rFonts w:cs="Times New Roman"/>
          <w:szCs w:val="24"/>
        </w:rPr>
        <w:t>LUK” vienīgais dalībnieks un amatpersona, kā arī darba ņēmējs, kas liecina, ka viņš zināja, kurā brīdī rēķins tiks samaksāts.</w:t>
      </w:r>
    </w:p>
    <w:p w:rsidR="00E90D2C" w:rsidRPr="000E393A" w:rsidRDefault="00E90D2C" w:rsidP="00B64B78">
      <w:pPr>
        <w:spacing w:after="0"/>
        <w:ind w:firstLine="720"/>
        <w:jc w:val="both"/>
        <w:rPr>
          <w:rFonts w:cs="Times New Roman"/>
          <w:szCs w:val="24"/>
        </w:rPr>
      </w:pPr>
    </w:p>
    <w:p w:rsidR="00AE69DB" w:rsidRPr="000E393A" w:rsidRDefault="00AE69DB" w:rsidP="00B64B78">
      <w:pPr>
        <w:spacing w:after="0"/>
        <w:jc w:val="center"/>
        <w:rPr>
          <w:rFonts w:eastAsia="Times New Roman" w:cs="Times New Roman"/>
          <w:b/>
          <w:szCs w:val="24"/>
          <w:lang w:eastAsia="lv-LV"/>
        </w:rPr>
      </w:pPr>
      <w:r w:rsidRPr="000E393A">
        <w:rPr>
          <w:rFonts w:eastAsia="Times New Roman" w:cs="Times New Roman"/>
          <w:b/>
          <w:szCs w:val="24"/>
          <w:lang w:eastAsia="lv-LV"/>
        </w:rPr>
        <w:t>Motīvu daļa</w:t>
      </w:r>
    </w:p>
    <w:p w:rsidR="00AE69DB" w:rsidRPr="000E393A" w:rsidRDefault="00AE69DB" w:rsidP="00B64B78">
      <w:pPr>
        <w:spacing w:after="0"/>
        <w:jc w:val="both"/>
        <w:rPr>
          <w:rFonts w:eastAsia="Times New Roman" w:cs="Times New Roman"/>
          <w:szCs w:val="24"/>
          <w:lang w:eastAsia="lv-LV"/>
        </w:rPr>
      </w:pPr>
      <w:r w:rsidRPr="000E393A">
        <w:rPr>
          <w:rFonts w:eastAsia="Times New Roman" w:cs="Times New Roman"/>
          <w:szCs w:val="24"/>
          <w:lang w:eastAsia="lv-LV"/>
        </w:rPr>
        <w:t xml:space="preserve"> </w:t>
      </w:r>
    </w:p>
    <w:p w:rsidR="002B0010" w:rsidRPr="000E393A" w:rsidRDefault="00AE69DB" w:rsidP="00AE69DB">
      <w:pPr>
        <w:spacing w:after="0"/>
        <w:ind w:firstLine="709"/>
        <w:jc w:val="both"/>
      </w:pPr>
      <w:r w:rsidRPr="000E393A">
        <w:rPr>
          <w:rFonts w:cs="Times New Roman"/>
          <w:szCs w:val="24"/>
        </w:rPr>
        <w:t>[</w:t>
      </w:r>
      <w:r w:rsidR="00A045BC" w:rsidRPr="000E393A">
        <w:rPr>
          <w:rFonts w:cs="Times New Roman"/>
          <w:szCs w:val="24"/>
        </w:rPr>
        <w:t>5</w:t>
      </w:r>
      <w:r w:rsidRPr="000E393A">
        <w:rPr>
          <w:rFonts w:cs="Times New Roman"/>
          <w:szCs w:val="24"/>
        </w:rPr>
        <w:t>]</w:t>
      </w:r>
      <w:r w:rsidR="002B0010" w:rsidRPr="000E393A">
        <w:rPr>
          <w:rFonts w:cs="Times New Roman"/>
          <w:szCs w:val="24"/>
        </w:rPr>
        <w:t xml:space="preserve"> </w:t>
      </w:r>
      <w:r w:rsidR="000F11AE" w:rsidRPr="000E393A">
        <w:rPr>
          <w:rFonts w:eastAsia="Times New Roman" w:cs="Times New Roman"/>
          <w:spacing w:val="-2"/>
          <w:szCs w:val="24"/>
        </w:rPr>
        <w:t xml:space="preserve">Likuma </w:t>
      </w:r>
      <w:r w:rsidR="008A0B7C" w:rsidRPr="000E393A">
        <w:rPr>
          <w:rFonts w:eastAsiaTheme="minorEastAsia"/>
        </w:rPr>
        <w:t>„</w:t>
      </w:r>
      <w:r w:rsidR="000F11AE" w:rsidRPr="000E393A">
        <w:rPr>
          <w:rFonts w:eastAsia="Times New Roman" w:cs="Times New Roman"/>
          <w:spacing w:val="-2"/>
          <w:szCs w:val="24"/>
        </w:rPr>
        <w:t xml:space="preserve">Par iedzīvotāju ienākuma nodokli” 11.panta pirmā daļa noteic, ka fiziskās personas ienākums no saimnieciskās darbības tiek aprēķināts kā šajā pantā noteikto ieņēmumu un ar to gūšanu saistīto izdevumu starpība. Šā panta </w:t>
      </w:r>
      <w:r w:rsidR="003837D0" w:rsidRPr="000E393A">
        <w:rPr>
          <w:rFonts w:eastAsia="Times New Roman" w:cs="Times New Roman"/>
          <w:spacing w:val="-2"/>
          <w:szCs w:val="24"/>
        </w:rPr>
        <w:t xml:space="preserve">otrā daļa noteic ieņēmumus no saimnieciskās darbības, bet panta </w:t>
      </w:r>
      <w:r w:rsidR="000F11AE" w:rsidRPr="000E393A">
        <w:rPr>
          <w:rFonts w:eastAsia="Times New Roman" w:cs="Times New Roman"/>
          <w:spacing w:val="-2"/>
          <w:szCs w:val="24"/>
        </w:rPr>
        <w:t>trešā daļa</w:t>
      </w:r>
      <w:r w:rsidR="003837D0" w:rsidRPr="000E393A">
        <w:rPr>
          <w:rFonts w:eastAsia="Times New Roman" w:cs="Times New Roman"/>
          <w:spacing w:val="-2"/>
          <w:szCs w:val="24"/>
        </w:rPr>
        <w:t xml:space="preserve"> noteic</w:t>
      </w:r>
      <w:r w:rsidR="000F11AE" w:rsidRPr="000E393A">
        <w:rPr>
          <w:rFonts w:eastAsia="Times New Roman" w:cs="Times New Roman"/>
          <w:spacing w:val="-2"/>
          <w:szCs w:val="24"/>
        </w:rPr>
        <w:t xml:space="preserve"> izdevumu veidus, kuri tiek ieskaitīti, nosakot personas ienākumu, ja tie saistīti ar taksācijas gada ienākuma gūšanu no saimnieciskās darbības.</w:t>
      </w:r>
      <w:r w:rsidR="002B0010" w:rsidRPr="000E393A">
        <w:rPr>
          <w:rFonts w:eastAsia="Times New Roman" w:cs="Times New Roman"/>
          <w:spacing w:val="-2"/>
          <w:szCs w:val="24"/>
        </w:rPr>
        <w:t xml:space="preserve"> </w:t>
      </w:r>
      <w:r w:rsidR="006D6F46" w:rsidRPr="000E393A">
        <w:rPr>
          <w:rFonts w:eastAsia="Times New Roman" w:cs="Times New Roman"/>
          <w:spacing w:val="-2"/>
          <w:szCs w:val="24"/>
        </w:rPr>
        <w:t xml:space="preserve">Atbilstoši </w:t>
      </w:r>
      <w:r w:rsidR="006D6F46" w:rsidRPr="000E393A">
        <w:rPr>
          <w:rFonts w:eastAsia="Times New Roman" w:cs="Times New Roman"/>
          <w:spacing w:val="-2"/>
          <w:szCs w:val="24"/>
        </w:rPr>
        <w:lastRenderedPageBreak/>
        <w:t>šā likuma 3.panta pirmās daļas pirmajam teikumam a</w:t>
      </w:r>
      <w:r w:rsidR="006D6F46" w:rsidRPr="000E393A">
        <w:t>r nodokli tiek aplikts iekšzemes nodokļa maksātāja taksācijas perioda (kalendārā gada) apliekamo ienākumu apjoms.</w:t>
      </w:r>
    </w:p>
    <w:p w:rsidR="003837D0" w:rsidRPr="000E393A" w:rsidRDefault="003837D0" w:rsidP="00AE69DB">
      <w:pPr>
        <w:spacing w:after="0"/>
        <w:ind w:firstLine="709"/>
        <w:jc w:val="both"/>
        <w:rPr>
          <w:rFonts w:eastAsia="Times New Roman" w:cs="Times New Roman"/>
          <w:spacing w:val="-2"/>
          <w:szCs w:val="24"/>
        </w:rPr>
      </w:pPr>
      <w:r w:rsidRPr="000E393A">
        <w:t xml:space="preserve">Tādējādi secināms, ka apliekamo ienākumu nosaka, no attiecīgajā taksācijas periodā saņemtajiem ieņēmumiem atskaitot likumā noteiktos dažāda rakstura personai radušos izdevumus. Jāņem arī vērā, ka izdevumi pēc sava rakstura var kalpot gan konkrēta darījuma vai darbības </w:t>
      </w:r>
      <w:r w:rsidR="00591A49" w:rsidRPr="000E393A">
        <w:t xml:space="preserve">īstenošanai, gan būt vispārīgi, piemēram, par degvielu, kancelejas precēm, sakariem, pamatlīdzekļu remontu u.tml. Tādēļ ne no tiesību normu teksta, ne sistēmas un loģikas nevar secināt pamatotu prasību konkrētos izdevumus saistīt ar konkrētu ieņēmuma gūšanas darījumu, notikumu vai darbību.   </w:t>
      </w:r>
      <w:r w:rsidRPr="000E393A">
        <w:t xml:space="preserve">  </w:t>
      </w:r>
    </w:p>
    <w:p w:rsidR="0015002B" w:rsidRPr="000E393A" w:rsidRDefault="0015002B" w:rsidP="00AE69DB">
      <w:pPr>
        <w:spacing w:after="0"/>
        <w:ind w:firstLine="709"/>
        <w:jc w:val="both"/>
        <w:rPr>
          <w:rFonts w:eastAsia="Times New Roman" w:cs="Times New Roman"/>
          <w:spacing w:val="-2"/>
          <w:szCs w:val="24"/>
        </w:rPr>
      </w:pPr>
    </w:p>
    <w:p w:rsidR="00A045BC" w:rsidRPr="000E393A" w:rsidRDefault="0015002B" w:rsidP="00AE69DB">
      <w:pPr>
        <w:spacing w:after="0"/>
        <w:ind w:firstLine="709"/>
        <w:jc w:val="both"/>
      </w:pPr>
      <w:r w:rsidRPr="000E393A">
        <w:rPr>
          <w:rFonts w:eastAsia="Times New Roman" w:cs="Times New Roman"/>
          <w:spacing w:val="-2"/>
          <w:szCs w:val="24"/>
        </w:rPr>
        <w:t xml:space="preserve">[6] </w:t>
      </w:r>
      <w:r w:rsidR="00591A49" w:rsidRPr="000E393A">
        <w:rPr>
          <w:rFonts w:eastAsia="Times New Roman" w:cs="Times New Roman"/>
          <w:spacing w:val="-2"/>
          <w:szCs w:val="24"/>
        </w:rPr>
        <w:t>Turklāt l</w:t>
      </w:r>
      <w:r w:rsidR="00A045BC" w:rsidRPr="000E393A">
        <w:rPr>
          <w:rFonts w:eastAsia="Times New Roman" w:cs="Times New Roman"/>
          <w:spacing w:val="-2"/>
          <w:szCs w:val="24"/>
        </w:rPr>
        <w:t xml:space="preserve">ikuma </w:t>
      </w:r>
      <w:r w:rsidR="008A0B7C" w:rsidRPr="000E393A">
        <w:rPr>
          <w:rFonts w:eastAsiaTheme="minorEastAsia"/>
        </w:rPr>
        <w:t>„</w:t>
      </w:r>
      <w:r w:rsidR="00D73178" w:rsidRPr="000E393A">
        <w:rPr>
          <w:rFonts w:eastAsia="Times New Roman" w:cs="Times New Roman"/>
          <w:spacing w:val="-2"/>
          <w:szCs w:val="24"/>
        </w:rPr>
        <w:t>P</w:t>
      </w:r>
      <w:r w:rsidR="00A045BC" w:rsidRPr="000E393A">
        <w:rPr>
          <w:rFonts w:eastAsia="Times New Roman" w:cs="Times New Roman"/>
          <w:spacing w:val="-2"/>
          <w:szCs w:val="24"/>
        </w:rPr>
        <w:t>ar grāmatvedību</w:t>
      </w:r>
      <w:r w:rsidR="00D73178" w:rsidRPr="000E393A">
        <w:rPr>
          <w:rFonts w:eastAsia="Times New Roman" w:cs="Times New Roman"/>
          <w:spacing w:val="-2"/>
          <w:szCs w:val="24"/>
        </w:rPr>
        <w:t>”</w:t>
      </w:r>
      <w:r w:rsidR="00A045BC" w:rsidRPr="000E393A">
        <w:rPr>
          <w:rFonts w:eastAsia="Times New Roman" w:cs="Times New Roman"/>
          <w:spacing w:val="-2"/>
          <w:szCs w:val="24"/>
        </w:rPr>
        <w:t xml:space="preserve"> 9.panta otrās daļas 1.punkta otrais teikums noteic, ka fi</w:t>
      </w:r>
      <w:r w:rsidR="00A045BC" w:rsidRPr="000E393A">
        <w:t>ziskās personas, kas veic saimniecisko darbību</w:t>
      </w:r>
      <w:r w:rsidR="00D73178" w:rsidRPr="000E393A">
        <w:t>,</w:t>
      </w:r>
      <w:r w:rsidR="00A045BC" w:rsidRPr="000E393A">
        <w:t xml:space="preserve"> grāmatvedību var kārtot vienkāršā ieraksta sistēmā Ministru kabineta noteiktajā kārtībā. Ministru kabineta 2007.gada 20.marta noteikumu Nr. 188 </w:t>
      </w:r>
      <w:r w:rsidR="008A0B7C" w:rsidRPr="000E393A">
        <w:rPr>
          <w:rFonts w:eastAsiaTheme="minorEastAsia"/>
        </w:rPr>
        <w:t>„</w:t>
      </w:r>
      <w:r w:rsidR="00A045BC" w:rsidRPr="000E393A">
        <w:t xml:space="preserve">Kārtība, kādā individuālie komersanti, individuālie uzņēmumi, zemnieku un zvejnieku saimniecības, citas fiziskās personas, kas veic saimniecisko darbību, kārto grāmatvedību vienkāršā ieraksta sistēmā” 3.punkts noteic, ka, kārtojot grāmatvedību vienkāršā ieraksta sistēmā, grāmatvedības reģistros atspoguļo saimnieciskās darbības naudas plūsmu, tās veidošanās avotus un izlietojumu un saimnieciskajā darbībā izmantotās un saimnieciskajā darbībā iegūtās mantas stāvokļa izmaiņas, lai fiksētu nodokļu aprēķināšanai nepieciešamos datus, kā arī veiktu mantas un norēķinu kontroli. </w:t>
      </w:r>
      <w:r w:rsidR="002D4661" w:rsidRPr="000E393A">
        <w:t>Atbilstoši šo noteikumu 8.4.apakšpunktam un 12.punktam attiecīgi ierakstus saimnieciskās darbības ieņēmumu un izdevumu uzskaites žurnālā izdara, pamatojoties uz attaisnojuma dokumentiem, un ieņēmumus un izdevumus reģistrē (ieraksta) hronoloģiskā secībā. Noteikumu 20.punkts regulē žurnāla aiļu aizpildīšanas kārtību</w:t>
      </w:r>
      <w:r w:rsidR="008218F3" w:rsidRPr="000E393A">
        <w:t xml:space="preserve">, </w:t>
      </w:r>
      <w:r w:rsidRPr="000E393A">
        <w:t>tā ietvaros</w:t>
      </w:r>
      <w:r w:rsidR="008218F3" w:rsidRPr="000E393A">
        <w:t xml:space="preserve"> 20.19.</w:t>
      </w:r>
      <w:r w:rsidR="00D73178" w:rsidRPr="000E393A">
        <w:t>-</w:t>
      </w:r>
      <w:r w:rsidR="008218F3" w:rsidRPr="000E393A">
        <w:t>20.23.apakšpunkts – tieši attiecībā uz izdevumiem un izmaksām</w:t>
      </w:r>
      <w:r w:rsidR="002D4661" w:rsidRPr="000E393A">
        <w:t>.</w:t>
      </w:r>
      <w:r w:rsidR="008218F3" w:rsidRPr="000E393A">
        <w:t xml:space="preserve"> No tā secināms, ka saistībā ar saimnieciskās darbības veidiem tiek nodalīti jeb ierakstīti atsevišķās ailēs izdevumi, kas saistīti ar lauksaimniecisko ražošanu (arī lauku tūrismu) (20.19.apakšpunkts) un </w:t>
      </w:r>
      <w:r w:rsidR="001A53CA" w:rsidRPr="000E393A">
        <w:t xml:space="preserve">izdevumi, kas saistīti ar citiem saimnieciskās darbības veidiem (20.20.apakšpunkts). Vēl atsevišķi tiek nodalīti izdevumi, kas sadalāmi proporcionāli starp lauksaimniecisko ražošanu (arī lauku tūrismu) un citiem saimnieciskās darbības veidiem, piemērojot proporciju (20.21.apakšpunkts), kā arī </w:t>
      </w:r>
      <w:r w:rsidR="008218F3" w:rsidRPr="000E393A">
        <w:t>ar saimniecisko darbību nesaistītas izmaksas (20.22.apakšpunkts)</w:t>
      </w:r>
      <w:r w:rsidR="001A53CA" w:rsidRPr="000E393A">
        <w:t xml:space="preserve"> un </w:t>
      </w:r>
      <w:r w:rsidR="008218F3" w:rsidRPr="000E393A">
        <w:t>izdevumi, kas nav attiecināmi uz ienākuma nodokļa aprēķināšanu (20.23.apak</w:t>
      </w:r>
      <w:r w:rsidR="001A53CA" w:rsidRPr="000E393A">
        <w:t>špunkts)</w:t>
      </w:r>
      <w:r w:rsidR="008218F3" w:rsidRPr="000E393A">
        <w:t>.</w:t>
      </w:r>
      <w:r w:rsidR="002D4661" w:rsidRPr="000E393A">
        <w:t xml:space="preserve"> </w:t>
      </w:r>
    </w:p>
    <w:p w:rsidR="000D46EC" w:rsidRPr="000E393A" w:rsidRDefault="00D73178" w:rsidP="00AE69DB">
      <w:pPr>
        <w:spacing w:after="0"/>
        <w:ind w:firstLine="709"/>
        <w:jc w:val="both"/>
      </w:pPr>
      <w:r w:rsidRPr="000E393A">
        <w:t>Ievērojot minēto un kā Augstākā tiesa</w:t>
      </w:r>
      <w:r w:rsidR="0015002B" w:rsidRPr="000E393A">
        <w:t xml:space="preserve"> jau norādījusi</w:t>
      </w:r>
      <w:r w:rsidRPr="000E393A">
        <w:t>, vienkāršā ieraksta sistēma nozīmē, ka ieņēmumus uzskaita tad, kad saņemta samaksa par darījumiem, bet izdevumus tad, kad tie ir samaksāti. Šī sistēma, kā to norāda arī pieteicējs, pamatojas uz kases principu, saskaņā ar kuru darījumus reģistrē atbilstoši naudas plūsmai (</w:t>
      </w:r>
      <w:r w:rsidRPr="000E393A">
        <w:rPr>
          <w:i/>
        </w:rPr>
        <w:t>Augstākās tiesas 2010.gada 3.decembra sprieduma lietā Nr.</w:t>
      </w:r>
      <w:r w:rsidR="00A80F6F" w:rsidRPr="000E393A">
        <w:rPr>
          <w:i/>
        </w:rPr>
        <w:t> SKA-</w:t>
      </w:r>
      <w:r w:rsidRPr="000E393A">
        <w:rPr>
          <w:i/>
        </w:rPr>
        <w:t>526/2010 23.punkts</w:t>
      </w:r>
      <w:r w:rsidRPr="000E393A">
        <w:t xml:space="preserve">). Turklāt no minētās sistēmas secināms, ka </w:t>
      </w:r>
      <w:r w:rsidR="000D46EC" w:rsidRPr="000E393A">
        <w:t xml:space="preserve">jautājumā par </w:t>
      </w:r>
      <w:r w:rsidRPr="000E393A">
        <w:t>izdevumu attiecināmību uz konkrētu saimnieciskās darbības veidu</w:t>
      </w:r>
      <w:r w:rsidR="000D46EC" w:rsidRPr="000E393A">
        <w:t xml:space="preserve"> ir jāievēro vienīgi ar lauksaimniecisko darbību saistītu izdevumu nošķiršana. </w:t>
      </w:r>
      <w:r w:rsidR="0015002B" w:rsidRPr="000E393A">
        <w:t xml:space="preserve">Arī šīs </w:t>
      </w:r>
      <w:r w:rsidR="00097253" w:rsidRPr="000E393A">
        <w:t>t</w:t>
      </w:r>
      <w:r w:rsidR="000D46EC" w:rsidRPr="000E393A">
        <w:t xml:space="preserve">iesību normas neparedz, ka apliekamā ienākuma noteikšanai izdevumi būtu saistāmi vienīgi ar konkrētiem darījumiem vai darbībām. </w:t>
      </w:r>
    </w:p>
    <w:p w:rsidR="0015002B" w:rsidRPr="000E393A" w:rsidRDefault="0015002B" w:rsidP="00AE69DB">
      <w:pPr>
        <w:spacing w:after="0"/>
        <w:ind w:firstLine="709"/>
        <w:jc w:val="both"/>
      </w:pPr>
    </w:p>
    <w:p w:rsidR="00D73178" w:rsidRPr="000E393A" w:rsidRDefault="0015002B" w:rsidP="00AE69DB">
      <w:pPr>
        <w:spacing w:after="0"/>
        <w:ind w:firstLine="709"/>
        <w:jc w:val="both"/>
      </w:pPr>
      <w:r w:rsidRPr="000E393A">
        <w:t xml:space="preserve">[7] </w:t>
      </w:r>
      <w:r w:rsidR="000D46EC" w:rsidRPr="000E393A">
        <w:t xml:space="preserve">Tādējādi tiesa nepareizi interpretējusi likuma </w:t>
      </w:r>
      <w:r w:rsidR="008A0B7C" w:rsidRPr="000E393A">
        <w:rPr>
          <w:rFonts w:eastAsiaTheme="minorEastAsia"/>
        </w:rPr>
        <w:t>„</w:t>
      </w:r>
      <w:r w:rsidR="00097253" w:rsidRPr="000E393A">
        <w:t>P</w:t>
      </w:r>
      <w:r w:rsidR="000D46EC" w:rsidRPr="000E393A">
        <w:t xml:space="preserve">ar iedzīvotāju ienākuma nodokli” 11.panta trešo daļu </w:t>
      </w:r>
      <w:r w:rsidR="00C51B30" w:rsidRPr="000E393A">
        <w:t>un nepamatoti atzinusi, ka, tā kā pieteicēj</w:t>
      </w:r>
      <w:r w:rsidR="00097253" w:rsidRPr="000E393A">
        <w:t>s</w:t>
      </w:r>
      <w:r w:rsidR="00C51B30" w:rsidRPr="000E393A">
        <w:t xml:space="preserve"> 2011.gadā nesaņēma samaksu par SIA </w:t>
      </w:r>
      <w:r w:rsidR="008A0B7C" w:rsidRPr="000E393A">
        <w:rPr>
          <w:rFonts w:eastAsiaTheme="minorEastAsia"/>
        </w:rPr>
        <w:t>„</w:t>
      </w:r>
      <w:r w:rsidR="00C51B30" w:rsidRPr="000E393A">
        <w:t>LUK” veiktajiem pakalpojumiem, tad viņa</w:t>
      </w:r>
      <w:r w:rsidR="00097253" w:rsidRPr="000E393A">
        <w:t>m</w:t>
      </w:r>
      <w:r w:rsidR="00C51B30" w:rsidRPr="000E393A">
        <w:t xml:space="preserve"> nav pamata 2011.gada izdevumos ieskaitīt </w:t>
      </w:r>
      <w:r w:rsidR="00097253" w:rsidRPr="000E393A">
        <w:t xml:space="preserve">ar to saistītos izdevumus. Ne dienests, ne tiesas arī nav norādījušas, kā tieši, vienlaikus </w:t>
      </w:r>
      <w:r w:rsidR="00097253" w:rsidRPr="000E393A">
        <w:lastRenderedPageBreak/>
        <w:t>ievērojot arī regulēto uzskaites sistēmu, pieteicējam būtu jārīkojas, lai uz saimniecisko darbību attiecināmi izdevumi tiktu atskaitīti no ieņēmumiem. Apstāklim, vai pieteicēj</w:t>
      </w:r>
      <w:r w:rsidR="00B023BE" w:rsidRPr="000E393A">
        <w:t>s</w:t>
      </w:r>
      <w:r w:rsidR="00097253" w:rsidRPr="000E393A">
        <w:t xml:space="preserve"> konkrētos apstākļos varēja zināt par SIA </w:t>
      </w:r>
      <w:r w:rsidR="008A0B7C" w:rsidRPr="000E393A">
        <w:rPr>
          <w:rFonts w:eastAsiaTheme="minorEastAsia"/>
        </w:rPr>
        <w:t>„</w:t>
      </w:r>
      <w:r w:rsidR="00097253" w:rsidRPr="000E393A">
        <w:t xml:space="preserve">LUK” rīcību attiecībā uz samaksu, uz ko atsaucas dienests, nav ietekmes uz tiesību normu interpretāciju un attiecīgās uzskaites sistēmas darbību. </w:t>
      </w:r>
      <w:r w:rsidR="0064322B" w:rsidRPr="000E393A">
        <w:t>Tiesas spriedums nesatur jebkādus argumentus par to, ka p</w:t>
      </w:r>
      <w:r w:rsidR="0064322B" w:rsidRPr="000E393A">
        <w:rPr>
          <w:rFonts w:cs="Times New Roman"/>
          <w:szCs w:val="24"/>
        </w:rPr>
        <w:t xml:space="preserve">ieteicējs kā saimnieciskās darbības veicējs nav ievērojis pienākumu kārtot grāmatvedības uzskaiti, tās reģistros uzrādot patiesu, salīdzināmu, savlaicīgu, saprotamu un identificējamu informāciju, uz ko paskaidrojumā norāda iestāde. </w:t>
      </w:r>
      <w:r w:rsidR="00097253" w:rsidRPr="000E393A">
        <w:t xml:space="preserve">   </w:t>
      </w:r>
      <w:r w:rsidR="000D46EC" w:rsidRPr="000E393A">
        <w:t xml:space="preserve">    </w:t>
      </w:r>
      <w:r w:rsidR="00D73178" w:rsidRPr="000E393A">
        <w:t xml:space="preserve">   </w:t>
      </w:r>
    </w:p>
    <w:p w:rsidR="00AE69DB" w:rsidRPr="000E393A" w:rsidRDefault="00AE69DB" w:rsidP="00AE69DB">
      <w:pPr>
        <w:pStyle w:val="AT"/>
        <w:tabs>
          <w:tab w:val="left" w:pos="8260"/>
        </w:tabs>
        <w:rPr>
          <w:rFonts w:eastAsia="Times New Roman"/>
          <w:lang w:eastAsia="lv-LV"/>
        </w:rPr>
      </w:pPr>
      <w:r w:rsidRPr="000E393A">
        <w:rPr>
          <w:rFonts w:eastAsia="Times New Roman"/>
          <w:lang w:eastAsia="lv-LV"/>
        </w:rPr>
        <w:tab/>
      </w:r>
    </w:p>
    <w:p w:rsidR="00AE69DB" w:rsidRPr="000E393A" w:rsidRDefault="00AE69DB" w:rsidP="00AE69DB">
      <w:pPr>
        <w:tabs>
          <w:tab w:val="left" w:pos="709"/>
        </w:tabs>
        <w:spacing w:after="0"/>
        <w:jc w:val="center"/>
        <w:rPr>
          <w:rFonts w:cs="Times New Roman"/>
          <w:b/>
          <w:szCs w:val="24"/>
        </w:rPr>
      </w:pPr>
      <w:r w:rsidRPr="000E393A">
        <w:rPr>
          <w:rFonts w:cs="Times New Roman"/>
          <w:b/>
          <w:szCs w:val="24"/>
        </w:rPr>
        <w:t>Rezolutīvā daļa</w:t>
      </w:r>
    </w:p>
    <w:p w:rsidR="00AE69DB" w:rsidRPr="000E393A" w:rsidRDefault="00AE69DB" w:rsidP="00AE69DB">
      <w:pPr>
        <w:spacing w:after="0"/>
        <w:jc w:val="center"/>
        <w:rPr>
          <w:rFonts w:cs="Times New Roman"/>
          <w:b/>
          <w:szCs w:val="24"/>
        </w:rPr>
      </w:pPr>
    </w:p>
    <w:p w:rsidR="00AE69DB" w:rsidRPr="000E393A" w:rsidRDefault="00AE69DB" w:rsidP="00AE69DB">
      <w:pPr>
        <w:spacing w:after="0"/>
        <w:ind w:firstLine="709"/>
        <w:jc w:val="both"/>
        <w:rPr>
          <w:rFonts w:cs="Times New Roman"/>
          <w:bCs/>
          <w:szCs w:val="24"/>
        </w:rPr>
      </w:pPr>
      <w:r w:rsidRPr="000E393A">
        <w:rPr>
          <w:rFonts w:cs="Times New Roman"/>
          <w:szCs w:val="24"/>
        </w:rPr>
        <w:t xml:space="preserve">Pamatojoties uz Administratīvā procesa likuma </w:t>
      </w:r>
      <w:r w:rsidR="00434830" w:rsidRPr="000E393A">
        <w:rPr>
          <w:rFonts w:eastAsiaTheme="minorEastAsia"/>
        </w:rPr>
        <w:t>129.</w:t>
      </w:r>
      <w:r w:rsidR="00434830" w:rsidRPr="000E393A">
        <w:rPr>
          <w:rFonts w:eastAsiaTheme="minorEastAsia"/>
          <w:vertAlign w:val="superscript"/>
        </w:rPr>
        <w:t>1</w:t>
      </w:r>
      <w:r w:rsidR="00434830" w:rsidRPr="000E393A">
        <w:rPr>
          <w:rFonts w:eastAsiaTheme="minorEastAsia"/>
        </w:rPr>
        <w:t>panta pirmās daļas 1.punktu, 348.panta pirmās daļas 2.punktu un 351.pantu</w:t>
      </w:r>
      <w:r w:rsidRPr="000E393A">
        <w:rPr>
          <w:rFonts w:cs="Times New Roman"/>
          <w:szCs w:val="24"/>
        </w:rPr>
        <w:t xml:space="preserve">, </w:t>
      </w:r>
      <w:r w:rsidR="00434830" w:rsidRPr="000E393A">
        <w:rPr>
          <w:rFonts w:cs="Times New Roman"/>
          <w:szCs w:val="24"/>
        </w:rPr>
        <w:t xml:space="preserve">Augstākā tiesa </w:t>
      </w:r>
    </w:p>
    <w:p w:rsidR="00AE69DB" w:rsidRPr="000E393A" w:rsidRDefault="00AE69DB" w:rsidP="00AE69DB">
      <w:pPr>
        <w:tabs>
          <w:tab w:val="left" w:pos="2700"/>
          <w:tab w:val="left" w:pos="6660"/>
        </w:tabs>
        <w:spacing w:after="0"/>
        <w:jc w:val="center"/>
        <w:rPr>
          <w:rFonts w:cs="Times New Roman"/>
          <w:b/>
          <w:bCs/>
          <w:szCs w:val="24"/>
        </w:rPr>
      </w:pPr>
    </w:p>
    <w:p w:rsidR="00AE69DB" w:rsidRPr="000E393A" w:rsidRDefault="00AE69DB" w:rsidP="00AE69DB">
      <w:pPr>
        <w:tabs>
          <w:tab w:val="left" w:pos="2700"/>
          <w:tab w:val="left" w:pos="6660"/>
        </w:tabs>
        <w:spacing w:after="0"/>
        <w:jc w:val="center"/>
        <w:rPr>
          <w:rFonts w:cs="Times New Roman"/>
          <w:b/>
          <w:bCs/>
          <w:szCs w:val="24"/>
        </w:rPr>
      </w:pPr>
      <w:r w:rsidRPr="000E393A">
        <w:rPr>
          <w:rFonts w:cs="Times New Roman"/>
          <w:b/>
          <w:bCs/>
          <w:szCs w:val="24"/>
        </w:rPr>
        <w:t>no</w:t>
      </w:r>
      <w:r w:rsidR="00434830" w:rsidRPr="000E393A">
        <w:rPr>
          <w:rFonts w:cs="Times New Roman"/>
          <w:b/>
          <w:bCs/>
          <w:szCs w:val="24"/>
        </w:rPr>
        <w:t>sprieda</w:t>
      </w:r>
      <w:r w:rsidRPr="000E393A">
        <w:rPr>
          <w:rFonts w:cs="Times New Roman"/>
          <w:b/>
          <w:bCs/>
          <w:szCs w:val="24"/>
        </w:rPr>
        <w:t>:</w:t>
      </w:r>
    </w:p>
    <w:p w:rsidR="00AE69DB" w:rsidRPr="000E393A" w:rsidRDefault="00AE69DB" w:rsidP="00AE69DB">
      <w:pPr>
        <w:spacing w:after="0"/>
        <w:jc w:val="both"/>
        <w:rPr>
          <w:rFonts w:cs="Times New Roman"/>
          <w:szCs w:val="24"/>
        </w:rPr>
      </w:pPr>
    </w:p>
    <w:p w:rsidR="00AE69DB" w:rsidRPr="000E393A" w:rsidRDefault="00AE69DB" w:rsidP="00AE69DB">
      <w:pPr>
        <w:spacing w:after="0"/>
        <w:ind w:firstLine="709"/>
        <w:jc w:val="both"/>
        <w:rPr>
          <w:rFonts w:cs="Times New Roman"/>
          <w:szCs w:val="24"/>
        </w:rPr>
      </w:pPr>
      <w:r w:rsidRPr="000E393A">
        <w:rPr>
          <w:rFonts w:cs="Times New Roman"/>
          <w:szCs w:val="24"/>
        </w:rPr>
        <w:t>at</w:t>
      </w:r>
      <w:r w:rsidR="00434830" w:rsidRPr="000E393A">
        <w:rPr>
          <w:rFonts w:cs="Times New Roman"/>
          <w:szCs w:val="24"/>
        </w:rPr>
        <w:t xml:space="preserve">celt Administratīvās apgabaltiesas </w:t>
      </w:r>
      <w:r w:rsidRPr="000E393A">
        <w:rPr>
          <w:rFonts w:eastAsia="Times New Roman" w:cs="Times New Roman"/>
          <w:szCs w:val="24"/>
          <w:lang w:eastAsia="lv-LV"/>
        </w:rPr>
        <w:t>2015.gada 10.jūnija spriedumu</w:t>
      </w:r>
      <w:r w:rsidR="00434830" w:rsidRPr="000E393A">
        <w:rPr>
          <w:rFonts w:eastAsia="Times New Roman" w:cs="Times New Roman"/>
          <w:szCs w:val="24"/>
          <w:lang w:eastAsia="lv-LV"/>
        </w:rPr>
        <w:t xml:space="preserve"> daļā par</w:t>
      </w:r>
      <w:r w:rsidR="00434830" w:rsidRPr="000E393A">
        <w:t xml:space="preserve"> pieteicēja 2011.gada saimnieciskās darbības izdevumiem 12 925,21 Ls</w:t>
      </w:r>
      <w:r w:rsidR="00434830" w:rsidRPr="000E393A">
        <w:rPr>
          <w:rFonts w:eastAsia="Times New Roman" w:cs="Times New Roman"/>
          <w:szCs w:val="24"/>
          <w:lang w:eastAsia="lv-LV"/>
        </w:rPr>
        <w:t xml:space="preserve"> apmērā un nosūtīt lietu šajā daļā jaunai izskatīšanai Administratīvajai apgabaltiesai;</w:t>
      </w:r>
    </w:p>
    <w:p w:rsidR="00AE69DB" w:rsidRPr="000E393A" w:rsidRDefault="00AE69DB" w:rsidP="00434830">
      <w:pPr>
        <w:tabs>
          <w:tab w:val="left" w:pos="540"/>
          <w:tab w:val="left" w:pos="6660"/>
        </w:tabs>
        <w:spacing w:after="0"/>
        <w:ind w:firstLine="720"/>
        <w:jc w:val="both"/>
      </w:pPr>
      <w:r w:rsidRPr="000E393A">
        <w:rPr>
          <w:rFonts w:cs="Times New Roman"/>
          <w:szCs w:val="24"/>
        </w:rPr>
        <w:t xml:space="preserve">atmaksāt </w:t>
      </w:r>
      <w:r w:rsidR="00A76F39">
        <w:rPr>
          <w:rFonts w:cs="Times New Roman"/>
          <w:szCs w:val="24"/>
        </w:rPr>
        <w:t>[pers. A]</w:t>
      </w:r>
      <w:r w:rsidRPr="000E393A">
        <w:t xml:space="preserve"> </w:t>
      </w:r>
      <w:r w:rsidR="00434830" w:rsidRPr="000E393A">
        <w:t>drošības naudu</w:t>
      </w:r>
      <w:r w:rsidRPr="000E393A">
        <w:t xml:space="preserve"> – </w:t>
      </w:r>
      <w:r w:rsidR="00434830" w:rsidRPr="000E393A">
        <w:t>71,14</w:t>
      </w:r>
      <w:r w:rsidRPr="000E393A">
        <w:t> </w:t>
      </w:r>
      <w:r w:rsidRPr="000E393A">
        <w:rPr>
          <w:i/>
        </w:rPr>
        <w:t>euro</w:t>
      </w:r>
      <w:r w:rsidRPr="000E393A">
        <w:t>.</w:t>
      </w:r>
    </w:p>
    <w:p w:rsidR="00AE69DB" w:rsidRPr="000E393A" w:rsidRDefault="00A80F6F" w:rsidP="000E393A">
      <w:pPr>
        <w:spacing w:after="0"/>
        <w:ind w:firstLine="709"/>
        <w:jc w:val="both"/>
        <w:rPr>
          <w:rFonts w:cs="Times New Roman"/>
          <w:szCs w:val="24"/>
        </w:rPr>
      </w:pPr>
      <w:r w:rsidRPr="000E393A">
        <w:rPr>
          <w:rFonts w:cs="Times New Roman"/>
          <w:szCs w:val="24"/>
        </w:rPr>
        <w:t>Spriedums</w:t>
      </w:r>
      <w:r w:rsidR="00AE69DB" w:rsidRPr="000E393A">
        <w:rPr>
          <w:rFonts w:cs="Times New Roman"/>
          <w:szCs w:val="24"/>
        </w:rPr>
        <w:t xml:space="preserve"> </w:t>
      </w:r>
      <w:r w:rsidR="00AE69DB" w:rsidRPr="000E393A">
        <w:rPr>
          <w:rFonts w:cs="Times New Roman"/>
          <w:bCs/>
          <w:szCs w:val="24"/>
        </w:rPr>
        <w:t>nav pārsūdzams.</w:t>
      </w:r>
    </w:p>
    <w:p w:rsidR="000E393A" w:rsidRPr="000E393A" w:rsidRDefault="00AE69DB" w:rsidP="000E393A">
      <w:pPr>
        <w:ind w:firstLine="567"/>
        <w:jc w:val="center"/>
        <w:rPr>
          <w:b/>
          <w:bCs/>
          <w:lang w:eastAsia="lv-LV"/>
        </w:rPr>
      </w:pPr>
      <w:r w:rsidRPr="000E393A">
        <w:rPr>
          <w:rFonts w:cs="Times New Roman"/>
          <w:szCs w:val="24"/>
        </w:rPr>
        <w:tab/>
      </w:r>
    </w:p>
    <w:sectPr w:rsidR="000E393A" w:rsidRPr="000E393A" w:rsidSect="002D3521">
      <w:headerReference w:type="even" r:id="rId6"/>
      <w:headerReference w:type="default" r:id="rId7"/>
      <w:footerReference w:type="even" r:id="rId8"/>
      <w:footerReference w:type="default" r:id="rId9"/>
      <w:headerReference w:type="first" r:id="rId10"/>
      <w:footerReference w:type="first" r:id="rId11"/>
      <w:pgSz w:w="11909" w:h="16834" w:code="9"/>
      <w:pgMar w:top="1134" w:right="1134" w:bottom="851" w:left="1701" w:header="720" w:footer="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95C" w:rsidRDefault="005E795C">
      <w:pPr>
        <w:spacing w:after="0" w:line="240" w:lineRule="auto"/>
      </w:pPr>
      <w:r>
        <w:separator/>
      </w:r>
    </w:p>
  </w:endnote>
  <w:endnote w:type="continuationSeparator" w:id="0">
    <w:p w:rsidR="005E795C" w:rsidRDefault="005E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5CA" w:rsidRDefault="00C65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41F" w:rsidRPr="00C655CA" w:rsidRDefault="005E795C" w:rsidP="00C655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5CA" w:rsidRDefault="00C65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95C" w:rsidRDefault="005E795C">
      <w:pPr>
        <w:spacing w:after="0" w:line="240" w:lineRule="auto"/>
      </w:pPr>
      <w:r>
        <w:separator/>
      </w:r>
    </w:p>
  </w:footnote>
  <w:footnote w:type="continuationSeparator" w:id="0">
    <w:p w:rsidR="005E795C" w:rsidRDefault="005E7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5CA" w:rsidRDefault="00C65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5CA" w:rsidRDefault="00C65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5CA" w:rsidRDefault="00C655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DB"/>
    <w:rsid w:val="0009549C"/>
    <w:rsid w:val="00097253"/>
    <w:rsid w:val="000D46EC"/>
    <w:rsid w:val="000E393A"/>
    <w:rsid w:val="000F11AE"/>
    <w:rsid w:val="0015002B"/>
    <w:rsid w:val="001A53CA"/>
    <w:rsid w:val="001B1A2B"/>
    <w:rsid w:val="00215529"/>
    <w:rsid w:val="00234BC2"/>
    <w:rsid w:val="0025116C"/>
    <w:rsid w:val="00273802"/>
    <w:rsid w:val="00274FB5"/>
    <w:rsid w:val="002837F0"/>
    <w:rsid w:val="002B0010"/>
    <w:rsid w:val="002D4661"/>
    <w:rsid w:val="003837D0"/>
    <w:rsid w:val="003975D4"/>
    <w:rsid w:val="003B3A36"/>
    <w:rsid w:val="00434830"/>
    <w:rsid w:val="004E0348"/>
    <w:rsid w:val="00591A49"/>
    <w:rsid w:val="005E795C"/>
    <w:rsid w:val="0061647F"/>
    <w:rsid w:val="0064322B"/>
    <w:rsid w:val="006D2ED4"/>
    <w:rsid w:val="006D6F46"/>
    <w:rsid w:val="006E797E"/>
    <w:rsid w:val="007402A2"/>
    <w:rsid w:val="007A4379"/>
    <w:rsid w:val="0081312C"/>
    <w:rsid w:val="008218F3"/>
    <w:rsid w:val="008A0B7C"/>
    <w:rsid w:val="009E4C54"/>
    <w:rsid w:val="00A045BC"/>
    <w:rsid w:val="00A727ED"/>
    <w:rsid w:val="00A76F39"/>
    <w:rsid w:val="00A80F6F"/>
    <w:rsid w:val="00A9538A"/>
    <w:rsid w:val="00AC2694"/>
    <w:rsid w:val="00AE69DB"/>
    <w:rsid w:val="00B00C6D"/>
    <w:rsid w:val="00B023BE"/>
    <w:rsid w:val="00B26768"/>
    <w:rsid w:val="00B64B78"/>
    <w:rsid w:val="00B66CEC"/>
    <w:rsid w:val="00BA18FB"/>
    <w:rsid w:val="00BF5348"/>
    <w:rsid w:val="00C51B30"/>
    <w:rsid w:val="00C655CA"/>
    <w:rsid w:val="00CB23D5"/>
    <w:rsid w:val="00D31FCD"/>
    <w:rsid w:val="00D73178"/>
    <w:rsid w:val="00DF6313"/>
    <w:rsid w:val="00E006EF"/>
    <w:rsid w:val="00E21B4D"/>
    <w:rsid w:val="00E90D2C"/>
    <w:rsid w:val="00EA421C"/>
    <w:rsid w:val="00EB47CC"/>
    <w:rsid w:val="00EE332C"/>
    <w:rsid w:val="00EF5593"/>
    <w:rsid w:val="00F01933"/>
    <w:rsid w:val="00F42F41"/>
    <w:rsid w:val="00F44A88"/>
    <w:rsid w:val="00F47FDE"/>
    <w:rsid w:val="00F849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9D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AE69DB"/>
    <w:pPr>
      <w:spacing w:after="120" w:line="480" w:lineRule="auto"/>
    </w:pPr>
  </w:style>
  <w:style w:type="character" w:customStyle="1" w:styleId="BodyText2Char">
    <w:name w:val="Body Text 2 Char"/>
    <w:basedOn w:val="DefaultParagraphFont"/>
    <w:link w:val="BodyText2"/>
    <w:uiPriority w:val="99"/>
    <w:rsid w:val="00AE69DB"/>
  </w:style>
  <w:style w:type="paragraph" w:styleId="Footer">
    <w:name w:val="footer"/>
    <w:basedOn w:val="Normal"/>
    <w:link w:val="FooterChar"/>
    <w:uiPriority w:val="99"/>
    <w:unhideWhenUsed/>
    <w:rsid w:val="00AE69D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69DB"/>
  </w:style>
  <w:style w:type="character" w:styleId="PageNumber">
    <w:name w:val="page number"/>
    <w:basedOn w:val="DefaultParagraphFont"/>
    <w:rsid w:val="00AE69DB"/>
  </w:style>
  <w:style w:type="paragraph" w:styleId="ListParagraph">
    <w:name w:val="List Paragraph"/>
    <w:basedOn w:val="Normal"/>
    <w:uiPriority w:val="34"/>
    <w:qFormat/>
    <w:rsid w:val="00AE69DB"/>
    <w:pPr>
      <w:ind w:left="720"/>
      <w:contextualSpacing/>
    </w:pPr>
  </w:style>
  <w:style w:type="paragraph" w:customStyle="1" w:styleId="AT">
    <w:name w:val="AT"/>
    <w:basedOn w:val="Normal"/>
    <w:qFormat/>
    <w:rsid w:val="00AE69DB"/>
    <w:pPr>
      <w:autoSpaceDE w:val="0"/>
      <w:autoSpaceDN w:val="0"/>
      <w:adjustRightInd w:val="0"/>
      <w:spacing w:after="0"/>
      <w:ind w:firstLine="720"/>
      <w:jc w:val="both"/>
    </w:pPr>
    <w:rPr>
      <w:rFonts w:cs="Times New Roman"/>
      <w:szCs w:val="24"/>
    </w:rPr>
  </w:style>
  <w:style w:type="paragraph" w:styleId="NormalWeb">
    <w:name w:val="Normal (Web)"/>
    <w:basedOn w:val="Normal"/>
    <w:uiPriority w:val="99"/>
    <w:unhideWhenUsed/>
    <w:rsid w:val="00AE69DB"/>
    <w:pPr>
      <w:spacing w:before="100" w:beforeAutospacing="1" w:after="100" w:afterAutospacing="1" w:line="240" w:lineRule="auto"/>
    </w:pPr>
    <w:rPr>
      <w:rFonts w:eastAsia="Times New Roman" w:cs="Times New Roman"/>
      <w:szCs w:val="24"/>
      <w:lang w:eastAsia="lv-LV"/>
    </w:rPr>
  </w:style>
  <w:style w:type="paragraph" w:styleId="Header">
    <w:name w:val="header"/>
    <w:basedOn w:val="Normal"/>
    <w:link w:val="HeaderChar"/>
    <w:uiPriority w:val="99"/>
    <w:unhideWhenUsed/>
    <w:rsid w:val="000E393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E393A"/>
  </w:style>
  <w:style w:type="table" w:styleId="TableGrid">
    <w:name w:val="Table Grid"/>
    <w:basedOn w:val="TableNormal"/>
    <w:uiPriority w:val="39"/>
    <w:rsid w:val="000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39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9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7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9074</Words>
  <Characters>5173</Characters>
  <Application>Microsoft Office Word</Application>
  <DocSecurity>0</DocSecurity>
  <Lines>43</Lines>
  <Paragraphs>28</Paragraphs>
  <ScaleCrop>false</ScaleCrop>
  <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2017-11-09T11:51:00Z</dcterms:created>
  <dcterms:modified xsi:type="dcterms:W3CDTF">2017-11-10T08:23:00Z</dcterms:modified>
</cp:coreProperties>
</file>