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93A" w:rsidRPr="009B393A" w:rsidRDefault="009B393A" w:rsidP="009B393A">
      <w:pPr>
        <w:jc w:val="both"/>
        <w:rPr>
          <w:rFonts w:eastAsia="Times New Roman" w:cs="Times New Roman"/>
          <w:b/>
          <w:lang w:eastAsia="lv-LV"/>
        </w:rPr>
      </w:pPr>
      <w:bookmarkStart w:id="0" w:name="_Hlk503264497"/>
      <w:bookmarkStart w:id="1" w:name="_GoBack"/>
      <w:bookmarkEnd w:id="1"/>
      <w:r w:rsidRPr="009B393A">
        <w:rPr>
          <w:rFonts w:eastAsia="Times New Roman" w:cs="Times New Roman"/>
          <w:b/>
          <w:lang w:eastAsia="lv-LV"/>
        </w:rPr>
        <w:t>Izvairīšanās no soda izciešanas subjekts</w:t>
      </w:r>
    </w:p>
    <w:p w:rsidR="006670A0" w:rsidRPr="009B393A" w:rsidRDefault="009B393A" w:rsidP="009B393A">
      <w:pPr>
        <w:spacing w:after="0" w:line="240" w:lineRule="auto"/>
        <w:jc w:val="both"/>
        <w:rPr>
          <w:rFonts w:cs="Times New Roman"/>
          <w:szCs w:val="24"/>
        </w:rPr>
      </w:pPr>
      <w:r w:rsidRPr="009B393A">
        <w:rPr>
          <w:rFonts w:eastAsia="Times New Roman" w:cs="Times New Roman"/>
          <w:lang w:eastAsia="lv-LV"/>
        </w:rPr>
        <w:t>Krimināllikuma 312. pantā paredzēto noziedzīgo nodarījumu (izvairīšanos no soda izciešanas) var izdarīt tikai īpašs (speciālais) subjekts, kas ir jāņem vērā, vērtējot Krimināllikuma 48.panta pirmās daļas 1.punktā paredzēto atbildību pastiprinošo apstākli– noziedzīgais nodarījums veido noziedzīgu nodarījumu recidīvu.</w:t>
      </w:r>
      <w:bookmarkEnd w:id="0"/>
    </w:p>
    <w:p w:rsidR="006670A0" w:rsidRPr="009B393A" w:rsidRDefault="006670A0" w:rsidP="009B393A">
      <w:pPr>
        <w:spacing w:after="0" w:line="276" w:lineRule="auto"/>
        <w:jc w:val="both"/>
        <w:rPr>
          <w:rFonts w:cs="Times New Roman"/>
          <w:szCs w:val="24"/>
        </w:rPr>
      </w:pPr>
      <w:r w:rsidRPr="009B393A">
        <w:rPr>
          <w:rFonts w:cs="Times New Roman"/>
          <w:szCs w:val="24"/>
        </w:rPr>
        <w:t xml:space="preserve"> </w:t>
      </w:r>
    </w:p>
    <w:p w:rsidR="006050E2" w:rsidRPr="009B393A" w:rsidRDefault="006670A0" w:rsidP="009B393A">
      <w:pPr>
        <w:spacing w:after="0" w:line="276" w:lineRule="auto"/>
        <w:jc w:val="center"/>
        <w:rPr>
          <w:rFonts w:eastAsia="Times New Roman" w:cs="Times New Roman"/>
          <w:b/>
          <w:szCs w:val="24"/>
        </w:rPr>
      </w:pPr>
      <w:r w:rsidRPr="009B393A">
        <w:rPr>
          <w:rFonts w:eastAsia="Times New Roman" w:cs="Times New Roman"/>
          <w:b/>
          <w:szCs w:val="24"/>
        </w:rPr>
        <w:t>Latvijas Republikas Augstākā</w:t>
      </w:r>
      <w:r w:rsidR="00793399" w:rsidRPr="009B393A">
        <w:rPr>
          <w:rFonts w:eastAsia="Times New Roman" w:cs="Times New Roman"/>
          <w:b/>
          <w:szCs w:val="24"/>
        </w:rPr>
        <w:t>s</w:t>
      </w:r>
      <w:r w:rsidRPr="009B393A">
        <w:rPr>
          <w:rFonts w:eastAsia="Times New Roman" w:cs="Times New Roman"/>
          <w:b/>
          <w:szCs w:val="24"/>
        </w:rPr>
        <w:t xml:space="preserve"> tiesa</w:t>
      </w:r>
      <w:r w:rsidR="00793399" w:rsidRPr="009B393A">
        <w:rPr>
          <w:rFonts w:eastAsia="Times New Roman" w:cs="Times New Roman"/>
          <w:b/>
          <w:szCs w:val="24"/>
        </w:rPr>
        <w:t>s</w:t>
      </w:r>
    </w:p>
    <w:p w:rsidR="009B393A" w:rsidRPr="009B393A" w:rsidRDefault="006050E2" w:rsidP="006670A0">
      <w:pPr>
        <w:spacing w:after="0" w:line="276" w:lineRule="auto"/>
        <w:jc w:val="center"/>
        <w:rPr>
          <w:rFonts w:eastAsia="Times New Roman" w:cs="Times New Roman"/>
          <w:b/>
          <w:szCs w:val="24"/>
        </w:rPr>
      </w:pPr>
      <w:r w:rsidRPr="009B393A">
        <w:rPr>
          <w:rFonts w:eastAsia="Times New Roman" w:cs="Times New Roman"/>
          <w:b/>
          <w:szCs w:val="24"/>
        </w:rPr>
        <w:t>Krimināllietu departamenta</w:t>
      </w:r>
    </w:p>
    <w:p w:rsidR="006670A0" w:rsidRPr="009B393A" w:rsidRDefault="009B393A" w:rsidP="006670A0">
      <w:pPr>
        <w:spacing w:after="0" w:line="276" w:lineRule="auto"/>
        <w:jc w:val="center"/>
        <w:rPr>
          <w:rFonts w:eastAsia="Times New Roman" w:cs="Times New Roman"/>
          <w:b/>
          <w:szCs w:val="24"/>
        </w:rPr>
      </w:pPr>
      <w:r w:rsidRPr="009B393A">
        <w:rPr>
          <w:rFonts w:eastAsia="Times New Roman" w:cs="Times New Roman"/>
          <w:b/>
          <w:szCs w:val="24"/>
        </w:rPr>
        <w:t>2017.gada 16.novembra</w:t>
      </w:r>
    </w:p>
    <w:p w:rsidR="006670A0" w:rsidRDefault="006670A0" w:rsidP="006670A0">
      <w:pPr>
        <w:spacing w:after="0" w:line="276" w:lineRule="auto"/>
        <w:jc w:val="center"/>
        <w:rPr>
          <w:rFonts w:eastAsia="Times New Roman" w:cs="Times New Roman"/>
          <w:b/>
          <w:szCs w:val="24"/>
        </w:rPr>
      </w:pPr>
      <w:r w:rsidRPr="009B393A">
        <w:rPr>
          <w:rFonts w:eastAsia="Times New Roman" w:cs="Times New Roman"/>
          <w:b/>
          <w:szCs w:val="24"/>
        </w:rPr>
        <w:t>LĒMUMS</w:t>
      </w:r>
    </w:p>
    <w:p w:rsidR="009B393A" w:rsidRDefault="009B393A" w:rsidP="006670A0">
      <w:pPr>
        <w:spacing w:after="0" w:line="276" w:lineRule="auto"/>
        <w:jc w:val="center"/>
        <w:rPr>
          <w:rFonts w:eastAsia="Times New Roman" w:cs="Times New Roman"/>
          <w:b/>
          <w:szCs w:val="24"/>
        </w:rPr>
      </w:pPr>
      <w:r w:rsidRPr="009B393A">
        <w:rPr>
          <w:rFonts w:eastAsia="Times New Roman" w:cs="Times New Roman"/>
          <w:b/>
          <w:szCs w:val="24"/>
        </w:rPr>
        <w:t>Lieta Nr.</w:t>
      </w:r>
      <w:r w:rsidRPr="009B393A">
        <w:rPr>
          <w:rFonts w:ascii="TimesNewRomanPSMT" w:hAnsi="TimesNewRomanPSMT" w:cs="TimesNewRomanPSMT"/>
          <w:b/>
          <w:szCs w:val="24"/>
        </w:rPr>
        <w:t xml:space="preserve">11331029617, </w:t>
      </w:r>
      <w:r w:rsidRPr="009B393A">
        <w:rPr>
          <w:rFonts w:eastAsia="Times New Roman" w:cs="Times New Roman"/>
          <w:b/>
          <w:szCs w:val="24"/>
        </w:rPr>
        <w:t>S</w:t>
      </w:r>
      <w:bookmarkStart w:id="2" w:name="Dropdown3"/>
      <w:r w:rsidRPr="009B393A">
        <w:rPr>
          <w:rFonts w:eastAsia="Times New Roman" w:cs="Times New Roman"/>
          <w:b/>
          <w:szCs w:val="24"/>
        </w:rPr>
        <w:t>K</w:t>
      </w:r>
      <w:bookmarkEnd w:id="2"/>
      <w:r w:rsidRPr="009B393A">
        <w:rPr>
          <w:rFonts w:eastAsia="Times New Roman" w:cs="Times New Roman"/>
          <w:b/>
          <w:szCs w:val="24"/>
        </w:rPr>
        <w:t>K-623/2017</w:t>
      </w:r>
    </w:p>
    <w:p w:rsidR="000717D2" w:rsidRPr="000717D2" w:rsidRDefault="000717D2" w:rsidP="006670A0">
      <w:pPr>
        <w:spacing w:after="0" w:line="276" w:lineRule="auto"/>
        <w:jc w:val="center"/>
        <w:rPr>
          <w:rFonts w:eastAsia="Times New Roman" w:cs="Times New Roman"/>
          <w:b/>
          <w:szCs w:val="24"/>
        </w:rPr>
      </w:pPr>
      <w:r w:rsidRPr="000717D2">
        <w:rPr>
          <w:b/>
        </w:rPr>
        <w:t>ECLI:LV:AT:2017:1116.11331029617.1.L</w:t>
      </w:r>
    </w:p>
    <w:p w:rsidR="009B393A" w:rsidRDefault="009B393A" w:rsidP="006670A0">
      <w:pPr>
        <w:spacing w:after="0" w:line="276" w:lineRule="auto"/>
        <w:jc w:val="center"/>
        <w:rPr>
          <w:rFonts w:eastAsia="Times New Roman" w:cs="Times New Roman"/>
          <w:szCs w:val="24"/>
        </w:rPr>
      </w:pPr>
    </w:p>
    <w:p w:rsidR="009B393A" w:rsidRPr="009B393A" w:rsidRDefault="009B393A" w:rsidP="006670A0">
      <w:pPr>
        <w:spacing w:after="0" w:line="276" w:lineRule="auto"/>
        <w:jc w:val="center"/>
        <w:rPr>
          <w:rFonts w:eastAsia="Times New Roman" w:cs="Times New Roman"/>
          <w:b/>
          <w:szCs w:val="24"/>
        </w:rPr>
      </w:pPr>
    </w:p>
    <w:p w:rsidR="006670A0" w:rsidRPr="008A5055" w:rsidRDefault="006670A0" w:rsidP="006670A0">
      <w:pPr>
        <w:spacing w:after="0" w:line="276" w:lineRule="auto"/>
        <w:jc w:val="both"/>
        <w:rPr>
          <w:rFonts w:eastAsia="Times New Roman" w:cs="Times New Roman"/>
          <w:szCs w:val="24"/>
        </w:rPr>
      </w:pPr>
    </w:p>
    <w:p w:rsidR="006670A0" w:rsidRPr="008A5055" w:rsidRDefault="006670A0" w:rsidP="006670A0">
      <w:pPr>
        <w:spacing w:after="0" w:line="276" w:lineRule="auto"/>
        <w:jc w:val="both"/>
        <w:rPr>
          <w:rFonts w:eastAsia="Times New Roman" w:cs="Times New Roman"/>
          <w:szCs w:val="24"/>
        </w:rPr>
      </w:pPr>
      <w:r w:rsidRPr="008A5055">
        <w:rPr>
          <w:rFonts w:eastAsia="Times New Roman" w:cs="Times New Roman"/>
          <w:szCs w:val="24"/>
        </w:rPr>
        <w:t xml:space="preserve">Augstākā tiesa šādā sastāvā: </w:t>
      </w:r>
    </w:p>
    <w:p w:rsidR="006670A0" w:rsidRPr="008A5055" w:rsidRDefault="006670A0" w:rsidP="006670A0">
      <w:pPr>
        <w:spacing w:after="0" w:line="276" w:lineRule="auto"/>
        <w:ind w:firstLine="720"/>
        <w:jc w:val="both"/>
        <w:rPr>
          <w:rFonts w:eastAsia="Times New Roman" w:cs="Times New Roman"/>
          <w:szCs w:val="24"/>
        </w:rPr>
      </w:pPr>
      <w:r w:rsidRPr="008A5055">
        <w:rPr>
          <w:rFonts w:eastAsia="Times New Roman" w:cs="Times New Roman"/>
          <w:szCs w:val="24"/>
        </w:rPr>
        <w:t xml:space="preserve">tiesnesis </w:t>
      </w:r>
      <w:bookmarkStart w:id="3" w:name="Dropdown6"/>
      <w:bookmarkStart w:id="4" w:name="Dropdown15"/>
      <w:r w:rsidRPr="008A5055">
        <w:rPr>
          <w:rFonts w:eastAsia="Times New Roman" w:cs="Times New Roman"/>
          <w:szCs w:val="24"/>
        </w:rPr>
        <w:t>Artūrs Freibergs</w:t>
      </w:r>
      <w:bookmarkEnd w:id="3"/>
      <w:bookmarkEnd w:id="4"/>
      <w:r w:rsidRPr="008A5055">
        <w:rPr>
          <w:rFonts w:eastAsia="Times New Roman" w:cs="Times New Roman"/>
          <w:szCs w:val="24"/>
        </w:rPr>
        <w:t>,</w:t>
      </w:r>
    </w:p>
    <w:p w:rsidR="006670A0" w:rsidRDefault="006670A0" w:rsidP="006670A0">
      <w:pPr>
        <w:suppressAutoHyphens/>
        <w:spacing w:after="0" w:line="276" w:lineRule="auto"/>
        <w:ind w:firstLine="720"/>
        <w:jc w:val="both"/>
        <w:rPr>
          <w:rFonts w:eastAsia="Times New Roman" w:cs="Times New Roman"/>
          <w:szCs w:val="24"/>
        </w:rPr>
      </w:pPr>
      <w:r w:rsidRPr="008A5055">
        <w:rPr>
          <w:rFonts w:eastAsia="Calibri" w:cs="Times New Roman"/>
          <w:szCs w:val="24"/>
        </w:rPr>
        <w:t>tiesnes</w:t>
      </w:r>
      <w:r>
        <w:rPr>
          <w:rFonts w:eastAsia="Calibri" w:cs="Times New Roman"/>
          <w:szCs w:val="24"/>
        </w:rPr>
        <w:t>is Pēteris Dzalbe</w:t>
      </w:r>
      <w:r>
        <w:rPr>
          <w:rFonts w:eastAsia="Times New Roman" w:cs="Times New Roman"/>
          <w:szCs w:val="24"/>
        </w:rPr>
        <w:t>,</w:t>
      </w:r>
    </w:p>
    <w:p w:rsidR="006670A0" w:rsidRPr="008A5055" w:rsidRDefault="006670A0" w:rsidP="006670A0">
      <w:pPr>
        <w:spacing w:after="0" w:line="276" w:lineRule="auto"/>
        <w:ind w:firstLine="720"/>
        <w:jc w:val="both"/>
        <w:rPr>
          <w:rFonts w:eastAsia="Times New Roman" w:cs="Times New Roman"/>
          <w:szCs w:val="24"/>
        </w:rPr>
      </w:pPr>
      <w:r w:rsidRPr="008A5055">
        <w:rPr>
          <w:rFonts w:eastAsia="Times New Roman" w:cs="Times New Roman"/>
          <w:szCs w:val="24"/>
        </w:rPr>
        <w:t xml:space="preserve">tiesnese </w:t>
      </w:r>
      <w:r>
        <w:rPr>
          <w:rFonts w:eastAsia="Calibri" w:cs="Times New Roman"/>
          <w:szCs w:val="24"/>
        </w:rPr>
        <w:t>Inguna Radzeviča</w:t>
      </w:r>
      <w:r w:rsidRPr="008A5055">
        <w:rPr>
          <w:rFonts w:eastAsia="Calibri" w:cs="Times New Roman"/>
          <w:szCs w:val="24"/>
        </w:rPr>
        <w:tab/>
      </w:r>
    </w:p>
    <w:p w:rsidR="006670A0" w:rsidRPr="008A5055" w:rsidRDefault="006670A0" w:rsidP="003168B4">
      <w:pPr>
        <w:autoSpaceDE w:val="0"/>
        <w:autoSpaceDN w:val="0"/>
        <w:adjustRightInd w:val="0"/>
        <w:spacing w:after="0" w:line="276" w:lineRule="auto"/>
        <w:jc w:val="both"/>
        <w:rPr>
          <w:rFonts w:eastAsia="Times New Roman" w:cs="Times New Roman"/>
          <w:szCs w:val="24"/>
        </w:rPr>
      </w:pPr>
      <w:r w:rsidRPr="008A5055">
        <w:rPr>
          <w:rFonts w:eastAsia="Calibri" w:cs="Times New Roman"/>
          <w:szCs w:val="24"/>
        </w:rPr>
        <w:t xml:space="preserve">izskatīja rakstveida procesā krimināllietu sakarā ar </w:t>
      </w:r>
      <w:r>
        <w:rPr>
          <w:rFonts w:eastAsia="Calibri" w:cs="Times New Roman"/>
          <w:szCs w:val="24"/>
        </w:rPr>
        <w:t xml:space="preserve">Rēzeknes </w:t>
      </w:r>
      <w:r w:rsidR="003168B4">
        <w:rPr>
          <w:rFonts w:eastAsia="Calibri" w:cs="Times New Roman"/>
          <w:szCs w:val="24"/>
        </w:rPr>
        <w:t xml:space="preserve">prokuratūras prokurores </w:t>
      </w:r>
      <w:r w:rsidR="003168B4">
        <w:t xml:space="preserve">Jeļenas </w:t>
      </w:r>
      <w:r w:rsidR="003168B4">
        <w:rPr>
          <w:rFonts w:eastAsia="Calibri" w:cs="Times New Roman"/>
          <w:szCs w:val="24"/>
        </w:rPr>
        <w:t>Artemjevas kasācijas protestu par Latgales apgabaltiesas 2017.gada 27.jūnija lēmumu</w:t>
      </w:r>
      <w:r w:rsidRPr="008A5055">
        <w:rPr>
          <w:rFonts w:eastAsia="Times New Roman" w:cs="Times New Roman"/>
          <w:szCs w:val="24"/>
        </w:rPr>
        <w:t>.</w:t>
      </w:r>
    </w:p>
    <w:p w:rsidR="006670A0" w:rsidRPr="008A5055" w:rsidRDefault="006670A0" w:rsidP="006670A0">
      <w:pPr>
        <w:spacing w:after="0" w:line="276" w:lineRule="auto"/>
        <w:jc w:val="both"/>
        <w:rPr>
          <w:rFonts w:eastAsia="Times New Roman" w:cs="Times New Roman"/>
          <w:szCs w:val="24"/>
        </w:rPr>
      </w:pPr>
    </w:p>
    <w:p w:rsidR="006670A0" w:rsidRPr="008A5055" w:rsidRDefault="006670A0" w:rsidP="006670A0">
      <w:pPr>
        <w:spacing w:after="0" w:line="276" w:lineRule="auto"/>
        <w:jc w:val="center"/>
        <w:rPr>
          <w:b/>
        </w:rPr>
      </w:pPr>
      <w:r w:rsidRPr="008A5055">
        <w:rPr>
          <w:b/>
        </w:rPr>
        <w:t>Aprakstošā daļa</w:t>
      </w:r>
    </w:p>
    <w:p w:rsidR="006670A0" w:rsidRPr="008A5055" w:rsidRDefault="006670A0" w:rsidP="006670A0">
      <w:pPr>
        <w:spacing w:after="0" w:line="276" w:lineRule="auto"/>
        <w:jc w:val="center"/>
        <w:rPr>
          <w:b/>
        </w:rPr>
      </w:pPr>
    </w:p>
    <w:p w:rsidR="003168B4" w:rsidRDefault="006670A0" w:rsidP="006670A0">
      <w:pPr>
        <w:spacing w:after="0" w:line="276" w:lineRule="auto"/>
        <w:ind w:firstLine="720"/>
        <w:jc w:val="both"/>
        <w:rPr>
          <w:rFonts w:eastAsia="Times New Roman" w:cs="Times New Roman"/>
          <w:szCs w:val="24"/>
        </w:rPr>
      </w:pPr>
      <w:r w:rsidRPr="008A5055">
        <w:rPr>
          <w:rFonts w:eastAsia="Times New Roman" w:cs="Times New Roman"/>
          <w:szCs w:val="24"/>
        </w:rPr>
        <w:t xml:space="preserve">[1] Ar </w:t>
      </w:r>
      <w:r w:rsidR="003168B4">
        <w:rPr>
          <w:rFonts w:eastAsia="Times New Roman" w:cs="Times New Roman"/>
          <w:szCs w:val="24"/>
        </w:rPr>
        <w:t>Latgales</w:t>
      </w:r>
      <w:r w:rsidRPr="008A5055">
        <w:rPr>
          <w:rFonts w:eastAsia="Times New Roman" w:cs="Times New Roman"/>
          <w:szCs w:val="24"/>
        </w:rPr>
        <w:t xml:space="preserve"> apgabaltiesas 2017.gada </w:t>
      </w:r>
      <w:r w:rsidR="003168B4">
        <w:rPr>
          <w:rFonts w:eastAsia="Calibri" w:cs="Times New Roman"/>
          <w:szCs w:val="24"/>
        </w:rPr>
        <w:t>27.jūnija lēmumu</w:t>
      </w:r>
      <w:r w:rsidR="003168B4" w:rsidRPr="00D70763">
        <w:rPr>
          <w:rFonts w:eastAsia="Times New Roman" w:cs="Times New Roman"/>
          <w:szCs w:val="24"/>
        </w:rPr>
        <w:t xml:space="preserve"> </w:t>
      </w:r>
      <w:r w:rsidR="003168B4">
        <w:rPr>
          <w:rFonts w:eastAsia="Times New Roman" w:cs="Times New Roman"/>
          <w:szCs w:val="24"/>
        </w:rPr>
        <w:t>atstāts negrozīts Rēzeknes tiesas 2017.gada 11.maija spriedums, ar kuru</w:t>
      </w:r>
    </w:p>
    <w:p w:rsidR="003168B4" w:rsidRDefault="009B393A" w:rsidP="003168B4">
      <w:pPr>
        <w:spacing w:after="0" w:line="276" w:lineRule="auto"/>
        <w:ind w:firstLine="720"/>
        <w:jc w:val="both"/>
        <w:rPr>
          <w:rFonts w:eastAsia="Times New Roman" w:cs="Times New Roman"/>
          <w:szCs w:val="24"/>
        </w:rPr>
      </w:pPr>
      <w:r>
        <w:rPr>
          <w:rFonts w:eastAsia="Times New Roman" w:cs="Times New Roman"/>
          <w:szCs w:val="24"/>
        </w:rPr>
        <w:t>[pers. A]</w:t>
      </w:r>
      <w:r w:rsidR="00B00786">
        <w:rPr>
          <w:rFonts w:eastAsia="Times New Roman" w:cs="Times New Roman"/>
          <w:szCs w:val="24"/>
        </w:rPr>
        <w:t xml:space="preserve">, personas kods </w:t>
      </w:r>
      <w:r>
        <w:rPr>
          <w:rFonts w:eastAsia="Times New Roman" w:cs="Times New Roman"/>
          <w:szCs w:val="24"/>
        </w:rPr>
        <w:t>[..]</w:t>
      </w:r>
      <w:r w:rsidR="003168B4" w:rsidRPr="003168B4">
        <w:rPr>
          <w:rFonts w:eastAsia="Times New Roman" w:cs="Times New Roman"/>
          <w:szCs w:val="24"/>
        </w:rPr>
        <w:t xml:space="preserve">, </w:t>
      </w:r>
    </w:p>
    <w:p w:rsidR="00B00786" w:rsidRDefault="006670A0" w:rsidP="003168B4">
      <w:pPr>
        <w:spacing w:after="0" w:line="276" w:lineRule="auto"/>
        <w:ind w:firstLine="720"/>
        <w:jc w:val="both"/>
        <w:rPr>
          <w:rFonts w:eastAsia="Times New Roman" w:cs="Times New Roman"/>
          <w:szCs w:val="24"/>
        </w:rPr>
      </w:pPr>
      <w:r w:rsidRPr="00D70763">
        <w:rPr>
          <w:rFonts w:eastAsia="Times New Roman" w:cs="Times New Roman"/>
          <w:szCs w:val="24"/>
        </w:rPr>
        <w:t xml:space="preserve">atzīts par vainīgu </w:t>
      </w:r>
      <w:r w:rsidR="00A876C0">
        <w:rPr>
          <w:rFonts w:eastAsia="Times New Roman" w:cs="Times New Roman"/>
          <w:szCs w:val="24"/>
        </w:rPr>
        <w:t xml:space="preserve">un sodīts </w:t>
      </w:r>
      <w:r w:rsidRPr="00D70763">
        <w:rPr>
          <w:rFonts w:eastAsia="Times New Roman" w:cs="Times New Roman"/>
          <w:szCs w:val="24"/>
        </w:rPr>
        <w:t xml:space="preserve">Krimināllikuma </w:t>
      </w:r>
      <w:r w:rsidR="003168B4" w:rsidRPr="003168B4">
        <w:rPr>
          <w:rFonts w:eastAsia="Times New Roman" w:cs="Times New Roman"/>
          <w:szCs w:val="24"/>
        </w:rPr>
        <w:t xml:space="preserve">262.panta pirmajā daļā un 312.pantā </w:t>
      </w:r>
      <w:r w:rsidR="00B00786" w:rsidRPr="00D70763">
        <w:rPr>
          <w:rFonts w:eastAsia="Times New Roman" w:cs="Times New Roman"/>
          <w:szCs w:val="24"/>
        </w:rPr>
        <w:t>paredzētaj</w:t>
      </w:r>
      <w:r w:rsidR="005B2A86">
        <w:rPr>
          <w:rFonts w:eastAsia="Times New Roman" w:cs="Times New Roman"/>
          <w:szCs w:val="24"/>
        </w:rPr>
        <w:t>os</w:t>
      </w:r>
      <w:r w:rsidR="00B00786" w:rsidRPr="00D70763">
        <w:rPr>
          <w:rFonts w:eastAsia="Times New Roman" w:cs="Times New Roman"/>
          <w:szCs w:val="24"/>
        </w:rPr>
        <w:t xml:space="preserve"> noziedzīgaj</w:t>
      </w:r>
      <w:r w:rsidR="005B2A86">
        <w:rPr>
          <w:rFonts w:eastAsia="Times New Roman" w:cs="Times New Roman"/>
          <w:szCs w:val="24"/>
        </w:rPr>
        <w:t>os</w:t>
      </w:r>
      <w:r w:rsidR="00B00786" w:rsidRPr="00D70763">
        <w:rPr>
          <w:rFonts w:eastAsia="Times New Roman" w:cs="Times New Roman"/>
          <w:szCs w:val="24"/>
        </w:rPr>
        <w:t xml:space="preserve"> nodarījum</w:t>
      </w:r>
      <w:r w:rsidR="005B2A86">
        <w:rPr>
          <w:rFonts w:eastAsia="Times New Roman" w:cs="Times New Roman"/>
          <w:szCs w:val="24"/>
        </w:rPr>
        <w:t>os</w:t>
      </w:r>
      <w:r w:rsidR="00B00786">
        <w:rPr>
          <w:rFonts w:eastAsia="Times New Roman" w:cs="Times New Roman"/>
          <w:szCs w:val="24"/>
        </w:rPr>
        <w:t>.</w:t>
      </w:r>
    </w:p>
    <w:p w:rsidR="006670A0" w:rsidRDefault="006670A0" w:rsidP="006670A0">
      <w:pPr>
        <w:spacing w:after="0" w:line="276" w:lineRule="auto"/>
        <w:ind w:firstLine="720"/>
        <w:jc w:val="both"/>
        <w:rPr>
          <w:rFonts w:eastAsia="Times New Roman" w:cs="Times New Roman"/>
          <w:szCs w:val="24"/>
        </w:rPr>
      </w:pPr>
    </w:p>
    <w:p w:rsidR="00B00786" w:rsidRDefault="006670A0" w:rsidP="006670A0">
      <w:pPr>
        <w:autoSpaceDE w:val="0"/>
        <w:autoSpaceDN w:val="0"/>
        <w:adjustRightInd w:val="0"/>
        <w:spacing w:after="0" w:line="276" w:lineRule="auto"/>
        <w:jc w:val="both"/>
        <w:rPr>
          <w:rFonts w:eastAsia="Calibri" w:cs="Times New Roman"/>
          <w:szCs w:val="24"/>
        </w:rPr>
      </w:pPr>
      <w:r w:rsidRPr="008A5055">
        <w:rPr>
          <w:rFonts w:cs="Times New Roman"/>
          <w:szCs w:val="24"/>
        </w:rPr>
        <w:tab/>
        <w:t>[</w:t>
      </w:r>
      <w:r w:rsidR="00B00786">
        <w:rPr>
          <w:rFonts w:cs="Times New Roman"/>
          <w:szCs w:val="24"/>
        </w:rPr>
        <w:t>2</w:t>
      </w:r>
      <w:r w:rsidRPr="008A5055">
        <w:rPr>
          <w:rFonts w:cs="Times New Roman"/>
          <w:szCs w:val="24"/>
        </w:rPr>
        <w:t xml:space="preserve">] Kasācijas </w:t>
      </w:r>
      <w:r w:rsidR="00B00786">
        <w:rPr>
          <w:rFonts w:cs="Times New Roman"/>
          <w:szCs w:val="24"/>
        </w:rPr>
        <w:t>protestu</w:t>
      </w:r>
      <w:r>
        <w:rPr>
          <w:rFonts w:cs="Times New Roman"/>
          <w:szCs w:val="24"/>
        </w:rPr>
        <w:t xml:space="preserve"> </w:t>
      </w:r>
      <w:r w:rsidRPr="008A5055">
        <w:t xml:space="preserve">par </w:t>
      </w:r>
      <w:r w:rsidR="00B00786">
        <w:rPr>
          <w:rFonts w:eastAsia="Times New Roman" w:cs="Times New Roman"/>
          <w:szCs w:val="24"/>
        </w:rPr>
        <w:t>Latgales</w:t>
      </w:r>
      <w:r w:rsidR="00B00786" w:rsidRPr="008A5055">
        <w:rPr>
          <w:rFonts w:eastAsia="Times New Roman" w:cs="Times New Roman"/>
          <w:szCs w:val="24"/>
        </w:rPr>
        <w:t xml:space="preserve"> apgabaltiesas 2017.gada </w:t>
      </w:r>
      <w:r w:rsidR="00B00786">
        <w:rPr>
          <w:rFonts w:eastAsia="Calibri" w:cs="Times New Roman"/>
          <w:szCs w:val="24"/>
        </w:rPr>
        <w:t>27.jūnija lēmumu</w:t>
      </w:r>
      <w:r w:rsidR="00B00786" w:rsidRPr="00D70763">
        <w:rPr>
          <w:rFonts w:eastAsia="Times New Roman" w:cs="Times New Roman"/>
          <w:szCs w:val="24"/>
        </w:rPr>
        <w:t xml:space="preserve"> </w:t>
      </w:r>
      <w:r w:rsidRPr="008A5055">
        <w:rPr>
          <w:rFonts w:cs="Times New Roman"/>
          <w:szCs w:val="24"/>
        </w:rPr>
        <w:t xml:space="preserve">iesniedza </w:t>
      </w:r>
      <w:r w:rsidR="00B00786">
        <w:rPr>
          <w:rFonts w:eastAsia="Calibri" w:cs="Times New Roman"/>
          <w:szCs w:val="24"/>
        </w:rPr>
        <w:t xml:space="preserve">Rēzeknes prokuratūras prokurore </w:t>
      </w:r>
      <w:r w:rsidR="002C47A9">
        <w:t>J. </w:t>
      </w:r>
      <w:r w:rsidR="00B00786">
        <w:rPr>
          <w:rFonts w:eastAsia="Calibri" w:cs="Times New Roman"/>
          <w:szCs w:val="24"/>
        </w:rPr>
        <w:t>Artemjeva.</w:t>
      </w:r>
    </w:p>
    <w:p w:rsidR="006670A0" w:rsidRDefault="006670A0" w:rsidP="006670A0">
      <w:pPr>
        <w:autoSpaceDE w:val="0"/>
        <w:autoSpaceDN w:val="0"/>
        <w:adjustRightInd w:val="0"/>
        <w:spacing w:after="0" w:line="276" w:lineRule="auto"/>
        <w:jc w:val="both"/>
      </w:pPr>
    </w:p>
    <w:p w:rsidR="00B00786" w:rsidRDefault="006670A0" w:rsidP="006670A0">
      <w:pPr>
        <w:tabs>
          <w:tab w:val="left" w:pos="-3120"/>
        </w:tabs>
        <w:suppressAutoHyphens/>
        <w:spacing w:after="0" w:line="276" w:lineRule="auto"/>
        <w:jc w:val="both"/>
        <w:rPr>
          <w:rFonts w:ascii="TimesNewRomanPSMT" w:hAnsi="TimesNewRomanPSMT" w:cs="TimesNewRomanPSMT"/>
          <w:szCs w:val="24"/>
        </w:rPr>
      </w:pPr>
      <w:r w:rsidRPr="008A5055">
        <w:rPr>
          <w:rFonts w:cs="Times New Roman"/>
          <w:szCs w:val="24"/>
        </w:rPr>
        <w:tab/>
        <w:t>[</w:t>
      </w:r>
      <w:r w:rsidR="00B00786">
        <w:rPr>
          <w:rFonts w:cs="Times New Roman"/>
          <w:szCs w:val="24"/>
        </w:rPr>
        <w:t>2</w:t>
      </w:r>
      <w:r>
        <w:rPr>
          <w:rFonts w:cs="Times New Roman"/>
          <w:szCs w:val="24"/>
        </w:rPr>
        <w:t>.1</w:t>
      </w:r>
      <w:r w:rsidRPr="008A5055">
        <w:rPr>
          <w:rFonts w:cs="Times New Roman"/>
          <w:szCs w:val="24"/>
        </w:rPr>
        <w:t xml:space="preserve">] </w:t>
      </w:r>
      <w:r w:rsidR="00B00786" w:rsidRPr="008A5055">
        <w:rPr>
          <w:rFonts w:cs="Times New Roman"/>
          <w:szCs w:val="24"/>
        </w:rPr>
        <w:t xml:space="preserve">Kasācijas </w:t>
      </w:r>
      <w:r w:rsidR="00B00786">
        <w:rPr>
          <w:rFonts w:cs="Times New Roman"/>
          <w:szCs w:val="24"/>
        </w:rPr>
        <w:t xml:space="preserve">protesta iesniedzēja lūdz </w:t>
      </w:r>
      <w:r w:rsidRPr="008A5055">
        <w:t xml:space="preserve">atcelt </w:t>
      </w:r>
      <w:r w:rsidR="00B00786">
        <w:rPr>
          <w:rFonts w:eastAsia="Times New Roman" w:cs="Times New Roman"/>
          <w:szCs w:val="24"/>
        </w:rPr>
        <w:t>Latgales</w:t>
      </w:r>
      <w:r w:rsidR="00B00786" w:rsidRPr="008A5055">
        <w:rPr>
          <w:rFonts w:eastAsia="Times New Roman" w:cs="Times New Roman"/>
          <w:szCs w:val="24"/>
        </w:rPr>
        <w:t xml:space="preserve"> apgabaltiesas 2017.gada </w:t>
      </w:r>
      <w:r w:rsidR="00B00786">
        <w:rPr>
          <w:rFonts w:eastAsia="Calibri" w:cs="Times New Roman"/>
          <w:szCs w:val="24"/>
        </w:rPr>
        <w:t>27.jūnija lēmumu</w:t>
      </w:r>
      <w:r w:rsidR="00B00786" w:rsidRPr="00D70763">
        <w:rPr>
          <w:rFonts w:eastAsia="Times New Roman" w:cs="Times New Roman"/>
          <w:szCs w:val="24"/>
        </w:rPr>
        <w:t xml:space="preserve"> </w:t>
      </w:r>
      <w:r>
        <w:rPr>
          <w:rFonts w:ascii="TimesNewRomanPSMT" w:hAnsi="TimesNewRomanPSMT" w:cs="TimesNewRomanPSMT"/>
          <w:szCs w:val="24"/>
        </w:rPr>
        <w:t xml:space="preserve">daļā par </w:t>
      </w:r>
      <w:r w:rsidR="009B393A">
        <w:rPr>
          <w:rFonts w:ascii="TimesNewRomanPSMT" w:hAnsi="TimesNewRomanPSMT" w:cs="TimesNewRomanPSMT"/>
          <w:szCs w:val="24"/>
        </w:rPr>
        <w:t>[pers. A]</w:t>
      </w:r>
      <w:r w:rsidR="00B00786">
        <w:rPr>
          <w:rFonts w:ascii="TimesNewRomanPSMT" w:hAnsi="TimesNewRomanPSMT" w:cs="TimesNewRomanPSMT"/>
          <w:szCs w:val="24"/>
        </w:rPr>
        <w:t xml:space="preserve"> atbildību pastiprinoša apstākļa – noziedzīg</w:t>
      </w:r>
      <w:r w:rsidR="00976E99">
        <w:rPr>
          <w:rFonts w:ascii="TimesNewRomanPSMT" w:hAnsi="TimesNewRomanPSMT" w:cs="TimesNewRomanPSMT"/>
          <w:szCs w:val="24"/>
        </w:rPr>
        <w:t>u</w:t>
      </w:r>
      <w:r w:rsidR="00B00786">
        <w:rPr>
          <w:rFonts w:ascii="TimesNewRomanPSMT" w:hAnsi="TimesNewRomanPSMT" w:cs="TimesNewRomanPSMT"/>
          <w:szCs w:val="24"/>
        </w:rPr>
        <w:t xml:space="preserve"> nodarījumu recidīvs – neatzīšanu, nosakot viņam sodu pēc Krimināllikuma 312.panta. Atceltajā daļā prokurore lūdz nosūtīt lietu jaunai izskatīšanai apelācijas instances tiesā.</w:t>
      </w:r>
    </w:p>
    <w:p w:rsidR="006670A0" w:rsidRDefault="006670A0" w:rsidP="006670A0">
      <w:pPr>
        <w:tabs>
          <w:tab w:val="left" w:pos="-3120"/>
        </w:tabs>
        <w:suppressAutoHyphens/>
        <w:spacing w:after="0" w:line="276" w:lineRule="auto"/>
        <w:jc w:val="both"/>
        <w:rPr>
          <w:rFonts w:ascii="TimesNewRomanPSMT" w:hAnsi="TimesNewRomanPSMT" w:cs="TimesNewRomanPSMT"/>
          <w:szCs w:val="24"/>
        </w:rPr>
      </w:pPr>
    </w:p>
    <w:p w:rsidR="00CB6454" w:rsidRDefault="006670A0" w:rsidP="00CB6454">
      <w:pPr>
        <w:tabs>
          <w:tab w:val="left" w:pos="-3120"/>
        </w:tabs>
        <w:suppressAutoHyphens/>
        <w:spacing w:after="0" w:line="276" w:lineRule="auto"/>
        <w:jc w:val="both"/>
        <w:rPr>
          <w:rFonts w:cs="Times New Roman"/>
          <w:szCs w:val="24"/>
        </w:rPr>
      </w:pPr>
      <w:r>
        <w:rPr>
          <w:rFonts w:cs="Times New Roman"/>
          <w:szCs w:val="24"/>
        </w:rPr>
        <w:tab/>
      </w:r>
      <w:r w:rsidRPr="008A5055">
        <w:rPr>
          <w:rFonts w:cs="Times New Roman"/>
          <w:szCs w:val="24"/>
        </w:rPr>
        <w:t>[</w:t>
      </w:r>
      <w:r w:rsidR="00B00786">
        <w:rPr>
          <w:rFonts w:cs="Times New Roman"/>
          <w:szCs w:val="24"/>
        </w:rPr>
        <w:t>2</w:t>
      </w:r>
      <w:r>
        <w:rPr>
          <w:rFonts w:cs="Times New Roman"/>
          <w:szCs w:val="24"/>
        </w:rPr>
        <w:t>.2</w:t>
      </w:r>
      <w:r w:rsidRPr="008A5055">
        <w:rPr>
          <w:rFonts w:cs="Times New Roman"/>
          <w:szCs w:val="24"/>
        </w:rPr>
        <w:t>]</w:t>
      </w:r>
      <w:r>
        <w:rPr>
          <w:rFonts w:cs="Times New Roman"/>
          <w:szCs w:val="24"/>
        </w:rPr>
        <w:t xml:space="preserve"> </w:t>
      </w:r>
      <w:r w:rsidR="00A876C0">
        <w:rPr>
          <w:rFonts w:cs="Times New Roman"/>
          <w:szCs w:val="24"/>
        </w:rPr>
        <w:t xml:space="preserve">Abu zemāko instanču tiesas </w:t>
      </w:r>
      <w:r w:rsidR="00B00786">
        <w:rPr>
          <w:rFonts w:cs="Times New Roman"/>
          <w:szCs w:val="24"/>
        </w:rPr>
        <w:t xml:space="preserve">konstatēja, ka </w:t>
      </w:r>
      <w:r w:rsidR="009B393A">
        <w:rPr>
          <w:rFonts w:cs="Times New Roman"/>
          <w:szCs w:val="24"/>
        </w:rPr>
        <w:t>[pers. A]</w:t>
      </w:r>
      <w:r w:rsidR="00B00786">
        <w:rPr>
          <w:rFonts w:cs="Times New Roman"/>
          <w:szCs w:val="24"/>
        </w:rPr>
        <w:t xml:space="preserve"> agrāk sodīts ar Rēzeknes prokuratūras </w:t>
      </w:r>
      <w:r w:rsidR="005202F3">
        <w:rPr>
          <w:rFonts w:cs="Times New Roman"/>
          <w:szCs w:val="24"/>
        </w:rPr>
        <w:t xml:space="preserve">prokurora </w:t>
      </w:r>
      <w:r w:rsidR="00B00786">
        <w:rPr>
          <w:rFonts w:cs="Times New Roman"/>
          <w:szCs w:val="24"/>
        </w:rPr>
        <w:t xml:space="preserve">2016.gada 8.aprīļa priekšrakstu par sodu pēc Krimināllikuma 262.panta pirmās daļas ar piespiedu darbu 120 stundām, atņemot transportlīdzekļa vadīšanas tiesības uz 4 gadiem. Sodāmība nav dzēsta. </w:t>
      </w:r>
      <w:r w:rsidR="00A876C0">
        <w:rPr>
          <w:rFonts w:cs="Times New Roman"/>
          <w:szCs w:val="24"/>
        </w:rPr>
        <w:t>T</w:t>
      </w:r>
      <w:r w:rsidR="00B00786">
        <w:rPr>
          <w:rFonts w:cs="Times New Roman"/>
          <w:szCs w:val="24"/>
        </w:rPr>
        <w:t xml:space="preserve">iesas secināja, ka </w:t>
      </w:r>
      <w:r w:rsidR="009B393A">
        <w:rPr>
          <w:rFonts w:cs="Times New Roman"/>
          <w:szCs w:val="24"/>
        </w:rPr>
        <w:t>[pers. A]</w:t>
      </w:r>
      <w:r w:rsidR="00B00786">
        <w:rPr>
          <w:rFonts w:cs="Times New Roman"/>
          <w:szCs w:val="24"/>
        </w:rPr>
        <w:t xml:space="preserve"> atbildību pastiprinošais apstāklis – recidīvs –</w:t>
      </w:r>
      <w:r w:rsidR="005202F3">
        <w:rPr>
          <w:rFonts w:cs="Times New Roman"/>
          <w:szCs w:val="24"/>
        </w:rPr>
        <w:t xml:space="preserve"> attiecas tikai uz vienu</w:t>
      </w:r>
      <w:r w:rsidR="00A876C0">
        <w:rPr>
          <w:rFonts w:cs="Times New Roman"/>
          <w:szCs w:val="24"/>
        </w:rPr>
        <w:t xml:space="preserve"> no</w:t>
      </w:r>
      <w:r w:rsidR="005202F3">
        <w:rPr>
          <w:rFonts w:cs="Times New Roman"/>
          <w:szCs w:val="24"/>
        </w:rPr>
        <w:t xml:space="preserve"> izdarīt</w:t>
      </w:r>
      <w:r w:rsidR="00A876C0">
        <w:rPr>
          <w:rFonts w:cs="Times New Roman"/>
          <w:szCs w:val="24"/>
        </w:rPr>
        <w:t>ajiem</w:t>
      </w:r>
      <w:r w:rsidR="005202F3">
        <w:rPr>
          <w:rFonts w:cs="Times New Roman"/>
          <w:szCs w:val="24"/>
        </w:rPr>
        <w:t xml:space="preserve"> nodarījum</w:t>
      </w:r>
      <w:r w:rsidR="00A876C0">
        <w:rPr>
          <w:rFonts w:cs="Times New Roman"/>
          <w:szCs w:val="24"/>
        </w:rPr>
        <w:t>iem</w:t>
      </w:r>
      <w:r w:rsidR="005202F3">
        <w:rPr>
          <w:rFonts w:cs="Times New Roman"/>
          <w:szCs w:val="24"/>
        </w:rPr>
        <w:t xml:space="preserve">, tas ir, uz Krimināllikuma 262.pantu, bet uz Krimināllikuma 312.pantu neattiecas. </w:t>
      </w:r>
      <w:r w:rsidR="00A876C0">
        <w:rPr>
          <w:rFonts w:cs="Times New Roman"/>
          <w:szCs w:val="24"/>
        </w:rPr>
        <w:t xml:space="preserve">Tiesas nolēmumos atsaucas uz </w:t>
      </w:r>
      <w:r w:rsidR="005202F3">
        <w:rPr>
          <w:rFonts w:cs="Times New Roman"/>
          <w:szCs w:val="24"/>
        </w:rPr>
        <w:t>Krimināllikuma 48.panta ceturt</w:t>
      </w:r>
      <w:r w:rsidR="00A876C0">
        <w:rPr>
          <w:rFonts w:cs="Times New Roman"/>
          <w:szCs w:val="24"/>
        </w:rPr>
        <w:t>o</w:t>
      </w:r>
      <w:r w:rsidR="005202F3">
        <w:rPr>
          <w:rFonts w:cs="Times New Roman"/>
          <w:szCs w:val="24"/>
        </w:rPr>
        <w:t xml:space="preserve"> daļ</w:t>
      </w:r>
      <w:r w:rsidR="00A876C0">
        <w:rPr>
          <w:rFonts w:cs="Times New Roman"/>
          <w:szCs w:val="24"/>
        </w:rPr>
        <w:t>u, kas</w:t>
      </w:r>
      <w:r w:rsidR="005202F3">
        <w:rPr>
          <w:rFonts w:cs="Times New Roman"/>
          <w:szCs w:val="24"/>
        </w:rPr>
        <w:t xml:space="preserve"> noteic, ka par atbildību pastiprinošu apstākli </w:t>
      </w:r>
      <w:r w:rsidR="00CB6454">
        <w:rPr>
          <w:rFonts w:cs="Times New Roman"/>
          <w:szCs w:val="24"/>
        </w:rPr>
        <w:t xml:space="preserve">nav atzīstams tāds apstāklis, kurš šajā likumā paredzēts kā noziedzīga nodarījuma sastāva pazīme. </w:t>
      </w:r>
      <w:r w:rsidR="00CB6454">
        <w:rPr>
          <w:rFonts w:cs="Times New Roman"/>
          <w:szCs w:val="24"/>
        </w:rPr>
        <w:lastRenderedPageBreak/>
        <w:t xml:space="preserve">Abu </w:t>
      </w:r>
      <w:r w:rsidR="00A876C0">
        <w:rPr>
          <w:rFonts w:cs="Times New Roman"/>
          <w:szCs w:val="24"/>
        </w:rPr>
        <w:t>zemāko</w:t>
      </w:r>
      <w:r w:rsidR="00CB6454">
        <w:rPr>
          <w:rFonts w:cs="Times New Roman"/>
          <w:szCs w:val="24"/>
        </w:rPr>
        <w:t xml:space="preserve"> instanču tiesas atzina, ka Krimināllikuma 312.pantā paredzētā noziedzīgā nodarījuma sastāva objektīvo pusi veido </w:t>
      </w:r>
      <w:r w:rsidR="009B393A">
        <w:rPr>
          <w:rFonts w:cs="Times New Roman"/>
          <w:szCs w:val="24"/>
        </w:rPr>
        <w:t>[pers. A]</w:t>
      </w:r>
      <w:r w:rsidR="00CB6454">
        <w:rPr>
          <w:rFonts w:cs="Times New Roman"/>
          <w:szCs w:val="24"/>
        </w:rPr>
        <w:t xml:space="preserve"> iepriekšējās sodāmības fakts un viņam noteiktā papildsoda nosacījumu neievērošana, kas nedod pamatu atzīt par viņa atbildību pastiprinošo apstākli</w:t>
      </w:r>
      <w:r w:rsidR="00976E99">
        <w:rPr>
          <w:rFonts w:cs="Times New Roman"/>
          <w:szCs w:val="24"/>
        </w:rPr>
        <w:t xml:space="preserve"> </w:t>
      </w:r>
      <w:r w:rsidR="00976E99">
        <w:rPr>
          <w:rFonts w:ascii="TimesNewRomanPSMT" w:hAnsi="TimesNewRomanPSMT" w:cs="TimesNewRomanPSMT"/>
          <w:szCs w:val="24"/>
        </w:rPr>
        <w:t>noziedzīgu nodarījumu recidīvu.</w:t>
      </w:r>
    </w:p>
    <w:p w:rsidR="00976E99" w:rsidRDefault="00CB6454" w:rsidP="00976E99">
      <w:pPr>
        <w:tabs>
          <w:tab w:val="left" w:pos="-3120"/>
        </w:tabs>
        <w:suppressAutoHyphens/>
        <w:spacing w:after="0" w:line="276" w:lineRule="auto"/>
        <w:jc w:val="both"/>
        <w:rPr>
          <w:rFonts w:ascii="TimesNewRomanPSMT" w:hAnsi="TimesNewRomanPSMT" w:cs="TimesNewRomanPSMT"/>
          <w:szCs w:val="24"/>
        </w:rPr>
      </w:pPr>
      <w:r>
        <w:rPr>
          <w:rFonts w:ascii="TimesNewRomanPSMT" w:hAnsi="TimesNewRomanPSMT" w:cs="TimesNewRomanPSMT"/>
          <w:szCs w:val="24"/>
        </w:rPr>
        <w:tab/>
      </w:r>
    </w:p>
    <w:p w:rsidR="00CB6454" w:rsidRPr="00976E99" w:rsidRDefault="00976E99" w:rsidP="00976E99">
      <w:pPr>
        <w:tabs>
          <w:tab w:val="left" w:pos="-3120"/>
        </w:tabs>
        <w:suppressAutoHyphens/>
        <w:spacing w:after="0" w:line="276" w:lineRule="auto"/>
        <w:jc w:val="both"/>
        <w:rPr>
          <w:rFonts w:ascii="TimesNewRomanPSMT" w:hAnsi="TimesNewRomanPSMT" w:cs="TimesNewRomanPSMT"/>
          <w:szCs w:val="24"/>
        </w:rPr>
      </w:pPr>
      <w:r>
        <w:rPr>
          <w:rFonts w:ascii="TimesNewRomanPSMT" w:hAnsi="TimesNewRomanPSMT" w:cs="TimesNewRomanPSMT"/>
          <w:szCs w:val="24"/>
        </w:rPr>
        <w:tab/>
      </w:r>
      <w:r w:rsidRPr="008A5055">
        <w:rPr>
          <w:rFonts w:cs="Times New Roman"/>
          <w:szCs w:val="24"/>
        </w:rPr>
        <w:t>[</w:t>
      </w:r>
      <w:r>
        <w:rPr>
          <w:rFonts w:cs="Times New Roman"/>
          <w:szCs w:val="24"/>
        </w:rPr>
        <w:t>2.</w:t>
      </w:r>
      <w:r w:rsidR="00CC26A3">
        <w:rPr>
          <w:rFonts w:cs="Times New Roman"/>
          <w:szCs w:val="24"/>
        </w:rPr>
        <w:t>3</w:t>
      </w:r>
      <w:r w:rsidRPr="008A5055">
        <w:rPr>
          <w:rFonts w:cs="Times New Roman"/>
          <w:szCs w:val="24"/>
        </w:rPr>
        <w:t>]</w:t>
      </w:r>
      <w:r>
        <w:rPr>
          <w:rFonts w:cs="Times New Roman"/>
          <w:szCs w:val="24"/>
        </w:rPr>
        <w:t xml:space="preserve"> </w:t>
      </w:r>
      <w:r w:rsidR="00F56E9E">
        <w:rPr>
          <w:rFonts w:ascii="TimesNewRomanPSMT" w:hAnsi="TimesNewRomanPSMT" w:cs="TimesNewRomanPSMT"/>
          <w:szCs w:val="24"/>
        </w:rPr>
        <w:t xml:space="preserve">Prokurore uzskata Latgales apgabaltiesas </w:t>
      </w:r>
      <w:r w:rsidR="00A876C0">
        <w:rPr>
          <w:rFonts w:ascii="TimesNewRomanPSMT" w:hAnsi="TimesNewRomanPSMT" w:cs="TimesNewRomanPSMT"/>
          <w:szCs w:val="24"/>
        </w:rPr>
        <w:t>atzinumu</w:t>
      </w:r>
      <w:r w:rsidR="00F56E9E">
        <w:rPr>
          <w:rFonts w:ascii="TimesNewRomanPSMT" w:hAnsi="TimesNewRomanPSMT" w:cs="TimesNewRomanPSMT"/>
          <w:szCs w:val="24"/>
        </w:rPr>
        <w:t xml:space="preserve"> par kļūdainu</w:t>
      </w:r>
      <w:r>
        <w:rPr>
          <w:rFonts w:ascii="TimesNewRomanPSMT" w:hAnsi="TimesNewRomanPSMT" w:cs="TimesNewRomanPSMT"/>
          <w:szCs w:val="24"/>
        </w:rPr>
        <w:t xml:space="preserve"> </w:t>
      </w:r>
      <w:r>
        <w:rPr>
          <w:rFonts w:cs="Times New Roman"/>
          <w:szCs w:val="24"/>
        </w:rPr>
        <w:t>Krimināllikuma 27.panta interpretāciju.</w:t>
      </w:r>
    </w:p>
    <w:p w:rsidR="00976E99" w:rsidRDefault="00976E99" w:rsidP="006670A0">
      <w:pPr>
        <w:tabs>
          <w:tab w:val="left" w:pos="-3120"/>
        </w:tabs>
        <w:suppressAutoHyphens/>
        <w:spacing w:after="0" w:line="276" w:lineRule="auto"/>
        <w:jc w:val="both"/>
        <w:rPr>
          <w:rFonts w:cs="Times New Roman"/>
          <w:szCs w:val="24"/>
        </w:rPr>
      </w:pPr>
      <w:r>
        <w:rPr>
          <w:rFonts w:cs="Times New Roman"/>
          <w:szCs w:val="24"/>
        </w:rPr>
        <w:tab/>
        <w:t xml:space="preserve">Tā kā </w:t>
      </w:r>
      <w:r w:rsidR="009B393A">
        <w:rPr>
          <w:rFonts w:cs="Times New Roman"/>
          <w:szCs w:val="24"/>
        </w:rPr>
        <w:t>[pers. A]</w:t>
      </w:r>
      <w:r>
        <w:rPr>
          <w:rFonts w:cs="Times New Roman"/>
          <w:szCs w:val="24"/>
        </w:rPr>
        <w:t xml:space="preserve"> pēdējā sodāmība nav noņemta vai dzēsta likumā noteikt</w:t>
      </w:r>
      <w:r w:rsidR="00A876C0">
        <w:rPr>
          <w:rFonts w:cs="Times New Roman"/>
          <w:szCs w:val="24"/>
        </w:rPr>
        <w:t>aj</w:t>
      </w:r>
      <w:r>
        <w:rPr>
          <w:rFonts w:cs="Times New Roman"/>
          <w:szCs w:val="24"/>
        </w:rPr>
        <w:t>ā kārtībā, kā arī noziedzīgu nodarījumu recidīvs nav Krimināllikuma 312.panta sastāva pazīme, tiesa, pēc kasācijas protesta autores domām, nepareizi iztulkoja Krimināllikuma Vispār</w:t>
      </w:r>
      <w:r w:rsidR="00A876C0">
        <w:rPr>
          <w:rFonts w:cs="Times New Roman"/>
          <w:szCs w:val="24"/>
        </w:rPr>
        <w:t>īgās</w:t>
      </w:r>
      <w:r>
        <w:rPr>
          <w:rFonts w:cs="Times New Roman"/>
          <w:szCs w:val="24"/>
        </w:rPr>
        <w:t xml:space="preserve"> daļas normu – Krimināllikuma 48.panta pirmās daļas 1.punktu, kas noveda pie nelikumīga nolēmuma. Tiesa pieļāva Kriminālprocesa likuma 574.panta 2.punktā norādīto Krimināllikuma pārkāpumu.</w:t>
      </w:r>
    </w:p>
    <w:p w:rsidR="005202F3" w:rsidRDefault="005202F3" w:rsidP="006670A0">
      <w:pPr>
        <w:tabs>
          <w:tab w:val="left" w:pos="-3120"/>
        </w:tabs>
        <w:suppressAutoHyphens/>
        <w:spacing w:after="0" w:line="276" w:lineRule="auto"/>
        <w:jc w:val="both"/>
        <w:rPr>
          <w:rFonts w:cs="Times New Roman"/>
          <w:szCs w:val="24"/>
        </w:rPr>
      </w:pPr>
    </w:p>
    <w:p w:rsidR="006670A0" w:rsidRPr="008A5055" w:rsidRDefault="006670A0" w:rsidP="006670A0">
      <w:pPr>
        <w:spacing w:after="0" w:line="276" w:lineRule="auto"/>
        <w:jc w:val="center"/>
        <w:rPr>
          <w:rFonts w:cs="Times New Roman"/>
          <w:b/>
          <w:szCs w:val="24"/>
        </w:rPr>
      </w:pPr>
      <w:r w:rsidRPr="008A5055">
        <w:rPr>
          <w:rFonts w:cs="Times New Roman"/>
          <w:b/>
          <w:szCs w:val="24"/>
        </w:rPr>
        <w:t>Motīvu daļa</w:t>
      </w:r>
    </w:p>
    <w:p w:rsidR="006670A0" w:rsidRPr="008A5055" w:rsidRDefault="006670A0" w:rsidP="006670A0">
      <w:pPr>
        <w:spacing w:after="0" w:line="276" w:lineRule="auto"/>
        <w:jc w:val="center"/>
        <w:rPr>
          <w:rFonts w:cs="Times New Roman"/>
          <w:b/>
          <w:szCs w:val="24"/>
        </w:rPr>
      </w:pPr>
    </w:p>
    <w:p w:rsidR="006670A0" w:rsidRDefault="006670A0" w:rsidP="006670A0">
      <w:pPr>
        <w:autoSpaceDE w:val="0"/>
        <w:autoSpaceDN w:val="0"/>
        <w:adjustRightInd w:val="0"/>
        <w:spacing w:after="0" w:line="276" w:lineRule="auto"/>
        <w:ind w:firstLine="720"/>
        <w:jc w:val="both"/>
        <w:rPr>
          <w:rFonts w:eastAsia="Times New Roman" w:cs="Times New Roman"/>
          <w:szCs w:val="24"/>
        </w:rPr>
      </w:pPr>
      <w:r w:rsidRPr="008A5055">
        <w:rPr>
          <w:rFonts w:cs="Times New Roman"/>
          <w:szCs w:val="24"/>
        </w:rPr>
        <w:t>[</w:t>
      </w:r>
      <w:r w:rsidR="00976E99">
        <w:rPr>
          <w:rFonts w:cs="Times New Roman"/>
          <w:szCs w:val="24"/>
        </w:rPr>
        <w:t>3</w:t>
      </w:r>
      <w:r w:rsidRPr="008A5055">
        <w:rPr>
          <w:rFonts w:cs="Times New Roman"/>
          <w:szCs w:val="24"/>
        </w:rPr>
        <w:t>] Augstākā tiesa atzīst, ka</w:t>
      </w:r>
      <w:r w:rsidRPr="008A5055">
        <w:rPr>
          <w:rFonts w:eastAsia="Times New Roman" w:cs="Times New Roman"/>
          <w:szCs w:val="24"/>
        </w:rPr>
        <w:t xml:space="preserve"> </w:t>
      </w:r>
      <w:r w:rsidR="00AA77AB">
        <w:rPr>
          <w:rFonts w:eastAsia="Calibri" w:cs="Times New Roman"/>
          <w:szCs w:val="24"/>
        </w:rPr>
        <w:t>Latgales apgabaltiesas 2017.gada 27.jūnija lēmums</w:t>
      </w:r>
      <w:r w:rsidR="00AA77AB">
        <w:rPr>
          <w:rFonts w:eastAsia="Times New Roman" w:cs="Times New Roman"/>
          <w:szCs w:val="24"/>
        </w:rPr>
        <w:t xml:space="preserve"> </w:t>
      </w:r>
      <w:r w:rsidR="00A876C0">
        <w:rPr>
          <w:rFonts w:eastAsia="Times New Roman" w:cs="Times New Roman"/>
          <w:szCs w:val="24"/>
        </w:rPr>
        <w:t xml:space="preserve">grozāms un no </w:t>
      </w:r>
      <w:r w:rsidR="00A1754C">
        <w:rPr>
          <w:rFonts w:eastAsia="Times New Roman" w:cs="Times New Roman"/>
          <w:szCs w:val="24"/>
        </w:rPr>
        <w:t xml:space="preserve">lēmuma </w:t>
      </w:r>
      <w:r w:rsidR="00A876C0">
        <w:rPr>
          <w:rFonts w:eastAsia="Times New Roman" w:cs="Times New Roman"/>
          <w:szCs w:val="24"/>
        </w:rPr>
        <w:t xml:space="preserve">motīvu daļas izslēdzams atzinums par to, ka </w:t>
      </w:r>
      <w:r w:rsidR="00A876C0">
        <w:rPr>
          <w:rFonts w:cs="Times New Roman"/>
          <w:szCs w:val="24"/>
        </w:rPr>
        <w:t xml:space="preserve">Krimināllikuma 312.pantā paredzētā noziedzīgā nodarījuma objektīvo pusi veido iepriekšējā sodāmība. Pārējā daļā lēmums </w:t>
      </w:r>
      <w:r>
        <w:rPr>
          <w:rFonts w:eastAsia="Times New Roman" w:cs="Times New Roman"/>
          <w:szCs w:val="24"/>
        </w:rPr>
        <w:t xml:space="preserve">atstājams negrozīts, bet </w:t>
      </w:r>
      <w:r w:rsidR="00AA77AB">
        <w:rPr>
          <w:rFonts w:eastAsia="Calibri" w:cs="Times New Roman"/>
          <w:szCs w:val="24"/>
        </w:rPr>
        <w:t xml:space="preserve">prokurores </w:t>
      </w:r>
      <w:r w:rsidR="00AA77AB">
        <w:t>J. </w:t>
      </w:r>
      <w:r w:rsidR="00AA77AB">
        <w:rPr>
          <w:rFonts w:eastAsia="Calibri" w:cs="Times New Roman"/>
          <w:szCs w:val="24"/>
        </w:rPr>
        <w:t xml:space="preserve">Artemjevas kasācijas protests </w:t>
      </w:r>
      <w:r>
        <w:rPr>
          <w:rFonts w:eastAsia="Times New Roman" w:cs="Times New Roman"/>
          <w:szCs w:val="24"/>
        </w:rPr>
        <w:t>noraidāms.</w:t>
      </w:r>
    </w:p>
    <w:p w:rsidR="006670A0" w:rsidRDefault="006670A0" w:rsidP="006670A0">
      <w:pPr>
        <w:autoSpaceDE w:val="0"/>
        <w:autoSpaceDN w:val="0"/>
        <w:adjustRightInd w:val="0"/>
        <w:spacing w:after="0" w:line="276" w:lineRule="auto"/>
        <w:ind w:firstLine="720"/>
        <w:jc w:val="both"/>
        <w:rPr>
          <w:rFonts w:cs="Times New Roman"/>
          <w:szCs w:val="24"/>
        </w:rPr>
      </w:pPr>
    </w:p>
    <w:p w:rsidR="00AA77AB" w:rsidRPr="002576AB" w:rsidRDefault="006670A0" w:rsidP="002576AB">
      <w:pPr>
        <w:autoSpaceDE w:val="0"/>
        <w:autoSpaceDN w:val="0"/>
        <w:adjustRightInd w:val="0"/>
        <w:spacing w:after="0" w:line="276" w:lineRule="auto"/>
        <w:ind w:firstLine="720"/>
        <w:jc w:val="both"/>
        <w:rPr>
          <w:rFonts w:ascii="TimesNewRomanPSMT" w:hAnsi="TimesNewRomanPSMT" w:cs="TimesNewRomanPSMT"/>
          <w:szCs w:val="24"/>
        </w:rPr>
      </w:pPr>
      <w:r w:rsidRPr="008A5055">
        <w:rPr>
          <w:rFonts w:cs="Times New Roman"/>
          <w:szCs w:val="24"/>
        </w:rPr>
        <w:t>[</w:t>
      </w:r>
      <w:r w:rsidR="00AA77AB">
        <w:rPr>
          <w:rFonts w:cs="Times New Roman"/>
          <w:szCs w:val="24"/>
        </w:rPr>
        <w:t>3</w:t>
      </w:r>
      <w:r w:rsidRPr="008A5055">
        <w:rPr>
          <w:rFonts w:cs="Times New Roman"/>
          <w:szCs w:val="24"/>
        </w:rPr>
        <w:t xml:space="preserve">.1] </w:t>
      </w:r>
      <w:r w:rsidR="00AA77AB">
        <w:rPr>
          <w:rFonts w:cs="Times New Roman"/>
          <w:szCs w:val="24"/>
        </w:rPr>
        <w:t xml:space="preserve">Rēzeknes tiesa un Latgales apgabaltiesa atzina, ka, nosakot apsūdzētajam </w:t>
      </w:r>
      <w:r w:rsidR="009B393A">
        <w:rPr>
          <w:rFonts w:cs="Times New Roman"/>
          <w:szCs w:val="24"/>
        </w:rPr>
        <w:t>[pers. A]</w:t>
      </w:r>
      <w:r w:rsidR="00AA77AB">
        <w:rPr>
          <w:rFonts w:cs="Times New Roman"/>
          <w:szCs w:val="24"/>
        </w:rPr>
        <w:t xml:space="preserve"> sodu pēc Krimināllikuma 312.panta, nav pamata konstatēt</w:t>
      </w:r>
      <w:r w:rsidR="00AA77AB" w:rsidRPr="00AA77AB">
        <w:rPr>
          <w:rFonts w:cs="Times New Roman"/>
          <w:szCs w:val="24"/>
        </w:rPr>
        <w:t xml:space="preserve"> </w:t>
      </w:r>
      <w:r w:rsidR="00AA77AB">
        <w:rPr>
          <w:rFonts w:cs="Times New Roman"/>
          <w:szCs w:val="24"/>
        </w:rPr>
        <w:t>Krimināllikuma 48.panta pirmās daļas 1.punktā paredzēto</w:t>
      </w:r>
      <w:r w:rsidR="00AA77AB" w:rsidRPr="00AA77AB">
        <w:rPr>
          <w:rFonts w:ascii="TimesNewRomanPSMT" w:hAnsi="TimesNewRomanPSMT" w:cs="TimesNewRomanPSMT"/>
          <w:szCs w:val="24"/>
        </w:rPr>
        <w:t xml:space="preserve"> </w:t>
      </w:r>
      <w:r w:rsidR="00AA77AB">
        <w:rPr>
          <w:rFonts w:ascii="TimesNewRomanPSMT" w:hAnsi="TimesNewRomanPSMT" w:cs="TimesNewRomanPSMT"/>
          <w:szCs w:val="24"/>
        </w:rPr>
        <w:t>atbildību pastiprinošo apstākli – noziedzīgais nodarījums veido noziedzīgu nodarījumu recidīvu</w:t>
      </w:r>
      <w:r w:rsidR="002576AB">
        <w:rPr>
          <w:rFonts w:ascii="TimesNewRomanPSMT" w:hAnsi="TimesNewRomanPSMT" w:cs="TimesNewRomanPSMT"/>
          <w:szCs w:val="24"/>
        </w:rPr>
        <w:t xml:space="preserve"> –</w:t>
      </w:r>
      <w:r w:rsidR="00AA77AB">
        <w:rPr>
          <w:rFonts w:ascii="TimesNewRomanPSMT" w:hAnsi="TimesNewRomanPSMT" w:cs="TimesNewRomanPSMT"/>
          <w:szCs w:val="24"/>
        </w:rPr>
        <w:t>, jo saskaņā ar</w:t>
      </w:r>
      <w:r w:rsidR="00AA77AB" w:rsidRPr="00AA77AB">
        <w:rPr>
          <w:rFonts w:cs="Times New Roman"/>
          <w:szCs w:val="24"/>
        </w:rPr>
        <w:t xml:space="preserve"> </w:t>
      </w:r>
      <w:r w:rsidR="00AA77AB">
        <w:rPr>
          <w:rFonts w:cs="Times New Roman"/>
          <w:szCs w:val="24"/>
        </w:rPr>
        <w:t xml:space="preserve">Krimināllikuma 48.panta ceturtajā daļā noteikto par atbildību pastiprinošu apstākli nav atzīstams tāds apstāklis, kurš šajā likumā paredzēts kā noziedzīga nodarījuma sastāva pazīme. </w:t>
      </w:r>
    </w:p>
    <w:p w:rsidR="007E625A" w:rsidRDefault="002576AB" w:rsidP="009B238C">
      <w:pPr>
        <w:autoSpaceDE w:val="0"/>
        <w:autoSpaceDN w:val="0"/>
        <w:adjustRightInd w:val="0"/>
        <w:spacing w:after="0" w:line="276" w:lineRule="auto"/>
        <w:ind w:firstLine="720"/>
        <w:jc w:val="both"/>
        <w:rPr>
          <w:rFonts w:cs="Times New Roman"/>
          <w:szCs w:val="24"/>
        </w:rPr>
      </w:pPr>
      <w:r>
        <w:rPr>
          <w:rFonts w:cs="Times New Roman"/>
          <w:szCs w:val="24"/>
        </w:rPr>
        <w:t>Abas zemāko instanču tiesas</w:t>
      </w:r>
      <w:r w:rsidR="00AA77AB">
        <w:rPr>
          <w:rFonts w:cs="Times New Roman"/>
          <w:szCs w:val="24"/>
        </w:rPr>
        <w:t xml:space="preserve"> atzina: „Apsūdzētajam inkriminētā Krimināllikuma 312.pantā paredzētā noziedzīgā nodarījuma sastāva objektīvo pusi veido viņa iepriekšējā</w:t>
      </w:r>
      <w:r w:rsidR="007E625A">
        <w:rPr>
          <w:rFonts w:cs="Times New Roman"/>
          <w:szCs w:val="24"/>
        </w:rPr>
        <w:t>s</w:t>
      </w:r>
      <w:r w:rsidR="00AA77AB">
        <w:rPr>
          <w:rFonts w:cs="Times New Roman"/>
          <w:szCs w:val="24"/>
        </w:rPr>
        <w:t xml:space="preserve"> sodāmības fakts un ar to noteiktā papildsoda nosacījumu neievērošana</w:t>
      </w:r>
      <w:r w:rsidR="007E625A">
        <w:rPr>
          <w:rFonts w:cs="Times New Roman"/>
          <w:szCs w:val="24"/>
        </w:rPr>
        <w:t xml:space="preserve">.” </w:t>
      </w:r>
    </w:p>
    <w:p w:rsidR="00A876C0" w:rsidRDefault="00A876C0" w:rsidP="009B238C">
      <w:pPr>
        <w:autoSpaceDE w:val="0"/>
        <w:autoSpaceDN w:val="0"/>
        <w:adjustRightInd w:val="0"/>
        <w:spacing w:after="0" w:line="276" w:lineRule="auto"/>
        <w:ind w:firstLine="720"/>
        <w:jc w:val="both"/>
        <w:rPr>
          <w:rFonts w:cs="Times New Roman"/>
          <w:szCs w:val="24"/>
        </w:rPr>
      </w:pPr>
      <w:r>
        <w:rPr>
          <w:rFonts w:cs="Times New Roman"/>
          <w:szCs w:val="24"/>
        </w:rPr>
        <w:t xml:space="preserve">Kasācijas instances tiesa </w:t>
      </w:r>
      <w:r w:rsidR="00A1754C">
        <w:rPr>
          <w:rFonts w:cs="Times New Roman"/>
          <w:szCs w:val="24"/>
        </w:rPr>
        <w:t>konstatē</w:t>
      </w:r>
      <w:r>
        <w:rPr>
          <w:rFonts w:cs="Times New Roman"/>
          <w:szCs w:val="24"/>
        </w:rPr>
        <w:t>, ka Latgales apgabaltiesa pareizi piemēroja Krimināllikuma 48.panta ceturto daļu, bet kļūdaini atzina, ka</w:t>
      </w:r>
      <w:r w:rsidRPr="00A876C0">
        <w:rPr>
          <w:rFonts w:cs="Times New Roman"/>
          <w:szCs w:val="24"/>
        </w:rPr>
        <w:t xml:space="preserve"> </w:t>
      </w:r>
      <w:r w:rsidR="009B393A">
        <w:rPr>
          <w:rFonts w:cs="Times New Roman"/>
          <w:szCs w:val="24"/>
        </w:rPr>
        <w:t>[pers. A]</w:t>
      </w:r>
      <w:r>
        <w:rPr>
          <w:rFonts w:cs="Times New Roman"/>
          <w:szCs w:val="24"/>
        </w:rPr>
        <w:t xml:space="preserve"> inkriminētā Krimināllikuma 312.pantā paredzētā noziedzīgā nodarījuma objektīvo pusi veido viņa iepriekšējās sodāmības fakts.</w:t>
      </w:r>
    </w:p>
    <w:p w:rsidR="00A876C0" w:rsidRDefault="00A876C0" w:rsidP="009B238C">
      <w:pPr>
        <w:autoSpaceDE w:val="0"/>
        <w:autoSpaceDN w:val="0"/>
        <w:adjustRightInd w:val="0"/>
        <w:spacing w:after="0" w:line="276" w:lineRule="auto"/>
        <w:ind w:firstLine="720"/>
        <w:jc w:val="both"/>
        <w:rPr>
          <w:rFonts w:cs="Times New Roman"/>
          <w:szCs w:val="24"/>
        </w:rPr>
      </w:pPr>
      <w:r>
        <w:rPr>
          <w:rFonts w:cs="Times New Roman"/>
          <w:szCs w:val="24"/>
        </w:rPr>
        <w:t>Augstākā tiesa konstatē, ka prokurore, nepiekrītot Latgales apgabaltiesas atzinumam, savu viedokli nepamato ar plašāku tiesību normu analīzi vai tiesību doktrīnā izteiktajām atziņām.</w:t>
      </w:r>
    </w:p>
    <w:p w:rsidR="003F245F" w:rsidRDefault="003F245F" w:rsidP="009B238C">
      <w:pPr>
        <w:autoSpaceDE w:val="0"/>
        <w:autoSpaceDN w:val="0"/>
        <w:adjustRightInd w:val="0"/>
        <w:spacing w:after="0" w:line="276" w:lineRule="auto"/>
        <w:ind w:firstLine="720"/>
        <w:jc w:val="both"/>
        <w:rPr>
          <w:rFonts w:cs="Times New Roman"/>
          <w:szCs w:val="24"/>
        </w:rPr>
      </w:pPr>
    </w:p>
    <w:p w:rsidR="009B238C" w:rsidRPr="00F52CD0" w:rsidRDefault="003F245F" w:rsidP="009B238C">
      <w:pPr>
        <w:autoSpaceDE w:val="0"/>
        <w:autoSpaceDN w:val="0"/>
        <w:adjustRightInd w:val="0"/>
        <w:spacing w:after="0" w:line="276" w:lineRule="auto"/>
        <w:ind w:firstLine="720"/>
        <w:jc w:val="both"/>
      </w:pPr>
      <w:r w:rsidRPr="008A5055">
        <w:rPr>
          <w:rFonts w:cs="Times New Roman"/>
          <w:szCs w:val="24"/>
        </w:rPr>
        <w:t>[</w:t>
      </w:r>
      <w:r>
        <w:rPr>
          <w:rFonts w:cs="Times New Roman"/>
          <w:szCs w:val="24"/>
        </w:rPr>
        <w:t>3</w:t>
      </w:r>
      <w:r w:rsidRPr="008A5055">
        <w:rPr>
          <w:rFonts w:cs="Times New Roman"/>
          <w:szCs w:val="24"/>
        </w:rPr>
        <w:t>.</w:t>
      </w:r>
      <w:r>
        <w:rPr>
          <w:rFonts w:cs="Times New Roman"/>
          <w:szCs w:val="24"/>
        </w:rPr>
        <w:t>2</w:t>
      </w:r>
      <w:r w:rsidRPr="008A5055">
        <w:rPr>
          <w:rFonts w:cs="Times New Roman"/>
          <w:szCs w:val="24"/>
        </w:rPr>
        <w:t xml:space="preserve">] </w:t>
      </w:r>
      <w:r>
        <w:rPr>
          <w:rFonts w:cs="Times New Roman"/>
          <w:szCs w:val="24"/>
        </w:rPr>
        <w:t>Tiesību doktrīnā</w:t>
      </w:r>
      <w:r w:rsidR="002576AB">
        <w:rPr>
          <w:rFonts w:cs="Times New Roman"/>
          <w:szCs w:val="24"/>
        </w:rPr>
        <w:t xml:space="preserve"> atzī</w:t>
      </w:r>
      <w:r w:rsidR="007E625A">
        <w:rPr>
          <w:rFonts w:cs="Times New Roman"/>
          <w:szCs w:val="24"/>
        </w:rPr>
        <w:t>t</w:t>
      </w:r>
      <w:r>
        <w:rPr>
          <w:rFonts w:cs="Times New Roman"/>
          <w:szCs w:val="24"/>
        </w:rPr>
        <w:t>s</w:t>
      </w:r>
      <w:r w:rsidR="007E625A">
        <w:rPr>
          <w:rFonts w:cs="Times New Roman"/>
          <w:szCs w:val="24"/>
        </w:rPr>
        <w:t>, ka</w:t>
      </w:r>
      <w:r w:rsidR="009B238C">
        <w:rPr>
          <w:rFonts w:cs="Times New Roman"/>
          <w:szCs w:val="24"/>
        </w:rPr>
        <w:t xml:space="preserve"> „noziedzīga nodarījuma sastāvs (</w:t>
      </w:r>
      <w:r w:rsidR="009B238C" w:rsidRPr="002576AB">
        <w:rPr>
          <w:rFonts w:cs="Times New Roman"/>
          <w:i/>
          <w:szCs w:val="24"/>
        </w:rPr>
        <w:t>corpus delicti</w:t>
      </w:r>
      <w:r w:rsidR="009B238C">
        <w:rPr>
          <w:rFonts w:cs="Times New Roman"/>
          <w:szCs w:val="24"/>
        </w:rPr>
        <w:t>) ir likumā paredzēto visu objektīvo un subjektīvo pazīmju kopums, kas ir nepieciešams un pietiekams, lai atzītu kaitīgu darbību vai bezdarbību par noteikta veida noziedzīgu nodarījumu.” (</w:t>
      </w:r>
      <w:r w:rsidR="009B238C" w:rsidRPr="00F52CD0">
        <w:rPr>
          <w:i/>
        </w:rPr>
        <w:t>Krastiņš</w:t>
      </w:r>
      <w:r w:rsidR="009B238C" w:rsidRPr="00A3158C">
        <w:rPr>
          <w:i/>
        </w:rPr>
        <w:t xml:space="preserve"> </w:t>
      </w:r>
      <w:r w:rsidR="002C47A9">
        <w:rPr>
          <w:i/>
        </w:rPr>
        <w:t>U.</w:t>
      </w:r>
      <w:r w:rsidR="009B238C" w:rsidRPr="00F52CD0">
        <w:rPr>
          <w:i/>
        </w:rPr>
        <w:t xml:space="preserve"> N</w:t>
      </w:r>
      <w:r w:rsidR="009B238C">
        <w:rPr>
          <w:i/>
        </w:rPr>
        <w:t>oziedzīga nodarījuma sastāvs un nodarījuma kvalifikācija. Teorētiskie aspekti. Rīga: Tiesu namu aģentūra, 2014, 21</w:t>
      </w:r>
      <w:r w:rsidR="009B238C" w:rsidRPr="00F52CD0">
        <w:rPr>
          <w:i/>
        </w:rPr>
        <w:t>.lpp.</w:t>
      </w:r>
      <w:r w:rsidR="009B238C" w:rsidRPr="00F52CD0">
        <w:t>).</w:t>
      </w:r>
    </w:p>
    <w:p w:rsidR="007E625A" w:rsidRDefault="009B238C" w:rsidP="009B238C">
      <w:pPr>
        <w:autoSpaceDE w:val="0"/>
        <w:autoSpaceDN w:val="0"/>
        <w:adjustRightInd w:val="0"/>
        <w:spacing w:after="0" w:line="276" w:lineRule="auto"/>
        <w:ind w:firstLine="720"/>
        <w:jc w:val="both"/>
        <w:rPr>
          <w:rFonts w:cs="Times New Roman"/>
          <w:szCs w:val="24"/>
        </w:rPr>
      </w:pPr>
      <w:r>
        <w:rPr>
          <w:rFonts w:cs="Times New Roman"/>
          <w:szCs w:val="24"/>
        </w:rPr>
        <w:t xml:space="preserve"> </w:t>
      </w:r>
      <w:r w:rsidR="007E625A">
        <w:rPr>
          <w:rFonts w:cs="Times New Roman"/>
          <w:szCs w:val="24"/>
        </w:rPr>
        <w:t>Krimināllikuma 1.panta pirmā daļa noteic, ka p</w:t>
      </w:r>
      <w:r w:rsidR="007E625A" w:rsidRPr="007E625A">
        <w:rPr>
          <w:rFonts w:cs="Times New Roman"/>
          <w:szCs w:val="24"/>
        </w:rPr>
        <w:t xml:space="preserve">ie kriminālatbildības saucama un sodāma tikai tāda persona, kura ir vainīga noziedzīga nodarījuma izdarīšanā, tas ir, kura ar </w:t>
      </w:r>
      <w:r w:rsidR="007E625A" w:rsidRPr="007E625A">
        <w:rPr>
          <w:rFonts w:cs="Times New Roman"/>
          <w:szCs w:val="24"/>
        </w:rPr>
        <w:lastRenderedPageBreak/>
        <w:t>nodomu (tīši) vai aiz neuzmanības izdarījusi šajā likumā paredzētu nodarījumu, kam ir visas noziedzīga nodarījuma sastāva pazīmes.</w:t>
      </w:r>
    </w:p>
    <w:p w:rsidR="00552B48" w:rsidRPr="00F52CD0" w:rsidRDefault="00B7345A" w:rsidP="00552B48">
      <w:pPr>
        <w:autoSpaceDE w:val="0"/>
        <w:autoSpaceDN w:val="0"/>
        <w:adjustRightInd w:val="0"/>
        <w:spacing w:after="0" w:line="276" w:lineRule="auto"/>
        <w:ind w:firstLine="720"/>
        <w:jc w:val="both"/>
      </w:pPr>
      <w:r>
        <w:rPr>
          <w:rFonts w:cs="Times New Roman"/>
          <w:szCs w:val="24"/>
        </w:rPr>
        <w:t>Noziedzīga nodarījuma sastāva teorētiskai analīzei krimināltiesībās tiek izdalīti četri noziedzīga nodarījuma sastāva elementi – noziedzīga nodarījuma objekts, objektīvā puse, subjekts un subjektīvā puse.</w:t>
      </w:r>
      <w:r w:rsidR="003F245F">
        <w:rPr>
          <w:rFonts w:cs="Times New Roman"/>
          <w:szCs w:val="24"/>
        </w:rPr>
        <w:t xml:space="preserve"> </w:t>
      </w:r>
      <w:r>
        <w:rPr>
          <w:rFonts w:cs="Times New Roman"/>
          <w:szCs w:val="24"/>
        </w:rPr>
        <w:t>Ar noziedzīga nodarījuma objektīvo pusi jāsaprot kaitīgā nodarījuma ārējās izpausmes pazīmju kopums, kas tiek realizēts kā prettiesiska uzvedība darbības vai bezdarbības veidā un rada kaitējumu ar Krimināllikumu aizsargātām interesēm vai rada šāda kaitējuma nodarīšanas reālas briesmas.</w:t>
      </w:r>
      <w:r w:rsidR="003F245F">
        <w:rPr>
          <w:rFonts w:cs="Times New Roman"/>
          <w:szCs w:val="24"/>
        </w:rPr>
        <w:t xml:space="preserve"> </w:t>
      </w:r>
      <w:r>
        <w:rPr>
          <w:rFonts w:cs="Times New Roman"/>
          <w:szCs w:val="24"/>
        </w:rPr>
        <w:t>Noziedzīga nodarījuma subjekts ir prettiesisko darbību izdarījusī vai bezdarbību pieļāvusī fiziska un pieskaitāma persona, kas sasniegusi Krimināllikumā paredzētu vecumu, no kura iestājas kriminālatbildība, un līdz ar to viņu par izdarīto</w:t>
      </w:r>
      <w:r w:rsidRPr="00B7345A">
        <w:rPr>
          <w:rFonts w:cs="Times New Roman"/>
          <w:szCs w:val="24"/>
        </w:rPr>
        <w:t xml:space="preserve"> </w:t>
      </w:r>
      <w:r w:rsidR="00552B48">
        <w:rPr>
          <w:rFonts w:cs="Times New Roman"/>
          <w:szCs w:val="24"/>
        </w:rPr>
        <w:t>n</w:t>
      </w:r>
      <w:r>
        <w:rPr>
          <w:rFonts w:cs="Times New Roman"/>
          <w:szCs w:val="24"/>
        </w:rPr>
        <w:t>oziedzīg</w:t>
      </w:r>
      <w:r w:rsidR="00552B48">
        <w:rPr>
          <w:rFonts w:cs="Times New Roman"/>
          <w:szCs w:val="24"/>
        </w:rPr>
        <w:t>o</w:t>
      </w:r>
      <w:r>
        <w:rPr>
          <w:rFonts w:cs="Times New Roman"/>
          <w:szCs w:val="24"/>
        </w:rPr>
        <w:t xml:space="preserve"> nodarījum</w:t>
      </w:r>
      <w:r w:rsidR="00552B48">
        <w:rPr>
          <w:rFonts w:cs="Times New Roman"/>
          <w:szCs w:val="24"/>
        </w:rPr>
        <w:t>u ir pamats saukt pie kriminālatbildības.</w:t>
      </w:r>
      <w:r w:rsidR="00552B48" w:rsidRPr="00552B48">
        <w:rPr>
          <w:rFonts w:cs="Times New Roman"/>
          <w:szCs w:val="24"/>
        </w:rPr>
        <w:t xml:space="preserve"> </w:t>
      </w:r>
      <w:r w:rsidR="00552B48">
        <w:rPr>
          <w:rFonts w:cs="Times New Roman"/>
          <w:szCs w:val="24"/>
        </w:rPr>
        <w:t>(</w:t>
      </w:r>
      <w:r w:rsidR="00552B48" w:rsidRPr="00F52CD0">
        <w:rPr>
          <w:i/>
        </w:rPr>
        <w:t>Krastiņš</w:t>
      </w:r>
      <w:r w:rsidR="00552B48" w:rsidRPr="00A3158C">
        <w:rPr>
          <w:i/>
        </w:rPr>
        <w:t xml:space="preserve"> </w:t>
      </w:r>
      <w:r w:rsidR="002C47A9">
        <w:rPr>
          <w:i/>
        </w:rPr>
        <w:t>U.</w:t>
      </w:r>
      <w:r w:rsidR="00552B48" w:rsidRPr="00F52CD0">
        <w:rPr>
          <w:i/>
        </w:rPr>
        <w:t xml:space="preserve"> N</w:t>
      </w:r>
      <w:r w:rsidR="00552B48">
        <w:rPr>
          <w:i/>
        </w:rPr>
        <w:t>oziedzīga nodarījuma sastāvs un nodarījuma kvalifikācija. Teorētiskie aspekti. Rīga: Tiesu namu aģentūra, 2014, 30., 80., 108.</w:t>
      </w:r>
      <w:r w:rsidR="00552B48" w:rsidRPr="00F52CD0">
        <w:rPr>
          <w:i/>
        </w:rPr>
        <w:t>lpp.</w:t>
      </w:r>
      <w:r w:rsidR="00552B48" w:rsidRPr="00F52CD0">
        <w:t>).</w:t>
      </w:r>
    </w:p>
    <w:p w:rsidR="00552B48" w:rsidRDefault="00CC26A3" w:rsidP="006670A0">
      <w:pPr>
        <w:autoSpaceDE w:val="0"/>
        <w:autoSpaceDN w:val="0"/>
        <w:adjustRightInd w:val="0"/>
        <w:spacing w:after="0" w:line="276" w:lineRule="auto"/>
        <w:ind w:firstLine="720"/>
        <w:jc w:val="both"/>
        <w:rPr>
          <w:rFonts w:cs="Times New Roman"/>
          <w:szCs w:val="24"/>
        </w:rPr>
      </w:pPr>
      <w:r>
        <w:rPr>
          <w:rFonts w:cs="Times New Roman"/>
          <w:szCs w:val="24"/>
        </w:rPr>
        <w:t>Daudzās krimināltiesību normās likumdevējs norāda uz noziedzīga nodarījuma subjekta īpašām pazīmēm, kuras ir obligātas noziedzīga nodarījuma sastāvam, jo tādos gadījumos ir paredzēta īpaša (speciāla) subjekta atbildība.</w:t>
      </w:r>
    </w:p>
    <w:p w:rsidR="00CC26A3" w:rsidRDefault="00CC26A3" w:rsidP="006670A0">
      <w:pPr>
        <w:autoSpaceDE w:val="0"/>
        <w:autoSpaceDN w:val="0"/>
        <w:adjustRightInd w:val="0"/>
        <w:spacing w:after="0" w:line="276" w:lineRule="auto"/>
        <w:ind w:firstLine="720"/>
        <w:jc w:val="both"/>
        <w:rPr>
          <w:rFonts w:cs="Times New Roman"/>
          <w:szCs w:val="24"/>
        </w:rPr>
      </w:pPr>
      <w:r>
        <w:rPr>
          <w:rFonts w:cs="Times New Roman"/>
          <w:szCs w:val="24"/>
        </w:rPr>
        <w:t>Īpaš</w:t>
      </w:r>
      <w:r w:rsidR="008A241A">
        <w:rPr>
          <w:rFonts w:cs="Times New Roman"/>
          <w:szCs w:val="24"/>
        </w:rPr>
        <w:t>ā</w:t>
      </w:r>
      <w:r>
        <w:rPr>
          <w:rFonts w:cs="Times New Roman"/>
          <w:szCs w:val="24"/>
        </w:rPr>
        <w:t xml:space="preserve"> (speciāl</w:t>
      </w:r>
      <w:r w:rsidR="008A241A">
        <w:rPr>
          <w:rFonts w:cs="Times New Roman"/>
          <w:szCs w:val="24"/>
        </w:rPr>
        <w:t>ā</w:t>
      </w:r>
      <w:r>
        <w:rPr>
          <w:rFonts w:cs="Times New Roman"/>
          <w:szCs w:val="24"/>
        </w:rPr>
        <w:t>) subjekta īpašās pazīmes raksturo noziedzīgu nodarījumu izdarījušo personu no dažādiem aspektiem, un tās var iedalīt pazīmēs, kas raksturo:</w:t>
      </w:r>
    </w:p>
    <w:p w:rsidR="008A241A" w:rsidRDefault="00CC26A3" w:rsidP="00CC26A3">
      <w:pPr>
        <w:pStyle w:val="ListParagraph"/>
        <w:numPr>
          <w:ilvl w:val="0"/>
          <w:numId w:val="1"/>
        </w:numPr>
        <w:autoSpaceDE w:val="0"/>
        <w:autoSpaceDN w:val="0"/>
        <w:adjustRightInd w:val="0"/>
        <w:spacing w:after="0" w:line="276" w:lineRule="auto"/>
        <w:jc w:val="both"/>
        <w:rPr>
          <w:rFonts w:cs="Times New Roman"/>
          <w:szCs w:val="24"/>
        </w:rPr>
      </w:pPr>
      <w:r>
        <w:rPr>
          <w:rFonts w:cs="Times New Roman"/>
          <w:szCs w:val="24"/>
        </w:rPr>
        <w:t>personas demogrāfisko statusu: dzimumu</w:t>
      </w:r>
      <w:r w:rsidR="008A241A">
        <w:rPr>
          <w:rFonts w:cs="Times New Roman"/>
          <w:szCs w:val="24"/>
        </w:rPr>
        <w:t xml:space="preserve">, </w:t>
      </w:r>
      <w:r>
        <w:rPr>
          <w:rFonts w:cs="Times New Roman"/>
          <w:szCs w:val="24"/>
        </w:rPr>
        <w:t>vecumu</w:t>
      </w:r>
      <w:r w:rsidR="008A241A">
        <w:rPr>
          <w:rFonts w:cs="Times New Roman"/>
          <w:szCs w:val="24"/>
        </w:rPr>
        <w:t>;</w:t>
      </w:r>
    </w:p>
    <w:p w:rsidR="008A241A" w:rsidRDefault="008A241A" w:rsidP="00CC26A3">
      <w:pPr>
        <w:pStyle w:val="ListParagraph"/>
        <w:numPr>
          <w:ilvl w:val="0"/>
          <w:numId w:val="1"/>
        </w:numPr>
        <w:autoSpaceDE w:val="0"/>
        <w:autoSpaceDN w:val="0"/>
        <w:adjustRightInd w:val="0"/>
        <w:spacing w:after="0" w:line="276" w:lineRule="auto"/>
        <w:jc w:val="both"/>
        <w:rPr>
          <w:rFonts w:cs="Times New Roman"/>
          <w:szCs w:val="24"/>
        </w:rPr>
      </w:pPr>
      <w:r>
        <w:rPr>
          <w:rFonts w:cs="Times New Roman"/>
          <w:szCs w:val="24"/>
        </w:rPr>
        <w:t>vainīgā attiecības ar cietušo: radniecība, cietušā atkarības stāvoklis;</w:t>
      </w:r>
    </w:p>
    <w:p w:rsidR="008A241A" w:rsidRDefault="008A241A" w:rsidP="00CC26A3">
      <w:pPr>
        <w:pStyle w:val="ListParagraph"/>
        <w:numPr>
          <w:ilvl w:val="0"/>
          <w:numId w:val="1"/>
        </w:numPr>
        <w:autoSpaceDE w:val="0"/>
        <w:autoSpaceDN w:val="0"/>
        <w:adjustRightInd w:val="0"/>
        <w:spacing w:after="0" w:line="276" w:lineRule="auto"/>
        <w:jc w:val="both"/>
        <w:rPr>
          <w:rFonts w:cs="Times New Roman"/>
          <w:szCs w:val="24"/>
        </w:rPr>
      </w:pPr>
      <w:r>
        <w:rPr>
          <w:rFonts w:cs="Times New Roman"/>
          <w:szCs w:val="24"/>
        </w:rPr>
        <w:t>amata stāvokli;</w:t>
      </w:r>
    </w:p>
    <w:p w:rsidR="008A241A" w:rsidRDefault="008A241A" w:rsidP="00CC26A3">
      <w:pPr>
        <w:pStyle w:val="ListParagraph"/>
        <w:numPr>
          <w:ilvl w:val="0"/>
          <w:numId w:val="1"/>
        </w:numPr>
        <w:autoSpaceDE w:val="0"/>
        <w:autoSpaceDN w:val="0"/>
        <w:adjustRightInd w:val="0"/>
        <w:spacing w:after="0" w:line="276" w:lineRule="auto"/>
        <w:jc w:val="both"/>
        <w:rPr>
          <w:rFonts w:cs="Times New Roman"/>
          <w:szCs w:val="24"/>
        </w:rPr>
      </w:pPr>
      <w:r>
        <w:rPr>
          <w:rFonts w:cs="Times New Roman"/>
          <w:szCs w:val="24"/>
        </w:rPr>
        <w:t>profesiju vai nodarbošanos, veicamā darba raksturu;</w:t>
      </w:r>
    </w:p>
    <w:p w:rsidR="008A241A" w:rsidRDefault="008A241A" w:rsidP="00CC26A3">
      <w:pPr>
        <w:pStyle w:val="ListParagraph"/>
        <w:numPr>
          <w:ilvl w:val="0"/>
          <w:numId w:val="1"/>
        </w:numPr>
        <w:autoSpaceDE w:val="0"/>
        <w:autoSpaceDN w:val="0"/>
        <w:adjustRightInd w:val="0"/>
        <w:spacing w:after="0" w:line="276" w:lineRule="auto"/>
        <w:jc w:val="both"/>
        <w:rPr>
          <w:rFonts w:cs="Times New Roman"/>
          <w:szCs w:val="24"/>
        </w:rPr>
      </w:pPr>
      <w:r>
        <w:rPr>
          <w:rFonts w:cs="Times New Roman"/>
          <w:szCs w:val="24"/>
        </w:rPr>
        <w:t>personas juridisko statusu;</w:t>
      </w:r>
    </w:p>
    <w:p w:rsidR="008A241A" w:rsidRDefault="008A241A" w:rsidP="00CC26A3">
      <w:pPr>
        <w:pStyle w:val="ListParagraph"/>
        <w:numPr>
          <w:ilvl w:val="0"/>
          <w:numId w:val="1"/>
        </w:numPr>
        <w:autoSpaceDE w:val="0"/>
        <w:autoSpaceDN w:val="0"/>
        <w:adjustRightInd w:val="0"/>
        <w:spacing w:after="0" w:line="276" w:lineRule="auto"/>
        <w:jc w:val="both"/>
        <w:rPr>
          <w:rFonts w:cs="Times New Roman"/>
          <w:szCs w:val="24"/>
        </w:rPr>
      </w:pPr>
      <w:r>
        <w:rPr>
          <w:rFonts w:cs="Times New Roman"/>
          <w:szCs w:val="24"/>
        </w:rPr>
        <w:t>personas saistību ar militāro dienestu;</w:t>
      </w:r>
    </w:p>
    <w:p w:rsidR="008A241A" w:rsidRDefault="008A241A" w:rsidP="00CC26A3">
      <w:pPr>
        <w:pStyle w:val="ListParagraph"/>
        <w:numPr>
          <w:ilvl w:val="0"/>
          <w:numId w:val="1"/>
        </w:numPr>
        <w:autoSpaceDE w:val="0"/>
        <w:autoSpaceDN w:val="0"/>
        <w:adjustRightInd w:val="0"/>
        <w:spacing w:after="0" w:line="276" w:lineRule="auto"/>
        <w:jc w:val="both"/>
        <w:rPr>
          <w:rFonts w:cs="Times New Roman"/>
          <w:szCs w:val="24"/>
        </w:rPr>
      </w:pPr>
      <w:r>
        <w:rPr>
          <w:rFonts w:cs="Times New Roman"/>
          <w:szCs w:val="24"/>
        </w:rPr>
        <w:t>citus apstākļus.</w:t>
      </w:r>
    </w:p>
    <w:p w:rsidR="00BB1E8D" w:rsidRPr="00930686" w:rsidRDefault="008A241A" w:rsidP="008A241A">
      <w:pPr>
        <w:autoSpaceDE w:val="0"/>
        <w:autoSpaceDN w:val="0"/>
        <w:adjustRightInd w:val="0"/>
        <w:spacing w:after="0" w:line="276" w:lineRule="auto"/>
        <w:ind w:firstLine="720"/>
        <w:jc w:val="both"/>
        <w:rPr>
          <w:i/>
          <w:szCs w:val="24"/>
        </w:rPr>
      </w:pPr>
      <w:r>
        <w:rPr>
          <w:rFonts w:cs="Times New Roman"/>
          <w:szCs w:val="24"/>
        </w:rPr>
        <w:t xml:space="preserve">Persona var atbildēt par noziedzīgu nodarījumu, kurā paredzēts speciālais noziedzīgā nodarījuma subjekts, tikai tad, ja tai piemīt likumā noteiktās īpašās subjekta pazīmes </w:t>
      </w:r>
      <w:r w:rsidRPr="00A5100B">
        <w:rPr>
          <w:szCs w:val="24"/>
        </w:rPr>
        <w:t>(</w:t>
      </w:r>
      <w:r w:rsidR="00BB1E8D" w:rsidRPr="00930686">
        <w:rPr>
          <w:i/>
          <w:szCs w:val="24"/>
        </w:rPr>
        <w:t>Liholaja</w:t>
      </w:r>
      <w:r w:rsidR="003F245F">
        <w:rPr>
          <w:i/>
          <w:szCs w:val="24"/>
        </w:rPr>
        <w:t> </w:t>
      </w:r>
      <w:r>
        <w:rPr>
          <w:i/>
          <w:szCs w:val="24"/>
        </w:rPr>
        <w:t>V</w:t>
      </w:r>
      <w:r w:rsidR="00BB1E8D" w:rsidRPr="00930686">
        <w:rPr>
          <w:i/>
          <w:szCs w:val="24"/>
        </w:rPr>
        <w:t>.</w:t>
      </w:r>
      <w:r w:rsidR="002C47A9">
        <w:rPr>
          <w:i/>
          <w:szCs w:val="24"/>
        </w:rPr>
        <w:t xml:space="preserve"> </w:t>
      </w:r>
      <w:r w:rsidR="00BB1E8D" w:rsidRPr="00930686">
        <w:rPr>
          <w:i/>
          <w:szCs w:val="24"/>
        </w:rPr>
        <w:t>Noziedzīgu nodarījumu kvalifikācija: Likums.</w:t>
      </w:r>
      <w:r w:rsidR="00A5100B">
        <w:rPr>
          <w:i/>
          <w:szCs w:val="24"/>
        </w:rPr>
        <w:t> </w:t>
      </w:r>
      <w:r w:rsidR="00BB1E8D" w:rsidRPr="00930686">
        <w:rPr>
          <w:i/>
          <w:szCs w:val="24"/>
        </w:rPr>
        <w:t>Teorija.</w:t>
      </w:r>
      <w:r w:rsidR="00A5100B">
        <w:rPr>
          <w:i/>
          <w:szCs w:val="24"/>
        </w:rPr>
        <w:t> </w:t>
      </w:r>
      <w:r w:rsidR="00BB1E8D" w:rsidRPr="00930686">
        <w:rPr>
          <w:i/>
          <w:szCs w:val="24"/>
        </w:rPr>
        <w:t>Prakse</w:t>
      </w:r>
      <w:r w:rsidR="00BB1E8D">
        <w:rPr>
          <w:i/>
          <w:szCs w:val="24"/>
        </w:rPr>
        <w:t xml:space="preserve">. Otrais papildinātais izdevums, </w:t>
      </w:r>
      <w:r w:rsidR="00A5100B">
        <w:rPr>
          <w:i/>
          <w:szCs w:val="24"/>
        </w:rPr>
        <w:t xml:space="preserve">Rīga: </w:t>
      </w:r>
      <w:r w:rsidR="00BB1E8D">
        <w:rPr>
          <w:i/>
          <w:szCs w:val="24"/>
        </w:rPr>
        <w:t xml:space="preserve">Tiesu namu aģentūra, 2007, </w:t>
      </w:r>
      <w:r w:rsidR="00A5100B">
        <w:rPr>
          <w:i/>
          <w:szCs w:val="24"/>
        </w:rPr>
        <w:t>50.-51</w:t>
      </w:r>
      <w:r w:rsidR="00BB1E8D" w:rsidRPr="00930686">
        <w:rPr>
          <w:i/>
          <w:szCs w:val="24"/>
        </w:rPr>
        <w:t>.lpp.</w:t>
      </w:r>
      <w:r w:rsidR="00BB1E8D" w:rsidRPr="003F245F">
        <w:rPr>
          <w:szCs w:val="24"/>
        </w:rPr>
        <w:t>)</w:t>
      </w:r>
      <w:r w:rsidR="00BB1E8D" w:rsidRPr="00930686">
        <w:rPr>
          <w:i/>
          <w:szCs w:val="24"/>
        </w:rPr>
        <w:t>.</w:t>
      </w:r>
    </w:p>
    <w:p w:rsidR="007E625A" w:rsidRDefault="007E625A" w:rsidP="006670A0">
      <w:pPr>
        <w:autoSpaceDE w:val="0"/>
        <w:autoSpaceDN w:val="0"/>
        <w:adjustRightInd w:val="0"/>
        <w:spacing w:after="0" w:line="276" w:lineRule="auto"/>
        <w:ind w:firstLine="720"/>
        <w:jc w:val="both"/>
        <w:rPr>
          <w:rFonts w:cs="Times New Roman"/>
          <w:szCs w:val="24"/>
        </w:rPr>
      </w:pPr>
      <w:r>
        <w:rPr>
          <w:rFonts w:cs="Times New Roman"/>
          <w:szCs w:val="24"/>
        </w:rPr>
        <w:t>Krimināllikuma 27.pantā norādīts, ka n</w:t>
      </w:r>
      <w:r w:rsidRPr="007E625A">
        <w:rPr>
          <w:rFonts w:cs="Times New Roman"/>
          <w:szCs w:val="24"/>
        </w:rPr>
        <w:t>oziedzīga nodarījuma recidīvu veido personas izdarīts jauns tīšs noziedzīgs nodarījums pēc šīs personas notiesāšanas par agrāk izdarītu tīšu noziedzīgu nodarījumu, ja sodāmība par to jaunā noziedzīgā nodarījuma izdarīšanas brīdī nav noņemta vai nav dzēsta likumā noteiktajā kārtībā.</w:t>
      </w:r>
    </w:p>
    <w:p w:rsidR="002B02D4" w:rsidRDefault="007E625A" w:rsidP="007E625A">
      <w:pPr>
        <w:autoSpaceDE w:val="0"/>
        <w:autoSpaceDN w:val="0"/>
        <w:adjustRightInd w:val="0"/>
        <w:spacing w:after="0" w:line="276" w:lineRule="auto"/>
        <w:ind w:firstLine="720"/>
        <w:jc w:val="both"/>
        <w:rPr>
          <w:rFonts w:cs="Times New Roman"/>
          <w:szCs w:val="24"/>
        </w:rPr>
      </w:pPr>
      <w:r>
        <w:rPr>
          <w:rFonts w:cs="Times New Roman"/>
          <w:szCs w:val="24"/>
        </w:rPr>
        <w:t>Krimināllikuma 48.panta pirmās daļas 1.punkts noteic, ka p</w:t>
      </w:r>
      <w:r w:rsidRPr="007E625A">
        <w:rPr>
          <w:rFonts w:cs="Times New Roman"/>
          <w:szCs w:val="24"/>
        </w:rPr>
        <w:t>ar atbildību pastiprinoš</w:t>
      </w:r>
      <w:r>
        <w:rPr>
          <w:rFonts w:cs="Times New Roman"/>
          <w:szCs w:val="24"/>
        </w:rPr>
        <w:t xml:space="preserve">u </w:t>
      </w:r>
      <w:r w:rsidRPr="007E625A">
        <w:rPr>
          <w:rFonts w:cs="Times New Roman"/>
          <w:szCs w:val="24"/>
        </w:rPr>
        <w:t>apstāk</w:t>
      </w:r>
      <w:r>
        <w:rPr>
          <w:rFonts w:cs="Times New Roman"/>
          <w:szCs w:val="24"/>
        </w:rPr>
        <w:t xml:space="preserve">li </w:t>
      </w:r>
      <w:r w:rsidRPr="007E625A">
        <w:rPr>
          <w:rFonts w:cs="Times New Roman"/>
          <w:szCs w:val="24"/>
        </w:rPr>
        <w:t xml:space="preserve">var atzīt </w:t>
      </w:r>
      <w:r w:rsidR="002B02D4">
        <w:rPr>
          <w:rFonts w:cs="Times New Roman"/>
          <w:szCs w:val="24"/>
        </w:rPr>
        <w:t>to, ka</w:t>
      </w:r>
      <w:r w:rsidRPr="007E625A">
        <w:rPr>
          <w:rFonts w:cs="Times New Roman"/>
          <w:szCs w:val="24"/>
        </w:rPr>
        <w:t xml:space="preserve"> noziedzīgais nodarījums veido noziedzīgu nodarījumu recidīvu</w:t>
      </w:r>
      <w:r w:rsidR="00E9402A">
        <w:rPr>
          <w:rFonts w:cs="Times New Roman"/>
          <w:szCs w:val="24"/>
        </w:rPr>
        <w:t>, bet</w:t>
      </w:r>
      <w:r w:rsidR="002B02D4">
        <w:rPr>
          <w:rFonts w:cs="Times New Roman"/>
          <w:szCs w:val="24"/>
        </w:rPr>
        <w:t xml:space="preserve"> šā panta ceturtajā daļā noteikts, ka p</w:t>
      </w:r>
      <w:r w:rsidR="002B02D4" w:rsidRPr="002B02D4">
        <w:rPr>
          <w:rFonts w:cs="Times New Roman"/>
          <w:szCs w:val="24"/>
        </w:rPr>
        <w:t>ar atbildību pastiprinošu apstākli nav atzīstams tāds apstāklis, kurš šajā likumā paredzēts kā noziedzīga nodarījuma sastāva pazīme.</w:t>
      </w:r>
    </w:p>
    <w:p w:rsidR="006F3C16" w:rsidRDefault="003F245F" w:rsidP="007E625A">
      <w:pPr>
        <w:autoSpaceDE w:val="0"/>
        <w:autoSpaceDN w:val="0"/>
        <w:adjustRightInd w:val="0"/>
        <w:spacing w:after="0" w:line="276" w:lineRule="auto"/>
        <w:ind w:firstLine="720"/>
        <w:jc w:val="both"/>
        <w:rPr>
          <w:rFonts w:cs="Times New Roman"/>
          <w:szCs w:val="24"/>
        </w:rPr>
      </w:pPr>
      <w:r>
        <w:rPr>
          <w:rFonts w:cs="Times New Roman"/>
          <w:szCs w:val="24"/>
        </w:rPr>
        <w:t xml:space="preserve">Tiesību doktrīnā </w:t>
      </w:r>
      <w:r w:rsidR="002B02D4">
        <w:rPr>
          <w:rFonts w:cs="Times New Roman"/>
          <w:szCs w:val="24"/>
        </w:rPr>
        <w:t>izteikta šāda atziņa: „</w:t>
      </w:r>
      <w:r w:rsidR="006F3C16">
        <w:rPr>
          <w:rFonts w:cs="Times New Roman"/>
          <w:szCs w:val="24"/>
        </w:rPr>
        <w:t>Vispārējais un speciālais recidīvs ņemams vērā arī tad, ja likumā ir ietverta norāde uz noziedzīga nodarījuma subjektu kā personu, kura jau ir notiesāta par agrāk izdarītu noziedzīgu nodarījumu.</w:t>
      </w:r>
      <w:r>
        <w:rPr>
          <w:rFonts w:cs="Times New Roman"/>
          <w:szCs w:val="24"/>
        </w:rPr>
        <w:t xml:space="preserve"> </w:t>
      </w:r>
      <w:r w:rsidR="006F3C16">
        <w:rPr>
          <w:rFonts w:cs="Times New Roman"/>
          <w:szCs w:val="24"/>
        </w:rPr>
        <w:t>Tā Krimināllikuma 117.panta 11.punktā, 125.panta otrās daļas 7.punktā, 126.panta otrās daļas 5.punktā kā kvalificējoša pazīme minēts tas, ka slepkavību izdara, smagu vai vidēja smaguma miesas bojājumu nodara persona, kas ievietota ieslodzījuma vietā. Saskaņā ar Krimināllikuma 118.panta 4.punktu par slepkavību īpaši pastiprinošos apstākļos tiek atzīta tāda tīša nonāvēšana, kuru izdara persona, izciešot mūža ieslodzījumu</w:t>
      </w:r>
      <w:r w:rsidR="0030657F">
        <w:rPr>
          <w:rFonts w:cs="Times New Roman"/>
          <w:szCs w:val="24"/>
        </w:rPr>
        <w:t>. Arī</w:t>
      </w:r>
      <w:r w:rsidR="0030657F" w:rsidRPr="0030657F">
        <w:rPr>
          <w:rFonts w:cs="Times New Roman"/>
          <w:szCs w:val="24"/>
        </w:rPr>
        <w:t xml:space="preserve"> </w:t>
      </w:r>
      <w:r w:rsidR="0030657F">
        <w:rPr>
          <w:rFonts w:cs="Times New Roman"/>
          <w:szCs w:val="24"/>
        </w:rPr>
        <w:t xml:space="preserve">Krimināllikuma 310.pantā paredzēto bēgšanu no ieslodzījuma vietas un 311.pantā paredzēto uzbrukumu ieslodzījuma vietā administrācijai vai ieslodzītajiem var izdarīt </w:t>
      </w:r>
      <w:r w:rsidR="0030657F">
        <w:rPr>
          <w:rFonts w:cs="Times New Roman"/>
          <w:szCs w:val="24"/>
        </w:rPr>
        <w:lastRenderedPageBreak/>
        <w:t>tikai tādas personas, kuras izcieš brīvības atņemšanas sodu. Ar iepriekšējo sodāmību saistīts arī tāds noziedzīgs nodarījums kā izvairīšanās no tiesas piespriestā soda izciešanas (Krimināllikuma 312.pants).</w:t>
      </w:r>
    </w:p>
    <w:p w:rsidR="0030657F" w:rsidRDefault="0030657F" w:rsidP="0030657F">
      <w:pPr>
        <w:autoSpaceDE w:val="0"/>
        <w:autoSpaceDN w:val="0"/>
        <w:adjustRightInd w:val="0"/>
        <w:spacing w:after="0" w:line="276" w:lineRule="auto"/>
        <w:ind w:firstLine="720"/>
        <w:jc w:val="both"/>
        <w:rPr>
          <w:i/>
          <w:szCs w:val="24"/>
        </w:rPr>
      </w:pPr>
      <w:r>
        <w:rPr>
          <w:rFonts w:cs="Times New Roman"/>
          <w:szCs w:val="24"/>
        </w:rPr>
        <w:t>Pārējos gadījumos tiesa noziedzīgu nodarījumu recidīvu saskaņā ar Krimināllikuma 48.panta pirmās daļas 1.punktu var atzīt par atbildību pastiprinošu apstākli.”</w:t>
      </w:r>
      <w:r w:rsidRPr="0030657F">
        <w:rPr>
          <w:szCs w:val="24"/>
        </w:rPr>
        <w:t xml:space="preserve"> </w:t>
      </w:r>
      <w:r w:rsidRPr="00A5100B">
        <w:rPr>
          <w:szCs w:val="24"/>
        </w:rPr>
        <w:t>(</w:t>
      </w:r>
      <w:r w:rsidRPr="00930686">
        <w:rPr>
          <w:i/>
          <w:szCs w:val="24"/>
        </w:rPr>
        <w:t>Liholaja</w:t>
      </w:r>
      <w:r w:rsidRPr="008A241A">
        <w:rPr>
          <w:i/>
          <w:szCs w:val="24"/>
        </w:rPr>
        <w:t xml:space="preserve"> </w:t>
      </w:r>
      <w:r>
        <w:rPr>
          <w:i/>
          <w:szCs w:val="24"/>
        </w:rPr>
        <w:t>V</w:t>
      </w:r>
      <w:r w:rsidRPr="00930686">
        <w:rPr>
          <w:i/>
          <w:szCs w:val="24"/>
        </w:rPr>
        <w:t>. Noziedzīgu nodarījumu kvalifikācija: Likums.</w:t>
      </w:r>
      <w:r>
        <w:rPr>
          <w:i/>
          <w:szCs w:val="24"/>
        </w:rPr>
        <w:t> </w:t>
      </w:r>
      <w:r w:rsidRPr="00930686">
        <w:rPr>
          <w:i/>
          <w:szCs w:val="24"/>
        </w:rPr>
        <w:t>Teorija.</w:t>
      </w:r>
      <w:r>
        <w:rPr>
          <w:i/>
          <w:szCs w:val="24"/>
        </w:rPr>
        <w:t> </w:t>
      </w:r>
      <w:r w:rsidRPr="00930686">
        <w:rPr>
          <w:i/>
          <w:szCs w:val="24"/>
        </w:rPr>
        <w:t>Prakse</w:t>
      </w:r>
      <w:r>
        <w:rPr>
          <w:i/>
          <w:szCs w:val="24"/>
        </w:rPr>
        <w:t>. Otrais papildinātais izdevums, Rīga: Tiesu namu aģentūra, 2007, 174.-175</w:t>
      </w:r>
      <w:r w:rsidRPr="00930686">
        <w:rPr>
          <w:i/>
          <w:szCs w:val="24"/>
        </w:rPr>
        <w:t>.lpp.</w:t>
      </w:r>
      <w:r w:rsidR="003F245F">
        <w:rPr>
          <w:szCs w:val="24"/>
        </w:rPr>
        <w:t>)</w:t>
      </w:r>
    </w:p>
    <w:p w:rsidR="003F245F" w:rsidRPr="00930686" w:rsidRDefault="003F245F" w:rsidP="0030657F">
      <w:pPr>
        <w:autoSpaceDE w:val="0"/>
        <w:autoSpaceDN w:val="0"/>
        <w:adjustRightInd w:val="0"/>
        <w:spacing w:after="0" w:line="276" w:lineRule="auto"/>
        <w:ind w:firstLine="720"/>
        <w:jc w:val="both"/>
        <w:rPr>
          <w:i/>
          <w:szCs w:val="24"/>
        </w:rPr>
      </w:pPr>
    </w:p>
    <w:p w:rsidR="002B02D4" w:rsidRDefault="003F245F" w:rsidP="007E625A">
      <w:pPr>
        <w:autoSpaceDE w:val="0"/>
        <w:autoSpaceDN w:val="0"/>
        <w:adjustRightInd w:val="0"/>
        <w:spacing w:after="0" w:line="276" w:lineRule="auto"/>
        <w:ind w:firstLine="720"/>
        <w:jc w:val="both"/>
        <w:rPr>
          <w:rFonts w:cs="Times New Roman"/>
          <w:szCs w:val="24"/>
        </w:rPr>
      </w:pPr>
      <w:r w:rsidRPr="008A5055">
        <w:rPr>
          <w:rFonts w:cs="Times New Roman"/>
          <w:szCs w:val="24"/>
        </w:rPr>
        <w:t>[</w:t>
      </w:r>
      <w:r>
        <w:rPr>
          <w:rFonts w:cs="Times New Roman"/>
          <w:szCs w:val="24"/>
        </w:rPr>
        <w:t>3</w:t>
      </w:r>
      <w:r w:rsidRPr="008A5055">
        <w:rPr>
          <w:rFonts w:cs="Times New Roman"/>
          <w:szCs w:val="24"/>
        </w:rPr>
        <w:t>.</w:t>
      </w:r>
      <w:r>
        <w:rPr>
          <w:rFonts w:cs="Times New Roman"/>
          <w:szCs w:val="24"/>
        </w:rPr>
        <w:t>3</w:t>
      </w:r>
      <w:r w:rsidRPr="008A5055">
        <w:rPr>
          <w:rFonts w:cs="Times New Roman"/>
          <w:szCs w:val="24"/>
        </w:rPr>
        <w:t xml:space="preserve">] </w:t>
      </w:r>
      <w:r w:rsidR="002B02D4">
        <w:rPr>
          <w:rFonts w:cs="Times New Roman"/>
          <w:szCs w:val="24"/>
        </w:rPr>
        <w:t>Speciālais recidīvs Krimināllikumā nav saglabāts.</w:t>
      </w:r>
      <w:r>
        <w:rPr>
          <w:rFonts w:cs="Times New Roman"/>
          <w:szCs w:val="24"/>
        </w:rPr>
        <w:t xml:space="preserve"> </w:t>
      </w:r>
      <w:r w:rsidR="002B02D4">
        <w:rPr>
          <w:rFonts w:cs="Times New Roman"/>
          <w:szCs w:val="24"/>
        </w:rPr>
        <w:t>Grozījumi Krimināllikumā veikti ar 2012.gada 13.decembra likumu, kas stājās spēkā 2013.gada 1.aprīlī.</w:t>
      </w:r>
    </w:p>
    <w:p w:rsidR="003F245F" w:rsidRDefault="002B02D4" w:rsidP="007E625A">
      <w:pPr>
        <w:autoSpaceDE w:val="0"/>
        <w:autoSpaceDN w:val="0"/>
        <w:adjustRightInd w:val="0"/>
        <w:spacing w:after="0" w:line="276" w:lineRule="auto"/>
        <w:ind w:firstLine="720"/>
        <w:jc w:val="both"/>
        <w:rPr>
          <w:rFonts w:cs="Times New Roman"/>
          <w:szCs w:val="24"/>
        </w:rPr>
      </w:pPr>
      <w:r>
        <w:rPr>
          <w:rFonts w:cs="Times New Roman"/>
          <w:szCs w:val="24"/>
        </w:rPr>
        <w:t>Kasācijas instances tiesa konstatē, ka</w:t>
      </w:r>
      <w:r w:rsidRPr="002B02D4">
        <w:rPr>
          <w:rFonts w:cs="Times New Roman"/>
          <w:szCs w:val="24"/>
        </w:rPr>
        <w:t xml:space="preserve"> </w:t>
      </w:r>
      <w:r>
        <w:rPr>
          <w:rFonts w:cs="Times New Roman"/>
          <w:szCs w:val="24"/>
        </w:rPr>
        <w:t>Krimināllikuma 48.panta pirmajā daļā ir norādīti arī citi apstākļi, kurus var atzīt par atbildību pastiprinošiem, bet kuri par tādiem n</w:t>
      </w:r>
      <w:r w:rsidR="002576AB">
        <w:rPr>
          <w:rFonts w:cs="Times New Roman"/>
          <w:szCs w:val="24"/>
        </w:rPr>
        <w:t>av jāatzīst</w:t>
      </w:r>
      <w:r>
        <w:rPr>
          <w:rFonts w:cs="Times New Roman"/>
          <w:szCs w:val="24"/>
        </w:rPr>
        <w:t>,</w:t>
      </w:r>
      <w:r w:rsidR="003F245F">
        <w:rPr>
          <w:rFonts w:cs="Times New Roman"/>
          <w:szCs w:val="24"/>
        </w:rPr>
        <w:t xml:space="preserve"> iztiesājot lietas par konkrētiem (dažiem) noziedzīgiem nodarījumiem, kuros ir </w:t>
      </w:r>
      <w:r>
        <w:rPr>
          <w:rFonts w:cs="Times New Roman"/>
          <w:szCs w:val="24"/>
        </w:rPr>
        <w:t>norād</w:t>
      </w:r>
      <w:r w:rsidR="003F245F">
        <w:rPr>
          <w:rFonts w:cs="Times New Roman"/>
          <w:szCs w:val="24"/>
        </w:rPr>
        <w:t>e</w:t>
      </w:r>
      <w:r>
        <w:rPr>
          <w:rFonts w:cs="Times New Roman"/>
          <w:szCs w:val="24"/>
        </w:rPr>
        <w:t xml:space="preserve"> uz</w:t>
      </w:r>
      <w:r w:rsidR="003F245F">
        <w:rPr>
          <w:rFonts w:cs="Times New Roman"/>
          <w:szCs w:val="24"/>
        </w:rPr>
        <w:t xml:space="preserve"> īpašu (speciāl</w:t>
      </w:r>
      <w:r w:rsidR="00A1754C">
        <w:rPr>
          <w:rFonts w:cs="Times New Roman"/>
          <w:szCs w:val="24"/>
        </w:rPr>
        <w:t>o</w:t>
      </w:r>
      <w:r w:rsidR="003F245F">
        <w:rPr>
          <w:rFonts w:cs="Times New Roman"/>
          <w:szCs w:val="24"/>
        </w:rPr>
        <w:t>)</w:t>
      </w:r>
      <w:r>
        <w:rPr>
          <w:rFonts w:cs="Times New Roman"/>
          <w:szCs w:val="24"/>
        </w:rPr>
        <w:t xml:space="preserve"> subjektu</w:t>
      </w:r>
      <w:r w:rsidR="003F245F">
        <w:rPr>
          <w:rFonts w:cs="Times New Roman"/>
          <w:szCs w:val="24"/>
        </w:rPr>
        <w:t>, kas ir šo noziedzīgo nodarījumu sastāvu pazīme.</w:t>
      </w:r>
    </w:p>
    <w:p w:rsidR="002B02D4" w:rsidRDefault="002B02D4" w:rsidP="007E625A">
      <w:pPr>
        <w:autoSpaceDE w:val="0"/>
        <w:autoSpaceDN w:val="0"/>
        <w:adjustRightInd w:val="0"/>
        <w:spacing w:after="0" w:line="276" w:lineRule="auto"/>
        <w:ind w:firstLine="720"/>
        <w:jc w:val="both"/>
        <w:rPr>
          <w:rFonts w:cs="Times New Roman"/>
          <w:szCs w:val="24"/>
        </w:rPr>
      </w:pPr>
      <w:r>
        <w:rPr>
          <w:rFonts w:cs="Times New Roman"/>
          <w:szCs w:val="24"/>
        </w:rPr>
        <w:t>Tā Krimināllikuma 48.panta pirmās daļas 3.punktā norādīts uz</w:t>
      </w:r>
      <w:r w:rsidR="00A1754C">
        <w:rPr>
          <w:rFonts w:cs="Times New Roman"/>
          <w:szCs w:val="24"/>
        </w:rPr>
        <w:t xml:space="preserve"> tādu</w:t>
      </w:r>
      <w:r w:rsidR="00A1754C" w:rsidRPr="00A1754C">
        <w:rPr>
          <w:rFonts w:cs="Times New Roman"/>
          <w:szCs w:val="24"/>
        </w:rPr>
        <w:t xml:space="preserve"> </w:t>
      </w:r>
      <w:r w:rsidR="00A1754C">
        <w:rPr>
          <w:rFonts w:cs="Times New Roman"/>
          <w:szCs w:val="24"/>
        </w:rPr>
        <w:t xml:space="preserve">atbildību pastiprinošu apstākli kā </w:t>
      </w:r>
      <w:r>
        <w:rPr>
          <w:rFonts w:cs="Times New Roman"/>
          <w:szCs w:val="24"/>
        </w:rPr>
        <w:t>ļaunprātīg</w:t>
      </w:r>
      <w:r w:rsidR="00A1754C">
        <w:rPr>
          <w:rFonts w:cs="Times New Roman"/>
          <w:szCs w:val="24"/>
        </w:rPr>
        <w:t>a</w:t>
      </w:r>
      <w:r>
        <w:rPr>
          <w:rFonts w:cs="Times New Roman"/>
          <w:szCs w:val="24"/>
        </w:rPr>
        <w:t xml:space="preserve"> dienesta stāvokļa izmantošan</w:t>
      </w:r>
      <w:r w:rsidR="00A1754C">
        <w:rPr>
          <w:rFonts w:cs="Times New Roman"/>
          <w:szCs w:val="24"/>
        </w:rPr>
        <w:t>a</w:t>
      </w:r>
      <w:r>
        <w:rPr>
          <w:rFonts w:cs="Times New Roman"/>
          <w:szCs w:val="24"/>
        </w:rPr>
        <w:t xml:space="preserve">, ko neatzīs par atbildību pastiprinošu </w:t>
      </w:r>
      <w:r w:rsidR="003F245F">
        <w:rPr>
          <w:rFonts w:cs="Times New Roman"/>
          <w:szCs w:val="24"/>
        </w:rPr>
        <w:t>amat</w:t>
      </w:r>
      <w:r>
        <w:rPr>
          <w:rFonts w:cs="Times New Roman"/>
          <w:szCs w:val="24"/>
        </w:rPr>
        <w:t>personai, kura atzīta par vainīgu Krimināllikuma 318.pantā paredzētajā noziedzīgajā nodarījumā.</w:t>
      </w:r>
    </w:p>
    <w:p w:rsidR="002B02D4" w:rsidRDefault="002B02D4" w:rsidP="007E625A">
      <w:pPr>
        <w:autoSpaceDE w:val="0"/>
        <w:autoSpaceDN w:val="0"/>
        <w:adjustRightInd w:val="0"/>
        <w:spacing w:after="0" w:line="276" w:lineRule="auto"/>
        <w:ind w:firstLine="720"/>
        <w:jc w:val="both"/>
        <w:rPr>
          <w:rFonts w:cs="Times New Roman"/>
          <w:szCs w:val="24"/>
        </w:rPr>
      </w:pPr>
      <w:r>
        <w:rPr>
          <w:rFonts w:cs="Times New Roman"/>
          <w:szCs w:val="24"/>
        </w:rPr>
        <w:t>Arī Krimināllikuma 48.panta pirmās daļas 15.punktā ir norādes uz noziedzīgā nodarījuma speciālo subjektu.</w:t>
      </w:r>
    </w:p>
    <w:p w:rsidR="00A1754C" w:rsidRDefault="002B02D4" w:rsidP="002B02D4">
      <w:pPr>
        <w:autoSpaceDE w:val="0"/>
        <w:autoSpaceDN w:val="0"/>
        <w:adjustRightInd w:val="0"/>
        <w:spacing w:after="0" w:line="276" w:lineRule="auto"/>
        <w:ind w:firstLine="720"/>
        <w:jc w:val="both"/>
        <w:rPr>
          <w:rFonts w:cs="Times New Roman"/>
          <w:szCs w:val="24"/>
        </w:rPr>
      </w:pPr>
      <w:r>
        <w:rPr>
          <w:rFonts w:cs="Times New Roman"/>
          <w:szCs w:val="24"/>
        </w:rPr>
        <w:t>Augstākā tiesa piekrīt profesores V. Liholajas publikācijā norādītajam par to, ka</w:t>
      </w:r>
      <w:r w:rsidR="00A1754C">
        <w:rPr>
          <w:rFonts w:cs="Times New Roman"/>
          <w:szCs w:val="24"/>
        </w:rPr>
        <w:t>:</w:t>
      </w:r>
    </w:p>
    <w:p w:rsidR="00A1754C" w:rsidRDefault="002B02D4" w:rsidP="00A1754C">
      <w:pPr>
        <w:pStyle w:val="ListParagraph"/>
        <w:numPr>
          <w:ilvl w:val="0"/>
          <w:numId w:val="2"/>
        </w:numPr>
        <w:autoSpaceDE w:val="0"/>
        <w:autoSpaceDN w:val="0"/>
        <w:adjustRightInd w:val="0"/>
        <w:spacing w:after="0" w:line="276" w:lineRule="auto"/>
        <w:jc w:val="both"/>
        <w:rPr>
          <w:rFonts w:cs="Times New Roman"/>
          <w:szCs w:val="24"/>
        </w:rPr>
      </w:pPr>
      <w:r w:rsidRPr="00A1754C">
        <w:rPr>
          <w:rFonts w:cs="Times New Roman"/>
          <w:szCs w:val="24"/>
        </w:rPr>
        <w:t>Krimināllikuma 312.pantā paredzēto noziedzīgo nodarījumu var izdarīt tikai</w:t>
      </w:r>
      <w:r w:rsidR="00A1754C" w:rsidRPr="00A1754C">
        <w:rPr>
          <w:rFonts w:cs="Times New Roman"/>
          <w:szCs w:val="24"/>
        </w:rPr>
        <w:t xml:space="preserve"> </w:t>
      </w:r>
      <w:r w:rsidR="00A1754C">
        <w:rPr>
          <w:rFonts w:cs="Times New Roman"/>
          <w:szCs w:val="24"/>
        </w:rPr>
        <w:t xml:space="preserve">īpašs (speciālais) subjekts – </w:t>
      </w:r>
      <w:r w:rsidRPr="00A1754C">
        <w:rPr>
          <w:rFonts w:cs="Times New Roman"/>
          <w:szCs w:val="24"/>
        </w:rPr>
        <w:t xml:space="preserve">persona, kura </w:t>
      </w:r>
      <w:r w:rsidR="00A1754C" w:rsidRPr="00A1754C">
        <w:rPr>
          <w:rFonts w:cs="Times New Roman"/>
          <w:szCs w:val="24"/>
        </w:rPr>
        <w:t>ir agrāk notiesāta</w:t>
      </w:r>
      <w:r w:rsidR="00A1754C">
        <w:rPr>
          <w:rFonts w:cs="Times New Roman"/>
          <w:szCs w:val="24"/>
        </w:rPr>
        <w:t xml:space="preserve"> un</w:t>
      </w:r>
      <w:r w:rsidR="00A1754C" w:rsidRPr="00A1754C">
        <w:rPr>
          <w:rFonts w:cs="Times New Roman"/>
          <w:szCs w:val="24"/>
        </w:rPr>
        <w:t xml:space="preserve"> </w:t>
      </w:r>
      <w:r w:rsidRPr="00A1754C">
        <w:rPr>
          <w:rFonts w:cs="Times New Roman"/>
          <w:szCs w:val="24"/>
        </w:rPr>
        <w:t>izvairās no tiesas piespriestā soda izciešanas</w:t>
      </w:r>
      <w:r w:rsidR="00A1754C">
        <w:rPr>
          <w:rFonts w:cs="Times New Roman"/>
          <w:szCs w:val="24"/>
        </w:rPr>
        <w:t>;</w:t>
      </w:r>
    </w:p>
    <w:p w:rsidR="00781060" w:rsidRDefault="00A1754C" w:rsidP="00AA78D2">
      <w:pPr>
        <w:pStyle w:val="ListParagraph"/>
        <w:numPr>
          <w:ilvl w:val="0"/>
          <w:numId w:val="2"/>
        </w:numPr>
        <w:autoSpaceDE w:val="0"/>
        <w:autoSpaceDN w:val="0"/>
        <w:adjustRightInd w:val="0"/>
        <w:spacing w:after="0" w:line="276" w:lineRule="auto"/>
        <w:jc w:val="both"/>
        <w:rPr>
          <w:rFonts w:cs="Times New Roman"/>
          <w:szCs w:val="24"/>
        </w:rPr>
      </w:pPr>
      <w:r>
        <w:rPr>
          <w:rFonts w:cs="Times New Roman"/>
          <w:szCs w:val="24"/>
        </w:rPr>
        <w:t xml:space="preserve">izlemjot par </w:t>
      </w:r>
      <w:r w:rsidRPr="00A1754C">
        <w:rPr>
          <w:rFonts w:cs="Times New Roman"/>
          <w:szCs w:val="24"/>
        </w:rPr>
        <w:t>Krimināllikuma</w:t>
      </w:r>
      <w:r>
        <w:rPr>
          <w:rFonts w:cs="Times New Roman"/>
          <w:szCs w:val="24"/>
        </w:rPr>
        <w:t xml:space="preserve"> 48.panta pirmās daļas</w:t>
      </w:r>
      <w:r w:rsidR="002B02D4" w:rsidRPr="00A1754C">
        <w:rPr>
          <w:rFonts w:cs="Times New Roman"/>
          <w:szCs w:val="24"/>
        </w:rPr>
        <w:t xml:space="preserve"> </w:t>
      </w:r>
      <w:r>
        <w:rPr>
          <w:rFonts w:cs="Times New Roman"/>
          <w:szCs w:val="24"/>
        </w:rPr>
        <w:t>1.punktā norādītā</w:t>
      </w:r>
      <w:r w:rsidRPr="00A1754C">
        <w:rPr>
          <w:rFonts w:cs="Times New Roman"/>
          <w:szCs w:val="24"/>
        </w:rPr>
        <w:t xml:space="preserve"> </w:t>
      </w:r>
      <w:r>
        <w:rPr>
          <w:rFonts w:cs="Times New Roman"/>
          <w:szCs w:val="24"/>
        </w:rPr>
        <w:t>atbildību pastiprinoš</w:t>
      </w:r>
      <w:r w:rsidR="00AA78D2">
        <w:rPr>
          <w:rFonts w:cs="Times New Roman"/>
          <w:szCs w:val="24"/>
        </w:rPr>
        <w:t>ā</w:t>
      </w:r>
      <w:r>
        <w:rPr>
          <w:rFonts w:cs="Times New Roman"/>
          <w:szCs w:val="24"/>
        </w:rPr>
        <w:t xml:space="preserve"> apstāk</w:t>
      </w:r>
      <w:r w:rsidR="00AA78D2">
        <w:rPr>
          <w:rFonts w:cs="Times New Roman"/>
          <w:szCs w:val="24"/>
        </w:rPr>
        <w:t>ļa</w:t>
      </w:r>
      <w:r>
        <w:rPr>
          <w:rFonts w:cs="Times New Roman"/>
          <w:szCs w:val="24"/>
        </w:rPr>
        <w:t xml:space="preserve"> </w:t>
      </w:r>
      <w:r w:rsidR="002B02D4" w:rsidRPr="00A1754C">
        <w:rPr>
          <w:rFonts w:cs="Times New Roman"/>
          <w:szCs w:val="24"/>
        </w:rPr>
        <w:t xml:space="preserve">– </w:t>
      </w:r>
      <w:r w:rsidR="00AA78D2">
        <w:rPr>
          <w:rFonts w:ascii="TimesNewRomanPSMT" w:hAnsi="TimesNewRomanPSMT" w:cs="TimesNewRomanPSMT"/>
          <w:szCs w:val="24"/>
        </w:rPr>
        <w:t xml:space="preserve">noziedzīgais nodarījums veido noziedzīgu nodarījumu recidīvu – piemērošanu personai, kura atzīta par vainīgu </w:t>
      </w:r>
      <w:r w:rsidR="00781060">
        <w:rPr>
          <w:rFonts w:cs="Times New Roman"/>
          <w:szCs w:val="24"/>
        </w:rPr>
        <w:t>Krimināllikuma 312.pantā paredzētajā noziedzīgajā nodarījumā, jāņem vērā, ka šo noziedzīgo nodarījumu var izdarīt tikai īpašais (speciālais) subjekts.</w:t>
      </w:r>
    </w:p>
    <w:p w:rsidR="00781060" w:rsidRDefault="00781060" w:rsidP="00781060">
      <w:pPr>
        <w:autoSpaceDE w:val="0"/>
        <w:autoSpaceDN w:val="0"/>
        <w:adjustRightInd w:val="0"/>
        <w:spacing w:after="0" w:line="276" w:lineRule="auto"/>
        <w:ind w:firstLine="720"/>
        <w:jc w:val="both"/>
        <w:rPr>
          <w:rFonts w:cs="Times New Roman"/>
          <w:szCs w:val="24"/>
        </w:rPr>
      </w:pPr>
      <w:r>
        <w:rPr>
          <w:rFonts w:cs="Times New Roman"/>
          <w:szCs w:val="24"/>
        </w:rPr>
        <w:t>Abas zemāko instanču tiesas konstatēja, ka</w:t>
      </w:r>
      <w:r w:rsidR="003F245F">
        <w:rPr>
          <w:rFonts w:cs="Times New Roman"/>
          <w:szCs w:val="24"/>
        </w:rPr>
        <w:t xml:space="preserve"> </w:t>
      </w:r>
      <w:r w:rsidR="009B393A">
        <w:rPr>
          <w:rFonts w:cs="Times New Roman"/>
          <w:szCs w:val="24"/>
        </w:rPr>
        <w:t>[pers. A]</w:t>
      </w:r>
      <w:r w:rsidR="003F245F">
        <w:rPr>
          <w:rFonts w:cs="Times New Roman"/>
          <w:szCs w:val="24"/>
        </w:rPr>
        <w:t xml:space="preserve"> bija notiesāts un viņam bija jāizcieš tiesību ierobežošanas sods pēc Krimināllikuma 262.panta pirmās daļas</w:t>
      </w:r>
      <w:r>
        <w:rPr>
          <w:rFonts w:cs="Times New Roman"/>
          <w:szCs w:val="24"/>
        </w:rPr>
        <w:t>, p</w:t>
      </w:r>
      <w:r w:rsidR="003F245F">
        <w:rPr>
          <w:rFonts w:cs="Times New Roman"/>
          <w:szCs w:val="24"/>
        </w:rPr>
        <w:t>ar citie</w:t>
      </w:r>
      <w:r w:rsidR="002D54E8">
        <w:rPr>
          <w:rFonts w:cs="Times New Roman"/>
          <w:szCs w:val="24"/>
        </w:rPr>
        <w:t>m</w:t>
      </w:r>
      <w:r w:rsidR="003F245F">
        <w:rPr>
          <w:rFonts w:cs="Times New Roman"/>
          <w:szCs w:val="24"/>
        </w:rPr>
        <w:t xml:space="preserve"> noziedzīgiem nodarījumiem </w:t>
      </w:r>
      <w:r w:rsidR="009B393A">
        <w:rPr>
          <w:rFonts w:cs="Times New Roman"/>
          <w:szCs w:val="24"/>
        </w:rPr>
        <w:t>[pers. A]</w:t>
      </w:r>
      <w:r w:rsidR="003F245F">
        <w:rPr>
          <w:rFonts w:cs="Times New Roman"/>
          <w:szCs w:val="24"/>
        </w:rPr>
        <w:t xml:space="preserve"> </w:t>
      </w:r>
      <w:r>
        <w:rPr>
          <w:rFonts w:cs="Times New Roman"/>
          <w:szCs w:val="24"/>
        </w:rPr>
        <w:t xml:space="preserve">iepriekš </w:t>
      </w:r>
      <w:r w:rsidR="003F245F">
        <w:rPr>
          <w:rFonts w:cs="Times New Roman"/>
          <w:szCs w:val="24"/>
        </w:rPr>
        <w:t>nav notiesāts</w:t>
      </w:r>
      <w:r w:rsidR="002D54E8">
        <w:rPr>
          <w:rFonts w:cs="Times New Roman"/>
          <w:szCs w:val="24"/>
        </w:rPr>
        <w:t xml:space="preserve">, </w:t>
      </w:r>
      <w:r>
        <w:rPr>
          <w:rFonts w:cs="Times New Roman"/>
          <w:szCs w:val="24"/>
        </w:rPr>
        <w:t>viņam nav citu sodāmību.</w:t>
      </w:r>
    </w:p>
    <w:p w:rsidR="002D54E8" w:rsidRDefault="002B02D4" w:rsidP="00781060">
      <w:pPr>
        <w:autoSpaceDE w:val="0"/>
        <w:autoSpaceDN w:val="0"/>
        <w:adjustRightInd w:val="0"/>
        <w:spacing w:after="0" w:line="276" w:lineRule="auto"/>
        <w:ind w:firstLine="720"/>
        <w:jc w:val="both"/>
        <w:rPr>
          <w:rFonts w:ascii="TimesNewRomanPSMT" w:hAnsi="TimesNewRomanPSMT" w:cs="TimesNewRomanPSMT"/>
          <w:szCs w:val="24"/>
        </w:rPr>
      </w:pPr>
      <w:r>
        <w:rPr>
          <w:rFonts w:cs="Times New Roman"/>
          <w:szCs w:val="24"/>
        </w:rPr>
        <w:t>Šādai personai n</w:t>
      </w:r>
      <w:r w:rsidR="002D54E8">
        <w:rPr>
          <w:rFonts w:cs="Times New Roman"/>
          <w:szCs w:val="24"/>
        </w:rPr>
        <w:t>evar piemērot</w:t>
      </w:r>
      <w:r>
        <w:rPr>
          <w:rFonts w:cs="Times New Roman"/>
          <w:szCs w:val="24"/>
        </w:rPr>
        <w:t xml:space="preserve"> Krimināllikuma 48.panta pirmās daļas 1.punkt</w:t>
      </w:r>
      <w:r w:rsidR="002D54E8">
        <w:rPr>
          <w:rFonts w:cs="Times New Roman"/>
          <w:szCs w:val="24"/>
        </w:rPr>
        <w:t>u un atzīt par</w:t>
      </w:r>
      <w:r>
        <w:rPr>
          <w:rFonts w:cs="Times New Roman"/>
          <w:szCs w:val="24"/>
        </w:rPr>
        <w:t xml:space="preserve"> </w:t>
      </w:r>
      <w:r w:rsidR="009B4BBC">
        <w:rPr>
          <w:rFonts w:cs="Times New Roman"/>
          <w:szCs w:val="24"/>
        </w:rPr>
        <w:t>atbildību pastiprinoš</w:t>
      </w:r>
      <w:r w:rsidR="002D54E8">
        <w:rPr>
          <w:rFonts w:cs="Times New Roman"/>
          <w:szCs w:val="24"/>
        </w:rPr>
        <w:t>u</w:t>
      </w:r>
      <w:r w:rsidR="009B4BBC">
        <w:rPr>
          <w:rFonts w:cs="Times New Roman"/>
          <w:szCs w:val="24"/>
        </w:rPr>
        <w:t xml:space="preserve"> apstākli</w:t>
      </w:r>
      <w:r w:rsidR="002D54E8">
        <w:rPr>
          <w:rFonts w:cs="Times New Roman"/>
          <w:szCs w:val="24"/>
        </w:rPr>
        <w:t xml:space="preserve"> </w:t>
      </w:r>
      <w:r w:rsidR="002D54E8">
        <w:rPr>
          <w:rFonts w:ascii="TimesNewRomanPSMT" w:hAnsi="TimesNewRomanPSMT" w:cs="TimesNewRomanPSMT"/>
          <w:szCs w:val="24"/>
        </w:rPr>
        <w:t>noziedzīgu nodarījumu recidīvu.</w:t>
      </w:r>
    </w:p>
    <w:p w:rsidR="00310C23" w:rsidRDefault="00310C23" w:rsidP="002B02D4">
      <w:pPr>
        <w:autoSpaceDE w:val="0"/>
        <w:autoSpaceDN w:val="0"/>
        <w:adjustRightInd w:val="0"/>
        <w:spacing w:after="0" w:line="276" w:lineRule="auto"/>
        <w:ind w:firstLine="720"/>
        <w:jc w:val="both"/>
        <w:rPr>
          <w:rFonts w:cs="Times New Roman"/>
          <w:szCs w:val="24"/>
        </w:rPr>
      </w:pPr>
      <w:r>
        <w:rPr>
          <w:rFonts w:cs="Times New Roman"/>
          <w:szCs w:val="24"/>
        </w:rPr>
        <w:t xml:space="preserve">Augstākā tiesa </w:t>
      </w:r>
      <w:r w:rsidR="002D54E8">
        <w:rPr>
          <w:rFonts w:cs="Times New Roman"/>
          <w:szCs w:val="24"/>
        </w:rPr>
        <w:t>atzīst</w:t>
      </w:r>
      <w:r>
        <w:rPr>
          <w:rFonts w:cs="Times New Roman"/>
          <w:szCs w:val="24"/>
        </w:rPr>
        <w:t xml:space="preserve">, ka apelācijas instances tiesa nepareizi norādīja, ka </w:t>
      </w:r>
      <w:r w:rsidR="00F3212C">
        <w:rPr>
          <w:rFonts w:cs="Times New Roman"/>
          <w:szCs w:val="24"/>
        </w:rPr>
        <w:t>iepriekšējā sodāmība (</w:t>
      </w:r>
      <w:r>
        <w:rPr>
          <w:rFonts w:cs="Times New Roman"/>
          <w:szCs w:val="24"/>
        </w:rPr>
        <w:t>recidīvs</w:t>
      </w:r>
      <w:r w:rsidR="00F3212C">
        <w:rPr>
          <w:rFonts w:cs="Times New Roman"/>
          <w:szCs w:val="24"/>
        </w:rPr>
        <w:t>)</w:t>
      </w:r>
      <w:r>
        <w:rPr>
          <w:rFonts w:cs="Times New Roman"/>
          <w:szCs w:val="24"/>
        </w:rPr>
        <w:t xml:space="preserve"> </w:t>
      </w:r>
      <w:r w:rsidR="002D54E8">
        <w:rPr>
          <w:rFonts w:cs="Times New Roman"/>
          <w:szCs w:val="24"/>
        </w:rPr>
        <w:t xml:space="preserve">konkrētajā lietā </w:t>
      </w:r>
      <w:r>
        <w:rPr>
          <w:rFonts w:cs="Times New Roman"/>
          <w:szCs w:val="24"/>
        </w:rPr>
        <w:t>ir Krimināllikuma 312.pantā paredzētā noziedzīgā nodarījuma objektīvās puses pazīme.</w:t>
      </w:r>
    </w:p>
    <w:p w:rsidR="002D54E8" w:rsidRDefault="002D54E8" w:rsidP="002B02D4">
      <w:pPr>
        <w:autoSpaceDE w:val="0"/>
        <w:autoSpaceDN w:val="0"/>
        <w:adjustRightInd w:val="0"/>
        <w:spacing w:after="0" w:line="276" w:lineRule="auto"/>
        <w:ind w:firstLine="720"/>
        <w:jc w:val="both"/>
        <w:rPr>
          <w:rFonts w:cs="Times New Roman"/>
          <w:szCs w:val="24"/>
        </w:rPr>
      </w:pPr>
      <w:r>
        <w:rPr>
          <w:rFonts w:cs="Times New Roman"/>
          <w:szCs w:val="24"/>
        </w:rPr>
        <w:t>Šāds</w:t>
      </w:r>
      <w:r w:rsidR="00B93819">
        <w:rPr>
          <w:rFonts w:cs="Times New Roman"/>
          <w:szCs w:val="24"/>
        </w:rPr>
        <w:t xml:space="preserve"> Latgales apgabaltiesas</w:t>
      </w:r>
      <w:r>
        <w:rPr>
          <w:rFonts w:cs="Times New Roman"/>
          <w:szCs w:val="24"/>
        </w:rPr>
        <w:t xml:space="preserve"> atzinums izslēdzams no</w:t>
      </w:r>
      <w:r w:rsidR="00CE55A8">
        <w:rPr>
          <w:rFonts w:cs="Times New Roman"/>
          <w:szCs w:val="24"/>
        </w:rPr>
        <w:t xml:space="preserve"> </w:t>
      </w:r>
      <w:r>
        <w:rPr>
          <w:rFonts w:cs="Times New Roman"/>
          <w:szCs w:val="24"/>
        </w:rPr>
        <w:t>lēmuma motīvu daļas.</w:t>
      </w:r>
    </w:p>
    <w:p w:rsidR="00B93819" w:rsidRDefault="00781060" w:rsidP="002B02D4">
      <w:pPr>
        <w:autoSpaceDE w:val="0"/>
        <w:autoSpaceDN w:val="0"/>
        <w:adjustRightInd w:val="0"/>
        <w:spacing w:after="0" w:line="276" w:lineRule="auto"/>
        <w:ind w:firstLine="720"/>
        <w:jc w:val="both"/>
        <w:rPr>
          <w:rFonts w:cs="Times New Roman"/>
          <w:szCs w:val="24"/>
        </w:rPr>
      </w:pPr>
      <w:r>
        <w:rPr>
          <w:rFonts w:cs="Times New Roman"/>
          <w:szCs w:val="24"/>
        </w:rPr>
        <w:t>Ievērojot iepriekš norādīto, k</w:t>
      </w:r>
      <w:r w:rsidR="00B93819">
        <w:rPr>
          <w:rFonts w:cs="Times New Roman"/>
          <w:szCs w:val="24"/>
        </w:rPr>
        <w:t>asācijas protests noraidāms.</w:t>
      </w:r>
    </w:p>
    <w:p w:rsidR="00B93819" w:rsidRDefault="00B93819" w:rsidP="002B02D4">
      <w:pPr>
        <w:autoSpaceDE w:val="0"/>
        <w:autoSpaceDN w:val="0"/>
        <w:adjustRightInd w:val="0"/>
        <w:spacing w:after="0" w:line="276" w:lineRule="auto"/>
        <w:ind w:firstLine="720"/>
        <w:jc w:val="both"/>
        <w:rPr>
          <w:rFonts w:cs="Times New Roman"/>
          <w:szCs w:val="24"/>
        </w:rPr>
      </w:pPr>
    </w:p>
    <w:p w:rsidR="006670A0" w:rsidRPr="008A5055" w:rsidRDefault="006670A0" w:rsidP="006670A0">
      <w:pPr>
        <w:spacing w:after="0" w:line="276" w:lineRule="auto"/>
        <w:jc w:val="center"/>
        <w:rPr>
          <w:rFonts w:eastAsia="Times New Roman" w:cs="Times New Roman"/>
          <w:b/>
          <w:szCs w:val="24"/>
        </w:rPr>
      </w:pPr>
      <w:r w:rsidRPr="008A5055">
        <w:rPr>
          <w:rFonts w:eastAsia="Times New Roman" w:cs="Times New Roman"/>
          <w:b/>
          <w:szCs w:val="24"/>
        </w:rPr>
        <w:t>Rezolutīvā daļa</w:t>
      </w:r>
    </w:p>
    <w:p w:rsidR="006670A0" w:rsidRPr="008A5055" w:rsidRDefault="006670A0" w:rsidP="006670A0">
      <w:pPr>
        <w:spacing w:after="0" w:line="276" w:lineRule="auto"/>
        <w:jc w:val="center"/>
        <w:rPr>
          <w:rFonts w:eastAsia="Times New Roman" w:cs="Times New Roman"/>
          <w:b/>
          <w:szCs w:val="24"/>
        </w:rPr>
      </w:pPr>
    </w:p>
    <w:p w:rsidR="006670A0" w:rsidRDefault="006670A0" w:rsidP="006670A0">
      <w:pPr>
        <w:spacing w:after="0" w:line="276" w:lineRule="auto"/>
        <w:ind w:firstLine="720"/>
        <w:jc w:val="both"/>
        <w:rPr>
          <w:rFonts w:eastAsia="Times New Roman" w:cs="Times New Roman"/>
          <w:szCs w:val="24"/>
        </w:rPr>
      </w:pPr>
      <w:r w:rsidRPr="008A5055">
        <w:rPr>
          <w:rFonts w:eastAsia="Times New Roman" w:cs="Times New Roman"/>
          <w:szCs w:val="24"/>
        </w:rPr>
        <w:t>Pamatojoties uz Kriminālprocesa likuma 585., 587.pantu, Augstākā tiesa</w:t>
      </w:r>
    </w:p>
    <w:p w:rsidR="00B169F0" w:rsidRPr="008A5055" w:rsidRDefault="00B169F0" w:rsidP="006670A0">
      <w:pPr>
        <w:spacing w:after="0" w:line="276" w:lineRule="auto"/>
        <w:ind w:firstLine="720"/>
        <w:jc w:val="both"/>
        <w:rPr>
          <w:rFonts w:eastAsia="Times New Roman" w:cs="Times New Roman"/>
          <w:szCs w:val="24"/>
        </w:rPr>
      </w:pPr>
    </w:p>
    <w:p w:rsidR="006670A0" w:rsidRPr="008A5055" w:rsidRDefault="006670A0" w:rsidP="006670A0">
      <w:pPr>
        <w:spacing w:after="0" w:line="276" w:lineRule="auto"/>
        <w:jc w:val="center"/>
        <w:rPr>
          <w:rFonts w:eastAsia="Times New Roman" w:cs="Times New Roman"/>
          <w:b/>
          <w:szCs w:val="24"/>
        </w:rPr>
      </w:pPr>
      <w:r w:rsidRPr="008A5055">
        <w:rPr>
          <w:rFonts w:eastAsia="Times New Roman" w:cs="Times New Roman"/>
          <w:b/>
          <w:szCs w:val="24"/>
        </w:rPr>
        <w:t>nolēma:</w:t>
      </w:r>
    </w:p>
    <w:p w:rsidR="006670A0" w:rsidRPr="008A5055" w:rsidRDefault="006670A0" w:rsidP="006670A0">
      <w:pPr>
        <w:autoSpaceDE w:val="0"/>
        <w:autoSpaceDN w:val="0"/>
        <w:adjustRightInd w:val="0"/>
        <w:spacing w:after="0" w:line="276" w:lineRule="auto"/>
        <w:ind w:firstLine="720"/>
        <w:jc w:val="both"/>
        <w:rPr>
          <w:rFonts w:eastAsia="Times New Roman" w:cs="Times New Roman"/>
          <w:szCs w:val="24"/>
        </w:rPr>
      </w:pPr>
    </w:p>
    <w:p w:rsidR="002D54E8" w:rsidRDefault="002D54E8" w:rsidP="00B93819">
      <w:pPr>
        <w:autoSpaceDE w:val="0"/>
        <w:autoSpaceDN w:val="0"/>
        <w:adjustRightInd w:val="0"/>
        <w:spacing w:after="0" w:line="276" w:lineRule="auto"/>
        <w:ind w:firstLine="709"/>
        <w:jc w:val="both"/>
        <w:rPr>
          <w:rFonts w:cs="Times New Roman"/>
          <w:szCs w:val="24"/>
        </w:rPr>
      </w:pPr>
      <w:r>
        <w:rPr>
          <w:rFonts w:eastAsia="Calibri" w:cs="Times New Roman"/>
          <w:szCs w:val="24"/>
        </w:rPr>
        <w:lastRenderedPageBreak/>
        <w:t>Latgales apgabaltiesas 2017.gada 27.jūnija lēmumu</w:t>
      </w:r>
      <w:r>
        <w:rPr>
          <w:rFonts w:eastAsia="Times New Roman" w:cs="Times New Roman"/>
          <w:szCs w:val="24"/>
        </w:rPr>
        <w:t xml:space="preserve"> grozīt un no lēmuma motīvu daļas izslēgt atzinumu par to, ka </w:t>
      </w:r>
      <w:r>
        <w:rPr>
          <w:rFonts w:cs="Times New Roman"/>
          <w:szCs w:val="24"/>
        </w:rPr>
        <w:t>Krimināllikuma 312.pantā paredzētā noziedzīgā nodarījuma objektīvo pusi veido iepriekšējā sodāmība.</w:t>
      </w:r>
    </w:p>
    <w:p w:rsidR="002D54E8" w:rsidRDefault="002D54E8" w:rsidP="00B93819">
      <w:pPr>
        <w:autoSpaceDE w:val="0"/>
        <w:autoSpaceDN w:val="0"/>
        <w:adjustRightInd w:val="0"/>
        <w:spacing w:after="0" w:line="276" w:lineRule="auto"/>
        <w:ind w:firstLine="709"/>
        <w:jc w:val="both"/>
        <w:rPr>
          <w:rFonts w:eastAsia="Calibri" w:cs="Times New Roman"/>
          <w:szCs w:val="24"/>
        </w:rPr>
      </w:pPr>
      <w:r>
        <w:rPr>
          <w:rFonts w:cs="Times New Roman"/>
          <w:szCs w:val="24"/>
        </w:rPr>
        <w:t xml:space="preserve"> Pārējā daļā lēmumu </w:t>
      </w:r>
      <w:r>
        <w:rPr>
          <w:rFonts w:eastAsia="Times New Roman" w:cs="Times New Roman"/>
          <w:szCs w:val="24"/>
        </w:rPr>
        <w:t xml:space="preserve">atstāt negrozītu, bet </w:t>
      </w:r>
      <w:r>
        <w:rPr>
          <w:rFonts w:eastAsia="Calibri" w:cs="Times New Roman"/>
          <w:szCs w:val="24"/>
        </w:rPr>
        <w:t xml:space="preserve">Rēzeknes prokuratūras prokurores </w:t>
      </w:r>
      <w:r>
        <w:t xml:space="preserve">Jeļenas </w:t>
      </w:r>
      <w:r>
        <w:rPr>
          <w:rFonts w:eastAsia="Calibri" w:cs="Times New Roman"/>
          <w:szCs w:val="24"/>
        </w:rPr>
        <w:t>Artemjevas kasācijas protestu noraidīt.</w:t>
      </w:r>
    </w:p>
    <w:p w:rsidR="00E0725A" w:rsidRDefault="00E0725A" w:rsidP="00E0725A">
      <w:pPr>
        <w:spacing w:line="276" w:lineRule="auto"/>
        <w:ind w:firstLine="720"/>
        <w:jc w:val="both"/>
      </w:pPr>
      <w:r>
        <w:t>Lēmums nav pārsūdzams.</w:t>
      </w:r>
    </w:p>
    <w:p w:rsidR="006670A0" w:rsidRPr="008A5055" w:rsidRDefault="006670A0" w:rsidP="006670A0">
      <w:pPr>
        <w:spacing w:after="0" w:line="276" w:lineRule="auto"/>
        <w:jc w:val="both"/>
        <w:rPr>
          <w:rFonts w:eastAsia="Times New Roman" w:cs="Times New Roman"/>
          <w:szCs w:val="24"/>
        </w:rPr>
      </w:pPr>
    </w:p>
    <w:p w:rsidR="006670A0" w:rsidRPr="008A5055" w:rsidRDefault="006670A0" w:rsidP="006670A0">
      <w:pPr>
        <w:tabs>
          <w:tab w:val="left" w:pos="5103"/>
        </w:tabs>
        <w:spacing w:after="0" w:line="276" w:lineRule="auto"/>
        <w:ind w:firstLine="705"/>
        <w:jc w:val="both"/>
      </w:pPr>
      <w:r w:rsidRPr="008A5055">
        <w:rPr>
          <w:rFonts w:eastAsia="Times New Roman" w:cs="Times New Roman"/>
          <w:color w:val="000000"/>
          <w:szCs w:val="24"/>
        </w:rPr>
        <w:tab/>
      </w:r>
      <w:r w:rsidRPr="008A5055">
        <w:rPr>
          <w:rFonts w:eastAsia="Times New Roman" w:cs="Times New Roman"/>
          <w:color w:val="000000"/>
          <w:szCs w:val="24"/>
        </w:rPr>
        <w:tab/>
      </w:r>
      <w:r w:rsidRPr="008A5055">
        <w:rPr>
          <w:rFonts w:eastAsia="Times New Roman" w:cs="Times New Roman"/>
          <w:color w:val="000000"/>
          <w:szCs w:val="24"/>
        </w:rPr>
        <w:tab/>
      </w:r>
    </w:p>
    <w:p w:rsidR="006670A0" w:rsidRPr="008A5055" w:rsidRDefault="006670A0" w:rsidP="006670A0">
      <w:pPr>
        <w:spacing w:line="276" w:lineRule="auto"/>
      </w:pPr>
    </w:p>
    <w:p w:rsidR="006670A0" w:rsidRDefault="006670A0" w:rsidP="006670A0"/>
    <w:p w:rsidR="0045655B" w:rsidRDefault="0045655B"/>
    <w:sectPr w:rsidR="0045655B" w:rsidSect="00D6190F">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A1C" w:rsidRDefault="008F4A1C" w:rsidP="00B93819">
      <w:pPr>
        <w:spacing w:after="0" w:line="240" w:lineRule="auto"/>
      </w:pPr>
      <w:r>
        <w:separator/>
      </w:r>
    </w:p>
  </w:endnote>
  <w:endnote w:type="continuationSeparator" w:id="0">
    <w:p w:rsidR="008F4A1C" w:rsidRDefault="008F4A1C" w:rsidP="00B93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45A" w:rsidRDefault="00B7345A" w:rsidP="00B734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B7345A" w:rsidRDefault="00B73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45A" w:rsidRPr="00E61E37" w:rsidRDefault="00B7345A">
    <w:pPr>
      <w:pStyle w:val="Footer"/>
      <w:rPr>
        <w:sz w:val="22"/>
      </w:rPr>
    </w:pPr>
    <w:r>
      <w:rPr>
        <w:rStyle w:val="PageNumber"/>
      </w:rPr>
      <w:tab/>
    </w:r>
    <w:r w:rsidRPr="00E61E37">
      <w:rPr>
        <w:rStyle w:val="PageNumber"/>
        <w:sz w:val="22"/>
      </w:rPr>
      <w:fldChar w:fldCharType="begin"/>
    </w:r>
    <w:r w:rsidRPr="00E61E37">
      <w:rPr>
        <w:rStyle w:val="PageNumber"/>
        <w:sz w:val="22"/>
      </w:rPr>
      <w:instrText xml:space="preserve"> PAGE </w:instrText>
    </w:r>
    <w:r w:rsidRPr="00E61E37">
      <w:rPr>
        <w:rStyle w:val="PageNumber"/>
        <w:sz w:val="22"/>
      </w:rPr>
      <w:fldChar w:fldCharType="separate"/>
    </w:r>
    <w:r w:rsidR="00C1765E">
      <w:rPr>
        <w:rStyle w:val="PageNumber"/>
        <w:noProof/>
        <w:sz w:val="22"/>
      </w:rPr>
      <w:t>1</w:t>
    </w:r>
    <w:r w:rsidRPr="00E61E37">
      <w:rPr>
        <w:rStyle w:val="PageNumber"/>
        <w:sz w:val="22"/>
      </w:rPr>
      <w:fldChar w:fldCharType="end"/>
    </w:r>
    <w:r w:rsidRPr="00E61E37">
      <w:rPr>
        <w:rStyle w:val="PageNumber"/>
        <w:sz w:val="22"/>
      </w:rPr>
      <w:t xml:space="preserve"> no </w:t>
    </w:r>
    <w:r w:rsidR="00B169F0">
      <w:rPr>
        <w:rStyle w:val="PageNumber"/>
        <w:sz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A1C" w:rsidRDefault="008F4A1C" w:rsidP="00B93819">
      <w:pPr>
        <w:spacing w:after="0" w:line="240" w:lineRule="auto"/>
      </w:pPr>
      <w:r>
        <w:separator/>
      </w:r>
    </w:p>
  </w:footnote>
  <w:footnote w:type="continuationSeparator" w:id="0">
    <w:p w:rsidR="008F4A1C" w:rsidRDefault="008F4A1C" w:rsidP="00B938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40CFA"/>
    <w:multiLevelType w:val="hybridMultilevel"/>
    <w:tmpl w:val="92264C06"/>
    <w:lvl w:ilvl="0" w:tplc="AE70B3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1DD7B9A"/>
    <w:multiLevelType w:val="hybridMultilevel"/>
    <w:tmpl w:val="86D653B2"/>
    <w:lvl w:ilvl="0" w:tplc="27A445E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0A0"/>
    <w:rsid w:val="000717D2"/>
    <w:rsid w:val="000C1A14"/>
    <w:rsid w:val="000D75A1"/>
    <w:rsid w:val="00117410"/>
    <w:rsid w:val="001E19BB"/>
    <w:rsid w:val="002576AB"/>
    <w:rsid w:val="002829C1"/>
    <w:rsid w:val="0028670E"/>
    <w:rsid w:val="002B02D4"/>
    <w:rsid w:val="002C47A9"/>
    <w:rsid w:val="002D54E8"/>
    <w:rsid w:val="0030657F"/>
    <w:rsid w:val="00310C23"/>
    <w:rsid w:val="003168B4"/>
    <w:rsid w:val="0032785C"/>
    <w:rsid w:val="003717F2"/>
    <w:rsid w:val="003928C6"/>
    <w:rsid w:val="003F245F"/>
    <w:rsid w:val="0040709F"/>
    <w:rsid w:val="0045655B"/>
    <w:rsid w:val="005202F3"/>
    <w:rsid w:val="00525DCF"/>
    <w:rsid w:val="00552B48"/>
    <w:rsid w:val="0058490E"/>
    <w:rsid w:val="005B2A86"/>
    <w:rsid w:val="006050E2"/>
    <w:rsid w:val="006670A0"/>
    <w:rsid w:val="006E52D1"/>
    <w:rsid w:val="006F3C16"/>
    <w:rsid w:val="00765F3D"/>
    <w:rsid w:val="00781060"/>
    <w:rsid w:val="00793399"/>
    <w:rsid w:val="007B2D4E"/>
    <w:rsid w:val="007E625A"/>
    <w:rsid w:val="00857C09"/>
    <w:rsid w:val="008A241A"/>
    <w:rsid w:val="008F4A1C"/>
    <w:rsid w:val="00964AE1"/>
    <w:rsid w:val="00970F12"/>
    <w:rsid w:val="00976E99"/>
    <w:rsid w:val="009B238C"/>
    <w:rsid w:val="009B393A"/>
    <w:rsid w:val="009B4BBC"/>
    <w:rsid w:val="00A1754C"/>
    <w:rsid w:val="00A5100B"/>
    <w:rsid w:val="00A876C0"/>
    <w:rsid w:val="00AA77AB"/>
    <w:rsid w:val="00AA78D2"/>
    <w:rsid w:val="00B00786"/>
    <w:rsid w:val="00B169F0"/>
    <w:rsid w:val="00B532FD"/>
    <w:rsid w:val="00B7345A"/>
    <w:rsid w:val="00B93819"/>
    <w:rsid w:val="00BB1E8D"/>
    <w:rsid w:val="00C1765E"/>
    <w:rsid w:val="00CB6454"/>
    <w:rsid w:val="00CC26A3"/>
    <w:rsid w:val="00CE55A8"/>
    <w:rsid w:val="00D00F02"/>
    <w:rsid w:val="00D6190F"/>
    <w:rsid w:val="00DC73F3"/>
    <w:rsid w:val="00E0725A"/>
    <w:rsid w:val="00E91C47"/>
    <w:rsid w:val="00E9402A"/>
    <w:rsid w:val="00ED4E7E"/>
    <w:rsid w:val="00F3212C"/>
    <w:rsid w:val="00F408C3"/>
    <w:rsid w:val="00F5102B"/>
    <w:rsid w:val="00F56E9E"/>
    <w:rsid w:val="00F644C0"/>
    <w:rsid w:val="00FF3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0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70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70A0"/>
  </w:style>
  <w:style w:type="character" w:styleId="PageNumber">
    <w:name w:val="page number"/>
    <w:basedOn w:val="DefaultParagraphFont"/>
    <w:rsid w:val="006670A0"/>
    <w:rPr>
      <w:rFonts w:cs="Times New Roman"/>
    </w:rPr>
  </w:style>
  <w:style w:type="paragraph" w:styleId="Header">
    <w:name w:val="header"/>
    <w:basedOn w:val="Normal"/>
    <w:link w:val="HeaderChar"/>
    <w:uiPriority w:val="99"/>
    <w:unhideWhenUsed/>
    <w:rsid w:val="006670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670A0"/>
  </w:style>
  <w:style w:type="paragraph" w:styleId="BodyTextIndent">
    <w:name w:val="Body Text Indent"/>
    <w:basedOn w:val="Normal"/>
    <w:link w:val="BodyTextIndentChar"/>
    <w:rsid w:val="00BB1E8D"/>
    <w:pPr>
      <w:spacing w:after="0" w:line="240" w:lineRule="auto"/>
      <w:ind w:firstLine="720"/>
      <w:jc w:val="both"/>
    </w:pPr>
    <w:rPr>
      <w:rFonts w:eastAsia="Times New Roman" w:cs="Times New Roman"/>
      <w:sz w:val="28"/>
      <w:szCs w:val="28"/>
    </w:rPr>
  </w:style>
  <w:style w:type="character" w:customStyle="1" w:styleId="BodyTextIndentChar">
    <w:name w:val="Body Text Indent Char"/>
    <w:basedOn w:val="DefaultParagraphFont"/>
    <w:link w:val="BodyTextIndent"/>
    <w:rsid w:val="00BB1E8D"/>
    <w:rPr>
      <w:rFonts w:eastAsia="Times New Roman" w:cs="Times New Roman"/>
      <w:sz w:val="28"/>
      <w:szCs w:val="28"/>
    </w:rPr>
  </w:style>
  <w:style w:type="paragraph" w:styleId="ListParagraph">
    <w:name w:val="List Paragraph"/>
    <w:basedOn w:val="Normal"/>
    <w:uiPriority w:val="34"/>
    <w:qFormat/>
    <w:rsid w:val="00CC26A3"/>
    <w:pPr>
      <w:ind w:left="720"/>
      <w:contextualSpacing/>
    </w:pPr>
  </w:style>
  <w:style w:type="paragraph" w:styleId="BalloonText">
    <w:name w:val="Balloon Text"/>
    <w:basedOn w:val="Normal"/>
    <w:link w:val="BalloonTextChar"/>
    <w:uiPriority w:val="99"/>
    <w:semiHidden/>
    <w:unhideWhenUsed/>
    <w:rsid w:val="00282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9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43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A8F8C-3387-4495-A233-4817A034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7726</Words>
  <Characters>4405</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2018-01-26T12:18:00Z</dcterms:created>
  <dcterms:modified xsi:type="dcterms:W3CDTF">2018-01-26T12:18:00Z</dcterms:modified>
</cp:coreProperties>
</file>