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A56" w:rsidRDefault="009C3A56" w:rsidP="009C3A56">
      <w:pPr>
        <w:jc w:val="both"/>
        <w:rPr>
          <w:rFonts w:cs="Times New Roman"/>
          <w:szCs w:val="24"/>
        </w:rPr>
      </w:pPr>
      <w:bookmarkStart w:id="0" w:name="_GoBack"/>
      <w:bookmarkEnd w:id="0"/>
      <w:r w:rsidRPr="009C3A56">
        <w:rPr>
          <w:rFonts w:cs="Times New Roman"/>
          <w:b/>
          <w:szCs w:val="24"/>
        </w:rPr>
        <w:t>Pamats medicīnisk</w:t>
      </w:r>
      <w:r w:rsidR="00655DF7">
        <w:rPr>
          <w:rFonts w:cs="Times New Roman"/>
          <w:b/>
          <w:szCs w:val="24"/>
        </w:rPr>
        <w:t>a</w:t>
      </w:r>
      <w:r w:rsidRPr="009C3A56">
        <w:rPr>
          <w:rFonts w:cs="Times New Roman"/>
          <w:b/>
          <w:szCs w:val="24"/>
        </w:rPr>
        <w:t xml:space="preserve"> rakstura piespiedu līdzekļa grozīšanai uz mazāk ierobežojošu un medicīniska rakstura piespiedu līdzekļa atcelšanai</w:t>
      </w:r>
    </w:p>
    <w:p w:rsidR="009C3A56" w:rsidRPr="007F7D56" w:rsidRDefault="009C3A56" w:rsidP="009C3A56">
      <w:pPr>
        <w:jc w:val="both"/>
        <w:rPr>
          <w:rFonts w:cs="Times New Roman"/>
          <w:szCs w:val="24"/>
        </w:rPr>
      </w:pPr>
      <w:r w:rsidRPr="007F7D56">
        <w:rPr>
          <w:rFonts w:cs="Times New Roman"/>
          <w:szCs w:val="24"/>
        </w:rPr>
        <w:t xml:space="preserve">Pamats medicīniska rakstura piespiedu līdzekļa grozīšanai uz mazāk ierobežojošu ir šīs personas veselības stāvokļa uzlabošanās, saglabājoties bīstamībai sabiedrībai. </w:t>
      </w:r>
    </w:p>
    <w:p w:rsidR="009C3A56" w:rsidRPr="007F7D56" w:rsidRDefault="009C3A56" w:rsidP="009C3A56">
      <w:pPr>
        <w:spacing w:after="0" w:line="240" w:lineRule="auto"/>
        <w:jc w:val="both"/>
        <w:rPr>
          <w:rFonts w:cs="Times New Roman"/>
          <w:szCs w:val="24"/>
        </w:rPr>
      </w:pPr>
      <w:r>
        <w:rPr>
          <w:rFonts w:cs="Times New Roman"/>
          <w:szCs w:val="24"/>
        </w:rPr>
        <w:t>M</w:t>
      </w:r>
      <w:r w:rsidRPr="007F7D56">
        <w:rPr>
          <w:rFonts w:cs="Times New Roman"/>
          <w:szCs w:val="24"/>
        </w:rPr>
        <w:t>edicīniska rakstura piespiedu līdzekļa atcelšanas pamati ir divi:</w:t>
      </w:r>
    </w:p>
    <w:p w:rsidR="009C3A56" w:rsidRPr="007F7D56" w:rsidRDefault="009C3A56" w:rsidP="009C3A56">
      <w:pPr>
        <w:spacing w:after="0" w:line="240" w:lineRule="auto"/>
        <w:jc w:val="both"/>
        <w:rPr>
          <w:rFonts w:cs="Times New Roman"/>
          <w:szCs w:val="24"/>
        </w:rPr>
      </w:pPr>
      <w:r w:rsidRPr="007F7D56">
        <w:rPr>
          <w:rFonts w:cs="Times New Roman"/>
          <w:szCs w:val="24"/>
        </w:rPr>
        <w:t>1) persona ir izveseļojusies;</w:t>
      </w:r>
    </w:p>
    <w:p w:rsidR="009C3A56" w:rsidRPr="007F7D56" w:rsidRDefault="009C3A56" w:rsidP="009C3A56">
      <w:pPr>
        <w:spacing w:after="0" w:line="240" w:lineRule="auto"/>
        <w:jc w:val="both"/>
        <w:rPr>
          <w:rFonts w:cs="Times New Roman"/>
          <w:szCs w:val="24"/>
        </w:rPr>
      </w:pPr>
      <w:r w:rsidRPr="007F7D56">
        <w:rPr>
          <w:rFonts w:cs="Times New Roman"/>
          <w:szCs w:val="24"/>
        </w:rPr>
        <w:t xml:space="preserve">2) veselības stāvoklis citādi mainījies tiktāl, ka tā vairs nav bīstama sabiedrībai. </w:t>
      </w:r>
    </w:p>
    <w:p w:rsidR="009C3A56" w:rsidRPr="007F7D56" w:rsidRDefault="009C3A56" w:rsidP="009C3A56">
      <w:pPr>
        <w:spacing w:after="0" w:line="240" w:lineRule="auto"/>
        <w:jc w:val="both"/>
        <w:rPr>
          <w:rFonts w:cs="Times New Roman"/>
          <w:szCs w:val="24"/>
        </w:rPr>
      </w:pPr>
      <w:r w:rsidRPr="007F7D56">
        <w:rPr>
          <w:rFonts w:cs="Times New Roman"/>
          <w:szCs w:val="24"/>
        </w:rPr>
        <w:t xml:space="preserve">Ja persona nav izveseļojusies vai viņas veselības stāvoklis mainījies, bet tā vēl ir bīstama sabiedrībai, tad turpināma medicīniska rakstura piespiedu līdzekļa piemērošana. </w:t>
      </w:r>
    </w:p>
    <w:p w:rsidR="009C3A56" w:rsidRDefault="009C3A56" w:rsidP="009C3A56">
      <w:pPr>
        <w:jc w:val="both"/>
        <w:rPr>
          <w:rFonts w:cs="Times New Roman"/>
          <w:szCs w:val="24"/>
        </w:rPr>
      </w:pPr>
    </w:p>
    <w:p w:rsidR="009C3A56" w:rsidRPr="009C3A56" w:rsidRDefault="009C3A56" w:rsidP="009C3A56">
      <w:pPr>
        <w:jc w:val="both"/>
        <w:rPr>
          <w:rFonts w:cs="Times New Roman"/>
          <w:b/>
          <w:szCs w:val="24"/>
        </w:rPr>
      </w:pPr>
      <w:r w:rsidRPr="009C3A56">
        <w:rPr>
          <w:rFonts w:cs="Times New Roman"/>
          <w:b/>
          <w:szCs w:val="24"/>
        </w:rPr>
        <w:t>Medicīniska rakstura piespiedu līdzekļa piemērošanas ilgums</w:t>
      </w:r>
    </w:p>
    <w:p w:rsidR="00653A68" w:rsidRPr="008E42E5" w:rsidRDefault="009C3A56" w:rsidP="008E42E5">
      <w:pPr>
        <w:jc w:val="both"/>
        <w:rPr>
          <w:rFonts w:cs="Times New Roman"/>
          <w:szCs w:val="24"/>
        </w:rPr>
      </w:pPr>
      <w:r w:rsidRPr="007F7D56">
        <w:rPr>
          <w:rFonts w:cs="Times New Roman"/>
          <w:szCs w:val="24"/>
        </w:rPr>
        <w:t>Lemjot par medicīniska rakstura piespiedu līdzekļa piemērošanas ilgumu, turpināšanu, jāizvērtē samērīgums starp personas tiesībām un sabiedrības interesēm, tostarp arī Krimināllikumā paredzētā sankcija par noziedzīgu nodarījumu, par kura izdarīšanu persona atbrīvota no kriminālatbildības, jo medicīniska rakstura piespiedu līdzeklis ir viens no krimināltiesiskiem piespiedu līdzekļiem saistībā ar noziedzīgu nodarījumu.</w:t>
      </w:r>
    </w:p>
    <w:p w:rsidR="00653A68" w:rsidRPr="00F25004" w:rsidRDefault="00653A68" w:rsidP="00653A68">
      <w:pPr>
        <w:spacing w:after="0" w:line="23" w:lineRule="atLeast"/>
        <w:jc w:val="right"/>
        <w:rPr>
          <w:rFonts w:eastAsia="Calibri"/>
          <w:szCs w:val="24"/>
        </w:rPr>
      </w:pPr>
    </w:p>
    <w:p w:rsidR="009A2E7E" w:rsidRPr="009A2E7E" w:rsidRDefault="00653A68" w:rsidP="00653A68">
      <w:pPr>
        <w:spacing w:after="0" w:line="23" w:lineRule="atLeast"/>
        <w:jc w:val="center"/>
        <w:rPr>
          <w:rFonts w:eastAsia="Calibri" w:cs="Times New Roman"/>
          <w:b/>
          <w:szCs w:val="24"/>
        </w:rPr>
      </w:pPr>
      <w:r w:rsidRPr="009A2E7E">
        <w:rPr>
          <w:rFonts w:eastAsia="Calibri" w:cs="Times New Roman"/>
          <w:b/>
          <w:szCs w:val="24"/>
        </w:rPr>
        <w:t>Latvijas Republikas Augstākā</w:t>
      </w:r>
      <w:r w:rsidR="009A2E7E" w:rsidRPr="009A2E7E">
        <w:rPr>
          <w:rFonts w:eastAsia="Calibri" w:cs="Times New Roman"/>
          <w:b/>
          <w:szCs w:val="24"/>
        </w:rPr>
        <w:t>s</w:t>
      </w:r>
      <w:r w:rsidRPr="009A2E7E">
        <w:rPr>
          <w:rFonts w:eastAsia="Calibri" w:cs="Times New Roman"/>
          <w:b/>
          <w:szCs w:val="24"/>
        </w:rPr>
        <w:t xml:space="preserve"> tiesa</w:t>
      </w:r>
      <w:r w:rsidR="009A2E7E" w:rsidRPr="009A2E7E">
        <w:rPr>
          <w:rFonts w:eastAsia="Calibri" w:cs="Times New Roman"/>
          <w:b/>
          <w:szCs w:val="24"/>
        </w:rPr>
        <w:t xml:space="preserve">s </w:t>
      </w:r>
    </w:p>
    <w:p w:rsidR="00653A68" w:rsidRPr="009A2E7E" w:rsidRDefault="009A2E7E" w:rsidP="00653A68">
      <w:pPr>
        <w:spacing w:after="0" w:line="23" w:lineRule="atLeast"/>
        <w:jc w:val="center"/>
        <w:rPr>
          <w:rFonts w:eastAsia="Calibri" w:cs="Times New Roman"/>
          <w:b/>
          <w:szCs w:val="24"/>
        </w:rPr>
      </w:pPr>
      <w:r w:rsidRPr="009A2E7E">
        <w:rPr>
          <w:rFonts w:eastAsia="Calibri" w:cs="Times New Roman"/>
          <w:b/>
          <w:szCs w:val="24"/>
        </w:rPr>
        <w:t>Krimināllietu departamenta</w:t>
      </w:r>
    </w:p>
    <w:p w:rsidR="009A2E7E" w:rsidRPr="009A2E7E" w:rsidRDefault="009A2E7E" w:rsidP="00653A68">
      <w:pPr>
        <w:spacing w:after="0" w:line="23" w:lineRule="atLeast"/>
        <w:jc w:val="center"/>
        <w:rPr>
          <w:rFonts w:eastAsia="Calibri" w:cs="Times New Roman"/>
          <w:b/>
          <w:szCs w:val="24"/>
        </w:rPr>
      </w:pPr>
      <w:r w:rsidRPr="009A2E7E">
        <w:rPr>
          <w:rFonts w:eastAsia="Calibri" w:cs="Times New Roman"/>
          <w:b/>
          <w:szCs w:val="24"/>
        </w:rPr>
        <w:t xml:space="preserve">2017.gada </w:t>
      </w:r>
      <w:r>
        <w:rPr>
          <w:rFonts w:eastAsia="Calibri" w:cs="Times New Roman"/>
          <w:b/>
          <w:szCs w:val="24"/>
        </w:rPr>
        <w:t>[..]</w:t>
      </w:r>
      <w:r w:rsidRPr="009A2E7E">
        <w:rPr>
          <w:rFonts w:eastAsia="Calibri" w:cs="Times New Roman"/>
          <w:b/>
          <w:szCs w:val="24"/>
        </w:rPr>
        <w:t xml:space="preserve"> </w:t>
      </w:r>
    </w:p>
    <w:p w:rsidR="00653A68" w:rsidRPr="009A2E7E" w:rsidRDefault="00653A68" w:rsidP="00653A68">
      <w:pPr>
        <w:spacing w:after="0" w:line="23" w:lineRule="atLeast"/>
        <w:jc w:val="center"/>
        <w:rPr>
          <w:rFonts w:eastAsia="Calibri" w:cs="Times New Roman"/>
          <w:b/>
          <w:szCs w:val="24"/>
        </w:rPr>
      </w:pPr>
      <w:r w:rsidRPr="009A2E7E">
        <w:rPr>
          <w:rFonts w:eastAsia="Calibri" w:cs="Times New Roman"/>
          <w:b/>
          <w:szCs w:val="24"/>
        </w:rPr>
        <w:t>LĒMUMS</w:t>
      </w:r>
    </w:p>
    <w:p w:rsidR="00653A68" w:rsidRPr="009A2E7E" w:rsidRDefault="009A2E7E" w:rsidP="00653A68">
      <w:pPr>
        <w:spacing w:after="0" w:line="23" w:lineRule="atLeast"/>
        <w:jc w:val="center"/>
        <w:rPr>
          <w:rFonts w:eastAsia="Calibri" w:cs="Times New Roman"/>
          <w:b/>
          <w:szCs w:val="24"/>
        </w:rPr>
      </w:pPr>
      <w:r w:rsidRPr="009A2E7E">
        <w:rPr>
          <w:rFonts w:eastAsia="Calibri" w:cs="Times New Roman"/>
          <w:b/>
          <w:szCs w:val="24"/>
        </w:rPr>
        <w:t>Lieta Nr.</w:t>
      </w:r>
      <w:r>
        <w:rPr>
          <w:rFonts w:eastAsia="Calibri" w:cs="Times New Roman"/>
          <w:b/>
          <w:szCs w:val="24"/>
        </w:rPr>
        <w:t>[..]</w:t>
      </w:r>
      <w:r w:rsidRPr="009A2E7E">
        <w:rPr>
          <w:rFonts w:eastAsia="Calibri" w:cs="Times New Roman"/>
          <w:b/>
          <w:szCs w:val="24"/>
        </w:rPr>
        <w:t>, SKK-</w:t>
      </w:r>
      <w:r>
        <w:rPr>
          <w:rFonts w:eastAsia="Calibri" w:cs="Times New Roman"/>
          <w:b/>
          <w:szCs w:val="24"/>
        </w:rPr>
        <w:t>[D]</w:t>
      </w:r>
      <w:r w:rsidRPr="009A2E7E">
        <w:rPr>
          <w:rFonts w:eastAsia="Calibri" w:cs="Times New Roman"/>
          <w:b/>
          <w:szCs w:val="24"/>
        </w:rPr>
        <w:t>/2017</w:t>
      </w:r>
      <w:r w:rsidR="00081362">
        <w:rPr>
          <w:rStyle w:val="FootnoteReference"/>
          <w:rFonts w:eastAsia="Calibri" w:cs="Times New Roman"/>
          <w:b/>
          <w:szCs w:val="24"/>
        </w:rPr>
        <w:footnoteReference w:id="1"/>
      </w:r>
    </w:p>
    <w:p w:rsidR="009A2E7E" w:rsidRPr="009A2E7E" w:rsidRDefault="009A2E7E" w:rsidP="00653A68">
      <w:pPr>
        <w:spacing w:after="0" w:line="23" w:lineRule="atLeast"/>
        <w:jc w:val="center"/>
        <w:rPr>
          <w:b/>
        </w:rPr>
      </w:pPr>
      <w:r w:rsidRPr="009A2E7E">
        <w:rPr>
          <w:b/>
        </w:rPr>
        <w:t>ECLI:LV:</w:t>
      </w:r>
      <w:r>
        <w:rPr>
          <w:b/>
        </w:rPr>
        <w:t>[..]</w:t>
      </w:r>
    </w:p>
    <w:p w:rsidR="009A2E7E" w:rsidRPr="00F25004" w:rsidRDefault="009A2E7E" w:rsidP="00653A68">
      <w:pPr>
        <w:spacing w:after="0" w:line="23" w:lineRule="atLeast"/>
        <w:jc w:val="center"/>
        <w:rPr>
          <w:rFonts w:eastAsia="Calibri" w:cs="Times New Roman"/>
          <w:szCs w:val="24"/>
        </w:rPr>
      </w:pPr>
    </w:p>
    <w:p w:rsidR="00653A68" w:rsidRPr="00F25004" w:rsidRDefault="00653A68" w:rsidP="00653A68">
      <w:pPr>
        <w:spacing w:after="0" w:line="23" w:lineRule="atLeast"/>
        <w:ind w:firstLine="567"/>
        <w:jc w:val="both"/>
        <w:rPr>
          <w:rFonts w:eastAsia="Calibri" w:cs="Times New Roman"/>
          <w:szCs w:val="24"/>
        </w:rPr>
      </w:pPr>
      <w:r w:rsidRPr="00F25004">
        <w:rPr>
          <w:rFonts w:eastAsia="Calibri" w:cs="Times New Roman"/>
          <w:szCs w:val="24"/>
        </w:rPr>
        <w:t xml:space="preserve">Augstākā tiesa šādā sastāvā: </w:t>
      </w:r>
    </w:p>
    <w:p w:rsidR="00653A68" w:rsidRPr="00F25004" w:rsidRDefault="00653A68" w:rsidP="00653A68">
      <w:pPr>
        <w:spacing w:after="0" w:line="23" w:lineRule="atLeast"/>
        <w:jc w:val="both"/>
        <w:rPr>
          <w:rFonts w:eastAsia="Calibri" w:cs="Times New Roman"/>
          <w:szCs w:val="24"/>
        </w:rPr>
      </w:pP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r>
    </w:p>
    <w:p w:rsidR="00653A68" w:rsidRPr="00F25004" w:rsidRDefault="00653A68" w:rsidP="00653A68">
      <w:pPr>
        <w:tabs>
          <w:tab w:val="left" w:pos="567"/>
        </w:tabs>
        <w:spacing w:after="0" w:line="23" w:lineRule="atLeast"/>
        <w:jc w:val="both"/>
        <w:rPr>
          <w:rFonts w:eastAsia="Calibri" w:cs="Times New Roman"/>
          <w:szCs w:val="24"/>
        </w:rPr>
      </w:pPr>
      <w:r w:rsidRPr="00F25004">
        <w:rPr>
          <w:rFonts w:eastAsia="Calibri" w:cs="Times New Roman"/>
          <w:szCs w:val="24"/>
        </w:rPr>
        <w:tab/>
        <w:t>tiesnesis Pēteris Dzalbe,</w:t>
      </w:r>
    </w:p>
    <w:p w:rsidR="00653A68" w:rsidRPr="00F25004" w:rsidRDefault="00653A68" w:rsidP="00653A68">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e Anita Poļakova</w:t>
      </w:r>
      <w:r w:rsidRPr="00F25004">
        <w:rPr>
          <w:rFonts w:eastAsia="Calibri" w:cs="Times New Roman"/>
          <w:szCs w:val="24"/>
        </w:rPr>
        <w:t>,</w:t>
      </w:r>
    </w:p>
    <w:p w:rsidR="00653A68" w:rsidRDefault="00653A68" w:rsidP="00653A68">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e Inguna Radzeviča</w:t>
      </w:r>
      <w:r w:rsidRPr="00F25004">
        <w:rPr>
          <w:rFonts w:eastAsia="Calibri" w:cs="Times New Roman"/>
          <w:szCs w:val="24"/>
        </w:rPr>
        <w:t xml:space="preserve"> </w:t>
      </w:r>
    </w:p>
    <w:p w:rsidR="00653A68" w:rsidRDefault="00653A68" w:rsidP="00653A68">
      <w:pPr>
        <w:spacing w:after="0" w:line="23" w:lineRule="atLeast"/>
        <w:jc w:val="both"/>
        <w:rPr>
          <w:rFonts w:eastAsia="Calibri" w:cs="Times New Roman"/>
          <w:szCs w:val="24"/>
        </w:rPr>
      </w:pPr>
    </w:p>
    <w:p w:rsidR="00653A68" w:rsidRPr="00F25004" w:rsidRDefault="00653A68" w:rsidP="00653A68">
      <w:pPr>
        <w:spacing w:after="0" w:line="23" w:lineRule="atLeast"/>
        <w:jc w:val="both"/>
        <w:rPr>
          <w:rFonts w:eastAsia="Calibri" w:cs="Times New Roman"/>
          <w:szCs w:val="24"/>
        </w:rPr>
      </w:pPr>
      <w:r w:rsidRPr="00F25004">
        <w:rPr>
          <w:rFonts w:eastAsia="Calibri" w:cs="Times New Roman"/>
          <w:szCs w:val="24"/>
        </w:rPr>
        <w:t xml:space="preserve">izskatīja rakstveida procesā krimināllietu </w:t>
      </w:r>
      <w:r w:rsidR="00215849">
        <w:rPr>
          <w:rFonts w:eastAsia="Calibri" w:cs="Times New Roman"/>
          <w:szCs w:val="24"/>
        </w:rPr>
        <w:t xml:space="preserve">par medicīniska rakstura piespiedu līdzekļu noteikšanu </w:t>
      </w:r>
      <w:r w:rsidR="00B50ABE">
        <w:rPr>
          <w:rFonts w:eastAsia="Calibri" w:cs="Times New Roman"/>
          <w:szCs w:val="24"/>
        </w:rPr>
        <w:t>[pers. A]</w:t>
      </w:r>
      <w:r w:rsidR="00215849">
        <w:rPr>
          <w:rFonts w:eastAsia="Calibri" w:cs="Times New Roman"/>
          <w:szCs w:val="24"/>
        </w:rPr>
        <w:t xml:space="preserve"> </w:t>
      </w:r>
      <w:r w:rsidRPr="00F25004">
        <w:rPr>
          <w:rFonts w:eastAsia="Calibri" w:cs="Times New Roman"/>
          <w:szCs w:val="24"/>
        </w:rPr>
        <w:t xml:space="preserve">sakarā ar </w:t>
      </w:r>
      <w:r>
        <w:rPr>
          <w:rFonts w:eastAsia="Calibri" w:cs="Times New Roman"/>
          <w:szCs w:val="24"/>
        </w:rPr>
        <w:t xml:space="preserve">aizstāves Ilonas Sipjagovas </w:t>
      </w:r>
      <w:r w:rsidRPr="00F25004">
        <w:rPr>
          <w:rFonts w:eastAsia="Calibri" w:cs="Times New Roman"/>
          <w:szCs w:val="24"/>
        </w:rPr>
        <w:t xml:space="preserve">kasācijas </w:t>
      </w:r>
      <w:r>
        <w:rPr>
          <w:rFonts w:eastAsia="Calibri" w:cs="Times New Roman"/>
          <w:szCs w:val="24"/>
        </w:rPr>
        <w:t xml:space="preserve">sūdzību </w:t>
      </w:r>
      <w:r w:rsidRPr="00F25004">
        <w:rPr>
          <w:rFonts w:eastAsia="Calibri" w:cs="Times New Roman"/>
          <w:szCs w:val="24"/>
        </w:rPr>
        <w:t xml:space="preserve">par </w:t>
      </w:r>
      <w:r w:rsidR="00B50ABE">
        <w:rPr>
          <w:rFonts w:eastAsia="Calibri" w:cs="Times New Roman"/>
          <w:szCs w:val="24"/>
        </w:rPr>
        <w:t>[..]</w:t>
      </w:r>
      <w:r>
        <w:rPr>
          <w:rFonts w:eastAsia="Calibri" w:cs="Times New Roman"/>
          <w:szCs w:val="24"/>
        </w:rPr>
        <w:t xml:space="preserve"> tiesas</w:t>
      </w:r>
      <w:r w:rsidRPr="00F25004">
        <w:rPr>
          <w:rFonts w:eastAsia="Calibri" w:cs="Times New Roman"/>
          <w:szCs w:val="24"/>
        </w:rPr>
        <w:t xml:space="preserve"> 2017.gada </w:t>
      </w:r>
      <w:r w:rsidR="00B50ABE">
        <w:rPr>
          <w:rFonts w:eastAsia="Calibri" w:cs="Times New Roman"/>
          <w:szCs w:val="24"/>
        </w:rPr>
        <w:t>[..]</w:t>
      </w:r>
      <w:r w:rsidRPr="00F25004">
        <w:rPr>
          <w:rFonts w:eastAsia="Calibri" w:cs="Times New Roman"/>
          <w:szCs w:val="24"/>
        </w:rPr>
        <w:t xml:space="preserve"> </w:t>
      </w:r>
      <w:r>
        <w:rPr>
          <w:rFonts w:eastAsia="Calibri" w:cs="Times New Roman"/>
          <w:szCs w:val="24"/>
        </w:rPr>
        <w:t>lēmumu</w:t>
      </w:r>
      <w:r w:rsidRPr="00F25004">
        <w:rPr>
          <w:rFonts w:eastAsia="Calibri" w:cs="Times New Roman"/>
          <w:szCs w:val="24"/>
        </w:rPr>
        <w:t xml:space="preserve">. </w:t>
      </w: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t xml:space="preserve">  </w:t>
      </w:r>
    </w:p>
    <w:p w:rsidR="00653A68" w:rsidRPr="00F25004" w:rsidRDefault="00653A68" w:rsidP="00653A68">
      <w:pPr>
        <w:keepNext/>
        <w:spacing w:after="0" w:line="23" w:lineRule="atLeast"/>
        <w:jc w:val="center"/>
        <w:outlineLvl w:val="1"/>
        <w:rPr>
          <w:rFonts w:eastAsia="Calibri" w:cs="Times New Roman"/>
          <w:b/>
          <w:bCs/>
          <w:iCs/>
          <w:szCs w:val="24"/>
        </w:rPr>
      </w:pPr>
    </w:p>
    <w:p w:rsidR="00653A68" w:rsidRPr="00F25004" w:rsidRDefault="00653A68" w:rsidP="00653A68">
      <w:pPr>
        <w:keepNext/>
        <w:spacing w:after="0" w:line="23" w:lineRule="atLeast"/>
        <w:jc w:val="center"/>
        <w:outlineLvl w:val="1"/>
        <w:rPr>
          <w:rFonts w:eastAsia="Calibri" w:cs="Times New Roman"/>
          <w:b/>
          <w:bCs/>
          <w:iCs/>
          <w:szCs w:val="24"/>
        </w:rPr>
      </w:pPr>
      <w:r w:rsidRPr="00F25004">
        <w:rPr>
          <w:rFonts w:eastAsia="Calibri" w:cs="Times New Roman"/>
          <w:b/>
          <w:bCs/>
          <w:iCs/>
          <w:szCs w:val="24"/>
        </w:rPr>
        <w:t>Aprakstošā daļa</w:t>
      </w:r>
    </w:p>
    <w:p w:rsidR="00653A68" w:rsidRPr="00F25004" w:rsidRDefault="00653A68" w:rsidP="00653A68">
      <w:pPr>
        <w:spacing w:after="0" w:line="23" w:lineRule="atLeast"/>
        <w:jc w:val="center"/>
        <w:rPr>
          <w:rFonts w:eastAsia="Calibri" w:cs="Times New Roman"/>
          <w:szCs w:val="24"/>
        </w:rPr>
      </w:pPr>
    </w:p>
    <w:p w:rsidR="00653A68" w:rsidRPr="00F25004" w:rsidRDefault="00653A68" w:rsidP="00653A68">
      <w:pPr>
        <w:spacing w:after="0" w:line="23" w:lineRule="atLeast"/>
        <w:jc w:val="both"/>
        <w:rPr>
          <w:rFonts w:eastAsia="Calibri" w:cs="Times New Roman"/>
          <w:szCs w:val="24"/>
        </w:rPr>
      </w:pPr>
      <w:r w:rsidRPr="00F25004">
        <w:rPr>
          <w:rFonts w:eastAsia="Calibri" w:cs="Times New Roman"/>
          <w:szCs w:val="24"/>
        </w:rPr>
        <w:t xml:space="preserve">[1] Ar </w:t>
      </w:r>
      <w:r w:rsidR="00B50ABE">
        <w:rPr>
          <w:rFonts w:eastAsia="Calibri" w:cs="Times New Roman"/>
          <w:szCs w:val="24"/>
        </w:rPr>
        <w:t>[..]</w:t>
      </w:r>
      <w:r>
        <w:rPr>
          <w:rFonts w:eastAsia="Calibri" w:cs="Times New Roman"/>
          <w:szCs w:val="24"/>
        </w:rPr>
        <w:t xml:space="preserve"> </w:t>
      </w:r>
      <w:r w:rsidRPr="00F25004">
        <w:rPr>
          <w:rFonts w:eastAsia="Calibri" w:cs="Times New Roman"/>
          <w:szCs w:val="24"/>
        </w:rPr>
        <w:t xml:space="preserve">tiesas </w:t>
      </w:r>
      <w:r w:rsidR="00215849">
        <w:rPr>
          <w:rFonts w:eastAsia="Calibri" w:cs="Times New Roman"/>
          <w:szCs w:val="24"/>
        </w:rPr>
        <w:t xml:space="preserve">2015.gada </w:t>
      </w:r>
      <w:r w:rsidR="00B50ABE">
        <w:rPr>
          <w:rFonts w:eastAsia="Calibri" w:cs="Times New Roman"/>
          <w:szCs w:val="24"/>
        </w:rPr>
        <w:t>[..]</w:t>
      </w:r>
      <w:r w:rsidRPr="00F25004">
        <w:rPr>
          <w:rFonts w:eastAsia="Calibri" w:cs="Times New Roman"/>
          <w:szCs w:val="24"/>
        </w:rPr>
        <w:t xml:space="preserve"> </w:t>
      </w:r>
      <w:r w:rsidR="00215849">
        <w:rPr>
          <w:rFonts w:eastAsia="Calibri" w:cs="Times New Roman"/>
          <w:szCs w:val="24"/>
        </w:rPr>
        <w:t>lēmumu</w:t>
      </w:r>
    </w:p>
    <w:p w:rsidR="00653A68" w:rsidRDefault="00B50ABE" w:rsidP="00653A68">
      <w:pPr>
        <w:spacing w:after="0" w:line="23" w:lineRule="atLeast"/>
        <w:ind w:firstLine="567"/>
        <w:jc w:val="both"/>
        <w:rPr>
          <w:rFonts w:eastAsia="Calibri" w:cs="Times New Roman"/>
          <w:szCs w:val="24"/>
        </w:rPr>
      </w:pPr>
      <w:r>
        <w:rPr>
          <w:rFonts w:eastAsia="Calibri" w:cs="Times New Roman"/>
          <w:szCs w:val="24"/>
        </w:rPr>
        <w:t>[Pers. A]</w:t>
      </w:r>
      <w:r w:rsidR="00737FF1">
        <w:rPr>
          <w:rFonts w:eastAsia="Calibri" w:cs="Times New Roman"/>
          <w:szCs w:val="24"/>
        </w:rPr>
        <w:t xml:space="preserve"> (</w:t>
      </w:r>
      <w:r>
        <w:rPr>
          <w:rFonts w:eastAsia="Calibri" w:cs="Times New Roman"/>
          <w:szCs w:val="24"/>
        </w:rPr>
        <w:t>[pers. A]</w:t>
      </w:r>
      <w:r w:rsidR="00737FF1">
        <w:rPr>
          <w:rFonts w:eastAsia="Calibri" w:cs="Times New Roman"/>
          <w:szCs w:val="24"/>
        </w:rPr>
        <w:t>)</w:t>
      </w:r>
      <w:r w:rsidR="00653A68" w:rsidRPr="00F25004">
        <w:rPr>
          <w:rFonts w:eastAsia="Calibri" w:cs="Times New Roman"/>
          <w:szCs w:val="24"/>
        </w:rPr>
        <w:t>,</w:t>
      </w:r>
      <w:r w:rsidR="00653A68" w:rsidRPr="00F25004">
        <w:rPr>
          <w:rFonts w:eastAsia="Calibri" w:cs="Times New Roman"/>
          <w:b/>
          <w:szCs w:val="24"/>
        </w:rPr>
        <w:t xml:space="preserve"> </w:t>
      </w:r>
      <w:r w:rsidR="00653A68" w:rsidRPr="00F25004">
        <w:rPr>
          <w:rFonts w:eastAsia="Calibri" w:cs="Times New Roman"/>
          <w:szCs w:val="24"/>
        </w:rPr>
        <w:t xml:space="preserve">personas kods </w:t>
      </w:r>
      <w:r>
        <w:rPr>
          <w:rFonts w:eastAsia="Calibri" w:cs="Times New Roman"/>
          <w:szCs w:val="24"/>
        </w:rPr>
        <w:t>[..]</w:t>
      </w:r>
      <w:r w:rsidR="00653A68" w:rsidRPr="00F25004">
        <w:rPr>
          <w:rFonts w:eastAsia="Calibri" w:cs="Times New Roman"/>
          <w:szCs w:val="24"/>
        </w:rPr>
        <w:t>,</w:t>
      </w:r>
      <w:r w:rsidR="00215849">
        <w:rPr>
          <w:rFonts w:eastAsia="Calibri" w:cs="Times New Roman"/>
          <w:szCs w:val="24"/>
        </w:rPr>
        <w:t xml:space="preserve"> atbrīvota no kriminālatbildības.</w:t>
      </w:r>
    </w:p>
    <w:p w:rsidR="00215849" w:rsidRDefault="00215849" w:rsidP="00215849">
      <w:pPr>
        <w:spacing w:after="0" w:line="23" w:lineRule="atLeast"/>
        <w:ind w:firstLine="567"/>
        <w:jc w:val="both"/>
        <w:rPr>
          <w:rFonts w:eastAsia="Calibri" w:cs="Times New Roman"/>
          <w:szCs w:val="24"/>
        </w:rPr>
      </w:pPr>
      <w:r>
        <w:rPr>
          <w:rFonts w:eastAsia="Calibri" w:cs="Times New Roman"/>
          <w:szCs w:val="24"/>
        </w:rPr>
        <w:t>Saskaņā ar Krimin</w:t>
      </w:r>
      <w:r w:rsidR="000163C8">
        <w:rPr>
          <w:rFonts w:eastAsia="Calibri" w:cs="Times New Roman"/>
          <w:szCs w:val="24"/>
        </w:rPr>
        <w:t xml:space="preserve">āllikuma 68.panta pirmo daļu </w:t>
      </w:r>
      <w:r w:rsidR="00B50ABE">
        <w:rPr>
          <w:rFonts w:eastAsia="Calibri" w:cs="Times New Roman"/>
          <w:szCs w:val="24"/>
        </w:rPr>
        <w:t>[pers. A]</w:t>
      </w:r>
      <w:r>
        <w:rPr>
          <w:rFonts w:eastAsia="Calibri" w:cs="Times New Roman"/>
          <w:szCs w:val="24"/>
        </w:rPr>
        <w:t xml:space="preserve"> noteikts medicīniska rakstura piespiedu līdzeklis – ārstēšana vispārēja tipa psihiatriskajā slimnīcā.</w:t>
      </w:r>
    </w:p>
    <w:p w:rsidR="00215849" w:rsidRDefault="00215849" w:rsidP="00215849">
      <w:pPr>
        <w:spacing w:after="0" w:line="23" w:lineRule="atLeast"/>
        <w:jc w:val="both"/>
        <w:rPr>
          <w:rFonts w:eastAsia="Calibri" w:cs="Times New Roman"/>
          <w:szCs w:val="24"/>
        </w:rPr>
      </w:pPr>
    </w:p>
    <w:p w:rsidR="00B27739" w:rsidRDefault="00215849" w:rsidP="00215849">
      <w:pPr>
        <w:spacing w:after="0" w:line="23" w:lineRule="atLeast"/>
        <w:jc w:val="both"/>
        <w:rPr>
          <w:rFonts w:eastAsia="Calibri" w:cs="Times New Roman"/>
          <w:szCs w:val="24"/>
        </w:rPr>
      </w:pPr>
      <w:r>
        <w:rPr>
          <w:rFonts w:eastAsia="Calibri" w:cs="Times New Roman"/>
          <w:szCs w:val="24"/>
        </w:rPr>
        <w:t xml:space="preserve">[2] Ar </w:t>
      </w:r>
      <w:r w:rsidR="00B50ABE">
        <w:rPr>
          <w:rFonts w:eastAsia="Calibri" w:cs="Times New Roman"/>
          <w:szCs w:val="24"/>
        </w:rPr>
        <w:t>[..]</w:t>
      </w:r>
      <w:r>
        <w:rPr>
          <w:rFonts w:eastAsia="Calibri" w:cs="Times New Roman"/>
          <w:szCs w:val="24"/>
        </w:rPr>
        <w:t xml:space="preserve"> tiesas 2016.gada </w:t>
      </w:r>
      <w:r w:rsidR="00B50ABE">
        <w:rPr>
          <w:rFonts w:eastAsia="Calibri" w:cs="Times New Roman"/>
          <w:szCs w:val="24"/>
        </w:rPr>
        <w:t>[..]</w:t>
      </w:r>
      <w:r>
        <w:rPr>
          <w:rFonts w:eastAsia="Calibri" w:cs="Times New Roman"/>
          <w:szCs w:val="24"/>
        </w:rPr>
        <w:t xml:space="preserve"> lēmumu </w:t>
      </w:r>
      <w:r w:rsidR="00B50ABE">
        <w:rPr>
          <w:rFonts w:eastAsia="Calibri" w:cs="Times New Roman"/>
          <w:szCs w:val="24"/>
        </w:rPr>
        <w:t>[pers. A]</w:t>
      </w:r>
      <w:r>
        <w:rPr>
          <w:rFonts w:eastAsia="Calibri" w:cs="Times New Roman"/>
          <w:szCs w:val="24"/>
        </w:rPr>
        <w:t xml:space="preserve"> ar </w:t>
      </w:r>
      <w:r w:rsidR="00B50ABE">
        <w:rPr>
          <w:rFonts w:eastAsia="Calibri" w:cs="Times New Roman"/>
          <w:szCs w:val="24"/>
        </w:rPr>
        <w:t>[..]</w:t>
      </w:r>
      <w:r>
        <w:rPr>
          <w:rFonts w:eastAsia="Calibri" w:cs="Times New Roman"/>
          <w:szCs w:val="24"/>
        </w:rPr>
        <w:t xml:space="preserve"> tiesas 2015.gada </w:t>
      </w:r>
      <w:r w:rsidR="00B50ABE">
        <w:rPr>
          <w:rFonts w:eastAsia="Calibri" w:cs="Times New Roman"/>
          <w:szCs w:val="24"/>
        </w:rPr>
        <w:t>[..]</w:t>
      </w:r>
      <w:r>
        <w:rPr>
          <w:rFonts w:eastAsia="Calibri" w:cs="Times New Roman"/>
          <w:szCs w:val="24"/>
        </w:rPr>
        <w:t xml:space="preserve"> lēmumu piemērotais </w:t>
      </w:r>
      <w:r w:rsidR="00B27739">
        <w:rPr>
          <w:rFonts w:eastAsia="Calibri" w:cs="Times New Roman"/>
          <w:szCs w:val="24"/>
        </w:rPr>
        <w:t>medicīniska rakstura piespiedu līdzeklis – ārstēšana vispārēja tipa psihiatriskajā slimnīcā – grozīts uz medicīniska rakstura piespiedu līdzekli – ambulatora ārstēšana medicīnas iestādē.</w:t>
      </w:r>
    </w:p>
    <w:p w:rsidR="00B27739" w:rsidRDefault="00B27739" w:rsidP="00215849">
      <w:pPr>
        <w:spacing w:after="0" w:line="23" w:lineRule="atLeast"/>
        <w:jc w:val="both"/>
        <w:rPr>
          <w:rFonts w:eastAsia="Calibri" w:cs="Times New Roman"/>
          <w:szCs w:val="24"/>
        </w:rPr>
      </w:pPr>
    </w:p>
    <w:p w:rsidR="00B27739" w:rsidRDefault="00B27739" w:rsidP="00215849">
      <w:pPr>
        <w:spacing w:after="0" w:line="23" w:lineRule="atLeast"/>
        <w:jc w:val="both"/>
        <w:rPr>
          <w:rFonts w:eastAsia="Calibri" w:cs="Times New Roman"/>
          <w:szCs w:val="24"/>
        </w:rPr>
      </w:pPr>
      <w:r>
        <w:rPr>
          <w:rFonts w:eastAsia="Calibri" w:cs="Times New Roman"/>
          <w:szCs w:val="24"/>
        </w:rPr>
        <w:lastRenderedPageBreak/>
        <w:t xml:space="preserve">[3] Ar </w:t>
      </w:r>
      <w:r w:rsidR="00B50ABE">
        <w:rPr>
          <w:rFonts w:eastAsia="Calibri" w:cs="Times New Roman"/>
          <w:szCs w:val="24"/>
        </w:rPr>
        <w:t>[..]</w:t>
      </w:r>
      <w:r>
        <w:rPr>
          <w:rFonts w:eastAsia="Calibri" w:cs="Times New Roman"/>
          <w:szCs w:val="24"/>
        </w:rPr>
        <w:t xml:space="preserve"> tiesas 2017.gada </w:t>
      </w:r>
      <w:r w:rsidR="00B50ABE">
        <w:rPr>
          <w:rFonts w:eastAsia="Calibri" w:cs="Times New Roman"/>
          <w:szCs w:val="24"/>
        </w:rPr>
        <w:t>[..]</w:t>
      </w:r>
      <w:r>
        <w:rPr>
          <w:rFonts w:eastAsia="Calibri" w:cs="Times New Roman"/>
          <w:szCs w:val="24"/>
        </w:rPr>
        <w:t xml:space="preserve"> lēmumu atstāts negrozīts </w:t>
      </w:r>
      <w:r w:rsidR="00B50ABE">
        <w:rPr>
          <w:rFonts w:eastAsia="Calibri" w:cs="Times New Roman"/>
          <w:szCs w:val="24"/>
        </w:rPr>
        <w:t>[pers. A]</w:t>
      </w:r>
      <w:r>
        <w:rPr>
          <w:rFonts w:eastAsia="Calibri" w:cs="Times New Roman"/>
          <w:szCs w:val="24"/>
        </w:rPr>
        <w:t xml:space="preserve"> ar </w:t>
      </w:r>
      <w:r w:rsidR="00B50ABE">
        <w:rPr>
          <w:rFonts w:eastAsia="Calibri" w:cs="Times New Roman"/>
          <w:szCs w:val="24"/>
        </w:rPr>
        <w:t>[..]</w:t>
      </w:r>
      <w:r>
        <w:rPr>
          <w:rFonts w:eastAsia="Calibri" w:cs="Times New Roman"/>
          <w:szCs w:val="24"/>
        </w:rPr>
        <w:t xml:space="preserve"> tiesas 2016.gada </w:t>
      </w:r>
      <w:r w:rsidR="00B50ABE">
        <w:rPr>
          <w:rFonts w:eastAsia="Calibri" w:cs="Times New Roman"/>
          <w:szCs w:val="24"/>
        </w:rPr>
        <w:t>[..]</w:t>
      </w:r>
      <w:r>
        <w:rPr>
          <w:rFonts w:eastAsia="Calibri" w:cs="Times New Roman"/>
          <w:szCs w:val="24"/>
        </w:rPr>
        <w:t xml:space="preserve"> lēmumu noteiktais medicīniska rakstura piespiedu līdzeklis – ambulatora ārstēšana medicīnas iestādē.</w:t>
      </w:r>
    </w:p>
    <w:p w:rsidR="00B27739" w:rsidRDefault="00B27739" w:rsidP="00215849">
      <w:pPr>
        <w:spacing w:after="0" w:line="23" w:lineRule="atLeast"/>
        <w:jc w:val="both"/>
        <w:rPr>
          <w:rFonts w:eastAsia="Calibri" w:cs="Times New Roman"/>
          <w:szCs w:val="24"/>
        </w:rPr>
      </w:pPr>
    </w:p>
    <w:p w:rsidR="00BC0D54" w:rsidRDefault="00B27739" w:rsidP="00215849">
      <w:pPr>
        <w:spacing w:after="0" w:line="23" w:lineRule="atLeast"/>
        <w:jc w:val="both"/>
        <w:rPr>
          <w:rFonts w:eastAsia="Calibri" w:cs="Times New Roman"/>
          <w:szCs w:val="24"/>
        </w:rPr>
      </w:pPr>
      <w:r>
        <w:rPr>
          <w:rFonts w:eastAsia="Calibri" w:cs="Times New Roman"/>
          <w:szCs w:val="24"/>
        </w:rPr>
        <w:t xml:space="preserve">[4] Par </w:t>
      </w:r>
      <w:r w:rsidR="00B50ABE">
        <w:rPr>
          <w:rFonts w:eastAsia="Calibri" w:cs="Times New Roman"/>
          <w:szCs w:val="24"/>
        </w:rPr>
        <w:t>[..]</w:t>
      </w:r>
      <w:r>
        <w:rPr>
          <w:rFonts w:eastAsia="Calibri" w:cs="Times New Roman"/>
          <w:szCs w:val="24"/>
        </w:rPr>
        <w:t xml:space="preserve"> tiesas 2017.gada </w:t>
      </w:r>
      <w:r w:rsidR="00B50ABE">
        <w:rPr>
          <w:rFonts w:eastAsia="Calibri" w:cs="Times New Roman"/>
          <w:szCs w:val="24"/>
        </w:rPr>
        <w:t>[..]</w:t>
      </w:r>
      <w:r>
        <w:rPr>
          <w:rFonts w:eastAsia="Calibri" w:cs="Times New Roman"/>
          <w:szCs w:val="24"/>
        </w:rPr>
        <w:t xml:space="preserve"> lēmumu </w:t>
      </w:r>
      <w:r w:rsidR="00BC0D54">
        <w:rPr>
          <w:rFonts w:eastAsia="Calibri" w:cs="Times New Roman"/>
          <w:szCs w:val="24"/>
        </w:rPr>
        <w:t xml:space="preserve">kasācijas sūdzību iesniegusi </w:t>
      </w:r>
      <w:r w:rsidR="00B50ABE">
        <w:rPr>
          <w:rFonts w:eastAsia="Calibri" w:cs="Times New Roman"/>
          <w:szCs w:val="24"/>
        </w:rPr>
        <w:t>[pers. A]</w:t>
      </w:r>
      <w:r>
        <w:rPr>
          <w:rFonts w:eastAsia="Calibri" w:cs="Times New Roman"/>
          <w:szCs w:val="24"/>
        </w:rPr>
        <w:t xml:space="preserve"> aizstāve I.</w:t>
      </w:r>
      <w:r w:rsidR="00FB11CF">
        <w:rPr>
          <w:rFonts w:eastAsia="Calibri" w:cs="Times New Roman"/>
          <w:szCs w:val="24"/>
        </w:rPr>
        <w:t> </w:t>
      </w:r>
      <w:r>
        <w:rPr>
          <w:rFonts w:eastAsia="Calibri" w:cs="Times New Roman"/>
          <w:szCs w:val="24"/>
        </w:rPr>
        <w:t>Sipjagova</w:t>
      </w:r>
      <w:r w:rsidR="00BC0D54">
        <w:rPr>
          <w:rFonts w:eastAsia="Calibri" w:cs="Times New Roman"/>
          <w:szCs w:val="24"/>
        </w:rPr>
        <w:t>. Ai</w:t>
      </w:r>
      <w:r w:rsidR="00295FD1">
        <w:rPr>
          <w:rFonts w:eastAsia="Calibri" w:cs="Times New Roman"/>
          <w:szCs w:val="24"/>
        </w:rPr>
        <w:t>z</w:t>
      </w:r>
      <w:r w:rsidR="00BC0D54">
        <w:rPr>
          <w:rFonts w:eastAsia="Calibri" w:cs="Times New Roman"/>
          <w:szCs w:val="24"/>
        </w:rPr>
        <w:t>stāve lūdz</w:t>
      </w:r>
      <w:r>
        <w:rPr>
          <w:rFonts w:eastAsia="Calibri" w:cs="Times New Roman"/>
          <w:szCs w:val="24"/>
        </w:rPr>
        <w:t xml:space="preserve"> atcelt </w:t>
      </w:r>
      <w:r w:rsidR="00B50ABE">
        <w:rPr>
          <w:rFonts w:eastAsia="Calibri" w:cs="Times New Roman"/>
          <w:szCs w:val="24"/>
        </w:rPr>
        <w:t>[..]</w:t>
      </w:r>
      <w:r>
        <w:rPr>
          <w:rFonts w:eastAsia="Calibri" w:cs="Times New Roman"/>
          <w:szCs w:val="24"/>
        </w:rPr>
        <w:t xml:space="preserve"> tiesas 2017.gada </w:t>
      </w:r>
      <w:r w:rsidR="00B50ABE">
        <w:rPr>
          <w:rFonts w:eastAsia="Calibri" w:cs="Times New Roman"/>
          <w:szCs w:val="24"/>
        </w:rPr>
        <w:t>[..]</w:t>
      </w:r>
      <w:r>
        <w:rPr>
          <w:rFonts w:eastAsia="Calibri" w:cs="Times New Roman"/>
          <w:szCs w:val="24"/>
        </w:rPr>
        <w:t xml:space="preserve"> lēmumu un </w:t>
      </w:r>
      <w:r w:rsidR="00BC0D54">
        <w:rPr>
          <w:rFonts w:eastAsia="Calibri" w:cs="Times New Roman"/>
          <w:szCs w:val="24"/>
        </w:rPr>
        <w:t xml:space="preserve">nodot </w:t>
      </w:r>
      <w:r>
        <w:rPr>
          <w:rFonts w:eastAsia="Calibri" w:cs="Times New Roman"/>
          <w:szCs w:val="24"/>
        </w:rPr>
        <w:t xml:space="preserve">lietu </w:t>
      </w:r>
      <w:r w:rsidR="00BC0D54">
        <w:rPr>
          <w:rFonts w:eastAsia="Calibri" w:cs="Times New Roman"/>
          <w:szCs w:val="24"/>
        </w:rPr>
        <w:t xml:space="preserve">atkārtotai </w:t>
      </w:r>
      <w:r>
        <w:rPr>
          <w:rFonts w:eastAsia="Calibri" w:cs="Times New Roman"/>
          <w:szCs w:val="24"/>
        </w:rPr>
        <w:t>izskatīšanai</w:t>
      </w:r>
      <w:r w:rsidR="00BC0D54">
        <w:rPr>
          <w:rFonts w:eastAsia="Calibri" w:cs="Times New Roman"/>
          <w:szCs w:val="24"/>
        </w:rPr>
        <w:t xml:space="preserve">  </w:t>
      </w:r>
      <w:r w:rsidR="00B50ABE">
        <w:rPr>
          <w:rFonts w:eastAsia="Calibri" w:cs="Times New Roman"/>
          <w:szCs w:val="24"/>
        </w:rPr>
        <w:t>[..]</w:t>
      </w:r>
      <w:r w:rsidR="00BC0D54">
        <w:rPr>
          <w:rFonts w:eastAsia="Calibri" w:cs="Times New Roman"/>
          <w:szCs w:val="24"/>
        </w:rPr>
        <w:t xml:space="preserve"> tiesā</w:t>
      </w:r>
      <w:r>
        <w:rPr>
          <w:rFonts w:eastAsia="Calibri" w:cs="Times New Roman"/>
          <w:szCs w:val="24"/>
        </w:rPr>
        <w:t>.</w:t>
      </w:r>
    </w:p>
    <w:p w:rsidR="00BC0D54" w:rsidRDefault="00BC0D54" w:rsidP="00BC0D54">
      <w:pPr>
        <w:spacing w:after="0" w:line="23" w:lineRule="atLeast"/>
        <w:ind w:firstLine="709"/>
        <w:jc w:val="both"/>
        <w:rPr>
          <w:rFonts w:eastAsia="Calibri" w:cs="Times New Roman"/>
          <w:szCs w:val="24"/>
        </w:rPr>
      </w:pPr>
      <w:r>
        <w:rPr>
          <w:rFonts w:eastAsia="Calibri" w:cs="Times New Roman"/>
          <w:szCs w:val="24"/>
        </w:rPr>
        <w:t>I. Sipjagova uzskata, ka tiesa pārkāpusi Kriminālprocesa likuma 1., 8., 12., 14.pantu, ko vi</w:t>
      </w:r>
      <w:r w:rsidR="000B5EE9">
        <w:rPr>
          <w:rFonts w:eastAsia="Calibri" w:cs="Times New Roman"/>
          <w:szCs w:val="24"/>
        </w:rPr>
        <w:t>ņa pamato ar šādiem argumentiem.</w:t>
      </w:r>
    </w:p>
    <w:p w:rsidR="00E11534" w:rsidRDefault="00B50ABE" w:rsidP="00BC0D54">
      <w:pPr>
        <w:spacing w:after="0" w:line="23" w:lineRule="atLeast"/>
        <w:ind w:firstLine="709"/>
        <w:jc w:val="both"/>
        <w:rPr>
          <w:rFonts w:eastAsia="Calibri" w:cs="Times New Roman"/>
          <w:szCs w:val="24"/>
        </w:rPr>
      </w:pPr>
      <w:r>
        <w:rPr>
          <w:rFonts w:eastAsia="Calibri" w:cs="Times New Roman"/>
          <w:szCs w:val="24"/>
        </w:rPr>
        <w:t>[Pers. A]</w:t>
      </w:r>
      <w:r w:rsidR="00BC0D54">
        <w:rPr>
          <w:rFonts w:eastAsia="Calibri" w:cs="Times New Roman"/>
          <w:szCs w:val="24"/>
        </w:rPr>
        <w:t xml:space="preserve"> sirgst ar neārstējamu slimību, viņai ir nepieciešama sociālā palīdzība, aprūpe un uzraudzība, tāpēc medicīniska rakstura piespiedu līdzekļa turpināšana ir formāla un nesamērīga ar viņas pamattiesībām</w:t>
      </w:r>
      <w:r w:rsidR="000B5EE9">
        <w:rPr>
          <w:rFonts w:eastAsia="Calibri" w:cs="Times New Roman"/>
          <w:szCs w:val="24"/>
        </w:rPr>
        <w:t>.</w:t>
      </w:r>
      <w:r w:rsidR="00BC0D54">
        <w:rPr>
          <w:rFonts w:eastAsia="Calibri" w:cs="Times New Roman"/>
          <w:szCs w:val="24"/>
        </w:rPr>
        <w:t xml:space="preserve"> Medicīniska rakstura piespiedu līdzekļa turpināšana neveicina </w:t>
      </w:r>
      <w:r w:rsidR="000163C8">
        <w:rPr>
          <w:rFonts w:eastAsia="Calibri" w:cs="Times New Roman"/>
          <w:szCs w:val="24"/>
        </w:rPr>
        <w:t xml:space="preserve">personas sociālo adaptāciju, </w:t>
      </w:r>
      <w:r w:rsidR="001477C5">
        <w:rPr>
          <w:rFonts w:eastAsia="Calibri" w:cs="Times New Roman"/>
          <w:szCs w:val="24"/>
        </w:rPr>
        <w:t>[pers. A]</w:t>
      </w:r>
      <w:r w:rsidR="00BC0D54">
        <w:rPr>
          <w:rFonts w:eastAsia="Calibri" w:cs="Times New Roman"/>
          <w:szCs w:val="24"/>
        </w:rPr>
        <w:t xml:space="preserve"> regulāri pati apmeklē ārstu, pati jūt veselības svārstības un vēršas pēc palīdzības ārstniecības iestādē, Civilprocesa likuma 264.</w:t>
      </w:r>
      <w:r w:rsidR="00BC0D54">
        <w:rPr>
          <w:rFonts w:eastAsia="Calibri" w:cs="Times New Roman"/>
          <w:szCs w:val="24"/>
          <w:vertAlign w:val="superscript"/>
        </w:rPr>
        <w:t>1</w:t>
      </w:r>
      <w:r w:rsidR="00BC0D54">
        <w:rPr>
          <w:rFonts w:eastAsia="Calibri" w:cs="Times New Roman"/>
          <w:szCs w:val="24"/>
        </w:rPr>
        <w:t>pant</w:t>
      </w:r>
      <w:r w:rsidR="00E11534">
        <w:rPr>
          <w:rFonts w:eastAsia="Calibri" w:cs="Times New Roman"/>
          <w:szCs w:val="24"/>
        </w:rPr>
        <w:t>ā noteiktās personas  vai iestādes nevēršas ar pieteikumu tiesā, lai veicinātu aizgādņa iecelšanu. Ārstniecības iestādes atz</w:t>
      </w:r>
      <w:r w:rsidR="000163C8">
        <w:rPr>
          <w:rFonts w:eastAsia="Calibri" w:cs="Times New Roman"/>
          <w:szCs w:val="24"/>
        </w:rPr>
        <w:t xml:space="preserve">inumā paustais viedoklis par </w:t>
      </w:r>
      <w:r w:rsidR="003D74BB">
        <w:rPr>
          <w:rFonts w:eastAsia="Calibri" w:cs="Times New Roman"/>
          <w:szCs w:val="24"/>
        </w:rPr>
        <w:t>[pers. A]</w:t>
      </w:r>
      <w:r w:rsidR="00E11534">
        <w:rPr>
          <w:rFonts w:eastAsia="Calibri" w:cs="Times New Roman"/>
          <w:szCs w:val="24"/>
        </w:rPr>
        <w:t xml:space="preserve"> bīstamību sabiedrībai saistīts ar laiku, kad viņa tikusi izlikta no dzīvokļa, un neviens nav pārbaudījis izteikto draudu saturu un raksturu.</w:t>
      </w:r>
    </w:p>
    <w:p w:rsidR="00B27739" w:rsidRDefault="00E11534" w:rsidP="00BC0D54">
      <w:pPr>
        <w:spacing w:after="0" w:line="23" w:lineRule="atLeast"/>
        <w:ind w:firstLine="709"/>
        <w:jc w:val="both"/>
        <w:rPr>
          <w:rFonts w:eastAsia="Calibri" w:cs="Times New Roman"/>
          <w:szCs w:val="24"/>
        </w:rPr>
      </w:pPr>
      <w:r>
        <w:rPr>
          <w:rFonts w:eastAsia="Calibri" w:cs="Times New Roman"/>
          <w:szCs w:val="24"/>
        </w:rPr>
        <w:t xml:space="preserve">Personai medicīniska rakstura </w:t>
      </w:r>
      <w:r w:rsidR="000B5EE9">
        <w:rPr>
          <w:rFonts w:eastAsia="Calibri" w:cs="Times New Roman"/>
          <w:szCs w:val="24"/>
        </w:rPr>
        <w:t xml:space="preserve">piespiedu </w:t>
      </w:r>
      <w:r>
        <w:rPr>
          <w:rFonts w:eastAsia="Calibri" w:cs="Times New Roman"/>
          <w:szCs w:val="24"/>
        </w:rPr>
        <w:t>līdzekļa piemērošana, turpināšana vai grozīšana ir atzīstama par personas pamattiesību ierobežojošu faktoru. Izskatot lietu par medicīniska rakstura piespiedu līdzekļa noteikšanu, grozīšanu, atcelšanu, šai personai ir tiesības zināt par lietas izskatīšanas laiku, vietu, paust savu viedokli par izskatāmo jautājumu, celt iebildumus pret ārstniec</w:t>
      </w:r>
      <w:r w:rsidR="008A3E1C">
        <w:rPr>
          <w:rFonts w:eastAsia="Calibri" w:cs="Times New Roman"/>
          <w:szCs w:val="24"/>
        </w:rPr>
        <w:t xml:space="preserve">ības </w:t>
      </w:r>
      <w:r w:rsidR="000163C8">
        <w:rPr>
          <w:rFonts w:eastAsia="Calibri" w:cs="Times New Roman"/>
          <w:szCs w:val="24"/>
        </w:rPr>
        <w:t xml:space="preserve">iestādes sniegto atzinumu. </w:t>
      </w:r>
      <w:r w:rsidR="003D74BB">
        <w:rPr>
          <w:rFonts w:eastAsia="Calibri" w:cs="Times New Roman"/>
          <w:szCs w:val="24"/>
        </w:rPr>
        <w:t>[Pers. A]</w:t>
      </w:r>
      <w:r>
        <w:rPr>
          <w:rFonts w:eastAsia="Calibri" w:cs="Times New Roman"/>
          <w:szCs w:val="24"/>
        </w:rPr>
        <w:t xml:space="preserve"> ar tiesas spriedumu nav ierobežota rīcībspēja un nav ierobežotas tiesības pieņemt lēmumus, paust viedokli, sniegt </w:t>
      </w:r>
      <w:r w:rsidR="008A3E1C">
        <w:rPr>
          <w:rFonts w:eastAsia="Calibri" w:cs="Times New Roman"/>
          <w:szCs w:val="24"/>
        </w:rPr>
        <w:t xml:space="preserve">paskaidrojumus par jautājumiem, kas viņu skar. Ārstniecības iestāde ir sniegusi viedokli, ka </w:t>
      </w:r>
      <w:r w:rsidR="003D74BB">
        <w:rPr>
          <w:rFonts w:eastAsia="Calibri" w:cs="Times New Roman"/>
          <w:szCs w:val="24"/>
        </w:rPr>
        <w:t>[pers. A]</w:t>
      </w:r>
      <w:r w:rsidR="008A3E1C">
        <w:rPr>
          <w:rFonts w:eastAsia="Calibri" w:cs="Times New Roman"/>
          <w:szCs w:val="24"/>
        </w:rPr>
        <w:t xml:space="preserve"> nav ieteicams piedalīties tiesas sēdē. Šis atzinums tomēr nevar ierobežot personas tiesības zināt par tiesas sēdi, kurā tiks lemts jautājums par viņas brīvības ierobežošanu.</w:t>
      </w:r>
    </w:p>
    <w:p w:rsidR="00653A68" w:rsidRDefault="00653A68" w:rsidP="00653A68">
      <w:pPr>
        <w:spacing w:after="0" w:line="23" w:lineRule="atLeast"/>
        <w:jc w:val="both"/>
        <w:rPr>
          <w:rFonts w:eastAsia="Calibri" w:cs="Times New Roman"/>
          <w:szCs w:val="24"/>
        </w:rPr>
      </w:pPr>
    </w:p>
    <w:p w:rsidR="00653A68" w:rsidRPr="00CA6EEB" w:rsidRDefault="00653A68" w:rsidP="00653A68">
      <w:pPr>
        <w:spacing w:after="0" w:line="23" w:lineRule="atLeast"/>
        <w:jc w:val="center"/>
      </w:pPr>
      <w:r w:rsidRPr="00F25004">
        <w:rPr>
          <w:rFonts w:eastAsia="Calibri" w:cs="Times New Roman"/>
          <w:b/>
          <w:szCs w:val="24"/>
        </w:rPr>
        <w:t>Motīvu daļa</w:t>
      </w:r>
    </w:p>
    <w:p w:rsidR="00653A68" w:rsidRDefault="00653A68" w:rsidP="00653A68">
      <w:pPr>
        <w:spacing w:after="0" w:line="23" w:lineRule="atLeast"/>
        <w:jc w:val="both"/>
        <w:rPr>
          <w:rFonts w:eastAsia="Calibri" w:cs="Times New Roman"/>
          <w:b/>
          <w:szCs w:val="24"/>
        </w:rPr>
      </w:pPr>
    </w:p>
    <w:p w:rsidR="00653A68" w:rsidRDefault="00653A68" w:rsidP="003923F0">
      <w:pPr>
        <w:spacing w:after="0" w:line="23" w:lineRule="atLeast"/>
        <w:jc w:val="both"/>
        <w:rPr>
          <w:rFonts w:eastAsia="Times New Roman" w:cs="Times New Roman"/>
          <w:szCs w:val="24"/>
          <w:lang w:eastAsia="lv-LV"/>
        </w:rPr>
      </w:pPr>
      <w:r w:rsidRPr="00F25004">
        <w:rPr>
          <w:rFonts w:eastAsia="Times New Roman" w:cs="Times New Roman"/>
          <w:szCs w:val="24"/>
          <w:lang w:eastAsia="lv-LV"/>
        </w:rPr>
        <w:t>[</w:t>
      </w:r>
      <w:r>
        <w:rPr>
          <w:rFonts w:eastAsia="Times New Roman" w:cs="Times New Roman"/>
          <w:szCs w:val="24"/>
          <w:lang w:eastAsia="lv-LV"/>
        </w:rPr>
        <w:t>5</w:t>
      </w:r>
      <w:r w:rsidRPr="00F25004">
        <w:rPr>
          <w:rFonts w:eastAsia="Times New Roman" w:cs="Times New Roman"/>
          <w:szCs w:val="24"/>
          <w:lang w:eastAsia="lv-LV"/>
        </w:rPr>
        <w:t xml:space="preserve">] </w:t>
      </w:r>
      <w:r w:rsidR="008A3E1C">
        <w:rPr>
          <w:rFonts w:eastAsia="Times New Roman" w:cs="Times New Roman"/>
          <w:szCs w:val="24"/>
          <w:lang w:eastAsia="lv-LV"/>
        </w:rPr>
        <w:t xml:space="preserve">Augstākā tiesa atzīst, ka </w:t>
      </w:r>
      <w:r w:rsidR="003D74BB">
        <w:rPr>
          <w:rFonts w:eastAsia="Times New Roman" w:cs="Times New Roman"/>
          <w:szCs w:val="24"/>
          <w:lang w:eastAsia="lv-LV"/>
        </w:rPr>
        <w:t>[..]</w:t>
      </w:r>
      <w:r w:rsidR="008A3E1C">
        <w:rPr>
          <w:rFonts w:eastAsia="Times New Roman" w:cs="Times New Roman"/>
          <w:szCs w:val="24"/>
          <w:lang w:eastAsia="lv-LV"/>
        </w:rPr>
        <w:t xml:space="preserve"> tiesa</w:t>
      </w:r>
      <w:r w:rsidR="00A335BB">
        <w:rPr>
          <w:rFonts w:eastAsia="Times New Roman" w:cs="Times New Roman"/>
          <w:szCs w:val="24"/>
          <w:lang w:eastAsia="lv-LV"/>
        </w:rPr>
        <w:t xml:space="preserve">s 2017.gada </w:t>
      </w:r>
      <w:r w:rsidR="003D74BB">
        <w:rPr>
          <w:rFonts w:eastAsia="Times New Roman" w:cs="Times New Roman"/>
          <w:szCs w:val="24"/>
          <w:lang w:eastAsia="lv-LV"/>
        </w:rPr>
        <w:t>[..]</w:t>
      </w:r>
      <w:r w:rsidR="007D450E">
        <w:rPr>
          <w:rFonts w:eastAsia="Times New Roman" w:cs="Times New Roman"/>
          <w:szCs w:val="24"/>
          <w:lang w:eastAsia="lv-LV"/>
        </w:rPr>
        <w:t xml:space="preserve"> lēmums atceļams un lieta nosūtāma jaunai izskatīšanai </w:t>
      </w:r>
      <w:r w:rsidR="003D74BB">
        <w:rPr>
          <w:rFonts w:eastAsia="Times New Roman" w:cs="Times New Roman"/>
          <w:szCs w:val="24"/>
          <w:lang w:eastAsia="lv-LV"/>
        </w:rPr>
        <w:t>[..]</w:t>
      </w:r>
      <w:r w:rsidR="007D450E">
        <w:rPr>
          <w:rFonts w:eastAsia="Times New Roman" w:cs="Times New Roman"/>
          <w:szCs w:val="24"/>
          <w:lang w:eastAsia="lv-LV"/>
        </w:rPr>
        <w:t xml:space="preserve"> tiesā.</w:t>
      </w:r>
    </w:p>
    <w:p w:rsidR="000B5EE9" w:rsidRDefault="000B5EE9" w:rsidP="003923F0">
      <w:pPr>
        <w:spacing w:after="0" w:line="23" w:lineRule="atLeast"/>
        <w:jc w:val="both"/>
        <w:rPr>
          <w:rFonts w:eastAsia="Times New Roman" w:cs="Times New Roman"/>
          <w:szCs w:val="24"/>
          <w:lang w:eastAsia="lv-LV"/>
        </w:rPr>
      </w:pPr>
    </w:p>
    <w:p w:rsidR="007D450E" w:rsidRDefault="000B5EE9" w:rsidP="000B5EE9">
      <w:pPr>
        <w:spacing w:after="0" w:line="23" w:lineRule="atLeast"/>
        <w:jc w:val="both"/>
        <w:rPr>
          <w:rFonts w:eastAsia="Times New Roman" w:cs="Times New Roman"/>
          <w:szCs w:val="24"/>
          <w:lang w:eastAsia="lv-LV"/>
        </w:rPr>
      </w:pPr>
      <w:r>
        <w:rPr>
          <w:rFonts w:eastAsia="Times New Roman" w:cs="Times New Roman"/>
          <w:szCs w:val="24"/>
          <w:lang w:eastAsia="lv-LV"/>
        </w:rPr>
        <w:t>[6]</w:t>
      </w:r>
      <w:r w:rsidR="007D450E">
        <w:rPr>
          <w:rFonts w:eastAsia="Times New Roman" w:cs="Times New Roman"/>
          <w:szCs w:val="24"/>
          <w:lang w:eastAsia="lv-LV"/>
        </w:rPr>
        <w:t>Augstākā tiesa izmanto Kriminālprocesa likuma 584.panta otrajā daļā noteiktās tiesības pārsniegt kasācijas sūdzībā izteikto prasību apjomu, jo konstatē Kriminālprocesa likuma 575.panta trešajā daļā norādīto pārkāpumu, kas nav norādīts kasācijas sūdzībā.</w:t>
      </w:r>
    </w:p>
    <w:p w:rsidR="000B5EE9" w:rsidRDefault="000B5EE9" w:rsidP="000B5EE9">
      <w:pPr>
        <w:spacing w:after="0" w:line="23" w:lineRule="atLeast"/>
        <w:jc w:val="both"/>
        <w:rPr>
          <w:rFonts w:eastAsia="Times New Roman" w:cs="Times New Roman"/>
          <w:szCs w:val="24"/>
          <w:lang w:eastAsia="lv-LV"/>
        </w:rPr>
      </w:pPr>
    </w:p>
    <w:p w:rsidR="007D450E" w:rsidRDefault="000B5EE9" w:rsidP="000B5EE9">
      <w:pPr>
        <w:spacing w:after="0" w:line="23" w:lineRule="atLeast"/>
        <w:jc w:val="both"/>
        <w:rPr>
          <w:rFonts w:eastAsia="Times New Roman" w:cs="Times New Roman"/>
          <w:szCs w:val="24"/>
          <w:lang w:eastAsia="lv-LV"/>
        </w:rPr>
      </w:pPr>
      <w:r>
        <w:rPr>
          <w:rFonts w:eastAsia="Times New Roman" w:cs="Times New Roman"/>
          <w:szCs w:val="24"/>
          <w:lang w:eastAsia="lv-LV"/>
        </w:rPr>
        <w:t xml:space="preserve">[7] </w:t>
      </w:r>
      <w:r w:rsidR="007D450E">
        <w:rPr>
          <w:rFonts w:eastAsia="Times New Roman" w:cs="Times New Roman"/>
          <w:szCs w:val="24"/>
          <w:lang w:eastAsia="lv-LV"/>
        </w:rPr>
        <w:t>No Krimināllikuma 69.panta pirmās un otrās daļas izriet, ka pamats medicīniska rakstura piespiedu līdzekļa noteikšanai un ārstniecības iestādes tipa noteikšanai ir izdarītā nodarījuma raksturs, psihiskā slimība (stāvoklis) un šīs personas bīstamība sabiedrībai, proti, visi trīs nosacījumi kopā.</w:t>
      </w:r>
    </w:p>
    <w:p w:rsidR="007D450E" w:rsidRDefault="007D450E" w:rsidP="007D450E">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Kriminālprocesa likuma 607.panta pirmā daļa noteic, ja persona, kurai noteikts medicīniska rakstura piespiedu līdzeklis, izveseļojusies vai tās veselības stāvoklis uzlabojies, vai tiek konstatēts, ka šīs personas veselības stāvoklis citādi mainījies tiktāl, ka tā vairs nav bīstama sabiedrībai, tās ārstniecības iestādes vadītājs, kurā ārstējas attiecīgā persona, pamatojoties uz ārsta speciālista vai ārstu konsīlija atzinumu, ierosina tiesai izlemt jautājumu par noteiktā medicīniska rakstura piespiedu līdzekļa atcelšanu vai grozīšanu uz mazāk ierobežojošu.</w:t>
      </w:r>
    </w:p>
    <w:p w:rsidR="004850AE" w:rsidRDefault="004850AE" w:rsidP="004850AE">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Kriminālprocesa likumā nav skaidri noteikti pamati medicīniska rakstura piespiedu līdzekļa atcelšanai vai grozīšanai uz mazāk ierobežojošu.</w:t>
      </w:r>
    </w:p>
    <w:p w:rsidR="004850AE" w:rsidRDefault="004850AE" w:rsidP="004850AE">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 xml:space="preserve">Tulkojot Kriminālprocesa likuma 607.panta pirmo daļu kopā ar Krimināllikuma 69.panta pirmo un otro daļu, Augstākā tiesa secina, ka pamats medicīniska rakstura piespiedu </w:t>
      </w:r>
      <w:r>
        <w:rPr>
          <w:rFonts w:eastAsia="Times New Roman" w:cs="Times New Roman"/>
          <w:szCs w:val="24"/>
          <w:lang w:eastAsia="lv-LV"/>
        </w:rPr>
        <w:lastRenderedPageBreak/>
        <w:t>līdzekļa grozīšanai uz mazāk ierobežojošu ir šīs personas veselības stāvokļa uzlabošanās, saglab</w:t>
      </w:r>
      <w:r w:rsidR="0003451C">
        <w:rPr>
          <w:rFonts w:eastAsia="Times New Roman" w:cs="Times New Roman"/>
          <w:szCs w:val="24"/>
          <w:lang w:eastAsia="lv-LV"/>
        </w:rPr>
        <w:t>ājoties bīstamībai sabiedrībai. Savukārt medicīniska rakstura piespiedu līdzekļa atcelšanas pamati ir divi:</w:t>
      </w:r>
    </w:p>
    <w:p w:rsidR="0003451C" w:rsidRDefault="0003451C" w:rsidP="0003451C">
      <w:pPr>
        <w:pStyle w:val="ListParagraph"/>
        <w:numPr>
          <w:ilvl w:val="0"/>
          <w:numId w:val="1"/>
        </w:numPr>
        <w:spacing w:after="0" w:line="23" w:lineRule="atLeast"/>
        <w:jc w:val="both"/>
        <w:rPr>
          <w:rFonts w:eastAsia="Times New Roman" w:cs="Times New Roman"/>
          <w:szCs w:val="24"/>
          <w:lang w:eastAsia="lv-LV"/>
        </w:rPr>
      </w:pPr>
      <w:r>
        <w:rPr>
          <w:rFonts w:eastAsia="Times New Roman" w:cs="Times New Roman"/>
          <w:szCs w:val="24"/>
          <w:lang w:eastAsia="lv-LV"/>
        </w:rPr>
        <w:t>persona ir izveseļojusies;</w:t>
      </w:r>
    </w:p>
    <w:p w:rsidR="0003451C" w:rsidRDefault="0003451C" w:rsidP="0003451C">
      <w:pPr>
        <w:pStyle w:val="ListParagraph"/>
        <w:numPr>
          <w:ilvl w:val="0"/>
          <w:numId w:val="1"/>
        </w:numPr>
        <w:spacing w:after="0" w:line="23" w:lineRule="atLeast"/>
        <w:jc w:val="both"/>
        <w:rPr>
          <w:rFonts w:eastAsia="Times New Roman" w:cs="Times New Roman"/>
          <w:szCs w:val="24"/>
          <w:lang w:eastAsia="lv-LV"/>
        </w:rPr>
      </w:pPr>
      <w:r>
        <w:rPr>
          <w:rFonts w:eastAsia="Times New Roman" w:cs="Times New Roman"/>
          <w:szCs w:val="24"/>
          <w:lang w:eastAsia="lv-LV"/>
        </w:rPr>
        <w:t>veselības stāvoklis citādi mainījies tiktāl, ka tā vairs nav bīstama sabiedrībai.</w:t>
      </w:r>
    </w:p>
    <w:p w:rsidR="0003451C" w:rsidRDefault="0003451C" w:rsidP="00FA41B4">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Ja persona nav izveseļojusies vai viņas veselības stāvoklis mainījies, bet tā vēl ir bīstama sabiedrībai</w:t>
      </w:r>
      <w:r w:rsidR="00FA41B4">
        <w:rPr>
          <w:rFonts w:eastAsia="Times New Roman" w:cs="Times New Roman"/>
          <w:szCs w:val="24"/>
          <w:lang w:eastAsia="lv-LV"/>
        </w:rPr>
        <w:t>, tad turpināma medicīniska rakstura piespiedu līdzekļa piemērošana.</w:t>
      </w:r>
    </w:p>
    <w:p w:rsidR="00AA7925" w:rsidRDefault="00AA7925" w:rsidP="00FA41B4">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Bīstamība sabiedrībai ir vērtējams jēdziens. To sākotnēji izvērtē eksperti, ārsts speciālists, ārstu konsīlijs, bet galīgo vērtējumu sniedz tiesa.</w:t>
      </w:r>
    </w:p>
    <w:p w:rsidR="000B5EE9" w:rsidRDefault="000B5EE9" w:rsidP="000B5EE9">
      <w:pPr>
        <w:spacing w:after="0" w:line="23" w:lineRule="atLeast"/>
        <w:jc w:val="both"/>
        <w:rPr>
          <w:rFonts w:eastAsia="Times New Roman" w:cs="Times New Roman"/>
          <w:szCs w:val="24"/>
          <w:lang w:eastAsia="lv-LV"/>
        </w:rPr>
      </w:pPr>
    </w:p>
    <w:p w:rsidR="00AA7925" w:rsidRDefault="000B5EE9" w:rsidP="000B5EE9">
      <w:pPr>
        <w:spacing w:after="0" w:line="23" w:lineRule="atLeast"/>
        <w:jc w:val="both"/>
        <w:rPr>
          <w:rFonts w:eastAsia="Times New Roman" w:cs="Times New Roman"/>
          <w:szCs w:val="24"/>
          <w:lang w:eastAsia="lv-LV"/>
        </w:rPr>
      </w:pPr>
      <w:r>
        <w:rPr>
          <w:rFonts w:eastAsia="Times New Roman" w:cs="Times New Roman"/>
          <w:szCs w:val="24"/>
          <w:lang w:eastAsia="lv-LV"/>
        </w:rPr>
        <w:t xml:space="preserve">[8] </w:t>
      </w:r>
      <w:r w:rsidR="00AA7925">
        <w:rPr>
          <w:rFonts w:eastAsia="Times New Roman" w:cs="Times New Roman"/>
          <w:szCs w:val="24"/>
          <w:lang w:eastAsia="lv-LV"/>
        </w:rPr>
        <w:t>Krimināllikums, Kriminālprocesa likums nereglamentē medicīniska rakstura piespiedu līdzekļa piemērošanas ilgumu.</w:t>
      </w:r>
    </w:p>
    <w:p w:rsidR="00AA7925" w:rsidRDefault="00AA7925" w:rsidP="00FA41B4">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Medicīniska rakstura piespiedu līdzeklis ir krimināltiesisks ietekmēšanas līdzeklis, kas saistīts ar personas nodarījumu, kam ir noziedzīga nodarījuma sastāva pazīmes, veselības stāvokli, bīstamību sabiedrībai. Iztrūkstot kaut vienam no m</w:t>
      </w:r>
      <w:r w:rsidR="000163C8">
        <w:rPr>
          <w:rFonts w:eastAsia="Times New Roman" w:cs="Times New Roman"/>
          <w:szCs w:val="24"/>
          <w:lang w:eastAsia="lv-LV"/>
        </w:rPr>
        <w:t>inētajiem</w:t>
      </w:r>
      <w:r>
        <w:rPr>
          <w:rFonts w:eastAsia="Times New Roman" w:cs="Times New Roman"/>
          <w:szCs w:val="24"/>
          <w:lang w:eastAsia="lv-LV"/>
        </w:rPr>
        <w:t xml:space="preserve"> trīs faktoriem, nav tiesiska pamata noteikt minēto piespiedu līdzekli. Medicīniska rakstura piespiedu līdzeklis ierobežo personas brīvību.</w:t>
      </w:r>
    </w:p>
    <w:p w:rsidR="00AA7925" w:rsidRDefault="00AA7925" w:rsidP="00FA41B4">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Ja persona tiek notiesāta, tad pēc</w:t>
      </w:r>
      <w:r w:rsidR="00330E4B">
        <w:rPr>
          <w:rFonts w:eastAsia="Times New Roman" w:cs="Times New Roman"/>
          <w:szCs w:val="24"/>
          <w:lang w:eastAsia="lv-LV"/>
        </w:rPr>
        <w:t xml:space="preserve"> soda (pamatsoda, papildsoda,</w:t>
      </w:r>
      <w:r>
        <w:rPr>
          <w:rFonts w:eastAsia="Times New Roman" w:cs="Times New Roman"/>
          <w:szCs w:val="24"/>
          <w:lang w:eastAsia="lv-LV"/>
        </w:rPr>
        <w:t xml:space="preserve"> </w:t>
      </w:r>
      <w:r w:rsidR="00295FD1">
        <w:rPr>
          <w:rFonts w:eastAsia="Times New Roman" w:cs="Times New Roman"/>
          <w:szCs w:val="24"/>
          <w:lang w:eastAsia="lv-LV"/>
        </w:rPr>
        <w:t>nosacītas notiesā</w:t>
      </w:r>
      <w:r w:rsidR="000209C3">
        <w:rPr>
          <w:rFonts w:eastAsia="Times New Roman" w:cs="Times New Roman"/>
          <w:szCs w:val="24"/>
          <w:lang w:eastAsia="lv-LV"/>
        </w:rPr>
        <w:t>šanas</w:t>
      </w:r>
      <w:r w:rsidR="00330E4B">
        <w:rPr>
          <w:rFonts w:eastAsia="Times New Roman" w:cs="Times New Roman"/>
          <w:szCs w:val="24"/>
          <w:lang w:eastAsia="lv-LV"/>
        </w:rPr>
        <w:t xml:space="preserve"> pārbaudes laika, nosacītas pirmstermiņa atbrīvošanas laika izbeigšanās) izciešanas tās brīvība krimināltiesiskā nozīmē netiek ierobežota.</w:t>
      </w:r>
    </w:p>
    <w:p w:rsidR="00330E4B" w:rsidRDefault="00330E4B" w:rsidP="00FA41B4">
      <w:pPr>
        <w:spacing w:after="0" w:line="23" w:lineRule="atLeast"/>
        <w:ind w:firstLine="851"/>
        <w:jc w:val="both"/>
        <w:rPr>
          <w:rFonts w:eastAsia="Times New Roman" w:cs="Times New Roman"/>
          <w:szCs w:val="24"/>
          <w:lang w:eastAsia="lv-LV"/>
        </w:rPr>
      </w:pPr>
      <w:r>
        <w:rPr>
          <w:rFonts w:eastAsia="Times New Roman" w:cs="Times New Roman"/>
          <w:szCs w:val="24"/>
          <w:lang w:eastAsia="lv-LV"/>
        </w:rPr>
        <w:t>Personām, kas slimo ar psihiskām slimībām, ārstēšana brīvprātīgi vai piespiedu kārtā ir reglamentēta Ārstniecības likumā</w:t>
      </w:r>
      <w:r w:rsidR="00B31FDB">
        <w:rPr>
          <w:rFonts w:eastAsia="Times New Roman" w:cs="Times New Roman"/>
          <w:szCs w:val="24"/>
          <w:lang w:eastAsia="lv-LV"/>
        </w:rPr>
        <w:t>.</w:t>
      </w:r>
    </w:p>
    <w:p w:rsidR="00B31FDB" w:rsidRDefault="00B31FDB" w:rsidP="00FA41B4">
      <w:pPr>
        <w:spacing w:after="0" w:line="23" w:lineRule="atLeast"/>
        <w:ind w:firstLine="851"/>
        <w:jc w:val="both"/>
        <w:rPr>
          <w:rFonts w:eastAsia="Calibri" w:cs="Times New Roman"/>
          <w:szCs w:val="24"/>
        </w:rPr>
      </w:pPr>
      <w:r>
        <w:rPr>
          <w:rFonts w:eastAsia="Times New Roman" w:cs="Times New Roman"/>
          <w:szCs w:val="24"/>
          <w:lang w:eastAsia="lv-LV"/>
        </w:rPr>
        <w:t>Augstākā tiesa uzskata, ka, lemjot par medicīniska rakstura piespiedu līdzekļa piemērošanas ilgumu, turpināšanu, jāizvērtē samērīgums starp personas tiesībām un sabiedrības interesēm, tostarp arī Krimināllikumā paredzētā sankcija par noziedzīgu nodarījumu, par kura izdarīšanu persona atbrīvota no kriminālatbildības, jo medicīniska rakstura piespiedu līdzeklis ir viens no krimināltiesiskiem piespiedu līdzekļiem saistībā ar noziedzīgu nodarījumu (</w:t>
      </w:r>
      <w:r w:rsidRPr="003B203D">
        <w:rPr>
          <w:rFonts w:eastAsia="Calibri" w:cs="Times New Roman"/>
          <w:i/>
          <w:szCs w:val="24"/>
        </w:rPr>
        <w:t>Augstākās tiesas 201</w:t>
      </w:r>
      <w:r>
        <w:rPr>
          <w:rFonts w:eastAsia="Calibri" w:cs="Times New Roman"/>
          <w:i/>
          <w:szCs w:val="24"/>
        </w:rPr>
        <w:t>5.gada 22</w:t>
      </w:r>
      <w:r w:rsidRPr="003B203D">
        <w:rPr>
          <w:rFonts w:eastAsia="Calibri" w:cs="Times New Roman"/>
          <w:i/>
          <w:szCs w:val="24"/>
        </w:rPr>
        <w:t>.</w:t>
      </w:r>
      <w:r>
        <w:rPr>
          <w:rFonts w:eastAsia="Calibri" w:cs="Times New Roman"/>
          <w:i/>
          <w:szCs w:val="24"/>
        </w:rPr>
        <w:t>janvāra</w:t>
      </w:r>
      <w:r w:rsidRPr="003B203D">
        <w:rPr>
          <w:rFonts w:eastAsia="Calibri" w:cs="Times New Roman"/>
          <w:i/>
          <w:szCs w:val="24"/>
        </w:rPr>
        <w:t xml:space="preserve"> lēmums lietā Nr.SKK-</w:t>
      </w:r>
      <w:r>
        <w:rPr>
          <w:rFonts w:eastAsia="Calibri" w:cs="Times New Roman"/>
          <w:i/>
          <w:szCs w:val="24"/>
        </w:rPr>
        <w:t>0016</w:t>
      </w:r>
      <w:r w:rsidRPr="003B203D">
        <w:rPr>
          <w:rFonts w:eastAsia="Calibri" w:cs="Times New Roman"/>
          <w:i/>
          <w:szCs w:val="24"/>
        </w:rPr>
        <w:t>/201</w:t>
      </w:r>
      <w:r>
        <w:rPr>
          <w:rFonts w:eastAsia="Calibri" w:cs="Times New Roman"/>
          <w:i/>
          <w:szCs w:val="24"/>
        </w:rPr>
        <w:t xml:space="preserve">5 </w:t>
      </w:r>
      <w:r w:rsidRPr="00B31FDB">
        <w:rPr>
          <w:rFonts w:eastAsia="Calibri" w:cs="Times New Roman"/>
          <w:szCs w:val="24"/>
        </w:rPr>
        <w:t>(</w:t>
      </w:r>
      <w:r>
        <w:rPr>
          <w:rFonts w:eastAsia="Calibri" w:cs="Times New Roman"/>
          <w:i/>
          <w:szCs w:val="24"/>
        </w:rPr>
        <w:t>11092046311</w:t>
      </w:r>
      <w:r w:rsidRPr="000209C3">
        <w:rPr>
          <w:rFonts w:eastAsia="Calibri" w:cs="Times New Roman"/>
          <w:szCs w:val="24"/>
        </w:rPr>
        <w:t>)</w:t>
      </w:r>
      <w:r w:rsidRPr="003B203D">
        <w:rPr>
          <w:rFonts w:eastAsia="Calibri" w:cs="Times New Roman"/>
          <w:i/>
          <w:szCs w:val="24"/>
        </w:rPr>
        <w:t>,</w:t>
      </w:r>
      <w:r w:rsidRPr="00B31FDB">
        <w:rPr>
          <w:rFonts w:eastAsia="Calibri" w:cs="Times New Roman"/>
          <w:i/>
          <w:szCs w:val="24"/>
        </w:rPr>
        <w:t xml:space="preserve"> </w:t>
      </w:r>
      <w:r w:rsidRPr="003B203D">
        <w:rPr>
          <w:rFonts w:eastAsia="Calibri" w:cs="Times New Roman"/>
          <w:i/>
          <w:szCs w:val="24"/>
        </w:rPr>
        <w:t>Augstākās tiesas 201</w:t>
      </w:r>
      <w:r>
        <w:rPr>
          <w:rFonts w:eastAsia="Calibri" w:cs="Times New Roman"/>
          <w:i/>
          <w:szCs w:val="24"/>
        </w:rPr>
        <w:t>5</w:t>
      </w:r>
      <w:r w:rsidRPr="003B203D">
        <w:rPr>
          <w:rFonts w:eastAsia="Calibri" w:cs="Times New Roman"/>
          <w:i/>
          <w:szCs w:val="24"/>
        </w:rPr>
        <w:t>.gada 1</w:t>
      </w:r>
      <w:r>
        <w:rPr>
          <w:rFonts w:eastAsia="Calibri" w:cs="Times New Roman"/>
          <w:i/>
          <w:szCs w:val="24"/>
        </w:rPr>
        <w:t>5</w:t>
      </w:r>
      <w:r w:rsidRPr="003B203D">
        <w:rPr>
          <w:rFonts w:eastAsia="Calibri" w:cs="Times New Roman"/>
          <w:i/>
          <w:szCs w:val="24"/>
        </w:rPr>
        <w:t>.</w:t>
      </w:r>
      <w:r>
        <w:rPr>
          <w:rFonts w:eastAsia="Calibri" w:cs="Times New Roman"/>
          <w:i/>
          <w:szCs w:val="24"/>
        </w:rPr>
        <w:t>septe</w:t>
      </w:r>
      <w:r w:rsidRPr="003B203D">
        <w:rPr>
          <w:rFonts w:eastAsia="Calibri" w:cs="Times New Roman"/>
          <w:i/>
          <w:szCs w:val="24"/>
        </w:rPr>
        <w:t>mbra lēmums lietā Nr.SKK-</w:t>
      </w:r>
      <w:r>
        <w:rPr>
          <w:rFonts w:eastAsia="Calibri" w:cs="Times New Roman"/>
          <w:i/>
          <w:szCs w:val="24"/>
        </w:rPr>
        <w:t>0474</w:t>
      </w:r>
      <w:r w:rsidR="000209C3">
        <w:rPr>
          <w:rFonts w:eastAsia="Calibri" w:cs="Times New Roman"/>
          <w:i/>
          <w:szCs w:val="24"/>
        </w:rPr>
        <w:t xml:space="preserve">/2015 </w:t>
      </w:r>
      <w:r w:rsidR="000209C3" w:rsidRPr="000209C3">
        <w:rPr>
          <w:rFonts w:eastAsia="Calibri" w:cs="Times New Roman"/>
          <w:szCs w:val="24"/>
        </w:rPr>
        <w:t>(</w:t>
      </w:r>
      <w:r>
        <w:rPr>
          <w:rFonts w:eastAsia="Calibri" w:cs="Times New Roman"/>
          <w:i/>
          <w:szCs w:val="24"/>
        </w:rPr>
        <w:t>11092126112</w:t>
      </w:r>
      <w:r>
        <w:rPr>
          <w:rFonts w:eastAsia="Calibri" w:cs="Times New Roman"/>
          <w:szCs w:val="24"/>
        </w:rPr>
        <w:t>)</w:t>
      </w:r>
      <w:r w:rsidR="000209C3">
        <w:rPr>
          <w:rFonts w:eastAsia="Calibri" w:cs="Times New Roman"/>
          <w:szCs w:val="24"/>
        </w:rPr>
        <w:t>).</w:t>
      </w:r>
    </w:p>
    <w:p w:rsidR="000B5EE9" w:rsidRDefault="000B5EE9" w:rsidP="000B5EE9">
      <w:pPr>
        <w:spacing w:after="0" w:line="23" w:lineRule="atLeast"/>
        <w:jc w:val="both"/>
        <w:rPr>
          <w:rFonts w:eastAsia="Calibri" w:cs="Times New Roman"/>
          <w:szCs w:val="24"/>
        </w:rPr>
      </w:pPr>
    </w:p>
    <w:p w:rsidR="000209C3" w:rsidRDefault="000B5EE9" w:rsidP="000B5EE9">
      <w:pPr>
        <w:spacing w:after="0" w:line="23" w:lineRule="atLeast"/>
        <w:jc w:val="both"/>
        <w:rPr>
          <w:rFonts w:eastAsia="Calibri" w:cs="Times New Roman"/>
          <w:szCs w:val="24"/>
        </w:rPr>
      </w:pPr>
      <w:r>
        <w:rPr>
          <w:rFonts w:eastAsia="Calibri" w:cs="Times New Roman"/>
          <w:szCs w:val="24"/>
        </w:rPr>
        <w:t xml:space="preserve">[9] </w:t>
      </w:r>
      <w:r w:rsidR="000209C3">
        <w:rPr>
          <w:rFonts w:eastAsia="Calibri" w:cs="Times New Roman"/>
          <w:szCs w:val="24"/>
        </w:rPr>
        <w:t xml:space="preserve">Personas rīcībspēja un pieskaitāmība ir divi atšķirīgi jēdzieni: rīcībspēja – civiltiesisks jēdziens, pieskaitāmība – </w:t>
      </w:r>
      <w:r w:rsidR="004656D4">
        <w:rPr>
          <w:rFonts w:eastAsia="Calibri" w:cs="Times New Roman"/>
          <w:szCs w:val="24"/>
        </w:rPr>
        <w:t>krimināltiesisks jēdziens. Atšķirīgs ir šo jēdzienu saturs un tiesiskās sekas. Nepieskaitāma vai ierobežoti pieskaitāma var būt arī rīcībspējīga persona.</w:t>
      </w:r>
    </w:p>
    <w:p w:rsidR="004656D4" w:rsidRDefault="004656D4" w:rsidP="000209C3">
      <w:pPr>
        <w:spacing w:after="0" w:line="23" w:lineRule="atLeast"/>
        <w:ind w:firstLine="851"/>
        <w:jc w:val="both"/>
        <w:rPr>
          <w:rFonts w:eastAsia="Calibri" w:cs="Times New Roman"/>
          <w:szCs w:val="24"/>
        </w:rPr>
      </w:pPr>
      <w:r>
        <w:rPr>
          <w:rFonts w:eastAsia="Calibri" w:cs="Times New Roman"/>
          <w:szCs w:val="24"/>
        </w:rPr>
        <w:t>Jautājumi, kas saistīti ar personas rīcībspēju, risināmi Civilprocesa likumā noteiktā kārtībā.</w:t>
      </w:r>
    </w:p>
    <w:p w:rsidR="000B5EE9" w:rsidRDefault="000B5EE9" w:rsidP="000B5EE9">
      <w:pPr>
        <w:spacing w:after="0" w:line="23" w:lineRule="atLeast"/>
        <w:jc w:val="both"/>
        <w:rPr>
          <w:rFonts w:eastAsia="Calibri" w:cs="Times New Roman"/>
          <w:szCs w:val="24"/>
        </w:rPr>
      </w:pPr>
    </w:p>
    <w:p w:rsidR="004656D4" w:rsidRDefault="000B5EE9" w:rsidP="000B5EE9">
      <w:pPr>
        <w:spacing w:after="0" w:line="23" w:lineRule="atLeast"/>
        <w:jc w:val="both"/>
        <w:rPr>
          <w:rFonts w:eastAsia="Calibri" w:cs="Times New Roman"/>
          <w:szCs w:val="24"/>
        </w:rPr>
      </w:pPr>
      <w:r>
        <w:rPr>
          <w:rFonts w:eastAsia="Calibri" w:cs="Times New Roman"/>
          <w:szCs w:val="24"/>
        </w:rPr>
        <w:t xml:space="preserve">[10] </w:t>
      </w:r>
      <w:r w:rsidR="004656D4">
        <w:rPr>
          <w:rFonts w:eastAsia="Calibri" w:cs="Times New Roman"/>
          <w:szCs w:val="24"/>
        </w:rPr>
        <w:t>Kriminālprocesa likuma 608.panta otrā daļa noteic, ka tiesas sēdē par medicīniska rakstura piespiedu līdzekļa atcelšanu vai grozīšanu piedalās prokurors, aizstāvis un personas pārstāvis, kā arī pati persona, kurai noteikts medicīniska rakstura piespiedu līdzeklis, ja vien saskaņā ar ārsta  (eksperta) atzinumu tas nebūtu pieļaujams vai nebūtu ieteicams personas veselības stāvokļa dēļ. Uz tiesas sēdi uzaicina arī attiecīgās ārstniecības iestādes pārstāvi un personu, kura ierosinājusi jautājuma izskatīšanu.</w:t>
      </w:r>
    </w:p>
    <w:p w:rsidR="004656D4" w:rsidRDefault="004656D4" w:rsidP="000209C3">
      <w:pPr>
        <w:spacing w:after="0" w:line="23" w:lineRule="atLeast"/>
        <w:ind w:firstLine="851"/>
        <w:jc w:val="both"/>
        <w:rPr>
          <w:rFonts w:eastAsia="Calibri" w:cs="Times New Roman"/>
          <w:szCs w:val="24"/>
        </w:rPr>
      </w:pPr>
      <w:r>
        <w:rPr>
          <w:rFonts w:eastAsia="Calibri" w:cs="Times New Roman"/>
          <w:szCs w:val="24"/>
        </w:rPr>
        <w:t>Atzīmējams, ka likums neprasa personas, kurai noteikts medicīniska rakstura piespiedu līdzeklis, obligātu piedalīšanos tiesas sēdē arī gadījumā, ja tiek lemts jautājums par medicīniska rakstura piespiedu līdzekļa atcelšanu, tās veselības stāvokļa dēļ.</w:t>
      </w:r>
    </w:p>
    <w:p w:rsidR="00503F1F" w:rsidRDefault="00503F1F" w:rsidP="000209C3">
      <w:pPr>
        <w:spacing w:after="0" w:line="23" w:lineRule="atLeast"/>
        <w:ind w:firstLine="851"/>
        <w:jc w:val="both"/>
        <w:rPr>
          <w:rFonts w:eastAsia="Calibri" w:cs="Times New Roman"/>
          <w:szCs w:val="24"/>
        </w:rPr>
      </w:pPr>
      <w:r>
        <w:rPr>
          <w:rFonts w:eastAsia="Calibri" w:cs="Times New Roman"/>
          <w:szCs w:val="24"/>
        </w:rPr>
        <w:t>Personām, kuras nepiedalās tiesas sēdē, tiesa par tiesas sēdes laiku un vietu nepaziņo. Šo personu intereses aizstāv un pārstāv aizstāvis un pārstāvis.</w:t>
      </w:r>
    </w:p>
    <w:p w:rsidR="00503F1F" w:rsidRDefault="00503F1F" w:rsidP="00503F1F">
      <w:pPr>
        <w:spacing w:after="0" w:line="23" w:lineRule="atLeast"/>
        <w:ind w:firstLine="851"/>
        <w:jc w:val="both"/>
        <w:rPr>
          <w:rFonts w:eastAsia="Calibri" w:cs="Times New Roman"/>
          <w:szCs w:val="24"/>
        </w:rPr>
      </w:pPr>
      <w:r>
        <w:rPr>
          <w:rFonts w:eastAsia="Calibri" w:cs="Times New Roman"/>
          <w:szCs w:val="24"/>
        </w:rPr>
        <w:t>No Kriminālprocesa likuma 607.panta izriet, ka pamats medicīniska rakstura piespiedu līdzekļa atcelšanai vai grozīšanai ir ārsta speciālista atzinums vai ārstu konsīlija atzinums, vai psihiatriskās ekspertīzes atzinums; iemesls – ārstniecības iestādes vadītāja ierosinājums; personas, kurai noteikts medicīniska rakstura</w:t>
      </w:r>
      <w:r w:rsidR="000B5EE9">
        <w:rPr>
          <w:rFonts w:eastAsia="Calibri" w:cs="Times New Roman"/>
          <w:szCs w:val="24"/>
        </w:rPr>
        <w:t xml:space="preserve"> piespiedu līdzeklis, lūgums</w:t>
      </w:r>
      <w:r w:rsidR="000163C8">
        <w:rPr>
          <w:rFonts w:eastAsia="Calibri" w:cs="Times New Roman"/>
          <w:szCs w:val="24"/>
        </w:rPr>
        <w:t>;</w:t>
      </w:r>
      <w:r w:rsidR="000B5EE9">
        <w:rPr>
          <w:rFonts w:eastAsia="Calibri" w:cs="Times New Roman"/>
          <w:szCs w:val="24"/>
        </w:rPr>
        <w:t xml:space="preserve"> šī</w:t>
      </w:r>
      <w:r>
        <w:rPr>
          <w:rFonts w:eastAsia="Calibri" w:cs="Times New Roman"/>
          <w:szCs w:val="24"/>
        </w:rPr>
        <w:t xml:space="preserve">s personas pārstāvja </w:t>
      </w:r>
      <w:r>
        <w:rPr>
          <w:rFonts w:eastAsia="Calibri" w:cs="Times New Roman"/>
          <w:szCs w:val="24"/>
        </w:rPr>
        <w:lastRenderedPageBreak/>
        <w:t xml:space="preserve">vai </w:t>
      </w:r>
      <w:r w:rsidR="0021179B">
        <w:rPr>
          <w:rFonts w:eastAsia="Calibri" w:cs="Times New Roman"/>
          <w:szCs w:val="24"/>
        </w:rPr>
        <w:t>tuvinieka lūgums; prokurora ierosinājums; tiesas, kuras kontrolē ir lēmuma izpilde, iniciatīva.</w:t>
      </w:r>
    </w:p>
    <w:p w:rsidR="0021179B" w:rsidRDefault="0021179B" w:rsidP="00112C46">
      <w:pPr>
        <w:spacing w:after="0" w:line="23" w:lineRule="atLeast"/>
        <w:ind w:firstLine="851"/>
        <w:jc w:val="both"/>
        <w:rPr>
          <w:rFonts w:eastAsia="Calibri" w:cs="Times New Roman"/>
          <w:szCs w:val="24"/>
        </w:rPr>
      </w:pPr>
      <w:r>
        <w:rPr>
          <w:rFonts w:eastAsia="Calibri" w:cs="Times New Roman"/>
          <w:szCs w:val="24"/>
        </w:rPr>
        <w:t xml:space="preserve">Lietā ir </w:t>
      </w:r>
      <w:r w:rsidR="003D74BB">
        <w:rPr>
          <w:rFonts w:eastAsia="Calibri" w:cs="Times New Roman"/>
          <w:szCs w:val="24"/>
        </w:rPr>
        <w:t>[..]</w:t>
      </w:r>
      <w:r>
        <w:rPr>
          <w:rFonts w:eastAsia="Calibri" w:cs="Times New Roman"/>
          <w:szCs w:val="24"/>
        </w:rPr>
        <w:t xml:space="preserve"> tiesas, kuras kontrolē ir lēmuma par piespiedu medicīniskā rakstura piespiedu līdzekļa izpilde </w:t>
      </w:r>
      <w:r w:rsidR="003D74BB">
        <w:rPr>
          <w:rFonts w:eastAsia="Calibri" w:cs="Times New Roman"/>
          <w:szCs w:val="24"/>
        </w:rPr>
        <w:t>[pers. A]</w:t>
      </w:r>
      <w:r>
        <w:rPr>
          <w:rFonts w:eastAsia="Calibri" w:cs="Times New Roman"/>
          <w:szCs w:val="24"/>
        </w:rPr>
        <w:t>, tiesneses lūgums Pašvaldības sabiedrībai ar ierobežotu atbildību „</w:t>
      </w:r>
      <w:r w:rsidR="003D74BB">
        <w:rPr>
          <w:rFonts w:eastAsia="Calibri" w:cs="Times New Roman"/>
          <w:szCs w:val="24"/>
        </w:rPr>
        <w:t>[..]</w:t>
      </w:r>
      <w:r>
        <w:rPr>
          <w:rFonts w:eastAsia="Calibri" w:cs="Times New Roman"/>
          <w:szCs w:val="24"/>
        </w:rPr>
        <w:t xml:space="preserve"> poliklīnika” </w:t>
      </w:r>
      <w:r w:rsidR="00112C46">
        <w:rPr>
          <w:rFonts w:eastAsia="Calibri" w:cs="Times New Roman"/>
          <w:szCs w:val="24"/>
        </w:rPr>
        <w:t>(turpmāk – PSIA „</w:t>
      </w:r>
      <w:r w:rsidR="003D74BB">
        <w:rPr>
          <w:rFonts w:eastAsia="Calibri" w:cs="Times New Roman"/>
          <w:szCs w:val="24"/>
        </w:rPr>
        <w:t>[..]</w:t>
      </w:r>
      <w:r w:rsidR="00112C46">
        <w:rPr>
          <w:rFonts w:eastAsia="Calibri" w:cs="Times New Roman"/>
          <w:szCs w:val="24"/>
        </w:rPr>
        <w:t xml:space="preserve"> poliklīnika”) psihiatram </w:t>
      </w:r>
      <w:r w:rsidR="003D74BB">
        <w:rPr>
          <w:rFonts w:eastAsia="Calibri" w:cs="Times New Roman"/>
          <w:szCs w:val="24"/>
        </w:rPr>
        <w:t>[pers. B]</w:t>
      </w:r>
      <w:r>
        <w:rPr>
          <w:rFonts w:eastAsia="Calibri" w:cs="Times New Roman"/>
          <w:szCs w:val="24"/>
        </w:rPr>
        <w:t xml:space="preserve"> sniegt atzinumu, vai ir nepieciešams turpināt piemērot </w:t>
      </w:r>
      <w:r w:rsidR="003D74BB">
        <w:rPr>
          <w:rFonts w:eastAsia="Calibri" w:cs="Times New Roman"/>
          <w:szCs w:val="24"/>
        </w:rPr>
        <w:t>[pers. A]</w:t>
      </w:r>
      <w:r>
        <w:rPr>
          <w:rFonts w:eastAsia="Calibri" w:cs="Times New Roman"/>
          <w:szCs w:val="24"/>
        </w:rPr>
        <w:t xml:space="preserve"> noteikto medicīniska rakstura piespiedu līdzekli – ambulatora ārstēšana medicīnas iestādē –, vai arī ir nepieciešams atcelt vai grozīt viņai piemēroto medicīniska rakstura piespiedu līdzekli.</w:t>
      </w:r>
    </w:p>
    <w:p w:rsidR="00112C46" w:rsidRDefault="0021179B" w:rsidP="0021179B">
      <w:pPr>
        <w:spacing w:after="0" w:line="23" w:lineRule="atLeast"/>
        <w:ind w:firstLine="851"/>
        <w:jc w:val="both"/>
        <w:rPr>
          <w:rFonts w:eastAsia="Calibri" w:cs="Times New Roman"/>
          <w:szCs w:val="24"/>
        </w:rPr>
      </w:pPr>
      <w:r>
        <w:rPr>
          <w:rFonts w:eastAsia="Calibri" w:cs="Times New Roman"/>
          <w:szCs w:val="24"/>
        </w:rPr>
        <w:t xml:space="preserve">Uz šo lūgumu vai pieprasījumu ir saņemta atbilde „Par </w:t>
      </w:r>
      <w:r w:rsidR="00E51AE6">
        <w:rPr>
          <w:rFonts w:eastAsia="Calibri" w:cs="Times New Roman"/>
          <w:szCs w:val="24"/>
        </w:rPr>
        <w:t>[pers. A]</w:t>
      </w:r>
      <w:r>
        <w:rPr>
          <w:rFonts w:eastAsia="Calibri" w:cs="Times New Roman"/>
          <w:szCs w:val="24"/>
        </w:rPr>
        <w:t>”, ko parakstījusi</w:t>
      </w:r>
      <w:r w:rsidR="00112C46">
        <w:rPr>
          <w:rFonts w:eastAsia="Calibri" w:cs="Times New Roman"/>
          <w:szCs w:val="24"/>
        </w:rPr>
        <w:t xml:space="preserve"> PSIA „</w:t>
      </w:r>
      <w:r w:rsidR="004714CC">
        <w:rPr>
          <w:rFonts w:eastAsia="Calibri" w:cs="Times New Roman"/>
          <w:szCs w:val="24"/>
        </w:rPr>
        <w:t>[..]</w:t>
      </w:r>
      <w:r w:rsidR="00112C46">
        <w:rPr>
          <w:rFonts w:eastAsia="Calibri" w:cs="Times New Roman"/>
          <w:szCs w:val="24"/>
        </w:rPr>
        <w:t xml:space="preserve"> poliklīnika” valdes priekšsēdētāja </w:t>
      </w:r>
      <w:r w:rsidR="004714CC">
        <w:rPr>
          <w:rFonts w:eastAsia="Calibri" w:cs="Times New Roman"/>
          <w:szCs w:val="24"/>
        </w:rPr>
        <w:t>[pers. C]</w:t>
      </w:r>
      <w:r w:rsidR="00112C46">
        <w:rPr>
          <w:rFonts w:eastAsia="Calibri" w:cs="Times New Roman"/>
          <w:szCs w:val="24"/>
        </w:rPr>
        <w:t xml:space="preserve">, kurā norādīts, ka </w:t>
      </w:r>
      <w:r w:rsidR="004714CC">
        <w:rPr>
          <w:rFonts w:eastAsia="Calibri" w:cs="Times New Roman"/>
          <w:szCs w:val="24"/>
        </w:rPr>
        <w:t>[pers. A]</w:t>
      </w:r>
      <w:r w:rsidR="00112C46">
        <w:rPr>
          <w:rFonts w:eastAsia="Calibri" w:cs="Times New Roman"/>
          <w:szCs w:val="24"/>
        </w:rPr>
        <w:t xml:space="preserve"> jāturpina medicīniska rakstura piespiedu ārstēšana.</w:t>
      </w:r>
    </w:p>
    <w:p w:rsidR="002B2DBA" w:rsidRDefault="00112C46" w:rsidP="0021179B">
      <w:pPr>
        <w:spacing w:after="0" w:line="23" w:lineRule="atLeast"/>
        <w:ind w:firstLine="851"/>
        <w:jc w:val="both"/>
        <w:rPr>
          <w:rFonts w:eastAsia="Calibri" w:cs="Times New Roman"/>
          <w:szCs w:val="24"/>
        </w:rPr>
      </w:pPr>
      <w:r>
        <w:rPr>
          <w:rFonts w:eastAsia="Calibri" w:cs="Times New Roman"/>
          <w:szCs w:val="24"/>
        </w:rPr>
        <w:t>Turpmāk tiesnese nosūtījusi PSIA „</w:t>
      </w:r>
      <w:r w:rsidR="004714CC">
        <w:rPr>
          <w:rFonts w:eastAsia="Calibri" w:cs="Times New Roman"/>
          <w:szCs w:val="24"/>
        </w:rPr>
        <w:t>[..]</w:t>
      </w:r>
      <w:r>
        <w:rPr>
          <w:rFonts w:eastAsia="Calibri" w:cs="Times New Roman"/>
          <w:szCs w:val="24"/>
        </w:rPr>
        <w:t xml:space="preserve"> poliklīnika” valdes priekšsēdētājai </w:t>
      </w:r>
      <w:r w:rsidR="000163C8">
        <w:rPr>
          <w:rFonts w:eastAsia="Calibri" w:cs="Times New Roman"/>
          <w:szCs w:val="24"/>
        </w:rPr>
        <w:t xml:space="preserve">lūgumu papildus norādīt, vai </w:t>
      </w:r>
      <w:r w:rsidR="004714CC">
        <w:rPr>
          <w:rFonts w:eastAsia="Calibri" w:cs="Times New Roman"/>
          <w:szCs w:val="24"/>
        </w:rPr>
        <w:t>[pers. A]</w:t>
      </w:r>
      <w:r>
        <w:rPr>
          <w:rFonts w:eastAsia="Calibri" w:cs="Times New Roman"/>
          <w:szCs w:val="24"/>
        </w:rPr>
        <w:t xml:space="preserve"> stāvoklis pieļauj viņas piedalīšanos tiesas sēdē. Uz šo lūgumu, pieprasījumu ir saņemta atbilde, ko parakstīj</w:t>
      </w:r>
      <w:r w:rsidR="000163C8">
        <w:rPr>
          <w:rFonts w:eastAsia="Calibri" w:cs="Times New Roman"/>
          <w:szCs w:val="24"/>
        </w:rPr>
        <w:t>is</w:t>
      </w:r>
      <w:r>
        <w:rPr>
          <w:rFonts w:eastAsia="Calibri" w:cs="Times New Roman"/>
          <w:szCs w:val="24"/>
        </w:rPr>
        <w:t xml:space="preserve"> PSIA „</w:t>
      </w:r>
      <w:r w:rsidR="004714CC">
        <w:rPr>
          <w:rFonts w:eastAsia="Calibri" w:cs="Times New Roman"/>
          <w:szCs w:val="24"/>
        </w:rPr>
        <w:t>[..]</w:t>
      </w:r>
      <w:r>
        <w:rPr>
          <w:rFonts w:eastAsia="Calibri" w:cs="Times New Roman"/>
          <w:szCs w:val="24"/>
        </w:rPr>
        <w:t xml:space="preserve"> poliklīnika” komercpilnvarnieks </w:t>
      </w:r>
      <w:r w:rsidR="004714CC">
        <w:rPr>
          <w:rFonts w:eastAsia="Calibri" w:cs="Times New Roman"/>
          <w:szCs w:val="24"/>
        </w:rPr>
        <w:t>[pers. D]</w:t>
      </w:r>
      <w:r>
        <w:rPr>
          <w:rFonts w:eastAsia="Calibri" w:cs="Times New Roman"/>
          <w:szCs w:val="24"/>
        </w:rPr>
        <w:t xml:space="preserve">, ka </w:t>
      </w:r>
      <w:r w:rsidR="004714CC">
        <w:rPr>
          <w:rFonts w:eastAsia="Calibri" w:cs="Times New Roman"/>
          <w:szCs w:val="24"/>
        </w:rPr>
        <w:t>[pers. A]</w:t>
      </w:r>
      <w:r>
        <w:rPr>
          <w:rFonts w:eastAsia="Calibri" w:cs="Times New Roman"/>
          <w:szCs w:val="24"/>
        </w:rPr>
        <w:t xml:space="preserve"> piedalīšanās tiesas sēdē varētu pasliktināt viņas psihisko stāvokli, līdz ar to nebūtu lietderīgi pacie</w:t>
      </w:r>
      <w:r w:rsidR="000163C8">
        <w:rPr>
          <w:rFonts w:eastAsia="Calibri" w:cs="Times New Roman"/>
          <w:szCs w:val="24"/>
        </w:rPr>
        <w:t>ntei piedalīties tiesas sēdē, turklāt komercpilnvarnieks</w:t>
      </w:r>
      <w:r>
        <w:rPr>
          <w:rFonts w:eastAsia="Calibri" w:cs="Times New Roman"/>
          <w:szCs w:val="24"/>
        </w:rPr>
        <w:t xml:space="preserve"> pilnvaroja ārst</w:t>
      </w:r>
      <w:r w:rsidR="002B2DBA">
        <w:rPr>
          <w:rFonts w:eastAsia="Calibri" w:cs="Times New Roman"/>
          <w:szCs w:val="24"/>
        </w:rPr>
        <w:t>u</w:t>
      </w:r>
      <w:r>
        <w:rPr>
          <w:rFonts w:eastAsia="Calibri" w:cs="Times New Roman"/>
          <w:szCs w:val="24"/>
        </w:rPr>
        <w:t xml:space="preserve"> </w:t>
      </w:r>
      <w:r w:rsidR="004714CC">
        <w:rPr>
          <w:rFonts w:eastAsia="Calibri" w:cs="Times New Roman"/>
          <w:szCs w:val="24"/>
        </w:rPr>
        <w:t>[pers. E]</w:t>
      </w:r>
      <w:r w:rsidR="002B2DBA">
        <w:rPr>
          <w:rFonts w:eastAsia="Calibri" w:cs="Times New Roman"/>
          <w:szCs w:val="24"/>
        </w:rPr>
        <w:t xml:space="preserve"> par ārstniecības iestādes pārstāvi tiesas sēdē.</w:t>
      </w:r>
    </w:p>
    <w:p w:rsidR="0021179B" w:rsidRDefault="002B2DBA" w:rsidP="0021179B">
      <w:pPr>
        <w:spacing w:after="0" w:line="23" w:lineRule="atLeast"/>
        <w:ind w:firstLine="851"/>
        <w:jc w:val="both"/>
        <w:rPr>
          <w:rFonts w:eastAsia="Calibri" w:cs="Times New Roman"/>
          <w:szCs w:val="24"/>
        </w:rPr>
      </w:pPr>
      <w:r>
        <w:rPr>
          <w:rFonts w:eastAsia="Calibri" w:cs="Times New Roman"/>
          <w:szCs w:val="24"/>
        </w:rPr>
        <w:t xml:space="preserve">Tiesas lēmumā </w:t>
      </w:r>
      <w:r w:rsidR="004714CC">
        <w:rPr>
          <w:rFonts w:eastAsia="Calibri" w:cs="Times New Roman"/>
          <w:szCs w:val="24"/>
        </w:rPr>
        <w:t>[pers. C]</w:t>
      </w:r>
      <w:r>
        <w:rPr>
          <w:rFonts w:eastAsia="Calibri" w:cs="Times New Roman"/>
          <w:szCs w:val="24"/>
        </w:rPr>
        <w:t xml:space="preserve"> parakstītais dokuments nosaukts par ārstn</w:t>
      </w:r>
      <w:r w:rsidR="000163C8">
        <w:rPr>
          <w:rFonts w:eastAsia="Calibri" w:cs="Times New Roman"/>
          <w:szCs w:val="24"/>
        </w:rPr>
        <w:t xml:space="preserve">iecības iestādes atzinumu un </w:t>
      </w:r>
      <w:r w:rsidR="004714CC">
        <w:rPr>
          <w:rFonts w:eastAsia="Calibri" w:cs="Times New Roman"/>
          <w:szCs w:val="24"/>
        </w:rPr>
        <w:t>[pers. D]</w:t>
      </w:r>
      <w:r>
        <w:rPr>
          <w:rFonts w:eastAsia="Calibri" w:cs="Times New Roman"/>
          <w:szCs w:val="24"/>
        </w:rPr>
        <w:t xml:space="preserve"> parakstītais dokuments par ārsta atzinumu. Kriminālprocesa likuma 607. un 608.pantā ārsta speciālista vai ārstu konsīlija, vai ekspertīzes atzinums </w:t>
      </w:r>
      <w:r w:rsidR="000163C8">
        <w:rPr>
          <w:rFonts w:eastAsia="Calibri" w:cs="Times New Roman"/>
          <w:szCs w:val="24"/>
        </w:rPr>
        <w:t xml:space="preserve">lietā </w:t>
      </w:r>
      <w:r>
        <w:rPr>
          <w:rFonts w:eastAsia="Calibri" w:cs="Times New Roman"/>
          <w:szCs w:val="24"/>
        </w:rPr>
        <w:t>nav atrodams.</w:t>
      </w:r>
    </w:p>
    <w:p w:rsidR="002B2DBA" w:rsidRDefault="002B2DBA" w:rsidP="0021179B">
      <w:pPr>
        <w:spacing w:after="0" w:line="23" w:lineRule="atLeast"/>
        <w:ind w:firstLine="851"/>
        <w:jc w:val="both"/>
        <w:rPr>
          <w:rFonts w:eastAsia="Calibri" w:cs="Times New Roman"/>
          <w:szCs w:val="24"/>
        </w:rPr>
      </w:pPr>
      <w:r>
        <w:rPr>
          <w:rFonts w:eastAsia="Calibri" w:cs="Times New Roman"/>
          <w:szCs w:val="24"/>
        </w:rPr>
        <w:t xml:space="preserve">Līdz ar to Augstākā tiesa atzīst, ka </w:t>
      </w:r>
      <w:r w:rsidR="004714CC">
        <w:rPr>
          <w:rFonts w:eastAsia="Calibri" w:cs="Times New Roman"/>
          <w:szCs w:val="24"/>
        </w:rPr>
        <w:t>[..]</w:t>
      </w:r>
      <w:r>
        <w:rPr>
          <w:rFonts w:eastAsia="Calibri" w:cs="Times New Roman"/>
          <w:szCs w:val="24"/>
        </w:rPr>
        <w:t xml:space="preserve"> tiesa pārkāpa Kriminālprocesa likuma 607.panta pirmo daļu, 608.panta otro daļu, kas ir Kriminālprocesa likuma 575.panta trešajā daļā paredzētais pārkāpums un pamats tiesas lēmuma atcelšanai un lietas nosūtīšanai jaunai izskatīšanai </w:t>
      </w:r>
      <w:r w:rsidR="004714CC">
        <w:rPr>
          <w:rFonts w:eastAsia="Calibri" w:cs="Times New Roman"/>
          <w:szCs w:val="24"/>
        </w:rPr>
        <w:t>[..]</w:t>
      </w:r>
      <w:r>
        <w:rPr>
          <w:rFonts w:eastAsia="Calibri" w:cs="Times New Roman"/>
          <w:szCs w:val="24"/>
        </w:rPr>
        <w:t xml:space="preserve"> tiesā.</w:t>
      </w:r>
    </w:p>
    <w:p w:rsidR="000209C3" w:rsidRDefault="000209C3" w:rsidP="00FA41B4">
      <w:pPr>
        <w:spacing w:after="0" w:line="23" w:lineRule="atLeast"/>
        <w:ind w:firstLine="851"/>
        <w:jc w:val="both"/>
        <w:rPr>
          <w:rFonts w:eastAsia="Calibri" w:cs="Times New Roman"/>
          <w:szCs w:val="24"/>
        </w:rPr>
      </w:pPr>
    </w:p>
    <w:p w:rsidR="000209C3" w:rsidRPr="00B31FDB" w:rsidRDefault="000209C3" w:rsidP="00FA41B4">
      <w:pPr>
        <w:spacing w:after="0" w:line="23" w:lineRule="atLeast"/>
        <w:ind w:firstLine="851"/>
        <w:jc w:val="both"/>
        <w:rPr>
          <w:rFonts w:eastAsia="Times New Roman" w:cs="Times New Roman"/>
          <w:szCs w:val="24"/>
          <w:lang w:eastAsia="lv-LV"/>
        </w:rPr>
      </w:pPr>
    </w:p>
    <w:p w:rsidR="00653A68" w:rsidRPr="00F25004" w:rsidRDefault="00653A68" w:rsidP="00850012">
      <w:pPr>
        <w:spacing w:after="0" w:line="23" w:lineRule="atLeast"/>
        <w:contextualSpacing/>
        <w:jc w:val="center"/>
        <w:rPr>
          <w:rFonts w:eastAsia="Times New Roman" w:cs="Times New Roman"/>
          <w:b/>
          <w:lang w:eastAsia="lv-LV"/>
        </w:rPr>
      </w:pPr>
      <w:r w:rsidRPr="00F25004">
        <w:rPr>
          <w:rFonts w:eastAsia="Times New Roman" w:cs="Times New Roman"/>
          <w:b/>
          <w:lang w:eastAsia="lv-LV"/>
        </w:rPr>
        <w:t>Rezolutīvā daļa</w:t>
      </w:r>
    </w:p>
    <w:p w:rsidR="00653A68" w:rsidRPr="00F25004" w:rsidRDefault="00653A68" w:rsidP="00653A68">
      <w:pPr>
        <w:spacing w:after="0" w:line="23" w:lineRule="atLeast"/>
        <w:contextualSpacing/>
        <w:jc w:val="center"/>
        <w:rPr>
          <w:rFonts w:eastAsia="Times New Roman" w:cs="Times New Roman"/>
          <w:b/>
          <w:lang w:eastAsia="lv-LV"/>
        </w:rPr>
      </w:pPr>
    </w:p>
    <w:p w:rsidR="00653A68" w:rsidRPr="00F25004" w:rsidRDefault="00653A68" w:rsidP="00653A68">
      <w:pPr>
        <w:spacing w:after="0" w:line="23" w:lineRule="atLeast"/>
        <w:jc w:val="both"/>
        <w:rPr>
          <w:rFonts w:eastAsia="Calibri" w:cs="Times New Roman"/>
          <w:iCs/>
          <w:szCs w:val="24"/>
        </w:rPr>
      </w:pPr>
      <w:r w:rsidRPr="00F25004">
        <w:rPr>
          <w:rFonts w:eastAsia="Calibri" w:cs="Times New Roman"/>
          <w:iCs/>
          <w:szCs w:val="24"/>
        </w:rPr>
        <w:t>Pamatojoties uz Kriminālprocesa likuma 585., 587.pantu, Augstākā tiesa</w:t>
      </w:r>
    </w:p>
    <w:p w:rsidR="00653A68" w:rsidRPr="00F25004" w:rsidRDefault="00653A68" w:rsidP="00653A68">
      <w:pPr>
        <w:spacing w:after="0" w:line="23" w:lineRule="atLeast"/>
        <w:jc w:val="center"/>
        <w:rPr>
          <w:rFonts w:eastAsia="Calibri" w:cs="Times New Roman"/>
          <w:b/>
          <w:iCs/>
          <w:szCs w:val="24"/>
        </w:rPr>
      </w:pPr>
    </w:p>
    <w:p w:rsidR="00653A68" w:rsidRDefault="00653A68" w:rsidP="00653A68">
      <w:pPr>
        <w:spacing w:after="0" w:line="23" w:lineRule="atLeast"/>
        <w:jc w:val="center"/>
        <w:rPr>
          <w:rFonts w:eastAsia="Calibri" w:cs="Times New Roman"/>
          <w:b/>
          <w:iCs/>
          <w:szCs w:val="24"/>
        </w:rPr>
      </w:pPr>
      <w:r w:rsidRPr="00F25004">
        <w:rPr>
          <w:rFonts w:eastAsia="Calibri" w:cs="Times New Roman"/>
          <w:b/>
          <w:iCs/>
          <w:szCs w:val="24"/>
        </w:rPr>
        <w:t>nolēma:</w:t>
      </w:r>
    </w:p>
    <w:p w:rsidR="00474A10" w:rsidRDefault="00474A10" w:rsidP="00850012">
      <w:pPr>
        <w:spacing w:after="0" w:line="276" w:lineRule="auto"/>
        <w:jc w:val="both"/>
        <w:rPr>
          <w:rFonts w:eastAsia="Calibri" w:cs="Times New Roman"/>
          <w:szCs w:val="24"/>
        </w:rPr>
      </w:pPr>
    </w:p>
    <w:p w:rsidR="00850012" w:rsidRDefault="00850012" w:rsidP="00850012">
      <w:pPr>
        <w:spacing w:after="0" w:line="276" w:lineRule="auto"/>
        <w:jc w:val="both"/>
        <w:rPr>
          <w:rFonts w:eastAsia="Calibri" w:cs="Times New Roman"/>
          <w:szCs w:val="24"/>
        </w:rPr>
      </w:pPr>
      <w:r w:rsidRPr="00203447">
        <w:rPr>
          <w:rFonts w:eastAsia="Calibri" w:cs="Times New Roman"/>
          <w:szCs w:val="24"/>
        </w:rPr>
        <w:t xml:space="preserve">atcelt </w:t>
      </w:r>
      <w:r w:rsidR="004714CC">
        <w:rPr>
          <w:rFonts w:eastAsia="Calibri" w:cs="Times New Roman"/>
          <w:szCs w:val="24"/>
        </w:rPr>
        <w:t>[..]</w:t>
      </w:r>
      <w:r>
        <w:rPr>
          <w:rFonts w:eastAsia="Calibri" w:cs="Times New Roman"/>
          <w:szCs w:val="24"/>
        </w:rPr>
        <w:t xml:space="preserve"> </w:t>
      </w:r>
      <w:r w:rsidRPr="00203447">
        <w:rPr>
          <w:rFonts w:eastAsia="Calibri" w:cs="Times New Roman"/>
          <w:szCs w:val="24"/>
        </w:rPr>
        <w:t>tiesas 201</w:t>
      </w:r>
      <w:r w:rsidR="006F2B3B">
        <w:rPr>
          <w:rFonts w:eastAsia="Calibri" w:cs="Times New Roman"/>
          <w:szCs w:val="24"/>
        </w:rPr>
        <w:t>7</w:t>
      </w:r>
      <w:r w:rsidRPr="00203447">
        <w:rPr>
          <w:rFonts w:eastAsia="Calibri" w:cs="Times New Roman"/>
          <w:szCs w:val="24"/>
        </w:rPr>
        <w:t xml:space="preserve">.gada </w:t>
      </w:r>
      <w:r w:rsidR="004714CC">
        <w:rPr>
          <w:rFonts w:eastAsia="Calibri" w:cs="Times New Roman"/>
          <w:szCs w:val="24"/>
        </w:rPr>
        <w:t>[..]</w:t>
      </w:r>
      <w:r>
        <w:rPr>
          <w:rFonts w:eastAsia="Calibri" w:cs="Times New Roman"/>
          <w:szCs w:val="24"/>
        </w:rPr>
        <w:t xml:space="preserve"> lēmumu</w:t>
      </w:r>
      <w:r w:rsidRPr="00203447">
        <w:rPr>
          <w:rFonts w:eastAsia="Calibri" w:cs="Times New Roman"/>
          <w:szCs w:val="24"/>
        </w:rPr>
        <w:t xml:space="preserve"> </w:t>
      </w:r>
      <w:r>
        <w:rPr>
          <w:rFonts w:eastAsia="Calibri" w:cs="Times New Roman"/>
          <w:szCs w:val="24"/>
        </w:rPr>
        <w:t xml:space="preserve">un </w:t>
      </w:r>
      <w:r w:rsidRPr="00203447">
        <w:rPr>
          <w:rFonts w:eastAsia="Calibri" w:cs="Times New Roman"/>
          <w:szCs w:val="24"/>
        </w:rPr>
        <w:t xml:space="preserve">nosūtīt </w:t>
      </w:r>
      <w:r>
        <w:rPr>
          <w:rFonts w:eastAsia="Calibri" w:cs="Times New Roman"/>
          <w:szCs w:val="24"/>
        </w:rPr>
        <w:t xml:space="preserve">lietu </w:t>
      </w:r>
      <w:r w:rsidRPr="00203447">
        <w:rPr>
          <w:rFonts w:eastAsia="Calibri" w:cs="Times New Roman"/>
          <w:szCs w:val="24"/>
        </w:rPr>
        <w:t xml:space="preserve">jaunai izskatīšanai </w:t>
      </w:r>
      <w:r w:rsidR="004714CC">
        <w:rPr>
          <w:rFonts w:eastAsia="Calibri" w:cs="Times New Roman"/>
          <w:szCs w:val="24"/>
        </w:rPr>
        <w:t>[..]</w:t>
      </w:r>
      <w:r w:rsidR="006F2B3B">
        <w:rPr>
          <w:rFonts w:eastAsia="Calibri" w:cs="Times New Roman"/>
          <w:szCs w:val="24"/>
        </w:rPr>
        <w:t xml:space="preserve"> tiesā</w:t>
      </w:r>
      <w:r w:rsidRPr="00203447">
        <w:rPr>
          <w:rFonts w:eastAsia="Calibri" w:cs="Times New Roman"/>
          <w:szCs w:val="24"/>
        </w:rPr>
        <w:t>.</w:t>
      </w:r>
    </w:p>
    <w:p w:rsidR="00653A68" w:rsidRPr="00850012" w:rsidRDefault="00653A68" w:rsidP="00850012">
      <w:pPr>
        <w:spacing w:after="0" w:line="276" w:lineRule="auto"/>
        <w:ind w:firstLine="851"/>
        <w:jc w:val="both"/>
        <w:rPr>
          <w:rFonts w:eastAsia="Calibri" w:cs="Times New Roman"/>
          <w:szCs w:val="24"/>
        </w:rPr>
      </w:pPr>
      <w:r w:rsidRPr="00F25004">
        <w:rPr>
          <w:rFonts w:eastAsia="Calibri" w:cs="Times New Roman"/>
          <w:iCs/>
          <w:szCs w:val="24"/>
        </w:rPr>
        <w:t xml:space="preserve">Lēmums nav pārsūdzams. </w:t>
      </w:r>
    </w:p>
    <w:p w:rsidR="00653A68" w:rsidRPr="00F25004" w:rsidRDefault="00653A68" w:rsidP="00653A68">
      <w:pPr>
        <w:spacing w:after="0" w:line="23" w:lineRule="atLeast"/>
        <w:ind w:firstLine="567"/>
        <w:jc w:val="both"/>
        <w:rPr>
          <w:rFonts w:eastAsia="Calibri" w:cs="Times New Roman"/>
          <w:iCs/>
          <w:szCs w:val="24"/>
        </w:rPr>
      </w:pPr>
    </w:p>
    <w:sectPr w:rsidR="00653A68" w:rsidRPr="00F25004" w:rsidSect="009C02B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C3F" w:rsidRDefault="00C95C3F">
      <w:pPr>
        <w:spacing w:after="0" w:line="240" w:lineRule="auto"/>
      </w:pPr>
      <w:r>
        <w:separator/>
      </w:r>
    </w:p>
  </w:endnote>
  <w:endnote w:type="continuationSeparator" w:id="0">
    <w:p w:rsidR="00C95C3F" w:rsidRDefault="00C9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9C02B1" w:rsidRDefault="00B27739">
            <w:pPr>
              <w:pStyle w:val="Footer"/>
              <w:jc w:val="center"/>
            </w:pPr>
            <w:r>
              <w:t xml:space="preserve"> </w:t>
            </w:r>
            <w:r w:rsidRPr="00715E47">
              <w:rPr>
                <w:bCs/>
                <w:sz w:val="20"/>
                <w:szCs w:val="20"/>
              </w:rPr>
              <w:fldChar w:fldCharType="begin"/>
            </w:r>
            <w:r w:rsidRPr="00715E47">
              <w:rPr>
                <w:bCs/>
                <w:sz w:val="20"/>
                <w:szCs w:val="20"/>
              </w:rPr>
              <w:instrText xml:space="preserve"> PAGE </w:instrText>
            </w:r>
            <w:r w:rsidRPr="00715E47">
              <w:rPr>
                <w:bCs/>
                <w:sz w:val="20"/>
                <w:szCs w:val="20"/>
              </w:rPr>
              <w:fldChar w:fldCharType="separate"/>
            </w:r>
            <w:r w:rsidR="007259BB">
              <w:rPr>
                <w:bCs/>
                <w:noProof/>
                <w:sz w:val="20"/>
                <w:szCs w:val="20"/>
              </w:rPr>
              <w:t>4</w:t>
            </w:r>
            <w:r w:rsidRPr="00715E47">
              <w:rPr>
                <w:bCs/>
                <w:sz w:val="20"/>
                <w:szCs w:val="20"/>
              </w:rPr>
              <w:fldChar w:fldCharType="end"/>
            </w:r>
            <w:r w:rsidRPr="00715E47">
              <w:rPr>
                <w:bCs/>
                <w:sz w:val="20"/>
                <w:szCs w:val="20"/>
              </w:rPr>
              <w:t xml:space="preserve"> no</w:t>
            </w:r>
            <w:r w:rsidRPr="00715E47">
              <w:rPr>
                <w:sz w:val="20"/>
                <w:szCs w:val="20"/>
              </w:rPr>
              <w:t xml:space="preserve"> </w:t>
            </w:r>
            <w:r w:rsidRPr="00715E47">
              <w:rPr>
                <w:bCs/>
                <w:sz w:val="20"/>
                <w:szCs w:val="20"/>
              </w:rPr>
              <w:fldChar w:fldCharType="begin"/>
            </w:r>
            <w:r w:rsidRPr="00715E47">
              <w:rPr>
                <w:bCs/>
                <w:sz w:val="20"/>
                <w:szCs w:val="20"/>
              </w:rPr>
              <w:instrText xml:space="preserve"> NUMPAGES  </w:instrText>
            </w:r>
            <w:r w:rsidRPr="00715E47">
              <w:rPr>
                <w:bCs/>
                <w:sz w:val="20"/>
                <w:szCs w:val="20"/>
              </w:rPr>
              <w:fldChar w:fldCharType="separate"/>
            </w:r>
            <w:r w:rsidR="007259BB">
              <w:rPr>
                <w:bCs/>
                <w:noProof/>
                <w:sz w:val="20"/>
                <w:szCs w:val="20"/>
              </w:rPr>
              <w:t>4</w:t>
            </w:r>
            <w:r w:rsidRPr="00715E47">
              <w:rPr>
                <w:bCs/>
                <w:sz w:val="20"/>
                <w:szCs w:val="20"/>
              </w:rPr>
              <w:fldChar w:fldCharType="end"/>
            </w:r>
          </w:p>
        </w:sdtContent>
      </w:sdt>
    </w:sdtContent>
  </w:sdt>
  <w:p w:rsidR="009C02B1" w:rsidRDefault="0072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C3F" w:rsidRDefault="00C95C3F">
      <w:pPr>
        <w:spacing w:after="0" w:line="240" w:lineRule="auto"/>
      </w:pPr>
      <w:r>
        <w:separator/>
      </w:r>
    </w:p>
  </w:footnote>
  <w:footnote w:type="continuationSeparator" w:id="0">
    <w:p w:rsidR="00C95C3F" w:rsidRDefault="00C95C3F">
      <w:pPr>
        <w:spacing w:after="0" w:line="240" w:lineRule="auto"/>
      </w:pPr>
      <w:r>
        <w:continuationSeparator/>
      </w:r>
    </w:p>
  </w:footnote>
  <w:footnote w:id="1">
    <w:p w:rsidR="00081362" w:rsidRDefault="00081362">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D36EA"/>
    <w:multiLevelType w:val="hybridMultilevel"/>
    <w:tmpl w:val="51BC2838"/>
    <w:lvl w:ilvl="0" w:tplc="E61666A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68"/>
    <w:rsid w:val="000163C8"/>
    <w:rsid w:val="000209C3"/>
    <w:rsid w:val="0003451C"/>
    <w:rsid w:val="00047586"/>
    <w:rsid w:val="00081362"/>
    <w:rsid w:val="00090C9D"/>
    <w:rsid w:val="000A3DA3"/>
    <w:rsid w:val="000B056B"/>
    <w:rsid w:val="000B5EE9"/>
    <w:rsid w:val="00112C46"/>
    <w:rsid w:val="001477C5"/>
    <w:rsid w:val="0021179B"/>
    <w:rsid w:val="00215849"/>
    <w:rsid w:val="00295FD1"/>
    <w:rsid w:val="002B096B"/>
    <w:rsid w:val="002B151E"/>
    <w:rsid w:val="002B2DBA"/>
    <w:rsid w:val="002E523E"/>
    <w:rsid w:val="00330E4B"/>
    <w:rsid w:val="00350B8C"/>
    <w:rsid w:val="00375B3F"/>
    <w:rsid w:val="003923F0"/>
    <w:rsid w:val="003D1BD7"/>
    <w:rsid w:val="003D74BB"/>
    <w:rsid w:val="0040445E"/>
    <w:rsid w:val="00437FC0"/>
    <w:rsid w:val="004656D4"/>
    <w:rsid w:val="004714CC"/>
    <w:rsid w:val="00474A10"/>
    <w:rsid w:val="004850AE"/>
    <w:rsid w:val="00492EAA"/>
    <w:rsid w:val="004A373A"/>
    <w:rsid w:val="004E634D"/>
    <w:rsid w:val="00503F1F"/>
    <w:rsid w:val="00536412"/>
    <w:rsid w:val="005730EC"/>
    <w:rsid w:val="00597854"/>
    <w:rsid w:val="005D105A"/>
    <w:rsid w:val="00632F2B"/>
    <w:rsid w:val="00652B45"/>
    <w:rsid w:val="00653A68"/>
    <w:rsid w:val="00655DF7"/>
    <w:rsid w:val="006F2B3B"/>
    <w:rsid w:val="007259BB"/>
    <w:rsid w:val="00737FF1"/>
    <w:rsid w:val="00763534"/>
    <w:rsid w:val="007A0E40"/>
    <w:rsid w:val="007D450E"/>
    <w:rsid w:val="00835689"/>
    <w:rsid w:val="00850012"/>
    <w:rsid w:val="008A3E1C"/>
    <w:rsid w:val="008B3F89"/>
    <w:rsid w:val="008E42E5"/>
    <w:rsid w:val="00912B9F"/>
    <w:rsid w:val="009A2E7E"/>
    <w:rsid w:val="009A38C6"/>
    <w:rsid w:val="009C3A56"/>
    <w:rsid w:val="00A335BB"/>
    <w:rsid w:val="00A52038"/>
    <w:rsid w:val="00AA7925"/>
    <w:rsid w:val="00AC642F"/>
    <w:rsid w:val="00AD6875"/>
    <w:rsid w:val="00B27739"/>
    <w:rsid w:val="00B31FDB"/>
    <w:rsid w:val="00B50ABE"/>
    <w:rsid w:val="00B5579E"/>
    <w:rsid w:val="00BC0D54"/>
    <w:rsid w:val="00C95C3F"/>
    <w:rsid w:val="00CB3917"/>
    <w:rsid w:val="00CE5796"/>
    <w:rsid w:val="00E11534"/>
    <w:rsid w:val="00E51AE6"/>
    <w:rsid w:val="00E55C62"/>
    <w:rsid w:val="00F47289"/>
    <w:rsid w:val="00FA2DC2"/>
    <w:rsid w:val="00FA41B4"/>
    <w:rsid w:val="00FB11CF"/>
    <w:rsid w:val="00FD2F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3A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A68"/>
  </w:style>
  <w:style w:type="paragraph" w:styleId="Header">
    <w:name w:val="header"/>
    <w:basedOn w:val="Normal"/>
    <w:link w:val="HeaderChar"/>
    <w:uiPriority w:val="99"/>
    <w:unhideWhenUsed/>
    <w:rsid w:val="00653A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A68"/>
  </w:style>
  <w:style w:type="character" w:styleId="Hyperlink">
    <w:name w:val="Hyperlink"/>
    <w:basedOn w:val="DefaultParagraphFont"/>
    <w:uiPriority w:val="99"/>
    <w:unhideWhenUsed/>
    <w:rsid w:val="00653A68"/>
    <w:rPr>
      <w:color w:val="0563C1" w:themeColor="hyperlink"/>
      <w:u w:val="single"/>
    </w:rPr>
  </w:style>
  <w:style w:type="paragraph" w:styleId="ListParagraph">
    <w:name w:val="List Paragraph"/>
    <w:basedOn w:val="Normal"/>
    <w:uiPriority w:val="34"/>
    <w:qFormat/>
    <w:rsid w:val="0003451C"/>
    <w:pPr>
      <w:ind w:left="720"/>
      <w:contextualSpacing/>
    </w:pPr>
  </w:style>
  <w:style w:type="paragraph" w:styleId="BalloonText">
    <w:name w:val="Balloon Text"/>
    <w:basedOn w:val="Normal"/>
    <w:link w:val="BalloonTextChar"/>
    <w:uiPriority w:val="99"/>
    <w:semiHidden/>
    <w:unhideWhenUsed/>
    <w:rsid w:val="000B5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EE9"/>
    <w:rPr>
      <w:rFonts w:ascii="Segoe UI" w:hAnsi="Segoe UI" w:cs="Segoe UI"/>
      <w:sz w:val="18"/>
      <w:szCs w:val="18"/>
    </w:rPr>
  </w:style>
  <w:style w:type="paragraph" w:styleId="FootnoteText">
    <w:name w:val="footnote text"/>
    <w:basedOn w:val="Normal"/>
    <w:link w:val="FootnoteTextChar"/>
    <w:uiPriority w:val="99"/>
    <w:semiHidden/>
    <w:unhideWhenUsed/>
    <w:rsid w:val="00081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362"/>
    <w:rPr>
      <w:sz w:val="20"/>
      <w:szCs w:val="20"/>
    </w:rPr>
  </w:style>
  <w:style w:type="character" w:styleId="FootnoteReference">
    <w:name w:val="footnote reference"/>
    <w:basedOn w:val="DefaultParagraphFont"/>
    <w:uiPriority w:val="99"/>
    <w:semiHidden/>
    <w:unhideWhenUsed/>
    <w:rsid w:val="00081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135D-5BB5-46E0-B228-F6013980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7488</Words>
  <Characters>4269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2018-01-31T08:28:00Z</dcterms:created>
  <dcterms:modified xsi:type="dcterms:W3CDTF">2018-01-31T08:28:00Z</dcterms:modified>
</cp:coreProperties>
</file>