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43D05" w14:textId="6378A860" w:rsidR="002639F9" w:rsidRPr="00BB07A1" w:rsidRDefault="002639F9" w:rsidP="00330467">
      <w:pPr>
        <w:spacing w:after="0" w:line="276" w:lineRule="auto"/>
        <w:jc w:val="both"/>
        <w:rPr>
          <w:b/>
        </w:rPr>
      </w:pPr>
      <w:r>
        <w:rPr>
          <w:b/>
        </w:rPr>
        <w:t xml:space="preserve">1. </w:t>
      </w:r>
      <w:r w:rsidRPr="00BB07A1">
        <w:rPr>
          <w:b/>
        </w:rPr>
        <w:t>Iegādātās preces vai saņemtā pakalpojuma izmantošana ar pievienotās vērtības nodokli apliekamam darījumam kā priekšnoteikums priekšnodokļa atskaitīšanai</w:t>
      </w:r>
    </w:p>
    <w:p w14:paraId="6325D2B0" w14:textId="77777777" w:rsidR="002639F9" w:rsidRPr="007020AD" w:rsidRDefault="002639F9" w:rsidP="00330467">
      <w:pPr>
        <w:spacing w:line="276" w:lineRule="auto"/>
        <w:jc w:val="both"/>
      </w:pPr>
      <w:r w:rsidRPr="007020AD">
        <w:t>Viens no priekšnoteikumiem, lai persona varētu atskaitīt priekšnodokli, ir tas, ka iegādātās preces vai saņemtie pakalpojumi, par kuriem izrakstīts rēķins ar pievienotās vērtības nodokli, ir izmantoti šīs personas ar nodokli apliekamo darījumu nodrošināšanai. Jāpastāv tiešai un tūlītējai saiknei starp priekšnodokli un apliekamajiem darījumiem, turklāt jāņem vērā, ka izšķirošs ir tieši personas nodoms izmantot preces vai pakalpojumus saimnieciskās darbības nodrošināšanai. Vienlaikus ir jākonstatē, ka pievienotās vērtības nodoklis tiktu samaksāts par precēm un pakalpojumiem, kas patiešām vajadzīgi saimnieciskās darbības un apliekamu darījumu nodrošināšanai.</w:t>
      </w:r>
    </w:p>
    <w:p w14:paraId="4164EF62" w14:textId="739E666E" w:rsidR="002639F9" w:rsidRPr="00BB07A1" w:rsidRDefault="002639F9" w:rsidP="00330467">
      <w:pPr>
        <w:spacing w:after="0" w:line="276" w:lineRule="auto"/>
        <w:jc w:val="both"/>
        <w:rPr>
          <w:b/>
        </w:rPr>
      </w:pPr>
      <w:r>
        <w:rPr>
          <w:b/>
        </w:rPr>
        <w:t xml:space="preserve">2. </w:t>
      </w:r>
      <w:r w:rsidRPr="00BB07A1">
        <w:rPr>
          <w:b/>
        </w:rPr>
        <w:t>Tiesības uz priekšnodokļa atskaitīšanu par sagatavošanās darbu veikšanu</w:t>
      </w:r>
    </w:p>
    <w:p w14:paraId="58405446" w14:textId="77777777" w:rsidR="002639F9" w:rsidRPr="007020AD" w:rsidRDefault="002639F9" w:rsidP="00330467">
      <w:pPr>
        <w:spacing w:line="276" w:lineRule="auto"/>
        <w:jc w:val="both"/>
      </w:pPr>
      <w:r w:rsidRPr="007020AD">
        <w:t>Tiesības uz pievienotās vērtības nodokļa priekšnodokļa atskaitīšanu personai ir arī tajā gadījumā, ja pēc sagatavošanās darbu veikšanas turpmākie apliekamie darījumi netiek īstenoti, ja vien persona rīkojas labticīgi. Attiecīgi secināms, ka sagatavošanās darbi ir iekļaujami saimnieciskajā darbībā tikai tad, ja nodokļa maksātāja nodoms veikt saimniecisko darbību ir pietiekami ticams, ko var apliecināt gan viņa iepriekšējie sagatavošanās darbi, gan citi pierādījumi kopumā. Savukārt kādas darbības iepriekšēja veikšana, pastāvot tikai abstraktai vēlmei kaut ko kaut kad darīt, pati par sevi neliecina, ka sagatavošanās darbi tik tiešām ir saistīti ar plānoto saimniecisko darbību, kas dod tiesības atskaitīt priekšnodokli.</w:t>
      </w:r>
    </w:p>
    <w:p w14:paraId="5DF07883" w14:textId="3DB206DE" w:rsidR="002639F9" w:rsidRPr="00BB07A1" w:rsidRDefault="002639F9" w:rsidP="00330467">
      <w:pPr>
        <w:spacing w:after="0" w:line="276" w:lineRule="auto"/>
        <w:jc w:val="both"/>
        <w:rPr>
          <w:b/>
        </w:rPr>
      </w:pPr>
      <w:r>
        <w:rPr>
          <w:b/>
        </w:rPr>
        <w:t xml:space="preserve">3. </w:t>
      </w:r>
      <w:r w:rsidRPr="00BB07A1">
        <w:rPr>
          <w:b/>
        </w:rPr>
        <w:t xml:space="preserve">Valsts ieņēmumu dienesta tiesības veikt nodokļu pārmaksas pamatotības pārbaudi nodokļu maksātāja maksātnespējas gadījumā </w:t>
      </w:r>
    </w:p>
    <w:p w14:paraId="6D4C2BB4" w14:textId="77777777" w:rsidR="002639F9" w:rsidRPr="007020AD" w:rsidRDefault="002639F9" w:rsidP="00330467">
      <w:pPr>
        <w:spacing w:line="276" w:lineRule="auto"/>
        <w:jc w:val="both"/>
      </w:pPr>
      <w:r w:rsidRPr="007020AD">
        <w:t xml:space="preserve">Tiesības veikt nodokļu pārmaksas pamatotības pārbaudi, arī auditu, ir vispārīgas Valsts ieņēmumu dienesta tiesības atbilstoši likuma „Par nodokļiem un nodevām” </w:t>
      </w:r>
      <w:proofErr w:type="gramStart"/>
      <w:r w:rsidRPr="007020AD">
        <w:t>28.panta</w:t>
      </w:r>
      <w:proofErr w:type="gramEnd"/>
      <w:r w:rsidRPr="007020AD">
        <w:t xml:space="preserve"> otrajai, piektajai un sestajai daļai, kuras nezūd arī uzņēmuma maksātnespējas gadījumā.</w:t>
      </w:r>
    </w:p>
    <w:p w14:paraId="071808F8" w14:textId="066CBE6B" w:rsidR="002639F9" w:rsidRPr="00BB07A1" w:rsidRDefault="002639F9" w:rsidP="00330467">
      <w:pPr>
        <w:spacing w:after="0" w:line="276" w:lineRule="auto"/>
        <w:jc w:val="both"/>
        <w:rPr>
          <w:b/>
        </w:rPr>
      </w:pPr>
      <w:r>
        <w:rPr>
          <w:b/>
        </w:rPr>
        <w:t xml:space="preserve">4. </w:t>
      </w:r>
      <w:r w:rsidRPr="00BB07A1">
        <w:rPr>
          <w:b/>
        </w:rPr>
        <w:t>Savas iespējamās prasījuma tiesības Valsts ieņēmumu dienests nevar īstenot ārpus Maksātnespējas likumā noteiktās kārtības</w:t>
      </w:r>
    </w:p>
    <w:p w14:paraId="401CCE30" w14:textId="77777777" w:rsidR="002639F9" w:rsidRPr="007020AD" w:rsidRDefault="002639F9" w:rsidP="00330467">
      <w:pPr>
        <w:spacing w:line="276" w:lineRule="auto"/>
        <w:jc w:val="both"/>
      </w:pPr>
      <w:r w:rsidRPr="007020AD">
        <w:t xml:space="preserve">Valsts ieņēmumu dienests savas iespējamās prasījuma tiesības pret maksātnespējīgu nodokļu maksātāju par nodokļu parāda samaksu var īstenot tikai maksātnespējas procesā. Tas nevar vienpusēji pārvirzīt pārmaksu konstatēto nodokļu parāda segšanai, kā arī piedzīt nodokļu parādus (arī soda naudu) ārpus maksātnespējas procesā paredzētās kārtības. </w:t>
      </w:r>
    </w:p>
    <w:p w14:paraId="35D807EF" w14:textId="73ED280E" w:rsidR="002639F9" w:rsidRPr="007020AD" w:rsidRDefault="002639F9" w:rsidP="00330467">
      <w:pPr>
        <w:spacing w:after="0" w:line="276" w:lineRule="auto"/>
        <w:jc w:val="both"/>
        <w:rPr>
          <w:b/>
        </w:rPr>
      </w:pPr>
      <w:r>
        <w:rPr>
          <w:b/>
        </w:rPr>
        <w:t xml:space="preserve">5. </w:t>
      </w:r>
      <w:r w:rsidRPr="007020AD">
        <w:rPr>
          <w:b/>
        </w:rPr>
        <w:t>Vispārējās jurisdikcijas tiesas kompetencē ietilpst pārbaude par Valsts ieņēmumu dienesta kā kreditora tiesību īstenošana maksātnespējas procesa laikā</w:t>
      </w:r>
    </w:p>
    <w:p w14:paraId="3E2AC38C" w14:textId="3BB52EC5" w:rsidR="00703DEB" w:rsidRDefault="002639F9" w:rsidP="00330467">
      <w:pPr>
        <w:spacing w:after="0" w:line="276" w:lineRule="auto"/>
        <w:jc w:val="both"/>
        <w:rPr>
          <w:rFonts w:cs="Times New Roman"/>
          <w:szCs w:val="24"/>
        </w:rPr>
      </w:pPr>
      <w:r w:rsidRPr="007020AD">
        <w:t>Administratīvās tiesas kompetencē neietilpst pārbaude par to, kā Valsts ieņēmumu dienests īsteno savas kā kreditora tiesības maksātnespējas procesa laikā. Tas ir pakļauts vispārējās jurisdikcijas tiesai atbilstoši Civilprocesa likuma un Maksātnespējas likuma normām.</w:t>
      </w:r>
    </w:p>
    <w:p w14:paraId="1FEFC061" w14:textId="77777777" w:rsidR="00E50542" w:rsidRPr="005E0946" w:rsidRDefault="00E50542" w:rsidP="00E50542">
      <w:pPr>
        <w:spacing w:after="0" w:line="276" w:lineRule="auto"/>
        <w:jc w:val="both"/>
        <w:rPr>
          <w:rFonts w:cs="Times New Roman"/>
          <w:szCs w:val="24"/>
        </w:rPr>
      </w:pPr>
    </w:p>
    <w:p w14:paraId="099CA928" w14:textId="4BB4B3CE" w:rsidR="00703DEB" w:rsidRDefault="00703DEB" w:rsidP="00703DEB">
      <w:pPr>
        <w:tabs>
          <w:tab w:val="left" w:pos="1418"/>
        </w:tabs>
        <w:spacing w:after="0" w:line="276" w:lineRule="auto"/>
        <w:jc w:val="center"/>
        <w:rPr>
          <w:rFonts w:cs="Times New Roman"/>
          <w:b/>
          <w:szCs w:val="24"/>
        </w:rPr>
      </w:pPr>
      <w:r w:rsidRPr="005E0946">
        <w:rPr>
          <w:rFonts w:cs="Times New Roman"/>
          <w:b/>
          <w:szCs w:val="24"/>
        </w:rPr>
        <w:t>Latvijas Republikas Augstākā</w:t>
      </w:r>
      <w:r w:rsidR="00E50542">
        <w:rPr>
          <w:rFonts w:cs="Times New Roman"/>
          <w:b/>
          <w:szCs w:val="24"/>
        </w:rPr>
        <w:t>s</w:t>
      </w:r>
      <w:r w:rsidRPr="005E0946">
        <w:rPr>
          <w:rFonts w:cs="Times New Roman"/>
          <w:b/>
          <w:szCs w:val="24"/>
        </w:rPr>
        <w:t xml:space="preserve"> tiesa</w:t>
      </w:r>
      <w:r w:rsidR="00E50542">
        <w:rPr>
          <w:rFonts w:cs="Times New Roman"/>
          <w:b/>
          <w:szCs w:val="24"/>
        </w:rPr>
        <w:t>s</w:t>
      </w:r>
    </w:p>
    <w:p w14:paraId="6E62B7D8" w14:textId="2EA26AA5" w:rsidR="00E50542" w:rsidRDefault="00E50542" w:rsidP="00703DEB">
      <w:pPr>
        <w:tabs>
          <w:tab w:val="left" w:pos="1418"/>
        </w:tabs>
        <w:spacing w:after="0" w:line="276" w:lineRule="auto"/>
        <w:jc w:val="center"/>
        <w:rPr>
          <w:rFonts w:cs="Times New Roman"/>
          <w:b/>
          <w:szCs w:val="24"/>
        </w:rPr>
      </w:pPr>
      <w:bookmarkStart w:id="0" w:name="_GoBack"/>
      <w:bookmarkEnd w:id="0"/>
      <w:r>
        <w:rPr>
          <w:rFonts w:cs="Times New Roman"/>
          <w:b/>
          <w:szCs w:val="24"/>
        </w:rPr>
        <w:t>Administratīvo lietu departamenta</w:t>
      </w:r>
    </w:p>
    <w:p w14:paraId="27E20765" w14:textId="0E7EBD84" w:rsidR="00E50542" w:rsidRPr="005E0946" w:rsidRDefault="00E50542" w:rsidP="00703DEB">
      <w:pPr>
        <w:tabs>
          <w:tab w:val="left" w:pos="1418"/>
        </w:tabs>
        <w:spacing w:after="0" w:line="276" w:lineRule="auto"/>
        <w:jc w:val="center"/>
        <w:rPr>
          <w:rFonts w:cs="Times New Roman"/>
          <w:b/>
          <w:szCs w:val="24"/>
        </w:rPr>
      </w:pPr>
      <w:proofErr w:type="gramStart"/>
      <w:r>
        <w:rPr>
          <w:rFonts w:cs="Times New Roman"/>
          <w:b/>
          <w:szCs w:val="24"/>
        </w:rPr>
        <w:t>2017.gada</w:t>
      </w:r>
      <w:proofErr w:type="gramEnd"/>
      <w:r>
        <w:rPr>
          <w:rFonts w:cs="Times New Roman"/>
          <w:b/>
          <w:szCs w:val="24"/>
        </w:rPr>
        <w:t xml:space="preserve"> 29.decembra</w:t>
      </w:r>
    </w:p>
    <w:p w14:paraId="5A120818" w14:textId="3A2E0D35" w:rsidR="00703DEB" w:rsidRDefault="009E524B" w:rsidP="00703DEB">
      <w:pPr>
        <w:spacing w:after="0" w:line="276" w:lineRule="auto"/>
        <w:jc w:val="center"/>
        <w:rPr>
          <w:rFonts w:cs="Times New Roman"/>
          <w:b/>
          <w:szCs w:val="24"/>
        </w:rPr>
      </w:pPr>
      <w:r>
        <w:rPr>
          <w:rFonts w:cs="Times New Roman"/>
          <w:b/>
          <w:szCs w:val="24"/>
        </w:rPr>
        <w:t>SPRIEDUMS</w:t>
      </w:r>
    </w:p>
    <w:p w14:paraId="13BD726A" w14:textId="4CF716D3" w:rsidR="00E50542" w:rsidRDefault="00E50542" w:rsidP="00703DEB">
      <w:pPr>
        <w:spacing w:after="0" w:line="276" w:lineRule="auto"/>
        <w:jc w:val="center"/>
        <w:rPr>
          <w:rFonts w:cs="Times New Roman"/>
          <w:b/>
          <w:szCs w:val="24"/>
        </w:rPr>
      </w:pPr>
      <w:r>
        <w:rPr>
          <w:rFonts w:cs="Times New Roman"/>
          <w:b/>
          <w:szCs w:val="24"/>
        </w:rPr>
        <w:t>Lieta Nr. A420481812, SKA-315/2017</w:t>
      </w:r>
    </w:p>
    <w:p w14:paraId="3E338AF2" w14:textId="4FEDB875" w:rsidR="00E50542" w:rsidRPr="00E50542" w:rsidRDefault="00E50542" w:rsidP="00703DEB">
      <w:pPr>
        <w:spacing w:after="0" w:line="276" w:lineRule="auto"/>
        <w:jc w:val="center"/>
        <w:rPr>
          <w:rFonts w:cs="Times New Roman"/>
          <w:b/>
          <w:szCs w:val="24"/>
          <w:u w:val="single"/>
        </w:rPr>
      </w:pPr>
      <w:r w:rsidRPr="00E50542">
        <w:rPr>
          <w:u w:val="single"/>
        </w:rPr>
        <w:t>ECLI:LV:AT:2017:1229.A420481812.2.S</w:t>
      </w:r>
    </w:p>
    <w:p w14:paraId="64C6C733" w14:textId="77777777" w:rsidR="00703DEB" w:rsidRPr="005E0946" w:rsidRDefault="00703DEB" w:rsidP="00703DEB">
      <w:pPr>
        <w:spacing w:after="0" w:line="276" w:lineRule="auto"/>
        <w:jc w:val="center"/>
        <w:rPr>
          <w:rFonts w:cs="Times New Roman"/>
          <w:szCs w:val="24"/>
        </w:rPr>
      </w:pPr>
    </w:p>
    <w:p w14:paraId="38D4E64A" w14:textId="53F3387C" w:rsidR="00703DEB" w:rsidRPr="005E0946" w:rsidRDefault="009E524B" w:rsidP="00703DEB">
      <w:pPr>
        <w:spacing w:after="0" w:line="276" w:lineRule="auto"/>
        <w:ind w:firstLine="720"/>
        <w:jc w:val="both"/>
        <w:rPr>
          <w:rFonts w:cs="Times New Roman"/>
          <w:szCs w:val="24"/>
        </w:rPr>
      </w:pPr>
      <w:r>
        <w:rPr>
          <w:rFonts w:cs="Times New Roman"/>
          <w:szCs w:val="24"/>
        </w:rPr>
        <w:t>Augstākā</w:t>
      </w:r>
      <w:r w:rsidR="00703DEB" w:rsidRPr="005E0946">
        <w:rPr>
          <w:rFonts w:cs="Times New Roman"/>
          <w:szCs w:val="24"/>
        </w:rPr>
        <w:t xml:space="preserve"> tiesa šādā sastāvā: </w:t>
      </w:r>
    </w:p>
    <w:p w14:paraId="5A93865D" w14:textId="4CAACE2F" w:rsidR="00703DEB" w:rsidRPr="005E0946" w:rsidRDefault="00E70BE1" w:rsidP="00703DEB">
      <w:pPr>
        <w:tabs>
          <w:tab w:val="left" w:pos="2700"/>
        </w:tabs>
        <w:spacing w:after="0" w:line="276" w:lineRule="auto"/>
        <w:ind w:left="720" w:firstLine="414"/>
        <w:jc w:val="both"/>
        <w:rPr>
          <w:rFonts w:cs="Times New Roman"/>
          <w:szCs w:val="24"/>
        </w:rPr>
      </w:pPr>
      <w:r w:rsidRPr="005E0946">
        <w:rPr>
          <w:rFonts w:cs="Times New Roman"/>
          <w:szCs w:val="24"/>
        </w:rPr>
        <w:lastRenderedPageBreak/>
        <w:t xml:space="preserve">tiesnese </w:t>
      </w:r>
      <w:r w:rsidR="001A331F">
        <w:rPr>
          <w:rFonts w:cs="Times New Roman"/>
          <w:szCs w:val="24"/>
        </w:rPr>
        <w:t>Rudīte Vīduša</w:t>
      </w:r>
      <w:r w:rsidR="00222497" w:rsidRPr="005E0946">
        <w:rPr>
          <w:rFonts w:cs="Times New Roman"/>
          <w:szCs w:val="24"/>
        </w:rPr>
        <w:t>,</w:t>
      </w:r>
      <w:r w:rsidR="00035739">
        <w:rPr>
          <w:rFonts w:cs="Times New Roman"/>
          <w:szCs w:val="24"/>
        </w:rPr>
        <w:t xml:space="preserve"> </w:t>
      </w:r>
    </w:p>
    <w:p w14:paraId="689683AF" w14:textId="790ACD15" w:rsidR="00703DEB" w:rsidRPr="00E077EE" w:rsidRDefault="001A331F" w:rsidP="00703DEB">
      <w:pPr>
        <w:spacing w:after="0" w:line="276" w:lineRule="auto"/>
        <w:ind w:left="414" w:firstLine="720"/>
        <w:jc w:val="both"/>
        <w:rPr>
          <w:rFonts w:cs="Times New Roman"/>
          <w:szCs w:val="24"/>
        </w:rPr>
      </w:pPr>
      <w:r>
        <w:rPr>
          <w:rFonts w:cs="Times New Roman"/>
          <w:szCs w:val="24"/>
        </w:rPr>
        <w:t>tiesnese</w:t>
      </w:r>
      <w:r w:rsidR="00E70BE1" w:rsidRPr="005E0946">
        <w:rPr>
          <w:rFonts w:cs="Times New Roman"/>
          <w:szCs w:val="24"/>
        </w:rPr>
        <w:t xml:space="preserve"> </w:t>
      </w:r>
      <w:r>
        <w:rPr>
          <w:rFonts w:cs="Times New Roman"/>
          <w:szCs w:val="24"/>
        </w:rPr>
        <w:t>Anita Kovaļevska</w:t>
      </w:r>
      <w:r w:rsidR="00222497" w:rsidRPr="005E0946">
        <w:rPr>
          <w:rFonts w:cs="Times New Roman"/>
          <w:szCs w:val="24"/>
        </w:rPr>
        <w:t>,</w:t>
      </w:r>
    </w:p>
    <w:p w14:paraId="7146D1F9" w14:textId="220B75A5" w:rsidR="00703DEB" w:rsidRPr="00E077EE" w:rsidRDefault="00703DEB" w:rsidP="00703DEB">
      <w:pPr>
        <w:tabs>
          <w:tab w:val="left" w:pos="2700"/>
        </w:tabs>
        <w:spacing w:after="0" w:line="276" w:lineRule="auto"/>
        <w:ind w:left="720" w:firstLine="414"/>
        <w:jc w:val="both"/>
        <w:rPr>
          <w:rFonts w:cs="Times New Roman"/>
          <w:szCs w:val="24"/>
        </w:rPr>
      </w:pPr>
      <w:r w:rsidRPr="00E077EE">
        <w:rPr>
          <w:rFonts w:cs="Times New Roman"/>
          <w:szCs w:val="24"/>
        </w:rPr>
        <w:t xml:space="preserve">tiesnese </w:t>
      </w:r>
      <w:r w:rsidR="001A331F" w:rsidRPr="00E077EE">
        <w:rPr>
          <w:rFonts w:cs="Times New Roman"/>
          <w:szCs w:val="24"/>
        </w:rPr>
        <w:t>Veronika Krūmiņa</w:t>
      </w:r>
    </w:p>
    <w:p w14:paraId="44F231E5" w14:textId="77777777" w:rsidR="00703DEB" w:rsidRPr="00E077EE" w:rsidRDefault="00703DEB" w:rsidP="00703DEB">
      <w:pPr>
        <w:spacing w:after="0" w:line="276" w:lineRule="auto"/>
        <w:ind w:firstLine="709"/>
        <w:jc w:val="both"/>
        <w:rPr>
          <w:rFonts w:cs="Times New Roman"/>
          <w:sz w:val="18"/>
          <w:szCs w:val="24"/>
        </w:rPr>
      </w:pPr>
    </w:p>
    <w:p w14:paraId="1A710286" w14:textId="0236074E" w:rsidR="00703DEB" w:rsidRPr="00E077EE" w:rsidRDefault="009E524B" w:rsidP="00703DEB">
      <w:pPr>
        <w:spacing w:after="0" w:line="276" w:lineRule="auto"/>
        <w:ind w:firstLine="709"/>
        <w:jc w:val="both"/>
        <w:rPr>
          <w:rFonts w:cs="Times New Roman"/>
          <w:szCs w:val="24"/>
        </w:rPr>
      </w:pPr>
      <w:r w:rsidRPr="00E077EE">
        <w:rPr>
          <w:rFonts w:cs="Times New Roman"/>
          <w:szCs w:val="24"/>
        </w:rPr>
        <w:t>rakstveida procesā</w:t>
      </w:r>
      <w:r w:rsidR="00703DEB" w:rsidRPr="00E077EE">
        <w:rPr>
          <w:rFonts w:cs="Times New Roman"/>
          <w:szCs w:val="24"/>
        </w:rPr>
        <w:t xml:space="preserve"> izskatīja </w:t>
      </w:r>
      <w:r w:rsidRPr="00E077EE">
        <w:rPr>
          <w:rFonts w:cs="Times New Roman"/>
          <w:szCs w:val="24"/>
        </w:rPr>
        <w:t>administratīvo lietu, kas ierosināta pēc SIA „</w:t>
      </w:r>
      <w:r w:rsidR="00F92FB2" w:rsidRPr="00E077EE">
        <w:rPr>
          <w:rFonts w:cs="Times New Roman"/>
          <w:szCs w:val="24"/>
        </w:rPr>
        <w:t>Peltes īpašumi</w:t>
      </w:r>
      <w:r w:rsidRPr="00E077EE">
        <w:rPr>
          <w:rFonts w:cs="Times New Roman"/>
          <w:szCs w:val="24"/>
        </w:rPr>
        <w:t>” pieteikuma p</w:t>
      </w:r>
      <w:r w:rsidR="00F92FB2" w:rsidRPr="00E077EE">
        <w:rPr>
          <w:rFonts w:cs="Times New Roman"/>
          <w:szCs w:val="24"/>
        </w:rPr>
        <w:t xml:space="preserve">ar Valsts ieņēmumu dienesta </w:t>
      </w:r>
      <w:proofErr w:type="gramStart"/>
      <w:r w:rsidR="00F92FB2" w:rsidRPr="00E077EE">
        <w:rPr>
          <w:rFonts w:cs="Times New Roman"/>
          <w:szCs w:val="24"/>
        </w:rPr>
        <w:t>2012.gada</w:t>
      </w:r>
      <w:proofErr w:type="gramEnd"/>
      <w:r w:rsidR="00F92FB2" w:rsidRPr="00E077EE">
        <w:rPr>
          <w:rFonts w:cs="Times New Roman"/>
          <w:szCs w:val="24"/>
        </w:rPr>
        <w:t xml:space="preserve"> 27.jūnija lēmuma Nr. 22.4.8/5/529</w:t>
      </w:r>
      <w:r w:rsidRPr="00E077EE">
        <w:rPr>
          <w:rFonts w:cs="Times New Roman"/>
          <w:szCs w:val="24"/>
        </w:rPr>
        <w:t xml:space="preserve"> atcelšanu, sakarā ar</w:t>
      </w:r>
      <w:r w:rsidR="005E4A30">
        <w:rPr>
          <w:rFonts w:cs="Times New Roman"/>
          <w:szCs w:val="24"/>
        </w:rPr>
        <w:t xml:space="preserve"> SIA „Peltes īpašumi”</w:t>
      </w:r>
      <w:r w:rsidRPr="00E077EE">
        <w:rPr>
          <w:rFonts w:cs="Times New Roman"/>
          <w:szCs w:val="24"/>
        </w:rPr>
        <w:t xml:space="preserve"> </w:t>
      </w:r>
      <w:r w:rsidR="003103E4">
        <w:rPr>
          <w:rFonts w:cs="Times New Roman"/>
          <w:szCs w:val="24"/>
        </w:rPr>
        <w:t xml:space="preserve">un </w:t>
      </w:r>
      <w:r w:rsidR="005E4A30" w:rsidRPr="00E077EE">
        <w:rPr>
          <w:rFonts w:cs="Times New Roman"/>
          <w:szCs w:val="24"/>
        </w:rPr>
        <w:t>Valsts ieņēmumu dienesta</w:t>
      </w:r>
      <w:r w:rsidR="005E4A30">
        <w:rPr>
          <w:rFonts w:cs="Times New Roman"/>
          <w:szCs w:val="24"/>
        </w:rPr>
        <w:t xml:space="preserve"> </w:t>
      </w:r>
      <w:r w:rsidR="00703DEB" w:rsidRPr="00E077EE">
        <w:rPr>
          <w:rFonts w:cs="Times New Roman"/>
          <w:szCs w:val="24"/>
        </w:rPr>
        <w:t>kasācijas sūdzīb</w:t>
      </w:r>
      <w:r w:rsidR="003103E4">
        <w:rPr>
          <w:rFonts w:cs="Times New Roman"/>
          <w:szCs w:val="24"/>
        </w:rPr>
        <w:t>ām</w:t>
      </w:r>
      <w:r w:rsidR="00703DEB" w:rsidRPr="00E077EE">
        <w:rPr>
          <w:rFonts w:cs="Times New Roman"/>
          <w:szCs w:val="24"/>
        </w:rPr>
        <w:t xml:space="preserve"> par Administr</w:t>
      </w:r>
      <w:r w:rsidR="00E70BE1" w:rsidRPr="00E077EE">
        <w:rPr>
          <w:rFonts w:cs="Times New Roman"/>
          <w:szCs w:val="24"/>
        </w:rPr>
        <w:t>atīvās apgabaltiesas 201</w:t>
      </w:r>
      <w:r w:rsidR="004F2E3D" w:rsidRPr="00E077EE">
        <w:rPr>
          <w:rFonts w:cs="Times New Roman"/>
          <w:szCs w:val="24"/>
        </w:rPr>
        <w:t>6</w:t>
      </w:r>
      <w:r w:rsidR="009172FC" w:rsidRPr="00E077EE">
        <w:rPr>
          <w:rFonts w:cs="Times New Roman"/>
          <w:szCs w:val="24"/>
        </w:rPr>
        <w:t>.gada 1</w:t>
      </w:r>
      <w:r w:rsidR="00F92FB2" w:rsidRPr="00E077EE">
        <w:rPr>
          <w:rFonts w:cs="Times New Roman"/>
          <w:szCs w:val="24"/>
        </w:rPr>
        <w:t>2</w:t>
      </w:r>
      <w:r w:rsidR="009172FC" w:rsidRPr="00E077EE">
        <w:rPr>
          <w:rFonts w:cs="Times New Roman"/>
          <w:szCs w:val="24"/>
        </w:rPr>
        <w:t>.februāra</w:t>
      </w:r>
      <w:r w:rsidR="00703DEB" w:rsidRPr="00E077EE">
        <w:rPr>
          <w:rFonts w:cs="Times New Roman"/>
          <w:szCs w:val="24"/>
        </w:rPr>
        <w:t xml:space="preserve"> spriedumu</w:t>
      </w:r>
      <w:r w:rsidRPr="00E077EE">
        <w:rPr>
          <w:rFonts w:cs="Times New Roman"/>
          <w:szCs w:val="24"/>
        </w:rPr>
        <w:t>.</w:t>
      </w:r>
      <w:r w:rsidR="00703DEB" w:rsidRPr="00E077EE">
        <w:rPr>
          <w:rFonts w:cs="Times New Roman"/>
          <w:szCs w:val="24"/>
        </w:rPr>
        <w:t xml:space="preserve"> </w:t>
      </w:r>
    </w:p>
    <w:p w14:paraId="7C7A8A78" w14:textId="77777777" w:rsidR="00703DEB" w:rsidRPr="00E077EE" w:rsidRDefault="00703DEB" w:rsidP="00703DEB">
      <w:pPr>
        <w:spacing w:after="0" w:line="276" w:lineRule="auto"/>
        <w:jc w:val="both"/>
        <w:rPr>
          <w:rFonts w:cs="Times New Roman"/>
          <w:sz w:val="18"/>
          <w:szCs w:val="24"/>
        </w:rPr>
      </w:pPr>
    </w:p>
    <w:p w14:paraId="041F1BDA" w14:textId="77777777" w:rsidR="00703DEB" w:rsidRPr="00E077EE" w:rsidRDefault="00703DEB" w:rsidP="00703DEB">
      <w:pPr>
        <w:spacing w:after="0" w:line="276" w:lineRule="auto"/>
        <w:jc w:val="center"/>
        <w:rPr>
          <w:rFonts w:cs="Times New Roman"/>
          <w:b/>
          <w:szCs w:val="24"/>
        </w:rPr>
      </w:pPr>
      <w:r w:rsidRPr="00E077EE">
        <w:rPr>
          <w:rFonts w:cs="Times New Roman"/>
          <w:b/>
          <w:szCs w:val="24"/>
        </w:rPr>
        <w:t>Aprakstošā daļa</w:t>
      </w:r>
    </w:p>
    <w:p w14:paraId="387C3038" w14:textId="77777777" w:rsidR="00703DEB" w:rsidRPr="00E077EE" w:rsidRDefault="00703DEB" w:rsidP="00703DEB">
      <w:pPr>
        <w:pStyle w:val="NoSpacing"/>
        <w:spacing w:line="276" w:lineRule="auto"/>
        <w:jc w:val="both"/>
        <w:rPr>
          <w:rFonts w:cs="Times New Roman"/>
          <w:b/>
          <w:sz w:val="18"/>
          <w:szCs w:val="24"/>
        </w:rPr>
      </w:pPr>
    </w:p>
    <w:p w14:paraId="186C9D08" w14:textId="5F6E1241" w:rsidR="007764E5" w:rsidRDefault="0064519E" w:rsidP="007764E5">
      <w:pPr>
        <w:autoSpaceDE w:val="0"/>
        <w:autoSpaceDN w:val="0"/>
        <w:adjustRightInd w:val="0"/>
        <w:spacing w:after="0" w:line="276" w:lineRule="auto"/>
        <w:ind w:firstLine="709"/>
        <w:jc w:val="both"/>
        <w:rPr>
          <w:rFonts w:cs="Times New Roman"/>
          <w:szCs w:val="24"/>
        </w:rPr>
      </w:pPr>
      <w:r w:rsidRPr="00E077EE">
        <w:rPr>
          <w:rFonts w:cs="Times New Roman"/>
          <w:szCs w:val="24"/>
          <w:lang w:eastAsia="lv-LV"/>
        </w:rPr>
        <w:t xml:space="preserve">[1] </w:t>
      </w:r>
      <w:r w:rsidRPr="00E077EE">
        <w:rPr>
          <w:rFonts w:cs="Times New Roman"/>
          <w:szCs w:val="24"/>
        </w:rPr>
        <w:t>Valsts ieņēmumu dienests</w:t>
      </w:r>
      <w:r w:rsidR="00A5747A" w:rsidRPr="00E077EE">
        <w:rPr>
          <w:rFonts w:cs="Times New Roman"/>
          <w:szCs w:val="24"/>
        </w:rPr>
        <w:t xml:space="preserve">, veicot </w:t>
      </w:r>
      <w:r w:rsidR="009172FC" w:rsidRPr="00E077EE">
        <w:rPr>
          <w:rFonts w:cs="Times New Roman"/>
          <w:szCs w:val="24"/>
        </w:rPr>
        <w:t>pievienotās vērtības nodokļa</w:t>
      </w:r>
      <w:r w:rsidR="00A5747A" w:rsidRPr="00E077EE">
        <w:rPr>
          <w:rFonts w:cs="Times New Roman"/>
          <w:szCs w:val="24"/>
        </w:rPr>
        <w:t xml:space="preserve"> auditu,</w:t>
      </w:r>
      <w:r w:rsidRPr="00E077EE">
        <w:rPr>
          <w:rFonts w:cs="Times New Roman"/>
          <w:szCs w:val="24"/>
        </w:rPr>
        <w:t xml:space="preserve"> neatzina pieteicējas SIA „</w:t>
      </w:r>
      <w:r w:rsidR="00864B30" w:rsidRPr="00E077EE">
        <w:rPr>
          <w:rFonts w:cs="Times New Roman"/>
          <w:szCs w:val="24"/>
        </w:rPr>
        <w:t>Peltes īpašumi</w:t>
      </w:r>
      <w:r w:rsidRPr="00E077EE">
        <w:rPr>
          <w:rFonts w:cs="Times New Roman"/>
          <w:szCs w:val="24"/>
        </w:rPr>
        <w:t xml:space="preserve">” tiesības atskaitīt priekšnodokli par </w:t>
      </w:r>
      <w:r w:rsidR="003A619E" w:rsidRPr="00E077EE">
        <w:rPr>
          <w:rFonts w:cs="Times New Roman"/>
          <w:szCs w:val="24"/>
        </w:rPr>
        <w:t xml:space="preserve">konkrētiem </w:t>
      </w:r>
      <w:r w:rsidR="009172FC" w:rsidRPr="00E077EE">
        <w:rPr>
          <w:rFonts w:cs="Times New Roman"/>
          <w:szCs w:val="24"/>
        </w:rPr>
        <w:t>darījumiem</w:t>
      </w:r>
      <w:r w:rsidR="00B80327" w:rsidRPr="00E077EE">
        <w:rPr>
          <w:rFonts w:cs="Times New Roman"/>
          <w:szCs w:val="24"/>
        </w:rPr>
        <w:t>, jo apšaubīj</w:t>
      </w:r>
      <w:r w:rsidR="00E8487C">
        <w:rPr>
          <w:rFonts w:cs="Times New Roman"/>
          <w:szCs w:val="24"/>
        </w:rPr>
        <w:t>a</w:t>
      </w:r>
      <w:r w:rsidR="00B80327" w:rsidRPr="00E077EE">
        <w:rPr>
          <w:rFonts w:cs="Times New Roman"/>
          <w:szCs w:val="24"/>
        </w:rPr>
        <w:t xml:space="preserve">, ka šo darījumu </w:t>
      </w:r>
      <w:r w:rsidR="00B80327" w:rsidRPr="006C11C5">
        <w:rPr>
          <w:rFonts w:cs="Times New Roman"/>
          <w:szCs w:val="24"/>
        </w:rPr>
        <w:t>ietvaros sa</w:t>
      </w:r>
      <w:r w:rsidR="00AA2147" w:rsidRPr="006C11C5">
        <w:rPr>
          <w:rFonts w:cs="Times New Roman"/>
          <w:szCs w:val="24"/>
        </w:rPr>
        <w:t>ņemtās preces un</w:t>
      </w:r>
      <w:r w:rsidR="00B80327" w:rsidRPr="006C11C5">
        <w:rPr>
          <w:rFonts w:cs="Times New Roman"/>
          <w:szCs w:val="24"/>
        </w:rPr>
        <w:t xml:space="preserve"> pakalpojumi</w:t>
      </w:r>
      <w:r w:rsidR="00B80327" w:rsidRPr="00E077EE">
        <w:rPr>
          <w:rFonts w:cs="Times New Roman"/>
          <w:szCs w:val="24"/>
        </w:rPr>
        <w:t xml:space="preserve"> kādreiz tiks izmantoti ar nodokli apliekamo darījumu nodrošināšanai.</w:t>
      </w:r>
      <w:r w:rsidR="007764E5">
        <w:rPr>
          <w:rFonts w:cs="Times New Roman"/>
          <w:szCs w:val="24"/>
        </w:rPr>
        <w:t xml:space="preserve"> Proti,</w:t>
      </w:r>
      <w:r w:rsidR="00CA3302">
        <w:rPr>
          <w:rFonts w:cs="Times New Roman"/>
          <w:szCs w:val="24"/>
        </w:rPr>
        <w:t xml:space="preserve"> dienests </w:t>
      </w:r>
      <w:r w:rsidR="00925B4E">
        <w:rPr>
          <w:rFonts w:cs="Times New Roman"/>
          <w:szCs w:val="24"/>
        </w:rPr>
        <w:t>secinājis</w:t>
      </w:r>
      <w:r w:rsidR="00CA3302">
        <w:rPr>
          <w:rFonts w:cs="Times New Roman"/>
          <w:szCs w:val="24"/>
        </w:rPr>
        <w:t>, ka</w:t>
      </w:r>
      <w:r w:rsidR="007764E5">
        <w:rPr>
          <w:rFonts w:cs="Times New Roman"/>
          <w:szCs w:val="24"/>
        </w:rPr>
        <w:t xml:space="preserve"> </w:t>
      </w:r>
      <w:r w:rsidR="007764E5">
        <w:rPr>
          <w:rFonts w:ascii="TimesNewRomanPSMT" w:hAnsi="TimesNewRomanPSMT" w:cs="TimesNewRomanPSMT"/>
          <w:szCs w:val="24"/>
        </w:rPr>
        <w:t>pieteicēja ir</w:t>
      </w:r>
      <w:proofErr w:type="gramStart"/>
      <w:r w:rsidR="007764E5">
        <w:rPr>
          <w:rFonts w:ascii="TimesNewRomanPSMT" w:hAnsi="TimesNewRomanPSMT" w:cs="TimesNewRomanPSMT"/>
          <w:szCs w:val="24"/>
        </w:rPr>
        <w:t xml:space="preserve"> radījusi tikai iespaidu par nodomu nāk</w:t>
      </w:r>
      <w:r w:rsidR="00CA3302">
        <w:rPr>
          <w:rFonts w:ascii="TimesNewRomanPSMT" w:hAnsi="TimesNewRomanPSMT" w:cs="TimesNewRomanPSMT"/>
          <w:szCs w:val="24"/>
        </w:rPr>
        <w:t>otnē</w:t>
      </w:r>
      <w:proofErr w:type="gramEnd"/>
      <w:r w:rsidR="00CA3302">
        <w:rPr>
          <w:rFonts w:ascii="TimesNewRomanPSMT" w:hAnsi="TimesNewRomanPSMT" w:cs="TimesNewRomanPSMT"/>
          <w:szCs w:val="24"/>
        </w:rPr>
        <w:t xml:space="preserve"> veikt apliekamus darījumus –</w:t>
      </w:r>
      <w:r w:rsidR="007764E5">
        <w:rPr>
          <w:rFonts w:ascii="TimesNewRomanPSMT" w:hAnsi="TimesNewRomanPSMT" w:cs="TimesNewRomanPSMT"/>
          <w:szCs w:val="24"/>
        </w:rPr>
        <w:t xml:space="preserve"> pieteicējas nodoms veikt zemesgabalu apbūvi ir tikai formāls un abstrakts, jo </w:t>
      </w:r>
      <w:r w:rsidR="00CA3302">
        <w:rPr>
          <w:rFonts w:ascii="TimesNewRomanPSMT" w:hAnsi="TimesNewRomanPSMT" w:cs="TimesNewRomanPSMT"/>
          <w:szCs w:val="24"/>
        </w:rPr>
        <w:t>pieteicēja</w:t>
      </w:r>
      <w:r w:rsidR="007764E5">
        <w:rPr>
          <w:rFonts w:ascii="TimesNewRomanPSMT" w:hAnsi="TimesNewRomanPSMT" w:cs="TimesNewRomanPSMT"/>
          <w:szCs w:val="24"/>
        </w:rPr>
        <w:t xml:space="preserve"> faktiski nav veikusi nekādas darbības sava nodoma īstenošanai. </w:t>
      </w:r>
    </w:p>
    <w:p w14:paraId="150663AA" w14:textId="12C208DF" w:rsidR="009172FC" w:rsidRPr="00E077EE" w:rsidRDefault="00A5747A" w:rsidP="00A5747A">
      <w:pPr>
        <w:autoSpaceDE w:val="0"/>
        <w:autoSpaceDN w:val="0"/>
        <w:adjustRightInd w:val="0"/>
        <w:spacing w:after="0" w:line="276" w:lineRule="auto"/>
        <w:ind w:firstLine="709"/>
        <w:jc w:val="both"/>
        <w:rPr>
          <w:rFonts w:cs="Times New Roman"/>
          <w:szCs w:val="24"/>
        </w:rPr>
      </w:pPr>
      <w:r w:rsidRPr="00E077EE">
        <w:rPr>
          <w:rFonts w:cs="Times New Roman"/>
          <w:szCs w:val="24"/>
        </w:rPr>
        <w:t xml:space="preserve">Administratīvais process iestādē noslēdzies </w:t>
      </w:r>
      <w:r w:rsidR="00864B30" w:rsidRPr="00E077EE">
        <w:rPr>
          <w:rFonts w:cs="Times New Roman"/>
          <w:szCs w:val="24"/>
        </w:rPr>
        <w:t xml:space="preserve">ar Valsts ieņēmumu dienesta </w:t>
      </w:r>
      <w:proofErr w:type="gramStart"/>
      <w:r w:rsidR="00864B30" w:rsidRPr="00E077EE">
        <w:rPr>
          <w:rFonts w:cs="Times New Roman"/>
          <w:szCs w:val="24"/>
        </w:rPr>
        <w:t>2012.gada</w:t>
      </w:r>
      <w:proofErr w:type="gramEnd"/>
      <w:r w:rsidR="00864B30" w:rsidRPr="00E077EE">
        <w:rPr>
          <w:rFonts w:cs="Times New Roman"/>
          <w:szCs w:val="24"/>
        </w:rPr>
        <w:t xml:space="preserve"> 27</w:t>
      </w:r>
      <w:r w:rsidR="009172FC" w:rsidRPr="00E077EE">
        <w:rPr>
          <w:rFonts w:cs="Times New Roman"/>
          <w:szCs w:val="24"/>
        </w:rPr>
        <w:t>.jūn</w:t>
      </w:r>
      <w:r w:rsidRPr="00E077EE">
        <w:rPr>
          <w:rFonts w:cs="Times New Roman"/>
          <w:szCs w:val="24"/>
        </w:rPr>
        <w:t>ija lēmumu Nr. 22.</w:t>
      </w:r>
      <w:r w:rsidR="00864B30" w:rsidRPr="00E077EE">
        <w:rPr>
          <w:rFonts w:cs="Times New Roman"/>
          <w:szCs w:val="24"/>
        </w:rPr>
        <w:t>4.8/5</w:t>
      </w:r>
      <w:r w:rsidR="009172FC" w:rsidRPr="00E077EE">
        <w:rPr>
          <w:rFonts w:cs="Times New Roman"/>
          <w:szCs w:val="24"/>
        </w:rPr>
        <w:t>/</w:t>
      </w:r>
      <w:r w:rsidR="00864B30" w:rsidRPr="00E077EE">
        <w:rPr>
          <w:rFonts w:cs="Times New Roman"/>
          <w:szCs w:val="24"/>
        </w:rPr>
        <w:t>529</w:t>
      </w:r>
      <w:r w:rsidR="00972B7D" w:rsidRPr="00E077EE">
        <w:rPr>
          <w:rFonts w:cs="Times New Roman"/>
          <w:szCs w:val="24"/>
        </w:rPr>
        <w:t xml:space="preserve"> kā administratīvo aktu</w:t>
      </w:r>
      <w:r w:rsidR="00282AD5">
        <w:rPr>
          <w:rFonts w:cs="Times New Roman"/>
          <w:szCs w:val="24"/>
        </w:rPr>
        <w:t xml:space="preserve"> tā galīgajā redakcijā. Ar minēto lēmumu</w:t>
      </w:r>
      <w:r w:rsidR="00F361D8" w:rsidRPr="00E077EE">
        <w:rPr>
          <w:rFonts w:cs="Times New Roman"/>
          <w:szCs w:val="24"/>
        </w:rPr>
        <w:t xml:space="preserve"> </w:t>
      </w:r>
      <w:r w:rsidRPr="00E077EE">
        <w:rPr>
          <w:rFonts w:cs="Times New Roman"/>
          <w:szCs w:val="24"/>
        </w:rPr>
        <w:t xml:space="preserve">pieteicējai samazināts </w:t>
      </w:r>
      <w:r w:rsidR="009172FC" w:rsidRPr="00E077EE">
        <w:rPr>
          <w:rFonts w:cs="Times New Roman"/>
          <w:szCs w:val="24"/>
        </w:rPr>
        <w:t>no budžeta atmaksājamais pievienotās vērtības nodoklis un</w:t>
      </w:r>
      <w:r w:rsidR="00972B7D" w:rsidRPr="00E077EE">
        <w:rPr>
          <w:rFonts w:cs="Times New Roman"/>
          <w:szCs w:val="24"/>
        </w:rPr>
        <w:t xml:space="preserve"> saistī</w:t>
      </w:r>
      <w:r w:rsidR="00282AD5">
        <w:rPr>
          <w:rFonts w:cs="Times New Roman"/>
          <w:szCs w:val="24"/>
        </w:rPr>
        <w:t>b</w:t>
      </w:r>
      <w:r w:rsidR="00972B7D" w:rsidRPr="00E077EE">
        <w:rPr>
          <w:rFonts w:cs="Times New Roman"/>
          <w:szCs w:val="24"/>
        </w:rPr>
        <w:t>ā ar to aprēķināta</w:t>
      </w:r>
      <w:r w:rsidR="009172FC" w:rsidRPr="00E077EE">
        <w:rPr>
          <w:rFonts w:cs="Times New Roman"/>
          <w:szCs w:val="24"/>
        </w:rPr>
        <w:t xml:space="preserve"> soda nauda</w:t>
      </w:r>
      <w:r w:rsidR="00864B30" w:rsidRPr="00E077EE">
        <w:rPr>
          <w:rFonts w:cs="Times New Roman"/>
          <w:szCs w:val="24"/>
        </w:rPr>
        <w:t>.</w:t>
      </w:r>
    </w:p>
    <w:p w14:paraId="39E7D605" w14:textId="77777777" w:rsidR="009172FC" w:rsidRPr="00E077EE" w:rsidRDefault="009172FC" w:rsidP="00A5747A">
      <w:pPr>
        <w:autoSpaceDE w:val="0"/>
        <w:autoSpaceDN w:val="0"/>
        <w:adjustRightInd w:val="0"/>
        <w:spacing w:after="0" w:line="276" w:lineRule="auto"/>
        <w:ind w:firstLine="709"/>
        <w:jc w:val="both"/>
        <w:rPr>
          <w:rFonts w:cs="Times New Roman"/>
          <w:szCs w:val="24"/>
        </w:rPr>
      </w:pPr>
    </w:p>
    <w:p w14:paraId="34DB2F87" w14:textId="0C0495A1" w:rsidR="0064519E" w:rsidRPr="00E077EE" w:rsidRDefault="0064519E" w:rsidP="0064519E">
      <w:pPr>
        <w:autoSpaceDE w:val="0"/>
        <w:autoSpaceDN w:val="0"/>
        <w:adjustRightInd w:val="0"/>
        <w:spacing w:after="0" w:line="276" w:lineRule="auto"/>
        <w:ind w:firstLine="709"/>
        <w:jc w:val="both"/>
        <w:rPr>
          <w:rFonts w:cs="Times New Roman"/>
          <w:szCs w:val="24"/>
        </w:rPr>
      </w:pPr>
      <w:r w:rsidRPr="00E077EE">
        <w:rPr>
          <w:rFonts w:cs="Times New Roman"/>
          <w:szCs w:val="24"/>
        </w:rPr>
        <w:t xml:space="preserve">[2] </w:t>
      </w:r>
      <w:r w:rsidR="00881BE5" w:rsidRPr="007274C5">
        <w:rPr>
          <w:rFonts w:cs="Times New Roman"/>
          <w:szCs w:val="24"/>
        </w:rPr>
        <w:t xml:space="preserve">Pieteicēja iesniedza pieteikumu </w:t>
      </w:r>
      <w:r w:rsidR="00881BE5">
        <w:rPr>
          <w:rFonts w:cs="Times New Roman"/>
          <w:szCs w:val="24"/>
        </w:rPr>
        <w:t xml:space="preserve">Administratīvajā rajona </w:t>
      </w:r>
      <w:r w:rsidR="00881BE5" w:rsidRPr="007274C5">
        <w:rPr>
          <w:rFonts w:cs="Times New Roman"/>
          <w:szCs w:val="24"/>
        </w:rPr>
        <w:t xml:space="preserve">tiesā, lūdzot atcelt </w:t>
      </w:r>
      <w:r w:rsidR="00881BE5">
        <w:rPr>
          <w:rFonts w:cs="Times New Roman"/>
          <w:szCs w:val="24"/>
        </w:rPr>
        <w:t xml:space="preserve">minēto Valsts ieņēmumu </w:t>
      </w:r>
      <w:r w:rsidR="00881BE5" w:rsidRPr="007274C5">
        <w:rPr>
          <w:rFonts w:cs="Times New Roman"/>
          <w:szCs w:val="24"/>
        </w:rPr>
        <w:t>dienesta lēmumu</w:t>
      </w:r>
      <w:r w:rsidR="00881BE5">
        <w:rPr>
          <w:rFonts w:cs="Times New Roman"/>
          <w:szCs w:val="24"/>
        </w:rPr>
        <w:t>.</w:t>
      </w:r>
      <w:r w:rsidRPr="00E077EE">
        <w:rPr>
          <w:rFonts w:cs="Times New Roman"/>
          <w:szCs w:val="24"/>
        </w:rPr>
        <w:t xml:space="preserve"> Ar </w:t>
      </w:r>
      <w:r w:rsidR="00C8262A">
        <w:rPr>
          <w:rFonts w:cs="Times New Roman"/>
          <w:szCs w:val="24"/>
        </w:rPr>
        <w:t xml:space="preserve">Administratīvās </w:t>
      </w:r>
      <w:r w:rsidRPr="00E077EE">
        <w:rPr>
          <w:rFonts w:cs="Times New Roman"/>
          <w:szCs w:val="24"/>
        </w:rPr>
        <w:t xml:space="preserve">rajona tiesas </w:t>
      </w:r>
      <w:proofErr w:type="gramStart"/>
      <w:r w:rsidRPr="00E077EE">
        <w:rPr>
          <w:rFonts w:cs="Times New Roman"/>
          <w:szCs w:val="24"/>
        </w:rPr>
        <w:t>201</w:t>
      </w:r>
      <w:r w:rsidR="009E524B" w:rsidRPr="00E077EE">
        <w:rPr>
          <w:rFonts w:cs="Times New Roman"/>
          <w:szCs w:val="24"/>
        </w:rPr>
        <w:t>4.gada</w:t>
      </w:r>
      <w:proofErr w:type="gramEnd"/>
      <w:r w:rsidR="009E524B" w:rsidRPr="00E077EE">
        <w:rPr>
          <w:rFonts w:cs="Times New Roman"/>
          <w:szCs w:val="24"/>
        </w:rPr>
        <w:t xml:space="preserve"> 2</w:t>
      </w:r>
      <w:r w:rsidR="00B80327" w:rsidRPr="00E077EE">
        <w:rPr>
          <w:rFonts w:cs="Times New Roman"/>
          <w:szCs w:val="24"/>
        </w:rPr>
        <w:t>3</w:t>
      </w:r>
      <w:r w:rsidRPr="00E077EE">
        <w:rPr>
          <w:rFonts w:cs="Times New Roman"/>
          <w:szCs w:val="24"/>
        </w:rPr>
        <w:t>.</w:t>
      </w:r>
      <w:r w:rsidR="00B80327" w:rsidRPr="00E077EE">
        <w:rPr>
          <w:rFonts w:cs="Times New Roman"/>
          <w:szCs w:val="24"/>
        </w:rPr>
        <w:t>maija</w:t>
      </w:r>
      <w:r w:rsidRPr="00E077EE">
        <w:rPr>
          <w:rFonts w:cs="Times New Roman"/>
          <w:szCs w:val="24"/>
        </w:rPr>
        <w:t xml:space="preserve"> spriedumu pieteikums </w:t>
      </w:r>
      <w:r w:rsidR="009E524B" w:rsidRPr="00E077EE">
        <w:rPr>
          <w:rFonts w:cs="Times New Roman"/>
          <w:szCs w:val="24"/>
        </w:rPr>
        <w:t>apmierināts</w:t>
      </w:r>
      <w:r w:rsidR="00881BE5" w:rsidRPr="00881BE5">
        <w:rPr>
          <w:rFonts w:cs="Times New Roman"/>
          <w:szCs w:val="24"/>
        </w:rPr>
        <w:t xml:space="preserve"> </w:t>
      </w:r>
      <w:r w:rsidR="00881BE5" w:rsidRPr="00E077EE">
        <w:rPr>
          <w:rFonts w:cs="Times New Roman"/>
          <w:szCs w:val="24"/>
        </w:rPr>
        <w:t>daļēji</w:t>
      </w:r>
      <w:r w:rsidR="009E524B" w:rsidRPr="00E077EE">
        <w:rPr>
          <w:rFonts w:cs="Times New Roman"/>
          <w:szCs w:val="24"/>
        </w:rPr>
        <w:t>.</w:t>
      </w:r>
      <w:r w:rsidR="00881BE5">
        <w:rPr>
          <w:rFonts w:cs="Times New Roman"/>
          <w:szCs w:val="24"/>
        </w:rPr>
        <w:t xml:space="preserve">  </w:t>
      </w:r>
    </w:p>
    <w:p w14:paraId="65E59D5D" w14:textId="77777777" w:rsidR="0064519E" w:rsidRPr="00E077EE" w:rsidRDefault="0064519E" w:rsidP="007E2244">
      <w:pPr>
        <w:autoSpaceDE w:val="0"/>
        <w:autoSpaceDN w:val="0"/>
        <w:adjustRightInd w:val="0"/>
        <w:spacing w:after="0" w:line="276" w:lineRule="auto"/>
        <w:ind w:firstLine="709"/>
        <w:jc w:val="both"/>
        <w:rPr>
          <w:rFonts w:cs="Times New Roman"/>
          <w:sz w:val="22"/>
          <w:szCs w:val="24"/>
        </w:rPr>
      </w:pPr>
    </w:p>
    <w:p w14:paraId="33077EC7" w14:textId="62212DE9" w:rsidR="004E2B2F" w:rsidRPr="00E077EE" w:rsidRDefault="00703DEB" w:rsidP="004E2B2F">
      <w:pPr>
        <w:autoSpaceDE w:val="0"/>
        <w:autoSpaceDN w:val="0"/>
        <w:adjustRightInd w:val="0"/>
        <w:spacing w:after="0" w:line="276" w:lineRule="auto"/>
        <w:ind w:firstLine="709"/>
        <w:jc w:val="both"/>
        <w:rPr>
          <w:rFonts w:cs="Times New Roman"/>
          <w:szCs w:val="24"/>
        </w:rPr>
      </w:pPr>
      <w:r w:rsidRPr="00E077EE">
        <w:rPr>
          <w:rFonts w:cs="Times New Roman"/>
          <w:szCs w:val="24"/>
        </w:rPr>
        <w:t>[</w:t>
      </w:r>
      <w:r w:rsidR="00F361D8" w:rsidRPr="00E077EE">
        <w:rPr>
          <w:rFonts w:cs="Times New Roman"/>
          <w:szCs w:val="24"/>
        </w:rPr>
        <w:t>3</w:t>
      </w:r>
      <w:r w:rsidRPr="00E077EE">
        <w:rPr>
          <w:rFonts w:cs="Times New Roman"/>
          <w:szCs w:val="24"/>
        </w:rPr>
        <w:t>] Izskatījusi lietu apelācijas kārtībā sakarā ar</w:t>
      </w:r>
      <w:r w:rsidR="005E4A30">
        <w:rPr>
          <w:rFonts w:cs="Times New Roman"/>
          <w:szCs w:val="24"/>
        </w:rPr>
        <w:t xml:space="preserve"> pieteicējas</w:t>
      </w:r>
      <w:r w:rsidRPr="00E077EE">
        <w:rPr>
          <w:rFonts w:cs="Times New Roman"/>
          <w:szCs w:val="24"/>
        </w:rPr>
        <w:t xml:space="preserve"> </w:t>
      </w:r>
      <w:r w:rsidR="00E077EE">
        <w:rPr>
          <w:rFonts w:cs="Times New Roman"/>
          <w:szCs w:val="24"/>
        </w:rPr>
        <w:t xml:space="preserve">un </w:t>
      </w:r>
      <w:r w:rsidR="005E4A30" w:rsidRPr="00E077EE">
        <w:rPr>
          <w:rFonts w:cs="Times New Roman"/>
          <w:szCs w:val="24"/>
        </w:rPr>
        <w:t xml:space="preserve">Valsts ieņēmumu dienesta </w:t>
      </w:r>
      <w:r w:rsidRPr="00E077EE">
        <w:rPr>
          <w:rFonts w:cs="Times New Roman"/>
          <w:szCs w:val="24"/>
        </w:rPr>
        <w:t>apelācijas sūdzīb</w:t>
      </w:r>
      <w:r w:rsidR="00E077EE">
        <w:rPr>
          <w:rFonts w:cs="Times New Roman"/>
          <w:szCs w:val="24"/>
        </w:rPr>
        <w:t>ām</w:t>
      </w:r>
      <w:r w:rsidRPr="00E077EE">
        <w:rPr>
          <w:rFonts w:cs="Times New Roman"/>
          <w:szCs w:val="24"/>
        </w:rPr>
        <w:t>, Administra</w:t>
      </w:r>
      <w:r w:rsidR="004E2B2F" w:rsidRPr="00E077EE">
        <w:rPr>
          <w:rFonts w:cs="Times New Roman"/>
          <w:szCs w:val="24"/>
        </w:rPr>
        <w:t xml:space="preserve">tīvā apgabaltiesa ar </w:t>
      </w:r>
      <w:proofErr w:type="gramStart"/>
      <w:r w:rsidR="004E2B2F" w:rsidRPr="00E077EE">
        <w:rPr>
          <w:rFonts w:cs="Times New Roman"/>
          <w:szCs w:val="24"/>
        </w:rPr>
        <w:t>201</w:t>
      </w:r>
      <w:r w:rsidR="00B80327" w:rsidRPr="00E077EE">
        <w:rPr>
          <w:rFonts w:cs="Times New Roman"/>
          <w:szCs w:val="24"/>
        </w:rPr>
        <w:t>6.gada</w:t>
      </w:r>
      <w:proofErr w:type="gramEnd"/>
      <w:r w:rsidR="00B80327" w:rsidRPr="00E077EE">
        <w:rPr>
          <w:rFonts w:cs="Times New Roman"/>
          <w:szCs w:val="24"/>
        </w:rPr>
        <w:t xml:space="preserve"> 12</w:t>
      </w:r>
      <w:r w:rsidRPr="00E077EE">
        <w:rPr>
          <w:rFonts w:cs="Times New Roman"/>
          <w:szCs w:val="24"/>
        </w:rPr>
        <w:t>.</w:t>
      </w:r>
      <w:r w:rsidR="009E524B" w:rsidRPr="00E077EE">
        <w:rPr>
          <w:rFonts w:cs="Times New Roman"/>
          <w:szCs w:val="24"/>
        </w:rPr>
        <w:t>februāra</w:t>
      </w:r>
      <w:r w:rsidRPr="00E077EE">
        <w:rPr>
          <w:rFonts w:cs="Times New Roman"/>
          <w:szCs w:val="24"/>
        </w:rPr>
        <w:t xml:space="preserve"> spriedumu </w:t>
      </w:r>
      <w:r w:rsidR="00972B7D" w:rsidRPr="00E077EE">
        <w:rPr>
          <w:rFonts w:cs="Times New Roman"/>
          <w:szCs w:val="24"/>
        </w:rPr>
        <w:t xml:space="preserve">pieteikumu </w:t>
      </w:r>
      <w:r w:rsidR="009E524B" w:rsidRPr="00E077EE">
        <w:rPr>
          <w:rFonts w:cs="Times New Roman"/>
          <w:szCs w:val="24"/>
        </w:rPr>
        <w:t>apmierināja</w:t>
      </w:r>
      <w:r w:rsidR="00925B4E" w:rsidRPr="00925B4E">
        <w:rPr>
          <w:rFonts w:cs="Times New Roman"/>
          <w:szCs w:val="24"/>
        </w:rPr>
        <w:t xml:space="preserve"> </w:t>
      </w:r>
      <w:r w:rsidR="00925B4E">
        <w:rPr>
          <w:rFonts w:cs="Times New Roman"/>
          <w:szCs w:val="24"/>
        </w:rPr>
        <w:t>daļēji</w:t>
      </w:r>
      <w:r w:rsidR="004E2B2F" w:rsidRPr="00E077EE">
        <w:rPr>
          <w:rFonts w:cs="Times New Roman"/>
          <w:szCs w:val="24"/>
        </w:rPr>
        <w:t xml:space="preserve">. </w:t>
      </w:r>
      <w:r w:rsidRPr="00E077EE">
        <w:rPr>
          <w:rFonts w:cs="Times New Roman"/>
          <w:szCs w:val="24"/>
        </w:rPr>
        <w:t>Tiesas spriedums</w:t>
      </w:r>
      <w:r w:rsidR="00D803CD" w:rsidRPr="00E077EE">
        <w:rPr>
          <w:rFonts w:cs="Times New Roman"/>
          <w:szCs w:val="24"/>
        </w:rPr>
        <w:t xml:space="preserve">, tostarp </w:t>
      </w:r>
      <w:r w:rsidR="00A84632" w:rsidRPr="00E077EE">
        <w:rPr>
          <w:rFonts w:cs="Times New Roman"/>
          <w:szCs w:val="24"/>
        </w:rPr>
        <w:t>pievieno</w:t>
      </w:r>
      <w:r w:rsidR="00C8262A">
        <w:rPr>
          <w:rFonts w:cs="Times New Roman"/>
          <w:szCs w:val="24"/>
        </w:rPr>
        <w:t>jotie</w:t>
      </w:r>
      <w:r w:rsidR="00D803CD" w:rsidRPr="00E077EE">
        <w:rPr>
          <w:rFonts w:cs="Times New Roman"/>
          <w:szCs w:val="24"/>
        </w:rPr>
        <w:t xml:space="preserve">s </w:t>
      </w:r>
      <w:r w:rsidR="00A84632" w:rsidRPr="00E077EE">
        <w:rPr>
          <w:rFonts w:cs="Times New Roman"/>
          <w:szCs w:val="24"/>
        </w:rPr>
        <w:t>pirmās instances tiesas sprieduma m</w:t>
      </w:r>
      <w:r w:rsidR="00D803CD" w:rsidRPr="00E077EE">
        <w:rPr>
          <w:rFonts w:cs="Times New Roman"/>
          <w:szCs w:val="24"/>
        </w:rPr>
        <w:t>otivācijai,</w:t>
      </w:r>
      <w:r w:rsidRPr="00E077EE">
        <w:rPr>
          <w:rFonts w:cs="Times New Roman"/>
          <w:szCs w:val="24"/>
        </w:rPr>
        <w:t xml:space="preserve"> pamatots ar </w:t>
      </w:r>
      <w:r w:rsidR="00EC04DF" w:rsidRPr="00E077EE">
        <w:rPr>
          <w:rFonts w:cs="Times New Roman"/>
          <w:szCs w:val="24"/>
        </w:rPr>
        <w:t>turpmāk minēt</w:t>
      </w:r>
      <w:r w:rsidR="0018792E" w:rsidRPr="00E077EE">
        <w:rPr>
          <w:rFonts w:cs="Times New Roman"/>
          <w:szCs w:val="24"/>
        </w:rPr>
        <w:t>aj</w:t>
      </w:r>
      <w:r w:rsidR="00EC04DF" w:rsidRPr="00E077EE">
        <w:rPr>
          <w:rFonts w:cs="Times New Roman"/>
          <w:szCs w:val="24"/>
        </w:rPr>
        <w:t>iem</w:t>
      </w:r>
      <w:r w:rsidR="004E2B2F" w:rsidRPr="00E077EE">
        <w:rPr>
          <w:rFonts w:cs="Times New Roman"/>
          <w:szCs w:val="24"/>
        </w:rPr>
        <w:t xml:space="preserve"> argumentiem.</w:t>
      </w:r>
    </w:p>
    <w:p w14:paraId="14675711" w14:textId="4D384CDB" w:rsidR="005772CD" w:rsidRDefault="00F361D8" w:rsidP="00AA2147">
      <w:pPr>
        <w:autoSpaceDE w:val="0"/>
        <w:autoSpaceDN w:val="0"/>
        <w:adjustRightInd w:val="0"/>
        <w:spacing w:after="0" w:line="276" w:lineRule="auto"/>
        <w:ind w:firstLine="709"/>
        <w:jc w:val="both"/>
        <w:rPr>
          <w:rFonts w:cs="Times New Roman"/>
          <w:szCs w:val="24"/>
        </w:rPr>
      </w:pPr>
      <w:r w:rsidRPr="00E077EE">
        <w:rPr>
          <w:rFonts w:cs="Times New Roman"/>
          <w:szCs w:val="24"/>
        </w:rPr>
        <w:t>[3</w:t>
      </w:r>
      <w:r w:rsidR="004E2B2F" w:rsidRPr="00E077EE">
        <w:rPr>
          <w:rFonts w:cs="Times New Roman"/>
          <w:szCs w:val="24"/>
        </w:rPr>
        <w:t>.1]</w:t>
      </w:r>
      <w:r w:rsidR="003D7619" w:rsidRPr="00E077EE">
        <w:rPr>
          <w:rFonts w:cs="Times New Roman"/>
          <w:szCs w:val="24"/>
        </w:rPr>
        <w:t xml:space="preserve"> </w:t>
      </w:r>
      <w:r w:rsidR="005E4A30">
        <w:rPr>
          <w:rFonts w:cs="Times New Roman"/>
          <w:szCs w:val="24"/>
        </w:rPr>
        <w:t>P</w:t>
      </w:r>
      <w:r w:rsidR="004708CD" w:rsidRPr="00E077EE">
        <w:rPr>
          <w:rFonts w:cs="Times New Roman"/>
          <w:szCs w:val="24"/>
        </w:rPr>
        <w:t>ārmaksātās summas ir uzskatāmas</w:t>
      </w:r>
      <w:r w:rsidR="00F77BED" w:rsidRPr="00E077EE">
        <w:rPr>
          <w:rFonts w:cs="Times New Roman"/>
          <w:szCs w:val="24"/>
        </w:rPr>
        <w:t xml:space="preserve"> </w:t>
      </w:r>
      <w:r w:rsidR="004708CD" w:rsidRPr="00E077EE">
        <w:rPr>
          <w:rFonts w:cs="Times New Roman"/>
          <w:szCs w:val="24"/>
        </w:rPr>
        <w:t xml:space="preserve">par nodokļa maksātāja mantu, kas attiecīgi ir atdodama nodokļu maksātājam vai ieskaitāma </w:t>
      </w:r>
      <w:r w:rsidR="004708CD" w:rsidRPr="004708CD">
        <w:rPr>
          <w:rFonts w:cs="Times New Roman"/>
          <w:szCs w:val="24"/>
        </w:rPr>
        <w:t>viņa</w:t>
      </w:r>
      <w:r w:rsidR="00F77BED">
        <w:rPr>
          <w:rFonts w:cs="Times New Roman"/>
          <w:szCs w:val="24"/>
        </w:rPr>
        <w:t xml:space="preserve"> </w:t>
      </w:r>
      <w:r w:rsidR="004708CD" w:rsidRPr="004708CD">
        <w:rPr>
          <w:rFonts w:cs="Times New Roman"/>
          <w:szCs w:val="24"/>
        </w:rPr>
        <w:t xml:space="preserve">citu </w:t>
      </w:r>
      <w:r w:rsidR="00F77BED">
        <w:rPr>
          <w:rFonts w:cs="Times New Roman"/>
          <w:szCs w:val="24"/>
        </w:rPr>
        <w:t xml:space="preserve">nodokļu parādos, ja tādi ir. </w:t>
      </w:r>
      <w:r w:rsidR="004708CD" w:rsidRPr="004708CD">
        <w:rPr>
          <w:rFonts w:cs="Times New Roman"/>
          <w:szCs w:val="24"/>
        </w:rPr>
        <w:t>Taču šādas darbības ir veicamas, ja nav</w:t>
      </w:r>
      <w:r w:rsidR="00F77BED">
        <w:rPr>
          <w:rFonts w:cs="Times New Roman"/>
          <w:szCs w:val="24"/>
        </w:rPr>
        <w:t xml:space="preserve"> </w:t>
      </w:r>
      <w:r w:rsidR="004708CD" w:rsidRPr="004708CD">
        <w:rPr>
          <w:rFonts w:cs="Times New Roman"/>
          <w:szCs w:val="24"/>
        </w:rPr>
        <w:t xml:space="preserve">objektīvu šaubu par nodokļa apmēru un pārmaksas pamatotību. Līdz ar to </w:t>
      </w:r>
      <w:r w:rsidR="00F77BED">
        <w:rPr>
          <w:rFonts w:cs="Times New Roman"/>
          <w:szCs w:val="24"/>
        </w:rPr>
        <w:t>Valsts ieņēmumu dienestam,</w:t>
      </w:r>
      <w:r w:rsidR="004708CD" w:rsidRPr="004708CD">
        <w:rPr>
          <w:rFonts w:cs="Times New Roman"/>
          <w:szCs w:val="24"/>
        </w:rPr>
        <w:t xml:space="preserve"> pirms lemt par rīcību ar pārmaksāto nodokli, ir tiesības pārbaudīt pārmaksu</w:t>
      </w:r>
      <w:r w:rsidR="00F77BED">
        <w:rPr>
          <w:rFonts w:cs="Times New Roman"/>
          <w:szCs w:val="24"/>
        </w:rPr>
        <w:t xml:space="preserve"> pamatotību, t</w:t>
      </w:r>
      <w:r w:rsidR="004E6928">
        <w:rPr>
          <w:rFonts w:cs="Times New Roman"/>
          <w:szCs w:val="24"/>
        </w:rPr>
        <w:t xml:space="preserve">as </w:t>
      </w:r>
      <w:r w:rsidR="00F77BED">
        <w:rPr>
          <w:rFonts w:cs="Times New Roman"/>
          <w:szCs w:val="24"/>
        </w:rPr>
        <w:t>i</w:t>
      </w:r>
      <w:r w:rsidR="004E6928">
        <w:rPr>
          <w:rFonts w:cs="Times New Roman"/>
          <w:szCs w:val="24"/>
        </w:rPr>
        <w:t>r</w:t>
      </w:r>
      <w:r w:rsidR="00F77BED">
        <w:rPr>
          <w:rFonts w:cs="Times New Roman"/>
          <w:szCs w:val="24"/>
        </w:rPr>
        <w:t xml:space="preserve">, </w:t>
      </w:r>
      <w:r w:rsidR="004708CD" w:rsidRPr="004708CD">
        <w:rPr>
          <w:rFonts w:cs="Times New Roman"/>
          <w:szCs w:val="24"/>
        </w:rPr>
        <w:t xml:space="preserve">veikt auditu. </w:t>
      </w:r>
      <w:r w:rsidR="00AA2147" w:rsidRPr="00AA2147">
        <w:rPr>
          <w:rFonts w:cs="Times New Roman"/>
          <w:szCs w:val="24"/>
        </w:rPr>
        <w:t xml:space="preserve">Tā kā no pieteicējas paskaidrojumiem ir secināms, ka pieteicējai ir </w:t>
      </w:r>
      <w:r w:rsidR="00AA2147">
        <w:rPr>
          <w:rFonts w:cs="Times New Roman"/>
          <w:szCs w:val="24"/>
        </w:rPr>
        <w:t>pievienotās vērtības nodokļa</w:t>
      </w:r>
      <w:r w:rsidR="00AA2147" w:rsidRPr="00AA2147">
        <w:rPr>
          <w:rFonts w:cs="Times New Roman"/>
          <w:szCs w:val="24"/>
        </w:rPr>
        <w:t xml:space="preserve"> pārmaksa, kas ir</w:t>
      </w:r>
      <w:r w:rsidR="00AA2147">
        <w:rPr>
          <w:rFonts w:cs="Times New Roman"/>
          <w:szCs w:val="24"/>
        </w:rPr>
        <w:t xml:space="preserve"> </w:t>
      </w:r>
      <w:r w:rsidR="00AA2147" w:rsidRPr="00AA2147">
        <w:rPr>
          <w:rFonts w:cs="Times New Roman"/>
          <w:szCs w:val="24"/>
        </w:rPr>
        <w:t xml:space="preserve">pieteicējas manta, kas paredzēta kreditora interešu nodrošināšanai maksātnespējas procesā, </w:t>
      </w:r>
      <w:r w:rsidR="00AA2147">
        <w:rPr>
          <w:rFonts w:cs="Times New Roman"/>
          <w:szCs w:val="24"/>
        </w:rPr>
        <w:t xml:space="preserve">dienestam </w:t>
      </w:r>
      <w:r w:rsidR="00AA2147" w:rsidRPr="00AA2147">
        <w:rPr>
          <w:rFonts w:cs="Times New Roman"/>
          <w:szCs w:val="24"/>
        </w:rPr>
        <w:t>bija tiesības novērst šaubas par pārmaksas pamatotību un veikt nodokļu auditu. Pat</w:t>
      </w:r>
      <w:r w:rsidR="00062BD7">
        <w:rPr>
          <w:rFonts w:cs="Times New Roman"/>
          <w:szCs w:val="24"/>
        </w:rPr>
        <w:t xml:space="preserve"> </w:t>
      </w:r>
      <w:r w:rsidR="00AA2147" w:rsidRPr="00AA2147">
        <w:rPr>
          <w:rFonts w:cs="Times New Roman"/>
          <w:szCs w:val="24"/>
        </w:rPr>
        <w:t>ja nodokļu</w:t>
      </w:r>
      <w:r w:rsidR="00AA2147">
        <w:rPr>
          <w:rFonts w:cs="Times New Roman"/>
          <w:szCs w:val="24"/>
        </w:rPr>
        <w:t xml:space="preserve"> </w:t>
      </w:r>
      <w:r w:rsidR="00AA2147" w:rsidRPr="00AA2147">
        <w:rPr>
          <w:rFonts w:cs="Times New Roman"/>
          <w:szCs w:val="24"/>
        </w:rPr>
        <w:t xml:space="preserve">maksātājs ir pasludināts par maksātnespējīgu, nosakot nodokļu pārmaksas apmēru, </w:t>
      </w:r>
      <w:r w:rsidR="00F77BED">
        <w:rPr>
          <w:rFonts w:cs="Times New Roman"/>
          <w:szCs w:val="24"/>
        </w:rPr>
        <w:t>dienestam</w:t>
      </w:r>
      <w:r w:rsidR="00AA2147" w:rsidRPr="00AA2147">
        <w:rPr>
          <w:rFonts w:cs="Times New Roman"/>
          <w:szCs w:val="24"/>
        </w:rPr>
        <w:t xml:space="preserve"> ir</w:t>
      </w:r>
      <w:r w:rsidR="00AA2147">
        <w:rPr>
          <w:rFonts w:cs="Times New Roman"/>
          <w:szCs w:val="24"/>
        </w:rPr>
        <w:t xml:space="preserve"> </w:t>
      </w:r>
      <w:r w:rsidR="00AA2147" w:rsidRPr="00AA2147">
        <w:rPr>
          <w:rFonts w:cs="Times New Roman"/>
          <w:szCs w:val="24"/>
        </w:rPr>
        <w:t xml:space="preserve">pienākums ievērot likuma „Par nodokļiem un nodevām” </w:t>
      </w:r>
      <w:proofErr w:type="gramStart"/>
      <w:r w:rsidR="00AA2147" w:rsidRPr="00AA2147">
        <w:rPr>
          <w:rFonts w:cs="Times New Roman"/>
          <w:szCs w:val="24"/>
        </w:rPr>
        <w:t>28.panta</w:t>
      </w:r>
      <w:proofErr w:type="gramEnd"/>
      <w:r w:rsidR="00AA2147" w:rsidRPr="00AA2147">
        <w:rPr>
          <w:rFonts w:cs="Times New Roman"/>
          <w:szCs w:val="24"/>
        </w:rPr>
        <w:t xml:space="preserve"> otrajā daļā noteikto kārtību.</w:t>
      </w:r>
      <w:r w:rsidR="00F77BED">
        <w:rPr>
          <w:rFonts w:cs="Times New Roman"/>
          <w:szCs w:val="24"/>
        </w:rPr>
        <w:t xml:space="preserve"> </w:t>
      </w:r>
      <w:r w:rsidR="00AA2147" w:rsidRPr="00AA2147">
        <w:rPr>
          <w:rFonts w:cs="Times New Roman"/>
          <w:szCs w:val="24"/>
        </w:rPr>
        <w:t xml:space="preserve">Ņemot vērā minēto, </w:t>
      </w:r>
      <w:r w:rsidR="00F77BED">
        <w:rPr>
          <w:rFonts w:cs="Times New Roman"/>
          <w:szCs w:val="24"/>
        </w:rPr>
        <w:t xml:space="preserve">dienestam </w:t>
      </w:r>
      <w:r w:rsidR="00AA2147" w:rsidRPr="00AA2147">
        <w:rPr>
          <w:rFonts w:cs="Times New Roman"/>
          <w:szCs w:val="24"/>
        </w:rPr>
        <w:t>bija tiesības veikt nodokļu auditu pēc pieteicējas</w:t>
      </w:r>
      <w:r w:rsidR="00AA2147">
        <w:rPr>
          <w:rFonts w:cs="Times New Roman"/>
          <w:szCs w:val="24"/>
        </w:rPr>
        <w:t xml:space="preserve"> </w:t>
      </w:r>
      <w:r w:rsidR="00AA2147" w:rsidRPr="00AA2147">
        <w:rPr>
          <w:rFonts w:cs="Times New Roman"/>
          <w:szCs w:val="24"/>
        </w:rPr>
        <w:t xml:space="preserve">pasludināšanas par maksātnespējīgu un precizēt </w:t>
      </w:r>
      <w:r w:rsidR="00F77BED">
        <w:rPr>
          <w:rFonts w:cs="Times New Roman"/>
          <w:szCs w:val="24"/>
        </w:rPr>
        <w:t>pievienotās vērtības nodokļa</w:t>
      </w:r>
      <w:r w:rsidR="00AA2147" w:rsidRPr="00AA2147">
        <w:rPr>
          <w:rFonts w:cs="Times New Roman"/>
          <w:szCs w:val="24"/>
        </w:rPr>
        <w:t xml:space="preserve"> pārmaksas apmēru, </w:t>
      </w:r>
      <w:r w:rsidR="00062BD7">
        <w:rPr>
          <w:rFonts w:cs="Times New Roman"/>
          <w:szCs w:val="24"/>
        </w:rPr>
        <w:t>tostarp</w:t>
      </w:r>
      <w:r w:rsidR="00AA2147" w:rsidRPr="00AA2147">
        <w:rPr>
          <w:rFonts w:cs="Times New Roman"/>
          <w:szCs w:val="24"/>
        </w:rPr>
        <w:t xml:space="preserve"> samazinot no</w:t>
      </w:r>
      <w:r w:rsidR="00AA2147">
        <w:rPr>
          <w:rFonts w:cs="Times New Roman"/>
          <w:szCs w:val="24"/>
        </w:rPr>
        <w:t xml:space="preserve"> </w:t>
      </w:r>
      <w:r w:rsidR="00AA2147" w:rsidRPr="00AA2147">
        <w:rPr>
          <w:rFonts w:cs="Times New Roman"/>
          <w:szCs w:val="24"/>
        </w:rPr>
        <w:t>budžeta atmaksājamo nodokli.</w:t>
      </w:r>
    </w:p>
    <w:p w14:paraId="58AD5CEE" w14:textId="2213CE5E" w:rsidR="00AA2147" w:rsidRPr="00E077EE" w:rsidRDefault="00F77BED" w:rsidP="00F77BED">
      <w:pPr>
        <w:autoSpaceDE w:val="0"/>
        <w:autoSpaceDN w:val="0"/>
        <w:adjustRightInd w:val="0"/>
        <w:spacing w:after="0" w:line="276" w:lineRule="auto"/>
        <w:ind w:firstLine="709"/>
        <w:jc w:val="both"/>
        <w:rPr>
          <w:rFonts w:cs="Times New Roman"/>
          <w:szCs w:val="24"/>
        </w:rPr>
      </w:pPr>
      <w:r>
        <w:rPr>
          <w:rFonts w:cs="Times New Roman"/>
          <w:szCs w:val="24"/>
        </w:rPr>
        <w:t xml:space="preserve">[3.2] No likuma „Par pievienotās vērtības nodokli” </w:t>
      </w:r>
      <w:proofErr w:type="gramStart"/>
      <w:r>
        <w:rPr>
          <w:rFonts w:cs="Times New Roman"/>
          <w:szCs w:val="24"/>
        </w:rPr>
        <w:t>6.panta</w:t>
      </w:r>
      <w:proofErr w:type="gramEnd"/>
      <w:r>
        <w:rPr>
          <w:rFonts w:cs="Times New Roman"/>
          <w:szCs w:val="24"/>
        </w:rPr>
        <w:t xml:space="preserve"> pirmās daļas 23.punkta un 1.panta 39.punkta secināms, ka </w:t>
      </w:r>
      <w:r w:rsidRPr="00F77BED">
        <w:rPr>
          <w:rFonts w:cs="Times New Roman"/>
          <w:szCs w:val="24"/>
        </w:rPr>
        <w:t xml:space="preserve">gadījumā, ja pieteicēja pārdotu iegādāto zemesgabalu, tad šāds </w:t>
      </w:r>
      <w:r w:rsidRPr="00F77BED">
        <w:rPr>
          <w:rFonts w:cs="Times New Roman"/>
          <w:szCs w:val="24"/>
        </w:rPr>
        <w:lastRenderedPageBreak/>
        <w:t xml:space="preserve">darījums </w:t>
      </w:r>
      <w:r w:rsidR="0063150D">
        <w:rPr>
          <w:rFonts w:cs="Times New Roman"/>
          <w:szCs w:val="24"/>
        </w:rPr>
        <w:t>nebūtu</w:t>
      </w:r>
      <w:r w:rsidRPr="00F77BED">
        <w:rPr>
          <w:rFonts w:cs="Times New Roman"/>
          <w:szCs w:val="24"/>
        </w:rPr>
        <w:t xml:space="preserve"> apliekams ar </w:t>
      </w:r>
      <w:r>
        <w:rPr>
          <w:rFonts w:cs="Times New Roman"/>
          <w:szCs w:val="24"/>
        </w:rPr>
        <w:t>pievienotās vērtības nodokli</w:t>
      </w:r>
      <w:r w:rsidRPr="00F77BED">
        <w:rPr>
          <w:rFonts w:cs="Times New Roman"/>
          <w:szCs w:val="24"/>
        </w:rPr>
        <w:t>, līdz ar to pieteicējai nebūtu tiesību atskaitīt</w:t>
      </w:r>
      <w:r>
        <w:rPr>
          <w:rFonts w:cs="Times New Roman"/>
          <w:szCs w:val="24"/>
        </w:rPr>
        <w:t xml:space="preserve"> </w:t>
      </w:r>
      <w:r w:rsidRPr="00F77BED">
        <w:rPr>
          <w:rFonts w:cs="Times New Roman"/>
          <w:szCs w:val="24"/>
        </w:rPr>
        <w:t>priekšnodokli par strīdus darījumiem. Savukārt, ja pieteicēja pārdotu uzbūvētās nelietotās ēkas vai</w:t>
      </w:r>
      <w:r>
        <w:rPr>
          <w:rFonts w:cs="Times New Roman"/>
          <w:szCs w:val="24"/>
        </w:rPr>
        <w:t xml:space="preserve"> </w:t>
      </w:r>
      <w:r w:rsidRPr="00F77BED">
        <w:rPr>
          <w:rFonts w:cs="Times New Roman"/>
          <w:szCs w:val="24"/>
        </w:rPr>
        <w:t>pārdotu zem</w:t>
      </w:r>
      <w:r w:rsidR="00AF46DE">
        <w:rPr>
          <w:rFonts w:cs="Times New Roman"/>
          <w:szCs w:val="24"/>
        </w:rPr>
        <w:t>esgabalus</w:t>
      </w:r>
      <w:r w:rsidRPr="00F77BED">
        <w:rPr>
          <w:rFonts w:cs="Times New Roman"/>
          <w:szCs w:val="24"/>
        </w:rPr>
        <w:t xml:space="preserve"> pēc būvatļaujas saņemšanas, vai plānotu uzbūvētās ēkas iznomāt, tad šādi darījumi </w:t>
      </w:r>
      <w:r w:rsidR="00062BD7">
        <w:rPr>
          <w:rFonts w:cs="Times New Roman"/>
          <w:szCs w:val="24"/>
        </w:rPr>
        <w:t>būtu</w:t>
      </w:r>
      <w:r w:rsidRPr="00E077EE">
        <w:rPr>
          <w:rFonts w:cs="Times New Roman"/>
          <w:szCs w:val="24"/>
        </w:rPr>
        <w:t xml:space="preserve"> apliekami ar pievienotās vērtības nodokli un pieteicējai būtu tiesības atskaitīt priekšnodokli.</w:t>
      </w:r>
      <w:r w:rsidR="00E077EE" w:rsidRPr="00E077EE">
        <w:rPr>
          <w:rFonts w:cs="Times New Roman"/>
          <w:szCs w:val="24"/>
        </w:rPr>
        <w:t xml:space="preserve"> </w:t>
      </w:r>
    </w:p>
    <w:p w14:paraId="7472BC70" w14:textId="6CE0BE6B" w:rsidR="00AA2147" w:rsidRPr="005D2611" w:rsidRDefault="002D7AF4" w:rsidP="002D7AF4">
      <w:pPr>
        <w:autoSpaceDE w:val="0"/>
        <w:autoSpaceDN w:val="0"/>
        <w:adjustRightInd w:val="0"/>
        <w:spacing w:after="0" w:line="276" w:lineRule="auto"/>
        <w:ind w:firstLine="709"/>
        <w:jc w:val="both"/>
        <w:rPr>
          <w:rFonts w:cs="Times New Roman"/>
          <w:szCs w:val="24"/>
        </w:rPr>
      </w:pPr>
      <w:r w:rsidRPr="00E077EE">
        <w:rPr>
          <w:rFonts w:cs="Times New Roman"/>
          <w:szCs w:val="24"/>
        </w:rPr>
        <w:t>[3.3</w:t>
      </w:r>
      <w:r w:rsidR="005D6B39">
        <w:rPr>
          <w:rFonts w:cs="Times New Roman"/>
          <w:szCs w:val="24"/>
        </w:rPr>
        <w:t>]</w:t>
      </w:r>
      <w:r w:rsidRPr="002D7AF4">
        <w:rPr>
          <w:rFonts w:cs="Times New Roman"/>
          <w:szCs w:val="24"/>
        </w:rPr>
        <w:t xml:space="preserve"> Lai</w:t>
      </w:r>
      <w:r>
        <w:rPr>
          <w:rFonts w:cs="Times New Roman"/>
          <w:szCs w:val="24"/>
        </w:rPr>
        <w:t xml:space="preserve"> </w:t>
      </w:r>
      <w:r w:rsidRPr="002D7AF4">
        <w:rPr>
          <w:rFonts w:cs="Times New Roman"/>
          <w:szCs w:val="24"/>
        </w:rPr>
        <w:t>konstatētu preces izmantošanu savu ar nodokli apliekamo darījumu nodrošināšanai, būtisks ir</w:t>
      </w:r>
      <w:r>
        <w:rPr>
          <w:rFonts w:cs="Times New Roman"/>
          <w:szCs w:val="24"/>
        </w:rPr>
        <w:t xml:space="preserve"> </w:t>
      </w:r>
      <w:r w:rsidRPr="002D7AF4">
        <w:rPr>
          <w:rFonts w:cs="Times New Roman"/>
          <w:szCs w:val="24"/>
        </w:rPr>
        <w:t>personas nodoms to iegūt ar mērķi turpmāk izmantot saimnieciskajā darbībā. Apstāklis, ka vēlāk</w:t>
      </w:r>
      <w:r>
        <w:rPr>
          <w:rFonts w:cs="Times New Roman"/>
          <w:szCs w:val="24"/>
        </w:rPr>
        <w:t xml:space="preserve"> </w:t>
      </w:r>
      <w:r w:rsidRPr="002D7AF4">
        <w:rPr>
          <w:rFonts w:cs="Times New Roman"/>
          <w:szCs w:val="24"/>
        </w:rPr>
        <w:t xml:space="preserve">saimnieciskās darbības plāns kādu iemeslu dēļ netiek </w:t>
      </w:r>
      <w:r w:rsidR="00C8262A">
        <w:rPr>
          <w:rFonts w:cs="Times New Roman"/>
          <w:szCs w:val="24"/>
        </w:rPr>
        <w:t>īstenots</w:t>
      </w:r>
      <w:r w:rsidRPr="002D7AF4">
        <w:rPr>
          <w:rFonts w:cs="Times New Roman"/>
          <w:szCs w:val="24"/>
        </w:rPr>
        <w:t>, pats par sevi nenozīmē, ka</w:t>
      </w:r>
      <w:r>
        <w:rPr>
          <w:rFonts w:cs="Times New Roman"/>
          <w:szCs w:val="24"/>
        </w:rPr>
        <w:t xml:space="preserve"> </w:t>
      </w:r>
      <w:r w:rsidRPr="002D7AF4">
        <w:rPr>
          <w:rFonts w:cs="Times New Roman"/>
          <w:szCs w:val="24"/>
        </w:rPr>
        <w:t>priekšnodokļa atskaitīšanas tiesības nav izmantojamas</w:t>
      </w:r>
      <w:r>
        <w:rPr>
          <w:rFonts w:cs="Times New Roman"/>
          <w:szCs w:val="24"/>
        </w:rPr>
        <w:t xml:space="preserve">. </w:t>
      </w:r>
      <w:r>
        <w:rPr>
          <w:rFonts w:ascii="TimesNewRomanPSMT" w:hAnsi="TimesNewRomanPSMT" w:cs="TimesNewRomanPSMT"/>
          <w:szCs w:val="24"/>
        </w:rPr>
        <w:t>Līdz ar to vērtē</w:t>
      </w:r>
      <w:r w:rsidR="00852715">
        <w:rPr>
          <w:rFonts w:ascii="TimesNewRomanPSMT" w:hAnsi="TimesNewRomanPSMT" w:cs="TimesNewRomanPSMT"/>
          <w:szCs w:val="24"/>
        </w:rPr>
        <w:t>jams</w:t>
      </w:r>
      <w:r>
        <w:rPr>
          <w:rFonts w:ascii="TimesNewRomanPSMT" w:hAnsi="TimesNewRomanPSMT" w:cs="TimesNewRomanPSMT"/>
          <w:szCs w:val="24"/>
        </w:rPr>
        <w:t xml:space="preserve">, vai pieteicējai bija nodoms veikt ar pievienotās vērtības nodokli </w:t>
      </w:r>
      <w:r w:rsidRPr="005D2611">
        <w:rPr>
          <w:rFonts w:ascii="TimesNewRomanPSMT" w:hAnsi="TimesNewRomanPSMT" w:cs="TimesNewRomanPSMT"/>
          <w:szCs w:val="24"/>
        </w:rPr>
        <w:t>apliekamu saimniecisko darbību.</w:t>
      </w:r>
    </w:p>
    <w:p w14:paraId="28743791" w14:textId="3C2F3039" w:rsidR="005D7ED3" w:rsidRPr="005D2611" w:rsidRDefault="002D7AF4" w:rsidP="00385863">
      <w:pPr>
        <w:autoSpaceDE w:val="0"/>
        <w:autoSpaceDN w:val="0"/>
        <w:adjustRightInd w:val="0"/>
        <w:spacing w:after="0" w:line="276" w:lineRule="auto"/>
        <w:ind w:firstLine="709"/>
        <w:jc w:val="both"/>
      </w:pPr>
      <w:r w:rsidRPr="005D2611">
        <w:t xml:space="preserve">[3.4] </w:t>
      </w:r>
      <w:r w:rsidR="00385863" w:rsidRPr="005D2611">
        <w:t>Par pieteicējas nopietnu nolūku attīstīt nekustamo īpašumu, veicot uz tā būvniecību un attiecīgi pārdodot uzbūvētās ēkas, un tādējādi veikt ar pievienotās vērtības nodokli apliekamus darījumus, liecina</w:t>
      </w:r>
      <w:r w:rsidR="0063150D">
        <w:t xml:space="preserve"> turpmāk minētais.</w:t>
      </w:r>
    </w:p>
    <w:p w14:paraId="7A78D9EC" w14:textId="3346D7F5" w:rsidR="00385863" w:rsidRPr="005D2611" w:rsidRDefault="00385863" w:rsidP="00385863">
      <w:pPr>
        <w:autoSpaceDE w:val="0"/>
        <w:autoSpaceDN w:val="0"/>
        <w:adjustRightInd w:val="0"/>
        <w:spacing w:after="0" w:line="276" w:lineRule="auto"/>
        <w:ind w:firstLine="709"/>
        <w:jc w:val="both"/>
      </w:pPr>
      <w:proofErr w:type="gramStart"/>
      <w:r w:rsidRPr="005D2611">
        <w:t>2005.gada</w:t>
      </w:r>
      <w:proofErr w:type="gramEnd"/>
      <w:r w:rsidRPr="005D2611">
        <w:t xml:space="preserve"> oktobrī SIA „MEI </w:t>
      </w:r>
      <w:proofErr w:type="spellStart"/>
      <w:r w:rsidR="005D6B39" w:rsidRPr="005D2611">
        <w:t>Latvia</w:t>
      </w:r>
      <w:proofErr w:type="spellEnd"/>
      <w:r w:rsidRPr="005D2611">
        <w:t>” nosūt</w:t>
      </w:r>
      <w:r w:rsidR="00852715">
        <w:t>īj</w:t>
      </w:r>
      <w:r w:rsidRPr="005D2611">
        <w:t>a pārskatu mātes uzņēmumam Nīderlandē</w:t>
      </w:r>
      <w:r w:rsidR="005D2611" w:rsidRPr="005D2611">
        <w:t xml:space="preserve"> </w:t>
      </w:r>
      <w:r w:rsidRPr="005D2611">
        <w:t>par Sužu projekta attīstību, ziņojot par plānoto tikšanos ar arhitektu, par to, ka pašvaldībā tiek</w:t>
      </w:r>
      <w:r w:rsidR="005D2611" w:rsidRPr="005D2611">
        <w:t xml:space="preserve"> </w:t>
      </w:r>
      <w:r w:rsidRPr="005D2611">
        <w:t xml:space="preserve">apstiprināts teritorijas plānojums, kas ir ņemams vērā, </w:t>
      </w:r>
      <w:r w:rsidR="0063150D">
        <w:t>nosakot, piemēram, stāvu skaitu.</w:t>
      </w:r>
    </w:p>
    <w:p w14:paraId="1B00C25B" w14:textId="27B6036E" w:rsidR="005D2611" w:rsidRPr="005D2611" w:rsidRDefault="00385863" w:rsidP="005D2611">
      <w:pPr>
        <w:autoSpaceDE w:val="0"/>
        <w:autoSpaceDN w:val="0"/>
        <w:adjustRightInd w:val="0"/>
        <w:spacing w:after="0" w:line="276" w:lineRule="auto"/>
        <w:ind w:firstLine="709"/>
        <w:jc w:val="both"/>
      </w:pPr>
      <w:proofErr w:type="gramStart"/>
      <w:r w:rsidRPr="005D2611">
        <w:t>2005.gada</w:t>
      </w:r>
      <w:proofErr w:type="gramEnd"/>
      <w:r w:rsidRPr="005D2611">
        <w:t xml:space="preserve"> oktobrī Grācā notiek tikšanās ar mātes uzņēmuma pārstāvjiem un investoriem,</w:t>
      </w:r>
      <w:r w:rsidR="005D2611" w:rsidRPr="005D2611">
        <w:t xml:space="preserve"> </w:t>
      </w:r>
      <w:r w:rsidRPr="005D2611">
        <w:t xml:space="preserve">kur tiek prezentēts plāns sagatavot skiču un tehnisko projektu, uzsākt būvniecību, </w:t>
      </w:r>
      <w:r w:rsidR="0063150D">
        <w:t>kā arī</w:t>
      </w:r>
      <w:r w:rsidRPr="005D2611">
        <w:t xml:space="preserve"> tiek prezentēta</w:t>
      </w:r>
      <w:r w:rsidR="005D2611" w:rsidRPr="005D2611">
        <w:t xml:space="preserve"> paredzam</w:t>
      </w:r>
      <w:r w:rsidR="0063150D">
        <w:t>ā peļņa pēc dzīvokļu pārdošanas.</w:t>
      </w:r>
    </w:p>
    <w:p w14:paraId="0A2AF7E6" w14:textId="7121BCF9" w:rsidR="005D2611" w:rsidRPr="005D2611" w:rsidRDefault="005D2611" w:rsidP="005D2611">
      <w:pPr>
        <w:autoSpaceDE w:val="0"/>
        <w:autoSpaceDN w:val="0"/>
        <w:adjustRightInd w:val="0"/>
        <w:spacing w:after="0" w:line="276" w:lineRule="auto"/>
        <w:ind w:firstLine="709"/>
        <w:jc w:val="both"/>
      </w:pPr>
      <w:proofErr w:type="gramStart"/>
      <w:r w:rsidRPr="005D2611">
        <w:t>2005.gada</w:t>
      </w:r>
      <w:proofErr w:type="gramEnd"/>
      <w:r w:rsidRPr="005D2611">
        <w:t xml:space="preserve"> oktobrī tiek gatavots pārskats par Sužu projektu, kur attiecībā uz būvniecības plāniem norādīts, ka arhitekts turpina darbu, pašvaldībā turpinās teritorijas </w:t>
      </w:r>
      <w:r w:rsidR="0063150D">
        <w:t>plānošanas jautājumu risināšana.</w:t>
      </w:r>
    </w:p>
    <w:p w14:paraId="69CA74C2" w14:textId="178F24A9" w:rsidR="005D2611" w:rsidRPr="005D2611" w:rsidRDefault="005D2611" w:rsidP="005D2611">
      <w:pPr>
        <w:autoSpaceDE w:val="0"/>
        <w:autoSpaceDN w:val="0"/>
        <w:adjustRightInd w:val="0"/>
        <w:spacing w:after="0" w:line="276" w:lineRule="auto"/>
        <w:ind w:firstLine="709"/>
        <w:jc w:val="both"/>
      </w:pPr>
      <w:r w:rsidRPr="005D2611">
        <w:t>Vadības ziņojumos pieteicēja norāda, ka pārskata gada laikā sabiedrība veic nepieciešamos pasākumus, lai uzsāktu sev piederošā zemesgabala apbūves projekta īstenošanu. Lietā ir iesni</w:t>
      </w:r>
      <w:r w:rsidR="0063150D">
        <w:t xml:space="preserve">egti 2005., 2006. un </w:t>
      </w:r>
      <w:proofErr w:type="gramStart"/>
      <w:r w:rsidR="0063150D">
        <w:t>2009.gada</w:t>
      </w:r>
      <w:proofErr w:type="gramEnd"/>
      <w:r w:rsidR="0063150D">
        <w:t xml:space="preserve"> vadības ziņojumi.</w:t>
      </w:r>
    </w:p>
    <w:p w14:paraId="44483656" w14:textId="4C1F1CB1" w:rsidR="005D2611" w:rsidRPr="005D2611" w:rsidRDefault="005D2611" w:rsidP="005D2611">
      <w:pPr>
        <w:autoSpaceDE w:val="0"/>
        <w:autoSpaceDN w:val="0"/>
        <w:adjustRightInd w:val="0"/>
        <w:spacing w:after="0" w:line="276" w:lineRule="auto"/>
        <w:ind w:firstLine="709"/>
        <w:jc w:val="both"/>
      </w:pPr>
      <w:r w:rsidRPr="005D2611">
        <w:t>SIA „</w:t>
      </w:r>
      <w:proofErr w:type="spellStart"/>
      <w:r w:rsidRPr="005D2611">
        <w:t>Ober</w:t>
      </w:r>
      <w:proofErr w:type="spellEnd"/>
      <w:r w:rsidRPr="005D2611">
        <w:t xml:space="preserve"> </w:t>
      </w:r>
      <w:proofErr w:type="spellStart"/>
      <w:r w:rsidRPr="005D2611">
        <w:t>Haus</w:t>
      </w:r>
      <w:proofErr w:type="spellEnd"/>
      <w:r w:rsidRPr="005D2611">
        <w:t xml:space="preserve"> Vērtēšanas Serviss” ir veikusi pieteicējas zemesgabala novērtēšanu iesniegšanai </w:t>
      </w:r>
      <w:proofErr w:type="spellStart"/>
      <w:r w:rsidRPr="00062BD7">
        <w:rPr>
          <w:i/>
        </w:rPr>
        <w:t>Sampo</w:t>
      </w:r>
      <w:proofErr w:type="spellEnd"/>
      <w:r w:rsidRPr="005D2611">
        <w:t xml:space="preserve"> bankā, vērtējumā iekļaujot aprēķinus, kas aptver ieņēmumus no nākotnē uzbūvēto dzīvokļu pārdošanas. Uz šo vērtējumu ir izdarīta atsauce </w:t>
      </w:r>
      <w:proofErr w:type="gramStart"/>
      <w:r w:rsidRPr="005D2611">
        <w:t>2006.gada</w:t>
      </w:r>
      <w:proofErr w:type="gramEnd"/>
      <w:r w:rsidRPr="005D2611">
        <w:t xml:space="preserve"> februāra ziņojumā par Sužu projekta att</w:t>
      </w:r>
      <w:r w:rsidR="0063150D">
        <w:t>īstību.</w:t>
      </w:r>
    </w:p>
    <w:p w14:paraId="7EB42785" w14:textId="04F5F9A6" w:rsidR="005D2611" w:rsidRPr="0080782F" w:rsidRDefault="0063150D" w:rsidP="005D2611">
      <w:pPr>
        <w:autoSpaceDE w:val="0"/>
        <w:autoSpaceDN w:val="0"/>
        <w:adjustRightInd w:val="0"/>
        <w:spacing w:after="0" w:line="276" w:lineRule="auto"/>
        <w:ind w:firstLine="709"/>
        <w:jc w:val="both"/>
      </w:pPr>
      <w:r>
        <w:t>P</w:t>
      </w:r>
      <w:r w:rsidR="005D2611" w:rsidRPr="005D2611">
        <w:t xml:space="preserve">ieteicēja ir nojaukusi teritorijā esošas padomju laikā </w:t>
      </w:r>
      <w:r w:rsidR="00852715">
        <w:t>būvētās</w:t>
      </w:r>
      <w:r w:rsidR="00852715" w:rsidRPr="0080782F">
        <w:t xml:space="preserve"> </w:t>
      </w:r>
      <w:r w:rsidR="005D2611" w:rsidRPr="0080782F">
        <w:t>ēkas</w:t>
      </w:r>
      <w:r w:rsidR="00BA181C" w:rsidRPr="0080782F">
        <w:t>.</w:t>
      </w:r>
    </w:p>
    <w:p w14:paraId="6B55FB57" w14:textId="1EF10CBF" w:rsidR="005D2611" w:rsidRPr="0080782F" w:rsidRDefault="00BA181C" w:rsidP="005D2611">
      <w:pPr>
        <w:autoSpaceDE w:val="0"/>
        <w:autoSpaceDN w:val="0"/>
        <w:adjustRightInd w:val="0"/>
        <w:spacing w:after="0" w:line="276" w:lineRule="auto"/>
        <w:ind w:firstLine="709"/>
        <w:jc w:val="both"/>
      </w:pPr>
      <w:r w:rsidRPr="0080782F">
        <w:t>P</w:t>
      </w:r>
      <w:r w:rsidR="005D2611" w:rsidRPr="0080782F">
        <w:t xml:space="preserve">ieteicēja </w:t>
      </w:r>
      <w:proofErr w:type="gramStart"/>
      <w:r w:rsidR="005D2611" w:rsidRPr="0080782F">
        <w:t>2008.gada</w:t>
      </w:r>
      <w:proofErr w:type="gramEnd"/>
      <w:r w:rsidR="005D2611" w:rsidRPr="0080782F">
        <w:t xml:space="preserve"> vasarā no pašvaldības saņēmusi izziņas par</w:t>
      </w:r>
      <w:r w:rsidRPr="0080782F">
        <w:t xml:space="preserve"> zemesgabalu atļauto izmatošanu.</w:t>
      </w:r>
    </w:p>
    <w:p w14:paraId="4A29CDF8" w14:textId="7B2AC72F" w:rsidR="005D2611" w:rsidRPr="0080782F" w:rsidRDefault="005D2611" w:rsidP="005D2611">
      <w:pPr>
        <w:autoSpaceDE w:val="0"/>
        <w:autoSpaceDN w:val="0"/>
        <w:adjustRightInd w:val="0"/>
        <w:spacing w:after="0" w:line="276" w:lineRule="auto"/>
        <w:ind w:firstLine="709"/>
        <w:jc w:val="both"/>
      </w:pPr>
      <w:proofErr w:type="gramStart"/>
      <w:r w:rsidRPr="0080782F">
        <w:t>2009.gada</w:t>
      </w:r>
      <w:proofErr w:type="gramEnd"/>
      <w:r w:rsidRPr="0080782F">
        <w:t xml:space="preserve"> septembrī </w:t>
      </w:r>
      <w:r w:rsidR="00062BD7">
        <w:t xml:space="preserve">pieteicēja </w:t>
      </w:r>
      <w:r w:rsidRPr="0080782F">
        <w:t>Rīgas pašvaldīb</w:t>
      </w:r>
      <w:r w:rsidR="00062BD7">
        <w:t>ai</w:t>
      </w:r>
      <w:r w:rsidRPr="0080782F">
        <w:t xml:space="preserve"> lūdz</w:t>
      </w:r>
      <w:r w:rsidR="00062BD7">
        <w:t>a</w:t>
      </w:r>
      <w:r w:rsidRPr="0080782F">
        <w:t xml:space="preserve"> izskatīt nepieciešamību izstrādāt detālplānojumu. Iesniegumā norādīts, ka teritorijā paredzēta daudzfunkcionāla apbūve dažādās apbūves teritorijās ar dažādu atļauto stāvu skaitu, savukārt oktobrī SIA „</w:t>
      </w:r>
      <w:proofErr w:type="spellStart"/>
      <w:r w:rsidR="00BA181C" w:rsidRPr="0080782F">
        <w:t>Arhiidea</w:t>
      </w:r>
      <w:proofErr w:type="spellEnd"/>
      <w:r w:rsidRPr="0080782F">
        <w:t>” pēc pieteicējas pasūtījuma izstrādāja teritorijas plānotās attīstības priekšlikuma skici iesniegšanai pašvaldībai, no kuras secināms, ka plānot</w:t>
      </w:r>
      <w:r w:rsidR="00BA181C" w:rsidRPr="0080782F">
        <w:t>s izveidot dzīvojamo teritoriju.</w:t>
      </w:r>
    </w:p>
    <w:p w14:paraId="74969BDF" w14:textId="3D794FAD" w:rsidR="005D2611" w:rsidRPr="0080782F" w:rsidRDefault="005D2611" w:rsidP="005D2611">
      <w:pPr>
        <w:autoSpaceDE w:val="0"/>
        <w:autoSpaceDN w:val="0"/>
        <w:adjustRightInd w:val="0"/>
        <w:spacing w:after="0" w:line="276" w:lineRule="auto"/>
        <w:ind w:firstLine="709"/>
        <w:jc w:val="both"/>
      </w:pPr>
      <w:proofErr w:type="gramStart"/>
      <w:r w:rsidRPr="0080782F">
        <w:t>2010.gada</w:t>
      </w:r>
      <w:proofErr w:type="gramEnd"/>
      <w:r w:rsidRPr="0080782F">
        <w:t xml:space="preserve"> februārī Rīgas dome pieņēmusi lēmumu par detālplānojuma izstrādes uzsākšanu un apstiprinājusi darba uzdevumu</w:t>
      </w:r>
      <w:r w:rsidR="00BA181C" w:rsidRPr="0080782F">
        <w:t>.</w:t>
      </w:r>
    </w:p>
    <w:p w14:paraId="5BED0A83" w14:textId="71F287FF" w:rsidR="00385863" w:rsidRPr="0080782F" w:rsidRDefault="005D2611" w:rsidP="005D2611">
      <w:pPr>
        <w:autoSpaceDE w:val="0"/>
        <w:autoSpaceDN w:val="0"/>
        <w:adjustRightInd w:val="0"/>
        <w:spacing w:after="0" w:line="276" w:lineRule="auto"/>
        <w:ind w:firstLine="709"/>
        <w:jc w:val="both"/>
      </w:pPr>
      <w:proofErr w:type="gramStart"/>
      <w:r w:rsidRPr="0080782F">
        <w:t>2010.gada</w:t>
      </w:r>
      <w:proofErr w:type="gramEnd"/>
      <w:r w:rsidRPr="0080782F">
        <w:t xml:space="preserve"> martā pieteicēja vairākiem adresātiem nosūtījusi paziņojumu par detālplānojuma izstrādes uzsākšanu.</w:t>
      </w:r>
    </w:p>
    <w:p w14:paraId="74FC5E1B" w14:textId="664AE962" w:rsidR="0085470D" w:rsidRPr="0080782F" w:rsidRDefault="005D2611" w:rsidP="005D2611">
      <w:pPr>
        <w:autoSpaceDE w:val="0"/>
        <w:autoSpaceDN w:val="0"/>
        <w:adjustRightInd w:val="0"/>
        <w:spacing w:after="0" w:line="276" w:lineRule="auto"/>
        <w:ind w:firstLine="709"/>
        <w:jc w:val="both"/>
        <w:rPr>
          <w:rFonts w:ascii="TimesNewRomanPSMT" w:hAnsi="TimesNewRomanPSMT" w:cs="TimesNewRomanPSMT"/>
          <w:szCs w:val="24"/>
        </w:rPr>
      </w:pPr>
      <w:r w:rsidRPr="0080782F">
        <w:t xml:space="preserve">[3.5] </w:t>
      </w:r>
      <w:r w:rsidRPr="0080782F">
        <w:rPr>
          <w:rFonts w:ascii="TimesNewRomanPSMT" w:hAnsi="TimesNewRomanPSMT" w:cs="TimesNewRomanPSMT"/>
          <w:szCs w:val="24"/>
        </w:rPr>
        <w:t>Daļa tiesā iesniegto dokumentu ir sabiedrības iekšējie dokumenti, un tie nav gatavoti iesniegšanai valsts vai pašvaldības iestādēs, tādējādi ir pamats domāt, ka tie objektīvi atspoguļo pieteicējas nodomu pašai veikt zemesgabalu apbūvi.</w:t>
      </w:r>
      <w:r w:rsidR="0085470D" w:rsidRPr="0080782F">
        <w:rPr>
          <w:rFonts w:ascii="TimesNewRomanPSMT" w:hAnsi="TimesNewRomanPSMT" w:cs="TimesNewRomanPSMT"/>
          <w:szCs w:val="24"/>
        </w:rPr>
        <w:t xml:space="preserve"> </w:t>
      </w:r>
      <w:r w:rsidR="00FD2486" w:rsidRPr="0080782F">
        <w:rPr>
          <w:rFonts w:ascii="TimesNewRomanPSMT" w:hAnsi="TimesNewRomanPSMT" w:cs="TimesNewRomanPSMT"/>
          <w:szCs w:val="24"/>
        </w:rPr>
        <w:t>Valsts ieņēmumu d</w:t>
      </w:r>
      <w:r w:rsidR="0085470D" w:rsidRPr="0080782F">
        <w:rPr>
          <w:rFonts w:ascii="TimesNewRomanPSMT" w:hAnsi="TimesNewRomanPSMT" w:cs="TimesNewRomanPSMT"/>
          <w:szCs w:val="24"/>
        </w:rPr>
        <w:t xml:space="preserve">ienests </w:t>
      </w:r>
      <w:r w:rsidR="0085470D" w:rsidRPr="0080782F">
        <w:rPr>
          <w:rFonts w:ascii="TimesNewRomanPSMT" w:hAnsi="TimesNewRomanPSMT" w:cs="TimesNewRomanPSMT"/>
          <w:szCs w:val="24"/>
        </w:rPr>
        <w:lastRenderedPageBreak/>
        <w:t>nepamatoti uzskata, ka pieteicējas iesniegtajiem sabiedrības iekšējiem dokumentiem ir mazāks pierādīšanas spēks iepretim citiem pierādījumiem lietā.</w:t>
      </w:r>
    </w:p>
    <w:p w14:paraId="24BD373B" w14:textId="75EEC029" w:rsidR="0085470D" w:rsidRDefault="0085470D" w:rsidP="0085470D">
      <w:pPr>
        <w:autoSpaceDE w:val="0"/>
        <w:autoSpaceDN w:val="0"/>
        <w:adjustRightInd w:val="0"/>
        <w:spacing w:after="0" w:line="276" w:lineRule="auto"/>
        <w:ind w:firstLine="709"/>
        <w:jc w:val="both"/>
        <w:rPr>
          <w:rFonts w:ascii="TimesNewRomanPSMT" w:hAnsi="TimesNewRomanPSMT" w:cs="TimesNewRomanPSMT"/>
          <w:szCs w:val="24"/>
        </w:rPr>
      </w:pPr>
      <w:r w:rsidRPr="0080782F">
        <w:rPr>
          <w:rFonts w:ascii="TimesNewRomanPSMT" w:hAnsi="TimesNewRomanPSMT" w:cs="TimesNewRomanPSMT"/>
          <w:szCs w:val="24"/>
        </w:rPr>
        <w:t xml:space="preserve">Konkrētajā gadījumā, novērtējot pierādījumus lietā to savstarpējā kopsakarā, atzīstams, ka pieteicējas iesniegtie dokumenti liecina par nopietnu nolūku attīstīt nekustamo īpašumu, veicot uz tā būvniecību un attiecīgi pārdodot uzbūvētās ēkas. Pierādījumus, kas ļautu atspēkot </w:t>
      </w:r>
      <w:r w:rsidR="00062BD7">
        <w:rPr>
          <w:rFonts w:ascii="TimesNewRomanPSMT" w:hAnsi="TimesNewRomanPSMT" w:cs="TimesNewRomanPSMT"/>
          <w:szCs w:val="24"/>
        </w:rPr>
        <w:t>šo</w:t>
      </w:r>
      <w:r w:rsidRPr="0080782F">
        <w:rPr>
          <w:rFonts w:ascii="TimesNewRomanPSMT" w:hAnsi="TimesNewRomanPSMT" w:cs="TimesNewRomanPSMT"/>
          <w:szCs w:val="24"/>
        </w:rPr>
        <w:t xml:space="preserve"> ziņu patiesumu un norādītu uz pieteicējas ļaunprātību, dienests nav iesniedzis. Savukārt dienesta arguments, ka pieteicēja nav veikusi nekādas darbības sava nodoma īstenošanai, neatbilst lietā nodibinātiem faktiem. </w:t>
      </w:r>
    </w:p>
    <w:p w14:paraId="5446FD85" w14:textId="658DE828" w:rsidR="005D2611" w:rsidRDefault="005D2611" w:rsidP="005D2611">
      <w:pPr>
        <w:autoSpaceDE w:val="0"/>
        <w:autoSpaceDN w:val="0"/>
        <w:adjustRightInd w:val="0"/>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 xml:space="preserve">[3.6] </w:t>
      </w:r>
      <w:r w:rsidR="00C70A8A">
        <w:rPr>
          <w:rFonts w:ascii="TimesNewRomanPSMT" w:hAnsi="TimesNewRomanPSMT" w:cs="TimesNewRomanPSMT"/>
          <w:szCs w:val="24"/>
        </w:rPr>
        <w:t>P</w:t>
      </w:r>
      <w:r>
        <w:rPr>
          <w:rFonts w:ascii="TimesNewRomanPSMT" w:hAnsi="TimesNewRomanPSMT" w:cs="TimesNewRomanPSMT"/>
          <w:szCs w:val="24"/>
        </w:rPr>
        <w:t xml:space="preserve">ieteicējas ilggadīgas darbības zemesgabalu sakārtošanā, tiesvedībās, ēku nojaukšanā ir nesušas pieteicējai būtiskus zaudējumus vairāk nekā </w:t>
      </w:r>
      <w:r w:rsidR="00FD2486">
        <w:rPr>
          <w:rFonts w:ascii="TimesNewRomanPSMT" w:hAnsi="TimesNewRomanPSMT" w:cs="TimesNewRomanPSMT"/>
          <w:szCs w:val="24"/>
        </w:rPr>
        <w:t>10</w:t>
      </w:r>
      <w:r>
        <w:rPr>
          <w:rFonts w:ascii="TimesNewRomanPSMT" w:hAnsi="TimesNewRomanPSMT" w:cs="TimesNewRomanPSMT"/>
          <w:szCs w:val="24"/>
        </w:rPr>
        <w:t xml:space="preserve"> miljonu latu apmērā, ko saprātīgi nevarētu cerēt atgūt tikai ar zemesgabalu tālākpārdošanu. Tādējādi minētais netieši norāda uz ieceri </w:t>
      </w:r>
      <w:r w:rsidR="00C8262A">
        <w:rPr>
          <w:rFonts w:ascii="TimesNewRomanPSMT" w:hAnsi="TimesNewRomanPSMT" w:cs="TimesNewRomanPSMT"/>
          <w:szCs w:val="24"/>
        </w:rPr>
        <w:t>īstenot</w:t>
      </w:r>
      <w:r>
        <w:rPr>
          <w:rFonts w:ascii="TimesNewRomanPSMT" w:hAnsi="TimesNewRomanPSMT" w:cs="TimesNewRomanPSMT"/>
          <w:szCs w:val="24"/>
        </w:rPr>
        <w:t xml:space="preserve"> būvniecību un zaudējumus ieskaitīt nesegtajos zaudējumos, un segt tos ar peļņu no projekta </w:t>
      </w:r>
      <w:r w:rsidR="00C8262A">
        <w:rPr>
          <w:rFonts w:ascii="TimesNewRomanPSMT" w:hAnsi="TimesNewRomanPSMT" w:cs="TimesNewRomanPSMT"/>
          <w:szCs w:val="24"/>
        </w:rPr>
        <w:t>īstenošanas</w:t>
      </w:r>
      <w:r>
        <w:rPr>
          <w:rFonts w:ascii="TimesNewRomanPSMT" w:hAnsi="TimesNewRomanPSMT" w:cs="TimesNewRomanPSMT"/>
          <w:szCs w:val="24"/>
        </w:rPr>
        <w:t>.</w:t>
      </w:r>
    </w:p>
    <w:p w14:paraId="6F56CC57" w14:textId="0EC2EF8B" w:rsidR="00385863" w:rsidRDefault="005D2611" w:rsidP="005D2611">
      <w:pPr>
        <w:autoSpaceDE w:val="0"/>
        <w:autoSpaceDN w:val="0"/>
        <w:adjustRightInd w:val="0"/>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 xml:space="preserve">Tādējādi </w:t>
      </w:r>
      <w:r w:rsidR="00FD2486">
        <w:rPr>
          <w:rFonts w:ascii="TimesNewRomanPSMT" w:hAnsi="TimesNewRomanPSMT" w:cs="TimesNewRomanPSMT"/>
          <w:szCs w:val="24"/>
        </w:rPr>
        <w:t>pārbaudāms</w:t>
      </w:r>
      <w:r>
        <w:rPr>
          <w:rFonts w:ascii="TimesNewRomanPSMT" w:hAnsi="TimesNewRomanPSMT" w:cs="TimesNewRomanPSMT"/>
          <w:szCs w:val="24"/>
        </w:rPr>
        <w:t xml:space="preserve">, vai no pieteicējai izrakstītajiem </w:t>
      </w:r>
      <w:r w:rsidR="001421FA">
        <w:rPr>
          <w:rFonts w:ascii="TimesNewRomanPSMT" w:hAnsi="TimesNewRomanPSMT" w:cs="TimesNewRomanPSMT"/>
          <w:szCs w:val="24"/>
        </w:rPr>
        <w:t>pievienotās vērtības nodokļa</w:t>
      </w:r>
      <w:r>
        <w:rPr>
          <w:rFonts w:ascii="TimesNewRomanPSMT" w:hAnsi="TimesNewRomanPSMT" w:cs="TimesNewRomanPSMT"/>
          <w:szCs w:val="24"/>
        </w:rPr>
        <w:t xml:space="preserve"> rēķiniem un citiem dokumentiem konstatējams, </w:t>
      </w:r>
      <w:r w:rsidR="00FD2486">
        <w:rPr>
          <w:rFonts w:ascii="TimesNewRomanPSMT" w:hAnsi="TimesNewRomanPSMT" w:cs="TimesNewRomanPSMT"/>
          <w:szCs w:val="24"/>
        </w:rPr>
        <w:t>ka</w:t>
      </w:r>
      <w:r>
        <w:rPr>
          <w:rFonts w:ascii="TimesNewRomanPSMT" w:hAnsi="TimesNewRomanPSMT" w:cs="TimesNewRomanPSMT"/>
          <w:szCs w:val="24"/>
        </w:rPr>
        <w:t xml:space="preserve"> prece vai pakalpojums ir sniegts ar nodokli apliekamo darījumu nodrošināš</w:t>
      </w:r>
      <w:r w:rsidR="001421FA">
        <w:rPr>
          <w:rFonts w:ascii="TimesNewRomanPSMT" w:hAnsi="TimesNewRomanPSMT" w:cs="TimesNewRomanPSMT"/>
          <w:szCs w:val="24"/>
        </w:rPr>
        <w:t>anai.</w:t>
      </w:r>
    </w:p>
    <w:p w14:paraId="65D35983" w14:textId="5C3B0DC8" w:rsidR="000D1FC8" w:rsidRDefault="000D1FC8" w:rsidP="000D1FC8">
      <w:pPr>
        <w:autoSpaceDE w:val="0"/>
        <w:autoSpaceDN w:val="0"/>
        <w:adjustRightInd w:val="0"/>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[3.</w:t>
      </w:r>
      <w:r w:rsidR="007764E5">
        <w:rPr>
          <w:rFonts w:ascii="TimesNewRomanPSMT" w:hAnsi="TimesNewRomanPSMT" w:cs="TimesNewRomanPSMT"/>
          <w:szCs w:val="24"/>
        </w:rPr>
        <w:t>7</w:t>
      </w:r>
      <w:r>
        <w:rPr>
          <w:rFonts w:ascii="TimesNewRomanPSMT" w:hAnsi="TimesNewRomanPSMT" w:cs="TimesNewRomanPSMT"/>
          <w:szCs w:val="24"/>
        </w:rPr>
        <w:t xml:space="preserve">] </w:t>
      </w:r>
      <w:r w:rsidRPr="000D1FC8">
        <w:rPr>
          <w:rFonts w:ascii="TimesNewRomanPSMT" w:hAnsi="TimesNewRomanPSMT" w:cs="TimesNewRomanPSMT"/>
          <w:szCs w:val="24"/>
        </w:rPr>
        <w:t>SIA „</w:t>
      </w:r>
      <w:proofErr w:type="spellStart"/>
      <w:r w:rsidR="00FD2486" w:rsidRPr="000D1FC8">
        <w:rPr>
          <w:rFonts w:ascii="TimesNewRomanPSMT" w:hAnsi="TimesNewRomanPSMT" w:cs="TimesNewRomanPSMT"/>
          <w:szCs w:val="24"/>
        </w:rPr>
        <w:t>Arhiidea</w:t>
      </w:r>
      <w:proofErr w:type="spellEnd"/>
      <w:r w:rsidRPr="000D1FC8">
        <w:rPr>
          <w:rFonts w:ascii="TimesNewRomanPSMT" w:hAnsi="TimesNewRomanPSMT" w:cs="TimesNewRomanPSMT"/>
          <w:szCs w:val="24"/>
        </w:rPr>
        <w:t>” pieteicējas uzdevumā ir izstrādājusi</w:t>
      </w:r>
      <w:r>
        <w:rPr>
          <w:rFonts w:ascii="TimesNewRomanPSMT" w:hAnsi="TimesNewRomanPSMT" w:cs="TimesNewRomanPSMT"/>
          <w:szCs w:val="24"/>
        </w:rPr>
        <w:t xml:space="preserve"> </w:t>
      </w:r>
      <w:r w:rsidRPr="000D1FC8">
        <w:rPr>
          <w:rFonts w:ascii="TimesNewRomanPSMT" w:hAnsi="TimesNewRomanPSMT" w:cs="TimesNewRomanPSMT"/>
          <w:szCs w:val="24"/>
        </w:rPr>
        <w:t>teritorijas plānotās attīstības priekšlikuma skici, ievērojot Rīgas domes Pilsētas attīstības</w:t>
      </w:r>
      <w:r>
        <w:rPr>
          <w:rFonts w:ascii="TimesNewRomanPSMT" w:hAnsi="TimesNewRomanPSMT" w:cs="TimesNewRomanPSMT"/>
          <w:szCs w:val="24"/>
        </w:rPr>
        <w:t xml:space="preserve"> </w:t>
      </w:r>
      <w:r w:rsidRPr="000D1FC8">
        <w:rPr>
          <w:rFonts w:ascii="TimesNewRomanPSMT" w:hAnsi="TimesNewRomanPSMT" w:cs="TimesNewRomanPSMT"/>
          <w:szCs w:val="24"/>
        </w:rPr>
        <w:t>departamenta norādījumus par nepieciešamo darbu veikšanu detālplānojuma izstrādes procesā.</w:t>
      </w:r>
      <w:r>
        <w:rPr>
          <w:rFonts w:ascii="TimesNewRomanPSMT" w:hAnsi="TimesNewRomanPSMT" w:cs="TimesNewRomanPSMT"/>
          <w:szCs w:val="24"/>
        </w:rPr>
        <w:t xml:space="preserve"> </w:t>
      </w:r>
      <w:r w:rsidR="00C70A8A">
        <w:rPr>
          <w:rFonts w:ascii="TimesNewRomanPSMT" w:hAnsi="TimesNewRomanPSMT" w:cs="TimesNewRomanPSMT"/>
          <w:szCs w:val="24"/>
        </w:rPr>
        <w:t>Šis</w:t>
      </w:r>
      <w:r w:rsidRPr="000D1FC8">
        <w:rPr>
          <w:rFonts w:ascii="TimesNewRomanPSMT" w:hAnsi="TimesNewRomanPSMT" w:cs="TimesNewRomanPSMT"/>
          <w:szCs w:val="24"/>
        </w:rPr>
        <w:t xml:space="preserve"> darījums ir saistāms ar nākotnē plānoto ar </w:t>
      </w:r>
      <w:r w:rsidR="00AA43B2">
        <w:rPr>
          <w:rFonts w:ascii="TimesNewRomanPSMT" w:hAnsi="TimesNewRomanPSMT" w:cs="TimesNewRomanPSMT"/>
          <w:szCs w:val="24"/>
        </w:rPr>
        <w:t>pievienotās vērtības nodokli</w:t>
      </w:r>
      <w:r>
        <w:rPr>
          <w:rFonts w:ascii="TimesNewRomanPSMT" w:hAnsi="TimesNewRomanPSMT" w:cs="TimesNewRomanPSMT"/>
          <w:szCs w:val="24"/>
        </w:rPr>
        <w:t xml:space="preserve"> </w:t>
      </w:r>
      <w:r w:rsidRPr="000D1FC8">
        <w:rPr>
          <w:rFonts w:ascii="TimesNewRomanPSMT" w:hAnsi="TimesNewRomanPSMT" w:cs="TimesNewRomanPSMT"/>
          <w:szCs w:val="24"/>
        </w:rPr>
        <w:t>apliekamo darījumu nodrošināšanu.</w:t>
      </w:r>
    </w:p>
    <w:p w14:paraId="6ABED216" w14:textId="1832E555" w:rsidR="00AA43B2" w:rsidRPr="00AA43B2" w:rsidRDefault="00AA43B2" w:rsidP="00AA43B2">
      <w:pPr>
        <w:autoSpaceDE w:val="0"/>
        <w:autoSpaceDN w:val="0"/>
        <w:adjustRightInd w:val="0"/>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[3.</w:t>
      </w:r>
      <w:r w:rsidR="007764E5">
        <w:rPr>
          <w:rFonts w:ascii="TimesNewRomanPSMT" w:hAnsi="TimesNewRomanPSMT" w:cs="TimesNewRomanPSMT"/>
          <w:szCs w:val="24"/>
        </w:rPr>
        <w:t>8</w:t>
      </w:r>
      <w:r>
        <w:rPr>
          <w:rFonts w:ascii="TimesNewRomanPSMT" w:hAnsi="TimesNewRomanPSMT" w:cs="TimesNewRomanPSMT"/>
          <w:szCs w:val="24"/>
        </w:rPr>
        <w:t xml:space="preserve">] </w:t>
      </w:r>
      <w:r w:rsidRPr="00AA43B2">
        <w:rPr>
          <w:rFonts w:ascii="TimesNewRomanPSMT" w:hAnsi="TimesNewRomanPSMT" w:cs="TimesNewRomanPSMT"/>
          <w:szCs w:val="24"/>
        </w:rPr>
        <w:t>Kā redzams no Valsts vienotās zemesgrāmatas izdrukas, Tiesu informatīvās sistēmas un</w:t>
      </w:r>
      <w:r>
        <w:rPr>
          <w:rFonts w:ascii="TimesNewRomanPSMT" w:hAnsi="TimesNewRomanPSMT" w:cs="TimesNewRomanPSMT"/>
          <w:szCs w:val="24"/>
        </w:rPr>
        <w:t xml:space="preserve"> </w:t>
      </w:r>
      <w:r w:rsidRPr="00AA43B2">
        <w:rPr>
          <w:rFonts w:ascii="TimesNewRomanPSMT" w:hAnsi="TimesNewRomanPSMT" w:cs="TimesNewRomanPSMT"/>
          <w:szCs w:val="24"/>
        </w:rPr>
        <w:t>lietas materiāliem, par zemesgabalu piederību notika civiltiesiski strīdi, līdz galam nebija pabeigts</w:t>
      </w:r>
      <w:r>
        <w:rPr>
          <w:rFonts w:ascii="TimesNewRomanPSMT" w:hAnsi="TimesNewRomanPSMT" w:cs="TimesNewRomanPSMT"/>
          <w:szCs w:val="24"/>
        </w:rPr>
        <w:t xml:space="preserve"> </w:t>
      </w:r>
      <w:r w:rsidRPr="00AA43B2">
        <w:rPr>
          <w:rFonts w:ascii="TimesNewRomanPSMT" w:hAnsi="TimesNewRomanPSMT" w:cs="TimesNewRomanPSMT"/>
          <w:szCs w:val="24"/>
        </w:rPr>
        <w:t xml:space="preserve">zemesgabalu un uz tiem esošo ēku privatizācijas process, kā arī </w:t>
      </w:r>
      <w:r w:rsidR="006E0CD2" w:rsidRPr="00AA43B2">
        <w:rPr>
          <w:rFonts w:ascii="TimesNewRomanPSMT" w:hAnsi="TimesNewRomanPSMT" w:cs="TimesNewRomanPSMT"/>
          <w:szCs w:val="24"/>
        </w:rPr>
        <w:t xml:space="preserve">tika ierosināts kriminālprocess </w:t>
      </w:r>
      <w:r w:rsidR="006E0CD2">
        <w:rPr>
          <w:rFonts w:ascii="TimesNewRomanPSMT" w:hAnsi="TimesNewRomanPSMT" w:cs="TimesNewRomanPSMT"/>
          <w:szCs w:val="24"/>
        </w:rPr>
        <w:t xml:space="preserve">par </w:t>
      </w:r>
      <w:r w:rsidR="006E0CD2" w:rsidRPr="00AA43B2">
        <w:rPr>
          <w:rFonts w:ascii="TimesNewRomanPSMT" w:hAnsi="TimesNewRomanPSMT" w:cs="TimesNewRomanPSMT"/>
          <w:szCs w:val="24"/>
        </w:rPr>
        <w:t xml:space="preserve">darbībām </w:t>
      </w:r>
      <w:r w:rsidRPr="00AA43B2">
        <w:rPr>
          <w:rFonts w:ascii="TimesNewRomanPSMT" w:hAnsi="TimesNewRomanPSMT" w:cs="TimesNewRomanPSMT"/>
          <w:szCs w:val="24"/>
        </w:rPr>
        <w:t>saistībā ar šo īpašumu. Tādējādi ir pamatoti uzskatīt, ka pieteicējai ir bijusi objektīva</w:t>
      </w:r>
      <w:r>
        <w:rPr>
          <w:rFonts w:ascii="TimesNewRomanPSMT" w:hAnsi="TimesNewRomanPSMT" w:cs="TimesNewRomanPSMT"/>
          <w:szCs w:val="24"/>
        </w:rPr>
        <w:t xml:space="preserve"> </w:t>
      </w:r>
      <w:r w:rsidRPr="00AA43B2">
        <w:rPr>
          <w:rFonts w:ascii="TimesNewRomanPSMT" w:hAnsi="TimesNewRomanPSMT" w:cs="TimesNewRomanPSMT"/>
          <w:szCs w:val="24"/>
        </w:rPr>
        <w:t>nepieciešamība saņemt juridiskos pakalpojumus.</w:t>
      </w:r>
    </w:p>
    <w:p w14:paraId="06431468" w14:textId="0203B0E1" w:rsidR="00AA43B2" w:rsidRPr="00AA43B2" w:rsidRDefault="002B4EDA" w:rsidP="00AA43B2">
      <w:pPr>
        <w:autoSpaceDE w:val="0"/>
        <w:autoSpaceDN w:val="0"/>
        <w:adjustRightInd w:val="0"/>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N</w:t>
      </w:r>
      <w:r w:rsidR="00AA43B2" w:rsidRPr="00AA43B2">
        <w:rPr>
          <w:rFonts w:ascii="TimesNewRomanPSMT" w:hAnsi="TimesNewRomanPSMT" w:cs="TimesNewRomanPSMT"/>
          <w:szCs w:val="24"/>
        </w:rPr>
        <w:t>o zvērināta advokāta V.</w:t>
      </w:r>
      <w:r>
        <w:rPr>
          <w:rFonts w:ascii="TimesNewRomanPSMT" w:hAnsi="TimesNewRomanPSMT" w:cs="TimesNewRomanPSMT"/>
          <w:szCs w:val="24"/>
        </w:rPr>
        <w:t> </w:t>
      </w:r>
      <w:r w:rsidR="00AA43B2" w:rsidRPr="00AA43B2">
        <w:rPr>
          <w:rFonts w:ascii="TimesNewRomanPSMT" w:hAnsi="TimesNewRomanPSMT" w:cs="TimesNewRomanPSMT"/>
          <w:szCs w:val="24"/>
        </w:rPr>
        <w:t>Skrastiņa izrakstītajiem rēķiniem ir iespējams</w:t>
      </w:r>
      <w:r w:rsidR="00AA43B2">
        <w:rPr>
          <w:rFonts w:ascii="TimesNewRomanPSMT" w:hAnsi="TimesNewRomanPSMT" w:cs="TimesNewRomanPSMT"/>
          <w:szCs w:val="24"/>
        </w:rPr>
        <w:t xml:space="preserve"> </w:t>
      </w:r>
      <w:r w:rsidR="00AA43B2" w:rsidRPr="00AA43B2">
        <w:rPr>
          <w:rFonts w:ascii="TimesNewRomanPSMT" w:hAnsi="TimesNewRomanPSMT" w:cs="TimesNewRomanPSMT"/>
          <w:szCs w:val="24"/>
        </w:rPr>
        <w:t>identificēt, par kādiem juridiskiem pakalpojumiem minētie rēķini ir izrakstīti</w:t>
      </w:r>
      <w:r w:rsidR="00B760F9">
        <w:rPr>
          <w:rFonts w:ascii="TimesNewRomanPSMT" w:hAnsi="TimesNewRomanPSMT" w:cs="TimesNewRomanPSMT"/>
          <w:szCs w:val="24"/>
        </w:rPr>
        <w:t>.</w:t>
      </w:r>
      <w:r w:rsidR="00AA43B2" w:rsidRPr="00AA43B2">
        <w:rPr>
          <w:rFonts w:ascii="TimesNewRomanPSMT" w:hAnsi="TimesNewRomanPSMT" w:cs="TimesNewRomanPSMT"/>
          <w:szCs w:val="24"/>
        </w:rPr>
        <w:t xml:space="preserve"> </w:t>
      </w:r>
      <w:r w:rsidR="00B760F9">
        <w:rPr>
          <w:rFonts w:ascii="TimesNewRomanPSMT" w:hAnsi="TimesNewRomanPSMT" w:cs="TimesNewRomanPSMT"/>
          <w:szCs w:val="24"/>
        </w:rPr>
        <w:t>N</w:t>
      </w:r>
      <w:r w:rsidR="00AA43B2" w:rsidRPr="00AA43B2">
        <w:rPr>
          <w:rFonts w:ascii="TimesNewRomanPSMT" w:hAnsi="TimesNewRomanPSMT" w:cs="TimesNewRomanPSMT"/>
          <w:szCs w:val="24"/>
        </w:rPr>
        <w:t>erodas</w:t>
      </w:r>
      <w:r w:rsidR="00AA43B2">
        <w:rPr>
          <w:rFonts w:ascii="TimesNewRomanPSMT" w:hAnsi="TimesNewRomanPSMT" w:cs="TimesNewRomanPSMT"/>
          <w:szCs w:val="24"/>
        </w:rPr>
        <w:t xml:space="preserve"> </w:t>
      </w:r>
      <w:r w:rsidR="00AA43B2" w:rsidRPr="00AA43B2">
        <w:rPr>
          <w:rFonts w:ascii="TimesNewRomanPSMT" w:hAnsi="TimesNewRomanPSMT" w:cs="TimesNewRomanPSMT"/>
          <w:szCs w:val="24"/>
        </w:rPr>
        <w:t xml:space="preserve">šaubas, ka minētie tiesvedības procesi ir saistīti ar pieteicējas saimniecisko darbību, līdz ar to </w:t>
      </w:r>
      <w:r>
        <w:rPr>
          <w:rFonts w:ascii="TimesNewRomanPSMT" w:hAnsi="TimesNewRomanPSMT" w:cs="TimesNewRomanPSMT"/>
          <w:szCs w:val="24"/>
        </w:rPr>
        <w:t>dienests</w:t>
      </w:r>
      <w:r w:rsidR="00AA43B2" w:rsidRPr="00AA43B2">
        <w:rPr>
          <w:rFonts w:ascii="TimesNewRomanPSMT" w:hAnsi="TimesNewRomanPSMT" w:cs="TimesNewRomanPSMT"/>
          <w:szCs w:val="24"/>
        </w:rPr>
        <w:t xml:space="preserve"> nepamatoti ir liedzis atskaitīt priekšnodokli par darījumiem ar zvērinātu advokātu</w:t>
      </w:r>
      <w:r w:rsidR="00AA43B2">
        <w:rPr>
          <w:rFonts w:ascii="TimesNewRomanPSMT" w:hAnsi="TimesNewRomanPSMT" w:cs="TimesNewRomanPSMT"/>
          <w:szCs w:val="24"/>
        </w:rPr>
        <w:t xml:space="preserve"> </w:t>
      </w:r>
      <w:r w:rsidR="00AA43B2" w:rsidRPr="00AA43B2">
        <w:rPr>
          <w:rFonts w:ascii="TimesNewRomanPSMT" w:hAnsi="TimesNewRomanPSMT" w:cs="TimesNewRomanPSMT"/>
          <w:szCs w:val="24"/>
        </w:rPr>
        <w:t>V.</w:t>
      </w:r>
      <w:r>
        <w:rPr>
          <w:rFonts w:ascii="TimesNewRomanPSMT" w:hAnsi="TimesNewRomanPSMT" w:cs="TimesNewRomanPSMT"/>
          <w:szCs w:val="24"/>
        </w:rPr>
        <w:t> </w:t>
      </w:r>
      <w:r w:rsidR="00AA43B2" w:rsidRPr="00AA43B2">
        <w:rPr>
          <w:rFonts w:ascii="TimesNewRomanPSMT" w:hAnsi="TimesNewRomanPSMT" w:cs="TimesNewRomanPSMT"/>
          <w:szCs w:val="24"/>
        </w:rPr>
        <w:t>Skrastiņu saskaņā ar rēķinu Nr.</w:t>
      </w:r>
      <w:r w:rsidR="006E0CD2">
        <w:rPr>
          <w:rFonts w:ascii="TimesNewRomanPSMT" w:hAnsi="TimesNewRomanPSMT" w:cs="TimesNewRomanPSMT"/>
          <w:szCs w:val="24"/>
        </w:rPr>
        <w:t> </w:t>
      </w:r>
      <w:r w:rsidR="00AA43B2" w:rsidRPr="00AA43B2">
        <w:rPr>
          <w:rFonts w:ascii="TimesNewRomanPSMT" w:hAnsi="TimesNewRomanPSMT" w:cs="TimesNewRomanPSMT"/>
          <w:szCs w:val="24"/>
        </w:rPr>
        <w:t>11/10, Nr.</w:t>
      </w:r>
      <w:r w:rsidR="006E0CD2">
        <w:rPr>
          <w:rFonts w:ascii="TimesNewRomanPSMT" w:hAnsi="TimesNewRomanPSMT" w:cs="TimesNewRomanPSMT"/>
          <w:szCs w:val="24"/>
        </w:rPr>
        <w:t> </w:t>
      </w:r>
      <w:r w:rsidR="00AA43B2" w:rsidRPr="00AA43B2">
        <w:rPr>
          <w:rFonts w:ascii="TimesNewRomanPSMT" w:hAnsi="TimesNewRomanPSMT" w:cs="TimesNewRomanPSMT"/>
          <w:szCs w:val="24"/>
        </w:rPr>
        <w:t>18/11, Nr.</w:t>
      </w:r>
      <w:r w:rsidR="006E0CD2">
        <w:rPr>
          <w:rFonts w:ascii="TimesNewRomanPSMT" w:hAnsi="TimesNewRomanPSMT" w:cs="TimesNewRomanPSMT"/>
          <w:szCs w:val="24"/>
        </w:rPr>
        <w:t> </w:t>
      </w:r>
      <w:r w:rsidR="00AA43B2" w:rsidRPr="00AA43B2">
        <w:rPr>
          <w:rFonts w:ascii="TimesNewRomanPSMT" w:hAnsi="TimesNewRomanPSMT" w:cs="TimesNewRomanPSMT"/>
          <w:szCs w:val="24"/>
        </w:rPr>
        <w:t>62/11, Nr.</w:t>
      </w:r>
      <w:r w:rsidR="006E0CD2">
        <w:rPr>
          <w:rFonts w:ascii="TimesNewRomanPSMT" w:hAnsi="TimesNewRomanPSMT" w:cs="TimesNewRomanPSMT"/>
          <w:szCs w:val="24"/>
        </w:rPr>
        <w:t> </w:t>
      </w:r>
      <w:r w:rsidR="00AA43B2" w:rsidRPr="00AA43B2">
        <w:rPr>
          <w:rFonts w:ascii="TimesNewRomanPSMT" w:hAnsi="TimesNewRomanPSMT" w:cs="TimesNewRomanPSMT"/>
          <w:szCs w:val="24"/>
        </w:rPr>
        <w:t>246/10. Savukārt attiecībā uz</w:t>
      </w:r>
      <w:r w:rsidR="00AA43B2">
        <w:rPr>
          <w:rFonts w:ascii="TimesNewRomanPSMT" w:hAnsi="TimesNewRomanPSMT" w:cs="TimesNewRomanPSMT"/>
          <w:szCs w:val="24"/>
        </w:rPr>
        <w:t xml:space="preserve"> </w:t>
      </w:r>
      <w:r w:rsidR="00AA43B2" w:rsidRPr="00AA43B2">
        <w:rPr>
          <w:rFonts w:ascii="TimesNewRomanPSMT" w:hAnsi="TimesNewRomanPSMT" w:cs="TimesNewRomanPSMT"/>
          <w:szCs w:val="24"/>
        </w:rPr>
        <w:t>rēķinu Nr.</w:t>
      </w:r>
      <w:r w:rsidR="006E0CD2">
        <w:rPr>
          <w:rFonts w:ascii="TimesNewRomanPSMT" w:hAnsi="TimesNewRomanPSMT" w:cs="TimesNewRomanPSMT"/>
          <w:szCs w:val="24"/>
        </w:rPr>
        <w:t> </w:t>
      </w:r>
      <w:r w:rsidR="00AA43B2" w:rsidRPr="00AA43B2">
        <w:rPr>
          <w:rFonts w:ascii="TimesNewRomanPSMT" w:hAnsi="TimesNewRomanPSMT" w:cs="TimesNewRomanPSMT"/>
          <w:szCs w:val="24"/>
        </w:rPr>
        <w:t>19/11, no kura redzams, ka tas izrakstīts par veiksmes atlīdzību par pieteicējai veiksmīgu</w:t>
      </w:r>
      <w:r w:rsidR="00AA43B2">
        <w:rPr>
          <w:rFonts w:ascii="TimesNewRomanPSMT" w:hAnsi="TimesNewRomanPSMT" w:cs="TimesNewRomanPSMT"/>
          <w:szCs w:val="24"/>
        </w:rPr>
        <w:t xml:space="preserve"> </w:t>
      </w:r>
      <w:r w:rsidR="00AA43B2" w:rsidRPr="00AA43B2">
        <w:rPr>
          <w:rFonts w:ascii="TimesNewRomanPSMT" w:hAnsi="TimesNewRomanPSMT" w:cs="TimesNewRomanPSMT"/>
          <w:szCs w:val="24"/>
        </w:rPr>
        <w:t>tiesvedības rezultātu, tiesas vērtējumā, tas tieši nav saistāms ar saimnieciskās darbības</w:t>
      </w:r>
      <w:r w:rsidR="00AA43B2">
        <w:rPr>
          <w:rFonts w:ascii="TimesNewRomanPSMT" w:hAnsi="TimesNewRomanPSMT" w:cs="TimesNewRomanPSMT"/>
          <w:szCs w:val="24"/>
        </w:rPr>
        <w:t xml:space="preserve"> </w:t>
      </w:r>
      <w:r w:rsidR="00AA43B2" w:rsidRPr="00AA43B2">
        <w:rPr>
          <w:rFonts w:ascii="TimesNewRomanPSMT" w:hAnsi="TimesNewRomanPSMT" w:cs="TimesNewRomanPSMT"/>
          <w:szCs w:val="24"/>
        </w:rPr>
        <w:t>nodrošināšanu, līdz ar to nav izmantojams priekšnodokļa atskaitīšanai.</w:t>
      </w:r>
    </w:p>
    <w:p w14:paraId="48EB8952" w14:textId="4B70E4B1" w:rsidR="00AA43B2" w:rsidRDefault="00B760F9" w:rsidP="00AA43B2">
      <w:pPr>
        <w:autoSpaceDE w:val="0"/>
        <w:autoSpaceDN w:val="0"/>
        <w:adjustRightInd w:val="0"/>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N</w:t>
      </w:r>
      <w:r w:rsidR="00AA43B2" w:rsidRPr="00AA43B2">
        <w:rPr>
          <w:rFonts w:ascii="TimesNewRomanPSMT" w:hAnsi="TimesNewRomanPSMT" w:cs="TimesNewRomanPSMT"/>
          <w:szCs w:val="24"/>
        </w:rPr>
        <w:t>o ZAB „Reihmanis &amp; Partneri” izrakstītajiem rēķiniem ir iespējams</w:t>
      </w:r>
      <w:r w:rsidR="00AA43B2">
        <w:rPr>
          <w:rFonts w:ascii="TimesNewRomanPSMT" w:hAnsi="TimesNewRomanPSMT" w:cs="TimesNewRomanPSMT"/>
          <w:szCs w:val="24"/>
        </w:rPr>
        <w:t xml:space="preserve"> </w:t>
      </w:r>
      <w:r w:rsidR="00AA43B2" w:rsidRPr="00AA43B2">
        <w:rPr>
          <w:rFonts w:ascii="TimesNewRomanPSMT" w:hAnsi="TimesNewRomanPSMT" w:cs="TimesNewRomanPSMT"/>
          <w:szCs w:val="24"/>
        </w:rPr>
        <w:t>identificēt, par kādiem juridiskiem pakalpojumiem minētie rēķini ir izrakstīti, lietā ir iesniegti</w:t>
      </w:r>
      <w:r w:rsidR="00AA43B2">
        <w:rPr>
          <w:rFonts w:ascii="TimesNewRomanPSMT" w:hAnsi="TimesNewRomanPSMT" w:cs="TimesNewRomanPSMT"/>
          <w:szCs w:val="24"/>
        </w:rPr>
        <w:t xml:space="preserve"> </w:t>
      </w:r>
      <w:r w:rsidR="00AA43B2" w:rsidRPr="00AA43B2">
        <w:rPr>
          <w:rFonts w:ascii="TimesNewRomanPSMT" w:hAnsi="TimesNewRomanPSMT" w:cs="TimesNewRomanPSMT"/>
          <w:szCs w:val="24"/>
        </w:rPr>
        <w:t>detalizēti rēķinos norādīto veikto darbu saraksti</w:t>
      </w:r>
      <w:r>
        <w:rPr>
          <w:rFonts w:ascii="TimesNewRomanPSMT" w:hAnsi="TimesNewRomanPSMT" w:cs="TimesNewRomanPSMT"/>
          <w:szCs w:val="24"/>
        </w:rPr>
        <w:t>.</w:t>
      </w:r>
      <w:r w:rsidR="00AA43B2" w:rsidRPr="00AA43B2">
        <w:rPr>
          <w:rFonts w:ascii="TimesNewRomanPSMT" w:hAnsi="TimesNewRomanPSMT" w:cs="TimesNewRomanPSMT"/>
          <w:szCs w:val="24"/>
        </w:rPr>
        <w:t xml:space="preserve"> </w:t>
      </w:r>
      <w:r>
        <w:rPr>
          <w:rFonts w:ascii="TimesNewRomanPSMT" w:hAnsi="TimesNewRomanPSMT" w:cs="TimesNewRomanPSMT"/>
          <w:szCs w:val="24"/>
        </w:rPr>
        <w:t>N</w:t>
      </w:r>
      <w:r w:rsidR="00AA43B2" w:rsidRPr="00AA43B2">
        <w:rPr>
          <w:rFonts w:ascii="TimesNewRomanPSMT" w:hAnsi="TimesNewRomanPSMT" w:cs="TimesNewRomanPSMT"/>
          <w:szCs w:val="24"/>
        </w:rPr>
        <w:t>erodas šaubas, ka ZAB</w:t>
      </w:r>
      <w:r>
        <w:rPr>
          <w:rFonts w:ascii="TimesNewRomanPSMT" w:hAnsi="TimesNewRomanPSMT" w:cs="TimesNewRomanPSMT"/>
          <w:szCs w:val="24"/>
        </w:rPr>
        <w:t> </w:t>
      </w:r>
      <w:r w:rsidR="00AA43B2" w:rsidRPr="00AA43B2">
        <w:rPr>
          <w:rFonts w:ascii="TimesNewRomanPSMT" w:hAnsi="TimesNewRomanPSMT" w:cs="TimesNewRomanPSMT"/>
          <w:szCs w:val="24"/>
        </w:rPr>
        <w:t>„Reihmanis &amp;</w:t>
      </w:r>
      <w:r w:rsidR="00AA43B2">
        <w:rPr>
          <w:rFonts w:ascii="TimesNewRomanPSMT" w:hAnsi="TimesNewRomanPSMT" w:cs="TimesNewRomanPSMT"/>
          <w:szCs w:val="24"/>
        </w:rPr>
        <w:t xml:space="preserve"> </w:t>
      </w:r>
      <w:r w:rsidR="00AA43B2" w:rsidRPr="00AA43B2">
        <w:rPr>
          <w:rFonts w:ascii="TimesNewRomanPSMT" w:hAnsi="TimesNewRomanPSMT" w:cs="TimesNewRomanPSMT"/>
          <w:szCs w:val="24"/>
        </w:rPr>
        <w:t>Partneri” sniegtie pakalpojumi ir saistīti ar pieteicējas saimniecisko darbību</w:t>
      </w:r>
      <w:r w:rsidR="00B01E68">
        <w:rPr>
          <w:rFonts w:ascii="TimesNewRomanPSMT" w:hAnsi="TimesNewRomanPSMT" w:cs="TimesNewRomanPSMT"/>
          <w:szCs w:val="24"/>
        </w:rPr>
        <w:t>. L</w:t>
      </w:r>
      <w:r w:rsidR="00AA43B2" w:rsidRPr="00AA43B2">
        <w:rPr>
          <w:rFonts w:ascii="TimesNewRomanPSMT" w:hAnsi="TimesNewRomanPSMT" w:cs="TimesNewRomanPSMT"/>
          <w:szCs w:val="24"/>
        </w:rPr>
        <w:t xml:space="preserve">īdz ar to </w:t>
      </w:r>
      <w:r w:rsidR="002B4EDA">
        <w:rPr>
          <w:rFonts w:ascii="TimesNewRomanPSMT" w:hAnsi="TimesNewRomanPSMT" w:cs="TimesNewRomanPSMT"/>
          <w:szCs w:val="24"/>
        </w:rPr>
        <w:t>dienests</w:t>
      </w:r>
      <w:r w:rsidR="00AA43B2">
        <w:rPr>
          <w:rFonts w:ascii="TimesNewRomanPSMT" w:hAnsi="TimesNewRomanPSMT" w:cs="TimesNewRomanPSMT"/>
          <w:szCs w:val="24"/>
        </w:rPr>
        <w:t xml:space="preserve"> </w:t>
      </w:r>
      <w:r w:rsidR="00AA43B2" w:rsidRPr="00AA43B2">
        <w:rPr>
          <w:rFonts w:ascii="TimesNewRomanPSMT" w:hAnsi="TimesNewRomanPSMT" w:cs="TimesNewRomanPSMT"/>
          <w:szCs w:val="24"/>
        </w:rPr>
        <w:t>nepamatoti ir liedzis pieteicējai atskaitīt prie</w:t>
      </w:r>
      <w:r w:rsidR="002B4EDA">
        <w:rPr>
          <w:rFonts w:ascii="TimesNewRomanPSMT" w:hAnsi="TimesNewRomanPSMT" w:cs="TimesNewRomanPSMT"/>
          <w:szCs w:val="24"/>
        </w:rPr>
        <w:t>kšnodokli par darījumiem ar ZAB </w:t>
      </w:r>
      <w:r w:rsidR="00AA43B2" w:rsidRPr="00AA43B2">
        <w:rPr>
          <w:rFonts w:ascii="TimesNewRomanPSMT" w:hAnsi="TimesNewRomanPSMT" w:cs="TimesNewRomanPSMT"/>
          <w:szCs w:val="24"/>
        </w:rPr>
        <w:t>„Reihmanis &amp;</w:t>
      </w:r>
      <w:r w:rsidR="00AA43B2">
        <w:rPr>
          <w:rFonts w:ascii="TimesNewRomanPSMT" w:hAnsi="TimesNewRomanPSMT" w:cs="TimesNewRomanPSMT"/>
          <w:szCs w:val="24"/>
        </w:rPr>
        <w:t xml:space="preserve"> </w:t>
      </w:r>
      <w:r w:rsidR="00AA43B2" w:rsidRPr="00AA43B2">
        <w:rPr>
          <w:rFonts w:ascii="TimesNewRomanPSMT" w:hAnsi="TimesNewRomanPSMT" w:cs="TimesNewRomanPSMT"/>
          <w:szCs w:val="24"/>
        </w:rPr>
        <w:t>Partneri”.</w:t>
      </w:r>
    </w:p>
    <w:p w14:paraId="7FD96F6D" w14:textId="7CC2F6E0" w:rsidR="00AA43B2" w:rsidRDefault="002B4EDA" w:rsidP="002B4EDA">
      <w:pPr>
        <w:autoSpaceDE w:val="0"/>
        <w:autoSpaceDN w:val="0"/>
        <w:adjustRightInd w:val="0"/>
        <w:spacing w:after="0" w:line="276" w:lineRule="auto"/>
        <w:jc w:val="both"/>
        <w:rPr>
          <w:rFonts w:ascii="TimesNewRomanPSMT" w:hAnsi="TimesNewRomanPSMT" w:cs="TimesNewRomanPSMT"/>
          <w:szCs w:val="24"/>
        </w:rPr>
      </w:pPr>
      <w:r>
        <w:rPr>
          <w:rFonts w:ascii="TimesNewRomanPSMT" w:hAnsi="TimesNewRomanPSMT" w:cs="TimesNewRomanPSMT"/>
          <w:szCs w:val="24"/>
        </w:rPr>
        <w:tab/>
        <w:t>[3.</w:t>
      </w:r>
      <w:r w:rsidR="007764E5">
        <w:rPr>
          <w:rFonts w:ascii="TimesNewRomanPSMT" w:hAnsi="TimesNewRomanPSMT" w:cs="TimesNewRomanPSMT"/>
          <w:szCs w:val="24"/>
        </w:rPr>
        <w:t>9</w:t>
      </w:r>
      <w:r>
        <w:rPr>
          <w:rFonts w:ascii="TimesNewRomanPSMT" w:hAnsi="TimesNewRomanPSMT" w:cs="TimesNewRomanPSMT"/>
          <w:szCs w:val="24"/>
        </w:rPr>
        <w:t>] I</w:t>
      </w:r>
      <w:r w:rsidRPr="002B4EDA">
        <w:rPr>
          <w:rFonts w:ascii="TimesNewRomanPSMT" w:hAnsi="TimesNewRomanPSMT" w:cs="TimesNewRomanPSMT"/>
          <w:szCs w:val="24"/>
        </w:rPr>
        <w:t xml:space="preserve">zvērtējot SIA „CEG </w:t>
      </w:r>
      <w:proofErr w:type="spellStart"/>
      <w:r w:rsidRPr="002B4EDA">
        <w:rPr>
          <w:rFonts w:ascii="TimesNewRomanPSMT" w:hAnsi="TimesNewRomanPSMT" w:cs="TimesNewRomanPSMT"/>
          <w:szCs w:val="24"/>
        </w:rPr>
        <w:t>Latvia</w:t>
      </w:r>
      <w:proofErr w:type="spellEnd"/>
      <w:r w:rsidRPr="002B4EDA">
        <w:rPr>
          <w:rFonts w:ascii="TimesNewRomanPSMT" w:hAnsi="TimesNewRomanPSMT" w:cs="TimesNewRomanPSMT"/>
          <w:szCs w:val="24"/>
        </w:rPr>
        <w:t>” izrakstītos rēķinus, konstatē</w:t>
      </w:r>
      <w:r>
        <w:rPr>
          <w:rFonts w:ascii="TimesNewRomanPSMT" w:hAnsi="TimesNewRomanPSMT" w:cs="TimesNewRomanPSMT"/>
          <w:szCs w:val="24"/>
        </w:rPr>
        <w:t>jams</w:t>
      </w:r>
      <w:r w:rsidRPr="002B4EDA">
        <w:rPr>
          <w:rFonts w:ascii="TimesNewRomanPSMT" w:hAnsi="TimesNewRomanPSMT" w:cs="TimesNewRomanPSMT"/>
          <w:szCs w:val="24"/>
        </w:rPr>
        <w:t>, ka nepastāv priekšnoteikumi priekšnodokļa atskaitīšanai par pieteicējas</w:t>
      </w:r>
      <w:r>
        <w:rPr>
          <w:rFonts w:ascii="TimesNewRomanPSMT" w:hAnsi="TimesNewRomanPSMT" w:cs="TimesNewRomanPSMT"/>
          <w:szCs w:val="24"/>
        </w:rPr>
        <w:t xml:space="preserve"> </w:t>
      </w:r>
      <w:r w:rsidRPr="002B4EDA">
        <w:rPr>
          <w:rFonts w:ascii="TimesNewRomanPSMT" w:hAnsi="TimesNewRomanPSMT" w:cs="TimesNewRomanPSMT"/>
          <w:szCs w:val="24"/>
        </w:rPr>
        <w:t xml:space="preserve">darījumiem ar SIA „CEG </w:t>
      </w:r>
      <w:proofErr w:type="spellStart"/>
      <w:r w:rsidRPr="002B4EDA">
        <w:rPr>
          <w:rFonts w:ascii="TimesNewRomanPSMT" w:hAnsi="TimesNewRomanPSMT" w:cs="TimesNewRomanPSMT"/>
          <w:szCs w:val="24"/>
        </w:rPr>
        <w:t>Latvia</w:t>
      </w:r>
      <w:proofErr w:type="spellEnd"/>
      <w:r w:rsidRPr="002B4EDA">
        <w:rPr>
          <w:rFonts w:ascii="TimesNewRomanPSMT" w:hAnsi="TimesNewRomanPSMT" w:cs="TimesNewRomanPSMT"/>
          <w:szCs w:val="24"/>
        </w:rPr>
        <w:t>”, jo rēķini vienīgi satur norādi, ka tie ir izrakstīti par vadības</w:t>
      </w:r>
      <w:r>
        <w:rPr>
          <w:rFonts w:ascii="TimesNewRomanPSMT" w:hAnsi="TimesNewRomanPSMT" w:cs="TimesNewRomanPSMT"/>
          <w:szCs w:val="24"/>
        </w:rPr>
        <w:t xml:space="preserve"> </w:t>
      </w:r>
      <w:r w:rsidRPr="002B4EDA">
        <w:rPr>
          <w:rFonts w:ascii="TimesNewRomanPSMT" w:hAnsi="TimesNewRomanPSMT" w:cs="TimesNewRomanPSMT"/>
          <w:szCs w:val="24"/>
        </w:rPr>
        <w:t xml:space="preserve">pakalpojumiem, taču no tiem nav iespējams noteikt SIA „CEG </w:t>
      </w:r>
      <w:proofErr w:type="spellStart"/>
      <w:r w:rsidRPr="002B4EDA">
        <w:rPr>
          <w:rFonts w:ascii="TimesNewRomanPSMT" w:hAnsi="TimesNewRomanPSMT" w:cs="TimesNewRomanPSMT"/>
          <w:szCs w:val="24"/>
        </w:rPr>
        <w:t>Latvia</w:t>
      </w:r>
      <w:proofErr w:type="spellEnd"/>
      <w:r w:rsidRPr="002B4EDA">
        <w:rPr>
          <w:rFonts w:ascii="TimesNewRomanPSMT" w:hAnsi="TimesNewRomanPSMT" w:cs="TimesNewRomanPSMT"/>
          <w:szCs w:val="24"/>
        </w:rPr>
        <w:t>” sniegto vadības</w:t>
      </w:r>
      <w:r>
        <w:rPr>
          <w:rFonts w:ascii="TimesNewRomanPSMT" w:hAnsi="TimesNewRomanPSMT" w:cs="TimesNewRomanPSMT"/>
          <w:szCs w:val="24"/>
        </w:rPr>
        <w:t xml:space="preserve"> </w:t>
      </w:r>
      <w:r w:rsidR="006E0CD2">
        <w:rPr>
          <w:rFonts w:ascii="TimesNewRomanPSMT" w:hAnsi="TimesNewRomanPSMT" w:cs="TimesNewRomanPSMT"/>
          <w:szCs w:val="24"/>
        </w:rPr>
        <w:t>pakalpojumu būtību. K</w:t>
      </w:r>
      <w:r w:rsidRPr="002B4EDA">
        <w:rPr>
          <w:rFonts w:ascii="TimesNewRomanPSMT" w:hAnsi="TimesNewRomanPSMT" w:cs="TimesNewRomanPSMT"/>
          <w:szCs w:val="24"/>
        </w:rPr>
        <w:t>aut arī tie izrakstīti par ievērojamu summu, nav konstatējami nekādi</w:t>
      </w:r>
      <w:r>
        <w:rPr>
          <w:rFonts w:ascii="TimesNewRomanPSMT" w:hAnsi="TimesNewRomanPSMT" w:cs="TimesNewRomanPSMT"/>
          <w:szCs w:val="24"/>
        </w:rPr>
        <w:t xml:space="preserve"> </w:t>
      </w:r>
      <w:r w:rsidRPr="002B4EDA">
        <w:rPr>
          <w:rFonts w:ascii="TimesNewRomanPSMT" w:hAnsi="TimesNewRomanPSMT" w:cs="TimesNewRomanPSMT"/>
          <w:szCs w:val="24"/>
        </w:rPr>
        <w:t>pielikumi vai atskaites, kuras saturētu pārskatu par tiem v</w:t>
      </w:r>
      <w:r>
        <w:rPr>
          <w:rFonts w:ascii="TimesNewRomanPSMT" w:hAnsi="TimesNewRomanPSMT" w:cs="TimesNewRomanPSMT"/>
          <w:szCs w:val="24"/>
        </w:rPr>
        <w:t>adības pakalpojumiem, kurus SIA </w:t>
      </w:r>
      <w:r w:rsidRPr="002B4EDA">
        <w:rPr>
          <w:rFonts w:ascii="TimesNewRomanPSMT" w:hAnsi="TimesNewRomanPSMT" w:cs="TimesNewRomanPSMT"/>
          <w:szCs w:val="24"/>
        </w:rPr>
        <w:t>„CEG</w:t>
      </w:r>
      <w:r>
        <w:rPr>
          <w:rFonts w:ascii="TimesNewRomanPSMT" w:hAnsi="TimesNewRomanPSMT" w:cs="TimesNewRomanPSMT"/>
          <w:szCs w:val="24"/>
        </w:rPr>
        <w:t xml:space="preserve"> </w:t>
      </w:r>
      <w:proofErr w:type="spellStart"/>
      <w:r w:rsidRPr="002B4EDA">
        <w:rPr>
          <w:rFonts w:ascii="TimesNewRomanPSMT" w:hAnsi="TimesNewRomanPSMT" w:cs="TimesNewRomanPSMT"/>
          <w:szCs w:val="24"/>
        </w:rPr>
        <w:t>La</w:t>
      </w:r>
      <w:r w:rsidR="006E0CD2">
        <w:rPr>
          <w:rFonts w:ascii="TimesNewRomanPSMT" w:hAnsi="TimesNewRomanPSMT" w:cs="TimesNewRomanPSMT"/>
          <w:szCs w:val="24"/>
        </w:rPr>
        <w:t>tvia</w:t>
      </w:r>
      <w:proofErr w:type="spellEnd"/>
      <w:r w:rsidR="006E0CD2">
        <w:rPr>
          <w:rFonts w:ascii="TimesNewRomanPSMT" w:hAnsi="TimesNewRomanPSMT" w:cs="TimesNewRomanPSMT"/>
          <w:szCs w:val="24"/>
        </w:rPr>
        <w:t>” ir sniegusi pieteicējai. L</w:t>
      </w:r>
      <w:r w:rsidRPr="002B4EDA">
        <w:rPr>
          <w:rFonts w:ascii="TimesNewRomanPSMT" w:hAnsi="TimesNewRomanPSMT" w:cs="TimesNewRomanPSMT"/>
          <w:szCs w:val="24"/>
        </w:rPr>
        <w:t xml:space="preserve">īdz ar to nevar noteikt to saistību ar pieteicējas ar </w:t>
      </w:r>
      <w:r>
        <w:rPr>
          <w:rFonts w:ascii="TimesNewRomanPSMT" w:hAnsi="TimesNewRomanPSMT" w:cs="TimesNewRomanPSMT"/>
          <w:szCs w:val="24"/>
        </w:rPr>
        <w:t>pievienotās vērtības nodokli</w:t>
      </w:r>
      <w:r w:rsidRPr="002B4EDA">
        <w:rPr>
          <w:rFonts w:ascii="TimesNewRomanPSMT" w:hAnsi="TimesNewRomanPSMT" w:cs="TimesNewRomanPSMT"/>
          <w:szCs w:val="24"/>
        </w:rPr>
        <w:t xml:space="preserve"> apliekamo</w:t>
      </w:r>
      <w:r>
        <w:rPr>
          <w:rFonts w:ascii="TimesNewRomanPSMT" w:hAnsi="TimesNewRomanPSMT" w:cs="TimesNewRomanPSMT"/>
          <w:szCs w:val="24"/>
        </w:rPr>
        <w:t xml:space="preserve"> darījumu </w:t>
      </w:r>
      <w:r>
        <w:rPr>
          <w:rFonts w:ascii="TimesNewRomanPSMT" w:hAnsi="TimesNewRomanPSMT" w:cs="TimesNewRomanPSMT"/>
          <w:szCs w:val="24"/>
        </w:rPr>
        <w:lastRenderedPageBreak/>
        <w:t xml:space="preserve">nodrošināšanu. Turklāt apstāklis, ka pieteicējas darbinieks </w:t>
      </w:r>
      <w:proofErr w:type="spellStart"/>
      <w:r w:rsidRPr="00AF46DE">
        <w:rPr>
          <w:rFonts w:ascii="TimesNewRomanPSMT" w:hAnsi="TimesNewRomanPSMT" w:cs="TimesNewRomanPSMT"/>
          <w:i/>
          <w:szCs w:val="24"/>
        </w:rPr>
        <w:t>Neil</w:t>
      </w:r>
      <w:proofErr w:type="spellEnd"/>
      <w:r w:rsidRPr="00AF46DE">
        <w:rPr>
          <w:rFonts w:ascii="TimesNewRomanPSMT" w:hAnsi="TimesNewRomanPSMT" w:cs="TimesNewRomanPSMT"/>
          <w:i/>
          <w:szCs w:val="24"/>
        </w:rPr>
        <w:t xml:space="preserve"> Daniel </w:t>
      </w:r>
      <w:proofErr w:type="spellStart"/>
      <w:r w:rsidRPr="00AF46DE">
        <w:rPr>
          <w:rFonts w:ascii="TimesNewRomanPSMT" w:hAnsi="TimesNewRomanPSMT" w:cs="TimesNewRomanPSMT"/>
          <w:i/>
          <w:szCs w:val="24"/>
        </w:rPr>
        <w:t>Gillespie</w:t>
      </w:r>
      <w:proofErr w:type="spellEnd"/>
      <w:r w:rsidRPr="00AF46DE">
        <w:rPr>
          <w:rFonts w:ascii="TimesNewRomanPSMT" w:hAnsi="TimesNewRomanPSMT" w:cs="TimesNewRomanPSMT"/>
          <w:i/>
          <w:szCs w:val="24"/>
        </w:rPr>
        <w:t xml:space="preserve"> </w:t>
      </w:r>
      <w:proofErr w:type="spellStart"/>
      <w:r w:rsidRPr="00AF46DE">
        <w:rPr>
          <w:rFonts w:ascii="TimesNewRomanPSMT" w:hAnsi="TimesNewRomanPSMT" w:cs="TimesNewRomanPSMT"/>
          <w:i/>
          <w:szCs w:val="24"/>
        </w:rPr>
        <w:t>Jennings</w:t>
      </w:r>
      <w:proofErr w:type="spellEnd"/>
      <w:r>
        <w:rPr>
          <w:rFonts w:ascii="TimesNewRomanPSMT" w:hAnsi="TimesNewRomanPSMT" w:cs="TimesNewRomanPSMT"/>
          <w:szCs w:val="24"/>
        </w:rPr>
        <w:t xml:space="preserve"> vēlāk kļuvis par SIA „CEG </w:t>
      </w:r>
      <w:proofErr w:type="spellStart"/>
      <w:r>
        <w:rPr>
          <w:rFonts w:ascii="TimesNewRomanPSMT" w:hAnsi="TimesNewRomanPSMT" w:cs="TimesNewRomanPSMT"/>
          <w:szCs w:val="24"/>
        </w:rPr>
        <w:t>Latvia</w:t>
      </w:r>
      <w:proofErr w:type="spellEnd"/>
      <w:r>
        <w:rPr>
          <w:rFonts w:ascii="TimesNewRomanPSMT" w:hAnsi="TimesNewRomanPSMT" w:cs="TimesNewRomanPSMT"/>
          <w:szCs w:val="24"/>
        </w:rPr>
        <w:t xml:space="preserve">” valdes locekli, netieši norāda uz to, ka pieteicēja un SIA „CEG </w:t>
      </w:r>
      <w:proofErr w:type="spellStart"/>
      <w:r>
        <w:rPr>
          <w:rFonts w:ascii="TimesNewRomanPSMT" w:hAnsi="TimesNewRomanPSMT" w:cs="TimesNewRomanPSMT"/>
          <w:szCs w:val="24"/>
        </w:rPr>
        <w:t>Latvia</w:t>
      </w:r>
      <w:proofErr w:type="spellEnd"/>
      <w:r>
        <w:rPr>
          <w:rFonts w:ascii="TimesNewRomanPSMT" w:hAnsi="TimesNewRomanPSMT" w:cs="TimesNewRomanPSMT"/>
          <w:szCs w:val="24"/>
        </w:rPr>
        <w:t>” varētu būt veikušas saskaņotas darbības, noformējot faktiskiem darījumiem neatbilstošus rēķinus, tādējādi ar priekšnodokļa atskaitīšanu centušās iegūt kādas fiskālas priekšrocības.</w:t>
      </w:r>
    </w:p>
    <w:p w14:paraId="01256CB1" w14:textId="1FAC6798" w:rsidR="003201E4" w:rsidRDefault="003201E4" w:rsidP="003201E4">
      <w:pPr>
        <w:autoSpaceDE w:val="0"/>
        <w:autoSpaceDN w:val="0"/>
        <w:adjustRightInd w:val="0"/>
        <w:spacing w:after="0" w:line="276" w:lineRule="auto"/>
        <w:ind w:firstLine="720"/>
        <w:jc w:val="both"/>
        <w:rPr>
          <w:rFonts w:ascii="TimesNewRomanPSMT" w:hAnsi="TimesNewRomanPSMT" w:cs="TimesNewRomanPSMT"/>
          <w:szCs w:val="24"/>
        </w:rPr>
      </w:pPr>
      <w:r>
        <w:rPr>
          <w:rFonts w:ascii="TimesNewRomanPSMT" w:hAnsi="TimesNewRomanPSMT" w:cs="TimesNewRomanPSMT"/>
          <w:szCs w:val="24"/>
        </w:rPr>
        <w:t xml:space="preserve">Tā kā par pieteicējas darījumiem ar SIA „CEG </w:t>
      </w:r>
      <w:proofErr w:type="spellStart"/>
      <w:r>
        <w:rPr>
          <w:rFonts w:ascii="TimesNewRomanPSMT" w:hAnsi="TimesNewRomanPSMT" w:cs="TimesNewRomanPSMT"/>
          <w:szCs w:val="24"/>
        </w:rPr>
        <w:t>Latvia</w:t>
      </w:r>
      <w:proofErr w:type="spellEnd"/>
      <w:r>
        <w:rPr>
          <w:rFonts w:ascii="TimesNewRomanPSMT" w:hAnsi="TimesNewRomanPSMT" w:cs="TimesNewRomanPSMT"/>
          <w:szCs w:val="24"/>
        </w:rPr>
        <w:t xml:space="preserve">” nav grāmatvedības attaisnojuma dokumentu, no kuriem būtu identificējama sniegto vadības pakalpojumu būtība, nav arī pamata priekšnodokļa atskaitīšanai. Attiecībā uz saimnieciskā darījuma norisi, aprakstu un pamatojumu tiesību normas paredz noteiktus pierādīšanas līdzekļus – grāmatvedības attaisnojuma dokumentus. Ja grāmatvedības attaisnojuma dokumentu nav, tos nevar aizstāt liecinieka liecības. Līdz ar to nav nepieciešams izsaukt kā liecinieku SIA „CEG </w:t>
      </w:r>
      <w:proofErr w:type="spellStart"/>
      <w:r>
        <w:rPr>
          <w:rFonts w:ascii="TimesNewRomanPSMT" w:hAnsi="TimesNewRomanPSMT" w:cs="TimesNewRomanPSMT"/>
          <w:szCs w:val="24"/>
        </w:rPr>
        <w:t>Latvia</w:t>
      </w:r>
      <w:proofErr w:type="spellEnd"/>
      <w:r>
        <w:rPr>
          <w:rFonts w:ascii="TimesNewRomanPSMT" w:hAnsi="TimesNewRomanPSMT" w:cs="TimesNewRomanPSMT"/>
          <w:szCs w:val="24"/>
        </w:rPr>
        <w:t xml:space="preserve">” amatpersonu strīdus darījumu laikā. Turklāt šī amatpersona </w:t>
      </w:r>
      <w:proofErr w:type="gramStart"/>
      <w:r>
        <w:rPr>
          <w:rFonts w:ascii="TimesNewRomanPSMT" w:hAnsi="TimesNewRomanPSMT" w:cs="TimesNewRomanPSMT"/>
          <w:szCs w:val="24"/>
        </w:rPr>
        <w:t>2012.gada</w:t>
      </w:r>
      <w:proofErr w:type="gramEnd"/>
      <w:r>
        <w:rPr>
          <w:rFonts w:ascii="TimesNewRomanPSMT" w:hAnsi="TimesNewRomanPSMT" w:cs="TimesNewRomanPSMT"/>
          <w:szCs w:val="24"/>
        </w:rPr>
        <w:t xml:space="preserve"> 8.februārī ir sniegusi paskaidrojumu dienestam par darījumiem ar pieteicēju, norādot, ka prezentējusi sabiedrību gan Šveices dalībniekiem, gan potenciāliem uzņēmumiem, kuri varētu pārņemt vadības pakalpojumu sniegšanu. Tādējādi šis paskaidrojums apstiprina jau iepriekš secināto, ka darījumu būtība nav</w:t>
      </w:r>
    </w:p>
    <w:p w14:paraId="3A225DFC" w14:textId="13C76BD0" w:rsidR="003201E4" w:rsidRDefault="003201E4" w:rsidP="003201E4">
      <w:pPr>
        <w:autoSpaceDE w:val="0"/>
        <w:autoSpaceDN w:val="0"/>
        <w:adjustRightInd w:val="0"/>
        <w:spacing w:after="0" w:line="276" w:lineRule="auto"/>
        <w:jc w:val="both"/>
        <w:rPr>
          <w:rFonts w:ascii="TimesNewRomanPSMT" w:hAnsi="TimesNewRomanPSMT" w:cs="TimesNewRomanPSMT"/>
          <w:szCs w:val="24"/>
        </w:rPr>
      </w:pPr>
      <w:r>
        <w:rPr>
          <w:rFonts w:ascii="TimesNewRomanPSMT" w:hAnsi="TimesNewRomanPSMT" w:cs="TimesNewRomanPSMT"/>
          <w:szCs w:val="24"/>
        </w:rPr>
        <w:t>konstatējama.</w:t>
      </w:r>
    </w:p>
    <w:p w14:paraId="11DCFA82" w14:textId="54F53FA8" w:rsidR="002B4EDA" w:rsidRDefault="002B4EDA" w:rsidP="002B4EDA">
      <w:pPr>
        <w:autoSpaceDE w:val="0"/>
        <w:autoSpaceDN w:val="0"/>
        <w:adjustRightInd w:val="0"/>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[3.1</w:t>
      </w:r>
      <w:r w:rsidR="007764E5">
        <w:rPr>
          <w:rFonts w:ascii="TimesNewRomanPSMT" w:hAnsi="TimesNewRomanPSMT" w:cs="TimesNewRomanPSMT"/>
          <w:szCs w:val="24"/>
        </w:rPr>
        <w:t>0</w:t>
      </w:r>
      <w:r>
        <w:rPr>
          <w:rFonts w:ascii="TimesNewRomanPSMT" w:hAnsi="TimesNewRomanPSMT" w:cs="TimesNewRomanPSMT"/>
          <w:szCs w:val="24"/>
        </w:rPr>
        <w:t>] I</w:t>
      </w:r>
      <w:r w:rsidRPr="002B4EDA">
        <w:rPr>
          <w:rFonts w:ascii="TimesNewRomanPSMT" w:hAnsi="TimesNewRomanPSMT" w:cs="TimesNewRomanPSMT"/>
          <w:szCs w:val="24"/>
        </w:rPr>
        <w:t>zvērtējot</w:t>
      </w:r>
      <w:r w:rsidR="00893500">
        <w:rPr>
          <w:rFonts w:ascii="TimesNewRomanPSMT" w:hAnsi="TimesNewRomanPSMT" w:cs="TimesNewRomanPSMT"/>
          <w:szCs w:val="24"/>
        </w:rPr>
        <w:t xml:space="preserve"> SIA „NP </w:t>
      </w:r>
      <w:proofErr w:type="spellStart"/>
      <w:r w:rsidR="00893500">
        <w:rPr>
          <w:rFonts w:ascii="TimesNewRomanPSMT" w:hAnsi="TimesNewRomanPSMT" w:cs="TimesNewRomanPSMT"/>
          <w:szCs w:val="24"/>
        </w:rPr>
        <w:t>Proper</w:t>
      </w:r>
      <w:r w:rsidR="006118A1">
        <w:rPr>
          <w:rFonts w:ascii="TimesNewRomanPSMT" w:hAnsi="TimesNewRomanPSMT" w:cs="TimesNewRomanPSMT"/>
          <w:szCs w:val="24"/>
        </w:rPr>
        <w:t>t</w:t>
      </w:r>
      <w:r w:rsidR="00893500">
        <w:rPr>
          <w:rFonts w:ascii="TimesNewRomanPSMT" w:hAnsi="TimesNewRomanPSMT" w:cs="TimesNewRomanPSMT"/>
          <w:szCs w:val="24"/>
        </w:rPr>
        <w:t>ies</w:t>
      </w:r>
      <w:proofErr w:type="spellEnd"/>
      <w:r w:rsidR="00893500">
        <w:rPr>
          <w:rFonts w:ascii="TimesNewRomanPSMT" w:hAnsi="TimesNewRomanPSMT" w:cs="TimesNewRomanPSMT"/>
          <w:szCs w:val="24"/>
        </w:rPr>
        <w:t xml:space="preserve">” </w:t>
      </w:r>
      <w:r w:rsidR="00C70A8A">
        <w:rPr>
          <w:rFonts w:ascii="TimesNewRomanPSMT" w:hAnsi="TimesNewRomanPSMT" w:cs="TimesNewRomanPSMT"/>
          <w:szCs w:val="24"/>
        </w:rPr>
        <w:t xml:space="preserve">rēķinus, </w:t>
      </w:r>
      <w:r w:rsidRPr="002B4EDA">
        <w:rPr>
          <w:rFonts w:ascii="TimesNewRomanPSMT" w:hAnsi="TimesNewRomanPSMT" w:cs="TimesNewRomanPSMT"/>
          <w:szCs w:val="24"/>
        </w:rPr>
        <w:t>nav pamata apšaubīt, ka darījumi faktiski ir notikuši, tie ir</w:t>
      </w:r>
      <w:r>
        <w:rPr>
          <w:rFonts w:ascii="TimesNewRomanPSMT" w:hAnsi="TimesNewRomanPSMT" w:cs="TimesNewRomanPSMT"/>
          <w:szCs w:val="24"/>
        </w:rPr>
        <w:t xml:space="preserve"> </w:t>
      </w:r>
      <w:r w:rsidRPr="002B4EDA">
        <w:rPr>
          <w:rFonts w:ascii="TimesNewRomanPSMT" w:hAnsi="TimesNewRomanPSMT" w:cs="TimesNewRomanPSMT"/>
          <w:szCs w:val="24"/>
        </w:rPr>
        <w:t>saistīti ar pieteicējas saimniecisko darbību</w:t>
      </w:r>
      <w:r w:rsidR="00C70A8A">
        <w:rPr>
          <w:rFonts w:ascii="TimesNewRomanPSMT" w:hAnsi="TimesNewRomanPSMT" w:cs="TimesNewRomanPSMT"/>
          <w:szCs w:val="24"/>
        </w:rPr>
        <w:t>,</w:t>
      </w:r>
      <w:r w:rsidRPr="002B4EDA">
        <w:rPr>
          <w:rFonts w:ascii="TimesNewRomanPSMT" w:hAnsi="TimesNewRomanPSMT" w:cs="TimesNewRomanPSMT"/>
          <w:szCs w:val="24"/>
        </w:rPr>
        <w:t xml:space="preserve"> ir gūstams pietiek</w:t>
      </w:r>
      <w:r w:rsidR="005B7EF1">
        <w:rPr>
          <w:rFonts w:ascii="TimesNewRomanPSMT" w:hAnsi="TimesNewRomanPSMT" w:cs="TimesNewRomanPSMT"/>
          <w:szCs w:val="24"/>
        </w:rPr>
        <w:t>am</w:t>
      </w:r>
      <w:r w:rsidRPr="002B4EDA">
        <w:rPr>
          <w:rFonts w:ascii="TimesNewRomanPSMT" w:hAnsi="TimesNewRomanPSMT" w:cs="TimesNewRomanPSMT"/>
          <w:szCs w:val="24"/>
        </w:rPr>
        <w:t>s priekšstats, kādas darbības ti</w:t>
      </w:r>
      <w:r w:rsidR="0080782F">
        <w:rPr>
          <w:rFonts w:ascii="TimesNewRomanPSMT" w:hAnsi="TimesNewRomanPSMT" w:cs="TimesNewRomanPSMT"/>
          <w:szCs w:val="24"/>
        </w:rPr>
        <w:t xml:space="preserve">eši saskaņā ar līgumu veiktas. </w:t>
      </w:r>
      <w:r w:rsidR="00C70A8A">
        <w:rPr>
          <w:rFonts w:ascii="TimesNewRomanPSMT" w:hAnsi="TimesNewRomanPSMT" w:cs="TimesNewRomanPSMT"/>
          <w:szCs w:val="24"/>
        </w:rPr>
        <w:t>L</w:t>
      </w:r>
      <w:r w:rsidRPr="002B4EDA">
        <w:rPr>
          <w:rFonts w:ascii="TimesNewRomanPSMT" w:hAnsi="TimesNewRomanPSMT" w:cs="TimesNewRomanPSMT"/>
          <w:szCs w:val="24"/>
        </w:rPr>
        <w:t xml:space="preserve">īdz ar to </w:t>
      </w:r>
      <w:r w:rsidR="00CC4B3C">
        <w:rPr>
          <w:rFonts w:ascii="TimesNewRomanPSMT" w:hAnsi="TimesNewRomanPSMT" w:cs="TimesNewRomanPSMT"/>
          <w:szCs w:val="24"/>
        </w:rPr>
        <w:t>dienests</w:t>
      </w:r>
      <w:r>
        <w:rPr>
          <w:rFonts w:ascii="TimesNewRomanPSMT" w:hAnsi="TimesNewRomanPSMT" w:cs="TimesNewRomanPSMT"/>
          <w:szCs w:val="24"/>
        </w:rPr>
        <w:t xml:space="preserve"> </w:t>
      </w:r>
      <w:r w:rsidRPr="002B4EDA">
        <w:rPr>
          <w:rFonts w:ascii="TimesNewRomanPSMT" w:hAnsi="TimesNewRomanPSMT" w:cs="TimesNewRomanPSMT"/>
          <w:szCs w:val="24"/>
        </w:rPr>
        <w:t>nepamatoti liedzis</w:t>
      </w:r>
      <w:r w:rsidR="00CC4B3C">
        <w:rPr>
          <w:rFonts w:ascii="TimesNewRomanPSMT" w:hAnsi="TimesNewRomanPSMT" w:cs="TimesNewRomanPSMT"/>
          <w:szCs w:val="24"/>
        </w:rPr>
        <w:t xml:space="preserve"> tiesības</w:t>
      </w:r>
      <w:r w:rsidR="00CC4B3C" w:rsidRPr="00CC4B3C">
        <w:rPr>
          <w:rFonts w:ascii="TimesNewRomanPSMT" w:hAnsi="TimesNewRomanPSMT" w:cs="TimesNewRomanPSMT"/>
          <w:szCs w:val="24"/>
        </w:rPr>
        <w:t xml:space="preserve"> </w:t>
      </w:r>
      <w:r w:rsidR="00CC4B3C" w:rsidRPr="002B4EDA">
        <w:rPr>
          <w:rFonts w:ascii="TimesNewRomanPSMT" w:hAnsi="TimesNewRomanPSMT" w:cs="TimesNewRomanPSMT"/>
          <w:szCs w:val="24"/>
        </w:rPr>
        <w:t>atskaitīt</w:t>
      </w:r>
      <w:r w:rsidR="00CC4B3C">
        <w:rPr>
          <w:rFonts w:ascii="TimesNewRomanPSMT" w:hAnsi="TimesNewRomanPSMT" w:cs="TimesNewRomanPSMT"/>
          <w:szCs w:val="24"/>
        </w:rPr>
        <w:t xml:space="preserve"> </w:t>
      </w:r>
      <w:r w:rsidR="00CC4B3C" w:rsidRPr="002B4EDA">
        <w:rPr>
          <w:rFonts w:ascii="TimesNewRomanPSMT" w:hAnsi="TimesNewRomanPSMT" w:cs="TimesNewRomanPSMT"/>
          <w:szCs w:val="24"/>
        </w:rPr>
        <w:t>priekšnodokli</w:t>
      </w:r>
      <w:r w:rsidRPr="002B4EDA">
        <w:rPr>
          <w:rFonts w:ascii="TimesNewRomanPSMT" w:hAnsi="TimesNewRomanPSMT" w:cs="TimesNewRomanPSMT"/>
          <w:szCs w:val="24"/>
        </w:rPr>
        <w:t xml:space="preserve">, pamatojoties uz SIA „NP </w:t>
      </w:r>
      <w:proofErr w:type="spellStart"/>
      <w:r w:rsidRPr="002B4EDA">
        <w:rPr>
          <w:rFonts w:ascii="TimesNewRomanPSMT" w:hAnsi="TimesNewRomanPSMT" w:cs="TimesNewRomanPSMT"/>
          <w:szCs w:val="24"/>
        </w:rPr>
        <w:t>Properties</w:t>
      </w:r>
      <w:proofErr w:type="spellEnd"/>
      <w:r w:rsidRPr="002B4EDA">
        <w:rPr>
          <w:rFonts w:ascii="TimesNewRomanPSMT" w:hAnsi="TimesNewRomanPSMT" w:cs="TimesNewRomanPSMT"/>
          <w:szCs w:val="24"/>
        </w:rPr>
        <w:t>” izrakstītajiem rēķiniem.</w:t>
      </w:r>
    </w:p>
    <w:p w14:paraId="7582934D" w14:textId="11B88583" w:rsidR="00CC4B3C" w:rsidRDefault="00CC4B3C" w:rsidP="00235C72">
      <w:pPr>
        <w:autoSpaceDE w:val="0"/>
        <w:autoSpaceDN w:val="0"/>
        <w:adjustRightInd w:val="0"/>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[3.</w:t>
      </w:r>
      <w:r w:rsidR="007764E5">
        <w:rPr>
          <w:rFonts w:ascii="TimesNewRomanPSMT" w:hAnsi="TimesNewRomanPSMT" w:cs="TimesNewRomanPSMT"/>
          <w:szCs w:val="24"/>
        </w:rPr>
        <w:t>11</w:t>
      </w:r>
      <w:r>
        <w:rPr>
          <w:rFonts w:ascii="TimesNewRomanPSMT" w:hAnsi="TimesNewRomanPSMT" w:cs="TimesNewRomanPSMT"/>
          <w:szCs w:val="24"/>
        </w:rPr>
        <w:t xml:space="preserve">] </w:t>
      </w:r>
      <w:r w:rsidR="00C70A8A">
        <w:rPr>
          <w:rFonts w:ascii="TimesNewRomanPSMT" w:hAnsi="TimesNewRomanPSMT" w:cs="TimesNewRomanPSMT"/>
          <w:szCs w:val="24"/>
        </w:rPr>
        <w:t>N</w:t>
      </w:r>
      <w:r w:rsidR="00235C72" w:rsidRPr="00235C72">
        <w:rPr>
          <w:rFonts w:ascii="TimesNewRomanPSMT" w:hAnsi="TimesNewRomanPSMT" w:cs="TimesNewRomanPSMT"/>
          <w:szCs w:val="24"/>
        </w:rPr>
        <w:t xml:space="preserve">av šaubu, ka darījums </w:t>
      </w:r>
      <w:r w:rsidR="00C70A8A">
        <w:rPr>
          <w:rFonts w:ascii="TimesNewRomanPSMT" w:hAnsi="TimesNewRomanPSMT" w:cs="TimesNewRomanPSMT"/>
          <w:szCs w:val="24"/>
        </w:rPr>
        <w:t xml:space="preserve">ar </w:t>
      </w:r>
      <w:r w:rsidR="00C70A8A" w:rsidRPr="00235C72">
        <w:rPr>
          <w:rFonts w:ascii="TimesNewRomanPSMT" w:hAnsi="TimesNewRomanPSMT" w:cs="TimesNewRomanPSMT"/>
          <w:szCs w:val="24"/>
        </w:rPr>
        <w:t>SIA „</w:t>
      </w:r>
      <w:proofErr w:type="spellStart"/>
      <w:r w:rsidR="00C70A8A" w:rsidRPr="00235C72">
        <w:rPr>
          <w:rFonts w:ascii="TimesNewRomanPSMT" w:hAnsi="TimesNewRomanPSMT" w:cs="TimesNewRomanPSMT"/>
          <w:szCs w:val="24"/>
        </w:rPr>
        <w:t>Immostate</w:t>
      </w:r>
      <w:proofErr w:type="spellEnd"/>
      <w:r w:rsidR="00C70A8A" w:rsidRPr="00235C72">
        <w:rPr>
          <w:rFonts w:ascii="TimesNewRomanPSMT" w:hAnsi="TimesNewRomanPSMT" w:cs="TimesNewRomanPSMT"/>
          <w:szCs w:val="24"/>
        </w:rPr>
        <w:t>”</w:t>
      </w:r>
      <w:r w:rsidR="00C70A8A">
        <w:rPr>
          <w:rFonts w:ascii="TimesNewRomanPSMT" w:hAnsi="TimesNewRomanPSMT" w:cs="TimesNewRomanPSMT"/>
          <w:szCs w:val="24"/>
        </w:rPr>
        <w:t xml:space="preserve"> (nekustamā īpašuma novērtējums)</w:t>
      </w:r>
      <w:r w:rsidR="00C70A8A" w:rsidRPr="00235C72">
        <w:rPr>
          <w:rFonts w:ascii="TimesNewRomanPSMT" w:hAnsi="TimesNewRomanPSMT" w:cs="TimesNewRomanPSMT"/>
          <w:szCs w:val="24"/>
        </w:rPr>
        <w:t xml:space="preserve"> </w:t>
      </w:r>
      <w:r w:rsidR="00235C72" w:rsidRPr="00235C72">
        <w:rPr>
          <w:rFonts w:ascii="TimesNewRomanPSMT" w:hAnsi="TimesNewRomanPSMT" w:cs="TimesNewRomanPSMT"/>
          <w:szCs w:val="24"/>
        </w:rPr>
        <w:t>faktiski ir noticis. Turklāt</w:t>
      </w:r>
      <w:r w:rsidR="006118A1">
        <w:rPr>
          <w:rFonts w:ascii="TimesNewRomanPSMT" w:hAnsi="TimesNewRomanPSMT" w:cs="TimesNewRomanPSMT"/>
          <w:szCs w:val="24"/>
        </w:rPr>
        <w:t>,</w:t>
      </w:r>
      <w:r w:rsidR="00235C72" w:rsidRPr="00235C72">
        <w:rPr>
          <w:rFonts w:ascii="TimesNewRomanPSMT" w:hAnsi="TimesNewRomanPSMT" w:cs="TimesNewRomanPSMT"/>
          <w:szCs w:val="24"/>
        </w:rPr>
        <w:t xml:space="preserve"> tā</w:t>
      </w:r>
      <w:r w:rsidR="00235C72">
        <w:rPr>
          <w:rFonts w:ascii="TimesNewRomanPSMT" w:hAnsi="TimesNewRomanPSMT" w:cs="TimesNewRomanPSMT"/>
          <w:szCs w:val="24"/>
        </w:rPr>
        <w:t xml:space="preserve"> </w:t>
      </w:r>
      <w:r w:rsidR="00235C72" w:rsidRPr="00235C72">
        <w:rPr>
          <w:rFonts w:ascii="TimesNewRomanPSMT" w:hAnsi="TimesNewRomanPSMT" w:cs="TimesNewRomanPSMT"/>
          <w:szCs w:val="24"/>
        </w:rPr>
        <w:t>kā nekustamo īpašumu novērtējums ietilpst saimnieciskās darbības jēdzienā kā sagatavošanās darbs</w:t>
      </w:r>
      <w:r w:rsidR="00235C72">
        <w:rPr>
          <w:rFonts w:ascii="TimesNewRomanPSMT" w:hAnsi="TimesNewRomanPSMT" w:cs="TimesNewRomanPSMT"/>
          <w:szCs w:val="24"/>
        </w:rPr>
        <w:t xml:space="preserve"> </w:t>
      </w:r>
      <w:r w:rsidR="00235C72" w:rsidRPr="00235C72">
        <w:rPr>
          <w:rFonts w:ascii="TimesNewRomanPSMT" w:hAnsi="TimesNewRomanPSMT" w:cs="TimesNewRomanPSMT"/>
          <w:szCs w:val="24"/>
        </w:rPr>
        <w:t>apliekamo darījumu veikšanai, ta</w:t>
      </w:r>
      <w:r w:rsidR="00235C72">
        <w:rPr>
          <w:rFonts w:ascii="TimesNewRomanPSMT" w:hAnsi="TimesNewRomanPSMT" w:cs="TimesNewRomanPSMT"/>
          <w:szCs w:val="24"/>
        </w:rPr>
        <w:t xml:space="preserve">d pieteicējai bija tiesības </w:t>
      </w:r>
      <w:r w:rsidR="00C70A8A">
        <w:rPr>
          <w:rFonts w:ascii="TimesNewRomanPSMT" w:hAnsi="TimesNewRomanPSMT" w:cs="TimesNewRomanPSMT"/>
          <w:szCs w:val="24"/>
        </w:rPr>
        <w:t xml:space="preserve">atskaitīt </w:t>
      </w:r>
      <w:r w:rsidR="00235C72" w:rsidRPr="00235C72">
        <w:rPr>
          <w:rFonts w:ascii="TimesNewRomanPSMT" w:hAnsi="TimesNewRomanPSMT" w:cs="TimesNewRomanPSMT"/>
          <w:szCs w:val="24"/>
        </w:rPr>
        <w:t>priekšnodok</w:t>
      </w:r>
      <w:r w:rsidR="00C70A8A">
        <w:rPr>
          <w:rFonts w:ascii="TimesNewRomanPSMT" w:hAnsi="TimesNewRomanPSMT" w:cs="TimesNewRomanPSMT"/>
          <w:szCs w:val="24"/>
        </w:rPr>
        <w:t>l</w:t>
      </w:r>
      <w:r w:rsidR="00235C72" w:rsidRPr="00235C72">
        <w:rPr>
          <w:rFonts w:ascii="TimesNewRomanPSMT" w:hAnsi="TimesNewRomanPSMT" w:cs="TimesNewRomanPSMT"/>
          <w:szCs w:val="24"/>
        </w:rPr>
        <w:t xml:space="preserve">i. </w:t>
      </w:r>
    </w:p>
    <w:p w14:paraId="438A505D" w14:textId="031753FB" w:rsidR="00235C72" w:rsidRDefault="00235C72" w:rsidP="00685712">
      <w:pPr>
        <w:autoSpaceDE w:val="0"/>
        <w:autoSpaceDN w:val="0"/>
        <w:adjustRightInd w:val="0"/>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[3.1</w:t>
      </w:r>
      <w:r w:rsidR="007764E5">
        <w:rPr>
          <w:rFonts w:ascii="TimesNewRomanPSMT" w:hAnsi="TimesNewRomanPSMT" w:cs="TimesNewRomanPSMT"/>
          <w:szCs w:val="24"/>
        </w:rPr>
        <w:t>2</w:t>
      </w:r>
      <w:r>
        <w:rPr>
          <w:rFonts w:ascii="TimesNewRomanPSMT" w:hAnsi="TimesNewRomanPSMT" w:cs="TimesNewRomanPSMT"/>
          <w:szCs w:val="24"/>
        </w:rPr>
        <w:t xml:space="preserve">] </w:t>
      </w:r>
      <w:r w:rsidR="00C70A8A">
        <w:rPr>
          <w:rFonts w:ascii="TimesNewRomanPSMT" w:hAnsi="TimesNewRomanPSMT" w:cs="TimesNewRomanPSMT"/>
          <w:szCs w:val="24"/>
        </w:rPr>
        <w:t>Darījumi saistībā ar teritorijas sakopšanu (</w:t>
      </w:r>
      <w:r>
        <w:rPr>
          <w:rFonts w:ascii="TimesNewRomanPSMT" w:hAnsi="TimesNewRomanPSMT" w:cs="TimesNewRomanPSMT"/>
          <w:szCs w:val="24"/>
        </w:rPr>
        <w:t>SIA „</w:t>
      </w:r>
      <w:r w:rsidR="0080782F">
        <w:rPr>
          <w:rFonts w:ascii="TimesNewRomanPSMT" w:hAnsi="TimesNewRomanPSMT" w:cs="TimesNewRomanPSMT"/>
          <w:szCs w:val="24"/>
        </w:rPr>
        <w:t>Serviss &amp; Kompānija</w:t>
      </w:r>
      <w:r>
        <w:rPr>
          <w:rFonts w:ascii="TimesNewRomanPSMT" w:hAnsi="TimesNewRomanPSMT" w:cs="TimesNewRomanPSMT"/>
          <w:szCs w:val="24"/>
        </w:rPr>
        <w:t>” un SIA</w:t>
      </w:r>
      <w:r w:rsidR="00334137">
        <w:rPr>
          <w:rFonts w:ascii="TimesNewRomanPSMT" w:hAnsi="TimesNewRomanPSMT" w:cs="TimesNewRomanPSMT"/>
          <w:szCs w:val="24"/>
        </w:rPr>
        <w:t> </w:t>
      </w:r>
      <w:r>
        <w:rPr>
          <w:rFonts w:ascii="TimesNewRomanPSMT" w:hAnsi="TimesNewRomanPSMT" w:cs="TimesNewRomanPSMT"/>
          <w:szCs w:val="24"/>
        </w:rPr>
        <w:t>„</w:t>
      </w:r>
      <w:proofErr w:type="spellStart"/>
      <w:r>
        <w:rPr>
          <w:rFonts w:ascii="TimesNewRomanPSMT" w:hAnsi="TimesNewRomanPSMT" w:cs="TimesNewRomanPSMT"/>
          <w:szCs w:val="24"/>
        </w:rPr>
        <w:t>I.R.Saimnieks</w:t>
      </w:r>
      <w:proofErr w:type="spellEnd"/>
      <w:r>
        <w:rPr>
          <w:rFonts w:ascii="TimesNewRomanPSMT" w:hAnsi="TimesNewRomanPSMT" w:cs="TimesNewRomanPSMT"/>
          <w:szCs w:val="24"/>
        </w:rPr>
        <w:t>”</w:t>
      </w:r>
      <w:r w:rsidR="00C70A8A">
        <w:rPr>
          <w:rFonts w:ascii="TimesNewRomanPSMT" w:hAnsi="TimesNewRomanPSMT" w:cs="TimesNewRomanPSMT"/>
          <w:szCs w:val="24"/>
        </w:rPr>
        <w:t>)</w:t>
      </w:r>
      <w:r>
        <w:rPr>
          <w:rFonts w:ascii="TimesNewRomanPSMT" w:hAnsi="TimesNewRomanPSMT" w:cs="TimesNewRomanPSMT"/>
          <w:szCs w:val="24"/>
        </w:rPr>
        <w:t xml:space="preserve"> </w:t>
      </w:r>
      <w:r w:rsidRPr="00235C72">
        <w:rPr>
          <w:rFonts w:ascii="TimesNewRomanPSMT" w:hAnsi="TimesNewRomanPSMT" w:cs="TimesNewRomanPSMT"/>
          <w:szCs w:val="24"/>
        </w:rPr>
        <w:t>ir saistīti ar saimnieciskās darbības nodrošināšanu, līdz</w:t>
      </w:r>
      <w:r w:rsidR="00685712">
        <w:rPr>
          <w:rFonts w:ascii="TimesNewRomanPSMT" w:hAnsi="TimesNewRomanPSMT" w:cs="TimesNewRomanPSMT"/>
          <w:szCs w:val="24"/>
        </w:rPr>
        <w:t xml:space="preserve"> </w:t>
      </w:r>
      <w:r w:rsidRPr="00235C72">
        <w:rPr>
          <w:rFonts w:ascii="TimesNewRomanPSMT" w:hAnsi="TimesNewRomanPSMT" w:cs="TimesNewRomanPSMT"/>
          <w:szCs w:val="24"/>
        </w:rPr>
        <w:t xml:space="preserve">ar to </w:t>
      </w:r>
      <w:r w:rsidR="00685712">
        <w:rPr>
          <w:rFonts w:ascii="TimesNewRomanPSMT" w:hAnsi="TimesNewRomanPSMT" w:cs="TimesNewRomanPSMT"/>
          <w:szCs w:val="24"/>
        </w:rPr>
        <w:t>dienests</w:t>
      </w:r>
      <w:r w:rsidRPr="00235C72">
        <w:rPr>
          <w:rFonts w:ascii="TimesNewRomanPSMT" w:hAnsi="TimesNewRomanPSMT" w:cs="TimesNewRomanPSMT"/>
          <w:szCs w:val="24"/>
        </w:rPr>
        <w:t xml:space="preserve"> nepamatoti liedzis atskaitīt priekšnodokli.</w:t>
      </w:r>
    </w:p>
    <w:p w14:paraId="54AD2AF4" w14:textId="7DB47162" w:rsidR="0085470D" w:rsidRPr="0085470D" w:rsidRDefault="007764E5" w:rsidP="0085470D">
      <w:pPr>
        <w:autoSpaceDE w:val="0"/>
        <w:autoSpaceDN w:val="0"/>
        <w:adjustRightInd w:val="0"/>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 xml:space="preserve">[3.13] </w:t>
      </w:r>
      <w:r w:rsidR="0085470D" w:rsidRPr="0085470D">
        <w:rPr>
          <w:rFonts w:ascii="TimesNewRomanPSMT" w:hAnsi="TimesNewRomanPSMT" w:cs="TimesNewRomanPSMT"/>
          <w:szCs w:val="24"/>
        </w:rPr>
        <w:t xml:space="preserve">Pretēji </w:t>
      </w:r>
      <w:r w:rsidR="0085470D">
        <w:rPr>
          <w:rFonts w:ascii="TimesNewRomanPSMT" w:hAnsi="TimesNewRomanPSMT" w:cs="TimesNewRomanPSMT"/>
          <w:szCs w:val="24"/>
        </w:rPr>
        <w:t>dienesta</w:t>
      </w:r>
      <w:r w:rsidR="0085470D" w:rsidRPr="0085470D">
        <w:rPr>
          <w:rFonts w:ascii="TimesNewRomanPSMT" w:hAnsi="TimesNewRomanPSMT" w:cs="TimesNewRomanPSMT"/>
          <w:szCs w:val="24"/>
        </w:rPr>
        <w:t xml:space="preserve"> norādītajam pieteicēja ir ticami izskaidrojusi, kāpēc detālplānojuma izstrāde</w:t>
      </w:r>
      <w:r w:rsidR="0085470D">
        <w:rPr>
          <w:rFonts w:ascii="TimesNewRomanPSMT" w:hAnsi="TimesNewRomanPSMT" w:cs="TimesNewRomanPSMT"/>
          <w:szCs w:val="24"/>
        </w:rPr>
        <w:t xml:space="preserve"> </w:t>
      </w:r>
      <w:r w:rsidR="0085470D" w:rsidRPr="0085470D">
        <w:rPr>
          <w:rFonts w:ascii="TimesNewRomanPSMT" w:hAnsi="TimesNewRomanPSMT" w:cs="TimesNewRomanPSMT"/>
          <w:szCs w:val="24"/>
        </w:rPr>
        <w:t>netika uzsākta un tālākās darbības netika veiktas. Kā norāda pieteicēja, projekta īstenošanas gaitā tā</w:t>
      </w:r>
      <w:r w:rsidR="0085470D">
        <w:rPr>
          <w:rFonts w:ascii="TimesNewRomanPSMT" w:hAnsi="TimesNewRomanPSMT" w:cs="TimesNewRomanPSMT"/>
          <w:szCs w:val="24"/>
        </w:rPr>
        <w:t xml:space="preserve"> </w:t>
      </w:r>
      <w:r w:rsidR="0085470D" w:rsidRPr="0085470D">
        <w:rPr>
          <w:rFonts w:ascii="TimesNewRomanPSMT" w:hAnsi="TimesNewRomanPSMT" w:cs="TimesNewRomanPSMT"/>
          <w:szCs w:val="24"/>
        </w:rPr>
        <w:t>saskārās ar vairākām iepriekš neparedzētām problēmām, kas ievērojami aizkavēja ciemata</w:t>
      </w:r>
      <w:r w:rsidR="0085470D">
        <w:rPr>
          <w:rFonts w:ascii="TimesNewRomanPSMT" w:hAnsi="TimesNewRomanPSMT" w:cs="TimesNewRomanPSMT"/>
          <w:szCs w:val="24"/>
        </w:rPr>
        <w:t xml:space="preserve"> </w:t>
      </w:r>
      <w:r w:rsidR="0085470D" w:rsidRPr="0085470D">
        <w:rPr>
          <w:rFonts w:ascii="TimesNewRomanPSMT" w:hAnsi="TimesNewRomanPSMT" w:cs="TimesNewRomanPSMT"/>
          <w:szCs w:val="24"/>
        </w:rPr>
        <w:t>būvniecību. Pieteicēja bija spiesta iesaistīties tiesvedībās un kriminālprocesos, lai nodrošinātu</w:t>
      </w:r>
      <w:r w:rsidR="0085470D">
        <w:rPr>
          <w:rFonts w:ascii="TimesNewRomanPSMT" w:hAnsi="TimesNewRomanPSMT" w:cs="TimesNewRomanPSMT"/>
          <w:szCs w:val="24"/>
        </w:rPr>
        <w:t xml:space="preserve"> </w:t>
      </w:r>
      <w:r w:rsidR="0085470D" w:rsidRPr="0085470D">
        <w:rPr>
          <w:rFonts w:ascii="TimesNewRomanPSMT" w:hAnsi="TimesNewRomanPSMT" w:cs="TimesNewRomanPSMT"/>
          <w:szCs w:val="24"/>
        </w:rPr>
        <w:t xml:space="preserve">īpašuma tiesību saglabāšanu un iespēju turpināt projekta </w:t>
      </w:r>
      <w:r w:rsidR="006118A1">
        <w:rPr>
          <w:rFonts w:ascii="TimesNewRomanPSMT" w:hAnsi="TimesNewRomanPSMT" w:cs="TimesNewRomanPSMT"/>
          <w:szCs w:val="24"/>
        </w:rPr>
        <w:t>īstenošanu</w:t>
      </w:r>
      <w:r w:rsidR="0085470D" w:rsidRPr="0085470D">
        <w:rPr>
          <w:rFonts w:ascii="TimesNewRomanPSMT" w:hAnsi="TimesNewRomanPSMT" w:cs="TimesNewRomanPSMT"/>
          <w:szCs w:val="24"/>
        </w:rPr>
        <w:t>. No Tiesu informācijas sistēmas</w:t>
      </w:r>
      <w:r w:rsidR="0085470D">
        <w:rPr>
          <w:rFonts w:ascii="TimesNewRomanPSMT" w:hAnsi="TimesNewRomanPSMT" w:cs="TimesNewRomanPSMT"/>
          <w:szCs w:val="24"/>
        </w:rPr>
        <w:t xml:space="preserve"> </w:t>
      </w:r>
      <w:r w:rsidR="0085470D" w:rsidRPr="0085470D">
        <w:rPr>
          <w:rFonts w:ascii="TimesNewRomanPSMT" w:hAnsi="TimesNewRomanPSMT" w:cs="TimesNewRomanPSMT"/>
          <w:szCs w:val="24"/>
        </w:rPr>
        <w:t>datiem redzams, ka pieteicējai ir bijušas vairākas tiesvedības ar Septītās dienas adventistu Latvijas</w:t>
      </w:r>
      <w:r w:rsidR="0085470D">
        <w:rPr>
          <w:rFonts w:ascii="TimesNewRomanPSMT" w:hAnsi="TimesNewRomanPSMT" w:cs="TimesNewRomanPSMT"/>
          <w:szCs w:val="24"/>
        </w:rPr>
        <w:t xml:space="preserve"> </w:t>
      </w:r>
      <w:r w:rsidR="0085470D" w:rsidRPr="0085470D">
        <w:rPr>
          <w:rFonts w:ascii="TimesNewRomanPSMT" w:hAnsi="TimesNewRomanPSMT" w:cs="TimesNewRomanPSMT"/>
          <w:szCs w:val="24"/>
        </w:rPr>
        <w:t>draudžu Savienību par īpašuma tiesībām uz zemesgabaliem. Pēdējā tiesvedība noslēgusies</w:t>
      </w:r>
      <w:r w:rsidR="0085470D">
        <w:rPr>
          <w:rFonts w:ascii="TimesNewRomanPSMT" w:hAnsi="TimesNewRomanPSMT" w:cs="TimesNewRomanPSMT"/>
          <w:szCs w:val="24"/>
        </w:rPr>
        <w:t xml:space="preserve"> </w:t>
      </w:r>
      <w:proofErr w:type="gramStart"/>
      <w:r w:rsidR="0085470D" w:rsidRPr="0085470D">
        <w:rPr>
          <w:rFonts w:ascii="TimesNewRomanPSMT" w:hAnsi="TimesNewRomanPSMT" w:cs="TimesNewRomanPSMT"/>
          <w:szCs w:val="24"/>
        </w:rPr>
        <w:t>2011.gada</w:t>
      </w:r>
      <w:proofErr w:type="gramEnd"/>
      <w:r w:rsidR="0085470D" w:rsidRPr="0085470D">
        <w:rPr>
          <w:rFonts w:ascii="TimesNewRomanPSMT" w:hAnsi="TimesNewRomanPSMT" w:cs="TimesNewRomanPSMT"/>
          <w:szCs w:val="24"/>
        </w:rPr>
        <w:t xml:space="preserve"> janvārī. Tāpat pieteicēja norāda, ka pēc Septītās dienas adventistu Latvijas draudžu</w:t>
      </w:r>
      <w:r w:rsidR="0085470D">
        <w:rPr>
          <w:rFonts w:ascii="TimesNewRomanPSMT" w:hAnsi="TimesNewRomanPSMT" w:cs="TimesNewRomanPSMT"/>
          <w:szCs w:val="24"/>
        </w:rPr>
        <w:t xml:space="preserve"> </w:t>
      </w:r>
      <w:r w:rsidR="0085470D" w:rsidRPr="0085470D">
        <w:rPr>
          <w:rFonts w:ascii="TimesNewRomanPSMT" w:hAnsi="TimesNewRomanPSMT" w:cs="TimesNewRomanPSMT"/>
          <w:szCs w:val="24"/>
        </w:rPr>
        <w:t>Savienības iesniegumiem tikuši uzsākti divi kriminālprocesi, kuru ietvaros zemesgabaliem</w:t>
      </w:r>
      <w:r w:rsidR="0085470D">
        <w:rPr>
          <w:rFonts w:ascii="TimesNewRomanPSMT" w:hAnsi="TimesNewRomanPSMT" w:cs="TimesNewRomanPSMT"/>
          <w:szCs w:val="24"/>
        </w:rPr>
        <w:t xml:space="preserve"> </w:t>
      </w:r>
      <w:r w:rsidR="0085470D" w:rsidRPr="0085470D">
        <w:rPr>
          <w:rFonts w:ascii="TimesNewRomanPSMT" w:hAnsi="TimesNewRomanPSMT" w:cs="TimesNewRomanPSMT"/>
          <w:szCs w:val="24"/>
        </w:rPr>
        <w:t>piemērots arests. Kā tiesas sēdē paskaidroja pieteicējas pārstāve, kamēr pastāvēja šie strīdi,</w:t>
      </w:r>
      <w:r w:rsidR="0085470D">
        <w:rPr>
          <w:rFonts w:ascii="TimesNewRomanPSMT" w:hAnsi="TimesNewRomanPSMT" w:cs="TimesNewRomanPSMT"/>
          <w:szCs w:val="24"/>
        </w:rPr>
        <w:t xml:space="preserve"> </w:t>
      </w:r>
      <w:r w:rsidR="0085470D" w:rsidRPr="0085470D">
        <w:rPr>
          <w:rFonts w:ascii="TimesNewRomanPSMT" w:hAnsi="TimesNewRomanPSMT" w:cs="TimesNewRomanPSMT"/>
          <w:szCs w:val="24"/>
        </w:rPr>
        <w:t>investori nebija gatavi veikt liela apmēra investīcijas, kas attaisnotu sākotnējo ieguldījumu</w:t>
      </w:r>
      <w:r w:rsidR="0085470D">
        <w:rPr>
          <w:rFonts w:ascii="TimesNewRomanPSMT" w:hAnsi="TimesNewRomanPSMT" w:cs="TimesNewRomanPSMT"/>
          <w:szCs w:val="24"/>
        </w:rPr>
        <w:t xml:space="preserve"> </w:t>
      </w:r>
      <w:r w:rsidR="0085470D" w:rsidRPr="0085470D">
        <w:rPr>
          <w:rFonts w:ascii="TimesNewRomanPSMT" w:hAnsi="TimesNewRomanPSMT" w:cs="TimesNewRomanPSMT"/>
          <w:szCs w:val="24"/>
        </w:rPr>
        <w:t xml:space="preserve">atpelnīšanu. Būvniecības process netika virzīts, jo, ņemot vērā būvniecības apjomu, </w:t>
      </w:r>
      <w:proofErr w:type="spellStart"/>
      <w:r w:rsidR="0085470D" w:rsidRPr="0085470D">
        <w:rPr>
          <w:rFonts w:ascii="TimesNewRomanPSMT" w:hAnsi="TimesNewRomanPSMT" w:cs="TimesNewRomanPSMT"/>
          <w:szCs w:val="24"/>
        </w:rPr>
        <w:t>būvnodeva</w:t>
      </w:r>
      <w:proofErr w:type="spellEnd"/>
      <w:r w:rsidR="0085470D">
        <w:rPr>
          <w:rFonts w:ascii="TimesNewRomanPSMT" w:hAnsi="TimesNewRomanPSMT" w:cs="TimesNewRomanPSMT"/>
          <w:szCs w:val="24"/>
        </w:rPr>
        <w:t xml:space="preserve"> </w:t>
      </w:r>
      <w:r w:rsidR="0085470D" w:rsidRPr="0085470D">
        <w:rPr>
          <w:rFonts w:ascii="TimesNewRomanPSMT" w:hAnsi="TimesNewRomanPSMT" w:cs="TimesNewRomanPSMT"/>
          <w:szCs w:val="24"/>
        </w:rPr>
        <w:t>pašvaldībai vien veidotu tādu summu, kas jau ir lielas investīcijas, kuras investori nebija gatavi</w:t>
      </w:r>
      <w:r w:rsidR="0085470D">
        <w:rPr>
          <w:rFonts w:ascii="TimesNewRomanPSMT" w:hAnsi="TimesNewRomanPSMT" w:cs="TimesNewRomanPSMT"/>
          <w:szCs w:val="24"/>
        </w:rPr>
        <w:t xml:space="preserve"> </w:t>
      </w:r>
      <w:r w:rsidR="0085470D" w:rsidRPr="0085470D">
        <w:rPr>
          <w:rFonts w:ascii="TimesNewRomanPSMT" w:hAnsi="TimesNewRomanPSMT" w:cs="TimesNewRomanPSMT"/>
          <w:szCs w:val="24"/>
        </w:rPr>
        <w:t>veikt, kamēr pastāvēja strīds par īpašuma tiesībām.</w:t>
      </w:r>
    </w:p>
    <w:p w14:paraId="5F249F9F" w14:textId="6E26E033" w:rsidR="007764E5" w:rsidRDefault="00FE4BC5" w:rsidP="0085470D">
      <w:pPr>
        <w:autoSpaceDE w:val="0"/>
        <w:autoSpaceDN w:val="0"/>
        <w:adjustRightInd w:val="0"/>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[3.1</w:t>
      </w:r>
      <w:r w:rsidR="00C70A8A">
        <w:rPr>
          <w:rFonts w:ascii="TimesNewRomanPSMT" w:hAnsi="TimesNewRomanPSMT" w:cs="TimesNewRomanPSMT"/>
          <w:szCs w:val="24"/>
        </w:rPr>
        <w:t>4</w:t>
      </w:r>
      <w:r>
        <w:rPr>
          <w:rFonts w:ascii="TimesNewRomanPSMT" w:hAnsi="TimesNewRomanPSMT" w:cs="TimesNewRomanPSMT"/>
          <w:szCs w:val="24"/>
        </w:rPr>
        <w:t xml:space="preserve">] </w:t>
      </w:r>
      <w:r w:rsidR="0085470D" w:rsidRPr="0085470D">
        <w:rPr>
          <w:rFonts w:ascii="TimesNewRomanPSMT" w:hAnsi="TimesNewRomanPSMT" w:cs="TimesNewRomanPSMT"/>
          <w:szCs w:val="24"/>
        </w:rPr>
        <w:t>Ņemot vērā iepriekš norādīto, atzīst</w:t>
      </w:r>
      <w:r w:rsidR="003201E4">
        <w:rPr>
          <w:rFonts w:ascii="TimesNewRomanPSMT" w:hAnsi="TimesNewRomanPSMT" w:cs="TimesNewRomanPSMT"/>
          <w:szCs w:val="24"/>
        </w:rPr>
        <w:t>ams</w:t>
      </w:r>
      <w:r w:rsidR="0085470D" w:rsidRPr="0085470D">
        <w:rPr>
          <w:rFonts w:ascii="TimesNewRomanPSMT" w:hAnsi="TimesNewRomanPSMT" w:cs="TimesNewRomanPSMT"/>
          <w:szCs w:val="24"/>
        </w:rPr>
        <w:t xml:space="preserve">, ka </w:t>
      </w:r>
      <w:r>
        <w:rPr>
          <w:rFonts w:ascii="TimesNewRomanPSMT" w:hAnsi="TimesNewRomanPSMT" w:cs="TimesNewRomanPSMT"/>
          <w:szCs w:val="24"/>
        </w:rPr>
        <w:t xml:space="preserve">Valsts ieņēmumu </w:t>
      </w:r>
      <w:r w:rsidR="003201E4">
        <w:rPr>
          <w:rFonts w:ascii="TimesNewRomanPSMT" w:hAnsi="TimesNewRomanPSMT" w:cs="TimesNewRomanPSMT"/>
          <w:szCs w:val="24"/>
        </w:rPr>
        <w:t>dienests</w:t>
      </w:r>
      <w:r w:rsidR="0085470D" w:rsidRPr="0085470D">
        <w:rPr>
          <w:rFonts w:ascii="TimesNewRomanPSMT" w:hAnsi="TimesNewRomanPSMT" w:cs="TimesNewRomanPSMT"/>
          <w:szCs w:val="24"/>
        </w:rPr>
        <w:t xml:space="preserve"> nepamatoti liedza pieteicējai</w:t>
      </w:r>
      <w:r w:rsidR="003201E4">
        <w:rPr>
          <w:rFonts w:ascii="TimesNewRomanPSMT" w:hAnsi="TimesNewRomanPSMT" w:cs="TimesNewRomanPSMT"/>
          <w:szCs w:val="24"/>
        </w:rPr>
        <w:t xml:space="preserve"> </w:t>
      </w:r>
      <w:r>
        <w:rPr>
          <w:rFonts w:ascii="TimesNewRomanPSMT" w:hAnsi="TimesNewRomanPSMT" w:cs="TimesNewRomanPSMT"/>
          <w:szCs w:val="24"/>
        </w:rPr>
        <w:t xml:space="preserve">tiesības </w:t>
      </w:r>
      <w:r w:rsidR="0085470D" w:rsidRPr="0085470D">
        <w:rPr>
          <w:rFonts w:ascii="TimesNewRomanPSMT" w:hAnsi="TimesNewRomanPSMT" w:cs="TimesNewRomanPSMT"/>
          <w:szCs w:val="24"/>
        </w:rPr>
        <w:t>atskaitīt priekšnodokli par saņemt</w:t>
      </w:r>
      <w:r w:rsidR="00A91DFE">
        <w:rPr>
          <w:rFonts w:ascii="TimesNewRomanPSMT" w:hAnsi="TimesNewRomanPSMT" w:cs="TimesNewRomanPSMT"/>
          <w:szCs w:val="24"/>
        </w:rPr>
        <w:t>a</w:t>
      </w:r>
      <w:r w:rsidR="0085470D" w:rsidRPr="0085470D">
        <w:rPr>
          <w:rFonts w:ascii="TimesNewRomanPSMT" w:hAnsi="TimesNewRomanPSMT" w:cs="TimesNewRomanPSMT"/>
          <w:szCs w:val="24"/>
        </w:rPr>
        <w:t>jiem pakalpojumiem no SIA</w:t>
      </w:r>
      <w:r w:rsidR="006118A1">
        <w:rPr>
          <w:rFonts w:ascii="TimesNewRomanPSMT" w:hAnsi="TimesNewRomanPSMT" w:cs="TimesNewRomanPSMT"/>
          <w:szCs w:val="24"/>
        </w:rPr>
        <w:t> </w:t>
      </w:r>
      <w:r w:rsidR="0085470D" w:rsidRPr="0085470D">
        <w:rPr>
          <w:rFonts w:ascii="TimesNewRomanPSMT" w:hAnsi="TimesNewRomanPSMT" w:cs="TimesNewRomanPSMT"/>
          <w:szCs w:val="24"/>
        </w:rPr>
        <w:t>„</w:t>
      </w:r>
      <w:proofErr w:type="spellStart"/>
      <w:r w:rsidRPr="0085470D">
        <w:rPr>
          <w:rFonts w:ascii="TimesNewRomanPSMT" w:hAnsi="TimesNewRomanPSMT" w:cs="TimesNewRomanPSMT"/>
          <w:szCs w:val="24"/>
        </w:rPr>
        <w:t>Arhiidea</w:t>
      </w:r>
      <w:proofErr w:type="spellEnd"/>
      <w:r>
        <w:rPr>
          <w:rFonts w:ascii="TimesNewRomanPSMT" w:hAnsi="TimesNewRomanPSMT" w:cs="TimesNewRomanPSMT"/>
          <w:szCs w:val="24"/>
        </w:rPr>
        <w:t>”, SIA </w:t>
      </w:r>
      <w:r w:rsidR="0085470D" w:rsidRPr="0085470D">
        <w:rPr>
          <w:rFonts w:ascii="TimesNewRomanPSMT" w:hAnsi="TimesNewRomanPSMT" w:cs="TimesNewRomanPSMT"/>
          <w:szCs w:val="24"/>
        </w:rPr>
        <w:t>„</w:t>
      </w:r>
      <w:r w:rsidRPr="0085470D">
        <w:rPr>
          <w:rFonts w:ascii="TimesNewRomanPSMT" w:hAnsi="TimesNewRomanPSMT" w:cs="TimesNewRomanPSMT"/>
          <w:szCs w:val="24"/>
        </w:rPr>
        <w:t>Serviss &amp;</w:t>
      </w:r>
      <w:r>
        <w:rPr>
          <w:rFonts w:ascii="TimesNewRomanPSMT" w:hAnsi="TimesNewRomanPSMT" w:cs="TimesNewRomanPSMT"/>
          <w:szCs w:val="24"/>
        </w:rPr>
        <w:t xml:space="preserve"> </w:t>
      </w:r>
      <w:r w:rsidRPr="0085470D">
        <w:rPr>
          <w:rFonts w:ascii="TimesNewRomanPSMT" w:hAnsi="TimesNewRomanPSMT" w:cs="TimesNewRomanPSMT"/>
          <w:szCs w:val="24"/>
        </w:rPr>
        <w:t>Kompānija</w:t>
      </w:r>
      <w:r w:rsidR="0085470D" w:rsidRPr="0085470D">
        <w:rPr>
          <w:rFonts w:ascii="TimesNewRomanPSMT" w:hAnsi="TimesNewRomanPSMT" w:cs="TimesNewRomanPSMT"/>
          <w:szCs w:val="24"/>
        </w:rPr>
        <w:t>”, SIA „</w:t>
      </w:r>
      <w:proofErr w:type="spellStart"/>
      <w:r w:rsidRPr="0085470D">
        <w:rPr>
          <w:rFonts w:ascii="TimesNewRomanPSMT" w:hAnsi="TimesNewRomanPSMT" w:cs="TimesNewRomanPSMT"/>
          <w:szCs w:val="24"/>
        </w:rPr>
        <w:t>Immostate</w:t>
      </w:r>
      <w:proofErr w:type="spellEnd"/>
      <w:r w:rsidR="0085470D" w:rsidRPr="0085470D">
        <w:rPr>
          <w:rFonts w:ascii="TimesNewRomanPSMT" w:hAnsi="TimesNewRomanPSMT" w:cs="TimesNewRomanPSMT"/>
          <w:szCs w:val="24"/>
        </w:rPr>
        <w:t>”, SIA „</w:t>
      </w:r>
      <w:proofErr w:type="spellStart"/>
      <w:r w:rsidR="0085470D" w:rsidRPr="0085470D">
        <w:rPr>
          <w:rFonts w:ascii="TimesNewRomanPSMT" w:hAnsi="TimesNewRomanPSMT" w:cs="TimesNewRomanPSMT"/>
          <w:szCs w:val="24"/>
        </w:rPr>
        <w:t>I.R.Saimnieks</w:t>
      </w:r>
      <w:proofErr w:type="spellEnd"/>
      <w:r w:rsidR="0085470D" w:rsidRPr="0085470D">
        <w:rPr>
          <w:rFonts w:ascii="TimesNewRomanPSMT" w:hAnsi="TimesNewRomanPSMT" w:cs="TimesNewRomanPSMT"/>
          <w:szCs w:val="24"/>
        </w:rPr>
        <w:t>”, ZAB</w:t>
      </w:r>
      <w:r w:rsidR="006118A1">
        <w:rPr>
          <w:rFonts w:ascii="TimesNewRomanPSMT" w:hAnsi="TimesNewRomanPSMT" w:cs="TimesNewRomanPSMT"/>
          <w:szCs w:val="24"/>
        </w:rPr>
        <w:t> </w:t>
      </w:r>
      <w:r w:rsidR="0085470D" w:rsidRPr="0085470D">
        <w:rPr>
          <w:rFonts w:ascii="TimesNewRomanPSMT" w:hAnsi="TimesNewRomanPSMT" w:cs="TimesNewRomanPSMT"/>
          <w:szCs w:val="24"/>
        </w:rPr>
        <w:t>„Reihmanis &amp; Partneri”, SIA</w:t>
      </w:r>
      <w:r w:rsidR="003201E4">
        <w:rPr>
          <w:rFonts w:ascii="TimesNewRomanPSMT" w:hAnsi="TimesNewRomanPSMT" w:cs="TimesNewRomanPSMT"/>
          <w:szCs w:val="24"/>
        </w:rPr>
        <w:t xml:space="preserve"> </w:t>
      </w:r>
      <w:r w:rsidR="0085470D" w:rsidRPr="0085470D">
        <w:rPr>
          <w:rFonts w:ascii="TimesNewRomanPSMT" w:hAnsi="TimesNewRomanPSMT" w:cs="TimesNewRomanPSMT"/>
          <w:szCs w:val="24"/>
        </w:rPr>
        <w:t xml:space="preserve">„NP </w:t>
      </w:r>
      <w:proofErr w:type="spellStart"/>
      <w:r w:rsidR="0085470D" w:rsidRPr="0085470D">
        <w:rPr>
          <w:rFonts w:ascii="TimesNewRomanPSMT" w:hAnsi="TimesNewRomanPSMT" w:cs="TimesNewRomanPSMT"/>
          <w:szCs w:val="24"/>
        </w:rPr>
        <w:t>Properties</w:t>
      </w:r>
      <w:proofErr w:type="spellEnd"/>
      <w:r w:rsidR="0085470D" w:rsidRPr="0085470D">
        <w:rPr>
          <w:rFonts w:ascii="TimesNewRomanPSMT" w:hAnsi="TimesNewRomanPSMT" w:cs="TimesNewRomanPSMT"/>
          <w:szCs w:val="24"/>
        </w:rPr>
        <w:t xml:space="preserve">” un zvērināta advokāta V.Skrastiņa </w:t>
      </w:r>
      <w:r w:rsidR="0085470D" w:rsidRPr="0085470D">
        <w:rPr>
          <w:rFonts w:ascii="TimesNewRomanPSMT" w:hAnsi="TimesNewRomanPSMT" w:cs="TimesNewRomanPSMT"/>
          <w:szCs w:val="24"/>
        </w:rPr>
        <w:lastRenderedPageBreak/>
        <w:t xml:space="preserve">(izņemot pakalpojumus </w:t>
      </w:r>
      <w:r>
        <w:rPr>
          <w:rFonts w:ascii="TimesNewRomanPSMT" w:hAnsi="TimesNewRomanPSMT" w:cs="TimesNewRomanPSMT"/>
          <w:szCs w:val="24"/>
        </w:rPr>
        <w:t>saskaņā ar rēķinu</w:t>
      </w:r>
      <w:r w:rsidR="0085470D" w:rsidRPr="0085470D">
        <w:rPr>
          <w:rFonts w:ascii="TimesNewRomanPSMT" w:hAnsi="TimesNewRomanPSMT" w:cs="TimesNewRomanPSMT"/>
          <w:szCs w:val="24"/>
        </w:rPr>
        <w:t xml:space="preserve"> Nr.</w:t>
      </w:r>
      <w:r>
        <w:rPr>
          <w:rFonts w:ascii="TimesNewRomanPSMT" w:hAnsi="TimesNewRomanPSMT" w:cs="TimesNewRomanPSMT"/>
          <w:szCs w:val="24"/>
        </w:rPr>
        <w:t> </w:t>
      </w:r>
      <w:r w:rsidR="0085470D" w:rsidRPr="0085470D">
        <w:rPr>
          <w:rFonts w:ascii="TimesNewRomanPSMT" w:hAnsi="TimesNewRomanPSMT" w:cs="TimesNewRomanPSMT"/>
          <w:szCs w:val="24"/>
        </w:rPr>
        <w:t>19/11), jo</w:t>
      </w:r>
      <w:r w:rsidR="003201E4">
        <w:rPr>
          <w:rFonts w:ascii="TimesNewRomanPSMT" w:hAnsi="TimesNewRomanPSMT" w:cs="TimesNewRomanPSMT"/>
          <w:szCs w:val="24"/>
        </w:rPr>
        <w:t xml:space="preserve"> </w:t>
      </w:r>
      <w:r w:rsidR="0085470D" w:rsidRPr="0085470D">
        <w:rPr>
          <w:rFonts w:ascii="TimesNewRomanPSMT" w:hAnsi="TimesNewRomanPSMT" w:cs="TimesNewRomanPSMT"/>
          <w:szCs w:val="24"/>
        </w:rPr>
        <w:t>tie ir atzīstami par izmantotiem nākotnē paredzētu nekustamā īpašuma atsavināšanas darījumu</w:t>
      </w:r>
      <w:r w:rsidR="003201E4">
        <w:rPr>
          <w:rFonts w:ascii="TimesNewRomanPSMT" w:hAnsi="TimesNewRomanPSMT" w:cs="TimesNewRomanPSMT"/>
          <w:szCs w:val="24"/>
        </w:rPr>
        <w:t xml:space="preserve"> </w:t>
      </w:r>
      <w:r w:rsidR="0085470D" w:rsidRPr="0085470D">
        <w:rPr>
          <w:rFonts w:ascii="TimesNewRomanPSMT" w:hAnsi="TimesNewRomanPSMT" w:cs="TimesNewRomanPSMT"/>
          <w:szCs w:val="24"/>
        </w:rPr>
        <w:t>nodrošināšanai.</w:t>
      </w:r>
    </w:p>
    <w:p w14:paraId="24FCB22F" w14:textId="77777777" w:rsidR="006118A1" w:rsidRDefault="006118A1" w:rsidP="0085470D">
      <w:pPr>
        <w:autoSpaceDE w:val="0"/>
        <w:autoSpaceDN w:val="0"/>
        <w:adjustRightInd w:val="0"/>
        <w:spacing w:after="0" w:line="276" w:lineRule="auto"/>
        <w:ind w:firstLine="709"/>
        <w:jc w:val="both"/>
        <w:rPr>
          <w:rFonts w:ascii="TimesNewRomanPSMT" w:hAnsi="TimesNewRomanPSMT" w:cs="TimesNewRomanPSMT"/>
          <w:szCs w:val="24"/>
        </w:rPr>
      </w:pPr>
    </w:p>
    <w:p w14:paraId="4A0B5B99" w14:textId="7A3CF581" w:rsidR="006118A1" w:rsidRPr="00B80327" w:rsidRDefault="006118A1" w:rsidP="006118A1">
      <w:pPr>
        <w:pStyle w:val="NoSpacing"/>
        <w:spacing w:line="276" w:lineRule="auto"/>
        <w:ind w:firstLine="709"/>
        <w:jc w:val="both"/>
      </w:pPr>
      <w:r>
        <w:t>[4</w:t>
      </w:r>
      <w:r w:rsidRPr="00B80327">
        <w:t xml:space="preserve">] </w:t>
      </w:r>
      <w:r>
        <w:t xml:space="preserve">Pieteicēja </w:t>
      </w:r>
      <w:r w:rsidRPr="00B80327">
        <w:t>iesniedza kasācijas sūdzību par apgabaltiesas spriedumu</w:t>
      </w:r>
      <w:r>
        <w:t xml:space="preserve"> daļā, ar kuru noraidīts tās pieteikums par pārsūdzētā lēmuma atcelšanu attiecībā uz darījumiem ar SIA „CEG </w:t>
      </w:r>
      <w:proofErr w:type="spellStart"/>
      <w:r>
        <w:t>Latvia</w:t>
      </w:r>
      <w:proofErr w:type="spellEnd"/>
      <w:r>
        <w:t>” un zvērināta advokāta V. Skrastiņa rēķinu Nr. 19/11. Kasācijas sūdzība pamatota</w:t>
      </w:r>
      <w:r w:rsidRPr="00B80327">
        <w:t xml:space="preserve"> ar turpmāk minētajiem argumentiem. </w:t>
      </w:r>
    </w:p>
    <w:p w14:paraId="30C5D61F" w14:textId="2ABA6BB7" w:rsidR="006118A1" w:rsidRPr="003103E4" w:rsidRDefault="006118A1" w:rsidP="006118A1">
      <w:pPr>
        <w:pStyle w:val="NoSpacing"/>
        <w:spacing w:line="276" w:lineRule="auto"/>
        <w:ind w:firstLine="709"/>
        <w:jc w:val="both"/>
      </w:pPr>
      <w:r w:rsidRPr="003103E4">
        <w:t>[</w:t>
      </w:r>
      <w:r w:rsidR="009C1B40">
        <w:t>4</w:t>
      </w:r>
      <w:r w:rsidRPr="003103E4">
        <w:t>.1]</w:t>
      </w:r>
      <w:r>
        <w:t xml:space="preserve"> Latvijas Zvērinātu advokātu kolēģijas statūtu 2.8.punktā ir noteikta advokāta un klienta vienošanās satura un formas obligātās sastāvdaļas</w:t>
      </w:r>
      <w:r w:rsidR="00C70A8A">
        <w:t xml:space="preserve">, tostarp </w:t>
      </w:r>
      <w:r w:rsidR="006D12E1">
        <w:t xml:space="preserve">tas var būt </w:t>
      </w:r>
      <w:r>
        <w:t xml:space="preserve">papildu honorārs, </w:t>
      </w:r>
      <w:r w:rsidR="006D12E1">
        <w:t xml:space="preserve">kas </w:t>
      </w:r>
      <w:r>
        <w:t>ir atkarīgs no lietas rezultāta. Nav pamata liegt tiesības uz priekšnodokļa atskaitīšanu, jo rēķins Nr. 19/11 ir izrakstīts par atlīdzības daļu, kuru advokātam bija tiesības prasīt no klienta tikai tad, kad izpildījās līgumā noteiktais nosacījums – stājās spēkā klientam labvēlīgs tiesas nolēmums par tiem pašiem civillietā sniegtajiem juridiskajiem pakalpojumiem, par kuriem tiesa atzina, ka ir iespējams tos identificēt un tie ir saistīti ar pievie</w:t>
      </w:r>
      <w:r w:rsidR="006D12E1">
        <w:t>notās vērtības nodokli apliekamajiem</w:t>
      </w:r>
      <w:r>
        <w:t xml:space="preserve"> darījum</w:t>
      </w:r>
      <w:r w:rsidR="006D12E1">
        <w:t>iem</w:t>
      </w:r>
      <w:r>
        <w:t xml:space="preserve">. Tiesa </w:t>
      </w:r>
      <w:r w:rsidR="006D12E1">
        <w:t xml:space="preserve">nepamatoti </w:t>
      </w:r>
      <w:r>
        <w:t>nav piemērojusi</w:t>
      </w:r>
      <w:r w:rsidR="006D12E1">
        <w:t xml:space="preserve"> </w:t>
      </w:r>
      <w:r>
        <w:t xml:space="preserve">likuma „Par pievienotās vērtības nodokli” 1.panta 9.punkta „a” apakšpunktu un 10.panta pirmās daļas 1.punktu. </w:t>
      </w:r>
    </w:p>
    <w:p w14:paraId="30B43F6D" w14:textId="4CC31EE0" w:rsidR="006118A1" w:rsidRDefault="006118A1" w:rsidP="006118A1">
      <w:pPr>
        <w:pStyle w:val="NoSpacing"/>
        <w:spacing w:line="276" w:lineRule="auto"/>
        <w:ind w:firstLine="709"/>
        <w:jc w:val="both"/>
      </w:pPr>
      <w:r w:rsidRPr="00872BEC">
        <w:t xml:space="preserve">Tiesa pārkāpusi Administratīvā procesa likuma 154.panta pirmo daļu un 247.panta pirmo daļu, jo savos secinājumos nonākusi pretrunā loģikas likumiem. </w:t>
      </w:r>
    </w:p>
    <w:p w14:paraId="0DF1FC1D" w14:textId="4A1CBA91" w:rsidR="006118A1" w:rsidRPr="00872BEC" w:rsidRDefault="009C1B40" w:rsidP="006118A1">
      <w:pPr>
        <w:pStyle w:val="NoSpacing"/>
        <w:spacing w:line="276" w:lineRule="auto"/>
        <w:ind w:firstLine="709"/>
        <w:jc w:val="both"/>
      </w:pPr>
      <w:r>
        <w:t>[4</w:t>
      </w:r>
      <w:r w:rsidR="006118A1">
        <w:t>.</w:t>
      </w:r>
      <w:r w:rsidR="00297814">
        <w:t>2</w:t>
      </w:r>
      <w:r w:rsidR="006118A1">
        <w:t xml:space="preserve">] Tā kā apelācijas instances tiesa nav vērtējusi un nav izteikusies par apelācijas sūdzībā norādītajiem pieteicējas argumentiem par likuma „Par pievienotās vērtības nodokli” </w:t>
      </w:r>
      <w:proofErr w:type="gramStart"/>
      <w:r w:rsidR="006118A1">
        <w:t>1.panta</w:t>
      </w:r>
      <w:proofErr w:type="gramEnd"/>
      <w:r w:rsidR="006118A1">
        <w:t xml:space="preserve"> 9.punkta „a” apakšpunktu, kā arī pirmās instances tiesas sprieduma nepareizību, nevar atzīt, ka apelācijas instances tiesa ir izskatījusi pieteicējas apelācijas sūdzību pēc būtības daļā par pieteicējas tiesībām uz priekšnodokli, kas izriet no darījuma ar zvērinātu advokātu V. Skrastiņu un nodokļa rēķinu Nr. 19/11. Šādi tiesa ir pieļāvusi Administratīvā procesa likuma </w:t>
      </w:r>
      <w:r w:rsidR="006118A1" w:rsidRPr="00872BEC">
        <w:t xml:space="preserve">302.panta pirmās daļas pārkāpumu, kas ir novedis pie nepareizas lietas izspriešanas. </w:t>
      </w:r>
    </w:p>
    <w:p w14:paraId="17618AE7" w14:textId="3CBE88AE" w:rsidR="006118A1" w:rsidRDefault="009C1B40" w:rsidP="006118A1">
      <w:pPr>
        <w:pStyle w:val="NoSpacing"/>
        <w:spacing w:line="276" w:lineRule="auto"/>
        <w:ind w:firstLine="709"/>
        <w:jc w:val="both"/>
      </w:pPr>
      <w:r>
        <w:t>[4</w:t>
      </w:r>
      <w:r w:rsidR="006118A1">
        <w:t>.</w:t>
      </w:r>
      <w:r w:rsidR="00297814">
        <w:t>3</w:t>
      </w:r>
      <w:r w:rsidR="006118A1">
        <w:t xml:space="preserve">] Tiesa, neapmierinot pieteicējas lūgumu nopratināt liecinieku </w:t>
      </w:r>
      <w:r w:rsidR="00E50542">
        <w:t>[pers. A]</w:t>
      </w:r>
      <w:r w:rsidR="006118A1">
        <w:t>, nav rīkojusies saskaņā ar objektīvās izmeklēšanas principu, kā arī nav veikusi vispusīgu un objektīvu pierādījumu pārbaudi atbilstoši Administratīvā procesa likuma 154.panta pirmās daļas noteikumiem. Jāņem vērā, ka pieteicējai ir pasludināts maksātnespējas process, un pieteicējas pārstāvja rīcībā ir tikai tik daudz informācijas un dokument</w:t>
      </w:r>
      <w:r w:rsidR="00297814">
        <w:t>u</w:t>
      </w:r>
      <w:r w:rsidR="006118A1">
        <w:t>, cik tos ir iesniegušas bijušās atbildīgās personas. Noraidot lūgumu nopratināt liecinieku, tiesas attieksme bijusi neatbilstoša un nesamērīga konkrētās lietas apstākļiem, jo pieteicēja rīkojas kreditoru interesēs, tai objektīvi nepastāv iespēja iegūt rakstveida pierādījumus, ja tos nav nodevušas agrākās amatpersonas</w:t>
      </w:r>
      <w:r w:rsidR="00297814">
        <w:t>. B</w:t>
      </w:r>
      <w:r w:rsidR="006118A1">
        <w:t xml:space="preserve">ijušā valdes locekļa liecības varēja būt pietiekams pierādījums, lai pārliecinātos par darījuma būtību, jo līgums un nodokļa rēķins atrodas lietas materiālos. </w:t>
      </w:r>
    </w:p>
    <w:p w14:paraId="141A7366" w14:textId="0EC6C8FC" w:rsidR="006118A1" w:rsidRPr="00ED3E98" w:rsidRDefault="009C1B40" w:rsidP="006118A1">
      <w:pPr>
        <w:pStyle w:val="NoSpacing"/>
        <w:spacing w:line="276" w:lineRule="auto"/>
        <w:ind w:firstLine="709"/>
        <w:jc w:val="both"/>
      </w:pPr>
      <w:r>
        <w:t>[4</w:t>
      </w:r>
      <w:r w:rsidR="006118A1">
        <w:t>.</w:t>
      </w:r>
      <w:r w:rsidR="00297814">
        <w:t>4</w:t>
      </w:r>
      <w:r w:rsidR="006118A1">
        <w:t xml:space="preserve">] Tiesa nav piemērojusi, lai gan tai bija jāpiemēro, Maksātnespējas likuma </w:t>
      </w:r>
      <w:proofErr w:type="gramStart"/>
      <w:r w:rsidR="006118A1">
        <w:t>73.panta</w:t>
      </w:r>
      <w:proofErr w:type="gramEnd"/>
      <w:r w:rsidR="006118A1">
        <w:t xml:space="preserve"> otr</w:t>
      </w:r>
      <w:r w:rsidR="00297814">
        <w:t>o</w:t>
      </w:r>
      <w:r w:rsidR="006118A1">
        <w:t xml:space="preserve"> daļ</w:t>
      </w:r>
      <w:r w:rsidR="00297814">
        <w:t>u</w:t>
      </w:r>
      <w:r w:rsidR="006118A1">
        <w:t xml:space="preserve"> un Administratīvā procesa likuma 70.panta trešā daļa. Judikatūrā ir nostiprināta atziņa, ka visi parādi, arī nodokļu parādi, kas radušies līdz maksātnespējas dienai, ieskaitāmi kreditoru prasījumos pret maksātnespējīgo uzņēmumu (</w:t>
      </w:r>
      <w:r w:rsidR="006118A1" w:rsidRPr="006C11C5">
        <w:rPr>
          <w:i/>
        </w:rPr>
        <w:t xml:space="preserve">Augstākās tiesas </w:t>
      </w:r>
      <w:proofErr w:type="gramStart"/>
      <w:r w:rsidR="006118A1" w:rsidRPr="006C11C5">
        <w:rPr>
          <w:i/>
        </w:rPr>
        <w:t>2007.gada</w:t>
      </w:r>
      <w:proofErr w:type="gramEnd"/>
      <w:r w:rsidR="006118A1" w:rsidRPr="006C11C5">
        <w:rPr>
          <w:i/>
        </w:rPr>
        <w:t xml:space="preserve"> 10.maija spriedums lietā Nr. SKA-119/2007, 2006.gada 2.maija spriedums lietā Nr. SKA-151/2006, 2006.gada 21.marta spriedums lietā Nr. SKA-88/2006</w:t>
      </w:r>
      <w:r w:rsidR="006118A1">
        <w:t>). Ar pārsūdzēto lēmumu noteiktā soda nauda ir aprēķināta par periodu pirms maksātnespējas procesa pasludināšanas 2011.gada 31.maijā. Tādējādi arī soda nauda būtu iekļaujama kreditoru prasījumos. Taču dienests prasījumu par soda naudu nav pieteicis ne mēneša laikā no maksātnespējas procesa pasludināšanas, ne arī sešu mēnešu laikā</w:t>
      </w:r>
      <w:r w:rsidR="00297814">
        <w:t>,</w:t>
      </w:r>
      <w:r w:rsidR="006118A1">
        <w:t xml:space="preserve"> līdz ar </w:t>
      </w:r>
      <w:r w:rsidR="00297814">
        <w:t>t</w:t>
      </w:r>
      <w:r w:rsidR="006118A1">
        <w:t xml:space="preserve">o tas nav iekļauts pieteicējas kreditoru prasījumu reģistrā. Saskaņā ar Maksātnespējas likuma 73.panta otro daļu pēc šā termiņa kreditors zaudē kreditora statusu un </w:t>
      </w:r>
      <w:r w:rsidR="006118A1">
        <w:lastRenderedPageBreak/>
        <w:t xml:space="preserve">savas prasījuma tiesības pret parādnieku. Tādējādi dienests ir zaudējis savas prasījuma tiesības pret pieteicēju par soda naudas piedziņu. Lēmums daļā par soda naudas aprēķināšanu un pienākuma uzlikšanu iemaksāt valsts budžetā ir atzīstams par spēkā neesošu. </w:t>
      </w:r>
    </w:p>
    <w:p w14:paraId="0D4C7AB0" w14:textId="77777777" w:rsidR="006118A1" w:rsidRDefault="006118A1" w:rsidP="0085470D">
      <w:pPr>
        <w:autoSpaceDE w:val="0"/>
        <w:autoSpaceDN w:val="0"/>
        <w:adjustRightInd w:val="0"/>
        <w:spacing w:after="0" w:line="276" w:lineRule="auto"/>
        <w:ind w:firstLine="709"/>
        <w:jc w:val="both"/>
        <w:rPr>
          <w:rFonts w:ascii="TimesNewRomanPSMT" w:hAnsi="TimesNewRomanPSMT" w:cs="TimesNewRomanPSMT"/>
          <w:szCs w:val="24"/>
        </w:rPr>
      </w:pPr>
    </w:p>
    <w:p w14:paraId="2FC22E92" w14:textId="0787537D" w:rsidR="00823439" w:rsidRPr="00B80327" w:rsidRDefault="00BC14DD" w:rsidP="00703DEB">
      <w:pPr>
        <w:pStyle w:val="NoSpacing"/>
        <w:spacing w:line="276" w:lineRule="auto"/>
        <w:ind w:firstLine="709"/>
        <w:jc w:val="both"/>
      </w:pPr>
      <w:r w:rsidRPr="00B80327">
        <w:t>[</w:t>
      </w:r>
      <w:r w:rsidR="009C1B40">
        <w:t>5</w:t>
      </w:r>
      <w:r w:rsidR="00703DEB" w:rsidRPr="00B80327">
        <w:t xml:space="preserve">] </w:t>
      </w:r>
      <w:r w:rsidR="009E524B" w:rsidRPr="00B80327">
        <w:t>Valsts ieņēmumu dienests</w:t>
      </w:r>
      <w:r w:rsidR="00703DEB" w:rsidRPr="00B80327">
        <w:t xml:space="preserve"> iesniedza kasācijas sūdzī</w:t>
      </w:r>
      <w:r w:rsidR="00CA75E2" w:rsidRPr="00B80327">
        <w:t>bu par apgabaltiesas spriedumu</w:t>
      </w:r>
      <w:r w:rsidR="00A91DFE">
        <w:t xml:space="preserve"> daļā, ar kuru apmierināts pieteikums. Kasācijas sūdzība pamatota</w:t>
      </w:r>
      <w:r w:rsidR="00AF2E4F" w:rsidRPr="00B80327">
        <w:t xml:space="preserve"> </w:t>
      </w:r>
      <w:r w:rsidR="00703DEB" w:rsidRPr="00B80327">
        <w:t>ar turpmāk minētajiem argumentiem.</w:t>
      </w:r>
      <w:r w:rsidR="00A43F15" w:rsidRPr="00B80327">
        <w:t xml:space="preserve"> </w:t>
      </w:r>
    </w:p>
    <w:p w14:paraId="2B202173" w14:textId="5DF0BD16" w:rsidR="00A91DFE" w:rsidRDefault="00703DEB" w:rsidP="00A91DFE">
      <w:pPr>
        <w:pStyle w:val="NoSpacing"/>
        <w:spacing w:line="276" w:lineRule="auto"/>
        <w:ind w:firstLine="709"/>
        <w:jc w:val="both"/>
      </w:pPr>
      <w:r w:rsidRPr="003103E4">
        <w:t>[</w:t>
      </w:r>
      <w:r w:rsidR="009C1B40">
        <w:t>5</w:t>
      </w:r>
      <w:r w:rsidRPr="003103E4">
        <w:t>.1]</w:t>
      </w:r>
      <w:r w:rsidR="00A91DFE">
        <w:t xml:space="preserve"> Tas vien, ka pieteicēja savos iekšējos dokumentos ir norādījusi, ka vēlas uzsākt būvniecību, kā arī apstāklis, ka tā ir veikusi zemesgabala novērtēšanu, kā arī ir saņēmusi no pašvaldības izziņas par zemesgabalu atļauto izmantošanu, nenorāda uz pieteicējas nodomu nākotnē veikt apliekamus darījumus ar attiecīgajiem nekustamajiem īpašumiem. Pieteicējas iekšējie dokumenti būtu jāvērtē kā pierādījumi ar mazāku ticamību, jo tieši pieteicējas interesēs ir radīt iespaidu, ka tai ir nodoms nākotnē veikt apliekamus darījumus, proti, attīstīt nekustamo īpašumu. Nepastāv nekādi šķēršļi noformēt iekšējos dokumentus, kas formāli apstiprina pieteicējas nodomu.</w:t>
      </w:r>
    </w:p>
    <w:p w14:paraId="7B54D70D" w14:textId="55AE17B5" w:rsidR="00A91DFE" w:rsidRDefault="009C1B40" w:rsidP="00A91DFE">
      <w:pPr>
        <w:pStyle w:val="NoSpacing"/>
        <w:spacing w:line="276" w:lineRule="auto"/>
        <w:ind w:firstLine="709"/>
        <w:jc w:val="both"/>
      </w:pPr>
      <w:r>
        <w:t>[5</w:t>
      </w:r>
      <w:r w:rsidR="00A91DFE">
        <w:t xml:space="preserve">.2] </w:t>
      </w:r>
      <w:r w:rsidR="007B125C">
        <w:t xml:space="preserve">Tas, ka ir veikti atsevišķi darbi, piemēram, zemesgabala novērtēšana, juridisko strīdu atrisināšana attiecībā uz zemesgabaliem, vēl neliecina par iespējamu būvniecību nākotnē, turklāt jebkādu darbību veikšana pati par sevi neliecina, ka šo darbību veikšana notiek nākotnē ar pievienotās vērtības nodokli apliekamo darījumu nodrošināšanai. Vieni un tie paši sagatavošanās darbi var būt vērsti kā uz apliekamu, tā uz neapliekamu darījumu nodrošināšanu. </w:t>
      </w:r>
    </w:p>
    <w:p w14:paraId="2F3481CC" w14:textId="00EA7701" w:rsidR="007B125C" w:rsidRDefault="007B125C" w:rsidP="00A91DFE">
      <w:pPr>
        <w:pStyle w:val="NoSpacing"/>
        <w:spacing w:line="276" w:lineRule="auto"/>
        <w:ind w:firstLine="709"/>
        <w:jc w:val="both"/>
      </w:pPr>
      <w:r>
        <w:t>[</w:t>
      </w:r>
      <w:r w:rsidR="009C1B40">
        <w:t>5</w:t>
      </w:r>
      <w:r>
        <w:t xml:space="preserve">.3] Tiesa nevērtēja lietā esošo informāciju, kas liecina par pieteicējas nodomu atsavināt neapbūvētu nekustamo īpašumu Jaunciema gatvē, Rīgā, ko apstiprināja </w:t>
      </w:r>
      <w:r w:rsidR="00FE4BC5">
        <w:t>pieteicējas</w:t>
      </w:r>
      <w:r>
        <w:t xml:space="preserve"> pilnvarotās personas </w:t>
      </w:r>
      <w:proofErr w:type="gramStart"/>
      <w:r>
        <w:t>2010.gada</w:t>
      </w:r>
      <w:proofErr w:type="gramEnd"/>
      <w:r>
        <w:t xml:space="preserve"> 23.augustā dienestam sniegtais paskaidrojums. Līdz ar to pati pieteicēja apliecināja vēlmi atsavināt nekustamo īpašumu ar darījumu, kas nav apliekams ar pievienotās vērtības nodokli. </w:t>
      </w:r>
    </w:p>
    <w:p w14:paraId="4761B78E" w14:textId="0E1D3CEB" w:rsidR="007B125C" w:rsidRDefault="007B125C" w:rsidP="00A91DFE">
      <w:pPr>
        <w:pStyle w:val="NoSpacing"/>
        <w:spacing w:line="276" w:lineRule="auto"/>
        <w:ind w:firstLine="709"/>
        <w:jc w:val="both"/>
      </w:pPr>
      <w:r>
        <w:t>[</w:t>
      </w:r>
      <w:r w:rsidR="009C1B40">
        <w:t>5</w:t>
      </w:r>
      <w:r>
        <w:t xml:space="preserve">.4] </w:t>
      </w:r>
      <w:r w:rsidR="000C2EF7">
        <w:t xml:space="preserve">Vērā ir ņemams fakts, ka kopš </w:t>
      </w:r>
      <w:proofErr w:type="gramStart"/>
      <w:r w:rsidR="000C2EF7">
        <w:t>2011.gada</w:t>
      </w:r>
      <w:proofErr w:type="gramEnd"/>
      <w:r w:rsidR="000C2EF7">
        <w:t xml:space="preserve"> tiesas sprieduma sastādīšanas līdz 2016.gada 12.februārim ir pagājuši vairāk </w:t>
      </w:r>
      <w:r w:rsidR="00920717">
        <w:t>ne</w:t>
      </w:r>
      <w:r w:rsidR="000C2EF7">
        <w:t xml:space="preserve">kā </w:t>
      </w:r>
      <w:r w:rsidR="00920717">
        <w:t>pieci</w:t>
      </w:r>
      <w:r w:rsidR="000C2EF7">
        <w:t xml:space="preserve"> gadi un pieteicēja nav veikusi tādu saimniecisko darbību, uz kuru varētu attiecināt iespējamās iepriekš veiktās darbības, par kurām pieteicējai būtu radušās tiesības atskaitīt priekšnodokli par it kā nākotnē plānotu saimniecisko darbību</w:t>
      </w:r>
      <w:r w:rsidR="00FE4BC5">
        <w:t>, tas ir, projekta īstenošana faktiski nav uzsākta.</w:t>
      </w:r>
    </w:p>
    <w:p w14:paraId="0C93C2CD" w14:textId="65828C97" w:rsidR="005B556E" w:rsidRDefault="00F03755" w:rsidP="005B556E">
      <w:pPr>
        <w:pStyle w:val="NoSpacing"/>
        <w:spacing w:line="276" w:lineRule="auto"/>
        <w:ind w:firstLine="709"/>
        <w:jc w:val="both"/>
      </w:pPr>
      <w:r>
        <w:t>T</w:t>
      </w:r>
      <w:r w:rsidR="00236C5A">
        <w:t>iesai,</w:t>
      </w:r>
      <w:r w:rsidR="005B556E">
        <w:t xml:space="preserve"> konstatējot, ka konkrētais projekts ir</w:t>
      </w:r>
      <w:r w:rsidR="00236C5A">
        <w:t xml:space="preserve"> vienīgais pieteicējas projekts, kas </w:t>
      </w:r>
      <w:r w:rsidR="005B556E">
        <w:t xml:space="preserve">faktiski nav pat uzsākts, vajadzēja nonākt pie secinājuma, ka pieteicējas norādītais priekšnodoklis nav attiecināms uz pieteicējas ar saimniecisko darbību saistītām izmaksām. Pieteicēja nav iesniegusi nevienu pierādījumu, kas varētu apstiprināt </w:t>
      </w:r>
      <w:r w:rsidR="00236C5A">
        <w:t>tās</w:t>
      </w:r>
      <w:r w:rsidR="005B556E">
        <w:t xml:space="preserve"> iespējamās ieceres </w:t>
      </w:r>
      <w:r>
        <w:t>īstenošanu</w:t>
      </w:r>
      <w:r w:rsidR="005B556E">
        <w:t xml:space="preserve"> vai </w:t>
      </w:r>
      <w:r>
        <w:t>īstenošanas</w:t>
      </w:r>
      <w:r w:rsidR="005B556E">
        <w:t xml:space="preserve"> uzsākšanu. Pastāvot tikai abstraktai vēlmei kaut ko darīt, kādas darbības iepriekšēja veikšana pati par sevi neliecina, ka sagatavošanas darbības tik tiešām ir saistītas ar plānoto saimniecisko darbību, kas dod tiesības atskaitīt priekšnodokli.</w:t>
      </w:r>
    </w:p>
    <w:p w14:paraId="54B35B05" w14:textId="7E7C4EE6" w:rsidR="005B556E" w:rsidRDefault="005B556E" w:rsidP="005B556E">
      <w:pPr>
        <w:pStyle w:val="NoSpacing"/>
        <w:spacing w:line="276" w:lineRule="auto"/>
        <w:ind w:firstLine="709"/>
        <w:jc w:val="both"/>
      </w:pPr>
      <w:r>
        <w:t>[</w:t>
      </w:r>
      <w:r w:rsidR="00F03755">
        <w:t>5</w:t>
      </w:r>
      <w:r>
        <w:t>.</w:t>
      </w:r>
      <w:r w:rsidR="00F03755">
        <w:t>5</w:t>
      </w:r>
      <w:r>
        <w:t xml:space="preserve">] Pieteicēja līdz pat lietas izskatīšanai pēc būtības tiesā nav iesniegusi pierādījumus, kas atbilstoši Administratīvā procesa likuma 161.panta pirmajai daļai apstiprinātu tās apgalvojumu pamatotību. </w:t>
      </w:r>
      <w:r w:rsidR="00087213">
        <w:t>Tādējādi t</w:t>
      </w:r>
      <w:r>
        <w:t xml:space="preserve">iesa pārkāpusi objektīvās izmeklēšanas principu, jo bez pierādījumiem ir piešķīrusi ticamību pieteicējas izteiktajiem argumentiem. </w:t>
      </w:r>
      <w:r w:rsidR="00087213">
        <w:t>T</w:t>
      </w:r>
      <w:r>
        <w:t xml:space="preserve">iesa ir </w:t>
      </w:r>
      <w:r w:rsidR="00236C5A">
        <w:t xml:space="preserve">vērtējusi pierādījumus </w:t>
      </w:r>
      <w:r w:rsidR="00087213">
        <w:t>atrauti</w:t>
      </w:r>
      <w:r w:rsidR="00236C5A">
        <w:t>,</w:t>
      </w:r>
      <w:r w:rsidR="00087213">
        <w:t xml:space="preserve"> </w:t>
      </w:r>
      <w:r w:rsidR="00236C5A">
        <w:t>nevis</w:t>
      </w:r>
      <w:r w:rsidR="00087213">
        <w:t xml:space="preserve"> to kopsakarā. Pārkāpjot procesuālās tiesību normas, tiesa nepamatoti attiecībā uz pieteicēju ir piemērojusi likuma </w:t>
      </w:r>
      <w:r w:rsidR="00F03755">
        <w:t>„</w:t>
      </w:r>
      <w:r w:rsidR="00087213">
        <w:t xml:space="preserve">Par pievienotās vērtības nodokli” </w:t>
      </w:r>
      <w:proofErr w:type="gramStart"/>
      <w:r w:rsidR="00087213">
        <w:t>10.panta</w:t>
      </w:r>
      <w:proofErr w:type="gramEnd"/>
      <w:r w:rsidR="00087213">
        <w:t xml:space="preserve"> pirmās daļas 1.punktu, atzīstot pieteicējas tiesības uz priekšnodokļa atskaitīšanu. </w:t>
      </w:r>
    </w:p>
    <w:p w14:paraId="0613C15A" w14:textId="77777777" w:rsidR="00F92FB2" w:rsidRPr="0090382B" w:rsidRDefault="00F92FB2" w:rsidP="004F2E3D">
      <w:pPr>
        <w:pStyle w:val="NoSpacing"/>
        <w:spacing w:line="276" w:lineRule="auto"/>
        <w:ind w:firstLine="709"/>
        <w:jc w:val="both"/>
      </w:pPr>
    </w:p>
    <w:p w14:paraId="6664029C" w14:textId="7FD48BC6" w:rsidR="00BC17CA" w:rsidRDefault="00F023A9" w:rsidP="004F2E3D">
      <w:pPr>
        <w:pStyle w:val="NoSpacing"/>
        <w:spacing w:line="276" w:lineRule="auto"/>
        <w:ind w:firstLine="709"/>
        <w:jc w:val="both"/>
      </w:pPr>
      <w:r w:rsidRPr="0090382B">
        <w:lastRenderedPageBreak/>
        <w:t>[6</w:t>
      </w:r>
      <w:r w:rsidR="00F92FB2" w:rsidRPr="0090382B">
        <w:t xml:space="preserve">] </w:t>
      </w:r>
      <w:r w:rsidR="007614B0">
        <w:t>Pieteicēja p</w:t>
      </w:r>
      <w:r w:rsidR="0090382B" w:rsidRPr="0090382B">
        <w:t xml:space="preserve">askaidrojumos Valsts ieņēmumu dienesta kasācijas sūdzību </w:t>
      </w:r>
      <w:r w:rsidR="007614B0">
        <w:t xml:space="preserve">neatzīst un </w:t>
      </w:r>
      <w:r w:rsidR="0090382B" w:rsidRPr="0090382B">
        <w:t>nor</w:t>
      </w:r>
      <w:r w:rsidR="0090382B">
        <w:t>āda, ka dienesta argumenti ir vērsti uz pierādījumu pārvērtēšanu, kas neietilpst kasācijas instances kompetencē.</w:t>
      </w:r>
      <w:r w:rsidR="007614B0">
        <w:t xml:space="preserve"> </w:t>
      </w:r>
    </w:p>
    <w:p w14:paraId="545768DB" w14:textId="77777777" w:rsidR="007614B0" w:rsidRDefault="007614B0" w:rsidP="004F2E3D">
      <w:pPr>
        <w:pStyle w:val="NoSpacing"/>
        <w:spacing w:line="276" w:lineRule="auto"/>
        <w:ind w:firstLine="709"/>
        <w:jc w:val="both"/>
      </w:pPr>
    </w:p>
    <w:p w14:paraId="72509EF3" w14:textId="78D34B1D" w:rsidR="006C11C5" w:rsidRPr="006C11C5" w:rsidRDefault="007614B0" w:rsidP="006D12E1">
      <w:pPr>
        <w:pStyle w:val="NoSpacing"/>
        <w:spacing w:line="276" w:lineRule="auto"/>
        <w:ind w:firstLine="709"/>
        <w:jc w:val="both"/>
      </w:pPr>
      <w:r>
        <w:t>[7] Valsts ieņēmumu dienests paskaidrojumos pieteicējas kasācijas sūdzību neatzīst</w:t>
      </w:r>
      <w:r w:rsidR="006D12E1">
        <w:t>.</w:t>
      </w:r>
    </w:p>
    <w:p w14:paraId="22BF443B" w14:textId="77777777" w:rsidR="00BC17CA" w:rsidRPr="006C11C5" w:rsidRDefault="00BC17CA" w:rsidP="004F2E3D">
      <w:pPr>
        <w:pStyle w:val="NoSpacing"/>
        <w:spacing w:line="276" w:lineRule="auto"/>
        <w:ind w:firstLine="709"/>
        <w:jc w:val="both"/>
      </w:pPr>
    </w:p>
    <w:p w14:paraId="6B4A3792" w14:textId="77777777" w:rsidR="00972B7D" w:rsidRDefault="00972B7D" w:rsidP="00972B7D">
      <w:pPr>
        <w:spacing w:after="0" w:line="276" w:lineRule="auto"/>
        <w:jc w:val="center"/>
        <w:rPr>
          <w:rFonts w:eastAsia="Times New Roman" w:cs="Times New Roman"/>
          <w:b/>
          <w:szCs w:val="24"/>
          <w:lang w:eastAsia="lv-LV"/>
        </w:rPr>
      </w:pPr>
      <w:r w:rsidRPr="006C11C5">
        <w:rPr>
          <w:rFonts w:eastAsia="Times New Roman" w:cs="Times New Roman"/>
          <w:b/>
          <w:szCs w:val="24"/>
          <w:lang w:eastAsia="lv-LV"/>
        </w:rPr>
        <w:t>Motīvu daļa</w:t>
      </w:r>
    </w:p>
    <w:p w14:paraId="296B7829" w14:textId="77777777" w:rsidR="00A23F46" w:rsidRDefault="00A23F46" w:rsidP="00972B7D">
      <w:pPr>
        <w:spacing w:after="0" w:line="276" w:lineRule="auto"/>
        <w:jc w:val="center"/>
        <w:rPr>
          <w:rFonts w:eastAsia="Times New Roman" w:cs="Times New Roman"/>
          <w:b/>
          <w:szCs w:val="24"/>
          <w:lang w:eastAsia="lv-LV"/>
        </w:rPr>
      </w:pPr>
    </w:p>
    <w:p w14:paraId="1AED7911" w14:textId="234A2F2F" w:rsidR="00A23F46" w:rsidRPr="006C11C5" w:rsidRDefault="00A23F46" w:rsidP="00972B7D">
      <w:pPr>
        <w:spacing w:after="0" w:line="276" w:lineRule="auto"/>
        <w:jc w:val="center"/>
        <w:rPr>
          <w:rFonts w:eastAsia="Times New Roman" w:cs="Times New Roman"/>
          <w:b/>
          <w:szCs w:val="24"/>
          <w:lang w:eastAsia="lv-LV"/>
        </w:rPr>
      </w:pPr>
      <w:r>
        <w:rPr>
          <w:rFonts w:eastAsia="Times New Roman" w:cs="Times New Roman"/>
          <w:b/>
          <w:szCs w:val="24"/>
          <w:lang w:eastAsia="lv-LV"/>
        </w:rPr>
        <w:t>I</w:t>
      </w:r>
    </w:p>
    <w:p w14:paraId="1942BEA6" w14:textId="77777777" w:rsidR="00972B7D" w:rsidRPr="006C11C5" w:rsidRDefault="00972B7D" w:rsidP="00972B7D">
      <w:pPr>
        <w:spacing w:after="0" w:line="276" w:lineRule="auto"/>
        <w:jc w:val="center"/>
        <w:rPr>
          <w:rFonts w:eastAsia="Times New Roman" w:cs="Times New Roman"/>
          <w:b/>
          <w:szCs w:val="24"/>
          <w:lang w:eastAsia="lv-LV"/>
        </w:rPr>
      </w:pPr>
    </w:p>
    <w:p w14:paraId="209DEDDD" w14:textId="26101835" w:rsidR="00085650" w:rsidRPr="00EE2605" w:rsidRDefault="00972B7D" w:rsidP="00085650">
      <w:pPr>
        <w:spacing w:after="0" w:line="276" w:lineRule="auto"/>
        <w:ind w:firstLine="720"/>
        <w:jc w:val="both"/>
        <w:rPr>
          <w:rFonts w:eastAsia="Times New Roman" w:cs="Times New Roman"/>
          <w:szCs w:val="24"/>
          <w:lang w:eastAsia="lv-LV"/>
        </w:rPr>
      </w:pPr>
      <w:r w:rsidRPr="006C11C5">
        <w:rPr>
          <w:rFonts w:eastAsia="Times New Roman" w:cs="Times New Roman"/>
          <w:szCs w:val="24"/>
          <w:lang w:eastAsia="lv-LV"/>
        </w:rPr>
        <w:t>[</w:t>
      </w:r>
      <w:r w:rsidR="006C11C5" w:rsidRPr="006C11C5">
        <w:rPr>
          <w:rFonts w:eastAsia="Times New Roman" w:cs="Times New Roman"/>
          <w:szCs w:val="24"/>
          <w:lang w:eastAsia="lv-LV"/>
        </w:rPr>
        <w:t>8</w:t>
      </w:r>
      <w:r w:rsidRPr="006C11C5">
        <w:rPr>
          <w:rFonts w:eastAsia="Times New Roman" w:cs="Times New Roman"/>
          <w:szCs w:val="24"/>
          <w:lang w:eastAsia="lv-LV"/>
        </w:rPr>
        <w:t xml:space="preserve">] </w:t>
      </w:r>
      <w:r w:rsidR="00A23F46">
        <w:rPr>
          <w:rFonts w:eastAsia="Times New Roman" w:cs="Times New Roman"/>
          <w:szCs w:val="24"/>
          <w:lang w:eastAsia="lv-LV"/>
        </w:rPr>
        <w:t xml:space="preserve">Valsts ieņēmumu dienests kasācijas sūdzībā būtībā nepiekrīt tiesas </w:t>
      </w:r>
      <w:r w:rsidR="00672C90">
        <w:rPr>
          <w:rFonts w:eastAsia="Times New Roman" w:cs="Times New Roman"/>
          <w:szCs w:val="24"/>
          <w:lang w:eastAsia="lv-LV"/>
        </w:rPr>
        <w:t>izdarītajam secinājumam, ka</w:t>
      </w:r>
      <w:r w:rsidR="00672C90">
        <w:t xml:space="preserve"> pieteicējai bija</w:t>
      </w:r>
      <w:r w:rsidR="00C07F4D">
        <w:t xml:space="preserve"> nopietns</w:t>
      </w:r>
      <w:r w:rsidR="00672C90">
        <w:t xml:space="preserve"> </w:t>
      </w:r>
      <w:r w:rsidR="00A23F46" w:rsidRPr="005D2611">
        <w:t>nolūk</w:t>
      </w:r>
      <w:r w:rsidR="00672C90">
        <w:t>s</w:t>
      </w:r>
      <w:r w:rsidR="00A23F46" w:rsidRPr="005D2611">
        <w:t xml:space="preserve"> attīstīt nekustamo īpašumu, veicot uz tā būvniecību un att</w:t>
      </w:r>
      <w:r w:rsidR="0020086F">
        <w:t xml:space="preserve">iecīgi pārdodot uzbūvētās ēkas, respektīvi, </w:t>
      </w:r>
      <w:r w:rsidR="00A23F46" w:rsidRPr="005D2611">
        <w:t>veikt ar pievienotās vērtības nodok</w:t>
      </w:r>
      <w:r w:rsidR="00672C90">
        <w:t xml:space="preserve">li apliekamus darījumus. </w:t>
      </w:r>
      <w:r w:rsidR="0013620D">
        <w:t xml:space="preserve">Dienests norāda uz vairākiem apstākļiem, kas, </w:t>
      </w:r>
      <w:r w:rsidR="0020086F">
        <w:t>tā</w:t>
      </w:r>
      <w:r w:rsidR="0013620D">
        <w:t xml:space="preserve"> ieskatā, </w:t>
      </w:r>
      <w:r w:rsidR="00AF46DE">
        <w:t xml:space="preserve">rada šaubas par </w:t>
      </w:r>
      <w:r w:rsidR="009E632B">
        <w:t>pieteicējas ieceri</w:t>
      </w:r>
      <w:r w:rsidR="000379B5">
        <w:t xml:space="preserve"> veikt tieši ar pievienotās vērtības nodokli apliekamos darījumus</w:t>
      </w:r>
      <w:r w:rsidR="009E632B">
        <w:t xml:space="preserve">. </w:t>
      </w:r>
      <w:r w:rsidR="0020086F">
        <w:t>Līdz ar to</w:t>
      </w:r>
      <w:r w:rsidR="00085650">
        <w:t xml:space="preserve"> k</w:t>
      </w:r>
      <w:r w:rsidR="00085650" w:rsidRPr="00EE2605">
        <w:rPr>
          <w:rFonts w:eastAsia="Times New Roman" w:cs="Times New Roman"/>
          <w:szCs w:val="24"/>
          <w:lang w:eastAsia="lv-LV"/>
        </w:rPr>
        <w:t xml:space="preserve">onkrētajā lietā </w:t>
      </w:r>
      <w:r w:rsidR="009E632B">
        <w:rPr>
          <w:rFonts w:eastAsia="Times New Roman" w:cs="Times New Roman"/>
          <w:szCs w:val="24"/>
          <w:lang w:eastAsia="lv-LV"/>
        </w:rPr>
        <w:t>ir izšķirams</w:t>
      </w:r>
      <w:r w:rsidR="00B97CC0">
        <w:rPr>
          <w:rFonts w:eastAsia="Times New Roman" w:cs="Times New Roman"/>
          <w:szCs w:val="24"/>
          <w:lang w:eastAsia="lv-LV"/>
        </w:rPr>
        <w:t xml:space="preserve"> </w:t>
      </w:r>
      <w:r w:rsidR="00085650" w:rsidRPr="00EE2605">
        <w:rPr>
          <w:rFonts w:eastAsia="Times New Roman" w:cs="Times New Roman"/>
          <w:szCs w:val="24"/>
          <w:lang w:eastAsia="lv-LV"/>
        </w:rPr>
        <w:t xml:space="preserve">strīds par to, vai </w:t>
      </w:r>
      <w:r w:rsidR="009E632B" w:rsidRPr="00EE2605">
        <w:rPr>
          <w:rFonts w:eastAsia="Times New Roman" w:cs="Times New Roman"/>
          <w:szCs w:val="24"/>
          <w:lang w:eastAsia="lv-LV"/>
        </w:rPr>
        <w:t>pieteicēja</w:t>
      </w:r>
      <w:r w:rsidR="008E0CC5">
        <w:rPr>
          <w:rFonts w:eastAsia="Times New Roman" w:cs="Times New Roman"/>
          <w:szCs w:val="24"/>
          <w:lang w:eastAsia="lv-LV"/>
        </w:rPr>
        <w:t>s</w:t>
      </w:r>
      <w:r w:rsidR="009E632B" w:rsidRPr="00EE2605">
        <w:rPr>
          <w:rFonts w:eastAsia="Times New Roman" w:cs="Times New Roman"/>
          <w:szCs w:val="24"/>
          <w:lang w:eastAsia="lv-LV"/>
        </w:rPr>
        <w:t xml:space="preserve"> </w:t>
      </w:r>
      <w:r w:rsidR="00085650" w:rsidRPr="00EE2605">
        <w:rPr>
          <w:rFonts w:eastAsia="Times New Roman" w:cs="Times New Roman"/>
          <w:szCs w:val="24"/>
          <w:lang w:eastAsia="lv-LV"/>
        </w:rPr>
        <w:t>iegādātās preces un pakalpojumus izmantoja savas saimni</w:t>
      </w:r>
      <w:r w:rsidR="00B97CC0">
        <w:rPr>
          <w:rFonts w:eastAsia="Times New Roman" w:cs="Times New Roman"/>
          <w:szCs w:val="24"/>
          <w:lang w:eastAsia="lv-LV"/>
        </w:rPr>
        <w:t>eciskās darbības nodrošināšanai,</w:t>
      </w:r>
      <w:r w:rsidR="00B97CC0" w:rsidRPr="00B97CC0">
        <w:t xml:space="preserve"> </w:t>
      </w:r>
      <w:r w:rsidR="00B97CC0">
        <w:t>kas dotu pieteicējai tiesības uz priekšnodokļa</w:t>
      </w:r>
      <w:r w:rsidR="00B97CC0" w:rsidRPr="001D6BDE">
        <w:t xml:space="preserve"> </w:t>
      </w:r>
      <w:r w:rsidR="00B97CC0">
        <w:t>atskaitīšanu.</w:t>
      </w:r>
      <w:r w:rsidR="009E632B">
        <w:t xml:space="preserve"> </w:t>
      </w:r>
    </w:p>
    <w:p w14:paraId="738711DA" w14:textId="77777777" w:rsidR="001D6BDE" w:rsidRDefault="001D6BDE" w:rsidP="00672C90">
      <w:pPr>
        <w:spacing w:after="0" w:line="276" w:lineRule="auto"/>
        <w:ind w:firstLine="720"/>
        <w:jc w:val="both"/>
      </w:pPr>
    </w:p>
    <w:p w14:paraId="6BFCE93D" w14:textId="3DE40FF8" w:rsidR="009E632B" w:rsidRDefault="009E632B" w:rsidP="009E632B">
      <w:pPr>
        <w:spacing w:after="0" w:line="276" w:lineRule="auto"/>
        <w:ind w:firstLine="720"/>
        <w:jc w:val="both"/>
      </w:pPr>
      <w:r>
        <w:t xml:space="preserve">[9] Pārbaudot apgabaltiesas spriedumu, </w:t>
      </w:r>
      <w:r w:rsidR="00AF46DE">
        <w:t>Augstākā tiesa atzīst, ka tiesas secinājumi par priekšnoteikumiem priekšnodokļa atskaitīšanai ir pareizi,</w:t>
      </w:r>
      <w:r>
        <w:t xml:space="preserve"> proti, tiesa pareizi tulkojusi likuma „Par pievienotās vērtības nodokli” </w:t>
      </w:r>
      <w:proofErr w:type="gramStart"/>
      <w:r>
        <w:t>10.panta</w:t>
      </w:r>
      <w:proofErr w:type="gramEnd"/>
      <w:r>
        <w:t xml:space="preserve"> pirmās daļas 1.punktu. </w:t>
      </w:r>
    </w:p>
    <w:p w14:paraId="608CBEB9" w14:textId="6DF58053" w:rsidR="009E632B" w:rsidRDefault="00C35F11" w:rsidP="009E632B">
      <w:pPr>
        <w:spacing w:after="0" w:line="276" w:lineRule="auto"/>
        <w:ind w:firstLine="720"/>
        <w:jc w:val="both"/>
        <w:rPr>
          <w:i/>
        </w:rPr>
      </w:pPr>
      <w:r>
        <w:t>Atgādināms</w:t>
      </w:r>
      <w:r w:rsidR="009E632B">
        <w:t>, ka viens no priekšnoteikumiem, lai persona varētu atskaitīt priekšnodokli, ir tas, ka iegādātās preces vai saņemtie pakalpojumi, par kuriem izrakstīts rēķins ar pievienotās vērtības nodokli, ir izmantoti šīs personas ar nodokli apliekamo darījumu nodrošināšanai. Šajā saistībā Augstākā tiesa jau vairākkārt atzinusi, ka ir p</w:t>
      </w:r>
      <w:r w:rsidR="009E632B" w:rsidRPr="00EE6820">
        <w:t>ietiekami, ja tiek konstatēts personas nodoms izmantot preces vai pakalpojumus saimnieciskās darbības nodrošināšanai. Nepieciešams, lai pievienotās vērtības nodoklis tiktu samaksāts par precēm un pakalpojumiem, kas patiešām vajadzīgi saimnieciskās darbības un apliekamu darījumu nodrošināšanai</w:t>
      </w:r>
      <w:r w:rsidR="009E632B">
        <w:t xml:space="preserve">. </w:t>
      </w:r>
      <w:r w:rsidR="009E632B" w:rsidRPr="00552271">
        <w:t>Turklāt jāpastāv tiešai un tūlītējai saiknei starp priekšnodo</w:t>
      </w:r>
      <w:r w:rsidR="009E632B">
        <w:t>kli un apliekamajiem darījumiem</w:t>
      </w:r>
      <w:r w:rsidR="009E632B" w:rsidRPr="00552271">
        <w:t xml:space="preserve"> </w:t>
      </w:r>
      <w:r w:rsidR="009E632B" w:rsidRPr="00EE6820">
        <w:t>(</w:t>
      </w:r>
      <w:r w:rsidR="009E632B" w:rsidRPr="009A36C8">
        <w:rPr>
          <w:i/>
        </w:rPr>
        <w:t>Augstākās tiesas</w:t>
      </w:r>
      <w:r w:rsidR="009E632B">
        <w:t xml:space="preserve"> </w:t>
      </w:r>
      <w:r w:rsidR="009E632B">
        <w:rPr>
          <w:i/>
        </w:rPr>
        <w:t xml:space="preserve">2014.gada 31.oktobra sprieduma lietā Nr. SKA-335/2014 (A420528310) 13.punkts, 2012.gada 8.novembra sprieduma lietā Nr. SKA-523/2012 </w:t>
      </w:r>
      <w:r w:rsidR="009E632B" w:rsidRPr="009A36C8">
        <w:rPr>
          <w:i/>
        </w:rPr>
        <w:t>(A42615108)</w:t>
      </w:r>
      <w:r w:rsidR="009E632B" w:rsidRPr="00E42FD5">
        <w:rPr>
          <w:i/>
        </w:rPr>
        <w:t xml:space="preserve"> </w:t>
      </w:r>
      <w:r w:rsidR="009E632B">
        <w:rPr>
          <w:i/>
        </w:rPr>
        <w:t xml:space="preserve">9.punkts, </w:t>
      </w:r>
      <w:r w:rsidR="009E632B" w:rsidRPr="00EE6820">
        <w:rPr>
          <w:i/>
        </w:rPr>
        <w:t>2010.gada 29.marta sprieduma lietā</w:t>
      </w:r>
      <w:r w:rsidR="009E632B" w:rsidRPr="00153587">
        <w:rPr>
          <w:i/>
        </w:rPr>
        <w:t xml:space="preserve"> Nr. </w:t>
      </w:r>
      <w:r w:rsidR="009E632B">
        <w:rPr>
          <w:i/>
        </w:rPr>
        <w:t>SKA</w:t>
      </w:r>
      <w:r w:rsidR="009E632B">
        <w:rPr>
          <w:i/>
        </w:rPr>
        <w:noBreakHyphen/>
      </w:r>
      <w:r w:rsidR="009E632B" w:rsidRPr="00153587">
        <w:rPr>
          <w:i/>
        </w:rPr>
        <w:t>52/2010 (A42476406) 8.punkts</w:t>
      </w:r>
      <w:r w:rsidR="009E632B" w:rsidRPr="00BB130A">
        <w:t>).</w:t>
      </w:r>
      <w:r w:rsidR="009E632B">
        <w:rPr>
          <w:i/>
        </w:rPr>
        <w:t xml:space="preserve"> </w:t>
      </w:r>
    </w:p>
    <w:p w14:paraId="127D98E6" w14:textId="50CF8DC8" w:rsidR="009E632B" w:rsidRDefault="009E632B" w:rsidP="009E632B">
      <w:pPr>
        <w:spacing w:after="0" w:line="276" w:lineRule="auto"/>
        <w:ind w:firstLine="720"/>
        <w:jc w:val="both"/>
      </w:pPr>
      <w:r w:rsidRPr="000A2C36">
        <w:t>Eiropas Savien</w:t>
      </w:r>
      <w:r>
        <w:t>ības T</w:t>
      </w:r>
      <w:r w:rsidRPr="000A2C36">
        <w:t>iesa</w:t>
      </w:r>
      <w:r w:rsidR="0020086F">
        <w:t>s spriedumos</w:t>
      </w:r>
      <w:r>
        <w:t xml:space="preserve"> ir </w:t>
      </w:r>
      <w:r w:rsidR="0020086F">
        <w:t>skaidrots</w:t>
      </w:r>
      <w:r w:rsidRPr="000A2C36">
        <w:t xml:space="preserve">, ka </w:t>
      </w:r>
      <w:r>
        <w:t>saimniecisko darbību var veidot vairākas secīgas darbības, tostarp sagatavojošās darbības. Persona, kas veic sagatavojoš</w:t>
      </w:r>
      <w:r w:rsidR="00AF46DE">
        <w:t>o</w:t>
      </w:r>
      <w:r>
        <w:t>s darb</w:t>
      </w:r>
      <w:r w:rsidR="00AF46DE">
        <w:t>u</w:t>
      </w:r>
      <w:r>
        <w:t xml:space="preserve">s, līdz ar to ir uzskatāma par nodokļa </w:t>
      </w:r>
      <w:r w:rsidRPr="006A5AB5">
        <w:t xml:space="preserve">maksātāju, un tai ir tiesības uz nodokļa atskaitījumu. Rīkojoties kā tādam, šai personai ir tiesības uzreiz atskaitīt maksājamo vai </w:t>
      </w:r>
      <w:r>
        <w:t xml:space="preserve">samaksāto pievienotās vērtības nodokli par veiktajiem ieguldījumu darījumiem, ko tā ir iecerējusi veikt un kas dod tiesības uz atskaitīšanu, negaidot, </w:t>
      </w:r>
      <w:r w:rsidRPr="00037C6E">
        <w:t xml:space="preserve">kamēr </w:t>
      </w:r>
      <w:r w:rsidR="00037C6E" w:rsidRPr="00037C6E">
        <w:t xml:space="preserve">šī darbība </w:t>
      </w:r>
      <w:r w:rsidRPr="00037C6E">
        <w:t>faktiski tiks sākta</w:t>
      </w:r>
      <w:r>
        <w:t xml:space="preserve"> </w:t>
      </w:r>
      <w:r w:rsidR="00C35F11">
        <w:t>(</w:t>
      </w:r>
      <w:r w:rsidRPr="007257B3">
        <w:rPr>
          <w:i/>
        </w:rPr>
        <w:t xml:space="preserve">Eiropas Savienības Tiesas </w:t>
      </w:r>
      <w:proofErr w:type="gramStart"/>
      <w:r w:rsidRPr="007257B3">
        <w:rPr>
          <w:i/>
        </w:rPr>
        <w:t>2012.gada</w:t>
      </w:r>
      <w:proofErr w:type="gramEnd"/>
      <w:r w:rsidRPr="007257B3">
        <w:rPr>
          <w:i/>
        </w:rPr>
        <w:t xml:space="preserve"> 29.novembra spriedum</w:t>
      </w:r>
      <w:r>
        <w:rPr>
          <w:i/>
        </w:rPr>
        <w:t>a</w:t>
      </w:r>
      <w:r w:rsidRPr="007257B3">
        <w:rPr>
          <w:i/>
        </w:rPr>
        <w:t xml:space="preserve"> lietā „</w:t>
      </w:r>
      <w:proofErr w:type="spellStart"/>
      <w:r w:rsidRPr="007257B3">
        <w:rPr>
          <w:i/>
        </w:rPr>
        <w:t>Gran</w:t>
      </w:r>
      <w:proofErr w:type="spellEnd"/>
      <w:r w:rsidRPr="007257B3">
        <w:rPr>
          <w:i/>
        </w:rPr>
        <w:t xml:space="preserve"> </w:t>
      </w:r>
      <w:proofErr w:type="spellStart"/>
      <w:r w:rsidRPr="007257B3">
        <w:rPr>
          <w:i/>
        </w:rPr>
        <w:t>Via</w:t>
      </w:r>
      <w:proofErr w:type="spellEnd"/>
      <w:r w:rsidRPr="007257B3">
        <w:rPr>
          <w:i/>
        </w:rPr>
        <w:t xml:space="preserve"> </w:t>
      </w:r>
      <w:proofErr w:type="spellStart"/>
      <w:r w:rsidRPr="007257B3">
        <w:rPr>
          <w:i/>
        </w:rPr>
        <w:t>Moineşti</w:t>
      </w:r>
      <w:proofErr w:type="spellEnd"/>
      <w:r w:rsidRPr="007257B3">
        <w:rPr>
          <w:i/>
        </w:rPr>
        <w:t>”, C</w:t>
      </w:r>
      <w:r>
        <w:rPr>
          <w:i/>
        </w:rPr>
        <w:noBreakHyphen/>
      </w:r>
      <w:r w:rsidRPr="007257B3">
        <w:rPr>
          <w:i/>
        </w:rPr>
        <w:t xml:space="preserve">257/11, </w:t>
      </w:r>
      <w:r w:rsidR="00BE53A6" w:rsidRPr="00BE53A6">
        <w:rPr>
          <w:i/>
        </w:rPr>
        <w:t>ECLI:EU:C:2012:759,</w:t>
      </w:r>
      <w:r w:rsidR="00BE53A6">
        <w:rPr>
          <w:rFonts w:ascii="Verdana" w:hAnsi="Verdana"/>
          <w:b/>
          <w:bCs/>
          <w:color w:val="5F5F5F"/>
          <w:sz w:val="20"/>
          <w:szCs w:val="20"/>
          <w:shd w:val="clear" w:color="auto" w:fill="FFFFFF"/>
        </w:rPr>
        <w:t xml:space="preserve"> </w:t>
      </w:r>
      <w:r w:rsidRPr="007257B3">
        <w:rPr>
          <w:i/>
        </w:rPr>
        <w:t>26.</w:t>
      </w:r>
      <w:r w:rsidR="00037C6E">
        <w:rPr>
          <w:i/>
        </w:rPr>
        <w:t>, 27.</w:t>
      </w:r>
      <w:r w:rsidRPr="007257B3">
        <w:rPr>
          <w:i/>
        </w:rPr>
        <w:t>punkts un tajā minētā judikatūra</w:t>
      </w:r>
      <w:r>
        <w:rPr>
          <w:i/>
        </w:rPr>
        <w:t>, kā arī  2000.gada 8.jūnija sprieduma lietā „</w:t>
      </w:r>
      <w:proofErr w:type="spellStart"/>
      <w:r w:rsidR="00330467">
        <w:fldChar w:fldCharType="begin"/>
      </w:r>
      <w:r w:rsidR="00330467">
        <w:instrText xml:space="preserve"> HYPERLINK "http://curia.europa.eu/juris/showPdf.jsf?text=&amp;docid=45337&amp;pageIndex=0&amp;doclang=EN&amp;mode=lst&amp;dir=&amp;occ=first&amp;part=1&amp;cid=339332" </w:instrText>
      </w:r>
      <w:r w:rsidR="00330467">
        <w:fldChar w:fldCharType="separate"/>
      </w:r>
      <w:r w:rsidRPr="007257B3">
        <w:rPr>
          <w:i/>
        </w:rPr>
        <w:t>Schloßstraße</w:t>
      </w:r>
      <w:proofErr w:type="spellEnd"/>
      <w:r w:rsidR="00330467">
        <w:rPr>
          <w:i/>
        </w:rPr>
        <w:fldChar w:fldCharType="end"/>
      </w:r>
      <w:r w:rsidRPr="007257B3">
        <w:rPr>
          <w:i/>
        </w:rPr>
        <w:t>”</w:t>
      </w:r>
      <w:r>
        <w:rPr>
          <w:i/>
        </w:rPr>
        <w:t>, C-396/98,</w:t>
      </w:r>
      <w:r w:rsidRPr="007257B3">
        <w:rPr>
          <w:i/>
        </w:rPr>
        <w:t xml:space="preserve"> </w:t>
      </w:r>
      <w:r w:rsidR="00BE53A6" w:rsidRPr="00BE53A6">
        <w:rPr>
          <w:i/>
        </w:rPr>
        <w:t>ECLI:EU:C:2000:303,</w:t>
      </w:r>
      <w:r w:rsidR="00BE53A6">
        <w:rPr>
          <w:rFonts w:ascii="Verdana" w:hAnsi="Verdana"/>
          <w:b/>
          <w:bCs/>
          <w:color w:val="5F5F5F"/>
          <w:sz w:val="20"/>
          <w:szCs w:val="20"/>
          <w:shd w:val="clear" w:color="auto" w:fill="FFFFFF"/>
        </w:rPr>
        <w:t xml:space="preserve"> </w:t>
      </w:r>
      <w:r>
        <w:rPr>
          <w:i/>
        </w:rPr>
        <w:t>36.punkts un tajā minētā judikatūra</w:t>
      </w:r>
      <w:r>
        <w:t xml:space="preserve">). </w:t>
      </w:r>
      <w:r w:rsidRPr="008E46A2">
        <w:t>Ir svarīgi uzsvērt, ka tieši preču vai pakalpojumu iegāde, ko veic nodokļa maksātājs, kas kā tāds rīkojas, dod pamatu piemērot pievienotās vērtības nodokļa sistēmu un tādējādi arī nodokļa atskaitīšanas mehānismu</w:t>
      </w:r>
      <w:r>
        <w:t xml:space="preserve">. Tiesības uz atskaitīšanu rodas brīdī, kas atskaitāmais nodoklis kļūst iekasējams, tas ir, tiklīdz preces ir piegādātas vai pakalpojumi ir </w:t>
      </w:r>
      <w:r>
        <w:lastRenderedPageBreak/>
        <w:t>sniegti</w:t>
      </w:r>
      <w:r w:rsidR="00C35F11">
        <w:t xml:space="preserve"> tam nodokļu maksātājam, kuram ir šādas tiesības. </w:t>
      </w:r>
      <w:r w:rsidR="00A11A6B">
        <w:t>Tomēr</w:t>
      </w:r>
      <w:r>
        <w:t xml:space="preserve"> nodokļu administrācijai nav aizliegts </w:t>
      </w:r>
      <w:r w:rsidRPr="00D22AB5">
        <w:t xml:space="preserve">pieprasīt objektīvus pierādījumus, lai pamatotu </w:t>
      </w:r>
      <w:r>
        <w:t>personas iecerēto</w:t>
      </w:r>
      <w:r w:rsidRPr="00D22AB5">
        <w:t xml:space="preserve"> nodomu sākt</w:t>
      </w:r>
      <w:r>
        <w:t xml:space="preserve"> saimniecisko darbību, kas radītu</w:t>
      </w:r>
      <w:r w:rsidRPr="00D22AB5">
        <w:t xml:space="preserve"> ar nodokli apliekamus darījumus. </w:t>
      </w:r>
      <w:r>
        <w:t>Būtiski uzsvērt</w:t>
      </w:r>
      <w:r w:rsidRPr="00D22AB5">
        <w:t>, ka nodokļa maksātājs šo s</w:t>
      </w:r>
      <w:r>
        <w:t>tatusu iegūst tikai tad, ja viņa</w:t>
      </w:r>
      <w:r w:rsidRPr="00D22AB5">
        <w:t xml:space="preserve"> n</w:t>
      </w:r>
      <w:r>
        <w:t>odoms uzsākt iecerēto</w:t>
      </w:r>
      <w:r w:rsidRPr="00D22AB5">
        <w:t xml:space="preserve"> saimniecisk</w:t>
      </w:r>
      <w:r>
        <w:t>o</w:t>
      </w:r>
      <w:r w:rsidRPr="00D22AB5">
        <w:t xml:space="preserve"> darbīb</w:t>
      </w:r>
      <w:r>
        <w:t>u ir</w:t>
      </w:r>
      <w:r w:rsidRPr="00D22AB5">
        <w:t xml:space="preserve"> </w:t>
      </w:r>
      <w:r>
        <w:t>labticīgs</w:t>
      </w:r>
      <w:r w:rsidRPr="00D22AB5">
        <w:t>.</w:t>
      </w:r>
      <w:r>
        <w:t xml:space="preserve"> Savukārt k</w:t>
      </w:r>
      <w:r w:rsidRPr="00D22AB5">
        <w:t>rāpšanas vai ļaunp</w:t>
      </w:r>
      <w:r>
        <w:t xml:space="preserve">rātīgas izmantošanas gadījumos </w:t>
      </w:r>
      <w:r w:rsidRPr="00D22AB5">
        <w:t xml:space="preserve">nodokļu </w:t>
      </w:r>
      <w:r>
        <w:t>administrācija</w:t>
      </w:r>
      <w:r w:rsidRPr="00D22AB5">
        <w:t xml:space="preserve"> var pieprasīt ar atpakaļejošu spēku atmaksāt summas, kas atskaitītas, pamatojoties uz to, k</w:t>
      </w:r>
      <w:r>
        <w:t xml:space="preserve">a šie atskaitījumi tika veikti sakarā ar nepatiesām deklarācijām. Šādos apstākļos tiesai, balstoties uz objektīviem pierādījumiem, ir jāpārbauda, vai deklarētais nodoms uzsākt saimniecisko darbību, kas radītu ar nodokli apliekamus darījumus, ir bijis patiešām labticīgs (sal. </w:t>
      </w:r>
      <w:r w:rsidRPr="001F5BB4">
        <w:rPr>
          <w:i/>
        </w:rPr>
        <w:t>Eiropas Savienības Tiesas</w:t>
      </w:r>
      <w:r>
        <w:t xml:space="preserve"> </w:t>
      </w:r>
      <w:proofErr w:type="gramStart"/>
      <w:r>
        <w:rPr>
          <w:i/>
        </w:rPr>
        <w:t>2000.gada</w:t>
      </w:r>
      <w:proofErr w:type="gramEnd"/>
      <w:r>
        <w:rPr>
          <w:i/>
        </w:rPr>
        <w:t xml:space="preserve"> 8.jūnija sprieduma lietā „</w:t>
      </w:r>
      <w:proofErr w:type="spellStart"/>
      <w:r w:rsidR="00330467">
        <w:fldChar w:fldCharType="begin"/>
      </w:r>
      <w:r w:rsidR="00330467">
        <w:instrText xml:space="preserve"> HYPERLINK "http://curia.europa.eu/juris/showPdf.jsf?text=&amp;docid=45337&amp;pageIndex=0&amp;doclang=EN&amp;mode=lst&amp;dir=&amp;occ=first&amp;part=1&amp;cid=339332" </w:instrText>
      </w:r>
      <w:r w:rsidR="00330467">
        <w:fldChar w:fldCharType="separate"/>
      </w:r>
      <w:r w:rsidRPr="007257B3">
        <w:rPr>
          <w:i/>
        </w:rPr>
        <w:t>Schloßstraße</w:t>
      </w:r>
      <w:proofErr w:type="spellEnd"/>
      <w:r w:rsidR="00330467">
        <w:rPr>
          <w:i/>
        </w:rPr>
        <w:fldChar w:fldCharType="end"/>
      </w:r>
      <w:r w:rsidRPr="007257B3">
        <w:rPr>
          <w:i/>
        </w:rPr>
        <w:t>”</w:t>
      </w:r>
      <w:r>
        <w:rPr>
          <w:i/>
        </w:rPr>
        <w:t xml:space="preserve">, C-396/98, </w:t>
      </w:r>
      <w:r w:rsidR="00BE53A6" w:rsidRPr="00BE53A6">
        <w:rPr>
          <w:i/>
        </w:rPr>
        <w:t>ECLI:EU:C:2000:303,</w:t>
      </w:r>
      <w:r w:rsidR="00BE53A6">
        <w:rPr>
          <w:i/>
        </w:rPr>
        <w:t xml:space="preserve"> </w:t>
      </w:r>
      <w:r w:rsidR="006D4646">
        <w:rPr>
          <w:i/>
        </w:rPr>
        <w:t xml:space="preserve">37., </w:t>
      </w:r>
      <w:r>
        <w:rPr>
          <w:i/>
        </w:rPr>
        <w:t xml:space="preserve">38., </w:t>
      </w:r>
      <w:r w:rsidRPr="00D22AB5">
        <w:rPr>
          <w:i/>
        </w:rPr>
        <w:t>40.</w:t>
      </w:r>
      <w:r w:rsidR="006D4646">
        <w:rPr>
          <w:i/>
        </w:rPr>
        <w:t xml:space="preserve">, </w:t>
      </w:r>
      <w:r>
        <w:rPr>
          <w:i/>
        </w:rPr>
        <w:t>41.</w:t>
      </w:r>
      <w:r w:rsidRPr="00D22AB5">
        <w:rPr>
          <w:i/>
        </w:rPr>
        <w:t>punkts</w:t>
      </w:r>
      <w:r w:rsidR="00C35F11">
        <w:rPr>
          <w:i/>
        </w:rPr>
        <w:t xml:space="preserve"> un tajā </w:t>
      </w:r>
      <w:r w:rsidR="00BB130A">
        <w:rPr>
          <w:i/>
        </w:rPr>
        <w:t>minētā</w:t>
      </w:r>
      <w:r w:rsidR="00C35F11">
        <w:rPr>
          <w:i/>
        </w:rPr>
        <w:t xml:space="preserve"> judikatūra</w:t>
      </w:r>
      <w:r>
        <w:t>). Savuk</w:t>
      </w:r>
      <w:r w:rsidR="007073E3">
        <w:t>ārt</w:t>
      </w:r>
      <w:r>
        <w:t xml:space="preserve"> pievienotās vērtības nodokļa neitralitātes princips pieprasa, ka tiesības uz atskaitījumu, tiklīdz tās </w:t>
      </w:r>
      <w:r w:rsidR="00A11A6B">
        <w:t xml:space="preserve">ir </w:t>
      </w:r>
      <w:r>
        <w:t xml:space="preserve">radušās, tiek saglabātas pat tad, ja nodokļu administrācija vēlāk </w:t>
      </w:r>
      <w:r w:rsidR="007073E3">
        <w:t>ir</w:t>
      </w:r>
      <w:r>
        <w:t xml:space="preserve"> informēta, ka paredzētā saimnieciskā darbība, kuras rezultātā bija plānots veikt ar nodokli ap</w:t>
      </w:r>
      <w:r w:rsidR="00A11A6B">
        <w:t>liekamus darījumus, neīstenojas</w:t>
      </w:r>
      <w:r w:rsidR="007073E3">
        <w:t>,</w:t>
      </w:r>
      <w:r>
        <w:t xml:space="preserve"> </w:t>
      </w:r>
      <w:r w:rsidR="007073E3">
        <w:t xml:space="preserve">ja vien netiek konstatēta krāpniecība vai ļaunprātīga izmantošana </w:t>
      </w:r>
      <w:r>
        <w:t xml:space="preserve">(sal. </w:t>
      </w:r>
      <w:r w:rsidRPr="001F5BB4">
        <w:rPr>
          <w:i/>
        </w:rPr>
        <w:t>Eiropas Savienības Tiesas</w:t>
      </w:r>
      <w:r>
        <w:t xml:space="preserve"> </w:t>
      </w:r>
      <w:r>
        <w:rPr>
          <w:i/>
        </w:rPr>
        <w:t>2000.gada 8.jūnija sprieduma lietā „</w:t>
      </w:r>
      <w:proofErr w:type="spellStart"/>
      <w:r>
        <w:rPr>
          <w:i/>
        </w:rPr>
        <w:t>Breitsohl</w:t>
      </w:r>
      <w:proofErr w:type="spellEnd"/>
      <w:r w:rsidRPr="007257B3">
        <w:rPr>
          <w:i/>
        </w:rPr>
        <w:t>”</w:t>
      </w:r>
      <w:r>
        <w:rPr>
          <w:i/>
        </w:rPr>
        <w:t xml:space="preserve">, C-400/98, </w:t>
      </w:r>
      <w:r w:rsidR="00BE53A6" w:rsidRPr="00BE53A6">
        <w:rPr>
          <w:i/>
        </w:rPr>
        <w:t xml:space="preserve">ECLI:EU:C:2000:304, </w:t>
      </w:r>
      <w:r>
        <w:rPr>
          <w:i/>
        </w:rPr>
        <w:t>41.</w:t>
      </w:r>
      <w:r w:rsidRPr="00D22AB5">
        <w:rPr>
          <w:i/>
        </w:rPr>
        <w:t>punkts</w:t>
      </w:r>
      <w:r>
        <w:t>).</w:t>
      </w:r>
      <w:r w:rsidR="00C35F11">
        <w:t xml:space="preserve"> </w:t>
      </w:r>
      <w:r w:rsidR="00037C6E" w:rsidRPr="006A5AB5">
        <w:t xml:space="preserve">Pretējā gadījumā </w:t>
      </w:r>
      <w:r w:rsidR="00A11A6B" w:rsidRPr="006A5AB5">
        <w:t xml:space="preserve">tas </w:t>
      </w:r>
      <w:r w:rsidR="006A5AB5" w:rsidRPr="006A5AB5">
        <w:t>būtu</w:t>
      </w:r>
      <w:r w:rsidR="00A11A6B" w:rsidRPr="006A5AB5">
        <w:t xml:space="preserve"> pretrunā </w:t>
      </w:r>
      <w:r w:rsidR="00037C6E" w:rsidRPr="006A5AB5">
        <w:t>principam</w:t>
      </w:r>
      <w:r w:rsidR="00A11A6B" w:rsidRPr="006A5AB5">
        <w:t>, ka pievienotās vērt</w:t>
      </w:r>
      <w:r w:rsidR="006A5AB5" w:rsidRPr="006A5AB5">
        <w:t>ības nodoklis</w:t>
      </w:r>
      <w:r w:rsidR="00A11A6B" w:rsidRPr="006A5AB5">
        <w:t xml:space="preserve"> </w:t>
      </w:r>
      <w:r w:rsidR="006A5AB5">
        <w:t xml:space="preserve">pēc būtības </w:t>
      </w:r>
      <w:r w:rsidR="00A11A6B" w:rsidRPr="006A5AB5">
        <w:t>ir neitrāl</w:t>
      </w:r>
      <w:r w:rsidR="006A5AB5" w:rsidRPr="006A5AB5">
        <w:t>s.</w:t>
      </w:r>
      <w:r w:rsidR="00A11A6B" w:rsidRPr="006A5AB5">
        <w:t xml:space="preserve"> </w:t>
      </w:r>
    </w:p>
    <w:p w14:paraId="775F7349" w14:textId="2E9652C3" w:rsidR="009E632B" w:rsidRDefault="009E632B" w:rsidP="009E632B">
      <w:pPr>
        <w:spacing w:after="0" w:line="276" w:lineRule="auto"/>
        <w:ind w:firstLine="720"/>
        <w:jc w:val="both"/>
        <w:rPr>
          <w:i/>
        </w:rPr>
      </w:pPr>
      <w:r w:rsidRPr="00C26905">
        <w:t xml:space="preserve">Tātad </w:t>
      </w:r>
      <w:r>
        <w:t xml:space="preserve">tiesības uz atskaitīšanu personai ir arī tajā gadījumā, ja pēc </w:t>
      </w:r>
      <w:r w:rsidRPr="001163A0">
        <w:t xml:space="preserve">sagatavošanās darbu veikšanas turpmākie apliekamie darījumi netiek īstenoti, ja vien persona rīkojas labticīgi. </w:t>
      </w:r>
      <w:r w:rsidRPr="009A36C8">
        <w:t xml:space="preserve">Attiecīgi </w:t>
      </w:r>
      <w:r>
        <w:t xml:space="preserve">secināms, ka sagatavošanās darbi ir iekļaujami saimnieciskajā darbībā tikai tad, ja nodokļa maksātāja nodoms veikt saimniecisko darbību ir pietiekami ticams, ko var apliecināt gan viņa </w:t>
      </w:r>
      <w:r w:rsidR="00AF46DE" w:rsidRPr="00AF46DE">
        <w:t>iepriekšējie sagatavošanās darbi</w:t>
      </w:r>
      <w:r>
        <w:t>, gan citi pierādījumi kopumā. Savukārt kādas darbības iepriekšēja veikšana, pastāvot tikai abstraktai vēlmei kaut ko kaut kad darīt, pati par sevi neliecina, ka sagatavošanās darb</w:t>
      </w:r>
      <w:r w:rsidR="00AF46DE">
        <w:t>i</w:t>
      </w:r>
      <w:r>
        <w:t xml:space="preserve"> tik tiešām ir saistīt</w:t>
      </w:r>
      <w:r w:rsidR="00AF46DE">
        <w:t>i</w:t>
      </w:r>
      <w:r>
        <w:t xml:space="preserve"> ar plānoto saimniecisko darbību, kas dod tiesības atskaitīt priekšnodokli. Šāda abstrakta vēlme liecina par nodokļu maksātāja nodomu gūt fiskālas priekšrocības (</w:t>
      </w:r>
      <w:r w:rsidRPr="00E42FD5">
        <w:rPr>
          <w:i/>
        </w:rPr>
        <w:t xml:space="preserve">Augstākās tiesas </w:t>
      </w:r>
      <w:proofErr w:type="gramStart"/>
      <w:r>
        <w:rPr>
          <w:i/>
        </w:rPr>
        <w:t>2014.gada</w:t>
      </w:r>
      <w:proofErr w:type="gramEnd"/>
      <w:r>
        <w:rPr>
          <w:i/>
        </w:rPr>
        <w:t xml:space="preserve"> 31.oktobra sprieduma lietā Nr. SKA</w:t>
      </w:r>
      <w:r>
        <w:rPr>
          <w:i/>
        </w:rPr>
        <w:noBreakHyphen/>
        <w:t>335/2014 (A420528310) 13.punkts</w:t>
      </w:r>
      <w:r w:rsidRPr="001163A0">
        <w:rPr>
          <w:i/>
        </w:rPr>
        <w:t xml:space="preserve"> un tajā minētā judikatūra</w:t>
      </w:r>
      <w:r w:rsidRPr="00C26905">
        <w:t>)</w:t>
      </w:r>
      <w:r>
        <w:rPr>
          <w:i/>
        </w:rPr>
        <w:t xml:space="preserve">. </w:t>
      </w:r>
    </w:p>
    <w:p w14:paraId="23D6BF84" w14:textId="11210841" w:rsidR="009E632B" w:rsidRPr="001E644F" w:rsidRDefault="009E632B" w:rsidP="009E632B">
      <w:pPr>
        <w:spacing w:after="0" w:line="276" w:lineRule="auto"/>
        <w:ind w:firstLine="720"/>
        <w:jc w:val="both"/>
      </w:pPr>
      <w:r>
        <w:t>Līdz ar to tiesa izskatāmajā lietā pamatoti vērtēja</w:t>
      </w:r>
      <w:r>
        <w:rPr>
          <w:rFonts w:ascii="TimesNewRomanPSMT" w:hAnsi="TimesNewRomanPSMT" w:cs="TimesNewRomanPSMT"/>
          <w:szCs w:val="24"/>
        </w:rPr>
        <w:t xml:space="preserve">, vai pieteicējai bija patiesi nopietns nodoms veikt </w:t>
      </w:r>
      <w:r w:rsidR="001747DB">
        <w:rPr>
          <w:rFonts w:ascii="TimesNewRomanPSMT" w:hAnsi="TimesNewRomanPSMT" w:cs="TimesNewRomanPSMT"/>
          <w:szCs w:val="24"/>
        </w:rPr>
        <w:t xml:space="preserve">ar pievienotās vērtības nodokli </w:t>
      </w:r>
      <w:r>
        <w:rPr>
          <w:rFonts w:ascii="TimesNewRomanPSMT" w:hAnsi="TimesNewRomanPSMT" w:cs="TimesNewRomanPSMT"/>
          <w:szCs w:val="24"/>
        </w:rPr>
        <w:t>apliekamus darījumus, proti, vai pieteicēja plānoja nākotnē būvēt ciematu un tālāk realizēt dzīvokļ</w:t>
      </w:r>
      <w:r w:rsidR="001747DB">
        <w:rPr>
          <w:rFonts w:ascii="TimesNewRomanPSMT" w:hAnsi="TimesNewRomanPSMT" w:cs="TimesNewRomanPSMT"/>
          <w:szCs w:val="24"/>
        </w:rPr>
        <w:t>us</w:t>
      </w:r>
      <w:r>
        <w:rPr>
          <w:rFonts w:ascii="TimesNewRomanPSMT" w:hAnsi="TimesNewRomanPSMT" w:cs="TimesNewRomanPSMT"/>
          <w:szCs w:val="24"/>
        </w:rPr>
        <w:t xml:space="preserve">. </w:t>
      </w:r>
    </w:p>
    <w:p w14:paraId="26E6CB42" w14:textId="192999C5" w:rsidR="00BC208E" w:rsidRDefault="009E632B" w:rsidP="009E632B">
      <w:pPr>
        <w:tabs>
          <w:tab w:val="left" w:pos="3986"/>
        </w:tabs>
        <w:spacing w:after="0" w:line="276" w:lineRule="auto"/>
        <w:ind w:firstLine="720"/>
        <w:jc w:val="both"/>
      </w:pPr>
      <w:r>
        <w:tab/>
      </w:r>
    </w:p>
    <w:p w14:paraId="5229DD7C" w14:textId="651876BA" w:rsidR="00FF0606" w:rsidRDefault="00FF0606" w:rsidP="00C27EA8">
      <w:pPr>
        <w:spacing w:after="0" w:line="276" w:lineRule="auto"/>
        <w:ind w:firstLine="720"/>
        <w:jc w:val="both"/>
      </w:pPr>
      <w:r>
        <w:t>[10] D</w:t>
      </w:r>
      <w:r w:rsidR="00C27EA8">
        <w:t xml:space="preserve">ienests </w:t>
      </w:r>
      <w:r>
        <w:t xml:space="preserve">kasācijas sūdzībā </w:t>
      </w:r>
      <w:r w:rsidR="00C27EA8">
        <w:t xml:space="preserve">pareizi ir </w:t>
      </w:r>
      <w:r w:rsidR="001E644F">
        <w:t>atzīmējis</w:t>
      </w:r>
      <w:r w:rsidR="00C27EA8">
        <w:t xml:space="preserve">, ka </w:t>
      </w:r>
      <w:r w:rsidR="000E2025">
        <w:t xml:space="preserve">tie paši </w:t>
      </w:r>
      <w:r w:rsidR="00C27EA8">
        <w:t xml:space="preserve">sagatavošanās darbi var būt vērsti </w:t>
      </w:r>
      <w:r>
        <w:t>arī</w:t>
      </w:r>
      <w:r w:rsidR="00C27EA8">
        <w:t xml:space="preserve"> uz neapliekamu darījumu nodrošinā</w:t>
      </w:r>
      <w:r w:rsidR="006D4646">
        <w:t xml:space="preserve">šanu. </w:t>
      </w:r>
      <w:r w:rsidR="009F5EA4">
        <w:t>Šajā saistībā dienests norād</w:t>
      </w:r>
      <w:r w:rsidR="00E003BA">
        <w:t>ījis</w:t>
      </w:r>
      <w:r w:rsidR="009F5EA4">
        <w:t>, ka pieteicējas iecerētā projekta faktiskā norise neapstiprina tās nodomu veikt apliekamus darījumus.</w:t>
      </w:r>
    </w:p>
    <w:p w14:paraId="7EBFC90D" w14:textId="5DA1C636" w:rsidR="00C27EA8" w:rsidRDefault="0052328D" w:rsidP="00C27EA8">
      <w:pPr>
        <w:spacing w:after="0" w:line="276" w:lineRule="auto"/>
        <w:ind w:firstLine="720"/>
        <w:jc w:val="both"/>
      </w:pPr>
      <w:r>
        <w:t xml:space="preserve">Saskaņā ar </w:t>
      </w:r>
      <w:r w:rsidR="00C27EA8" w:rsidRPr="0044315B">
        <w:t>Augstākā</w:t>
      </w:r>
      <w:r w:rsidR="00C27EA8">
        <w:t>s</w:t>
      </w:r>
      <w:r w:rsidR="00C27EA8" w:rsidRPr="0044315B">
        <w:t xml:space="preserve"> tiesa</w:t>
      </w:r>
      <w:r w:rsidR="00C27EA8">
        <w:t>s</w:t>
      </w:r>
      <w:r w:rsidR="00C27EA8" w:rsidRPr="0044315B">
        <w:t xml:space="preserve"> </w:t>
      </w:r>
      <w:r>
        <w:t xml:space="preserve">judikatūru </w:t>
      </w:r>
      <w:r w:rsidR="00C27EA8" w:rsidRPr="0044315B">
        <w:t>vieni un tie paši sagatavošanās darbi (</w:t>
      </w:r>
      <w:r w:rsidR="00C27EA8">
        <w:t xml:space="preserve">piemēram, </w:t>
      </w:r>
      <w:r w:rsidR="00C27EA8" w:rsidRPr="0044315B">
        <w:t xml:space="preserve">topogrāfiskā plāna izstrāde, detālplānojuma izstrāde, arhitektūras plānošanas uzdevuma saņemšana, skiču projekta izstrādāšana) var būt vērsti kā uz apliekama, tā arī uz neapliekama darījuma nodrošināšanu. </w:t>
      </w:r>
      <w:r w:rsidR="00C27EA8">
        <w:t>Tas ir</w:t>
      </w:r>
      <w:r w:rsidR="00C27EA8" w:rsidRPr="0044315B">
        <w:t xml:space="preserve">, persona vienlīdz labi var izstrādāt zemesgabala detālplānojumu vai veikt citus darbus, lai vēlāk zemi atsavinātu par izdevīgāku </w:t>
      </w:r>
      <w:r w:rsidR="00AF46DE">
        <w:t>cenu</w:t>
      </w:r>
      <w:r w:rsidR="00AF46DE" w:rsidRPr="0044315B">
        <w:t xml:space="preserve"> </w:t>
      </w:r>
      <w:r w:rsidR="00C27EA8" w:rsidRPr="0044315B">
        <w:t>(neapliekams darījums), vai veikt šos pašus darbus, saņemt būvatļauju un veikt būvniecību, lai zemi atsavinātu kopā</w:t>
      </w:r>
      <w:r w:rsidR="000E2025">
        <w:t xml:space="preserve"> ar būvēm (apliekams darījums) </w:t>
      </w:r>
      <w:r w:rsidR="00C27EA8" w:rsidRPr="0044315B">
        <w:t>(</w:t>
      </w:r>
      <w:r w:rsidR="00C27EA8" w:rsidRPr="00D915F0">
        <w:t>sal.</w:t>
      </w:r>
      <w:r w:rsidR="00C27EA8" w:rsidRPr="0044315B">
        <w:rPr>
          <w:i/>
        </w:rPr>
        <w:t xml:space="preserve"> Augstākās tiesas </w:t>
      </w:r>
      <w:proofErr w:type="gramStart"/>
      <w:r w:rsidR="00C27EA8">
        <w:rPr>
          <w:i/>
        </w:rPr>
        <w:t>2015.gada</w:t>
      </w:r>
      <w:proofErr w:type="gramEnd"/>
      <w:r w:rsidR="00C27EA8">
        <w:rPr>
          <w:i/>
        </w:rPr>
        <w:t xml:space="preserve"> 11.marta spriedums lietā Nr. SKA</w:t>
      </w:r>
      <w:r w:rsidR="00C27EA8">
        <w:rPr>
          <w:i/>
        </w:rPr>
        <w:noBreakHyphen/>
        <w:t xml:space="preserve">373/2015 (A420422411), 7.punkts, </w:t>
      </w:r>
      <w:r w:rsidR="00C27EA8" w:rsidRPr="0044315B">
        <w:rPr>
          <w:i/>
        </w:rPr>
        <w:t>2014.gada 29.decembra sprieduma lietā Nr.</w:t>
      </w:r>
      <w:r w:rsidR="00C27EA8">
        <w:rPr>
          <w:i/>
        </w:rPr>
        <w:t> SKA</w:t>
      </w:r>
      <w:r w:rsidR="00C27EA8">
        <w:rPr>
          <w:i/>
        </w:rPr>
        <w:noBreakHyphen/>
      </w:r>
      <w:r w:rsidR="00C27EA8" w:rsidRPr="0044315B">
        <w:rPr>
          <w:i/>
        </w:rPr>
        <w:t>850/2014</w:t>
      </w:r>
      <w:r w:rsidR="00FF0606">
        <w:rPr>
          <w:i/>
        </w:rPr>
        <w:t xml:space="preserve"> (A420764410)</w:t>
      </w:r>
      <w:r w:rsidR="00C27EA8">
        <w:rPr>
          <w:i/>
        </w:rPr>
        <w:t xml:space="preserve"> 7.punkts</w:t>
      </w:r>
      <w:r w:rsidR="00C27EA8" w:rsidRPr="0044315B">
        <w:t>).</w:t>
      </w:r>
      <w:r w:rsidR="000E2025">
        <w:t xml:space="preserve"> </w:t>
      </w:r>
    </w:p>
    <w:p w14:paraId="7F1C9C20" w14:textId="67F03E0D" w:rsidR="009F7B76" w:rsidRDefault="002177C0" w:rsidP="00271B07">
      <w:pPr>
        <w:spacing w:after="0" w:line="276" w:lineRule="auto"/>
        <w:ind w:firstLine="720"/>
        <w:jc w:val="both"/>
      </w:pPr>
      <w:r>
        <w:t>To, ka pieteicējai bija patiešām nopietns</w:t>
      </w:r>
      <w:r w:rsidRPr="005D2611">
        <w:t xml:space="preserve"> nolūk</w:t>
      </w:r>
      <w:r>
        <w:t>s</w:t>
      </w:r>
      <w:r w:rsidRPr="005D2611">
        <w:t xml:space="preserve"> attīstīt nekustamo īpašumu, veicot būvniecību un att</w:t>
      </w:r>
      <w:r>
        <w:t xml:space="preserve">iecīgi pārdodot uzbūvētās ēkas, </w:t>
      </w:r>
      <w:r w:rsidRPr="005D2611">
        <w:t>tādējādi veikt ar pievienotās vērtības nodok</w:t>
      </w:r>
      <w:r>
        <w:t xml:space="preserve">li </w:t>
      </w:r>
      <w:r>
        <w:lastRenderedPageBreak/>
        <w:t>apliekamus darījumus, apgabaltiesa ir secinājusi no</w:t>
      </w:r>
      <w:r w:rsidR="0031673B">
        <w:t xml:space="preserve"> lietā esošā pierādījumu kopuma. Tiesa ir skaidri norādījusi uz to </w:t>
      </w:r>
      <w:r w:rsidR="000E2025">
        <w:t>faktu</w:t>
      </w:r>
      <w:r w:rsidR="007254BC">
        <w:t xml:space="preserve"> kopumu (</w:t>
      </w:r>
      <w:r>
        <w:t>atreferēts šā sprieduma 3.4.punktā</w:t>
      </w:r>
      <w:r w:rsidR="007254BC">
        <w:t xml:space="preserve">), </w:t>
      </w:r>
      <w:r w:rsidR="0031673B">
        <w:t xml:space="preserve">kas ļāvis tiesai gūt pārliecību par </w:t>
      </w:r>
      <w:r w:rsidR="0052328D">
        <w:t>pieteicējas nolūka</w:t>
      </w:r>
      <w:r w:rsidR="009F7B76">
        <w:t xml:space="preserve"> patiesumu</w:t>
      </w:r>
      <w:r w:rsidR="0031673B">
        <w:t xml:space="preserve">. </w:t>
      </w:r>
      <w:r w:rsidR="007254BC">
        <w:t>No sprieduma ir redzams</w:t>
      </w:r>
      <w:r w:rsidR="0031673B">
        <w:t>, ka šāda pārliecība</w:t>
      </w:r>
      <w:r w:rsidR="007254BC">
        <w:t xml:space="preserve"> tiesai</w:t>
      </w:r>
      <w:r w:rsidR="008073CB">
        <w:t xml:space="preserve"> </w:t>
      </w:r>
      <w:r w:rsidR="0087073E">
        <w:t>radusies, novērtējot</w:t>
      </w:r>
      <w:r>
        <w:t xml:space="preserve"> </w:t>
      </w:r>
      <w:r w:rsidR="0087073E">
        <w:t>ne tik</w:t>
      </w:r>
      <w:r w:rsidR="007254BC">
        <w:t>ai pieteicējas veiktās darbības un</w:t>
      </w:r>
      <w:r w:rsidR="0031673B">
        <w:t xml:space="preserve"> citām personām pausto viedokli</w:t>
      </w:r>
      <w:r w:rsidR="009F7B76">
        <w:t>,</w:t>
      </w:r>
      <w:r w:rsidR="0087073E">
        <w:t xml:space="preserve"> bet </w:t>
      </w:r>
      <w:proofErr w:type="spellStart"/>
      <w:r w:rsidR="0087073E">
        <w:t>citstarp</w:t>
      </w:r>
      <w:proofErr w:type="spellEnd"/>
      <w:r w:rsidR="0087073E">
        <w:t xml:space="preserve"> arī</w:t>
      </w:r>
      <w:r w:rsidR="0031673B">
        <w:t xml:space="preserve"> pieteicējas iekšējos</w:t>
      </w:r>
      <w:r w:rsidR="0087073E">
        <w:t xml:space="preserve"> dokument</w:t>
      </w:r>
      <w:r w:rsidR="0031673B">
        <w:t>us</w:t>
      </w:r>
      <w:r w:rsidR="0087073E">
        <w:t>, kuros tiek uzrādīti ieņēmumi (peļņa) no nākotnē uzbūvēto dzīvokļu pārdošanas.</w:t>
      </w:r>
      <w:r w:rsidR="007C5764">
        <w:t xml:space="preserve"> Tiesa atzinusi, ka pieteicēja ir ticami paskaidrojusi un pamatojusi, kāpēc mērķis apbūvēt tai piederošos zemesgabalus netika </w:t>
      </w:r>
      <w:r w:rsidR="00920717">
        <w:t>īstenots</w:t>
      </w:r>
      <w:r w:rsidR="007C5764">
        <w:t xml:space="preserve"> tā, kā sākotnēji tika plānots</w:t>
      </w:r>
      <w:r w:rsidR="0031673B">
        <w:t xml:space="preserve"> – proti, p</w:t>
      </w:r>
      <w:r w:rsidR="0031673B">
        <w:rPr>
          <w:rFonts w:ascii="TimesNewRomanPSMT" w:hAnsi="TimesNewRomanPSMT" w:cs="TimesNewRomanPSMT"/>
          <w:szCs w:val="24"/>
        </w:rPr>
        <w:t xml:space="preserve">ieteicēja bija spiesta iesaistīties tiesvedībās un kriminālprocesos, lai nodrošinātu īpašuma tiesību saglabāšanu un iespēju turpināt projekta </w:t>
      </w:r>
      <w:r w:rsidR="00920717">
        <w:rPr>
          <w:rFonts w:ascii="TimesNewRomanPSMT" w:hAnsi="TimesNewRomanPSMT" w:cs="TimesNewRomanPSMT"/>
          <w:szCs w:val="24"/>
        </w:rPr>
        <w:t>īstenošanu</w:t>
      </w:r>
      <w:r w:rsidR="007254BC">
        <w:t xml:space="preserve">. Savukārt </w:t>
      </w:r>
      <w:r w:rsidR="007254BC">
        <w:rPr>
          <w:rFonts w:ascii="TimesNewRomanPSMT" w:hAnsi="TimesNewRomanPSMT" w:cs="TimesNewRomanPSMT"/>
          <w:szCs w:val="24"/>
        </w:rPr>
        <w:t>investori nebija gatavi veikt investīcijas, kamēr pastāvēja strīds par īpašuma tiesībām.</w:t>
      </w:r>
      <w:r w:rsidR="007254BC">
        <w:t xml:space="preserve"> </w:t>
      </w:r>
      <w:r w:rsidR="008073CB">
        <w:t xml:space="preserve">Augstākā tiesa </w:t>
      </w:r>
      <w:r w:rsidR="00C92C37">
        <w:t xml:space="preserve">nesaskata, ka </w:t>
      </w:r>
      <w:r w:rsidR="00A32E62">
        <w:t>apgabal</w:t>
      </w:r>
      <w:r w:rsidR="00C92C37">
        <w:t>tiesas</w:t>
      </w:r>
      <w:r w:rsidR="007C5764">
        <w:t xml:space="preserve"> </w:t>
      </w:r>
      <w:r w:rsidR="008073CB">
        <w:t>izdarīt</w:t>
      </w:r>
      <w:r w:rsidR="00C92C37">
        <w:t>ie</w:t>
      </w:r>
      <w:r w:rsidR="008073CB">
        <w:t xml:space="preserve"> secinājum</w:t>
      </w:r>
      <w:r w:rsidR="00C92C37">
        <w:t>i</w:t>
      </w:r>
      <w:r w:rsidR="0052328D">
        <w:t xml:space="preserve"> par pieteicējas nolūku veikt apliekamus darījumus</w:t>
      </w:r>
      <w:r w:rsidR="00C92C37">
        <w:t xml:space="preserve"> būtu balstīti nepierādītos pieņēmumos</w:t>
      </w:r>
      <w:r w:rsidR="00920717">
        <w:t>, nevis pierādījumos</w:t>
      </w:r>
      <w:r w:rsidR="008073CB">
        <w:t>.</w:t>
      </w:r>
      <w:r w:rsidR="009F7B76">
        <w:t xml:space="preserve"> </w:t>
      </w:r>
    </w:p>
    <w:p w14:paraId="0D28203B" w14:textId="556C6331" w:rsidR="0031673B" w:rsidRPr="00F12343" w:rsidRDefault="0031673B" w:rsidP="002177C0">
      <w:pPr>
        <w:spacing w:after="0" w:line="276" w:lineRule="auto"/>
        <w:ind w:firstLine="720"/>
        <w:jc w:val="both"/>
        <w:rPr>
          <w:rFonts w:ascii="TimesNewRomanPSMT" w:hAnsi="TimesNewRomanPSMT" w:cs="TimesNewRomanPSMT"/>
          <w:szCs w:val="24"/>
        </w:rPr>
      </w:pPr>
    </w:p>
    <w:p w14:paraId="219A7AF5" w14:textId="39C15622" w:rsidR="00C63DB0" w:rsidRDefault="00030330" w:rsidP="00896B7B">
      <w:pPr>
        <w:spacing w:after="0" w:line="276" w:lineRule="auto"/>
        <w:ind w:firstLine="720"/>
        <w:jc w:val="both"/>
        <w:rPr>
          <w:rFonts w:ascii="TimesNewRomanPSMT" w:hAnsi="TimesNewRomanPSMT" w:cs="TimesNewRomanPSMT"/>
          <w:szCs w:val="24"/>
        </w:rPr>
      </w:pPr>
      <w:r w:rsidRPr="00F12343">
        <w:rPr>
          <w:rFonts w:ascii="TimesNewRomanPSMT" w:hAnsi="TimesNewRomanPSMT" w:cs="TimesNewRomanPSMT"/>
          <w:szCs w:val="24"/>
        </w:rPr>
        <w:t xml:space="preserve">[11] </w:t>
      </w:r>
      <w:r w:rsidR="009F7B76" w:rsidRPr="00F12343">
        <w:rPr>
          <w:rFonts w:ascii="TimesNewRomanPSMT" w:hAnsi="TimesNewRomanPSMT" w:cs="TimesNewRomanPSMT"/>
          <w:szCs w:val="24"/>
        </w:rPr>
        <w:t xml:space="preserve">Nav pamatoti </w:t>
      </w:r>
      <w:r w:rsidR="00F12343">
        <w:rPr>
          <w:rFonts w:ascii="TimesNewRomanPSMT" w:hAnsi="TimesNewRomanPSMT" w:cs="TimesNewRomanPSMT"/>
          <w:szCs w:val="24"/>
        </w:rPr>
        <w:t xml:space="preserve">Valsts ieņēmuma </w:t>
      </w:r>
      <w:r w:rsidR="009F7B76" w:rsidRPr="00F12343">
        <w:rPr>
          <w:rFonts w:ascii="TimesNewRomanPSMT" w:hAnsi="TimesNewRomanPSMT" w:cs="TimesNewRomanPSMT"/>
          <w:szCs w:val="24"/>
        </w:rPr>
        <w:t xml:space="preserve">dienesta iebildumi, ka pieteicējas iekšējiem dokumentiem </w:t>
      </w:r>
      <w:r w:rsidR="0003791D">
        <w:rPr>
          <w:rFonts w:ascii="TimesNewRomanPSMT" w:hAnsi="TimesNewRomanPSMT" w:cs="TimesNewRomanPSMT"/>
          <w:szCs w:val="24"/>
        </w:rPr>
        <w:t>būtu piešķirama mazāka ticamība</w:t>
      </w:r>
      <w:r w:rsidR="0052328D" w:rsidRPr="00F12343">
        <w:rPr>
          <w:rFonts w:ascii="TimesNewRomanPSMT" w:hAnsi="TimesNewRomanPSMT" w:cs="TimesNewRomanPSMT"/>
          <w:szCs w:val="24"/>
        </w:rPr>
        <w:t>.</w:t>
      </w:r>
      <w:r w:rsidR="00F12343" w:rsidRPr="00F12343">
        <w:rPr>
          <w:rFonts w:ascii="TimesNewRomanPSMT" w:hAnsi="TimesNewRomanPSMT" w:cs="TimesNewRomanPSMT"/>
          <w:szCs w:val="24"/>
        </w:rPr>
        <w:t xml:space="preserve"> </w:t>
      </w:r>
      <w:r w:rsidR="00F12343">
        <w:rPr>
          <w:rFonts w:ascii="TimesNewRomanPSMT" w:hAnsi="TimesNewRomanPSMT" w:cs="TimesNewRomanPSMT"/>
          <w:szCs w:val="24"/>
        </w:rPr>
        <w:t>Šajā saistībā apgabaltiesa ir norādījusi, ka pierādījumus, kas ļautu atspēkot pieteicējas iesniegtajos pierādījumos norādīto ziņu patiesumu un norādītu uz pieteicējas ļaunprātību, dienests nav iesniedzis.</w:t>
      </w:r>
      <w:r w:rsidR="00E97D18" w:rsidRPr="00E97D18">
        <w:rPr>
          <w:rFonts w:ascii="TimesNewRomanPSMT" w:hAnsi="TimesNewRomanPSMT" w:cs="TimesNewRomanPSMT"/>
          <w:szCs w:val="24"/>
        </w:rPr>
        <w:t xml:space="preserve"> </w:t>
      </w:r>
      <w:r w:rsidR="00E97D18">
        <w:rPr>
          <w:rFonts w:ascii="TimesNewRomanPSMT" w:hAnsi="TimesNewRomanPSMT" w:cs="TimesNewRomanPSMT"/>
          <w:szCs w:val="24"/>
        </w:rPr>
        <w:t>Turklāt n</w:t>
      </w:r>
      <w:r w:rsidR="00F12343">
        <w:t xml:space="preserve">o sprieduma redzams, ka tiesa </w:t>
      </w:r>
      <w:r w:rsidR="00F12343">
        <w:rPr>
          <w:rFonts w:ascii="TimesNewRomanPSMT" w:hAnsi="TimesNewRomanPSMT" w:cs="TimesNewRomanPSMT"/>
          <w:szCs w:val="24"/>
        </w:rPr>
        <w:t>pierādījumus lietā ir vērtējusi to savstarpējā kopsakarā</w:t>
      </w:r>
      <w:r w:rsidR="00992A9D">
        <w:rPr>
          <w:rFonts w:ascii="TimesNewRomanPSMT" w:hAnsi="TimesNewRomanPSMT" w:cs="TimesNewRomanPSMT"/>
          <w:szCs w:val="24"/>
        </w:rPr>
        <w:t xml:space="preserve">, tostarp pieteicējas </w:t>
      </w:r>
      <w:r w:rsidR="00035504">
        <w:rPr>
          <w:rFonts w:ascii="TimesNewRomanPSMT" w:hAnsi="TimesNewRomanPSMT" w:cs="TimesNewRomanPSMT"/>
          <w:szCs w:val="24"/>
        </w:rPr>
        <w:t xml:space="preserve">agrāk notikušo </w:t>
      </w:r>
      <w:r w:rsidR="00992A9D">
        <w:rPr>
          <w:rFonts w:ascii="TimesNewRomanPSMT" w:hAnsi="TimesNewRomanPSMT" w:cs="TimesNewRomanPSMT"/>
          <w:szCs w:val="24"/>
        </w:rPr>
        <w:t xml:space="preserve">saziņu ar mātes uzņēmumu ārvalstī, kas uzrāda pieteicējas komercdarbības plānošanu attiecībā tieši uz būvniecības galarezultātā tapušo dzīvokļu tirdzniecību. </w:t>
      </w:r>
      <w:r w:rsidR="00E97D18">
        <w:rPr>
          <w:rFonts w:ascii="TimesNewRomanPSMT" w:hAnsi="TimesNewRomanPSMT" w:cs="TimesNewRomanPSMT"/>
          <w:szCs w:val="24"/>
        </w:rPr>
        <w:t>Augstākajai tiesai nav pamat</w:t>
      </w:r>
      <w:r w:rsidR="007337E3">
        <w:rPr>
          <w:rFonts w:ascii="TimesNewRomanPSMT" w:hAnsi="TimesNewRomanPSMT" w:cs="TimesNewRomanPSMT"/>
          <w:szCs w:val="24"/>
        </w:rPr>
        <w:t>a</w:t>
      </w:r>
      <w:r w:rsidR="00E97D18">
        <w:rPr>
          <w:rFonts w:ascii="TimesNewRomanPSMT" w:hAnsi="TimesNewRomanPSMT" w:cs="TimesNewRomanPSMT"/>
          <w:szCs w:val="24"/>
        </w:rPr>
        <w:t xml:space="preserve"> apšaubīt tiesas veikto pierādījumu novērtējumu</w:t>
      </w:r>
      <w:r w:rsidR="00CC10EA">
        <w:rPr>
          <w:rFonts w:ascii="TimesNewRomanPSMT" w:hAnsi="TimesNewRomanPSMT" w:cs="TimesNewRomanPSMT"/>
          <w:szCs w:val="24"/>
        </w:rPr>
        <w:t>.</w:t>
      </w:r>
      <w:r w:rsidR="00C63DB0">
        <w:rPr>
          <w:rFonts w:ascii="TimesNewRomanPSMT" w:hAnsi="TimesNewRomanPSMT" w:cs="TimesNewRomanPSMT"/>
          <w:szCs w:val="24"/>
        </w:rPr>
        <w:t xml:space="preserve"> </w:t>
      </w:r>
    </w:p>
    <w:p w14:paraId="538D4D62" w14:textId="77777777" w:rsidR="001545AE" w:rsidRDefault="00C63DB0" w:rsidP="00896B7B">
      <w:pPr>
        <w:spacing w:after="0" w:line="276" w:lineRule="auto"/>
        <w:ind w:firstLine="720"/>
        <w:jc w:val="both"/>
        <w:rPr>
          <w:rFonts w:ascii="TimesNewRomanPSMT" w:hAnsi="TimesNewRomanPSMT" w:cs="TimesNewRomanPSMT"/>
          <w:szCs w:val="24"/>
        </w:rPr>
      </w:pPr>
      <w:r>
        <w:rPr>
          <w:rFonts w:ascii="TimesNewRomanPSMT" w:hAnsi="TimesNewRomanPSMT" w:cs="TimesNewRomanPSMT"/>
          <w:szCs w:val="24"/>
        </w:rPr>
        <w:t xml:space="preserve">Augstākā tiesa ar </w:t>
      </w:r>
      <w:proofErr w:type="gramStart"/>
      <w:r>
        <w:rPr>
          <w:rFonts w:ascii="TimesNewRomanPSMT" w:hAnsi="TimesNewRomanPSMT" w:cs="TimesNewRomanPSMT"/>
          <w:szCs w:val="24"/>
        </w:rPr>
        <w:t>2017.gada</w:t>
      </w:r>
      <w:proofErr w:type="gramEnd"/>
      <w:r>
        <w:rPr>
          <w:rFonts w:ascii="TimesNewRomanPSMT" w:hAnsi="TimesNewRomanPSMT" w:cs="TimesNewRomanPSMT"/>
          <w:szCs w:val="24"/>
        </w:rPr>
        <w:t xml:space="preserve"> 3.augusta spriedumu lietā Nr. SKA</w:t>
      </w:r>
      <w:r>
        <w:rPr>
          <w:rFonts w:ascii="TimesNewRomanPSMT" w:hAnsi="TimesNewRomanPSMT" w:cs="TimesNewRomanPSMT"/>
          <w:szCs w:val="24"/>
        </w:rPr>
        <w:noBreakHyphen/>
        <w:t>126/2017 (A420436711) atcēla Administratīvās apgabaltiesas spriedumu, kurā pieteicējas SIA „Peltes īpašumi” pieteikums tika apmierināts. Minētajā lietā apgabaltiesa tāpat bija uzskatījusi, ka pieteicēja attiecībā uz to pašu, Sužu, projektu ir pierādījusi savu nodomu nākotnē veikt ar pievienotās vērtības nodokli apliekamus darījumus (pārdot zemesgabalus ar būvēm). Augstākās tiesas spriedumā tika norādīts, ka apgabaltiesas secinājums par nākotnē plānotu būvniecību nebalstās uz pierādījumiem (</w:t>
      </w:r>
      <w:r w:rsidRPr="007337E3">
        <w:rPr>
          <w:rFonts w:ascii="TimesNewRomanPSMT" w:hAnsi="TimesNewRomanPSMT" w:cs="TimesNewRomanPSMT"/>
          <w:i/>
          <w:szCs w:val="24"/>
        </w:rPr>
        <w:t>minētā sprieduma 9.punkts</w:t>
      </w:r>
      <w:r>
        <w:rPr>
          <w:rFonts w:ascii="TimesNewRomanPSMT" w:hAnsi="TimesNewRomanPSMT" w:cs="TimesNewRomanPSMT"/>
          <w:szCs w:val="24"/>
        </w:rPr>
        <w:t xml:space="preserve">). </w:t>
      </w:r>
    </w:p>
    <w:p w14:paraId="0EE5E3FD" w14:textId="21D4D3EC" w:rsidR="0052328D" w:rsidRDefault="001545AE" w:rsidP="00896B7B">
      <w:pPr>
        <w:spacing w:after="0" w:line="276" w:lineRule="auto"/>
        <w:ind w:firstLine="720"/>
        <w:jc w:val="both"/>
        <w:rPr>
          <w:rFonts w:ascii="TimesNewRomanPSMT" w:hAnsi="TimesNewRomanPSMT" w:cs="TimesNewRomanPSMT"/>
          <w:szCs w:val="24"/>
        </w:rPr>
      </w:pPr>
      <w:r>
        <w:rPr>
          <w:rFonts w:ascii="TimesNewRomanPSMT" w:hAnsi="TimesNewRomanPSMT" w:cs="TimesNewRomanPSMT"/>
          <w:szCs w:val="24"/>
        </w:rPr>
        <w:t>Savukārt š</w:t>
      </w:r>
      <w:r w:rsidR="00C63DB0">
        <w:rPr>
          <w:rFonts w:ascii="TimesNewRomanPSMT" w:hAnsi="TimesNewRomanPSMT" w:cs="TimesNewRomanPSMT"/>
          <w:szCs w:val="24"/>
        </w:rPr>
        <w:t xml:space="preserve">ajā lietā apgabaltiesa pārbaudījusi atšķirīgu pierādījumu kopumu, tostarp mātes uzņēmumam prezentēto projekta attīstības plānu ar plānotajām dzīvokļu pārdošanas cenām. </w:t>
      </w:r>
      <w:r w:rsidR="00354003">
        <w:rPr>
          <w:rFonts w:ascii="TimesNewRomanPSMT" w:hAnsi="TimesNewRomanPSMT" w:cs="TimesNewRomanPSMT"/>
          <w:szCs w:val="24"/>
        </w:rPr>
        <w:t>A</w:t>
      </w:r>
      <w:r w:rsidR="00C63DB0">
        <w:rPr>
          <w:rFonts w:ascii="TimesNewRomanPSMT" w:hAnsi="TimesNewRomanPSMT" w:cs="TimesNewRomanPSMT"/>
          <w:szCs w:val="24"/>
        </w:rPr>
        <w:t>pgabaltiesa ir atspoguļojusi savu vērtējumu par šo pierādījumu ticam</w:t>
      </w:r>
      <w:r w:rsidR="00354003">
        <w:rPr>
          <w:rFonts w:ascii="TimesNewRomanPSMT" w:hAnsi="TimesNewRomanPSMT" w:cs="TimesNewRomanPSMT"/>
          <w:szCs w:val="24"/>
        </w:rPr>
        <w:t xml:space="preserve">ību, savukārt Valsts ieņēmumu dienests nav norādījis uz konkrētiem apstākļiem, kas liktu apšaubīt šo pierādījumu patiesumu. Ievērojot minēto un ievērojot arī kasācijas instances tiesas kompetenci, šajā lietā nav pamata </w:t>
      </w:r>
      <w:r w:rsidR="002C673D">
        <w:rPr>
          <w:rFonts w:ascii="TimesNewRomanPSMT" w:hAnsi="TimesNewRomanPSMT" w:cs="TimesNewRomanPSMT"/>
          <w:szCs w:val="24"/>
        </w:rPr>
        <w:t xml:space="preserve">apšaubīt </w:t>
      </w:r>
      <w:r w:rsidR="00354003">
        <w:rPr>
          <w:rFonts w:ascii="TimesNewRomanPSMT" w:hAnsi="TimesNewRomanPSMT" w:cs="TimesNewRomanPSMT"/>
          <w:szCs w:val="24"/>
        </w:rPr>
        <w:t>apgabaltiesas sprieduma tiesiskum</w:t>
      </w:r>
      <w:r w:rsidR="002C673D">
        <w:rPr>
          <w:rFonts w:ascii="TimesNewRomanPSMT" w:hAnsi="TimesNewRomanPSMT" w:cs="TimesNewRomanPSMT"/>
          <w:szCs w:val="24"/>
        </w:rPr>
        <w:t>u</w:t>
      </w:r>
      <w:r w:rsidR="00354003">
        <w:rPr>
          <w:rFonts w:ascii="TimesNewRomanPSMT" w:hAnsi="TimesNewRomanPSMT" w:cs="TimesNewRomanPSMT"/>
          <w:szCs w:val="24"/>
        </w:rPr>
        <w:t>.</w:t>
      </w:r>
    </w:p>
    <w:p w14:paraId="1468FC14" w14:textId="77777777" w:rsidR="00AA6108" w:rsidRPr="00AA6108" w:rsidRDefault="00AA6108" w:rsidP="00F4019F">
      <w:pPr>
        <w:spacing w:after="0" w:line="276" w:lineRule="auto"/>
        <w:ind w:firstLine="720"/>
        <w:jc w:val="both"/>
        <w:rPr>
          <w:sz w:val="16"/>
        </w:rPr>
      </w:pPr>
    </w:p>
    <w:p w14:paraId="2C5B9252" w14:textId="5268AAB0" w:rsidR="00F4019F" w:rsidRPr="00F4019F" w:rsidRDefault="008F3797" w:rsidP="00F4019F">
      <w:pPr>
        <w:spacing w:after="0" w:line="276" w:lineRule="auto"/>
        <w:ind w:firstLine="720"/>
        <w:jc w:val="both"/>
        <w:rPr>
          <w:rFonts w:ascii="TimesNewRomanPSMT" w:hAnsi="TimesNewRomanPSMT" w:cs="TimesNewRomanPSMT"/>
          <w:szCs w:val="24"/>
        </w:rPr>
      </w:pPr>
      <w:r>
        <w:t>[1</w:t>
      </w:r>
      <w:r w:rsidR="001D5EEA">
        <w:t>2</w:t>
      </w:r>
      <w:r>
        <w:t xml:space="preserve">] </w:t>
      </w:r>
      <w:r w:rsidR="0034082B">
        <w:t>Noraidāms ir arī</w:t>
      </w:r>
      <w:r w:rsidR="004F7DEB">
        <w:t xml:space="preserve"> dienest</w:t>
      </w:r>
      <w:r w:rsidR="001D3AD7">
        <w:t>a</w:t>
      </w:r>
      <w:r w:rsidR="004F7DEB">
        <w:t xml:space="preserve"> arguments, ka pieteicēja piecu gadu laik</w:t>
      </w:r>
      <w:r w:rsidR="00F4019F">
        <w:t>ā (</w:t>
      </w:r>
      <w:r w:rsidR="0034082B">
        <w:t>tas ir</w:t>
      </w:r>
      <w:r w:rsidR="004F7DEB">
        <w:t xml:space="preserve">, kopš </w:t>
      </w:r>
      <w:proofErr w:type="gramStart"/>
      <w:r w:rsidR="004F7DEB">
        <w:t>2011.gada</w:t>
      </w:r>
      <w:proofErr w:type="gramEnd"/>
      <w:r w:rsidR="004F7DEB">
        <w:t xml:space="preserve"> janvāra, kad noslēdzās pēdējā tiesvedība saistībā ar zemesgabalu īpa</w:t>
      </w:r>
      <w:r w:rsidR="0034082B">
        <w:t>šum</w:t>
      </w:r>
      <w:r w:rsidR="004F7DEB">
        <w:t>tiesībām, līdz apgabaltiesas sprieduma sastādīšana</w:t>
      </w:r>
      <w:r w:rsidR="0034082B">
        <w:t>i</w:t>
      </w:r>
      <w:r w:rsidR="00F4019F">
        <w:t>)</w:t>
      </w:r>
      <w:r w:rsidR="004F7DEB">
        <w:t xml:space="preserve"> </w:t>
      </w:r>
      <w:r w:rsidR="0034082B">
        <w:t xml:space="preserve">faktiski </w:t>
      </w:r>
      <w:r w:rsidR="00F4019F">
        <w:t xml:space="preserve">nav </w:t>
      </w:r>
      <w:r w:rsidR="0034082B">
        <w:t xml:space="preserve">uzsākusi projekta īstenošanu. Attiecībā uz minēto ir jāņem vērā, ka </w:t>
      </w:r>
      <w:proofErr w:type="gramStart"/>
      <w:r w:rsidR="0034082B">
        <w:rPr>
          <w:rFonts w:ascii="TimesNewRomanPSMT" w:hAnsi="TimesNewRomanPSMT" w:cs="TimesNewRomanPSMT"/>
          <w:szCs w:val="24"/>
        </w:rPr>
        <w:t>2011.gada</w:t>
      </w:r>
      <w:proofErr w:type="gramEnd"/>
      <w:r w:rsidR="0034082B">
        <w:rPr>
          <w:rFonts w:ascii="TimesNewRomanPSMT" w:hAnsi="TimesNewRomanPSMT" w:cs="TimesNewRomanPSMT"/>
          <w:szCs w:val="24"/>
        </w:rPr>
        <w:t xml:space="preserve"> 26.maij</w:t>
      </w:r>
      <w:r w:rsidR="00F4019F">
        <w:rPr>
          <w:rFonts w:ascii="TimesNewRomanPSMT" w:hAnsi="TimesNewRomanPSMT" w:cs="TimesNewRomanPSMT"/>
          <w:szCs w:val="24"/>
        </w:rPr>
        <w:t>ā</w:t>
      </w:r>
      <w:r w:rsidR="0034082B">
        <w:rPr>
          <w:rFonts w:ascii="TimesNewRomanPSMT" w:hAnsi="TimesNewRomanPSMT" w:cs="TimesNewRomanPSMT"/>
          <w:szCs w:val="24"/>
        </w:rPr>
        <w:t xml:space="preserve"> pieteicējai </w:t>
      </w:r>
      <w:r w:rsidR="00F4019F">
        <w:rPr>
          <w:rFonts w:ascii="TimesNewRomanPSMT" w:hAnsi="TimesNewRomanPSMT" w:cs="TimesNewRomanPSMT"/>
          <w:szCs w:val="24"/>
        </w:rPr>
        <w:t>tika</w:t>
      </w:r>
      <w:r w:rsidR="0034082B">
        <w:rPr>
          <w:rFonts w:ascii="TimesNewRomanPSMT" w:hAnsi="TimesNewRomanPSMT" w:cs="TimesNewRomanPSMT"/>
          <w:szCs w:val="24"/>
        </w:rPr>
        <w:t xml:space="preserve"> pasludināts maksātnespē</w:t>
      </w:r>
      <w:r w:rsidR="001D3AD7">
        <w:rPr>
          <w:rFonts w:ascii="TimesNewRomanPSMT" w:hAnsi="TimesNewRomanPSMT" w:cs="TimesNewRomanPSMT"/>
          <w:szCs w:val="24"/>
        </w:rPr>
        <w:t>jas process</w:t>
      </w:r>
      <w:r w:rsidR="0034082B">
        <w:rPr>
          <w:rFonts w:ascii="TimesNewRomanPSMT" w:hAnsi="TimesNewRomanPSMT" w:cs="TimesNewRomanPSMT"/>
          <w:szCs w:val="24"/>
        </w:rPr>
        <w:t xml:space="preserve">. Tādējādi ir pašsaprotami, ka pieteicēja </w:t>
      </w:r>
      <w:r w:rsidR="001D3AD7">
        <w:rPr>
          <w:rFonts w:ascii="TimesNewRomanPSMT" w:hAnsi="TimesNewRomanPSMT" w:cs="TimesNewRomanPSMT"/>
          <w:szCs w:val="24"/>
        </w:rPr>
        <w:t>nevarēja</w:t>
      </w:r>
      <w:r w:rsidR="00832D55">
        <w:rPr>
          <w:rFonts w:ascii="TimesNewRomanPSMT" w:hAnsi="TimesNewRomanPSMT" w:cs="TimesNewRomanPSMT"/>
          <w:szCs w:val="24"/>
        </w:rPr>
        <w:t xml:space="preserve"> turpināt</w:t>
      </w:r>
      <w:r w:rsidR="001D3AD7">
        <w:rPr>
          <w:rFonts w:ascii="TimesNewRomanPSMT" w:hAnsi="TimesNewRomanPSMT" w:cs="TimesNewRomanPSMT"/>
          <w:szCs w:val="24"/>
        </w:rPr>
        <w:t xml:space="preserve"> </w:t>
      </w:r>
      <w:r w:rsidR="0034082B">
        <w:rPr>
          <w:rFonts w:ascii="TimesNewRomanPSMT" w:hAnsi="TimesNewRomanPSMT" w:cs="TimesNewRomanPSMT"/>
          <w:szCs w:val="24"/>
        </w:rPr>
        <w:t xml:space="preserve">īstenot </w:t>
      </w:r>
      <w:r w:rsidR="0003791D">
        <w:rPr>
          <w:rFonts w:ascii="TimesNewRomanPSMT" w:hAnsi="TimesNewRomanPSMT" w:cs="TimesNewRomanPSMT"/>
          <w:szCs w:val="24"/>
        </w:rPr>
        <w:t xml:space="preserve">zemesgabalu </w:t>
      </w:r>
      <w:r w:rsidR="0034082B">
        <w:rPr>
          <w:rFonts w:ascii="TimesNewRomanPSMT" w:hAnsi="TimesNewRomanPSMT" w:cs="TimesNewRomanPSMT"/>
          <w:szCs w:val="24"/>
        </w:rPr>
        <w:t xml:space="preserve">apbūves ieceri, jo </w:t>
      </w:r>
      <w:r w:rsidR="007A31BE">
        <w:rPr>
          <w:rFonts w:ascii="TimesNewRomanPSMT" w:hAnsi="TimesNewRomanPSMT" w:cs="TimesNewRomanPSMT"/>
          <w:szCs w:val="24"/>
        </w:rPr>
        <w:t xml:space="preserve">tika </w:t>
      </w:r>
      <w:r w:rsidR="0034082B">
        <w:rPr>
          <w:rFonts w:ascii="TimesNewRomanPSMT" w:hAnsi="TimesNewRomanPSMT" w:cs="TimesNewRomanPSMT"/>
          <w:szCs w:val="24"/>
        </w:rPr>
        <w:t>piemē</w:t>
      </w:r>
      <w:r w:rsidR="007A31BE">
        <w:rPr>
          <w:rFonts w:ascii="TimesNewRomanPSMT" w:hAnsi="TimesNewRomanPSMT" w:cs="TimesNewRomanPSMT"/>
          <w:szCs w:val="24"/>
        </w:rPr>
        <w:t>rota</w:t>
      </w:r>
      <w:r w:rsidR="0034082B">
        <w:rPr>
          <w:rFonts w:ascii="TimesNewRomanPSMT" w:hAnsi="TimesNewRomanPSMT" w:cs="TimesNewRomanPSMT"/>
          <w:szCs w:val="24"/>
        </w:rPr>
        <w:t>s maksātnespējas procesu regulējošās tiesību normas</w:t>
      </w:r>
      <w:r w:rsidR="00F4019F">
        <w:rPr>
          <w:rFonts w:ascii="TimesNewRomanPSMT" w:hAnsi="TimesNewRomanPSMT" w:cs="TimesNewRomanPSMT"/>
          <w:szCs w:val="24"/>
        </w:rPr>
        <w:t xml:space="preserve">. Proti, Maksātnespējas likuma </w:t>
      </w:r>
      <w:proofErr w:type="gramStart"/>
      <w:r w:rsidR="00F4019F">
        <w:rPr>
          <w:rFonts w:ascii="TimesNewRomanPSMT" w:hAnsi="TimesNewRomanPSMT" w:cs="TimesNewRomanPSMT"/>
          <w:szCs w:val="24"/>
        </w:rPr>
        <w:t>63.panta</w:t>
      </w:r>
      <w:proofErr w:type="gramEnd"/>
      <w:r w:rsidR="00F4019F">
        <w:rPr>
          <w:rFonts w:ascii="TimesNewRomanPSMT" w:hAnsi="TimesNewRomanPSMT" w:cs="TimesNewRomanPSMT"/>
          <w:szCs w:val="24"/>
        </w:rPr>
        <w:t xml:space="preserve"> pirmās daļas 1.punkts noteic, ka </w:t>
      </w:r>
      <w:r w:rsidR="00F4019F" w:rsidRPr="00F4019F">
        <w:rPr>
          <w:rFonts w:ascii="TimesNewRomanPSMT" w:hAnsi="TimesNewRomanPSMT" w:cs="TimesNewRomanPSMT"/>
          <w:szCs w:val="24"/>
        </w:rPr>
        <w:t>pēc juridiskās personas maksātnespējas procesa pasludināšanas parādnieks zaudē tiesības rīkoties ar visu savu mantu, kā arī ar viņa valdījumā vai turējumā esošo trešajām personām piederošo mantu, un šīs tiesības iegūst administrators.</w:t>
      </w:r>
      <w:r w:rsidR="00F4019F">
        <w:rPr>
          <w:rFonts w:ascii="TimesNewRomanPSMT" w:hAnsi="TimesNewRomanPSMT" w:cs="TimesNewRomanPSMT"/>
          <w:szCs w:val="24"/>
        </w:rPr>
        <w:t xml:space="preserve"> </w:t>
      </w:r>
    </w:p>
    <w:p w14:paraId="7421C284" w14:textId="1DC0957E" w:rsidR="00153587" w:rsidRPr="00F10B1C" w:rsidRDefault="00F4019F" w:rsidP="00D915F0">
      <w:pPr>
        <w:spacing w:after="0" w:line="276" w:lineRule="auto"/>
        <w:ind w:firstLine="720"/>
        <w:jc w:val="both"/>
        <w:rPr>
          <w:sz w:val="16"/>
        </w:rPr>
      </w:pPr>
      <w:r w:rsidRPr="00F10B1C">
        <w:rPr>
          <w:sz w:val="16"/>
        </w:rPr>
        <w:t xml:space="preserve">  </w:t>
      </w:r>
    </w:p>
    <w:p w14:paraId="3FF4556D" w14:textId="55EB7A22" w:rsidR="00F4019F" w:rsidRDefault="00F4019F" w:rsidP="00D915F0">
      <w:pPr>
        <w:spacing w:after="0" w:line="276" w:lineRule="auto"/>
        <w:ind w:firstLine="720"/>
        <w:jc w:val="both"/>
      </w:pPr>
      <w:r>
        <w:lastRenderedPageBreak/>
        <w:t>[13] Apkopojot iepriekš min</w:t>
      </w:r>
      <w:r w:rsidR="00A46AB9">
        <w:t>ēto, atzīstams, ka</w:t>
      </w:r>
      <w:r>
        <w:t xml:space="preserve"> Valsts ieņēmumu dienesta kasācijas</w:t>
      </w:r>
      <w:r w:rsidR="00A46AB9">
        <w:t xml:space="preserve"> sūdzības</w:t>
      </w:r>
      <w:r>
        <w:t xml:space="preserve"> </w:t>
      </w:r>
      <w:r w:rsidR="00A46AB9">
        <w:t>argumenti ir nepamatoti un noraidāmi. Augstākā tiesa nekonstatē, ka apgabaltiesa būtu pieļāvusi</w:t>
      </w:r>
      <w:r w:rsidR="0003791D">
        <w:t xml:space="preserve"> </w:t>
      </w:r>
      <w:r w:rsidR="000379B5">
        <w:t xml:space="preserve">Valsts ieņēmumu </w:t>
      </w:r>
      <w:r w:rsidR="0003791D">
        <w:t>dienesta</w:t>
      </w:r>
      <w:r w:rsidR="00A46AB9">
        <w:t xml:space="preserve"> </w:t>
      </w:r>
      <w:r w:rsidR="0003791D">
        <w:t xml:space="preserve">sūdzībā </w:t>
      </w:r>
      <w:r w:rsidR="00AB6FEC">
        <w:t>minētos</w:t>
      </w:r>
      <w:r w:rsidR="0003791D">
        <w:t xml:space="preserve"> </w:t>
      </w:r>
      <w:r w:rsidR="00A46AB9">
        <w:t>pārkāpumus. No lietā esošā pierādījumu kopuma tiesas izdarītie secinājumi ir atzīstami par atbilstošiem normatīvajiem aktiem, tostarp arī Eiropas Savienības Tiesas un Augstākās tiesas judikatūrā izteiktajām atziņām.</w:t>
      </w:r>
    </w:p>
    <w:p w14:paraId="32D3006E" w14:textId="77777777" w:rsidR="00920717" w:rsidRDefault="00920717" w:rsidP="00920717">
      <w:pPr>
        <w:spacing w:after="0" w:line="276" w:lineRule="auto"/>
        <w:ind w:firstLine="720"/>
        <w:jc w:val="both"/>
        <w:rPr>
          <w:rFonts w:ascii="TimesNewRomanPSMT" w:hAnsi="TimesNewRomanPSMT" w:cs="TimesNewRomanPSMT"/>
          <w:szCs w:val="24"/>
        </w:rPr>
      </w:pPr>
      <w:r>
        <w:rPr>
          <w:rFonts w:ascii="TimesNewRomanPSMT" w:hAnsi="TimesNewRomanPSMT" w:cs="TimesNewRomanPSMT"/>
          <w:szCs w:val="24"/>
        </w:rPr>
        <w:t>Konstatējot pieteicējas nopietnu nodomu nākotnē veikt apliekamus darījumus, tiesa tālāk pamatoti pievērsās jautājumam par to, vai strīdus darījumi faktiski notikuši un vai tie patiešām bija vajadzīgi nākotnē paredzētu nekustamā īpašuma atsavināšanas darījumu nodrošināšanai.</w:t>
      </w:r>
    </w:p>
    <w:p w14:paraId="33556291" w14:textId="77777777" w:rsidR="000F1337" w:rsidRPr="00F10B1C" w:rsidRDefault="000F1337" w:rsidP="00920717">
      <w:pPr>
        <w:spacing w:after="0" w:line="276" w:lineRule="auto"/>
        <w:ind w:firstLine="720"/>
        <w:jc w:val="both"/>
        <w:rPr>
          <w:rFonts w:ascii="TimesNewRomanPSMT" w:hAnsi="TimesNewRomanPSMT" w:cs="TimesNewRomanPSMT"/>
          <w:sz w:val="16"/>
          <w:szCs w:val="24"/>
        </w:rPr>
      </w:pPr>
    </w:p>
    <w:p w14:paraId="0BC7A9C1" w14:textId="121F5791" w:rsidR="000F1337" w:rsidRPr="000F1337" w:rsidRDefault="000F1337" w:rsidP="000F1337">
      <w:pPr>
        <w:spacing w:after="0" w:line="276" w:lineRule="auto"/>
        <w:jc w:val="center"/>
        <w:rPr>
          <w:rFonts w:eastAsia="Times New Roman" w:cs="Times New Roman"/>
          <w:b/>
          <w:szCs w:val="24"/>
          <w:lang w:eastAsia="lv-LV"/>
        </w:rPr>
      </w:pPr>
      <w:r w:rsidRPr="000F1337">
        <w:rPr>
          <w:rFonts w:eastAsia="Times New Roman" w:cs="Times New Roman"/>
          <w:b/>
          <w:szCs w:val="24"/>
          <w:lang w:eastAsia="lv-LV"/>
        </w:rPr>
        <w:t>I</w:t>
      </w:r>
      <w:r w:rsidR="000379B5">
        <w:rPr>
          <w:rFonts w:eastAsia="Times New Roman" w:cs="Times New Roman"/>
          <w:b/>
          <w:szCs w:val="24"/>
          <w:lang w:eastAsia="lv-LV"/>
        </w:rPr>
        <w:t>I</w:t>
      </w:r>
    </w:p>
    <w:p w14:paraId="05C7F89B" w14:textId="77777777" w:rsidR="000F1337" w:rsidRPr="00F10B1C" w:rsidRDefault="000F1337" w:rsidP="000F1337">
      <w:pPr>
        <w:spacing w:after="0" w:line="276" w:lineRule="auto"/>
        <w:ind w:firstLine="720"/>
        <w:jc w:val="both"/>
        <w:rPr>
          <w:rFonts w:eastAsia="Times New Roman" w:cs="Times New Roman"/>
          <w:sz w:val="16"/>
          <w:szCs w:val="24"/>
          <w:lang w:eastAsia="lv-LV"/>
        </w:rPr>
      </w:pPr>
    </w:p>
    <w:p w14:paraId="1FE0879D" w14:textId="77777777" w:rsidR="006D12E1" w:rsidRDefault="000F1337" w:rsidP="000F1337">
      <w:pPr>
        <w:spacing w:after="0" w:line="276" w:lineRule="auto"/>
        <w:ind w:firstLine="720"/>
        <w:jc w:val="both"/>
        <w:rPr>
          <w:rFonts w:eastAsia="Times New Roman" w:cs="Times New Roman"/>
          <w:szCs w:val="24"/>
          <w:lang w:eastAsia="lv-LV"/>
        </w:rPr>
      </w:pPr>
      <w:r>
        <w:rPr>
          <w:rFonts w:eastAsia="Times New Roman" w:cs="Times New Roman"/>
          <w:szCs w:val="24"/>
          <w:lang w:eastAsia="lv-LV"/>
        </w:rPr>
        <w:t>[1</w:t>
      </w:r>
      <w:r w:rsidR="00062BD7">
        <w:rPr>
          <w:rFonts w:eastAsia="Times New Roman" w:cs="Times New Roman"/>
          <w:szCs w:val="24"/>
          <w:lang w:eastAsia="lv-LV"/>
        </w:rPr>
        <w:t>4</w:t>
      </w:r>
      <w:r>
        <w:rPr>
          <w:rFonts w:eastAsia="Times New Roman" w:cs="Times New Roman"/>
          <w:szCs w:val="24"/>
          <w:lang w:eastAsia="lv-LV"/>
        </w:rPr>
        <w:t>] Pieteicēja argumentē, ka līgumā noteiktais zvērināta advokāta honorārs, kas ir atkarīgs no lietas rezultāta, ir daļa no kopējā advokāta honorāra, tāpēc nav pamata pieteicējai liegt tiesības atskaitīt priekšnodokli, ņemot vērā to, ka šī atlīdzības daļa ir par tiem pašiem sniegtajiem juridiskajiem pakalpojumiem, kurus tiesa atzinusi par saistītiem ar pieteicējas saimniecisko darbību.</w:t>
      </w:r>
      <w:r w:rsidR="006D12E1">
        <w:rPr>
          <w:rFonts w:eastAsia="Times New Roman" w:cs="Times New Roman"/>
          <w:szCs w:val="24"/>
          <w:lang w:eastAsia="lv-LV"/>
        </w:rPr>
        <w:t xml:space="preserve"> </w:t>
      </w:r>
    </w:p>
    <w:p w14:paraId="7B9FF59A" w14:textId="0D4EDF44" w:rsidR="006D12E1" w:rsidRDefault="006D12E1" w:rsidP="000F1337">
      <w:pPr>
        <w:spacing w:after="0" w:line="276" w:lineRule="auto"/>
        <w:ind w:firstLine="720"/>
        <w:jc w:val="both"/>
        <w:rPr>
          <w:rFonts w:eastAsia="Times New Roman" w:cs="Times New Roman"/>
          <w:szCs w:val="24"/>
          <w:lang w:eastAsia="lv-LV"/>
        </w:rPr>
      </w:pPr>
      <w:r>
        <w:rPr>
          <w:rFonts w:eastAsia="Times New Roman" w:cs="Times New Roman"/>
          <w:szCs w:val="24"/>
          <w:lang w:eastAsia="lv-LV"/>
        </w:rPr>
        <w:t>A</w:t>
      </w:r>
      <w:r w:rsidR="000F1337" w:rsidRPr="00D665BE">
        <w:rPr>
          <w:rFonts w:eastAsia="Times New Roman" w:cs="Times New Roman"/>
          <w:szCs w:val="24"/>
          <w:lang w:eastAsia="lv-LV"/>
        </w:rPr>
        <w:t xml:space="preserve">pgabaltiesa spriedumā </w:t>
      </w:r>
      <w:r>
        <w:rPr>
          <w:rFonts w:eastAsia="Times New Roman" w:cs="Times New Roman"/>
          <w:szCs w:val="24"/>
          <w:lang w:eastAsia="lv-LV"/>
        </w:rPr>
        <w:t>atzinusi, ka z</w:t>
      </w:r>
      <w:r w:rsidR="000F1337" w:rsidRPr="00D665BE">
        <w:rPr>
          <w:rFonts w:eastAsia="Times New Roman" w:cs="Times New Roman"/>
          <w:szCs w:val="24"/>
          <w:lang w:eastAsia="lv-LV"/>
        </w:rPr>
        <w:t xml:space="preserve">vērināta advokāta </w:t>
      </w:r>
      <w:r w:rsidR="000F1337">
        <w:rPr>
          <w:rFonts w:eastAsia="Times New Roman" w:cs="Times New Roman"/>
          <w:szCs w:val="24"/>
          <w:lang w:eastAsia="lv-LV"/>
        </w:rPr>
        <w:t xml:space="preserve">izrakstītais </w:t>
      </w:r>
      <w:r w:rsidR="000F1337" w:rsidRPr="00D665BE">
        <w:rPr>
          <w:rFonts w:eastAsia="Times New Roman" w:cs="Times New Roman"/>
          <w:szCs w:val="24"/>
          <w:lang w:eastAsia="lv-LV"/>
        </w:rPr>
        <w:t>rēķins par pieteicējai veiksmīgu tiesvedības rezultātu</w:t>
      </w:r>
      <w:r w:rsidR="000F1337">
        <w:rPr>
          <w:rFonts w:eastAsia="Times New Roman" w:cs="Times New Roman"/>
          <w:szCs w:val="24"/>
          <w:lang w:eastAsia="lv-LV"/>
        </w:rPr>
        <w:t xml:space="preserve"> (jeb veiksmes atlīdzība)</w:t>
      </w:r>
      <w:r w:rsidR="000F1337" w:rsidRPr="00D665BE">
        <w:rPr>
          <w:rFonts w:eastAsia="Times New Roman" w:cs="Times New Roman"/>
          <w:szCs w:val="24"/>
          <w:lang w:eastAsia="lv-LV"/>
        </w:rPr>
        <w:t xml:space="preserve"> nav tieši </w:t>
      </w:r>
      <w:r w:rsidR="000F1337">
        <w:rPr>
          <w:rFonts w:eastAsia="Times New Roman" w:cs="Times New Roman"/>
          <w:szCs w:val="24"/>
          <w:lang w:eastAsia="lv-LV"/>
        </w:rPr>
        <w:t>saistāms</w:t>
      </w:r>
      <w:r w:rsidR="000F1337" w:rsidRPr="00D665BE">
        <w:rPr>
          <w:rFonts w:eastAsia="Times New Roman" w:cs="Times New Roman"/>
          <w:szCs w:val="24"/>
          <w:lang w:eastAsia="lv-LV"/>
        </w:rPr>
        <w:t xml:space="preserve"> ar </w:t>
      </w:r>
      <w:r w:rsidR="000F1337">
        <w:rPr>
          <w:rFonts w:eastAsia="Times New Roman" w:cs="Times New Roman"/>
          <w:szCs w:val="24"/>
          <w:lang w:eastAsia="lv-LV"/>
        </w:rPr>
        <w:t xml:space="preserve">pieteicējas </w:t>
      </w:r>
      <w:r w:rsidR="000F1337" w:rsidRPr="00D665BE">
        <w:rPr>
          <w:rFonts w:eastAsia="Times New Roman" w:cs="Times New Roman"/>
          <w:szCs w:val="24"/>
          <w:lang w:eastAsia="lv-LV"/>
        </w:rPr>
        <w:t>saimnieciskās darbības nodrošināšanu un līdz ar to nav izmantojams priekšnodokļa atskaitīšanai.</w:t>
      </w:r>
      <w:r w:rsidR="000F1337">
        <w:rPr>
          <w:rFonts w:eastAsia="Times New Roman" w:cs="Times New Roman"/>
          <w:szCs w:val="24"/>
          <w:lang w:eastAsia="lv-LV"/>
        </w:rPr>
        <w:t xml:space="preserve"> Vienlaikus tiesa ir atzinusi pieteicējas tiesības</w:t>
      </w:r>
      <w:r w:rsidR="000F1337" w:rsidRPr="00D665BE">
        <w:rPr>
          <w:rFonts w:eastAsia="Times New Roman" w:cs="Times New Roman"/>
          <w:szCs w:val="24"/>
          <w:lang w:eastAsia="lv-LV"/>
        </w:rPr>
        <w:t xml:space="preserve"> atskaitīt priekšnodokli par </w:t>
      </w:r>
      <w:r w:rsidR="000F1337">
        <w:rPr>
          <w:rFonts w:eastAsia="Times New Roman" w:cs="Times New Roman"/>
          <w:szCs w:val="24"/>
          <w:lang w:eastAsia="lv-LV"/>
        </w:rPr>
        <w:t>tiem pašiem juridiskajiem pakalpojumiem</w:t>
      </w:r>
      <w:r w:rsidR="000F1337" w:rsidRPr="00D665BE">
        <w:rPr>
          <w:rFonts w:eastAsia="Times New Roman" w:cs="Times New Roman"/>
          <w:szCs w:val="24"/>
          <w:lang w:eastAsia="lv-LV"/>
        </w:rPr>
        <w:t xml:space="preserve"> </w:t>
      </w:r>
      <w:r w:rsidR="000F1337">
        <w:rPr>
          <w:rFonts w:eastAsia="Times New Roman" w:cs="Times New Roman"/>
          <w:szCs w:val="24"/>
          <w:lang w:eastAsia="lv-LV"/>
        </w:rPr>
        <w:t xml:space="preserve">saskaņā ar </w:t>
      </w:r>
      <w:r>
        <w:rPr>
          <w:rFonts w:eastAsia="Times New Roman" w:cs="Times New Roman"/>
          <w:szCs w:val="24"/>
          <w:lang w:eastAsia="lv-LV"/>
        </w:rPr>
        <w:t xml:space="preserve">citiem </w:t>
      </w:r>
      <w:r w:rsidR="000F1337">
        <w:rPr>
          <w:rFonts w:eastAsia="Times New Roman" w:cs="Times New Roman"/>
          <w:szCs w:val="24"/>
          <w:lang w:eastAsia="lv-LV"/>
        </w:rPr>
        <w:t>rēķiniem. T</w:t>
      </w:r>
      <w:r w:rsidR="000F1337" w:rsidRPr="00D665BE">
        <w:rPr>
          <w:rFonts w:eastAsia="Times New Roman" w:cs="Times New Roman"/>
          <w:szCs w:val="24"/>
          <w:lang w:eastAsia="lv-LV"/>
        </w:rPr>
        <w:t xml:space="preserve">iesa </w:t>
      </w:r>
      <w:r w:rsidR="000F1337">
        <w:rPr>
          <w:rFonts w:eastAsia="Times New Roman" w:cs="Times New Roman"/>
          <w:szCs w:val="24"/>
          <w:lang w:eastAsia="lv-LV"/>
        </w:rPr>
        <w:t xml:space="preserve">ir </w:t>
      </w:r>
      <w:r w:rsidR="000F1337" w:rsidRPr="00D665BE">
        <w:rPr>
          <w:rFonts w:eastAsia="Times New Roman" w:cs="Times New Roman"/>
          <w:szCs w:val="24"/>
          <w:lang w:eastAsia="lv-LV"/>
        </w:rPr>
        <w:t>konstatē</w:t>
      </w:r>
      <w:r w:rsidR="000F1337">
        <w:rPr>
          <w:rFonts w:eastAsia="Times New Roman" w:cs="Times New Roman"/>
          <w:szCs w:val="24"/>
          <w:lang w:eastAsia="lv-LV"/>
        </w:rPr>
        <w:t>jusi</w:t>
      </w:r>
      <w:r w:rsidR="000F1337" w:rsidRPr="00D665BE">
        <w:rPr>
          <w:rFonts w:eastAsia="Times New Roman" w:cs="Times New Roman"/>
          <w:szCs w:val="24"/>
          <w:lang w:eastAsia="lv-LV"/>
        </w:rPr>
        <w:t xml:space="preserve">, ka no </w:t>
      </w:r>
      <w:r w:rsidR="000F1337">
        <w:rPr>
          <w:rFonts w:eastAsia="Times New Roman" w:cs="Times New Roman"/>
          <w:szCs w:val="24"/>
          <w:lang w:eastAsia="lv-LV"/>
        </w:rPr>
        <w:t>šiem</w:t>
      </w:r>
      <w:r w:rsidR="000F1337" w:rsidRPr="00D665BE">
        <w:rPr>
          <w:rFonts w:eastAsia="Times New Roman" w:cs="Times New Roman"/>
          <w:szCs w:val="24"/>
          <w:lang w:eastAsia="lv-LV"/>
        </w:rPr>
        <w:t xml:space="preserve"> rēķiniem ir iespējams identificēt, par kādiem pakalpojumiem </w:t>
      </w:r>
      <w:r w:rsidR="000F1337">
        <w:rPr>
          <w:rFonts w:eastAsia="Times New Roman" w:cs="Times New Roman"/>
          <w:szCs w:val="24"/>
          <w:lang w:eastAsia="lv-LV"/>
        </w:rPr>
        <w:t>tie</w:t>
      </w:r>
      <w:r w:rsidR="000F1337" w:rsidRPr="00D665BE">
        <w:rPr>
          <w:rFonts w:eastAsia="Times New Roman" w:cs="Times New Roman"/>
          <w:szCs w:val="24"/>
          <w:lang w:eastAsia="lv-LV"/>
        </w:rPr>
        <w:t xml:space="preserve"> ir izrakstīti, un tiesai </w:t>
      </w:r>
      <w:r w:rsidR="000F1337">
        <w:rPr>
          <w:rFonts w:eastAsia="Times New Roman" w:cs="Times New Roman"/>
          <w:szCs w:val="24"/>
          <w:lang w:eastAsia="lv-LV"/>
        </w:rPr>
        <w:t>nav radušās</w:t>
      </w:r>
      <w:r w:rsidR="000F1337" w:rsidRPr="00D665BE">
        <w:rPr>
          <w:rFonts w:eastAsia="Times New Roman" w:cs="Times New Roman"/>
          <w:szCs w:val="24"/>
          <w:lang w:eastAsia="lv-LV"/>
        </w:rPr>
        <w:t xml:space="preserve"> šaubas, ka tiesvedības procesi</w:t>
      </w:r>
      <w:r w:rsidR="000F1337">
        <w:rPr>
          <w:rFonts w:eastAsia="Times New Roman" w:cs="Times New Roman"/>
          <w:szCs w:val="24"/>
          <w:lang w:eastAsia="lv-LV"/>
        </w:rPr>
        <w:t xml:space="preserve">, saistībā ar </w:t>
      </w:r>
      <w:r w:rsidR="000F1337" w:rsidRPr="00AA6108">
        <w:rPr>
          <w:rFonts w:eastAsia="Times New Roman" w:cs="Times New Roman"/>
          <w:szCs w:val="24"/>
          <w:lang w:eastAsia="lv-LV"/>
        </w:rPr>
        <w:t xml:space="preserve">kuriem sniegti šie pakalpojumi, ir saistīti ar pieteicējas saimniecisko darbību. </w:t>
      </w:r>
    </w:p>
    <w:p w14:paraId="7EEA73EC" w14:textId="223DF6D6" w:rsidR="000F1337" w:rsidRPr="00AA6108" w:rsidRDefault="006D12E1" w:rsidP="000F1337">
      <w:pPr>
        <w:spacing w:after="0" w:line="276" w:lineRule="auto"/>
        <w:ind w:firstLine="720"/>
        <w:jc w:val="both"/>
        <w:rPr>
          <w:rFonts w:cs="Times New Roman"/>
          <w:szCs w:val="24"/>
        </w:rPr>
      </w:pPr>
      <w:r>
        <w:rPr>
          <w:rFonts w:eastAsia="Times New Roman" w:cs="Times New Roman"/>
          <w:szCs w:val="24"/>
          <w:lang w:eastAsia="lv-LV"/>
        </w:rPr>
        <w:t>A</w:t>
      </w:r>
      <w:r w:rsidR="000F1337" w:rsidRPr="00AA6108">
        <w:rPr>
          <w:rFonts w:eastAsia="Times New Roman" w:cs="Times New Roman"/>
          <w:szCs w:val="24"/>
          <w:lang w:eastAsia="lv-LV"/>
        </w:rPr>
        <w:t xml:space="preserve">pgabaltiesa spriedumā nav motivējusi, kāpēc veiksmes atlīdzība, tās ieskatā, nav uzskatīta par tieši saistāmu ar pieteicējas saimnieciskās darbības nodrošināšanu, ja reiz tā atzinusi, ka </w:t>
      </w:r>
      <w:r w:rsidR="000F1337" w:rsidRPr="00AA6108">
        <w:rPr>
          <w:rFonts w:cs="Times New Roman"/>
          <w:szCs w:val="24"/>
        </w:rPr>
        <w:t xml:space="preserve">pieteicējai ir bijusi objektīva nepieciešamība saņemt šos juridiskos pakalpojumus par tiesvedības procesiem, kas ir saistīti ar pieteicējas saimniecisko darbību. Savukārt, ja saņemtie pakalpojumi, par kuriem izrakstīts nodokļa rēķins, ir izmantoti apliekamo darījumu nodrošināšanai, ko pamato objektīvi pierādījumi, personai ir tiesības atskaitīt priekšnodokli par tiem saskaņā ar likuma „Par pievienotās vērtības nodokli” </w:t>
      </w:r>
      <w:proofErr w:type="gramStart"/>
      <w:r w:rsidR="000F1337" w:rsidRPr="00AA6108">
        <w:rPr>
          <w:rFonts w:cs="Times New Roman"/>
          <w:szCs w:val="24"/>
        </w:rPr>
        <w:t>10.panta</w:t>
      </w:r>
      <w:proofErr w:type="gramEnd"/>
      <w:r w:rsidR="000F1337" w:rsidRPr="00AA6108">
        <w:rPr>
          <w:rFonts w:cs="Times New Roman"/>
          <w:szCs w:val="24"/>
        </w:rPr>
        <w:t xml:space="preserve"> pirmās daļas 1.punktu</w:t>
      </w:r>
      <w:r w:rsidR="000F1337">
        <w:rPr>
          <w:rFonts w:cs="Times New Roman"/>
          <w:szCs w:val="24"/>
        </w:rPr>
        <w:t xml:space="preserve"> (sal. </w:t>
      </w:r>
      <w:r w:rsidR="000F1337" w:rsidRPr="000F1337">
        <w:rPr>
          <w:rFonts w:cs="Times New Roman"/>
          <w:i/>
          <w:szCs w:val="24"/>
        </w:rPr>
        <w:t>Augstākās tiesas 2015.gada 21.janvāra sprieduma lietā Nr. SKA</w:t>
      </w:r>
      <w:r w:rsidR="000F1337" w:rsidRPr="000F1337">
        <w:rPr>
          <w:rFonts w:cs="Times New Roman"/>
          <w:i/>
          <w:szCs w:val="24"/>
        </w:rPr>
        <w:noBreakHyphen/>
        <w:t>86/2015 (</w:t>
      </w:r>
      <w:r w:rsidR="000F1337" w:rsidRPr="000F1337">
        <w:rPr>
          <w:rFonts w:eastAsia="Times New Roman" w:cs="Times New Roman"/>
          <w:i/>
          <w:color w:val="000000"/>
          <w:szCs w:val="24"/>
          <w:lang w:eastAsia="lv-LV"/>
        </w:rPr>
        <w:t>A420651510) II</w:t>
      </w:r>
      <w:r w:rsidR="000F1337">
        <w:rPr>
          <w:rFonts w:eastAsia="Times New Roman" w:cs="Times New Roman"/>
          <w:i/>
          <w:color w:val="000000"/>
          <w:szCs w:val="24"/>
          <w:lang w:eastAsia="lv-LV"/>
        </w:rPr>
        <w:t> </w:t>
      </w:r>
      <w:r w:rsidR="000F1337" w:rsidRPr="000F1337">
        <w:rPr>
          <w:rFonts w:eastAsia="Times New Roman" w:cs="Times New Roman"/>
          <w:i/>
          <w:color w:val="000000"/>
          <w:szCs w:val="24"/>
          <w:lang w:eastAsia="lv-LV"/>
        </w:rPr>
        <w:t xml:space="preserve">sadaļa </w:t>
      </w:r>
      <w:r w:rsidR="000F1337">
        <w:rPr>
          <w:rFonts w:eastAsia="Times New Roman" w:cs="Times New Roman"/>
          <w:color w:val="000000"/>
          <w:szCs w:val="24"/>
          <w:lang w:eastAsia="lv-LV"/>
        </w:rPr>
        <w:t>par pamudinājuma atlīdzību)</w:t>
      </w:r>
      <w:r w:rsidR="000F1337" w:rsidRPr="00AA6108">
        <w:rPr>
          <w:rFonts w:cs="Times New Roman"/>
          <w:szCs w:val="24"/>
        </w:rPr>
        <w:t>.</w:t>
      </w:r>
    </w:p>
    <w:p w14:paraId="036E2A1C" w14:textId="77777777" w:rsidR="000F1337" w:rsidRDefault="000F1337" w:rsidP="000F1337">
      <w:pPr>
        <w:spacing w:after="0" w:line="276" w:lineRule="auto"/>
        <w:ind w:firstLine="720"/>
        <w:jc w:val="both"/>
        <w:rPr>
          <w:rFonts w:cs="Times New Roman"/>
          <w:szCs w:val="24"/>
        </w:rPr>
      </w:pPr>
      <w:r w:rsidRPr="00AA6108">
        <w:rPr>
          <w:rFonts w:cs="Times New Roman"/>
          <w:szCs w:val="24"/>
        </w:rPr>
        <w:t>Tā kā tiesa</w:t>
      </w:r>
      <w:r>
        <w:rPr>
          <w:rFonts w:cs="Times New Roman"/>
          <w:szCs w:val="24"/>
        </w:rPr>
        <w:t xml:space="preserve"> nav atbilstoši Administratīvā procesa likuma 154.panta pirmajai daļai pienācīgi un loģiski novērtējusi darījumu apliecinošos dokumentus atbilstoši likuma „Par pievienotās vērtības nodokli” 10.panta pirmās daļas 1.punkta jēgai,</w:t>
      </w:r>
      <w:r w:rsidRPr="00AA6108">
        <w:rPr>
          <w:rFonts w:cs="Times New Roman"/>
          <w:szCs w:val="24"/>
        </w:rPr>
        <w:t xml:space="preserve"> pastāv pamats atcelt tiesas spriedumu šajā daļā.</w:t>
      </w:r>
    </w:p>
    <w:p w14:paraId="0574E543" w14:textId="77777777" w:rsidR="000F1337" w:rsidRPr="00F10B1C" w:rsidRDefault="000F1337" w:rsidP="000F1337">
      <w:pPr>
        <w:spacing w:after="0" w:line="276" w:lineRule="auto"/>
        <w:ind w:firstLine="720"/>
        <w:jc w:val="both"/>
        <w:rPr>
          <w:rFonts w:cs="Times New Roman"/>
          <w:sz w:val="18"/>
          <w:szCs w:val="24"/>
        </w:rPr>
      </w:pPr>
    </w:p>
    <w:p w14:paraId="42CB9FCE" w14:textId="576F0E3F" w:rsidR="000F1337" w:rsidRPr="002D61BA" w:rsidRDefault="000F1337" w:rsidP="000F1337">
      <w:pPr>
        <w:spacing w:after="0" w:line="276" w:lineRule="auto"/>
        <w:jc w:val="center"/>
        <w:rPr>
          <w:rFonts w:eastAsia="Times New Roman" w:cs="Times New Roman"/>
          <w:b/>
          <w:szCs w:val="24"/>
          <w:lang w:eastAsia="lv-LV"/>
        </w:rPr>
      </w:pPr>
      <w:r w:rsidRPr="002D61BA">
        <w:rPr>
          <w:rFonts w:eastAsia="Times New Roman" w:cs="Times New Roman"/>
          <w:b/>
          <w:szCs w:val="24"/>
          <w:lang w:eastAsia="lv-LV"/>
        </w:rPr>
        <w:t>II</w:t>
      </w:r>
      <w:r w:rsidR="000379B5">
        <w:rPr>
          <w:rFonts w:eastAsia="Times New Roman" w:cs="Times New Roman"/>
          <w:b/>
          <w:szCs w:val="24"/>
          <w:lang w:eastAsia="lv-LV"/>
        </w:rPr>
        <w:t>I</w:t>
      </w:r>
    </w:p>
    <w:p w14:paraId="48ACD065" w14:textId="77777777" w:rsidR="000F1337" w:rsidRPr="00F10B1C" w:rsidRDefault="000F1337" w:rsidP="000F1337">
      <w:pPr>
        <w:spacing w:after="0" w:line="276" w:lineRule="auto"/>
        <w:ind w:firstLine="720"/>
        <w:jc w:val="both"/>
        <w:rPr>
          <w:rFonts w:eastAsia="Times New Roman" w:cs="Times New Roman"/>
          <w:color w:val="FF0000"/>
          <w:sz w:val="12"/>
          <w:szCs w:val="24"/>
          <w:lang w:eastAsia="lv-LV"/>
        </w:rPr>
      </w:pPr>
    </w:p>
    <w:p w14:paraId="28C39D64" w14:textId="774C0E8C" w:rsidR="000F1337" w:rsidRDefault="000F1337" w:rsidP="000F1337">
      <w:pPr>
        <w:spacing w:after="0" w:line="276" w:lineRule="auto"/>
        <w:ind w:firstLine="720"/>
        <w:jc w:val="both"/>
        <w:rPr>
          <w:rFonts w:eastAsia="Times New Roman" w:cs="Times New Roman"/>
          <w:szCs w:val="24"/>
          <w:lang w:eastAsia="lv-LV"/>
        </w:rPr>
      </w:pPr>
      <w:r w:rsidRPr="000379B5">
        <w:rPr>
          <w:rFonts w:eastAsia="Times New Roman" w:cs="Times New Roman"/>
          <w:szCs w:val="24"/>
          <w:lang w:eastAsia="lv-LV"/>
        </w:rPr>
        <w:t>[15]</w:t>
      </w:r>
      <w:r>
        <w:rPr>
          <w:rFonts w:eastAsia="Times New Roman" w:cs="Times New Roman"/>
          <w:szCs w:val="24"/>
          <w:lang w:eastAsia="lv-LV"/>
        </w:rPr>
        <w:t xml:space="preserve"> Pieteicēja argumentē, ka tiesa nepamatoti noraidījusi lūgumu nopratināt liecinieku </w:t>
      </w:r>
      <w:r w:rsidR="00E50542">
        <w:rPr>
          <w:rFonts w:eastAsia="Times New Roman" w:cs="Times New Roman"/>
          <w:szCs w:val="24"/>
          <w:lang w:eastAsia="lv-LV"/>
        </w:rPr>
        <w:t>[pers. A]</w:t>
      </w:r>
      <w:r>
        <w:rPr>
          <w:rFonts w:eastAsia="Times New Roman" w:cs="Times New Roman"/>
          <w:szCs w:val="24"/>
          <w:lang w:eastAsia="lv-LV"/>
        </w:rPr>
        <w:t xml:space="preserve">, uzskatot, ka pieteicējas bijušā valdes locekļa liecības būtu devušas iespēju pārliecināties par darījuma ar SIA „CEG </w:t>
      </w:r>
      <w:proofErr w:type="spellStart"/>
      <w:r>
        <w:rPr>
          <w:rFonts w:eastAsia="Times New Roman" w:cs="Times New Roman"/>
          <w:szCs w:val="24"/>
          <w:lang w:eastAsia="lv-LV"/>
        </w:rPr>
        <w:t>Latvia</w:t>
      </w:r>
      <w:proofErr w:type="spellEnd"/>
      <w:r>
        <w:rPr>
          <w:rFonts w:eastAsia="Times New Roman" w:cs="Times New Roman"/>
          <w:szCs w:val="24"/>
          <w:lang w:eastAsia="lv-LV"/>
        </w:rPr>
        <w:t xml:space="preserve">” būtību. </w:t>
      </w:r>
    </w:p>
    <w:p w14:paraId="7379D1FA" w14:textId="77032B49" w:rsidR="000F1337" w:rsidRDefault="000F1337" w:rsidP="000F1337">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Apgabaltiesa, atsaucoties arī uz Augstākās tiesas spriedumos pausto kritiku par vispārīgu vadības pakalpojumu norādīšanu nodokļu rēķinos, ir norādījusi uz to, ka no rēķiniem nav iespējams noteikt SIA „CEG </w:t>
      </w:r>
      <w:proofErr w:type="spellStart"/>
      <w:r>
        <w:rPr>
          <w:rFonts w:eastAsia="Times New Roman" w:cs="Times New Roman"/>
          <w:szCs w:val="24"/>
          <w:lang w:eastAsia="lv-LV"/>
        </w:rPr>
        <w:t>Latvia</w:t>
      </w:r>
      <w:proofErr w:type="spellEnd"/>
      <w:r>
        <w:rPr>
          <w:rFonts w:eastAsia="Times New Roman" w:cs="Times New Roman"/>
          <w:szCs w:val="24"/>
          <w:lang w:eastAsia="lv-LV"/>
        </w:rPr>
        <w:t xml:space="preserve">” sniegto vadības pakalpojumu būtību. Tiesa ņēmusi </w:t>
      </w:r>
      <w:r>
        <w:rPr>
          <w:rFonts w:eastAsia="Times New Roman" w:cs="Times New Roman"/>
          <w:szCs w:val="24"/>
          <w:lang w:eastAsia="lv-LV"/>
        </w:rPr>
        <w:lastRenderedPageBreak/>
        <w:t xml:space="preserve">vērā, ka nav konstatējami nekādi pielikumi vai atskaites, kurās būtu pārskats par sniegtajiem vadības pakalpojumiem, un tas liedz noteikt pakalpojumu saistību ar pieteicējas ar pievienotās vērtības nodokli apliekamajiem darījumiem. Apstākli, ka pieteicējas darbinieks </w:t>
      </w:r>
      <w:proofErr w:type="gramStart"/>
      <w:r w:rsidR="00E50542">
        <w:rPr>
          <w:rFonts w:eastAsia="Times New Roman" w:cs="Times New Roman"/>
          <w:szCs w:val="24"/>
          <w:lang w:eastAsia="lv-LV"/>
        </w:rPr>
        <w:t>[</w:t>
      </w:r>
      <w:proofErr w:type="gramEnd"/>
      <w:r w:rsidR="00E50542">
        <w:rPr>
          <w:rFonts w:eastAsia="Times New Roman" w:cs="Times New Roman"/>
          <w:szCs w:val="24"/>
          <w:lang w:eastAsia="lv-LV"/>
        </w:rPr>
        <w:t xml:space="preserve">pers. A] </w:t>
      </w:r>
      <w:r>
        <w:rPr>
          <w:rFonts w:eastAsia="Times New Roman" w:cs="Times New Roman"/>
          <w:szCs w:val="24"/>
          <w:lang w:eastAsia="lv-LV"/>
        </w:rPr>
        <w:t xml:space="preserve">vēlāk kļuvis par SIA „CEG </w:t>
      </w:r>
      <w:proofErr w:type="spellStart"/>
      <w:r>
        <w:rPr>
          <w:rFonts w:eastAsia="Times New Roman" w:cs="Times New Roman"/>
          <w:szCs w:val="24"/>
          <w:lang w:eastAsia="lv-LV"/>
        </w:rPr>
        <w:t>Latvia</w:t>
      </w:r>
      <w:proofErr w:type="spellEnd"/>
      <w:r>
        <w:rPr>
          <w:rFonts w:eastAsia="Times New Roman" w:cs="Times New Roman"/>
          <w:szCs w:val="24"/>
          <w:lang w:eastAsia="lv-LV"/>
        </w:rPr>
        <w:t xml:space="preserve">” valdes locekli, tiesa uzskatījusi par tādu, kas netieši norāda uz to, ka pieteicēja un SIA „CEG </w:t>
      </w:r>
      <w:proofErr w:type="spellStart"/>
      <w:r>
        <w:rPr>
          <w:rFonts w:eastAsia="Times New Roman" w:cs="Times New Roman"/>
          <w:szCs w:val="24"/>
          <w:lang w:eastAsia="lv-LV"/>
        </w:rPr>
        <w:t>Latvia</w:t>
      </w:r>
      <w:proofErr w:type="spellEnd"/>
      <w:r>
        <w:rPr>
          <w:rFonts w:eastAsia="Times New Roman" w:cs="Times New Roman"/>
          <w:szCs w:val="24"/>
          <w:lang w:eastAsia="lv-LV"/>
        </w:rPr>
        <w:t>” varētu būt veikušas saskaņotas darbības, noformējot faktiskiem darījumiem neatbilstošus rēķinus un tādējādi ar priekšnodokļa atskaitīšanu centušās iegūt kādas fiskālas priekšrocības.</w:t>
      </w:r>
    </w:p>
    <w:p w14:paraId="23795D0E" w14:textId="77777777" w:rsidR="000F1337" w:rsidRDefault="000F1337" w:rsidP="000F1337">
      <w:pPr>
        <w:spacing w:after="0" w:line="276" w:lineRule="auto"/>
        <w:ind w:firstLine="720"/>
        <w:jc w:val="both"/>
        <w:rPr>
          <w:rFonts w:eastAsia="Times New Roman" w:cs="Times New Roman"/>
          <w:szCs w:val="24"/>
          <w:lang w:eastAsia="lv-LV"/>
        </w:rPr>
      </w:pPr>
      <w:r>
        <w:rPr>
          <w:rFonts w:eastAsia="Times New Roman" w:cs="Times New Roman"/>
          <w:szCs w:val="24"/>
          <w:lang w:eastAsia="lv-LV"/>
        </w:rPr>
        <w:t>Augstākās tiesas ieskatā, apgabaltiesas veiktā izmeklēšana attiecībā uz šo darījumu nav bijusi pienācīga un procesuāli taisnīga turpmāk minēto iemeslu dēļ.</w:t>
      </w:r>
    </w:p>
    <w:p w14:paraId="01F3B808" w14:textId="77777777" w:rsidR="000F1337" w:rsidRPr="00F10B1C" w:rsidRDefault="000F1337" w:rsidP="000F1337">
      <w:pPr>
        <w:spacing w:after="0" w:line="276" w:lineRule="auto"/>
        <w:ind w:firstLine="720"/>
        <w:jc w:val="both"/>
        <w:rPr>
          <w:rFonts w:eastAsia="Times New Roman" w:cs="Times New Roman"/>
          <w:sz w:val="20"/>
          <w:szCs w:val="24"/>
          <w:lang w:eastAsia="lv-LV"/>
        </w:rPr>
      </w:pPr>
    </w:p>
    <w:p w14:paraId="7DE7CB7E" w14:textId="5988B22E" w:rsidR="000F1337" w:rsidRDefault="000F1337" w:rsidP="000F1337">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062BD7">
        <w:rPr>
          <w:rFonts w:eastAsia="Times New Roman" w:cs="Times New Roman"/>
          <w:szCs w:val="24"/>
          <w:lang w:eastAsia="lv-LV"/>
        </w:rPr>
        <w:t>16</w:t>
      </w:r>
      <w:r>
        <w:rPr>
          <w:rFonts w:eastAsia="Times New Roman" w:cs="Times New Roman"/>
          <w:szCs w:val="24"/>
          <w:lang w:eastAsia="lv-LV"/>
        </w:rPr>
        <w:t>] Ar pārsūdzēto Valsts ieņēmumu dienesta lēmumu atzīts, ka pieteicējai nav tiesību uz priekšnodokļa atskaitīšanu, kā arī ir noteikt</w:t>
      </w:r>
      <w:r w:rsidR="000379B5">
        <w:rPr>
          <w:rFonts w:eastAsia="Times New Roman" w:cs="Times New Roman"/>
          <w:szCs w:val="24"/>
          <w:lang w:eastAsia="lv-LV"/>
        </w:rPr>
        <w:t>a</w:t>
      </w:r>
      <w:r>
        <w:rPr>
          <w:rFonts w:eastAsia="Times New Roman" w:cs="Times New Roman"/>
          <w:szCs w:val="24"/>
          <w:lang w:eastAsia="lv-LV"/>
        </w:rPr>
        <w:t xml:space="preserve"> sod</w:t>
      </w:r>
      <w:r w:rsidR="000379B5">
        <w:rPr>
          <w:rFonts w:eastAsia="Times New Roman" w:cs="Times New Roman"/>
          <w:szCs w:val="24"/>
          <w:lang w:eastAsia="lv-LV"/>
        </w:rPr>
        <w:t>a nauda</w:t>
      </w:r>
      <w:r>
        <w:rPr>
          <w:rFonts w:eastAsia="Times New Roman" w:cs="Times New Roman"/>
          <w:szCs w:val="24"/>
          <w:lang w:eastAsia="lv-LV"/>
        </w:rPr>
        <w:t xml:space="preserve">. </w:t>
      </w:r>
    </w:p>
    <w:p w14:paraId="407690A5" w14:textId="72CCB8FD" w:rsidR="000F1337" w:rsidRDefault="000F1337" w:rsidP="000F1337">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Nodokļu maksātājam atbilstoši likuma „Par nodokļiem un nodevām” </w:t>
      </w:r>
      <w:proofErr w:type="gramStart"/>
      <w:r>
        <w:rPr>
          <w:rFonts w:eastAsia="Times New Roman" w:cs="Times New Roman"/>
          <w:szCs w:val="24"/>
          <w:lang w:eastAsia="lv-LV"/>
        </w:rPr>
        <w:t>38.pantam</w:t>
      </w:r>
      <w:proofErr w:type="gramEnd"/>
      <w:r>
        <w:rPr>
          <w:rFonts w:eastAsia="Times New Roman" w:cs="Times New Roman"/>
          <w:szCs w:val="24"/>
          <w:lang w:eastAsia="lv-LV"/>
        </w:rPr>
        <w:t xml:space="preserve"> ir uzlikta nasta pašam pierādīt iebildumus pret nodokļu administrācijas veikto papildu nodokļu aprēķinu. Ievērojot, ka pieteicējai ir liegtas likumā paredzētās tiesības uz priekšnodokļa atskaitīšanu un ir piemērot</w:t>
      </w:r>
      <w:r w:rsidR="000379B5">
        <w:rPr>
          <w:rFonts w:eastAsia="Times New Roman" w:cs="Times New Roman"/>
          <w:szCs w:val="24"/>
          <w:lang w:eastAsia="lv-LV"/>
        </w:rPr>
        <w:t>a</w:t>
      </w:r>
      <w:r>
        <w:rPr>
          <w:rFonts w:eastAsia="Times New Roman" w:cs="Times New Roman"/>
          <w:szCs w:val="24"/>
          <w:lang w:eastAsia="lv-LV"/>
        </w:rPr>
        <w:t xml:space="preserve"> arī sod</w:t>
      </w:r>
      <w:r w:rsidR="000379B5">
        <w:rPr>
          <w:rFonts w:eastAsia="Times New Roman" w:cs="Times New Roman"/>
          <w:szCs w:val="24"/>
          <w:lang w:eastAsia="lv-LV"/>
        </w:rPr>
        <w:t>a nauda</w:t>
      </w:r>
      <w:r>
        <w:rPr>
          <w:rFonts w:eastAsia="Times New Roman" w:cs="Times New Roman"/>
          <w:szCs w:val="24"/>
          <w:lang w:eastAsia="lv-LV"/>
        </w:rPr>
        <w:t xml:space="preserve"> – tātad iestādes lēmums visai būtiski ierobežo pieteicējas tiesības –, tiesai būtu jādod pieteicējai pienācīga iespēja aizstāvēties un pierādīt savus iebildumus. Šajā lietā pieteicēja arī norādījusi uz grūtībām, ko rada maksātnespējas process un šķēršļi iegūt plašāku dokumentāciju. Augstākās tiesas ieskatā, šādos apstākļos tiesas lēmumam neizsaukt liecinieku būtu jābūt pietiekami pārliecinoši argumentēta</w:t>
      </w:r>
      <w:r w:rsidR="006D7C9F">
        <w:rPr>
          <w:rFonts w:eastAsia="Times New Roman" w:cs="Times New Roman"/>
          <w:szCs w:val="24"/>
          <w:lang w:eastAsia="lv-LV"/>
        </w:rPr>
        <w:t>m</w:t>
      </w:r>
      <w:r>
        <w:rPr>
          <w:rFonts w:eastAsia="Times New Roman" w:cs="Times New Roman"/>
          <w:szCs w:val="24"/>
          <w:lang w:eastAsia="lv-LV"/>
        </w:rPr>
        <w:t>.</w:t>
      </w:r>
    </w:p>
    <w:p w14:paraId="1F97DBB1" w14:textId="77777777" w:rsidR="000F1337" w:rsidRPr="00F10B1C" w:rsidRDefault="000F1337" w:rsidP="000F1337">
      <w:pPr>
        <w:spacing w:after="0" w:line="276" w:lineRule="auto"/>
        <w:ind w:firstLine="720"/>
        <w:jc w:val="both"/>
        <w:rPr>
          <w:rFonts w:eastAsia="Times New Roman" w:cs="Times New Roman"/>
          <w:sz w:val="16"/>
          <w:szCs w:val="24"/>
          <w:lang w:eastAsia="lv-LV"/>
        </w:rPr>
      </w:pPr>
    </w:p>
    <w:p w14:paraId="1FD3CF4C" w14:textId="6C288372" w:rsidR="000F1337" w:rsidRDefault="000F1337" w:rsidP="000F1337">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062BD7">
        <w:rPr>
          <w:rFonts w:eastAsia="Times New Roman" w:cs="Times New Roman"/>
          <w:szCs w:val="24"/>
          <w:lang w:eastAsia="lv-LV"/>
        </w:rPr>
        <w:t>17</w:t>
      </w:r>
      <w:r>
        <w:rPr>
          <w:rFonts w:eastAsia="Times New Roman" w:cs="Times New Roman"/>
          <w:szCs w:val="24"/>
          <w:lang w:eastAsia="lv-LV"/>
        </w:rPr>
        <w:t>] Pārbaudot apgabaltiesas argumentāciju, secināms, ka tā nav pietiekama, lai pamatotu atteikšanos uzaicināt liecinieku.</w:t>
      </w:r>
    </w:p>
    <w:p w14:paraId="1BC460B7" w14:textId="7CD2D3DB" w:rsidR="000F1337" w:rsidRPr="002D1E0A" w:rsidRDefault="000F1337" w:rsidP="000F1337">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Eiropas Savienības Tiesa, atbildot uz prejudiciālajiem jautājumiem par </w:t>
      </w:r>
      <w:r>
        <w:t xml:space="preserve">Padomes </w:t>
      </w:r>
      <w:proofErr w:type="gramStart"/>
      <w:r>
        <w:t>2006.gada</w:t>
      </w:r>
      <w:proofErr w:type="gramEnd"/>
      <w:r>
        <w:t xml:space="preserve"> 28.novembra Direktīvas 2006/112/EK par kopējo pievienotās vērtības nodokļa sistēmu (turpmāk – direktīva 2006/112) 178.panta „a” </w:t>
      </w:r>
      <w:r w:rsidR="006D7C9F">
        <w:t>apakš</w:t>
      </w:r>
      <w:r>
        <w:t xml:space="preserve">punktu un 226.panta 6.punktu, skaidrojusi: </w:t>
      </w:r>
      <w:r w:rsidRPr="002D1E0A">
        <w:rPr>
          <w:rFonts w:eastAsia="Times New Roman" w:cs="Times New Roman"/>
          <w:szCs w:val="24"/>
          <w:lang w:eastAsia="lv-LV"/>
        </w:rPr>
        <w:t xml:space="preserve">ziņu, kas obligāti ir jānorāda rēķinā, mērķis ir ļaut nodokļu administrācijai pārbaudīt attiecīgā nodokļa samaksu un vajadzības gadījumā – tiesību uz </w:t>
      </w:r>
      <w:r>
        <w:rPr>
          <w:rFonts w:eastAsia="Times New Roman" w:cs="Times New Roman"/>
          <w:szCs w:val="24"/>
          <w:lang w:eastAsia="lv-LV"/>
        </w:rPr>
        <w:t>pievienotās vērtības nodokļa</w:t>
      </w:r>
      <w:r w:rsidRPr="002D1E0A">
        <w:rPr>
          <w:rFonts w:eastAsia="Times New Roman" w:cs="Times New Roman"/>
          <w:szCs w:val="24"/>
          <w:lang w:eastAsia="lv-LV"/>
        </w:rPr>
        <w:t xml:space="preserve"> atskaitījumu esību. Tādējādi tas, vai rēķini atbilst </w:t>
      </w:r>
      <w:r w:rsidR="00451ED7">
        <w:rPr>
          <w:rFonts w:eastAsia="Times New Roman" w:cs="Times New Roman"/>
          <w:szCs w:val="24"/>
          <w:lang w:eastAsia="lv-LV"/>
        </w:rPr>
        <w:t>d</w:t>
      </w:r>
      <w:r w:rsidRPr="002D1E0A">
        <w:rPr>
          <w:rFonts w:eastAsia="Times New Roman" w:cs="Times New Roman"/>
          <w:szCs w:val="24"/>
          <w:lang w:eastAsia="lv-LV"/>
        </w:rPr>
        <w:t>irektīvas 2006/112 226.panta 6.punkta prasībām, ir jāanalizē šī mērķa gaismā</w:t>
      </w:r>
      <w:r>
        <w:rPr>
          <w:rFonts w:eastAsia="Times New Roman" w:cs="Times New Roman"/>
          <w:szCs w:val="24"/>
          <w:lang w:eastAsia="lv-LV"/>
        </w:rPr>
        <w:t xml:space="preserve"> (</w:t>
      </w:r>
      <w:r w:rsidRPr="00531008">
        <w:rPr>
          <w:rFonts w:eastAsia="Times New Roman" w:cs="Times New Roman"/>
          <w:i/>
          <w:szCs w:val="24"/>
          <w:lang w:eastAsia="lv-LV"/>
        </w:rPr>
        <w:t xml:space="preserve">Eiropas Savienības Tiesas 2016.gada 15.septembra sprieduma lietā </w:t>
      </w:r>
      <w:proofErr w:type="spellStart"/>
      <w:r w:rsidRPr="00531008">
        <w:rPr>
          <w:bCs/>
          <w:i/>
          <w:iCs/>
        </w:rPr>
        <w:t>Barlis</w:t>
      </w:r>
      <w:proofErr w:type="spellEnd"/>
      <w:r w:rsidRPr="00531008">
        <w:rPr>
          <w:bCs/>
          <w:i/>
          <w:iCs/>
        </w:rPr>
        <w:t> 06</w:t>
      </w:r>
      <w:r>
        <w:rPr>
          <w:bCs/>
          <w:i/>
        </w:rPr>
        <w:t xml:space="preserve"> – </w:t>
      </w:r>
      <w:proofErr w:type="spellStart"/>
      <w:r w:rsidRPr="00531008">
        <w:rPr>
          <w:bCs/>
          <w:i/>
          <w:iCs/>
        </w:rPr>
        <w:t>Investimentos</w:t>
      </w:r>
      <w:proofErr w:type="spellEnd"/>
      <w:r w:rsidRPr="00531008">
        <w:rPr>
          <w:bCs/>
          <w:i/>
          <w:iCs/>
        </w:rPr>
        <w:t xml:space="preserve"> </w:t>
      </w:r>
      <w:proofErr w:type="spellStart"/>
      <w:r w:rsidRPr="00531008">
        <w:rPr>
          <w:bCs/>
          <w:i/>
          <w:iCs/>
        </w:rPr>
        <w:t>Imobiliários</w:t>
      </w:r>
      <w:proofErr w:type="spellEnd"/>
      <w:r w:rsidRPr="00531008">
        <w:rPr>
          <w:bCs/>
          <w:i/>
          <w:iCs/>
        </w:rPr>
        <w:t xml:space="preserve"> e </w:t>
      </w:r>
      <w:proofErr w:type="spellStart"/>
      <w:r w:rsidRPr="00531008">
        <w:rPr>
          <w:bCs/>
          <w:i/>
          <w:iCs/>
        </w:rPr>
        <w:t>Turísticos</w:t>
      </w:r>
      <w:proofErr w:type="spellEnd"/>
      <w:r>
        <w:rPr>
          <w:bCs/>
          <w:i/>
          <w:iCs/>
        </w:rPr>
        <w:t>,</w:t>
      </w:r>
      <w:r w:rsidRPr="00531008">
        <w:rPr>
          <w:bCs/>
          <w:i/>
          <w:iCs/>
        </w:rPr>
        <w:t xml:space="preserve"> </w:t>
      </w:r>
      <w:r w:rsidRPr="00531008">
        <w:rPr>
          <w:rFonts w:eastAsia="Times New Roman" w:cs="Times New Roman"/>
          <w:i/>
          <w:szCs w:val="24"/>
          <w:lang w:eastAsia="lv-LV"/>
        </w:rPr>
        <w:t xml:space="preserve">C-516/14, </w:t>
      </w:r>
      <w:r w:rsidRPr="00531008">
        <w:rPr>
          <w:rStyle w:val="outputecli"/>
          <w:i/>
        </w:rPr>
        <w:t xml:space="preserve">ECLI:EU:C:2016:690, </w:t>
      </w:r>
      <w:r>
        <w:rPr>
          <w:rStyle w:val="outputecli"/>
          <w:i/>
        </w:rPr>
        <w:t>27</w:t>
      </w:r>
      <w:r w:rsidRPr="00531008">
        <w:rPr>
          <w:rStyle w:val="outputecli"/>
          <w:i/>
        </w:rPr>
        <w:t>.punkts</w:t>
      </w:r>
      <w:r w:rsidRPr="00EA0B69">
        <w:rPr>
          <w:rStyle w:val="outputecli"/>
        </w:rPr>
        <w:t>)</w:t>
      </w:r>
      <w:r w:rsidRPr="00EA0B69">
        <w:rPr>
          <w:rFonts w:eastAsia="Times New Roman" w:cs="Times New Roman"/>
          <w:szCs w:val="24"/>
          <w:lang w:eastAsia="lv-LV"/>
        </w:rPr>
        <w:t>.</w:t>
      </w:r>
    </w:p>
    <w:p w14:paraId="57BF189B" w14:textId="12B6A7A6" w:rsidR="000F1337" w:rsidRDefault="000F1337" w:rsidP="000F1337">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Salīdzinoši, Eiropas Savienības Tiesa </w:t>
      </w:r>
      <w:proofErr w:type="spellStart"/>
      <w:r>
        <w:rPr>
          <w:rFonts w:eastAsia="Times New Roman" w:cs="Times New Roman"/>
          <w:szCs w:val="24"/>
          <w:lang w:eastAsia="lv-LV"/>
        </w:rPr>
        <w:t>pirmšķietami</w:t>
      </w:r>
      <w:proofErr w:type="spellEnd"/>
      <w:r>
        <w:rPr>
          <w:rFonts w:eastAsia="Times New Roman" w:cs="Times New Roman"/>
          <w:szCs w:val="24"/>
          <w:lang w:eastAsia="lv-LV"/>
        </w:rPr>
        <w:t xml:space="preserve"> </w:t>
      </w:r>
      <w:r w:rsidRPr="007337E3">
        <w:rPr>
          <w:rFonts w:eastAsia="Times New Roman" w:cs="Times New Roman"/>
          <w:szCs w:val="24"/>
          <w:lang w:eastAsia="lv-LV"/>
        </w:rPr>
        <w:t xml:space="preserve">secinājusi: ja rēķinā norādīti tikai </w:t>
      </w:r>
      <w:r w:rsidRPr="007337E3">
        <w:t xml:space="preserve">„juridiskie pakalpojumi”, </w:t>
      </w:r>
      <w:r w:rsidR="00AF46DE" w:rsidRPr="007337E3">
        <w:t xml:space="preserve">tad pakalpojumu veids </w:t>
      </w:r>
      <w:r w:rsidRPr="007337E3">
        <w:t xml:space="preserve">nav norādīts </w:t>
      </w:r>
      <w:r w:rsidR="00AF46DE" w:rsidRPr="007337E3">
        <w:t>pietiekami detalizēti</w:t>
      </w:r>
      <w:r w:rsidRPr="007337E3">
        <w:t>, jo šis jēdziens aptver plašu pakalpojumu kopumu, tostarp pakalpojumus, kas ne vienmēr ietilpst saimnieciskajā darbībā</w:t>
      </w:r>
      <w:r w:rsidR="00AF46DE" w:rsidRPr="007337E3">
        <w:t>.</w:t>
      </w:r>
      <w:r w:rsidRPr="00AF46DE">
        <w:t xml:space="preserve"> Turklāt šīs</w:t>
      </w:r>
      <w:r>
        <w:t xml:space="preserve"> ziņas ir tik vispārīgas, ka tajās nav norādīts sniegto pakalpojumu apjoms. </w:t>
      </w:r>
    </w:p>
    <w:p w14:paraId="591FE120" w14:textId="4B4C5702" w:rsidR="000F1337" w:rsidRDefault="000F1337" w:rsidP="000F1337">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Augstākās tiesas ieskatā nav pamata nepiekrist apgabaltiesas vērtējumam, ka arī „vadības pakalpojumi” bez sīkākas detalizācijas nesniedz skaidrību par to, kāds bijis pakalpojuma saturs, kas atkarībā no citiem lietas apstākļiem var būt pamats šaubīties arī par to, vai konkrēti pakalpojumi patiesi </w:t>
      </w:r>
      <w:r w:rsidR="00451ED7">
        <w:rPr>
          <w:rFonts w:eastAsia="Times New Roman" w:cs="Times New Roman"/>
          <w:szCs w:val="24"/>
          <w:lang w:eastAsia="lv-LV"/>
        </w:rPr>
        <w:t xml:space="preserve">ir </w:t>
      </w:r>
      <w:r>
        <w:rPr>
          <w:rFonts w:eastAsia="Times New Roman" w:cs="Times New Roman"/>
          <w:szCs w:val="24"/>
          <w:lang w:eastAsia="lv-LV"/>
        </w:rPr>
        <w:t>sniegti.</w:t>
      </w:r>
    </w:p>
    <w:p w14:paraId="370C7B44" w14:textId="77777777" w:rsidR="000F1337" w:rsidRPr="00F10B1C" w:rsidRDefault="000F1337" w:rsidP="000F1337">
      <w:pPr>
        <w:spacing w:after="0" w:line="276" w:lineRule="auto"/>
        <w:ind w:firstLine="720"/>
        <w:jc w:val="both"/>
        <w:rPr>
          <w:rFonts w:eastAsia="Times New Roman" w:cs="Times New Roman"/>
          <w:sz w:val="16"/>
          <w:szCs w:val="24"/>
          <w:lang w:eastAsia="lv-LV"/>
        </w:rPr>
      </w:pPr>
    </w:p>
    <w:p w14:paraId="74E1B618" w14:textId="7E5745D5" w:rsidR="000F1337" w:rsidRDefault="000F1337" w:rsidP="000F1337">
      <w:pPr>
        <w:spacing w:after="0" w:line="276" w:lineRule="auto"/>
        <w:ind w:firstLine="720"/>
        <w:jc w:val="both"/>
      </w:pPr>
      <w:r>
        <w:rPr>
          <w:rFonts w:eastAsia="Times New Roman" w:cs="Times New Roman"/>
          <w:szCs w:val="24"/>
          <w:lang w:eastAsia="lv-LV"/>
        </w:rPr>
        <w:t>[</w:t>
      </w:r>
      <w:r w:rsidR="00062BD7">
        <w:rPr>
          <w:rFonts w:eastAsia="Times New Roman" w:cs="Times New Roman"/>
          <w:szCs w:val="24"/>
          <w:lang w:eastAsia="lv-LV"/>
        </w:rPr>
        <w:t>18</w:t>
      </w:r>
      <w:r>
        <w:rPr>
          <w:rFonts w:eastAsia="Times New Roman" w:cs="Times New Roman"/>
          <w:szCs w:val="24"/>
          <w:lang w:eastAsia="lv-LV"/>
        </w:rPr>
        <w:t>] Taču Eiropas Savienības Tiesas prakses judikatūra pietiekami skaidri norāda, ka, liedzot tiesības atskaitīt priekšnodokli, pieeja nedrīkst būt formāla. Pievienotās vērtības nodokļa</w:t>
      </w:r>
      <w:r w:rsidRPr="00657576">
        <w:rPr>
          <w:rFonts w:eastAsia="Times New Roman" w:cs="Times New Roman"/>
          <w:szCs w:val="24"/>
          <w:lang w:eastAsia="lv-LV"/>
        </w:rPr>
        <w:t xml:space="preserve"> neitralitātes pamatprincips prasa, lai priekšnodokļa atskaitīšana notiktu tad, ja ir izpildītas materiālās prasības, pat ja nodokļa maksātājs nav izpildī</w:t>
      </w:r>
      <w:r>
        <w:rPr>
          <w:rFonts w:eastAsia="Times New Roman" w:cs="Times New Roman"/>
          <w:szCs w:val="24"/>
          <w:lang w:eastAsia="lv-LV"/>
        </w:rPr>
        <w:t xml:space="preserve">jis </w:t>
      </w:r>
      <w:r w:rsidRPr="00531008">
        <w:rPr>
          <w:rFonts w:eastAsia="Times New Roman" w:cs="Times New Roman"/>
          <w:szCs w:val="24"/>
          <w:lang w:eastAsia="lv-LV"/>
        </w:rPr>
        <w:t>noteiktas formālas prasības (</w:t>
      </w:r>
      <w:r w:rsidRPr="00531008">
        <w:rPr>
          <w:rFonts w:eastAsia="Times New Roman" w:cs="Times New Roman"/>
          <w:i/>
          <w:szCs w:val="24"/>
          <w:lang w:eastAsia="lv-LV"/>
        </w:rPr>
        <w:t xml:space="preserve">Eiropas </w:t>
      </w:r>
      <w:r w:rsidRPr="00531008">
        <w:rPr>
          <w:rFonts w:eastAsia="Times New Roman" w:cs="Times New Roman"/>
          <w:i/>
          <w:szCs w:val="24"/>
          <w:lang w:eastAsia="lv-LV"/>
        </w:rPr>
        <w:lastRenderedPageBreak/>
        <w:t xml:space="preserve">Savienības Tiesas </w:t>
      </w:r>
      <w:proofErr w:type="gramStart"/>
      <w:r w:rsidRPr="00531008">
        <w:rPr>
          <w:rFonts w:eastAsia="Times New Roman" w:cs="Times New Roman"/>
          <w:i/>
          <w:szCs w:val="24"/>
          <w:lang w:eastAsia="lv-LV"/>
        </w:rPr>
        <w:t>2016.gada</w:t>
      </w:r>
      <w:proofErr w:type="gramEnd"/>
      <w:r w:rsidRPr="00531008">
        <w:rPr>
          <w:rFonts w:eastAsia="Times New Roman" w:cs="Times New Roman"/>
          <w:i/>
          <w:szCs w:val="24"/>
          <w:lang w:eastAsia="lv-LV"/>
        </w:rPr>
        <w:t xml:space="preserve"> 15.septembra sprieduma lietā </w:t>
      </w:r>
      <w:proofErr w:type="spellStart"/>
      <w:r w:rsidRPr="00531008">
        <w:rPr>
          <w:bCs/>
          <w:i/>
          <w:iCs/>
        </w:rPr>
        <w:t>Barlis</w:t>
      </w:r>
      <w:proofErr w:type="spellEnd"/>
      <w:r w:rsidRPr="00531008">
        <w:rPr>
          <w:bCs/>
          <w:i/>
          <w:iCs/>
        </w:rPr>
        <w:t> 06</w:t>
      </w:r>
      <w:r>
        <w:rPr>
          <w:bCs/>
          <w:i/>
        </w:rPr>
        <w:t xml:space="preserve"> – </w:t>
      </w:r>
      <w:proofErr w:type="spellStart"/>
      <w:r w:rsidRPr="00531008">
        <w:rPr>
          <w:bCs/>
          <w:i/>
          <w:iCs/>
        </w:rPr>
        <w:t>Investimentos</w:t>
      </w:r>
      <w:proofErr w:type="spellEnd"/>
      <w:r w:rsidRPr="00531008">
        <w:rPr>
          <w:bCs/>
          <w:i/>
          <w:iCs/>
        </w:rPr>
        <w:t xml:space="preserve"> </w:t>
      </w:r>
      <w:proofErr w:type="spellStart"/>
      <w:r w:rsidRPr="00531008">
        <w:rPr>
          <w:bCs/>
          <w:i/>
          <w:iCs/>
        </w:rPr>
        <w:t>Imobiliários</w:t>
      </w:r>
      <w:proofErr w:type="spellEnd"/>
      <w:r w:rsidRPr="00531008">
        <w:rPr>
          <w:bCs/>
          <w:i/>
          <w:iCs/>
        </w:rPr>
        <w:t xml:space="preserve"> e </w:t>
      </w:r>
      <w:proofErr w:type="spellStart"/>
      <w:r w:rsidRPr="00531008">
        <w:rPr>
          <w:bCs/>
          <w:i/>
          <w:iCs/>
        </w:rPr>
        <w:t>Turísticos</w:t>
      </w:r>
      <w:proofErr w:type="spellEnd"/>
      <w:r>
        <w:rPr>
          <w:bCs/>
          <w:i/>
          <w:iCs/>
        </w:rPr>
        <w:t>,</w:t>
      </w:r>
      <w:r w:rsidRPr="00531008">
        <w:rPr>
          <w:bCs/>
          <w:i/>
          <w:iCs/>
        </w:rPr>
        <w:t xml:space="preserve"> </w:t>
      </w:r>
      <w:r w:rsidRPr="00531008">
        <w:rPr>
          <w:rFonts w:eastAsia="Times New Roman" w:cs="Times New Roman"/>
          <w:i/>
          <w:szCs w:val="24"/>
          <w:lang w:eastAsia="lv-LV"/>
        </w:rPr>
        <w:t xml:space="preserve">C-516/14, </w:t>
      </w:r>
      <w:r w:rsidRPr="00531008">
        <w:rPr>
          <w:rStyle w:val="outputecli"/>
          <w:i/>
        </w:rPr>
        <w:t>ECLI:EU:C:2016:690, 42.punkts</w:t>
      </w:r>
      <w:r>
        <w:rPr>
          <w:rStyle w:val="outputecli"/>
          <w:i/>
        </w:rPr>
        <w:t xml:space="preserve"> un tajā minētā judikatūra</w:t>
      </w:r>
      <w:r w:rsidRPr="00531008">
        <w:rPr>
          <w:rStyle w:val="outputecli"/>
        </w:rPr>
        <w:t>).</w:t>
      </w:r>
      <w:r>
        <w:rPr>
          <w:rStyle w:val="outputecli"/>
        </w:rPr>
        <w:t xml:space="preserve"> N</w:t>
      </w:r>
      <w:r w:rsidRPr="00996267">
        <w:t>odokļu administr</w:t>
      </w:r>
      <w:r>
        <w:t xml:space="preserve">ācija nevar atteikt tiesības uz </w:t>
      </w:r>
      <w:r w:rsidRPr="00996267">
        <w:t xml:space="preserve">atskaitījumu tikai tādēļ, ka rēķins neatbilst </w:t>
      </w:r>
      <w:r>
        <w:t>d</w:t>
      </w:r>
      <w:r w:rsidRPr="00996267">
        <w:t>irektīvas 2006/112 226.panta 6. un 7.punkta prasībām, ja tās rīcībā ir visa informācija, lai pārbaudītu, vai ir izpildītas visas ar šīm tiesībām saistītās prasības pēc būtības.</w:t>
      </w:r>
      <w:r>
        <w:t xml:space="preserve"> </w:t>
      </w:r>
      <w:r w:rsidRPr="00996267">
        <w:t xml:space="preserve">Šajā ziņā nodokļu administrācija nevar pārbaudīt tikai pašu rēķinu. Tai ir jāņem vērā arī nodokļu maksātāja sniegtā papildu informācija. Šo konstatējumu apstiprina </w:t>
      </w:r>
      <w:r>
        <w:t>d</w:t>
      </w:r>
      <w:r w:rsidRPr="00996267">
        <w:t xml:space="preserve">irektīvas 2006/112 219.pants, </w:t>
      </w:r>
      <w:r w:rsidR="00451ED7">
        <w:t>saskaņā ar kuru</w:t>
      </w:r>
      <w:r w:rsidR="00451ED7" w:rsidRPr="00996267">
        <w:t xml:space="preserve"> </w:t>
      </w:r>
      <w:r w:rsidRPr="00996267">
        <w:t>rēķinam ir pielīdzināts jebkurš dokuments vai paziņojums, ar kuru tiek grozīts sākotnējais rēķins un kas īpaši un nepārprotami attiecas uz to.</w:t>
      </w:r>
      <w:r>
        <w:t xml:space="preserve"> </w:t>
      </w:r>
    </w:p>
    <w:p w14:paraId="1213A11F" w14:textId="751EE7AC" w:rsidR="000F1337" w:rsidRDefault="00451ED7" w:rsidP="000F1337">
      <w:pPr>
        <w:spacing w:after="0" w:line="276" w:lineRule="auto"/>
        <w:ind w:firstLine="720"/>
        <w:jc w:val="both"/>
      </w:pPr>
      <w:r>
        <w:t>Savukārt a</w:t>
      </w:r>
      <w:r w:rsidR="000F1337">
        <w:t>ttiecībā uz pierādīšana</w:t>
      </w:r>
      <w:r>
        <w:t>s</w:t>
      </w:r>
      <w:r w:rsidR="000F1337">
        <w:t xml:space="preserve"> nastu Eiropas Savienības Tiesa arī uzsver, ka </w:t>
      </w:r>
      <w:r w:rsidR="000F1337" w:rsidRPr="00996267">
        <w:t xml:space="preserve">nodokļu maksātājam, kurš lūdz atskaitīt </w:t>
      </w:r>
      <w:r w:rsidR="000F1337">
        <w:t>pievienotās vērtības nodokli,</w:t>
      </w:r>
      <w:r w:rsidR="000F1337" w:rsidRPr="00996267">
        <w:t xml:space="preserve"> ir jāpierāda, ka tas atbilst šo tiesību izmantošanas prasībām. Tādējādi nodokļu iestādes var pieprasīt pašam nodokļu maksātājam sniegt pierādījumus, kurus tās uzskata par nepieciešamiem, lai izvērtētu, vai ir pamats tam piešķirt pieprasīto atskaitījumu</w:t>
      </w:r>
      <w:r w:rsidR="000F1337">
        <w:t xml:space="preserve"> (</w:t>
      </w:r>
      <w:r w:rsidR="000F1337" w:rsidRPr="001545AE">
        <w:rPr>
          <w:i/>
        </w:rPr>
        <w:t>minētā sprieduma 43.–46.punkts</w:t>
      </w:r>
      <w:r w:rsidR="000F1337">
        <w:t>).</w:t>
      </w:r>
    </w:p>
    <w:p w14:paraId="1618D30B" w14:textId="77777777" w:rsidR="000F1337" w:rsidRPr="00F10B1C" w:rsidRDefault="000F1337" w:rsidP="000F1337">
      <w:pPr>
        <w:spacing w:after="0" w:line="276" w:lineRule="auto"/>
        <w:ind w:firstLine="720"/>
        <w:jc w:val="both"/>
        <w:rPr>
          <w:sz w:val="16"/>
        </w:rPr>
      </w:pPr>
    </w:p>
    <w:p w14:paraId="516509FD" w14:textId="119BC2F6" w:rsidR="000F1337" w:rsidRDefault="000F1337" w:rsidP="000F1337">
      <w:pPr>
        <w:spacing w:after="0" w:line="276" w:lineRule="auto"/>
        <w:ind w:firstLine="720"/>
        <w:jc w:val="both"/>
      </w:pPr>
      <w:r>
        <w:t>[</w:t>
      </w:r>
      <w:r w:rsidR="00062BD7">
        <w:t>19</w:t>
      </w:r>
      <w:r>
        <w:t xml:space="preserve">] Ievērojot minēto, kā arī to, ka pieteicēja norādīja uz objektīvām grūtībām maksātnespējas procesa dēļ piekļūt visai dokumentācijai un ka pieteicējai nedrīkst bez pienācīga pamatojuma liegt tiesības sevi aizstāvēt, ja tāda iespēja pastāv, apgabaltiesa nepamatoti atzinusi par nepieļaujamu sniegto pakalpojumu saturu pierādīt ar citiem pieejamiem pierādīšanas līdzekļiem. </w:t>
      </w:r>
    </w:p>
    <w:p w14:paraId="2C3D0335" w14:textId="77777777" w:rsidR="000F1337" w:rsidRDefault="000F1337" w:rsidP="000F1337">
      <w:pPr>
        <w:spacing w:after="0" w:line="276" w:lineRule="auto"/>
        <w:ind w:firstLine="720"/>
        <w:jc w:val="both"/>
      </w:pPr>
      <w:r>
        <w:t xml:space="preserve">Apgabaltiesa arī norādījusi, ka pieteicēja un SIA „CEG </w:t>
      </w:r>
      <w:proofErr w:type="spellStart"/>
      <w:r>
        <w:t>Latvia</w:t>
      </w:r>
      <w:proofErr w:type="spellEnd"/>
      <w:r>
        <w:t>” varētu būt veikušas saskaņotas darbības, noformējot faktiskiem darījumiem neatbilstošus rēķinus un tādējādi ar priekšnodokļa atskaitīšanu centušās iegūt kādas fiskālas priekšrocības. Taču šis apgalvojums ir palicis pieļāvuma formā – nav skaidrs, vai tiesa to uzskatījusi par nodibinātu faktu un vai tam ir bijusi nozīme lietas izskatīšanā. Ja tas tā ir, tad katrā ziņā šādam secinājumam nepietiek tikai ar to faktu, ka pastāv abu sabiedrību saistība caur vienu personu.</w:t>
      </w:r>
    </w:p>
    <w:p w14:paraId="081B8FB8" w14:textId="77777777" w:rsidR="000F1337" w:rsidRPr="00F10B1C" w:rsidRDefault="000F1337" w:rsidP="000F1337">
      <w:pPr>
        <w:spacing w:after="0" w:line="276" w:lineRule="auto"/>
        <w:ind w:firstLine="720"/>
        <w:jc w:val="both"/>
        <w:rPr>
          <w:rFonts w:eastAsia="Times New Roman" w:cs="Times New Roman"/>
          <w:sz w:val="18"/>
          <w:szCs w:val="24"/>
          <w:lang w:eastAsia="lv-LV"/>
        </w:rPr>
      </w:pPr>
    </w:p>
    <w:p w14:paraId="25B95CC9" w14:textId="5791A80F" w:rsidR="00A23F46" w:rsidRPr="00F4019F" w:rsidRDefault="000379B5" w:rsidP="00DD4818">
      <w:pPr>
        <w:spacing w:after="0" w:line="276" w:lineRule="auto"/>
        <w:jc w:val="center"/>
        <w:rPr>
          <w:rFonts w:eastAsia="Times New Roman" w:cs="Times New Roman"/>
          <w:b/>
          <w:szCs w:val="24"/>
          <w:lang w:eastAsia="lv-LV"/>
        </w:rPr>
      </w:pPr>
      <w:r>
        <w:rPr>
          <w:rFonts w:eastAsia="Times New Roman" w:cs="Times New Roman"/>
          <w:b/>
          <w:szCs w:val="24"/>
          <w:lang w:eastAsia="lv-LV"/>
        </w:rPr>
        <w:t>IV</w:t>
      </w:r>
    </w:p>
    <w:p w14:paraId="53295BB7" w14:textId="77777777" w:rsidR="00A23F46" w:rsidRPr="00AA6108" w:rsidRDefault="00A23F46" w:rsidP="00EE2605">
      <w:pPr>
        <w:spacing w:after="0" w:line="276" w:lineRule="auto"/>
        <w:ind w:firstLine="720"/>
        <w:jc w:val="both"/>
        <w:rPr>
          <w:rFonts w:eastAsia="Times New Roman" w:cs="Times New Roman"/>
          <w:sz w:val="18"/>
          <w:szCs w:val="24"/>
          <w:lang w:eastAsia="lv-LV"/>
        </w:rPr>
      </w:pPr>
    </w:p>
    <w:p w14:paraId="543E9FC0" w14:textId="13166F3C" w:rsidR="00C76BEE" w:rsidRDefault="0095623E" w:rsidP="0095623E">
      <w:pPr>
        <w:spacing w:after="0" w:line="276" w:lineRule="auto"/>
        <w:ind w:firstLine="720"/>
        <w:jc w:val="both"/>
        <w:rPr>
          <w:rFonts w:eastAsia="Times New Roman" w:cs="Times New Roman"/>
          <w:szCs w:val="24"/>
          <w:lang w:eastAsia="lv-LV"/>
        </w:rPr>
      </w:pPr>
      <w:r w:rsidRPr="00C76BEE">
        <w:rPr>
          <w:rFonts w:eastAsia="Times New Roman" w:cs="Times New Roman"/>
          <w:szCs w:val="24"/>
          <w:lang w:eastAsia="lv-LV"/>
        </w:rPr>
        <w:t>[</w:t>
      </w:r>
      <w:r w:rsidR="00062BD7">
        <w:rPr>
          <w:rFonts w:eastAsia="Times New Roman" w:cs="Times New Roman"/>
          <w:szCs w:val="24"/>
          <w:lang w:eastAsia="lv-LV"/>
        </w:rPr>
        <w:t>20</w:t>
      </w:r>
      <w:r w:rsidRPr="00C76BEE">
        <w:rPr>
          <w:rFonts w:eastAsia="Times New Roman" w:cs="Times New Roman"/>
          <w:szCs w:val="24"/>
          <w:lang w:eastAsia="lv-LV"/>
        </w:rPr>
        <w:t xml:space="preserve">] </w:t>
      </w:r>
      <w:r w:rsidR="00C76BEE" w:rsidRPr="00C76BEE">
        <w:rPr>
          <w:rFonts w:eastAsia="Times New Roman" w:cs="Times New Roman"/>
          <w:szCs w:val="24"/>
          <w:lang w:eastAsia="lv-LV"/>
        </w:rPr>
        <w:t xml:space="preserve">Pieteicēja kasācijas sūdzībā norāda, ka sakarā ar </w:t>
      </w:r>
      <w:r w:rsidR="00D468D7">
        <w:rPr>
          <w:rFonts w:eastAsia="Times New Roman" w:cs="Times New Roman"/>
          <w:szCs w:val="24"/>
          <w:lang w:eastAsia="lv-LV"/>
        </w:rPr>
        <w:t>tās</w:t>
      </w:r>
      <w:r w:rsidR="00C76BEE" w:rsidRPr="00C76BEE">
        <w:rPr>
          <w:rFonts w:eastAsia="Times New Roman" w:cs="Times New Roman"/>
          <w:szCs w:val="24"/>
          <w:lang w:eastAsia="lv-LV"/>
        </w:rPr>
        <w:t xml:space="preserve"> maksātnespējas </w:t>
      </w:r>
      <w:r w:rsidR="00C76BEE" w:rsidRPr="009605F5">
        <w:rPr>
          <w:rFonts w:eastAsia="Times New Roman" w:cs="Times New Roman"/>
          <w:szCs w:val="24"/>
          <w:lang w:eastAsia="lv-LV"/>
        </w:rPr>
        <w:t xml:space="preserve">procesa pasludināšanu Valsts ieņēmumu dienesta aprēķinātā soda nauda bija iekļaujama kreditoru prasījumos, kuru dienests likumā noteiktajā termiņā nav pieteicis, tādējādi ir zaudējis prasījuma tiesības pret pieteicēju par soda naudas piedziņu. </w:t>
      </w:r>
    </w:p>
    <w:p w14:paraId="68EACCAE" w14:textId="77777777" w:rsidR="00EF3919" w:rsidRPr="00F10B1C" w:rsidRDefault="00EF3919" w:rsidP="0095623E">
      <w:pPr>
        <w:spacing w:after="0" w:line="276" w:lineRule="auto"/>
        <w:ind w:firstLine="720"/>
        <w:jc w:val="both"/>
        <w:rPr>
          <w:rFonts w:eastAsia="Times New Roman" w:cs="Times New Roman"/>
          <w:sz w:val="12"/>
          <w:szCs w:val="24"/>
          <w:lang w:eastAsia="lv-LV"/>
        </w:rPr>
      </w:pPr>
    </w:p>
    <w:p w14:paraId="6E4DEE63" w14:textId="0E9E38C6" w:rsidR="00EF3919" w:rsidRDefault="00EF3919" w:rsidP="0095623E">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062BD7">
        <w:rPr>
          <w:rFonts w:eastAsia="Times New Roman" w:cs="Times New Roman"/>
          <w:szCs w:val="24"/>
          <w:lang w:eastAsia="lv-LV"/>
        </w:rPr>
        <w:t>21</w:t>
      </w:r>
      <w:r>
        <w:rPr>
          <w:rFonts w:eastAsia="Times New Roman" w:cs="Times New Roman"/>
          <w:szCs w:val="24"/>
          <w:lang w:eastAsia="lv-LV"/>
        </w:rPr>
        <w:t xml:space="preserve">] Valsts ieņēmumu dienests auditu veica, pārbaudot nodokļu pārmaksas pamatotību. </w:t>
      </w:r>
      <w:r w:rsidR="00C63267">
        <w:rPr>
          <w:rFonts w:eastAsia="Times New Roman" w:cs="Times New Roman"/>
          <w:szCs w:val="24"/>
          <w:lang w:eastAsia="lv-LV"/>
        </w:rPr>
        <w:t xml:space="preserve">Tiesības veikt nodokļu pārmaksas pamatotības pārbaudi, arī auditu, ir vispārīgas </w:t>
      </w:r>
      <w:r>
        <w:rPr>
          <w:rFonts w:eastAsia="Times New Roman" w:cs="Times New Roman"/>
          <w:szCs w:val="24"/>
          <w:lang w:eastAsia="lv-LV"/>
        </w:rPr>
        <w:t xml:space="preserve">Valsts ieņēmumu dienesta tiesības atbilstoši likuma „Par nodokļiem </w:t>
      </w:r>
      <w:r w:rsidRPr="00C63267">
        <w:rPr>
          <w:rFonts w:eastAsia="Times New Roman" w:cs="Times New Roman"/>
          <w:szCs w:val="24"/>
          <w:lang w:eastAsia="lv-LV"/>
        </w:rPr>
        <w:t xml:space="preserve">un nodevām” </w:t>
      </w:r>
      <w:proofErr w:type="gramStart"/>
      <w:r w:rsidR="00092423" w:rsidRPr="00C63267">
        <w:rPr>
          <w:rFonts w:eastAsia="Times New Roman" w:cs="Times New Roman"/>
          <w:szCs w:val="24"/>
          <w:lang w:eastAsia="lv-LV"/>
        </w:rPr>
        <w:t>28.</w:t>
      </w:r>
      <w:r w:rsidR="00092423">
        <w:rPr>
          <w:rFonts w:eastAsia="Times New Roman" w:cs="Times New Roman"/>
          <w:szCs w:val="24"/>
          <w:lang w:eastAsia="lv-LV"/>
        </w:rPr>
        <w:t>panta</w:t>
      </w:r>
      <w:proofErr w:type="gramEnd"/>
      <w:r w:rsidR="00092423">
        <w:rPr>
          <w:rFonts w:eastAsia="Times New Roman" w:cs="Times New Roman"/>
          <w:szCs w:val="24"/>
          <w:lang w:eastAsia="lv-LV"/>
        </w:rPr>
        <w:t xml:space="preserve"> otrajai</w:t>
      </w:r>
      <w:r w:rsidR="00C63267">
        <w:rPr>
          <w:rFonts w:eastAsia="Times New Roman" w:cs="Times New Roman"/>
          <w:szCs w:val="24"/>
          <w:lang w:eastAsia="lv-LV"/>
        </w:rPr>
        <w:t>, piektajai un sestajai</w:t>
      </w:r>
      <w:r w:rsidR="00092423">
        <w:rPr>
          <w:rFonts w:eastAsia="Times New Roman" w:cs="Times New Roman"/>
          <w:szCs w:val="24"/>
          <w:lang w:eastAsia="lv-LV"/>
        </w:rPr>
        <w:t xml:space="preserve"> daļai</w:t>
      </w:r>
      <w:r w:rsidR="00C63267">
        <w:rPr>
          <w:rFonts w:eastAsia="Times New Roman" w:cs="Times New Roman"/>
          <w:szCs w:val="24"/>
          <w:lang w:eastAsia="lv-LV"/>
        </w:rPr>
        <w:t xml:space="preserve"> (</w:t>
      </w:r>
      <w:r w:rsidR="00C63267" w:rsidRPr="00C63267">
        <w:rPr>
          <w:rFonts w:eastAsia="Times New Roman" w:cs="Times New Roman"/>
          <w:i/>
          <w:szCs w:val="24"/>
          <w:lang w:eastAsia="lv-LV"/>
        </w:rPr>
        <w:t>Augstākās tiesas 2009.gada 18.jūnija spriedum</w:t>
      </w:r>
      <w:r w:rsidR="00C63267">
        <w:rPr>
          <w:rFonts w:eastAsia="Times New Roman" w:cs="Times New Roman"/>
          <w:i/>
          <w:szCs w:val="24"/>
          <w:lang w:eastAsia="lv-LV"/>
        </w:rPr>
        <w:t>a</w:t>
      </w:r>
      <w:r w:rsidR="00C63267" w:rsidRPr="00C63267">
        <w:rPr>
          <w:rFonts w:eastAsia="Times New Roman" w:cs="Times New Roman"/>
          <w:i/>
          <w:szCs w:val="24"/>
          <w:lang w:eastAsia="lv-LV"/>
        </w:rPr>
        <w:t xml:space="preserve"> lietā Nr. SKA</w:t>
      </w:r>
      <w:r w:rsidR="00C63267" w:rsidRPr="00C63267">
        <w:rPr>
          <w:rFonts w:eastAsia="Times New Roman" w:cs="Times New Roman"/>
          <w:i/>
          <w:szCs w:val="24"/>
          <w:lang w:eastAsia="lv-LV"/>
        </w:rPr>
        <w:noBreakHyphen/>
        <w:t>257/2009 (A42337306) 8.punkts</w:t>
      </w:r>
      <w:r w:rsidR="00C63267">
        <w:rPr>
          <w:rFonts w:eastAsia="Times New Roman" w:cs="Times New Roman"/>
          <w:szCs w:val="24"/>
          <w:lang w:eastAsia="lv-LV"/>
        </w:rPr>
        <w:t>)</w:t>
      </w:r>
      <w:r w:rsidR="00092423">
        <w:rPr>
          <w:rFonts w:eastAsia="Times New Roman" w:cs="Times New Roman"/>
          <w:szCs w:val="24"/>
          <w:lang w:eastAsia="lv-LV"/>
        </w:rPr>
        <w:t>.</w:t>
      </w:r>
      <w:r w:rsidR="00F55854">
        <w:rPr>
          <w:rFonts w:eastAsia="Times New Roman" w:cs="Times New Roman"/>
          <w:szCs w:val="24"/>
          <w:lang w:eastAsia="lv-LV"/>
        </w:rPr>
        <w:t xml:space="preserve"> </w:t>
      </w:r>
    </w:p>
    <w:p w14:paraId="1CA89603" w14:textId="58C151C3" w:rsidR="00F55854" w:rsidRDefault="00EF3919" w:rsidP="00F55854">
      <w:pPr>
        <w:spacing w:after="0" w:line="276" w:lineRule="auto"/>
        <w:ind w:firstLine="720"/>
        <w:jc w:val="both"/>
        <w:rPr>
          <w:rFonts w:eastAsia="Times New Roman" w:cs="Times New Roman"/>
          <w:szCs w:val="24"/>
          <w:lang w:eastAsia="lv-LV"/>
        </w:rPr>
      </w:pPr>
      <w:r>
        <w:rPr>
          <w:rFonts w:eastAsia="Times New Roman" w:cs="Times New Roman"/>
          <w:szCs w:val="24"/>
          <w:lang w:eastAsia="lv-LV"/>
        </w:rPr>
        <w:t>Minētās tiesības nezūd arī tad, ja tiek pasludināt</w:t>
      </w:r>
      <w:r w:rsidR="00F55854">
        <w:rPr>
          <w:rFonts w:eastAsia="Times New Roman" w:cs="Times New Roman"/>
          <w:szCs w:val="24"/>
          <w:lang w:eastAsia="lv-LV"/>
        </w:rPr>
        <w:t>s</w:t>
      </w:r>
      <w:r>
        <w:rPr>
          <w:rFonts w:eastAsia="Times New Roman" w:cs="Times New Roman"/>
          <w:szCs w:val="24"/>
          <w:lang w:eastAsia="lv-LV"/>
        </w:rPr>
        <w:t xml:space="preserve"> nodokļu maksātāja maksātnespēja</w:t>
      </w:r>
      <w:r w:rsidR="00F55854">
        <w:rPr>
          <w:rFonts w:eastAsia="Times New Roman" w:cs="Times New Roman"/>
          <w:szCs w:val="24"/>
          <w:lang w:eastAsia="lv-LV"/>
        </w:rPr>
        <w:t xml:space="preserve">s process. Proti, Valsts ieņēmumu dienestam ir tiesības pārbaudīt, cik pamatota ir nodokļu maksātājam </w:t>
      </w:r>
      <w:r w:rsidR="00C63267">
        <w:rPr>
          <w:rFonts w:eastAsia="Times New Roman" w:cs="Times New Roman"/>
          <w:szCs w:val="24"/>
          <w:lang w:eastAsia="lv-LV"/>
        </w:rPr>
        <w:t>izveidojusies nodokļu pārmaksa.</w:t>
      </w:r>
    </w:p>
    <w:p w14:paraId="0B6A89CC" w14:textId="40D56855" w:rsidR="00C63267" w:rsidRDefault="00C63267" w:rsidP="00F55854">
      <w:pPr>
        <w:spacing w:after="0" w:line="276" w:lineRule="auto"/>
        <w:ind w:firstLine="720"/>
        <w:jc w:val="both"/>
        <w:rPr>
          <w:rFonts w:eastAsia="Times New Roman" w:cs="Times New Roman"/>
          <w:szCs w:val="24"/>
          <w:lang w:eastAsia="lv-LV"/>
        </w:rPr>
      </w:pPr>
      <w:r>
        <w:rPr>
          <w:rFonts w:eastAsia="Times New Roman" w:cs="Times New Roman"/>
          <w:szCs w:val="24"/>
          <w:lang w:eastAsia="lv-LV"/>
        </w:rPr>
        <w:t>Tāpat Valsts ieņēmumu dienestam ir vispārīgas tiesības pārbaudīt nodokļu samaksas pareizību un aprēķināt nodokļu parādu</w:t>
      </w:r>
      <w:r w:rsidR="007219B1">
        <w:rPr>
          <w:rFonts w:eastAsia="Times New Roman" w:cs="Times New Roman"/>
          <w:szCs w:val="24"/>
          <w:lang w:eastAsia="lv-LV"/>
        </w:rPr>
        <w:t xml:space="preserve"> (likuma „Par nodokļiem un nodevām” </w:t>
      </w:r>
      <w:proofErr w:type="gramStart"/>
      <w:r w:rsidR="007219B1">
        <w:rPr>
          <w:rFonts w:eastAsia="Times New Roman" w:cs="Times New Roman"/>
          <w:szCs w:val="24"/>
          <w:lang w:eastAsia="lv-LV"/>
        </w:rPr>
        <w:t>23.pants</w:t>
      </w:r>
      <w:proofErr w:type="gramEnd"/>
      <w:r w:rsidR="007219B1">
        <w:rPr>
          <w:rFonts w:eastAsia="Times New Roman" w:cs="Times New Roman"/>
          <w:szCs w:val="24"/>
          <w:lang w:eastAsia="lv-LV"/>
        </w:rPr>
        <w:t>)</w:t>
      </w:r>
      <w:r>
        <w:rPr>
          <w:rFonts w:eastAsia="Times New Roman" w:cs="Times New Roman"/>
          <w:szCs w:val="24"/>
          <w:lang w:eastAsia="lv-LV"/>
        </w:rPr>
        <w:t>. Arī šīs tiesības nezūd tikai tādēļ, ka ir pasludināts maksātnespējas process.</w:t>
      </w:r>
    </w:p>
    <w:p w14:paraId="1A4AC0AB" w14:textId="7CDCD078" w:rsidR="00F55854" w:rsidRDefault="00F55854" w:rsidP="00F55854">
      <w:pPr>
        <w:spacing w:after="0" w:line="276" w:lineRule="auto"/>
        <w:ind w:firstLine="720"/>
        <w:jc w:val="both"/>
        <w:rPr>
          <w:rFonts w:eastAsia="Times New Roman" w:cs="Times New Roman"/>
          <w:szCs w:val="24"/>
          <w:lang w:eastAsia="lv-LV"/>
        </w:rPr>
      </w:pPr>
      <w:r>
        <w:rPr>
          <w:rFonts w:eastAsia="Times New Roman" w:cs="Times New Roman"/>
          <w:szCs w:val="24"/>
          <w:lang w:eastAsia="lv-LV"/>
        </w:rPr>
        <w:t>Likums</w:t>
      </w:r>
      <w:r w:rsidR="00235C92">
        <w:rPr>
          <w:rFonts w:eastAsia="Times New Roman" w:cs="Times New Roman"/>
          <w:szCs w:val="24"/>
          <w:lang w:eastAsia="lv-LV"/>
        </w:rPr>
        <w:t>,</w:t>
      </w:r>
      <w:r>
        <w:rPr>
          <w:rFonts w:eastAsia="Times New Roman" w:cs="Times New Roman"/>
          <w:szCs w:val="24"/>
          <w:lang w:eastAsia="lv-LV"/>
        </w:rPr>
        <w:t xml:space="preserve"> turklāt neparedz ierobežojumu Valsts ieņēmumu dienestam </w:t>
      </w:r>
      <w:r w:rsidR="0091086A">
        <w:rPr>
          <w:rFonts w:eastAsia="Times New Roman" w:cs="Times New Roman"/>
          <w:szCs w:val="24"/>
          <w:lang w:eastAsia="lv-LV"/>
        </w:rPr>
        <w:t>par</w:t>
      </w:r>
      <w:r>
        <w:rPr>
          <w:rFonts w:eastAsia="Times New Roman" w:cs="Times New Roman"/>
          <w:szCs w:val="24"/>
          <w:lang w:eastAsia="lv-LV"/>
        </w:rPr>
        <w:t xml:space="preserve"> </w:t>
      </w:r>
      <w:r w:rsidR="007219B1">
        <w:rPr>
          <w:rFonts w:eastAsia="Times New Roman" w:cs="Times New Roman"/>
          <w:szCs w:val="24"/>
          <w:lang w:eastAsia="lv-LV"/>
        </w:rPr>
        <w:t xml:space="preserve">konkrētu </w:t>
      </w:r>
      <w:r>
        <w:rPr>
          <w:rFonts w:eastAsia="Times New Roman" w:cs="Times New Roman"/>
          <w:szCs w:val="24"/>
          <w:lang w:eastAsia="lv-LV"/>
        </w:rPr>
        <w:t>nodokļu pārkāpum</w:t>
      </w:r>
      <w:r w:rsidR="0091086A">
        <w:rPr>
          <w:rFonts w:eastAsia="Times New Roman" w:cs="Times New Roman"/>
          <w:szCs w:val="24"/>
          <w:lang w:eastAsia="lv-LV"/>
        </w:rPr>
        <w:t>u</w:t>
      </w:r>
      <w:r>
        <w:rPr>
          <w:rFonts w:eastAsia="Times New Roman" w:cs="Times New Roman"/>
          <w:szCs w:val="24"/>
          <w:lang w:eastAsia="lv-LV"/>
        </w:rPr>
        <w:t xml:space="preserve"> aprēķināt </w:t>
      </w:r>
      <w:r w:rsidR="007219B1">
        <w:rPr>
          <w:rFonts w:eastAsia="Times New Roman" w:cs="Times New Roman"/>
          <w:szCs w:val="24"/>
          <w:lang w:eastAsia="lv-LV"/>
        </w:rPr>
        <w:t xml:space="preserve">tiesību normās paredzētās </w:t>
      </w:r>
      <w:r>
        <w:rPr>
          <w:rFonts w:eastAsia="Times New Roman" w:cs="Times New Roman"/>
          <w:szCs w:val="24"/>
          <w:lang w:eastAsia="lv-LV"/>
        </w:rPr>
        <w:t>soda naud</w:t>
      </w:r>
      <w:r w:rsidR="007219B1">
        <w:rPr>
          <w:rFonts w:eastAsia="Times New Roman" w:cs="Times New Roman"/>
          <w:szCs w:val="24"/>
          <w:lang w:eastAsia="lv-LV"/>
        </w:rPr>
        <w:t>as</w:t>
      </w:r>
      <w:r>
        <w:rPr>
          <w:rFonts w:eastAsia="Times New Roman" w:cs="Times New Roman"/>
          <w:szCs w:val="24"/>
          <w:lang w:eastAsia="lv-LV"/>
        </w:rPr>
        <w:t>, ja pārkāpums noticis</w:t>
      </w:r>
      <w:r w:rsidR="007219B1">
        <w:rPr>
          <w:rFonts w:eastAsia="Times New Roman" w:cs="Times New Roman"/>
          <w:szCs w:val="24"/>
          <w:lang w:eastAsia="lv-LV"/>
        </w:rPr>
        <w:t xml:space="preserve"> </w:t>
      </w:r>
      <w:r w:rsidR="007219B1">
        <w:rPr>
          <w:rFonts w:eastAsia="Times New Roman" w:cs="Times New Roman"/>
          <w:szCs w:val="24"/>
          <w:lang w:eastAsia="lv-LV"/>
        </w:rPr>
        <w:lastRenderedPageBreak/>
        <w:t>pirms maksātnespējas procesa pasludināšanas</w:t>
      </w:r>
      <w:r>
        <w:rPr>
          <w:rFonts w:eastAsia="Times New Roman" w:cs="Times New Roman"/>
          <w:szCs w:val="24"/>
          <w:lang w:eastAsia="lv-LV"/>
        </w:rPr>
        <w:t>. Līdz ar to apgabaltiesas secinājums, ka soda naudas aprēķins ir pamatots, ir pareizs.</w:t>
      </w:r>
    </w:p>
    <w:p w14:paraId="153D2A81" w14:textId="77777777" w:rsidR="00F55854" w:rsidRPr="00F10B1C" w:rsidRDefault="00F55854" w:rsidP="00F55854">
      <w:pPr>
        <w:spacing w:after="0" w:line="276" w:lineRule="auto"/>
        <w:ind w:firstLine="720"/>
        <w:jc w:val="both"/>
        <w:rPr>
          <w:rFonts w:eastAsia="Times New Roman" w:cs="Times New Roman"/>
          <w:sz w:val="16"/>
          <w:szCs w:val="24"/>
          <w:lang w:eastAsia="lv-LV"/>
        </w:rPr>
      </w:pPr>
    </w:p>
    <w:p w14:paraId="1E4E02E4" w14:textId="1CA32F2B" w:rsidR="007219B1" w:rsidRDefault="00F55854" w:rsidP="00F55854">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062BD7">
        <w:rPr>
          <w:rFonts w:eastAsia="Times New Roman" w:cs="Times New Roman"/>
          <w:szCs w:val="24"/>
          <w:lang w:eastAsia="lv-LV"/>
        </w:rPr>
        <w:t>22</w:t>
      </w:r>
      <w:r>
        <w:rPr>
          <w:rFonts w:eastAsia="Times New Roman" w:cs="Times New Roman"/>
          <w:szCs w:val="24"/>
          <w:lang w:eastAsia="lv-LV"/>
        </w:rPr>
        <w:t xml:space="preserve">] </w:t>
      </w:r>
      <w:r w:rsidR="00D0644F">
        <w:rPr>
          <w:rFonts w:eastAsia="Times New Roman" w:cs="Times New Roman"/>
          <w:szCs w:val="24"/>
          <w:lang w:eastAsia="lv-LV"/>
        </w:rPr>
        <w:t>P</w:t>
      </w:r>
      <w:r>
        <w:rPr>
          <w:rFonts w:eastAsia="Times New Roman" w:cs="Times New Roman"/>
          <w:szCs w:val="24"/>
          <w:lang w:eastAsia="lv-LV"/>
        </w:rPr>
        <w:t xml:space="preserve">ieteicēja </w:t>
      </w:r>
      <w:r w:rsidR="00D0644F">
        <w:rPr>
          <w:rFonts w:eastAsia="Times New Roman" w:cs="Times New Roman"/>
          <w:szCs w:val="24"/>
          <w:lang w:eastAsia="lv-LV"/>
        </w:rPr>
        <w:t xml:space="preserve">tomēr </w:t>
      </w:r>
      <w:r>
        <w:rPr>
          <w:rFonts w:eastAsia="Times New Roman" w:cs="Times New Roman"/>
          <w:szCs w:val="24"/>
          <w:lang w:eastAsia="lv-LV"/>
        </w:rPr>
        <w:t xml:space="preserve">pamatoti norāda, ka pēc maksātnespējas procesa pasludināšanas Valsts ieņēmumu dienests savas iespējamās prasījuma tiesības pret nodokļu maksātāju </w:t>
      </w:r>
      <w:r w:rsidR="007219B1">
        <w:rPr>
          <w:rFonts w:eastAsia="Times New Roman" w:cs="Times New Roman"/>
          <w:szCs w:val="24"/>
          <w:lang w:eastAsia="lv-LV"/>
        </w:rPr>
        <w:t xml:space="preserve">par nodokļu parāda samaksu </w:t>
      </w:r>
      <w:r>
        <w:rPr>
          <w:rFonts w:eastAsia="Times New Roman" w:cs="Times New Roman"/>
          <w:szCs w:val="24"/>
          <w:lang w:eastAsia="lv-LV"/>
        </w:rPr>
        <w:t>var īsteno</w:t>
      </w:r>
      <w:r w:rsidR="007219B1">
        <w:rPr>
          <w:rFonts w:eastAsia="Times New Roman" w:cs="Times New Roman"/>
          <w:szCs w:val="24"/>
          <w:lang w:eastAsia="lv-LV"/>
        </w:rPr>
        <w:t>t tikai maksātnespējas procesā. Tas nevar vienpusēji pārvirzīt pārmaksu konstatēto nodokļu parāda segšanai, kā arī piedzīt nodokļu parādus (arī soda naudu) ārpus maksātnespējas procesā paredzētās kārtības (</w:t>
      </w:r>
      <w:r w:rsidR="007219B1" w:rsidRPr="00C63267">
        <w:rPr>
          <w:rFonts w:eastAsia="Times New Roman" w:cs="Times New Roman"/>
          <w:i/>
          <w:szCs w:val="24"/>
          <w:lang w:eastAsia="lv-LV"/>
        </w:rPr>
        <w:t xml:space="preserve">Augstākās tiesas </w:t>
      </w:r>
      <w:proofErr w:type="gramStart"/>
      <w:r w:rsidR="007219B1" w:rsidRPr="00C63267">
        <w:rPr>
          <w:rFonts w:eastAsia="Times New Roman" w:cs="Times New Roman"/>
          <w:i/>
          <w:szCs w:val="24"/>
          <w:lang w:eastAsia="lv-LV"/>
        </w:rPr>
        <w:t>2009.gada</w:t>
      </w:r>
      <w:proofErr w:type="gramEnd"/>
      <w:r w:rsidR="007219B1" w:rsidRPr="00C63267">
        <w:rPr>
          <w:rFonts w:eastAsia="Times New Roman" w:cs="Times New Roman"/>
          <w:i/>
          <w:szCs w:val="24"/>
          <w:lang w:eastAsia="lv-LV"/>
        </w:rPr>
        <w:t xml:space="preserve"> 18.jūnija spriedum</w:t>
      </w:r>
      <w:r w:rsidR="007219B1">
        <w:rPr>
          <w:rFonts w:eastAsia="Times New Roman" w:cs="Times New Roman"/>
          <w:i/>
          <w:szCs w:val="24"/>
          <w:lang w:eastAsia="lv-LV"/>
        </w:rPr>
        <w:t>a</w:t>
      </w:r>
      <w:r w:rsidR="007219B1" w:rsidRPr="00C63267">
        <w:rPr>
          <w:rFonts w:eastAsia="Times New Roman" w:cs="Times New Roman"/>
          <w:i/>
          <w:szCs w:val="24"/>
          <w:lang w:eastAsia="lv-LV"/>
        </w:rPr>
        <w:t xml:space="preserve"> lietā Nr. SKA</w:t>
      </w:r>
      <w:r w:rsidR="007219B1" w:rsidRPr="00C63267">
        <w:rPr>
          <w:rFonts w:eastAsia="Times New Roman" w:cs="Times New Roman"/>
          <w:i/>
          <w:szCs w:val="24"/>
          <w:lang w:eastAsia="lv-LV"/>
        </w:rPr>
        <w:noBreakHyphen/>
        <w:t xml:space="preserve">257/2009 (A42337306) </w:t>
      </w:r>
      <w:r w:rsidR="007219B1">
        <w:rPr>
          <w:rFonts w:eastAsia="Times New Roman" w:cs="Times New Roman"/>
          <w:i/>
          <w:szCs w:val="24"/>
          <w:lang w:eastAsia="lv-LV"/>
        </w:rPr>
        <w:t>9.–10</w:t>
      </w:r>
      <w:r w:rsidR="007219B1" w:rsidRPr="00C63267">
        <w:rPr>
          <w:rFonts w:eastAsia="Times New Roman" w:cs="Times New Roman"/>
          <w:i/>
          <w:szCs w:val="24"/>
          <w:lang w:eastAsia="lv-LV"/>
        </w:rPr>
        <w:t>.punkts</w:t>
      </w:r>
      <w:r w:rsidR="007219B1" w:rsidRPr="007219B1">
        <w:rPr>
          <w:rFonts w:eastAsia="Times New Roman" w:cs="Times New Roman"/>
          <w:szCs w:val="24"/>
          <w:lang w:eastAsia="lv-LV"/>
        </w:rPr>
        <w:t>).</w:t>
      </w:r>
    </w:p>
    <w:p w14:paraId="1D63B5A6" w14:textId="4E71A550" w:rsidR="00EF3919" w:rsidRDefault="007219B1" w:rsidP="00F55854">
      <w:pPr>
        <w:spacing w:after="0" w:line="276" w:lineRule="auto"/>
        <w:ind w:firstLine="720"/>
        <w:jc w:val="both"/>
      </w:pPr>
      <w:r>
        <w:rPr>
          <w:rFonts w:eastAsia="Times New Roman" w:cs="Times New Roman"/>
          <w:szCs w:val="24"/>
          <w:lang w:eastAsia="lv-LV"/>
        </w:rPr>
        <w:t xml:space="preserve">Taču pārbaude par to, kā Valsts ieņēmumu dienests īsteno savas kā kreditora tiesības maksātnespējas procesa laikā, nav administratīvās tiesas kompetencē. </w:t>
      </w:r>
      <w:r w:rsidR="005746A8" w:rsidRPr="009605F5">
        <w:t>Tas ir pakļauts vispārējās jurisdikcijas tiesai atbilstoši Civilprocesa likuma u</w:t>
      </w:r>
      <w:r w:rsidR="00D0644F">
        <w:t xml:space="preserve">n Maksātnespējas likuma normām </w:t>
      </w:r>
      <w:r w:rsidR="005746A8" w:rsidRPr="009605F5">
        <w:t>(</w:t>
      </w:r>
      <w:r w:rsidR="009605F5" w:rsidRPr="009605F5">
        <w:rPr>
          <w:i/>
        </w:rPr>
        <w:t xml:space="preserve">Augstākās tiesas </w:t>
      </w:r>
      <w:proofErr w:type="gramStart"/>
      <w:r w:rsidR="009605F5" w:rsidRPr="009605F5">
        <w:rPr>
          <w:i/>
        </w:rPr>
        <w:t>2014.gada</w:t>
      </w:r>
      <w:proofErr w:type="gramEnd"/>
      <w:r w:rsidR="009605F5" w:rsidRPr="009605F5">
        <w:rPr>
          <w:i/>
        </w:rPr>
        <w:t xml:space="preserve"> 10.oktobra sprieduma lietā Nr. </w:t>
      </w:r>
      <w:r w:rsidR="005746A8" w:rsidRPr="009605F5">
        <w:rPr>
          <w:i/>
        </w:rPr>
        <w:t>SKA-95/2014</w:t>
      </w:r>
      <w:r w:rsidR="009605F5" w:rsidRPr="009605F5">
        <w:rPr>
          <w:i/>
        </w:rPr>
        <w:t xml:space="preserve"> (</w:t>
      </w:r>
      <w:bookmarkStart w:id="1" w:name="_Hlk506906528"/>
      <w:r w:rsidR="009605F5" w:rsidRPr="009605F5">
        <w:rPr>
          <w:i/>
        </w:rPr>
        <w:t>A421008109</w:t>
      </w:r>
      <w:bookmarkEnd w:id="1"/>
      <w:r w:rsidR="009605F5" w:rsidRPr="009605F5">
        <w:rPr>
          <w:i/>
        </w:rPr>
        <w:t>)</w:t>
      </w:r>
      <w:r w:rsidR="005746A8" w:rsidRPr="009605F5">
        <w:rPr>
          <w:i/>
        </w:rPr>
        <w:t xml:space="preserve"> </w:t>
      </w:r>
      <w:r w:rsidR="009605F5" w:rsidRPr="009605F5">
        <w:rPr>
          <w:i/>
        </w:rPr>
        <w:t>9.punkts</w:t>
      </w:r>
      <w:r w:rsidR="005746A8" w:rsidRPr="009605F5">
        <w:t>)</w:t>
      </w:r>
      <w:r w:rsidR="009605F5" w:rsidRPr="009605F5">
        <w:t>.</w:t>
      </w:r>
    </w:p>
    <w:p w14:paraId="56FD209E" w14:textId="77777777" w:rsidR="00F55854" w:rsidRPr="00F10B1C" w:rsidRDefault="00F55854" w:rsidP="00F55854">
      <w:pPr>
        <w:spacing w:after="0" w:line="276" w:lineRule="auto"/>
        <w:ind w:firstLine="720"/>
        <w:jc w:val="both"/>
        <w:rPr>
          <w:sz w:val="16"/>
        </w:rPr>
      </w:pPr>
    </w:p>
    <w:p w14:paraId="35F6C826" w14:textId="042AC0AB" w:rsidR="00035504" w:rsidRDefault="00F55854" w:rsidP="0091086A">
      <w:pPr>
        <w:spacing w:after="0" w:line="276" w:lineRule="auto"/>
        <w:ind w:firstLine="720"/>
        <w:jc w:val="both"/>
      </w:pPr>
      <w:r>
        <w:t>[</w:t>
      </w:r>
      <w:r w:rsidR="00062BD7">
        <w:t>23</w:t>
      </w:r>
      <w:r>
        <w:t xml:space="preserve">] </w:t>
      </w:r>
      <w:r w:rsidR="00035504">
        <w:t>Vienlaikus nevar neņemt vērā, ka Valsts</w:t>
      </w:r>
      <w:r w:rsidR="003B15F1">
        <w:t xml:space="preserve"> ieņ</w:t>
      </w:r>
      <w:r w:rsidR="0091086A">
        <w:t>ēmumu dienests ir noteicis, ka aprēķinātais maksājums jāiemaksā valsts budžetā 30 dienu laikā pēc audita pārskata un lēmuma par nodokļu audita rezultātiem saņem</w:t>
      </w:r>
      <w:r w:rsidR="00BD450E">
        <w:t xml:space="preserve">šanas. </w:t>
      </w:r>
    </w:p>
    <w:p w14:paraId="7AA941C9" w14:textId="6DDB541B" w:rsidR="00355F22" w:rsidRDefault="00BD450E" w:rsidP="0095623E">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Tātad Valsts ieņēmumu dienests ne tikai </w:t>
      </w:r>
      <w:r w:rsidR="00D0644F">
        <w:rPr>
          <w:rFonts w:eastAsia="Times New Roman" w:cs="Times New Roman"/>
          <w:szCs w:val="24"/>
          <w:lang w:eastAsia="lv-LV"/>
        </w:rPr>
        <w:t>pārbaudījis</w:t>
      </w:r>
      <w:r>
        <w:rPr>
          <w:rFonts w:eastAsia="Times New Roman" w:cs="Times New Roman"/>
          <w:szCs w:val="24"/>
          <w:lang w:eastAsia="lv-LV"/>
        </w:rPr>
        <w:t xml:space="preserve"> nodokļu pārmaksas pamatotību</w:t>
      </w:r>
      <w:r w:rsidR="00D0644F">
        <w:rPr>
          <w:rFonts w:eastAsia="Times New Roman" w:cs="Times New Roman"/>
          <w:szCs w:val="24"/>
          <w:lang w:eastAsia="lv-LV"/>
        </w:rPr>
        <w:t xml:space="preserve"> un nodokļu parādu esību</w:t>
      </w:r>
      <w:r>
        <w:rPr>
          <w:rFonts w:eastAsia="Times New Roman" w:cs="Times New Roman"/>
          <w:szCs w:val="24"/>
          <w:lang w:eastAsia="lv-LV"/>
        </w:rPr>
        <w:t>, bet arī uzlicis nepārprotamu pienākumu noteiktā laikā iemaksāt valsts budžetā</w:t>
      </w:r>
      <w:r w:rsidR="00D0644F">
        <w:rPr>
          <w:rFonts w:eastAsia="Times New Roman" w:cs="Times New Roman"/>
          <w:szCs w:val="24"/>
          <w:lang w:eastAsia="lv-LV"/>
        </w:rPr>
        <w:t xml:space="preserve"> aprēķināto nodokļu parādu</w:t>
      </w:r>
      <w:r>
        <w:rPr>
          <w:rFonts w:eastAsia="Times New Roman" w:cs="Times New Roman"/>
          <w:szCs w:val="24"/>
          <w:lang w:eastAsia="lv-LV"/>
        </w:rPr>
        <w:t>.</w:t>
      </w:r>
    </w:p>
    <w:p w14:paraId="212ECB00" w14:textId="2D061A13" w:rsidR="00BD450E" w:rsidRDefault="00BD450E" w:rsidP="0095623E">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Augstākā tiesa jau iepriekš norādījusi, ka likuma „Par nodokļiem un nodevām” </w:t>
      </w:r>
      <w:proofErr w:type="gramStart"/>
      <w:r>
        <w:rPr>
          <w:rFonts w:eastAsia="Times New Roman" w:cs="Times New Roman"/>
          <w:szCs w:val="24"/>
          <w:lang w:eastAsia="lv-LV"/>
        </w:rPr>
        <w:t>32.panta</w:t>
      </w:r>
      <w:proofErr w:type="gramEnd"/>
      <w:r>
        <w:rPr>
          <w:rFonts w:eastAsia="Times New Roman" w:cs="Times New Roman"/>
          <w:szCs w:val="24"/>
          <w:lang w:eastAsia="lv-LV"/>
        </w:rPr>
        <w:t xml:space="preserve"> astoto daļu, kas paredz pienākumu noteiktā termiņā iemaksāt budžetā aprēķināto nodokļu parādu, nevar piemērot gadījumā, kad ir pasludināts nodokļu maksātāja maksātnespējas process</w:t>
      </w:r>
      <w:r w:rsidR="00D0644F">
        <w:rPr>
          <w:rFonts w:eastAsia="Times New Roman" w:cs="Times New Roman"/>
          <w:szCs w:val="24"/>
          <w:lang w:eastAsia="lv-LV"/>
        </w:rPr>
        <w:t xml:space="preserve"> (</w:t>
      </w:r>
      <w:r w:rsidR="00D0644F" w:rsidRPr="00D0644F">
        <w:rPr>
          <w:rFonts w:eastAsia="Times New Roman" w:cs="Times New Roman"/>
          <w:i/>
          <w:szCs w:val="24"/>
          <w:lang w:eastAsia="lv-LV"/>
        </w:rPr>
        <w:t>Augstākās tiesas 2016.gada 7.jūnija sprieduma lietā Nr. SKA-580/2016 (</w:t>
      </w:r>
      <w:bookmarkStart w:id="2" w:name="_Hlk506906620"/>
      <w:r w:rsidR="00D0644F" w:rsidRPr="00D0644F">
        <w:rPr>
          <w:rFonts w:eastAsia="Times New Roman" w:cs="Times New Roman"/>
          <w:i/>
          <w:szCs w:val="24"/>
          <w:lang w:eastAsia="lv-LV"/>
        </w:rPr>
        <w:t>A420508813</w:t>
      </w:r>
      <w:bookmarkEnd w:id="2"/>
      <w:r w:rsidR="00D0644F" w:rsidRPr="00D0644F">
        <w:rPr>
          <w:rFonts w:eastAsia="Times New Roman" w:cs="Times New Roman"/>
          <w:i/>
          <w:szCs w:val="24"/>
          <w:lang w:eastAsia="lv-LV"/>
        </w:rPr>
        <w:t>) 10.punkts</w:t>
      </w:r>
      <w:r w:rsidR="00D0644F">
        <w:rPr>
          <w:rFonts w:eastAsia="Times New Roman" w:cs="Times New Roman"/>
          <w:szCs w:val="24"/>
          <w:lang w:eastAsia="lv-LV"/>
        </w:rPr>
        <w:t>)</w:t>
      </w:r>
      <w:r>
        <w:rPr>
          <w:rFonts w:eastAsia="Times New Roman" w:cs="Times New Roman"/>
          <w:szCs w:val="24"/>
          <w:lang w:eastAsia="lv-LV"/>
        </w:rPr>
        <w:t xml:space="preserve">. </w:t>
      </w:r>
      <w:r w:rsidR="00D0644F">
        <w:rPr>
          <w:rFonts w:eastAsia="Times New Roman" w:cs="Times New Roman"/>
          <w:szCs w:val="24"/>
          <w:lang w:eastAsia="lv-LV"/>
        </w:rPr>
        <w:t>I</w:t>
      </w:r>
      <w:r>
        <w:rPr>
          <w:rFonts w:eastAsia="Times New Roman" w:cs="Times New Roman"/>
          <w:szCs w:val="24"/>
          <w:lang w:eastAsia="lv-LV"/>
        </w:rPr>
        <w:t xml:space="preserve">r piemērojamas </w:t>
      </w:r>
      <w:r w:rsidR="00D0644F">
        <w:rPr>
          <w:rFonts w:eastAsia="Times New Roman" w:cs="Times New Roman"/>
          <w:szCs w:val="24"/>
          <w:lang w:eastAsia="lv-LV"/>
        </w:rPr>
        <w:t xml:space="preserve">speciālās normas, kuras regulē kreditoru prasījumu pieteikšanas un apmierināšanas kārtību. Tostarp ir piemērojama </w:t>
      </w:r>
      <w:r>
        <w:rPr>
          <w:rFonts w:eastAsia="Times New Roman" w:cs="Times New Roman"/>
          <w:szCs w:val="24"/>
          <w:lang w:eastAsia="lv-LV"/>
        </w:rPr>
        <w:t xml:space="preserve">Maksātnespējas likuma 73.panta pirmajā un otrajā daļā noteiktā kārtība kreditoru prasījumu pieteikšanai (ar 2014.gada 25.septembra grozījumiem likumā iekļauta 73.panta vienpadsmitā daļa, kurā īpaši noteikts, ka šo vispārīgo kārtību attiecina </w:t>
      </w:r>
      <w:r w:rsidR="002D61BA">
        <w:rPr>
          <w:rFonts w:eastAsia="Times New Roman" w:cs="Times New Roman"/>
          <w:szCs w:val="24"/>
          <w:lang w:eastAsia="lv-LV"/>
        </w:rPr>
        <w:t xml:space="preserve">arī </w:t>
      </w:r>
      <w:r>
        <w:rPr>
          <w:rFonts w:eastAsia="Times New Roman" w:cs="Times New Roman"/>
          <w:szCs w:val="24"/>
          <w:lang w:eastAsia="lv-LV"/>
        </w:rPr>
        <w:t>uz Valsts ieņēmumu dienestu).</w:t>
      </w:r>
      <w:r w:rsidR="00996267">
        <w:rPr>
          <w:rFonts w:eastAsia="Times New Roman" w:cs="Times New Roman"/>
          <w:szCs w:val="24"/>
          <w:lang w:eastAsia="lv-LV"/>
        </w:rPr>
        <w:t xml:space="preserve"> </w:t>
      </w:r>
    </w:p>
    <w:p w14:paraId="48E71EF4" w14:textId="4E417C4D" w:rsidR="002D61BA" w:rsidRDefault="002D61BA" w:rsidP="0095623E">
      <w:pPr>
        <w:spacing w:after="0" w:line="276" w:lineRule="auto"/>
        <w:ind w:firstLine="720"/>
        <w:jc w:val="both"/>
        <w:rPr>
          <w:rFonts w:eastAsia="Times New Roman" w:cs="Times New Roman"/>
          <w:szCs w:val="24"/>
          <w:lang w:eastAsia="lv-LV"/>
        </w:rPr>
      </w:pPr>
      <w:r>
        <w:rPr>
          <w:rFonts w:eastAsia="Times New Roman" w:cs="Times New Roman"/>
          <w:szCs w:val="24"/>
          <w:lang w:eastAsia="lv-LV"/>
        </w:rPr>
        <w:t>Ievērojot minēto, apgabaltiesa</w:t>
      </w:r>
      <w:r w:rsidR="00D0644F">
        <w:rPr>
          <w:rFonts w:eastAsia="Times New Roman" w:cs="Times New Roman"/>
          <w:szCs w:val="24"/>
          <w:lang w:eastAsia="lv-LV"/>
        </w:rPr>
        <w:t>, lai arī pamatoti pārbaudījusi pārmaksas pamatotību un nodokļu parāda aprēķinu pēc būtības,</w:t>
      </w:r>
      <w:r>
        <w:rPr>
          <w:rFonts w:eastAsia="Times New Roman" w:cs="Times New Roman"/>
          <w:szCs w:val="24"/>
          <w:lang w:eastAsia="lv-LV"/>
        </w:rPr>
        <w:t xml:space="preserve"> nepamatoti nav novērtējusi, vai lēmumā ietvertais pienākums aprēķināto nodokļu parādu noteiktā laikā iemaksāt budžetā ir tiesisks.</w:t>
      </w:r>
    </w:p>
    <w:p w14:paraId="0B25721C" w14:textId="77777777" w:rsidR="00972B7D" w:rsidRPr="00AA6108" w:rsidRDefault="00972B7D" w:rsidP="00972B7D">
      <w:pPr>
        <w:spacing w:after="0" w:line="276" w:lineRule="auto"/>
        <w:jc w:val="center"/>
        <w:rPr>
          <w:rFonts w:cs="Times New Roman"/>
          <w:b/>
          <w:szCs w:val="24"/>
        </w:rPr>
      </w:pPr>
    </w:p>
    <w:p w14:paraId="2BD58F0A" w14:textId="77777777" w:rsidR="0097373C" w:rsidRPr="00AA6108" w:rsidRDefault="0097373C" w:rsidP="0097373C">
      <w:pPr>
        <w:spacing w:after="0" w:line="276" w:lineRule="auto"/>
        <w:jc w:val="center"/>
        <w:rPr>
          <w:rFonts w:cs="Times New Roman"/>
          <w:b/>
          <w:szCs w:val="24"/>
        </w:rPr>
      </w:pPr>
      <w:r w:rsidRPr="00AA6108">
        <w:rPr>
          <w:rFonts w:cs="Times New Roman"/>
          <w:b/>
          <w:szCs w:val="24"/>
        </w:rPr>
        <w:t>Rezolutīvā daļa</w:t>
      </w:r>
    </w:p>
    <w:p w14:paraId="3ADD3146" w14:textId="77777777" w:rsidR="0097373C" w:rsidRPr="00AA6108" w:rsidRDefault="0097373C" w:rsidP="0097373C">
      <w:pPr>
        <w:spacing w:after="0" w:line="276" w:lineRule="auto"/>
        <w:jc w:val="both"/>
        <w:rPr>
          <w:rFonts w:cs="Times New Roman"/>
          <w:szCs w:val="24"/>
        </w:rPr>
      </w:pPr>
    </w:p>
    <w:p w14:paraId="52B81E93" w14:textId="77777777" w:rsidR="0097373C" w:rsidRPr="00AA6108" w:rsidRDefault="0097373C" w:rsidP="0097373C">
      <w:pPr>
        <w:spacing w:after="0" w:line="276" w:lineRule="auto"/>
        <w:ind w:firstLine="709"/>
        <w:jc w:val="both"/>
        <w:rPr>
          <w:rFonts w:cs="Times New Roman"/>
          <w:bCs/>
          <w:szCs w:val="24"/>
        </w:rPr>
      </w:pPr>
      <w:r w:rsidRPr="00AA6108">
        <w:rPr>
          <w:rFonts w:cs="Times New Roman"/>
          <w:szCs w:val="24"/>
        </w:rPr>
        <w:t>Pamatojoties uz Administratīvā procesa likuma 129.</w:t>
      </w:r>
      <w:r w:rsidRPr="00AA6108">
        <w:rPr>
          <w:rFonts w:cs="Times New Roman"/>
          <w:szCs w:val="24"/>
          <w:vertAlign w:val="superscript"/>
        </w:rPr>
        <w:t>1</w:t>
      </w:r>
      <w:r w:rsidRPr="00AA6108">
        <w:rPr>
          <w:rFonts w:cs="Times New Roman"/>
          <w:szCs w:val="24"/>
        </w:rPr>
        <w:t>panta pirmās daļas 1.punktu, 348.panta pirmās daļas 2.punktu un 351.pantu, Augstākā tiesa</w:t>
      </w:r>
    </w:p>
    <w:p w14:paraId="7C79C690" w14:textId="77777777" w:rsidR="0097373C" w:rsidRPr="00AA6108" w:rsidRDefault="0097373C" w:rsidP="0097373C">
      <w:pPr>
        <w:spacing w:after="0" w:line="276" w:lineRule="auto"/>
        <w:jc w:val="both"/>
        <w:rPr>
          <w:rFonts w:cs="Times New Roman"/>
          <w:szCs w:val="24"/>
        </w:rPr>
      </w:pPr>
    </w:p>
    <w:p w14:paraId="66C3885B" w14:textId="77777777" w:rsidR="0097373C" w:rsidRPr="00AA6108" w:rsidRDefault="0097373C" w:rsidP="0097373C">
      <w:pPr>
        <w:spacing w:after="0" w:line="276" w:lineRule="auto"/>
        <w:jc w:val="center"/>
        <w:rPr>
          <w:rFonts w:cs="Times New Roman"/>
          <w:b/>
          <w:szCs w:val="24"/>
        </w:rPr>
      </w:pPr>
      <w:r w:rsidRPr="00AA6108">
        <w:rPr>
          <w:rFonts w:cs="Times New Roman"/>
          <w:b/>
          <w:szCs w:val="24"/>
        </w:rPr>
        <w:t>nosprieda:</w:t>
      </w:r>
    </w:p>
    <w:p w14:paraId="7653099C" w14:textId="77777777" w:rsidR="0097373C" w:rsidRPr="00AA6108" w:rsidRDefault="0097373C" w:rsidP="0097373C">
      <w:pPr>
        <w:spacing w:after="0" w:line="276" w:lineRule="auto"/>
        <w:jc w:val="both"/>
        <w:rPr>
          <w:rFonts w:cs="Times New Roman"/>
          <w:szCs w:val="24"/>
        </w:rPr>
      </w:pPr>
    </w:p>
    <w:p w14:paraId="6AA49DDB" w14:textId="59D27958" w:rsidR="0097373C" w:rsidRPr="00AA6108" w:rsidRDefault="0097373C" w:rsidP="0097373C">
      <w:pPr>
        <w:spacing w:after="0" w:line="276" w:lineRule="auto"/>
        <w:ind w:firstLine="720"/>
        <w:jc w:val="both"/>
        <w:rPr>
          <w:rFonts w:cs="Times New Roman"/>
          <w:szCs w:val="24"/>
        </w:rPr>
      </w:pPr>
      <w:r w:rsidRPr="00AA6108">
        <w:rPr>
          <w:rFonts w:cs="Times New Roman"/>
          <w:szCs w:val="24"/>
        </w:rPr>
        <w:t xml:space="preserve">atcelt Administratīvās apgabaltiesas </w:t>
      </w:r>
      <w:proofErr w:type="gramStart"/>
      <w:r w:rsidRPr="00AA6108">
        <w:rPr>
          <w:rFonts w:cs="Times New Roman"/>
          <w:szCs w:val="24"/>
        </w:rPr>
        <w:t>2016.gada</w:t>
      </w:r>
      <w:proofErr w:type="gramEnd"/>
      <w:r w:rsidRPr="00AA6108">
        <w:rPr>
          <w:rFonts w:cs="Times New Roman"/>
          <w:szCs w:val="24"/>
        </w:rPr>
        <w:t xml:space="preserve"> 1</w:t>
      </w:r>
      <w:r w:rsidR="006C11C5" w:rsidRPr="00AA6108">
        <w:rPr>
          <w:rFonts w:cs="Times New Roman"/>
          <w:szCs w:val="24"/>
        </w:rPr>
        <w:t>2</w:t>
      </w:r>
      <w:r w:rsidRPr="00AA6108">
        <w:rPr>
          <w:rFonts w:cs="Times New Roman"/>
          <w:szCs w:val="24"/>
        </w:rPr>
        <w:t>.februāra spriedumu</w:t>
      </w:r>
      <w:r w:rsidR="00703CEA" w:rsidRPr="00AA6108">
        <w:rPr>
          <w:rFonts w:cs="Times New Roman"/>
          <w:szCs w:val="24"/>
        </w:rPr>
        <w:t xml:space="preserve"> daļā, </w:t>
      </w:r>
      <w:r w:rsidR="00062BD7">
        <w:rPr>
          <w:rFonts w:cs="Times New Roman"/>
          <w:szCs w:val="24"/>
        </w:rPr>
        <w:t>ar kuru noraidīts pieteikum</w:t>
      </w:r>
      <w:r w:rsidR="007337E3">
        <w:rPr>
          <w:rFonts w:cs="Times New Roman"/>
          <w:szCs w:val="24"/>
        </w:rPr>
        <w:t>s</w:t>
      </w:r>
      <w:r w:rsidR="00062BD7">
        <w:rPr>
          <w:rFonts w:cs="Times New Roman"/>
          <w:szCs w:val="24"/>
        </w:rPr>
        <w:t xml:space="preserve"> daļā par Valsts ieņēmumu dienesta 2012.gada 27.jūnija lēmuma Nr. 22.4.8/5/529 atcelšanu daļā, </w:t>
      </w:r>
      <w:r w:rsidR="00703CEA" w:rsidRPr="00AA6108">
        <w:rPr>
          <w:rFonts w:cs="Times New Roman"/>
          <w:szCs w:val="24"/>
        </w:rPr>
        <w:t xml:space="preserve">kas attiecas uz </w:t>
      </w:r>
      <w:r w:rsidR="008C66FB" w:rsidRPr="00AA6108">
        <w:rPr>
          <w:rFonts w:cs="Times New Roman"/>
          <w:szCs w:val="24"/>
        </w:rPr>
        <w:t>darījumu ar zvērinātu advokātu V.</w:t>
      </w:r>
      <w:r w:rsidR="003742CC" w:rsidRPr="00AA6108">
        <w:rPr>
          <w:rFonts w:cs="Times New Roman"/>
          <w:szCs w:val="24"/>
        </w:rPr>
        <w:t> </w:t>
      </w:r>
      <w:r w:rsidR="008C66FB" w:rsidRPr="00AA6108">
        <w:rPr>
          <w:rFonts w:cs="Times New Roman"/>
          <w:szCs w:val="24"/>
        </w:rPr>
        <w:t>Skrastiņu (rēķins Nr.</w:t>
      </w:r>
      <w:r w:rsidR="003742CC" w:rsidRPr="00AA6108">
        <w:rPr>
          <w:rFonts w:cs="Times New Roman"/>
          <w:szCs w:val="24"/>
        </w:rPr>
        <w:t> </w:t>
      </w:r>
      <w:r w:rsidR="008C66FB" w:rsidRPr="00AA6108">
        <w:rPr>
          <w:rFonts w:cs="Times New Roman"/>
          <w:szCs w:val="24"/>
        </w:rPr>
        <w:t>19/11)</w:t>
      </w:r>
      <w:r w:rsidR="000F1337">
        <w:rPr>
          <w:rFonts w:cs="Times New Roman"/>
          <w:szCs w:val="24"/>
        </w:rPr>
        <w:t xml:space="preserve"> un darījumu ar </w:t>
      </w:r>
      <w:r w:rsidR="000379B5">
        <w:rPr>
          <w:rFonts w:cs="Times New Roman"/>
          <w:szCs w:val="24"/>
        </w:rPr>
        <w:t xml:space="preserve">SIA „CEG </w:t>
      </w:r>
      <w:proofErr w:type="spellStart"/>
      <w:r w:rsidR="000379B5">
        <w:rPr>
          <w:rFonts w:cs="Times New Roman"/>
          <w:szCs w:val="24"/>
        </w:rPr>
        <w:t>Latvia</w:t>
      </w:r>
      <w:proofErr w:type="spellEnd"/>
      <w:r w:rsidR="000379B5">
        <w:rPr>
          <w:rFonts w:cs="Times New Roman"/>
          <w:szCs w:val="24"/>
        </w:rPr>
        <w:t>”</w:t>
      </w:r>
      <w:r w:rsidR="00842747" w:rsidRPr="00AA6108">
        <w:rPr>
          <w:rFonts w:cs="Times New Roman"/>
          <w:szCs w:val="24"/>
        </w:rPr>
        <w:t xml:space="preserve">, un </w:t>
      </w:r>
      <w:r w:rsidRPr="00AA6108">
        <w:rPr>
          <w:rFonts w:cs="Times New Roman"/>
          <w:szCs w:val="24"/>
        </w:rPr>
        <w:t>nosūtīt lietu Administratīvajai apgabaltiesai jaunai izskatīšanai</w:t>
      </w:r>
      <w:r w:rsidR="00842747" w:rsidRPr="00AA6108">
        <w:rPr>
          <w:rFonts w:cs="Times New Roman"/>
          <w:szCs w:val="24"/>
        </w:rPr>
        <w:t xml:space="preserve"> šajā daļā</w:t>
      </w:r>
      <w:r w:rsidRPr="00AA6108">
        <w:rPr>
          <w:rFonts w:cs="Times New Roman"/>
          <w:szCs w:val="24"/>
        </w:rPr>
        <w:t>;</w:t>
      </w:r>
    </w:p>
    <w:p w14:paraId="50E7312C" w14:textId="2941AC6E" w:rsidR="00842747" w:rsidRPr="00AA6108" w:rsidRDefault="00842747" w:rsidP="0097373C">
      <w:pPr>
        <w:spacing w:after="0" w:line="276" w:lineRule="auto"/>
        <w:ind w:firstLine="720"/>
        <w:jc w:val="both"/>
        <w:rPr>
          <w:rFonts w:cs="Times New Roman"/>
          <w:szCs w:val="24"/>
        </w:rPr>
      </w:pPr>
      <w:r w:rsidRPr="00AA6108">
        <w:rPr>
          <w:rFonts w:cs="Times New Roman"/>
          <w:szCs w:val="24"/>
        </w:rPr>
        <w:lastRenderedPageBreak/>
        <w:t>noraidīt Valsts ieņēmumu dienesta kasācijas sūdzību;</w:t>
      </w:r>
    </w:p>
    <w:p w14:paraId="4848C1E2" w14:textId="453419FA" w:rsidR="0097373C" w:rsidRPr="00AA6108" w:rsidRDefault="0097373C" w:rsidP="0097373C">
      <w:pPr>
        <w:spacing w:after="0" w:line="276" w:lineRule="auto"/>
        <w:ind w:firstLine="720"/>
        <w:jc w:val="both"/>
        <w:rPr>
          <w:rFonts w:cs="Times New Roman"/>
          <w:szCs w:val="24"/>
        </w:rPr>
      </w:pPr>
      <w:r w:rsidRPr="00AA6108">
        <w:rPr>
          <w:rFonts w:cs="Times New Roman"/>
          <w:szCs w:val="24"/>
        </w:rPr>
        <w:t xml:space="preserve">atmaksāt </w:t>
      </w:r>
      <w:r w:rsidR="00842747" w:rsidRPr="00AA6108">
        <w:rPr>
          <w:rFonts w:cs="Times New Roman"/>
          <w:szCs w:val="24"/>
        </w:rPr>
        <w:t>SIA „Peltes īpašumi”</w:t>
      </w:r>
      <w:r w:rsidRPr="00AA6108">
        <w:rPr>
          <w:rFonts w:cs="Times New Roman"/>
          <w:szCs w:val="24"/>
        </w:rPr>
        <w:t xml:space="preserve"> drošības naudu 71,14 </w:t>
      </w:r>
      <w:proofErr w:type="spellStart"/>
      <w:r w:rsidRPr="00AA6108">
        <w:rPr>
          <w:rFonts w:cs="Times New Roman"/>
          <w:i/>
          <w:szCs w:val="24"/>
        </w:rPr>
        <w:t>euro</w:t>
      </w:r>
      <w:proofErr w:type="spellEnd"/>
      <w:r w:rsidRPr="00AA6108">
        <w:rPr>
          <w:rFonts w:cs="Times New Roman"/>
          <w:szCs w:val="24"/>
        </w:rPr>
        <w:t xml:space="preserve">. </w:t>
      </w:r>
    </w:p>
    <w:p w14:paraId="2A42E773" w14:textId="77777777" w:rsidR="0097373C" w:rsidRPr="00AA6108" w:rsidRDefault="0097373C" w:rsidP="0097373C">
      <w:pPr>
        <w:spacing w:after="0" w:line="276" w:lineRule="auto"/>
        <w:ind w:firstLine="709"/>
        <w:jc w:val="both"/>
        <w:rPr>
          <w:rFonts w:cs="Times New Roman"/>
          <w:szCs w:val="24"/>
        </w:rPr>
      </w:pPr>
      <w:r w:rsidRPr="00AA6108">
        <w:rPr>
          <w:rFonts w:cs="Times New Roman"/>
          <w:szCs w:val="24"/>
        </w:rPr>
        <w:t>Spriedums nav pārsūdzams.</w:t>
      </w:r>
    </w:p>
    <w:p w14:paraId="2BEA436D" w14:textId="7A7D2B6C" w:rsidR="00BA58B4" w:rsidRPr="007A357C" w:rsidRDefault="00BA58B4" w:rsidP="00BA58B4">
      <w:pPr>
        <w:tabs>
          <w:tab w:val="left" w:pos="3402"/>
          <w:tab w:val="left" w:pos="4680"/>
          <w:tab w:val="left" w:pos="7200"/>
          <w:tab w:val="left" w:pos="7560"/>
        </w:tabs>
        <w:spacing w:after="0" w:line="276" w:lineRule="auto"/>
        <w:ind w:right="-143"/>
        <w:rPr>
          <w:rFonts w:cs="Times New Roman"/>
          <w:szCs w:val="24"/>
        </w:rPr>
      </w:pPr>
    </w:p>
    <w:sectPr w:rsidR="00BA58B4" w:rsidRPr="007A357C" w:rsidSect="00EF6E0D">
      <w:footerReference w:type="default" r:id="rId8"/>
      <w:pgSz w:w="11906" w:h="16838"/>
      <w:pgMar w:top="1134" w:right="1134" w:bottom="1134" w:left="1701"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59CDC" w14:textId="77777777" w:rsidR="00325665" w:rsidRDefault="00325665" w:rsidP="00E26D08">
      <w:pPr>
        <w:spacing w:after="0" w:line="240" w:lineRule="auto"/>
      </w:pPr>
      <w:r>
        <w:separator/>
      </w:r>
    </w:p>
  </w:endnote>
  <w:endnote w:type="continuationSeparator" w:id="0">
    <w:p w14:paraId="5D7CDF39" w14:textId="77777777" w:rsidR="00325665" w:rsidRDefault="00325665" w:rsidP="00E2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A017E" w14:textId="56253544" w:rsidR="00EA0B69" w:rsidRDefault="00EA0B69" w:rsidP="00E26D08">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302576">
      <w:rPr>
        <w:rStyle w:val="PageNumber"/>
        <w:noProof/>
      </w:rPr>
      <w:t>15</w:t>
    </w:r>
    <w:r w:rsidRPr="00391D55">
      <w:rPr>
        <w:rStyle w:val="PageNumber"/>
      </w:rPr>
      <w:fldChar w:fldCharType="end"/>
    </w:r>
    <w:r>
      <w:rPr>
        <w:rStyle w:val="PageNumber"/>
      </w:rPr>
      <w:t xml:space="preserve"> </w:t>
    </w:r>
    <w:r w:rsidRPr="00391D55">
      <w:rPr>
        <w:rStyle w:val="PageNumber"/>
      </w:rPr>
      <w:t xml:space="preserve">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302576">
      <w:rPr>
        <w:rStyle w:val="PageNumber"/>
        <w:noProof/>
      </w:rPr>
      <w:t>15</w:t>
    </w:r>
    <w:r w:rsidRPr="00391D5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87116" w14:textId="77777777" w:rsidR="00325665" w:rsidRDefault="00325665" w:rsidP="00E26D08">
      <w:pPr>
        <w:spacing w:after="0" w:line="240" w:lineRule="auto"/>
      </w:pPr>
      <w:r>
        <w:separator/>
      </w:r>
    </w:p>
  </w:footnote>
  <w:footnote w:type="continuationSeparator" w:id="0">
    <w:p w14:paraId="173ABE97" w14:textId="77777777" w:rsidR="00325665" w:rsidRDefault="00325665" w:rsidP="00E26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E08"/>
    <w:multiLevelType w:val="multilevel"/>
    <w:tmpl w:val="05865CA8"/>
    <w:lvl w:ilvl="0">
      <w:start w:val="1"/>
      <w:numFmt w:val="decimal"/>
      <w:lvlText w:val="§%1"/>
      <w:lvlJc w:val="left"/>
      <w:pPr>
        <w:tabs>
          <w:tab w:val="num" w:pos="567"/>
        </w:tabs>
        <w:ind w:left="1134" w:hanging="850"/>
      </w:pPr>
      <w:rPr>
        <w:rFonts w:cs="Times New Roman" w:hint="default"/>
      </w:rPr>
    </w:lvl>
    <w:lvl w:ilvl="1">
      <w:start w:val="1"/>
      <w:numFmt w:val="upperRoman"/>
      <w:lvlText w:val="%2."/>
      <w:lvlJc w:val="left"/>
      <w:pPr>
        <w:tabs>
          <w:tab w:val="num" w:pos="567"/>
        </w:tabs>
        <w:ind w:left="1134" w:hanging="850"/>
      </w:pPr>
      <w:rPr>
        <w:rFonts w:cs="Times New Roman" w:hint="default"/>
      </w:rPr>
    </w:lvl>
    <w:lvl w:ilvl="2">
      <w:start w:val="1"/>
      <w:numFmt w:val="decimal"/>
      <w:lvlText w:val="%3."/>
      <w:lvlJc w:val="left"/>
      <w:pPr>
        <w:tabs>
          <w:tab w:val="num" w:pos="567"/>
        </w:tabs>
        <w:ind w:left="1134" w:hanging="850"/>
      </w:pPr>
      <w:rPr>
        <w:rFonts w:cs="Times New Roman" w:hint="default"/>
      </w:rPr>
    </w:lvl>
    <w:lvl w:ilvl="3">
      <w:start w:val="1"/>
      <w:numFmt w:val="decimal"/>
      <w:lvlText w:val="%3.%4."/>
      <w:lvlJc w:val="left"/>
      <w:pPr>
        <w:tabs>
          <w:tab w:val="num" w:pos="567"/>
        </w:tabs>
        <w:ind w:left="1134" w:hanging="850"/>
      </w:pPr>
      <w:rPr>
        <w:rFonts w:cs="Times New Roman" w:hint="default"/>
      </w:rPr>
    </w:lvl>
    <w:lvl w:ilvl="4">
      <w:start w:val="1"/>
      <w:numFmt w:val="lowerLetter"/>
      <w:lvlText w:val="%5)"/>
      <w:lvlJc w:val="left"/>
      <w:pPr>
        <w:tabs>
          <w:tab w:val="num" w:pos="567"/>
        </w:tabs>
        <w:ind w:left="1134" w:hanging="850"/>
      </w:pPr>
      <w:rPr>
        <w:rFonts w:cs="Times New Roman" w:hint="default"/>
      </w:rPr>
    </w:lvl>
    <w:lvl w:ilvl="5">
      <w:start w:val="17"/>
      <w:numFmt w:val="decimal"/>
      <w:lvlRestart w:val="0"/>
      <w:lvlText w:val="%6"/>
      <w:lvlJc w:val="left"/>
      <w:pPr>
        <w:tabs>
          <w:tab w:val="num" w:pos="567"/>
        </w:tabs>
        <w:ind w:left="1134" w:hanging="85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6">
      <w:start w:val="1"/>
      <w:numFmt w:val="decimal"/>
      <w:lvlText w:val="%7."/>
      <w:lvlJc w:val="left"/>
      <w:pPr>
        <w:tabs>
          <w:tab w:val="num" w:pos="567"/>
        </w:tabs>
        <w:ind w:left="1134" w:hanging="850"/>
      </w:pPr>
      <w:rPr>
        <w:rFonts w:cs="Times New Roman" w:hint="default"/>
      </w:rPr>
    </w:lvl>
    <w:lvl w:ilvl="7">
      <w:start w:val="1"/>
      <w:numFmt w:val="lowerLetter"/>
      <w:lvlText w:val="%8."/>
      <w:lvlJc w:val="left"/>
      <w:pPr>
        <w:tabs>
          <w:tab w:val="num" w:pos="567"/>
        </w:tabs>
        <w:ind w:left="1134" w:hanging="850"/>
      </w:pPr>
      <w:rPr>
        <w:rFonts w:cs="Times New Roman" w:hint="default"/>
      </w:rPr>
    </w:lvl>
    <w:lvl w:ilvl="8">
      <w:start w:val="1"/>
      <w:numFmt w:val="lowerRoman"/>
      <w:lvlText w:val="%9."/>
      <w:lvlJc w:val="left"/>
      <w:pPr>
        <w:tabs>
          <w:tab w:val="num" w:pos="567"/>
        </w:tabs>
        <w:ind w:left="1134" w:hanging="850"/>
      </w:pPr>
      <w:rPr>
        <w:rFonts w:cs="Times New Roman" w:hint="default"/>
      </w:rPr>
    </w:lvl>
  </w:abstractNum>
  <w:abstractNum w:abstractNumId="1" w15:restartNumberingAfterBreak="0">
    <w:nsid w:val="177E7887"/>
    <w:multiLevelType w:val="hybridMultilevel"/>
    <w:tmpl w:val="0B74BE1C"/>
    <w:lvl w:ilvl="0" w:tplc="19C02A4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0D9625D"/>
    <w:multiLevelType w:val="hybridMultilevel"/>
    <w:tmpl w:val="77266552"/>
    <w:lvl w:ilvl="0" w:tplc="08D64D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1247991"/>
    <w:multiLevelType w:val="singleLevel"/>
    <w:tmpl w:val="FD766582"/>
    <w:lvl w:ilvl="0">
      <w:start w:val="1"/>
      <w:numFmt w:val="decimal"/>
      <w:lvlText w:val="%1."/>
      <w:legacy w:legacy="1" w:legacySpace="0" w:legacyIndent="356"/>
      <w:lvlJc w:val="left"/>
      <w:rPr>
        <w:rFonts w:ascii="Times New Roman" w:hAnsi="Times New Roman" w:cs="Times New Roman" w:hint="default"/>
      </w:rPr>
    </w:lvl>
  </w:abstractNum>
  <w:abstractNum w:abstractNumId="5" w15:restartNumberingAfterBreak="0">
    <w:nsid w:val="31402D4B"/>
    <w:multiLevelType w:val="multilevel"/>
    <w:tmpl w:val="8FB20AFC"/>
    <w:lvl w:ilvl="0">
      <w:start w:val="6"/>
      <w:numFmt w:val="decimal"/>
      <w:lvlText w:val="[%1]"/>
      <w:lvlJc w:val="left"/>
      <w:pPr>
        <w:tabs>
          <w:tab w:val="num" w:pos="0"/>
        </w:tabs>
        <w:ind w:left="0" w:firstLine="794"/>
      </w:pPr>
      <w:rPr>
        <w:rFonts w:hint="default"/>
        <w:b w:val="0"/>
      </w:rPr>
    </w:lvl>
    <w:lvl w:ilvl="1">
      <w:start w:val="1"/>
      <w:numFmt w:val="decimal"/>
      <w:lvlText w:val="[%1.%2]"/>
      <w:lvlJc w:val="left"/>
      <w:pPr>
        <w:tabs>
          <w:tab w:val="num" w:pos="0"/>
        </w:tabs>
        <w:ind w:left="0" w:firstLine="851"/>
      </w:pPr>
      <w:rPr>
        <w:rFonts w:hint="default"/>
      </w:rPr>
    </w:lvl>
    <w:lvl w:ilvl="2">
      <w:start w:val="1"/>
      <w:numFmt w:val="decimal"/>
      <w:lvlText w:val="[%1.%2.2"/>
      <w:lvlJc w:val="left"/>
      <w:pPr>
        <w:tabs>
          <w:tab w:val="num" w:pos="0"/>
        </w:tabs>
        <w:ind w:left="0" w:firstLine="851"/>
      </w:pPr>
      <w:rPr>
        <w:rFonts w:hint="default"/>
      </w:rPr>
    </w:lvl>
    <w:lvl w:ilvl="3">
      <w:start w:val="1"/>
      <w:numFmt w:val="bullet"/>
      <w:lvlText w:val=""/>
      <w:lvlJc w:val="left"/>
      <w:pPr>
        <w:tabs>
          <w:tab w:val="num" w:pos="0"/>
        </w:tabs>
        <w:ind w:left="680" w:hanging="680"/>
      </w:pPr>
      <w:rPr>
        <w:rFonts w:ascii="Symbol" w:hAnsi="Symbol" w:hint="default"/>
      </w:rPr>
    </w:lvl>
    <w:lvl w:ilvl="4">
      <w:start w:val="1"/>
      <w:numFmt w:val="bullet"/>
      <w:lvlText w:val="o"/>
      <w:lvlJc w:val="left"/>
      <w:pPr>
        <w:tabs>
          <w:tab w:val="num" w:pos="0"/>
        </w:tabs>
        <w:ind w:left="680" w:hanging="680"/>
      </w:pPr>
      <w:rPr>
        <w:rFonts w:ascii="Courier New" w:hAnsi="Courier New" w:cs="Courier New" w:hint="default"/>
      </w:rPr>
    </w:lvl>
    <w:lvl w:ilvl="5">
      <w:start w:val="1"/>
      <w:numFmt w:val="bullet"/>
      <w:lvlText w:val=""/>
      <w:lvlJc w:val="left"/>
      <w:pPr>
        <w:tabs>
          <w:tab w:val="num" w:pos="0"/>
        </w:tabs>
        <w:ind w:left="680" w:hanging="680"/>
      </w:pPr>
      <w:rPr>
        <w:rFonts w:ascii="Wingdings" w:hAnsi="Wingdings" w:hint="default"/>
      </w:rPr>
    </w:lvl>
    <w:lvl w:ilvl="6">
      <w:start w:val="1"/>
      <w:numFmt w:val="bullet"/>
      <w:lvlText w:val=""/>
      <w:lvlJc w:val="left"/>
      <w:pPr>
        <w:tabs>
          <w:tab w:val="num" w:pos="0"/>
        </w:tabs>
        <w:ind w:left="680" w:hanging="680"/>
      </w:pPr>
      <w:rPr>
        <w:rFonts w:ascii="Symbol" w:hAnsi="Symbol" w:hint="default"/>
      </w:rPr>
    </w:lvl>
    <w:lvl w:ilvl="7">
      <w:start w:val="1"/>
      <w:numFmt w:val="bullet"/>
      <w:lvlText w:val="o"/>
      <w:lvlJc w:val="left"/>
      <w:pPr>
        <w:tabs>
          <w:tab w:val="num" w:pos="0"/>
        </w:tabs>
        <w:ind w:left="680" w:hanging="680"/>
      </w:pPr>
      <w:rPr>
        <w:rFonts w:ascii="Courier New" w:hAnsi="Courier New" w:cs="Courier New" w:hint="default"/>
      </w:rPr>
    </w:lvl>
    <w:lvl w:ilvl="8">
      <w:start w:val="1"/>
      <w:numFmt w:val="bullet"/>
      <w:lvlText w:val=""/>
      <w:lvlJc w:val="left"/>
      <w:pPr>
        <w:tabs>
          <w:tab w:val="num" w:pos="0"/>
        </w:tabs>
        <w:ind w:left="680" w:hanging="680"/>
      </w:pPr>
      <w:rPr>
        <w:rFonts w:ascii="Wingdings" w:hAnsi="Wingdings" w:hint="default"/>
      </w:rPr>
    </w:lvl>
  </w:abstractNum>
  <w:abstractNum w:abstractNumId="6" w15:restartNumberingAfterBreak="0">
    <w:nsid w:val="3FA43877"/>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B3C78F3"/>
    <w:multiLevelType w:val="hybridMultilevel"/>
    <w:tmpl w:val="0A0A9414"/>
    <w:lvl w:ilvl="0" w:tplc="5D760F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E84EAF"/>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7CC02DDE"/>
    <w:multiLevelType w:val="hybridMultilevel"/>
    <w:tmpl w:val="CF80EB64"/>
    <w:lvl w:ilvl="0" w:tplc="19C02A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
  </w:num>
  <w:num w:numId="5">
    <w:abstractNumId w:val="7"/>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E3"/>
    <w:rsid w:val="000035FF"/>
    <w:rsid w:val="000044D3"/>
    <w:rsid w:val="00005247"/>
    <w:rsid w:val="00005296"/>
    <w:rsid w:val="00006F80"/>
    <w:rsid w:val="000149F0"/>
    <w:rsid w:val="00016B1A"/>
    <w:rsid w:val="00021159"/>
    <w:rsid w:val="00024317"/>
    <w:rsid w:val="000246FD"/>
    <w:rsid w:val="00026B64"/>
    <w:rsid w:val="00026E56"/>
    <w:rsid w:val="00030075"/>
    <w:rsid w:val="00030330"/>
    <w:rsid w:val="00030E98"/>
    <w:rsid w:val="00033F23"/>
    <w:rsid w:val="00035504"/>
    <w:rsid w:val="00035739"/>
    <w:rsid w:val="0003791D"/>
    <w:rsid w:val="000379B5"/>
    <w:rsid w:val="00037C6E"/>
    <w:rsid w:val="00042DE5"/>
    <w:rsid w:val="000433FA"/>
    <w:rsid w:val="00044313"/>
    <w:rsid w:val="0005065F"/>
    <w:rsid w:val="000528BF"/>
    <w:rsid w:val="000531B1"/>
    <w:rsid w:val="00053F13"/>
    <w:rsid w:val="00057F29"/>
    <w:rsid w:val="00062BD7"/>
    <w:rsid w:val="00064C8A"/>
    <w:rsid w:val="00071B79"/>
    <w:rsid w:val="00071F72"/>
    <w:rsid w:val="00071FFD"/>
    <w:rsid w:val="0007245E"/>
    <w:rsid w:val="0007270D"/>
    <w:rsid w:val="00074FBD"/>
    <w:rsid w:val="0007774A"/>
    <w:rsid w:val="00081C28"/>
    <w:rsid w:val="000824EB"/>
    <w:rsid w:val="00082883"/>
    <w:rsid w:val="00085650"/>
    <w:rsid w:val="00086578"/>
    <w:rsid w:val="00087213"/>
    <w:rsid w:val="0008732A"/>
    <w:rsid w:val="00091D7F"/>
    <w:rsid w:val="00091F68"/>
    <w:rsid w:val="00092423"/>
    <w:rsid w:val="00094E66"/>
    <w:rsid w:val="00095817"/>
    <w:rsid w:val="00096A7F"/>
    <w:rsid w:val="000972DC"/>
    <w:rsid w:val="000A12E8"/>
    <w:rsid w:val="000A24FE"/>
    <w:rsid w:val="000A2C36"/>
    <w:rsid w:val="000A65C1"/>
    <w:rsid w:val="000B5137"/>
    <w:rsid w:val="000B5CF6"/>
    <w:rsid w:val="000B785B"/>
    <w:rsid w:val="000C0F35"/>
    <w:rsid w:val="000C2392"/>
    <w:rsid w:val="000C26AA"/>
    <w:rsid w:val="000C2EF7"/>
    <w:rsid w:val="000C5396"/>
    <w:rsid w:val="000D01CE"/>
    <w:rsid w:val="000D046D"/>
    <w:rsid w:val="000D16C8"/>
    <w:rsid w:val="000D1FC8"/>
    <w:rsid w:val="000D42D0"/>
    <w:rsid w:val="000D6329"/>
    <w:rsid w:val="000D7080"/>
    <w:rsid w:val="000E2025"/>
    <w:rsid w:val="000E59B5"/>
    <w:rsid w:val="000E625A"/>
    <w:rsid w:val="000E675B"/>
    <w:rsid w:val="000F1337"/>
    <w:rsid w:val="000F32F0"/>
    <w:rsid w:val="000F6A41"/>
    <w:rsid w:val="000F76AB"/>
    <w:rsid w:val="00104566"/>
    <w:rsid w:val="001055E3"/>
    <w:rsid w:val="0011025B"/>
    <w:rsid w:val="0011076E"/>
    <w:rsid w:val="00111D41"/>
    <w:rsid w:val="0011226C"/>
    <w:rsid w:val="001143FB"/>
    <w:rsid w:val="001162CE"/>
    <w:rsid w:val="001163A0"/>
    <w:rsid w:val="00121B88"/>
    <w:rsid w:val="0012276E"/>
    <w:rsid w:val="001246FD"/>
    <w:rsid w:val="00131C85"/>
    <w:rsid w:val="00132A36"/>
    <w:rsid w:val="0013308E"/>
    <w:rsid w:val="00134D8F"/>
    <w:rsid w:val="001353DB"/>
    <w:rsid w:val="00135439"/>
    <w:rsid w:val="0013620D"/>
    <w:rsid w:val="0013719D"/>
    <w:rsid w:val="00137F99"/>
    <w:rsid w:val="0014018D"/>
    <w:rsid w:val="001421FA"/>
    <w:rsid w:val="001474EB"/>
    <w:rsid w:val="00147EB8"/>
    <w:rsid w:val="00151CE2"/>
    <w:rsid w:val="00153587"/>
    <w:rsid w:val="001545AE"/>
    <w:rsid w:val="00156989"/>
    <w:rsid w:val="0016279C"/>
    <w:rsid w:val="00163E83"/>
    <w:rsid w:val="0016514D"/>
    <w:rsid w:val="0016617D"/>
    <w:rsid w:val="0016736F"/>
    <w:rsid w:val="00167516"/>
    <w:rsid w:val="0016780E"/>
    <w:rsid w:val="00170F9D"/>
    <w:rsid w:val="0017152D"/>
    <w:rsid w:val="001747DB"/>
    <w:rsid w:val="00176657"/>
    <w:rsid w:val="00180733"/>
    <w:rsid w:val="00182DAB"/>
    <w:rsid w:val="001836A9"/>
    <w:rsid w:val="00187592"/>
    <w:rsid w:val="0018792E"/>
    <w:rsid w:val="00194484"/>
    <w:rsid w:val="001A14B1"/>
    <w:rsid w:val="001A331F"/>
    <w:rsid w:val="001A7624"/>
    <w:rsid w:val="001B41B0"/>
    <w:rsid w:val="001B7402"/>
    <w:rsid w:val="001B765D"/>
    <w:rsid w:val="001C5769"/>
    <w:rsid w:val="001C5FE6"/>
    <w:rsid w:val="001C771C"/>
    <w:rsid w:val="001C777E"/>
    <w:rsid w:val="001D114B"/>
    <w:rsid w:val="001D1BB4"/>
    <w:rsid w:val="001D2528"/>
    <w:rsid w:val="001D254E"/>
    <w:rsid w:val="001D3AD7"/>
    <w:rsid w:val="001D42CF"/>
    <w:rsid w:val="001D5EEA"/>
    <w:rsid w:val="001D67AB"/>
    <w:rsid w:val="001D6A97"/>
    <w:rsid w:val="001D6BDE"/>
    <w:rsid w:val="001E0156"/>
    <w:rsid w:val="001E2CD0"/>
    <w:rsid w:val="001E40F6"/>
    <w:rsid w:val="001E4129"/>
    <w:rsid w:val="001E455F"/>
    <w:rsid w:val="001E55E9"/>
    <w:rsid w:val="001E644F"/>
    <w:rsid w:val="001E6478"/>
    <w:rsid w:val="001F007D"/>
    <w:rsid w:val="001F33C6"/>
    <w:rsid w:val="001F5BB4"/>
    <w:rsid w:val="001F72D6"/>
    <w:rsid w:val="001F7C15"/>
    <w:rsid w:val="0020086F"/>
    <w:rsid w:val="00204DCD"/>
    <w:rsid w:val="00206885"/>
    <w:rsid w:val="002070DE"/>
    <w:rsid w:val="00210F76"/>
    <w:rsid w:val="002121CA"/>
    <w:rsid w:val="00212908"/>
    <w:rsid w:val="00214F3F"/>
    <w:rsid w:val="002177C0"/>
    <w:rsid w:val="00217F14"/>
    <w:rsid w:val="0022161D"/>
    <w:rsid w:val="00222497"/>
    <w:rsid w:val="00222852"/>
    <w:rsid w:val="00223245"/>
    <w:rsid w:val="00223FC6"/>
    <w:rsid w:val="00224B46"/>
    <w:rsid w:val="00225448"/>
    <w:rsid w:val="00225B6A"/>
    <w:rsid w:val="002266E7"/>
    <w:rsid w:val="00227F02"/>
    <w:rsid w:val="002310A6"/>
    <w:rsid w:val="002325C3"/>
    <w:rsid w:val="00232E96"/>
    <w:rsid w:val="00233867"/>
    <w:rsid w:val="00235C72"/>
    <w:rsid w:val="00235C92"/>
    <w:rsid w:val="00236120"/>
    <w:rsid w:val="00236803"/>
    <w:rsid w:val="00236C5A"/>
    <w:rsid w:val="002373D4"/>
    <w:rsid w:val="002375E8"/>
    <w:rsid w:val="002403E3"/>
    <w:rsid w:val="002406C1"/>
    <w:rsid w:val="00241982"/>
    <w:rsid w:val="00242EA7"/>
    <w:rsid w:val="00247C8E"/>
    <w:rsid w:val="0025163A"/>
    <w:rsid w:val="00256D20"/>
    <w:rsid w:val="002605F8"/>
    <w:rsid w:val="002639F9"/>
    <w:rsid w:val="00263C24"/>
    <w:rsid w:val="00265107"/>
    <w:rsid w:val="00265BE7"/>
    <w:rsid w:val="002667ED"/>
    <w:rsid w:val="00271130"/>
    <w:rsid w:val="00271B07"/>
    <w:rsid w:val="002726D6"/>
    <w:rsid w:val="00272A4B"/>
    <w:rsid w:val="0027311A"/>
    <w:rsid w:val="0027459F"/>
    <w:rsid w:val="00275FC1"/>
    <w:rsid w:val="00280623"/>
    <w:rsid w:val="00282699"/>
    <w:rsid w:val="00282AD5"/>
    <w:rsid w:val="00283FB4"/>
    <w:rsid w:val="002902C2"/>
    <w:rsid w:val="002912FE"/>
    <w:rsid w:val="00291B98"/>
    <w:rsid w:val="002934E0"/>
    <w:rsid w:val="00297814"/>
    <w:rsid w:val="002A07A6"/>
    <w:rsid w:val="002A1FC9"/>
    <w:rsid w:val="002A25ED"/>
    <w:rsid w:val="002A3012"/>
    <w:rsid w:val="002A49DA"/>
    <w:rsid w:val="002A5A9B"/>
    <w:rsid w:val="002B0384"/>
    <w:rsid w:val="002B2287"/>
    <w:rsid w:val="002B399C"/>
    <w:rsid w:val="002B4EDA"/>
    <w:rsid w:val="002B6EE6"/>
    <w:rsid w:val="002B7053"/>
    <w:rsid w:val="002C02D3"/>
    <w:rsid w:val="002C0551"/>
    <w:rsid w:val="002C40EA"/>
    <w:rsid w:val="002C4328"/>
    <w:rsid w:val="002C673D"/>
    <w:rsid w:val="002C69E9"/>
    <w:rsid w:val="002C789F"/>
    <w:rsid w:val="002D1E0A"/>
    <w:rsid w:val="002D2A3E"/>
    <w:rsid w:val="002D2DFD"/>
    <w:rsid w:val="002D4F83"/>
    <w:rsid w:val="002D61BA"/>
    <w:rsid w:val="002D7078"/>
    <w:rsid w:val="002D7AF4"/>
    <w:rsid w:val="002E0266"/>
    <w:rsid w:val="002E4C83"/>
    <w:rsid w:val="002E59F6"/>
    <w:rsid w:val="002E6AC2"/>
    <w:rsid w:val="002F08EC"/>
    <w:rsid w:val="002F2323"/>
    <w:rsid w:val="002F438C"/>
    <w:rsid w:val="002F4BCC"/>
    <w:rsid w:val="002F58A5"/>
    <w:rsid w:val="002F5F84"/>
    <w:rsid w:val="002F6816"/>
    <w:rsid w:val="00302576"/>
    <w:rsid w:val="0030474B"/>
    <w:rsid w:val="00306F41"/>
    <w:rsid w:val="0030769F"/>
    <w:rsid w:val="003103E4"/>
    <w:rsid w:val="0031166B"/>
    <w:rsid w:val="00312528"/>
    <w:rsid w:val="00313D13"/>
    <w:rsid w:val="00314B19"/>
    <w:rsid w:val="00315532"/>
    <w:rsid w:val="0031673B"/>
    <w:rsid w:val="003201E4"/>
    <w:rsid w:val="0032322E"/>
    <w:rsid w:val="00325665"/>
    <w:rsid w:val="00325D9E"/>
    <w:rsid w:val="00327019"/>
    <w:rsid w:val="00327C8A"/>
    <w:rsid w:val="00330467"/>
    <w:rsid w:val="00330869"/>
    <w:rsid w:val="00332591"/>
    <w:rsid w:val="00332C11"/>
    <w:rsid w:val="00334137"/>
    <w:rsid w:val="00336897"/>
    <w:rsid w:val="0034082B"/>
    <w:rsid w:val="003414A5"/>
    <w:rsid w:val="0034341F"/>
    <w:rsid w:val="003463BF"/>
    <w:rsid w:val="00347014"/>
    <w:rsid w:val="003471F2"/>
    <w:rsid w:val="00347CCE"/>
    <w:rsid w:val="003515E4"/>
    <w:rsid w:val="003538DC"/>
    <w:rsid w:val="00353E00"/>
    <w:rsid w:val="00353E54"/>
    <w:rsid w:val="00354003"/>
    <w:rsid w:val="0035480A"/>
    <w:rsid w:val="00355142"/>
    <w:rsid w:val="00355321"/>
    <w:rsid w:val="00355F22"/>
    <w:rsid w:val="0035699C"/>
    <w:rsid w:val="0035727C"/>
    <w:rsid w:val="00360E0F"/>
    <w:rsid w:val="00361258"/>
    <w:rsid w:val="00362FDA"/>
    <w:rsid w:val="00363299"/>
    <w:rsid w:val="0037122A"/>
    <w:rsid w:val="003742CC"/>
    <w:rsid w:val="00374851"/>
    <w:rsid w:val="00374D8E"/>
    <w:rsid w:val="003752E4"/>
    <w:rsid w:val="0037553C"/>
    <w:rsid w:val="0037732C"/>
    <w:rsid w:val="00380A7D"/>
    <w:rsid w:val="00381B17"/>
    <w:rsid w:val="00381E1B"/>
    <w:rsid w:val="003821C2"/>
    <w:rsid w:val="00385863"/>
    <w:rsid w:val="00386CFA"/>
    <w:rsid w:val="00387803"/>
    <w:rsid w:val="00390536"/>
    <w:rsid w:val="00396A42"/>
    <w:rsid w:val="00396BEF"/>
    <w:rsid w:val="003975B7"/>
    <w:rsid w:val="003A02DC"/>
    <w:rsid w:val="003A0AAA"/>
    <w:rsid w:val="003A217F"/>
    <w:rsid w:val="003A256E"/>
    <w:rsid w:val="003A4FD2"/>
    <w:rsid w:val="003A619E"/>
    <w:rsid w:val="003B15F1"/>
    <w:rsid w:val="003B1B59"/>
    <w:rsid w:val="003B441D"/>
    <w:rsid w:val="003B53EE"/>
    <w:rsid w:val="003B59F2"/>
    <w:rsid w:val="003B5BA9"/>
    <w:rsid w:val="003B7D83"/>
    <w:rsid w:val="003C1B0A"/>
    <w:rsid w:val="003C3003"/>
    <w:rsid w:val="003C3946"/>
    <w:rsid w:val="003C3ADF"/>
    <w:rsid w:val="003C4608"/>
    <w:rsid w:val="003C514B"/>
    <w:rsid w:val="003C5AB1"/>
    <w:rsid w:val="003C7E98"/>
    <w:rsid w:val="003D0448"/>
    <w:rsid w:val="003D3046"/>
    <w:rsid w:val="003D7619"/>
    <w:rsid w:val="003E0907"/>
    <w:rsid w:val="003E249D"/>
    <w:rsid w:val="003E3778"/>
    <w:rsid w:val="003E5323"/>
    <w:rsid w:val="003E6D9C"/>
    <w:rsid w:val="003F1C21"/>
    <w:rsid w:val="003F2F57"/>
    <w:rsid w:val="003F3786"/>
    <w:rsid w:val="003F3FA6"/>
    <w:rsid w:val="003F4372"/>
    <w:rsid w:val="0041018A"/>
    <w:rsid w:val="004104F2"/>
    <w:rsid w:val="00413512"/>
    <w:rsid w:val="0041527D"/>
    <w:rsid w:val="00415CAC"/>
    <w:rsid w:val="00420E72"/>
    <w:rsid w:val="004237F5"/>
    <w:rsid w:val="004329C9"/>
    <w:rsid w:val="00441668"/>
    <w:rsid w:val="00441F6F"/>
    <w:rsid w:val="00444EC7"/>
    <w:rsid w:val="00445571"/>
    <w:rsid w:val="00447747"/>
    <w:rsid w:val="00451ED7"/>
    <w:rsid w:val="004524FC"/>
    <w:rsid w:val="00452D64"/>
    <w:rsid w:val="00453EB9"/>
    <w:rsid w:val="00462355"/>
    <w:rsid w:val="00463C0B"/>
    <w:rsid w:val="00463DE1"/>
    <w:rsid w:val="00466728"/>
    <w:rsid w:val="004708CD"/>
    <w:rsid w:val="00470A2C"/>
    <w:rsid w:val="004720B6"/>
    <w:rsid w:val="0047287C"/>
    <w:rsid w:val="004746FA"/>
    <w:rsid w:val="004802A5"/>
    <w:rsid w:val="00483224"/>
    <w:rsid w:val="00483ABB"/>
    <w:rsid w:val="004851C5"/>
    <w:rsid w:val="004904AD"/>
    <w:rsid w:val="00490A11"/>
    <w:rsid w:val="00493C52"/>
    <w:rsid w:val="004A3D9D"/>
    <w:rsid w:val="004A7ECA"/>
    <w:rsid w:val="004B0920"/>
    <w:rsid w:val="004B3E17"/>
    <w:rsid w:val="004B418D"/>
    <w:rsid w:val="004B58D5"/>
    <w:rsid w:val="004B663A"/>
    <w:rsid w:val="004C5CD2"/>
    <w:rsid w:val="004D3D4B"/>
    <w:rsid w:val="004D3FE6"/>
    <w:rsid w:val="004D7BCC"/>
    <w:rsid w:val="004E22E8"/>
    <w:rsid w:val="004E2B2F"/>
    <w:rsid w:val="004E2FAF"/>
    <w:rsid w:val="004E31F3"/>
    <w:rsid w:val="004E678A"/>
    <w:rsid w:val="004E6928"/>
    <w:rsid w:val="004F25CA"/>
    <w:rsid w:val="004F2A61"/>
    <w:rsid w:val="004F2E3D"/>
    <w:rsid w:val="004F2F69"/>
    <w:rsid w:val="004F31BD"/>
    <w:rsid w:val="004F564F"/>
    <w:rsid w:val="004F6108"/>
    <w:rsid w:val="004F78E8"/>
    <w:rsid w:val="004F7DEB"/>
    <w:rsid w:val="005029EE"/>
    <w:rsid w:val="00504683"/>
    <w:rsid w:val="00504B47"/>
    <w:rsid w:val="00507271"/>
    <w:rsid w:val="00507A83"/>
    <w:rsid w:val="00513E89"/>
    <w:rsid w:val="00516E01"/>
    <w:rsid w:val="00522198"/>
    <w:rsid w:val="00522B27"/>
    <w:rsid w:val="00522C6C"/>
    <w:rsid w:val="0052328D"/>
    <w:rsid w:val="00524B5E"/>
    <w:rsid w:val="00525074"/>
    <w:rsid w:val="00526E74"/>
    <w:rsid w:val="0052745A"/>
    <w:rsid w:val="00531008"/>
    <w:rsid w:val="00532AA7"/>
    <w:rsid w:val="0053379F"/>
    <w:rsid w:val="00536013"/>
    <w:rsid w:val="005361AA"/>
    <w:rsid w:val="00536EE7"/>
    <w:rsid w:val="00540071"/>
    <w:rsid w:val="00546CBD"/>
    <w:rsid w:val="00547D65"/>
    <w:rsid w:val="005512AA"/>
    <w:rsid w:val="00553391"/>
    <w:rsid w:val="00554107"/>
    <w:rsid w:val="00554322"/>
    <w:rsid w:val="0055756E"/>
    <w:rsid w:val="0056461B"/>
    <w:rsid w:val="0056469A"/>
    <w:rsid w:val="00564CDF"/>
    <w:rsid w:val="00565468"/>
    <w:rsid w:val="00566F5E"/>
    <w:rsid w:val="00566F60"/>
    <w:rsid w:val="00572FAD"/>
    <w:rsid w:val="00574013"/>
    <w:rsid w:val="005746A8"/>
    <w:rsid w:val="0057495A"/>
    <w:rsid w:val="005759AC"/>
    <w:rsid w:val="005772CD"/>
    <w:rsid w:val="00577BF4"/>
    <w:rsid w:val="005812C3"/>
    <w:rsid w:val="005823B9"/>
    <w:rsid w:val="005832BA"/>
    <w:rsid w:val="00590D38"/>
    <w:rsid w:val="00590E5C"/>
    <w:rsid w:val="005928C0"/>
    <w:rsid w:val="00595BF6"/>
    <w:rsid w:val="00596899"/>
    <w:rsid w:val="005A4C86"/>
    <w:rsid w:val="005A53B4"/>
    <w:rsid w:val="005A61AA"/>
    <w:rsid w:val="005B1D95"/>
    <w:rsid w:val="005B556E"/>
    <w:rsid w:val="005B6288"/>
    <w:rsid w:val="005B6F97"/>
    <w:rsid w:val="005B7EF1"/>
    <w:rsid w:val="005C2708"/>
    <w:rsid w:val="005C29A1"/>
    <w:rsid w:val="005C3CAB"/>
    <w:rsid w:val="005C558B"/>
    <w:rsid w:val="005C7890"/>
    <w:rsid w:val="005C7AE1"/>
    <w:rsid w:val="005D073B"/>
    <w:rsid w:val="005D2611"/>
    <w:rsid w:val="005D3193"/>
    <w:rsid w:val="005D3C02"/>
    <w:rsid w:val="005D553B"/>
    <w:rsid w:val="005D595E"/>
    <w:rsid w:val="005D6B39"/>
    <w:rsid w:val="005D7ED3"/>
    <w:rsid w:val="005E0946"/>
    <w:rsid w:val="005E1081"/>
    <w:rsid w:val="005E12F2"/>
    <w:rsid w:val="005E1868"/>
    <w:rsid w:val="005E3D47"/>
    <w:rsid w:val="005E4A30"/>
    <w:rsid w:val="005E6966"/>
    <w:rsid w:val="005F1119"/>
    <w:rsid w:val="005F1431"/>
    <w:rsid w:val="005F1C46"/>
    <w:rsid w:val="005F2CB4"/>
    <w:rsid w:val="005F338B"/>
    <w:rsid w:val="005F406B"/>
    <w:rsid w:val="00603D38"/>
    <w:rsid w:val="00605E5A"/>
    <w:rsid w:val="006102D5"/>
    <w:rsid w:val="006118A1"/>
    <w:rsid w:val="0061465D"/>
    <w:rsid w:val="006154F0"/>
    <w:rsid w:val="00622CC3"/>
    <w:rsid w:val="00625E37"/>
    <w:rsid w:val="006262B3"/>
    <w:rsid w:val="0062645E"/>
    <w:rsid w:val="006277F3"/>
    <w:rsid w:val="00630F31"/>
    <w:rsid w:val="0063150D"/>
    <w:rsid w:val="00631EB9"/>
    <w:rsid w:val="00640D99"/>
    <w:rsid w:val="00641AEA"/>
    <w:rsid w:val="00641EC1"/>
    <w:rsid w:val="00644379"/>
    <w:rsid w:val="00644793"/>
    <w:rsid w:val="0064519E"/>
    <w:rsid w:val="00650147"/>
    <w:rsid w:val="006522A6"/>
    <w:rsid w:val="00657576"/>
    <w:rsid w:val="006611E2"/>
    <w:rsid w:val="00661B51"/>
    <w:rsid w:val="006625B2"/>
    <w:rsid w:val="00662D0A"/>
    <w:rsid w:val="00664040"/>
    <w:rsid w:val="00664673"/>
    <w:rsid w:val="00667729"/>
    <w:rsid w:val="006712A5"/>
    <w:rsid w:val="00672C90"/>
    <w:rsid w:val="00672E0F"/>
    <w:rsid w:val="006739CA"/>
    <w:rsid w:val="00673CFC"/>
    <w:rsid w:val="00674B09"/>
    <w:rsid w:val="0067612A"/>
    <w:rsid w:val="00680CB2"/>
    <w:rsid w:val="0068399A"/>
    <w:rsid w:val="00685712"/>
    <w:rsid w:val="006A329A"/>
    <w:rsid w:val="006A5AB5"/>
    <w:rsid w:val="006A6A62"/>
    <w:rsid w:val="006A6D60"/>
    <w:rsid w:val="006A6EAF"/>
    <w:rsid w:val="006B16AE"/>
    <w:rsid w:val="006B23DE"/>
    <w:rsid w:val="006B44E8"/>
    <w:rsid w:val="006B4AF9"/>
    <w:rsid w:val="006B63F4"/>
    <w:rsid w:val="006C11C5"/>
    <w:rsid w:val="006C2774"/>
    <w:rsid w:val="006C3066"/>
    <w:rsid w:val="006C4E5E"/>
    <w:rsid w:val="006C5537"/>
    <w:rsid w:val="006C6FD8"/>
    <w:rsid w:val="006C7DD7"/>
    <w:rsid w:val="006D10CD"/>
    <w:rsid w:val="006D12E1"/>
    <w:rsid w:val="006D4646"/>
    <w:rsid w:val="006D7407"/>
    <w:rsid w:val="006D77CF"/>
    <w:rsid w:val="006D7C9F"/>
    <w:rsid w:val="006E0CD2"/>
    <w:rsid w:val="006E339B"/>
    <w:rsid w:val="006E5DDA"/>
    <w:rsid w:val="006E6494"/>
    <w:rsid w:val="006E6614"/>
    <w:rsid w:val="006E6CCC"/>
    <w:rsid w:val="006E6E47"/>
    <w:rsid w:val="006E718A"/>
    <w:rsid w:val="006E7A71"/>
    <w:rsid w:val="006F172B"/>
    <w:rsid w:val="006F1B2B"/>
    <w:rsid w:val="006F420E"/>
    <w:rsid w:val="006F42B1"/>
    <w:rsid w:val="006F59C5"/>
    <w:rsid w:val="006F69DF"/>
    <w:rsid w:val="006F72AA"/>
    <w:rsid w:val="00700ACC"/>
    <w:rsid w:val="00702CB5"/>
    <w:rsid w:val="00703886"/>
    <w:rsid w:val="00703CEA"/>
    <w:rsid w:val="00703DEB"/>
    <w:rsid w:val="00703DFF"/>
    <w:rsid w:val="00705640"/>
    <w:rsid w:val="007073E3"/>
    <w:rsid w:val="0071261D"/>
    <w:rsid w:val="00716BF1"/>
    <w:rsid w:val="00720075"/>
    <w:rsid w:val="007205CF"/>
    <w:rsid w:val="007207B2"/>
    <w:rsid w:val="0072145A"/>
    <w:rsid w:val="007219B1"/>
    <w:rsid w:val="00722011"/>
    <w:rsid w:val="00724D02"/>
    <w:rsid w:val="007254BC"/>
    <w:rsid w:val="007257B3"/>
    <w:rsid w:val="00725A06"/>
    <w:rsid w:val="00726AD9"/>
    <w:rsid w:val="007337E3"/>
    <w:rsid w:val="00736261"/>
    <w:rsid w:val="007362E5"/>
    <w:rsid w:val="00742E6F"/>
    <w:rsid w:val="00743143"/>
    <w:rsid w:val="00744104"/>
    <w:rsid w:val="007450E5"/>
    <w:rsid w:val="00752BDC"/>
    <w:rsid w:val="00752E3A"/>
    <w:rsid w:val="00752F4C"/>
    <w:rsid w:val="007540BC"/>
    <w:rsid w:val="00754D54"/>
    <w:rsid w:val="00761201"/>
    <w:rsid w:val="007614B0"/>
    <w:rsid w:val="0076169B"/>
    <w:rsid w:val="0076328D"/>
    <w:rsid w:val="007641E2"/>
    <w:rsid w:val="00766A04"/>
    <w:rsid w:val="00771499"/>
    <w:rsid w:val="00772C5E"/>
    <w:rsid w:val="00773C04"/>
    <w:rsid w:val="007764E5"/>
    <w:rsid w:val="00780A5E"/>
    <w:rsid w:val="007822B6"/>
    <w:rsid w:val="00782ED4"/>
    <w:rsid w:val="007875F4"/>
    <w:rsid w:val="0079022D"/>
    <w:rsid w:val="007911FF"/>
    <w:rsid w:val="00794A5B"/>
    <w:rsid w:val="00795ECE"/>
    <w:rsid w:val="0079713A"/>
    <w:rsid w:val="007A2841"/>
    <w:rsid w:val="007A31BE"/>
    <w:rsid w:val="007A357C"/>
    <w:rsid w:val="007B0594"/>
    <w:rsid w:val="007B125C"/>
    <w:rsid w:val="007B17E9"/>
    <w:rsid w:val="007B3AD2"/>
    <w:rsid w:val="007B457D"/>
    <w:rsid w:val="007B5EED"/>
    <w:rsid w:val="007B6AC8"/>
    <w:rsid w:val="007B7D89"/>
    <w:rsid w:val="007C39D7"/>
    <w:rsid w:val="007C5764"/>
    <w:rsid w:val="007C5B1A"/>
    <w:rsid w:val="007C5FE2"/>
    <w:rsid w:val="007C6464"/>
    <w:rsid w:val="007C76AC"/>
    <w:rsid w:val="007D0706"/>
    <w:rsid w:val="007D5C64"/>
    <w:rsid w:val="007D73EA"/>
    <w:rsid w:val="007E0DFB"/>
    <w:rsid w:val="007E2244"/>
    <w:rsid w:val="007E2787"/>
    <w:rsid w:val="007E3919"/>
    <w:rsid w:val="007E3BFB"/>
    <w:rsid w:val="007E4491"/>
    <w:rsid w:val="007E4A84"/>
    <w:rsid w:val="007E7A02"/>
    <w:rsid w:val="007F2871"/>
    <w:rsid w:val="007F32A1"/>
    <w:rsid w:val="007F4174"/>
    <w:rsid w:val="007F43F9"/>
    <w:rsid w:val="0080129A"/>
    <w:rsid w:val="008062C5"/>
    <w:rsid w:val="008073CB"/>
    <w:rsid w:val="0080782F"/>
    <w:rsid w:val="0080789C"/>
    <w:rsid w:val="00812122"/>
    <w:rsid w:val="00814913"/>
    <w:rsid w:val="00815F3E"/>
    <w:rsid w:val="0082218B"/>
    <w:rsid w:val="008227FB"/>
    <w:rsid w:val="00822C62"/>
    <w:rsid w:val="00823439"/>
    <w:rsid w:val="00824AAD"/>
    <w:rsid w:val="00827578"/>
    <w:rsid w:val="008315A0"/>
    <w:rsid w:val="00832D55"/>
    <w:rsid w:val="00833655"/>
    <w:rsid w:val="00834FB3"/>
    <w:rsid w:val="00842747"/>
    <w:rsid w:val="008463F2"/>
    <w:rsid w:val="00852715"/>
    <w:rsid w:val="0085470C"/>
    <w:rsid w:val="0085470D"/>
    <w:rsid w:val="00856B7A"/>
    <w:rsid w:val="00856F40"/>
    <w:rsid w:val="00861BA6"/>
    <w:rsid w:val="0086419F"/>
    <w:rsid w:val="00864B30"/>
    <w:rsid w:val="00864CBC"/>
    <w:rsid w:val="00865B15"/>
    <w:rsid w:val="0087073E"/>
    <w:rsid w:val="00870A2B"/>
    <w:rsid w:val="00871CCF"/>
    <w:rsid w:val="00872688"/>
    <w:rsid w:val="00872BEC"/>
    <w:rsid w:val="008732F2"/>
    <w:rsid w:val="00874EB0"/>
    <w:rsid w:val="008772DD"/>
    <w:rsid w:val="0088081E"/>
    <w:rsid w:val="00881BE5"/>
    <w:rsid w:val="00883B46"/>
    <w:rsid w:val="008845B2"/>
    <w:rsid w:val="008846E4"/>
    <w:rsid w:val="008850CD"/>
    <w:rsid w:val="00886ED4"/>
    <w:rsid w:val="00893131"/>
    <w:rsid w:val="00893500"/>
    <w:rsid w:val="008950B5"/>
    <w:rsid w:val="00896B7B"/>
    <w:rsid w:val="00897A92"/>
    <w:rsid w:val="008A454B"/>
    <w:rsid w:val="008A4900"/>
    <w:rsid w:val="008A50B1"/>
    <w:rsid w:val="008B0762"/>
    <w:rsid w:val="008B4F4F"/>
    <w:rsid w:val="008C01CB"/>
    <w:rsid w:val="008C2065"/>
    <w:rsid w:val="008C4AE7"/>
    <w:rsid w:val="008C5C9F"/>
    <w:rsid w:val="008C60EB"/>
    <w:rsid w:val="008C62AD"/>
    <w:rsid w:val="008C66FB"/>
    <w:rsid w:val="008C7521"/>
    <w:rsid w:val="008D121A"/>
    <w:rsid w:val="008D2433"/>
    <w:rsid w:val="008D27EB"/>
    <w:rsid w:val="008D45F5"/>
    <w:rsid w:val="008D5797"/>
    <w:rsid w:val="008D6237"/>
    <w:rsid w:val="008E0CC5"/>
    <w:rsid w:val="008E46A2"/>
    <w:rsid w:val="008E47B3"/>
    <w:rsid w:val="008F22D0"/>
    <w:rsid w:val="008F3797"/>
    <w:rsid w:val="008F5EE1"/>
    <w:rsid w:val="008F6B27"/>
    <w:rsid w:val="00901CDB"/>
    <w:rsid w:val="00901E95"/>
    <w:rsid w:val="0090382B"/>
    <w:rsid w:val="009049A4"/>
    <w:rsid w:val="00904C84"/>
    <w:rsid w:val="00907E40"/>
    <w:rsid w:val="009106E1"/>
    <w:rsid w:val="0091086A"/>
    <w:rsid w:val="00911DA9"/>
    <w:rsid w:val="009136E0"/>
    <w:rsid w:val="0091522A"/>
    <w:rsid w:val="00915D5A"/>
    <w:rsid w:val="009172FC"/>
    <w:rsid w:val="00917FB0"/>
    <w:rsid w:val="00920717"/>
    <w:rsid w:val="00921FC1"/>
    <w:rsid w:val="00922EF9"/>
    <w:rsid w:val="009248BF"/>
    <w:rsid w:val="00925B4E"/>
    <w:rsid w:val="009323B2"/>
    <w:rsid w:val="0093337E"/>
    <w:rsid w:val="00933AEC"/>
    <w:rsid w:val="00936603"/>
    <w:rsid w:val="00936D27"/>
    <w:rsid w:val="00940551"/>
    <w:rsid w:val="0094153E"/>
    <w:rsid w:val="0094275D"/>
    <w:rsid w:val="00942FD2"/>
    <w:rsid w:val="00945148"/>
    <w:rsid w:val="00945BFD"/>
    <w:rsid w:val="009469EC"/>
    <w:rsid w:val="0094785E"/>
    <w:rsid w:val="0094794F"/>
    <w:rsid w:val="00950D3C"/>
    <w:rsid w:val="00951344"/>
    <w:rsid w:val="00953050"/>
    <w:rsid w:val="00954399"/>
    <w:rsid w:val="0095623E"/>
    <w:rsid w:val="009605F5"/>
    <w:rsid w:val="00962B89"/>
    <w:rsid w:val="00964213"/>
    <w:rsid w:val="00964B60"/>
    <w:rsid w:val="009673DF"/>
    <w:rsid w:val="009674C2"/>
    <w:rsid w:val="00971307"/>
    <w:rsid w:val="00971471"/>
    <w:rsid w:val="00971784"/>
    <w:rsid w:val="00971C7F"/>
    <w:rsid w:val="00972B7D"/>
    <w:rsid w:val="0097373C"/>
    <w:rsid w:val="00973AD1"/>
    <w:rsid w:val="009744B7"/>
    <w:rsid w:val="0097577C"/>
    <w:rsid w:val="009762F4"/>
    <w:rsid w:val="00977063"/>
    <w:rsid w:val="00977E13"/>
    <w:rsid w:val="009807E3"/>
    <w:rsid w:val="00980D47"/>
    <w:rsid w:val="00982097"/>
    <w:rsid w:val="009827C9"/>
    <w:rsid w:val="00983EE8"/>
    <w:rsid w:val="00985622"/>
    <w:rsid w:val="00990D29"/>
    <w:rsid w:val="00992A9D"/>
    <w:rsid w:val="00996267"/>
    <w:rsid w:val="0099756B"/>
    <w:rsid w:val="009975F2"/>
    <w:rsid w:val="009A35E0"/>
    <w:rsid w:val="009A36C8"/>
    <w:rsid w:val="009A4074"/>
    <w:rsid w:val="009A536A"/>
    <w:rsid w:val="009B03F7"/>
    <w:rsid w:val="009B0405"/>
    <w:rsid w:val="009B324B"/>
    <w:rsid w:val="009B6315"/>
    <w:rsid w:val="009C0E75"/>
    <w:rsid w:val="009C1B40"/>
    <w:rsid w:val="009C3DBC"/>
    <w:rsid w:val="009C5D81"/>
    <w:rsid w:val="009C6815"/>
    <w:rsid w:val="009D2B8B"/>
    <w:rsid w:val="009D2F95"/>
    <w:rsid w:val="009D3073"/>
    <w:rsid w:val="009D5053"/>
    <w:rsid w:val="009E524B"/>
    <w:rsid w:val="009E5FD8"/>
    <w:rsid w:val="009E632B"/>
    <w:rsid w:val="009E644B"/>
    <w:rsid w:val="009E72B9"/>
    <w:rsid w:val="009F5EA4"/>
    <w:rsid w:val="009F61A8"/>
    <w:rsid w:val="009F6377"/>
    <w:rsid w:val="009F787E"/>
    <w:rsid w:val="009F7B76"/>
    <w:rsid w:val="00A00FF3"/>
    <w:rsid w:val="00A016E3"/>
    <w:rsid w:val="00A020E2"/>
    <w:rsid w:val="00A02611"/>
    <w:rsid w:val="00A02A5A"/>
    <w:rsid w:val="00A0797E"/>
    <w:rsid w:val="00A11A6B"/>
    <w:rsid w:val="00A129DC"/>
    <w:rsid w:val="00A13AC7"/>
    <w:rsid w:val="00A161CE"/>
    <w:rsid w:val="00A16314"/>
    <w:rsid w:val="00A22769"/>
    <w:rsid w:val="00A234FA"/>
    <w:rsid w:val="00A23F46"/>
    <w:rsid w:val="00A24AFE"/>
    <w:rsid w:val="00A252A4"/>
    <w:rsid w:val="00A26E37"/>
    <w:rsid w:val="00A3071F"/>
    <w:rsid w:val="00A32E62"/>
    <w:rsid w:val="00A334E9"/>
    <w:rsid w:val="00A33F7B"/>
    <w:rsid w:val="00A4221A"/>
    <w:rsid w:val="00A43F15"/>
    <w:rsid w:val="00A44ABF"/>
    <w:rsid w:val="00A46AB9"/>
    <w:rsid w:val="00A4709A"/>
    <w:rsid w:val="00A56685"/>
    <w:rsid w:val="00A56EC8"/>
    <w:rsid w:val="00A5747A"/>
    <w:rsid w:val="00A6355A"/>
    <w:rsid w:val="00A7512B"/>
    <w:rsid w:val="00A76501"/>
    <w:rsid w:val="00A76606"/>
    <w:rsid w:val="00A76655"/>
    <w:rsid w:val="00A77D86"/>
    <w:rsid w:val="00A817E6"/>
    <w:rsid w:val="00A81AF1"/>
    <w:rsid w:val="00A81F48"/>
    <w:rsid w:val="00A83344"/>
    <w:rsid w:val="00A841F2"/>
    <w:rsid w:val="00A84632"/>
    <w:rsid w:val="00A850F8"/>
    <w:rsid w:val="00A85200"/>
    <w:rsid w:val="00A8723D"/>
    <w:rsid w:val="00A87323"/>
    <w:rsid w:val="00A90C11"/>
    <w:rsid w:val="00A917C4"/>
    <w:rsid w:val="00A919B2"/>
    <w:rsid w:val="00A91DFE"/>
    <w:rsid w:val="00A9417A"/>
    <w:rsid w:val="00A975FF"/>
    <w:rsid w:val="00A97678"/>
    <w:rsid w:val="00A979C6"/>
    <w:rsid w:val="00A97E64"/>
    <w:rsid w:val="00AA1018"/>
    <w:rsid w:val="00AA2147"/>
    <w:rsid w:val="00AA2449"/>
    <w:rsid w:val="00AA350B"/>
    <w:rsid w:val="00AA3A86"/>
    <w:rsid w:val="00AA43B2"/>
    <w:rsid w:val="00AA6108"/>
    <w:rsid w:val="00AA7C96"/>
    <w:rsid w:val="00AB1300"/>
    <w:rsid w:val="00AB1F42"/>
    <w:rsid w:val="00AB3461"/>
    <w:rsid w:val="00AB369F"/>
    <w:rsid w:val="00AB3E27"/>
    <w:rsid w:val="00AB3F96"/>
    <w:rsid w:val="00AB6FEC"/>
    <w:rsid w:val="00AB753E"/>
    <w:rsid w:val="00AC03BC"/>
    <w:rsid w:val="00AC3BA9"/>
    <w:rsid w:val="00AC4532"/>
    <w:rsid w:val="00AC6CAC"/>
    <w:rsid w:val="00AD1BA1"/>
    <w:rsid w:val="00AD3F06"/>
    <w:rsid w:val="00AE0238"/>
    <w:rsid w:val="00AE2C84"/>
    <w:rsid w:val="00AE4300"/>
    <w:rsid w:val="00AE7A0E"/>
    <w:rsid w:val="00AF2C8D"/>
    <w:rsid w:val="00AF2CF1"/>
    <w:rsid w:val="00AF2E4F"/>
    <w:rsid w:val="00AF46DE"/>
    <w:rsid w:val="00AF6983"/>
    <w:rsid w:val="00B01E68"/>
    <w:rsid w:val="00B02093"/>
    <w:rsid w:val="00B0479F"/>
    <w:rsid w:val="00B05A51"/>
    <w:rsid w:val="00B061BE"/>
    <w:rsid w:val="00B06398"/>
    <w:rsid w:val="00B107F9"/>
    <w:rsid w:val="00B12377"/>
    <w:rsid w:val="00B12AEF"/>
    <w:rsid w:val="00B1369E"/>
    <w:rsid w:val="00B15679"/>
    <w:rsid w:val="00B2043F"/>
    <w:rsid w:val="00B217A8"/>
    <w:rsid w:val="00B244BC"/>
    <w:rsid w:val="00B24822"/>
    <w:rsid w:val="00B25959"/>
    <w:rsid w:val="00B26F9F"/>
    <w:rsid w:val="00B3612A"/>
    <w:rsid w:val="00B40815"/>
    <w:rsid w:val="00B423E7"/>
    <w:rsid w:val="00B43175"/>
    <w:rsid w:val="00B43203"/>
    <w:rsid w:val="00B43B62"/>
    <w:rsid w:val="00B4568E"/>
    <w:rsid w:val="00B4594A"/>
    <w:rsid w:val="00B46EB6"/>
    <w:rsid w:val="00B5171C"/>
    <w:rsid w:val="00B62036"/>
    <w:rsid w:val="00B62961"/>
    <w:rsid w:val="00B62C39"/>
    <w:rsid w:val="00B63290"/>
    <w:rsid w:val="00B63720"/>
    <w:rsid w:val="00B66280"/>
    <w:rsid w:val="00B713C9"/>
    <w:rsid w:val="00B72370"/>
    <w:rsid w:val="00B73AA5"/>
    <w:rsid w:val="00B73BF8"/>
    <w:rsid w:val="00B743C1"/>
    <w:rsid w:val="00B760F9"/>
    <w:rsid w:val="00B777E3"/>
    <w:rsid w:val="00B80327"/>
    <w:rsid w:val="00B91B3E"/>
    <w:rsid w:val="00B92CBC"/>
    <w:rsid w:val="00B92FB0"/>
    <w:rsid w:val="00B95F55"/>
    <w:rsid w:val="00B97CC0"/>
    <w:rsid w:val="00BA181C"/>
    <w:rsid w:val="00BA34CD"/>
    <w:rsid w:val="00BA5868"/>
    <w:rsid w:val="00BA58B4"/>
    <w:rsid w:val="00BA5F1C"/>
    <w:rsid w:val="00BA6B26"/>
    <w:rsid w:val="00BA7DD8"/>
    <w:rsid w:val="00BB130A"/>
    <w:rsid w:val="00BB3246"/>
    <w:rsid w:val="00BB7DDA"/>
    <w:rsid w:val="00BC14DD"/>
    <w:rsid w:val="00BC17CA"/>
    <w:rsid w:val="00BC1D12"/>
    <w:rsid w:val="00BC208E"/>
    <w:rsid w:val="00BC66C0"/>
    <w:rsid w:val="00BC6BBF"/>
    <w:rsid w:val="00BD17E7"/>
    <w:rsid w:val="00BD450E"/>
    <w:rsid w:val="00BD60DE"/>
    <w:rsid w:val="00BD68C9"/>
    <w:rsid w:val="00BD716B"/>
    <w:rsid w:val="00BE360F"/>
    <w:rsid w:val="00BE53A6"/>
    <w:rsid w:val="00BF2166"/>
    <w:rsid w:val="00BF2630"/>
    <w:rsid w:val="00BF2E52"/>
    <w:rsid w:val="00C01DF8"/>
    <w:rsid w:val="00C0537D"/>
    <w:rsid w:val="00C05D05"/>
    <w:rsid w:val="00C074F1"/>
    <w:rsid w:val="00C07F4D"/>
    <w:rsid w:val="00C10873"/>
    <w:rsid w:val="00C11E1B"/>
    <w:rsid w:val="00C1348B"/>
    <w:rsid w:val="00C15082"/>
    <w:rsid w:val="00C163ED"/>
    <w:rsid w:val="00C1682E"/>
    <w:rsid w:val="00C21427"/>
    <w:rsid w:val="00C239BD"/>
    <w:rsid w:val="00C246B4"/>
    <w:rsid w:val="00C24DDE"/>
    <w:rsid w:val="00C25276"/>
    <w:rsid w:val="00C2607C"/>
    <w:rsid w:val="00C26905"/>
    <w:rsid w:val="00C2717A"/>
    <w:rsid w:val="00C27EA8"/>
    <w:rsid w:val="00C310D3"/>
    <w:rsid w:val="00C31550"/>
    <w:rsid w:val="00C35F11"/>
    <w:rsid w:val="00C35F69"/>
    <w:rsid w:val="00C36BB3"/>
    <w:rsid w:val="00C43141"/>
    <w:rsid w:val="00C45309"/>
    <w:rsid w:val="00C45615"/>
    <w:rsid w:val="00C45CDD"/>
    <w:rsid w:val="00C46C63"/>
    <w:rsid w:val="00C4725C"/>
    <w:rsid w:val="00C475DB"/>
    <w:rsid w:val="00C53707"/>
    <w:rsid w:val="00C538E0"/>
    <w:rsid w:val="00C5500A"/>
    <w:rsid w:val="00C60410"/>
    <w:rsid w:val="00C63267"/>
    <w:rsid w:val="00C63DB0"/>
    <w:rsid w:val="00C655D6"/>
    <w:rsid w:val="00C70A8A"/>
    <w:rsid w:val="00C72EDD"/>
    <w:rsid w:val="00C7620D"/>
    <w:rsid w:val="00C764B5"/>
    <w:rsid w:val="00C768BE"/>
    <w:rsid w:val="00C76BEE"/>
    <w:rsid w:val="00C77383"/>
    <w:rsid w:val="00C81C62"/>
    <w:rsid w:val="00C8262A"/>
    <w:rsid w:val="00C83DC3"/>
    <w:rsid w:val="00C83DE7"/>
    <w:rsid w:val="00C861E5"/>
    <w:rsid w:val="00C872CA"/>
    <w:rsid w:val="00C8755D"/>
    <w:rsid w:val="00C90CAC"/>
    <w:rsid w:val="00C92C37"/>
    <w:rsid w:val="00C931D3"/>
    <w:rsid w:val="00C93294"/>
    <w:rsid w:val="00C93C8E"/>
    <w:rsid w:val="00C97095"/>
    <w:rsid w:val="00C970B6"/>
    <w:rsid w:val="00CA1CF2"/>
    <w:rsid w:val="00CA1E43"/>
    <w:rsid w:val="00CA3302"/>
    <w:rsid w:val="00CA66AF"/>
    <w:rsid w:val="00CA75E2"/>
    <w:rsid w:val="00CA7E6D"/>
    <w:rsid w:val="00CB060F"/>
    <w:rsid w:val="00CB143C"/>
    <w:rsid w:val="00CB2358"/>
    <w:rsid w:val="00CB61C8"/>
    <w:rsid w:val="00CB664F"/>
    <w:rsid w:val="00CB7F8F"/>
    <w:rsid w:val="00CC10EA"/>
    <w:rsid w:val="00CC4004"/>
    <w:rsid w:val="00CC4B3C"/>
    <w:rsid w:val="00CC7E2E"/>
    <w:rsid w:val="00CD0F75"/>
    <w:rsid w:val="00CD101E"/>
    <w:rsid w:val="00CD52CB"/>
    <w:rsid w:val="00CD58F4"/>
    <w:rsid w:val="00CD79E8"/>
    <w:rsid w:val="00CE0304"/>
    <w:rsid w:val="00CE1376"/>
    <w:rsid w:val="00CE63F6"/>
    <w:rsid w:val="00CE66A9"/>
    <w:rsid w:val="00CF2A6A"/>
    <w:rsid w:val="00CF6254"/>
    <w:rsid w:val="00CF75C2"/>
    <w:rsid w:val="00D02BD4"/>
    <w:rsid w:val="00D0326D"/>
    <w:rsid w:val="00D05C66"/>
    <w:rsid w:val="00D0644F"/>
    <w:rsid w:val="00D10011"/>
    <w:rsid w:val="00D11C08"/>
    <w:rsid w:val="00D122A6"/>
    <w:rsid w:val="00D13CE3"/>
    <w:rsid w:val="00D13D83"/>
    <w:rsid w:val="00D14E01"/>
    <w:rsid w:val="00D1680F"/>
    <w:rsid w:val="00D20FEE"/>
    <w:rsid w:val="00D22AB5"/>
    <w:rsid w:val="00D22AC6"/>
    <w:rsid w:val="00D30F75"/>
    <w:rsid w:val="00D3100A"/>
    <w:rsid w:val="00D37CE7"/>
    <w:rsid w:val="00D40B3E"/>
    <w:rsid w:val="00D40F93"/>
    <w:rsid w:val="00D468D7"/>
    <w:rsid w:val="00D539E0"/>
    <w:rsid w:val="00D665BE"/>
    <w:rsid w:val="00D67F05"/>
    <w:rsid w:val="00D702D4"/>
    <w:rsid w:val="00D70C51"/>
    <w:rsid w:val="00D727FE"/>
    <w:rsid w:val="00D73104"/>
    <w:rsid w:val="00D75B4D"/>
    <w:rsid w:val="00D778BC"/>
    <w:rsid w:val="00D803CD"/>
    <w:rsid w:val="00D80D1D"/>
    <w:rsid w:val="00D85BD0"/>
    <w:rsid w:val="00D86349"/>
    <w:rsid w:val="00D915F0"/>
    <w:rsid w:val="00D94DC3"/>
    <w:rsid w:val="00D95117"/>
    <w:rsid w:val="00D974CE"/>
    <w:rsid w:val="00DA2980"/>
    <w:rsid w:val="00DA3737"/>
    <w:rsid w:val="00DA774D"/>
    <w:rsid w:val="00DB0670"/>
    <w:rsid w:val="00DB2BBD"/>
    <w:rsid w:val="00DB7B2B"/>
    <w:rsid w:val="00DC0A0C"/>
    <w:rsid w:val="00DC22C2"/>
    <w:rsid w:val="00DC4A68"/>
    <w:rsid w:val="00DC4FAA"/>
    <w:rsid w:val="00DC5EE7"/>
    <w:rsid w:val="00DD03B0"/>
    <w:rsid w:val="00DD4818"/>
    <w:rsid w:val="00DE0CF8"/>
    <w:rsid w:val="00DE16EF"/>
    <w:rsid w:val="00DE4D18"/>
    <w:rsid w:val="00DE501B"/>
    <w:rsid w:val="00DE6323"/>
    <w:rsid w:val="00DE797E"/>
    <w:rsid w:val="00DF0293"/>
    <w:rsid w:val="00DF7F79"/>
    <w:rsid w:val="00E003BA"/>
    <w:rsid w:val="00E01A68"/>
    <w:rsid w:val="00E01EE8"/>
    <w:rsid w:val="00E027FE"/>
    <w:rsid w:val="00E057BA"/>
    <w:rsid w:val="00E06C46"/>
    <w:rsid w:val="00E077EE"/>
    <w:rsid w:val="00E07EEF"/>
    <w:rsid w:val="00E10BC1"/>
    <w:rsid w:val="00E10C60"/>
    <w:rsid w:val="00E11007"/>
    <w:rsid w:val="00E11D78"/>
    <w:rsid w:val="00E13832"/>
    <w:rsid w:val="00E1390D"/>
    <w:rsid w:val="00E14D3A"/>
    <w:rsid w:val="00E23827"/>
    <w:rsid w:val="00E23983"/>
    <w:rsid w:val="00E26D08"/>
    <w:rsid w:val="00E2772E"/>
    <w:rsid w:val="00E3402E"/>
    <w:rsid w:val="00E3436E"/>
    <w:rsid w:val="00E34825"/>
    <w:rsid w:val="00E375FC"/>
    <w:rsid w:val="00E41F15"/>
    <w:rsid w:val="00E42A14"/>
    <w:rsid w:val="00E42A92"/>
    <w:rsid w:val="00E42FD5"/>
    <w:rsid w:val="00E4541A"/>
    <w:rsid w:val="00E45D1B"/>
    <w:rsid w:val="00E4792A"/>
    <w:rsid w:val="00E50542"/>
    <w:rsid w:val="00E50E07"/>
    <w:rsid w:val="00E5150C"/>
    <w:rsid w:val="00E517A1"/>
    <w:rsid w:val="00E518F1"/>
    <w:rsid w:val="00E532B4"/>
    <w:rsid w:val="00E5411A"/>
    <w:rsid w:val="00E57AB9"/>
    <w:rsid w:val="00E632F7"/>
    <w:rsid w:val="00E63753"/>
    <w:rsid w:val="00E63BBA"/>
    <w:rsid w:val="00E70BE1"/>
    <w:rsid w:val="00E73CFA"/>
    <w:rsid w:val="00E74126"/>
    <w:rsid w:val="00E75CF6"/>
    <w:rsid w:val="00E80243"/>
    <w:rsid w:val="00E80998"/>
    <w:rsid w:val="00E83BDE"/>
    <w:rsid w:val="00E8487C"/>
    <w:rsid w:val="00E85DB2"/>
    <w:rsid w:val="00E8668A"/>
    <w:rsid w:val="00E87855"/>
    <w:rsid w:val="00E90110"/>
    <w:rsid w:val="00E91819"/>
    <w:rsid w:val="00E91B91"/>
    <w:rsid w:val="00E95799"/>
    <w:rsid w:val="00E96735"/>
    <w:rsid w:val="00E974F4"/>
    <w:rsid w:val="00E97D18"/>
    <w:rsid w:val="00EA0B69"/>
    <w:rsid w:val="00EA245F"/>
    <w:rsid w:val="00EA4147"/>
    <w:rsid w:val="00EA46D7"/>
    <w:rsid w:val="00EA5E36"/>
    <w:rsid w:val="00EA76E6"/>
    <w:rsid w:val="00EB5552"/>
    <w:rsid w:val="00EB61B3"/>
    <w:rsid w:val="00EC04DF"/>
    <w:rsid w:val="00EC48A3"/>
    <w:rsid w:val="00EC529E"/>
    <w:rsid w:val="00EC7C7D"/>
    <w:rsid w:val="00ED3E98"/>
    <w:rsid w:val="00ED407F"/>
    <w:rsid w:val="00ED435B"/>
    <w:rsid w:val="00ED5892"/>
    <w:rsid w:val="00ED6281"/>
    <w:rsid w:val="00EE08D2"/>
    <w:rsid w:val="00EE1014"/>
    <w:rsid w:val="00EE2605"/>
    <w:rsid w:val="00EE5227"/>
    <w:rsid w:val="00EE64DD"/>
    <w:rsid w:val="00EE6820"/>
    <w:rsid w:val="00EF12CE"/>
    <w:rsid w:val="00EF2DA0"/>
    <w:rsid w:val="00EF3919"/>
    <w:rsid w:val="00EF3D7F"/>
    <w:rsid w:val="00EF5C26"/>
    <w:rsid w:val="00EF6A66"/>
    <w:rsid w:val="00EF6E0D"/>
    <w:rsid w:val="00F006E1"/>
    <w:rsid w:val="00F023A9"/>
    <w:rsid w:val="00F03755"/>
    <w:rsid w:val="00F10B1C"/>
    <w:rsid w:val="00F12343"/>
    <w:rsid w:val="00F142E6"/>
    <w:rsid w:val="00F14885"/>
    <w:rsid w:val="00F14D9D"/>
    <w:rsid w:val="00F15084"/>
    <w:rsid w:val="00F15B77"/>
    <w:rsid w:val="00F16E0A"/>
    <w:rsid w:val="00F205D3"/>
    <w:rsid w:val="00F21393"/>
    <w:rsid w:val="00F24B11"/>
    <w:rsid w:val="00F306D2"/>
    <w:rsid w:val="00F33615"/>
    <w:rsid w:val="00F3415E"/>
    <w:rsid w:val="00F361D8"/>
    <w:rsid w:val="00F4019F"/>
    <w:rsid w:val="00F4575F"/>
    <w:rsid w:val="00F469F6"/>
    <w:rsid w:val="00F50F7E"/>
    <w:rsid w:val="00F5214E"/>
    <w:rsid w:val="00F53BDC"/>
    <w:rsid w:val="00F5455F"/>
    <w:rsid w:val="00F55854"/>
    <w:rsid w:val="00F60A81"/>
    <w:rsid w:val="00F64B9B"/>
    <w:rsid w:val="00F66189"/>
    <w:rsid w:val="00F66795"/>
    <w:rsid w:val="00F66F53"/>
    <w:rsid w:val="00F72523"/>
    <w:rsid w:val="00F72B1B"/>
    <w:rsid w:val="00F76980"/>
    <w:rsid w:val="00F76A67"/>
    <w:rsid w:val="00F772D8"/>
    <w:rsid w:val="00F77BED"/>
    <w:rsid w:val="00F80647"/>
    <w:rsid w:val="00F81B24"/>
    <w:rsid w:val="00F85686"/>
    <w:rsid w:val="00F91D97"/>
    <w:rsid w:val="00F92FB2"/>
    <w:rsid w:val="00F956C7"/>
    <w:rsid w:val="00F95D1C"/>
    <w:rsid w:val="00FA2C1A"/>
    <w:rsid w:val="00FA4DED"/>
    <w:rsid w:val="00FA532A"/>
    <w:rsid w:val="00FA69EE"/>
    <w:rsid w:val="00FB09A1"/>
    <w:rsid w:val="00FB28BE"/>
    <w:rsid w:val="00FB4EA2"/>
    <w:rsid w:val="00FB72FA"/>
    <w:rsid w:val="00FB798D"/>
    <w:rsid w:val="00FC572D"/>
    <w:rsid w:val="00FC5913"/>
    <w:rsid w:val="00FC7594"/>
    <w:rsid w:val="00FC7DE7"/>
    <w:rsid w:val="00FD2486"/>
    <w:rsid w:val="00FD252A"/>
    <w:rsid w:val="00FD37E9"/>
    <w:rsid w:val="00FD4FC1"/>
    <w:rsid w:val="00FD5263"/>
    <w:rsid w:val="00FE0175"/>
    <w:rsid w:val="00FE083F"/>
    <w:rsid w:val="00FE41C1"/>
    <w:rsid w:val="00FE4BC5"/>
    <w:rsid w:val="00FE766A"/>
    <w:rsid w:val="00FF0606"/>
    <w:rsid w:val="00FF18C3"/>
    <w:rsid w:val="00FF3FAE"/>
    <w:rsid w:val="00FF41F6"/>
    <w:rsid w:val="00FF6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7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3CE3"/>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D13CE3"/>
    <w:rPr>
      <w:b/>
      <w:bCs/>
    </w:rPr>
  </w:style>
  <w:style w:type="character" w:customStyle="1" w:styleId="apple-converted-space">
    <w:name w:val="apple-converted-space"/>
    <w:basedOn w:val="DefaultParagraphFont"/>
    <w:rsid w:val="00D13CE3"/>
  </w:style>
  <w:style w:type="character" w:styleId="Emphasis">
    <w:name w:val="Emphasis"/>
    <w:basedOn w:val="DefaultParagraphFont"/>
    <w:uiPriority w:val="20"/>
    <w:qFormat/>
    <w:rsid w:val="00D13CE3"/>
    <w:rPr>
      <w:i/>
      <w:iCs/>
    </w:rPr>
  </w:style>
  <w:style w:type="paragraph" w:styleId="BodyText2">
    <w:name w:val="Body Text 2"/>
    <w:basedOn w:val="Normal"/>
    <w:link w:val="BodyText2Char"/>
    <w:uiPriority w:val="99"/>
    <w:semiHidden/>
    <w:unhideWhenUsed/>
    <w:rsid w:val="000E59B5"/>
    <w:pPr>
      <w:spacing w:after="120" w:line="480" w:lineRule="auto"/>
    </w:pPr>
  </w:style>
  <w:style w:type="character" w:customStyle="1" w:styleId="BodyText2Char">
    <w:name w:val="Body Text 2 Char"/>
    <w:basedOn w:val="DefaultParagraphFont"/>
    <w:link w:val="BodyText2"/>
    <w:uiPriority w:val="99"/>
    <w:semiHidden/>
    <w:rsid w:val="000E59B5"/>
  </w:style>
  <w:style w:type="paragraph" w:styleId="ListParagraph">
    <w:name w:val="List Paragraph"/>
    <w:basedOn w:val="Normal"/>
    <w:uiPriority w:val="34"/>
    <w:qFormat/>
    <w:rsid w:val="00B43B62"/>
    <w:pPr>
      <w:ind w:left="720"/>
      <w:contextualSpacing/>
    </w:pPr>
  </w:style>
  <w:style w:type="paragraph" w:styleId="Header">
    <w:name w:val="header"/>
    <w:basedOn w:val="Normal"/>
    <w:link w:val="HeaderChar"/>
    <w:uiPriority w:val="99"/>
    <w:unhideWhenUsed/>
    <w:rsid w:val="00E26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D08"/>
  </w:style>
  <w:style w:type="paragraph" w:styleId="Footer">
    <w:name w:val="footer"/>
    <w:basedOn w:val="Normal"/>
    <w:link w:val="FooterChar"/>
    <w:uiPriority w:val="99"/>
    <w:unhideWhenUsed/>
    <w:rsid w:val="00E2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D08"/>
  </w:style>
  <w:style w:type="character" w:styleId="PageNumber">
    <w:name w:val="page number"/>
    <w:basedOn w:val="DefaultParagraphFont"/>
    <w:rsid w:val="00E26D08"/>
  </w:style>
  <w:style w:type="paragraph" w:styleId="NoSpacing">
    <w:name w:val="No Spacing"/>
    <w:uiPriority w:val="1"/>
    <w:qFormat/>
    <w:rsid w:val="003D3046"/>
    <w:pPr>
      <w:spacing w:after="0" w:line="240" w:lineRule="auto"/>
    </w:pPr>
  </w:style>
  <w:style w:type="character" w:styleId="CommentReference">
    <w:name w:val="annotation reference"/>
    <w:basedOn w:val="DefaultParagraphFont"/>
    <w:uiPriority w:val="99"/>
    <w:semiHidden/>
    <w:unhideWhenUsed/>
    <w:rsid w:val="009323B2"/>
    <w:rPr>
      <w:sz w:val="16"/>
      <w:szCs w:val="16"/>
    </w:rPr>
  </w:style>
  <w:style w:type="paragraph" w:styleId="CommentText">
    <w:name w:val="annotation text"/>
    <w:basedOn w:val="Normal"/>
    <w:link w:val="CommentTextChar"/>
    <w:uiPriority w:val="99"/>
    <w:semiHidden/>
    <w:unhideWhenUsed/>
    <w:rsid w:val="009323B2"/>
    <w:pPr>
      <w:spacing w:line="240" w:lineRule="auto"/>
    </w:pPr>
    <w:rPr>
      <w:sz w:val="20"/>
      <w:szCs w:val="20"/>
    </w:rPr>
  </w:style>
  <w:style w:type="character" w:customStyle="1" w:styleId="CommentTextChar">
    <w:name w:val="Comment Text Char"/>
    <w:basedOn w:val="DefaultParagraphFont"/>
    <w:link w:val="CommentText"/>
    <w:uiPriority w:val="99"/>
    <w:semiHidden/>
    <w:rsid w:val="009323B2"/>
    <w:rPr>
      <w:sz w:val="20"/>
      <w:szCs w:val="20"/>
    </w:rPr>
  </w:style>
  <w:style w:type="paragraph" w:styleId="CommentSubject">
    <w:name w:val="annotation subject"/>
    <w:basedOn w:val="CommentText"/>
    <w:next w:val="CommentText"/>
    <w:link w:val="CommentSubjectChar"/>
    <w:uiPriority w:val="99"/>
    <w:semiHidden/>
    <w:unhideWhenUsed/>
    <w:rsid w:val="009323B2"/>
    <w:rPr>
      <w:b/>
      <w:bCs/>
    </w:rPr>
  </w:style>
  <w:style w:type="character" w:customStyle="1" w:styleId="CommentSubjectChar">
    <w:name w:val="Comment Subject Char"/>
    <w:basedOn w:val="CommentTextChar"/>
    <w:link w:val="CommentSubject"/>
    <w:uiPriority w:val="99"/>
    <w:semiHidden/>
    <w:rsid w:val="009323B2"/>
    <w:rPr>
      <w:b/>
      <w:bCs/>
      <w:sz w:val="20"/>
      <w:szCs w:val="20"/>
    </w:rPr>
  </w:style>
  <w:style w:type="paragraph" w:styleId="BalloonText">
    <w:name w:val="Balloon Text"/>
    <w:basedOn w:val="Normal"/>
    <w:link w:val="BalloonTextChar"/>
    <w:uiPriority w:val="99"/>
    <w:semiHidden/>
    <w:unhideWhenUsed/>
    <w:rsid w:val="00932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3B2"/>
    <w:rPr>
      <w:rFonts w:ascii="Segoe UI" w:hAnsi="Segoe UI" w:cs="Segoe UI"/>
      <w:sz w:val="18"/>
      <w:szCs w:val="18"/>
    </w:rPr>
  </w:style>
  <w:style w:type="paragraph" w:styleId="EndnoteText">
    <w:name w:val="endnote text"/>
    <w:basedOn w:val="Normal"/>
    <w:link w:val="EndnoteTextChar"/>
    <w:uiPriority w:val="99"/>
    <w:semiHidden/>
    <w:unhideWhenUsed/>
    <w:rsid w:val="00980D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D47"/>
    <w:rPr>
      <w:sz w:val="20"/>
      <w:szCs w:val="20"/>
    </w:rPr>
  </w:style>
  <w:style w:type="character" w:styleId="EndnoteReference">
    <w:name w:val="endnote reference"/>
    <w:basedOn w:val="DefaultParagraphFont"/>
    <w:uiPriority w:val="99"/>
    <w:semiHidden/>
    <w:unhideWhenUsed/>
    <w:rsid w:val="00980D47"/>
    <w:rPr>
      <w:vertAlign w:val="superscript"/>
    </w:rPr>
  </w:style>
  <w:style w:type="character" w:styleId="Hyperlink">
    <w:name w:val="Hyperlink"/>
    <w:basedOn w:val="DefaultParagraphFont"/>
    <w:uiPriority w:val="99"/>
    <w:unhideWhenUsed/>
    <w:rsid w:val="00C11E1B"/>
    <w:rPr>
      <w:color w:val="0563C1" w:themeColor="hyperlink"/>
      <w:u w:val="single"/>
    </w:rPr>
  </w:style>
  <w:style w:type="paragraph" w:styleId="FootnoteText">
    <w:name w:val="footnote text"/>
    <w:basedOn w:val="Normal"/>
    <w:link w:val="FootnoteTextChar"/>
    <w:uiPriority w:val="99"/>
    <w:semiHidden/>
    <w:unhideWhenUsed/>
    <w:rsid w:val="00030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075"/>
    <w:rPr>
      <w:sz w:val="20"/>
      <w:szCs w:val="20"/>
    </w:rPr>
  </w:style>
  <w:style w:type="character" w:styleId="FootnoteReference">
    <w:name w:val="footnote reference"/>
    <w:basedOn w:val="DefaultParagraphFont"/>
    <w:unhideWhenUsed/>
    <w:rsid w:val="00030075"/>
    <w:rPr>
      <w:vertAlign w:val="superscript"/>
    </w:rPr>
  </w:style>
  <w:style w:type="paragraph" w:customStyle="1" w:styleId="CharCharChar1">
    <w:name w:val="Char Char Char1"/>
    <w:basedOn w:val="Normal"/>
    <w:rsid w:val="00901CDB"/>
    <w:pPr>
      <w:spacing w:line="240" w:lineRule="exact"/>
    </w:pPr>
    <w:rPr>
      <w:rFonts w:ascii="Tahoma" w:eastAsia="Times New Roman" w:hAnsi="Tahoma" w:cs="Times New Roman"/>
      <w:sz w:val="20"/>
      <w:szCs w:val="20"/>
      <w:lang w:val="en-US"/>
    </w:rPr>
  </w:style>
  <w:style w:type="character" w:styleId="FollowedHyperlink">
    <w:name w:val="FollowedHyperlink"/>
    <w:basedOn w:val="DefaultParagraphFont"/>
    <w:uiPriority w:val="99"/>
    <w:semiHidden/>
    <w:unhideWhenUsed/>
    <w:rsid w:val="0005065F"/>
    <w:rPr>
      <w:color w:val="954F72" w:themeColor="followedHyperlink"/>
      <w:u w:val="single"/>
    </w:rPr>
  </w:style>
  <w:style w:type="paragraph" w:customStyle="1" w:styleId="tv213">
    <w:name w:val="tv213"/>
    <w:basedOn w:val="Normal"/>
    <w:rsid w:val="00DE6323"/>
    <w:pPr>
      <w:spacing w:before="100" w:beforeAutospacing="1" w:after="100" w:afterAutospacing="1" w:line="240" w:lineRule="auto"/>
    </w:pPr>
    <w:rPr>
      <w:rFonts w:eastAsia="Times New Roman" w:cs="Times New Roman"/>
      <w:szCs w:val="24"/>
      <w:lang w:eastAsia="lv-LV"/>
    </w:rPr>
  </w:style>
  <w:style w:type="character" w:customStyle="1" w:styleId="outputecli">
    <w:name w:val="outputecli"/>
    <w:basedOn w:val="DefaultParagraphFont"/>
    <w:rsid w:val="00657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7871">
      <w:bodyDiv w:val="1"/>
      <w:marLeft w:val="0"/>
      <w:marRight w:val="0"/>
      <w:marTop w:val="0"/>
      <w:marBottom w:val="0"/>
      <w:divBdr>
        <w:top w:val="none" w:sz="0" w:space="0" w:color="auto"/>
        <w:left w:val="none" w:sz="0" w:space="0" w:color="auto"/>
        <w:bottom w:val="none" w:sz="0" w:space="0" w:color="auto"/>
        <w:right w:val="none" w:sz="0" w:space="0" w:color="auto"/>
      </w:divBdr>
    </w:div>
    <w:div w:id="279998840">
      <w:bodyDiv w:val="1"/>
      <w:marLeft w:val="0"/>
      <w:marRight w:val="0"/>
      <w:marTop w:val="0"/>
      <w:marBottom w:val="0"/>
      <w:divBdr>
        <w:top w:val="none" w:sz="0" w:space="0" w:color="auto"/>
        <w:left w:val="none" w:sz="0" w:space="0" w:color="auto"/>
        <w:bottom w:val="none" w:sz="0" w:space="0" w:color="auto"/>
        <w:right w:val="none" w:sz="0" w:space="0" w:color="auto"/>
      </w:divBdr>
    </w:div>
    <w:div w:id="820587179">
      <w:bodyDiv w:val="1"/>
      <w:marLeft w:val="0"/>
      <w:marRight w:val="0"/>
      <w:marTop w:val="0"/>
      <w:marBottom w:val="0"/>
      <w:divBdr>
        <w:top w:val="none" w:sz="0" w:space="0" w:color="auto"/>
        <w:left w:val="none" w:sz="0" w:space="0" w:color="auto"/>
        <w:bottom w:val="none" w:sz="0" w:space="0" w:color="auto"/>
        <w:right w:val="none" w:sz="0" w:space="0" w:color="auto"/>
      </w:divBdr>
    </w:div>
    <w:div w:id="839614421">
      <w:bodyDiv w:val="1"/>
      <w:marLeft w:val="0"/>
      <w:marRight w:val="0"/>
      <w:marTop w:val="0"/>
      <w:marBottom w:val="0"/>
      <w:divBdr>
        <w:top w:val="none" w:sz="0" w:space="0" w:color="auto"/>
        <w:left w:val="none" w:sz="0" w:space="0" w:color="auto"/>
        <w:bottom w:val="none" w:sz="0" w:space="0" w:color="auto"/>
        <w:right w:val="none" w:sz="0" w:space="0" w:color="auto"/>
      </w:divBdr>
    </w:div>
    <w:div w:id="1053696170">
      <w:bodyDiv w:val="1"/>
      <w:marLeft w:val="0"/>
      <w:marRight w:val="0"/>
      <w:marTop w:val="0"/>
      <w:marBottom w:val="0"/>
      <w:divBdr>
        <w:top w:val="none" w:sz="0" w:space="0" w:color="auto"/>
        <w:left w:val="none" w:sz="0" w:space="0" w:color="auto"/>
        <w:bottom w:val="none" w:sz="0" w:space="0" w:color="auto"/>
        <w:right w:val="none" w:sz="0" w:space="0" w:color="auto"/>
      </w:divBdr>
    </w:div>
    <w:div w:id="1292248331">
      <w:bodyDiv w:val="1"/>
      <w:marLeft w:val="0"/>
      <w:marRight w:val="0"/>
      <w:marTop w:val="0"/>
      <w:marBottom w:val="0"/>
      <w:divBdr>
        <w:top w:val="none" w:sz="0" w:space="0" w:color="auto"/>
        <w:left w:val="none" w:sz="0" w:space="0" w:color="auto"/>
        <w:bottom w:val="none" w:sz="0" w:space="0" w:color="auto"/>
        <w:right w:val="none" w:sz="0" w:space="0" w:color="auto"/>
      </w:divBdr>
    </w:div>
    <w:div w:id="1371346022">
      <w:bodyDiv w:val="1"/>
      <w:marLeft w:val="0"/>
      <w:marRight w:val="0"/>
      <w:marTop w:val="0"/>
      <w:marBottom w:val="0"/>
      <w:divBdr>
        <w:top w:val="none" w:sz="0" w:space="0" w:color="auto"/>
        <w:left w:val="none" w:sz="0" w:space="0" w:color="auto"/>
        <w:bottom w:val="none" w:sz="0" w:space="0" w:color="auto"/>
        <w:right w:val="none" w:sz="0" w:space="0" w:color="auto"/>
      </w:divBdr>
    </w:div>
    <w:div w:id="1490754047">
      <w:bodyDiv w:val="1"/>
      <w:marLeft w:val="0"/>
      <w:marRight w:val="0"/>
      <w:marTop w:val="0"/>
      <w:marBottom w:val="0"/>
      <w:divBdr>
        <w:top w:val="none" w:sz="0" w:space="0" w:color="auto"/>
        <w:left w:val="none" w:sz="0" w:space="0" w:color="auto"/>
        <w:bottom w:val="none" w:sz="0" w:space="0" w:color="auto"/>
        <w:right w:val="none" w:sz="0" w:space="0" w:color="auto"/>
      </w:divBdr>
    </w:div>
    <w:div w:id="1789854137">
      <w:bodyDiv w:val="1"/>
      <w:marLeft w:val="0"/>
      <w:marRight w:val="0"/>
      <w:marTop w:val="0"/>
      <w:marBottom w:val="0"/>
      <w:divBdr>
        <w:top w:val="none" w:sz="0" w:space="0" w:color="auto"/>
        <w:left w:val="none" w:sz="0" w:space="0" w:color="auto"/>
        <w:bottom w:val="none" w:sz="0" w:space="0" w:color="auto"/>
        <w:right w:val="none" w:sz="0" w:space="0" w:color="auto"/>
      </w:divBdr>
    </w:div>
    <w:div w:id="2052918162">
      <w:bodyDiv w:val="1"/>
      <w:marLeft w:val="0"/>
      <w:marRight w:val="0"/>
      <w:marTop w:val="0"/>
      <w:marBottom w:val="0"/>
      <w:divBdr>
        <w:top w:val="none" w:sz="0" w:space="0" w:color="auto"/>
        <w:left w:val="none" w:sz="0" w:space="0" w:color="auto"/>
        <w:bottom w:val="none" w:sz="0" w:space="0" w:color="auto"/>
        <w:right w:val="none" w:sz="0" w:space="0" w:color="auto"/>
      </w:divBdr>
    </w:div>
    <w:div w:id="20724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78F91-1D66-41D4-8855-0BF926F4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31782</Words>
  <Characters>18117</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2018-02-15T14:00:00Z</dcterms:created>
  <dcterms:modified xsi:type="dcterms:W3CDTF">2018-02-28T13:57:00Z</dcterms:modified>
</cp:coreProperties>
</file>