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223" w:rsidRPr="00690223" w:rsidRDefault="00690223" w:rsidP="00690223">
      <w:pPr>
        <w:spacing w:line="276" w:lineRule="auto"/>
        <w:jc w:val="both"/>
        <w:rPr>
          <w:b/>
          <w:sz w:val="24"/>
          <w:szCs w:val="24"/>
        </w:rPr>
      </w:pPr>
      <w:bookmarkStart w:id="0" w:name="_Hlk508005894"/>
      <w:r w:rsidRPr="00690223">
        <w:rPr>
          <w:b/>
          <w:sz w:val="24"/>
          <w:szCs w:val="24"/>
        </w:rPr>
        <w:t>Pēc kreditora iesnieguma uzsāktas mantojuma lietas vešanas aspekti</w:t>
      </w:r>
    </w:p>
    <w:bookmarkEnd w:id="0"/>
    <w:p w:rsidR="009067D9" w:rsidRPr="00690223" w:rsidRDefault="00690223" w:rsidP="00690223">
      <w:pPr>
        <w:shd w:val="clear" w:color="auto" w:fill="FFFFFF"/>
        <w:spacing w:line="276" w:lineRule="auto"/>
        <w:ind w:firstLine="567"/>
        <w:jc w:val="both"/>
        <w:rPr>
          <w:b/>
          <w:sz w:val="24"/>
          <w:szCs w:val="24"/>
        </w:rPr>
      </w:pPr>
      <w:r w:rsidRPr="00690223">
        <w:rPr>
          <w:rFonts w:eastAsia="Times New Roman"/>
          <w:sz w:val="24"/>
          <w:szCs w:val="24"/>
        </w:rPr>
        <w:t>J</w:t>
      </w:r>
      <w:r w:rsidRPr="003F7888">
        <w:rPr>
          <w:rFonts w:eastAsia="Times New Roman"/>
          <w:sz w:val="24"/>
          <w:szCs w:val="24"/>
        </w:rPr>
        <w:t>a uzaicinājumā noteiktajā termiņā kreditors pieteicis</w:t>
      </w:r>
      <w:r w:rsidRPr="00690223">
        <w:rPr>
          <w:rFonts w:eastAsia="Times New Roman"/>
          <w:sz w:val="24"/>
          <w:szCs w:val="24"/>
        </w:rPr>
        <w:t xml:space="preserve"> </w:t>
      </w:r>
      <w:r w:rsidRPr="003F7888">
        <w:rPr>
          <w:rFonts w:eastAsia="Times New Roman"/>
          <w:sz w:val="24"/>
          <w:szCs w:val="24"/>
        </w:rPr>
        <w:t>zvērinātam notāram pretenziju, iesniedzot pierādījumus par vēršanos tiesā saistības atzīšanai, tad</w:t>
      </w:r>
      <w:r w:rsidRPr="00690223">
        <w:rPr>
          <w:rFonts w:eastAsia="Times New Roman"/>
          <w:sz w:val="24"/>
          <w:szCs w:val="24"/>
        </w:rPr>
        <w:t xml:space="preserve"> </w:t>
      </w:r>
      <w:r w:rsidRPr="003F7888">
        <w:rPr>
          <w:rFonts w:eastAsia="Times New Roman"/>
          <w:sz w:val="24"/>
          <w:szCs w:val="24"/>
        </w:rPr>
        <w:t>kreditora tiesību un likumisko interešu nodrošināšanas nolūkā mantojuma lietu izbeigt nevar,</w:t>
      </w:r>
      <w:r w:rsidRPr="00690223">
        <w:rPr>
          <w:rFonts w:eastAsia="Times New Roman"/>
          <w:sz w:val="24"/>
          <w:szCs w:val="24"/>
        </w:rPr>
        <w:t xml:space="preserve"> </w:t>
      </w:r>
      <w:r w:rsidRPr="003F7888">
        <w:rPr>
          <w:rFonts w:eastAsia="Times New Roman"/>
          <w:sz w:val="24"/>
          <w:szCs w:val="24"/>
        </w:rPr>
        <w:t>iekams nav taisīts spriedums kreditora uzsāktajā saistības lietā</w:t>
      </w:r>
      <w:r w:rsidRPr="00690223">
        <w:rPr>
          <w:rFonts w:eastAsia="Times New Roman"/>
          <w:sz w:val="24"/>
          <w:szCs w:val="24"/>
        </w:rPr>
        <w:t>.</w:t>
      </w:r>
    </w:p>
    <w:p w:rsidR="009067D9" w:rsidRPr="009067D9" w:rsidRDefault="009067D9" w:rsidP="009067D9">
      <w:pPr>
        <w:shd w:val="clear" w:color="auto" w:fill="FFFFFF"/>
        <w:spacing w:line="276" w:lineRule="auto"/>
        <w:jc w:val="center"/>
        <w:rPr>
          <w:color w:val="000000"/>
          <w:sz w:val="24"/>
        </w:rPr>
      </w:pPr>
    </w:p>
    <w:p w:rsidR="009067D9" w:rsidRPr="009067D9" w:rsidRDefault="009067D9" w:rsidP="009067D9">
      <w:pPr>
        <w:shd w:val="clear" w:color="auto" w:fill="FFFFFF"/>
        <w:spacing w:line="276" w:lineRule="auto"/>
        <w:jc w:val="center"/>
        <w:rPr>
          <w:b/>
          <w:sz w:val="24"/>
        </w:rPr>
      </w:pPr>
      <w:r w:rsidRPr="009067D9">
        <w:rPr>
          <w:b/>
          <w:color w:val="000000"/>
          <w:sz w:val="24"/>
        </w:rPr>
        <w:t>Latvijas Republikas Augstākās tiesas</w:t>
      </w:r>
    </w:p>
    <w:p w:rsidR="009067D9" w:rsidRPr="009067D9" w:rsidRDefault="009067D9" w:rsidP="009067D9">
      <w:pPr>
        <w:shd w:val="clear" w:color="auto" w:fill="FFFFFF"/>
        <w:spacing w:line="276" w:lineRule="auto"/>
        <w:jc w:val="center"/>
        <w:rPr>
          <w:b/>
          <w:color w:val="000000"/>
          <w:sz w:val="24"/>
        </w:rPr>
      </w:pPr>
      <w:r w:rsidRPr="009067D9">
        <w:rPr>
          <w:b/>
          <w:color w:val="000000"/>
          <w:sz w:val="24"/>
        </w:rPr>
        <w:t>Civillietu departamenta</w:t>
      </w:r>
    </w:p>
    <w:p w:rsidR="009067D9" w:rsidRPr="009067D9" w:rsidRDefault="009067D9" w:rsidP="009067D9">
      <w:pPr>
        <w:shd w:val="clear" w:color="auto" w:fill="FFFFFF"/>
        <w:spacing w:line="276" w:lineRule="auto"/>
        <w:jc w:val="center"/>
        <w:rPr>
          <w:b/>
          <w:sz w:val="24"/>
        </w:rPr>
      </w:pPr>
      <w:proofErr w:type="gramStart"/>
      <w:r w:rsidRPr="009067D9">
        <w:rPr>
          <w:b/>
          <w:color w:val="000000"/>
          <w:sz w:val="24"/>
        </w:rPr>
        <w:t>2018.gada</w:t>
      </w:r>
      <w:proofErr w:type="gramEnd"/>
      <w:r w:rsidRPr="009067D9">
        <w:rPr>
          <w:b/>
          <w:color w:val="000000"/>
          <w:sz w:val="24"/>
        </w:rPr>
        <w:t xml:space="preserve"> </w:t>
      </w:r>
      <w:r>
        <w:rPr>
          <w:b/>
          <w:color w:val="000000"/>
          <w:sz w:val="24"/>
        </w:rPr>
        <w:t>1</w:t>
      </w:r>
      <w:r w:rsidRPr="009067D9">
        <w:rPr>
          <w:b/>
          <w:color w:val="000000"/>
          <w:sz w:val="24"/>
        </w:rPr>
        <w:t>.</w:t>
      </w:r>
      <w:r>
        <w:rPr>
          <w:b/>
          <w:color w:val="000000"/>
          <w:sz w:val="24"/>
        </w:rPr>
        <w:t>m</w:t>
      </w:r>
      <w:r w:rsidRPr="009067D9">
        <w:rPr>
          <w:b/>
          <w:color w:val="000000"/>
          <w:sz w:val="24"/>
        </w:rPr>
        <w:t>a</w:t>
      </w:r>
      <w:r>
        <w:rPr>
          <w:b/>
          <w:color w:val="000000"/>
          <w:sz w:val="24"/>
        </w:rPr>
        <w:t>rta</w:t>
      </w:r>
    </w:p>
    <w:p w:rsidR="009067D9" w:rsidRPr="009067D9" w:rsidRDefault="009067D9" w:rsidP="009067D9">
      <w:pPr>
        <w:shd w:val="clear" w:color="auto" w:fill="FFFFFF"/>
        <w:spacing w:line="276" w:lineRule="auto"/>
        <w:ind w:right="-15"/>
        <w:jc w:val="center"/>
        <w:rPr>
          <w:b/>
          <w:sz w:val="24"/>
        </w:rPr>
      </w:pPr>
      <w:r w:rsidRPr="009067D9">
        <w:rPr>
          <w:b/>
          <w:bCs/>
          <w:sz w:val="24"/>
        </w:rPr>
        <w:t>SPRIEDUMS</w:t>
      </w:r>
    </w:p>
    <w:p w:rsidR="009067D9" w:rsidRPr="009067D9" w:rsidRDefault="009067D9" w:rsidP="009067D9">
      <w:pPr>
        <w:shd w:val="clear" w:color="auto" w:fill="FFFFFF"/>
        <w:spacing w:line="276" w:lineRule="auto"/>
        <w:ind w:right="62"/>
        <w:jc w:val="center"/>
        <w:rPr>
          <w:spacing w:val="-2"/>
          <w:sz w:val="32"/>
          <w:szCs w:val="24"/>
          <w:u w:val="single"/>
        </w:rPr>
      </w:pPr>
      <w:r w:rsidRPr="009067D9">
        <w:rPr>
          <w:b/>
          <w:sz w:val="24"/>
        </w:rPr>
        <w:t>Lieta Nr.C</w:t>
      </w:r>
      <w:r>
        <w:rPr>
          <w:b/>
          <w:bCs/>
          <w:sz w:val="24"/>
        </w:rPr>
        <w:t>26132615</w:t>
      </w:r>
      <w:r w:rsidRPr="009067D9">
        <w:rPr>
          <w:b/>
          <w:sz w:val="24"/>
        </w:rPr>
        <w:t>, SKC</w:t>
      </w:r>
      <w:r w:rsidRPr="009067D9">
        <w:rPr>
          <w:b/>
          <w:sz w:val="24"/>
        </w:rPr>
        <w:noBreakHyphen/>
      </w:r>
      <w:r>
        <w:rPr>
          <w:b/>
          <w:sz w:val="24"/>
        </w:rPr>
        <w:t>58</w:t>
      </w:r>
      <w:r w:rsidRPr="009067D9">
        <w:rPr>
          <w:b/>
          <w:sz w:val="24"/>
        </w:rPr>
        <w:t>/2018</w:t>
      </w:r>
    </w:p>
    <w:p w:rsidR="009067D9" w:rsidRPr="009067D9" w:rsidRDefault="00634C08" w:rsidP="009067D9">
      <w:pPr>
        <w:shd w:val="clear" w:color="auto" w:fill="FFFFFF"/>
        <w:spacing w:line="276" w:lineRule="auto"/>
        <w:ind w:right="62"/>
        <w:jc w:val="center"/>
      </w:pPr>
      <w:hyperlink r:id="rId4" w:history="1">
        <w:r w:rsidR="009067D9" w:rsidRPr="009067D9">
          <w:rPr>
            <w:spacing w:val="-2"/>
            <w:sz w:val="24"/>
            <w:szCs w:val="24"/>
          </w:rPr>
          <w:t>ECLI:LV:AT:2018:0301.C26132615.1.S</w:t>
        </w:r>
      </w:hyperlink>
    </w:p>
    <w:p w:rsidR="009067D9" w:rsidRDefault="009067D9" w:rsidP="000A1A70">
      <w:pPr>
        <w:shd w:val="clear" w:color="auto" w:fill="FFFFFF"/>
        <w:spacing w:line="276" w:lineRule="auto"/>
        <w:ind w:right="62"/>
        <w:jc w:val="right"/>
        <w:rPr>
          <w:spacing w:val="-2"/>
          <w:sz w:val="24"/>
          <w:szCs w:val="24"/>
          <w:u w:val="single"/>
        </w:rPr>
      </w:pPr>
    </w:p>
    <w:p w:rsidR="009067D9" w:rsidRDefault="00076F41" w:rsidP="009067D9">
      <w:pPr>
        <w:shd w:val="clear" w:color="auto" w:fill="FFFFFF"/>
        <w:spacing w:line="276" w:lineRule="auto"/>
        <w:ind w:left="1008" w:right="1" w:hanging="293"/>
        <w:rPr>
          <w:rFonts w:eastAsia="Times New Roman"/>
          <w:sz w:val="24"/>
          <w:szCs w:val="24"/>
        </w:rPr>
      </w:pPr>
      <w:r>
        <w:rPr>
          <w:sz w:val="24"/>
          <w:szCs w:val="24"/>
        </w:rPr>
        <w:t>Augst</w:t>
      </w:r>
      <w:r>
        <w:rPr>
          <w:rFonts w:eastAsia="Times New Roman"/>
          <w:sz w:val="24"/>
          <w:szCs w:val="24"/>
        </w:rPr>
        <w:t xml:space="preserve">ākā tiesa šādā sastāvā: </w:t>
      </w:r>
    </w:p>
    <w:p w:rsidR="009067D9" w:rsidRDefault="00076F41" w:rsidP="009067D9">
      <w:pPr>
        <w:shd w:val="clear" w:color="auto" w:fill="FFFFFF"/>
        <w:spacing w:line="276" w:lineRule="auto"/>
        <w:ind w:left="1008" w:right="1" w:hanging="293"/>
        <w:rPr>
          <w:rFonts w:eastAsia="Times New Roman"/>
          <w:spacing w:val="-1"/>
          <w:sz w:val="24"/>
          <w:szCs w:val="24"/>
        </w:rPr>
      </w:pPr>
      <w:r>
        <w:rPr>
          <w:rFonts w:eastAsia="Times New Roman"/>
          <w:spacing w:val="-1"/>
          <w:sz w:val="24"/>
          <w:szCs w:val="24"/>
        </w:rPr>
        <w:t>tiesnese referente Anda Briede,</w:t>
      </w:r>
    </w:p>
    <w:p w:rsidR="009067D9" w:rsidRDefault="00076F41" w:rsidP="009067D9">
      <w:pPr>
        <w:shd w:val="clear" w:color="auto" w:fill="FFFFFF"/>
        <w:spacing w:line="276" w:lineRule="auto"/>
        <w:ind w:left="1008" w:right="1" w:hanging="293"/>
        <w:rPr>
          <w:rFonts w:eastAsia="Times New Roman"/>
          <w:sz w:val="24"/>
          <w:szCs w:val="24"/>
        </w:rPr>
      </w:pPr>
      <w:r>
        <w:rPr>
          <w:rFonts w:eastAsia="Times New Roman"/>
          <w:sz w:val="24"/>
          <w:szCs w:val="24"/>
        </w:rPr>
        <w:t>tiesnesis Valerijs Maksimovs,</w:t>
      </w:r>
    </w:p>
    <w:p w:rsidR="00844C3A" w:rsidRDefault="00076F41" w:rsidP="009067D9">
      <w:pPr>
        <w:shd w:val="clear" w:color="auto" w:fill="FFFFFF"/>
        <w:spacing w:line="276" w:lineRule="auto"/>
        <w:ind w:left="1008" w:right="1" w:hanging="293"/>
      </w:pPr>
      <w:r>
        <w:rPr>
          <w:rFonts w:eastAsia="Times New Roman"/>
          <w:sz w:val="24"/>
          <w:szCs w:val="24"/>
        </w:rPr>
        <w:t>tiesnese Marika Senkāne</w:t>
      </w:r>
    </w:p>
    <w:p w:rsidR="00844C3A" w:rsidRDefault="00076F41" w:rsidP="000A1A70">
      <w:pPr>
        <w:shd w:val="clear" w:color="auto" w:fill="FFFFFF"/>
        <w:spacing w:line="276" w:lineRule="auto"/>
        <w:ind w:firstLine="710"/>
        <w:jc w:val="both"/>
      </w:pPr>
      <w:r>
        <w:rPr>
          <w:sz w:val="24"/>
          <w:szCs w:val="24"/>
        </w:rPr>
        <w:t>rakstveida proces</w:t>
      </w:r>
      <w:r>
        <w:rPr>
          <w:rFonts w:eastAsia="Times New Roman"/>
          <w:sz w:val="24"/>
          <w:szCs w:val="24"/>
        </w:rPr>
        <w:t>ā izskatīja civillietu sakarā ar dzīvokļu īpašnieku kooperatīvās sabiedrības „</w:t>
      </w:r>
      <w:r w:rsidR="00AC13FF">
        <w:rPr>
          <w:rFonts w:eastAsia="Times New Roman"/>
          <w:sz w:val="24"/>
          <w:szCs w:val="24"/>
        </w:rPr>
        <w:t>[Nosaukums]</w:t>
      </w:r>
      <w:r>
        <w:rPr>
          <w:rFonts w:eastAsia="Times New Roman"/>
          <w:sz w:val="24"/>
          <w:szCs w:val="24"/>
        </w:rPr>
        <w:t xml:space="preserve">” kasācijas sūdzību par Latgales apgabaltiesas Civillietu tiesas kolēģijas </w:t>
      </w:r>
      <w:proofErr w:type="gramStart"/>
      <w:r>
        <w:rPr>
          <w:rFonts w:eastAsia="Times New Roman"/>
          <w:sz w:val="24"/>
          <w:szCs w:val="24"/>
        </w:rPr>
        <w:t>2016.gada</w:t>
      </w:r>
      <w:proofErr w:type="gramEnd"/>
      <w:r>
        <w:rPr>
          <w:rFonts w:eastAsia="Times New Roman"/>
          <w:sz w:val="24"/>
          <w:szCs w:val="24"/>
        </w:rPr>
        <w:t xml:space="preserve"> 25.februāra spriedumu dzīvokļu īpašnieku kooperatīvās sabiedrības „</w:t>
      </w:r>
      <w:r w:rsidR="00AC13FF">
        <w:rPr>
          <w:rFonts w:eastAsia="Times New Roman"/>
          <w:sz w:val="24"/>
          <w:szCs w:val="24"/>
        </w:rPr>
        <w:t>[Nosaukums]</w:t>
      </w:r>
      <w:r>
        <w:rPr>
          <w:rFonts w:eastAsia="Times New Roman"/>
          <w:sz w:val="24"/>
          <w:szCs w:val="24"/>
        </w:rPr>
        <w:t>” sūdzības lietā par zvērināta notāra rīcību.</w:t>
      </w:r>
    </w:p>
    <w:p w:rsidR="00844C3A" w:rsidRDefault="00076F41" w:rsidP="009067D9">
      <w:pPr>
        <w:shd w:val="clear" w:color="auto" w:fill="FFFFFF"/>
        <w:spacing w:before="120" w:after="120" w:line="276" w:lineRule="auto"/>
        <w:ind w:left="11"/>
        <w:jc w:val="center"/>
        <w:rPr>
          <w:rFonts w:eastAsia="Times New Roman"/>
          <w:b/>
          <w:bCs/>
          <w:spacing w:val="-2"/>
          <w:sz w:val="24"/>
          <w:szCs w:val="24"/>
        </w:rPr>
      </w:pPr>
      <w:r>
        <w:rPr>
          <w:b/>
          <w:bCs/>
          <w:spacing w:val="-2"/>
          <w:sz w:val="24"/>
          <w:szCs w:val="24"/>
        </w:rPr>
        <w:t>Apraksto</w:t>
      </w:r>
      <w:r>
        <w:rPr>
          <w:rFonts w:eastAsia="Times New Roman"/>
          <w:b/>
          <w:bCs/>
          <w:spacing w:val="-2"/>
          <w:sz w:val="24"/>
          <w:szCs w:val="24"/>
        </w:rPr>
        <w:t>šā daļa</w:t>
      </w:r>
    </w:p>
    <w:p w:rsidR="00844C3A" w:rsidRDefault="00076F41" w:rsidP="000A1A70">
      <w:pPr>
        <w:shd w:val="clear" w:color="auto" w:fill="FFFFFF"/>
        <w:spacing w:line="276" w:lineRule="auto"/>
        <w:ind w:firstLine="567"/>
      </w:pPr>
      <w:r>
        <w:rPr>
          <w:sz w:val="24"/>
          <w:szCs w:val="24"/>
        </w:rPr>
        <w:t>[1] Liet</w:t>
      </w:r>
      <w:r>
        <w:rPr>
          <w:rFonts w:eastAsia="Times New Roman"/>
          <w:sz w:val="24"/>
          <w:szCs w:val="24"/>
        </w:rPr>
        <w:t>ā ir nodibināti šādi faktiskie apstākļi:</w:t>
      </w:r>
    </w:p>
    <w:p w:rsidR="00844C3A" w:rsidRDefault="00076F41" w:rsidP="000A1A70">
      <w:pPr>
        <w:shd w:val="clear" w:color="auto" w:fill="FFFFFF"/>
        <w:spacing w:line="276" w:lineRule="auto"/>
        <w:ind w:firstLine="567"/>
        <w:jc w:val="both"/>
      </w:pPr>
      <w:r>
        <w:rPr>
          <w:spacing w:val="-1"/>
          <w:sz w:val="24"/>
          <w:szCs w:val="24"/>
        </w:rPr>
        <w:t>[1.1] dz</w:t>
      </w:r>
      <w:r>
        <w:rPr>
          <w:rFonts w:eastAsia="Times New Roman"/>
          <w:spacing w:val="-1"/>
          <w:sz w:val="24"/>
          <w:szCs w:val="24"/>
        </w:rPr>
        <w:t xml:space="preserve">īvokļu īpašnieku kooperatīvā sabiedrība (turpmāk – </w:t>
      </w:r>
      <w:proofErr w:type="spellStart"/>
      <w:r>
        <w:rPr>
          <w:rFonts w:eastAsia="Times New Roman"/>
          <w:spacing w:val="-1"/>
          <w:sz w:val="24"/>
          <w:szCs w:val="24"/>
        </w:rPr>
        <w:t>DzĪKS</w:t>
      </w:r>
      <w:proofErr w:type="spellEnd"/>
      <w:r>
        <w:rPr>
          <w:rFonts w:eastAsia="Times New Roman"/>
          <w:spacing w:val="-1"/>
          <w:sz w:val="24"/>
          <w:szCs w:val="24"/>
        </w:rPr>
        <w:t>) „</w:t>
      </w:r>
      <w:r w:rsidR="00AC13FF">
        <w:rPr>
          <w:rFonts w:eastAsia="Times New Roman"/>
          <w:spacing w:val="-1"/>
          <w:sz w:val="24"/>
          <w:szCs w:val="24"/>
        </w:rPr>
        <w:t>[Nosaukums]</w:t>
      </w:r>
      <w:r>
        <w:rPr>
          <w:rFonts w:eastAsia="Times New Roman"/>
          <w:spacing w:val="-1"/>
          <w:sz w:val="24"/>
          <w:szCs w:val="24"/>
        </w:rPr>
        <w:t xml:space="preserve">” </w:t>
      </w:r>
      <w:proofErr w:type="gramStart"/>
      <w:r>
        <w:rPr>
          <w:rFonts w:eastAsia="Times New Roman"/>
          <w:spacing w:val="-1"/>
          <w:sz w:val="24"/>
          <w:szCs w:val="24"/>
        </w:rPr>
        <w:t>2013.gada</w:t>
      </w:r>
      <w:proofErr w:type="gramEnd"/>
      <w:r>
        <w:rPr>
          <w:rFonts w:eastAsia="Times New Roman"/>
          <w:spacing w:val="-1"/>
          <w:sz w:val="24"/>
          <w:szCs w:val="24"/>
        </w:rPr>
        <w:t xml:space="preserve"> </w:t>
      </w:r>
      <w:r>
        <w:rPr>
          <w:rFonts w:eastAsia="Times New Roman"/>
          <w:sz w:val="24"/>
          <w:szCs w:val="24"/>
        </w:rPr>
        <w:t xml:space="preserve">24.jūlijā cēlusi tiesā maza apmēra prasību pret </w:t>
      </w:r>
      <w:r w:rsidR="009067D9">
        <w:rPr>
          <w:rFonts w:eastAsia="Times New Roman"/>
          <w:sz w:val="24"/>
          <w:szCs w:val="24"/>
        </w:rPr>
        <w:t xml:space="preserve">[pers. A] </w:t>
      </w:r>
      <w:r>
        <w:rPr>
          <w:rFonts w:eastAsia="Times New Roman"/>
          <w:sz w:val="24"/>
          <w:szCs w:val="24"/>
        </w:rPr>
        <w:t>par apsaimniekošanas un komunālo pakalpojumu parāda 501,33 LVL piedziņu;</w:t>
      </w:r>
    </w:p>
    <w:p w:rsidR="00844C3A" w:rsidRDefault="00076F41" w:rsidP="000A1A70">
      <w:pPr>
        <w:shd w:val="clear" w:color="auto" w:fill="FFFFFF"/>
        <w:spacing w:line="276" w:lineRule="auto"/>
        <w:ind w:right="10" w:firstLine="567"/>
        <w:jc w:val="both"/>
      </w:pPr>
      <w:r>
        <w:rPr>
          <w:sz w:val="24"/>
          <w:szCs w:val="24"/>
        </w:rPr>
        <w:t xml:space="preserve">[1.2] </w:t>
      </w:r>
      <w:r w:rsidR="009067D9">
        <w:rPr>
          <w:rFonts w:eastAsia="Times New Roman"/>
          <w:sz w:val="24"/>
          <w:szCs w:val="24"/>
        </w:rPr>
        <w:t>[pers. A]</w:t>
      </w:r>
      <w:r>
        <w:rPr>
          <w:sz w:val="24"/>
          <w:szCs w:val="24"/>
        </w:rPr>
        <w:t xml:space="preserve"> </w:t>
      </w:r>
      <w:proofErr w:type="gramStart"/>
      <w:r>
        <w:rPr>
          <w:sz w:val="24"/>
          <w:szCs w:val="24"/>
        </w:rPr>
        <w:t>2013.gada</w:t>
      </w:r>
      <w:proofErr w:type="gramEnd"/>
      <w:r>
        <w:rPr>
          <w:sz w:val="24"/>
          <w:szCs w:val="24"/>
        </w:rPr>
        <w:t xml:space="preserve"> 22.oktobr</w:t>
      </w:r>
      <w:r>
        <w:rPr>
          <w:rFonts w:eastAsia="Times New Roman"/>
          <w:sz w:val="24"/>
          <w:szCs w:val="24"/>
        </w:rPr>
        <w:t xml:space="preserve">ī mirusi un ar Rēzeknes tiesas 2013.gada </w:t>
      </w:r>
      <w:r>
        <w:rPr>
          <w:rFonts w:eastAsia="Times New Roman"/>
          <w:spacing w:val="-1"/>
          <w:sz w:val="24"/>
          <w:szCs w:val="24"/>
        </w:rPr>
        <w:t xml:space="preserve">3.decembra lēmumu tiesvedība civillietā apturēta līdz atbildētājas tiesību pārņēmēja noteikšanai vai </w:t>
      </w:r>
      <w:r>
        <w:rPr>
          <w:rFonts w:eastAsia="Times New Roman"/>
          <w:sz w:val="24"/>
          <w:szCs w:val="24"/>
        </w:rPr>
        <w:t>likumiskā pārstāvja iecelšanai;</w:t>
      </w:r>
    </w:p>
    <w:p w:rsidR="00844C3A" w:rsidRDefault="00076F41" w:rsidP="000A1A70">
      <w:pPr>
        <w:shd w:val="clear" w:color="auto" w:fill="FFFFFF"/>
        <w:spacing w:line="276" w:lineRule="auto"/>
        <w:ind w:right="5" w:firstLine="567"/>
        <w:jc w:val="both"/>
      </w:pPr>
      <w:r>
        <w:rPr>
          <w:sz w:val="24"/>
          <w:szCs w:val="24"/>
        </w:rPr>
        <w:t xml:space="preserve">[1.3] </w:t>
      </w:r>
      <w:proofErr w:type="spellStart"/>
      <w:r>
        <w:rPr>
          <w:sz w:val="24"/>
          <w:szCs w:val="24"/>
        </w:rPr>
        <w:t>Dz</w:t>
      </w:r>
      <w:r>
        <w:rPr>
          <w:rFonts w:eastAsia="Times New Roman"/>
          <w:sz w:val="24"/>
          <w:szCs w:val="24"/>
        </w:rPr>
        <w:t>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w:t>
      </w:r>
      <w:proofErr w:type="gramStart"/>
      <w:r>
        <w:rPr>
          <w:rFonts w:eastAsia="Times New Roman"/>
          <w:sz w:val="24"/>
          <w:szCs w:val="24"/>
        </w:rPr>
        <w:t>2014.gada</w:t>
      </w:r>
      <w:proofErr w:type="gramEnd"/>
      <w:r>
        <w:rPr>
          <w:rFonts w:eastAsia="Times New Roman"/>
          <w:sz w:val="24"/>
          <w:szCs w:val="24"/>
        </w:rPr>
        <w:t xml:space="preserve"> 30.septembrī vērsās pie zvērinātas notāres Sandras Romānes (turpmāk arī notāre) ar iesniegumu, kurā lūdza uzsākt </w:t>
      </w:r>
      <w:r w:rsidR="009067D9">
        <w:rPr>
          <w:rFonts w:eastAsia="Times New Roman"/>
          <w:sz w:val="24"/>
          <w:szCs w:val="24"/>
        </w:rPr>
        <w:t>[pers. A]</w:t>
      </w:r>
      <w:r>
        <w:rPr>
          <w:rFonts w:eastAsia="Times New Roman"/>
          <w:sz w:val="24"/>
          <w:szCs w:val="24"/>
        </w:rPr>
        <w:t xml:space="preserve"> mantojuma lietu un izsludināt mantojuma atklāšanos. Mantojuma atklāšanās izsludināta laikrakstā „Latvijas Vēstnesis” </w:t>
      </w:r>
      <w:proofErr w:type="gramStart"/>
      <w:r>
        <w:rPr>
          <w:rFonts w:eastAsia="Times New Roman"/>
          <w:sz w:val="24"/>
          <w:szCs w:val="24"/>
        </w:rPr>
        <w:t>2014.gada</w:t>
      </w:r>
      <w:proofErr w:type="gramEnd"/>
      <w:r>
        <w:rPr>
          <w:rFonts w:eastAsia="Times New Roman"/>
          <w:sz w:val="24"/>
          <w:szCs w:val="24"/>
        </w:rPr>
        <w:t xml:space="preserve"> 1.oktobrī ar uzaicinājuma termiņu septiņi mēneši, t.i., līdz 2015.gada 1.maijam;</w:t>
      </w:r>
    </w:p>
    <w:p w:rsidR="00844C3A" w:rsidRDefault="00076F41" w:rsidP="000A1A70">
      <w:pPr>
        <w:shd w:val="clear" w:color="auto" w:fill="FFFFFF"/>
        <w:spacing w:line="276" w:lineRule="auto"/>
        <w:ind w:right="10" w:firstLine="567"/>
        <w:jc w:val="both"/>
      </w:pPr>
      <w:r>
        <w:rPr>
          <w:sz w:val="24"/>
          <w:szCs w:val="24"/>
        </w:rPr>
        <w:t>[1.4] mantojuma liet</w:t>
      </w:r>
      <w:r>
        <w:rPr>
          <w:rFonts w:eastAsia="Times New Roman"/>
          <w:sz w:val="24"/>
          <w:szCs w:val="24"/>
        </w:rPr>
        <w:t xml:space="preserve">ā </w:t>
      </w:r>
      <w:proofErr w:type="gramStart"/>
      <w:r>
        <w:rPr>
          <w:rFonts w:eastAsia="Times New Roman"/>
          <w:sz w:val="24"/>
          <w:szCs w:val="24"/>
        </w:rPr>
        <w:t>2014.gada</w:t>
      </w:r>
      <w:proofErr w:type="gramEnd"/>
      <w:r>
        <w:rPr>
          <w:rFonts w:eastAsia="Times New Roman"/>
          <w:sz w:val="24"/>
          <w:szCs w:val="24"/>
        </w:rPr>
        <w:t xml:space="preserve"> 16.oktobrī taisīts akts par aizgādnības nodibināšanu mantojumam, bet ar Rēzeknes bāriņtiesas 2014.gada 12.novembra lēmumu par aizgādni mantojumam iecelta </w:t>
      </w:r>
      <w:r w:rsidR="009067D9">
        <w:rPr>
          <w:rFonts w:eastAsia="Times New Roman"/>
          <w:sz w:val="24"/>
          <w:szCs w:val="24"/>
        </w:rPr>
        <w:t>[pers. B]</w:t>
      </w:r>
      <w:r>
        <w:rPr>
          <w:rFonts w:eastAsia="Times New Roman"/>
          <w:sz w:val="24"/>
          <w:szCs w:val="24"/>
        </w:rPr>
        <w:t>;</w:t>
      </w:r>
    </w:p>
    <w:p w:rsidR="00844C3A" w:rsidRDefault="00076F41" w:rsidP="000A1A70">
      <w:pPr>
        <w:shd w:val="clear" w:color="auto" w:fill="FFFFFF"/>
        <w:spacing w:line="276" w:lineRule="auto"/>
        <w:ind w:firstLine="567"/>
        <w:jc w:val="both"/>
      </w:pPr>
      <w:r>
        <w:rPr>
          <w:sz w:val="24"/>
          <w:szCs w:val="24"/>
        </w:rPr>
        <w:t>[1.5] kreditora pretenziju par par</w:t>
      </w:r>
      <w:r>
        <w:rPr>
          <w:rFonts w:eastAsia="Times New Roman"/>
          <w:sz w:val="24"/>
          <w:szCs w:val="24"/>
        </w:rPr>
        <w:t xml:space="preserve">ādu 1858,38 EUR sakarā ar mirušās </w:t>
      </w:r>
      <w:r w:rsidR="009067D9">
        <w:rPr>
          <w:rFonts w:eastAsia="Times New Roman"/>
          <w:sz w:val="24"/>
          <w:szCs w:val="24"/>
        </w:rPr>
        <w:t>[pers. A]</w:t>
      </w:r>
      <w:r>
        <w:rPr>
          <w:rFonts w:eastAsia="Times New Roman"/>
          <w:sz w:val="24"/>
          <w:szCs w:val="24"/>
        </w:rPr>
        <w:t xml:space="preserve"> </w:t>
      </w:r>
      <w:r>
        <w:rPr>
          <w:rFonts w:eastAsia="Times New Roman"/>
          <w:spacing w:val="-1"/>
          <w:sz w:val="24"/>
          <w:szCs w:val="24"/>
        </w:rPr>
        <w:t xml:space="preserve">dzīvokļa </w:t>
      </w:r>
      <w:r w:rsidR="00AC13FF">
        <w:rPr>
          <w:rFonts w:eastAsia="Times New Roman"/>
          <w:spacing w:val="-1"/>
          <w:sz w:val="24"/>
          <w:szCs w:val="24"/>
        </w:rPr>
        <w:t>[adrese]</w:t>
      </w:r>
      <w:r>
        <w:rPr>
          <w:rFonts w:eastAsia="Times New Roman"/>
          <w:spacing w:val="-1"/>
          <w:sz w:val="24"/>
          <w:szCs w:val="24"/>
        </w:rPr>
        <w:t xml:space="preserve">, apsaimniekošanu un komunālajiem pakalpojumiem, kā </w:t>
      </w:r>
      <w:r>
        <w:rPr>
          <w:rFonts w:eastAsia="Times New Roman"/>
          <w:sz w:val="24"/>
          <w:szCs w:val="24"/>
        </w:rPr>
        <w:t xml:space="preserve">arī izdevumiem, kas saistīti ar mirušās mantas aizsardzību pēc viņas nāves,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iesniedza </w:t>
      </w:r>
      <w:proofErr w:type="gramStart"/>
      <w:r>
        <w:rPr>
          <w:rFonts w:eastAsia="Times New Roman"/>
          <w:sz w:val="24"/>
          <w:szCs w:val="24"/>
        </w:rPr>
        <w:t>2015.gada</w:t>
      </w:r>
      <w:proofErr w:type="gramEnd"/>
      <w:r>
        <w:rPr>
          <w:rFonts w:eastAsia="Times New Roman"/>
          <w:sz w:val="24"/>
          <w:szCs w:val="24"/>
        </w:rPr>
        <w:t xml:space="preserve"> 23.aprīlī;</w:t>
      </w:r>
    </w:p>
    <w:p w:rsidR="00844C3A" w:rsidRDefault="00076F41" w:rsidP="000A1A70">
      <w:pPr>
        <w:shd w:val="clear" w:color="auto" w:fill="FFFFFF"/>
        <w:spacing w:line="276" w:lineRule="auto"/>
        <w:ind w:firstLine="567"/>
        <w:jc w:val="both"/>
      </w:pPr>
      <w:r>
        <w:rPr>
          <w:sz w:val="24"/>
          <w:szCs w:val="24"/>
        </w:rPr>
        <w:t>[1.6] uzaicin</w:t>
      </w:r>
      <w:r>
        <w:rPr>
          <w:rFonts w:eastAsia="Times New Roman"/>
          <w:sz w:val="24"/>
          <w:szCs w:val="24"/>
        </w:rPr>
        <w:t xml:space="preserve">ājuma termiņā neviens mantinieks nepieteicās un notāre </w:t>
      </w:r>
      <w:proofErr w:type="gramStart"/>
      <w:r>
        <w:rPr>
          <w:rFonts w:eastAsia="Times New Roman"/>
          <w:sz w:val="24"/>
          <w:szCs w:val="24"/>
        </w:rPr>
        <w:t>2015.gada</w:t>
      </w:r>
      <w:proofErr w:type="gramEnd"/>
      <w:r>
        <w:rPr>
          <w:rFonts w:eastAsia="Times New Roman"/>
          <w:sz w:val="24"/>
          <w:szCs w:val="24"/>
        </w:rPr>
        <w:t xml:space="preserve"> 10.maijā </w:t>
      </w:r>
      <w:r>
        <w:rPr>
          <w:rFonts w:eastAsia="Times New Roman"/>
          <w:spacing w:val="-1"/>
          <w:sz w:val="24"/>
          <w:szCs w:val="24"/>
        </w:rPr>
        <w:t xml:space="preserve">taisīja aktu par mantojuma lietas izbeigšanu, aktā neietverot </w:t>
      </w:r>
      <w:proofErr w:type="spellStart"/>
      <w:r>
        <w:rPr>
          <w:rFonts w:eastAsia="Times New Roman"/>
          <w:spacing w:val="-1"/>
          <w:sz w:val="24"/>
          <w:szCs w:val="24"/>
        </w:rPr>
        <w:t>DzĪKS</w:t>
      </w:r>
      <w:proofErr w:type="spellEnd"/>
      <w:r>
        <w:rPr>
          <w:rFonts w:eastAsia="Times New Roman"/>
          <w:spacing w:val="-1"/>
          <w:sz w:val="24"/>
          <w:szCs w:val="24"/>
        </w:rPr>
        <w:t xml:space="preserve"> „</w:t>
      </w:r>
      <w:r w:rsidR="00AC13FF">
        <w:rPr>
          <w:rFonts w:eastAsia="Times New Roman"/>
          <w:spacing w:val="-1"/>
          <w:sz w:val="24"/>
          <w:szCs w:val="24"/>
        </w:rPr>
        <w:t>[Nosaukums]</w:t>
      </w:r>
      <w:r>
        <w:rPr>
          <w:rFonts w:eastAsia="Times New Roman"/>
          <w:spacing w:val="-1"/>
          <w:sz w:val="24"/>
          <w:szCs w:val="24"/>
        </w:rPr>
        <w:t xml:space="preserve">” pieteikto kreditora </w:t>
      </w:r>
      <w:r>
        <w:rPr>
          <w:rFonts w:eastAsia="Times New Roman"/>
          <w:sz w:val="24"/>
          <w:szCs w:val="24"/>
        </w:rPr>
        <w:t>pretenziju, jo prasījums neatbilst Civillikuma 416.panta otrajai daļai.</w:t>
      </w:r>
    </w:p>
    <w:p w:rsidR="00844C3A" w:rsidRDefault="00076F41" w:rsidP="000A1A70">
      <w:pPr>
        <w:shd w:val="clear" w:color="auto" w:fill="FFFFFF"/>
        <w:spacing w:line="276" w:lineRule="auto"/>
        <w:ind w:firstLine="567"/>
      </w:pPr>
      <w:r>
        <w:rPr>
          <w:sz w:val="24"/>
          <w:szCs w:val="24"/>
        </w:rPr>
        <w:t>Par min</w:t>
      </w:r>
      <w:r>
        <w:rPr>
          <w:rFonts w:eastAsia="Times New Roman"/>
          <w:sz w:val="24"/>
          <w:szCs w:val="24"/>
        </w:rPr>
        <w:t xml:space="preserve">ēto faktu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uzzināja </w:t>
      </w:r>
      <w:proofErr w:type="gramStart"/>
      <w:r>
        <w:rPr>
          <w:rFonts w:eastAsia="Times New Roman"/>
          <w:sz w:val="24"/>
          <w:szCs w:val="24"/>
        </w:rPr>
        <w:t>2015.gada</w:t>
      </w:r>
      <w:proofErr w:type="gramEnd"/>
      <w:r>
        <w:rPr>
          <w:rFonts w:eastAsia="Times New Roman"/>
          <w:sz w:val="24"/>
          <w:szCs w:val="24"/>
        </w:rPr>
        <w:t xml:space="preserve"> 25.maijā.</w:t>
      </w:r>
    </w:p>
    <w:p w:rsidR="00844C3A" w:rsidRDefault="00076F41" w:rsidP="000A1A70">
      <w:pPr>
        <w:shd w:val="clear" w:color="auto" w:fill="FFFFFF"/>
        <w:spacing w:line="276" w:lineRule="auto"/>
        <w:ind w:right="5" w:firstLine="567"/>
        <w:jc w:val="both"/>
      </w:pPr>
      <w:r>
        <w:rPr>
          <w:sz w:val="24"/>
          <w:szCs w:val="24"/>
        </w:rPr>
        <w:lastRenderedPageBreak/>
        <w:t xml:space="preserve">[2] </w:t>
      </w:r>
      <w:proofErr w:type="spellStart"/>
      <w:r>
        <w:rPr>
          <w:sz w:val="24"/>
          <w:szCs w:val="24"/>
        </w:rPr>
        <w:t>Dz</w:t>
      </w:r>
      <w:r>
        <w:rPr>
          <w:rFonts w:eastAsia="Times New Roman"/>
          <w:sz w:val="24"/>
          <w:szCs w:val="24"/>
        </w:rPr>
        <w:t>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w:t>
      </w:r>
      <w:proofErr w:type="gramStart"/>
      <w:r>
        <w:rPr>
          <w:rFonts w:eastAsia="Times New Roman"/>
          <w:sz w:val="24"/>
          <w:szCs w:val="24"/>
        </w:rPr>
        <w:t>2015.gada</w:t>
      </w:r>
      <w:proofErr w:type="gramEnd"/>
      <w:r>
        <w:rPr>
          <w:rFonts w:eastAsia="Times New Roman"/>
          <w:sz w:val="24"/>
          <w:szCs w:val="24"/>
        </w:rPr>
        <w:t xml:space="preserve"> 18.jūnijā iesniedza tiesā sūdzību, kurā, pamatojoties uz Notariāta likuma 205.pantu, lūgusi novērst notāres rīcībā nepareizības un nelikumības, neiekļaujot kreditora pretenziju aktā par mantojuma lietas izbeigšanu.</w:t>
      </w:r>
    </w:p>
    <w:p w:rsidR="00844C3A" w:rsidRDefault="00076F41" w:rsidP="000A1A70">
      <w:pPr>
        <w:shd w:val="clear" w:color="auto" w:fill="FFFFFF"/>
        <w:spacing w:line="276" w:lineRule="auto"/>
        <w:ind w:firstLine="567"/>
        <w:jc w:val="both"/>
      </w:pPr>
      <w:r>
        <w:rPr>
          <w:sz w:val="24"/>
          <w:szCs w:val="24"/>
        </w:rPr>
        <w:t>S</w:t>
      </w:r>
      <w:r>
        <w:rPr>
          <w:rFonts w:eastAsia="Times New Roman"/>
          <w:sz w:val="24"/>
          <w:szCs w:val="24"/>
        </w:rPr>
        <w:t xml:space="preserve">ūdzībā norādīts, ka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ir atņemtas likumiskās tiesības apmierināt savu kreditora prasījumu no mirušās personas mantojuma mantas. Notāre ir pārkāpusi viņai piešķirto tiesību robežas, jo neviena tiesību norma nepiešķir viņai tiesības pārbaudīt iesniedzēja pretenzijas pamatotību. Likums neparedz iespēju notāram aktā nenorādīt termiņā pieteiktās kreditoru pretenzijas, ja kreditors nav iesniedzis spēkā esošu tiesas nolēmumu, ar kuru šī kreditora pretenzija atzīta. Kreditoram nav pienākuma iesniegt notāram izpildu dokumentus. Kārtojot mantojuma lietas, notāra pienākums ir tikai fiksēt termiņā iesniegtās kreditoru pretenzijas, nevis šīs pretenzijas pārbaudīt un tās atzīt vai noraidīt. Turklāt notariālajā aktā iekļauta cita kreditora (Rēzeknes pilsētas domes) pretenzija, kas balstīta tikai uz kreditora pieteikuma pamata. Nekāds spēkā esošs tiesas spriedums notārei šajā gadījumā netika iesniegts. Cits dokuments (spēkā esošs publisks akts)</w:t>
      </w:r>
      <w:r w:rsidR="000A1A70">
        <w:rPr>
          <w:rFonts w:eastAsia="Times New Roman"/>
          <w:sz w:val="24"/>
          <w:szCs w:val="24"/>
        </w:rPr>
        <w:t xml:space="preserve"> </w:t>
      </w:r>
      <w:r>
        <w:rPr>
          <w:sz w:val="24"/>
          <w:szCs w:val="24"/>
        </w:rPr>
        <w:t>nevar</w:t>
      </w:r>
      <w:r>
        <w:rPr>
          <w:rFonts w:eastAsia="Times New Roman"/>
          <w:sz w:val="24"/>
          <w:szCs w:val="24"/>
        </w:rPr>
        <w:t>ēja būt pieņemts sakarā ar parādnieces nāvi. Tādējādi ir pamats uzskatīt, ka notāre, sastādot aktu par mantojuma lietas izbeigšanu, nav ievērojusi arī vienlīdzības principu.</w:t>
      </w:r>
    </w:p>
    <w:p w:rsidR="00844C3A" w:rsidRDefault="00076F41" w:rsidP="009067D9">
      <w:pPr>
        <w:shd w:val="clear" w:color="auto" w:fill="FFFFFF"/>
        <w:spacing w:line="276" w:lineRule="auto"/>
        <w:ind w:firstLine="567"/>
        <w:jc w:val="both"/>
      </w:pPr>
      <w:r>
        <w:rPr>
          <w:spacing w:val="-1"/>
          <w:sz w:val="24"/>
          <w:szCs w:val="24"/>
        </w:rPr>
        <w:t>[2] Ar R</w:t>
      </w:r>
      <w:r>
        <w:rPr>
          <w:rFonts w:eastAsia="Times New Roman"/>
          <w:spacing w:val="-1"/>
          <w:sz w:val="24"/>
          <w:szCs w:val="24"/>
        </w:rPr>
        <w:t xml:space="preserve">ēzeknes tiesas </w:t>
      </w:r>
      <w:proofErr w:type="gramStart"/>
      <w:r>
        <w:rPr>
          <w:rFonts w:eastAsia="Times New Roman"/>
          <w:spacing w:val="-1"/>
          <w:sz w:val="24"/>
          <w:szCs w:val="24"/>
        </w:rPr>
        <w:t>2015.gada</w:t>
      </w:r>
      <w:proofErr w:type="gramEnd"/>
      <w:r>
        <w:rPr>
          <w:rFonts w:eastAsia="Times New Roman"/>
          <w:spacing w:val="-1"/>
          <w:sz w:val="24"/>
          <w:szCs w:val="24"/>
        </w:rPr>
        <w:t xml:space="preserve"> 8.jūlija spriedumu </w:t>
      </w:r>
      <w:proofErr w:type="spellStart"/>
      <w:r>
        <w:rPr>
          <w:rFonts w:eastAsia="Times New Roman"/>
          <w:spacing w:val="-1"/>
          <w:sz w:val="24"/>
          <w:szCs w:val="24"/>
        </w:rPr>
        <w:t>DzĪKS</w:t>
      </w:r>
      <w:proofErr w:type="spellEnd"/>
      <w:r>
        <w:rPr>
          <w:rFonts w:eastAsia="Times New Roman"/>
          <w:spacing w:val="-1"/>
          <w:sz w:val="24"/>
          <w:szCs w:val="24"/>
        </w:rPr>
        <w:t xml:space="preserve"> „</w:t>
      </w:r>
      <w:r w:rsidR="00AC13FF">
        <w:rPr>
          <w:rFonts w:eastAsia="Times New Roman"/>
          <w:spacing w:val="-1"/>
          <w:sz w:val="24"/>
          <w:szCs w:val="24"/>
        </w:rPr>
        <w:t>[Nosaukums]</w:t>
      </w:r>
      <w:r>
        <w:rPr>
          <w:rFonts w:eastAsia="Times New Roman"/>
          <w:spacing w:val="-1"/>
          <w:sz w:val="24"/>
          <w:szCs w:val="24"/>
        </w:rPr>
        <w:t>” sūdzība noraidīta.</w:t>
      </w:r>
    </w:p>
    <w:p w:rsidR="00844C3A" w:rsidRDefault="00076F41" w:rsidP="000A1A70">
      <w:pPr>
        <w:shd w:val="clear" w:color="auto" w:fill="FFFFFF"/>
        <w:spacing w:line="276" w:lineRule="auto"/>
        <w:ind w:firstLine="567"/>
        <w:jc w:val="both"/>
      </w:pPr>
      <w:r>
        <w:rPr>
          <w:sz w:val="24"/>
          <w:szCs w:val="24"/>
        </w:rPr>
        <w:t>Ar Latgales apgabaltiesas Civillietu tiesas kol</w:t>
      </w:r>
      <w:r>
        <w:rPr>
          <w:rFonts w:eastAsia="Times New Roman"/>
          <w:sz w:val="24"/>
          <w:szCs w:val="24"/>
        </w:rPr>
        <w:t xml:space="preserve">ēģijas </w:t>
      </w:r>
      <w:proofErr w:type="gramStart"/>
      <w:r>
        <w:rPr>
          <w:rFonts w:eastAsia="Times New Roman"/>
          <w:sz w:val="24"/>
          <w:szCs w:val="24"/>
        </w:rPr>
        <w:t>2015.gada</w:t>
      </w:r>
      <w:proofErr w:type="gramEnd"/>
      <w:r>
        <w:rPr>
          <w:rFonts w:eastAsia="Times New Roman"/>
          <w:sz w:val="24"/>
          <w:szCs w:val="24"/>
        </w:rPr>
        <w:t xml:space="preserve"> 29.septembra lēmumu iepriekš minētais spriedums atcelts un sūdzība nodota jaunai izskatīšanai pirmās instances tiesā.</w:t>
      </w:r>
    </w:p>
    <w:p w:rsidR="00844C3A" w:rsidRDefault="00076F41" w:rsidP="000A1A70">
      <w:pPr>
        <w:shd w:val="clear" w:color="auto" w:fill="FFFFFF"/>
        <w:spacing w:line="276" w:lineRule="auto"/>
        <w:ind w:right="10" w:firstLine="567"/>
        <w:jc w:val="both"/>
      </w:pPr>
      <w:r>
        <w:rPr>
          <w:sz w:val="24"/>
          <w:szCs w:val="24"/>
        </w:rPr>
        <w:t>[3] Izskatot s</w:t>
      </w:r>
      <w:r>
        <w:rPr>
          <w:rFonts w:eastAsia="Times New Roman"/>
          <w:sz w:val="24"/>
          <w:szCs w:val="24"/>
        </w:rPr>
        <w:t xml:space="preserve">ūdzību no jauna, Rēzeknes tiesa </w:t>
      </w:r>
      <w:proofErr w:type="gramStart"/>
      <w:r>
        <w:rPr>
          <w:rFonts w:eastAsia="Times New Roman"/>
          <w:sz w:val="24"/>
          <w:szCs w:val="24"/>
        </w:rPr>
        <w:t>2015.gada</w:t>
      </w:r>
      <w:proofErr w:type="gramEnd"/>
      <w:r>
        <w:rPr>
          <w:rFonts w:eastAsia="Times New Roman"/>
          <w:sz w:val="24"/>
          <w:szCs w:val="24"/>
        </w:rPr>
        <w:t xml:space="preserve"> 19.novembrī, kā arī Latgales apgabaltiesas Civillietu tiesas kolēģija 2016.gada 25.februārī, izskatot lietu apelācijas kārtībā, nosprieda sūdzību noraidīt.</w:t>
      </w:r>
    </w:p>
    <w:p w:rsidR="00844C3A" w:rsidRDefault="00076F41" w:rsidP="000A1A70">
      <w:pPr>
        <w:shd w:val="clear" w:color="auto" w:fill="FFFFFF"/>
        <w:spacing w:line="276" w:lineRule="auto"/>
        <w:ind w:firstLine="567"/>
        <w:jc w:val="both"/>
      </w:pPr>
      <w:r>
        <w:rPr>
          <w:sz w:val="24"/>
          <w:szCs w:val="24"/>
        </w:rPr>
        <w:t>Apel</w:t>
      </w:r>
      <w:r>
        <w:rPr>
          <w:rFonts w:eastAsia="Times New Roman"/>
          <w:sz w:val="24"/>
          <w:szCs w:val="24"/>
        </w:rPr>
        <w:t>ācijas instances tiesas spriedums pamatots ar tālāk minētajiem argumentiem.</w:t>
      </w:r>
    </w:p>
    <w:p w:rsidR="00844C3A" w:rsidRDefault="00076F41" w:rsidP="000A1A70">
      <w:pPr>
        <w:shd w:val="clear" w:color="auto" w:fill="FFFFFF"/>
        <w:spacing w:line="276" w:lineRule="auto"/>
        <w:ind w:firstLine="567"/>
        <w:jc w:val="both"/>
      </w:pPr>
      <w:r>
        <w:rPr>
          <w:sz w:val="24"/>
          <w:szCs w:val="24"/>
        </w:rPr>
        <w:t>[3.1] Notari</w:t>
      </w:r>
      <w:r>
        <w:rPr>
          <w:rFonts w:eastAsia="Times New Roman"/>
          <w:sz w:val="24"/>
          <w:szCs w:val="24"/>
        </w:rPr>
        <w:t xml:space="preserve">āta likuma </w:t>
      </w:r>
      <w:proofErr w:type="gramStart"/>
      <w:r>
        <w:rPr>
          <w:rFonts w:eastAsia="Times New Roman"/>
          <w:sz w:val="24"/>
          <w:szCs w:val="24"/>
        </w:rPr>
        <w:t>306.panta</w:t>
      </w:r>
      <w:proofErr w:type="gramEnd"/>
      <w:r>
        <w:rPr>
          <w:rFonts w:eastAsia="Times New Roman"/>
          <w:sz w:val="24"/>
          <w:szCs w:val="24"/>
        </w:rPr>
        <w:t xml:space="preserve"> pirmā un otrā daļa noteic – ja uzaicinājumā noteiktajā termiņā mantinieks nav pieteicies vai atteicies no mantojuma, zvērināts notārs taisa notariālo aktu par mantojuma lietas izbeigšanu, kurā cita starpā norāda pieteiktās kreditoru pretenzijas. Savukārt Civillikuma </w:t>
      </w:r>
      <w:proofErr w:type="gramStart"/>
      <w:r>
        <w:rPr>
          <w:rFonts w:eastAsia="Times New Roman"/>
          <w:sz w:val="24"/>
          <w:szCs w:val="24"/>
        </w:rPr>
        <w:t>416.panta</w:t>
      </w:r>
      <w:proofErr w:type="gramEnd"/>
      <w:r>
        <w:rPr>
          <w:rFonts w:eastAsia="Times New Roman"/>
          <w:sz w:val="24"/>
          <w:szCs w:val="24"/>
        </w:rPr>
        <w:t xml:space="preserve"> otrā daļa reglamentē, kuri parādi tiks segti no bezmantinieka mantas atsavināšanas rezultātā iegūtajiem līdzekļiem.</w:t>
      </w:r>
    </w:p>
    <w:p w:rsidR="00844C3A" w:rsidRDefault="00076F41" w:rsidP="000A1A70">
      <w:pPr>
        <w:shd w:val="clear" w:color="auto" w:fill="FFFFFF"/>
        <w:spacing w:line="276" w:lineRule="auto"/>
        <w:ind w:right="10" w:firstLine="567"/>
        <w:jc w:val="both"/>
      </w:pPr>
      <w:r>
        <w:rPr>
          <w:sz w:val="24"/>
          <w:szCs w:val="24"/>
        </w:rPr>
        <w:t>S</w:t>
      </w:r>
      <w:r>
        <w:rPr>
          <w:rFonts w:eastAsia="Times New Roman"/>
          <w:sz w:val="24"/>
          <w:szCs w:val="24"/>
        </w:rPr>
        <w:t xml:space="preserve">ūdzības iesniedzēja kļūdaini uzskata, ka zvērinātam notāram aktā par mantojuma lietas izbeigšanu jānorāda visas noteiktā laikā pieteiktās pretenzijas, jo jānorāda vienīgi tie prasījumi, kurus valsts atzīst saskaņā ar spēkā esošu likumu, t.i., prasījumi, kas izriet no publiska akta vai saistības, kas atzītas ar spēkā stājušos tiesas nolēmumu. Tādēļ kreditoram jāgādā par šādu pierādījumu savlaicīgu iesniegšanu, par ko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mantojuma lietas ietvaros tika paziņots ar 2014.gada 10.oktobra vēstuli. Atbilstoši Civillikuma 416.panta otrajai daļai valsts atzīst </w:t>
      </w:r>
      <w:r>
        <w:rPr>
          <w:rFonts w:eastAsia="Times New Roman"/>
          <w:spacing w:val="-1"/>
          <w:sz w:val="24"/>
          <w:szCs w:val="24"/>
        </w:rPr>
        <w:t xml:space="preserve">tādus parādus, par kuru esību un patiesumu nevar rasties šaubas, panta mērķis ir novērst tāda parāda </w:t>
      </w:r>
      <w:r>
        <w:rPr>
          <w:rFonts w:eastAsia="Times New Roman"/>
          <w:sz w:val="24"/>
          <w:szCs w:val="24"/>
        </w:rPr>
        <w:t>atzīšanu, kura izcelsme nav droša.</w:t>
      </w:r>
    </w:p>
    <w:p w:rsidR="00844C3A" w:rsidRDefault="00076F41" w:rsidP="000A1A70">
      <w:pPr>
        <w:shd w:val="clear" w:color="auto" w:fill="FFFFFF"/>
        <w:spacing w:line="276" w:lineRule="auto"/>
        <w:ind w:firstLine="567"/>
        <w:jc w:val="both"/>
      </w:pPr>
      <w:r>
        <w:rPr>
          <w:sz w:val="24"/>
          <w:szCs w:val="24"/>
        </w:rPr>
        <w:t>[3.2] R</w:t>
      </w:r>
      <w:r>
        <w:rPr>
          <w:rFonts w:eastAsia="Times New Roman"/>
          <w:sz w:val="24"/>
          <w:szCs w:val="24"/>
        </w:rPr>
        <w:t xml:space="preserve">ēzeknes pilsētas domes pieteiktais kreditora prasījums atzīts pamatoti, jo paziņojumi par nodokļiem, kas maksājami par nekustamo īpašumu – bezmantinieku mantu, ir uzskatāmi par publiskiem aktiem Civillikuma </w:t>
      </w:r>
      <w:proofErr w:type="gramStart"/>
      <w:r>
        <w:rPr>
          <w:rFonts w:eastAsia="Times New Roman"/>
          <w:sz w:val="24"/>
          <w:szCs w:val="24"/>
        </w:rPr>
        <w:t>416.panta</w:t>
      </w:r>
      <w:proofErr w:type="gramEnd"/>
      <w:r>
        <w:rPr>
          <w:rFonts w:eastAsia="Times New Roman"/>
          <w:sz w:val="24"/>
          <w:szCs w:val="24"/>
        </w:rPr>
        <w:t xml:space="preserve"> otrās daļas izpratnē un nav nepieciešams celt tiesā </w:t>
      </w:r>
      <w:r>
        <w:rPr>
          <w:rFonts w:eastAsia="Times New Roman"/>
          <w:spacing w:val="-1"/>
          <w:sz w:val="24"/>
          <w:szCs w:val="24"/>
        </w:rPr>
        <w:t xml:space="preserve">prasību. Arī Ministru kabineta </w:t>
      </w:r>
      <w:proofErr w:type="gramStart"/>
      <w:r>
        <w:rPr>
          <w:rFonts w:eastAsia="Times New Roman"/>
          <w:spacing w:val="-1"/>
          <w:sz w:val="24"/>
          <w:szCs w:val="24"/>
        </w:rPr>
        <w:t>2013.gada</w:t>
      </w:r>
      <w:proofErr w:type="gramEnd"/>
      <w:r>
        <w:rPr>
          <w:rFonts w:eastAsia="Times New Roman"/>
          <w:spacing w:val="-1"/>
          <w:sz w:val="24"/>
          <w:szCs w:val="24"/>
        </w:rPr>
        <w:t xml:space="preserve"> 2.jūlija noteikumu Nr. 364 „Noteikumi par zvērināta tiesu </w:t>
      </w:r>
      <w:r>
        <w:rPr>
          <w:rFonts w:eastAsia="Times New Roman"/>
          <w:sz w:val="24"/>
          <w:szCs w:val="24"/>
        </w:rPr>
        <w:t>izpildītāja rīcību ar bezmantinieku mantu” 121.2. un 124.2.apakšpunkts paredz prasījumu par nodokļu maksājumiem segšanu.</w:t>
      </w:r>
    </w:p>
    <w:p w:rsidR="00844C3A" w:rsidRDefault="00076F41" w:rsidP="000A1A70">
      <w:pPr>
        <w:shd w:val="clear" w:color="auto" w:fill="FFFFFF"/>
        <w:spacing w:line="276" w:lineRule="auto"/>
        <w:ind w:firstLine="567"/>
        <w:jc w:val="both"/>
      </w:pPr>
      <w:r>
        <w:rPr>
          <w:sz w:val="24"/>
          <w:szCs w:val="24"/>
        </w:rPr>
        <w:t>[3.3] Pirm</w:t>
      </w:r>
      <w:r>
        <w:rPr>
          <w:rFonts w:eastAsia="Times New Roman"/>
          <w:sz w:val="24"/>
          <w:szCs w:val="24"/>
        </w:rPr>
        <w:t xml:space="preserve">ās instances tiesa pamatoti norādījusi, ka starp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un </w:t>
      </w:r>
      <w:r w:rsidR="009067D9">
        <w:rPr>
          <w:rFonts w:eastAsia="Times New Roman"/>
          <w:sz w:val="24"/>
          <w:szCs w:val="24"/>
        </w:rPr>
        <w:t>[pers. A]</w:t>
      </w:r>
      <w:r>
        <w:rPr>
          <w:rFonts w:eastAsia="Times New Roman"/>
          <w:sz w:val="24"/>
          <w:szCs w:val="24"/>
        </w:rPr>
        <w:t xml:space="preserve"> bija nodibināta civiltiesiska attiecība, mantojuma atstājējas pienākums samaksāt </w:t>
      </w:r>
      <w:r>
        <w:rPr>
          <w:rFonts w:eastAsia="Times New Roman"/>
          <w:sz w:val="24"/>
          <w:szCs w:val="24"/>
        </w:rPr>
        <w:lastRenderedPageBreak/>
        <w:t xml:space="preserve">par apsaimniekošanas un komunālajiem pakalpojumiem ietilpa mantojuma masā. Mantojuma masa ir patstāvīgs tiesību subjekts (juridiska persona), taču tas izbeidzas brīdī, kad mantojuma tiesībās tiek apstiprināti mantinieki, uz kuriem pāriet mantojuma atstājējas saistības, vai kad tiek taisīts akts par mantojuma lietas izbeigšanu. Valsts tikai pārņem palikušo mantu un norēķinās ar kreditoriem saskaņā ar Civillikuma </w:t>
      </w:r>
      <w:proofErr w:type="gramStart"/>
      <w:r>
        <w:rPr>
          <w:rFonts w:eastAsia="Times New Roman"/>
          <w:sz w:val="24"/>
          <w:szCs w:val="24"/>
        </w:rPr>
        <w:t>416.panta</w:t>
      </w:r>
      <w:proofErr w:type="gramEnd"/>
      <w:r>
        <w:rPr>
          <w:rFonts w:eastAsia="Times New Roman"/>
          <w:sz w:val="24"/>
          <w:szCs w:val="24"/>
        </w:rPr>
        <w:t xml:space="preserve"> otrajā daļā noteikto, valstij nepāriet tiesiskā attiecība, kāda</w:t>
      </w:r>
      <w:r w:rsidR="000A1A70">
        <w:rPr>
          <w:rFonts w:eastAsia="Times New Roman"/>
          <w:sz w:val="24"/>
          <w:szCs w:val="24"/>
        </w:rPr>
        <w:t xml:space="preserve"> </w:t>
      </w:r>
      <w:r>
        <w:rPr>
          <w:sz w:val="24"/>
          <w:szCs w:val="24"/>
        </w:rPr>
        <w:t>past</w:t>
      </w:r>
      <w:r>
        <w:rPr>
          <w:rFonts w:eastAsia="Times New Roman"/>
          <w:sz w:val="24"/>
          <w:szCs w:val="24"/>
        </w:rPr>
        <w:t xml:space="preserve">āvēja starp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un </w:t>
      </w:r>
      <w:r w:rsidR="009067D9">
        <w:rPr>
          <w:rFonts w:eastAsia="Times New Roman"/>
          <w:sz w:val="24"/>
          <w:szCs w:val="24"/>
        </w:rPr>
        <w:t>[pers. A]</w:t>
      </w:r>
      <w:r>
        <w:rPr>
          <w:rFonts w:eastAsia="Times New Roman"/>
          <w:sz w:val="24"/>
          <w:szCs w:val="24"/>
        </w:rPr>
        <w:t xml:space="preserve"> mantojuma masu.</w:t>
      </w:r>
    </w:p>
    <w:p w:rsidR="00844C3A" w:rsidRDefault="00076F41" w:rsidP="000A1A70">
      <w:pPr>
        <w:shd w:val="clear" w:color="auto" w:fill="FFFFFF"/>
        <w:spacing w:line="276" w:lineRule="auto"/>
        <w:ind w:right="10" w:firstLine="567"/>
        <w:jc w:val="both"/>
      </w:pPr>
      <w:r>
        <w:rPr>
          <w:sz w:val="24"/>
          <w:szCs w:val="24"/>
        </w:rPr>
        <w:t>[3.4] Civillikuma un Notari</w:t>
      </w:r>
      <w:r>
        <w:rPr>
          <w:rFonts w:eastAsia="Times New Roman"/>
          <w:sz w:val="24"/>
          <w:szCs w:val="24"/>
        </w:rPr>
        <w:t xml:space="preserve">āta likuma grozījumi pieņemti, lai veicinātu atsavināšanas procesa ātrāku norisi un kreditoru prasījumu apmierināšanu. Tāpat skaidrots, ka valsts nav </w:t>
      </w:r>
      <w:r>
        <w:rPr>
          <w:rFonts w:eastAsia="Times New Roman"/>
          <w:spacing w:val="-1"/>
          <w:sz w:val="24"/>
          <w:szCs w:val="24"/>
        </w:rPr>
        <w:t>uzskatāma par mirušās personas mantinieku un saistību pārņēmēju pilnā apmērā, tādēļ,</w:t>
      </w:r>
      <w:proofErr w:type="gramStart"/>
      <w:r>
        <w:rPr>
          <w:rFonts w:eastAsia="Times New Roman"/>
          <w:spacing w:val="-1"/>
          <w:sz w:val="24"/>
          <w:szCs w:val="24"/>
        </w:rPr>
        <w:t xml:space="preserve"> lai novērstu </w:t>
      </w:r>
      <w:r>
        <w:rPr>
          <w:rFonts w:eastAsia="Times New Roman"/>
          <w:sz w:val="24"/>
          <w:szCs w:val="24"/>
        </w:rPr>
        <w:t>domstarpības par kreditoru prasījumu apmēru, kas tiks apmierināts no līdzekļiem, kurus zvērināti tiesu izpildītāji iegūs, atsavinot bezmantinieku mantu, šīs summas jānofiksē ar notariālā akta par mantojuma lietas izbeigšanu taisīšanas brīdi</w:t>
      </w:r>
      <w:proofErr w:type="gramEnd"/>
      <w:r>
        <w:rPr>
          <w:rFonts w:eastAsia="Times New Roman"/>
          <w:sz w:val="24"/>
          <w:szCs w:val="24"/>
        </w:rPr>
        <w:t>, kā arī kreditoru pretenziju apjoms (</w:t>
      </w:r>
      <w:r>
        <w:rPr>
          <w:rFonts w:eastAsia="Times New Roman"/>
          <w:i/>
          <w:iCs/>
          <w:sz w:val="24"/>
          <w:szCs w:val="24"/>
        </w:rPr>
        <w:t xml:space="preserve">sk. </w:t>
      </w:r>
      <w:hyperlink r:id="rId5" w:history="1">
        <w:r>
          <w:rPr>
            <w:rFonts w:eastAsia="Times New Roman"/>
            <w:i/>
            <w:iCs/>
            <w:sz w:val="24"/>
            <w:szCs w:val="24"/>
            <w:u w:val="single"/>
          </w:rPr>
          <w:t>http://titania.saeima.lv/LIVSaa/Saeima</w:t>
        </w:r>
      </w:hyperlink>
      <w:r>
        <w:rPr>
          <w:rFonts w:eastAsia="Times New Roman"/>
          <w:i/>
          <w:iCs/>
          <w:sz w:val="24"/>
          <w:szCs w:val="24"/>
        </w:rPr>
        <w:t xml:space="preserve"> LIVS11.nsf/0/DE95D75082A1C554C2257960</w:t>
      </w:r>
      <w:r>
        <w:rPr>
          <w:rFonts w:eastAsia="Times New Roman"/>
          <w:sz w:val="24"/>
          <w:szCs w:val="24"/>
        </w:rPr>
        <w:t>).</w:t>
      </w:r>
    </w:p>
    <w:p w:rsidR="00844C3A" w:rsidRDefault="00076F41" w:rsidP="000A1A70">
      <w:pPr>
        <w:shd w:val="clear" w:color="auto" w:fill="FFFFFF"/>
        <w:spacing w:line="276" w:lineRule="auto"/>
        <w:ind w:firstLine="567"/>
        <w:jc w:val="both"/>
      </w:pPr>
      <w:r>
        <w:rPr>
          <w:sz w:val="24"/>
          <w:szCs w:val="24"/>
        </w:rPr>
        <w:t>Zv</w:t>
      </w:r>
      <w:r>
        <w:rPr>
          <w:rFonts w:eastAsia="Times New Roman"/>
          <w:sz w:val="24"/>
          <w:szCs w:val="24"/>
        </w:rPr>
        <w:t xml:space="preserve">ērināts notārs nepārbauda un nevērtē iesniegtās kreditora pretenzijas pamatu (Notariāta likuma </w:t>
      </w:r>
      <w:proofErr w:type="gramStart"/>
      <w:r>
        <w:rPr>
          <w:rFonts w:eastAsia="Times New Roman"/>
          <w:sz w:val="24"/>
          <w:szCs w:val="24"/>
        </w:rPr>
        <w:t>303.pants</w:t>
      </w:r>
      <w:proofErr w:type="gramEnd"/>
      <w:r>
        <w:rPr>
          <w:rFonts w:eastAsia="Times New Roman"/>
          <w:sz w:val="24"/>
          <w:szCs w:val="24"/>
        </w:rPr>
        <w:t xml:space="preserve">). Lai novērstu mantas apgrūtināšanu ar fiktīvām saistībām un nodrošinātu, ka kreditoru prasības ir ticamas un nav apšaubāmas, svarīgi pārliecināties par saistības pastāvēšanu un pamatotību no publiskiem aktiem vai publiskiem reģistriem, vai spēkā esošiem tiesas nolēmumiem </w:t>
      </w:r>
      <w:proofErr w:type="gramStart"/>
      <w:r>
        <w:rPr>
          <w:rFonts w:eastAsia="Times New Roman"/>
          <w:sz w:val="24"/>
          <w:szCs w:val="24"/>
        </w:rPr>
        <w:t>(</w:t>
      </w:r>
      <w:proofErr w:type="gramEnd"/>
      <w:r>
        <w:rPr>
          <w:rFonts w:eastAsia="Times New Roman"/>
          <w:i/>
          <w:iCs/>
          <w:sz w:val="24"/>
          <w:szCs w:val="24"/>
        </w:rPr>
        <w:t xml:space="preserve">sk. </w:t>
      </w:r>
      <w:hyperlink r:id="rId6" w:history="1">
        <w:r>
          <w:rPr>
            <w:rFonts w:eastAsia="Times New Roman"/>
            <w:i/>
            <w:iCs/>
            <w:sz w:val="24"/>
            <w:szCs w:val="24"/>
            <w:u w:val="single"/>
          </w:rPr>
          <w:t>http://saeima.lv/lv/</w:t>
        </w:r>
      </w:hyperlink>
      <w:r>
        <w:rPr>
          <w:rFonts w:eastAsia="Times New Roman"/>
          <w:i/>
          <w:iCs/>
          <w:sz w:val="24"/>
          <w:szCs w:val="24"/>
        </w:rPr>
        <w:t xml:space="preserve"> </w:t>
      </w:r>
      <w:proofErr w:type="spellStart"/>
      <w:r>
        <w:rPr>
          <w:rFonts w:eastAsia="Times New Roman"/>
          <w:i/>
          <w:iCs/>
          <w:sz w:val="24"/>
          <w:szCs w:val="24"/>
        </w:rPr>
        <w:t>aktualitates</w:t>
      </w:r>
      <w:proofErr w:type="spellEnd"/>
      <w:r>
        <w:rPr>
          <w:rFonts w:eastAsia="Times New Roman"/>
          <w:i/>
          <w:iCs/>
          <w:sz w:val="24"/>
          <w:szCs w:val="24"/>
        </w:rPr>
        <w:t>/</w:t>
      </w:r>
      <w:proofErr w:type="spellStart"/>
      <w:r>
        <w:rPr>
          <w:rFonts w:eastAsia="Times New Roman"/>
          <w:i/>
          <w:iCs/>
          <w:sz w:val="24"/>
          <w:szCs w:val="24"/>
        </w:rPr>
        <w:t>saeimaszinas</w:t>
      </w:r>
      <w:proofErr w:type="spellEnd"/>
      <w:r>
        <w:rPr>
          <w:rFonts w:eastAsia="Times New Roman"/>
          <w:i/>
          <w:iCs/>
          <w:sz w:val="24"/>
          <w:szCs w:val="24"/>
        </w:rPr>
        <w:t>/20513-saeima-pienem-jaunu-regulejumu</w:t>
      </w:r>
      <w:r>
        <w:rPr>
          <w:rFonts w:eastAsia="Times New Roman"/>
          <w:sz w:val="24"/>
          <w:szCs w:val="24"/>
        </w:rPr>
        <w:t>). No minētā izriet, ka, izdarot grozījumus normatīvajos aktos, likumdevējs noteica vienotu kārtību, kādā tiek apmierinātas mantojuma atstājēja kreditora prasības gadījumos, kad nav mantinieku vai tie atsakās no mantošanas, un šāda kārtība piemērojama kopš 2013.gada 1.jūlija.</w:t>
      </w:r>
    </w:p>
    <w:p w:rsidR="00844C3A" w:rsidRDefault="00076F41" w:rsidP="000A1A70">
      <w:pPr>
        <w:shd w:val="clear" w:color="auto" w:fill="FFFFFF"/>
        <w:spacing w:line="276" w:lineRule="auto"/>
        <w:ind w:right="5" w:firstLine="567"/>
        <w:jc w:val="both"/>
      </w:pPr>
      <w:r>
        <w:rPr>
          <w:sz w:val="24"/>
          <w:szCs w:val="24"/>
        </w:rPr>
        <w:t>[3.5] Zv</w:t>
      </w:r>
      <w:r>
        <w:rPr>
          <w:rFonts w:eastAsia="Times New Roman"/>
          <w:sz w:val="24"/>
          <w:szCs w:val="24"/>
        </w:rPr>
        <w:t xml:space="preserve">ērinātas notāres Sandras Romānes rīcība, sastādot </w:t>
      </w:r>
      <w:proofErr w:type="gramStart"/>
      <w:r>
        <w:rPr>
          <w:rFonts w:eastAsia="Times New Roman"/>
          <w:sz w:val="24"/>
          <w:szCs w:val="24"/>
        </w:rPr>
        <w:t>2015.gada</w:t>
      </w:r>
      <w:proofErr w:type="gramEnd"/>
      <w:r>
        <w:rPr>
          <w:rFonts w:eastAsia="Times New Roman"/>
          <w:sz w:val="24"/>
          <w:szCs w:val="24"/>
        </w:rPr>
        <w:t xml:space="preserve"> 19.maija aktu par mantojuma lietas izbeigšanu, atbilst Notariāta likuma 306.panta otrās daļas 6.punktam un Civillikuma 416.panta otrajai daļai.</w:t>
      </w:r>
    </w:p>
    <w:p w:rsidR="00844C3A" w:rsidRDefault="00076F41" w:rsidP="000A1A70">
      <w:pPr>
        <w:shd w:val="clear" w:color="auto" w:fill="FFFFFF"/>
        <w:spacing w:line="276" w:lineRule="auto"/>
        <w:ind w:right="5" w:firstLine="567"/>
        <w:jc w:val="both"/>
      </w:pPr>
      <w:r>
        <w:rPr>
          <w:sz w:val="24"/>
          <w:szCs w:val="24"/>
        </w:rPr>
        <w:t>[3.6] Lai gan apel</w:t>
      </w:r>
      <w:r>
        <w:rPr>
          <w:rFonts w:eastAsia="Times New Roman"/>
          <w:sz w:val="24"/>
          <w:szCs w:val="24"/>
        </w:rPr>
        <w:t xml:space="preserve">ācijas sūdzībā pareizi norādīts, ka pirmās instances tiesa, izskatot lietu pēc </w:t>
      </w:r>
      <w:r>
        <w:rPr>
          <w:rFonts w:eastAsia="Times New Roman"/>
          <w:spacing w:val="-1"/>
          <w:sz w:val="24"/>
          <w:szCs w:val="24"/>
        </w:rPr>
        <w:t xml:space="preserve">būtības, </w:t>
      </w:r>
      <w:proofErr w:type="gramStart"/>
      <w:r>
        <w:rPr>
          <w:rFonts w:eastAsia="Times New Roman"/>
          <w:spacing w:val="-1"/>
          <w:sz w:val="24"/>
          <w:szCs w:val="24"/>
        </w:rPr>
        <w:t>2015.gada</w:t>
      </w:r>
      <w:proofErr w:type="gramEnd"/>
      <w:r>
        <w:rPr>
          <w:rFonts w:eastAsia="Times New Roman"/>
          <w:spacing w:val="-1"/>
          <w:sz w:val="24"/>
          <w:szCs w:val="24"/>
        </w:rPr>
        <w:t xml:space="preserve"> 19.novembra spriedumā nepamatoti pievienojusies 2015.gada 8.jūlija spriedumā </w:t>
      </w:r>
      <w:r>
        <w:rPr>
          <w:rFonts w:eastAsia="Times New Roman"/>
          <w:sz w:val="24"/>
          <w:szCs w:val="24"/>
        </w:rPr>
        <w:t>ietvertajiem motīviem, tomēr tas nav iemesls apelācijas sūdzības apmierināšanai, jo lieta bija nodota jaunai izskatīšanai pirmās instances tiesai, kas atkārtoti sūdzību izskatīja pēc būtības.</w:t>
      </w:r>
    </w:p>
    <w:p w:rsidR="00844C3A" w:rsidRDefault="00076F41" w:rsidP="000A1A70">
      <w:pPr>
        <w:shd w:val="clear" w:color="auto" w:fill="FFFFFF"/>
        <w:spacing w:line="276" w:lineRule="auto"/>
        <w:ind w:right="10" w:firstLine="567"/>
        <w:jc w:val="both"/>
      </w:pPr>
      <w:r>
        <w:rPr>
          <w:spacing w:val="-1"/>
          <w:sz w:val="24"/>
          <w:szCs w:val="24"/>
        </w:rPr>
        <w:t xml:space="preserve">[4] </w:t>
      </w:r>
      <w:proofErr w:type="spellStart"/>
      <w:r>
        <w:rPr>
          <w:spacing w:val="-1"/>
          <w:sz w:val="24"/>
          <w:szCs w:val="24"/>
        </w:rPr>
        <w:t>Dz</w:t>
      </w:r>
      <w:r>
        <w:rPr>
          <w:rFonts w:eastAsia="Times New Roman"/>
          <w:spacing w:val="-1"/>
          <w:sz w:val="24"/>
          <w:szCs w:val="24"/>
        </w:rPr>
        <w:t>ĪKS</w:t>
      </w:r>
      <w:proofErr w:type="spellEnd"/>
      <w:r>
        <w:rPr>
          <w:rFonts w:eastAsia="Times New Roman"/>
          <w:spacing w:val="-1"/>
          <w:sz w:val="24"/>
          <w:szCs w:val="24"/>
        </w:rPr>
        <w:t xml:space="preserve"> „</w:t>
      </w:r>
      <w:r w:rsidR="00AC13FF">
        <w:rPr>
          <w:rFonts w:eastAsia="Times New Roman"/>
          <w:spacing w:val="-1"/>
          <w:sz w:val="24"/>
          <w:szCs w:val="24"/>
        </w:rPr>
        <w:t>[Nosaukums]</w:t>
      </w:r>
      <w:r>
        <w:rPr>
          <w:rFonts w:eastAsia="Times New Roman"/>
          <w:spacing w:val="-1"/>
          <w:sz w:val="24"/>
          <w:szCs w:val="24"/>
        </w:rPr>
        <w:t xml:space="preserve">” kasācijas sūdzībā lūdz atcelt Latgales apgabaltiesas Civillietu tiesas </w:t>
      </w:r>
      <w:r>
        <w:rPr>
          <w:rFonts w:eastAsia="Times New Roman"/>
          <w:sz w:val="24"/>
          <w:szCs w:val="24"/>
        </w:rPr>
        <w:t xml:space="preserve">kolēģijas </w:t>
      </w:r>
      <w:proofErr w:type="gramStart"/>
      <w:r>
        <w:rPr>
          <w:rFonts w:eastAsia="Times New Roman"/>
          <w:sz w:val="24"/>
          <w:szCs w:val="24"/>
        </w:rPr>
        <w:t>2016.gada</w:t>
      </w:r>
      <w:proofErr w:type="gramEnd"/>
      <w:r>
        <w:rPr>
          <w:rFonts w:eastAsia="Times New Roman"/>
          <w:sz w:val="24"/>
          <w:szCs w:val="24"/>
        </w:rPr>
        <w:t xml:space="preserve"> 25.februāra spriedumu un lietu nodot jaunai izskatīšanai apelācijas vai pirmās instances tiesā tālāk minēto argumentu dēļ.</w:t>
      </w:r>
    </w:p>
    <w:p w:rsidR="00844C3A" w:rsidRDefault="00076F41" w:rsidP="000A1A70">
      <w:pPr>
        <w:shd w:val="clear" w:color="auto" w:fill="FFFFFF"/>
        <w:spacing w:line="276" w:lineRule="auto"/>
        <w:ind w:firstLine="567"/>
        <w:jc w:val="both"/>
      </w:pPr>
      <w:r>
        <w:rPr>
          <w:sz w:val="24"/>
          <w:szCs w:val="24"/>
        </w:rPr>
        <w:t>[4.1] Tiesa nav izv</w:t>
      </w:r>
      <w:r>
        <w:rPr>
          <w:rFonts w:eastAsia="Times New Roman"/>
          <w:sz w:val="24"/>
          <w:szCs w:val="24"/>
        </w:rPr>
        <w:t>ērtējusi visus apelācijas sūdzības argumentus, tostarp iebildumu, ka</w:t>
      </w:r>
      <w:r w:rsidR="000A1A70">
        <w:rPr>
          <w:rFonts w:eastAsia="Times New Roman"/>
          <w:sz w:val="24"/>
          <w:szCs w:val="24"/>
        </w:rPr>
        <w:t xml:space="preserve"> </w:t>
      </w:r>
      <w:proofErr w:type="spellStart"/>
      <w:r>
        <w:rPr>
          <w:sz w:val="24"/>
          <w:szCs w:val="24"/>
        </w:rPr>
        <w:t>Dz</w:t>
      </w:r>
      <w:r>
        <w:rPr>
          <w:rFonts w:eastAsia="Times New Roman"/>
          <w:sz w:val="24"/>
          <w:szCs w:val="24"/>
        </w:rPr>
        <w:t>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sūdzība pirmās instances tiesā netika izskatīta likumā noteiktajā k</w:t>
      </w:r>
      <w:r w:rsidR="00AC13FF">
        <w:rPr>
          <w:rFonts w:eastAsia="Times New Roman"/>
          <w:sz w:val="24"/>
          <w:szCs w:val="24"/>
        </w:rPr>
        <w:t>ā</w:t>
      </w:r>
      <w:r>
        <w:rPr>
          <w:rFonts w:eastAsia="Times New Roman"/>
          <w:sz w:val="24"/>
          <w:szCs w:val="24"/>
        </w:rPr>
        <w:t>rtībā. Kā</w:t>
      </w:r>
      <w:r w:rsidR="000A1A70">
        <w:rPr>
          <w:rFonts w:eastAsia="Times New Roman"/>
          <w:sz w:val="24"/>
          <w:szCs w:val="24"/>
        </w:rPr>
        <w:t xml:space="preserve"> </w:t>
      </w:r>
      <w:r>
        <w:rPr>
          <w:sz w:val="24"/>
          <w:szCs w:val="24"/>
        </w:rPr>
        <w:t>redzams no sprieduma, tiesa pievienoj</w:t>
      </w:r>
      <w:r>
        <w:rPr>
          <w:rFonts w:eastAsia="Times New Roman"/>
          <w:sz w:val="24"/>
          <w:szCs w:val="24"/>
        </w:rPr>
        <w:t>ās citam pirmās instances tiesas spriedumam, taču</w:t>
      </w:r>
      <w:r>
        <w:rPr>
          <w:sz w:val="24"/>
          <w:szCs w:val="24"/>
        </w:rPr>
        <w:t xml:space="preserve"> pievienoties citas tiesas sprieduma mot</w:t>
      </w:r>
      <w:r>
        <w:rPr>
          <w:rFonts w:eastAsia="Times New Roman"/>
          <w:sz w:val="24"/>
          <w:szCs w:val="24"/>
        </w:rPr>
        <w:t>īviem atbilstoši Civilprocesa likuma 432. un 447.</w:t>
      </w:r>
      <w:proofErr w:type="gramStart"/>
      <w:r w:rsidR="000A1A70" w:rsidRPr="000A1A70">
        <w:rPr>
          <w:rFonts w:eastAsia="Times New Roman"/>
          <w:sz w:val="24"/>
          <w:szCs w:val="24"/>
          <w:vertAlign w:val="superscript"/>
        </w:rPr>
        <w:t>1</w:t>
      </w:r>
      <w:r>
        <w:rPr>
          <w:rFonts w:eastAsia="Times New Roman"/>
          <w:sz w:val="24"/>
          <w:szCs w:val="24"/>
        </w:rPr>
        <w:t>panta</w:t>
      </w:r>
      <w:proofErr w:type="gramEnd"/>
      <w:r w:rsidR="000A1A70">
        <w:rPr>
          <w:rFonts w:eastAsia="Times New Roman"/>
          <w:sz w:val="24"/>
          <w:szCs w:val="24"/>
        </w:rPr>
        <w:t xml:space="preserve"> </w:t>
      </w:r>
      <w:r>
        <w:rPr>
          <w:sz w:val="24"/>
          <w:szCs w:val="24"/>
        </w:rPr>
        <w:t>noteikumiem ir at</w:t>
      </w:r>
      <w:r>
        <w:rPr>
          <w:rFonts w:eastAsia="Times New Roman"/>
          <w:sz w:val="24"/>
          <w:szCs w:val="24"/>
        </w:rPr>
        <w:t>ļauts tikai apelācijas instances tiesai.</w:t>
      </w:r>
    </w:p>
    <w:p w:rsidR="00844C3A" w:rsidRDefault="00076F41" w:rsidP="000A1A70">
      <w:pPr>
        <w:shd w:val="clear" w:color="auto" w:fill="FFFFFF"/>
        <w:spacing w:line="276" w:lineRule="auto"/>
        <w:ind w:right="10" w:firstLine="710"/>
        <w:jc w:val="both"/>
      </w:pPr>
      <w:r>
        <w:rPr>
          <w:sz w:val="24"/>
          <w:szCs w:val="24"/>
        </w:rPr>
        <w:t>[4.2] Tiesa piln</w:t>
      </w:r>
      <w:r>
        <w:rPr>
          <w:rFonts w:eastAsia="Times New Roman"/>
          <w:sz w:val="24"/>
          <w:szCs w:val="24"/>
        </w:rPr>
        <w:t xml:space="preserve">īgi nepareizi novērtējusi sūdzību un tās priekšmetu, grozot sūdzības būtību un pamatu. Spriedumā vērtēts, par kādiem parādiem ir atbildīga valsts gadījumos, kad ir izdots notāra akts par mantojuma lietas izbeigšanu un mantas atzīšanu par piekritīgu valstij, bet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pārsūdzēja vienu konkrētu notāres rīcību – sastādot aktu par </w:t>
      </w:r>
      <w:r w:rsidR="009067D9">
        <w:rPr>
          <w:rFonts w:eastAsia="Times New Roman"/>
          <w:sz w:val="24"/>
          <w:szCs w:val="24"/>
        </w:rPr>
        <w:t>[pers. A]</w:t>
      </w:r>
      <w:r>
        <w:rPr>
          <w:rFonts w:eastAsia="Times New Roman"/>
          <w:sz w:val="24"/>
          <w:szCs w:val="24"/>
        </w:rPr>
        <w:t xml:space="preserve"> mantojuma lietas izbeigšanu, tajā netika ierakstīts sabiedrības kreditora pieteikums, kas notārei tika iesniegts sludinājumā par mantojuma atklāšanos noteiktajā </w:t>
      </w:r>
      <w:r>
        <w:rPr>
          <w:rFonts w:eastAsia="Times New Roman"/>
          <w:sz w:val="24"/>
          <w:szCs w:val="24"/>
        </w:rPr>
        <w:lastRenderedPageBreak/>
        <w:t>termiņā. Līdz ar to uzsvars likts uz apstākļiem, kam nav izšķirošas nozīmes.</w:t>
      </w:r>
      <w:r>
        <w:rPr>
          <w:sz w:val="24"/>
          <w:szCs w:val="24"/>
        </w:rPr>
        <w:t>[4.3] Liet</w:t>
      </w:r>
      <w:r>
        <w:rPr>
          <w:rFonts w:eastAsia="Times New Roman"/>
          <w:sz w:val="24"/>
          <w:szCs w:val="24"/>
        </w:rPr>
        <w:t xml:space="preserve">ā nepamatoti piemēroti Ministra kabineta 2013.gada 2.jūlija noteikumi Nr. 364 „Noteikumi par zvērināta tiesu izpildītāja rīcību ar bezmantinieku mantu”, jo tie reglamentē nevis notāru, bet gan tiesu izpildītāju darbību ar bezmantinieka mantu. Faktiski tiesa ir sajaukusi notāru </w:t>
      </w:r>
      <w:r>
        <w:rPr>
          <w:rFonts w:eastAsia="Times New Roman"/>
          <w:spacing w:val="-1"/>
          <w:sz w:val="24"/>
          <w:szCs w:val="24"/>
        </w:rPr>
        <w:t xml:space="preserve">un tiesu izpildītāju rīcību procesā, kad mirušās personas mantojuma manta tiek atzīta par piekritīgu </w:t>
      </w:r>
      <w:r>
        <w:rPr>
          <w:rFonts w:eastAsia="Times New Roman"/>
          <w:sz w:val="24"/>
          <w:szCs w:val="24"/>
        </w:rPr>
        <w:t>valstij. Notāriem ir uzdots kārtot mantojuma lietas likumā noteiktajā k</w:t>
      </w:r>
      <w:r w:rsidR="000A1A70">
        <w:rPr>
          <w:rFonts w:eastAsia="Times New Roman"/>
          <w:sz w:val="24"/>
          <w:szCs w:val="24"/>
        </w:rPr>
        <w:t>ā</w:t>
      </w:r>
      <w:r>
        <w:rPr>
          <w:rFonts w:eastAsia="Times New Roman"/>
          <w:sz w:val="24"/>
          <w:szCs w:val="24"/>
        </w:rPr>
        <w:t>rtībā, savukārt tālākā darbība (nodrošināt valstij piekritīgas mantas pārvaldīšanu, apsardzību, novērtēšanu, atsavināšanu, realizācijas ienākumu sadalīšanu, kā arī kreditoru pretenziju apmierināšanu) ir tiesu izpildītāju kompetencē.</w:t>
      </w:r>
    </w:p>
    <w:p w:rsidR="00844C3A" w:rsidRDefault="00076F41" w:rsidP="000A1A70">
      <w:pPr>
        <w:shd w:val="clear" w:color="auto" w:fill="FFFFFF"/>
        <w:spacing w:line="276" w:lineRule="auto"/>
        <w:ind w:right="10" w:firstLine="567"/>
        <w:jc w:val="both"/>
      </w:pPr>
      <w:r>
        <w:rPr>
          <w:sz w:val="24"/>
          <w:szCs w:val="24"/>
        </w:rPr>
        <w:t>[4.4] Pie</w:t>
      </w:r>
      <w:r>
        <w:rPr>
          <w:rFonts w:eastAsia="Times New Roman"/>
          <w:sz w:val="24"/>
          <w:szCs w:val="24"/>
        </w:rPr>
        <w:t>ņemot grozījumus Notariāta likumā un Civillikumā, likumdevēja mērķis nebija pasliktināt kreditoru tiesības. No sprieduma izriet, ka mantojuma lietā notāra noteiktajā termiņā kreditoriem ne tikai jāpiesakās, bet arī jānodrošina, lai līdz šim termiņam būtu spēkā tiesas nolēmums, ar kuru atzīta kreditora saistība. Tomēr nav iespējams notāra noteiktajā termiņā izskatīt lietu par kreditoru prasījumu apstiprināšanu. Tiesa nav vērtējusi sūdzību kreditoru tiesību un interešu ievērošanas aspektā, kā arī nav vērt</w:t>
      </w:r>
      <w:bookmarkStart w:id="1" w:name="_GoBack"/>
      <w:bookmarkEnd w:id="1"/>
      <w:r>
        <w:rPr>
          <w:rFonts w:eastAsia="Times New Roman"/>
          <w:sz w:val="24"/>
          <w:szCs w:val="24"/>
        </w:rPr>
        <w:t>ējusi kreditora prasījumu noilguma termiņu.</w:t>
      </w:r>
    </w:p>
    <w:p w:rsidR="00844C3A" w:rsidRDefault="00076F41" w:rsidP="000A1A70">
      <w:pPr>
        <w:shd w:val="clear" w:color="auto" w:fill="FFFFFF"/>
        <w:spacing w:line="276" w:lineRule="auto"/>
        <w:ind w:right="5" w:firstLine="567"/>
        <w:jc w:val="both"/>
      </w:pPr>
      <w:r>
        <w:rPr>
          <w:sz w:val="24"/>
          <w:szCs w:val="24"/>
        </w:rPr>
        <w:t>[4.5] Atbilsto</w:t>
      </w:r>
      <w:r>
        <w:rPr>
          <w:rFonts w:eastAsia="Times New Roman"/>
          <w:sz w:val="24"/>
          <w:szCs w:val="24"/>
        </w:rPr>
        <w:t xml:space="preserve">ši Notariāta likuma </w:t>
      </w:r>
      <w:proofErr w:type="gramStart"/>
      <w:r>
        <w:rPr>
          <w:rFonts w:eastAsia="Times New Roman"/>
          <w:sz w:val="24"/>
          <w:szCs w:val="24"/>
        </w:rPr>
        <w:t>306.pantā</w:t>
      </w:r>
      <w:proofErr w:type="gramEnd"/>
      <w:r>
        <w:rPr>
          <w:rFonts w:eastAsia="Times New Roman"/>
          <w:sz w:val="24"/>
          <w:szCs w:val="24"/>
        </w:rPr>
        <w:t xml:space="preserve"> noteiktajam saistībā ar kreditora pretenzijām mantojuma lietas izbeigšanas gadījumā notāram termiņā pieteiktās pretenzijas jānorāda aktā, bet termiņā nepieteiktās pretenzijas jādzēš. Neko citu likums neparedz, notāram nav atļauts aktā nenorādīt termiņā pieteiktās kreditoru pretenzijas, ja nav iesniegts spēkā esošs tiesas nolēmums par šīs kreditora pretenzijas atzīšanu. Ar aktu par mantojuma lietas izbeigšanu neizbeidzas visu kreditoru tiesības prasīt savus parādus.</w:t>
      </w:r>
    </w:p>
    <w:p w:rsidR="00844C3A" w:rsidRDefault="00076F41" w:rsidP="000A1A70">
      <w:pPr>
        <w:shd w:val="clear" w:color="auto" w:fill="FFFFFF"/>
        <w:spacing w:line="276" w:lineRule="auto"/>
        <w:ind w:right="5" w:firstLine="567"/>
        <w:jc w:val="both"/>
      </w:pPr>
      <w:r>
        <w:rPr>
          <w:sz w:val="24"/>
          <w:szCs w:val="24"/>
        </w:rPr>
        <w:t xml:space="preserve">[4.6] Civillikuma </w:t>
      </w:r>
      <w:proofErr w:type="gramStart"/>
      <w:r>
        <w:rPr>
          <w:sz w:val="24"/>
          <w:szCs w:val="24"/>
        </w:rPr>
        <w:t>416.pant</w:t>
      </w:r>
      <w:r>
        <w:rPr>
          <w:rFonts w:eastAsia="Times New Roman"/>
          <w:sz w:val="24"/>
          <w:szCs w:val="24"/>
        </w:rPr>
        <w:t>ā</w:t>
      </w:r>
      <w:proofErr w:type="gramEnd"/>
      <w:r>
        <w:rPr>
          <w:rFonts w:eastAsia="Times New Roman"/>
          <w:sz w:val="24"/>
          <w:szCs w:val="24"/>
        </w:rPr>
        <w:t xml:space="preserve"> minētie dokumenti tika pieprasīti vienīgi no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Nav saprotams, kādēļ aktā par mantojuma lietas izbeigšanu tika ierakstīts parāds pašvaldībai, par kuru, pretēji spriedumā norādītajam, administratīvs akts nav pieņemts (tādu pierādījumu lieta nav). Tiesa ir aprakstījusi saskaņā ar likumu vēlamo, nevis faktisko situāciju, kas liedz zvērinātas notāres Sandras Romānes rīcību konkrētajā gadījumā vērtēt kā pareizu, godīgu, taisnīgu un likumīgu.</w:t>
      </w:r>
    </w:p>
    <w:p w:rsidR="00844C3A" w:rsidRDefault="00076F41" w:rsidP="000A1A70">
      <w:pPr>
        <w:shd w:val="clear" w:color="auto" w:fill="FFFFFF"/>
        <w:spacing w:before="120" w:after="120" w:line="276" w:lineRule="auto"/>
        <w:ind w:right="6"/>
        <w:jc w:val="center"/>
      </w:pPr>
      <w:r>
        <w:rPr>
          <w:b/>
          <w:bCs/>
          <w:spacing w:val="-2"/>
          <w:sz w:val="24"/>
          <w:szCs w:val="24"/>
        </w:rPr>
        <w:t>Mot</w:t>
      </w:r>
      <w:r>
        <w:rPr>
          <w:rFonts w:eastAsia="Times New Roman"/>
          <w:b/>
          <w:bCs/>
          <w:spacing w:val="-2"/>
          <w:sz w:val="24"/>
          <w:szCs w:val="24"/>
        </w:rPr>
        <w:t>īvu daļa</w:t>
      </w:r>
    </w:p>
    <w:p w:rsidR="00844C3A" w:rsidRDefault="00076F41" w:rsidP="000A1A70">
      <w:pPr>
        <w:shd w:val="clear" w:color="auto" w:fill="FFFFFF"/>
        <w:spacing w:line="276" w:lineRule="auto"/>
        <w:ind w:right="14" w:firstLine="567"/>
        <w:jc w:val="both"/>
      </w:pPr>
      <w:r>
        <w:rPr>
          <w:sz w:val="24"/>
          <w:szCs w:val="24"/>
        </w:rPr>
        <w:t>[5] P</w:t>
      </w:r>
      <w:r>
        <w:rPr>
          <w:rFonts w:eastAsia="Times New Roman"/>
          <w:sz w:val="24"/>
          <w:szCs w:val="24"/>
        </w:rPr>
        <w:t xml:space="preserve">ārbaudījusi sprieduma likumību attiecībā uz personu, kas to pārsūdzējusi, un attiecībā uz argumentiem, kas minēti kasācijas sūdzībā, kā to nosaka Civilprocesa likuma </w:t>
      </w:r>
      <w:proofErr w:type="gramStart"/>
      <w:r>
        <w:rPr>
          <w:rFonts w:eastAsia="Times New Roman"/>
          <w:sz w:val="24"/>
          <w:szCs w:val="24"/>
        </w:rPr>
        <w:t>473.panta</w:t>
      </w:r>
      <w:proofErr w:type="gramEnd"/>
      <w:r>
        <w:rPr>
          <w:rFonts w:eastAsia="Times New Roman"/>
          <w:sz w:val="24"/>
          <w:szCs w:val="24"/>
        </w:rPr>
        <w:t xml:space="preserve"> pirmā daļa, Augstākā tiesa atzīst, ka pārsūdzētais nolēmums atceļams un lieta nododama jaunai izskatīšanai turpmāk minēto apsvērumu dēļ.</w:t>
      </w:r>
    </w:p>
    <w:p w:rsidR="00844C3A" w:rsidRDefault="00076F41" w:rsidP="000A1A70">
      <w:pPr>
        <w:shd w:val="clear" w:color="auto" w:fill="FFFFFF"/>
        <w:spacing w:line="276" w:lineRule="auto"/>
        <w:ind w:right="10" w:firstLine="567"/>
        <w:jc w:val="both"/>
      </w:pPr>
      <w:r>
        <w:rPr>
          <w:sz w:val="24"/>
          <w:szCs w:val="24"/>
        </w:rPr>
        <w:t xml:space="preserve">[6] Civillikuma </w:t>
      </w:r>
      <w:proofErr w:type="gramStart"/>
      <w:r>
        <w:rPr>
          <w:sz w:val="24"/>
          <w:szCs w:val="24"/>
        </w:rPr>
        <w:t>416.pant</w:t>
      </w:r>
      <w:r>
        <w:rPr>
          <w:rFonts w:eastAsia="Times New Roman"/>
          <w:sz w:val="24"/>
          <w:szCs w:val="24"/>
        </w:rPr>
        <w:t>ā</w:t>
      </w:r>
      <w:proofErr w:type="gramEnd"/>
      <w:r>
        <w:rPr>
          <w:rFonts w:eastAsia="Times New Roman"/>
          <w:sz w:val="24"/>
          <w:szCs w:val="24"/>
        </w:rPr>
        <w:t xml:space="preserve"> noteikts, ka, ja pēc mantojuma atstājēja nāves viņam mantinieki nav palikuši vai šie mantinieki likumiskā termiņā pēc publikācijas par mantojuma atklāšanos nav ieradušies vai nav pierādījuši savas mantojuma tiesības, tad manta piekrīt valstij (pirmā daļa); par parādiem valsts atbild tikai ar to mantu, kuru viņa tādā kārtā patiesi iegūst. Valsts atzīst parādus,</w:t>
      </w:r>
      <w:r w:rsidR="000A1A70">
        <w:rPr>
          <w:rFonts w:eastAsia="Times New Roman"/>
          <w:sz w:val="24"/>
          <w:szCs w:val="24"/>
        </w:rPr>
        <w:t xml:space="preserve"> </w:t>
      </w:r>
      <w:r>
        <w:rPr>
          <w:sz w:val="24"/>
          <w:szCs w:val="24"/>
        </w:rPr>
        <w:t>kuri nodro</w:t>
      </w:r>
      <w:r>
        <w:rPr>
          <w:rFonts w:eastAsia="Times New Roman"/>
          <w:sz w:val="24"/>
          <w:szCs w:val="24"/>
        </w:rPr>
        <w:t>šināti ar hipotēku vai komercķīlu, kā arī tos parādus, kuri pieteikti kā kreditoru pretenzijas mantojuma lietā zvērinātam notāram uzaicinājumā (sludinājumā par mantojuma atklāšanos) norādītajā termiņā un ietverti publiskā aktā vai saistībā, kas atzīta ar spēkā stājušos tiesas nolēmumu (otrā daļa).</w:t>
      </w:r>
    </w:p>
    <w:p w:rsidR="00844C3A" w:rsidRDefault="00076F41" w:rsidP="000A1A70">
      <w:pPr>
        <w:shd w:val="clear" w:color="auto" w:fill="FFFFFF"/>
        <w:spacing w:line="276" w:lineRule="auto"/>
        <w:ind w:right="10" w:firstLine="567"/>
        <w:jc w:val="both"/>
      </w:pPr>
      <w:r>
        <w:rPr>
          <w:sz w:val="24"/>
          <w:szCs w:val="24"/>
        </w:rPr>
        <w:t>T</w:t>
      </w:r>
      <w:r>
        <w:rPr>
          <w:rFonts w:eastAsia="Times New Roman"/>
          <w:sz w:val="24"/>
          <w:szCs w:val="24"/>
        </w:rPr>
        <w:t xml:space="preserve">ā kā </w:t>
      </w:r>
      <w:r w:rsidR="009067D9">
        <w:rPr>
          <w:rFonts w:eastAsia="Times New Roman"/>
          <w:sz w:val="24"/>
          <w:szCs w:val="24"/>
        </w:rPr>
        <w:t>[pers. A]</w:t>
      </w:r>
      <w:r>
        <w:rPr>
          <w:rFonts w:eastAsia="Times New Roman"/>
          <w:sz w:val="24"/>
          <w:szCs w:val="24"/>
        </w:rPr>
        <w:t xml:space="preserve"> (mirusi </w:t>
      </w:r>
      <w:proofErr w:type="gramStart"/>
      <w:r>
        <w:rPr>
          <w:rFonts w:eastAsia="Times New Roman"/>
          <w:sz w:val="24"/>
          <w:szCs w:val="24"/>
        </w:rPr>
        <w:t>2013.gada</w:t>
      </w:r>
      <w:proofErr w:type="gramEnd"/>
      <w:r>
        <w:rPr>
          <w:rFonts w:eastAsia="Times New Roman"/>
          <w:sz w:val="24"/>
          <w:szCs w:val="24"/>
        </w:rPr>
        <w:t xml:space="preserve"> 22.oktobrī) mantojuma lietā uzaicinājuma </w:t>
      </w:r>
      <w:r>
        <w:rPr>
          <w:rFonts w:eastAsia="Times New Roman"/>
          <w:spacing w:val="-1"/>
          <w:sz w:val="24"/>
          <w:szCs w:val="24"/>
        </w:rPr>
        <w:t xml:space="preserve">termiņā neviens mantinieks nepieteicās, notāre 2015.gada 19.maijā taisīja aktu par mantojuma lietas </w:t>
      </w:r>
      <w:r>
        <w:rPr>
          <w:rFonts w:eastAsia="Times New Roman"/>
          <w:sz w:val="24"/>
          <w:szCs w:val="24"/>
        </w:rPr>
        <w:t>izbeigšanu, kurā norādīja, ka manta atzīstama par bezmantinieka mantu un saskaņā ar Civillikuma 416.pantu piekrīt valstij.</w:t>
      </w:r>
    </w:p>
    <w:p w:rsidR="00844C3A" w:rsidRDefault="00076F41" w:rsidP="000A1A70">
      <w:pPr>
        <w:shd w:val="clear" w:color="auto" w:fill="FFFFFF"/>
        <w:spacing w:line="276" w:lineRule="auto"/>
        <w:ind w:right="10" w:firstLine="567"/>
        <w:jc w:val="both"/>
      </w:pPr>
      <w:r>
        <w:rPr>
          <w:sz w:val="24"/>
          <w:szCs w:val="24"/>
        </w:rPr>
        <w:lastRenderedPageBreak/>
        <w:t>S</w:t>
      </w:r>
      <w:r>
        <w:rPr>
          <w:rFonts w:eastAsia="Times New Roman"/>
          <w:sz w:val="24"/>
          <w:szCs w:val="24"/>
        </w:rPr>
        <w:t xml:space="preserve">ūdzības iesniedzējas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kreditora pretenzija aktā nav norādīta, jo tā neatbilst Civillikuma </w:t>
      </w:r>
      <w:proofErr w:type="gramStart"/>
      <w:r>
        <w:rPr>
          <w:rFonts w:eastAsia="Times New Roman"/>
          <w:sz w:val="24"/>
          <w:szCs w:val="24"/>
        </w:rPr>
        <w:t>416.panta</w:t>
      </w:r>
      <w:proofErr w:type="gramEnd"/>
      <w:r>
        <w:rPr>
          <w:rFonts w:eastAsia="Times New Roman"/>
          <w:sz w:val="24"/>
          <w:szCs w:val="24"/>
        </w:rPr>
        <w:t xml:space="preserve"> otrajā daļā uzskaitītajiem parādu veidiem, kurus valsts atzīst, respektīvi,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pieteiktā kreditora pretenzija nav ietverta publiskā aktā, nedz arī apstiprināta ar spēkā stājušos tiesas spriedumu (Notariāta likuma 306.panta otrās daļas 6.punkts).</w:t>
      </w:r>
    </w:p>
    <w:p w:rsidR="00844C3A" w:rsidRDefault="00076F41" w:rsidP="000A1A70">
      <w:pPr>
        <w:shd w:val="clear" w:color="auto" w:fill="FFFFFF"/>
        <w:spacing w:line="276" w:lineRule="auto"/>
        <w:ind w:right="10" w:firstLine="567"/>
        <w:jc w:val="both"/>
      </w:pPr>
      <w:r>
        <w:rPr>
          <w:sz w:val="24"/>
          <w:szCs w:val="24"/>
        </w:rPr>
        <w:t>[7] Apel</w:t>
      </w:r>
      <w:r>
        <w:rPr>
          <w:rFonts w:eastAsia="Times New Roman"/>
          <w:sz w:val="24"/>
          <w:szCs w:val="24"/>
        </w:rPr>
        <w:t xml:space="preserve">ācijas instances tiesa notāres rīcību (kreditora prasījuma nenorādīšana aktā) atzinusi par tiesisku un Notariāta likuma </w:t>
      </w:r>
      <w:proofErr w:type="gramStart"/>
      <w:r>
        <w:rPr>
          <w:rFonts w:eastAsia="Times New Roman"/>
          <w:sz w:val="24"/>
          <w:szCs w:val="24"/>
        </w:rPr>
        <w:t>306.panta</w:t>
      </w:r>
      <w:proofErr w:type="gramEnd"/>
      <w:r>
        <w:rPr>
          <w:rFonts w:eastAsia="Times New Roman"/>
          <w:sz w:val="24"/>
          <w:szCs w:val="24"/>
        </w:rPr>
        <w:t xml:space="preserve"> otrajai daļai un Civillikuma 416.panta otrajai daļai atbilstīgu.</w:t>
      </w:r>
    </w:p>
    <w:p w:rsidR="00844C3A" w:rsidRDefault="00076F41" w:rsidP="000A1A70">
      <w:pPr>
        <w:shd w:val="clear" w:color="auto" w:fill="FFFFFF"/>
        <w:spacing w:line="276" w:lineRule="auto"/>
        <w:ind w:right="5" w:firstLine="567"/>
        <w:jc w:val="both"/>
      </w:pPr>
      <w:r>
        <w:rPr>
          <w:sz w:val="24"/>
          <w:szCs w:val="24"/>
        </w:rPr>
        <w:t>Augst</w:t>
      </w:r>
      <w:r>
        <w:rPr>
          <w:rFonts w:eastAsia="Times New Roman"/>
          <w:sz w:val="24"/>
          <w:szCs w:val="24"/>
        </w:rPr>
        <w:t>ākā tiesa piekrīt kasācijas sūdzības iesniedzējai, ka iepriekšminētais atzinums ir formāls un izdarīts, neiedziļinoties un neizvērtējot notāres rīcību tai piešķirtās kompetences un darbības robežu kontekstā.</w:t>
      </w:r>
    </w:p>
    <w:p w:rsidR="00844C3A" w:rsidRDefault="00076F41" w:rsidP="000A1A70">
      <w:pPr>
        <w:shd w:val="clear" w:color="auto" w:fill="FFFFFF"/>
        <w:spacing w:line="276" w:lineRule="auto"/>
        <w:ind w:right="5" w:firstLine="567"/>
        <w:jc w:val="both"/>
      </w:pPr>
      <w:r>
        <w:rPr>
          <w:sz w:val="24"/>
          <w:szCs w:val="24"/>
        </w:rPr>
        <w:t>[7.1] Zv</w:t>
      </w:r>
      <w:r>
        <w:rPr>
          <w:rFonts w:eastAsia="Times New Roman"/>
          <w:sz w:val="24"/>
          <w:szCs w:val="24"/>
        </w:rPr>
        <w:t xml:space="preserve">ērināts notārs amata darbībā pakļauts vienīgi likumam un pilda savus pienākumus kā neatkarīgs, neitrāls fizisko un juridisko personu civilo tiesību un likumisko interešu nodrošinātājs (Notariāta likuma </w:t>
      </w:r>
      <w:proofErr w:type="gramStart"/>
      <w:r>
        <w:rPr>
          <w:rFonts w:eastAsia="Times New Roman"/>
          <w:sz w:val="24"/>
          <w:szCs w:val="24"/>
        </w:rPr>
        <w:t>5.pants</w:t>
      </w:r>
      <w:proofErr w:type="gramEnd"/>
      <w:r>
        <w:rPr>
          <w:rFonts w:eastAsia="Times New Roman"/>
          <w:sz w:val="24"/>
          <w:szCs w:val="24"/>
        </w:rPr>
        <w:t xml:space="preserve">). Atbilstoši Notariāta likuma </w:t>
      </w:r>
      <w:proofErr w:type="gramStart"/>
      <w:r>
        <w:rPr>
          <w:rFonts w:eastAsia="Times New Roman"/>
          <w:sz w:val="24"/>
          <w:szCs w:val="24"/>
        </w:rPr>
        <w:t>65.panta</w:t>
      </w:r>
      <w:proofErr w:type="gramEnd"/>
      <w:r>
        <w:rPr>
          <w:rFonts w:eastAsia="Times New Roman"/>
          <w:sz w:val="24"/>
          <w:szCs w:val="24"/>
        </w:rPr>
        <w:t xml:space="preserve"> 4.punktam viena no zvērināta notāra funkcijām ir mantojuma lietu vešana, kas ietver secīgu darbību kopumu noteikta mērķa sasniegšanai un prasa atbilstošas zināšanas un pieredzi.</w:t>
      </w:r>
    </w:p>
    <w:p w:rsidR="00844C3A" w:rsidRDefault="00076F41" w:rsidP="000A1A70">
      <w:pPr>
        <w:shd w:val="clear" w:color="auto" w:fill="FFFFFF"/>
        <w:spacing w:line="276" w:lineRule="auto"/>
        <w:ind w:firstLine="567"/>
        <w:jc w:val="both"/>
      </w:pPr>
      <w:r>
        <w:rPr>
          <w:sz w:val="24"/>
          <w:szCs w:val="24"/>
        </w:rPr>
        <w:t>K</w:t>
      </w:r>
      <w:r>
        <w:rPr>
          <w:rFonts w:eastAsia="Times New Roman"/>
          <w:sz w:val="24"/>
          <w:szCs w:val="24"/>
        </w:rPr>
        <w:t xml:space="preserve">ā redzams no lietas materiāliem, zvērināta notāre Sandra Romāne uzsākusi mantojuma lietu pēc kreditora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pieteikuma, izsludinājusi mantojuma atklāšanos, nodibinājusi aizgādnību </w:t>
      </w:r>
      <w:r w:rsidR="009067D9">
        <w:rPr>
          <w:rFonts w:eastAsia="Times New Roman"/>
          <w:sz w:val="24"/>
          <w:szCs w:val="24"/>
        </w:rPr>
        <w:t>[pers. A]</w:t>
      </w:r>
      <w:r>
        <w:rPr>
          <w:rFonts w:eastAsia="Times New Roman"/>
          <w:sz w:val="24"/>
          <w:szCs w:val="24"/>
        </w:rPr>
        <w:t xml:space="preserve"> mantojumam, lēmumu izpildei nosūtījusi Rēzeknes bāriņtiesai, kura </w:t>
      </w:r>
      <w:proofErr w:type="gramStart"/>
      <w:r>
        <w:rPr>
          <w:rFonts w:eastAsia="Times New Roman"/>
          <w:sz w:val="24"/>
          <w:szCs w:val="24"/>
        </w:rPr>
        <w:t>2014.gada</w:t>
      </w:r>
      <w:proofErr w:type="gramEnd"/>
      <w:r>
        <w:rPr>
          <w:rFonts w:eastAsia="Times New Roman"/>
          <w:sz w:val="24"/>
          <w:szCs w:val="24"/>
        </w:rPr>
        <w:t xml:space="preserve"> 12.novembrī iecēlusi mantojumam aizgādni, kā arī pēc sludinājumā </w:t>
      </w:r>
      <w:r>
        <w:rPr>
          <w:rFonts w:eastAsia="Times New Roman"/>
          <w:spacing w:val="-1"/>
          <w:sz w:val="24"/>
          <w:szCs w:val="24"/>
        </w:rPr>
        <w:t xml:space="preserve">noteiktā termiņa taisījusi aktu par mantojuma lietas izbeigšanu, aktā ietverot tā kreditora pretenziju, </w:t>
      </w:r>
      <w:r>
        <w:rPr>
          <w:rFonts w:eastAsia="Times New Roman"/>
          <w:sz w:val="24"/>
          <w:szCs w:val="24"/>
        </w:rPr>
        <w:t>kuru valsts atzīst saskaņā ar Civillikuma 416.pantu.</w:t>
      </w:r>
    </w:p>
    <w:p w:rsidR="00844C3A" w:rsidRDefault="00076F41" w:rsidP="000A1A70">
      <w:pPr>
        <w:shd w:val="clear" w:color="auto" w:fill="FFFFFF"/>
        <w:spacing w:line="276" w:lineRule="auto"/>
        <w:ind w:firstLine="567"/>
        <w:jc w:val="both"/>
      </w:pPr>
      <w:r>
        <w:rPr>
          <w:sz w:val="24"/>
          <w:szCs w:val="24"/>
        </w:rPr>
        <w:t>Augst</w:t>
      </w:r>
      <w:r>
        <w:rPr>
          <w:rFonts w:eastAsia="Times New Roman"/>
          <w:sz w:val="24"/>
          <w:szCs w:val="24"/>
        </w:rPr>
        <w:t xml:space="preserve">ākā tiesa uzskata, ka notāres darbību formālā atbilstība tiesību normās (Notariāta likumā un Ministru kabineta </w:t>
      </w:r>
      <w:proofErr w:type="gramStart"/>
      <w:r>
        <w:rPr>
          <w:rFonts w:eastAsia="Times New Roman"/>
          <w:sz w:val="24"/>
          <w:szCs w:val="24"/>
        </w:rPr>
        <w:t>2008.gada</w:t>
      </w:r>
      <w:proofErr w:type="gramEnd"/>
      <w:r>
        <w:rPr>
          <w:rFonts w:eastAsia="Times New Roman"/>
          <w:sz w:val="24"/>
          <w:szCs w:val="24"/>
        </w:rPr>
        <w:t xml:space="preserve"> 4.augusta noteikumos Nr.618 „Noteikumi par mantojuma reģistra un mantojuma lietu vešanu” (turpmāk – Noteikumi Nr.618)) noteiktajam nav pietiekams </w:t>
      </w:r>
      <w:r>
        <w:rPr>
          <w:rFonts w:eastAsia="Times New Roman"/>
          <w:spacing w:val="-1"/>
          <w:sz w:val="24"/>
          <w:szCs w:val="24"/>
        </w:rPr>
        <w:t xml:space="preserve">pamats sūdzības par notāres rīcību noraidīšanai. Tiesai ir jāpārliecinās, vai notāre, vedot mantojuma </w:t>
      </w:r>
      <w:r>
        <w:rPr>
          <w:rFonts w:eastAsia="Times New Roman"/>
          <w:sz w:val="24"/>
          <w:szCs w:val="24"/>
        </w:rPr>
        <w:t xml:space="preserve">lietu, ir neitrāli fiksējusi un nodrošinājusi mantojuma lietā iesaistīto personu civilās tiesības un ar likumu aizsargātās intereses, kas </w:t>
      </w:r>
      <w:proofErr w:type="gramStart"/>
      <w:r>
        <w:rPr>
          <w:rFonts w:eastAsia="Times New Roman"/>
          <w:sz w:val="24"/>
          <w:szCs w:val="24"/>
        </w:rPr>
        <w:t>ir zvērināta notāra pamatuzdevums</w:t>
      </w:r>
      <w:proofErr w:type="gramEnd"/>
      <w:r>
        <w:rPr>
          <w:rFonts w:eastAsia="Times New Roman"/>
          <w:sz w:val="24"/>
          <w:szCs w:val="24"/>
        </w:rPr>
        <w:t>.</w:t>
      </w:r>
    </w:p>
    <w:p w:rsidR="00844C3A" w:rsidRDefault="00076F41" w:rsidP="000A1A70">
      <w:pPr>
        <w:shd w:val="clear" w:color="auto" w:fill="FFFFFF"/>
        <w:spacing w:line="276" w:lineRule="auto"/>
        <w:ind w:right="5" w:firstLine="567"/>
        <w:jc w:val="both"/>
      </w:pPr>
      <w:r>
        <w:rPr>
          <w:sz w:val="24"/>
          <w:szCs w:val="24"/>
        </w:rPr>
        <w:t>[7.2] Kaut ar</w:t>
      </w:r>
      <w:r>
        <w:rPr>
          <w:rFonts w:eastAsia="Times New Roman"/>
          <w:sz w:val="24"/>
          <w:szCs w:val="24"/>
        </w:rPr>
        <w:t>ī pārsūdzētais spriedums satur atsauci uz likumprojektu „Grozījumi Civillikumā” un „Grozījumi Notariāta likumā” anotācijā norādīto, tomēr, Augstākās tiesas ieskatā,</w:t>
      </w:r>
      <w:r w:rsidR="000A1A70">
        <w:rPr>
          <w:rFonts w:eastAsia="Times New Roman"/>
          <w:sz w:val="24"/>
          <w:szCs w:val="24"/>
        </w:rPr>
        <w:t xml:space="preserve"> </w:t>
      </w:r>
      <w:r>
        <w:rPr>
          <w:sz w:val="24"/>
          <w:szCs w:val="24"/>
        </w:rPr>
        <w:t>apel</w:t>
      </w:r>
      <w:r>
        <w:rPr>
          <w:rFonts w:eastAsia="Times New Roman"/>
          <w:sz w:val="24"/>
          <w:szCs w:val="24"/>
        </w:rPr>
        <w:t xml:space="preserve">ācijas instances tiesa līdz galam nav izpratusi Civillikuma </w:t>
      </w:r>
      <w:proofErr w:type="gramStart"/>
      <w:r>
        <w:rPr>
          <w:rFonts w:eastAsia="Times New Roman"/>
          <w:sz w:val="24"/>
          <w:szCs w:val="24"/>
        </w:rPr>
        <w:t>416.pantā</w:t>
      </w:r>
      <w:proofErr w:type="gramEnd"/>
      <w:r>
        <w:rPr>
          <w:rFonts w:eastAsia="Times New Roman"/>
          <w:sz w:val="24"/>
          <w:szCs w:val="24"/>
        </w:rPr>
        <w:t xml:space="preserve"> un Notariāta likuma </w:t>
      </w:r>
      <w:r>
        <w:rPr>
          <w:rFonts w:eastAsia="Times New Roman"/>
          <w:spacing w:val="-1"/>
          <w:sz w:val="24"/>
          <w:szCs w:val="24"/>
        </w:rPr>
        <w:t xml:space="preserve">306.pantā izdarīto grozījumu mērķi. Jaunais (spēkā no </w:t>
      </w:r>
      <w:proofErr w:type="gramStart"/>
      <w:r>
        <w:rPr>
          <w:rFonts w:eastAsia="Times New Roman"/>
          <w:spacing w:val="-1"/>
          <w:sz w:val="24"/>
          <w:szCs w:val="24"/>
        </w:rPr>
        <w:t>2013.gada</w:t>
      </w:r>
      <w:proofErr w:type="gramEnd"/>
      <w:r>
        <w:rPr>
          <w:rFonts w:eastAsia="Times New Roman"/>
          <w:spacing w:val="-1"/>
          <w:sz w:val="24"/>
          <w:szCs w:val="24"/>
        </w:rPr>
        <w:t xml:space="preserve"> 1.jūlija) regulējums ir vērsts uz to, </w:t>
      </w:r>
      <w:r>
        <w:rPr>
          <w:rFonts w:eastAsia="Times New Roman"/>
          <w:sz w:val="24"/>
          <w:szCs w:val="24"/>
        </w:rPr>
        <w:t xml:space="preserve">lai padarītu skaidrāku, efektīvāku un vienkāršāku valstij piekritīgās bezmantinieka mantas realizācijas (pārņemšanas, novērtēšanas, atsavināšanas, kreditoru prasījumu apmierināšanas) procesuālo kārtību, un nevis, lai ierobežotu kreditoru tiesības. Tas, ka Civillikuma </w:t>
      </w:r>
      <w:proofErr w:type="gramStart"/>
      <w:r>
        <w:rPr>
          <w:rFonts w:eastAsia="Times New Roman"/>
          <w:sz w:val="24"/>
          <w:szCs w:val="24"/>
        </w:rPr>
        <w:t>416.pants</w:t>
      </w:r>
      <w:proofErr w:type="gramEnd"/>
      <w:r>
        <w:rPr>
          <w:rFonts w:eastAsia="Times New Roman"/>
          <w:sz w:val="24"/>
          <w:szCs w:val="24"/>
        </w:rPr>
        <w:t xml:space="preserve"> ir papildināts ar precizējumu, kādus parādus valsts atzīst bezmantinieka mantas gadījumā (kam nozīme ir tikai un vienīgi mantas realizācijas procesā), neliecina par likumdevēja gribu ierobežot kreditoru tiesības, respektīvi, kreditoriem, kuri uzaicinājumā noteiktajā termiņā nav paspējuši panākt saistības atzīšanu ar tiesas spriedumu, liegt iespēju saņemt apmierinājumu no mantojuma </w:t>
      </w:r>
      <w:r>
        <w:rPr>
          <w:rFonts w:eastAsia="Times New Roman"/>
          <w:spacing w:val="-1"/>
          <w:sz w:val="24"/>
          <w:szCs w:val="24"/>
        </w:rPr>
        <w:t xml:space="preserve">atstājēja mantas. Civillikuma 416.panta noteikums, ka bezmantinieku manta piekrīt valstij un ka par </w:t>
      </w:r>
      <w:r>
        <w:rPr>
          <w:rFonts w:eastAsia="Times New Roman"/>
          <w:sz w:val="24"/>
          <w:szCs w:val="24"/>
        </w:rPr>
        <w:t>parādiem valsts atbild tikai ar to mantu, kuru viņa tādā kārtā patiesi iegūst, joprojām ir spēkā.</w:t>
      </w:r>
    </w:p>
    <w:p w:rsidR="00844C3A" w:rsidRDefault="00076F41" w:rsidP="000A1A70">
      <w:pPr>
        <w:shd w:val="clear" w:color="auto" w:fill="FFFFFF"/>
        <w:spacing w:line="276" w:lineRule="auto"/>
        <w:ind w:right="5" w:firstLine="567"/>
        <w:jc w:val="both"/>
      </w:pPr>
      <w:r>
        <w:rPr>
          <w:sz w:val="24"/>
          <w:szCs w:val="24"/>
        </w:rPr>
        <w:t>[7.3] K</w:t>
      </w:r>
      <w:r>
        <w:rPr>
          <w:rFonts w:eastAsia="Times New Roman"/>
          <w:sz w:val="24"/>
          <w:szCs w:val="24"/>
        </w:rPr>
        <w:t>ā viens no argumentiem pārsūdzētajā nolēmumā norādīts, ka kreditoram bijis pietiekams laiks (septiņi mēneši) attiecīgā tiesas sprieduma iesniegšanai.</w:t>
      </w:r>
    </w:p>
    <w:p w:rsidR="00844C3A" w:rsidRDefault="00076F41" w:rsidP="000A1A70">
      <w:pPr>
        <w:shd w:val="clear" w:color="auto" w:fill="FFFFFF"/>
        <w:spacing w:line="276" w:lineRule="auto"/>
        <w:ind w:right="5" w:firstLine="567"/>
        <w:jc w:val="both"/>
      </w:pPr>
      <w:r>
        <w:rPr>
          <w:rFonts w:eastAsia="Times New Roman"/>
          <w:sz w:val="24"/>
          <w:szCs w:val="24"/>
        </w:rPr>
        <w:t xml:space="preserve">Šādu pieeju attiecīgā jautājuma risināšanā Augstākā tiesa nevar atzīt par pareizu. </w:t>
      </w:r>
      <w:r>
        <w:rPr>
          <w:rFonts w:eastAsia="Times New Roman"/>
          <w:sz w:val="24"/>
          <w:szCs w:val="24"/>
        </w:rPr>
        <w:lastRenderedPageBreak/>
        <w:t>Pirmkārt, notārs nosaka termiņu pretenziju pieteikšanai, nevis sprieduma, kas pierāda kreditora saistību, iesniegšanai, jo īpaši tādēļ, ka pieteikto kreditora pretenziju pamatotības pārbaude neietilpst notāra kompetencē. Otrkārt, civilprasību izskata un spriedumu taisa tiesa, lietas izskatīšanas termiņš ir no kreditora gribas neatkarīgs apstāklis. Nav nekāda pamata mantojuma lietā termiņā pieteikta kreditora prasījuma apmierināšanas iespēju padarīt atkarīgu no tiesvedības ātruma citā lietā.</w:t>
      </w:r>
    </w:p>
    <w:p w:rsidR="00844C3A" w:rsidRDefault="00076F41" w:rsidP="000A1A70">
      <w:pPr>
        <w:shd w:val="clear" w:color="auto" w:fill="FFFFFF"/>
        <w:spacing w:line="276" w:lineRule="auto"/>
        <w:ind w:firstLine="567"/>
        <w:jc w:val="both"/>
      </w:pPr>
      <w:r>
        <w:rPr>
          <w:sz w:val="24"/>
          <w:szCs w:val="24"/>
        </w:rPr>
        <w:t xml:space="preserve">Civillikuma </w:t>
      </w:r>
      <w:proofErr w:type="gramStart"/>
      <w:r>
        <w:rPr>
          <w:sz w:val="24"/>
          <w:szCs w:val="24"/>
        </w:rPr>
        <w:t>416.pants</w:t>
      </w:r>
      <w:proofErr w:type="gramEnd"/>
      <w:r>
        <w:rPr>
          <w:sz w:val="24"/>
          <w:szCs w:val="24"/>
        </w:rPr>
        <w:t xml:space="preserve"> paredz materi</w:t>
      </w:r>
      <w:r>
        <w:rPr>
          <w:rFonts w:eastAsia="Times New Roman"/>
          <w:sz w:val="24"/>
          <w:szCs w:val="24"/>
        </w:rPr>
        <w:t>ālos priekšnoteikumus mantas atzīšanai par bezmantinieka mantu, nevis termiņu, līdz kuram notāram jātaisa akts par mantojuma lietas izbeigšanu. Tāds termiņš nav noteikts nedz Notariāta likumā, nedz arī Noteikumos Nr.618. Tā kā zvērināts notārs nav ierobežots laikā, līdz kuram jāpabeidz mantojuma lieta, ja uzaicinājumā noteiktajā termiņā mantinieki nav pieteikušies, tad viņam nav liegts aktu par mantojuma lietas izbeigšanu taisīt pēc tam, kad tiesa ir taisījusi spriedumu pretenziju pieteikušā kreditora prasības lietā par saistības atzīšanu – sagaidot kreditora uzsāktās tiesvedības rezultātu.</w:t>
      </w:r>
    </w:p>
    <w:p w:rsidR="00844C3A" w:rsidRDefault="00076F41" w:rsidP="000A1A70">
      <w:pPr>
        <w:shd w:val="clear" w:color="auto" w:fill="FFFFFF"/>
        <w:spacing w:line="276" w:lineRule="auto"/>
        <w:ind w:firstLine="567"/>
        <w:jc w:val="both"/>
      </w:pPr>
      <w:r>
        <w:rPr>
          <w:rFonts w:eastAsia="Times New Roman"/>
          <w:sz w:val="24"/>
          <w:szCs w:val="24"/>
        </w:rPr>
        <w:t xml:space="preserve">Ņemot vērā spēkā esošo bezmantinieku mantas regulējumu, kuram atbilstoši valsts atzīst tikai Civillikuma </w:t>
      </w:r>
      <w:proofErr w:type="gramStart"/>
      <w:r>
        <w:rPr>
          <w:rFonts w:eastAsia="Times New Roman"/>
          <w:sz w:val="24"/>
          <w:szCs w:val="24"/>
        </w:rPr>
        <w:t>416.pantā</w:t>
      </w:r>
      <w:proofErr w:type="gramEnd"/>
      <w:r>
        <w:rPr>
          <w:rFonts w:eastAsia="Times New Roman"/>
          <w:sz w:val="24"/>
          <w:szCs w:val="24"/>
        </w:rPr>
        <w:t xml:space="preserve"> noteiktos parādus, kas pēc mantojuma lietas izbeigšanas un mantas atzīšanas par bezmantinieku mantu kreditoram izslēdz iespēju aizstāvēt savas aizskartās tiesības tiesā, Augstākā tiesa uzskata, ka gadījumā, ja uzaicinājumā noteiktajā termiņā kreditors pieteicis zvērinātam notāram pretenziju, iesniedzot pierādījumus par vēršanos tiesā saistības atzīšanai, tad kreditora tiesību un likumisko interešu nodrošināšanas nolūkā mantojuma lietu izbeigt nevar, iekams nav taisīts spriedums kreditora uzsāktajā saistības lietā.</w:t>
      </w:r>
    </w:p>
    <w:p w:rsidR="00844C3A" w:rsidRDefault="00076F41" w:rsidP="000A1A70">
      <w:pPr>
        <w:shd w:val="clear" w:color="auto" w:fill="FFFFFF"/>
        <w:spacing w:line="276" w:lineRule="auto"/>
        <w:ind w:right="5" w:firstLine="567"/>
        <w:jc w:val="both"/>
      </w:pPr>
      <w:r>
        <w:rPr>
          <w:sz w:val="24"/>
          <w:szCs w:val="24"/>
        </w:rPr>
        <w:t>[7.4] No mantojuma lietas materi</w:t>
      </w:r>
      <w:r>
        <w:rPr>
          <w:rFonts w:eastAsia="Times New Roman"/>
          <w:sz w:val="24"/>
          <w:szCs w:val="24"/>
        </w:rPr>
        <w:t xml:space="preserve">āliem izriet, ka notārei bija zināms par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uzsākto tiesvedību. </w:t>
      </w:r>
      <w:proofErr w:type="gramStart"/>
      <w:r>
        <w:rPr>
          <w:rFonts w:eastAsia="Times New Roman"/>
          <w:sz w:val="24"/>
          <w:szCs w:val="24"/>
        </w:rPr>
        <w:t>Vēl jo vairāk,</w:t>
      </w:r>
      <w:proofErr w:type="gramEnd"/>
      <w:r>
        <w:rPr>
          <w:rFonts w:eastAsia="Times New Roman"/>
          <w:sz w:val="24"/>
          <w:szCs w:val="24"/>
        </w:rPr>
        <w:t xml:space="preserve"> notāre izpildīja notariālās darbības, lai mantojuma masai tiktu iecelts aizgādnis.</w:t>
      </w:r>
    </w:p>
    <w:p w:rsidR="00844C3A" w:rsidRDefault="00076F41" w:rsidP="000A1A70">
      <w:pPr>
        <w:shd w:val="clear" w:color="auto" w:fill="FFFFFF"/>
        <w:spacing w:line="276" w:lineRule="auto"/>
        <w:ind w:firstLine="567"/>
        <w:jc w:val="both"/>
      </w:pPr>
      <w:r>
        <w:rPr>
          <w:sz w:val="24"/>
          <w:szCs w:val="24"/>
        </w:rPr>
        <w:t xml:space="preserve">Civillikuma </w:t>
      </w:r>
      <w:proofErr w:type="gramStart"/>
      <w:r>
        <w:rPr>
          <w:sz w:val="24"/>
          <w:szCs w:val="24"/>
        </w:rPr>
        <w:t>662.pant</w:t>
      </w:r>
      <w:r>
        <w:rPr>
          <w:rFonts w:eastAsia="Times New Roman"/>
          <w:sz w:val="24"/>
          <w:szCs w:val="24"/>
        </w:rPr>
        <w:t>ā</w:t>
      </w:r>
      <w:proofErr w:type="gramEnd"/>
      <w:r>
        <w:rPr>
          <w:rFonts w:eastAsia="Times New Roman"/>
          <w:sz w:val="24"/>
          <w:szCs w:val="24"/>
        </w:rPr>
        <w:t xml:space="preserve"> noteikts, ka aizgādņi mantojuma pārvaldībā un pārstāvēšanā rīkojas patstāvīgi un mantojuma vārdā. Aizgādnis mantojumu pārvalda ar tādu pašu rūpību un apzinību, ar kādu viņš kā labs saimnieks pārvalda savas paša lietas, ievērojot </w:t>
      </w:r>
      <w:proofErr w:type="gramStart"/>
      <w:r>
        <w:rPr>
          <w:rFonts w:eastAsia="Times New Roman"/>
          <w:sz w:val="24"/>
          <w:szCs w:val="24"/>
        </w:rPr>
        <w:t>269.pantā</w:t>
      </w:r>
      <w:proofErr w:type="gramEnd"/>
      <w:r>
        <w:rPr>
          <w:rFonts w:eastAsia="Times New Roman"/>
          <w:sz w:val="24"/>
          <w:szCs w:val="24"/>
        </w:rPr>
        <w:t xml:space="preserve"> un turpmākajos pantos noteikto. Savukārt mantojuma pārvaldība un pārstāvēšana atbilstoši Civillikuma 269. un turpmākajos pantos noteiktajam ietver sevī gan mantojuma saraksta sastādīšanu un, ja mantojums</w:t>
      </w:r>
      <w:r w:rsidR="000A1A70">
        <w:rPr>
          <w:rFonts w:eastAsia="Times New Roman"/>
          <w:sz w:val="24"/>
          <w:szCs w:val="24"/>
        </w:rPr>
        <w:t xml:space="preserve"> </w:t>
      </w:r>
      <w:r>
        <w:rPr>
          <w:sz w:val="24"/>
          <w:szCs w:val="24"/>
        </w:rPr>
        <w:t>apgr</w:t>
      </w:r>
      <w:r>
        <w:rPr>
          <w:rFonts w:eastAsia="Times New Roman"/>
          <w:sz w:val="24"/>
          <w:szCs w:val="24"/>
        </w:rPr>
        <w:t>ūtināts ar parādiem, kreditoru apzināšanu un pēc iespējas kreditoru prasījumu apmierināšanu.</w:t>
      </w:r>
    </w:p>
    <w:p w:rsidR="00844C3A" w:rsidRDefault="00076F41" w:rsidP="000A1A70">
      <w:pPr>
        <w:shd w:val="clear" w:color="auto" w:fill="FFFFFF"/>
        <w:spacing w:line="276" w:lineRule="auto"/>
        <w:ind w:right="10" w:firstLine="567"/>
        <w:jc w:val="both"/>
      </w:pPr>
      <w:r>
        <w:rPr>
          <w:sz w:val="24"/>
          <w:szCs w:val="24"/>
        </w:rPr>
        <w:t>Aizg</w:t>
      </w:r>
      <w:r>
        <w:rPr>
          <w:rFonts w:eastAsia="Times New Roman"/>
          <w:sz w:val="24"/>
          <w:szCs w:val="24"/>
        </w:rPr>
        <w:t>ādnības institūts dod iespēju noregulēt starp mantojuma atstājēju un kreditoru savulaik nodibinātās tiesiskās attiecības un no tām izrietošo saistību izpildi.</w:t>
      </w:r>
    </w:p>
    <w:p w:rsidR="00844C3A" w:rsidRDefault="00076F41" w:rsidP="000A1A70">
      <w:pPr>
        <w:shd w:val="clear" w:color="auto" w:fill="FFFFFF"/>
        <w:spacing w:line="276" w:lineRule="auto"/>
        <w:ind w:firstLine="567"/>
        <w:jc w:val="both"/>
      </w:pPr>
      <w:r>
        <w:rPr>
          <w:sz w:val="24"/>
          <w:szCs w:val="24"/>
        </w:rPr>
        <w:t>T</w:t>
      </w:r>
      <w:r>
        <w:rPr>
          <w:rFonts w:eastAsia="Times New Roman"/>
          <w:sz w:val="24"/>
          <w:szCs w:val="24"/>
        </w:rPr>
        <w:t xml:space="preserve">ātad mantojuma masas aizgādnim ne tikai ir tiesība, bet arī pienākums iestāties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celtajā prasības lietā mirušās </w:t>
      </w:r>
      <w:r w:rsidR="009067D9">
        <w:rPr>
          <w:rFonts w:eastAsia="Times New Roman"/>
          <w:sz w:val="24"/>
          <w:szCs w:val="24"/>
        </w:rPr>
        <w:t>[pers. A]</w:t>
      </w:r>
      <w:r>
        <w:rPr>
          <w:rFonts w:eastAsia="Times New Roman"/>
          <w:sz w:val="24"/>
          <w:szCs w:val="24"/>
        </w:rPr>
        <w:t xml:space="preserve"> vietā, lūgt atjaunot tiesvedību lietā, lai strīdu izšķirtu pēc būtības, attiecīgi atzīstot vai arī noraidot saistības pastāvēšanu.</w:t>
      </w:r>
    </w:p>
    <w:p w:rsidR="00844C3A" w:rsidRDefault="00076F41" w:rsidP="000A1A70">
      <w:pPr>
        <w:shd w:val="clear" w:color="auto" w:fill="FFFFFF"/>
        <w:spacing w:line="276" w:lineRule="auto"/>
        <w:ind w:firstLine="567"/>
        <w:jc w:val="both"/>
      </w:pPr>
      <w:r>
        <w:rPr>
          <w:sz w:val="24"/>
          <w:szCs w:val="24"/>
        </w:rPr>
        <w:t>Konkr</w:t>
      </w:r>
      <w:r>
        <w:rPr>
          <w:rFonts w:eastAsia="Times New Roman"/>
          <w:sz w:val="24"/>
          <w:szCs w:val="24"/>
        </w:rPr>
        <w:t>ētajā gadījumā notāre, taisot aktu par mantojuma lietas izbeigšanu</w:t>
      </w:r>
      <w:proofErr w:type="gramStart"/>
      <w:r>
        <w:rPr>
          <w:rFonts w:eastAsia="Times New Roman"/>
          <w:sz w:val="24"/>
          <w:szCs w:val="24"/>
        </w:rPr>
        <w:t xml:space="preserve"> pirms tiek pabeigta tiesvedība kreditora uzsāktajā lietā par saistības atzīšanu</w:t>
      </w:r>
      <w:proofErr w:type="gramEnd"/>
      <w:r>
        <w:rPr>
          <w:rFonts w:eastAsia="Times New Roman"/>
          <w:sz w:val="24"/>
          <w:szCs w:val="24"/>
        </w:rPr>
        <w:t xml:space="preserve">, ir atņēmusi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xml:space="preserve">” iespēju uz sava prasījuma (par kura piedziņu prasība tika celta līdz </w:t>
      </w:r>
      <w:r w:rsidR="009067D9">
        <w:rPr>
          <w:rFonts w:eastAsia="Times New Roman"/>
          <w:sz w:val="24"/>
          <w:szCs w:val="24"/>
        </w:rPr>
        <w:t>[pers. A]</w:t>
      </w:r>
      <w:r>
        <w:rPr>
          <w:rFonts w:eastAsia="Times New Roman"/>
          <w:sz w:val="24"/>
          <w:szCs w:val="24"/>
        </w:rPr>
        <w:t xml:space="preserve"> nāvei) apmierināšanu </w:t>
      </w:r>
      <w:r>
        <w:rPr>
          <w:rFonts w:eastAsia="Times New Roman"/>
          <w:spacing w:val="-1"/>
          <w:sz w:val="24"/>
          <w:szCs w:val="24"/>
        </w:rPr>
        <w:t xml:space="preserve">no mantojuma atstājējas mantas. Šāda situācija (mantu iegūst valsts, bet kreditors apmierinājumu no </w:t>
      </w:r>
      <w:r>
        <w:rPr>
          <w:rFonts w:eastAsia="Times New Roman"/>
          <w:sz w:val="24"/>
          <w:szCs w:val="24"/>
        </w:rPr>
        <w:t>mantas nesaņem) neatbilst Civillikuma 416.panta pirmās daļas jēgai.</w:t>
      </w:r>
    </w:p>
    <w:p w:rsidR="00844C3A" w:rsidRDefault="00076F41" w:rsidP="000A1A70">
      <w:pPr>
        <w:shd w:val="clear" w:color="auto" w:fill="FFFFFF"/>
        <w:spacing w:line="276" w:lineRule="auto"/>
        <w:ind w:firstLine="567"/>
        <w:jc w:val="both"/>
      </w:pPr>
      <w:r>
        <w:rPr>
          <w:sz w:val="24"/>
          <w:szCs w:val="24"/>
        </w:rPr>
        <w:t>[7.5] Apkopojot iepriek</w:t>
      </w:r>
      <w:r>
        <w:rPr>
          <w:rFonts w:eastAsia="Times New Roman"/>
          <w:sz w:val="24"/>
          <w:szCs w:val="24"/>
        </w:rPr>
        <w:t xml:space="preserve">š teikto, Augstākā tiesa uzskata, ka notāre nav nodrošinājusi kreditora (kurš pretenziju pieteicis uzaicinājuma termiņā) tiesības un likumīgās intereses. Latgales apgabaltiesas secinājums par pretējo izdarīts formāli, tiesa nav izpratusi </w:t>
      </w:r>
      <w:r>
        <w:rPr>
          <w:rFonts w:eastAsia="Times New Roman"/>
          <w:sz w:val="24"/>
          <w:szCs w:val="24"/>
        </w:rPr>
        <w:lastRenderedPageBreak/>
        <w:t xml:space="preserve">Civillikuma </w:t>
      </w:r>
      <w:proofErr w:type="gramStart"/>
      <w:r>
        <w:rPr>
          <w:rFonts w:eastAsia="Times New Roman"/>
          <w:sz w:val="24"/>
          <w:szCs w:val="24"/>
        </w:rPr>
        <w:t>416.panta</w:t>
      </w:r>
      <w:proofErr w:type="gramEnd"/>
      <w:r>
        <w:rPr>
          <w:rFonts w:eastAsia="Times New Roman"/>
          <w:sz w:val="24"/>
          <w:szCs w:val="24"/>
        </w:rPr>
        <w:t xml:space="preserve"> un Notariāta likuma 306.panta saturu un jēgu. Līdz ar to pārsūdzēto nolēmumu nevar atzīt par </w:t>
      </w:r>
      <w:r>
        <w:rPr>
          <w:rFonts w:eastAsia="Times New Roman"/>
          <w:spacing w:val="-1"/>
          <w:sz w:val="24"/>
          <w:szCs w:val="24"/>
        </w:rPr>
        <w:t>pamatotu, tādēļ tas, apmierinot kasācijas sūdzību, ir atceļams un lieta nododama jaunai izskatīšanai.</w:t>
      </w:r>
    </w:p>
    <w:p w:rsidR="00844C3A" w:rsidRDefault="00076F41" w:rsidP="000A1A70">
      <w:pPr>
        <w:shd w:val="clear" w:color="auto" w:fill="FFFFFF"/>
        <w:spacing w:line="276" w:lineRule="auto"/>
        <w:ind w:right="5" w:firstLine="567"/>
        <w:jc w:val="both"/>
      </w:pPr>
      <w:r>
        <w:rPr>
          <w:sz w:val="24"/>
          <w:szCs w:val="24"/>
        </w:rPr>
        <w:t>T</w:t>
      </w:r>
      <w:r>
        <w:rPr>
          <w:rFonts w:eastAsia="Times New Roman"/>
          <w:sz w:val="24"/>
          <w:szCs w:val="24"/>
        </w:rPr>
        <w:t xml:space="preserve">ā kā spriedums tiek atcelts, saskaņā ar Civilprocesa likuma </w:t>
      </w:r>
      <w:proofErr w:type="gramStart"/>
      <w:r>
        <w:rPr>
          <w:rFonts w:eastAsia="Times New Roman"/>
          <w:sz w:val="24"/>
          <w:szCs w:val="24"/>
        </w:rPr>
        <w:t>458.panta</w:t>
      </w:r>
      <w:proofErr w:type="gramEnd"/>
      <w:r>
        <w:rPr>
          <w:rFonts w:eastAsia="Times New Roman"/>
          <w:sz w:val="24"/>
          <w:szCs w:val="24"/>
        </w:rPr>
        <w:t xml:space="preserve"> otro daļu </w:t>
      </w:r>
      <w:proofErr w:type="spellStart"/>
      <w:r>
        <w:rPr>
          <w:rFonts w:eastAsia="Times New Roman"/>
          <w:sz w:val="24"/>
          <w:szCs w:val="24"/>
        </w:rPr>
        <w:t>DzĪKS</w:t>
      </w:r>
      <w:proofErr w:type="spellEnd"/>
      <w:r>
        <w:rPr>
          <w:rFonts w:eastAsia="Times New Roman"/>
          <w:sz w:val="24"/>
          <w:szCs w:val="24"/>
        </w:rPr>
        <w:t xml:space="preserve"> „</w:t>
      </w:r>
      <w:r w:rsidR="00AC13FF">
        <w:rPr>
          <w:rFonts w:eastAsia="Times New Roman"/>
          <w:sz w:val="24"/>
          <w:szCs w:val="24"/>
        </w:rPr>
        <w:t>[Nosaukums]</w:t>
      </w:r>
      <w:r>
        <w:rPr>
          <w:rFonts w:eastAsia="Times New Roman"/>
          <w:sz w:val="24"/>
          <w:szCs w:val="24"/>
        </w:rPr>
        <w:t>” atmaksājama par kasācijas sūdzību samaksātā drošības nauda 284,57 EUR.</w:t>
      </w:r>
    </w:p>
    <w:p w:rsidR="00844C3A" w:rsidRDefault="00076F41" w:rsidP="006F2C57">
      <w:pPr>
        <w:shd w:val="clear" w:color="auto" w:fill="FFFFFF"/>
        <w:spacing w:before="120" w:after="120" w:line="276" w:lineRule="auto"/>
        <w:ind w:left="6"/>
        <w:jc w:val="center"/>
      </w:pPr>
      <w:r>
        <w:rPr>
          <w:b/>
          <w:bCs/>
          <w:spacing w:val="-2"/>
          <w:sz w:val="24"/>
          <w:szCs w:val="24"/>
        </w:rPr>
        <w:t>Rezolut</w:t>
      </w:r>
      <w:r>
        <w:rPr>
          <w:rFonts w:eastAsia="Times New Roman"/>
          <w:b/>
          <w:bCs/>
          <w:spacing w:val="-2"/>
          <w:sz w:val="24"/>
          <w:szCs w:val="24"/>
        </w:rPr>
        <w:t>īvā daļa</w:t>
      </w:r>
    </w:p>
    <w:p w:rsidR="00844C3A" w:rsidRDefault="00076F41" w:rsidP="000A1A70">
      <w:pPr>
        <w:shd w:val="clear" w:color="auto" w:fill="FFFFFF"/>
        <w:spacing w:line="276" w:lineRule="auto"/>
        <w:ind w:left="567"/>
      </w:pPr>
      <w:r>
        <w:rPr>
          <w:spacing w:val="-1"/>
          <w:sz w:val="24"/>
          <w:szCs w:val="24"/>
        </w:rPr>
        <w:t xml:space="preserve">Pamatojoties uz Civilprocesa likuma </w:t>
      </w:r>
      <w:proofErr w:type="gramStart"/>
      <w:r>
        <w:rPr>
          <w:spacing w:val="-1"/>
          <w:sz w:val="24"/>
          <w:szCs w:val="24"/>
        </w:rPr>
        <w:t>474.panta</w:t>
      </w:r>
      <w:proofErr w:type="gramEnd"/>
      <w:r>
        <w:rPr>
          <w:spacing w:val="-1"/>
          <w:sz w:val="24"/>
          <w:szCs w:val="24"/>
        </w:rPr>
        <w:t xml:space="preserve"> 2.punktu, Augst</w:t>
      </w:r>
      <w:r>
        <w:rPr>
          <w:rFonts w:eastAsia="Times New Roman"/>
          <w:spacing w:val="-1"/>
          <w:sz w:val="24"/>
          <w:szCs w:val="24"/>
        </w:rPr>
        <w:t>ākā tiesa</w:t>
      </w:r>
    </w:p>
    <w:p w:rsidR="00844C3A" w:rsidRDefault="00076F41" w:rsidP="006F2C57">
      <w:pPr>
        <w:shd w:val="clear" w:color="auto" w:fill="FFFFFF"/>
        <w:spacing w:before="120" w:after="120" w:line="276" w:lineRule="auto"/>
        <w:ind w:left="6"/>
        <w:jc w:val="center"/>
      </w:pPr>
      <w:r>
        <w:rPr>
          <w:b/>
          <w:bCs/>
          <w:spacing w:val="-2"/>
          <w:sz w:val="24"/>
          <w:szCs w:val="24"/>
        </w:rPr>
        <w:t>nosprieda</w:t>
      </w:r>
    </w:p>
    <w:p w:rsidR="00844C3A" w:rsidRDefault="00076F41" w:rsidP="009067D9">
      <w:pPr>
        <w:shd w:val="clear" w:color="auto" w:fill="FFFFFF"/>
        <w:spacing w:line="276" w:lineRule="auto"/>
        <w:ind w:firstLine="566"/>
        <w:jc w:val="both"/>
      </w:pPr>
      <w:r>
        <w:rPr>
          <w:sz w:val="24"/>
          <w:szCs w:val="24"/>
        </w:rPr>
        <w:t>Latgales apgabaltiesas Civillietu tiesas kol</w:t>
      </w:r>
      <w:r>
        <w:rPr>
          <w:rFonts w:eastAsia="Times New Roman"/>
          <w:sz w:val="24"/>
          <w:szCs w:val="24"/>
        </w:rPr>
        <w:t xml:space="preserve">ēģijas </w:t>
      </w:r>
      <w:proofErr w:type="gramStart"/>
      <w:r>
        <w:rPr>
          <w:rFonts w:eastAsia="Times New Roman"/>
          <w:sz w:val="24"/>
          <w:szCs w:val="24"/>
        </w:rPr>
        <w:t>2016.gada</w:t>
      </w:r>
      <w:proofErr w:type="gramEnd"/>
      <w:r>
        <w:rPr>
          <w:rFonts w:eastAsia="Times New Roman"/>
          <w:sz w:val="24"/>
          <w:szCs w:val="24"/>
        </w:rPr>
        <w:t xml:space="preserve"> 25.februāra spriedumu atcelt un lietu nodot jaunai izskatīšanai apelācijas instances tiesai.</w:t>
      </w:r>
    </w:p>
    <w:p w:rsidR="00844C3A" w:rsidRDefault="00076F41" w:rsidP="009067D9">
      <w:pPr>
        <w:shd w:val="clear" w:color="auto" w:fill="FFFFFF"/>
        <w:spacing w:line="276" w:lineRule="auto"/>
        <w:ind w:firstLine="566"/>
        <w:jc w:val="both"/>
      </w:pPr>
      <w:r>
        <w:rPr>
          <w:spacing w:val="-1"/>
          <w:sz w:val="24"/>
          <w:szCs w:val="24"/>
        </w:rPr>
        <w:t>Atmaks</w:t>
      </w:r>
      <w:r>
        <w:rPr>
          <w:rFonts w:eastAsia="Times New Roman"/>
          <w:spacing w:val="-1"/>
          <w:sz w:val="24"/>
          <w:szCs w:val="24"/>
        </w:rPr>
        <w:t xml:space="preserve">āt </w:t>
      </w:r>
      <w:proofErr w:type="spellStart"/>
      <w:r>
        <w:rPr>
          <w:rFonts w:eastAsia="Times New Roman"/>
          <w:spacing w:val="-1"/>
          <w:sz w:val="24"/>
          <w:szCs w:val="24"/>
        </w:rPr>
        <w:t>DzĪKS</w:t>
      </w:r>
      <w:proofErr w:type="spellEnd"/>
      <w:r>
        <w:rPr>
          <w:rFonts w:eastAsia="Times New Roman"/>
          <w:spacing w:val="-1"/>
          <w:sz w:val="24"/>
          <w:szCs w:val="24"/>
        </w:rPr>
        <w:t xml:space="preserve"> „</w:t>
      </w:r>
      <w:r w:rsidR="00AC13FF">
        <w:rPr>
          <w:rFonts w:eastAsia="Times New Roman"/>
          <w:spacing w:val="-1"/>
          <w:sz w:val="24"/>
          <w:szCs w:val="24"/>
        </w:rPr>
        <w:t>[Nosaukums]</w:t>
      </w:r>
      <w:r>
        <w:rPr>
          <w:rFonts w:eastAsia="Times New Roman"/>
          <w:spacing w:val="-1"/>
          <w:sz w:val="24"/>
          <w:szCs w:val="24"/>
        </w:rPr>
        <w:t xml:space="preserve">” drošības naudu 284,57 EUR (divi simti astoņdesmit četri </w:t>
      </w:r>
      <w:proofErr w:type="spellStart"/>
      <w:r>
        <w:rPr>
          <w:rFonts w:eastAsia="Times New Roman"/>
          <w:i/>
          <w:iCs/>
          <w:spacing w:val="-1"/>
          <w:sz w:val="24"/>
          <w:szCs w:val="24"/>
        </w:rPr>
        <w:t>euro</w:t>
      </w:r>
      <w:proofErr w:type="spellEnd"/>
      <w:r>
        <w:rPr>
          <w:rFonts w:eastAsia="Times New Roman"/>
          <w:i/>
          <w:iCs/>
          <w:spacing w:val="-1"/>
          <w:sz w:val="24"/>
          <w:szCs w:val="24"/>
        </w:rPr>
        <w:t xml:space="preserve">, </w:t>
      </w:r>
      <w:r>
        <w:rPr>
          <w:rFonts w:eastAsia="Times New Roman"/>
          <w:sz w:val="24"/>
          <w:szCs w:val="24"/>
        </w:rPr>
        <w:t>57 centi).</w:t>
      </w:r>
    </w:p>
    <w:p w:rsidR="00076F41" w:rsidRDefault="00076F41" w:rsidP="000A1A70">
      <w:pPr>
        <w:shd w:val="clear" w:color="auto" w:fill="FFFFFF"/>
        <w:spacing w:line="276" w:lineRule="auto"/>
        <w:ind w:firstLine="566"/>
        <w:rPr>
          <w:rFonts w:eastAsia="Times New Roman"/>
          <w:sz w:val="24"/>
          <w:szCs w:val="24"/>
        </w:rPr>
      </w:pPr>
      <w:r>
        <w:rPr>
          <w:sz w:val="24"/>
          <w:szCs w:val="24"/>
        </w:rPr>
        <w:t>Spriedums nav p</w:t>
      </w:r>
      <w:r>
        <w:rPr>
          <w:rFonts w:eastAsia="Times New Roman"/>
          <w:sz w:val="24"/>
          <w:szCs w:val="24"/>
        </w:rPr>
        <w:t>ārsūdzams.</w:t>
      </w:r>
    </w:p>
    <w:sectPr w:rsidR="00076F41" w:rsidSect="00634C08">
      <w:pgSz w:w="11909" w:h="16834"/>
      <w:pgMar w:top="1134" w:right="1419"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E9"/>
    <w:rsid w:val="00076F41"/>
    <w:rsid w:val="000A1A70"/>
    <w:rsid w:val="001F79E9"/>
    <w:rsid w:val="00634C08"/>
    <w:rsid w:val="00690223"/>
    <w:rsid w:val="006F2C57"/>
    <w:rsid w:val="007D7D42"/>
    <w:rsid w:val="00844C3A"/>
    <w:rsid w:val="009067D9"/>
    <w:rsid w:val="00AC13FF"/>
    <w:rsid w:val="00D46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AFD79A-7D8A-4D59-974D-E3DB2FC2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eima.lv/lv/" TargetMode="External"/><Relationship Id="rId5" Type="http://schemas.openxmlformats.org/officeDocument/2006/relationships/hyperlink" Target="http://titania.saeima.lv/LIVSaa/Saeima" TargetMode="External"/><Relationship Id="rId4" Type="http://schemas.openxmlformats.org/officeDocument/2006/relationships/hyperlink" Target="https://manas.tiesas.lv/eTiesasMvc/eclinolemumi/ECLI:LV:AT:2018:0301.C26132615.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14126</Words>
  <Characters>8053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2018-03-05T07:54:00Z</dcterms:created>
  <dcterms:modified xsi:type="dcterms:W3CDTF">2018-04-25T06:58:00Z</dcterms:modified>
</cp:coreProperties>
</file>