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C64" w:rsidRPr="00007052" w:rsidRDefault="00570C64" w:rsidP="00570C64">
      <w:pPr>
        <w:spacing w:after="0" w:line="276" w:lineRule="auto"/>
        <w:jc w:val="both"/>
        <w:rPr>
          <w:b/>
        </w:rPr>
      </w:pPr>
      <w:r>
        <w:rPr>
          <w:b/>
        </w:rPr>
        <w:t>T</w:t>
      </w:r>
      <w:r w:rsidRPr="00007052">
        <w:rPr>
          <w:b/>
        </w:rPr>
        <w:t>iesības uz veselības apdrošināšanu kā sociālo garantiju</w:t>
      </w:r>
      <w:r>
        <w:rPr>
          <w:b/>
        </w:rPr>
        <w:t>,</w:t>
      </w:r>
      <w:r w:rsidRPr="00007052">
        <w:rPr>
          <w:b/>
        </w:rPr>
        <w:t xml:space="preserve"> </w:t>
      </w:r>
      <w:r>
        <w:rPr>
          <w:b/>
        </w:rPr>
        <w:t>pārceļot amatpersonu</w:t>
      </w:r>
      <w:r w:rsidRPr="00007052">
        <w:rPr>
          <w:b/>
        </w:rPr>
        <w:t xml:space="preserve"> citā amatā </w:t>
      </w:r>
    </w:p>
    <w:p w:rsidR="00570C64" w:rsidRPr="00007052" w:rsidRDefault="00570C64" w:rsidP="00570C64">
      <w:pPr>
        <w:spacing w:after="0" w:line="276" w:lineRule="auto"/>
        <w:jc w:val="both"/>
      </w:pPr>
      <w:r w:rsidRPr="00007052">
        <w:t xml:space="preserve">1. No Valsts civildienesta likuma </w:t>
      </w:r>
      <w:proofErr w:type="gramStart"/>
      <w:r w:rsidRPr="00007052">
        <w:t>37.panta</w:t>
      </w:r>
      <w:proofErr w:type="gramEnd"/>
      <w:r w:rsidRPr="00007052">
        <w:t xml:space="preserve"> ceturtās daļas izriet, ka ierēdnim pārcelšanas gadījumā citā amatā ir saglabājama tā mēnešalga un citi ar darbu saistītie maksājumi, kuri ierēdnim bija piešķirti un secīgi uz kuriem ierēdnis noteikti varēja paļauties, ka tie tiks saglabāti jaunajā amatā. Tas nozīmē, ka konkrētā tiesību norma ir vērsta uz to, lai netiktu pasliktināts ierēdņa materiālais stāvoklis, kāds ierēdnim bija nodrošināts pirms pārcelšanas jaunā amatā. Vienlaikus tas nozīmē, ka uz neregulāras un negarantētas atlīdzības saņemšanu ierēdnis nevar paļauties. Šīs atziņas piemērojamas ne tikai attiecībā uz garantētajiem vai negarantētajiem darba samaksas maksājumiem, bet arī uz garantētajiem vai negarantētajiem sociālo garantiju veidiem. </w:t>
      </w:r>
    </w:p>
    <w:p w:rsidR="00FC70A5" w:rsidRDefault="00570C64" w:rsidP="00570C64">
      <w:pPr>
        <w:spacing w:after="0" w:line="276" w:lineRule="auto"/>
        <w:jc w:val="both"/>
        <w:rPr>
          <w:b/>
        </w:rPr>
      </w:pPr>
      <w:r w:rsidRPr="00007052">
        <w:t>2. Tas, ka valsts vai pašvaldības institūcija apdrošina amatpersonu (darbinieku) veselību sev piešķirto budžeta līdzekļu ietvaros, nozīmē, ka amatpersonai nav no likuma izrietošu subjektīvo tiesību prasīt, lai tās veselība tiek apdrošināta, jo amatpersonu veselības apdrošināšana, kurām tā nav noteikta ar likumu, ir atkarīga no iestādes budžeta līdzekļiem.</w:t>
      </w:r>
    </w:p>
    <w:p w:rsidR="00570C64" w:rsidRPr="002B6D26" w:rsidRDefault="00570C64" w:rsidP="00A810A0">
      <w:pPr>
        <w:spacing w:after="0" w:line="276" w:lineRule="auto"/>
        <w:jc w:val="right"/>
        <w:rPr>
          <w:rFonts w:eastAsia="Times New Roman" w:cs="Times New Roman"/>
          <w:szCs w:val="24"/>
          <w:lang w:eastAsia="ru-RU"/>
        </w:rPr>
      </w:pPr>
    </w:p>
    <w:p w:rsidR="00A810A0" w:rsidRDefault="00A810A0" w:rsidP="00A810A0">
      <w:pPr>
        <w:spacing w:after="0" w:line="276" w:lineRule="auto"/>
        <w:jc w:val="center"/>
        <w:rPr>
          <w:rFonts w:eastAsia="Times New Roman" w:cs="Times New Roman"/>
          <w:b/>
          <w:szCs w:val="24"/>
          <w:lang w:eastAsia="ru-RU"/>
        </w:rPr>
      </w:pPr>
      <w:r w:rsidRPr="002B6D26">
        <w:rPr>
          <w:rFonts w:eastAsia="Times New Roman" w:cs="Times New Roman"/>
          <w:b/>
          <w:szCs w:val="24"/>
          <w:lang w:eastAsia="ru-RU"/>
        </w:rPr>
        <w:t>Latvijas Republikas Augstākā</w:t>
      </w:r>
      <w:r w:rsidR="00FC70A5">
        <w:rPr>
          <w:rFonts w:eastAsia="Times New Roman" w:cs="Times New Roman"/>
          <w:b/>
          <w:szCs w:val="24"/>
          <w:lang w:eastAsia="ru-RU"/>
        </w:rPr>
        <w:t>s</w:t>
      </w:r>
      <w:r w:rsidRPr="002B6D26">
        <w:rPr>
          <w:rFonts w:eastAsia="Times New Roman" w:cs="Times New Roman"/>
          <w:b/>
          <w:szCs w:val="24"/>
          <w:lang w:eastAsia="ru-RU"/>
        </w:rPr>
        <w:t xml:space="preserve"> tiesa</w:t>
      </w:r>
      <w:r w:rsidR="00FC70A5">
        <w:rPr>
          <w:rFonts w:eastAsia="Times New Roman" w:cs="Times New Roman"/>
          <w:b/>
          <w:szCs w:val="24"/>
          <w:lang w:eastAsia="ru-RU"/>
        </w:rPr>
        <w:t>s</w:t>
      </w:r>
    </w:p>
    <w:p w:rsidR="00FC70A5" w:rsidRDefault="00FC70A5" w:rsidP="00A810A0">
      <w:pPr>
        <w:spacing w:after="0" w:line="276" w:lineRule="auto"/>
        <w:jc w:val="center"/>
        <w:rPr>
          <w:rFonts w:eastAsia="Times New Roman" w:cs="Times New Roman"/>
          <w:b/>
          <w:szCs w:val="24"/>
          <w:lang w:eastAsia="ru-RU"/>
        </w:rPr>
      </w:pPr>
      <w:r>
        <w:rPr>
          <w:rFonts w:eastAsia="Times New Roman" w:cs="Times New Roman"/>
          <w:b/>
          <w:szCs w:val="24"/>
          <w:lang w:eastAsia="ru-RU"/>
        </w:rPr>
        <w:t>Administratīvo lietu departamenta</w:t>
      </w:r>
    </w:p>
    <w:p w:rsidR="00FC70A5" w:rsidRPr="002B6D26" w:rsidRDefault="00FC70A5" w:rsidP="00A810A0">
      <w:pPr>
        <w:spacing w:after="0" w:line="276" w:lineRule="auto"/>
        <w:jc w:val="center"/>
        <w:rPr>
          <w:rFonts w:eastAsia="Times New Roman" w:cs="Times New Roman"/>
          <w:b/>
          <w:szCs w:val="24"/>
          <w:lang w:eastAsia="ru-RU"/>
        </w:rPr>
      </w:pPr>
      <w:proofErr w:type="gramStart"/>
      <w:r>
        <w:rPr>
          <w:rFonts w:eastAsia="Times New Roman" w:cs="Times New Roman"/>
          <w:b/>
          <w:szCs w:val="24"/>
          <w:lang w:eastAsia="ru-RU"/>
        </w:rPr>
        <w:t>2017.gada</w:t>
      </w:r>
      <w:proofErr w:type="gramEnd"/>
      <w:r>
        <w:rPr>
          <w:rFonts w:eastAsia="Times New Roman" w:cs="Times New Roman"/>
          <w:b/>
          <w:szCs w:val="24"/>
          <w:lang w:eastAsia="ru-RU"/>
        </w:rPr>
        <w:t xml:space="preserve"> 23.augusta</w:t>
      </w:r>
    </w:p>
    <w:p w:rsidR="00A810A0" w:rsidRDefault="00A810A0" w:rsidP="00A810A0">
      <w:pPr>
        <w:spacing w:after="0" w:line="276" w:lineRule="auto"/>
        <w:jc w:val="center"/>
        <w:rPr>
          <w:rFonts w:eastAsia="Times New Roman" w:cs="Times New Roman"/>
          <w:b/>
          <w:szCs w:val="24"/>
          <w:lang w:eastAsia="ru-RU"/>
        </w:rPr>
      </w:pPr>
      <w:r w:rsidRPr="002B6D26">
        <w:rPr>
          <w:rFonts w:eastAsia="Times New Roman" w:cs="Times New Roman"/>
          <w:b/>
          <w:szCs w:val="24"/>
          <w:lang w:eastAsia="ru-RU"/>
        </w:rPr>
        <w:t>SPRIEDUMS</w:t>
      </w:r>
    </w:p>
    <w:p w:rsidR="00944D2D" w:rsidRDefault="00FC70A5" w:rsidP="00944D2D">
      <w:pPr>
        <w:spacing w:after="0" w:line="276" w:lineRule="auto"/>
        <w:jc w:val="center"/>
        <w:rPr>
          <w:rFonts w:eastAsia="Times New Roman" w:cs="Times New Roman"/>
          <w:b/>
          <w:szCs w:val="24"/>
          <w:lang w:eastAsia="ru-RU"/>
        </w:rPr>
      </w:pPr>
      <w:r>
        <w:rPr>
          <w:rFonts w:eastAsia="Times New Roman" w:cs="Times New Roman"/>
          <w:b/>
          <w:szCs w:val="24"/>
          <w:lang w:eastAsia="ru-RU"/>
        </w:rPr>
        <w:t>Lieta Nr. A420302915, SKA-1020/2017</w:t>
      </w:r>
      <w:bookmarkStart w:id="0" w:name="_GoBack"/>
      <w:bookmarkEnd w:id="0"/>
    </w:p>
    <w:p w:rsidR="00A810A0" w:rsidRPr="002B6D26" w:rsidRDefault="00A810A0" w:rsidP="00A810A0">
      <w:pPr>
        <w:spacing w:after="0" w:line="276" w:lineRule="auto"/>
        <w:jc w:val="center"/>
        <w:rPr>
          <w:rFonts w:eastAsia="Times New Roman" w:cs="Times New Roman"/>
          <w:szCs w:val="24"/>
          <w:lang w:eastAsia="ru-RU"/>
        </w:rPr>
      </w:pPr>
    </w:p>
    <w:p w:rsidR="00A810A0" w:rsidRPr="002B6D26" w:rsidRDefault="00A810A0" w:rsidP="00A810A0">
      <w:pPr>
        <w:spacing w:after="0" w:line="276" w:lineRule="auto"/>
        <w:ind w:firstLine="567"/>
        <w:jc w:val="both"/>
        <w:rPr>
          <w:rFonts w:eastAsia="Times New Roman" w:cs="Times New Roman"/>
          <w:szCs w:val="24"/>
          <w:lang w:eastAsia="ru-RU"/>
        </w:rPr>
      </w:pPr>
      <w:r w:rsidRPr="002B6D26">
        <w:rPr>
          <w:rFonts w:eastAsia="Times New Roman" w:cs="Times New Roman"/>
          <w:szCs w:val="24"/>
          <w:lang w:eastAsia="ru-RU"/>
        </w:rPr>
        <w:t>Augstākās tiesa šādā sastāvā:</w:t>
      </w:r>
    </w:p>
    <w:p w:rsidR="00A810A0" w:rsidRPr="002B6D26" w:rsidRDefault="00A810A0" w:rsidP="00A810A0">
      <w:pPr>
        <w:tabs>
          <w:tab w:val="left" w:pos="540"/>
          <w:tab w:val="left" w:pos="3240"/>
        </w:tabs>
        <w:spacing w:after="0" w:line="276" w:lineRule="auto"/>
        <w:ind w:firstLine="1134"/>
        <w:jc w:val="both"/>
        <w:rPr>
          <w:rFonts w:eastAsia="Times New Roman" w:cs="Times New Roman"/>
          <w:szCs w:val="24"/>
          <w:lang w:eastAsia="ru-RU"/>
        </w:rPr>
      </w:pPr>
      <w:r w:rsidRPr="002B6D26">
        <w:rPr>
          <w:rFonts w:eastAsia="Times New Roman" w:cs="Times New Roman"/>
          <w:szCs w:val="24"/>
          <w:lang w:eastAsia="ru-RU"/>
        </w:rPr>
        <w:t>tiesnese Veronika Krūmiņa</w:t>
      </w:r>
    </w:p>
    <w:p w:rsidR="00767697" w:rsidRPr="002B6D26" w:rsidRDefault="00767697" w:rsidP="00767697">
      <w:pPr>
        <w:tabs>
          <w:tab w:val="left" w:pos="3240"/>
        </w:tabs>
        <w:spacing w:after="0" w:line="276" w:lineRule="auto"/>
        <w:ind w:firstLine="1134"/>
        <w:jc w:val="both"/>
        <w:rPr>
          <w:rFonts w:eastAsia="Times New Roman" w:cs="Times New Roman"/>
          <w:szCs w:val="24"/>
          <w:lang w:eastAsia="ru-RU"/>
        </w:rPr>
      </w:pPr>
      <w:r w:rsidRPr="002B6D26">
        <w:rPr>
          <w:rFonts w:eastAsia="Times New Roman" w:cs="Times New Roman"/>
          <w:szCs w:val="24"/>
          <w:lang w:eastAsia="ru-RU"/>
        </w:rPr>
        <w:t xml:space="preserve">tiesnese </w:t>
      </w:r>
      <w:r>
        <w:rPr>
          <w:rFonts w:eastAsia="Times New Roman" w:cs="Times New Roman"/>
          <w:szCs w:val="24"/>
          <w:lang w:eastAsia="ru-RU"/>
        </w:rPr>
        <w:t>Ilze Skultāne</w:t>
      </w:r>
    </w:p>
    <w:p w:rsidR="00A810A0" w:rsidRPr="002B6D26" w:rsidRDefault="00A810A0" w:rsidP="00A810A0">
      <w:pPr>
        <w:tabs>
          <w:tab w:val="left" w:pos="3240"/>
        </w:tabs>
        <w:spacing w:after="0" w:line="276" w:lineRule="auto"/>
        <w:ind w:firstLine="1134"/>
        <w:jc w:val="both"/>
        <w:rPr>
          <w:rFonts w:eastAsia="Times New Roman" w:cs="Times New Roman"/>
          <w:szCs w:val="24"/>
          <w:lang w:eastAsia="ru-RU"/>
        </w:rPr>
      </w:pPr>
      <w:r w:rsidRPr="002B6D26">
        <w:rPr>
          <w:rFonts w:eastAsia="Times New Roman" w:cs="Times New Roman"/>
          <w:szCs w:val="24"/>
          <w:lang w:eastAsia="ru-RU"/>
        </w:rPr>
        <w:t xml:space="preserve">tiesnese </w:t>
      </w:r>
      <w:r w:rsidR="00735E19" w:rsidRPr="002B6D26">
        <w:rPr>
          <w:rFonts w:eastAsia="Times New Roman" w:cs="Times New Roman"/>
          <w:szCs w:val="24"/>
          <w:lang w:eastAsia="ru-RU"/>
        </w:rPr>
        <w:t>Līvija Slica</w:t>
      </w:r>
    </w:p>
    <w:p w:rsidR="00A810A0" w:rsidRPr="002B6D26" w:rsidRDefault="00A810A0" w:rsidP="00A810A0">
      <w:pPr>
        <w:spacing w:after="0" w:line="276" w:lineRule="auto"/>
        <w:ind w:firstLine="567"/>
        <w:jc w:val="both"/>
        <w:rPr>
          <w:rFonts w:eastAsia="Times New Roman" w:cs="Times New Roman"/>
          <w:szCs w:val="24"/>
          <w:lang w:eastAsia="ru-RU"/>
        </w:rPr>
      </w:pPr>
    </w:p>
    <w:p w:rsidR="00A810A0" w:rsidRPr="002B6D26" w:rsidRDefault="00B16EB5" w:rsidP="00A810A0">
      <w:pPr>
        <w:spacing w:after="0" w:line="276" w:lineRule="auto"/>
        <w:ind w:firstLine="567"/>
        <w:jc w:val="both"/>
        <w:rPr>
          <w:rFonts w:eastAsia="Times New Roman" w:cs="Times New Roman"/>
          <w:szCs w:val="24"/>
          <w:lang w:eastAsia="ru-RU"/>
        </w:rPr>
      </w:pPr>
      <w:r w:rsidRPr="002B6D26">
        <w:rPr>
          <w:rFonts w:eastAsia="Times New Roman" w:cs="Times New Roman"/>
          <w:szCs w:val="24"/>
          <w:lang w:eastAsia="ru-RU"/>
        </w:rPr>
        <w:t>rakstveida procesā</w:t>
      </w:r>
      <w:r w:rsidR="00A810A0" w:rsidRPr="002B6D26">
        <w:rPr>
          <w:rFonts w:eastAsia="Times New Roman" w:cs="Times New Roman"/>
          <w:szCs w:val="24"/>
          <w:lang w:eastAsia="ru-RU"/>
        </w:rPr>
        <w:t xml:space="preserve"> izskatīja pieteicējas </w:t>
      </w:r>
      <w:proofErr w:type="gramStart"/>
      <w:r w:rsidR="00067137">
        <w:rPr>
          <w:rFonts w:eastAsia="Times New Roman" w:cs="Times New Roman"/>
          <w:szCs w:val="24"/>
          <w:lang w:eastAsia="ru-RU"/>
        </w:rPr>
        <w:t>[</w:t>
      </w:r>
      <w:proofErr w:type="gramEnd"/>
      <w:r w:rsidR="00067137">
        <w:rPr>
          <w:rFonts w:eastAsia="Times New Roman" w:cs="Times New Roman"/>
          <w:szCs w:val="24"/>
          <w:lang w:eastAsia="ru-RU"/>
        </w:rPr>
        <w:t>pers. A]</w:t>
      </w:r>
      <w:r w:rsidR="00A810A0" w:rsidRPr="002B6D26">
        <w:rPr>
          <w:rFonts w:eastAsia="Times New Roman" w:cs="Times New Roman"/>
          <w:szCs w:val="24"/>
          <w:lang w:eastAsia="ru-RU"/>
        </w:rPr>
        <w:t xml:space="preserve"> kasācijas sūdzību par Administratīvās apgabaltiesas </w:t>
      </w:r>
      <w:proofErr w:type="gramStart"/>
      <w:r w:rsidR="00A810A0" w:rsidRPr="002B6D26">
        <w:rPr>
          <w:rFonts w:eastAsia="Times New Roman" w:cs="Times New Roman"/>
          <w:szCs w:val="24"/>
          <w:lang w:eastAsia="ru-RU"/>
        </w:rPr>
        <w:t>2017.gada</w:t>
      </w:r>
      <w:proofErr w:type="gramEnd"/>
      <w:r w:rsidR="00A810A0" w:rsidRPr="002B6D26">
        <w:rPr>
          <w:rFonts w:eastAsia="Times New Roman" w:cs="Times New Roman"/>
          <w:szCs w:val="24"/>
          <w:lang w:eastAsia="ru-RU"/>
        </w:rPr>
        <w:t xml:space="preserve"> </w:t>
      </w:r>
      <w:r w:rsidR="00314D5C" w:rsidRPr="002B6D26">
        <w:rPr>
          <w:rFonts w:eastAsia="Times New Roman" w:cs="Times New Roman"/>
          <w:szCs w:val="24"/>
          <w:lang w:eastAsia="ru-RU"/>
        </w:rPr>
        <w:t>22</w:t>
      </w:r>
      <w:r w:rsidR="00A810A0" w:rsidRPr="002B6D26">
        <w:rPr>
          <w:rFonts w:eastAsia="Times New Roman" w:cs="Times New Roman"/>
          <w:szCs w:val="24"/>
          <w:lang w:eastAsia="ru-RU"/>
        </w:rPr>
        <w:t>.</w:t>
      </w:r>
      <w:r w:rsidR="00314D5C" w:rsidRPr="002B6D26">
        <w:rPr>
          <w:rFonts w:eastAsia="Times New Roman" w:cs="Times New Roman"/>
          <w:szCs w:val="24"/>
          <w:lang w:eastAsia="ru-RU"/>
        </w:rPr>
        <w:t>februār</w:t>
      </w:r>
      <w:r w:rsidR="00A810A0" w:rsidRPr="002B6D26">
        <w:rPr>
          <w:rFonts w:eastAsia="Times New Roman" w:cs="Times New Roman"/>
          <w:szCs w:val="24"/>
          <w:lang w:eastAsia="ru-RU"/>
        </w:rPr>
        <w:t xml:space="preserve">a spriedumu administratīvajā lietā, kas ierosināta, pamatojoties uz </w:t>
      </w:r>
      <w:r w:rsidR="00067137">
        <w:rPr>
          <w:rFonts w:eastAsia="Times New Roman" w:cs="Times New Roman"/>
          <w:szCs w:val="24"/>
          <w:lang w:eastAsia="ru-RU"/>
        </w:rPr>
        <w:t>[pers. A]</w:t>
      </w:r>
      <w:r w:rsidR="00314D5C" w:rsidRPr="002B6D26">
        <w:rPr>
          <w:rFonts w:eastAsia="Times New Roman" w:cs="Times New Roman"/>
          <w:szCs w:val="24"/>
          <w:lang w:eastAsia="ru-RU"/>
        </w:rPr>
        <w:t xml:space="preserve"> </w:t>
      </w:r>
      <w:r w:rsidR="00A810A0" w:rsidRPr="002B6D26">
        <w:rPr>
          <w:rFonts w:eastAsia="Times New Roman" w:cs="Times New Roman"/>
          <w:szCs w:val="24"/>
          <w:lang w:eastAsia="ru-RU"/>
        </w:rPr>
        <w:t xml:space="preserve">pieteikumu par </w:t>
      </w:r>
      <w:r w:rsidR="00314D5C" w:rsidRPr="002B6D26">
        <w:rPr>
          <w:rFonts w:eastAsia="Times New Roman" w:cs="Times New Roman"/>
          <w:szCs w:val="24"/>
          <w:lang w:eastAsia="ru-RU"/>
        </w:rPr>
        <w:t>veselības ministra</w:t>
      </w:r>
      <w:r w:rsidR="00A810A0" w:rsidRPr="002B6D26">
        <w:rPr>
          <w:rFonts w:eastAsia="Times New Roman" w:cs="Times New Roman"/>
          <w:szCs w:val="24"/>
          <w:lang w:eastAsia="ru-RU"/>
        </w:rPr>
        <w:t xml:space="preserve"> </w:t>
      </w:r>
      <w:proofErr w:type="gramStart"/>
      <w:r w:rsidR="00A810A0" w:rsidRPr="002B6D26">
        <w:rPr>
          <w:rFonts w:eastAsia="Times New Roman" w:cs="Times New Roman"/>
          <w:szCs w:val="24"/>
          <w:lang w:eastAsia="ru-RU"/>
        </w:rPr>
        <w:t>201</w:t>
      </w:r>
      <w:r w:rsidR="00314D5C" w:rsidRPr="002B6D26">
        <w:rPr>
          <w:rFonts w:eastAsia="Times New Roman" w:cs="Times New Roman"/>
          <w:szCs w:val="24"/>
          <w:lang w:eastAsia="ru-RU"/>
        </w:rPr>
        <w:t>5</w:t>
      </w:r>
      <w:r w:rsidR="00A810A0" w:rsidRPr="002B6D26">
        <w:rPr>
          <w:rFonts w:eastAsia="Times New Roman" w:cs="Times New Roman"/>
          <w:szCs w:val="24"/>
          <w:lang w:eastAsia="ru-RU"/>
        </w:rPr>
        <w:t>.gada</w:t>
      </w:r>
      <w:proofErr w:type="gramEnd"/>
      <w:r w:rsidR="00A810A0" w:rsidRPr="002B6D26">
        <w:rPr>
          <w:rFonts w:eastAsia="Times New Roman" w:cs="Times New Roman"/>
          <w:szCs w:val="24"/>
          <w:lang w:eastAsia="ru-RU"/>
        </w:rPr>
        <w:t xml:space="preserve"> 2</w:t>
      </w:r>
      <w:r w:rsidR="00314D5C" w:rsidRPr="002B6D26">
        <w:rPr>
          <w:rFonts w:eastAsia="Times New Roman" w:cs="Times New Roman"/>
          <w:szCs w:val="24"/>
          <w:lang w:eastAsia="ru-RU"/>
        </w:rPr>
        <w:t>6</w:t>
      </w:r>
      <w:r w:rsidR="00A810A0" w:rsidRPr="002B6D26">
        <w:rPr>
          <w:rFonts w:eastAsia="Times New Roman" w:cs="Times New Roman"/>
          <w:szCs w:val="24"/>
          <w:lang w:eastAsia="ru-RU"/>
        </w:rPr>
        <w:t>.a</w:t>
      </w:r>
      <w:r w:rsidR="00314D5C" w:rsidRPr="002B6D26">
        <w:rPr>
          <w:rFonts w:eastAsia="Times New Roman" w:cs="Times New Roman"/>
          <w:szCs w:val="24"/>
          <w:lang w:eastAsia="ru-RU"/>
        </w:rPr>
        <w:t>ugusta</w:t>
      </w:r>
      <w:r w:rsidR="00A810A0" w:rsidRPr="002B6D26">
        <w:rPr>
          <w:rFonts w:eastAsia="Times New Roman" w:cs="Times New Roman"/>
          <w:szCs w:val="24"/>
          <w:lang w:eastAsia="ru-RU"/>
        </w:rPr>
        <w:t xml:space="preserve"> </w:t>
      </w:r>
      <w:r w:rsidR="00314D5C" w:rsidRPr="002B6D26">
        <w:rPr>
          <w:rFonts w:eastAsia="Times New Roman" w:cs="Times New Roman"/>
          <w:szCs w:val="24"/>
          <w:lang w:eastAsia="ru-RU"/>
        </w:rPr>
        <w:t>rīkojum</w:t>
      </w:r>
      <w:r w:rsidR="00A810A0" w:rsidRPr="002B6D26">
        <w:rPr>
          <w:rFonts w:eastAsia="Times New Roman" w:cs="Times New Roman"/>
          <w:szCs w:val="24"/>
          <w:lang w:eastAsia="ru-RU"/>
        </w:rPr>
        <w:t>a Nr. </w:t>
      </w:r>
      <w:r w:rsidR="00314D5C" w:rsidRPr="002B6D26">
        <w:rPr>
          <w:rFonts w:eastAsia="Times New Roman" w:cs="Times New Roman"/>
          <w:szCs w:val="24"/>
          <w:lang w:eastAsia="ru-RU"/>
        </w:rPr>
        <w:t>13.3-04/209</w:t>
      </w:r>
      <w:r w:rsidR="00A810A0" w:rsidRPr="002B6D26">
        <w:rPr>
          <w:rFonts w:eastAsia="Times New Roman" w:cs="Times New Roman"/>
          <w:szCs w:val="24"/>
          <w:lang w:eastAsia="ru-RU"/>
        </w:rPr>
        <w:t xml:space="preserve"> atcelšanu.</w:t>
      </w:r>
    </w:p>
    <w:p w:rsidR="00A810A0" w:rsidRPr="002B6D26" w:rsidRDefault="00A810A0" w:rsidP="00A810A0">
      <w:pPr>
        <w:spacing w:after="0" w:line="276" w:lineRule="auto"/>
        <w:ind w:firstLine="567"/>
        <w:jc w:val="both"/>
        <w:rPr>
          <w:rFonts w:eastAsia="Times New Roman" w:cs="Times New Roman"/>
          <w:szCs w:val="24"/>
          <w:lang w:eastAsia="ru-RU"/>
        </w:rPr>
      </w:pPr>
    </w:p>
    <w:p w:rsidR="00A810A0" w:rsidRPr="002B6D26" w:rsidRDefault="00A810A0" w:rsidP="00A810A0">
      <w:pPr>
        <w:spacing w:after="0" w:line="276" w:lineRule="auto"/>
        <w:jc w:val="center"/>
        <w:outlineLvl w:val="0"/>
        <w:rPr>
          <w:rFonts w:eastAsia="Times New Roman" w:cs="Times New Roman"/>
          <w:b/>
          <w:szCs w:val="24"/>
          <w:lang w:eastAsia="ru-RU"/>
        </w:rPr>
      </w:pPr>
      <w:r w:rsidRPr="002B6D26">
        <w:rPr>
          <w:rFonts w:eastAsia="Times New Roman" w:cs="Times New Roman"/>
          <w:b/>
          <w:szCs w:val="24"/>
          <w:lang w:eastAsia="ru-RU"/>
        </w:rPr>
        <w:t>Aprakstošā daļa</w:t>
      </w:r>
    </w:p>
    <w:p w:rsidR="00A810A0" w:rsidRPr="002B6D26" w:rsidRDefault="00A810A0" w:rsidP="00A810A0">
      <w:pPr>
        <w:spacing w:after="0" w:line="276" w:lineRule="auto"/>
        <w:ind w:firstLine="567"/>
        <w:jc w:val="both"/>
        <w:rPr>
          <w:rFonts w:eastAsia="Times New Roman" w:cs="Times New Roman"/>
          <w:szCs w:val="24"/>
          <w:lang w:eastAsia="ru-RU"/>
        </w:rPr>
      </w:pPr>
    </w:p>
    <w:p w:rsidR="00405F76" w:rsidRPr="002B6D26" w:rsidRDefault="00A810A0" w:rsidP="00F81657">
      <w:pPr>
        <w:autoSpaceDE w:val="0"/>
        <w:autoSpaceDN w:val="0"/>
        <w:adjustRightInd w:val="0"/>
        <w:spacing w:after="0" w:line="276" w:lineRule="auto"/>
        <w:ind w:firstLine="567"/>
        <w:jc w:val="both"/>
        <w:rPr>
          <w:rFonts w:cs="Times New Roman"/>
          <w:szCs w:val="24"/>
        </w:rPr>
      </w:pPr>
      <w:r w:rsidRPr="002B6D26">
        <w:rPr>
          <w:rFonts w:cs="Times New Roman"/>
          <w:lang w:eastAsia="ru-RU"/>
        </w:rPr>
        <w:t>[1]</w:t>
      </w:r>
      <w:r w:rsidR="00016A32" w:rsidRPr="002B6D26">
        <w:rPr>
          <w:rFonts w:cs="Times New Roman"/>
          <w:lang w:eastAsia="ru-RU"/>
        </w:rPr>
        <w:t xml:space="preserve"> </w:t>
      </w:r>
      <w:r w:rsidR="00016A32" w:rsidRPr="002B6D26">
        <w:rPr>
          <w:rFonts w:cs="Times New Roman"/>
          <w:szCs w:val="24"/>
        </w:rPr>
        <w:t xml:space="preserve">Ar </w:t>
      </w:r>
      <w:r w:rsidR="008F5CDE">
        <w:rPr>
          <w:rFonts w:cs="Times New Roman"/>
          <w:szCs w:val="24"/>
        </w:rPr>
        <w:t xml:space="preserve">veselības </w:t>
      </w:r>
      <w:r w:rsidR="00016A32" w:rsidRPr="002B6D26">
        <w:rPr>
          <w:rFonts w:cs="Times New Roman"/>
          <w:szCs w:val="24"/>
        </w:rPr>
        <w:t xml:space="preserve">ministra </w:t>
      </w:r>
      <w:proofErr w:type="gramStart"/>
      <w:r w:rsidR="00016A32" w:rsidRPr="002B6D26">
        <w:rPr>
          <w:rFonts w:cs="Times New Roman"/>
          <w:szCs w:val="24"/>
        </w:rPr>
        <w:t>2015.gada</w:t>
      </w:r>
      <w:proofErr w:type="gramEnd"/>
      <w:r w:rsidR="00016A32" w:rsidRPr="002B6D26">
        <w:rPr>
          <w:rFonts w:cs="Times New Roman"/>
          <w:szCs w:val="24"/>
        </w:rPr>
        <w:t xml:space="preserve"> 26.augusta rīkojumu Nr.</w:t>
      </w:r>
      <w:r w:rsidR="00F81657" w:rsidRPr="002B6D26">
        <w:rPr>
          <w:rFonts w:cs="Times New Roman"/>
          <w:szCs w:val="24"/>
        </w:rPr>
        <w:t> </w:t>
      </w:r>
      <w:r w:rsidR="00016A32" w:rsidRPr="002B6D26">
        <w:rPr>
          <w:rFonts w:cs="Times New Roman"/>
          <w:szCs w:val="24"/>
        </w:rPr>
        <w:t xml:space="preserve">13.3-04/209 nolemts pārcelt </w:t>
      </w:r>
      <w:r w:rsidR="008F5CDE">
        <w:rPr>
          <w:rFonts w:cs="Times New Roman"/>
          <w:szCs w:val="24"/>
        </w:rPr>
        <w:t>[iestāde A]</w:t>
      </w:r>
      <w:r w:rsidR="00016A32" w:rsidRPr="002B6D26">
        <w:rPr>
          <w:rFonts w:cs="Times New Roman"/>
          <w:szCs w:val="24"/>
        </w:rPr>
        <w:t xml:space="preserve"> (turpmāk – </w:t>
      </w:r>
      <w:r w:rsidR="001807C3" w:rsidRPr="002B6D26">
        <w:rPr>
          <w:rFonts w:cs="Times New Roman"/>
          <w:szCs w:val="24"/>
        </w:rPr>
        <w:t>A</w:t>
      </w:r>
      <w:r w:rsidR="00016A32" w:rsidRPr="002B6D26">
        <w:rPr>
          <w:rFonts w:cs="Times New Roman"/>
          <w:szCs w:val="24"/>
        </w:rPr>
        <w:t xml:space="preserve">ģentūra) direktora vietnieci </w:t>
      </w:r>
      <w:r w:rsidR="00067137">
        <w:rPr>
          <w:rFonts w:cs="Times New Roman"/>
          <w:szCs w:val="24"/>
        </w:rPr>
        <w:t>[pers. A]</w:t>
      </w:r>
      <w:r w:rsidR="00016A32" w:rsidRPr="002B6D26">
        <w:rPr>
          <w:rFonts w:cs="Times New Roman"/>
          <w:szCs w:val="24"/>
        </w:rPr>
        <w:t xml:space="preserve"> </w:t>
      </w:r>
      <w:r w:rsidR="008F5CDE">
        <w:rPr>
          <w:rFonts w:cs="Times New Roman"/>
          <w:szCs w:val="24"/>
        </w:rPr>
        <w:t>[iestāde B]</w:t>
      </w:r>
      <w:r w:rsidR="00016A32" w:rsidRPr="002B6D26">
        <w:rPr>
          <w:rFonts w:cs="Times New Roman"/>
          <w:szCs w:val="24"/>
        </w:rPr>
        <w:t xml:space="preserve"> (turpmāk – </w:t>
      </w:r>
      <w:r w:rsidR="001807C3" w:rsidRPr="002B6D26">
        <w:rPr>
          <w:rFonts w:cs="Times New Roman"/>
          <w:szCs w:val="24"/>
        </w:rPr>
        <w:t>C</w:t>
      </w:r>
      <w:r w:rsidR="00016A32" w:rsidRPr="002B6D26">
        <w:rPr>
          <w:rFonts w:cs="Times New Roman"/>
          <w:szCs w:val="24"/>
        </w:rPr>
        <w:t xml:space="preserve">entrs) direktora vietnieka amatā no </w:t>
      </w:r>
      <w:proofErr w:type="gramStart"/>
      <w:r w:rsidR="00016A32" w:rsidRPr="002B6D26">
        <w:rPr>
          <w:rFonts w:cs="Times New Roman"/>
          <w:szCs w:val="24"/>
        </w:rPr>
        <w:t>2015.gada</w:t>
      </w:r>
      <w:proofErr w:type="gramEnd"/>
      <w:r w:rsidR="00016A32" w:rsidRPr="002B6D26">
        <w:rPr>
          <w:rFonts w:cs="Times New Roman"/>
          <w:szCs w:val="24"/>
        </w:rPr>
        <w:t xml:space="preserve"> 28.augusta uz nenoteiktu laiku, saglabājot aģentūrā noteikto kvalifikācijas kategoriju un mēnešalgu atbilstoši minētajam amatam noteiktajai 13.mēnešalgu grupai 1917 </w:t>
      </w:r>
      <w:proofErr w:type="spellStart"/>
      <w:r w:rsidR="00016A32" w:rsidRPr="002B6D26">
        <w:rPr>
          <w:rFonts w:cs="Times New Roman"/>
          <w:i/>
          <w:szCs w:val="24"/>
        </w:rPr>
        <w:t>euro</w:t>
      </w:r>
      <w:proofErr w:type="spellEnd"/>
      <w:r w:rsidR="00283481">
        <w:rPr>
          <w:rFonts w:cs="Times New Roman"/>
          <w:szCs w:val="24"/>
        </w:rPr>
        <w:t>.</w:t>
      </w:r>
    </w:p>
    <w:p w:rsidR="00B16EB5" w:rsidRPr="002B6D26" w:rsidRDefault="00B16EB5" w:rsidP="00F81657">
      <w:pPr>
        <w:autoSpaceDE w:val="0"/>
        <w:autoSpaceDN w:val="0"/>
        <w:adjustRightInd w:val="0"/>
        <w:spacing w:after="0" w:line="276" w:lineRule="auto"/>
        <w:ind w:firstLine="567"/>
        <w:jc w:val="both"/>
        <w:rPr>
          <w:rFonts w:cs="Times New Roman"/>
          <w:szCs w:val="24"/>
        </w:rPr>
      </w:pPr>
    </w:p>
    <w:p w:rsidR="00A810A0" w:rsidRPr="002B6D26" w:rsidRDefault="00B16EB5" w:rsidP="000374C7">
      <w:pPr>
        <w:autoSpaceDE w:val="0"/>
        <w:autoSpaceDN w:val="0"/>
        <w:adjustRightInd w:val="0"/>
        <w:spacing w:after="0" w:line="276" w:lineRule="auto"/>
        <w:ind w:firstLine="567"/>
        <w:jc w:val="both"/>
        <w:rPr>
          <w:rFonts w:cs="Times New Roman"/>
          <w:szCs w:val="24"/>
        </w:rPr>
      </w:pPr>
      <w:r w:rsidRPr="002B6D26">
        <w:rPr>
          <w:rFonts w:cs="Times New Roman"/>
          <w:szCs w:val="24"/>
        </w:rPr>
        <w:t xml:space="preserve">[2] </w:t>
      </w:r>
      <w:r w:rsidR="00CB4393" w:rsidRPr="002B6D26">
        <w:rPr>
          <w:rFonts w:cs="Times New Roman"/>
          <w:szCs w:val="24"/>
        </w:rPr>
        <w:t xml:space="preserve">Pieteicēja </w:t>
      </w:r>
      <w:r w:rsidR="00067137">
        <w:rPr>
          <w:rFonts w:cs="Times New Roman"/>
          <w:szCs w:val="24"/>
        </w:rPr>
        <w:t>[pers. A]</w:t>
      </w:r>
      <w:r w:rsidR="00CB4393" w:rsidRPr="002B6D26">
        <w:rPr>
          <w:rFonts w:cs="Times New Roman"/>
          <w:szCs w:val="24"/>
        </w:rPr>
        <w:t xml:space="preserve"> vērsās tiesā par minētā lēmuma atcelšanu</w:t>
      </w:r>
      <w:r w:rsidR="000374C7" w:rsidRPr="002B6D26">
        <w:rPr>
          <w:rFonts w:cs="Times New Roman"/>
          <w:szCs w:val="24"/>
        </w:rPr>
        <w:t xml:space="preserve">, uzdodot Veselības ministrijai novērst pārsūdzētā rīkojuma sekas, </w:t>
      </w:r>
      <w:r w:rsidR="005C2D6C" w:rsidRPr="002B6D26">
        <w:rPr>
          <w:rFonts w:cs="Times New Roman"/>
          <w:szCs w:val="24"/>
        </w:rPr>
        <w:t>pārceļot pieteicēju uz iepriekšējo amatu.</w:t>
      </w:r>
    </w:p>
    <w:p w:rsidR="00AF434B" w:rsidRPr="002B6D26" w:rsidRDefault="00AF434B" w:rsidP="000374C7">
      <w:pPr>
        <w:autoSpaceDE w:val="0"/>
        <w:autoSpaceDN w:val="0"/>
        <w:adjustRightInd w:val="0"/>
        <w:spacing w:after="0" w:line="276" w:lineRule="auto"/>
        <w:ind w:firstLine="567"/>
        <w:jc w:val="both"/>
        <w:rPr>
          <w:rFonts w:cs="Times New Roman"/>
          <w:szCs w:val="24"/>
        </w:rPr>
      </w:pPr>
    </w:p>
    <w:p w:rsidR="00AF434B" w:rsidRPr="002B6D26" w:rsidRDefault="00AF434B" w:rsidP="000374C7">
      <w:pPr>
        <w:autoSpaceDE w:val="0"/>
        <w:autoSpaceDN w:val="0"/>
        <w:adjustRightInd w:val="0"/>
        <w:spacing w:after="0" w:line="276" w:lineRule="auto"/>
        <w:ind w:firstLine="567"/>
        <w:jc w:val="both"/>
        <w:rPr>
          <w:rFonts w:cs="Times New Roman"/>
          <w:szCs w:val="24"/>
        </w:rPr>
      </w:pPr>
      <w:r w:rsidRPr="002B6D26">
        <w:rPr>
          <w:rFonts w:cs="Times New Roman"/>
          <w:szCs w:val="24"/>
        </w:rPr>
        <w:t xml:space="preserve">[3] </w:t>
      </w:r>
      <w:r w:rsidR="00B354CA" w:rsidRPr="002B6D26">
        <w:rPr>
          <w:rFonts w:cs="Times New Roman"/>
          <w:szCs w:val="24"/>
        </w:rPr>
        <w:t xml:space="preserve">Administratīvā rajona tiesa ar </w:t>
      </w:r>
      <w:proofErr w:type="gramStart"/>
      <w:r w:rsidR="00B354CA" w:rsidRPr="002B6D26">
        <w:rPr>
          <w:rFonts w:cs="Times New Roman"/>
          <w:szCs w:val="24"/>
        </w:rPr>
        <w:t>2016.gada</w:t>
      </w:r>
      <w:proofErr w:type="gramEnd"/>
      <w:r w:rsidR="00B354CA" w:rsidRPr="002B6D26">
        <w:rPr>
          <w:rFonts w:cs="Times New Roman"/>
          <w:szCs w:val="24"/>
        </w:rPr>
        <w:t xml:space="preserve"> 8.aprīļa spriedumu pieteikumu apmierināja.</w:t>
      </w:r>
    </w:p>
    <w:p w:rsidR="00B354CA" w:rsidRPr="002B6D26" w:rsidRDefault="00B354CA" w:rsidP="000374C7">
      <w:pPr>
        <w:autoSpaceDE w:val="0"/>
        <w:autoSpaceDN w:val="0"/>
        <w:adjustRightInd w:val="0"/>
        <w:spacing w:after="0" w:line="276" w:lineRule="auto"/>
        <w:ind w:firstLine="567"/>
        <w:jc w:val="both"/>
        <w:rPr>
          <w:rFonts w:cs="Times New Roman"/>
          <w:szCs w:val="24"/>
        </w:rPr>
      </w:pPr>
    </w:p>
    <w:p w:rsidR="005A0F80" w:rsidRPr="002B6D26" w:rsidRDefault="00B354CA" w:rsidP="005A0F80">
      <w:pPr>
        <w:autoSpaceDE w:val="0"/>
        <w:autoSpaceDN w:val="0"/>
        <w:adjustRightInd w:val="0"/>
        <w:spacing w:after="0" w:line="276" w:lineRule="auto"/>
        <w:ind w:firstLine="567"/>
        <w:jc w:val="both"/>
        <w:rPr>
          <w:rFonts w:cs="Times New Roman"/>
          <w:szCs w:val="24"/>
        </w:rPr>
      </w:pPr>
      <w:r w:rsidRPr="002B6D26">
        <w:rPr>
          <w:rFonts w:cs="Times New Roman"/>
          <w:szCs w:val="24"/>
        </w:rPr>
        <w:lastRenderedPageBreak/>
        <w:t xml:space="preserve">[4] Administratīvā apgabaltiesa ar </w:t>
      </w:r>
      <w:proofErr w:type="gramStart"/>
      <w:r w:rsidRPr="002B6D26">
        <w:rPr>
          <w:rFonts w:cs="Times New Roman"/>
          <w:szCs w:val="24"/>
        </w:rPr>
        <w:t>2017.gada</w:t>
      </w:r>
      <w:proofErr w:type="gramEnd"/>
      <w:r w:rsidRPr="002B6D26">
        <w:rPr>
          <w:rFonts w:cs="Times New Roman"/>
          <w:szCs w:val="24"/>
        </w:rPr>
        <w:t xml:space="preserve"> 22.februāra spriedumu pieteikumu noraidīja. Spriedums pamatots ar turpmāk minētajiem argum</w:t>
      </w:r>
      <w:r w:rsidR="00FA2786" w:rsidRPr="002B6D26">
        <w:rPr>
          <w:rFonts w:cs="Times New Roman"/>
          <w:szCs w:val="24"/>
        </w:rPr>
        <w:t>e</w:t>
      </w:r>
      <w:r w:rsidRPr="002B6D26">
        <w:rPr>
          <w:rFonts w:cs="Times New Roman"/>
          <w:szCs w:val="24"/>
        </w:rPr>
        <w:t>n</w:t>
      </w:r>
      <w:r w:rsidR="00FA2786" w:rsidRPr="002B6D26">
        <w:rPr>
          <w:rFonts w:cs="Times New Roman"/>
          <w:szCs w:val="24"/>
        </w:rPr>
        <w:t>tie</w:t>
      </w:r>
      <w:r w:rsidRPr="002B6D26">
        <w:rPr>
          <w:rFonts w:cs="Times New Roman"/>
          <w:szCs w:val="24"/>
        </w:rPr>
        <w:t>m.</w:t>
      </w:r>
    </w:p>
    <w:p w:rsidR="00F8104D" w:rsidRPr="002B6D26" w:rsidRDefault="00FA2786" w:rsidP="00F8104D">
      <w:pPr>
        <w:autoSpaceDE w:val="0"/>
        <w:autoSpaceDN w:val="0"/>
        <w:adjustRightInd w:val="0"/>
        <w:spacing w:after="0" w:line="276" w:lineRule="auto"/>
        <w:ind w:firstLine="567"/>
        <w:jc w:val="both"/>
        <w:rPr>
          <w:rFonts w:cs="Times New Roman"/>
          <w:szCs w:val="24"/>
        </w:rPr>
      </w:pPr>
      <w:r w:rsidRPr="002B6D26">
        <w:rPr>
          <w:rFonts w:cs="Times New Roman"/>
          <w:szCs w:val="24"/>
        </w:rPr>
        <w:t xml:space="preserve">[4.1] </w:t>
      </w:r>
      <w:r w:rsidR="005A0F80" w:rsidRPr="002B6D26">
        <w:rPr>
          <w:rFonts w:cs="Times New Roman"/>
          <w:szCs w:val="24"/>
        </w:rPr>
        <w:t xml:space="preserve">Valsts civildienesta likuma </w:t>
      </w:r>
      <w:proofErr w:type="gramStart"/>
      <w:r w:rsidR="005A0F80" w:rsidRPr="002B6D26">
        <w:rPr>
          <w:rFonts w:cs="Times New Roman"/>
          <w:szCs w:val="24"/>
        </w:rPr>
        <w:t>37.pants</w:t>
      </w:r>
      <w:proofErr w:type="gramEnd"/>
      <w:r w:rsidR="005A0F80" w:rsidRPr="002B6D26">
        <w:rPr>
          <w:rFonts w:cs="Times New Roman"/>
          <w:szCs w:val="24"/>
        </w:rPr>
        <w:t xml:space="preserve"> paredz, lai nodrošinātu labu pārvaldību, it sevišķi civildienesta uzdevumu efektīvu izpildi un sabiedrības uzticību civildienestam, kā arī veicinātu ierēdņa kvalifikācijas izaugsmi, ierēdni, neizsludinot atklātu pretendentu konkursu un motivējot pārcelšanas pieļaujamību un lietderību, var pārcelt jebkurā citā ierēdņa amatā uz noteiktu vai nenoteiktu laiku tajā pašā vai citā iestādē. Pārceļot ierēdni, tiek izvērtēts viņa viedoklis. Pārceļot ierēdni uz citu iestādi, tiek izvērtēts arī to iestāžu viedoklis, no kuras un uz kuru ierēdni var pārcelt.</w:t>
      </w:r>
    </w:p>
    <w:p w:rsidR="00F8104D" w:rsidRPr="002B6D26" w:rsidRDefault="001F378C" w:rsidP="00F8104D">
      <w:pPr>
        <w:autoSpaceDE w:val="0"/>
        <w:autoSpaceDN w:val="0"/>
        <w:adjustRightInd w:val="0"/>
        <w:spacing w:after="0" w:line="276" w:lineRule="auto"/>
        <w:ind w:firstLine="567"/>
        <w:jc w:val="both"/>
        <w:rPr>
          <w:rFonts w:cs="Times New Roman"/>
          <w:szCs w:val="24"/>
        </w:rPr>
      </w:pPr>
      <w:r>
        <w:rPr>
          <w:rFonts w:cs="Times New Roman"/>
          <w:szCs w:val="24"/>
        </w:rPr>
        <w:t>Vērtējot, vai ar pārcelšanu tiek būtiski aizskartas ierēdņa cilvēktiesības, ņemami vērā šādi kritēriji:</w:t>
      </w:r>
    </w:p>
    <w:p w:rsidR="00F8104D" w:rsidRPr="002B6D26" w:rsidRDefault="005A0F80" w:rsidP="00F8104D">
      <w:pPr>
        <w:autoSpaceDE w:val="0"/>
        <w:autoSpaceDN w:val="0"/>
        <w:adjustRightInd w:val="0"/>
        <w:spacing w:after="0" w:line="276" w:lineRule="auto"/>
        <w:ind w:firstLine="567"/>
        <w:jc w:val="both"/>
        <w:rPr>
          <w:rFonts w:cs="Times New Roman"/>
          <w:szCs w:val="24"/>
        </w:rPr>
      </w:pPr>
      <w:r w:rsidRPr="002B6D26">
        <w:rPr>
          <w:rFonts w:cs="Times New Roman"/>
          <w:szCs w:val="24"/>
        </w:rPr>
        <w:t>1) ierēdņa viedokļa uzklausīšana un izvērtēšana pirms lēmuma par pārcelšanu pieņemšanas (personas neuzklausīšana pirms to skaroša lēmuma pieņemšanas būtu pretēja ar cilvēktiesībām uz cilvēka cieņas aizsardzību);</w:t>
      </w:r>
    </w:p>
    <w:p w:rsidR="00F8104D" w:rsidRPr="002B6D26" w:rsidRDefault="005A0F80" w:rsidP="00F8104D">
      <w:pPr>
        <w:autoSpaceDE w:val="0"/>
        <w:autoSpaceDN w:val="0"/>
        <w:adjustRightInd w:val="0"/>
        <w:spacing w:after="0" w:line="276" w:lineRule="auto"/>
        <w:ind w:firstLine="567"/>
        <w:jc w:val="both"/>
        <w:rPr>
          <w:rFonts w:cs="Times New Roman"/>
          <w:szCs w:val="24"/>
        </w:rPr>
      </w:pPr>
      <w:r w:rsidRPr="002B6D26">
        <w:rPr>
          <w:rFonts w:cs="Times New Roman"/>
          <w:szCs w:val="24"/>
        </w:rPr>
        <w:t xml:space="preserve">2) amata, uz kuru ierēdnis pārcelts, atbilstība ierēdņa izglītībai, kvalifikācijai un profesionālajām iemaņām (saistīta ar Latvijas Republikas Satversmes </w:t>
      </w:r>
      <w:proofErr w:type="gramStart"/>
      <w:r w:rsidRPr="002B6D26">
        <w:rPr>
          <w:rFonts w:cs="Times New Roman"/>
          <w:szCs w:val="24"/>
        </w:rPr>
        <w:t>101.pantā</w:t>
      </w:r>
      <w:proofErr w:type="gramEnd"/>
      <w:r w:rsidRPr="002B6D26">
        <w:rPr>
          <w:rFonts w:cs="Times New Roman"/>
          <w:szCs w:val="24"/>
        </w:rPr>
        <w:t xml:space="preserve"> noteiktajām tiesībām pildīt valsts dienestu un 106.pantā nostiprinātajām ikviena pamattiesībām brīvi izvēlēties nodarbošanos un darbavietu atbilstoši savām spējām un kvalifikācijai; pārcelšana amatā, par kuru zināms, ka ierēdnim nav kvalifikācijas tā veikšanai, būtu līdzvērtīga atlaišanai no dienesta);</w:t>
      </w:r>
    </w:p>
    <w:p w:rsidR="00F8104D" w:rsidRPr="002B6D26" w:rsidRDefault="005A0F80" w:rsidP="00F8104D">
      <w:pPr>
        <w:autoSpaceDE w:val="0"/>
        <w:autoSpaceDN w:val="0"/>
        <w:adjustRightInd w:val="0"/>
        <w:spacing w:after="0" w:line="276" w:lineRule="auto"/>
        <w:ind w:firstLine="567"/>
        <w:jc w:val="both"/>
        <w:rPr>
          <w:rFonts w:cs="Times New Roman"/>
          <w:szCs w:val="24"/>
        </w:rPr>
      </w:pPr>
      <w:r w:rsidRPr="002B6D26">
        <w:rPr>
          <w:rFonts w:cs="Times New Roman"/>
          <w:szCs w:val="24"/>
        </w:rPr>
        <w:t>3) iepriekšējā atalgojuma un sociālo garantiju saglabāšana (saistīta ar cilvēktiesībām uz īpašumu);</w:t>
      </w:r>
    </w:p>
    <w:p w:rsidR="00A810A0" w:rsidRPr="002B6D26" w:rsidRDefault="005A0F80" w:rsidP="00613FE7">
      <w:pPr>
        <w:autoSpaceDE w:val="0"/>
        <w:autoSpaceDN w:val="0"/>
        <w:adjustRightInd w:val="0"/>
        <w:spacing w:after="0" w:line="276" w:lineRule="auto"/>
        <w:ind w:firstLine="567"/>
        <w:jc w:val="both"/>
        <w:rPr>
          <w:rFonts w:cs="Times New Roman"/>
          <w:szCs w:val="24"/>
        </w:rPr>
      </w:pPr>
      <w:r w:rsidRPr="002B6D26">
        <w:rPr>
          <w:rFonts w:cs="Times New Roman"/>
          <w:szCs w:val="24"/>
        </w:rPr>
        <w:t>4) darbavietas fiziskā pieejamība (aktuāla, ja pārceļ uz citu apdzīvotu vietu; var ietekmēt cilvēktiesības brīvi izvēlēties dzīvesvietu un tiesības uz privāto un ģimenes dzīvi).</w:t>
      </w:r>
    </w:p>
    <w:p w:rsidR="005102AF" w:rsidRPr="002B6D26" w:rsidRDefault="009865EA" w:rsidP="005102AF">
      <w:pPr>
        <w:autoSpaceDE w:val="0"/>
        <w:autoSpaceDN w:val="0"/>
        <w:adjustRightInd w:val="0"/>
        <w:spacing w:after="0" w:line="276" w:lineRule="auto"/>
        <w:ind w:firstLine="567"/>
        <w:jc w:val="both"/>
        <w:rPr>
          <w:rFonts w:cs="Times New Roman"/>
          <w:szCs w:val="24"/>
        </w:rPr>
      </w:pPr>
      <w:r w:rsidRPr="002B6D26">
        <w:rPr>
          <w:rFonts w:cs="Times New Roman"/>
          <w:szCs w:val="24"/>
        </w:rPr>
        <w:t xml:space="preserve">[4.2] Pārbaudot iepriekš minēto kritēriju esību konkrētajā gadījumā, konstatējams, ka pieteicēja pirms lēmuma pieņemšanas netika uzklausīta. Pieteicēja iebilst pārcelšanai, jo līdzšinējo amatu ieņēma 10 gadus, pārcelšana notiek uz citu iestādi, citu amata saimi un līmeni un pieteicēja nav pārliecināta, vai spēs pildīt jauno amatu, tā kā jaunais amats neatbilst pieteicējas izglītībai, kvalifikācijai un profesionālajām iemaņām. </w:t>
      </w:r>
      <w:r w:rsidR="00CA118F">
        <w:rPr>
          <w:rFonts w:cs="Times New Roman"/>
          <w:szCs w:val="24"/>
        </w:rPr>
        <w:t>J</w:t>
      </w:r>
      <w:r w:rsidR="0029200F" w:rsidRPr="002B6D26">
        <w:rPr>
          <w:rFonts w:cs="Times New Roman"/>
          <w:szCs w:val="24"/>
        </w:rPr>
        <w:t>aunā amata pienākum</w:t>
      </w:r>
      <w:r w:rsidR="000A27F6" w:rsidRPr="002B6D26">
        <w:rPr>
          <w:rFonts w:cs="Times New Roman"/>
          <w:szCs w:val="24"/>
        </w:rPr>
        <w:t>i atbilst pieteicējas izglītībai, kvalifikācijai</w:t>
      </w:r>
      <w:r w:rsidR="0029200F" w:rsidRPr="002B6D26">
        <w:rPr>
          <w:rFonts w:cs="Times New Roman"/>
          <w:szCs w:val="24"/>
        </w:rPr>
        <w:t xml:space="preserve"> un profesionālajai pieredzei farmācijas nozarē.</w:t>
      </w:r>
      <w:r w:rsidR="00257AD6" w:rsidRPr="002B6D26">
        <w:rPr>
          <w:rFonts w:cs="Times New Roman"/>
          <w:szCs w:val="24"/>
        </w:rPr>
        <w:t xml:space="preserve"> Tāpēc pieteicējas neuzklausīšana nav ietekmējusi pārsūdzēto lēmumu.</w:t>
      </w:r>
    </w:p>
    <w:p w:rsidR="00481DE7" w:rsidRPr="002B6D26" w:rsidRDefault="00B3035B" w:rsidP="005102AF">
      <w:pPr>
        <w:autoSpaceDE w:val="0"/>
        <w:autoSpaceDN w:val="0"/>
        <w:adjustRightInd w:val="0"/>
        <w:spacing w:after="0" w:line="276" w:lineRule="auto"/>
        <w:ind w:firstLine="567"/>
        <w:jc w:val="both"/>
        <w:rPr>
          <w:rFonts w:cs="Times New Roman"/>
          <w:szCs w:val="24"/>
        </w:rPr>
      </w:pPr>
      <w:r w:rsidRPr="002B6D26">
        <w:rPr>
          <w:rFonts w:cs="Times New Roman"/>
          <w:szCs w:val="24"/>
        </w:rPr>
        <w:t>[4.3]</w:t>
      </w:r>
      <w:r w:rsidR="00481DE7" w:rsidRPr="002B6D26">
        <w:rPr>
          <w:rFonts w:cs="Times New Roman"/>
          <w:szCs w:val="24"/>
        </w:rPr>
        <w:t xml:space="preserve"> Pieteicējai no </w:t>
      </w:r>
      <w:proofErr w:type="gramStart"/>
      <w:r w:rsidR="00481DE7" w:rsidRPr="002B6D26">
        <w:rPr>
          <w:rFonts w:cs="Times New Roman"/>
          <w:szCs w:val="24"/>
        </w:rPr>
        <w:t>2015.gada</w:t>
      </w:r>
      <w:proofErr w:type="gramEnd"/>
      <w:r w:rsidR="00481DE7" w:rsidRPr="002B6D26">
        <w:rPr>
          <w:rFonts w:cs="Times New Roman"/>
          <w:szCs w:val="24"/>
        </w:rPr>
        <w:t xml:space="preserve"> 1.jūlija bija piešķirta veselības apdrošināšanas polise. </w:t>
      </w:r>
      <w:r w:rsidR="00E52BE8" w:rsidRPr="002B6D26">
        <w:rPr>
          <w:rFonts w:cs="Times New Roman"/>
          <w:szCs w:val="24"/>
        </w:rPr>
        <w:t xml:space="preserve">Pēc civildienesta attiecību pārtraukšanas ar </w:t>
      </w:r>
      <w:r w:rsidR="001F378C">
        <w:rPr>
          <w:rFonts w:cs="Times New Roman"/>
          <w:szCs w:val="24"/>
        </w:rPr>
        <w:t>A</w:t>
      </w:r>
      <w:r w:rsidR="00E52BE8" w:rsidRPr="002B6D26">
        <w:rPr>
          <w:rFonts w:cs="Times New Roman"/>
          <w:szCs w:val="24"/>
        </w:rPr>
        <w:t>ģentūru tika pārtraukta arī p</w:t>
      </w:r>
      <w:r w:rsidR="00133362" w:rsidRPr="002B6D26">
        <w:rPr>
          <w:rFonts w:cs="Times New Roman"/>
          <w:szCs w:val="24"/>
        </w:rPr>
        <w:t>olises darb</w:t>
      </w:r>
      <w:r w:rsidR="00E52BE8" w:rsidRPr="002B6D26">
        <w:rPr>
          <w:rFonts w:cs="Times New Roman"/>
          <w:szCs w:val="24"/>
        </w:rPr>
        <w:t>ība.</w:t>
      </w:r>
    </w:p>
    <w:p w:rsidR="00CA72CF" w:rsidRPr="002B6D26" w:rsidRDefault="00D36D77" w:rsidP="005102AF">
      <w:pPr>
        <w:autoSpaceDE w:val="0"/>
        <w:autoSpaceDN w:val="0"/>
        <w:adjustRightInd w:val="0"/>
        <w:spacing w:after="0" w:line="276" w:lineRule="auto"/>
        <w:ind w:firstLine="567"/>
        <w:jc w:val="both"/>
        <w:rPr>
          <w:rFonts w:cs="Times New Roman"/>
          <w:szCs w:val="24"/>
        </w:rPr>
      </w:pPr>
      <w:r w:rsidRPr="002B6D26">
        <w:rPr>
          <w:rFonts w:cs="Times New Roman"/>
          <w:szCs w:val="24"/>
        </w:rPr>
        <w:t xml:space="preserve">Atbilstoši Valsts civildienesta likuma </w:t>
      </w:r>
      <w:proofErr w:type="gramStart"/>
      <w:r w:rsidRPr="002B6D26">
        <w:rPr>
          <w:rFonts w:cs="Times New Roman"/>
          <w:szCs w:val="24"/>
        </w:rPr>
        <w:t>37.panta</w:t>
      </w:r>
      <w:proofErr w:type="gramEnd"/>
      <w:r w:rsidRPr="002B6D26">
        <w:rPr>
          <w:rFonts w:cs="Times New Roman"/>
          <w:szCs w:val="24"/>
        </w:rPr>
        <w:t xml:space="preserve"> ceturtajai daļai, pārceļot ierēdni, </w:t>
      </w:r>
      <w:r w:rsidR="00045AB8" w:rsidRPr="002B6D26">
        <w:rPr>
          <w:rFonts w:cs="Times New Roman"/>
          <w:szCs w:val="24"/>
        </w:rPr>
        <w:t>saglabā sociālās garantijas. P</w:t>
      </w:r>
      <w:r w:rsidR="00D85359" w:rsidRPr="002B6D26">
        <w:rPr>
          <w:rFonts w:cs="Times New Roman"/>
          <w:szCs w:val="24"/>
        </w:rPr>
        <w:t>retēji pieteicējas uzskatam ar pārcelšanu pieteicējai nav saglabājama veselības apdrošināšana. No</w:t>
      </w:r>
      <w:r w:rsidR="008F5F65" w:rsidRPr="002B6D26">
        <w:rPr>
          <w:rFonts w:cs="Times New Roman"/>
          <w:szCs w:val="24"/>
        </w:rPr>
        <w:t xml:space="preserve"> Valsts un pašvaldību institūciju </w:t>
      </w:r>
      <w:r w:rsidR="00440D10" w:rsidRPr="002B6D26">
        <w:rPr>
          <w:rFonts w:cs="Times New Roman"/>
          <w:szCs w:val="24"/>
        </w:rPr>
        <w:t xml:space="preserve">amatpersonu un darbinieku </w:t>
      </w:r>
      <w:r w:rsidR="00244F38" w:rsidRPr="002B6D26">
        <w:rPr>
          <w:rFonts w:cs="Times New Roman"/>
          <w:szCs w:val="24"/>
        </w:rPr>
        <w:t xml:space="preserve">atlīdzības likuma </w:t>
      </w:r>
      <w:proofErr w:type="gramStart"/>
      <w:r w:rsidR="005B5CE8" w:rsidRPr="002B6D26">
        <w:rPr>
          <w:rFonts w:cs="Times New Roman"/>
          <w:szCs w:val="24"/>
        </w:rPr>
        <w:t>3.</w:t>
      </w:r>
      <w:r w:rsidR="00833A11" w:rsidRPr="002B6D26">
        <w:rPr>
          <w:rFonts w:cs="Times New Roman"/>
          <w:szCs w:val="24"/>
        </w:rPr>
        <w:t>panta</w:t>
      </w:r>
      <w:proofErr w:type="gramEnd"/>
      <w:r w:rsidR="00833A11" w:rsidRPr="002B6D26">
        <w:rPr>
          <w:rFonts w:cs="Times New Roman"/>
          <w:szCs w:val="24"/>
        </w:rPr>
        <w:t xml:space="preserve"> </w:t>
      </w:r>
      <w:r w:rsidR="005B5CE8" w:rsidRPr="002B6D26">
        <w:rPr>
          <w:rFonts w:cs="Times New Roman"/>
          <w:szCs w:val="24"/>
        </w:rPr>
        <w:t xml:space="preserve">pirmās daļas un </w:t>
      </w:r>
      <w:r w:rsidR="00FA586A" w:rsidRPr="002B6D26">
        <w:rPr>
          <w:rFonts w:cs="Times New Roman"/>
          <w:szCs w:val="24"/>
        </w:rPr>
        <w:t>37.panta</w:t>
      </w:r>
      <w:r w:rsidR="005B5CE8" w:rsidRPr="002B6D26">
        <w:rPr>
          <w:rFonts w:cs="Times New Roman"/>
          <w:szCs w:val="24"/>
        </w:rPr>
        <w:t xml:space="preserve"> </w:t>
      </w:r>
      <w:r w:rsidR="00FD1F94" w:rsidRPr="002B6D26">
        <w:rPr>
          <w:rFonts w:cs="Times New Roman"/>
          <w:szCs w:val="24"/>
        </w:rPr>
        <w:t xml:space="preserve">izriet, ka likumā ir noteikti gadījumi, kad </w:t>
      </w:r>
      <w:r w:rsidR="00CB23EC" w:rsidRPr="002B6D26">
        <w:rPr>
          <w:rFonts w:cs="Times New Roman"/>
          <w:szCs w:val="24"/>
        </w:rPr>
        <w:t>obligāti veicama ierēdņu (darbinieku) veselības apdrošin</w:t>
      </w:r>
      <w:r w:rsidR="007F40C9" w:rsidRPr="002B6D26">
        <w:rPr>
          <w:rFonts w:cs="Times New Roman"/>
          <w:szCs w:val="24"/>
        </w:rPr>
        <w:t>āšana. Pārējos, tostarp</w:t>
      </w:r>
      <w:r w:rsidR="00CB23EC" w:rsidRPr="002B6D26">
        <w:rPr>
          <w:rFonts w:cs="Times New Roman"/>
          <w:szCs w:val="24"/>
        </w:rPr>
        <w:t xml:space="preserve"> šajā gadījumā, </w:t>
      </w:r>
      <w:r w:rsidR="00EA4DEE" w:rsidRPr="002B6D26">
        <w:rPr>
          <w:rFonts w:cs="Times New Roman"/>
          <w:szCs w:val="24"/>
        </w:rPr>
        <w:t>apdrošināšana ir iestādes vadības izvēles un finansiālo iespēju ziņā.</w:t>
      </w:r>
      <w:r w:rsidR="00D51C92" w:rsidRPr="002B6D26">
        <w:rPr>
          <w:rFonts w:cs="Times New Roman"/>
          <w:szCs w:val="24"/>
        </w:rPr>
        <w:t xml:space="preserve"> Gadījumā, kad likums nav noteicis obligātu nodarbināto veselības apdrošināšanu, </w:t>
      </w:r>
      <w:r w:rsidR="00EA401A" w:rsidRPr="002B6D26">
        <w:rPr>
          <w:rFonts w:cs="Times New Roman"/>
          <w:szCs w:val="24"/>
        </w:rPr>
        <w:t>tā</w:t>
      </w:r>
      <w:r w:rsidR="001C4ECA" w:rsidRPr="002B6D26">
        <w:rPr>
          <w:rFonts w:cs="Times New Roman"/>
          <w:szCs w:val="24"/>
        </w:rPr>
        <w:t xml:space="preserve"> ir </w:t>
      </w:r>
      <w:r w:rsidR="007212FF" w:rsidRPr="002B6D26">
        <w:rPr>
          <w:rFonts w:cs="Times New Roman"/>
          <w:szCs w:val="24"/>
        </w:rPr>
        <w:t>stimulēšanas instruments</w:t>
      </w:r>
      <w:r w:rsidR="001877E0" w:rsidRPr="002B6D26">
        <w:rPr>
          <w:rFonts w:cs="Times New Roman"/>
          <w:szCs w:val="24"/>
        </w:rPr>
        <w:t>, nevis sociālā garantija, analogi naudas balvām un prēmijām.</w:t>
      </w:r>
      <w:r w:rsidR="00E43195" w:rsidRPr="002B6D26">
        <w:rPr>
          <w:rFonts w:cs="Times New Roman"/>
          <w:szCs w:val="24"/>
        </w:rPr>
        <w:t xml:space="preserve"> </w:t>
      </w:r>
      <w:r w:rsidR="00824E44" w:rsidRPr="002B6D26">
        <w:rPr>
          <w:rFonts w:cs="Times New Roman"/>
          <w:szCs w:val="24"/>
        </w:rPr>
        <w:t xml:space="preserve">Ierēdnim nav garantētas tiesības uz veselības apdrošināšanu. </w:t>
      </w:r>
      <w:r w:rsidR="001C6B99" w:rsidRPr="002B6D26">
        <w:rPr>
          <w:rFonts w:cs="Times New Roman"/>
          <w:szCs w:val="24"/>
        </w:rPr>
        <w:t xml:space="preserve">Pēc iestādes iniciatīvas </w:t>
      </w:r>
      <w:r w:rsidR="00B62738" w:rsidRPr="002B6D26">
        <w:rPr>
          <w:rFonts w:cs="Times New Roman"/>
          <w:szCs w:val="24"/>
        </w:rPr>
        <w:t>apmaksāta veselības apdrošināšana atšķirībā no citām sociālajām garantijām nav regulārs noteikta apjoma maksājums, ar kuru ierēdnis var rēķināties.</w:t>
      </w:r>
      <w:r w:rsidR="005102AF" w:rsidRPr="002B6D26">
        <w:rPr>
          <w:rFonts w:cs="Times New Roman"/>
          <w:szCs w:val="24"/>
        </w:rPr>
        <w:t xml:space="preserve"> Tāpēc iestādes brīvprātīgi izvēlēta veselības apdrošināšana nav uzskatāma par tādu sociālo garantiju, kuras saglabāšanu garantē Valsts civildienesta likuma </w:t>
      </w:r>
      <w:proofErr w:type="gramStart"/>
      <w:r w:rsidR="005102AF" w:rsidRPr="002B6D26">
        <w:rPr>
          <w:rFonts w:cs="Times New Roman"/>
          <w:szCs w:val="24"/>
        </w:rPr>
        <w:t>37.panta</w:t>
      </w:r>
      <w:proofErr w:type="gramEnd"/>
      <w:r w:rsidR="005102AF" w:rsidRPr="002B6D26">
        <w:rPr>
          <w:rFonts w:cs="Times New Roman"/>
          <w:szCs w:val="24"/>
        </w:rPr>
        <w:t xml:space="preserve"> ceturtā daļa</w:t>
      </w:r>
      <w:r w:rsidR="00CA72CF" w:rsidRPr="002B6D26">
        <w:rPr>
          <w:rFonts w:cs="Times New Roman"/>
          <w:szCs w:val="24"/>
        </w:rPr>
        <w:t>.</w:t>
      </w:r>
    </w:p>
    <w:p w:rsidR="00257AD6" w:rsidRPr="002B6D26" w:rsidRDefault="003A64A2" w:rsidP="005102AF">
      <w:pPr>
        <w:autoSpaceDE w:val="0"/>
        <w:autoSpaceDN w:val="0"/>
        <w:adjustRightInd w:val="0"/>
        <w:spacing w:after="0" w:line="276" w:lineRule="auto"/>
        <w:ind w:firstLine="567"/>
        <w:jc w:val="both"/>
        <w:rPr>
          <w:rFonts w:cs="Times New Roman"/>
          <w:szCs w:val="24"/>
        </w:rPr>
      </w:pPr>
      <w:r w:rsidRPr="002B6D26">
        <w:rPr>
          <w:rFonts w:cs="Times New Roman"/>
          <w:szCs w:val="24"/>
        </w:rPr>
        <w:lastRenderedPageBreak/>
        <w:t>Tāpat</w:t>
      </w:r>
      <w:r w:rsidR="005102AF" w:rsidRPr="002B6D26">
        <w:rPr>
          <w:rFonts w:cs="Times New Roman"/>
          <w:szCs w:val="24"/>
        </w:rPr>
        <w:t xml:space="preserve"> attiecībā uz pieteicēju nav pārkāpts vienlīdzī</w:t>
      </w:r>
      <w:r w:rsidRPr="002B6D26">
        <w:rPr>
          <w:rFonts w:cs="Times New Roman"/>
          <w:szCs w:val="24"/>
        </w:rPr>
        <w:t xml:space="preserve">bas princips, tā kā nevienam no </w:t>
      </w:r>
      <w:r w:rsidR="00845EA8">
        <w:rPr>
          <w:rFonts w:cs="Times New Roman"/>
          <w:szCs w:val="24"/>
        </w:rPr>
        <w:t>C</w:t>
      </w:r>
      <w:r w:rsidRPr="002B6D26">
        <w:rPr>
          <w:rFonts w:cs="Times New Roman"/>
          <w:szCs w:val="24"/>
        </w:rPr>
        <w:t xml:space="preserve">entra administrācijas </w:t>
      </w:r>
      <w:r w:rsidR="00B34109">
        <w:rPr>
          <w:rFonts w:cs="Times New Roman"/>
          <w:szCs w:val="24"/>
        </w:rPr>
        <w:t xml:space="preserve">amatpersonām </w:t>
      </w:r>
      <w:r w:rsidRPr="002B6D26">
        <w:rPr>
          <w:rFonts w:cs="Times New Roman"/>
          <w:szCs w:val="24"/>
        </w:rPr>
        <w:t>veselības apdrošināšanas polises nebija piešķirtas.</w:t>
      </w:r>
      <w:r w:rsidR="00D72BA4" w:rsidRPr="002B6D26">
        <w:rPr>
          <w:rFonts w:cs="Times New Roman"/>
          <w:szCs w:val="24"/>
        </w:rPr>
        <w:t xml:space="preserve"> Turklāt </w:t>
      </w:r>
      <w:r w:rsidR="00A85394" w:rsidRPr="002B6D26">
        <w:rPr>
          <w:rFonts w:cs="Times New Roman"/>
          <w:szCs w:val="24"/>
        </w:rPr>
        <w:t xml:space="preserve">veselības apdrošināšana ir privāttiesisks darījums, kuru slēdz konkrētā iestāde ar apdrošinātāju, kas nodrošina pakalpojumu konkrētās iestādes ietvaros. Tāpēc līguma attiecināšana uz personām, kas </w:t>
      </w:r>
      <w:r w:rsidR="00147994" w:rsidRPr="002B6D26">
        <w:rPr>
          <w:rFonts w:cs="Times New Roman"/>
          <w:szCs w:val="24"/>
        </w:rPr>
        <w:t>nav nodarbinātas konkrētajā iestād</w:t>
      </w:r>
      <w:r w:rsidR="008A5D14">
        <w:rPr>
          <w:rFonts w:cs="Times New Roman"/>
          <w:szCs w:val="24"/>
        </w:rPr>
        <w:t>ē,</w:t>
      </w:r>
      <w:r w:rsidR="00147994" w:rsidRPr="002B6D26">
        <w:rPr>
          <w:rFonts w:cs="Times New Roman"/>
          <w:szCs w:val="24"/>
        </w:rPr>
        <w:t xml:space="preserve"> nav paredzēta un nav iespējama.</w:t>
      </w:r>
    </w:p>
    <w:p w:rsidR="009865EA" w:rsidRPr="002B6D26" w:rsidRDefault="009865EA" w:rsidP="00613FE7">
      <w:pPr>
        <w:autoSpaceDE w:val="0"/>
        <w:autoSpaceDN w:val="0"/>
        <w:adjustRightInd w:val="0"/>
        <w:spacing w:after="0" w:line="276" w:lineRule="auto"/>
        <w:ind w:firstLine="567"/>
        <w:jc w:val="both"/>
        <w:rPr>
          <w:rFonts w:cs="Times New Roman"/>
          <w:lang w:eastAsia="ru-RU"/>
        </w:rPr>
      </w:pPr>
    </w:p>
    <w:p w:rsidR="006235C4" w:rsidRPr="002B6D26" w:rsidRDefault="006235C4" w:rsidP="00613FE7">
      <w:pPr>
        <w:autoSpaceDE w:val="0"/>
        <w:autoSpaceDN w:val="0"/>
        <w:adjustRightInd w:val="0"/>
        <w:spacing w:after="0" w:line="276" w:lineRule="auto"/>
        <w:ind w:firstLine="567"/>
        <w:jc w:val="both"/>
        <w:rPr>
          <w:rFonts w:cs="Times New Roman"/>
          <w:lang w:eastAsia="ru-RU"/>
        </w:rPr>
      </w:pPr>
      <w:r w:rsidRPr="002B6D26">
        <w:rPr>
          <w:rFonts w:cs="Times New Roman"/>
          <w:lang w:eastAsia="ru-RU"/>
        </w:rPr>
        <w:t xml:space="preserve">[5] Par </w:t>
      </w:r>
      <w:r w:rsidR="00384610" w:rsidRPr="002B6D26">
        <w:rPr>
          <w:rFonts w:cs="Times New Roman"/>
          <w:lang w:eastAsia="ru-RU"/>
        </w:rPr>
        <w:t xml:space="preserve">apgabaltiesas spriedumu pieteicēja ir iesniegusi kasācijas sūdzību, kurā norāda, ka </w:t>
      </w:r>
      <w:r w:rsidR="00096E07" w:rsidRPr="002B6D26">
        <w:rPr>
          <w:rFonts w:cs="Times New Roman"/>
          <w:lang w:eastAsia="ru-RU"/>
        </w:rPr>
        <w:t xml:space="preserve">saistībā ar veselības apdrošināšanu pieteicējai bija tiesības uz to paļauties </w:t>
      </w:r>
      <w:r w:rsidR="00FF4E5C" w:rsidRPr="002B6D26">
        <w:rPr>
          <w:rFonts w:cs="Times New Roman"/>
          <w:lang w:eastAsia="ru-RU"/>
        </w:rPr>
        <w:t>no brīža, kad tā tik</w:t>
      </w:r>
      <w:r w:rsidR="00B25317" w:rsidRPr="002B6D26">
        <w:rPr>
          <w:rFonts w:cs="Times New Roman"/>
          <w:lang w:eastAsia="ru-RU"/>
        </w:rPr>
        <w:t>a</w:t>
      </w:r>
      <w:r w:rsidR="00FF4E5C" w:rsidRPr="002B6D26">
        <w:rPr>
          <w:rFonts w:cs="Times New Roman"/>
          <w:lang w:eastAsia="ru-RU"/>
        </w:rPr>
        <w:t xml:space="preserve"> piešķirta. </w:t>
      </w:r>
      <w:r w:rsidR="0083056F" w:rsidRPr="002B6D26">
        <w:rPr>
          <w:rFonts w:cs="Times New Roman"/>
          <w:lang w:eastAsia="ru-RU"/>
        </w:rPr>
        <w:t xml:space="preserve">Tādējādi pieteicējai bija tiesības paļauties uz </w:t>
      </w:r>
      <w:r w:rsidR="00C80DF8" w:rsidRPr="002B6D26">
        <w:rPr>
          <w:rFonts w:cs="Times New Roman"/>
          <w:lang w:eastAsia="ru-RU"/>
        </w:rPr>
        <w:t xml:space="preserve">veselības apdrošināšanu, kas viņai bija piešķirta uz gadu, t.i., līdz </w:t>
      </w:r>
      <w:proofErr w:type="gramStart"/>
      <w:r w:rsidR="00C80DF8" w:rsidRPr="002B6D26">
        <w:rPr>
          <w:rFonts w:cs="Times New Roman"/>
          <w:lang w:eastAsia="ru-RU"/>
        </w:rPr>
        <w:t>2016.gada</w:t>
      </w:r>
      <w:proofErr w:type="gramEnd"/>
      <w:r w:rsidR="00C80DF8" w:rsidRPr="002B6D26">
        <w:rPr>
          <w:rFonts w:cs="Times New Roman"/>
          <w:lang w:eastAsia="ru-RU"/>
        </w:rPr>
        <w:t xml:space="preserve"> 30.jūnijam.</w:t>
      </w:r>
    </w:p>
    <w:p w:rsidR="0083056F" w:rsidRPr="002B6D26" w:rsidRDefault="00857001" w:rsidP="00613FE7">
      <w:pPr>
        <w:autoSpaceDE w:val="0"/>
        <w:autoSpaceDN w:val="0"/>
        <w:adjustRightInd w:val="0"/>
        <w:spacing w:after="0" w:line="276" w:lineRule="auto"/>
        <w:ind w:firstLine="567"/>
        <w:jc w:val="both"/>
        <w:rPr>
          <w:rFonts w:cs="Times New Roman"/>
          <w:lang w:eastAsia="ru-RU"/>
        </w:rPr>
      </w:pPr>
      <w:r w:rsidRPr="002B6D26">
        <w:rPr>
          <w:rFonts w:cs="Times New Roman"/>
          <w:lang w:eastAsia="ru-RU"/>
        </w:rPr>
        <w:t>Tāpat ir tikušas pārkāptas pieteicējas tiesības uz</w:t>
      </w:r>
      <w:r w:rsidR="00406A07" w:rsidRPr="002B6D26">
        <w:rPr>
          <w:rFonts w:cs="Times New Roman"/>
          <w:lang w:eastAsia="ru-RU"/>
        </w:rPr>
        <w:t xml:space="preserve"> uzklausīšanu un </w:t>
      </w:r>
      <w:r w:rsidR="00C36A66" w:rsidRPr="002B6D26">
        <w:rPr>
          <w:rFonts w:cs="Times New Roman"/>
          <w:lang w:eastAsia="ru-RU"/>
        </w:rPr>
        <w:t>tiesīb</w:t>
      </w:r>
      <w:r w:rsidRPr="002B6D26">
        <w:rPr>
          <w:rFonts w:cs="Times New Roman"/>
          <w:lang w:eastAsia="ru-RU"/>
        </w:rPr>
        <w:t>as</w:t>
      </w:r>
      <w:r w:rsidR="00C36A66" w:rsidRPr="002B6D26">
        <w:rPr>
          <w:rFonts w:cs="Times New Roman"/>
          <w:lang w:eastAsia="ru-RU"/>
        </w:rPr>
        <w:t xml:space="preserve"> uz nodarbošanos (pieteicējas </w:t>
      </w:r>
      <w:r w:rsidR="00F52BA4" w:rsidRPr="002B6D26">
        <w:rPr>
          <w:rFonts w:cs="Times New Roman"/>
          <w:lang w:eastAsia="ru-RU"/>
        </w:rPr>
        <w:t xml:space="preserve">izglītības un profesionālo iemaņu </w:t>
      </w:r>
      <w:r w:rsidR="00C36A66" w:rsidRPr="002B6D26">
        <w:rPr>
          <w:rFonts w:cs="Times New Roman"/>
          <w:lang w:eastAsia="ru-RU"/>
        </w:rPr>
        <w:t>atbilst</w:t>
      </w:r>
      <w:r w:rsidRPr="002B6D26">
        <w:rPr>
          <w:rFonts w:cs="Times New Roman"/>
          <w:lang w:eastAsia="ru-RU"/>
        </w:rPr>
        <w:t>ība jaunajam amatam)</w:t>
      </w:r>
      <w:r w:rsidR="00FA4214" w:rsidRPr="002B6D26">
        <w:rPr>
          <w:rFonts w:cs="Times New Roman"/>
          <w:lang w:eastAsia="ru-RU"/>
        </w:rPr>
        <w:t>.</w:t>
      </w:r>
    </w:p>
    <w:p w:rsidR="00406A07" w:rsidRPr="002B6D26" w:rsidRDefault="00406A07" w:rsidP="00613FE7">
      <w:pPr>
        <w:autoSpaceDE w:val="0"/>
        <w:autoSpaceDN w:val="0"/>
        <w:adjustRightInd w:val="0"/>
        <w:spacing w:after="0" w:line="276" w:lineRule="auto"/>
        <w:ind w:firstLine="567"/>
        <w:jc w:val="both"/>
        <w:rPr>
          <w:rFonts w:cs="Times New Roman"/>
          <w:lang w:eastAsia="ru-RU"/>
        </w:rPr>
      </w:pPr>
    </w:p>
    <w:p w:rsidR="00A810A0" w:rsidRPr="002B6D26" w:rsidRDefault="00A810A0" w:rsidP="00A810A0">
      <w:pPr>
        <w:jc w:val="center"/>
        <w:rPr>
          <w:rFonts w:cs="Times New Roman"/>
          <w:b/>
          <w:lang w:eastAsia="ru-RU"/>
        </w:rPr>
      </w:pPr>
      <w:r w:rsidRPr="002B6D26">
        <w:rPr>
          <w:rFonts w:cs="Times New Roman"/>
          <w:b/>
          <w:lang w:eastAsia="ru-RU"/>
        </w:rPr>
        <w:t>Motīvu daļa</w:t>
      </w:r>
    </w:p>
    <w:p w:rsidR="003D1241" w:rsidRPr="002B6D26" w:rsidRDefault="00A81583" w:rsidP="003D1241">
      <w:pPr>
        <w:pStyle w:val="NoSpacing"/>
        <w:spacing w:line="276" w:lineRule="auto"/>
        <w:ind w:firstLine="567"/>
        <w:jc w:val="both"/>
        <w:rPr>
          <w:rFonts w:cs="Times New Roman"/>
          <w:szCs w:val="24"/>
        </w:rPr>
      </w:pPr>
      <w:r w:rsidRPr="002B6D26">
        <w:rPr>
          <w:rFonts w:cs="Times New Roman"/>
        </w:rPr>
        <w:t>[</w:t>
      </w:r>
      <w:r w:rsidR="00722F8E">
        <w:rPr>
          <w:rFonts w:cs="Times New Roman"/>
        </w:rPr>
        <w:t>6</w:t>
      </w:r>
      <w:r w:rsidRPr="002B6D26">
        <w:rPr>
          <w:rFonts w:cs="Times New Roman"/>
        </w:rPr>
        <w:t xml:space="preserve">] </w:t>
      </w:r>
      <w:r w:rsidR="00B25F5F" w:rsidRPr="002B6D26">
        <w:rPr>
          <w:rFonts w:cs="Times New Roman"/>
        </w:rPr>
        <w:t xml:space="preserve">Administratīvā apgabaltiesa ir pareizi konstatējusi kritērijus, kādos gadījumos </w:t>
      </w:r>
      <w:r w:rsidR="00A810A0" w:rsidRPr="002B6D26">
        <w:rPr>
          <w:rFonts w:cs="Times New Roman"/>
        </w:rPr>
        <w:t>i</w:t>
      </w:r>
      <w:r w:rsidR="00B25F5F" w:rsidRPr="002B6D26">
        <w:rPr>
          <w:rFonts w:cs="Times New Roman"/>
        </w:rPr>
        <w:t>erēdnim</w:t>
      </w:r>
      <w:r w:rsidR="00A810A0" w:rsidRPr="002B6D26">
        <w:rPr>
          <w:rFonts w:cs="Times New Roman"/>
        </w:rPr>
        <w:t xml:space="preserve"> adresēts lēmums var būtiski skart </w:t>
      </w:r>
      <w:r w:rsidR="00B25F5F" w:rsidRPr="002B6D26">
        <w:rPr>
          <w:rFonts w:cs="Times New Roman"/>
        </w:rPr>
        <w:t>ierēdņa</w:t>
      </w:r>
      <w:r w:rsidR="00A810A0" w:rsidRPr="002B6D26">
        <w:rPr>
          <w:rFonts w:cs="Times New Roman"/>
        </w:rPr>
        <w:t xml:space="preserve"> cilvēktiesības</w:t>
      </w:r>
      <w:r w:rsidR="00BF41F8" w:rsidRPr="002B6D26">
        <w:rPr>
          <w:rFonts w:cs="Times New Roman"/>
        </w:rPr>
        <w:t xml:space="preserve">, tostarp tiesības uz īpašumu </w:t>
      </w:r>
      <w:r w:rsidR="00B01E7C" w:rsidRPr="002B6D26">
        <w:rPr>
          <w:rFonts w:cs="Times New Roman"/>
        </w:rPr>
        <w:t xml:space="preserve">iepriekšējā atalgojuma un </w:t>
      </w:r>
      <w:r w:rsidR="00BF41F8" w:rsidRPr="002B6D26">
        <w:rPr>
          <w:rFonts w:cs="Times New Roman"/>
        </w:rPr>
        <w:t>sociālo garantiju veidā</w:t>
      </w:r>
      <w:r w:rsidR="00A810A0" w:rsidRPr="002B6D26">
        <w:rPr>
          <w:rFonts w:cs="Times New Roman"/>
        </w:rPr>
        <w:t xml:space="preserve"> </w:t>
      </w:r>
      <w:r w:rsidR="00B25F5F" w:rsidRPr="002B6D26">
        <w:rPr>
          <w:rFonts w:cs="Times New Roman"/>
        </w:rPr>
        <w:t>(</w:t>
      </w:r>
      <w:r w:rsidR="00B25F5F" w:rsidRPr="002B6D26">
        <w:rPr>
          <w:rFonts w:cs="Times New Roman"/>
          <w:i/>
          <w:szCs w:val="24"/>
        </w:rPr>
        <w:t>Augstākās tiesas</w:t>
      </w:r>
      <w:r w:rsidR="00BF41F8" w:rsidRPr="002B6D26">
        <w:rPr>
          <w:rFonts w:cs="Times New Roman"/>
          <w:i/>
          <w:szCs w:val="24"/>
        </w:rPr>
        <w:t xml:space="preserve"> </w:t>
      </w:r>
      <w:proofErr w:type="gramStart"/>
      <w:r w:rsidR="00BF41F8" w:rsidRPr="002B6D26">
        <w:rPr>
          <w:rFonts w:cs="Times New Roman"/>
          <w:i/>
          <w:szCs w:val="24"/>
        </w:rPr>
        <w:t>2009.gada</w:t>
      </w:r>
      <w:proofErr w:type="gramEnd"/>
      <w:r w:rsidR="00BF41F8" w:rsidRPr="002B6D26">
        <w:rPr>
          <w:rFonts w:cs="Times New Roman"/>
          <w:i/>
          <w:szCs w:val="24"/>
        </w:rPr>
        <w:t xml:space="preserve"> 27.februāra lēmuma lietā</w:t>
      </w:r>
      <w:r w:rsidRPr="002B6D26">
        <w:rPr>
          <w:rFonts w:cs="Times New Roman"/>
          <w:i/>
          <w:szCs w:val="24"/>
        </w:rPr>
        <w:t xml:space="preserve"> Nr. SKA-123/2009</w:t>
      </w:r>
      <w:r w:rsidR="0056599C" w:rsidRPr="0056599C">
        <w:t xml:space="preserve"> </w:t>
      </w:r>
      <w:r w:rsidR="0056599C" w:rsidRPr="0056599C">
        <w:rPr>
          <w:i/>
        </w:rPr>
        <w:t>(A42275005)</w:t>
      </w:r>
      <w:r w:rsidRPr="002B6D26">
        <w:rPr>
          <w:rFonts w:cs="Times New Roman"/>
          <w:i/>
          <w:szCs w:val="24"/>
        </w:rPr>
        <w:t xml:space="preserve"> 11.punkt</w:t>
      </w:r>
      <w:r w:rsidR="006A5183">
        <w:rPr>
          <w:rFonts w:cs="Times New Roman"/>
          <w:i/>
          <w:szCs w:val="24"/>
        </w:rPr>
        <w:t>s</w:t>
      </w:r>
      <w:r w:rsidRPr="002B6D26">
        <w:rPr>
          <w:rFonts w:cs="Times New Roman"/>
          <w:szCs w:val="24"/>
        </w:rPr>
        <w:t>). Tomē</w:t>
      </w:r>
      <w:r w:rsidR="00B25F5F" w:rsidRPr="002B6D26">
        <w:rPr>
          <w:rFonts w:cs="Times New Roman"/>
          <w:szCs w:val="24"/>
        </w:rPr>
        <w:t>r apgabaltiesa n</w:t>
      </w:r>
      <w:r w:rsidR="00EA183F">
        <w:rPr>
          <w:rFonts w:cs="Times New Roman"/>
          <w:szCs w:val="24"/>
        </w:rPr>
        <w:t>epamatoti</w:t>
      </w:r>
      <w:r w:rsidR="00666676" w:rsidRPr="002B6D26">
        <w:rPr>
          <w:rFonts w:cs="Times New Roman"/>
          <w:szCs w:val="24"/>
        </w:rPr>
        <w:t xml:space="preserve"> konstatējusi, ka konkrētajā gadījumā nav būtiski aizskartas pieteicējas cilvēktiesības</w:t>
      </w:r>
      <w:r w:rsidR="006706F5" w:rsidRPr="002B6D26">
        <w:rPr>
          <w:rFonts w:cs="Times New Roman"/>
          <w:szCs w:val="24"/>
        </w:rPr>
        <w:t xml:space="preserve"> saistībā ar sociālajām garantijām</w:t>
      </w:r>
      <w:r w:rsidR="00666676" w:rsidRPr="002B6D26">
        <w:rPr>
          <w:rFonts w:cs="Times New Roman"/>
          <w:szCs w:val="24"/>
        </w:rPr>
        <w:t>.</w:t>
      </w:r>
    </w:p>
    <w:p w:rsidR="003D1241" w:rsidRPr="002B6D26" w:rsidRDefault="003D1241" w:rsidP="003D1241">
      <w:pPr>
        <w:pStyle w:val="NoSpacing"/>
        <w:spacing w:line="276" w:lineRule="auto"/>
        <w:ind w:firstLine="567"/>
        <w:jc w:val="both"/>
        <w:rPr>
          <w:rFonts w:cs="Times New Roman"/>
          <w:szCs w:val="24"/>
        </w:rPr>
      </w:pPr>
    </w:p>
    <w:p w:rsidR="00F84B8D" w:rsidRPr="002B6D26" w:rsidRDefault="00B25F5F" w:rsidP="00EA4A9E">
      <w:pPr>
        <w:pStyle w:val="NoSpacing"/>
        <w:spacing w:line="276" w:lineRule="auto"/>
        <w:ind w:firstLine="567"/>
        <w:jc w:val="both"/>
        <w:rPr>
          <w:rFonts w:cs="Times New Roman"/>
          <w:szCs w:val="24"/>
        </w:rPr>
      </w:pPr>
      <w:r w:rsidRPr="002B6D26">
        <w:rPr>
          <w:rFonts w:cs="Times New Roman"/>
          <w:szCs w:val="24"/>
        </w:rPr>
        <w:t>[</w:t>
      </w:r>
      <w:r w:rsidR="00722F8E">
        <w:rPr>
          <w:rFonts w:cs="Times New Roman"/>
          <w:szCs w:val="24"/>
        </w:rPr>
        <w:t>7</w:t>
      </w:r>
      <w:r w:rsidRPr="002B6D26">
        <w:rPr>
          <w:rFonts w:cs="Times New Roman"/>
          <w:szCs w:val="24"/>
        </w:rPr>
        <w:t xml:space="preserve">] </w:t>
      </w:r>
      <w:r w:rsidR="00A60A01" w:rsidRPr="002B6D26">
        <w:rPr>
          <w:rFonts w:cs="Times New Roman"/>
          <w:szCs w:val="24"/>
        </w:rPr>
        <w:t xml:space="preserve">Valsts civildienesta likuma </w:t>
      </w:r>
      <w:proofErr w:type="gramStart"/>
      <w:r w:rsidR="00A60A01" w:rsidRPr="002B6D26">
        <w:rPr>
          <w:rFonts w:cs="Times New Roman"/>
          <w:szCs w:val="24"/>
        </w:rPr>
        <w:t>37.panta</w:t>
      </w:r>
      <w:proofErr w:type="gramEnd"/>
      <w:r w:rsidR="00A60A01" w:rsidRPr="002B6D26">
        <w:rPr>
          <w:rFonts w:cs="Times New Roman"/>
          <w:szCs w:val="24"/>
        </w:rPr>
        <w:t xml:space="preserve"> ceturtā daļa paredz, ka, pārceļot ierēdni citā ierēdņa amatā, ierēdnim nosaka amata mēnešalgu, kas nav zemāka par iepriekšējo, saglabā </w:t>
      </w:r>
      <w:r w:rsidR="00246FAD" w:rsidRPr="002B6D26">
        <w:rPr>
          <w:rFonts w:cs="Times New Roman"/>
          <w:szCs w:val="24"/>
        </w:rPr>
        <w:t>pastāv</w:t>
      </w:r>
      <w:r w:rsidR="00387C6A">
        <w:rPr>
          <w:rFonts w:cs="Times New Roman"/>
          <w:szCs w:val="24"/>
        </w:rPr>
        <w:t>īgā</w:t>
      </w:r>
      <w:r w:rsidR="00246FAD" w:rsidRPr="002B6D26">
        <w:rPr>
          <w:rFonts w:cs="Times New Roman"/>
          <w:szCs w:val="24"/>
        </w:rPr>
        <w:t xml:space="preserve">s piemaksas, kas saistītas ar dienestu, </w:t>
      </w:r>
      <w:r w:rsidR="00A20B35" w:rsidRPr="002B6D26">
        <w:rPr>
          <w:rFonts w:cs="Times New Roman"/>
          <w:szCs w:val="24"/>
        </w:rPr>
        <w:t>un sociālās garantijas.</w:t>
      </w:r>
    </w:p>
    <w:p w:rsidR="000D070F" w:rsidRPr="002B6D26" w:rsidRDefault="00F84B8D" w:rsidP="00EA4A9E">
      <w:pPr>
        <w:pStyle w:val="NoSpacing"/>
        <w:spacing w:line="276" w:lineRule="auto"/>
        <w:ind w:firstLine="567"/>
        <w:jc w:val="both"/>
        <w:rPr>
          <w:rFonts w:cs="Times New Roman"/>
          <w:szCs w:val="24"/>
        </w:rPr>
      </w:pPr>
      <w:r w:rsidRPr="002B6D26">
        <w:rPr>
          <w:rFonts w:cs="Times New Roman"/>
          <w:szCs w:val="24"/>
        </w:rPr>
        <w:t xml:space="preserve">No minētās tiesību normas izriet, ka </w:t>
      </w:r>
      <w:r w:rsidR="00AE5858" w:rsidRPr="002B6D26">
        <w:rPr>
          <w:rFonts w:cs="Times New Roman"/>
          <w:szCs w:val="24"/>
        </w:rPr>
        <w:t>ierēdnim pārcelšanas gadījumā citā amatā ir saglabājama tā mēnešalga un citi ar darbu saistītie maksājumi, kuri ierēdnim bija piešķirt</w:t>
      </w:r>
      <w:r w:rsidR="006A5183">
        <w:rPr>
          <w:rFonts w:cs="Times New Roman"/>
          <w:szCs w:val="24"/>
        </w:rPr>
        <w:t>i</w:t>
      </w:r>
      <w:r w:rsidR="00AE5858" w:rsidRPr="002B6D26">
        <w:rPr>
          <w:rFonts w:cs="Times New Roman"/>
          <w:szCs w:val="24"/>
        </w:rPr>
        <w:t xml:space="preserve"> un secīgi uz kuriem ierēdnis noteikti varēja paļauties, ka tie tiks saglabāti jaunajā amatā. Tas nozīmē, ka konkrētā tiesību norma ir vērsta uz to, lai netiktu pasliktināts ierēdņa materiālais stāvoklis, kāds ierēdnim bija </w:t>
      </w:r>
      <w:r w:rsidR="007C29C8">
        <w:rPr>
          <w:rFonts w:cs="Times New Roman"/>
          <w:szCs w:val="24"/>
        </w:rPr>
        <w:t>nodro</w:t>
      </w:r>
      <w:r w:rsidR="007D36E9">
        <w:rPr>
          <w:rFonts w:cs="Times New Roman"/>
          <w:szCs w:val="24"/>
        </w:rPr>
        <w:t>š</w:t>
      </w:r>
      <w:r w:rsidR="007C29C8">
        <w:rPr>
          <w:rFonts w:cs="Times New Roman"/>
          <w:szCs w:val="24"/>
        </w:rPr>
        <w:t xml:space="preserve">ināts </w:t>
      </w:r>
      <w:r w:rsidR="00AE5858" w:rsidRPr="002B6D26">
        <w:rPr>
          <w:rFonts w:cs="Times New Roman"/>
          <w:szCs w:val="24"/>
        </w:rPr>
        <w:t>pirms pārcelšanas</w:t>
      </w:r>
      <w:r w:rsidR="00AC0E84">
        <w:rPr>
          <w:rFonts w:cs="Times New Roman"/>
          <w:szCs w:val="24"/>
        </w:rPr>
        <w:t xml:space="preserve"> jaunā amatā</w:t>
      </w:r>
      <w:r w:rsidR="00AE5858" w:rsidRPr="002B6D26">
        <w:rPr>
          <w:rFonts w:cs="Times New Roman"/>
          <w:szCs w:val="24"/>
        </w:rPr>
        <w:t>.</w:t>
      </w:r>
    </w:p>
    <w:p w:rsidR="00F84B8D" w:rsidRPr="002B6D26" w:rsidRDefault="00512AEF" w:rsidP="00EA4A9E">
      <w:pPr>
        <w:pStyle w:val="NoSpacing"/>
        <w:spacing w:line="276" w:lineRule="auto"/>
        <w:ind w:firstLine="567"/>
        <w:jc w:val="both"/>
        <w:rPr>
          <w:rFonts w:cs="Times New Roman"/>
          <w:szCs w:val="24"/>
        </w:rPr>
      </w:pPr>
      <w:r w:rsidRPr="002B6D26">
        <w:rPr>
          <w:rFonts w:cs="Times New Roman"/>
          <w:szCs w:val="24"/>
        </w:rPr>
        <w:t xml:space="preserve">Vienlaikus </w:t>
      </w:r>
      <w:r w:rsidR="00DB2458" w:rsidRPr="002B6D26">
        <w:rPr>
          <w:rFonts w:cs="Times New Roman"/>
          <w:szCs w:val="24"/>
        </w:rPr>
        <w:t xml:space="preserve">tas nozīmē, ka </w:t>
      </w:r>
      <w:r w:rsidRPr="002B6D26">
        <w:rPr>
          <w:rFonts w:cs="Times New Roman"/>
          <w:szCs w:val="24"/>
        </w:rPr>
        <w:t>uz neregulāras un negarantētas atlīdzības saņemšanu ierēdnis nevar paļauties</w:t>
      </w:r>
      <w:r w:rsidR="00C24F66" w:rsidRPr="002B6D26">
        <w:rPr>
          <w:rFonts w:cs="Times New Roman"/>
          <w:szCs w:val="24"/>
        </w:rPr>
        <w:t xml:space="preserve"> (</w:t>
      </w:r>
      <w:r w:rsidR="00C24F66" w:rsidRPr="002B6D26">
        <w:rPr>
          <w:rFonts w:cs="Times New Roman"/>
          <w:i/>
          <w:szCs w:val="24"/>
        </w:rPr>
        <w:t xml:space="preserve">Augstākās tiesas </w:t>
      </w:r>
      <w:proofErr w:type="gramStart"/>
      <w:r w:rsidR="00C24F66" w:rsidRPr="002B6D26">
        <w:rPr>
          <w:rFonts w:cs="Times New Roman"/>
          <w:i/>
          <w:szCs w:val="24"/>
        </w:rPr>
        <w:t>2011.gada</w:t>
      </w:r>
      <w:proofErr w:type="gramEnd"/>
      <w:r w:rsidR="00C24F66" w:rsidRPr="002B6D26">
        <w:rPr>
          <w:rFonts w:cs="Times New Roman"/>
          <w:i/>
          <w:szCs w:val="24"/>
        </w:rPr>
        <w:t xml:space="preserve"> 7.novembra sprieduma lietā Nr. SKA-712/2011</w:t>
      </w:r>
      <w:r w:rsidR="00FE6601" w:rsidRPr="002B6D26">
        <w:rPr>
          <w:rFonts w:cs="Times New Roman"/>
          <w:i/>
          <w:szCs w:val="24"/>
        </w:rPr>
        <w:t xml:space="preserve"> (</w:t>
      </w:r>
      <w:r w:rsidR="00FE6601" w:rsidRPr="002B6D26">
        <w:rPr>
          <w:rFonts w:cs="Times New Roman"/>
          <w:i/>
        </w:rPr>
        <w:t xml:space="preserve">A42927509) </w:t>
      </w:r>
      <w:r w:rsidR="00C24F66" w:rsidRPr="002B6D26">
        <w:rPr>
          <w:rFonts w:cs="Times New Roman"/>
          <w:i/>
          <w:szCs w:val="24"/>
        </w:rPr>
        <w:t>16.punkt</w:t>
      </w:r>
      <w:r w:rsidR="000D070F" w:rsidRPr="002B6D26">
        <w:rPr>
          <w:rFonts w:cs="Times New Roman"/>
          <w:i/>
          <w:szCs w:val="24"/>
        </w:rPr>
        <w:t>s</w:t>
      </w:r>
      <w:r w:rsidR="00C24F66" w:rsidRPr="002B6D26">
        <w:rPr>
          <w:rFonts w:cs="Times New Roman"/>
          <w:i/>
          <w:szCs w:val="24"/>
        </w:rPr>
        <w:t>, 2010.gada 20.maija sprieduma lietā Nr. SKA-282/2010</w:t>
      </w:r>
      <w:r w:rsidR="000078BC" w:rsidRPr="002B6D26">
        <w:rPr>
          <w:rFonts w:cs="Times New Roman"/>
          <w:i/>
          <w:szCs w:val="24"/>
        </w:rPr>
        <w:t xml:space="preserve"> (A42475606)</w:t>
      </w:r>
      <w:r w:rsidR="00C24F66" w:rsidRPr="002B6D26">
        <w:rPr>
          <w:rFonts w:cs="Times New Roman"/>
          <w:i/>
          <w:szCs w:val="24"/>
        </w:rPr>
        <w:t xml:space="preserve"> 16.punkt</w:t>
      </w:r>
      <w:r w:rsidR="000D070F" w:rsidRPr="002B6D26">
        <w:rPr>
          <w:rFonts w:cs="Times New Roman"/>
          <w:i/>
          <w:szCs w:val="24"/>
        </w:rPr>
        <w:t>s</w:t>
      </w:r>
      <w:r w:rsidR="00C24F66" w:rsidRPr="002B6D26">
        <w:rPr>
          <w:rFonts w:cs="Times New Roman"/>
          <w:szCs w:val="24"/>
        </w:rPr>
        <w:t>)</w:t>
      </w:r>
      <w:r w:rsidRPr="002B6D26">
        <w:rPr>
          <w:rFonts w:cs="Times New Roman"/>
          <w:szCs w:val="24"/>
        </w:rPr>
        <w:t>.</w:t>
      </w:r>
      <w:r w:rsidR="00A321CC" w:rsidRPr="002B6D26">
        <w:rPr>
          <w:rFonts w:cs="Times New Roman"/>
          <w:szCs w:val="24"/>
        </w:rPr>
        <w:t xml:space="preserve"> Šīs atziņas piemērojamas </w:t>
      </w:r>
      <w:r w:rsidR="00E82870" w:rsidRPr="002B6D26">
        <w:rPr>
          <w:rFonts w:cs="Times New Roman"/>
          <w:szCs w:val="24"/>
        </w:rPr>
        <w:t>ne tikai attiecībā uz garantētajiem vai negarantētajiem darba samaksas maksājumiem, bet arī uz garantētajiem vai negarantētajiem soci</w:t>
      </w:r>
      <w:r w:rsidR="00A23A14" w:rsidRPr="002B6D26">
        <w:rPr>
          <w:rFonts w:cs="Times New Roman"/>
          <w:szCs w:val="24"/>
        </w:rPr>
        <w:t>ālo garantiju veidiem.</w:t>
      </w:r>
    </w:p>
    <w:p w:rsidR="008333A8" w:rsidRPr="002B6D26" w:rsidRDefault="008333A8" w:rsidP="00EA4A9E">
      <w:pPr>
        <w:pStyle w:val="NoSpacing"/>
        <w:spacing w:line="276" w:lineRule="auto"/>
        <w:ind w:firstLine="567"/>
        <w:jc w:val="both"/>
        <w:rPr>
          <w:rFonts w:cs="Times New Roman"/>
          <w:szCs w:val="24"/>
        </w:rPr>
      </w:pPr>
    </w:p>
    <w:p w:rsidR="00B25F5F" w:rsidRPr="002B6D26" w:rsidRDefault="008333A8" w:rsidP="00EA4A9E">
      <w:pPr>
        <w:pStyle w:val="NoSpacing"/>
        <w:spacing w:line="276" w:lineRule="auto"/>
        <w:ind w:firstLine="567"/>
        <w:jc w:val="both"/>
        <w:rPr>
          <w:rFonts w:cs="Times New Roman"/>
        </w:rPr>
      </w:pPr>
      <w:r w:rsidRPr="002B6D26">
        <w:rPr>
          <w:rFonts w:cs="Times New Roman"/>
          <w:szCs w:val="24"/>
        </w:rPr>
        <w:t>[</w:t>
      </w:r>
      <w:r w:rsidR="00722F8E">
        <w:rPr>
          <w:rFonts w:cs="Times New Roman"/>
          <w:szCs w:val="24"/>
        </w:rPr>
        <w:t>8</w:t>
      </w:r>
      <w:r w:rsidRPr="002B6D26">
        <w:rPr>
          <w:rFonts w:cs="Times New Roman"/>
          <w:szCs w:val="24"/>
        </w:rPr>
        <w:t xml:space="preserve">] </w:t>
      </w:r>
      <w:r w:rsidR="00136BFD" w:rsidRPr="002B6D26">
        <w:rPr>
          <w:rFonts w:cs="Times New Roman"/>
          <w:szCs w:val="24"/>
        </w:rPr>
        <w:t xml:space="preserve">Atbilstoši </w:t>
      </w:r>
      <w:r w:rsidR="00EA4A9E" w:rsidRPr="002B6D26">
        <w:rPr>
          <w:rFonts w:cs="Times New Roman"/>
          <w:szCs w:val="24"/>
        </w:rPr>
        <w:t xml:space="preserve">Valsts un pašvaldību institūciju amatpersonu un darbinieku atlīdzības likuma </w:t>
      </w:r>
      <w:proofErr w:type="gramStart"/>
      <w:r w:rsidR="00EA4A9E" w:rsidRPr="002B6D26">
        <w:rPr>
          <w:rFonts w:cs="Times New Roman"/>
          <w:szCs w:val="24"/>
        </w:rPr>
        <w:t>3.panta</w:t>
      </w:r>
      <w:proofErr w:type="gramEnd"/>
      <w:r w:rsidR="00EA4A9E" w:rsidRPr="002B6D26">
        <w:rPr>
          <w:rFonts w:cs="Times New Roman"/>
          <w:szCs w:val="24"/>
        </w:rPr>
        <w:t xml:space="preserve"> pirmajai daļai v</w:t>
      </w:r>
      <w:r w:rsidR="00EA4A9E" w:rsidRPr="002B6D26">
        <w:rPr>
          <w:rFonts w:cs="Times New Roman"/>
        </w:rPr>
        <w:t>alsts un pašvaldību institūciju amatpersonu (darbinieku) atlīdzību veido darba samaksa, sociālās garantijas un atvaļinājumi. Darba samaksa ir mēnešalga, piemaksas, prēmijas un naudas balvas. Sociālās garantijas ir pabalsti, kompensācijas, apdrošināšana un šajā likumā noteikto izdevumu segšana.</w:t>
      </w:r>
    </w:p>
    <w:p w:rsidR="00F84B8D" w:rsidRPr="002B6D26" w:rsidRDefault="007B3E70" w:rsidP="00EA4A9E">
      <w:pPr>
        <w:pStyle w:val="NoSpacing"/>
        <w:spacing w:line="276" w:lineRule="auto"/>
        <w:ind w:firstLine="567"/>
        <w:jc w:val="both"/>
        <w:rPr>
          <w:rFonts w:cs="Times New Roman"/>
          <w:szCs w:val="24"/>
        </w:rPr>
      </w:pPr>
      <w:r w:rsidRPr="002B6D26">
        <w:rPr>
          <w:rFonts w:cs="Times New Roman"/>
        </w:rPr>
        <w:t xml:space="preserve">Tiesības uz sociālās garantijas veidu – veselības apdrošināšanu – detalizētāk regulē </w:t>
      </w:r>
      <w:r w:rsidRPr="002B6D26">
        <w:rPr>
          <w:rFonts w:cs="Times New Roman"/>
          <w:szCs w:val="24"/>
        </w:rPr>
        <w:t xml:space="preserve">Valsts un pašvaldību institūciju amatpersonu un darbinieku atlīdzības likuma </w:t>
      </w:r>
      <w:proofErr w:type="gramStart"/>
      <w:r w:rsidRPr="002B6D26">
        <w:rPr>
          <w:rFonts w:cs="Times New Roman"/>
          <w:szCs w:val="24"/>
        </w:rPr>
        <w:t>37.pants</w:t>
      </w:r>
      <w:proofErr w:type="gramEnd"/>
      <w:r w:rsidRPr="002B6D26">
        <w:rPr>
          <w:rFonts w:cs="Times New Roman"/>
          <w:szCs w:val="24"/>
        </w:rPr>
        <w:t xml:space="preserve">. Tajā norādīts, kurām amatpersonām </w:t>
      </w:r>
      <w:r w:rsidR="001F18CA" w:rsidRPr="002B6D26">
        <w:rPr>
          <w:rFonts w:cs="Times New Roman"/>
          <w:szCs w:val="24"/>
        </w:rPr>
        <w:t xml:space="preserve">saistībā ar viņu ieņemamo amatu veselības apdrošināšana pienākas ar likumu, tas ir, kuriem amatiem veselības apdrošināšana jau pēc likuma ir noteikta un </w:t>
      </w:r>
      <w:r w:rsidR="001F18CA" w:rsidRPr="002B6D26">
        <w:rPr>
          <w:rFonts w:cs="Times New Roman"/>
          <w:szCs w:val="24"/>
        </w:rPr>
        <w:lastRenderedPageBreak/>
        <w:t xml:space="preserve">neatņemama </w:t>
      </w:r>
      <w:r w:rsidR="00B4285A" w:rsidRPr="002B6D26">
        <w:rPr>
          <w:rFonts w:cs="Times New Roman"/>
          <w:szCs w:val="24"/>
        </w:rPr>
        <w:t xml:space="preserve">sociālā garantija. Aģentūras amatpersonas atbilstoši minētajai tiesību normai neietilpst šādu amatpersonu </w:t>
      </w:r>
      <w:r w:rsidR="00815E36" w:rsidRPr="002B6D26">
        <w:rPr>
          <w:rFonts w:cs="Times New Roman"/>
          <w:szCs w:val="24"/>
        </w:rPr>
        <w:t>lokā.</w:t>
      </w:r>
      <w:r w:rsidR="00B4285A" w:rsidRPr="002B6D26">
        <w:rPr>
          <w:rFonts w:cs="Times New Roman"/>
          <w:szCs w:val="24"/>
        </w:rPr>
        <w:t xml:space="preserve"> </w:t>
      </w:r>
    </w:p>
    <w:p w:rsidR="00A75FD5" w:rsidRPr="002B6D26" w:rsidRDefault="008333A8" w:rsidP="00EA4A9E">
      <w:pPr>
        <w:pStyle w:val="NoSpacing"/>
        <w:spacing w:line="276" w:lineRule="auto"/>
        <w:ind w:firstLine="567"/>
        <w:jc w:val="both"/>
        <w:rPr>
          <w:rFonts w:cs="Times New Roman"/>
          <w:szCs w:val="24"/>
        </w:rPr>
      </w:pPr>
      <w:r w:rsidRPr="002B6D26">
        <w:rPr>
          <w:rFonts w:cs="Times New Roman"/>
          <w:szCs w:val="24"/>
        </w:rPr>
        <w:t xml:space="preserve">Vienlaikus minētā likuma </w:t>
      </w:r>
      <w:proofErr w:type="gramStart"/>
      <w:r w:rsidRPr="002B6D26">
        <w:rPr>
          <w:rFonts w:cs="Times New Roman"/>
          <w:szCs w:val="24"/>
        </w:rPr>
        <w:t>37.panta</w:t>
      </w:r>
      <w:proofErr w:type="gramEnd"/>
      <w:r w:rsidRPr="002B6D26">
        <w:rPr>
          <w:rFonts w:cs="Times New Roman"/>
          <w:szCs w:val="24"/>
        </w:rPr>
        <w:t xml:space="preserve"> pirmā daļa paredz, ka valsts vai pašvaldības institūcija var apdrošināt</w:t>
      </w:r>
      <w:r w:rsidR="003F57E1" w:rsidRPr="002B6D26">
        <w:rPr>
          <w:rFonts w:cs="Times New Roman"/>
          <w:szCs w:val="24"/>
        </w:rPr>
        <w:t xml:space="preserve"> amatpersonu</w:t>
      </w:r>
      <w:r w:rsidRPr="002B6D26">
        <w:rPr>
          <w:rFonts w:cs="Times New Roman"/>
          <w:szCs w:val="24"/>
        </w:rPr>
        <w:t xml:space="preserve"> (darbinieku) </w:t>
      </w:r>
      <w:r w:rsidR="00385762" w:rsidRPr="002B6D26">
        <w:rPr>
          <w:rFonts w:cs="Times New Roman"/>
          <w:szCs w:val="24"/>
        </w:rPr>
        <w:t xml:space="preserve">veselību </w:t>
      </w:r>
      <w:r w:rsidR="003C097E" w:rsidRPr="002B6D26">
        <w:rPr>
          <w:rFonts w:cs="Times New Roman"/>
          <w:szCs w:val="24"/>
        </w:rPr>
        <w:t>sev piešķirto budžeta līdzekļu ietvaros.</w:t>
      </w:r>
      <w:r w:rsidR="00A75FD5" w:rsidRPr="002B6D26">
        <w:rPr>
          <w:rFonts w:cs="Times New Roman"/>
          <w:szCs w:val="24"/>
        </w:rPr>
        <w:t xml:space="preserve"> Tas nozīmē, ka </w:t>
      </w:r>
      <w:r w:rsidR="006D1C85" w:rsidRPr="002B6D26">
        <w:rPr>
          <w:rFonts w:cs="Times New Roman"/>
          <w:szCs w:val="24"/>
        </w:rPr>
        <w:t>amatpersonai</w:t>
      </w:r>
      <w:r w:rsidR="00A75FD5" w:rsidRPr="002B6D26">
        <w:rPr>
          <w:rFonts w:cs="Times New Roman"/>
          <w:szCs w:val="24"/>
        </w:rPr>
        <w:t xml:space="preserve"> šādā gadījumā nav no likuma izrietošu subjektīvo tiesību prasīt, lai </w:t>
      </w:r>
      <w:r w:rsidR="000532B2" w:rsidRPr="002B6D26">
        <w:rPr>
          <w:rFonts w:cs="Times New Roman"/>
          <w:szCs w:val="24"/>
        </w:rPr>
        <w:t xml:space="preserve">tās veselība tiek apdrošināta, tā kā </w:t>
      </w:r>
      <w:r w:rsidR="003C097E" w:rsidRPr="002B6D26">
        <w:rPr>
          <w:rFonts w:cs="Times New Roman"/>
          <w:szCs w:val="24"/>
        </w:rPr>
        <w:t xml:space="preserve">amatpersonu veselības apdrošināšana, kurām </w:t>
      </w:r>
      <w:r w:rsidR="000B0FE8" w:rsidRPr="002B6D26">
        <w:rPr>
          <w:rFonts w:cs="Times New Roman"/>
          <w:szCs w:val="24"/>
        </w:rPr>
        <w:t xml:space="preserve">tā nav noteikta ar likumu, ir atkarīga </w:t>
      </w:r>
      <w:r w:rsidR="006209A4" w:rsidRPr="002B6D26">
        <w:rPr>
          <w:rFonts w:cs="Times New Roman"/>
          <w:szCs w:val="24"/>
        </w:rPr>
        <w:t>no iestādes budžeta līdzekļiem.</w:t>
      </w:r>
    </w:p>
    <w:p w:rsidR="00A75FD5" w:rsidRPr="002B6D26" w:rsidRDefault="00A75FD5" w:rsidP="00EA4A9E">
      <w:pPr>
        <w:pStyle w:val="NoSpacing"/>
        <w:spacing w:line="276" w:lineRule="auto"/>
        <w:ind w:firstLine="567"/>
        <w:jc w:val="both"/>
        <w:rPr>
          <w:rFonts w:cs="Times New Roman"/>
          <w:szCs w:val="24"/>
        </w:rPr>
      </w:pPr>
    </w:p>
    <w:p w:rsidR="00BA3D03" w:rsidRPr="002B6D26" w:rsidRDefault="00DE6C57" w:rsidP="00EA4A9E">
      <w:pPr>
        <w:pStyle w:val="NoSpacing"/>
        <w:spacing w:line="276" w:lineRule="auto"/>
        <w:ind w:firstLine="567"/>
        <w:jc w:val="both"/>
        <w:rPr>
          <w:rFonts w:cs="Times New Roman"/>
          <w:szCs w:val="24"/>
        </w:rPr>
      </w:pPr>
      <w:r>
        <w:rPr>
          <w:rFonts w:cs="Times New Roman"/>
          <w:szCs w:val="24"/>
        </w:rPr>
        <w:t>[</w:t>
      </w:r>
      <w:r w:rsidR="00722F8E">
        <w:rPr>
          <w:rFonts w:cs="Times New Roman"/>
          <w:szCs w:val="24"/>
        </w:rPr>
        <w:t>9</w:t>
      </w:r>
      <w:r>
        <w:rPr>
          <w:rFonts w:cs="Times New Roman"/>
          <w:szCs w:val="24"/>
        </w:rPr>
        <w:t xml:space="preserve">] </w:t>
      </w:r>
      <w:r w:rsidR="006209A4" w:rsidRPr="002B6D26">
        <w:rPr>
          <w:rFonts w:cs="Times New Roman"/>
          <w:szCs w:val="24"/>
        </w:rPr>
        <w:t xml:space="preserve">Konkrētajā gadījumā </w:t>
      </w:r>
      <w:r w:rsidR="00550C49">
        <w:rPr>
          <w:rFonts w:cs="Times New Roman"/>
          <w:szCs w:val="24"/>
        </w:rPr>
        <w:t>A</w:t>
      </w:r>
      <w:r w:rsidR="006209A4" w:rsidRPr="002B6D26">
        <w:rPr>
          <w:rFonts w:cs="Times New Roman"/>
          <w:szCs w:val="24"/>
        </w:rPr>
        <w:t xml:space="preserve">ģentūrā pieteicējai bija piešķirta veselības apdrošināšana uz gadu </w:t>
      </w:r>
      <w:r w:rsidR="00FA7762">
        <w:rPr>
          <w:rFonts w:cs="Times New Roman"/>
          <w:szCs w:val="24"/>
        </w:rPr>
        <w:t xml:space="preserve">– </w:t>
      </w:r>
      <w:r w:rsidR="006209A4" w:rsidRPr="002B6D26">
        <w:rPr>
          <w:rFonts w:cs="Times New Roman"/>
          <w:szCs w:val="24"/>
        </w:rPr>
        <w:t xml:space="preserve">līdz </w:t>
      </w:r>
      <w:proofErr w:type="gramStart"/>
      <w:r w:rsidR="006209A4" w:rsidRPr="002B6D26">
        <w:rPr>
          <w:rFonts w:cs="Times New Roman"/>
          <w:szCs w:val="24"/>
        </w:rPr>
        <w:t>2016.gada</w:t>
      </w:r>
      <w:proofErr w:type="gramEnd"/>
      <w:r w:rsidR="006209A4" w:rsidRPr="002B6D26">
        <w:rPr>
          <w:rFonts w:cs="Times New Roman"/>
          <w:szCs w:val="24"/>
        </w:rPr>
        <w:t xml:space="preserve"> 30.j</w:t>
      </w:r>
      <w:r w:rsidR="0027335E" w:rsidRPr="002B6D26">
        <w:rPr>
          <w:rFonts w:cs="Times New Roman"/>
          <w:szCs w:val="24"/>
        </w:rPr>
        <w:t>ūnijam.</w:t>
      </w:r>
      <w:r w:rsidR="00C3448A" w:rsidRPr="002B6D26">
        <w:rPr>
          <w:rFonts w:cs="Times New Roman"/>
          <w:szCs w:val="24"/>
        </w:rPr>
        <w:t xml:space="preserve"> Tādējādi iestāde bija pieņēmusi lēmumu apdrošināt darbiniekus (amatpersonas), tostarp pieteicēju</w:t>
      </w:r>
      <w:r w:rsidR="007D6259" w:rsidRPr="002B6D26">
        <w:rPr>
          <w:rFonts w:cs="Times New Roman"/>
          <w:szCs w:val="24"/>
        </w:rPr>
        <w:t xml:space="preserve"> uz konkr</w:t>
      </w:r>
      <w:r w:rsidR="00C841C1">
        <w:rPr>
          <w:rFonts w:cs="Times New Roman"/>
          <w:szCs w:val="24"/>
        </w:rPr>
        <w:t>ētu laika posmu</w:t>
      </w:r>
      <w:r w:rsidR="006C007B" w:rsidRPr="002B6D26">
        <w:rPr>
          <w:rFonts w:cs="Times New Roman"/>
          <w:szCs w:val="24"/>
        </w:rPr>
        <w:t>.</w:t>
      </w:r>
    </w:p>
    <w:p w:rsidR="006D0AC5" w:rsidRPr="002B6D26" w:rsidRDefault="000B355B" w:rsidP="00EA4A9E">
      <w:pPr>
        <w:pStyle w:val="NoSpacing"/>
        <w:spacing w:line="276" w:lineRule="auto"/>
        <w:ind w:firstLine="567"/>
        <w:jc w:val="both"/>
        <w:rPr>
          <w:rFonts w:cs="Times New Roman"/>
          <w:szCs w:val="24"/>
        </w:rPr>
      </w:pPr>
      <w:r w:rsidRPr="002B6D26">
        <w:rPr>
          <w:rFonts w:cs="Times New Roman"/>
          <w:szCs w:val="24"/>
        </w:rPr>
        <w:t xml:space="preserve">No minētā izriet, ka pieteicējai </w:t>
      </w:r>
      <w:r w:rsidR="00512AEF" w:rsidRPr="002B6D26">
        <w:rPr>
          <w:rFonts w:cs="Times New Roman"/>
          <w:szCs w:val="24"/>
        </w:rPr>
        <w:t>bija radusies paļāvība uz to, ka uz</w:t>
      </w:r>
      <w:r w:rsidR="006D0AC5" w:rsidRPr="002B6D26">
        <w:rPr>
          <w:rFonts w:cs="Times New Roman"/>
          <w:szCs w:val="24"/>
        </w:rPr>
        <w:t xml:space="preserve"> vienu gadu </w:t>
      </w:r>
      <w:r w:rsidR="00512AEF" w:rsidRPr="002B6D26">
        <w:rPr>
          <w:rFonts w:cs="Times New Roman"/>
          <w:szCs w:val="24"/>
        </w:rPr>
        <w:t xml:space="preserve">pieteicējai būs nodrošināta veselības apdrošināšana, jo par šādu laika </w:t>
      </w:r>
      <w:r w:rsidR="00554C82">
        <w:rPr>
          <w:rFonts w:cs="Times New Roman"/>
          <w:szCs w:val="24"/>
        </w:rPr>
        <w:t>posm</w:t>
      </w:r>
      <w:r w:rsidR="00512AEF" w:rsidRPr="002B6D26">
        <w:rPr>
          <w:rFonts w:cs="Times New Roman"/>
          <w:szCs w:val="24"/>
        </w:rPr>
        <w:t>u iestād</w:t>
      </w:r>
      <w:r w:rsidR="00852C45">
        <w:rPr>
          <w:rFonts w:cs="Times New Roman"/>
          <w:szCs w:val="24"/>
        </w:rPr>
        <w:t>e</w:t>
      </w:r>
      <w:r w:rsidR="00512AEF" w:rsidRPr="002B6D26">
        <w:rPr>
          <w:rFonts w:cs="Times New Roman"/>
          <w:szCs w:val="24"/>
        </w:rPr>
        <w:t xml:space="preserve"> bija pieņēmusi lēmumu. </w:t>
      </w:r>
      <w:r w:rsidR="00FA54FC" w:rsidRPr="002B6D26">
        <w:rPr>
          <w:rFonts w:cs="Times New Roman"/>
          <w:szCs w:val="24"/>
        </w:rPr>
        <w:t>Tas nozīmē, ka par šo laika posmu piešķirtā veselības apdrošināšana uzskatām</w:t>
      </w:r>
      <w:r w:rsidR="00C7163C" w:rsidRPr="002B6D26">
        <w:rPr>
          <w:rFonts w:cs="Times New Roman"/>
          <w:szCs w:val="24"/>
        </w:rPr>
        <w:t>a</w:t>
      </w:r>
      <w:r w:rsidR="00FA54FC" w:rsidRPr="002B6D26">
        <w:rPr>
          <w:rFonts w:cs="Times New Roman"/>
          <w:szCs w:val="24"/>
        </w:rPr>
        <w:t xml:space="preserve"> par pieteicējas sociālo garantiju, kas atbilstoši Valsts civildienesta likuma </w:t>
      </w:r>
      <w:proofErr w:type="gramStart"/>
      <w:r w:rsidR="00FA54FC" w:rsidRPr="002B6D26">
        <w:rPr>
          <w:rFonts w:cs="Times New Roman"/>
          <w:szCs w:val="24"/>
        </w:rPr>
        <w:t>37.panta</w:t>
      </w:r>
      <w:proofErr w:type="gramEnd"/>
      <w:r w:rsidR="00FA54FC" w:rsidRPr="002B6D26">
        <w:rPr>
          <w:rFonts w:cs="Times New Roman"/>
          <w:szCs w:val="24"/>
        </w:rPr>
        <w:t xml:space="preserve"> ceturtajai da</w:t>
      </w:r>
      <w:r w:rsidR="00B94087" w:rsidRPr="002B6D26">
        <w:rPr>
          <w:rFonts w:cs="Times New Roman"/>
          <w:szCs w:val="24"/>
        </w:rPr>
        <w:t>ļai</w:t>
      </w:r>
      <w:r w:rsidR="00FA54FC" w:rsidRPr="002B6D26">
        <w:rPr>
          <w:rFonts w:cs="Times New Roman"/>
          <w:szCs w:val="24"/>
        </w:rPr>
        <w:t xml:space="preserve"> pārcelšanas gadījumā saglabājama.</w:t>
      </w:r>
    </w:p>
    <w:p w:rsidR="00C7163C" w:rsidRPr="002B6D26" w:rsidRDefault="001F3C31" w:rsidP="00EA4A9E">
      <w:pPr>
        <w:pStyle w:val="NoSpacing"/>
        <w:spacing w:line="276" w:lineRule="auto"/>
        <w:ind w:firstLine="567"/>
        <w:jc w:val="both"/>
        <w:rPr>
          <w:rFonts w:cs="Times New Roman"/>
          <w:szCs w:val="24"/>
        </w:rPr>
      </w:pPr>
      <w:r w:rsidRPr="002B6D26">
        <w:rPr>
          <w:rFonts w:cs="Times New Roman"/>
          <w:szCs w:val="24"/>
        </w:rPr>
        <w:t xml:space="preserve">Citiem vārdiem, </w:t>
      </w:r>
      <w:r w:rsidR="00BB37C9" w:rsidRPr="002B6D26">
        <w:rPr>
          <w:rFonts w:cs="Times New Roman"/>
          <w:szCs w:val="24"/>
        </w:rPr>
        <w:t>pieteicējai</w:t>
      </w:r>
      <w:r w:rsidR="0031559C">
        <w:rPr>
          <w:rFonts w:cs="Times New Roman"/>
          <w:szCs w:val="24"/>
        </w:rPr>
        <w:t>, tā kā pieteicēja nav amatpersona, kas apdrošināma uz likuma pamata,</w:t>
      </w:r>
      <w:r w:rsidR="00BB37C9" w:rsidRPr="002B6D26">
        <w:rPr>
          <w:rFonts w:cs="Times New Roman"/>
          <w:szCs w:val="24"/>
        </w:rPr>
        <w:t xml:space="preserve"> nav subjektīvās tiesības prasīt iestādei veselības apdrošināšanas piešķiršanu, tomēr</w:t>
      </w:r>
      <w:r w:rsidR="00F90D48">
        <w:rPr>
          <w:rFonts w:cs="Times New Roman"/>
          <w:szCs w:val="24"/>
        </w:rPr>
        <w:t>,</w:t>
      </w:r>
      <w:r w:rsidR="00BB37C9" w:rsidRPr="002B6D26">
        <w:rPr>
          <w:rFonts w:cs="Times New Roman"/>
          <w:szCs w:val="24"/>
        </w:rPr>
        <w:t xml:space="preserve"> </w:t>
      </w:r>
      <w:r w:rsidR="0003308A" w:rsidRPr="002B6D26">
        <w:rPr>
          <w:rFonts w:cs="Times New Roman"/>
          <w:szCs w:val="24"/>
        </w:rPr>
        <w:t xml:space="preserve">ja reiz iestāde pieteicēju </w:t>
      </w:r>
      <w:r w:rsidR="00AA37F9">
        <w:rPr>
          <w:rFonts w:cs="Times New Roman"/>
          <w:szCs w:val="24"/>
        </w:rPr>
        <w:t>ir</w:t>
      </w:r>
      <w:r w:rsidR="0003308A" w:rsidRPr="002B6D26">
        <w:rPr>
          <w:rFonts w:cs="Times New Roman"/>
          <w:szCs w:val="24"/>
        </w:rPr>
        <w:t xml:space="preserve"> apdrošinājusi, pieteicēja</w:t>
      </w:r>
      <w:r w:rsidR="00E836D1">
        <w:rPr>
          <w:rFonts w:cs="Times New Roman"/>
          <w:szCs w:val="24"/>
        </w:rPr>
        <w:t xml:space="preserve"> ir ieguvusi</w:t>
      </w:r>
      <w:r w:rsidR="0003308A" w:rsidRPr="002B6D26">
        <w:rPr>
          <w:rFonts w:cs="Times New Roman"/>
          <w:szCs w:val="24"/>
        </w:rPr>
        <w:t xml:space="preserve"> tiesības uz konkrētu finansiālu līdzekļu kopumu, iestājoties apdrošināšanas gadījumam.</w:t>
      </w:r>
      <w:r w:rsidR="009F1E5A" w:rsidRPr="002B6D26">
        <w:rPr>
          <w:rFonts w:cs="Times New Roman"/>
          <w:szCs w:val="24"/>
        </w:rPr>
        <w:t xml:space="preserve"> Tāp</w:t>
      </w:r>
      <w:r w:rsidR="00D06E84" w:rsidRPr="002B6D26">
        <w:rPr>
          <w:rFonts w:cs="Times New Roman"/>
          <w:szCs w:val="24"/>
        </w:rPr>
        <w:t>ēc, pārcelšanas gadījumā pārtraucot veselības apdrošināšanu, pieteicējai tiek atņemtas iepriekš iegūtās tiesības.</w:t>
      </w:r>
    </w:p>
    <w:p w:rsidR="00CA4D97" w:rsidRDefault="00CA4D97" w:rsidP="00D06E84">
      <w:pPr>
        <w:pStyle w:val="NoSpacing"/>
        <w:spacing w:line="276" w:lineRule="auto"/>
        <w:ind w:firstLine="567"/>
        <w:jc w:val="both"/>
        <w:rPr>
          <w:rFonts w:cs="Times New Roman"/>
          <w:szCs w:val="24"/>
        </w:rPr>
      </w:pPr>
    </w:p>
    <w:p w:rsidR="00D06E84" w:rsidRPr="002B6D26" w:rsidRDefault="00D06E84" w:rsidP="00D06E84">
      <w:pPr>
        <w:pStyle w:val="NoSpacing"/>
        <w:spacing w:line="276" w:lineRule="auto"/>
        <w:ind w:firstLine="567"/>
        <w:jc w:val="both"/>
        <w:rPr>
          <w:rFonts w:cs="Times New Roman"/>
          <w:szCs w:val="24"/>
        </w:rPr>
      </w:pPr>
      <w:r w:rsidRPr="002B6D26">
        <w:rPr>
          <w:rFonts w:cs="Times New Roman"/>
          <w:szCs w:val="24"/>
        </w:rPr>
        <w:t>[</w:t>
      </w:r>
      <w:r w:rsidR="00722F8E">
        <w:rPr>
          <w:rFonts w:cs="Times New Roman"/>
          <w:szCs w:val="24"/>
        </w:rPr>
        <w:t>10</w:t>
      </w:r>
      <w:r w:rsidRPr="002B6D26">
        <w:rPr>
          <w:rFonts w:cs="Times New Roman"/>
          <w:szCs w:val="24"/>
        </w:rPr>
        <w:t xml:space="preserve">] Pieteicēja iebilst tieši tam, ka </w:t>
      </w:r>
      <w:r w:rsidR="00CA4D97">
        <w:rPr>
          <w:rFonts w:cs="Times New Roman"/>
          <w:szCs w:val="24"/>
        </w:rPr>
        <w:t xml:space="preserve">viņai </w:t>
      </w:r>
      <w:r w:rsidRPr="002B6D26">
        <w:rPr>
          <w:rFonts w:cs="Times New Roman"/>
          <w:szCs w:val="24"/>
        </w:rPr>
        <w:t xml:space="preserve">nebija nodrošināta </w:t>
      </w:r>
      <w:r w:rsidR="00CA4D97">
        <w:rPr>
          <w:rFonts w:cs="Times New Roman"/>
          <w:szCs w:val="24"/>
        </w:rPr>
        <w:t>A</w:t>
      </w:r>
      <w:r w:rsidRPr="002B6D26">
        <w:rPr>
          <w:rFonts w:cs="Times New Roman"/>
          <w:szCs w:val="24"/>
        </w:rPr>
        <w:t>ģentūras uz gadu piešķirtā veselības apdrošināšana, ne ilgāk. Līdz ar to šāda pieteicējas paļāvība</w:t>
      </w:r>
      <w:r w:rsidR="00CA4D97">
        <w:rPr>
          <w:rFonts w:cs="Times New Roman"/>
          <w:szCs w:val="24"/>
        </w:rPr>
        <w:t>, ievērojot iepriekš minētos argumentus,</w:t>
      </w:r>
      <w:r w:rsidRPr="002B6D26">
        <w:rPr>
          <w:rFonts w:cs="Times New Roman"/>
          <w:szCs w:val="24"/>
        </w:rPr>
        <w:t xml:space="preserve"> ir</w:t>
      </w:r>
      <w:r w:rsidR="00CA4D97">
        <w:rPr>
          <w:rFonts w:cs="Times New Roman"/>
          <w:szCs w:val="24"/>
        </w:rPr>
        <w:t xml:space="preserve"> tiesiski</w:t>
      </w:r>
      <w:r w:rsidRPr="002B6D26">
        <w:rPr>
          <w:rFonts w:cs="Times New Roman"/>
          <w:szCs w:val="24"/>
        </w:rPr>
        <w:t xml:space="preserve"> aizsargājama.</w:t>
      </w:r>
    </w:p>
    <w:p w:rsidR="00D06E84" w:rsidRPr="002B6D26" w:rsidRDefault="00D06E84" w:rsidP="00D06E84">
      <w:pPr>
        <w:pStyle w:val="NoSpacing"/>
        <w:spacing w:line="276" w:lineRule="auto"/>
        <w:ind w:firstLine="567"/>
        <w:jc w:val="both"/>
        <w:rPr>
          <w:rFonts w:cs="Times New Roman"/>
          <w:szCs w:val="24"/>
        </w:rPr>
      </w:pPr>
      <w:r w:rsidRPr="002B6D26">
        <w:rPr>
          <w:rFonts w:cs="Times New Roman"/>
          <w:szCs w:val="24"/>
        </w:rPr>
        <w:t xml:space="preserve">Vienlaikus pieteicējai nav paļāvība uz to, ka </w:t>
      </w:r>
      <w:r w:rsidR="00CD0527">
        <w:rPr>
          <w:rFonts w:cs="Times New Roman"/>
          <w:szCs w:val="24"/>
        </w:rPr>
        <w:t xml:space="preserve">viņai noteikti </w:t>
      </w:r>
      <w:r w:rsidRPr="002B6D26">
        <w:rPr>
          <w:rFonts w:cs="Times New Roman"/>
          <w:szCs w:val="24"/>
        </w:rPr>
        <w:t>tiks nodrošināta veselības apdrošināšana pēc tam, kad ir beigusies tā veselības apdrošināšana, kas ar pārcelšanu tika saglabāta, tā kā no iepriekš minētajām tiesību normām izriet, ka iestāde par veselības apdrošināšanu tām amatpersonām (darbiniekiem), kuri nav pēc likuma apdrošināt</w:t>
      </w:r>
      <w:r w:rsidR="000D4B31">
        <w:rPr>
          <w:rFonts w:cs="Times New Roman"/>
          <w:szCs w:val="24"/>
        </w:rPr>
        <w:t>i</w:t>
      </w:r>
      <w:r w:rsidRPr="002B6D26">
        <w:rPr>
          <w:rFonts w:cs="Times New Roman"/>
          <w:szCs w:val="24"/>
        </w:rPr>
        <w:t xml:space="preserve">, lemj sava budžeta </w:t>
      </w:r>
      <w:r w:rsidR="00FC6357">
        <w:rPr>
          <w:rFonts w:cs="Times New Roman"/>
          <w:szCs w:val="24"/>
        </w:rPr>
        <w:t>ietvaros</w:t>
      </w:r>
      <w:r w:rsidRPr="002B6D26">
        <w:rPr>
          <w:rFonts w:cs="Times New Roman"/>
          <w:szCs w:val="24"/>
        </w:rPr>
        <w:t xml:space="preserve">. Tādējādi </w:t>
      </w:r>
      <w:r w:rsidR="001807C3" w:rsidRPr="002B6D26">
        <w:rPr>
          <w:rFonts w:cs="Times New Roman"/>
          <w:szCs w:val="24"/>
        </w:rPr>
        <w:t xml:space="preserve">pieteicējas tiesības uz veselības apdrošināšanu Centrā </w:t>
      </w:r>
      <w:r w:rsidR="0012021A">
        <w:rPr>
          <w:rFonts w:cs="Times New Roman"/>
          <w:szCs w:val="24"/>
        </w:rPr>
        <w:t>ir atkarīgas no Centra budžeta iespējām.</w:t>
      </w:r>
    </w:p>
    <w:p w:rsidR="00984BA6" w:rsidRDefault="00984BA6" w:rsidP="00984BA6">
      <w:pPr>
        <w:pStyle w:val="NoSpacing"/>
        <w:spacing w:line="276" w:lineRule="auto"/>
        <w:ind w:firstLine="567"/>
        <w:jc w:val="both"/>
        <w:rPr>
          <w:rFonts w:cs="Times New Roman"/>
          <w:szCs w:val="24"/>
        </w:rPr>
      </w:pPr>
    </w:p>
    <w:p w:rsidR="00984BA6" w:rsidRDefault="00984BA6" w:rsidP="00984BA6">
      <w:pPr>
        <w:pStyle w:val="NoSpacing"/>
        <w:spacing w:line="276" w:lineRule="auto"/>
        <w:ind w:firstLine="567"/>
        <w:jc w:val="both"/>
        <w:rPr>
          <w:rFonts w:cs="Times New Roman"/>
          <w:szCs w:val="24"/>
        </w:rPr>
      </w:pPr>
      <w:r>
        <w:rPr>
          <w:rFonts w:cs="Times New Roman"/>
          <w:szCs w:val="24"/>
        </w:rPr>
        <w:t>[</w:t>
      </w:r>
      <w:r w:rsidR="00DE6C57">
        <w:rPr>
          <w:rFonts w:cs="Times New Roman"/>
          <w:szCs w:val="24"/>
        </w:rPr>
        <w:t>1</w:t>
      </w:r>
      <w:r w:rsidR="00722F8E">
        <w:rPr>
          <w:rFonts w:cs="Times New Roman"/>
          <w:szCs w:val="24"/>
        </w:rPr>
        <w:t>1</w:t>
      </w:r>
      <w:r>
        <w:rPr>
          <w:rFonts w:cs="Times New Roman"/>
          <w:szCs w:val="24"/>
        </w:rPr>
        <w:t xml:space="preserve">] </w:t>
      </w:r>
      <w:r w:rsidRPr="002B6D26">
        <w:rPr>
          <w:rFonts w:cs="Times New Roman"/>
          <w:szCs w:val="24"/>
        </w:rPr>
        <w:t xml:space="preserve">Tā kā apgabaltiesa </w:t>
      </w:r>
      <w:r w:rsidR="000465DF">
        <w:rPr>
          <w:rFonts w:cs="Times New Roman"/>
          <w:szCs w:val="24"/>
        </w:rPr>
        <w:t>ir</w:t>
      </w:r>
      <w:r w:rsidRPr="002B6D26">
        <w:rPr>
          <w:rFonts w:cs="Times New Roman"/>
          <w:szCs w:val="24"/>
        </w:rPr>
        <w:t xml:space="preserve"> nepareizi piemērojusi Valsts civildienesta likuma </w:t>
      </w:r>
      <w:proofErr w:type="gramStart"/>
      <w:r w:rsidRPr="002B6D26">
        <w:rPr>
          <w:rFonts w:cs="Times New Roman"/>
          <w:szCs w:val="24"/>
        </w:rPr>
        <w:t>37.panta</w:t>
      </w:r>
      <w:proofErr w:type="gramEnd"/>
      <w:r w:rsidRPr="002B6D26">
        <w:rPr>
          <w:rFonts w:cs="Times New Roman"/>
          <w:szCs w:val="24"/>
        </w:rPr>
        <w:t xml:space="preserve"> ceturto daļu, lieta nododama jaunai izskatīšanai apgabaltiesai.</w:t>
      </w:r>
    </w:p>
    <w:p w:rsidR="0012021A" w:rsidRDefault="0012021A" w:rsidP="00984BA6">
      <w:pPr>
        <w:pStyle w:val="NoSpacing"/>
        <w:spacing w:line="276" w:lineRule="auto"/>
        <w:ind w:firstLine="567"/>
        <w:jc w:val="both"/>
        <w:rPr>
          <w:rFonts w:cs="Times New Roman"/>
          <w:szCs w:val="24"/>
        </w:rPr>
      </w:pPr>
    </w:p>
    <w:p w:rsidR="009300A9" w:rsidRDefault="009300A9" w:rsidP="00C07A5E">
      <w:pPr>
        <w:pStyle w:val="NoSpacing"/>
        <w:spacing w:line="276" w:lineRule="auto"/>
        <w:jc w:val="center"/>
        <w:rPr>
          <w:b/>
        </w:rPr>
      </w:pPr>
      <w:r w:rsidRPr="009300A9">
        <w:rPr>
          <w:b/>
        </w:rPr>
        <w:t>Rezolutīvā daļa</w:t>
      </w:r>
    </w:p>
    <w:p w:rsidR="009300A9" w:rsidRDefault="009300A9" w:rsidP="004C14DC">
      <w:pPr>
        <w:pStyle w:val="NoSpacing"/>
        <w:spacing w:line="276" w:lineRule="auto"/>
        <w:ind w:firstLine="567"/>
        <w:jc w:val="both"/>
      </w:pPr>
      <w:r w:rsidRPr="009300A9">
        <w:t>Pamatojoties uz Administratīvā procesa likuma 129.</w:t>
      </w:r>
      <w:r w:rsidRPr="00C93647">
        <w:rPr>
          <w:vertAlign w:val="superscript"/>
        </w:rPr>
        <w:t>1</w:t>
      </w:r>
      <w:r w:rsidRPr="009300A9">
        <w:t>panta pirmās daļas 1.punktu, 348.panta pirmās daļas 2.punktu un 351.pantu, Augstākā tiesa</w:t>
      </w:r>
    </w:p>
    <w:p w:rsidR="009300A9" w:rsidRDefault="009300A9" w:rsidP="00C07A5E">
      <w:pPr>
        <w:pStyle w:val="NoSpacing"/>
        <w:spacing w:line="276" w:lineRule="auto"/>
        <w:ind w:firstLine="567"/>
      </w:pPr>
    </w:p>
    <w:p w:rsidR="009300A9" w:rsidRPr="009300A9" w:rsidRDefault="009300A9" w:rsidP="00C07A5E">
      <w:pPr>
        <w:pStyle w:val="NoSpacing"/>
        <w:spacing w:line="276" w:lineRule="auto"/>
        <w:jc w:val="center"/>
        <w:rPr>
          <w:b/>
        </w:rPr>
      </w:pPr>
      <w:r w:rsidRPr="009300A9">
        <w:rPr>
          <w:b/>
        </w:rPr>
        <w:t>nosprieda</w:t>
      </w:r>
    </w:p>
    <w:p w:rsidR="009300A9" w:rsidRDefault="009300A9" w:rsidP="00C07A5E">
      <w:pPr>
        <w:pStyle w:val="NoSpacing"/>
        <w:spacing w:line="276" w:lineRule="auto"/>
        <w:ind w:firstLine="567"/>
      </w:pPr>
    </w:p>
    <w:p w:rsidR="009300A9" w:rsidRPr="009300A9" w:rsidRDefault="00EB2343" w:rsidP="00C93647">
      <w:pPr>
        <w:pStyle w:val="NoSpacing"/>
        <w:spacing w:line="276" w:lineRule="auto"/>
        <w:ind w:firstLine="567"/>
        <w:jc w:val="both"/>
      </w:pPr>
      <w:r>
        <w:t>A</w:t>
      </w:r>
      <w:r w:rsidR="00D7328E">
        <w:t>t</w:t>
      </w:r>
      <w:r w:rsidR="009300A9" w:rsidRPr="009300A9">
        <w:t xml:space="preserve">celt Administratīvās apgabaltiesas </w:t>
      </w:r>
      <w:proofErr w:type="gramStart"/>
      <w:r w:rsidR="009300A9" w:rsidRPr="009300A9">
        <w:t>201</w:t>
      </w:r>
      <w:r w:rsidR="0057063F">
        <w:t>7.gada</w:t>
      </w:r>
      <w:proofErr w:type="gramEnd"/>
      <w:r w:rsidR="0057063F">
        <w:t xml:space="preserve"> 22</w:t>
      </w:r>
      <w:r w:rsidR="009300A9" w:rsidRPr="009300A9">
        <w:t>.</w:t>
      </w:r>
      <w:r w:rsidR="0057063F">
        <w:t>februār</w:t>
      </w:r>
      <w:r w:rsidR="009300A9" w:rsidRPr="009300A9">
        <w:t xml:space="preserve">a spriedumu un nosūtīt lietu jaunai izskatīšanai </w:t>
      </w:r>
      <w:r>
        <w:t>Administratīvajai apgabaltiesai.</w:t>
      </w:r>
    </w:p>
    <w:p w:rsidR="009300A9" w:rsidRPr="009300A9" w:rsidRDefault="00EB2343" w:rsidP="00C07A5E">
      <w:pPr>
        <w:pStyle w:val="NoSpacing"/>
        <w:spacing w:line="276" w:lineRule="auto"/>
        <w:ind w:firstLine="567"/>
      </w:pPr>
      <w:r>
        <w:t>A</w:t>
      </w:r>
      <w:r w:rsidR="009300A9" w:rsidRPr="009300A9">
        <w:t xml:space="preserve">tmaksāt </w:t>
      </w:r>
      <w:proofErr w:type="gramStart"/>
      <w:r w:rsidR="00067137">
        <w:t>[</w:t>
      </w:r>
      <w:proofErr w:type="gramEnd"/>
      <w:r w:rsidR="00067137">
        <w:t>pers. A]</w:t>
      </w:r>
      <w:r w:rsidR="009300A9">
        <w:t xml:space="preserve"> drošības naudu 70 </w:t>
      </w:r>
      <w:proofErr w:type="spellStart"/>
      <w:r w:rsidR="009300A9" w:rsidRPr="009300A9">
        <w:rPr>
          <w:i/>
        </w:rPr>
        <w:t>euro</w:t>
      </w:r>
      <w:proofErr w:type="spellEnd"/>
      <w:r w:rsidR="009300A9" w:rsidRPr="009300A9">
        <w:t>.</w:t>
      </w:r>
    </w:p>
    <w:p w:rsidR="00C93647" w:rsidRPr="009300A9" w:rsidRDefault="009300A9" w:rsidP="00067137">
      <w:pPr>
        <w:pStyle w:val="NoSpacing"/>
        <w:spacing w:line="276" w:lineRule="auto"/>
        <w:ind w:firstLine="567"/>
      </w:pPr>
      <w:r w:rsidRPr="009300A9">
        <w:t>Spriedums nav pārsūdzams.</w:t>
      </w:r>
    </w:p>
    <w:sectPr w:rsidR="00C93647" w:rsidRPr="009300A9" w:rsidSect="0088213C">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90A" w:rsidRDefault="0057690A" w:rsidP="00E77F6F">
      <w:pPr>
        <w:spacing w:after="0" w:line="240" w:lineRule="auto"/>
      </w:pPr>
      <w:r>
        <w:separator/>
      </w:r>
    </w:p>
  </w:endnote>
  <w:endnote w:type="continuationSeparator" w:id="0">
    <w:p w:rsidR="0057690A" w:rsidRDefault="0057690A" w:rsidP="00E77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F6F" w:rsidRDefault="00E77F6F" w:rsidP="00E77F6F">
    <w:pPr>
      <w:pStyle w:val="Footer"/>
      <w:jc w:val="center"/>
    </w:pPr>
    <w:r>
      <w:rPr>
        <w:rStyle w:val="PageNumber"/>
      </w:rPr>
      <w:fldChar w:fldCharType="begin"/>
    </w:r>
    <w:r>
      <w:rPr>
        <w:rStyle w:val="PageNumber"/>
      </w:rPr>
      <w:instrText xml:space="preserve">PAGE  </w:instrText>
    </w:r>
    <w:r>
      <w:rPr>
        <w:rStyle w:val="PageNumber"/>
      </w:rPr>
      <w:fldChar w:fldCharType="separate"/>
    </w:r>
    <w:r w:rsidR="008F5CDE">
      <w:rPr>
        <w:rStyle w:val="PageNumber"/>
        <w:noProof/>
      </w:rPr>
      <w:t>3</w:t>
    </w:r>
    <w:r>
      <w:rPr>
        <w:rStyle w:val="PageNumber"/>
      </w:rPr>
      <w:fldChar w:fldCharType="end"/>
    </w:r>
    <w:r>
      <w:rPr>
        <w:rStyle w:val="PageNumber"/>
      </w:rPr>
      <w:t xml:space="preserve">.lapa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8F5CDE">
      <w:rPr>
        <w:rStyle w:val="PageNumber"/>
        <w:noProof/>
      </w:rPr>
      <w:t>4</w:t>
    </w:r>
    <w:r w:rsidRPr="00AB25C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90A" w:rsidRDefault="0057690A" w:rsidP="00E77F6F">
      <w:pPr>
        <w:spacing w:after="0" w:line="240" w:lineRule="auto"/>
      </w:pPr>
      <w:r>
        <w:separator/>
      </w:r>
    </w:p>
  </w:footnote>
  <w:footnote w:type="continuationSeparator" w:id="0">
    <w:p w:rsidR="0057690A" w:rsidRDefault="0057690A" w:rsidP="00E77F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A0"/>
    <w:rsid w:val="000078BC"/>
    <w:rsid w:val="000167AD"/>
    <w:rsid w:val="00016A32"/>
    <w:rsid w:val="00022CCD"/>
    <w:rsid w:val="00032D35"/>
    <w:rsid w:val="0003308A"/>
    <w:rsid w:val="000374C7"/>
    <w:rsid w:val="00045AB8"/>
    <w:rsid w:val="000465DF"/>
    <w:rsid w:val="00050310"/>
    <w:rsid w:val="0005294B"/>
    <w:rsid w:val="000532B2"/>
    <w:rsid w:val="00055316"/>
    <w:rsid w:val="00067137"/>
    <w:rsid w:val="000774EE"/>
    <w:rsid w:val="00096E07"/>
    <w:rsid w:val="000A27F6"/>
    <w:rsid w:val="000B0FE8"/>
    <w:rsid w:val="000B355B"/>
    <w:rsid w:val="000C2852"/>
    <w:rsid w:val="000D070F"/>
    <w:rsid w:val="000D4B31"/>
    <w:rsid w:val="0012021A"/>
    <w:rsid w:val="00133362"/>
    <w:rsid w:val="00136BFD"/>
    <w:rsid w:val="00147994"/>
    <w:rsid w:val="00156F9F"/>
    <w:rsid w:val="001737F0"/>
    <w:rsid w:val="001807C3"/>
    <w:rsid w:val="001877E0"/>
    <w:rsid w:val="001C4ECA"/>
    <w:rsid w:val="001C6B99"/>
    <w:rsid w:val="001D2051"/>
    <w:rsid w:val="001E1888"/>
    <w:rsid w:val="001E5965"/>
    <w:rsid w:val="001F18CA"/>
    <w:rsid w:val="001F378C"/>
    <w:rsid w:val="001F3C31"/>
    <w:rsid w:val="00230F20"/>
    <w:rsid w:val="00244F38"/>
    <w:rsid w:val="00246FAD"/>
    <w:rsid w:val="00257AD6"/>
    <w:rsid w:val="00257F93"/>
    <w:rsid w:val="0027335E"/>
    <w:rsid w:val="00283481"/>
    <w:rsid w:val="0029200F"/>
    <w:rsid w:val="002B6D26"/>
    <w:rsid w:val="002F072C"/>
    <w:rsid w:val="00301A9C"/>
    <w:rsid w:val="00314D5C"/>
    <w:rsid w:val="0031559C"/>
    <w:rsid w:val="00384610"/>
    <w:rsid w:val="00385762"/>
    <w:rsid w:val="00387C6A"/>
    <w:rsid w:val="00391461"/>
    <w:rsid w:val="003966BF"/>
    <w:rsid w:val="003A64A2"/>
    <w:rsid w:val="003B62E7"/>
    <w:rsid w:val="003C097E"/>
    <w:rsid w:val="003C46F0"/>
    <w:rsid w:val="003D1241"/>
    <w:rsid w:val="003D56F4"/>
    <w:rsid w:val="003F57E1"/>
    <w:rsid w:val="00405F76"/>
    <w:rsid w:val="00406A07"/>
    <w:rsid w:val="00440D10"/>
    <w:rsid w:val="00481DE7"/>
    <w:rsid w:val="004B1F70"/>
    <w:rsid w:val="004C14DC"/>
    <w:rsid w:val="005102AF"/>
    <w:rsid w:val="00512AEF"/>
    <w:rsid w:val="00512D4B"/>
    <w:rsid w:val="00550C49"/>
    <w:rsid w:val="00554C82"/>
    <w:rsid w:val="0056599C"/>
    <w:rsid w:val="0057063F"/>
    <w:rsid w:val="00570C64"/>
    <w:rsid w:val="0057690A"/>
    <w:rsid w:val="005A0F80"/>
    <w:rsid w:val="005A3A46"/>
    <w:rsid w:val="005B5CE8"/>
    <w:rsid w:val="005B77B5"/>
    <w:rsid w:val="005C2D6C"/>
    <w:rsid w:val="00613FE7"/>
    <w:rsid w:val="00620457"/>
    <w:rsid w:val="006209A4"/>
    <w:rsid w:val="006235C4"/>
    <w:rsid w:val="00666676"/>
    <w:rsid w:val="006706F5"/>
    <w:rsid w:val="006824ED"/>
    <w:rsid w:val="00690E11"/>
    <w:rsid w:val="006A5183"/>
    <w:rsid w:val="006C007B"/>
    <w:rsid w:val="006D0AC5"/>
    <w:rsid w:val="006D1C85"/>
    <w:rsid w:val="006D5E46"/>
    <w:rsid w:val="007212FF"/>
    <w:rsid w:val="00722F8E"/>
    <w:rsid w:val="00735E19"/>
    <w:rsid w:val="00767697"/>
    <w:rsid w:val="007B3E70"/>
    <w:rsid w:val="007C100E"/>
    <w:rsid w:val="007C29C8"/>
    <w:rsid w:val="007C7D8A"/>
    <w:rsid w:val="007D36E9"/>
    <w:rsid w:val="007D6259"/>
    <w:rsid w:val="007E4E62"/>
    <w:rsid w:val="007F40C9"/>
    <w:rsid w:val="00811606"/>
    <w:rsid w:val="00815E36"/>
    <w:rsid w:val="008220B2"/>
    <w:rsid w:val="00824E44"/>
    <w:rsid w:val="0083056F"/>
    <w:rsid w:val="008333A8"/>
    <w:rsid w:val="00833A11"/>
    <w:rsid w:val="00845EA8"/>
    <w:rsid w:val="00852C45"/>
    <w:rsid w:val="0085476F"/>
    <w:rsid w:val="00857001"/>
    <w:rsid w:val="00863FF8"/>
    <w:rsid w:val="0088213C"/>
    <w:rsid w:val="00893373"/>
    <w:rsid w:val="008A5D14"/>
    <w:rsid w:val="008D56E4"/>
    <w:rsid w:val="008F5CDE"/>
    <w:rsid w:val="008F5F65"/>
    <w:rsid w:val="009300A9"/>
    <w:rsid w:val="00944D2D"/>
    <w:rsid w:val="00984BA6"/>
    <w:rsid w:val="009865EA"/>
    <w:rsid w:val="009C70D2"/>
    <w:rsid w:val="009F1E5A"/>
    <w:rsid w:val="00A05E98"/>
    <w:rsid w:val="00A20B35"/>
    <w:rsid w:val="00A23A14"/>
    <w:rsid w:val="00A321CC"/>
    <w:rsid w:val="00A362AE"/>
    <w:rsid w:val="00A47036"/>
    <w:rsid w:val="00A60A01"/>
    <w:rsid w:val="00A75FD5"/>
    <w:rsid w:val="00A810A0"/>
    <w:rsid w:val="00A81583"/>
    <w:rsid w:val="00A85394"/>
    <w:rsid w:val="00AA37F9"/>
    <w:rsid w:val="00AC0E84"/>
    <w:rsid w:val="00AC3392"/>
    <w:rsid w:val="00AE5858"/>
    <w:rsid w:val="00AF434B"/>
    <w:rsid w:val="00AF524C"/>
    <w:rsid w:val="00B01E7C"/>
    <w:rsid w:val="00B109FA"/>
    <w:rsid w:val="00B16EB5"/>
    <w:rsid w:val="00B25317"/>
    <w:rsid w:val="00B25F5F"/>
    <w:rsid w:val="00B3035B"/>
    <w:rsid w:val="00B34109"/>
    <w:rsid w:val="00B354CA"/>
    <w:rsid w:val="00B4285A"/>
    <w:rsid w:val="00B62738"/>
    <w:rsid w:val="00B94087"/>
    <w:rsid w:val="00BA3D03"/>
    <w:rsid w:val="00BB37C9"/>
    <w:rsid w:val="00BF41F8"/>
    <w:rsid w:val="00BF75DD"/>
    <w:rsid w:val="00C07A5E"/>
    <w:rsid w:val="00C119D6"/>
    <w:rsid w:val="00C24F66"/>
    <w:rsid w:val="00C3448A"/>
    <w:rsid w:val="00C36A66"/>
    <w:rsid w:val="00C7163C"/>
    <w:rsid w:val="00C720AF"/>
    <w:rsid w:val="00C80DF8"/>
    <w:rsid w:val="00C841C1"/>
    <w:rsid w:val="00C93647"/>
    <w:rsid w:val="00C94C43"/>
    <w:rsid w:val="00CA118F"/>
    <w:rsid w:val="00CA4D97"/>
    <w:rsid w:val="00CA72CF"/>
    <w:rsid w:val="00CB23EC"/>
    <w:rsid w:val="00CB2BE8"/>
    <w:rsid w:val="00CB4393"/>
    <w:rsid w:val="00CC25FE"/>
    <w:rsid w:val="00CD0527"/>
    <w:rsid w:val="00CE75B3"/>
    <w:rsid w:val="00D06E84"/>
    <w:rsid w:val="00D23402"/>
    <w:rsid w:val="00D36D77"/>
    <w:rsid w:val="00D407FC"/>
    <w:rsid w:val="00D51C92"/>
    <w:rsid w:val="00D57772"/>
    <w:rsid w:val="00D72BA4"/>
    <w:rsid w:val="00D7328E"/>
    <w:rsid w:val="00D74A90"/>
    <w:rsid w:val="00D76F32"/>
    <w:rsid w:val="00D85359"/>
    <w:rsid w:val="00D93067"/>
    <w:rsid w:val="00DB2458"/>
    <w:rsid w:val="00DB3D32"/>
    <w:rsid w:val="00DC764A"/>
    <w:rsid w:val="00DE6C57"/>
    <w:rsid w:val="00DF0520"/>
    <w:rsid w:val="00E43195"/>
    <w:rsid w:val="00E52BE8"/>
    <w:rsid w:val="00E77F6F"/>
    <w:rsid w:val="00E82870"/>
    <w:rsid w:val="00E836D1"/>
    <w:rsid w:val="00EA183F"/>
    <w:rsid w:val="00EA401A"/>
    <w:rsid w:val="00EA4A9E"/>
    <w:rsid w:val="00EA4DEE"/>
    <w:rsid w:val="00EB2343"/>
    <w:rsid w:val="00F52BA4"/>
    <w:rsid w:val="00F80141"/>
    <w:rsid w:val="00F8104D"/>
    <w:rsid w:val="00F81657"/>
    <w:rsid w:val="00F81D01"/>
    <w:rsid w:val="00F84B8D"/>
    <w:rsid w:val="00F90D48"/>
    <w:rsid w:val="00F97ADB"/>
    <w:rsid w:val="00FA2786"/>
    <w:rsid w:val="00FA4214"/>
    <w:rsid w:val="00FA54FC"/>
    <w:rsid w:val="00FA586A"/>
    <w:rsid w:val="00FA7762"/>
    <w:rsid w:val="00FC6357"/>
    <w:rsid w:val="00FC70A5"/>
    <w:rsid w:val="00FD1F94"/>
    <w:rsid w:val="00FE6601"/>
    <w:rsid w:val="00FF4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C216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4C7"/>
    <w:rPr>
      <w:color w:val="0563C1" w:themeColor="hyperlink"/>
      <w:u w:val="single"/>
    </w:rPr>
  </w:style>
  <w:style w:type="paragraph" w:styleId="NoSpacing">
    <w:name w:val="No Spacing"/>
    <w:uiPriority w:val="1"/>
    <w:qFormat/>
    <w:rsid w:val="00B25F5F"/>
    <w:pPr>
      <w:spacing w:after="0" w:line="240" w:lineRule="auto"/>
    </w:pPr>
  </w:style>
  <w:style w:type="paragraph" w:styleId="Header">
    <w:name w:val="header"/>
    <w:basedOn w:val="Normal"/>
    <w:link w:val="HeaderChar"/>
    <w:unhideWhenUsed/>
    <w:rsid w:val="00E77F6F"/>
    <w:pPr>
      <w:tabs>
        <w:tab w:val="center" w:pos="4153"/>
        <w:tab w:val="right" w:pos="8306"/>
      </w:tabs>
      <w:spacing w:after="0" w:line="240" w:lineRule="auto"/>
    </w:pPr>
  </w:style>
  <w:style w:type="character" w:customStyle="1" w:styleId="HeaderChar">
    <w:name w:val="Header Char"/>
    <w:basedOn w:val="DefaultParagraphFont"/>
    <w:link w:val="Header"/>
    <w:rsid w:val="00E77F6F"/>
  </w:style>
  <w:style w:type="paragraph" w:styleId="Footer">
    <w:name w:val="footer"/>
    <w:basedOn w:val="Normal"/>
    <w:link w:val="FooterChar"/>
    <w:unhideWhenUsed/>
    <w:rsid w:val="00E77F6F"/>
    <w:pPr>
      <w:tabs>
        <w:tab w:val="center" w:pos="4153"/>
        <w:tab w:val="right" w:pos="8306"/>
      </w:tabs>
      <w:spacing w:after="0" w:line="240" w:lineRule="auto"/>
    </w:pPr>
  </w:style>
  <w:style w:type="character" w:customStyle="1" w:styleId="FooterChar">
    <w:name w:val="Footer Char"/>
    <w:basedOn w:val="DefaultParagraphFont"/>
    <w:link w:val="Footer"/>
    <w:rsid w:val="00E77F6F"/>
  </w:style>
  <w:style w:type="character" w:styleId="PageNumber">
    <w:name w:val="page number"/>
    <w:basedOn w:val="DefaultParagraphFont"/>
    <w:rsid w:val="00E77F6F"/>
  </w:style>
  <w:style w:type="paragraph" w:styleId="BalloonText">
    <w:name w:val="Balloon Text"/>
    <w:basedOn w:val="Normal"/>
    <w:link w:val="BalloonTextChar"/>
    <w:uiPriority w:val="99"/>
    <w:semiHidden/>
    <w:unhideWhenUsed/>
    <w:rsid w:val="00CA1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18F"/>
    <w:rPr>
      <w:rFonts w:ascii="Segoe UI" w:hAnsi="Segoe UI" w:cs="Segoe UI"/>
      <w:sz w:val="18"/>
      <w:szCs w:val="18"/>
    </w:rPr>
  </w:style>
  <w:style w:type="paragraph" w:customStyle="1" w:styleId="Char">
    <w:name w:val="Char"/>
    <w:basedOn w:val="Normal"/>
    <w:rsid w:val="0056599C"/>
    <w:pPr>
      <w:spacing w:line="240" w:lineRule="exact"/>
    </w:pPr>
    <w:rPr>
      <w:rFonts w:ascii="Tahoma" w:eastAsia="Times New Roman" w:hAnsi="Tahoma" w:cs="Times New Roman"/>
      <w:sz w:val="20"/>
      <w:szCs w:val="20"/>
      <w:lang w:val="en-US"/>
    </w:rPr>
  </w:style>
  <w:style w:type="paragraph" w:styleId="NormalWeb">
    <w:name w:val="Normal (Web)"/>
    <w:basedOn w:val="Normal"/>
    <w:uiPriority w:val="99"/>
    <w:semiHidden/>
    <w:unhideWhenUsed/>
    <w:rsid w:val="00C93647"/>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7884</Words>
  <Characters>4495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2018-05-11T08:54:00Z</dcterms:created>
  <dcterms:modified xsi:type="dcterms:W3CDTF">2018-07-05T12:28:00Z</dcterms:modified>
</cp:coreProperties>
</file>