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8191D" w14:textId="77777777" w:rsidR="00243561" w:rsidRDefault="00243561" w:rsidP="00243561">
      <w:pPr>
        <w:spacing w:line="276" w:lineRule="auto"/>
        <w:jc w:val="both"/>
        <w:rPr>
          <w:b/>
        </w:rPr>
      </w:pPr>
      <w:r>
        <w:rPr>
          <w:b/>
        </w:rPr>
        <w:t>Tirgus cenas principa piemērošana savstarpēji saistītiem uzņēmumiem</w:t>
      </w:r>
    </w:p>
    <w:p w14:paraId="7B684DD1" w14:textId="77777777" w:rsidR="00243561" w:rsidRDefault="00243561" w:rsidP="00243561">
      <w:pPr>
        <w:spacing w:line="276" w:lineRule="auto"/>
        <w:jc w:val="both"/>
      </w:pPr>
      <w:r>
        <w:t xml:space="preserve">Tirgus cenas princips, kas izriet no likuma „Par uzņēmumu ienākuma nodokli” </w:t>
      </w:r>
      <w:proofErr w:type="gramStart"/>
      <w:r>
        <w:t>12.panta</w:t>
      </w:r>
      <w:proofErr w:type="gramEnd"/>
      <w:r>
        <w:t xml:space="preserve"> otrās daļas 2. punkta, ir nosacījums, ka saistīto uzņēmumu savstarpējiem darījumiem ir jāpiemēro tirgus cenas jeb cenas, kādas, veicot šādus darījumus, piemērotu savstarpēji nesaistīti uzņēmumi. Ja tirgus cena starp saistītiem uzņēmumiem netiek piemērota un prece vai pakalpojums tiek pārdots par cenu, kas ir zemāka par tirgus cenu, tad uzņēmumu ienākuma nodokļa vajadzībām apliekamais ienākums ir jāpārskata un tas jāpalielina par šo starpības daļu.</w:t>
      </w:r>
    </w:p>
    <w:p w14:paraId="6B7E346C" w14:textId="77777777" w:rsidR="00243561" w:rsidRDefault="00243561" w:rsidP="00243561">
      <w:pPr>
        <w:spacing w:line="276" w:lineRule="auto"/>
        <w:jc w:val="both"/>
      </w:pPr>
    </w:p>
    <w:p w14:paraId="63AE09D8" w14:textId="77777777" w:rsidR="00243561" w:rsidRPr="00E460DA" w:rsidRDefault="00243561" w:rsidP="00243561">
      <w:pPr>
        <w:spacing w:line="276" w:lineRule="auto"/>
        <w:jc w:val="both"/>
        <w:rPr>
          <w:b/>
          <w:bCs/>
        </w:rPr>
      </w:pPr>
      <w:r w:rsidRPr="00E460DA">
        <w:rPr>
          <w:b/>
          <w:bCs/>
        </w:rPr>
        <w:t>Ekonomiskās sadarbības un attīstības organizācijas vadlīniju izmantošana</w:t>
      </w:r>
    </w:p>
    <w:p w14:paraId="26BC91FD" w14:textId="77777777" w:rsidR="00243561" w:rsidRPr="00E460DA" w:rsidRDefault="00243561" w:rsidP="00243561">
      <w:pPr>
        <w:spacing w:line="276" w:lineRule="auto"/>
        <w:jc w:val="both"/>
      </w:pPr>
      <w:r w:rsidRPr="00E460DA">
        <w:t>Likumdevējs ir akceptējis, ka Ekonomiskās sadarbības un attīstības organizācijas „Transferta cenu noteikšanas vadlīnijas daudznacionālajiem komersantiem un nodokļu administrācijām”, kas apkopo Ekonomiskās sadarbības un attīstības organizācijas dalībvalstu labo praksi transferta cenu noteikšanā, papildina normatīvajos aktos sniegto tirgus cenas noteikšanas metožu skaidrojumu un sniedz norādes, kas palīdz pēc iespējas precīzāk aprēķināt tirgus cenu. Līdz ar to, piemērojot tirgus cenas noteikšanas metodes, pēc iespējas jāņem vērā un jāizmanto minētajās vadlīnijās norādītais.</w:t>
      </w:r>
    </w:p>
    <w:p w14:paraId="2B396DAE" w14:textId="77777777" w:rsidR="00243561" w:rsidRPr="00E460DA" w:rsidRDefault="00243561" w:rsidP="00243561">
      <w:pPr>
        <w:spacing w:line="276" w:lineRule="auto"/>
        <w:jc w:val="both"/>
      </w:pPr>
    </w:p>
    <w:p w14:paraId="55316CB9" w14:textId="77777777" w:rsidR="00243561" w:rsidRDefault="00243561" w:rsidP="00243561">
      <w:pPr>
        <w:spacing w:line="276" w:lineRule="auto"/>
        <w:jc w:val="both"/>
        <w:rPr>
          <w:b/>
        </w:rPr>
      </w:pPr>
      <w:r>
        <w:rPr>
          <w:b/>
        </w:rPr>
        <w:t>Sniegtā pakalpojuma būtības noskaidrošana kā priekšnosacījums izmaksu pieskaitīšanas metodes piemērošanai</w:t>
      </w:r>
      <w:bookmarkStart w:id="0" w:name="_GoBack"/>
      <w:bookmarkEnd w:id="0"/>
    </w:p>
    <w:p w14:paraId="6424DE1B" w14:textId="77777777" w:rsidR="00243561" w:rsidRDefault="00243561" w:rsidP="00243561">
      <w:pPr>
        <w:spacing w:line="276" w:lineRule="auto"/>
        <w:jc w:val="both"/>
      </w:pPr>
      <w:r>
        <w:t>1. Izmaksu pieskaitīšanas metodes būtība ir tirgus situācijai atbilstoša peļņas uzcenojuma piemērošana izmaksām, kādas pakalpojuma sniedzējam radušās sakarā ar pakalpojuma sniegšanu. Tas nozīmē, ka, piemērojot šo metodi, būtiski ir noskaidrot, kāda ir sniegto pakalpojumu būtība, proti, kādas tieši ir pakalpojuma sniedzēja uzņemtās saistības un ar pakalpojumu sniegšanu saistītās funkcijas. Tikai pienācīgi noskaidrojot šos apstākļus, var izdarīt konstatējumu par to, kas ir tās izmaksas, kurām atbilstoši izmaksu pieskaitīšanas metodei jāpiemēro uzcenojums.</w:t>
      </w:r>
    </w:p>
    <w:p w14:paraId="52B49F0C" w14:textId="75699709" w:rsidR="00C3487C" w:rsidRDefault="00243561" w:rsidP="00243561">
      <w:pPr>
        <w:spacing w:line="276" w:lineRule="auto"/>
        <w:jc w:val="both"/>
      </w:pPr>
      <w:r>
        <w:t>2. Piemērojot izmaksu pieskaitīšanas metodi tādiem saistīto uzņēmumu starpā notikušiem darījumiem, kuru apstākļi liecina par starpniecību, ir īpaši būtiski noskaidrot, kāda ir sniegto pakalpojumu būtība (saistīto uzņēmumu starpā noslēgtā darījuma priekšmets, saistītā uzņēmuma – pakalpojuma sniedzēja uzņemtās saistības un ar pakalpojumu sniegšanu saistītās funkcijas), lai varētu izdarīt pamatotu secinājumu par to, vai saistītais uzņēmums pakalpojumu piegādē tiešām ir bijis iesaistīts tikai kā starpnieks.</w:t>
      </w:r>
    </w:p>
    <w:p w14:paraId="0B4DD97A" w14:textId="77777777" w:rsidR="00AD5F63" w:rsidRPr="00677B3D" w:rsidRDefault="00AD5F63" w:rsidP="00C3487C">
      <w:pPr>
        <w:spacing w:line="276" w:lineRule="auto"/>
        <w:jc w:val="right"/>
      </w:pPr>
    </w:p>
    <w:p w14:paraId="76467050" w14:textId="25A7FD18" w:rsidR="00C3487C" w:rsidRDefault="00C3487C" w:rsidP="00C3487C">
      <w:pPr>
        <w:spacing w:line="276" w:lineRule="auto"/>
        <w:jc w:val="center"/>
        <w:rPr>
          <w:b/>
        </w:rPr>
      </w:pPr>
      <w:r w:rsidRPr="00677B3D">
        <w:rPr>
          <w:b/>
        </w:rPr>
        <w:t>Latvijas Republikas Augstākā</w:t>
      </w:r>
      <w:r w:rsidR="00AD5F63">
        <w:rPr>
          <w:b/>
        </w:rPr>
        <w:t>s</w:t>
      </w:r>
      <w:r w:rsidRPr="00677B3D">
        <w:rPr>
          <w:b/>
        </w:rPr>
        <w:t xml:space="preserve"> tiesa</w:t>
      </w:r>
      <w:r w:rsidR="00AD5F63">
        <w:rPr>
          <w:b/>
        </w:rPr>
        <w:t>s</w:t>
      </w:r>
    </w:p>
    <w:p w14:paraId="38A550FE" w14:textId="7CC0120B" w:rsidR="00AD5F63" w:rsidRDefault="00AD5F63" w:rsidP="00C3487C">
      <w:pPr>
        <w:spacing w:line="276" w:lineRule="auto"/>
        <w:jc w:val="center"/>
        <w:rPr>
          <w:b/>
        </w:rPr>
      </w:pPr>
      <w:r>
        <w:rPr>
          <w:b/>
        </w:rPr>
        <w:t>Administratīvo lietu departamenta</w:t>
      </w:r>
    </w:p>
    <w:p w14:paraId="6F812F4C" w14:textId="69B1F945" w:rsidR="00AD5F63" w:rsidRPr="00677B3D" w:rsidRDefault="00AD5F63" w:rsidP="00C3487C">
      <w:pPr>
        <w:spacing w:line="276" w:lineRule="auto"/>
        <w:jc w:val="center"/>
        <w:rPr>
          <w:b/>
        </w:rPr>
      </w:pPr>
      <w:proofErr w:type="gramStart"/>
      <w:r>
        <w:rPr>
          <w:b/>
        </w:rPr>
        <w:t>2018.gada</w:t>
      </w:r>
      <w:proofErr w:type="gramEnd"/>
      <w:r>
        <w:rPr>
          <w:b/>
        </w:rPr>
        <w:t xml:space="preserve"> 20.februāra</w:t>
      </w:r>
    </w:p>
    <w:p w14:paraId="074FAEEB" w14:textId="1E36C666" w:rsidR="00C3487C" w:rsidRDefault="00C3487C" w:rsidP="00C3487C">
      <w:pPr>
        <w:spacing w:line="276" w:lineRule="auto"/>
        <w:jc w:val="center"/>
        <w:rPr>
          <w:b/>
        </w:rPr>
      </w:pPr>
      <w:r w:rsidRPr="00677B3D">
        <w:rPr>
          <w:b/>
        </w:rPr>
        <w:t xml:space="preserve">SPRIEDUMS </w:t>
      </w:r>
    </w:p>
    <w:p w14:paraId="3665F4B9" w14:textId="7DED476D" w:rsidR="00AD5F63" w:rsidRDefault="00AD5F63" w:rsidP="00C3487C">
      <w:pPr>
        <w:spacing w:line="276" w:lineRule="auto"/>
        <w:jc w:val="center"/>
        <w:rPr>
          <w:b/>
        </w:rPr>
      </w:pPr>
      <w:r>
        <w:rPr>
          <w:b/>
        </w:rPr>
        <w:t>Lieta Nr. A420465411, SKA-17/2018</w:t>
      </w:r>
    </w:p>
    <w:p w14:paraId="12DA2CDE" w14:textId="49D80995" w:rsidR="00AD5F63" w:rsidRPr="00AD5F63" w:rsidRDefault="00AD5F63" w:rsidP="00C3487C">
      <w:pPr>
        <w:spacing w:line="276" w:lineRule="auto"/>
        <w:jc w:val="center"/>
        <w:rPr>
          <w:b/>
          <w:u w:val="single"/>
        </w:rPr>
      </w:pPr>
      <w:r w:rsidRPr="00AD5F63">
        <w:rPr>
          <w:u w:val="single"/>
        </w:rPr>
        <w:t>ECLI:LV:AT:2018:0220.A420465411.2.S</w:t>
      </w:r>
    </w:p>
    <w:p w14:paraId="7A1AC4BA" w14:textId="77777777" w:rsidR="00C3487C" w:rsidRPr="00677B3D" w:rsidRDefault="00C3487C" w:rsidP="00C3487C">
      <w:pPr>
        <w:spacing w:line="276" w:lineRule="auto"/>
        <w:jc w:val="center"/>
      </w:pPr>
    </w:p>
    <w:p w14:paraId="6FFA0C47" w14:textId="77777777" w:rsidR="00C3487C" w:rsidRPr="00677B3D" w:rsidRDefault="00C3487C" w:rsidP="00C3487C">
      <w:pPr>
        <w:spacing w:line="276" w:lineRule="auto"/>
        <w:ind w:firstLine="567"/>
        <w:jc w:val="both"/>
      </w:pPr>
      <w:r w:rsidRPr="00677B3D">
        <w:t>Augstākā tiesa šādā sastāvā:</w:t>
      </w:r>
    </w:p>
    <w:p w14:paraId="66B5F19B" w14:textId="77777777" w:rsidR="00C3487C" w:rsidRPr="00677B3D" w:rsidRDefault="00C3487C" w:rsidP="00C3487C">
      <w:pPr>
        <w:tabs>
          <w:tab w:val="left" w:pos="540"/>
          <w:tab w:val="left" w:pos="3240"/>
        </w:tabs>
        <w:spacing w:line="276" w:lineRule="auto"/>
        <w:ind w:firstLine="1134"/>
        <w:jc w:val="both"/>
      </w:pPr>
      <w:r w:rsidRPr="00677B3D">
        <w:t>tiesnese Ieva Višķere,</w:t>
      </w:r>
    </w:p>
    <w:p w14:paraId="6D02C436" w14:textId="77777777" w:rsidR="00C3487C" w:rsidRPr="00677B3D" w:rsidRDefault="00C3487C" w:rsidP="00C3487C">
      <w:pPr>
        <w:tabs>
          <w:tab w:val="left" w:pos="3240"/>
        </w:tabs>
        <w:spacing w:line="276" w:lineRule="auto"/>
        <w:ind w:firstLine="1134"/>
        <w:jc w:val="both"/>
      </w:pPr>
      <w:r w:rsidRPr="00677B3D">
        <w:t xml:space="preserve">tiesnese Veronika Krūmiņa, </w:t>
      </w:r>
    </w:p>
    <w:p w14:paraId="1E2E43F4" w14:textId="77777777" w:rsidR="00C3487C" w:rsidRPr="00677B3D" w:rsidRDefault="00C3487C" w:rsidP="00C3487C">
      <w:pPr>
        <w:tabs>
          <w:tab w:val="left" w:pos="3240"/>
        </w:tabs>
        <w:spacing w:line="276" w:lineRule="auto"/>
        <w:ind w:firstLine="1134"/>
        <w:jc w:val="both"/>
      </w:pPr>
      <w:r w:rsidRPr="00677B3D">
        <w:t>tiesnese Līvija Slica</w:t>
      </w:r>
    </w:p>
    <w:p w14:paraId="6FF1B6B0" w14:textId="77777777" w:rsidR="00C3487C" w:rsidRPr="00677B3D" w:rsidRDefault="00C3487C" w:rsidP="00C3487C">
      <w:pPr>
        <w:spacing w:line="276" w:lineRule="auto"/>
        <w:ind w:firstLine="567"/>
        <w:jc w:val="both"/>
      </w:pPr>
    </w:p>
    <w:p w14:paraId="26FA6FFB" w14:textId="77777777" w:rsidR="00C3487C" w:rsidRPr="00677B3D" w:rsidRDefault="00C3487C" w:rsidP="00C3487C">
      <w:pPr>
        <w:spacing w:line="276" w:lineRule="auto"/>
        <w:ind w:firstLine="567"/>
        <w:jc w:val="both"/>
      </w:pPr>
      <w:r w:rsidRPr="00677B3D">
        <w:lastRenderedPageBreak/>
        <w:t xml:space="preserve">rakstveida procesā izskatīja administratīvo lietu, kas ierosināta, pamatojoties uz </w:t>
      </w:r>
      <w:r w:rsidR="00F8038A" w:rsidRPr="00677B3D">
        <w:t>SIA</w:t>
      </w:r>
      <w:r w:rsidRPr="00677B3D">
        <w:t> „</w:t>
      </w:r>
      <w:r w:rsidR="00F8038A" w:rsidRPr="00677B3D">
        <w:t xml:space="preserve">Samsung </w:t>
      </w:r>
      <w:proofErr w:type="spellStart"/>
      <w:r w:rsidR="00F8038A" w:rsidRPr="00677B3D">
        <w:t>Electronics</w:t>
      </w:r>
      <w:proofErr w:type="spellEnd"/>
      <w:r w:rsidR="00F8038A" w:rsidRPr="00677B3D">
        <w:t xml:space="preserve"> </w:t>
      </w:r>
      <w:proofErr w:type="spellStart"/>
      <w:r w:rsidR="00F8038A" w:rsidRPr="00677B3D">
        <w:t>Baltic</w:t>
      </w:r>
      <w:proofErr w:type="spellEnd"/>
      <w:r w:rsidR="00F8038A" w:rsidRPr="00677B3D">
        <w:t>”</w:t>
      </w:r>
      <w:r w:rsidRPr="00677B3D">
        <w:t xml:space="preserve"> pieteikumu par Valsts ieņēmumu dienesta </w:t>
      </w:r>
      <w:proofErr w:type="gramStart"/>
      <w:r w:rsidRPr="00677B3D">
        <w:t>201</w:t>
      </w:r>
      <w:r w:rsidR="00F8038A" w:rsidRPr="00677B3D">
        <w:t>1</w:t>
      </w:r>
      <w:r w:rsidRPr="00677B3D">
        <w:t>.gada</w:t>
      </w:r>
      <w:proofErr w:type="gramEnd"/>
      <w:r w:rsidRPr="00677B3D">
        <w:t xml:space="preserve"> </w:t>
      </w:r>
      <w:r w:rsidR="00F8038A" w:rsidRPr="00677B3D">
        <w:t xml:space="preserve">15.februāra lēmuma </w:t>
      </w:r>
      <w:r w:rsidRPr="00677B3D">
        <w:t>Nr. 22.4.</w:t>
      </w:r>
      <w:r w:rsidR="00F8038A" w:rsidRPr="00677B3D">
        <w:t>6/10167</w:t>
      </w:r>
      <w:r w:rsidRPr="00677B3D">
        <w:t xml:space="preserve"> atcelšanu, sakarā ar </w:t>
      </w:r>
      <w:r w:rsidR="00F8038A" w:rsidRPr="00677B3D">
        <w:t xml:space="preserve">SIA „Samsung </w:t>
      </w:r>
      <w:proofErr w:type="spellStart"/>
      <w:r w:rsidR="00F8038A" w:rsidRPr="00677B3D">
        <w:t>Electronics</w:t>
      </w:r>
      <w:proofErr w:type="spellEnd"/>
      <w:r w:rsidR="00F8038A" w:rsidRPr="00677B3D">
        <w:t xml:space="preserve"> </w:t>
      </w:r>
      <w:proofErr w:type="spellStart"/>
      <w:r w:rsidR="00F8038A" w:rsidRPr="00677B3D">
        <w:t>Baltic</w:t>
      </w:r>
      <w:proofErr w:type="spellEnd"/>
      <w:r w:rsidR="00F8038A" w:rsidRPr="00677B3D">
        <w:t>”</w:t>
      </w:r>
      <w:r w:rsidRPr="00677B3D">
        <w:t xml:space="preserve"> un Valsts ieņēmumu dienesta kasācijas sūdzībām par Administratīvās apgabaltiesas 2015.gada 2.</w:t>
      </w:r>
      <w:r w:rsidR="00F8038A" w:rsidRPr="00677B3D">
        <w:t>aprīļa spriedumu</w:t>
      </w:r>
      <w:r w:rsidRPr="00677B3D">
        <w:t xml:space="preserve">. </w:t>
      </w:r>
    </w:p>
    <w:p w14:paraId="70A6B557" w14:textId="77777777" w:rsidR="00C3487C" w:rsidRPr="00677B3D" w:rsidRDefault="00C3487C" w:rsidP="00C3487C">
      <w:pPr>
        <w:spacing w:line="276" w:lineRule="auto"/>
        <w:ind w:firstLine="567"/>
        <w:jc w:val="both"/>
      </w:pPr>
    </w:p>
    <w:p w14:paraId="4687BD8C" w14:textId="77777777" w:rsidR="00C3487C" w:rsidRPr="00677B3D" w:rsidRDefault="00C3487C" w:rsidP="00C3487C">
      <w:pPr>
        <w:pStyle w:val="ATvirsraksts"/>
      </w:pPr>
      <w:r w:rsidRPr="00677B3D">
        <w:t>Aprakstošā daļa</w:t>
      </w:r>
    </w:p>
    <w:p w14:paraId="607F6FE9" w14:textId="77777777" w:rsidR="00C3487C" w:rsidRPr="00677B3D" w:rsidRDefault="00C3487C" w:rsidP="00C3487C">
      <w:pPr>
        <w:spacing w:line="276" w:lineRule="auto"/>
        <w:ind w:firstLine="567"/>
        <w:jc w:val="both"/>
      </w:pPr>
    </w:p>
    <w:p w14:paraId="13F52580" w14:textId="55812118" w:rsidR="00717A07" w:rsidRPr="00677B3D" w:rsidRDefault="00C3487C" w:rsidP="00C3487C">
      <w:pPr>
        <w:spacing w:line="276" w:lineRule="auto"/>
        <w:ind w:firstLine="567"/>
        <w:jc w:val="both"/>
      </w:pPr>
      <w:r w:rsidRPr="00677B3D">
        <w:t>[1] </w:t>
      </w:r>
      <w:r w:rsidR="00E1363E" w:rsidRPr="00677B3D">
        <w:t xml:space="preserve">Pieteicēja SIA „Samsung </w:t>
      </w:r>
      <w:proofErr w:type="spellStart"/>
      <w:r w:rsidR="00E1363E" w:rsidRPr="00677B3D">
        <w:t>Electronics</w:t>
      </w:r>
      <w:proofErr w:type="spellEnd"/>
      <w:r w:rsidR="00E1363E" w:rsidRPr="00677B3D">
        <w:t xml:space="preserve"> </w:t>
      </w:r>
      <w:proofErr w:type="spellStart"/>
      <w:r w:rsidR="00E1363E" w:rsidRPr="00677B3D">
        <w:t>Baltic</w:t>
      </w:r>
      <w:proofErr w:type="spellEnd"/>
      <w:r w:rsidR="00E1363E" w:rsidRPr="00677B3D">
        <w:t>” ir Korej</w:t>
      </w:r>
      <w:r w:rsidR="00717A07" w:rsidRPr="00677B3D">
        <w:t>ā reģistrētās korporācijas</w:t>
      </w:r>
      <w:r w:rsidR="00E1363E" w:rsidRPr="00677B3D">
        <w:t xml:space="preserve"> „Samsung </w:t>
      </w:r>
      <w:proofErr w:type="spellStart"/>
      <w:r w:rsidR="00E1363E" w:rsidRPr="00677B3D">
        <w:t>Electronics</w:t>
      </w:r>
      <w:proofErr w:type="spellEnd"/>
      <w:r w:rsidR="00E1363E" w:rsidRPr="00677B3D">
        <w:t xml:space="preserve"> Co. </w:t>
      </w:r>
      <w:proofErr w:type="spellStart"/>
      <w:r w:rsidR="00E1363E" w:rsidRPr="00677B3D">
        <w:t>Ltd</w:t>
      </w:r>
      <w:proofErr w:type="spellEnd"/>
      <w:r w:rsidR="00E1363E" w:rsidRPr="00677B3D">
        <w:t xml:space="preserve">” (turpmāk – Ražotājs) meitas uzņēmums, kas nodibināts </w:t>
      </w:r>
      <w:proofErr w:type="gramStart"/>
      <w:r w:rsidR="00E1363E" w:rsidRPr="00677B3D">
        <w:t>2007.gada</w:t>
      </w:r>
      <w:proofErr w:type="gramEnd"/>
      <w:r w:rsidR="00E1363E" w:rsidRPr="00677B3D">
        <w:t xml:space="preserve"> nogalē. </w:t>
      </w:r>
    </w:p>
    <w:p w14:paraId="3EAC4989" w14:textId="77777777" w:rsidR="00237D3E" w:rsidRPr="00677B3D" w:rsidRDefault="00237D3E" w:rsidP="00C3487C">
      <w:pPr>
        <w:spacing w:line="276" w:lineRule="auto"/>
        <w:ind w:firstLine="567"/>
        <w:jc w:val="both"/>
      </w:pPr>
    </w:p>
    <w:p w14:paraId="728DE2C9" w14:textId="77777777" w:rsidR="00E1363E" w:rsidRPr="00677B3D" w:rsidRDefault="00237D3E" w:rsidP="00C3487C">
      <w:pPr>
        <w:spacing w:line="276" w:lineRule="auto"/>
        <w:ind w:firstLine="567"/>
        <w:jc w:val="both"/>
      </w:pPr>
      <w:r w:rsidRPr="00677B3D">
        <w:t xml:space="preserve">[2] </w:t>
      </w:r>
      <w:proofErr w:type="gramStart"/>
      <w:r w:rsidR="00E1363E" w:rsidRPr="00677B3D">
        <w:t>2008.gada</w:t>
      </w:r>
      <w:proofErr w:type="gramEnd"/>
      <w:r w:rsidR="00E1363E" w:rsidRPr="00677B3D">
        <w:t xml:space="preserve"> 1.janvārī starp pieteicēju un </w:t>
      </w:r>
      <w:r w:rsidR="00C22D4D" w:rsidRPr="00677B3D">
        <w:t>Ražotāju</w:t>
      </w:r>
      <w:r w:rsidR="00E1363E" w:rsidRPr="00677B3D">
        <w:t xml:space="preserve"> </w:t>
      </w:r>
      <w:r w:rsidR="00717A07" w:rsidRPr="00677B3D">
        <w:t xml:space="preserve">tika </w:t>
      </w:r>
      <w:r w:rsidR="00E1363E" w:rsidRPr="00677B3D">
        <w:t>noslēgts Izplatīšanas līgums</w:t>
      </w:r>
      <w:r w:rsidR="00717A07" w:rsidRPr="00677B3D">
        <w:t xml:space="preserve"> Nr.</w:t>
      </w:r>
      <w:r w:rsidR="003F60AB" w:rsidRPr="00677B3D">
        <w:t> </w:t>
      </w:r>
      <w:r w:rsidR="00717A07" w:rsidRPr="00677B3D">
        <w:t>GA2008/60</w:t>
      </w:r>
      <w:r w:rsidR="00E1363E" w:rsidRPr="00677B3D">
        <w:t>, saskaņā ar kuru pieteicēja iecelta par Ražotāja un tā meitas uzņēmumu ražoto preču izplatītāju Baltijas valstīs</w:t>
      </w:r>
      <w:r w:rsidR="000F4DC2" w:rsidRPr="00677B3D">
        <w:t xml:space="preserve"> (turpmāk – Izplatīšanas līgums)</w:t>
      </w:r>
      <w:r w:rsidR="00E1363E" w:rsidRPr="00677B3D">
        <w:t>.</w:t>
      </w:r>
      <w:r w:rsidR="00717A07" w:rsidRPr="00677B3D">
        <w:t xml:space="preserve"> </w:t>
      </w:r>
      <w:r w:rsidR="008E34E3" w:rsidRPr="00677B3D">
        <w:t xml:space="preserve">Secīgi </w:t>
      </w:r>
      <w:r w:rsidR="00717A07" w:rsidRPr="00677B3D">
        <w:t xml:space="preserve">pieteicēja 2008. un </w:t>
      </w:r>
      <w:proofErr w:type="gramStart"/>
      <w:r w:rsidR="00717A07" w:rsidRPr="00677B3D">
        <w:t>2009.gadā</w:t>
      </w:r>
      <w:proofErr w:type="gramEnd"/>
      <w:r w:rsidR="00717A07" w:rsidRPr="00677B3D">
        <w:t xml:space="preserve"> veica saimniecisko darbību</w:t>
      </w:r>
      <w:r w:rsidR="00952EF8" w:rsidRPr="00677B3D">
        <w:t>,</w:t>
      </w:r>
      <w:r w:rsidR="00717A07" w:rsidRPr="00677B3D">
        <w:t xml:space="preserve"> Latvijas, Lietuvas un Igaunijas teritorijā izplatot saskaņā ar Izplatīšanas līgumu no Ražotāja saņemtās preces. </w:t>
      </w:r>
      <w:r w:rsidR="006F3E46" w:rsidRPr="00677B3D">
        <w:t>Tāpat pieteicēja arī nodrošināja savu pārdoto preču garantijas apkalpošanu, šim nolūkam piesaistot pakalpojumu sniedzējus</w:t>
      </w:r>
      <w:r w:rsidR="00B87648" w:rsidRPr="00677B3D">
        <w:t xml:space="preserve"> – komersantus, </w:t>
      </w:r>
      <w:r w:rsidR="006F3E46" w:rsidRPr="00677B3D">
        <w:t>kas veica preču remontu</w:t>
      </w:r>
      <w:r w:rsidRPr="00677B3D">
        <w:t>s</w:t>
      </w:r>
      <w:r w:rsidR="00D03707" w:rsidRPr="00677B3D">
        <w:t xml:space="preserve"> (turpmāk – Remonta </w:t>
      </w:r>
      <w:r w:rsidR="00B87648" w:rsidRPr="00677B3D">
        <w:t>servisi</w:t>
      </w:r>
      <w:r w:rsidR="00D03707" w:rsidRPr="00677B3D">
        <w:t>)</w:t>
      </w:r>
      <w:r w:rsidR="006F3E46" w:rsidRPr="00677B3D">
        <w:t>.</w:t>
      </w:r>
    </w:p>
    <w:p w14:paraId="484226F0" w14:textId="55DF7939" w:rsidR="008E34E3" w:rsidRPr="00677B3D" w:rsidRDefault="006F3E46" w:rsidP="008E34E3">
      <w:pPr>
        <w:spacing w:line="276" w:lineRule="auto"/>
        <w:ind w:firstLine="567"/>
        <w:jc w:val="both"/>
      </w:pPr>
      <w:r w:rsidRPr="00677B3D">
        <w:t xml:space="preserve">Savukārt </w:t>
      </w:r>
      <w:proofErr w:type="gramStart"/>
      <w:r w:rsidRPr="00677B3D">
        <w:t>2008.gada</w:t>
      </w:r>
      <w:proofErr w:type="gramEnd"/>
      <w:r w:rsidRPr="00677B3D">
        <w:t xml:space="preserve"> 2.janvārī pieteicēja noslēdza </w:t>
      </w:r>
      <w:r w:rsidR="00EA016D" w:rsidRPr="00677B3D">
        <w:t xml:space="preserve">garantijas saistību pārņemšanas </w:t>
      </w:r>
      <w:r w:rsidRPr="00677B3D">
        <w:t xml:space="preserve">līgumu </w:t>
      </w:r>
      <w:r w:rsidR="006A0F09" w:rsidRPr="00677B3D">
        <w:t>Nr.</w:t>
      </w:r>
      <w:r w:rsidR="003F60AB" w:rsidRPr="00677B3D">
        <w:t> </w:t>
      </w:r>
      <w:r w:rsidR="006A0F09" w:rsidRPr="00677B3D">
        <w:t xml:space="preserve">GA2008/38 </w:t>
      </w:r>
      <w:r w:rsidR="000F4DC2" w:rsidRPr="00677B3D">
        <w:t xml:space="preserve">(turpmāk – Garantijas saistību pārņemšanas līgums) </w:t>
      </w:r>
      <w:r w:rsidRPr="00677B3D">
        <w:t xml:space="preserve">ar </w:t>
      </w:r>
      <w:r w:rsidR="00952EF8" w:rsidRPr="00677B3D">
        <w:t xml:space="preserve">māsas uzņēmumu </w:t>
      </w:r>
      <w:r w:rsidRPr="00677B3D">
        <w:t>Nīderlandes</w:t>
      </w:r>
      <w:r w:rsidR="00952EF8" w:rsidRPr="00677B3D">
        <w:t xml:space="preserve"> </w:t>
      </w:r>
      <w:r w:rsidRPr="00677B3D">
        <w:t xml:space="preserve">komersantu „Samsung </w:t>
      </w:r>
      <w:proofErr w:type="spellStart"/>
      <w:r w:rsidRPr="00677B3D">
        <w:t>Electronics</w:t>
      </w:r>
      <w:proofErr w:type="spellEnd"/>
      <w:r w:rsidRPr="00677B3D">
        <w:t xml:space="preserve"> </w:t>
      </w:r>
      <w:proofErr w:type="spellStart"/>
      <w:r w:rsidRPr="00677B3D">
        <w:t>Overseas</w:t>
      </w:r>
      <w:proofErr w:type="spellEnd"/>
      <w:r w:rsidRPr="00677B3D">
        <w:t xml:space="preserve"> B.V.”</w:t>
      </w:r>
      <w:r w:rsidR="00952EF8" w:rsidRPr="00677B3D">
        <w:t xml:space="preserve"> (turpmāk – Nīderlandes Samsung)</w:t>
      </w:r>
      <w:r w:rsidR="00EA016D" w:rsidRPr="00677B3D">
        <w:t>, kas bija Ražotāja preču izplatītājs Baltijas valstīs pirms pieteicējas.</w:t>
      </w:r>
      <w:r w:rsidR="00952EF8" w:rsidRPr="00677B3D">
        <w:t xml:space="preserve"> </w:t>
      </w:r>
      <w:r w:rsidR="00EA016D" w:rsidRPr="00677B3D">
        <w:t xml:space="preserve">Saskaņā ar šo līgumu </w:t>
      </w:r>
      <w:r w:rsidR="006A0F09" w:rsidRPr="00677B3D">
        <w:t xml:space="preserve">pieteicēja apņēmās nodrošināt </w:t>
      </w:r>
      <w:r w:rsidR="00A84FAF" w:rsidRPr="00677B3D">
        <w:t xml:space="preserve">preču </w:t>
      </w:r>
      <w:r w:rsidR="006A0F09" w:rsidRPr="00677B3D">
        <w:t>garantija</w:t>
      </w:r>
      <w:r w:rsidR="00A84FAF" w:rsidRPr="00677B3D">
        <w:t>s</w:t>
      </w:r>
      <w:r w:rsidR="006A0F09" w:rsidRPr="00677B3D">
        <w:t xml:space="preserve"> pakalpojumus </w:t>
      </w:r>
      <w:r w:rsidR="00A84FAF" w:rsidRPr="00677B3D">
        <w:t>par tām precēm</w:t>
      </w:r>
      <w:r w:rsidR="006A0F09" w:rsidRPr="00677B3D">
        <w:t>, k</w:t>
      </w:r>
      <w:r w:rsidR="00A84FAF" w:rsidRPr="00677B3D">
        <w:t xml:space="preserve">uras Baltijas tirgos </w:t>
      </w:r>
      <w:r w:rsidR="006A0F09" w:rsidRPr="00677B3D">
        <w:t xml:space="preserve">2005., 2006. un </w:t>
      </w:r>
      <w:proofErr w:type="gramStart"/>
      <w:r w:rsidR="006A0F09" w:rsidRPr="00677B3D">
        <w:t>2007.gadā</w:t>
      </w:r>
      <w:proofErr w:type="gramEnd"/>
      <w:r w:rsidR="006A0F09" w:rsidRPr="00677B3D">
        <w:t xml:space="preserve"> bija pārdevis Nīderlandes Samsung</w:t>
      </w:r>
      <w:r w:rsidR="00A84FAF" w:rsidRPr="00677B3D">
        <w:t>, savukārt Nīderlandes Samsung apņēmās pieteicējai pārskaitīt vienreizēju maksājumu 4 369 550 USD</w:t>
      </w:r>
      <w:r w:rsidR="00FE0E05" w:rsidRPr="00677B3D">
        <w:t xml:space="preserve"> </w:t>
      </w:r>
      <w:r w:rsidR="00777C34" w:rsidRPr="00677B3D">
        <w:t xml:space="preserve">pārņemto garantijas saistību izpildei. </w:t>
      </w:r>
      <w:r w:rsidR="00237D3E" w:rsidRPr="00677B3D">
        <w:t>P</w:t>
      </w:r>
      <w:r w:rsidR="008E34E3" w:rsidRPr="00677B3D">
        <w:t>ildot ar šo līgumu uzņemtās saistības, pieteicēja</w:t>
      </w:r>
      <w:r w:rsidR="00D03707" w:rsidRPr="00677B3D">
        <w:t xml:space="preserve"> </w:t>
      </w:r>
      <w:r w:rsidR="008E34E3" w:rsidRPr="00677B3D">
        <w:t>piesaistīja pakalpojumu sniedzējus</w:t>
      </w:r>
      <w:r w:rsidR="00D03707" w:rsidRPr="00677B3D">
        <w:t xml:space="preserve"> – Remonta </w:t>
      </w:r>
      <w:r w:rsidR="00B87648" w:rsidRPr="00677B3D">
        <w:t>servisus</w:t>
      </w:r>
      <w:r w:rsidR="00D03707" w:rsidRPr="00677B3D">
        <w:t>.</w:t>
      </w:r>
    </w:p>
    <w:p w14:paraId="2CDCB103" w14:textId="77777777" w:rsidR="00E1363E" w:rsidRPr="00677B3D" w:rsidRDefault="00E1363E" w:rsidP="00C3487C">
      <w:pPr>
        <w:spacing w:line="276" w:lineRule="auto"/>
        <w:ind w:firstLine="567"/>
        <w:jc w:val="both"/>
      </w:pPr>
    </w:p>
    <w:p w14:paraId="297F822E" w14:textId="4FCC130C" w:rsidR="00141A69" w:rsidRPr="00677B3D" w:rsidRDefault="00DB640E" w:rsidP="00C3487C">
      <w:pPr>
        <w:spacing w:line="276" w:lineRule="auto"/>
        <w:ind w:firstLine="567"/>
        <w:jc w:val="both"/>
      </w:pPr>
      <w:r w:rsidRPr="00677B3D">
        <w:t xml:space="preserve">[3] Atbilstoši Izplatīšanas līguma un </w:t>
      </w:r>
      <w:proofErr w:type="gramStart"/>
      <w:r w:rsidRPr="00677B3D">
        <w:t>2008.gada</w:t>
      </w:r>
      <w:proofErr w:type="gramEnd"/>
      <w:r w:rsidRPr="00677B3D">
        <w:t xml:space="preserve"> 1.janvārī starp pieteicēju un Ražotāju noslēgtajam Mārketinga fonda līgumam Nr.</w:t>
      </w:r>
      <w:r w:rsidR="002622DF">
        <w:t> </w:t>
      </w:r>
      <w:r w:rsidRPr="00677B3D">
        <w:t>M2007/7 (turpmāk – Mārketinga fonda līgums)</w:t>
      </w:r>
      <w:r w:rsidR="0029008A" w:rsidRPr="00677B3D">
        <w:t xml:space="preserve"> pieteicēja 2008.gadā veica </w:t>
      </w:r>
      <w:r w:rsidR="005A2F79">
        <w:t xml:space="preserve">arī </w:t>
      </w:r>
      <w:r w:rsidR="0029008A" w:rsidRPr="00677B3D">
        <w:rPr>
          <w:i/>
        </w:rPr>
        <w:t>Samsung</w:t>
      </w:r>
      <w:r w:rsidR="0029008A" w:rsidRPr="00677B3D">
        <w:t xml:space="preserve"> grupas mārketinga funkciju nodrošināšanas pasākumus. Proti, atbilstoši Ražotāja noteiktajai mārketinga stratēģijai pieteicēja piesaistīja mārketinga aģentūras kā mārketinga pakalpojumu sniedzējus. Šo aģentūru izsniegtajos rēķinos norādīto pakalpojum</w:t>
      </w:r>
      <w:r w:rsidR="00595377" w:rsidRPr="00677B3D">
        <w:t>u</w:t>
      </w:r>
      <w:r w:rsidR="0029008A" w:rsidRPr="00677B3D">
        <w:t xml:space="preserve"> maksu </w:t>
      </w:r>
      <w:r w:rsidR="00595377" w:rsidRPr="00677B3D">
        <w:t xml:space="preserve">(par </w:t>
      </w:r>
      <w:proofErr w:type="gramStart"/>
      <w:r w:rsidR="00595377" w:rsidRPr="00677B3D">
        <w:t>2008.gada</w:t>
      </w:r>
      <w:proofErr w:type="gramEnd"/>
      <w:r w:rsidR="00595377" w:rsidRPr="00677B3D">
        <w:t xml:space="preserve"> taksācijas periodu –</w:t>
      </w:r>
      <w:r w:rsidR="002622DF">
        <w:t xml:space="preserve"> </w:t>
      </w:r>
      <w:r w:rsidR="00595377" w:rsidRPr="00677B3D">
        <w:t>6</w:t>
      </w:r>
      <w:r w:rsidR="002622DF">
        <w:t> </w:t>
      </w:r>
      <w:r w:rsidR="00595377" w:rsidRPr="00677B3D">
        <w:t>852</w:t>
      </w:r>
      <w:r w:rsidR="002622DF">
        <w:t> </w:t>
      </w:r>
      <w:r w:rsidR="00595377" w:rsidRPr="00677B3D">
        <w:t>879,68</w:t>
      </w:r>
      <w:r w:rsidR="002622DF" w:rsidRPr="002622DF">
        <w:t xml:space="preserve"> </w:t>
      </w:r>
      <w:r w:rsidR="002622DF" w:rsidRPr="00677B3D">
        <w:t>Ls</w:t>
      </w:r>
      <w:r w:rsidR="00595377" w:rsidRPr="00677B3D">
        <w:t xml:space="preserve">) </w:t>
      </w:r>
      <w:r w:rsidR="0029008A" w:rsidRPr="00677B3D">
        <w:t>pieteicēja samaksāja, bet p</w:t>
      </w:r>
      <w:r w:rsidR="00595377" w:rsidRPr="00677B3D">
        <w:t xml:space="preserve">ēc tam par šo pašu summu izrakstīja rēķinus Ražotājam </w:t>
      </w:r>
      <w:r w:rsidR="0091597B" w:rsidRPr="00677B3D">
        <w:t>(vai</w:t>
      </w:r>
      <w:r w:rsidR="00595377" w:rsidRPr="00677B3D">
        <w:t xml:space="preserve"> citiem saistītajiem uzņēmumiem</w:t>
      </w:r>
      <w:r w:rsidR="0091597B" w:rsidRPr="00677B3D">
        <w:t>)</w:t>
      </w:r>
      <w:r w:rsidR="00595377" w:rsidRPr="00677B3D">
        <w:t xml:space="preserve">. </w:t>
      </w:r>
    </w:p>
    <w:p w14:paraId="1BB1DA22" w14:textId="77777777" w:rsidR="00595377" w:rsidRPr="00677B3D" w:rsidRDefault="00595377" w:rsidP="00C3487C">
      <w:pPr>
        <w:spacing w:line="276" w:lineRule="auto"/>
        <w:ind w:firstLine="567"/>
        <w:jc w:val="both"/>
      </w:pPr>
    </w:p>
    <w:p w14:paraId="1109FF67" w14:textId="77777777" w:rsidR="00C3487C" w:rsidRPr="00677B3D" w:rsidRDefault="00141A69" w:rsidP="00C3487C">
      <w:pPr>
        <w:spacing w:line="276" w:lineRule="auto"/>
        <w:ind w:firstLine="567"/>
        <w:jc w:val="both"/>
      </w:pPr>
      <w:r w:rsidRPr="00677B3D">
        <w:t xml:space="preserve">[4] </w:t>
      </w:r>
      <w:r w:rsidR="00C3487C" w:rsidRPr="00677B3D">
        <w:t>Valsts ieņēmumu dienests (turpmāk – dienests)</w:t>
      </w:r>
      <w:r w:rsidRPr="00677B3D">
        <w:t xml:space="preserve"> veic</w:t>
      </w:r>
      <w:r w:rsidR="00017554" w:rsidRPr="00677B3D">
        <w:t>a</w:t>
      </w:r>
      <w:r w:rsidR="00C3487C" w:rsidRPr="00677B3D">
        <w:t xml:space="preserve"> pieteicējai pievienotās vērtības nodokļa auditu</w:t>
      </w:r>
      <w:r w:rsidRPr="00677B3D">
        <w:t xml:space="preserve"> par laiku no </w:t>
      </w:r>
      <w:proofErr w:type="gramStart"/>
      <w:r w:rsidRPr="00677B3D">
        <w:t>2008.gada</w:t>
      </w:r>
      <w:proofErr w:type="gramEnd"/>
      <w:r w:rsidRPr="00677B3D">
        <w:t xml:space="preserve"> janvāra līdz 2009.gada oktobrim un uzņēmumu ienākuma nodokļa auditu par 2008.gadu</w:t>
      </w:r>
      <w:r w:rsidR="00017554" w:rsidRPr="00677B3D">
        <w:t xml:space="preserve">. Administratīvais process iestādē noslēdzās ar dienesta </w:t>
      </w:r>
      <w:proofErr w:type="gramStart"/>
      <w:r w:rsidR="00017554" w:rsidRPr="00677B3D">
        <w:t>2011.gada</w:t>
      </w:r>
      <w:proofErr w:type="gramEnd"/>
      <w:r w:rsidR="00017554" w:rsidRPr="00677B3D">
        <w:t xml:space="preserve"> 15.februāra lēmumu Nr. 22.4.6/10167 (turpmāk – pārsūdzētais lēmums), ar kuru pieteicējai papildu iemaksai budžetā aprēķināts pievienotās vērtības nodoklis, ar to saistītā soda nauda un nokavējuma nauda, samazināts no budžeta atmaksājamais pievienotās vērtības nodoklis un saistībā ar to aprēķināta soda nauda, kā arī aprēķināts </w:t>
      </w:r>
      <w:r w:rsidR="00050581" w:rsidRPr="00677B3D">
        <w:t>papildus maksājam</w:t>
      </w:r>
      <w:r w:rsidR="00017554" w:rsidRPr="00677B3D">
        <w:t>ais</w:t>
      </w:r>
      <w:r w:rsidR="00050581" w:rsidRPr="00677B3D">
        <w:t xml:space="preserve"> uzņēmumu ienākuma nodokli</w:t>
      </w:r>
      <w:r w:rsidR="00017554" w:rsidRPr="00677B3D">
        <w:t>s</w:t>
      </w:r>
      <w:r w:rsidR="00050581" w:rsidRPr="00677B3D">
        <w:t xml:space="preserve"> un ar to saistīt</w:t>
      </w:r>
      <w:r w:rsidR="00017554" w:rsidRPr="00677B3D">
        <w:t>ā</w:t>
      </w:r>
      <w:r w:rsidR="00050581" w:rsidRPr="00677B3D">
        <w:t xml:space="preserve"> nokavējuma naud</w:t>
      </w:r>
      <w:r w:rsidR="00017554" w:rsidRPr="00677B3D">
        <w:t>a</w:t>
      </w:r>
      <w:r w:rsidR="00050581" w:rsidRPr="00677B3D">
        <w:t xml:space="preserve"> un soda naud</w:t>
      </w:r>
      <w:r w:rsidR="00017554" w:rsidRPr="00677B3D">
        <w:t>a</w:t>
      </w:r>
      <w:r w:rsidR="00050581" w:rsidRPr="00677B3D">
        <w:t>.</w:t>
      </w:r>
    </w:p>
    <w:p w14:paraId="4797DCF9" w14:textId="1A1331CA" w:rsidR="00DF743E" w:rsidRPr="00677B3D" w:rsidRDefault="00D03707" w:rsidP="00441634">
      <w:pPr>
        <w:spacing w:line="276" w:lineRule="auto"/>
        <w:ind w:firstLine="567"/>
        <w:jc w:val="both"/>
      </w:pPr>
      <w:r w:rsidRPr="00677B3D">
        <w:lastRenderedPageBreak/>
        <w:t>Attiecībā uz pievienotās vērtības nodokli p</w:t>
      </w:r>
      <w:r w:rsidR="00017554" w:rsidRPr="00677B3D">
        <w:t xml:space="preserve">ārsūdzētajā lēmumā norādīts, ka </w:t>
      </w:r>
      <w:r w:rsidR="00BF61AF" w:rsidRPr="00677B3D">
        <w:t xml:space="preserve">2008. un </w:t>
      </w:r>
      <w:proofErr w:type="gramStart"/>
      <w:r w:rsidR="00BF61AF" w:rsidRPr="00677B3D">
        <w:t>2009.gadā</w:t>
      </w:r>
      <w:proofErr w:type="gramEnd"/>
      <w:r w:rsidR="00BF61AF" w:rsidRPr="00677B3D">
        <w:t xml:space="preserve"> pieteicēja pievienotās vērtības nodokļa deklarācijās kā priekšnodokli atskaitīja nodokļa summas, kas norādītas </w:t>
      </w:r>
      <w:r w:rsidRPr="00677B3D">
        <w:t xml:space="preserve">Remonta </w:t>
      </w:r>
      <w:r w:rsidR="00C75314" w:rsidRPr="00677B3D">
        <w:t xml:space="preserve">servisu pieteicējai izrakstītajos </w:t>
      </w:r>
      <w:r w:rsidR="00BF61AF" w:rsidRPr="00677B3D">
        <w:t xml:space="preserve">rēķinos. </w:t>
      </w:r>
      <w:proofErr w:type="gramStart"/>
      <w:r w:rsidR="00017554" w:rsidRPr="00677B3D">
        <w:t>Dienesta ieskatā,</w:t>
      </w:r>
      <w:proofErr w:type="gramEnd"/>
      <w:r w:rsidR="00017554" w:rsidRPr="00677B3D">
        <w:t xml:space="preserve"> pieteicējai nebija šādu tiesību, jo attiecīgie darījumi nebija vērsti uz pieteicējas saimnieciskās darbības (ar pievienotās vērtības nodokli apliekamo darījumu) nodrošināšan</w:t>
      </w:r>
      <w:r w:rsidRPr="00677B3D">
        <w:t>u</w:t>
      </w:r>
      <w:r w:rsidR="00017554" w:rsidRPr="00677B3D">
        <w:t>.</w:t>
      </w:r>
      <w:r w:rsidRPr="00677B3D">
        <w:t xml:space="preserve"> Dienests uzskata, ka pieteicēja konkrētos darījumus izmantoja, lai nodrošinātu garantijas pakalpojumu saistības </w:t>
      </w:r>
      <w:r w:rsidR="00AF76F3" w:rsidRPr="00677B3D">
        <w:t>pret</w:t>
      </w:r>
      <w:r w:rsidRPr="00677B3D">
        <w:t xml:space="preserve"> </w:t>
      </w:r>
      <w:r w:rsidR="00AF76F3" w:rsidRPr="00677B3D">
        <w:t>Ražotāju u</w:t>
      </w:r>
      <w:r w:rsidRPr="00677B3D">
        <w:t>n Nīderlandes Samsung, savukārt šīs attiecības</w:t>
      </w:r>
      <w:r w:rsidR="00E667E9" w:rsidRPr="00677B3D">
        <w:t>, dienesta ieskatā,</w:t>
      </w:r>
      <w:r w:rsidRPr="00677B3D">
        <w:t xml:space="preserve"> nav vērtējamas</w:t>
      </w:r>
      <w:proofErr w:type="gramStart"/>
      <w:r w:rsidRPr="00677B3D">
        <w:t xml:space="preserve"> kā ar pievienotās vērtības nodokli apliekami darījumi</w:t>
      </w:r>
      <w:proofErr w:type="gramEnd"/>
      <w:r w:rsidRPr="00677B3D">
        <w:t>, bet gan kā izmaksu kompensācijas darījumi, kas nav apliekami ar pievienotās vērtības nodokli.</w:t>
      </w:r>
      <w:r w:rsidR="009F7A73" w:rsidRPr="00677B3D">
        <w:t xml:space="preserve"> Pārsūdzētais lēmums šajā daļā </w:t>
      </w:r>
      <w:r w:rsidR="009F7A73" w:rsidRPr="00677B3D">
        <w:rPr>
          <w:rFonts w:eastAsiaTheme="minorHAnsi"/>
          <w:lang w:eastAsia="en-US"/>
        </w:rPr>
        <w:t xml:space="preserve">pamatots ar likuma „Par pievienotās vērtības nodokli” 4.panta astoto daļu un 10.panta pirmās daļas 1.punktu, </w:t>
      </w:r>
      <w:r w:rsidR="00BA1F7A" w:rsidRPr="00677B3D">
        <w:rPr>
          <w:rFonts w:eastAsiaTheme="minorHAnsi"/>
          <w:lang w:eastAsia="en-US"/>
        </w:rPr>
        <w:t>Ministru kabineta 2006.gada 14.novembra noteikumu Nr. 933 „</w:t>
      </w:r>
      <w:r w:rsidR="00BA1F7A" w:rsidRPr="00677B3D">
        <w:rPr>
          <w:bCs/>
          <w:shd w:val="clear" w:color="auto" w:fill="FFFFFF"/>
        </w:rPr>
        <w:t xml:space="preserve">Likuma </w:t>
      </w:r>
      <w:r w:rsidR="00DA22DD">
        <w:rPr>
          <w:bCs/>
          <w:shd w:val="clear" w:color="auto" w:fill="FFFFFF"/>
        </w:rPr>
        <w:t>„</w:t>
      </w:r>
      <w:r w:rsidR="00BA1F7A" w:rsidRPr="00677B3D">
        <w:rPr>
          <w:bCs/>
          <w:shd w:val="clear" w:color="auto" w:fill="FFFFFF"/>
        </w:rPr>
        <w:t>Par pievienotās vērtības nodokli” normu piemērošanas kārtība”</w:t>
      </w:r>
      <w:r w:rsidR="00BA1F7A" w:rsidRPr="00677B3D">
        <w:rPr>
          <w:rFonts w:eastAsiaTheme="minorHAnsi"/>
          <w:lang w:eastAsia="en-US"/>
        </w:rPr>
        <w:t xml:space="preserve"> (turpmāk – </w:t>
      </w:r>
      <w:r w:rsidR="003C154A">
        <w:rPr>
          <w:rFonts w:eastAsiaTheme="minorHAnsi"/>
          <w:lang w:eastAsia="en-US"/>
        </w:rPr>
        <w:t>n</w:t>
      </w:r>
      <w:r w:rsidR="00BA1F7A" w:rsidRPr="00677B3D">
        <w:rPr>
          <w:rFonts w:eastAsiaTheme="minorHAnsi"/>
          <w:lang w:eastAsia="en-US"/>
        </w:rPr>
        <w:t xml:space="preserve">oteikumi Nr. 933) </w:t>
      </w:r>
      <w:r w:rsidR="009F7A73" w:rsidRPr="00677B3D">
        <w:rPr>
          <w:rFonts w:eastAsiaTheme="minorHAnsi"/>
          <w:lang w:eastAsia="en-US"/>
        </w:rPr>
        <w:t>2.1.apakšpunktu un 194.punktu</w:t>
      </w:r>
      <w:r w:rsidR="00BA1F7A" w:rsidRPr="00677B3D">
        <w:rPr>
          <w:rFonts w:eastAsiaTheme="minorHAnsi"/>
          <w:lang w:eastAsia="en-US"/>
        </w:rPr>
        <w:t xml:space="preserve"> un</w:t>
      </w:r>
      <w:r w:rsidR="009F7A73" w:rsidRPr="00677B3D">
        <w:rPr>
          <w:rFonts w:eastAsiaTheme="minorHAnsi"/>
          <w:lang w:eastAsia="en-US"/>
        </w:rPr>
        <w:t xml:space="preserve"> Patērētāju tiesību aizsardzības likuma 16.panta pirmo un trešo daļu</w:t>
      </w:r>
      <w:r w:rsidR="00BA1F7A" w:rsidRPr="00677B3D">
        <w:rPr>
          <w:rFonts w:eastAsiaTheme="minorHAnsi"/>
          <w:lang w:eastAsia="en-US"/>
        </w:rPr>
        <w:t>.</w:t>
      </w:r>
    </w:p>
    <w:p w14:paraId="28050C08" w14:textId="675946F4" w:rsidR="00985863" w:rsidRPr="00677B3D" w:rsidRDefault="00985863" w:rsidP="00441634">
      <w:pPr>
        <w:spacing w:line="276" w:lineRule="auto"/>
        <w:ind w:firstLine="567"/>
        <w:jc w:val="both"/>
      </w:pPr>
      <w:r w:rsidRPr="00677B3D">
        <w:t>Attiecībā uz uzņēmumu ienākuma nodokli pārsūdzētajā lēmumā norādīts, ka</w:t>
      </w:r>
      <w:r w:rsidR="00D41A5A" w:rsidRPr="00677B3D">
        <w:t xml:space="preserve"> pieteicēja, nodrošinot grupas mārketinga funkcijas, ir rīkojusies kā starpnieks, kurš uzņemas nodrošināt saistītos uzņēmumus ar apakšuzņēmēju (mārketinga aģentūru) sniegtajiem pakalpojumiem. </w:t>
      </w:r>
      <w:r w:rsidR="00D64A7D" w:rsidRPr="00677B3D">
        <w:t>Dienests atzinis, ka, t</w:t>
      </w:r>
      <w:r w:rsidR="003E4B87" w:rsidRPr="00677B3D">
        <w:t xml:space="preserve">ā kā pieteicēja Ražotājam un </w:t>
      </w:r>
      <w:proofErr w:type="gramStart"/>
      <w:r w:rsidR="003E4B87" w:rsidRPr="00677B3D">
        <w:t>citiem saistītajiem uzņēmumiem</w:t>
      </w:r>
      <w:proofErr w:type="gramEnd"/>
      <w:r w:rsidR="003E4B87" w:rsidRPr="00677B3D">
        <w:t xml:space="preserve"> no nesaistītajām personām – mārketinga aģentūrām – saņemtos pakalpojumus nodeva tālāk bez uzcenojuma, secināms, ka pieteicēja saistītajiem uzņēmumiem sniedza pakalpojumus, kas ir zemāki par tirgus cenu, jo nesaistīts uzņēmējs šādiem starpniecības pakalpojumiem būtu</w:t>
      </w:r>
      <w:r w:rsidR="0074193F" w:rsidRPr="00677B3D">
        <w:t xml:space="preserve"> pievienojis uzcenojumu, lai gūtu peļņu. Līdz ar to ir pamats koriģēt ar uzņēmumu ienākuma nodokli apliekamo pieteicējas ienākumu summu</w:t>
      </w:r>
      <w:r w:rsidR="007E5EED" w:rsidRPr="00677B3D">
        <w:t xml:space="preserve"> par starpību starp pieteicējas norādīto pakalpojumu vērtību un dienesta aprēķināto pakalpojumu tirgus vērtību.</w:t>
      </w:r>
      <w:r w:rsidR="0074193F" w:rsidRPr="00677B3D">
        <w:t xml:space="preserve"> Nosakot sniegto pakalpojumu tirgus cenu, izmantojama izmaksu pieskaitīšanas metode.</w:t>
      </w:r>
      <w:r w:rsidR="00D41A5A" w:rsidRPr="00677B3D">
        <w:t xml:space="preserve"> </w:t>
      </w:r>
      <w:r w:rsidR="00735984" w:rsidRPr="00677B3D">
        <w:t>Ņemot vērā</w:t>
      </w:r>
      <w:r w:rsidR="00D41A5A" w:rsidRPr="00677B3D">
        <w:t xml:space="preserve"> </w:t>
      </w:r>
      <w:proofErr w:type="spellStart"/>
      <w:r w:rsidR="00D41A5A" w:rsidRPr="00677B3D">
        <w:rPr>
          <w:i/>
        </w:rPr>
        <w:t>Amadeus</w:t>
      </w:r>
      <w:proofErr w:type="spellEnd"/>
      <w:r w:rsidR="00D41A5A" w:rsidRPr="00677B3D">
        <w:rPr>
          <w:i/>
        </w:rPr>
        <w:t xml:space="preserve"> </w:t>
      </w:r>
      <w:r w:rsidR="00D41A5A" w:rsidRPr="00677B3D">
        <w:t>datubāzē</w:t>
      </w:r>
      <w:r w:rsidR="00735984" w:rsidRPr="00677B3D">
        <w:t xml:space="preserve"> iegūstamo informāciju, aprēķināms, ka </w:t>
      </w:r>
      <w:r w:rsidR="00E12BE6" w:rsidRPr="00677B3D">
        <w:t>nesaistītu uzņēmumu operatīv</w:t>
      </w:r>
      <w:r w:rsidR="00A94E60" w:rsidRPr="00677B3D">
        <w:t>o izmaksu jeb peļņu raksturojošais rādītājs ir intervālā no 1,7% līdz 4</w:t>
      </w:r>
      <w:r w:rsidR="00DA22DD">
        <w:t>,</w:t>
      </w:r>
      <w:r w:rsidR="00A94E60" w:rsidRPr="00677B3D">
        <w:t>05%</w:t>
      </w:r>
      <w:r w:rsidR="001F0DEA" w:rsidRPr="00677B3D">
        <w:t xml:space="preserve">. Tā kā pieteicēja no sniegtajiem pakalpojumiem gūst netiešu labumu savā saimnieciskajā darbībā, pieteicējas sniegto pakalpojumu tirgus cenas noteikšanai izmantojams rādītājs 1,7%. </w:t>
      </w:r>
      <w:r w:rsidR="00E41A81" w:rsidRPr="00677B3D">
        <w:t xml:space="preserve">Līdz ar to pieteicējas </w:t>
      </w:r>
      <w:r w:rsidR="007E5EED" w:rsidRPr="00677B3D">
        <w:t>saistītajiem uzņēmumiem sniegto</w:t>
      </w:r>
      <w:r w:rsidR="00E41A81" w:rsidRPr="00677B3D">
        <w:t xml:space="preserve"> pakalpojum</w:t>
      </w:r>
      <w:r w:rsidR="007E5EED" w:rsidRPr="00677B3D">
        <w:t>u</w:t>
      </w:r>
      <w:r w:rsidR="00E41A81" w:rsidRPr="00677B3D">
        <w:t xml:space="preserve"> tirgus </w:t>
      </w:r>
      <w:r w:rsidR="007E5EED" w:rsidRPr="00677B3D">
        <w:t>vērtība</w:t>
      </w:r>
      <w:r w:rsidR="00E41A81" w:rsidRPr="00677B3D">
        <w:t xml:space="preserve"> nosakāma, no mārketinga aģentūrā</w:t>
      </w:r>
      <w:r w:rsidR="00BE691E" w:rsidRPr="00677B3D">
        <w:t>m</w:t>
      </w:r>
      <w:r w:rsidR="00E41A81" w:rsidRPr="00677B3D">
        <w:t xml:space="preserve"> saņemto pakalpojumu vērtība</w:t>
      </w:r>
      <w:r w:rsidR="00BA70CF" w:rsidRPr="00677B3D">
        <w:t>s</w:t>
      </w:r>
      <w:r w:rsidR="00E41A81" w:rsidRPr="00677B3D">
        <w:t xml:space="preserve"> </w:t>
      </w:r>
      <w:r w:rsidR="00BE691E" w:rsidRPr="00677B3D">
        <w:t>(68</w:t>
      </w:r>
      <w:r w:rsidR="00DA22DD">
        <w:t> </w:t>
      </w:r>
      <w:r w:rsidR="00BE691E" w:rsidRPr="00677B3D">
        <w:t>522</w:t>
      </w:r>
      <w:r w:rsidR="00DA22DD">
        <w:t> </w:t>
      </w:r>
      <w:r w:rsidR="00BE691E" w:rsidRPr="00677B3D">
        <w:t>8</w:t>
      </w:r>
      <w:r w:rsidR="00BA70CF" w:rsidRPr="00677B3D">
        <w:t>80</w:t>
      </w:r>
      <w:r w:rsidR="00DA22DD">
        <w:t> Ls</w:t>
      </w:r>
      <w:r w:rsidR="00BE691E" w:rsidRPr="00677B3D">
        <w:t xml:space="preserve">) </w:t>
      </w:r>
      <w:r w:rsidR="00BA70CF" w:rsidRPr="00677B3D">
        <w:t xml:space="preserve">un </w:t>
      </w:r>
      <w:r w:rsidR="00E41A81" w:rsidRPr="00677B3D">
        <w:t>audita ietvaros noteiktās piet</w:t>
      </w:r>
      <w:r w:rsidR="00BE691E" w:rsidRPr="00677B3D">
        <w:t>e</w:t>
      </w:r>
      <w:r w:rsidR="00E41A81" w:rsidRPr="00677B3D">
        <w:t>icējas starpniecīb</w:t>
      </w:r>
      <w:r w:rsidR="00BA70CF" w:rsidRPr="00677B3D">
        <w:t>as izmaksu</w:t>
      </w:r>
      <w:r w:rsidR="00E41A81" w:rsidRPr="00677B3D">
        <w:t xml:space="preserve"> </w:t>
      </w:r>
      <w:r w:rsidR="00BA70CF" w:rsidRPr="00677B3D">
        <w:t>(38 077</w:t>
      </w:r>
      <w:r w:rsidR="00DA22DD">
        <w:t> Ls</w:t>
      </w:r>
      <w:r w:rsidR="00BA70CF" w:rsidRPr="00677B3D">
        <w:t xml:space="preserve">) </w:t>
      </w:r>
      <w:r w:rsidR="00E41A81" w:rsidRPr="00677B3D">
        <w:t>summai piemērojot peļņas rādītāju 1,7%.</w:t>
      </w:r>
    </w:p>
    <w:p w14:paraId="64AB64FF" w14:textId="77777777" w:rsidR="00BF61AF" w:rsidRPr="00677B3D" w:rsidRDefault="00BF61AF" w:rsidP="00C3487C">
      <w:pPr>
        <w:spacing w:line="276" w:lineRule="auto"/>
        <w:ind w:firstLine="567"/>
        <w:jc w:val="both"/>
      </w:pPr>
    </w:p>
    <w:p w14:paraId="1E4E7F87" w14:textId="77777777" w:rsidR="00C3487C" w:rsidRPr="00677B3D" w:rsidRDefault="00D03707" w:rsidP="00D03707">
      <w:pPr>
        <w:spacing w:line="276" w:lineRule="auto"/>
        <w:ind w:firstLine="567"/>
        <w:jc w:val="both"/>
      </w:pPr>
      <w:r w:rsidRPr="00677B3D">
        <w:t>[5</w:t>
      </w:r>
      <w:r w:rsidR="00C3487C" w:rsidRPr="00677B3D">
        <w:t xml:space="preserve">] Pieteicēja vērsās Administratīvajā rajona tiesā ar pieteikumu par pārsūdzētā lēmuma atcelšanu. </w:t>
      </w:r>
    </w:p>
    <w:p w14:paraId="447F1F4E" w14:textId="77777777" w:rsidR="00D64A7D" w:rsidRPr="00677B3D" w:rsidRDefault="00D64A7D" w:rsidP="00D03707">
      <w:pPr>
        <w:spacing w:line="276" w:lineRule="auto"/>
        <w:ind w:firstLine="567"/>
        <w:jc w:val="both"/>
      </w:pPr>
      <w:r w:rsidRPr="00677B3D">
        <w:t xml:space="preserve">Pieteicēja norādīja, ka </w:t>
      </w:r>
      <w:r w:rsidR="003C7B04" w:rsidRPr="00677B3D">
        <w:t>iebilst</w:t>
      </w:r>
      <w:r w:rsidRPr="00677B3D">
        <w:t xml:space="preserve"> pārsūdzētajam lēmuma</w:t>
      </w:r>
      <w:r w:rsidR="003C7B04" w:rsidRPr="00677B3D">
        <w:t>m</w:t>
      </w:r>
      <w:r w:rsidRPr="00677B3D">
        <w:t xml:space="preserve"> daļā par pievienotās vērtības nodokli, jo nepiekrīt, ka darījumi ar Remonta servisiem nav izmantoti pieteicējas saimnieciskās darbības nodrošināšanai.</w:t>
      </w:r>
    </w:p>
    <w:p w14:paraId="5BE0D531" w14:textId="77777777" w:rsidR="00D64A7D" w:rsidRPr="00677B3D" w:rsidRDefault="00AA3BEC" w:rsidP="00D03707">
      <w:pPr>
        <w:spacing w:line="276" w:lineRule="auto"/>
        <w:ind w:firstLine="567"/>
        <w:jc w:val="both"/>
      </w:pPr>
      <w:r w:rsidRPr="00677B3D">
        <w:t>Savukārt pārsūdzētajam lēmumam daļā par uzņēmumu ienākuma nodokli pieteicēja nepiekrīt, jo, pirmkārt, uzskata, ka dienests</w:t>
      </w:r>
      <w:r w:rsidR="003C7B04" w:rsidRPr="00677B3D">
        <w:t xml:space="preserve">, atzīstot, ka pieteicēja starpniecības pakalpojumus ir sniegusi zem tirgus vērtības, nav ņēmis vērā, ka pieteicēja saņem ekonomisko labumu (pieteicējas saimnieciskā darbība iegūst no tā, ka </w:t>
      </w:r>
      <w:r w:rsidR="003C7B04" w:rsidRPr="002222C6">
        <w:rPr>
          <w:i/>
        </w:rPr>
        <w:t>Samsung</w:t>
      </w:r>
      <w:r w:rsidR="003C7B04" w:rsidRPr="00677B3D">
        <w:t xml:space="preserve"> zīmola preces tiek popularizētas)</w:t>
      </w:r>
      <w:r w:rsidR="00C33EB7" w:rsidRPr="00677B3D">
        <w:t xml:space="preserve"> un tāpēc par starpniecības pakalpojumiem papildu peļņa nav nepieciešama</w:t>
      </w:r>
      <w:r w:rsidR="003C7B04" w:rsidRPr="00677B3D">
        <w:t xml:space="preserve">. Otrkārt, pat ja </w:t>
      </w:r>
      <w:r w:rsidR="005A2F79">
        <w:t>atzītu</w:t>
      </w:r>
      <w:r w:rsidR="003C7B04" w:rsidRPr="00677B3D">
        <w:t xml:space="preserve">, ka saistītajiem uzņēmumiem pieteicēja pakalpojumus </w:t>
      </w:r>
      <w:r w:rsidR="005A2F79">
        <w:t xml:space="preserve">tomēr </w:t>
      </w:r>
      <w:r w:rsidR="003C7B04" w:rsidRPr="00677B3D">
        <w:t xml:space="preserve">sniegusi zem tirgus vērtības, jo par starpniecību nekādu maksu nav prasījusi, pieteicēja uzskata, ka peļņas procents būtu </w:t>
      </w:r>
      <w:r w:rsidR="003C7B04" w:rsidRPr="00677B3D">
        <w:lastRenderedPageBreak/>
        <w:t xml:space="preserve">piemērojams tikai pieteicējas izmaksām par starpniecību, nevis </w:t>
      </w:r>
      <w:r w:rsidR="005A2F79">
        <w:t xml:space="preserve">vēl arī </w:t>
      </w:r>
      <w:r w:rsidR="003C7B04" w:rsidRPr="00677B3D">
        <w:t>visai no mārketinga aģentūrām saņemto pakalpojumu vērtībai.</w:t>
      </w:r>
      <w:r w:rsidR="00D64A7D" w:rsidRPr="00677B3D">
        <w:t xml:space="preserve"> </w:t>
      </w:r>
    </w:p>
    <w:p w14:paraId="5B5F9B2E" w14:textId="77777777" w:rsidR="00C3487C" w:rsidRPr="00677B3D" w:rsidRDefault="00C3487C" w:rsidP="00C3487C">
      <w:pPr>
        <w:spacing w:line="276" w:lineRule="auto"/>
        <w:ind w:firstLine="720"/>
        <w:jc w:val="both"/>
      </w:pPr>
    </w:p>
    <w:p w14:paraId="7DD12081" w14:textId="77777777" w:rsidR="00E667E9" w:rsidRPr="00677B3D" w:rsidRDefault="00C3487C" w:rsidP="00C3487C">
      <w:pPr>
        <w:spacing w:line="276" w:lineRule="auto"/>
        <w:ind w:firstLine="567"/>
        <w:jc w:val="both"/>
        <w:rPr>
          <w:color w:val="000000"/>
          <w:lang w:eastAsia="lv-LV"/>
        </w:rPr>
      </w:pPr>
      <w:r w:rsidRPr="00677B3D">
        <w:t>[</w:t>
      </w:r>
      <w:r w:rsidR="00D03707" w:rsidRPr="00677B3D">
        <w:t>6</w:t>
      </w:r>
      <w:r w:rsidRPr="00677B3D">
        <w:t xml:space="preserve">] Administratīvā apgabaltiesa, izskatījusi lietu apelācijas kārtībā, ar </w:t>
      </w:r>
      <w:proofErr w:type="gramStart"/>
      <w:r w:rsidRPr="00677B3D">
        <w:t>2015.gada</w:t>
      </w:r>
      <w:proofErr w:type="gramEnd"/>
      <w:r w:rsidRPr="00677B3D">
        <w:t xml:space="preserve"> 2</w:t>
      </w:r>
      <w:r w:rsidR="00214168" w:rsidRPr="00677B3D">
        <w:t>.aprīļa</w:t>
      </w:r>
      <w:r w:rsidRPr="00677B3D">
        <w:t xml:space="preserve"> spriedumu </w:t>
      </w:r>
      <w:r w:rsidR="006E2159" w:rsidRPr="00677B3D">
        <w:t xml:space="preserve">pieteikumu daļēji apmierināja un </w:t>
      </w:r>
      <w:r w:rsidRPr="00677B3D">
        <w:t xml:space="preserve">pārsūdzēto lēmumu atzina par prettiesisku un atcēla daļā </w:t>
      </w:r>
      <w:r w:rsidRPr="00677B3D">
        <w:rPr>
          <w:color w:val="000000"/>
          <w:lang w:eastAsia="lv-LV"/>
        </w:rPr>
        <w:t xml:space="preserve">par </w:t>
      </w:r>
      <w:r w:rsidR="00214168" w:rsidRPr="00677B3D">
        <w:rPr>
          <w:color w:val="000000"/>
          <w:lang w:eastAsia="lv-LV"/>
        </w:rPr>
        <w:t>pievienotās vērtības nodokli un ar to saistītajiem maksājumiem.</w:t>
      </w:r>
      <w:r w:rsidR="00E667E9" w:rsidRPr="00677B3D">
        <w:rPr>
          <w:color w:val="000000"/>
          <w:lang w:eastAsia="lv-LV"/>
        </w:rPr>
        <w:t xml:space="preserve"> Savukārt daļā par uzņēmumu ienākuma nodokli apgabaltiesa pārsūdzēto lēmumu atzina par pamatotu un pieteikumu noraidīja. </w:t>
      </w:r>
    </w:p>
    <w:p w14:paraId="5AD8EB2C" w14:textId="77777777" w:rsidR="00171642" w:rsidRPr="00677B3D" w:rsidRDefault="00C3487C" w:rsidP="00171642">
      <w:pPr>
        <w:spacing w:line="276" w:lineRule="auto"/>
        <w:ind w:firstLine="567"/>
        <w:jc w:val="both"/>
        <w:rPr>
          <w:color w:val="000000"/>
          <w:lang w:eastAsia="lv-LV"/>
        </w:rPr>
      </w:pPr>
      <w:r w:rsidRPr="00677B3D">
        <w:rPr>
          <w:color w:val="000000"/>
          <w:lang w:eastAsia="lv-LV"/>
        </w:rPr>
        <w:t xml:space="preserve">Apgabaltiesas spriedums pamatots ar turpmāk </w:t>
      </w:r>
      <w:r w:rsidR="00B87648" w:rsidRPr="00677B3D">
        <w:rPr>
          <w:color w:val="000000"/>
          <w:lang w:eastAsia="lv-LV"/>
        </w:rPr>
        <w:t>norādītajiem</w:t>
      </w:r>
      <w:r w:rsidRPr="00677B3D">
        <w:rPr>
          <w:color w:val="000000"/>
          <w:lang w:eastAsia="lv-LV"/>
        </w:rPr>
        <w:t xml:space="preserve"> apsvērumiem.</w:t>
      </w:r>
      <w:r w:rsidR="00171642" w:rsidRPr="00677B3D">
        <w:rPr>
          <w:color w:val="000000"/>
          <w:lang w:eastAsia="lv-LV"/>
        </w:rPr>
        <w:t xml:space="preserve"> </w:t>
      </w:r>
    </w:p>
    <w:p w14:paraId="4EC2EFFE" w14:textId="1BC53F24" w:rsidR="00171642" w:rsidRPr="00677B3D" w:rsidRDefault="00E667E9" w:rsidP="00CA129E">
      <w:pPr>
        <w:spacing w:line="276" w:lineRule="auto"/>
        <w:ind w:firstLine="567"/>
        <w:jc w:val="both"/>
        <w:rPr>
          <w:rFonts w:eastAsiaTheme="minorHAnsi"/>
          <w:lang w:eastAsia="en-US"/>
        </w:rPr>
      </w:pPr>
      <w:r w:rsidRPr="00677B3D">
        <w:t>[6</w:t>
      </w:r>
      <w:r w:rsidR="00C3487C" w:rsidRPr="00677B3D">
        <w:t xml:space="preserve">.1] </w:t>
      </w:r>
      <w:r w:rsidR="00171642" w:rsidRPr="00677B3D">
        <w:rPr>
          <w:rFonts w:eastAsiaTheme="minorHAnsi"/>
          <w:lang w:eastAsia="en-US"/>
        </w:rPr>
        <w:t xml:space="preserve">Lietā konstatējams, ka pieteicēja auditētajā periodā pievienotās vērtības nodokļa deklarācijās kā priekšnodokli uzrādīja </w:t>
      </w:r>
      <w:r w:rsidR="00B87648" w:rsidRPr="00677B3D">
        <w:rPr>
          <w:rFonts w:eastAsiaTheme="minorHAnsi"/>
          <w:lang w:eastAsia="en-US"/>
        </w:rPr>
        <w:t xml:space="preserve">pievienotās vērtības nodokli </w:t>
      </w:r>
      <w:r w:rsidR="00171642" w:rsidRPr="00677B3D">
        <w:rPr>
          <w:rFonts w:eastAsiaTheme="minorHAnsi"/>
          <w:lang w:eastAsia="en-US"/>
        </w:rPr>
        <w:t>244</w:t>
      </w:r>
      <w:r w:rsidR="0021385F">
        <w:rPr>
          <w:rFonts w:eastAsiaTheme="minorHAnsi"/>
          <w:lang w:eastAsia="en-US"/>
        </w:rPr>
        <w:t> </w:t>
      </w:r>
      <w:proofErr w:type="gramStart"/>
      <w:r w:rsidR="00171642" w:rsidRPr="00677B3D">
        <w:rPr>
          <w:rFonts w:eastAsiaTheme="minorHAnsi"/>
          <w:lang w:eastAsia="en-US"/>
        </w:rPr>
        <w:t>269,7</w:t>
      </w:r>
      <w:r w:rsidR="0021385F">
        <w:rPr>
          <w:rFonts w:eastAsiaTheme="minorHAnsi"/>
          <w:lang w:eastAsia="en-US"/>
        </w:rPr>
        <w:t>0 Ls</w:t>
      </w:r>
      <w:proofErr w:type="gramEnd"/>
      <w:r w:rsidR="00171642" w:rsidRPr="00677B3D">
        <w:rPr>
          <w:rFonts w:eastAsiaTheme="minorHAnsi"/>
          <w:lang w:eastAsia="en-US"/>
        </w:rPr>
        <w:t xml:space="preserve"> saskaņā ar apakšuzņēmēju –</w:t>
      </w:r>
      <w:r w:rsidR="00B87648" w:rsidRPr="00677B3D">
        <w:rPr>
          <w:rFonts w:eastAsiaTheme="minorHAnsi"/>
          <w:lang w:eastAsia="en-US"/>
        </w:rPr>
        <w:t xml:space="preserve"> </w:t>
      </w:r>
      <w:r w:rsidR="00171642" w:rsidRPr="00677B3D">
        <w:rPr>
          <w:rFonts w:eastAsiaTheme="minorHAnsi"/>
          <w:lang w:eastAsia="en-US"/>
        </w:rPr>
        <w:t>Remonta servis</w:t>
      </w:r>
      <w:r w:rsidR="00B87648" w:rsidRPr="00677B3D">
        <w:rPr>
          <w:rFonts w:eastAsiaTheme="minorHAnsi"/>
          <w:lang w:eastAsia="en-US"/>
        </w:rPr>
        <w:t>u –</w:t>
      </w:r>
      <w:r w:rsidR="00171642" w:rsidRPr="00677B3D">
        <w:rPr>
          <w:rFonts w:eastAsiaTheme="minorHAnsi"/>
          <w:lang w:eastAsia="en-US"/>
        </w:rPr>
        <w:t xml:space="preserve"> izsniegtajiem</w:t>
      </w:r>
      <w:r w:rsidR="00B87648" w:rsidRPr="00677B3D">
        <w:rPr>
          <w:rFonts w:eastAsiaTheme="minorHAnsi"/>
          <w:lang w:eastAsia="en-US"/>
        </w:rPr>
        <w:t xml:space="preserve"> </w:t>
      </w:r>
      <w:r w:rsidR="00171642" w:rsidRPr="00677B3D">
        <w:rPr>
          <w:rFonts w:eastAsiaTheme="minorHAnsi"/>
          <w:lang w:eastAsia="en-US"/>
        </w:rPr>
        <w:t xml:space="preserve">rēķiniem. </w:t>
      </w:r>
    </w:p>
    <w:p w14:paraId="277DCA87" w14:textId="77777777" w:rsidR="008301E0" w:rsidRPr="00677B3D" w:rsidRDefault="00CA129E" w:rsidP="00CA129E">
      <w:pPr>
        <w:spacing w:line="276" w:lineRule="auto"/>
        <w:ind w:firstLine="567"/>
        <w:jc w:val="both"/>
        <w:rPr>
          <w:rFonts w:eastAsiaTheme="minorHAnsi"/>
          <w:lang w:eastAsia="en-US"/>
        </w:rPr>
      </w:pPr>
      <w:r w:rsidRPr="00677B3D">
        <w:rPr>
          <w:rFonts w:eastAsiaTheme="minorHAnsi"/>
          <w:lang w:eastAsia="en-US"/>
        </w:rPr>
        <w:t>Lietā nav strīda</w:t>
      </w:r>
      <w:r w:rsidR="008301E0" w:rsidRPr="00677B3D">
        <w:rPr>
          <w:rFonts w:eastAsiaTheme="minorHAnsi"/>
          <w:lang w:eastAsia="en-US"/>
        </w:rPr>
        <w:t xml:space="preserve"> par šādiem apstākļiem: </w:t>
      </w:r>
    </w:p>
    <w:p w14:paraId="1FCF5C0F" w14:textId="7913FD20" w:rsidR="008301E0" w:rsidRPr="00677B3D" w:rsidRDefault="008301E0" w:rsidP="00CA129E">
      <w:pPr>
        <w:spacing w:line="276" w:lineRule="auto"/>
        <w:ind w:firstLine="567"/>
        <w:jc w:val="both"/>
        <w:rPr>
          <w:rFonts w:eastAsiaTheme="minorHAnsi"/>
          <w:lang w:eastAsia="en-US"/>
        </w:rPr>
      </w:pPr>
      <w:r w:rsidRPr="00677B3D">
        <w:rPr>
          <w:rFonts w:eastAsiaTheme="minorHAnsi"/>
          <w:lang w:eastAsia="en-US"/>
        </w:rPr>
        <w:t xml:space="preserve">1) </w:t>
      </w:r>
      <w:r w:rsidR="00CA129E" w:rsidRPr="00677B3D">
        <w:rPr>
          <w:rFonts w:eastAsiaTheme="minorHAnsi"/>
          <w:lang w:eastAsia="en-US"/>
        </w:rPr>
        <w:t xml:space="preserve">atbilstoši Izplatīšanas līgumam pieteicēja kopš </w:t>
      </w:r>
      <w:proofErr w:type="gramStart"/>
      <w:r w:rsidR="00CA129E" w:rsidRPr="00677B3D">
        <w:rPr>
          <w:rFonts w:eastAsiaTheme="minorHAnsi"/>
          <w:lang w:eastAsia="en-US"/>
        </w:rPr>
        <w:t>2008.gada</w:t>
      </w:r>
      <w:proofErr w:type="gramEnd"/>
      <w:r w:rsidR="00CA129E" w:rsidRPr="00677B3D">
        <w:rPr>
          <w:rFonts w:eastAsiaTheme="minorHAnsi"/>
          <w:lang w:eastAsia="en-US"/>
        </w:rPr>
        <w:t xml:space="preserve"> 1.janvāra ir mātes uzņēmuma </w:t>
      </w:r>
      <w:r w:rsidR="00AF76F3" w:rsidRPr="00677B3D">
        <w:rPr>
          <w:rFonts w:eastAsiaTheme="minorHAnsi"/>
          <w:lang w:eastAsia="en-US"/>
        </w:rPr>
        <w:t xml:space="preserve">– Ražotāja – </w:t>
      </w:r>
      <w:r w:rsidR="00CA129E" w:rsidRPr="00677B3D">
        <w:rPr>
          <w:rFonts w:eastAsiaTheme="minorHAnsi"/>
          <w:lang w:eastAsia="en-US"/>
        </w:rPr>
        <w:t>ražoto</w:t>
      </w:r>
      <w:r w:rsidR="00AF76F3" w:rsidRPr="00677B3D">
        <w:rPr>
          <w:rFonts w:eastAsiaTheme="minorHAnsi"/>
          <w:lang w:eastAsia="en-US"/>
        </w:rPr>
        <w:t xml:space="preserve"> </w:t>
      </w:r>
      <w:r w:rsidR="00CA129E" w:rsidRPr="00677B3D">
        <w:rPr>
          <w:rFonts w:eastAsiaTheme="minorHAnsi"/>
          <w:lang w:eastAsia="en-US"/>
        </w:rPr>
        <w:t>preču izplatītāja Baltijas valstīs</w:t>
      </w:r>
      <w:r w:rsidR="0072348D" w:rsidRPr="00677B3D">
        <w:rPr>
          <w:rFonts w:eastAsiaTheme="minorHAnsi"/>
          <w:lang w:eastAsia="en-US"/>
        </w:rPr>
        <w:t xml:space="preserve">, </w:t>
      </w:r>
      <w:r w:rsidR="00CA129E" w:rsidRPr="00677B3D">
        <w:rPr>
          <w:rFonts w:eastAsiaTheme="minorHAnsi"/>
          <w:lang w:eastAsia="en-US"/>
        </w:rPr>
        <w:t xml:space="preserve">un </w:t>
      </w:r>
      <w:r w:rsidR="00171642" w:rsidRPr="00677B3D">
        <w:rPr>
          <w:rFonts w:eastAsiaTheme="minorHAnsi"/>
          <w:lang w:eastAsia="en-US"/>
        </w:rPr>
        <w:t>auditē</w:t>
      </w:r>
      <w:r w:rsidR="00CA129E" w:rsidRPr="00677B3D">
        <w:rPr>
          <w:rFonts w:eastAsiaTheme="minorHAnsi"/>
          <w:lang w:eastAsia="en-US"/>
        </w:rPr>
        <w:t>tajā</w:t>
      </w:r>
      <w:r w:rsidR="00171642" w:rsidRPr="00677B3D">
        <w:rPr>
          <w:rFonts w:eastAsiaTheme="minorHAnsi"/>
          <w:lang w:eastAsia="en-US"/>
        </w:rPr>
        <w:t xml:space="preserve"> periodā </w:t>
      </w:r>
      <w:r w:rsidR="0072348D" w:rsidRPr="00677B3D">
        <w:rPr>
          <w:rFonts w:eastAsiaTheme="minorHAnsi"/>
          <w:lang w:eastAsia="en-US"/>
        </w:rPr>
        <w:t xml:space="preserve">pieteicēja </w:t>
      </w:r>
      <w:r w:rsidR="00171642" w:rsidRPr="00677B3D">
        <w:rPr>
          <w:rFonts w:eastAsiaTheme="minorHAnsi"/>
          <w:lang w:eastAsia="en-US"/>
        </w:rPr>
        <w:t xml:space="preserve">veica saimniecisko darbību, izplatot Latvijas, Igaunijas un Lietuvas teritorijā saskaņā ar Izplatīšanas līgumu </w:t>
      </w:r>
      <w:r w:rsidR="00CA129E" w:rsidRPr="00677B3D">
        <w:rPr>
          <w:rFonts w:eastAsiaTheme="minorHAnsi"/>
          <w:lang w:eastAsia="en-US"/>
        </w:rPr>
        <w:t>iepirktās</w:t>
      </w:r>
      <w:r w:rsidR="00171642" w:rsidRPr="00677B3D">
        <w:rPr>
          <w:rFonts w:eastAsiaTheme="minorHAnsi"/>
          <w:lang w:eastAsia="en-US"/>
        </w:rPr>
        <w:t xml:space="preserve"> preces</w:t>
      </w:r>
      <w:r w:rsidRPr="00677B3D">
        <w:rPr>
          <w:rFonts w:eastAsiaTheme="minorHAnsi"/>
          <w:lang w:eastAsia="en-US"/>
        </w:rPr>
        <w:t>;</w:t>
      </w:r>
    </w:p>
    <w:p w14:paraId="710B7C12" w14:textId="13678981" w:rsidR="008301E0" w:rsidRPr="00677B3D" w:rsidRDefault="008301E0" w:rsidP="00CA129E">
      <w:pPr>
        <w:spacing w:line="276" w:lineRule="auto"/>
        <w:ind w:firstLine="567"/>
        <w:jc w:val="both"/>
        <w:rPr>
          <w:rFonts w:eastAsiaTheme="minorHAnsi"/>
          <w:lang w:eastAsia="en-US"/>
        </w:rPr>
      </w:pPr>
      <w:r w:rsidRPr="00677B3D">
        <w:rPr>
          <w:rFonts w:eastAsiaTheme="minorHAnsi"/>
          <w:lang w:eastAsia="en-US"/>
        </w:rPr>
        <w:t xml:space="preserve">2) </w:t>
      </w:r>
      <w:r w:rsidR="00171642" w:rsidRPr="00677B3D">
        <w:rPr>
          <w:rFonts w:eastAsiaTheme="minorHAnsi"/>
          <w:lang w:eastAsia="en-US"/>
        </w:rPr>
        <w:t xml:space="preserve">preces no </w:t>
      </w:r>
      <w:r w:rsidR="00CA129E" w:rsidRPr="00677B3D">
        <w:rPr>
          <w:rFonts w:eastAsiaTheme="minorHAnsi"/>
          <w:lang w:eastAsia="en-US"/>
        </w:rPr>
        <w:t>Ražotāja</w:t>
      </w:r>
      <w:r w:rsidR="00171642" w:rsidRPr="00677B3D">
        <w:rPr>
          <w:rFonts w:eastAsiaTheme="minorHAnsi"/>
          <w:lang w:eastAsia="en-US"/>
        </w:rPr>
        <w:t xml:space="preserve"> pieteicēja iegādājās par </w:t>
      </w:r>
      <w:proofErr w:type="gramStart"/>
      <w:r w:rsidR="00171642" w:rsidRPr="00677B3D">
        <w:rPr>
          <w:rFonts w:eastAsiaTheme="minorHAnsi"/>
          <w:lang w:eastAsia="en-US"/>
        </w:rPr>
        <w:t>transferta cenu</w:t>
      </w:r>
      <w:proofErr w:type="gramEnd"/>
      <w:r w:rsidR="00171642" w:rsidRPr="00677B3D">
        <w:rPr>
          <w:rFonts w:eastAsiaTheme="minorHAnsi"/>
          <w:lang w:eastAsia="en-US"/>
        </w:rPr>
        <w:t xml:space="preserve">, kurā </w:t>
      </w:r>
      <w:proofErr w:type="spellStart"/>
      <w:r w:rsidR="00CA129E" w:rsidRPr="00677B3D">
        <w:rPr>
          <w:rFonts w:eastAsiaTheme="minorHAnsi"/>
          <w:lang w:eastAsia="en-US"/>
        </w:rPr>
        <w:t>citstarp</w:t>
      </w:r>
      <w:proofErr w:type="spellEnd"/>
      <w:r w:rsidR="00CA129E" w:rsidRPr="00677B3D">
        <w:rPr>
          <w:rFonts w:eastAsiaTheme="minorHAnsi"/>
          <w:lang w:eastAsia="en-US"/>
        </w:rPr>
        <w:t xml:space="preserve"> ņemta vērā standarta papildu izmaksu pozīcijā ietvertā</w:t>
      </w:r>
      <w:r w:rsidR="001E0E4F" w:rsidRPr="00677B3D">
        <w:rPr>
          <w:rFonts w:eastAsiaTheme="minorHAnsi"/>
          <w:lang w:eastAsia="en-US"/>
        </w:rPr>
        <w:t xml:space="preserve"> standarta </w:t>
      </w:r>
      <w:r w:rsidR="0072348D" w:rsidRPr="00677B3D">
        <w:rPr>
          <w:rFonts w:eastAsiaTheme="minorHAnsi"/>
          <w:lang w:eastAsia="en-US"/>
        </w:rPr>
        <w:t xml:space="preserve">likme izmaksām par </w:t>
      </w:r>
      <w:r w:rsidR="001E0E4F" w:rsidRPr="00677B3D">
        <w:rPr>
          <w:rFonts w:eastAsiaTheme="minorHAnsi"/>
          <w:lang w:eastAsia="en-US"/>
        </w:rPr>
        <w:t>plānot</w:t>
      </w:r>
      <w:r w:rsidR="0072348D" w:rsidRPr="00677B3D">
        <w:rPr>
          <w:rFonts w:eastAsiaTheme="minorHAnsi"/>
          <w:lang w:eastAsia="en-US"/>
        </w:rPr>
        <w:t>ajiem</w:t>
      </w:r>
      <w:r w:rsidR="001E0E4F" w:rsidRPr="00677B3D">
        <w:rPr>
          <w:rFonts w:eastAsiaTheme="minorHAnsi"/>
          <w:lang w:eastAsia="en-US"/>
        </w:rPr>
        <w:t xml:space="preserve"> </w:t>
      </w:r>
      <w:r w:rsidR="00171642" w:rsidRPr="00677B3D">
        <w:rPr>
          <w:rFonts w:eastAsiaTheme="minorHAnsi"/>
          <w:lang w:eastAsia="en-US"/>
        </w:rPr>
        <w:t xml:space="preserve">preču garantijas </w:t>
      </w:r>
      <w:r w:rsidR="004130CC" w:rsidRPr="00677B3D">
        <w:rPr>
          <w:rFonts w:eastAsiaTheme="minorHAnsi"/>
          <w:lang w:eastAsia="en-US"/>
        </w:rPr>
        <w:t>pakalpojum</w:t>
      </w:r>
      <w:r w:rsidR="0072348D" w:rsidRPr="00677B3D">
        <w:rPr>
          <w:rFonts w:eastAsiaTheme="minorHAnsi"/>
          <w:lang w:eastAsia="en-US"/>
        </w:rPr>
        <w:t>iem</w:t>
      </w:r>
      <w:r w:rsidR="00171642" w:rsidRPr="00677B3D">
        <w:rPr>
          <w:rFonts w:eastAsiaTheme="minorHAnsi"/>
          <w:lang w:eastAsia="en-US"/>
        </w:rPr>
        <w:t xml:space="preserve">. </w:t>
      </w:r>
      <w:r w:rsidR="00A53DDE" w:rsidRPr="00677B3D">
        <w:rPr>
          <w:rFonts w:eastAsiaTheme="minorHAnsi"/>
          <w:lang w:eastAsia="en-US"/>
        </w:rPr>
        <w:t>Turklāt a</w:t>
      </w:r>
      <w:r w:rsidR="00171642" w:rsidRPr="00677B3D">
        <w:rPr>
          <w:rFonts w:eastAsiaTheme="minorHAnsi"/>
          <w:lang w:eastAsia="en-US"/>
        </w:rPr>
        <w:t>tbilstoši Izplatīšanas līguma</w:t>
      </w:r>
      <w:r w:rsidR="001E0E4F" w:rsidRPr="00677B3D">
        <w:rPr>
          <w:rFonts w:eastAsiaTheme="minorHAnsi"/>
          <w:lang w:eastAsia="en-US"/>
        </w:rPr>
        <w:t>m</w:t>
      </w:r>
      <w:r w:rsidR="00171642" w:rsidRPr="00677B3D">
        <w:rPr>
          <w:rFonts w:eastAsiaTheme="minorHAnsi"/>
          <w:lang w:eastAsia="en-US"/>
        </w:rPr>
        <w:t xml:space="preserve"> Ražotājam jāuzņemas garantijas </w:t>
      </w:r>
      <w:r w:rsidR="004130CC" w:rsidRPr="00677B3D">
        <w:rPr>
          <w:rFonts w:eastAsiaTheme="minorHAnsi"/>
          <w:lang w:eastAsia="en-US"/>
        </w:rPr>
        <w:t>pakalpojumu</w:t>
      </w:r>
      <w:r w:rsidR="00171642" w:rsidRPr="00677B3D">
        <w:rPr>
          <w:rFonts w:eastAsiaTheme="minorHAnsi"/>
          <w:lang w:eastAsia="en-US"/>
        </w:rPr>
        <w:t xml:space="preserve"> izmaksu kompensācija</w:t>
      </w:r>
      <w:r w:rsidR="00A53DDE" w:rsidRPr="00677B3D">
        <w:rPr>
          <w:rFonts w:eastAsiaTheme="minorHAnsi"/>
          <w:lang w:eastAsia="en-US"/>
        </w:rPr>
        <w:t xml:space="preserve"> tādējādi, ka </w:t>
      </w:r>
      <w:r w:rsidR="00171642" w:rsidRPr="00677B3D">
        <w:rPr>
          <w:rFonts w:eastAsiaTheme="minorHAnsi"/>
          <w:lang w:eastAsia="en-US"/>
        </w:rPr>
        <w:t xml:space="preserve">Ražotājam ir jāpaziņo </w:t>
      </w:r>
      <w:r w:rsidR="00AE2C94" w:rsidRPr="00677B3D">
        <w:rPr>
          <w:rFonts w:eastAsiaTheme="minorHAnsi"/>
          <w:lang w:eastAsia="en-US"/>
        </w:rPr>
        <w:t>pieteicējai garantijas pakalpojumu izmaksu likme</w:t>
      </w:r>
      <w:r w:rsidR="0072348D" w:rsidRPr="00677B3D">
        <w:rPr>
          <w:rFonts w:eastAsiaTheme="minorHAnsi"/>
          <w:lang w:eastAsia="en-US"/>
        </w:rPr>
        <w:t>, lai pieteicēja to varētu ņemt vērā, veidojot uzkrājumus garantiju nodrošināšanai. G</w:t>
      </w:r>
      <w:r w:rsidR="00AE2C94" w:rsidRPr="00677B3D">
        <w:rPr>
          <w:rFonts w:eastAsiaTheme="minorHAnsi"/>
          <w:lang w:eastAsia="en-US"/>
        </w:rPr>
        <w:t>adījumā, ja pieteicējas atbilstoši norādītajai likmei veidotie uzkrājumi garantijas pakalpojumu nodrošināšanai nav pietiekami</w:t>
      </w:r>
      <w:r w:rsidR="004130CC" w:rsidRPr="00677B3D">
        <w:rPr>
          <w:rFonts w:eastAsiaTheme="minorHAnsi"/>
          <w:lang w:eastAsia="en-US"/>
        </w:rPr>
        <w:t xml:space="preserve">, pieteicēja var </w:t>
      </w:r>
      <w:r w:rsidR="00171642" w:rsidRPr="00677B3D">
        <w:rPr>
          <w:rFonts w:eastAsiaTheme="minorHAnsi"/>
          <w:lang w:eastAsia="en-US"/>
        </w:rPr>
        <w:t xml:space="preserve">pieprasīt Ražotājam </w:t>
      </w:r>
      <w:r w:rsidR="004130CC" w:rsidRPr="00677B3D">
        <w:rPr>
          <w:rFonts w:eastAsiaTheme="minorHAnsi"/>
          <w:lang w:eastAsia="en-US"/>
        </w:rPr>
        <w:t>kompensēt pieteicējai</w:t>
      </w:r>
      <w:r w:rsidRPr="00677B3D">
        <w:rPr>
          <w:rFonts w:eastAsiaTheme="minorHAnsi"/>
          <w:lang w:eastAsia="en-US"/>
        </w:rPr>
        <w:t xml:space="preserve"> pārmērīgās (neplānotās) garantiju remonta izmaksas</w:t>
      </w:r>
      <w:r w:rsidR="005A0A03" w:rsidRPr="00677B3D">
        <w:rPr>
          <w:rFonts w:eastAsiaTheme="minorHAnsi"/>
          <w:lang w:eastAsia="en-US"/>
        </w:rPr>
        <w:t>. P</w:t>
      </w:r>
      <w:r w:rsidRPr="00677B3D">
        <w:rPr>
          <w:rFonts w:eastAsiaTheme="minorHAnsi"/>
          <w:lang w:eastAsia="en-US"/>
        </w:rPr>
        <w:t xml:space="preserve">amatojoties uz minētajiem Izplatīšanas līguma nosacījumiem, pieteicēja </w:t>
      </w:r>
      <w:proofErr w:type="gramStart"/>
      <w:r w:rsidR="00171642" w:rsidRPr="00677B3D">
        <w:rPr>
          <w:rFonts w:eastAsiaTheme="minorHAnsi"/>
          <w:lang w:eastAsia="en-US"/>
        </w:rPr>
        <w:t>2008.gada</w:t>
      </w:r>
      <w:proofErr w:type="gramEnd"/>
      <w:r w:rsidR="00171642" w:rsidRPr="00677B3D">
        <w:rPr>
          <w:rFonts w:eastAsiaTheme="minorHAnsi"/>
          <w:lang w:eastAsia="en-US"/>
        </w:rPr>
        <w:t xml:space="preserve"> 12.decembrī izrakstīja </w:t>
      </w:r>
      <w:r w:rsidRPr="00677B3D">
        <w:rPr>
          <w:rFonts w:eastAsiaTheme="minorHAnsi"/>
          <w:lang w:eastAsia="en-US"/>
        </w:rPr>
        <w:t xml:space="preserve">Ražotājam </w:t>
      </w:r>
      <w:r w:rsidR="00171642" w:rsidRPr="00677B3D">
        <w:rPr>
          <w:rFonts w:eastAsiaTheme="minorHAnsi"/>
          <w:lang w:eastAsia="en-US"/>
        </w:rPr>
        <w:t>rēķinu Nr.</w:t>
      </w:r>
      <w:r w:rsidR="0021385F">
        <w:rPr>
          <w:rFonts w:eastAsiaTheme="minorHAnsi"/>
          <w:lang w:eastAsia="en-US"/>
        </w:rPr>
        <w:t> </w:t>
      </w:r>
      <w:r w:rsidR="00171642" w:rsidRPr="00677B3D">
        <w:rPr>
          <w:rFonts w:eastAsiaTheme="minorHAnsi"/>
          <w:lang w:eastAsia="en-US"/>
        </w:rPr>
        <w:t>2008207 (garantijas atlīdzībām par 2008.gadā pārdotajām precēm) par 363</w:t>
      </w:r>
      <w:r w:rsidRPr="00677B3D">
        <w:rPr>
          <w:rFonts w:eastAsiaTheme="minorHAnsi"/>
          <w:lang w:eastAsia="en-US"/>
        </w:rPr>
        <w:t> </w:t>
      </w:r>
      <w:r w:rsidR="00171642" w:rsidRPr="00677B3D">
        <w:rPr>
          <w:rFonts w:eastAsiaTheme="minorHAnsi"/>
          <w:lang w:eastAsia="en-US"/>
        </w:rPr>
        <w:t>800</w:t>
      </w:r>
      <w:r w:rsidRPr="00677B3D">
        <w:rPr>
          <w:rFonts w:eastAsiaTheme="minorHAnsi"/>
          <w:lang w:eastAsia="en-US"/>
        </w:rPr>
        <w:t xml:space="preserve"> </w:t>
      </w:r>
      <w:r w:rsidR="0021385F">
        <w:rPr>
          <w:rFonts w:eastAsiaTheme="minorHAnsi"/>
          <w:lang w:eastAsia="en-US"/>
        </w:rPr>
        <w:t xml:space="preserve">Ls </w:t>
      </w:r>
      <w:r w:rsidR="00171642" w:rsidRPr="00677B3D">
        <w:rPr>
          <w:rFonts w:eastAsiaTheme="minorHAnsi"/>
          <w:lang w:eastAsia="en-US"/>
        </w:rPr>
        <w:t>(680</w:t>
      </w:r>
      <w:r w:rsidR="0021385F">
        <w:rPr>
          <w:rFonts w:eastAsiaTheme="minorHAnsi"/>
          <w:lang w:eastAsia="en-US"/>
        </w:rPr>
        <w:t> </w:t>
      </w:r>
      <w:r w:rsidR="00171642" w:rsidRPr="00677B3D">
        <w:rPr>
          <w:rFonts w:eastAsiaTheme="minorHAnsi"/>
          <w:lang w:eastAsia="en-US"/>
        </w:rPr>
        <w:t>000</w:t>
      </w:r>
      <w:r w:rsidR="0021385F">
        <w:rPr>
          <w:rFonts w:eastAsiaTheme="minorHAnsi"/>
          <w:lang w:eastAsia="en-US"/>
        </w:rPr>
        <w:t xml:space="preserve"> </w:t>
      </w:r>
      <w:r w:rsidR="0021385F" w:rsidRPr="00677B3D">
        <w:rPr>
          <w:rFonts w:eastAsiaTheme="minorHAnsi"/>
          <w:lang w:eastAsia="en-US"/>
        </w:rPr>
        <w:t>USD</w:t>
      </w:r>
      <w:r w:rsidR="0072348D" w:rsidRPr="00677B3D">
        <w:rPr>
          <w:rFonts w:eastAsiaTheme="minorHAnsi"/>
          <w:lang w:eastAsia="en-US"/>
        </w:rPr>
        <w:t>)</w:t>
      </w:r>
      <w:r w:rsidRPr="00677B3D">
        <w:rPr>
          <w:rFonts w:eastAsiaTheme="minorHAnsi"/>
          <w:lang w:eastAsia="en-US"/>
        </w:rPr>
        <w:t>;</w:t>
      </w:r>
    </w:p>
    <w:p w14:paraId="60A3A976" w14:textId="1DCBECB5" w:rsidR="00171642" w:rsidRPr="00677B3D" w:rsidRDefault="005A0A03" w:rsidP="00006FF7">
      <w:pPr>
        <w:spacing w:line="276" w:lineRule="auto"/>
        <w:ind w:firstLine="567"/>
        <w:jc w:val="both"/>
        <w:rPr>
          <w:rFonts w:eastAsiaTheme="minorHAnsi"/>
          <w:lang w:eastAsia="en-US"/>
        </w:rPr>
      </w:pPr>
      <w:r w:rsidRPr="00677B3D">
        <w:rPr>
          <w:rFonts w:eastAsiaTheme="minorHAnsi"/>
          <w:lang w:eastAsia="en-US"/>
        </w:rPr>
        <w:t>3</w:t>
      </w:r>
      <w:r w:rsidR="007C1AA1" w:rsidRPr="00677B3D">
        <w:rPr>
          <w:rFonts w:eastAsiaTheme="minorHAnsi"/>
          <w:lang w:eastAsia="en-US"/>
        </w:rPr>
        <w:t>)</w:t>
      </w:r>
      <w:r w:rsidR="00171642" w:rsidRPr="00677B3D">
        <w:rPr>
          <w:rFonts w:eastAsiaTheme="minorHAnsi"/>
          <w:lang w:eastAsia="en-US"/>
        </w:rPr>
        <w:t xml:space="preserve"> </w:t>
      </w:r>
      <w:r w:rsidR="007C1AA1" w:rsidRPr="00677B3D">
        <w:rPr>
          <w:rFonts w:eastAsiaTheme="minorHAnsi"/>
          <w:lang w:eastAsia="en-US"/>
        </w:rPr>
        <w:t xml:space="preserve">atbilstoši starp pieteicēju un Nīderlandes Samsung noslēgtajam </w:t>
      </w:r>
      <w:r w:rsidR="000F4DC2" w:rsidRPr="00677B3D">
        <w:rPr>
          <w:rFonts w:eastAsiaTheme="minorHAnsi"/>
          <w:lang w:eastAsia="en-US"/>
        </w:rPr>
        <w:t>G</w:t>
      </w:r>
      <w:r w:rsidR="007C1AA1" w:rsidRPr="00677B3D">
        <w:t xml:space="preserve">arantijas saistību pārņemšanas līgumam </w:t>
      </w:r>
      <w:r w:rsidR="00006FF7" w:rsidRPr="00677B3D">
        <w:t xml:space="preserve">pieteicēja ar </w:t>
      </w:r>
      <w:proofErr w:type="gramStart"/>
      <w:r w:rsidR="00006FF7" w:rsidRPr="00677B3D">
        <w:t>2008.gadu</w:t>
      </w:r>
      <w:proofErr w:type="gramEnd"/>
      <w:r w:rsidR="00006FF7" w:rsidRPr="00677B3D">
        <w:t xml:space="preserve"> apņēmās nodrošināt garantijas pakalpojumus par Nīderlandes Samsung</w:t>
      </w:r>
      <w:r w:rsidR="00171642" w:rsidRPr="00677B3D">
        <w:rPr>
          <w:rFonts w:eastAsiaTheme="minorHAnsi"/>
          <w:lang w:eastAsia="en-US"/>
        </w:rPr>
        <w:t xml:space="preserve"> Igaunijas, Latvijas un Lietuvas tirgiem 2005., 2006. un 2007.gadā piegādātājiem produktiem</w:t>
      </w:r>
      <w:r w:rsidR="00006FF7" w:rsidRPr="00677B3D">
        <w:rPr>
          <w:rFonts w:eastAsiaTheme="minorHAnsi"/>
          <w:lang w:eastAsia="en-US"/>
        </w:rPr>
        <w:t>, savukārt Nīderlandes Samsung</w:t>
      </w:r>
      <w:r w:rsidR="00171642" w:rsidRPr="00677B3D">
        <w:rPr>
          <w:rFonts w:eastAsiaTheme="minorHAnsi"/>
          <w:lang w:eastAsia="en-US"/>
        </w:rPr>
        <w:t xml:space="preserve"> saskaņā ar pieteicējas 2008.gada 31.janvāra rēķinu Nr.2008001 </w:t>
      </w:r>
      <w:r w:rsidR="00006FF7" w:rsidRPr="00677B3D">
        <w:rPr>
          <w:rFonts w:eastAsiaTheme="minorHAnsi"/>
          <w:lang w:eastAsia="en-US"/>
        </w:rPr>
        <w:t xml:space="preserve">pārskaitīja pieteicējai samaksu </w:t>
      </w:r>
      <w:r w:rsidR="00171642" w:rsidRPr="00677B3D">
        <w:rPr>
          <w:rFonts w:eastAsiaTheme="minorHAnsi"/>
          <w:lang w:eastAsia="en-US"/>
        </w:rPr>
        <w:t>par minētajām garantijas saistībām 2 044 949,4</w:t>
      </w:r>
      <w:r w:rsidR="0021385F" w:rsidRPr="0021385F">
        <w:rPr>
          <w:rFonts w:eastAsiaTheme="minorHAnsi"/>
          <w:lang w:eastAsia="en-US"/>
        </w:rPr>
        <w:t xml:space="preserve"> </w:t>
      </w:r>
      <w:r w:rsidR="0021385F" w:rsidRPr="00677B3D">
        <w:rPr>
          <w:rFonts w:eastAsiaTheme="minorHAnsi"/>
          <w:lang w:eastAsia="en-US"/>
        </w:rPr>
        <w:t>Ls</w:t>
      </w:r>
      <w:r w:rsidR="00171642" w:rsidRPr="00677B3D">
        <w:rPr>
          <w:rFonts w:eastAsiaTheme="minorHAnsi"/>
          <w:lang w:eastAsia="en-US"/>
        </w:rPr>
        <w:t xml:space="preserve"> (4 369 550</w:t>
      </w:r>
      <w:r w:rsidR="0021385F" w:rsidRPr="0021385F">
        <w:rPr>
          <w:rFonts w:eastAsiaTheme="minorHAnsi"/>
          <w:lang w:eastAsia="en-US"/>
        </w:rPr>
        <w:t xml:space="preserve"> </w:t>
      </w:r>
      <w:r w:rsidR="0021385F" w:rsidRPr="00677B3D">
        <w:rPr>
          <w:rFonts w:eastAsiaTheme="minorHAnsi"/>
          <w:lang w:eastAsia="en-US"/>
        </w:rPr>
        <w:t>USD</w:t>
      </w:r>
      <w:r w:rsidR="00171642" w:rsidRPr="00677B3D">
        <w:rPr>
          <w:rFonts w:eastAsiaTheme="minorHAnsi"/>
          <w:lang w:eastAsia="en-US"/>
        </w:rPr>
        <w:t>)</w:t>
      </w:r>
      <w:r w:rsidRPr="00677B3D">
        <w:rPr>
          <w:rFonts w:eastAsiaTheme="minorHAnsi"/>
          <w:lang w:eastAsia="en-US"/>
        </w:rPr>
        <w:t>;</w:t>
      </w:r>
    </w:p>
    <w:p w14:paraId="01A8F581" w14:textId="77777777" w:rsidR="00171642" w:rsidRPr="00677B3D" w:rsidRDefault="005A0A03" w:rsidP="00171642">
      <w:pPr>
        <w:spacing w:line="276" w:lineRule="auto"/>
        <w:ind w:firstLine="567"/>
        <w:jc w:val="both"/>
        <w:rPr>
          <w:rFonts w:eastAsiaTheme="minorHAnsi"/>
          <w:lang w:eastAsia="en-US"/>
        </w:rPr>
      </w:pPr>
      <w:r w:rsidRPr="00677B3D">
        <w:rPr>
          <w:rFonts w:eastAsiaTheme="minorHAnsi"/>
          <w:lang w:eastAsia="en-US"/>
        </w:rPr>
        <w:t xml:space="preserve">4) </w:t>
      </w:r>
      <w:r w:rsidR="00171642" w:rsidRPr="00677B3D">
        <w:rPr>
          <w:rFonts w:eastAsiaTheme="minorHAnsi"/>
          <w:lang w:eastAsia="en-US"/>
        </w:rPr>
        <w:t>pieteicējas un Remonta servisu noslēgt</w:t>
      </w:r>
      <w:r w:rsidR="00C71040" w:rsidRPr="00677B3D">
        <w:rPr>
          <w:rFonts w:eastAsiaTheme="minorHAnsi"/>
          <w:lang w:eastAsia="en-US"/>
        </w:rPr>
        <w:t>ie</w:t>
      </w:r>
      <w:r w:rsidR="00171642" w:rsidRPr="00677B3D">
        <w:rPr>
          <w:rFonts w:eastAsiaTheme="minorHAnsi"/>
          <w:lang w:eastAsia="en-US"/>
        </w:rPr>
        <w:t xml:space="preserve"> divpusējie līgumi</w:t>
      </w:r>
      <w:r w:rsidR="00C71040" w:rsidRPr="00677B3D">
        <w:rPr>
          <w:rFonts w:eastAsiaTheme="minorHAnsi"/>
          <w:lang w:eastAsia="en-US"/>
        </w:rPr>
        <w:t xml:space="preserve"> paredz, ka</w:t>
      </w:r>
      <w:r w:rsidR="00171642" w:rsidRPr="00677B3D">
        <w:rPr>
          <w:rFonts w:eastAsiaTheme="minorHAnsi"/>
          <w:lang w:eastAsia="en-US"/>
        </w:rPr>
        <w:t xml:space="preserve"> Remonta servisi </w:t>
      </w:r>
      <w:r w:rsidR="00C10DC6" w:rsidRPr="00677B3D">
        <w:rPr>
          <w:rFonts w:eastAsiaTheme="minorHAnsi"/>
          <w:lang w:eastAsia="en-US"/>
        </w:rPr>
        <w:t>veic</w:t>
      </w:r>
      <w:r w:rsidR="00171642" w:rsidRPr="00677B3D">
        <w:rPr>
          <w:rFonts w:eastAsiaTheme="minorHAnsi"/>
          <w:lang w:eastAsia="en-US"/>
        </w:rPr>
        <w:t xml:space="preserve"> preču, </w:t>
      </w:r>
      <w:proofErr w:type="gramStart"/>
      <w:r w:rsidR="00171642" w:rsidRPr="00677B3D">
        <w:rPr>
          <w:rFonts w:eastAsiaTheme="minorHAnsi"/>
          <w:lang w:eastAsia="en-US"/>
        </w:rPr>
        <w:t>kuru klāstu</w:t>
      </w:r>
      <w:proofErr w:type="gramEnd"/>
      <w:r w:rsidR="00171642" w:rsidRPr="00677B3D">
        <w:rPr>
          <w:rFonts w:eastAsiaTheme="minorHAnsi"/>
          <w:lang w:eastAsia="en-US"/>
        </w:rPr>
        <w:t xml:space="preserve"> t</w:t>
      </w:r>
      <w:r w:rsidR="00C10DC6" w:rsidRPr="00677B3D">
        <w:rPr>
          <w:rFonts w:eastAsiaTheme="minorHAnsi"/>
          <w:lang w:eastAsia="en-US"/>
        </w:rPr>
        <w:t>iem</w:t>
      </w:r>
      <w:r w:rsidR="00171642" w:rsidRPr="00677B3D">
        <w:rPr>
          <w:rFonts w:eastAsiaTheme="minorHAnsi"/>
          <w:lang w:eastAsia="en-US"/>
        </w:rPr>
        <w:t xml:space="preserve"> norāda pieteicēja, pirmspārdošanas remontu, garantijas remontu, </w:t>
      </w:r>
      <w:proofErr w:type="spellStart"/>
      <w:r w:rsidR="00171642" w:rsidRPr="00677B3D">
        <w:rPr>
          <w:rFonts w:eastAsiaTheme="minorHAnsi"/>
          <w:lang w:eastAsia="en-US"/>
        </w:rPr>
        <w:t>pēcgarantijas</w:t>
      </w:r>
      <w:proofErr w:type="spellEnd"/>
      <w:r w:rsidR="00171642" w:rsidRPr="00677B3D">
        <w:rPr>
          <w:rFonts w:eastAsiaTheme="minorHAnsi"/>
          <w:lang w:eastAsia="en-US"/>
        </w:rPr>
        <w:t xml:space="preserve"> un īpašo remontu</w:t>
      </w:r>
      <w:r w:rsidR="00C10DC6" w:rsidRPr="00677B3D">
        <w:rPr>
          <w:rFonts w:eastAsiaTheme="minorHAnsi"/>
          <w:lang w:eastAsia="en-US"/>
        </w:rPr>
        <w:t>; g</w:t>
      </w:r>
      <w:r w:rsidR="00171642" w:rsidRPr="00677B3D">
        <w:rPr>
          <w:rFonts w:eastAsiaTheme="minorHAnsi"/>
          <w:lang w:eastAsia="en-US"/>
        </w:rPr>
        <w:t xml:space="preserve">arantija apzīmē </w:t>
      </w:r>
      <w:r w:rsidR="00C10DC6" w:rsidRPr="00677B3D">
        <w:rPr>
          <w:rFonts w:eastAsiaTheme="minorHAnsi"/>
          <w:lang w:eastAsia="en-US"/>
        </w:rPr>
        <w:t xml:space="preserve">pieteicējas </w:t>
      </w:r>
      <w:r w:rsidR="00171642" w:rsidRPr="00677B3D">
        <w:rPr>
          <w:rFonts w:eastAsiaTheme="minorHAnsi"/>
          <w:lang w:eastAsia="en-US"/>
        </w:rPr>
        <w:t xml:space="preserve">garantijas saistības attiecībā uz preci </w:t>
      </w:r>
      <w:r w:rsidR="00C10DC6" w:rsidRPr="00677B3D">
        <w:rPr>
          <w:rFonts w:eastAsiaTheme="minorHAnsi"/>
          <w:lang w:eastAsia="en-US"/>
        </w:rPr>
        <w:t>klientu</w:t>
      </w:r>
      <w:r w:rsidR="00171642" w:rsidRPr="00677B3D">
        <w:rPr>
          <w:rFonts w:eastAsiaTheme="minorHAnsi"/>
          <w:lang w:eastAsia="en-US"/>
        </w:rPr>
        <w:t xml:space="preserve"> priekšā</w:t>
      </w:r>
      <w:r w:rsidR="00C10DC6" w:rsidRPr="00677B3D">
        <w:rPr>
          <w:rFonts w:eastAsiaTheme="minorHAnsi"/>
          <w:lang w:eastAsia="en-US"/>
        </w:rPr>
        <w:t xml:space="preserve">; pieteicēja </w:t>
      </w:r>
      <w:r w:rsidR="00171642" w:rsidRPr="00677B3D">
        <w:rPr>
          <w:rFonts w:eastAsiaTheme="minorHAnsi"/>
          <w:lang w:eastAsia="en-US"/>
        </w:rPr>
        <w:t>piegādā Remonta servisiem oriģinālās detaļas remontu veikšanai</w:t>
      </w:r>
      <w:r w:rsidR="00C10DC6" w:rsidRPr="00677B3D">
        <w:rPr>
          <w:rFonts w:eastAsiaTheme="minorHAnsi"/>
          <w:lang w:eastAsia="en-US"/>
        </w:rPr>
        <w:t xml:space="preserve">, </w:t>
      </w:r>
      <w:r w:rsidR="00171642" w:rsidRPr="00677B3D">
        <w:rPr>
          <w:rFonts w:eastAsiaTheme="minorHAnsi"/>
          <w:lang w:eastAsia="en-US"/>
        </w:rPr>
        <w:t>apgādā Remonta servisu</w:t>
      </w:r>
      <w:r w:rsidR="00C10DC6" w:rsidRPr="00677B3D">
        <w:rPr>
          <w:rFonts w:eastAsiaTheme="minorHAnsi"/>
          <w:lang w:eastAsia="en-US"/>
        </w:rPr>
        <w:t>s</w:t>
      </w:r>
      <w:r w:rsidR="00171642" w:rsidRPr="00677B3D">
        <w:rPr>
          <w:rFonts w:eastAsiaTheme="minorHAnsi"/>
          <w:lang w:eastAsia="en-US"/>
        </w:rPr>
        <w:t xml:space="preserve"> ar nepieciešamo tehnisko dokumentāciju, organizē tehniskos seminārus un kursus Remonta </w:t>
      </w:r>
      <w:r w:rsidR="00C10DC6" w:rsidRPr="00677B3D">
        <w:rPr>
          <w:rFonts w:eastAsiaTheme="minorHAnsi"/>
          <w:lang w:eastAsia="en-US"/>
        </w:rPr>
        <w:t>servisu darbiniekiem;</w:t>
      </w:r>
      <w:r w:rsidR="00171642" w:rsidRPr="00677B3D">
        <w:rPr>
          <w:rFonts w:eastAsiaTheme="minorHAnsi"/>
          <w:lang w:eastAsia="en-US"/>
        </w:rPr>
        <w:t xml:space="preserve"> </w:t>
      </w:r>
    </w:p>
    <w:p w14:paraId="49DEFCFA" w14:textId="68E41458" w:rsidR="00E17F7C" w:rsidRPr="00677B3D" w:rsidRDefault="00C71040" w:rsidP="00171642">
      <w:pPr>
        <w:spacing w:line="276" w:lineRule="auto"/>
        <w:ind w:firstLine="567"/>
        <w:jc w:val="both"/>
        <w:rPr>
          <w:rFonts w:eastAsiaTheme="minorHAnsi"/>
          <w:lang w:eastAsia="en-US"/>
        </w:rPr>
      </w:pPr>
      <w:r w:rsidRPr="00677B3D">
        <w:rPr>
          <w:rFonts w:eastAsiaTheme="minorHAnsi"/>
          <w:lang w:eastAsia="en-US"/>
        </w:rPr>
        <w:t xml:space="preserve">5) atbilstoši minētajiem līgumiem </w:t>
      </w:r>
      <w:r w:rsidR="00171642" w:rsidRPr="00677B3D">
        <w:rPr>
          <w:rFonts w:eastAsiaTheme="minorHAnsi"/>
          <w:lang w:eastAsia="en-US"/>
        </w:rPr>
        <w:t>Remonta servisi veic</w:t>
      </w:r>
      <w:r w:rsidRPr="00677B3D">
        <w:rPr>
          <w:rFonts w:eastAsiaTheme="minorHAnsi"/>
          <w:lang w:eastAsia="en-US"/>
        </w:rPr>
        <w:t>a</w:t>
      </w:r>
      <w:r w:rsidR="00171642" w:rsidRPr="00677B3D">
        <w:rPr>
          <w:rFonts w:eastAsiaTheme="minorHAnsi"/>
          <w:lang w:eastAsia="en-US"/>
        </w:rPr>
        <w:t xml:space="preserve"> pieteicējas izplatīto un arī </w:t>
      </w:r>
      <w:r w:rsidRPr="00677B3D">
        <w:rPr>
          <w:rFonts w:eastAsiaTheme="minorHAnsi"/>
          <w:lang w:eastAsia="en-US"/>
        </w:rPr>
        <w:t xml:space="preserve">Nīderlandes Samsung </w:t>
      </w:r>
      <w:r w:rsidR="00171642" w:rsidRPr="00677B3D">
        <w:rPr>
          <w:rFonts w:eastAsiaTheme="minorHAnsi"/>
          <w:lang w:eastAsia="en-US"/>
        </w:rPr>
        <w:t>2005.</w:t>
      </w:r>
      <w:r w:rsidRPr="00677B3D">
        <w:rPr>
          <w:rFonts w:eastAsiaTheme="minorHAnsi"/>
          <w:lang w:eastAsia="en-US"/>
        </w:rPr>
        <w:t>–</w:t>
      </w:r>
      <w:proofErr w:type="gramStart"/>
      <w:r w:rsidR="00171642" w:rsidRPr="00677B3D">
        <w:rPr>
          <w:rFonts w:eastAsiaTheme="minorHAnsi"/>
          <w:lang w:eastAsia="en-US"/>
        </w:rPr>
        <w:t>2007.gadā</w:t>
      </w:r>
      <w:proofErr w:type="gramEnd"/>
      <w:r w:rsidR="00171642" w:rsidRPr="00677B3D">
        <w:rPr>
          <w:rFonts w:eastAsiaTheme="minorHAnsi"/>
          <w:lang w:eastAsia="en-US"/>
        </w:rPr>
        <w:t xml:space="preserve"> izplatīto preču garantijas remontus, par kuru veikšanu izrakst</w:t>
      </w:r>
      <w:r w:rsidRPr="00677B3D">
        <w:rPr>
          <w:rFonts w:eastAsiaTheme="minorHAnsi"/>
          <w:lang w:eastAsia="en-US"/>
        </w:rPr>
        <w:t>īja</w:t>
      </w:r>
      <w:r w:rsidR="00171642" w:rsidRPr="00677B3D">
        <w:rPr>
          <w:rFonts w:eastAsiaTheme="minorHAnsi"/>
          <w:lang w:eastAsia="en-US"/>
        </w:rPr>
        <w:t xml:space="preserve"> pieteicējai </w:t>
      </w:r>
      <w:r w:rsidRPr="00677B3D">
        <w:rPr>
          <w:rFonts w:eastAsiaTheme="minorHAnsi"/>
          <w:lang w:eastAsia="en-US"/>
        </w:rPr>
        <w:t xml:space="preserve">pievienotās vērtības nodokļa rēķinus </w:t>
      </w:r>
      <w:r w:rsidR="00171642" w:rsidRPr="00677B3D">
        <w:rPr>
          <w:rFonts w:eastAsiaTheme="minorHAnsi"/>
          <w:lang w:eastAsia="en-US"/>
        </w:rPr>
        <w:t>par sniegtajiem pakalpojumiem</w:t>
      </w:r>
      <w:r w:rsidR="00E17F7C" w:rsidRPr="00677B3D">
        <w:rPr>
          <w:rFonts w:eastAsiaTheme="minorHAnsi"/>
          <w:lang w:eastAsia="en-US"/>
        </w:rPr>
        <w:t>.</w:t>
      </w:r>
      <w:r w:rsidR="00171642" w:rsidRPr="00677B3D">
        <w:rPr>
          <w:rFonts w:eastAsiaTheme="minorHAnsi"/>
          <w:lang w:eastAsia="en-US"/>
        </w:rPr>
        <w:t xml:space="preserve"> </w:t>
      </w:r>
      <w:r w:rsidR="00E17F7C" w:rsidRPr="00677B3D">
        <w:rPr>
          <w:rFonts w:eastAsiaTheme="minorHAnsi"/>
          <w:lang w:eastAsia="en-US"/>
        </w:rPr>
        <w:t>P</w:t>
      </w:r>
      <w:r w:rsidR="00171642" w:rsidRPr="00677B3D">
        <w:rPr>
          <w:rFonts w:eastAsiaTheme="minorHAnsi"/>
          <w:lang w:eastAsia="en-US"/>
        </w:rPr>
        <w:t xml:space="preserve">ieteicēja saskaņā ar </w:t>
      </w:r>
      <w:r w:rsidR="00E17F7C" w:rsidRPr="00677B3D">
        <w:rPr>
          <w:rFonts w:eastAsiaTheme="minorHAnsi"/>
          <w:lang w:eastAsia="en-US"/>
        </w:rPr>
        <w:t>šiem</w:t>
      </w:r>
      <w:r w:rsidR="00171642" w:rsidRPr="00677B3D">
        <w:rPr>
          <w:rFonts w:eastAsiaTheme="minorHAnsi"/>
          <w:lang w:eastAsia="en-US"/>
        </w:rPr>
        <w:t xml:space="preserve"> rēķiniem veikusi samaksu Remont</w:t>
      </w:r>
      <w:r w:rsidR="00B27E84" w:rsidRPr="00677B3D">
        <w:rPr>
          <w:rFonts w:eastAsiaTheme="minorHAnsi"/>
          <w:lang w:eastAsia="en-US"/>
        </w:rPr>
        <w:t>a</w:t>
      </w:r>
      <w:r w:rsidR="00171642" w:rsidRPr="00677B3D">
        <w:rPr>
          <w:rFonts w:eastAsiaTheme="minorHAnsi"/>
          <w:lang w:eastAsia="en-US"/>
        </w:rPr>
        <w:t xml:space="preserve"> servisiem pilnā apmērā. </w:t>
      </w:r>
    </w:p>
    <w:p w14:paraId="0A9BD59F" w14:textId="658E7BEC" w:rsidR="00707AE9" w:rsidRPr="00677B3D" w:rsidRDefault="00171642" w:rsidP="00670374">
      <w:pPr>
        <w:spacing w:line="276" w:lineRule="auto"/>
        <w:ind w:firstLine="567"/>
        <w:jc w:val="both"/>
        <w:rPr>
          <w:rFonts w:eastAsiaTheme="minorHAnsi"/>
          <w:lang w:eastAsia="en-US"/>
        </w:rPr>
      </w:pPr>
      <w:r w:rsidRPr="00677B3D">
        <w:rPr>
          <w:rFonts w:eastAsiaTheme="minorHAnsi"/>
          <w:lang w:eastAsia="en-US"/>
        </w:rPr>
        <w:t>[</w:t>
      </w:r>
      <w:r w:rsidR="00E17F7C" w:rsidRPr="00677B3D">
        <w:rPr>
          <w:rFonts w:eastAsiaTheme="minorHAnsi"/>
          <w:lang w:eastAsia="en-US"/>
        </w:rPr>
        <w:t xml:space="preserve">6.2] </w:t>
      </w:r>
      <w:r w:rsidR="00184178" w:rsidRPr="00677B3D">
        <w:rPr>
          <w:rFonts w:eastAsiaTheme="minorHAnsi"/>
          <w:lang w:eastAsia="en-US"/>
        </w:rPr>
        <w:t>Dienests</w:t>
      </w:r>
      <w:r w:rsidRPr="00677B3D">
        <w:rPr>
          <w:rFonts w:eastAsiaTheme="minorHAnsi"/>
          <w:lang w:eastAsia="en-US"/>
        </w:rPr>
        <w:t xml:space="preserve">, </w:t>
      </w:r>
      <w:r w:rsidR="00184178" w:rsidRPr="00677B3D">
        <w:rPr>
          <w:rFonts w:eastAsiaTheme="minorHAnsi"/>
          <w:lang w:eastAsia="en-US"/>
        </w:rPr>
        <w:t xml:space="preserve">ņemot vērā, ka atbilstoši </w:t>
      </w:r>
      <w:r w:rsidRPr="00677B3D">
        <w:rPr>
          <w:rFonts w:eastAsiaTheme="minorHAnsi"/>
          <w:lang w:eastAsia="en-US"/>
        </w:rPr>
        <w:t xml:space="preserve">likuma „Par pievienotās vērtības nodokli” </w:t>
      </w:r>
      <w:proofErr w:type="gramStart"/>
      <w:r w:rsidRPr="00677B3D">
        <w:rPr>
          <w:rFonts w:eastAsiaTheme="minorHAnsi"/>
          <w:lang w:eastAsia="en-US"/>
        </w:rPr>
        <w:t>4.panta</w:t>
      </w:r>
      <w:proofErr w:type="gramEnd"/>
      <w:r w:rsidRPr="00677B3D">
        <w:rPr>
          <w:rFonts w:eastAsiaTheme="minorHAnsi"/>
          <w:lang w:eastAsia="en-US"/>
        </w:rPr>
        <w:t xml:space="preserve"> astot</w:t>
      </w:r>
      <w:r w:rsidR="00184178" w:rsidRPr="00677B3D">
        <w:rPr>
          <w:rFonts w:eastAsiaTheme="minorHAnsi"/>
          <w:lang w:eastAsia="en-US"/>
        </w:rPr>
        <w:t>ajai</w:t>
      </w:r>
      <w:r w:rsidRPr="00677B3D">
        <w:rPr>
          <w:rFonts w:eastAsiaTheme="minorHAnsi"/>
          <w:lang w:eastAsia="en-US"/>
        </w:rPr>
        <w:t xml:space="preserve"> daļa</w:t>
      </w:r>
      <w:r w:rsidR="00184178" w:rsidRPr="00677B3D">
        <w:rPr>
          <w:rFonts w:eastAsiaTheme="minorHAnsi"/>
          <w:lang w:eastAsia="en-US"/>
        </w:rPr>
        <w:t>i</w:t>
      </w:r>
      <w:r w:rsidRPr="00677B3D">
        <w:rPr>
          <w:rFonts w:eastAsiaTheme="minorHAnsi"/>
          <w:lang w:eastAsia="en-US"/>
        </w:rPr>
        <w:t xml:space="preserve"> par garantijas remonta kā pakalpojuma sniegšanas vietu </w:t>
      </w:r>
      <w:r w:rsidR="00184178" w:rsidRPr="00677B3D">
        <w:rPr>
          <w:rFonts w:eastAsiaTheme="minorHAnsi"/>
          <w:lang w:eastAsia="en-US"/>
        </w:rPr>
        <w:t xml:space="preserve">uzskatāma </w:t>
      </w:r>
      <w:r w:rsidRPr="00677B3D">
        <w:rPr>
          <w:rFonts w:eastAsiaTheme="minorHAnsi"/>
          <w:lang w:eastAsia="en-US"/>
        </w:rPr>
        <w:t xml:space="preserve">garantijas </w:t>
      </w:r>
      <w:r w:rsidRPr="00677B3D">
        <w:rPr>
          <w:rFonts w:eastAsiaTheme="minorHAnsi"/>
          <w:lang w:eastAsia="en-US"/>
        </w:rPr>
        <w:lastRenderedPageBreak/>
        <w:t xml:space="preserve">devēja juridiskā adrese, kā arī to, ka dažos </w:t>
      </w:r>
      <w:r w:rsidR="00184178" w:rsidRPr="00677B3D">
        <w:rPr>
          <w:rFonts w:eastAsiaTheme="minorHAnsi"/>
          <w:lang w:eastAsia="en-US"/>
        </w:rPr>
        <w:t xml:space="preserve">pieteicējas izplatīto </w:t>
      </w:r>
      <w:r w:rsidRPr="00677B3D">
        <w:rPr>
          <w:rFonts w:eastAsiaTheme="minorHAnsi"/>
          <w:lang w:eastAsia="en-US"/>
        </w:rPr>
        <w:t xml:space="preserve">preču garantijas talonos (kurus </w:t>
      </w:r>
      <w:r w:rsidR="00184178" w:rsidRPr="00677B3D">
        <w:rPr>
          <w:rFonts w:eastAsiaTheme="minorHAnsi"/>
          <w:lang w:eastAsia="en-US"/>
        </w:rPr>
        <w:t>dienests ne</w:t>
      </w:r>
      <w:r w:rsidRPr="00677B3D">
        <w:rPr>
          <w:rFonts w:eastAsiaTheme="minorHAnsi"/>
          <w:lang w:eastAsia="en-US"/>
        </w:rPr>
        <w:t xml:space="preserve">pievienoja audita lietas materiāliem) </w:t>
      </w:r>
      <w:r w:rsidR="00184178" w:rsidRPr="00677B3D">
        <w:rPr>
          <w:rFonts w:eastAsiaTheme="minorHAnsi"/>
          <w:lang w:eastAsia="en-US"/>
        </w:rPr>
        <w:t xml:space="preserve">kā garantijas devējs bija </w:t>
      </w:r>
      <w:r w:rsidRPr="00677B3D">
        <w:rPr>
          <w:rFonts w:eastAsiaTheme="minorHAnsi"/>
          <w:lang w:eastAsia="en-US"/>
        </w:rPr>
        <w:t xml:space="preserve">norādīts </w:t>
      </w:r>
      <w:r w:rsidR="00184178" w:rsidRPr="00677B3D">
        <w:rPr>
          <w:rFonts w:eastAsiaTheme="minorHAnsi"/>
          <w:lang w:eastAsia="en-US"/>
        </w:rPr>
        <w:t>Ražotājs</w:t>
      </w:r>
      <w:r w:rsidRPr="00677B3D">
        <w:rPr>
          <w:rFonts w:eastAsiaTheme="minorHAnsi"/>
          <w:lang w:eastAsia="en-US"/>
        </w:rPr>
        <w:t xml:space="preserve">, secināja, ka konkrētajā gadījumā </w:t>
      </w:r>
      <w:r w:rsidR="00803BCA" w:rsidRPr="00677B3D">
        <w:rPr>
          <w:rFonts w:eastAsiaTheme="minorHAnsi"/>
          <w:lang w:eastAsia="en-US"/>
        </w:rPr>
        <w:t xml:space="preserve">pieteicējas izplatīto preču </w:t>
      </w:r>
      <w:r w:rsidRPr="00677B3D">
        <w:rPr>
          <w:rFonts w:eastAsiaTheme="minorHAnsi"/>
          <w:lang w:eastAsia="en-US"/>
        </w:rPr>
        <w:t>garantijas devējs i</w:t>
      </w:r>
      <w:r w:rsidR="00803BCA" w:rsidRPr="00677B3D">
        <w:rPr>
          <w:rFonts w:eastAsiaTheme="minorHAnsi"/>
          <w:lang w:eastAsia="en-US"/>
        </w:rPr>
        <w:t>r Ražotājs, nevis pieteicēja.</w:t>
      </w:r>
      <w:r w:rsidRPr="00677B3D">
        <w:rPr>
          <w:rFonts w:eastAsiaTheme="minorHAnsi"/>
          <w:lang w:eastAsia="en-US"/>
        </w:rPr>
        <w:t xml:space="preserve"> </w:t>
      </w:r>
      <w:r w:rsidR="00B27E84" w:rsidRPr="00677B3D">
        <w:rPr>
          <w:rFonts w:eastAsiaTheme="minorHAnsi"/>
          <w:lang w:eastAsia="en-US"/>
        </w:rPr>
        <w:t>Secīgi dienests atzina, ka pieteicējas darbības saistībā ar garantijas pakalpojumu nodrošināšanu ir saistītas ar pieteicējas attiecībām ar Ražotāju un šīs attiecības ir aplūkojamas nevis kā pakalpojuma sniegšana, bet gan kā izmaksu kompensācija</w:t>
      </w:r>
      <w:r w:rsidR="00707AE9" w:rsidRPr="00677B3D">
        <w:rPr>
          <w:rFonts w:eastAsiaTheme="minorHAnsi"/>
          <w:lang w:eastAsia="en-US"/>
        </w:rPr>
        <w:t xml:space="preserve">, jo Ražotājs faktiski kompensē garantijas remontu izdevumus ar </w:t>
      </w:r>
      <w:r w:rsidR="00707AE9" w:rsidRPr="00C83A63">
        <w:rPr>
          <w:rFonts w:eastAsiaTheme="minorHAnsi"/>
          <w:lang w:eastAsia="en-US"/>
        </w:rPr>
        <w:t>transfert</w:t>
      </w:r>
      <w:r w:rsidR="000A3FEB">
        <w:rPr>
          <w:rFonts w:eastAsiaTheme="minorHAnsi"/>
          <w:lang w:eastAsia="en-US"/>
        </w:rPr>
        <w:t xml:space="preserve">a </w:t>
      </w:r>
      <w:r w:rsidR="00707AE9" w:rsidRPr="00C83A63">
        <w:rPr>
          <w:rFonts w:eastAsiaTheme="minorHAnsi"/>
          <w:lang w:eastAsia="en-US"/>
        </w:rPr>
        <w:t>cenu</w:t>
      </w:r>
      <w:r w:rsidR="00707AE9" w:rsidRPr="00677B3D">
        <w:rPr>
          <w:rFonts w:eastAsiaTheme="minorHAnsi"/>
          <w:lang w:eastAsia="en-US"/>
        </w:rPr>
        <w:t xml:space="preserve"> politikas veidošanu un pārmērīgu remontu gadījumā – apmaksājot pārmērīgo remontu vērtību.</w:t>
      </w:r>
    </w:p>
    <w:p w14:paraId="175EE8B1" w14:textId="77777777" w:rsidR="009E6B68" w:rsidRPr="00677B3D" w:rsidRDefault="00171642" w:rsidP="00670374">
      <w:pPr>
        <w:spacing w:line="276" w:lineRule="auto"/>
        <w:ind w:firstLine="567"/>
        <w:jc w:val="both"/>
        <w:rPr>
          <w:rFonts w:eastAsiaTheme="minorHAnsi"/>
          <w:lang w:eastAsia="en-US"/>
        </w:rPr>
      </w:pPr>
      <w:r w:rsidRPr="00677B3D">
        <w:rPr>
          <w:rFonts w:eastAsiaTheme="minorHAnsi"/>
          <w:lang w:eastAsia="en-US"/>
        </w:rPr>
        <w:t>Apgabaltiesa</w:t>
      </w:r>
      <w:r w:rsidR="00803BCA" w:rsidRPr="00677B3D">
        <w:rPr>
          <w:rFonts w:eastAsiaTheme="minorHAnsi"/>
          <w:lang w:eastAsia="en-US"/>
        </w:rPr>
        <w:t xml:space="preserve"> šādu dienesta secinājumu </w:t>
      </w:r>
      <w:r w:rsidR="00707AE9" w:rsidRPr="00677B3D">
        <w:rPr>
          <w:rFonts w:eastAsiaTheme="minorHAnsi"/>
          <w:lang w:eastAsia="en-US"/>
        </w:rPr>
        <w:t xml:space="preserve">turpmāk norādīto apsvērumu dēļ </w:t>
      </w:r>
      <w:r w:rsidR="00803BCA" w:rsidRPr="00677B3D">
        <w:rPr>
          <w:rFonts w:eastAsiaTheme="minorHAnsi"/>
          <w:lang w:eastAsia="en-US"/>
        </w:rPr>
        <w:t xml:space="preserve">atzīst par kļūdainu. </w:t>
      </w:r>
    </w:p>
    <w:p w14:paraId="2F117D0F" w14:textId="77777777" w:rsidR="00670374" w:rsidRPr="00677B3D" w:rsidRDefault="00707AE9" w:rsidP="00670374">
      <w:pPr>
        <w:spacing w:line="276" w:lineRule="auto"/>
        <w:ind w:firstLine="567"/>
        <w:jc w:val="both"/>
        <w:rPr>
          <w:rFonts w:eastAsiaTheme="minorHAnsi"/>
          <w:lang w:eastAsia="en-US"/>
        </w:rPr>
      </w:pPr>
      <w:r w:rsidRPr="00677B3D">
        <w:rPr>
          <w:rFonts w:eastAsiaTheme="minorHAnsi"/>
          <w:lang w:eastAsia="en-US"/>
        </w:rPr>
        <w:t xml:space="preserve">[6.3] </w:t>
      </w:r>
      <w:r w:rsidR="00803BCA" w:rsidRPr="00677B3D">
        <w:rPr>
          <w:rFonts w:eastAsiaTheme="minorHAnsi"/>
          <w:lang w:eastAsia="en-US"/>
        </w:rPr>
        <w:t>A</w:t>
      </w:r>
      <w:r w:rsidR="00670374" w:rsidRPr="00677B3D">
        <w:rPr>
          <w:rFonts w:eastAsiaTheme="minorHAnsi"/>
          <w:lang w:eastAsia="en-US"/>
        </w:rPr>
        <w:t xml:space="preserve">tbilstoši Patērētāju tiesību aizsardzības likuma </w:t>
      </w:r>
      <w:proofErr w:type="gramStart"/>
      <w:r w:rsidR="00171642" w:rsidRPr="00677B3D">
        <w:rPr>
          <w:rFonts w:eastAsiaTheme="minorHAnsi"/>
          <w:lang w:eastAsia="en-US"/>
        </w:rPr>
        <w:t>16.panta</w:t>
      </w:r>
      <w:proofErr w:type="gramEnd"/>
      <w:r w:rsidR="00171642" w:rsidRPr="00677B3D">
        <w:rPr>
          <w:rFonts w:eastAsiaTheme="minorHAnsi"/>
          <w:lang w:eastAsia="en-US"/>
        </w:rPr>
        <w:t xml:space="preserve"> pirmajai daļai par garantijas devēju preču pārdošanas gadījumā var būt kā ražotājs, tā arī pārdevējs. Savukārt speciālā tiesību norm</w:t>
      </w:r>
      <w:r w:rsidR="003F60AB" w:rsidRPr="00677B3D">
        <w:rPr>
          <w:rFonts w:eastAsiaTheme="minorHAnsi"/>
          <w:lang w:eastAsia="en-US"/>
        </w:rPr>
        <w:t>a</w:t>
      </w:r>
      <w:r w:rsidR="00171642" w:rsidRPr="00677B3D">
        <w:rPr>
          <w:rFonts w:eastAsiaTheme="minorHAnsi"/>
          <w:lang w:eastAsia="en-US"/>
        </w:rPr>
        <w:t>, k</w:t>
      </w:r>
      <w:r w:rsidR="003F60AB" w:rsidRPr="00677B3D">
        <w:rPr>
          <w:rFonts w:eastAsiaTheme="minorHAnsi"/>
          <w:lang w:eastAsia="en-US"/>
        </w:rPr>
        <w:t>as</w:t>
      </w:r>
      <w:r w:rsidR="00171642" w:rsidRPr="00677B3D">
        <w:rPr>
          <w:rFonts w:eastAsiaTheme="minorHAnsi"/>
          <w:lang w:eastAsia="en-US"/>
        </w:rPr>
        <w:t xml:space="preserve"> tieši noteic personu, kura ir atbildīga par garantijas nodrošināšanu</w:t>
      </w:r>
      <w:r w:rsidR="00670374" w:rsidRPr="00677B3D">
        <w:rPr>
          <w:rFonts w:eastAsiaTheme="minorHAnsi"/>
          <w:lang w:eastAsia="en-US"/>
        </w:rPr>
        <w:t>, proti, minētā panta trešā daļa</w:t>
      </w:r>
      <w:r w:rsidR="00171642" w:rsidRPr="00677B3D">
        <w:rPr>
          <w:rFonts w:eastAsiaTheme="minorHAnsi"/>
          <w:lang w:eastAsia="en-US"/>
        </w:rPr>
        <w:t xml:space="preserve"> tieši noteic, ka gadījumā, ja ražotājs nav Latvijā reģistrēts nodokļu maksātājs, pārdevējs vai ražotāja pilnvarotais pārstāvis ir atbildīgs par ražotāja dotās garantijas nodrošināšanu. </w:t>
      </w:r>
      <w:r w:rsidR="00670374" w:rsidRPr="00677B3D">
        <w:rPr>
          <w:rFonts w:eastAsiaTheme="minorHAnsi"/>
          <w:lang w:eastAsia="en-US"/>
        </w:rPr>
        <w:t xml:space="preserve">Šāds tiesiskais </w:t>
      </w:r>
      <w:r w:rsidR="00171642" w:rsidRPr="00677B3D">
        <w:rPr>
          <w:rFonts w:eastAsiaTheme="minorHAnsi"/>
          <w:lang w:eastAsia="en-US"/>
        </w:rPr>
        <w:t xml:space="preserve">regulējums saskan ar mērķi nodrošināt patērētājam </w:t>
      </w:r>
      <w:r w:rsidR="00670374" w:rsidRPr="00677B3D">
        <w:rPr>
          <w:rFonts w:eastAsiaTheme="minorHAnsi"/>
          <w:lang w:eastAsia="en-US"/>
        </w:rPr>
        <w:t xml:space="preserve">pienācīgu </w:t>
      </w:r>
      <w:r w:rsidR="00171642" w:rsidRPr="00677B3D">
        <w:rPr>
          <w:rFonts w:eastAsiaTheme="minorHAnsi"/>
          <w:lang w:eastAsia="en-US"/>
        </w:rPr>
        <w:t>iespēju īstenot un aizsargāt savas likumīgās tiesības</w:t>
      </w:r>
      <w:r w:rsidR="00670374" w:rsidRPr="00677B3D">
        <w:rPr>
          <w:rFonts w:eastAsiaTheme="minorHAnsi"/>
          <w:lang w:eastAsia="en-US"/>
        </w:rPr>
        <w:t>. Gan Patērētāju tiesību aizsardzības likums (</w:t>
      </w:r>
      <w:r w:rsidR="00171642" w:rsidRPr="00677B3D">
        <w:rPr>
          <w:rFonts w:eastAsiaTheme="minorHAnsi"/>
          <w:lang w:eastAsia="en-US"/>
        </w:rPr>
        <w:t xml:space="preserve">28.panta </w:t>
      </w:r>
      <w:r w:rsidR="00670374" w:rsidRPr="00677B3D">
        <w:rPr>
          <w:rFonts w:eastAsiaTheme="minorHAnsi"/>
          <w:lang w:eastAsia="en-US"/>
        </w:rPr>
        <w:t xml:space="preserve">otrā daļa), gan Eiropas Parlamenta un Padomes 1999.gada 25.maija direktīvas 1999/44/EK „Par dažiem patēriņa preču tirdzniecības aspektiem un saistītajām garantijām” 3.panta 3.punkts noteic, ka </w:t>
      </w:r>
      <w:r w:rsidR="00171642" w:rsidRPr="00677B3D">
        <w:rPr>
          <w:rFonts w:eastAsiaTheme="minorHAnsi"/>
          <w:lang w:eastAsia="en-US"/>
        </w:rPr>
        <w:t>prece</w:t>
      </w:r>
      <w:r w:rsidR="00670374" w:rsidRPr="00677B3D">
        <w:rPr>
          <w:rFonts w:eastAsiaTheme="minorHAnsi"/>
          <w:lang w:eastAsia="en-US"/>
        </w:rPr>
        <w:t>s</w:t>
      </w:r>
      <w:r w:rsidR="00171642" w:rsidRPr="00677B3D">
        <w:rPr>
          <w:rFonts w:eastAsiaTheme="minorHAnsi"/>
          <w:lang w:eastAsia="en-US"/>
        </w:rPr>
        <w:t xml:space="preserve"> neatbilstība līguma noteikumiem novēršama saprātīgā termiņā, neradot neērtības patērētājam. </w:t>
      </w:r>
    </w:p>
    <w:p w14:paraId="4CF7691D" w14:textId="10ED62A4" w:rsidR="0086790B" w:rsidRPr="00677B3D" w:rsidRDefault="00171642" w:rsidP="00030CA2">
      <w:pPr>
        <w:spacing w:line="276" w:lineRule="auto"/>
        <w:ind w:firstLine="567"/>
        <w:jc w:val="both"/>
        <w:rPr>
          <w:rFonts w:eastAsiaTheme="minorHAnsi"/>
          <w:lang w:eastAsia="en-US"/>
        </w:rPr>
      </w:pPr>
      <w:r w:rsidRPr="00677B3D">
        <w:rPr>
          <w:rFonts w:eastAsiaTheme="minorHAnsi"/>
          <w:lang w:eastAsia="en-US"/>
        </w:rPr>
        <w:t>Ievērojot minēto tiesisko regulējumu</w:t>
      </w:r>
      <w:r w:rsidR="00F519B7" w:rsidRPr="00677B3D">
        <w:rPr>
          <w:rFonts w:eastAsiaTheme="minorHAnsi"/>
          <w:lang w:eastAsia="en-US"/>
        </w:rPr>
        <w:t>, secināms</w:t>
      </w:r>
      <w:r w:rsidRPr="00677B3D">
        <w:rPr>
          <w:rFonts w:eastAsiaTheme="minorHAnsi"/>
          <w:lang w:eastAsia="en-US"/>
        </w:rPr>
        <w:t xml:space="preserve">, ka konkrētās lietas apstākļos </w:t>
      </w:r>
      <w:r w:rsidR="00F519B7" w:rsidRPr="00677B3D">
        <w:rPr>
          <w:rFonts w:eastAsiaTheme="minorHAnsi"/>
          <w:lang w:eastAsia="en-US"/>
        </w:rPr>
        <w:t xml:space="preserve">preču garantijas sniedzējs attiecībā pret </w:t>
      </w:r>
      <w:r w:rsidR="0086790B" w:rsidRPr="00677B3D">
        <w:rPr>
          <w:rFonts w:eastAsiaTheme="minorHAnsi"/>
          <w:lang w:eastAsia="en-US"/>
        </w:rPr>
        <w:t xml:space="preserve">pieteicējas izplatīto preču pircējiem </w:t>
      </w:r>
      <w:r w:rsidR="00F519B7" w:rsidRPr="00677B3D">
        <w:rPr>
          <w:rFonts w:eastAsiaTheme="minorHAnsi"/>
          <w:lang w:eastAsia="en-US"/>
        </w:rPr>
        <w:t xml:space="preserve">ir </w:t>
      </w:r>
      <w:r w:rsidRPr="00677B3D">
        <w:rPr>
          <w:rFonts w:eastAsiaTheme="minorHAnsi"/>
          <w:lang w:eastAsia="en-US"/>
        </w:rPr>
        <w:t xml:space="preserve">pieteicēja, kas kā </w:t>
      </w:r>
      <w:r w:rsidR="002353DB" w:rsidRPr="00677B3D">
        <w:rPr>
          <w:rFonts w:eastAsiaTheme="minorHAnsi"/>
          <w:lang w:eastAsia="en-US"/>
        </w:rPr>
        <w:t>Ražotāja</w:t>
      </w:r>
      <w:r w:rsidRPr="00677B3D">
        <w:rPr>
          <w:rFonts w:eastAsiaTheme="minorHAnsi"/>
          <w:lang w:eastAsia="en-US"/>
        </w:rPr>
        <w:t xml:space="preserve"> pārstāvis izplatī</w:t>
      </w:r>
      <w:r w:rsidR="002353DB" w:rsidRPr="00677B3D">
        <w:rPr>
          <w:rFonts w:eastAsiaTheme="minorHAnsi"/>
          <w:lang w:eastAsia="en-US"/>
        </w:rPr>
        <w:t>j</w:t>
      </w:r>
      <w:r w:rsidRPr="00677B3D">
        <w:rPr>
          <w:rFonts w:eastAsiaTheme="minorHAnsi"/>
          <w:lang w:eastAsia="en-US"/>
        </w:rPr>
        <w:t xml:space="preserve">a Baltijas valstīs </w:t>
      </w:r>
      <w:r w:rsidR="002353DB" w:rsidRPr="00677B3D">
        <w:rPr>
          <w:rFonts w:eastAsiaTheme="minorHAnsi"/>
          <w:lang w:eastAsia="en-US"/>
        </w:rPr>
        <w:t xml:space="preserve">Ražotāja ražotās </w:t>
      </w:r>
      <w:r w:rsidRPr="00677B3D">
        <w:rPr>
          <w:rFonts w:eastAsiaTheme="minorHAnsi"/>
          <w:lang w:eastAsia="en-US"/>
        </w:rPr>
        <w:t>preces</w:t>
      </w:r>
      <w:r w:rsidR="002353DB" w:rsidRPr="00677B3D">
        <w:rPr>
          <w:rFonts w:eastAsiaTheme="minorHAnsi"/>
          <w:lang w:eastAsia="en-US"/>
        </w:rPr>
        <w:t xml:space="preserve">. Pieteicēja arī ir tā, kas </w:t>
      </w:r>
      <w:r w:rsidRPr="00677B3D">
        <w:rPr>
          <w:rFonts w:eastAsiaTheme="minorHAnsi"/>
          <w:lang w:eastAsia="en-US"/>
        </w:rPr>
        <w:t xml:space="preserve">preču garantijas remontu nodrošināšanai </w:t>
      </w:r>
      <w:r w:rsidR="002353DB" w:rsidRPr="00677B3D">
        <w:rPr>
          <w:rFonts w:eastAsiaTheme="minorHAnsi"/>
          <w:lang w:eastAsia="en-US"/>
        </w:rPr>
        <w:t xml:space="preserve">ir </w:t>
      </w:r>
      <w:r w:rsidRPr="00677B3D">
        <w:rPr>
          <w:rFonts w:eastAsiaTheme="minorHAnsi"/>
          <w:lang w:eastAsia="en-US"/>
        </w:rPr>
        <w:t>noslēgusi divpusējus līgumus ar Remonta servisiem</w:t>
      </w:r>
      <w:r w:rsidR="002353DB" w:rsidRPr="00677B3D">
        <w:rPr>
          <w:rFonts w:eastAsiaTheme="minorHAnsi"/>
          <w:lang w:eastAsia="en-US"/>
        </w:rPr>
        <w:t xml:space="preserve"> un</w:t>
      </w:r>
      <w:r w:rsidRPr="00677B3D">
        <w:rPr>
          <w:rFonts w:eastAsiaTheme="minorHAnsi"/>
          <w:lang w:eastAsia="en-US"/>
        </w:rPr>
        <w:t xml:space="preserve"> nodrošina šo remontu iespējamību (piegādā oriģinālās detaļas, tehniskās instrukcijas, uzrauga garantijas apkopes procesu, pārbaudot servisu telpas un atbilstošu dokumentāciju)</w:t>
      </w:r>
      <w:r w:rsidR="002353DB" w:rsidRPr="00677B3D">
        <w:rPr>
          <w:rFonts w:eastAsiaTheme="minorHAnsi"/>
          <w:lang w:eastAsia="en-US"/>
        </w:rPr>
        <w:t xml:space="preserve">. </w:t>
      </w:r>
      <w:r w:rsidR="00F519B7" w:rsidRPr="00677B3D">
        <w:rPr>
          <w:rFonts w:eastAsiaTheme="minorHAnsi"/>
          <w:lang w:eastAsia="en-US"/>
        </w:rPr>
        <w:t>Tāpat p</w:t>
      </w:r>
      <w:r w:rsidR="002353DB" w:rsidRPr="00677B3D">
        <w:rPr>
          <w:rFonts w:eastAsiaTheme="minorHAnsi"/>
          <w:lang w:eastAsia="en-US"/>
        </w:rPr>
        <w:t>ieteicēja</w:t>
      </w:r>
      <w:r w:rsidRPr="00677B3D">
        <w:rPr>
          <w:rFonts w:eastAsiaTheme="minorHAnsi"/>
          <w:lang w:eastAsia="en-US"/>
        </w:rPr>
        <w:t xml:space="preserve"> ir tā, kura savā</w:t>
      </w:r>
      <w:r w:rsidR="00030CA2" w:rsidRPr="00677B3D">
        <w:rPr>
          <w:rFonts w:eastAsiaTheme="minorHAnsi"/>
          <w:lang w:eastAsia="en-US"/>
        </w:rPr>
        <w:t xml:space="preserve"> </w:t>
      </w:r>
      <w:r w:rsidRPr="00677B3D">
        <w:rPr>
          <w:rFonts w:eastAsiaTheme="minorHAnsi"/>
          <w:lang w:eastAsia="en-US"/>
        </w:rPr>
        <w:t>vārdā veic Remonta servisu veikto preču garantijas remontu apmaksu saskaņā ar Remont</w:t>
      </w:r>
      <w:r w:rsidR="00B27E84" w:rsidRPr="00677B3D">
        <w:rPr>
          <w:rFonts w:eastAsiaTheme="minorHAnsi"/>
          <w:lang w:eastAsia="en-US"/>
        </w:rPr>
        <w:t>a</w:t>
      </w:r>
      <w:r w:rsidRPr="00677B3D">
        <w:rPr>
          <w:rFonts w:eastAsiaTheme="minorHAnsi"/>
          <w:lang w:eastAsia="en-US"/>
        </w:rPr>
        <w:t xml:space="preserve"> servisu izrakstītājiem rēķiniem.</w:t>
      </w:r>
      <w:r w:rsidR="00030CA2" w:rsidRPr="00677B3D">
        <w:rPr>
          <w:rFonts w:eastAsiaTheme="minorHAnsi"/>
          <w:lang w:eastAsia="en-US"/>
        </w:rPr>
        <w:t xml:space="preserve"> </w:t>
      </w:r>
      <w:r w:rsidR="00F519B7" w:rsidRPr="00677B3D">
        <w:rPr>
          <w:rFonts w:eastAsiaTheme="minorHAnsi"/>
          <w:lang w:eastAsia="en-US"/>
        </w:rPr>
        <w:t>T</w:t>
      </w:r>
      <w:r w:rsidRPr="00677B3D">
        <w:rPr>
          <w:rFonts w:eastAsiaTheme="minorHAnsi"/>
          <w:lang w:eastAsia="en-US"/>
        </w:rPr>
        <w:t xml:space="preserve">as, ka </w:t>
      </w:r>
      <w:r w:rsidR="002353DB" w:rsidRPr="00677B3D">
        <w:rPr>
          <w:rFonts w:eastAsiaTheme="minorHAnsi"/>
          <w:lang w:eastAsia="en-US"/>
        </w:rPr>
        <w:t xml:space="preserve">tieši </w:t>
      </w:r>
      <w:r w:rsidRPr="00677B3D">
        <w:rPr>
          <w:rFonts w:eastAsiaTheme="minorHAnsi"/>
          <w:lang w:eastAsia="en-US"/>
        </w:rPr>
        <w:t xml:space="preserve">pieteicēja ir </w:t>
      </w:r>
      <w:r w:rsidR="002353DB" w:rsidRPr="00677B3D">
        <w:rPr>
          <w:rFonts w:eastAsiaTheme="minorHAnsi"/>
          <w:lang w:eastAsia="en-US"/>
        </w:rPr>
        <w:t xml:space="preserve">Ražotāja </w:t>
      </w:r>
      <w:r w:rsidRPr="00677B3D">
        <w:rPr>
          <w:rFonts w:eastAsiaTheme="minorHAnsi"/>
          <w:lang w:eastAsia="en-US"/>
        </w:rPr>
        <w:t>preču, kas izplatītas Baltijas</w:t>
      </w:r>
      <w:r w:rsidR="00030CA2" w:rsidRPr="00677B3D">
        <w:rPr>
          <w:rFonts w:eastAsiaTheme="minorHAnsi"/>
          <w:lang w:eastAsia="en-US"/>
        </w:rPr>
        <w:t xml:space="preserve"> </w:t>
      </w:r>
      <w:r w:rsidRPr="00677B3D">
        <w:rPr>
          <w:rFonts w:eastAsiaTheme="minorHAnsi"/>
          <w:lang w:eastAsia="en-US"/>
        </w:rPr>
        <w:t xml:space="preserve">valstu teritorijā, garantijas </w:t>
      </w:r>
      <w:r w:rsidR="00B27E84" w:rsidRPr="00677B3D">
        <w:rPr>
          <w:rFonts w:eastAsiaTheme="minorHAnsi"/>
          <w:lang w:eastAsia="en-US"/>
        </w:rPr>
        <w:t>nodrošinātāj</w:t>
      </w:r>
      <w:r w:rsidR="00250DBA">
        <w:rPr>
          <w:rFonts w:eastAsiaTheme="minorHAnsi"/>
          <w:lang w:eastAsia="en-US"/>
        </w:rPr>
        <w:t>a</w:t>
      </w:r>
      <w:r w:rsidRPr="00677B3D">
        <w:rPr>
          <w:rFonts w:eastAsiaTheme="minorHAnsi"/>
          <w:lang w:eastAsia="en-US"/>
        </w:rPr>
        <w:t xml:space="preserve">, izriet </w:t>
      </w:r>
      <w:r w:rsidR="0006013A" w:rsidRPr="00677B3D">
        <w:rPr>
          <w:rFonts w:eastAsiaTheme="minorHAnsi"/>
          <w:lang w:eastAsia="en-US"/>
        </w:rPr>
        <w:t xml:space="preserve">arī </w:t>
      </w:r>
      <w:r w:rsidRPr="00677B3D">
        <w:rPr>
          <w:rFonts w:eastAsiaTheme="minorHAnsi"/>
          <w:lang w:eastAsia="en-US"/>
        </w:rPr>
        <w:t>no Izplatīšanas līguma</w:t>
      </w:r>
      <w:r w:rsidR="0006013A" w:rsidRPr="00677B3D">
        <w:rPr>
          <w:rFonts w:eastAsiaTheme="minorHAnsi"/>
          <w:lang w:eastAsia="en-US"/>
        </w:rPr>
        <w:t>, kas paredz</w:t>
      </w:r>
      <w:r w:rsidRPr="00677B3D">
        <w:rPr>
          <w:rFonts w:eastAsiaTheme="minorHAnsi"/>
          <w:lang w:eastAsia="en-US"/>
        </w:rPr>
        <w:t xml:space="preserve"> cenas noteikšanu, ievērojot</w:t>
      </w:r>
      <w:r w:rsidR="00030CA2" w:rsidRPr="00677B3D">
        <w:rPr>
          <w:rFonts w:eastAsiaTheme="minorHAnsi"/>
          <w:lang w:eastAsia="en-US"/>
        </w:rPr>
        <w:t xml:space="preserve"> </w:t>
      </w:r>
      <w:r w:rsidR="0006013A" w:rsidRPr="00677B3D">
        <w:rPr>
          <w:rFonts w:eastAsiaTheme="minorHAnsi"/>
          <w:lang w:eastAsia="en-US"/>
        </w:rPr>
        <w:t>prezumējamās</w:t>
      </w:r>
      <w:r w:rsidR="00F519B7" w:rsidRPr="00677B3D">
        <w:rPr>
          <w:rFonts w:eastAsiaTheme="minorHAnsi"/>
          <w:lang w:eastAsia="en-US"/>
        </w:rPr>
        <w:t xml:space="preserve"> </w:t>
      </w:r>
      <w:r w:rsidRPr="00677B3D">
        <w:rPr>
          <w:rFonts w:eastAsiaTheme="minorHAnsi"/>
          <w:lang w:eastAsia="en-US"/>
        </w:rPr>
        <w:t>pieteicējas standarta izmaksas saistībā ar garantijas remontiem</w:t>
      </w:r>
      <w:r w:rsidR="00F519B7" w:rsidRPr="00677B3D">
        <w:rPr>
          <w:rFonts w:eastAsiaTheme="minorHAnsi"/>
          <w:lang w:eastAsia="en-US"/>
        </w:rPr>
        <w:t xml:space="preserve">, kā arī paredz, ka </w:t>
      </w:r>
      <w:r w:rsidRPr="00677B3D">
        <w:rPr>
          <w:rFonts w:eastAsiaTheme="minorHAnsi"/>
          <w:lang w:eastAsia="en-US"/>
        </w:rPr>
        <w:t xml:space="preserve">garantijas remontu nodrošina pieteicēja, bet par standarta izmaksu pārsniegumu </w:t>
      </w:r>
      <w:r w:rsidR="00F519B7" w:rsidRPr="00677B3D">
        <w:rPr>
          <w:rFonts w:eastAsiaTheme="minorHAnsi"/>
          <w:lang w:eastAsia="en-US"/>
        </w:rPr>
        <w:t xml:space="preserve">pieteicēja </w:t>
      </w:r>
      <w:r w:rsidRPr="00677B3D">
        <w:rPr>
          <w:rFonts w:eastAsiaTheme="minorHAnsi"/>
          <w:lang w:eastAsia="en-US"/>
        </w:rPr>
        <w:t>ir</w:t>
      </w:r>
      <w:r w:rsidR="00030CA2" w:rsidRPr="00677B3D">
        <w:rPr>
          <w:rFonts w:eastAsiaTheme="minorHAnsi"/>
          <w:lang w:eastAsia="en-US"/>
        </w:rPr>
        <w:t xml:space="preserve"> </w:t>
      </w:r>
      <w:r w:rsidRPr="00677B3D">
        <w:rPr>
          <w:rFonts w:eastAsiaTheme="minorHAnsi"/>
          <w:lang w:eastAsia="en-US"/>
        </w:rPr>
        <w:t xml:space="preserve">tiesīga prasīt kompensāciju no </w:t>
      </w:r>
      <w:r w:rsidR="00F519B7" w:rsidRPr="00677B3D">
        <w:rPr>
          <w:rFonts w:eastAsiaTheme="minorHAnsi"/>
          <w:lang w:eastAsia="en-US"/>
        </w:rPr>
        <w:t xml:space="preserve">Ražotāja. </w:t>
      </w:r>
      <w:r w:rsidR="00B27E84" w:rsidRPr="00677B3D">
        <w:rPr>
          <w:rFonts w:eastAsiaTheme="minorHAnsi"/>
          <w:lang w:eastAsia="en-US"/>
        </w:rPr>
        <w:t xml:space="preserve">Tāpat arī no pieteicējas līgumiem ar </w:t>
      </w:r>
      <w:r w:rsidRPr="00677B3D">
        <w:rPr>
          <w:rFonts w:eastAsiaTheme="minorHAnsi"/>
          <w:lang w:eastAsia="en-US"/>
        </w:rPr>
        <w:t>Remont</w:t>
      </w:r>
      <w:r w:rsidR="00B27E84" w:rsidRPr="00677B3D">
        <w:rPr>
          <w:rFonts w:eastAsiaTheme="minorHAnsi"/>
          <w:lang w:eastAsia="en-US"/>
        </w:rPr>
        <w:t>a</w:t>
      </w:r>
      <w:r w:rsidRPr="00677B3D">
        <w:rPr>
          <w:rFonts w:eastAsiaTheme="minorHAnsi"/>
          <w:lang w:eastAsia="en-US"/>
        </w:rPr>
        <w:t xml:space="preserve"> servisiem</w:t>
      </w:r>
      <w:r w:rsidR="00030CA2" w:rsidRPr="00677B3D">
        <w:rPr>
          <w:rFonts w:eastAsiaTheme="minorHAnsi"/>
          <w:lang w:eastAsia="en-US"/>
        </w:rPr>
        <w:t xml:space="preserve"> </w:t>
      </w:r>
      <w:r w:rsidR="00B27E84" w:rsidRPr="00677B3D">
        <w:rPr>
          <w:rFonts w:eastAsiaTheme="minorHAnsi"/>
          <w:lang w:eastAsia="en-US"/>
        </w:rPr>
        <w:t>tieši izriet, ka Remonta servisi nodrošina to preču remontu, par kuru garantiju klientu priekšā ir atbildīga pieteicēja.</w:t>
      </w:r>
      <w:r w:rsidR="00030CA2" w:rsidRPr="00677B3D">
        <w:rPr>
          <w:rFonts w:eastAsiaTheme="minorHAnsi"/>
          <w:lang w:eastAsia="en-US"/>
        </w:rPr>
        <w:t xml:space="preserve"> </w:t>
      </w:r>
      <w:r w:rsidRPr="00677B3D">
        <w:rPr>
          <w:rFonts w:eastAsiaTheme="minorHAnsi"/>
          <w:lang w:eastAsia="en-US"/>
        </w:rPr>
        <w:t>Arī tiesu praksē par personu, kura ir atbildīga par garantijas remontu</w:t>
      </w:r>
      <w:r w:rsidR="00030CA2" w:rsidRPr="00677B3D">
        <w:rPr>
          <w:rFonts w:eastAsiaTheme="minorHAnsi"/>
          <w:lang w:eastAsia="en-US"/>
        </w:rPr>
        <w:t xml:space="preserve"> </w:t>
      </w:r>
      <w:r w:rsidRPr="00677B3D">
        <w:rPr>
          <w:rFonts w:eastAsiaTheme="minorHAnsi"/>
          <w:lang w:eastAsia="en-US"/>
        </w:rPr>
        <w:t>nodrošināšanu tiek atzītas Latvijā reģistrētas personas, nevis ārzemju ražotājs, kurš</w:t>
      </w:r>
      <w:r w:rsidR="00030CA2" w:rsidRPr="00677B3D">
        <w:rPr>
          <w:rFonts w:eastAsiaTheme="minorHAnsi"/>
          <w:lang w:eastAsia="en-US"/>
        </w:rPr>
        <w:t xml:space="preserve"> </w:t>
      </w:r>
      <w:r w:rsidRPr="00677B3D">
        <w:rPr>
          <w:rFonts w:eastAsiaTheme="minorHAnsi"/>
          <w:lang w:eastAsia="en-US"/>
        </w:rPr>
        <w:t>nav reģistrēts Latvijā (</w:t>
      </w:r>
      <w:r w:rsidR="003F60AB" w:rsidRPr="00677B3D">
        <w:rPr>
          <w:rFonts w:eastAsiaTheme="minorHAnsi"/>
          <w:iCs/>
          <w:lang w:eastAsia="en-US"/>
        </w:rPr>
        <w:t xml:space="preserve">sal. </w:t>
      </w:r>
      <w:r w:rsidRPr="00677B3D">
        <w:rPr>
          <w:rFonts w:eastAsiaTheme="minorHAnsi"/>
          <w:i/>
          <w:iCs/>
          <w:lang w:eastAsia="en-US"/>
        </w:rPr>
        <w:t>Augstākās tiesas 2010.gada 10.februāra spriedumu</w:t>
      </w:r>
      <w:r w:rsidR="00030CA2" w:rsidRPr="00677B3D">
        <w:rPr>
          <w:rFonts w:eastAsiaTheme="minorHAnsi"/>
          <w:i/>
          <w:iCs/>
          <w:lang w:eastAsia="en-US"/>
        </w:rPr>
        <w:t xml:space="preserve"> </w:t>
      </w:r>
      <w:r w:rsidRPr="00677B3D">
        <w:rPr>
          <w:rFonts w:eastAsiaTheme="minorHAnsi"/>
          <w:i/>
          <w:iCs/>
          <w:lang w:eastAsia="en-US"/>
        </w:rPr>
        <w:t>lietā Nr.</w:t>
      </w:r>
      <w:r w:rsidR="003F60AB" w:rsidRPr="00677B3D">
        <w:rPr>
          <w:rFonts w:eastAsiaTheme="minorHAnsi"/>
          <w:i/>
          <w:iCs/>
          <w:lang w:eastAsia="en-US"/>
        </w:rPr>
        <w:t> </w:t>
      </w:r>
      <w:r w:rsidRPr="00677B3D">
        <w:rPr>
          <w:rFonts w:eastAsiaTheme="minorHAnsi"/>
          <w:i/>
          <w:iCs/>
          <w:lang w:eastAsia="en-US"/>
        </w:rPr>
        <w:t>SKA-27/2010, 2010.gada 5.novembra spriedumu lietā Nr.</w:t>
      </w:r>
      <w:r w:rsidR="003F60AB" w:rsidRPr="00677B3D">
        <w:rPr>
          <w:rFonts w:eastAsiaTheme="minorHAnsi"/>
          <w:i/>
          <w:iCs/>
          <w:lang w:eastAsia="en-US"/>
        </w:rPr>
        <w:t> </w:t>
      </w:r>
      <w:r w:rsidRPr="00677B3D">
        <w:rPr>
          <w:rFonts w:eastAsiaTheme="minorHAnsi"/>
          <w:i/>
          <w:iCs/>
          <w:lang w:eastAsia="en-US"/>
        </w:rPr>
        <w:t>SKA-380/2010</w:t>
      </w:r>
      <w:r w:rsidRPr="00677B3D">
        <w:rPr>
          <w:rFonts w:eastAsiaTheme="minorHAnsi"/>
          <w:lang w:eastAsia="en-US"/>
        </w:rPr>
        <w:t>).</w:t>
      </w:r>
      <w:r w:rsidR="00030CA2" w:rsidRPr="00677B3D">
        <w:rPr>
          <w:rFonts w:eastAsiaTheme="minorHAnsi"/>
          <w:lang w:eastAsia="en-US"/>
        </w:rPr>
        <w:t xml:space="preserve"> </w:t>
      </w:r>
    </w:p>
    <w:p w14:paraId="4A884E02" w14:textId="2B807502" w:rsidR="00370DCD" w:rsidRPr="00677B3D" w:rsidRDefault="00370DCD" w:rsidP="00370DCD">
      <w:pPr>
        <w:spacing w:line="276" w:lineRule="auto"/>
        <w:ind w:firstLine="567"/>
        <w:jc w:val="both"/>
        <w:rPr>
          <w:rFonts w:eastAsiaTheme="minorHAnsi"/>
          <w:lang w:eastAsia="en-US"/>
        </w:rPr>
      </w:pPr>
      <w:r w:rsidRPr="00677B3D">
        <w:rPr>
          <w:rFonts w:eastAsiaTheme="minorHAnsi"/>
          <w:lang w:eastAsia="en-US"/>
        </w:rPr>
        <w:t xml:space="preserve">[6.4] </w:t>
      </w:r>
      <w:r w:rsidR="00171642" w:rsidRPr="00677B3D">
        <w:rPr>
          <w:rFonts w:eastAsiaTheme="minorHAnsi"/>
          <w:lang w:eastAsia="en-US"/>
        </w:rPr>
        <w:t xml:space="preserve">Tāpat lietā noskaidrots, ka pieteicēja saskaņā ar </w:t>
      </w:r>
      <w:r w:rsidR="009E6B68" w:rsidRPr="00677B3D">
        <w:rPr>
          <w:rFonts w:eastAsiaTheme="minorHAnsi"/>
          <w:lang w:eastAsia="en-US"/>
        </w:rPr>
        <w:t>līgumu ir Nīderlandes Samsung</w:t>
      </w:r>
      <w:r w:rsidR="00171642" w:rsidRPr="00677B3D">
        <w:rPr>
          <w:rFonts w:eastAsiaTheme="minorHAnsi"/>
          <w:lang w:eastAsia="en-US"/>
        </w:rPr>
        <w:t xml:space="preserve"> Baltijas valstu tirgos pārdoto preču garantijas nodrošināšanas saistību</w:t>
      </w:r>
      <w:r w:rsidR="00030CA2" w:rsidRPr="00677B3D">
        <w:rPr>
          <w:rFonts w:eastAsiaTheme="minorHAnsi"/>
          <w:lang w:eastAsia="en-US"/>
        </w:rPr>
        <w:t xml:space="preserve"> </w:t>
      </w:r>
      <w:r w:rsidR="00171642" w:rsidRPr="00677B3D">
        <w:rPr>
          <w:rFonts w:eastAsiaTheme="minorHAnsi"/>
          <w:lang w:eastAsia="en-US"/>
        </w:rPr>
        <w:t xml:space="preserve">pārņēmēja. </w:t>
      </w:r>
      <w:r w:rsidRPr="00677B3D">
        <w:rPr>
          <w:rFonts w:eastAsiaTheme="minorHAnsi"/>
          <w:lang w:eastAsia="en-US"/>
        </w:rPr>
        <w:t>Tā kā pieteicēja Baltijas valstu teritorijā izplata Samsung zīmola preces, faktiski pārņemot šajā teritorijā Nīderlandes Samsung darbības veidu un turpinot izplatīt tās pašas preces, ko iepriekš izplatīja Nīderlandes Samsung, garantijas nodrošināšana 2005.</w:t>
      </w:r>
      <w:r w:rsidR="00250DBA" w:rsidRPr="00677B3D">
        <w:rPr>
          <w:rFonts w:eastAsiaTheme="minorHAnsi"/>
          <w:lang w:eastAsia="en-US"/>
        </w:rPr>
        <w:t>–</w:t>
      </w:r>
      <w:proofErr w:type="gramStart"/>
      <w:r w:rsidRPr="00677B3D">
        <w:rPr>
          <w:rFonts w:eastAsiaTheme="minorHAnsi"/>
          <w:lang w:eastAsia="en-US"/>
        </w:rPr>
        <w:t>2007.gadā</w:t>
      </w:r>
      <w:proofErr w:type="gramEnd"/>
      <w:r w:rsidRPr="00677B3D">
        <w:rPr>
          <w:rFonts w:eastAsiaTheme="minorHAnsi"/>
          <w:lang w:eastAsia="en-US"/>
        </w:rPr>
        <w:t xml:space="preserve"> pārdotajām precēm ir nozīmīga un ietekmē arī pieteicējas turpmāko saimniecisko darbību. Ja 2005.</w:t>
      </w:r>
      <w:r w:rsidR="00250DBA" w:rsidRPr="00677B3D">
        <w:rPr>
          <w:rFonts w:eastAsiaTheme="minorHAnsi"/>
          <w:lang w:eastAsia="en-US"/>
        </w:rPr>
        <w:t>–</w:t>
      </w:r>
      <w:proofErr w:type="gramStart"/>
      <w:r w:rsidRPr="00677B3D">
        <w:rPr>
          <w:rFonts w:eastAsiaTheme="minorHAnsi"/>
          <w:lang w:eastAsia="en-US"/>
        </w:rPr>
        <w:t>2007.gadā</w:t>
      </w:r>
      <w:proofErr w:type="gramEnd"/>
      <w:r w:rsidRPr="00677B3D">
        <w:rPr>
          <w:rFonts w:eastAsiaTheme="minorHAnsi"/>
          <w:lang w:eastAsia="en-US"/>
        </w:rPr>
        <w:t xml:space="preserve"> Baltijas valstu teritorijā pārdotām </w:t>
      </w:r>
      <w:r w:rsidRPr="002222C6">
        <w:rPr>
          <w:rFonts w:eastAsiaTheme="minorHAnsi"/>
          <w:i/>
          <w:lang w:eastAsia="en-US"/>
        </w:rPr>
        <w:t>Samsung</w:t>
      </w:r>
      <w:r w:rsidRPr="00677B3D">
        <w:rPr>
          <w:rFonts w:eastAsiaTheme="minorHAnsi"/>
          <w:lang w:eastAsia="en-US"/>
        </w:rPr>
        <w:t xml:space="preserve"> zīmola precēm netiktu nodrošināts garantijas remonts, šā zīmola preču popularitāte nenoliedzami kristos, un tas būtiski ietekmētu pieteicējas </w:t>
      </w:r>
      <w:r w:rsidRPr="00677B3D">
        <w:rPr>
          <w:rFonts w:eastAsiaTheme="minorHAnsi"/>
          <w:lang w:eastAsia="en-US"/>
        </w:rPr>
        <w:lastRenderedPageBreak/>
        <w:t xml:space="preserve">saimniecisko darbību, jo saprātīgs patērētājs, apstākļos, ja </w:t>
      </w:r>
      <w:r w:rsidRPr="002222C6">
        <w:rPr>
          <w:rFonts w:eastAsiaTheme="minorHAnsi"/>
          <w:i/>
          <w:lang w:eastAsia="en-US"/>
        </w:rPr>
        <w:t>Samsung</w:t>
      </w:r>
      <w:r w:rsidRPr="00677B3D">
        <w:rPr>
          <w:rFonts w:eastAsiaTheme="minorHAnsi"/>
          <w:lang w:eastAsia="en-US"/>
        </w:rPr>
        <w:t xml:space="preserve"> zīmola precēm netiek nodrošināts garantijas remonts (pat ja tās ir preces, kuras neizplatīja pieteicēja, bet kuras tika izplatītas pirms pieteicējas darbības uzsākšanas tajā pašā ģeogrāfiskajā teritorijā), turpmāk piesardzīgi izturētos pret šā zīmola precēm un izvēlētos produktu, kuram nav problēmu ar garantijas nodrošināšanu. Tādējādi arī pieteicējas Nīderlandes Samsung sniegtais pakalpojums par preču garantijas nodrošināšanu ir saistīts ar pieteicējas saimniecisko darbību – </w:t>
      </w:r>
      <w:r w:rsidRPr="002222C6">
        <w:rPr>
          <w:rFonts w:eastAsiaTheme="minorHAnsi"/>
          <w:i/>
          <w:lang w:eastAsia="en-US"/>
        </w:rPr>
        <w:t>Samsung</w:t>
      </w:r>
      <w:r w:rsidRPr="00677B3D">
        <w:rPr>
          <w:rFonts w:eastAsiaTheme="minorHAnsi"/>
          <w:lang w:eastAsia="en-US"/>
        </w:rPr>
        <w:t xml:space="preserve"> zīmola preču izplatīšanu Baltijas valstīs.</w:t>
      </w:r>
    </w:p>
    <w:p w14:paraId="6A257FB6" w14:textId="77777777" w:rsidR="00030CA2" w:rsidRPr="00677B3D" w:rsidRDefault="00707AE9" w:rsidP="00030CA2">
      <w:pPr>
        <w:spacing w:line="276" w:lineRule="auto"/>
        <w:ind w:firstLine="567"/>
        <w:jc w:val="both"/>
        <w:rPr>
          <w:rFonts w:eastAsiaTheme="minorHAnsi"/>
          <w:lang w:eastAsia="en-US"/>
        </w:rPr>
      </w:pPr>
      <w:r w:rsidRPr="00677B3D">
        <w:rPr>
          <w:rFonts w:eastAsiaTheme="minorHAnsi"/>
          <w:lang w:eastAsia="en-US"/>
        </w:rPr>
        <w:t>[6.</w:t>
      </w:r>
      <w:r w:rsidR="00370DCD" w:rsidRPr="00677B3D">
        <w:rPr>
          <w:rFonts w:eastAsiaTheme="minorHAnsi"/>
          <w:lang w:eastAsia="en-US"/>
        </w:rPr>
        <w:t>5</w:t>
      </w:r>
      <w:r w:rsidRPr="00677B3D">
        <w:rPr>
          <w:rFonts w:eastAsiaTheme="minorHAnsi"/>
          <w:lang w:eastAsia="en-US"/>
        </w:rPr>
        <w:t xml:space="preserve">] </w:t>
      </w:r>
      <w:r w:rsidR="00171642" w:rsidRPr="00677B3D">
        <w:rPr>
          <w:rFonts w:eastAsiaTheme="minorHAnsi"/>
          <w:lang w:eastAsia="en-US"/>
        </w:rPr>
        <w:t>Ievērojot minēto, abos gadījumos – gan pieteicēja</w:t>
      </w:r>
      <w:r w:rsidR="00555ECD" w:rsidRPr="00677B3D">
        <w:rPr>
          <w:rFonts w:eastAsiaTheme="minorHAnsi"/>
          <w:lang w:eastAsia="en-US"/>
        </w:rPr>
        <w:t>i</w:t>
      </w:r>
      <w:r w:rsidR="00171642" w:rsidRPr="00677B3D">
        <w:rPr>
          <w:rFonts w:eastAsiaTheme="minorHAnsi"/>
          <w:lang w:eastAsia="en-US"/>
        </w:rPr>
        <w:t xml:space="preserve"> pašai izplatot preces</w:t>
      </w:r>
      <w:r w:rsidR="00030CA2" w:rsidRPr="00677B3D">
        <w:rPr>
          <w:rFonts w:eastAsiaTheme="minorHAnsi"/>
          <w:lang w:eastAsia="en-US"/>
        </w:rPr>
        <w:t xml:space="preserve"> </w:t>
      </w:r>
      <w:r w:rsidR="00171642" w:rsidRPr="00677B3D">
        <w:rPr>
          <w:rFonts w:eastAsiaTheme="minorHAnsi"/>
          <w:lang w:eastAsia="en-US"/>
        </w:rPr>
        <w:t>saskaņ</w:t>
      </w:r>
      <w:r w:rsidR="009E6B68" w:rsidRPr="00677B3D">
        <w:rPr>
          <w:rFonts w:eastAsiaTheme="minorHAnsi"/>
          <w:lang w:eastAsia="en-US"/>
        </w:rPr>
        <w:t>ā</w:t>
      </w:r>
      <w:r w:rsidR="00171642" w:rsidRPr="00677B3D">
        <w:rPr>
          <w:rFonts w:eastAsiaTheme="minorHAnsi"/>
          <w:lang w:eastAsia="en-US"/>
        </w:rPr>
        <w:t xml:space="preserve"> ar Izplatīšanas līgumu, gan pieteicējai nodrošinot </w:t>
      </w:r>
      <w:r w:rsidR="009E6B68" w:rsidRPr="00677B3D">
        <w:rPr>
          <w:rFonts w:eastAsiaTheme="minorHAnsi"/>
          <w:lang w:eastAsia="en-US"/>
        </w:rPr>
        <w:t>Nīderlandes Samsung</w:t>
      </w:r>
      <w:r w:rsidR="00171642" w:rsidRPr="00677B3D">
        <w:rPr>
          <w:rFonts w:eastAsiaTheme="minorHAnsi"/>
          <w:lang w:eastAsia="en-US"/>
        </w:rPr>
        <w:t xml:space="preserve"> iepriekš Baltijas</w:t>
      </w:r>
      <w:r w:rsidR="00030CA2" w:rsidRPr="00677B3D">
        <w:rPr>
          <w:rFonts w:eastAsiaTheme="minorHAnsi"/>
          <w:lang w:eastAsia="en-US"/>
        </w:rPr>
        <w:t xml:space="preserve"> </w:t>
      </w:r>
      <w:r w:rsidR="00171642" w:rsidRPr="00677B3D">
        <w:rPr>
          <w:rFonts w:eastAsiaTheme="minorHAnsi"/>
          <w:lang w:eastAsia="en-US"/>
        </w:rPr>
        <w:t xml:space="preserve">valstu teritorijā pārdoto preču garantijas remontu, </w:t>
      </w:r>
      <w:r w:rsidR="009E6B68" w:rsidRPr="00677B3D">
        <w:rPr>
          <w:rFonts w:eastAsiaTheme="minorHAnsi"/>
          <w:lang w:eastAsia="en-US"/>
        </w:rPr>
        <w:t xml:space="preserve">pieteicēja ir </w:t>
      </w:r>
      <w:r w:rsidR="00171642" w:rsidRPr="00677B3D">
        <w:rPr>
          <w:rFonts w:eastAsiaTheme="minorHAnsi"/>
          <w:lang w:eastAsia="en-US"/>
        </w:rPr>
        <w:t xml:space="preserve">atzīstama par </w:t>
      </w:r>
      <w:r w:rsidR="009E6B68" w:rsidRPr="00677B3D">
        <w:rPr>
          <w:rFonts w:eastAsiaTheme="minorHAnsi"/>
          <w:lang w:eastAsia="en-US"/>
        </w:rPr>
        <w:t xml:space="preserve">faktisko </w:t>
      </w:r>
      <w:r w:rsidR="00171642" w:rsidRPr="00677B3D">
        <w:rPr>
          <w:rFonts w:eastAsiaTheme="minorHAnsi"/>
          <w:lang w:eastAsia="en-US"/>
        </w:rPr>
        <w:t>garantijas</w:t>
      </w:r>
      <w:r w:rsidR="00030CA2" w:rsidRPr="00677B3D">
        <w:rPr>
          <w:rFonts w:eastAsiaTheme="minorHAnsi"/>
          <w:lang w:eastAsia="en-US"/>
        </w:rPr>
        <w:t xml:space="preserve"> </w:t>
      </w:r>
      <w:r w:rsidR="00171642" w:rsidRPr="00677B3D">
        <w:rPr>
          <w:rFonts w:eastAsiaTheme="minorHAnsi"/>
          <w:lang w:eastAsia="en-US"/>
        </w:rPr>
        <w:t xml:space="preserve">sniedzēju, </w:t>
      </w:r>
      <w:r w:rsidR="009E6B68" w:rsidRPr="00677B3D">
        <w:rPr>
          <w:rFonts w:eastAsiaTheme="minorHAnsi"/>
          <w:lang w:eastAsia="en-US"/>
        </w:rPr>
        <w:t>proti</w:t>
      </w:r>
      <w:r w:rsidR="00171642" w:rsidRPr="00677B3D">
        <w:rPr>
          <w:rFonts w:eastAsiaTheme="minorHAnsi"/>
          <w:lang w:eastAsia="en-US"/>
        </w:rPr>
        <w:t>, personu, kura nodrošina garantijas remontu precēm un</w:t>
      </w:r>
      <w:r w:rsidR="00030CA2" w:rsidRPr="00677B3D">
        <w:rPr>
          <w:rFonts w:eastAsiaTheme="minorHAnsi"/>
          <w:lang w:eastAsia="en-US"/>
        </w:rPr>
        <w:t xml:space="preserve"> </w:t>
      </w:r>
      <w:r w:rsidR="00171642" w:rsidRPr="00677B3D">
        <w:rPr>
          <w:rFonts w:eastAsiaTheme="minorHAnsi"/>
          <w:lang w:eastAsia="en-US"/>
        </w:rPr>
        <w:t xml:space="preserve">kura ir atbildīga </w:t>
      </w:r>
      <w:r w:rsidR="009E6B68" w:rsidRPr="00677B3D">
        <w:rPr>
          <w:rFonts w:eastAsiaTheme="minorHAnsi"/>
          <w:lang w:eastAsia="en-US"/>
        </w:rPr>
        <w:t>pircēju</w:t>
      </w:r>
      <w:r w:rsidR="00171642" w:rsidRPr="00677B3D">
        <w:rPr>
          <w:rFonts w:eastAsiaTheme="minorHAnsi"/>
          <w:lang w:eastAsia="en-US"/>
        </w:rPr>
        <w:t xml:space="preserve"> priekšā par garantijas saistību izpildi</w:t>
      </w:r>
      <w:r w:rsidR="00370DCD" w:rsidRPr="00677B3D">
        <w:rPr>
          <w:rFonts w:eastAsiaTheme="minorHAnsi"/>
          <w:lang w:eastAsia="en-US"/>
        </w:rPr>
        <w:t xml:space="preserve">, un </w:t>
      </w:r>
      <w:r w:rsidR="00313973" w:rsidRPr="00677B3D">
        <w:rPr>
          <w:rFonts w:eastAsiaTheme="minorHAnsi"/>
          <w:lang w:eastAsia="en-US"/>
        </w:rPr>
        <w:t>garantijas remontu nodrošināšana ir saistīta ar pieteicējas saimniecisko darbību – preču izplatīšanu.</w:t>
      </w:r>
      <w:r w:rsidR="00370DCD" w:rsidRPr="00677B3D">
        <w:rPr>
          <w:rFonts w:eastAsiaTheme="minorHAnsi"/>
          <w:lang w:eastAsia="en-US"/>
        </w:rPr>
        <w:t xml:space="preserve"> </w:t>
      </w:r>
    </w:p>
    <w:p w14:paraId="3BA152EB" w14:textId="77777777" w:rsidR="00FF7521" w:rsidRPr="00677B3D" w:rsidRDefault="00171642" w:rsidP="00171642">
      <w:pPr>
        <w:spacing w:line="276" w:lineRule="auto"/>
        <w:ind w:firstLine="567"/>
        <w:jc w:val="both"/>
        <w:rPr>
          <w:rFonts w:eastAsiaTheme="minorHAnsi"/>
          <w:lang w:eastAsia="en-US"/>
        </w:rPr>
      </w:pPr>
      <w:r w:rsidRPr="00677B3D">
        <w:rPr>
          <w:rFonts w:eastAsiaTheme="minorHAnsi"/>
          <w:lang w:eastAsia="en-US"/>
        </w:rPr>
        <w:t>[</w:t>
      </w:r>
      <w:r w:rsidR="00707AE9" w:rsidRPr="00677B3D">
        <w:rPr>
          <w:rFonts w:eastAsiaTheme="minorHAnsi"/>
          <w:lang w:eastAsia="en-US"/>
        </w:rPr>
        <w:t>6.</w:t>
      </w:r>
      <w:r w:rsidR="00370DCD" w:rsidRPr="00677B3D">
        <w:rPr>
          <w:rFonts w:eastAsiaTheme="minorHAnsi"/>
          <w:lang w:eastAsia="en-US"/>
        </w:rPr>
        <w:t>6</w:t>
      </w:r>
      <w:r w:rsidR="00707AE9" w:rsidRPr="00677B3D">
        <w:rPr>
          <w:rFonts w:eastAsiaTheme="minorHAnsi"/>
          <w:lang w:eastAsia="en-US"/>
        </w:rPr>
        <w:t>]</w:t>
      </w:r>
      <w:r w:rsidRPr="00677B3D">
        <w:rPr>
          <w:rFonts w:eastAsiaTheme="minorHAnsi"/>
          <w:lang w:eastAsia="en-US"/>
        </w:rPr>
        <w:t xml:space="preserve"> </w:t>
      </w:r>
      <w:r w:rsidR="00313973" w:rsidRPr="00677B3D">
        <w:rPr>
          <w:rFonts w:eastAsiaTheme="minorHAnsi"/>
          <w:lang w:eastAsia="en-US"/>
        </w:rPr>
        <w:t>Dienests pārsūdzētajā lēmumā nav pamatojis, kāpēc</w:t>
      </w:r>
      <w:r w:rsidRPr="00677B3D">
        <w:rPr>
          <w:rFonts w:eastAsiaTheme="minorHAnsi"/>
          <w:lang w:eastAsia="en-US"/>
        </w:rPr>
        <w:t xml:space="preserve"> pieteicējas</w:t>
      </w:r>
      <w:r w:rsidR="00030CA2" w:rsidRPr="00677B3D">
        <w:rPr>
          <w:rFonts w:eastAsiaTheme="minorHAnsi"/>
          <w:lang w:eastAsia="en-US"/>
        </w:rPr>
        <w:t xml:space="preserve"> </w:t>
      </w:r>
      <w:r w:rsidRPr="00677B3D">
        <w:rPr>
          <w:rFonts w:eastAsiaTheme="minorHAnsi"/>
          <w:lang w:eastAsia="en-US"/>
        </w:rPr>
        <w:t>un ar to nesaistīto personu – Remonta servisu – darījumi par preču garantijas remontu</w:t>
      </w:r>
      <w:r w:rsidR="00030CA2" w:rsidRPr="00677B3D">
        <w:rPr>
          <w:rFonts w:eastAsiaTheme="minorHAnsi"/>
          <w:lang w:eastAsia="en-US"/>
        </w:rPr>
        <w:t xml:space="preserve"> </w:t>
      </w:r>
      <w:r w:rsidRPr="00677B3D">
        <w:rPr>
          <w:rFonts w:eastAsiaTheme="minorHAnsi"/>
          <w:lang w:eastAsia="en-US"/>
        </w:rPr>
        <w:t>pakalpojumu sniegšanu nav atzīstami par apliekamiem darījumiem likuma „Par</w:t>
      </w:r>
      <w:r w:rsidR="00030CA2" w:rsidRPr="00677B3D">
        <w:rPr>
          <w:rFonts w:eastAsiaTheme="minorHAnsi"/>
          <w:lang w:eastAsia="en-US"/>
        </w:rPr>
        <w:t xml:space="preserve"> </w:t>
      </w:r>
      <w:r w:rsidRPr="00677B3D">
        <w:rPr>
          <w:rFonts w:eastAsiaTheme="minorHAnsi"/>
          <w:lang w:eastAsia="en-US"/>
        </w:rPr>
        <w:t>pievienotās vērtības nodokli” normu izpratnē.</w:t>
      </w:r>
      <w:r w:rsidR="00030CA2" w:rsidRPr="00677B3D">
        <w:rPr>
          <w:rFonts w:eastAsiaTheme="minorHAnsi"/>
          <w:lang w:eastAsia="en-US"/>
        </w:rPr>
        <w:t xml:space="preserve"> </w:t>
      </w:r>
      <w:r w:rsidR="00FF7521" w:rsidRPr="00677B3D">
        <w:rPr>
          <w:rFonts w:eastAsiaTheme="minorHAnsi"/>
          <w:lang w:eastAsia="en-US"/>
        </w:rPr>
        <w:t>L</w:t>
      </w:r>
      <w:r w:rsidRPr="00677B3D">
        <w:rPr>
          <w:rFonts w:eastAsiaTheme="minorHAnsi"/>
          <w:lang w:eastAsia="en-US"/>
        </w:rPr>
        <w:t>ēmumā nav pamatots, kādēļ pieteicējas un</w:t>
      </w:r>
      <w:r w:rsidR="00030CA2" w:rsidRPr="00677B3D">
        <w:rPr>
          <w:rFonts w:eastAsiaTheme="minorHAnsi"/>
          <w:lang w:eastAsia="en-US"/>
        </w:rPr>
        <w:t xml:space="preserve"> </w:t>
      </w:r>
      <w:r w:rsidRPr="00677B3D">
        <w:rPr>
          <w:rFonts w:eastAsiaTheme="minorHAnsi"/>
          <w:lang w:eastAsia="en-US"/>
        </w:rPr>
        <w:t>Remonta servisu darījumi par remonta pakalpojumu sniegšanu būtu atzīstami par</w:t>
      </w:r>
      <w:r w:rsidR="00030CA2" w:rsidRPr="00677B3D">
        <w:rPr>
          <w:rFonts w:eastAsiaTheme="minorHAnsi"/>
          <w:lang w:eastAsia="en-US"/>
        </w:rPr>
        <w:t xml:space="preserve"> </w:t>
      </w:r>
      <w:r w:rsidRPr="00677B3D">
        <w:rPr>
          <w:rFonts w:eastAsiaTheme="minorHAnsi"/>
          <w:lang w:eastAsia="en-US"/>
        </w:rPr>
        <w:t xml:space="preserve">darbībām, </w:t>
      </w:r>
      <w:r w:rsidR="00FF7521" w:rsidRPr="00677B3D">
        <w:rPr>
          <w:rFonts w:eastAsiaTheme="minorHAnsi"/>
          <w:lang w:eastAsia="en-US"/>
        </w:rPr>
        <w:t xml:space="preserve">kas saistītas ar izdevumu kompensāciju maksu. </w:t>
      </w:r>
    </w:p>
    <w:p w14:paraId="36F6C721" w14:textId="77777777" w:rsidR="00677B3D" w:rsidRDefault="00FF7521" w:rsidP="00677B3D">
      <w:pPr>
        <w:spacing w:line="276" w:lineRule="auto"/>
        <w:ind w:firstLine="567"/>
        <w:jc w:val="both"/>
        <w:rPr>
          <w:rFonts w:eastAsiaTheme="minorHAnsi"/>
          <w:lang w:eastAsia="en-US"/>
        </w:rPr>
      </w:pPr>
      <w:r w:rsidRPr="00677B3D">
        <w:rPr>
          <w:rFonts w:eastAsiaTheme="minorHAnsi"/>
          <w:lang w:eastAsia="en-US"/>
        </w:rPr>
        <w:t>[6.</w:t>
      </w:r>
      <w:r w:rsidR="00370DCD" w:rsidRPr="00677B3D">
        <w:rPr>
          <w:rFonts w:eastAsiaTheme="minorHAnsi"/>
          <w:lang w:eastAsia="en-US"/>
        </w:rPr>
        <w:t>7</w:t>
      </w:r>
      <w:r w:rsidRPr="00677B3D">
        <w:rPr>
          <w:rFonts w:eastAsiaTheme="minorHAnsi"/>
          <w:lang w:eastAsia="en-US"/>
        </w:rPr>
        <w:t xml:space="preserve">] </w:t>
      </w:r>
      <w:r w:rsidR="00370DCD" w:rsidRPr="00677B3D">
        <w:rPr>
          <w:rFonts w:eastAsiaTheme="minorHAnsi"/>
          <w:lang w:eastAsia="en-US"/>
        </w:rPr>
        <w:t>Rezumējot minēto, secināms</w:t>
      </w:r>
      <w:r w:rsidR="009323A3" w:rsidRPr="00677B3D">
        <w:rPr>
          <w:rFonts w:eastAsiaTheme="minorHAnsi"/>
          <w:lang w:eastAsia="en-US"/>
        </w:rPr>
        <w:t xml:space="preserve">, ka pieteicējas un </w:t>
      </w:r>
      <w:r w:rsidR="00370DCD" w:rsidRPr="00677B3D">
        <w:rPr>
          <w:rFonts w:eastAsiaTheme="minorHAnsi"/>
          <w:lang w:eastAsia="en-US"/>
        </w:rPr>
        <w:t xml:space="preserve">Remonta servisu starpā notika </w:t>
      </w:r>
      <w:r w:rsidR="009323A3" w:rsidRPr="00677B3D">
        <w:rPr>
          <w:rFonts w:eastAsiaTheme="minorHAnsi"/>
          <w:lang w:eastAsia="en-US"/>
        </w:rPr>
        <w:t>darījumi par atlīdzību likuma „Par pievienotās vērtības nodokli” izpratnē, darījumi ti</w:t>
      </w:r>
      <w:r w:rsidR="00370DCD" w:rsidRPr="00677B3D">
        <w:rPr>
          <w:rFonts w:eastAsiaTheme="minorHAnsi"/>
          <w:lang w:eastAsia="en-US"/>
        </w:rPr>
        <w:t>ka</w:t>
      </w:r>
      <w:r w:rsidR="009323A3" w:rsidRPr="00677B3D">
        <w:rPr>
          <w:rFonts w:eastAsiaTheme="minorHAnsi"/>
          <w:lang w:eastAsia="en-US"/>
        </w:rPr>
        <w:t xml:space="preserve"> veikti abu darījumu partneru saimnieciskās darbības ietvaros, abi darījuma dalībnieki ir reģistrēti dienestā ar pievienotās vērtības nodokli apliekamo personu reģistrā, Remonta servisi par pieteicējai sniegto remonta pakalpojumu izrakst</w:t>
      </w:r>
      <w:r w:rsidR="00370DCD" w:rsidRPr="00677B3D">
        <w:rPr>
          <w:rFonts w:eastAsiaTheme="minorHAnsi"/>
          <w:lang w:eastAsia="en-US"/>
        </w:rPr>
        <w:t>īja</w:t>
      </w:r>
      <w:r w:rsidR="009323A3" w:rsidRPr="00677B3D">
        <w:rPr>
          <w:rFonts w:eastAsiaTheme="minorHAnsi"/>
          <w:lang w:eastAsia="en-US"/>
        </w:rPr>
        <w:t xml:space="preserve"> tiesību normām atbilstošus rēķinus</w:t>
      </w:r>
      <w:r w:rsidR="00370DCD" w:rsidRPr="00677B3D">
        <w:rPr>
          <w:rFonts w:eastAsiaTheme="minorHAnsi"/>
          <w:lang w:eastAsia="en-US"/>
        </w:rPr>
        <w:t xml:space="preserve"> un </w:t>
      </w:r>
      <w:r w:rsidR="009323A3" w:rsidRPr="00677B3D">
        <w:rPr>
          <w:rFonts w:eastAsiaTheme="minorHAnsi"/>
          <w:lang w:eastAsia="en-US"/>
        </w:rPr>
        <w:t>pieteicēja veic</w:t>
      </w:r>
      <w:r w:rsidR="00370DCD" w:rsidRPr="00677B3D">
        <w:rPr>
          <w:rFonts w:eastAsiaTheme="minorHAnsi"/>
          <w:lang w:eastAsia="en-US"/>
        </w:rPr>
        <w:t>a</w:t>
      </w:r>
      <w:r w:rsidR="009323A3" w:rsidRPr="00677B3D">
        <w:rPr>
          <w:rFonts w:eastAsiaTheme="minorHAnsi"/>
          <w:lang w:eastAsia="en-US"/>
        </w:rPr>
        <w:t xml:space="preserve"> rēķinu apmaksu pilnā apmērā. Šādos apstākļos apgabaltiesa secina, ka </w:t>
      </w:r>
      <w:r w:rsidR="00370DCD" w:rsidRPr="00677B3D">
        <w:rPr>
          <w:rFonts w:eastAsiaTheme="minorHAnsi"/>
          <w:lang w:eastAsia="en-US"/>
        </w:rPr>
        <w:t xml:space="preserve">dienests nepamatoti liedzis </w:t>
      </w:r>
      <w:r w:rsidR="009323A3" w:rsidRPr="00677B3D">
        <w:rPr>
          <w:rFonts w:eastAsiaTheme="minorHAnsi"/>
          <w:lang w:eastAsia="en-US"/>
        </w:rPr>
        <w:t xml:space="preserve">pieteicējai tiesības </w:t>
      </w:r>
      <w:r w:rsidR="00370DCD" w:rsidRPr="00677B3D">
        <w:rPr>
          <w:rFonts w:eastAsiaTheme="minorHAnsi"/>
          <w:lang w:eastAsia="en-US"/>
        </w:rPr>
        <w:t>atskaitīt</w:t>
      </w:r>
      <w:r w:rsidR="009323A3" w:rsidRPr="00677B3D">
        <w:rPr>
          <w:rFonts w:eastAsiaTheme="minorHAnsi"/>
          <w:lang w:eastAsia="en-US"/>
        </w:rPr>
        <w:t xml:space="preserve"> priekšnodok</w:t>
      </w:r>
      <w:r w:rsidR="00370DCD" w:rsidRPr="00677B3D">
        <w:rPr>
          <w:rFonts w:eastAsiaTheme="minorHAnsi"/>
          <w:lang w:eastAsia="en-US"/>
        </w:rPr>
        <w:t>li</w:t>
      </w:r>
      <w:r w:rsidR="009323A3" w:rsidRPr="00677B3D">
        <w:rPr>
          <w:rFonts w:eastAsiaTheme="minorHAnsi"/>
          <w:lang w:eastAsia="en-US"/>
        </w:rPr>
        <w:t xml:space="preserve">, pamatojoties uz Remonta servisu izrakstītajiem rēķiniem. </w:t>
      </w:r>
      <w:r w:rsidR="00370DCD" w:rsidRPr="00677B3D">
        <w:rPr>
          <w:rFonts w:eastAsiaTheme="minorHAnsi"/>
          <w:lang w:eastAsia="en-US"/>
        </w:rPr>
        <w:t xml:space="preserve">Līdz ar to </w:t>
      </w:r>
      <w:r w:rsidR="002E7D88" w:rsidRPr="00677B3D">
        <w:rPr>
          <w:rFonts w:eastAsiaTheme="minorHAnsi"/>
          <w:lang w:eastAsia="en-US"/>
        </w:rPr>
        <w:t xml:space="preserve">dienesta lēmums </w:t>
      </w:r>
      <w:r w:rsidR="00171642" w:rsidRPr="00677B3D">
        <w:rPr>
          <w:rFonts w:eastAsiaTheme="minorHAnsi"/>
          <w:lang w:eastAsia="en-US"/>
        </w:rPr>
        <w:t xml:space="preserve">ir atceļams daļā par </w:t>
      </w:r>
      <w:r w:rsidR="002E7D88" w:rsidRPr="00677B3D">
        <w:rPr>
          <w:rFonts w:eastAsiaTheme="minorHAnsi"/>
          <w:lang w:eastAsia="en-US"/>
        </w:rPr>
        <w:t xml:space="preserve">pievienotās vērtības nodokli (gan </w:t>
      </w:r>
      <w:r w:rsidR="00171642" w:rsidRPr="00677B3D">
        <w:rPr>
          <w:rFonts w:eastAsiaTheme="minorHAnsi"/>
          <w:lang w:eastAsia="en-US"/>
        </w:rPr>
        <w:t xml:space="preserve">papildu </w:t>
      </w:r>
      <w:r w:rsidR="002E7D88" w:rsidRPr="00677B3D">
        <w:rPr>
          <w:rFonts w:eastAsiaTheme="minorHAnsi"/>
          <w:lang w:eastAsia="en-US"/>
        </w:rPr>
        <w:t>ie</w:t>
      </w:r>
      <w:r w:rsidR="00171642" w:rsidRPr="00677B3D">
        <w:rPr>
          <w:rFonts w:eastAsiaTheme="minorHAnsi"/>
          <w:lang w:eastAsia="en-US"/>
        </w:rPr>
        <w:t>maksai budžetā aprēķināto</w:t>
      </w:r>
      <w:r w:rsidR="00030CA2" w:rsidRPr="00677B3D">
        <w:rPr>
          <w:rFonts w:eastAsiaTheme="minorHAnsi"/>
          <w:lang w:eastAsia="en-US"/>
        </w:rPr>
        <w:t xml:space="preserve"> </w:t>
      </w:r>
      <w:r w:rsidR="002E7D88" w:rsidRPr="00677B3D">
        <w:rPr>
          <w:rFonts w:eastAsiaTheme="minorHAnsi"/>
          <w:lang w:eastAsia="en-US"/>
        </w:rPr>
        <w:t>pievienotās vērtības nodokli, gan samazināto no budžeta atmaksājamo pievienotās vērtības nodokli, gan saistībā ar tiem aprēķināto soda naudu un nokavējuma naudu)</w:t>
      </w:r>
      <w:r w:rsidR="00171642" w:rsidRPr="00677B3D">
        <w:rPr>
          <w:rFonts w:eastAsiaTheme="minorHAnsi"/>
          <w:lang w:eastAsia="en-US"/>
        </w:rPr>
        <w:t>.</w:t>
      </w:r>
      <w:r w:rsidR="00677B3D">
        <w:rPr>
          <w:rFonts w:eastAsiaTheme="minorHAnsi"/>
          <w:lang w:eastAsia="en-US"/>
        </w:rPr>
        <w:t xml:space="preserve"> </w:t>
      </w:r>
    </w:p>
    <w:p w14:paraId="34421AF3" w14:textId="5FB5F9B3" w:rsidR="00D54D5E" w:rsidRDefault="005E0F0A" w:rsidP="0089430F">
      <w:pPr>
        <w:spacing w:line="276" w:lineRule="auto"/>
        <w:ind w:firstLine="567"/>
        <w:jc w:val="both"/>
        <w:rPr>
          <w:rFonts w:ascii="TimesNewRomanPSMT" w:eastAsiaTheme="minorHAnsi" w:hAnsi="TimesNewRomanPSMT" w:cs="TimesNewRomanPSMT"/>
          <w:color w:val="000000"/>
          <w:lang w:eastAsia="en-US"/>
        </w:rPr>
      </w:pPr>
      <w:r w:rsidRPr="00677B3D">
        <w:rPr>
          <w:rFonts w:eastAsiaTheme="minorHAnsi"/>
          <w:lang w:eastAsia="en-US"/>
        </w:rPr>
        <w:t xml:space="preserve">[6.8] </w:t>
      </w:r>
      <w:r w:rsidR="00BB3950">
        <w:rPr>
          <w:rFonts w:eastAsiaTheme="minorHAnsi"/>
          <w:lang w:eastAsia="en-US"/>
        </w:rPr>
        <w:t>Attiecībā uz pārsūdzēto lēmumu daļā par uzņēmumu ienākuma nodokli konstatē</w:t>
      </w:r>
      <w:r w:rsidR="009924EC">
        <w:rPr>
          <w:rFonts w:eastAsiaTheme="minorHAnsi"/>
          <w:lang w:eastAsia="en-US"/>
        </w:rPr>
        <w:t>jams, ka lietā na</w:t>
      </w:r>
      <w:r w:rsidRPr="00677B3D">
        <w:rPr>
          <w:rFonts w:ascii="TimesNewRomanPSMT" w:eastAsiaTheme="minorHAnsi" w:hAnsi="TimesNewRomanPSMT" w:cs="TimesNewRomanPSMT"/>
          <w:color w:val="000000"/>
          <w:lang w:eastAsia="en-US"/>
        </w:rPr>
        <w:t>v strīda, ka</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auditē</w:t>
      </w:r>
      <w:r w:rsidR="00BB3950">
        <w:rPr>
          <w:rFonts w:ascii="TimesNewRomanPSMT" w:eastAsiaTheme="minorHAnsi" w:hAnsi="TimesNewRomanPSMT" w:cs="TimesNewRomanPSMT"/>
          <w:color w:val="000000"/>
          <w:lang w:eastAsia="en-US"/>
        </w:rPr>
        <w:t xml:space="preserve">tajā </w:t>
      </w:r>
      <w:r w:rsidRPr="00677B3D">
        <w:rPr>
          <w:rFonts w:ascii="TimesNewRomanPSMT" w:eastAsiaTheme="minorHAnsi" w:hAnsi="TimesNewRomanPSMT" w:cs="TimesNewRomanPSMT"/>
          <w:color w:val="000000"/>
          <w:lang w:eastAsia="en-US"/>
        </w:rPr>
        <w:t xml:space="preserve">periodā </w:t>
      </w:r>
      <w:r w:rsidR="00BB3950">
        <w:rPr>
          <w:rFonts w:ascii="TimesNewRomanPSMT" w:eastAsiaTheme="minorHAnsi" w:hAnsi="TimesNewRomanPSMT" w:cs="TimesNewRomanPSMT"/>
          <w:color w:val="000000"/>
          <w:lang w:eastAsia="en-US"/>
        </w:rPr>
        <w:t>pieteicēja</w:t>
      </w:r>
      <w:r w:rsidRPr="00677B3D">
        <w:rPr>
          <w:rFonts w:ascii="TimesNewRomanPSMT" w:eastAsiaTheme="minorHAnsi" w:hAnsi="TimesNewRomanPSMT" w:cs="TimesNewRomanPSMT"/>
          <w:color w:val="000000"/>
          <w:lang w:eastAsia="en-US"/>
        </w:rPr>
        <w:t xml:space="preserve"> no nesaistītajiem uzņēmumiem saņēma mārketinga</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pakalpojumus, veicot samaksu 6</w:t>
      </w:r>
      <w:r w:rsidR="0021385F">
        <w:rPr>
          <w:rFonts w:ascii="TimesNewRomanPSMT" w:eastAsiaTheme="minorHAnsi" w:hAnsi="TimesNewRomanPSMT" w:cs="TimesNewRomanPSMT"/>
          <w:color w:val="000000"/>
          <w:lang w:eastAsia="en-US"/>
        </w:rPr>
        <w:t> </w:t>
      </w:r>
      <w:r w:rsidRPr="00677B3D">
        <w:rPr>
          <w:rFonts w:ascii="TimesNewRomanPSMT" w:eastAsiaTheme="minorHAnsi" w:hAnsi="TimesNewRomanPSMT" w:cs="TimesNewRomanPSMT"/>
          <w:color w:val="000000"/>
          <w:lang w:eastAsia="en-US"/>
        </w:rPr>
        <w:t>852</w:t>
      </w:r>
      <w:r w:rsidR="0021385F">
        <w:rPr>
          <w:rFonts w:ascii="TimesNewRomanPSMT" w:eastAsiaTheme="minorHAnsi" w:hAnsi="TimesNewRomanPSMT" w:cs="TimesNewRomanPSMT"/>
          <w:color w:val="000000"/>
          <w:lang w:eastAsia="en-US"/>
        </w:rPr>
        <w:t> </w:t>
      </w:r>
      <w:r w:rsidRPr="00677B3D">
        <w:rPr>
          <w:rFonts w:ascii="TimesNewRomanPSMT" w:eastAsiaTheme="minorHAnsi" w:hAnsi="TimesNewRomanPSMT" w:cs="TimesNewRomanPSMT"/>
          <w:color w:val="000000"/>
          <w:lang w:eastAsia="en-US"/>
        </w:rPr>
        <w:t>879,68</w:t>
      </w:r>
      <w:r w:rsidR="0021385F" w:rsidRPr="0021385F">
        <w:rPr>
          <w:rFonts w:ascii="TimesNewRomanPSMT" w:eastAsiaTheme="minorHAnsi" w:hAnsi="TimesNewRomanPSMT" w:cs="TimesNewRomanPSMT"/>
          <w:color w:val="000000"/>
          <w:lang w:eastAsia="en-US"/>
        </w:rPr>
        <w:t xml:space="preserve"> </w:t>
      </w:r>
      <w:r w:rsidR="0021385F" w:rsidRPr="00677B3D">
        <w:rPr>
          <w:rFonts w:ascii="TimesNewRomanPSMT" w:eastAsiaTheme="minorHAnsi" w:hAnsi="TimesNewRomanPSMT" w:cs="TimesNewRomanPSMT"/>
          <w:color w:val="000000"/>
          <w:lang w:eastAsia="en-US"/>
        </w:rPr>
        <w:t>Ls</w:t>
      </w:r>
      <w:r w:rsidRPr="00677B3D">
        <w:rPr>
          <w:rFonts w:ascii="TimesNewRomanPSMT" w:eastAsiaTheme="minorHAnsi" w:hAnsi="TimesNewRomanPSMT" w:cs="TimesNewRomanPSMT"/>
          <w:color w:val="000000"/>
          <w:lang w:eastAsia="en-US"/>
        </w:rPr>
        <w:t>, un tālāk šos mārketinga</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pakalpojumus sniedza saistītajiem uzņēmumiem (</w:t>
      </w:r>
      <w:r w:rsidRPr="009924EC">
        <w:rPr>
          <w:rFonts w:ascii="TimesNewRomanPSMT" w:eastAsiaTheme="minorHAnsi" w:hAnsi="TimesNewRomanPSMT" w:cs="TimesNewRomanPSMT"/>
          <w:i/>
          <w:color w:val="000000"/>
          <w:lang w:eastAsia="en-US"/>
        </w:rPr>
        <w:t xml:space="preserve">Samsung </w:t>
      </w:r>
      <w:r w:rsidRPr="00677B3D">
        <w:rPr>
          <w:rFonts w:ascii="TimesNewRomanPSMT" w:eastAsiaTheme="minorHAnsi" w:hAnsi="TimesNewRomanPSMT" w:cs="TimesNewRomanPSMT"/>
          <w:color w:val="000000"/>
          <w:lang w:eastAsia="en-US"/>
        </w:rPr>
        <w:t>grupas uzņēmumiem)</w:t>
      </w:r>
      <w:r w:rsidR="009924EC">
        <w:rPr>
          <w:rFonts w:ascii="TimesNewRomanPSMT" w:eastAsiaTheme="minorHAnsi" w:hAnsi="TimesNewRomanPSMT" w:cs="TimesNewRomanPSMT"/>
          <w:color w:val="000000"/>
          <w:lang w:eastAsia="en-US"/>
        </w:rPr>
        <w:t>,</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izrakstot rēķinus un saņemot atlīdzību par kopējo summu 6</w:t>
      </w:r>
      <w:r w:rsidR="0021385F">
        <w:rPr>
          <w:rFonts w:ascii="TimesNewRomanPSMT" w:eastAsiaTheme="minorHAnsi" w:hAnsi="TimesNewRomanPSMT" w:cs="TimesNewRomanPSMT"/>
          <w:color w:val="000000"/>
          <w:lang w:eastAsia="en-US"/>
        </w:rPr>
        <w:t> </w:t>
      </w:r>
      <w:r w:rsidRPr="00677B3D">
        <w:rPr>
          <w:rFonts w:ascii="TimesNewRomanPSMT" w:eastAsiaTheme="minorHAnsi" w:hAnsi="TimesNewRomanPSMT" w:cs="TimesNewRomanPSMT"/>
          <w:color w:val="000000"/>
          <w:lang w:eastAsia="en-US"/>
        </w:rPr>
        <w:t>852</w:t>
      </w:r>
      <w:r w:rsidR="0021385F">
        <w:rPr>
          <w:rFonts w:ascii="TimesNewRomanPSMT" w:eastAsiaTheme="minorHAnsi" w:hAnsi="TimesNewRomanPSMT" w:cs="TimesNewRomanPSMT"/>
          <w:color w:val="000000"/>
          <w:lang w:eastAsia="en-US"/>
        </w:rPr>
        <w:t> </w:t>
      </w:r>
      <w:r w:rsidRPr="00677B3D">
        <w:rPr>
          <w:rFonts w:ascii="TimesNewRomanPSMT" w:eastAsiaTheme="minorHAnsi" w:hAnsi="TimesNewRomanPSMT" w:cs="TimesNewRomanPSMT"/>
          <w:color w:val="000000"/>
          <w:lang w:eastAsia="en-US"/>
        </w:rPr>
        <w:t>879,68</w:t>
      </w:r>
      <w:r w:rsidR="0021385F" w:rsidRPr="0021385F">
        <w:rPr>
          <w:rFonts w:ascii="TimesNewRomanPSMT" w:eastAsiaTheme="minorHAnsi" w:hAnsi="TimesNewRomanPSMT" w:cs="TimesNewRomanPSMT"/>
          <w:color w:val="000000"/>
          <w:lang w:eastAsia="en-US"/>
        </w:rPr>
        <w:t xml:space="preserve"> </w:t>
      </w:r>
      <w:r w:rsidR="0021385F" w:rsidRPr="00677B3D">
        <w:rPr>
          <w:rFonts w:ascii="TimesNewRomanPSMT" w:eastAsiaTheme="minorHAnsi" w:hAnsi="TimesNewRomanPSMT" w:cs="TimesNewRomanPSMT"/>
          <w:color w:val="000000"/>
          <w:lang w:eastAsia="en-US"/>
        </w:rPr>
        <w:t>Ls</w:t>
      </w:r>
      <w:r w:rsidRPr="00677B3D">
        <w:rPr>
          <w:rFonts w:ascii="TimesNewRomanPSMT" w:eastAsiaTheme="minorHAnsi" w:hAnsi="TimesNewRomanPSMT" w:cs="TimesNewRomanPSMT"/>
          <w:color w:val="000000"/>
          <w:lang w:eastAsia="en-US"/>
        </w:rPr>
        <w:t>.</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Pieteicēja neapstrīd, ka mārketinga darījumu gadījumā bija rīkojusies kā</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starpnieks starp nesaistītiem uzņēmumiem, kas sniedza mārketinga</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pakalpojumus</w:t>
      </w:r>
      <w:r w:rsidR="0024504C">
        <w:rPr>
          <w:rFonts w:ascii="TimesNewRomanPSMT" w:eastAsiaTheme="minorHAnsi" w:hAnsi="TimesNewRomanPSMT" w:cs="TimesNewRomanPSMT"/>
          <w:color w:val="000000"/>
          <w:lang w:eastAsia="en-US"/>
        </w:rPr>
        <w:t xml:space="preserve"> pieteicējai</w:t>
      </w:r>
      <w:r w:rsidRPr="00677B3D">
        <w:rPr>
          <w:rFonts w:ascii="TimesNewRomanPSMT" w:eastAsiaTheme="minorHAnsi" w:hAnsi="TimesNewRomanPSMT" w:cs="TimesNewRomanPSMT"/>
          <w:color w:val="000000"/>
          <w:lang w:eastAsia="en-US"/>
        </w:rPr>
        <w:t xml:space="preserve">, un starp saistītajiem uzņēmumiem, kuriem pieteicēja </w:t>
      </w:r>
      <w:r w:rsidR="0024504C">
        <w:rPr>
          <w:rFonts w:ascii="TimesNewRomanPSMT" w:eastAsiaTheme="minorHAnsi" w:hAnsi="TimesNewRomanPSMT" w:cs="TimesNewRomanPSMT"/>
          <w:color w:val="000000"/>
          <w:lang w:eastAsia="en-US"/>
        </w:rPr>
        <w:t xml:space="preserve">šos </w:t>
      </w:r>
      <w:r w:rsidR="0024504C" w:rsidRPr="00677B3D">
        <w:rPr>
          <w:rFonts w:ascii="TimesNewRomanPSMT" w:eastAsiaTheme="minorHAnsi" w:hAnsi="TimesNewRomanPSMT" w:cs="TimesNewRomanPSMT"/>
          <w:color w:val="000000"/>
          <w:lang w:eastAsia="en-US"/>
        </w:rPr>
        <w:t xml:space="preserve">mārketinga pakalpojumus </w:t>
      </w:r>
      <w:r w:rsidR="0024504C">
        <w:rPr>
          <w:rFonts w:ascii="TimesNewRomanPSMT" w:eastAsiaTheme="minorHAnsi" w:hAnsi="TimesNewRomanPSMT" w:cs="TimesNewRomanPSMT"/>
          <w:color w:val="000000"/>
          <w:lang w:eastAsia="en-US"/>
        </w:rPr>
        <w:t>sniedza tālāk.</w:t>
      </w:r>
      <w:r w:rsidRPr="00677B3D">
        <w:rPr>
          <w:rFonts w:ascii="TimesNewRomanPSMT" w:eastAsiaTheme="minorHAnsi" w:hAnsi="TimesNewRomanPSMT" w:cs="TimesNewRomanPSMT"/>
          <w:color w:val="000000"/>
          <w:lang w:eastAsia="en-US"/>
        </w:rPr>
        <w:t xml:space="preserve"> </w:t>
      </w:r>
      <w:r w:rsidR="00A83831">
        <w:rPr>
          <w:rFonts w:ascii="TimesNewRomanPSMT" w:eastAsiaTheme="minorHAnsi" w:hAnsi="TimesNewRomanPSMT" w:cs="TimesNewRomanPSMT"/>
          <w:color w:val="000000"/>
          <w:lang w:eastAsia="en-US"/>
        </w:rPr>
        <w:t>V</w:t>
      </w:r>
      <w:r w:rsidRPr="00677B3D">
        <w:rPr>
          <w:rFonts w:ascii="TimesNewRomanPSMT" w:eastAsiaTheme="minorHAnsi" w:hAnsi="TimesNewRomanPSMT" w:cs="TimesNewRomanPSMT"/>
          <w:color w:val="000000"/>
          <w:lang w:eastAsia="en-US"/>
        </w:rPr>
        <w:t>eicot minēto</w:t>
      </w:r>
      <w:r w:rsidR="0024504C">
        <w:rPr>
          <w:rFonts w:ascii="TimesNewRomanPSMT" w:eastAsiaTheme="minorHAnsi" w:hAnsi="TimesNewRomanPSMT" w:cs="TimesNewRomanPSMT"/>
          <w:color w:val="000000"/>
          <w:lang w:eastAsia="en-US"/>
        </w:rPr>
        <w:t>s</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starpniecības darījumu</w:t>
      </w:r>
      <w:r w:rsidR="0024504C">
        <w:rPr>
          <w:rFonts w:ascii="TimesNewRomanPSMT" w:eastAsiaTheme="minorHAnsi" w:hAnsi="TimesNewRomanPSMT" w:cs="TimesNewRomanPSMT"/>
          <w:color w:val="000000"/>
          <w:lang w:eastAsia="en-US"/>
        </w:rPr>
        <w:t>s</w:t>
      </w:r>
      <w:r w:rsidRPr="00677B3D">
        <w:rPr>
          <w:rFonts w:ascii="TimesNewRomanPSMT" w:eastAsiaTheme="minorHAnsi" w:hAnsi="TimesNewRomanPSMT" w:cs="TimesNewRomanPSMT"/>
          <w:color w:val="000000"/>
          <w:lang w:eastAsia="en-US"/>
        </w:rPr>
        <w:t>, pieteicēja nebija piemērojusi par savu starpnieka darbību</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nekādu pakalpojum</w:t>
      </w:r>
      <w:r w:rsidR="00485F09">
        <w:rPr>
          <w:rFonts w:ascii="TimesNewRomanPSMT" w:eastAsiaTheme="minorHAnsi" w:hAnsi="TimesNewRomanPSMT" w:cs="TimesNewRomanPSMT"/>
          <w:color w:val="000000"/>
          <w:lang w:eastAsia="en-US"/>
        </w:rPr>
        <w:t>a</w:t>
      </w:r>
      <w:r w:rsidRPr="00677B3D">
        <w:rPr>
          <w:rFonts w:ascii="TimesNewRomanPSMT" w:eastAsiaTheme="minorHAnsi" w:hAnsi="TimesNewRomanPSMT" w:cs="TimesNewRomanPSMT"/>
          <w:color w:val="000000"/>
          <w:lang w:eastAsia="en-US"/>
        </w:rPr>
        <w:t xml:space="preserve"> uzcenojumu, jo pakalpojumus tālāk nodeva saistītajiem</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 xml:space="preserve">uzņēmumiem tādā pašā vērtībā, kādā tos saņēma no </w:t>
      </w:r>
      <w:r w:rsidR="0024504C">
        <w:rPr>
          <w:rFonts w:ascii="TimesNewRomanPSMT" w:eastAsiaTheme="minorHAnsi" w:hAnsi="TimesNewRomanPSMT" w:cs="TimesNewRomanPSMT"/>
          <w:color w:val="000000"/>
          <w:lang w:eastAsia="en-US"/>
        </w:rPr>
        <w:t>mārketinga aģentūrām</w:t>
      </w:r>
      <w:r w:rsidRPr="00677B3D">
        <w:rPr>
          <w:rFonts w:ascii="TimesNewRomanPSMT" w:eastAsiaTheme="minorHAnsi" w:hAnsi="TimesNewRomanPSMT" w:cs="TimesNewRomanPSMT"/>
          <w:color w:val="000000"/>
          <w:lang w:eastAsia="en-US"/>
        </w:rPr>
        <w:t>.</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Ievērojot minētos apstākļus par pamatotu atzīst</w:t>
      </w:r>
      <w:r w:rsidR="00847D88">
        <w:rPr>
          <w:rFonts w:ascii="TimesNewRomanPSMT" w:eastAsiaTheme="minorHAnsi" w:hAnsi="TimesNewRomanPSMT" w:cs="TimesNewRomanPSMT"/>
          <w:color w:val="000000"/>
          <w:lang w:eastAsia="en-US"/>
        </w:rPr>
        <w:t>ams</w:t>
      </w:r>
      <w:r w:rsidRPr="00677B3D">
        <w:rPr>
          <w:rFonts w:ascii="TimesNewRomanPSMT" w:eastAsiaTheme="minorHAnsi" w:hAnsi="TimesNewRomanPSMT" w:cs="TimesNewRomanPSMT"/>
          <w:color w:val="000000"/>
          <w:lang w:eastAsia="en-US"/>
        </w:rPr>
        <w:t xml:space="preserve"> </w:t>
      </w:r>
      <w:r w:rsidR="009924EC">
        <w:rPr>
          <w:rFonts w:ascii="TimesNewRomanPSMT" w:eastAsiaTheme="minorHAnsi" w:hAnsi="TimesNewRomanPSMT" w:cs="TimesNewRomanPSMT"/>
          <w:color w:val="000000"/>
          <w:lang w:eastAsia="en-US"/>
        </w:rPr>
        <w:t>dienesta</w:t>
      </w:r>
      <w:r w:rsidRPr="00677B3D">
        <w:rPr>
          <w:rFonts w:ascii="TimesNewRomanPSMT" w:eastAsiaTheme="minorHAnsi" w:hAnsi="TimesNewRomanPSMT" w:cs="TimesNewRomanPSMT"/>
          <w:color w:val="000000"/>
          <w:lang w:eastAsia="en-US"/>
        </w:rPr>
        <w:t xml:space="preserve"> secinājum</w:t>
      </w:r>
      <w:r w:rsidR="00847D88">
        <w:rPr>
          <w:rFonts w:ascii="TimesNewRomanPSMT" w:eastAsiaTheme="minorHAnsi" w:hAnsi="TimesNewRomanPSMT" w:cs="TimesNewRomanPSMT"/>
          <w:color w:val="000000"/>
          <w:lang w:eastAsia="en-US"/>
        </w:rPr>
        <w:t>s</w:t>
      </w:r>
      <w:r w:rsidRPr="00677B3D">
        <w:rPr>
          <w:rFonts w:ascii="TimesNewRomanPSMT" w:eastAsiaTheme="minorHAnsi" w:hAnsi="TimesNewRomanPSMT" w:cs="TimesNewRomanPSMT"/>
          <w:color w:val="000000"/>
          <w:lang w:eastAsia="en-US"/>
        </w:rPr>
        <w:t>, ka</w:t>
      </w:r>
      <w:r w:rsidR="00677B3D">
        <w:rPr>
          <w:rFonts w:ascii="TimesNewRomanPSMT" w:eastAsiaTheme="minorHAnsi" w:hAnsi="TimesNewRomanPSMT" w:cs="TimesNewRomanPSMT"/>
          <w:color w:val="000000"/>
          <w:lang w:eastAsia="en-US"/>
        </w:rPr>
        <w:t xml:space="preserve"> </w:t>
      </w:r>
      <w:r w:rsidR="009924EC">
        <w:rPr>
          <w:rFonts w:ascii="TimesNewRomanPSMT" w:eastAsiaTheme="minorHAnsi" w:hAnsi="TimesNewRomanPSMT" w:cs="TimesNewRomanPSMT"/>
          <w:color w:val="000000"/>
          <w:lang w:eastAsia="en-US"/>
        </w:rPr>
        <w:t>pieteicēja</w:t>
      </w:r>
      <w:r w:rsidRPr="00677B3D">
        <w:rPr>
          <w:rFonts w:ascii="TimesNewRomanPSMT" w:eastAsiaTheme="minorHAnsi" w:hAnsi="TimesNewRomanPSMT" w:cs="TimesNewRomanPSMT"/>
          <w:color w:val="000000"/>
          <w:lang w:eastAsia="en-US"/>
        </w:rPr>
        <w:t>, sniedzot saistītajiem uzņēmumiem mārketinga pakalpojumus</w:t>
      </w:r>
      <w:r w:rsidR="00A83831">
        <w:rPr>
          <w:rFonts w:ascii="TimesNewRomanPSMT" w:eastAsiaTheme="minorHAnsi" w:hAnsi="TimesNewRomanPSMT" w:cs="TimesNewRomanPSMT"/>
          <w:color w:val="000000"/>
          <w:lang w:eastAsia="en-US"/>
        </w:rPr>
        <w:t xml:space="preserve"> un </w:t>
      </w:r>
      <w:r w:rsidR="00A83831" w:rsidRPr="00677B3D">
        <w:rPr>
          <w:rFonts w:ascii="TimesNewRomanPSMT" w:eastAsiaTheme="minorHAnsi" w:hAnsi="TimesNewRomanPSMT" w:cs="TimesNewRomanPSMT"/>
          <w:color w:val="000000"/>
          <w:lang w:eastAsia="en-US"/>
        </w:rPr>
        <w:t>neparedzot sev nekādu atlīdzību par šiem</w:t>
      </w:r>
      <w:r w:rsidR="00A83831">
        <w:rPr>
          <w:rFonts w:ascii="TimesNewRomanPSMT" w:eastAsiaTheme="minorHAnsi" w:hAnsi="TimesNewRomanPSMT" w:cs="TimesNewRomanPSMT"/>
          <w:color w:val="000000"/>
          <w:lang w:eastAsia="en-US"/>
        </w:rPr>
        <w:t xml:space="preserve"> </w:t>
      </w:r>
      <w:r w:rsidR="00A83831" w:rsidRPr="00677B3D">
        <w:rPr>
          <w:rFonts w:ascii="TimesNewRomanPSMT" w:eastAsiaTheme="minorHAnsi" w:hAnsi="TimesNewRomanPSMT" w:cs="TimesNewRomanPSMT"/>
          <w:color w:val="000000"/>
          <w:lang w:eastAsia="en-US"/>
        </w:rPr>
        <w:t>starpniecības darījumiem</w:t>
      </w:r>
      <w:r w:rsidRPr="00677B3D">
        <w:rPr>
          <w:rFonts w:ascii="TimesNewRomanPSMT" w:eastAsiaTheme="minorHAnsi" w:hAnsi="TimesNewRomanPSMT" w:cs="TimesNewRomanPSMT"/>
          <w:color w:val="000000"/>
          <w:lang w:eastAsia="en-US"/>
        </w:rPr>
        <w:t>, ir veikusi</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 xml:space="preserve">darbības, kuras neatkarīgs uzņēmums nebūtu uzņēmies. </w:t>
      </w:r>
    </w:p>
    <w:p w14:paraId="6710AD93" w14:textId="736BE04A" w:rsidR="002B1A64" w:rsidRDefault="00D54D5E" w:rsidP="0089430F">
      <w:pPr>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[6.9] </w:t>
      </w:r>
      <w:r w:rsidR="005E0F0A" w:rsidRPr="00677B3D">
        <w:rPr>
          <w:rFonts w:ascii="TimesNewRomanPSMT" w:eastAsiaTheme="minorHAnsi" w:hAnsi="TimesNewRomanPSMT" w:cs="TimesNewRomanPSMT"/>
          <w:color w:val="000000"/>
          <w:lang w:eastAsia="en-US"/>
        </w:rPr>
        <w:t xml:space="preserve">Likuma „Par uzņēmumu ienākuma nodokli” </w:t>
      </w:r>
      <w:proofErr w:type="gramStart"/>
      <w:r w:rsidR="005E0F0A" w:rsidRPr="00677B3D">
        <w:rPr>
          <w:rFonts w:ascii="TimesNewRomanPSMT" w:eastAsiaTheme="minorHAnsi" w:hAnsi="TimesNewRomanPSMT" w:cs="TimesNewRomanPSMT"/>
          <w:color w:val="000000"/>
          <w:lang w:eastAsia="en-US"/>
        </w:rPr>
        <w:t>12.panta</w:t>
      </w:r>
      <w:proofErr w:type="gramEnd"/>
      <w:r w:rsidR="005E0F0A" w:rsidRPr="00677B3D">
        <w:rPr>
          <w:rFonts w:ascii="TimesNewRomanPSMT" w:eastAsiaTheme="minorHAnsi" w:hAnsi="TimesNewRomanPSMT" w:cs="TimesNewRomanPSMT"/>
          <w:color w:val="000000"/>
          <w:lang w:eastAsia="en-US"/>
        </w:rPr>
        <w:t xml:space="preserve"> otrās daļas</w:t>
      </w:r>
      <w:r w:rsidR="00677B3D">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2.punkts attiecībā uz saistītiem uzņēmumiem paredz, ka, nosakot apliekamo</w:t>
      </w:r>
      <w:r w:rsidR="00677B3D">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 xml:space="preserve">ienākumu, peļņu palielina par </w:t>
      </w:r>
      <w:r w:rsidR="005E0F0A" w:rsidRPr="00677B3D">
        <w:rPr>
          <w:rFonts w:ascii="TimesNewRomanPSMT" w:eastAsiaTheme="minorHAnsi" w:hAnsi="TimesNewRomanPSMT" w:cs="TimesNewRomanPSMT"/>
          <w:color w:val="000000"/>
          <w:lang w:eastAsia="en-US"/>
        </w:rPr>
        <w:lastRenderedPageBreak/>
        <w:t>summu, kuru veido pakalpojumu</w:t>
      </w:r>
      <w:r w:rsidR="00677B3D">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vērtību starpība (starpības daļa), kas rodas, ja š</w:t>
      </w:r>
      <w:r w:rsidR="006A1311">
        <w:rPr>
          <w:rFonts w:ascii="TimesNewRomanPSMT" w:eastAsiaTheme="minorHAnsi" w:hAnsi="TimesNewRomanPSMT" w:cs="TimesNewRomanPSMT"/>
          <w:color w:val="000000"/>
          <w:lang w:eastAsia="en-US"/>
        </w:rPr>
        <w:t>ie</w:t>
      </w:r>
      <w:r w:rsidR="005E0F0A" w:rsidRPr="00677B3D">
        <w:rPr>
          <w:rFonts w:ascii="TimesNewRomanPSMT" w:eastAsiaTheme="minorHAnsi" w:hAnsi="TimesNewRomanPSMT" w:cs="TimesNewRomanPSMT"/>
          <w:color w:val="000000"/>
          <w:lang w:eastAsia="en-US"/>
        </w:rPr>
        <w:t xml:space="preserve"> pakalpojumi</w:t>
      </w:r>
      <w:r w:rsidR="00677B3D">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par cenām, kas ir zemākas par tirgus cenām, tiek pārdot</w:t>
      </w:r>
      <w:r w:rsidR="0024504C">
        <w:rPr>
          <w:rFonts w:ascii="TimesNewRomanPSMT" w:eastAsiaTheme="minorHAnsi" w:hAnsi="TimesNewRomanPSMT" w:cs="TimesNewRomanPSMT"/>
          <w:color w:val="000000"/>
          <w:lang w:eastAsia="en-US"/>
        </w:rPr>
        <w:t>i</w:t>
      </w:r>
      <w:r w:rsidR="005E0F0A" w:rsidRPr="00677B3D">
        <w:rPr>
          <w:rFonts w:ascii="TimesNewRomanPSMT" w:eastAsiaTheme="minorHAnsi" w:hAnsi="TimesNewRomanPSMT" w:cs="TimesNewRomanPSMT"/>
          <w:color w:val="000000"/>
          <w:lang w:eastAsia="en-US"/>
        </w:rPr>
        <w:t xml:space="preserve"> saistītam uzņēmumam.</w:t>
      </w:r>
      <w:r w:rsidR="00677B3D">
        <w:rPr>
          <w:rFonts w:ascii="TimesNewRomanPSMT" w:eastAsiaTheme="minorHAnsi" w:hAnsi="TimesNewRomanPSMT" w:cs="TimesNewRomanPSMT"/>
          <w:color w:val="000000"/>
          <w:lang w:eastAsia="en-US"/>
        </w:rPr>
        <w:t xml:space="preserve"> </w:t>
      </w:r>
      <w:r w:rsidR="003524B7">
        <w:rPr>
          <w:rFonts w:ascii="TimesNewRomanPSMT" w:eastAsiaTheme="minorHAnsi" w:hAnsi="TimesNewRomanPSMT" w:cs="TimesNewRomanPSMT"/>
          <w:color w:val="000000"/>
          <w:lang w:eastAsia="en-US"/>
        </w:rPr>
        <w:t>Ņemot vērā m</w:t>
      </w:r>
      <w:r w:rsidR="005E0F0A" w:rsidRPr="00677B3D">
        <w:rPr>
          <w:rFonts w:ascii="TimesNewRomanPSMT" w:eastAsiaTheme="minorHAnsi" w:hAnsi="TimesNewRomanPSMT" w:cs="TimesNewRomanPSMT"/>
          <w:color w:val="000000"/>
          <w:lang w:eastAsia="en-US"/>
        </w:rPr>
        <w:t>inētā likuma piemērošanas kārtību noteic</w:t>
      </w:r>
      <w:r w:rsidR="006A1311">
        <w:rPr>
          <w:rFonts w:ascii="TimesNewRomanPSMT" w:eastAsiaTheme="minorHAnsi" w:hAnsi="TimesNewRomanPSMT" w:cs="TimesNewRomanPSMT"/>
          <w:color w:val="000000"/>
          <w:lang w:eastAsia="en-US"/>
        </w:rPr>
        <w:t>oš</w:t>
      </w:r>
      <w:r w:rsidR="003524B7">
        <w:rPr>
          <w:rFonts w:ascii="TimesNewRomanPSMT" w:eastAsiaTheme="minorHAnsi" w:hAnsi="TimesNewRomanPSMT" w:cs="TimesNewRomanPSMT"/>
          <w:color w:val="000000"/>
          <w:lang w:eastAsia="en-US"/>
        </w:rPr>
        <w:t>o</w:t>
      </w:r>
      <w:r w:rsidR="006A1311">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Ministru kabineta</w:t>
      </w:r>
      <w:r w:rsidR="00677B3D">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2006</w:t>
      </w:r>
      <w:r w:rsidR="003524B7">
        <w:rPr>
          <w:rFonts w:ascii="TimesNewRomanPSMT" w:eastAsiaTheme="minorHAnsi" w:hAnsi="TimesNewRomanPSMT" w:cs="TimesNewRomanPSMT"/>
          <w:color w:val="000000"/>
          <w:lang w:eastAsia="en-US"/>
        </w:rPr>
        <w:t>.gada 4.jūlija noteikumu</w:t>
      </w:r>
      <w:r w:rsidR="005E0F0A" w:rsidRPr="00677B3D">
        <w:rPr>
          <w:rFonts w:ascii="TimesNewRomanPSMT" w:eastAsiaTheme="minorHAnsi" w:hAnsi="TimesNewRomanPSMT" w:cs="TimesNewRomanPSMT"/>
          <w:color w:val="000000"/>
          <w:lang w:eastAsia="en-US"/>
        </w:rPr>
        <w:t xml:space="preserve"> Nr.</w:t>
      </w:r>
      <w:r w:rsidR="00F66B9D">
        <w:rPr>
          <w:rFonts w:ascii="TimesNewRomanPSMT" w:eastAsiaTheme="minorHAnsi" w:hAnsi="TimesNewRomanPSMT" w:cs="TimesNewRomanPSMT"/>
          <w:color w:val="000000"/>
          <w:lang w:eastAsia="en-US"/>
        </w:rPr>
        <w:t> </w:t>
      </w:r>
      <w:r w:rsidR="005E0F0A" w:rsidRPr="00677B3D">
        <w:rPr>
          <w:rFonts w:ascii="TimesNewRomanPSMT" w:eastAsiaTheme="minorHAnsi" w:hAnsi="TimesNewRomanPSMT" w:cs="TimesNewRomanPSMT"/>
          <w:color w:val="000000"/>
          <w:lang w:eastAsia="en-US"/>
        </w:rPr>
        <w:t>556 „Likuma „Par uzņēmumu ienākuma nodokli”</w:t>
      </w:r>
      <w:r w:rsidR="00677B3D">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normu piemērošanas noteikumi” (turpmāk –</w:t>
      </w:r>
      <w:r w:rsidR="003C154A">
        <w:rPr>
          <w:rFonts w:ascii="TimesNewRomanPSMT" w:eastAsiaTheme="minorHAnsi" w:hAnsi="TimesNewRomanPSMT" w:cs="TimesNewRomanPSMT"/>
          <w:color w:val="000000"/>
          <w:lang w:eastAsia="en-US"/>
        </w:rPr>
        <w:t>n</w:t>
      </w:r>
      <w:r w:rsidR="005E0F0A" w:rsidRPr="00677B3D">
        <w:rPr>
          <w:rFonts w:ascii="TimesNewRomanPSMT" w:eastAsiaTheme="minorHAnsi" w:hAnsi="TimesNewRomanPSMT" w:cs="TimesNewRomanPSMT"/>
          <w:color w:val="000000"/>
          <w:lang w:eastAsia="en-US"/>
        </w:rPr>
        <w:t>oteikumi Nr.</w:t>
      </w:r>
      <w:r w:rsidR="00F66B9D">
        <w:rPr>
          <w:rFonts w:ascii="TimesNewRomanPSMT" w:eastAsiaTheme="minorHAnsi" w:hAnsi="TimesNewRomanPSMT" w:cs="TimesNewRomanPSMT"/>
          <w:color w:val="000000"/>
          <w:lang w:eastAsia="en-US"/>
        </w:rPr>
        <w:t> </w:t>
      </w:r>
      <w:r w:rsidR="005E0F0A" w:rsidRPr="00677B3D">
        <w:rPr>
          <w:rFonts w:ascii="TimesNewRomanPSMT" w:eastAsiaTheme="minorHAnsi" w:hAnsi="TimesNewRomanPSMT" w:cs="TimesNewRomanPSMT"/>
          <w:color w:val="000000"/>
          <w:lang w:eastAsia="en-US"/>
        </w:rPr>
        <w:t>556)</w:t>
      </w:r>
      <w:r w:rsidR="003524B7">
        <w:rPr>
          <w:rFonts w:ascii="TimesNewRomanPSMT" w:eastAsiaTheme="minorHAnsi" w:hAnsi="TimesNewRomanPSMT" w:cs="TimesNewRomanPSMT"/>
          <w:color w:val="000000"/>
          <w:lang w:eastAsia="en-US"/>
        </w:rPr>
        <w:t xml:space="preserve"> 83.–86.</w:t>
      </w:r>
      <w:r w:rsidR="005E0F0A" w:rsidRPr="00677B3D">
        <w:rPr>
          <w:rFonts w:ascii="TimesNewRomanPSMT" w:eastAsiaTheme="minorHAnsi" w:hAnsi="TimesNewRomanPSMT" w:cs="TimesNewRomanPSMT"/>
          <w:color w:val="000000"/>
          <w:lang w:eastAsia="en-US"/>
        </w:rPr>
        <w:t>punkt</w:t>
      </w:r>
      <w:r w:rsidR="003524B7">
        <w:rPr>
          <w:rFonts w:ascii="TimesNewRomanPSMT" w:eastAsiaTheme="minorHAnsi" w:hAnsi="TimesNewRomanPSMT" w:cs="TimesNewRomanPSMT"/>
          <w:color w:val="000000"/>
          <w:lang w:eastAsia="en-US"/>
        </w:rPr>
        <w:t xml:space="preserve">a normas, kā arī </w:t>
      </w:r>
      <w:r w:rsidR="005E0F0A" w:rsidRPr="00677B3D">
        <w:rPr>
          <w:rFonts w:ascii="TimesNewRomanPSMT" w:eastAsiaTheme="minorHAnsi" w:hAnsi="TimesNewRomanPSMT" w:cs="TimesNewRomanPSMT"/>
          <w:color w:val="000000"/>
          <w:lang w:eastAsia="en-US"/>
        </w:rPr>
        <w:t>konkrēto</w:t>
      </w:r>
      <w:r w:rsidR="00677B3D">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 xml:space="preserve">mārketinga darījumu raksturojumu, </w:t>
      </w:r>
      <w:r w:rsidR="003524B7">
        <w:rPr>
          <w:rFonts w:ascii="TimesNewRomanPSMT" w:eastAsiaTheme="minorHAnsi" w:hAnsi="TimesNewRomanPSMT" w:cs="TimesNewRomanPSMT"/>
          <w:color w:val="000000"/>
          <w:lang w:eastAsia="en-US"/>
        </w:rPr>
        <w:t>atzīst</w:t>
      </w:r>
      <w:r w:rsidR="00847D88">
        <w:rPr>
          <w:rFonts w:ascii="TimesNewRomanPSMT" w:eastAsiaTheme="minorHAnsi" w:hAnsi="TimesNewRomanPSMT" w:cs="TimesNewRomanPSMT"/>
          <w:color w:val="000000"/>
          <w:lang w:eastAsia="en-US"/>
        </w:rPr>
        <w:t>ams</w:t>
      </w:r>
      <w:r w:rsidR="003524B7">
        <w:rPr>
          <w:rFonts w:ascii="TimesNewRomanPSMT" w:eastAsiaTheme="minorHAnsi" w:hAnsi="TimesNewRomanPSMT" w:cs="TimesNewRomanPSMT"/>
          <w:color w:val="000000"/>
          <w:lang w:eastAsia="en-US"/>
        </w:rPr>
        <w:t xml:space="preserve">, ka </w:t>
      </w:r>
      <w:r w:rsidR="00E15861">
        <w:rPr>
          <w:rFonts w:ascii="TimesNewRomanPSMT" w:eastAsiaTheme="minorHAnsi" w:hAnsi="TimesNewRomanPSMT" w:cs="TimesNewRomanPSMT"/>
          <w:color w:val="000000"/>
          <w:lang w:eastAsia="en-US"/>
        </w:rPr>
        <w:t xml:space="preserve">dienests pareizi kā </w:t>
      </w:r>
      <w:r w:rsidR="005E0F0A" w:rsidRPr="00677B3D">
        <w:rPr>
          <w:rFonts w:ascii="TimesNewRomanPSMT" w:eastAsiaTheme="minorHAnsi" w:hAnsi="TimesNewRomanPSMT" w:cs="TimesNewRomanPSMT"/>
          <w:color w:val="000000"/>
          <w:lang w:eastAsia="en-US"/>
        </w:rPr>
        <w:t>atbilstošāk</w:t>
      </w:r>
      <w:r w:rsidR="00E15861">
        <w:rPr>
          <w:rFonts w:ascii="TimesNewRomanPSMT" w:eastAsiaTheme="minorHAnsi" w:hAnsi="TimesNewRomanPSMT" w:cs="TimesNewRomanPSMT"/>
          <w:color w:val="000000"/>
          <w:lang w:eastAsia="en-US"/>
        </w:rPr>
        <w:t xml:space="preserve">o metodi strīdus darījumu tirgus vērtības noteikšanai izvēlējies izmaksu pieskaitīšanas metodi. </w:t>
      </w:r>
    </w:p>
    <w:p w14:paraId="05DFBD51" w14:textId="75C7B433" w:rsidR="0089430F" w:rsidRDefault="005E0F0A" w:rsidP="0089430F">
      <w:pPr>
        <w:spacing w:line="276" w:lineRule="auto"/>
        <w:ind w:firstLine="567"/>
        <w:jc w:val="both"/>
        <w:rPr>
          <w:rFonts w:ascii="TimesNewRomanPSMT" w:eastAsiaTheme="minorHAnsi" w:hAnsi="TimesNewRomanPSMT" w:cs="TimesNewRomanPSMT"/>
          <w:color w:val="000000"/>
          <w:lang w:eastAsia="en-US"/>
        </w:rPr>
      </w:pPr>
      <w:r w:rsidRPr="00677B3D">
        <w:rPr>
          <w:rFonts w:ascii="TimesNewRomanPSMT" w:eastAsiaTheme="minorHAnsi" w:hAnsi="TimesNewRomanPSMT" w:cs="TimesNewRomanPSMT"/>
          <w:color w:val="000000"/>
          <w:lang w:eastAsia="en-US"/>
        </w:rPr>
        <w:t>Audita laikā veikts pētījums</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 xml:space="preserve">saskaņā ar </w:t>
      </w:r>
      <w:proofErr w:type="spellStart"/>
      <w:r w:rsidRPr="00805DCD">
        <w:rPr>
          <w:rFonts w:ascii="TimesNewRomanPSMT" w:eastAsiaTheme="minorHAnsi" w:hAnsi="TimesNewRomanPSMT" w:cs="TimesNewRomanPSMT"/>
          <w:i/>
          <w:color w:val="000000"/>
          <w:lang w:eastAsia="en-US"/>
        </w:rPr>
        <w:t>Bureau</w:t>
      </w:r>
      <w:proofErr w:type="spellEnd"/>
      <w:r w:rsidRPr="00805DCD">
        <w:rPr>
          <w:rFonts w:ascii="TimesNewRomanPSMT" w:eastAsiaTheme="minorHAnsi" w:hAnsi="TimesNewRomanPSMT" w:cs="TimesNewRomanPSMT"/>
          <w:i/>
          <w:color w:val="000000"/>
          <w:lang w:eastAsia="en-US"/>
        </w:rPr>
        <w:t xml:space="preserve"> </w:t>
      </w:r>
      <w:proofErr w:type="spellStart"/>
      <w:r w:rsidRPr="00805DCD">
        <w:rPr>
          <w:rFonts w:ascii="TimesNewRomanPSMT" w:eastAsiaTheme="minorHAnsi" w:hAnsi="TimesNewRomanPSMT" w:cs="TimesNewRomanPSMT"/>
          <w:i/>
          <w:color w:val="000000"/>
          <w:lang w:eastAsia="en-US"/>
        </w:rPr>
        <w:t>van</w:t>
      </w:r>
      <w:proofErr w:type="spellEnd"/>
      <w:r w:rsidRPr="00805DCD">
        <w:rPr>
          <w:rFonts w:ascii="TimesNewRomanPSMT" w:eastAsiaTheme="minorHAnsi" w:hAnsi="TimesNewRomanPSMT" w:cs="TimesNewRomanPSMT"/>
          <w:i/>
          <w:color w:val="000000"/>
          <w:lang w:eastAsia="en-US"/>
        </w:rPr>
        <w:t xml:space="preserve"> </w:t>
      </w:r>
      <w:proofErr w:type="spellStart"/>
      <w:r w:rsidRPr="00805DCD">
        <w:rPr>
          <w:rFonts w:ascii="TimesNewRomanPSMT" w:eastAsiaTheme="minorHAnsi" w:hAnsi="TimesNewRomanPSMT" w:cs="TimesNewRomanPSMT"/>
          <w:i/>
          <w:color w:val="000000"/>
          <w:lang w:eastAsia="en-US"/>
        </w:rPr>
        <w:t>Dijk</w:t>
      </w:r>
      <w:proofErr w:type="spellEnd"/>
      <w:r w:rsidRPr="00677B3D">
        <w:rPr>
          <w:rFonts w:ascii="TimesNewRomanPSMT" w:eastAsiaTheme="minorHAnsi" w:hAnsi="TimesNewRomanPSMT" w:cs="TimesNewRomanPSMT"/>
          <w:color w:val="000000"/>
          <w:lang w:eastAsia="en-US"/>
        </w:rPr>
        <w:t xml:space="preserve"> datu bāzē </w:t>
      </w:r>
      <w:proofErr w:type="spellStart"/>
      <w:r w:rsidRPr="0024504C">
        <w:rPr>
          <w:rFonts w:ascii="TimesNewRomanPSMT" w:eastAsiaTheme="minorHAnsi" w:hAnsi="TimesNewRomanPSMT" w:cs="TimesNewRomanPSMT"/>
          <w:i/>
          <w:color w:val="000000"/>
          <w:lang w:eastAsia="en-US"/>
        </w:rPr>
        <w:t>A</w:t>
      </w:r>
      <w:r w:rsidR="0024504C" w:rsidRPr="0024504C">
        <w:rPr>
          <w:rFonts w:ascii="TimesNewRomanPSMT" w:eastAsiaTheme="minorHAnsi" w:hAnsi="TimesNewRomanPSMT" w:cs="TimesNewRomanPSMT"/>
          <w:i/>
          <w:color w:val="000000"/>
          <w:lang w:eastAsia="en-US"/>
        </w:rPr>
        <w:t>madeus</w:t>
      </w:r>
      <w:proofErr w:type="spellEnd"/>
      <w:r w:rsidRPr="00677B3D">
        <w:rPr>
          <w:rFonts w:ascii="TimesNewRomanPSMT" w:eastAsiaTheme="minorHAnsi" w:hAnsi="TimesNewRomanPSMT" w:cs="TimesNewRomanPSMT"/>
          <w:color w:val="000000"/>
          <w:lang w:eastAsia="en-US"/>
        </w:rPr>
        <w:t xml:space="preserve"> (</w:t>
      </w:r>
      <w:r w:rsidRPr="00805DCD">
        <w:rPr>
          <w:rFonts w:ascii="TimesNewRomanPSMT" w:eastAsiaTheme="minorHAnsi" w:hAnsi="TimesNewRomanPSMT" w:cs="TimesNewRomanPSMT"/>
          <w:i/>
          <w:color w:val="0000FF"/>
          <w:lang w:eastAsia="en-US"/>
        </w:rPr>
        <w:t>https://amadeus.bvdinfo.com</w:t>
      </w:r>
      <w:r w:rsidRPr="00677B3D">
        <w:rPr>
          <w:rFonts w:ascii="TimesNewRomanPSMT" w:eastAsiaTheme="minorHAnsi" w:hAnsi="TimesNewRomanPSMT" w:cs="TimesNewRomanPSMT"/>
          <w:color w:val="000000"/>
          <w:lang w:eastAsia="en-US"/>
        </w:rPr>
        <w:t>) esošo informāciju</w:t>
      </w:r>
      <w:r w:rsidR="002B1A64">
        <w:rPr>
          <w:rFonts w:ascii="TimesNewRomanPSMT" w:eastAsiaTheme="minorHAnsi" w:hAnsi="TimesNewRomanPSMT" w:cs="TimesNewRomanPSMT"/>
          <w:color w:val="000000"/>
          <w:lang w:eastAsia="en-US"/>
        </w:rPr>
        <w:t>. P</w:t>
      </w:r>
      <w:r w:rsidRPr="00677B3D">
        <w:rPr>
          <w:rFonts w:ascii="TimesNewRomanPSMT" w:eastAsiaTheme="minorHAnsi" w:hAnsi="TimesNewRomanPSMT" w:cs="TimesNewRomanPSMT"/>
          <w:color w:val="000000"/>
          <w:lang w:eastAsia="en-US"/>
        </w:rPr>
        <w:t xml:space="preserve">ārbaudot </w:t>
      </w:r>
      <w:r w:rsidR="002B1A64">
        <w:rPr>
          <w:rFonts w:ascii="TimesNewRomanPSMT" w:eastAsiaTheme="minorHAnsi" w:hAnsi="TimesNewRomanPSMT" w:cs="TimesNewRomanPSMT"/>
          <w:color w:val="000000"/>
          <w:lang w:eastAsia="en-US"/>
        </w:rPr>
        <w:t>dienesta</w:t>
      </w:r>
      <w:r w:rsidRPr="00677B3D">
        <w:rPr>
          <w:rFonts w:ascii="TimesNewRomanPSMT" w:eastAsiaTheme="minorHAnsi" w:hAnsi="TimesNewRomanPSMT" w:cs="TimesNewRomanPSMT"/>
          <w:color w:val="000000"/>
          <w:lang w:eastAsia="en-US"/>
        </w:rPr>
        <w:t xml:space="preserve"> veikto ekonomisko analīzi, secin</w:t>
      </w:r>
      <w:r w:rsidR="002B1A64">
        <w:rPr>
          <w:rFonts w:ascii="TimesNewRomanPSMT" w:eastAsiaTheme="minorHAnsi" w:hAnsi="TimesNewRomanPSMT" w:cs="TimesNewRomanPSMT"/>
          <w:color w:val="000000"/>
          <w:lang w:eastAsia="en-US"/>
        </w:rPr>
        <w:t>āms, ka dienests</w:t>
      </w:r>
      <w:r w:rsidRPr="00677B3D">
        <w:rPr>
          <w:rFonts w:ascii="TimesNewRomanPSMT" w:eastAsiaTheme="minorHAnsi" w:hAnsi="TimesNewRomanPSMT" w:cs="TimesNewRomanPSMT"/>
          <w:color w:val="000000"/>
          <w:lang w:eastAsia="en-US"/>
        </w:rPr>
        <w:t xml:space="preserve"> ir</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ņēmis vērā nepieciešamos faktorus – darījuma nodrošināšanai veiktās funkcijas, ar</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tām saistītos riskus, izmantotos aktīvus un citus darījumu cenu ietekmējošus faktorus</w:t>
      </w:r>
      <w:r w:rsidR="002B1A64">
        <w:rPr>
          <w:rFonts w:ascii="TimesNewRomanPSMT" w:eastAsiaTheme="minorHAnsi" w:hAnsi="TimesNewRomanPSMT" w:cs="TimesNewRomanPSMT"/>
          <w:color w:val="000000"/>
          <w:lang w:eastAsia="en-US"/>
        </w:rPr>
        <w:t xml:space="preserve">, analīzē tika </w:t>
      </w:r>
      <w:r w:rsidRPr="00677B3D">
        <w:rPr>
          <w:rFonts w:ascii="TimesNewRomanPSMT" w:eastAsiaTheme="minorHAnsi" w:hAnsi="TimesNewRomanPSMT" w:cs="TimesNewRomanPSMT"/>
          <w:color w:val="000000"/>
          <w:lang w:eastAsia="en-US"/>
        </w:rPr>
        <w:t>atlasīti neatkarīgi, aktīvi uzņēmumi pēc</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 xml:space="preserve">noteiktiem </w:t>
      </w:r>
      <w:r w:rsidR="002B1A64">
        <w:rPr>
          <w:rFonts w:ascii="TimesNewRomanPSMT" w:eastAsiaTheme="minorHAnsi" w:hAnsi="TimesNewRomanPSMT" w:cs="TimesNewRomanPSMT"/>
          <w:color w:val="000000"/>
          <w:lang w:eastAsia="en-US"/>
        </w:rPr>
        <w:t>parametriem</w:t>
      </w:r>
      <w:r w:rsidRPr="00677B3D">
        <w:rPr>
          <w:rFonts w:ascii="TimesNewRomanPSMT" w:eastAsiaTheme="minorHAnsi" w:hAnsi="TimesNewRomanPSMT" w:cs="TimesNewRomanPSMT"/>
          <w:color w:val="000000"/>
          <w:lang w:eastAsia="en-US"/>
        </w:rPr>
        <w:t xml:space="preserve">. </w:t>
      </w:r>
      <w:r w:rsidR="00D17CDC">
        <w:rPr>
          <w:rFonts w:ascii="TimesNewRomanPSMT" w:eastAsiaTheme="minorHAnsi" w:hAnsi="TimesNewRomanPSMT" w:cs="TimesNewRomanPSMT"/>
          <w:color w:val="000000"/>
          <w:lang w:eastAsia="en-US"/>
        </w:rPr>
        <w:t xml:space="preserve">Ekonomiskās analīzes rezultātā </w:t>
      </w:r>
      <w:r w:rsidRPr="00677B3D">
        <w:rPr>
          <w:rFonts w:ascii="TimesNewRomanPSMT" w:eastAsiaTheme="minorHAnsi" w:hAnsi="TimesNewRomanPSMT" w:cs="TimesNewRomanPSMT"/>
          <w:color w:val="000000"/>
          <w:lang w:eastAsia="en-US"/>
        </w:rPr>
        <w:t>tika iegūts nesaistīto</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uzņēmumu operatīvo izmaksu uzcenojuma intervāls no 1,7% līdz 4,05%</w:t>
      </w:r>
      <w:r w:rsidR="00D17CDC">
        <w:rPr>
          <w:rFonts w:ascii="TimesNewRomanPSMT" w:eastAsiaTheme="minorHAnsi" w:hAnsi="TimesNewRomanPSMT" w:cs="TimesNewRomanPSMT"/>
          <w:color w:val="000000"/>
          <w:lang w:eastAsia="en-US"/>
        </w:rPr>
        <w:t xml:space="preserve">. Līdz ar to </w:t>
      </w:r>
      <w:r w:rsidRPr="00677B3D">
        <w:rPr>
          <w:rFonts w:ascii="TimesNewRomanPSMT" w:eastAsiaTheme="minorHAnsi" w:hAnsi="TimesNewRomanPSMT" w:cs="TimesNewRomanPSMT"/>
          <w:color w:val="000000"/>
          <w:lang w:eastAsia="en-US"/>
        </w:rPr>
        <w:t>pieteicējas veikto mārketinga pakalpojumu starpniecības</w:t>
      </w:r>
      <w:r w:rsidR="00677B3D">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darījumu tirgus vērtīb</w:t>
      </w:r>
      <w:r w:rsidR="00D17CDC">
        <w:rPr>
          <w:rFonts w:ascii="TimesNewRomanPSMT" w:eastAsiaTheme="minorHAnsi" w:hAnsi="TimesNewRomanPSMT" w:cs="TimesNewRomanPSMT"/>
          <w:color w:val="000000"/>
          <w:lang w:eastAsia="en-US"/>
        </w:rPr>
        <w:t>as noteikšanai pamatoti izmant</w:t>
      </w:r>
      <w:r w:rsidR="008650BB">
        <w:rPr>
          <w:rFonts w:ascii="TimesNewRomanPSMT" w:eastAsiaTheme="minorHAnsi" w:hAnsi="TimesNewRomanPSMT" w:cs="TimesNewRomanPSMT"/>
          <w:color w:val="000000"/>
          <w:lang w:eastAsia="en-US"/>
        </w:rPr>
        <w:t>ots</w:t>
      </w:r>
      <w:r w:rsidR="00D17CDC">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uzcenojuma rādītājs 1,7%.</w:t>
      </w:r>
      <w:r w:rsidR="00CE6E90">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 xml:space="preserve">Apgabaltiesa konstatē, ka </w:t>
      </w:r>
      <w:r w:rsidR="008650BB">
        <w:rPr>
          <w:rFonts w:ascii="TimesNewRomanPSMT" w:eastAsiaTheme="minorHAnsi" w:hAnsi="TimesNewRomanPSMT" w:cs="TimesNewRomanPSMT"/>
          <w:color w:val="000000"/>
          <w:lang w:eastAsia="en-US"/>
        </w:rPr>
        <w:t>dienests</w:t>
      </w:r>
      <w:r w:rsidRPr="00677B3D">
        <w:rPr>
          <w:rFonts w:ascii="TimesNewRomanPSMT" w:eastAsiaTheme="minorHAnsi" w:hAnsi="TimesNewRomanPSMT" w:cs="TimesNewRomanPSMT"/>
          <w:color w:val="000000"/>
          <w:lang w:eastAsia="en-US"/>
        </w:rPr>
        <w:t xml:space="preserve"> pieteicējas saistītajiem uzņēmumiem sniegto</w:t>
      </w:r>
      <w:r w:rsidR="0089430F">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 xml:space="preserve">mārketinga pakalpojumu tirgus cenu noteica, atbilstoši piemērojot </w:t>
      </w:r>
      <w:r w:rsidR="003C154A">
        <w:rPr>
          <w:rFonts w:ascii="TimesNewRomanPSMT" w:eastAsiaTheme="minorHAnsi" w:hAnsi="TimesNewRomanPSMT" w:cs="TimesNewRomanPSMT"/>
          <w:color w:val="000000"/>
          <w:lang w:eastAsia="en-US"/>
        </w:rPr>
        <w:t>n</w:t>
      </w:r>
      <w:r w:rsidRPr="00677B3D">
        <w:rPr>
          <w:rFonts w:ascii="TimesNewRomanPSMT" w:eastAsiaTheme="minorHAnsi" w:hAnsi="TimesNewRomanPSMT" w:cs="TimesNewRomanPSMT"/>
          <w:color w:val="000000"/>
          <w:lang w:eastAsia="en-US"/>
        </w:rPr>
        <w:t>oteikumu Nr.</w:t>
      </w:r>
      <w:r w:rsidR="00805DCD">
        <w:rPr>
          <w:rFonts w:ascii="TimesNewRomanPSMT" w:eastAsiaTheme="minorHAnsi" w:hAnsi="TimesNewRomanPSMT" w:cs="TimesNewRomanPSMT"/>
          <w:color w:val="000000"/>
          <w:lang w:eastAsia="en-US"/>
        </w:rPr>
        <w:t> </w:t>
      </w:r>
      <w:r w:rsidRPr="00677B3D">
        <w:rPr>
          <w:rFonts w:ascii="TimesNewRomanPSMT" w:eastAsiaTheme="minorHAnsi" w:hAnsi="TimesNewRomanPSMT" w:cs="TimesNewRomanPSMT"/>
          <w:color w:val="000000"/>
          <w:lang w:eastAsia="en-US"/>
        </w:rPr>
        <w:t>556</w:t>
      </w:r>
      <w:r w:rsidR="0089430F">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86.punktā minēto metodi, ka arī sniegto pakalpojumu tirgus cenas aprēķinu veica</w:t>
      </w:r>
      <w:r w:rsidR="0089430F">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atbilstoši izvēlētajai metodei.</w:t>
      </w:r>
      <w:r w:rsidR="001D49A8">
        <w:rPr>
          <w:rFonts w:ascii="TimesNewRomanPSMT" w:eastAsiaTheme="minorHAnsi" w:hAnsi="TimesNewRomanPSMT" w:cs="TimesNewRomanPSMT"/>
          <w:color w:val="000000"/>
          <w:lang w:eastAsia="en-US"/>
        </w:rPr>
        <w:t xml:space="preserve"> Dienesta veiktais uzņēmumu ienākuma nodokļa aprēķins ir pareizs</w:t>
      </w:r>
      <w:r w:rsidR="007D5B33">
        <w:rPr>
          <w:rFonts w:ascii="TimesNewRomanPSMT" w:eastAsiaTheme="minorHAnsi" w:hAnsi="TimesNewRomanPSMT" w:cs="TimesNewRomanPSMT"/>
          <w:color w:val="000000"/>
          <w:lang w:eastAsia="en-US"/>
        </w:rPr>
        <w:t xml:space="preserve">, par </w:t>
      </w:r>
      <w:r w:rsidR="007D5B33" w:rsidRPr="000A3FEB">
        <w:rPr>
          <w:rFonts w:ascii="TimesNewRomanPSMT" w:eastAsiaTheme="minorHAnsi" w:hAnsi="TimesNewRomanPSMT" w:cs="TimesNewRomanPSMT"/>
          <w:color w:val="000000"/>
          <w:lang w:eastAsia="en-US"/>
        </w:rPr>
        <w:t>pamatu pamatoti</w:t>
      </w:r>
      <w:r w:rsidR="007D5B33">
        <w:rPr>
          <w:rFonts w:ascii="TimesNewRomanPSMT" w:eastAsiaTheme="minorHAnsi" w:hAnsi="TimesNewRomanPSMT" w:cs="TimesNewRomanPSMT"/>
          <w:color w:val="000000"/>
          <w:lang w:eastAsia="en-US"/>
        </w:rPr>
        <w:t xml:space="preserve"> ņemtas </w:t>
      </w:r>
      <w:r w:rsidRPr="00677B3D">
        <w:rPr>
          <w:rFonts w:ascii="TimesNewRomanPSMT" w:eastAsiaTheme="minorHAnsi" w:hAnsi="TimesNewRomanPSMT" w:cs="TimesNewRomanPSMT"/>
          <w:color w:val="000000"/>
          <w:lang w:eastAsia="en-US"/>
        </w:rPr>
        <w:t>audita rezultātā noteikt</w:t>
      </w:r>
      <w:r w:rsidR="007D5B33">
        <w:rPr>
          <w:rFonts w:ascii="TimesNewRomanPSMT" w:eastAsiaTheme="minorHAnsi" w:hAnsi="TimesNewRomanPSMT" w:cs="TimesNewRomanPSMT"/>
          <w:color w:val="000000"/>
          <w:lang w:eastAsia="en-US"/>
        </w:rPr>
        <w:t xml:space="preserve">ās </w:t>
      </w:r>
      <w:r w:rsidRPr="00677B3D">
        <w:rPr>
          <w:rFonts w:ascii="TimesNewRomanPSMT" w:eastAsiaTheme="minorHAnsi" w:hAnsi="TimesNewRomanPSMT" w:cs="TimesNewRomanPSMT"/>
          <w:color w:val="000000"/>
          <w:lang w:eastAsia="en-US"/>
        </w:rPr>
        <w:t>kopēj</w:t>
      </w:r>
      <w:r w:rsidR="007D5B33">
        <w:rPr>
          <w:rFonts w:ascii="TimesNewRomanPSMT" w:eastAsiaTheme="minorHAnsi" w:hAnsi="TimesNewRomanPSMT" w:cs="TimesNewRomanPSMT"/>
          <w:color w:val="000000"/>
          <w:lang w:eastAsia="en-US"/>
        </w:rPr>
        <w:t>ās</w:t>
      </w:r>
      <w:r w:rsidRPr="00677B3D">
        <w:rPr>
          <w:rFonts w:ascii="TimesNewRomanPSMT" w:eastAsiaTheme="minorHAnsi" w:hAnsi="TimesNewRomanPSMT" w:cs="TimesNewRomanPSMT"/>
          <w:color w:val="000000"/>
          <w:lang w:eastAsia="en-US"/>
        </w:rPr>
        <w:t xml:space="preserve"> mārketinga izmaks</w:t>
      </w:r>
      <w:r w:rsidR="007D5B33">
        <w:rPr>
          <w:rFonts w:ascii="TimesNewRomanPSMT" w:eastAsiaTheme="minorHAnsi" w:hAnsi="TimesNewRomanPSMT" w:cs="TimesNewRomanPSMT"/>
          <w:color w:val="000000"/>
          <w:lang w:eastAsia="en-US"/>
        </w:rPr>
        <w:t>as</w:t>
      </w:r>
      <w:r w:rsidRPr="00677B3D">
        <w:rPr>
          <w:rFonts w:ascii="TimesNewRomanPSMT" w:eastAsiaTheme="minorHAnsi" w:hAnsi="TimesNewRomanPSMT" w:cs="TimesNewRomanPSMT"/>
          <w:color w:val="000000"/>
          <w:lang w:eastAsia="en-US"/>
        </w:rPr>
        <w:t xml:space="preserve"> 6</w:t>
      </w:r>
      <w:r w:rsidR="0021385F">
        <w:rPr>
          <w:rFonts w:ascii="TimesNewRomanPSMT" w:eastAsiaTheme="minorHAnsi" w:hAnsi="TimesNewRomanPSMT" w:cs="TimesNewRomanPSMT"/>
          <w:color w:val="000000"/>
          <w:lang w:eastAsia="en-US"/>
        </w:rPr>
        <w:t> </w:t>
      </w:r>
      <w:r w:rsidRPr="00677B3D">
        <w:rPr>
          <w:rFonts w:ascii="TimesNewRomanPSMT" w:eastAsiaTheme="minorHAnsi" w:hAnsi="TimesNewRomanPSMT" w:cs="TimesNewRomanPSMT"/>
          <w:color w:val="000000"/>
          <w:lang w:eastAsia="en-US"/>
        </w:rPr>
        <w:t>890</w:t>
      </w:r>
      <w:r w:rsidR="00775623">
        <w:rPr>
          <w:rFonts w:ascii="TimesNewRomanPSMT" w:eastAsiaTheme="minorHAnsi" w:hAnsi="TimesNewRomanPSMT" w:cs="TimesNewRomanPSMT"/>
          <w:color w:val="000000"/>
          <w:lang w:eastAsia="en-US"/>
        </w:rPr>
        <w:t> </w:t>
      </w:r>
      <w:r w:rsidRPr="00677B3D">
        <w:rPr>
          <w:rFonts w:ascii="TimesNewRomanPSMT" w:eastAsiaTheme="minorHAnsi" w:hAnsi="TimesNewRomanPSMT" w:cs="TimesNewRomanPSMT"/>
          <w:color w:val="000000"/>
          <w:lang w:eastAsia="en-US"/>
        </w:rPr>
        <w:t>957</w:t>
      </w:r>
      <w:r w:rsidR="00775623">
        <w:rPr>
          <w:rFonts w:ascii="TimesNewRomanPSMT" w:eastAsiaTheme="minorHAnsi" w:hAnsi="TimesNewRomanPSMT" w:cs="TimesNewRomanPSMT"/>
          <w:color w:val="000000"/>
          <w:lang w:eastAsia="en-US"/>
        </w:rPr>
        <w:t> </w:t>
      </w:r>
      <w:r w:rsidR="0021385F" w:rsidRPr="00677B3D">
        <w:rPr>
          <w:rFonts w:ascii="TimesNewRomanPSMT" w:eastAsiaTheme="minorHAnsi" w:hAnsi="TimesNewRomanPSMT" w:cs="TimesNewRomanPSMT"/>
          <w:color w:val="000000"/>
          <w:lang w:eastAsia="en-US"/>
        </w:rPr>
        <w:t>Ls</w:t>
      </w:r>
      <w:r w:rsidR="007D5B33">
        <w:rPr>
          <w:rFonts w:ascii="TimesNewRomanPSMT" w:eastAsiaTheme="minorHAnsi" w:hAnsi="TimesNewRomanPSMT" w:cs="TimesNewRomanPSMT"/>
          <w:color w:val="000000"/>
          <w:lang w:eastAsia="en-US"/>
        </w:rPr>
        <w:t xml:space="preserve">, kas ietver arī </w:t>
      </w:r>
      <w:r w:rsidRPr="00677B3D">
        <w:rPr>
          <w:rFonts w:ascii="TimesNewRomanPSMT" w:eastAsiaTheme="minorHAnsi" w:hAnsi="TimesNewRomanPSMT" w:cs="TimesNewRomanPSMT"/>
          <w:color w:val="000000"/>
          <w:lang w:eastAsia="en-US"/>
        </w:rPr>
        <w:t xml:space="preserve">izmaksas, kas </w:t>
      </w:r>
      <w:r w:rsidR="007D5B33">
        <w:rPr>
          <w:rFonts w:ascii="TimesNewRomanPSMT" w:eastAsiaTheme="minorHAnsi" w:hAnsi="TimesNewRomanPSMT" w:cs="TimesNewRomanPSMT"/>
          <w:color w:val="000000"/>
          <w:lang w:eastAsia="en-US"/>
        </w:rPr>
        <w:t>pieteicējai</w:t>
      </w:r>
      <w:r w:rsidRPr="00677B3D">
        <w:rPr>
          <w:rFonts w:ascii="TimesNewRomanPSMT" w:eastAsiaTheme="minorHAnsi" w:hAnsi="TimesNewRomanPSMT" w:cs="TimesNewRomanPSMT"/>
          <w:color w:val="000000"/>
          <w:lang w:eastAsia="en-US"/>
        </w:rPr>
        <w:t xml:space="preserve"> radās, apmaksājot mārketinga</w:t>
      </w:r>
      <w:r w:rsidR="0089430F">
        <w:rPr>
          <w:rFonts w:ascii="TimesNewRomanPSMT" w:eastAsiaTheme="minorHAnsi" w:hAnsi="TimesNewRomanPSMT" w:cs="TimesNewRomanPSMT"/>
          <w:color w:val="000000"/>
          <w:lang w:eastAsia="en-US"/>
        </w:rPr>
        <w:t xml:space="preserve"> </w:t>
      </w:r>
      <w:r w:rsidRPr="00677B3D">
        <w:rPr>
          <w:rFonts w:ascii="TimesNewRomanPSMT" w:eastAsiaTheme="minorHAnsi" w:hAnsi="TimesNewRomanPSMT" w:cs="TimesNewRomanPSMT"/>
          <w:color w:val="000000"/>
          <w:lang w:eastAsia="en-US"/>
        </w:rPr>
        <w:t>pakalpojumus nesaistītajiem uzņēmumiem.</w:t>
      </w:r>
      <w:r w:rsidR="0089430F">
        <w:rPr>
          <w:rFonts w:ascii="TimesNewRomanPSMT" w:eastAsiaTheme="minorHAnsi" w:hAnsi="TimesNewRomanPSMT" w:cs="TimesNewRomanPSMT"/>
          <w:color w:val="000000"/>
          <w:lang w:eastAsia="en-US"/>
        </w:rPr>
        <w:t xml:space="preserve"> </w:t>
      </w:r>
    </w:p>
    <w:p w14:paraId="736E88E4" w14:textId="0958F5ED" w:rsidR="00813A3F" w:rsidRDefault="00813A3F" w:rsidP="00677B3D">
      <w:pPr>
        <w:spacing w:line="276" w:lineRule="auto"/>
        <w:ind w:firstLine="567"/>
        <w:jc w:val="both"/>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[6.10] </w:t>
      </w:r>
      <w:r w:rsidR="005E0F0A" w:rsidRPr="00677B3D">
        <w:rPr>
          <w:rFonts w:ascii="TimesNewRomanPSMT" w:eastAsiaTheme="minorHAnsi" w:hAnsi="TimesNewRomanPSMT" w:cs="TimesNewRomanPSMT"/>
          <w:color w:val="000000"/>
          <w:lang w:eastAsia="en-US"/>
        </w:rPr>
        <w:t xml:space="preserve">Pieteicēja norāda, ka </w:t>
      </w:r>
      <w:r w:rsidR="003C154A">
        <w:rPr>
          <w:rFonts w:ascii="TimesNewRomanPSMT" w:eastAsiaTheme="minorHAnsi" w:hAnsi="TimesNewRomanPSMT" w:cs="TimesNewRomanPSMT"/>
          <w:color w:val="000000"/>
          <w:lang w:eastAsia="en-US"/>
        </w:rPr>
        <w:t>n</w:t>
      </w:r>
      <w:r w:rsidR="005E0F0A" w:rsidRPr="00677B3D">
        <w:rPr>
          <w:rFonts w:ascii="TimesNewRomanPSMT" w:eastAsiaTheme="minorHAnsi" w:hAnsi="TimesNewRomanPSMT" w:cs="TimesNewRomanPSMT"/>
          <w:color w:val="000000"/>
          <w:lang w:eastAsia="en-US"/>
        </w:rPr>
        <w:t>oteikumi Nr.</w:t>
      </w:r>
      <w:r w:rsidR="00805DCD">
        <w:rPr>
          <w:rFonts w:ascii="TimesNewRomanPSMT" w:eastAsiaTheme="minorHAnsi" w:hAnsi="TimesNewRomanPSMT" w:cs="TimesNewRomanPSMT"/>
          <w:color w:val="000000"/>
          <w:lang w:eastAsia="en-US"/>
        </w:rPr>
        <w:t> </w:t>
      </w:r>
      <w:r w:rsidR="005E0F0A" w:rsidRPr="00677B3D">
        <w:rPr>
          <w:rFonts w:ascii="TimesNewRomanPSMT" w:eastAsiaTheme="minorHAnsi" w:hAnsi="TimesNewRomanPSMT" w:cs="TimesNewRomanPSMT"/>
          <w:color w:val="000000"/>
          <w:lang w:eastAsia="en-US"/>
        </w:rPr>
        <w:t>556 paredz, ka nodokļu maksātāji var</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izmantot Ekonomiskās sadarbības un attīstības organizācijas „Transferta cenu</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noteikšanas vadlīnijas daudznacionālajiem komersantiem un nodokļu</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administrācijām” (turpmāk – Vadlīnijas), lai noteiktu tirgus cenas saistīto pušu</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darījumos. Pieteicējas ieskatā, piemērojot Vadlīniju 7.36.punktu, tirgus operatīvo</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izmaksu uzcenojumu 1,7% jāpiemēro tikai pieteicējas kā starpnieka iz</w:t>
      </w:r>
      <w:r w:rsidR="0024504C">
        <w:rPr>
          <w:rFonts w:ascii="TimesNewRomanPSMT" w:eastAsiaTheme="minorHAnsi" w:hAnsi="TimesNewRomanPSMT" w:cs="TimesNewRomanPSMT"/>
          <w:color w:val="000000"/>
          <w:lang w:eastAsia="en-US"/>
        </w:rPr>
        <w:t>maksām</w:t>
      </w:r>
      <w:r w:rsidR="005E0F0A" w:rsidRPr="00677B3D">
        <w:rPr>
          <w:rFonts w:ascii="TimesNewRomanPSMT" w:eastAsiaTheme="minorHAnsi" w:hAnsi="TimesNewRomanPSMT" w:cs="TimesNewRomanPSMT"/>
          <w:color w:val="000000"/>
          <w:lang w:eastAsia="en-US"/>
        </w:rPr>
        <w:t>, kas</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raduš</w:t>
      </w:r>
      <w:r w:rsidR="0024504C">
        <w:rPr>
          <w:rFonts w:ascii="TimesNewRomanPSMT" w:eastAsiaTheme="minorHAnsi" w:hAnsi="TimesNewRomanPSMT" w:cs="TimesNewRomanPSMT"/>
          <w:color w:val="000000"/>
          <w:lang w:eastAsia="en-US"/>
        </w:rPr>
        <w:t>ās</w:t>
      </w:r>
      <w:r w:rsidR="005E0F0A" w:rsidRPr="00677B3D">
        <w:rPr>
          <w:rFonts w:ascii="TimesNewRomanPSMT" w:eastAsiaTheme="minorHAnsi" w:hAnsi="TimesNewRomanPSMT" w:cs="TimesNewRomanPSMT"/>
          <w:color w:val="000000"/>
          <w:lang w:eastAsia="en-US"/>
        </w:rPr>
        <w:t xml:space="preserve"> saistībā ar starpniecības pakalpojumu veikšanu, nevis visa pakalpojuma</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 xml:space="preserve">izmaksām. </w:t>
      </w:r>
    </w:p>
    <w:p w14:paraId="72868311" w14:textId="0D2AEF4D" w:rsidR="005E0F0A" w:rsidRPr="00677B3D" w:rsidRDefault="00847D88" w:rsidP="00677B3D">
      <w:pPr>
        <w:spacing w:line="276" w:lineRule="auto"/>
        <w:ind w:firstLine="567"/>
        <w:jc w:val="both"/>
      </w:pPr>
      <w:r>
        <w:rPr>
          <w:rFonts w:ascii="TimesNewRomanPSMT" w:eastAsiaTheme="minorHAnsi" w:hAnsi="TimesNewRomanPSMT" w:cs="TimesNewRomanPSMT"/>
          <w:color w:val="000000"/>
          <w:lang w:eastAsia="en-US"/>
        </w:rPr>
        <w:t xml:space="preserve">Minētais </w:t>
      </w:r>
      <w:r w:rsidR="005E0F0A" w:rsidRPr="00677B3D">
        <w:rPr>
          <w:rFonts w:ascii="TimesNewRomanPSMT" w:eastAsiaTheme="minorHAnsi" w:hAnsi="TimesNewRomanPSMT" w:cs="TimesNewRomanPSMT"/>
          <w:color w:val="000000"/>
          <w:lang w:eastAsia="en-US"/>
        </w:rPr>
        <w:t>pieteicējas</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argument</w:t>
      </w:r>
      <w:r>
        <w:rPr>
          <w:rFonts w:ascii="TimesNewRomanPSMT" w:eastAsiaTheme="minorHAnsi" w:hAnsi="TimesNewRomanPSMT" w:cs="TimesNewRomanPSMT"/>
          <w:color w:val="000000"/>
          <w:lang w:eastAsia="en-US"/>
        </w:rPr>
        <w:t>s</w:t>
      </w:r>
      <w:r w:rsidR="005E0F0A" w:rsidRPr="00677B3D">
        <w:rPr>
          <w:rFonts w:ascii="TimesNewRomanPSMT" w:eastAsiaTheme="minorHAnsi" w:hAnsi="TimesNewRomanPSMT" w:cs="TimesNewRomanPSMT"/>
          <w:color w:val="000000"/>
          <w:lang w:eastAsia="en-US"/>
        </w:rPr>
        <w:t xml:space="preserve"> n</w:t>
      </w:r>
      <w:r>
        <w:rPr>
          <w:rFonts w:ascii="TimesNewRomanPSMT" w:eastAsiaTheme="minorHAnsi" w:hAnsi="TimesNewRomanPSMT" w:cs="TimesNewRomanPSMT"/>
          <w:color w:val="000000"/>
          <w:lang w:eastAsia="en-US"/>
        </w:rPr>
        <w:t xml:space="preserve">av </w:t>
      </w:r>
      <w:r w:rsidR="005E0F0A" w:rsidRPr="00677B3D">
        <w:rPr>
          <w:rFonts w:ascii="TimesNewRomanPSMT" w:eastAsiaTheme="minorHAnsi" w:hAnsi="TimesNewRomanPSMT" w:cs="TimesNewRomanPSMT"/>
          <w:color w:val="000000"/>
          <w:lang w:eastAsia="en-US"/>
        </w:rPr>
        <w:t>pamatot</w:t>
      </w:r>
      <w:r>
        <w:rPr>
          <w:rFonts w:ascii="TimesNewRomanPSMT" w:eastAsiaTheme="minorHAnsi" w:hAnsi="TimesNewRomanPSMT" w:cs="TimesNewRomanPSMT"/>
          <w:color w:val="000000"/>
          <w:lang w:eastAsia="en-US"/>
        </w:rPr>
        <w:t>s</w:t>
      </w:r>
      <w:r w:rsidR="005E0F0A" w:rsidRPr="00677B3D">
        <w:rPr>
          <w:rFonts w:ascii="TimesNewRomanPSMT" w:eastAsiaTheme="minorHAnsi" w:hAnsi="TimesNewRomanPSMT" w:cs="TimesNewRomanPSMT"/>
          <w:color w:val="000000"/>
          <w:lang w:eastAsia="en-US"/>
        </w:rPr>
        <w:t xml:space="preserve">. </w:t>
      </w:r>
      <w:r w:rsidR="00813A3F">
        <w:rPr>
          <w:rFonts w:ascii="TimesNewRomanPSMT" w:eastAsiaTheme="minorHAnsi" w:hAnsi="TimesNewRomanPSMT" w:cs="TimesNewRomanPSMT"/>
          <w:color w:val="000000"/>
          <w:lang w:eastAsia="en-US"/>
        </w:rPr>
        <w:t>Dienests</w:t>
      </w:r>
      <w:r w:rsidR="000C4574">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ņēma</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 xml:space="preserve">vērā pieteicējas izmaksas starpniecības pakalpojumu sniegšanā. </w:t>
      </w:r>
      <w:r>
        <w:rPr>
          <w:rFonts w:ascii="TimesNewRomanPSMT" w:eastAsiaTheme="minorHAnsi" w:hAnsi="TimesNewRomanPSMT" w:cs="TimesNewRomanPSMT"/>
          <w:color w:val="000000"/>
          <w:lang w:eastAsia="en-US"/>
        </w:rPr>
        <w:t xml:space="preserve">Nav </w:t>
      </w:r>
      <w:r w:rsidR="005E0F0A" w:rsidRPr="00677B3D">
        <w:rPr>
          <w:rFonts w:ascii="TimesNewRomanPSMT" w:eastAsiaTheme="minorHAnsi" w:hAnsi="TimesNewRomanPSMT" w:cs="TimesNewRomanPSMT"/>
          <w:color w:val="000000"/>
          <w:lang w:eastAsia="en-US"/>
        </w:rPr>
        <w:t>konstatē</w:t>
      </w:r>
      <w:r>
        <w:rPr>
          <w:rFonts w:ascii="TimesNewRomanPSMT" w:eastAsiaTheme="minorHAnsi" w:hAnsi="TimesNewRomanPSMT" w:cs="TimesNewRomanPSMT"/>
          <w:color w:val="000000"/>
          <w:lang w:eastAsia="en-US"/>
        </w:rPr>
        <w:t>jams</w:t>
      </w:r>
      <w:r w:rsidR="005E0F0A" w:rsidRPr="00677B3D">
        <w:rPr>
          <w:rFonts w:ascii="TimesNewRomanPSMT" w:eastAsiaTheme="minorHAnsi" w:hAnsi="TimesNewRomanPSMT" w:cs="TimesNewRomanPSMT"/>
          <w:color w:val="000000"/>
          <w:lang w:eastAsia="en-US"/>
        </w:rPr>
        <w:t xml:space="preserve"> no tiesību normām izrietoš</w:t>
      </w:r>
      <w:r w:rsidR="000A3FEB">
        <w:rPr>
          <w:rFonts w:ascii="TimesNewRomanPSMT" w:eastAsiaTheme="minorHAnsi" w:hAnsi="TimesNewRomanPSMT" w:cs="TimesNewRomanPSMT"/>
          <w:color w:val="000000"/>
          <w:lang w:eastAsia="en-US"/>
        </w:rPr>
        <w:t>s</w:t>
      </w:r>
      <w:r w:rsidR="005E0F0A" w:rsidRPr="00677B3D">
        <w:rPr>
          <w:rFonts w:ascii="TimesNewRomanPSMT" w:eastAsiaTheme="minorHAnsi" w:hAnsi="TimesNewRomanPSMT" w:cs="TimesNewRomanPSMT"/>
          <w:color w:val="000000"/>
          <w:lang w:eastAsia="en-US"/>
        </w:rPr>
        <w:t xml:space="preserve"> pamat</w:t>
      </w:r>
      <w:r w:rsidR="000A3FEB">
        <w:rPr>
          <w:rFonts w:ascii="TimesNewRomanPSMT" w:eastAsiaTheme="minorHAnsi" w:hAnsi="TimesNewRomanPSMT" w:cs="TimesNewRomanPSMT"/>
          <w:color w:val="000000"/>
          <w:lang w:eastAsia="en-US"/>
        </w:rPr>
        <w:t>s</w:t>
      </w:r>
      <w:r w:rsidR="005E0F0A" w:rsidRPr="00677B3D">
        <w:rPr>
          <w:rFonts w:ascii="TimesNewRomanPSMT" w:eastAsiaTheme="minorHAnsi" w:hAnsi="TimesNewRomanPSMT" w:cs="TimesNewRomanPSMT"/>
          <w:color w:val="000000"/>
          <w:lang w:eastAsia="en-US"/>
        </w:rPr>
        <w:t xml:space="preserve"> pieteicējas norādītā aprēķina veida</w:t>
      </w:r>
      <w:r w:rsidR="0089430F">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izmantošanai</w:t>
      </w:r>
      <w:r w:rsidR="005E0F0A" w:rsidRPr="00677B3D">
        <w:rPr>
          <w:rFonts w:ascii="TimesNewRomanPSMT" w:eastAsiaTheme="minorHAnsi" w:hAnsi="TimesNewRomanPSMT" w:cs="TimesNewRomanPSMT"/>
          <w:color w:val="000000"/>
          <w:lang w:eastAsia="en-US"/>
        </w:rPr>
        <w:t>, atsevišķi izdalot tikai starpniecības pakalpojuma daļu.</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 xml:space="preserve">Pieteicēja atsaucas uz Vadlīnijām, un nav strīda, ka atbilstoši </w:t>
      </w:r>
      <w:r w:rsidR="003C154A">
        <w:rPr>
          <w:rFonts w:ascii="TimesNewRomanPSMT" w:eastAsiaTheme="minorHAnsi" w:hAnsi="TimesNewRomanPSMT" w:cs="TimesNewRomanPSMT"/>
          <w:color w:val="000000"/>
          <w:lang w:eastAsia="en-US"/>
        </w:rPr>
        <w:t>n</w:t>
      </w:r>
      <w:r w:rsidR="005E0F0A" w:rsidRPr="00677B3D">
        <w:rPr>
          <w:rFonts w:ascii="TimesNewRomanPSMT" w:eastAsiaTheme="minorHAnsi" w:hAnsi="TimesNewRomanPSMT" w:cs="TimesNewRomanPSMT"/>
          <w:color w:val="000000"/>
          <w:lang w:eastAsia="en-US"/>
        </w:rPr>
        <w:t>oteikumu</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Nr.</w:t>
      </w:r>
      <w:r w:rsidR="00805DCD">
        <w:rPr>
          <w:rFonts w:ascii="TimesNewRomanPSMT" w:eastAsiaTheme="minorHAnsi" w:hAnsi="TimesNewRomanPSMT" w:cs="TimesNewRomanPSMT"/>
          <w:color w:val="000000"/>
          <w:lang w:eastAsia="en-US"/>
        </w:rPr>
        <w:t> </w:t>
      </w:r>
      <w:r w:rsidR="005E0F0A" w:rsidRPr="00677B3D">
        <w:rPr>
          <w:rFonts w:ascii="TimesNewRomanPSMT" w:eastAsiaTheme="minorHAnsi" w:hAnsi="TimesNewRomanPSMT" w:cs="TimesNewRomanPSMT"/>
          <w:color w:val="000000"/>
          <w:lang w:eastAsia="en-US"/>
        </w:rPr>
        <w:t>556 93.punktam, piemērojot 86.punktā minēto darījuma tirgus vērtības (produkta</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tirgus cenas) noteikšanas metodes, var izmantot Vadlīnijas.</w:t>
      </w:r>
      <w:r w:rsidR="0089430F">
        <w:rPr>
          <w:rFonts w:ascii="TimesNewRomanPSMT" w:eastAsiaTheme="minorHAnsi" w:hAnsi="TimesNewRomanPSMT" w:cs="TimesNewRomanPSMT"/>
          <w:color w:val="000000"/>
          <w:lang w:eastAsia="en-US"/>
        </w:rPr>
        <w:t xml:space="preserve"> </w:t>
      </w:r>
      <w:r w:rsidR="00813A3F">
        <w:rPr>
          <w:rFonts w:ascii="TimesNewRomanPSMT" w:eastAsiaTheme="minorHAnsi" w:hAnsi="TimesNewRomanPSMT" w:cs="TimesNewRomanPSMT"/>
          <w:color w:val="000000"/>
          <w:lang w:eastAsia="en-US"/>
        </w:rPr>
        <w:t>T</w:t>
      </w:r>
      <w:r w:rsidR="005E0F0A" w:rsidRPr="00677B3D">
        <w:rPr>
          <w:rFonts w:ascii="TimesNewRomanPSMT" w:eastAsiaTheme="minorHAnsi" w:hAnsi="TimesNewRomanPSMT" w:cs="TimesNewRomanPSMT"/>
          <w:color w:val="000000"/>
          <w:lang w:eastAsia="en-US"/>
        </w:rPr>
        <w:t xml:space="preserve">omēr </w:t>
      </w:r>
      <w:r w:rsidR="00B037EB">
        <w:rPr>
          <w:rFonts w:ascii="TimesNewRomanPSMT" w:eastAsiaTheme="minorHAnsi" w:hAnsi="TimesNewRomanPSMT" w:cs="TimesNewRomanPSMT"/>
          <w:color w:val="000000"/>
          <w:lang w:eastAsia="en-US"/>
        </w:rPr>
        <w:t xml:space="preserve">pieteicējas </w:t>
      </w:r>
      <w:r w:rsidR="005E0F0A" w:rsidRPr="00677B3D">
        <w:rPr>
          <w:rFonts w:ascii="TimesNewRomanPSMT" w:eastAsiaTheme="minorHAnsi" w:hAnsi="TimesNewRomanPSMT" w:cs="TimesNewRomanPSMT"/>
          <w:color w:val="000000"/>
          <w:lang w:eastAsia="en-US"/>
        </w:rPr>
        <w:t>minētais Vadlīniju punkts noteic, ka, iespējams, šādos gadījumos rokas attāluma</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principu (saistīto uzņēmumu darījumi, „draugu” darījumi) var neattiecināt uz</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pakalpojumu kā tādu, bet tikai uz starpniecības izmaksām. Tādējādi Vadlīnijas</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paredz tikai iespējamību, kas jāvērtē katrā konkrētajā gadījumā, nevis noteic to</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imperatīvi.</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Pieteicējas darījumu gadījumā</w:t>
      </w:r>
      <w:r w:rsidR="00813A3F">
        <w:rPr>
          <w:rFonts w:ascii="TimesNewRomanPSMT" w:eastAsiaTheme="minorHAnsi" w:hAnsi="TimesNewRomanPSMT" w:cs="TimesNewRomanPSMT"/>
          <w:color w:val="000000"/>
          <w:lang w:eastAsia="en-US"/>
        </w:rPr>
        <w:t xml:space="preserve"> dienesta </w:t>
      </w:r>
      <w:r w:rsidR="005E0F0A" w:rsidRPr="00677B3D">
        <w:rPr>
          <w:rFonts w:ascii="TimesNewRomanPSMT" w:eastAsiaTheme="minorHAnsi" w:hAnsi="TimesNewRomanPSMT" w:cs="TimesNewRomanPSMT"/>
          <w:color w:val="000000"/>
          <w:lang w:eastAsia="en-US"/>
        </w:rPr>
        <w:t>noteiktais o</w:t>
      </w:r>
      <w:r w:rsidR="00805DCD">
        <w:rPr>
          <w:rFonts w:ascii="TimesNewRomanPSMT" w:eastAsiaTheme="minorHAnsi" w:hAnsi="TimesNewRomanPSMT" w:cs="TimesNewRomanPSMT"/>
          <w:color w:val="000000"/>
          <w:lang w:eastAsia="en-US"/>
        </w:rPr>
        <w:t>peratīvo izmaksu uzcenojums 1,7</w:t>
      </w:r>
      <w:r w:rsidR="005E0F0A" w:rsidRPr="00677B3D">
        <w:rPr>
          <w:rFonts w:ascii="TimesNewRomanPSMT" w:eastAsiaTheme="minorHAnsi" w:hAnsi="TimesNewRomanPSMT" w:cs="TimesNewRomanPSMT"/>
          <w:color w:val="000000"/>
          <w:lang w:eastAsia="en-US"/>
        </w:rPr>
        <w:t>% pieteicējas mārketinga starpniecības</w:t>
      </w:r>
      <w:r w:rsidR="0089430F">
        <w:rPr>
          <w:rFonts w:ascii="TimesNewRomanPSMT" w:eastAsiaTheme="minorHAnsi" w:hAnsi="TimesNewRomanPSMT" w:cs="TimesNewRomanPSMT"/>
          <w:color w:val="000000"/>
          <w:lang w:eastAsia="en-US"/>
        </w:rPr>
        <w:t xml:space="preserve"> </w:t>
      </w:r>
      <w:r w:rsidR="005E0F0A" w:rsidRPr="00677B3D">
        <w:rPr>
          <w:rFonts w:ascii="TimesNewRomanPSMT" w:eastAsiaTheme="minorHAnsi" w:hAnsi="TimesNewRomanPSMT" w:cs="TimesNewRomanPSMT"/>
          <w:color w:val="000000"/>
          <w:lang w:eastAsia="en-US"/>
        </w:rPr>
        <w:t>pakalpojumiem bija pamatots un atbilstošs.</w:t>
      </w:r>
      <w:r w:rsidR="0089430F">
        <w:rPr>
          <w:rFonts w:ascii="TimesNewRomanPSMT" w:eastAsiaTheme="minorHAnsi" w:hAnsi="TimesNewRomanPSMT" w:cs="TimesNewRomanPSMT"/>
          <w:color w:val="000000"/>
          <w:lang w:eastAsia="en-US"/>
        </w:rPr>
        <w:t xml:space="preserve"> </w:t>
      </w:r>
    </w:p>
    <w:p w14:paraId="2D5F2747" w14:textId="77777777" w:rsidR="00C3487C" w:rsidRPr="00677B3D" w:rsidRDefault="00C3487C" w:rsidP="00C3487C">
      <w:pPr>
        <w:spacing w:line="276" w:lineRule="auto"/>
        <w:jc w:val="both"/>
      </w:pPr>
    </w:p>
    <w:p w14:paraId="36728B43" w14:textId="77777777" w:rsidR="00C3487C" w:rsidRDefault="00C3487C" w:rsidP="00F8038A">
      <w:pPr>
        <w:spacing w:line="276" w:lineRule="auto"/>
        <w:ind w:firstLine="567"/>
        <w:jc w:val="both"/>
      </w:pPr>
      <w:r w:rsidRPr="00677B3D">
        <w:t>[</w:t>
      </w:r>
      <w:r w:rsidR="00B41289" w:rsidRPr="00677B3D">
        <w:t>7</w:t>
      </w:r>
      <w:r w:rsidRPr="00677B3D">
        <w:t>] Pieteicēja iesniedza kasācijas sūdzību par apgabaltiesas spriedumu daļā, kurā pieteicējas pieteikums noraidīts. Pieteicējas kasācijas sūdzība</w:t>
      </w:r>
      <w:r w:rsidR="00215E53">
        <w:t xml:space="preserve">, </w:t>
      </w:r>
      <w:proofErr w:type="spellStart"/>
      <w:r w:rsidR="00215E53">
        <w:t>citstarp</w:t>
      </w:r>
      <w:proofErr w:type="spellEnd"/>
      <w:r w:rsidR="00215E53">
        <w:t xml:space="preserve"> atsaucoties uz auditorkompāniju </w:t>
      </w:r>
      <w:r w:rsidR="00215E53" w:rsidRPr="00677B3D">
        <w:rPr>
          <w:rFonts w:ascii="TimesNewRomanPSMT" w:eastAsiaTheme="minorHAnsi" w:hAnsi="TimesNewRomanPSMT" w:cs="TimesNewRomanPSMT"/>
          <w:color w:val="000000"/>
          <w:lang w:eastAsia="en-US"/>
        </w:rPr>
        <w:t>„</w:t>
      </w:r>
      <w:r w:rsidR="00215E53">
        <w:rPr>
          <w:rFonts w:ascii="TimesNewRomanPSMT" w:eastAsiaTheme="minorHAnsi" w:hAnsi="TimesNewRomanPSMT" w:cs="TimesNewRomanPSMT"/>
          <w:color w:val="000000"/>
          <w:lang w:eastAsia="en-US"/>
        </w:rPr>
        <w:t xml:space="preserve">KPMG </w:t>
      </w:r>
      <w:proofErr w:type="spellStart"/>
      <w:r w:rsidR="00215E53">
        <w:rPr>
          <w:rFonts w:ascii="TimesNewRomanPSMT" w:eastAsiaTheme="minorHAnsi" w:hAnsi="TimesNewRomanPSMT" w:cs="TimesNewRomanPSMT"/>
          <w:color w:val="000000"/>
          <w:lang w:eastAsia="en-US"/>
        </w:rPr>
        <w:t>Baltics</w:t>
      </w:r>
      <w:proofErr w:type="spellEnd"/>
      <w:r w:rsidR="00215E53" w:rsidRPr="00677B3D">
        <w:rPr>
          <w:rFonts w:ascii="TimesNewRomanPSMT" w:eastAsiaTheme="minorHAnsi" w:hAnsi="TimesNewRomanPSMT" w:cs="TimesNewRomanPSMT"/>
          <w:color w:val="000000"/>
          <w:lang w:eastAsia="en-US"/>
        </w:rPr>
        <w:t>”</w:t>
      </w:r>
      <w:r w:rsidR="00215E53">
        <w:rPr>
          <w:rFonts w:ascii="TimesNewRomanPSMT" w:eastAsiaTheme="minorHAnsi" w:hAnsi="TimesNewRomanPSMT" w:cs="TimesNewRomanPSMT"/>
          <w:color w:val="000000"/>
          <w:lang w:eastAsia="en-US"/>
        </w:rPr>
        <w:t xml:space="preserve"> un </w:t>
      </w:r>
      <w:proofErr w:type="gramStart"/>
      <w:r w:rsidR="00215E53" w:rsidRPr="00677B3D">
        <w:rPr>
          <w:rFonts w:ascii="TimesNewRomanPSMT" w:eastAsiaTheme="minorHAnsi" w:hAnsi="TimesNewRomanPSMT" w:cs="TimesNewRomanPSMT"/>
          <w:color w:val="000000"/>
          <w:lang w:eastAsia="en-US"/>
        </w:rPr>
        <w:t>„</w:t>
      </w:r>
      <w:proofErr w:type="spellStart"/>
      <w:r w:rsidR="00215E53">
        <w:rPr>
          <w:rFonts w:ascii="TimesNewRomanPSMT" w:eastAsiaTheme="minorHAnsi" w:hAnsi="TimesNewRomanPSMT" w:cs="TimesNewRomanPSMT"/>
          <w:color w:val="000000"/>
          <w:lang w:eastAsia="en-US"/>
        </w:rPr>
        <w:t>PricewaterhouseCoopers</w:t>
      </w:r>
      <w:proofErr w:type="spellEnd"/>
      <w:r w:rsidR="00215E53" w:rsidRPr="00677B3D">
        <w:rPr>
          <w:rFonts w:ascii="TimesNewRomanPSMT" w:eastAsiaTheme="minorHAnsi" w:hAnsi="TimesNewRomanPSMT" w:cs="TimesNewRomanPSMT"/>
          <w:color w:val="000000"/>
          <w:lang w:eastAsia="en-US"/>
        </w:rPr>
        <w:t>”</w:t>
      </w:r>
      <w:r w:rsidR="00215E53">
        <w:rPr>
          <w:rFonts w:ascii="TimesNewRomanPSMT" w:eastAsiaTheme="minorHAnsi" w:hAnsi="TimesNewRomanPSMT" w:cs="TimesNewRomanPSMT"/>
          <w:color w:val="000000"/>
          <w:lang w:eastAsia="en-US"/>
        </w:rPr>
        <w:t xml:space="preserve"> sniegto skaidrojumu par Vadlīniju piemērošanu,</w:t>
      </w:r>
      <w:proofErr w:type="gramEnd"/>
      <w:r w:rsidR="00215E53">
        <w:rPr>
          <w:rFonts w:ascii="TimesNewRomanPSMT" w:eastAsiaTheme="minorHAnsi" w:hAnsi="TimesNewRomanPSMT" w:cs="TimesNewRomanPSMT"/>
          <w:color w:val="000000"/>
          <w:lang w:eastAsia="en-US"/>
        </w:rPr>
        <w:t xml:space="preserve"> </w:t>
      </w:r>
      <w:r w:rsidRPr="00677B3D">
        <w:t xml:space="preserve">pamatota ar turpmāk norādītajiem argumentiem. </w:t>
      </w:r>
    </w:p>
    <w:p w14:paraId="63555338" w14:textId="6A510B87" w:rsidR="00A35E4A" w:rsidRDefault="00C74E46" w:rsidP="00F8038A">
      <w:pPr>
        <w:spacing w:line="276" w:lineRule="auto"/>
        <w:ind w:firstLine="567"/>
        <w:jc w:val="both"/>
      </w:pPr>
      <w:r>
        <w:lastRenderedPageBreak/>
        <w:t xml:space="preserve">[7.1] </w:t>
      </w:r>
      <w:r w:rsidR="00A003FC">
        <w:t xml:space="preserve">Atbilstoši </w:t>
      </w:r>
      <w:r w:rsidR="003C154A">
        <w:t>n</w:t>
      </w:r>
      <w:r w:rsidR="00A003FC">
        <w:t>oteikumu Nr. 556 86.punktā paredzētajai izmaksu pieskaitīšanas metodei darījuma tirgus vērtība tiek noteikta, piegādātāja izmaksām par pakalpojuma piegādi saistītam uzņēmumam pieskaitot atbilstošu izmaksu uzcenojumu, kādu piegādātājs piemērotu salīdzināmā darījumā ar nesaistītu komersantu, ņemot vērā darījuma nodrošināšanai veiktās funkcijas. Vienlaikus Vadlīniju 7.36</w:t>
      </w:r>
      <w:r w:rsidR="0021385F">
        <w:t>.</w:t>
      </w:r>
      <w:r w:rsidR="00A003FC">
        <w:t xml:space="preserve">punkts noteic, ka gadījumā, ja saistītais uzņēmums pakalpojuma sniegšanā rīkojas tikai kā aģents (starpnieks), tad izmaksu pieskaitīšanas metodes piemērošanā ir svarīgi, lai peļņas uzcenojums atbilstu aģenta funkciju veikšanai, nevis paša pakalpojuma </w:t>
      </w:r>
      <w:r w:rsidR="000A3FEB">
        <w:t>nodrošināšanai</w:t>
      </w:r>
      <w:r w:rsidR="00A003FC">
        <w:t>. Tāpēc tādā gadījumā varētu būtu nepareizi noteikt tirgus līmeņa cenu ar peļņas uzcenojumu pakalpojuma izmaksām, nevis tikai aģenta funkciju izmaksām</w:t>
      </w:r>
      <w:r w:rsidR="00A35E4A">
        <w:t>.</w:t>
      </w:r>
    </w:p>
    <w:p w14:paraId="5B6668EE" w14:textId="423425DD" w:rsidR="00B67E2B" w:rsidRPr="00677B3D" w:rsidRDefault="00AA0A86" w:rsidP="00F8038A">
      <w:pPr>
        <w:spacing w:line="276" w:lineRule="auto"/>
        <w:ind w:firstLine="567"/>
        <w:jc w:val="both"/>
      </w:pPr>
      <w:r>
        <w:t xml:space="preserve">[7.2] Tiesa spriedumā nav norādījusi pamatojumu, kādēļ par pareizu atzīstama dienesta rīcība, </w:t>
      </w:r>
      <w:r w:rsidR="00A35E4A">
        <w:t xml:space="preserve">konkrētajā gadījumā </w:t>
      </w:r>
      <w:r>
        <w:t>peļņas uzcenojumu piemērojot mārketinga pakalpojumu kopēj</w:t>
      </w:r>
      <w:r w:rsidR="00CA7E79">
        <w:t>ām izmaksām</w:t>
      </w:r>
      <w:r>
        <w:t xml:space="preserve"> (gan mārketinga aģentūru sniegto pakalpojumu vērtībai, gan pieteicējas starpniecības pakalpojumu izmaksām). Tiesa ir atzinusi, ka Vadlīniju 7.36</w:t>
      </w:r>
      <w:r w:rsidR="0021385F">
        <w:t>.</w:t>
      </w:r>
      <w:r>
        <w:t xml:space="preserve">punkts paredz, ka var būt gadījumi, kad izmaksu pieskaitīšanas metodes ietvaros starpniecības pakalpojumu tirgus vērtības noteikšanai </w:t>
      </w:r>
      <w:r w:rsidR="00856806">
        <w:t xml:space="preserve">ir adekvāti </w:t>
      </w:r>
      <w:r>
        <w:t>peļņas procentu piemēro</w:t>
      </w:r>
      <w:r w:rsidR="00856806">
        <w:t>t</w:t>
      </w:r>
      <w:r>
        <w:t xml:space="preserve"> tikai starpniecības izmaksām, nevis starpniecības rezultātā piegādātā pakalpojuma vērtībai, un tas ir jāvērtē katrā konkrētā gadījumā. Tomēr tālāk tiesa spriedumā nav analizējusi konkrēto gadījumu un nav argumentējusi, kāpēc konkrētajā gadījumā būtu pamatoti peļņas uzcenojumu piemērot ne tikai starpnie</w:t>
      </w:r>
      <w:r w:rsidR="00856806">
        <w:t>cī</w:t>
      </w:r>
      <w:r>
        <w:t>bas izmaksām, bet vis</w:t>
      </w:r>
      <w:r w:rsidR="00CA7E79">
        <w:t xml:space="preserve">ām ar </w:t>
      </w:r>
      <w:r>
        <w:t>piegādāt</w:t>
      </w:r>
      <w:r w:rsidR="00CA7E79">
        <w:t>o</w:t>
      </w:r>
      <w:r>
        <w:t xml:space="preserve"> pakalpojum</w:t>
      </w:r>
      <w:r w:rsidR="00CA7E79">
        <w:t>u saistītajām izmaksām</w:t>
      </w:r>
      <w:r>
        <w:t xml:space="preserve"> kopumā.</w:t>
      </w:r>
      <w:r w:rsidR="00C85378">
        <w:t xml:space="preserve"> Tādējādi tiesa arī nonākusi pretrunās, jo, no vienas puses, ir atzinusi, ka pieteicēja veica starpniecības pakalpojumus, bet, no otras puses, atzinusi, ka uzcenojums piemērojams ne tikai izmaksām, kas saistītas ar starpniecības pakalpojumu nodrošināšanu, bet arī mārketinga pakalpojumu vērtībai.</w:t>
      </w:r>
    </w:p>
    <w:p w14:paraId="02D44749" w14:textId="77777777" w:rsidR="00C3487C" w:rsidRPr="00677B3D" w:rsidRDefault="00C3487C" w:rsidP="00C3487C">
      <w:pPr>
        <w:spacing w:line="276" w:lineRule="auto"/>
        <w:jc w:val="both"/>
      </w:pPr>
    </w:p>
    <w:p w14:paraId="24BF6050" w14:textId="77777777" w:rsidR="00C3487C" w:rsidRPr="00677B3D" w:rsidRDefault="00C3487C" w:rsidP="00F8038A">
      <w:pPr>
        <w:spacing w:line="276" w:lineRule="auto"/>
        <w:ind w:firstLine="567"/>
        <w:jc w:val="both"/>
      </w:pPr>
      <w:r w:rsidRPr="00677B3D">
        <w:t>[</w:t>
      </w:r>
      <w:r w:rsidR="00B41289" w:rsidRPr="00677B3D">
        <w:t>8</w:t>
      </w:r>
      <w:r w:rsidRPr="00677B3D">
        <w:t xml:space="preserve">] Dienests iesniedza kasācijas sūdzību par apgabaltiesas spriedumu daļā, kurā pieteicējas pieteikums apmierināts. Dienesta kasācijas sūdzība pamatota ar turpmāk norādītajiem argumentiem. </w:t>
      </w:r>
    </w:p>
    <w:p w14:paraId="5CDE97A8" w14:textId="659D77BC" w:rsidR="00B41289" w:rsidRPr="00677B3D" w:rsidRDefault="00B41289" w:rsidP="00F8038A">
      <w:pPr>
        <w:spacing w:line="276" w:lineRule="auto"/>
        <w:ind w:firstLine="567"/>
        <w:jc w:val="both"/>
      </w:pPr>
      <w:r w:rsidRPr="00677B3D">
        <w:t xml:space="preserve">[8.1] Apgabaltiesa </w:t>
      </w:r>
      <w:r w:rsidR="008E2C16" w:rsidRPr="00677B3D">
        <w:t xml:space="preserve">pieļāva materiālo un procesuālo normu pārkāpumus, proti, </w:t>
      </w:r>
      <w:r w:rsidRPr="00677B3D">
        <w:t>nepareizi novērtēja lietas faktiskos apstākļus</w:t>
      </w:r>
      <w:r w:rsidR="008E2C16" w:rsidRPr="00677B3D">
        <w:t xml:space="preserve"> un piemēroja tiesību normas, kuras, ņemot vērā konkrētās lietas specifiskos apstākļus, nevajadzēja piemērot. </w:t>
      </w:r>
      <w:r w:rsidR="003309E3" w:rsidRPr="00677B3D">
        <w:t xml:space="preserve">Tiesa, izvērtējot lietā esošos pierādījumus un izdarot secinājumus, nav ievērojusi Administratīvā procesa likuma </w:t>
      </w:r>
      <w:proofErr w:type="gramStart"/>
      <w:r w:rsidR="003309E3" w:rsidRPr="00677B3D">
        <w:t>154.panta</w:t>
      </w:r>
      <w:proofErr w:type="gramEnd"/>
      <w:r w:rsidR="003309E3" w:rsidRPr="00677B3D">
        <w:t xml:space="preserve"> pirmajā daļā noteikto un līdz ar to arī nepareizi piemēroja materiālo tiesību normas. </w:t>
      </w:r>
      <w:r w:rsidR="008E2C16" w:rsidRPr="00677B3D">
        <w:t xml:space="preserve">Tas </w:t>
      </w:r>
      <w:r w:rsidRPr="00677B3D">
        <w:t>noveda pie nepareiza sprieduma.</w:t>
      </w:r>
    </w:p>
    <w:p w14:paraId="626CFA85" w14:textId="65074914" w:rsidR="00B41289" w:rsidRPr="00677B3D" w:rsidRDefault="00B41289" w:rsidP="00F8038A">
      <w:pPr>
        <w:spacing w:line="276" w:lineRule="auto"/>
        <w:ind w:firstLine="567"/>
        <w:jc w:val="both"/>
      </w:pPr>
      <w:r w:rsidRPr="00677B3D">
        <w:t xml:space="preserve">[8.2] Izvērtējot pieteicējas un Ražotāja starpā noslēgto Izplatīšanas līgumu un pieteicējas un Nīderlandes starpā noslēgto </w:t>
      </w:r>
      <w:r w:rsidR="000F4DC2" w:rsidRPr="00677B3D">
        <w:t>G</w:t>
      </w:r>
      <w:r w:rsidRPr="00677B3D">
        <w:t>arantijas saistību pārņemšanas līgumu</w:t>
      </w:r>
      <w:r w:rsidR="004F1306" w:rsidRPr="00677B3D">
        <w:t xml:space="preserve">, secināms, ka faktiski preču garantijas remontu pakalpojumu sniedzēji ir Ražotājs un Nīderlandes Samsung, bet pieteicēja ir minēto pakalpojumu nodrošinātāja, kurai pašai nerodas izmaksas no minēto pakalpojumu sniegšanas, jo tās pieteicējai kompensē Ražotājs un Nīderlandes Samsung. Šādos apstākļos pieteicējas darbība garantijas pakalpojumu nodrošināšanā nav uzskatāma par Ražotājam vai Nīderlandes Samsung sniegtu pakalpojumu, </w:t>
      </w:r>
      <w:r w:rsidR="00642043" w:rsidRPr="00677B3D">
        <w:t>un</w:t>
      </w:r>
      <w:r w:rsidR="004F1306" w:rsidRPr="00677B3D">
        <w:t xml:space="preserve"> izmaksas, kas saistītas ar garantijas pakalpojumu sniegšanu un kas pieteicējai tiek kompensētas no Ražotāja un Nīderlandes Samsung puses</w:t>
      </w:r>
      <w:r w:rsidR="00642043" w:rsidRPr="00677B3D">
        <w:t xml:space="preserve">, atbilstoši </w:t>
      </w:r>
      <w:r w:rsidR="003C154A">
        <w:t>n</w:t>
      </w:r>
      <w:r w:rsidR="00642043" w:rsidRPr="00677B3D">
        <w:t xml:space="preserve">oteikumu Nr. 933 2.1.apakšpunktam un 194.punktam ir atzīstamas par izdevumu kompensācijas maksu, kam nepiemēro </w:t>
      </w:r>
      <w:r w:rsidR="00642043" w:rsidRPr="00677B3D">
        <w:rPr>
          <w:rFonts w:eastAsiaTheme="minorHAnsi"/>
          <w:lang w:eastAsia="en-US"/>
        </w:rPr>
        <w:t>likuma „Par pievienotās vērtības nodokli” normas.</w:t>
      </w:r>
      <w:r w:rsidR="00642043" w:rsidRPr="00677B3D">
        <w:t xml:space="preserve"> </w:t>
      </w:r>
    </w:p>
    <w:p w14:paraId="09D3AF24" w14:textId="77777777" w:rsidR="008E2C16" w:rsidRPr="00677B3D" w:rsidRDefault="00642043" w:rsidP="00F8038A">
      <w:pPr>
        <w:spacing w:line="276" w:lineRule="auto"/>
        <w:ind w:firstLine="567"/>
        <w:jc w:val="both"/>
      </w:pPr>
      <w:r w:rsidRPr="00677B3D">
        <w:t xml:space="preserve">[8.3] Apgabaltiesa spriedumā kļūdaini norādījusi, ka pārsūdzētajā lēmumā nav pamatots, kāpēc pieteicējas darījumi ar Remonta servisiem nebūtu uzskatāmi par ar pievienotās vērtības </w:t>
      </w:r>
      <w:r w:rsidRPr="00677B3D">
        <w:lastRenderedPageBreak/>
        <w:t>nodokli apliekamiem darījumiem. Lietā nav strīda, ka pieteicējas darījumi ar Remonta servisiem ir pakalpojuma darījumi, kas apliekami ar pievienotās vērtības nodokli. Strīds ir par to, vai pieteicēja šos darījumus izmantoja savas saimnieciskās darbības nodrošināšanai.</w:t>
      </w:r>
    </w:p>
    <w:p w14:paraId="18F29DFF" w14:textId="638B5FAD" w:rsidR="003309E3" w:rsidRPr="00677B3D" w:rsidRDefault="008E2C16" w:rsidP="00F8038A">
      <w:pPr>
        <w:spacing w:line="276" w:lineRule="auto"/>
        <w:ind w:firstLine="567"/>
        <w:jc w:val="both"/>
      </w:pPr>
      <w:r w:rsidRPr="00677B3D">
        <w:t xml:space="preserve">[8.4] No </w:t>
      </w:r>
      <w:r w:rsidRPr="00677B3D">
        <w:rPr>
          <w:rFonts w:eastAsiaTheme="minorHAnsi"/>
          <w:lang w:eastAsia="en-US"/>
        </w:rPr>
        <w:t xml:space="preserve">likuma „Par pievienotās vērtības nodokli” </w:t>
      </w:r>
      <w:proofErr w:type="gramStart"/>
      <w:r w:rsidRPr="00677B3D">
        <w:rPr>
          <w:rFonts w:eastAsiaTheme="minorHAnsi"/>
          <w:lang w:eastAsia="en-US"/>
        </w:rPr>
        <w:t>10.panta</w:t>
      </w:r>
      <w:proofErr w:type="gramEnd"/>
      <w:r w:rsidRPr="00677B3D">
        <w:rPr>
          <w:rFonts w:eastAsiaTheme="minorHAnsi"/>
          <w:lang w:eastAsia="en-US"/>
        </w:rPr>
        <w:t xml:space="preserve"> pirmās daļas </w:t>
      </w:r>
      <w:r w:rsidR="003309E3" w:rsidRPr="00677B3D">
        <w:rPr>
          <w:rFonts w:eastAsiaTheme="minorHAnsi"/>
          <w:lang w:eastAsia="en-US"/>
        </w:rPr>
        <w:t xml:space="preserve">1.punkta, kā arī Eiropas Savienības </w:t>
      </w:r>
      <w:r w:rsidR="00555ECD" w:rsidRPr="00677B3D">
        <w:rPr>
          <w:rFonts w:eastAsiaTheme="minorHAnsi"/>
          <w:lang w:eastAsia="en-US"/>
        </w:rPr>
        <w:t>T</w:t>
      </w:r>
      <w:r w:rsidR="003309E3" w:rsidRPr="00677B3D">
        <w:rPr>
          <w:rFonts w:eastAsiaTheme="minorHAnsi"/>
          <w:lang w:eastAsia="en-US"/>
        </w:rPr>
        <w:t>iesas un Augstākās tiesas judikatūras izriet, ka priekšnodokli var atskaitīt tikai par tādiem darījumiem, kas tiek izmantoti ar pievienotās vērtības nodokli apliekamu darījumu nodrošināšanai.</w:t>
      </w:r>
      <w:r w:rsidRPr="00677B3D">
        <w:t xml:space="preserve"> </w:t>
      </w:r>
      <w:r w:rsidR="00642043" w:rsidRPr="00677B3D">
        <w:t>Dienests uzskata, ka pieteicējas darījumi ar Remonta servisiem bija vērsti uz saistību ar Ražotāju un Nīderlandes Samsung nodrošināšanu</w:t>
      </w:r>
      <w:r w:rsidR="003309E3" w:rsidRPr="00677B3D">
        <w:t>, savukārt</w:t>
      </w:r>
      <w:r w:rsidRPr="00677B3D">
        <w:t xml:space="preserve"> pieteicējas attiecības ar Ražotāju un Nīderlandes Samsung nav vērt</w:t>
      </w:r>
      <w:r w:rsidR="003309E3" w:rsidRPr="00677B3D">
        <w:t>ē</w:t>
      </w:r>
      <w:r w:rsidRPr="00677B3D">
        <w:t>jam</w:t>
      </w:r>
      <w:r w:rsidR="003309E3" w:rsidRPr="00677B3D">
        <w:t>as</w:t>
      </w:r>
      <w:proofErr w:type="gramStart"/>
      <w:r w:rsidRPr="00677B3D">
        <w:t xml:space="preserve"> kā ar pievienotās vērtības nodokli apliekami darījumi</w:t>
      </w:r>
      <w:proofErr w:type="gramEnd"/>
      <w:r w:rsidRPr="00677B3D">
        <w:t>, bet gan kā izmaksu komp</w:t>
      </w:r>
      <w:r w:rsidR="003309E3" w:rsidRPr="00677B3D">
        <w:t>e</w:t>
      </w:r>
      <w:r w:rsidRPr="00677B3D">
        <w:t>nsācija</w:t>
      </w:r>
      <w:r w:rsidR="003309E3" w:rsidRPr="00677B3D">
        <w:t xml:space="preserve">. Lietā nav strīda, ka pieteicēja no šiem darījumiem neguva peļņu. </w:t>
      </w:r>
    </w:p>
    <w:p w14:paraId="2EA3EFAB" w14:textId="77777777" w:rsidR="00642043" w:rsidRPr="00677B3D" w:rsidRDefault="003309E3" w:rsidP="00F8038A">
      <w:pPr>
        <w:spacing w:line="276" w:lineRule="auto"/>
        <w:ind w:firstLine="567"/>
        <w:jc w:val="both"/>
      </w:pPr>
      <w:r w:rsidRPr="00677B3D">
        <w:t>Līdz ar to pieteicēja darījumus ar Remonta servisiem neizmantoja ar pievienotās vērtības nodokli apliekamu darījumu nodrošināšanai (saimnieciskās darbības veikšanai), tāpēc pieteicējai nav tiesību saistībā ar tiem atskaitīt priekšnodokli.</w:t>
      </w:r>
      <w:r w:rsidR="00642043" w:rsidRPr="00677B3D">
        <w:t xml:space="preserve"> </w:t>
      </w:r>
    </w:p>
    <w:p w14:paraId="622E3727" w14:textId="77777777" w:rsidR="004054C9" w:rsidRPr="00677B3D" w:rsidRDefault="004054C9" w:rsidP="00F8038A">
      <w:pPr>
        <w:spacing w:line="276" w:lineRule="auto"/>
        <w:ind w:firstLine="567"/>
        <w:jc w:val="both"/>
      </w:pPr>
    </w:p>
    <w:p w14:paraId="2206D0AD" w14:textId="77777777" w:rsidR="004054C9" w:rsidRDefault="004054C9" w:rsidP="00F8038A">
      <w:pPr>
        <w:spacing w:line="276" w:lineRule="auto"/>
        <w:ind w:firstLine="567"/>
        <w:jc w:val="both"/>
      </w:pPr>
      <w:r w:rsidRPr="00677B3D">
        <w:t xml:space="preserve">[9] Pieteicēja par dienesta kasācijas sūdzību iesniedza paskaidrojumu, norādot, ka kasācijas sūdzība nav pamatota. Tostarp pieteicēja uzsvēra, ka dienests nav pamatojis un pierādījis, ka pieteicējai pašai nerodas nekādas izmaksas saistībā ar garantijas pakalpojumu sniegšanu, kā arī bez jebkādiem pierādījumiem ir apgalvojis, ka pieteicēja no darījuma ar Nīderlandes Samsung neguva peļņu. Pieteicēja uzsvēra, ka dienests šajā lietā vispār nav skaidrojis, vai pieteicēja darījuma ar Nīderlandes Samsung rezultātā guva peļņu vai cieta zaudējumus. </w:t>
      </w:r>
    </w:p>
    <w:p w14:paraId="7A8039D6" w14:textId="77777777" w:rsidR="006636F9" w:rsidRPr="00677B3D" w:rsidRDefault="006636F9" w:rsidP="00F8038A">
      <w:pPr>
        <w:spacing w:line="276" w:lineRule="auto"/>
        <w:ind w:firstLine="567"/>
        <w:jc w:val="both"/>
      </w:pPr>
      <w:r>
        <w:t>Dienests iesniedza paskaidrojumu par pieteicējas kasāciju, norādot, ka tā ir nepamatota.</w:t>
      </w:r>
    </w:p>
    <w:p w14:paraId="2437C167" w14:textId="77777777" w:rsidR="00642043" w:rsidRPr="00677B3D" w:rsidRDefault="00642043" w:rsidP="00F8038A">
      <w:pPr>
        <w:spacing w:line="276" w:lineRule="auto"/>
        <w:ind w:firstLine="567"/>
        <w:jc w:val="both"/>
      </w:pPr>
    </w:p>
    <w:p w14:paraId="0A034D3C" w14:textId="77777777" w:rsidR="00C3487C" w:rsidRPr="00677B3D" w:rsidRDefault="00C3487C" w:rsidP="00C3487C">
      <w:pPr>
        <w:spacing w:line="276" w:lineRule="auto"/>
        <w:jc w:val="center"/>
        <w:rPr>
          <w:b/>
        </w:rPr>
      </w:pPr>
      <w:r w:rsidRPr="00677B3D">
        <w:rPr>
          <w:b/>
        </w:rPr>
        <w:t>Motīvu daļa</w:t>
      </w:r>
    </w:p>
    <w:p w14:paraId="3BB6AED8" w14:textId="77777777" w:rsidR="00C3487C" w:rsidRPr="00677B3D" w:rsidRDefault="00C3487C" w:rsidP="00C3487C">
      <w:pPr>
        <w:spacing w:line="276" w:lineRule="auto"/>
        <w:jc w:val="both"/>
      </w:pPr>
    </w:p>
    <w:p w14:paraId="6A5E6936" w14:textId="77777777" w:rsidR="00C3487C" w:rsidRDefault="00C3487C" w:rsidP="00990999">
      <w:pPr>
        <w:spacing w:line="276" w:lineRule="auto"/>
        <w:jc w:val="center"/>
        <w:rPr>
          <w:b/>
        </w:rPr>
      </w:pPr>
      <w:r w:rsidRPr="00677B3D">
        <w:rPr>
          <w:b/>
        </w:rPr>
        <w:t>I</w:t>
      </w:r>
    </w:p>
    <w:p w14:paraId="42F7272A" w14:textId="77777777" w:rsidR="00EE7746" w:rsidRPr="00677B3D" w:rsidRDefault="00EE7746" w:rsidP="00C3487C">
      <w:pPr>
        <w:spacing w:line="276" w:lineRule="auto"/>
        <w:ind w:firstLine="567"/>
        <w:jc w:val="center"/>
        <w:rPr>
          <w:b/>
        </w:rPr>
      </w:pPr>
    </w:p>
    <w:p w14:paraId="1EA65B57" w14:textId="77777777" w:rsidR="00EE7746" w:rsidRDefault="00EE7746" w:rsidP="00EE7746">
      <w:pPr>
        <w:spacing w:line="276" w:lineRule="auto"/>
        <w:ind w:firstLine="567"/>
        <w:jc w:val="both"/>
        <w:rPr>
          <w:kern w:val="28"/>
        </w:rPr>
      </w:pPr>
      <w:r w:rsidRPr="00B037EB">
        <w:t>[</w:t>
      </w:r>
      <w:r>
        <w:t>10</w:t>
      </w:r>
      <w:r w:rsidRPr="00B037EB">
        <w:t xml:space="preserve">] Pieteicēja ir iesniegusi kasācijas sūdzību par apgabaltiesas spriedumu daļā, kas attiecas uz pieteicējai aprēķinātajiem uzņēmumu ienākuma nodokļa maksājumiem. Pieteicēja kasācijas sūdzībā </w:t>
      </w:r>
      <w:r>
        <w:t xml:space="preserve">iebilst pret </w:t>
      </w:r>
      <w:r w:rsidRPr="00B037EB">
        <w:t>apgabaltiesa</w:t>
      </w:r>
      <w:r>
        <w:t>s atzīto</w:t>
      </w:r>
      <w:r w:rsidRPr="00B037EB">
        <w:t xml:space="preserve">, ka </w:t>
      </w:r>
      <w:r w:rsidRPr="00B037EB">
        <w:rPr>
          <w:kern w:val="28"/>
        </w:rPr>
        <w:t>konkrētajā gadījumā atbilstoši izmaksu pieskaitīšanas metodei strīdus pakalpojumu tirgus vērtība nosakāma, peļņas uzcenojumu piemērojot mārketinga pakalpojumu un pieteicējas starpniecības pakalpojumu kopējām izmaksām</w:t>
      </w:r>
      <w:r>
        <w:rPr>
          <w:kern w:val="28"/>
        </w:rPr>
        <w:t>, nevis tikai starpniecības pakalpojumu izmaksām. Pieteicēja uzsvērusi, ka apgabaltiesa savu secinājumu nav pamatojusi.</w:t>
      </w:r>
    </w:p>
    <w:p w14:paraId="6F0ACD5A" w14:textId="03D529C8" w:rsidR="00EE7746" w:rsidRDefault="00EE7746" w:rsidP="00EE7746">
      <w:pPr>
        <w:spacing w:line="276" w:lineRule="auto"/>
        <w:ind w:firstLine="567"/>
        <w:jc w:val="both"/>
        <w:rPr>
          <w:kern w:val="28"/>
        </w:rPr>
      </w:pPr>
      <w:r>
        <w:rPr>
          <w:kern w:val="28"/>
        </w:rPr>
        <w:t>Augstākā tiesa turpmāk norādīto apsvērumu dēļ pieteicēj</w:t>
      </w:r>
      <w:r w:rsidR="00D73B73">
        <w:rPr>
          <w:kern w:val="28"/>
        </w:rPr>
        <w:t>a</w:t>
      </w:r>
      <w:r>
        <w:rPr>
          <w:kern w:val="28"/>
        </w:rPr>
        <w:t xml:space="preserve">s kasācijas sūdzību atzīst par pamatotu. </w:t>
      </w:r>
    </w:p>
    <w:p w14:paraId="0C74F11B" w14:textId="77777777" w:rsidR="00EE7746" w:rsidRDefault="00EE7746" w:rsidP="00EE7746">
      <w:pPr>
        <w:spacing w:line="276" w:lineRule="auto"/>
        <w:ind w:firstLine="567"/>
        <w:jc w:val="both"/>
        <w:rPr>
          <w:kern w:val="28"/>
        </w:rPr>
      </w:pPr>
    </w:p>
    <w:p w14:paraId="7D525293" w14:textId="77777777" w:rsidR="00EE7746" w:rsidRDefault="00EE7746" w:rsidP="00EE7746">
      <w:pPr>
        <w:spacing w:line="276" w:lineRule="auto"/>
        <w:ind w:firstLine="567"/>
        <w:jc w:val="both"/>
        <w:rPr>
          <w:rFonts w:eastAsiaTheme="minorHAnsi"/>
          <w:lang w:eastAsia="en-US"/>
        </w:rPr>
      </w:pPr>
      <w:r w:rsidRPr="006446F0">
        <w:t>[1</w:t>
      </w:r>
      <w:r>
        <w:t>1</w:t>
      </w:r>
      <w:r w:rsidRPr="006446F0">
        <w:t xml:space="preserve">] </w:t>
      </w:r>
      <w:r>
        <w:t>Saskaņā ar l</w:t>
      </w:r>
      <w:r w:rsidRPr="006446F0">
        <w:rPr>
          <w:rFonts w:eastAsiaTheme="minorHAnsi"/>
          <w:lang w:eastAsia="en-US"/>
        </w:rPr>
        <w:t xml:space="preserve">ikuma „Par uzņēmumu ienākuma nodokli” </w:t>
      </w:r>
      <w:proofErr w:type="gramStart"/>
      <w:r w:rsidRPr="006446F0">
        <w:rPr>
          <w:rFonts w:eastAsiaTheme="minorHAnsi"/>
          <w:lang w:eastAsia="en-US"/>
        </w:rPr>
        <w:t>12.panta</w:t>
      </w:r>
      <w:proofErr w:type="gramEnd"/>
      <w:r w:rsidRPr="006446F0">
        <w:rPr>
          <w:rFonts w:eastAsiaTheme="minorHAnsi"/>
          <w:lang w:eastAsia="en-US"/>
        </w:rPr>
        <w:t xml:space="preserve"> otrās daļas 2.punkt</w:t>
      </w:r>
      <w:r>
        <w:rPr>
          <w:rFonts w:eastAsiaTheme="minorHAnsi"/>
          <w:lang w:eastAsia="en-US"/>
        </w:rPr>
        <w:t>u</w:t>
      </w:r>
      <w:r w:rsidRPr="006446F0">
        <w:rPr>
          <w:rFonts w:eastAsiaTheme="minorHAnsi"/>
          <w:lang w:eastAsia="en-US"/>
        </w:rPr>
        <w:t>, nosakot ar uzņēmumu ienākuma</w:t>
      </w:r>
      <w:r>
        <w:rPr>
          <w:rFonts w:eastAsiaTheme="minorHAnsi"/>
          <w:lang w:eastAsia="en-US"/>
        </w:rPr>
        <w:t xml:space="preserve"> </w:t>
      </w:r>
      <w:r w:rsidRPr="006446F0">
        <w:rPr>
          <w:rFonts w:eastAsiaTheme="minorHAnsi"/>
          <w:lang w:eastAsia="en-US"/>
        </w:rPr>
        <w:t>nodokli apliekamo ienākumu, peļņu palielina par summu, kuru veido preču (produkcijas,</w:t>
      </w:r>
      <w:r>
        <w:rPr>
          <w:rFonts w:eastAsiaTheme="minorHAnsi"/>
          <w:lang w:eastAsia="en-US"/>
        </w:rPr>
        <w:t xml:space="preserve"> </w:t>
      </w:r>
      <w:r w:rsidRPr="006446F0">
        <w:rPr>
          <w:rFonts w:eastAsiaTheme="minorHAnsi"/>
          <w:lang w:eastAsia="en-US"/>
        </w:rPr>
        <w:t>pakalpojumu) vērtību starpība (starpības daļa), kas rodas, ja šīs preces (produkcija, pakalpojumi)</w:t>
      </w:r>
      <w:r>
        <w:rPr>
          <w:rFonts w:eastAsiaTheme="minorHAnsi"/>
          <w:lang w:eastAsia="en-US"/>
        </w:rPr>
        <w:t xml:space="preserve"> </w:t>
      </w:r>
      <w:r w:rsidRPr="006446F0">
        <w:rPr>
          <w:rFonts w:eastAsiaTheme="minorHAnsi"/>
          <w:lang w:eastAsia="en-US"/>
        </w:rPr>
        <w:t>par cenām, kas ir zemākas par tirgus cenām, tiek pārdotas saistītiem ārvalstu uzņēmumiem</w:t>
      </w:r>
      <w:r>
        <w:rPr>
          <w:rFonts w:eastAsiaTheme="minorHAnsi"/>
          <w:lang w:eastAsia="en-US"/>
        </w:rPr>
        <w:t xml:space="preserve"> vai </w:t>
      </w:r>
      <w:r w:rsidRPr="006446F0">
        <w:rPr>
          <w:rFonts w:eastAsiaTheme="minorHAnsi"/>
          <w:lang w:eastAsia="en-US"/>
        </w:rPr>
        <w:t>saistīt</w:t>
      </w:r>
      <w:r>
        <w:rPr>
          <w:rFonts w:eastAsiaTheme="minorHAnsi"/>
          <w:lang w:eastAsia="en-US"/>
        </w:rPr>
        <w:t>iem</w:t>
      </w:r>
      <w:r w:rsidRPr="006446F0">
        <w:rPr>
          <w:rFonts w:eastAsiaTheme="minorHAnsi"/>
          <w:lang w:eastAsia="en-US"/>
        </w:rPr>
        <w:t xml:space="preserve"> uzņēmum</w:t>
      </w:r>
      <w:r>
        <w:rPr>
          <w:rFonts w:eastAsiaTheme="minorHAnsi"/>
          <w:lang w:eastAsia="en-US"/>
        </w:rPr>
        <w:t>iem</w:t>
      </w:r>
      <w:r w:rsidRPr="006446F0">
        <w:rPr>
          <w:rFonts w:eastAsiaTheme="minorHAnsi"/>
          <w:lang w:eastAsia="en-US"/>
        </w:rPr>
        <w:t>, kas ar nodokļa maksātāju veido uzņēmumu grupu.</w:t>
      </w:r>
      <w:r>
        <w:rPr>
          <w:rFonts w:eastAsiaTheme="minorHAnsi"/>
          <w:lang w:eastAsia="en-US"/>
        </w:rPr>
        <w:t xml:space="preserve"> </w:t>
      </w:r>
    </w:p>
    <w:p w14:paraId="5A36D354" w14:textId="74E260C3" w:rsidR="00EE7746" w:rsidRDefault="00EE7746" w:rsidP="00EE7746">
      <w:pPr>
        <w:spacing w:line="276" w:lineRule="auto"/>
        <w:ind w:firstLine="567"/>
        <w:jc w:val="both"/>
        <w:rPr>
          <w:rFonts w:eastAsiaTheme="minorHAnsi"/>
          <w:lang w:eastAsia="en-US"/>
        </w:rPr>
      </w:pPr>
      <w:r w:rsidRPr="006446F0">
        <w:rPr>
          <w:rFonts w:eastAsiaTheme="minorHAnsi"/>
          <w:lang w:eastAsia="en-US"/>
        </w:rPr>
        <w:t xml:space="preserve">No </w:t>
      </w:r>
      <w:r>
        <w:rPr>
          <w:rFonts w:eastAsiaTheme="minorHAnsi"/>
          <w:lang w:eastAsia="en-US"/>
        </w:rPr>
        <w:t>min</w:t>
      </w:r>
      <w:r w:rsidRPr="006446F0">
        <w:rPr>
          <w:rFonts w:eastAsiaTheme="minorHAnsi"/>
          <w:lang w:eastAsia="en-US"/>
        </w:rPr>
        <w:t xml:space="preserve">ētās tiesību normas izriet tirgus cenas princips, </w:t>
      </w:r>
      <w:r>
        <w:rPr>
          <w:rFonts w:eastAsiaTheme="minorHAnsi"/>
          <w:lang w:eastAsia="en-US"/>
        </w:rPr>
        <w:t xml:space="preserve">proti, nosacījums, ka </w:t>
      </w:r>
      <w:r w:rsidRPr="006446F0">
        <w:rPr>
          <w:rFonts w:eastAsiaTheme="minorHAnsi"/>
          <w:lang w:eastAsia="en-US"/>
        </w:rPr>
        <w:t>saistīto uzņēmumu savstarpējiem</w:t>
      </w:r>
      <w:r>
        <w:rPr>
          <w:rFonts w:eastAsiaTheme="minorHAnsi"/>
          <w:lang w:eastAsia="en-US"/>
        </w:rPr>
        <w:t xml:space="preserve"> </w:t>
      </w:r>
      <w:r w:rsidRPr="006446F0">
        <w:rPr>
          <w:rFonts w:eastAsiaTheme="minorHAnsi"/>
          <w:lang w:eastAsia="en-US"/>
        </w:rPr>
        <w:t>darījumiem ir jāpiemēro tirgus cenas</w:t>
      </w:r>
      <w:r>
        <w:rPr>
          <w:rFonts w:eastAsiaTheme="minorHAnsi"/>
          <w:lang w:eastAsia="en-US"/>
        </w:rPr>
        <w:t xml:space="preserve"> jeb cenas, kādas, veicot šādus </w:t>
      </w:r>
      <w:r>
        <w:rPr>
          <w:rFonts w:eastAsiaTheme="minorHAnsi"/>
          <w:lang w:eastAsia="en-US"/>
        </w:rPr>
        <w:lastRenderedPageBreak/>
        <w:t>darījumus, piemērotu savstarpēji nesaistīti uzņēmumi.</w:t>
      </w:r>
      <w:r w:rsidRPr="006446F0">
        <w:rPr>
          <w:rFonts w:eastAsiaTheme="minorHAnsi"/>
          <w:lang w:eastAsia="en-US"/>
        </w:rPr>
        <w:t xml:space="preserve"> Ja tirgus cena </w:t>
      </w:r>
      <w:r>
        <w:rPr>
          <w:rFonts w:eastAsiaTheme="minorHAnsi"/>
          <w:lang w:eastAsia="en-US"/>
        </w:rPr>
        <w:t xml:space="preserve">starp saistītiem uzņēmumiem </w:t>
      </w:r>
      <w:r w:rsidRPr="006446F0">
        <w:rPr>
          <w:rFonts w:eastAsiaTheme="minorHAnsi"/>
          <w:lang w:eastAsia="en-US"/>
        </w:rPr>
        <w:t>netiek piemērota un prece vai pakalpojums tiek</w:t>
      </w:r>
      <w:r>
        <w:rPr>
          <w:rFonts w:eastAsiaTheme="minorHAnsi"/>
          <w:lang w:eastAsia="en-US"/>
        </w:rPr>
        <w:t xml:space="preserve"> </w:t>
      </w:r>
      <w:r w:rsidRPr="006446F0">
        <w:rPr>
          <w:rFonts w:eastAsiaTheme="minorHAnsi"/>
          <w:lang w:eastAsia="en-US"/>
        </w:rPr>
        <w:t>pārdots par cenu, kas ir zemāka par tirgus cenu, tad uzņēmumu ienākuma nodokļa vajadzībām</w:t>
      </w:r>
      <w:r>
        <w:rPr>
          <w:rFonts w:eastAsiaTheme="minorHAnsi"/>
          <w:lang w:eastAsia="en-US"/>
        </w:rPr>
        <w:t xml:space="preserve"> </w:t>
      </w:r>
      <w:r w:rsidRPr="006446F0">
        <w:rPr>
          <w:rFonts w:eastAsiaTheme="minorHAnsi"/>
          <w:lang w:eastAsia="en-US"/>
        </w:rPr>
        <w:t>apliekamais ienākums ir jāpārskata un tas jāpalielina par šo starpības daļu (</w:t>
      </w:r>
      <w:r w:rsidRPr="006446F0">
        <w:rPr>
          <w:rFonts w:eastAsiaTheme="minorHAnsi"/>
          <w:i/>
          <w:iCs/>
          <w:lang w:eastAsia="en-US"/>
        </w:rPr>
        <w:t>Augstākās tiesas</w:t>
      </w:r>
      <w:r>
        <w:rPr>
          <w:rFonts w:eastAsiaTheme="minorHAnsi"/>
          <w:i/>
          <w:iCs/>
          <w:lang w:eastAsia="en-US"/>
        </w:rPr>
        <w:t xml:space="preserve"> </w:t>
      </w:r>
      <w:proofErr w:type="gramStart"/>
      <w:r w:rsidRPr="006446F0">
        <w:rPr>
          <w:rFonts w:eastAsiaTheme="minorHAnsi"/>
          <w:i/>
          <w:iCs/>
          <w:lang w:eastAsia="en-US"/>
        </w:rPr>
        <w:t>2016.gada</w:t>
      </w:r>
      <w:proofErr w:type="gramEnd"/>
      <w:r w:rsidRPr="006446F0">
        <w:rPr>
          <w:rFonts w:eastAsiaTheme="minorHAnsi"/>
          <w:i/>
          <w:iCs/>
          <w:lang w:eastAsia="en-US"/>
        </w:rPr>
        <w:t xml:space="preserve"> 26.februāra sprieduma lietā Nr.</w:t>
      </w:r>
      <w:r w:rsidR="002300AF">
        <w:rPr>
          <w:rFonts w:eastAsiaTheme="minorHAnsi"/>
          <w:i/>
          <w:iCs/>
          <w:lang w:eastAsia="en-US"/>
        </w:rPr>
        <w:t> </w:t>
      </w:r>
      <w:r w:rsidRPr="006446F0">
        <w:rPr>
          <w:rFonts w:eastAsiaTheme="minorHAnsi"/>
          <w:i/>
          <w:iCs/>
          <w:lang w:eastAsia="en-US"/>
        </w:rPr>
        <w:t>SKA-284/2016 (A420529010) 8.punkts</w:t>
      </w:r>
      <w:r w:rsidRPr="006446F0">
        <w:rPr>
          <w:rFonts w:eastAsiaTheme="minorHAnsi"/>
          <w:lang w:eastAsia="en-US"/>
        </w:rPr>
        <w:t>).</w:t>
      </w:r>
    </w:p>
    <w:p w14:paraId="04561629" w14:textId="77777777" w:rsidR="00EE7746" w:rsidRDefault="00EE7746" w:rsidP="00EE7746">
      <w:pPr>
        <w:spacing w:line="276" w:lineRule="auto"/>
        <w:ind w:firstLine="567"/>
        <w:jc w:val="both"/>
        <w:rPr>
          <w:rFonts w:eastAsiaTheme="minorHAnsi"/>
          <w:lang w:eastAsia="en-US"/>
        </w:rPr>
      </w:pPr>
      <w:r>
        <w:rPr>
          <w:rFonts w:eastAsiaTheme="minorHAnsi"/>
          <w:lang w:eastAsia="en-US"/>
        </w:rPr>
        <w:t>Tādējādi nodokļu administrācijas iestādei, veicot pārbaudi par nodokļu maksātāja aprēķināto uzņēmumu ienākuma nodokli, šādos gadījumos vispirms jāpārbauda, vai darījumi starp saistītajiem uzņēmumiem atbilda tirgus cenai. Ja preces vai pakalpojumi piegādāti zem tirgus cenas, iestādei jāaprēķina starpība starp tirgus cenu un saistīto uzņēmumu noteikto cenu un par šo starpību attiecīgi jākoriģē ar uzņēmumu ienākuma nodokli apliekamais nodokļu maksātāja ienākums.</w:t>
      </w:r>
    </w:p>
    <w:p w14:paraId="759CD1CC" w14:textId="77777777" w:rsidR="00EE7746" w:rsidRDefault="00EE7746" w:rsidP="00EE7746">
      <w:pPr>
        <w:spacing w:line="276" w:lineRule="auto"/>
        <w:ind w:firstLine="567"/>
        <w:jc w:val="both"/>
        <w:rPr>
          <w:rFonts w:eastAsiaTheme="minorHAnsi"/>
          <w:lang w:eastAsia="en-US"/>
        </w:rPr>
      </w:pPr>
    </w:p>
    <w:p w14:paraId="1C297413" w14:textId="77777777" w:rsidR="00EE7746" w:rsidRDefault="00EE7746" w:rsidP="00EE7746">
      <w:pPr>
        <w:spacing w:line="276" w:lineRule="auto"/>
        <w:ind w:firstLine="567"/>
        <w:jc w:val="both"/>
        <w:rPr>
          <w:rFonts w:eastAsiaTheme="minorHAnsi"/>
          <w:lang w:eastAsia="en-US"/>
        </w:rPr>
      </w:pPr>
      <w:r>
        <w:rPr>
          <w:rFonts w:eastAsiaTheme="minorHAnsi"/>
          <w:lang w:eastAsia="en-US"/>
        </w:rPr>
        <w:t>[12] Izskatāmajā lietā iestāde un tiesa ir atzinušas, ka pieteicēja saistītajiem uzņēmumiem ir piegādājusi pakalpojumus zem tirgus vērtības, jo no mārketinga aģentūrām saņemtos pakalpojumus nodevusi tālāk saistītajiem uzņēmumiem bez uzcenojuma.</w:t>
      </w:r>
    </w:p>
    <w:p w14:paraId="7D56C534" w14:textId="77777777" w:rsidR="00EE7746" w:rsidRDefault="00EE7746" w:rsidP="00EE7746">
      <w:pPr>
        <w:spacing w:line="276" w:lineRule="auto"/>
        <w:ind w:firstLine="567"/>
        <w:jc w:val="both"/>
        <w:rPr>
          <w:rFonts w:eastAsiaTheme="minorHAnsi"/>
          <w:lang w:eastAsia="en-US"/>
        </w:rPr>
      </w:pPr>
      <w:r>
        <w:rPr>
          <w:rFonts w:eastAsiaTheme="minorHAnsi"/>
          <w:lang w:eastAsia="en-US"/>
        </w:rPr>
        <w:t xml:space="preserve">Pieteicēja pieteikumā un apelācijas sūdzībā šim secinājumam ir iebildusi, norādot, ka arī pati no konkrētajiem darījumiem gūst ekonomisko labumu (pieteicējas kā </w:t>
      </w:r>
      <w:r w:rsidRPr="00437C9B">
        <w:rPr>
          <w:rFonts w:eastAsiaTheme="minorHAnsi"/>
          <w:i/>
          <w:lang w:eastAsia="en-US"/>
        </w:rPr>
        <w:t>Samsung</w:t>
      </w:r>
      <w:r>
        <w:rPr>
          <w:rFonts w:eastAsiaTheme="minorHAnsi"/>
          <w:lang w:eastAsia="en-US"/>
        </w:rPr>
        <w:t xml:space="preserve"> preču izplatītājas saimnieciskā darbība iegūst no tā, ka </w:t>
      </w:r>
      <w:r w:rsidRPr="005C5D83">
        <w:rPr>
          <w:rFonts w:eastAsiaTheme="minorHAnsi"/>
          <w:i/>
          <w:lang w:eastAsia="en-US"/>
        </w:rPr>
        <w:t>Samsung</w:t>
      </w:r>
      <w:r>
        <w:rPr>
          <w:rFonts w:eastAsiaTheme="minorHAnsi"/>
          <w:lang w:eastAsia="en-US"/>
        </w:rPr>
        <w:t xml:space="preserve"> zīmola preces tiek popularizētas) un</w:t>
      </w:r>
      <w:proofErr w:type="gramStart"/>
      <w:r>
        <w:rPr>
          <w:rFonts w:eastAsiaTheme="minorHAnsi"/>
          <w:lang w:eastAsia="en-US"/>
        </w:rPr>
        <w:t xml:space="preserve"> šāda ekonomiskā labuma dēļ arī nesaistīti</w:t>
      </w:r>
      <w:proofErr w:type="gramEnd"/>
      <w:r>
        <w:rPr>
          <w:rFonts w:eastAsiaTheme="minorHAnsi"/>
          <w:lang w:eastAsia="en-US"/>
        </w:rPr>
        <w:t xml:space="preserve"> uzņēmumi varētu izvēlēties starpniecības pakalpojumus sniegt bez uzcenojuma. Lai arī apgabaltiesa savā spriedumā šim pieteicējas argumentam nav pievērsusies, kasācijas sūdzībā pieteicēja konkrēto iebildumu vairs neizvirza, līdz ar to Augstākā tiesa, izskatot pieteicējas kasācijas sūdzību, pieņem, ka pieteicēja vairs neiebilst, ka strīdus pakalpojumus ir sniegusi zem tirgus cenas. Turklāt no lietā konstatētajiem apstākļiem secināms, ka pieteicēja konkrētajā gadījumā būtībā savus starpniecības pakalpojumus sniegusi zem pašizmaksas, jo vispār nav prasījusi samaksu par veiktajām starpniecības darbībām, lai arī nav strīda, ka vismaz administratīva rakstura izmaksas saistībā ar starpniecības pakalpojumu nodrošināšanu pieteicējai ir bijušas. </w:t>
      </w:r>
    </w:p>
    <w:p w14:paraId="04D866F6" w14:textId="77777777" w:rsidR="00EE7746" w:rsidRDefault="00EE7746" w:rsidP="00EE7746">
      <w:pPr>
        <w:spacing w:line="276" w:lineRule="auto"/>
        <w:ind w:firstLine="567"/>
        <w:jc w:val="both"/>
        <w:rPr>
          <w:rFonts w:eastAsiaTheme="minorHAnsi"/>
          <w:lang w:eastAsia="en-US"/>
        </w:rPr>
      </w:pPr>
    </w:p>
    <w:p w14:paraId="7CF2A3A3" w14:textId="42EEBE89" w:rsidR="00EE7746" w:rsidRDefault="00EE7746" w:rsidP="00EE7746">
      <w:pPr>
        <w:spacing w:line="276" w:lineRule="auto"/>
        <w:ind w:firstLine="567"/>
        <w:jc w:val="both"/>
        <w:rPr>
          <w:rFonts w:eastAsiaTheme="minorHAnsi"/>
          <w:lang w:eastAsia="en-US"/>
        </w:rPr>
      </w:pPr>
      <w:r>
        <w:rPr>
          <w:rFonts w:eastAsiaTheme="minorHAnsi"/>
          <w:lang w:eastAsia="en-US"/>
        </w:rPr>
        <w:t xml:space="preserve">[13] Pārsūdzētajā lēmumā atzīts, ka strīdus darījumu tirgus cenas noteikšanai izmantojama </w:t>
      </w:r>
      <w:r w:rsidR="003C154A">
        <w:rPr>
          <w:rFonts w:eastAsiaTheme="minorHAnsi"/>
          <w:lang w:eastAsia="en-US"/>
        </w:rPr>
        <w:t>n</w:t>
      </w:r>
      <w:r w:rsidRPr="006446F0">
        <w:rPr>
          <w:rFonts w:eastAsiaTheme="minorHAnsi"/>
          <w:lang w:eastAsia="en-US"/>
        </w:rPr>
        <w:t>oteikum</w:t>
      </w:r>
      <w:r>
        <w:rPr>
          <w:rFonts w:eastAsiaTheme="minorHAnsi"/>
          <w:lang w:eastAsia="en-US"/>
        </w:rPr>
        <w:t xml:space="preserve">u </w:t>
      </w:r>
      <w:r w:rsidRPr="006446F0">
        <w:rPr>
          <w:rFonts w:eastAsiaTheme="minorHAnsi"/>
          <w:lang w:eastAsia="en-US"/>
        </w:rPr>
        <w:t>Nr.</w:t>
      </w:r>
      <w:r>
        <w:rPr>
          <w:rFonts w:eastAsiaTheme="minorHAnsi"/>
          <w:lang w:eastAsia="en-US"/>
        </w:rPr>
        <w:t> </w:t>
      </w:r>
      <w:r w:rsidRPr="006446F0">
        <w:rPr>
          <w:rFonts w:eastAsiaTheme="minorHAnsi"/>
          <w:lang w:eastAsia="en-US"/>
        </w:rPr>
        <w:t>556</w:t>
      </w:r>
      <w:r>
        <w:rPr>
          <w:rFonts w:eastAsiaTheme="minorHAnsi"/>
          <w:lang w:eastAsia="en-US"/>
        </w:rPr>
        <w:t xml:space="preserve"> 86.punktā paredzētā izmaksu pieskaitīšanas metode. Ņemot vērā pieejamo informāciju par </w:t>
      </w:r>
      <w:r w:rsidRPr="00677B3D">
        <w:t xml:space="preserve">nesaistītu uzņēmumu </w:t>
      </w:r>
      <w:r>
        <w:t xml:space="preserve">starpniecības pakalpojumu </w:t>
      </w:r>
      <w:r w:rsidRPr="00677B3D">
        <w:t>operatīv</w:t>
      </w:r>
      <w:r>
        <w:t>ajām</w:t>
      </w:r>
      <w:r w:rsidRPr="00677B3D">
        <w:t xml:space="preserve"> izmaks</w:t>
      </w:r>
      <w:r>
        <w:t xml:space="preserve">ām, dienests konstatējis, ka </w:t>
      </w:r>
      <w:r w:rsidRPr="00677B3D">
        <w:t xml:space="preserve">peļņu raksturojošais rādītājs </w:t>
      </w:r>
      <w:r>
        <w:t xml:space="preserve">ir </w:t>
      </w:r>
      <w:r w:rsidRPr="00677B3D">
        <w:t>intervālā no 1,7% līdz 4</w:t>
      </w:r>
      <w:r w:rsidR="002300AF">
        <w:t>,</w:t>
      </w:r>
      <w:r w:rsidRPr="00677B3D">
        <w:t>05%</w:t>
      </w:r>
      <w:r>
        <w:rPr>
          <w:rFonts w:eastAsiaTheme="minorHAnsi"/>
          <w:lang w:eastAsia="en-US"/>
        </w:rPr>
        <w:t xml:space="preserve">. Ievērojot, ka pieteicēja no strīdus pakalpojumiem arī gūst ekonomisku labumu, dienests atzinis, ka pieteicējas sniegto pakalpojumu tirgus cenas noteikšanai izmantojama zemākā likme – 1,7%. Apgabaltiesa minēto dienesta nostāju atzinusi par pareizu. </w:t>
      </w:r>
    </w:p>
    <w:p w14:paraId="037C8DDE" w14:textId="77777777" w:rsidR="00EE7746" w:rsidRDefault="00EE7746" w:rsidP="00EE7746">
      <w:pPr>
        <w:spacing w:line="276" w:lineRule="auto"/>
        <w:ind w:firstLine="567"/>
        <w:jc w:val="both"/>
        <w:rPr>
          <w:rFonts w:eastAsiaTheme="minorHAnsi"/>
          <w:lang w:eastAsia="en-US"/>
        </w:rPr>
      </w:pPr>
      <w:r>
        <w:rPr>
          <w:rFonts w:eastAsiaTheme="minorHAnsi"/>
          <w:lang w:eastAsia="en-US"/>
        </w:rPr>
        <w:t xml:space="preserve">Arī pieteicēja šajā lietā neiebilst pret dienesta izvēlēto tirgus cenas noteikšanas metodi, kā arī neizvirza iebildumus pret dienesta noteikto peļņas uzcenojuma likmi – 1,7%, līdz ar to par šiem jautājumiem lietā strīda nav. Tomēr pieteicēja iebilst pret to, ka konkrētais peļņas uzcenojums tiek piemērots ne tikai pieteicējas izmaksām par starpniecības pakalpojumu nodrošināšanu, bet arī no mārketinga aģentūrām saņemto mārketinga pakalpojumu vērtībai. </w:t>
      </w:r>
    </w:p>
    <w:p w14:paraId="5C5B359E" w14:textId="77777777" w:rsidR="00EE7746" w:rsidRDefault="00EE7746" w:rsidP="00EE7746">
      <w:pPr>
        <w:spacing w:line="276" w:lineRule="auto"/>
        <w:ind w:firstLine="567"/>
        <w:jc w:val="both"/>
        <w:rPr>
          <w:rFonts w:eastAsiaTheme="minorHAnsi"/>
          <w:lang w:eastAsia="en-US"/>
        </w:rPr>
      </w:pPr>
    </w:p>
    <w:p w14:paraId="3224E28A" w14:textId="5C106A3B" w:rsidR="00EE7746" w:rsidRDefault="00EE7746" w:rsidP="00EE7746">
      <w:pPr>
        <w:spacing w:line="276" w:lineRule="auto"/>
        <w:ind w:firstLine="567"/>
        <w:jc w:val="both"/>
        <w:rPr>
          <w:rFonts w:eastAsiaTheme="minorHAnsi"/>
          <w:lang w:eastAsia="en-US"/>
        </w:rPr>
      </w:pPr>
      <w:r>
        <w:rPr>
          <w:rFonts w:eastAsiaTheme="minorHAnsi"/>
          <w:lang w:eastAsia="en-US"/>
        </w:rPr>
        <w:t xml:space="preserve">[14] </w:t>
      </w:r>
      <w:r w:rsidRPr="006446F0">
        <w:rPr>
          <w:rFonts w:eastAsiaTheme="minorHAnsi"/>
          <w:lang w:eastAsia="en-US"/>
        </w:rPr>
        <w:t>Saskaņā ar noteikumu Nr.</w:t>
      </w:r>
      <w:r w:rsidR="002300AF">
        <w:rPr>
          <w:rFonts w:eastAsiaTheme="minorHAnsi"/>
          <w:lang w:eastAsia="en-US"/>
        </w:rPr>
        <w:t> </w:t>
      </w:r>
      <w:r w:rsidRPr="006446F0">
        <w:rPr>
          <w:rFonts w:eastAsiaTheme="minorHAnsi"/>
          <w:lang w:eastAsia="en-US"/>
        </w:rPr>
        <w:t>556 86.punktu izmaksu pieskaitīšanas metode ir metode, ar</w:t>
      </w:r>
      <w:r>
        <w:rPr>
          <w:rFonts w:eastAsiaTheme="minorHAnsi"/>
          <w:lang w:eastAsia="en-US"/>
        </w:rPr>
        <w:t xml:space="preserve"> </w:t>
      </w:r>
      <w:r w:rsidRPr="006446F0">
        <w:rPr>
          <w:rFonts w:eastAsiaTheme="minorHAnsi"/>
          <w:lang w:eastAsia="en-US"/>
        </w:rPr>
        <w:t>kuru darījuma tirgus cena tiek noteikta piegādātāja pārdotās produkcijas vai sniegto pakalpojumu</w:t>
      </w:r>
      <w:r>
        <w:rPr>
          <w:rFonts w:eastAsiaTheme="minorHAnsi"/>
          <w:lang w:eastAsia="en-US"/>
        </w:rPr>
        <w:t xml:space="preserve"> </w:t>
      </w:r>
      <w:r w:rsidRPr="006446F0">
        <w:rPr>
          <w:rFonts w:eastAsiaTheme="minorHAnsi"/>
          <w:lang w:eastAsia="en-US"/>
        </w:rPr>
        <w:t>izmaksām par produkta (pakalpojuma) piegādi saistītam uzņēmumam, pieskaitot atbilstošu izmaksu</w:t>
      </w:r>
      <w:r>
        <w:rPr>
          <w:rFonts w:eastAsiaTheme="minorHAnsi"/>
          <w:lang w:eastAsia="en-US"/>
        </w:rPr>
        <w:t xml:space="preserve"> </w:t>
      </w:r>
      <w:r w:rsidRPr="006446F0">
        <w:rPr>
          <w:rFonts w:eastAsiaTheme="minorHAnsi"/>
          <w:lang w:eastAsia="en-US"/>
        </w:rPr>
        <w:t>uzcenojumu, kādu piegādātājs piemērotu salīdzināmā darījumā ar nesaistītu komersantu, ņemot</w:t>
      </w:r>
      <w:r>
        <w:rPr>
          <w:rFonts w:eastAsiaTheme="minorHAnsi"/>
          <w:lang w:eastAsia="en-US"/>
        </w:rPr>
        <w:t xml:space="preserve"> </w:t>
      </w:r>
      <w:r w:rsidRPr="006446F0">
        <w:rPr>
          <w:rFonts w:eastAsiaTheme="minorHAnsi"/>
          <w:lang w:eastAsia="en-US"/>
        </w:rPr>
        <w:t xml:space="preserve">vērā darījuma nodrošināšanai veiktās funkcijas, ar tām saistītos riskus, </w:t>
      </w:r>
      <w:r w:rsidRPr="006446F0">
        <w:rPr>
          <w:rFonts w:eastAsiaTheme="minorHAnsi"/>
          <w:lang w:eastAsia="en-US"/>
        </w:rPr>
        <w:lastRenderedPageBreak/>
        <w:t>izmantotos aktīvus un citus</w:t>
      </w:r>
      <w:r>
        <w:rPr>
          <w:rFonts w:eastAsiaTheme="minorHAnsi"/>
          <w:lang w:eastAsia="en-US"/>
        </w:rPr>
        <w:t xml:space="preserve"> </w:t>
      </w:r>
      <w:r w:rsidRPr="006446F0">
        <w:rPr>
          <w:rFonts w:eastAsiaTheme="minorHAnsi"/>
          <w:lang w:eastAsia="en-US"/>
        </w:rPr>
        <w:t>darījumu cenu ietekmējošus faktorus. Metodi piemēro preču (produktu) piegādātāja (ražotāja) vai</w:t>
      </w:r>
      <w:r>
        <w:rPr>
          <w:rFonts w:eastAsiaTheme="minorHAnsi"/>
          <w:lang w:eastAsia="en-US"/>
        </w:rPr>
        <w:t xml:space="preserve"> </w:t>
      </w:r>
      <w:r w:rsidRPr="006446F0">
        <w:rPr>
          <w:rFonts w:eastAsiaTheme="minorHAnsi"/>
          <w:lang w:eastAsia="en-US"/>
        </w:rPr>
        <w:t>pakalpojumu sniedzēja darījumiem, ja attiecīgajos darījumu priekšmetos nav ieguldīts nozīmīgs un</w:t>
      </w:r>
      <w:r>
        <w:rPr>
          <w:rFonts w:eastAsiaTheme="minorHAnsi"/>
          <w:lang w:eastAsia="en-US"/>
        </w:rPr>
        <w:t xml:space="preserve"> </w:t>
      </w:r>
      <w:r w:rsidRPr="006446F0">
        <w:rPr>
          <w:rFonts w:eastAsiaTheme="minorHAnsi"/>
          <w:lang w:eastAsia="en-US"/>
        </w:rPr>
        <w:t>unikāls nemateriālais īpašums.</w:t>
      </w:r>
    </w:p>
    <w:p w14:paraId="4C139070" w14:textId="77777777" w:rsidR="00EE7746" w:rsidRDefault="00EE7746" w:rsidP="00EE7746">
      <w:pPr>
        <w:spacing w:line="276" w:lineRule="auto"/>
        <w:ind w:firstLine="567"/>
        <w:jc w:val="both"/>
        <w:rPr>
          <w:rFonts w:eastAsiaTheme="minorHAnsi"/>
          <w:lang w:eastAsia="en-US"/>
        </w:rPr>
      </w:pPr>
      <w:r>
        <w:rPr>
          <w:rFonts w:eastAsiaTheme="minorHAnsi"/>
          <w:lang w:eastAsia="en-US"/>
        </w:rPr>
        <w:t xml:space="preserve">Minētā metode ir balstīta uz vispārzināmu ekonomiskās darbības principu, ka jebkuras saimnieciskās darbības mērķis ir peļņas gūšana, tāpēc pakalpojumu sniegšana, ja vien nepastāv kādi īpaši apstākļi, nenotiek par pašizmaksu, bet gan pakalpojuma cenā tiek </w:t>
      </w:r>
      <w:proofErr w:type="gramStart"/>
      <w:r>
        <w:rPr>
          <w:rFonts w:eastAsiaTheme="minorHAnsi"/>
          <w:lang w:eastAsia="en-US"/>
        </w:rPr>
        <w:t>ierēķinātas gan pakalpojuma sniedzēja izmaksas, gan plānotā peļņa</w:t>
      </w:r>
      <w:proofErr w:type="gramEnd"/>
      <w:r>
        <w:rPr>
          <w:rFonts w:eastAsiaTheme="minorHAnsi"/>
          <w:lang w:eastAsia="en-US"/>
        </w:rPr>
        <w:t xml:space="preserve">. </w:t>
      </w:r>
    </w:p>
    <w:p w14:paraId="2598FD65" w14:textId="77777777" w:rsidR="00EE7746" w:rsidRDefault="00EE7746" w:rsidP="00EE7746">
      <w:pPr>
        <w:spacing w:line="276" w:lineRule="auto"/>
        <w:ind w:firstLine="567"/>
        <w:jc w:val="both"/>
        <w:rPr>
          <w:rFonts w:eastAsiaTheme="minorHAnsi"/>
          <w:lang w:eastAsia="en-US"/>
        </w:rPr>
      </w:pPr>
      <w:r>
        <w:rPr>
          <w:rFonts w:eastAsiaTheme="minorHAnsi"/>
          <w:lang w:eastAsia="en-US"/>
        </w:rPr>
        <w:t>Tāpēc konkrētās metodes būtība ir tirgus situācijai atbilstoša peļņas uzcenojuma piemērošana izmaksām, kādas pakalpojuma sniedzējam radušās sakarā ar pakalpojuma sniegšanu. Tas nozīmē, ka, piemērojot šo metodi, būtiski ir noskaidrot, kāda ir sniegto pakalpojumu būtība, proti, kādas tieši ir pakalpojuma sniedzēja uzņemtās saistības un ar pakalpojumu sniegšanu saistītās funkcijas. Tikai pienācīgi noskaidrojot šos apstākļus, var izdarīt konstatējumu par to, kas ir tās izmaksas, kurām atbilstoši izmaksu pieskaitīšanas metodei jāpiemēro uzcenojums.</w:t>
      </w:r>
    </w:p>
    <w:p w14:paraId="793DC3F6" w14:textId="77777777" w:rsidR="00EE7746" w:rsidRDefault="00EE7746" w:rsidP="00EE7746">
      <w:pPr>
        <w:spacing w:line="276" w:lineRule="auto"/>
        <w:ind w:firstLine="567"/>
        <w:jc w:val="both"/>
        <w:rPr>
          <w:rFonts w:eastAsiaTheme="minorHAnsi"/>
          <w:lang w:eastAsia="en-US"/>
        </w:rPr>
      </w:pPr>
    </w:p>
    <w:p w14:paraId="51939E04" w14:textId="63DD1C72" w:rsidR="00EE7746" w:rsidRDefault="00EE7746" w:rsidP="00EE7746">
      <w:pPr>
        <w:spacing w:line="276" w:lineRule="auto"/>
        <w:ind w:firstLine="567"/>
        <w:jc w:val="both"/>
        <w:rPr>
          <w:rFonts w:eastAsiaTheme="minorHAnsi"/>
          <w:lang w:eastAsia="en-US"/>
        </w:rPr>
      </w:pPr>
      <w:r>
        <w:rPr>
          <w:rFonts w:eastAsiaTheme="minorHAnsi"/>
          <w:lang w:eastAsia="en-US"/>
        </w:rPr>
        <w:t>[15] Noteikumu Nr. 556 93.punkts paredz, ka, piemērojot šajos noteikumos paredzētās tirgus cenas noteikšanas metodes, var izmantot Vadlīnijas. Tādējādi likumdevējs ir akceptējis, ka Vadlīnijas, kas apkopo Ekonomiskās sadarbības un attīstības organizācijas (</w:t>
      </w:r>
      <w:r w:rsidRPr="007334D1">
        <w:rPr>
          <w:rFonts w:eastAsiaTheme="minorHAnsi"/>
          <w:i/>
          <w:lang w:eastAsia="en-US"/>
        </w:rPr>
        <w:t>OECD</w:t>
      </w:r>
      <w:r>
        <w:rPr>
          <w:rFonts w:eastAsiaTheme="minorHAnsi"/>
          <w:lang w:eastAsia="en-US"/>
        </w:rPr>
        <w:t>) dalībvalstu labo praksi transfert</w:t>
      </w:r>
      <w:r w:rsidR="000A3FEB">
        <w:rPr>
          <w:rFonts w:eastAsiaTheme="minorHAnsi"/>
          <w:lang w:eastAsia="en-US"/>
        </w:rPr>
        <w:t xml:space="preserve">a </w:t>
      </w:r>
      <w:r>
        <w:rPr>
          <w:rFonts w:eastAsiaTheme="minorHAnsi"/>
          <w:lang w:eastAsia="en-US"/>
        </w:rPr>
        <w:t xml:space="preserve">cenu noteikšanā, papildina šajos noteikumos sniegto metožu skaidrojumu un sniedz norādes, kas palīdz pēc iespējas precīzāk aprēķināt tirgus cenu. </w:t>
      </w:r>
    </w:p>
    <w:p w14:paraId="2721DDCA" w14:textId="77777777" w:rsidR="00EE7746" w:rsidRDefault="00EE7746" w:rsidP="00EE7746">
      <w:pPr>
        <w:spacing w:line="276" w:lineRule="auto"/>
        <w:ind w:firstLine="567"/>
        <w:jc w:val="both"/>
        <w:rPr>
          <w:rFonts w:eastAsiaTheme="minorHAnsi"/>
          <w:lang w:eastAsia="en-US"/>
        </w:rPr>
      </w:pPr>
      <w:r>
        <w:rPr>
          <w:rFonts w:eastAsiaTheme="minorHAnsi"/>
          <w:lang w:eastAsia="en-US"/>
        </w:rPr>
        <w:t>Līdz ar to Augstākā tiesa atzīst, ka, aprēķinot tirgus cenu saskaņā ar noteikumos Nr. 556 paredzētajām metodēm, pēc iespējas jāņem vērā un jāizmanto Vadlīnijās norādītais.</w:t>
      </w:r>
    </w:p>
    <w:p w14:paraId="59465C28" w14:textId="77777777" w:rsidR="00EE7746" w:rsidRDefault="00EE7746" w:rsidP="00EE7746">
      <w:pPr>
        <w:spacing w:line="276" w:lineRule="auto"/>
        <w:ind w:firstLine="567"/>
        <w:jc w:val="both"/>
        <w:rPr>
          <w:rFonts w:eastAsiaTheme="minorHAnsi"/>
          <w:lang w:eastAsia="en-US"/>
        </w:rPr>
      </w:pPr>
    </w:p>
    <w:p w14:paraId="7B4A5932" w14:textId="77777777" w:rsidR="00EE7746" w:rsidRDefault="00EE7746" w:rsidP="00EE7746">
      <w:pPr>
        <w:spacing w:line="276" w:lineRule="auto"/>
        <w:ind w:firstLine="567"/>
        <w:jc w:val="both"/>
        <w:rPr>
          <w:rFonts w:eastAsiaTheme="minorHAnsi"/>
          <w:lang w:eastAsia="en-US"/>
        </w:rPr>
      </w:pPr>
      <w:r>
        <w:rPr>
          <w:rFonts w:eastAsiaTheme="minorHAnsi"/>
          <w:lang w:eastAsia="en-US"/>
        </w:rPr>
        <w:t>[16] Apgabaltiesa spriedumā ir norādījusi, ka pieteicējas sniegtie strīdus pakalpojumi ir starpniecības pakalpojumi. To zināmā mērā atzinusi arī iestāde, par ko liecina tas, ka piemērojamā peļņas uzcenojuma likmes noteikšanai dienests ir ņēmis vērā informāciju par uzņēmumiem, kas sniedz starpniecības pakalpojumus.</w:t>
      </w:r>
    </w:p>
    <w:p w14:paraId="6E4CDE3A" w14:textId="28388C88" w:rsidR="00EE7746" w:rsidRDefault="00EE7746" w:rsidP="00EE7746">
      <w:pPr>
        <w:spacing w:line="276" w:lineRule="auto"/>
        <w:ind w:firstLine="567"/>
        <w:jc w:val="both"/>
        <w:rPr>
          <w:rFonts w:eastAsiaTheme="minorHAnsi"/>
          <w:lang w:eastAsia="en-US"/>
        </w:rPr>
      </w:pPr>
      <w:r>
        <w:rPr>
          <w:rFonts w:eastAsiaTheme="minorHAnsi"/>
          <w:lang w:eastAsia="en-US"/>
        </w:rPr>
        <w:t>Šādos apstākļos Augstākā tiesa atzīst, ka pieteicēja pamatoti atsaucas uz Vadlīniju 7.36.punktu, jo šajā punktā ir sniegts skaidrojums izmaksu metodes piemērošanai attiecībā uz tādiem saistīto uzņēmumu darījumiem, kas raksturojami kā starpniecības pakalpojumi. Proti, minētajā punktā (</w:t>
      </w:r>
      <w:r w:rsidRPr="00CE7CF9">
        <w:rPr>
          <w:rFonts w:eastAsiaTheme="minorHAnsi"/>
          <w:i/>
          <w:lang w:eastAsia="en-US"/>
        </w:rPr>
        <w:t>redakcijā, kas bija spēkā audita lēmuma pieņemšanas un pār</w:t>
      </w:r>
      <w:r>
        <w:rPr>
          <w:rFonts w:eastAsiaTheme="minorHAnsi"/>
          <w:i/>
          <w:lang w:eastAsia="en-US"/>
        </w:rPr>
        <w:t>sū</w:t>
      </w:r>
      <w:r w:rsidRPr="00CE7CF9">
        <w:rPr>
          <w:rFonts w:eastAsiaTheme="minorHAnsi"/>
          <w:i/>
          <w:lang w:eastAsia="en-US"/>
        </w:rPr>
        <w:t>dzētā lēmuma pieņemšanas laikā</w:t>
      </w:r>
      <w:r>
        <w:rPr>
          <w:rFonts w:eastAsiaTheme="minorHAnsi"/>
          <w:lang w:eastAsia="en-US"/>
        </w:rPr>
        <w:t xml:space="preserve">) noteikts, ka gadījumā, ja saistītais uzņēmums pakalpojumu sniegšanā ir iesaistīts tikai kā aģents vai starpnieks, tad izmaksu pieskaitīšanas metodes piemērošanā ir būtiski, lai ienesīgums jeb peļņas uzcenojums atbilstu aģenta funkciju veikšanai, nevis pašu pakalpojumu </w:t>
      </w:r>
      <w:r w:rsidR="00B276C8">
        <w:rPr>
          <w:rFonts w:eastAsiaTheme="minorHAnsi"/>
          <w:lang w:eastAsia="en-US"/>
        </w:rPr>
        <w:t>(</w:t>
      </w:r>
      <w:r>
        <w:rPr>
          <w:rFonts w:eastAsiaTheme="minorHAnsi"/>
          <w:lang w:eastAsia="en-US"/>
        </w:rPr>
        <w:t>to, kuru piegādi starpnieks organizē</w:t>
      </w:r>
      <w:r w:rsidR="00B276C8">
        <w:rPr>
          <w:rFonts w:eastAsiaTheme="minorHAnsi"/>
          <w:lang w:eastAsia="en-US"/>
        </w:rPr>
        <w:t>)</w:t>
      </w:r>
      <w:r>
        <w:rPr>
          <w:rFonts w:eastAsiaTheme="minorHAnsi"/>
          <w:lang w:eastAsia="en-US"/>
        </w:rPr>
        <w:t xml:space="preserve"> sniegšanai. Šādā gadījumā varētu būt nepareizi darījuma tirgus cenu noteikt, piemērojot peļņas uzcenojumu pakalpojumu izmaksām, bet drīzāk tas būtu piemērojams pašām aģenta funkciju izmaksām (</w:t>
      </w:r>
      <w:r w:rsidRPr="00865967">
        <w:rPr>
          <w:rFonts w:eastAsiaTheme="minorHAnsi"/>
          <w:i/>
          <w:lang w:eastAsia="en-US"/>
        </w:rPr>
        <w:t>Augstākā tiesa izmanto pieteicējas nodrošināto</w:t>
      </w:r>
      <w:r>
        <w:rPr>
          <w:rFonts w:eastAsiaTheme="minorHAnsi"/>
          <w:i/>
          <w:lang w:eastAsia="en-US"/>
        </w:rPr>
        <w:t>s</w:t>
      </w:r>
      <w:r w:rsidRPr="00865967">
        <w:rPr>
          <w:rFonts w:eastAsiaTheme="minorHAnsi"/>
          <w:i/>
          <w:lang w:eastAsia="en-US"/>
        </w:rPr>
        <w:t xml:space="preserve"> Vadlīniju </w:t>
      </w:r>
      <w:r>
        <w:rPr>
          <w:rFonts w:eastAsiaTheme="minorHAnsi"/>
          <w:i/>
          <w:lang w:eastAsia="en-US"/>
        </w:rPr>
        <w:t xml:space="preserve">7.36.punkta </w:t>
      </w:r>
      <w:r w:rsidRPr="00865967">
        <w:rPr>
          <w:rFonts w:eastAsiaTheme="minorHAnsi"/>
          <w:i/>
          <w:lang w:eastAsia="en-US"/>
        </w:rPr>
        <w:t>tulkojumu</w:t>
      </w:r>
      <w:r>
        <w:rPr>
          <w:rFonts w:eastAsiaTheme="minorHAnsi"/>
          <w:i/>
          <w:lang w:eastAsia="en-US"/>
        </w:rPr>
        <w:t>s</w:t>
      </w:r>
      <w:r w:rsidRPr="00865967">
        <w:rPr>
          <w:rFonts w:eastAsiaTheme="minorHAnsi"/>
          <w:i/>
          <w:lang w:eastAsia="en-US"/>
        </w:rPr>
        <w:t xml:space="preserve">, jo, pārbaudot Vadlīniju pieejamo tekstu oriģinālvalodā (angļu valodā) </w:t>
      </w:r>
      <w:r>
        <w:rPr>
          <w:rFonts w:eastAsiaTheme="minorHAnsi"/>
          <w:i/>
          <w:lang w:eastAsia="en-US"/>
        </w:rPr>
        <w:t>(</w:t>
      </w:r>
      <w:hyperlink r:id="rId7" w:history="1">
        <w:r w:rsidRPr="009F3B4A">
          <w:rPr>
            <w:rStyle w:val="Hyperlink"/>
            <w:rFonts w:eastAsiaTheme="minorHAnsi"/>
            <w:i/>
            <w:lang w:eastAsia="en-US"/>
          </w:rPr>
          <w:t>http://www.oecd-ilibrary.org/taxation/oecd-transfer-pricing-guidelines-for-multinational-enterprises-and-tax-administrations-2010/special-considerations-for-intra-group-services_tpg-2010-10-en</w:t>
        </w:r>
      </w:hyperlink>
      <w:r>
        <w:rPr>
          <w:rFonts w:eastAsiaTheme="minorHAnsi"/>
          <w:i/>
          <w:lang w:eastAsia="en-US"/>
        </w:rPr>
        <w:t xml:space="preserve">), </w:t>
      </w:r>
      <w:r w:rsidRPr="00865967">
        <w:rPr>
          <w:rFonts w:eastAsiaTheme="minorHAnsi"/>
          <w:i/>
          <w:lang w:eastAsia="en-US"/>
        </w:rPr>
        <w:t>Augstākā tiesa pieteicējas nodrošinātaj</w:t>
      </w:r>
      <w:r>
        <w:rPr>
          <w:rFonts w:eastAsiaTheme="minorHAnsi"/>
          <w:i/>
          <w:lang w:eastAsia="en-US"/>
        </w:rPr>
        <w:t>os</w:t>
      </w:r>
      <w:r w:rsidRPr="00865967">
        <w:rPr>
          <w:rFonts w:eastAsiaTheme="minorHAnsi"/>
          <w:i/>
          <w:lang w:eastAsia="en-US"/>
        </w:rPr>
        <w:t xml:space="preserve"> tulkojum</w:t>
      </w:r>
      <w:r>
        <w:rPr>
          <w:rFonts w:eastAsiaTheme="minorHAnsi"/>
          <w:i/>
          <w:lang w:eastAsia="en-US"/>
        </w:rPr>
        <w:t>os</w:t>
      </w:r>
      <w:r w:rsidRPr="00865967">
        <w:rPr>
          <w:rFonts w:eastAsiaTheme="minorHAnsi"/>
          <w:i/>
          <w:lang w:eastAsia="en-US"/>
        </w:rPr>
        <w:t xml:space="preserve"> nesaskata kļūdas, turklāt arī otrs procesa dalībnieks nav izteicis iebildumus par pieteicējas nodrošināt</w:t>
      </w:r>
      <w:r>
        <w:rPr>
          <w:rFonts w:eastAsiaTheme="minorHAnsi"/>
          <w:i/>
          <w:lang w:eastAsia="en-US"/>
        </w:rPr>
        <w:t>o</w:t>
      </w:r>
      <w:r w:rsidRPr="00865967">
        <w:rPr>
          <w:rFonts w:eastAsiaTheme="minorHAnsi"/>
          <w:i/>
          <w:lang w:eastAsia="en-US"/>
        </w:rPr>
        <w:t xml:space="preserve"> tulkojum</w:t>
      </w:r>
      <w:r>
        <w:rPr>
          <w:rFonts w:eastAsiaTheme="minorHAnsi"/>
          <w:i/>
          <w:lang w:eastAsia="en-US"/>
        </w:rPr>
        <w:t>u</w:t>
      </w:r>
      <w:r w:rsidRPr="00865967">
        <w:rPr>
          <w:rFonts w:eastAsiaTheme="minorHAnsi"/>
          <w:i/>
          <w:lang w:eastAsia="en-US"/>
        </w:rPr>
        <w:t xml:space="preserve"> pareizību</w:t>
      </w:r>
      <w:r>
        <w:rPr>
          <w:rFonts w:eastAsiaTheme="minorHAnsi"/>
          <w:lang w:eastAsia="en-US"/>
        </w:rPr>
        <w:t>).</w:t>
      </w:r>
    </w:p>
    <w:p w14:paraId="15F65C12" w14:textId="77777777" w:rsidR="00EE7746" w:rsidRDefault="00EE7746" w:rsidP="00EE7746">
      <w:pPr>
        <w:spacing w:line="276" w:lineRule="auto"/>
        <w:ind w:firstLine="567"/>
        <w:jc w:val="both"/>
        <w:rPr>
          <w:rFonts w:eastAsiaTheme="minorHAnsi"/>
          <w:lang w:eastAsia="en-US"/>
        </w:rPr>
      </w:pPr>
    </w:p>
    <w:p w14:paraId="2736E1E7" w14:textId="77777777" w:rsidR="00EE7746" w:rsidRDefault="00EE7746" w:rsidP="00EE7746">
      <w:pPr>
        <w:spacing w:line="276" w:lineRule="auto"/>
        <w:ind w:firstLine="567"/>
        <w:jc w:val="both"/>
        <w:rPr>
          <w:rFonts w:eastAsiaTheme="minorHAnsi"/>
          <w:lang w:eastAsia="en-US"/>
        </w:rPr>
      </w:pPr>
      <w:r>
        <w:rPr>
          <w:rFonts w:eastAsiaTheme="minorHAnsi"/>
          <w:lang w:eastAsia="en-US"/>
        </w:rPr>
        <w:t xml:space="preserve">[17] Ievērojot minēto, Augstākā tiesa secina, ka atbilstoši Vadlīnijām gadījumos, kad saistītais uzņēmums pakalpojuma piegādē būtībā ir veicis tikai un vienīgi starpnieka funkciju, </w:t>
      </w:r>
      <w:r>
        <w:rPr>
          <w:rFonts w:eastAsiaTheme="minorHAnsi"/>
          <w:lang w:eastAsia="en-US"/>
        </w:rPr>
        <w:lastRenderedPageBreak/>
        <w:t xml:space="preserve">tad saistīto uzņēmumu darījuma tirgus vērtību ir adekvātāk noteikt, peļņas uzcenojumu piemērojot tikai tai summai, ko veido starpniecības pakalpojuma nodrošināšanas izmaksas, nevis arī tai summai, kas atbilst starpniecības rezultātā piegādātā pakalpojuma cenai. </w:t>
      </w:r>
    </w:p>
    <w:p w14:paraId="7F8519B4" w14:textId="77777777" w:rsidR="00EE7746" w:rsidRDefault="00EE7746" w:rsidP="00EE7746">
      <w:pPr>
        <w:spacing w:line="276" w:lineRule="auto"/>
        <w:ind w:firstLine="567"/>
        <w:jc w:val="both"/>
        <w:rPr>
          <w:rFonts w:eastAsiaTheme="minorHAnsi"/>
          <w:lang w:eastAsia="en-US"/>
        </w:rPr>
      </w:pPr>
      <w:r>
        <w:rPr>
          <w:rFonts w:eastAsiaTheme="minorHAnsi"/>
          <w:lang w:eastAsia="en-US"/>
        </w:rPr>
        <w:t xml:space="preserve">Tas savukārt nozīmē, ka, piemērojot izmaksu pieskaitīšanas metodi tādiem saistīto uzņēmumu starpā notikušiem darījumiem, kuru apstākļi liecina par starpniecību, ir īpaši būtiski noskaidrot, kāda ir sniegto pakalpojumu būtība (saistīto uzņēmumu starpā noslēgtā darījuma priekšmets, saistītā uzņēmuma – pakalpojuma sniedzēja uzņemtās saistības un ar pakalpojumu sniegšanu saistītās funkcijas), lai varētu izdarīt pamatotu secinājumu par to, vai saistītais uzņēmums pakalpojumu piegādē tiešām ir bijis iesaistīts </w:t>
      </w:r>
      <w:r w:rsidRPr="00A42141">
        <w:rPr>
          <w:rFonts w:eastAsiaTheme="minorHAnsi"/>
          <w:i/>
          <w:lang w:eastAsia="en-US"/>
        </w:rPr>
        <w:t>tikai</w:t>
      </w:r>
      <w:r>
        <w:rPr>
          <w:rFonts w:eastAsiaTheme="minorHAnsi"/>
          <w:lang w:eastAsia="en-US"/>
        </w:rPr>
        <w:t xml:space="preserve"> kā starpnieks. </w:t>
      </w:r>
    </w:p>
    <w:p w14:paraId="303816D6" w14:textId="77777777" w:rsidR="00EE7746" w:rsidRDefault="00EE7746" w:rsidP="00EE7746">
      <w:pPr>
        <w:spacing w:line="276" w:lineRule="auto"/>
        <w:ind w:firstLine="567"/>
        <w:jc w:val="both"/>
        <w:rPr>
          <w:rFonts w:eastAsiaTheme="minorHAnsi"/>
          <w:lang w:eastAsia="en-US"/>
        </w:rPr>
      </w:pPr>
    </w:p>
    <w:p w14:paraId="72D0E0BD" w14:textId="1C7418BF" w:rsidR="00EE7746" w:rsidRDefault="00EE7746" w:rsidP="00EE7746">
      <w:pPr>
        <w:spacing w:line="276" w:lineRule="auto"/>
        <w:ind w:firstLine="567"/>
        <w:jc w:val="both"/>
        <w:rPr>
          <w:rFonts w:eastAsiaTheme="minorHAnsi"/>
          <w:lang w:eastAsia="en-US"/>
        </w:rPr>
      </w:pPr>
      <w:r w:rsidRPr="00B13EB5">
        <w:rPr>
          <w:rFonts w:eastAsiaTheme="minorHAnsi"/>
          <w:lang w:eastAsia="en-US"/>
        </w:rPr>
        <w:t>[</w:t>
      </w:r>
      <w:r>
        <w:rPr>
          <w:rFonts w:eastAsiaTheme="minorHAnsi"/>
          <w:lang w:eastAsia="en-US"/>
        </w:rPr>
        <w:t>18</w:t>
      </w:r>
      <w:r w:rsidRPr="00B13EB5">
        <w:rPr>
          <w:rFonts w:eastAsiaTheme="minorHAnsi"/>
          <w:lang w:eastAsia="en-US"/>
        </w:rPr>
        <w:t xml:space="preserve">] Apgabaltiesa spriedumā </w:t>
      </w:r>
      <w:r>
        <w:rPr>
          <w:rFonts w:eastAsiaTheme="minorHAnsi"/>
          <w:lang w:eastAsia="en-US"/>
        </w:rPr>
        <w:t>ir atspoguļojusi pieteicējas iebildumu, ka atbilstoši</w:t>
      </w:r>
      <w:r w:rsidRPr="00B13EB5">
        <w:rPr>
          <w:rFonts w:eastAsiaTheme="minorHAnsi"/>
          <w:lang w:eastAsia="en-US"/>
        </w:rPr>
        <w:t xml:space="preserve"> Vadlīniju 7.36.punkt</w:t>
      </w:r>
      <w:r>
        <w:rPr>
          <w:rFonts w:eastAsiaTheme="minorHAnsi"/>
          <w:lang w:eastAsia="en-US"/>
        </w:rPr>
        <w:t>am</w:t>
      </w:r>
      <w:r w:rsidRPr="00B13EB5">
        <w:rPr>
          <w:rFonts w:eastAsiaTheme="minorHAnsi"/>
          <w:lang w:eastAsia="en-US"/>
        </w:rPr>
        <w:t xml:space="preserve"> tirgus operatīvo</w:t>
      </w:r>
      <w:r>
        <w:rPr>
          <w:rFonts w:eastAsiaTheme="minorHAnsi"/>
          <w:lang w:eastAsia="en-US"/>
        </w:rPr>
        <w:t xml:space="preserve"> </w:t>
      </w:r>
      <w:r w:rsidRPr="00B13EB5">
        <w:rPr>
          <w:rFonts w:eastAsiaTheme="minorHAnsi"/>
          <w:lang w:eastAsia="en-US"/>
        </w:rPr>
        <w:t xml:space="preserve">izmaksu uzcenojumu 1,7% </w:t>
      </w:r>
      <w:r>
        <w:rPr>
          <w:rFonts w:eastAsiaTheme="minorHAnsi"/>
          <w:lang w:eastAsia="en-US"/>
        </w:rPr>
        <w:t xml:space="preserve">būtu </w:t>
      </w:r>
      <w:r w:rsidRPr="00B13EB5">
        <w:rPr>
          <w:rFonts w:eastAsiaTheme="minorHAnsi"/>
          <w:lang w:eastAsia="en-US"/>
        </w:rPr>
        <w:t>jāpiemēro tikai pieteicējas kā starpnieka izdevumiem, kas</w:t>
      </w:r>
      <w:r>
        <w:rPr>
          <w:rFonts w:eastAsiaTheme="minorHAnsi"/>
          <w:lang w:eastAsia="en-US"/>
        </w:rPr>
        <w:t xml:space="preserve"> </w:t>
      </w:r>
      <w:r w:rsidRPr="00B13EB5">
        <w:rPr>
          <w:rFonts w:eastAsiaTheme="minorHAnsi"/>
          <w:lang w:eastAsia="en-US"/>
        </w:rPr>
        <w:t xml:space="preserve">radušies saistībā ar starpniecības pakalpojumu </w:t>
      </w:r>
      <w:r w:rsidR="00B276C8">
        <w:rPr>
          <w:rFonts w:eastAsiaTheme="minorHAnsi"/>
          <w:lang w:eastAsia="en-US"/>
        </w:rPr>
        <w:t>nodrošināšanu</w:t>
      </w:r>
      <w:r w:rsidRPr="00B13EB5">
        <w:rPr>
          <w:rFonts w:eastAsiaTheme="minorHAnsi"/>
          <w:lang w:eastAsia="en-US"/>
        </w:rPr>
        <w:t xml:space="preserve">, nevis </w:t>
      </w:r>
      <w:r>
        <w:rPr>
          <w:rFonts w:eastAsiaTheme="minorHAnsi"/>
          <w:lang w:eastAsia="en-US"/>
        </w:rPr>
        <w:t xml:space="preserve">vēl starpniecības rezultātā piegādāto mārketinga aģentūru pakalpojumu vērtībai. </w:t>
      </w:r>
    </w:p>
    <w:p w14:paraId="524A9A0F" w14:textId="220A9920" w:rsidR="00EE7746" w:rsidRDefault="00EE7746" w:rsidP="00EE7746">
      <w:pPr>
        <w:spacing w:line="276" w:lineRule="auto"/>
        <w:ind w:firstLine="567"/>
        <w:jc w:val="both"/>
        <w:rPr>
          <w:rFonts w:eastAsiaTheme="minorHAnsi"/>
          <w:lang w:eastAsia="en-US"/>
        </w:rPr>
      </w:pPr>
      <w:r>
        <w:rPr>
          <w:rFonts w:eastAsiaTheme="minorHAnsi"/>
          <w:lang w:eastAsia="en-US"/>
        </w:rPr>
        <w:t xml:space="preserve">Apgabaltiesa ir </w:t>
      </w:r>
      <w:r w:rsidRPr="00F53E6C">
        <w:rPr>
          <w:rFonts w:eastAsiaTheme="minorHAnsi"/>
          <w:lang w:eastAsia="en-US"/>
        </w:rPr>
        <w:t>noraid</w:t>
      </w:r>
      <w:r w:rsidR="00B276C8">
        <w:rPr>
          <w:rFonts w:eastAsiaTheme="minorHAnsi"/>
          <w:lang w:eastAsia="en-US"/>
        </w:rPr>
        <w:t>ījusi</w:t>
      </w:r>
      <w:r w:rsidRPr="00F53E6C">
        <w:rPr>
          <w:rFonts w:eastAsiaTheme="minorHAnsi"/>
          <w:lang w:eastAsia="en-US"/>
        </w:rPr>
        <w:t xml:space="preserve"> šo pieteicējas iebildumu kā nepamatotu, atsaucoties uz sprieduma 16.punkta otrajā rindkopā norādīto. </w:t>
      </w:r>
      <w:r>
        <w:rPr>
          <w:rFonts w:eastAsiaTheme="minorHAnsi"/>
          <w:lang w:eastAsia="en-US"/>
        </w:rPr>
        <w:t xml:space="preserve">Savukārt </w:t>
      </w:r>
      <w:r w:rsidRPr="00F53E6C">
        <w:rPr>
          <w:rFonts w:eastAsiaTheme="minorHAnsi"/>
          <w:lang w:eastAsia="en-US"/>
        </w:rPr>
        <w:t xml:space="preserve">sprieduma 16.punkta otrajā rindkopā apgabaltiesa </w:t>
      </w:r>
      <w:r>
        <w:rPr>
          <w:rFonts w:eastAsiaTheme="minorHAnsi"/>
          <w:lang w:eastAsia="en-US"/>
        </w:rPr>
        <w:t>konstatē</w:t>
      </w:r>
      <w:r w:rsidRPr="00F53E6C">
        <w:rPr>
          <w:rFonts w:eastAsiaTheme="minorHAnsi"/>
          <w:lang w:eastAsia="en-US"/>
        </w:rPr>
        <w:t>, ka</w:t>
      </w:r>
      <w:r>
        <w:rPr>
          <w:rFonts w:eastAsiaTheme="minorHAnsi"/>
          <w:lang w:eastAsia="en-US"/>
        </w:rPr>
        <w:t>,</w:t>
      </w:r>
      <w:r w:rsidRPr="00F53E6C">
        <w:rPr>
          <w:rFonts w:eastAsiaTheme="minorHAnsi"/>
          <w:lang w:eastAsia="en-US"/>
        </w:rPr>
        <w:t xml:space="preserve"> aprēķinot </w:t>
      </w:r>
      <w:r>
        <w:rPr>
          <w:rFonts w:eastAsiaTheme="minorHAnsi"/>
          <w:lang w:eastAsia="en-US"/>
        </w:rPr>
        <w:t xml:space="preserve">mārketinga starpniecības pakalpojumu vērtību, dienests izmaksās pamatoti ieskaitījis arī </w:t>
      </w:r>
      <w:r w:rsidRPr="00F53E6C">
        <w:rPr>
          <w:rFonts w:eastAsiaTheme="minorHAnsi"/>
          <w:lang w:eastAsia="en-US"/>
        </w:rPr>
        <w:t>6</w:t>
      </w:r>
      <w:r w:rsidR="00E92E33">
        <w:rPr>
          <w:rFonts w:eastAsiaTheme="minorHAnsi"/>
          <w:lang w:eastAsia="en-US"/>
        </w:rPr>
        <w:t> </w:t>
      </w:r>
      <w:r w:rsidRPr="00F53E6C">
        <w:rPr>
          <w:rFonts w:eastAsiaTheme="minorHAnsi"/>
          <w:lang w:eastAsia="en-US"/>
        </w:rPr>
        <w:t>852</w:t>
      </w:r>
      <w:r w:rsidR="00E92E33">
        <w:rPr>
          <w:rFonts w:eastAsiaTheme="minorHAnsi"/>
          <w:lang w:eastAsia="en-US"/>
        </w:rPr>
        <w:t> </w:t>
      </w:r>
      <w:r w:rsidRPr="00F53E6C">
        <w:rPr>
          <w:rFonts w:eastAsiaTheme="minorHAnsi"/>
          <w:lang w:eastAsia="en-US"/>
        </w:rPr>
        <w:t>880</w:t>
      </w:r>
      <w:r w:rsidR="00E92E33" w:rsidRPr="00E92E33">
        <w:rPr>
          <w:rFonts w:eastAsiaTheme="minorHAnsi"/>
          <w:lang w:eastAsia="en-US"/>
        </w:rPr>
        <w:t xml:space="preserve"> </w:t>
      </w:r>
      <w:r w:rsidR="00E92E33" w:rsidRPr="00F53E6C">
        <w:rPr>
          <w:rFonts w:eastAsiaTheme="minorHAnsi"/>
          <w:lang w:eastAsia="en-US"/>
        </w:rPr>
        <w:t>Ls</w:t>
      </w:r>
      <w:r w:rsidRPr="00F53E6C">
        <w:rPr>
          <w:rFonts w:eastAsiaTheme="minorHAnsi"/>
          <w:lang w:eastAsia="en-US"/>
        </w:rPr>
        <w:t>, k</w:t>
      </w:r>
      <w:r>
        <w:rPr>
          <w:rFonts w:eastAsiaTheme="minorHAnsi"/>
          <w:lang w:eastAsia="en-US"/>
        </w:rPr>
        <w:t xml:space="preserve">o pieteicēja samaksāja par mārketinga </w:t>
      </w:r>
      <w:r w:rsidRPr="00F53E6C">
        <w:rPr>
          <w:rFonts w:eastAsiaTheme="minorHAnsi"/>
          <w:lang w:eastAsia="en-US"/>
        </w:rPr>
        <w:t>pakalpojum</w:t>
      </w:r>
      <w:r>
        <w:rPr>
          <w:rFonts w:eastAsiaTheme="minorHAnsi"/>
          <w:lang w:eastAsia="en-US"/>
        </w:rPr>
        <w:t xml:space="preserve">iem </w:t>
      </w:r>
      <w:r w:rsidRPr="00F53E6C">
        <w:rPr>
          <w:rFonts w:eastAsiaTheme="minorHAnsi"/>
          <w:lang w:eastAsia="en-US"/>
        </w:rPr>
        <w:t>nesaistītajiem uzņēmumiem</w:t>
      </w:r>
      <w:r>
        <w:rPr>
          <w:rFonts w:eastAsiaTheme="minorHAnsi"/>
          <w:lang w:eastAsia="en-US"/>
        </w:rPr>
        <w:t xml:space="preserve"> (proti, mārketinga aģentūru sniegto pakalpojumu vērtību)</w:t>
      </w:r>
      <w:r w:rsidRPr="00F53E6C">
        <w:rPr>
          <w:rFonts w:eastAsiaTheme="minorHAnsi"/>
          <w:lang w:eastAsia="en-US"/>
        </w:rPr>
        <w:t>.</w:t>
      </w:r>
      <w:r>
        <w:rPr>
          <w:rFonts w:eastAsiaTheme="minorHAnsi"/>
          <w:lang w:eastAsia="en-US"/>
        </w:rPr>
        <w:t xml:space="preserve"> Vienlaikus apgabaltiesa vispār nav norādījusi apsvērumus, kuru dēļ tā nonāk pie šāda secinājuma. Apgabaltiesas spriedum</w:t>
      </w:r>
      <w:r w:rsidR="00B276C8">
        <w:rPr>
          <w:rFonts w:eastAsiaTheme="minorHAnsi"/>
          <w:lang w:eastAsia="en-US"/>
        </w:rPr>
        <w:t>ā</w:t>
      </w:r>
      <w:r>
        <w:rPr>
          <w:rFonts w:eastAsiaTheme="minorHAnsi"/>
          <w:lang w:eastAsia="en-US"/>
        </w:rPr>
        <w:t xml:space="preserve"> </w:t>
      </w:r>
      <w:r w:rsidR="00B276C8">
        <w:rPr>
          <w:rFonts w:eastAsiaTheme="minorHAnsi"/>
          <w:lang w:eastAsia="en-US"/>
        </w:rPr>
        <w:t>nav</w:t>
      </w:r>
      <w:r>
        <w:rPr>
          <w:rFonts w:eastAsiaTheme="minorHAnsi"/>
          <w:lang w:eastAsia="en-US"/>
        </w:rPr>
        <w:t xml:space="preserve"> strīdus darījumu apstākļu analīz</w:t>
      </w:r>
      <w:r w:rsidR="00B276C8">
        <w:rPr>
          <w:rFonts w:eastAsiaTheme="minorHAnsi"/>
          <w:lang w:eastAsia="en-US"/>
        </w:rPr>
        <w:t>e</w:t>
      </w:r>
      <w:r w:rsidR="00D73B73">
        <w:rPr>
          <w:rFonts w:eastAsiaTheme="minorHAnsi"/>
          <w:lang w:eastAsia="en-US"/>
        </w:rPr>
        <w:t>s</w:t>
      </w:r>
      <w:r>
        <w:rPr>
          <w:rFonts w:eastAsiaTheme="minorHAnsi"/>
          <w:lang w:eastAsia="en-US"/>
        </w:rPr>
        <w:t xml:space="preserve">, no kuras varētu secināt, ka apgabaltiesa ir konstatējusi, ka pieteicēja konkrētajā gadījumā ir darbojusies ne tikai kā starpnieks, bet būtībā arī kā mārketinga pakalpojumu sniedzējs. </w:t>
      </w:r>
    </w:p>
    <w:p w14:paraId="130524C4" w14:textId="13A9B46E" w:rsidR="00EE7746" w:rsidRPr="00B13EB5" w:rsidRDefault="00EE7746" w:rsidP="00EE7746">
      <w:pPr>
        <w:spacing w:line="276" w:lineRule="auto"/>
        <w:ind w:firstLine="567"/>
        <w:jc w:val="both"/>
        <w:rPr>
          <w:rFonts w:eastAsiaTheme="minorHAnsi"/>
          <w:lang w:eastAsia="en-US"/>
        </w:rPr>
      </w:pPr>
      <w:r>
        <w:rPr>
          <w:rFonts w:eastAsiaTheme="minorHAnsi"/>
          <w:lang w:eastAsia="en-US"/>
        </w:rPr>
        <w:t xml:space="preserve">Turklāt apgabaltiesa ir norādījusi, ka </w:t>
      </w:r>
      <w:r w:rsidRPr="00B13EB5">
        <w:rPr>
          <w:rFonts w:eastAsiaTheme="minorHAnsi"/>
          <w:lang w:eastAsia="en-US"/>
        </w:rPr>
        <w:t>Vadlīnij</w:t>
      </w:r>
      <w:r>
        <w:rPr>
          <w:rFonts w:eastAsiaTheme="minorHAnsi"/>
          <w:lang w:eastAsia="en-US"/>
        </w:rPr>
        <w:t xml:space="preserve">u 7.36.punkts </w:t>
      </w:r>
      <w:r w:rsidRPr="00B13EB5">
        <w:rPr>
          <w:rFonts w:eastAsiaTheme="minorHAnsi"/>
          <w:lang w:eastAsia="en-US"/>
        </w:rPr>
        <w:t>paredz iespējamību</w:t>
      </w:r>
      <w:proofErr w:type="gramStart"/>
      <w:r>
        <w:rPr>
          <w:rFonts w:eastAsiaTheme="minorHAnsi"/>
          <w:lang w:eastAsia="en-US"/>
        </w:rPr>
        <w:t xml:space="preserve"> peļņas uzcenojumu piemērot tikai starpniecības izmaksām</w:t>
      </w:r>
      <w:proofErr w:type="gramEnd"/>
      <w:r>
        <w:rPr>
          <w:rFonts w:eastAsiaTheme="minorHAnsi"/>
          <w:lang w:eastAsia="en-US"/>
        </w:rPr>
        <w:t xml:space="preserve">, un tas </w:t>
      </w:r>
      <w:r w:rsidRPr="00677B3D">
        <w:rPr>
          <w:rFonts w:eastAsiaTheme="minorHAnsi"/>
          <w:lang w:eastAsia="en-US"/>
        </w:rPr>
        <w:t>„</w:t>
      </w:r>
      <w:r w:rsidRPr="00B13EB5">
        <w:rPr>
          <w:rFonts w:eastAsiaTheme="minorHAnsi"/>
          <w:lang w:eastAsia="en-US"/>
        </w:rPr>
        <w:t>jāvērtē katrā konkrētajā gadījumā</w:t>
      </w:r>
      <w:r>
        <w:rPr>
          <w:rFonts w:eastAsiaTheme="minorHAnsi"/>
          <w:lang w:eastAsia="en-US"/>
        </w:rPr>
        <w:t>”. Tomēr pēc tam apgabaltiesa nav sniegusi konkrētā gadījuma apstākļu izvērtējumu, kas būtu pamatā secinājumam, ka izskatāmajā lietā ir pamats uzcenojumu piemērot ne tikai starpniecības izmaksām. Apgabaltiesa norādījusi vien to, ka p</w:t>
      </w:r>
      <w:r w:rsidRPr="00B13EB5">
        <w:rPr>
          <w:rFonts w:eastAsiaTheme="minorHAnsi"/>
          <w:lang w:eastAsia="en-US"/>
        </w:rPr>
        <w:t>ieteicējas darījum</w:t>
      </w:r>
      <w:r w:rsidR="00B276C8">
        <w:rPr>
          <w:rFonts w:eastAsiaTheme="minorHAnsi"/>
          <w:lang w:eastAsia="en-US"/>
        </w:rPr>
        <w:t>iem</w:t>
      </w:r>
      <w:r w:rsidRPr="00B13EB5">
        <w:rPr>
          <w:rFonts w:eastAsiaTheme="minorHAnsi"/>
          <w:lang w:eastAsia="en-US"/>
        </w:rPr>
        <w:t xml:space="preserve"> </w:t>
      </w:r>
      <w:r>
        <w:rPr>
          <w:rFonts w:eastAsiaTheme="minorHAnsi"/>
          <w:lang w:eastAsia="en-US"/>
        </w:rPr>
        <w:t xml:space="preserve">dienesta </w:t>
      </w:r>
      <w:r w:rsidRPr="00B13EB5">
        <w:rPr>
          <w:rFonts w:eastAsiaTheme="minorHAnsi"/>
          <w:lang w:eastAsia="en-US"/>
        </w:rPr>
        <w:t>noteiktais operatīvo izmaksu uzcenojums 1,7% pieteicējas mārketinga starpniecības</w:t>
      </w:r>
      <w:r>
        <w:rPr>
          <w:rFonts w:eastAsiaTheme="minorHAnsi"/>
          <w:lang w:eastAsia="en-US"/>
        </w:rPr>
        <w:t xml:space="preserve"> </w:t>
      </w:r>
      <w:r w:rsidRPr="00B13EB5">
        <w:rPr>
          <w:rFonts w:eastAsiaTheme="minorHAnsi"/>
          <w:lang w:eastAsia="en-US"/>
        </w:rPr>
        <w:t>pakalpojumiem bija pamatots un atbilstošs.</w:t>
      </w:r>
      <w:r>
        <w:rPr>
          <w:rFonts w:eastAsiaTheme="minorHAnsi"/>
          <w:lang w:eastAsia="en-US"/>
        </w:rPr>
        <w:t xml:space="preserve"> Tomēr šī norāde nesniedz atbildi uz jautājumu, kāpēc konkrētajā gadījumā dienesta likme būtu piemērojama ne tikai starpniecības izmaksām, bet arī starpniecības rezultātā piegādāto pakalpojumu vērtībai, turklāt par uzcenojuma likmi, kā jau Augstākā tiesa norādīja iepriekš, pieteicēja vispār nestrīdas.</w:t>
      </w:r>
    </w:p>
    <w:p w14:paraId="47603B95" w14:textId="77777777" w:rsidR="00EE7746" w:rsidRDefault="00EE7746" w:rsidP="00EE7746">
      <w:pPr>
        <w:spacing w:line="276" w:lineRule="auto"/>
        <w:ind w:firstLine="567"/>
        <w:jc w:val="both"/>
        <w:rPr>
          <w:rFonts w:eastAsiaTheme="minorHAnsi"/>
          <w:lang w:eastAsia="en-US"/>
        </w:rPr>
      </w:pPr>
    </w:p>
    <w:p w14:paraId="51DAAECD" w14:textId="707BA81D" w:rsidR="00EE7746" w:rsidRDefault="00EE7746" w:rsidP="00EE7746">
      <w:pPr>
        <w:spacing w:line="276" w:lineRule="auto"/>
        <w:ind w:firstLine="567"/>
        <w:jc w:val="both"/>
        <w:rPr>
          <w:rFonts w:eastAsiaTheme="minorHAnsi"/>
          <w:lang w:eastAsia="en-US"/>
        </w:rPr>
      </w:pPr>
      <w:r>
        <w:rPr>
          <w:rFonts w:eastAsiaTheme="minorHAnsi"/>
          <w:lang w:eastAsia="en-US"/>
        </w:rPr>
        <w:t>[19] Ievērojot minēto, atzīstams, ka apgabaltiesa būtībā nav norādījusi pamatojumu tam, kāpēc konkrētajā gadījumā n</w:t>
      </w:r>
      <w:r w:rsidR="00D04B92">
        <w:rPr>
          <w:rFonts w:eastAsiaTheme="minorHAnsi"/>
          <w:lang w:eastAsia="en-US"/>
        </w:rPr>
        <w:t>av</w:t>
      </w:r>
      <w:r>
        <w:rPr>
          <w:rFonts w:eastAsiaTheme="minorHAnsi"/>
          <w:lang w:eastAsia="en-US"/>
        </w:rPr>
        <w:t xml:space="preserve"> </w:t>
      </w:r>
      <w:proofErr w:type="gramStart"/>
      <w:r>
        <w:rPr>
          <w:rFonts w:eastAsiaTheme="minorHAnsi"/>
          <w:lang w:eastAsia="en-US"/>
        </w:rPr>
        <w:t>piemērojams Vadlīniju</w:t>
      </w:r>
      <w:proofErr w:type="gramEnd"/>
      <w:r>
        <w:rPr>
          <w:rFonts w:eastAsiaTheme="minorHAnsi"/>
          <w:lang w:eastAsia="en-US"/>
        </w:rPr>
        <w:t xml:space="preserve"> 7.36.punkts, proti, kāpēc pamatota ir dienesta nostāja, ka peļņas uzcenojums piemērojams summai, ko veido gan pieteicējas izmaksas par starpniecības nodrošināšanu, gan starpniecības rezultātā piegādāto pakalpojumu vērtība. Tas nozīmē, ka lietā nav novērtēti lietas izšķiršanai būtiski apstākļi, un apgabaltiesas spriedums šajā daļā ir atceļams. </w:t>
      </w:r>
    </w:p>
    <w:p w14:paraId="4D70C8FC" w14:textId="77777777" w:rsidR="00EE7746" w:rsidRDefault="00EE7746" w:rsidP="00EE7746">
      <w:pPr>
        <w:spacing w:line="276" w:lineRule="auto"/>
        <w:ind w:firstLine="567"/>
        <w:jc w:val="both"/>
      </w:pPr>
      <w:r>
        <w:rPr>
          <w:rFonts w:eastAsiaTheme="minorHAnsi"/>
          <w:lang w:eastAsia="en-US"/>
        </w:rPr>
        <w:t xml:space="preserve">Izskatot lietu atkārtoti, apgabaltiesai, pārbaudot strīdus darījumu apstākļus, pieteicējas uzņemtās saistības un atbildību un pakalpojumu sniegšanas ietvaros veiktās funkcijas, jānovērtē, vai konkrētajā gadījumā ir pamats uzskatīt, ka strīdus darījumu būtība bija mārketinga pakalpojumu sniegšana, proti, vai pieteicēja pati bija uzskatāma par mārketinga pakalpojumu sniedzēju </w:t>
      </w:r>
      <w:proofErr w:type="gramStart"/>
      <w:r>
        <w:rPr>
          <w:rFonts w:eastAsiaTheme="minorHAnsi"/>
          <w:lang w:eastAsia="en-US"/>
        </w:rPr>
        <w:t>(</w:t>
      </w:r>
      <w:proofErr w:type="gramEnd"/>
      <w:r>
        <w:rPr>
          <w:rFonts w:eastAsiaTheme="minorHAnsi"/>
          <w:lang w:eastAsia="en-US"/>
        </w:rPr>
        <w:t xml:space="preserve">piesaistot apakšuzņēmējus), vai arī pieteicēja </w:t>
      </w:r>
      <w:r>
        <w:t xml:space="preserve">tikai sniedza </w:t>
      </w:r>
      <w:r>
        <w:lastRenderedPageBreak/>
        <w:t>starpniecības pakalpojumus mārketinga pakalpojumu nodrošināšanā. Turklāt, Augstākās tiesa ieskatā, dienesta norādītais apstāklis, proti, tas, ka pieteicēja pati savā vārdā noslēdza līgumus ar mārketinga aģentūrām, pats par sevi nav pietiekams, lai secinātu, ka pieteicēja uzskatāma ne tikai par starpnieku, bet būtībā par mārketinga pakalpojumu sniedzēju.</w:t>
      </w:r>
    </w:p>
    <w:p w14:paraId="7ADB5591" w14:textId="77777777" w:rsidR="00EE7746" w:rsidRDefault="00EE7746" w:rsidP="00EE7746">
      <w:pPr>
        <w:spacing w:line="276" w:lineRule="auto"/>
        <w:ind w:firstLine="567"/>
        <w:jc w:val="both"/>
      </w:pPr>
    </w:p>
    <w:p w14:paraId="4B6E9CB4" w14:textId="77777777" w:rsidR="00EE7746" w:rsidRPr="00EE7746" w:rsidRDefault="00EE7746" w:rsidP="00EE7746">
      <w:pPr>
        <w:spacing w:line="276" w:lineRule="auto"/>
        <w:ind w:firstLine="567"/>
        <w:jc w:val="center"/>
        <w:rPr>
          <w:rFonts w:eastAsiaTheme="minorHAnsi"/>
          <w:b/>
          <w:lang w:eastAsia="en-US"/>
        </w:rPr>
      </w:pPr>
      <w:r w:rsidRPr="00EE7746">
        <w:rPr>
          <w:b/>
        </w:rPr>
        <w:t>II</w:t>
      </w:r>
    </w:p>
    <w:p w14:paraId="6D7E7723" w14:textId="77777777" w:rsidR="005513E9" w:rsidRDefault="005513E9" w:rsidP="00B772F7">
      <w:pPr>
        <w:spacing w:line="276" w:lineRule="auto"/>
        <w:ind w:firstLine="567"/>
        <w:jc w:val="both"/>
      </w:pPr>
    </w:p>
    <w:p w14:paraId="27AD5A13" w14:textId="77777777" w:rsidR="00B772F7" w:rsidRPr="00677B3D" w:rsidRDefault="00582B31" w:rsidP="00B772F7">
      <w:pPr>
        <w:spacing w:line="276" w:lineRule="auto"/>
        <w:ind w:firstLine="567"/>
        <w:jc w:val="both"/>
        <w:rPr>
          <w:kern w:val="28"/>
        </w:rPr>
      </w:pPr>
      <w:r w:rsidRPr="00677B3D">
        <w:t>[</w:t>
      </w:r>
      <w:r w:rsidR="00EE7746">
        <w:t>20</w:t>
      </w:r>
      <w:r w:rsidRPr="00677B3D">
        <w:t xml:space="preserve">] </w:t>
      </w:r>
      <w:r w:rsidRPr="00677B3D">
        <w:rPr>
          <w:kern w:val="28"/>
        </w:rPr>
        <w:t xml:space="preserve">Izskatāmajā lietā </w:t>
      </w:r>
      <w:r w:rsidR="00A93FA6" w:rsidRPr="00677B3D">
        <w:rPr>
          <w:kern w:val="28"/>
        </w:rPr>
        <w:t xml:space="preserve">daļā, par kuru iesniegta dienesta kasācijas sūdzība, </w:t>
      </w:r>
      <w:r w:rsidRPr="00677B3D">
        <w:rPr>
          <w:kern w:val="28"/>
        </w:rPr>
        <w:t>ir strīds par to, vai dienests pamatoti ar pārsūdzēto lēmumu liedzis pieteicējai veikt pievienotās vērtības nodokļa atskaitījumus par darījumiem ar Remonta servisiem.</w:t>
      </w:r>
    </w:p>
    <w:p w14:paraId="40655528" w14:textId="77777777" w:rsidR="00B772F7" w:rsidRPr="00677B3D" w:rsidRDefault="00B772F7" w:rsidP="00B772F7">
      <w:pPr>
        <w:spacing w:line="276" w:lineRule="auto"/>
        <w:ind w:firstLine="567"/>
        <w:jc w:val="both"/>
        <w:rPr>
          <w:kern w:val="28"/>
        </w:rPr>
      </w:pPr>
    </w:p>
    <w:p w14:paraId="075CE2CD" w14:textId="4B2916D3" w:rsidR="000649D4" w:rsidRPr="00677B3D" w:rsidRDefault="00336A47" w:rsidP="000649D4">
      <w:pPr>
        <w:spacing w:line="276" w:lineRule="auto"/>
        <w:ind w:firstLine="567"/>
        <w:jc w:val="both"/>
        <w:rPr>
          <w:lang w:eastAsia="lv-LV"/>
        </w:rPr>
      </w:pPr>
      <w:r w:rsidRPr="00677B3D">
        <w:rPr>
          <w:lang w:eastAsia="lv-LV"/>
        </w:rPr>
        <w:t>[</w:t>
      </w:r>
      <w:r w:rsidR="00EE7746">
        <w:rPr>
          <w:lang w:eastAsia="lv-LV"/>
        </w:rPr>
        <w:t>21</w:t>
      </w:r>
      <w:r w:rsidRPr="00677B3D">
        <w:rPr>
          <w:lang w:eastAsia="lv-LV"/>
        </w:rPr>
        <w:t xml:space="preserve">] </w:t>
      </w:r>
      <w:r w:rsidR="000A3FEB">
        <w:rPr>
          <w:lang w:eastAsia="lv-LV"/>
        </w:rPr>
        <w:t xml:space="preserve">Likuma </w:t>
      </w:r>
      <w:r w:rsidR="000A3FEB" w:rsidRPr="00677B3D">
        <w:rPr>
          <w:rFonts w:eastAsiaTheme="minorHAnsi"/>
          <w:lang w:eastAsia="en-US"/>
        </w:rPr>
        <w:t>„</w:t>
      </w:r>
      <w:r w:rsidR="000A3FEB" w:rsidRPr="00677B3D">
        <w:rPr>
          <w:lang w:eastAsia="lv-LV"/>
        </w:rPr>
        <w:t xml:space="preserve">Par pievienotās vērtības nodokli” </w:t>
      </w:r>
      <w:proofErr w:type="gramStart"/>
      <w:r w:rsidR="000A3FEB" w:rsidRPr="00677B3D">
        <w:rPr>
          <w:lang w:eastAsia="lv-LV"/>
        </w:rPr>
        <w:t>1.panta</w:t>
      </w:r>
      <w:proofErr w:type="gramEnd"/>
      <w:r w:rsidR="000A3FEB" w:rsidRPr="00677B3D">
        <w:rPr>
          <w:lang w:eastAsia="lv-LV"/>
        </w:rPr>
        <w:t xml:space="preserve"> 9.punkta </w:t>
      </w:r>
      <w:r w:rsidR="000A3FEB" w:rsidRPr="00677B3D">
        <w:t>„a” apakšpunkt</w:t>
      </w:r>
      <w:r w:rsidR="000A3FEB">
        <w:t>s</w:t>
      </w:r>
      <w:r w:rsidR="000A3FEB" w:rsidRPr="00677B3D">
        <w:t xml:space="preserve"> un </w:t>
      </w:r>
      <w:r w:rsidR="000A3FEB" w:rsidRPr="00677B3D">
        <w:rPr>
          <w:lang w:eastAsia="lv-LV"/>
        </w:rPr>
        <w:t>10.panta pirmās daļas 1.punkt</w:t>
      </w:r>
      <w:r w:rsidR="000A3FEB">
        <w:rPr>
          <w:lang w:eastAsia="lv-LV"/>
        </w:rPr>
        <w:t>s (</w:t>
      </w:r>
      <w:r w:rsidR="000A3FEB" w:rsidRPr="0078484F">
        <w:rPr>
          <w:i/>
          <w:lang w:eastAsia="lv-LV"/>
        </w:rPr>
        <w:t>redakcijā, kas bija spēkā laikā, par kuru veikts audits šajā lietā</w:t>
      </w:r>
      <w:r w:rsidR="000A3FEB">
        <w:rPr>
          <w:lang w:eastAsia="lv-LV"/>
        </w:rPr>
        <w:t>) noteic</w:t>
      </w:r>
      <w:r w:rsidR="001E0226" w:rsidRPr="00677B3D">
        <w:rPr>
          <w:lang w:eastAsia="lv-LV"/>
        </w:rPr>
        <w:t xml:space="preserve">, ka </w:t>
      </w:r>
      <w:r w:rsidR="00582B31" w:rsidRPr="00677B3D">
        <w:rPr>
          <w:lang w:eastAsia="lv-LV"/>
        </w:rPr>
        <w:t xml:space="preserve">viens no obligātajiem priekšnosacījumiem pievienotās vērtības nodokļa atskaitīšanai ir tas, ka darījumi, par kuriem nodoklis tiek atskaitīts, ir izmantoti nodokļu maksātāja saimnieciskās darbības nodrošināšanai (ar pievienotās vērtības nodokli apliekamu preču vai pakalpojumu </w:t>
      </w:r>
      <w:r w:rsidR="001E0226" w:rsidRPr="00677B3D">
        <w:rPr>
          <w:lang w:eastAsia="lv-LV"/>
        </w:rPr>
        <w:t>nodrošināšanai</w:t>
      </w:r>
      <w:r w:rsidR="00582B31" w:rsidRPr="00677B3D">
        <w:rPr>
          <w:lang w:eastAsia="lv-LV"/>
        </w:rPr>
        <w:t>).</w:t>
      </w:r>
      <w:r w:rsidR="000649D4" w:rsidRPr="00677B3D">
        <w:rPr>
          <w:lang w:eastAsia="lv-LV"/>
        </w:rPr>
        <w:t xml:space="preserve"> </w:t>
      </w:r>
    </w:p>
    <w:p w14:paraId="11757924" w14:textId="77777777" w:rsidR="000649D4" w:rsidRPr="00677B3D" w:rsidRDefault="000649D4" w:rsidP="000649D4">
      <w:pPr>
        <w:spacing w:line="276" w:lineRule="auto"/>
        <w:ind w:firstLine="567"/>
        <w:jc w:val="both"/>
        <w:rPr>
          <w:lang w:eastAsia="lv-LV"/>
        </w:rPr>
      </w:pPr>
    </w:p>
    <w:p w14:paraId="62B50310" w14:textId="5F9FDD70" w:rsidR="00DF25C1" w:rsidRPr="006F0234" w:rsidRDefault="005276EF" w:rsidP="006F0234">
      <w:pPr>
        <w:spacing w:line="276" w:lineRule="auto"/>
        <w:ind w:firstLine="567"/>
        <w:jc w:val="both"/>
        <w:rPr>
          <w:i/>
          <w:iCs/>
        </w:rPr>
      </w:pPr>
      <w:r w:rsidRPr="00677B3D">
        <w:rPr>
          <w:lang w:eastAsia="lv-LV"/>
        </w:rPr>
        <w:t>[</w:t>
      </w:r>
      <w:r w:rsidR="00EE7746">
        <w:rPr>
          <w:lang w:eastAsia="lv-LV"/>
        </w:rPr>
        <w:t>22</w:t>
      </w:r>
      <w:r w:rsidR="00FB055A" w:rsidRPr="00677B3D">
        <w:rPr>
          <w:lang w:eastAsia="lv-LV"/>
        </w:rPr>
        <w:t xml:space="preserve">] Kā atzinusi Eiropas Savienības </w:t>
      </w:r>
      <w:r w:rsidR="000649D4" w:rsidRPr="00677B3D">
        <w:rPr>
          <w:lang w:eastAsia="lv-LV"/>
        </w:rPr>
        <w:t>T</w:t>
      </w:r>
      <w:r w:rsidR="00FB055A" w:rsidRPr="00677B3D">
        <w:rPr>
          <w:lang w:eastAsia="lv-LV"/>
        </w:rPr>
        <w:t xml:space="preserve">iesa, var uzskatīt, ka darījums tiek izmantots saimnieciskās darbības nodrošināšanai tad, ja ir konstatējama </w:t>
      </w:r>
      <w:r w:rsidR="00CC7EB3" w:rsidRPr="00677B3D">
        <w:rPr>
          <w:color w:val="000000"/>
        </w:rPr>
        <w:t>tieša un tūlītēja saikne starp</w:t>
      </w:r>
      <w:r w:rsidR="00FB055A" w:rsidRPr="00677B3D">
        <w:rPr>
          <w:color w:val="000000"/>
        </w:rPr>
        <w:t xml:space="preserve"> pakalpojumu, par kuru nodoklis tiek atskaitīts, un darījumu (darījumiem), kura nodrošināšanai pakalpojums saņemts</w:t>
      </w:r>
      <w:r w:rsidR="000649D4" w:rsidRPr="00677B3D">
        <w:rPr>
          <w:color w:val="000000"/>
        </w:rPr>
        <w:t xml:space="preserve"> (</w:t>
      </w:r>
      <w:r w:rsidR="000649D4" w:rsidRPr="00677B3D">
        <w:rPr>
          <w:iCs/>
        </w:rPr>
        <w:t>piemēram,</w:t>
      </w:r>
      <w:r w:rsidR="000649D4" w:rsidRPr="00677B3D">
        <w:rPr>
          <w:i/>
          <w:iCs/>
        </w:rPr>
        <w:t xml:space="preserve"> Eiropas Savienības Tiesas </w:t>
      </w:r>
      <w:proofErr w:type="gramStart"/>
      <w:r w:rsidR="006F0234">
        <w:rPr>
          <w:i/>
          <w:iCs/>
          <w:color w:val="000000"/>
        </w:rPr>
        <w:t>2005.gada</w:t>
      </w:r>
      <w:proofErr w:type="gramEnd"/>
      <w:r w:rsidR="006F0234">
        <w:rPr>
          <w:i/>
          <w:iCs/>
          <w:color w:val="000000"/>
        </w:rPr>
        <w:t xml:space="preserve"> 3.</w:t>
      </w:r>
      <w:r w:rsidR="000649D4" w:rsidRPr="00677B3D">
        <w:rPr>
          <w:i/>
          <w:iCs/>
          <w:color w:val="000000"/>
        </w:rPr>
        <w:t xml:space="preserve">marta sprieduma lietā </w:t>
      </w:r>
      <w:r w:rsidR="006F0234">
        <w:rPr>
          <w:i/>
          <w:iCs/>
          <w:color w:val="000000"/>
        </w:rPr>
        <w:t xml:space="preserve">I/S </w:t>
      </w:r>
      <w:proofErr w:type="spellStart"/>
      <w:r w:rsidR="006F0234">
        <w:rPr>
          <w:i/>
          <w:iCs/>
          <w:color w:val="000000"/>
        </w:rPr>
        <w:t>Fini</w:t>
      </w:r>
      <w:proofErr w:type="spellEnd"/>
      <w:r w:rsidR="006F0234">
        <w:rPr>
          <w:i/>
          <w:iCs/>
          <w:color w:val="000000"/>
        </w:rPr>
        <w:t xml:space="preserve"> H v. </w:t>
      </w:r>
      <w:proofErr w:type="spellStart"/>
      <w:r w:rsidR="006F0234">
        <w:rPr>
          <w:i/>
          <w:iCs/>
          <w:color w:val="000000"/>
        </w:rPr>
        <w:t>Skatteministeriet</w:t>
      </w:r>
      <w:proofErr w:type="spellEnd"/>
      <w:r w:rsidR="006F0234">
        <w:rPr>
          <w:i/>
          <w:iCs/>
          <w:color w:val="000000"/>
        </w:rPr>
        <w:t xml:space="preserve">, </w:t>
      </w:r>
      <w:r w:rsidR="000649D4" w:rsidRPr="00677B3D">
        <w:rPr>
          <w:i/>
          <w:iCs/>
          <w:color w:val="000000"/>
        </w:rPr>
        <w:t>C-32/03</w:t>
      </w:r>
      <w:r w:rsidR="006F0234">
        <w:rPr>
          <w:i/>
          <w:iCs/>
          <w:color w:val="000000"/>
        </w:rPr>
        <w:t xml:space="preserve">, </w:t>
      </w:r>
      <w:r w:rsidR="006F0234" w:rsidRPr="006F0234">
        <w:rPr>
          <w:i/>
          <w:iCs/>
          <w:color w:val="000000"/>
        </w:rPr>
        <w:t>ECLI:EU:C:2005:128</w:t>
      </w:r>
      <w:r w:rsidR="006F0234">
        <w:rPr>
          <w:i/>
          <w:iCs/>
          <w:color w:val="000000"/>
        </w:rPr>
        <w:t xml:space="preserve"> 23.,</w:t>
      </w:r>
      <w:r w:rsidR="000649D4" w:rsidRPr="00677B3D">
        <w:rPr>
          <w:i/>
          <w:iCs/>
          <w:color w:val="000000"/>
        </w:rPr>
        <w:t>2</w:t>
      </w:r>
      <w:r w:rsidR="006F0234">
        <w:rPr>
          <w:i/>
          <w:iCs/>
          <w:color w:val="000000"/>
        </w:rPr>
        <w:t xml:space="preserve"> 5., 31.</w:t>
      </w:r>
      <w:r w:rsidR="000649D4" w:rsidRPr="00677B3D">
        <w:rPr>
          <w:i/>
          <w:iCs/>
          <w:color w:val="000000"/>
        </w:rPr>
        <w:t xml:space="preserve">punkts, </w:t>
      </w:r>
      <w:proofErr w:type="gramStart"/>
      <w:r w:rsidR="000649D4" w:rsidRPr="00677B3D">
        <w:rPr>
          <w:i/>
          <w:iCs/>
        </w:rPr>
        <w:t>2005.gada</w:t>
      </w:r>
      <w:proofErr w:type="gramEnd"/>
      <w:r w:rsidR="000649D4" w:rsidRPr="00677B3D">
        <w:rPr>
          <w:i/>
          <w:iCs/>
        </w:rPr>
        <w:t xml:space="preserve"> 26.maija sprieduma lietā </w:t>
      </w:r>
      <w:proofErr w:type="spellStart"/>
      <w:r w:rsidR="006F0234">
        <w:rPr>
          <w:i/>
          <w:iCs/>
        </w:rPr>
        <w:t>Kretztechnik</w:t>
      </w:r>
      <w:proofErr w:type="spellEnd"/>
      <w:r w:rsidR="006F0234">
        <w:rPr>
          <w:i/>
          <w:iCs/>
        </w:rPr>
        <w:t xml:space="preserve"> AG v </w:t>
      </w:r>
      <w:proofErr w:type="spellStart"/>
      <w:r w:rsidR="006F0234">
        <w:rPr>
          <w:i/>
          <w:iCs/>
        </w:rPr>
        <w:t>Finanzamt</w:t>
      </w:r>
      <w:proofErr w:type="spellEnd"/>
      <w:r w:rsidR="006F0234">
        <w:rPr>
          <w:i/>
          <w:iCs/>
        </w:rPr>
        <w:t xml:space="preserve"> </w:t>
      </w:r>
      <w:proofErr w:type="spellStart"/>
      <w:r w:rsidR="006F0234">
        <w:rPr>
          <w:i/>
          <w:iCs/>
        </w:rPr>
        <w:t>Linz</w:t>
      </w:r>
      <w:proofErr w:type="spellEnd"/>
      <w:r w:rsidR="006F0234">
        <w:rPr>
          <w:i/>
          <w:iCs/>
        </w:rPr>
        <w:t xml:space="preserve">, </w:t>
      </w:r>
      <w:r w:rsidR="000649D4" w:rsidRPr="00677B3D">
        <w:rPr>
          <w:i/>
          <w:iCs/>
        </w:rPr>
        <w:t>C-465/03</w:t>
      </w:r>
      <w:r w:rsidR="006F0234">
        <w:rPr>
          <w:i/>
          <w:iCs/>
        </w:rPr>
        <w:t xml:space="preserve">, </w:t>
      </w:r>
      <w:r w:rsidR="006F0234" w:rsidRPr="006F0234">
        <w:rPr>
          <w:i/>
          <w:iCs/>
        </w:rPr>
        <w:t>ECLI:EU:C:2005:320</w:t>
      </w:r>
      <w:r w:rsidR="000649D4" w:rsidRPr="00677B3D">
        <w:rPr>
          <w:i/>
          <w:iCs/>
        </w:rPr>
        <w:t xml:space="preserve"> 35.punkts)</w:t>
      </w:r>
      <w:r w:rsidR="00FB055A" w:rsidRPr="00677B3D">
        <w:rPr>
          <w:color w:val="000000"/>
        </w:rPr>
        <w:t xml:space="preserve">. </w:t>
      </w:r>
      <w:r w:rsidR="000649D4" w:rsidRPr="00677B3D">
        <w:t xml:space="preserve">Jēdziens </w:t>
      </w:r>
      <w:r w:rsidR="000649D4" w:rsidRPr="00677B3D">
        <w:rPr>
          <w:i/>
          <w:iCs/>
        </w:rPr>
        <w:t>tieša un tūlītēja saikne</w:t>
      </w:r>
      <w:r w:rsidR="000649D4" w:rsidRPr="00677B3D">
        <w:t xml:space="preserve"> nav definējams vispārīgi, jo šādas saiknes konstatējums ir atkarīgs no konkrētiem apstākļiem</w:t>
      </w:r>
      <w:r w:rsidR="00DF25C1" w:rsidRPr="00677B3D">
        <w:t>.</w:t>
      </w:r>
      <w:r w:rsidR="000649D4" w:rsidRPr="00677B3D">
        <w:t xml:space="preserve"> Turklāt jāņem vērā, ka nepieciešamā saikne</w:t>
      </w:r>
      <w:r w:rsidR="000649D4" w:rsidRPr="00677B3D">
        <w:rPr>
          <w:i/>
          <w:iCs/>
        </w:rPr>
        <w:t xml:space="preserve"> </w:t>
      </w:r>
      <w:r w:rsidR="000649D4" w:rsidRPr="00677B3D">
        <w:rPr>
          <w:iCs/>
        </w:rPr>
        <w:t>var tikt konstatēta arī</w:t>
      </w:r>
      <w:r w:rsidR="000649D4" w:rsidRPr="00677B3D">
        <w:t xml:space="preserve"> </w:t>
      </w:r>
      <w:r w:rsidR="000649D4" w:rsidRPr="00677B3D">
        <w:rPr>
          <w:iCs/>
        </w:rPr>
        <w:t>ar iepriekš veiktiem darījumiem</w:t>
      </w:r>
      <w:r w:rsidR="000649D4" w:rsidRPr="00677B3D">
        <w:t xml:space="preserve"> (</w:t>
      </w:r>
      <w:r w:rsidR="000649D4" w:rsidRPr="00677B3D">
        <w:rPr>
          <w:iCs/>
        </w:rPr>
        <w:t>piemēram,</w:t>
      </w:r>
      <w:r w:rsidR="000649D4" w:rsidRPr="00677B3D">
        <w:rPr>
          <w:i/>
          <w:iCs/>
        </w:rPr>
        <w:t xml:space="preserve"> Eiropas Savienības Tiesas </w:t>
      </w:r>
      <w:proofErr w:type="gramStart"/>
      <w:r w:rsidR="00DF25C1" w:rsidRPr="00677B3D">
        <w:rPr>
          <w:i/>
          <w:iCs/>
        </w:rPr>
        <w:t>2000.gada</w:t>
      </w:r>
      <w:proofErr w:type="gramEnd"/>
      <w:r w:rsidR="00DF25C1" w:rsidRPr="00677B3D">
        <w:rPr>
          <w:i/>
          <w:iCs/>
        </w:rPr>
        <w:t xml:space="preserve"> 8.jūnija sprieduma lietā </w:t>
      </w:r>
      <w:proofErr w:type="spellStart"/>
      <w:r w:rsidR="006F0234" w:rsidRPr="006F0234">
        <w:rPr>
          <w:i/>
          <w:iCs/>
        </w:rPr>
        <w:t>Co</w:t>
      </w:r>
      <w:r w:rsidR="006F0234">
        <w:rPr>
          <w:i/>
          <w:iCs/>
        </w:rPr>
        <w:t>mmissioners</w:t>
      </w:r>
      <w:proofErr w:type="spellEnd"/>
      <w:r w:rsidR="006F0234">
        <w:rPr>
          <w:i/>
          <w:iCs/>
        </w:rPr>
        <w:t xml:space="preserve"> </w:t>
      </w:r>
      <w:proofErr w:type="spellStart"/>
      <w:r w:rsidR="006F0234">
        <w:rPr>
          <w:i/>
          <w:iCs/>
        </w:rPr>
        <w:t>of</w:t>
      </w:r>
      <w:proofErr w:type="spellEnd"/>
      <w:r w:rsidR="006F0234">
        <w:rPr>
          <w:i/>
          <w:iCs/>
        </w:rPr>
        <w:t xml:space="preserve"> </w:t>
      </w:r>
      <w:proofErr w:type="spellStart"/>
      <w:r w:rsidR="006F0234">
        <w:rPr>
          <w:i/>
          <w:iCs/>
        </w:rPr>
        <w:t>Customs</w:t>
      </w:r>
      <w:proofErr w:type="spellEnd"/>
      <w:r w:rsidR="006F0234">
        <w:rPr>
          <w:i/>
          <w:iCs/>
        </w:rPr>
        <w:t xml:space="preserve"> &amp; </w:t>
      </w:r>
      <w:proofErr w:type="spellStart"/>
      <w:r w:rsidR="006F0234">
        <w:rPr>
          <w:i/>
          <w:iCs/>
        </w:rPr>
        <w:t>Excise</w:t>
      </w:r>
      <w:proofErr w:type="spellEnd"/>
      <w:r w:rsidR="006F0234">
        <w:rPr>
          <w:i/>
          <w:iCs/>
        </w:rPr>
        <w:t xml:space="preserve"> </w:t>
      </w:r>
      <w:proofErr w:type="spellStart"/>
      <w:r w:rsidR="006F0234">
        <w:rPr>
          <w:i/>
          <w:iCs/>
        </w:rPr>
        <w:t>and</w:t>
      </w:r>
      <w:proofErr w:type="spellEnd"/>
      <w:r w:rsidR="006F0234">
        <w:rPr>
          <w:i/>
          <w:iCs/>
        </w:rPr>
        <w:t xml:space="preserve"> </w:t>
      </w:r>
      <w:proofErr w:type="spellStart"/>
      <w:r w:rsidR="006F0234" w:rsidRPr="006F0234">
        <w:rPr>
          <w:i/>
          <w:iCs/>
        </w:rPr>
        <w:t>Midland</w:t>
      </w:r>
      <w:proofErr w:type="spellEnd"/>
      <w:r w:rsidR="006F0234" w:rsidRPr="006F0234">
        <w:rPr>
          <w:i/>
          <w:iCs/>
        </w:rPr>
        <w:t xml:space="preserve"> </w:t>
      </w:r>
      <w:proofErr w:type="spellStart"/>
      <w:r w:rsidR="006F0234" w:rsidRPr="006F0234">
        <w:rPr>
          <w:i/>
          <w:iCs/>
        </w:rPr>
        <w:t>Bank</w:t>
      </w:r>
      <w:proofErr w:type="spellEnd"/>
      <w:r w:rsidR="006F0234" w:rsidRPr="006F0234">
        <w:rPr>
          <w:i/>
          <w:iCs/>
        </w:rPr>
        <w:t xml:space="preserve"> </w:t>
      </w:r>
      <w:proofErr w:type="spellStart"/>
      <w:r w:rsidR="006F0234" w:rsidRPr="006F0234">
        <w:rPr>
          <w:i/>
          <w:iCs/>
        </w:rPr>
        <w:t>plc</w:t>
      </w:r>
      <w:proofErr w:type="spellEnd"/>
      <w:r w:rsidR="006F0234">
        <w:rPr>
          <w:i/>
          <w:iCs/>
        </w:rPr>
        <w:t xml:space="preserve">, </w:t>
      </w:r>
      <w:r w:rsidR="00DF25C1" w:rsidRPr="00677B3D">
        <w:rPr>
          <w:i/>
          <w:iCs/>
        </w:rPr>
        <w:t>C-98/98</w:t>
      </w:r>
      <w:r w:rsidR="006F0234">
        <w:rPr>
          <w:i/>
          <w:iCs/>
        </w:rPr>
        <w:t xml:space="preserve">, </w:t>
      </w:r>
      <w:r w:rsidR="006F0234" w:rsidRPr="006F0234">
        <w:rPr>
          <w:i/>
          <w:iCs/>
        </w:rPr>
        <w:t>ECLI:EU:C:2000:300</w:t>
      </w:r>
      <w:r w:rsidR="00DF25C1" w:rsidRPr="00677B3D">
        <w:rPr>
          <w:i/>
          <w:iCs/>
        </w:rPr>
        <w:t xml:space="preserve"> 25.punkt</w:t>
      </w:r>
      <w:r w:rsidR="00191A48">
        <w:rPr>
          <w:i/>
          <w:iCs/>
        </w:rPr>
        <w:t>s</w:t>
      </w:r>
      <w:r w:rsidR="00DF25C1" w:rsidRPr="00677B3D">
        <w:rPr>
          <w:i/>
          <w:iCs/>
        </w:rPr>
        <w:t xml:space="preserve">, </w:t>
      </w:r>
      <w:r w:rsidR="000649D4" w:rsidRPr="00677B3D">
        <w:rPr>
          <w:i/>
          <w:iCs/>
        </w:rPr>
        <w:t xml:space="preserve">2005.gada 3.marta </w:t>
      </w:r>
      <w:r w:rsidR="006F0234" w:rsidRPr="006F0234">
        <w:rPr>
          <w:i/>
          <w:iCs/>
        </w:rPr>
        <w:t xml:space="preserve">sprieduma lietā I/S </w:t>
      </w:r>
      <w:proofErr w:type="spellStart"/>
      <w:r w:rsidR="006F0234" w:rsidRPr="006F0234">
        <w:rPr>
          <w:i/>
          <w:iCs/>
        </w:rPr>
        <w:t>Fini</w:t>
      </w:r>
      <w:proofErr w:type="spellEnd"/>
      <w:r w:rsidR="006F0234" w:rsidRPr="006F0234">
        <w:rPr>
          <w:i/>
          <w:iCs/>
        </w:rPr>
        <w:t xml:space="preserve"> H v </w:t>
      </w:r>
      <w:proofErr w:type="spellStart"/>
      <w:r w:rsidR="006F0234" w:rsidRPr="006F0234">
        <w:rPr>
          <w:i/>
          <w:iCs/>
        </w:rPr>
        <w:t>Skatteministeriet</w:t>
      </w:r>
      <w:proofErr w:type="spellEnd"/>
      <w:r w:rsidR="006F0234" w:rsidRPr="006F0234">
        <w:rPr>
          <w:i/>
          <w:iCs/>
        </w:rPr>
        <w:t>, C-32/03, ECLI:EU:C:2005:128</w:t>
      </w:r>
      <w:r w:rsidR="000649D4" w:rsidRPr="00677B3D">
        <w:rPr>
          <w:i/>
          <w:iCs/>
        </w:rPr>
        <w:t xml:space="preserve"> 22.</w:t>
      </w:r>
      <w:r w:rsidR="008D6BC8">
        <w:rPr>
          <w:rFonts w:eastAsiaTheme="minorHAnsi"/>
          <w:lang w:eastAsia="en-US"/>
        </w:rPr>
        <w:t>–</w:t>
      </w:r>
      <w:r w:rsidR="000649D4" w:rsidRPr="00677B3D">
        <w:rPr>
          <w:i/>
          <w:iCs/>
        </w:rPr>
        <w:t>35.punkt</w:t>
      </w:r>
      <w:r w:rsidR="00191A48">
        <w:rPr>
          <w:i/>
          <w:iCs/>
        </w:rPr>
        <w:t>s</w:t>
      </w:r>
      <w:r w:rsidR="000649D4" w:rsidRPr="00677B3D">
        <w:t>). Tāpat jāņem vērā, ka saimnieciskā darbība pievienotās vērtības nodokļa sistēmas izpratnē nesastāv no vienas darbības, bet tā var sastāvēt no secīgu darbību kopuma (</w:t>
      </w:r>
      <w:r w:rsidR="000649D4" w:rsidRPr="00677B3D">
        <w:rPr>
          <w:i/>
          <w:iCs/>
        </w:rPr>
        <w:t>Eiropas Savienības Tiesas 1985.gada 14.februāra sprieduma lietā</w:t>
      </w:r>
      <w:r w:rsidR="006251FD" w:rsidRPr="006251FD">
        <w:t xml:space="preserve"> </w:t>
      </w:r>
      <w:r w:rsidR="006251FD" w:rsidRPr="006251FD">
        <w:rPr>
          <w:i/>
          <w:iCs/>
        </w:rPr>
        <w:t xml:space="preserve">D.A. </w:t>
      </w:r>
      <w:proofErr w:type="spellStart"/>
      <w:r w:rsidR="006251FD" w:rsidRPr="006251FD">
        <w:rPr>
          <w:i/>
          <w:iCs/>
        </w:rPr>
        <w:t>Rompelman</w:t>
      </w:r>
      <w:proofErr w:type="spellEnd"/>
      <w:r w:rsidR="006251FD" w:rsidRPr="006251FD">
        <w:rPr>
          <w:i/>
          <w:iCs/>
        </w:rPr>
        <w:t xml:space="preserve"> </w:t>
      </w:r>
      <w:proofErr w:type="spellStart"/>
      <w:r w:rsidR="006251FD" w:rsidRPr="006251FD">
        <w:rPr>
          <w:i/>
          <w:iCs/>
        </w:rPr>
        <w:t>and</w:t>
      </w:r>
      <w:proofErr w:type="spellEnd"/>
      <w:r w:rsidR="006251FD" w:rsidRPr="006251FD">
        <w:rPr>
          <w:i/>
          <w:iCs/>
        </w:rPr>
        <w:t xml:space="preserve"> E.A. </w:t>
      </w:r>
      <w:proofErr w:type="spellStart"/>
      <w:r w:rsidR="006251FD" w:rsidRPr="006251FD">
        <w:rPr>
          <w:i/>
          <w:iCs/>
        </w:rPr>
        <w:t>Rompelman-Van</w:t>
      </w:r>
      <w:proofErr w:type="spellEnd"/>
      <w:r w:rsidR="006251FD" w:rsidRPr="006251FD">
        <w:rPr>
          <w:i/>
          <w:iCs/>
        </w:rPr>
        <w:t xml:space="preserve"> </w:t>
      </w:r>
      <w:proofErr w:type="spellStart"/>
      <w:r w:rsidR="006251FD" w:rsidRPr="006251FD">
        <w:rPr>
          <w:i/>
          <w:iCs/>
        </w:rPr>
        <w:t>Deelen</w:t>
      </w:r>
      <w:proofErr w:type="spellEnd"/>
      <w:r w:rsidR="006251FD" w:rsidRPr="006251FD">
        <w:rPr>
          <w:i/>
          <w:iCs/>
        </w:rPr>
        <w:t xml:space="preserve"> v </w:t>
      </w:r>
      <w:proofErr w:type="spellStart"/>
      <w:r w:rsidR="006251FD" w:rsidRPr="006251FD">
        <w:rPr>
          <w:i/>
          <w:iCs/>
        </w:rPr>
        <w:t>Minister</w:t>
      </w:r>
      <w:proofErr w:type="spellEnd"/>
      <w:r w:rsidR="006251FD" w:rsidRPr="006251FD">
        <w:rPr>
          <w:i/>
          <w:iCs/>
        </w:rPr>
        <w:t xml:space="preserve"> </w:t>
      </w:r>
      <w:proofErr w:type="spellStart"/>
      <w:r w:rsidR="006251FD" w:rsidRPr="006251FD">
        <w:rPr>
          <w:i/>
          <w:iCs/>
        </w:rPr>
        <w:t>van</w:t>
      </w:r>
      <w:proofErr w:type="spellEnd"/>
      <w:r w:rsidR="006251FD" w:rsidRPr="006251FD">
        <w:rPr>
          <w:i/>
          <w:iCs/>
        </w:rPr>
        <w:t xml:space="preserve"> </w:t>
      </w:r>
      <w:proofErr w:type="spellStart"/>
      <w:r w:rsidR="006251FD" w:rsidRPr="006251FD">
        <w:rPr>
          <w:i/>
          <w:iCs/>
        </w:rPr>
        <w:t>Financiën</w:t>
      </w:r>
      <w:proofErr w:type="spellEnd"/>
      <w:r w:rsidR="006251FD">
        <w:rPr>
          <w:i/>
          <w:iCs/>
        </w:rPr>
        <w:t>,</w:t>
      </w:r>
      <w:r w:rsidR="006251FD" w:rsidRPr="006251FD">
        <w:t xml:space="preserve"> </w:t>
      </w:r>
      <w:r w:rsidR="006251FD" w:rsidRPr="00677B3D">
        <w:rPr>
          <w:i/>
          <w:iCs/>
        </w:rPr>
        <w:t>C-268/83</w:t>
      </w:r>
      <w:r w:rsidR="006251FD">
        <w:rPr>
          <w:i/>
          <w:iCs/>
        </w:rPr>
        <w:t>,</w:t>
      </w:r>
      <w:r w:rsidR="006251FD" w:rsidRPr="00677B3D">
        <w:rPr>
          <w:i/>
          <w:iCs/>
        </w:rPr>
        <w:t xml:space="preserve"> </w:t>
      </w:r>
      <w:r w:rsidR="006251FD" w:rsidRPr="006251FD">
        <w:rPr>
          <w:i/>
          <w:iCs/>
        </w:rPr>
        <w:t>ECLI:EU:C:1985:74</w:t>
      </w:r>
      <w:r w:rsidR="000649D4" w:rsidRPr="00677B3D">
        <w:rPr>
          <w:i/>
          <w:iCs/>
        </w:rPr>
        <w:t xml:space="preserve"> 22.punkt</w:t>
      </w:r>
      <w:r w:rsidR="00191A48">
        <w:rPr>
          <w:i/>
          <w:iCs/>
        </w:rPr>
        <w:t>s</w:t>
      </w:r>
      <w:r w:rsidR="000649D4" w:rsidRPr="00677B3D">
        <w:rPr>
          <w:i/>
          <w:iCs/>
        </w:rPr>
        <w:t xml:space="preserve">, 2005.gada 3.marta </w:t>
      </w:r>
      <w:r w:rsidR="006251FD">
        <w:rPr>
          <w:i/>
          <w:iCs/>
        </w:rPr>
        <w:t xml:space="preserve">sprieduma lietā I/S </w:t>
      </w:r>
      <w:proofErr w:type="spellStart"/>
      <w:r w:rsidR="006251FD">
        <w:rPr>
          <w:i/>
          <w:iCs/>
        </w:rPr>
        <w:t>Fini</w:t>
      </w:r>
      <w:proofErr w:type="spellEnd"/>
      <w:r w:rsidR="006251FD">
        <w:rPr>
          <w:i/>
          <w:iCs/>
        </w:rPr>
        <w:t xml:space="preserve"> H v</w:t>
      </w:r>
      <w:r w:rsidR="006251FD" w:rsidRPr="006251FD">
        <w:rPr>
          <w:i/>
          <w:iCs/>
        </w:rPr>
        <w:t xml:space="preserve"> </w:t>
      </w:r>
      <w:proofErr w:type="spellStart"/>
      <w:r w:rsidR="006251FD" w:rsidRPr="006251FD">
        <w:rPr>
          <w:i/>
          <w:iCs/>
        </w:rPr>
        <w:t>Skatteministeriet</w:t>
      </w:r>
      <w:proofErr w:type="spellEnd"/>
      <w:r w:rsidR="006251FD" w:rsidRPr="006251FD">
        <w:rPr>
          <w:i/>
          <w:iCs/>
        </w:rPr>
        <w:t>, C-32/03, ECLI:EU:C:2005:128</w:t>
      </w:r>
      <w:r w:rsidR="00191A48">
        <w:rPr>
          <w:i/>
          <w:iCs/>
        </w:rPr>
        <w:t xml:space="preserve"> 20., 21.punkts</w:t>
      </w:r>
      <w:r w:rsidR="000649D4" w:rsidRPr="00677B3D">
        <w:t>).</w:t>
      </w:r>
      <w:r w:rsidR="000649D4" w:rsidRPr="00677B3D">
        <w:rPr>
          <w:color w:val="000000"/>
        </w:rPr>
        <w:t xml:space="preserve"> </w:t>
      </w:r>
    </w:p>
    <w:p w14:paraId="5543645D" w14:textId="77777777" w:rsidR="00CC7EB3" w:rsidRPr="00677B3D" w:rsidRDefault="000649D4" w:rsidP="00DF25C1">
      <w:pPr>
        <w:spacing w:line="276" w:lineRule="auto"/>
        <w:ind w:firstLine="567"/>
        <w:jc w:val="both"/>
        <w:rPr>
          <w:color w:val="000000"/>
        </w:rPr>
      </w:pPr>
      <w:r w:rsidRPr="00677B3D">
        <w:rPr>
          <w:color w:val="000000"/>
        </w:rPr>
        <w:t xml:space="preserve">Tādējādi ar pievienotās vērtības nodokli apliekamajiem darījumiem, kuru nodrošināšanai veikts darījums, par kuru nodokļu maksātājs vēlas atskaitīt priekšnodokli, nav jānotiek kādā stingri noteiktā laika posmā, bet tiesai, izvērtējot individuāli konkrēto gadījumu, ir jāpārbauda, vai ir konstatējama tieša un tūlītēja saikne ar pievienotās vērtības nodokli apliekamajiem darījumiem. </w:t>
      </w:r>
      <w:r w:rsidR="00DF25C1" w:rsidRPr="00677B3D">
        <w:rPr>
          <w:color w:val="000000"/>
        </w:rPr>
        <w:t>Vispārīgi par šādu saikni liecina tas, ka pakalpojuma</w:t>
      </w:r>
      <w:r w:rsidR="00DF25C1" w:rsidRPr="00677B3D">
        <w:t xml:space="preserve"> iegādes izdevumi veido daļu no cenas nodokļu maksātāja saimnieciskās darbības darījumos, kas pamato tiesības veikt atskaitījumu (</w:t>
      </w:r>
      <w:r w:rsidR="00DF25C1" w:rsidRPr="00677B3D">
        <w:rPr>
          <w:i/>
        </w:rPr>
        <w:t>Augstākās tiesas 2011.gada 21.marta sprieduma lietā Nr. SKA-9/2011</w:t>
      </w:r>
      <w:r w:rsidR="00A60620">
        <w:rPr>
          <w:i/>
        </w:rPr>
        <w:t xml:space="preserve"> (</w:t>
      </w:r>
      <w:r w:rsidR="00A60620" w:rsidRPr="00A60620">
        <w:rPr>
          <w:i/>
        </w:rPr>
        <w:t>A42451307</w:t>
      </w:r>
      <w:r w:rsidR="00A60620">
        <w:rPr>
          <w:i/>
        </w:rPr>
        <w:t>)</w:t>
      </w:r>
      <w:r w:rsidR="00DF25C1" w:rsidRPr="00677B3D">
        <w:rPr>
          <w:i/>
        </w:rPr>
        <w:t xml:space="preserve"> 9.punkts</w:t>
      </w:r>
      <w:r w:rsidR="00DF25C1" w:rsidRPr="00677B3D">
        <w:t>).</w:t>
      </w:r>
      <w:r w:rsidR="00A80F82" w:rsidRPr="00677B3D">
        <w:rPr>
          <w:highlight w:val="yellow"/>
        </w:rPr>
        <w:t xml:space="preserve"> </w:t>
      </w:r>
    </w:p>
    <w:p w14:paraId="156E1EAD" w14:textId="77777777" w:rsidR="00A80F82" w:rsidRPr="00677B3D" w:rsidRDefault="00A80F82" w:rsidP="00A80F82">
      <w:pPr>
        <w:spacing w:line="276" w:lineRule="auto"/>
        <w:ind w:firstLine="540"/>
        <w:jc w:val="both"/>
      </w:pPr>
    </w:p>
    <w:p w14:paraId="3C9B92FD" w14:textId="77777777" w:rsidR="00E56652" w:rsidRPr="00677B3D" w:rsidRDefault="00D126C4" w:rsidP="005C0D99">
      <w:pPr>
        <w:spacing w:line="276" w:lineRule="auto"/>
        <w:ind w:firstLine="567"/>
        <w:jc w:val="both"/>
      </w:pPr>
      <w:r w:rsidRPr="00677B3D">
        <w:t>[</w:t>
      </w:r>
      <w:r w:rsidR="00EE7746">
        <w:t>23</w:t>
      </w:r>
      <w:r w:rsidR="00A80F82" w:rsidRPr="00677B3D">
        <w:t>] Izskatāmajā lietā</w:t>
      </w:r>
      <w:r w:rsidRPr="00677B3D">
        <w:t xml:space="preserve"> pārsūdzētais lēmums pamatots ar dienesta secinājumu, ka pieteicēja no Remonta servisiem saņemtos pakalpojumus nav izmantojusi saimnieciskās darbības </w:t>
      </w:r>
      <w:r w:rsidRPr="00677B3D">
        <w:lastRenderedPageBreak/>
        <w:t xml:space="preserve">nodrošināšanai. Proti, dienesta ieskatā, </w:t>
      </w:r>
      <w:r w:rsidR="00DB04E4" w:rsidRPr="00677B3D">
        <w:t xml:space="preserve">pieteicēja šos pakalpojumus ir izmantojusi, lai izpildītu savas saistības </w:t>
      </w:r>
      <w:r w:rsidR="00E16497" w:rsidRPr="00677B3D">
        <w:t xml:space="preserve">garantijas pakalpojumu nodrošināšanā </w:t>
      </w:r>
      <w:r w:rsidR="00DB04E4" w:rsidRPr="00677B3D">
        <w:t xml:space="preserve">pret </w:t>
      </w:r>
      <w:r w:rsidR="00E16497" w:rsidRPr="00677B3D">
        <w:t xml:space="preserve">Ražotāju un Nīderlandes Samsung, savukārt šīs attiecības vērtējamas kā izdevumu kompensācijas attiecības, kas nav apliekamas ar pievienotās vērtības nodokli. Tādējādi dienests uzskata, ka pieteicējas darījumi ar Remonta servisiem bija </w:t>
      </w:r>
      <w:r w:rsidR="00336A47" w:rsidRPr="00677B3D">
        <w:t>vērsti uz ar pievienotās vērtības nodokli neapliekam</w:t>
      </w:r>
      <w:r w:rsidR="00E16497" w:rsidRPr="00677B3D">
        <w:t>u darbību nodrošināšanu</w:t>
      </w:r>
      <w:r w:rsidR="00336A47" w:rsidRPr="00677B3D">
        <w:t>.</w:t>
      </w:r>
      <w:r w:rsidR="00E56652" w:rsidRPr="00677B3D">
        <w:t xml:space="preserve"> </w:t>
      </w:r>
    </w:p>
    <w:p w14:paraId="3762B9F8" w14:textId="77777777" w:rsidR="00A93FA6" w:rsidRPr="00677B3D" w:rsidRDefault="00A93FA6" w:rsidP="005C0D99">
      <w:pPr>
        <w:spacing w:line="276" w:lineRule="auto"/>
        <w:ind w:firstLine="567"/>
        <w:jc w:val="both"/>
      </w:pPr>
    </w:p>
    <w:p w14:paraId="61853290" w14:textId="77777777" w:rsidR="00EA5EA4" w:rsidRPr="00677B3D" w:rsidRDefault="00A93FA6" w:rsidP="005C0D99">
      <w:pPr>
        <w:spacing w:line="276" w:lineRule="auto"/>
        <w:ind w:firstLine="567"/>
        <w:jc w:val="both"/>
      </w:pPr>
      <w:r w:rsidRPr="00677B3D">
        <w:t>[</w:t>
      </w:r>
      <w:r w:rsidR="00EE7746">
        <w:t>24</w:t>
      </w:r>
      <w:r w:rsidRPr="00677B3D">
        <w:t>] Attiecībā uz tiem pieteicējas darījumiem ar Remonta servisiem, kuru ietvaros nodrošināti pieteicējas izplatīto preču garantijas remonti, ap</w:t>
      </w:r>
      <w:r w:rsidR="00E56652" w:rsidRPr="00677B3D">
        <w:t xml:space="preserve">gabaltiesa dienesta secinājumus atzinusi par kļūdainiem, norādot, ka ir konstatējama pieteicējas darījumu ar Remonta servisiem </w:t>
      </w:r>
      <w:r w:rsidR="00FE0D34" w:rsidRPr="00677B3D">
        <w:t xml:space="preserve">tieša </w:t>
      </w:r>
      <w:r w:rsidR="00E56652" w:rsidRPr="00677B3D">
        <w:t xml:space="preserve">saikne ar pieteicējas saimniecisko darbību – </w:t>
      </w:r>
      <w:r w:rsidR="00E56652" w:rsidRPr="00677B3D">
        <w:rPr>
          <w:i/>
        </w:rPr>
        <w:t>Samsung</w:t>
      </w:r>
      <w:r w:rsidR="00E56652" w:rsidRPr="00677B3D">
        <w:t xml:space="preserve"> zīmola preču izplatīšanu.</w:t>
      </w:r>
      <w:r w:rsidR="00FE0D34" w:rsidRPr="00677B3D">
        <w:t xml:space="preserve"> </w:t>
      </w:r>
    </w:p>
    <w:p w14:paraId="4DF1A57D" w14:textId="77777777" w:rsidR="00552E4B" w:rsidRPr="00677B3D" w:rsidRDefault="00FE0D34" w:rsidP="000C7A5B">
      <w:pPr>
        <w:spacing w:line="276" w:lineRule="auto"/>
        <w:ind w:firstLine="567"/>
        <w:jc w:val="both"/>
      </w:pPr>
      <w:r w:rsidRPr="00677B3D">
        <w:t xml:space="preserve">Augstākā tiesa šajā jautājumā piekrīt apgabaltiesai. Dienests kļūdaini strīdus darījumus saista tikai un vienīgi ar pieteicējas attiecībām ar </w:t>
      </w:r>
      <w:proofErr w:type="gramStart"/>
      <w:r w:rsidRPr="00677B3D">
        <w:t>Ražotāju,</w:t>
      </w:r>
      <w:proofErr w:type="gramEnd"/>
      <w:r w:rsidRPr="00677B3D">
        <w:t xml:space="preserve"> ignorējot pieteicējas </w:t>
      </w:r>
      <w:r w:rsidR="00AE68B2" w:rsidRPr="00677B3D">
        <w:t xml:space="preserve">saistības ar </w:t>
      </w:r>
      <w:r w:rsidRPr="00677B3D">
        <w:t>klient</w:t>
      </w:r>
      <w:r w:rsidR="00AE68B2" w:rsidRPr="00677B3D">
        <w:t>iem</w:t>
      </w:r>
      <w:r w:rsidRPr="00677B3D">
        <w:t xml:space="preserve"> (</w:t>
      </w:r>
      <w:r w:rsidR="00AE68B2" w:rsidRPr="00677B3D">
        <w:t xml:space="preserve">preču </w:t>
      </w:r>
      <w:r w:rsidRPr="00677B3D">
        <w:t>pircēj</w:t>
      </w:r>
      <w:r w:rsidR="00AE68B2" w:rsidRPr="00677B3D">
        <w:t>iem</w:t>
      </w:r>
      <w:r w:rsidRPr="00677B3D">
        <w:t>).</w:t>
      </w:r>
      <w:r w:rsidR="00EA5EA4" w:rsidRPr="00677B3D">
        <w:t xml:space="preserve"> </w:t>
      </w:r>
    </w:p>
    <w:p w14:paraId="4A668AD2" w14:textId="3CCBF9C2" w:rsidR="00552E4B" w:rsidRPr="00677B3D" w:rsidRDefault="00EA5EA4" w:rsidP="00552E4B">
      <w:pPr>
        <w:spacing w:line="276" w:lineRule="auto"/>
        <w:ind w:firstLine="567"/>
        <w:jc w:val="both"/>
      </w:pPr>
      <w:r w:rsidRPr="00677B3D">
        <w:t xml:space="preserve">Kā pareizi norādījusi apgabaltiesa, apstākļos, kad pieteicējas izplatīto preču ražotājs ir Korejas komersants, atbilstoši </w:t>
      </w:r>
      <w:r w:rsidR="00F83868" w:rsidRPr="00677B3D">
        <w:t xml:space="preserve">tolaik spēkā esošajam </w:t>
      </w:r>
      <w:r w:rsidRPr="00677B3D">
        <w:t xml:space="preserve">Patērētāju tiesību aizsardzības likuma </w:t>
      </w:r>
      <w:r w:rsidR="00F83868" w:rsidRPr="00677B3D">
        <w:t>regulējumam par ražotāja dotās garantijas nodrošināšanu pircēja priekšā atbildīgs ir preces pārdevējs vai ražotāja pilnvarotais pārstāvis</w:t>
      </w:r>
      <w:r w:rsidR="00596203" w:rsidRPr="00677B3D">
        <w:t xml:space="preserve"> (</w:t>
      </w:r>
      <w:proofErr w:type="gramStart"/>
      <w:r w:rsidR="00596203" w:rsidRPr="00677B3D">
        <w:t>16.panta</w:t>
      </w:r>
      <w:proofErr w:type="gramEnd"/>
      <w:r w:rsidR="00596203" w:rsidRPr="00677B3D">
        <w:t xml:space="preserve"> trešā daļa)</w:t>
      </w:r>
      <w:r w:rsidR="00F83868" w:rsidRPr="00677B3D">
        <w:t xml:space="preserve">. </w:t>
      </w:r>
      <w:r w:rsidR="00596203" w:rsidRPr="00677B3D">
        <w:t xml:space="preserve">Pārdevēja atbildību par preču defektu novēršanu paredz arī minētā likuma </w:t>
      </w:r>
      <w:proofErr w:type="gramStart"/>
      <w:r w:rsidR="00596203" w:rsidRPr="00677B3D">
        <w:t>28.panta</w:t>
      </w:r>
      <w:proofErr w:type="gramEnd"/>
      <w:r w:rsidR="00596203" w:rsidRPr="00677B3D">
        <w:t xml:space="preserve"> normas. </w:t>
      </w:r>
      <w:r w:rsidR="00F83868" w:rsidRPr="00677B3D">
        <w:t>Turklāt, kā apgabaltiesa secinājusi, pārbaudot lietā gūtos pierādījumus,</w:t>
      </w:r>
      <w:r w:rsidR="00184B66" w:rsidRPr="00677B3D">
        <w:t xml:space="preserve"> ir pamats uzskatīt, ka</w:t>
      </w:r>
      <w:r w:rsidR="00F83868" w:rsidRPr="00677B3D">
        <w:t xml:space="preserve"> atbildību par preču garantijas pakalpojumu nodrošināšanu pieteicēja pircēju priekšā uzņēmusies līgumos par preču pārdošanu. </w:t>
      </w:r>
      <w:r w:rsidR="00552E4B" w:rsidRPr="00677B3D">
        <w:t>Līdz ar to tas</w:t>
      </w:r>
      <w:r w:rsidR="005C0D99" w:rsidRPr="00677B3D">
        <w:t xml:space="preserve"> vien, ka garantijas talonos kā garantijas devējs tiek norādīts </w:t>
      </w:r>
      <w:r w:rsidR="00F83868" w:rsidRPr="00677B3D">
        <w:t>Ražotājs (kā to apgalvojis dienests)</w:t>
      </w:r>
      <w:r w:rsidR="005C0D99" w:rsidRPr="00677B3D">
        <w:t xml:space="preserve">, </w:t>
      </w:r>
      <w:r w:rsidR="00827447" w:rsidRPr="00677B3D">
        <w:t>nenozīmē, ka</w:t>
      </w:r>
      <w:r w:rsidR="005C0D99" w:rsidRPr="00677B3D">
        <w:t xml:space="preserve"> pieteicējai kā izplatītājam </w:t>
      </w:r>
      <w:r w:rsidR="00827447" w:rsidRPr="00677B3D">
        <w:t>klientu priekšā nav patstāvīg</w:t>
      </w:r>
      <w:r w:rsidR="00C96BCF">
        <w:t>a</w:t>
      </w:r>
      <w:r w:rsidR="005C0D99" w:rsidRPr="00677B3D">
        <w:t xml:space="preserve"> pienākum</w:t>
      </w:r>
      <w:r w:rsidR="00C96BCF">
        <w:t>a</w:t>
      </w:r>
      <w:r w:rsidR="005C0D99" w:rsidRPr="00677B3D">
        <w:t xml:space="preserve"> nodrošināt </w:t>
      </w:r>
      <w:r w:rsidR="00F83868" w:rsidRPr="00677B3D">
        <w:t xml:space="preserve">preču </w:t>
      </w:r>
      <w:r w:rsidR="005C0D99" w:rsidRPr="00677B3D">
        <w:t>garantij</w:t>
      </w:r>
      <w:r w:rsidR="00F83868" w:rsidRPr="00677B3D">
        <w:t>as pakalpojumus</w:t>
      </w:r>
      <w:r w:rsidR="005C0D99" w:rsidRPr="00677B3D">
        <w:t xml:space="preserve">. </w:t>
      </w:r>
    </w:p>
    <w:p w14:paraId="5AE86F08" w14:textId="77777777" w:rsidR="00552E4B" w:rsidRPr="00677B3D" w:rsidRDefault="000C7A5B" w:rsidP="005C0D99">
      <w:pPr>
        <w:spacing w:line="276" w:lineRule="auto"/>
        <w:ind w:firstLine="567"/>
        <w:jc w:val="both"/>
      </w:pPr>
      <w:r w:rsidRPr="00677B3D">
        <w:t>Turklāt</w:t>
      </w:r>
      <w:r w:rsidR="00184B66" w:rsidRPr="00677B3D">
        <w:t xml:space="preserve"> pieteicēja pamatoti norāda, ka lietā noskaidrotie fakti par cenu veidošanu ļauj secināt, ka pieteicēja prognozējamos izdevumus par preču garantijas pakalpojumu nodrošināšanu ņem vērā, nosakot cenu, par kādu prece tiek pārdota pieteicējas klientiem</w:t>
      </w:r>
      <w:r w:rsidRPr="00677B3D">
        <w:t xml:space="preserve">. </w:t>
      </w:r>
      <w:r w:rsidR="00184B66" w:rsidRPr="00677B3D">
        <w:t xml:space="preserve">Kā jau minēts, </w:t>
      </w:r>
      <w:r w:rsidR="00552E4B" w:rsidRPr="00677B3D">
        <w:t xml:space="preserve">nav izslēgts, ka darījums, par kuru tiek atskaitīts nodoklis, ir vērsts uz jau notikušu darījumu nodrošināšanu. Situācija, kad pārdevējs pārdod pircējiem preces, cenā ierēķinot arī iespējamos garantijas pakalpojumu izdevumus un uzņemoties nodrošināt preču garantijas remontu, ir uzskatāms piemērs, </w:t>
      </w:r>
      <w:proofErr w:type="gramStart"/>
      <w:r w:rsidR="00552E4B" w:rsidRPr="00677B3D">
        <w:t>kad vēlāk notikuši darījumi</w:t>
      </w:r>
      <w:proofErr w:type="gramEnd"/>
      <w:r w:rsidR="00552E4B" w:rsidRPr="00677B3D">
        <w:t xml:space="preserve"> (pārdevēja darījumi ar garantijas remonta nodrošinātājiem) ir vērsti uz preču pārdošanas darījumu nodrošināšanu. </w:t>
      </w:r>
    </w:p>
    <w:p w14:paraId="21F87075" w14:textId="30F59B80" w:rsidR="00F76AC1" w:rsidRPr="00677B3D" w:rsidRDefault="00552E4B" w:rsidP="005C0D99">
      <w:pPr>
        <w:spacing w:line="276" w:lineRule="auto"/>
        <w:ind w:firstLine="567"/>
        <w:jc w:val="both"/>
      </w:pPr>
      <w:r w:rsidRPr="00677B3D">
        <w:t xml:space="preserve">Ievērojot minēto, Augstākā tiesa atzīst, ka </w:t>
      </w:r>
      <w:r w:rsidR="005C0D99" w:rsidRPr="00677B3D">
        <w:t xml:space="preserve">garantijas </w:t>
      </w:r>
      <w:r w:rsidRPr="00677B3D">
        <w:t xml:space="preserve">remontu </w:t>
      </w:r>
      <w:r w:rsidR="005C0D99" w:rsidRPr="00677B3D">
        <w:t xml:space="preserve">nodrošināšana </w:t>
      </w:r>
      <w:r w:rsidRPr="00677B3D">
        <w:t xml:space="preserve">konkrētajā gadījumā bija </w:t>
      </w:r>
      <w:r w:rsidR="005C0D99" w:rsidRPr="00677B3D">
        <w:t>nesaraujami saistīta ar pieteicējas īstenoto preču izplatīšanu</w:t>
      </w:r>
      <w:r w:rsidRPr="00677B3D">
        <w:t xml:space="preserve"> un </w:t>
      </w:r>
      <w:r w:rsidR="005C0D99" w:rsidRPr="00677B3D">
        <w:t xml:space="preserve">tātad </w:t>
      </w:r>
      <w:r w:rsidRPr="00677B3D">
        <w:t xml:space="preserve">pieteicējas no Remonta servisiem saņemtie pakalpojumi bija </w:t>
      </w:r>
      <w:r w:rsidR="005C0D99" w:rsidRPr="00677B3D">
        <w:t xml:space="preserve">vērsti uz pieteicējas saimniecisko darbību – preču izplatīšanu. </w:t>
      </w:r>
      <w:r w:rsidR="00B5531D" w:rsidRPr="00677B3D">
        <w:t>Šādos apstākļos t</w:t>
      </w:r>
      <w:r w:rsidR="000C7A5B" w:rsidRPr="00677B3D">
        <w:t xml:space="preserve">as, ka pieteicējai </w:t>
      </w:r>
      <w:r w:rsidRPr="00677B3D">
        <w:t xml:space="preserve">atbilstoši Izplatīšanas līgumam </w:t>
      </w:r>
      <w:r w:rsidR="00DA5480" w:rsidRPr="00677B3D">
        <w:t xml:space="preserve">bija </w:t>
      </w:r>
      <w:r w:rsidR="000C7A5B" w:rsidRPr="00677B3D">
        <w:t xml:space="preserve">pienākums </w:t>
      </w:r>
      <w:r w:rsidRPr="00677B3D">
        <w:t xml:space="preserve">garantijas izdevumu segšanai </w:t>
      </w:r>
      <w:r w:rsidR="000C7A5B" w:rsidRPr="00677B3D">
        <w:t>veidot uzkrājumus un pieteicēja to dar</w:t>
      </w:r>
      <w:r w:rsidR="00DA5480" w:rsidRPr="00677B3D">
        <w:t>īja</w:t>
      </w:r>
      <w:r w:rsidR="000C7A5B" w:rsidRPr="00677B3D">
        <w:t xml:space="preserve">, </w:t>
      </w:r>
      <w:r w:rsidR="00DA5480" w:rsidRPr="00677B3D">
        <w:t xml:space="preserve">novirzot uzkrājumos daļu no klientiem saņemtās maksas atbilstoši </w:t>
      </w:r>
      <w:r w:rsidRPr="00677B3D">
        <w:t>R</w:t>
      </w:r>
      <w:r w:rsidR="000C7A5B" w:rsidRPr="00677B3D">
        <w:t>a</w:t>
      </w:r>
      <w:r w:rsidRPr="00677B3D">
        <w:t>žotāja</w:t>
      </w:r>
      <w:r w:rsidR="000C7A5B" w:rsidRPr="00677B3D">
        <w:t xml:space="preserve"> </w:t>
      </w:r>
      <w:r w:rsidR="00DA5480" w:rsidRPr="00677B3D">
        <w:t>noteiktajai garantijas izmaksu likmei</w:t>
      </w:r>
      <w:r w:rsidR="000C7A5B" w:rsidRPr="00677B3D">
        <w:t xml:space="preserve">, </w:t>
      </w:r>
      <w:r w:rsidRPr="00677B3D">
        <w:t xml:space="preserve">kā arī tas, ka </w:t>
      </w:r>
      <w:r w:rsidR="00DA5480" w:rsidRPr="00677B3D">
        <w:t xml:space="preserve">šī </w:t>
      </w:r>
      <w:r w:rsidR="000C7A5B" w:rsidRPr="00677B3D">
        <w:t>garantijas izmaksu likme tiek ņemta vērā transfert</w:t>
      </w:r>
      <w:r w:rsidR="002222C6">
        <w:t xml:space="preserve">a </w:t>
      </w:r>
      <w:r w:rsidR="000C7A5B" w:rsidRPr="00677B3D">
        <w:t xml:space="preserve">cenā un tad, ja pieteicējas veidotie uzkrājumi ir nepietiekami, </w:t>
      </w:r>
      <w:r w:rsidRPr="00677B3D">
        <w:t>Ražotājs</w:t>
      </w:r>
      <w:r w:rsidR="000C7A5B" w:rsidRPr="00677B3D">
        <w:t xml:space="preserve"> starpību kompensē, nav pietiekams iemesls, lai secinātu, ka garantijas pakalpojumu nodrošināšana nav vērsta uz pieteicējas attiecībām ar klientiem, bet tikai uz </w:t>
      </w:r>
      <w:r w:rsidR="0089702D" w:rsidRPr="00677B3D">
        <w:t xml:space="preserve">pieteicējas </w:t>
      </w:r>
      <w:r w:rsidR="000C7A5B" w:rsidRPr="00677B3D">
        <w:t xml:space="preserve">attiecībām ar </w:t>
      </w:r>
      <w:r w:rsidRPr="00677B3D">
        <w:t>Ražotāju</w:t>
      </w:r>
      <w:r w:rsidR="000C7A5B" w:rsidRPr="00677B3D">
        <w:t>.</w:t>
      </w:r>
      <w:r w:rsidR="00DA5480" w:rsidRPr="00677B3D">
        <w:t xml:space="preserve"> </w:t>
      </w:r>
      <w:r w:rsidR="00F76AC1" w:rsidRPr="00677B3D">
        <w:t xml:space="preserve">Tādējādi </w:t>
      </w:r>
      <w:r w:rsidR="00DA5480" w:rsidRPr="00677B3D">
        <w:t xml:space="preserve">pieteicējas tiesību atskaitīt priekšnodokli par darījumiem ar Remonta servisiem konstatēšanai </w:t>
      </w:r>
      <w:r w:rsidR="00F76AC1" w:rsidRPr="00677B3D">
        <w:t xml:space="preserve">nav nozīmes, vai ar pievienotās vērtības nodokli apliekams pieteicējas darījums </w:t>
      </w:r>
      <w:r w:rsidR="00DA5480" w:rsidRPr="00677B3D">
        <w:t xml:space="preserve">ar Ražotāju par garantijas izdevumu pārsnieguma kompensēšanu. </w:t>
      </w:r>
      <w:r w:rsidR="00D07D1A" w:rsidRPr="00677B3D">
        <w:t xml:space="preserve">Proti, nav izšķiroši, vai dienests pieteicējas attiecības ar Ražotāju šajā ziņā pamatoti vērtē kā izdevumu kompensāciju. </w:t>
      </w:r>
      <w:r w:rsidR="00DA5480" w:rsidRPr="00677B3D">
        <w:t>J</w:t>
      </w:r>
      <w:r w:rsidR="000C7A5B" w:rsidRPr="00677B3D">
        <w:t xml:space="preserve">ebkurā gadījumā ir atzīstams, </w:t>
      </w:r>
      <w:r w:rsidR="000C7A5B" w:rsidRPr="00677B3D">
        <w:lastRenderedPageBreak/>
        <w:t>ka</w:t>
      </w:r>
      <w:r w:rsidR="001706EF" w:rsidRPr="00677B3D">
        <w:t xml:space="preserve"> attiecīgie</w:t>
      </w:r>
      <w:r w:rsidR="000C7A5B" w:rsidRPr="00677B3D">
        <w:t xml:space="preserve"> pieteicējas darījumi </w:t>
      </w:r>
      <w:r w:rsidR="00DA5480" w:rsidRPr="00677B3D">
        <w:t xml:space="preserve">ar Remonta servisiem bija vērsti </w:t>
      </w:r>
      <w:r w:rsidR="00D07D1A" w:rsidRPr="00677B3D">
        <w:t xml:space="preserve">arī </w:t>
      </w:r>
      <w:r w:rsidR="000C7A5B" w:rsidRPr="00677B3D">
        <w:t xml:space="preserve">uz </w:t>
      </w:r>
      <w:r w:rsidR="00DA5480" w:rsidRPr="00677B3D">
        <w:t xml:space="preserve">pieteicējas </w:t>
      </w:r>
      <w:r w:rsidR="000C7A5B" w:rsidRPr="00677B3D">
        <w:t>izplatīšanas darījumu nodrošināšanu.</w:t>
      </w:r>
    </w:p>
    <w:p w14:paraId="52FEF738" w14:textId="77777777" w:rsidR="00EA01A6" w:rsidRPr="00677B3D" w:rsidRDefault="00EA01A6" w:rsidP="005C0D99">
      <w:pPr>
        <w:spacing w:line="276" w:lineRule="auto"/>
        <w:ind w:firstLine="567"/>
        <w:jc w:val="both"/>
      </w:pPr>
    </w:p>
    <w:p w14:paraId="1A5EFA76" w14:textId="6762D47E" w:rsidR="004602BE" w:rsidRPr="00677B3D" w:rsidRDefault="00A93FA6" w:rsidP="004602BE">
      <w:pPr>
        <w:spacing w:line="276" w:lineRule="auto"/>
        <w:ind w:firstLine="567"/>
        <w:jc w:val="both"/>
        <w:rPr>
          <w:rFonts w:eastAsiaTheme="minorHAnsi"/>
          <w:lang w:eastAsia="en-US"/>
        </w:rPr>
      </w:pPr>
      <w:r w:rsidRPr="00677B3D">
        <w:t>[</w:t>
      </w:r>
      <w:r w:rsidR="00EE7746">
        <w:t>25</w:t>
      </w:r>
      <w:r w:rsidRPr="00677B3D">
        <w:t xml:space="preserve">] Apgabaltiesa atzinusi, ka arī tie pieteicējas darījumi ar Remonta servisiem, kuru ietvaros nodrošināti Nīderlandes Samsung 2005., 2006. un </w:t>
      </w:r>
      <w:proofErr w:type="gramStart"/>
      <w:r w:rsidRPr="00677B3D">
        <w:t>2007.gadā</w:t>
      </w:r>
      <w:proofErr w:type="gramEnd"/>
      <w:r w:rsidRPr="00677B3D">
        <w:t xml:space="preserve"> Baltijas tirgos izplatīto preču remonti, ir </w:t>
      </w:r>
      <w:r w:rsidR="004602BE" w:rsidRPr="00677B3D">
        <w:t>saistīti ar pieteicējas</w:t>
      </w:r>
      <w:r w:rsidRPr="00677B3D">
        <w:t xml:space="preserve"> saimniecisko darbību – </w:t>
      </w:r>
      <w:r w:rsidRPr="00677B3D">
        <w:rPr>
          <w:i/>
        </w:rPr>
        <w:t>Samsung</w:t>
      </w:r>
      <w:r w:rsidRPr="00677B3D">
        <w:t xml:space="preserve"> zīmola preču izplatīšanu.</w:t>
      </w:r>
      <w:r w:rsidR="004602BE" w:rsidRPr="00677B3D">
        <w:t xml:space="preserve"> Šādu secinājumu apgabaltiesa pamatojusi ar to, ka </w:t>
      </w:r>
      <w:r w:rsidR="004602BE" w:rsidRPr="00677B3D">
        <w:rPr>
          <w:rFonts w:eastAsiaTheme="minorHAnsi"/>
          <w:lang w:eastAsia="en-US"/>
        </w:rPr>
        <w:t>garantijas nodrošināšana 2005.</w:t>
      </w:r>
      <w:r w:rsidR="0040738B" w:rsidRPr="0040738B">
        <w:t xml:space="preserve"> </w:t>
      </w:r>
      <w:r w:rsidR="0040738B" w:rsidRPr="00677B3D">
        <w:t>–</w:t>
      </w:r>
      <w:r w:rsidR="004602BE" w:rsidRPr="00677B3D">
        <w:rPr>
          <w:rFonts w:eastAsiaTheme="minorHAnsi"/>
          <w:lang w:eastAsia="en-US"/>
        </w:rPr>
        <w:t>2007.gadā pārdotajām precēm</w:t>
      </w:r>
      <w:r w:rsidR="003109A1" w:rsidRPr="00677B3D">
        <w:rPr>
          <w:rFonts w:eastAsiaTheme="minorHAnsi"/>
          <w:lang w:eastAsia="en-US"/>
        </w:rPr>
        <w:t xml:space="preserve">, kaut arī attiecīgās preces neizplatīja pieteicēja un tās tika izplatītas pirms pieteicējas darbības uzsākšanas, </w:t>
      </w:r>
      <w:r w:rsidR="004602BE" w:rsidRPr="00677B3D">
        <w:rPr>
          <w:rFonts w:eastAsiaTheme="minorHAnsi"/>
          <w:lang w:eastAsia="en-US"/>
        </w:rPr>
        <w:t>ir nozīmīga un ietekmē arī pieteicējas turpmāko saimniecisko darbību, jo gadījumā, ja šīm precēm netiktu nodrošināt</w:t>
      </w:r>
      <w:r w:rsidR="003109A1" w:rsidRPr="00677B3D">
        <w:rPr>
          <w:rFonts w:eastAsiaTheme="minorHAnsi"/>
          <w:lang w:eastAsia="en-US"/>
        </w:rPr>
        <w:t>i pienācīgi garantijas pakalpojumi</w:t>
      </w:r>
      <w:r w:rsidR="004602BE" w:rsidRPr="00677B3D">
        <w:rPr>
          <w:rFonts w:eastAsiaTheme="minorHAnsi"/>
          <w:lang w:eastAsia="en-US"/>
        </w:rPr>
        <w:t xml:space="preserve">, to pircēji nākotnē vairs neizvēlētos </w:t>
      </w:r>
      <w:r w:rsidR="004602BE" w:rsidRPr="00677B3D">
        <w:rPr>
          <w:rFonts w:eastAsiaTheme="minorHAnsi"/>
          <w:i/>
          <w:lang w:eastAsia="en-US"/>
        </w:rPr>
        <w:t>Samsung</w:t>
      </w:r>
      <w:r w:rsidR="004602BE" w:rsidRPr="00677B3D">
        <w:rPr>
          <w:rFonts w:eastAsiaTheme="minorHAnsi"/>
          <w:lang w:eastAsia="en-US"/>
        </w:rPr>
        <w:t xml:space="preserve"> zīmola produktus.</w:t>
      </w:r>
    </w:p>
    <w:p w14:paraId="48BB2F8C" w14:textId="77777777" w:rsidR="006C4585" w:rsidRPr="00677B3D" w:rsidRDefault="004602BE" w:rsidP="00615F69">
      <w:pPr>
        <w:spacing w:line="276" w:lineRule="auto"/>
        <w:ind w:firstLine="567"/>
        <w:jc w:val="both"/>
        <w:rPr>
          <w:rFonts w:eastAsiaTheme="minorHAnsi"/>
          <w:lang w:eastAsia="en-US"/>
        </w:rPr>
      </w:pPr>
      <w:r w:rsidRPr="00677B3D">
        <w:rPr>
          <w:rFonts w:eastAsiaTheme="minorHAnsi"/>
          <w:lang w:eastAsia="en-US"/>
        </w:rPr>
        <w:t xml:space="preserve">Augstākā tiesa par pareizu atzīst apgabaltiesas secinājumu, ka arī šie pieteicējas darījumi ar Remonta servisiem ir vērsti uz pieteicējas saimnieciskās darbības nodrošināšanu. Tomēr, </w:t>
      </w:r>
      <w:proofErr w:type="gramStart"/>
      <w:r w:rsidRPr="00677B3D">
        <w:rPr>
          <w:rFonts w:eastAsiaTheme="minorHAnsi"/>
          <w:lang w:eastAsia="en-US"/>
        </w:rPr>
        <w:t>Augstākās tiesas ieskatā,</w:t>
      </w:r>
      <w:proofErr w:type="gramEnd"/>
      <w:r w:rsidRPr="00677B3D">
        <w:rPr>
          <w:rFonts w:eastAsiaTheme="minorHAnsi"/>
          <w:lang w:eastAsia="en-US"/>
        </w:rPr>
        <w:t xml:space="preserve"> saikne ar pieteicējas saimniecisko darbību </w:t>
      </w:r>
      <w:r w:rsidR="00454D34" w:rsidRPr="00677B3D">
        <w:rPr>
          <w:rFonts w:eastAsiaTheme="minorHAnsi"/>
          <w:lang w:eastAsia="en-US"/>
        </w:rPr>
        <w:t xml:space="preserve">primāri </w:t>
      </w:r>
      <w:r w:rsidRPr="00677B3D">
        <w:rPr>
          <w:rFonts w:eastAsiaTheme="minorHAnsi"/>
          <w:lang w:eastAsia="en-US"/>
        </w:rPr>
        <w:t xml:space="preserve">saskatāma nevis tāpēc, ka šie darījumi būtu vērsti uz pieteicējas saimniecisko darbību – preču izplatīšanu, bet gan tāpēc, ka šie darījumi ir vērsti uz pieteicējas saimniecisko darbību – pakalpojuma sniegšanu Nīderlandes Samsung. Apgabaltiesas norādītā sasaiste ar pieteicējas pašas darījumiem preču izplatīšanā, Augstākās tiesas ieskatā, </w:t>
      </w:r>
      <w:r w:rsidR="00454D34" w:rsidRPr="00677B3D">
        <w:rPr>
          <w:rFonts w:eastAsiaTheme="minorHAnsi"/>
          <w:lang w:eastAsia="en-US"/>
        </w:rPr>
        <w:t>ir netieša, nevis tieša un tūlītēja.</w:t>
      </w:r>
      <w:r w:rsidR="003109A1" w:rsidRPr="00677B3D">
        <w:rPr>
          <w:rFonts w:eastAsiaTheme="minorHAnsi"/>
          <w:lang w:eastAsia="en-US"/>
        </w:rPr>
        <w:t xml:space="preserve"> </w:t>
      </w:r>
    </w:p>
    <w:p w14:paraId="501BEDEB" w14:textId="77777777" w:rsidR="00B56442" w:rsidRPr="00677B3D" w:rsidRDefault="00C31CA8" w:rsidP="000A7340">
      <w:pPr>
        <w:spacing w:line="276" w:lineRule="auto"/>
        <w:ind w:firstLine="567"/>
        <w:jc w:val="both"/>
      </w:pPr>
      <w:r w:rsidRPr="00677B3D">
        <w:rPr>
          <w:rFonts w:eastAsiaTheme="minorHAnsi"/>
          <w:lang w:eastAsia="en-US"/>
        </w:rPr>
        <w:t xml:space="preserve">Neskatoties uz to, Augstākā tiesa secina, ka minētā apgabaltiesas kļūda nav novedusi pie nepareiza rezultāta. Apgabaltiesa pati spriedumā ir norādījusi, ka </w:t>
      </w:r>
      <w:r w:rsidR="006C4585" w:rsidRPr="00677B3D">
        <w:rPr>
          <w:rFonts w:eastAsiaTheme="minorHAnsi"/>
          <w:lang w:eastAsia="en-US"/>
        </w:rPr>
        <w:t xml:space="preserve">pieteicēja atbilstoši </w:t>
      </w:r>
      <w:r w:rsidR="000F4DC2" w:rsidRPr="00677B3D">
        <w:t>G</w:t>
      </w:r>
      <w:r w:rsidR="00615F69" w:rsidRPr="00677B3D">
        <w:t>arantijas saistību pārņemšanas līgum</w:t>
      </w:r>
      <w:r w:rsidR="006C4585" w:rsidRPr="00677B3D">
        <w:t xml:space="preserve">am </w:t>
      </w:r>
      <w:r w:rsidR="000F4DC2" w:rsidRPr="00677B3D">
        <w:t xml:space="preserve">sniedza </w:t>
      </w:r>
      <w:r w:rsidR="006C4585" w:rsidRPr="00677B3D">
        <w:t>Nīderlandes Samsung pakalpojumu</w:t>
      </w:r>
      <w:r w:rsidR="00C0565B" w:rsidRPr="00677B3D">
        <w:t>, savukārt pieteicējas darījumi ar Remonta servisiem tika izmantoti, lai šo pakalpojumu nodrošinātu</w:t>
      </w:r>
      <w:r w:rsidR="00725371" w:rsidRPr="00677B3D">
        <w:t xml:space="preserve"> (</w:t>
      </w:r>
      <w:r w:rsidR="00725371" w:rsidRPr="00677B3D">
        <w:rPr>
          <w:i/>
        </w:rPr>
        <w:t xml:space="preserve">apgabaltiesas sprieduma </w:t>
      </w:r>
      <w:r w:rsidR="00C0565B" w:rsidRPr="00677B3D">
        <w:rPr>
          <w:i/>
        </w:rPr>
        <w:t xml:space="preserve">12.2.punkta pirmā rindkopa un </w:t>
      </w:r>
      <w:proofErr w:type="gramStart"/>
      <w:r w:rsidR="00725371" w:rsidRPr="00677B3D">
        <w:rPr>
          <w:i/>
        </w:rPr>
        <w:t>15.lapas</w:t>
      </w:r>
      <w:proofErr w:type="gramEnd"/>
      <w:r w:rsidR="00725371" w:rsidRPr="00677B3D">
        <w:rPr>
          <w:i/>
        </w:rPr>
        <w:t xml:space="preserve"> pirmā rindkopa</w:t>
      </w:r>
      <w:r w:rsidR="00725371" w:rsidRPr="00677B3D">
        <w:t>)</w:t>
      </w:r>
      <w:r w:rsidR="006C4585" w:rsidRPr="00677B3D">
        <w:t xml:space="preserve">. Augstākā tiesa </w:t>
      </w:r>
      <w:r w:rsidR="00C0565B" w:rsidRPr="00677B3D">
        <w:t>piekrīt apgabaltiesai</w:t>
      </w:r>
      <w:r w:rsidR="006C4585" w:rsidRPr="00677B3D">
        <w:t>, ka minētais darījums</w:t>
      </w:r>
      <w:r w:rsidR="00725371" w:rsidRPr="00677B3D">
        <w:t>, ar kuru par līgumā nolīgto samaksu pieteicēja apņēmās Nīderlandes Samsung vietā nodrošināt garantijas pakalpojumus tām precēm, kuras Nīderlandes Samsung bija pārdevis Baltijas valstu tirgos pirms pieteicējas,</w:t>
      </w:r>
      <w:r w:rsidR="006C4585" w:rsidRPr="00677B3D">
        <w:t xml:space="preserve"> ir vērtējams kā pakalpojuma sniegšana</w:t>
      </w:r>
      <w:r w:rsidR="00725371" w:rsidRPr="00677B3D">
        <w:t xml:space="preserve">. </w:t>
      </w:r>
      <w:r w:rsidR="00C0565B" w:rsidRPr="00677B3D">
        <w:t>Savukārt a</w:t>
      </w:r>
      <w:r w:rsidR="006C4585" w:rsidRPr="00677B3D">
        <w:t xml:space="preserve">tbilstoši tolaik spēkā esošā likuma </w:t>
      </w:r>
      <w:r w:rsidR="006C4585" w:rsidRPr="00677B3D">
        <w:rPr>
          <w:rFonts w:eastAsiaTheme="minorHAnsi"/>
          <w:lang w:eastAsia="en-US"/>
        </w:rPr>
        <w:t>„</w:t>
      </w:r>
      <w:r w:rsidR="006C4585" w:rsidRPr="00677B3D">
        <w:rPr>
          <w:lang w:eastAsia="lv-LV"/>
        </w:rPr>
        <w:t xml:space="preserve">Par pievienotās vērtības nodokli” </w:t>
      </w:r>
      <w:proofErr w:type="gramStart"/>
      <w:r w:rsidR="006C4585" w:rsidRPr="00677B3D">
        <w:rPr>
          <w:lang w:eastAsia="lv-LV"/>
        </w:rPr>
        <w:t>2.panta</w:t>
      </w:r>
      <w:proofErr w:type="gramEnd"/>
      <w:r w:rsidR="006C4585" w:rsidRPr="00677B3D">
        <w:rPr>
          <w:lang w:eastAsia="lv-LV"/>
        </w:rPr>
        <w:t xml:space="preserve"> otrās daļas 2.punktam </w:t>
      </w:r>
      <w:r w:rsidR="00725371" w:rsidRPr="00677B3D">
        <w:rPr>
          <w:lang w:eastAsia="lv-LV"/>
        </w:rPr>
        <w:t>pakalpojuma sniegšana par atlīdzību bija</w:t>
      </w:r>
      <w:r w:rsidR="006C4585" w:rsidRPr="00677B3D">
        <w:rPr>
          <w:lang w:eastAsia="lv-LV"/>
        </w:rPr>
        <w:t xml:space="preserve"> ar pievienotās vērtības nodokli apliekams darījums.</w:t>
      </w:r>
      <w:r w:rsidR="006C4585" w:rsidRPr="00677B3D">
        <w:t xml:space="preserve"> </w:t>
      </w:r>
    </w:p>
    <w:p w14:paraId="5A8324F7" w14:textId="77777777" w:rsidR="007B0186" w:rsidRPr="00677B3D" w:rsidRDefault="00FE3506" w:rsidP="006E2ADD">
      <w:pPr>
        <w:spacing w:line="276" w:lineRule="auto"/>
        <w:ind w:firstLine="567"/>
        <w:jc w:val="both"/>
        <w:rPr>
          <w:rFonts w:eastAsiaTheme="minorHAnsi"/>
          <w:lang w:eastAsia="en-US"/>
        </w:rPr>
      </w:pPr>
      <w:r w:rsidRPr="00677B3D">
        <w:rPr>
          <w:rFonts w:eastAsiaTheme="minorHAnsi"/>
          <w:lang w:eastAsia="en-US"/>
        </w:rPr>
        <w:t>Noteikumu Nr.</w:t>
      </w:r>
      <w:r w:rsidR="000F6FCC">
        <w:rPr>
          <w:rFonts w:eastAsiaTheme="minorHAnsi"/>
          <w:lang w:eastAsia="en-US"/>
        </w:rPr>
        <w:t> </w:t>
      </w:r>
      <w:r w:rsidRPr="00677B3D">
        <w:rPr>
          <w:rFonts w:eastAsiaTheme="minorHAnsi"/>
          <w:lang w:eastAsia="en-US"/>
        </w:rPr>
        <w:t>933 2.1.apakšpunkts, uz kuru atsaucies dienests, noteic, ka likuma „</w:t>
      </w:r>
      <w:r w:rsidRPr="00677B3D">
        <w:rPr>
          <w:lang w:eastAsia="lv-LV"/>
        </w:rPr>
        <w:t xml:space="preserve">Par pievienotās vērtības nodokli” </w:t>
      </w:r>
      <w:r w:rsidRPr="00677B3D">
        <w:rPr>
          <w:rFonts w:eastAsiaTheme="minorHAnsi"/>
          <w:lang w:eastAsia="en-US"/>
        </w:rPr>
        <w:t xml:space="preserve">normas nepiemēro izdevumu kompensāciju maksai, kas nav atlīdzība par preču piegādi vai pakalpojumu sniegšanu. No minētās tiesību normas izriet, ka par izdevumu kompensācijas maksu var atzīt tādu maksājumu, kas tiek samaksāts, lai segtu faktiskās izmaksas, kādas konkrētai personai radušās, maksātāja uzdevumā veicot kādas konkrētas darbības </w:t>
      </w:r>
      <w:proofErr w:type="gramStart"/>
      <w:r w:rsidRPr="00677B3D">
        <w:rPr>
          <w:rFonts w:eastAsiaTheme="minorHAnsi"/>
          <w:lang w:eastAsia="en-US"/>
        </w:rPr>
        <w:t>(</w:t>
      </w:r>
      <w:proofErr w:type="gramEnd"/>
      <w:r w:rsidRPr="00677B3D">
        <w:rPr>
          <w:rFonts w:eastAsiaTheme="minorHAnsi"/>
          <w:lang w:eastAsia="en-US"/>
        </w:rPr>
        <w:t xml:space="preserve">piemēram, klients advokātam kompensē advokāta samaksāto valsts nodevu par klienta vārdā iesniegtu prasības pieteikumu tiesā, darba devējs darbiniekam kompensē izdevumus par komandējumu, kurā darba devējs darbinieku nosūtījis u.tml.). </w:t>
      </w:r>
    </w:p>
    <w:p w14:paraId="742DF457" w14:textId="77777777" w:rsidR="007B0186" w:rsidRPr="00677B3D" w:rsidRDefault="00FE3506" w:rsidP="006E2ADD">
      <w:pPr>
        <w:spacing w:line="276" w:lineRule="auto"/>
        <w:ind w:firstLine="567"/>
        <w:jc w:val="both"/>
        <w:rPr>
          <w:rFonts w:eastAsiaTheme="minorHAnsi"/>
          <w:lang w:eastAsia="en-US"/>
        </w:rPr>
      </w:pPr>
      <w:r w:rsidRPr="00677B3D">
        <w:rPr>
          <w:rFonts w:eastAsiaTheme="minorHAnsi"/>
          <w:lang w:eastAsia="en-US"/>
        </w:rPr>
        <w:t xml:space="preserve">Izskatāmajā gadījumā dienests nav norādījis apstākļus, kas liecina, ka Nīderlandes Samsung pieteicējai avansā samaksātais maksājums </w:t>
      </w:r>
      <w:r w:rsidR="000A7340" w:rsidRPr="00677B3D">
        <w:rPr>
          <w:rFonts w:eastAsiaTheme="minorHAnsi"/>
          <w:lang w:eastAsia="en-US"/>
        </w:rPr>
        <w:t xml:space="preserve">atbilst </w:t>
      </w:r>
      <w:r w:rsidRPr="00677B3D">
        <w:rPr>
          <w:rFonts w:eastAsiaTheme="minorHAnsi"/>
          <w:lang w:eastAsia="en-US"/>
        </w:rPr>
        <w:t>izmaks</w:t>
      </w:r>
      <w:r w:rsidR="000A7340" w:rsidRPr="00677B3D">
        <w:rPr>
          <w:rFonts w:eastAsiaTheme="minorHAnsi"/>
          <w:lang w:eastAsia="en-US"/>
        </w:rPr>
        <w:t>ām</w:t>
      </w:r>
      <w:r w:rsidRPr="00677B3D">
        <w:rPr>
          <w:rFonts w:eastAsiaTheme="minorHAnsi"/>
          <w:lang w:eastAsia="en-US"/>
        </w:rPr>
        <w:t xml:space="preserve">, kādas pieteicējai faktiski radās, nodrošinot garantijas pakalpojumus Nīderlandes Samsung izplatīto preču garantijas remontus. Dienests pats audita pārskatā ir norādījis, ka </w:t>
      </w:r>
      <w:r w:rsidR="000F4DC2" w:rsidRPr="00677B3D">
        <w:rPr>
          <w:rFonts w:eastAsiaTheme="minorHAnsi"/>
          <w:lang w:eastAsia="en-US"/>
        </w:rPr>
        <w:t>G</w:t>
      </w:r>
      <w:r w:rsidRPr="00677B3D">
        <w:t>arantijas saistību pārņemšanas līgumā noteiktā maksa, par kuru pieteicēja apņēmās nodrošināt garantijas pakalpojumu sniegšanu, noteikta, balstoties uz pieņēmumu par to, kādas izmaksas pieteicējai varētu būt</w:t>
      </w:r>
      <w:r w:rsidR="00D422F1" w:rsidRPr="00677B3D">
        <w:t xml:space="preserve"> (proti, ņemot vērā plānotās izmaksas)</w:t>
      </w:r>
      <w:r w:rsidRPr="00677B3D">
        <w:t>. Līgums neparedz,</w:t>
      </w:r>
      <w:r w:rsidR="000A7340" w:rsidRPr="00677B3D">
        <w:t xml:space="preserve"> </w:t>
      </w:r>
      <w:r w:rsidRPr="00677B3D">
        <w:t>ka gadījumā,</w:t>
      </w:r>
      <w:r w:rsidR="000A7340" w:rsidRPr="00677B3D">
        <w:t xml:space="preserve"> </w:t>
      </w:r>
      <w:r w:rsidRPr="00677B3D">
        <w:t>ja</w:t>
      </w:r>
      <w:r w:rsidR="000A7340" w:rsidRPr="00677B3D">
        <w:t xml:space="preserve"> </w:t>
      </w:r>
      <w:r w:rsidRPr="00677B3D">
        <w:t xml:space="preserve">izmaksas tomēr būtu </w:t>
      </w:r>
      <w:proofErr w:type="gramStart"/>
      <w:r w:rsidRPr="00677B3D">
        <w:t>lielākas kā</w:t>
      </w:r>
      <w:proofErr w:type="gramEnd"/>
      <w:r w:rsidRPr="00677B3D">
        <w:t xml:space="preserve"> līgumā</w:t>
      </w:r>
      <w:r w:rsidR="000A7340" w:rsidRPr="00677B3D">
        <w:t xml:space="preserve"> </w:t>
      </w:r>
      <w:r w:rsidRPr="00677B3D">
        <w:t>paredzētā maksa, Nīderlandes Samsung</w:t>
      </w:r>
      <w:r w:rsidR="000A7340" w:rsidRPr="00677B3D">
        <w:t xml:space="preserve"> </w:t>
      </w:r>
      <w:r w:rsidRPr="00677B3D">
        <w:t>pieteicējai kompensēs starpību. Tas nozīmē, ka faktiski konkrētā darījuma ietvaros pieteicēja uzņēmās zināmu risku</w:t>
      </w:r>
      <w:r w:rsidR="000A7340" w:rsidRPr="00677B3D">
        <w:t xml:space="preserve">, jo pastāvēja gan </w:t>
      </w:r>
      <w:r w:rsidR="000A7340" w:rsidRPr="00677B3D">
        <w:lastRenderedPageBreak/>
        <w:t>iespējamība, ka faktiskie izdevumi nebūs tik lieli kā Nīderlandes Samsung samaksātā summa un līdz ar to pieteicēja gūs peļņu, gan iespējamība, ka izdevumi faktiski būs lielāki un tādējādi pieteicēja cietīs zaudējumus.</w:t>
      </w:r>
      <w:r w:rsidR="000A7340" w:rsidRPr="00677B3D">
        <w:rPr>
          <w:rFonts w:eastAsiaTheme="minorHAnsi"/>
          <w:lang w:eastAsia="en-US"/>
        </w:rPr>
        <w:t xml:space="preserve"> Tādējādi konkrētajā gadījumā Nīderlandes Samsung pieteicējai pārskaitītā maksa nebija faktisko izdevumu kompensācija</w:t>
      </w:r>
      <w:r w:rsidR="00D422F1" w:rsidRPr="00677B3D">
        <w:rPr>
          <w:rFonts w:eastAsiaTheme="minorHAnsi"/>
          <w:lang w:eastAsia="en-US"/>
        </w:rPr>
        <w:t xml:space="preserve">, bet gan maksa, </w:t>
      </w:r>
      <w:proofErr w:type="gramStart"/>
      <w:r w:rsidR="00D422F1" w:rsidRPr="00677B3D">
        <w:rPr>
          <w:rFonts w:eastAsiaTheme="minorHAnsi"/>
          <w:lang w:eastAsia="en-US"/>
        </w:rPr>
        <w:t>par kuru pieteicēja bija</w:t>
      </w:r>
      <w:proofErr w:type="gramEnd"/>
      <w:r w:rsidR="00D422F1" w:rsidRPr="00677B3D">
        <w:rPr>
          <w:rFonts w:eastAsiaTheme="minorHAnsi"/>
          <w:lang w:eastAsia="en-US"/>
        </w:rPr>
        <w:t xml:space="preserve"> gatava uzņemties risku un sniegt garantijas pakalpojumus. </w:t>
      </w:r>
    </w:p>
    <w:p w14:paraId="22039AEE" w14:textId="557EC2E9" w:rsidR="00C0565B" w:rsidRPr="00677B3D" w:rsidRDefault="00283A3D" w:rsidP="006E2ADD">
      <w:pPr>
        <w:spacing w:line="276" w:lineRule="auto"/>
        <w:ind w:firstLine="567"/>
        <w:jc w:val="both"/>
        <w:rPr>
          <w:rFonts w:eastAsiaTheme="minorHAnsi"/>
          <w:lang w:eastAsia="en-US"/>
        </w:rPr>
      </w:pPr>
      <w:r w:rsidRPr="00677B3D">
        <w:rPr>
          <w:rFonts w:eastAsiaTheme="minorHAnsi"/>
          <w:lang w:eastAsia="en-US"/>
        </w:rPr>
        <w:t xml:space="preserve">Līdz ar to </w:t>
      </w:r>
      <w:r w:rsidR="00C0565B" w:rsidRPr="00677B3D">
        <w:rPr>
          <w:rFonts w:eastAsiaTheme="minorHAnsi"/>
          <w:lang w:eastAsia="en-US"/>
        </w:rPr>
        <w:t xml:space="preserve">dienesta kasācijas sūdzībā norādītais, ka apgabaltiesai konkrētajā lietā vajadzēja atzīt, ka pieteicējas darījums ar Nīderlandes Samsung atbilstoši </w:t>
      </w:r>
      <w:r w:rsidR="003C154A">
        <w:rPr>
          <w:rFonts w:eastAsiaTheme="minorHAnsi"/>
          <w:lang w:eastAsia="en-US"/>
        </w:rPr>
        <w:t>n</w:t>
      </w:r>
      <w:r w:rsidR="00C0565B" w:rsidRPr="00677B3D">
        <w:rPr>
          <w:rFonts w:eastAsiaTheme="minorHAnsi"/>
          <w:lang w:eastAsia="en-US"/>
        </w:rPr>
        <w:t>oteikumu Nr.</w:t>
      </w:r>
      <w:r w:rsidR="00F66B9D">
        <w:rPr>
          <w:rFonts w:eastAsiaTheme="minorHAnsi"/>
          <w:lang w:eastAsia="en-US"/>
        </w:rPr>
        <w:t> </w:t>
      </w:r>
      <w:r w:rsidR="00C0565B" w:rsidRPr="00677B3D">
        <w:rPr>
          <w:rFonts w:eastAsiaTheme="minorHAnsi"/>
          <w:lang w:eastAsia="en-US"/>
        </w:rPr>
        <w:t>933 2.1.apakšpunktam vērtējams kā izdevumu kompensācija, nav pamatots.</w:t>
      </w:r>
      <w:r w:rsidRPr="00677B3D">
        <w:rPr>
          <w:rFonts w:eastAsiaTheme="minorHAnsi"/>
          <w:lang w:eastAsia="en-US"/>
        </w:rPr>
        <w:t xml:space="preserve"> Apgabaltiesas secinājums, ka pieteicējas darījumi ar Remonta servisiem, kas tika izmantoti, lai nodrošinātu pieteicējas saskaņā ar </w:t>
      </w:r>
      <w:r w:rsidR="000F4DC2" w:rsidRPr="00677B3D">
        <w:rPr>
          <w:rFonts w:eastAsiaTheme="minorHAnsi"/>
          <w:lang w:eastAsia="en-US"/>
        </w:rPr>
        <w:t>G</w:t>
      </w:r>
      <w:r w:rsidRPr="00677B3D">
        <w:t xml:space="preserve">arantijas saistību pārņemšanas līgumu uzņemtās saistības, ir izmantoti pieteicējas saimnieciskās darbības </w:t>
      </w:r>
      <w:r w:rsidR="0049654C" w:rsidRPr="00677B3D">
        <w:t xml:space="preserve">jeb ar pievienotās vērtības nodokli apliekamo darījumu </w:t>
      </w:r>
      <w:r w:rsidRPr="00677B3D">
        <w:t>nodrošināšanai, ir pareizs.</w:t>
      </w:r>
    </w:p>
    <w:p w14:paraId="7F5B5088" w14:textId="77777777" w:rsidR="003109A1" w:rsidRPr="00677B3D" w:rsidRDefault="00D422F1" w:rsidP="006E2ADD">
      <w:pPr>
        <w:spacing w:line="276" w:lineRule="auto"/>
        <w:ind w:firstLine="567"/>
        <w:jc w:val="both"/>
      </w:pPr>
      <w:r w:rsidRPr="00677B3D">
        <w:t xml:space="preserve"> </w:t>
      </w:r>
    </w:p>
    <w:p w14:paraId="6D2D7AD3" w14:textId="36EA4C62" w:rsidR="00BC2ABB" w:rsidRPr="00677B3D" w:rsidRDefault="003109A1" w:rsidP="007B0186">
      <w:pPr>
        <w:spacing w:line="276" w:lineRule="auto"/>
        <w:ind w:firstLine="567"/>
        <w:jc w:val="both"/>
        <w:rPr>
          <w:rFonts w:eastAsiaTheme="minorHAnsi"/>
          <w:lang w:eastAsia="en-US"/>
        </w:rPr>
      </w:pPr>
      <w:r w:rsidRPr="00677B3D">
        <w:t>[</w:t>
      </w:r>
      <w:r w:rsidR="00EE7746">
        <w:t>26</w:t>
      </w:r>
      <w:r w:rsidRPr="00677B3D">
        <w:t xml:space="preserve">] </w:t>
      </w:r>
      <w:r w:rsidR="007B0186" w:rsidRPr="00677B3D">
        <w:t xml:space="preserve">Apgabaltiesas spriedumā dienestam pārmests, ka </w:t>
      </w:r>
      <w:r w:rsidR="007B0186" w:rsidRPr="00677B3D">
        <w:rPr>
          <w:rFonts w:eastAsiaTheme="minorHAnsi"/>
          <w:lang w:eastAsia="en-US"/>
        </w:rPr>
        <w:t xml:space="preserve">pārsūdzētajā lēmumā nav pamatots, kāpēc pieteicējas un Remonta servisu darījumi par preču garantijas remontu pakalpojumu sniegšanu nebūtu atzīstami par apliekamiem darījumiem likuma „Par pievienotās vērtības nodokli” normu izpratnē. </w:t>
      </w:r>
      <w:r w:rsidR="00BC2ABB" w:rsidRPr="00677B3D">
        <w:rPr>
          <w:rFonts w:eastAsiaTheme="minorHAnsi"/>
          <w:lang w:eastAsia="en-US"/>
        </w:rPr>
        <w:t xml:space="preserve">Augstākā tiesa piekrīt dienesta kasācijas sūdzībā norādītajam, ka šis apgabaltiesas pārmetums ir nepamatots. </w:t>
      </w:r>
      <w:r w:rsidR="007B0186" w:rsidRPr="00677B3D">
        <w:rPr>
          <w:rFonts w:eastAsiaTheme="minorHAnsi"/>
          <w:lang w:eastAsia="en-US"/>
        </w:rPr>
        <w:t xml:space="preserve">Gan no audita pārskata, gan no pārsūdzētā lēmuma skaidri izriet, ka dienests </w:t>
      </w:r>
      <w:r w:rsidR="002222C6" w:rsidRPr="0040738B">
        <w:rPr>
          <w:rFonts w:eastAsiaTheme="minorHAnsi"/>
          <w:lang w:eastAsia="en-US"/>
        </w:rPr>
        <w:t>par darījumiem, kas nav apliekami ar</w:t>
      </w:r>
      <w:r w:rsidR="002222C6" w:rsidRPr="00677B3D">
        <w:rPr>
          <w:rFonts w:eastAsiaTheme="minorHAnsi"/>
          <w:lang w:eastAsia="en-US"/>
        </w:rPr>
        <w:t xml:space="preserve"> pievienotās vērtības nodokli</w:t>
      </w:r>
      <w:r w:rsidR="002222C6">
        <w:rPr>
          <w:rFonts w:eastAsiaTheme="minorHAnsi"/>
          <w:lang w:eastAsia="en-US"/>
        </w:rPr>
        <w:t>,</w:t>
      </w:r>
      <w:r w:rsidR="002222C6" w:rsidRPr="00677B3D">
        <w:rPr>
          <w:rFonts w:eastAsiaTheme="minorHAnsi"/>
          <w:lang w:eastAsia="en-US"/>
        </w:rPr>
        <w:t xml:space="preserve"> uzskata</w:t>
      </w:r>
      <w:r w:rsidR="007B0186" w:rsidRPr="00677B3D">
        <w:rPr>
          <w:rFonts w:eastAsiaTheme="minorHAnsi"/>
          <w:lang w:eastAsia="en-US"/>
        </w:rPr>
        <w:t xml:space="preserve"> nevis pieteicējas darījumus ar Remonta servisiem, bet gan pieteicējas darījumus ar Ražotāju un Nīderlandes Samsung. Tāpēc pārsūdzētajā lēmumā pašsaprotami nav argumentēts,</w:t>
      </w:r>
      <w:r w:rsidR="00BC2ABB" w:rsidRPr="00677B3D">
        <w:rPr>
          <w:rFonts w:eastAsiaTheme="minorHAnsi"/>
          <w:lang w:eastAsia="en-US"/>
        </w:rPr>
        <w:t xml:space="preserve"> </w:t>
      </w:r>
      <w:r w:rsidR="007B0186" w:rsidRPr="00677B3D">
        <w:rPr>
          <w:rFonts w:eastAsiaTheme="minorHAnsi"/>
          <w:lang w:eastAsia="en-US"/>
        </w:rPr>
        <w:t>kāpēc darījumi ar Remonta servisiem nebūtu apliekami ar pievienotās vēr</w:t>
      </w:r>
      <w:r w:rsidR="00BC2ABB" w:rsidRPr="00677B3D">
        <w:rPr>
          <w:rFonts w:eastAsiaTheme="minorHAnsi"/>
          <w:lang w:eastAsia="en-US"/>
        </w:rPr>
        <w:t>tī</w:t>
      </w:r>
      <w:r w:rsidR="007B0186" w:rsidRPr="00677B3D">
        <w:rPr>
          <w:rFonts w:eastAsiaTheme="minorHAnsi"/>
          <w:lang w:eastAsia="en-US"/>
        </w:rPr>
        <w:t>bas nodokli</w:t>
      </w:r>
      <w:r w:rsidR="00BC2ABB" w:rsidRPr="00677B3D">
        <w:rPr>
          <w:rFonts w:eastAsiaTheme="minorHAnsi"/>
          <w:lang w:eastAsia="en-US"/>
        </w:rPr>
        <w:t>, jo d</w:t>
      </w:r>
      <w:r w:rsidR="007B0186" w:rsidRPr="00677B3D">
        <w:rPr>
          <w:rFonts w:eastAsiaTheme="minorHAnsi"/>
          <w:lang w:eastAsia="en-US"/>
        </w:rPr>
        <w:t>ienests nav apšaubījis, ka pieteicējas darījumi ar Remonta servisiem ir ar apliekami</w:t>
      </w:r>
      <w:r w:rsidR="00BC2ABB" w:rsidRPr="00677B3D">
        <w:rPr>
          <w:rFonts w:eastAsiaTheme="minorHAnsi"/>
          <w:lang w:eastAsia="en-US"/>
        </w:rPr>
        <w:t>e</w:t>
      </w:r>
      <w:r w:rsidR="007B0186" w:rsidRPr="00677B3D">
        <w:rPr>
          <w:rFonts w:eastAsiaTheme="minorHAnsi"/>
          <w:lang w:eastAsia="en-US"/>
        </w:rPr>
        <w:t xml:space="preserve"> darījumi.</w:t>
      </w:r>
      <w:r w:rsidR="00BC2ABB" w:rsidRPr="00677B3D">
        <w:rPr>
          <w:rFonts w:eastAsiaTheme="minorHAnsi"/>
          <w:lang w:eastAsia="en-US"/>
        </w:rPr>
        <w:t xml:space="preserve"> Tomēr šī apgabaltiesas kļūda pēc būtības nav ietekmējusi apgabaltiesas sprieduma rezultātu. Galveno strīdus jautājumu, proti, to</w:t>
      </w:r>
      <w:proofErr w:type="gramStart"/>
      <w:r w:rsidR="00BC2ABB" w:rsidRPr="00677B3D">
        <w:rPr>
          <w:rFonts w:eastAsiaTheme="minorHAnsi"/>
          <w:lang w:eastAsia="en-US"/>
        </w:rPr>
        <w:t>, vai pieteicēja</w:t>
      </w:r>
      <w:proofErr w:type="gramEnd"/>
      <w:r w:rsidR="00BC2ABB" w:rsidRPr="00677B3D">
        <w:rPr>
          <w:rFonts w:eastAsiaTheme="minorHAnsi"/>
          <w:lang w:eastAsia="en-US"/>
        </w:rPr>
        <w:t xml:space="preserve"> darījumus ar Remonta servisiem izmantoja savas saimnieciskās darbības nodrošināšanai, apgabaltiesa ir izspriedusi pareizi.</w:t>
      </w:r>
    </w:p>
    <w:p w14:paraId="04CDCF97" w14:textId="77777777" w:rsidR="00BC2ABB" w:rsidRPr="00677B3D" w:rsidRDefault="00BC2ABB" w:rsidP="007B0186">
      <w:pPr>
        <w:spacing w:line="276" w:lineRule="auto"/>
        <w:ind w:firstLine="567"/>
        <w:jc w:val="both"/>
        <w:rPr>
          <w:rFonts w:eastAsiaTheme="minorHAnsi"/>
          <w:lang w:eastAsia="en-US"/>
        </w:rPr>
      </w:pPr>
    </w:p>
    <w:p w14:paraId="66A18CB9" w14:textId="77777777" w:rsidR="00BC2ABB" w:rsidRPr="00677B3D" w:rsidRDefault="00BC2ABB" w:rsidP="007B0186">
      <w:pPr>
        <w:spacing w:line="276" w:lineRule="auto"/>
        <w:ind w:firstLine="567"/>
        <w:jc w:val="both"/>
        <w:rPr>
          <w:rFonts w:eastAsiaTheme="minorHAnsi"/>
          <w:lang w:eastAsia="en-US"/>
        </w:rPr>
      </w:pPr>
      <w:r w:rsidRPr="00677B3D">
        <w:rPr>
          <w:rFonts w:eastAsiaTheme="minorHAnsi"/>
          <w:lang w:eastAsia="en-US"/>
        </w:rPr>
        <w:t>[</w:t>
      </w:r>
      <w:r w:rsidR="00EE7746">
        <w:rPr>
          <w:rFonts w:eastAsiaTheme="minorHAnsi"/>
          <w:lang w:eastAsia="en-US"/>
        </w:rPr>
        <w:t>27</w:t>
      </w:r>
      <w:r w:rsidRPr="00677B3D">
        <w:rPr>
          <w:rFonts w:eastAsiaTheme="minorHAnsi"/>
          <w:lang w:eastAsia="en-US"/>
        </w:rPr>
        <w:t xml:space="preserve">] Rezumējot minēto, Augstākā tiesa atzīst, ka dienesta kasācijas sūdzība ir nepamatota un pārsūdzētais apgabaltiesas spriedums daļā par pievienotās vērtības nodokļa maksājumiem ir atstājams negrozīts. </w:t>
      </w:r>
    </w:p>
    <w:p w14:paraId="5EA0903D" w14:textId="77777777" w:rsidR="00A35E4A" w:rsidRPr="00677B3D" w:rsidRDefault="00A35E4A" w:rsidP="00EE7746">
      <w:pPr>
        <w:spacing w:line="276" w:lineRule="auto"/>
      </w:pPr>
    </w:p>
    <w:p w14:paraId="50CA57BD" w14:textId="77777777" w:rsidR="00C3487C" w:rsidRPr="00677B3D" w:rsidRDefault="00C3487C" w:rsidP="0049654C">
      <w:pPr>
        <w:spacing w:line="276" w:lineRule="auto"/>
        <w:ind w:firstLine="567"/>
        <w:jc w:val="center"/>
        <w:rPr>
          <w:b/>
        </w:rPr>
      </w:pPr>
      <w:r w:rsidRPr="00677B3D">
        <w:rPr>
          <w:b/>
        </w:rPr>
        <w:t>I</w:t>
      </w:r>
      <w:r w:rsidR="0049654C" w:rsidRPr="00677B3D">
        <w:rPr>
          <w:b/>
        </w:rPr>
        <w:t>II</w:t>
      </w:r>
    </w:p>
    <w:p w14:paraId="7D94D6DB" w14:textId="77777777" w:rsidR="0049654C" w:rsidRPr="00677B3D" w:rsidRDefault="0049654C" w:rsidP="0049654C">
      <w:pPr>
        <w:spacing w:line="276" w:lineRule="auto"/>
        <w:ind w:firstLine="567"/>
        <w:jc w:val="center"/>
        <w:rPr>
          <w:b/>
        </w:rPr>
      </w:pPr>
    </w:p>
    <w:p w14:paraId="520390A9" w14:textId="77777777" w:rsidR="00C3487C" w:rsidRPr="00677B3D" w:rsidRDefault="00C3487C" w:rsidP="00C3487C">
      <w:pPr>
        <w:spacing w:line="276" w:lineRule="auto"/>
        <w:ind w:firstLine="567"/>
        <w:jc w:val="both"/>
      </w:pPr>
      <w:r w:rsidRPr="00677B3D">
        <w:t>[</w:t>
      </w:r>
      <w:r w:rsidR="00FF2033">
        <w:t>2</w:t>
      </w:r>
      <w:r w:rsidR="000E014C">
        <w:t>8</w:t>
      </w:r>
      <w:r w:rsidRPr="00677B3D">
        <w:t xml:space="preserve">] Apkopojot minēto, pārsūdzētais apgabaltiesas spriedums atceļams daļā, kurā pieteicējas pieteikums </w:t>
      </w:r>
      <w:r w:rsidR="0049654C" w:rsidRPr="00677B3D">
        <w:t>noraidīts</w:t>
      </w:r>
      <w:r w:rsidRPr="00677B3D">
        <w:t xml:space="preserve">, savukārt pārējā daļā spriedums atstājams negrozīts.  </w:t>
      </w:r>
    </w:p>
    <w:p w14:paraId="6DD17C08" w14:textId="77777777" w:rsidR="00C3487C" w:rsidRPr="00677B3D" w:rsidRDefault="00C3487C" w:rsidP="00C3487C">
      <w:pPr>
        <w:spacing w:line="276" w:lineRule="auto"/>
        <w:ind w:firstLine="567"/>
        <w:jc w:val="both"/>
      </w:pPr>
    </w:p>
    <w:p w14:paraId="18903A8A" w14:textId="77777777" w:rsidR="00C3487C" w:rsidRPr="00677B3D" w:rsidRDefault="00C3487C" w:rsidP="00C3487C">
      <w:pPr>
        <w:spacing w:line="276" w:lineRule="auto"/>
        <w:jc w:val="center"/>
        <w:rPr>
          <w:b/>
        </w:rPr>
      </w:pPr>
      <w:r w:rsidRPr="00677B3D">
        <w:rPr>
          <w:b/>
        </w:rPr>
        <w:t>Rezolutīvā daļa</w:t>
      </w:r>
    </w:p>
    <w:p w14:paraId="70228EE1" w14:textId="77777777" w:rsidR="00C3487C" w:rsidRPr="00677B3D" w:rsidRDefault="00C3487C" w:rsidP="00C3487C">
      <w:pPr>
        <w:spacing w:line="276" w:lineRule="auto"/>
        <w:ind w:firstLine="567"/>
        <w:jc w:val="both"/>
        <w:rPr>
          <w:bCs/>
          <w:spacing w:val="70"/>
        </w:rPr>
      </w:pPr>
    </w:p>
    <w:p w14:paraId="78D04A44" w14:textId="77777777" w:rsidR="00C3487C" w:rsidRPr="00677B3D" w:rsidRDefault="00C3487C" w:rsidP="00C3487C">
      <w:pPr>
        <w:spacing w:line="276" w:lineRule="auto"/>
        <w:ind w:firstLine="567"/>
        <w:jc w:val="both"/>
        <w:rPr>
          <w:strike/>
        </w:rPr>
      </w:pPr>
      <w:r w:rsidRPr="00677B3D">
        <w:t xml:space="preserve">Pamatojoties uz </w:t>
      </w:r>
      <w:r w:rsidRPr="00677B3D">
        <w:rPr>
          <w:rFonts w:eastAsiaTheme="minorHAnsi"/>
          <w:lang w:eastAsia="en-US"/>
        </w:rPr>
        <w:t>Administratīvā procesa likuma 129.</w:t>
      </w:r>
      <w:proofErr w:type="gramStart"/>
      <w:r w:rsidRPr="00677B3D">
        <w:rPr>
          <w:rFonts w:eastAsiaTheme="minorHAnsi"/>
          <w:vertAlign w:val="superscript"/>
          <w:lang w:eastAsia="en-US"/>
        </w:rPr>
        <w:t>1</w:t>
      </w:r>
      <w:r w:rsidRPr="00677B3D">
        <w:rPr>
          <w:rFonts w:eastAsiaTheme="minorHAnsi"/>
          <w:lang w:eastAsia="en-US"/>
        </w:rPr>
        <w:t>panta</w:t>
      </w:r>
      <w:proofErr w:type="gramEnd"/>
      <w:r w:rsidRPr="00677B3D">
        <w:rPr>
          <w:rFonts w:eastAsiaTheme="minorHAnsi"/>
          <w:lang w:eastAsia="en-US"/>
        </w:rPr>
        <w:t xml:space="preserve"> pirmās daļas 1.punktu, 348.panta pirmās daļas pirmās daļas 1. un 2.punktu un 351.pantu</w:t>
      </w:r>
      <w:r w:rsidRPr="00677B3D">
        <w:t>, Augstākā tiesa</w:t>
      </w:r>
    </w:p>
    <w:p w14:paraId="69BE0EB5" w14:textId="77777777" w:rsidR="00C3487C" w:rsidRPr="00677B3D" w:rsidRDefault="00C3487C" w:rsidP="00C3487C">
      <w:pPr>
        <w:spacing w:line="276" w:lineRule="auto"/>
        <w:ind w:firstLine="567"/>
        <w:jc w:val="both"/>
      </w:pPr>
    </w:p>
    <w:p w14:paraId="3B472745" w14:textId="77777777" w:rsidR="00C3487C" w:rsidRPr="00677B3D" w:rsidRDefault="00C3487C" w:rsidP="00C3487C">
      <w:pPr>
        <w:spacing w:line="276" w:lineRule="auto"/>
        <w:jc w:val="center"/>
        <w:rPr>
          <w:b/>
        </w:rPr>
      </w:pPr>
      <w:r w:rsidRPr="00677B3D">
        <w:rPr>
          <w:b/>
        </w:rPr>
        <w:t>nosprieda:</w:t>
      </w:r>
    </w:p>
    <w:p w14:paraId="33BA6306" w14:textId="77777777" w:rsidR="00C3487C" w:rsidRPr="00677B3D" w:rsidRDefault="00C3487C" w:rsidP="00C3487C">
      <w:pPr>
        <w:spacing w:line="276" w:lineRule="auto"/>
        <w:jc w:val="center"/>
        <w:rPr>
          <w:b/>
        </w:rPr>
      </w:pPr>
    </w:p>
    <w:p w14:paraId="1075B8AC" w14:textId="4BED0115" w:rsidR="00C3487C" w:rsidRDefault="00C3487C" w:rsidP="00C3487C">
      <w:pPr>
        <w:spacing w:line="276" w:lineRule="auto"/>
        <w:ind w:firstLine="567"/>
        <w:jc w:val="both"/>
      </w:pPr>
      <w:r w:rsidRPr="00677B3D">
        <w:lastRenderedPageBreak/>
        <w:t>atcelt</w:t>
      </w:r>
      <w:r w:rsidR="007802E0">
        <w:t xml:space="preserve"> </w:t>
      </w:r>
      <w:r w:rsidR="007802E0" w:rsidRPr="00677B3D">
        <w:t xml:space="preserve">Administratīvās apgabaltiesas </w:t>
      </w:r>
      <w:proofErr w:type="gramStart"/>
      <w:r w:rsidR="007802E0" w:rsidRPr="00677B3D">
        <w:t>2015.gada</w:t>
      </w:r>
      <w:proofErr w:type="gramEnd"/>
      <w:r w:rsidR="007802E0" w:rsidRPr="00677B3D">
        <w:t xml:space="preserve"> 2.aprīļa spriedumu</w:t>
      </w:r>
      <w:r w:rsidR="007802E0">
        <w:t xml:space="preserve"> daļā, kas attiecas uz pieteicējai </w:t>
      </w:r>
      <w:r w:rsidR="007802E0" w:rsidRPr="00677B3D">
        <w:t xml:space="preserve">SIA „Samsung </w:t>
      </w:r>
      <w:proofErr w:type="spellStart"/>
      <w:r w:rsidR="007802E0" w:rsidRPr="00677B3D">
        <w:t>Electronics</w:t>
      </w:r>
      <w:proofErr w:type="spellEnd"/>
      <w:r w:rsidR="007802E0" w:rsidRPr="00677B3D">
        <w:t xml:space="preserve"> </w:t>
      </w:r>
      <w:proofErr w:type="spellStart"/>
      <w:r w:rsidR="007802E0" w:rsidRPr="00677B3D">
        <w:t>Baltic</w:t>
      </w:r>
      <w:proofErr w:type="spellEnd"/>
      <w:r w:rsidR="007802E0" w:rsidRPr="00677B3D">
        <w:t xml:space="preserve">” </w:t>
      </w:r>
      <w:r w:rsidR="007802E0">
        <w:t>aprēķināto uzņēmumu ienākuma nodokļa parādu un ar to saistītajiem maksājumiem</w:t>
      </w:r>
      <w:r w:rsidR="003C154A">
        <w:t>, un nosūtīt lietu šajā daļā jaunai izskatīšanai</w:t>
      </w:r>
      <w:r w:rsidRPr="00677B3D">
        <w:t>;</w:t>
      </w:r>
    </w:p>
    <w:p w14:paraId="0F3A49A5" w14:textId="77777777" w:rsidR="00C3487C" w:rsidRDefault="00C3487C" w:rsidP="00C3487C">
      <w:pPr>
        <w:spacing w:line="276" w:lineRule="auto"/>
        <w:ind w:firstLine="567"/>
        <w:jc w:val="both"/>
      </w:pPr>
      <w:r w:rsidRPr="00677B3D">
        <w:t>pārējā daļā atstāt spriedumu negrozītu</w:t>
      </w:r>
      <w:r w:rsidR="00D84734">
        <w:t>, bet</w:t>
      </w:r>
      <w:r w:rsidR="007802E0">
        <w:t xml:space="preserve"> Valsts ie</w:t>
      </w:r>
      <w:r w:rsidR="00D84734">
        <w:t>ņēmumu</w:t>
      </w:r>
      <w:r w:rsidR="007802E0">
        <w:t xml:space="preserve"> dienesta kasāciju noraidīt</w:t>
      </w:r>
      <w:r w:rsidRPr="00677B3D">
        <w:t>;</w:t>
      </w:r>
    </w:p>
    <w:p w14:paraId="4A280A65" w14:textId="7B083603" w:rsidR="00D84734" w:rsidRPr="00677B3D" w:rsidRDefault="00C3487C" w:rsidP="000E014C">
      <w:pPr>
        <w:spacing w:line="276" w:lineRule="auto"/>
        <w:ind w:firstLine="567"/>
        <w:jc w:val="both"/>
      </w:pPr>
      <w:r w:rsidRPr="00677B3D">
        <w:t>atmaksāt</w:t>
      </w:r>
      <w:r w:rsidR="00D84734">
        <w:t xml:space="preserve"> </w:t>
      </w:r>
      <w:r w:rsidR="00D84734" w:rsidRPr="00677B3D">
        <w:t xml:space="preserve">SIA „Samsung </w:t>
      </w:r>
      <w:proofErr w:type="spellStart"/>
      <w:r w:rsidR="00D84734" w:rsidRPr="00677B3D">
        <w:t>Electronics</w:t>
      </w:r>
      <w:proofErr w:type="spellEnd"/>
      <w:r w:rsidR="00D84734" w:rsidRPr="00677B3D">
        <w:t xml:space="preserve"> </w:t>
      </w:r>
      <w:proofErr w:type="spellStart"/>
      <w:r w:rsidR="00D84734" w:rsidRPr="00677B3D">
        <w:t>Baltic</w:t>
      </w:r>
      <w:proofErr w:type="spellEnd"/>
      <w:r w:rsidR="00D84734" w:rsidRPr="00677B3D">
        <w:t>”</w:t>
      </w:r>
      <w:r w:rsidR="00D84734">
        <w:t xml:space="preserve"> par kasācijas s</w:t>
      </w:r>
      <w:r w:rsidR="000E014C">
        <w:t xml:space="preserve">ūdzību </w:t>
      </w:r>
      <w:r w:rsidR="003C154A">
        <w:t>ie</w:t>
      </w:r>
      <w:r w:rsidR="000E014C">
        <w:t xml:space="preserve">maksāto drošības naudu 71,14 </w:t>
      </w:r>
      <w:proofErr w:type="spellStart"/>
      <w:r w:rsidR="000E014C" w:rsidRPr="000E014C">
        <w:rPr>
          <w:i/>
        </w:rPr>
        <w:t>euro</w:t>
      </w:r>
      <w:proofErr w:type="spellEnd"/>
      <w:r w:rsidR="000E014C">
        <w:t>.</w:t>
      </w:r>
    </w:p>
    <w:p w14:paraId="7D239B28" w14:textId="77777777" w:rsidR="00C3487C" w:rsidRPr="00677B3D" w:rsidRDefault="00C3487C" w:rsidP="00C3487C">
      <w:pPr>
        <w:spacing w:line="276" w:lineRule="auto"/>
        <w:ind w:firstLine="567"/>
        <w:jc w:val="both"/>
      </w:pPr>
      <w:r w:rsidRPr="00677B3D">
        <w:t>Spriedums nav pārsūdzams.</w:t>
      </w:r>
    </w:p>
    <w:p w14:paraId="5831825F" w14:textId="2E11DF33" w:rsidR="00257E01" w:rsidRPr="00677B3D" w:rsidRDefault="00257E01"/>
    <w:sectPr w:rsidR="00257E01" w:rsidRPr="00677B3D" w:rsidSect="00171642">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DD031" w14:textId="77777777" w:rsidR="003E2415" w:rsidRDefault="003E2415">
      <w:r>
        <w:separator/>
      </w:r>
    </w:p>
  </w:endnote>
  <w:endnote w:type="continuationSeparator" w:id="0">
    <w:p w14:paraId="7BF0875D" w14:textId="77777777" w:rsidR="003E2415" w:rsidRDefault="003E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B9BF" w14:textId="116E50D9" w:rsidR="002E7BAE" w:rsidRDefault="002E7BAE" w:rsidP="001716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73B73">
      <w:rPr>
        <w:rStyle w:val="PageNumber"/>
        <w:noProof/>
      </w:rPr>
      <w:t>16</w:t>
    </w:r>
    <w:r w:rsidRPr="009F0E55">
      <w:rPr>
        <w:rStyle w:val="PageNumber"/>
      </w:rPr>
      <w:fldChar w:fldCharType="end"/>
    </w:r>
    <w:r w:rsidRPr="009F0E55">
      <w:rPr>
        <w:rStyle w:val="PageNumber"/>
      </w:rPr>
      <w:t xml:space="preserve"> no </w:t>
    </w:r>
    <w:fldSimple w:instr=" SECTIONPAGES   \* MERGEFORMAT ">
      <w:r w:rsidR="00243561" w:rsidRPr="00243561">
        <w:rPr>
          <w:rStyle w:val="PageNumbe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7248" w14:textId="77777777" w:rsidR="003E2415" w:rsidRDefault="003E2415">
      <w:r>
        <w:separator/>
      </w:r>
    </w:p>
  </w:footnote>
  <w:footnote w:type="continuationSeparator" w:id="0">
    <w:p w14:paraId="4A048C52" w14:textId="77777777" w:rsidR="003E2415" w:rsidRDefault="003E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41A0"/>
    <w:multiLevelType w:val="hybridMultilevel"/>
    <w:tmpl w:val="91D887D4"/>
    <w:lvl w:ilvl="0" w:tplc="4460A9E8">
      <w:start w:val="1"/>
      <w:numFmt w:val="bullet"/>
      <w:lvlText w:val="•"/>
      <w:lvlJc w:val="left"/>
      <w:pPr>
        <w:tabs>
          <w:tab w:val="num" w:pos="720"/>
        </w:tabs>
        <w:ind w:left="720" w:hanging="360"/>
      </w:pPr>
      <w:rPr>
        <w:rFonts w:ascii="Arial" w:hAnsi="Arial" w:hint="default"/>
      </w:rPr>
    </w:lvl>
    <w:lvl w:ilvl="1" w:tplc="B120CFF6" w:tentative="1">
      <w:start w:val="1"/>
      <w:numFmt w:val="bullet"/>
      <w:lvlText w:val="•"/>
      <w:lvlJc w:val="left"/>
      <w:pPr>
        <w:tabs>
          <w:tab w:val="num" w:pos="1440"/>
        </w:tabs>
        <w:ind w:left="1440" w:hanging="360"/>
      </w:pPr>
      <w:rPr>
        <w:rFonts w:ascii="Arial" w:hAnsi="Arial" w:hint="default"/>
      </w:rPr>
    </w:lvl>
    <w:lvl w:ilvl="2" w:tplc="AF4ED6A4" w:tentative="1">
      <w:start w:val="1"/>
      <w:numFmt w:val="bullet"/>
      <w:lvlText w:val="•"/>
      <w:lvlJc w:val="left"/>
      <w:pPr>
        <w:tabs>
          <w:tab w:val="num" w:pos="2160"/>
        </w:tabs>
        <w:ind w:left="2160" w:hanging="360"/>
      </w:pPr>
      <w:rPr>
        <w:rFonts w:ascii="Arial" w:hAnsi="Arial" w:hint="default"/>
      </w:rPr>
    </w:lvl>
    <w:lvl w:ilvl="3" w:tplc="CB92297C" w:tentative="1">
      <w:start w:val="1"/>
      <w:numFmt w:val="bullet"/>
      <w:lvlText w:val="•"/>
      <w:lvlJc w:val="left"/>
      <w:pPr>
        <w:tabs>
          <w:tab w:val="num" w:pos="2880"/>
        </w:tabs>
        <w:ind w:left="2880" w:hanging="360"/>
      </w:pPr>
      <w:rPr>
        <w:rFonts w:ascii="Arial" w:hAnsi="Arial" w:hint="default"/>
      </w:rPr>
    </w:lvl>
    <w:lvl w:ilvl="4" w:tplc="03B0D86C" w:tentative="1">
      <w:start w:val="1"/>
      <w:numFmt w:val="bullet"/>
      <w:lvlText w:val="•"/>
      <w:lvlJc w:val="left"/>
      <w:pPr>
        <w:tabs>
          <w:tab w:val="num" w:pos="3600"/>
        </w:tabs>
        <w:ind w:left="3600" w:hanging="360"/>
      </w:pPr>
      <w:rPr>
        <w:rFonts w:ascii="Arial" w:hAnsi="Arial" w:hint="default"/>
      </w:rPr>
    </w:lvl>
    <w:lvl w:ilvl="5" w:tplc="25C0BC02" w:tentative="1">
      <w:start w:val="1"/>
      <w:numFmt w:val="bullet"/>
      <w:lvlText w:val="•"/>
      <w:lvlJc w:val="left"/>
      <w:pPr>
        <w:tabs>
          <w:tab w:val="num" w:pos="4320"/>
        </w:tabs>
        <w:ind w:left="4320" w:hanging="360"/>
      </w:pPr>
      <w:rPr>
        <w:rFonts w:ascii="Arial" w:hAnsi="Arial" w:hint="default"/>
      </w:rPr>
    </w:lvl>
    <w:lvl w:ilvl="6" w:tplc="0BF4D554" w:tentative="1">
      <w:start w:val="1"/>
      <w:numFmt w:val="bullet"/>
      <w:lvlText w:val="•"/>
      <w:lvlJc w:val="left"/>
      <w:pPr>
        <w:tabs>
          <w:tab w:val="num" w:pos="5040"/>
        </w:tabs>
        <w:ind w:left="5040" w:hanging="360"/>
      </w:pPr>
      <w:rPr>
        <w:rFonts w:ascii="Arial" w:hAnsi="Arial" w:hint="default"/>
      </w:rPr>
    </w:lvl>
    <w:lvl w:ilvl="7" w:tplc="9CD653C0" w:tentative="1">
      <w:start w:val="1"/>
      <w:numFmt w:val="bullet"/>
      <w:lvlText w:val="•"/>
      <w:lvlJc w:val="left"/>
      <w:pPr>
        <w:tabs>
          <w:tab w:val="num" w:pos="5760"/>
        </w:tabs>
        <w:ind w:left="5760" w:hanging="360"/>
      </w:pPr>
      <w:rPr>
        <w:rFonts w:ascii="Arial" w:hAnsi="Arial" w:hint="default"/>
      </w:rPr>
    </w:lvl>
    <w:lvl w:ilvl="8" w:tplc="876CD2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78119A"/>
    <w:multiLevelType w:val="hybridMultilevel"/>
    <w:tmpl w:val="C902DC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D71616F"/>
    <w:multiLevelType w:val="hybridMultilevel"/>
    <w:tmpl w:val="38685482"/>
    <w:lvl w:ilvl="0" w:tplc="8D825672">
      <w:start w:val="1"/>
      <w:numFmt w:val="bullet"/>
      <w:lvlText w:val="•"/>
      <w:lvlJc w:val="left"/>
      <w:pPr>
        <w:tabs>
          <w:tab w:val="num" w:pos="720"/>
        </w:tabs>
        <w:ind w:left="720" w:hanging="360"/>
      </w:pPr>
      <w:rPr>
        <w:rFonts w:ascii="Arial" w:hAnsi="Arial" w:hint="default"/>
      </w:rPr>
    </w:lvl>
    <w:lvl w:ilvl="1" w:tplc="A6046DEA" w:tentative="1">
      <w:start w:val="1"/>
      <w:numFmt w:val="bullet"/>
      <w:lvlText w:val="•"/>
      <w:lvlJc w:val="left"/>
      <w:pPr>
        <w:tabs>
          <w:tab w:val="num" w:pos="1440"/>
        </w:tabs>
        <w:ind w:left="1440" w:hanging="360"/>
      </w:pPr>
      <w:rPr>
        <w:rFonts w:ascii="Arial" w:hAnsi="Arial" w:hint="default"/>
      </w:rPr>
    </w:lvl>
    <w:lvl w:ilvl="2" w:tplc="0FFEF87E" w:tentative="1">
      <w:start w:val="1"/>
      <w:numFmt w:val="bullet"/>
      <w:lvlText w:val="•"/>
      <w:lvlJc w:val="left"/>
      <w:pPr>
        <w:tabs>
          <w:tab w:val="num" w:pos="2160"/>
        </w:tabs>
        <w:ind w:left="2160" w:hanging="360"/>
      </w:pPr>
      <w:rPr>
        <w:rFonts w:ascii="Arial" w:hAnsi="Arial" w:hint="default"/>
      </w:rPr>
    </w:lvl>
    <w:lvl w:ilvl="3" w:tplc="A822B3C4" w:tentative="1">
      <w:start w:val="1"/>
      <w:numFmt w:val="bullet"/>
      <w:lvlText w:val="•"/>
      <w:lvlJc w:val="left"/>
      <w:pPr>
        <w:tabs>
          <w:tab w:val="num" w:pos="2880"/>
        </w:tabs>
        <w:ind w:left="2880" w:hanging="360"/>
      </w:pPr>
      <w:rPr>
        <w:rFonts w:ascii="Arial" w:hAnsi="Arial" w:hint="default"/>
      </w:rPr>
    </w:lvl>
    <w:lvl w:ilvl="4" w:tplc="EA660CA0" w:tentative="1">
      <w:start w:val="1"/>
      <w:numFmt w:val="bullet"/>
      <w:lvlText w:val="•"/>
      <w:lvlJc w:val="left"/>
      <w:pPr>
        <w:tabs>
          <w:tab w:val="num" w:pos="3600"/>
        </w:tabs>
        <w:ind w:left="3600" w:hanging="360"/>
      </w:pPr>
      <w:rPr>
        <w:rFonts w:ascii="Arial" w:hAnsi="Arial" w:hint="default"/>
      </w:rPr>
    </w:lvl>
    <w:lvl w:ilvl="5" w:tplc="A3548048" w:tentative="1">
      <w:start w:val="1"/>
      <w:numFmt w:val="bullet"/>
      <w:lvlText w:val="•"/>
      <w:lvlJc w:val="left"/>
      <w:pPr>
        <w:tabs>
          <w:tab w:val="num" w:pos="4320"/>
        </w:tabs>
        <w:ind w:left="4320" w:hanging="360"/>
      </w:pPr>
      <w:rPr>
        <w:rFonts w:ascii="Arial" w:hAnsi="Arial" w:hint="default"/>
      </w:rPr>
    </w:lvl>
    <w:lvl w:ilvl="6" w:tplc="A9B4E8BC" w:tentative="1">
      <w:start w:val="1"/>
      <w:numFmt w:val="bullet"/>
      <w:lvlText w:val="•"/>
      <w:lvlJc w:val="left"/>
      <w:pPr>
        <w:tabs>
          <w:tab w:val="num" w:pos="5040"/>
        </w:tabs>
        <w:ind w:left="5040" w:hanging="360"/>
      </w:pPr>
      <w:rPr>
        <w:rFonts w:ascii="Arial" w:hAnsi="Arial" w:hint="default"/>
      </w:rPr>
    </w:lvl>
    <w:lvl w:ilvl="7" w:tplc="22462AF8" w:tentative="1">
      <w:start w:val="1"/>
      <w:numFmt w:val="bullet"/>
      <w:lvlText w:val="•"/>
      <w:lvlJc w:val="left"/>
      <w:pPr>
        <w:tabs>
          <w:tab w:val="num" w:pos="5760"/>
        </w:tabs>
        <w:ind w:left="5760" w:hanging="360"/>
      </w:pPr>
      <w:rPr>
        <w:rFonts w:ascii="Arial" w:hAnsi="Arial" w:hint="default"/>
      </w:rPr>
    </w:lvl>
    <w:lvl w:ilvl="8" w:tplc="B79431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C1B65F5"/>
    <w:multiLevelType w:val="hybridMultilevel"/>
    <w:tmpl w:val="AB56A5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7C"/>
    <w:rsid w:val="00006FF7"/>
    <w:rsid w:val="000164EA"/>
    <w:rsid w:val="00017554"/>
    <w:rsid w:val="00027D94"/>
    <w:rsid w:val="00030CA2"/>
    <w:rsid w:val="00050581"/>
    <w:rsid w:val="00054C4E"/>
    <w:rsid w:val="0006013A"/>
    <w:rsid w:val="000649D4"/>
    <w:rsid w:val="0007324F"/>
    <w:rsid w:val="000A3FEB"/>
    <w:rsid w:val="000A7340"/>
    <w:rsid w:val="000A7B26"/>
    <w:rsid w:val="000C4574"/>
    <w:rsid w:val="000C7A5B"/>
    <w:rsid w:val="000D06BE"/>
    <w:rsid w:val="000E014C"/>
    <w:rsid w:val="000E3BA1"/>
    <w:rsid w:val="000E6AC2"/>
    <w:rsid w:val="000F3474"/>
    <w:rsid w:val="000F4DC2"/>
    <w:rsid w:val="000F6FCC"/>
    <w:rsid w:val="001349E0"/>
    <w:rsid w:val="00141A69"/>
    <w:rsid w:val="00144C07"/>
    <w:rsid w:val="00151629"/>
    <w:rsid w:val="00160CE4"/>
    <w:rsid w:val="00161A10"/>
    <w:rsid w:val="001706EF"/>
    <w:rsid w:val="00171642"/>
    <w:rsid w:val="001761E9"/>
    <w:rsid w:val="00184178"/>
    <w:rsid w:val="00184B66"/>
    <w:rsid w:val="00191A48"/>
    <w:rsid w:val="001D49A8"/>
    <w:rsid w:val="001E0226"/>
    <w:rsid w:val="001E0E4F"/>
    <w:rsid w:val="001F0DEA"/>
    <w:rsid w:val="00203FC9"/>
    <w:rsid w:val="00211367"/>
    <w:rsid w:val="0021385F"/>
    <w:rsid w:val="00214168"/>
    <w:rsid w:val="00215E53"/>
    <w:rsid w:val="002222C6"/>
    <w:rsid w:val="002300AF"/>
    <w:rsid w:val="00232F35"/>
    <w:rsid w:val="002353DB"/>
    <w:rsid w:val="00237D3E"/>
    <w:rsid w:val="00243561"/>
    <w:rsid w:val="0024504C"/>
    <w:rsid w:val="00250DBA"/>
    <w:rsid w:val="0025153D"/>
    <w:rsid w:val="00257E01"/>
    <w:rsid w:val="002622DF"/>
    <w:rsid w:val="00271015"/>
    <w:rsid w:val="0027745F"/>
    <w:rsid w:val="00283A3D"/>
    <w:rsid w:val="0029008A"/>
    <w:rsid w:val="002B05B9"/>
    <w:rsid w:val="002B1A64"/>
    <w:rsid w:val="002E7BAE"/>
    <w:rsid w:val="002E7D88"/>
    <w:rsid w:val="003109A1"/>
    <w:rsid w:val="00312E40"/>
    <w:rsid w:val="00313973"/>
    <w:rsid w:val="003309E3"/>
    <w:rsid w:val="00336A47"/>
    <w:rsid w:val="003524B7"/>
    <w:rsid w:val="00370DCD"/>
    <w:rsid w:val="00372B26"/>
    <w:rsid w:val="00391134"/>
    <w:rsid w:val="003B0C0D"/>
    <w:rsid w:val="003C0F16"/>
    <w:rsid w:val="003C154A"/>
    <w:rsid w:val="003C7B04"/>
    <w:rsid w:val="003E2415"/>
    <w:rsid w:val="003E4B87"/>
    <w:rsid w:val="003F06A5"/>
    <w:rsid w:val="003F60AB"/>
    <w:rsid w:val="004054C9"/>
    <w:rsid w:val="0040738B"/>
    <w:rsid w:val="004130CC"/>
    <w:rsid w:val="0041365C"/>
    <w:rsid w:val="00437C9B"/>
    <w:rsid w:val="00441634"/>
    <w:rsid w:val="00454D34"/>
    <w:rsid w:val="004602BE"/>
    <w:rsid w:val="00460EB8"/>
    <w:rsid w:val="00461328"/>
    <w:rsid w:val="0048023D"/>
    <w:rsid w:val="00485F09"/>
    <w:rsid w:val="00486D0E"/>
    <w:rsid w:val="00491D47"/>
    <w:rsid w:val="0049654C"/>
    <w:rsid w:val="004A5114"/>
    <w:rsid w:val="004A7CA7"/>
    <w:rsid w:val="004D2367"/>
    <w:rsid w:val="004F1306"/>
    <w:rsid w:val="005276EF"/>
    <w:rsid w:val="00543FE5"/>
    <w:rsid w:val="005513E9"/>
    <w:rsid w:val="00552E4B"/>
    <w:rsid w:val="00555ECD"/>
    <w:rsid w:val="00561F41"/>
    <w:rsid w:val="00582B31"/>
    <w:rsid w:val="00595377"/>
    <w:rsid w:val="00596203"/>
    <w:rsid w:val="005A0A03"/>
    <w:rsid w:val="005A1960"/>
    <w:rsid w:val="005A2F79"/>
    <w:rsid w:val="005B2660"/>
    <w:rsid w:val="005C0D99"/>
    <w:rsid w:val="005C5D83"/>
    <w:rsid w:val="005E0F0A"/>
    <w:rsid w:val="005E29BB"/>
    <w:rsid w:val="005F0445"/>
    <w:rsid w:val="00604228"/>
    <w:rsid w:val="00615F69"/>
    <w:rsid w:val="006251FD"/>
    <w:rsid w:val="00625673"/>
    <w:rsid w:val="00642043"/>
    <w:rsid w:val="006432D0"/>
    <w:rsid w:val="006446F0"/>
    <w:rsid w:val="006636F9"/>
    <w:rsid w:val="00670374"/>
    <w:rsid w:val="00677B3D"/>
    <w:rsid w:val="0068561B"/>
    <w:rsid w:val="006A0F09"/>
    <w:rsid w:val="006A1311"/>
    <w:rsid w:val="006C4585"/>
    <w:rsid w:val="006D45D5"/>
    <w:rsid w:val="006E2159"/>
    <w:rsid w:val="006E2ADD"/>
    <w:rsid w:val="006F0234"/>
    <w:rsid w:val="006F3E46"/>
    <w:rsid w:val="00707AE9"/>
    <w:rsid w:val="00717A07"/>
    <w:rsid w:val="0072348D"/>
    <w:rsid w:val="00725371"/>
    <w:rsid w:val="007334D1"/>
    <w:rsid w:val="00735984"/>
    <w:rsid w:val="00741207"/>
    <w:rsid w:val="0074178F"/>
    <w:rsid w:val="0074193F"/>
    <w:rsid w:val="00767B5C"/>
    <w:rsid w:val="00775623"/>
    <w:rsid w:val="00777C34"/>
    <w:rsid w:val="007802E0"/>
    <w:rsid w:val="007822A1"/>
    <w:rsid w:val="0078484F"/>
    <w:rsid w:val="007B0186"/>
    <w:rsid w:val="007C1AA1"/>
    <w:rsid w:val="007C2FB2"/>
    <w:rsid w:val="007D5B33"/>
    <w:rsid w:val="007E5EED"/>
    <w:rsid w:val="00803BCA"/>
    <w:rsid w:val="00803F27"/>
    <w:rsid w:val="00805DCD"/>
    <w:rsid w:val="00813A3F"/>
    <w:rsid w:val="00824927"/>
    <w:rsid w:val="00827447"/>
    <w:rsid w:val="008301E0"/>
    <w:rsid w:val="00835594"/>
    <w:rsid w:val="00847D88"/>
    <w:rsid w:val="008533BE"/>
    <w:rsid w:val="00856806"/>
    <w:rsid w:val="008650BB"/>
    <w:rsid w:val="00865967"/>
    <w:rsid w:val="00865A49"/>
    <w:rsid w:val="0086790B"/>
    <w:rsid w:val="00880B5E"/>
    <w:rsid w:val="0089430F"/>
    <w:rsid w:val="0089702D"/>
    <w:rsid w:val="008A1B98"/>
    <w:rsid w:val="008B1C14"/>
    <w:rsid w:val="008C0E1F"/>
    <w:rsid w:val="008D0526"/>
    <w:rsid w:val="008D6BC8"/>
    <w:rsid w:val="008E2C16"/>
    <w:rsid w:val="008E34E3"/>
    <w:rsid w:val="00906A7C"/>
    <w:rsid w:val="0091597B"/>
    <w:rsid w:val="00923D04"/>
    <w:rsid w:val="009323A3"/>
    <w:rsid w:val="00943FC2"/>
    <w:rsid w:val="00952EF8"/>
    <w:rsid w:val="00955084"/>
    <w:rsid w:val="00967607"/>
    <w:rsid w:val="00972D6C"/>
    <w:rsid w:val="00985863"/>
    <w:rsid w:val="00990999"/>
    <w:rsid w:val="009924EC"/>
    <w:rsid w:val="009B5260"/>
    <w:rsid w:val="009C01E7"/>
    <w:rsid w:val="009E6B68"/>
    <w:rsid w:val="009F7A73"/>
    <w:rsid w:val="00A003FC"/>
    <w:rsid w:val="00A12325"/>
    <w:rsid w:val="00A12CFA"/>
    <w:rsid w:val="00A35E4A"/>
    <w:rsid w:val="00A42141"/>
    <w:rsid w:val="00A45846"/>
    <w:rsid w:val="00A53DDE"/>
    <w:rsid w:val="00A54B74"/>
    <w:rsid w:val="00A60620"/>
    <w:rsid w:val="00A6331F"/>
    <w:rsid w:val="00A77279"/>
    <w:rsid w:val="00A80F82"/>
    <w:rsid w:val="00A81FD4"/>
    <w:rsid w:val="00A83831"/>
    <w:rsid w:val="00A84FAF"/>
    <w:rsid w:val="00A8642C"/>
    <w:rsid w:val="00A93FA6"/>
    <w:rsid w:val="00A94E60"/>
    <w:rsid w:val="00AA0989"/>
    <w:rsid w:val="00AA0A86"/>
    <w:rsid w:val="00AA3BEC"/>
    <w:rsid w:val="00AB5110"/>
    <w:rsid w:val="00AD5F63"/>
    <w:rsid w:val="00AE2C94"/>
    <w:rsid w:val="00AE68B2"/>
    <w:rsid w:val="00AF76F3"/>
    <w:rsid w:val="00B037EB"/>
    <w:rsid w:val="00B13EB5"/>
    <w:rsid w:val="00B16743"/>
    <w:rsid w:val="00B276C8"/>
    <w:rsid w:val="00B27E84"/>
    <w:rsid w:val="00B37427"/>
    <w:rsid w:val="00B41289"/>
    <w:rsid w:val="00B5531D"/>
    <w:rsid w:val="00B56442"/>
    <w:rsid w:val="00B6417F"/>
    <w:rsid w:val="00B67E2B"/>
    <w:rsid w:val="00B772F7"/>
    <w:rsid w:val="00B87648"/>
    <w:rsid w:val="00B94312"/>
    <w:rsid w:val="00B95654"/>
    <w:rsid w:val="00BA17EA"/>
    <w:rsid w:val="00BA1F7A"/>
    <w:rsid w:val="00BA6992"/>
    <w:rsid w:val="00BA70CF"/>
    <w:rsid w:val="00BB3950"/>
    <w:rsid w:val="00BC2ABB"/>
    <w:rsid w:val="00BD1C11"/>
    <w:rsid w:val="00BE0A1B"/>
    <w:rsid w:val="00BE1120"/>
    <w:rsid w:val="00BE691E"/>
    <w:rsid w:val="00BF61AF"/>
    <w:rsid w:val="00BF6930"/>
    <w:rsid w:val="00C0565B"/>
    <w:rsid w:val="00C10DC6"/>
    <w:rsid w:val="00C22D4D"/>
    <w:rsid w:val="00C31CA8"/>
    <w:rsid w:val="00C33EB7"/>
    <w:rsid w:val="00C3487C"/>
    <w:rsid w:val="00C4003E"/>
    <w:rsid w:val="00C551DB"/>
    <w:rsid w:val="00C71040"/>
    <w:rsid w:val="00C74E46"/>
    <w:rsid w:val="00C75314"/>
    <w:rsid w:val="00C83A63"/>
    <w:rsid w:val="00C85378"/>
    <w:rsid w:val="00C96BCF"/>
    <w:rsid w:val="00CA129E"/>
    <w:rsid w:val="00CA7E79"/>
    <w:rsid w:val="00CB707A"/>
    <w:rsid w:val="00CC7295"/>
    <w:rsid w:val="00CC7EB3"/>
    <w:rsid w:val="00CE6E90"/>
    <w:rsid w:val="00CE7CF9"/>
    <w:rsid w:val="00D03707"/>
    <w:rsid w:val="00D04B92"/>
    <w:rsid w:val="00D07D1A"/>
    <w:rsid w:val="00D126C4"/>
    <w:rsid w:val="00D16124"/>
    <w:rsid w:val="00D17CDC"/>
    <w:rsid w:val="00D21F09"/>
    <w:rsid w:val="00D27BEE"/>
    <w:rsid w:val="00D41A5A"/>
    <w:rsid w:val="00D422F1"/>
    <w:rsid w:val="00D45558"/>
    <w:rsid w:val="00D53A18"/>
    <w:rsid w:val="00D54D5E"/>
    <w:rsid w:val="00D64A7D"/>
    <w:rsid w:val="00D73B73"/>
    <w:rsid w:val="00D84734"/>
    <w:rsid w:val="00DA22DD"/>
    <w:rsid w:val="00DA5480"/>
    <w:rsid w:val="00DB04E4"/>
    <w:rsid w:val="00DB640E"/>
    <w:rsid w:val="00DC383B"/>
    <w:rsid w:val="00DE2373"/>
    <w:rsid w:val="00DF25C1"/>
    <w:rsid w:val="00DF3216"/>
    <w:rsid w:val="00DF7000"/>
    <w:rsid w:val="00DF743E"/>
    <w:rsid w:val="00E12BE6"/>
    <w:rsid w:val="00E1363E"/>
    <w:rsid w:val="00E15861"/>
    <w:rsid w:val="00E16497"/>
    <w:rsid w:val="00E17F7C"/>
    <w:rsid w:val="00E20D40"/>
    <w:rsid w:val="00E247A8"/>
    <w:rsid w:val="00E41A81"/>
    <w:rsid w:val="00E530DA"/>
    <w:rsid w:val="00E56652"/>
    <w:rsid w:val="00E62D8E"/>
    <w:rsid w:val="00E667E9"/>
    <w:rsid w:val="00E75FAA"/>
    <w:rsid w:val="00E91CD7"/>
    <w:rsid w:val="00E92E33"/>
    <w:rsid w:val="00E934BC"/>
    <w:rsid w:val="00E951D2"/>
    <w:rsid w:val="00EA016D"/>
    <w:rsid w:val="00EA01A6"/>
    <w:rsid w:val="00EA5EA4"/>
    <w:rsid w:val="00EB6FF9"/>
    <w:rsid w:val="00EE7746"/>
    <w:rsid w:val="00F00C6E"/>
    <w:rsid w:val="00F07298"/>
    <w:rsid w:val="00F102ED"/>
    <w:rsid w:val="00F241C8"/>
    <w:rsid w:val="00F519B7"/>
    <w:rsid w:val="00F53E6C"/>
    <w:rsid w:val="00F56254"/>
    <w:rsid w:val="00F66B9D"/>
    <w:rsid w:val="00F74F09"/>
    <w:rsid w:val="00F76AC1"/>
    <w:rsid w:val="00F8038A"/>
    <w:rsid w:val="00F83868"/>
    <w:rsid w:val="00FB055A"/>
    <w:rsid w:val="00FB2B1A"/>
    <w:rsid w:val="00FE0D34"/>
    <w:rsid w:val="00FE0E05"/>
    <w:rsid w:val="00FE3506"/>
    <w:rsid w:val="00FF2033"/>
    <w:rsid w:val="00FF75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EE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87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487C"/>
    <w:pPr>
      <w:tabs>
        <w:tab w:val="center" w:pos="4320"/>
        <w:tab w:val="right" w:pos="8640"/>
      </w:tabs>
    </w:pPr>
    <w:rPr>
      <w:lang w:val="x-none"/>
    </w:rPr>
  </w:style>
  <w:style w:type="character" w:customStyle="1" w:styleId="HeaderChar">
    <w:name w:val="Header Char"/>
    <w:basedOn w:val="DefaultParagraphFont"/>
    <w:link w:val="Header"/>
    <w:rsid w:val="00C3487C"/>
    <w:rPr>
      <w:rFonts w:eastAsia="Times New Roman" w:cs="Times New Roman"/>
      <w:szCs w:val="24"/>
      <w:lang w:val="x-none" w:eastAsia="ru-RU"/>
    </w:rPr>
  </w:style>
  <w:style w:type="paragraph" w:styleId="BodyText2">
    <w:name w:val="Body Text 2"/>
    <w:basedOn w:val="Normal"/>
    <w:link w:val="BodyText2Char"/>
    <w:rsid w:val="00C3487C"/>
    <w:pPr>
      <w:spacing w:after="120" w:line="480" w:lineRule="auto"/>
    </w:pPr>
    <w:rPr>
      <w:lang w:val="x-none"/>
    </w:rPr>
  </w:style>
  <w:style w:type="character" w:customStyle="1" w:styleId="BodyText2Char">
    <w:name w:val="Body Text 2 Char"/>
    <w:basedOn w:val="DefaultParagraphFont"/>
    <w:link w:val="BodyText2"/>
    <w:rsid w:val="00C3487C"/>
    <w:rPr>
      <w:rFonts w:eastAsia="Times New Roman" w:cs="Times New Roman"/>
      <w:szCs w:val="24"/>
      <w:lang w:val="x-none" w:eastAsia="ru-RU"/>
    </w:rPr>
  </w:style>
  <w:style w:type="paragraph" w:styleId="Footer">
    <w:name w:val="footer"/>
    <w:basedOn w:val="Normal"/>
    <w:link w:val="FooterChar"/>
    <w:unhideWhenUsed/>
    <w:rsid w:val="00C3487C"/>
    <w:pPr>
      <w:tabs>
        <w:tab w:val="center" w:pos="4153"/>
        <w:tab w:val="right" w:pos="8306"/>
      </w:tabs>
    </w:pPr>
  </w:style>
  <w:style w:type="character" w:customStyle="1" w:styleId="FooterChar">
    <w:name w:val="Footer Char"/>
    <w:basedOn w:val="DefaultParagraphFont"/>
    <w:link w:val="Footer"/>
    <w:rsid w:val="00C3487C"/>
    <w:rPr>
      <w:rFonts w:eastAsia="Times New Roman" w:cs="Times New Roman"/>
      <w:szCs w:val="24"/>
      <w:lang w:eastAsia="ru-RU"/>
    </w:rPr>
  </w:style>
  <w:style w:type="character" w:styleId="CommentReference">
    <w:name w:val="annotation reference"/>
    <w:basedOn w:val="DefaultParagraphFont"/>
    <w:uiPriority w:val="99"/>
    <w:semiHidden/>
    <w:unhideWhenUsed/>
    <w:rsid w:val="00C3487C"/>
    <w:rPr>
      <w:sz w:val="16"/>
      <w:szCs w:val="16"/>
    </w:rPr>
  </w:style>
  <w:style w:type="paragraph" w:styleId="CommentText">
    <w:name w:val="annotation text"/>
    <w:basedOn w:val="Normal"/>
    <w:link w:val="CommentTextChar"/>
    <w:uiPriority w:val="99"/>
    <w:semiHidden/>
    <w:unhideWhenUsed/>
    <w:rsid w:val="00C3487C"/>
    <w:rPr>
      <w:sz w:val="20"/>
      <w:szCs w:val="20"/>
    </w:rPr>
  </w:style>
  <w:style w:type="character" w:customStyle="1" w:styleId="CommentTextChar">
    <w:name w:val="Comment Text Char"/>
    <w:basedOn w:val="DefaultParagraphFont"/>
    <w:link w:val="CommentText"/>
    <w:uiPriority w:val="99"/>
    <w:semiHidden/>
    <w:rsid w:val="00C3487C"/>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C3487C"/>
    <w:rPr>
      <w:b/>
      <w:bCs/>
    </w:rPr>
  </w:style>
  <w:style w:type="character" w:customStyle="1" w:styleId="CommentSubjectChar">
    <w:name w:val="Comment Subject Char"/>
    <w:basedOn w:val="CommentTextChar"/>
    <w:link w:val="CommentSubject"/>
    <w:uiPriority w:val="99"/>
    <w:semiHidden/>
    <w:rsid w:val="00C3487C"/>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C348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87C"/>
    <w:rPr>
      <w:rFonts w:ascii="Segoe UI" w:eastAsia="Times New Roman" w:hAnsi="Segoe UI" w:cs="Segoe UI"/>
      <w:sz w:val="18"/>
      <w:szCs w:val="18"/>
      <w:lang w:eastAsia="ru-RU"/>
    </w:rPr>
  </w:style>
  <w:style w:type="character" w:styleId="PageNumber">
    <w:name w:val="page number"/>
    <w:basedOn w:val="DefaultParagraphFont"/>
    <w:rsid w:val="00C3487C"/>
  </w:style>
  <w:style w:type="paragraph" w:customStyle="1" w:styleId="ATpamattesksts">
    <w:name w:val="AT pamattesksts"/>
    <w:basedOn w:val="BodyText2"/>
    <w:link w:val="ATpamatteskstsChar"/>
    <w:qFormat/>
    <w:rsid w:val="00C3487C"/>
    <w:pPr>
      <w:spacing w:after="0" w:line="276" w:lineRule="auto"/>
      <w:ind w:firstLine="567"/>
      <w:jc w:val="both"/>
    </w:pPr>
  </w:style>
  <w:style w:type="character" w:customStyle="1" w:styleId="ATpamatteskstsChar">
    <w:name w:val="AT pamattesksts Char"/>
    <w:basedOn w:val="BodyText2Char"/>
    <w:link w:val="ATpamattesksts"/>
    <w:rsid w:val="00C3487C"/>
    <w:rPr>
      <w:rFonts w:eastAsia="Times New Roman" w:cs="Times New Roman"/>
      <w:szCs w:val="24"/>
      <w:lang w:val="x-none" w:eastAsia="ru-RU"/>
    </w:rPr>
  </w:style>
  <w:style w:type="paragraph" w:customStyle="1" w:styleId="ATvirsraksts">
    <w:name w:val="AT virsraksts"/>
    <w:basedOn w:val="Normal"/>
    <w:link w:val="ATvirsrakstsChar"/>
    <w:qFormat/>
    <w:rsid w:val="00C3487C"/>
    <w:pPr>
      <w:spacing w:line="276" w:lineRule="auto"/>
      <w:jc w:val="center"/>
      <w:outlineLvl w:val="0"/>
    </w:pPr>
    <w:rPr>
      <w:b/>
    </w:rPr>
  </w:style>
  <w:style w:type="character" w:customStyle="1" w:styleId="ATvirsrakstsChar">
    <w:name w:val="AT virsraksts Char"/>
    <w:basedOn w:val="DefaultParagraphFont"/>
    <w:link w:val="ATvirsraksts"/>
    <w:rsid w:val="00C3487C"/>
    <w:rPr>
      <w:rFonts w:eastAsia="Times New Roman" w:cs="Times New Roman"/>
      <w:b/>
      <w:szCs w:val="24"/>
      <w:lang w:eastAsia="ru-RU"/>
    </w:rPr>
  </w:style>
  <w:style w:type="paragraph" w:styleId="ListParagraph">
    <w:name w:val="List Paragraph"/>
    <w:basedOn w:val="Normal"/>
    <w:uiPriority w:val="34"/>
    <w:qFormat/>
    <w:rsid w:val="008301E0"/>
    <w:pPr>
      <w:ind w:left="720"/>
      <w:contextualSpacing/>
    </w:pPr>
  </w:style>
  <w:style w:type="character" w:styleId="Hyperlink">
    <w:name w:val="Hyperlink"/>
    <w:basedOn w:val="DefaultParagraphFont"/>
    <w:uiPriority w:val="99"/>
    <w:unhideWhenUsed/>
    <w:rsid w:val="00BA1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50894">
      <w:bodyDiv w:val="1"/>
      <w:marLeft w:val="0"/>
      <w:marRight w:val="0"/>
      <w:marTop w:val="0"/>
      <w:marBottom w:val="0"/>
      <w:divBdr>
        <w:top w:val="none" w:sz="0" w:space="0" w:color="auto"/>
        <w:left w:val="none" w:sz="0" w:space="0" w:color="auto"/>
        <w:bottom w:val="none" w:sz="0" w:space="0" w:color="auto"/>
        <w:right w:val="none" w:sz="0" w:space="0" w:color="auto"/>
      </w:divBdr>
      <w:divsChild>
        <w:div w:id="696085230">
          <w:marLeft w:val="360"/>
          <w:marRight w:val="0"/>
          <w:marTop w:val="200"/>
          <w:marBottom w:val="0"/>
          <w:divBdr>
            <w:top w:val="none" w:sz="0" w:space="0" w:color="auto"/>
            <w:left w:val="none" w:sz="0" w:space="0" w:color="auto"/>
            <w:bottom w:val="none" w:sz="0" w:space="0" w:color="auto"/>
            <w:right w:val="none" w:sz="0" w:space="0" w:color="auto"/>
          </w:divBdr>
        </w:div>
      </w:divsChild>
    </w:div>
    <w:div w:id="1606188277">
      <w:bodyDiv w:val="1"/>
      <w:marLeft w:val="0"/>
      <w:marRight w:val="0"/>
      <w:marTop w:val="0"/>
      <w:marBottom w:val="0"/>
      <w:divBdr>
        <w:top w:val="none" w:sz="0" w:space="0" w:color="auto"/>
        <w:left w:val="none" w:sz="0" w:space="0" w:color="auto"/>
        <w:bottom w:val="none" w:sz="0" w:space="0" w:color="auto"/>
        <w:right w:val="none" w:sz="0" w:space="0" w:color="auto"/>
      </w:divBdr>
      <w:divsChild>
        <w:div w:id="62528363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ecd-ilibrary.org/taxation/oecd-transfer-pricing-guidelines-for-multinational-enterprises-and-tax-administrations-2010/special-considerations-for-intra-group-services_tpg-2010-10-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36805</Words>
  <Characters>20979</Characters>
  <Application>Microsoft Office Word</Application>
  <DocSecurity>0</DocSecurity>
  <Lines>174</Lines>
  <Paragraphs>115</Paragraphs>
  <ScaleCrop>false</ScaleCrop>
  <Company/>
  <LinksUpToDate>false</LinksUpToDate>
  <CharactersWithSpaces>57669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2018-03-12T12:51:00Z</dcterms:created>
  <dcterms:modified xsi:type="dcterms:W3CDTF">2018-04-09T12:58:00Z</dcterms:modified>
</cp:coreProperties>
</file>