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7E" w:rsidRPr="00796EF9" w:rsidRDefault="00796EF9" w:rsidP="00796EF9">
      <w:pPr>
        <w:spacing w:after="0" w:line="276" w:lineRule="auto"/>
        <w:jc w:val="both"/>
        <w:rPr>
          <w:rFonts w:cs="Times New Roman"/>
          <w:b/>
          <w:szCs w:val="24"/>
        </w:rPr>
      </w:pPr>
      <w:bookmarkStart w:id="0" w:name="_GoBack"/>
      <w:bookmarkEnd w:id="0"/>
      <w:r w:rsidRPr="00796EF9">
        <w:rPr>
          <w:rFonts w:cs="Times New Roman"/>
          <w:b/>
          <w:szCs w:val="24"/>
        </w:rPr>
        <w:t>Jaunas kasācijas sūdzības pieļaujamība</w:t>
      </w:r>
    </w:p>
    <w:p w:rsidR="00796EF9" w:rsidRDefault="00796EF9" w:rsidP="00796EF9">
      <w:pPr>
        <w:spacing w:after="0" w:line="276" w:lineRule="auto"/>
        <w:jc w:val="both"/>
        <w:rPr>
          <w:rFonts w:eastAsia="Calibri" w:cs="Times New Roman"/>
          <w:szCs w:val="24"/>
        </w:rPr>
      </w:pPr>
    </w:p>
    <w:p w:rsidR="00796EF9" w:rsidRPr="003C3006" w:rsidRDefault="00796EF9" w:rsidP="00796EF9">
      <w:pPr>
        <w:jc w:val="both"/>
        <w:rPr>
          <w:rFonts w:cs="Times New Roman"/>
          <w:szCs w:val="24"/>
        </w:rPr>
      </w:pPr>
      <w:r w:rsidRPr="003C3006">
        <w:rPr>
          <w:rFonts w:ascii="TimesNewRomanPSMT" w:hAnsi="TimesNewRomanPSMT" w:cs="TimesNewRomanPSMT"/>
          <w:szCs w:val="24"/>
        </w:rPr>
        <w:t>Jauna k</w:t>
      </w:r>
      <w:r w:rsidRPr="003C3006">
        <w:rPr>
          <w:rFonts w:cs="Times New Roman"/>
          <w:szCs w:val="24"/>
        </w:rPr>
        <w:t>asācijas sūdzība ir pieļaujama, ja apelācijas instances tiesa, skatot lietu no jauna, nav izpildījusi kasācijas instances tiesas norādījumus, pieļāvusi likuma pārkāpumu</w:t>
      </w:r>
      <w:r w:rsidR="00F036EF">
        <w:rPr>
          <w:rFonts w:cs="Times New Roman"/>
          <w:szCs w:val="24"/>
        </w:rPr>
        <w:t>s</w:t>
      </w:r>
      <w:r w:rsidRPr="003C3006">
        <w:rPr>
          <w:rFonts w:cs="Times New Roman"/>
          <w:szCs w:val="24"/>
        </w:rPr>
        <w:t xml:space="preserve"> norādījumu izpildē vai pieļāvusi Krimināllikuma pārkāpumu vai Kriminālprocesa likuma būtisku pārkāpumu lietas atkārtotā iztiesāšanā. </w:t>
      </w:r>
    </w:p>
    <w:p w:rsidR="00796EF9" w:rsidRPr="00F25004" w:rsidRDefault="00796EF9" w:rsidP="00796EF9">
      <w:pPr>
        <w:spacing w:after="0" w:line="276" w:lineRule="auto"/>
        <w:jc w:val="both"/>
        <w:rPr>
          <w:rFonts w:eastAsia="Calibri" w:cs="Times New Roman"/>
          <w:szCs w:val="24"/>
        </w:rPr>
      </w:pPr>
      <w:r w:rsidRPr="003C3006">
        <w:rPr>
          <w:rFonts w:cs="Times New Roman"/>
          <w:szCs w:val="24"/>
        </w:rPr>
        <w:t xml:space="preserve">Jaunu argumentu izvērtēšana, kas nebija norādīti iepriekšējā kasācijas sūdzībā vai kas nebija par pamatu iepriekšējā apelācijas instances tiesas nolēmuma atcelšanai, ir pretrunā ar Kriminālprocesa likuma </w:t>
      </w:r>
      <w:proofErr w:type="gramStart"/>
      <w:r w:rsidRPr="003C3006">
        <w:rPr>
          <w:rFonts w:cs="Times New Roman"/>
          <w:szCs w:val="24"/>
        </w:rPr>
        <w:t>14.pantā</w:t>
      </w:r>
      <w:proofErr w:type="gramEnd"/>
      <w:r w:rsidRPr="003C3006">
        <w:rPr>
          <w:rFonts w:cs="Times New Roman"/>
          <w:szCs w:val="24"/>
        </w:rPr>
        <w:t xml:space="preserve"> norādīto kriminālprocesa pamatprincipu</w:t>
      </w:r>
      <w:r>
        <w:rPr>
          <w:rFonts w:cs="Times New Roman"/>
          <w:szCs w:val="24"/>
        </w:rPr>
        <w:t> </w:t>
      </w:r>
      <w:r w:rsidRPr="003C3006">
        <w:rPr>
          <w:rFonts w:cs="Times New Roman"/>
          <w:szCs w:val="24"/>
        </w:rPr>
        <w:t>–</w:t>
      </w:r>
      <w:r>
        <w:rPr>
          <w:rFonts w:cs="Times New Roman"/>
          <w:szCs w:val="24"/>
        </w:rPr>
        <w:t> </w:t>
      </w:r>
      <w:r w:rsidRPr="003C3006">
        <w:rPr>
          <w:rFonts w:cs="Times New Roman"/>
          <w:szCs w:val="24"/>
        </w:rPr>
        <w:t xml:space="preserve">kriminālprocesa </w:t>
      </w:r>
      <w:r w:rsidRPr="00450B25">
        <w:rPr>
          <w:rFonts w:cs="Times New Roman"/>
          <w:szCs w:val="24"/>
        </w:rPr>
        <w:t>pabeigšanu saprātīgā termiņā –</w:t>
      </w:r>
      <w:r>
        <w:rPr>
          <w:rFonts w:cs="Times New Roman"/>
          <w:szCs w:val="24"/>
        </w:rPr>
        <w:t xml:space="preserve">, </w:t>
      </w:r>
      <w:r w:rsidRPr="00450B25">
        <w:rPr>
          <w:rFonts w:cs="Times New Roman"/>
          <w:szCs w:val="24"/>
        </w:rPr>
        <w:t>jo atbilstoši Kriminālprocesa likuma 584.pantam tiesas nolēmumu pārbaude notiek kasācijas sūdzībā vai protestā izteikto prasību apjomā un ietvaros, bet kasācijas instances tiesa drīkst arī pārsniegt kasācijas sūdzībā vai protestā izteikto</w:t>
      </w:r>
      <w:r w:rsidRPr="003C3006">
        <w:rPr>
          <w:rFonts w:cs="Times New Roman"/>
          <w:szCs w:val="24"/>
        </w:rPr>
        <w:t xml:space="preserve"> prasību apjomu un ietvarus gadījumos, kad tā konstatē Kriminālprocesa likuma 574. un 575.pantā norādītos pārkāpumus un tie nav norādīti sūdzībā vai protestā.</w:t>
      </w:r>
    </w:p>
    <w:p w:rsidR="00B6017E" w:rsidRPr="00F25004" w:rsidRDefault="00B6017E" w:rsidP="002D0DE5">
      <w:pPr>
        <w:spacing w:after="0" w:line="276" w:lineRule="auto"/>
        <w:jc w:val="right"/>
        <w:rPr>
          <w:rFonts w:eastAsia="Calibri" w:cs="Times New Roman"/>
          <w:szCs w:val="24"/>
        </w:rPr>
      </w:pPr>
    </w:p>
    <w:p w:rsidR="00B6017E" w:rsidRPr="00F25004" w:rsidRDefault="00B6017E" w:rsidP="002D0DE5">
      <w:pPr>
        <w:spacing w:after="0" w:line="276" w:lineRule="auto"/>
        <w:jc w:val="right"/>
        <w:rPr>
          <w:rFonts w:eastAsia="Calibri"/>
          <w:szCs w:val="24"/>
        </w:rPr>
      </w:pPr>
    </w:p>
    <w:p w:rsidR="00796EF9" w:rsidRPr="00796EF9" w:rsidRDefault="00B6017E" w:rsidP="002D0DE5">
      <w:pPr>
        <w:spacing w:after="0" w:line="276" w:lineRule="auto"/>
        <w:jc w:val="center"/>
        <w:rPr>
          <w:rFonts w:eastAsia="Calibri" w:cs="Times New Roman"/>
          <w:b/>
          <w:szCs w:val="24"/>
        </w:rPr>
      </w:pPr>
      <w:r w:rsidRPr="00796EF9">
        <w:rPr>
          <w:rFonts w:eastAsia="Calibri" w:cs="Times New Roman"/>
          <w:b/>
          <w:szCs w:val="24"/>
        </w:rPr>
        <w:t>Latvijas Republikas Augstākā</w:t>
      </w:r>
      <w:r w:rsidR="00796EF9" w:rsidRPr="00796EF9">
        <w:rPr>
          <w:rFonts w:eastAsia="Calibri" w:cs="Times New Roman"/>
          <w:b/>
          <w:szCs w:val="24"/>
        </w:rPr>
        <w:t>s</w:t>
      </w:r>
      <w:r w:rsidRPr="00796EF9">
        <w:rPr>
          <w:rFonts w:eastAsia="Calibri" w:cs="Times New Roman"/>
          <w:b/>
          <w:szCs w:val="24"/>
        </w:rPr>
        <w:t xml:space="preserve"> tiesa</w:t>
      </w:r>
      <w:r w:rsidR="00796EF9" w:rsidRPr="00796EF9">
        <w:rPr>
          <w:rFonts w:eastAsia="Calibri" w:cs="Times New Roman"/>
          <w:b/>
          <w:szCs w:val="24"/>
        </w:rPr>
        <w:t xml:space="preserve">s </w:t>
      </w:r>
    </w:p>
    <w:p w:rsidR="00796EF9" w:rsidRPr="00796EF9" w:rsidRDefault="00796EF9" w:rsidP="002D0DE5">
      <w:pPr>
        <w:spacing w:after="0" w:line="276" w:lineRule="auto"/>
        <w:jc w:val="center"/>
        <w:rPr>
          <w:rFonts w:eastAsia="Calibri" w:cs="Times New Roman"/>
          <w:b/>
          <w:szCs w:val="24"/>
        </w:rPr>
      </w:pPr>
      <w:r w:rsidRPr="00796EF9">
        <w:rPr>
          <w:rFonts w:eastAsia="Calibri" w:cs="Times New Roman"/>
          <w:b/>
          <w:szCs w:val="24"/>
        </w:rPr>
        <w:t>Krimināllietu departamenta</w:t>
      </w:r>
    </w:p>
    <w:p w:rsidR="00B6017E" w:rsidRPr="00796EF9" w:rsidRDefault="00796EF9" w:rsidP="002D0DE5">
      <w:pPr>
        <w:spacing w:after="0" w:line="276" w:lineRule="auto"/>
        <w:jc w:val="center"/>
        <w:rPr>
          <w:rFonts w:eastAsia="Calibri" w:cs="Times New Roman"/>
          <w:b/>
          <w:szCs w:val="24"/>
        </w:rPr>
      </w:pPr>
      <w:proofErr w:type="gramStart"/>
      <w:r w:rsidRPr="00796EF9">
        <w:rPr>
          <w:rFonts w:eastAsia="Calibri" w:cs="Times New Roman"/>
          <w:b/>
          <w:szCs w:val="24"/>
        </w:rPr>
        <w:t>2018.gada</w:t>
      </w:r>
      <w:proofErr w:type="gramEnd"/>
      <w:r w:rsidRPr="00796EF9">
        <w:rPr>
          <w:rFonts w:eastAsia="Calibri" w:cs="Times New Roman"/>
          <w:b/>
          <w:szCs w:val="24"/>
        </w:rPr>
        <w:t xml:space="preserve"> 25.aprīļa</w:t>
      </w:r>
    </w:p>
    <w:p w:rsidR="00796EF9" w:rsidRPr="00796EF9" w:rsidRDefault="00B6017E" w:rsidP="00796EF9">
      <w:pPr>
        <w:spacing w:after="0" w:line="276" w:lineRule="auto"/>
        <w:jc w:val="center"/>
        <w:rPr>
          <w:rFonts w:eastAsia="Calibri" w:cs="Times New Roman"/>
          <w:b/>
          <w:szCs w:val="24"/>
        </w:rPr>
      </w:pPr>
      <w:r w:rsidRPr="00796EF9">
        <w:rPr>
          <w:rFonts w:eastAsia="Calibri" w:cs="Times New Roman"/>
          <w:b/>
          <w:szCs w:val="24"/>
        </w:rPr>
        <w:t>LĒMUMS</w:t>
      </w:r>
      <w:r w:rsidR="00796EF9" w:rsidRPr="00796EF9">
        <w:rPr>
          <w:rFonts w:eastAsia="Calibri" w:cs="Times New Roman"/>
          <w:b/>
          <w:szCs w:val="24"/>
        </w:rPr>
        <w:t xml:space="preserve"> </w:t>
      </w:r>
    </w:p>
    <w:p w:rsidR="00796EF9" w:rsidRPr="00796EF9" w:rsidRDefault="00796EF9" w:rsidP="00796EF9">
      <w:pPr>
        <w:spacing w:after="0" w:line="276" w:lineRule="auto"/>
        <w:jc w:val="center"/>
        <w:rPr>
          <w:rFonts w:eastAsia="Calibri" w:cs="Times New Roman"/>
          <w:b/>
          <w:szCs w:val="24"/>
        </w:rPr>
      </w:pPr>
      <w:r w:rsidRPr="00796EF9">
        <w:rPr>
          <w:rFonts w:eastAsia="Calibri" w:cs="Times New Roman"/>
          <w:b/>
          <w:szCs w:val="24"/>
        </w:rPr>
        <w:t>Lieta Nr.11092105512, SKK-168/201</w:t>
      </w:r>
      <w:r w:rsidR="002176CF">
        <w:rPr>
          <w:rFonts w:eastAsia="Calibri" w:cs="Times New Roman"/>
          <w:b/>
          <w:szCs w:val="24"/>
        </w:rPr>
        <w:t>8</w:t>
      </w:r>
    </w:p>
    <w:p w:rsidR="00796EF9" w:rsidRPr="00796EF9" w:rsidRDefault="00796EF9" w:rsidP="00796EF9">
      <w:pPr>
        <w:spacing w:after="0" w:line="276" w:lineRule="auto"/>
        <w:jc w:val="center"/>
        <w:rPr>
          <w:rFonts w:eastAsia="Calibri" w:cs="Times New Roman"/>
          <w:b/>
          <w:szCs w:val="24"/>
        </w:rPr>
      </w:pPr>
      <w:r w:rsidRPr="00796EF9">
        <w:rPr>
          <w:b/>
        </w:rPr>
        <w:t>ECLI:LV:AT:2018:0425.11092105512.2.L</w:t>
      </w:r>
    </w:p>
    <w:p w:rsidR="00B6017E" w:rsidRPr="00F25004" w:rsidRDefault="00B6017E" w:rsidP="002D0DE5">
      <w:pPr>
        <w:spacing w:after="0" w:line="276" w:lineRule="auto"/>
        <w:jc w:val="center"/>
        <w:rPr>
          <w:rFonts w:eastAsia="Calibri" w:cs="Times New Roman"/>
          <w:b/>
          <w:szCs w:val="24"/>
        </w:rPr>
      </w:pPr>
    </w:p>
    <w:p w:rsidR="00B6017E" w:rsidRPr="00F25004" w:rsidRDefault="00B6017E" w:rsidP="002D0DE5">
      <w:pPr>
        <w:spacing w:after="0" w:line="276" w:lineRule="auto"/>
        <w:rPr>
          <w:rFonts w:eastAsia="Calibri" w:cs="Times New Roman"/>
          <w:szCs w:val="24"/>
        </w:rPr>
      </w:pPr>
    </w:p>
    <w:p w:rsidR="00B6017E" w:rsidRPr="00F25004" w:rsidRDefault="00B6017E" w:rsidP="002D0DE5">
      <w:pPr>
        <w:spacing w:after="0" w:line="276" w:lineRule="auto"/>
        <w:ind w:firstLine="567"/>
        <w:jc w:val="both"/>
        <w:rPr>
          <w:rFonts w:eastAsia="Calibri" w:cs="Times New Roman"/>
          <w:szCs w:val="24"/>
        </w:rPr>
      </w:pPr>
      <w:r w:rsidRPr="00F25004">
        <w:rPr>
          <w:rFonts w:eastAsia="Calibri" w:cs="Times New Roman"/>
          <w:szCs w:val="24"/>
        </w:rPr>
        <w:t xml:space="preserve">Augstākā tiesa šādā sastāvā: </w:t>
      </w:r>
    </w:p>
    <w:p w:rsidR="00B6017E" w:rsidRPr="00F25004" w:rsidRDefault="00B6017E" w:rsidP="002D0DE5">
      <w:pPr>
        <w:spacing w:after="0" w:line="276" w:lineRule="auto"/>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p>
    <w:p w:rsidR="00B6017E" w:rsidRPr="00F25004" w:rsidRDefault="00B6017E" w:rsidP="002D0DE5">
      <w:pPr>
        <w:tabs>
          <w:tab w:val="left" w:pos="567"/>
        </w:tabs>
        <w:spacing w:after="0" w:line="276" w:lineRule="auto"/>
        <w:jc w:val="both"/>
        <w:rPr>
          <w:rFonts w:eastAsia="Calibri" w:cs="Times New Roman"/>
          <w:szCs w:val="24"/>
        </w:rPr>
      </w:pPr>
      <w:r w:rsidRPr="00F25004">
        <w:rPr>
          <w:rFonts w:eastAsia="Calibri" w:cs="Times New Roman"/>
          <w:szCs w:val="24"/>
        </w:rPr>
        <w:tab/>
        <w:t xml:space="preserve">tiesnesis Pēteris </w:t>
      </w:r>
      <w:proofErr w:type="spellStart"/>
      <w:r w:rsidRPr="00F25004">
        <w:rPr>
          <w:rFonts w:eastAsia="Calibri" w:cs="Times New Roman"/>
          <w:szCs w:val="24"/>
        </w:rPr>
        <w:t>Dzalbe</w:t>
      </w:r>
      <w:proofErr w:type="spellEnd"/>
      <w:r w:rsidRPr="00F25004">
        <w:rPr>
          <w:rFonts w:eastAsia="Calibri" w:cs="Times New Roman"/>
          <w:szCs w:val="24"/>
        </w:rPr>
        <w:t>,</w:t>
      </w:r>
    </w:p>
    <w:p w:rsidR="00B6017E" w:rsidRPr="00F25004" w:rsidRDefault="00B6017E" w:rsidP="002D0DE5">
      <w:pPr>
        <w:tabs>
          <w:tab w:val="left" w:pos="567"/>
        </w:tabs>
        <w:spacing w:after="0" w:line="276" w:lineRule="auto"/>
        <w:jc w:val="both"/>
        <w:rPr>
          <w:rFonts w:eastAsia="Calibri" w:cs="Times New Roman"/>
          <w:szCs w:val="24"/>
        </w:rPr>
      </w:pPr>
      <w:r w:rsidRPr="00F25004">
        <w:rPr>
          <w:rFonts w:eastAsia="Calibri" w:cs="Times New Roman"/>
          <w:szCs w:val="24"/>
        </w:rPr>
        <w:tab/>
        <w:t>tiesnes</w:t>
      </w:r>
      <w:r>
        <w:rPr>
          <w:rFonts w:eastAsia="Calibri" w:cs="Times New Roman"/>
          <w:szCs w:val="24"/>
        </w:rPr>
        <w:t>is</w:t>
      </w:r>
      <w:r w:rsidR="00BB5F53">
        <w:rPr>
          <w:rFonts w:eastAsia="Calibri" w:cs="Times New Roman"/>
          <w:szCs w:val="24"/>
        </w:rPr>
        <w:t xml:space="preserve"> Voldemārs Čiževskis</w:t>
      </w:r>
      <w:r w:rsidRPr="00F25004">
        <w:rPr>
          <w:rFonts w:eastAsia="Calibri" w:cs="Times New Roman"/>
          <w:szCs w:val="24"/>
        </w:rPr>
        <w:t>,</w:t>
      </w:r>
    </w:p>
    <w:p w:rsidR="00B6017E" w:rsidRDefault="00B6017E" w:rsidP="002D0DE5">
      <w:pPr>
        <w:tabs>
          <w:tab w:val="left" w:pos="567"/>
        </w:tabs>
        <w:spacing w:after="0" w:line="276" w:lineRule="auto"/>
        <w:jc w:val="both"/>
        <w:rPr>
          <w:rFonts w:eastAsia="Calibri" w:cs="Times New Roman"/>
          <w:szCs w:val="24"/>
        </w:rPr>
      </w:pPr>
      <w:r w:rsidRPr="00F25004">
        <w:rPr>
          <w:rFonts w:eastAsia="Calibri" w:cs="Times New Roman"/>
          <w:szCs w:val="24"/>
        </w:rPr>
        <w:tab/>
        <w:t>tiesnes</w:t>
      </w:r>
      <w:r w:rsidR="00414E84">
        <w:rPr>
          <w:rFonts w:eastAsia="Calibri" w:cs="Times New Roman"/>
          <w:szCs w:val="24"/>
        </w:rPr>
        <w:t>is</w:t>
      </w:r>
      <w:r w:rsidRPr="00F25004">
        <w:rPr>
          <w:rFonts w:eastAsia="Calibri" w:cs="Times New Roman"/>
          <w:szCs w:val="24"/>
        </w:rPr>
        <w:t xml:space="preserve"> </w:t>
      </w:r>
      <w:r w:rsidR="00BB5F53">
        <w:rPr>
          <w:rFonts w:eastAsia="Calibri" w:cs="Times New Roman"/>
          <w:szCs w:val="24"/>
        </w:rPr>
        <w:t>Pēteris Opincāns</w:t>
      </w:r>
    </w:p>
    <w:p w:rsidR="00B6017E" w:rsidRDefault="00B6017E" w:rsidP="002D0DE5">
      <w:pPr>
        <w:spacing w:after="0" w:line="276" w:lineRule="auto"/>
        <w:jc w:val="both"/>
        <w:rPr>
          <w:rFonts w:eastAsia="Calibri" w:cs="Times New Roman"/>
          <w:szCs w:val="24"/>
        </w:rPr>
      </w:pPr>
    </w:p>
    <w:p w:rsidR="00B6017E" w:rsidRPr="00F25004" w:rsidRDefault="00B6017E" w:rsidP="002D0DE5">
      <w:pPr>
        <w:spacing w:after="0" w:line="276" w:lineRule="auto"/>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 xml:space="preserve">apsūdzētā </w:t>
      </w:r>
      <w:r w:rsidR="00796EF9">
        <w:rPr>
          <w:rFonts w:eastAsia="Calibri" w:cs="Times New Roman"/>
          <w:szCs w:val="24"/>
        </w:rPr>
        <w:t>[pers. A]</w:t>
      </w:r>
      <w:r>
        <w:rPr>
          <w:rFonts w:eastAsia="Calibri" w:cs="Times New Roman"/>
          <w:szCs w:val="24"/>
        </w:rPr>
        <w:t xml:space="preserve"> un viņa aizstāvja Pētera Kušnera </w:t>
      </w:r>
      <w:r w:rsidRPr="00F25004">
        <w:rPr>
          <w:rFonts w:eastAsia="Calibri" w:cs="Times New Roman"/>
          <w:szCs w:val="24"/>
        </w:rPr>
        <w:t xml:space="preserve">kasācijas </w:t>
      </w:r>
      <w:r>
        <w:rPr>
          <w:rFonts w:eastAsia="Calibri" w:cs="Times New Roman"/>
          <w:szCs w:val="24"/>
        </w:rPr>
        <w:t xml:space="preserve">sūdzībām </w:t>
      </w:r>
      <w:r w:rsidRPr="00F25004">
        <w:rPr>
          <w:rFonts w:eastAsia="Calibri" w:cs="Times New Roman"/>
          <w:szCs w:val="24"/>
        </w:rPr>
        <w:t xml:space="preserve">par </w:t>
      </w:r>
      <w:r>
        <w:rPr>
          <w:rFonts w:eastAsia="Calibri" w:cs="Times New Roman"/>
          <w:szCs w:val="24"/>
        </w:rPr>
        <w:t xml:space="preserve">Rīgas </w:t>
      </w:r>
      <w:r w:rsidRPr="00F25004">
        <w:rPr>
          <w:rFonts w:eastAsia="Calibri" w:cs="Times New Roman"/>
          <w:szCs w:val="24"/>
        </w:rPr>
        <w:t xml:space="preserve">apgabaltiesas </w:t>
      </w:r>
      <w:proofErr w:type="gramStart"/>
      <w:r w:rsidRPr="00F25004">
        <w:rPr>
          <w:rFonts w:eastAsia="Calibri" w:cs="Times New Roman"/>
          <w:szCs w:val="24"/>
        </w:rPr>
        <w:t>2017.gada</w:t>
      </w:r>
      <w:proofErr w:type="gramEnd"/>
      <w:r w:rsidRPr="00F25004">
        <w:rPr>
          <w:rFonts w:eastAsia="Calibri" w:cs="Times New Roman"/>
          <w:szCs w:val="24"/>
        </w:rPr>
        <w:t xml:space="preserve"> </w:t>
      </w:r>
      <w:r>
        <w:rPr>
          <w:rFonts w:eastAsia="Calibri" w:cs="Times New Roman"/>
          <w:szCs w:val="24"/>
        </w:rPr>
        <w:t>13.decembra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w:t>
      </w:r>
    </w:p>
    <w:p w:rsidR="00B6017E" w:rsidRPr="00F25004" w:rsidRDefault="00B6017E" w:rsidP="002D0DE5">
      <w:pPr>
        <w:keepNext/>
        <w:spacing w:after="0" w:line="276" w:lineRule="auto"/>
        <w:jc w:val="center"/>
        <w:outlineLvl w:val="1"/>
        <w:rPr>
          <w:rFonts w:eastAsia="Calibri" w:cs="Times New Roman"/>
          <w:b/>
          <w:bCs/>
          <w:iCs/>
          <w:szCs w:val="24"/>
        </w:rPr>
      </w:pPr>
    </w:p>
    <w:p w:rsidR="00B6017E" w:rsidRPr="00F25004" w:rsidRDefault="00B6017E" w:rsidP="002D0DE5">
      <w:pPr>
        <w:keepNext/>
        <w:spacing w:after="0" w:line="276" w:lineRule="auto"/>
        <w:jc w:val="center"/>
        <w:outlineLvl w:val="1"/>
        <w:rPr>
          <w:rFonts w:eastAsia="Calibri" w:cs="Times New Roman"/>
          <w:b/>
          <w:bCs/>
          <w:iCs/>
          <w:szCs w:val="24"/>
        </w:rPr>
      </w:pPr>
      <w:r w:rsidRPr="00F25004">
        <w:rPr>
          <w:rFonts w:eastAsia="Calibri" w:cs="Times New Roman"/>
          <w:b/>
          <w:bCs/>
          <w:iCs/>
          <w:szCs w:val="24"/>
        </w:rPr>
        <w:t>Aprakstošā daļa</w:t>
      </w:r>
    </w:p>
    <w:p w:rsidR="00B6017E" w:rsidRPr="00F25004" w:rsidRDefault="00B6017E" w:rsidP="002D0DE5">
      <w:pPr>
        <w:spacing w:after="0" w:line="276" w:lineRule="auto"/>
        <w:jc w:val="center"/>
        <w:rPr>
          <w:rFonts w:eastAsia="Calibri" w:cs="Times New Roman"/>
          <w:szCs w:val="24"/>
        </w:rPr>
      </w:pPr>
    </w:p>
    <w:p w:rsidR="00B6017E" w:rsidRPr="00F25004" w:rsidRDefault="00B6017E" w:rsidP="002D0DE5">
      <w:pPr>
        <w:spacing w:after="0" w:line="276" w:lineRule="auto"/>
        <w:ind w:firstLine="567"/>
        <w:jc w:val="both"/>
        <w:rPr>
          <w:rFonts w:eastAsia="Calibri" w:cs="Times New Roman"/>
          <w:szCs w:val="24"/>
        </w:rPr>
      </w:pPr>
      <w:r w:rsidRPr="00F25004">
        <w:rPr>
          <w:rFonts w:eastAsia="Calibri" w:cs="Times New Roman"/>
          <w:szCs w:val="24"/>
        </w:rPr>
        <w:t xml:space="preserve">[1] Ar </w:t>
      </w:r>
      <w:r>
        <w:rPr>
          <w:rFonts w:eastAsia="Calibri" w:cs="Times New Roman"/>
          <w:szCs w:val="24"/>
        </w:rPr>
        <w:t xml:space="preserve">Rīgas pilsētas Ziemeļu rajona tiesas </w:t>
      </w:r>
      <w:proofErr w:type="gramStart"/>
      <w:r>
        <w:rPr>
          <w:rFonts w:eastAsia="Calibri" w:cs="Times New Roman"/>
          <w:szCs w:val="24"/>
        </w:rPr>
        <w:t>2015</w:t>
      </w:r>
      <w:r w:rsidRPr="00F25004">
        <w:rPr>
          <w:rFonts w:eastAsia="Calibri" w:cs="Times New Roman"/>
          <w:szCs w:val="24"/>
        </w:rPr>
        <w:t>.gada</w:t>
      </w:r>
      <w:proofErr w:type="gramEnd"/>
      <w:r w:rsidRPr="00F25004">
        <w:rPr>
          <w:rFonts w:eastAsia="Calibri" w:cs="Times New Roman"/>
          <w:szCs w:val="24"/>
        </w:rPr>
        <w:t xml:space="preserve"> </w:t>
      </w:r>
      <w:r>
        <w:rPr>
          <w:rFonts w:eastAsia="Calibri" w:cs="Times New Roman"/>
          <w:szCs w:val="24"/>
        </w:rPr>
        <w:t>12.marta</w:t>
      </w:r>
      <w:r w:rsidRPr="00F25004">
        <w:rPr>
          <w:rFonts w:eastAsia="Calibri" w:cs="Times New Roman"/>
          <w:szCs w:val="24"/>
        </w:rPr>
        <w:t xml:space="preserve"> spriedumu</w:t>
      </w:r>
    </w:p>
    <w:p w:rsidR="00B6017E" w:rsidRPr="00F25004" w:rsidRDefault="00796EF9" w:rsidP="002D0DE5">
      <w:pPr>
        <w:spacing w:after="0" w:line="276" w:lineRule="auto"/>
        <w:ind w:firstLine="567"/>
        <w:jc w:val="both"/>
        <w:rPr>
          <w:rFonts w:eastAsia="Calibri" w:cs="Times New Roman"/>
          <w:szCs w:val="24"/>
        </w:rPr>
      </w:pPr>
      <w:r>
        <w:rPr>
          <w:rFonts w:eastAsia="Calibri" w:cs="Times New Roman"/>
          <w:szCs w:val="24"/>
        </w:rPr>
        <w:t>[Pers. A]</w:t>
      </w:r>
      <w:r w:rsidR="00B6017E" w:rsidRPr="00F25004">
        <w:rPr>
          <w:rFonts w:eastAsia="Calibri" w:cs="Times New Roman"/>
          <w:szCs w:val="24"/>
        </w:rPr>
        <w:t>,</w:t>
      </w:r>
      <w:r w:rsidR="00B6017E" w:rsidRPr="00F25004">
        <w:rPr>
          <w:rFonts w:eastAsia="Calibri" w:cs="Times New Roman"/>
          <w:b/>
          <w:szCs w:val="24"/>
        </w:rPr>
        <w:t xml:space="preserve"> </w:t>
      </w:r>
      <w:r w:rsidR="00B6017E" w:rsidRPr="00F25004">
        <w:rPr>
          <w:rFonts w:eastAsia="Calibri" w:cs="Times New Roman"/>
          <w:szCs w:val="24"/>
        </w:rPr>
        <w:t xml:space="preserve">personas kods </w:t>
      </w:r>
      <w:r>
        <w:rPr>
          <w:rFonts w:eastAsia="Calibri" w:cs="Times New Roman"/>
          <w:szCs w:val="24"/>
        </w:rPr>
        <w:t>[..]</w:t>
      </w:r>
      <w:r w:rsidR="00B6017E" w:rsidRPr="00F25004">
        <w:rPr>
          <w:rFonts w:eastAsia="Calibri" w:cs="Times New Roman"/>
          <w:szCs w:val="24"/>
        </w:rPr>
        <w:t>,</w:t>
      </w:r>
    </w:p>
    <w:p w:rsidR="00B6017E" w:rsidRDefault="00B6017E" w:rsidP="002D0DE5">
      <w:pPr>
        <w:spacing w:after="0" w:line="276" w:lineRule="auto"/>
        <w:ind w:firstLine="567"/>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proofErr w:type="gramStart"/>
      <w:r>
        <w:rPr>
          <w:rFonts w:eastAsia="Calibri" w:cs="Times New Roman"/>
          <w:szCs w:val="24"/>
        </w:rPr>
        <w:t>116</w:t>
      </w:r>
      <w:r w:rsidRPr="00F25004">
        <w:rPr>
          <w:rFonts w:eastAsia="Calibri" w:cs="Times New Roman"/>
          <w:szCs w:val="24"/>
        </w:rPr>
        <w:t>.</w:t>
      </w:r>
      <w:r>
        <w:rPr>
          <w:rFonts w:eastAsia="Calibri" w:cs="Times New Roman"/>
          <w:szCs w:val="24"/>
        </w:rPr>
        <w:t>pantā</w:t>
      </w:r>
      <w:proofErr w:type="gramEnd"/>
      <w:r w:rsidRPr="00F25004">
        <w:rPr>
          <w:rFonts w:eastAsia="Calibri" w:cs="Times New Roman"/>
          <w:szCs w:val="24"/>
        </w:rPr>
        <w:t xml:space="preserve"> paredzētajā noziedzīgajā nodarījumā un sodīt</w:t>
      </w:r>
      <w:r>
        <w:rPr>
          <w:rFonts w:eastAsia="Calibri" w:cs="Times New Roman"/>
          <w:szCs w:val="24"/>
        </w:rPr>
        <w:t>s</w:t>
      </w:r>
      <w:r w:rsidRPr="00F25004">
        <w:rPr>
          <w:rFonts w:eastAsia="Calibri" w:cs="Times New Roman"/>
          <w:szCs w:val="24"/>
        </w:rPr>
        <w:t xml:space="preserve"> ar </w:t>
      </w:r>
      <w:r>
        <w:rPr>
          <w:rFonts w:eastAsia="Calibri" w:cs="Times New Roman"/>
          <w:szCs w:val="24"/>
        </w:rPr>
        <w:t>brīvības atņemšanu uz 10 gadiem, ar probācijas uzraudzību uz 3 gadiem;</w:t>
      </w:r>
    </w:p>
    <w:p w:rsidR="00B6017E" w:rsidRDefault="00B6017E" w:rsidP="002D0DE5">
      <w:pPr>
        <w:spacing w:after="0" w:line="276" w:lineRule="auto"/>
        <w:ind w:firstLine="567"/>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proofErr w:type="gramStart"/>
      <w:r>
        <w:rPr>
          <w:rFonts w:eastAsia="Calibri" w:cs="Times New Roman"/>
          <w:szCs w:val="24"/>
        </w:rPr>
        <w:t>193</w:t>
      </w:r>
      <w:r w:rsidRPr="00F25004">
        <w:rPr>
          <w:rFonts w:eastAsia="Calibri" w:cs="Times New Roman"/>
          <w:szCs w:val="24"/>
        </w:rPr>
        <w:t>.panta</w:t>
      </w:r>
      <w:proofErr w:type="gramEnd"/>
      <w:r w:rsidRPr="00F25004">
        <w:rPr>
          <w:rFonts w:eastAsia="Calibri" w:cs="Times New Roman"/>
          <w:szCs w:val="24"/>
        </w:rPr>
        <w:t xml:space="preserve"> </w:t>
      </w:r>
      <w:r>
        <w:rPr>
          <w:rFonts w:eastAsia="Calibri" w:cs="Times New Roman"/>
          <w:szCs w:val="24"/>
        </w:rPr>
        <w:t>otrajā</w:t>
      </w:r>
      <w:r w:rsidRPr="00F25004">
        <w:rPr>
          <w:rFonts w:eastAsia="Calibri" w:cs="Times New Roman"/>
          <w:szCs w:val="24"/>
        </w:rPr>
        <w:t xml:space="preserve"> daļā paredzētajā noziedzīgajā nodarījumā un sodīt</w:t>
      </w:r>
      <w:r>
        <w:rPr>
          <w:rFonts w:eastAsia="Calibri" w:cs="Times New Roman"/>
          <w:szCs w:val="24"/>
        </w:rPr>
        <w:t>s</w:t>
      </w:r>
      <w:r w:rsidRPr="00F25004">
        <w:rPr>
          <w:rFonts w:eastAsia="Calibri" w:cs="Times New Roman"/>
          <w:szCs w:val="24"/>
        </w:rPr>
        <w:t xml:space="preserve"> ar </w:t>
      </w:r>
      <w:r>
        <w:rPr>
          <w:rFonts w:eastAsia="Calibri" w:cs="Times New Roman"/>
          <w:szCs w:val="24"/>
        </w:rPr>
        <w:t>brīvības atņemšanu uz 4 mēnešiem.</w:t>
      </w:r>
    </w:p>
    <w:p w:rsidR="00B6017E" w:rsidRDefault="00B6017E"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piekto daļu </w:t>
      </w:r>
      <w:r w:rsidR="00796EF9">
        <w:rPr>
          <w:rFonts w:eastAsia="Calibri" w:cs="Times New Roman"/>
          <w:szCs w:val="24"/>
        </w:rPr>
        <w:t>[pers. A]</w:t>
      </w:r>
      <w:r>
        <w:rPr>
          <w:rFonts w:eastAsia="Calibri" w:cs="Times New Roman"/>
          <w:szCs w:val="24"/>
        </w:rPr>
        <w:t xml:space="preserve"> sods noteikts brīvības atņemšana uz 10 gadiem 3 mēnešiem un probācijas uzraudzība uz 3 gadiem.</w:t>
      </w:r>
    </w:p>
    <w:p w:rsidR="00B6017E" w:rsidRDefault="00B6017E"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piekto daļu </w:t>
      </w:r>
      <w:r w:rsidR="00796EF9">
        <w:rPr>
          <w:rFonts w:eastAsia="Calibri" w:cs="Times New Roman"/>
          <w:szCs w:val="24"/>
        </w:rPr>
        <w:t>[pers. A]</w:t>
      </w:r>
      <w:r>
        <w:rPr>
          <w:rFonts w:eastAsia="Calibri" w:cs="Times New Roman"/>
          <w:szCs w:val="24"/>
        </w:rPr>
        <w:t xml:space="preserve"> galīgais sods noteikts brīvības atņemšana uz 10 gadiem 4 mēnešiem un </w:t>
      </w:r>
      <w:r w:rsidR="00210857">
        <w:rPr>
          <w:rFonts w:eastAsia="Calibri" w:cs="Times New Roman"/>
          <w:szCs w:val="24"/>
        </w:rPr>
        <w:t>probācijas uzraudzība</w:t>
      </w:r>
      <w:r>
        <w:rPr>
          <w:rFonts w:eastAsia="Calibri" w:cs="Times New Roman"/>
          <w:szCs w:val="24"/>
        </w:rPr>
        <w:t xml:space="preserve"> uz 3 gadiem.</w:t>
      </w:r>
    </w:p>
    <w:p w:rsidR="007D7EC3" w:rsidRDefault="00B6017E" w:rsidP="002D0DE5">
      <w:pPr>
        <w:spacing w:after="0" w:line="276" w:lineRule="auto"/>
        <w:ind w:firstLine="567"/>
        <w:jc w:val="both"/>
        <w:rPr>
          <w:rFonts w:eastAsia="Calibri" w:cs="Times New Roman"/>
          <w:szCs w:val="24"/>
        </w:rPr>
      </w:pPr>
      <w:r>
        <w:rPr>
          <w:rFonts w:eastAsia="Calibri" w:cs="Times New Roman"/>
          <w:szCs w:val="24"/>
        </w:rPr>
        <w:lastRenderedPageBreak/>
        <w:t>[1.1</w:t>
      </w:r>
      <w:r w:rsidRPr="00F25004">
        <w:rPr>
          <w:rFonts w:eastAsia="Calibri" w:cs="Times New Roman"/>
          <w:szCs w:val="24"/>
        </w:rPr>
        <w:t xml:space="preserve">] Ar pirmās instances tiesas spriedumu </w:t>
      </w:r>
      <w:r w:rsidR="00796EF9">
        <w:rPr>
          <w:rFonts w:eastAsia="Calibri" w:cs="Times New Roman"/>
          <w:szCs w:val="24"/>
        </w:rPr>
        <w:t>[pers. A]</w:t>
      </w:r>
      <w:r w:rsidRPr="00F25004">
        <w:rPr>
          <w:rFonts w:eastAsia="Calibri" w:cs="Times New Roman"/>
          <w:szCs w:val="24"/>
        </w:rPr>
        <w:t xml:space="preserve"> atzīt</w:t>
      </w:r>
      <w:r>
        <w:rPr>
          <w:rFonts w:eastAsia="Calibri" w:cs="Times New Roman"/>
          <w:szCs w:val="24"/>
        </w:rPr>
        <w:t>s</w:t>
      </w:r>
      <w:r w:rsidRPr="00F25004">
        <w:rPr>
          <w:rFonts w:eastAsia="Calibri" w:cs="Times New Roman"/>
          <w:szCs w:val="24"/>
        </w:rPr>
        <w:t xml:space="preserve"> par vainīgu un sodīt</w:t>
      </w:r>
      <w:r>
        <w:rPr>
          <w:rFonts w:eastAsia="Calibri" w:cs="Times New Roman"/>
          <w:szCs w:val="24"/>
        </w:rPr>
        <w:t>s</w:t>
      </w:r>
      <w:r w:rsidRPr="00F25004">
        <w:rPr>
          <w:rFonts w:eastAsia="Calibri" w:cs="Times New Roman"/>
          <w:szCs w:val="24"/>
        </w:rPr>
        <w:t xml:space="preserve"> </w:t>
      </w:r>
      <w:r w:rsidR="00B87089">
        <w:rPr>
          <w:rFonts w:eastAsia="Calibri" w:cs="Times New Roman"/>
          <w:szCs w:val="24"/>
        </w:rPr>
        <w:t xml:space="preserve">par to, ka viņš </w:t>
      </w:r>
      <w:proofErr w:type="gramStart"/>
      <w:r w:rsidR="00B87089">
        <w:rPr>
          <w:rFonts w:eastAsia="Calibri" w:cs="Times New Roman"/>
          <w:szCs w:val="24"/>
        </w:rPr>
        <w:t>2012.gada</w:t>
      </w:r>
      <w:proofErr w:type="gramEnd"/>
      <w:r w:rsidR="0003584E">
        <w:rPr>
          <w:rFonts w:eastAsia="Calibri" w:cs="Times New Roman"/>
          <w:szCs w:val="24"/>
        </w:rPr>
        <w:t xml:space="preserve"> laikā periodā no 27.jūlija līdz augusta sākumam dzīvoklī </w:t>
      </w:r>
      <w:r w:rsidR="00796EF9">
        <w:rPr>
          <w:rFonts w:eastAsia="Calibri" w:cs="Times New Roman"/>
          <w:szCs w:val="24"/>
        </w:rPr>
        <w:t>[adrese]</w:t>
      </w:r>
      <w:r w:rsidR="0003584E">
        <w:rPr>
          <w:rFonts w:eastAsia="Calibri" w:cs="Times New Roman"/>
          <w:szCs w:val="24"/>
        </w:rPr>
        <w:t xml:space="preserve"> tīši prettiesiski nonāvēja </w:t>
      </w:r>
      <w:r w:rsidR="00A90FCE">
        <w:rPr>
          <w:rFonts w:eastAsia="Calibri" w:cs="Times New Roman"/>
          <w:szCs w:val="24"/>
        </w:rPr>
        <w:t>[pers. B]</w:t>
      </w:r>
      <w:r w:rsidR="0003584E">
        <w:rPr>
          <w:rFonts w:eastAsia="Calibri" w:cs="Times New Roman"/>
          <w:szCs w:val="24"/>
        </w:rPr>
        <w:t>.</w:t>
      </w:r>
    </w:p>
    <w:p w:rsidR="0003584E" w:rsidRDefault="00A90FCE" w:rsidP="002D0DE5">
      <w:pPr>
        <w:spacing w:after="0" w:line="276" w:lineRule="auto"/>
        <w:ind w:firstLine="567"/>
        <w:jc w:val="both"/>
        <w:rPr>
          <w:rFonts w:eastAsia="Calibri" w:cs="Times New Roman"/>
          <w:szCs w:val="24"/>
        </w:rPr>
      </w:pPr>
      <w:r>
        <w:rPr>
          <w:rFonts w:eastAsia="Calibri" w:cs="Times New Roman"/>
          <w:szCs w:val="24"/>
        </w:rPr>
        <w:t>[Pers. A]</w:t>
      </w:r>
      <w:r w:rsidR="0003584E">
        <w:rPr>
          <w:rFonts w:eastAsia="Calibri" w:cs="Times New Roman"/>
          <w:szCs w:val="24"/>
        </w:rPr>
        <w:t xml:space="preserve"> noziedzīgs nodarījums kvalificēts pēc Krimināllikuma </w:t>
      </w:r>
      <w:proofErr w:type="gramStart"/>
      <w:r w:rsidR="0003584E">
        <w:rPr>
          <w:rFonts w:eastAsia="Calibri" w:cs="Times New Roman"/>
          <w:szCs w:val="24"/>
        </w:rPr>
        <w:t>116.panta</w:t>
      </w:r>
      <w:proofErr w:type="gramEnd"/>
      <w:r w:rsidR="0003584E">
        <w:rPr>
          <w:rFonts w:eastAsia="Calibri" w:cs="Times New Roman"/>
          <w:szCs w:val="24"/>
        </w:rPr>
        <w:t>.</w:t>
      </w:r>
    </w:p>
    <w:p w:rsidR="00B87089" w:rsidRDefault="00B6017E" w:rsidP="002D0DE5">
      <w:pPr>
        <w:spacing w:after="0" w:line="276" w:lineRule="auto"/>
        <w:ind w:firstLine="567"/>
        <w:jc w:val="both"/>
        <w:rPr>
          <w:rFonts w:eastAsia="Calibri" w:cs="Times New Roman"/>
          <w:szCs w:val="24"/>
        </w:rPr>
      </w:pPr>
      <w:r>
        <w:rPr>
          <w:rFonts w:eastAsia="Calibri" w:cs="Times New Roman"/>
          <w:szCs w:val="24"/>
        </w:rPr>
        <w:t xml:space="preserve">[1.2] Turklāt </w:t>
      </w:r>
      <w:r w:rsidR="00A90FCE">
        <w:rPr>
          <w:rFonts w:eastAsia="Calibri" w:cs="Times New Roman"/>
          <w:szCs w:val="24"/>
        </w:rPr>
        <w:t>[pers. A]</w:t>
      </w:r>
      <w:r w:rsidR="0003584E">
        <w:rPr>
          <w:rFonts w:eastAsia="Calibri" w:cs="Times New Roman"/>
          <w:szCs w:val="24"/>
        </w:rPr>
        <w:t xml:space="preserve"> atzīts par vainīgu un sodīts par to, ka viņš </w:t>
      </w:r>
      <w:proofErr w:type="gramStart"/>
      <w:r w:rsidR="0003584E">
        <w:rPr>
          <w:rFonts w:eastAsia="Calibri" w:cs="Times New Roman"/>
          <w:szCs w:val="24"/>
        </w:rPr>
        <w:t>2012.gada</w:t>
      </w:r>
      <w:proofErr w:type="gramEnd"/>
      <w:r w:rsidR="0003584E">
        <w:rPr>
          <w:rFonts w:eastAsia="Calibri" w:cs="Times New Roman"/>
          <w:szCs w:val="24"/>
        </w:rPr>
        <w:t xml:space="preserve"> laika periodā</w:t>
      </w:r>
      <w:r w:rsidR="00B87089">
        <w:rPr>
          <w:rFonts w:eastAsia="Calibri" w:cs="Times New Roman"/>
          <w:szCs w:val="24"/>
        </w:rPr>
        <w:t xml:space="preserve"> no 27.jūlija līdz augusta sākumam dzīvoklī </w:t>
      </w:r>
      <w:r w:rsidR="00A90FCE">
        <w:rPr>
          <w:rFonts w:eastAsia="Calibri" w:cs="Times New Roman"/>
          <w:szCs w:val="24"/>
        </w:rPr>
        <w:t>[adrese]</w:t>
      </w:r>
      <w:r w:rsidR="00B87089">
        <w:rPr>
          <w:rFonts w:eastAsia="Calibri" w:cs="Times New Roman"/>
          <w:szCs w:val="24"/>
        </w:rPr>
        <w:t>, nolaupīja AS „</w:t>
      </w:r>
      <w:proofErr w:type="spellStart"/>
      <w:r w:rsidR="00B87089">
        <w:rPr>
          <w:rFonts w:eastAsia="Calibri" w:cs="Times New Roman"/>
          <w:szCs w:val="24"/>
        </w:rPr>
        <w:t>Swedbank</w:t>
      </w:r>
      <w:proofErr w:type="spellEnd"/>
      <w:r w:rsidR="00B87089">
        <w:rPr>
          <w:rFonts w:eastAsia="Calibri" w:cs="Times New Roman"/>
          <w:szCs w:val="24"/>
        </w:rPr>
        <w:t xml:space="preserve">” debetkarti, kura bija piesaistīta </w:t>
      </w:r>
      <w:r w:rsidR="00A90FCE">
        <w:rPr>
          <w:rFonts w:eastAsia="Calibri" w:cs="Times New Roman"/>
          <w:szCs w:val="24"/>
        </w:rPr>
        <w:t>[pers. B]</w:t>
      </w:r>
      <w:r w:rsidR="00B87089">
        <w:rPr>
          <w:rFonts w:eastAsia="Calibri" w:cs="Times New Roman"/>
          <w:szCs w:val="24"/>
        </w:rPr>
        <w:t xml:space="preserve"> algas kontam, tas ir, maksāšanas līdzekli.</w:t>
      </w:r>
    </w:p>
    <w:p w:rsidR="00B6017E" w:rsidRDefault="00A90FCE" w:rsidP="002D0DE5">
      <w:pPr>
        <w:spacing w:after="0" w:line="276" w:lineRule="auto"/>
        <w:ind w:firstLine="567"/>
        <w:jc w:val="both"/>
        <w:rPr>
          <w:rFonts w:eastAsia="Calibri" w:cs="Times New Roman"/>
          <w:szCs w:val="24"/>
        </w:rPr>
      </w:pPr>
      <w:r>
        <w:rPr>
          <w:rFonts w:eastAsia="Calibri" w:cs="Times New Roman"/>
          <w:szCs w:val="24"/>
        </w:rPr>
        <w:t>[Pers. A]</w:t>
      </w:r>
      <w:r w:rsidR="00B87089">
        <w:rPr>
          <w:rFonts w:eastAsia="Calibri" w:cs="Times New Roman"/>
          <w:szCs w:val="24"/>
        </w:rPr>
        <w:t xml:space="preserve"> noziedzīgs nodarījums kvalificēts pēc </w:t>
      </w:r>
      <w:r w:rsidR="007D7EC3">
        <w:rPr>
          <w:rFonts w:eastAsia="Calibri" w:cs="Times New Roman"/>
          <w:szCs w:val="24"/>
        </w:rPr>
        <w:t xml:space="preserve">Krimināllikuma </w:t>
      </w:r>
      <w:proofErr w:type="gramStart"/>
      <w:r w:rsidR="007D7EC3">
        <w:rPr>
          <w:rFonts w:eastAsia="Calibri" w:cs="Times New Roman"/>
          <w:szCs w:val="24"/>
        </w:rPr>
        <w:t>193.panta</w:t>
      </w:r>
      <w:proofErr w:type="gramEnd"/>
      <w:r w:rsidR="007D7EC3">
        <w:rPr>
          <w:rFonts w:eastAsia="Calibri" w:cs="Times New Roman"/>
          <w:szCs w:val="24"/>
        </w:rPr>
        <w:t xml:space="preserve"> otrās daļas</w:t>
      </w:r>
      <w:r w:rsidR="00B87089">
        <w:rPr>
          <w:rFonts w:eastAsia="Calibri" w:cs="Times New Roman"/>
          <w:szCs w:val="24"/>
        </w:rPr>
        <w:t>.</w:t>
      </w:r>
      <w:r w:rsidR="007D7EC3">
        <w:rPr>
          <w:rFonts w:eastAsia="Calibri" w:cs="Times New Roman"/>
          <w:szCs w:val="24"/>
        </w:rPr>
        <w:t xml:space="preserve"> </w:t>
      </w:r>
    </w:p>
    <w:p w:rsidR="00A22765" w:rsidRDefault="00A22765" w:rsidP="002D0DE5">
      <w:pPr>
        <w:spacing w:after="0" w:line="276" w:lineRule="auto"/>
        <w:ind w:firstLine="567"/>
        <w:jc w:val="both"/>
        <w:rPr>
          <w:rFonts w:eastAsia="Calibri" w:cs="Times New Roman"/>
          <w:szCs w:val="24"/>
        </w:rPr>
      </w:pPr>
      <w:r>
        <w:rPr>
          <w:rFonts w:eastAsia="Calibri" w:cs="Times New Roman"/>
          <w:szCs w:val="24"/>
        </w:rPr>
        <w:t xml:space="preserve">[1.3] </w:t>
      </w:r>
      <w:r w:rsidR="00E16296">
        <w:rPr>
          <w:rFonts w:eastAsia="Calibri" w:cs="Times New Roman"/>
          <w:szCs w:val="24"/>
        </w:rPr>
        <w:t>Lietā atzīts par vainīgu un sodīts pēc</w:t>
      </w:r>
      <w:r>
        <w:rPr>
          <w:rFonts w:eastAsia="Calibri" w:cs="Times New Roman"/>
          <w:szCs w:val="24"/>
        </w:rPr>
        <w:t xml:space="preserve"> Krimināllikuma </w:t>
      </w:r>
      <w:proofErr w:type="gramStart"/>
      <w:r>
        <w:rPr>
          <w:rFonts w:eastAsia="Calibri" w:cs="Times New Roman"/>
          <w:szCs w:val="24"/>
        </w:rPr>
        <w:t>15.panta</w:t>
      </w:r>
      <w:proofErr w:type="gramEnd"/>
      <w:r>
        <w:rPr>
          <w:rFonts w:eastAsia="Calibri" w:cs="Times New Roman"/>
          <w:szCs w:val="24"/>
        </w:rPr>
        <w:t xml:space="preserve"> ceturt</w:t>
      </w:r>
      <w:r w:rsidR="00E16296">
        <w:rPr>
          <w:rFonts w:eastAsia="Calibri" w:cs="Times New Roman"/>
          <w:szCs w:val="24"/>
        </w:rPr>
        <w:t>ās</w:t>
      </w:r>
      <w:r>
        <w:rPr>
          <w:rFonts w:eastAsia="Calibri" w:cs="Times New Roman"/>
          <w:szCs w:val="24"/>
        </w:rPr>
        <w:t xml:space="preserve"> daļ</w:t>
      </w:r>
      <w:r w:rsidR="00E16296">
        <w:rPr>
          <w:rFonts w:eastAsia="Calibri" w:cs="Times New Roman"/>
          <w:szCs w:val="24"/>
        </w:rPr>
        <w:t>as</w:t>
      </w:r>
      <w:r>
        <w:rPr>
          <w:rFonts w:eastAsia="Calibri" w:cs="Times New Roman"/>
          <w:szCs w:val="24"/>
        </w:rPr>
        <w:t xml:space="preserve"> un 193.pa</w:t>
      </w:r>
      <w:r w:rsidR="00E16296">
        <w:rPr>
          <w:rFonts w:eastAsia="Calibri" w:cs="Times New Roman"/>
          <w:szCs w:val="24"/>
        </w:rPr>
        <w:t>n</w:t>
      </w:r>
      <w:r>
        <w:rPr>
          <w:rFonts w:eastAsia="Calibri" w:cs="Times New Roman"/>
          <w:szCs w:val="24"/>
        </w:rPr>
        <w:t>ta otr</w:t>
      </w:r>
      <w:r w:rsidR="00E16296">
        <w:rPr>
          <w:rFonts w:eastAsia="Calibri" w:cs="Times New Roman"/>
          <w:szCs w:val="24"/>
        </w:rPr>
        <w:t>ās</w:t>
      </w:r>
      <w:r>
        <w:rPr>
          <w:rFonts w:eastAsia="Calibri" w:cs="Times New Roman"/>
          <w:szCs w:val="24"/>
        </w:rPr>
        <w:t xml:space="preserve"> daļ</w:t>
      </w:r>
      <w:r w:rsidR="00E16296">
        <w:rPr>
          <w:rFonts w:eastAsia="Calibri" w:cs="Times New Roman"/>
          <w:szCs w:val="24"/>
        </w:rPr>
        <w:t>as</w:t>
      </w:r>
      <w:r>
        <w:rPr>
          <w:rFonts w:eastAsia="Calibri" w:cs="Times New Roman"/>
          <w:szCs w:val="24"/>
        </w:rPr>
        <w:t xml:space="preserve"> </w:t>
      </w:r>
      <w:r w:rsidR="00A90FCE">
        <w:rPr>
          <w:rFonts w:eastAsia="Calibri" w:cs="Times New Roman"/>
          <w:szCs w:val="24"/>
        </w:rPr>
        <w:t>[pers. C]</w:t>
      </w:r>
      <w:r w:rsidR="00E16296">
        <w:rPr>
          <w:rFonts w:eastAsia="Calibri" w:cs="Times New Roman"/>
          <w:szCs w:val="24"/>
        </w:rPr>
        <w:t xml:space="preserve">, personas kods </w:t>
      </w:r>
      <w:r w:rsidR="00A90FCE">
        <w:rPr>
          <w:rFonts w:eastAsia="Calibri" w:cs="Times New Roman"/>
          <w:szCs w:val="24"/>
        </w:rPr>
        <w:t>[..]</w:t>
      </w:r>
      <w:r w:rsidR="00E16296">
        <w:rPr>
          <w:rFonts w:eastAsia="Calibri" w:cs="Times New Roman"/>
          <w:szCs w:val="24"/>
        </w:rPr>
        <w:t xml:space="preserve">, par kuru apelācijas instances tiesas spriedums kasācijas kārtībā nav pārsūdzēts. </w:t>
      </w:r>
    </w:p>
    <w:p w:rsidR="00B6017E" w:rsidRPr="00502692" w:rsidRDefault="00B6017E" w:rsidP="002D0DE5">
      <w:pPr>
        <w:spacing w:after="0" w:line="276" w:lineRule="auto"/>
        <w:ind w:firstLine="567"/>
        <w:jc w:val="both"/>
        <w:rPr>
          <w:rFonts w:eastAsia="Calibri" w:cs="Times New Roman"/>
          <w:szCs w:val="24"/>
        </w:rPr>
      </w:pPr>
    </w:p>
    <w:p w:rsidR="00F20C6E" w:rsidRDefault="00B6017E" w:rsidP="002D0DE5">
      <w:pPr>
        <w:spacing w:after="0" w:line="276" w:lineRule="auto"/>
        <w:ind w:firstLine="567"/>
        <w:jc w:val="both"/>
        <w:rPr>
          <w:rFonts w:eastAsia="Calibri" w:cs="Times New Roman"/>
          <w:szCs w:val="24"/>
        </w:rPr>
      </w:pPr>
      <w:r w:rsidRPr="00F25004">
        <w:rPr>
          <w:rFonts w:eastAsia="Calibri" w:cs="Times New Roman"/>
          <w:szCs w:val="24"/>
        </w:rPr>
        <w:t>[</w:t>
      </w:r>
      <w:r>
        <w:rPr>
          <w:rFonts w:eastAsia="Calibri" w:cs="Times New Roman"/>
          <w:szCs w:val="24"/>
        </w:rPr>
        <w:t>2</w:t>
      </w:r>
      <w:r w:rsidRPr="00F25004">
        <w:rPr>
          <w:rFonts w:eastAsia="Calibri" w:cs="Times New Roman"/>
          <w:szCs w:val="24"/>
        </w:rPr>
        <w:t xml:space="preserve">] Ar </w:t>
      </w:r>
      <w:r>
        <w:rPr>
          <w:rFonts w:eastAsia="Calibri" w:cs="Times New Roman"/>
          <w:szCs w:val="24"/>
        </w:rPr>
        <w:t>Rīgas</w:t>
      </w:r>
      <w:r w:rsidRPr="00F25004">
        <w:rPr>
          <w:rFonts w:eastAsia="Calibri" w:cs="Times New Roman"/>
          <w:szCs w:val="24"/>
        </w:rPr>
        <w:t xml:space="preserve"> apgabaltiesas </w:t>
      </w:r>
      <w:proofErr w:type="gramStart"/>
      <w:r w:rsidRPr="00F25004">
        <w:rPr>
          <w:rFonts w:eastAsia="Calibri" w:cs="Times New Roman"/>
          <w:szCs w:val="24"/>
        </w:rPr>
        <w:t>201</w:t>
      </w:r>
      <w:r w:rsidR="00F20C6E">
        <w:rPr>
          <w:rFonts w:eastAsia="Calibri" w:cs="Times New Roman"/>
          <w:szCs w:val="24"/>
        </w:rPr>
        <w:t>6</w:t>
      </w:r>
      <w:r w:rsidRPr="00F25004">
        <w:rPr>
          <w:rFonts w:eastAsia="Calibri" w:cs="Times New Roman"/>
          <w:szCs w:val="24"/>
        </w:rPr>
        <w:t>.gada</w:t>
      </w:r>
      <w:proofErr w:type="gramEnd"/>
      <w:r w:rsidRPr="00F25004">
        <w:rPr>
          <w:rFonts w:eastAsia="Calibri" w:cs="Times New Roman"/>
          <w:szCs w:val="24"/>
        </w:rPr>
        <w:t xml:space="preserve"> </w:t>
      </w:r>
      <w:r w:rsidR="00F20C6E">
        <w:rPr>
          <w:rFonts w:eastAsia="Calibri" w:cs="Times New Roman"/>
          <w:szCs w:val="24"/>
        </w:rPr>
        <w:t>17.marta</w:t>
      </w:r>
      <w:r>
        <w:rPr>
          <w:rFonts w:eastAsia="Calibri" w:cs="Times New Roman"/>
          <w:szCs w:val="24"/>
        </w:rPr>
        <w:t xml:space="preserve"> </w:t>
      </w:r>
      <w:r w:rsidR="00F20C6E">
        <w:rPr>
          <w:rFonts w:eastAsia="Calibri" w:cs="Times New Roman"/>
          <w:szCs w:val="24"/>
        </w:rPr>
        <w:t>spriedumu</w:t>
      </w:r>
      <w:r w:rsidRPr="00F25004">
        <w:rPr>
          <w:rFonts w:eastAsia="Calibri" w:cs="Times New Roman"/>
          <w:szCs w:val="24"/>
        </w:rPr>
        <w:t xml:space="preserve">, izskatot krimināllietu apelācijas kārtībā sakarā ar </w:t>
      </w:r>
      <w:r>
        <w:rPr>
          <w:rFonts w:eastAsia="Calibri" w:cs="Times New Roman"/>
          <w:szCs w:val="24"/>
        </w:rPr>
        <w:t xml:space="preserve">apsūdzētā </w:t>
      </w:r>
      <w:r w:rsidR="00A90FCE">
        <w:rPr>
          <w:rFonts w:eastAsia="Calibri" w:cs="Times New Roman"/>
          <w:szCs w:val="24"/>
        </w:rPr>
        <w:t>[pers. A]</w:t>
      </w:r>
      <w:r w:rsidR="00F20C6E">
        <w:rPr>
          <w:rFonts w:eastAsia="Calibri" w:cs="Times New Roman"/>
          <w:szCs w:val="24"/>
        </w:rPr>
        <w:t xml:space="preserve"> un viņa</w:t>
      </w:r>
      <w:r>
        <w:rPr>
          <w:rFonts w:eastAsia="Calibri" w:cs="Times New Roman"/>
          <w:szCs w:val="24"/>
        </w:rPr>
        <w:t xml:space="preserve"> aizstāv</w:t>
      </w:r>
      <w:r w:rsidR="00F20C6E">
        <w:rPr>
          <w:rFonts w:eastAsia="Calibri" w:cs="Times New Roman"/>
          <w:szCs w:val="24"/>
        </w:rPr>
        <w:t xml:space="preserve">es </w:t>
      </w:r>
      <w:r>
        <w:rPr>
          <w:rFonts w:eastAsia="Calibri" w:cs="Times New Roman"/>
          <w:szCs w:val="24"/>
        </w:rPr>
        <w:t>A.</w:t>
      </w:r>
      <w:r w:rsidR="00532708">
        <w:rPr>
          <w:rFonts w:eastAsia="Calibri" w:cs="Times New Roman"/>
          <w:szCs w:val="24"/>
        </w:rPr>
        <w:t> </w:t>
      </w:r>
      <w:r w:rsidR="00F20C6E" w:rsidRPr="00385CE4">
        <w:rPr>
          <w:rFonts w:eastAsia="Calibri" w:cs="Times New Roman"/>
          <w:szCs w:val="24"/>
        </w:rPr>
        <w:t>Āboliņas</w:t>
      </w:r>
      <w:r>
        <w:rPr>
          <w:rFonts w:eastAsia="Calibri" w:cs="Times New Roman"/>
          <w:szCs w:val="24"/>
        </w:rPr>
        <w:t xml:space="preserve"> ap</w:t>
      </w:r>
      <w:r w:rsidRPr="00F25004">
        <w:rPr>
          <w:rFonts w:eastAsia="Calibri" w:cs="Times New Roman"/>
          <w:szCs w:val="24"/>
        </w:rPr>
        <w:t>elācijas sūdzīb</w:t>
      </w:r>
      <w:r w:rsidR="00F20C6E">
        <w:rPr>
          <w:rFonts w:eastAsia="Calibri" w:cs="Times New Roman"/>
          <w:szCs w:val="24"/>
        </w:rPr>
        <w:t>ām</w:t>
      </w:r>
      <w:r w:rsidRPr="00F25004">
        <w:rPr>
          <w:rFonts w:eastAsia="Calibri" w:cs="Times New Roman"/>
          <w:szCs w:val="24"/>
        </w:rPr>
        <w:t xml:space="preserve">, </w:t>
      </w:r>
      <w:r>
        <w:rPr>
          <w:rFonts w:eastAsia="Calibri" w:cs="Times New Roman"/>
          <w:szCs w:val="24"/>
        </w:rPr>
        <w:t xml:space="preserve">Rīgas pilsētas </w:t>
      </w:r>
      <w:r w:rsidR="00F20C6E">
        <w:rPr>
          <w:rFonts w:eastAsia="Calibri" w:cs="Times New Roman"/>
          <w:szCs w:val="24"/>
        </w:rPr>
        <w:t>Ziemeļu rajona</w:t>
      </w:r>
      <w:r>
        <w:rPr>
          <w:rFonts w:eastAsia="Calibri" w:cs="Times New Roman"/>
          <w:szCs w:val="24"/>
        </w:rPr>
        <w:t xml:space="preserve"> </w:t>
      </w:r>
      <w:r w:rsidR="00F20C6E">
        <w:rPr>
          <w:rFonts w:eastAsia="Calibri" w:cs="Times New Roman"/>
          <w:szCs w:val="24"/>
        </w:rPr>
        <w:t>tiesas 2015</w:t>
      </w:r>
      <w:r w:rsidRPr="00F25004">
        <w:rPr>
          <w:rFonts w:eastAsia="Calibri" w:cs="Times New Roman"/>
          <w:szCs w:val="24"/>
        </w:rPr>
        <w:t xml:space="preserve">.gada </w:t>
      </w:r>
      <w:r w:rsidR="00F20C6E">
        <w:rPr>
          <w:rFonts w:eastAsia="Calibri" w:cs="Times New Roman"/>
          <w:szCs w:val="24"/>
        </w:rPr>
        <w:t>12.marta</w:t>
      </w:r>
      <w:r>
        <w:rPr>
          <w:rFonts w:eastAsia="Calibri" w:cs="Times New Roman"/>
          <w:szCs w:val="24"/>
        </w:rPr>
        <w:t xml:space="preserve"> spriedums </w:t>
      </w:r>
      <w:r w:rsidR="00F20C6E">
        <w:rPr>
          <w:rFonts w:eastAsia="Calibri" w:cs="Times New Roman"/>
          <w:szCs w:val="24"/>
        </w:rPr>
        <w:t xml:space="preserve">atcelts daļā par </w:t>
      </w:r>
      <w:r w:rsidR="00A90FCE">
        <w:rPr>
          <w:rFonts w:eastAsia="Calibri" w:cs="Times New Roman"/>
          <w:szCs w:val="24"/>
        </w:rPr>
        <w:t>[pers. A]</w:t>
      </w:r>
      <w:r w:rsidR="00F20C6E">
        <w:rPr>
          <w:rFonts w:eastAsia="Calibri" w:cs="Times New Roman"/>
          <w:szCs w:val="24"/>
        </w:rPr>
        <w:t xml:space="preserve"> noteikto papildsodu – probācijas uzraudzību, kas noteikts pēc Krimināllikuma 116.panta, pēc Krimināllikuma 50.panta pirmās daļas un </w:t>
      </w:r>
      <w:r w:rsidR="007D7EC3">
        <w:rPr>
          <w:rFonts w:eastAsia="Calibri" w:cs="Times New Roman"/>
          <w:szCs w:val="24"/>
        </w:rPr>
        <w:t>Krimināllikuma 50.panta piektās daļas.</w:t>
      </w:r>
    </w:p>
    <w:p w:rsidR="007D7EC3" w:rsidRDefault="00A90FCE" w:rsidP="002D0DE5">
      <w:pPr>
        <w:spacing w:after="0" w:line="276" w:lineRule="auto"/>
        <w:ind w:firstLine="567"/>
        <w:jc w:val="both"/>
        <w:rPr>
          <w:rFonts w:eastAsia="Calibri" w:cs="Times New Roman"/>
          <w:szCs w:val="24"/>
        </w:rPr>
      </w:pPr>
      <w:r>
        <w:rPr>
          <w:rFonts w:eastAsia="Calibri" w:cs="Times New Roman"/>
          <w:szCs w:val="24"/>
        </w:rPr>
        <w:t>[Pers. A]</w:t>
      </w:r>
      <w:r w:rsidR="007D7EC3">
        <w:rPr>
          <w:rFonts w:eastAsia="Calibri" w:cs="Times New Roman"/>
          <w:szCs w:val="24"/>
        </w:rPr>
        <w:t xml:space="preserve"> pēc Krimināllikuma </w:t>
      </w:r>
      <w:proofErr w:type="gramStart"/>
      <w:r w:rsidR="007D7EC3">
        <w:rPr>
          <w:rFonts w:eastAsia="Calibri" w:cs="Times New Roman"/>
          <w:szCs w:val="24"/>
        </w:rPr>
        <w:t>116.panta</w:t>
      </w:r>
      <w:proofErr w:type="gramEnd"/>
      <w:r w:rsidR="007D7EC3">
        <w:rPr>
          <w:rFonts w:eastAsia="Calibri" w:cs="Times New Roman"/>
          <w:szCs w:val="24"/>
        </w:rPr>
        <w:t xml:space="preserve"> noteikts papildsods – policijas kontrole uz 3 gadiem.</w:t>
      </w:r>
    </w:p>
    <w:p w:rsidR="00C8576D" w:rsidRDefault="007D7EC3"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pirmo daļu</w:t>
      </w:r>
      <w:r w:rsidR="00532708">
        <w:rPr>
          <w:rFonts w:eastAsia="Calibri" w:cs="Times New Roman"/>
          <w:szCs w:val="24"/>
        </w:rPr>
        <w:t xml:space="preserve"> </w:t>
      </w:r>
      <w:r w:rsidR="00A90FCE">
        <w:rPr>
          <w:rFonts w:eastAsia="Calibri" w:cs="Times New Roman"/>
          <w:szCs w:val="24"/>
        </w:rPr>
        <w:t>[pers. A]</w:t>
      </w:r>
      <w:r w:rsidR="00C8576D">
        <w:rPr>
          <w:rFonts w:eastAsia="Calibri" w:cs="Times New Roman"/>
          <w:szCs w:val="24"/>
        </w:rPr>
        <w:t xml:space="preserve"> noteikts papildsods – policijas kontrole uz 3 gadiem.</w:t>
      </w:r>
    </w:p>
    <w:p w:rsidR="00C8576D" w:rsidRDefault="00C8576D"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piekto daļu </w:t>
      </w:r>
      <w:r w:rsidR="00A90FCE">
        <w:rPr>
          <w:rFonts w:eastAsia="Calibri" w:cs="Times New Roman"/>
          <w:szCs w:val="24"/>
        </w:rPr>
        <w:t>[pers. A]</w:t>
      </w:r>
      <w:r>
        <w:rPr>
          <w:rFonts w:eastAsia="Calibri" w:cs="Times New Roman"/>
          <w:szCs w:val="24"/>
        </w:rPr>
        <w:t xml:space="preserve"> noteikts papildsods – policijas kontrole uz 3 gadiem.</w:t>
      </w:r>
    </w:p>
    <w:p w:rsidR="00C8576D" w:rsidRDefault="00C8576D" w:rsidP="002D0DE5">
      <w:pPr>
        <w:spacing w:after="0" w:line="276" w:lineRule="auto"/>
        <w:ind w:firstLine="567"/>
        <w:jc w:val="both"/>
        <w:rPr>
          <w:rFonts w:eastAsia="Calibri" w:cs="Times New Roman"/>
          <w:szCs w:val="24"/>
        </w:rPr>
      </w:pPr>
      <w:r>
        <w:rPr>
          <w:rFonts w:eastAsia="Calibri" w:cs="Times New Roman"/>
          <w:szCs w:val="24"/>
        </w:rPr>
        <w:t>Pārējā daļā pirmās instances tiesas spriedums atstāts negrozīts.</w:t>
      </w:r>
    </w:p>
    <w:p w:rsidR="00B6017E" w:rsidRDefault="00B6017E" w:rsidP="002D0DE5">
      <w:pPr>
        <w:spacing w:after="0" w:line="276" w:lineRule="auto"/>
        <w:jc w:val="both"/>
        <w:rPr>
          <w:rFonts w:eastAsia="Calibri" w:cs="Times New Roman"/>
          <w:szCs w:val="24"/>
        </w:rPr>
      </w:pPr>
    </w:p>
    <w:p w:rsidR="00C8576D" w:rsidRDefault="00B6017E" w:rsidP="002D0DE5">
      <w:pPr>
        <w:spacing w:after="0" w:line="276" w:lineRule="auto"/>
        <w:ind w:firstLine="567"/>
        <w:jc w:val="both"/>
        <w:rPr>
          <w:rFonts w:eastAsia="Calibri" w:cs="Times New Roman"/>
          <w:szCs w:val="24"/>
        </w:rPr>
      </w:pPr>
      <w:r w:rsidRPr="00F25004">
        <w:rPr>
          <w:rFonts w:eastAsia="Calibri" w:cs="Times New Roman"/>
          <w:szCs w:val="24"/>
        </w:rPr>
        <w:t>[</w:t>
      </w:r>
      <w:r>
        <w:rPr>
          <w:rFonts w:eastAsia="Calibri" w:cs="Times New Roman"/>
          <w:szCs w:val="24"/>
        </w:rPr>
        <w:t>3</w:t>
      </w:r>
      <w:r w:rsidRPr="00F25004">
        <w:rPr>
          <w:rFonts w:eastAsia="Calibri" w:cs="Times New Roman"/>
          <w:szCs w:val="24"/>
        </w:rPr>
        <w:t xml:space="preserve">] </w:t>
      </w:r>
      <w:r w:rsidR="00C8576D">
        <w:rPr>
          <w:rFonts w:eastAsia="Calibri" w:cs="Times New Roman"/>
          <w:szCs w:val="24"/>
        </w:rPr>
        <w:t xml:space="preserve">Ar Augstākās tiesas </w:t>
      </w:r>
      <w:proofErr w:type="gramStart"/>
      <w:r w:rsidR="00C8576D">
        <w:rPr>
          <w:rFonts w:eastAsia="Calibri" w:cs="Times New Roman"/>
          <w:szCs w:val="24"/>
        </w:rPr>
        <w:t>2016.gada</w:t>
      </w:r>
      <w:proofErr w:type="gramEnd"/>
      <w:r w:rsidR="00C8576D">
        <w:rPr>
          <w:rFonts w:eastAsia="Calibri" w:cs="Times New Roman"/>
          <w:szCs w:val="24"/>
        </w:rPr>
        <w:t xml:space="preserve"> 21.oktobra lēmumu, izskatot krimināllietu kasācijas kārtībā sakarā ar apsūdzētā </w:t>
      </w:r>
      <w:r w:rsidR="00A90FCE">
        <w:rPr>
          <w:rFonts w:eastAsia="Calibri" w:cs="Times New Roman"/>
          <w:szCs w:val="24"/>
        </w:rPr>
        <w:t>[pers. A]</w:t>
      </w:r>
      <w:r w:rsidR="00C8576D">
        <w:rPr>
          <w:rFonts w:eastAsia="Calibri" w:cs="Times New Roman"/>
          <w:szCs w:val="24"/>
        </w:rPr>
        <w:t xml:space="preserve"> kasācijas sūdzību, Rīgas apgabaltiesas 2016.gada 17.marta spriedums atcelts pilnībā un lieta nosūtīta jaunai izskatīšanai Rīgas apgabaltiesā.</w:t>
      </w:r>
    </w:p>
    <w:p w:rsidR="00C8576D" w:rsidRDefault="00C8576D" w:rsidP="002D0DE5">
      <w:pPr>
        <w:spacing w:after="0" w:line="276" w:lineRule="auto"/>
        <w:jc w:val="both"/>
        <w:rPr>
          <w:rFonts w:eastAsia="Calibri" w:cs="Times New Roman"/>
          <w:szCs w:val="24"/>
        </w:rPr>
      </w:pPr>
    </w:p>
    <w:p w:rsidR="001D0E28" w:rsidRDefault="001D0E28" w:rsidP="002D0DE5">
      <w:pPr>
        <w:spacing w:after="0" w:line="276" w:lineRule="auto"/>
        <w:ind w:firstLine="567"/>
        <w:jc w:val="both"/>
        <w:rPr>
          <w:rFonts w:eastAsia="Calibri" w:cs="Times New Roman"/>
          <w:szCs w:val="24"/>
        </w:rPr>
      </w:pPr>
      <w:r>
        <w:rPr>
          <w:rFonts w:eastAsia="Calibri" w:cs="Times New Roman"/>
          <w:szCs w:val="24"/>
        </w:rPr>
        <w:t xml:space="preserve">[4] </w:t>
      </w:r>
      <w:r w:rsidR="00981213">
        <w:rPr>
          <w:rFonts w:eastAsia="Calibri" w:cs="Times New Roman"/>
          <w:szCs w:val="24"/>
        </w:rPr>
        <w:t xml:space="preserve">Ar Rīgas apgabaltiesas </w:t>
      </w:r>
      <w:proofErr w:type="gramStart"/>
      <w:r w:rsidR="00981213">
        <w:rPr>
          <w:rFonts w:eastAsia="Calibri" w:cs="Times New Roman"/>
          <w:szCs w:val="24"/>
        </w:rPr>
        <w:t>2017.gada</w:t>
      </w:r>
      <w:proofErr w:type="gramEnd"/>
      <w:r w:rsidR="00981213">
        <w:rPr>
          <w:rFonts w:eastAsia="Calibri" w:cs="Times New Roman"/>
          <w:szCs w:val="24"/>
        </w:rPr>
        <w:t xml:space="preserve"> 13.decembra spriedumu, atkārtoti izskatot krimināllietu apelācijas kārtībā, Rīgas pilsētas Ziemeļu rajona tiesas 2015.gada 12.marta spriedums atcelts daļā par soda noteikšanu </w:t>
      </w:r>
      <w:r w:rsidR="00A90FCE">
        <w:rPr>
          <w:rFonts w:eastAsia="Calibri" w:cs="Times New Roman"/>
          <w:szCs w:val="24"/>
        </w:rPr>
        <w:t>[pers. A]</w:t>
      </w:r>
      <w:r w:rsidR="00981213">
        <w:rPr>
          <w:rFonts w:eastAsia="Calibri" w:cs="Times New Roman"/>
          <w:szCs w:val="24"/>
        </w:rPr>
        <w:t xml:space="preserve"> pēc Krimināllikuma 116.panta, 193.panta otrās daļas, saskaņā ar Krimināllikuma 50.panta pirmo daļu un saskaņā ar Krimināllikuma 50.panta piekto daļu.</w:t>
      </w:r>
    </w:p>
    <w:p w:rsidR="00981213" w:rsidRDefault="00A90FCE" w:rsidP="002D0DE5">
      <w:pPr>
        <w:spacing w:after="0" w:line="276" w:lineRule="auto"/>
        <w:ind w:firstLine="567"/>
        <w:jc w:val="both"/>
        <w:rPr>
          <w:rFonts w:eastAsia="Calibri" w:cs="Times New Roman"/>
          <w:szCs w:val="24"/>
        </w:rPr>
      </w:pPr>
      <w:r>
        <w:rPr>
          <w:rFonts w:eastAsia="Calibri" w:cs="Times New Roman"/>
          <w:szCs w:val="24"/>
        </w:rPr>
        <w:t>[Pers. A]</w:t>
      </w:r>
      <w:r w:rsidR="00981213">
        <w:rPr>
          <w:rFonts w:eastAsia="Calibri" w:cs="Times New Roman"/>
          <w:szCs w:val="24"/>
        </w:rPr>
        <w:t xml:space="preserve"> pēc Krimināllikuma </w:t>
      </w:r>
      <w:proofErr w:type="gramStart"/>
      <w:r w:rsidR="00981213">
        <w:rPr>
          <w:rFonts w:eastAsia="Calibri" w:cs="Times New Roman"/>
          <w:szCs w:val="24"/>
        </w:rPr>
        <w:t>116.panta</w:t>
      </w:r>
      <w:proofErr w:type="gramEnd"/>
      <w:r w:rsidR="00981213">
        <w:rPr>
          <w:rFonts w:eastAsia="Calibri" w:cs="Times New Roman"/>
          <w:szCs w:val="24"/>
        </w:rPr>
        <w:t xml:space="preserve"> sodīts ar brīvības atņemšanu uz 10 gadiem, pēc Krimināllikuma 193.panta otrās daļas ar brīvības atņemšanu uz 3 mēnešiem.</w:t>
      </w:r>
    </w:p>
    <w:p w:rsidR="00981213" w:rsidRDefault="00981213"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pirmo daļu </w:t>
      </w:r>
      <w:r w:rsidR="00A90FCE">
        <w:rPr>
          <w:rFonts w:eastAsia="Calibri" w:cs="Times New Roman"/>
          <w:szCs w:val="24"/>
        </w:rPr>
        <w:t>[pers. A]</w:t>
      </w:r>
      <w:r>
        <w:rPr>
          <w:rFonts w:eastAsia="Calibri" w:cs="Times New Roman"/>
          <w:szCs w:val="24"/>
        </w:rPr>
        <w:t xml:space="preserve"> sods noteikts brīvības atņemšana uz 10 gadiem 2 mēnešiem.</w:t>
      </w:r>
    </w:p>
    <w:p w:rsidR="00981213" w:rsidRDefault="00981213" w:rsidP="002D0DE5">
      <w:pPr>
        <w:spacing w:after="0" w:line="276" w:lineRule="auto"/>
        <w:ind w:firstLine="567"/>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piekto daļu </w:t>
      </w:r>
      <w:r w:rsidR="00A90FCE">
        <w:rPr>
          <w:rFonts w:eastAsia="Calibri" w:cs="Times New Roman"/>
          <w:szCs w:val="24"/>
        </w:rPr>
        <w:t>[pers. A]</w:t>
      </w:r>
      <w:r>
        <w:rPr>
          <w:rFonts w:eastAsia="Calibri" w:cs="Times New Roman"/>
          <w:szCs w:val="24"/>
        </w:rPr>
        <w:t xml:space="preserve"> galīgais sods noteikts brīvības atņemšana uz 10 gadiem 3 mēnešiem.</w:t>
      </w:r>
    </w:p>
    <w:p w:rsidR="00C8576D" w:rsidRDefault="00C8576D" w:rsidP="002D0DE5">
      <w:pPr>
        <w:spacing w:after="0" w:line="276" w:lineRule="auto"/>
        <w:jc w:val="both"/>
        <w:rPr>
          <w:rFonts w:eastAsia="Calibri" w:cs="Times New Roman"/>
          <w:szCs w:val="24"/>
        </w:rPr>
      </w:pPr>
    </w:p>
    <w:p w:rsidR="004D3D1C" w:rsidRDefault="00981213" w:rsidP="002D0DE5">
      <w:pPr>
        <w:spacing w:after="0" w:line="276" w:lineRule="auto"/>
        <w:ind w:firstLine="567"/>
        <w:jc w:val="both"/>
        <w:rPr>
          <w:rFonts w:eastAsia="Calibri" w:cs="Times New Roman"/>
          <w:szCs w:val="24"/>
        </w:rPr>
      </w:pPr>
      <w:r>
        <w:rPr>
          <w:rFonts w:eastAsia="Calibri" w:cs="Times New Roman"/>
          <w:szCs w:val="24"/>
        </w:rPr>
        <w:t xml:space="preserve">[5] </w:t>
      </w:r>
      <w:r w:rsidR="00B6017E" w:rsidRPr="00F25004">
        <w:rPr>
          <w:rFonts w:eastAsia="Calibri" w:cs="Times New Roman"/>
          <w:szCs w:val="24"/>
        </w:rPr>
        <w:t xml:space="preserve">Par </w:t>
      </w:r>
      <w:r w:rsidR="00B6017E">
        <w:rPr>
          <w:rFonts w:eastAsia="Calibri" w:cs="Times New Roman"/>
          <w:szCs w:val="24"/>
        </w:rPr>
        <w:t>Rīgas</w:t>
      </w:r>
      <w:r w:rsidR="00B6017E" w:rsidRPr="00F25004">
        <w:rPr>
          <w:rFonts w:eastAsia="Calibri" w:cs="Times New Roman"/>
          <w:szCs w:val="24"/>
        </w:rPr>
        <w:t xml:space="preserve"> apgabaltiesas </w:t>
      </w:r>
      <w:proofErr w:type="gramStart"/>
      <w:r w:rsidR="00B6017E" w:rsidRPr="00F25004">
        <w:rPr>
          <w:rFonts w:eastAsia="Calibri" w:cs="Times New Roman"/>
          <w:szCs w:val="24"/>
        </w:rPr>
        <w:t>2017.gada</w:t>
      </w:r>
      <w:proofErr w:type="gramEnd"/>
      <w:r w:rsidR="00B6017E" w:rsidRPr="00F25004">
        <w:rPr>
          <w:rFonts w:eastAsia="Calibri" w:cs="Times New Roman"/>
          <w:szCs w:val="24"/>
        </w:rPr>
        <w:t xml:space="preserve"> </w:t>
      </w:r>
      <w:r>
        <w:rPr>
          <w:rFonts w:eastAsia="Calibri" w:cs="Times New Roman"/>
          <w:szCs w:val="24"/>
        </w:rPr>
        <w:t>13.decembra</w:t>
      </w:r>
      <w:r w:rsidR="00B6017E" w:rsidRPr="00F25004">
        <w:rPr>
          <w:rFonts w:eastAsia="Calibri" w:cs="Times New Roman"/>
          <w:szCs w:val="24"/>
        </w:rPr>
        <w:t xml:space="preserve"> </w:t>
      </w:r>
      <w:r>
        <w:rPr>
          <w:rFonts w:eastAsia="Calibri" w:cs="Times New Roman"/>
          <w:szCs w:val="24"/>
        </w:rPr>
        <w:t xml:space="preserve">spriedumu </w:t>
      </w:r>
      <w:r w:rsidR="00B6017E" w:rsidRPr="00F25004">
        <w:rPr>
          <w:rFonts w:eastAsia="Calibri" w:cs="Times New Roman"/>
          <w:szCs w:val="24"/>
        </w:rPr>
        <w:t xml:space="preserve"> kasācijas </w:t>
      </w:r>
      <w:r w:rsidR="00B6017E">
        <w:rPr>
          <w:rFonts w:eastAsia="Calibri" w:cs="Times New Roman"/>
          <w:szCs w:val="24"/>
        </w:rPr>
        <w:t>sūdzīb</w:t>
      </w:r>
      <w:r w:rsidR="004D3D1C">
        <w:rPr>
          <w:rFonts w:eastAsia="Calibri" w:cs="Times New Roman"/>
          <w:szCs w:val="24"/>
        </w:rPr>
        <w:t>as</w:t>
      </w:r>
      <w:r w:rsidR="00B6017E" w:rsidRPr="00F25004">
        <w:rPr>
          <w:rFonts w:eastAsia="Calibri" w:cs="Times New Roman"/>
          <w:szCs w:val="24"/>
        </w:rPr>
        <w:t xml:space="preserve"> iesnie</w:t>
      </w:r>
      <w:r w:rsidR="004D3D1C">
        <w:rPr>
          <w:rFonts w:eastAsia="Calibri" w:cs="Times New Roman"/>
          <w:szCs w:val="24"/>
        </w:rPr>
        <w:t xml:space="preserve">guši apsūdzētais </w:t>
      </w:r>
      <w:r w:rsidR="00A90FCE">
        <w:rPr>
          <w:rFonts w:eastAsia="Calibri" w:cs="Times New Roman"/>
          <w:szCs w:val="24"/>
        </w:rPr>
        <w:t>[pers. A]</w:t>
      </w:r>
      <w:r w:rsidR="004D3D1C">
        <w:rPr>
          <w:rFonts w:eastAsia="Calibri" w:cs="Times New Roman"/>
          <w:szCs w:val="24"/>
        </w:rPr>
        <w:t xml:space="preserve"> un viņa aizstāvis P.</w:t>
      </w:r>
      <w:r w:rsidR="00532708">
        <w:rPr>
          <w:rFonts w:eastAsia="Calibri" w:cs="Times New Roman"/>
          <w:szCs w:val="24"/>
        </w:rPr>
        <w:t> </w:t>
      </w:r>
      <w:r w:rsidR="004D3D1C">
        <w:rPr>
          <w:rFonts w:eastAsia="Calibri" w:cs="Times New Roman"/>
          <w:szCs w:val="24"/>
        </w:rPr>
        <w:t>Kušners. Viņi lūdz atcelt apelācijas instances tiesas spriedumu un nosūtīt lietu jaunai izskatīšanai apelācijas instances tiesā.</w:t>
      </w:r>
    </w:p>
    <w:p w:rsidR="004D3D1C" w:rsidRDefault="004D3D1C" w:rsidP="002D0DE5">
      <w:pPr>
        <w:spacing w:after="0" w:line="276" w:lineRule="auto"/>
        <w:ind w:firstLine="567"/>
        <w:jc w:val="both"/>
        <w:rPr>
          <w:rFonts w:eastAsia="Calibri" w:cs="Times New Roman"/>
          <w:szCs w:val="24"/>
        </w:rPr>
      </w:pPr>
      <w:r>
        <w:rPr>
          <w:rFonts w:eastAsia="Calibri" w:cs="Times New Roman"/>
          <w:szCs w:val="24"/>
        </w:rPr>
        <w:lastRenderedPageBreak/>
        <w:t>[5.1] A</w:t>
      </w:r>
      <w:r w:rsidR="00B6017E">
        <w:rPr>
          <w:rFonts w:eastAsia="Calibri" w:cs="Times New Roman"/>
          <w:szCs w:val="24"/>
        </w:rPr>
        <w:t xml:space="preserve">psūdzētā </w:t>
      </w:r>
      <w:r w:rsidR="00A90FCE">
        <w:rPr>
          <w:rFonts w:eastAsia="Calibri" w:cs="Times New Roman"/>
          <w:szCs w:val="24"/>
        </w:rPr>
        <w:t>[pers. A]</w:t>
      </w:r>
      <w:r>
        <w:rPr>
          <w:rFonts w:eastAsia="Calibri" w:cs="Times New Roman"/>
          <w:szCs w:val="24"/>
        </w:rPr>
        <w:t xml:space="preserve"> aizstāvis P.</w:t>
      </w:r>
      <w:r w:rsidR="00532708">
        <w:rPr>
          <w:rFonts w:eastAsia="Calibri" w:cs="Times New Roman"/>
          <w:szCs w:val="24"/>
        </w:rPr>
        <w:t> </w:t>
      </w:r>
      <w:r>
        <w:rPr>
          <w:rFonts w:eastAsia="Calibri" w:cs="Times New Roman"/>
          <w:szCs w:val="24"/>
        </w:rPr>
        <w:t>Kušners</w:t>
      </w:r>
      <w:r w:rsidR="00B6017E" w:rsidRPr="000971C5">
        <w:rPr>
          <w:rFonts w:eastAsia="Calibri" w:cs="Times New Roman"/>
          <w:szCs w:val="24"/>
        </w:rPr>
        <w:t xml:space="preserve"> </w:t>
      </w:r>
      <w:r>
        <w:rPr>
          <w:rFonts w:eastAsia="Calibri" w:cs="Times New Roman"/>
          <w:szCs w:val="24"/>
        </w:rPr>
        <w:t xml:space="preserve">uzskata, ka apelācijas instances tiesa pārkāpusi Kriminālprocesa likuma </w:t>
      </w:r>
      <w:proofErr w:type="gramStart"/>
      <w:r>
        <w:rPr>
          <w:rFonts w:eastAsia="Calibri" w:cs="Times New Roman"/>
          <w:szCs w:val="24"/>
        </w:rPr>
        <w:t>15.pantu</w:t>
      </w:r>
      <w:proofErr w:type="gramEnd"/>
      <w:r>
        <w:rPr>
          <w:rFonts w:eastAsia="Calibri" w:cs="Times New Roman"/>
          <w:szCs w:val="24"/>
        </w:rPr>
        <w:t>, 19.panta trešo daļu, 20.pantu, 449.panta trešo daļu, 511., 512.pantu un šie pārkāpumi atzīstami par būtiskiem Kriminālprocesa likuma 575.panta trešās daļas izpratnē.</w:t>
      </w:r>
    </w:p>
    <w:p w:rsidR="004D3D1C" w:rsidRDefault="004D3D1C" w:rsidP="002D0DE5">
      <w:pPr>
        <w:spacing w:after="0" w:line="276" w:lineRule="auto"/>
        <w:ind w:firstLine="567"/>
        <w:jc w:val="both"/>
        <w:rPr>
          <w:rFonts w:eastAsia="Calibri" w:cs="Times New Roman"/>
          <w:szCs w:val="24"/>
        </w:rPr>
      </w:pPr>
      <w:r>
        <w:rPr>
          <w:rFonts w:eastAsia="Calibri" w:cs="Times New Roman"/>
          <w:szCs w:val="24"/>
        </w:rPr>
        <w:t xml:space="preserve">Apelācijas instances tiesa neesot pārbaudījusi un novērtējusi atbilstoši Kriminālprocesa likuma prasībām liecinieka </w:t>
      </w:r>
      <w:r w:rsidR="00A90FCE">
        <w:rPr>
          <w:rFonts w:eastAsia="Calibri" w:cs="Times New Roman"/>
          <w:szCs w:val="24"/>
        </w:rPr>
        <w:t>[pers. D]</w:t>
      </w:r>
      <w:r>
        <w:rPr>
          <w:rFonts w:eastAsia="Calibri" w:cs="Times New Roman"/>
          <w:szCs w:val="24"/>
        </w:rPr>
        <w:t xml:space="preserve"> apgalvojumus par to, ka pirmstiesas procesa laikā pret viņu pielietota vardarbība nolūkā panākt policijas darbiniekiem vēlamas liecības.</w:t>
      </w:r>
    </w:p>
    <w:p w:rsidR="004D3D1C" w:rsidRDefault="004D3D1C" w:rsidP="002D0DE5">
      <w:pPr>
        <w:spacing w:after="0" w:line="276" w:lineRule="auto"/>
        <w:ind w:firstLine="567"/>
        <w:jc w:val="both"/>
        <w:rPr>
          <w:rFonts w:eastAsia="Calibri" w:cs="Times New Roman"/>
          <w:szCs w:val="24"/>
        </w:rPr>
      </w:pPr>
      <w:r>
        <w:rPr>
          <w:rFonts w:eastAsia="Calibri" w:cs="Times New Roman"/>
          <w:szCs w:val="24"/>
        </w:rPr>
        <w:t>Apelācijas instances tiesa esot atteikusies pārbaudīt divos CD diskos ierakstītās sarunas</w:t>
      </w:r>
      <w:r w:rsidR="0003584E">
        <w:rPr>
          <w:rFonts w:eastAsia="Calibri" w:cs="Times New Roman"/>
          <w:szCs w:val="24"/>
        </w:rPr>
        <w:t>, kuras apsūdzētais un aizstāvis lūguši noklausīties, turklāt šie diski norādīti kā pierādījumi lēmumā par krimināllietas nodošanu tiesai.</w:t>
      </w:r>
    </w:p>
    <w:p w:rsidR="0003584E" w:rsidRDefault="0003584E" w:rsidP="002D0DE5">
      <w:pPr>
        <w:spacing w:after="0" w:line="276" w:lineRule="auto"/>
        <w:ind w:firstLine="567"/>
        <w:jc w:val="both"/>
        <w:rPr>
          <w:rFonts w:eastAsia="Calibri" w:cs="Times New Roman"/>
          <w:szCs w:val="24"/>
        </w:rPr>
      </w:pPr>
      <w:r>
        <w:rPr>
          <w:rFonts w:eastAsia="Calibri" w:cs="Times New Roman"/>
          <w:szCs w:val="24"/>
        </w:rPr>
        <w:t xml:space="preserve">Apelācijas instances tiesa nav novērsusi šaubas par apsūdzētā </w:t>
      </w:r>
      <w:r w:rsidR="00A90FCE">
        <w:rPr>
          <w:rFonts w:eastAsia="Calibri" w:cs="Times New Roman"/>
          <w:szCs w:val="24"/>
        </w:rPr>
        <w:t>[pers. A]</w:t>
      </w:r>
      <w:r>
        <w:rPr>
          <w:rFonts w:eastAsia="Calibri" w:cs="Times New Roman"/>
          <w:szCs w:val="24"/>
        </w:rPr>
        <w:t xml:space="preserve"> vainu noziedzīga nodarījuma, kas paredzēts Krimināllikuma </w:t>
      </w:r>
      <w:proofErr w:type="gramStart"/>
      <w:r>
        <w:rPr>
          <w:rFonts w:eastAsia="Calibri" w:cs="Times New Roman"/>
          <w:szCs w:val="24"/>
        </w:rPr>
        <w:t>116.pantā</w:t>
      </w:r>
      <w:proofErr w:type="gramEnd"/>
      <w:r>
        <w:rPr>
          <w:rFonts w:eastAsia="Calibri" w:cs="Times New Roman"/>
          <w:szCs w:val="24"/>
        </w:rPr>
        <w:t xml:space="preserve">, izdarīšanā, nav izvērtējusi </w:t>
      </w:r>
      <w:r w:rsidR="00A90FCE">
        <w:rPr>
          <w:rFonts w:eastAsia="Calibri" w:cs="Times New Roman"/>
          <w:szCs w:val="24"/>
        </w:rPr>
        <w:t>[pers. A]</w:t>
      </w:r>
      <w:r>
        <w:rPr>
          <w:rFonts w:eastAsia="Calibri" w:cs="Times New Roman"/>
          <w:szCs w:val="24"/>
        </w:rPr>
        <w:t xml:space="preserve"> norādi uz alibi, noraidījusi aizstāvja, kas no jauna iestājies krimināllietā, lūgumu atkārtoti nopratināt lieciniekus </w:t>
      </w:r>
      <w:r w:rsidR="00A90FCE">
        <w:rPr>
          <w:rFonts w:eastAsia="Calibri" w:cs="Times New Roman"/>
          <w:szCs w:val="24"/>
        </w:rPr>
        <w:t>[pers. E]</w:t>
      </w:r>
      <w:r>
        <w:rPr>
          <w:rFonts w:eastAsia="Calibri" w:cs="Times New Roman"/>
          <w:szCs w:val="24"/>
        </w:rPr>
        <w:t xml:space="preserve"> un </w:t>
      </w:r>
      <w:r w:rsidR="00A90FCE">
        <w:rPr>
          <w:rFonts w:eastAsia="Calibri" w:cs="Times New Roman"/>
          <w:szCs w:val="24"/>
        </w:rPr>
        <w:t>[pers. F]</w:t>
      </w:r>
      <w:r>
        <w:rPr>
          <w:rFonts w:eastAsia="Calibri" w:cs="Times New Roman"/>
          <w:szCs w:val="24"/>
        </w:rPr>
        <w:t>.</w:t>
      </w:r>
    </w:p>
    <w:p w:rsidR="0003584E" w:rsidRDefault="0003584E" w:rsidP="002D0DE5">
      <w:pPr>
        <w:spacing w:after="0" w:line="276" w:lineRule="auto"/>
        <w:ind w:firstLine="567"/>
        <w:jc w:val="both"/>
        <w:rPr>
          <w:rFonts w:eastAsia="Calibri" w:cs="Times New Roman"/>
          <w:szCs w:val="24"/>
        </w:rPr>
      </w:pPr>
      <w:r>
        <w:rPr>
          <w:rFonts w:eastAsia="Calibri" w:cs="Times New Roman"/>
          <w:szCs w:val="24"/>
        </w:rPr>
        <w:t>Apelācijas instances tiesa</w:t>
      </w:r>
      <w:r w:rsidR="00224717">
        <w:rPr>
          <w:rFonts w:eastAsia="Calibri" w:cs="Times New Roman"/>
          <w:szCs w:val="24"/>
        </w:rPr>
        <w:t>s</w:t>
      </w:r>
      <w:r>
        <w:rPr>
          <w:rFonts w:eastAsia="Calibri" w:cs="Times New Roman"/>
          <w:szCs w:val="24"/>
        </w:rPr>
        <w:t xml:space="preserve"> atzin</w:t>
      </w:r>
      <w:r w:rsidR="00224717">
        <w:rPr>
          <w:rFonts w:eastAsia="Calibri" w:cs="Times New Roman"/>
          <w:szCs w:val="24"/>
        </w:rPr>
        <w:t>ums</w:t>
      </w:r>
      <w:r>
        <w:rPr>
          <w:rFonts w:eastAsia="Calibri" w:cs="Times New Roman"/>
          <w:szCs w:val="24"/>
        </w:rPr>
        <w:t>, ka tā vērtē aizstāvja rīcību kā tendētu uz tiesas iespaidošanu ar iespējamu kasācijas sūdzības iesniegšanu saistībā ar šķietamu tiesas izmeklēšanas laikā pieļauto nepilnību, aizstāvim izraisa šaubas par tiesas objektivitāti.</w:t>
      </w:r>
    </w:p>
    <w:p w:rsidR="00B87089" w:rsidRDefault="00B87089" w:rsidP="002D0DE5">
      <w:pPr>
        <w:spacing w:after="0" w:line="276" w:lineRule="auto"/>
        <w:ind w:firstLine="567"/>
        <w:jc w:val="both"/>
        <w:rPr>
          <w:rFonts w:eastAsia="Calibri" w:cs="Times New Roman"/>
          <w:szCs w:val="24"/>
        </w:rPr>
      </w:pPr>
      <w:r>
        <w:rPr>
          <w:rFonts w:eastAsia="Calibri" w:cs="Times New Roman"/>
          <w:szCs w:val="24"/>
        </w:rPr>
        <w:t xml:space="preserve">[5.2] Apsūdzētais </w:t>
      </w:r>
      <w:r w:rsidR="00A90FCE">
        <w:rPr>
          <w:rFonts w:eastAsia="Calibri" w:cs="Times New Roman"/>
          <w:szCs w:val="24"/>
        </w:rPr>
        <w:t>[pers. A]</w:t>
      </w:r>
      <w:r>
        <w:rPr>
          <w:rFonts w:eastAsia="Calibri" w:cs="Times New Roman"/>
          <w:szCs w:val="24"/>
        </w:rPr>
        <w:t xml:space="preserve"> uzskata, ka apelācijas instances tiesa pārkāpusi Kriminālprocesa likuma </w:t>
      </w:r>
      <w:proofErr w:type="gramStart"/>
      <w:r>
        <w:rPr>
          <w:rFonts w:eastAsia="Calibri" w:cs="Times New Roman"/>
          <w:szCs w:val="24"/>
        </w:rPr>
        <w:t>19.panta</w:t>
      </w:r>
      <w:proofErr w:type="gramEnd"/>
      <w:r>
        <w:rPr>
          <w:rFonts w:eastAsia="Calibri" w:cs="Times New Roman"/>
          <w:szCs w:val="24"/>
        </w:rPr>
        <w:t xml:space="preserve"> trešo daļu, 128.panta trešo daļu, 130.panta otrās daļas 1.punktu.</w:t>
      </w:r>
    </w:p>
    <w:p w:rsidR="00B87089" w:rsidRPr="00500EAC" w:rsidRDefault="00B87089" w:rsidP="002D0DE5">
      <w:pPr>
        <w:spacing w:after="0" w:line="276" w:lineRule="auto"/>
        <w:ind w:firstLine="567"/>
        <w:jc w:val="both"/>
        <w:rPr>
          <w:rFonts w:eastAsia="Calibri" w:cs="Times New Roman"/>
          <w:caps/>
          <w:szCs w:val="24"/>
        </w:rPr>
      </w:pPr>
      <w:r>
        <w:rPr>
          <w:rFonts w:eastAsia="Calibri" w:cs="Times New Roman"/>
          <w:szCs w:val="24"/>
        </w:rPr>
        <w:t xml:space="preserve">Lietā neesot pierādījumu par to, ka viņš, apsūdzētais </w:t>
      </w:r>
      <w:r w:rsidR="00A90FCE">
        <w:rPr>
          <w:rFonts w:eastAsia="Calibri" w:cs="Times New Roman"/>
          <w:szCs w:val="24"/>
        </w:rPr>
        <w:t>[pers. A]</w:t>
      </w:r>
      <w:r>
        <w:rPr>
          <w:rFonts w:eastAsia="Calibri" w:cs="Times New Roman"/>
          <w:szCs w:val="24"/>
        </w:rPr>
        <w:t xml:space="preserve">, atradies nozieguma vietā, </w:t>
      </w:r>
      <w:r w:rsidR="00A90FCE">
        <w:rPr>
          <w:rFonts w:eastAsia="Calibri" w:cs="Times New Roman"/>
          <w:szCs w:val="24"/>
        </w:rPr>
        <w:t>[pers. D]</w:t>
      </w:r>
      <w:r>
        <w:rPr>
          <w:rFonts w:eastAsia="Calibri" w:cs="Times New Roman"/>
          <w:szCs w:val="24"/>
        </w:rPr>
        <w:t xml:space="preserve"> liecības esot nepatiesas un iegūtas nelikumīgā veidā, </w:t>
      </w:r>
      <w:r w:rsidR="00A90FCE">
        <w:rPr>
          <w:rFonts w:eastAsia="Calibri" w:cs="Times New Roman"/>
          <w:szCs w:val="24"/>
        </w:rPr>
        <w:t>[pers. C]</w:t>
      </w:r>
      <w:r>
        <w:rPr>
          <w:rFonts w:eastAsia="Calibri" w:cs="Times New Roman"/>
          <w:szCs w:val="24"/>
        </w:rPr>
        <w:t xml:space="preserve"> liecības esot apšaubāmas, jo tās sniegtas, lai izvairītos no kriminālatbildības, un šīs liecības nevar atzīt par vairāk ticamām, kā </w:t>
      </w:r>
      <w:r w:rsidR="00A90FCE">
        <w:rPr>
          <w:rFonts w:eastAsia="Calibri" w:cs="Times New Roman"/>
          <w:szCs w:val="24"/>
        </w:rPr>
        <w:t>[pers. E]</w:t>
      </w:r>
      <w:r>
        <w:rPr>
          <w:rFonts w:eastAsia="Calibri" w:cs="Times New Roman"/>
          <w:szCs w:val="24"/>
        </w:rPr>
        <w:t xml:space="preserve"> un </w:t>
      </w:r>
      <w:r w:rsidR="00A90FCE">
        <w:rPr>
          <w:rFonts w:eastAsia="Calibri" w:cs="Times New Roman"/>
          <w:szCs w:val="24"/>
        </w:rPr>
        <w:t>[pers. F]</w:t>
      </w:r>
      <w:r>
        <w:rPr>
          <w:rFonts w:eastAsia="Calibri" w:cs="Times New Roman"/>
          <w:szCs w:val="24"/>
        </w:rPr>
        <w:t xml:space="preserve"> liecības. Tiesa neesot ņēmusi vērā aizstāvības savāktos pierādījumus, kas pierāda viņa, apsūdzētā </w:t>
      </w:r>
      <w:r w:rsidR="00A90FCE">
        <w:rPr>
          <w:rFonts w:eastAsia="Calibri" w:cs="Times New Roman"/>
          <w:szCs w:val="24"/>
        </w:rPr>
        <w:t>[pers. A]</w:t>
      </w:r>
      <w:r>
        <w:rPr>
          <w:rFonts w:eastAsia="Calibri" w:cs="Times New Roman"/>
          <w:szCs w:val="24"/>
        </w:rPr>
        <w:t>, nevainīgumu šajā krimināllietā.</w:t>
      </w:r>
    </w:p>
    <w:p w:rsidR="00B6017E" w:rsidRPr="00500EAC" w:rsidRDefault="00B6017E" w:rsidP="002D0DE5">
      <w:pPr>
        <w:spacing w:after="0" w:line="276" w:lineRule="auto"/>
        <w:jc w:val="both"/>
        <w:rPr>
          <w:rFonts w:eastAsia="Calibri" w:cs="Times New Roman"/>
          <w:caps/>
          <w:szCs w:val="24"/>
        </w:rPr>
      </w:pPr>
    </w:p>
    <w:p w:rsidR="00B6017E" w:rsidRDefault="00B6017E" w:rsidP="002D0DE5">
      <w:pPr>
        <w:spacing w:after="0" w:line="276" w:lineRule="auto"/>
        <w:jc w:val="center"/>
        <w:rPr>
          <w:rFonts w:eastAsia="Calibri" w:cs="Times New Roman"/>
          <w:b/>
          <w:szCs w:val="24"/>
        </w:rPr>
      </w:pPr>
      <w:r w:rsidRPr="00F25004">
        <w:rPr>
          <w:rFonts w:eastAsia="Calibri" w:cs="Times New Roman"/>
          <w:b/>
          <w:szCs w:val="24"/>
        </w:rPr>
        <w:t>Motīvu daļa</w:t>
      </w:r>
    </w:p>
    <w:p w:rsidR="00B6017E" w:rsidRDefault="00B6017E" w:rsidP="002D0DE5">
      <w:pPr>
        <w:spacing w:after="0" w:line="276" w:lineRule="auto"/>
        <w:rPr>
          <w:rFonts w:eastAsia="Calibri" w:cs="Times New Roman"/>
          <w:szCs w:val="24"/>
        </w:rPr>
      </w:pPr>
    </w:p>
    <w:p w:rsidR="00706E40" w:rsidRDefault="00B6017E" w:rsidP="002D0DE5">
      <w:pPr>
        <w:spacing w:after="0" w:line="276" w:lineRule="auto"/>
        <w:ind w:firstLine="567"/>
        <w:jc w:val="both"/>
        <w:rPr>
          <w:rFonts w:eastAsia="Calibri" w:cs="Times New Roman"/>
          <w:szCs w:val="24"/>
        </w:rPr>
      </w:pPr>
      <w:r w:rsidRPr="003F0D77">
        <w:rPr>
          <w:rFonts w:eastAsia="Calibri" w:cs="Times New Roman"/>
          <w:szCs w:val="24"/>
        </w:rPr>
        <w:t>[</w:t>
      </w:r>
      <w:r w:rsidR="00532708">
        <w:rPr>
          <w:rFonts w:eastAsia="Calibri" w:cs="Times New Roman"/>
          <w:szCs w:val="24"/>
        </w:rPr>
        <w:t>6</w:t>
      </w:r>
      <w:r w:rsidRPr="003F0D77">
        <w:rPr>
          <w:rFonts w:eastAsia="Calibri" w:cs="Times New Roman"/>
          <w:szCs w:val="24"/>
        </w:rPr>
        <w:t xml:space="preserve">] </w:t>
      </w:r>
      <w:r w:rsidR="00706E40" w:rsidRPr="00706E40">
        <w:rPr>
          <w:rFonts w:eastAsia="Times New Roman" w:cs="Times New Roman"/>
          <w:szCs w:val="24"/>
          <w:lang w:eastAsia="lv-LV"/>
        </w:rPr>
        <w:t xml:space="preserve">Kasācijas instances tiesa atzīst, ka Rīgas apgabaltiesas </w:t>
      </w:r>
      <w:proofErr w:type="gramStart"/>
      <w:r w:rsidR="00706E40" w:rsidRPr="00706E40">
        <w:rPr>
          <w:rFonts w:eastAsia="Times New Roman" w:cs="Times New Roman"/>
          <w:szCs w:val="24"/>
          <w:lang w:eastAsia="lv-LV"/>
        </w:rPr>
        <w:t>201</w:t>
      </w:r>
      <w:r w:rsidR="00706E40">
        <w:rPr>
          <w:rFonts w:eastAsia="Times New Roman" w:cs="Times New Roman"/>
          <w:szCs w:val="24"/>
          <w:lang w:eastAsia="lv-LV"/>
        </w:rPr>
        <w:t>7</w:t>
      </w:r>
      <w:r w:rsidR="00706E40" w:rsidRPr="00706E40">
        <w:rPr>
          <w:rFonts w:eastAsia="Times New Roman" w:cs="Times New Roman"/>
          <w:szCs w:val="24"/>
          <w:lang w:eastAsia="lv-LV"/>
        </w:rPr>
        <w:t>.gada</w:t>
      </w:r>
      <w:proofErr w:type="gramEnd"/>
      <w:r w:rsidR="00706E40" w:rsidRPr="00706E40">
        <w:rPr>
          <w:rFonts w:eastAsia="Times New Roman" w:cs="Times New Roman"/>
          <w:szCs w:val="24"/>
          <w:lang w:eastAsia="lv-LV"/>
        </w:rPr>
        <w:t xml:space="preserve"> </w:t>
      </w:r>
      <w:r w:rsidR="00706E40">
        <w:rPr>
          <w:rFonts w:eastAsia="Times New Roman" w:cs="Times New Roman"/>
          <w:szCs w:val="24"/>
          <w:lang w:eastAsia="lv-LV"/>
        </w:rPr>
        <w:t>1</w:t>
      </w:r>
      <w:r w:rsidR="00706E40" w:rsidRPr="00706E40">
        <w:rPr>
          <w:rFonts w:eastAsia="Times New Roman" w:cs="Times New Roman"/>
          <w:szCs w:val="24"/>
          <w:lang w:eastAsia="lv-LV"/>
        </w:rPr>
        <w:t>3.</w:t>
      </w:r>
      <w:r w:rsidR="00706E40">
        <w:rPr>
          <w:rFonts w:eastAsia="Times New Roman" w:cs="Times New Roman"/>
          <w:szCs w:val="24"/>
          <w:lang w:eastAsia="lv-LV"/>
        </w:rPr>
        <w:t>decembra</w:t>
      </w:r>
      <w:r w:rsidR="00706E40" w:rsidRPr="00706E40">
        <w:rPr>
          <w:rFonts w:eastAsia="Times New Roman" w:cs="Times New Roman"/>
          <w:szCs w:val="24"/>
          <w:lang w:eastAsia="lv-LV"/>
        </w:rPr>
        <w:t xml:space="preserve"> spriedums atstājams negrozīts, bet</w:t>
      </w:r>
      <w:r w:rsidR="00706E40" w:rsidRPr="00706E40">
        <w:rPr>
          <w:rFonts w:eastAsia="Calibri" w:cs="Times New Roman"/>
          <w:szCs w:val="24"/>
        </w:rPr>
        <w:t xml:space="preserve"> </w:t>
      </w:r>
      <w:r w:rsidR="00706E40">
        <w:rPr>
          <w:rFonts w:eastAsia="Calibri" w:cs="Times New Roman"/>
          <w:szCs w:val="24"/>
        </w:rPr>
        <w:t xml:space="preserve">apsūdzētā </w:t>
      </w:r>
      <w:r w:rsidR="00A90FCE">
        <w:rPr>
          <w:rFonts w:eastAsia="Calibri" w:cs="Times New Roman"/>
          <w:szCs w:val="24"/>
        </w:rPr>
        <w:t>[pers. A]</w:t>
      </w:r>
      <w:r w:rsidR="00706E40">
        <w:rPr>
          <w:rFonts w:eastAsia="Calibri" w:cs="Times New Roman"/>
          <w:szCs w:val="24"/>
        </w:rPr>
        <w:t xml:space="preserve"> un viņa aizstāvja Pētera Kušnera </w:t>
      </w:r>
      <w:r w:rsidR="00706E40" w:rsidRPr="00F25004">
        <w:rPr>
          <w:rFonts w:eastAsia="Calibri" w:cs="Times New Roman"/>
          <w:szCs w:val="24"/>
        </w:rPr>
        <w:t xml:space="preserve">kasācijas </w:t>
      </w:r>
      <w:r w:rsidR="00706E40">
        <w:rPr>
          <w:rFonts w:eastAsia="Calibri" w:cs="Times New Roman"/>
          <w:szCs w:val="24"/>
        </w:rPr>
        <w:t>sūdzības</w:t>
      </w:r>
      <w:r w:rsidR="00706E40" w:rsidRPr="00706E40">
        <w:rPr>
          <w:rFonts w:eastAsia="Calibri" w:cs="Times New Roman"/>
          <w:szCs w:val="24"/>
        </w:rPr>
        <w:t xml:space="preserve"> noraidāma</w:t>
      </w:r>
      <w:r w:rsidR="00706E40">
        <w:rPr>
          <w:rFonts w:eastAsia="Calibri" w:cs="Times New Roman"/>
          <w:szCs w:val="24"/>
        </w:rPr>
        <w:t>s</w:t>
      </w:r>
      <w:r w:rsidR="00706E40" w:rsidRPr="00706E40">
        <w:rPr>
          <w:rFonts w:eastAsia="Calibri" w:cs="Times New Roman"/>
          <w:szCs w:val="24"/>
        </w:rPr>
        <w:t>.</w:t>
      </w:r>
    </w:p>
    <w:p w:rsidR="00D87F53" w:rsidRDefault="00D87F53" w:rsidP="002D0DE5">
      <w:pPr>
        <w:spacing w:after="0" w:line="276" w:lineRule="auto"/>
        <w:ind w:firstLine="567"/>
        <w:jc w:val="both"/>
        <w:rPr>
          <w:rFonts w:eastAsia="Calibri" w:cs="Times New Roman"/>
          <w:szCs w:val="24"/>
        </w:rPr>
      </w:pPr>
    </w:p>
    <w:p w:rsidR="00706E40" w:rsidRDefault="00D87F53" w:rsidP="002D0DE5">
      <w:pPr>
        <w:spacing w:after="0" w:line="276" w:lineRule="auto"/>
        <w:ind w:firstLine="567"/>
        <w:jc w:val="both"/>
        <w:rPr>
          <w:rFonts w:eastAsia="Calibri" w:cs="Times New Roman"/>
          <w:szCs w:val="24"/>
        </w:rPr>
      </w:pPr>
      <w:r>
        <w:rPr>
          <w:rFonts w:eastAsia="Calibri" w:cs="Times New Roman"/>
          <w:szCs w:val="24"/>
        </w:rPr>
        <w:t xml:space="preserve">[7] </w:t>
      </w:r>
      <w:r w:rsidR="00706E40">
        <w:rPr>
          <w:rFonts w:eastAsia="Calibri" w:cs="Times New Roman"/>
          <w:szCs w:val="24"/>
        </w:rPr>
        <w:t xml:space="preserve">Par apelācijas instances tiesas notiesājošo spriedumu bija iesniegta apsūdzētā </w:t>
      </w:r>
      <w:r w:rsidR="00A90FCE">
        <w:rPr>
          <w:rFonts w:eastAsia="Calibri" w:cs="Times New Roman"/>
          <w:szCs w:val="24"/>
        </w:rPr>
        <w:t>[pers. A]</w:t>
      </w:r>
      <w:r w:rsidR="00706E40">
        <w:rPr>
          <w:rFonts w:eastAsia="Calibri" w:cs="Times New Roman"/>
          <w:szCs w:val="24"/>
        </w:rPr>
        <w:t xml:space="preserve"> kasācijas sūdzība. Ar Augstākās tiesas </w:t>
      </w:r>
      <w:proofErr w:type="gramStart"/>
      <w:r w:rsidR="00706E40">
        <w:rPr>
          <w:rFonts w:eastAsia="Calibri" w:cs="Times New Roman"/>
          <w:szCs w:val="24"/>
        </w:rPr>
        <w:t>2016.gada</w:t>
      </w:r>
      <w:proofErr w:type="gramEnd"/>
      <w:r w:rsidR="00706E40">
        <w:rPr>
          <w:rFonts w:eastAsia="Calibri" w:cs="Times New Roman"/>
          <w:szCs w:val="24"/>
        </w:rPr>
        <w:t xml:space="preserve"> 21.oktobra lēmumu apelācijas instances tiesas spriedums atcelts un lieta nosūtīta jaunai izskatīšanai apelācijas instances tiesā. Sprieduma atcelšanas pamats – Kriminālprocesa likuma </w:t>
      </w:r>
      <w:proofErr w:type="gramStart"/>
      <w:r w:rsidR="00706E40">
        <w:rPr>
          <w:rFonts w:eastAsia="Calibri" w:cs="Times New Roman"/>
          <w:szCs w:val="24"/>
        </w:rPr>
        <w:t>127.panta</w:t>
      </w:r>
      <w:proofErr w:type="gramEnd"/>
      <w:r w:rsidR="00706E40">
        <w:rPr>
          <w:rFonts w:eastAsia="Calibri" w:cs="Times New Roman"/>
          <w:szCs w:val="24"/>
        </w:rPr>
        <w:t xml:space="preserve"> otrās daļas, 511.panta otrās daļas, 512.panta otrās daļas, 564.panta ceturtās daļas pārkāpums, bet </w:t>
      </w:r>
      <w:r w:rsidR="004134E8">
        <w:rPr>
          <w:rFonts w:eastAsia="Calibri" w:cs="Times New Roman"/>
          <w:szCs w:val="24"/>
        </w:rPr>
        <w:t xml:space="preserve">sprieduma atcelšanas </w:t>
      </w:r>
      <w:r w:rsidR="00706E40">
        <w:rPr>
          <w:rFonts w:eastAsia="Calibri" w:cs="Times New Roman"/>
          <w:szCs w:val="24"/>
        </w:rPr>
        <w:t xml:space="preserve">argumenti – tiesa nav pārbaudījusi liecinieka </w:t>
      </w:r>
      <w:r w:rsidR="00A90FCE">
        <w:rPr>
          <w:rFonts w:eastAsia="Calibri" w:cs="Times New Roman"/>
          <w:szCs w:val="24"/>
        </w:rPr>
        <w:t>[pers. D]</w:t>
      </w:r>
      <w:r w:rsidR="00706E40">
        <w:rPr>
          <w:rFonts w:eastAsia="Calibri" w:cs="Times New Roman"/>
          <w:szCs w:val="24"/>
        </w:rPr>
        <w:t xml:space="preserve"> apgalvojumus par to, ka pirmstiesas procesa laikā pret viņu pielietota vardarbība nolūkā panākt policijas darbiniekiem</w:t>
      </w:r>
      <w:r w:rsidR="008A6242">
        <w:rPr>
          <w:rFonts w:eastAsia="Calibri" w:cs="Times New Roman"/>
          <w:szCs w:val="24"/>
        </w:rPr>
        <w:t xml:space="preserve"> vēlamās liecības.</w:t>
      </w:r>
    </w:p>
    <w:p w:rsidR="004231B7" w:rsidRDefault="00D87F53" w:rsidP="002D0DE5">
      <w:pPr>
        <w:spacing w:after="0" w:line="276" w:lineRule="auto"/>
        <w:ind w:firstLine="567"/>
        <w:jc w:val="both"/>
        <w:rPr>
          <w:rFonts w:eastAsia="Calibri" w:cs="Times New Roman"/>
          <w:szCs w:val="24"/>
        </w:rPr>
      </w:pPr>
      <w:r>
        <w:rPr>
          <w:rFonts w:eastAsia="Calibri" w:cs="Times New Roman"/>
          <w:szCs w:val="24"/>
        </w:rPr>
        <w:t xml:space="preserve">[7.1] </w:t>
      </w:r>
      <w:r w:rsidR="008A6242">
        <w:rPr>
          <w:rFonts w:eastAsia="Calibri" w:cs="Times New Roman"/>
          <w:szCs w:val="24"/>
        </w:rPr>
        <w:t xml:space="preserve">Līdz ar to apelācijas instances tiesai, iztiesājot lietu no jauna, bija jāpārbauda un </w:t>
      </w:r>
      <w:r>
        <w:rPr>
          <w:rFonts w:eastAsia="Calibri" w:cs="Times New Roman"/>
          <w:szCs w:val="24"/>
        </w:rPr>
        <w:t xml:space="preserve">jānovērtē minētie liecinieka </w:t>
      </w:r>
      <w:r w:rsidR="00A90FCE">
        <w:rPr>
          <w:rFonts w:eastAsia="Calibri" w:cs="Times New Roman"/>
          <w:szCs w:val="24"/>
        </w:rPr>
        <w:t>[pers. D]</w:t>
      </w:r>
      <w:r w:rsidR="008A6242">
        <w:rPr>
          <w:rFonts w:eastAsia="Calibri" w:cs="Times New Roman"/>
          <w:szCs w:val="24"/>
        </w:rPr>
        <w:t xml:space="preserve"> apgalvojumi. Jauna kasācijas sūdzība pieļaujama, ja apelācijas instances tiesa nav izpildījusi šo norādījumu, pieļāvusi likuma pārkāpumus norādījumu izpildē vai pieļāvusi Krimināllikuma pārkāpumu vai Kriminālprocesa likuma būtisku pārkāpumu lietas atkārtotā iztiesāšanā. Jaunu argumentu izvērtēšana, kas nebija norādīti </w:t>
      </w:r>
      <w:r w:rsidR="008A6242">
        <w:rPr>
          <w:rFonts w:eastAsia="Calibri" w:cs="Times New Roman"/>
          <w:szCs w:val="24"/>
        </w:rPr>
        <w:lastRenderedPageBreak/>
        <w:t xml:space="preserve">iepriekšējā kasācijas sūdzībā vai kas nebija par pamatu iepriekšējā apelācijas instances tiesas nolēmuma atcelšanai, ir pretrunā ar </w:t>
      </w:r>
      <w:r w:rsidR="004231B7">
        <w:rPr>
          <w:rFonts w:eastAsia="Calibri" w:cs="Times New Roman"/>
          <w:szCs w:val="24"/>
        </w:rPr>
        <w:t xml:space="preserve">Kriminālprocesa likuma </w:t>
      </w:r>
      <w:proofErr w:type="gramStart"/>
      <w:r w:rsidR="004231B7">
        <w:rPr>
          <w:rFonts w:eastAsia="Calibri" w:cs="Times New Roman"/>
          <w:szCs w:val="24"/>
        </w:rPr>
        <w:t>14.pantā</w:t>
      </w:r>
      <w:proofErr w:type="gramEnd"/>
      <w:r w:rsidR="004231B7">
        <w:rPr>
          <w:rFonts w:eastAsia="Calibri" w:cs="Times New Roman"/>
          <w:szCs w:val="24"/>
        </w:rPr>
        <w:t xml:space="preserve"> norādīto kriminālprocesa pamatprincipu – kriminālprocesa pabei</w:t>
      </w:r>
      <w:r>
        <w:rPr>
          <w:rFonts w:eastAsia="Calibri" w:cs="Times New Roman"/>
          <w:szCs w:val="24"/>
        </w:rPr>
        <w:t>gšanu saprātīgā termiņā (</w:t>
      </w:r>
      <w:r>
        <w:rPr>
          <w:rFonts w:eastAsia="Calibri" w:cs="Times New Roman"/>
          <w:i/>
          <w:szCs w:val="24"/>
        </w:rPr>
        <w:t>sk</w:t>
      </w:r>
      <w:r w:rsidRPr="00D87F53">
        <w:rPr>
          <w:rFonts w:eastAsia="Calibri" w:cs="Times New Roman"/>
          <w:i/>
          <w:szCs w:val="24"/>
        </w:rPr>
        <w:t>. a</w:t>
      </w:r>
      <w:r w:rsidR="004231B7" w:rsidRPr="00D87F53">
        <w:rPr>
          <w:rFonts w:eastAsia="Calibri" w:cs="Times New Roman"/>
          <w:i/>
          <w:szCs w:val="24"/>
        </w:rPr>
        <w:t>rī</w:t>
      </w:r>
      <w:r w:rsidR="004231B7">
        <w:rPr>
          <w:rFonts w:eastAsia="Calibri" w:cs="Times New Roman"/>
          <w:szCs w:val="24"/>
        </w:rPr>
        <w:t xml:space="preserve"> </w:t>
      </w:r>
      <w:r w:rsidR="004231B7" w:rsidRPr="00D87F53">
        <w:rPr>
          <w:rFonts w:eastAsia="Calibri" w:cs="Times New Roman"/>
          <w:i/>
          <w:szCs w:val="24"/>
        </w:rPr>
        <w:t>Latvija</w:t>
      </w:r>
      <w:r>
        <w:rPr>
          <w:rFonts w:eastAsia="Calibri" w:cs="Times New Roman"/>
          <w:i/>
          <w:szCs w:val="24"/>
        </w:rPr>
        <w:t>s Senāta spriedumi</w:t>
      </w:r>
      <w:r w:rsidR="004231B7" w:rsidRPr="00D87F53">
        <w:rPr>
          <w:rFonts w:eastAsia="Calibri" w:cs="Times New Roman"/>
          <w:i/>
          <w:szCs w:val="24"/>
        </w:rPr>
        <w:t xml:space="preserve"> (1918-1940) 16.sējums Senāta Kriminālā kasācijas departamenta spriedumi </w:t>
      </w:r>
      <w:r>
        <w:rPr>
          <w:rFonts w:eastAsia="Calibri" w:cs="Times New Roman"/>
          <w:i/>
          <w:szCs w:val="24"/>
        </w:rPr>
        <w:t>1937.g.</w:t>
      </w:r>
      <w:r w:rsidR="004231B7" w:rsidRPr="00D87F53">
        <w:rPr>
          <w:rFonts w:eastAsia="Calibri" w:cs="Times New Roman"/>
          <w:i/>
          <w:szCs w:val="24"/>
        </w:rPr>
        <w:t xml:space="preserve"> </w:t>
      </w:r>
      <w:r>
        <w:rPr>
          <w:rFonts w:eastAsia="Calibri" w:cs="Times New Roman"/>
          <w:i/>
          <w:szCs w:val="24"/>
        </w:rPr>
        <w:t xml:space="preserve">Rīga: Latvijas Republikas augstākā tiesa Senatora Augusta </w:t>
      </w:r>
      <w:proofErr w:type="spellStart"/>
      <w:r>
        <w:rPr>
          <w:rFonts w:eastAsia="Calibri" w:cs="Times New Roman"/>
          <w:i/>
          <w:szCs w:val="24"/>
        </w:rPr>
        <w:t>Lēbera</w:t>
      </w:r>
      <w:proofErr w:type="spellEnd"/>
      <w:r>
        <w:rPr>
          <w:rFonts w:eastAsia="Calibri" w:cs="Times New Roman"/>
          <w:i/>
          <w:szCs w:val="24"/>
        </w:rPr>
        <w:t xml:space="preserve"> fonds,</w:t>
      </w:r>
      <w:r w:rsidR="004231B7" w:rsidRPr="00D87F53">
        <w:rPr>
          <w:rFonts w:eastAsia="Calibri" w:cs="Times New Roman"/>
          <w:i/>
          <w:szCs w:val="24"/>
        </w:rPr>
        <w:t xml:space="preserve"> 1998, 69.lpp.</w:t>
      </w:r>
      <w:r w:rsidR="004231B7">
        <w:rPr>
          <w:rFonts w:eastAsia="Calibri" w:cs="Times New Roman"/>
          <w:szCs w:val="24"/>
        </w:rPr>
        <w:t xml:space="preserve">), jo atbilstoši </w:t>
      </w:r>
      <w:r>
        <w:rPr>
          <w:rFonts w:eastAsia="Calibri" w:cs="Times New Roman"/>
          <w:szCs w:val="24"/>
        </w:rPr>
        <w:t xml:space="preserve">Kriminālprocesa likuma </w:t>
      </w:r>
      <w:proofErr w:type="gramStart"/>
      <w:r>
        <w:rPr>
          <w:rFonts w:eastAsia="Calibri" w:cs="Times New Roman"/>
          <w:szCs w:val="24"/>
        </w:rPr>
        <w:t>584.pantam</w:t>
      </w:r>
      <w:proofErr w:type="gramEnd"/>
      <w:r w:rsidR="004231B7">
        <w:rPr>
          <w:rFonts w:eastAsia="Calibri" w:cs="Times New Roman"/>
          <w:szCs w:val="24"/>
        </w:rPr>
        <w:t xml:space="preserve"> tiesas nolēmumu pārbaude notiek kasācijas sūdzībā vai protestā izteikto prasību apjomā un ietvaros, bet kasācijas instances tiesa drīkst arī pārsniegt kasācijas sūdzībā vai protestā izteikto prasību apjomu un ietvarus gadījumos, kad tā konstatē Kriminālprocesa likuma</w:t>
      </w:r>
      <w:r w:rsidR="004134E8">
        <w:rPr>
          <w:rFonts w:eastAsia="Calibri" w:cs="Times New Roman"/>
          <w:szCs w:val="24"/>
        </w:rPr>
        <w:t xml:space="preserve"> 574. un 575.pant</w:t>
      </w:r>
      <w:r w:rsidR="004231B7">
        <w:rPr>
          <w:rFonts w:eastAsia="Calibri" w:cs="Times New Roman"/>
          <w:szCs w:val="24"/>
        </w:rPr>
        <w:t>ā norādītos pārkāpumus un tie nav norādīti sūdzībā vai protestā.</w:t>
      </w:r>
    </w:p>
    <w:p w:rsidR="0009199D" w:rsidRDefault="00D87F53" w:rsidP="002D0DE5">
      <w:pPr>
        <w:spacing w:after="0" w:line="276" w:lineRule="auto"/>
        <w:ind w:firstLine="567"/>
        <w:jc w:val="both"/>
        <w:rPr>
          <w:rFonts w:eastAsia="Calibri" w:cs="Times New Roman"/>
          <w:szCs w:val="24"/>
        </w:rPr>
      </w:pPr>
      <w:r>
        <w:rPr>
          <w:rFonts w:eastAsia="Calibri" w:cs="Times New Roman"/>
          <w:szCs w:val="24"/>
        </w:rPr>
        <w:t xml:space="preserve">[7.2] </w:t>
      </w:r>
      <w:r w:rsidR="00B97C8A">
        <w:rPr>
          <w:rFonts w:eastAsia="Calibri" w:cs="Times New Roman"/>
          <w:szCs w:val="24"/>
        </w:rPr>
        <w:t xml:space="preserve">No apelācijas instances tiesas </w:t>
      </w:r>
      <w:proofErr w:type="gramStart"/>
      <w:r w:rsidR="00B97C8A">
        <w:rPr>
          <w:rFonts w:eastAsia="Calibri" w:cs="Times New Roman"/>
          <w:szCs w:val="24"/>
        </w:rPr>
        <w:t>2017.gada</w:t>
      </w:r>
      <w:proofErr w:type="gramEnd"/>
      <w:r w:rsidR="00B97C8A">
        <w:rPr>
          <w:rFonts w:eastAsia="Calibri" w:cs="Times New Roman"/>
          <w:szCs w:val="24"/>
        </w:rPr>
        <w:t xml:space="preserve"> 13.decembra sprieduma redzams, ka tiesa ir pārbaudījusi </w:t>
      </w:r>
      <w:r w:rsidR="00894A2E">
        <w:rPr>
          <w:rFonts w:eastAsia="Calibri" w:cs="Times New Roman"/>
          <w:szCs w:val="24"/>
        </w:rPr>
        <w:t>[pers. D]</w:t>
      </w:r>
      <w:r w:rsidR="00B97C8A">
        <w:rPr>
          <w:rFonts w:eastAsia="Calibri" w:cs="Times New Roman"/>
          <w:szCs w:val="24"/>
        </w:rPr>
        <w:t xml:space="preserve"> izvirzīto versiju par liecību sniegšanu pirmstiesas kriminālprocesā policijas darbinieku </w:t>
      </w:r>
      <w:r w:rsidR="0048451E">
        <w:rPr>
          <w:rFonts w:eastAsia="Calibri" w:cs="Times New Roman"/>
          <w:szCs w:val="24"/>
        </w:rPr>
        <w:t xml:space="preserve">iespaidā. Tiesa ir nopratinājusi liecinieci </w:t>
      </w:r>
      <w:r w:rsidR="00894A2E">
        <w:rPr>
          <w:rFonts w:eastAsia="Calibri" w:cs="Times New Roman"/>
          <w:szCs w:val="24"/>
        </w:rPr>
        <w:t>[pers. G]</w:t>
      </w:r>
      <w:r w:rsidR="0048451E">
        <w:rPr>
          <w:rFonts w:eastAsia="Calibri" w:cs="Times New Roman"/>
          <w:szCs w:val="24"/>
        </w:rPr>
        <w:t xml:space="preserve">, </w:t>
      </w:r>
      <w:r w:rsidR="002E4E46">
        <w:rPr>
          <w:rFonts w:eastAsia="Calibri" w:cs="Times New Roman"/>
          <w:szCs w:val="24"/>
        </w:rPr>
        <w:t xml:space="preserve">procesa virzītāju, kas veica </w:t>
      </w:r>
      <w:r w:rsidR="00894A2E">
        <w:rPr>
          <w:rFonts w:eastAsia="Calibri" w:cs="Times New Roman"/>
          <w:szCs w:val="24"/>
        </w:rPr>
        <w:t>[pers. D]</w:t>
      </w:r>
      <w:r w:rsidR="0048451E">
        <w:rPr>
          <w:rFonts w:eastAsia="Calibri" w:cs="Times New Roman"/>
          <w:szCs w:val="24"/>
        </w:rPr>
        <w:t xml:space="preserve"> nopratināšanu </w:t>
      </w:r>
      <w:proofErr w:type="gramStart"/>
      <w:r w:rsidR="0048451E">
        <w:rPr>
          <w:rFonts w:eastAsia="Calibri" w:cs="Times New Roman"/>
          <w:szCs w:val="24"/>
        </w:rPr>
        <w:t>2013.gada</w:t>
      </w:r>
      <w:proofErr w:type="gramEnd"/>
      <w:r w:rsidR="0048451E">
        <w:rPr>
          <w:rFonts w:eastAsia="Calibri" w:cs="Times New Roman"/>
          <w:szCs w:val="24"/>
        </w:rPr>
        <w:t xml:space="preserve"> 6., 7.novembrī, 20.decembrī, liecinieku </w:t>
      </w:r>
      <w:r w:rsidR="00894A2E">
        <w:rPr>
          <w:rFonts w:eastAsia="Calibri" w:cs="Times New Roman"/>
          <w:szCs w:val="24"/>
        </w:rPr>
        <w:t>[pers. H]</w:t>
      </w:r>
      <w:r w:rsidR="0048451E">
        <w:rPr>
          <w:rFonts w:eastAsia="Calibri" w:cs="Times New Roman"/>
          <w:szCs w:val="24"/>
        </w:rPr>
        <w:t xml:space="preserve">, kas piedalījies </w:t>
      </w:r>
      <w:r w:rsidR="00894A2E">
        <w:rPr>
          <w:rFonts w:eastAsia="Calibri" w:cs="Times New Roman"/>
          <w:szCs w:val="24"/>
        </w:rPr>
        <w:t>[pers. D]</w:t>
      </w:r>
      <w:r w:rsidR="0048451E">
        <w:rPr>
          <w:rFonts w:eastAsia="Calibri" w:cs="Times New Roman"/>
          <w:szCs w:val="24"/>
        </w:rPr>
        <w:t xml:space="preserve"> aizturēšanā un kuram </w:t>
      </w:r>
      <w:r w:rsidR="00894A2E">
        <w:rPr>
          <w:rFonts w:eastAsia="Calibri" w:cs="Times New Roman"/>
          <w:szCs w:val="24"/>
        </w:rPr>
        <w:t>[pers. D]</w:t>
      </w:r>
      <w:r w:rsidR="0009199D">
        <w:rPr>
          <w:rFonts w:eastAsia="Calibri" w:cs="Times New Roman"/>
          <w:szCs w:val="24"/>
        </w:rPr>
        <w:t xml:space="preserve"> vispirms mutiski pastāstījis par notikumu un pēc tam rakstījis vaļs</w:t>
      </w:r>
      <w:r w:rsidR="002E4E46">
        <w:rPr>
          <w:rFonts w:eastAsia="Calibri" w:cs="Times New Roman"/>
          <w:szCs w:val="24"/>
        </w:rPr>
        <w:t xml:space="preserve">irdīgu atzīšanos, liecinieci </w:t>
      </w:r>
      <w:r w:rsidR="00894A2E">
        <w:rPr>
          <w:rFonts w:eastAsia="Calibri" w:cs="Times New Roman"/>
          <w:szCs w:val="24"/>
        </w:rPr>
        <w:t>[pers. I]</w:t>
      </w:r>
      <w:r w:rsidR="0009199D">
        <w:rPr>
          <w:rFonts w:eastAsia="Calibri" w:cs="Times New Roman"/>
          <w:szCs w:val="24"/>
        </w:rPr>
        <w:t xml:space="preserve">, kura kopā ar </w:t>
      </w:r>
      <w:r w:rsidR="00894A2E">
        <w:rPr>
          <w:rFonts w:eastAsia="Calibri" w:cs="Times New Roman"/>
          <w:szCs w:val="24"/>
        </w:rPr>
        <w:t>[pers. </w:t>
      </w:r>
      <w:r w:rsidR="007A1EA6">
        <w:rPr>
          <w:rFonts w:eastAsia="Calibri" w:cs="Times New Roman"/>
          <w:szCs w:val="24"/>
        </w:rPr>
        <w:t>D</w:t>
      </w:r>
      <w:r w:rsidR="00894A2E">
        <w:rPr>
          <w:rFonts w:eastAsia="Calibri" w:cs="Times New Roman"/>
          <w:szCs w:val="24"/>
        </w:rPr>
        <w:t>]</w:t>
      </w:r>
      <w:r w:rsidR="0009199D">
        <w:rPr>
          <w:rFonts w:eastAsia="Calibri" w:cs="Times New Roman"/>
          <w:szCs w:val="24"/>
        </w:rPr>
        <w:t xml:space="preserve"> bija nogādāta policijā, kā arī liecinieku </w:t>
      </w:r>
      <w:r w:rsidR="00894A2E">
        <w:rPr>
          <w:rFonts w:eastAsia="Calibri" w:cs="Times New Roman"/>
          <w:szCs w:val="24"/>
        </w:rPr>
        <w:t>[pers. D]</w:t>
      </w:r>
      <w:r w:rsidR="0009199D">
        <w:rPr>
          <w:rFonts w:eastAsia="Calibri" w:cs="Times New Roman"/>
          <w:szCs w:val="24"/>
        </w:rPr>
        <w:t>. Izanalizējot un novērtējot liecības, apelācijas instances tiesa nonāca pie atzinuma, ka nav iegūti ticami pierādījumi vers</w:t>
      </w:r>
      <w:r w:rsidR="002E4E46">
        <w:rPr>
          <w:rFonts w:eastAsia="Calibri" w:cs="Times New Roman"/>
          <w:szCs w:val="24"/>
        </w:rPr>
        <w:t xml:space="preserve">ijai par </w:t>
      </w:r>
      <w:r w:rsidR="00894A2E">
        <w:rPr>
          <w:rFonts w:eastAsia="Calibri" w:cs="Times New Roman"/>
          <w:szCs w:val="24"/>
        </w:rPr>
        <w:t>[pers. D]</w:t>
      </w:r>
      <w:r w:rsidR="0009199D">
        <w:rPr>
          <w:rFonts w:eastAsia="Calibri" w:cs="Times New Roman"/>
          <w:szCs w:val="24"/>
        </w:rPr>
        <w:t xml:space="preserve"> iespaidošanu. Turklāt tiesa atzinuma pamatošanai izmantojusi arī citus pierādījumus </w:t>
      </w:r>
      <w:r w:rsidR="002E4E46">
        <w:rPr>
          <w:rFonts w:eastAsia="Calibri" w:cs="Times New Roman"/>
          <w:szCs w:val="24"/>
        </w:rPr>
        <w:t xml:space="preserve">– </w:t>
      </w:r>
      <w:r w:rsidR="00894A2E">
        <w:rPr>
          <w:rFonts w:eastAsia="Calibri" w:cs="Times New Roman"/>
          <w:szCs w:val="24"/>
        </w:rPr>
        <w:t>[pers. D]</w:t>
      </w:r>
      <w:r w:rsidR="0009199D">
        <w:rPr>
          <w:rFonts w:eastAsia="Calibri" w:cs="Times New Roman"/>
          <w:szCs w:val="24"/>
        </w:rPr>
        <w:t xml:space="preserve"> liecības pirmstiesas procesā, tiesu medi</w:t>
      </w:r>
      <w:r w:rsidR="002E4E46">
        <w:rPr>
          <w:rFonts w:eastAsia="Calibri" w:cs="Times New Roman"/>
          <w:szCs w:val="24"/>
        </w:rPr>
        <w:t xml:space="preserve">cīniskās ekspertīzes atzinumu. </w:t>
      </w:r>
      <w:r w:rsidR="0009199D">
        <w:rPr>
          <w:rFonts w:eastAsia="Calibri" w:cs="Times New Roman"/>
          <w:szCs w:val="24"/>
        </w:rPr>
        <w:t xml:space="preserve">Izvērtējot visus kriminālprocesā iegūtos faktus vai ziņas par faktiem kopumā un savstarpējā sakarībā, apelācijas instances tiesa atzina par pieļaujamu un ticamu pierādījumu </w:t>
      </w:r>
      <w:r w:rsidR="00894A2E">
        <w:rPr>
          <w:rFonts w:eastAsia="Calibri" w:cs="Times New Roman"/>
          <w:szCs w:val="24"/>
        </w:rPr>
        <w:t>[pers. D]</w:t>
      </w:r>
      <w:r w:rsidR="0009199D">
        <w:rPr>
          <w:rFonts w:eastAsia="Calibri" w:cs="Times New Roman"/>
          <w:szCs w:val="24"/>
        </w:rPr>
        <w:t xml:space="preserve"> liecības par viņam zināmiem </w:t>
      </w:r>
      <w:r w:rsidR="00894A2E">
        <w:rPr>
          <w:rFonts w:eastAsia="Calibri" w:cs="Times New Roman"/>
          <w:szCs w:val="24"/>
        </w:rPr>
        <w:t>[pers. B]</w:t>
      </w:r>
      <w:r w:rsidR="0009199D">
        <w:rPr>
          <w:rFonts w:eastAsia="Calibri" w:cs="Times New Roman"/>
          <w:szCs w:val="24"/>
        </w:rPr>
        <w:t xml:space="preserve"> noslepkavošanas apstākļiem.</w:t>
      </w:r>
    </w:p>
    <w:p w:rsidR="00D87F53" w:rsidRDefault="00D87F53" w:rsidP="002D0DE5">
      <w:pPr>
        <w:spacing w:after="0" w:line="276" w:lineRule="auto"/>
        <w:ind w:firstLine="567"/>
        <w:jc w:val="both"/>
        <w:rPr>
          <w:rFonts w:eastAsia="Calibri" w:cs="Times New Roman"/>
          <w:szCs w:val="24"/>
        </w:rPr>
      </w:pPr>
    </w:p>
    <w:p w:rsidR="00D87F53" w:rsidRDefault="00D87F53" w:rsidP="002D0DE5">
      <w:pPr>
        <w:spacing w:after="0" w:line="276" w:lineRule="auto"/>
        <w:ind w:firstLine="567"/>
        <w:jc w:val="both"/>
        <w:rPr>
          <w:rFonts w:eastAsia="Calibri" w:cs="Times New Roman"/>
          <w:szCs w:val="24"/>
        </w:rPr>
      </w:pPr>
      <w:r>
        <w:rPr>
          <w:rFonts w:eastAsia="Calibri" w:cs="Times New Roman"/>
          <w:szCs w:val="24"/>
        </w:rPr>
        <w:t xml:space="preserve">[8] </w:t>
      </w:r>
      <w:r w:rsidR="0009199D">
        <w:rPr>
          <w:rFonts w:eastAsia="Calibri" w:cs="Times New Roman"/>
          <w:szCs w:val="24"/>
        </w:rPr>
        <w:t xml:space="preserve">Apsūdzētā </w:t>
      </w:r>
      <w:r w:rsidR="00894A2E">
        <w:rPr>
          <w:rFonts w:eastAsia="Calibri" w:cs="Times New Roman"/>
          <w:szCs w:val="24"/>
        </w:rPr>
        <w:t>[pers. A]</w:t>
      </w:r>
      <w:r w:rsidR="0009199D">
        <w:rPr>
          <w:rFonts w:eastAsia="Calibri" w:cs="Times New Roman"/>
          <w:szCs w:val="24"/>
        </w:rPr>
        <w:t xml:space="preserve"> aizstāvja kasācijas sūdzībā norādītie argumenti par divos CD diskos ierakstīto sarunu nenoklausīšanos tiesas sēdē, </w:t>
      </w:r>
      <w:r w:rsidR="00894A2E">
        <w:rPr>
          <w:rFonts w:eastAsia="Calibri" w:cs="Times New Roman"/>
          <w:szCs w:val="24"/>
        </w:rPr>
        <w:t>[pers. A]</w:t>
      </w:r>
      <w:r w:rsidR="0009199D">
        <w:rPr>
          <w:rFonts w:eastAsia="Calibri" w:cs="Times New Roman"/>
          <w:szCs w:val="24"/>
        </w:rPr>
        <w:t xml:space="preserve"> norādes uz alibi neizvērtēšanu, liecinieku </w:t>
      </w:r>
      <w:r w:rsidR="00894A2E">
        <w:rPr>
          <w:rFonts w:eastAsia="Calibri" w:cs="Times New Roman"/>
          <w:szCs w:val="24"/>
        </w:rPr>
        <w:t>[pers. E]</w:t>
      </w:r>
      <w:r w:rsidR="0009199D">
        <w:rPr>
          <w:rFonts w:eastAsia="Calibri" w:cs="Times New Roman"/>
          <w:szCs w:val="24"/>
        </w:rPr>
        <w:t xml:space="preserve"> un </w:t>
      </w:r>
      <w:r w:rsidR="00894A2E">
        <w:rPr>
          <w:rFonts w:eastAsia="Calibri" w:cs="Times New Roman"/>
          <w:szCs w:val="24"/>
        </w:rPr>
        <w:t>[pers. F]</w:t>
      </w:r>
      <w:r w:rsidR="0009199D">
        <w:rPr>
          <w:rFonts w:eastAsia="Calibri" w:cs="Times New Roman"/>
          <w:szCs w:val="24"/>
        </w:rPr>
        <w:t xml:space="preserve"> atkārtotu nenopratināšanu </w:t>
      </w:r>
      <w:r w:rsidR="00C038E1">
        <w:rPr>
          <w:rFonts w:eastAsia="Calibri" w:cs="Times New Roman"/>
          <w:szCs w:val="24"/>
        </w:rPr>
        <w:t xml:space="preserve">neattiecas uz </w:t>
      </w:r>
      <w:r w:rsidR="00894A2E">
        <w:rPr>
          <w:rFonts w:eastAsia="Calibri" w:cs="Times New Roman"/>
          <w:szCs w:val="24"/>
        </w:rPr>
        <w:t>[pers. D]</w:t>
      </w:r>
      <w:r w:rsidR="00C038E1">
        <w:rPr>
          <w:rFonts w:eastAsia="Calibri" w:cs="Times New Roman"/>
          <w:szCs w:val="24"/>
        </w:rPr>
        <w:t xml:space="preserve"> versijas pārbaudi, bet izteiktās šaubas par tiesas objektivitāti ir aizstāvja pieņēmums. Turklāt apelācijas instances tiesa ir sniegusi atbildes uz minētajiem argumentiem. </w:t>
      </w:r>
    </w:p>
    <w:p w:rsidR="00D87F53" w:rsidRDefault="00D87F53" w:rsidP="002D0DE5">
      <w:pPr>
        <w:spacing w:after="0" w:line="276" w:lineRule="auto"/>
        <w:ind w:firstLine="567"/>
        <w:jc w:val="both"/>
        <w:rPr>
          <w:rFonts w:eastAsia="Calibri" w:cs="Times New Roman"/>
          <w:szCs w:val="24"/>
        </w:rPr>
      </w:pPr>
    </w:p>
    <w:p w:rsidR="0009199D" w:rsidRPr="00706E40" w:rsidRDefault="00D87F53" w:rsidP="002D0DE5">
      <w:pPr>
        <w:spacing w:after="0" w:line="276" w:lineRule="auto"/>
        <w:ind w:firstLine="567"/>
        <w:jc w:val="both"/>
        <w:rPr>
          <w:rFonts w:eastAsia="Calibri" w:cs="Times New Roman"/>
          <w:szCs w:val="24"/>
        </w:rPr>
      </w:pPr>
      <w:r>
        <w:rPr>
          <w:rFonts w:eastAsia="Calibri" w:cs="Times New Roman"/>
          <w:szCs w:val="24"/>
        </w:rPr>
        <w:t xml:space="preserve">[9] </w:t>
      </w:r>
      <w:r w:rsidR="00C038E1">
        <w:rPr>
          <w:rFonts w:eastAsia="Calibri" w:cs="Times New Roman"/>
          <w:szCs w:val="24"/>
        </w:rPr>
        <w:t>Līdz ar to kasācijas instances tiesa atzīst, ka nav tiesiska pamata apelācijas instances tiesas sprieduma grozīšanai vai atcelšanai.</w:t>
      </w:r>
    </w:p>
    <w:p w:rsidR="00B6017E" w:rsidRDefault="00B6017E" w:rsidP="002D0DE5">
      <w:pPr>
        <w:spacing w:after="0" w:line="276" w:lineRule="auto"/>
        <w:jc w:val="center"/>
        <w:rPr>
          <w:rFonts w:eastAsia="Times New Roman" w:cs="Times New Roman"/>
          <w:b/>
          <w:lang w:eastAsia="lv-LV"/>
        </w:rPr>
      </w:pPr>
    </w:p>
    <w:p w:rsidR="00B6017E" w:rsidRPr="004F09C1" w:rsidRDefault="00B6017E" w:rsidP="002D0DE5">
      <w:pPr>
        <w:spacing w:after="0" w:line="276" w:lineRule="auto"/>
        <w:jc w:val="center"/>
        <w:rPr>
          <w:rFonts w:eastAsia="Calibri" w:cs="Times New Roman"/>
          <w:szCs w:val="24"/>
        </w:rPr>
      </w:pPr>
      <w:r w:rsidRPr="00F25004">
        <w:rPr>
          <w:rFonts w:eastAsia="Times New Roman" w:cs="Times New Roman"/>
          <w:b/>
          <w:lang w:eastAsia="lv-LV"/>
        </w:rPr>
        <w:t>Rezolutīvā daļa</w:t>
      </w:r>
    </w:p>
    <w:p w:rsidR="00B6017E" w:rsidRPr="00F25004" w:rsidRDefault="00B6017E" w:rsidP="002D0DE5">
      <w:pPr>
        <w:spacing w:after="0" w:line="276" w:lineRule="auto"/>
        <w:contextualSpacing/>
        <w:jc w:val="center"/>
        <w:rPr>
          <w:rFonts w:eastAsia="Times New Roman" w:cs="Times New Roman"/>
          <w:b/>
          <w:lang w:eastAsia="lv-LV"/>
        </w:rPr>
      </w:pPr>
    </w:p>
    <w:p w:rsidR="00B6017E" w:rsidRPr="00F25004" w:rsidRDefault="00B6017E" w:rsidP="002D0DE5">
      <w:pPr>
        <w:spacing w:after="0" w:line="276" w:lineRule="auto"/>
        <w:jc w:val="both"/>
        <w:rPr>
          <w:rFonts w:eastAsia="Calibri" w:cs="Times New Roman"/>
          <w:iCs/>
          <w:szCs w:val="24"/>
        </w:rPr>
      </w:pPr>
      <w:r w:rsidRPr="00F25004">
        <w:rPr>
          <w:rFonts w:eastAsia="Calibri" w:cs="Times New Roman"/>
          <w:iCs/>
          <w:szCs w:val="24"/>
        </w:rPr>
        <w:t xml:space="preserve">Pamatojoties uz Kriminālprocesa likuma 585., </w:t>
      </w:r>
      <w:proofErr w:type="gramStart"/>
      <w:r w:rsidRPr="00F25004">
        <w:rPr>
          <w:rFonts w:eastAsia="Calibri" w:cs="Times New Roman"/>
          <w:iCs/>
          <w:szCs w:val="24"/>
        </w:rPr>
        <w:t>587.pantu</w:t>
      </w:r>
      <w:proofErr w:type="gramEnd"/>
      <w:r w:rsidRPr="00F25004">
        <w:rPr>
          <w:rFonts w:eastAsia="Calibri" w:cs="Times New Roman"/>
          <w:iCs/>
          <w:szCs w:val="24"/>
        </w:rPr>
        <w:t>, Augstākā tiesa</w:t>
      </w:r>
    </w:p>
    <w:p w:rsidR="002E4E46" w:rsidRDefault="002E4E46" w:rsidP="002E4E46">
      <w:pPr>
        <w:spacing w:after="0" w:line="276" w:lineRule="auto"/>
        <w:jc w:val="center"/>
        <w:rPr>
          <w:rFonts w:eastAsia="Calibri" w:cs="Times New Roman"/>
          <w:b/>
          <w:iCs/>
          <w:szCs w:val="24"/>
        </w:rPr>
      </w:pPr>
    </w:p>
    <w:p w:rsidR="00DF1C0C" w:rsidRDefault="00B6017E" w:rsidP="002E4E46">
      <w:pPr>
        <w:spacing w:after="0" w:line="276" w:lineRule="auto"/>
        <w:jc w:val="center"/>
        <w:rPr>
          <w:rFonts w:eastAsia="Calibri" w:cs="Times New Roman"/>
          <w:iCs/>
          <w:szCs w:val="24"/>
        </w:rPr>
      </w:pPr>
      <w:r w:rsidRPr="00F25004">
        <w:rPr>
          <w:rFonts w:eastAsia="Calibri" w:cs="Times New Roman"/>
          <w:b/>
          <w:iCs/>
          <w:szCs w:val="24"/>
        </w:rPr>
        <w:t>nolēma:</w:t>
      </w:r>
      <w:r w:rsidR="002E4E46">
        <w:rPr>
          <w:rFonts w:eastAsia="Calibri" w:cs="Times New Roman"/>
          <w:iCs/>
          <w:szCs w:val="24"/>
        </w:rPr>
        <w:t xml:space="preserve"> </w:t>
      </w:r>
    </w:p>
    <w:p w:rsidR="002E4E46" w:rsidRDefault="002E4E46" w:rsidP="002E4E46">
      <w:pPr>
        <w:spacing w:after="0" w:line="276" w:lineRule="auto"/>
        <w:jc w:val="center"/>
        <w:rPr>
          <w:rFonts w:eastAsia="Calibri" w:cs="Times New Roman"/>
          <w:iCs/>
          <w:szCs w:val="24"/>
        </w:rPr>
      </w:pPr>
    </w:p>
    <w:p w:rsidR="00C038E1" w:rsidRDefault="00C038E1" w:rsidP="002D0DE5">
      <w:pPr>
        <w:spacing w:after="0" w:line="276" w:lineRule="auto"/>
        <w:ind w:firstLine="567"/>
        <w:jc w:val="both"/>
        <w:rPr>
          <w:rFonts w:eastAsia="Calibri" w:cs="Times New Roman"/>
          <w:szCs w:val="24"/>
        </w:rPr>
      </w:pPr>
      <w:r w:rsidRPr="00C038E1">
        <w:rPr>
          <w:rFonts w:eastAsia="Calibri" w:cs="Times New Roman"/>
          <w:iCs/>
          <w:szCs w:val="24"/>
        </w:rPr>
        <w:t xml:space="preserve">atstāt </w:t>
      </w:r>
      <w:r>
        <w:rPr>
          <w:rFonts w:eastAsia="Calibri" w:cs="Times New Roman"/>
          <w:iCs/>
          <w:szCs w:val="24"/>
        </w:rPr>
        <w:t xml:space="preserve">negrozītu </w:t>
      </w:r>
      <w:r w:rsidRPr="00706E40">
        <w:rPr>
          <w:rFonts w:eastAsia="Times New Roman" w:cs="Times New Roman"/>
          <w:szCs w:val="24"/>
          <w:lang w:eastAsia="lv-LV"/>
        </w:rPr>
        <w:t xml:space="preserve">Rīgas apgabaltiesas </w:t>
      </w:r>
      <w:proofErr w:type="gramStart"/>
      <w:r w:rsidRPr="00706E40">
        <w:rPr>
          <w:rFonts w:eastAsia="Times New Roman" w:cs="Times New Roman"/>
          <w:szCs w:val="24"/>
          <w:lang w:eastAsia="lv-LV"/>
        </w:rPr>
        <w:t>201</w:t>
      </w:r>
      <w:r>
        <w:rPr>
          <w:rFonts w:eastAsia="Times New Roman" w:cs="Times New Roman"/>
          <w:szCs w:val="24"/>
          <w:lang w:eastAsia="lv-LV"/>
        </w:rPr>
        <w:t>7</w:t>
      </w:r>
      <w:r w:rsidRPr="00706E40">
        <w:rPr>
          <w:rFonts w:eastAsia="Times New Roman" w:cs="Times New Roman"/>
          <w:szCs w:val="24"/>
          <w:lang w:eastAsia="lv-LV"/>
        </w:rPr>
        <w:t>.gada</w:t>
      </w:r>
      <w:proofErr w:type="gramEnd"/>
      <w:r w:rsidRPr="00706E40">
        <w:rPr>
          <w:rFonts w:eastAsia="Times New Roman" w:cs="Times New Roman"/>
          <w:szCs w:val="24"/>
          <w:lang w:eastAsia="lv-LV"/>
        </w:rPr>
        <w:t xml:space="preserve"> </w:t>
      </w:r>
      <w:r>
        <w:rPr>
          <w:rFonts w:eastAsia="Times New Roman" w:cs="Times New Roman"/>
          <w:szCs w:val="24"/>
          <w:lang w:eastAsia="lv-LV"/>
        </w:rPr>
        <w:t>1</w:t>
      </w:r>
      <w:r w:rsidRPr="00706E40">
        <w:rPr>
          <w:rFonts w:eastAsia="Times New Roman" w:cs="Times New Roman"/>
          <w:szCs w:val="24"/>
          <w:lang w:eastAsia="lv-LV"/>
        </w:rPr>
        <w:t>3.</w:t>
      </w:r>
      <w:r>
        <w:rPr>
          <w:rFonts w:eastAsia="Times New Roman" w:cs="Times New Roman"/>
          <w:szCs w:val="24"/>
          <w:lang w:eastAsia="lv-LV"/>
        </w:rPr>
        <w:t xml:space="preserve">decembra spriedumu, bet </w:t>
      </w:r>
      <w:r>
        <w:rPr>
          <w:rFonts w:eastAsia="Calibri" w:cs="Times New Roman"/>
          <w:szCs w:val="24"/>
        </w:rPr>
        <w:t xml:space="preserve">apsūdzētā </w:t>
      </w:r>
      <w:r w:rsidR="00894A2E">
        <w:rPr>
          <w:rFonts w:eastAsia="Calibri" w:cs="Times New Roman"/>
          <w:szCs w:val="24"/>
        </w:rPr>
        <w:t>[pers. A]</w:t>
      </w:r>
      <w:r>
        <w:rPr>
          <w:rFonts w:eastAsia="Calibri" w:cs="Times New Roman"/>
          <w:szCs w:val="24"/>
        </w:rPr>
        <w:t xml:space="preserve"> un viņa aizstāvja Pētera Kušnera </w:t>
      </w:r>
      <w:r w:rsidRPr="00F25004">
        <w:rPr>
          <w:rFonts w:eastAsia="Calibri" w:cs="Times New Roman"/>
          <w:szCs w:val="24"/>
        </w:rPr>
        <w:t xml:space="preserve">kasācijas </w:t>
      </w:r>
      <w:r>
        <w:rPr>
          <w:rFonts w:eastAsia="Calibri" w:cs="Times New Roman"/>
          <w:szCs w:val="24"/>
        </w:rPr>
        <w:t>sūdzības</w:t>
      </w:r>
      <w:r w:rsidRPr="00706E40">
        <w:rPr>
          <w:rFonts w:eastAsia="Calibri" w:cs="Times New Roman"/>
          <w:szCs w:val="24"/>
        </w:rPr>
        <w:t xml:space="preserve"> noraid</w:t>
      </w:r>
      <w:r>
        <w:rPr>
          <w:rFonts w:eastAsia="Calibri" w:cs="Times New Roman"/>
          <w:szCs w:val="24"/>
        </w:rPr>
        <w:t>īt</w:t>
      </w:r>
      <w:r w:rsidRPr="00706E40">
        <w:rPr>
          <w:rFonts w:eastAsia="Calibri" w:cs="Times New Roman"/>
          <w:szCs w:val="24"/>
        </w:rPr>
        <w:t>.</w:t>
      </w:r>
    </w:p>
    <w:p w:rsidR="00B6017E" w:rsidRPr="00C038E1" w:rsidRDefault="00B6017E" w:rsidP="002D0DE5">
      <w:pPr>
        <w:spacing w:after="0" w:line="276" w:lineRule="auto"/>
        <w:ind w:firstLine="567"/>
        <w:jc w:val="both"/>
        <w:rPr>
          <w:rFonts w:eastAsia="Calibri" w:cs="Times New Roman"/>
          <w:szCs w:val="24"/>
        </w:rPr>
      </w:pPr>
      <w:r w:rsidRPr="00F25004">
        <w:rPr>
          <w:rFonts w:eastAsia="Calibri" w:cs="Times New Roman"/>
          <w:iCs/>
          <w:szCs w:val="24"/>
        </w:rPr>
        <w:t xml:space="preserve">Lēmums nav pārsūdzams. </w:t>
      </w:r>
    </w:p>
    <w:p w:rsidR="00B6017E" w:rsidRPr="00F25004" w:rsidRDefault="00B6017E" w:rsidP="002D0DE5">
      <w:pPr>
        <w:spacing w:after="0" w:line="276" w:lineRule="auto"/>
        <w:ind w:firstLine="567"/>
        <w:jc w:val="both"/>
        <w:rPr>
          <w:rFonts w:eastAsia="Calibri" w:cs="Times New Roman"/>
          <w:iCs/>
          <w:szCs w:val="24"/>
        </w:rPr>
      </w:pPr>
    </w:p>
    <w:sectPr w:rsidR="00B6017E" w:rsidRPr="00F25004" w:rsidSect="004134E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F19" w:rsidRDefault="00A80F19">
      <w:pPr>
        <w:spacing w:after="0" w:line="240" w:lineRule="auto"/>
      </w:pPr>
      <w:r>
        <w:separator/>
      </w:r>
    </w:p>
  </w:endnote>
  <w:endnote w:type="continuationSeparator" w:id="0">
    <w:p w:rsidR="00A80F19" w:rsidRDefault="00A8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9C02B1" w:rsidRDefault="00C8576D">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4134E8">
              <w:rPr>
                <w:bCs/>
                <w:noProof/>
                <w:sz w:val="20"/>
                <w:szCs w:val="20"/>
              </w:rPr>
              <w:t>4</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4134E8">
              <w:rPr>
                <w:bCs/>
                <w:noProof/>
                <w:sz w:val="20"/>
                <w:szCs w:val="20"/>
              </w:rPr>
              <w:t>4</w:t>
            </w:r>
            <w:r w:rsidRPr="00715E47">
              <w:rPr>
                <w:bCs/>
                <w:sz w:val="20"/>
                <w:szCs w:val="20"/>
              </w:rPr>
              <w:fldChar w:fldCharType="end"/>
            </w:r>
          </w:p>
        </w:sdtContent>
      </w:sdt>
    </w:sdtContent>
  </w:sdt>
  <w:p w:rsidR="009C02B1" w:rsidRDefault="004F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F19" w:rsidRDefault="00A80F19">
      <w:pPr>
        <w:spacing w:after="0" w:line="240" w:lineRule="auto"/>
      </w:pPr>
      <w:r>
        <w:separator/>
      </w:r>
    </w:p>
  </w:footnote>
  <w:footnote w:type="continuationSeparator" w:id="0">
    <w:p w:rsidR="00A80F19" w:rsidRDefault="00A8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357"/>
    <w:multiLevelType w:val="hybridMultilevel"/>
    <w:tmpl w:val="12349934"/>
    <w:lvl w:ilvl="0" w:tplc="A530B6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7E"/>
    <w:rsid w:val="0003584E"/>
    <w:rsid w:val="0009199D"/>
    <w:rsid w:val="000E0B28"/>
    <w:rsid w:val="001D0E28"/>
    <w:rsid w:val="001F726B"/>
    <w:rsid w:val="00205E47"/>
    <w:rsid w:val="00210857"/>
    <w:rsid w:val="002176CF"/>
    <w:rsid w:val="00224717"/>
    <w:rsid w:val="002D0DE5"/>
    <w:rsid w:val="002D4EBA"/>
    <w:rsid w:val="002E4E46"/>
    <w:rsid w:val="00385CE4"/>
    <w:rsid w:val="003F7DEF"/>
    <w:rsid w:val="004134E8"/>
    <w:rsid w:val="00414E84"/>
    <w:rsid w:val="004231B7"/>
    <w:rsid w:val="0048451E"/>
    <w:rsid w:val="004C190C"/>
    <w:rsid w:val="004D3D1C"/>
    <w:rsid w:val="004F7654"/>
    <w:rsid w:val="00532708"/>
    <w:rsid w:val="005C21BB"/>
    <w:rsid w:val="005E77EA"/>
    <w:rsid w:val="006A5261"/>
    <w:rsid w:val="00701FB0"/>
    <w:rsid w:val="00706E40"/>
    <w:rsid w:val="00796EF9"/>
    <w:rsid w:val="007A1EA6"/>
    <w:rsid w:val="007D7EC3"/>
    <w:rsid w:val="007E6EC6"/>
    <w:rsid w:val="007F7D03"/>
    <w:rsid w:val="00894A2E"/>
    <w:rsid w:val="008A6242"/>
    <w:rsid w:val="00981213"/>
    <w:rsid w:val="00A22765"/>
    <w:rsid w:val="00A80F19"/>
    <w:rsid w:val="00A90FCE"/>
    <w:rsid w:val="00B0335F"/>
    <w:rsid w:val="00B1181D"/>
    <w:rsid w:val="00B6017E"/>
    <w:rsid w:val="00B826AD"/>
    <w:rsid w:val="00B87089"/>
    <w:rsid w:val="00B97C8A"/>
    <w:rsid w:val="00BB5F53"/>
    <w:rsid w:val="00C038E1"/>
    <w:rsid w:val="00C413CB"/>
    <w:rsid w:val="00C8576D"/>
    <w:rsid w:val="00D42F6A"/>
    <w:rsid w:val="00D54343"/>
    <w:rsid w:val="00D87F53"/>
    <w:rsid w:val="00DC4FB7"/>
    <w:rsid w:val="00DF1C0C"/>
    <w:rsid w:val="00E16296"/>
    <w:rsid w:val="00F036EF"/>
    <w:rsid w:val="00F11A52"/>
    <w:rsid w:val="00F15242"/>
    <w:rsid w:val="00F20C6E"/>
    <w:rsid w:val="00F743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7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01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017E"/>
    <w:rPr>
      <w:rFonts w:ascii="Times New Roman" w:hAnsi="Times New Roman"/>
      <w:sz w:val="24"/>
    </w:rPr>
  </w:style>
  <w:style w:type="paragraph" w:styleId="Header">
    <w:name w:val="header"/>
    <w:basedOn w:val="Normal"/>
    <w:link w:val="HeaderChar"/>
    <w:uiPriority w:val="99"/>
    <w:unhideWhenUsed/>
    <w:rsid w:val="00B601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017E"/>
    <w:rPr>
      <w:rFonts w:ascii="Times New Roman" w:hAnsi="Times New Roman"/>
      <w:sz w:val="24"/>
    </w:rPr>
  </w:style>
  <w:style w:type="paragraph" w:styleId="ListParagraph">
    <w:name w:val="List Paragraph"/>
    <w:basedOn w:val="Normal"/>
    <w:uiPriority w:val="34"/>
    <w:qFormat/>
    <w:rsid w:val="00B6017E"/>
    <w:pPr>
      <w:ind w:left="720"/>
      <w:contextualSpacing/>
    </w:pPr>
  </w:style>
  <w:style w:type="paragraph" w:styleId="BalloonText">
    <w:name w:val="Balloon Text"/>
    <w:basedOn w:val="Normal"/>
    <w:link w:val="BalloonTextChar"/>
    <w:uiPriority w:val="99"/>
    <w:semiHidden/>
    <w:unhideWhenUsed/>
    <w:rsid w:val="00205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7285</Words>
  <Characters>4153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2018-09-05T10:25:00Z</dcterms:created>
  <dcterms:modified xsi:type="dcterms:W3CDTF">2018-09-05T10:25:00Z</dcterms:modified>
</cp:coreProperties>
</file>