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F8B" w:rsidRPr="000968A9" w:rsidRDefault="000968A9" w:rsidP="000968A9">
      <w:pPr>
        <w:spacing w:after="0"/>
        <w:jc w:val="both"/>
        <w:rPr>
          <w:b/>
        </w:rPr>
      </w:pPr>
      <w:r w:rsidRPr="003F5996">
        <w:rPr>
          <w:b/>
        </w:rPr>
        <w:t>Eksportētājvalsts muitas dienestu kļūda un nodokļa parādnieka labticība kā nodokļu vēlākas iegrāmatošanas aizlieguma pamats</w:t>
      </w:r>
    </w:p>
    <w:p w:rsidR="000968A9" w:rsidRPr="00440011" w:rsidRDefault="000968A9" w:rsidP="00294F8B">
      <w:pPr>
        <w:spacing w:after="0"/>
        <w:jc w:val="right"/>
        <w:rPr>
          <w:rFonts w:eastAsia="Times New Roman" w:cs="Times New Roman"/>
          <w:szCs w:val="24"/>
          <w:lang w:val="de-DE" w:eastAsia="lv-LV"/>
        </w:rPr>
      </w:pPr>
    </w:p>
    <w:p w:rsidR="00294F8B" w:rsidRDefault="00294F8B" w:rsidP="00294F8B">
      <w:pPr>
        <w:spacing w:after="0"/>
        <w:jc w:val="center"/>
        <w:rPr>
          <w:rFonts w:eastAsia="Times New Roman" w:cs="Times New Roman"/>
          <w:b/>
          <w:szCs w:val="24"/>
          <w:lang w:eastAsia="lv-LV"/>
        </w:rPr>
      </w:pPr>
      <w:r w:rsidRPr="00440011">
        <w:rPr>
          <w:rFonts w:eastAsia="Times New Roman" w:cs="Times New Roman"/>
          <w:b/>
          <w:szCs w:val="24"/>
          <w:lang w:eastAsia="lv-LV"/>
        </w:rPr>
        <w:t>Latvijas Republikas Augstākā</w:t>
      </w:r>
      <w:r w:rsidR="000968A9">
        <w:rPr>
          <w:rFonts w:eastAsia="Times New Roman" w:cs="Times New Roman"/>
          <w:b/>
          <w:szCs w:val="24"/>
          <w:lang w:eastAsia="lv-LV"/>
        </w:rPr>
        <w:t>s</w:t>
      </w:r>
      <w:r w:rsidRPr="00440011">
        <w:rPr>
          <w:rFonts w:eastAsia="Times New Roman" w:cs="Times New Roman"/>
          <w:b/>
          <w:szCs w:val="24"/>
          <w:lang w:eastAsia="lv-LV"/>
        </w:rPr>
        <w:t xml:space="preserve"> tiesa</w:t>
      </w:r>
      <w:r w:rsidR="000968A9">
        <w:rPr>
          <w:rFonts w:eastAsia="Times New Roman" w:cs="Times New Roman"/>
          <w:b/>
          <w:szCs w:val="24"/>
          <w:lang w:eastAsia="lv-LV"/>
        </w:rPr>
        <w:t>s</w:t>
      </w:r>
    </w:p>
    <w:p w:rsidR="000968A9" w:rsidRDefault="000968A9" w:rsidP="00294F8B">
      <w:pPr>
        <w:spacing w:after="0"/>
        <w:jc w:val="center"/>
        <w:rPr>
          <w:rFonts w:eastAsia="Times New Roman" w:cs="Times New Roman"/>
          <w:b/>
          <w:szCs w:val="24"/>
          <w:lang w:eastAsia="lv-LV"/>
        </w:rPr>
      </w:pPr>
      <w:r>
        <w:rPr>
          <w:rFonts w:eastAsia="Times New Roman" w:cs="Times New Roman"/>
          <w:b/>
          <w:szCs w:val="24"/>
          <w:lang w:eastAsia="lv-LV"/>
        </w:rPr>
        <w:t>Administratīvo lietu departamenta</w:t>
      </w:r>
    </w:p>
    <w:p w:rsidR="000968A9" w:rsidRPr="00440011" w:rsidRDefault="000968A9" w:rsidP="00294F8B">
      <w:pPr>
        <w:spacing w:after="0"/>
        <w:jc w:val="center"/>
        <w:rPr>
          <w:rFonts w:eastAsia="Times New Roman" w:cs="Times New Roman"/>
          <w:b/>
          <w:szCs w:val="24"/>
          <w:lang w:eastAsia="lv-LV"/>
        </w:rPr>
      </w:pPr>
      <w:proofErr w:type="gramStart"/>
      <w:r>
        <w:rPr>
          <w:rFonts w:eastAsia="Times New Roman" w:cs="Times New Roman"/>
          <w:b/>
          <w:szCs w:val="24"/>
          <w:lang w:eastAsia="lv-LV"/>
        </w:rPr>
        <w:t>2018.gada</w:t>
      </w:r>
      <w:proofErr w:type="gramEnd"/>
      <w:r>
        <w:rPr>
          <w:rFonts w:eastAsia="Times New Roman" w:cs="Times New Roman"/>
          <w:b/>
          <w:szCs w:val="24"/>
          <w:lang w:eastAsia="lv-LV"/>
        </w:rPr>
        <w:t xml:space="preserve"> 3.jūlija</w:t>
      </w:r>
    </w:p>
    <w:p w:rsidR="00294F8B" w:rsidRDefault="00294F8B" w:rsidP="00294F8B">
      <w:pPr>
        <w:spacing w:after="0"/>
        <w:jc w:val="center"/>
        <w:rPr>
          <w:rFonts w:eastAsia="Times New Roman" w:cs="Times New Roman"/>
          <w:b/>
          <w:szCs w:val="24"/>
          <w:lang w:eastAsia="lv-LV"/>
        </w:rPr>
      </w:pPr>
      <w:r w:rsidRPr="00440011">
        <w:rPr>
          <w:rFonts w:eastAsia="Times New Roman" w:cs="Times New Roman"/>
          <w:b/>
          <w:szCs w:val="24"/>
          <w:lang w:eastAsia="lv-LV"/>
        </w:rPr>
        <w:t>SPRIEDUMS</w:t>
      </w:r>
    </w:p>
    <w:p w:rsidR="000968A9" w:rsidRDefault="000968A9" w:rsidP="00294F8B">
      <w:pPr>
        <w:spacing w:after="0"/>
        <w:jc w:val="center"/>
        <w:rPr>
          <w:rFonts w:eastAsia="Times New Roman" w:cs="Times New Roman"/>
          <w:b/>
          <w:szCs w:val="24"/>
          <w:lang w:eastAsia="lv-LV"/>
        </w:rPr>
      </w:pPr>
      <w:r>
        <w:rPr>
          <w:rFonts w:eastAsia="Times New Roman" w:cs="Times New Roman"/>
          <w:b/>
          <w:szCs w:val="24"/>
          <w:lang w:eastAsia="lv-LV"/>
        </w:rPr>
        <w:t>Lieta Nr. A420824610, SKA-10/2018</w:t>
      </w:r>
    </w:p>
    <w:p w:rsidR="000968A9" w:rsidRPr="000968A9" w:rsidRDefault="000968A9" w:rsidP="00294F8B">
      <w:pPr>
        <w:spacing w:after="0"/>
        <w:jc w:val="center"/>
        <w:rPr>
          <w:rFonts w:eastAsia="Times New Roman" w:cs="Times New Roman"/>
          <w:b/>
          <w:szCs w:val="24"/>
          <w:u w:val="single"/>
          <w:lang w:eastAsia="lv-LV"/>
        </w:rPr>
      </w:pPr>
      <w:r w:rsidRPr="000968A9">
        <w:rPr>
          <w:u w:val="single"/>
        </w:rPr>
        <w:t>ECLI:LV:AT:2018:0703.A420824610.2.S</w:t>
      </w:r>
    </w:p>
    <w:p w:rsidR="00294F8B" w:rsidRPr="00440011" w:rsidRDefault="00294F8B" w:rsidP="00294F8B">
      <w:pPr>
        <w:spacing w:after="0"/>
        <w:jc w:val="center"/>
        <w:rPr>
          <w:rFonts w:eastAsia="Times New Roman" w:cs="Times New Roman"/>
          <w:szCs w:val="24"/>
          <w:lang w:eastAsia="lv-LV"/>
        </w:rPr>
      </w:pPr>
    </w:p>
    <w:p w:rsidR="00294F8B" w:rsidRPr="00440011" w:rsidRDefault="00294F8B" w:rsidP="00294F8B">
      <w:pPr>
        <w:spacing w:after="0"/>
        <w:ind w:firstLine="567"/>
        <w:jc w:val="both"/>
        <w:rPr>
          <w:rFonts w:eastAsia="Times New Roman" w:cs="Times New Roman"/>
          <w:szCs w:val="24"/>
          <w:lang w:eastAsia="lv-LV"/>
        </w:rPr>
      </w:pPr>
      <w:r w:rsidRPr="00440011">
        <w:rPr>
          <w:rFonts w:eastAsia="Times New Roman" w:cs="Times New Roman"/>
          <w:szCs w:val="24"/>
          <w:lang w:eastAsia="lv-LV"/>
        </w:rPr>
        <w:t xml:space="preserve">Augstākā tiesa šādā sastāvā: </w:t>
      </w:r>
    </w:p>
    <w:p w:rsidR="00294F8B" w:rsidRPr="00440011" w:rsidRDefault="00294F8B" w:rsidP="00294F8B">
      <w:pPr>
        <w:tabs>
          <w:tab w:val="left" w:pos="540"/>
          <w:tab w:val="left" w:pos="3240"/>
        </w:tabs>
        <w:spacing w:after="0"/>
        <w:ind w:firstLine="1134"/>
        <w:jc w:val="both"/>
        <w:rPr>
          <w:rFonts w:eastAsia="Times New Roman" w:cs="Times New Roman"/>
          <w:szCs w:val="24"/>
          <w:lang w:eastAsia="lv-LV"/>
        </w:rPr>
      </w:pPr>
      <w:r w:rsidRPr="00440011">
        <w:rPr>
          <w:rFonts w:eastAsia="Times New Roman" w:cs="Times New Roman"/>
          <w:szCs w:val="24"/>
          <w:lang w:eastAsia="lv-LV"/>
        </w:rPr>
        <w:t>tiesnese Vēsma Kakste</w:t>
      </w:r>
    </w:p>
    <w:p w:rsidR="00294F8B" w:rsidRPr="00440011" w:rsidRDefault="00294F8B" w:rsidP="00294F8B">
      <w:pPr>
        <w:tabs>
          <w:tab w:val="left" w:pos="540"/>
          <w:tab w:val="left" w:pos="3240"/>
        </w:tabs>
        <w:spacing w:after="0"/>
        <w:ind w:firstLine="1134"/>
        <w:jc w:val="both"/>
        <w:rPr>
          <w:rFonts w:eastAsia="Times New Roman" w:cs="Times New Roman"/>
          <w:szCs w:val="24"/>
          <w:lang w:eastAsia="lv-LV"/>
        </w:rPr>
      </w:pPr>
      <w:r w:rsidRPr="00440011">
        <w:rPr>
          <w:rFonts w:eastAsia="Times New Roman" w:cs="Times New Roman"/>
          <w:szCs w:val="24"/>
          <w:lang w:eastAsia="lv-LV"/>
        </w:rPr>
        <w:t>tiesnese Dzintra Amerika</w:t>
      </w:r>
    </w:p>
    <w:p w:rsidR="00294F8B" w:rsidRPr="00440011" w:rsidRDefault="00294F8B" w:rsidP="00294F8B">
      <w:pPr>
        <w:tabs>
          <w:tab w:val="left" w:pos="540"/>
          <w:tab w:val="left" w:pos="3240"/>
        </w:tabs>
        <w:spacing w:after="0"/>
        <w:ind w:firstLine="1134"/>
        <w:jc w:val="both"/>
        <w:rPr>
          <w:rFonts w:eastAsia="Times New Roman" w:cs="Times New Roman"/>
          <w:szCs w:val="24"/>
          <w:lang w:eastAsia="lv-LV"/>
        </w:rPr>
      </w:pPr>
      <w:r w:rsidRPr="00440011">
        <w:rPr>
          <w:rFonts w:eastAsia="Times New Roman" w:cs="Times New Roman"/>
          <w:szCs w:val="24"/>
          <w:lang w:eastAsia="lv-LV"/>
        </w:rPr>
        <w:t>tiesnese Veronika Krūmiņa</w:t>
      </w:r>
    </w:p>
    <w:p w:rsidR="00294F8B" w:rsidRPr="00440011" w:rsidRDefault="00294F8B" w:rsidP="00294F8B">
      <w:pPr>
        <w:tabs>
          <w:tab w:val="left" w:pos="2700"/>
        </w:tabs>
        <w:spacing w:after="0"/>
        <w:jc w:val="both"/>
        <w:rPr>
          <w:rFonts w:eastAsia="Times New Roman" w:cs="Times New Roman"/>
          <w:szCs w:val="24"/>
          <w:lang w:eastAsia="lv-LV"/>
        </w:rPr>
      </w:pPr>
    </w:p>
    <w:p w:rsidR="001E538D" w:rsidRPr="00440011" w:rsidRDefault="001E538D" w:rsidP="00294F8B">
      <w:pPr>
        <w:spacing w:after="0"/>
        <w:ind w:firstLine="720"/>
        <w:jc w:val="both"/>
        <w:rPr>
          <w:rFonts w:eastAsia="Times New Roman" w:cs="Times New Roman"/>
          <w:szCs w:val="24"/>
        </w:rPr>
      </w:pPr>
      <w:r w:rsidRPr="00440011">
        <w:rPr>
          <w:rFonts w:eastAsia="Times New Roman" w:cs="Times New Roman"/>
          <w:szCs w:val="24"/>
        </w:rPr>
        <w:t>rakstveida procesā izskatīja administratīvo lietu, kas ierosināta, pamatojoties uz SIA „</w:t>
      </w:r>
      <w:proofErr w:type="spellStart"/>
      <w:r w:rsidRPr="00440011">
        <w:rPr>
          <w:rFonts w:eastAsia="Times New Roman" w:cs="Times New Roman"/>
          <w:szCs w:val="24"/>
        </w:rPr>
        <w:t>Aqua</w:t>
      </w:r>
      <w:proofErr w:type="spellEnd"/>
      <w:r w:rsidRPr="00440011">
        <w:rPr>
          <w:rFonts w:eastAsia="Times New Roman" w:cs="Times New Roman"/>
          <w:szCs w:val="24"/>
        </w:rPr>
        <w:t xml:space="preserve"> </w:t>
      </w:r>
      <w:proofErr w:type="spellStart"/>
      <w:r w:rsidRPr="00440011">
        <w:rPr>
          <w:rFonts w:eastAsia="Times New Roman" w:cs="Times New Roman"/>
          <w:szCs w:val="24"/>
        </w:rPr>
        <w:t>Pro</w:t>
      </w:r>
      <w:proofErr w:type="spellEnd"/>
      <w:r w:rsidRPr="00440011">
        <w:rPr>
          <w:rFonts w:eastAsia="Times New Roman" w:cs="Times New Roman"/>
          <w:szCs w:val="24"/>
        </w:rPr>
        <w:t xml:space="preserve">” pieteikumu par Valsts ieņēmumu dienesta </w:t>
      </w:r>
      <w:proofErr w:type="gramStart"/>
      <w:r w:rsidRPr="00440011">
        <w:rPr>
          <w:rFonts w:eastAsia="Times New Roman" w:cs="Times New Roman"/>
          <w:szCs w:val="24"/>
        </w:rPr>
        <w:t>2010.gada</w:t>
      </w:r>
      <w:proofErr w:type="gramEnd"/>
      <w:r w:rsidRPr="00440011">
        <w:rPr>
          <w:rFonts w:eastAsia="Times New Roman" w:cs="Times New Roman"/>
          <w:szCs w:val="24"/>
        </w:rPr>
        <w:t xml:space="preserve"> 3.novembra lēmuma Nr. 22.4.6/57282 atcelšanu</w:t>
      </w:r>
      <w:r w:rsidRPr="00440011">
        <w:rPr>
          <w:rFonts w:eastAsia="Times New Roman" w:cs="Times New Roman"/>
          <w:szCs w:val="24"/>
          <w:lang w:eastAsia="lv-LV"/>
        </w:rPr>
        <w:t>, sakarā ar</w:t>
      </w:r>
      <w:r w:rsidRPr="00440011">
        <w:rPr>
          <w:rFonts w:eastAsia="Times New Roman" w:cs="Times New Roman"/>
          <w:szCs w:val="24"/>
        </w:rPr>
        <w:t xml:space="preserve"> SIA „</w:t>
      </w:r>
      <w:proofErr w:type="spellStart"/>
      <w:r w:rsidRPr="00440011">
        <w:rPr>
          <w:rFonts w:eastAsia="Times New Roman" w:cs="Times New Roman"/>
          <w:szCs w:val="24"/>
        </w:rPr>
        <w:t>Aqua</w:t>
      </w:r>
      <w:proofErr w:type="spellEnd"/>
      <w:r w:rsidRPr="00440011">
        <w:rPr>
          <w:rFonts w:eastAsia="Times New Roman" w:cs="Times New Roman"/>
          <w:szCs w:val="24"/>
        </w:rPr>
        <w:t xml:space="preserve"> </w:t>
      </w:r>
      <w:proofErr w:type="spellStart"/>
      <w:r w:rsidRPr="00440011">
        <w:rPr>
          <w:rFonts w:eastAsia="Times New Roman" w:cs="Times New Roman"/>
          <w:szCs w:val="24"/>
        </w:rPr>
        <w:t>Pro</w:t>
      </w:r>
      <w:proofErr w:type="spellEnd"/>
      <w:r w:rsidRPr="00440011">
        <w:rPr>
          <w:rFonts w:eastAsia="Times New Roman" w:cs="Times New Roman"/>
          <w:szCs w:val="24"/>
        </w:rPr>
        <w:t>” kasācijas sūdzīb</w:t>
      </w:r>
      <w:r w:rsidR="00751EF1" w:rsidRPr="00440011">
        <w:rPr>
          <w:rFonts w:eastAsia="Times New Roman" w:cs="Times New Roman"/>
          <w:szCs w:val="24"/>
        </w:rPr>
        <w:t>u</w:t>
      </w:r>
      <w:r w:rsidRPr="00440011">
        <w:rPr>
          <w:rFonts w:eastAsia="Times New Roman" w:cs="Times New Roman"/>
          <w:szCs w:val="24"/>
        </w:rPr>
        <w:t xml:space="preserve"> par Administratīvās apgabaltiesas 2015.gada 7.maija spriedumu.</w:t>
      </w:r>
    </w:p>
    <w:p w:rsidR="001E538D" w:rsidRPr="00440011" w:rsidRDefault="001E538D" w:rsidP="00294F8B">
      <w:pPr>
        <w:pStyle w:val="BodyTextIndent"/>
        <w:spacing w:after="0" w:line="276" w:lineRule="auto"/>
        <w:ind w:left="0" w:firstLine="539"/>
        <w:jc w:val="both"/>
      </w:pPr>
    </w:p>
    <w:p w:rsidR="001E538D" w:rsidRPr="00440011" w:rsidRDefault="001E538D" w:rsidP="00D56148">
      <w:pPr>
        <w:pStyle w:val="BodyTextIndent"/>
        <w:spacing w:after="0" w:line="276" w:lineRule="auto"/>
        <w:ind w:left="0"/>
        <w:jc w:val="center"/>
        <w:rPr>
          <w:b/>
        </w:rPr>
      </w:pPr>
      <w:r w:rsidRPr="00440011">
        <w:rPr>
          <w:b/>
        </w:rPr>
        <w:t>Aprakstošā daļa</w:t>
      </w:r>
    </w:p>
    <w:p w:rsidR="001E538D" w:rsidRPr="00440011" w:rsidRDefault="001E538D" w:rsidP="00294F8B">
      <w:pPr>
        <w:pStyle w:val="BodyTextIndent"/>
        <w:spacing w:after="0" w:line="276" w:lineRule="auto"/>
        <w:ind w:left="0"/>
        <w:jc w:val="center"/>
        <w:rPr>
          <w:b/>
        </w:rPr>
      </w:pPr>
    </w:p>
    <w:p w:rsidR="00AB271A" w:rsidRPr="00440011" w:rsidRDefault="00C046B4"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[1] </w:t>
      </w:r>
      <w:r w:rsidR="00751EF1" w:rsidRPr="00440011">
        <w:rPr>
          <w:rFonts w:eastAsia="Times New Roman" w:cs="Times New Roman"/>
          <w:szCs w:val="24"/>
        </w:rPr>
        <w:t xml:space="preserve">Valsts ieņēmumu dienests </w:t>
      </w:r>
      <w:r w:rsidR="001E538D" w:rsidRPr="00440011">
        <w:rPr>
          <w:rFonts w:eastAsia="Times New Roman" w:cs="Times New Roman"/>
          <w:szCs w:val="24"/>
        </w:rPr>
        <w:t xml:space="preserve">veica pieteicējas </w:t>
      </w:r>
      <w:r w:rsidR="00751EF1" w:rsidRPr="00440011">
        <w:rPr>
          <w:rFonts w:eastAsia="Times New Roman" w:cs="Times New Roman"/>
          <w:szCs w:val="24"/>
        </w:rPr>
        <w:t>SIA „</w:t>
      </w:r>
      <w:proofErr w:type="spellStart"/>
      <w:r w:rsidR="00751EF1" w:rsidRPr="00440011">
        <w:rPr>
          <w:rFonts w:eastAsia="Times New Roman" w:cs="Times New Roman"/>
          <w:szCs w:val="24"/>
        </w:rPr>
        <w:t>Aqua</w:t>
      </w:r>
      <w:proofErr w:type="spellEnd"/>
      <w:r w:rsidR="00751EF1" w:rsidRPr="00440011">
        <w:rPr>
          <w:rFonts w:eastAsia="Times New Roman" w:cs="Times New Roman"/>
          <w:szCs w:val="24"/>
        </w:rPr>
        <w:t xml:space="preserve"> </w:t>
      </w:r>
      <w:proofErr w:type="spellStart"/>
      <w:r w:rsidR="00751EF1" w:rsidRPr="00440011">
        <w:rPr>
          <w:rFonts w:eastAsia="Times New Roman" w:cs="Times New Roman"/>
          <w:szCs w:val="24"/>
        </w:rPr>
        <w:t>Pro</w:t>
      </w:r>
      <w:proofErr w:type="spellEnd"/>
      <w:r w:rsidR="00751EF1" w:rsidRPr="00440011">
        <w:rPr>
          <w:rFonts w:eastAsia="Times New Roman" w:cs="Times New Roman"/>
          <w:szCs w:val="24"/>
        </w:rPr>
        <w:t xml:space="preserve">” </w:t>
      </w:r>
      <w:r w:rsidR="001E538D" w:rsidRPr="00440011">
        <w:rPr>
          <w:rFonts w:eastAsia="Times New Roman" w:cs="Times New Roman"/>
          <w:szCs w:val="24"/>
        </w:rPr>
        <w:t xml:space="preserve">muitas nodokļa un citu nodokļu auditu. </w:t>
      </w:r>
      <w:r w:rsidR="00751EF1" w:rsidRPr="00440011">
        <w:rPr>
          <w:rFonts w:eastAsia="Times New Roman" w:cs="Times New Roman"/>
          <w:szCs w:val="24"/>
        </w:rPr>
        <w:t xml:space="preserve">Administratīvais process šajā lietā noslēdzas ar </w:t>
      </w:r>
      <w:r w:rsidR="001E538D" w:rsidRPr="00440011">
        <w:rPr>
          <w:rFonts w:eastAsia="Times New Roman" w:cs="Times New Roman"/>
          <w:szCs w:val="24"/>
        </w:rPr>
        <w:t xml:space="preserve">Valsts ieņēmumu dienesta </w:t>
      </w:r>
      <w:proofErr w:type="gramStart"/>
      <w:r w:rsidR="001E538D" w:rsidRPr="00440011">
        <w:rPr>
          <w:rFonts w:eastAsia="Times New Roman" w:cs="Times New Roman"/>
          <w:szCs w:val="24"/>
        </w:rPr>
        <w:t>2010.gada</w:t>
      </w:r>
      <w:proofErr w:type="gramEnd"/>
      <w:r w:rsidR="001E538D" w:rsidRPr="00440011">
        <w:rPr>
          <w:rFonts w:eastAsia="Times New Roman" w:cs="Times New Roman"/>
          <w:szCs w:val="24"/>
        </w:rPr>
        <w:t xml:space="preserve"> 3.</w:t>
      </w:r>
      <w:r w:rsidR="00751EF1" w:rsidRPr="00440011">
        <w:rPr>
          <w:rFonts w:eastAsia="Times New Roman" w:cs="Times New Roman"/>
          <w:szCs w:val="24"/>
        </w:rPr>
        <w:t>novembra l</w:t>
      </w:r>
      <w:r w:rsidR="001E538D" w:rsidRPr="00440011">
        <w:rPr>
          <w:rFonts w:eastAsia="Times New Roman" w:cs="Times New Roman"/>
          <w:szCs w:val="24"/>
        </w:rPr>
        <w:t xml:space="preserve">ēmumu, ar kuru </w:t>
      </w:r>
      <w:r w:rsidR="00751EF1" w:rsidRPr="00440011">
        <w:rPr>
          <w:rFonts w:eastAsia="Times New Roman" w:cs="Times New Roman"/>
          <w:szCs w:val="24"/>
        </w:rPr>
        <w:t xml:space="preserve">pieteicējai tika noteikts pienākums samaksāt </w:t>
      </w:r>
      <w:r w:rsidR="00AB271A" w:rsidRPr="00440011">
        <w:rPr>
          <w:rFonts w:eastAsia="Times New Roman" w:cs="Times New Roman"/>
          <w:szCs w:val="24"/>
        </w:rPr>
        <w:t xml:space="preserve">ievedmuitas nodokli, galīgā antidempinga maksājumu, pievienotās vērības nodokli, soda naudu un nokavējuma naudu. </w:t>
      </w:r>
    </w:p>
    <w:p w:rsidR="00C046B4" w:rsidRPr="00440011" w:rsidRDefault="00AB271A" w:rsidP="00C046B4">
      <w:pPr>
        <w:spacing w:after="0"/>
        <w:ind w:left="23" w:right="23" w:firstLine="720"/>
        <w:jc w:val="both"/>
        <w:rPr>
          <w:rFonts w:eastAsia="Times New Roman" w:cs="Times New Roman"/>
          <w:szCs w:val="24"/>
        </w:rPr>
      </w:pPr>
      <w:r w:rsidRPr="00440011">
        <w:rPr>
          <w:rFonts w:eastAsia="Times New Roman" w:cs="Times New Roman"/>
          <w:szCs w:val="24"/>
          <w:lang w:eastAsia="lv-LV"/>
        </w:rPr>
        <w:t xml:space="preserve">Attiecībā uz ievedmuitas nodokli iestāde atzina, ka pieteicēja nepamatoti piemērojusi </w:t>
      </w:r>
      <w:r w:rsidRPr="00440011">
        <w:rPr>
          <w:rFonts w:eastAsia="Times New Roman" w:cs="Times New Roman"/>
          <w:szCs w:val="24"/>
        </w:rPr>
        <w:t>0</w:t>
      </w:r>
      <w:r w:rsidR="004F0298" w:rsidRPr="00440011">
        <w:rPr>
          <w:rFonts w:eastAsia="Times New Roman" w:cs="Times New Roman"/>
          <w:szCs w:val="24"/>
        </w:rPr>
        <w:t> </w:t>
      </w:r>
      <w:r w:rsidRPr="00440011">
        <w:rPr>
          <w:rFonts w:eastAsia="Times New Roman" w:cs="Times New Roman"/>
          <w:szCs w:val="24"/>
        </w:rPr>
        <w:t xml:space="preserve">procentu likmi un piemēroja 14 procentu likmi. Proti, laikā no </w:t>
      </w:r>
      <w:proofErr w:type="gramStart"/>
      <w:r w:rsidRPr="00440011">
        <w:rPr>
          <w:rFonts w:eastAsia="Times New Roman" w:cs="Times New Roman"/>
          <w:szCs w:val="24"/>
        </w:rPr>
        <w:t>2007.gada</w:t>
      </w:r>
      <w:proofErr w:type="gramEnd"/>
      <w:r w:rsidRPr="00440011">
        <w:rPr>
          <w:rFonts w:eastAsia="Times New Roman" w:cs="Times New Roman"/>
          <w:szCs w:val="24"/>
        </w:rPr>
        <w:t xml:space="preserve"> 1.septembra līdz 2009.gada 31.decembrim pieteicēja ieveda brīvam apgrozījumam Eiropas Savienības teritorijā Kambodžas uzņēmumā „</w:t>
      </w:r>
      <w:proofErr w:type="spellStart"/>
      <w:r w:rsidRPr="00440011">
        <w:rPr>
          <w:rFonts w:eastAsia="Times New Roman" w:cs="Times New Roman"/>
          <w:szCs w:val="24"/>
        </w:rPr>
        <w:t>Bestway</w:t>
      </w:r>
      <w:proofErr w:type="spellEnd"/>
      <w:r w:rsidRPr="00440011">
        <w:rPr>
          <w:rFonts w:eastAsia="Times New Roman" w:cs="Times New Roman"/>
          <w:szCs w:val="24"/>
        </w:rPr>
        <w:t xml:space="preserve"> </w:t>
      </w:r>
      <w:proofErr w:type="spellStart"/>
      <w:r w:rsidRPr="00440011">
        <w:rPr>
          <w:rFonts w:eastAsia="Times New Roman" w:cs="Times New Roman"/>
          <w:szCs w:val="24"/>
        </w:rPr>
        <w:t>Industrial</w:t>
      </w:r>
      <w:proofErr w:type="spellEnd"/>
      <w:r w:rsidRPr="00440011">
        <w:rPr>
          <w:rFonts w:eastAsia="Times New Roman" w:cs="Times New Roman"/>
          <w:szCs w:val="24"/>
        </w:rPr>
        <w:t xml:space="preserve"> Co. </w:t>
      </w:r>
      <w:proofErr w:type="spellStart"/>
      <w:r w:rsidRPr="00440011">
        <w:rPr>
          <w:rFonts w:eastAsia="Times New Roman" w:cs="Times New Roman"/>
          <w:szCs w:val="24"/>
        </w:rPr>
        <w:t>Ltd</w:t>
      </w:r>
      <w:proofErr w:type="spellEnd"/>
      <w:r w:rsidRPr="00440011">
        <w:rPr>
          <w:rFonts w:eastAsia="Times New Roman" w:cs="Times New Roman"/>
          <w:szCs w:val="24"/>
        </w:rPr>
        <w:t>.” ražotus velosipēdus, deklarējot tos ar vienoto administratīvo dokumentu (VAD) IMA Nr. 0210/8-609308 un iesniedzot vispārējo priekšrocību režīma (VPR) A formas sertifikātu Nr. KHLV 80400396. Uz distribūcijas līguma pamata pieteicēja velosipēdus iegādājās no Vācijas uzņēmuma „</w:t>
      </w:r>
      <w:proofErr w:type="spellStart"/>
      <w:r w:rsidRPr="00440011">
        <w:rPr>
          <w:rFonts w:eastAsia="Times New Roman" w:cs="Times New Roman"/>
          <w:szCs w:val="24"/>
        </w:rPr>
        <w:t>Felt</w:t>
      </w:r>
      <w:proofErr w:type="spellEnd"/>
      <w:r w:rsidRPr="00440011">
        <w:rPr>
          <w:rFonts w:eastAsia="Times New Roman" w:cs="Times New Roman"/>
          <w:szCs w:val="24"/>
        </w:rPr>
        <w:t xml:space="preserve"> </w:t>
      </w:r>
      <w:proofErr w:type="spellStart"/>
      <w:r w:rsidRPr="00440011">
        <w:rPr>
          <w:rFonts w:eastAsia="Times New Roman" w:cs="Times New Roman"/>
          <w:szCs w:val="24"/>
        </w:rPr>
        <w:t>GmbH</w:t>
      </w:r>
      <w:proofErr w:type="spellEnd"/>
      <w:r w:rsidRPr="00440011">
        <w:rPr>
          <w:rFonts w:eastAsia="Times New Roman" w:cs="Times New Roman"/>
          <w:szCs w:val="24"/>
        </w:rPr>
        <w:t xml:space="preserve">”. Ievērojot preču izcelsmes apliecinājumu – A formas sertifikātu – un aprēķinot muitas maksājumus, pieteicēja piemēroja ievedmuitas nodokļa likmi 0 procentu apmērā no importēto preču muitas vērtības. </w:t>
      </w:r>
      <w:proofErr w:type="gramStart"/>
      <w:r w:rsidRPr="00440011">
        <w:rPr>
          <w:rFonts w:eastAsia="Times New Roman" w:cs="Times New Roman"/>
          <w:szCs w:val="24"/>
        </w:rPr>
        <w:t>2010.gada</w:t>
      </w:r>
      <w:proofErr w:type="gramEnd"/>
      <w:r w:rsidRPr="00440011">
        <w:rPr>
          <w:rFonts w:eastAsia="Times New Roman" w:cs="Times New Roman"/>
          <w:szCs w:val="24"/>
        </w:rPr>
        <w:t xml:space="preserve"> 15.februārī Valsts ieņēmumu dienesta Muitas auditu pārvalde saņēma Eiropas Biroja krāpšanas apkarošanai (turpmāk – OLAF) informāciju par Eiropas Komisijas misiju Kambodžā saistībā ar izcelsmi apliecinošo dokumentu izsniegšanas pamatotību velosipēdiem, kuri no Kambodžas uzņēmumiem „</w:t>
      </w:r>
      <w:proofErr w:type="spellStart"/>
      <w:r w:rsidRPr="00440011">
        <w:rPr>
          <w:rFonts w:eastAsia="Times New Roman" w:cs="Times New Roman"/>
          <w:szCs w:val="24"/>
        </w:rPr>
        <w:t>Bestway</w:t>
      </w:r>
      <w:proofErr w:type="spellEnd"/>
      <w:r w:rsidRPr="00440011">
        <w:rPr>
          <w:rFonts w:eastAsia="Times New Roman" w:cs="Times New Roman"/>
          <w:szCs w:val="24"/>
        </w:rPr>
        <w:t xml:space="preserve"> </w:t>
      </w:r>
      <w:proofErr w:type="spellStart"/>
      <w:r w:rsidRPr="00440011">
        <w:rPr>
          <w:rFonts w:eastAsia="Times New Roman" w:cs="Times New Roman"/>
          <w:szCs w:val="24"/>
        </w:rPr>
        <w:t>Industrial</w:t>
      </w:r>
      <w:proofErr w:type="spellEnd"/>
      <w:r w:rsidRPr="00440011">
        <w:rPr>
          <w:rFonts w:eastAsia="Times New Roman" w:cs="Times New Roman"/>
          <w:szCs w:val="24"/>
        </w:rPr>
        <w:t xml:space="preserve"> Co. </w:t>
      </w:r>
      <w:proofErr w:type="spellStart"/>
      <w:r w:rsidRPr="00440011">
        <w:rPr>
          <w:rFonts w:eastAsia="Times New Roman" w:cs="Times New Roman"/>
          <w:szCs w:val="24"/>
        </w:rPr>
        <w:t>Ltd</w:t>
      </w:r>
      <w:proofErr w:type="spellEnd"/>
      <w:r w:rsidRPr="00440011">
        <w:rPr>
          <w:rFonts w:eastAsia="Times New Roman" w:cs="Times New Roman"/>
          <w:szCs w:val="24"/>
        </w:rPr>
        <w:t>.” un „</w:t>
      </w:r>
      <w:proofErr w:type="spellStart"/>
      <w:r w:rsidRPr="00440011">
        <w:rPr>
          <w:rFonts w:eastAsia="Times New Roman" w:cs="Times New Roman"/>
          <w:szCs w:val="24"/>
        </w:rPr>
        <w:t>Atlantic</w:t>
      </w:r>
      <w:proofErr w:type="spellEnd"/>
      <w:r w:rsidRPr="00440011">
        <w:rPr>
          <w:rFonts w:eastAsia="Times New Roman" w:cs="Times New Roman"/>
          <w:szCs w:val="24"/>
        </w:rPr>
        <w:t xml:space="preserve"> </w:t>
      </w:r>
      <w:proofErr w:type="spellStart"/>
      <w:r w:rsidRPr="00440011">
        <w:rPr>
          <w:rFonts w:eastAsia="Times New Roman" w:cs="Times New Roman"/>
          <w:szCs w:val="24"/>
        </w:rPr>
        <w:t>Cycle</w:t>
      </w:r>
      <w:proofErr w:type="spellEnd"/>
      <w:r w:rsidRPr="00440011">
        <w:rPr>
          <w:rFonts w:eastAsia="Times New Roman" w:cs="Times New Roman"/>
          <w:szCs w:val="24"/>
        </w:rPr>
        <w:t xml:space="preserve"> Co. </w:t>
      </w:r>
      <w:proofErr w:type="spellStart"/>
      <w:r w:rsidRPr="00440011">
        <w:rPr>
          <w:rFonts w:eastAsia="Times New Roman" w:cs="Times New Roman"/>
          <w:szCs w:val="24"/>
        </w:rPr>
        <w:t>Ltd</w:t>
      </w:r>
      <w:proofErr w:type="spellEnd"/>
      <w:r w:rsidRPr="00440011">
        <w:rPr>
          <w:rFonts w:eastAsia="Times New Roman" w:cs="Times New Roman"/>
          <w:szCs w:val="24"/>
        </w:rPr>
        <w:t xml:space="preserve">.” eksportēti uz Eiropas Savienību. Audita rezultātā dienests </w:t>
      </w:r>
      <w:r w:rsidR="00C046B4" w:rsidRPr="00440011">
        <w:rPr>
          <w:rFonts w:eastAsia="Times New Roman" w:cs="Times New Roman"/>
          <w:szCs w:val="24"/>
        </w:rPr>
        <w:t xml:space="preserve">secināja, ka saskaņā ar Komisijas 1993.gada 2.jūlija Regulas (EEK) Nr. 2454/93, ar ko nosaka īstenošanas noteikumus Padomes Regulai (EEK) Nr. 2913/92 par Kopienas Muitas kodeksa izveidi, (turpmāk – Muitas kodeksa īstenošanas regula) 72.pantu Kambodža ir viena no reģionālās kumulācijas valstīm, kas </w:t>
      </w:r>
      <w:r w:rsidR="00C046B4" w:rsidRPr="00440011">
        <w:rPr>
          <w:rFonts w:eastAsia="Times New Roman" w:cs="Times New Roman"/>
          <w:szCs w:val="24"/>
        </w:rPr>
        <w:lastRenderedPageBreak/>
        <w:t>izmanto vispārējo priekšrocību sistēmu, un produktu, kura izcelsme ir kādā no šīs reģionālās grupas valstīm un ko turpmāk izmanto ražošanā citā grupas valstī, izcelsme ir turpmākās apstrādes valstī (reģionālā kumulācija). Saskaņā ar šīs regulas 72.a panta ceturto daļu tādu preču, kas no vienas reģionālās grupas valsts izvestas uz tās pašas grupas valsti izmantošanai tālākā apstrādē vai pārstrādē, vai atpakaļizvešanai, neveicot apstrādi vai pārstrādi, izcelsmes statusu pierāda ar A formas sertifikātu, kas izsniegt</w:t>
      </w:r>
      <w:r w:rsidR="004F0298" w:rsidRPr="00440011">
        <w:rPr>
          <w:rFonts w:eastAsia="Times New Roman" w:cs="Times New Roman"/>
          <w:szCs w:val="24"/>
        </w:rPr>
        <w:t>s</w:t>
      </w:r>
      <w:r w:rsidR="00C046B4" w:rsidRPr="00440011">
        <w:rPr>
          <w:rFonts w:eastAsia="Times New Roman" w:cs="Times New Roman"/>
          <w:szCs w:val="24"/>
        </w:rPr>
        <w:t xml:space="preserve"> pirmajā valstī. Eiropas Komisijas misijas laikā Kambodžas varas iestādes ir apliecinājušas, ka pieteikumiem A formas sertifikātu saņemšanai no Kambodžas uzņēmuma „</w:t>
      </w:r>
      <w:proofErr w:type="spellStart"/>
      <w:r w:rsidR="00C046B4" w:rsidRPr="00440011">
        <w:rPr>
          <w:rFonts w:eastAsia="Times New Roman" w:cs="Times New Roman"/>
          <w:szCs w:val="24"/>
        </w:rPr>
        <w:t>Bestway</w:t>
      </w:r>
      <w:proofErr w:type="spellEnd"/>
      <w:r w:rsidR="00C046B4" w:rsidRPr="00440011">
        <w:rPr>
          <w:rFonts w:eastAsia="Times New Roman" w:cs="Times New Roman"/>
          <w:szCs w:val="24"/>
        </w:rPr>
        <w:t xml:space="preserve"> </w:t>
      </w:r>
      <w:proofErr w:type="spellStart"/>
      <w:r w:rsidR="00C046B4" w:rsidRPr="00440011">
        <w:rPr>
          <w:rFonts w:eastAsia="Times New Roman" w:cs="Times New Roman"/>
          <w:szCs w:val="24"/>
        </w:rPr>
        <w:t>Industrial</w:t>
      </w:r>
      <w:proofErr w:type="spellEnd"/>
      <w:r w:rsidR="00C046B4" w:rsidRPr="00440011">
        <w:rPr>
          <w:rFonts w:eastAsia="Times New Roman" w:cs="Times New Roman"/>
          <w:szCs w:val="24"/>
        </w:rPr>
        <w:t xml:space="preserve"> Co. </w:t>
      </w:r>
      <w:proofErr w:type="spellStart"/>
      <w:r w:rsidR="00C046B4" w:rsidRPr="00440011">
        <w:rPr>
          <w:rFonts w:eastAsia="Times New Roman" w:cs="Times New Roman"/>
          <w:szCs w:val="24"/>
        </w:rPr>
        <w:t>Ltd</w:t>
      </w:r>
      <w:proofErr w:type="spellEnd"/>
      <w:r w:rsidR="00C046B4" w:rsidRPr="00440011">
        <w:rPr>
          <w:rFonts w:eastAsia="Times New Roman" w:cs="Times New Roman"/>
          <w:szCs w:val="24"/>
        </w:rPr>
        <w:t>.” bija pievienoti B un D</w:t>
      </w:r>
      <w:r w:rsidR="004F0298" w:rsidRPr="00440011">
        <w:rPr>
          <w:rFonts w:eastAsia="Times New Roman" w:cs="Times New Roman"/>
          <w:szCs w:val="24"/>
        </w:rPr>
        <w:t> </w:t>
      </w:r>
      <w:r w:rsidR="00C046B4" w:rsidRPr="00440011">
        <w:rPr>
          <w:rFonts w:eastAsia="Times New Roman" w:cs="Times New Roman"/>
          <w:szCs w:val="24"/>
        </w:rPr>
        <w:t>formas izcelsmes sertifikāti, ar kuriem bija apliecināta no citām reģiona valstīm ievesto velosipēdu sastāvdaļu izcelsme. Savukārt B un D formas sertifikāti nav pieņemami A formas sertifikāta izsniegšanai. Minētais Kambodžas uzņēmums nav varējis uzrādīt dokumentus, kas apliecinātu velosipēd</w:t>
      </w:r>
      <w:r w:rsidR="004F0298" w:rsidRPr="00440011">
        <w:rPr>
          <w:rFonts w:eastAsia="Times New Roman" w:cs="Times New Roman"/>
          <w:szCs w:val="24"/>
        </w:rPr>
        <w:t>u</w:t>
      </w:r>
      <w:r w:rsidR="00C046B4" w:rsidRPr="00440011">
        <w:rPr>
          <w:rFonts w:eastAsia="Times New Roman" w:cs="Times New Roman"/>
          <w:szCs w:val="24"/>
        </w:rPr>
        <w:t xml:space="preserve"> sastāvdaļu izcelsmi, bet izmaksu aprēķini, kur norādīts, ka </w:t>
      </w:r>
      <w:r w:rsidR="004F0298" w:rsidRPr="00440011">
        <w:rPr>
          <w:rFonts w:eastAsia="Times New Roman" w:cs="Times New Roman"/>
          <w:szCs w:val="24"/>
        </w:rPr>
        <w:t xml:space="preserve">velosipēdu </w:t>
      </w:r>
      <w:r w:rsidR="00C046B4" w:rsidRPr="00440011">
        <w:rPr>
          <w:rFonts w:eastAsia="Times New Roman" w:cs="Times New Roman"/>
          <w:szCs w:val="24"/>
        </w:rPr>
        <w:t xml:space="preserve">izcelsme atbilst Kambodžas preferenciālajai izcelsmei, bija nekorekti. </w:t>
      </w:r>
      <w:r w:rsidR="00EA0A14" w:rsidRPr="00440011">
        <w:rPr>
          <w:rFonts w:eastAsia="Times New Roman" w:cs="Times New Roman"/>
          <w:szCs w:val="24"/>
        </w:rPr>
        <w:t>Tā kā dienests saskatīja pieteicējas atbildību par nepareizu preču deklarēšanu, tas noteica pieteicējas pienākumu samaksāt ievedmuitas likmi 14 procentu apmērā.</w:t>
      </w:r>
    </w:p>
    <w:p w:rsidR="00AB271A" w:rsidRPr="00440011" w:rsidRDefault="00AB271A" w:rsidP="00AB271A">
      <w:pPr>
        <w:spacing w:after="0"/>
        <w:ind w:left="23" w:right="23" w:firstLine="720"/>
        <w:jc w:val="both"/>
        <w:rPr>
          <w:rFonts w:eastAsia="Times New Roman" w:cs="Times New Roman"/>
          <w:szCs w:val="24"/>
        </w:rPr>
      </w:pPr>
      <w:r w:rsidRPr="00440011">
        <w:rPr>
          <w:rFonts w:eastAsia="Times New Roman" w:cs="Times New Roman"/>
          <w:szCs w:val="24"/>
        </w:rPr>
        <w:t xml:space="preserve">Tāpat dienests atzina, ka atbilstoši kompānijas </w:t>
      </w:r>
      <w:r w:rsidR="00C046B4" w:rsidRPr="00440011">
        <w:rPr>
          <w:rFonts w:eastAsia="Times New Roman" w:cs="Times New Roman"/>
          <w:szCs w:val="24"/>
        </w:rPr>
        <w:t>„</w:t>
      </w:r>
      <w:proofErr w:type="spellStart"/>
      <w:r w:rsidR="00C64739" w:rsidRPr="00440011">
        <w:rPr>
          <w:rFonts w:eastAsia="Times New Roman" w:cs="Times New Roman"/>
          <w:szCs w:val="24"/>
        </w:rPr>
        <w:t>Hi-TEC</w:t>
      </w:r>
      <w:proofErr w:type="spellEnd"/>
      <w:r w:rsidR="00C64739" w:rsidRPr="00440011">
        <w:rPr>
          <w:rFonts w:eastAsia="Times New Roman" w:cs="Times New Roman"/>
          <w:szCs w:val="24"/>
        </w:rPr>
        <w:t xml:space="preserve"> </w:t>
      </w:r>
      <w:r w:rsidRPr="00440011">
        <w:rPr>
          <w:rFonts w:eastAsia="Times New Roman" w:cs="Times New Roman"/>
          <w:szCs w:val="24"/>
        </w:rPr>
        <w:t xml:space="preserve">Sports </w:t>
      </w:r>
      <w:proofErr w:type="spellStart"/>
      <w:r w:rsidRPr="00440011">
        <w:rPr>
          <w:rFonts w:eastAsia="Times New Roman" w:cs="Times New Roman"/>
          <w:szCs w:val="24"/>
        </w:rPr>
        <w:t>International</w:t>
      </w:r>
      <w:proofErr w:type="spellEnd"/>
      <w:r w:rsidRPr="00440011">
        <w:rPr>
          <w:rFonts w:eastAsia="Times New Roman" w:cs="Times New Roman"/>
          <w:szCs w:val="24"/>
        </w:rPr>
        <w:t xml:space="preserve"> </w:t>
      </w:r>
      <w:proofErr w:type="spellStart"/>
      <w:r w:rsidR="00C046B4" w:rsidRPr="00440011">
        <w:rPr>
          <w:rFonts w:eastAsia="Times New Roman" w:cs="Times New Roman"/>
          <w:szCs w:val="24"/>
        </w:rPr>
        <w:t>Limited</w:t>
      </w:r>
      <w:proofErr w:type="spellEnd"/>
      <w:r w:rsidR="00C046B4" w:rsidRPr="00440011">
        <w:rPr>
          <w:rFonts w:eastAsia="Times New Roman" w:cs="Times New Roman"/>
          <w:szCs w:val="24"/>
        </w:rPr>
        <w:t xml:space="preserve">” izrakstītajiem rēķiniem pieteicēja nepamatoti nav iekļāvusi preču muitas vērtībā licences maksājumus.  </w:t>
      </w:r>
      <w:r w:rsidRPr="00440011">
        <w:rPr>
          <w:rFonts w:eastAsia="Times New Roman" w:cs="Times New Roman"/>
          <w:szCs w:val="24"/>
        </w:rPr>
        <w:t xml:space="preserve"> </w:t>
      </w:r>
    </w:p>
    <w:p w:rsidR="00AB271A" w:rsidRPr="00440011" w:rsidRDefault="00AB271A" w:rsidP="00294F8B">
      <w:pPr>
        <w:spacing w:after="0"/>
        <w:ind w:left="23" w:right="23" w:firstLine="720"/>
        <w:jc w:val="both"/>
        <w:rPr>
          <w:rFonts w:eastAsia="Times New Roman" w:cs="Times New Roman"/>
          <w:szCs w:val="24"/>
        </w:rPr>
      </w:pPr>
    </w:p>
    <w:p w:rsidR="001E538D" w:rsidRPr="00440011" w:rsidRDefault="001E538D"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[2] </w:t>
      </w:r>
      <w:r w:rsidR="00F25AD3" w:rsidRPr="00440011">
        <w:rPr>
          <w:rFonts w:eastAsia="Times New Roman" w:cs="Times New Roman"/>
          <w:szCs w:val="24"/>
        </w:rPr>
        <w:t>P</w:t>
      </w:r>
      <w:r w:rsidRPr="00440011">
        <w:rPr>
          <w:rFonts w:eastAsia="Times New Roman" w:cs="Times New Roman"/>
          <w:szCs w:val="24"/>
        </w:rPr>
        <w:t xml:space="preserve">ieteicēja iesniedza pieteikumu Administratīvajā rajona tiesā par Valsts ieņēmumu dienesta lēmuma atcelšanu. Pieteicēja uzskata, ka, deklarējot preci ar 0 procentu ievedmuitas likmi, ir rīkojusies labticīgi, proti, ir izpildījusi visus tai noteiktos pienākumus, bet par apstākli, ka A formas sertifikāts izsniegts nepamatoti, nav vainojama, jo to nevarēja zināt. </w:t>
      </w:r>
      <w:r w:rsidR="00F25AD3" w:rsidRPr="00440011">
        <w:rPr>
          <w:rFonts w:eastAsia="Times New Roman" w:cs="Times New Roman"/>
          <w:szCs w:val="24"/>
        </w:rPr>
        <w:t>Attiecībā uz licences maksājumiem pieteicēja uzskata, ka noslēgtais līgums neparedz tādus noteikumus, kas radītu pienākumu licences maksājumus iekļaut muitas vērtībā.</w:t>
      </w:r>
    </w:p>
    <w:p w:rsidR="001E538D" w:rsidRPr="00440011" w:rsidRDefault="001E538D" w:rsidP="00294F8B">
      <w:pPr>
        <w:spacing w:after="0"/>
        <w:ind w:left="20" w:right="20" w:firstLine="700"/>
        <w:jc w:val="both"/>
        <w:rPr>
          <w:rFonts w:eastAsia="Times New Roman" w:cs="Times New Roman"/>
          <w:szCs w:val="24"/>
        </w:rPr>
      </w:pPr>
    </w:p>
    <w:p w:rsidR="00AA2DB6" w:rsidRPr="00440011" w:rsidRDefault="001E538D"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AE139A" w:rsidRPr="00440011">
        <w:rPr>
          <w:rFonts w:eastAsia="Times New Roman" w:cs="Times New Roman"/>
          <w:szCs w:val="24"/>
        </w:rPr>
        <w:t>3</w:t>
      </w:r>
      <w:r w:rsidRPr="00440011">
        <w:rPr>
          <w:rFonts w:eastAsia="Times New Roman" w:cs="Times New Roman"/>
          <w:szCs w:val="24"/>
        </w:rPr>
        <w:t xml:space="preserve">] Administratīvā rajona tiesa ar </w:t>
      </w:r>
      <w:proofErr w:type="gramStart"/>
      <w:r w:rsidRPr="00440011">
        <w:rPr>
          <w:rFonts w:eastAsia="Times New Roman" w:cs="Times New Roman"/>
          <w:szCs w:val="24"/>
        </w:rPr>
        <w:t>2013.gada</w:t>
      </w:r>
      <w:proofErr w:type="gramEnd"/>
      <w:r w:rsidRPr="00440011">
        <w:rPr>
          <w:rFonts w:eastAsia="Times New Roman" w:cs="Times New Roman"/>
          <w:szCs w:val="24"/>
        </w:rPr>
        <w:t xml:space="preserve"> 28.novembra spriedumu atcēla dienesta lēmumu par nokavējuma naudu un soda naudu</w:t>
      </w:r>
      <w:r w:rsidR="00EA0A14" w:rsidRPr="00440011">
        <w:rPr>
          <w:rFonts w:eastAsia="Times New Roman" w:cs="Times New Roman"/>
          <w:szCs w:val="24"/>
        </w:rPr>
        <w:t>, bet pārējā daļā pietiekumu noraidīja</w:t>
      </w:r>
      <w:r w:rsidRPr="00440011">
        <w:rPr>
          <w:rFonts w:eastAsia="Times New Roman" w:cs="Times New Roman"/>
          <w:szCs w:val="24"/>
        </w:rPr>
        <w:t xml:space="preserve">. Administratīvā apgabaltiesa ar </w:t>
      </w:r>
      <w:proofErr w:type="gramStart"/>
      <w:r w:rsidRPr="00440011">
        <w:rPr>
          <w:rFonts w:eastAsia="Times New Roman" w:cs="Times New Roman"/>
          <w:szCs w:val="24"/>
        </w:rPr>
        <w:t>2015.gada</w:t>
      </w:r>
      <w:proofErr w:type="gramEnd"/>
      <w:r w:rsidRPr="00440011">
        <w:rPr>
          <w:rFonts w:eastAsia="Times New Roman" w:cs="Times New Roman"/>
          <w:szCs w:val="24"/>
        </w:rPr>
        <w:t xml:space="preserve"> 7.maija spriedumu noraidīja pieteicējas pieteikumu</w:t>
      </w:r>
      <w:r w:rsidR="00CC6112" w:rsidRPr="00440011">
        <w:rPr>
          <w:rFonts w:eastAsia="Times New Roman" w:cs="Times New Roman"/>
          <w:szCs w:val="24"/>
        </w:rPr>
        <w:t xml:space="preserve"> pilnībā</w:t>
      </w:r>
      <w:r w:rsidRPr="00440011">
        <w:rPr>
          <w:rFonts w:eastAsia="Times New Roman" w:cs="Times New Roman"/>
          <w:szCs w:val="24"/>
        </w:rPr>
        <w:t xml:space="preserve">. </w:t>
      </w:r>
      <w:r w:rsidR="00CC6112" w:rsidRPr="00440011">
        <w:rPr>
          <w:rFonts w:eastAsia="Times New Roman" w:cs="Times New Roman"/>
          <w:szCs w:val="24"/>
        </w:rPr>
        <w:t xml:space="preserve">Apgabaltiesa pievienojās pirmās instances tiesas sprieduma motivācijai, izņemot daļā par nokavējuma naudas un soda naudas samaksas pienākumu. </w:t>
      </w:r>
    </w:p>
    <w:p w:rsidR="001E538D" w:rsidRPr="00440011" w:rsidRDefault="00AA2DB6" w:rsidP="00294F8B">
      <w:pPr>
        <w:spacing w:after="0"/>
        <w:ind w:left="23" w:right="23" w:firstLine="720"/>
        <w:jc w:val="both"/>
        <w:rPr>
          <w:rFonts w:eastAsia="Times New Roman" w:cs="Times New Roman"/>
          <w:szCs w:val="24"/>
        </w:rPr>
      </w:pPr>
      <w:r w:rsidRPr="00440011">
        <w:rPr>
          <w:rFonts w:eastAsia="Times New Roman" w:cs="Times New Roman"/>
          <w:szCs w:val="24"/>
        </w:rPr>
        <w:t>Attiecībā uz ievedmuitas nodokli a</w:t>
      </w:r>
      <w:r w:rsidR="001E538D" w:rsidRPr="00440011">
        <w:rPr>
          <w:rFonts w:eastAsia="Times New Roman" w:cs="Times New Roman"/>
          <w:szCs w:val="24"/>
        </w:rPr>
        <w:t xml:space="preserve">pgabaltiesa norādīja, lai importētājs varētu pamatoties uz tiesiskās paļāvības aizsardzību saskaņā ar </w:t>
      </w:r>
      <w:r w:rsidRPr="00440011">
        <w:rPr>
          <w:rFonts w:eastAsia="Times New Roman" w:cs="Times New Roman"/>
          <w:szCs w:val="24"/>
        </w:rPr>
        <w:t xml:space="preserve">Padomes </w:t>
      </w:r>
      <w:proofErr w:type="gramStart"/>
      <w:r w:rsidRPr="00440011">
        <w:rPr>
          <w:rFonts w:eastAsia="Times New Roman" w:cs="Times New Roman"/>
          <w:szCs w:val="24"/>
        </w:rPr>
        <w:t>1992.gada</w:t>
      </w:r>
      <w:proofErr w:type="gramEnd"/>
      <w:r w:rsidRPr="00440011">
        <w:rPr>
          <w:rFonts w:eastAsia="Times New Roman" w:cs="Times New Roman"/>
          <w:szCs w:val="24"/>
        </w:rPr>
        <w:t xml:space="preserve"> 12.oktobra Regulas (EEK) Nr.</w:t>
      </w:r>
      <w:r w:rsidR="004F0298" w:rsidRPr="00440011">
        <w:rPr>
          <w:rFonts w:eastAsia="Times New Roman" w:cs="Times New Roman"/>
          <w:szCs w:val="24"/>
        </w:rPr>
        <w:t> </w:t>
      </w:r>
      <w:r w:rsidRPr="00440011">
        <w:rPr>
          <w:rFonts w:eastAsia="Times New Roman" w:cs="Times New Roman"/>
          <w:szCs w:val="24"/>
        </w:rPr>
        <w:t xml:space="preserve">2913/92 par Kopienas Muitas kodeksa izveidi (turpmāk – Muitas kodekss) </w:t>
      </w:r>
      <w:r w:rsidR="001E538D" w:rsidRPr="00440011">
        <w:rPr>
          <w:rFonts w:eastAsia="Times New Roman" w:cs="Times New Roman"/>
          <w:szCs w:val="24"/>
        </w:rPr>
        <w:t xml:space="preserve">220.panta 2.punkta „b” apakšpunktu un lai uz viņu attiektos šajā pantā paredzētais izņēmums no pēcmuitošanas piedziņas, ir jābūt izpildītiem trīs kumulatīviem nosacījumiem. Pirmkārt, tam, ka tikuši izdoti nepareizi sertifikāti, ir jābūt pašu kompetento iestāžu kļūdai, otrkārt, šo iestāžu pieļautajai kļūdai ir jābūt tādai, ko labticīga persona saprātīgi nevarēja atklāt, treškārt, šī persona ir izpildījusi visus spēkā esošo tiesību aktu noteikumus. Saskaņā ar tradicionālajiem pierādīšanas pienākuma sadales noteikumiem muitas dienestiem, kas grib pamatot vēlāku piedziņu, ir pienākums, pamatojot savu prasību, iesniegt pierādījumus, ka sertifikāti ir izdoti nepareizai tāpēc, ka eksportētājs ir sniedzis nepareizus faktus. Eiropas Savienības muitas dienestiem ir jāvēršas pie trešo valstu kompetentajām iestādēm ar palīdzības pieprasījumu, nolūkā pārbaudīt, vai kļūdainais sertifikāts ir izsniegts tāpēc, ka eksportētājs ir sniedzis </w:t>
      </w:r>
      <w:r w:rsidR="001E538D" w:rsidRPr="00440011">
        <w:rPr>
          <w:rFonts w:eastAsia="Times New Roman" w:cs="Times New Roman"/>
          <w:szCs w:val="24"/>
        </w:rPr>
        <w:lastRenderedPageBreak/>
        <w:t>nepatiesas ziņas, turklāt, ja vien nav pierādījumu, ka eksportētājs sniedzis nepatiesas ziņas, lai iegūtu preferenciālu izcelsmes sertifikātu, un ja persona, kurai bija jāveic maksājums, rīkojusies labticīgi un ievērojusi visas spēkā esošās tiesību aktu normas attiecībā uz muitas deklarāciju, importētājas dalībvalsts muitas iestādes nevar atgūt attiecīgo nodokli. Atšķirīga pierādīšanas pienākuma sadale var būt tikai tajos gadījumos, kad muitas dienestiem nav iespējams izpildīt pierādīšanas pienākumu no tiem neatkarīgu apstākļu dēļ, piemēram, ja eksportētājs nav saglabājis pierādošos dokumentus. Šādā situācijā pierādīšanas pienākums gulstas uz parādnieku. Ievērojot minēto, tā kā Kambodžas Tirdzniecības ministrija norādījusi, ka tai nav iespējams pārbaudīt eksportētāja dokumentus, jo tas tos nav iesniedzis, pierādīšanas pienākums ir pieteicējai, nevis muitas iestādēm. Savukārt pieteicēja nav iesniegusi pierādījumus, kas apstiprina, ka preferenciālais tarifs strīdus precēm ir piemērots pamatoti. Proti, pierādījumus, kas atspēkotu OLAF konstatēto par preču izejvielu izcelsmes apliecinājumu ar B un D formas izcelsmes sertifikātiem.</w:t>
      </w:r>
    </w:p>
    <w:p w:rsidR="003120F8" w:rsidRPr="00440011" w:rsidRDefault="00C5151D" w:rsidP="00294F8B">
      <w:pPr>
        <w:spacing w:after="0"/>
        <w:ind w:left="20" w:right="20" w:firstLine="700"/>
        <w:jc w:val="both"/>
        <w:rPr>
          <w:shd w:val="clear" w:color="auto" w:fill="FFFFFF"/>
        </w:rPr>
      </w:pPr>
      <w:r w:rsidRPr="00440011">
        <w:rPr>
          <w:shd w:val="clear" w:color="auto" w:fill="FFFFFF"/>
        </w:rPr>
        <w:t xml:space="preserve"> Attiecībā uz muitas vērtību tiesa, izvērtējot licences līguma nosacījumus, atzina, ka ar šo līgumu </w:t>
      </w:r>
      <w:r w:rsidR="003120F8" w:rsidRPr="00440011">
        <w:rPr>
          <w:rFonts w:eastAsia="Times New Roman" w:cs="Times New Roman"/>
          <w:szCs w:val="24"/>
        </w:rPr>
        <w:t>kompānija „</w:t>
      </w:r>
      <w:proofErr w:type="spellStart"/>
      <w:r w:rsidR="00C64739" w:rsidRPr="00440011">
        <w:rPr>
          <w:rFonts w:eastAsia="Times New Roman" w:cs="Times New Roman"/>
          <w:szCs w:val="24"/>
        </w:rPr>
        <w:t>Hi-TEC</w:t>
      </w:r>
      <w:proofErr w:type="spellEnd"/>
      <w:r w:rsidR="00C64739" w:rsidRPr="00440011">
        <w:rPr>
          <w:rFonts w:eastAsia="Times New Roman" w:cs="Times New Roman"/>
          <w:szCs w:val="24"/>
        </w:rPr>
        <w:t xml:space="preserve"> </w:t>
      </w:r>
      <w:r w:rsidR="003120F8" w:rsidRPr="00440011">
        <w:rPr>
          <w:rFonts w:eastAsia="Times New Roman" w:cs="Times New Roman"/>
          <w:szCs w:val="24"/>
        </w:rPr>
        <w:t xml:space="preserve">Sports </w:t>
      </w:r>
      <w:proofErr w:type="spellStart"/>
      <w:r w:rsidR="003120F8" w:rsidRPr="00440011">
        <w:rPr>
          <w:rFonts w:eastAsia="Times New Roman" w:cs="Times New Roman"/>
          <w:szCs w:val="24"/>
        </w:rPr>
        <w:t>International</w:t>
      </w:r>
      <w:proofErr w:type="spellEnd"/>
      <w:r w:rsidR="003120F8" w:rsidRPr="00440011">
        <w:rPr>
          <w:rFonts w:eastAsia="Times New Roman" w:cs="Times New Roman"/>
          <w:szCs w:val="24"/>
        </w:rPr>
        <w:t xml:space="preserve"> </w:t>
      </w:r>
      <w:proofErr w:type="spellStart"/>
      <w:r w:rsidR="003120F8" w:rsidRPr="00440011">
        <w:rPr>
          <w:rFonts w:eastAsia="Times New Roman" w:cs="Times New Roman"/>
          <w:szCs w:val="24"/>
        </w:rPr>
        <w:t>Limited</w:t>
      </w:r>
      <w:proofErr w:type="spellEnd"/>
      <w:r w:rsidR="003120F8" w:rsidRPr="00440011">
        <w:rPr>
          <w:rFonts w:eastAsia="Times New Roman" w:cs="Times New Roman"/>
          <w:szCs w:val="24"/>
        </w:rPr>
        <w:t xml:space="preserve">” </w:t>
      </w:r>
      <w:r w:rsidRPr="00440011">
        <w:rPr>
          <w:shd w:val="clear" w:color="auto" w:fill="FFFFFF"/>
        </w:rPr>
        <w:t>ir notei</w:t>
      </w:r>
      <w:r w:rsidR="003120F8" w:rsidRPr="00440011">
        <w:rPr>
          <w:shd w:val="clear" w:color="auto" w:fill="FFFFFF"/>
        </w:rPr>
        <w:t>kusi</w:t>
      </w:r>
      <w:r w:rsidRPr="00440011">
        <w:rPr>
          <w:shd w:val="clear" w:color="auto" w:fill="FFFFFF"/>
        </w:rPr>
        <w:t xml:space="preserve"> preču zīmes </w:t>
      </w:r>
      <w:r w:rsidR="00C64739" w:rsidRPr="00440011">
        <w:rPr>
          <w:rFonts w:eastAsia="Times New Roman" w:cs="Times New Roman"/>
          <w:szCs w:val="24"/>
        </w:rPr>
        <w:t>„</w:t>
      </w:r>
      <w:proofErr w:type="spellStart"/>
      <w:r w:rsidR="00C64739" w:rsidRPr="00440011">
        <w:rPr>
          <w:rFonts w:eastAsia="Times New Roman" w:cs="Times New Roman"/>
          <w:szCs w:val="24"/>
        </w:rPr>
        <w:t>Hi-TEC”</w:t>
      </w:r>
      <w:proofErr w:type="spellEnd"/>
      <w:r w:rsidR="00C64739" w:rsidRPr="00440011">
        <w:rPr>
          <w:rFonts w:eastAsia="Times New Roman" w:cs="Times New Roman"/>
          <w:szCs w:val="24"/>
        </w:rPr>
        <w:t xml:space="preserve"> </w:t>
      </w:r>
      <w:r w:rsidRPr="00440011">
        <w:rPr>
          <w:shd w:val="clear" w:color="auto" w:fill="FFFFFF"/>
        </w:rPr>
        <w:t xml:space="preserve">izmantošanas nosacījumus, tostarp nosakot gan konkrētas preces, kuras pieteicēja ir </w:t>
      </w:r>
      <w:r w:rsidR="003120F8" w:rsidRPr="00440011">
        <w:rPr>
          <w:shd w:val="clear" w:color="auto" w:fill="FFFFFF"/>
        </w:rPr>
        <w:t>tiesīga iegādāties un izplatīt</w:t>
      </w:r>
      <w:r w:rsidRPr="00440011">
        <w:rPr>
          <w:shd w:val="clear" w:color="auto" w:fill="FFFFFF"/>
        </w:rPr>
        <w:t xml:space="preserve">, gan arī nosakot, ka preces pieteicēja ir tiesīga iegādāties tikai no </w:t>
      </w:r>
      <w:r w:rsidR="003120F8" w:rsidRPr="00440011">
        <w:rPr>
          <w:rFonts w:eastAsia="Times New Roman" w:cs="Times New Roman"/>
          <w:szCs w:val="24"/>
        </w:rPr>
        <w:t>kompānijas „</w:t>
      </w:r>
      <w:proofErr w:type="spellStart"/>
      <w:r w:rsidR="00C64739" w:rsidRPr="00440011">
        <w:rPr>
          <w:rFonts w:eastAsia="Times New Roman" w:cs="Times New Roman"/>
          <w:szCs w:val="24"/>
        </w:rPr>
        <w:t>Hi-TEC</w:t>
      </w:r>
      <w:proofErr w:type="spellEnd"/>
      <w:r w:rsidR="00C64739" w:rsidRPr="00440011">
        <w:rPr>
          <w:rFonts w:eastAsia="Times New Roman" w:cs="Times New Roman"/>
          <w:szCs w:val="24"/>
        </w:rPr>
        <w:t xml:space="preserve"> </w:t>
      </w:r>
      <w:r w:rsidR="003120F8" w:rsidRPr="00440011">
        <w:rPr>
          <w:rFonts w:eastAsia="Times New Roman" w:cs="Times New Roman"/>
          <w:szCs w:val="24"/>
        </w:rPr>
        <w:t xml:space="preserve">Sports </w:t>
      </w:r>
      <w:proofErr w:type="spellStart"/>
      <w:r w:rsidR="003120F8" w:rsidRPr="00440011">
        <w:rPr>
          <w:rFonts w:eastAsia="Times New Roman" w:cs="Times New Roman"/>
          <w:szCs w:val="24"/>
        </w:rPr>
        <w:t>International</w:t>
      </w:r>
      <w:proofErr w:type="spellEnd"/>
      <w:r w:rsidR="003120F8" w:rsidRPr="00440011">
        <w:rPr>
          <w:rFonts w:eastAsia="Times New Roman" w:cs="Times New Roman"/>
          <w:szCs w:val="24"/>
        </w:rPr>
        <w:t xml:space="preserve"> </w:t>
      </w:r>
      <w:proofErr w:type="spellStart"/>
      <w:r w:rsidR="003120F8" w:rsidRPr="00440011">
        <w:rPr>
          <w:rFonts w:eastAsia="Times New Roman" w:cs="Times New Roman"/>
          <w:szCs w:val="24"/>
        </w:rPr>
        <w:t>Limited</w:t>
      </w:r>
      <w:proofErr w:type="spellEnd"/>
      <w:r w:rsidR="003120F8" w:rsidRPr="00440011">
        <w:rPr>
          <w:rFonts w:eastAsia="Times New Roman" w:cs="Times New Roman"/>
          <w:szCs w:val="24"/>
        </w:rPr>
        <w:t xml:space="preserve">” </w:t>
      </w:r>
      <w:r w:rsidRPr="00440011">
        <w:rPr>
          <w:shd w:val="clear" w:color="auto" w:fill="FFFFFF"/>
        </w:rPr>
        <w:t>meitasuzņēmumiem</w:t>
      </w:r>
      <w:r w:rsidR="003120F8" w:rsidRPr="00440011">
        <w:rPr>
          <w:shd w:val="clear" w:color="auto" w:fill="FFFFFF"/>
        </w:rPr>
        <w:t>, tas ir, s</w:t>
      </w:r>
      <w:r w:rsidRPr="00440011">
        <w:rPr>
          <w:shd w:val="clear" w:color="auto" w:fill="FFFFFF"/>
        </w:rPr>
        <w:t>aistītiem uzņēmumiem. Līdz ar to</w:t>
      </w:r>
      <w:r w:rsidR="003120F8" w:rsidRPr="00440011">
        <w:rPr>
          <w:shd w:val="clear" w:color="auto" w:fill="FFFFFF"/>
        </w:rPr>
        <w:t xml:space="preserve"> </w:t>
      </w:r>
      <w:r w:rsidRPr="00440011">
        <w:rPr>
          <w:shd w:val="clear" w:color="auto" w:fill="FFFFFF"/>
        </w:rPr>
        <w:t xml:space="preserve">nevar runāt par pieteicējas kā pircēja brīvu izvēli iegādāties preces no uzņēmumiem, kas nav saistīti ar autorizēto preču licences turētāju </w:t>
      </w:r>
      <w:r w:rsidR="003120F8" w:rsidRPr="00440011">
        <w:rPr>
          <w:shd w:val="clear" w:color="auto" w:fill="FFFFFF"/>
        </w:rPr>
        <w:t>un tas ir apstāklis, kas noteic licences maksas iekļaušanu muitas vērtībā.</w:t>
      </w:r>
    </w:p>
    <w:p w:rsidR="003120F8" w:rsidRPr="00440011" w:rsidRDefault="003120F8" w:rsidP="00294F8B">
      <w:pPr>
        <w:spacing w:after="0"/>
        <w:ind w:left="20" w:right="20" w:firstLine="700"/>
        <w:jc w:val="both"/>
        <w:rPr>
          <w:rFonts w:eastAsia="Times New Roman" w:cs="Times New Roman"/>
          <w:szCs w:val="24"/>
        </w:rPr>
      </w:pPr>
      <w:r w:rsidRPr="00440011">
        <w:rPr>
          <w:shd w:val="clear" w:color="auto" w:fill="FFFFFF"/>
        </w:rPr>
        <w:t xml:space="preserve"> </w:t>
      </w:r>
    </w:p>
    <w:p w:rsidR="00764D1F" w:rsidRPr="00440011" w:rsidRDefault="001E538D"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Pieteicēja par apgabaltiesas spriedumu iesniedza kasācijas sūdzību</w:t>
      </w:r>
      <w:r w:rsidR="00764D1F" w:rsidRPr="00440011">
        <w:rPr>
          <w:rFonts w:eastAsia="Times New Roman" w:cs="Times New Roman"/>
          <w:szCs w:val="24"/>
        </w:rPr>
        <w:t>, norādot turpmāk minētos apsvērumus.</w:t>
      </w:r>
    </w:p>
    <w:p w:rsidR="0026319F" w:rsidRPr="00440011" w:rsidRDefault="0026319F"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.1] Tiesa ir pārkāpusi vispārējo, kā arī Administratīvā procesa likuma 154.pantā un 251.panta piektajā daļā ietverto principu par pierādījumu pārbaudīšanu, novērtēšanu, konstatēto faktu un izmantoto pierādījumu norādīšanu spriedumā. Tiesa nav norādījusi tos pierādījumus,</w:t>
      </w:r>
      <w:r w:rsidR="00480748" w:rsidRPr="00440011">
        <w:rPr>
          <w:rFonts w:eastAsia="Times New Roman" w:cs="Times New Roman"/>
          <w:szCs w:val="24"/>
        </w:rPr>
        <w:t xml:space="preserve"> ar kuriem pamatoti secinājumi</w:t>
      </w:r>
      <w:r w:rsidRPr="00440011">
        <w:rPr>
          <w:rFonts w:eastAsia="Times New Roman" w:cs="Times New Roman"/>
          <w:szCs w:val="24"/>
        </w:rPr>
        <w:t xml:space="preserve">. Spriedums ir pamatots ar pieņēmumiem un neļauj saprast, kādi pierādījumi ir izmantoti, lai izdarītu secinājumus. </w:t>
      </w:r>
    </w:p>
    <w:p w:rsidR="002A531D" w:rsidRPr="00440011" w:rsidRDefault="002A531D"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.2] Lēmumā par atkārtotu auditu nav ietverts atkārtota audita veikšanas pamatojums. Tiesa nav ņēmusi vērā likuma </w:t>
      </w:r>
      <w:r w:rsidR="00475D11" w:rsidRPr="00440011">
        <w:t>„</w:t>
      </w:r>
      <w:r w:rsidRPr="00440011">
        <w:rPr>
          <w:rFonts w:eastAsia="Times New Roman" w:cs="Times New Roman"/>
          <w:szCs w:val="24"/>
        </w:rPr>
        <w:t>Par nodokļiem u</w:t>
      </w:r>
      <w:r w:rsidR="00CD3B8C" w:rsidRPr="00440011">
        <w:rPr>
          <w:rFonts w:eastAsia="Times New Roman" w:cs="Times New Roman"/>
          <w:szCs w:val="24"/>
        </w:rPr>
        <w:t xml:space="preserve">n nodevām” </w:t>
      </w:r>
      <w:proofErr w:type="gramStart"/>
      <w:r w:rsidR="00CD3B8C" w:rsidRPr="00440011">
        <w:rPr>
          <w:rFonts w:eastAsia="Times New Roman" w:cs="Times New Roman"/>
          <w:szCs w:val="24"/>
        </w:rPr>
        <w:t>23.panta</w:t>
      </w:r>
      <w:proofErr w:type="gramEnd"/>
      <w:r w:rsidR="00CD3B8C" w:rsidRPr="00440011">
        <w:rPr>
          <w:rFonts w:eastAsia="Times New Roman" w:cs="Times New Roman"/>
          <w:szCs w:val="24"/>
        </w:rPr>
        <w:t xml:space="preserve"> pirmo daļu. </w:t>
      </w:r>
      <w:r w:rsidR="00080FEE" w:rsidRPr="00440011">
        <w:rPr>
          <w:rFonts w:eastAsia="Times New Roman" w:cs="Times New Roman"/>
          <w:szCs w:val="24"/>
        </w:rPr>
        <w:t xml:space="preserve">Augstākā tiesa </w:t>
      </w:r>
      <w:proofErr w:type="gramStart"/>
      <w:r w:rsidR="00080FEE" w:rsidRPr="00440011">
        <w:rPr>
          <w:rFonts w:eastAsia="Times New Roman" w:cs="Times New Roman"/>
          <w:szCs w:val="24"/>
        </w:rPr>
        <w:t>2007.gada</w:t>
      </w:r>
      <w:proofErr w:type="gramEnd"/>
      <w:r w:rsidR="00080FEE" w:rsidRPr="00440011">
        <w:rPr>
          <w:rFonts w:eastAsia="Times New Roman" w:cs="Times New Roman"/>
          <w:szCs w:val="24"/>
        </w:rPr>
        <w:t xml:space="preserve"> 13.februāra spriedumā lietā Nr.</w:t>
      </w:r>
      <w:r w:rsidR="00CB199C" w:rsidRPr="00440011">
        <w:rPr>
          <w:rFonts w:eastAsia="Times New Roman" w:cs="Times New Roman"/>
          <w:szCs w:val="24"/>
        </w:rPr>
        <w:t> </w:t>
      </w:r>
      <w:r w:rsidR="00080FEE" w:rsidRPr="00440011">
        <w:rPr>
          <w:rFonts w:eastAsia="Times New Roman" w:cs="Times New Roman"/>
          <w:szCs w:val="24"/>
        </w:rPr>
        <w:t xml:space="preserve">SKA-82/2007 atzinusi, ka likumdevējs ir noteicis, ka pēc nodokļu revīzijas (audita) veikšanas un attiecīga lēmuma pieņemšanas no nodokļu administrācijas puses persona var paļauties uz nodibinātā stāvokļa nemainību. Atkāpes jeb iespēja veikt atkārtotu auditu ir paredzēta tikai likumā noteiktajos gadījumos, turklāt attiecīgajiem faktiem jābūt </w:t>
      </w:r>
      <w:r w:rsidR="00E379BC" w:rsidRPr="00440011">
        <w:rPr>
          <w:rFonts w:eastAsia="Times New Roman" w:cs="Times New Roman"/>
          <w:szCs w:val="24"/>
        </w:rPr>
        <w:t>a</w:t>
      </w:r>
      <w:r w:rsidR="00080FEE" w:rsidRPr="00440011">
        <w:rPr>
          <w:rFonts w:eastAsia="Times New Roman" w:cs="Times New Roman"/>
          <w:szCs w:val="24"/>
        </w:rPr>
        <w:t>tklātiem attiecībā uz personu, kuras atkārtota kontrole ir veicama.</w:t>
      </w:r>
    </w:p>
    <w:p w:rsidR="00080FEE" w:rsidRPr="00440011" w:rsidRDefault="00080FEE" w:rsidP="00294F8B">
      <w:pPr>
        <w:spacing w:after="0"/>
        <w:ind w:left="23" w:right="23" w:firstLine="720"/>
        <w:jc w:val="both"/>
        <w:rPr>
          <w:rFonts w:eastAsia="Times New Roman" w:cs="Times New Roman"/>
          <w:szCs w:val="24"/>
        </w:rPr>
      </w:pPr>
      <w:r w:rsidRPr="00440011">
        <w:rPr>
          <w:rFonts w:eastAsia="Times New Roman" w:cs="Times New Roman"/>
          <w:szCs w:val="24"/>
        </w:rPr>
        <w:t>Tiesa nav konstatējusi, ka pastāv kādas ziņas vai pierādījumi, ka pret pietei</w:t>
      </w:r>
      <w:r w:rsidR="00AB2EBC" w:rsidRPr="00440011">
        <w:rPr>
          <w:rFonts w:eastAsia="Times New Roman" w:cs="Times New Roman"/>
          <w:szCs w:val="24"/>
        </w:rPr>
        <w:t>cēju būtu uzsākts kāds kriminālprocess par krāpšanu, dokumentu viltošanu vai citiem noziedzīgiem nodarījumiem.</w:t>
      </w:r>
      <w:r w:rsidRPr="00440011">
        <w:rPr>
          <w:rFonts w:eastAsia="Times New Roman" w:cs="Times New Roman"/>
          <w:szCs w:val="24"/>
        </w:rPr>
        <w:t xml:space="preserve"> </w:t>
      </w:r>
    </w:p>
    <w:p w:rsidR="00370D72" w:rsidRPr="00440011" w:rsidRDefault="00370D72" w:rsidP="00294F8B">
      <w:pPr>
        <w:spacing w:after="0"/>
        <w:ind w:left="23" w:right="23" w:firstLine="720"/>
        <w:jc w:val="both"/>
        <w:rPr>
          <w:rFonts w:eastAsia="Times New Roman" w:cs="Times New Roman"/>
          <w:szCs w:val="24"/>
        </w:rPr>
      </w:pPr>
      <w:r w:rsidRPr="00440011">
        <w:rPr>
          <w:rFonts w:eastAsia="Times New Roman" w:cs="Times New Roman"/>
          <w:szCs w:val="24"/>
        </w:rPr>
        <w:t>Tiesa nav izvērtējusi arī audita lietderību.</w:t>
      </w:r>
    </w:p>
    <w:p w:rsidR="00AB2EBC" w:rsidRPr="00440011" w:rsidRDefault="00AB2EBC"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.3] </w:t>
      </w:r>
      <w:r w:rsidR="00CB199C" w:rsidRPr="00440011">
        <w:rPr>
          <w:rFonts w:eastAsia="Times New Roman" w:cs="Times New Roman"/>
          <w:szCs w:val="24"/>
        </w:rPr>
        <w:t xml:space="preserve">Tiesa nav vērtējusi apstākli, ka saskaņā ar likuma </w:t>
      </w:r>
      <w:r w:rsidR="00475D11" w:rsidRPr="00440011">
        <w:t>„</w:t>
      </w:r>
      <w:r w:rsidR="00CB199C" w:rsidRPr="00440011">
        <w:rPr>
          <w:rFonts w:eastAsia="Times New Roman" w:cs="Times New Roman"/>
          <w:szCs w:val="24"/>
        </w:rPr>
        <w:t xml:space="preserve">Par nodokļiem un nodevām” </w:t>
      </w:r>
      <w:proofErr w:type="gramStart"/>
      <w:r w:rsidR="00CB199C" w:rsidRPr="00440011">
        <w:rPr>
          <w:rFonts w:eastAsia="Times New Roman" w:cs="Times New Roman"/>
          <w:szCs w:val="24"/>
        </w:rPr>
        <w:t>23.panta</w:t>
      </w:r>
      <w:proofErr w:type="gramEnd"/>
      <w:r w:rsidR="00CB199C" w:rsidRPr="00440011">
        <w:rPr>
          <w:rFonts w:eastAsia="Times New Roman" w:cs="Times New Roman"/>
          <w:szCs w:val="24"/>
        </w:rPr>
        <w:t xml:space="preserve"> 5.</w:t>
      </w:r>
      <w:r w:rsidR="00CB199C" w:rsidRPr="00440011">
        <w:rPr>
          <w:rFonts w:eastAsia="Times New Roman" w:cs="Times New Roman"/>
          <w:szCs w:val="24"/>
          <w:vertAlign w:val="superscript"/>
        </w:rPr>
        <w:t>1</w:t>
      </w:r>
      <w:r w:rsidR="00CB199C" w:rsidRPr="00440011">
        <w:rPr>
          <w:rFonts w:eastAsia="Times New Roman" w:cs="Times New Roman"/>
          <w:szCs w:val="24"/>
        </w:rPr>
        <w:t>punktā noteikto datu atbilstības pārbaudi veic triju gadu laikā no normatīvajos aktos noteiktā maksāšanas termiņa.</w:t>
      </w:r>
    </w:p>
    <w:p w:rsidR="00370D72" w:rsidRPr="00440011" w:rsidRDefault="00370D72" w:rsidP="00370D72">
      <w:pPr>
        <w:spacing w:after="0"/>
        <w:ind w:left="23" w:right="23" w:firstLine="720"/>
        <w:jc w:val="both"/>
        <w:rPr>
          <w:rFonts w:eastAsia="Times New Roman" w:cs="Times New Roman"/>
          <w:szCs w:val="24"/>
        </w:rPr>
      </w:pPr>
      <w:r w:rsidRPr="00440011">
        <w:rPr>
          <w:rFonts w:eastAsia="Times New Roman" w:cs="Times New Roman"/>
          <w:szCs w:val="24"/>
        </w:rPr>
        <w:lastRenderedPageBreak/>
        <w:t>[4.4] Iestādes norāde, ka no pieteicējas nav saņemts pieteikums par atlaišanas/atmaksāšanas procedūru, kā to paredz Muitas kodeksa īstenošanas regulas 878.pants, nav ietverta iestādes lēmuma pamatojumā. Tādējādi tiesa nav ievērojusi Administratīvā procesa likuma 150.panta otro daļu un 250.panta otro daļu.</w:t>
      </w:r>
    </w:p>
    <w:p w:rsidR="00E379BC" w:rsidRPr="00440011" w:rsidRDefault="00E379BC" w:rsidP="00294F8B">
      <w:pPr>
        <w:spacing w:after="0"/>
        <w:ind w:left="23" w:right="23" w:firstLine="720"/>
        <w:jc w:val="both"/>
        <w:rPr>
          <w:rFonts w:eastAsia="Times New Roman" w:cs="Times New Roman"/>
          <w:szCs w:val="24"/>
        </w:rPr>
      </w:pPr>
      <w:r w:rsidRPr="00440011">
        <w:rPr>
          <w:rFonts w:eastAsia="Times New Roman" w:cs="Times New Roman"/>
          <w:szCs w:val="24"/>
        </w:rPr>
        <w:t>Iestāde pretēji Administratīvā procesa likuma 150.panta otrajai daļai ir atkāpusies no lēmuma pamatojuma un atsaucas uz apstākļiem, uz kuriem lēmumā nav norādīts, bet tiesa pretēji 250.panta otrajai daļai nepamatoti ņēmusi vērā tādu pamatojumu, kuru iestāde lēmumā nav norādījusi</w:t>
      </w:r>
      <w:r w:rsidR="009D2F16" w:rsidRPr="00440011">
        <w:rPr>
          <w:rFonts w:eastAsia="Times New Roman" w:cs="Times New Roman"/>
          <w:szCs w:val="24"/>
        </w:rPr>
        <w:t xml:space="preserve">. </w:t>
      </w:r>
      <w:r w:rsidR="00EA0A14" w:rsidRPr="00440011">
        <w:rPr>
          <w:rFonts w:eastAsia="Times New Roman" w:cs="Times New Roman"/>
          <w:szCs w:val="24"/>
        </w:rPr>
        <w:t xml:space="preserve">Minētās normas </w:t>
      </w:r>
      <w:r w:rsidR="00370D72" w:rsidRPr="00440011">
        <w:rPr>
          <w:rFonts w:eastAsia="Times New Roman" w:cs="Times New Roman"/>
          <w:szCs w:val="24"/>
        </w:rPr>
        <w:t>liedz tiesai, skatot pietei</w:t>
      </w:r>
      <w:r w:rsidR="009D2F16" w:rsidRPr="00440011">
        <w:rPr>
          <w:rFonts w:eastAsia="Times New Roman" w:cs="Times New Roman"/>
          <w:szCs w:val="24"/>
        </w:rPr>
        <w:t>kumu par nelabvēlīga administratīvā akta atcelšanu, pieteicējam nelabvēlīgu spriedumu pamatot ar jauniem apstākļiem, uz kuriem nav norādīts administratīvajā aktā.</w:t>
      </w:r>
      <w:r w:rsidRPr="00440011">
        <w:rPr>
          <w:rFonts w:eastAsia="Times New Roman" w:cs="Times New Roman"/>
          <w:szCs w:val="24"/>
        </w:rPr>
        <w:t xml:space="preserve">  </w:t>
      </w:r>
    </w:p>
    <w:p w:rsidR="00370D72" w:rsidRPr="00440011" w:rsidRDefault="00370D72" w:rsidP="00370D72">
      <w:pPr>
        <w:spacing w:after="0"/>
        <w:ind w:left="23" w:right="23" w:firstLine="720"/>
        <w:jc w:val="both"/>
        <w:rPr>
          <w:rFonts w:eastAsia="Times New Roman" w:cs="Times New Roman"/>
          <w:szCs w:val="24"/>
        </w:rPr>
      </w:pPr>
      <w:r w:rsidRPr="00440011">
        <w:rPr>
          <w:rFonts w:eastAsia="Times New Roman" w:cs="Times New Roman"/>
          <w:szCs w:val="24"/>
        </w:rPr>
        <w:t>[4.5] Tiesa nav vērtējusi apstākli, ka atbilstoši Muitas kodeksa īstenošanas regulas 97.t</w:t>
      </w:r>
      <w:r w:rsidR="004F0298" w:rsidRPr="00440011">
        <w:rPr>
          <w:rFonts w:eastAsia="Times New Roman" w:cs="Times New Roman"/>
          <w:szCs w:val="24"/>
        </w:rPr>
        <w:t> </w:t>
      </w:r>
      <w:r w:rsidRPr="00440011">
        <w:rPr>
          <w:rFonts w:eastAsia="Times New Roman" w:cs="Times New Roman"/>
          <w:szCs w:val="24"/>
        </w:rPr>
        <w:t>panta 7.punktam, lai veiktu vēlāku izcelsmi apliecinošo A formas sertifikātu pārbaudi, eksportētāji glabā visus attiecīgos dokumentus, kas pierāda konkrēto izstrādājumu noteiktas izcelsmes statusu, un eksportētājas valsts valdības kompetentās iestādes glabā sertifikātu kopijas vismaz trīs gadus no tā gada beigām, kurā izdots preču izcelsmi apliecinošais A formas sertifikāts.</w:t>
      </w:r>
    </w:p>
    <w:p w:rsidR="00585AD7" w:rsidRPr="00440011" w:rsidRDefault="00585AD7"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.6] Tiesa nav ņēmusi vērā Administratīvā procesa likuma 103.panta otro daļu.</w:t>
      </w:r>
    </w:p>
    <w:p w:rsidR="00585AD7" w:rsidRPr="00440011" w:rsidRDefault="00585AD7"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.7] Tiesa nav ņēmusi vērā pieteicējas paskaidrojumus, ka tā </w:t>
      </w:r>
      <w:r w:rsidR="004F0298" w:rsidRPr="00440011">
        <w:rPr>
          <w:rFonts w:eastAsia="Times New Roman" w:cs="Times New Roman"/>
          <w:szCs w:val="24"/>
        </w:rPr>
        <w:t>velosipēdus</w:t>
      </w:r>
      <w:r w:rsidRPr="00440011">
        <w:rPr>
          <w:rFonts w:eastAsia="Times New Roman" w:cs="Times New Roman"/>
          <w:szCs w:val="24"/>
        </w:rPr>
        <w:t xml:space="preserve"> iegādājās no Vācijas uzņēmuma, nevis tieši no Kambodžas uzņēmuma. Kā arī to, ka Hamburgas ostas Galvenā muitas pārvalde </w:t>
      </w:r>
      <w:proofErr w:type="gramStart"/>
      <w:r w:rsidRPr="00440011">
        <w:rPr>
          <w:rFonts w:eastAsia="Times New Roman" w:cs="Times New Roman"/>
          <w:szCs w:val="24"/>
        </w:rPr>
        <w:t>2013.gada</w:t>
      </w:r>
      <w:proofErr w:type="gramEnd"/>
      <w:r w:rsidRPr="00440011">
        <w:rPr>
          <w:rFonts w:eastAsia="Times New Roman" w:cs="Times New Roman"/>
          <w:szCs w:val="24"/>
        </w:rPr>
        <w:t xml:space="preserve"> 3.oktobrī pieņēma lēmumu, ar kuru pieteicējas darījuma partnerim atlaida muitas nodokļus. Tā atzina, ka minētais uzņēmum</w:t>
      </w:r>
      <w:r w:rsidR="00ED2574" w:rsidRPr="00440011">
        <w:rPr>
          <w:rFonts w:eastAsia="Times New Roman" w:cs="Times New Roman"/>
          <w:szCs w:val="24"/>
        </w:rPr>
        <w:t>s</w:t>
      </w:r>
      <w:r w:rsidRPr="00440011">
        <w:rPr>
          <w:rFonts w:eastAsia="Times New Roman" w:cs="Times New Roman"/>
          <w:szCs w:val="24"/>
        </w:rPr>
        <w:t xml:space="preserve"> nav vainojams </w:t>
      </w:r>
      <w:r w:rsidR="00EB68BB" w:rsidRPr="00440011">
        <w:rPr>
          <w:rFonts w:eastAsia="Times New Roman" w:cs="Times New Roman"/>
          <w:szCs w:val="24"/>
        </w:rPr>
        <w:t>A formas sertifikāta</w:t>
      </w:r>
      <w:r w:rsidRPr="00440011">
        <w:rPr>
          <w:rFonts w:eastAsia="Times New Roman" w:cs="Times New Roman"/>
          <w:szCs w:val="24"/>
        </w:rPr>
        <w:t xml:space="preserve"> nepareizā izdošanā</w:t>
      </w:r>
      <w:r w:rsidR="00E94485" w:rsidRPr="00440011">
        <w:rPr>
          <w:rFonts w:eastAsia="Times New Roman" w:cs="Times New Roman"/>
          <w:szCs w:val="24"/>
        </w:rPr>
        <w:t>,</w:t>
      </w:r>
      <w:r w:rsidRPr="00440011">
        <w:rPr>
          <w:rFonts w:eastAsia="Times New Roman" w:cs="Times New Roman"/>
          <w:szCs w:val="24"/>
        </w:rPr>
        <w:t xml:space="preserve"> un piemēroja Muitas kodeksa 220. un 236.pantu. Tiesa nav vērtējusi, ka šāds apstāklis var apliecināt to, ja pieteicējas darījuma partneris nav vainojams nepareizā </w:t>
      </w:r>
      <w:r w:rsidR="00EB68BB" w:rsidRPr="00440011">
        <w:rPr>
          <w:rFonts w:eastAsia="Times New Roman" w:cs="Times New Roman"/>
          <w:szCs w:val="24"/>
        </w:rPr>
        <w:t>A formas sertifikāta</w:t>
      </w:r>
      <w:r w:rsidRPr="00440011">
        <w:rPr>
          <w:rFonts w:eastAsia="Times New Roman" w:cs="Times New Roman"/>
          <w:szCs w:val="24"/>
        </w:rPr>
        <w:t xml:space="preserve"> izsniegšanā, tad arī </w:t>
      </w:r>
      <w:r w:rsidR="008E10DB" w:rsidRPr="00440011">
        <w:rPr>
          <w:rFonts w:eastAsia="Times New Roman" w:cs="Times New Roman"/>
          <w:szCs w:val="24"/>
        </w:rPr>
        <w:t xml:space="preserve">pieteicēja tajā nav vainojama un šie apstākļi atklāj Kambodžas iestāžu kļūdu, ko pieteicēja nevarēja atklāt, un tādējādi ir rīkojusies labā ticībā atbilstoši Muitas kodeksa 220.panta 2.punkta </w:t>
      </w:r>
      <w:r w:rsidR="00475D11" w:rsidRPr="00440011">
        <w:t>„</w:t>
      </w:r>
      <w:r w:rsidR="008E10DB" w:rsidRPr="00440011">
        <w:rPr>
          <w:rFonts w:eastAsia="Times New Roman" w:cs="Times New Roman"/>
          <w:szCs w:val="24"/>
        </w:rPr>
        <w:t>b” apakšpunktam.</w:t>
      </w:r>
    </w:p>
    <w:p w:rsidR="00ED0A70" w:rsidRPr="00440011" w:rsidRDefault="00ED0A70" w:rsidP="00294F8B">
      <w:pPr>
        <w:spacing w:after="0"/>
        <w:ind w:left="23" w:right="23" w:firstLine="720"/>
        <w:jc w:val="both"/>
        <w:rPr>
          <w:rFonts w:eastAsia="Times New Roman" w:cs="Times New Roman"/>
          <w:szCs w:val="24"/>
        </w:rPr>
      </w:pPr>
      <w:r w:rsidRPr="00440011">
        <w:rPr>
          <w:rFonts w:eastAsia="Times New Roman" w:cs="Times New Roman"/>
          <w:szCs w:val="24"/>
        </w:rPr>
        <w:t>Tiesa norādīja, ka Hamburgas ostas Galvenās muitas pārvaldes lēmumā nav norādīts, kurā pārbaudes lietā muitas nodokļi ir atlaisti. Šis arguments nav pamatots, jo lēmums ir publicēts un publiski pieejams Eiropas Oficiālajā Vēstnesī: S0610B-Rbl.324/10-B2302 un lēmumā ir norādīts, kurā pārbaudes lietā muitas nodokļi ir atlaisti.</w:t>
      </w:r>
    </w:p>
    <w:p w:rsidR="00ED0A70" w:rsidRPr="00440011" w:rsidRDefault="00ED0A70"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.8] </w:t>
      </w:r>
      <w:r w:rsidR="006A62C8" w:rsidRPr="00440011">
        <w:rPr>
          <w:rFonts w:eastAsia="Times New Roman" w:cs="Times New Roman"/>
          <w:szCs w:val="24"/>
        </w:rPr>
        <w:t>Tiesa norāda, ka pieteicēja nav iesniegusi pierādījumus, kas apstiprina, ka preferenciālais tarifs ir pierādīts pamatoti un ka par šādu pierādījumu tiesa neuzs</w:t>
      </w:r>
      <w:r w:rsidR="00BA52D2" w:rsidRPr="00440011">
        <w:rPr>
          <w:rFonts w:eastAsia="Times New Roman" w:cs="Times New Roman"/>
          <w:szCs w:val="24"/>
        </w:rPr>
        <w:t>ka</w:t>
      </w:r>
      <w:r w:rsidR="006A62C8" w:rsidRPr="00440011">
        <w:rPr>
          <w:rFonts w:eastAsia="Times New Roman" w:cs="Times New Roman"/>
          <w:szCs w:val="24"/>
        </w:rPr>
        <w:t xml:space="preserve">ta Kambodžas Ekonomikas ministrijas sniegto atbildi uz Ungārijas muitas iestādes pieprasījumu, jo atbilde ir sniegta attiecībā uz konkrētu </w:t>
      </w:r>
      <w:r w:rsidR="00EB68BB" w:rsidRPr="00440011">
        <w:rPr>
          <w:rFonts w:eastAsia="Times New Roman" w:cs="Times New Roman"/>
          <w:szCs w:val="24"/>
        </w:rPr>
        <w:t>A formas sertifikātu</w:t>
      </w:r>
      <w:r w:rsidR="006A62C8" w:rsidRPr="00440011">
        <w:rPr>
          <w:rFonts w:eastAsia="Times New Roman" w:cs="Times New Roman"/>
          <w:szCs w:val="24"/>
        </w:rPr>
        <w:t>. Turklāt atbildē sniegtā informācija, ka eksportētājs iesniedza pareizu faktu kopumu</w:t>
      </w:r>
      <w:r w:rsidR="00EC0D29" w:rsidRPr="00440011">
        <w:rPr>
          <w:rFonts w:eastAsia="Times New Roman" w:cs="Times New Roman"/>
          <w:szCs w:val="24"/>
        </w:rPr>
        <w:t>,</w:t>
      </w:r>
      <w:r w:rsidR="006A62C8" w:rsidRPr="00440011">
        <w:rPr>
          <w:rFonts w:eastAsia="Times New Roman" w:cs="Times New Roman"/>
          <w:szCs w:val="24"/>
        </w:rPr>
        <w:t xml:space="preserve"> ir pretrunā ar OLAF konstatē</w:t>
      </w:r>
      <w:r w:rsidR="00370D72" w:rsidRPr="00440011">
        <w:rPr>
          <w:rFonts w:eastAsia="Times New Roman" w:cs="Times New Roman"/>
          <w:szCs w:val="24"/>
        </w:rPr>
        <w:t>to</w:t>
      </w:r>
      <w:r w:rsidR="006A62C8" w:rsidRPr="00440011">
        <w:rPr>
          <w:rFonts w:eastAsia="Times New Roman" w:cs="Times New Roman"/>
          <w:szCs w:val="24"/>
        </w:rPr>
        <w:t xml:space="preserve">, ka </w:t>
      </w:r>
      <w:r w:rsidR="00EB68BB" w:rsidRPr="00440011">
        <w:rPr>
          <w:rFonts w:eastAsia="Times New Roman" w:cs="Times New Roman"/>
          <w:szCs w:val="24"/>
        </w:rPr>
        <w:t>A formas sertifikāti</w:t>
      </w:r>
      <w:r w:rsidR="006A62C8" w:rsidRPr="00440011">
        <w:rPr>
          <w:rFonts w:eastAsia="Times New Roman" w:cs="Times New Roman"/>
          <w:szCs w:val="24"/>
        </w:rPr>
        <w:t xml:space="preserve"> ir izsniegti uz maldinošas un nepareizas informācijas pamata. Turklāt </w:t>
      </w:r>
      <w:r w:rsidR="00EC0D29" w:rsidRPr="00440011">
        <w:rPr>
          <w:rFonts w:eastAsia="Times New Roman" w:cs="Times New Roman"/>
          <w:szCs w:val="24"/>
        </w:rPr>
        <w:t>Kambodžas Ekonomikas ministrija, atbildot uz dienesta informāciju par sertifikātiem, uz kuru pamata pieteicēja ieveda strīdus preces, ir norādījusi, ka tai nav iespējams nodrošināt nepieciešamo dokumentāciju, lai pārbaudītu konkrēto sertifikātu piešķiršanas pamatotību.</w:t>
      </w:r>
    </w:p>
    <w:p w:rsidR="00EC0D29" w:rsidRPr="00440011" w:rsidRDefault="00EC0D29"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Tiesa nav ņēmusi vērā to faktu kopumu, ka sniegtajā atbildē Ungārijas dienestam saistībā ar OLAF veikto pārbaudi par </w:t>
      </w:r>
      <w:r w:rsidR="00EB68BB" w:rsidRPr="00440011">
        <w:rPr>
          <w:rFonts w:eastAsia="Times New Roman" w:cs="Times New Roman"/>
          <w:szCs w:val="24"/>
        </w:rPr>
        <w:t>A formas sertifikātu</w:t>
      </w:r>
      <w:r w:rsidRPr="00440011">
        <w:rPr>
          <w:rFonts w:eastAsia="Times New Roman" w:cs="Times New Roman"/>
          <w:szCs w:val="24"/>
        </w:rPr>
        <w:t xml:space="preserve"> izsniegšanas pareizību laikā no 2006. līdz </w:t>
      </w:r>
      <w:proofErr w:type="gramStart"/>
      <w:r w:rsidRPr="00440011">
        <w:rPr>
          <w:rFonts w:eastAsia="Times New Roman" w:cs="Times New Roman"/>
          <w:szCs w:val="24"/>
        </w:rPr>
        <w:t>2009.gadam</w:t>
      </w:r>
      <w:proofErr w:type="gramEnd"/>
      <w:r w:rsidRPr="00440011">
        <w:rPr>
          <w:rFonts w:eastAsia="Times New Roman" w:cs="Times New Roman"/>
          <w:szCs w:val="24"/>
        </w:rPr>
        <w:t xml:space="preserve">, runa </w:t>
      </w:r>
      <w:r w:rsidR="004F0298" w:rsidRPr="00440011">
        <w:rPr>
          <w:rFonts w:eastAsia="Times New Roman" w:cs="Times New Roman"/>
          <w:szCs w:val="24"/>
        </w:rPr>
        <w:t xml:space="preserve">ir </w:t>
      </w:r>
      <w:r w:rsidRPr="00440011">
        <w:rPr>
          <w:rFonts w:eastAsia="Times New Roman" w:cs="Times New Roman"/>
          <w:szCs w:val="24"/>
        </w:rPr>
        <w:t xml:space="preserve">par visiem </w:t>
      </w:r>
      <w:r w:rsidR="00EB68BB" w:rsidRPr="00440011">
        <w:rPr>
          <w:rFonts w:eastAsia="Times New Roman" w:cs="Times New Roman"/>
          <w:szCs w:val="24"/>
        </w:rPr>
        <w:t>A formas sertifikātiem</w:t>
      </w:r>
      <w:r w:rsidRPr="00440011">
        <w:rPr>
          <w:rFonts w:eastAsia="Times New Roman" w:cs="Times New Roman"/>
          <w:szCs w:val="24"/>
        </w:rPr>
        <w:t xml:space="preserve">, tostarp arī Ungārijas komersantiem, kurus vispār izsniedza Kambodžas Ekonomikas ministrija minētajā laikā. Tātad OLAF veica pārbaudi par visiem </w:t>
      </w:r>
      <w:r w:rsidR="00EB68BB" w:rsidRPr="00440011">
        <w:rPr>
          <w:rFonts w:eastAsia="Times New Roman" w:cs="Times New Roman"/>
          <w:szCs w:val="24"/>
        </w:rPr>
        <w:t>A formas sertifikātiem</w:t>
      </w:r>
      <w:r w:rsidRPr="00440011">
        <w:rPr>
          <w:rFonts w:eastAsia="Times New Roman" w:cs="Times New Roman"/>
          <w:szCs w:val="24"/>
        </w:rPr>
        <w:t xml:space="preserve">, nevis kādu konkrētu, kurus </w:t>
      </w:r>
      <w:r w:rsidRPr="00440011">
        <w:rPr>
          <w:rFonts w:eastAsia="Times New Roman" w:cs="Times New Roman"/>
          <w:szCs w:val="24"/>
        </w:rPr>
        <w:lastRenderedPageBreak/>
        <w:t xml:space="preserve">Kambodžas valsts iestāde izsniedza Ungārijas komersantiem. OLAF konstatēja, ka velosipēdi tika eksportēti uz 21 valsti. Tādējādi tiesa nav ņēmusi vērā, ka importa darbības OLAF ziņojumā norādītajām valstīm tika veiktas apstākļos, kas faktiski un tiesiski ir salīdzināmi ar tiem, kas ir šīs lietas pamatā. </w:t>
      </w:r>
    </w:p>
    <w:p w:rsidR="00EC0D29" w:rsidRPr="00440011" w:rsidRDefault="00EC0D29"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Saskaņā ar Padomes </w:t>
      </w:r>
      <w:proofErr w:type="gramStart"/>
      <w:r w:rsidRPr="00440011">
        <w:rPr>
          <w:rFonts w:eastAsia="Times New Roman" w:cs="Times New Roman"/>
          <w:szCs w:val="24"/>
        </w:rPr>
        <w:t>1997.gada</w:t>
      </w:r>
      <w:proofErr w:type="gramEnd"/>
      <w:r w:rsidRPr="00440011">
        <w:rPr>
          <w:rFonts w:eastAsia="Times New Roman" w:cs="Times New Roman"/>
          <w:szCs w:val="24"/>
        </w:rPr>
        <w:t xml:space="preserve"> 13.marta Regulas (EK) Nr.</w:t>
      </w:r>
      <w:r w:rsidR="004F0298" w:rsidRPr="00440011">
        <w:rPr>
          <w:rFonts w:eastAsia="Times New Roman" w:cs="Times New Roman"/>
          <w:szCs w:val="24"/>
        </w:rPr>
        <w:t> </w:t>
      </w:r>
      <w:r w:rsidRPr="00440011">
        <w:rPr>
          <w:rFonts w:eastAsia="Times New Roman" w:cs="Times New Roman"/>
          <w:szCs w:val="24"/>
        </w:rPr>
        <w:t xml:space="preserve">515/97 par dalībvalstu pārvaldes iestāžu savstarpēju palīdzību un šo iestāžu un Komisijas sadarbību, lai nodrošinātu muitas un lauksaimniecības </w:t>
      </w:r>
      <w:r w:rsidR="00923E37" w:rsidRPr="00440011">
        <w:rPr>
          <w:rFonts w:eastAsia="Times New Roman" w:cs="Times New Roman"/>
          <w:szCs w:val="24"/>
        </w:rPr>
        <w:t xml:space="preserve">tiesību </w:t>
      </w:r>
      <w:r w:rsidRPr="00440011">
        <w:rPr>
          <w:rFonts w:eastAsia="Times New Roman" w:cs="Times New Roman"/>
          <w:szCs w:val="24"/>
        </w:rPr>
        <w:t>aktu pareizu piemērošanu</w:t>
      </w:r>
      <w:r w:rsidR="00923E37" w:rsidRPr="00440011">
        <w:rPr>
          <w:rFonts w:eastAsia="Times New Roman" w:cs="Times New Roman"/>
          <w:szCs w:val="24"/>
        </w:rPr>
        <w:t>,</w:t>
      </w:r>
      <w:r w:rsidRPr="00440011">
        <w:rPr>
          <w:rFonts w:eastAsia="Times New Roman" w:cs="Times New Roman"/>
          <w:szCs w:val="24"/>
        </w:rPr>
        <w:t xml:space="preserve"> 12.pant</w:t>
      </w:r>
      <w:r w:rsidR="00923E37" w:rsidRPr="00440011">
        <w:rPr>
          <w:rFonts w:eastAsia="Times New Roman" w:cs="Times New Roman"/>
          <w:szCs w:val="24"/>
        </w:rPr>
        <w:t>u</w:t>
      </w:r>
      <w:r w:rsidRPr="00440011">
        <w:rPr>
          <w:rFonts w:eastAsia="Times New Roman" w:cs="Times New Roman"/>
          <w:szCs w:val="24"/>
        </w:rPr>
        <w:t xml:space="preserve"> atklājumi, sertifikāti, informācija, dokumenti, notariāli apstiprinātas kopijas un jebkādas ziņas, ko ieguvuši iestādes darbinieki un nosūtījuši iesniedzējai iestādei palīdzības gaitā, iesniedzējas iestādes dalībvalsts kompetentās iestādes var izmantot kā pierādījumu.</w:t>
      </w:r>
      <w:r w:rsidR="00923E37" w:rsidRPr="00440011">
        <w:rPr>
          <w:rFonts w:eastAsia="Times New Roman" w:cs="Times New Roman"/>
          <w:szCs w:val="24"/>
        </w:rPr>
        <w:t xml:space="preserve"> </w:t>
      </w:r>
      <w:r w:rsidRPr="00440011">
        <w:rPr>
          <w:rFonts w:eastAsia="Times New Roman" w:cs="Times New Roman"/>
          <w:szCs w:val="24"/>
        </w:rPr>
        <w:t>Augstākā tiesa 2008.gada 12.novembra lēmumā lietā Nr.</w:t>
      </w:r>
      <w:r w:rsidR="004F0298" w:rsidRPr="00440011">
        <w:rPr>
          <w:rFonts w:eastAsia="Times New Roman" w:cs="Times New Roman"/>
          <w:szCs w:val="24"/>
        </w:rPr>
        <w:t> </w:t>
      </w:r>
      <w:r w:rsidRPr="00440011">
        <w:rPr>
          <w:rFonts w:eastAsia="Times New Roman" w:cs="Times New Roman"/>
          <w:szCs w:val="24"/>
        </w:rPr>
        <w:t>SKA-620/2008 norād</w:t>
      </w:r>
      <w:r w:rsidR="00417CBD" w:rsidRPr="00440011">
        <w:rPr>
          <w:rFonts w:eastAsia="Times New Roman" w:cs="Times New Roman"/>
          <w:szCs w:val="24"/>
        </w:rPr>
        <w:t>ī</w:t>
      </w:r>
      <w:r w:rsidRPr="00440011">
        <w:rPr>
          <w:rFonts w:eastAsia="Times New Roman" w:cs="Times New Roman"/>
          <w:szCs w:val="24"/>
        </w:rPr>
        <w:t>jusi, ka uz lietu attiecināmi ir ne tikai pierādījumi, kas tieši pierāda faktus, no kuriem atkarīgs lietas gala iznākums, bet arī pierādījumi, kas ir saistīti ar šiem faktiem un ļauj izdarīt secinājumus par tiem.</w:t>
      </w:r>
    </w:p>
    <w:p w:rsidR="004B6C26" w:rsidRPr="00440011" w:rsidRDefault="004B6C26" w:rsidP="00294F8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.9] Tiesa norāda, ka pieteicēja nepamatoti atsaucas uz Eiropas Komisijas </w:t>
      </w:r>
      <w:proofErr w:type="gramStart"/>
      <w:r w:rsidRPr="00440011">
        <w:rPr>
          <w:rFonts w:eastAsia="Times New Roman" w:cs="Times New Roman"/>
          <w:szCs w:val="24"/>
        </w:rPr>
        <w:t>2012.gada</w:t>
      </w:r>
      <w:proofErr w:type="gramEnd"/>
      <w:r w:rsidRPr="00440011">
        <w:rPr>
          <w:rFonts w:eastAsia="Times New Roman" w:cs="Times New Roman"/>
          <w:szCs w:val="24"/>
        </w:rPr>
        <w:t xml:space="preserve"> 30.novembra lēmumu Nr.</w:t>
      </w:r>
      <w:r w:rsidR="004F0298" w:rsidRPr="00440011">
        <w:rPr>
          <w:rFonts w:eastAsia="Times New Roman" w:cs="Times New Roman"/>
          <w:szCs w:val="24"/>
        </w:rPr>
        <w:t> </w:t>
      </w:r>
      <w:r w:rsidRPr="00440011">
        <w:rPr>
          <w:rFonts w:eastAsia="Times New Roman" w:cs="Times New Roman"/>
          <w:szCs w:val="24"/>
        </w:rPr>
        <w:t>C(2012) 869</w:t>
      </w:r>
      <w:r w:rsidR="00C1625B" w:rsidRPr="00440011">
        <w:rPr>
          <w:rFonts w:eastAsia="Times New Roman" w:cs="Times New Roman"/>
          <w:szCs w:val="24"/>
        </w:rPr>
        <w:t>4</w:t>
      </w:r>
      <w:r w:rsidRPr="00440011">
        <w:rPr>
          <w:rFonts w:eastAsia="Times New Roman" w:cs="Times New Roman"/>
          <w:szCs w:val="24"/>
        </w:rPr>
        <w:t xml:space="preserve"> lietā Nr.</w:t>
      </w:r>
      <w:r w:rsidR="004F0298" w:rsidRPr="00440011">
        <w:rPr>
          <w:rFonts w:eastAsia="Times New Roman" w:cs="Times New Roman"/>
          <w:szCs w:val="24"/>
        </w:rPr>
        <w:t> </w:t>
      </w:r>
      <w:r w:rsidRPr="00440011">
        <w:rPr>
          <w:rFonts w:eastAsia="Times New Roman" w:cs="Times New Roman"/>
          <w:szCs w:val="24"/>
        </w:rPr>
        <w:t>REC 01/2011, jo pieteicēja noteiktā kārtībā un termiņā nav lūgusi dienesta Muitas pārvaldei uzsākt muitas nodokļu atlaišanas procedūru. Tas ir, nav iesniegusi atlaišanas pieteikum</w:t>
      </w:r>
      <w:r w:rsidR="00923E37" w:rsidRPr="00440011">
        <w:rPr>
          <w:rFonts w:eastAsia="Times New Roman" w:cs="Times New Roman"/>
          <w:szCs w:val="24"/>
        </w:rPr>
        <w:t>u un to pamatojošos dokumentus</w:t>
      </w:r>
      <w:r w:rsidRPr="00440011">
        <w:rPr>
          <w:rFonts w:eastAsia="Times New Roman" w:cs="Times New Roman"/>
          <w:szCs w:val="24"/>
        </w:rPr>
        <w:t xml:space="preserve">. </w:t>
      </w:r>
    </w:p>
    <w:p w:rsidR="004B6C26" w:rsidRPr="00440011" w:rsidRDefault="004B6C26"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Tiesa nav vērtējusi faktu, ka Eiropas Komisijas Muitas kodeksa komitejas Muitas parāda un galvojuma nodaļas sanāksmē, kura notika </w:t>
      </w:r>
      <w:proofErr w:type="gramStart"/>
      <w:r w:rsidRPr="00440011">
        <w:rPr>
          <w:rFonts w:eastAsia="Times New Roman" w:cs="Times New Roman"/>
          <w:szCs w:val="24"/>
        </w:rPr>
        <w:t>2012.gada</w:t>
      </w:r>
      <w:proofErr w:type="gramEnd"/>
      <w:r w:rsidRPr="00440011">
        <w:rPr>
          <w:rFonts w:eastAsia="Times New Roman" w:cs="Times New Roman"/>
          <w:szCs w:val="24"/>
        </w:rPr>
        <w:t xml:space="preserve"> 10.septembrī Briselē, piedalījās arī dienesta Muitas pārvaldes pārstāvis, līdz ar to minētā Eiropas Komisijas lēmuma saturs un tajā vērtējamās situācijas būtība dienestam ir zināma. Dienests norādījis, ka ir atšķirība starp Latvijas un Somijas gadījumu, jo pieteicēja nav sazinājusies ar Kambodžas uzņēmumu, lai pārliecinātos, vai tā ražotie velosipēdi atbilst preferenciālajiem izcelsmes noteikumiem</w:t>
      </w:r>
      <w:r w:rsidR="00EA0A14" w:rsidRPr="00440011">
        <w:rPr>
          <w:rFonts w:eastAsia="Times New Roman" w:cs="Times New Roman"/>
          <w:szCs w:val="24"/>
        </w:rPr>
        <w:t>,</w:t>
      </w:r>
      <w:r w:rsidRPr="00440011">
        <w:rPr>
          <w:rFonts w:eastAsia="Times New Roman" w:cs="Times New Roman"/>
          <w:szCs w:val="24"/>
        </w:rPr>
        <w:t xml:space="preserve"> un Muitas pārvaldei nav šāda veida informācijas, kas liek uzskatīt, ka uzņēmums nav ar pietiekamu rūpību mēģinājis noskaidro</w:t>
      </w:r>
      <w:r w:rsidR="00EA0A14" w:rsidRPr="00440011">
        <w:rPr>
          <w:rFonts w:eastAsia="Times New Roman" w:cs="Times New Roman"/>
          <w:szCs w:val="24"/>
        </w:rPr>
        <w:t>t</w:t>
      </w:r>
      <w:r w:rsidRPr="00440011">
        <w:rPr>
          <w:rFonts w:eastAsia="Times New Roman" w:cs="Times New Roman"/>
          <w:szCs w:val="24"/>
        </w:rPr>
        <w:t xml:space="preserve"> visu</w:t>
      </w:r>
      <w:r w:rsidR="00EA0A14" w:rsidRPr="00440011">
        <w:rPr>
          <w:rFonts w:eastAsia="Times New Roman" w:cs="Times New Roman"/>
          <w:szCs w:val="24"/>
        </w:rPr>
        <w:t>s</w:t>
      </w:r>
      <w:r w:rsidRPr="00440011">
        <w:rPr>
          <w:rFonts w:eastAsia="Times New Roman" w:cs="Times New Roman"/>
          <w:szCs w:val="24"/>
        </w:rPr>
        <w:t xml:space="preserve"> faktus.</w:t>
      </w:r>
    </w:p>
    <w:p w:rsidR="004B6C26" w:rsidRPr="00440011" w:rsidRDefault="004B6C26" w:rsidP="00294F8B">
      <w:pPr>
        <w:spacing w:after="0"/>
        <w:ind w:left="23" w:right="23" w:firstLine="720"/>
        <w:jc w:val="both"/>
        <w:rPr>
          <w:rFonts w:eastAsia="Times New Roman" w:cs="Times New Roman"/>
          <w:szCs w:val="24"/>
        </w:rPr>
      </w:pPr>
      <w:r w:rsidRPr="00440011">
        <w:rPr>
          <w:rFonts w:eastAsia="Times New Roman" w:cs="Times New Roman"/>
          <w:szCs w:val="24"/>
        </w:rPr>
        <w:t xml:space="preserve">Tiesa nav vērtējusi, ka pieteicēja, veicot muitas procedūras, iesniedza visus nepieciešamos dokumentus Muitas pārvaldē un sazinājās ar </w:t>
      </w:r>
      <w:r w:rsidR="00923E37" w:rsidRPr="00440011">
        <w:rPr>
          <w:rFonts w:eastAsia="Times New Roman" w:cs="Times New Roman"/>
          <w:szCs w:val="24"/>
        </w:rPr>
        <w:t>to</w:t>
      </w:r>
      <w:r w:rsidRPr="00440011">
        <w:rPr>
          <w:rFonts w:eastAsia="Times New Roman" w:cs="Times New Roman"/>
          <w:szCs w:val="24"/>
        </w:rPr>
        <w:t xml:space="preserve">, bet Kambodžas Ekonomikas ministrijas izsniegto </w:t>
      </w:r>
      <w:r w:rsidR="00EB68BB" w:rsidRPr="00440011">
        <w:rPr>
          <w:rFonts w:eastAsia="Times New Roman" w:cs="Times New Roman"/>
          <w:szCs w:val="24"/>
        </w:rPr>
        <w:t xml:space="preserve">A formas </w:t>
      </w:r>
      <w:r w:rsidRPr="00440011">
        <w:rPr>
          <w:rFonts w:eastAsia="Times New Roman" w:cs="Times New Roman"/>
          <w:szCs w:val="24"/>
        </w:rPr>
        <w:t>sertifikātu muitas dienesti pieņēma u</w:t>
      </w:r>
      <w:r w:rsidR="00EA0A14" w:rsidRPr="00440011">
        <w:rPr>
          <w:rFonts w:eastAsia="Times New Roman" w:cs="Times New Roman"/>
          <w:szCs w:val="24"/>
        </w:rPr>
        <w:t>n</w:t>
      </w:r>
      <w:r w:rsidRPr="00440011">
        <w:rPr>
          <w:rFonts w:eastAsia="Times New Roman" w:cs="Times New Roman"/>
          <w:szCs w:val="24"/>
        </w:rPr>
        <w:t xml:space="preserve"> uzskatīja par derīgu, jo tas bija oficiāli izdots valsts iestādes dokuments, kas, ievedot preces brīvam apgrozījumam Eiropas Savienībā, bija spēkā. </w:t>
      </w:r>
    </w:p>
    <w:p w:rsidR="0049462D" w:rsidRPr="00440011" w:rsidRDefault="0049462D" w:rsidP="00294F8B">
      <w:pPr>
        <w:spacing w:after="0"/>
        <w:ind w:left="23" w:right="23" w:firstLine="720"/>
        <w:jc w:val="both"/>
        <w:rPr>
          <w:rFonts w:eastAsia="Times New Roman" w:cs="Times New Roman"/>
          <w:szCs w:val="24"/>
        </w:rPr>
      </w:pPr>
      <w:r w:rsidRPr="00440011">
        <w:rPr>
          <w:rFonts w:eastAsia="Times New Roman" w:cs="Times New Roman"/>
          <w:szCs w:val="24"/>
        </w:rPr>
        <w:t>Tiesa nav vērtējusi, ka Kambodžas valdība ir pieļāvusi kļūdas dokumentu noformēšanā, ko arī oficiāli atzinusi, ka muitas dienestiem tas kļuva zināms tikai pēc OLAF veiktās pārbaudes.</w:t>
      </w:r>
    </w:p>
    <w:p w:rsidR="0049462D" w:rsidRPr="00440011" w:rsidRDefault="0049462D"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Tādēļ pieteicēju aizsargā ne tikai labas ticības princips, kuru tā ir ievērojusi, aizpildot deklarācijas, bet arī tiesiskās paļāvības princips, kas izriet no Administratīvā procesa likuma </w:t>
      </w:r>
      <w:proofErr w:type="gramStart"/>
      <w:r w:rsidRPr="00440011">
        <w:rPr>
          <w:rFonts w:eastAsia="Times New Roman" w:cs="Times New Roman"/>
          <w:szCs w:val="24"/>
        </w:rPr>
        <w:t>10.panta</w:t>
      </w:r>
      <w:proofErr w:type="gramEnd"/>
      <w:r w:rsidRPr="00440011">
        <w:rPr>
          <w:rFonts w:eastAsia="Times New Roman" w:cs="Times New Roman"/>
          <w:szCs w:val="24"/>
        </w:rPr>
        <w:t xml:space="preserve"> un Muitas kodeksa 220.panta otrās daļas </w:t>
      </w:r>
      <w:r w:rsidR="00475D11" w:rsidRPr="00440011">
        <w:t>„</w:t>
      </w:r>
      <w:r w:rsidRPr="00440011">
        <w:rPr>
          <w:rFonts w:eastAsia="Times New Roman" w:cs="Times New Roman"/>
          <w:szCs w:val="24"/>
        </w:rPr>
        <w:t>b” apakšpunkta. Tiesa nav ņēmusi vērā, ka pieteicēja, ievērojot privātpersonas līdzdarbības principu, savu iespēju robežās noskaidroja minētos būtiskos apstākļus. Tāpat tiesa nav ievērojusi objektīvās izmeklēšanas principu.</w:t>
      </w:r>
    </w:p>
    <w:p w:rsidR="004023C3" w:rsidRPr="00440011" w:rsidRDefault="00C4214C"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.10] Tiesa nav ievērojusi Administratīvā procesa likuma </w:t>
      </w:r>
      <w:proofErr w:type="gramStart"/>
      <w:r w:rsidRPr="00440011">
        <w:rPr>
          <w:rFonts w:eastAsia="Times New Roman" w:cs="Times New Roman"/>
          <w:szCs w:val="24"/>
        </w:rPr>
        <w:t>15.panta</w:t>
      </w:r>
      <w:proofErr w:type="gramEnd"/>
      <w:r w:rsidRPr="00440011">
        <w:rPr>
          <w:rFonts w:eastAsia="Times New Roman" w:cs="Times New Roman"/>
          <w:szCs w:val="24"/>
        </w:rPr>
        <w:t xml:space="preserve"> 2.punktu</w:t>
      </w:r>
      <w:r w:rsidR="004023C3" w:rsidRPr="00440011">
        <w:rPr>
          <w:rFonts w:eastAsia="Times New Roman" w:cs="Times New Roman"/>
          <w:szCs w:val="24"/>
        </w:rPr>
        <w:t>, tas ir, juridiskās obstrukcijas aizliegumu.</w:t>
      </w:r>
    </w:p>
    <w:p w:rsidR="00C4214C" w:rsidRPr="00440011" w:rsidRDefault="00C4214C"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Tiesa nav pareizi piemērojusi Muitas kodeksa 220.panta 2.punkta </w:t>
      </w:r>
      <w:r w:rsidR="00475D11" w:rsidRPr="00440011">
        <w:t>„</w:t>
      </w:r>
      <w:r w:rsidRPr="00440011">
        <w:rPr>
          <w:rFonts w:eastAsia="Times New Roman" w:cs="Times New Roman"/>
          <w:szCs w:val="24"/>
        </w:rPr>
        <w:t xml:space="preserve">b” apakšpunktu, jo spriedumā nav Muitas kodeksa 236.panta </w:t>
      </w:r>
      <w:r w:rsidR="004F0298" w:rsidRPr="00440011">
        <w:rPr>
          <w:rFonts w:eastAsia="Times New Roman" w:cs="Times New Roman"/>
          <w:szCs w:val="24"/>
        </w:rPr>
        <w:t>1.pu</w:t>
      </w:r>
      <w:r w:rsidRPr="00440011">
        <w:rPr>
          <w:rFonts w:eastAsia="Times New Roman" w:cs="Times New Roman"/>
          <w:szCs w:val="24"/>
        </w:rPr>
        <w:t>nkta, 293. un 250.panta vērtējum</w:t>
      </w:r>
      <w:r w:rsidR="004023C3" w:rsidRPr="00440011">
        <w:rPr>
          <w:rFonts w:eastAsia="Times New Roman" w:cs="Times New Roman"/>
          <w:szCs w:val="24"/>
        </w:rPr>
        <w:t>a</w:t>
      </w:r>
      <w:r w:rsidRPr="00440011">
        <w:rPr>
          <w:rFonts w:eastAsia="Times New Roman" w:cs="Times New Roman"/>
          <w:szCs w:val="24"/>
        </w:rPr>
        <w:t>.</w:t>
      </w:r>
    </w:p>
    <w:p w:rsidR="00C4214C" w:rsidRPr="00440011" w:rsidRDefault="00C4214C"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Dienests savā mājaslapā sadaļā </w:t>
      </w:r>
      <w:r w:rsidR="00034F3C" w:rsidRPr="00440011">
        <w:t>„</w:t>
      </w:r>
      <w:r w:rsidRPr="00440011">
        <w:rPr>
          <w:rFonts w:eastAsia="Times New Roman" w:cs="Times New Roman"/>
          <w:szCs w:val="24"/>
        </w:rPr>
        <w:t>Nodokļu atmaksa</w:t>
      </w:r>
      <w:r w:rsidR="00034F3C" w:rsidRPr="00440011">
        <w:rPr>
          <w:rFonts w:eastAsia="Times New Roman" w:cs="Times New Roman"/>
          <w:szCs w:val="24"/>
        </w:rPr>
        <w:t>”</w:t>
      </w:r>
      <w:r w:rsidRPr="00440011">
        <w:rPr>
          <w:rFonts w:eastAsia="Times New Roman" w:cs="Times New Roman"/>
          <w:szCs w:val="24"/>
        </w:rPr>
        <w:t xml:space="preserve"> ir norādījis</w:t>
      </w:r>
      <w:r w:rsidR="003B39DC" w:rsidRPr="00440011">
        <w:rPr>
          <w:rFonts w:eastAsia="Times New Roman" w:cs="Times New Roman"/>
          <w:szCs w:val="24"/>
        </w:rPr>
        <w:t>, ka muitas iestāde</w:t>
      </w:r>
      <w:r w:rsidR="00923E37" w:rsidRPr="00440011">
        <w:rPr>
          <w:rFonts w:eastAsia="Times New Roman" w:cs="Times New Roman"/>
          <w:szCs w:val="24"/>
        </w:rPr>
        <w:t>, ja</w:t>
      </w:r>
      <w:r w:rsidR="003B39DC" w:rsidRPr="00440011">
        <w:rPr>
          <w:rFonts w:eastAsia="Times New Roman" w:cs="Times New Roman"/>
          <w:szCs w:val="24"/>
        </w:rPr>
        <w:t xml:space="preserve"> pati trīs gadu laikā atklājusi, ka pastāv kādi no minētajiem apstākļiem, atmaksā vai atlaiž </w:t>
      </w:r>
      <w:r w:rsidR="003B39DC" w:rsidRPr="00440011">
        <w:rPr>
          <w:rFonts w:eastAsia="Times New Roman" w:cs="Times New Roman"/>
          <w:szCs w:val="24"/>
        </w:rPr>
        <w:lastRenderedPageBreak/>
        <w:t>nodokļus pēc savas iniciatīvas. Atmaksu vai atlaišanu neveic, ja par pamatu summas samaksai vai iegrāmatošanai, kura nebija likumīgi jāmaksā, bijusi attiecīgās personas apzināta rīcība.</w:t>
      </w:r>
    </w:p>
    <w:p w:rsidR="004023C3" w:rsidRPr="00440011" w:rsidRDefault="004023C3" w:rsidP="00C0609B">
      <w:pPr>
        <w:spacing w:after="0"/>
        <w:ind w:left="23" w:right="23" w:firstLine="720"/>
        <w:jc w:val="both"/>
        <w:rPr>
          <w:rFonts w:eastAsia="Times New Roman" w:cs="Times New Roman"/>
          <w:szCs w:val="24"/>
        </w:rPr>
      </w:pPr>
      <w:r w:rsidRPr="00440011">
        <w:rPr>
          <w:rFonts w:eastAsia="Times New Roman" w:cs="Times New Roman"/>
          <w:szCs w:val="24"/>
        </w:rPr>
        <w:t>Iestāde bija informēta par Komisijas pieņemto lēmumu attiecībā uz OLAF konstatēto par preču izejvielu izcelsmes apliecinājumu A veidlapu un pieņemto lēmumu šajā jautājumā attiecībā uz Somijas komersantu. Iestādei bija jāņem vērā Muitas kodeksa 905.</w:t>
      </w:r>
      <w:r w:rsidR="00EA0A14" w:rsidRPr="00440011">
        <w:rPr>
          <w:rFonts w:eastAsia="Times New Roman" w:cs="Times New Roman"/>
          <w:szCs w:val="24"/>
        </w:rPr>
        <w:t>–</w:t>
      </w:r>
      <w:r w:rsidRPr="00440011">
        <w:rPr>
          <w:rFonts w:eastAsia="Times New Roman" w:cs="Times New Roman"/>
          <w:szCs w:val="24"/>
        </w:rPr>
        <w:t xml:space="preserve">908.pantā noteiktais un tas, ka Komisija jau pieņēmusi lēmumu lietā, kura skar līdzīgus faktiskos un tiesiskos apstākļus, un jāatlaiž nodokļi pēc savas iniciatīvas. </w:t>
      </w:r>
      <w:r w:rsidR="00923E37" w:rsidRPr="00440011">
        <w:rPr>
          <w:rFonts w:eastAsia="Times New Roman" w:cs="Times New Roman"/>
          <w:szCs w:val="24"/>
        </w:rPr>
        <w:t>N</w:t>
      </w:r>
      <w:r w:rsidRPr="00440011">
        <w:rPr>
          <w:rFonts w:eastAsia="Times New Roman" w:cs="Times New Roman"/>
          <w:szCs w:val="24"/>
        </w:rPr>
        <w:t xml:space="preserve">av ņemts vērā </w:t>
      </w:r>
      <w:r w:rsidR="00B06E7C" w:rsidRPr="00440011">
        <w:rPr>
          <w:rFonts w:eastAsia="Times New Roman" w:cs="Times New Roman"/>
          <w:szCs w:val="24"/>
        </w:rPr>
        <w:t>Muitas kodeksa</w:t>
      </w:r>
      <w:r w:rsidRPr="00440011">
        <w:rPr>
          <w:rFonts w:eastAsia="Times New Roman" w:cs="Times New Roman"/>
          <w:szCs w:val="24"/>
        </w:rPr>
        <w:t xml:space="preserve"> 236.panta 2.punkts, 243.pants, 250.pants.</w:t>
      </w:r>
    </w:p>
    <w:p w:rsidR="004023C3" w:rsidRPr="00440011" w:rsidRDefault="004023C3"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Tiesa ir nonākusi pie nepareiziem secinājumiem, jo nav piemērojusi </w:t>
      </w:r>
      <w:r w:rsidR="00B06E7C" w:rsidRPr="00440011">
        <w:rPr>
          <w:rFonts w:eastAsia="Times New Roman" w:cs="Times New Roman"/>
          <w:szCs w:val="24"/>
        </w:rPr>
        <w:t xml:space="preserve">Muitas kodeksa īstenošanas regulas </w:t>
      </w:r>
      <w:r w:rsidRPr="00440011">
        <w:rPr>
          <w:rFonts w:eastAsia="Times New Roman" w:cs="Times New Roman"/>
          <w:szCs w:val="24"/>
        </w:rPr>
        <w:t>905., 906., 907., 908</w:t>
      </w:r>
      <w:r w:rsidR="00B06E7C" w:rsidRPr="00440011">
        <w:rPr>
          <w:rFonts w:eastAsia="Times New Roman" w:cs="Times New Roman"/>
          <w:szCs w:val="24"/>
        </w:rPr>
        <w:t>. un</w:t>
      </w:r>
      <w:r w:rsidRPr="00440011">
        <w:rPr>
          <w:rFonts w:eastAsia="Times New Roman" w:cs="Times New Roman"/>
          <w:szCs w:val="24"/>
        </w:rPr>
        <w:t xml:space="preserve"> 915.pantu, kur noteikti detalizēti šīs procedūras izpildes nosacījumi katram konkrētam gadījumam.</w:t>
      </w:r>
    </w:p>
    <w:p w:rsidR="00EC7BD8" w:rsidRPr="00440011" w:rsidRDefault="00EC7BD8"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.11] Tiesa norāda, ka pieteicēja noteiktajā kārtībā un termiņā nav lūgusi Muitas pārvaldei uzsākt muitas nodokļu atlaišanas procedūru, tas ir, nav iesniegusi atlaišanas pieteikumu un to pamatojošus dokumentus, bet pieteicējas atsaukšanās uz Eiropas Komisijas lēmumu Somijas komersantu lietā, kurā lemts par muitas nodokļu iegrāmatošanu neveikšanu, pastāvot Muitas kodeksa 220.panta 2.punkta </w:t>
      </w:r>
      <w:r w:rsidR="00475D11" w:rsidRPr="00440011">
        <w:t>„</w:t>
      </w:r>
      <w:r w:rsidRPr="00440011">
        <w:rPr>
          <w:rFonts w:eastAsia="Times New Roman" w:cs="Times New Roman"/>
          <w:szCs w:val="24"/>
        </w:rPr>
        <w:t xml:space="preserve">b” apakšpunktā minētajiem apstākļiem, nav pamatota. </w:t>
      </w:r>
    </w:p>
    <w:p w:rsidR="00EC7BD8" w:rsidRPr="00440011" w:rsidRDefault="00EC7BD8"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Tiesa ir pārkāpusi Administratīvā procesa likuma </w:t>
      </w:r>
      <w:proofErr w:type="gramStart"/>
      <w:r w:rsidRPr="00440011">
        <w:rPr>
          <w:rFonts w:eastAsia="Times New Roman" w:cs="Times New Roman"/>
          <w:szCs w:val="24"/>
        </w:rPr>
        <w:t>76.pantā</w:t>
      </w:r>
      <w:proofErr w:type="gramEnd"/>
      <w:r w:rsidRPr="00440011">
        <w:rPr>
          <w:rFonts w:eastAsia="Times New Roman" w:cs="Times New Roman"/>
          <w:szCs w:val="24"/>
        </w:rPr>
        <w:t xml:space="preserve"> ietverto principu, ka pieteicējai bija tiesības pārsūdzēt dienesta lēmumu tiesā.</w:t>
      </w:r>
    </w:p>
    <w:p w:rsidR="00EC7BD8" w:rsidRPr="00440011" w:rsidRDefault="00EC7BD8"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Tiesa nav izvērtējusi pierādījumu, ka minētos apstākļus jau ir vērtējusi Eiropas Komisija </w:t>
      </w:r>
      <w:proofErr w:type="gramStart"/>
      <w:r w:rsidRPr="00440011">
        <w:rPr>
          <w:rFonts w:eastAsia="Times New Roman" w:cs="Times New Roman"/>
          <w:szCs w:val="24"/>
        </w:rPr>
        <w:t>2012.gada</w:t>
      </w:r>
      <w:proofErr w:type="gramEnd"/>
      <w:r w:rsidRPr="00440011">
        <w:rPr>
          <w:rFonts w:eastAsia="Times New Roman" w:cs="Times New Roman"/>
          <w:szCs w:val="24"/>
        </w:rPr>
        <w:t xml:space="preserve"> 30.novembra lēmumā lietā Nr.</w:t>
      </w:r>
      <w:r w:rsidR="004F0298" w:rsidRPr="00440011">
        <w:rPr>
          <w:rFonts w:eastAsia="Times New Roman" w:cs="Times New Roman"/>
          <w:szCs w:val="24"/>
        </w:rPr>
        <w:t> </w:t>
      </w:r>
      <w:r w:rsidRPr="00440011">
        <w:rPr>
          <w:rFonts w:eastAsia="Times New Roman" w:cs="Times New Roman"/>
          <w:szCs w:val="24"/>
        </w:rPr>
        <w:t xml:space="preserve">C920128694 sakarā ar Somijas uzņēmuma eksportētiem velosipēdiem no Kambodžas uzņēmuma </w:t>
      </w:r>
      <w:r w:rsidR="00475D11" w:rsidRPr="00440011">
        <w:t>„</w:t>
      </w:r>
      <w:proofErr w:type="spellStart"/>
      <w:r w:rsidRPr="00440011">
        <w:rPr>
          <w:rFonts w:eastAsia="Times New Roman" w:cs="Times New Roman"/>
          <w:szCs w:val="24"/>
        </w:rPr>
        <w:t>Atlantic</w:t>
      </w:r>
      <w:proofErr w:type="spellEnd"/>
      <w:r w:rsidRPr="00440011">
        <w:rPr>
          <w:rFonts w:eastAsia="Times New Roman" w:cs="Times New Roman"/>
          <w:szCs w:val="24"/>
        </w:rPr>
        <w:t xml:space="preserve"> </w:t>
      </w:r>
      <w:proofErr w:type="spellStart"/>
      <w:r w:rsidRPr="00440011">
        <w:rPr>
          <w:rFonts w:eastAsia="Times New Roman" w:cs="Times New Roman"/>
          <w:szCs w:val="24"/>
        </w:rPr>
        <w:t>Cycle</w:t>
      </w:r>
      <w:proofErr w:type="spellEnd"/>
      <w:r w:rsidRPr="00440011">
        <w:rPr>
          <w:rFonts w:eastAsia="Times New Roman" w:cs="Times New Roman"/>
          <w:szCs w:val="24"/>
        </w:rPr>
        <w:t xml:space="preserve"> Co</w:t>
      </w:r>
      <w:r w:rsidR="004F0298" w:rsidRPr="00440011">
        <w:rPr>
          <w:rFonts w:eastAsia="Times New Roman" w:cs="Times New Roman"/>
          <w:szCs w:val="24"/>
        </w:rPr>
        <w:t>.</w:t>
      </w:r>
      <w:r w:rsidRPr="00440011">
        <w:rPr>
          <w:rFonts w:eastAsia="Times New Roman" w:cs="Times New Roman"/>
          <w:szCs w:val="24"/>
        </w:rPr>
        <w:t xml:space="preserve"> </w:t>
      </w:r>
      <w:proofErr w:type="spellStart"/>
      <w:r w:rsidRPr="00440011">
        <w:rPr>
          <w:rFonts w:eastAsia="Times New Roman" w:cs="Times New Roman"/>
          <w:szCs w:val="24"/>
        </w:rPr>
        <w:t>Ltd</w:t>
      </w:r>
      <w:proofErr w:type="spellEnd"/>
      <w:r w:rsidRPr="00440011">
        <w:rPr>
          <w:rFonts w:eastAsia="Times New Roman" w:cs="Times New Roman"/>
          <w:szCs w:val="24"/>
        </w:rPr>
        <w:t>.”, tas ir, gan faktisko, gan tiesisko apstākļu ziņā salīdzināmā lietā.</w:t>
      </w:r>
    </w:p>
    <w:p w:rsidR="00EC7BD8" w:rsidRPr="00440011" w:rsidRDefault="001339D3" w:rsidP="00C0609B">
      <w:pPr>
        <w:spacing w:after="0"/>
        <w:ind w:left="23" w:right="23" w:firstLine="720"/>
        <w:jc w:val="both"/>
        <w:rPr>
          <w:rFonts w:eastAsia="Times New Roman" w:cs="Times New Roman"/>
          <w:szCs w:val="24"/>
        </w:rPr>
      </w:pPr>
      <w:r w:rsidRPr="00440011">
        <w:rPr>
          <w:rFonts w:eastAsia="Times New Roman" w:cs="Times New Roman"/>
          <w:szCs w:val="24"/>
        </w:rPr>
        <w:t>[4</w:t>
      </w:r>
      <w:r w:rsidR="00EC7BD8" w:rsidRPr="00440011">
        <w:rPr>
          <w:rFonts w:eastAsia="Times New Roman" w:cs="Times New Roman"/>
          <w:szCs w:val="24"/>
        </w:rPr>
        <w:t>.12] Tiesa nav izvērtējusi apstākli, vai pieteicēja Eiropas Komisijai būtu varējusi iesniegt pierādījumus, kas nav identiski tiem pierādījumiem, kas iesniegti tiesai.</w:t>
      </w:r>
      <w:r w:rsidR="00AB35BB" w:rsidRPr="00440011">
        <w:rPr>
          <w:rFonts w:eastAsia="Times New Roman" w:cs="Times New Roman"/>
          <w:szCs w:val="24"/>
        </w:rPr>
        <w:t xml:space="preserve"> Proti, vai pieteicēja muitas iestādei ir iesniegusi visu informāciju, ko paredz Eiropas Savienības un nacionālās tiesību normas, kurus pieteicēja varēja saprātīgi iegūt </w:t>
      </w:r>
      <w:r w:rsidR="00E207DB" w:rsidRPr="00440011">
        <w:rPr>
          <w:rFonts w:eastAsia="Times New Roman" w:cs="Times New Roman"/>
          <w:szCs w:val="24"/>
        </w:rPr>
        <w:t>un iesniegt; vai pieteicēja rīkojās labā ticībā, sniedzot informāciju, vai sniegtā informācija ir nepatiesa un nepilnīga, vai ir vienīgā informācija, ko tā saprātīgi varēja iegūt un zināt.</w:t>
      </w:r>
      <w:r w:rsidR="00AB35BB" w:rsidRPr="00440011">
        <w:rPr>
          <w:rFonts w:eastAsia="Times New Roman" w:cs="Times New Roman"/>
          <w:szCs w:val="24"/>
        </w:rPr>
        <w:t xml:space="preserve"> </w:t>
      </w:r>
    </w:p>
    <w:p w:rsidR="00E207DB" w:rsidRPr="00440011" w:rsidRDefault="00E207DB"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.13] Tiesa nav izvērtējusi apstākli, ka dienests vispār nav meklējis pierādījumus un pamatojis, ka pieteicēja faktiskajā situācijā ir atbildīga par to, ka visi preferenču režīma nosacījumi netika izpildīti, nav pārbaudījusi faktus, pierādījumus un apgalvojumus, uz kuriem atsaucas lēmumā. Jāņem vērā Administratīvā procesa likuma </w:t>
      </w:r>
      <w:proofErr w:type="gramStart"/>
      <w:r w:rsidRPr="00440011">
        <w:rPr>
          <w:rFonts w:eastAsia="Times New Roman" w:cs="Times New Roman"/>
          <w:szCs w:val="24"/>
        </w:rPr>
        <w:t>10.pants</w:t>
      </w:r>
      <w:proofErr w:type="gramEnd"/>
      <w:r w:rsidRPr="00440011">
        <w:rPr>
          <w:rFonts w:eastAsia="Times New Roman" w:cs="Times New Roman"/>
          <w:szCs w:val="24"/>
        </w:rPr>
        <w:t xml:space="preserve">, Muitas kodeksa 220.panta 2.punkta </w:t>
      </w:r>
      <w:r w:rsidR="00475D11" w:rsidRPr="00440011">
        <w:t>„</w:t>
      </w:r>
      <w:r w:rsidRPr="00440011">
        <w:rPr>
          <w:rFonts w:eastAsia="Times New Roman" w:cs="Times New Roman"/>
          <w:szCs w:val="24"/>
        </w:rPr>
        <w:t>b” apakšpunkts, 236.panta 1.punkts.</w:t>
      </w:r>
    </w:p>
    <w:p w:rsidR="00E207DB" w:rsidRPr="00440011" w:rsidRDefault="00E207DB"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Eiropas Savienības Tiesa </w:t>
      </w:r>
      <w:proofErr w:type="gramStart"/>
      <w:r w:rsidRPr="00440011">
        <w:rPr>
          <w:rFonts w:eastAsia="Times New Roman" w:cs="Times New Roman"/>
          <w:szCs w:val="24"/>
        </w:rPr>
        <w:t>2006.gada</w:t>
      </w:r>
      <w:proofErr w:type="gramEnd"/>
      <w:r w:rsidRPr="00440011">
        <w:rPr>
          <w:rFonts w:eastAsia="Times New Roman" w:cs="Times New Roman"/>
          <w:szCs w:val="24"/>
        </w:rPr>
        <w:t xml:space="preserve"> 9.marta sprieduma lietā C-293/04 39.punktā ir norādījusi, ka saskaņā ar tradicionālajiem pierādīšanas pienākuma sadales noteikumiem muitas dienestiem, kas grib pamatot vēlāku piedziņu, ir pienākums iesniegt pierādījumus, ka sertifikāti ir izdoti nepareizi, tāpēc, ka eksportētājs ir sniedzis nepareizus faktus.</w:t>
      </w:r>
    </w:p>
    <w:p w:rsidR="00E207DB" w:rsidRPr="00440011" w:rsidRDefault="00E207DB"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.14] </w:t>
      </w:r>
      <w:r w:rsidR="00C02194" w:rsidRPr="00440011">
        <w:rPr>
          <w:rFonts w:eastAsia="Times New Roman" w:cs="Times New Roman"/>
          <w:szCs w:val="24"/>
        </w:rPr>
        <w:t>Tiesa nav vērtējusi, ka dienesta lēmumā nav norādīti lietderības apsvērumi. Iestāde, izdodot administratīvo aktu, nav apsvērusi tā izdošanas vai satura lietderību.</w:t>
      </w:r>
    </w:p>
    <w:p w:rsidR="00631B7F" w:rsidRPr="00440011" w:rsidRDefault="00C02194" w:rsidP="00EA0A14">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 xml:space="preserve">.15] Tiesa nav ņēmusi vērā judikatūru, uz kuru savos paskaidrojumos norādīja pieteicēja. </w:t>
      </w:r>
      <w:r w:rsidR="00EA0A14" w:rsidRPr="00440011">
        <w:rPr>
          <w:rFonts w:eastAsia="Times New Roman" w:cs="Times New Roman"/>
          <w:szCs w:val="24"/>
        </w:rPr>
        <w:t xml:space="preserve">Proti, Eiropas Savienības Tiesas nolēmumus lietās </w:t>
      </w:r>
      <w:r w:rsidRPr="00440011">
        <w:rPr>
          <w:rFonts w:eastAsia="Times New Roman" w:cs="Times New Roman"/>
          <w:szCs w:val="24"/>
        </w:rPr>
        <w:t xml:space="preserve">C-314/87 un </w:t>
      </w:r>
      <w:r w:rsidR="00343DAB" w:rsidRPr="00440011">
        <w:rPr>
          <w:rFonts w:eastAsia="Times New Roman" w:cs="Times New Roman"/>
          <w:szCs w:val="24"/>
        </w:rPr>
        <w:t>C-370/96</w:t>
      </w:r>
      <w:r w:rsidR="00EA0A14" w:rsidRPr="00440011">
        <w:rPr>
          <w:rFonts w:eastAsia="Times New Roman" w:cs="Times New Roman"/>
          <w:szCs w:val="24"/>
        </w:rPr>
        <w:t xml:space="preserve">, </w:t>
      </w:r>
      <w:r w:rsidR="00343DAB" w:rsidRPr="00440011">
        <w:rPr>
          <w:rFonts w:eastAsia="Times New Roman" w:cs="Times New Roman"/>
          <w:szCs w:val="24"/>
        </w:rPr>
        <w:t>C-348/89, C-173/06, C-153/94 un C-204/94</w:t>
      </w:r>
      <w:r w:rsidR="00EA0A14" w:rsidRPr="00440011">
        <w:rPr>
          <w:rFonts w:eastAsia="Times New Roman" w:cs="Times New Roman"/>
          <w:szCs w:val="24"/>
        </w:rPr>
        <w:t>,</w:t>
      </w:r>
      <w:r w:rsidR="00343DAB" w:rsidRPr="00440011">
        <w:rPr>
          <w:rFonts w:eastAsia="Times New Roman" w:cs="Times New Roman"/>
          <w:szCs w:val="24"/>
        </w:rPr>
        <w:t xml:space="preserve"> </w:t>
      </w:r>
      <w:r w:rsidR="00837674" w:rsidRPr="00440011">
        <w:rPr>
          <w:rFonts w:eastAsia="Times New Roman" w:cs="Times New Roman"/>
          <w:szCs w:val="24"/>
        </w:rPr>
        <w:t>Administratīvās apgabaltiesas spriedum</w:t>
      </w:r>
      <w:r w:rsidR="00EA0A14" w:rsidRPr="00440011">
        <w:rPr>
          <w:rFonts w:eastAsia="Times New Roman" w:cs="Times New Roman"/>
          <w:szCs w:val="24"/>
        </w:rPr>
        <w:t>us</w:t>
      </w:r>
      <w:r w:rsidR="00837674" w:rsidRPr="00440011">
        <w:rPr>
          <w:rFonts w:eastAsia="Times New Roman" w:cs="Times New Roman"/>
          <w:szCs w:val="24"/>
        </w:rPr>
        <w:t xml:space="preserve"> lietā</w:t>
      </w:r>
      <w:r w:rsidR="00EA0A14" w:rsidRPr="00440011">
        <w:rPr>
          <w:rFonts w:eastAsia="Times New Roman" w:cs="Times New Roman"/>
          <w:szCs w:val="24"/>
        </w:rPr>
        <w:t>s</w:t>
      </w:r>
      <w:r w:rsidR="00837674" w:rsidRPr="00440011">
        <w:rPr>
          <w:rFonts w:eastAsia="Times New Roman" w:cs="Times New Roman"/>
          <w:szCs w:val="24"/>
        </w:rPr>
        <w:t xml:space="preserve"> </w:t>
      </w:r>
      <w:r w:rsidR="00837674" w:rsidRPr="00440011">
        <w:rPr>
          <w:rFonts w:eastAsia="Times New Roman" w:cs="Times New Roman"/>
          <w:szCs w:val="24"/>
        </w:rPr>
        <w:lastRenderedPageBreak/>
        <w:t>Nr.</w:t>
      </w:r>
      <w:r w:rsidR="004F0298" w:rsidRPr="00440011">
        <w:rPr>
          <w:rFonts w:eastAsia="Times New Roman" w:cs="Times New Roman"/>
          <w:szCs w:val="24"/>
        </w:rPr>
        <w:t> </w:t>
      </w:r>
      <w:r w:rsidR="00837674" w:rsidRPr="00440011">
        <w:rPr>
          <w:rFonts w:eastAsia="Times New Roman" w:cs="Times New Roman"/>
          <w:szCs w:val="24"/>
        </w:rPr>
        <w:t xml:space="preserve">A420728710 </w:t>
      </w:r>
      <w:r w:rsidR="00EA0A14" w:rsidRPr="00440011">
        <w:rPr>
          <w:rFonts w:eastAsia="Times New Roman" w:cs="Times New Roman"/>
          <w:szCs w:val="24"/>
        </w:rPr>
        <w:t>un</w:t>
      </w:r>
      <w:r w:rsidR="00837674" w:rsidRPr="00440011">
        <w:rPr>
          <w:rFonts w:eastAsia="Times New Roman" w:cs="Times New Roman"/>
          <w:szCs w:val="24"/>
        </w:rPr>
        <w:t xml:space="preserve"> Nr.</w:t>
      </w:r>
      <w:r w:rsidR="004F0298" w:rsidRPr="00440011">
        <w:rPr>
          <w:rFonts w:eastAsia="Times New Roman" w:cs="Times New Roman"/>
          <w:szCs w:val="24"/>
        </w:rPr>
        <w:t> </w:t>
      </w:r>
      <w:r w:rsidR="00837674" w:rsidRPr="00440011">
        <w:rPr>
          <w:rFonts w:eastAsia="Times New Roman" w:cs="Times New Roman"/>
          <w:szCs w:val="24"/>
        </w:rPr>
        <w:t>A420820010</w:t>
      </w:r>
      <w:r w:rsidR="00EA0A14" w:rsidRPr="00440011">
        <w:rPr>
          <w:rFonts w:eastAsia="Times New Roman" w:cs="Times New Roman"/>
          <w:szCs w:val="24"/>
        </w:rPr>
        <w:t xml:space="preserve">, </w:t>
      </w:r>
      <w:r w:rsidR="00AB53BB" w:rsidRPr="00440011">
        <w:rPr>
          <w:rFonts w:eastAsia="Times New Roman" w:cs="Times New Roman"/>
          <w:szCs w:val="24"/>
        </w:rPr>
        <w:t>Administratīvās rajona tiesas spriedum</w:t>
      </w:r>
      <w:r w:rsidR="00EA0A14" w:rsidRPr="00440011">
        <w:rPr>
          <w:rFonts w:eastAsia="Times New Roman" w:cs="Times New Roman"/>
          <w:szCs w:val="24"/>
        </w:rPr>
        <w:t>u</w:t>
      </w:r>
      <w:r w:rsidR="00AB53BB" w:rsidRPr="00440011">
        <w:rPr>
          <w:rFonts w:eastAsia="Times New Roman" w:cs="Times New Roman"/>
          <w:szCs w:val="24"/>
        </w:rPr>
        <w:t xml:space="preserve"> lietā Nr.</w:t>
      </w:r>
      <w:r w:rsidR="004F0298" w:rsidRPr="00440011">
        <w:rPr>
          <w:rFonts w:eastAsia="Times New Roman" w:cs="Times New Roman"/>
          <w:szCs w:val="24"/>
        </w:rPr>
        <w:t> </w:t>
      </w:r>
      <w:r w:rsidR="00AB53BB" w:rsidRPr="00440011">
        <w:rPr>
          <w:rFonts w:eastAsia="Times New Roman" w:cs="Times New Roman"/>
          <w:szCs w:val="24"/>
        </w:rPr>
        <w:t>420824610</w:t>
      </w:r>
      <w:r w:rsidR="00EA0A14" w:rsidRPr="00440011">
        <w:rPr>
          <w:rFonts w:eastAsia="Times New Roman" w:cs="Times New Roman"/>
          <w:szCs w:val="24"/>
        </w:rPr>
        <w:t>.</w:t>
      </w:r>
      <w:r w:rsidR="00AB53BB" w:rsidRPr="00440011">
        <w:rPr>
          <w:rFonts w:eastAsia="Times New Roman" w:cs="Times New Roman"/>
          <w:szCs w:val="24"/>
        </w:rPr>
        <w:t xml:space="preserve"> </w:t>
      </w:r>
    </w:p>
    <w:p w:rsidR="00104816" w:rsidRPr="00440011" w:rsidRDefault="00104816"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.1</w:t>
      </w:r>
      <w:r w:rsidR="00EA0A14" w:rsidRPr="00440011">
        <w:rPr>
          <w:rFonts w:eastAsia="Times New Roman" w:cs="Times New Roman"/>
          <w:szCs w:val="24"/>
        </w:rPr>
        <w:t>6</w:t>
      </w:r>
      <w:r w:rsidRPr="00440011">
        <w:rPr>
          <w:rFonts w:eastAsia="Times New Roman" w:cs="Times New Roman"/>
          <w:szCs w:val="24"/>
        </w:rPr>
        <w:t xml:space="preserve">] Iestāde paskaidrojumā norādījusi, ka Muitas pārvalde nav veikusi pasākumus, lai noskaidrotu, vai pieteicēja varēja vai nevarēja konstatēt šo kļūdu, jo nav saņemts pieteicējas pieteikums, kā to paredz </w:t>
      </w:r>
      <w:r w:rsidR="006F000B" w:rsidRPr="00440011">
        <w:rPr>
          <w:rFonts w:eastAsia="Times New Roman" w:cs="Times New Roman"/>
          <w:szCs w:val="24"/>
        </w:rPr>
        <w:t xml:space="preserve">Muitas kodeksa īstenošanas regulas </w:t>
      </w:r>
      <w:r w:rsidRPr="00440011">
        <w:rPr>
          <w:rFonts w:eastAsia="Times New Roman" w:cs="Times New Roman"/>
          <w:szCs w:val="24"/>
        </w:rPr>
        <w:t>878. un 879.pants.</w:t>
      </w:r>
    </w:p>
    <w:p w:rsidR="00104816" w:rsidRPr="00440011" w:rsidRDefault="00104816"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Dienesta lēmumā ir skaidri norādīts, ka pieteicēja ir rīkojusies ļaunprātīgi un sniegusi nepatiesu informāciju, veicot preču deklarāciju. Var secināt, ka iestāde, pieņemot lēmumu, vispār nav pārbaudījusi faktus un pierādījumus. Jāņem vērā Administratīvā procesa likuma 9., 10. pants, </w:t>
      </w:r>
      <w:proofErr w:type="gramStart"/>
      <w:r w:rsidRPr="00440011">
        <w:rPr>
          <w:rFonts w:eastAsia="Times New Roman" w:cs="Times New Roman"/>
          <w:szCs w:val="24"/>
        </w:rPr>
        <w:t>59.panta</w:t>
      </w:r>
      <w:proofErr w:type="gramEnd"/>
      <w:r w:rsidRPr="00440011">
        <w:rPr>
          <w:rFonts w:eastAsia="Times New Roman" w:cs="Times New Roman"/>
          <w:szCs w:val="24"/>
        </w:rPr>
        <w:t xml:space="preserve"> 2. un 4.punkts, 150.pants.</w:t>
      </w:r>
    </w:p>
    <w:p w:rsidR="00104816" w:rsidRPr="00440011" w:rsidRDefault="00104816"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.1</w:t>
      </w:r>
      <w:r w:rsidR="00EA0A14" w:rsidRPr="00440011">
        <w:rPr>
          <w:rFonts w:eastAsia="Times New Roman" w:cs="Times New Roman"/>
          <w:szCs w:val="24"/>
        </w:rPr>
        <w:t>7</w:t>
      </w:r>
      <w:r w:rsidRPr="00440011">
        <w:rPr>
          <w:rFonts w:eastAsia="Times New Roman" w:cs="Times New Roman"/>
          <w:szCs w:val="24"/>
        </w:rPr>
        <w:t xml:space="preserve">] Saskaņā ar iepriekš minētajiem faktiem ir pilnīgi pierādīts, ka kompetentās iestādes ir pieļāvušas kļūdu, izsniedzot </w:t>
      </w:r>
      <w:r w:rsidR="00EB68BB" w:rsidRPr="00440011">
        <w:rPr>
          <w:rFonts w:eastAsia="Times New Roman" w:cs="Times New Roman"/>
          <w:szCs w:val="24"/>
        </w:rPr>
        <w:t xml:space="preserve">A formas </w:t>
      </w:r>
      <w:r w:rsidRPr="00440011">
        <w:rPr>
          <w:rFonts w:eastAsia="Times New Roman" w:cs="Times New Roman"/>
          <w:szCs w:val="24"/>
        </w:rPr>
        <w:t>sertifikātu, bet iestāde nav pierādījusi pretējo, ka pieteicēja ir rīkojusies ļaunprātīgi un sniegusi nepatiesu informāciju</w:t>
      </w:r>
      <w:r w:rsidR="00457F2C" w:rsidRPr="00440011">
        <w:rPr>
          <w:rFonts w:eastAsia="Times New Roman" w:cs="Times New Roman"/>
          <w:szCs w:val="24"/>
        </w:rPr>
        <w:t xml:space="preserve">, lai izvairītos no nodokļa samaksas. Tieši pretēji, balstoties uz Eiropas Komisijas lēmumā sniegto informāciju, var secināt, ka iestādei skaidri bija zināms, ka jau </w:t>
      </w:r>
      <w:proofErr w:type="gramStart"/>
      <w:r w:rsidR="00457F2C" w:rsidRPr="00440011">
        <w:rPr>
          <w:rFonts w:eastAsia="Times New Roman" w:cs="Times New Roman"/>
          <w:szCs w:val="24"/>
        </w:rPr>
        <w:t>2012.gadā</w:t>
      </w:r>
      <w:proofErr w:type="gramEnd"/>
      <w:r w:rsidR="00457F2C" w:rsidRPr="00440011">
        <w:rPr>
          <w:rFonts w:eastAsia="Times New Roman" w:cs="Times New Roman"/>
          <w:szCs w:val="24"/>
        </w:rPr>
        <w:t xml:space="preserve"> nepastāvēja strīds, ka Kambodžas atbildīgās iestādes ir pieļāvušas kļūdu, izdodot </w:t>
      </w:r>
      <w:r w:rsidR="00EB68BB" w:rsidRPr="00440011">
        <w:rPr>
          <w:rFonts w:eastAsia="Times New Roman" w:cs="Times New Roman"/>
          <w:szCs w:val="24"/>
        </w:rPr>
        <w:t xml:space="preserve">A formas </w:t>
      </w:r>
      <w:r w:rsidR="00457F2C" w:rsidRPr="00440011">
        <w:rPr>
          <w:rFonts w:eastAsia="Times New Roman" w:cs="Times New Roman"/>
          <w:szCs w:val="24"/>
        </w:rPr>
        <w:t>sertifikātu.</w:t>
      </w:r>
    </w:p>
    <w:p w:rsidR="00457F2C" w:rsidRPr="00440011" w:rsidRDefault="00457F2C"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Pr="00440011">
        <w:rPr>
          <w:rFonts w:eastAsia="Times New Roman" w:cs="Times New Roman"/>
          <w:szCs w:val="24"/>
        </w:rPr>
        <w:t>.1</w:t>
      </w:r>
      <w:r w:rsidR="00EA0A14" w:rsidRPr="00440011">
        <w:rPr>
          <w:rFonts w:eastAsia="Times New Roman" w:cs="Times New Roman"/>
          <w:szCs w:val="24"/>
        </w:rPr>
        <w:t>8</w:t>
      </w:r>
      <w:r w:rsidRPr="00440011">
        <w:rPr>
          <w:rFonts w:eastAsia="Times New Roman" w:cs="Times New Roman"/>
          <w:szCs w:val="24"/>
        </w:rPr>
        <w:t xml:space="preserve">] </w:t>
      </w:r>
      <w:r w:rsidR="002C52AC" w:rsidRPr="00440011">
        <w:rPr>
          <w:rFonts w:eastAsia="Times New Roman" w:cs="Times New Roman"/>
          <w:szCs w:val="24"/>
        </w:rPr>
        <w:t xml:space="preserve">Tiesa nav norādījusi pamatojumu tam, kā nonākusi pie slēdziena, ka </w:t>
      </w:r>
      <w:r w:rsidR="003246F5" w:rsidRPr="00440011">
        <w:rPr>
          <w:rFonts w:eastAsia="Times New Roman" w:cs="Times New Roman"/>
          <w:szCs w:val="24"/>
        </w:rPr>
        <w:t>dienestam, sakontēji pieņemtā lēmuma pamatojumā atsaucoties uz licences maksu, kas noteikta līguma pielikuma 7.punktā, bet</w:t>
      </w:r>
      <w:r w:rsidR="00251FED" w:rsidRPr="00440011">
        <w:rPr>
          <w:rFonts w:eastAsia="Times New Roman" w:cs="Times New Roman"/>
          <w:szCs w:val="24"/>
        </w:rPr>
        <w:t>,</w:t>
      </w:r>
      <w:r w:rsidR="003246F5" w:rsidRPr="00440011">
        <w:rPr>
          <w:rFonts w:eastAsia="Times New Roman" w:cs="Times New Roman"/>
          <w:szCs w:val="24"/>
        </w:rPr>
        <w:t xml:space="preserve"> minot šā līguma 7.punktu, ir</w:t>
      </w:r>
      <w:r w:rsidR="002C52AC" w:rsidRPr="00440011">
        <w:rPr>
          <w:rFonts w:eastAsia="Times New Roman" w:cs="Times New Roman"/>
          <w:szCs w:val="24"/>
        </w:rPr>
        <w:t xml:space="preserve"> </w:t>
      </w:r>
      <w:r w:rsidR="003246F5" w:rsidRPr="00440011">
        <w:rPr>
          <w:rFonts w:eastAsia="Times New Roman" w:cs="Times New Roman"/>
          <w:szCs w:val="24"/>
        </w:rPr>
        <w:t xml:space="preserve">uzskatāma </w:t>
      </w:r>
      <w:proofErr w:type="gramStart"/>
      <w:r w:rsidR="003246F5" w:rsidRPr="00440011">
        <w:rPr>
          <w:rFonts w:eastAsia="Times New Roman" w:cs="Times New Roman"/>
          <w:szCs w:val="24"/>
        </w:rPr>
        <w:t xml:space="preserve">par </w:t>
      </w:r>
      <w:r w:rsidR="002C52AC" w:rsidRPr="00440011">
        <w:rPr>
          <w:rFonts w:eastAsia="Times New Roman" w:cs="Times New Roman"/>
          <w:szCs w:val="24"/>
        </w:rPr>
        <w:t>pārrakstīšanās kļūda</w:t>
      </w:r>
      <w:proofErr w:type="gramEnd"/>
      <w:r w:rsidR="002C52AC" w:rsidRPr="00440011">
        <w:rPr>
          <w:rFonts w:eastAsia="Times New Roman" w:cs="Times New Roman"/>
          <w:szCs w:val="24"/>
        </w:rPr>
        <w:t>.</w:t>
      </w:r>
    </w:p>
    <w:p w:rsidR="002C52AC" w:rsidRPr="00440011" w:rsidRDefault="002C52AC"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4</w:t>
      </w:r>
      <w:r w:rsidR="00EA0A14" w:rsidRPr="00440011">
        <w:rPr>
          <w:rFonts w:eastAsia="Times New Roman" w:cs="Times New Roman"/>
          <w:szCs w:val="24"/>
        </w:rPr>
        <w:t>.19</w:t>
      </w:r>
      <w:r w:rsidRPr="00440011">
        <w:rPr>
          <w:rFonts w:eastAsia="Times New Roman" w:cs="Times New Roman"/>
          <w:szCs w:val="24"/>
        </w:rPr>
        <w:t xml:space="preserve">] </w:t>
      </w:r>
      <w:r w:rsidR="00E34550" w:rsidRPr="00440011">
        <w:rPr>
          <w:rFonts w:eastAsia="Times New Roman" w:cs="Times New Roman"/>
          <w:szCs w:val="24"/>
        </w:rPr>
        <w:t xml:space="preserve">Iestāde paskaidrojumos </w:t>
      </w:r>
      <w:r w:rsidR="002E5E8A" w:rsidRPr="00440011">
        <w:rPr>
          <w:rFonts w:eastAsia="Times New Roman" w:cs="Times New Roman"/>
          <w:szCs w:val="24"/>
        </w:rPr>
        <w:t xml:space="preserve">apgalvo, ka autorizētais preču licences turētājs uzņēmums </w:t>
      </w:r>
      <w:r w:rsidR="00475D11" w:rsidRPr="00440011">
        <w:t>„</w:t>
      </w:r>
      <w:proofErr w:type="spellStart"/>
      <w:r w:rsidR="002E5E8A" w:rsidRPr="00440011">
        <w:rPr>
          <w:rFonts w:eastAsia="Times New Roman" w:cs="Times New Roman"/>
          <w:szCs w:val="24"/>
        </w:rPr>
        <w:t>Hi-TEC</w:t>
      </w:r>
      <w:proofErr w:type="spellEnd"/>
      <w:r w:rsidR="002E5E8A" w:rsidRPr="00440011">
        <w:rPr>
          <w:rFonts w:eastAsia="Times New Roman" w:cs="Times New Roman"/>
          <w:szCs w:val="24"/>
        </w:rPr>
        <w:t xml:space="preserve"> Sports </w:t>
      </w:r>
      <w:proofErr w:type="spellStart"/>
      <w:r w:rsidR="002E5E8A" w:rsidRPr="00440011">
        <w:rPr>
          <w:rFonts w:eastAsia="Times New Roman" w:cs="Times New Roman"/>
          <w:szCs w:val="24"/>
        </w:rPr>
        <w:t>Interna</w:t>
      </w:r>
      <w:r w:rsidR="00591D5E" w:rsidRPr="00440011">
        <w:rPr>
          <w:rFonts w:eastAsia="Times New Roman" w:cs="Times New Roman"/>
          <w:szCs w:val="24"/>
        </w:rPr>
        <w:t>t</w:t>
      </w:r>
      <w:r w:rsidR="002E5E8A" w:rsidRPr="00440011">
        <w:rPr>
          <w:rFonts w:eastAsia="Times New Roman" w:cs="Times New Roman"/>
          <w:szCs w:val="24"/>
        </w:rPr>
        <w:t>ional</w:t>
      </w:r>
      <w:proofErr w:type="spellEnd"/>
      <w:r w:rsidR="002E5E8A" w:rsidRPr="00440011">
        <w:rPr>
          <w:rFonts w:eastAsia="Times New Roman" w:cs="Times New Roman"/>
          <w:szCs w:val="24"/>
        </w:rPr>
        <w:t xml:space="preserve"> </w:t>
      </w:r>
      <w:proofErr w:type="spellStart"/>
      <w:r w:rsidR="002E5E8A" w:rsidRPr="00440011">
        <w:rPr>
          <w:rFonts w:eastAsia="Times New Roman" w:cs="Times New Roman"/>
          <w:szCs w:val="24"/>
        </w:rPr>
        <w:t>Limited</w:t>
      </w:r>
      <w:proofErr w:type="spellEnd"/>
      <w:r w:rsidR="00591D5E" w:rsidRPr="00440011">
        <w:rPr>
          <w:rFonts w:eastAsia="Times New Roman" w:cs="Times New Roman"/>
          <w:szCs w:val="24"/>
        </w:rPr>
        <w:t>”</w:t>
      </w:r>
      <w:r w:rsidR="002E5E8A" w:rsidRPr="00440011">
        <w:rPr>
          <w:rFonts w:eastAsia="Times New Roman" w:cs="Times New Roman"/>
          <w:szCs w:val="24"/>
        </w:rPr>
        <w:t xml:space="preserve"> ar </w:t>
      </w:r>
      <w:proofErr w:type="gramStart"/>
      <w:r w:rsidR="002E5E8A" w:rsidRPr="00440011">
        <w:rPr>
          <w:rFonts w:eastAsia="Times New Roman" w:cs="Times New Roman"/>
          <w:szCs w:val="24"/>
        </w:rPr>
        <w:t>2006.gada</w:t>
      </w:r>
      <w:proofErr w:type="gramEnd"/>
      <w:r w:rsidR="002E5E8A" w:rsidRPr="00440011">
        <w:rPr>
          <w:rFonts w:eastAsia="Times New Roman" w:cs="Times New Roman"/>
          <w:szCs w:val="24"/>
        </w:rPr>
        <w:t xml:space="preserve"> 23.novembra sadarbības līgumu par licencēto zīmola preču iegādes un tirdzniecības nosacījumiem ir paredzējis preču zīmes </w:t>
      </w:r>
      <w:r w:rsidR="00475D11" w:rsidRPr="00440011">
        <w:t>„</w:t>
      </w:r>
      <w:proofErr w:type="spellStart"/>
      <w:r w:rsidR="002E5E8A" w:rsidRPr="00440011">
        <w:rPr>
          <w:rFonts w:eastAsia="Times New Roman" w:cs="Times New Roman"/>
          <w:szCs w:val="24"/>
        </w:rPr>
        <w:t>Hi-TEC”</w:t>
      </w:r>
      <w:proofErr w:type="spellEnd"/>
      <w:r w:rsidR="002E5E8A" w:rsidRPr="00440011">
        <w:rPr>
          <w:rFonts w:eastAsia="Times New Roman" w:cs="Times New Roman"/>
          <w:szCs w:val="24"/>
        </w:rPr>
        <w:t xml:space="preserve"> izmantošanas nosacījumus, nosakot gan konkrētas preces, kuras pieteicēja ir tiesīga iegādāties un izplatīt, gan arī nosakot, ka preces pieteicēja ir tiesīga iegādāties tikai no </w:t>
      </w:r>
      <w:r w:rsidR="00475D11" w:rsidRPr="00440011">
        <w:t>„</w:t>
      </w:r>
      <w:proofErr w:type="spellStart"/>
      <w:r w:rsidR="002E5E8A" w:rsidRPr="00440011">
        <w:rPr>
          <w:rFonts w:eastAsia="Times New Roman" w:cs="Times New Roman"/>
          <w:szCs w:val="24"/>
        </w:rPr>
        <w:t>Hi-TEC</w:t>
      </w:r>
      <w:proofErr w:type="spellEnd"/>
      <w:r w:rsidR="00591D5E" w:rsidRPr="00440011">
        <w:rPr>
          <w:rFonts w:eastAsia="Times New Roman" w:cs="Times New Roman"/>
          <w:szCs w:val="24"/>
        </w:rPr>
        <w:t xml:space="preserve"> Sports </w:t>
      </w:r>
      <w:proofErr w:type="spellStart"/>
      <w:r w:rsidR="00591D5E" w:rsidRPr="00440011">
        <w:rPr>
          <w:rFonts w:eastAsia="Times New Roman" w:cs="Times New Roman"/>
          <w:szCs w:val="24"/>
        </w:rPr>
        <w:t>International</w:t>
      </w:r>
      <w:proofErr w:type="spellEnd"/>
      <w:r w:rsidR="00591D5E" w:rsidRPr="00440011">
        <w:rPr>
          <w:rFonts w:eastAsia="Times New Roman" w:cs="Times New Roman"/>
          <w:szCs w:val="24"/>
        </w:rPr>
        <w:t xml:space="preserve"> </w:t>
      </w:r>
      <w:proofErr w:type="spellStart"/>
      <w:r w:rsidR="00591D5E" w:rsidRPr="00440011">
        <w:rPr>
          <w:rFonts w:eastAsia="Times New Roman" w:cs="Times New Roman"/>
          <w:szCs w:val="24"/>
        </w:rPr>
        <w:t>Limited</w:t>
      </w:r>
      <w:proofErr w:type="spellEnd"/>
      <w:r w:rsidR="002E5E8A" w:rsidRPr="00440011">
        <w:rPr>
          <w:rFonts w:eastAsia="Times New Roman" w:cs="Times New Roman"/>
          <w:szCs w:val="24"/>
        </w:rPr>
        <w:t>” meitasuzņēmumiem</w:t>
      </w:r>
      <w:r w:rsidR="00591D5E" w:rsidRPr="00440011">
        <w:rPr>
          <w:rFonts w:eastAsia="Times New Roman" w:cs="Times New Roman"/>
          <w:szCs w:val="24"/>
        </w:rPr>
        <w:t xml:space="preserve">, tas ir, </w:t>
      </w:r>
      <w:r w:rsidR="002E5E8A" w:rsidRPr="00440011">
        <w:rPr>
          <w:rFonts w:eastAsia="Times New Roman" w:cs="Times New Roman"/>
          <w:szCs w:val="24"/>
        </w:rPr>
        <w:t xml:space="preserve">no saistītiem uzņēmumiem. </w:t>
      </w:r>
    </w:p>
    <w:p w:rsidR="002E5E8A" w:rsidRPr="00440011" w:rsidRDefault="002E5E8A"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Tiesa nav izvērtējusi pieteicējas paskaidrojumus un pierādījumus, </w:t>
      </w:r>
      <w:r w:rsidR="00591D5E" w:rsidRPr="00440011">
        <w:rPr>
          <w:rFonts w:eastAsia="Times New Roman" w:cs="Times New Roman"/>
          <w:szCs w:val="24"/>
        </w:rPr>
        <w:t>vai</w:t>
      </w:r>
      <w:r w:rsidRPr="00440011">
        <w:rPr>
          <w:rFonts w:eastAsia="Times New Roman" w:cs="Times New Roman"/>
          <w:szCs w:val="24"/>
        </w:rPr>
        <w:t xml:space="preserve"> pastāv šāda vienošanās.</w:t>
      </w:r>
      <w:r w:rsidR="00591D5E" w:rsidRPr="00440011">
        <w:rPr>
          <w:rFonts w:eastAsia="Times New Roman" w:cs="Times New Roman"/>
          <w:szCs w:val="24"/>
        </w:rPr>
        <w:t xml:space="preserve"> Tāpat </w:t>
      </w:r>
      <w:r w:rsidRPr="00440011">
        <w:rPr>
          <w:rFonts w:eastAsia="Times New Roman" w:cs="Times New Roman"/>
          <w:szCs w:val="24"/>
        </w:rPr>
        <w:t xml:space="preserve">nav ņēmusi vērā </w:t>
      </w:r>
      <w:r w:rsidR="006F000B" w:rsidRPr="00440011">
        <w:rPr>
          <w:rFonts w:eastAsia="Times New Roman" w:cs="Times New Roman"/>
          <w:szCs w:val="24"/>
        </w:rPr>
        <w:t xml:space="preserve">Muitas kodeksa īstenošanas regulas </w:t>
      </w:r>
      <w:r w:rsidRPr="00440011">
        <w:rPr>
          <w:rFonts w:eastAsia="Times New Roman" w:cs="Times New Roman"/>
          <w:szCs w:val="24"/>
        </w:rPr>
        <w:t xml:space="preserve">159.pantu un nepamatoti </w:t>
      </w:r>
      <w:r w:rsidR="00591D5E" w:rsidRPr="00440011">
        <w:rPr>
          <w:rFonts w:eastAsia="Times New Roman" w:cs="Times New Roman"/>
          <w:szCs w:val="24"/>
        </w:rPr>
        <w:t xml:space="preserve">ir </w:t>
      </w:r>
      <w:r w:rsidRPr="00440011">
        <w:rPr>
          <w:rFonts w:eastAsia="Times New Roman" w:cs="Times New Roman"/>
          <w:szCs w:val="24"/>
        </w:rPr>
        <w:t xml:space="preserve">atzinusi, ka preču muitas vērtībai pieskaitāmi pieteicējas veiktie licences maksājumi. Tiesa nav vērtējusi uzņēmuma </w:t>
      </w:r>
      <w:r w:rsidR="00475D11" w:rsidRPr="00440011">
        <w:t>„</w:t>
      </w:r>
      <w:proofErr w:type="spellStart"/>
      <w:r w:rsidRPr="00440011">
        <w:rPr>
          <w:rFonts w:eastAsia="Times New Roman" w:cs="Times New Roman"/>
          <w:szCs w:val="24"/>
        </w:rPr>
        <w:t>Hi-TEC</w:t>
      </w:r>
      <w:proofErr w:type="spellEnd"/>
      <w:r w:rsidRPr="00440011">
        <w:rPr>
          <w:rFonts w:eastAsia="Times New Roman" w:cs="Times New Roman"/>
          <w:szCs w:val="24"/>
        </w:rPr>
        <w:t xml:space="preserve"> Sports </w:t>
      </w:r>
      <w:proofErr w:type="spellStart"/>
      <w:r w:rsidRPr="00440011">
        <w:rPr>
          <w:rFonts w:eastAsia="Times New Roman" w:cs="Times New Roman"/>
          <w:szCs w:val="24"/>
        </w:rPr>
        <w:t>Interna</w:t>
      </w:r>
      <w:r w:rsidR="00591D5E" w:rsidRPr="00440011">
        <w:rPr>
          <w:rFonts w:eastAsia="Times New Roman" w:cs="Times New Roman"/>
          <w:szCs w:val="24"/>
        </w:rPr>
        <w:t>t</w:t>
      </w:r>
      <w:r w:rsidRPr="00440011">
        <w:rPr>
          <w:rFonts w:eastAsia="Times New Roman" w:cs="Times New Roman"/>
          <w:szCs w:val="24"/>
        </w:rPr>
        <w:t>ional</w:t>
      </w:r>
      <w:proofErr w:type="spellEnd"/>
      <w:r w:rsidRPr="00440011">
        <w:rPr>
          <w:rFonts w:eastAsia="Times New Roman" w:cs="Times New Roman"/>
          <w:szCs w:val="24"/>
        </w:rPr>
        <w:t xml:space="preserve"> </w:t>
      </w:r>
      <w:proofErr w:type="spellStart"/>
      <w:r w:rsidRPr="00440011">
        <w:rPr>
          <w:rFonts w:eastAsia="Times New Roman" w:cs="Times New Roman"/>
          <w:szCs w:val="24"/>
        </w:rPr>
        <w:t>Limited</w:t>
      </w:r>
      <w:proofErr w:type="spellEnd"/>
      <w:r w:rsidRPr="00440011">
        <w:rPr>
          <w:rFonts w:eastAsia="Times New Roman" w:cs="Times New Roman"/>
          <w:szCs w:val="24"/>
        </w:rPr>
        <w:t xml:space="preserve">” </w:t>
      </w:r>
      <w:proofErr w:type="gramStart"/>
      <w:r w:rsidRPr="00440011">
        <w:rPr>
          <w:rFonts w:eastAsia="Times New Roman" w:cs="Times New Roman"/>
          <w:szCs w:val="24"/>
        </w:rPr>
        <w:t>2013.gada</w:t>
      </w:r>
      <w:proofErr w:type="gramEnd"/>
      <w:r w:rsidRPr="00440011">
        <w:rPr>
          <w:rFonts w:eastAsia="Times New Roman" w:cs="Times New Roman"/>
          <w:szCs w:val="24"/>
        </w:rPr>
        <w:t xml:space="preserve"> 5.novembra vēstuli, kurā apliecināts, ka 2006.gada 23.novembrī noslēgtais līgums neietver aizliegumu pieteicējai iegādāties preces ar </w:t>
      </w:r>
      <w:r w:rsidR="00475D11" w:rsidRPr="00440011">
        <w:t>„</w:t>
      </w:r>
      <w:r w:rsidRPr="00440011">
        <w:rPr>
          <w:rFonts w:eastAsia="Times New Roman" w:cs="Times New Roman"/>
          <w:szCs w:val="24"/>
        </w:rPr>
        <w:t>HI-TEC” zīmolu no citiem piegādātājiem un ka pieteicējai nav jāveic licences maksājumi par zīmola lietošanu</w:t>
      </w:r>
      <w:r w:rsidR="00336486" w:rsidRPr="00440011">
        <w:rPr>
          <w:rFonts w:eastAsia="Times New Roman" w:cs="Times New Roman"/>
          <w:szCs w:val="24"/>
        </w:rPr>
        <w:t>.</w:t>
      </w:r>
    </w:p>
    <w:p w:rsidR="00336486" w:rsidRPr="00440011" w:rsidRDefault="00336486" w:rsidP="00294F8B">
      <w:pPr>
        <w:spacing w:after="0"/>
        <w:ind w:left="20" w:right="20" w:firstLine="700"/>
        <w:jc w:val="both"/>
        <w:rPr>
          <w:rFonts w:eastAsia="Times New Roman" w:cs="Times New Roman"/>
          <w:szCs w:val="24"/>
        </w:rPr>
      </w:pPr>
    </w:p>
    <w:p w:rsidR="00336486" w:rsidRPr="00440011" w:rsidRDefault="00336486"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5</w:t>
      </w:r>
      <w:r w:rsidRPr="00440011">
        <w:rPr>
          <w:rFonts w:eastAsia="Times New Roman" w:cs="Times New Roman"/>
          <w:szCs w:val="24"/>
        </w:rPr>
        <w:t xml:space="preserve">] </w:t>
      </w:r>
      <w:r w:rsidR="00923E3D" w:rsidRPr="00440011">
        <w:rPr>
          <w:rFonts w:eastAsia="Times New Roman" w:cs="Times New Roman"/>
          <w:szCs w:val="24"/>
        </w:rPr>
        <w:t>Dienests iesniedza paskaidrojumu par kasācijas sūdzību, norādot, ka tā nav pamatota.</w:t>
      </w:r>
    </w:p>
    <w:p w:rsidR="00923E3D" w:rsidRPr="00440011" w:rsidRDefault="00923E3D" w:rsidP="00C0609B">
      <w:pPr>
        <w:spacing w:after="0"/>
        <w:ind w:left="23" w:right="23" w:firstLine="720"/>
        <w:jc w:val="both"/>
        <w:rPr>
          <w:rFonts w:eastAsia="Times New Roman" w:cs="Times New Roman"/>
          <w:szCs w:val="24"/>
        </w:rPr>
      </w:pPr>
    </w:p>
    <w:p w:rsidR="00923E3D" w:rsidRPr="00440011" w:rsidRDefault="00923E3D"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6</w:t>
      </w:r>
      <w:r w:rsidRPr="00440011">
        <w:rPr>
          <w:rFonts w:eastAsia="Times New Roman" w:cs="Times New Roman"/>
          <w:szCs w:val="24"/>
        </w:rPr>
        <w:t xml:space="preserve">] Augstākā tiesa ar </w:t>
      </w:r>
      <w:proofErr w:type="gramStart"/>
      <w:r w:rsidRPr="00440011">
        <w:rPr>
          <w:rFonts w:eastAsia="Times New Roman" w:cs="Times New Roman"/>
          <w:szCs w:val="24"/>
        </w:rPr>
        <w:t>2016.gada</w:t>
      </w:r>
      <w:proofErr w:type="gramEnd"/>
      <w:r w:rsidRPr="00440011">
        <w:rPr>
          <w:rFonts w:eastAsia="Times New Roman" w:cs="Times New Roman"/>
          <w:szCs w:val="24"/>
        </w:rPr>
        <w:t xml:space="preserve"> 15.jūlija lēmumu vērsās Eiropas Savienības Tiesā ar prejudiciāliem jautājumiem.</w:t>
      </w:r>
    </w:p>
    <w:p w:rsidR="00923E3D" w:rsidRPr="00440011" w:rsidRDefault="00923E3D" w:rsidP="00C0609B">
      <w:pPr>
        <w:spacing w:after="0"/>
        <w:ind w:left="23" w:right="23" w:firstLine="720"/>
        <w:jc w:val="both"/>
        <w:rPr>
          <w:rFonts w:eastAsia="Times New Roman" w:cs="Times New Roman"/>
          <w:szCs w:val="24"/>
        </w:rPr>
      </w:pPr>
      <w:r w:rsidRPr="00440011">
        <w:rPr>
          <w:rFonts w:eastAsia="Times New Roman" w:cs="Times New Roman"/>
          <w:szCs w:val="24"/>
        </w:rPr>
        <w:t xml:space="preserve">Eiropas Savienības Tiesa </w:t>
      </w:r>
      <w:proofErr w:type="gramStart"/>
      <w:r w:rsidRPr="00440011">
        <w:rPr>
          <w:rFonts w:eastAsia="Times New Roman" w:cs="Times New Roman"/>
          <w:szCs w:val="24"/>
        </w:rPr>
        <w:t>2017.gada</w:t>
      </w:r>
      <w:proofErr w:type="gramEnd"/>
      <w:r w:rsidRPr="00440011">
        <w:rPr>
          <w:rFonts w:eastAsia="Times New Roman" w:cs="Times New Roman"/>
          <w:szCs w:val="24"/>
        </w:rPr>
        <w:t xml:space="preserve"> 26.oktobrī taisīja spriedumu</w:t>
      </w:r>
      <w:r w:rsidR="00EA0A14" w:rsidRPr="00440011">
        <w:rPr>
          <w:rFonts w:eastAsia="Times New Roman" w:cs="Times New Roman"/>
          <w:szCs w:val="24"/>
        </w:rPr>
        <w:t xml:space="preserve"> lietā C-407/16</w:t>
      </w:r>
      <w:r w:rsidRPr="00440011">
        <w:rPr>
          <w:rFonts w:eastAsia="Times New Roman" w:cs="Times New Roman"/>
          <w:szCs w:val="24"/>
        </w:rPr>
        <w:t>, sniedzot atbildes uz prejudiciālajiem jautājumiem.</w:t>
      </w:r>
    </w:p>
    <w:p w:rsidR="00923E3D" w:rsidRPr="00440011" w:rsidRDefault="00923E3D" w:rsidP="00C0609B">
      <w:pPr>
        <w:spacing w:after="0"/>
        <w:ind w:left="23" w:right="23" w:firstLine="720"/>
        <w:jc w:val="both"/>
        <w:rPr>
          <w:rFonts w:eastAsia="Times New Roman" w:cs="Times New Roman"/>
          <w:szCs w:val="24"/>
        </w:rPr>
      </w:pPr>
    </w:p>
    <w:p w:rsidR="00923E3D" w:rsidRPr="00440011" w:rsidRDefault="00923E3D" w:rsidP="00C0609B">
      <w:pPr>
        <w:spacing w:after="0"/>
        <w:ind w:left="23" w:right="23" w:firstLine="720"/>
        <w:jc w:val="both"/>
        <w:rPr>
          <w:rFonts w:eastAsia="Times New Roman" w:cs="Times New Roman"/>
          <w:szCs w:val="24"/>
        </w:rPr>
      </w:pPr>
      <w:r w:rsidRPr="00440011">
        <w:rPr>
          <w:rFonts w:eastAsia="Times New Roman" w:cs="Times New Roman"/>
          <w:szCs w:val="24"/>
        </w:rPr>
        <w:t>[</w:t>
      </w:r>
      <w:r w:rsidR="001339D3" w:rsidRPr="00440011">
        <w:rPr>
          <w:rFonts w:eastAsia="Times New Roman" w:cs="Times New Roman"/>
          <w:szCs w:val="24"/>
        </w:rPr>
        <w:t>7</w:t>
      </w:r>
      <w:r w:rsidRPr="00440011">
        <w:rPr>
          <w:rFonts w:eastAsia="Times New Roman" w:cs="Times New Roman"/>
          <w:szCs w:val="24"/>
        </w:rPr>
        <w:t xml:space="preserve">] </w:t>
      </w:r>
      <w:r w:rsidR="00081B18" w:rsidRPr="00440011">
        <w:rPr>
          <w:rFonts w:eastAsia="Times New Roman" w:cs="Times New Roman"/>
          <w:szCs w:val="24"/>
        </w:rPr>
        <w:t>Pieteicēja iesniedza paskaidrojumu sakarā ar Eiropas Savienības Tiesas nolēmumu, norādot, ka apgabaltiesas spriedums ir atceļams.</w:t>
      </w:r>
    </w:p>
    <w:p w:rsidR="004F0298" w:rsidRPr="00440011" w:rsidRDefault="004F0298" w:rsidP="004F0298">
      <w:pPr>
        <w:spacing w:after="0"/>
        <w:ind w:left="23" w:right="23" w:firstLine="720"/>
        <w:jc w:val="both"/>
        <w:rPr>
          <w:rFonts w:eastAsia="Times New Roman" w:cs="Times New Roman"/>
          <w:szCs w:val="24"/>
        </w:rPr>
      </w:pPr>
      <w:r w:rsidRPr="00440011">
        <w:rPr>
          <w:rFonts w:eastAsia="Times New Roman" w:cs="Times New Roman"/>
          <w:szCs w:val="24"/>
        </w:rPr>
        <w:t>Dienests iesniedza paskaidrojumu sakarā ar Eiropas Savienības Tiesas nolēmumu, norādot, ka iestādes lēmums bijis pareizs.</w:t>
      </w:r>
    </w:p>
    <w:p w:rsidR="004F0298" w:rsidRPr="00440011" w:rsidRDefault="004F0298" w:rsidP="00C0609B">
      <w:pPr>
        <w:spacing w:after="0"/>
        <w:ind w:left="23" w:right="23" w:firstLine="720"/>
        <w:jc w:val="both"/>
        <w:rPr>
          <w:rFonts w:eastAsia="Times New Roman" w:cs="Times New Roman"/>
          <w:szCs w:val="24"/>
        </w:rPr>
      </w:pPr>
    </w:p>
    <w:p w:rsidR="001E538D" w:rsidRPr="00440011" w:rsidRDefault="001E538D" w:rsidP="00294F8B">
      <w:pPr>
        <w:spacing w:after="0"/>
        <w:jc w:val="center"/>
        <w:rPr>
          <w:b/>
        </w:rPr>
      </w:pPr>
      <w:r w:rsidRPr="00440011">
        <w:rPr>
          <w:b/>
        </w:rPr>
        <w:t>Motīvu daļa</w:t>
      </w:r>
    </w:p>
    <w:p w:rsidR="00C0609B" w:rsidRPr="00440011" w:rsidRDefault="00C0609B" w:rsidP="00294F8B">
      <w:pPr>
        <w:spacing w:after="0"/>
        <w:jc w:val="center"/>
        <w:rPr>
          <w:b/>
        </w:rPr>
      </w:pPr>
    </w:p>
    <w:p w:rsidR="00971BE3" w:rsidRPr="00440011" w:rsidRDefault="00971BE3" w:rsidP="00C0609B">
      <w:pPr>
        <w:pStyle w:val="NormalWeb"/>
        <w:spacing w:before="0" w:beforeAutospacing="0" w:after="0" w:afterAutospacing="0" w:line="276" w:lineRule="auto"/>
        <w:ind w:firstLine="720"/>
        <w:jc w:val="both"/>
      </w:pPr>
      <w:r w:rsidRPr="00440011">
        <w:t>[</w:t>
      </w:r>
      <w:r w:rsidR="001339D3" w:rsidRPr="00440011">
        <w:t>8</w:t>
      </w:r>
      <w:r w:rsidRPr="00440011">
        <w:t>] Muitas kodeksa 220.panta 2.punkta</w:t>
      </w:r>
      <w:r w:rsidRPr="00440011">
        <w:rPr>
          <w:b/>
        </w:rPr>
        <w:t xml:space="preserve"> </w:t>
      </w:r>
      <w:r w:rsidRPr="00440011">
        <w:t>„b” apakšpunkts noteic, ka, izņemot gadījumus, kas minēti 217.panta 1.punkta otrajā un trešajā ievilkumā, vēlāku iegrāmatošanu nedrīkst izdarīt, ja pēc</w:t>
      </w:r>
      <w:r w:rsidRPr="00440011">
        <w:rPr>
          <w:b/>
        </w:rPr>
        <w:t xml:space="preserve"> </w:t>
      </w:r>
      <w:r w:rsidRPr="00440011">
        <w:t>likuma apliekamā muitas nodokļa summa kļūdaini iegrāmatota muitas dienestu kļūdas dēļ, kuru attaisnojošu iemeslu dēļ nav varējusi atklāt persona, kas atbild par samaksu, ja pēdējā rīkojusies labticīgi un ievērojusi visus spēkā esošos noteikumus par muitas deklarāciju.</w:t>
      </w:r>
    </w:p>
    <w:p w:rsidR="001C1A9E" w:rsidRPr="00440011" w:rsidRDefault="001C1A9E" w:rsidP="00294F8B">
      <w:pPr>
        <w:pStyle w:val="NormalWeb"/>
        <w:spacing w:before="0" w:beforeAutospacing="0" w:after="0" w:afterAutospacing="0" w:line="276" w:lineRule="auto"/>
        <w:ind w:firstLine="720"/>
        <w:jc w:val="both"/>
      </w:pPr>
    </w:p>
    <w:p w:rsidR="00E9726B" w:rsidRPr="00440011" w:rsidRDefault="001C1A9E" w:rsidP="00C0609B">
      <w:pPr>
        <w:pStyle w:val="NormalWeb"/>
        <w:spacing w:before="0" w:beforeAutospacing="0" w:after="0" w:afterAutospacing="0" w:line="276" w:lineRule="auto"/>
        <w:ind w:firstLine="720"/>
        <w:jc w:val="both"/>
      </w:pPr>
      <w:r w:rsidRPr="00440011">
        <w:t>[</w:t>
      </w:r>
      <w:r w:rsidR="001339D3" w:rsidRPr="00440011">
        <w:t>9</w:t>
      </w:r>
      <w:r w:rsidRPr="00440011">
        <w:t xml:space="preserve">] </w:t>
      </w:r>
      <w:bookmarkStart w:id="0" w:name="_Hlk522192662"/>
      <w:r w:rsidR="00971BE3" w:rsidRPr="00440011">
        <w:t xml:space="preserve">Eiropas Savienības Tiesa </w:t>
      </w:r>
      <w:proofErr w:type="gramStart"/>
      <w:r w:rsidR="00971BE3" w:rsidRPr="00440011">
        <w:t>2017.gada</w:t>
      </w:r>
      <w:proofErr w:type="gramEnd"/>
      <w:r w:rsidR="00971BE3" w:rsidRPr="00440011">
        <w:t xml:space="preserve"> 16.marta spriedumā lietā C-47/16 </w:t>
      </w:r>
      <w:bookmarkEnd w:id="0"/>
      <w:r w:rsidR="00971BE3" w:rsidRPr="00440011">
        <w:t>norādījusi, ka Muitas kodeksa 220.panta 2.punkta</w:t>
      </w:r>
      <w:r w:rsidR="00971BE3" w:rsidRPr="00440011">
        <w:rPr>
          <w:b/>
        </w:rPr>
        <w:t xml:space="preserve"> </w:t>
      </w:r>
      <w:r w:rsidR="00971BE3" w:rsidRPr="00440011">
        <w:t>„b” apakšpunkta mērķis ir aizsargāt personas, kas atbildīga par nodokļa samaksu, tiesisko paļāvību saistībā ar to, ka visi apstākļi un kritēriji, uz kuriem ir balstīts lēmums atgūt vai neatgūt muitas nodokļus, ir pamatoti (</w:t>
      </w:r>
      <w:r w:rsidR="00971BE3" w:rsidRPr="00440011">
        <w:rPr>
          <w:i/>
        </w:rPr>
        <w:t>sprieduma 23.punkts</w:t>
      </w:r>
      <w:r w:rsidR="00971BE3" w:rsidRPr="00440011">
        <w:t xml:space="preserve">). </w:t>
      </w:r>
      <w:r w:rsidR="00EF62AE" w:rsidRPr="00440011">
        <w:t>P</w:t>
      </w:r>
      <w:r w:rsidR="00971BE3" w:rsidRPr="00440011">
        <w:t xml:space="preserve">amatoti atsaukties uz tiesisko paļāvību saskaņā ar šo tiesību normu, lai uz viņu attiektos tajā paredzētais izņēmums no pēcmuitošanas piedziņas, </w:t>
      </w:r>
      <w:r w:rsidR="00EF62AE" w:rsidRPr="00440011">
        <w:t xml:space="preserve">importētājs </w:t>
      </w:r>
      <w:r w:rsidR="00971BE3" w:rsidRPr="00440011">
        <w:t xml:space="preserve">var tikai tad, ja ir izpildīti trīs kumulatīvi nosacījumi. Vispirms ir vajadzīgs, </w:t>
      </w:r>
      <w:r w:rsidR="00EF62AE" w:rsidRPr="00440011">
        <w:t xml:space="preserve">1) </w:t>
      </w:r>
      <w:r w:rsidR="00971BE3" w:rsidRPr="00440011">
        <w:t xml:space="preserve">lai nodokļa neiekasēšana būtu notikusi pašu kompetento iestāžu kļūdas dēļ, tad – </w:t>
      </w:r>
      <w:r w:rsidR="00EF62AE" w:rsidRPr="00440011">
        <w:t xml:space="preserve">2) </w:t>
      </w:r>
      <w:r w:rsidR="00971BE3" w:rsidRPr="00440011">
        <w:t xml:space="preserve">lai kompetento iestāžu pieļautā kļūda būtu tādas dabas, ko labticīga persona, kas ir atbildīga par samaksu, nevar saprātīgi atklāt, un visbeidzot – </w:t>
      </w:r>
      <w:r w:rsidR="00EF62AE" w:rsidRPr="00440011">
        <w:t xml:space="preserve">3) </w:t>
      </w:r>
      <w:r w:rsidR="00971BE3" w:rsidRPr="00440011">
        <w:t>lai persona, kas ir atbildīga par samaksu, būtu izpildījusi visus spēkā esošajā tiesiskajā regulējumā paredz</w:t>
      </w:r>
      <w:r w:rsidR="00EF62AE" w:rsidRPr="00440011">
        <w:t>ē</w:t>
      </w:r>
      <w:r w:rsidR="00971BE3" w:rsidRPr="00440011">
        <w:t>tos noteikumus par muitas deklarāciju</w:t>
      </w:r>
      <w:r w:rsidR="00EF62AE" w:rsidRPr="00440011">
        <w:t xml:space="preserve"> (</w:t>
      </w:r>
      <w:r w:rsidR="00EF62AE" w:rsidRPr="00440011">
        <w:rPr>
          <w:i/>
        </w:rPr>
        <w:t>sprieduma 24.punkts</w:t>
      </w:r>
      <w:r w:rsidR="00EF62AE" w:rsidRPr="00440011">
        <w:t>).</w:t>
      </w:r>
      <w:r w:rsidR="00971BE3" w:rsidRPr="00440011">
        <w:t xml:space="preserve"> </w:t>
      </w:r>
    </w:p>
    <w:p w:rsidR="00E9726B" w:rsidRPr="00440011" w:rsidRDefault="00E9726B" w:rsidP="00294F8B">
      <w:pPr>
        <w:pStyle w:val="NormalWeb"/>
        <w:spacing w:before="0" w:beforeAutospacing="0" w:after="0" w:afterAutospacing="0" w:line="276" w:lineRule="auto"/>
        <w:ind w:firstLine="720"/>
        <w:jc w:val="both"/>
      </w:pPr>
      <w:r w:rsidRPr="00440011">
        <w:t>Turklāt ir jā</w:t>
      </w:r>
      <w:r w:rsidR="001C1A9E" w:rsidRPr="00440011">
        <w:t>ie</w:t>
      </w:r>
      <w:r w:rsidRPr="00440011">
        <w:t>vēr</w:t>
      </w:r>
      <w:r w:rsidR="001C1A9E" w:rsidRPr="00440011">
        <w:t>o</w:t>
      </w:r>
      <w:r w:rsidRPr="00440011">
        <w:t xml:space="preserve">, ko minētās tiesību normas izpratnē nozīmē pašas iestādes </w:t>
      </w:r>
      <w:r w:rsidR="005C4F9F" w:rsidRPr="00440011">
        <w:t>„</w:t>
      </w:r>
      <w:r w:rsidRPr="00440011">
        <w:t>kļūda”. Par iestādes kļūdu nav uzskatāms nepareizs izcelsmes sertifikāts, kas izsniegts eksportētāja rīcības dēļ. Šādā gadījumā atbilstoši pierādīšanas pienākuma sadales noteikumiem attiecīgajā jomā importēšanas valsts muitas iestādēm ir jāsniedz pierādījumi, ka eksportēšanas valsts muitas iestādes ir izsniegušas nepareizu sertifikātu eksportētāja sniegtā nepatiesā faktu izklāsta dēļ. Savukārt, ja eksportētāja nolaidības dēļ importēšan</w:t>
      </w:r>
      <w:r w:rsidR="0055418E" w:rsidRPr="00440011">
        <w:t>a</w:t>
      </w:r>
      <w:r w:rsidRPr="00440011">
        <w:t>s valsts muitas iestādēm nav iespējams sniegt minēto pierādījumu, importēt</w:t>
      </w:r>
      <w:r w:rsidR="0055418E" w:rsidRPr="00440011">
        <w:t>ā</w:t>
      </w:r>
      <w:r w:rsidRPr="00440011">
        <w:t>jam ir jāpierāda, ka sertifikāts tika sagatavots, pamatojoties uz eksportētāja veiktu patiesu faktu izklāstu</w:t>
      </w:r>
      <w:r w:rsidR="001C1A9E" w:rsidRPr="00440011">
        <w:t xml:space="preserve"> (</w:t>
      </w:r>
      <w:r w:rsidR="001C1A9E" w:rsidRPr="00440011">
        <w:rPr>
          <w:i/>
        </w:rPr>
        <w:t>sprieduma 46., 47.punkts</w:t>
      </w:r>
      <w:r w:rsidR="001C1A9E" w:rsidRPr="00440011">
        <w:t>).</w:t>
      </w:r>
    </w:p>
    <w:p w:rsidR="00133C9B" w:rsidRPr="00440011" w:rsidRDefault="00133C9B" w:rsidP="00294F8B">
      <w:pPr>
        <w:pStyle w:val="NormalWeb"/>
        <w:spacing w:before="0" w:beforeAutospacing="0" w:after="0" w:afterAutospacing="0" w:line="276" w:lineRule="auto"/>
        <w:ind w:firstLine="720"/>
        <w:jc w:val="both"/>
      </w:pPr>
    </w:p>
    <w:p w:rsidR="001C1A9E" w:rsidRPr="00440011" w:rsidRDefault="00133C9B" w:rsidP="00294F8B">
      <w:pPr>
        <w:pStyle w:val="NormalWeb"/>
        <w:spacing w:before="0" w:beforeAutospacing="0" w:after="0" w:afterAutospacing="0" w:line="276" w:lineRule="auto"/>
        <w:ind w:firstLine="720"/>
        <w:jc w:val="both"/>
      </w:pPr>
      <w:r w:rsidRPr="00440011">
        <w:t>[1</w:t>
      </w:r>
      <w:r w:rsidR="001339D3" w:rsidRPr="00440011">
        <w:t>0</w:t>
      </w:r>
      <w:r w:rsidRPr="00440011">
        <w:t xml:space="preserve">] </w:t>
      </w:r>
      <w:r w:rsidR="001C1A9E" w:rsidRPr="00440011">
        <w:t>Ievērojot minēto, vispirms ir noskaidrojams, vai nepareizi</w:t>
      </w:r>
      <w:r w:rsidR="00EB68BB" w:rsidRPr="00440011">
        <w:t xml:space="preserve"> A formas</w:t>
      </w:r>
      <w:r w:rsidR="001C1A9E" w:rsidRPr="00440011">
        <w:t xml:space="preserve"> sertifikāti tikuši izsniegti </w:t>
      </w:r>
      <w:r w:rsidR="00EA0A14" w:rsidRPr="00440011">
        <w:t xml:space="preserve">vienīgi </w:t>
      </w:r>
      <w:r w:rsidR="001C1A9E" w:rsidRPr="00440011">
        <w:t xml:space="preserve">eksportētāja rīcības jeb </w:t>
      </w:r>
      <w:r w:rsidR="005C4F9F" w:rsidRPr="00440011">
        <w:t xml:space="preserve">eksportētāja </w:t>
      </w:r>
      <w:r w:rsidR="001C1A9E" w:rsidRPr="00440011">
        <w:t xml:space="preserve">sniegto faktu dēļ vai arī tā bijusi </w:t>
      </w:r>
      <w:r w:rsidR="0071250F" w:rsidRPr="00440011">
        <w:t xml:space="preserve">arī pašas </w:t>
      </w:r>
      <w:r w:rsidR="001C1A9E" w:rsidRPr="00440011">
        <w:t>eksportē</w:t>
      </w:r>
      <w:r w:rsidR="00C54D83" w:rsidRPr="00440011">
        <w:t>tā</w:t>
      </w:r>
      <w:r w:rsidR="001C1A9E" w:rsidRPr="00440011">
        <w:t>jas valsts muitas iestāžu kļūda.</w:t>
      </w:r>
      <w:r w:rsidR="005C4F9F" w:rsidRPr="00440011">
        <w:t xml:space="preserve"> Tādējādi, ja ir pamats domāt, ka neatbilstošs sertifikāts izsniegts eksportētāja sniegto ziņu dēļ, </w:t>
      </w:r>
      <w:r w:rsidR="00F21F3C" w:rsidRPr="00440011">
        <w:t xml:space="preserve">par ko eksportētājas muitas iestāde nezināja un tai nebija jāzina, </w:t>
      </w:r>
      <w:r w:rsidR="005C4F9F" w:rsidRPr="00440011">
        <w:t xml:space="preserve">pierādīšanas pienākums attiecīgi muitas iestādei vai importētājam iestājas atbilstoši tam, vai no eksportētāja ir iegūstamas ziņas.   </w:t>
      </w:r>
    </w:p>
    <w:p w:rsidR="001C1A9E" w:rsidRPr="00440011" w:rsidRDefault="001C1A9E" w:rsidP="00294F8B">
      <w:pPr>
        <w:pStyle w:val="NormalWeb"/>
        <w:spacing w:before="0" w:beforeAutospacing="0" w:after="0" w:afterAutospacing="0" w:line="276" w:lineRule="auto"/>
        <w:ind w:firstLine="720"/>
        <w:jc w:val="both"/>
      </w:pPr>
    </w:p>
    <w:p w:rsidR="00971BE3" w:rsidRPr="00440011" w:rsidRDefault="00E9726B" w:rsidP="00294F8B">
      <w:pPr>
        <w:pStyle w:val="NormalWeb"/>
        <w:spacing w:before="0" w:beforeAutospacing="0" w:after="0" w:afterAutospacing="0" w:line="276" w:lineRule="auto"/>
        <w:ind w:firstLine="720"/>
        <w:jc w:val="both"/>
      </w:pPr>
      <w:r w:rsidRPr="00440011">
        <w:t>[</w:t>
      </w:r>
      <w:r w:rsidR="001C1A9E" w:rsidRPr="00440011">
        <w:t>1</w:t>
      </w:r>
      <w:r w:rsidR="001339D3" w:rsidRPr="00440011">
        <w:t>1</w:t>
      </w:r>
      <w:r w:rsidRPr="00440011">
        <w:t xml:space="preserve">] </w:t>
      </w:r>
      <w:r w:rsidR="005C4F9F" w:rsidRPr="00440011">
        <w:t>Savukārt a</w:t>
      </w:r>
      <w:r w:rsidR="001C1A9E" w:rsidRPr="00440011">
        <w:t>tgriežoties pie jautājuma par pašas iestādes kļūdu</w:t>
      </w:r>
      <w:r w:rsidR="005C4F9F" w:rsidRPr="00440011">
        <w:t>,</w:t>
      </w:r>
      <w:r w:rsidR="001C1A9E" w:rsidRPr="00440011">
        <w:t xml:space="preserve"> </w:t>
      </w:r>
      <w:r w:rsidR="0071250F" w:rsidRPr="00440011">
        <w:t xml:space="preserve">tālāk </w:t>
      </w:r>
      <w:r w:rsidR="001C1A9E" w:rsidRPr="00440011">
        <w:t>norādāms minētais. Kā norādījusi Eiropas Savienības Tiesa minētajā spriedumā, a</w:t>
      </w:r>
      <w:r w:rsidR="00EF62AE" w:rsidRPr="00440011">
        <w:t xml:space="preserve">ttiecībā uz pirmo nosacījumu par pašu kompetento iestāžu kļūdu </w:t>
      </w:r>
      <w:r w:rsidR="00133C9B" w:rsidRPr="00440011">
        <w:t xml:space="preserve">ir </w:t>
      </w:r>
      <w:r w:rsidR="00EF62AE" w:rsidRPr="00440011">
        <w:t>svarīgi, ka uz personas tiesisko paļāvību normā paredzētā aizsardzība attiecas tikai tad, ja kompetentās iestādes pašas ir radījušas šādai paļāvībai attiecīgu pamatu. Tādējādi vienīgi tād</w:t>
      </w:r>
      <w:r w:rsidR="001C1A9E" w:rsidRPr="00440011">
        <w:t>a</w:t>
      </w:r>
      <w:r w:rsidR="00EF62AE" w:rsidRPr="00440011">
        <w:t xml:space="preserve">s kļūdas, kas var tikt piedēvētas aktīvai kompetento iestāžu rīcībai, dod tiesības uz muitas nodokļu vēlāku nepiedzīšanu. Norma nav interpretējama tādējādi, ka tas, ka eksportēšanas valsts muitas iestādes ir izsniegušas nepareizu </w:t>
      </w:r>
      <w:r w:rsidR="00EB68BB" w:rsidRPr="00440011">
        <w:t>A formas sertifikātu</w:t>
      </w:r>
      <w:r w:rsidR="00EF62AE" w:rsidRPr="00440011">
        <w:t xml:space="preserve">, ir šo iestāžu pašu pieļauta kļūda, ja šie sertifikāti ir tikuši izstrādāti, </w:t>
      </w:r>
      <w:r w:rsidR="00EF62AE" w:rsidRPr="00440011">
        <w:lastRenderedPageBreak/>
        <w:t>pamatojoties uz eksportētāja sniegtajām nepatiesajām ziņām par faktiem</w:t>
      </w:r>
      <w:r w:rsidR="008E3F4C" w:rsidRPr="00440011">
        <w:t>, izņemot citastarp, ja ir acīmredzams, ka minētās iestādes zināja vai tām bija jāzina, ka preces neatbilst nosacījumiem, kas jāie</w:t>
      </w:r>
      <w:r w:rsidR="006178B0" w:rsidRPr="00440011">
        <w:t>v</w:t>
      </w:r>
      <w:r w:rsidR="008E3F4C" w:rsidRPr="00440011">
        <w:t>ēro, lai tām varētu tikt noteikts preferenciāls režīms (</w:t>
      </w:r>
      <w:r w:rsidR="008E3F4C" w:rsidRPr="00440011">
        <w:rPr>
          <w:i/>
        </w:rPr>
        <w:t>sprieduma 29.punkts</w:t>
      </w:r>
      <w:r w:rsidR="008E3F4C" w:rsidRPr="00440011">
        <w:t>).</w:t>
      </w:r>
      <w:r w:rsidR="00013895" w:rsidRPr="00440011">
        <w:t xml:space="preserve"> Ja </w:t>
      </w:r>
      <w:r w:rsidR="00EB68BB" w:rsidRPr="00440011">
        <w:t>A</w:t>
      </w:r>
      <w:r w:rsidR="009F15FE" w:rsidRPr="00440011">
        <w:t> </w:t>
      </w:r>
      <w:r w:rsidR="00EB68BB" w:rsidRPr="00440011">
        <w:t xml:space="preserve">formas </w:t>
      </w:r>
      <w:r w:rsidR="00013895" w:rsidRPr="00440011">
        <w:t>sertifikāta prettiesiskums izriet no eksportētāja kļūdainās rīcības un eksportēšanas valsts kompetentās iestādes nevarēja atklāt, ne arī tām bija jāatklāj, ka preces neatbilst nosacījumiem, kas jāizpilda, lai tām varētu tikt noteikts preferenciālais režīms, importētājam ir jāuzņemas atbildība par sekām, kas ir saistītas ar tirdzniecības dokumentu, kas izrādījušies kļūdaini, uzrādīšanu vēlākas pārbaudes laikā un tādēļ šādā gadījumā šis importētājs nevar iebilst pret muitas nodokļu pēcmuitošanas piedziņu (</w:t>
      </w:r>
      <w:r w:rsidR="00013895" w:rsidRPr="00440011">
        <w:rPr>
          <w:i/>
        </w:rPr>
        <w:t>sprieduma 32.punkts</w:t>
      </w:r>
      <w:r w:rsidR="00013895" w:rsidRPr="00440011">
        <w:t xml:space="preserve">). </w:t>
      </w:r>
      <w:r w:rsidRPr="00440011">
        <w:t>T</w:t>
      </w:r>
      <w:r w:rsidR="00013895" w:rsidRPr="00440011">
        <w:t>ādējādi, ja</w:t>
      </w:r>
      <w:r w:rsidR="00A73CFD" w:rsidRPr="00440011">
        <w:t>,</w:t>
      </w:r>
      <w:r w:rsidR="00013895" w:rsidRPr="00440011">
        <w:t xml:space="preserve"> </w:t>
      </w:r>
      <w:r w:rsidRPr="00440011">
        <w:t>i</w:t>
      </w:r>
      <w:r w:rsidR="00A73CFD" w:rsidRPr="00440011">
        <w:t>z</w:t>
      </w:r>
      <w:r w:rsidR="00013895" w:rsidRPr="00440011">
        <w:t xml:space="preserve">sniedzot </w:t>
      </w:r>
      <w:r w:rsidR="009F15FE" w:rsidRPr="00440011">
        <w:t xml:space="preserve">A formas </w:t>
      </w:r>
      <w:r w:rsidR="00013895" w:rsidRPr="00440011">
        <w:t xml:space="preserve">sertifikātu, eksportēšanas valsts muitas iestādes ir pieļāvušas kļūdu un </w:t>
      </w:r>
      <w:r w:rsidR="00A73CFD" w:rsidRPr="00440011">
        <w:t>šī</w:t>
      </w:r>
      <w:r w:rsidR="00013895" w:rsidRPr="00440011">
        <w:t xml:space="preserve"> kļūda ir radusies nepatiesas informācijas dēļ, ko eksportētājs ir sniedzis š</w:t>
      </w:r>
      <w:r w:rsidR="005A5524" w:rsidRPr="00440011">
        <w:t>ī</w:t>
      </w:r>
      <w:r w:rsidR="00013895" w:rsidRPr="00440011">
        <w:t>m iestādēm, tostarp par izmaksu patieso izcelsmi vai attiecīgo preču sastāvdaļu vērtību, importētājs nevar atsaukties uz tiesisko paļāvību atbilstošu šai tiesību normai, lai iebilstu pret ievedmuitas nodokļa vēlāku iegrāmatošanu, norādot uz savu labticību, ja vien nav acīmredzams, ka eksportēšanas valsts muitas iestādes zināja vai tām bija jāzina, ka preces neatbilst nosacījumiem, kas jāievēro, lai tām varētu tikt noteikts preferenciālais režīms (</w:t>
      </w:r>
      <w:r w:rsidR="00013895" w:rsidRPr="00440011">
        <w:rPr>
          <w:i/>
        </w:rPr>
        <w:t>sprieduma 33.punkts</w:t>
      </w:r>
      <w:r w:rsidR="00013895" w:rsidRPr="00440011">
        <w:t>).</w:t>
      </w:r>
    </w:p>
    <w:p w:rsidR="00803986" w:rsidRPr="00440011" w:rsidRDefault="00803986" w:rsidP="00294F8B">
      <w:pPr>
        <w:pStyle w:val="NormalWeb"/>
        <w:spacing w:before="0" w:beforeAutospacing="0" w:after="0" w:afterAutospacing="0" w:line="276" w:lineRule="auto"/>
        <w:ind w:firstLine="720"/>
        <w:jc w:val="both"/>
      </w:pPr>
      <w:r w:rsidRPr="00440011">
        <w:t xml:space="preserve">Tādējādi, izvērtējot, vai ir atzīstama pašas iestādes kļūda, izsniedzot sertifikātu, tiesai ir jānovērtē, </w:t>
      </w:r>
      <w:r w:rsidR="005724B7" w:rsidRPr="00440011">
        <w:t>vai eksportētājas valsts muitas iestādes konkrētajos apstākļos zināja vai tām bija jāzina, ka sertifikāti ir nepareizi.</w:t>
      </w:r>
    </w:p>
    <w:p w:rsidR="00F83FFD" w:rsidRPr="00440011" w:rsidRDefault="00F83FFD" w:rsidP="00294F8B">
      <w:pPr>
        <w:pStyle w:val="NormalWeb"/>
        <w:spacing w:before="0" w:beforeAutospacing="0" w:after="0" w:afterAutospacing="0" w:line="276" w:lineRule="auto"/>
        <w:ind w:firstLine="720"/>
        <w:jc w:val="both"/>
      </w:pPr>
    </w:p>
    <w:p w:rsidR="00F83FFD" w:rsidRPr="00440011" w:rsidRDefault="00F83FFD" w:rsidP="00294F8B">
      <w:pPr>
        <w:pStyle w:val="NormalWeb"/>
        <w:spacing w:before="0" w:beforeAutospacing="0" w:after="0" w:afterAutospacing="0" w:line="276" w:lineRule="auto"/>
        <w:ind w:firstLine="720"/>
        <w:jc w:val="both"/>
      </w:pPr>
      <w:r w:rsidRPr="00440011">
        <w:t>[1</w:t>
      </w:r>
      <w:r w:rsidR="001339D3" w:rsidRPr="00440011">
        <w:t>2</w:t>
      </w:r>
      <w:r w:rsidRPr="00440011">
        <w:t xml:space="preserve">] Tālāk, pat ja kļūda būtu piedēvējama eksportēšanas valsts muitas iestāžu aktīvai darbībai, lai importētājs iebilstu pret ievedmuitas nodokļa vēlāk iekasēšanu, kļūdai jābūt tādai, ko labticīga persona, kas atbild par samaksu, nav varējusi saprātīgi atklāt, neraugoties uz savu profesionālo pieredzi un rūpību, kas tai jāpierāda. Šajā ziņā Eiropas Savienības Tiesa </w:t>
      </w:r>
      <w:r w:rsidR="00E2190F" w:rsidRPr="00440011">
        <w:t xml:space="preserve">minētajā spriedumā </w:t>
      </w:r>
      <w:r w:rsidRPr="00440011">
        <w:t>norādījusi, ka, pirmkārt, pašiem saimnieciskās darbības subjektiem ir jānoskaidro un jāmeklē visi iespējamie paskaidrojumi par preču izcelsmi, ja tiem pašiem rodas šaubas par tādas tiesību normas pareizu piemērošanu, kuras neizpildes rezultātā var rasties muitas parāds (</w:t>
      </w:r>
      <w:r w:rsidRPr="00440011">
        <w:rPr>
          <w:i/>
        </w:rPr>
        <w:t>sprieduma 37.punkts</w:t>
      </w:r>
      <w:r w:rsidRPr="00440011">
        <w:t>). Otrkārt, tiem līgumsaistību ietvaros ir jāveic nepieciešamie pasākumi, lai nodrošinātos pret pēcmuitošanas piedziņas risku, un šādu preventīvo darbību var veid</w:t>
      </w:r>
      <w:r w:rsidR="00C3059F" w:rsidRPr="00440011">
        <w:t>ot</w:t>
      </w:r>
      <w:r w:rsidRPr="00440011">
        <w:t xml:space="preserve"> tas, ka līguma noslēgšanas laikā vai pēc tam persona, kas atbild par samaksu, saņem no otras līgumslēdzējas puses visus pierādījumus, kas </w:t>
      </w:r>
      <w:r w:rsidR="00C3059F" w:rsidRPr="00440011">
        <w:t>ap</w:t>
      </w:r>
      <w:r w:rsidRPr="00440011">
        <w:t>stip</w:t>
      </w:r>
      <w:r w:rsidR="00C3059F" w:rsidRPr="00440011">
        <w:t>r</w:t>
      </w:r>
      <w:r w:rsidRPr="00440011">
        <w:t xml:space="preserve">ina </w:t>
      </w:r>
      <w:r w:rsidR="00C3059F" w:rsidRPr="00440011">
        <w:t xml:space="preserve">preces izcelsmi. Tomēr tas nenozīmē importētāja pienākumu sistemātiski pārbaudīt apstākļus, kādos eksportēšanas valsts muitas iestādes izsniedz </w:t>
      </w:r>
      <w:r w:rsidR="009F15FE" w:rsidRPr="00440011">
        <w:t xml:space="preserve">A formas </w:t>
      </w:r>
      <w:r w:rsidR="00C3059F" w:rsidRPr="00440011">
        <w:t>sertifikātus, kā arī eksportētāja darbību preču ražošanā. Šāds pienākums importētājam ir tikai tad, ja tam ir acīmredzami iemesli šaubīties par izcelsmes sertifikāta patiesumu. Ja šādā gadījumā importētājs nav pārliecinājies par sertifikāta izsniegšanas apstākļiem, tas nevar atsaukties uz savu labticību (</w:t>
      </w:r>
      <w:r w:rsidR="00C3059F" w:rsidRPr="00440011">
        <w:rPr>
          <w:i/>
        </w:rPr>
        <w:t>sprieduma 37.–39.punkts</w:t>
      </w:r>
      <w:r w:rsidR="00C3059F" w:rsidRPr="00440011">
        <w:t xml:space="preserve">). </w:t>
      </w:r>
    </w:p>
    <w:p w:rsidR="00C3059F" w:rsidRPr="00440011" w:rsidRDefault="00C3059F" w:rsidP="00294F8B">
      <w:pPr>
        <w:pStyle w:val="NormalWeb"/>
        <w:spacing w:before="0" w:beforeAutospacing="0" w:after="0" w:afterAutospacing="0" w:line="276" w:lineRule="auto"/>
        <w:ind w:firstLine="720"/>
        <w:jc w:val="both"/>
      </w:pPr>
    </w:p>
    <w:p w:rsidR="001E538D" w:rsidRPr="00440011" w:rsidRDefault="00C54D83" w:rsidP="00294F8B">
      <w:pPr>
        <w:pStyle w:val="NormalWeb"/>
        <w:spacing w:before="0" w:beforeAutospacing="0" w:after="0" w:afterAutospacing="0" w:line="276" w:lineRule="auto"/>
        <w:ind w:firstLine="720"/>
        <w:jc w:val="both"/>
      </w:pPr>
      <w:r w:rsidRPr="00440011">
        <w:t>[1</w:t>
      </w:r>
      <w:r w:rsidR="001339D3" w:rsidRPr="00440011">
        <w:t>3</w:t>
      </w:r>
      <w:r w:rsidRPr="00440011">
        <w:t xml:space="preserve">] Tādējādi, ja apstākļu novērtējuma rezultātā ir izdarāms secinājums, ka nepareizi sertifikāti ir izsniegti pašas muitas iestādes kļūdas dēļ, </w:t>
      </w:r>
      <w:r w:rsidR="005A5524" w:rsidRPr="00440011">
        <w:t xml:space="preserve">turklāt </w:t>
      </w:r>
      <w:r w:rsidRPr="00440011">
        <w:t>ir novērtējams, vai importētājs</w:t>
      </w:r>
      <w:r w:rsidR="0032452D" w:rsidRPr="00440011">
        <w:t xml:space="preserve"> saprātīgi varēja atklāt (tam bija jāatklāj), ka sertifikāti nav atbilstoši un tādējādi</w:t>
      </w:r>
      <w:r w:rsidR="00EB68BB" w:rsidRPr="00440011">
        <w:t>,</w:t>
      </w:r>
      <w:r w:rsidR="0032452D" w:rsidRPr="00440011">
        <w:t xml:space="preserve"> vai ir atzīstama tā </w:t>
      </w:r>
      <w:r w:rsidRPr="00440011">
        <w:t>labticīb</w:t>
      </w:r>
      <w:r w:rsidR="0032452D" w:rsidRPr="00440011">
        <w:t>a.</w:t>
      </w:r>
    </w:p>
    <w:p w:rsidR="0032452D" w:rsidRPr="00440011" w:rsidRDefault="0032452D" w:rsidP="00294F8B">
      <w:pPr>
        <w:pStyle w:val="NormalWeb"/>
        <w:spacing w:before="0" w:beforeAutospacing="0" w:after="0" w:afterAutospacing="0" w:line="276" w:lineRule="auto"/>
        <w:ind w:firstLine="720"/>
        <w:jc w:val="both"/>
      </w:pPr>
    </w:p>
    <w:p w:rsidR="0032452D" w:rsidRPr="00440011" w:rsidRDefault="0032452D" w:rsidP="00294F8B">
      <w:pPr>
        <w:pStyle w:val="NormalWeb"/>
        <w:spacing w:before="0" w:beforeAutospacing="0" w:after="0" w:afterAutospacing="0" w:line="276" w:lineRule="auto"/>
        <w:ind w:firstLine="720"/>
        <w:jc w:val="both"/>
      </w:pPr>
      <w:r w:rsidRPr="00440011">
        <w:t>[1</w:t>
      </w:r>
      <w:r w:rsidR="001339D3" w:rsidRPr="00440011">
        <w:t>4</w:t>
      </w:r>
      <w:r w:rsidRPr="00440011">
        <w:t xml:space="preserve">] Visbeidzot, ja ir konstatējama pirmo divu nosacījumu izpildīšanās, attiecībā uz trešo nosacījumu ir būtiski, vai importētājs ir iesniedzis kompetentajām muitas iestādēm visu </w:t>
      </w:r>
      <w:r w:rsidRPr="00440011">
        <w:lastRenderedPageBreak/>
        <w:t xml:space="preserve">vajadzīgo informāciju, kas paredzēta </w:t>
      </w:r>
      <w:r w:rsidR="00E72BFD" w:rsidRPr="00440011">
        <w:t>S</w:t>
      </w:r>
      <w:r w:rsidRPr="00440011">
        <w:t>avienības un valsts tiesību noteikumos (</w:t>
      </w:r>
      <w:r w:rsidRPr="00440011">
        <w:rPr>
          <w:i/>
        </w:rPr>
        <w:t>sprieduma 41.punkts</w:t>
      </w:r>
      <w:r w:rsidRPr="00440011">
        <w:t>).</w:t>
      </w:r>
    </w:p>
    <w:p w:rsidR="0032452D" w:rsidRPr="00440011" w:rsidRDefault="0032452D" w:rsidP="00294F8B">
      <w:pPr>
        <w:pStyle w:val="NormalWeb"/>
        <w:spacing w:before="0" w:beforeAutospacing="0" w:after="0" w:afterAutospacing="0" w:line="276" w:lineRule="auto"/>
        <w:ind w:firstLine="720"/>
        <w:jc w:val="both"/>
      </w:pPr>
    </w:p>
    <w:p w:rsidR="005A5524" w:rsidRPr="00440011" w:rsidRDefault="00923E3D" w:rsidP="00294F8B">
      <w:pPr>
        <w:pStyle w:val="NormalWeb"/>
        <w:spacing w:before="0" w:beforeAutospacing="0" w:after="0" w:afterAutospacing="0" w:line="276" w:lineRule="auto"/>
        <w:ind w:firstLine="720"/>
        <w:jc w:val="both"/>
      </w:pPr>
      <w:r w:rsidRPr="00440011">
        <w:t>[1</w:t>
      </w:r>
      <w:r w:rsidR="001339D3" w:rsidRPr="00440011">
        <w:t>5</w:t>
      </w:r>
      <w:r w:rsidR="0032452D" w:rsidRPr="00440011">
        <w:t xml:space="preserve">] Minētā kārtība kalpo tam, lai </w:t>
      </w:r>
      <w:r w:rsidR="005A5524" w:rsidRPr="00440011">
        <w:t xml:space="preserve">budžets nezaudētu noteiktu muitas maksājumu, vienlaikus aizsargājot importētāju gadījumā, ja tas ir pilnībā izpildījis savus pienākumus un </w:t>
      </w:r>
      <w:r w:rsidR="00E2190F" w:rsidRPr="00440011">
        <w:t xml:space="preserve">rīkojies labticīgi, tas ir, </w:t>
      </w:r>
      <w:r w:rsidR="005A5524" w:rsidRPr="00440011">
        <w:t>objektīvi nevarēja zināt (tam nebija jāzina) par izsniegto sertifikātu neatbilstību.</w:t>
      </w:r>
      <w:r w:rsidR="00B53429" w:rsidRPr="00440011">
        <w:t xml:space="preserve"> Eiropas Savienības Tiesa norādījusi, ka šie nosacījumi būtībā nozīmē to risku sadali, kas izriet no kļūdām vai nelikumībām muitas deklarācijā, atkarībā no katra iesaistītā subjekta, proti, eksportēšanas valsts kompetento iestāžu, eksportētāja un importētāja uzvedības un rūpības (</w:t>
      </w:r>
      <w:bookmarkStart w:id="1" w:name="_Hlk522192681"/>
      <w:proofErr w:type="gramStart"/>
      <w:r w:rsidR="00B53429" w:rsidRPr="00440011">
        <w:rPr>
          <w:i/>
        </w:rPr>
        <w:t>2017.gada</w:t>
      </w:r>
      <w:proofErr w:type="gramEnd"/>
      <w:r w:rsidR="00B53429" w:rsidRPr="00440011">
        <w:rPr>
          <w:i/>
        </w:rPr>
        <w:t xml:space="preserve"> 26.oktobra sprieduma lietā C-407/16 </w:t>
      </w:r>
      <w:bookmarkEnd w:id="1"/>
      <w:r w:rsidR="00B53429" w:rsidRPr="00440011">
        <w:rPr>
          <w:i/>
        </w:rPr>
        <w:t>79.punkts</w:t>
      </w:r>
      <w:r w:rsidR="00B53429" w:rsidRPr="00440011">
        <w:t xml:space="preserve">). </w:t>
      </w:r>
    </w:p>
    <w:p w:rsidR="005A5524" w:rsidRPr="00440011" w:rsidRDefault="005A5524" w:rsidP="00294F8B">
      <w:pPr>
        <w:pStyle w:val="NormalWeb"/>
        <w:spacing w:before="0" w:beforeAutospacing="0" w:after="0" w:afterAutospacing="0" w:line="276" w:lineRule="auto"/>
        <w:ind w:firstLine="720"/>
        <w:jc w:val="both"/>
      </w:pPr>
    </w:p>
    <w:p w:rsidR="00CC159C" w:rsidRPr="00440011" w:rsidRDefault="00CC159C" w:rsidP="00294F8B">
      <w:pPr>
        <w:pStyle w:val="NormalWeb"/>
        <w:spacing w:before="0" w:beforeAutospacing="0" w:after="0" w:afterAutospacing="0" w:line="276" w:lineRule="auto"/>
        <w:ind w:firstLine="720"/>
        <w:jc w:val="both"/>
      </w:pPr>
      <w:r w:rsidRPr="00440011">
        <w:t>[1</w:t>
      </w:r>
      <w:r w:rsidR="001339D3" w:rsidRPr="00440011">
        <w:t>6</w:t>
      </w:r>
      <w:r w:rsidRPr="00440011">
        <w:t>] Izskatāmajā lietā tiesa</w:t>
      </w:r>
      <w:r w:rsidR="00E2190F" w:rsidRPr="00440011">
        <w:t xml:space="preserve"> norādījusi,</w:t>
      </w:r>
      <w:r w:rsidRPr="00440011">
        <w:t xml:space="preserve"> ka muitas parāds ir radies muitas dienestu kļūdas dēļ. Šādu kļūdu par maksājumu atbildīgā persona nevar praktiski konstatēt, tā kā izcelsmes sertifikātus ir izdevušas trešo valstu kompetentās iestādes. Secīgi, lai atspēkotu kļūdas prezumpciju, </w:t>
      </w:r>
      <w:r w:rsidR="00E2190F" w:rsidRPr="00440011">
        <w:t xml:space="preserve">tiesas ieskatā, </w:t>
      </w:r>
      <w:r w:rsidRPr="00440011">
        <w:t>ir jākonstatē, ka preču izcelsmes sertifikāts pamatojas uz eksportētāja nepareizi sniegtiem datiem. Muitas dienestiem, kas grib pamatot vēlāku piedziņu, ir pienākums iesniegt pierādījumus, ka sertifikāti ir izdoti nepareizi tāpēc, ka eksportētājs ir sniedzis nepareizus faktus. Atšķirīga pierādīšanas pienākuma sadale var būt tikai tajos gadījumos, kad muitas dienestiem nav iespējams izpildīt pierādīšanas pienākumu no tiem neatkarīgu apstākļu dēļ, piemēram, ja eksportētājs nav saglabājis pierādošos dokumentus (pirmās instances tiesas sprieduma, kuram pievienojusies apgabaltiesa, 15.punkts).</w:t>
      </w:r>
      <w:r w:rsidR="00B007F0" w:rsidRPr="00440011">
        <w:t xml:space="preserve"> Tālāk tiesa ņēma vērā, ka eksportētāja valsts nevar nodrošināt no ražotājiem dokumentāciju, kas nepieciešami, lai pārliecinoši pierādītu, vai apskatāmajiem velosipēdiem pareizi vai nepareizi tika piešķirt</w:t>
      </w:r>
      <w:r w:rsidR="009F15FE" w:rsidRPr="00440011">
        <w:t>s</w:t>
      </w:r>
      <w:r w:rsidR="00B007F0" w:rsidRPr="00440011">
        <w:t xml:space="preserve"> </w:t>
      </w:r>
      <w:r w:rsidR="009F15FE" w:rsidRPr="00440011">
        <w:t>A formas sertifikāts</w:t>
      </w:r>
      <w:r w:rsidR="00B007F0" w:rsidRPr="00440011">
        <w:t>.</w:t>
      </w:r>
    </w:p>
    <w:p w:rsidR="00B007F0" w:rsidRPr="00440011" w:rsidRDefault="00B007F0" w:rsidP="00294F8B">
      <w:pPr>
        <w:pStyle w:val="NormalWeb"/>
        <w:spacing w:before="0" w:beforeAutospacing="0" w:after="0" w:afterAutospacing="0" w:line="276" w:lineRule="auto"/>
        <w:ind w:firstLine="720"/>
        <w:jc w:val="both"/>
      </w:pPr>
    </w:p>
    <w:p w:rsidR="00B007F0" w:rsidRPr="00440011" w:rsidRDefault="00B007F0" w:rsidP="00294F8B">
      <w:pPr>
        <w:pStyle w:val="NormalWeb"/>
        <w:spacing w:before="0" w:beforeAutospacing="0" w:after="0" w:afterAutospacing="0" w:line="276" w:lineRule="auto"/>
        <w:ind w:firstLine="720"/>
        <w:jc w:val="both"/>
      </w:pPr>
      <w:r w:rsidRPr="00440011">
        <w:t>[1</w:t>
      </w:r>
      <w:r w:rsidR="001339D3" w:rsidRPr="00440011">
        <w:t>7</w:t>
      </w:r>
      <w:r w:rsidRPr="00440011">
        <w:t xml:space="preserve">] </w:t>
      </w:r>
      <w:r w:rsidR="00E2190F" w:rsidRPr="00440011">
        <w:t>A</w:t>
      </w:r>
      <w:r w:rsidR="00423E17" w:rsidRPr="00440011">
        <w:t xml:space="preserve">tzīstams, ka </w:t>
      </w:r>
      <w:r w:rsidR="0097105E" w:rsidRPr="00440011">
        <w:t>tiesa nav pilnībā pareizi piemērojusi Muitas kodeksa 220.panta 2.punkta</w:t>
      </w:r>
      <w:r w:rsidR="0097105E" w:rsidRPr="00440011">
        <w:rPr>
          <w:b/>
        </w:rPr>
        <w:t xml:space="preserve"> </w:t>
      </w:r>
      <w:r w:rsidR="0097105E" w:rsidRPr="00440011">
        <w:t xml:space="preserve">„b” apakšpunktu. </w:t>
      </w:r>
      <w:r w:rsidR="007A2699" w:rsidRPr="00440011">
        <w:t>No tiesas argumentiem ir saprotams, ka, tās ieskatā, pirmais secinājums par iestādes kļūdu ir izdarāms no tā vien, ka principā ir izsniegts nepareizs izcelsmes sertifikāts. Bet šī kļūdas prezumpcija ir atspēkojama tādēļ, ka kļūdu radīju</w:t>
      </w:r>
      <w:r w:rsidR="00423E17" w:rsidRPr="00440011">
        <w:t>š</w:t>
      </w:r>
      <w:r w:rsidR="007A2699" w:rsidRPr="00440011">
        <w:t xml:space="preserve">i eksportētāja iesniegti dokumenti. Tādēļ ir secināms, ka </w:t>
      </w:r>
      <w:r w:rsidR="0097105E" w:rsidRPr="00440011">
        <w:t xml:space="preserve">tiesa </w:t>
      </w:r>
      <w:r w:rsidR="007A2699" w:rsidRPr="00440011">
        <w:t xml:space="preserve">būtībā </w:t>
      </w:r>
      <w:r w:rsidR="0097105E" w:rsidRPr="00440011">
        <w:t xml:space="preserve">nav </w:t>
      </w:r>
      <w:r w:rsidR="007A2699" w:rsidRPr="00440011">
        <w:t xml:space="preserve">atzinusi </w:t>
      </w:r>
      <w:r w:rsidR="0097105E" w:rsidRPr="00440011">
        <w:t>pašas iestādes kļūd</w:t>
      </w:r>
      <w:r w:rsidR="007A2699" w:rsidRPr="00440011">
        <w:t>u minētās normas izpratnē,</w:t>
      </w:r>
      <w:r w:rsidR="0097105E" w:rsidRPr="00440011">
        <w:t xml:space="preserve"> jo </w:t>
      </w:r>
      <w:r w:rsidR="00F21F3C" w:rsidRPr="00440011">
        <w:t xml:space="preserve">nepareiza sertifikāta izsniegšanai pamatā bijušas eksportētāja sniegtas nepatiesas ziņas, bet eksportētāja muitas iestāde nevar pārbaudīt ražotāja dokumentāciju. </w:t>
      </w:r>
      <w:r w:rsidR="00423E17" w:rsidRPr="00440011">
        <w:t>Tādējādi t</w:t>
      </w:r>
      <w:r w:rsidR="00F21F3C" w:rsidRPr="00440011">
        <w:t xml:space="preserve">iesa nav veikusi pilnīgu izvērtējumu attiecībā uz pašas iestādes kļūdas jautājumu. Kā jau norādīts iepriekš šajā spriedumā, iestādes pašas kļūda ir aktīva tās rīcība, proti, </w:t>
      </w:r>
      <w:r w:rsidR="007A2699" w:rsidRPr="00440011">
        <w:t xml:space="preserve">kļūda ir, </w:t>
      </w:r>
      <w:r w:rsidR="00F21F3C" w:rsidRPr="00440011">
        <w:t xml:space="preserve">ja iestāde </w:t>
      </w:r>
      <w:r w:rsidR="007A2699" w:rsidRPr="00440011">
        <w:t xml:space="preserve">ir </w:t>
      </w:r>
      <w:r w:rsidR="00F21F3C" w:rsidRPr="00440011">
        <w:t xml:space="preserve">zinājusi vai tai bija jāzina, ka attiecīgais sertifikāts nav izsniedzams. Savukārt attiecībā uz importētāju šādā gadījumā ir būtiski, pirmkārt, vai tas šādu kļūdu varēja atklāt, t.i., vai bija jābūt acīmredzamām šaubām par sertifikātu patiesumu, un, otrkārt, vai importētājs pats ir iesniedzis visus dokumentus, ko tam iesniegt paredz nacionālās </w:t>
      </w:r>
      <w:r w:rsidR="005A36EB" w:rsidRPr="00440011">
        <w:t>un</w:t>
      </w:r>
      <w:r w:rsidR="00F21F3C" w:rsidRPr="00440011">
        <w:t xml:space="preserve"> Savienības tiesību normas.</w:t>
      </w:r>
      <w:r w:rsidR="007A2699" w:rsidRPr="00440011">
        <w:t xml:space="preserve"> Savukārt runāt par to, vai no eksportētāja ir iegūstami sertifikāta izsniegšanu pamatojošie dokumenti, un tādējādi, vai pierādīšanas pienākums ir pārliekams uz importētāju, būtu pamats tad, ja iestādes kļūdas, tas ir, aktīvas rīcības, nebūtu. </w:t>
      </w:r>
      <w:r w:rsidR="00F21F3C" w:rsidRPr="00440011">
        <w:t xml:space="preserve">      </w:t>
      </w:r>
    </w:p>
    <w:p w:rsidR="005F3E47" w:rsidRPr="00440011" w:rsidRDefault="005F3E47" w:rsidP="00294F8B">
      <w:pPr>
        <w:pStyle w:val="NormalWeb"/>
        <w:spacing w:before="0" w:beforeAutospacing="0" w:after="0" w:afterAutospacing="0" w:line="276" w:lineRule="auto"/>
        <w:ind w:firstLine="720"/>
        <w:jc w:val="both"/>
      </w:pPr>
    </w:p>
    <w:p w:rsidR="00B80E3C" w:rsidRPr="00440011" w:rsidRDefault="005F3E47" w:rsidP="00294F8B">
      <w:pPr>
        <w:pStyle w:val="NormalWeb"/>
        <w:spacing w:before="0" w:beforeAutospacing="0" w:after="0" w:afterAutospacing="0" w:line="276" w:lineRule="auto"/>
        <w:ind w:firstLine="720"/>
        <w:jc w:val="both"/>
      </w:pPr>
      <w:r w:rsidRPr="00440011">
        <w:t xml:space="preserve">[18] </w:t>
      </w:r>
      <w:r w:rsidR="005E5E45" w:rsidRPr="00440011">
        <w:t xml:space="preserve">Vispārīgi un </w:t>
      </w:r>
      <w:proofErr w:type="spellStart"/>
      <w:r w:rsidR="005E5E45" w:rsidRPr="00440011">
        <w:t>pirmšķietami</w:t>
      </w:r>
      <w:proofErr w:type="spellEnd"/>
      <w:r w:rsidR="005E5E45" w:rsidRPr="00440011">
        <w:t xml:space="preserve"> lietā ir redzamas ziņas, kas norāda uz iespējamu pašas iestādes kļūdu </w:t>
      </w:r>
      <w:r w:rsidR="00BE123F" w:rsidRPr="00440011">
        <w:t xml:space="preserve">A formas </w:t>
      </w:r>
      <w:r w:rsidR="005E5E45" w:rsidRPr="00440011">
        <w:t xml:space="preserve">sertifikātu izsniegšanā. Piemēram, OLAF misijas ziņojumā norādīts, </w:t>
      </w:r>
      <w:r w:rsidR="005E5E45" w:rsidRPr="00440011">
        <w:lastRenderedPageBreak/>
        <w:t xml:space="preserve">ka pārbaudes komanda informējusi Kambodžas iestādes, ka B un D </w:t>
      </w:r>
      <w:r w:rsidR="00BE123F" w:rsidRPr="00440011">
        <w:t xml:space="preserve">formas sertifikāti </w:t>
      </w:r>
      <w:r w:rsidR="00E2190F" w:rsidRPr="00440011">
        <w:t xml:space="preserve">rezerves daļu izcelsmei </w:t>
      </w:r>
      <w:r w:rsidR="005E5E45" w:rsidRPr="00440011">
        <w:t>nav pieņemams izcelsmes pierādījums atbilstoši reģionālās kumulācijas noteikumiem un tādēļ t</w:t>
      </w:r>
      <w:r w:rsidR="00E2190F" w:rsidRPr="00440011">
        <w:t>o</w:t>
      </w:r>
      <w:r w:rsidR="005E5E45" w:rsidRPr="00440011">
        <w:t xml:space="preserve">s nav iespējams lietot par pamatu </w:t>
      </w:r>
      <w:r w:rsidR="00BE123F" w:rsidRPr="00440011">
        <w:t xml:space="preserve">A formas </w:t>
      </w:r>
      <w:r w:rsidR="005E5E45" w:rsidRPr="00440011">
        <w:t>sertifikātu izsniegšanai</w:t>
      </w:r>
      <w:r w:rsidR="00F47AF9" w:rsidRPr="00440011">
        <w:t xml:space="preserve">, tā kā Kambodžas iestādes norādīja, ka reti saņem </w:t>
      </w:r>
      <w:r w:rsidR="00BE123F" w:rsidRPr="00440011">
        <w:t xml:space="preserve">A formas sertifikātus </w:t>
      </w:r>
      <w:r w:rsidR="00F47AF9" w:rsidRPr="00440011">
        <w:t xml:space="preserve">attiecībā uz rezerves daļu izcelsmi. </w:t>
      </w:r>
      <w:r w:rsidR="005E5E45" w:rsidRPr="00440011">
        <w:t xml:space="preserve">Turklāt Kambodžas iestādes bija izsniegušas </w:t>
      </w:r>
      <w:r w:rsidR="00BE123F" w:rsidRPr="00440011">
        <w:t xml:space="preserve">A formas </w:t>
      </w:r>
      <w:r w:rsidR="005E5E45" w:rsidRPr="00440011">
        <w:t xml:space="preserve">sertifikātus, piemērojot reģionālās kumulācijas noteikumus, nepārliecinoties par to, vai attiecībā uz rezerves daļām bija pieejams nepieciešamais izcelsmes apliecinājums – </w:t>
      </w:r>
      <w:r w:rsidR="00BE123F" w:rsidRPr="00440011">
        <w:t>A formas sertifikāts</w:t>
      </w:r>
      <w:r w:rsidR="005E5E45" w:rsidRPr="00440011">
        <w:t xml:space="preserve">. Kambodžas Ekonomikas ministrija Ungārijai ir apliecinājusi, ka </w:t>
      </w:r>
      <w:r w:rsidR="00BE123F" w:rsidRPr="00440011">
        <w:t xml:space="preserve">A formas </w:t>
      </w:r>
      <w:r w:rsidR="005E5E45" w:rsidRPr="00440011">
        <w:t xml:space="preserve">sertifikāta izdošanas laikā pieļautas kļūdas, proti, D </w:t>
      </w:r>
      <w:r w:rsidR="00BE123F" w:rsidRPr="00440011">
        <w:t xml:space="preserve">formas </w:t>
      </w:r>
      <w:r w:rsidR="005E5E45" w:rsidRPr="00440011">
        <w:t>sertifikāta pieņemšana kā pierādījums</w:t>
      </w:r>
      <w:r w:rsidR="00F47AF9" w:rsidRPr="00440011">
        <w:t xml:space="preserve"> rezerves daļu izcelsmei, neatbilstošu cenu izmantošana u.c., kas novērstas pēc attiecīgās OLAF pārbaudes.</w:t>
      </w:r>
      <w:r w:rsidR="005E5E45" w:rsidRPr="00440011">
        <w:t xml:space="preserve"> </w:t>
      </w:r>
      <w:r w:rsidR="00F47AF9" w:rsidRPr="00440011">
        <w:t xml:space="preserve">Eiropas Komisija </w:t>
      </w:r>
      <w:bookmarkStart w:id="2" w:name="_GoBack"/>
      <w:r w:rsidR="00F47AF9" w:rsidRPr="00440011">
        <w:t xml:space="preserve">2012.gada 30.novembra lēmumā Nr. C(2012) 8694 </w:t>
      </w:r>
      <w:bookmarkEnd w:id="2"/>
      <w:r w:rsidR="00F47AF9" w:rsidRPr="00440011">
        <w:t xml:space="preserve">atzina, ka lietas apstākļi atklāj pašu Kambodžas iestāžu aktīvu kļūdu, ko nevarēja atklāt persona, kas rīkojusies labā ticībā Muitas kodeksa 220.panta 2.punkta „b” apakšpunkta nozīmē. </w:t>
      </w:r>
      <w:r w:rsidR="00BE18F8" w:rsidRPr="00440011">
        <w:t>Savukārt izskatāmajā lietā t</w:t>
      </w:r>
      <w:r w:rsidR="005A36EB" w:rsidRPr="00440011">
        <w:t xml:space="preserve">iesa pati savā spriedumā </w:t>
      </w:r>
      <w:r w:rsidR="00244241" w:rsidRPr="00440011">
        <w:t xml:space="preserve">atsaukusies uz iestādes </w:t>
      </w:r>
      <w:r w:rsidR="00791BC7" w:rsidRPr="00440011">
        <w:t>konstatē</w:t>
      </w:r>
      <w:r w:rsidR="00244241" w:rsidRPr="00440011">
        <w:t>to</w:t>
      </w:r>
      <w:r w:rsidR="00791BC7" w:rsidRPr="00440011">
        <w:t xml:space="preserve">, ka preces izejvielu izcelsme tikusi apliecināta ar B un D formas izcelsmes apliecībām, kuru izmantošana regulā nav paredzēta, un tādēļ gatavās produkcijas izcelsmi nevar apliecināt A </w:t>
      </w:r>
      <w:r w:rsidR="00BE123F" w:rsidRPr="00440011">
        <w:t xml:space="preserve">formas </w:t>
      </w:r>
      <w:r w:rsidR="00791BC7" w:rsidRPr="00440011">
        <w:t>sertifikāti.</w:t>
      </w:r>
      <w:r w:rsidR="00970F35" w:rsidRPr="00440011">
        <w:t xml:space="preserve"> Tālāk </w:t>
      </w:r>
      <w:r w:rsidR="00233C61" w:rsidRPr="00440011">
        <w:t xml:space="preserve">tiesa </w:t>
      </w:r>
      <w:r w:rsidR="00970F35" w:rsidRPr="00440011">
        <w:t>norādījusi, ka tas veidojis iestādes lēmuma pamatojumu</w:t>
      </w:r>
      <w:r w:rsidR="00244241" w:rsidRPr="00440011">
        <w:t xml:space="preserve">, bet nekādā veidā to nav novērtējusi. </w:t>
      </w:r>
      <w:r w:rsidR="00BE18F8" w:rsidRPr="00440011">
        <w:t xml:space="preserve">Lai arī </w:t>
      </w:r>
      <w:r w:rsidR="00233C61" w:rsidRPr="00440011">
        <w:t xml:space="preserve">kasācijas instancē </w:t>
      </w:r>
      <w:r w:rsidR="00BE18F8" w:rsidRPr="00440011">
        <w:t xml:space="preserve">nav iespējams secināt, </w:t>
      </w:r>
      <w:r w:rsidR="005C3B7C" w:rsidRPr="00440011">
        <w:t>vai</w:t>
      </w:r>
      <w:r w:rsidR="00BE18F8" w:rsidRPr="00440011">
        <w:t xml:space="preserve"> iepriekš minētie</w:t>
      </w:r>
      <w:r w:rsidR="00791BC7" w:rsidRPr="00440011">
        <w:t xml:space="preserve"> </w:t>
      </w:r>
      <w:r w:rsidR="00315D82" w:rsidRPr="00440011">
        <w:t xml:space="preserve">apstākļi nepārprotami ir attiecināmi arī uz pieteicējas lietu, tie pietiekami nopietni uzrāda </w:t>
      </w:r>
      <w:r w:rsidR="005C3B7C" w:rsidRPr="00440011">
        <w:t>tādu iespējamību un ir novērtējami.</w:t>
      </w:r>
      <w:r w:rsidR="00791BC7" w:rsidRPr="00440011">
        <w:t xml:space="preserve"> </w:t>
      </w:r>
      <w:r w:rsidR="005C3B7C" w:rsidRPr="00440011">
        <w:t xml:space="preserve">Tiesa spriedumā ir atsaukusies uz Kambodžas Tirdzniecības ministrijas 2013.gada 6.februāra atbildi Latvijas Muitas pārvaldei. Tajā norādīts gan tas, ka </w:t>
      </w:r>
      <w:r w:rsidR="00BE123F" w:rsidRPr="00440011">
        <w:t xml:space="preserve">A formas </w:t>
      </w:r>
      <w:r w:rsidR="005C3B7C" w:rsidRPr="00440011">
        <w:t>sertifikāt</w:t>
      </w:r>
      <w:r w:rsidR="00BE123F" w:rsidRPr="00440011">
        <w:t>s ir īsts</w:t>
      </w:r>
      <w:r w:rsidR="005C3B7C" w:rsidRPr="00440011">
        <w:t xml:space="preserve"> un tā izsniegšanas pamatā ir informācija un papilddokumenti, ko tobrīd nodrošināja ražotājs, gan tas, ka 2009.gadā pārbaudē ar OLAF tika identificētas dažas procedūras, kas izmantotas, lai noteiktu velosipēdu izcelsmi un pēc tam Tirdzniecības ministrija pārdomāj</w:t>
      </w:r>
      <w:r w:rsidR="00233C61" w:rsidRPr="00440011">
        <w:t>usi</w:t>
      </w:r>
      <w:r w:rsidR="005C3B7C" w:rsidRPr="00440011">
        <w:t xml:space="preserve"> </w:t>
      </w:r>
      <w:r w:rsidR="00BE123F" w:rsidRPr="00440011">
        <w:t xml:space="preserve">A formas </w:t>
      </w:r>
      <w:r w:rsidR="005C3B7C" w:rsidRPr="00440011">
        <w:t>sertifikātu izdošanas un pārbaudes procedūru piemērošanu, cieši sadarbojoties ar ražotājiem un Kambodžas muitas pārvaldi. Tomēr attiecībā uz OLAF misijas laiku nevar nodrošināt no ražotājiem dokumentāciju, kas nepieciešama, lai pārliecinoši pierādītu, vai apskatāmajiem velosipēdiem, kas e</w:t>
      </w:r>
      <w:r w:rsidR="00233C61" w:rsidRPr="00440011">
        <w:t>ksp</w:t>
      </w:r>
      <w:r w:rsidR="005C3B7C" w:rsidRPr="00440011">
        <w:t xml:space="preserve">ortēti uz Latviju, pareizi vai nepareizi tika piešķirts </w:t>
      </w:r>
      <w:r w:rsidR="00BE123F" w:rsidRPr="00440011">
        <w:t xml:space="preserve">A formas </w:t>
      </w:r>
      <w:r w:rsidR="005C3B7C" w:rsidRPr="00440011">
        <w:t>sertifikāts.</w:t>
      </w:r>
      <w:r w:rsidR="00667963" w:rsidRPr="00440011">
        <w:t xml:space="preserve"> Tiesa no šīs atbildes ir izdarījusi formālu secinājumu, pievēršoties tai tiktāl, cik tā kādā daļā rada pamatu pierādīšanas pienākum</w:t>
      </w:r>
      <w:r w:rsidR="00233C61" w:rsidRPr="00440011">
        <w:t>a</w:t>
      </w:r>
      <w:r w:rsidR="00667963" w:rsidRPr="00440011">
        <w:t xml:space="preserve"> pār</w:t>
      </w:r>
      <w:r w:rsidR="00233C61" w:rsidRPr="00440011">
        <w:t xml:space="preserve">celšanai </w:t>
      </w:r>
      <w:r w:rsidR="00667963" w:rsidRPr="00440011">
        <w:t>uz importētāju. Spriedumā nav detalizētāka izvērtējuma šajā atbildē sniegtajām ziņām ne pašām par sevi</w:t>
      </w:r>
      <w:r w:rsidR="00233C61" w:rsidRPr="00440011">
        <w:t xml:space="preserve"> to kopumā, </w:t>
      </w:r>
      <w:r w:rsidR="00667963" w:rsidRPr="00440011">
        <w:t>ne konkrēto apstākļu</w:t>
      </w:r>
      <w:r w:rsidR="00233C61" w:rsidRPr="00440011">
        <w:t xml:space="preserve"> plašākā</w:t>
      </w:r>
      <w:r w:rsidR="00667963" w:rsidRPr="00440011">
        <w:t xml:space="preserve"> kontekstā.</w:t>
      </w:r>
      <w:r w:rsidR="00233C61" w:rsidRPr="00440011">
        <w:t xml:space="preserve"> </w:t>
      </w:r>
    </w:p>
    <w:p w:rsidR="00B80E3C" w:rsidRPr="00440011" w:rsidRDefault="00B80E3C" w:rsidP="00294F8B">
      <w:pPr>
        <w:pStyle w:val="NormalWeb"/>
        <w:spacing w:before="0" w:beforeAutospacing="0" w:after="0" w:afterAutospacing="0" w:line="276" w:lineRule="auto"/>
        <w:ind w:firstLine="720"/>
        <w:jc w:val="both"/>
      </w:pPr>
    </w:p>
    <w:p w:rsidR="00FC44C0" w:rsidRPr="00440011" w:rsidRDefault="00B80E3C" w:rsidP="00294F8B">
      <w:pPr>
        <w:spacing w:after="0"/>
        <w:ind w:left="20" w:right="20" w:firstLine="700"/>
        <w:jc w:val="both"/>
        <w:rPr>
          <w:rFonts w:eastAsia="Times New Roman" w:cs="Times New Roman"/>
          <w:szCs w:val="24"/>
        </w:rPr>
      </w:pPr>
      <w:r w:rsidRPr="00440011">
        <w:t>[</w:t>
      </w:r>
      <w:r w:rsidR="001339D3" w:rsidRPr="00440011">
        <w:t>1</w:t>
      </w:r>
      <w:r w:rsidR="00D56148" w:rsidRPr="00440011">
        <w:t>9</w:t>
      </w:r>
      <w:r w:rsidRPr="00440011">
        <w:t xml:space="preserve">] Lietās, kas attiecīgā OLAF ziņojuma sakarā </w:t>
      </w:r>
      <w:r w:rsidR="00E72BFD" w:rsidRPr="00440011">
        <w:t>izlemtas</w:t>
      </w:r>
      <w:r w:rsidRPr="00440011">
        <w:t xml:space="preserve"> citās valstīs, izdarītie secinājumi nav automātiski pārnesami uz izskatāmo lietu</w:t>
      </w:r>
      <w:r w:rsidR="00E72BFD" w:rsidRPr="00440011">
        <w:t xml:space="preserve">. </w:t>
      </w:r>
      <w:r w:rsidR="001F7F30" w:rsidRPr="00440011">
        <w:t>Katrā lietā ir vērtēj</w:t>
      </w:r>
      <w:r w:rsidR="009E4EB7" w:rsidRPr="00440011">
        <w:t>a</w:t>
      </w:r>
      <w:r w:rsidR="001F7F30" w:rsidRPr="00440011">
        <w:t>mi konkr</w:t>
      </w:r>
      <w:r w:rsidR="009E4EB7" w:rsidRPr="00440011">
        <w:t>ē</w:t>
      </w:r>
      <w:r w:rsidR="001F7F30" w:rsidRPr="00440011">
        <w:t>tā gadījuma apstākļi un pierādījumi</w:t>
      </w:r>
      <w:r w:rsidR="009E4EB7" w:rsidRPr="00440011">
        <w:t xml:space="preserve">. </w:t>
      </w:r>
      <w:r w:rsidR="00E72BFD" w:rsidRPr="00440011">
        <w:t xml:space="preserve">Jāņem arī vērā, ka, neskatoties uz citu apstākļu vērtējumu, izšķiroša nozīme var būt </w:t>
      </w:r>
      <w:r w:rsidR="00E2190F" w:rsidRPr="00440011">
        <w:t xml:space="preserve">arī </w:t>
      </w:r>
      <w:r w:rsidR="00E72BFD" w:rsidRPr="00440011">
        <w:t xml:space="preserve">paša importētāja pienākumu izpildei. </w:t>
      </w:r>
      <w:r w:rsidRPr="00440011">
        <w:t>T</w:t>
      </w:r>
      <w:r w:rsidR="009E4EB7" w:rsidRPr="00440011">
        <w:t>ajā pašā laikā</w:t>
      </w:r>
      <w:r w:rsidR="004759DB" w:rsidRPr="00440011">
        <w:t xml:space="preserve">, tā kā nacionālo lietu pamatā ir plaša OLAF veiktā pārbaude un ziņojums par to, ziņas no citām </w:t>
      </w:r>
      <w:r w:rsidR="009E4EB7" w:rsidRPr="00440011">
        <w:t>liet</w:t>
      </w:r>
      <w:r w:rsidR="004759DB" w:rsidRPr="00440011">
        <w:t>ām</w:t>
      </w:r>
      <w:r w:rsidR="009E4EB7" w:rsidRPr="00440011">
        <w:t xml:space="preserve"> </w:t>
      </w:r>
      <w:r w:rsidRPr="00440011">
        <w:t xml:space="preserve">var </w:t>
      </w:r>
      <w:r w:rsidR="009E4EB7" w:rsidRPr="00440011">
        <w:t xml:space="preserve">uzrādīt būtiskus apstākļus, kontekstu </w:t>
      </w:r>
      <w:r w:rsidR="004759DB" w:rsidRPr="00440011">
        <w:t xml:space="preserve">u.tml., kas var tikt izmantots konkrētas lietas apstākļu novērtējumā. </w:t>
      </w:r>
      <w:r w:rsidR="00E72BFD" w:rsidRPr="00440011">
        <w:t>T</w:t>
      </w:r>
      <w:r w:rsidR="00B75B12" w:rsidRPr="00440011">
        <w:t>as, ko paredz Muitas kodeksa 220.panta 2.punkta</w:t>
      </w:r>
      <w:r w:rsidR="00B75B12" w:rsidRPr="00440011">
        <w:rPr>
          <w:b/>
        </w:rPr>
        <w:t xml:space="preserve"> </w:t>
      </w:r>
      <w:r w:rsidR="00B75B12" w:rsidRPr="00440011">
        <w:t xml:space="preserve">„b” apakšpunkta piemērošana, ir vispirms noskaidrot, vai nepastāv pašas eksportētājas valsts iestāžu kļūda, </w:t>
      </w:r>
      <w:r w:rsidR="00E72BFD" w:rsidRPr="00440011">
        <w:t xml:space="preserve">un šādā ziņā informācija no citām lietām var būt noderīga. Savukārt, ja šāda kļūda </w:t>
      </w:r>
      <w:r w:rsidR="00B75B12" w:rsidRPr="00440011">
        <w:t xml:space="preserve">ir un importētājs to nevarēja atklāt, bet pats rīkojās labā ticībā un izpildīja visus tam </w:t>
      </w:r>
      <w:r w:rsidR="00E94485" w:rsidRPr="00440011">
        <w:t>tiesiskajā regulējumā ietvertos noteikumus par muitas deklarāciju</w:t>
      </w:r>
      <w:r w:rsidR="00B75B12" w:rsidRPr="00440011">
        <w:t xml:space="preserve">, ļauj baudīt tiesisko paļāvību. </w:t>
      </w:r>
      <w:r w:rsidR="00E94485" w:rsidRPr="00440011">
        <w:t xml:space="preserve">Šajā ziņā </w:t>
      </w:r>
      <w:r w:rsidR="00E72BFD" w:rsidRPr="00440011">
        <w:t xml:space="preserve">jānorāda, ka </w:t>
      </w:r>
      <w:r w:rsidR="00E94485" w:rsidRPr="00440011">
        <w:t xml:space="preserve">no </w:t>
      </w:r>
      <w:r w:rsidR="00E94485" w:rsidRPr="00440011">
        <w:lastRenderedPageBreak/>
        <w:t xml:space="preserve">sprieduma </w:t>
      </w:r>
      <w:r w:rsidR="00E2190F" w:rsidRPr="00440011">
        <w:t xml:space="preserve">arī </w:t>
      </w:r>
      <w:r w:rsidR="00E94485" w:rsidRPr="00440011">
        <w:t xml:space="preserve">nav redzams, uz ko </w:t>
      </w:r>
      <w:r w:rsidR="00E72BFD" w:rsidRPr="00440011">
        <w:t>atsaucas</w:t>
      </w:r>
      <w:r w:rsidR="00E94485" w:rsidRPr="00440011">
        <w:t xml:space="preserve"> arī pieteicēja, ka tiesa būtu pārbaudījusi, vai </w:t>
      </w:r>
      <w:r w:rsidR="00FC44C0" w:rsidRPr="00440011">
        <w:rPr>
          <w:rFonts w:eastAsia="Times New Roman" w:cs="Times New Roman"/>
          <w:szCs w:val="24"/>
        </w:rPr>
        <w:t>pieteicēja muitas iestādei iesnie</w:t>
      </w:r>
      <w:r w:rsidR="00E94485" w:rsidRPr="00440011">
        <w:rPr>
          <w:rFonts w:eastAsia="Times New Roman" w:cs="Times New Roman"/>
          <w:szCs w:val="24"/>
        </w:rPr>
        <w:t>dza v</w:t>
      </w:r>
      <w:r w:rsidR="00FC44C0" w:rsidRPr="00440011">
        <w:rPr>
          <w:rFonts w:eastAsia="Times New Roman" w:cs="Times New Roman"/>
          <w:szCs w:val="24"/>
        </w:rPr>
        <w:t>isu informāciju, ko paredz Eiropas Savienības un nacionālās tiesību normas</w:t>
      </w:r>
      <w:r w:rsidR="00E72BFD" w:rsidRPr="00440011">
        <w:rPr>
          <w:rFonts w:eastAsia="Times New Roman" w:cs="Times New Roman"/>
          <w:szCs w:val="24"/>
        </w:rPr>
        <w:t>, proti, izpildīja savu pienākumu, deklarējot preci</w:t>
      </w:r>
      <w:r w:rsidR="00E94485" w:rsidRPr="00440011">
        <w:rPr>
          <w:rFonts w:eastAsia="Times New Roman" w:cs="Times New Roman"/>
          <w:szCs w:val="24"/>
        </w:rPr>
        <w:t>.</w:t>
      </w:r>
      <w:r w:rsidR="00FC44C0" w:rsidRPr="00440011">
        <w:rPr>
          <w:rFonts w:eastAsia="Times New Roman" w:cs="Times New Roman"/>
          <w:szCs w:val="24"/>
        </w:rPr>
        <w:t xml:space="preserve"> </w:t>
      </w:r>
    </w:p>
    <w:p w:rsidR="00FC44C0" w:rsidRPr="00440011" w:rsidRDefault="00FC44C0" w:rsidP="00294F8B">
      <w:pPr>
        <w:pStyle w:val="NormalWeb"/>
        <w:spacing w:before="0" w:beforeAutospacing="0" w:after="0" w:afterAutospacing="0" w:line="276" w:lineRule="auto"/>
        <w:ind w:firstLine="720"/>
        <w:jc w:val="both"/>
      </w:pPr>
    </w:p>
    <w:p w:rsidR="00FC44C0" w:rsidRPr="00440011" w:rsidRDefault="00E94485" w:rsidP="00294F8B">
      <w:pPr>
        <w:pStyle w:val="NormalWeb"/>
        <w:spacing w:before="0" w:beforeAutospacing="0" w:after="0" w:afterAutospacing="0" w:line="276" w:lineRule="auto"/>
        <w:ind w:firstLine="720"/>
        <w:jc w:val="both"/>
      </w:pPr>
      <w:r w:rsidRPr="00440011">
        <w:t>[</w:t>
      </w:r>
      <w:r w:rsidR="00D56148" w:rsidRPr="00440011">
        <w:t>20</w:t>
      </w:r>
      <w:r w:rsidRPr="00440011">
        <w:t xml:space="preserve">] Vispārīgi atbildot uz pieteicējas argumentu, ka tā </w:t>
      </w:r>
      <w:r w:rsidR="004F0298" w:rsidRPr="00440011">
        <w:t>velosipēdus</w:t>
      </w:r>
      <w:r w:rsidRPr="00440011">
        <w:t xml:space="preserve"> iegādājās no Vācijas uzņēmuma, nevis tieši no Kambodžas uzņēmuma</w:t>
      </w:r>
      <w:r w:rsidR="00E61801" w:rsidRPr="00440011">
        <w:t xml:space="preserve">, norādāms turpmāk minētais. </w:t>
      </w:r>
      <w:r w:rsidRPr="00440011">
        <w:t>Eiropas Savienības Tiesa norādīj</w:t>
      </w:r>
      <w:r w:rsidR="00E61801" w:rsidRPr="00440011">
        <w:t>usi</w:t>
      </w:r>
      <w:r w:rsidRPr="00440011">
        <w:t xml:space="preserve">, ka tie paši </w:t>
      </w:r>
      <w:r w:rsidR="00E61801" w:rsidRPr="00440011">
        <w:t>nepieciešamie pasākumi</w:t>
      </w:r>
      <w:r w:rsidRPr="00440011">
        <w:t xml:space="preserve">, kas </w:t>
      </w:r>
      <w:r w:rsidR="00E61801" w:rsidRPr="00440011">
        <w:t>veicami un norādīti</w:t>
      </w:r>
      <w:proofErr w:type="gramStart"/>
      <w:r w:rsidR="00E61801" w:rsidRPr="00440011">
        <w:t xml:space="preserve"> kā </w:t>
      </w:r>
      <w:r w:rsidRPr="00440011">
        <w:t>attiec</w:t>
      </w:r>
      <w:r w:rsidR="00E61801" w:rsidRPr="00440011">
        <w:t xml:space="preserve">ināmi </w:t>
      </w:r>
      <w:r w:rsidRPr="00440011">
        <w:t>uz saimnieciskās darbības subjektiem</w:t>
      </w:r>
      <w:r w:rsidR="00E61801" w:rsidRPr="00440011">
        <w:t>, lai līgumsaistību ietvaros tie nodrošinātos pret pēcmuitošanas piedziņas risku</w:t>
      </w:r>
      <w:proofErr w:type="gramEnd"/>
      <w:r w:rsidR="00E61801" w:rsidRPr="00440011">
        <w:t>, vai ja tiem pašiem rodas šaubas par normu pareizu piemērošanu vai preču izcelsmes noteikšanu, ir piemērojami arī situācijā, ja importētājam tādēļ, ka tas ieved preces, pamatojoties uz distribūcijas līgumu ar trešo uzņēmēju, nav tiešu līgumsaistību ar preču eksportēt</w:t>
      </w:r>
      <w:r w:rsidR="00536365" w:rsidRPr="00440011">
        <w:t>āju (</w:t>
      </w:r>
      <w:r w:rsidR="00536365" w:rsidRPr="00440011">
        <w:rPr>
          <w:i/>
        </w:rPr>
        <w:t>Eiropas Savienības Tiesas 2017.gada 26.oktobra sprieduma lietā C-407/16 76.-87.punkts</w:t>
      </w:r>
      <w:r w:rsidR="00536365" w:rsidRPr="00440011">
        <w:t>).</w:t>
      </w:r>
      <w:r w:rsidR="000C0EE4" w:rsidRPr="00440011">
        <w:t xml:space="preserve"> Tādējādi pieteicējas norādītais apstāklis pats par sevi nevar atbrīvot pieteicēju no atbildības.</w:t>
      </w:r>
    </w:p>
    <w:p w:rsidR="00DD6C47" w:rsidRPr="00440011" w:rsidRDefault="00DD6C47" w:rsidP="00294F8B">
      <w:pPr>
        <w:pStyle w:val="NormalWeb"/>
        <w:spacing w:before="0" w:beforeAutospacing="0" w:after="0" w:afterAutospacing="0" w:line="276" w:lineRule="auto"/>
        <w:ind w:firstLine="720"/>
        <w:jc w:val="both"/>
      </w:pPr>
    </w:p>
    <w:p w:rsidR="007F1FA9" w:rsidRPr="00440011" w:rsidRDefault="007F1FA9" w:rsidP="007F1FA9">
      <w:pPr>
        <w:pStyle w:val="NormalWeb"/>
        <w:spacing w:before="0" w:beforeAutospacing="0" w:after="0" w:afterAutospacing="0" w:line="276" w:lineRule="auto"/>
        <w:ind w:firstLine="720"/>
        <w:jc w:val="both"/>
      </w:pPr>
      <w:r w:rsidRPr="00440011">
        <w:t>[</w:t>
      </w:r>
      <w:r w:rsidR="008D38EA" w:rsidRPr="00440011">
        <w:t>2</w:t>
      </w:r>
      <w:r w:rsidR="00D56148" w:rsidRPr="00440011">
        <w:t>1</w:t>
      </w:r>
      <w:r w:rsidRPr="00440011">
        <w:t xml:space="preserve">] </w:t>
      </w:r>
      <w:proofErr w:type="gramStart"/>
      <w:r w:rsidR="00785F45" w:rsidRPr="00440011">
        <w:t>Nav pareizs tiesas</w:t>
      </w:r>
      <w:proofErr w:type="gramEnd"/>
      <w:r w:rsidR="00785F45" w:rsidRPr="00440011">
        <w:t xml:space="preserve"> norādītais, ka, tā kā OLAF aprēķināja kopējo importa vērtību un aicināja dalībvalstis ierosināt nodokļu atgūšanas procesu, neapstiprinās pieteicējas viedoklis, ka dalībvalstīm pašām bez nodokļu maksātāja iesniegta argumentēta atmaksāšanas vai atlaišanas pieteikuma un pierādījumiem būtu bijis jāierosina </w:t>
      </w:r>
      <w:r w:rsidR="00E2190F" w:rsidRPr="00440011">
        <w:t>šādus</w:t>
      </w:r>
      <w:r w:rsidR="00785F45" w:rsidRPr="00440011">
        <w:t xml:space="preserve"> proces</w:t>
      </w:r>
      <w:r w:rsidR="00E2190F" w:rsidRPr="00440011">
        <w:t>us</w:t>
      </w:r>
      <w:r w:rsidR="00785F45" w:rsidRPr="00440011">
        <w:t>.</w:t>
      </w:r>
    </w:p>
    <w:p w:rsidR="00785F45" w:rsidRPr="00440011" w:rsidRDefault="00450B79" w:rsidP="007F1FA9">
      <w:pPr>
        <w:pStyle w:val="NormalWeb"/>
        <w:spacing w:before="0" w:beforeAutospacing="0" w:after="0" w:afterAutospacing="0" w:line="276" w:lineRule="auto"/>
        <w:ind w:firstLine="720"/>
        <w:jc w:val="both"/>
      </w:pPr>
      <w:r w:rsidRPr="00440011">
        <w:t>OLAF ziņojums uzrāda faktus, un atbilstoši tiem valstu iestādēm ir jāizlemj, kā rīkoties</w:t>
      </w:r>
      <w:r w:rsidR="00936D1F" w:rsidRPr="00440011">
        <w:t>, kādi apstākļi vēl ir pārbaudāmi un kādi lēmumi pieņemami</w:t>
      </w:r>
      <w:r w:rsidRPr="00440011">
        <w:t>. Kā norādījusi Vispārējā Tiesa</w:t>
      </w:r>
      <w:r w:rsidR="00936D1F" w:rsidRPr="00440011">
        <w:t xml:space="preserve"> </w:t>
      </w:r>
      <w:proofErr w:type="gramStart"/>
      <w:r w:rsidR="00936D1F" w:rsidRPr="00440011">
        <w:t>2017.gada</w:t>
      </w:r>
      <w:proofErr w:type="gramEnd"/>
      <w:r w:rsidR="00936D1F" w:rsidRPr="00440011">
        <w:t xml:space="preserve"> 21.jūnija rīkojumā lietā T-737/16</w:t>
      </w:r>
      <w:r w:rsidRPr="00440011">
        <w:t>, OLAF ziņojumi, kas ir sagatavoti ārējas izmeklēšanas beigās un nosūtīti dalībvalstu kompetentajām iestādēm, būtiski nemaina to personu tiesisko stāvokli, kas tajos ir minēts, un ir tikai ieteikumi vai atzinumi, kuriem nav saistošu tiesisko seku. Galīgajā ziņojumā ietvertie secinājumi paši par sevi neizraisa tiesas vai disciplinārā procesa uzsākšanu, jo valsts iestādēm ir tiesības izlemt, kādas turpmākās darbības pēc galīgā ziņojuma ir jāveic, un tādējādi tās ir vienīgās iestādes, kurām ir tiesības izdot lēmumus, kas var ietekmēt personu, attiecībā</w:t>
      </w:r>
      <w:proofErr w:type="gramStart"/>
      <w:r w:rsidRPr="00440011">
        <w:t xml:space="preserve"> uz kurām ziņojumā ir ieteikts šādu procesu uzsākt</w:t>
      </w:r>
      <w:proofErr w:type="gramEnd"/>
      <w:r w:rsidRPr="00440011">
        <w:t xml:space="preserve">, tiesisko stāvokli. </w:t>
      </w:r>
      <w:r w:rsidR="00936D1F" w:rsidRPr="00440011">
        <w:t xml:space="preserve">Minēto </w:t>
      </w:r>
      <w:r w:rsidRPr="00440011">
        <w:t xml:space="preserve">neatspēko tas, ka Eiropas Parlamenta un Padomes 2013.gada 11.septembra </w:t>
      </w:r>
      <w:r w:rsidR="00616ABD" w:rsidRPr="00440011">
        <w:t>R</w:t>
      </w:r>
      <w:r w:rsidRPr="00440011">
        <w:t xml:space="preserve">egulas </w:t>
      </w:r>
      <w:r w:rsidR="000C3AA0" w:rsidRPr="00440011">
        <w:t xml:space="preserve">(ES, EURATOM) </w:t>
      </w:r>
      <w:r w:rsidRPr="00440011">
        <w:t>Nr.</w:t>
      </w:r>
      <w:r w:rsidR="00306EEC" w:rsidRPr="00440011">
        <w:t> </w:t>
      </w:r>
      <w:r w:rsidRPr="00440011">
        <w:t xml:space="preserve">883/2013 par izmeklēšanu, ko veic </w:t>
      </w:r>
      <w:r w:rsidR="000C3AA0" w:rsidRPr="00440011">
        <w:t>Eiropas Birojs krāpšanas apkarošanai (</w:t>
      </w:r>
      <w:r w:rsidRPr="00440011">
        <w:t>OLAF</w:t>
      </w:r>
      <w:r w:rsidR="000C3AA0" w:rsidRPr="00440011">
        <w:t>)</w:t>
      </w:r>
      <w:r w:rsidRPr="00440011">
        <w:t xml:space="preserve">, un ar ko atceļ </w:t>
      </w:r>
      <w:r w:rsidR="000C3AA0" w:rsidRPr="00440011">
        <w:t xml:space="preserve">Eiropas Parlamenta un Padomes </w:t>
      </w:r>
      <w:r w:rsidR="00616ABD" w:rsidRPr="00440011">
        <w:t>R</w:t>
      </w:r>
      <w:r w:rsidRPr="00440011">
        <w:t xml:space="preserve">egulu </w:t>
      </w:r>
      <w:r w:rsidR="000C3AA0" w:rsidRPr="00440011">
        <w:t>(EK) N</w:t>
      </w:r>
      <w:r w:rsidRPr="00440011">
        <w:t>r.</w:t>
      </w:r>
      <w:r w:rsidR="004F0298" w:rsidRPr="00440011">
        <w:t> </w:t>
      </w:r>
      <w:r w:rsidRPr="00440011">
        <w:t>1073/1999</w:t>
      </w:r>
      <w:r w:rsidR="000C3AA0" w:rsidRPr="00440011">
        <w:t xml:space="preserve"> un Padomes </w:t>
      </w:r>
      <w:r w:rsidR="00616ABD" w:rsidRPr="00440011">
        <w:t>R</w:t>
      </w:r>
      <w:r w:rsidR="000C3AA0" w:rsidRPr="00440011">
        <w:t xml:space="preserve">egulu </w:t>
      </w:r>
      <w:r w:rsidR="00CB5CD9" w:rsidRPr="00440011">
        <w:t xml:space="preserve">(EURATOM) </w:t>
      </w:r>
      <w:r w:rsidR="000C3AA0" w:rsidRPr="00440011">
        <w:t>Nr.</w:t>
      </w:r>
      <w:r w:rsidR="004F0298" w:rsidRPr="00440011">
        <w:t> </w:t>
      </w:r>
      <w:r w:rsidR="00CB5CD9" w:rsidRPr="00440011">
        <w:t>1074/1999</w:t>
      </w:r>
      <w:r w:rsidRPr="00440011">
        <w:t xml:space="preserve">, 11.panta 1.punkta otrajā daļā ir iekļauts precizējums, saskaņā ar kuru OLAF ieteikumos norāda pasākumus, kas būtu jāveic attiecīgās dalībvalsts kompetentajām iestādēm. </w:t>
      </w:r>
      <w:r w:rsidR="00936D1F" w:rsidRPr="00440011">
        <w:t>Ne no š</w:t>
      </w:r>
      <w:r w:rsidR="00CB5CD9" w:rsidRPr="00440011">
        <w:t>ī</w:t>
      </w:r>
      <w:r w:rsidR="00936D1F" w:rsidRPr="00440011">
        <w:t xml:space="preserve">s regulas vispārējās struktūras, ne no mērķa neizriet, ka tās 11.panta 1.punkts varētu tikt interpretēts tādējādi, ka valsts iestādēm, kas ir OLAF ziņojuma vai ieteikumu adresāts, tas rada pienākumus saistībā ar to, kādas turpmākās darbības minētajām iestādēm ir jāveic saistībā ar minētajiem faktiem. OLAF ziņojumi valsts iestādēm nav saistoši. </w:t>
      </w:r>
    </w:p>
    <w:p w:rsidR="00E76D38" w:rsidRPr="00440011" w:rsidRDefault="00936D1F" w:rsidP="007F1FA9">
      <w:pPr>
        <w:pStyle w:val="NormalWeb"/>
        <w:spacing w:before="0" w:beforeAutospacing="0" w:after="0" w:afterAutospacing="0" w:line="276" w:lineRule="auto"/>
        <w:ind w:firstLine="720"/>
        <w:jc w:val="both"/>
      </w:pPr>
      <w:r w:rsidRPr="00440011">
        <w:t xml:space="preserve">Tādējādi </w:t>
      </w:r>
      <w:r w:rsidR="001F44F8" w:rsidRPr="00440011">
        <w:t xml:space="preserve">vispārīgi </w:t>
      </w:r>
      <w:r w:rsidRPr="00440011">
        <w:t>nodokļa iegrāmatošanu vai neiegrāmatošanu, iekasēšanu vai neiekasēšanu, atmaksāšanu vai atlaišanu nosaka iestādes pieņemts lēmums, kura pamatā ir konkrēto apstākļu izvērtējums</w:t>
      </w:r>
      <w:r w:rsidR="00C56A20" w:rsidRPr="00440011">
        <w:t>, nevis OLAF ziņojums pats par sevi</w:t>
      </w:r>
      <w:r w:rsidRPr="00440011">
        <w:t xml:space="preserve">. Tāpat nodokļa atmaksāšu vai atlaišanu pēc iestādes ierosmes nosaka </w:t>
      </w:r>
      <w:r w:rsidR="00372708" w:rsidRPr="00440011">
        <w:t xml:space="preserve">konstatētie apstākļi, nevis personas pieteikuma esība. </w:t>
      </w:r>
      <w:r w:rsidR="00C56A20" w:rsidRPr="00440011">
        <w:t xml:space="preserve">Eiropas Savienības Tiesa šajā lietā norādīja, – principā muitas iestādēm – kā ir paredzēts arī </w:t>
      </w:r>
      <w:r w:rsidR="00616ABD" w:rsidRPr="00440011">
        <w:t>Muitas kodeksa ī</w:t>
      </w:r>
      <w:r w:rsidR="00C56A20" w:rsidRPr="00440011">
        <w:t xml:space="preserve">stenošanas regulas </w:t>
      </w:r>
      <w:proofErr w:type="gramStart"/>
      <w:r w:rsidR="00C56A20" w:rsidRPr="00440011">
        <w:t>869.panta</w:t>
      </w:r>
      <w:proofErr w:type="gramEnd"/>
      <w:r w:rsidR="00C56A20" w:rsidRPr="00440011">
        <w:t xml:space="preserve"> </w:t>
      </w:r>
      <w:r w:rsidR="0074365E" w:rsidRPr="00440011">
        <w:t>„</w:t>
      </w:r>
      <w:r w:rsidR="00C56A20" w:rsidRPr="00440011">
        <w:t xml:space="preserve">b” punktā – pašām ir jāizlemj neveikt </w:t>
      </w:r>
      <w:r w:rsidR="00C56A20" w:rsidRPr="00440011">
        <w:lastRenderedPageBreak/>
        <w:t>pēcmuitošanas iegrāmatošanu neiekasētiem nodokļiem un ar to saistīto piedziņu, ja tās uzskata, ka attiecīgais importētājs ir izpildījis tiesiskās paļāvības aizsardzības nosacījumus (</w:t>
      </w:r>
      <w:r w:rsidR="00C56A20" w:rsidRPr="00440011">
        <w:rPr>
          <w:i/>
        </w:rPr>
        <w:t>2017.gada 26.oktobra sprieduma lietā C-407/16 39.punkts</w:t>
      </w:r>
      <w:r w:rsidR="00C56A20" w:rsidRPr="00440011">
        <w:t xml:space="preserve">). </w:t>
      </w:r>
      <w:r w:rsidR="00372708" w:rsidRPr="00440011">
        <w:t xml:space="preserve">Savukārt, ja iestāde </w:t>
      </w:r>
      <w:r w:rsidR="008D38EA" w:rsidRPr="00440011">
        <w:t xml:space="preserve">izlemj iegrāmatot neiekasētos muitas nodokļus un likt importētājam tos samaksāt, tām saskaņā ar Muitas kodeksa 236.panta 1.punktu ir jāatmaksā vai jāatlaiž šie nodokļi, ja un ciktāl vēlāk izrādās, ka summa iegrāmatota, pārkāpjot šā kodeksa 220.panta 2.punkta </w:t>
      </w:r>
      <w:r w:rsidR="0074365E" w:rsidRPr="00440011">
        <w:t>„</w:t>
      </w:r>
      <w:r w:rsidR="008D38EA" w:rsidRPr="00440011">
        <w:t xml:space="preserve">b” apakšpunktu. Arī šādā gadījumā atmaksāšana vai atlaišana var notikt vai pēc pašas iestādes ierosmes, vai pamatojoties uz attiecīgu nodokļa maksātāja pieteikumu. Otrā gadījumā </w:t>
      </w:r>
      <w:r w:rsidR="00616ABD" w:rsidRPr="00440011">
        <w:t xml:space="preserve">jautājuma izlemšanai pēc būtības vispārīgi </w:t>
      </w:r>
      <w:r w:rsidR="008D38EA" w:rsidRPr="00440011">
        <w:t xml:space="preserve">nav izšķirošas nozīmes, vai persona ir iesniegusi pieteikumu par nodokļa atlaišanu vai atmaksāšanu vai tā ir pārsūdzējusi nodokļu administrācijas lēmumu par nodokļa iegrāmatošanu. Jebkurā gadījumā tai ir tiesības pārsūdzēt tiesā visus tai adresētos lēmumus par muitas maksājumiem, ko pieņēmušas iestādes, un atsaukties uz Muitas kodeksa 220.panta 2.punkta </w:t>
      </w:r>
      <w:r w:rsidR="0074365E" w:rsidRPr="00440011">
        <w:t>„</w:t>
      </w:r>
      <w:r w:rsidR="008D38EA" w:rsidRPr="00440011">
        <w:t>b” apakšpunktu</w:t>
      </w:r>
      <w:r w:rsidR="00524374" w:rsidRPr="00440011">
        <w:t xml:space="preserve"> (</w:t>
      </w:r>
      <w:r w:rsidR="00524374" w:rsidRPr="00440011">
        <w:rPr>
          <w:i/>
        </w:rPr>
        <w:t>Eiropas Savienības Tiesas</w:t>
      </w:r>
      <w:r w:rsidR="000C3AA0" w:rsidRPr="00440011">
        <w:rPr>
          <w:i/>
        </w:rPr>
        <w:t xml:space="preserve"> 2017.gada 26.oktobra sprieduma lietā C-407/16 43., 44.punkts</w:t>
      </w:r>
      <w:r w:rsidR="000C3AA0" w:rsidRPr="00440011">
        <w:t>)</w:t>
      </w:r>
      <w:r w:rsidR="008D38EA" w:rsidRPr="00440011">
        <w:t>.</w:t>
      </w:r>
      <w:r w:rsidR="00E76D38" w:rsidRPr="00440011">
        <w:t xml:space="preserve"> Lai arī iestādes lēmuma pārsūdzēšanas (Muitas kodeksa 243.pants) un nodokļa atlaišanas vai atmaksāšanas (Muitas kodeksa 236., 239.pants) procedūras ir atšķirīgas, </w:t>
      </w:r>
      <w:r w:rsidR="00524374" w:rsidRPr="00440011">
        <w:t xml:space="preserve">lēmuma pārsūdzēšanas gadījumā ne augstāka iestāde, ne tiesa nav atbrīvota no pienākuma izskatīt šādu pieteikumu pēc būtības un novērtēt, vai nodokļa samaksas pienākums noteikts pareizi, tostarp ievērojot Muitas kodeksa 220.panta 2.punkta „b” apakšpunktu. </w:t>
      </w:r>
      <w:r w:rsidR="00E76D38" w:rsidRPr="00440011">
        <w:t>Kā norādījusi Eiropas Komisija, atsaucoties uz Vispārējās Tiesas judikatūru</w:t>
      </w:r>
      <w:r w:rsidR="00D77560" w:rsidRPr="00440011">
        <w:t xml:space="preserve"> un </w:t>
      </w:r>
      <w:r w:rsidR="00E76D38" w:rsidRPr="00440011">
        <w:t xml:space="preserve">sniedzot paskaidrojumu Eiropas Savienības Tiesai lietā C-407/16, lēmuma veikt iegrāmatošanu </w:t>
      </w:r>
      <w:r w:rsidR="00E76D38" w:rsidRPr="00440011">
        <w:rPr>
          <w:i/>
        </w:rPr>
        <w:t>a aposteriori</w:t>
      </w:r>
      <w:r w:rsidR="00E76D38" w:rsidRPr="00440011">
        <w:t xml:space="preserve"> atcelšana, ko veic valsts tiesa, sekas ir tādas, ka no parādnieka vairs nevar prasīt attiecīgo ievedmuitas nodokļu samaksu un ka tādējādi iesniegums par atmaksāšanu vai atlaišanu, kas iesniegts Muitas kodeksa 236.pantā noteiktajā termiņā, zaudētu priekšmetu, un Eiropas Komisijai būtu jāatturas no lēmuma pieņemšanas. Šādos apstākļos, ja Komisija jau būtu pieņēmusi lēmumu par pieteikumu par nodokļu atmaksāšanu vai atlaišanu, šis lēmums zaudētu priekšmetu un nevarētu radīt sekas attiecībā uz parādnieka tiesisko stāvokli (</w:t>
      </w:r>
      <w:bookmarkStart w:id="3" w:name="_Hlk522192711"/>
      <w:r w:rsidR="00730714" w:rsidRPr="00440011">
        <w:rPr>
          <w:i/>
        </w:rPr>
        <w:t xml:space="preserve">Vispārējās </w:t>
      </w:r>
      <w:r w:rsidR="00E76D38" w:rsidRPr="00440011">
        <w:rPr>
          <w:i/>
        </w:rPr>
        <w:t xml:space="preserve">Tiesas </w:t>
      </w:r>
      <w:r w:rsidR="00730714" w:rsidRPr="00440011">
        <w:rPr>
          <w:i/>
        </w:rPr>
        <w:t xml:space="preserve">2012.gada 28.februāra rīkojuma </w:t>
      </w:r>
      <w:r w:rsidR="00E76D38" w:rsidRPr="00440011">
        <w:rPr>
          <w:i/>
        </w:rPr>
        <w:t xml:space="preserve">lietā T-153/10 </w:t>
      </w:r>
      <w:bookmarkEnd w:id="3"/>
      <w:r w:rsidR="00E76D38" w:rsidRPr="00440011">
        <w:rPr>
          <w:i/>
        </w:rPr>
        <w:t>32., 34.punkts</w:t>
      </w:r>
      <w:r w:rsidR="00E76D38" w:rsidRPr="00440011">
        <w:t>) .</w:t>
      </w:r>
    </w:p>
    <w:p w:rsidR="008D38EA" w:rsidRPr="00440011" w:rsidRDefault="00E2190F" w:rsidP="008D38EA">
      <w:pPr>
        <w:pStyle w:val="NormalWeb"/>
        <w:spacing w:before="0" w:beforeAutospacing="0" w:after="0" w:afterAutospacing="0" w:line="276" w:lineRule="auto"/>
        <w:ind w:firstLine="720"/>
        <w:jc w:val="both"/>
      </w:pPr>
      <w:r w:rsidRPr="00440011">
        <w:t xml:space="preserve">Tādējādi iestādes </w:t>
      </w:r>
      <w:r w:rsidR="00FC39D4" w:rsidRPr="00440011">
        <w:t>lēmuma</w:t>
      </w:r>
      <w:r w:rsidRPr="00440011">
        <w:t xml:space="preserve"> pārsūdzēšanas procesā ir pilnībā pārbaudāmi visi apstākļi Muitas kodeksa 220.panta 2.punkta „b” apakšpunkta kontekstā. Ja rezultāts ir labvēlīgs personai, kas atbildīga par nodokļa samaksu, proti, iestādes lēmumu atceļošs, nodokļa parāda atlaišanas vai atmaksas procedūra nav nepieciešama (arī iespējama).</w:t>
      </w:r>
    </w:p>
    <w:p w:rsidR="00991A7F" w:rsidRPr="00440011" w:rsidRDefault="00991A7F" w:rsidP="00991A7F">
      <w:pPr>
        <w:pStyle w:val="NormalWeb"/>
        <w:spacing w:before="0" w:beforeAutospacing="0" w:after="0" w:afterAutospacing="0" w:line="276" w:lineRule="auto"/>
        <w:ind w:firstLine="720"/>
        <w:jc w:val="both"/>
      </w:pPr>
      <w:r w:rsidRPr="00440011">
        <w:t xml:space="preserve">Savukārt no Muitas kodeksa īstenošanas regulas </w:t>
      </w:r>
      <w:proofErr w:type="gramStart"/>
      <w:r w:rsidRPr="00440011">
        <w:t>869.panta</w:t>
      </w:r>
      <w:proofErr w:type="gramEnd"/>
      <w:r w:rsidRPr="00440011">
        <w:t xml:space="preserve"> „b” punkta, kā norādījusi Eiropas Savienības Tiesa 2017.gada 26.oktobra spriedumā lietā C-407/16, izriet, ja muitas iestādes uzskata, ka ir izpildīti visi Muitas kodeksa 220.panta 2.punkta „b” apakšpunktā minētie nosacījumi, tās pašas nolemj neveikt pēcmuitošanas iegrāmatošanu neiekasētiem nodokļiem, izņemot, ja ir pienākums iesniegt Komisijā lietu saskaņā ar šīs regulas 871.pantu. Šā panta 2.punktā ir noteikts, ka tajā nav jāvēršas, ja ir izpildīti divi nosacījumi, proti, pirmkārt, ja Eiropas Komisija saskaņā ar noteikto procedūru jau pieņēmusi lēmumu lietā, kura skar līdzvērtīgus faktiskos un tiesiskos jautājumus, un, otrkārt, ja Komisija jau izskata lietu, kura skar līdzvērtīgus faktiskos un tiesiskos jautājumus (</w:t>
      </w:r>
      <w:r w:rsidRPr="00440011">
        <w:rPr>
          <w:i/>
        </w:rPr>
        <w:t>sprieduma 49., 50.punkts</w:t>
      </w:r>
      <w:r w:rsidRPr="00440011">
        <w:t xml:space="preserve">). Šajā sakarā ir skaidrs, ka saistībā ar konkrēto OLAF ziņojumu Eiropas Komisijā vērsās Somija un Komisija pieņēma lietā jau pieminēto lēmumu. Šajā lēmumā norādīts, ka lietas, kas faktiski un juridiski ir salīdzināmas ar šo, ir pieprasījumi, kas iesniegti likumīgā termiņa laikā attiecībā uz precēm, uz kurām attiecas A formas sertifikāti, ko izdevušas Kambodžas kompetentās iestādes periodā, </w:t>
      </w:r>
      <w:r w:rsidRPr="00440011">
        <w:lastRenderedPageBreak/>
        <w:t xml:space="preserve">uz kuru attiecas konkrētā OLAF izmeklēšana (2006.–2009.gads) par abiem </w:t>
      </w:r>
      <w:proofErr w:type="spellStart"/>
      <w:r w:rsidRPr="00440011">
        <w:t>eksportētājuzņēmumiem</w:t>
      </w:r>
      <w:proofErr w:type="spellEnd"/>
      <w:r w:rsidRPr="00440011">
        <w:t>, kas minēti ziņojumā, kuros preces bija velosipēdi, kuru deklarētā izcelsmes valsts bija Kambodža, un kuros šīs importa darbības tika veiktas apstākļos, kas faktiski un juridiski ir salīdzināmas ar tiem, kas ir šīs lietas pamatā. Attiecīgo personu rīcībai ir jābūt bijušai labticīgai un tām jābūt ievērojušām visus noteikumus, ko nosaka spēkā esošie tiesību akti par muitas deklarāciju (</w:t>
      </w:r>
      <w:r w:rsidRPr="00440011">
        <w:rPr>
          <w:i/>
        </w:rPr>
        <w:t>Komisijas lēmuma 33.punkts</w:t>
      </w:r>
      <w:r w:rsidRPr="00440011">
        <w:t>). Eiropas Savienības Tiesa arī norādījusi, ka dalībvalstij ir saistošs Komisijas vērtējums lēmumā, kurš pieņemts attiecībā uz citu dalībvalsti, gadījumos, kuri skar līdzvērtīgus faktiskos un tiesiskos apstākļus, kas ir jāizvērtē šīs dalībvalsts iestādēm un tiesām, tostarp ņemot vērā no OLAF ziņojuma, uz kuru šis lēmums ir balstīts, izrietošo informāciju par eksportētāja vai eksportētājvalsts muitas iestāžu rīcību (</w:t>
      </w:r>
      <w:r w:rsidRPr="00440011">
        <w:rPr>
          <w:i/>
        </w:rPr>
        <w:t>sprieduma 71.punkts</w:t>
      </w:r>
      <w:r w:rsidRPr="00440011">
        <w:t xml:space="preserve">). Tādējādi vispārīgi var atzīt, ka Muitas kodeksa īstenošanas regulas 871.panta 2.punkta izpratnē Eiropas Komisija ir izskatījusi lietu, kas skar līdzvērtīgus faktiskos un tiesiskos jautājumus. Vienlaikus tiesai ir jānovērtē tieši pieteicējas gadījuma apstākļi, tas ir, trīs nosacījumu, par kuriem runāts šā sprieduma motīvu daļas sākumā, izpildīšanās konkrētajos importa darījumos. </w:t>
      </w:r>
    </w:p>
    <w:p w:rsidR="00E2190F" w:rsidRPr="00440011" w:rsidRDefault="00E2190F" w:rsidP="008D38EA">
      <w:pPr>
        <w:pStyle w:val="NormalWeb"/>
        <w:spacing w:before="0" w:beforeAutospacing="0" w:after="0" w:afterAutospacing="0" w:line="276" w:lineRule="auto"/>
        <w:ind w:firstLine="720"/>
        <w:jc w:val="both"/>
      </w:pPr>
    </w:p>
    <w:p w:rsidR="009D2710" w:rsidRPr="00440011" w:rsidRDefault="00923E3D" w:rsidP="008D38EA">
      <w:pPr>
        <w:pStyle w:val="NormalWeb"/>
        <w:spacing w:before="0" w:beforeAutospacing="0" w:after="0" w:afterAutospacing="0" w:line="276" w:lineRule="auto"/>
        <w:ind w:firstLine="720"/>
        <w:jc w:val="both"/>
      </w:pPr>
      <w:r w:rsidRPr="00440011">
        <w:t>[2</w:t>
      </w:r>
      <w:r w:rsidR="00D56148" w:rsidRPr="00440011">
        <w:t>2</w:t>
      </w:r>
      <w:r w:rsidRPr="00440011">
        <w:t xml:space="preserve">] </w:t>
      </w:r>
      <w:r w:rsidR="009D2710" w:rsidRPr="00440011">
        <w:t xml:space="preserve">Attiecībā uz </w:t>
      </w:r>
      <w:r w:rsidR="003810D5" w:rsidRPr="00440011">
        <w:t>licences maks</w:t>
      </w:r>
      <w:r w:rsidR="00B362E5" w:rsidRPr="00440011">
        <w:t>as iekļaušanu muitas vērtībā</w:t>
      </w:r>
      <w:r w:rsidR="003810D5" w:rsidRPr="00440011">
        <w:t xml:space="preserve"> </w:t>
      </w:r>
      <w:r w:rsidR="009D2710" w:rsidRPr="00440011">
        <w:t xml:space="preserve">lietā ir strīds, vai, ievērojot pieteicējas un uzņēmuma </w:t>
      </w:r>
      <w:r w:rsidR="0074365E" w:rsidRPr="00440011">
        <w:t>„</w:t>
      </w:r>
      <w:proofErr w:type="spellStart"/>
      <w:r w:rsidR="009D2710" w:rsidRPr="00440011">
        <w:t>Hi-TEC</w:t>
      </w:r>
      <w:proofErr w:type="spellEnd"/>
      <w:r w:rsidR="009D2710" w:rsidRPr="00440011">
        <w:t xml:space="preserve"> Sports </w:t>
      </w:r>
      <w:proofErr w:type="spellStart"/>
      <w:r w:rsidR="009D2710" w:rsidRPr="00440011">
        <w:t>Internacional</w:t>
      </w:r>
      <w:proofErr w:type="spellEnd"/>
      <w:r w:rsidR="009D2710" w:rsidRPr="00440011">
        <w:t xml:space="preserve"> </w:t>
      </w:r>
      <w:proofErr w:type="spellStart"/>
      <w:r w:rsidR="009D2710" w:rsidRPr="00440011">
        <w:t>Limited</w:t>
      </w:r>
      <w:proofErr w:type="spellEnd"/>
      <w:r w:rsidR="009D2710" w:rsidRPr="00440011">
        <w:t xml:space="preserve">” </w:t>
      </w:r>
      <w:proofErr w:type="gramStart"/>
      <w:r w:rsidR="009D2710" w:rsidRPr="00440011">
        <w:t>2006.gada</w:t>
      </w:r>
      <w:proofErr w:type="gramEnd"/>
      <w:r w:rsidR="009D2710" w:rsidRPr="00440011">
        <w:t xml:space="preserve"> 23.novembra līgumu, pieteicējai bija brīva izvēle attiecīgas preces iegādāties no citiem piegādātājiem. </w:t>
      </w:r>
      <w:r w:rsidR="00616ABD" w:rsidRPr="00440011">
        <w:t>Muitas kodeksa ī</w:t>
      </w:r>
      <w:r w:rsidR="009D2710" w:rsidRPr="00440011">
        <w:t>stenošanas regulas 159.pants citastarp noteic, ka licences maksu, kas saistīta ar tiesībām izmantot preču zīmi, faktiski maksātajai vai maksājamajai cenai pieskaita tad, ja pircējam nav brīvas izvēles attiecīgās preces iegādāties no citiem piegādātājiem, kas nav saistīti ar pārdevēju.</w:t>
      </w:r>
    </w:p>
    <w:p w:rsidR="009D2710" w:rsidRPr="00440011" w:rsidRDefault="009D2710" w:rsidP="008D38EA">
      <w:pPr>
        <w:pStyle w:val="NormalWeb"/>
        <w:spacing w:before="0" w:beforeAutospacing="0" w:after="0" w:afterAutospacing="0" w:line="276" w:lineRule="auto"/>
        <w:ind w:firstLine="720"/>
        <w:jc w:val="both"/>
      </w:pPr>
      <w:r w:rsidRPr="00440011">
        <w:t xml:space="preserve">Pieteicēja kasācijas sūdzībā norāda, ka tiesa nav vērtējusi tās paskaidrojumus un pierādījumus šajā sakarā. Pieteicējas apelācijas sūdzībā ir plaši skaidrots iepriekš minētā </w:t>
      </w:r>
      <w:r w:rsidR="00FC39D4" w:rsidRPr="00440011">
        <w:t>līguma</w:t>
      </w:r>
      <w:r w:rsidRPr="00440011">
        <w:t xml:space="preserve"> saturs, tostarp konkrēti tā noteikumi. Piet</w:t>
      </w:r>
      <w:r w:rsidR="00AD65E7" w:rsidRPr="00440011">
        <w:t>e</w:t>
      </w:r>
      <w:r w:rsidRPr="00440011">
        <w:t xml:space="preserve">icēja atsaucas arī uz darījuma partnera </w:t>
      </w:r>
      <w:proofErr w:type="gramStart"/>
      <w:r w:rsidRPr="00440011">
        <w:t>2013.gada</w:t>
      </w:r>
      <w:proofErr w:type="gramEnd"/>
      <w:r w:rsidRPr="00440011">
        <w:t xml:space="preserve"> 5.novembra vēstuli, kurā</w:t>
      </w:r>
      <w:r w:rsidR="000650D5" w:rsidRPr="00440011">
        <w:t xml:space="preserve"> arī</w:t>
      </w:r>
      <w:r w:rsidRPr="00440011">
        <w:t xml:space="preserve"> tiek apliecināts, ka minētais līgums attiecīgo aizliegumu neietvēra.   </w:t>
      </w:r>
    </w:p>
    <w:p w:rsidR="00107D00" w:rsidRPr="00440011" w:rsidRDefault="00AD65E7" w:rsidP="008D38EA">
      <w:pPr>
        <w:pStyle w:val="NormalWeb"/>
        <w:spacing w:before="0" w:beforeAutospacing="0" w:after="0" w:afterAutospacing="0" w:line="276" w:lineRule="auto"/>
        <w:ind w:firstLine="720"/>
        <w:jc w:val="both"/>
      </w:pPr>
      <w:r w:rsidRPr="00440011">
        <w:t>A</w:t>
      </w:r>
      <w:r w:rsidR="009D2710" w:rsidRPr="00440011">
        <w:t xml:space="preserve">pelācijas instances tiesa ir pievienojusies pirmās instances tiesas sprieduma motivācijai, kas </w:t>
      </w:r>
      <w:r w:rsidR="00075C54" w:rsidRPr="00440011">
        <w:t xml:space="preserve">visu </w:t>
      </w:r>
      <w:r w:rsidR="000650D5" w:rsidRPr="00440011">
        <w:t xml:space="preserve">pieteicējas </w:t>
      </w:r>
      <w:r w:rsidR="00107D00" w:rsidRPr="00440011">
        <w:t xml:space="preserve">norādīto apstākļu izvērtējumu neietver, un turklāt norādījusi, ka pieteicēja nav iesniegusi </w:t>
      </w:r>
      <w:r w:rsidRPr="00440011">
        <w:t xml:space="preserve">iestādei </w:t>
      </w:r>
      <w:r w:rsidR="00107D00" w:rsidRPr="00440011">
        <w:t xml:space="preserve">aprēķinus un citus dokumentus, kas saistīti ar licences maksājumiem, kā arī aprēķinus, kas liecinātu par iestādes kļūdu muitas vērtības noteikšanā. Tomēr pieteicējas iebildums ir bijis par līguma noteikumu interpretāciju, proti, vai pieteicējai bija liegts iegādāties attiecīgas preces no citiem piegādātājiem, kas var būt izšķiroši </w:t>
      </w:r>
      <w:r w:rsidR="006D3562" w:rsidRPr="00440011">
        <w:t>Muitas kodeksa ī</w:t>
      </w:r>
      <w:r w:rsidR="00107D00" w:rsidRPr="00440011">
        <w:t>stenošanas regulas 159.panta piemērošanā. Apelācijas instances tiesa pieteicējas apelācijas sūdzībā norādītos argumentus nav aplūkojusi. No sprieduma arī nav skaidrs, kā jautājums par aprēķiniem var ietekmēt secinājumu par pieteicējas tiesībām saskaņā ar licences līgumu</w:t>
      </w:r>
      <w:r w:rsidR="000650D5" w:rsidRPr="00440011">
        <w:t xml:space="preserve"> un Muitas kodeksa īstenošanas regulas 159.pantu</w:t>
      </w:r>
      <w:r w:rsidR="00107D00" w:rsidRPr="00440011">
        <w:t>.</w:t>
      </w:r>
    </w:p>
    <w:p w:rsidR="006C31C5" w:rsidRPr="00440011" w:rsidRDefault="006C31C5" w:rsidP="008D38EA">
      <w:pPr>
        <w:pStyle w:val="NormalWeb"/>
        <w:spacing w:before="0" w:beforeAutospacing="0" w:after="0" w:afterAutospacing="0" w:line="276" w:lineRule="auto"/>
        <w:ind w:firstLine="720"/>
        <w:jc w:val="both"/>
      </w:pPr>
    </w:p>
    <w:p w:rsidR="007D266F" w:rsidRPr="00440011" w:rsidRDefault="006C31C5" w:rsidP="006C31C5">
      <w:pPr>
        <w:pStyle w:val="NormalWeb"/>
        <w:spacing w:before="0" w:beforeAutospacing="0" w:after="0" w:afterAutospacing="0" w:line="276" w:lineRule="auto"/>
        <w:ind w:firstLine="720"/>
        <w:jc w:val="both"/>
      </w:pPr>
      <w:r w:rsidRPr="00440011">
        <w:t>[2</w:t>
      </w:r>
      <w:r w:rsidR="00D56148" w:rsidRPr="00440011">
        <w:t>3</w:t>
      </w:r>
      <w:r w:rsidRPr="00440011">
        <w:t xml:space="preserve">] </w:t>
      </w:r>
      <w:r w:rsidR="000650D5" w:rsidRPr="00440011">
        <w:t xml:space="preserve">Attiecībā uz iebildumiem par </w:t>
      </w:r>
      <w:r w:rsidRPr="00440011">
        <w:t>atkārtota audita veikšanu norādāms, ka pieteicēja nav izvirzījusi šādu argumentu pieteikumā</w:t>
      </w:r>
      <w:r w:rsidR="007D266F" w:rsidRPr="00440011">
        <w:t xml:space="preserve"> (arī </w:t>
      </w:r>
      <w:r w:rsidRPr="00440011">
        <w:t>apelācijas sūdzībā</w:t>
      </w:r>
      <w:r w:rsidR="007D266F" w:rsidRPr="00440011">
        <w:t>)</w:t>
      </w:r>
      <w:r w:rsidRPr="00440011">
        <w:t xml:space="preserve">, tādēļ tiesām šāds apstāklis nebija jāvērtē, un tās to nav vērtējušas. Tāpat nav skaidrs, kādēļ, pieteicējas ieskatā, lietā būtu piemērojams likuma „Par nodokļiem un nodevām” </w:t>
      </w:r>
      <w:proofErr w:type="gramStart"/>
      <w:r w:rsidRPr="00440011">
        <w:t>23.panta</w:t>
      </w:r>
      <w:proofErr w:type="gramEnd"/>
      <w:r w:rsidRPr="00440011">
        <w:t xml:space="preserve"> 5.</w:t>
      </w:r>
      <w:r w:rsidRPr="00440011">
        <w:rPr>
          <w:vertAlign w:val="superscript"/>
        </w:rPr>
        <w:t>1</w:t>
      </w:r>
      <w:r w:rsidRPr="00440011">
        <w:t xml:space="preserve">pants (kasācijas sūdzībā – punkts), kas regulē datu atbilstības pārbaudes veikšanu, ja lietā ir veikts audits. </w:t>
      </w:r>
    </w:p>
    <w:p w:rsidR="006C31C5" w:rsidRPr="00440011" w:rsidRDefault="006C31C5" w:rsidP="006C31C5">
      <w:pPr>
        <w:pStyle w:val="NormalWeb"/>
        <w:spacing w:before="0" w:beforeAutospacing="0" w:after="0" w:afterAutospacing="0" w:line="276" w:lineRule="auto"/>
        <w:ind w:firstLine="720"/>
        <w:jc w:val="both"/>
      </w:pPr>
      <w:r w:rsidRPr="00440011">
        <w:lastRenderedPageBreak/>
        <w:t xml:space="preserve">Vienlaikus norādāms, ka gan Augstākajā tiesā, gan Eiropas Savienības Tiesā jau ir lemts jautājums par likuma „Par nodokļiem un nodevām” </w:t>
      </w:r>
      <w:proofErr w:type="gramStart"/>
      <w:r w:rsidRPr="00440011">
        <w:t>23.panta</w:t>
      </w:r>
      <w:proofErr w:type="gramEnd"/>
      <w:r w:rsidRPr="00440011">
        <w:t xml:space="preserve"> pirmās daļas attiecībā uz atkārtota audita veikšanas ierobežojumu atbilstību Muitas kodeksa 78.panta 3.punktam. Eiropas Savienības Tiesa ir atzinusi, ka tāds valsts tiesiskais regulējums, kurā ir ierobežota muitas dienestu iespēja atkārtoti veikt pārskatīšanu vai pēcmuitošanas pārbaudi un tās rezultātā noteikt jaunu muitas parādu, ciktāl šī ierobežošana attiecas uz trīs gadu laikposmu no sākotnējā muitas parāda rašanās brīža, ir pretrunā minētajai Muitas kodeksa normai </w:t>
      </w:r>
      <w:proofErr w:type="gramStart"/>
      <w:r w:rsidRPr="00440011">
        <w:t>(</w:t>
      </w:r>
      <w:bookmarkStart w:id="4" w:name="_Hlk522192729"/>
      <w:proofErr w:type="gramEnd"/>
      <w:r w:rsidRPr="00440011">
        <w:rPr>
          <w:i/>
        </w:rPr>
        <w:t>Eiropas Savienības Tiesas 2015.gada 10.decembra spriedums lietā C-427/14</w:t>
      </w:r>
      <w:bookmarkEnd w:id="4"/>
      <w:r w:rsidRPr="00440011">
        <w:rPr>
          <w:i/>
        </w:rPr>
        <w:t xml:space="preserve">, </w:t>
      </w:r>
      <w:bookmarkStart w:id="5" w:name="_Hlk522192735"/>
      <w:r w:rsidRPr="00440011">
        <w:rPr>
          <w:i/>
        </w:rPr>
        <w:t>Augstākās tiesas</w:t>
      </w:r>
      <w:r w:rsidRPr="00440011">
        <w:t xml:space="preserve"> </w:t>
      </w:r>
      <w:r w:rsidRPr="00440011">
        <w:rPr>
          <w:i/>
        </w:rPr>
        <w:t>2017.gada 21.jūnija sprieduma lietā Nr.</w:t>
      </w:r>
      <w:r w:rsidR="00306EEC" w:rsidRPr="00440011">
        <w:rPr>
          <w:i/>
        </w:rPr>
        <w:t> </w:t>
      </w:r>
      <w:r w:rsidRPr="00440011">
        <w:rPr>
          <w:i/>
        </w:rPr>
        <w:t>SKA-2/2017</w:t>
      </w:r>
      <w:bookmarkEnd w:id="5"/>
      <w:r w:rsidRPr="00440011">
        <w:rPr>
          <w:i/>
        </w:rPr>
        <w:t xml:space="preserve"> 10.punkts</w:t>
      </w:r>
      <w:r w:rsidRPr="00440011">
        <w:t>).</w:t>
      </w:r>
    </w:p>
    <w:p w:rsidR="007C7C5E" w:rsidRPr="00440011" w:rsidRDefault="007C7C5E" w:rsidP="006C31C5">
      <w:pPr>
        <w:pStyle w:val="NormalWeb"/>
        <w:spacing w:before="0" w:beforeAutospacing="0" w:after="0" w:afterAutospacing="0" w:line="276" w:lineRule="auto"/>
        <w:ind w:firstLine="720"/>
        <w:jc w:val="both"/>
      </w:pPr>
    </w:p>
    <w:p w:rsidR="007C7C5E" w:rsidRPr="00440011" w:rsidRDefault="007C7C5E" w:rsidP="006C31C5">
      <w:pPr>
        <w:pStyle w:val="NormalWeb"/>
        <w:spacing w:before="0" w:beforeAutospacing="0" w:after="0" w:afterAutospacing="0" w:line="276" w:lineRule="auto"/>
        <w:ind w:firstLine="720"/>
        <w:jc w:val="both"/>
      </w:pPr>
      <w:r w:rsidRPr="00440011">
        <w:t>[24] Ievērojot šajā spriedumā izteiktos apsvērumus, apgabaltiesas spriedums ir atceļams.</w:t>
      </w:r>
    </w:p>
    <w:p w:rsidR="006C31C5" w:rsidRPr="00440011" w:rsidRDefault="006C31C5" w:rsidP="008D38EA">
      <w:pPr>
        <w:pStyle w:val="NormalWeb"/>
        <w:spacing w:before="0" w:beforeAutospacing="0" w:after="0" w:afterAutospacing="0" w:line="276" w:lineRule="auto"/>
        <w:ind w:firstLine="720"/>
        <w:jc w:val="both"/>
      </w:pPr>
    </w:p>
    <w:p w:rsidR="00C0609B" w:rsidRPr="00440011" w:rsidRDefault="00C0609B" w:rsidP="00C0609B">
      <w:pPr>
        <w:spacing w:after="0"/>
        <w:jc w:val="center"/>
        <w:rPr>
          <w:rFonts w:cs="Times New Roman"/>
          <w:b/>
          <w:szCs w:val="24"/>
        </w:rPr>
      </w:pPr>
      <w:r w:rsidRPr="00440011">
        <w:rPr>
          <w:rFonts w:cs="Times New Roman"/>
          <w:b/>
          <w:szCs w:val="24"/>
        </w:rPr>
        <w:t>Rezolutīvā daļa</w:t>
      </w:r>
    </w:p>
    <w:p w:rsidR="00C0609B" w:rsidRPr="00440011" w:rsidRDefault="00C0609B" w:rsidP="00C0609B">
      <w:pPr>
        <w:spacing w:after="0"/>
        <w:jc w:val="center"/>
        <w:rPr>
          <w:rFonts w:cs="Times New Roman"/>
          <w:b/>
          <w:szCs w:val="24"/>
        </w:rPr>
      </w:pPr>
    </w:p>
    <w:p w:rsidR="00C0609B" w:rsidRPr="00440011" w:rsidRDefault="00C0609B" w:rsidP="00C0609B">
      <w:pPr>
        <w:spacing w:after="0"/>
        <w:ind w:firstLine="720"/>
        <w:jc w:val="both"/>
        <w:rPr>
          <w:rFonts w:cs="Times New Roman"/>
          <w:szCs w:val="24"/>
        </w:rPr>
      </w:pPr>
      <w:r w:rsidRPr="00440011">
        <w:rPr>
          <w:rFonts w:cs="Times New Roman"/>
          <w:szCs w:val="24"/>
        </w:rPr>
        <w:t xml:space="preserve">Pamatojoties uz Administratīvā procesa likuma </w:t>
      </w:r>
      <w:r w:rsidRPr="00440011">
        <w:rPr>
          <w:rFonts w:eastAsiaTheme="minorEastAsia"/>
        </w:rPr>
        <w:t>129.</w:t>
      </w:r>
      <w:r w:rsidRPr="00440011">
        <w:rPr>
          <w:rFonts w:eastAsiaTheme="minorEastAsia"/>
          <w:vertAlign w:val="superscript"/>
        </w:rPr>
        <w:t>1</w:t>
      </w:r>
      <w:r w:rsidRPr="00440011">
        <w:rPr>
          <w:rFonts w:eastAsiaTheme="minorEastAsia"/>
        </w:rPr>
        <w:t>panta pirmās daļas 1.punktu, 348.panta pirmās daļas 2.punktu</w:t>
      </w:r>
      <w:r w:rsidRPr="00440011">
        <w:rPr>
          <w:rFonts w:eastAsiaTheme="minorEastAsia" w:cs="Times New Roman"/>
          <w:szCs w:val="24"/>
        </w:rPr>
        <w:t xml:space="preserve"> un 351.pantu</w:t>
      </w:r>
      <w:r w:rsidRPr="00440011">
        <w:rPr>
          <w:rFonts w:cs="Times New Roman"/>
          <w:szCs w:val="24"/>
        </w:rPr>
        <w:t xml:space="preserve">, Augstākā tiesa </w:t>
      </w:r>
    </w:p>
    <w:p w:rsidR="00C0609B" w:rsidRPr="00440011" w:rsidRDefault="00C0609B" w:rsidP="00C0609B">
      <w:pPr>
        <w:spacing w:after="0"/>
        <w:ind w:firstLine="567"/>
        <w:jc w:val="both"/>
        <w:rPr>
          <w:rFonts w:cs="Times New Roman"/>
          <w:szCs w:val="24"/>
        </w:rPr>
      </w:pPr>
    </w:p>
    <w:p w:rsidR="00C0609B" w:rsidRPr="00440011" w:rsidRDefault="007E474B" w:rsidP="00C0609B">
      <w:pPr>
        <w:tabs>
          <w:tab w:val="left" w:pos="2700"/>
          <w:tab w:val="left" w:pos="6660"/>
        </w:tabs>
        <w:spacing w:after="0"/>
        <w:jc w:val="center"/>
        <w:rPr>
          <w:rFonts w:eastAsia="Times New Roman" w:cs="Times New Roman"/>
          <w:b/>
          <w:szCs w:val="24"/>
          <w:lang w:eastAsia="lv-LV"/>
        </w:rPr>
      </w:pPr>
      <w:r w:rsidRPr="00440011">
        <w:rPr>
          <w:rFonts w:eastAsia="Times New Roman" w:cs="Times New Roman"/>
          <w:b/>
          <w:szCs w:val="24"/>
          <w:lang w:eastAsia="lv-LV"/>
        </w:rPr>
        <w:t>N</w:t>
      </w:r>
      <w:r w:rsidR="00C0609B" w:rsidRPr="00440011">
        <w:rPr>
          <w:rFonts w:eastAsia="Times New Roman" w:cs="Times New Roman"/>
          <w:b/>
          <w:szCs w:val="24"/>
          <w:lang w:eastAsia="lv-LV"/>
        </w:rPr>
        <w:t>osprieda</w:t>
      </w:r>
    </w:p>
    <w:p w:rsidR="00C0609B" w:rsidRPr="00440011" w:rsidRDefault="00C0609B" w:rsidP="00C0609B">
      <w:pPr>
        <w:tabs>
          <w:tab w:val="left" w:pos="2700"/>
          <w:tab w:val="left" w:pos="6660"/>
        </w:tabs>
        <w:spacing w:after="0"/>
        <w:ind w:firstLine="567"/>
        <w:jc w:val="both"/>
        <w:rPr>
          <w:rFonts w:eastAsia="Times New Roman" w:cs="Times New Roman"/>
          <w:szCs w:val="24"/>
          <w:lang w:eastAsia="lv-LV"/>
        </w:rPr>
      </w:pPr>
    </w:p>
    <w:p w:rsidR="00C0609B" w:rsidRPr="00440011" w:rsidRDefault="00C0609B" w:rsidP="00C0609B">
      <w:pPr>
        <w:tabs>
          <w:tab w:val="left" w:pos="2700"/>
          <w:tab w:val="left" w:pos="6660"/>
        </w:tabs>
        <w:spacing w:after="0"/>
        <w:ind w:firstLine="720"/>
        <w:jc w:val="both"/>
        <w:rPr>
          <w:rFonts w:eastAsia="Times New Roman" w:cs="Times New Roman"/>
          <w:szCs w:val="24"/>
          <w:lang w:eastAsia="lv-LV"/>
        </w:rPr>
      </w:pPr>
      <w:r w:rsidRPr="00440011">
        <w:rPr>
          <w:rFonts w:eastAsia="Times New Roman" w:cs="Times New Roman"/>
          <w:szCs w:val="24"/>
          <w:lang w:eastAsia="lv-LV"/>
        </w:rPr>
        <w:t xml:space="preserve">Atcelt Administratīvās apgabaltiesas </w:t>
      </w:r>
      <w:proofErr w:type="gramStart"/>
      <w:r w:rsidRPr="00440011">
        <w:rPr>
          <w:rFonts w:eastAsia="Times New Roman" w:cs="Times New Roman"/>
          <w:szCs w:val="24"/>
          <w:lang w:eastAsia="lv-LV"/>
        </w:rPr>
        <w:t>2015.gada</w:t>
      </w:r>
      <w:proofErr w:type="gramEnd"/>
      <w:r w:rsidRPr="00440011">
        <w:rPr>
          <w:rFonts w:eastAsia="Times New Roman" w:cs="Times New Roman"/>
          <w:szCs w:val="24"/>
          <w:lang w:eastAsia="lv-LV"/>
        </w:rPr>
        <w:t xml:space="preserve"> 7.maija spriedumu un nosūtīt lietu jaunai izskatīšanai Administratīvajai apgabaltiesai.</w:t>
      </w:r>
    </w:p>
    <w:p w:rsidR="00C0609B" w:rsidRPr="00440011" w:rsidRDefault="00C0609B" w:rsidP="00C0609B">
      <w:pPr>
        <w:spacing w:after="0"/>
        <w:ind w:firstLine="720"/>
        <w:rPr>
          <w:rFonts w:eastAsiaTheme="minorEastAsia"/>
        </w:rPr>
      </w:pPr>
      <w:r w:rsidRPr="00440011">
        <w:rPr>
          <w:rFonts w:eastAsiaTheme="minorEastAsia"/>
        </w:rPr>
        <w:t xml:space="preserve">Atmaksāt </w:t>
      </w:r>
      <w:r w:rsidR="00E61375" w:rsidRPr="00440011">
        <w:rPr>
          <w:rFonts w:eastAsia="Times New Roman" w:cs="Times New Roman"/>
          <w:szCs w:val="24"/>
        </w:rPr>
        <w:t>SIA „</w:t>
      </w:r>
      <w:proofErr w:type="spellStart"/>
      <w:r w:rsidR="00E61375" w:rsidRPr="00440011">
        <w:rPr>
          <w:rFonts w:eastAsia="Times New Roman" w:cs="Times New Roman"/>
          <w:szCs w:val="24"/>
        </w:rPr>
        <w:t>Aqua</w:t>
      </w:r>
      <w:proofErr w:type="spellEnd"/>
      <w:r w:rsidR="00E61375" w:rsidRPr="00440011">
        <w:rPr>
          <w:rFonts w:eastAsia="Times New Roman" w:cs="Times New Roman"/>
          <w:szCs w:val="24"/>
        </w:rPr>
        <w:t xml:space="preserve"> </w:t>
      </w:r>
      <w:proofErr w:type="spellStart"/>
      <w:r w:rsidR="00E61375" w:rsidRPr="00440011">
        <w:rPr>
          <w:rFonts w:eastAsia="Times New Roman" w:cs="Times New Roman"/>
          <w:szCs w:val="24"/>
        </w:rPr>
        <w:t>Pro</w:t>
      </w:r>
      <w:proofErr w:type="spellEnd"/>
      <w:r w:rsidR="00E61375" w:rsidRPr="00440011">
        <w:rPr>
          <w:rFonts w:eastAsia="Times New Roman" w:cs="Times New Roman"/>
          <w:szCs w:val="24"/>
        </w:rPr>
        <w:t xml:space="preserve">” </w:t>
      </w:r>
      <w:r w:rsidRPr="00440011">
        <w:rPr>
          <w:rFonts w:eastAsiaTheme="minorEastAsia"/>
        </w:rPr>
        <w:t>drošības naudu 71,14 </w:t>
      </w:r>
      <w:proofErr w:type="spellStart"/>
      <w:r w:rsidRPr="00440011">
        <w:rPr>
          <w:rFonts w:eastAsiaTheme="minorEastAsia"/>
          <w:i/>
        </w:rPr>
        <w:t>euro</w:t>
      </w:r>
      <w:proofErr w:type="spellEnd"/>
      <w:r w:rsidRPr="00440011">
        <w:rPr>
          <w:rFonts w:eastAsiaTheme="minorEastAsia"/>
        </w:rPr>
        <w:t>.</w:t>
      </w:r>
    </w:p>
    <w:p w:rsidR="006E043B" w:rsidRPr="000968A9" w:rsidRDefault="00C0609B" w:rsidP="000968A9">
      <w:pPr>
        <w:tabs>
          <w:tab w:val="left" w:pos="2700"/>
          <w:tab w:val="left" w:pos="6660"/>
        </w:tabs>
        <w:spacing w:after="0"/>
        <w:ind w:firstLine="720"/>
        <w:jc w:val="both"/>
        <w:rPr>
          <w:rFonts w:eastAsia="Times New Roman" w:cs="Times New Roman"/>
          <w:szCs w:val="24"/>
          <w:lang w:eastAsia="lv-LV"/>
        </w:rPr>
      </w:pPr>
      <w:r w:rsidRPr="00440011">
        <w:rPr>
          <w:rFonts w:eastAsia="Times New Roman" w:cs="Times New Roman"/>
          <w:szCs w:val="24"/>
          <w:lang w:eastAsia="lv-LV"/>
        </w:rPr>
        <w:t>Spriedums nav pārsūdzams.</w:t>
      </w:r>
    </w:p>
    <w:sectPr w:rsidR="006E043B" w:rsidRPr="000968A9" w:rsidSect="00EC0D2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219" w:rsidRDefault="002C3219">
      <w:pPr>
        <w:spacing w:after="0" w:line="240" w:lineRule="auto"/>
      </w:pPr>
      <w:r>
        <w:separator/>
      </w:r>
    </w:p>
  </w:endnote>
  <w:endnote w:type="continuationSeparator" w:id="0">
    <w:p w:rsidR="002C3219" w:rsidRDefault="002C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48" w:rsidRDefault="00480748" w:rsidP="00EC0D29">
    <w:pPr>
      <w:pStyle w:val="Footer"/>
      <w:jc w:val="center"/>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61536F">
      <w:rPr>
        <w:rStyle w:val="PageNumber"/>
        <w:noProof/>
        <w:sz w:val="22"/>
      </w:rPr>
      <w:t>2</w:t>
    </w:r>
    <w:r>
      <w:rPr>
        <w:rStyle w:val="PageNumber"/>
        <w:sz w:val="22"/>
      </w:rPr>
      <w:fldChar w:fldCharType="end"/>
    </w:r>
    <w:r>
      <w:rPr>
        <w:rStyle w:val="PageNumber"/>
        <w:sz w:val="22"/>
      </w:rPr>
      <w:t xml:space="preserve"> no 1</w:t>
    </w:r>
    <w:r w:rsidR="00625D08">
      <w:rPr>
        <w:rStyle w:val="PageNumber"/>
        <w:sz w:val="22"/>
      </w:rPr>
      <w:t>5</w:t>
    </w:r>
  </w:p>
  <w:p w:rsidR="00480748" w:rsidRDefault="00480748" w:rsidP="00EC0D29">
    <w:pPr>
      <w:pStyle w:val="Footer"/>
      <w:jc w:val="center"/>
      <w:rPr>
        <w:rStyle w:val="PageNumber"/>
        <w:sz w:val="22"/>
      </w:rPr>
    </w:pPr>
  </w:p>
  <w:p w:rsidR="00480748" w:rsidRDefault="0048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219" w:rsidRDefault="002C3219">
      <w:pPr>
        <w:spacing w:after="0" w:line="240" w:lineRule="auto"/>
      </w:pPr>
      <w:r>
        <w:separator/>
      </w:r>
    </w:p>
  </w:footnote>
  <w:footnote w:type="continuationSeparator" w:id="0">
    <w:p w:rsidR="002C3219" w:rsidRDefault="002C3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14F47"/>
    <w:multiLevelType w:val="hybridMultilevel"/>
    <w:tmpl w:val="1436CE0A"/>
    <w:lvl w:ilvl="0" w:tplc="0D26DF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8D"/>
    <w:rsid w:val="000132B1"/>
    <w:rsid w:val="00013895"/>
    <w:rsid w:val="00034F3C"/>
    <w:rsid w:val="000650D5"/>
    <w:rsid w:val="00075C54"/>
    <w:rsid w:val="00080FEE"/>
    <w:rsid w:val="00081B18"/>
    <w:rsid w:val="000968A9"/>
    <w:rsid w:val="000B723F"/>
    <w:rsid w:val="000C0EE4"/>
    <w:rsid w:val="000C3AA0"/>
    <w:rsid w:val="00104816"/>
    <w:rsid w:val="00107D00"/>
    <w:rsid w:val="001339D3"/>
    <w:rsid w:val="00133C9B"/>
    <w:rsid w:val="001C1A9E"/>
    <w:rsid w:val="001D2C81"/>
    <w:rsid w:val="001E538D"/>
    <w:rsid w:val="001F44F8"/>
    <w:rsid w:val="001F7F30"/>
    <w:rsid w:val="002309FC"/>
    <w:rsid w:val="00233C61"/>
    <w:rsid w:val="00244241"/>
    <w:rsid w:val="00244552"/>
    <w:rsid w:val="00251FED"/>
    <w:rsid w:val="0026319F"/>
    <w:rsid w:val="00294F8B"/>
    <w:rsid w:val="002A531D"/>
    <w:rsid w:val="002C3219"/>
    <w:rsid w:val="002C52AC"/>
    <w:rsid w:val="002E5E8A"/>
    <w:rsid w:val="00306EEC"/>
    <w:rsid w:val="003120F8"/>
    <w:rsid w:val="00315D82"/>
    <w:rsid w:val="0032452D"/>
    <w:rsid w:val="003246F5"/>
    <w:rsid w:val="00336486"/>
    <w:rsid w:val="00343DAB"/>
    <w:rsid w:val="00370D72"/>
    <w:rsid w:val="00372708"/>
    <w:rsid w:val="003810D5"/>
    <w:rsid w:val="003B39DC"/>
    <w:rsid w:val="004023C3"/>
    <w:rsid w:val="00417CBD"/>
    <w:rsid w:val="00423E17"/>
    <w:rsid w:val="00440011"/>
    <w:rsid w:val="00450B79"/>
    <w:rsid w:val="00457F2C"/>
    <w:rsid w:val="004618FF"/>
    <w:rsid w:val="004759DB"/>
    <w:rsid w:val="00475D11"/>
    <w:rsid w:val="00480748"/>
    <w:rsid w:val="0049462D"/>
    <w:rsid w:val="004B2BFE"/>
    <w:rsid w:val="004B6C26"/>
    <w:rsid w:val="004F0298"/>
    <w:rsid w:val="00524374"/>
    <w:rsid w:val="00536365"/>
    <w:rsid w:val="00541304"/>
    <w:rsid w:val="0055418E"/>
    <w:rsid w:val="005724B7"/>
    <w:rsid w:val="00585AD7"/>
    <w:rsid w:val="00591D5E"/>
    <w:rsid w:val="005A36EB"/>
    <w:rsid w:val="005A5524"/>
    <w:rsid w:val="005C3B7C"/>
    <w:rsid w:val="005C4F9F"/>
    <w:rsid w:val="005E5E45"/>
    <w:rsid w:val="005F3E47"/>
    <w:rsid w:val="0061536F"/>
    <w:rsid w:val="00616ABD"/>
    <w:rsid w:val="006178B0"/>
    <w:rsid w:val="00625D08"/>
    <w:rsid w:val="00631B7F"/>
    <w:rsid w:val="00634274"/>
    <w:rsid w:val="00667963"/>
    <w:rsid w:val="00667EDD"/>
    <w:rsid w:val="006705F5"/>
    <w:rsid w:val="006A62C8"/>
    <w:rsid w:val="006C31C5"/>
    <w:rsid w:val="006D3562"/>
    <w:rsid w:val="006E043B"/>
    <w:rsid w:val="006F000B"/>
    <w:rsid w:val="0071250F"/>
    <w:rsid w:val="00730714"/>
    <w:rsid w:val="0074365E"/>
    <w:rsid w:val="00751EF1"/>
    <w:rsid w:val="00764D1F"/>
    <w:rsid w:val="00785F45"/>
    <w:rsid w:val="00791BC7"/>
    <w:rsid w:val="007A2699"/>
    <w:rsid w:val="007C7C5E"/>
    <w:rsid w:val="007D266F"/>
    <w:rsid w:val="007E474B"/>
    <w:rsid w:val="007F1FA9"/>
    <w:rsid w:val="007F7663"/>
    <w:rsid w:val="00803986"/>
    <w:rsid w:val="00837674"/>
    <w:rsid w:val="008959F9"/>
    <w:rsid w:val="008D38EA"/>
    <w:rsid w:val="008E10DB"/>
    <w:rsid w:val="008E3F4C"/>
    <w:rsid w:val="00913B68"/>
    <w:rsid w:val="00923E37"/>
    <w:rsid w:val="00923E3D"/>
    <w:rsid w:val="00936D1F"/>
    <w:rsid w:val="00970F35"/>
    <w:rsid w:val="0097105E"/>
    <w:rsid w:val="00971BE3"/>
    <w:rsid w:val="00982CB4"/>
    <w:rsid w:val="00991A7F"/>
    <w:rsid w:val="00994C1E"/>
    <w:rsid w:val="009C1F2A"/>
    <w:rsid w:val="009D2710"/>
    <w:rsid w:val="009D2F16"/>
    <w:rsid w:val="009E4EB7"/>
    <w:rsid w:val="009F15FE"/>
    <w:rsid w:val="00A73CFD"/>
    <w:rsid w:val="00AA2DB6"/>
    <w:rsid w:val="00AB271A"/>
    <w:rsid w:val="00AB2EBC"/>
    <w:rsid w:val="00AB35BB"/>
    <w:rsid w:val="00AB53BB"/>
    <w:rsid w:val="00AD65E7"/>
    <w:rsid w:val="00AE139A"/>
    <w:rsid w:val="00B007F0"/>
    <w:rsid w:val="00B06E7C"/>
    <w:rsid w:val="00B362E5"/>
    <w:rsid w:val="00B53429"/>
    <w:rsid w:val="00B75B12"/>
    <w:rsid w:val="00B80E3C"/>
    <w:rsid w:val="00BA52D2"/>
    <w:rsid w:val="00BE123F"/>
    <w:rsid w:val="00BE18F8"/>
    <w:rsid w:val="00C02194"/>
    <w:rsid w:val="00C046B4"/>
    <w:rsid w:val="00C0609B"/>
    <w:rsid w:val="00C1625B"/>
    <w:rsid w:val="00C3059F"/>
    <w:rsid w:val="00C4214C"/>
    <w:rsid w:val="00C5151D"/>
    <w:rsid w:val="00C54D83"/>
    <w:rsid w:val="00C56A20"/>
    <w:rsid w:val="00C64739"/>
    <w:rsid w:val="00CB199C"/>
    <w:rsid w:val="00CB5CD9"/>
    <w:rsid w:val="00CC159C"/>
    <w:rsid w:val="00CC6112"/>
    <w:rsid w:val="00CD3B8C"/>
    <w:rsid w:val="00D56148"/>
    <w:rsid w:val="00D77560"/>
    <w:rsid w:val="00DC641B"/>
    <w:rsid w:val="00DD6C47"/>
    <w:rsid w:val="00E04128"/>
    <w:rsid w:val="00E129E4"/>
    <w:rsid w:val="00E207DB"/>
    <w:rsid w:val="00E2190F"/>
    <w:rsid w:val="00E34550"/>
    <w:rsid w:val="00E367A5"/>
    <w:rsid w:val="00E379BC"/>
    <w:rsid w:val="00E57E0B"/>
    <w:rsid w:val="00E61375"/>
    <w:rsid w:val="00E61801"/>
    <w:rsid w:val="00E72BFD"/>
    <w:rsid w:val="00E76D38"/>
    <w:rsid w:val="00E94485"/>
    <w:rsid w:val="00E9726B"/>
    <w:rsid w:val="00EA0A14"/>
    <w:rsid w:val="00EB68BB"/>
    <w:rsid w:val="00EC0D29"/>
    <w:rsid w:val="00EC7BD8"/>
    <w:rsid w:val="00ED0A70"/>
    <w:rsid w:val="00ED2574"/>
    <w:rsid w:val="00EF62AE"/>
    <w:rsid w:val="00F21F3C"/>
    <w:rsid w:val="00F25AD3"/>
    <w:rsid w:val="00F47AF9"/>
    <w:rsid w:val="00F83FFD"/>
    <w:rsid w:val="00FC39D4"/>
    <w:rsid w:val="00FC44C0"/>
    <w:rsid w:val="00FC78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96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E538D"/>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1E538D"/>
    <w:rPr>
      <w:rFonts w:ascii="Garamond" w:eastAsia="Times New Roman" w:hAnsi="Garamond" w:cs="Times New Roman"/>
      <w:sz w:val="28"/>
      <w:szCs w:val="28"/>
    </w:rPr>
  </w:style>
  <w:style w:type="paragraph" w:styleId="BodyTextIndent">
    <w:name w:val="Body Text Indent"/>
    <w:basedOn w:val="Normal"/>
    <w:link w:val="BodyTextIndentChar"/>
    <w:rsid w:val="001E538D"/>
    <w:pPr>
      <w:spacing w:after="120" w:line="240" w:lineRule="auto"/>
      <w:ind w:left="283"/>
    </w:pPr>
    <w:rPr>
      <w:rFonts w:eastAsia="Times New Roman" w:cs="Times New Roman"/>
      <w:szCs w:val="24"/>
    </w:rPr>
  </w:style>
  <w:style w:type="character" w:customStyle="1" w:styleId="BodyTextIndentChar">
    <w:name w:val="Body Text Indent Char"/>
    <w:basedOn w:val="DefaultParagraphFont"/>
    <w:link w:val="BodyTextIndent"/>
    <w:rsid w:val="001E538D"/>
    <w:rPr>
      <w:rFonts w:eastAsia="Times New Roman" w:cs="Times New Roman"/>
      <w:szCs w:val="24"/>
    </w:rPr>
  </w:style>
  <w:style w:type="paragraph" w:styleId="Footer">
    <w:name w:val="footer"/>
    <w:basedOn w:val="Normal"/>
    <w:link w:val="FooterChar"/>
    <w:unhideWhenUsed/>
    <w:rsid w:val="001E538D"/>
    <w:pPr>
      <w:tabs>
        <w:tab w:val="center" w:pos="4153"/>
        <w:tab w:val="right" w:pos="8306"/>
      </w:tabs>
      <w:spacing w:after="0" w:line="240" w:lineRule="auto"/>
    </w:pPr>
  </w:style>
  <w:style w:type="character" w:customStyle="1" w:styleId="FooterChar">
    <w:name w:val="Footer Char"/>
    <w:basedOn w:val="DefaultParagraphFont"/>
    <w:link w:val="Footer"/>
    <w:rsid w:val="001E538D"/>
  </w:style>
  <w:style w:type="character" w:styleId="PageNumber">
    <w:name w:val="page number"/>
    <w:basedOn w:val="DefaultParagraphFont"/>
    <w:rsid w:val="001E538D"/>
  </w:style>
  <w:style w:type="paragraph" w:styleId="NormalWeb">
    <w:name w:val="Normal (Web)"/>
    <w:basedOn w:val="Normal"/>
    <w:unhideWhenUsed/>
    <w:rsid w:val="001E538D"/>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959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9F9"/>
  </w:style>
  <w:style w:type="paragraph" w:styleId="BalloonText">
    <w:name w:val="Balloon Text"/>
    <w:basedOn w:val="Normal"/>
    <w:link w:val="BalloonTextChar"/>
    <w:uiPriority w:val="99"/>
    <w:semiHidden/>
    <w:unhideWhenUsed/>
    <w:rsid w:val="00895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32310</Words>
  <Characters>18417</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2018-08-16T10:36:00Z</dcterms:created>
  <dcterms:modified xsi:type="dcterms:W3CDTF">2018-08-16T11:49:00Z</dcterms:modified>
</cp:coreProperties>
</file>