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0A60B" w14:textId="77777777" w:rsidR="00FD534C" w:rsidRDefault="00FD534C" w:rsidP="00FD534C">
      <w:pPr>
        <w:jc w:val="both"/>
        <w:rPr>
          <w:b/>
          <w:bCs/>
          <w:lang w:eastAsia="en-US"/>
        </w:rPr>
      </w:pPr>
      <w:r>
        <w:rPr>
          <w:b/>
          <w:bCs/>
        </w:rPr>
        <w:t>Atsevišķa dokumenta formā sniegta kopīpašnieka piekrišana būvniecībai</w:t>
      </w:r>
    </w:p>
    <w:p w14:paraId="71E14C60" w14:textId="79655DA4" w:rsidR="00E94857" w:rsidRDefault="00FD534C" w:rsidP="00FD534C">
      <w:pPr>
        <w:spacing w:line="276" w:lineRule="auto"/>
        <w:jc w:val="both"/>
      </w:pPr>
      <w:r>
        <w:t>1. Atsevišķa dokumenta formā sniegtam kopīpašnieka saskaņojumam jābūt noformētam tādējādi, lai no tā izrietētu nepārprotama piekrišana būvdarbiem. Minētais, vērtējot kopīpašnieku saskaņojumu būvniecībai kopīpašumā, nav saprotams tādējādi, ka atsevišķajā procesuālajā dokumentā obligāti jābūt uzskaitītiem konkrētiem būvniecības darbiem, kuriem kopīpašnieki piekrīt. Tomē</w:t>
      </w:r>
      <w:bookmarkStart w:id="0" w:name="_GoBack"/>
      <w:bookmarkEnd w:id="0"/>
      <w:r>
        <w:t>r prasība noformēt saskaņojumu nepārprotami paredz, ka no saskaņojuma jābūt saprotamam, ka kopīpašnieks patiešām piekritis konkrēta veida būvdarbiem konkrētajā kopīpašuma daļā.</w:t>
      </w:r>
    </w:p>
    <w:p w14:paraId="40C652D1" w14:textId="4267C4F9" w:rsidR="00FD534C" w:rsidRDefault="00FD534C" w:rsidP="00FD534C">
      <w:pPr>
        <w:jc w:val="both"/>
        <w:rPr>
          <w:lang w:eastAsia="en-US"/>
        </w:rPr>
      </w:pPr>
      <w:r>
        <w:t>2. Primāri vērtējums par to, vai būvniecības iecere atbilst normatīvo aktu prasībām, ir tās iestādes kompetencē, kas izsniedz būvniecību atļaujošo administratīvo aktu. Savukārt kopīpašnieka saskaņojuma esība pati par sevi neapstiprina, ka plānotā būvniecība atbilst normatīvo aktu prasībām, jo saskaņojuma mērķis ir apliecināt, ka kopīpašnieks piekrīt tieši konkrēta veida izmaiņām savā nekustamajā īpašumā. Būvniecībai ir jāatbilst normatīvo aktu prasībām neatkarīgi no tā, vai minētais ir tieši noteikts, kopīpašniekiem vienojoties par nekustamā īpašuma lietošanu un apbūvi.</w:t>
      </w:r>
    </w:p>
    <w:p w14:paraId="47664308" w14:textId="77777777" w:rsidR="00FD534C" w:rsidRPr="00E94857" w:rsidRDefault="00FD534C" w:rsidP="00FD534C">
      <w:pPr>
        <w:spacing w:line="276" w:lineRule="auto"/>
        <w:jc w:val="both"/>
      </w:pPr>
    </w:p>
    <w:p w14:paraId="2C457BEB" w14:textId="5103B058" w:rsidR="006B7BBC" w:rsidRDefault="006B7BBC" w:rsidP="006B7BBC">
      <w:pPr>
        <w:spacing w:line="276" w:lineRule="auto"/>
        <w:jc w:val="center"/>
        <w:rPr>
          <w:b/>
        </w:rPr>
      </w:pPr>
      <w:r w:rsidRPr="00E94857">
        <w:rPr>
          <w:b/>
        </w:rPr>
        <w:t>Latvijas Republikas Senāt</w:t>
      </w:r>
      <w:r w:rsidR="00E94857">
        <w:rPr>
          <w:b/>
        </w:rPr>
        <w:t>a</w:t>
      </w:r>
    </w:p>
    <w:p w14:paraId="01CBB35B" w14:textId="0FD6FCD1" w:rsidR="00E94857" w:rsidRDefault="00E94857" w:rsidP="006B7BBC">
      <w:pPr>
        <w:spacing w:line="276" w:lineRule="auto"/>
        <w:jc w:val="center"/>
        <w:rPr>
          <w:b/>
        </w:rPr>
      </w:pPr>
      <w:r>
        <w:rPr>
          <w:b/>
        </w:rPr>
        <w:t>Administratīvo lietu departamenta</w:t>
      </w:r>
    </w:p>
    <w:p w14:paraId="45AD9021" w14:textId="66DDADEE" w:rsidR="00E94857" w:rsidRPr="00E94857" w:rsidRDefault="00E94857" w:rsidP="006B7BBC">
      <w:pPr>
        <w:spacing w:line="276" w:lineRule="auto"/>
        <w:jc w:val="center"/>
        <w:rPr>
          <w:b/>
        </w:rPr>
      </w:pPr>
      <w:proofErr w:type="gramStart"/>
      <w:r>
        <w:rPr>
          <w:b/>
        </w:rPr>
        <w:t>2019.gada</w:t>
      </w:r>
      <w:proofErr w:type="gramEnd"/>
      <w:r>
        <w:rPr>
          <w:b/>
        </w:rPr>
        <w:t xml:space="preserve"> 28.februāra</w:t>
      </w:r>
    </w:p>
    <w:p w14:paraId="74464A5E" w14:textId="77777777" w:rsidR="00E94857" w:rsidRDefault="00EC5534" w:rsidP="006B7BBC">
      <w:pPr>
        <w:spacing w:line="276" w:lineRule="auto"/>
        <w:jc w:val="center"/>
        <w:rPr>
          <w:b/>
        </w:rPr>
      </w:pPr>
      <w:r w:rsidRPr="00E94857">
        <w:rPr>
          <w:b/>
        </w:rPr>
        <w:t>SPRIEDUMS</w:t>
      </w:r>
    </w:p>
    <w:p w14:paraId="00AFBF17" w14:textId="3D3DA625" w:rsidR="00EC5534" w:rsidRDefault="00E94857" w:rsidP="00E94857">
      <w:pPr>
        <w:spacing w:line="276" w:lineRule="auto"/>
        <w:jc w:val="center"/>
      </w:pPr>
      <w:r>
        <w:rPr>
          <w:b/>
        </w:rPr>
        <w:t>Lieta Nr. A420198416, SKA-254/2019</w:t>
      </w:r>
      <w:r w:rsidR="00EC5534" w:rsidRPr="00E94857">
        <w:t xml:space="preserve"> </w:t>
      </w:r>
    </w:p>
    <w:p w14:paraId="011BA37A" w14:textId="3D85E7A9" w:rsidR="00E94857" w:rsidRPr="00E94857" w:rsidRDefault="0087468E" w:rsidP="00E94857">
      <w:pPr>
        <w:spacing w:line="276" w:lineRule="auto"/>
        <w:jc w:val="center"/>
        <w:rPr>
          <w:b/>
          <w:color w:val="0000FF"/>
          <w:u w:val="single"/>
        </w:rPr>
      </w:pPr>
      <w:hyperlink r:id="rId8" w:history="1">
        <w:r w:rsidR="00E94857" w:rsidRPr="00E94857">
          <w:rPr>
            <w:rStyle w:val="Hyperlink"/>
            <w:color w:val="0000FF"/>
          </w:rPr>
          <w:t>ECLI:LV:AT:2019:0228.A420198416.2.S</w:t>
        </w:r>
      </w:hyperlink>
    </w:p>
    <w:p w14:paraId="20E420EA" w14:textId="77777777" w:rsidR="006B7BBC" w:rsidRDefault="006B7BBC" w:rsidP="006B7BBC">
      <w:pPr>
        <w:spacing w:line="276" w:lineRule="auto"/>
        <w:ind w:firstLine="567"/>
        <w:jc w:val="both"/>
      </w:pPr>
    </w:p>
    <w:p w14:paraId="6ACF8526" w14:textId="77777777" w:rsidR="006B7BBC" w:rsidRDefault="006B7BBC" w:rsidP="006B7BBC">
      <w:pPr>
        <w:spacing w:line="276" w:lineRule="auto"/>
        <w:ind w:firstLine="567"/>
        <w:jc w:val="both"/>
      </w:pPr>
      <w:r w:rsidRPr="003069A8">
        <w:t>Tiesa šādā</w:t>
      </w:r>
      <w:r w:rsidRPr="0015480A">
        <w:t xml:space="preserve"> sastāvā:</w:t>
      </w:r>
      <w:r w:rsidR="003D196C">
        <w:t xml:space="preserve"> senatores Ieva Višķere, Vēsma Kakste, Veronika Krūmiņa</w:t>
      </w:r>
    </w:p>
    <w:p w14:paraId="36340255" w14:textId="77777777" w:rsidR="003047F5" w:rsidRPr="0082381C" w:rsidRDefault="003047F5" w:rsidP="000B0A3A">
      <w:pPr>
        <w:spacing w:line="276" w:lineRule="auto"/>
        <w:ind w:firstLine="567"/>
        <w:jc w:val="both"/>
      </w:pPr>
    </w:p>
    <w:p w14:paraId="044A56B7" w14:textId="4B566634" w:rsidR="003047F5" w:rsidRPr="0082381C" w:rsidRDefault="00941626" w:rsidP="000B0A3A">
      <w:pPr>
        <w:spacing w:line="276" w:lineRule="auto"/>
        <w:ind w:firstLine="567"/>
        <w:jc w:val="both"/>
      </w:pPr>
      <w:r w:rsidRPr="0082381C">
        <w:t xml:space="preserve">rakstveida procesā izskatīja administratīvo lietu, kas ierosināta, pamatojoties uz </w:t>
      </w:r>
      <w:proofErr w:type="gramStart"/>
      <w:r w:rsidR="00E603A0">
        <w:t>[</w:t>
      </w:r>
      <w:proofErr w:type="gramEnd"/>
      <w:r w:rsidR="00E603A0">
        <w:t>pers. A]</w:t>
      </w:r>
      <w:r w:rsidR="007C7F81">
        <w:t xml:space="preserve"> pieteikum</w:t>
      </w:r>
      <w:r w:rsidR="00EB4272">
        <w:t>u</w:t>
      </w:r>
      <w:r w:rsidR="007C7F81">
        <w:t xml:space="preserve"> par labvēlīga administratīvā akta izdošanu, </w:t>
      </w:r>
      <w:r w:rsidRPr="0082381C">
        <w:t>s</w:t>
      </w:r>
      <w:r w:rsidR="008570F8">
        <w:t>a</w:t>
      </w:r>
      <w:r w:rsidRPr="0082381C">
        <w:t xml:space="preserve">karā ar </w:t>
      </w:r>
      <w:r w:rsidR="007C7F81">
        <w:t xml:space="preserve">Rīgas domes Pilsētas attīstības departamenta un </w:t>
      </w:r>
      <w:proofErr w:type="gramStart"/>
      <w:r w:rsidR="00E603A0">
        <w:t>[</w:t>
      </w:r>
      <w:proofErr w:type="gramEnd"/>
      <w:r w:rsidR="00E603A0">
        <w:t>pers. B]</w:t>
      </w:r>
      <w:r w:rsidRPr="0082381C">
        <w:t xml:space="preserve"> kasācijas sūdzīb</w:t>
      </w:r>
      <w:r w:rsidR="007C7F81">
        <w:t>ām</w:t>
      </w:r>
      <w:r w:rsidRPr="0082381C">
        <w:t xml:space="preserve"> par </w:t>
      </w:r>
      <w:r w:rsidR="007C7F81">
        <w:t xml:space="preserve">Administratīvās apgabaltiesas </w:t>
      </w:r>
      <w:proofErr w:type="gramStart"/>
      <w:r w:rsidR="007C7F81">
        <w:t>2017.gada</w:t>
      </w:r>
      <w:proofErr w:type="gramEnd"/>
      <w:r w:rsidR="007C7F81">
        <w:t xml:space="preserve"> 11.maija </w:t>
      </w:r>
      <w:r w:rsidRPr="0082381C">
        <w:t>spriedumu.</w:t>
      </w:r>
    </w:p>
    <w:p w14:paraId="32ED6A2C" w14:textId="77777777" w:rsidR="00A6596A" w:rsidRPr="0082381C" w:rsidRDefault="00A6596A" w:rsidP="000B0A3A">
      <w:pPr>
        <w:spacing w:line="276" w:lineRule="auto"/>
        <w:ind w:firstLine="567"/>
        <w:jc w:val="both"/>
      </w:pPr>
    </w:p>
    <w:p w14:paraId="590EDC98" w14:textId="77777777" w:rsidR="003047F5" w:rsidRPr="0082381C" w:rsidRDefault="003047F5" w:rsidP="00833668">
      <w:pPr>
        <w:pStyle w:val="ATvirsraksts"/>
      </w:pPr>
      <w:r w:rsidRPr="0082381C">
        <w:t>Aprakstošā daļa</w:t>
      </w:r>
    </w:p>
    <w:p w14:paraId="2A319F6B" w14:textId="77777777" w:rsidR="003047F5" w:rsidRPr="0082381C" w:rsidRDefault="003047F5" w:rsidP="000B0A3A">
      <w:pPr>
        <w:spacing w:line="276" w:lineRule="auto"/>
        <w:ind w:firstLine="567"/>
        <w:jc w:val="both"/>
      </w:pPr>
    </w:p>
    <w:p w14:paraId="4CBD8A70" w14:textId="301C9BAB" w:rsidR="003047F5" w:rsidRDefault="003047F5" w:rsidP="000B0A3A">
      <w:pPr>
        <w:spacing w:line="276" w:lineRule="auto"/>
        <w:ind w:firstLine="567"/>
        <w:jc w:val="both"/>
      </w:pPr>
      <w:r w:rsidRPr="0082381C">
        <w:t>[1] </w:t>
      </w:r>
      <w:r w:rsidR="00476D28">
        <w:t xml:space="preserve">Pieteicējai </w:t>
      </w:r>
      <w:r w:rsidR="00E603A0">
        <w:t>[pers. A]</w:t>
      </w:r>
      <w:r w:rsidR="00476D28">
        <w:t xml:space="preserve"> un trešajai personai </w:t>
      </w:r>
      <w:proofErr w:type="gramStart"/>
      <w:r w:rsidR="00E603A0">
        <w:t>[</w:t>
      </w:r>
      <w:proofErr w:type="gramEnd"/>
      <w:r w:rsidR="00E603A0">
        <w:t>pers. B]</w:t>
      </w:r>
      <w:r w:rsidR="00476D28">
        <w:t xml:space="preserve"> kopīpašumā pieder nekustamais īpašuma Rīgā, </w:t>
      </w:r>
      <w:r w:rsidR="00E603A0">
        <w:t>[adrese]</w:t>
      </w:r>
      <w:r w:rsidR="00476D28">
        <w:t xml:space="preserve">. </w:t>
      </w:r>
      <w:r w:rsidR="00B813B2">
        <w:t xml:space="preserve">Pieteicējas un trešās personas starpā ir noslēgtas vairākas vienošanās par kopīpašuma lietošanas kārtību, kā arī kārtību, kādā atsevišķā lietošanā nodotajās daļās ir veicama būvniecība. </w:t>
      </w:r>
    </w:p>
    <w:p w14:paraId="1E74B7DE" w14:textId="3F7EAC95" w:rsidR="00476D28" w:rsidRDefault="00476D28" w:rsidP="00476D28">
      <w:pPr>
        <w:spacing w:line="276" w:lineRule="auto"/>
        <w:ind w:firstLine="567"/>
        <w:jc w:val="both"/>
      </w:pPr>
      <w:r>
        <w:t>Pieteicēja vērsās Rīgas pilsētas būvvaldē (turpmāk – būvvalde) ar būvniecības iesniegumu tās lietošanā nodoto</w:t>
      </w:r>
      <w:r w:rsidR="00B813B2">
        <w:t xml:space="preserve"> dzīvokļa Nr. 1A</w:t>
      </w:r>
      <w:r>
        <w:t xml:space="preserve"> telpu pārbūvei 1.stāva telpu grupā 001. </w:t>
      </w:r>
      <w:r w:rsidR="00B813B2">
        <w:t xml:space="preserve">Minētā būvniecības iecere </w:t>
      </w:r>
      <w:proofErr w:type="spellStart"/>
      <w:r w:rsidR="00B813B2">
        <w:t>citstarp</w:t>
      </w:r>
      <w:proofErr w:type="spellEnd"/>
      <w:r w:rsidR="00B813B2">
        <w:t xml:space="preserve"> paredzēja ieejas durvju izbūvi no fasādes puses pieteicējas lietošanā nodoto telpu izmantošanai. </w:t>
      </w:r>
    </w:p>
    <w:p w14:paraId="7EBE7691" w14:textId="2280C6FD" w:rsidR="00476D28" w:rsidRPr="0082381C" w:rsidRDefault="00476D28" w:rsidP="003072B1">
      <w:pPr>
        <w:spacing w:line="276" w:lineRule="auto"/>
        <w:ind w:firstLine="567"/>
        <w:jc w:val="both"/>
      </w:pPr>
      <w:r>
        <w:t xml:space="preserve">Būvvalde ar </w:t>
      </w:r>
      <w:proofErr w:type="gramStart"/>
      <w:r>
        <w:t>2016.gada</w:t>
      </w:r>
      <w:proofErr w:type="gramEnd"/>
      <w:r>
        <w:t xml:space="preserve"> 12.janvāra lēmumu atteica izskatīt būvniecības</w:t>
      </w:r>
      <w:r w:rsidR="003072B1">
        <w:t xml:space="preserve"> iesniegumu un izdot būvatļauju, </w:t>
      </w:r>
      <w:r w:rsidR="00E128F2">
        <w:t>norādot</w:t>
      </w:r>
      <w:r w:rsidR="003072B1">
        <w:t xml:space="preserve">, ka pieteicēja nav iesniegusi trešās personas piekrišanu plānotajai būvniecībai. Minētais lēmums atstāts negrozīts ar Rīgas domes Pilsētas attīstības departamenta (turpmāk – departaments) </w:t>
      </w:r>
      <w:proofErr w:type="gramStart"/>
      <w:r w:rsidR="003072B1">
        <w:t>2016.gada</w:t>
      </w:r>
      <w:proofErr w:type="gramEnd"/>
      <w:r w:rsidR="003072B1">
        <w:t xml:space="preserve"> 31.marta lēmumu</w:t>
      </w:r>
      <w:r w:rsidR="00501AFF">
        <w:t xml:space="preserve"> (turpmāk – pārsūdzētais lēmums)</w:t>
      </w:r>
      <w:r w:rsidR="00B45302">
        <w:t>, kurā uzsvērts, ka</w:t>
      </w:r>
      <w:r w:rsidR="00417BD0">
        <w:t>,</w:t>
      </w:r>
      <w:r w:rsidR="00B45302">
        <w:t xml:space="preserve"> tā kā pieteicējas būvniecības iecere skar nesošās konstrukcijas, pieteicējai jāsaņem otras </w:t>
      </w:r>
      <w:proofErr w:type="spellStart"/>
      <w:r w:rsidR="00B45302">
        <w:t>kopīpašnieces</w:t>
      </w:r>
      <w:proofErr w:type="spellEnd"/>
      <w:r w:rsidR="00B45302">
        <w:t xml:space="preserve"> piekrišana būvprojektā paredzētajiem būvniecības darbiem. </w:t>
      </w:r>
    </w:p>
    <w:p w14:paraId="6BD79E58" w14:textId="77777777" w:rsidR="003047F5" w:rsidRPr="0082381C" w:rsidRDefault="003047F5" w:rsidP="000B0A3A">
      <w:pPr>
        <w:spacing w:line="276" w:lineRule="auto"/>
        <w:ind w:firstLine="567"/>
        <w:jc w:val="both"/>
      </w:pPr>
    </w:p>
    <w:p w14:paraId="49E297F8" w14:textId="082F7F29" w:rsidR="003047F5" w:rsidRDefault="003047F5" w:rsidP="000B0A3A">
      <w:pPr>
        <w:spacing w:line="276" w:lineRule="auto"/>
        <w:ind w:firstLine="567"/>
        <w:jc w:val="both"/>
      </w:pPr>
      <w:r w:rsidRPr="0082381C">
        <w:lastRenderedPageBreak/>
        <w:t>[2] </w:t>
      </w:r>
      <w:r w:rsidR="00476D28">
        <w:t>Pieteicēja vērsās Administratīvajā rajona tiesā ar pieteikumu</w:t>
      </w:r>
      <w:r w:rsidR="00AC5F23">
        <w:t xml:space="preserve"> par</w:t>
      </w:r>
      <w:r w:rsidR="003072B1">
        <w:t xml:space="preserve"> labvēlīga administratīvā akta – būvatļaujas pieteicējas ierosinātajai būvniecībai – izdošanu. </w:t>
      </w:r>
      <w:r w:rsidR="00AC5F23">
        <w:t xml:space="preserve"> </w:t>
      </w:r>
    </w:p>
    <w:p w14:paraId="14ECE4A1" w14:textId="77777777" w:rsidR="00AC5F23" w:rsidRDefault="00AC5F23" w:rsidP="000B0A3A">
      <w:pPr>
        <w:spacing w:line="276" w:lineRule="auto"/>
        <w:ind w:firstLine="567"/>
        <w:jc w:val="both"/>
      </w:pPr>
    </w:p>
    <w:p w14:paraId="16B51B32" w14:textId="77777777" w:rsidR="00C27893" w:rsidRDefault="00AC5F23" w:rsidP="000B0A3A">
      <w:pPr>
        <w:spacing w:line="276" w:lineRule="auto"/>
        <w:ind w:firstLine="567"/>
        <w:jc w:val="both"/>
      </w:pPr>
      <w:r>
        <w:t xml:space="preserve">[3] Administratīvā apgabaltiesa, izskatījusi lietu apelācijas kārtībā, ar </w:t>
      </w:r>
      <w:proofErr w:type="gramStart"/>
      <w:r>
        <w:t>2017.gada</w:t>
      </w:r>
      <w:proofErr w:type="gramEnd"/>
      <w:r>
        <w:t xml:space="preserve"> 11.maija spriedumu </w:t>
      </w:r>
      <w:r w:rsidR="00C27893">
        <w:t>uzdeva Rīgas pilsētas būvvaldei pienākumu viena mēneša laikā no sprieduma spēkā stāšanās izskatīt pieteicējas būvniecības iesniegumu, ņemot vērā šajā spriedumā izdarītos secinājumus</w:t>
      </w:r>
      <w:r>
        <w:t xml:space="preserve">. </w:t>
      </w:r>
    </w:p>
    <w:p w14:paraId="5F0BBEAA" w14:textId="3CE11B04" w:rsidR="00AC5F23" w:rsidRDefault="00C27893" w:rsidP="000B0A3A">
      <w:pPr>
        <w:spacing w:line="276" w:lineRule="auto"/>
        <w:ind w:firstLine="567"/>
        <w:jc w:val="both"/>
      </w:pPr>
      <w:r>
        <w:t>S</w:t>
      </w:r>
      <w:r w:rsidR="00AC5F23">
        <w:t>priedums, ievērojot pievienošanos rajona tiesas sprieduma motīvu daļai, pamatots ar turpmāk minētajiem apsvērumiem.</w:t>
      </w:r>
    </w:p>
    <w:p w14:paraId="609E7937" w14:textId="4EADDA02" w:rsidR="00AC5F23" w:rsidRDefault="00AC5F23" w:rsidP="00AC5F23">
      <w:pPr>
        <w:spacing w:line="276" w:lineRule="auto"/>
        <w:ind w:firstLine="567"/>
        <w:jc w:val="both"/>
      </w:pPr>
      <w:r>
        <w:t xml:space="preserve">[3.1] Būvniecības likuma </w:t>
      </w:r>
      <w:proofErr w:type="gramStart"/>
      <w:r>
        <w:t>15.panta</w:t>
      </w:r>
      <w:proofErr w:type="gramEnd"/>
      <w:r>
        <w:t xml:space="preserve"> pirmā daļa </w:t>
      </w:r>
      <w:proofErr w:type="spellStart"/>
      <w:r>
        <w:t>citstarp</w:t>
      </w:r>
      <w:proofErr w:type="spellEnd"/>
      <w:r>
        <w:t xml:space="preserve"> paredz, ka būvatļauju izdod, ja būvniecības iecere ir saskaņota ar zemesgabala īpašnieku un būves īpašnieku gadījumā, kad būvniecība paredzēta esošā būvē, vai zemesgabala īpašnieks ir informēts gadījumā, kad to prasa normatīvie akti.</w:t>
      </w:r>
      <w:r w:rsidRPr="00AC5F23">
        <w:t xml:space="preserve"> </w:t>
      </w:r>
    </w:p>
    <w:p w14:paraId="4A6997F1" w14:textId="77777777" w:rsidR="00417BD0" w:rsidRDefault="004626E9" w:rsidP="00AC5F23">
      <w:pPr>
        <w:spacing w:line="276" w:lineRule="auto"/>
        <w:ind w:firstLine="567"/>
        <w:jc w:val="both"/>
      </w:pPr>
      <w:r>
        <w:t xml:space="preserve">Pieteicējas un trešās personas starpā </w:t>
      </w:r>
      <w:proofErr w:type="gramStart"/>
      <w:r>
        <w:t>2013.gada</w:t>
      </w:r>
      <w:proofErr w:type="gramEnd"/>
      <w:r>
        <w:t xml:space="preserve"> 4.martā noslēgta vienošanās par lietošanas tiesībām, 2014.gada 5.septembrī noslēgta vienošanās par remontu un pārbūvju veikšanu nekustamajā īpašumā, bet 2014.gada 11.septembrī noslēgta vienošanās par lietošanas tiesībām. Minētās vienošanās paredz, ka pieteicēja un trešā persona privāttiesiskā kārtā ir noteikušas dalītu nekustamā īpašuma lietošanas kārtību, kas paredz pušu piekrišanu remontu un pārbūvju veikšanai ar nosacījumiem, par kuriem puses ir vienojušās. </w:t>
      </w:r>
    </w:p>
    <w:p w14:paraId="4012EC36" w14:textId="4FF6E499" w:rsidR="004626E9" w:rsidRDefault="004626E9" w:rsidP="00AC5F23">
      <w:pPr>
        <w:spacing w:line="276" w:lineRule="auto"/>
        <w:ind w:firstLine="567"/>
        <w:jc w:val="both"/>
      </w:pPr>
      <w:r>
        <w:t xml:space="preserve">Pārsūdzētajā lēmumā secināts, ka minētās vienošanās neparedz trešās personas piekrišanu pieteicējas ierosinātajai būvniecībai. </w:t>
      </w:r>
    </w:p>
    <w:p w14:paraId="151A7A92" w14:textId="77777777" w:rsidR="004626E9" w:rsidRDefault="004626E9" w:rsidP="004626E9">
      <w:pPr>
        <w:spacing w:line="276" w:lineRule="auto"/>
        <w:ind w:firstLine="567"/>
        <w:jc w:val="both"/>
      </w:pPr>
      <w:r>
        <w:t xml:space="preserve">[3.2] Būvprojekts, ar kuru pieteicēja vērsusies būvvaldē, paredz ieejas durvju </w:t>
      </w:r>
      <w:r w:rsidR="00D24D98">
        <w:t>izbūvi no fasādes puses pieteicējai atsevišķā lietošanā nodotajā dzīvokļa Nr. 1A daļā</w:t>
      </w:r>
      <w:r w:rsidR="00EB4272">
        <w:t>.</w:t>
      </w:r>
      <w:r w:rsidR="00D24D98">
        <w:t xml:space="preserve"> </w:t>
      </w:r>
    </w:p>
    <w:p w14:paraId="2CC639B7" w14:textId="230F1BD5" w:rsidR="000B6499" w:rsidRDefault="004626E9" w:rsidP="004626E9">
      <w:pPr>
        <w:spacing w:line="276" w:lineRule="auto"/>
        <w:ind w:firstLine="567"/>
        <w:jc w:val="both"/>
      </w:pPr>
      <w:proofErr w:type="gramStart"/>
      <w:r>
        <w:t>2014.gada</w:t>
      </w:r>
      <w:proofErr w:type="gramEnd"/>
      <w:r>
        <w:t xml:space="preserve"> 5.septembra vienošanās, uz kuru atsaukusies iestāde, satur atsauci uz 2013.gada 4.marta vienošanos par nekustamā īpašuma lietošanas kārtību. Tomēr minētās vienošanās nesatur noteikumus par dzīvokļa Nr. 1A lietošanas tiesībām. Noteikumi, kas attiecas uz dzīvokļa Nr. 1A lietošanas tiesībām </w:t>
      </w:r>
      <w:r w:rsidR="00625D48">
        <w:t xml:space="preserve">un apbūvi, </w:t>
      </w:r>
      <w:r>
        <w:t xml:space="preserve">noteikti </w:t>
      </w:r>
      <w:r w:rsidR="00417BD0">
        <w:t xml:space="preserve">ar </w:t>
      </w:r>
      <w:proofErr w:type="gramStart"/>
      <w:r>
        <w:t>2014.gada</w:t>
      </w:r>
      <w:proofErr w:type="gramEnd"/>
      <w:r>
        <w:t xml:space="preserve"> 11.septembra vienošan</w:t>
      </w:r>
      <w:r w:rsidR="00417BD0">
        <w:t>o</w:t>
      </w:r>
      <w:r>
        <w:t xml:space="preserve">s. Līdz ar to </w:t>
      </w:r>
      <w:proofErr w:type="gramStart"/>
      <w:r>
        <w:t>2014.gada</w:t>
      </w:r>
      <w:proofErr w:type="gramEnd"/>
      <w:r>
        <w:t xml:space="preserve"> 5.septembra vienošanās (un tajā ietvertie noteikumi īpašuma apbūvei) </w:t>
      </w:r>
      <w:r w:rsidR="000B6499">
        <w:t>nav tieši saistāmi ar dzīvokļa Nr. 1A lietošanu un apbūvi</w:t>
      </w:r>
      <w:r w:rsidR="00417BD0">
        <w:t xml:space="preserve">. </w:t>
      </w:r>
    </w:p>
    <w:p w14:paraId="3A9D1DAE" w14:textId="75DD1308" w:rsidR="00AC5F23" w:rsidRDefault="000B6499" w:rsidP="000B6499">
      <w:pPr>
        <w:spacing w:line="276" w:lineRule="auto"/>
        <w:ind w:firstLine="567"/>
        <w:jc w:val="both"/>
      </w:pPr>
      <w:proofErr w:type="gramStart"/>
      <w:r>
        <w:t>2014.gada</w:t>
      </w:r>
      <w:proofErr w:type="gramEnd"/>
      <w:r>
        <w:t xml:space="preserve"> </w:t>
      </w:r>
      <w:r w:rsidR="00D24D98">
        <w:t>11.septembra vienošanās 1.6.</w:t>
      </w:r>
      <w:r w:rsidR="004626E9">
        <w:t>apakš</w:t>
      </w:r>
      <w:r w:rsidR="00D24D98">
        <w:t xml:space="preserve">punks paredz, ka trešā persona „apliecina, ka piekrīt un arī turpmāk izsniegs visus nepieciešamos saskaņojumus, lai </w:t>
      </w:r>
      <w:r w:rsidR="00E603A0">
        <w:t>[pers. A]</w:t>
      </w:r>
      <w:r w:rsidR="00D24D98">
        <w:t xml:space="preserve"> izbūvētu ieejas durvis no fasādes puses </w:t>
      </w:r>
      <w:proofErr w:type="gramStart"/>
      <w:r w:rsidR="00E603A0">
        <w:t>[</w:t>
      </w:r>
      <w:proofErr w:type="gramEnd"/>
      <w:r w:rsidR="00E603A0">
        <w:t>pers. A]</w:t>
      </w:r>
      <w:r w:rsidR="00D24D98">
        <w:t xml:space="preserve"> atsevišķā lietošanā nodotā dzīvokļa 1A daļā”. No minētā punkta izriet, ka </w:t>
      </w:r>
      <w:r w:rsidR="00AC5F23">
        <w:t>pieteicēja un trešā persona ar pienācīgu konkretizācijas pakāpi ir vienojušās, ka trešā persona piekrīt, ka pieteicēja izbūvē ieejas durvis no fasādes puses pieteicējas atsevišķā lietošanā nodot</w:t>
      </w:r>
      <w:r w:rsidR="00625D48">
        <w:t>aj</w:t>
      </w:r>
      <w:r w:rsidR="00AC5F23">
        <w:t>ā dzīvokļa Nr.</w:t>
      </w:r>
      <w:r w:rsidR="00D24D98">
        <w:t> </w:t>
      </w:r>
      <w:r w:rsidR="00AC5F23">
        <w:t xml:space="preserve">1A daļā. </w:t>
      </w:r>
    </w:p>
    <w:p w14:paraId="47554AEE" w14:textId="758FB9FB" w:rsidR="004626E9" w:rsidRDefault="000B6499" w:rsidP="00FD4B32">
      <w:pPr>
        <w:spacing w:line="276" w:lineRule="auto"/>
        <w:ind w:firstLine="567"/>
        <w:jc w:val="both"/>
      </w:pPr>
      <w:r>
        <w:t>Trešā persona pa</w:t>
      </w:r>
      <w:r w:rsidR="00625D48">
        <w:t>reizi</w:t>
      </w:r>
      <w:r>
        <w:t xml:space="preserve"> norāda, ka </w:t>
      </w:r>
      <w:proofErr w:type="gramStart"/>
      <w:r>
        <w:t>2014.gada</w:t>
      </w:r>
      <w:proofErr w:type="gramEnd"/>
      <w:r>
        <w:t xml:space="preserve"> 11.septembra vienošanās 7. un 8.punktā (</w:t>
      </w:r>
      <w:r w:rsidR="00625D48">
        <w:t xml:space="preserve">šajos </w:t>
      </w:r>
      <w:r>
        <w:t xml:space="preserve">punktos pieteicēja un trešā persona vienojušās par citu (ne šajā lietā ierosināto) ieejas durvju izbūvi nekustamajā īpašumā) </w:t>
      </w:r>
      <w:r w:rsidR="00625D48">
        <w:t xml:space="preserve">trešās personas piekrišana </w:t>
      </w:r>
      <w:r>
        <w:t>noform</w:t>
      </w:r>
      <w:r w:rsidR="00625D48">
        <w:t xml:space="preserve">ulēta citādi, lietojot vārdus </w:t>
      </w:r>
      <w:r>
        <w:t>„piekrīt un atļauj</w:t>
      </w:r>
      <w:r w:rsidR="00625D48">
        <w:t xml:space="preserve"> [</w:t>
      </w:r>
      <w:r>
        <w:t>veikt konkrētos darbus</w:t>
      </w:r>
      <w:r w:rsidR="00625D48">
        <w:t>]”</w:t>
      </w:r>
      <w:r>
        <w:t xml:space="preserve">. Tomēr </w:t>
      </w:r>
      <w:r w:rsidR="00625D48">
        <w:t xml:space="preserve">gan </w:t>
      </w:r>
      <w:r w:rsidR="00FD4B32">
        <w:t xml:space="preserve">no 2014.gada 11.septembra vienošanās 1.6.apakšpunkta atsevišķi, gan </w:t>
      </w:r>
      <w:r w:rsidR="00625D48">
        <w:t xml:space="preserve">no </w:t>
      </w:r>
      <w:r w:rsidR="00FD4B32">
        <w:t>vienošanās teksta kopumā ir iespējams gūt pārliecību, ka trešā persona ir devusi piekrišanu pieteicējas plānotajai būvniecībai.</w:t>
      </w:r>
      <w:r w:rsidR="00FD4B32" w:rsidRPr="00FD4B32">
        <w:t xml:space="preserve"> </w:t>
      </w:r>
      <w:r w:rsidR="00FD4B32">
        <w:t>Minētajā vienošanās punktā ietvertās norādes uz nepieciešamo saskaņojumu izsniegšanu vērtējamas kā trešās personas piekrišana sniegt nepieciešamos saskaņojumus arī gadījumā, ja tādi papildus jau pielīgtajam saskaņojumam būs nepieciešami, bet šī norāde nekādā gadījumā nav saprotama tādējādi, ka trešā persona kādu apstākļu dēļ ir tiesīga atteikties no dotās piekrišanas.</w:t>
      </w:r>
    </w:p>
    <w:p w14:paraId="728B68DF" w14:textId="76531AC8" w:rsidR="00FD4B32" w:rsidRDefault="009E3FC5" w:rsidP="00CD692F">
      <w:pPr>
        <w:spacing w:line="276" w:lineRule="auto"/>
        <w:ind w:firstLine="567"/>
        <w:jc w:val="both"/>
      </w:pPr>
      <w:r>
        <w:lastRenderedPageBreak/>
        <w:t xml:space="preserve">[3.3] </w:t>
      </w:r>
      <w:proofErr w:type="gramStart"/>
      <w:r w:rsidR="00CD692F">
        <w:t>2014.gada</w:t>
      </w:r>
      <w:proofErr w:type="gramEnd"/>
      <w:r w:rsidR="00CD692F">
        <w:t xml:space="preserve"> 11.septembra vienošanās nosacījums, ka </w:t>
      </w:r>
      <w:r w:rsidR="00FD4B32">
        <w:t xml:space="preserve">pārbūve jāveic atbilstoši normatīvo aktu prasībām, </w:t>
      </w:r>
      <w:r w:rsidR="00625D48">
        <w:t>ne</w:t>
      </w:r>
      <w:r w:rsidR="00FD4B32">
        <w:t xml:space="preserve">nozīmē to, ka </w:t>
      </w:r>
      <w:r w:rsidR="00CD692F">
        <w:t>2014.gada 11.septembra</w:t>
      </w:r>
      <w:r w:rsidR="00FD4B32">
        <w:t xml:space="preserve"> </w:t>
      </w:r>
      <w:r w:rsidR="007D2C53">
        <w:t xml:space="preserve">vienošanās </w:t>
      </w:r>
      <w:r w:rsidR="00FD4B32">
        <w:t>1.6.</w:t>
      </w:r>
      <w:r w:rsidR="00CD692F">
        <w:t>apakš</w:t>
      </w:r>
      <w:r w:rsidR="00FD4B32">
        <w:t xml:space="preserve">punktā paredzētajai pārbūvei ir nepieciešams atsevišķs saskaņojums ar kopīpašnieku. </w:t>
      </w:r>
      <w:r w:rsidR="004243B5">
        <w:t>V</w:t>
      </w:r>
      <w:r w:rsidR="00FD4B32">
        <w:t>ienošanās noslēgšana par kopīpašuma lietošanas kārtību atbilst būvniecību regulējošiem normatīvajiem aktiem.</w:t>
      </w:r>
    </w:p>
    <w:p w14:paraId="1BA9AA1B" w14:textId="4712DB15" w:rsidR="00FD4B32" w:rsidRDefault="00CD692F" w:rsidP="00CD692F">
      <w:pPr>
        <w:spacing w:line="276" w:lineRule="auto"/>
        <w:ind w:firstLine="567"/>
        <w:jc w:val="both"/>
      </w:pPr>
      <w:r>
        <w:t xml:space="preserve">Tāpat arī apstāklis, ka pieteicēja </w:t>
      </w:r>
      <w:proofErr w:type="gramStart"/>
      <w:r w:rsidR="00FD4B32">
        <w:t>2015.gada</w:t>
      </w:r>
      <w:proofErr w:type="gramEnd"/>
      <w:r w:rsidR="00FD4B32">
        <w:t xml:space="preserve"> 13.oktobrī nosūtījusi </w:t>
      </w:r>
      <w:r>
        <w:t>trešajai personai</w:t>
      </w:r>
      <w:r w:rsidR="00FD4B32">
        <w:t xml:space="preserve"> notariālu paziņojumu par </w:t>
      </w:r>
      <w:r>
        <w:t>b</w:t>
      </w:r>
      <w:r w:rsidR="00FD4B32">
        <w:t xml:space="preserve">ūvprojekta saskaņošanu, neietekmē pieteicējai ar </w:t>
      </w:r>
      <w:r>
        <w:t>2014.gada 11.septembra vienošanās</w:t>
      </w:r>
      <w:r w:rsidR="00FD4B32">
        <w:t xml:space="preserve"> 1.6.</w:t>
      </w:r>
      <w:r w:rsidR="007D2C53">
        <w:t>apakš</w:t>
      </w:r>
      <w:r w:rsidR="00FD4B32">
        <w:t>punktu piešķirtās tiesības uz durvju izbūvi.</w:t>
      </w:r>
    </w:p>
    <w:p w14:paraId="6697705A" w14:textId="17A6E4F9" w:rsidR="00FD4B32" w:rsidRDefault="00CD692F" w:rsidP="00FD4B32">
      <w:pPr>
        <w:spacing w:line="276" w:lineRule="auto"/>
        <w:ind w:firstLine="567"/>
        <w:jc w:val="both"/>
      </w:pPr>
      <w:r>
        <w:t xml:space="preserve">Uz šo lietu nav attiecināmi arī administratīvās lietas </w:t>
      </w:r>
      <w:r w:rsidR="00FD4B32">
        <w:t>Nr.</w:t>
      </w:r>
      <w:r>
        <w:t> </w:t>
      </w:r>
      <w:r w:rsidR="00FD4B32">
        <w:t>A420323915</w:t>
      </w:r>
      <w:r>
        <w:t xml:space="preserve"> ietvaros izteiktie secinājumi</w:t>
      </w:r>
      <w:r w:rsidR="00FD4B32">
        <w:t>, jo</w:t>
      </w:r>
      <w:r>
        <w:t xml:space="preserve"> minētajā lietā tiesa vērtēja trešās personas</w:t>
      </w:r>
      <w:r w:rsidR="00FD4B32">
        <w:t xml:space="preserve"> tiesības veikt dzīvokļa Nr.</w:t>
      </w:r>
      <w:r>
        <w:t> </w:t>
      </w:r>
      <w:r w:rsidR="00FD4B32">
        <w:t>4 pārbūvi</w:t>
      </w:r>
      <w:proofErr w:type="gramStart"/>
      <w:r w:rsidR="00FD4B32">
        <w:t xml:space="preserve"> un</w:t>
      </w:r>
      <w:proofErr w:type="gramEnd"/>
      <w:r w:rsidR="00FD4B32">
        <w:t xml:space="preserve"> dzīvokļa Nr.1A lietošanas kārtība tika pieminēta vienīgi saistībā </w:t>
      </w:r>
      <w:r>
        <w:t>pieteicējas</w:t>
      </w:r>
      <w:r w:rsidR="00FD4B32">
        <w:t xml:space="preserve"> iebil</w:t>
      </w:r>
      <w:r>
        <w:t xml:space="preserve">dumiem par piekļūšanas iespējām tās dzīvoklim. </w:t>
      </w:r>
    </w:p>
    <w:p w14:paraId="31518E2B" w14:textId="4DDC5EDA" w:rsidR="00D24D98" w:rsidRDefault="009E3FC5" w:rsidP="00CD692F">
      <w:pPr>
        <w:spacing w:line="276" w:lineRule="auto"/>
        <w:ind w:firstLine="567"/>
        <w:jc w:val="both"/>
      </w:pPr>
      <w:r>
        <w:t xml:space="preserve">[3.4] Apkopojot minēto, </w:t>
      </w:r>
      <w:proofErr w:type="gramStart"/>
      <w:r>
        <w:t>2014.gada</w:t>
      </w:r>
      <w:proofErr w:type="gramEnd"/>
      <w:r>
        <w:t xml:space="preserve"> 11.septembra</w:t>
      </w:r>
      <w:r w:rsidR="00AC5F23">
        <w:t xml:space="preserve"> vienošanās satur </w:t>
      </w:r>
      <w:r w:rsidR="00D24D98">
        <w:t>trešās personas</w:t>
      </w:r>
      <w:r w:rsidR="00AC5F23">
        <w:t xml:space="preserve"> piekrišanu jeb saskaņojumu attiecīgo ieejas durvju izbūvei nekustamajā īpašumā</w:t>
      </w:r>
      <w:r w:rsidR="00CD692F">
        <w:t>.</w:t>
      </w:r>
      <w:r w:rsidR="00AC5F23">
        <w:t xml:space="preserve"> </w:t>
      </w:r>
      <w:proofErr w:type="gramStart"/>
      <w:r w:rsidR="00AC5F23">
        <w:t xml:space="preserve">Līdz ar to pārsūdzētajā lēmumā </w:t>
      </w:r>
      <w:r w:rsidR="00D24D98">
        <w:t>pieteicējai</w:t>
      </w:r>
      <w:r w:rsidR="00AC5F23">
        <w:t xml:space="preserve"> nepamatoti noteikts</w:t>
      </w:r>
      <w:proofErr w:type="gramEnd"/>
      <w:r w:rsidR="00AC5F23">
        <w:t xml:space="preserve"> pienākums atkārtoti saskaņot </w:t>
      </w:r>
      <w:r w:rsidR="00D24D98">
        <w:t>b</w:t>
      </w:r>
      <w:r w:rsidR="00AC5F23">
        <w:t xml:space="preserve">ūvprojektu, jo šāds </w:t>
      </w:r>
      <w:r w:rsidR="00D24D98">
        <w:t>trešās personas</w:t>
      </w:r>
      <w:r w:rsidR="00AC5F23">
        <w:t xml:space="preserve"> saskaņojums jau ir sniegts</w:t>
      </w:r>
      <w:r w:rsidR="00CD692F">
        <w:t>.</w:t>
      </w:r>
      <w:r w:rsidR="00D24D98">
        <w:t xml:space="preserve"> </w:t>
      </w:r>
    </w:p>
    <w:p w14:paraId="20C7D95F" w14:textId="77777777" w:rsidR="00BD6D64" w:rsidRDefault="00BD6D64" w:rsidP="00AC5F23">
      <w:pPr>
        <w:spacing w:line="276" w:lineRule="auto"/>
        <w:ind w:firstLine="567"/>
        <w:jc w:val="both"/>
      </w:pPr>
    </w:p>
    <w:p w14:paraId="2DEACB82" w14:textId="10392D34" w:rsidR="00BD6D64" w:rsidRDefault="00BD6D64" w:rsidP="00AC5F23">
      <w:pPr>
        <w:spacing w:line="276" w:lineRule="auto"/>
        <w:ind w:firstLine="567"/>
        <w:jc w:val="both"/>
      </w:pPr>
      <w:r>
        <w:t xml:space="preserve">[4] </w:t>
      </w:r>
      <w:r w:rsidR="001B7BB3">
        <w:t>D</w:t>
      </w:r>
      <w:r>
        <w:t xml:space="preserve">epartaments iesniedza kasācijas sūdzību par minēto apgabaltiesas spriedumu. Kasācijas sūdzība pamatota ar turpmāk </w:t>
      </w:r>
      <w:r w:rsidR="004243B5">
        <w:t xml:space="preserve">norādītajiem </w:t>
      </w:r>
      <w:r>
        <w:t>apsvērumiem.</w:t>
      </w:r>
    </w:p>
    <w:p w14:paraId="238E0455" w14:textId="7E91574A" w:rsidR="00BD6D64" w:rsidRDefault="00BD6D64" w:rsidP="00AC5F23">
      <w:pPr>
        <w:spacing w:line="276" w:lineRule="auto"/>
        <w:ind w:firstLine="567"/>
        <w:jc w:val="both"/>
      </w:pPr>
      <w:r>
        <w:t xml:space="preserve">[4.1] </w:t>
      </w:r>
      <w:r w:rsidR="001B7BB3">
        <w:t xml:space="preserve">Apgabaltiesa spriedumā secinājusi, ka trešās personas piekrišana pieteicējas būvdarbiem izriet no </w:t>
      </w:r>
      <w:proofErr w:type="gramStart"/>
      <w:r w:rsidR="001B7BB3">
        <w:t>2014.gada</w:t>
      </w:r>
      <w:proofErr w:type="gramEnd"/>
      <w:r w:rsidR="001B7BB3">
        <w:t xml:space="preserve"> 11.septembra vienošanās 1.6.apakšpunkta, kā arī cita starpā no minētās vienošanās 7. un 8.punkta. Tomēr vienošanās 7. un 8.punkts attiecas u</w:t>
      </w:r>
      <w:r w:rsidR="007D2C53">
        <w:t>z</w:t>
      </w:r>
      <w:r w:rsidR="001B7BB3">
        <w:t xml:space="preserve"> trešās personas piekrišanu pieteicējai izbūvēt citas ieejas durvis. </w:t>
      </w:r>
    </w:p>
    <w:p w14:paraId="6C2AE86C" w14:textId="28CEA68C" w:rsidR="001B7BB3" w:rsidRDefault="001B7BB3" w:rsidP="00AC5F23">
      <w:pPr>
        <w:spacing w:line="276" w:lineRule="auto"/>
        <w:ind w:firstLine="567"/>
        <w:jc w:val="both"/>
      </w:pPr>
      <w:r>
        <w:t xml:space="preserve">[4.2] </w:t>
      </w:r>
      <w:proofErr w:type="gramStart"/>
      <w:r>
        <w:t>2014.gada</w:t>
      </w:r>
      <w:proofErr w:type="gramEnd"/>
      <w:r>
        <w:t xml:space="preserve"> 11.septembra vienošanās 1.6.apakšpunkts nepārprotami nosaka, ka trešā persona apliecina, ka turpmāk izsniegs visus nepieciešamos saskaņojumus pieteicējas plānotajai būvniecībai. </w:t>
      </w:r>
      <w:r w:rsidR="00D23475">
        <w:t>Tātad pieteicējas vēlamajai būvniecība</w:t>
      </w:r>
      <w:r w:rsidR="007D2C53">
        <w:t>i</w:t>
      </w:r>
      <w:r w:rsidR="00D23475">
        <w:t xml:space="preserve"> – ieejas durvju izbūvei no fasādes puses</w:t>
      </w:r>
      <w:r w:rsidR="00D23475" w:rsidRPr="00D23475">
        <w:t xml:space="preserve"> – </w:t>
      </w:r>
      <w:r w:rsidR="00D23475">
        <w:t>ir nepieciešams trešās personas saskaņojums.</w:t>
      </w:r>
    </w:p>
    <w:p w14:paraId="7BB2A08E" w14:textId="0CC9CE2D" w:rsidR="001B7BB3" w:rsidRDefault="001B7BB3" w:rsidP="00AC5F23">
      <w:pPr>
        <w:spacing w:line="276" w:lineRule="auto"/>
        <w:ind w:firstLine="567"/>
        <w:jc w:val="both"/>
      </w:pPr>
      <w:r>
        <w:t xml:space="preserve">[4.3] No tiesvedības gaitā izskanējušā izriet, ka trešā persona noliedz, ka ar </w:t>
      </w:r>
      <w:proofErr w:type="gramStart"/>
      <w:r>
        <w:t>2014.gada</w:t>
      </w:r>
      <w:proofErr w:type="gramEnd"/>
      <w:r>
        <w:t xml:space="preserve"> 11.septembra vienošanos devusi piekrišanu būvprojektā paredzētajiem būvniecības darbiem. Lai arī būvvalde nav ierobežota strīda gadījumā pārbaudīt Civillikuma </w:t>
      </w:r>
      <w:proofErr w:type="gramStart"/>
      <w:r>
        <w:t>1068.panta</w:t>
      </w:r>
      <w:proofErr w:type="gramEnd"/>
      <w:r>
        <w:t xml:space="preserve"> prasību ievērošanu, proti, pārbaudīt, vai būves īpašnieki devuši piekrišanu vēlamajai būvniecības iecerei, tomēr būvvaldei nav pienākuma interpretēt starp kopīpašniekiem noslēgtās vienošanās saturu. Ja starp pusēm rodas strīds par noslēgtās vienošanās saturu, tad minētās domstarpības risināmas civiltiesiskā kārtā vispārējās jurisdikcijas tiesā.</w:t>
      </w:r>
    </w:p>
    <w:p w14:paraId="0414DC3E" w14:textId="77777777" w:rsidR="001F078F" w:rsidRDefault="001F078F" w:rsidP="00D23475">
      <w:pPr>
        <w:spacing w:line="276" w:lineRule="auto"/>
        <w:jc w:val="both"/>
      </w:pPr>
    </w:p>
    <w:p w14:paraId="2F51E222" w14:textId="77777777" w:rsidR="001F078F" w:rsidRDefault="001F078F" w:rsidP="00AC5F23">
      <w:pPr>
        <w:spacing w:line="276" w:lineRule="auto"/>
        <w:ind w:firstLine="567"/>
        <w:jc w:val="both"/>
      </w:pPr>
      <w:r>
        <w:t>[5] Arī trešā persona iesniedza kasācijas sūdzību par minēto apgabaltiesas spriedumu. Kasācijas sūdzība pamatota ar turpmāk minētajiem apsvērumiem.</w:t>
      </w:r>
    </w:p>
    <w:p w14:paraId="18531164" w14:textId="7C87EAC5" w:rsidR="005E0F28" w:rsidRPr="003E4254" w:rsidRDefault="001F078F" w:rsidP="00AC5F23">
      <w:pPr>
        <w:spacing w:line="276" w:lineRule="auto"/>
        <w:ind w:firstLine="567"/>
        <w:jc w:val="both"/>
      </w:pPr>
      <w:r>
        <w:t xml:space="preserve">[5.1] </w:t>
      </w:r>
      <w:r w:rsidR="005E0F28">
        <w:t xml:space="preserve">Pieteicēja un trešā persona ar </w:t>
      </w:r>
      <w:proofErr w:type="gramStart"/>
      <w:r w:rsidR="005E0F28">
        <w:t>2014.gada</w:t>
      </w:r>
      <w:proofErr w:type="gramEnd"/>
      <w:r w:rsidR="005E0F28">
        <w:t xml:space="preserve"> 5.septembra un 11.septembra vienošanos ir vienojušās par dalītu nekustamā īpašuma lietošanas kārtību, kas paredz pušu piekrišanu remonta un būvdarbu veikšanai, ievērojot nosacījumus, par kuriem puses ir vienojušās. Tomēr abu vienošanos teksti neparedz vienas puses bezierunu piekrišanas došanu otras puses būvniecības iecerēm, bet to sniegšanu „atbilstoši normatīvo aktu prasībām”, kas tostarp paredz arī kopīpašnieka interešu ievērošanu attiecībā uz kopīpašumu. Turklāt </w:t>
      </w:r>
      <w:proofErr w:type="gramStart"/>
      <w:r w:rsidR="005E0F28">
        <w:t>2014.gada</w:t>
      </w:r>
      <w:proofErr w:type="gramEnd"/>
      <w:r w:rsidR="005E0F28">
        <w:t xml:space="preserve"> 5.septembra vienošanās 1. un 2.punkts tieši noteic, ka katra no pusēm ir tiesīga bez otras puses piekrišanas pārplānot un pārbūvēt, kā arī katra puse apliecina, ka dod savu piekrišanu pārbūvju veikšanai </w:t>
      </w:r>
      <w:r w:rsidR="005E0F28">
        <w:lastRenderedPageBreak/>
        <w:t>attiecīgās puses atsevišķā lietošanā nodotos dzīvokļos un telpās, kas nav nedalāmi saistītas ar visa namīpašuma ekspluatāciju</w:t>
      </w:r>
      <w:r w:rsidR="004243B5">
        <w:t>,</w:t>
      </w:r>
      <w:r w:rsidR="005E0F28">
        <w:t xml:space="preserve"> un </w:t>
      </w:r>
      <w:r w:rsidR="005E0F28" w:rsidRPr="003E4254">
        <w:t xml:space="preserve">pārbūve jāveic atbilstoši normatīvo aktu prasībām.  </w:t>
      </w:r>
    </w:p>
    <w:p w14:paraId="48D6A56C" w14:textId="6FA9CADA" w:rsidR="00F23CF7" w:rsidRDefault="00F23CF7" w:rsidP="00F23CF7">
      <w:pPr>
        <w:spacing w:line="276" w:lineRule="auto"/>
        <w:ind w:firstLine="567"/>
        <w:jc w:val="both"/>
      </w:pPr>
      <w:r w:rsidRPr="003E4254">
        <w:t>Apgabaltiesa nav ņēmusi vērā, ka būvprojekts skar nekustamā īpašuma fasādi un nesošās sienas, groza lietošanas tiesību apjomu trešās personas lietošanā nodotajām telpām, kā arī paredz telpu grupas lietošanas veida maiņu (no dzīvokļa u</w:t>
      </w:r>
      <w:r w:rsidR="00D60781">
        <w:t>z</w:t>
      </w:r>
      <w:r w:rsidRPr="003E4254">
        <w:t xml:space="preserve"> biroja telpām), kas arī saskaņojama ar trešo personu kā </w:t>
      </w:r>
      <w:proofErr w:type="spellStart"/>
      <w:r w:rsidRPr="003E4254">
        <w:t>kopīpašnieci</w:t>
      </w:r>
      <w:proofErr w:type="spellEnd"/>
      <w:r w:rsidRPr="003E4254">
        <w:t>. Turklāt apgabaltiesa</w:t>
      </w:r>
      <w:r>
        <w:t xml:space="preserve"> nav vērtējusi, ka saskaņā ar pieteicējas būvniecības ieceri zem ierīkošanai plānotajām fasādes ieejas durvīm atrodas </w:t>
      </w:r>
      <w:r w:rsidR="00735BE5">
        <w:t xml:space="preserve">trešās personas </w:t>
      </w:r>
      <w:r>
        <w:t>lietošanā nodotais pagrabs. Būvprojektam jāparedz zem projektētajām durvīm izveidot pamatni uz gaismas šahtas. Tāpēc tehniskais risinājums fasādes durvju ierīkošanai jāizstrādā kopīgi.</w:t>
      </w:r>
    </w:p>
    <w:p w14:paraId="48719DD3" w14:textId="3C4FBF5F" w:rsidR="00F23CF7" w:rsidRDefault="005E0F28" w:rsidP="005E0F28">
      <w:pPr>
        <w:spacing w:line="276" w:lineRule="auto"/>
        <w:ind w:firstLine="567"/>
        <w:jc w:val="both"/>
      </w:pPr>
      <w:r>
        <w:t xml:space="preserve">[5.2] </w:t>
      </w:r>
      <w:r w:rsidR="001F078F">
        <w:t xml:space="preserve">Atbilstoši </w:t>
      </w:r>
      <w:proofErr w:type="gramStart"/>
      <w:r w:rsidR="001F078F">
        <w:t>2014.gada</w:t>
      </w:r>
      <w:proofErr w:type="gramEnd"/>
      <w:r w:rsidR="001F078F">
        <w:t xml:space="preserve"> 11.septembra vienošanās 1.6.</w:t>
      </w:r>
      <w:r w:rsidR="007D2C53">
        <w:t>apakš</w:t>
      </w:r>
      <w:r w:rsidR="001F078F">
        <w:t xml:space="preserve">punktam trešā persona apliecināja, ka turpmāk izsniegs nepieciešamos saskaņojumus. </w:t>
      </w:r>
    </w:p>
    <w:p w14:paraId="5205D85A" w14:textId="7C23F926" w:rsidR="001F078F" w:rsidRDefault="001F078F" w:rsidP="005E0F28">
      <w:pPr>
        <w:spacing w:line="276" w:lineRule="auto"/>
        <w:ind w:firstLine="567"/>
        <w:jc w:val="both"/>
      </w:pPr>
      <w:r>
        <w:t>Apgabaltiesa nav pievērusies tam, kā izskatās pušu vienošanās par piekrišanas sniegšanu</w:t>
      </w:r>
      <w:r w:rsidR="004243B5">
        <w:t xml:space="preserve"> (</w:t>
      </w:r>
      <w:r>
        <w:t>minētās vienošanās 7. un 8.punkts, kurā puses vienojas, ka dod piekrišanu un atļauju sētas ārdurvju ierīkošanai</w:t>
      </w:r>
      <w:r w:rsidR="004243B5">
        <w:t>)</w:t>
      </w:r>
      <w:r>
        <w:t xml:space="preserve">. </w:t>
      </w:r>
      <w:r w:rsidR="004243B5">
        <w:t>K</w:t>
      </w:r>
      <w:r>
        <w:t xml:space="preserve">onkrētajā gadījumā skaidri redzams, ka </w:t>
      </w:r>
      <w:proofErr w:type="gramStart"/>
      <w:r>
        <w:t>2014.gada</w:t>
      </w:r>
      <w:proofErr w:type="gramEnd"/>
      <w:r>
        <w:t xml:space="preserve"> 11.septembra vienošanās 1.6.</w:t>
      </w:r>
      <w:r w:rsidR="0004222D">
        <w:t>apakš</w:t>
      </w:r>
      <w:r>
        <w:t>punktā puses vienojas, ka nākotnē dos vajadzīgos saskaņojumus, iepriekš izvērtējot tieši konkrētu būvniecības ieceri. Trešā persona nav saņēmusi no pieteicējas konkrēt</w:t>
      </w:r>
      <w:r w:rsidR="005E0F28">
        <w:t xml:space="preserve">ās būvniecības ieceres projektu, un apgabaltiesa nav vērtējusi to, ka trešā persona </w:t>
      </w:r>
      <w:proofErr w:type="gramStart"/>
      <w:r w:rsidR="005E0F28">
        <w:t>2015.gada</w:t>
      </w:r>
      <w:proofErr w:type="gramEnd"/>
      <w:r w:rsidR="005E0F28">
        <w:t xml:space="preserve"> 13.oktobrī</w:t>
      </w:r>
      <w:r>
        <w:t xml:space="preserve"> </w:t>
      </w:r>
      <w:r w:rsidR="005E0F28">
        <w:t xml:space="preserve">saņēma vienīgi zvērinātas notāres paziņojumu, ar kuru nosūtīta vienīgi veidlapa trešās personas piekrišanai, kurai nebija pievienots pats būvprojekts. </w:t>
      </w:r>
      <w:r w:rsidR="00DC29E0">
        <w:t xml:space="preserve">Trešā persona tiesvedības gaitā konsekventi uzsvērusi, ka piekritīs saskaņot būvniecības ieceri tikai pēc tam, kad būs iepazinusies ar būvprojekta saturu un pārliecinājusies, ka tajā ievērotas trešās personas kā nekustamā īpašuma </w:t>
      </w:r>
      <w:proofErr w:type="spellStart"/>
      <w:r w:rsidR="00DC29E0">
        <w:t>kopīpašnieces</w:t>
      </w:r>
      <w:proofErr w:type="spellEnd"/>
      <w:r w:rsidR="00DC29E0">
        <w:t xml:space="preserve"> intereses.</w:t>
      </w:r>
    </w:p>
    <w:p w14:paraId="4549E84F" w14:textId="0B1A1CAC" w:rsidR="00DC29E0" w:rsidRDefault="001F078F" w:rsidP="00016437">
      <w:pPr>
        <w:spacing w:line="276" w:lineRule="auto"/>
        <w:ind w:firstLine="567"/>
        <w:jc w:val="both"/>
      </w:pPr>
      <w:r>
        <w:t>[5.</w:t>
      </w:r>
      <w:r w:rsidR="00F23CF7">
        <w:t>3</w:t>
      </w:r>
      <w:r>
        <w:t xml:space="preserve">] </w:t>
      </w:r>
      <w:r w:rsidR="00F23CF7">
        <w:t xml:space="preserve">Apgabaltiesa nav ņēmusi vērā, ka </w:t>
      </w:r>
      <w:r w:rsidR="00F23CF7" w:rsidRPr="00F23CF7">
        <w:t>pieteicējai, pirms tai tiek izsniegta būvatļauja, nepieciešams saņemt Valsts kultūras pieminekļu aizsardzības inspekcijas piekrišan</w:t>
      </w:r>
      <w:r w:rsidR="004243B5">
        <w:t>u</w:t>
      </w:r>
      <w:r w:rsidR="00F23CF7" w:rsidRPr="00F23CF7">
        <w:t xml:space="preserve"> iecerēto būvdarbu veikšanai. Tas, trešās personas ieskatā, nozīmē, ka apgabaltiesas sprieduma rezolutīvajā daļā iestādei noteikts tāds pienākums, kas neatbilst tiesību normām</w:t>
      </w:r>
      <w:r w:rsidR="0004222D">
        <w:t>.</w:t>
      </w:r>
    </w:p>
    <w:p w14:paraId="3223F61F" w14:textId="5FD810B1" w:rsidR="00F23CF7" w:rsidRDefault="00DC29E0" w:rsidP="00AC5F23">
      <w:pPr>
        <w:spacing w:line="276" w:lineRule="auto"/>
        <w:ind w:firstLine="567"/>
        <w:jc w:val="both"/>
      </w:pPr>
      <w:r>
        <w:t>[5.</w:t>
      </w:r>
      <w:r w:rsidR="003E7235">
        <w:t>4</w:t>
      </w:r>
      <w:r>
        <w:t xml:space="preserve">] </w:t>
      </w:r>
      <w:r w:rsidR="0004222D">
        <w:t>A</w:t>
      </w:r>
      <w:r w:rsidR="00F23CF7">
        <w:t xml:space="preserve">pgabaltiesa nav ņēmusi vērā arī to, ka pieteicējas iebildumi nonāk pretrunā ar pieteicējas iebildumiem administratīvajā lietā Nr. A420323915. </w:t>
      </w:r>
    </w:p>
    <w:p w14:paraId="3F6202F4" w14:textId="5253618E" w:rsidR="00DC29E0" w:rsidRDefault="00F23CF7" w:rsidP="00F23CF7">
      <w:pPr>
        <w:spacing w:line="276" w:lineRule="auto"/>
        <w:ind w:firstLine="567"/>
        <w:jc w:val="both"/>
      </w:pPr>
      <w:r>
        <w:t>Turklāt jebkurā gadījumā, ja starp pusēm ir radies strīd</w:t>
      </w:r>
      <w:r w:rsidR="0004222D">
        <w:t>s</w:t>
      </w:r>
      <w:r>
        <w:t xml:space="preserve"> </w:t>
      </w:r>
      <w:r w:rsidR="0004222D">
        <w:t xml:space="preserve">par </w:t>
      </w:r>
      <w:r w:rsidR="00DC29E0">
        <w:t>privāttiesiska līguma satur</w:t>
      </w:r>
      <w:r w:rsidR="0004222D">
        <w:t>u</w:t>
      </w:r>
      <w:r w:rsidR="00DC29E0">
        <w:t xml:space="preserve"> vai š</w:t>
      </w:r>
      <w:r w:rsidR="0004222D">
        <w:t>ā</w:t>
      </w:r>
      <w:r w:rsidR="00DC29E0">
        <w:t xml:space="preserve"> līguma izpildi, šāds strīds izšķirams civiltiesiskā kārtā vispārējās jurisdikcijas tiesā. Administratīvā apgabaltiesa, izdarot secinājumu par to, kā šo vienošanos interpretēt, ir pārkāpusi savas kompetences robežas. </w:t>
      </w:r>
    </w:p>
    <w:p w14:paraId="2E1825D4" w14:textId="77777777" w:rsidR="003047F5" w:rsidRPr="0082381C" w:rsidRDefault="003047F5" w:rsidP="00E9000E">
      <w:pPr>
        <w:spacing w:line="276" w:lineRule="auto"/>
        <w:jc w:val="both"/>
      </w:pPr>
    </w:p>
    <w:p w14:paraId="6F701206" w14:textId="77777777" w:rsidR="003047F5" w:rsidRPr="0082381C" w:rsidRDefault="003047F5" w:rsidP="000B0A3A">
      <w:pPr>
        <w:spacing w:line="276" w:lineRule="auto"/>
        <w:jc w:val="center"/>
        <w:rPr>
          <w:b/>
        </w:rPr>
      </w:pPr>
      <w:r w:rsidRPr="0082381C">
        <w:rPr>
          <w:b/>
        </w:rPr>
        <w:t>Motīvu daļa</w:t>
      </w:r>
    </w:p>
    <w:p w14:paraId="3970727B" w14:textId="77777777" w:rsidR="003047F5" w:rsidRPr="0082381C" w:rsidRDefault="003047F5" w:rsidP="000B0A3A">
      <w:pPr>
        <w:spacing w:line="276" w:lineRule="auto"/>
        <w:ind w:firstLine="567"/>
        <w:jc w:val="both"/>
      </w:pPr>
    </w:p>
    <w:p w14:paraId="59977CE4" w14:textId="3D64BAA1" w:rsidR="00FA758E" w:rsidRDefault="003047F5" w:rsidP="00FA758E">
      <w:pPr>
        <w:spacing w:line="276" w:lineRule="auto"/>
        <w:ind w:firstLine="567"/>
        <w:jc w:val="both"/>
      </w:pPr>
      <w:r w:rsidRPr="0082381C">
        <w:t>[</w:t>
      </w:r>
      <w:r w:rsidR="003E7235">
        <w:t>6</w:t>
      </w:r>
      <w:r w:rsidR="00E9000E">
        <w:t>]</w:t>
      </w:r>
      <w:r w:rsidRPr="0082381C">
        <w:t> </w:t>
      </w:r>
      <w:r w:rsidR="001821A7">
        <w:t>Pieteicējas ierosinātā būvniecība</w:t>
      </w:r>
      <w:r w:rsidR="00B45302">
        <w:t xml:space="preserve"> </w:t>
      </w:r>
      <w:proofErr w:type="spellStart"/>
      <w:r w:rsidR="00B45302">
        <w:t>citstarp</w:t>
      </w:r>
      <w:proofErr w:type="spellEnd"/>
      <w:r w:rsidR="001821A7">
        <w:t xml:space="preserve"> paredz ieejas durvju izbūvi no fasādes puses pieteicējai atsevišķā lietošanā nodotajās dzīvokļa Nr. 1</w:t>
      </w:r>
      <w:r w:rsidR="000B2016">
        <w:t>A</w:t>
      </w:r>
      <w:r w:rsidR="001821A7">
        <w:t xml:space="preserve"> telpās. </w:t>
      </w:r>
    </w:p>
    <w:p w14:paraId="5C25A85D" w14:textId="50C0FA81" w:rsidR="003735C6" w:rsidRDefault="00D60781" w:rsidP="00FA758E">
      <w:pPr>
        <w:spacing w:line="276" w:lineRule="auto"/>
        <w:ind w:firstLine="567"/>
        <w:jc w:val="both"/>
      </w:pPr>
      <w:r>
        <w:t>I</w:t>
      </w:r>
      <w:r w:rsidR="001821A7">
        <w:t>zskatāmās lietas ietvaros nav strīda,</w:t>
      </w:r>
      <w:r w:rsidR="000B2016">
        <w:t xml:space="preserve"> ka</w:t>
      </w:r>
      <w:r w:rsidR="001821A7">
        <w:t xml:space="preserve"> </w:t>
      </w:r>
      <w:r w:rsidR="003735C6">
        <w:t>ierosinātā būvniecība ir pieļaujama vienīgi tad, ja tās veikšanai ir saņemts trešās personas</w:t>
      </w:r>
      <w:r w:rsidR="008D4A1B">
        <w:t xml:space="preserve"> kā nekustamā īpašuma </w:t>
      </w:r>
      <w:proofErr w:type="spellStart"/>
      <w:r w:rsidR="008D4A1B">
        <w:t>kopīpašnieces</w:t>
      </w:r>
      <w:proofErr w:type="spellEnd"/>
      <w:r w:rsidR="003735C6">
        <w:t xml:space="preserve"> </w:t>
      </w:r>
      <w:r w:rsidR="0004222D">
        <w:t>sa</w:t>
      </w:r>
      <w:r w:rsidR="003735C6">
        <w:t xml:space="preserve">skaņojums. </w:t>
      </w:r>
    </w:p>
    <w:p w14:paraId="73F92D3E" w14:textId="569EA0E2" w:rsidR="000B2016" w:rsidRDefault="003735C6" w:rsidP="003735C6">
      <w:pPr>
        <w:spacing w:line="276" w:lineRule="auto"/>
        <w:ind w:firstLine="567"/>
        <w:jc w:val="both"/>
      </w:pPr>
      <w:r>
        <w:t>Apgabaltiesa pārsūdzētajā spriedumā secinājusi, ka</w:t>
      </w:r>
      <w:r w:rsidR="000B2016">
        <w:t xml:space="preserve"> konkrētajā gadījumā ir konstatējams trešās personas saskaņojums pieteicējas plānotajai būvniecībai un tas ir ietverts pieteicējas un trešās personas</w:t>
      </w:r>
      <w:r>
        <w:t xml:space="preserve"> </w:t>
      </w:r>
      <w:proofErr w:type="gramStart"/>
      <w:r>
        <w:t>2014.gada</w:t>
      </w:r>
      <w:proofErr w:type="gramEnd"/>
      <w:r>
        <w:t xml:space="preserve"> 11.septembra vienošanās 1.6.apakšpunkt</w:t>
      </w:r>
      <w:r w:rsidR="000B2016">
        <w:t xml:space="preserve">ā. </w:t>
      </w:r>
      <w:r>
        <w:t>Savukārt trešās personas un iestādes iesniegto kasācijas sūdzību centrālais iebildums ir, ka minētais punkts</w:t>
      </w:r>
      <w:r w:rsidR="000B2016">
        <w:t xml:space="preserve"> nepieciešamo</w:t>
      </w:r>
      <w:r>
        <w:t xml:space="preserve"> saskaņojumu neparedz un </w:t>
      </w:r>
      <w:r w:rsidR="000B2016">
        <w:t>tajā vienīgi ietverts apsolījums, ka nākotnē, kad pieteicēja izpildīs normatīvo aktu prasības, trešā persona piekri</w:t>
      </w:r>
      <w:r w:rsidR="00E128F2">
        <w:t>tīs</w:t>
      </w:r>
      <w:r w:rsidR="000B2016">
        <w:t xml:space="preserve"> pieteicējas plānotajai būvniecībai. </w:t>
      </w:r>
    </w:p>
    <w:p w14:paraId="2B0CC7AF" w14:textId="10B4364F" w:rsidR="000B2016" w:rsidRDefault="001821A7" w:rsidP="000B0A3A">
      <w:pPr>
        <w:spacing w:line="276" w:lineRule="auto"/>
        <w:ind w:firstLine="567"/>
        <w:jc w:val="both"/>
      </w:pPr>
      <w:r>
        <w:lastRenderedPageBreak/>
        <w:t>Līdz ar to kasācijas tiesvedības ietvaros izšķirams, vai</w:t>
      </w:r>
      <w:r w:rsidR="003735C6">
        <w:t xml:space="preserve"> apgabaltiesa pamatoti</w:t>
      </w:r>
      <w:r w:rsidR="000B2016">
        <w:t xml:space="preserve"> secinājusi, ka pieteicējas un trešās personas starpā </w:t>
      </w:r>
      <w:proofErr w:type="gramStart"/>
      <w:r w:rsidR="000B2016">
        <w:t>2014.gada</w:t>
      </w:r>
      <w:proofErr w:type="gramEnd"/>
      <w:r w:rsidR="000B2016">
        <w:t xml:space="preserve"> 11.septembrī noslēgtās vienošanās </w:t>
      </w:r>
      <w:r w:rsidR="00B55039">
        <w:t>1.6.apakšpunkts paredz trešās personas piekrišanu pieteicējas ierosinātajai būvniecībai – ieejas durvju izbūvei no ēkas fasādes puses iekļūšanai pieteicējas lietošanā nodotajās telpās.</w:t>
      </w:r>
      <w:r w:rsidR="000B2016">
        <w:t xml:space="preserve"> </w:t>
      </w:r>
    </w:p>
    <w:p w14:paraId="2FA9A334" w14:textId="77777777" w:rsidR="001821A7" w:rsidRDefault="001821A7" w:rsidP="000B2016">
      <w:pPr>
        <w:spacing w:line="276" w:lineRule="auto"/>
        <w:jc w:val="both"/>
      </w:pPr>
    </w:p>
    <w:p w14:paraId="09AB811B" w14:textId="16570E44" w:rsidR="001821A7" w:rsidRDefault="003E7235" w:rsidP="0097643D">
      <w:pPr>
        <w:spacing w:line="276" w:lineRule="auto"/>
        <w:ind w:firstLine="567"/>
        <w:jc w:val="both"/>
      </w:pPr>
      <w:r>
        <w:t xml:space="preserve">[7] </w:t>
      </w:r>
      <w:r w:rsidR="0097643D">
        <w:t xml:space="preserve">Atbilstoši </w:t>
      </w:r>
      <w:r w:rsidR="00F8326F">
        <w:t xml:space="preserve">Ministru kabineta </w:t>
      </w:r>
      <w:proofErr w:type="gramStart"/>
      <w:r w:rsidR="00F8326F">
        <w:t>2014.gada</w:t>
      </w:r>
      <w:proofErr w:type="gramEnd"/>
      <w:r w:rsidR="00F8326F">
        <w:t xml:space="preserve"> 2.septembra noteikumu Nr. 529 „Ēku būvnoteikumi”</w:t>
      </w:r>
      <w:r w:rsidR="0097643D">
        <w:t xml:space="preserve"> 9.punktam trešo personu </w:t>
      </w:r>
      <w:r w:rsidR="001821A7">
        <w:t xml:space="preserve">saskaņojumu noformē </w:t>
      </w:r>
      <w:r w:rsidR="001821A7" w:rsidRPr="001821A7">
        <w:t>uz būvprojekta ģenerālplāna (uz derīga topogrāfiskā plāna pamatnes izstrādāts projektējamās teritorijas vispārīgais plāns būvprojekta sastāvā ar būvju, labiekārtojuma elementu un inženiertīklu piesaisti zemesgabalam) vai kā atsevišķu dokumentu (piemēram, vienošanās, dzīvokļu īpašnieku kopsapulces lēmums, balsošanas protokols), lai no tā izrietētu nepārprotama šo personu piekrišana katram konkrētam apgrūtinājumam, kas skar attiecīgo personu.</w:t>
      </w:r>
    </w:p>
    <w:p w14:paraId="63CAF2E7" w14:textId="3158A13B" w:rsidR="001821A7" w:rsidRDefault="0097643D" w:rsidP="00BF5E7B">
      <w:pPr>
        <w:spacing w:line="276" w:lineRule="auto"/>
        <w:ind w:firstLine="567"/>
        <w:jc w:val="both"/>
      </w:pPr>
      <w:r>
        <w:t>No minētās normas izriet, ka</w:t>
      </w:r>
      <w:r w:rsidR="000B2016">
        <w:t xml:space="preserve"> saskaņojumu būvniecībai var izteikt gan saistībā ar konkrētu būvniecības ieceri, saskaņojumu noformējot uz būvniecības ieceres dokumentācijas, gan vispārīgi piekrītot iecerētajai būvniecībai, saskaņojumu</w:t>
      </w:r>
      <w:proofErr w:type="gramStart"/>
      <w:r w:rsidR="000B2016">
        <w:t xml:space="preserve"> noformējot atsevišķa dokumenta veidā</w:t>
      </w:r>
      <w:proofErr w:type="gramEnd"/>
      <w:r w:rsidR="000B2016">
        <w:t>. Attiecībā uz pēdējo Senāta praksē jau iepriekš atzīts, ka kopīpašnieki saskaņojumu būvniecībai var izteikt ar iepriekšēju vienošanos par kopīpašuma izmantošanu, kurā paredzēts, ka kopīpašnieki piekrīt citu kopīpašnieku būvniecībai atsevišķā lietošanā nodotajā kopīpašuma daļā (</w:t>
      </w:r>
      <w:r w:rsidR="000B2016" w:rsidRPr="00BF5E7B">
        <w:rPr>
          <w:i/>
        </w:rPr>
        <w:t xml:space="preserve">Senāta </w:t>
      </w:r>
      <w:proofErr w:type="gramStart"/>
      <w:r w:rsidR="000B2016" w:rsidRPr="00BF5E7B">
        <w:rPr>
          <w:i/>
        </w:rPr>
        <w:t>2012.gada</w:t>
      </w:r>
      <w:proofErr w:type="gramEnd"/>
      <w:r w:rsidR="000B2016" w:rsidRPr="00BF5E7B">
        <w:rPr>
          <w:i/>
        </w:rPr>
        <w:t xml:space="preserve"> 16.marta spriedum</w:t>
      </w:r>
      <w:r w:rsidR="00E128F2">
        <w:rPr>
          <w:i/>
        </w:rPr>
        <w:t>s</w:t>
      </w:r>
      <w:r w:rsidR="000B2016" w:rsidRPr="00BF5E7B">
        <w:rPr>
          <w:i/>
        </w:rPr>
        <w:t xml:space="preserve"> lietā Nr.</w:t>
      </w:r>
      <w:r w:rsidR="00421E3F">
        <w:rPr>
          <w:i/>
        </w:rPr>
        <w:t> </w:t>
      </w:r>
      <w:r w:rsidR="000B2016" w:rsidRPr="00BF5E7B">
        <w:rPr>
          <w:i/>
        </w:rPr>
        <w:t>SKA</w:t>
      </w:r>
      <w:r w:rsidR="00421E3F">
        <w:rPr>
          <w:i/>
        </w:rPr>
        <w:t>-</w:t>
      </w:r>
      <w:r w:rsidR="000B2016" w:rsidRPr="00BF5E7B">
        <w:rPr>
          <w:i/>
        </w:rPr>
        <w:t>49/2012 (A42569306</w:t>
      </w:r>
      <w:r w:rsidR="00BF5E7B" w:rsidRPr="00BF5E7B">
        <w:rPr>
          <w:i/>
        </w:rPr>
        <w:t xml:space="preserve">), </w:t>
      </w:r>
      <w:r w:rsidR="003C713F" w:rsidRPr="00B813B2">
        <w:t>sal. arī</w:t>
      </w:r>
      <w:r w:rsidR="003C713F">
        <w:rPr>
          <w:i/>
        </w:rPr>
        <w:t xml:space="preserve"> 2018.gada 25.maija sprieduma liet</w:t>
      </w:r>
      <w:r w:rsidR="003C713F" w:rsidRPr="00C771F3">
        <w:rPr>
          <w:i/>
        </w:rPr>
        <w:t>ā</w:t>
      </w:r>
      <w:r w:rsidR="003C713F">
        <w:rPr>
          <w:i/>
        </w:rPr>
        <w:t xml:space="preserve"> </w:t>
      </w:r>
      <w:r w:rsidR="00421E3F">
        <w:rPr>
          <w:i/>
        </w:rPr>
        <w:t>Nr. </w:t>
      </w:r>
      <w:r w:rsidR="003C713F">
        <w:rPr>
          <w:i/>
        </w:rPr>
        <w:t>SKA-</w:t>
      </w:r>
      <w:r w:rsidR="003C713F" w:rsidRPr="003C713F">
        <w:rPr>
          <w:i/>
        </w:rPr>
        <w:t>29/2018</w:t>
      </w:r>
      <w:r w:rsidR="003C713F">
        <w:rPr>
          <w:i/>
        </w:rPr>
        <w:t xml:space="preserve"> (</w:t>
      </w:r>
      <w:r w:rsidR="003C713F" w:rsidRPr="003C713F">
        <w:rPr>
          <w:i/>
        </w:rPr>
        <w:t>A420430912</w:t>
      </w:r>
      <w:r w:rsidR="00B813B2">
        <w:rPr>
          <w:i/>
        </w:rPr>
        <w:t>) 8.punkt</w:t>
      </w:r>
      <w:r w:rsidR="00D60781">
        <w:rPr>
          <w:i/>
        </w:rPr>
        <w:t>s</w:t>
      </w:r>
      <w:r w:rsidR="00BF5E7B">
        <w:t>). Vienlaikus minētā norma skaidri noteic, ka atsevišķa dokumenta formā sniegtam saskaņojumam jābūt noformētam tādējādi, lai no tā izrietētu nepārprotama pie</w:t>
      </w:r>
      <w:r w:rsidR="00F8326F">
        <w:t xml:space="preserve">krišana būvdarbiem. </w:t>
      </w:r>
      <w:r w:rsidR="00BF5E7B">
        <w:t>Minētais</w:t>
      </w:r>
      <w:r w:rsidR="00F8326F">
        <w:t>, vērtējot kopīpašnieku saskaņojumu būvniecībai kopīpašumā,</w:t>
      </w:r>
      <w:r w:rsidR="00BF5E7B">
        <w:t xml:space="preserve"> nav saprotams tādējādi, ka atsevišķajā procesuālajā dokum</w:t>
      </w:r>
      <w:r w:rsidR="00F8326F">
        <w:t>entā obligāti jābūt uzskaitītiem</w:t>
      </w:r>
      <w:r w:rsidR="00BF5E7B">
        <w:t xml:space="preserve"> konkrētiem būvniecības darbiem, kuriem kopīpašnieki piekrīt.</w:t>
      </w:r>
      <w:r w:rsidR="003712DE">
        <w:t xml:space="preserve"> </w:t>
      </w:r>
      <w:r w:rsidR="00BF5E7B">
        <w:t>Tomēr</w:t>
      </w:r>
      <w:r w:rsidR="00F8326F">
        <w:t xml:space="preserve"> prasība noformēt saskaņojumu nepārprotami paredz, ka no saskaņojuma jābūt saprotamam, ka kopīpašnieks patiešām piekritis konkrēta veida būvdarbiem konkrētajā kopīpašuma daļā. </w:t>
      </w:r>
    </w:p>
    <w:p w14:paraId="0B745679" w14:textId="77777777" w:rsidR="00BF5E7B" w:rsidRDefault="00BF5E7B" w:rsidP="00BF5E7B">
      <w:pPr>
        <w:spacing w:line="276" w:lineRule="auto"/>
        <w:ind w:firstLine="567"/>
        <w:jc w:val="both"/>
      </w:pPr>
    </w:p>
    <w:p w14:paraId="09262678" w14:textId="5A4F503E" w:rsidR="00BF5E7B" w:rsidRDefault="001821A7" w:rsidP="000B0A3A">
      <w:pPr>
        <w:spacing w:line="276" w:lineRule="auto"/>
        <w:ind w:firstLine="567"/>
        <w:jc w:val="both"/>
      </w:pPr>
      <w:r>
        <w:t xml:space="preserve">[8] </w:t>
      </w:r>
      <w:r w:rsidR="00BF5E7B">
        <w:t xml:space="preserve">Pieteicēja un trešā persona </w:t>
      </w:r>
      <w:proofErr w:type="gramStart"/>
      <w:r w:rsidR="00BF5E7B">
        <w:t>2014.gada</w:t>
      </w:r>
      <w:proofErr w:type="gramEnd"/>
      <w:r w:rsidR="00BF5E7B">
        <w:t xml:space="preserve"> 11.septembrī noslēdza vienošanos, kurā </w:t>
      </w:r>
      <w:proofErr w:type="spellStart"/>
      <w:r w:rsidR="00BF5E7B">
        <w:t>citstarp</w:t>
      </w:r>
      <w:proofErr w:type="spellEnd"/>
      <w:r w:rsidR="00BF5E7B">
        <w:t xml:space="preserve"> vienojās par nekustamajā īpašumā ietilpstošā dzīvokļa Nr. 1A sadalījumu</w:t>
      </w:r>
      <w:r w:rsidR="00B55039">
        <w:t xml:space="preserve"> un lietošanu</w:t>
      </w:r>
      <w:r w:rsidR="00BF5E7B">
        <w:t xml:space="preserve">. </w:t>
      </w:r>
      <w:r w:rsidR="0069231A">
        <w:t xml:space="preserve">Atbilstoši minētās vienošanās 1.1.apakšpunktam </w:t>
      </w:r>
      <w:r w:rsidR="00BF5E7B">
        <w:t xml:space="preserve">pieteicēja iegūst tiesības lietot un apsaimniekot daļu no dzīvokļa 1A </w:t>
      </w:r>
      <w:r w:rsidR="0069231A">
        <w:t>ar kopējo platību 25,82 m</w:t>
      </w:r>
      <w:r w:rsidR="0069231A" w:rsidRPr="0069231A">
        <w:rPr>
          <w:vertAlign w:val="superscript"/>
        </w:rPr>
        <w:t>2</w:t>
      </w:r>
      <w:r w:rsidR="0069231A">
        <w:rPr>
          <w:vertAlign w:val="superscript"/>
        </w:rPr>
        <w:t xml:space="preserve"> </w:t>
      </w:r>
      <w:r w:rsidR="0069231A">
        <w:t>(pieteicējas lietošanā nodotas telpas 1G un 2G), savukārt atbilstoši vienošanās 1.3.apakšpunktam trešā persona iegūst tiesības lietot un apsaimniekot daļu no dzīvokļa 1A ar kopējo platību 5,46 m</w:t>
      </w:r>
      <w:r w:rsidR="0069231A" w:rsidRPr="0069231A">
        <w:rPr>
          <w:vertAlign w:val="superscript"/>
        </w:rPr>
        <w:t>2</w:t>
      </w:r>
      <w:r w:rsidR="0069231A">
        <w:t xml:space="preserve"> </w:t>
      </w:r>
      <w:proofErr w:type="gramStart"/>
      <w:r w:rsidR="0069231A">
        <w:t>(</w:t>
      </w:r>
      <w:proofErr w:type="gramEnd"/>
      <w:r w:rsidR="0069231A">
        <w:t xml:space="preserve">trešās personas lietošanā nodotas telpas 1V un 2V). </w:t>
      </w:r>
    </w:p>
    <w:p w14:paraId="6A2690A3" w14:textId="63F49330" w:rsidR="003E7235" w:rsidRDefault="0069231A" w:rsidP="00B55039">
      <w:pPr>
        <w:spacing w:line="276" w:lineRule="auto"/>
        <w:ind w:firstLine="567"/>
        <w:jc w:val="both"/>
      </w:pPr>
      <w:r>
        <w:t xml:space="preserve">Vienošanās ietverti arī noteikumi par </w:t>
      </w:r>
      <w:proofErr w:type="spellStart"/>
      <w:r>
        <w:t>kopīpašnieču</w:t>
      </w:r>
      <w:proofErr w:type="spellEnd"/>
      <w:r>
        <w:t xml:space="preserve"> atsevišķā lietošanā nodoto telpu izmantošanu. Attiecībā uz pieteicējas lietošanā nodoto telpu apbūvi vienošanās</w:t>
      </w:r>
      <w:r w:rsidR="00B55039">
        <w:t xml:space="preserve"> 6.punkts paredz, ka katrai no pusēm ir tiesības izmantot viņas atsevišķā lietošanā un apsaimniekošanā esošās telpas, tai skaitā veikt telpu remontu un pārbūvi. Savukārt vienošanās 1.6.</w:t>
      </w:r>
      <w:r w:rsidR="00F15DE4">
        <w:t>apakš</w:t>
      </w:r>
      <w:r w:rsidR="00B55039">
        <w:t xml:space="preserve">punkts noteic: </w:t>
      </w:r>
      <w:r>
        <w:t>„</w:t>
      </w:r>
      <w:proofErr w:type="gramStart"/>
      <w:r w:rsidR="00E603A0">
        <w:t>[</w:t>
      </w:r>
      <w:proofErr w:type="gramEnd"/>
      <w:r w:rsidR="00E603A0">
        <w:t>pers. B]</w:t>
      </w:r>
      <w:r w:rsidR="003E7235">
        <w:t xml:space="preserve"> apliecina, ka piekrīt un arī turpmāk izsniegs visus nepieciešamos saskaņojumus, lai </w:t>
      </w:r>
      <w:proofErr w:type="gramStart"/>
      <w:r w:rsidR="00E603A0">
        <w:t>[</w:t>
      </w:r>
      <w:proofErr w:type="gramEnd"/>
      <w:r w:rsidR="00E603A0">
        <w:t>pers. A]</w:t>
      </w:r>
      <w:r w:rsidR="003E7235">
        <w:t xml:space="preserve"> izbūvētu ieejas durvis no fasādes puses </w:t>
      </w:r>
      <w:proofErr w:type="gramStart"/>
      <w:r w:rsidR="00E603A0">
        <w:t>[</w:t>
      </w:r>
      <w:proofErr w:type="gramEnd"/>
      <w:r w:rsidR="00E603A0">
        <w:t>pers. A]</w:t>
      </w:r>
      <w:r w:rsidR="003E7235">
        <w:t xml:space="preserve"> atsevišķā lietošanā nodotā dzīvokļa 1a daļā. Puses vienojas, ka </w:t>
      </w:r>
      <w:proofErr w:type="gramStart"/>
      <w:r w:rsidR="00E603A0">
        <w:t>[</w:t>
      </w:r>
      <w:proofErr w:type="gramEnd"/>
      <w:r w:rsidR="00E603A0">
        <w:t>pers. A]</w:t>
      </w:r>
      <w:r w:rsidR="003E7235">
        <w:t xml:space="preserve"> ieejas durvis savā lietošanā nodotā dzīvokļa 1a daļā ierīkos 4 (četru) mēnešu laikā no šīs vienošanās noslēgšanas dienas [..]”. </w:t>
      </w:r>
    </w:p>
    <w:p w14:paraId="4E457638" w14:textId="3C281E9E" w:rsidR="00C102E5" w:rsidRDefault="0069231A" w:rsidP="0069231A">
      <w:pPr>
        <w:spacing w:line="276" w:lineRule="auto"/>
        <w:ind w:firstLine="567"/>
        <w:jc w:val="both"/>
      </w:pPr>
      <w:r>
        <w:t>Senāt</w:t>
      </w:r>
      <w:r w:rsidR="00E128F2">
        <w:t>a ieskatā,</w:t>
      </w:r>
      <w:r>
        <w:t xml:space="preserve"> </w:t>
      </w:r>
      <w:r w:rsidR="00E128F2">
        <w:t xml:space="preserve">šādos apstākļos </w:t>
      </w:r>
      <w:r>
        <w:t xml:space="preserve">apgabaltiesa pamatoti konstatējusi, ka </w:t>
      </w:r>
      <w:proofErr w:type="gramStart"/>
      <w:r>
        <w:t>no minētā</w:t>
      </w:r>
      <w:proofErr w:type="gramEnd"/>
      <w:r>
        <w:t xml:space="preserve"> vienošanās punkta izriet, ka trešā persona ir piekritusi pieteicējas plānotajai</w:t>
      </w:r>
      <w:r w:rsidR="00005057">
        <w:t xml:space="preserve"> ieejas durvju izbūvei.</w:t>
      </w:r>
      <w:r>
        <w:t xml:space="preserve"> Proti, pieteicēja un trešā persona ar pietiekamu detalizācijas pakāpi ir vienojušās par </w:t>
      </w:r>
      <w:r>
        <w:lastRenderedPageBreak/>
        <w:t xml:space="preserve">to, kurā vietā un kādai konkrētai pieteicējas veiktai būvniecībai trešā persona piekrīt. Lai arī vienošanās gramatiskais teksts patiešām paredz, ka trešā persona </w:t>
      </w:r>
      <w:r w:rsidR="00421E3F">
        <w:t xml:space="preserve">„ </w:t>
      </w:r>
      <w:r w:rsidR="00E128F2">
        <w:t>iz</w:t>
      </w:r>
      <w:r>
        <w:t>sniegs</w:t>
      </w:r>
      <w:r w:rsidR="00E128F2">
        <w:t>” (nākotnes formā)</w:t>
      </w:r>
      <w:r>
        <w:t xml:space="preserve"> visas nepieciešamās piekrišanas pieteicējas iecerētajiem būvdarbiem, tas nav pamats lūkoties uz minēto vienošanos formāli. </w:t>
      </w:r>
      <w:r w:rsidR="00AE7E0F">
        <w:t>Uzskatot, ka puses ir vienojušās vienīgi par to, ka saskaņojums tiks sniegts nākotnē, apstākļos, kuros vienošanās neparedz atkāpes no šāda saskaņojuma sniegšanas iespējas, zūd jēga tam, kāpēc šāda vienošanās vispār ir panākta. Tādējādi konkrētajos apstākļos b</w:t>
      </w:r>
      <w:r>
        <w:t>ūtiski, ka tādā formā, kādā vienošanās ir noslēgta, tā skaidri pauž trešās personas gribu – piekrišanu pieteicējas plānotajai būvniecībai</w:t>
      </w:r>
      <w:r w:rsidR="00005057">
        <w:t xml:space="preserve"> –,</w:t>
      </w:r>
      <w:r>
        <w:t xml:space="preserve"> un vienošanās neparedz citas prasības, kas pieteicējai būtu jāizpilda, lai tā varētu ierosināt </w:t>
      </w:r>
      <w:r w:rsidR="00005057">
        <w:t xml:space="preserve">to </w:t>
      </w:r>
      <w:r>
        <w:t xml:space="preserve">būvniecību, kurai trešā persona piekritusi. </w:t>
      </w:r>
    </w:p>
    <w:p w14:paraId="67357BE9" w14:textId="77777777" w:rsidR="0069231A" w:rsidRDefault="0069231A" w:rsidP="0069231A">
      <w:pPr>
        <w:spacing w:line="276" w:lineRule="auto"/>
        <w:ind w:firstLine="567"/>
        <w:jc w:val="both"/>
      </w:pPr>
    </w:p>
    <w:p w14:paraId="292CF58D" w14:textId="752A897D" w:rsidR="00BB75A4" w:rsidRDefault="00C102E5" w:rsidP="00C102E5">
      <w:pPr>
        <w:spacing w:line="276" w:lineRule="auto"/>
        <w:ind w:firstLine="567"/>
        <w:jc w:val="both"/>
      </w:pPr>
      <w:r>
        <w:t xml:space="preserve">[9] </w:t>
      </w:r>
      <w:r w:rsidR="005D0B04">
        <w:t xml:space="preserve">Trešā persona kasācijas sūdzībā uzsvērusi, ka </w:t>
      </w:r>
      <w:proofErr w:type="gramStart"/>
      <w:r w:rsidR="005D0B04">
        <w:t>2014.gada</w:t>
      </w:r>
      <w:proofErr w:type="gramEnd"/>
      <w:r w:rsidR="005D0B04">
        <w:t xml:space="preserve"> 11.septembra vienošanās 1.6.apakšpunkts nav saprotams tādējādi, ka trešā persona sniegusi bezierunu </w:t>
      </w:r>
      <w:r w:rsidR="009F01A0">
        <w:t>piekrišanu (</w:t>
      </w:r>
      <w:r w:rsidR="005D0B04">
        <w:t>saskaņojumu</w:t>
      </w:r>
      <w:r w:rsidR="009F01A0">
        <w:t>)</w:t>
      </w:r>
      <w:r w:rsidR="005D0B04">
        <w:t xml:space="preserve"> pieteicējas plānotajai </w:t>
      </w:r>
      <w:r w:rsidR="009F01A0">
        <w:t>ieejas durvju izbūvei.</w:t>
      </w:r>
      <w:r w:rsidR="005D0B04">
        <w:t xml:space="preserve"> </w:t>
      </w:r>
    </w:p>
    <w:p w14:paraId="5832BAAA" w14:textId="237EF90D" w:rsidR="009F01A0" w:rsidRDefault="00BB75A4" w:rsidP="00C102E5">
      <w:pPr>
        <w:spacing w:line="276" w:lineRule="auto"/>
        <w:ind w:firstLine="567"/>
        <w:jc w:val="both"/>
      </w:pPr>
      <w:r>
        <w:t>Pamatojot minēto, t</w:t>
      </w:r>
      <w:r w:rsidR="005D0B04">
        <w:t xml:space="preserve">rešā persona uzsver, ka pieteicējas un trešās personas </w:t>
      </w:r>
      <w:proofErr w:type="gramStart"/>
      <w:r w:rsidR="005D0B04">
        <w:t>2014.gada</w:t>
      </w:r>
      <w:proofErr w:type="gramEnd"/>
      <w:r w:rsidR="005D0B04">
        <w:t xml:space="preserve"> </w:t>
      </w:r>
      <w:r w:rsidR="009F01A0">
        <w:t>5.septembra</w:t>
      </w:r>
      <w:r w:rsidR="005D0B04">
        <w:t xml:space="preserve"> vienošanās par nekustamā īpašuma lietošanu un apbūvi paredz, ka puses piekrīt viena otras plānotajiem b</w:t>
      </w:r>
      <w:r>
        <w:t>ūvdarbiem tiktāl, ciktāl remonta darbi neskar nekustamā īpašuma nesošās konstrukcijas vai komunikācijas, kas nedalāmi saistītas ar nekustamā īpašuma ekspluatāciju. Šajā sakarā Senāts norāda, ka</w:t>
      </w:r>
      <w:r w:rsidR="009F01A0">
        <w:t xml:space="preserve"> apgabaltiesa pamatoti secinājusi, ka</w:t>
      </w:r>
      <w:r>
        <w:t xml:space="preserve"> no 2014.gada </w:t>
      </w:r>
      <w:r w:rsidR="009F01A0">
        <w:t>5.septembra</w:t>
      </w:r>
      <w:r>
        <w:t xml:space="preserve"> vienošanās skaidri izriet, ka tā attiecas uz tieši šajā dokumentā minētajiem pušu atsevišķā lietošanā nodotajiem objektiem, kuru starpā nav dzīvokļa Nr. 1A. Savukārt 2014.gada 11.septembra vienošanās paredz konkrētus noteikumus</w:t>
      </w:r>
      <w:r w:rsidR="009F01A0">
        <w:t xml:space="preserve"> tieši</w:t>
      </w:r>
      <w:r>
        <w:t xml:space="preserve"> dzīvokļa Nr. 1A lietošanai un apbūvei un šīs vienošanās 1.6.</w:t>
      </w:r>
      <w:r w:rsidR="009F01A0">
        <w:t>apakš</w:t>
      </w:r>
      <w:r>
        <w:t>punktā konkrēti atrunāti noteikumi pieteicēja</w:t>
      </w:r>
      <w:r w:rsidR="00B03A3C">
        <w:t>s</w:t>
      </w:r>
      <w:r>
        <w:t xml:space="preserve"> plānotajai būvniecībai saistībā ar ieejas durvju izbūvi no fasādes puses. Tātad 2014.gada 11.septembra vienošanās 1.6.</w:t>
      </w:r>
      <w:r w:rsidR="009F01A0">
        <w:t>apakš</w:t>
      </w:r>
      <w:r>
        <w:t xml:space="preserve">punkts </w:t>
      </w:r>
      <w:r w:rsidR="00212012">
        <w:t>risina konkrētu</w:t>
      </w:r>
      <w:r>
        <w:t xml:space="preserve"> jautājumu par trešās personas piekrišanu pieteicējas plānotajai rīcības ar kopīpašuma daļu – ēkas fasādi. </w:t>
      </w:r>
    </w:p>
    <w:p w14:paraId="4BD092FA" w14:textId="1CDFC7CB" w:rsidR="00212012" w:rsidRDefault="00212012" w:rsidP="009F01A0">
      <w:pPr>
        <w:spacing w:line="276" w:lineRule="auto"/>
        <w:ind w:firstLine="567"/>
        <w:jc w:val="both"/>
      </w:pPr>
      <w:r>
        <w:t xml:space="preserve">Minēto iemeslu dēļ nav pamatota arī trešās personas atsaukšanās uz to, ka </w:t>
      </w:r>
      <w:proofErr w:type="gramStart"/>
      <w:r>
        <w:t>2014.gada</w:t>
      </w:r>
      <w:proofErr w:type="gramEnd"/>
      <w:r>
        <w:t xml:space="preserve"> </w:t>
      </w:r>
      <w:r w:rsidR="009F01A0">
        <w:t>5.septembra</w:t>
      </w:r>
      <w:r>
        <w:t xml:space="preserve"> vienošanās paredz, ka būvniecība atsevišķā lietošanā nodotajā nekustamā īpašuma daļā veicama atbilstoši normatīvo aktu prasībām. Turklāt saistībā ar minēto Senāts uzskata par nepieciešamu uzsvērt, ka primāri vērtējums par to, vai būvniecības iecere atbilst normatīvo aktu prasībām, ir tās iestādes kompetencē, kas izsniedz būvniecību atļaujošo administratīvo aktu. Savukārt kopīpašnieka saskaņojuma esība pati par sevi neapstiprina, ka plānotā būvniecība atbilst normatīvo aktu prasībām,</w:t>
      </w:r>
      <w:r w:rsidR="009F01A0">
        <w:t xml:space="preserve"> jo</w:t>
      </w:r>
      <w:r>
        <w:t xml:space="preserve"> saskaņojuma mērķis ir apliecināt, ka kopīpašnieks piekrīt tieši konkrēta veida izmaiņām savā nekustamajā īpašumā. </w:t>
      </w:r>
      <w:r w:rsidR="00B03A3C">
        <w:t>B</w:t>
      </w:r>
      <w:r>
        <w:t xml:space="preserve">ūvniecībai ir jāatbilst normatīvo aktu prasībām neatkarīgi no tā, vai minētais ir tieši noteikts, kopīpašniekiem vienojoties par nekustamā īpašuma lietošanu un apbūvi. </w:t>
      </w:r>
    </w:p>
    <w:p w14:paraId="5C150B13" w14:textId="11209442" w:rsidR="00212012" w:rsidRDefault="00B03A3C" w:rsidP="00C102E5">
      <w:pPr>
        <w:spacing w:line="276" w:lineRule="auto"/>
        <w:ind w:firstLine="567"/>
        <w:jc w:val="both"/>
      </w:pPr>
      <w:r>
        <w:t>Vienlaikus</w:t>
      </w:r>
      <w:r w:rsidR="00212012">
        <w:t xml:space="preserve">, pretēji trešās personas kasācijas sūdzībā norādītajam, tas, ka būvniecībai ir jāatbilst normatīvo aktu prasībām, automātiski nenozīmē, ka pēc tam, kad kopīpašnieki </w:t>
      </w:r>
      <w:r>
        <w:t xml:space="preserve">jau </w:t>
      </w:r>
      <w:r w:rsidR="00212012">
        <w:t xml:space="preserve">ir vienojušies par nekustamā īpašuma lietošanu un </w:t>
      </w:r>
      <w:r>
        <w:t xml:space="preserve">konkrētu </w:t>
      </w:r>
      <w:r w:rsidR="00212012">
        <w:t xml:space="preserve">apbūvi, kopīpašniekam, kas ierosina būvniecību, ir pienākums </w:t>
      </w:r>
      <w:r>
        <w:t>saņemt vēl atsevišķi noformētu saskaņojumu</w:t>
      </w:r>
      <w:r w:rsidR="00212012">
        <w:t xml:space="preserve">. Pastāvot šādam noteikumam, par formālām kļūtu </w:t>
      </w:r>
      <w:r w:rsidR="009F01A0" w:rsidRPr="009F01A0">
        <w:t>Ministru kabineta 2014.gada 2.septembra noteikumu Nr. 529 „Ēku būvnoteikumi”</w:t>
      </w:r>
      <w:r w:rsidR="009F01A0">
        <w:t xml:space="preserve"> 9.punktā </w:t>
      </w:r>
      <w:r w:rsidR="00212012">
        <w:t xml:space="preserve">ietvertās tiesības </w:t>
      </w:r>
      <w:proofErr w:type="spellStart"/>
      <w:r>
        <w:t>citstarp</w:t>
      </w:r>
      <w:proofErr w:type="spellEnd"/>
      <w:r>
        <w:t xml:space="preserve"> vienošanās </w:t>
      </w:r>
      <w:r w:rsidR="00212012">
        <w:t xml:space="preserve">formā </w:t>
      </w:r>
      <w:r>
        <w:t>apliecināt piekrišanu</w:t>
      </w:r>
      <w:r w:rsidR="009F01A0">
        <w:t xml:space="preserve"> būvniecībai. </w:t>
      </w:r>
      <w:r w:rsidR="00126BE1">
        <w:t>Tāpēc, ja kopīpašniek</w:t>
      </w:r>
      <w:r w:rsidR="009F01A0">
        <w:t xml:space="preserve">i vēlas </w:t>
      </w:r>
      <w:r w:rsidR="00126BE1">
        <w:t>noteikt, ka saskaņojums plānotajiem būvdarbiem tiks sniegs tikai pēc tam, kad kopīpašnieki būs iepazinuš</w:t>
      </w:r>
      <w:r w:rsidR="009F01A0">
        <w:t>ies ar konkrētu būvprojektu, ta</w:t>
      </w:r>
      <w:r>
        <w:t>s</w:t>
      </w:r>
      <w:r w:rsidR="009F01A0">
        <w:t>, vienojoties par lietošanas kārtību un būvdarbu veikšanu,</w:t>
      </w:r>
      <w:r w:rsidR="00126BE1">
        <w:t xml:space="preserve"> ir pietiekami skaidri jānosaka. Tas, ka konkrētajā gadījumā 2014.gada 11.septembra vienošanās 1.6.apakšpunkts gramatiski formulēts</w:t>
      </w:r>
      <w:r>
        <w:t xml:space="preserve">, </w:t>
      </w:r>
      <w:r>
        <w:lastRenderedPageBreak/>
        <w:t xml:space="preserve">izmantojot vārdu </w:t>
      </w:r>
      <w:r w:rsidRPr="009F01A0">
        <w:t>„</w:t>
      </w:r>
      <w:r>
        <w:t>izsniegs [nepieciešamos saskaņojumus]”</w:t>
      </w:r>
      <w:r w:rsidR="00126BE1">
        <w:t xml:space="preserve"> </w:t>
      </w:r>
      <w:r>
        <w:t xml:space="preserve">nākotnes formā, </w:t>
      </w:r>
      <w:r w:rsidR="00126BE1">
        <w:t xml:space="preserve">nav pietiekams pamats, lai uzskatītu, ka tātad puses vienojušās par to, ka konkrēts saskaņojums plānotajai būvniecībai tiks sniegts tikai pēc iepazīšanās ar konkrētu būvprojektu. Turklāt minētais vienošanās punkts neparedz, ka trešā persona kādu iemeslu dēļ varētu nepiekrist </w:t>
      </w:r>
      <w:r w:rsidR="009F01A0">
        <w:t xml:space="preserve">pieteicējas </w:t>
      </w:r>
      <w:r w:rsidR="00126BE1">
        <w:t xml:space="preserve">plānotajai būvniecībai, tādējādi šis punkts nerada pamatu uzskatīt, ka, iestājoties konkrētiem apstākļiem, iznākums varētu būt citāds kā </w:t>
      </w:r>
      <w:r w:rsidR="009F01A0">
        <w:t xml:space="preserve">trešās personas </w:t>
      </w:r>
      <w:r w:rsidR="00126BE1">
        <w:t xml:space="preserve">piekrišana plānotajai būvniecībai. </w:t>
      </w:r>
    </w:p>
    <w:p w14:paraId="4CD7214D" w14:textId="13D65869" w:rsidR="00256FFB" w:rsidRDefault="00256FFB" w:rsidP="00126BE1">
      <w:pPr>
        <w:spacing w:line="276" w:lineRule="auto"/>
        <w:jc w:val="both"/>
      </w:pPr>
    </w:p>
    <w:p w14:paraId="2147B59C" w14:textId="39D58641" w:rsidR="0057664C" w:rsidRDefault="00DA6962" w:rsidP="00B0539B">
      <w:pPr>
        <w:spacing w:line="276" w:lineRule="auto"/>
        <w:ind w:firstLine="567"/>
        <w:jc w:val="both"/>
      </w:pPr>
      <w:r>
        <w:t>[10] Gan trešā persona, gan iestāde kasācijas sūdzībā uzsver, ka</w:t>
      </w:r>
      <w:r w:rsidR="0057664C">
        <w:t xml:space="preserve"> iestādes komp</w:t>
      </w:r>
      <w:r w:rsidR="00AE7E0F">
        <w:t>etencē nav risināt civiltiesiska rakstura</w:t>
      </w:r>
      <w:r w:rsidR="0057664C">
        <w:t xml:space="preserve"> strīdus. Tāpēc situācijā, kurā pieteicējas un trešās personas starpā pastāv strīds par </w:t>
      </w:r>
      <w:proofErr w:type="gramStart"/>
      <w:r w:rsidR="0057664C">
        <w:t>2014.gada</w:t>
      </w:r>
      <w:proofErr w:type="gramEnd"/>
      <w:r w:rsidR="0057664C">
        <w:t xml:space="preserve"> 11.septembra vienošanās saturu, iestāde nav tiesīga interpretēt vienošanos</w:t>
      </w:r>
      <w:r w:rsidR="00AE7E0F">
        <w:t>.</w:t>
      </w:r>
    </w:p>
    <w:p w14:paraId="275BFBCC" w14:textId="377FB85F" w:rsidR="0057664C" w:rsidRDefault="00B0539B" w:rsidP="00AE7E0F">
      <w:pPr>
        <w:spacing w:line="276" w:lineRule="auto"/>
        <w:ind w:firstLine="567"/>
        <w:jc w:val="both"/>
      </w:pPr>
      <w:r>
        <w:t>V</w:t>
      </w:r>
      <w:r w:rsidR="0057664C">
        <w:t>ispārīgi minētajam var</w:t>
      </w:r>
      <w:r w:rsidR="00AE7E0F">
        <w:t>ētu piekrist tiktāl, ka</w:t>
      </w:r>
      <w:r w:rsidR="0057664C">
        <w:t xml:space="preserve"> iestādes uzdevums administratīvā procesa ietvaros</w:t>
      </w:r>
      <w:r w:rsidR="005812EE">
        <w:t>,</w:t>
      </w:r>
      <w:r w:rsidR="0057664C">
        <w:t xml:space="preserve"> lemjot par būvniecību atļaujošā administratīvā akta izdošanu, nav risināt kopīpašnieku starpā </w:t>
      </w:r>
      <w:r w:rsidR="005812EE">
        <w:t>radušos</w:t>
      </w:r>
      <w:r w:rsidR="0057664C">
        <w:t xml:space="preserve"> strīdus par nekustamā īpašuma izmantošanu.</w:t>
      </w:r>
      <w:r w:rsidR="005812EE">
        <w:t xml:space="preserve"> Tomēr konkrētajā gadījumā, kā pamatoti secinājusi apgabaltiesa, ir konstatējama trešās personas piekrišana pieteicējas plānotajai būvniec</w:t>
      </w:r>
      <w:r w:rsidR="00AE7E0F">
        <w:t xml:space="preserve">ībai, proti, atsevišķa dokumenta </w:t>
      </w:r>
      <w:r w:rsidR="003E4254">
        <w:t>(</w:t>
      </w:r>
      <w:proofErr w:type="gramStart"/>
      <w:r w:rsidR="003E4254">
        <w:t>2014.gada</w:t>
      </w:r>
      <w:proofErr w:type="gramEnd"/>
      <w:r w:rsidR="003E4254">
        <w:t xml:space="preserve"> 11.septembra vienošanās) </w:t>
      </w:r>
      <w:r w:rsidR="00AE7E0F">
        <w:t xml:space="preserve">formā noformēts saskaņojums, kurā trešā persona pauž piekrišanu konkrēta veida rīcībai ar konkrētu kopīpašuma daļu. Trešā persona </w:t>
      </w:r>
      <w:r w:rsidR="003E4254">
        <w:t>tikai</w:t>
      </w:r>
      <w:r w:rsidR="00AE7E0F">
        <w:t xml:space="preserve"> vēlāk ir izvirzījusi argumentus, ka tās griba patiesībā ir bijusi piekrist plānotajai būvniecībai tikai pēc tam, kad tā būs iepazinusies ar attiecīgo būvprojektu. </w:t>
      </w:r>
      <w:r w:rsidR="001A6CCC">
        <w:t>P</w:t>
      </w:r>
      <w:r w:rsidR="00AE7E0F" w:rsidRPr="00AE7E0F">
        <w:t xml:space="preserve">ašai trešajai personai, ja tā saskata tādu pamatu un nepieciešamību, ir civiltiesiskā kārtībā jārisina jautājums par to, kādas tiesiskās attiecības izriet no noslēgtās vienošanās. </w:t>
      </w:r>
      <w:r w:rsidR="005812EE" w:rsidRPr="00AE7E0F">
        <w:t xml:space="preserve">Būtu nepamatoti uzskatīt, ka tāpēc, ka trešā persona vēlāk ir izvirzījusi iebildumus pret </w:t>
      </w:r>
      <w:r w:rsidR="00421E3F">
        <w:t>pašas</w:t>
      </w:r>
      <w:r w:rsidR="005812EE" w:rsidRPr="00AE7E0F">
        <w:t xml:space="preserve"> sniegtā saskaņojuma saturu, iestādei būtu pamats uzskatīt, ka šāds saskaņojums nepastāv.</w:t>
      </w:r>
      <w:r w:rsidR="005812EE">
        <w:t xml:space="preserve"> </w:t>
      </w:r>
    </w:p>
    <w:p w14:paraId="7ED8AA54" w14:textId="77777777" w:rsidR="00B0539B" w:rsidRDefault="00B0539B" w:rsidP="00B0539B">
      <w:pPr>
        <w:spacing w:line="276" w:lineRule="auto"/>
        <w:ind w:firstLine="567"/>
        <w:jc w:val="both"/>
      </w:pPr>
    </w:p>
    <w:p w14:paraId="432F07BF" w14:textId="3547005B" w:rsidR="000A7942" w:rsidRDefault="00B0539B" w:rsidP="000A7942">
      <w:pPr>
        <w:spacing w:line="276" w:lineRule="auto"/>
        <w:ind w:firstLine="567"/>
        <w:jc w:val="both"/>
      </w:pPr>
      <w:r>
        <w:t xml:space="preserve">[11] </w:t>
      </w:r>
      <w:r w:rsidR="002005CF">
        <w:t>Trešā persona kasācijas sūdzībā</w:t>
      </w:r>
      <w:r w:rsidR="000A7942">
        <w:t xml:space="preserve"> arī </w:t>
      </w:r>
      <w:r w:rsidR="00D21BD2">
        <w:t>iebilst</w:t>
      </w:r>
      <w:r w:rsidR="000A7942">
        <w:t>, ka pieteicējai, pirms tai tiek izsniegta būvatļauja, nepieciešams saņemt Valsts kultūras pieminekļu aizsardzības inspekcijas piekrišan</w:t>
      </w:r>
      <w:r w:rsidR="00B03A3C">
        <w:t>u</w:t>
      </w:r>
      <w:r w:rsidR="000A7942">
        <w:t xml:space="preserve"> iecerēt</w:t>
      </w:r>
      <w:r w:rsidR="00421E3F">
        <w:t>ajiem</w:t>
      </w:r>
      <w:r w:rsidR="000A7942">
        <w:t xml:space="preserve"> būvdarb</w:t>
      </w:r>
      <w:r w:rsidR="00421E3F">
        <w:t>iem</w:t>
      </w:r>
      <w:r w:rsidR="000A7942">
        <w:t>. Tas, trešās personas ieskatā, nozīmē, ka apgabaltiesas sprieduma rezolutīvajā daļā iestādei noteikts tāds pienākums, kas neatbilst tiesību normām</w:t>
      </w:r>
      <w:r w:rsidR="00D21BD2">
        <w:t>.</w:t>
      </w:r>
      <w:r w:rsidR="00735BE5">
        <w:t xml:space="preserve"> Tāpat trešā persona kasācijas sūdzībā norāda, ka pieteicēja, ierosinot būvniecību, vēlējusies arī mainīt pieteicējas lietošanā nodoto telpu funkciju, un arī šādu darbību veikšanai nepieciešams saņemt trešās personas saskaņojumu. </w:t>
      </w:r>
    </w:p>
    <w:p w14:paraId="47D13ECF" w14:textId="7EEBCAE7" w:rsidR="00F921A5" w:rsidRPr="009B2A26" w:rsidRDefault="00735BE5" w:rsidP="00735BE5">
      <w:pPr>
        <w:spacing w:line="276" w:lineRule="auto"/>
        <w:ind w:firstLine="567"/>
        <w:jc w:val="both"/>
      </w:pPr>
      <w:r>
        <w:t xml:space="preserve">Pieteicēja konkrētajā gadījumā ir vērsusies tiesā ar prasījumu par labvēlīga administratīvā akta – būvatļaujas – izdošanu. </w:t>
      </w:r>
      <w:r w:rsidR="00661839">
        <w:t>A</w:t>
      </w:r>
      <w:r>
        <w:t xml:space="preserve">pgabaltiesas sprieduma rezolutīvā daļa konkrētajā gadījumā formulēta šādi: </w:t>
      </w:r>
      <w:r w:rsidR="000A7942">
        <w:t xml:space="preserve">„Uzlikt Rīgas pilsētas būvvaldei pienākumu viena mēneša laikā no sprieduma spēkā stāšanās izskatīt </w:t>
      </w:r>
      <w:proofErr w:type="gramStart"/>
      <w:r w:rsidR="00E603A0">
        <w:t>[</w:t>
      </w:r>
      <w:proofErr w:type="gramEnd"/>
      <w:r w:rsidR="00E603A0">
        <w:t>pers. A]</w:t>
      </w:r>
      <w:r w:rsidR="000A7942">
        <w:t xml:space="preserve"> būvniecības iesniegumu būvprojekta „Telpu pārbūve – </w:t>
      </w:r>
      <w:r w:rsidR="000A7942" w:rsidRPr="009B2A26">
        <w:t xml:space="preserve">biroja ierīkošana 1.stāva telpu grupā 001” īstenošanai, ņemot vērā šajā </w:t>
      </w:r>
      <w:r w:rsidR="00B03A3C" w:rsidRPr="009B2A26">
        <w:t>spriedumā izdarītos secinājumus</w:t>
      </w:r>
      <w:r w:rsidR="00661839" w:rsidRPr="009B2A26">
        <w:t xml:space="preserve">”. </w:t>
      </w:r>
      <w:r w:rsidR="00D60781" w:rsidRPr="009B2A26">
        <w:t>N</w:t>
      </w:r>
      <w:r w:rsidR="00661839" w:rsidRPr="009B2A26">
        <w:t>o apgabaltiesas sprieduma motīvu daļas izriet, ka tā, vērtējot pieteicējas tiesības uz lūgto labumu, būtībā pievēr</w:t>
      </w:r>
      <w:r w:rsidR="002B3FB5" w:rsidRPr="009B2A26">
        <w:t>s</w:t>
      </w:r>
      <w:r w:rsidR="00661839" w:rsidRPr="009B2A26">
        <w:t xml:space="preserve">usies </w:t>
      </w:r>
      <w:r w:rsidR="00C771F3" w:rsidRPr="009B2A26">
        <w:t xml:space="preserve">vienīgi </w:t>
      </w:r>
      <w:r w:rsidR="00661839" w:rsidRPr="009B2A26">
        <w:t xml:space="preserve">tam, vai departaments pamatoti konstatējis, ka šķērslis pieteicējai labvēlīga administratīvā akta izdošanai ir trešās personas piekrišanas neesība ieejas durvju izbūvei no fasādes puses. </w:t>
      </w:r>
    </w:p>
    <w:p w14:paraId="295ACAA8" w14:textId="7990B78F" w:rsidR="00735BE5" w:rsidRPr="009B2A26" w:rsidRDefault="00D60781" w:rsidP="00F921A5">
      <w:pPr>
        <w:spacing w:line="276" w:lineRule="auto"/>
        <w:ind w:firstLine="567"/>
        <w:jc w:val="both"/>
      </w:pPr>
      <w:r w:rsidRPr="009B2A26">
        <w:t>S</w:t>
      </w:r>
      <w:r w:rsidR="00661839" w:rsidRPr="009B2A26">
        <w:t>ecinot, ka atteikumā norādītie iemesli nav pamatoti, apgabaltiesa uzdevusi iestādei no jauna izskatīt pieteicējas būvniecības ierosinājumu</w:t>
      </w:r>
      <w:r w:rsidR="00C771F3" w:rsidRPr="009B2A26">
        <w:t>, ņemot vērā tiesas secinājumu par trešās personas piekrišanu ieejas durvju izbūvei no fasādes puses</w:t>
      </w:r>
      <w:r w:rsidR="00661839" w:rsidRPr="009B2A26">
        <w:t>.</w:t>
      </w:r>
      <w:r w:rsidR="00F921A5" w:rsidRPr="009B2A26">
        <w:t xml:space="preserve"> </w:t>
      </w:r>
      <w:r w:rsidR="00661839" w:rsidRPr="009B2A26">
        <w:t xml:space="preserve">Līdz ar to ar apgabaltiesas spriedumu šajā lietā </w:t>
      </w:r>
      <w:r w:rsidR="00F921A5" w:rsidRPr="009B2A26">
        <w:t>risināts</w:t>
      </w:r>
      <w:r w:rsidR="00661839" w:rsidRPr="009B2A26">
        <w:t xml:space="preserve"> vienīgi jautājums par to, vai ir konstatējama trešās personas piekrišana pieteicējas iecerētajai ieejas durvju izbūvei no fasādes puses. Savukārt </w:t>
      </w:r>
      <w:proofErr w:type="gramStart"/>
      <w:r w:rsidR="00661839" w:rsidRPr="009B2A26">
        <w:t xml:space="preserve">citus </w:t>
      </w:r>
      <w:r w:rsidR="00661839" w:rsidRPr="009B2A26">
        <w:lastRenderedPageBreak/>
        <w:t>jautājumus</w:t>
      </w:r>
      <w:proofErr w:type="gramEnd"/>
      <w:r w:rsidR="00661839" w:rsidRPr="009B2A26">
        <w:t xml:space="preserve"> par to, kādām prasībām jāatbilst pieteicējas būvniecības iecerei, kā arī, vai pēc būtības pieteicējai jau šobrīd pienākas tās l</w:t>
      </w:r>
      <w:r w:rsidR="00306B8B" w:rsidRPr="009B2A26">
        <w:t xml:space="preserve">ūgtais labums, apgabaltiesas spriedums neatrisina. </w:t>
      </w:r>
    </w:p>
    <w:p w14:paraId="68E4B474" w14:textId="6381277C" w:rsidR="000A7942" w:rsidRPr="009B2A26" w:rsidRDefault="00F921A5" w:rsidP="00F921A5">
      <w:pPr>
        <w:spacing w:line="276" w:lineRule="auto"/>
        <w:ind w:firstLine="567"/>
        <w:jc w:val="both"/>
      </w:pPr>
      <w:r w:rsidRPr="009B2A26">
        <w:t>Ņemot vērā minēto, iestāde</w:t>
      </w:r>
      <w:r w:rsidR="00C771F3" w:rsidRPr="009B2A26">
        <w:t>i</w:t>
      </w:r>
      <w:r w:rsidRPr="009B2A26">
        <w:t xml:space="preserve">, izskatot pieteicējas </w:t>
      </w:r>
      <w:r w:rsidR="000A7942" w:rsidRPr="009B2A26">
        <w:t>būvniecības ierosinājumu,</w:t>
      </w:r>
      <w:r w:rsidRPr="009B2A26">
        <w:t xml:space="preserve"> </w:t>
      </w:r>
      <w:r w:rsidR="00C771F3" w:rsidRPr="009B2A26">
        <w:t xml:space="preserve">būs pienākums </w:t>
      </w:r>
      <w:r w:rsidR="000A7942" w:rsidRPr="009B2A26">
        <w:t xml:space="preserve">pārbaudīt būvniecības ieceres atbilstību visām normatīvo aktu prasībām un nepieciešamības gadījumā norādīt uz trūkumiem, kas pieteicējai jānovērš būvniecības ieceres īstenošanai. </w:t>
      </w:r>
    </w:p>
    <w:p w14:paraId="0F24BB28" w14:textId="77777777" w:rsidR="00C27893" w:rsidRPr="009B2A26" w:rsidRDefault="00C27893" w:rsidP="00F921A5">
      <w:pPr>
        <w:spacing w:line="276" w:lineRule="auto"/>
        <w:jc w:val="both"/>
      </w:pPr>
    </w:p>
    <w:p w14:paraId="4CBF5CE0" w14:textId="12A77025" w:rsidR="000A7942" w:rsidRDefault="000A7942" w:rsidP="000A7942">
      <w:pPr>
        <w:spacing w:line="276" w:lineRule="auto"/>
        <w:ind w:firstLine="567"/>
        <w:jc w:val="both"/>
      </w:pPr>
      <w:r w:rsidRPr="009B2A26">
        <w:t>[1</w:t>
      </w:r>
      <w:r w:rsidR="00F921A5" w:rsidRPr="009B2A26">
        <w:t>2</w:t>
      </w:r>
      <w:r w:rsidRPr="009B2A26">
        <w:t>] Apkopojot minēto</w:t>
      </w:r>
      <w:r>
        <w:t xml:space="preserve">, pārsūdzētais apgabaltiesas spriedums atstājams negrozīts, bet iestādes un trešās personas kasācijas sūdzības noraidāmas. </w:t>
      </w:r>
    </w:p>
    <w:p w14:paraId="44E998A1" w14:textId="77777777" w:rsidR="003047F5" w:rsidRPr="0082381C" w:rsidRDefault="003047F5" w:rsidP="000A7942">
      <w:pPr>
        <w:spacing w:line="276" w:lineRule="auto"/>
        <w:jc w:val="both"/>
      </w:pPr>
    </w:p>
    <w:p w14:paraId="50912D15" w14:textId="77777777" w:rsidR="003047F5" w:rsidRPr="0082381C" w:rsidRDefault="003047F5" w:rsidP="000B0A3A">
      <w:pPr>
        <w:spacing w:line="276" w:lineRule="auto"/>
        <w:jc w:val="center"/>
        <w:rPr>
          <w:b/>
        </w:rPr>
      </w:pPr>
      <w:r w:rsidRPr="0082381C">
        <w:rPr>
          <w:b/>
        </w:rPr>
        <w:t>Rezolutīvā daļa</w:t>
      </w:r>
    </w:p>
    <w:p w14:paraId="6C7B5B3D" w14:textId="77777777" w:rsidR="003047F5" w:rsidRPr="0082381C" w:rsidRDefault="003047F5" w:rsidP="000B0A3A">
      <w:pPr>
        <w:spacing w:line="276" w:lineRule="auto"/>
        <w:ind w:firstLine="567"/>
        <w:jc w:val="both"/>
        <w:rPr>
          <w:bCs/>
          <w:spacing w:val="70"/>
        </w:rPr>
      </w:pPr>
    </w:p>
    <w:p w14:paraId="5368207B" w14:textId="0486279A"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proofErr w:type="gramStart"/>
      <w:r w:rsidR="00AF2237" w:rsidRPr="00E63EC7">
        <w:rPr>
          <w:rFonts w:eastAsiaTheme="minorHAnsi"/>
          <w:lang w:eastAsia="en-US"/>
        </w:rPr>
        <w:t>348.panta</w:t>
      </w:r>
      <w:proofErr w:type="gramEnd"/>
      <w:r w:rsidR="00AF2237" w:rsidRPr="00E63EC7">
        <w:rPr>
          <w:rFonts w:eastAsiaTheme="minorHAnsi"/>
          <w:lang w:eastAsia="en-US"/>
        </w:rPr>
        <w:t xml:space="preserve"> </w:t>
      </w:r>
      <w:r w:rsidR="00AF2237">
        <w:rPr>
          <w:rFonts w:eastAsiaTheme="minorHAnsi"/>
          <w:lang w:eastAsia="en-US"/>
        </w:rPr>
        <w:t xml:space="preserve">pirmās daļas </w:t>
      </w:r>
      <w:r w:rsidR="00D21BD2">
        <w:rPr>
          <w:rFonts w:eastAsiaTheme="minorHAnsi"/>
          <w:lang w:eastAsia="en-US"/>
        </w:rPr>
        <w:t>1.punktu</w:t>
      </w:r>
      <w:r w:rsidR="00AF2237" w:rsidRPr="00E63EC7">
        <w:rPr>
          <w:rFonts w:eastAsiaTheme="minorHAnsi"/>
          <w:lang w:eastAsia="en-US"/>
        </w:rPr>
        <w:t xml:space="preserve"> un 351.</w:t>
      </w:r>
      <w:r w:rsidR="00AF2237" w:rsidRPr="006145FE">
        <w:rPr>
          <w:rFonts w:eastAsiaTheme="minorHAnsi"/>
          <w:lang w:eastAsia="en-US"/>
        </w:rPr>
        <w:t>pantu</w:t>
      </w:r>
      <w:r w:rsidRPr="006145FE">
        <w:t xml:space="preserve">, </w:t>
      </w:r>
      <w:r w:rsidR="006B7BBC" w:rsidRPr="006145FE">
        <w:t>Senāts</w:t>
      </w:r>
    </w:p>
    <w:p w14:paraId="5CB2E91F" w14:textId="77777777" w:rsidR="003047F5" w:rsidRPr="0082381C" w:rsidRDefault="003047F5" w:rsidP="000B0A3A">
      <w:pPr>
        <w:spacing w:line="276" w:lineRule="auto"/>
        <w:ind w:firstLine="567"/>
        <w:jc w:val="both"/>
      </w:pPr>
    </w:p>
    <w:p w14:paraId="56A62D51" w14:textId="7D7239E6" w:rsidR="003047F5" w:rsidRPr="0082381C" w:rsidRDefault="003047F5" w:rsidP="000B0A3A">
      <w:pPr>
        <w:spacing w:line="276" w:lineRule="auto"/>
        <w:jc w:val="center"/>
        <w:rPr>
          <w:b/>
        </w:rPr>
      </w:pPr>
      <w:r w:rsidRPr="0082381C">
        <w:rPr>
          <w:b/>
        </w:rPr>
        <w:t>nosprieda</w:t>
      </w:r>
    </w:p>
    <w:p w14:paraId="40255B36" w14:textId="77777777" w:rsidR="00A6596A" w:rsidRPr="0082381C" w:rsidRDefault="00A6596A" w:rsidP="000B0A3A">
      <w:pPr>
        <w:spacing w:line="276" w:lineRule="auto"/>
        <w:jc w:val="center"/>
        <w:rPr>
          <w:b/>
        </w:rPr>
      </w:pPr>
    </w:p>
    <w:p w14:paraId="7428F7D6" w14:textId="7043D0D1" w:rsidR="00A6596A" w:rsidRPr="0082381C" w:rsidRDefault="00D21BD2" w:rsidP="00D3210B">
      <w:pPr>
        <w:spacing w:line="276" w:lineRule="auto"/>
        <w:ind w:firstLine="567"/>
        <w:jc w:val="both"/>
      </w:pPr>
      <w:r>
        <w:t xml:space="preserve">atstāt negrozītu Administratīvās apgabaltiesas </w:t>
      </w:r>
      <w:proofErr w:type="gramStart"/>
      <w:r>
        <w:t>2017.gada</w:t>
      </w:r>
      <w:proofErr w:type="gramEnd"/>
      <w:r>
        <w:t xml:space="preserve"> 11.maija spriedumu, bet Rīgas domes Pilsētas attīstības departamenta un </w:t>
      </w:r>
      <w:r w:rsidR="00E603A0">
        <w:t>[pers. B]</w:t>
      </w:r>
      <w:r>
        <w:t xml:space="preserve"> kasācijas sūdzības noraidīt. </w:t>
      </w:r>
    </w:p>
    <w:p w14:paraId="7B75477D" w14:textId="259CA6AA" w:rsidR="0099211E" w:rsidRPr="003712DE" w:rsidRDefault="00941626" w:rsidP="00E603A0">
      <w:pPr>
        <w:spacing w:line="276" w:lineRule="auto"/>
        <w:ind w:firstLine="567"/>
        <w:jc w:val="both"/>
      </w:pPr>
      <w:r w:rsidRPr="0082381C">
        <w:t xml:space="preserve">Spriedums </w:t>
      </w:r>
      <w:r w:rsidR="00A6596A" w:rsidRPr="0082381C">
        <w:t>nav pārsūdzams.</w:t>
      </w:r>
    </w:p>
    <w:sectPr w:rsidR="0099211E" w:rsidRPr="003712DE"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CDB36" w14:textId="77777777" w:rsidR="0087468E" w:rsidRDefault="0087468E" w:rsidP="003047F5">
      <w:r>
        <w:separator/>
      </w:r>
    </w:p>
  </w:endnote>
  <w:endnote w:type="continuationSeparator" w:id="0">
    <w:p w14:paraId="5C18CBB1" w14:textId="77777777" w:rsidR="0087468E" w:rsidRDefault="0087468E"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138BC" w14:textId="448F244F" w:rsidR="0057664C" w:rsidRDefault="0057664C"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34B9B">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D534C">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4A847" w14:textId="77777777" w:rsidR="0087468E" w:rsidRDefault="0087468E" w:rsidP="003047F5">
      <w:r>
        <w:separator/>
      </w:r>
    </w:p>
  </w:footnote>
  <w:footnote w:type="continuationSeparator" w:id="0">
    <w:p w14:paraId="2F1C9845" w14:textId="77777777" w:rsidR="0087468E" w:rsidRDefault="0087468E"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3312"/>
    <w:multiLevelType w:val="hybridMultilevel"/>
    <w:tmpl w:val="FEFA4CA6"/>
    <w:lvl w:ilvl="0" w:tplc="D5FCB16E">
      <w:start w:val="1"/>
      <w:numFmt w:val="bullet"/>
      <w:lvlText w:val="•"/>
      <w:lvlJc w:val="left"/>
      <w:pPr>
        <w:tabs>
          <w:tab w:val="num" w:pos="720"/>
        </w:tabs>
        <w:ind w:left="720" w:hanging="360"/>
      </w:pPr>
      <w:rPr>
        <w:rFonts w:ascii="Arial" w:hAnsi="Arial" w:hint="default"/>
      </w:rPr>
    </w:lvl>
    <w:lvl w:ilvl="1" w:tplc="4A169964" w:tentative="1">
      <w:start w:val="1"/>
      <w:numFmt w:val="bullet"/>
      <w:lvlText w:val="•"/>
      <w:lvlJc w:val="left"/>
      <w:pPr>
        <w:tabs>
          <w:tab w:val="num" w:pos="1440"/>
        </w:tabs>
        <w:ind w:left="1440" w:hanging="360"/>
      </w:pPr>
      <w:rPr>
        <w:rFonts w:ascii="Arial" w:hAnsi="Arial" w:hint="default"/>
      </w:rPr>
    </w:lvl>
    <w:lvl w:ilvl="2" w:tplc="FBA8F79C" w:tentative="1">
      <w:start w:val="1"/>
      <w:numFmt w:val="bullet"/>
      <w:lvlText w:val="•"/>
      <w:lvlJc w:val="left"/>
      <w:pPr>
        <w:tabs>
          <w:tab w:val="num" w:pos="2160"/>
        </w:tabs>
        <w:ind w:left="2160" w:hanging="360"/>
      </w:pPr>
      <w:rPr>
        <w:rFonts w:ascii="Arial" w:hAnsi="Arial" w:hint="default"/>
      </w:rPr>
    </w:lvl>
    <w:lvl w:ilvl="3" w:tplc="DBF6E982" w:tentative="1">
      <w:start w:val="1"/>
      <w:numFmt w:val="bullet"/>
      <w:lvlText w:val="•"/>
      <w:lvlJc w:val="left"/>
      <w:pPr>
        <w:tabs>
          <w:tab w:val="num" w:pos="2880"/>
        </w:tabs>
        <w:ind w:left="2880" w:hanging="360"/>
      </w:pPr>
      <w:rPr>
        <w:rFonts w:ascii="Arial" w:hAnsi="Arial" w:hint="default"/>
      </w:rPr>
    </w:lvl>
    <w:lvl w:ilvl="4" w:tplc="AB78AE78" w:tentative="1">
      <w:start w:val="1"/>
      <w:numFmt w:val="bullet"/>
      <w:lvlText w:val="•"/>
      <w:lvlJc w:val="left"/>
      <w:pPr>
        <w:tabs>
          <w:tab w:val="num" w:pos="3600"/>
        </w:tabs>
        <w:ind w:left="3600" w:hanging="360"/>
      </w:pPr>
      <w:rPr>
        <w:rFonts w:ascii="Arial" w:hAnsi="Arial" w:hint="default"/>
      </w:rPr>
    </w:lvl>
    <w:lvl w:ilvl="5" w:tplc="BC9675E8" w:tentative="1">
      <w:start w:val="1"/>
      <w:numFmt w:val="bullet"/>
      <w:lvlText w:val="•"/>
      <w:lvlJc w:val="left"/>
      <w:pPr>
        <w:tabs>
          <w:tab w:val="num" w:pos="4320"/>
        </w:tabs>
        <w:ind w:left="4320" w:hanging="360"/>
      </w:pPr>
      <w:rPr>
        <w:rFonts w:ascii="Arial" w:hAnsi="Arial" w:hint="default"/>
      </w:rPr>
    </w:lvl>
    <w:lvl w:ilvl="6" w:tplc="BC1AE640" w:tentative="1">
      <w:start w:val="1"/>
      <w:numFmt w:val="bullet"/>
      <w:lvlText w:val="•"/>
      <w:lvlJc w:val="left"/>
      <w:pPr>
        <w:tabs>
          <w:tab w:val="num" w:pos="5040"/>
        </w:tabs>
        <w:ind w:left="5040" w:hanging="360"/>
      </w:pPr>
      <w:rPr>
        <w:rFonts w:ascii="Arial" w:hAnsi="Arial" w:hint="default"/>
      </w:rPr>
    </w:lvl>
    <w:lvl w:ilvl="7" w:tplc="A77A861E" w:tentative="1">
      <w:start w:val="1"/>
      <w:numFmt w:val="bullet"/>
      <w:lvlText w:val="•"/>
      <w:lvlJc w:val="left"/>
      <w:pPr>
        <w:tabs>
          <w:tab w:val="num" w:pos="5760"/>
        </w:tabs>
        <w:ind w:left="5760" w:hanging="360"/>
      </w:pPr>
      <w:rPr>
        <w:rFonts w:ascii="Arial" w:hAnsi="Arial" w:hint="default"/>
      </w:rPr>
    </w:lvl>
    <w:lvl w:ilvl="8" w:tplc="8D903A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BEF228A"/>
    <w:multiLevelType w:val="hybridMultilevel"/>
    <w:tmpl w:val="6C0A225E"/>
    <w:lvl w:ilvl="0" w:tplc="CE16DFF0">
      <w:start w:val="1"/>
      <w:numFmt w:val="bullet"/>
      <w:lvlText w:val="•"/>
      <w:lvlJc w:val="left"/>
      <w:pPr>
        <w:tabs>
          <w:tab w:val="num" w:pos="720"/>
        </w:tabs>
        <w:ind w:left="720" w:hanging="360"/>
      </w:pPr>
      <w:rPr>
        <w:rFonts w:ascii="Arial" w:hAnsi="Arial" w:hint="default"/>
      </w:rPr>
    </w:lvl>
    <w:lvl w:ilvl="1" w:tplc="8CDEA732" w:tentative="1">
      <w:start w:val="1"/>
      <w:numFmt w:val="bullet"/>
      <w:lvlText w:val="•"/>
      <w:lvlJc w:val="left"/>
      <w:pPr>
        <w:tabs>
          <w:tab w:val="num" w:pos="1440"/>
        </w:tabs>
        <w:ind w:left="1440" w:hanging="360"/>
      </w:pPr>
      <w:rPr>
        <w:rFonts w:ascii="Arial" w:hAnsi="Arial" w:hint="default"/>
      </w:rPr>
    </w:lvl>
    <w:lvl w:ilvl="2" w:tplc="ACAA7C40" w:tentative="1">
      <w:start w:val="1"/>
      <w:numFmt w:val="bullet"/>
      <w:lvlText w:val="•"/>
      <w:lvlJc w:val="left"/>
      <w:pPr>
        <w:tabs>
          <w:tab w:val="num" w:pos="2160"/>
        </w:tabs>
        <w:ind w:left="2160" w:hanging="360"/>
      </w:pPr>
      <w:rPr>
        <w:rFonts w:ascii="Arial" w:hAnsi="Arial" w:hint="default"/>
      </w:rPr>
    </w:lvl>
    <w:lvl w:ilvl="3" w:tplc="126ABC7C" w:tentative="1">
      <w:start w:val="1"/>
      <w:numFmt w:val="bullet"/>
      <w:lvlText w:val="•"/>
      <w:lvlJc w:val="left"/>
      <w:pPr>
        <w:tabs>
          <w:tab w:val="num" w:pos="2880"/>
        </w:tabs>
        <w:ind w:left="2880" w:hanging="360"/>
      </w:pPr>
      <w:rPr>
        <w:rFonts w:ascii="Arial" w:hAnsi="Arial" w:hint="default"/>
      </w:rPr>
    </w:lvl>
    <w:lvl w:ilvl="4" w:tplc="89249DB4" w:tentative="1">
      <w:start w:val="1"/>
      <w:numFmt w:val="bullet"/>
      <w:lvlText w:val="•"/>
      <w:lvlJc w:val="left"/>
      <w:pPr>
        <w:tabs>
          <w:tab w:val="num" w:pos="3600"/>
        </w:tabs>
        <w:ind w:left="3600" w:hanging="360"/>
      </w:pPr>
      <w:rPr>
        <w:rFonts w:ascii="Arial" w:hAnsi="Arial" w:hint="default"/>
      </w:rPr>
    </w:lvl>
    <w:lvl w:ilvl="5" w:tplc="8D581172" w:tentative="1">
      <w:start w:val="1"/>
      <w:numFmt w:val="bullet"/>
      <w:lvlText w:val="•"/>
      <w:lvlJc w:val="left"/>
      <w:pPr>
        <w:tabs>
          <w:tab w:val="num" w:pos="4320"/>
        </w:tabs>
        <w:ind w:left="4320" w:hanging="360"/>
      </w:pPr>
      <w:rPr>
        <w:rFonts w:ascii="Arial" w:hAnsi="Arial" w:hint="default"/>
      </w:rPr>
    </w:lvl>
    <w:lvl w:ilvl="6" w:tplc="A8D4392A" w:tentative="1">
      <w:start w:val="1"/>
      <w:numFmt w:val="bullet"/>
      <w:lvlText w:val="•"/>
      <w:lvlJc w:val="left"/>
      <w:pPr>
        <w:tabs>
          <w:tab w:val="num" w:pos="5040"/>
        </w:tabs>
        <w:ind w:left="5040" w:hanging="360"/>
      </w:pPr>
      <w:rPr>
        <w:rFonts w:ascii="Arial" w:hAnsi="Arial" w:hint="default"/>
      </w:rPr>
    </w:lvl>
    <w:lvl w:ilvl="7" w:tplc="93B85C36" w:tentative="1">
      <w:start w:val="1"/>
      <w:numFmt w:val="bullet"/>
      <w:lvlText w:val="•"/>
      <w:lvlJc w:val="left"/>
      <w:pPr>
        <w:tabs>
          <w:tab w:val="num" w:pos="5760"/>
        </w:tabs>
        <w:ind w:left="5760" w:hanging="360"/>
      </w:pPr>
      <w:rPr>
        <w:rFonts w:ascii="Arial" w:hAnsi="Arial" w:hint="default"/>
      </w:rPr>
    </w:lvl>
    <w:lvl w:ilvl="8" w:tplc="0DF4A47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057"/>
    <w:rsid w:val="00016437"/>
    <w:rsid w:val="0004222D"/>
    <w:rsid w:val="000708AF"/>
    <w:rsid w:val="000A7942"/>
    <w:rsid w:val="000B0A3A"/>
    <w:rsid w:val="000B2016"/>
    <w:rsid w:val="000B6499"/>
    <w:rsid w:val="001108D8"/>
    <w:rsid w:val="00126BE1"/>
    <w:rsid w:val="00141D01"/>
    <w:rsid w:val="00142782"/>
    <w:rsid w:val="001646E9"/>
    <w:rsid w:val="001821A7"/>
    <w:rsid w:val="001916DE"/>
    <w:rsid w:val="0019238A"/>
    <w:rsid w:val="001A0495"/>
    <w:rsid w:val="001A6CCC"/>
    <w:rsid w:val="001B7BB3"/>
    <w:rsid w:val="001E3A09"/>
    <w:rsid w:val="001F078F"/>
    <w:rsid w:val="002005CF"/>
    <w:rsid w:val="00212012"/>
    <w:rsid w:val="00236E52"/>
    <w:rsid w:val="00237F92"/>
    <w:rsid w:val="00256FFB"/>
    <w:rsid w:val="002739CB"/>
    <w:rsid w:val="0027469B"/>
    <w:rsid w:val="002748A8"/>
    <w:rsid w:val="00277FD8"/>
    <w:rsid w:val="00293462"/>
    <w:rsid w:val="002B3FB5"/>
    <w:rsid w:val="002C0DF4"/>
    <w:rsid w:val="00301A51"/>
    <w:rsid w:val="003047F5"/>
    <w:rsid w:val="003069A8"/>
    <w:rsid w:val="00306B8B"/>
    <w:rsid w:val="003072B1"/>
    <w:rsid w:val="0035346E"/>
    <w:rsid w:val="003712DE"/>
    <w:rsid w:val="003735C6"/>
    <w:rsid w:val="00386D83"/>
    <w:rsid w:val="003C713F"/>
    <w:rsid w:val="003D196C"/>
    <w:rsid w:val="003E4254"/>
    <w:rsid w:val="003E7235"/>
    <w:rsid w:val="003E73F4"/>
    <w:rsid w:val="00417BD0"/>
    <w:rsid w:val="00421E3F"/>
    <w:rsid w:val="004243B5"/>
    <w:rsid w:val="00424B84"/>
    <w:rsid w:val="0043182C"/>
    <w:rsid w:val="00454226"/>
    <w:rsid w:val="004626E9"/>
    <w:rsid w:val="00476D28"/>
    <w:rsid w:val="004832EB"/>
    <w:rsid w:val="00484DBE"/>
    <w:rsid w:val="00491485"/>
    <w:rsid w:val="00491DEC"/>
    <w:rsid w:val="004A03EF"/>
    <w:rsid w:val="004A4903"/>
    <w:rsid w:val="00501AFF"/>
    <w:rsid w:val="00520A63"/>
    <w:rsid w:val="00521A02"/>
    <w:rsid w:val="00535AE3"/>
    <w:rsid w:val="00543E46"/>
    <w:rsid w:val="0057664C"/>
    <w:rsid w:val="005812EE"/>
    <w:rsid w:val="00595EB2"/>
    <w:rsid w:val="005C4A6F"/>
    <w:rsid w:val="005D0B04"/>
    <w:rsid w:val="005E0F28"/>
    <w:rsid w:val="006145FE"/>
    <w:rsid w:val="00625D48"/>
    <w:rsid w:val="00652AAD"/>
    <w:rsid w:val="00661839"/>
    <w:rsid w:val="006757F7"/>
    <w:rsid w:val="0069231A"/>
    <w:rsid w:val="006B7BBC"/>
    <w:rsid w:val="006F5D3B"/>
    <w:rsid w:val="00735BE5"/>
    <w:rsid w:val="007709C7"/>
    <w:rsid w:val="007C7F81"/>
    <w:rsid w:val="007D2C53"/>
    <w:rsid w:val="0082381C"/>
    <w:rsid w:val="00833668"/>
    <w:rsid w:val="008365DA"/>
    <w:rsid w:val="008570F8"/>
    <w:rsid w:val="0087468E"/>
    <w:rsid w:val="00883C08"/>
    <w:rsid w:val="008860F8"/>
    <w:rsid w:val="00895464"/>
    <w:rsid w:val="008B513B"/>
    <w:rsid w:val="008D4A1B"/>
    <w:rsid w:val="008D731A"/>
    <w:rsid w:val="009229FE"/>
    <w:rsid w:val="00941626"/>
    <w:rsid w:val="009639F7"/>
    <w:rsid w:val="0097643D"/>
    <w:rsid w:val="0099211E"/>
    <w:rsid w:val="009B2A26"/>
    <w:rsid w:val="009E3FC5"/>
    <w:rsid w:val="009F01A0"/>
    <w:rsid w:val="00A00062"/>
    <w:rsid w:val="00A6596A"/>
    <w:rsid w:val="00A74869"/>
    <w:rsid w:val="00A831F1"/>
    <w:rsid w:val="00AB6DEE"/>
    <w:rsid w:val="00AC5F23"/>
    <w:rsid w:val="00AE7E0F"/>
    <w:rsid w:val="00AF2237"/>
    <w:rsid w:val="00B03A3C"/>
    <w:rsid w:val="00B0539B"/>
    <w:rsid w:val="00B14C9E"/>
    <w:rsid w:val="00B36182"/>
    <w:rsid w:val="00B45302"/>
    <w:rsid w:val="00B55039"/>
    <w:rsid w:val="00B813B2"/>
    <w:rsid w:val="00BB4182"/>
    <w:rsid w:val="00BB5382"/>
    <w:rsid w:val="00BB75A4"/>
    <w:rsid w:val="00BD6473"/>
    <w:rsid w:val="00BD6D64"/>
    <w:rsid w:val="00BF5E7B"/>
    <w:rsid w:val="00BF698C"/>
    <w:rsid w:val="00C102E5"/>
    <w:rsid w:val="00C27893"/>
    <w:rsid w:val="00C771F3"/>
    <w:rsid w:val="00CD692F"/>
    <w:rsid w:val="00D07CB1"/>
    <w:rsid w:val="00D21BD2"/>
    <w:rsid w:val="00D23475"/>
    <w:rsid w:val="00D24D98"/>
    <w:rsid w:val="00D3210B"/>
    <w:rsid w:val="00D60781"/>
    <w:rsid w:val="00D7028E"/>
    <w:rsid w:val="00D7177F"/>
    <w:rsid w:val="00DA6962"/>
    <w:rsid w:val="00DB3EF7"/>
    <w:rsid w:val="00DC29E0"/>
    <w:rsid w:val="00E128F2"/>
    <w:rsid w:val="00E34B9B"/>
    <w:rsid w:val="00E5207C"/>
    <w:rsid w:val="00E54CC3"/>
    <w:rsid w:val="00E603A0"/>
    <w:rsid w:val="00E87F0F"/>
    <w:rsid w:val="00E9000E"/>
    <w:rsid w:val="00E94857"/>
    <w:rsid w:val="00EB4272"/>
    <w:rsid w:val="00EC5534"/>
    <w:rsid w:val="00EE683F"/>
    <w:rsid w:val="00F15DE4"/>
    <w:rsid w:val="00F23CF7"/>
    <w:rsid w:val="00F43FAD"/>
    <w:rsid w:val="00F553AD"/>
    <w:rsid w:val="00F637BB"/>
    <w:rsid w:val="00F81367"/>
    <w:rsid w:val="00F8326F"/>
    <w:rsid w:val="00F921A5"/>
    <w:rsid w:val="00F947AA"/>
    <w:rsid w:val="00FA07DB"/>
    <w:rsid w:val="00FA758E"/>
    <w:rsid w:val="00FC5AE2"/>
    <w:rsid w:val="00FD25E0"/>
    <w:rsid w:val="00FD4B32"/>
    <w:rsid w:val="00FD53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315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4C9E"/>
    <w:pPr>
      <w:ind w:left="720"/>
      <w:contextualSpacing/>
    </w:pPr>
    <w:rPr>
      <w:lang w:val="en-US" w:eastAsia="en-US"/>
    </w:rPr>
  </w:style>
  <w:style w:type="character" w:styleId="Hyperlink">
    <w:name w:val="Hyperlink"/>
    <w:basedOn w:val="DefaultParagraphFont"/>
    <w:uiPriority w:val="99"/>
    <w:unhideWhenUsed/>
    <w:rsid w:val="00E94857"/>
    <w:rPr>
      <w:color w:val="0563C1" w:themeColor="hyperlink"/>
      <w:u w:val="single"/>
    </w:rPr>
  </w:style>
  <w:style w:type="character" w:styleId="UnresolvedMention">
    <w:name w:val="Unresolved Mention"/>
    <w:basedOn w:val="DefaultParagraphFont"/>
    <w:uiPriority w:val="99"/>
    <w:semiHidden/>
    <w:unhideWhenUsed/>
    <w:rsid w:val="00E94857"/>
    <w:rPr>
      <w:color w:val="605E5C"/>
      <w:shd w:val="clear" w:color="auto" w:fill="E1DFDD"/>
    </w:rPr>
  </w:style>
  <w:style w:type="character" w:styleId="FollowedHyperlink">
    <w:name w:val="FollowedHyperlink"/>
    <w:basedOn w:val="DefaultParagraphFont"/>
    <w:uiPriority w:val="99"/>
    <w:semiHidden/>
    <w:unhideWhenUsed/>
    <w:rsid w:val="00E603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7809">
      <w:bodyDiv w:val="1"/>
      <w:marLeft w:val="0"/>
      <w:marRight w:val="0"/>
      <w:marTop w:val="0"/>
      <w:marBottom w:val="0"/>
      <w:divBdr>
        <w:top w:val="none" w:sz="0" w:space="0" w:color="auto"/>
        <w:left w:val="none" w:sz="0" w:space="0" w:color="auto"/>
        <w:bottom w:val="none" w:sz="0" w:space="0" w:color="auto"/>
        <w:right w:val="none" w:sz="0" w:space="0" w:color="auto"/>
      </w:divBdr>
    </w:div>
    <w:div w:id="1359232829">
      <w:bodyDiv w:val="1"/>
      <w:marLeft w:val="0"/>
      <w:marRight w:val="0"/>
      <w:marTop w:val="0"/>
      <w:marBottom w:val="0"/>
      <w:divBdr>
        <w:top w:val="none" w:sz="0" w:space="0" w:color="auto"/>
        <w:left w:val="none" w:sz="0" w:space="0" w:color="auto"/>
        <w:bottom w:val="none" w:sz="0" w:space="0" w:color="auto"/>
        <w:right w:val="none" w:sz="0" w:space="0" w:color="auto"/>
      </w:divBdr>
      <w:divsChild>
        <w:div w:id="632177528">
          <w:marLeft w:val="360"/>
          <w:marRight w:val="0"/>
          <w:marTop w:val="200"/>
          <w:marBottom w:val="0"/>
          <w:divBdr>
            <w:top w:val="none" w:sz="0" w:space="0" w:color="auto"/>
            <w:left w:val="none" w:sz="0" w:space="0" w:color="auto"/>
            <w:bottom w:val="none" w:sz="0" w:space="0" w:color="auto"/>
            <w:right w:val="none" w:sz="0" w:space="0" w:color="auto"/>
          </w:divBdr>
        </w:div>
        <w:div w:id="1803688383">
          <w:marLeft w:val="360"/>
          <w:marRight w:val="0"/>
          <w:marTop w:val="200"/>
          <w:marBottom w:val="0"/>
          <w:divBdr>
            <w:top w:val="none" w:sz="0" w:space="0" w:color="auto"/>
            <w:left w:val="none" w:sz="0" w:space="0" w:color="auto"/>
            <w:bottom w:val="none" w:sz="0" w:space="0" w:color="auto"/>
            <w:right w:val="none" w:sz="0" w:space="0" w:color="auto"/>
          </w:divBdr>
        </w:div>
      </w:divsChild>
    </w:div>
    <w:div w:id="197305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228.A420198416.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59CB5-259E-4182-A37B-DE651317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16686</Words>
  <Characters>9512</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2019-03-11T07:50:00Z</dcterms:created>
  <dcterms:modified xsi:type="dcterms:W3CDTF">2019-04-26T08:03:00Z</dcterms:modified>
</cp:coreProperties>
</file>