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53703" w14:textId="4F666DB8" w:rsidR="003F3B15" w:rsidRDefault="003F3B15" w:rsidP="003F3B15">
      <w:pPr>
        <w:spacing w:after="0" w:line="276" w:lineRule="auto"/>
        <w:jc w:val="both"/>
        <w:rPr>
          <w:rFonts w:eastAsia="Times New Roman" w:cs="Times New Roman"/>
          <w:szCs w:val="24"/>
          <w:lang w:eastAsia="ru-RU"/>
        </w:rPr>
      </w:pPr>
      <w:r w:rsidRPr="00D74918">
        <w:rPr>
          <w:b/>
        </w:rPr>
        <w:t>Atbildīgā persona par administratīvā pārkāpuma lietvedībā komercsabiedrībai izņemtās mantas glabāšanas izmaksām</w:t>
      </w:r>
    </w:p>
    <w:p w14:paraId="54D82F66" w14:textId="77777777" w:rsidR="003F3B15" w:rsidRDefault="003F3B15" w:rsidP="003F3B15">
      <w:pPr>
        <w:spacing w:after="0" w:line="276" w:lineRule="auto"/>
        <w:jc w:val="right"/>
        <w:rPr>
          <w:rFonts w:eastAsia="Times New Roman" w:cs="Times New Roman"/>
          <w:szCs w:val="24"/>
          <w:lang w:eastAsia="ru-RU"/>
        </w:rPr>
      </w:pPr>
    </w:p>
    <w:p w14:paraId="449C2E1B" w14:textId="5D410BF9" w:rsidR="00261642" w:rsidRPr="003F3B15" w:rsidRDefault="00261642" w:rsidP="004E6018">
      <w:pPr>
        <w:spacing w:after="0" w:line="276" w:lineRule="auto"/>
        <w:jc w:val="center"/>
        <w:rPr>
          <w:rFonts w:eastAsia="Times New Roman" w:cs="Times New Roman"/>
          <w:b/>
          <w:szCs w:val="24"/>
          <w:lang w:eastAsia="ru-RU"/>
        </w:rPr>
      </w:pPr>
      <w:r w:rsidRPr="003F3B15">
        <w:rPr>
          <w:rFonts w:eastAsia="Times New Roman" w:cs="Times New Roman"/>
          <w:b/>
          <w:szCs w:val="24"/>
          <w:lang w:eastAsia="ru-RU"/>
        </w:rPr>
        <w:t xml:space="preserve">Latvijas Republikas </w:t>
      </w:r>
      <w:r w:rsidR="007A1788" w:rsidRPr="003F3B15">
        <w:rPr>
          <w:rFonts w:eastAsia="Times New Roman" w:cs="Times New Roman"/>
          <w:b/>
          <w:szCs w:val="24"/>
          <w:lang w:eastAsia="ru-RU"/>
        </w:rPr>
        <w:t>Senāt</w:t>
      </w:r>
      <w:r w:rsidR="003F3B15" w:rsidRPr="003F3B15">
        <w:rPr>
          <w:rFonts w:eastAsia="Times New Roman" w:cs="Times New Roman"/>
          <w:b/>
          <w:szCs w:val="24"/>
          <w:lang w:eastAsia="ru-RU"/>
        </w:rPr>
        <w:t>a</w:t>
      </w:r>
    </w:p>
    <w:p w14:paraId="58F260FB" w14:textId="6EA4E679" w:rsidR="003F3B15" w:rsidRPr="003F3B15" w:rsidRDefault="003F3B15" w:rsidP="004E6018">
      <w:pPr>
        <w:spacing w:after="0" w:line="276" w:lineRule="auto"/>
        <w:jc w:val="center"/>
        <w:rPr>
          <w:rFonts w:eastAsia="Times New Roman" w:cs="Times New Roman"/>
          <w:b/>
          <w:szCs w:val="24"/>
          <w:lang w:eastAsia="ru-RU"/>
        </w:rPr>
      </w:pPr>
      <w:r w:rsidRPr="003F3B15">
        <w:rPr>
          <w:rFonts w:eastAsia="Times New Roman" w:cs="Times New Roman"/>
          <w:b/>
          <w:szCs w:val="24"/>
          <w:lang w:eastAsia="ru-RU"/>
        </w:rPr>
        <w:t>Administratīvo lietu departamenta</w:t>
      </w:r>
    </w:p>
    <w:p w14:paraId="472A92F0" w14:textId="4C5F41E4" w:rsidR="003F3B15" w:rsidRPr="003F3B15" w:rsidRDefault="003F3B15" w:rsidP="004E6018">
      <w:pPr>
        <w:spacing w:after="0" w:line="276" w:lineRule="auto"/>
        <w:jc w:val="center"/>
        <w:rPr>
          <w:rFonts w:eastAsia="Times New Roman" w:cs="Times New Roman"/>
          <w:b/>
          <w:szCs w:val="24"/>
          <w:lang w:eastAsia="ru-RU"/>
        </w:rPr>
      </w:pPr>
      <w:proofErr w:type="gramStart"/>
      <w:r w:rsidRPr="003F3B15">
        <w:rPr>
          <w:rFonts w:eastAsia="Times New Roman" w:cs="Times New Roman"/>
          <w:b/>
          <w:szCs w:val="24"/>
          <w:lang w:eastAsia="ru-RU"/>
        </w:rPr>
        <w:t>2019.gada</w:t>
      </w:r>
      <w:proofErr w:type="gramEnd"/>
      <w:r w:rsidRPr="003F3B15">
        <w:rPr>
          <w:rFonts w:eastAsia="Times New Roman" w:cs="Times New Roman"/>
          <w:b/>
          <w:szCs w:val="24"/>
          <w:lang w:eastAsia="ru-RU"/>
        </w:rPr>
        <w:t xml:space="preserve"> 17.aprīļa</w:t>
      </w:r>
    </w:p>
    <w:p w14:paraId="36A1938E" w14:textId="5989EBE6" w:rsidR="00261642" w:rsidRPr="003F3B15" w:rsidRDefault="00261642" w:rsidP="004E6018">
      <w:pPr>
        <w:spacing w:after="0" w:line="276" w:lineRule="auto"/>
        <w:jc w:val="center"/>
        <w:rPr>
          <w:rFonts w:eastAsia="Times New Roman" w:cs="Times New Roman"/>
          <w:b/>
          <w:szCs w:val="24"/>
          <w:lang w:eastAsia="ru-RU"/>
        </w:rPr>
      </w:pPr>
      <w:r w:rsidRPr="003F3B15">
        <w:rPr>
          <w:rFonts w:eastAsia="Times New Roman" w:cs="Times New Roman"/>
          <w:b/>
          <w:szCs w:val="24"/>
          <w:lang w:eastAsia="ru-RU"/>
        </w:rPr>
        <w:t>RĪCĪBAS SĒDES LĒMUMS</w:t>
      </w:r>
    </w:p>
    <w:p w14:paraId="1B2BB498" w14:textId="7F2FC91A" w:rsidR="003F3B15" w:rsidRPr="003F3B15" w:rsidRDefault="003F3B15" w:rsidP="004E6018">
      <w:pPr>
        <w:spacing w:after="0" w:line="276" w:lineRule="auto"/>
        <w:jc w:val="center"/>
        <w:rPr>
          <w:rFonts w:eastAsia="Times New Roman" w:cs="Times New Roman"/>
          <w:b/>
          <w:szCs w:val="24"/>
          <w:lang w:eastAsia="ru-RU"/>
        </w:rPr>
      </w:pPr>
      <w:r w:rsidRPr="003F3B15">
        <w:rPr>
          <w:rFonts w:eastAsia="Times New Roman" w:cs="Times New Roman"/>
          <w:b/>
          <w:szCs w:val="24"/>
          <w:lang w:eastAsia="ru-RU"/>
        </w:rPr>
        <w:t>Lieta Nr. A420319215, SKA-172/2019</w:t>
      </w:r>
    </w:p>
    <w:p w14:paraId="6742F1FD" w14:textId="16A1ED27" w:rsidR="003F3B15" w:rsidRPr="003F3B15" w:rsidRDefault="003F3B15" w:rsidP="004E6018">
      <w:pPr>
        <w:spacing w:after="0" w:line="276" w:lineRule="auto"/>
        <w:jc w:val="center"/>
        <w:rPr>
          <w:rFonts w:eastAsia="Times New Roman" w:cs="Times New Roman"/>
          <w:b/>
          <w:szCs w:val="24"/>
          <w:lang w:eastAsia="ru-RU"/>
        </w:rPr>
      </w:pPr>
      <w:hyperlink r:id="rId7" w:history="1">
        <w:r w:rsidRPr="003F3B15">
          <w:rPr>
            <w:rStyle w:val="Hyperlink"/>
            <w:szCs w:val="24"/>
          </w:rPr>
          <w:t>ECLI:LV:AT:2019:0417.A420319215.1.L</w:t>
        </w:r>
      </w:hyperlink>
    </w:p>
    <w:p w14:paraId="7C4CEE82" w14:textId="77777777" w:rsidR="005D64F2" w:rsidRPr="007446F6" w:rsidRDefault="005D64F2" w:rsidP="004E6018">
      <w:pPr>
        <w:spacing w:after="0" w:line="276" w:lineRule="auto"/>
        <w:ind w:firstLine="567"/>
        <w:jc w:val="both"/>
        <w:rPr>
          <w:rFonts w:cs="Times New Roman"/>
          <w:szCs w:val="24"/>
          <w:lang w:eastAsia="ru-RU"/>
        </w:rPr>
      </w:pPr>
    </w:p>
    <w:p w14:paraId="69EC5F92" w14:textId="7CDABBB4" w:rsidR="00D80181" w:rsidRDefault="007A1788" w:rsidP="004E6018">
      <w:pPr>
        <w:spacing w:after="0" w:line="276" w:lineRule="auto"/>
        <w:ind w:firstLine="567"/>
        <w:jc w:val="both"/>
        <w:rPr>
          <w:rFonts w:cs="Times New Roman"/>
          <w:szCs w:val="24"/>
        </w:rPr>
      </w:pPr>
      <w:r w:rsidRPr="007446F6">
        <w:rPr>
          <w:szCs w:val="24"/>
        </w:rPr>
        <w:t xml:space="preserve">[1] Ar Administratīvās </w:t>
      </w:r>
      <w:r w:rsidR="0033147E">
        <w:rPr>
          <w:szCs w:val="24"/>
        </w:rPr>
        <w:t>apgabaltiesas</w:t>
      </w:r>
      <w:r w:rsidRPr="007446F6">
        <w:rPr>
          <w:szCs w:val="24"/>
        </w:rPr>
        <w:t xml:space="preserve"> </w:t>
      </w:r>
      <w:proofErr w:type="gramStart"/>
      <w:r w:rsidRPr="007446F6">
        <w:rPr>
          <w:szCs w:val="24"/>
        </w:rPr>
        <w:t>201</w:t>
      </w:r>
      <w:r w:rsidR="0033147E">
        <w:rPr>
          <w:szCs w:val="24"/>
        </w:rPr>
        <w:t>7</w:t>
      </w:r>
      <w:r w:rsidRPr="007446F6">
        <w:rPr>
          <w:szCs w:val="24"/>
        </w:rPr>
        <w:t>.gada</w:t>
      </w:r>
      <w:proofErr w:type="gramEnd"/>
      <w:r w:rsidRPr="007446F6">
        <w:rPr>
          <w:szCs w:val="24"/>
        </w:rPr>
        <w:t xml:space="preserve"> </w:t>
      </w:r>
      <w:r w:rsidR="0033147E">
        <w:rPr>
          <w:szCs w:val="24"/>
        </w:rPr>
        <w:t>9.marta</w:t>
      </w:r>
      <w:r w:rsidRPr="007446F6">
        <w:rPr>
          <w:szCs w:val="24"/>
        </w:rPr>
        <w:t xml:space="preserve"> spriedumu noraidīts </w:t>
      </w:r>
      <w:r w:rsidR="00711412" w:rsidRPr="007446F6">
        <w:rPr>
          <w:szCs w:val="24"/>
        </w:rPr>
        <w:t>pieteicēja</w:t>
      </w:r>
      <w:r w:rsidR="0033147E">
        <w:rPr>
          <w:szCs w:val="24"/>
        </w:rPr>
        <w:t>s</w:t>
      </w:r>
      <w:r w:rsidR="00711412" w:rsidRPr="007446F6">
        <w:rPr>
          <w:szCs w:val="24"/>
        </w:rPr>
        <w:t xml:space="preserve"> </w:t>
      </w:r>
      <w:r w:rsidR="00120673">
        <w:rPr>
          <w:szCs w:val="24"/>
        </w:rPr>
        <w:t>[pers. A]</w:t>
      </w:r>
      <w:r w:rsidRPr="007446F6">
        <w:rPr>
          <w:szCs w:val="24"/>
        </w:rPr>
        <w:t xml:space="preserve"> pieteikums par </w:t>
      </w:r>
      <w:r w:rsidR="0033147E">
        <w:rPr>
          <w:szCs w:val="24"/>
        </w:rPr>
        <w:t>Nodrošinājuma valsts aģentūras</w:t>
      </w:r>
      <w:r w:rsidR="000B1318">
        <w:rPr>
          <w:szCs w:val="24"/>
        </w:rPr>
        <w:t xml:space="preserve"> </w:t>
      </w:r>
      <w:proofErr w:type="gramStart"/>
      <w:r w:rsidRPr="007446F6">
        <w:rPr>
          <w:szCs w:val="24"/>
        </w:rPr>
        <w:t>201</w:t>
      </w:r>
      <w:r w:rsidR="003B4D0B">
        <w:rPr>
          <w:szCs w:val="24"/>
        </w:rPr>
        <w:t>5</w:t>
      </w:r>
      <w:r w:rsidRPr="007446F6">
        <w:rPr>
          <w:szCs w:val="24"/>
        </w:rPr>
        <w:t>.gada</w:t>
      </w:r>
      <w:proofErr w:type="gramEnd"/>
      <w:r w:rsidRPr="007446F6">
        <w:rPr>
          <w:szCs w:val="24"/>
        </w:rPr>
        <w:t xml:space="preserve"> </w:t>
      </w:r>
      <w:r w:rsidR="003B4D0B">
        <w:rPr>
          <w:szCs w:val="24"/>
        </w:rPr>
        <w:t>7.septembra</w:t>
      </w:r>
      <w:r w:rsidRPr="007446F6">
        <w:rPr>
          <w:szCs w:val="24"/>
        </w:rPr>
        <w:t xml:space="preserve"> lēmuma Nr. </w:t>
      </w:r>
      <w:r w:rsidR="003B4D0B">
        <w:rPr>
          <w:rFonts w:cs="Times New Roman"/>
          <w:szCs w:val="24"/>
        </w:rPr>
        <w:t xml:space="preserve">17-3/10783 </w:t>
      </w:r>
      <w:r w:rsidRPr="007446F6">
        <w:rPr>
          <w:rFonts w:cs="Times New Roman"/>
          <w:szCs w:val="24"/>
        </w:rPr>
        <w:t>atcelšanu</w:t>
      </w:r>
      <w:r w:rsidR="007446F6" w:rsidRPr="007446F6">
        <w:rPr>
          <w:rFonts w:cs="Times New Roman"/>
          <w:szCs w:val="24"/>
        </w:rPr>
        <w:t>.</w:t>
      </w:r>
    </w:p>
    <w:p w14:paraId="2BA955FA" w14:textId="407440D7" w:rsidR="007A1788" w:rsidRPr="007446F6" w:rsidRDefault="003B4D0B" w:rsidP="004E6018">
      <w:pPr>
        <w:spacing w:after="0" w:line="276" w:lineRule="auto"/>
        <w:ind w:firstLine="567"/>
        <w:jc w:val="both"/>
        <w:rPr>
          <w:rFonts w:cs="Times New Roman"/>
          <w:szCs w:val="24"/>
        </w:rPr>
      </w:pPr>
      <w:r>
        <w:rPr>
          <w:szCs w:val="24"/>
        </w:rPr>
        <w:t>Pieteicēja</w:t>
      </w:r>
      <w:r w:rsidR="008D0DAC" w:rsidRPr="007446F6">
        <w:rPr>
          <w:szCs w:val="24"/>
        </w:rPr>
        <w:t xml:space="preserve"> p</w:t>
      </w:r>
      <w:r w:rsidR="00711412" w:rsidRPr="007446F6">
        <w:rPr>
          <w:rFonts w:cs="Times New Roman"/>
          <w:szCs w:val="24"/>
        </w:rPr>
        <w:t xml:space="preserve">ar </w:t>
      </w:r>
      <w:r w:rsidR="00711412" w:rsidRPr="007446F6">
        <w:rPr>
          <w:szCs w:val="24"/>
        </w:rPr>
        <w:t>tiesas spriedumu iesniedz</w:t>
      </w:r>
      <w:r w:rsidR="008D0DAC" w:rsidRPr="007446F6">
        <w:rPr>
          <w:szCs w:val="24"/>
        </w:rPr>
        <w:t>a</w:t>
      </w:r>
      <w:r w:rsidR="007A1788" w:rsidRPr="007446F6">
        <w:rPr>
          <w:szCs w:val="24"/>
        </w:rPr>
        <w:t xml:space="preserve"> kasācijas sūdzību.</w:t>
      </w:r>
    </w:p>
    <w:p w14:paraId="6B18E3D8" w14:textId="77777777" w:rsidR="007A1788" w:rsidRPr="007446F6" w:rsidRDefault="007A1788" w:rsidP="007446F6">
      <w:pPr>
        <w:spacing w:after="0" w:line="276" w:lineRule="auto"/>
        <w:ind w:firstLine="567"/>
        <w:jc w:val="both"/>
        <w:rPr>
          <w:szCs w:val="24"/>
        </w:rPr>
      </w:pPr>
    </w:p>
    <w:p w14:paraId="34E9C5F0" w14:textId="1BE13579" w:rsidR="007A1788" w:rsidRPr="007446F6" w:rsidRDefault="007A1788" w:rsidP="004E6018">
      <w:pPr>
        <w:spacing w:after="0" w:line="276" w:lineRule="auto"/>
        <w:ind w:firstLine="567"/>
        <w:jc w:val="both"/>
        <w:rPr>
          <w:szCs w:val="24"/>
        </w:rPr>
      </w:pPr>
      <w:r w:rsidRPr="007446F6">
        <w:rPr>
          <w:szCs w:val="24"/>
        </w:rPr>
        <w:t>[</w:t>
      </w:r>
      <w:r w:rsidR="00C2102C" w:rsidRPr="007446F6">
        <w:rPr>
          <w:szCs w:val="24"/>
        </w:rPr>
        <w:t>2</w:t>
      </w:r>
      <w:r w:rsidRPr="007446F6">
        <w:rPr>
          <w:szCs w:val="24"/>
        </w:rPr>
        <w:t>] Izvērtējot kasācijas sūdzībā minētos argumentus, senatoru kolēģijai nerodas šaubas par apgabaltiesas sprieduma tiesiskumu. Lietā nav arī risināmi sarežģīti tiesību jautājumi, kuru dēļ kasācijas tiesvedībai būtu nozīme judikatūras veidošanā.</w:t>
      </w:r>
    </w:p>
    <w:p w14:paraId="0E2E2D9D" w14:textId="77777777" w:rsidR="001B7125" w:rsidRPr="007446F6" w:rsidRDefault="001B7125" w:rsidP="004E6018">
      <w:pPr>
        <w:pStyle w:val="NoSpacing"/>
        <w:spacing w:line="276" w:lineRule="auto"/>
        <w:ind w:firstLine="567"/>
        <w:jc w:val="both"/>
        <w:rPr>
          <w:rFonts w:cs="Times New Roman"/>
          <w:szCs w:val="24"/>
          <w:lang w:eastAsia="ru-RU"/>
        </w:rPr>
      </w:pPr>
    </w:p>
    <w:p w14:paraId="4E434433" w14:textId="77777777" w:rsidR="004C106C" w:rsidRDefault="00AB17BF" w:rsidP="00901C32">
      <w:pPr>
        <w:spacing w:after="0" w:line="276" w:lineRule="auto"/>
        <w:ind w:firstLine="567"/>
        <w:jc w:val="both"/>
      </w:pPr>
      <w:r w:rsidRPr="007446F6">
        <w:rPr>
          <w:rFonts w:cs="Times New Roman"/>
          <w:szCs w:val="24"/>
          <w:lang w:eastAsia="ru-RU"/>
        </w:rPr>
        <w:t>[</w:t>
      </w:r>
      <w:r w:rsidR="008F36CA" w:rsidRPr="007446F6">
        <w:rPr>
          <w:rFonts w:cs="Times New Roman"/>
          <w:szCs w:val="24"/>
          <w:lang w:eastAsia="ru-RU"/>
        </w:rPr>
        <w:t>3</w:t>
      </w:r>
      <w:r w:rsidRPr="007446F6">
        <w:rPr>
          <w:rFonts w:cs="Times New Roman"/>
          <w:szCs w:val="24"/>
          <w:lang w:eastAsia="ru-RU"/>
        </w:rPr>
        <w:t>]</w:t>
      </w:r>
      <w:r w:rsidR="00AF64FB" w:rsidRPr="007446F6">
        <w:rPr>
          <w:rFonts w:cs="Times New Roman"/>
          <w:szCs w:val="24"/>
          <w:lang w:eastAsia="ru-RU"/>
        </w:rPr>
        <w:t> </w:t>
      </w:r>
      <w:r w:rsidR="003B4D0B">
        <w:rPr>
          <w:rFonts w:cs="Times New Roman"/>
          <w:szCs w:val="24"/>
          <w:lang w:eastAsia="ru-RU"/>
        </w:rPr>
        <w:t>Pieteicēja</w:t>
      </w:r>
      <w:r w:rsidR="008D0DAC" w:rsidRPr="007446F6">
        <w:rPr>
          <w:rFonts w:cs="Times New Roman"/>
          <w:szCs w:val="24"/>
          <w:lang w:eastAsia="ru-RU"/>
        </w:rPr>
        <w:t xml:space="preserve"> </w:t>
      </w:r>
      <w:r w:rsidR="001F2800" w:rsidRPr="007446F6">
        <w:rPr>
          <w:rFonts w:cs="Times New Roman"/>
          <w:szCs w:val="24"/>
          <w:lang w:eastAsia="ru-RU"/>
        </w:rPr>
        <w:t>sūdzībā norād</w:t>
      </w:r>
      <w:r w:rsidR="003B4D0B">
        <w:rPr>
          <w:rFonts w:cs="Times New Roman"/>
          <w:szCs w:val="24"/>
          <w:lang w:eastAsia="ru-RU"/>
        </w:rPr>
        <w:t>ījusi</w:t>
      </w:r>
      <w:r w:rsidR="001F2800" w:rsidRPr="007446F6">
        <w:rPr>
          <w:rFonts w:cs="Times New Roman"/>
          <w:szCs w:val="24"/>
          <w:lang w:eastAsia="ru-RU"/>
        </w:rPr>
        <w:t>, ka</w:t>
      </w:r>
      <w:r w:rsidR="003B4D0B">
        <w:rPr>
          <w:rFonts w:cs="Times New Roman"/>
          <w:szCs w:val="24"/>
          <w:lang w:eastAsia="ru-RU"/>
        </w:rPr>
        <w:t xml:space="preserve"> tiesa nepareizi interpretējusi </w:t>
      </w:r>
      <w:proofErr w:type="gramStart"/>
      <w:r w:rsidR="003B4D0B">
        <w:rPr>
          <w:rFonts w:cs="Times New Roman"/>
          <w:szCs w:val="24"/>
          <w:lang w:eastAsia="ru-RU"/>
        </w:rPr>
        <w:t>2010.gada</w:t>
      </w:r>
      <w:proofErr w:type="gramEnd"/>
      <w:r w:rsidR="003B4D0B">
        <w:rPr>
          <w:rFonts w:cs="Times New Roman"/>
          <w:szCs w:val="24"/>
          <w:lang w:eastAsia="ru-RU"/>
        </w:rPr>
        <w:t xml:space="preserve"> 7.decembra Ministru kabineta noteikumu Nr. 1098 „Noteikumi par rīcību ar administratīvo pārkāpumu lietās izņemto mantu un dokumentiem (turpmāk – noteikumi Nr.</w:t>
      </w:r>
      <w:r w:rsidR="004C106C">
        <w:rPr>
          <w:rFonts w:cs="Times New Roman"/>
          <w:szCs w:val="24"/>
          <w:lang w:eastAsia="ru-RU"/>
        </w:rPr>
        <w:t> </w:t>
      </w:r>
      <w:r w:rsidR="003B4D0B">
        <w:t>1098) 71.punktu un Latvijas Administratīvo pārkāpumu kodeksa</w:t>
      </w:r>
      <w:r w:rsidR="003943F3">
        <w:t xml:space="preserve"> (turpmāk – kodekss) </w:t>
      </w:r>
      <w:r w:rsidR="003B4D0B">
        <w:t>166.</w:t>
      </w:r>
      <w:r w:rsidR="003B4D0B" w:rsidRPr="003943F3">
        <w:rPr>
          <w:vertAlign w:val="superscript"/>
        </w:rPr>
        <w:t>2</w:t>
      </w:r>
      <w:r w:rsidR="003943F3">
        <w:t>pantu.</w:t>
      </w:r>
    </w:p>
    <w:p w14:paraId="4BE464F1" w14:textId="3F161B64" w:rsidR="008048CA" w:rsidRDefault="00933A92" w:rsidP="00901C32">
      <w:pPr>
        <w:spacing w:after="0" w:line="276" w:lineRule="auto"/>
        <w:ind w:firstLine="567"/>
        <w:jc w:val="both"/>
      </w:pPr>
      <w:r>
        <w:t xml:space="preserve"> P</w:t>
      </w:r>
      <w:r w:rsidR="00B1140B">
        <w:t>ieteicēja</w:t>
      </w:r>
      <w:r w:rsidR="003943F3">
        <w:t xml:space="preserve"> skaidro, ka par kodeksa 166.</w:t>
      </w:r>
      <w:proofErr w:type="gramStart"/>
      <w:r w:rsidR="003943F3" w:rsidRPr="003943F3">
        <w:rPr>
          <w:vertAlign w:val="superscript"/>
        </w:rPr>
        <w:t>2</w:t>
      </w:r>
      <w:r w:rsidR="003943F3">
        <w:t>panta</w:t>
      </w:r>
      <w:proofErr w:type="gramEnd"/>
      <w:r w:rsidR="003943F3">
        <w:t xml:space="preserve"> pirmās daļas pārkāpumu</w:t>
      </w:r>
      <w:r w:rsidR="008048CA">
        <w:t xml:space="preserve">, t.i., </w:t>
      </w:r>
      <w:r w:rsidR="00B1140B">
        <w:t xml:space="preserve">par </w:t>
      </w:r>
      <w:r w:rsidR="00676E8D">
        <w:t>komercdarbības veikšan</w:t>
      </w:r>
      <w:r w:rsidR="008048CA">
        <w:t>u</w:t>
      </w:r>
      <w:r w:rsidR="00676E8D">
        <w:t xml:space="preserve"> bez speciālās atļaujas (licences)</w:t>
      </w:r>
      <w:r w:rsidR="003943F3">
        <w:t xml:space="preserve">, ko izdarīja </w:t>
      </w:r>
      <w:r w:rsidR="00183280">
        <w:t>sabiedrība ar ierobežotu atbildību</w:t>
      </w:r>
      <w:r w:rsidR="003943F3">
        <w:t xml:space="preserve"> „SKY BUS”, </w:t>
      </w:r>
      <w:r w:rsidR="008048CA">
        <w:t>pie administratīvās atbildības tika</w:t>
      </w:r>
      <w:r w:rsidR="003943F3">
        <w:t xml:space="preserve"> saukta pieteicēja kā šīs sabiedrības valdes locekle. Taču šajā gadījumā pie administratīvās atbildības sauktā persona nav tas pats, kas administratīvo pārkāpumu izdarījusī persona. Tam ir būtiska atšķirība kodeksa izpratn</w:t>
      </w:r>
      <w:r w:rsidR="008048CA">
        <w:t xml:space="preserve">ē, lai tiktu sasniegts </w:t>
      </w:r>
      <w:r w:rsidR="003943F3">
        <w:t xml:space="preserve">administratīvā soda mērķis, kas noteikts kodeksa </w:t>
      </w:r>
      <w:proofErr w:type="gramStart"/>
      <w:r w:rsidR="003943F3">
        <w:t>22.pantā</w:t>
      </w:r>
      <w:proofErr w:type="gramEnd"/>
      <w:r w:rsidR="003943F3">
        <w:t xml:space="preserve">. </w:t>
      </w:r>
      <w:r w:rsidR="00676E8D">
        <w:t>Ir tikai taisnīgi, ka izdevumus, kas radušies sakarā ar administratīvā pārkāpuma lietā izņemtās mantas nodošanu glabāšanā, glabāšanu vai iznīcinā</w:t>
      </w:r>
      <w:r w:rsidR="008048CA">
        <w:t>šanu, sedz persona, kura</w:t>
      </w:r>
      <w:r w:rsidR="00676E8D">
        <w:t xml:space="preserve"> ir izdarījusi administratīvo pārkāpumu, </w:t>
      </w:r>
      <w:r>
        <w:t>un tā konkrētajā gadījumā ir sabiedrība ar ierobežotu atbildību</w:t>
      </w:r>
      <w:r w:rsidR="00676E8D">
        <w:t xml:space="preserve"> „SKY BUS”, </w:t>
      </w:r>
      <w:r w:rsidR="008048CA">
        <w:t>bet nevis pieteicēja. Rīkojoties tam pretēji, tiek būtiski ierobežotas p</w:t>
      </w:r>
      <w:r w:rsidR="001F6F54">
        <w:t>ieteicējas tiesiskās intereses.</w:t>
      </w:r>
    </w:p>
    <w:p w14:paraId="5608AC9D" w14:textId="77777777" w:rsidR="005C672C" w:rsidRDefault="005C672C" w:rsidP="00901C32">
      <w:pPr>
        <w:spacing w:after="0" w:line="276" w:lineRule="auto"/>
        <w:ind w:firstLine="567"/>
        <w:jc w:val="both"/>
      </w:pPr>
    </w:p>
    <w:p w14:paraId="527D6121" w14:textId="13A8E688" w:rsidR="005C672C" w:rsidRDefault="005C672C" w:rsidP="005C672C">
      <w:pPr>
        <w:spacing w:after="0" w:line="276" w:lineRule="auto"/>
        <w:ind w:firstLine="567"/>
        <w:jc w:val="both"/>
      </w:pPr>
      <w:r>
        <w:t xml:space="preserve">[4] </w:t>
      </w:r>
      <w:r w:rsidR="00B1140B">
        <w:t>Senāts n</w:t>
      </w:r>
      <w:r>
        <w:t xml:space="preserve">o </w:t>
      </w:r>
      <w:r w:rsidR="00933A92">
        <w:t>apgabal</w:t>
      </w:r>
      <w:r>
        <w:t xml:space="preserve">tiesas sprieduma </w:t>
      </w:r>
      <w:r w:rsidR="00B1140B">
        <w:t>konstatē</w:t>
      </w:r>
      <w:r>
        <w:t xml:space="preserve">, ka lietā nav strīda par </w:t>
      </w:r>
      <w:r w:rsidR="004C106C">
        <w:t xml:space="preserve">Nodrošinājuma valsts </w:t>
      </w:r>
      <w:r>
        <w:t>aģentūras aprēķināto izdevumu apm</w:t>
      </w:r>
      <w:r w:rsidR="00D804C0">
        <w:t xml:space="preserve">ēru </w:t>
      </w:r>
      <w:r w:rsidR="00AD77BD">
        <w:t>sakarā ar</w:t>
      </w:r>
      <w:r w:rsidR="00D804C0">
        <w:t xml:space="preserve"> </w:t>
      </w:r>
      <w:r>
        <w:t>izņemto transportlīdzekļu nodošanu glabāšanā un glabā</w:t>
      </w:r>
      <w:r w:rsidR="00B1140B">
        <w:t xml:space="preserve">šanu. </w:t>
      </w:r>
      <w:r w:rsidR="00933A92">
        <w:t xml:space="preserve">Tāpat lietā nav strīda, ka pieteicēja kā sabiedrības ar ierobežotu atbildību „SKY BUS” valdes locekle </w:t>
      </w:r>
      <w:r w:rsidR="004C106C">
        <w:t xml:space="preserve">ir </w:t>
      </w:r>
      <w:r w:rsidR="00933A92">
        <w:t>atzīta par vainīgu kodeksa 166.</w:t>
      </w:r>
      <w:proofErr w:type="gramStart"/>
      <w:r w:rsidR="00933A92" w:rsidRPr="00933A92">
        <w:rPr>
          <w:vertAlign w:val="superscript"/>
        </w:rPr>
        <w:t>2</w:t>
      </w:r>
      <w:r w:rsidR="00933A92">
        <w:t>panta</w:t>
      </w:r>
      <w:proofErr w:type="gramEnd"/>
      <w:r w:rsidR="00933A92">
        <w:t xml:space="preserve"> pirmajā daļā paredzētā administratīvā pārkāpuma izdarīšanā un sodīta ar naudas sodu. </w:t>
      </w:r>
      <w:r w:rsidR="00B1140B">
        <w:t xml:space="preserve">Taču </w:t>
      </w:r>
      <w:r w:rsidR="004C106C">
        <w:t xml:space="preserve">lietā </w:t>
      </w:r>
      <w:r>
        <w:t xml:space="preserve">strīds </w:t>
      </w:r>
      <w:r w:rsidR="005869A1">
        <w:t>pastāv tieši</w:t>
      </w:r>
      <w:r w:rsidR="00933A92">
        <w:t xml:space="preserve"> par to, </w:t>
      </w:r>
      <w:proofErr w:type="gramStart"/>
      <w:r w:rsidR="00933A92">
        <w:t>vai pieteicējai kā sabiedrības ar ierobežotu atbildību</w:t>
      </w:r>
      <w:r>
        <w:t xml:space="preserve"> „SKY BUS” valdes loceklei </w:t>
      </w:r>
      <w:r w:rsidR="00B1140B">
        <w:t xml:space="preserve">tika </w:t>
      </w:r>
      <w:r>
        <w:t>pamatoti</w:t>
      </w:r>
      <w:proofErr w:type="gramEnd"/>
      <w:r>
        <w:t xml:space="preserve"> noteikts pienākums </w:t>
      </w:r>
      <w:r w:rsidR="00B1140B">
        <w:t>segt izdevumus</w:t>
      </w:r>
      <w:r>
        <w:t xml:space="preserve"> par </w:t>
      </w:r>
      <w:r w:rsidR="004C106C">
        <w:t xml:space="preserve">administratīvā pārkāpuma lietā </w:t>
      </w:r>
      <w:r>
        <w:t xml:space="preserve">izņemto transportlīdzekļu nodošanu glabāšanā un </w:t>
      </w:r>
      <w:r w:rsidR="00B1140B">
        <w:t xml:space="preserve">to </w:t>
      </w:r>
      <w:r>
        <w:t>glabāšanu</w:t>
      </w:r>
      <w:r w:rsidR="00933A92">
        <w:t xml:space="preserve"> (</w:t>
      </w:r>
      <w:r w:rsidR="00933A92" w:rsidRPr="00AD77BD">
        <w:rPr>
          <w:i/>
        </w:rPr>
        <w:t>sprieduma 4.1.punkts</w:t>
      </w:r>
      <w:r w:rsidR="00933A92">
        <w:t>)</w:t>
      </w:r>
      <w:r w:rsidR="001F6F54">
        <w:t>.</w:t>
      </w:r>
    </w:p>
    <w:p w14:paraId="232365DC" w14:textId="77777777" w:rsidR="00AD77BD" w:rsidRDefault="00AD77BD" w:rsidP="005C672C">
      <w:pPr>
        <w:spacing w:after="0" w:line="276" w:lineRule="auto"/>
        <w:ind w:firstLine="567"/>
        <w:jc w:val="both"/>
      </w:pPr>
    </w:p>
    <w:p w14:paraId="0D47824A" w14:textId="51A0A80D" w:rsidR="005C672C" w:rsidRDefault="00AD77BD" w:rsidP="005C672C">
      <w:pPr>
        <w:spacing w:after="0" w:line="276" w:lineRule="auto"/>
        <w:ind w:firstLine="567"/>
        <w:jc w:val="both"/>
      </w:pPr>
      <w:r>
        <w:t xml:space="preserve">[5] </w:t>
      </w:r>
      <w:r w:rsidR="00B1140B">
        <w:t>Senāts atzīst, ka a</w:t>
      </w:r>
      <w:r w:rsidR="005C672C">
        <w:t xml:space="preserve">pgabaltiesa spriedumā </w:t>
      </w:r>
      <w:r w:rsidR="005869A1">
        <w:t>pareizi</w:t>
      </w:r>
      <w:r w:rsidR="00B1140B">
        <w:t xml:space="preserve"> ir interpretējusi piemērojamās tiesību normas, atbilstoši kurām</w:t>
      </w:r>
      <w:r w:rsidR="005C672C">
        <w:t xml:space="preserve"> pienākums segt izdevumus, kas radušies sakarā ar administratīvā pārkāpuma lietā izņemtās mantas un dokumentu nodošanu g</w:t>
      </w:r>
      <w:r w:rsidR="005869A1">
        <w:t xml:space="preserve">labāšanā un glabāšanu, ir personai, </w:t>
      </w:r>
      <w:r w:rsidR="005869A1">
        <w:lastRenderedPageBreak/>
        <w:t xml:space="preserve">kurai uzlikts administratīvais sods, – to paredz gan kodeksa </w:t>
      </w:r>
      <w:proofErr w:type="gramStart"/>
      <w:r w:rsidR="005869A1">
        <w:t>257.panta</w:t>
      </w:r>
      <w:proofErr w:type="gramEnd"/>
      <w:r w:rsidR="005869A1">
        <w:t xml:space="preserve"> astotā daļa, gan noteikumu Nr. 1098 71.punkts. </w:t>
      </w:r>
      <w:r w:rsidR="00501EE8">
        <w:t>Tas, ka</w:t>
      </w:r>
      <w:r w:rsidR="00501EE8" w:rsidRPr="00501EE8">
        <w:t xml:space="preserve"> pie administratīvās atbildības sauktajai personai ir pienākums šos raduš</w:t>
      </w:r>
      <w:r w:rsidR="00501EE8">
        <w:t>os izdevumus valstij atlīdzināt, ir nostiprināts Senāta pastāvīgajā judikatūrā (sal. </w:t>
      </w:r>
      <w:r w:rsidR="00933A92" w:rsidRPr="00501EE8">
        <w:rPr>
          <w:i/>
        </w:rPr>
        <w:t xml:space="preserve">Senāta </w:t>
      </w:r>
      <w:r w:rsidR="00933A92">
        <w:rPr>
          <w:i/>
        </w:rPr>
        <w:t>2019.gada 8.aprīļa sprieduma lietā Nr. SKA-445/2019 (</w:t>
      </w:r>
      <w:r w:rsidR="00933A92" w:rsidRPr="00933A92">
        <w:rPr>
          <w:i/>
        </w:rPr>
        <w:t>ECLI:LV:AT:2019:0408.A420223016.6.S</w:t>
      </w:r>
      <w:r w:rsidR="00933A92">
        <w:rPr>
          <w:i/>
        </w:rPr>
        <w:t>) 7.punkts,</w:t>
      </w:r>
      <w:r w:rsidR="00933A92" w:rsidRPr="00501EE8">
        <w:rPr>
          <w:i/>
        </w:rPr>
        <w:t xml:space="preserve"> </w:t>
      </w:r>
      <w:r w:rsidR="00501EE8" w:rsidRPr="00501EE8">
        <w:rPr>
          <w:i/>
        </w:rPr>
        <w:t>2019.gada 28.marta sprieduma lietā Nr. </w:t>
      </w:r>
      <w:r w:rsidR="00501EE8">
        <w:rPr>
          <w:i/>
        </w:rPr>
        <w:t>SKA</w:t>
      </w:r>
      <w:r w:rsidR="00501EE8">
        <w:rPr>
          <w:i/>
        </w:rPr>
        <w:noBreakHyphen/>
      </w:r>
      <w:r w:rsidR="00501EE8" w:rsidRPr="00501EE8">
        <w:rPr>
          <w:i/>
        </w:rPr>
        <w:t>121/2019 (ECLI:LV:AT:2019:0328.A420425314.4.S) 13.punkts</w:t>
      </w:r>
      <w:r w:rsidR="00501EE8">
        <w:rPr>
          <w:i/>
        </w:rPr>
        <w:t>, 2019.gada 8.marta sprieduma lietā Nr. SKA-43/2019 (</w:t>
      </w:r>
      <w:r w:rsidR="00933A92" w:rsidRPr="00933A92">
        <w:rPr>
          <w:i/>
        </w:rPr>
        <w:t>ECLI:LV:AT:2019:0308.A420467812.4.S</w:t>
      </w:r>
      <w:r w:rsidR="00501EE8">
        <w:rPr>
          <w:i/>
        </w:rPr>
        <w:t xml:space="preserve">) 7.punkts, </w:t>
      </w:r>
      <w:r w:rsidR="00501EE8" w:rsidRPr="00933A92">
        <w:rPr>
          <w:i/>
        </w:rPr>
        <w:t>2019.gada 8.marta sprieduma lietā N</w:t>
      </w:r>
      <w:r w:rsidR="00933A92">
        <w:rPr>
          <w:i/>
        </w:rPr>
        <w:t>r. </w:t>
      </w:r>
      <w:r w:rsidR="00501EE8" w:rsidRPr="00933A92">
        <w:rPr>
          <w:i/>
        </w:rPr>
        <w:t>SKA-487/2019 (</w:t>
      </w:r>
      <w:r w:rsidR="00933A92" w:rsidRPr="00933A92">
        <w:rPr>
          <w:i/>
        </w:rPr>
        <w:t>ECLI:LV:AT:2019:0308.A420289816.7.S</w:t>
      </w:r>
      <w:r w:rsidR="00501EE8" w:rsidRPr="00933A92">
        <w:rPr>
          <w:i/>
        </w:rPr>
        <w:t>) 7.punkts</w:t>
      </w:r>
      <w:r w:rsidR="00501EE8">
        <w:t>).</w:t>
      </w:r>
    </w:p>
    <w:p w14:paraId="021A31F1" w14:textId="57D39812" w:rsidR="00C43906" w:rsidRDefault="00C43906" w:rsidP="00C43906">
      <w:pPr>
        <w:spacing w:after="0" w:line="276" w:lineRule="auto"/>
        <w:ind w:firstLine="567"/>
        <w:jc w:val="both"/>
      </w:pPr>
      <w:r>
        <w:t xml:space="preserve">Arī Satversmes tiesa ir skaidrojusi, ka darbības ar izņemto mantu, tostarp tās transportēšana glabāšanai, glabāšana, apsardzība, iznīcināšana u.tml., valstij rada izdevumus. Šie izdevumi ir procesuāli izdevumi, kas rodas administratīvā pārkāpuma dēļ. Kodeksa </w:t>
      </w:r>
      <w:proofErr w:type="gramStart"/>
      <w:r>
        <w:t>257.panta</w:t>
      </w:r>
      <w:proofErr w:type="gramEnd"/>
      <w:r>
        <w:t xml:space="preserve"> astotā daļa noteic, ka pienākums segt šādus procesuālos izdevumus ir personai, kurai uzlikts administratīvais sods. Kodeksa </w:t>
      </w:r>
      <w:proofErr w:type="gramStart"/>
      <w:r>
        <w:t>257.panta</w:t>
      </w:r>
      <w:proofErr w:type="gramEnd"/>
      <w:r>
        <w:t xml:space="preserve"> astotās daļas izstrādes materiāli norāda, ka šāda pienākuma mērķis ir būtiski samazināt budžeta līdzekļu izlietojumu administratīvo pārkāpumu lietās izņemtās mantas nodošanai glabāšanā, glabāšanai un iznīcināšanai, tādēļ pienākums segt šos izdevumus pārnesams uz pa</w:t>
      </w:r>
      <w:r w:rsidRPr="00BA4FA5">
        <w:t>šu personu, kuras izdarītā administratīvā pārkāpuma dēļ valstij šādi izdevumi radušies (sal.</w:t>
      </w:r>
      <w:r>
        <w:t xml:space="preserve"> </w:t>
      </w:r>
      <w:r w:rsidRPr="002C03E8">
        <w:rPr>
          <w:i/>
        </w:rPr>
        <w:t xml:space="preserve">Satversmes tiesas 2018.gada </w:t>
      </w:r>
      <w:r w:rsidR="001F6F54">
        <w:rPr>
          <w:i/>
        </w:rPr>
        <w:t>14.decembra sprieduma lietā Nr. </w:t>
      </w:r>
      <w:r w:rsidRPr="002C03E8">
        <w:rPr>
          <w:i/>
        </w:rPr>
        <w:t>2018-09-0103 9.punkts</w:t>
      </w:r>
      <w:r w:rsidR="001F6F54">
        <w:t>).</w:t>
      </w:r>
    </w:p>
    <w:p w14:paraId="58F9FDFD" w14:textId="77777777" w:rsidR="00AD77BD" w:rsidRDefault="00AD77BD" w:rsidP="00C43906">
      <w:pPr>
        <w:spacing w:after="0" w:line="276" w:lineRule="auto"/>
        <w:ind w:firstLine="567"/>
        <w:jc w:val="both"/>
      </w:pPr>
    </w:p>
    <w:p w14:paraId="4BE7153D" w14:textId="0712ED99" w:rsidR="001230C6" w:rsidRDefault="00AD77BD" w:rsidP="00C43906">
      <w:pPr>
        <w:spacing w:after="0" w:line="276" w:lineRule="auto"/>
        <w:ind w:firstLine="567"/>
        <w:jc w:val="both"/>
      </w:pPr>
      <w:r>
        <w:t xml:space="preserve">[6] </w:t>
      </w:r>
      <w:r w:rsidR="001230C6">
        <w:t xml:space="preserve">No kasācijas sūdzībā </w:t>
      </w:r>
      <w:r w:rsidR="004C106C">
        <w:t>norādītā</w:t>
      </w:r>
      <w:r w:rsidR="001230C6">
        <w:t xml:space="preserve"> Valsts ieņēmumu dienesta </w:t>
      </w:r>
      <w:proofErr w:type="gramStart"/>
      <w:r w:rsidR="001230C6">
        <w:t>2015.gada</w:t>
      </w:r>
      <w:proofErr w:type="gramEnd"/>
      <w:r w:rsidR="001230C6">
        <w:t xml:space="preserve"> 19.maija lēmuma Nr. ZV179506/257p par </w:t>
      </w:r>
      <w:r w:rsidR="004C106C">
        <w:t xml:space="preserve">pieteicējas kā sabiedrības ar ierobežotu atbildību „SKY BUSS” valdes locekles </w:t>
      </w:r>
      <w:r w:rsidR="001230C6">
        <w:t xml:space="preserve">saukšanu pie administratīvās atbildības izriet, ka </w:t>
      </w:r>
      <w:r w:rsidR="005B5F13">
        <w:t xml:space="preserve">minētā </w:t>
      </w:r>
      <w:r w:rsidR="004C106C">
        <w:t xml:space="preserve">sabiedrība </w:t>
      </w:r>
      <w:r w:rsidR="001230C6">
        <w:t>veica pasažieru regulāros pārvadājumus Rīgā</w:t>
      </w:r>
      <w:r w:rsidR="005B5F13">
        <w:t xml:space="preserve"> ar mikroautobusiem</w:t>
      </w:r>
      <w:r w:rsidR="001230C6">
        <w:t xml:space="preserve"> bez speciālās atļaujas</w:t>
      </w:r>
      <w:r w:rsidR="00A362D5">
        <w:t xml:space="preserve"> (licences)</w:t>
      </w:r>
      <w:r w:rsidR="00FB1AE2">
        <w:t>, radot negodīgus konkuren</w:t>
      </w:r>
      <w:r w:rsidR="005B5F13">
        <w:t>ces apstākļus pārvadātāju tirgū</w:t>
      </w:r>
      <w:r w:rsidR="001230C6">
        <w:t xml:space="preserve">. Lēmumā </w:t>
      </w:r>
      <w:proofErr w:type="spellStart"/>
      <w:r w:rsidR="001230C6">
        <w:t>citstarp</w:t>
      </w:r>
      <w:proofErr w:type="spellEnd"/>
      <w:r w:rsidR="001230C6">
        <w:t xml:space="preserve"> konstatēts, ka pieteicējas darbībā</w:t>
      </w:r>
      <w:r w:rsidR="004C106C">
        <w:t>s</w:t>
      </w:r>
      <w:r w:rsidR="001230C6">
        <w:t xml:space="preserve"> analogs vai līdzīgs administratīvais pārkāpums, par kuru persona jau administratīvi sodīta, gada laikā ir konstatēts atkārtoti (</w:t>
      </w:r>
      <w:r w:rsidR="004C106C">
        <w:rPr>
          <w:i/>
        </w:rPr>
        <w:t>lietas 27.–</w:t>
      </w:r>
      <w:r w:rsidR="001230C6" w:rsidRPr="001230C6">
        <w:rPr>
          <w:i/>
        </w:rPr>
        <w:t>28.lapa</w:t>
      </w:r>
      <w:r w:rsidR="001230C6">
        <w:t>)</w:t>
      </w:r>
      <w:r w:rsidR="001F6F54">
        <w:t>.</w:t>
      </w:r>
    </w:p>
    <w:p w14:paraId="0EA06695" w14:textId="01DCC0C8" w:rsidR="00AD77BD" w:rsidRDefault="004C106C" w:rsidP="00C43906">
      <w:pPr>
        <w:spacing w:after="0" w:line="276" w:lineRule="auto"/>
        <w:ind w:firstLine="567"/>
        <w:jc w:val="both"/>
      </w:pPr>
      <w:r>
        <w:t xml:space="preserve">Senāts skaidro, ka </w:t>
      </w:r>
      <w:proofErr w:type="gramStart"/>
      <w:r w:rsidR="005C6ED8">
        <w:t>2013.gada</w:t>
      </w:r>
      <w:proofErr w:type="gramEnd"/>
      <w:r w:rsidR="005C6ED8">
        <w:t xml:space="preserve"> 1.janvārī spēkā stājās grozījumi kodeksa 166.</w:t>
      </w:r>
      <w:r w:rsidR="005C6ED8" w:rsidRPr="005869A1">
        <w:rPr>
          <w:vertAlign w:val="superscript"/>
        </w:rPr>
        <w:t>2</w:t>
      </w:r>
      <w:r w:rsidR="005C6ED8">
        <w:t xml:space="preserve">pantā (šobrīd šā panta pirmajā daļā), kas </w:t>
      </w:r>
      <w:r w:rsidR="00B1140B">
        <w:t xml:space="preserve">par šajā </w:t>
      </w:r>
      <w:r w:rsidR="00AD77BD">
        <w:t xml:space="preserve">tiesību </w:t>
      </w:r>
      <w:r w:rsidR="00B1140B">
        <w:t>normā paredzētajiem pārkāpumiem noteica</w:t>
      </w:r>
      <w:r w:rsidR="005C6ED8">
        <w:t xml:space="preserve"> administratīvo atbildību tieši valdes loceklim,</w:t>
      </w:r>
      <w:r w:rsidR="005C6ED8" w:rsidRPr="005C6ED8">
        <w:t xml:space="preserve"> </w:t>
      </w:r>
      <w:r w:rsidR="005C6ED8">
        <w:t>nevis vairs juridiskajai personai</w:t>
      </w:r>
      <w:r w:rsidR="00AD77BD">
        <w:t>,</w:t>
      </w:r>
      <w:r w:rsidR="005C6ED8">
        <w:t xml:space="preserve"> kā tas bija iepriekš. </w:t>
      </w:r>
      <w:r w:rsidR="00001FE5">
        <w:t xml:space="preserve">Šādu grozījumu </w:t>
      </w:r>
      <w:r w:rsidR="005C6ED8">
        <w:t>mērķis bija vērsties tieši pret komersanta amatpersonām, kas izdara nopietnus</w:t>
      </w:r>
      <w:r w:rsidR="00001FE5">
        <w:t xml:space="preserve"> (rupjus)</w:t>
      </w:r>
      <w:r w:rsidR="005C6ED8">
        <w:t xml:space="preserve"> pārkāpumus komercdarbības jomā,</w:t>
      </w:r>
      <w:r w:rsidR="007279C8">
        <w:t xml:space="preserve"> vienlaikus</w:t>
      </w:r>
      <w:r w:rsidR="005C6ED8">
        <w:t xml:space="preserve"> </w:t>
      </w:r>
      <w:r w:rsidR="007279C8">
        <w:t>nosakot</w:t>
      </w:r>
      <w:r w:rsidR="005B2F1F">
        <w:t xml:space="preserve"> </w:t>
      </w:r>
      <w:r w:rsidR="007279C8">
        <w:t xml:space="preserve">kodeksā </w:t>
      </w:r>
      <w:r w:rsidR="005B2F1F">
        <w:t xml:space="preserve">kā papildsodu </w:t>
      </w:r>
      <w:r w:rsidR="007279C8">
        <w:t>aizliegumu</w:t>
      </w:r>
      <w:r w:rsidR="00001FE5">
        <w:t xml:space="preserve"> tiem</w:t>
      </w:r>
      <w:r w:rsidR="005C6ED8">
        <w:t xml:space="preserve"> ieņemt </w:t>
      </w:r>
      <w:r w:rsidR="007279C8">
        <w:t>noteiktus</w:t>
      </w:r>
      <w:r w:rsidR="005C6ED8">
        <w:t xml:space="preserve"> amatus komercsabiedrībās.</w:t>
      </w:r>
      <w:r w:rsidR="00C43906">
        <w:t xml:space="preserve"> Tādēj</w:t>
      </w:r>
      <w:r w:rsidR="00001FE5">
        <w:t>ādi jaunais</w:t>
      </w:r>
      <w:r w:rsidR="00C43906">
        <w:t xml:space="preserve"> tiesiskais regulējums pārnesa finansiālo ietekmi no juridiskas personas uz juridiskas personas valdes locekļiem, samazinot juridiskai personai negatīvo finansiālo ietekmi. Proti, „ja līdz šim naudas sodu par izdarītajiem administratīvajiem pārkāpumiem juridiskās personas valde maksāja no juridiskās personas budžeta, tad šobrīd naudas sods valdes loceklim būs jāmaksā no personīgajiem līdzekļiem” (</w:t>
      </w:r>
      <w:r>
        <w:t xml:space="preserve">sal. </w:t>
      </w:r>
      <w:r w:rsidR="00C43906" w:rsidRPr="00001FE5">
        <w:rPr>
          <w:i/>
        </w:rPr>
        <w:t>l</w:t>
      </w:r>
      <w:r w:rsidR="00001FE5" w:rsidRPr="00001FE5">
        <w:rPr>
          <w:i/>
        </w:rPr>
        <w:t>i</w:t>
      </w:r>
      <w:r w:rsidR="00001FE5">
        <w:rPr>
          <w:i/>
        </w:rPr>
        <w:t>kuma</w:t>
      </w:r>
      <w:r w:rsidR="00C43906" w:rsidRPr="00C43906">
        <w:rPr>
          <w:i/>
        </w:rPr>
        <w:t xml:space="preserve"> „Grozījumi Latvijas Administratīvo pārkāpumu kodeksā”</w:t>
      </w:r>
      <w:r w:rsidR="00001FE5">
        <w:rPr>
          <w:i/>
        </w:rPr>
        <w:t>, kas pieņemts</w:t>
      </w:r>
      <w:r w:rsidR="00C43906" w:rsidRPr="00C43906">
        <w:rPr>
          <w:i/>
        </w:rPr>
        <w:t xml:space="preserve"> </w:t>
      </w:r>
      <w:r w:rsidR="00001FE5" w:rsidRPr="00001FE5">
        <w:rPr>
          <w:i/>
        </w:rPr>
        <w:t>2012.gada 29.novembr</w:t>
      </w:r>
      <w:r w:rsidR="00001FE5">
        <w:rPr>
          <w:i/>
        </w:rPr>
        <w:t xml:space="preserve">ī, </w:t>
      </w:r>
      <w:r w:rsidR="00602BCF" w:rsidRPr="00602BCF">
        <w:rPr>
          <w:i/>
        </w:rPr>
        <w:t>sākotnējās ietekmes novērtējuma ziņojums (</w:t>
      </w:r>
      <w:r w:rsidR="00C43906" w:rsidRPr="00C43906">
        <w:rPr>
          <w:i/>
        </w:rPr>
        <w:t>anotācija</w:t>
      </w:r>
      <w:r w:rsidR="00602BCF">
        <w:rPr>
          <w:i/>
        </w:rPr>
        <w:t>)</w:t>
      </w:r>
      <w:r w:rsidR="00C43906">
        <w:t xml:space="preserve">). </w:t>
      </w:r>
      <w:r w:rsidR="00FB1AE2">
        <w:t>Līdz ar to secināms, ka l</w:t>
      </w:r>
      <w:r w:rsidR="00602BCF">
        <w:t>ikumdev</w:t>
      </w:r>
      <w:r w:rsidR="005B2F1F">
        <w:t>ēja mērķis</w:t>
      </w:r>
      <w:r w:rsidR="007279C8">
        <w:t xml:space="preserve"> ar minētajiem grozījumiem</w:t>
      </w:r>
      <w:r w:rsidR="005B2F1F">
        <w:t xml:space="preserve"> bija</w:t>
      </w:r>
      <w:r w:rsidR="00BA4FA5">
        <w:t xml:space="preserve"> </w:t>
      </w:r>
      <w:r w:rsidR="00E568C2">
        <w:t xml:space="preserve">īpaši </w:t>
      </w:r>
      <w:r w:rsidR="005B2F1F">
        <w:t xml:space="preserve">vērsties pret tām personām, kuras </w:t>
      </w:r>
      <w:r w:rsidR="00E568C2">
        <w:t xml:space="preserve">ir tieši </w:t>
      </w:r>
      <w:r w:rsidR="005B2F1F">
        <w:t>atbildīgas par pārkāpumu izdarīšanu komercdarbības jom</w:t>
      </w:r>
      <w:r w:rsidR="0056586A">
        <w:t>ā, proti, pret komercsabiedrības valdes locekļiem, paredzot tiem personisku atbildību.</w:t>
      </w:r>
    </w:p>
    <w:p w14:paraId="54A93266" w14:textId="4F38BF2E" w:rsidR="00FB1AE2" w:rsidRDefault="00BA4FA5" w:rsidP="00EC3A59">
      <w:pPr>
        <w:spacing w:after="0" w:line="276" w:lineRule="auto"/>
        <w:ind w:firstLine="567"/>
        <w:jc w:val="both"/>
      </w:pPr>
      <w:r>
        <w:t>Tādējādi</w:t>
      </w:r>
      <w:r w:rsidR="00F01554">
        <w:t>, i</w:t>
      </w:r>
      <w:r w:rsidR="00C43906">
        <w:t xml:space="preserve">evērojot </w:t>
      </w:r>
      <w:r w:rsidR="00FB1AE2">
        <w:t xml:space="preserve">iepriekš </w:t>
      </w:r>
      <w:r w:rsidR="00E568C2">
        <w:t>teikto</w:t>
      </w:r>
      <w:r w:rsidR="00C43906">
        <w:t xml:space="preserve">, Senātam nerodas </w:t>
      </w:r>
      <w:proofErr w:type="gramStart"/>
      <w:r w:rsidR="00C43906">
        <w:t xml:space="preserve">šaubas, ka </w:t>
      </w:r>
      <w:r w:rsidR="007279C8">
        <w:t>arī</w:t>
      </w:r>
      <w:proofErr w:type="gramEnd"/>
      <w:r w:rsidR="007279C8">
        <w:t xml:space="preserve"> </w:t>
      </w:r>
      <w:r w:rsidR="00C43906">
        <w:t xml:space="preserve">pienākums atlīdzināt </w:t>
      </w:r>
      <w:r w:rsidR="007279C8">
        <w:t xml:space="preserve">valstij radušos izdevumus </w:t>
      </w:r>
      <w:r>
        <w:t xml:space="preserve">atbilstoši kodeksā noteiktajam ir </w:t>
      </w:r>
      <w:r w:rsidR="00C43906">
        <w:t>personai, kura saukta pie administratīvās atbildības</w:t>
      </w:r>
      <w:r>
        <w:t>,</w:t>
      </w:r>
      <w:r w:rsidR="007A3DB0">
        <w:t xml:space="preserve"> –</w:t>
      </w:r>
      <w:r w:rsidR="007279C8">
        <w:t xml:space="preserve"> </w:t>
      </w:r>
      <w:r>
        <w:t xml:space="preserve">kas izskatāmajā gadījumā ir pieteicēja kā </w:t>
      </w:r>
      <w:r w:rsidR="007A3DB0">
        <w:t xml:space="preserve">attiecīgās </w:t>
      </w:r>
      <w:r w:rsidR="00183280">
        <w:lastRenderedPageBreak/>
        <w:t>komercsabiedrības</w:t>
      </w:r>
      <w:r>
        <w:t xml:space="preserve"> valdes locekle</w:t>
      </w:r>
      <w:r w:rsidR="00E568C2">
        <w:t>.</w:t>
      </w:r>
      <w:r w:rsidR="00FB1AE2" w:rsidRPr="00FB1AE2">
        <w:t xml:space="preserve"> </w:t>
      </w:r>
      <w:r w:rsidR="00FB1AE2">
        <w:t xml:space="preserve">Pretēji </w:t>
      </w:r>
      <w:proofErr w:type="spellStart"/>
      <w:r w:rsidR="00FB1AE2">
        <w:t>kasatores</w:t>
      </w:r>
      <w:proofErr w:type="spellEnd"/>
      <w:r w:rsidR="00FB1AE2">
        <w:t xml:space="preserve"> viedoklim, minētais, Senāta vērtējumā, </w:t>
      </w:r>
      <w:r w:rsidR="00EC3A59">
        <w:t xml:space="preserve">nenonāk </w:t>
      </w:r>
      <w:r w:rsidR="00FB1AE2">
        <w:t xml:space="preserve">pretrunā ar kodeksa </w:t>
      </w:r>
      <w:proofErr w:type="gramStart"/>
      <w:r w:rsidR="00FB1AE2">
        <w:t>22.pantā</w:t>
      </w:r>
      <w:proofErr w:type="gramEnd"/>
      <w:r w:rsidR="00FB1AE2">
        <w:t xml:space="preserve"> nostiprināto administratīvā soda mērķi.</w:t>
      </w:r>
    </w:p>
    <w:p w14:paraId="575ADA7B" w14:textId="12561172" w:rsidR="00C43906" w:rsidRDefault="00C43906" w:rsidP="00C43906">
      <w:pPr>
        <w:spacing w:after="0" w:line="276" w:lineRule="auto"/>
        <w:ind w:firstLine="567"/>
        <w:jc w:val="both"/>
      </w:pPr>
    </w:p>
    <w:p w14:paraId="57A1B46C" w14:textId="0CDC5AFA" w:rsidR="007A3DB0" w:rsidRDefault="00711412" w:rsidP="00D17517">
      <w:pPr>
        <w:spacing w:after="0" w:line="276" w:lineRule="auto"/>
        <w:ind w:firstLine="567"/>
        <w:jc w:val="both"/>
      </w:pPr>
      <w:r w:rsidRPr="0056586A">
        <w:t>[</w:t>
      </w:r>
      <w:r w:rsidR="00FB1AE2">
        <w:t>7</w:t>
      </w:r>
      <w:r w:rsidRPr="0056586A">
        <w:t xml:space="preserve">] </w:t>
      </w:r>
      <w:r w:rsidR="00932FDB">
        <w:t>Pieteicēja sūdzībā norādījusi, ka valde ir atkarīga no dalībnieku sapulces lēmumiem, tāpēc nav pareiza tiesas argumentācija, ka valde ir vienīgā izpildinstitūcija, kas realizē juridiskās personas rīcībspēju un atbild par sabiedrības komercdarbību.</w:t>
      </w:r>
    </w:p>
    <w:p w14:paraId="57323B30" w14:textId="4F0B3614" w:rsidR="007F072D" w:rsidRDefault="0056586A" w:rsidP="0056586A">
      <w:pPr>
        <w:spacing w:after="0" w:line="276" w:lineRule="auto"/>
        <w:ind w:firstLine="567"/>
        <w:jc w:val="both"/>
      </w:pPr>
      <w:r>
        <w:t>Senāts šādam viedoklim nevar piekrist</w:t>
      </w:r>
      <w:r w:rsidR="007A3DB0">
        <w:t>. L</w:t>
      </w:r>
      <w:r>
        <w:t xml:space="preserve">ai arī Komerclikuma </w:t>
      </w:r>
      <w:proofErr w:type="gramStart"/>
      <w:r>
        <w:t>209.pants</w:t>
      </w:r>
      <w:proofErr w:type="gramEnd"/>
      <w:r w:rsidRPr="0056586A">
        <w:t xml:space="preserve"> </w:t>
      </w:r>
      <w:r>
        <w:t>noteic, ka s</w:t>
      </w:r>
      <w:r w:rsidRPr="0056586A">
        <w:t>abiedrības pārvaldes institūcijas ir dalībnieku sapulce un</w:t>
      </w:r>
      <w:r>
        <w:t xml:space="preserve"> valde, kā arī padome, ja tāda ir izveidota, tomēr Komerclikuma 221.panta pirmajā daļā </w:t>
      </w:r>
      <w:proofErr w:type="spellStart"/>
      <w:r w:rsidRPr="0056586A">
        <w:rPr>
          <w:i/>
        </w:rPr>
        <w:t>expresis</w:t>
      </w:r>
      <w:proofErr w:type="spellEnd"/>
      <w:r w:rsidRPr="0056586A">
        <w:rPr>
          <w:i/>
        </w:rPr>
        <w:t xml:space="preserve"> </w:t>
      </w:r>
      <w:proofErr w:type="spellStart"/>
      <w:r w:rsidRPr="0056586A">
        <w:rPr>
          <w:i/>
        </w:rPr>
        <w:t>verbis</w:t>
      </w:r>
      <w:proofErr w:type="spellEnd"/>
      <w:r>
        <w:t xml:space="preserve"> ir noteikts, ka v</w:t>
      </w:r>
      <w:r w:rsidRPr="0056586A">
        <w:t>alde ir sabiedrības izpildinstitūcija, kura vada un pārstāv sabiedrību.</w:t>
      </w:r>
      <w:r w:rsidR="00A362D5">
        <w:t xml:space="preserve"> </w:t>
      </w:r>
    </w:p>
    <w:p w14:paraId="1BC95881" w14:textId="6B7DD54F" w:rsidR="00D57D9C" w:rsidRDefault="00D57D9C" w:rsidP="0056586A">
      <w:pPr>
        <w:spacing w:after="0" w:line="276" w:lineRule="auto"/>
        <w:ind w:firstLine="567"/>
        <w:jc w:val="both"/>
      </w:pPr>
      <w:r>
        <w:t xml:space="preserve">Valdes loceklim ir jārīkojas ar vislielāko rūpību, jo Komerclikuma </w:t>
      </w:r>
      <w:proofErr w:type="gramStart"/>
      <w:r>
        <w:t>169.pants</w:t>
      </w:r>
      <w:proofErr w:type="gramEnd"/>
      <w:r>
        <w:t xml:space="preserve"> neparedz pienākumu sabiedrībai pierādīt valdes locekļa vainu, bet, gluži pretēji, tas noteic šīs amatpersonas vainas prezumpciju. Citiem vārdiem, Komerclikuma </w:t>
      </w:r>
      <w:proofErr w:type="gramStart"/>
      <w:r>
        <w:t>169.panta</w:t>
      </w:r>
      <w:proofErr w:type="gramEnd"/>
      <w:r>
        <w:t xml:space="preserve"> trešās daļas norma, atkāpjoties no civilprocesa vispārīgā principa attiecībā uz pierādīšanas pienākumu, apstākļu, ka viņš rīkojies kā krietns un rūpīgs saimnieks (nav izdarījis tiesību pārkāpumu vai arī notikušajā tiesību pārkāpumā nav vainojams), pierādīšanas nastu pārliek uz valdes locekli. Savukārt situācijā, kad valdes loceklis nespēj minēto pierādīt, viņa vaina ir prezumējama. Apstāklim, ka valdes locekļa rīcība nesatur tiesību ļaunprātīgu aizskārumu, nav tiesiskas nozīmes, jo viņš ir atbildīgs par katru, tostarp vieglu neuzmanību. Līdz ar to secināms, ka atbildība neiestājas vienīgi tad, ja valdes loceklis pierāda, ka attiecīgajā situācijā ir rīkojies kā krietns un rūpīgs saimnieks, respektīvi – nav pielaidis pat vieglu neuzmanību (sal. </w:t>
      </w:r>
      <w:r w:rsidRPr="00D57D9C">
        <w:rPr>
          <w:i/>
        </w:rPr>
        <w:t xml:space="preserve">Senāta </w:t>
      </w:r>
      <w:proofErr w:type="gramStart"/>
      <w:r w:rsidRPr="00D57D9C">
        <w:rPr>
          <w:i/>
        </w:rPr>
        <w:t>2017.gada</w:t>
      </w:r>
      <w:proofErr w:type="gramEnd"/>
      <w:r w:rsidRPr="00D57D9C">
        <w:rPr>
          <w:i/>
        </w:rPr>
        <w:t xml:space="preserve"> 22.jūnija sprieduma lietā Nr. SKC</w:t>
      </w:r>
      <w:r w:rsidRPr="00D57D9C">
        <w:rPr>
          <w:i/>
        </w:rPr>
        <w:noBreakHyphen/>
        <w:t>171/2017 (C04170113) 8.1.pun</w:t>
      </w:r>
      <w:r w:rsidR="001F6F54">
        <w:rPr>
          <w:i/>
        </w:rPr>
        <w:t>k</w:t>
      </w:r>
      <w:r w:rsidRPr="00D57D9C">
        <w:rPr>
          <w:i/>
        </w:rPr>
        <w:t>ts un tajā minētā judikatūra</w:t>
      </w:r>
      <w:r>
        <w:t>).</w:t>
      </w:r>
    </w:p>
    <w:p w14:paraId="22A5263E" w14:textId="5D1BEB99" w:rsidR="008F36CA" w:rsidRDefault="007F072D" w:rsidP="007F072D">
      <w:pPr>
        <w:spacing w:after="0" w:line="276" w:lineRule="auto"/>
        <w:ind w:firstLine="567"/>
        <w:jc w:val="both"/>
      </w:pPr>
      <w:r>
        <w:t>Pieteicēja sūdzībā gan vispārīgi runā par to, ka valdei ir saistoši dalībnieku sapulces lēmumi, kas, iespējams, liek domāt par to, ka arī dotajā situācijā pieteicējai kā sabiedrības valdes loceklei bija saistošs kāds dalībnieku sapulces lēmums, kas noveda pie kodeksa 166.</w:t>
      </w:r>
      <w:proofErr w:type="gramStart"/>
      <w:r w:rsidRPr="007F072D">
        <w:rPr>
          <w:vertAlign w:val="superscript"/>
        </w:rPr>
        <w:t>2</w:t>
      </w:r>
      <w:r>
        <w:t>panta</w:t>
      </w:r>
      <w:proofErr w:type="gramEnd"/>
      <w:r>
        <w:t xml:space="preserve"> pirmajā daļā paredzētā administratīvā pārkāpuma izdarīšanas. Tomēr pieteicēja neko detalizētāk par to</w:t>
      </w:r>
      <w:r w:rsidR="00EC3A59">
        <w:t xml:space="preserve"> sūdzībā</w:t>
      </w:r>
      <w:r>
        <w:t xml:space="preserve"> neatklāj, kas, Senāta vērtējumā, liecina vien par hipotētiski iesp</w:t>
      </w:r>
      <w:r w:rsidR="00EC3A59">
        <w:t xml:space="preserve">ējamas situācijas </w:t>
      </w:r>
      <w:r>
        <w:t xml:space="preserve">modelēšanu. Tomēr pat situācijā, ja pieteicējai kā sabiedrības valdes loceklei bija jāizpilda kāds dalībnieku sapulces lēmums, </w:t>
      </w:r>
      <w:r w:rsidR="00EC3A59">
        <w:t>kuram</w:t>
      </w:r>
      <w:r>
        <w:t xml:space="preserve"> viņa nepiekr</w:t>
      </w:r>
      <w:r w:rsidR="009C2E4F">
        <w:t>i</w:t>
      </w:r>
      <w:r>
        <w:t>t</w:t>
      </w:r>
      <w:r w:rsidR="009C2E4F">
        <w:t>a</w:t>
      </w:r>
      <w:r>
        <w:t xml:space="preserve">, uzskatot, ka tas ir prettiesisks, Komerclikuma 224.panta astotā daļa ļauj </w:t>
      </w:r>
      <w:r w:rsidRPr="007F072D">
        <w:t xml:space="preserve">jebkurā laikā </w:t>
      </w:r>
      <w:r w:rsidR="009C2E4F">
        <w:t>v</w:t>
      </w:r>
      <w:r w:rsidR="009C2E4F" w:rsidRPr="007F072D">
        <w:t>aldes locekli</w:t>
      </w:r>
      <w:r w:rsidR="009C2E4F">
        <w:t>m</w:t>
      </w:r>
      <w:r w:rsidR="009C2E4F" w:rsidRPr="007F072D">
        <w:t xml:space="preserve"> </w:t>
      </w:r>
      <w:r w:rsidRPr="007F072D">
        <w:t>atstāt amatu, par to iesniedzot paziņojumu sabiedrībai</w:t>
      </w:r>
      <w:r>
        <w:t>.</w:t>
      </w:r>
    </w:p>
    <w:p w14:paraId="25745331" w14:textId="77777777" w:rsidR="007F072D" w:rsidRDefault="007F072D" w:rsidP="004E6018">
      <w:pPr>
        <w:pStyle w:val="NoSpacing"/>
        <w:spacing w:line="276" w:lineRule="auto"/>
        <w:ind w:firstLine="567"/>
        <w:jc w:val="both"/>
      </w:pPr>
    </w:p>
    <w:p w14:paraId="421BCB79" w14:textId="4E1F0169" w:rsidR="00317E0C" w:rsidRPr="00E153F9" w:rsidRDefault="00317E0C" w:rsidP="00E153F9">
      <w:pPr>
        <w:pStyle w:val="NoSpacing"/>
        <w:spacing w:line="276" w:lineRule="auto"/>
        <w:ind w:firstLine="567"/>
        <w:jc w:val="both"/>
        <w:rPr>
          <w:szCs w:val="24"/>
        </w:rPr>
      </w:pPr>
      <w:r>
        <w:rPr>
          <w:rFonts w:cs="Times New Roman"/>
          <w:szCs w:val="24"/>
          <w:lang w:eastAsia="ru-RU"/>
        </w:rPr>
        <w:t>[</w:t>
      </w:r>
      <w:r w:rsidR="00E153F9">
        <w:rPr>
          <w:rFonts w:cs="Times New Roman"/>
          <w:szCs w:val="24"/>
          <w:lang w:eastAsia="ru-RU"/>
        </w:rPr>
        <w:t>8</w:t>
      </w:r>
      <w:r>
        <w:rPr>
          <w:rFonts w:cs="Times New Roman"/>
          <w:szCs w:val="24"/>
          <w:lang w:eastAsia="ru-RU"/>
        </w:rPr>
        <w:t xml:space="preserve">] Pieteicēja kasācijas sūdzībā vispārīgi norādījusi, ka tiesa pretēji Administratīvā procesa likuma 103., 107. un </w:t>
      </w:r>
      <w:proofErr w:type="gramStart"/>
      <w:r>
        <w:rPr>
          <w:rFonts w:cs="Times New Roman"/>
          <w:szCs w:val="24"/>
          <w:lang w:eastAsia="ru-RU"/>
        </w:rPr>
        <w:t>154.panta</w:t>
      </w:r>
      <w:proofErr w:type="gramEnd"/>
      <w:r>
        <w:rPr>
          <w:rFonts w:cs="Times New Roman"/>
          <w:szCs w:val="24"/>
          <w:lang w:eastAsia="ru-RU"/>
        </w:rPr>
        <w:t xml:space="preserve"> prasībām nav objektīvi izvērtējusi visus lietas faktiskos apstākļus, kas </w:t>
      </w:r>
      <w:r w:rsidR="00E153F9">
        <w:rPr>
          <w:rFonts w:cs="Times New Roman"/>
          <w:szCs w:val="24"/>
          <w:lang w:eastAsia="ru-RU"/>
        </w:rPr>
        <w:t>noveda</w:t>
      </w:r>
      <w:r>
        <w:rPr>
          <w:rFonts w:cs="Times New Roman"/>
          <w:szCs w:val="24"/>
          <w:lang w:eastAsia="ru-RU"/>
        </w:rPr>
        <w:t xml:space="preserve"> </w:t>
      </w:r>
      <w:r w:rsidR="00E7256C">
        <w:rPr>
          <w:rFonts w:cs="Times New Roman"/>
          <w:szCs w:val="24"/>
          <w:lang w:eastAsia="ru-RU"/>
        </w:rPr>
        <w:t xml:space="preserve">pie lietas nepareizas izspriešanas. </w:t>
      </w:r>
      <w:r w:rsidR="007A3DB0">
        <w:rPr>
          <w:rFonts w:cs="Times New Roman"/>
          <w:szCs w:val="24"/>
          <w:lang w:eastAsia="ru-RU"/>
        </w:rPr>
        <w:t>P</w:t>
      </w:r>
      <w:r w:rsidR="00E7256C">
        <w:rPr>
          <w:rFonts w:cs="Times New Roman"/>
          <w:szCs w:val="24"/>
          <w:lang w:eastAsia="ru-RU"/>
        </w:rPr>
        <w:t>ieteicēja uzskata, ka tiesa nepareizi interpretējusi</w:t>
      </w:r>
      <w:r w:rsidR="004C16AB">
        <w:rPr>
          <w:rFonts w:cs="Times New Roman"/>
          <w:szCs w:val="24"/>
          <w:lang w:eastAsia="ru-RU"/>
        </w:rPr>
        <w:t xml:space="preserve"> arī šā likuma</w:t>
      </w:r>
      <w:r w:rsidR="00E7256C">
        <w:rPr>
          <w:rFonts w:cs="Times New Roman"/>
          <w:szCs w:val="24"/>
          <w:lang w:eastAsia="ru-RU"/>
        </w:rPr>
        <w:t xml:space="preserve"> </w:t>
      </w:r>
      <w:proofErr w:type="gramStart"/>
      <w:r w:rsidR="00E7256C">
        <w:rPr>
          <w:rFonts w:cs="Times New Roman"/>
          <w:szCs w:val="24"/>
          <w:lang w:eastAsia="ru-RU"/>
        </w:rPr>
        <w:t>13.pantu</w:t>
      </w:r>
      <w:proofErr w:type="gramEnd"/>
      <w:r w:rsidR="00E7256C">
        <w:rPr>
          <w:rFonts w:cs="Times New Roman"/>
          <w:szCs w:val="24"/>
          <w:lang w:eastAsia="ru-RU"/>
        </w:rPr>
        <w:t>.</w:t>
      </w:r>
      <w:r w:rsidR="009747C5">
        <w:rPr>
          <w:rFonts w:cs="Times New Roman"/>
          <w:szCs w:val="24"/>
          <w:lang w:eastAsia="ru-RU"/>
        </w:rPr>
        <w:t xml:space="preserve"> </w:t>
      </w:r>
      <w:r w:rsidR="00D17517" w:rsidRPr="00327304">
        <w:rPr>
          <w:szCs w:val="24"/>
        </w:rPr>
        <w:t xml:space="preserve">Tomēr </w:t>
      </w:r>
      <w:r w:rsidR="00E153F9">
        <w:rPr>
          <w:szCs w:val="24"/>
        </w:rPr>
        <w:t xml:space="preserve">atbilstoši Administratīvā procesa likuma </w:t>
      </w:r>
      <w:proofErr w:type="gramStart"/>
      <w:r w:rsidR="00E153F9">
        <w:rPr>
          <w:szCs w:val="24"/>
        </w:rPr>
        <w:t>328.panta</w:t>
      </w:r>
      <w:proofErr w:type="gramEnd"/>
      <w:r w:rsidR="00E153F9">
        <w:rPr>
          <w:szCs w:val="24"/>
        </w:rPr>
        <w:t xml:space="preserve"> pirmās daļas 6.punktam </w:t>
      </w:r>
      <w:r w:rsidR="00D17517" w:rsidRPr="00327304">
        <w:rPr>
          <w:szCs w:val="24"/>
        </w:rPr>
        <w:t xml:space="preserve">tiesas pieļauto pārkāpumu pamatošanai nav pietiekami tikai ar vispārīgu tiesību normu uzskaitījumu. Tiesību normai jābūt ne tikai nosauktai precīzi, bet arī jābūt sasaistē ar konkrētu tiesas rīcību, ar kuru pieļauts attiecīgās normas pārkāpums. Tikpat būtiski ir pamatot, kā šī tiesas rīcība ir ietekmējusi </w:t>
      </w:r>
      <w:r w:rsidR="00D17517">
        <w:rPr>
          <w:szCs w:val="24"/>
        </w:rPr>
        <w:t xml:space="preserve">tiesas </w:t>
      </w:r>
      <w:r w:rsidR="00D17517" w:rsidRPr="00327304">
        <w:rPr>
          <w:szCs w:val="24"/>
        </w:rPr>
        <w:t>sprieduma rezultātu. Kasācijas sūdzībā šāda sasaiste nav dota. Proti, minēto tiesību normu uzskaitījums seko vienkopus vien pašās sūdzības beigās.</w:t>
      </w:r>
      <w:r w:rsidR="00E962E6">
        <w:rPr>
          <w:rFonts w:ascii="Open Sans" w:hAnsi="Open Sans"/>
          <w:color w:val="333333"/>
          <w:sz w:val="21"/>
          <w:szCs w:val="21"/>
        </w:rPr>
        <w:t xml:space="preserve"> </w:t>
      </w:r>
      <w:r w:rsidR="00E962E6" w:rsidRPr="00E962E6">
        <w:rPr>
          <w:szCs w:val="24"/>
        </w:rPr>
        <w:t xml:space="preserve">Līdz ar to </w:t>
      </w:r>
      <w:r w:rsidR="00E153F9">
        <w:rPr>
          <w:szCs w:val="24"/>
        </w:rPr>
        <w:t>šo</w:t>
      </w:r>
      <w:r w:rsidR="00E962E6">
        <w:rPr>
          <w:szCs w:val="24"/>
        </w:rPr>
        <w:t xml:space="preserve"> iebildumu</w:t>
      </w:r>
      <w:r w:rsidR="00E962E6" w:rsidRPr="00E962E6">
        <w:rPr>
          <w:szCs w:val="24"/>
        </w:rPr>
        <w:t xml:space="preserve"> juridiskais pamatojums</w:t>
      </w:r>
      <w:r w:rsidR="00E962E6">
        <w:rPr>
          <w:szCs w:val="24"/>
        </w:rPr>
        <w:t xml:space="preserve"> </w:t>
      </w:r>
      <w:r w:rsidR="00E962E6" w:rsidRPr="00E962E6">
        <w:rPr>
          <w:szCs w:val="24"/>
        </w:rPr>
        <w:t>ir acīmredzami nepietiekams.</w:t>
      </w:r>
    </w:p>
    <w:p w14:paraId="3F59A944" w14:textId="77777777" w:rsidR="00317E0C" w:rsidRPr="007446F6" w:rsidRDefault="00317E0C" w:rsidP="004E6018">
      <w:pPr>
        <w:pStyle w:val="NoSpacing"/>
        <w:spacing w:line="276" w:lineRule="auto"/>
        <w:ind w:firstLine="567"/>
        <w:jc w:val="both"/>
        <w:rPr>
          <w:rFonts w:cs="Times New Roman"/>
          <w:szCs w:val="24"/>
          <w:lang w:eastAsia="ru-RU"/>
        </w:rPr>
      </w:pPr>
    </w:p>
    <w:p w14:paraId="26B04663" w14:textId="0AEA0120" w:rsidR="00536CCD" w:rsidRPr="007446F6" w:rsidRDefault="00927021" w:rsidP="004E6018">
      <w:pPr>
        <w:pStyle w:val="NoSpacing"/>
        <w:spacing w:line="276" w:lineRule="auto"/>
        <w:ind w:firstLine="567"/>
        <w:jc w:val="both"/>
        <w:rPr>
          <w:rFonts w:cs="Times New Roman"/>
          <w:szCs w:val="24"/>
        </w:rPr>
      </w:pPr>
      <w:r w:rsidRPr="007446F6">
        <w:rPr>
          <w:rFonts w:cs="Times New Roman"/>
          <w:szCs w:val="24"/>
          <w:lang w:eastAsia="ru-RU"/>
        </w:rPr>
        <w:t>[</w:t>
      </w:r>
      <w:r w:rsidR="001E09EB">
        <w:rPr>
          <w:rFonts w:cs="Times New Roman"/>
          <w:szCs w:val="24"/>
          <w:lang w:eastAsia="ru-RU"/>
        </w:rPr>
        <w:t>9</w:t>
      </w:r>
      <w:r w:rsidRPr="007446F6">
        <w:rPr>
          <w:rFonts w:cs="Times New Roman"/>
          <w:szCs w:val="24"/>
          <w:lang w:eastAsia="ru-RU"/>
        </w:rPr>
        <w:t>]</w:t>
      </w:r>
      <w:r w:rsidR="00AF64FB" w:rsidRPr="007446F6">
        <w:rPr>
          <w:rFonts w:cs="Times New Roman"/>
          <w:szCs w:val="24"/>
          <w:lang w:eastAsia="ru-RU"/>
        </w:rPr>
        <w:t> </w:t>
      </w:r>
      <w:r w:rsidR="0052485A" w:rsidRPr="007446F6">
        <w:rPr>
          <w:rFonts w:cs="Times New Roman"/>
          <w:szCs w:val="24"/>
          <w:lang w:eastAsia="ru-RU"/>
        </w:rPr>
        <w:t xml:space="preserve"> </w:t>
      </w:r>
      <w:r w:rsidR="00881514" w:rsidRPr="007446F6">
        <w:rPr>
          <w:rFonts w:cs="Times New Roman"/>
          <w:szCs w:val="24"/>
        </w:rPr>
        <w:t xml:space="preserve">Ņemot vērā to, ka </w:t>
      </w:r>
      <w:r w:rsidR="00536CCD" w:rsidRPr="007446F6">
        <w:rPr>
          <w:rFonts w:cs="Times New Roman"/>
          <w:szCs w:val="24"/>
        </w:rPr>
        <w:t>pieteicēja</w:t>
      </w:r>
      <w:r w:rsidR="00B50D89" w:rsidRPr="007446F6">
        <w:rPr>
          <w:rFonts w:cs="Times New Roman"/>
          <w:szCs w:val="24"/>
        </w:rPr>
        <w:t>s</w:t>
      </w:r>
      <w:r w:rsidR="00536CCD" w:rsidRPr="007446F6">
        <w:rPr>
          <w:rFonts w:cs="Times New Roman"/>
          <w:szCs w:val="24"/>
        </w:rPr>
        <w:t xml:space="preserve"> kasācijas sūdzībā norādītie argumenti nerada šaubas par p</w:t>
      </w:r>
      <w:r w:rsidR="00881514" w:rsidRPr="007446F6">
        <w:rPr>
          <w:rFonts w:cs="Times New Roman"/>
          <w:szCs w:val="24"/>
        </w:rPr>
        <w:t xml:space="preserve">ārsūdzētā sprieduma tiesiskumu, kā arī </w:t>
      </w:r>
      <w:r w:rsidR="00536CCD" w:rsidRPr="007446F6">
        <w:rPr>
          <w:rFonts w:cs="Times New Roman"/>
          <w:szCs w:val="24"/>
        </w:rPr>
        <w:t xml:space="preserve">konkrētajā lietā nav risināmi tādi tiesību jautājumi, </w:t>
      </w:r>
      <w:r w:rsidR="00536CCD" w:rsidRPr="007446F6">
        <w:rPr>
          <w:rFonts w:cs="Times New Roman"/>
          <w:szCs w:val="24"/>
        </w:rPr>
        <w:lastRenderedPageBreak/>
        <w:t xml:space="preserve">kam varētu būt nozīme judikatūras veidošanā, </w:t>
      </w:r>
      <w:r w:rsidR="00715FBC" w:rsidRPr="007446F6">
        <w:rPr>
          <w:rFonts w:cs="Times New Roman"/>
          <w:szCs w:val="24"/>
        </w:rPr>
        <w:t>senatoru</w:t>
      </w:r>
      <w:r w:rsidR="00536CCD" w:rsidRPr="007446F6">
        <w:rPr>
          <w:rFonts w:cs="Times New Roman"/>
          <w:szCs w:val="24"/>
        </w:rPr>
        <w:t xml:space="preserve"> kolēģija atzīst, ka atbilstoši Administratīvā procesa likuma 338.</w:t>
      </w:r>
      <w:proofErr w:type="gramStart"/>
      <w:r w:rsidR="00536CCD" w:rsidRPr="007446F6">
        <w:rPr>
          <w:rFonts w:cs="Times New Roman"/>
          <w:szCs w:val="24"/>
          <w:vertAlign w:val="superscript"/>
        </w:rPr>
        <w:t>1</w:t>
      </w:r>
      <w:r w:rsidR="00536CCD" w:rsidRPr="007446F6">
        <w:rPr>
          <w:rFonts w:cs="Times New Roman"/>
          <w:szCs w:val="24"/>
        </w:rPr>
        <w:t>panta</w:t>
      </w:r>
      <w:proofErr w:type="gramEnd"/>
      <w:r w:rsidR="00536CCD" w:rsidRPr="007446F6">
        <w:rPr>
          <w:rFonts w:cs="Times New Roman"/>
          <w:szCs w:val="24"/>
        </w:rPr>
        <w:t xml:space="preserve"> otrās daļas 2.punktam ir pamats atteikties ierosināt kasācijas tiesvedību.</w:t>
      </w:r>
    </w:p>
    <w:p w14:paraId="35F7B88C" w14:textId="77777777" w:rsidR="00536CCD" w:rsidRPr="007446F6" w:rsidRDefault="00536CCD" w:rsidP="004E6018">
      <w:pPr>
        <w:pStyle w:val="NoSpacing"/>
        <w:spacing w:line="276" w:lineRule="auto"/>
        <w:ind w:firstLine="567"/>
        <w:jc w:val="both"/>
        <w:rPr>
          <w:rFonts w:cs="Times New Roman"/>
          <w:szCs w:val="24"/>
        </w:rPr>
      </w:pPr>
    </w:p>
    <w:p w14:paraId="436C33E6" w14:textId="6E16C389" w:rsidR="00704323" w:rsidRPr="007446F6" w:rsidRDefault="001B7125" w:rsidP="004E6018">
      <w:pPr>
        <w:pStyle w:val="NoSpacing"/>
        <w:spacing w:line="276" w:lineRule="auto"/>
        <w:ind w:firstLine="567"/>
        <w:jc w:val="both"/>
        <w:rPr>
          <w:rFonts w:cs="Times New Roman"/>
          <w:szCs w:val="24"/>
        </w:rPr>
      </w:pPr>
      <w:r w:rsidRPr="007446F6">
        <w:rPr>
          <w:rFonts w:cs="Times New Roman"/>
          <w:szCs w:val="24"/>
        </w:rPr>
        <w:t>P</w:t>
      </w:r>
      <w:r w:rsidR="00536CCD" w:rsidRPr="007446F6">
        <w:rPr>
          <w:rFonts w:cs="Times New Roman"/>
          <w:szCs w:val="24"/>
        </w:rPr>
        <w:t xml:space="preserve">amatojoties uz Administratīvā procesa likuma </w:t>
      </w:r>
      <w:proofErr w:type="gramStart"/>
      <w:r w:rsidR="00536CCD" w:rsidRPr="007446F6">
        <w:rPr>
          <w:rFonts w:cs="Times New Roman"/>
          <w:szCs w:val="24"/>
        </w:rPr>
        <w:t>338.panta</w:t>
      </w:r>
      <w:proofErr w:type="gramEnd"/>
      <w:r w:rsidR="00536CCD" w:rsidRPr="007446F6">
        <w:rPr>
          <w:rFonts w:cs="Times New Roman"/>
          <w:szCs w:val="24"/>
        </w:rPr>
        <w:t xml:space="preserve"> otro daļu un 338.</w:t>
      </w:r>
      <w:r w:rsidR="00536CCD" w:rsidRPr="007446F6">
        <w:rPr>
          <w:rFonts w:cs="Times New Roman"/>
          <w:szCs w:val="24"/>
          <w:vertAlign w:val="superscript"/>
        </w:rPr>
        <w:t>1</w:t>
      </w:r>
      <w:r w:rsidR="00536CCD" w:rsidRPr="007446F6">
        <w:rPr>
          <w:rFonts w:cs="Times New Roman"/>
          <w:szCs w:val="24"/>
        </w:rPr>
        <w:t>panta otrās daļas 2.punktu</w:t>
      </w:r>
      <w:r w:rsidR="001B139D" w:rsidRPr="007446F6">
        <w:rPr>
          <w:rFonts w:cs="Times New Roman"/>
          <w:szCs w:val="24"/>
        </w:rPr>
        <w:t>,</w:t>
      </w:r>
      <w:r w:rsidR="00536CCD" w:rsidRPr="007446F6">
        <w:rPr>
          <w:rFonts w:cs="Times New Roman"/>
          <w:szCs w:val="24"/>
        </w:rPr>
        <w:t xml:space="preserve"> </w:t>
      </w:r>
      <w:r w:rsidR="00711412" w:rsidRPr="007446F6">
        <w:rPr>
          <w:rFonts w:cs="Times New Roman"/>
          <w:szCs w:val="24"/>
        </w:rPr>
        <w:t>senatoru</w:t>
      </w:r>
      <w:r w:rsidR="00536CCD" w:rsidRPr="007446F6">
        <w:rPr>
          <w:rFonts w:cs="Times New Roman"/>
          <w:szCs w:val="24"/>
        </w:rPr>
        <w:t xml:space="preserve"> kolēģija</w:t>
      </w:r>
    </w:p>
    <w:p w14:paraId="100C0872" w14:textId="77777777" w:rsidR="00B829F2" w:rsidRPr="007446F6" w:rsidRDefault="00B829F2" w:rsidP="004E6018">
      <w:pPr>
        <w:pStyle w:val="NoSpacing"/>
        <w:spacing w:line="276" w:lineRule="auto"/>
        <w:ind w:firstLine="567"/>
        <w:jc w:val="both"/>
        <w:rPr>
          <w:rFonts w:cs="Times New Roman"/>
          <w:b/>
          <w:bCs/>
          <w:szCs w:val="24"/>
        </w:rPr>
      </w:pPr>
    </w:p>
    <w:p w14:paraId="290FDB3E" w14:textId="76312110" w:rsidR="00704323" w:rsidRPr="007446F6" w:rsidRDefault="00704323" w:rsidP="004E6018">
      <w:pPr>
        <w:tabs>
          <w:tab w:val="left" w:pos="2700"/>
          <w:tab w:val="left" w:pos="6660"/>
        </w:tabs>
        <w:spacing w:after="0" w:line="276" w:lineRule="auto"/>
        <w:jc w:val="center"/>
        <w:rPr>
          <w:rFonts w:cs="Times New Roman"/>
          <w:b/>
          <w:bCs/>
          <w:szCs w:val="24"/>
        </w:rPr>
      </w:pPr>
      <w:r w:rsidRPr="007446F6">
        <w:rPr>
          <w:rFonts w:cs="Times New Roman"/>
          <w:b/>
          <w:bCs/>
          <w:szCs w:val="24"/>
        </w:rPr>
        <w:t>nolēma</w:t>
      </w:r>
    </w:p>
    <w:p w14:paraId="605AA772" w14:textId="77777777" w:rsidR="00704323" w:rsidRPr="007446F6" w:rsidRDefault="00704323" w:rsidP="004E6018">
      <w:pPr>
        <w:spacing w:after="0" w:line="276" w:lineRule="auto"/>
        <w:ind w:firstLine="539"/>
        <w:jc w:val="both"/>
        <w:rPr>
          <w:rFonts w:cs="Times New Roman"/>
          <w:szCs w:val="24"/>
        </w:rPr>
      </w:pPr>
    </w:p>
    <w:p w14:paraId="10D6BD06" w14:textId="3441F9B7" w:rsidR="00704323" w:rsidRPr="007446F6" w:rsidRDefault="00505B14" w:rsidP="004E6018">
      <w:pPr>
        <w:pStyle w:val="NoSpacing"/>
        <w:spacing w:line="276" w:lineRule="auto"/>
        <w:ind w:firstLine="567"/>
        <w:jc w:val="both"/>
        <w:rPr>
          <w:rFonts w:cs="Times New Roman"/>
          <w:szCs w:val="24"/>
        </w:rPr>
      </w:pPr>
      <w:r w:rsidRPr="007446F6">
        <w:rPr>
          <w:rFonts w:cs="Times New Roman"/>
          <w:szCs w:val="24"/>
        </w:rPr>
        <w:t>a</w:t>
      </w:r>
      <w:r w:rsidR="00704323" w:rsidRPr="007446F6">
        <w:rPr>
          <w:rFonts w:cs="Times New Roman"/>
          <w:szCs w:val="24"/>
        </w:rPr>
        <w:t xml:space="preserve">tteikties ierosināt kasācijas tiesvedību sakarā ar </w:t>
      </w:r>
      <w:proofErr w:type="gramStart"/>
      <w:r w:rsidR="00120673">
        <w:rPr>
          <w:rFonts w:eastAsia="Times New Roman" w:cs="Times New Roman"/>
          <w:szCs w:val="24"/>
          <w:lang w:eastAsia="ru-RU"/>
        </w:rPr>
        <w:t>[</w:t>
      </w:r>
      <w:proofErr w:type="gramEnd"/>
      <w:r w:rsidR="00120673">
        <w:rPr>
          <w:rFonts w:eastAsia="Times New Roman" w:cs="Times New Roman"/>
          <w:szCs w:val="24"/>
          <w:lang w:eastAsia="ru-RU"/>
        </w:rPr>
        <w:t>pers. A]</w:t>
      </w:r>
      <w:bookmarkStart w:id="0" w:name="_GoBack"/>
      <w:bookmarkEnd w:id="0"/>
      <w:r w:rsidR="00D22C21">
        <w:rPr>
          <w:rFonts w:eastAsia="Times New Roman" w:cs="Times New Roman"/>
          <w:szCs w:val="24"/>
          <w:lang w:eastAsia="ru-RU"/>
        </w:rPr>
        <w:t xml:space="preserve"> </w:t>
      </w:r>
      <w:r w:rsidR="00704323" w:rsidRPr="007446F6">
        <w:rPr>
          <w:rFonts w:eastAsia="Times New Roman" w:cs="Times New Roman"/>
          <w:szCs w:val="24"/>
          <w:lang w:eastAsia="ru-RU"/>
        </w:rPr>
        <w:t xml:space="preserve">kasācijas sūdzību par Administratīvās </w:t>
      </w:r>
      <w:r w:rsidR="008048CA">
        <w:rPr>
          <w:rFonts w:eastAsia="Times New Roman" w:cs="Times New Roman"/>
          <w:szCs w:val="24"/>
          <w:lang w:eastAsia="ru-RU"/>
        </w:rPr>
        <w:t>apgabal</w:t>
      </w:r>
      <w:r w:rsidR="00D22C21">
        <w:rPr>
          <w:rFonts w:eastAsia="Times New Roman" w:cs="Times New Roman"/>
          <w:szCs w:val="24"/>
          <w:lang w:eastAsia="ru-RU"/>
        </w:rPr>
        <w:t>tiesas</w:t>
      </w:r>
      <w:r w:rsidR="00704323" w:rsidRPr="007446F6">
        <w:rPr>
          <w:rFonts w:eastAsia="Times New Roman" w:cs="Times New Roman"/>
          <w:szCs w:val="24"/>
          <w:lang w:eastAsia="ru-RU"/>
        </w:rPr>
        <w:t xml:space="preserve"> 201</w:t>
      </w:r>
      <w:r w:rsidR="008048CA">
        <w:rPr>
          <w:rFonts w:eastAsia="Times New Roman" w:cs="Times New Roman"/>
          <w:szCs w:val="24"/>
          <w:lang w:eastAsia="ru-RU"/>
        </w:rPr>
        <w:t>7</w:t>
      </w:r>
      <w:r w:rsidR="00704323" w:rsidRPr="007446F6">
        <w:rPr>
          <w:rFonts w:eastAsia="Times New Roman" w:cs="Times New Roman"/>
          <w:szCs w:val="24"/>
          <w:lang w:eastAsia="ru-RU"/>
        </w:rPr>
        <w:t xml:space="preserve">.gada </w:t>
      </w:r>
      <w:r w:rsidR="008048CA">
        <w:rPr>
          <w:rFonts w:eastAsia="Times New Roman" w:cs="Times New Roman"/>
          <w:szCs w:val="24"/>
          <w:lang w:eastAsia="ru-RU"/>
        </w:rPr>
        <w:t>9.marta</w:t>
      </w:r>
      <w:r w:rsidR="00704323" w:rsidRPr="007446F6">
        <w:rPr>
          <w:rFonts w:eastAsia="Times New Roman" w:cs="Times New Roman"/>
          <w:szCs w:val="24"/>
          <w:lang w:eastAsia="ru-RU"/>
        </w:rPr>
        <w:t xml:space="preserve"> spriedum</w:t>
      </w:r>
      <w:r w:rsidR="00704323" w:rsidRPr="007446F6">
        <w:rPr>
          <w:rFonts w:cs="Times New Roman"/>
          <w:szCs w:val="24"/>
        </w:rPr>
        <w:t>u.</w:t>
      </w:r>
    </w:p>
    <w:p w14:paraId="191E4548" w14:textId="77777777" w:rsidR="00704323" w:rsidRPr="007446F6" w:rsidRDefault="00704323" w:rsidP="004E6018">
      <w:pPr>
        <w:pStyle w:val="NoSpacing"/>
        <w:spacing w:line="276" w:lineRule="auto"/>
        <w:ind w:firstLine="567"/>
        <w:rPr>
          <w:rFonts w:cs="Times New Roman"/>
          <w:szCs w:val="24"/>
        </w:rPr>
      </w:pPr>
      <w:r w:rsidRPr="007446F6">
        <w:rPr>
          <w:rFonts w:cs="Times New Roman"/>
          <w:szCs w:val="24"/>
        </w:rPr>
        <w:t xml:space="preserve">Lēmums </w:t>
      </w:r>
      <w:r w:rsidRPr="007446F6">
        <w:rPr>
          <w:rFonts w:cs="Times New Roman"/>
          <w:bCs/>
          <w:szCs w:val="24"/>
        </w:rPr>
        <w:t>nav pārsūdzams.</w:t>
      </w:r>
    </w:p>
    <w:p w14:paraId="5C96ADF8" w14:textId="77777777" w:rsidR="004E6018" w:rsidRPr="007446F6" w:rsidRDefault="004E6018" w:rsidP="004E6018">
      <w:pPr>
        <w:spacing w:after="0" w:line="276" w:lineRule="auto"/>
        <w:ind w:firstLine="567"/>
        <w:jc w:val="both"/>
        <w:rPr>
          <w:bCs/>
          <w:szCs w:val="24"/>
        </w:rPr>
      </w:pPr>
    </w:p>
    <w:p w14:paraId="6BC62F24" w14:textId="0E4C7CFE" w:rsidR="004E6018" w:rsidRPr="007446F6" w:rsidRDefault="007446F6" w:rsidP="004E6018">
      <w:pPr>
        <w:tabs>
          <w:tab w:val="center" w:pos="4820"/>
          <w:tab w:val="right" w:pos="9071"/>
        </w:tabs>
        <w:spacing w:after="0" w:line="276" w:lineRule="auto"/>
        <w:ind w:firstLine="567"/>
        <w:jc w:val="both"/>
        <w:rPr>
          <w:bCs/>
          <w:szCs w:val="24"/>
        </w:rPr>
      </w:pPr>
      <w:r w:rsidRPr="007446F6">
        <w:rPr>
          <w:bCs/>
          <w:szCs w:val="24"/>
        </w:rPr>
        <w:t xml:space="preserve">Senators </w:t>
      </w:r>
      <w:r w:rsidR="004E6018" w:rsidRPr="007446F6">
        <w:rPr>
          <w:bCs/>
          <w:szCs w:val="24"/>
        </w:rPr>
        <w:t>A. Guļāns</w:t>
      </w:r>
      <w:r w:rsidR="004E6018" w:rsidRPr="007446F6">
        <w:rPr>
          <w:bCs/>
          <w:szCs w:val="24"/>
        </w:rPr>
        <w:tab/>
      </w:r>
      <w:r w:rsidRPr="007446F6">
        <w:rPr>
          <w:bCs/>
          <w:szCs w:val="24"/>
        </w:rPr>
        <w:t xml:space="preserve">Senatore </w:t>
      </w:r>
      <w:r w:rsidR="00D71BD7" w:rsidRPr="007446F6">
        <w:rPr>
          <w:bCs/>
          <w:szCs w:val="24"/>
        </w:rPr>
        <w:t>A. Kovaļevska</w:t>
      </w:r>
      <w:r w:rsidR="004E6018" w:rsidRPr="007446F6">
        <w:rPr>
          <w:bCs/>
          <w:szCs w:val="24"/>
        </w:rPr>
        <w:tab/>
      </w:r>
      <w:r w:rsidRPr="007446F6">
        <w:rPr>
          <w:bCs/>
          <w:szCs w:val="24"/>
        </w:rPr>
        <w:t xml:space="preserve">Senatore </w:t>
      </w:r>
      <w:r w:rsidR="00D71BD7" w:rsidRPr="007446F6">
        <w:rPr>
          <w:bCs/>
          <w:szCs w:val="24"/>
        </w:rPr>
        <w:t>V. Krūmiņa</w:t>
      </w:r>
    </w:p>
    <w:sectPr w:rsidR="004E6018" w:rsidRPr="007446F6" w:rsidSect="005B5F13">
      <w:footerReference w:type="default" r:id="rId8"/>
      <w:pgSz w:w="11906" w:h="16838"/>
      <w:pgMar w:top="1134" w:right="1134" w:bottom="1134"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6C4F8" w14:textId="77777777" w:rsidR="00542533" w:rsidRDefault="00542533" w:rsidP="00492C80">
      <w:pPr>
        <w:spacing w:after="0" w:line="240" w:lineRule="auto"/>
      </w:pPr>
      <w:r>
        <w:separator/>
      </w:r>
    </w:p>
  </w:endnote>
  <w:endnote w:type="continuationSeparator" w:id="0">
    <w:p w14:paraId="182E9C85" w14:textId="77777777" w:rsidR="00542533" w:rsidRDefault="00542533" w:rsidP="0049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Grande CE">
    <w:altName w:val="Times New Roman"/>
    <w:charset w:val="58"/>
    <w:family w:val="auto"/>
    <w:pitch w:val="variable"/>
    <w:sig w:usb0="E1000AEF"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873612"/>
      <w:docPartObj>
        <w:docPartGallery w:val="Page Numbers (Bottom of Page)"/>
        <w:docPartUnique/>
      </w:docPartObj>
    </w:sdtPr>
    <w:sdtEndPr>
      <w:rPr>
        <w:noProof/>
      </w:rPr>
    </w:sdtEndPr>
    <w:sdtContent>
      <w:p w14:paraId="5F49A384" w14:textId="56E26E8D" w:rsidR="00D13440" w:rsidRDefault="00D13440" w:rsidP="00492C8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65236">
          <w:rPr>
            <w:rStyle w:val="PageNumber"/>
            <w:noProof/>
          </w:rPr>
          <w:t>4</w:t>
        </w:r>
        <w:r w:rsidRPr="009F0E55">
          <w:rPr>
            <w:rStyle w:val="PageNumber"/>
          </w:rPr>
          <w:fldChar w:fldCharType="end"/>
        </w:r>
        <w:r w:rsidRPr="009F0E55">
          <w:rPr>
            <w:rStyle w:val="PageNumber"/>
          </w:rPr>
          <w:t xml:space="preserve"> no </w:t>
        </w:r>
        <w:r w:rsidR="00286776">
          <w:rPr>
            <w:rStyle w:val="PageNumber"/>
            <w:noProof/>
          </w:rPr>
          <w:fldChar w:fldCharType="begin"/>
        </w:r>
        <w:r w:rsidR="00286776">
          <w:rPr>
            <w:rStyle w:val="PageNumber"/>
            <w:noProof/>
          </w:rPr>
          <w:instrText xml:space="preserve"> SECTIONPAGES   \* MERGEFORMAT </w:instrText>
        </w:r>
        <w:r w:rsidR="00286776">
          <w:rPr>
            <w:rStyle w:val="PageNumber"/>
            <w:noProof/>
          </w:rPr>
          <w:fldChar w:fldCharType="separate"/>
        </w:r>
        <w:r w:rsidR="00120673">
          <w:rPr>
            <w:rStyle w:val="PageNumber"/>
            <w:noProof/>
          </w:rPr>
          <w:t>4</w:t>
        </w:r>
        <w:r w:rsidR="00286776">
          <w:rPr>
            <w:rStyle w:val="PageNumber"/>
            <w:noProof/>
          </w:rPr>
          <w:fldChar w:fldCharType="end"/>
        </w:r>
      </w:p>
    </w:sdtContent>
  </w:sdt>
  <w:p w14:paraId="2712D8A5" w14:textId="77777777" w:rsidR="00D13440" w:rsidRDefault="00D13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251FB" w14:textId="77777777" w:rsidR="00542533" w:rsidRDefault="00542533" w:rsidP="00492C80">
      <w:pPr>
        <w:spacing w:after="0" w:line="240" w:lineRule="auto"/>
      </w:pPr>
      <w:r>
        <w:separator/>
      </w:r>
    </w:p>
  </w:footnote>
  <w:footnote w:type="continuationSeparator" w:id="0">
    <w:p w14:paraId="6BD332B4" w14:textId="77777777" w:rsidR="00542533" w:rsidRDefault="00542533" w:rsidP="00492C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42"/>
    <w:rsid w:val="00001FE5"/>
    <w:rsid w:val="00010C0F"/>
    <w:rsid w:val="00015396"/>
    <w:rsid w:val="00032E8A"/>
    <w:rsid w:val="00044BDE"/>
    <w:rsid w:val="00045BED"/>
    <w:rsid w:val="0006271A"/>
    <w:rsid w:val="000672B9"/>
    <w:rsid w:val="00081D5B"/>
    <w:rsid w:val="000914D6"/>
    <w:rsid w:val="00094123"/>
    <w:rsid w:val="00096A04"/>
    <w:rsid w:val="000A2A8F"/>
    <w:rsid w:val="000A3111"/>
    <w:rsid w:val="000A7A20"/>
    <w:rsid w:val="000B1318"/>
    <w:rsid w:val="000D3768"/>
    <w:rsid w:val="000F1582"/>
    <w:rsid w:val="000F3C85"/>
    <w:rsid w:val="001004B4"/>
    <w:rsid w:val="00105F00"/>
    <w:rsid w:val="00120673"/>
    <w:rsid w:val="001206EC"/>
    <w:rsid w:val="001230C6"/>
    <w:rsid w:val="001322C3"/>
    <w:rsid w:val="001407F6"/>
    <w:rsid w:val="00140CA1"/>
    <w:rsid w:val="00144A41"/>
    <w:rsid w:val="00145D9E"/>
    <w:rsid w:val="00150786"/>
    <w:rsid w:val="00152785"/>
    <w:rsid w:val="001716C3"/>
    <w:rsid w:val="00183280"/>
    <w:rsid w:val="001952F5"/>
    <w:rsid w:val="0019723C"/>
    <w:rsid w:val="0019783C"/>
    <w:rsid w:val="001A0F04"/>
    <w:rsid w:val="001A4153"/>
    <w:rsid w:val="001B139D"/>
    <w:rsid w:val="001B7125"/>
    <w:rsid w:val="001C2E9D"/>
    <w:rsid w:val="001E09EB"/>
    <w:rsid w:val="001E2FFA"/>
    <w:rsid w:val="001F105A"/>
    <w:rsid w:val="001F2800"/>
    <w:rsid w:val="001F46EC"/>
    <w:rsid w:val="001F6F54"/>
    <w:rsid w:val="00214BF9"/>
    <w:rsid w:val="00217AC5"/>
    <w:rsid w:val="0023263B"/>
    <w:rsid w:val="002336B4"/>
    <w:rsid w:val="00260744"/>
    <w:rsid w:val="00261642"/>
    <w:rsid w:val="00267340"/>
    <w:rsid w:val="0027690D"/>
    <w:rsid w:val="00276B77"/>
    <w:rsid w:val="002813CD"/>
    <w:rsid w:val="00286776"/>
    <w:rsid w:val="002916E5"/>
    <w:rsid w:val="002A0F96"/>
    <w:rsid w:val="002A70AA"/>
    <w:rsid w:val="002B1993"/>
    <w:rsid w:val="002C03E8"/>
    <w:rsid w:val="002C0703"/>
    <w:rsid w:val="002C30FD"/>
    <w:rsid w:val="002E6BC3"/>
    <w:rsid w:val="002F4180"/>
    <w:rsid w:val="002F6593"/>
    <w:rsid w:val="00301951"/>
    <w:rsid w:val="003028E4"/>
    <w:rsid w:val="00317E0C"/>
    <w:rsid w:val="003234C7"/>
    <w:rsid w:val="00325021"/>
    <w:rsid w:val="0033147E"/>
    <w:rsid w:val="00332409"/>
    <w:rsid w:val="00333693"/>
    <w:rsid w:val="00335F7E"/>
    <w:rsid w:val="00336BA4"/>
    <w:rsid w:val="00337447"/>
    <w:rsid w:val="00337793"/>
    <w:rsid w:val="00337FDF"/>
    <w:rsid w:val="00345A2B"/>
    <w:rsid w:val="00345CF6"/>
    <w:rsid w:val="00350BC2"/>
    <w:rsid w:val="00363342"/>
    <w:rsid w:val="00363FFD"/>
    <w:rsid w:val="00365596"/>
    <w:rsid w:val="00366952"/>
    <w:rsid w:val="00370797"/>
    <w:rsid w:val="0037302B"/>
    <w:rsid w:val="00374505"/>
    <w:rsid w:val="00375DEB"/>
    <w:rsid w:val="00381079"/>
    <w:rsid w:val="00390DF6"/>
    <w:rsid w:val="003938D8"/>
    <w:rsid w:val="003943F3"/>
    <w:rsid w:val="003A75A2"/>
    <w:rsid w:val="003B4403"/>
    <w:rsid w:val="003B4D0B"/>
    <w:rsid w:val="003C00B9"/>
    <w:rsid w:val="003D11E3"/>
    <w:rsid w:val="003D7172"/>
    <w:rsid w:val="003E2779"/>
    <w:rsid w:val="003E48D7"/>
    <w:rsid w:val="003F1B35"/>
    <w:rsid w:val="003F3B15"/>
    <w:rsid w:val="00412E30"/>
    <w:rsid w:val="00414AD2"/>
    <w:rsid w:val="004168F3"/>
    <w:rsid w:val="0042156A"/>
    <w:rsid w:val="00431462"/>
    <w:rsid w:val="00433512"/>
    <w:rsid w:val="00441F38"/>
    <w:rsid w:val="00444FFE"/>
    <w:rsid w:val="00450E60"/>
    <w:rsid w:val="00461A7A"/>
    <w:rsid w:val="004642C5"/>
    <w:rsid w:val="00466C99"/>
    <w:rsid w:val="00472195"/>
    <w:rsid w:val="00474358"/>
    <w:rsid w:val="004768BE"/>
    <w:rsid w:val="00477C84"/>
    <w:rsid w:val="00487021"/>
    <w:rsid w:val="00487EBC"/>
    <w:rsid w:val="00492C80"/>
    <w:rsid w:val="00496D0D"/>
    <w:rsid w:val="004A1452"/>
    <w:rsid w:val="004A4386"/>
    <w:rsid w:val="004B2402"/>
    <w:rsid w:val="004B2C94"/>
    <w:rsid w:val="004B3C57"/>
    <w:rsid w:val="004B4161"/>
    <w:rsid w:val="004B7361"/>
    <w:rsid w:val="004C106C"/>
    <w:rsid w:val="004C16AB"/>
    <w:rsid w:val="004C1A6F"/>
    <w:rsid w:val="004D0D5A"/>
    <w:rsid w:val="004D6777"/>
    <w:rsid w:val="004D75ED"/>
    <w:rsid w:val="004E6018"/>
    <w:rsid w:val="004E61E2"/>
    <w:rsid w:val="004E798F"/>
    <w:rsid w:val="004F211B"/>
    <w:rsid w:val="004F41B5"/>
    <w:rsid w:val="00501EE8"/>
    <w:rsid w:val="00505B14"/>
    <w:rsid w:val="00506113"/>
    <w:rsid w:val="0052485A"/>
    <w:rsid w:val="00525B88"/>
    <w:rsid w:val="0053400B"/>
    <w:rsid w:val="00536CCD"/>
    <w:rsid w:val="00542533"/>
    <w:rsid w:val="00545E39"/>
    <w:rsid w:val="005552F7"/>
    <w:rsid w:val="00555349"/>
    <w:rsid w:val="00565603"/>
    <w:rsid w:val="0056586A"/>
    <w:rsid w:val="00572C8D"/>
    <w:rsid w:val="005740E0"/>
    <w:rsid w:val="00574DE5"/>
    <w:rsid w:val="00584982"/>
    <w:rsid w:val="005869A1"/>
    <w:rsid w:val="00594648"/>
    <w:rsid w:val="00595603"/>
    <w:rsid w:val="005A55D5"/>
    <w:rsid w:val="005B2F1F"/>
    <w:rsid w:val="005B5F13"/>
    <w:rsid w:val="005C1E81"/>
    <w:rsid w:val="005C672C"/>
    <w:rsid w:val="005C6ED8"/>
    <w:rsid w:val="005D1B58"/>
    <w:rsid w:val="005D5292"/>
    <w:rsid w:val="005D64F2"/>
    <w:rsid w:val="005E19D8"/>
    <w:rsid w:val="005F3650"/>
    <w:rsid w:val="00602BCF"/>
    <w:rsid w:val="00613886"/>
    <w:rsid w:val="00613E9C"/>
    <w:rsid w:val="00622A7F"/>
    <w:rsid w:val="006329D1"/>
    <w:rsid w:val="0065335F"/>
    <w:rsid w:val="0065348E"/>
    <w:rsid w:val="0066163F"/>
    <w:rsid w:val="00670DF9"/>
    <w:rsid w:val="00672479"/>
    <w:rsid w:val="00672B8B"/>
    <w:rsid w:val="00672CB6"/>
    <w:rsid w:val="0067488F"/>
    <w:rsid w:val="00676E8D"/>
    <w:rsid w:val="00677B40"/>
    <w:rsid w:val="0068671E"/>
    <w:rsid w:val="00686A92"/>
    <w:rsid w:val="00686ECE"/>
    <w:rsid w:val="0069536B"/>
    <w:rsid w:val="006A429F"/>
    <w:rsid w:val="006A4448"/>
    <w:rsid w:val="006A77EA"/>
    <w:rsid w:val="006B34A9"/>
    <w:rsid w:val="006B4A59"/>
    <w:rsid w:val="006B6EAE"/>
    <w:rsid w:val="006B705B"/>
    <w:rsid w:val="006C6625"/>
    <w:rsid w:val="006D11F4"/>
    <w:rsid w:val="006D7773"/>
    <w:rsid w:val="006E186F"/>
    <w:rsid w:val="006F1B0F"/>
    <w:rsid w:val="00704323"/>
    <w:rsid w:val="00711412"/>
    <w:rsid w:val="00715FBC"/>
    <w:rsid w:val="0071716E"/>
    <w:rsid w:val="00717E01"/>
    <w:rsid w:val="007204B7"/>
    <w:rsid w:val="00721365"/>
    <w:rsid w:val="007279C8"/>
    <w:rsid w:val="00732056"/>
    <w:rsid w:val="007443B1"/>
    <w:rsid w:val="007446F6"/>
    <w:rsid w:val="007504F2"/>
    <w:rsid w:val="00753341"/>
    <w:rsid w:val="00754566"/>
    <w:rsid w:val="0076098F"/>
    <w:rsid w:val="007722A4"/>
    <w:rsid w:val="007736A6"/>
    <w:rsid w:val="007762FB"/>
    <w:rsid w:val="00777539"/>
    <w:rsid w:val="00794EF9"/>
    <w:rsid w:val="007A1788"/>
    <w:rsid w:val="007A3735"/>
    <w:rsid w:val="007A3DB0"/>
    <w:rsid w:val="007B1118"/>
    <w:rsid w:val="007B2ED5"/>
    <w:rsid w:val="007C1DE0"/>
    <w:rsid w:val="007C2310"/>
    <w:rsid w:val="007C2611"/>
    <w:rsid w:val="007D1181"/>
    <w:rsid w:val="007D1363"/>
    <w:rsid w:val="007D6CE9"/>
    <w:rsid w:val="007E0D54"/>
    <w:rsid w:val="007E56DB"/>
    <w:rsid w:val="007E73E9"/>
    <w:rsid w:val="007F072D"/>
    <w:rsid w:val="008048CA"/>
    <w:rsid w:val="00812E8F"/>
    <w:rsid w:val="00831F54"/>
    <w:rsid w:val="0083421A"/>
    <w:rsid w:val="00837272"/>
    <w:rsid w:val="0085393D"/>
    <w:rsid w:val="008675E9"/>
    <w:rsid w:val="00874FB5"/>
    <w:rsid w:val="00876447"/>
    <w:rsid w:val="008806F3"/>
    <w:rsid w:val="00881514"/>
    <w:rsid w:val="00891F77"/>
    <w:rsid w:val="00895D0A"/>
    <w:rsid w:val="008B1AAF"/>
    <w:rsid w:val="008B4A75"/>
    <w:rsid w:val="008C372E"/>
    <w:rsid w:val="008D0DAC"/>
    <w:rsid w:val="008D3ABB"/>
    <w:rsid w:val="008E0655"/>
    <w:rsid w:val="008F36CA"/>
    <w:rsid w:val="008F4535"/>
    <w:rsid w:val="00901C32"/>
    <w:rsid w:val="00914229"/>
    <w:rsid w:val="00914885"/>
    <w:rsid w:val="009179DF"/>
    <w:rsid w:val="00927021"/>
    <w:rsid w:val="009313A6"/>
    <w:rsid w:val="009315D7"/>
    <w:rsid w:val="00932FDB"/>
    <w:rsid w:val="00933A92"/>
    <w:rsid w:val="0093504F"/>
    <w:rsid w:val="009458DD"/>
    <w:rsid w:val="00965236"/>
    <w:rsid w:val="00967415"/>
    <w:rsid w:val="009713AD"/>
    <w:rsid w:val="00973B5B"/>
    <w:rsid w:val="009747C5"/>
    <w:rsid w:val="00974F0F"/>
    <w:rsid w:val="00984440"/>
    <w:rsid w:val="0098664E"/>
    <w:rsid w:val="00993225"/>
    <w:rsid w:val="009A5064"/>
    <w:rsid w:val="009B2C8C"/>
    <w:rsid w:val="009B6414"/>
    <w:rsid w:val="009C2E4F"/>
    <w:rsid w:val="009C4E8B"/>
    <w:rsid w:val="009E7744"/>
    <w:rsid w:val="009F7454"/>
    <w:rsid w:val="00A01881"/>
    <w:rsid w:val="00A01C9D"/>
    <w:rsid w:val="00A15DF4"/>
    <w:rsid w:val="00A311BA"/>
    <w:rsid w:val="00A362D5"/>
    <w:rsid w:val="00A36ED5"/>
    <w:rsid w:val="00A44A6E"/>
    <w:rsid w:val="00A54337"/>
    <w:rsid w:val="00A54641"/>
    <w:rsid w:val="00A6342A"/>
    <w:rsid w:val="00A65C9E"/>
    <w:rsid w:val="00A73E10"/>
    <w:rsid w:val="00A85825"/>
    <w:rsid w:val="00A85ADF"/>
    <w:rsid w:val="00A96FAC"/>
    <w:rsid w:val="00AA0A19"/>
    <w:rsid w:val="00AA29A5"/>
    <w:rsid w:val="00AA410C"/>
    <w:rsid w:val="00AA7445"/>
    <w:rsid w:val="00AB05FA"/>
    <w:rsid w:val="00AB17BF"/>
    <w:rsid w:val="00AC05ED"/>
    <w:rsid w:val="00AC364B"/>
    <w:rsid w:val="00AC661D"/>
    <w:rsid w:val="00AD77BD"/>
    <w:rsid w:val="00AE1674"/>
    <w:rsid w:val="00AE606E"/>
    <w:rsid w:val="00AE66E3"/>
    <w:rsid w:val="00AF64FB"/>
    <w:rsid w:val="00B06FBB"/>
    <w:rsid w:val="00B1140B"/>
    <w:rsid w:val="00B21078"/>
    <w:rsid w:val="00B418E0"/>
    <w:rsid w:val="00B42D32"/>
    <w:rsid w:val="00B432B6"/>
    <w:rsid w:val="00B50831"/>
    <w:rsid w:val="00B50D89"/>
    <w:rsid w:val="00B52FDB"/>
    <w:rsid w:val="00B56B93"/>
    <w:rsid w:val="00B7694C"/>
    <w:rsid w:val="00B829F2"/>
    <w:rsid w:val="00B90635"/>
    <w:rsid w:val="00B95021"/>
    <w:rsid w:val="00B95FA2"/>
    <w:rsid w:val="00B96DFD"/>
    <w:rsid w:val="00BA4515"/>
    <w:rsid w:val="00BA4FA5"/>
    <w:rsid w:val="00BB7265"/>
    <w:rsid w:val="00BD1DFE"/>
    <w:rsid w:val="00BD3238"/>
    <w:rsid w:val="00BD695F"/>
    <w:rsid w:val="00BE045F"/>
    <w:rsid w:val="00BE136D"/>
    <w:rsid w:val="00BE7FE3"/>
    <w:rsid w:val="00BF094C"/>
    <w:rsid w:val="00BF6DA1"/>
    <w:rsid w:val="00C036AB"/>
    <w:rsid w:val="00C1133F"/>
    <w:rsid w:val="00C12962"/>
    <w:rsid w:val="00C2102C"/>
    <w:rsid w:val="00C31A66"/>
    <w:rsid w:val="00C42A54"/>
    <w:rsid w:val="00C4364A"/>
    <w:rsid w:val="00C43906"/>
    <w:rsid w:val="00C54A06"/>
    <w:rsid w:val="00C5626D"/>
    <w:rsid w:val="00C65CBC"/>
    <w:rsid w:val="00C726A9"/>
    <w:rsid w:val="00C745AF"/>
    <w:rsid w:val="00C74D8E"/>
    <w:rsid w:val="00C7506B"/>
    <w:rsid w:val="00C86E38"/>
    <w:rsid w:val="00C86F47"/>
    <w:rsid w:val="00C934E4"/>
    <w:rsid w:val="00CA020A"/>
    <w:rsid w:val="00CA3BD6"/>
    <w:rsid w:val="00CB0577"/>
    <w:rsid w:val="00CB4B38"/>
    <w:rsid w:val="00CC549E"/>
    <w:rsid w:val="00CC7408"/>
    <w:rsid w:val="00CD12D9"/>
    <w:rsid w:val="00CE0686"/>
    <w:rsid w:val="00CF6666"/>
    <w:rsid w:val="00D0047D"/>
    <w:rsid w:val="00D13071"/>
    <w:rsid w:val="00D13440"/>
    <w:rsid w:val="00D13C48"/>
    <w:rsid w:val="00D13C8C"/>
    <w:rsid w:val="00D17517"/>
    <w:rsid w:val="00D208D6"/>
    <w:rsid w:val="00D21251"/>
    <w:rsid w:val="00D215C2"/>
    <w:rsid w:val="00D22C21"/>
    <w:rsid w:val="00D3370F"/>
    <w:rsid w:val="00D43FC2"/>
    <w:rsid w:val="00D470C5"/>
    <w:rsid w:val="00D5288E"/>
    <w:rsid w:val="00D57D9C"/>
    <w:rsid w:val="00D6306E"/>
    <w:rsid w:val="00D64E1B"/>
    <w:rsid w:val="00D71BD7"/>
    <w:rsid w:val="00D80181"/>
    <w:rsid w:val="00D804C0"/>
    <w:rsid w:val="00D809F6"/>
    <w:rsid w:val="00D81A28"/>
    <w:rsid w:val="00D8288D"/>
    <w:rsid w:val="00D93C0A"/>
    <w:rsid w:val="00D9734B"/>
    <w:rsid w:val="00DA26CA"/>
    <w:rsid w:val="00DA33E1"/>
    <w:rsid w:val="00DA50BB"/>
    <w:rsid w:val="00DA7F85"/>
    <w:rsid w:val="00DB0BF8"/>
    <w:rsid w:val="00DB70FE"/>
    <w:rsid w:val="00DC1E2D"/>
    <w:rsid w:val="00DC5A3A"/>
    <w:rsid w:val="00DD35B5"/>
    <w:rsid w:val="00DE12CB"/>
    <w:rsid w:val="00DE72E8"/>
    <w:rsid w:val="00DE7539"/>
    <w:rsid w:val="00DF4923"/>
    <w:rsid w:val="00DF55B3"/>
    <w:rsid w:val="00DF5D71"/>
    <w:rsid w:val="00DF734E"/>
    <w:rsid w:val="00E02E26"/>
    <w:rsid w:val="00E153F9"/>
    <w:rsid w:val="00E2541E"/>
    <w:rsid w:val="00E25997"/>
    <w:rsid w:val="00E305BF"/>
    <w:rsid w:val="00E37748"/>
    <w:rsid w:val="00E44A9B"/>
    <w:rsid w:val="00E46122"/>
    <w:rsid w:val="00E568C2"/>
    <w:rsid w:val="00E57D86"/>
    <w:rsid w:val="00E618C4"/>
    <w:rsid w:val="00E7256C"/>
    <w:rsid w:val="00E758DF"/>
    <w:rsid w:val="00E81712"/>
    <w:rsid w:val="00E962E6"/>
    <w:rsid w:val="00EA0C9C"/>
    <w:rsid w:val="00EA2A86"/>
    <w:rsid w:val="00EA2B4C"/>
    <w:rsid w:val="00EA597C"/>
    <w:rsid w:val="00EA705B"/>
    <w:rsid w:val="00EB3C11"/>
    <w:rsid w:val="00EB5833"/>
    <w:rsid w:val="00EB6E0A"/>
    <w:rsid w:val="00EC3A59"/>
    <w:rsid w:val="00EC7D1A"/>
    <w:rsid w:val="00EC7D76"/>
    <w:rsid w:val="00ED1EAB"/>
    <w:rsid w:val="00ED4AA8"/>
    <w:rsid w:val="00F01554"/>
    <w:rsid w:val="00F04CBC"/>
    <w:rsid w:val="00F11167"/>
    <w:rsid w:val="00F205AC"/>
    <w:rsid w:val="00F40F30"/>
    <w:rsid w:val="00F514FF"/>
    <w:rsid w:val="00F6421D"/>
    <w:rsid w:val="00F74176"/>
    <w:rsid w:val="00F766BD"/>
    <w:rsid w:val="00F839D1"/>
    <w:rsid w:val="00F9644D"/>
    <w:rsid w:val="00F97D62"/>
    <w:rsid w:val="00FA7FAF"/>
    <w:rsid w:val="00FB0F89"/>
    <w:rsid w:val="00FB1AE2"/>
    <w:rsid w:val="00FC2BC1"/>
    <w:rsid w:val="00FC599C"/>
    <w:rsid w:val="00FF207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42"/>
    <w:rPr>
      <w:rFonts w:ascii="Times New Roman" w:hAnsi="Times New Roman"/>
      <w:sz w:val="24"/>
    </w:rPr>
  </w:style>
  <w:style w:type="paragraph" w:styleId="Heading1">
    <w:name w:val="heading 1"/>
    <w:basedOn w:val="Normal"/>
    <w:link w:val="Heading1Char"/>
    <w:uiPriority w:val="9"/>
    <w:qFormat/>
    <w:rsid w:val="00E962E6"/>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46EC"/>
    <w:pPr>
      <w:spacing w:after="0" w:line="240" w:lineRule="auto"/>
    </w:pPr>
    <w:rPr>
      <w:rFonts w:ascii="Times New Roman" w:hAnsi="Times New Roman"/>
      <w:sz w:val="24"/>
    </w:rPr>
  </w:style>
  <w:style w:type="paragraph" w:styleId="Header">
    <w:name w:val="header"/>
    <w:basedOn w:val="Normal"/>
    <w:link w:val="HeaderChar"/>
    <w:uiPriority w:val="99"/>
    <w:unhideWhenUsed/>
    <w:rsid w:val="00492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2C80"/>
    <w:rPr>
      <w:rFonts w:ascii="Times New Roman" w:hAnsi="Times New Roman"/>
      <w:sz w:val="24"/>
    </w:rPr>
  </w:style>
  <w:style w:type="paragraph" w:styleId="Footer">
    <w:name w:val="footer"/>
    <w:basedOn w:val="Normal"/>
    <w:link w:val="FooterChar"/>
    <w:unhideWhenUsed/>
    <w:rsid w:val="00492C80"/>
    <w:pPr>
      <w:tabs>
        <w:tab w:val="center" w:pos="4153"/>
        <w:tab w:val="right" w:pos="8306"/>
      </w:tabs>
      <w:spacing w:after="0" w:line="240" w:lineRule="auto"/>
    </w:pPr>
  </w:style>
  <w:style w:type="character" w:customStyle="1" w:styleId="FooterChar">
    <w:name w:val="Footer Char"/>
    <w:basedOn w:val="DefaultParagraphFont"/>
    <w:link w:val="Footer"/>
    <w:rsid w:val="00492C80"/>
    <w:rPr>
      <w:rFonts w:ascii="Times New Roman" w:hAnsi="Times New Roman"/>
      <w:sz w:val="24"/>
    </w:rPr>
  </w:style>
  <w:style w:type="character" w:styleId="PageNumber">
    <w:name w:val="page number"/>
    <w:basedOn w:val="DefaultParagraphFont"/>
    <w:rsid w:val="00492C80"/>
  </w:style>
  <w:style w:type="paragraph" w:styleId="BodyText2">
    <w:name w:val="Body Text 2"/>
    <w:basedOn w:val="Normal"/>
    <w:link w:val="BodyText2Char"/>
    <w:rsid w:val="00414AD2"/>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414AD2"/>
    <w:rPr>
      <w:rFonts w:ascii="Garamond" w:eastAsia="Times New Roman" w:hAnsi="Garamond" w:cs="Times New Roman"/>
      <w:sz w:val="28"/>
      <w:szCs w:val="28"/>
    </w:rPr>
  </w:style>
  <w:style w:type="paragraph" w:styleId="BalloonText">
    <w:name w:val="Balloon Text"/>
    <w:basedOn w:val="Normal"/>
    <w:link w:val="BalloonTextChar"/>
    <w:uiPriority w:val="99"/>
    <w:semiHidden/>
    <w:unhideWhenUsed/>
    <w:rsid w:val="00DC5A3A"/>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DC5A3A"/>
    <w:rPr>
      <w:rFonts w:ascii="Lucida Grande CE" w:hAnsi="Lucida Grande CE" w:cs="Lucida Grande CE"/>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semiHidden/>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semiHidden/>
    <w:rsid w:val="00C750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rFonts w:ascii="Times New Roman" w:hAnsi="Times New Roman"/>
      <w:b/>
      <w:bCs/>
      <w:sz w:val="20"/>
      <w:szCs w:val="20"/>
    </w:rPr>
  </w:style>
  <w:style w:type="paragraph" w:customStyle="1" w:styleId="Char">
    <w:name w:val="Char"/>
    <w:basedOn w:val="Normal"/>
    <w:rsid w:val="00E37748"/>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2336B4"/>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2336B4"/>
    <w:rPr>
      <w:color w:val="0000FF"/>
      <w:u w:val="single"/>
    </w:rPr>
  </w:style>
  <w:style w:type="paragraph" w:customStyle="1" w:styleId="tv213">
    <w:name w:val="tv213"/>
    <w:basedOn w:val="Normal"/>
    <w:rsid w:val="0071716E"/>
    <w:pPr>
      <w:spacing w:before="100" w:beforeAutospacing="1" w:after="100" w:afterAutospacing="1" w:line="240" w:lineRule="auto"/>
    </w:pPr>
    <w:rPr>
      <w:rFonts w:eastAsia="Times New Roman" w:cs="Times New Roman"/>
      <w:szCs w:val="24"/>
      <w:lang w:eastAsia="lv-LV"/>
    </w:rPr>
  </w:style>
  <w:style w:type="paragraph" w:customStyle="1" w:styleId="labojumupamats">
    <w:name w:val="labojumu_pamats"/>
    <w:basedOn w:val="Normal"/>
    <w:rsid w:val="0071716E"/>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E962E6"/>
    <w:rPr>
      <w:i/>
      <w:iCs/>
    </w:rPr>
  </w:style>
  <w:style w:type="character" w:customStyle="1" w:styleId="Heading1Char">
    <w:name w:val="Heading 1 Char"/>
    <w:basedOn w:val="DefaultParagraphFont"/>
    <w:link w:val="Heading1"/>
    <w:uiPriority w:val="9"/>
    <w:rsid w:val="00E962E6"/>
    <w:rPr>
      <w:rFonts w:ascii="Times New Roman" w:eastAsia="Times New Roman" w:hAnsi="Times New Roman" w:cs="Times New Roman"/>
      <w:b/>
      <w:bCs/>
      <w:kern w:val="36"/>
      <w:sz w:val="48"/>
      <w:szCs w:val="48"/>
      <w:lang w:eastAsia="lv-LV"/>
    </w:rPr>
  </w:style>
  <w:style w:type="character" w:styleId="UnresolvedMention">
    <w:name w:val="Unresolved Mention"/>
    <w:basedOn w:val="DefaultParagraphFont"/>
    <w:uiPriority w:val="99"/>
    <w:semiHidden/>
    <w:unhideWhenUsed/>
    <w:rsid w:val="003F3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5244">
      <w:bodyDiv w:val="1"/>
      <w:marLeft w:val="0"/>
      <w:marRight w:val="0"/>
      <w:marTop w:val="0"/>
      <w:marBottom w:val="0"/>
      <w:divBdr>
        <w:top w:val="none" w:sz="0" w:space="0" w:color="auto"/>
        <w:left w:val="none" w:sz="0" w:space="0" w:color="auto"/>
        <w:bottom w:val="none" w:sz="0" w:space="0" w:color="auto"/>
        <w:right w:val="none" w:sz="0" w:space="0" w:color="auto"/>
      </w:divBdr>
    </w:div>
    <w:div w:id="211499255">
      <w:bodyDiv w:val="1"/>
      <w:marLeft w:val="0"/>
      <w:marRight w:val="0"/>
      <w:marTop w:val="0"/>
      <w:marBottom w:val="0"/>
      <w:divBdr>
        <w:top w:val="none" w:sz="0" w:space="0" w:color="auto"/>
        <w:left w:val="none" w:sz="0" w:space="0" w:color="auto"/>
        <w:bottom w:val="none" w:sz="0" w:space="0" w:color="auto"/>
        <w:right w:val="none" w:sz="0" w:space="0" w:color="auto"/>
      </w:divBdr>
    </w:div>
    <w:div w:id="534394903">
      <w:bodyDiv w:val="1"/>
      <w:marLeft w:val="0"/>
      <w:marRight w:val="0"/>
      <w:marTop w:val="0"/>
      <w:marBottom w:val="0"/>
      <w:divBdr>
        <w:top w:val="none" w:sz="0" w:space="0" w:color="auto"/>
        <w:left w:val="none" w:sz="0" w:space="0" w:color="auto"/>
        <w:bottom w:val="none" w:sz="0" w:space="0" w:color="auto"/>
        <w:right w:val="none" w:sz="0" w:space="0" w:color="auto"/>
      </w:divBdr>
      <w:divsChild>
        <w:div w:id="813134547">
          <w:marLeft w:val="0"/>
          <w:marRight w:val="0"/>
          <w:marTop w:val="0"/>
          <w:marBottom w:val="0"/>
          <w:divBdr>
            <w:top w:val="none" w:sz="0" w:space="0" w:color="auto"/>
            <w:left w:val="none" w:sz="0" w:space="0" w:color="auto"/>
            <w:bottom w:val="none" w:sz="0" w:space="0" w:color="auto"/>
            <w:right w:val="none" w:sz="0" w:space="0" w:color="auto"/>
          </w:divBdr>
        </w:div>
        <w:div w:id="659164649">
          <w:marLeft w:val="0"/>
          <w:marRight w:val="0"/>
          <w:marTop w:val="0"/>
          <w:marBottom w:val="0"/>
          <w:divBdr>
            <w:top w:val="none" w:sz="0" w:space="0" w:color="auto"/>
            <w:left w:val="none" w:sz="0" w:space="0" w:color="auto"/>
            <w:bottom w:val="none" w:sz="0" w:space="0" w:color="auto"/>
            <w:right w:val="none" w:sz="0" w:space="0" w:color="auto"/>
          </w:divBdr>
        </w:div>
      </w:divsChild>
    </w:div>
    <w:div w:id="627442672">
      <w:bodyDiv w:val="1"/>
      <w:marLeft w:val="0"/>
      <w:marRight w:val="0"/>
      <w:marTop w:val="0"/>
      <w:marBottom w:val="0"/>
      <w:divBdr>
        <w:top w:val="none" w:sz="0" w:space="0" w:color="auto"/>
        <w:left w:val="none" w:sz="0" w:space="0" w:color="auto"/>
        <w:bottom w:val="none" w:sz="0" w:space="0" w:color="auto"/>
        <w:right w:val="none" w:sz="0" w:space="0" w:color="auto"/>
      </w:divBdr>
    </w:div>
    <w:div w:id="644045423">
      <w:bodyDiv w:val="1"/>
      <w:marLeft w:val="0"/>
      <w:marRight w:val="0"/>
      <w:marTop w:val="0"/>
      <w:marBottom w:val="0"/>
      <w:divBdr>
        <w:top w:val="none" w:sz="0" w:space="0" w:color="auto"/>
        <w:left w:val="none" w:sz="0" w:space="0" w:color="auto"/>
        <w:bottom w:val="none" w:sz="0" w:space="0" w:color="auto"/>
        <w:right w:val="none" w:sz="0" w:space="0" w:color="auto"/>
      </w:divBdr>
    </w:div>
    <w:div w:id="16221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417.A420319215.1.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4EA3-3547-46A1-AEB6-429F7A43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7149</Words>
  <Characters>4076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2019-04-26T10:02:00Z</dcterms:created>
  <dcterms:modified xsi:type="dcterms:W3CDTF">2019-04-26T10:05:00Z</dcterms:modified>
</cp:coreProperties>
</file>