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892" w:rsidRPr="00B52892" w:rsidRDefault="00B52892" w:rsidP="00F15C59">
      <w:pPr>
        <w:pStyle w:val="BodyText2"/>
        <w:numPr>
          <w:ilvl w:val="0"/>
          <w:numId w:val="2"/>
        </w:numPr>
        <w:spacing w:line="276" w:lineRule="auto"/>
        <w:ind w:left="0" w:hanging="11"/>
        <w:jc w:val="both"/>
        <w:rPr>
          <w:rFonts w:ascii="Times New Roman" w:hAnsi="Times New Roman"/>
          <w:b/>
          <w:bCs/>
          <w:sz w:val="24"/>
          <w:szCs w:val="24"/>
        </w:rPr>
      </w:pPr>
      <w:bookmarkStart w:id="0" w:name="_GoBack"/>
      <w:bookmarkEnd w:id="0"/>
      <w:r w:rsidRPr="00B52892">
        <w:rPr>
          <w:rFonts w:ascii="Times New Roman" w:hAnsi="Times New Roman"/>
          <w:b/>
          <w:bCs/>
          <w:sz w:val="24"/>
          <w:szCs w:val="24"/>
        </w:rPr>
        <w:t>Kasācijas sūdzības saturs; 2. Tiesas rīcība, saņemot cietušā kaitējuma kompensācijas pieteikumu pēc likumā noteiktā termiņa</w:t>
      </w:r>
    </w:p>
    <w:p w:rsidR="00B52892" w:rsidRDefault="00B52892" w:rsidP="00B52892">
      <w:pPr>
        <w:pStyle w:val="BodyText2"/>
        <w:spacing w:line="276" w:lineRule="auto"/>
        <w:jc w:val="both"/>
        <w:rPr>
          <w:rFonts w:ascii="Times New Roman" w:hAnsi="Times New Roman"/>
          <w:sz w:val="24"/>
          <w:szCs w:val="24"/>
        </w:rPr>
      </w:pPr>
    </w:p>
    <w:p w:rsidR="00044486" w:rsidRPr="00155B5F" w:rsidRDefault="00155B5F" w:rsidP="00B52892">
      <w:pPr>
        <w:pStyle w:val="BodyText2"/>
        <w:numPr>
          <w:ilvl w:val="0"/>
          <w:numId w:val="2"/>
        </w:numPr>
        <w:spacing w:line="276" w:lineRule="auto"/>
        <w:jc w:val="left"/>
        <w:rPr>
          <w:rFonts w:ascii="Times New Roman" w:hAnsi="Times New Roman"/>
          <w:color w:val="FFFFFF"/>
          <w:sz w:val="22"/>
          <w:szCs w:val="24"/>
        </w:rPr>
      </w:pPr>
      <w:r>
        <w:rPr>
          <w:rFonts w:ascii="Times New Roman" w:hAnsi="Times New Roman"/>
          <w:color w:val="FFFFFF"/>
          <w:sz w:val="22"/>
          <w:szCs w:val="24"/>
        </w:rPr>
        <w:t xml:space="preserve">              </w:t>
      </w:r>
    </w:p>
    <w:p w:rsidR="001C1E9B" w:rsidRPr="00B52892" w:rsidRDefault="003B4231" w:rsidP="001C1E9B">
      <w:pPr>
        <w:pStyle w:val="BodyText2"/>
        <w:spacing w:line="276" w:lineRule="auto"/>
        <w:jc w:val="center"/>
        <w:rPr>
          <w:rFonts w:ascii="Times New Roman" w:hAnsi="Times New Roman"/>
          <w:b/>
          <w:sz w:val="24"/>
          <w:szCs w:val="24"/>
        </w:rPr>
      </w:pPr>
      <w:r w:rsidRPr="00B52892">
        <w:rPr>
          <w:rFonts w:ascii="Times New Roman" w:hAnsi="Times New Roman"/>
          <w:b/>
          <w:sz w:val="24"/>
          <w:szCs w:val="24"/>
        </w:rPr>
        <w:t xml:space="preserve">Latvijas Republikas </w:t>
      </w:r>
      <w:r w:rsidR="00C41674" w:rsidRPr="00B52892">
        <w:rPr>
          <w:rFonts w:ascii="Times New Roman" w:hAnsi="Times New Roman"/>
          <w:b/>
          <w:sz w:val="24"/>
          <w:szCs w:val="24"/>
        </w:rPr>
        <w:t>Senāt</w:t>
      </w:r>
      <w:r w:rsidR="001C1E9B" w:rsidRPr="00B52892">
        <w:rPr>
          <w:rFonts w:ascii="Times New Roman" w:hAnsi="Times New Roman"/>
          <w:b/>
          <w:sz w:val="24"/>
          <w:szCs w:val="24"/>
        </w:rPr>
        <w:t>a</w:t>
      </w:r>
    </w:p>
    <w:p w:rsidR="001C1E9B" w:rsidRPr="00B52892" w:rsidRDefault="001C1E9B" w:rsidP="001C1E9B">
      <w:pPr>
        <w:pStyle w:val="BodyText2"/>
        <w:spacing w:line="276" w:lineRule="auto"/>
        <w:jc w:val="center"/>
        <w:rPr>
          <w:rFonts w:ascii="Times New Roman" w:hAnsi="Times New Roman"/>
          <w:b/>
          <w:color w:val="FFFFFF"/>
          <w:sz w:val="24"/>
          <w:szCs w:val="24"/>
        </w:rPr>
      </w:pPr>
      <w:r w:rsidRPr="00B52892">
        <w:rPr>
          <w:rFonts w:ascii="Times New Roman" w:hAnsi="Times New Roman"/>
          <w:b/>
          <w:sz w:val="24"/>
          <w:szCs w:val="24"/>
        </w:rPr>
        <w:t>Krimināllietu departament</w:t>
      </w:r>
      <w:r w:rsidR="0020425D">
        <w:rPr>
          <w:rFonts w:ascii="Times New Roman" w:hAnsi="Times New Roman"/>
          <w:b/>
          <w:sz w:val="24"/>
          <w:szCs w:val="24"/>
        </w:rPr>
        <w:t>a</w:t>
      </w:r>
    </w:p>
    <w:p w:rsidR="003B4231" w:rsidRPr="00B52892" w:rsidRDefault="001C1E9B" w:rsidP="001C1E9B">
      <w:pPr>
        <w:spacing w:line="276" w:lineRule="auto"/>
        <w:jc w:val="center"/>
        <w:rPr>
          <w:b/>
        </w:rPr>
      </w:pPr>
      <w:r w:rsidRPr="00B52892">
        <w:rPr>
          <w:b/>
        </w:rPr>
        <w:t xml:space="preserve">2019.gada </w:t>
      </w:r>
      <w:r w:rsidR="00B52892">
        <w:rPr>
          <w:b/>
        </w:rPr>
        <w:t>[..]</w:t>
      </w:r>
    </w:p>
    <w:p w:rsidR="001C1E9B" w:rsidRPr="00B52892" w:rsidRDefault="003B4231" w:rsidP="001C1E9B">
      <w:pPr>
        <w:spacing w:line="276" w:lineRule="auto"/>
        <w:jc w:val="center"/>
        <w:rPr>
          <w:b/>
        </w:rPr>
      </w:pPr>
      <w:r w:rsidRPr="00B52892">
        <w:rPr>
          <w:b/>
        </w:rPr>
        <w:t>LĒMUMS</w:t>
      </w:r>
      <w:r w:rsidR="00B52892">
        <w:rPr>
          <w:rStyle w:val="FootnoteReference"/>
          <w:b/>
        </w:rPr>
        <w:footnoteReference w:id="1"/>
      </w:r>
    </w:p>
    <w:p w:rsidR="001C1E9B" w:rsidRPr="00B52892" w:rsidRDefault="001C1E9B" w:rsidP="001C1E9B">
      <w:pPr>
        <w:spacing w:line="276" w:lineRule="auto"/>
        <w:jc w:val="center"/>
        <w:rPr>
          <w:b/>
        </w:rPr>
      </w:pPr>
      <w:r w:rsidRPr="00B52892">
        <w:rPr>
          <w:b/>
        </w:rPr>
        <w:t xml:space="preserve">Lieta Nr. </w:t>
      </w:r>
      <w:r w:rsidR="00B52892">
        <w:rPr>
          <w:b/>
        </w:rPr>
        <w:t>[..]</w:t>
      </w:r>
      <w:r w:rsidRPr="00B52892">
        <w:rPr>
          <w:b/>
        </w:rPr>
        <w:t>, SKK-</w:t>
      </w:r>
      <w:r w:rsidR="00B52892">
        <w:rPr>
          <w:b/>
        </w:rPr>
        <w:t>[D]</w:t>
      </w:r>
      <w:r w:rsidRPr="00B52892">
        <w:rPr>
          <w:b/>
        </w:rPr>
        <w:t>/2019</w:t>
      </w:r>
    </w:p>
    <w:p w:rsidR="00B52892" w:rsidRPr="00B52892" w:rsidRDefault="00B52892" w:rsidP="00B52892">
      <w:pPr>
        <w:spacing w:line="276" w:lineRule="auto"/>
        <w:jc w:val="center"/>
        <w:rPr>
          <w:bCs/>
          <w:color w:val="000000"/>
          <w:shd w:val="clear" w:color="auto" w:fill="FFFFFF"/>
        </w:rPr>
      </w:pPr>
      <w:r w:rsidRPr="00B52892">
        <w:rPr>
          <w:bCs/>
          <w:color w:val="000000"/>
          <w:shd w:val="clear" w:color="auto" w:fill="FFFFFF"/>
        </w:rPr>
        <w:t>ECLI:LV:AT:2019:</w:t>
      </w:r>
      <w:r>
        <w:rPr>
          <w:bCs/>
          <w:color w:val="000000"/>
          <w:shd w:val="clear" w:color="auto" w:fill="FFFFFF"/>
        </w:rPr>
        <w:t>[..]</w:t>
      </w:r>
    </w:p>
    <w:p w:rsidR="001C1E9B" w:rsidRDefault="001C1E9B" w:rsidP="00CE14CB">
      <w:pPr>
        <w:spacing w:line="276" w:lineRule="auto"/>
        <w:jc w:val="center"/>
        <w:rPr>
          <w:b/>
        </w:rPr>
      </w:pPr>
    </w:p>
    <w:p w:rsidR="006A1B70" w:rsidRDefault="006A1B70" w:rsidP="003B4231">
      <w:pPr>
        <w:spacing w:line="276" w:lineRule="auto"/>
      </w:pPr>
    </w:p>
    <w:p w:rsidR="00CE14CB" w:rsidRDefault="00C41674" w:rsidP="00C41674">
      <w:pPr>
        <w:spacing w:line="276" w:lineRule="auto"/>
        <w:ind w:firstLine="720"/>
        <w:jc w:val="both"/>
      </w:pPr>
      <w:r>
        <w:t xml:space="preserve">Tiesa šādā sastāvā: senatori </w:t>
      </w:r>
      <w:r w:rsidR="003B4231">
        <w:t>Pēteris Opincāns,</w:t>
      </w:r>
      <w:r w:rsidR="001C0FF0">
        <w:t xml:space="preserve"> </w:t>
      </w:r>
      <w:r w:rsidR="007B1CD5">
        <w:t xml:space="preserve">Anita Nusberga, </w:t>
      </w:r>
      <w:r w:rsidR="00697C7B">
        <w:t>Anita Poļakova</w:t>
      </w:r>
      <w:r w:rsidR="001B155E" w:rsidRPr="001B155E">
        <w:tab/>
      </w:r>
    </w:p>
    <w:p w:rsidR="00F81CBD" w:rsidRDefault="00CE14CB" w:rsidP="00F81CBD">
      <w:pPr>
        <w:tabs>
          <w:tab w:val="left" w:pos="567"/>
        </w:tabs>
        <w:spacing w:line="276" w:lineRule="auto"/>
        <w:jc w:val="both"/>
      </w:pPr>
      <w:r>
        <w:tab/>
      </w:r>
    </w:p>
    <w:p w:rsidR="003B4231" w:rsidRDefault="00C41674" w:rsidP="001C6720">
      <w:pPr>
        <w:tabs>
          <w:tab w:val="left" w:pos="567"/>
        </w:tabs>
        <w:spacing w:line="276" w:lineRule="auto"/>
        <w:jc w:val="both"/>
      </w:pPr>
      <w:r>
        <w:t>i</w:t>
      </w:r>
      <w:r w:rsidR="003B4231">
        <w:t xml:space="preserve">zskatīja rakstveida procesā krimināllietu sakarā ar </w:t>
      </w:r>
      <w:r w:rsidR="005A0483">
        <w:t xml:space="preserve">apsūdzētā </w:t>
      </w:r>
      <w:r w:rsidR="00B52892">
        <w:t>[pers. A]</w:t>
      </w:r>
      <w:r w:rsidR="00A80752">
        <w:t xml:space="preserve"> </w:t>
      </w:r>
      <w:r w:rsidR="00697C7B">
        <w:t>aizstāves Brigitas Miķelsones</w:t>
      </w:r>
      <w:r w:rsidR="00A80752">
        <w:t xml:space="preserve"> kasācijas sūdzību</w:t>
      </w:r>
      <w:r w:rsidR="00E02396">
        <w:t xml:space="preserve"> par </w:t>
      </w:r>
      <w:r w:rsidR="00B52892">
        <w:t>[..]</w:t>
      </w:r>
      <w:r w:rsidR="00697C7B">
        <w:t xml:space="preserve"> apgabaltiesas</w:t>
      </w:r>
      <w:r w:rsidR="00055467">
        <w:t xml:space="preserve"> 2018.</w:t>
      </w:r>
      <w:r w:rsidR="00E34458">
        <w:t xml:space="preserve">gada </w:t>
      </w:r>
      <w:r w:rsidR="00B52892">
        <w:t>[..]</w:t>
      </w:r>
      <w:r w:rsidR="00697C7B">
        <w:t xml:space="preserve"> lēmumu</w:t>
      </w:r>
      <w:r w:rsidR="001B3987">
        <w:t>.</w:t>
      </w:r>
    </w:p>
    <w:p w:rsidR="003B4231" w:rsidRDefault="003B4231" w:rsidP="003B4231">
      <w:pPr>
        <w:pStyle w:val="Heading2"/>
        <w:spacing w:before="0" w:after="0" w:line="276"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3B4231" w:rsidRDefault="003B4231" w:rsidP="003B4231">
      <w:pPr>
        <w:pStyle w:val="Heading2"/>
        <w:spacing w:before="0" w:after="0" w:line="276" w:lineRule="auto"/>
        <w:ind w:left="-360"/>
        <w:jc w:val="center"/>
        <w:rPr>
          <w:rFonts w:ascii="Times New Roman" w:hAnsi="Times New Roman" w:cs="Times New Roman"/>
          <w:i w:val="0"/>
          <w:sz w:val="24"/>
          <w:szCs w:val="24"/>
        </w:rPr>
      </w:pPr>
      <w:r>
        <w:rPr>
          <w:rFonts w:ascii="Times New Roman" w:hAnsi="Times New Roman" w:cs="Times New Roman"/>
          <w:i w:val="0"/>
          <w:sz w:val="24"/>
          <w:szCs w:val="24"/>
        </w:rPr>
        <w:t>Aprakstošā daļa</w:t>
      </w:r>
    </w:p>
    <w:p w:rsidR="003B4231" w:rsidRDefault="003B4231" w:rsidP="003B4231">
      <w:pPr>
        <w:spacing w:line="276" w:lineRule="auto"/>
        <w:jc w:val="both"/>
      </w:pPr>
    </w:p>
    <w:p w:rsidR="009C52AF" w:rsidRDefault="00A67609" w:rsidP="001C6720">
      <w:pPr>
        <w:spacing w:line="276" w:lineRule="auto"/>
        <w:ind w:firstLine="567"/>
        <w:jc w:val="both"/>
        <w:rPr>
          <w:rFonts w:ascii="TimesNewRomanPSMT" w:hAnsi="TimesNewRomanPSMT" w:cs="TimesNewRomanPSMT"/>
          <w:lang w:eastAsia="lv-LV"/>
        </w:rPr>
      </w:pPr>
      <w:r>
        <w:t xml:space="preserve">[1] </w:t>
      </w:r>
      <w:r w:rsidR="00F81CBD">
        <w:rPr>
          <w:rFonts w:ascii="TimesNewRomanPSMT" w:hAnsi="TimesNewRomanPSMT" w:cs="TimesNewRomanPSMT"/>
          <w:lang w:eastAsia="lv-LV"/>
        </w:rPr>
        <w:t xml:space="preserve">Ar </w:t>
      </w:r>
      <w:r w:rsidR="00B52892">
        <w:rPr>
          <w:rFonts w:ascii="TimesNewRomanPSMT" w:hAnsi="TimesNewRomanPSMT" w:cs="TimesNewRomanPSMT"/>
          <w:lang w:eastAsia="lv-LV"/>
        </w:rPr>
        <w:t>[..]</w:t>
      </w:r>
      <w:r w:rsidR="001467CF">
        <w:rPr>
          <w:rFonts w:ascii="TimesNewRomanPSMT" w:hAnsi="TimesNewRomanPSMT" w:cs="TimesNewRomanPSMT"/>
          <w:lang w:eastAsia="lv-LV"/>
        </w:rPr>
        <w:t xml:space="preserve"> rajona tiesas 2018.gada </w:t>
      </w:r>
      <w:r w:rsidR="00B52892">
        <w:rPr>
          <w:rFonts w:ascii="TimesNewRomanPSMT" w:hAnsi="TimesNewRomanPSMT" w:cs="TimesNewRomanPSMT"/>
          <w:lang w:eastAsia="lv-LV"/>
        </w:rPr>
        <w:t>[..]</w:t>
      </w:r>
      <w:r w:rsidR="001467CF">
        <w:rPr>
          <w:rFonts w:ascii="TimesNewRomanPSMT" w:hAnsi="TimesNewRomanPSMT" w:cs="TimesNewRomanPSMT"/>
          <w:lang w:eastAsia="lv-LV"/>
        </w:rPr>
        <w:t xml:space="preserve"> spriedumu</w:t>
      </w:r>
    </w:p>
    <w:p w:rsidR="009C52AF" w:rsidRDefault="00B52892" w:rsidP="001C6720">
      <w:pPr>
        <w:spacing w:line="276" w:lineRule="auto"/>
        <w:ind w:firstLine="567"/>
        <w:jc w:val="both"/>
        <w:rPr>
          <w:rFonts w:ascii="TimesNewRomanPSMT" w:hAnsi="TimesNewRomanPSMT" w:cs="TimesNewRomanPSMT"/>
          <w:lang w:eastAsia="lv-LV"/>
        </w:rPr>
      </w:pPr>
      <w:r>
        <w:rPr>
          <w:rFonts w:ascii="TimesNewRomanPSMT" w:hAnsi="TimesNewRomanPSMT" w:cs="TimesNewRomanPSMT"/>
          <w:lang w:eastAsia="lv-LV"/>
        </w:rPr>
        <w:t>[pers. A]</w:t>
      </w:r>
      <w:r w:rsidR="007E61C9">
        <w:rPr>
          <w:rFonts w:ascii="TimesNewRomanPSMT" w:hAnsi="TimesNewRomanPSMT" w:cs="TimesNewRomanPSMT"/>
          <w:lang w:eastAsia="lv-LV"/>
        </w:rPr>
        <w:t xml:space="preserve">, personas kods </w:t>
      </w:r>
      <w:r>
        <w:rPr>
          <w:rFonts w:ascii="TimesNewRomanPSMT" w:hAnsi="TimesNewRomanPSMT" w:cs="TimesNewRomanPSMT"/>
          <w:lang w:eastAsia="lv-LV"/>
        </w:rPr>
        <w:t>[..]</w:t>
      </w:r>
      <w:r w:rsidR="009C52AF">
        <w:rPr>
          <w:rFonts w:ascii="TimesNewRomanPSMT" w:hAnsi="TimesNewRomanPSMT" w:cs="TimesNewRomanPSMT"/>
          <w:lang w:eastAsia="lv-LV"/>
        </w:rPr>
        <w:t>,</w:t>
      </w:r>
    </w:p>
    <w:p w:rsidR="009E15D2" w:rsidRDefault="00D505EE" w:rsidP="009E15D2">
      <w:pPr>
        <w:spacing w:line="276" w:lineRule="auto"/>
        <w:ind w:firstLine="567"/>
        <w:jc w:val="both"/>
      </w:pPr>
      <w:r>
        <w:t xml:space="preserve">atzīts par </w:t>
      </w:r>
      <w:r w:rsidR="009F766E">
        <w:t>vain</w:t>
      </w:r>
      <w:r w:rsidR="00BE4ED7">
        <w:t xml:space="preserve">īgu </w:t>
      </w:r>
      <w:r w:rsidR="002773EB">
        <w:t xml:space="preserve">Krimināllikuma </w:t>
      </w:r>
      <w:r w:rsidR="001467CF">
        <w:t>160.panta piektajā daļā</w:t>
      </w:r>
      <w:r w:rsidR="007E61C9">
        <w:rPr>
          <w:vertAlign w:val="superscript"/>
        </w:rPr>
        <w:t xml:space="preserve"> </w:t>
      </w:r>
      <w:r w:rsidR="002773EB">
        <w:t xml:space="preserve">paredzētajā noziedzīgajā nodarījumā un </w:t>
      </w:r>
      <w:r>
        <w:t xml:space="preserve">sodīts ar </w:t>
      </w:r>
      <w:r w:rsidR="007E61C9">
        <w:t>brīvības atņemšanu</w:t>
      </w:r>
      <w:r w:rsidR="00CF1B61">
        <w:t xml:space="preserve"> uz 10 gadiem un </w:t>
      </w:r>
      <w:r w:rsidR="001467CF">
        <w:t>probācijas uzraudzību uz 2 gadiem;</w:t>
      </w:r>
    </w:p>
    <w:p w:rsidR="001467CF" w:rsidRDefault="001467CF" w:rsidP="009E15D2">
      <w:pPr>
        <w:spacing w:line="276" w:lineRule="auto"/>
        <w:ind w:firstLine="567"/>
        <w:jc w:val="both"/>
      </w:pPr>
      <w:r>
        <w:t>atzīts par vainīgu Krimināllikuma 166.panta piektajā daļā</w:t>
      </w:r>
      <w:r>
        <w:rPr>
          <w:vertAlign w:val="superscript"/>
        </w:rPr>
        <w:t xml:space="preserve"> </w:t>
      </w:r>
      <w:r>
        <w:t>paredzētajā noziedzīgajā nodarījumā un sodīts ar brīvī</w:t>
      </w:r>
      <w:r w:rsidR="001A7A48">
        <w:t>bas atņemšanu uz 8 gadiem un</w:t>
      </w:r>
      <w:r w:rsidR="00CF1B61">
        <w:t xml:space="preserve"> </w:t>
      </w:r>
      <w:r>
        <w:t>probācijas uzraudzību uz 2 gadiem;</w:t>
      </w:r>
    </w:p>
    <w:p w:rsidR="001467CF" w:rsidRDefault="001467CF" w:rsidP="001467CF">
      <w:pPr>
        <w:spacing w:line="276" w:lineRule="auto"/>
        <w:ind w:firstLine="567"/>
        <w:jc w:val="both"/>
      </w:pPr>
      <w:r>
        <w:t>atzīts par vainīgu Krimināllikuma 126.panta pirmajā daļā</w:t>
      </w:r>
      <w:r>
        <w:rPr>
          <w:vertAlign w:val="superscript"/>
        </w:rPr>
        <w:t xml:space="preserve"> </w:t>
      </w:r>
      <w:r>
        <w:t>paredzētajā noziedzīgajā nodarījumā un sodīts ar brīvības atņemšanu uz 1 gadu.</w:t>
      </w:r>
    </w:p>
    <w:p w:rsidR="00384749" w:rsidRDefault="00384749" w:rsidP="00055467">
      <w:pPr>
        <w:spacing w:line="276" w:lineRule="auto"/>
        <w:ind w:firstLine="567"/>
        <w:jc w:val="both"/>
      </w:pPr>
      <w:r>
        <w:t>Saskaņā ar Krimināllikuma 50.panta pirmo un trešo daļu sods</w:t>
      </w:r>
      <w:r w:rsidR="00001A23">
        <w:t xml:space="preserve"> </w:t>
      </w:r>
      <w:r w:rsidR="00B52892">
        <w:t>[pers. A]</w:t>
      </w:r>
      <w:r>
        <w:t xml:space="preserve"> noteikts</w:t>
      </w:r>
      <w:r w:rsidR="00055467">
        <w:t xml:space="preserve"> </w:t>
      </w:r>
      <w:r>
        <w:t xml:space="preserve">brīvības atņemšana uz 15 gadiem un probācijas uzraudzība uz 3 gadiem. </w:t>
      </w:r>
    </w:p>
    <w:p w:rsidR="001467CF" w:rsidRDefault="00384749" w:rsidP="001467CF">
      <w:pPr>
        <w:spacing w:line="276" w:lineRule="auto"/>
        <w:ind w:firstLine="567"/>
        <w:jc w:val="both"/>
      </w:pPr>
      <w:r>
        <w:t xml:space="preserve">Saskaņā ar Krimināllikuma 50.panta piekto daļu un 52.pantu galīgais sods </w:t>
      </w:r>
      <w:r w:rsidR="00B52892">
        <w:t>[pers. A]</w:t>
      </w:r>
      <w:r>
        <w:t xml:space="preserve"> noteikts</w:t>
      </w:r>
      <w:r w:rsidR="00055467">
        <w:t xml:space="preserve"> </w:t>
      </w:r>
      <w:r w:rsidR="004B5B90">
        <w:t>ar</w:t>
      </w:r>
      <w:r>
        <w:t xml:space="preserve"> </w:t>
      </w:r>
      <w:r w:rsidR="00B52892">
        <w:t>[..]</w:t>
      </w:r>
      <w:r>
        <w:t xml:space="preserve"> rajona ties</w:t>
      </w:r>
      <w:r w:rsidR="00055467">
        <w:t xml:space="preserve">as 2018.gada </w:t>
      </w:r>
      <w:r w:rsidR="00B52892">
        <w:t>[..]</w:t>
      </w:r>
      <w:r w:rsidR="00055467">
        <w:t xml:space="preserve"> spriedum</w:t>
      </w:r>
      <w:r w:rsidR="004B5B90">
        <w:t>u</w:t>
      </w:r>
      <w:r>
        <w:t xml:space="preserve"> brīvības atņemšana uz 15 gadiem 15 dienām un probācijas uzraudzība uz 3 gadiem, atņemot transportlīdzekļa vadīšanas tiesības uz 4 gadiem 6 mēnešiem.</w:t>
      </w:r>
    </w:p>
    <w:p w:rsidR="00384749" w:rsidRDefault="00384749" w:rsidP="001467CF">
      <w:pPr>
        <w:spacing w:line="276" w:lineRule="auto"/>
        <w:ind w:firstLine="567"/>
        <w:jc w:val="both"/>
      </w:pPr>
      <w:r>
        <w:t xml:space="preserve">Saskaņā ar Krimināllikuma 52.panta ceturto daļu soda laikā ieskaitīts apcietinājums no </w:t>
      </w:r>
      <w:r w:rsidR="00B52892">
        <w:t>[..]</w:t>
      </w:r>
      <w:r>
        <w:t xml:space="preserve"> līdz </w:t>
      </w:r>
      <w:r w:rsidR="00B52892">
        <w:t>[..]</w:t>
      </w:r>
      <w:r>
        <w:t xml:space="preserve">. </w:t>
      </w:r>
    </w:p>
    <w:p w:rsidR="00384749" w:rsidRPr="00A80752" w:rsidRDefault="00384749" w:rsidP="001467CF">
      <w:pPr>
        <w:spacing w:line="276" w:lineRule="auto"/>
        <w:ind w:firstLine="567"/>
        <w:jc w:val="both"/>
      </w:pPr>
      <w:r>
        <w:t xml:space="preserve">Saskaņā ar Krimināllikuma 50.panta piekto daļu soda laikā ieskaitīts daļēji izciestais pamatsods, kas atbilst 11 brīvības atņemšanas dienām, un papildsods – transportlīdzekļa vadīšanas tiesību atņemšana no </w:t>
      </w:r>
      <w:r w:rsidR="00B52892">
        <w:t>[..]</w:t>
      </w:r>
      <w:r>
        <w:t xml:space="preserve"> līdz </w:t>
      </w:r>
      <w:r w:rsidR="00B52892">
        <w:t>[..]</w:t>
      </w:r>
      <w:r>
        <w:t xml:space="preserve"> pēc </w:t>
      </w:r>
      <w:r w:rsidR="00B52892">
        <w:t>[..]</w:t>
      </w:r>
      <w:r>
        <w:t xml:space="preserve"> rajona tiesas 2018.gada </w:t>
      </w:r>
      <w:r w:rsidR="00B52892">
        <w:t>[..]</w:t>
      </w:r>
      <w:r>
        <w:t xml:space="preserve"> sprieduma.</w:t>
      </w:r>
    </w:p>
    <w:p w:rsidR="00155B5F" w:rsidRDefault="00155B5F" w:rsidP="00155B5F">
      <w:pPr>
        <w:spacing w:line="276" w:lineRule="auto"/>
        <w:ind w:firstLine="709"/>
        <w:jc w:val="both"/>
      </w:pPr>
    </w:p>
    <w:p w:rsidR="00AF30B5" w:rsidRDefault="00815C92" w:rsidP="00EC6938">
      <w:pPr>
        <w:spacing w:line="276" w:lineRule="auto"/>
        <w:ind w:firstLine="709"/>
        <w:jc w:val="both"/>
      </w:pPr>
      <w:r>
        <w:t xml:space="preserve">[2] </w:t>
      </w:r>
      <w:r w:rsidR="00EC6938">
        <w:rPr>
          <w:rFonts w:ascii="TimesNewRomanPSMT" w:hAnsi="TimesNewRomanPSMT" w:cs="TimesNewRomanPSMT"/>
          <w:lang w:eastAsia="lv-LV"/>
        </w:rPr>
        <w:t>[..]</w:t>
      </w:r>
    </w:p>
    <w:p w:rsidR="00F322FB" w:rsidRDefault="00F322FB" w:rsidP="00F322FB">
      <w:pPr>
        <w:spacing w:line="276" w:lineRule="auto"/>
        <w:ind w:firstLine="709"/>
        <w:jc w:val="both"/>
      </w:pPr>
    </w:p>
    <w:p w:rsidR="00815C92" w:rsidRDefault="00815C92" w:rsidP="00F322FB">
      <w:pPr>
        <w:spacing w:line="276" w:lineRule="auto"/>
        <w:ind w:firstLine="709"/>
        <w:jc w:val="both"/>
      </w:pPr>
      <w:r>
        <w:lastRenderedPageBreak/>
        <w:t xml:space="preserve">[3] Ar </w:t>
      </w:r>
      <w:r w:rsidR="00B52892">
        <w:t>[..]</w:t>
      </w:r>
      <w:r w:rsidR="00384749">
        <w:t xml:space="preserve"> apgabaltiesas 2018.gada </w:t>
      </w:r>
      <w:r w:rsidR="00B52892">
        <w:t>[..]</w:t>
      </w:r>
      <w:r w:rsidR="00384749">
        <w:t xml:space="preserve"> lēmumu </w:t>
      </w:r>
      <w:r w:rsidR="00B52892">
        <w:rPr>
          <w:rFonts w:ascii="TimesNewRomanPSMT" w:hAnsi="TimesNewRomanPSMT" w:cs="TimesNewRomanPSMT"/>
          <w:lang w:eastAsia="lv-LV"/>
        </w:rPr>
        <w:t>[..]</w:t>
      </w:r>
      <w:r w:rsidR="00384749">
        <w:rPr>
          <w:rFonts w:ascii="TimesNewRomanPSMT" w:hAnsi="TimesNewRomanPSMT" w:cs="TimesNewRomanPSMT"/>
          <w:lang w:eastAsia="lv-LV"/>
        </w:rPr>
        <w:t xml:space="preserve"> rajona tiesas 2018.gada </w:t>
      </w:r>
      <w:r w:rsidR="00B52892">
        <w:rPr>
          <w:rFonts w:ascii="TimesNewRomanPSMT" w:hAnsi="TimesNewRomanPSMT" w:cs="TimesNewRomanPSMT"/>
          <w:lang w:eastAsia="lv-LV"/>
        </w:rPr>
        <w:t>[..]</w:t>
      </w:r>
      <w:r w:rsidR="00384749">
        <w:rPr>
          <w:rFonts w:ascii="TimesNewRomanPSMT" w:hAnsi="TimesNewRomanPSMT" w:cs="TimesNewRomanPSMT"/>
          <w:lang w:eastAsia="lv-LV"/>
        </w:rPr>
        <w:t xml:space="preserve"> spriedums</w:t>
      </w:r>
      <w:r w:rsidR="00155B5F">
        <w:rPr>
          <w:rFonts w:ascii="TimesNewRomanPSMT" w:hAnsi="TimesNewRomanPSMT" w:cs="TimesNewRomanPSMT"/>
          <w:lang w:eastAsia="lv-LV"/>
        </w:rPr>
        <w:t xml:space="preserve"> atstāts negrozīts.</w:t>
      </w:r>
    </w:p>
    <w:p w:rsidR="00A51153" w:rsidRDefault="00A51153" w:rsidP="00A51153">
      <w:pPr>
        <w:spacing w:line="276" w:lineRule="auto"/>
        <w:ind w:firstLine="709"/>
        <w:jc w:val="both"/>
        <w:rPr>
          <w:rFonts w:ascii="TimesNewRomanPSMT" w:hAnsi="TimesNewRomanPSMT" w:cs="TimesNewRomanPSMT"/>
          <w:lang w:eastAsia="lv-LV"/>
        </w:rPr>
      </w:pPr>
    </w:p>
    <w:p w:rsidR="00C62E88" w:rsidRDefault="00A51153" w:rsidP="00155B5F">
      <w:pPr>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[4]</w:t>
      </w:r>
      <w:r w:rsidR="00155B5F">
        <w:rPr>
          <w:rFonts w:ascii="TimesNewRomanPSMT" w:hAnsi="TimesNewRomanPSMT" w:cs="TimesNewRomanPSMT"/>
          <w:lang w:eastAsia="lv-LV"/>
        </w:rPr>
        <w:t xml:space="preserve"> </w:t>
      </w:r>
      <w:r w:rsidR="00E34458">
        <w:rPr>
          <w:rFonts w:ascii="TimesNewRomanPSMT" w:hAnsi="TimesNewRomanPSMT" w:cs="TimesNewRomanPSMT"/>
          <w:lang w:eastAsia="lv-LV"/>
        </w:rPr>
        <w:t xml:space="preserve">Apsūdzētā </w:t>
      </w:r>
      <w:r w:rsidR="00B52892">
        <w:rPr>
          <w:rFonts w:ascii="TimesNewRomanPSMT" w:hAnsi="TimesNewRomanPSMT" w:cs="TimesNewRomanPSMT"/>
          <w:lang w:eastAsia="lv-LV"/>
        </w:rPr>
        <w:t>[pers. </w:t>
      </w:r>
      <w:r w:rsidR="00B52892">
        <w:t>A]</w:t>
      </w:r>
      <w:r w:rsidR="00E34458">
        <w:rPr>
          <w:rFonts w:ascii="TimesNewRomanPSMT" w:hAnsi="TimesNewRomanPSMT" w:cs="TimesNewRomanPSMT"/>
          <w:lang w:eastAsia="lv-LV"/>
        </w:rPr>
        <w:t xml:space="preserve"> aizstāve B. Miķelsone p</w:t>
      </w:r>
      <w:r w:rsidR="00833536">
        <w:rPr>
          <w:rFonts w:ascii="TimesNewRomanPSMT" w:hAnsi="TimesNewRomanPSMT" w:cs="TimesNewRomanPSMT"/>
          <w:lang w:eastAsia="lv-LV"/>
        </w:rPr>
        <w:t xml:space="preserve">ar </w:t>
      </w:r>
      <w:r w:rsidR="00B52892">
        <w:rPr>
          <w:rFonts w:ascii="TimesNewRomanPSMT" w:hAnsi="TimesNewRomanPSMT" w:cs="TimesNewRomanPSMT"/>
          <w:lang w:eastAsia="lv-LV"/>
        </w:rPr>
        <w:t>[..]</w:t>
      </w:r>
      <w:r w:rsidR="00833536">
        <w:rPr>
          <w:rFonts w:ascii="TimesNewRomanPSMT" w:hAnsi="TimesNewRomanPSMT" w:cs="TimesNewRomanPSMT"/>
          <w:lang w:eastAsia="lv-LV"/>
        </w:rPr>
        <w:t xml:space="preserve"> apgabaltiesas 2018.gada </w:t>
      </w:r>
      <w:r w:rsidR="00B52892">
        <w:rPr>
          <w:rFonts w:ascii="TimesNewRomanPSMT" w:hAnsi="TimesNewRomanPSMT" w:cs="TimesNewRomanPSMT"/>
          <w:lang w:eastAsia="lv-LV"/>
        </w:rPr>
        <w:t>[..]</w:t>
      </w:r>
      <w:r w:rsidR="00833536">
        <w:rPr>
          <w:rFonts w:ascii="TimesNewRomanPSMT" w:hAnsi="TimesNewRomanPSMT" w:cs="TimesNewRomanPSMT"/>
          <w:lang w:eastAsia="lv-LV"/>
        </w:rPr>
        <w:t xml:space="preserve"> lēmumu iesniegusi kasācijas sūdzību, kurā lūdz atcelt apelācijas instances tiesas lēmumu un lietu nosūtīt jaunai izskatīšanai.</w:t>
      </w:r>
    </w:p>
    <w:p w:rsidR="00C62E88" w:rsidRDefault="00DF2EE1" w:rsidP="00155B5F">
      <w:pPr>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S</w:t>
      </w:r>
      <w:r w:rsidR="00C62E88">
        <w:rPr>
          <w:rFonts w:ascii="TimesNewRomanPSMT" w:hAnsi="TimesNewRomanPSMT" w:cs="TimesNewRomanPSMT"/>
          <w:lang w:eastAsia="lv-LV"/>
        </w:rPr>
        <w:t>ūdzība pamatota ar šādiem argumentiem.</w:t>
      </w:r>
    </w:p>
    <w:p w:rsidR="00C45140" w:rsidRDefault="00C62E88" w:rsidP="00155B5F">
      <w:pPr>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 xml:space="preserve">[4.1] Tiesa nav ņēmusi vērā, ka 2015.gada </w:t>
      </w:r>
      <w:r w:rsidR="00B52892">
        <w:rPr>
          <w:rFonts w:ascii="TimesNewRomanPSMT" w:hAnsi="TimesNewRomanPSMT" w:cs="TimesNewRomanPSMT"/>
          <w:lang w:eastAsia="lv-LV"/>
        </w:rPr>
        <w:t>[..]</w:t>
      </w:r>
      <w:r w:rsidR="0086289F">
        <w:rPr>
          <w:rFonts w:ascii="TimesNewRomanPSMT" w:hAnsi="TimesNewRomanPSMT" w:cs="TimesNewRomanPSMT"/>
          <w:lang w:eastAsia="lv-LV"/>
        </w:rPr>
        <w:t xml:space="preserve"> </w:t>
      </w:r>
      <w:r w:rsidR="00B52892">
        <w:rPr>
          <w:rFonts w:ascii="TimesNewRomanPSMT" w:hAnsi="TimesNewRomanPSMT" w:cs="TimesNewRomanPSMT"/>
          <w:lang w:eastAsia="lv-LV"/>
        </w:rPr>
        <w:t>[pers. A]</w:t>
      </w:r>
      <w:r>
        <w:rPr>
          <w:rFonts w:ascii="TimesNewRomanPSMT" w:hAnsi="TimesNewRomanPSMT" w:cs="TimesNewRomanPSMT"/>
          <w:lang w:eastAsia="lv-LV"/>
        </w:rPr>
        <w:t xml:space="preserve"> bija 2.grupas invalīds, kā </w:t>
      </w:r>
      <w:r w:rsidR="004111F6">
        <w:rPr>
          <w:rFonts w:ascii="TimesNewRomanPSMT" w:hAnsi="TimesNewRomanPSMT" w:cs="TimesNewRomanPSMT"/>
          <w:lang w:eastAsia="lv-LV"/>
        </w:rPr>
        <w:t>a</w:t>
      </w:r>
      <w:r>
        <w:rPr>
          <w:rFonts w:ascii="TimesNewRomanPSMT" w:hAnsi="TimesNewRomanPSMT" w:cs="TimesNewRomanPSMT"/>
          <w:lang w:eastAsia="lv-LV"/>
        </w:rPr>
        <w:t>rī to, ka lie</w:t>
      </w:r>
      <w:r w:rsidR="000067D1">
        <w:rPr>
          <w:rFonts w:ascii="TimesNewRomanPSMT" w:hAnsi="TimesNewRomanPSMT" w:cs="TimesNewRomanPSMT"/>
          <w:lang w:eastAsia="lv-LV"/>
        </w:rPr>
        <w:t>tas izskatīšanas laikā viņš bija</w:t>
      </w:r>
      <w:r w:rsidR="004111F6">
        <w:rPr>
          <w:rFonts w:ascii="TimesNewRomanPSMT" w:hAnsi="TimesNewRomanPSMT" w:cs="TimesNewRomanPSMT"/>
          <w:lang w:eastAsia="lv-LV"/>
        </w:rPr>
        <w:t xml:space="preserve"> 3.grupas invalīds. Tiesa nav izvērtējusi </w:t>
      </w:r>
      <w:r w:rsidR="00B52892">
        <w:rPr>
          <w:rFonts w:ascii="TimesNewRomanPSMT" w:hAnsi="TimesNewRomanPSMT" w:cs="TimesNewRomanPSMT"/>
          <w:lang w:eastAsia="lv-LV"/>
        </w:rPr>
        <w:t>[pers. A]</w:t>
      </w:r>
      <w:r w:rsidR="004111F6">
        <w:rPr>
          <w:rFonts w:ascii="TimesNewRomanPSMT" w:hAnsi="TimesNewRomanPSMT" w:cs="TimesNewRomanPSMT"/>
          <w:lang w:eastAsia="lv-LV"/>
        </w:rPr>
        <w:t xml:space="preserve"> pozitīvās īpašības un viņa veselības stāvokli.</w:t>
      </w:r>
      <w:r w:rsidR="00833536">
        <w:rPr>
          <w:rFonts w:ascii="TimesNewRomanPSMT" w:hAnsi="TimesNewRomanPSMT" w:cs="TimesNewRomanPSMT"/>
          <w:lang w:eastAsia="lv-LV"/>
        </w:rPr>
        <w:t xml:space="preserve"> </w:t>
      </w:r>
    </w:p>
    <w:p w:rsidR="004111F6" w:rsidRDefault="004111F6" w:rsidP="00155B5F">
      <w:pPr>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[4.2] Tiesa pretrunas cietušās liecībās nav izvērtējusi atbilstoši Kriminālprocesa likuma 19.panta trešajai daļai par labu apsūdzētajam</w:t>
      </w:r>
      <w:r w:rsidR="0008249B">
        <w:rPr>
          <w:rFonts w:ascii="TimesNewRomanPSMT" w:hAnsi="TimesNewRomanPSMT" w:cs="TimesNewRomanPSMT"/>
          <w:lang w:eastAsia="lv-LV"/>
        </w:rPr>
        <w:t>, bet gan par labu apsūdzībai.</w:t>
      </w:r>
      <w:r>
        <w:rPr>
          <w:rFonts w:ascii="TimesNewRomanPSMT" w:hAnsi="TimesNewRomanPSMT" w:cs="TimesNewRomanPSMT"/>
          <w:lang w:eastAsia="lv-LV"/>
        </w:rPr>
        <w:t xml:space="preserve"> Tiesa pārkāpusi Kriminālprocesa likuma 128.panta trešo daļu, kur noteikts, ka nevienam pierādījumam nav iepriekš noteikta augstāka ticamības pakāpe nekā pārējiem pierādījumiem.</w:t>
      </w:r>
      <w:r w:rsidR="00EA758C">
        <w:rPr>
          <w:rFonts w:ascii="TimesNewRomanPSMT" w:hAnsi="TimesNewRomanPSMT" w:cs="TimesNewRomanPSMT"/>
          <w:lang w:eastAsia="lv-LV"/>
        </w:rPr>
        <w:t xml:space="preserve"> </w:t>
      </w:r>
      <w:r w:rsidR="00DF2EE1">
        <w:rPr>
          <w:rFonts w:ascii="TimesNewRomanPSMT" w:hAnsi="TimesNewRomanPSMT" w:cs="TimesNewRomanPSMT"/>
          <w:lang w:eastAsia="lv-LV"/>
        </w:rPr>
        <w:t>Nav</w:t>
      </w:r>
      <w:r w:rsidR="0008249B">
        <w:rPr>
          <w:rFonts w:ascii="TimesNewRomanPSMT" w:hAnsi="TimesNewRomanPSMT" w:cs="TimesNewRomanPSMT"/>
          <w:lang w:eastAsia="lv-LV"/>
        </w:rPr>
        <w:t xml:space="preserve"> ievērotas apsūdzētā tiesības uz taisnīgu tiesu.</w:t>
      </w:r>
    </w:p>
    <w:p w:rsidR="0008249B" w:rsidRDefault="0008249B" w:rsidP="00155B5F">
      <w:pPr>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 xml:space="preserve">[4.3] Tiesa nav izvērtējusi apelācijas sūdzībā norādīto, ka </w:t>
      </w:r>
      <w:r w:rsidR="00B52892">
        <w:rPr>
          <w:rFonts w:ascii="TimesNewRomanPSMT" w:hAnsi="TimesNewRomanPSMT" w:cs="TimesNewRomanPSMT"/>
          <w:lang w:eastAsia="lv-LV"/>
        </w:rPr>
        <w:t>[..]</w:t>
      </w:r>
      <w:r w:rsidR="00BC5B86">
        <w:rPr>
          <w:rFonts w:ascii="TimesNewRomanPSMT" w:hAnsi="TimesNewRomanPSMT" w:cs="TimesNewRomanPSMT"/>
          <w:lang w:eastAsia="lv-LV"/>
        </w:rPr>
        <w:t xml:space="preserve"> rajona tiesas 2018.gada </w:t>
      </w:r>
      <w:r w:rsidR="00B52892">
        <w:rPr>
          <w:rFonts w:ascii="TimesNewRomanPSMT" w:hAnsi="TimesNewRomanPSMT" w:cs="TimesNewRomanPSMT"/>
          <w:lang w:eastAsia="lv-LV"/>
        </w:rPr>
        <w:t>[..]</w:t>
      </w:r>
      <w:r>
        <w:rPr>
          <w:rFonts w:ascii="TimesNewRomanPSMT" w:hAnsi="TimesNewRomanPSMT" w:cs="TimesNewRomanPSMT"/>
          <w:lang w:eastAsia="lv-LV"/>
        </w:rPr>
        <w:t xml:space="preserve"> spriedums neatbilst Kriminālprocesa likuma 511.panta otrajai daļai, 512.panta otrajai daļai,</w:t>
      </w:r>
      <w:r w:rsidR="00CF1B61">
        <w:rPr>
          <w:rFonts w:ascii="TimesNewRomanPSMT" w:hAnsi="TimesNewRomanPSMT" w:cs="TimesNewRomanPSMT"/>
          <w:lang w:eastAsia="lv-LV"/>
        </w:rPr>
        <w:t xml:space="preserve"> </w:t>
      </w:r>
      <w:r>
        <w:rPr>
          <w:rFonts w:ascii="TimesNewRomanPSMT" w:hAnsi="TimesNewRomanPSMT" w:cs="TimesNewRomanPSMT"/>
          <w:lang w:eastAsia="lv-LV"/>
        </w:rPr>
        <w:t>514.pantam, 527.panta pirmajai un otrajai daļai. Tiesas lēmumā nav norādīti ticami, attiecināmi un pieļaujami pierādījumi, kas pierā</w:t>
      </w:r>
      <w:r w:rsidR="003A549D">
        <w:rPr>
          <w:rFonts w:ascii="TimesNewRomanPSMT" w:hAnsi="TimesNewRomanPSMT" w:cs="TimesNewRomanPSMT"/>
          <w:lang w:eastAsia="lv-LV"/>
        </w:rPr>
        <w:t>dī</w:t>
      </w:r>
      <w:r>
        <w:rPr>
          <w:rFonts w:ascii="TimesNewRomanPSMT" w:hAnsi="TimesNewRomanPSMT" w:cs="TimesNewRomanPSMT"/>
          <w:lang w:eastAsia="lv-LV"/>
        </w:rPr>
        <w:t xml:space="preserve">tu </w:t>
      </w:r>
      <w:r w:rsidR="00B52892">
        <w:rPr>
          <w:rFonts w:ascii="TimesNewRomanPSMT" w:hAnsi="TimesNewRomanPSMT" w:cs="TimesNewRomanPSMT"/>
          <w:lang w:eastAsia="lv-LV"/>
        </w:rPr>
        <w:t>[pers. A]</w:t>
      </w:r>
      <w:r>
        <w:rPr>
          <w:rFonts w:ascii="TimesNewRomanPSMT" w:hAnsi="TimesNewRomanPSMT" w:cs="TimesNewRomanPSMT"/>
          <w:lang w:eastAsia="lv-LV"/>
        </w:rPr>
        <w:t xml:space="preserve"> vainu katra inkriminētā noziedzīgā nodarījuma izdarīšanā.</w:t>
      </w:r>
    </w:p>
    <w:p w:rsidR="00E25FDB" w:rsidRDefault="00E25FDB" w:rsidP="00155B5F">
      <w:pPr>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 xml:space="preserve">[4.4] Tiesa pieļāvusi Krimināllikuma pārkāpumu, jo nepareizi piemērojusi Krimināllikuma Vispārīgās daļas pantu un daļu. Tiesa saskaņā ar Krimināllikuma 48.panta pirmās daļas 12.punktu atzinusi par </w:t>
      </w:r>
      <w:r w:rsidR="00B52892">
        <w:rPr>
          <w:rFonts w:ascii="TimesNewRomanPSMT" w:hAnsi="TimesNewRomanPSMT" w:cs="TimesNewRomanPSMT"/>
          <w:lang w:eastAsia="lv-LV"/>
        </w:rPr>
        <w:t>[pers. A]</w:t>
      </w:r>
      <w:r>
        <w:rPr>
          <w:rFonts w:ascii="TimesNewRomanPSMT" w:hAnsi="TimesNewRomanPSMT" w:cs="TimesNewRomanPSMT"/>
          <w:lang w:eastAsia="lv-LV"/>
        </w:rPr>
        <w:t xml:space="preserve"> atbildību pastiprinošu apstākli noziedzīga nodarījuma izdarīšanu alkohola ietekmē. Vienlaicīgi abu instanču tiesu nolēmumu aprakstošajās daļās nav konstatēts, ka noziedzīgus nodarījumus </w:t>
      </w:r>
      <w:r w:rsidR="009D6D72">
        <w:rPr>
          <w:rFonts w:ascii="TimesNewRomanPSMT" w:hAnsi="TimesNewRomanPSMT" w:cs="TimesNewRomanPSMT"/>
          <w:lang w:eastAsia="lv-LV"/>
        </w:rPr>
        <w:t>[pers. A]</w:t>
      </w:r>
      <w:r w:rsidR="00A66B67">
        <w:rPr>
          <w:rFonts w:ascii="TimesNewRomanPSMT" w:hAnsi="TimesNewRomanPSMT" w:cs="TimesNewRomanPSMT"/>
          <w:lang w:eastAsia="lv-LV"/>
        </w:rPr>
        <w:t xml:space="preserve"> izdarījis alkohola ietekmē. Nepareizi piemērojot Krimināllikuma 48.panta 12.punktu, tiesa pieļāvusi Kriminālprocesa likuma 574.panta 1.punktā norādīto Krimināllikuma pārkāpumu.</w:t>
      </w:r>
    </w:p>
    <w:p w:rsidR="00D14166" w:rsidRDefault="00D14166" w:rsidP="00155B5F">
      <w:pPr>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[4.5</w:t>
      </w:r>
      <w:r w:rsidR="0086289F">
        <w:rPr>
          <w:rFonts w:ascii="TimesNewRomanPSMT" w:hAnsi="TimesNewRomanPSMT" w:cs="TimesNewRomanPSMT"/>
          <w:lang w:eastAsia="lv-LV"/>
        </w:rPr>
        <w:t xml:space="preserve">] Tiesa nav konstatējusi, ka </w:t>
      </w:r>
      <w:r w:rsidR="009D6D72">
        <w:rPr>
          <w:rFonts w:ascii="TimesNewRomanPSMT" w:hAnsi="TimesNewRomanPSMT" w:cs="TimesNewRomanPSMT"/>
          <w:lang w:eastAsia="lv-LV"/>
        </w:rPr>
        <w:t>[pers. </w:t>
      </w:r>
      <w:r w:rsidR="009D6D72">
        <w:t>A]</w:t>
      </w:r>
      <w:r>
        <w:rPr>
          <w:rFonts w:ascii="TimesNewRomanPSMT" w:hAnsi="TimesNewRomanPSMT" w:cs="TimesNewRomanPSMT"/>
          <w:lang w:eastAsia="lv-LV"/>
        </w:rPr>
        <w:t xml:space="preserve"> zinājis, ka </w:t>
      </w:r>
      <w:r w:rsidR="009D6D72">
        <w:rPr>
          <w:rFonts w:ascii="TimesNewRomanPSMT" w:hAnsi="TimesNewRomanPSMT" w:cs="TimesNewRomanPSMT"/>
          <w:lang w:eastAsia="lv-LV"/>
        </w:rPr>
        <w:t>[pers. B]</w:t>
      </w:r>
      <w:r>
        <w:rPr>
          <w:rFonts w:ascii="TimesNewRomanPSMT" w:hAnsi="TimesNewRomanPSMT" w:cs="TimesNewRomanPSMT"/>
          <w:lang w:eastAsia="lv-LV"/>
        </w:rPr>
        <w:t xml:space="preserve"> nav pilngadīga, vien norādījusi, ka nav jāšaubās, ka viņš zināj</w:t>
      </w:r>
      <w:r w:rsidR="000067D1">
        <w:rPr>
          <w:rFonts w:ascii="TimesNewRomanPSMT" w:hAnsi="TimesNewRomanPSMT" w:cs="TimesNewRomanPSMT"/>
          <w:lang w:eastAsia="lv-LV"/>
        </w:rPr>
        <w:t>a</w:t>
      </w:r>
      <w:r>
        <w:rPr>
          <w:rFonts w:ascii="TimesNewRomanPSMT" w:hAnsi="TimesNewRomanPSMT" w:cs="TimesNewRomanPSMT"/>
          <w:lang w:eastAsia="lv-LV"/>
        </w:rPr>
        <w:t xml:space="preserve"> par šo faktu. Tādējādi tiesa nav ievērojusi Kriminālprocesa likuma 564.panta ceturtās daļas prasības.</w:t>
      </w:r>
    </w:p>
    <w:p w:rsidR="00D14166" w:rsidRDefault="00D14166" w:rsidP="00155B5F">
      <w:pPr>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 xml:space="preserve">[4.6.] </w:t>
      </w:r>
      <w:r w:rsidR="005425F9">
        <w:rPr>
          <w:rFonts w:ascii="TimesNewRomanPSMT" w:hAnsi="TimesNewRomanPSMT" w:cs="TimesNewRomanPSMT"/>
          <w:lang w:eastAsia="lv-LV"/>
        </w:rPr>
        <w:t>[..]</w:t>
      </w:r>
    </w:p>
    <w:p w:rsidR="006866F9" w:rsidRDefault="006866F9" w:rsidP="006758DD">
      <w:pPr>
        <w:spacing w:line="276" w:lineRule="auto"/>
        <w:ind w:firstLine="709"/>
        <w:jc w:val="both"/>
        <w:rPr>
          <w:rFonts w:ascii="TimesNewRomanPSMT" w:hAnsi="TimesNewRomanPSMT" w:cs="TimesNewRomanPSMT"/>
          <w:lang w:eastAsia="lv-LV"/>
        </w:rPr>
      </w:pPr>
      <w:r>
        <w:rPr>
          <w:rFonts w:ascii="TimesNewRomanPSMT" w:hAnsi="TimesNewRomanPSMT" w:cs="TimesNewRomanPSMT"/>
          <w:lang w:eastAsia="lv-LV"/>
        </w:rPr>
        <w:t xml:space="preserve">[4.7] </w:t>
      </w:r>
      <w:r w:rsidR="006758DD">
        <w:rPr>
          <w:rFonts w:ascii="TimesNewRomanPSMT" w:hAnsi="TimesNewRomanPSMT" w:cs="TimesNewRomanPSMT"/>
          <w:lang w:eastAsia="lv-LV"/>
        </w:rPr>
        <w:t>Saskaņā ar Kriminālprocesa likuma 351.panta pirmo daļu cietušajam ir tiesības iesniegt pieteikumu par radītā kaitējuma kompensāciju jebkurā kriminālprocesa stadijā līdz tiesas izmeklēšanas uzsākšanai pirmās instances tiesā. Minētās procesuālās tiesības cietusī</w:t>
      </w:r>
      <w:r w:rsidR="001A7A48">
        <w:rPr>
          <w:rFonts w:ascii="TimesNewRomanPSMT" w:hAnsi="TimesNewRomanPSMT" w:cs="TimesNewRomanPSMT"/>
          <w:lang w:eastAsia="lv-LV"/>
        </w:rPr>
        <w:t xml:space="preserve"> </w:t>
      </w:r>
      <w:r w:rsidR="009D6D72">
        <w:rPr>
          <w:rFonts w:ascii="TimesNewRomanPSMT" w:hAnsi="TimesNewRomanPSMT" w:cs="TimesNewRomanPSMT"/>
          <w:lang w:eastAsia="lv-LV"/>
        </w:rPr>
        <w:t>[pers. B]</w:t>
      </w:r>
      <w:r w:rsidR="006758DD">
        <w:rPr>
          <w:rFonts w:ascii="TimesNewRomanPSMT" w:hAnsi="TimesNewRomanPSMT" w:cs="TimesNewRomanPSMT"/>
          <w:lang w:eastAsia="lv-LV"/>
        </w:rPr>
        <w:t xml:space="preserve"> nav izmantojusi. Līdz ar to p</w:t>
      </w:r>
      <w:r>
        <w:rPr>
          <w:rFonts w:ascii="TimesNewRomanPSMT" w:hAnsi="TimesNewRomanPSMT" w:cs="TimesNewRomanPSMT"/>
          <w:lang w:eastAsia="lv-LV"/>
        </w:rPr>
        <w:t>irmās instances tiesas lēmums nenoteikt cietušajai kaitējuma kompensāciju 10000</w:t>
      </w:r>
      <w:r w:rsidR="007670FF">
        <w:rPr>
          <w:rFonts w:ascii="TimesNewRomanPSMT" w:hAnsi="TimesNewRomanPSMT" w:cs="TimesNewRomanPSMT"/>
          <w:lang w:eastAsia="lv-LV"/>
        </w:rPr>
        <w:t xml:space="preserve"> </w:t>
      </w:r>
      <w:proofErr w:type="spellStart"/>
      <w:r w:rsidRPr="007670FF">
        <w:rPr>
          <w:rFonts w:ascii="TimesNewRomanPSMT" w:hAnsi="TimesNewRomanPSMT" w:cs="TimesNewRomanPSMT"/>
          <w:i/>
          <w:lang w:eastAsia="lv-LV"/>
        </w:rPr>
        <w:t>euro</w:t>
      </w:r>
      <w:proofErr w:type="spellEnd"/>
      <w:r>
        <w:rPr>
          <w:rFonts w:ascii="TimesNewRomanPSMT" w:hAnsi="TimesNewRomanPSMT" w:cs="TimesNewRomanPSMT"/>
          <w:lang w:eastAsia="lv-LV"/>
        </w:rPr>
        <w:t xml:space="preserve"> par morālo aizskārumu ir nelikumīgs.</w:t>
      </w:r>
      <w:r w:rsidR="006A7D66">
        <w:rPr>
          <w:rFonts w:ascii="TimesNewRomanPSMT" w:hAnsi="TimesNewRomanPSMT" w:cs="TimesNewRomanPSMT"/>
          <w:lang w:eastAsia="lv-LV"/>
        </w:rPr>
        <w:t xml:space="preserve"> </w:t>
      </w:r>
      <w:r w:rsidR="001A7A48">
        <w:rPr>
          <w:rFonts w:ascii="TimesNewRomanPSMT" w:hAnsi="TimesNewRomanPSMT" w:cs="TimesNewRomanPSMT"/>
          <w:lang w:eastAsia="lv-LV"/>
        </w:rPr>
        <w:t xml:space="preserve">Pieteikums nebija iesniegts likumā </w:t>
      </w:r>
      <w:r w:rsidR="006758DD">
        <w:rPr>
          <w:rFonts w:ascii="TimesNewRomanPSMT" w:hAnsi="TimesNewRomanPSMT" w:cs="TimesNewRomanPSMT"/>
          <w:lang w:eastAsia="lv-LV"/>
        </w:rPr>
        <w:t>noteikt</w:t>
      </w:r>
      <w:r w:rsidR="00852989">
        <w:rPr>
          <w:rFonts w:ascii="TimesNewRomanPSMT" w:hAnsi="TimesNewRomanPSMT" w:cs="TimesNewRomanPSMT"/>
          <w:lang w:eastAsia="lv-LV"/>
        </w:rPr>
        <w:t>ajā</w:t>
      </w:r>
      <w:r w:rsidR="006758DD">
        <w:rPr>
          <w:rFonts w:ascii="TimesNewRomanPSMT" w:hAnsi="TimesNewRomanPSMT" w:cs="TimesNewRomanPSMT"/>
          <w:lang w:eastAsia="lv-LV"/>
        </w:rPr>
        <w:t xml:space="preserve"> kārtībā</w:t>
      </w:r>
      <w:r w:rsidR="001A7A48">
        <w:rPr>
          <w:rFonts w:ascii="TimesNewRomanPSMT" w:hAnsi="TimesNewRomanPSMT" w:cs="TimesNewRomanPSMT"/>
          <w:lang w:eastAsia="lv-LV"/>
        </w:rPr>
        <w:t>, tas bija jāatdod</w:t>
      </w:r>
      <w:r w:rsidR="006758DD">
        <w:rPr>
          <w:rFonts w:ascii="TimesNewRomanPSMT" w:hAnsi="TimesNewRomanPSMT" w:cs="TimesNewRomanPSMT"/>
          <w:lang w:eastAsia="lv-LV"/>
        </w:rPr>
        <w:t xml:space="preserve"> cietušajai un tiesai nebija tiesību izlemt šo pieteikumu.</w:t>
      </w:r>
      <w:r>
        <w:rPr>
          <w:rFonts w:ascii="TimesNewRomanPSMT" w:hAnsi="TimesNewRomanPSMT" w:cs="TimesNewRomanPSMT"/>
          <w:lang w:eastAsia="lv-LV"/>
        </w:rPr>
        <w:t xml:space="preserve"> </w:t>
      </w:r>
    </w:p>
    <w:p w:rsidR="00833536" w:rsidRPr="00155B5F" w:rsidRDefault="00833536" w:rsidP="00155B5F">
      <w:pPr>
        <w:spacing w:line="276" w:lineRule="auto"/>
        <w:ind w:firstLine="709"/>
        <w:jc w:val="both"/>
        <w:rPr>
          <w:rFonts w:ascii="TimesNewRomanPSMT" w:hAnsi="TimesNewRomanPSMT" w:cs="TimesNewRomanPSMT"/>
          <w:lang w:eastAsia="lv-LV"/>
        </w:rPr>
      </w:pPr>
    </w:p>
    <w:p w:rsidR="00825A35" w:rsidRDefault="00677CD8" w:rsidP="006A7D66">
      <w:pPr>
        <w:spacing w:line="276" w:lineRule="auto"/>
        <w:ind w:left="3600" w:firstLine="720"/>
        <w:rPr>
          <w:rFonts w:eastAsia="Times New Roman"/>
          <w:b/>
        </w:rPr>
      </w:pPr>
      <w:r>
        <w:rPr>
          <w:rFonts w:eastAsia="Times New Roman"/>
          <w:b/>
        </w:rPr>
        <w:t>Motīvu daļa</w:t>
      </w:r>
    </w:p>
    <w:p w:rsidR="006A7D66" w:rsidRDefault="006A7D66" w:rsidP="006A7D66">
      <w:pPr>
        <w:spacing w:line="276" w:lineRule="auto"/>
        <w:rPr>
          <w:rFonts w:eastAsia="Times New Roman"/>
          <w:b/>
        </w:rPr>
      </w:pPr>
    </w:p>
    <w:p w:rsidR="00EC0499" w:rsidRDefault="006A7D66" w:rsidP="007670FF">
      <w:pPr>
        <w:spacing w:line="276" w:lineRule="auto"/>
        <w:ind w:firstLine="709"/>
        <w:jc w:val="both"/>
        <w:rPr>
          <w:rFonts w:eastAsia="Times New Roman"/>
        </w:rPr>
      </w:pPr>
      <w:r w:rsidRPr="006A7D66">
        <w:rPr>
          <w:rFonts w:eastAsia="Times New Roman"/>
        </w:rPr>
        <w:t>[5]</w:t>
      </w:r>
      <w:r>
        <w:rPr>
          <w:rFonts w:eastAsia="Times New Roman"/>
        </w:rPr>
        <w:t xml:space="preserve"> Kasācijas instances tiesa atzīst, ka apelācijas instances tiesas lēmums</w:t>
      </w:r>
      <w:r w:rsidR="00EC0499">
        <w:rPr>
          <w:rFonts w:eastAsia="Times New Roman"/>
        </w:rPr>
        <w:t xml:space="preserve"> atstājams</w:t>
      </w:r>
      <w:r w:rsidR="00191112">
        <w:rPr>
          <w:rFonts w:eastAsia="Times New Roman"/>
        </w:rPr>
        <w:t xml:space="preserve"> negrozīts</w:t>
      </w:r>
      <w:r w:rsidR="001D3F96">
        <w:rPr>
          <w:rFonts w:eastAsia="Times New Roman"/>
        </w:rPr>
        <w:t xml:space="preserve">, bet apsūdzētā </w:t>
      </w:r>
      <w:r w:rsidR="009D6D72">
        <w:rPr>
          <w:rFonts w:eastAsia="Times New Roman"/>
        </w:rPr>
        <w:t>[pers. A]</w:t>
      </w:r>
      <w:r w:rsidR="001D3F96">
        <w:rPr>
          <w:rFonts w:eastAsia="Times New Roman"/>
        </w:rPr>
        <w:t xml:space="preserve"> aizstāves B. </w:t>
      </w:r>
      <w:r w:rsidR="00EC0499">
        <w:rPr>
          <w:rFonts w:eastAsia="Times New Roman"/>
        </w:rPr>
        <w:t>Miķelsones kasācijas sūdzība noraidāma.</w:t>
      </w:r>
    </w:p>
    <w:p w:rsidR="007670FF" w:rsidRDefault="007670FF" w:rsidP="007670FF">
      <w:pPr>
        <w:spacing w:line="276" w:lineRule="auto"/>
        <w:ind w:firstLine="709"/>
        <w:jc w:val="both"/>
        <w:rPr>
          <w:rFonts w:eastAsia="Times New Roman"/>
        </w:rPr>
      </w:pPr>
    </w:p>
    <w:p w:rsidR="00BD683A" w:rsidRDefault="00F54383" w:rsidP="007670FF">
      <w:pPr>
        <w:spacing w:line="276" w:lineRule="auto"/>
        <w:ind w:firstLine="709"/>
        <w:jc w:val="both"/>
        <w:rPr>
          <w:rFonts w:eastAsia="Times New Roman"/>
        </w:rPr>
      </w:pPr>
      <w:r>
        <w:rPr>
          <w:rFonts w:eastAsia="Times New Roman"/>
        </w:rPr>
        <w:lastRenderedPageBreak/>
        <w:t xml:space="preserve">[6] </w:t>
      </w:r>
      <w:r w:rsidR="00EC0499">
        <w:rPr>
          <w:rFonts w:eastAsia="Times New Roman"/>
        </w:rPr>
        <w:t xml:space="preserve">Atbilstoši Kriminālprocesa likuma 351.panta pirmajai daļai cietušajam ir tiesības iesniegt pieteikumu par radītā kaitējuma kompensāciju jebkurā kriminālprocesa stadijā līdz tiesas izmeklēšanas uzsākšanai pirmās instances tiesā. Pieteikumā jāpamato par mantisko zaudējumu pieprasītās kompensācijas apmērs, bet kompensācijas apmērs par morālo aizskārumu un fiziskajām </w:t>
      </w:r>
      <w:r w:rsidR="00BD683A">
        <w:rPr>
          <w:rFonts w:eastAsia="Times New Roman"/>
        </w:rPr>
        <w:t>ciešanām – tikai jānorāda.</w:t>
      </w:r>
    </w:p>
    <w:p w:rsidR="00EA634C" w:rsidRDefault="00742827" w:rsidP="007670FF">
      <w:pPr>
        <w:spacing w:line="276" w:lineRule="auto"/>
        <w:ind w:firstLine="709"/>
        <w:jc w:val="both"/>
        <w:rPr>
          <w:rFonts w:eastAsia="Times New Roman"/>
        </w:rPr>
      </w:pPr>
      <w:r>
        <w:rPr>
          <w:rFonts w:eastAsia="Times New Roman"/>
        </w:rPr>
        <w:t xml:space="preserve">[6.1] </w:t>
      </w:r>
      <w:r w:rsidR="00BD683A">
        <w:rPr>
          <w:rFonts w:eastAsia="Times New Roman"/>
        </w:rPr>
        <w:t>Pirmās instances tiesa spriedumā pamatoti konstatējusi, ka cietusī kaitējuma kompens</w:t>
      </w:r>
      <w:r w:rsidR="00AE4BF9">
        <w:rPr>
          <w:rFonts w:eastAsia="Times New Roman"/>
        </w:rPr>
        <w:t>āciju 10000 </w:t>
      </w:r>
      <w:proofErr w:type="spellStart"/>
      <w:r w:rsidR="008F1C8F" w:rsidRPr="007670FF">
        <w:rPr>
          <w:rFonts w:eastAsia="Times New Roman"/>
          <w:i/>
        </w:rPr>
        <w:t>euro</w:t>
      </w:r>
      <w:proofErr w:type="spellEnd"/>
      <w:r w:rsidR="008F1C8F">
        <w:rPr>
          <w:rFonts w:eastAsia="Times New Roman"/>
        </w:rPr>
        <w:t xml:space="preserve"> pi</w:t>
      </w:r>
      <w:r w:rsidR="00BD683A">
        <w:rPr>
          <w:rFonts w:eastAsia="Times New Roman"/>
        </w:rPr>
        <w:t>eteikusi pēc likumā noteiktā termiņa</w:t>
      </w:r>
      <w:r w:rsidR="008F1C8F">
        <w:rPr>
          <w:rFonts w:eastAsia="Times New Roman"/>
        </w:rPr>
        <w:t xml:space="preserve">. Tādējādi tiesai nebija tiesiska pamata </w:t>
      </w:r>
      <w:r w:rsidR="00EA634C">
        <w:rPr>
          <w:rFonts w:eastAsia="Times New Roman"/>
        </w:rPr>
        <w:t>pieņemt un izskatīt minēto</w:t>
      </w:r>
      <w:r w:rsidR="001D3F96">
        <w:rPr>
          <w:rFonts w:eastAsia="Times New Roman"/>
        </w:rPr>
        <w:t xml:space="preserve"> cietušās </w:t>
      </w:r>
      <w:r w:rsidR="009D6D72">
        <w:rPr>
          <w:rFonts w:eastAsia="Times New Roman"/>
        </w:rPr>
        <w:t>[pers. B]</w:t>
      </w:r>
      <w:r w:rsidR="00EA634C">
        <w:rPr>
          <w:rFonts w:eastAsia="Times New Roman"/>
        </w:rPr>
        <w:t xml:space="preserve"> kompensācijas pieteikumu.</w:t>
      </w:r>
      <w:r w:rsidR="00EA634C" w:rsidRPr="00EA634C">
        <w:rPr>
          <w:rFonts w:eastAsia="Times New Roman"/>
        </w:rPr>
        <w:t xml:space="preserve"> </w:t>
      </w:r>
    </w:p>
    <w:p w:rsidR="00EA634C" w:rsidRDefault="00742827" w:rsidP="007670FF">
      <w:pPr>
        <w:spacing w:line="276" w:lineRule="auto"/>
        <w:ind w:firstLine="709"/>
        <w:jc w:val="both"/>
        <w:rPr>
          <w:rFonts w:eastAsia="Times New Roman"/>
        </w:rPr>
      </w:pPr>
      <w:r>
        <w:rPr>
          <w:rFonts w:eastAsia="Times New Roman"/>
        </w:rPr>
        <w:t xml:space="preserve">[6.2] </w:t>
      </w:r>
      <w:r w:rsidR="00EA634C">
        <w:rPr>
          <w:rFonts w:eastAsia="Times New Roman"/>
        </w:rPr>
        <w:t>Pārkāpjot Kriminālprocesa likuma 351.panta pirmās daļas nosacījumus, pirmās instances tiesa ir lēmusi cietu</w:t>
      </w:r>
      <w:r w:rsidR="001D3F96">
        <w:rPr>
          <w:rFonts w:eastAsia="Times New Roman"/>
        </w:rPr>
        <w:t xml:space="preserve">šās </w:t>
      </w:r>
      <w:r w:rsidR="009D6D72">
        <w:rPr>
          <w:rFonts w:eastAsia="Times New Roman"/>
        </w:rPr>
        <w:t>[pers. B]</w:t>
      </w:r>
      <w:r w:rsidR="00EA634C">
        <w:rPr>
          <w:rFonts w:eastAsia="Times New Roman"/>
        </w:rPr>
        <w:t xml:space="preserve"> pieteikto morā</w:t>
      </w:r>
      <w:r w:rsidR="001D3F96">
        <w:rPr>
          <w:rFonts w:eastAsia="Times New Roman"/>
        </w:rPr>
        <w:t>lā kaitējuma kompensāciju 10000 </w:t>
      </w:r>
      <w:proofErr w:type="spellStart"/>
      <w:r w:rsidR="00EA634C" w:rsidRPr="001D3F96">
        <w:rPr>
          <w:rFonts w:eastAsia="Times New Roman"/>
          <w:i/>
        </w:rPr>
        <w:t>euro</w:t>
      </w:r>
      <w:proofErr w:type="spellEnd"/>
      <w:r w:rsidR="00EA634C">
        <w:rPr>
          <w:rFonts w:eastAsia="Times New Roman"/>
        </w:rPr>
        <w:t xml:space="preserve"> nenoteikt. Arī apel</w:t>
      </w:r>
      <w:r>
        <w:rPr>
          <w:rFonts w:eastAsia="Times New Roman"/>
        </w:rPr>
        <w:t>ācij</w:t>
      </w:r>
      <w:r w:rsidR="00EA634C">
        <w:rPr>
          <w:rFonts w:eastAsia="Times New Roman"/>
        </w:rPr>
        <w:t>as instances tiesa</w:t>
      </w:r>
      <w:r w:rsidR="00AE4BF9">
        <w:rPr>
          <w:rFonts w:eastAsia="Times New Roman"/>
        </w:rPr>
        <w:t xml:space="preserve"> nepamatoti</w:t>
      </w:r>
      <w:r w:rsidR="00EA634C">
        <w:rPr>
          <w:rFonts w:eastAsia="Times New Roman"/>
        </w:rPr>
        <w:t xml:space="preserve"> atzinusi, ka pirmās instances tiesa</w:t>
      </w:r>
      <w:r w:rsidR="001D3F96">
        <w:rPr>
          <w:rFonts w:eastAsia="Times New Roman"/>
        </w:rPr>
        <w:t xml:space="preserve"> likumīgi un pamatoti lēmusi </w:t>
      </w:r>
      <w:r w:rsidR="009D6D72">
        <w:rPr>
          <w:rFonts w:eastAsia="Times New Roman"/>
        </w:rPr>
        <w:t>[pers. </w:t>
      </w:r>
      <w:r w:rsidR="009D6D72">
        <w:t>B]</w:t>
      </w:r>
      <w:r w:rsidR="00EA634C">
        <w:rPr>
          <w:rFonts w:eastAsia="Times New Roman"/>
        </w:rPr>
        <w:t xml:space="preserve"> pieteikto kaitējuma kompensāciju 10000</w:t>
      </w:r>
      <w:r w:rsidR="001D3F96">
        <w:rPr>
          <w:rFonts w:eastAsia="Times New Roman"/>
        </w:rPr>
        <w:t> </w:t>
      </w:r>
      <w:proofErr w:type="spellStart"/>
      <w:r w:rsidR="00EA634C" w:rsidRPr="001D3F96">
        <w:rPr>
          <w:rFonts w:eastAsia="Times New Roman"/>
          <w:i/>
        </w:rPr>
        <w:t>euro</w:t>
      </w:r>
      <w:proofErr w:type="spellEnd"/>
      <w:r w:rsidR="00EA634C">
        <w:rPr>
          <w:rFonts w:eastAsia="Times New Roman"/>
        </w:rPr>
        <w:t xml:space="preserve"> nenoteikt.</w:t>
      </w:r>
    </w:p>
    <w:p w:rsidR="00BD683A" w:rsidRDefault="00EA634C" w:rsidP="007670FF">
      <w:pPr>
        <w:spacing w:line="276" w:lineRule="auto"/>
        <w:ind w:firstLine="709"/>
        <w:jc w:val="both"/>
        <w:rPr>
          <w:rFonts w:eastAsia="Times New Roman"/>
        </w:rPr>
      </w:pPr>
      <w:r>
        <w:rPr>
          <w:rFonts w:eastAsia="Times New Roman"/>
        </w:rPr>
        <w:t>Senāts atzīst, ka tiesas pieļautais Kriminālprocesa likuma 351.panta pirmās daļas pārkāpums</w:t>
      </w:r>
      <w:r w:rsidR="00742827">
        <w:rPr>
          <w:rFonts w:eastAsia="Times New Roman"/>
        </w:rPr>
        <w:t xml:space="preserve"> nav būtisks un nav aizskāris apsūdzētā</w:t>
      </w:r>
      <w:r>
        <w:rPr>
          <w:rFonts w:eastAsia="Times New Roman"/>
        </w:rPr>
        <w:t xml:space="preserve"> </w:t>
      </w:r>
      <w:r w:rsidR="009D6D72">
        <w:rPr>
          <w:rFonts w:eastAsia="Times New Roman"/>
        </w:rPr>
        <w:t>[pers. A]</w:t>
      </w:r>
      <w:r w:rsidR="00742827">
        <w:rPr>
          <w:rFonts w:eastAsia="Times New Roman"/>
        </w:rPr>
        <w:t xml:space="preserve"> un cietušās </w:t>
      </w:r>
      <w:r w:rsidR="009D6D72">
        <w:rPr>
          <w:rFonts w:eastAsia="Times New Roman"/>
        </w:rPr>
        <w:t>[pers. B]</w:t>
      </w:r>
      <w:r w:rsidR="00742827">
        <w:rPr>
          <w:rFonts w:eastAsia="Times New Roman"/>
        </w:rPr>
        <w:t xml:space="preserve"> tiesības.</w:t>
      </w:r>
      <w:r w:rsidR="001A7A48">
        <w:rPr>
          <w:rFonts w:eastAsia="Times New Roman"/>
        </w:rPr>
        <w:t xml:space="preserve"> Minētais pārkāpums lietā nav novedis pie nelikumīga nolēmuma.</w:t>
      </w:r>
    </w:p>
    <w:p w:rsidR="00EC0499" w:rsidRDefault="00EC0499" w:rsidP="007670FF">
      <w:pPr>
        <w:spacing w:line="276" w:lineRule="auto"/>
        <w:ind w:firstLine="709"/>
        <w:jc w:val="both"/>
        <w:rPr>
          <w:rFonts w:eastAsia="Times New Roman"/>
        </w:rPr>
      </w:pPr>
    </w:p>
    <w:p w:rsidR="00691F4F" w:rsidRDefault="00314643" w:rsidP="007670FF">
      <w:pPr>
        <w:spacing w:line="276" w:lineRule="auto"/>
        <w:ind w:firstLine="709"/>
        <w:jc w:val="both"/>
        <w:rPr>
          <w:rFonts w:eastAsia="Times New Roman"/>
        </w:rPr>
      </w:pPr>
      <w:r>
        <w:rPr>
          <w:rFonts w:eastAsia="Times New Roman"/>
        </w:rPr>
        <w:t>[7]</w:t>
      </w:r>
      <w:r w:rsidR="007670FF">
        <w:rPr>
          <w:rFonts w:eastAsia="Times New Roman"/>
        </w:rPr>
        <w:t> </w:t>
      </w:r>
      <w:r w:rsidR="00E34458">
        <w:rPr>
          <w:rFonts w:eastAsia="Times New Roman"/>
        </w:rPr>
        <w:t>Senāta ieskatā</w:t>
      </w:r>
      <w:r w:rsidR="00691F4F">
        <w:rPr>
          <w:rFonts w:eastAsia="Times New Roman"/>
        </w:rPr>
        <w:t>,</w:t>
      </w:r>
      <w:r w:rsidR="00E34458">
        <w:rPr>
          <w:rFonts w:eastAsia="Times New Roman"/>
        </w:rPr>
        <w:t xml:space="preserve"> apel</w:t>
      </w:r>
      <w:r w:rsidR="00691F4F">
        <w:rPr>
          <w:rFonts w:eastAsia="Times New Roman"/>
        </w:rPr>
        <w:t xml:space="preserve">ācijas </w:t>
      </w:r>
      <w:r w:rsidR="00E34458">
        <w:rPr>
          <w:rFonts w:eastAsia="Times New Roman"/>
        </w:rPr>
        <w:t>instances tiesa, iztiesājot krimin</w:t>
      </w:r>
      <w:r w:rsidR="00691F4F">
        <w:rPr>
          <w:rFonts w:eastAsia="Times New Roman"/>
        </w:rPr>
        <w:t>āllietu, nav p</w:t>
      </w:r>
      <w:r w:rsidR="00E34458">
        <w:rPr>
          <w:rFonts w:eastAsia="Times New Roman"/>
        </w:rPr>
        <w:t>ie</w:t>
      </w:r>
      <w:r w:rsidR="00691F4F">
        <w:rPr>
          <w:rFonts w:eastAsia="Times New Roman"/>
        </w:rPr>
        <w:t>ļā</w:t>
      </w:r>
      <w:r w:rsidR="00E34458">
        <w:rPr>
          <w:rFonts w:eastAsia="Times New Roman"/>
        </w:rPr>
        <w:t>vusi</w:t>
      </w:r>
      <w:r w:rsidR="002008A4">
        <w:rPr>
          <w:rFonts w:eastAsia="Times New Roman"/>
        </w:rPr>
        <w:t xml:space="preserve"> pārējos</w:t>
      </w:r>
      <w:r w:rsidR="001D3F96">
        <w:rPr>
          <w:rFonts w:eastAsia="Times New Roman"/>
        </w:rPr>
        <w:t xml:space="preserve"> aizstāves B. </w:t>
      </w:r>
      <w:r w:rsidR="00691F4F">
        <w:rPr>
          <w:rFonts w:eastAsia="Times New Roman"/>
        </w:rPr>
        <w:t>Miķelsones kasācijas sūdzībā norādītos Krimināllikuma un Kriminālprocesa likuma būtiskus pārkāpumus.</w:t>
      </w:r>
    </w:p>
    <w:p w:rsidR="00AF3CA0" w:rsidRDefault="00314643" w:rsidP="007670FF">
      <w:pPr>
        <w:spacing w:line="276" w:lineRule="auto"/>
        <w:ind w:firstLine="709"/>
        <w:jc w:val="both"/>
        <w:rPr>
          <w:rFonts w:eastAsia="Times New Roman"/>
        </w:rPr>
      </w:pPr>
      <w:r>
        <w:rPr>
          <w:rFonts w:eastAsia="Times New Roman"/>
        </w:rPr>
        <w:t>[7</w:t>
      </w:r>
      <w:r w:rsidR="00691F4F">
        <w:rPr>
          <w:rFonts w:eastAsia="Times New Roman"/>
        </w:rPr>
        <w:t>.1] Kasācijas sūdzīb</w:t>
      </w:r>
      <w:r w:rsidR="00EE3292">
        <w:rPr>
          <w:rFonts w:eastAsia="Times New Roman"/>
        </w:rPr>
        <w:t>ā pamat</w:t>
      </w:r>
      <w:r w:rsidR="00691F4F">
        <w:rPr>
          <w:rFonts w:eastAsia="Times New Roman"/>
        </w:rPr>
        <w:t>ā ir atkārtoti</w:t>
      </w:r>
      <w:r w:rsidR="00EE3292">
        <w:rPr>
          <w:rFonts w:eastAsia="Times New Roman"/>
        </w:rPr>
        <w:t xml:space="preserve"> apelācijas sūdzībā izteiktie argumenti, kurus apelācijas instances tiesa ir izvērtējusi un motivēti noraidījusi. Neargumentētas aizstāves norādes kasācijas sūdzībā uz Kriminālprocesa likuma un Krimināllikuma pārkāpumiem, Senāta ieskatā, saistītas ar vēlmi, lai kasācijas instances tiesa atkārtoti izvērtētu pierādījumus un panāktu apelācijas instances tiesas nolēmuma atcelšanu</w:t>
      </w:r>
      <w:r w:rsidR="006D4608">
        <w:rPr>
          <w:rFonts w:eastAsia="Times New Roman"/>
        </w:rPr>
        <w:t xml:space="preserve"> nevis juridisku, bet faktisku iemeslu dēļ, kas ir pretrunā Kriminālprocesa likuma 569.panta pirmās daļas noteikumiem.</w:t>
      </w:r>
      <w:r w:rsidR="0072053B">
        <w:rPr>
          <w:rFonts w:eastAsia="Times New Roman"/>
        </w:rPr>
        <w:t xml:space="preserve"> Kasācijas instances tiesa pierādījumus lietā no jauna neizvērtē, lietas faktiskos apstākļus neskaidro. </w:t>
      </w:r>
    </w:p>
    <w:p w:rsidR="007670FF" w:rsidRDefault="009D6D72" w:rsidP="007670FF">
      <w:pPr>
        <w:spacing w:line="276" w:lineRule="auto"/>
        <w:ind w:firstLine="709"/>
        <w:jc w:val="both"/>
        <w:rPr>
          <w:rFonts w:eastAsia="Times New Roman"/>
        </w:rPr>
      </w:pPr>
      <w:r>
        <w:rPr>
          <w:rFonts w:eastAsia="Times New Roman"/>
        </w:rPr>
        <w:t>[..]</w:t>
      </w:r>
      <w:r w:rsidR="0072053B">
        <w:rPr>
          <w:rFonts w:eastAsia="Times New Roman"/>
        </w:rPr>
        <w:t xml:space="preserve"> apgabaltiesa atzinusi, ka apsūdzētā </w:t>
      </w:r>
      <w:r>
        <w:rPr>
          <w:rFonts w:eastAsia="Times New Roman"/>
        </w:rPr>
        <w:t>[pers. A]</w:t>
      </w:r>
      <w:r w:rsidR="0072053B">
        <w:rPr>
          <w:rFonts w:eastAsia="Times New Roman"/>
        </w:rPr>
        <w:t xml:space="preserve"> vainīgums noziedzīgo nodarījumu izdarīšanā, kas paredzēti Krimināllikuma 160.panta piektajā daļā, 166.panta piektajā daļā un 126.panta pirmajā daļā, apstiprinās ar krimināllietā savāktajiem un tiesas sēdē pārbaudītajiem un novērtētajiem pierādījumiem.</w:t>
      </w:r>
    </w:p>
    <w:p w:rsidR="0072053B" w:rsidRDefault="0072053B" w:rsidP="007670FF">
      <w:pPr>
        <w:spacing w:line="276" w:lineRule="auto"/>
        <w:ind w:firstLine="709"/>
        <w:jc w:val="both"/>
        <w:rPr>
          <w:rFonts w:eastAsia="Times New Roman"/>
        </w:rPr>
      </w:pPr>
      <w:r>
        <w:rPr>
          <w:rFonts w:eastAsia="Times New Roman"/>
        </w:rPr>
        <w:t>Kasācijas instances tiesai nav pamata apšaubīt apelācijas instances tiesas atzinumu.</w:t>
      </w:r>
    </w:p>
    <w:p w:rsidR="00EF3546" w:rsidRDefault="00314643" w:rsidP="007670FF">
      <w:pPr>
        <w:spacing w:line="276" w:lineRule="auto"/>
        <w:ind w:firstLine="709"/>
        <w:jc w:val="both"/>
        <w:rPr>
          <w:rFonts w:eastAsia="Times New Roman"/>
        </w:rPr>
      </w:pPr>
      <w:r>
        <w:rPr>
          <w:rFonts w:eastAsia="Times New Roman"/>
        </w:rPr>
        <w:t>[7</w:t>
      </w:r>
      <w:r w:rsidR="00AF3CA0">
        <w:rPr>
          <w:rFonts w:eastAsia="Times New Roman"/>
        </w:rPr>
        <w:t xml:space="preserve">.2] </w:t>
      </w:r>
      <w:r w:rsidR="00EF3546">
        <w:rPr>
          <w:rFonts w:eastAsia="Times New Roman"/>
        </w:rPr>
        <w:t xml:space="preserve">Aizstāve sūdzībā norādījusi, ka abu zemāko instanču tiesas nolēmumu aprakstošajā daļā nav konstatējušas </w:t>
      </w:r>
      <w:r w:rsidR="009D6D72">
        <w:rPr>
          <w:rFonts w:eastAsia="Times New Roman"/>
        </w:rPr>
        <w:t>[pers. A]</w:t>
      </w:r>
      <w:r w:rsidR="00EF3546">
        <w:rPr>
          <w:rFonts w:eastAsia="Times New Roman"/>
        </w:rPr>
        <w:t xml:space="preserve"> atbildību pastiprinošo apstākli – noziedzīgā nodarījuma izdarīšanu alkohola ietekmē.</w:t>
      </w:r>
    </w:p>
    <w:p w:rsidR="004974E3" w:rsidRDefault="00EF3546" w:rsidP="007670FF">
      <w:pPr>
        <w:spacing w:line="276" w:lineRule="auto"/>
        <w:ind w:firstLine="709"/>
        <w:jc w:val="both"/>
        <w:rPr>
          <w:rFonts w:eastAsia="Times New Roman"/>
        </w:rPr>
      </w:pPr>
      <w:r>
        <w:rPr>
          <w:rFonts w:eastAsia="Times New Roman"/>
        </w:rPr>
        <w:t>Atbilstoši Kriminālprocesa likuma 527.panta pirmās daļas nosacījumiem notiesājoša sprieduma aprakstošajā daļā sniedz pierādītā noziedzīga nodarījuma aprakstu un juridisko kvalifikāciju, minot tā izdarīšanas laiku, vietu, izdarīšanas veidu, apsūdzētā vainas formu, motīvus un šā nodarījuma sekas.</w:t>
      </w:r>
      <w:r w:rsidR="00AD241A">
        <w:rPr>
          <w:rFonts w:eastAsia="Times New Roman"/>
        </w:rPr>
        <w:t xml:space="preserve"> No minētā izriet, ka notiesājoša sprie</w:t>
      </w:r>
      <w:r w:rsidR="000067D1">
        <w:rPr>
          <w:rFonts w:eastAsia="Times New Roman"/>
        </w:rPr>
        <w:t>duma aprakstošajā</w:t>
      </w:r>
      <w:r w:rsidR="00AD241A">
        <w:rPr>
          <w:rFonts w:eastAsia="Times New Roman"/>
        </w:rPr>
        <w:t xml:space="preserve"> daļā nav obligāti jānorāda atbildību pastiprinoša apstākļa esība. Turkl</w:t>
      </w:r>
      <w:r w:rsidR="001D6466">
        <w:rPr>
          <w:rFonts w:eastAsia="Times New Roman"/>
        </w:rPr>
        <w:t>āt</w:t>
      </w:r>
      <w:r w:rsidR="00AD241A">
        <w:rPr>
          <w:rFonts w:eastAsia="Times New Roman"/>
        </w:rPr>
        <w:t xml:space="preserve"> no lietas materiāliem</w:t>
      </w:r>
      <w:r w:rsidR="001D6466">
        <w:rPr>
          <w:rFonts w:eastAsia="Times New Roman"/>
        </w:rPr>
        <w:t xml:space="preserve"> izriet</w:t>
      </w:r>
      <w:r w:rsidR="00AD241A">
        <w:rPr>
          <w:rFonts w:eastAsia="Times New Roman"/>
        </w:rPr>
        <w:t>,</w:t>
      </w:r>
      <w:r w:rsidR="001D6466">
        <w:rPr>
          <w:rFonts w:eastAsia="Times New Roman"/>
        </w:rPr>
        <w:t xml:space="preserve"> ka</w:t>
      </w:r>
      <w:r w:rsidR="00AD241A">
        <w:rPr>
          <w:rFonts w:eastAsia="Times New Roman"/>
        </w:rPr>
        <w:t xml:space="preserve"> abu zemāko instanču tiesas</w:t>
      </w:r>
      <w:r w:rsidR="001D6466">
        <w:rPr>
          <w:rFonts w:eastAsia="Times New Roman"/>
        </w:rPr>
        <w:t xml:space="preserve"> savu nolēmumu motīvu daļā </w:t>
      </w:r>
      <w:r w:rsidR="001D3F96">
        <w:rPr>
          <w:rFonts w:eastAsia="Times New Roman"/>
        </w:rPr>
        <w:t xml:space="preserve">ir atzinušas, ka apsūdzētais </w:t>
      </w:r>
      <w:r w:rsidR="009D6D72">
        <w:rPr>
          <w:rFonts w:eastAsia="Times New Roman"/>
        </w:rPr>
        <w:t>[pers. A]</w:t>
      </w:r>
      <w:r w:rsidR="001D6466">
        <w:rPr>
          <w:rFonts w:eastAsia="Times New Roman"/>
        </w:rPr>
        <w:t xml:space="preserve"> noziedzīgos nodarījumus ir izdarījis alkohola ietekmē un šo apstākli pamatoti atzinušas par atbildību pastiprinošu.</w:t>
      </w:r>
      <w:r>
        <w:rPr>
          <w:rFonts w:eastAsia="Times New Roman"/>
        </w:rPr>
        <w:t xml:space="preserve"> </w:t>
      </w:r>
    </w:p>
    <w:p w:rsidR="009C3271" w:rsidRDefault="00314643" w:rsidP="007670FF">
      <w:pPr>
        <w:spacing w:line="276" w:lineRule="auto"/>
        <w:ind w:firstLine="709"/>
        <w:jc w:val="both"/>
        <w:rPr>
          <w:rFonts w:eastAsia="Times New Roman"/>
        </w:rPr>
      </w:pPr>
      <w:r>
        <w:rPr>
          <w:rFonts w:eastAsia="Times New Roman"/>
        </w:rPr>
        <w:t>[7</w:t>
      </w:r>
      <w:r w:rsidR="004974E3">
        <w:rPr>
          <w:rFonts w:eastAsia="Times New Roman"/>
        </w:rPr>
        <w:t>.</w:t>
      </w:r>
      <w:r w:rsidR="009C3271">
        <w:rPr>
          <w:rFonts w:eastAsia="Times New Roman"/>
        </w:rPr>
        <w:t>3] A</w:t>
      </w:r>
      <w:r w:rsidR="004974E3">
        <w:rPr>
          <w:rFonts w:eastAsia="Times New Roman"/>
        </w:rPr>
        <w:t>izst</w:t>
      </w:r>
      <w:r w:rsidR="009C3271">
        <w:rPr>
          <w:rFonts w:eastAsia="Times New Roman"/>
        </w:rPr>
        <w:t>āve</w:t>
      </w:r>
      <w:r w:rsidR="004974E3">
        <w:rPr>
          <w:rFonts w:eastAsia="Times New Roman"/>
        </w:rPr>
        <w:t xml:space="preserve"> sūdz</w:t>
      </w:r>
      <w:r w:rsidR="009C3271">
        <w:rPr>
          <w:rFonts w:eastAsia="Times New Roman"/>
        </w:rPr>
        <w:t>ībā apstrīd tiesu sniegto pierādījumu</w:t>
      </w:r>
      <w:r w:rsidR="00BA3113">
        <w:rPr>
          <w:rFonts w:eastAsia="Times New Roman"/>
        </w:rPr>
        <w:t>, kas apstiprina apsūdzētā vainīgumu noziedzīgo nodarījumu izdarīšanā,</w:t>
      </w:r>
      <w:r w:rsidR="009C3271">
        <w:rPr>
          <w:rFonts w:eastAsia="Times New Roman"/>
        </w:rPr>
        <w:t xml:space="preserve"> vērtējumu. Senāts konstatē, ka apelācijas instances tiesa lēmumā atbilstoši Kriminālprocesa likuma 564.panta ceturtās daļas prasībām ir </w:t>
      </w:r>
      <w:r w:rsidR="009C3271">
        <w:rPr>
          <w:rFonts w:eastAsia="Times New Roman"/>
        </w:rPr>
        <w:lastRenderedPageBreak/>
        <w:t>izvērtējusi lietā iegūtos pierādījumus, un tiesas atzinumi pamatoti ar šiem pierādījumiem. Pierādījumi vērtēti to kopumā un savstarpējā sakarībā.</w:t>
      </w:r>
    </w:p>
    <w:p w:rsidR="00745FC4" w:rsidRDefault="009C3271" w:rsidP="007670FF">
      <w:pPr>
        <w:spacing w:line="276" w:lineRule="auto"/>
        <w:ind w:firstLine="709"/>
        <w:jc w:val="both"/>
        <w:rPr>
          <w:rFonts w:eastAsia="Times New Roman"/>
        </w:rPr>
      </w:pPr>
      <w:r>
        <w:rPr>
          <w:rFonts w:eastAsia="Times New Roman"/>
        </w:rPr>
        <w:t>Lietu pēc būtības izskata pirmās instances tiesa, bet gadījumos, kad iesniegts apelācijas protests vai sūdzība, lietu pēc būtības izskata arī apelācijas instances tiesa.</w:t>
      </w:r>
    </w:p>
    <w:p w:rsidR="00314643" w:rsidRDefault="00745FC4" w:rsidP="007670FF">
      <w:pPr>
        <w:spacing w:line="276" w:lineRule="auto"/>
        <w:ind w:firstLine="709"/>
        <w:jc w:val="both"/>
        <w:rPr>
          <w:rFonts w:eastAsia="Times New Roman"/>
        </w:rPr>
      </w:pPr>
      <w:r>
        <w:rPr>
          <w:rFonts w:eastAsia="Times New Roman"/>
        </w:rPr>
        <w:t>Pierādījumu ticamības jēdziens un novē</w:t>
      </w:r>
      <w:r w:rsidR="0049063C">
        <w:rPr>
          <w:rFonts w:eastAsia="Times New Roman"/>
        </w:rPr>
        <w:t>rtēšanas prasības ir noteiktas K</w:t>
      </w:r>
      <w:r>
        <w:rPr>
          <w:rFonts w:eastAsia="Times New Roman"/>
        </w:rPr>
        <w:t>riminālprocesa likuma 128.pantā, taču izvēle, kuriem pierādījumiem ticēt, bet kuriem nē, ir tās tiesas kompetencē, kas izspriež lietu pēc būtības. Arī jautājums par to, vai lietā esošie pierādījumi ir vai nav pietiekami apsūdzētā vainīguma konstatēšanai, ir būtības jautājums, kas kasācijas kārtībā nav pārbaudāms. Pierādījumu pietiekamības kritērijs ir saprātīgu šaubu esamība vai neesamība par apsūdzētā vainīgumu, kura izvērtēšana tāpat ir tās tiesas kompetencē, kas izskata lietu pēc būtības.</w:t>
      </w:r>
      <w:r w:rsidR="00115D0D" w:rsidRPr="00115D0D">
        <w:rPr>
          <w:rFonts w:eastAsia="Times New Roman"/>
        </w:rPr>
        <w:t xml:space="preserve"> </w:t>
      </w:r>
      <w:r w:rsidR="00115D0D">
        <w:rPr>
          <w:rFonts w:eastAsia="Times New Roman"/>
        </w:rPr>
        <w:t>Citāda pierādījumu vērtēšana kasācijas sūdzībā, nekā tos vērtējusi apelācijas instances tiesa, nevar būt par pamatu tiesas nolēmuma atcelšanai.</w:t>
      </w:r>
    </w:p>
    <w:p w:rsidR="00924601" w:rsidRDefault="00314643" w:rsidP="007670FF">
      <w:pPr>
        <w:spacing w:line="276" w:lineRule="auto"/>
        <w:ind w:firstLine="709"/>
        <w:jc w:val="both"/>
        <w:rPr>
          <w:rFonts w:eastAsia="Times New Roman"/>
        </w:rPr>
      </w:pPr>
      <w:r>
        <w:rPr>
          <w:rFonts w:eastAsia="Times New Roman"/>
        </w:rPr>
        <w:t>[7.4] Aizstāve kasācijas sūdzībā norādījusi, ka</w:t>
      </w:r>
      <w:r w:rsidR="00924601">
        <w:rPr>
          <w:rFonts w:eastAsia="Times New Roman"/>
        </w:rPr>
        <w:t xml:space="preserve"> </w:t>
      </w:r>
      <w:r w:rsidR="00B43E02">
        <w:rPr>
          <w:rFonts w:eastAsia="Times New Roman"/>
        </w:rPr>
        <w:t xml:space="preserve">apelācijas </w:t>
      </w:r>
      <w:r w:rsidR="00BC5B86">
        <w:rPr>
          <w:rFonts w:eastAsia="Times New Roman"/>
        </w:rPr>
        <w:t xml:space="preserve">instances </w:t>
      </w:r>
      <w:r w:rsidR="00B43E02">
        <w:rPr>
          <w:rFonts w:eastAsia="Times New Roman"/>
        </w:rPr>
        <w:t>tiesa savā lēmu</w:t>
      </w:r>
      <w:r w:rsidR="001D3F96">
        <w:rPr>
          <w:rFonts w:eastAsia="Times New Roman"/>
        </w:rPr>
        <w:t xml:space="preserve">mā nav izvērtējusi apsūdzētā </w:t>
      </w:r>
      <w:r w:rsidR="009D6D72">
        <w:rPr>
          <w:rFonts w:eastAsia="Times New Roman"/>
        </w:rPr>
        <w:t>[pers. A]</w:t>
      </w:r>
      <w:r w:rsidR="00BC5B86">
        <w:rPr>
          <w:rFonts w:eastAsia="Times New Roman"/>
        </w:rPr>
        <w:t xml:space="preserve"> veselības stāvokli, </w:t>
      </w:r>
      <w:r w:rsidR="00B43E02">
        <w:rPr>
          <w:rFonts w:eastAsia="Times New Roman"/>
        </w:rPr>
        <w:t xml:space="preserve">to, ka </w:t>
      </w:r>
      <w:r w:rsidR="009D6D72">
        <w:rPr>
          <w:rFonts w:eastAsia="Times New Roman"/>
        </w:rPr>
        <w:t>[pers. A]</w:t>
      </w:r>
      <w:r w:rsidR="000067D1">
        <w:rPr>
          <w:rFonts w:eastAsia="Times New Roman"/>
        </w:rPr>
        <w:t xml:space="preserve"> bija</w:t>
      </w:r>
      <w:r w:rsidR="0049063C">
        <w:rPr>
          <w:rFonts w:eastAsia="Times New Roman"/>
        </w:rPr>
        <w:t xml:space="preserve"> 3.</w:t>
      </w:r>
      <w:r w:rsidR="00B43E02">
        <w:rPr>
          <w:rFonts w:eastAsia="Times New Roman"/>
        </w:rPr>
        <w:t xml:space="preserve"> grupas invalīds.</w:t>
      </w:r>
      <w:r w:rsidR="00924601">
        <w:rPr>
          <w:rFonts w:eastAsia="Times New Roman"/>
        </w:rPr>
        <w:t xml:space="preserve"> </w:t>
      </w:r>
    </w:p>
    <w:p w:rsidR="00393B1E" w:rsidRDefault="00924601" w:rsidP="007670FF">
      <w:pPr>
        <w:spacing w:line="276" w:lineRule="auto"/>
        <w:ind w:firstLine="709"/>
        <w:jc w:val="both"/>
        <w:rPr>
          <w:rFonts w:eastAsia="Times New Roman"/>
        </w:rPr>
      </w:pPr>
      <w:r>
        <w:rPr>
          <w:rFonts w:eastAsia="Times New Roman"/>
        </w:rPr>
        <w:t>Augstākā tiesa jau agrāk ir paudusi viedokli, ka kasācijas sūdzību nevar iesniegt par tādiem apstākļiem, par kuriem nebija iesniegta apelācijas sūdzība par pirmās instances tiesas spriedumu (</w:t>
      </w:r>
      <w:r w:rsidR="001D3F96" w:rsidRPr="00D97863">
        <w:rPr>
          <w:rFonts w:eastAsia="Times New Roman"/>
          <w:i/>
        </w:rPr>
        <w:t>sk. </w:t>
      </w:r>
      <w:r w:rsidRPr="00D97863">
        <w:rPr>
          <w:rFonts w:eastAsia="Times New Roman"/>
          <w:i/>
        </w:rPr>
        <w:t>Augstākās tiesas Senāta 2011.gada 29.novembra lēmums lietā Nr.</w:t>
      </w:r>
      <w:r w:rsidR="001D3F96" w:rsidRPr="00D97863">
        <w:rPr>
          <w:rFonts w:eastAsia="Times New Roman"/>
          <w:i/>
        </w:rPr>
        <w:t> </w:t>
      </w:r>
      <w:r w:rsidRPr="00D97863">
        <w:rPr>
          <w:rFonts w:eastAsia="Times New Roman"/>
          <w:i/>
        </w:rPr>
        <w:t>SKK-604/2011 (11815003910), 2016.gada 31.marta lēmums lietā Nr.</w:t>
      </w:r>
      <w:r w:rsidR="001D3F96" w:rsidRPr="00D97863">
        <w:rPr>
          <w:rFonts w:eastAsia="Times New Roman"/>
          <w:i/>
        </w:rPr>
        <w:t> </w:t>
      </w:r>
      <w:r w:rsidRPr="00D97863">
        <w:rPr>
          <w:rFonts w:eastAsia="Times New Roman"/>
          <w:i/>
        </w:rPr>
        <w:t>SKK-17/2016 (11089150112)</w:t>
      </w:r>
      <w:r>
        <w:rPr>
          <w:rFonts w:eastAsia="Times New Roman"/>
        </w:rPr>
        <w:t>).</w:t>
      </w:r>
    </w:p>
    <w:p w:rsidR="00B40136" w:rsidRDefault="00D97863" w:rsidP="007670FF">
      <w:pPr>
        <w:spacing w:line="276" w:lineRule="auto"/>
        <w:ind w:firstLine="709"/>
        <w:jc w:val="both"/>
        <w:rPr>
          <w:rFonts w:eastAsia="Times New Roman"/>
        </w:rPr>
      </w:pPr>
      <w:r>
        <w:rPr>
          <w:rFonts w:eastAsia="Times New Roman"/>
        </w:rPr>
        <w:t>Senāts konstatē, ka aizstāve B. </w:t>
      </w:r>
      <w:r w:rsidR="00393B1E">
        <w:rPr>
          <w:rFonts w:eastAsia="Times New Roman"/>
        </w:rPr>
        <w:t>Miķelsone kasācijas sūdzībā norādījusi tādus motīvus, kas nebija norādīti apelācijas sūdzībā, proti, apelācijas sūdzībā nebija norādes, ka</w:t>
      </w:r>
      <w:r w:rsidR="00B40136">
        <w:rPr>
          <w:rFonts w:eastAsia="Times New Roman"/>
        </w:rPr>
        <w:t xml:space="preserve"> pirmās instances tiesa</w:t>
      </w:r>
      <w:r>
        <w:rPr>
          <w:rFonts w:eastAsia="Times New Roman"/>
        </w:rPr>
        <w:t xml:space="preserve"> nav izvērtējusi </w:t>
      </w:r>
      <w:r w:rsidR="009D6D72">
        <w:rPr>
          <w:rFonts w:eastAsia="Times New Roman"/>
        </w:rPr>
        <w:t>[pers. </w:t>
      </w:r>
      <w:r w:rsidR="009D6D72">
        <w:t>A]</w:t>
      </w:r>
      <w:r w:rsidR="00393B1E">
        <w:rPr>
          <w:rFonts w:eastAsia="Times New Roman"/>
        </w:rPr>
        <w:t xml:space="preserve"> veselības</w:t>
      </w:r>
      <w:r>
        <w:rPr>
          <w:rFonts w:eastAsia="Times New Roman"/>
        </w:rPr>
        <w:t xml:space="preserve"> stāvokli un to, ka viņam 2015.gada </w:t>
      </w:r>
      <w:r w:rsidR="005425F9">
        <w:rPr>
          <w:rFonts w:eastAsia="Times New Roman"/>
        </w:rPr>
        <w:t>[..]</w:t>
      </w:r>
      <w:r>
        <w:rPr>
          <w:rFonts w:eastAsia="Times New Roman"/>
        </w:rPr>
        <w:t xml:space="preserve"> bija 2. </w:t>
      </w:r>
      <w:r w:rsidR="00393B1E">
        <w:rPr>
          <w:rFonts w:eastAsia="Times New Roman"/>
        </w:rPr>
        <w:t>invaliditātes grupa</w:t>
      </w:r>
      <w:r w:rsidR="00B40136">
        <w:rPr>
          <w:rFonts w:eastAsia="Times New Roman"/>
        </w:rPr>
        <w:t>,</w:t>
      </w:r>
      <w:r w:rsidR="00393B1E">
        <w:rPr>
          <w:rFonts w:eastAsia="Times New Roman"/>
        </w:rPr>
        <w:t xml:space="preserve"> un lietas izskatīšanas laikā viņš ir 3. grupas invalīds.</w:t>
      </w:r>
      <w:r w:rsidR="00924601">
        <w:rPr>
          <w:rFonts w:eastAsia="Times New Roman"/>
        </w:rPr>
        <w:t xml:space="preserve"> </w:t>
      </w:r>
    </w:p>
    <w:p w:rsidR="009B688A" w:rsidRDefault="00115D0D" w:rsidP="007670FF">
      <w:pPr>
        <w:spacing w:line="276" w:lineRule="auto"/>
        <w:ind w:firstLine="709"/>
        <w:jc w:val="both"/>
        <w:rPr>
          <w:rFonts w:eastAsia="Times New Roman"/>
        </w:rPr>
      </w:pPr>
      <w:r>
        <w:rPr>
          <w:rFonts w:eastAsia="Times New Roman"/>
        </w:rPr>
        <w:t>Tādējādi a</w:t>
      </w:r>
      <w:r w:rsidR="00D97863">
        <w:rPr>
          <w:rFonts w:eastAsia="Times New Roman"/>
        </w:rPr>
        <w:t>izstāve B. </w:t>
      </w:r>
      <w:r w:rsidR="00B40136">
        <w:rPr>
          <w:rFonts w:eastAsia="Times New Roman"/>
        </w:rPr>
        <w:t>Miķelsone kasācijas sūdzību ir iesni</w:t>
      </w:r>
      <w:r w:rsidR="00312AC8">
        <w:rPr>
          <w:rFonts w:eastAsia="Times New Roman"/>
        </w:rPr>
        <w:t>egusi arī par tādiem apstākļiem,</w:t>
      </w:r>
      <w:r w:rsidR="00B40136">
        <w:rPr>
          <w:rFonts w:eastAsia="Times New Roman"/>
        </w:rPr>
        <w:t xml:space="preserve"> par kuriem nebija iesniegta apelācijas sūdzība par pirmās instances tiesas spriedumu. Šādu apstākļu izvērtēšana nav kasācijas instances tiesas kompetencē.</w:t>
      </w:r>
    </w:p>
    <w:p w:rsidR="00191112" w:rsidRDefault="00191112" w:rsidP="007670FF">
      <w:pPr>
        <w:spacing w:line="276" w:lineRule="auto"/>
        <w:ind w:firstLine="709"/>
        <w:jc w:val="both"/>
        <w:rPr>
          <w:rFonts w:eastAsia="Times New Roman"/>
        </w:rPr>
      </w:pPr>
      <w:r>
        <w:rPr>
          <w:rFonts w:eastAsia="Times New Roman"/>
        </w:rPr>
        <w:t>Ievērojot minēto, Senāts atzīst, ka apelācijas instances tiesa nav pieļāvusi Krimināllikuma pārkāpumus vai Kriminālprocesa likuma būtiskus pārkāpumus šā likuma 575.panta trešās daļas izpratnē, kuri varētu būt par pamatu apelācijas instances tiesas lēmuma atcelšanai vai grozīšanai, tādēļ apelācijas instances tiesas lēmums atstājams negrozīts.</w:t>
      </w:r>
    </w:p>
    <w:p w:rsidR="007B7EAC" w:rsidRDefault="007B7EAC" w:rsidP="00CE14CB">
      <w:pPr>
        <w:tabs>
          <w:tab w:val="left" w:pos="0"/>
          <w:tab w:val="left" w:pos="6660"/>
        </w:tabs>
        <w:spacing w:line="276" w:lineRule="auto"/>
        <w:rPr>
          <w:rFonts w:eastAsia="Times New Roman"/>
        </w:rPr>
      </w:pPr>
    </w:p>
    <w:p w:rsidR="0015003F" w:rsidRDefault="0015003F" w:rsidP="00CE14CB">
      <w:pPr>
        <w:tabs>
          <w:tab w:val="left" w:pos="0"/>
          <w:tab w:val="left" w:pos="6660"/>
        </w:tabs>
        <w:spacing w:line="276" w:lineRule="auto"/>
        <w:rPr>
          <w:rFonts w:eastAsia="Times New Roman"/>
        </w:rPr>
      </w:pPr>
    </w:p>
    <w:p w:rsidR="0015003F" w:rsidRDefault="0015003F" w:rsidP="00CE14CB">
      <w:pPr>
        <w:tabs>
          <w:tab w:val="left" w:pos="0"/>
          <w:tab w:val="left" w:pos="6660"/>
        </w:tabs>
        <w:spacing w:line="276" w:lineRule="auto"/>
        <w:rPr>
          <w:rFonts w:eastAsia="Times New Roman"/>
        </w:rPr>
      </w:pPr>
    </w:p>
    <w:p w:rsidR="006A7D66" w:rsidRPr="007B1CD5" w:rsidRDefault="007B1CD5" w:rsidP="005F153F">
      <w:pPr>
        <w:tabs>
          <w:tab w:val="left" w:pos="0"/>
          <w:tab w:val="left" w:pos="6660"/>
        </w:tabs>
        <w:spacing w:line="276" w:lineRule="auto"/>
        <w:jc w:val="center"/>
        <w:rPr>
          <w:b/>
        </w:rPr>
      </w:pPr>
      <w:r w:rsidRPr="007B1CD5">
        <w:rPr>
          <w:b/>
        </w:rPr>
        <w:t>Rezolutīvā daļa</w:t>
      </w:r>
    </w:p>
    <w:p w:rsidR="006A7D66" w:rsidRDefault="006A7D66" w:rsidP="00CE14CB">
      <w:pPr>
        <w:tabs>
          <w:tab w:val="left" w:pos="0"/>
          <w:tab w:val="left" w:pos="6660"/>
        </w:tabs>
        <w:spacing w:line="276" w:lineRule="auto"/>
      </w:pPr>
    </w:p>
    <w:p w:rsidR="006A7D66" w:rsidRDefault="007B1CD5" w:rsidP="005F153F">
      <w:pPr>
        <w:tabs>
          <w:tab w:val="left" w:pos="0"/>
          <w:tab w:val="left" w:pos="6660"/>
        </w:tabs>
        <w:spacing w:line="276" w:lineRule="auto"/>
        <w:ind w:firstLine="709"/>
      </w:pPr>
      <w:r>
        <w:t>Pamatojoties uz Kriminālprocesa likuma 585.,587.pantu, tiesa</w:t>
      </w:r>
    </w:p>
    <w:p w:rsidR="007B1CD5" w:rsidRPr="007B1CD5" w:rsidRDefault="007B1CD5" w:rsidP="005F153F">
      <w:pPr>
        <w:tabs>
          <w:tab w:val="left" w:pos="0"/>
          <w:tab w:val="left" w:pos="6660"/>
        </w:tabs>
        <w:spacing w:line="276" w:lineRule="auto"/>
        <w:jc w:val="center"/>
        <w:rPr>
          <w:b/>
        </w:rPr>
      </w:pPr>
      <w:r w:rsidRPr="007B1CD5">
        <w:rPr>
          <w:b/>
        </w:rPr>
        <w:t>nolēma :</w:t>
      </w:r>
    </w:p>
    <w:p w:rsidR="006A7D66" w:rsidRDefault="006A7D66" w:rsidP="00CE14CB">
      <w:pPr>
        <w:tabs>
          <w:tab w:val="left" w:pos="0"/>
          <w:tab w:val="left" w:pos="6660"/>
        </w:tabs>
        <w:spacing w:line="276" w:lineRule="auto"/>
      </w:pPr>
    </w:p>
    <w:p w:rsidR="00191112" w:rsidRDefault="00191112" w:rsidP="00D97863">
      <w:pPr>
        <w:tabs>
          <w:tab w:val="left" w:pos="0"/>
          <w:tab w:val="left" w:pos="6660"/>
        </w:tabs>
        <w:spacing w:line="276" w:lineRule="auto"/>
        <w:ind w:firstLine="709"/>
        <w:jc w:val="both"/>
      </w:pPr>
      <w:r>
        <w:t xml:space="preserve">atstāt negrozītu </w:t>
      </w:r>
      <w:r w:rsidR="005425F9">
        <w:t>[..]</w:t>
      </w:r>
      <w:r w:rsidR="00F64A76">
        <w:t xml:space="preserve"> apgabaltiesas 2018.gada 25.septembra lēmumu</w:t>
      </w:r>
      <w:r w:rsidR="00D97863">
        <w:t xml:space="preserve">, bet apsūdzētā </w:t>
      </w:r>
      <w:r w:rsidR="00B52892">
        <w:t>[pers. A]</w:t>
      </w:r>
      <w:r w:rsidR="00D97863">
        <w:t xml:space="preserve"> aizstāves Brigitas Miķelsones kasācijas sūdzību noraidīt.</w:t>
      </w:r>
    </w:p>
    <w:p w:rsidR="00134638" w:rsidRDefault="00134638" w:rsidP="00D97863">
      <w:pPr>
        <w:tabs>
          <w:tab w:val="left" w:pos="0"/>
          <w:tab w:val="left" w:pos="6660"/>
        </w:tabs>
        <w:spacing w:line="276" w:lineRule="auto"/>
        <w:ind w:firstLine="709"/>
        <w:jc w:val="both"/>
      </w:pPr>
      <w:r>
        <w:t>Lēmums nav pārsūdzams.</w:t>
      </w:r>
    </w:p>
    <w:p w:rsidR="00134638" w:rsidRDefault="00134638" w:rsidP="00F64A76">
      <w:pPr>
        <w:tabs>
          <w:tab w:val="left" w:pos="0"/>
          <w:tab w:val="left" w:pos="6660"/>
        </w:tabs>
        <w:spacing w:line="276" w:lineRule="auto"/>
        <w:jc w:val="both"/>
      </w:pPr>
    </w:p>
    <w:p w:rsidR="006A7D66" w:rsidRDefault="006A7D66" w:rsidP="00F64A76">
      <w:pPr>
        <w:tabs>
          <w:tab w:val="left" w:pos="0"/>
          <w:tab w:val="left" w:pos="6660"/>
        </w:tabs>
        <w:spacing w:line="276" w:lineRule="auto"/>
        <w:jc w:val="both"/>
      </w:pPr>
    </w:p>
    <w:sectPr w:rsidR="006A7D66" w:rsidSect="007670FF">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DC4" w:rsidRDefault="00FF6DC4" w:rsidP="00FB25DA">
      <w:r>
        <w:separator/>
      </w:r>
    </w:p>
  </w:endnote>
  <w:endnote w:type="continuationSeparator" w:id="0">
    <w:p w:rsidR="00FF6DC4" w:rsidRDefault="00FF6DC4" w:rsidP="00FB2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5190210"/>
      <w:docPartObj>
        <w:docPartGallery w:val="Page Numbers (Bottom of Page)"/>
        <w:docPartUnique/>
      </w:docPartObj>
    </w:sdtPr>
    <w:sdtEndPr/>
    <w:sdtContent>
      <w:sdt>
        <w:sdtPr>
          <w:id w:val="-1459789891"/>
          <w:docPartObj>
            <w:docPartGallery w:val="Page Numbers (Top of Page)"/>
            <w:docPartUnique/>
          </w:docPartObj>
        </w:sdtPr>
        <w:sdtEndPr/>
        <w:sdtContent>
          <w:p w:rsidR="00FF6DC4" w:rsidRDefault="00FF6DC4">
            <w:pPr>
              <w:pStyle w:val="Footer"/>
              <w:jc w:val="center"/>
            </w:pPr>
            <w:r w:rsidRPr="00EA176A">
              <w:rPr>
                <w:bCs/>
              </w:rPr>
              <w:fldChar w:fldCharType="begin"/>
            </w:r>
            <w:r w:rsidRPr="00EA176A">
              <w:rPr>
                <w:bCs/>
              </w:rPr>
              <w:instrText xml:space="preserve"> PAGE </w:instrText>
            </w:r>
            <w:r w:rsidRPr="00EA176A">
              <w:rPr>
                <w:bCs/>
              </w:rPr>
              <w:fldChar w:fldCharType="separate"/>
            </w:r>
            <w:r w:rsidR="00511562">
              <w:rPr>
                <w:bCs/>
                <w:noProof/>
              </w:rPr>
              <w:t>5</w:t>
            </w:r>
            <w:r w:rsidRPr="00EA176A">
              <w:rPr>
                <w:bCs/>
              </w:rPr>
              <w:fldChar w:fldCharType="end"/>
            </w:r>
            <w:r w:rsidRPr="00EA176A">
              <w:t xml:space="preserve"> no </w:t>
            </w:r>
            <w:r w:rsidRPr="00EA176A">
              <w:rPr>
                <w:bCs/>
              </w:rPr>
              <w:fldChar w:fldCharType="begin"/>
            </w:r>
            <w:r w:rsidRPr="00EA176A">
              <w:rPr>
                <w:bCs/>
              </w:rPr>
              <w:instrText xml:space="preserve"> NUMPAGES  </w:instrText>
            </w:r>
            <w:r w:rsidRPr="00EA176A">
              <w:rPr>
                <w:bCs/>
              </w:rPr>
              <w:fldChar w:fldCharType="separate"/>
            </w:r>
            <w:r w:rsidR="00511562">
              <w:rPr>
                <w:bCs/>
                <w:noProof/>
              </w:rPr>
              <w:t>5</w:t>
            </w:r>
            <w:r w:rsidRPr="00EA176A">
              <w:rPr>
                <w:bCs/>
              </w:rPr>
              <w:fldChar w:fldCharType="end"/>
            </w:r>
          </w:p>
        </w:sdtContent>
      </w:sdt>
    </w:sdtContent>
  </w:sdt>
  <w:p w:rsidR="00FF6DC4" w:rsidRDefault="00FF6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DC4" w:rsidRDefault="00FF6DC4" w:rsidP="00FB25DA">
      <w:r>
        <w:separator/>
      </w:r>
    </w:p>
  </w:footnote>
  <w:footnote w:type="continuationSeparator" w:id="0">
    <w:p w:rsidR="00FF6DC4" w:rsidRDefault="00FF6DC4" w:rsidP="00FB25DA">
      <w:r>
        <w:continuationSeparator/>
      </w:r>
    </w:p>
  </w:footnote>
  <w:footnote w:id="1">
    <w:p w:rsidR="00B52892" w:rsidRDefault="00B52892">
      <w:pPr>
        <w:pStyle w:val="FootnoteText"/>
      </w:pPr>
      <w:r>
        <w:rPr>
          <w:rStyle w:val="FootnoteReference"/>
        </w:rPr>
        <w:footnoteRef/>
      </w:r>
      <w:r>
        <w:t xml:space="preserve"> Slēgtas lietas statuss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CA21A9"/>
    <w:multiLevelType w:val="hybridMultilevel"/>
    <w:tmpl w:val="CF28A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EE036C5"/>
    <w:multiLevelType w:val="hybridMultilevel"/>
    <w:tmpl w:val="8908A0D8"/>
    <w:lvl w:ilvl="0" w:tplc="444EC3F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231"/>
    <w:rsid w:val="00001A23"/>
    <w:rsid w:val="000067D1"/>
    <w:rsid w:val="00021017"/>
    <w:rsid w:val="000247B1"/>
    <w:rsid w:val="000409B4"/>
    <w:rsid w:val="00040BD2"/>
    <w:rsid w:val="00044486"/>
    <w:rsid w:val="00045612"/>
    <w:rsid w:val="00055467"/>
    <w:rsid w:val="00070C8F"/>
    <w:rsid w:val="0008249B"/>
    <w:rsid w:val="000859F5"/>
    <w:rsid w:val="0008631B"/>
    <w:rsid w:val="00086520"/>
    <w:rsid w:val="00091F48"/>
    <w:rsid w:val="00095783"/>
    <w:rsid w:val="000C0EAC"/>
    <w:rsid w:val="00107FE7"/>
    <w:rsid w:val="001109D8"/>
    <w:rsid w:val="00110AEE"/>
    <w:rsid w:val="00114773"/>
    <w:rsid w:val="00115D0D"/>
    <w:rsid w:val="00117164"/>
    <w:rsid w:val="00117B5D"/>
    <w:rsid w:val="00134638"/>
    <w:rsid w:val="00141962"/>
    <w:rsid w:val="00143AC6"/>
    <w:rsid w:val="001467CF"/>
    <w:rsid w:val="0015003F"/>
    <w:rsid w:val="001537FE"/>
    <w:rsid w:val="001546E8"/>
    <w:rsid w:val="00155B5F"/>
    <w:rsid w:val="00160D45"/>
    <w:rsid w:val="00161CC1"/>
    <w:rsid w:val="00170981"/>
    <w:rsid w:val="00171475"/>
    <w:rsid w:val="00174A60"/>
    <w:rsid w:val="001859FA"/>
    <w:rsid w:val="00185E75"/>
    <w:rsid w:val="00191112"/>
    <w:rsid w:val="00196F00"/>
    <w:rsid w:val="001A0455"/>
    <w:rsid w:val="001A5E6F"/>
    <w:rsid w:val="001A7A48"/>
    <w:rsid w:val="001B155E"/>
    <w:rsid w:val="001B3987"/>
    <w:rsid w:val="001B6294"/>
    <w:rsid w:val="001C0FF0"/>
    <w:rsid w:val="001C1492"/>
    <w:rsid w:val="001C1DF3"/>
    <w:rsid w:val="001C1E9B"/>
    <w:rsid w:val="001C4240"/>
    <w:rsid w:val="001C44F2"/>
    <w:rsid w:val="001C6720"/>
    <w:rsid w:val="001D3F96"/>
    <w:rsid w:val="001D6466"/>
    <w:rsid w:val="001D70A8"/>
    <w:rsid w:val="001D71ED"/>
    <w:rsid w:val="001E4CB7"/>
    <w:rsid w:val="001E75BA"/>
    <w:rsid w:val="001F59EC"/>
    <w:rsid w:val="002008A4"/>
    <w:rsid w:val="0020425D"/>
    <w:rsid w:val="00207563"/>
    <w:rsid w:val="00214668"/>
    <w:rsid w:val="00216B7B"/>
    <w:rsid w:val="002213F4"/>
    <w:rsid w:val="00227034"/>
    <w:rsid w:val="00233B02"/>
    <w:rsid w:val="00243C73"/>
    <w:rsid w:val="0025294E"/>
    <w:rsid w:val="00264DDE"/>
    <w:rsid w:val="0027273D"/>
    <w:rsid w:val="00274C31"/>
    <w:rsid w:val="002761AB"/>
    <w:rsid w:val="002773EB"/>
    <w:rsid w:val="00286BDB"/>
    <w:rsid w:val="00291779"/>
    <w:rsid w:val="00295957"/>
    <w:rsid w:val="00296E3B"/>
    <w:rsid w:val="002A0353"/>
    <w:rsid w:val="002B1187"/>
    <w:rsid w:val="002B3F3E"/>
    <w:rsid w:val="002B4C9B"/>
    <w:rsid w:val="002B5199"/>
    <w:rsid w:val="002B7D79"/>
    <w:rsid w:val="002C1562"/>
    <w:rsid w:val="002D688F"/>
    <w:rsid w:val="002E2622"/>
    <w:rsid w:val="002E60CB"/>
    <w:rsid w:val="002F3343"/>
    <w:rsid w:val="003075DF"/>
    <w:rsid w:val="00312AC8"/>
    <w:rsid w:val="00314643"/>
    <w:rsid w:val="00333397"/>
    <w:rsid w:val="0033728B"/>
    <w:rsid w:val="00341681"/>
    <w:rsid w:val="003459C7"/>
    <w:rsid w:val="00352031"/>
    <w:rsid w:val="00353FAC"/>
    <w:rsid w:val="00356600"/>
    <w:rsid w:val="003576E2"/>
    <w:rsid w:val="00363849"/>
    <w:rsid w:val="00365A77"/>
    <w:rsid w:val="00371579"/>
    <w:rsid w:val="00383E4B"/>
    <w:rsid w:val="00384749"/>
    <w:rsid w:val="0039140E"/>
    <w:rsid w:val="00393B1E"/>
    <w:rsid w:val="003A549D"/>
    <w:rsid w:val="003B0AB8"/>
    <w:rsid w:val="003B14EB"/>
    <w:rsid w:val="003B4231"/>
    <w:rsid w:val="003C3CE0"/>
    <w:rsid w:val="003E14AF"/>
    <w:rsid w:val="003E70B0"/>
    <w:rsid w:val="003F05F7"/>
    <w:rsid w:val="003F1276"/>
    <w:rsid w:val="003F4C73"/>
    <w:rsid w:val="003F6644"/>
    <w:rsid w:val="0040239F"/>
    <w:rsid w:val="0040646A"/>
    <w:rsid w:val="004111F6"/>
    <w:rsid w:val="00412D9C"/>
    <w:rsid w:val="00413E5E"/>
    <w:rsid w:val="0042248E"/>
    <w:rsid w:val="00434873"/>
    <w:rsid w:val="00436C15"/>
    <w:rsid w:val="00441440"/>
    <w:rsid w:val="00454333"/>
    <w:rsid w:val="00456700"/>
    <w:rsid w:val="004600EB"/>
    <w:rsid w:val="004601B3"/>
    <w:rsid w:val="00463202"/>
    <w:rsid w:val="00470D93"/>
    <w:rsid w:val="00477427"/>
    <w:rsid w:val="00477BE9"/>
    <w:rsid w:val="00484884"/>
    <w:rsid w:val="00487819"/>
    <w:rsid w:val="0049063C"/>
    <w:rsid w:val="004974E3"/>
    <w:rsid w:val="004A0C88"/>
    <w:rsid w:val="004A6CC1"/>
    <w:rsid w:val="004B5B90"/>
    <w:rsid w:val="004C0AF2"/>
    <w:rsid w:val="004D2146"/>
    <w:rsid w:val="004D7816"/>
    <w:rsid w:val="004E0ADE"/>
    <w:rsid w:val="004E4383"/>
    <w:rsid w:val="004F5C8F"/>
    <w:rsid w:val="00500F71"/>
    <w:rsid w:val="0050281E"/>
    <w:rsid w:val="0050671A"/>
    <w:rsid w:val="00511562"/>
    <w:rsid w:val="00521AEA"/>
    <w:rsid w:val="00525E41"/>
    <w:rsid w:val="0053247E"/>
    <w:rsid w:val="005425F9"/>
    <w:rsid w:val="00560DAD"/>
    <w:rsid w:val="00560F12"/>
    <w:rsid w:val="00564DAC"/>
    <w:rsid w:val="00576224"/>
    <w:rsid w:val="00577DFD"/>
    <w:rsid w:val="00590617"/>
    <w:rsid w:val="00592BA3"/>
    <w:rsid w:val="005938F0"/>
    <w:rsid w:val="00596973"/>
    <w:rsid w:val="005A0483"/>
    <w:rsid w:val="005A0BCF"/>
    <w:rsid w:val="005A1935"/>
    <w:rsid w:val="005A206F"/>
    <w:rsid w:val="005A2BA4"/>
    <w:rsid w:val="005A620A"/>
    <w:rsid w:val="005B0BCF"/>
    <w:rsid w:val="005B3E66"/>
    <w:rsid w:val="005B6DD8"/>
    <w:rsid w:val="005B7C65"/>
    <w:rsid w:val="005C290C"/>
    <w:rsid w:val="005C5D58"/>
    <w:rsid w:val="005C7958"/>
    <w:rsid w:val="005C7CAC"/>
    <w:rsid w:val="005C7F10"/>
    <w:rsid w:val="005D338F"/>
    <w:rsid w:val="005D40BB"/>
    <w:rsid w:val="005D6420"/>
    <w:rsid w:val="005E0201"/>
    <w:rsid w:val="005F153F"/>
    <w:rsid w:val="005F514A"/>
    <w:rsid w:val="0060069A"/>
    <w:rsid w:val="00602127"/>
    <w:rsid w:val="00602145"/>
    <w:rsid w:val="006056A2"/>
    <w:rsid w:val="00607318"/>
    <w:rsid w:val="00620580"/>
    <w:rsid w:val="00623A52"/>
    <w:rsid w:val="00635251"/>
    <w:rsid w:val="00635726"/>
    <w:rsid w:val="00657520"/>
    <w:rsid w:val="00662D4A"/>
    <w:rsid w:val="00667F13"/>
    <w:rsid w:val="00670C9F"/>
    <w:rsid w:val="006758DD"/>
    <w:rsid w:val="00677CD8"/>
    <w:rsid w:val="00683DF9"/>
    <w:rsid w:val="006866F9"/>
    <w:rsid w:val="00691F4F"/>
    <w:rsid w:val="00697C7B"/>
    <w:rsid w:val="006A06FF"/>
    <w:rsid w:val="006A1B70"/>
    <w:rsid w:val="006A237E"/>
    <w:rsid w:val="006A5EFF"/>
    <w:rsid w:val="006A7D66"/>
    <w:rsid w:val="006B0498"/>
    <w:rsid w:val="006B0751"/>
    <w:rsid w:val="006C09C4"/>
    <w:rsid w:val="006D01F1"/>
    <w:rsid w:val="006D030D"/>
    <w:rsid w:val="006D404B"/>
    <w:rsid w:val="006D4608"/>
    <w:rsid w:val="006E145D"/>
    <w:rsid w:val="006E3047"/>
    <w:rsid w:val="006F67AC"/>
    <w:rsid w:val="00702709"/>
    <w:rsid w:val="0071489E"/>
    <w:rsid w:val="007172F0"/>
    <w:rsid w:val="0072053B"/>
    <w:rsid w:val="007206A6"/>
    <w:rsid w:val="00721A85"/>
    <w:rsid w:val="00721FED"/>
    <w:rsid w:val="00727AEE"/>
    <w:rsid w:val="007311D9"/>
    <w:rsid w:val="00731A5F"/>
    <w:rsid w:val="00740784"/>
    <w:rsid w:val="00741C56"/>
    <w:rsid w:val="00742827"/>
    <w:rsid w:val="00745FC4"/>
    <w:rsid w:val="007631B3"/>
    <w:rsid w:val="00765E94"/>
    <w:rsid w:val="007670FF"/>
    <w:rsid w:val="0077466E"/>
    <w:rsid w:val="0078309C"/>
    <w:rsid w:val="007842BB"/>
    <w:rsid w:val="007866BE"/>
    <w:rsid w:val="007A163A"/>
    <w:rsid w:val="007A6C95"/>
    <w:rsid w:val="007A7ABB"/>
    <w:rsid w:val="007B1CD5"/>
    <w:rsid w:val="007B586D"/>
    <w:rsid w:val="007B7EAC"/>
    <w:rsid w:val="007D6FE6"/>
    <w:rsid w:val="007E16DC"/>
    <w:rsid w:val="007E3E0F"/>
    <w:rsid w:val="007E61C9"/>
    <w:rsid w:val="007F4A60"/>
    <w:rsid w:val="00803DE1"/>
    <w:rsid w:val="00814CB8"/>
    <w:rsid w:val="00815C92"/>
    <w:rsid w:val="00817A6A"/>
    <w:rsid w:val="00825A35"/>
    <w:rsid w:val="00833536"/>
    <w:rsid w:val="00844C71"/>
    <w:rsid w:val="00852989"/>
    <w:rsid w:val="00854AF4"/>
    <w:rsid w:val="0085591F"/>
    <w:rsid w:val="0086289F"/>
    <w:rsid w:val="0087065E"/>
    <w:rsid w:val="008708EE"/>
    <w:rsid w:val="00873494"/>
    <w:rsid w:val="00886DCF"/>
    <w:rsid w:val="008B0548"/>
    <w:rsid w:val="008B4357"/>
    <w:rsid w:val="008C19C8"/>
    <w:rsid w:val="008D2AD8"/>
    <w:rsid w:val="008D6710"/>
    <w:rsid w:val="008F1C8F"/>
    <w:rsid w:val="00900D57"/>
    <w:rsid w:val="00904CC0"/>
    <w:rsid w:val="009051EB"/>
    <w:rsid w:val="00911D29"/>
    <w:rsid w:val="00915E48"/>
    <w:rsid w:val="00922946"/>
    <w:rsid w:val="00924601"/>
    <w:rsid w:val="00924D59"/>
    <w:rsid w:val="00927E48"/>
    <w:rsid w:val="00933509"/>
    <w:rsid w:val="009360EC"/>
    <w:rsid w:val="00936133"/>
    <w:rsid w:val="00942235"/>
    <w:rsid w:val="00947BE9"/>
    <w:rsid w:val="00956F14"/>
    <w:rsid w:val="0096080F"/>
    <w:rsid w:val="0096465B"/>
    <w:rsid w:val="0096701C"/>
    <w:rsid w:val="00975042"/>
    <w:rsid w:val="00982096"/>
    <w:rsid w:val="00984B45"/>
    <w:rsid w:val="009A2FC4"/>
    <w:rsid w:val="009A59EA"/>
    <w:rsid w:val="009B0610"/>
    <w:rsid w:val="009B688A"/>
    <w:rsid w:val="009C3271"/>
    <w:rsid w:val="009C4957"/>
    <w:rsid w:val="009C52AF"/>
    <w:rsid w:val="009D161B"/>
    <w:rsid w:val="009D2253"/>
    <w:rsid w:val="009D6D72"/>
    <w:rsid w:val="009D74A0"/>
    <w:rsid w:val="009E15D2"/>
    <w:rsid w:val="009E373E"/>
    <w:rsid w:val="009E5114"/>
    <w:rsid w:val="009F06FC"/>
    <w:rsid w:val="009F0D49"/>
    <w:rsid w:val="009F35E5"/>
    <w:rsid w:val="009F4F95"/>
    <w:rsid w:val="009F6BEA"/>
    <w:rsid w:val="009F766E"/>
    <w:rsid w:val="00A12D46"/>
    <w:rsid w:val="00A21B7F"/>
    <w:rsid w:val="00A24C3F"/>
    <w:rsid w:val="00A31EF0"/>
    <w:rsid w:val="00A369DC"/>
    <w:rsid w:val="00A51153"/>
    <w:rsid w:val="00A539D7"/>
    <w:rsid w:val="00A66B67"/>
    <w:rsid w:val="00A67609"/>
    <w:rsid w:val="00A73418"/>
    <w:rsid w:val="00A75DC7"/>
    <w:rsid w:val="00A80752"/>
    <w:rsid w:val="00A80D2D"/>
    <w:rsid w:val="00A824EA"/>
    <w:rsid w:val="00A920CA"/>
    <w:rsid w:val="00A9357B"/>
    <w:rsid w:val="00A97ADE"/>
    <w:rsid w:val="00AB3219"/>
    <w:rsid w:val="00AB40B3"/>
    <w:rsid w:val="00AC39B1"/>
    <w:rsid w:val="00AD1469"/>
    <w:rsid w:val="00AD241A"/>
    <w:rsid w:val="00AD58AF"/>
    <w:rsid w:val="00AE04A5"/>
    <w:rsid w:val="00AE131C"/>
    <w:rsid w:val="00AE1D3A"/>
    <w:rsid w:val="00AE4BF9"/>
    <w:rsid w:val="00AF2E13"/>
    <w:rsid w:val="00AF30B5"/>
    <w:rsid w:val="00AF3CA0"/>
    <w:rsid w:val="00AF3F0C"/>
    <w:rsid w:val="00AF7324"/>
    <w:rsid w:val="00B10CEE"/>
    <w:rsid w:val="00B159BB"/>
    <w:rsid w:val="00B22C41"/>
    <w:rsid w:val="00B31C3E"/>
    <w:rsid w:val="00B35B2B"/>
    <w:rsid w:val="00B40136"/>
    <w:rsid w:val="00B43E02"/>
    <w:rsid w:val="00B506A4"/>
    <w:rsid w:val="00B51B9A"/>
    <w:rsid w:val="00B52892"/>
    <w:rsid w:val="00B52F21"/>
    <w:rsid w:val="00B534C2"/>
    <w:rsid w:val="00B55167"/>
    <w:rsid w:val="00B67BAE"/>
    <w:rsid w:val="00B77BDA"/>
    <w:rsid w:val="00B85817"/>
    <w:rsid w:val="00B86DF3"/>
    <w:rsid w:val="00B95A33"/>
    <w:rsid w:val="00BA3113"/>
    <w:rsid w:val="00BA3FB2"/>
    <w:rsid w:val="00BB202F"/>
    <w:rsid w:val="00BB5681"/>
    <w:rsid w:val="00BB5CB2"/>
    <w:rsid w:val="00BC53D8"/>
    <w:rsid w:val="00BC5B86"/>
    <w:rsid w:val="00BD4BFF"/>
    <w:rsid w:val="00BD62C9"/>
    <w:rsid w:val="00BD683A"/>
    <w:rsid w:val="00BE4ED7"/>
    <w:rsid w:val="00BF2F16"/>
    <w:rsid w:val="00BF59FA"/>
    <w:rsid w:val="00C22EA6"/>
    <w:rsid w:val="00C327D0"/>
    <w:rsid w:val="00C32A18"/>
    <w:rsid w:val="00C33E97"/>
    <w:rsid w:val="00C41674"/>
    <w:rsid w:val="00C45140"/>
    <w:rsid w:val="00C510B1"/>
    <w:rsid w:val="00C5658B"/>
    <w:rsid w:val="00C56E0A"/>
    <w:rsid w:val="00C57B4E"/>
    <w:rsid w:val="00C62E88"/>
    <w:rsid w:val="00C63440"/>
    <w:rsid w:val="00C6789A"/>
    <w:rsid w:val="00C70804"/>
    <w:rsid w:val="00C72360"/>
    <w:rsid w:val="00C73929"/>
    <w:rsid w:val="00C77C21"/>
    <w:rsid w:val="00C81A30"/>
    <w:rsid w:val="00C82769"/>
    <w:rsid w:val="00C83318"/>
    <w:rsid w:val="00C833F3"/>
    <w:rsid w:val="00C951F0"/>
    <w:rsid w:val="00CA7EC2"/>
    <w:rsid w:val="00CA7F13"/>
    <w:rsid w:val="00CB20E3"/>
    <w:rsid w:val="00CB67E9"/>
    <w:rsid w:val="00CC08B8"/>
    <w:rsid w:val="00CC3E22"/>
    <w:rsid w:val="00CE14CB"/>
    <w:rsid w:val="00CE32D3"/>
    <w:rsid w:val="00CE4B8F"/>
    <w:rsid w:val="00CE5B70"/>
    <w:rsid w:val="00CF1B61"/>
    <w:rsid w:val="00CF30F5"/>
    <w:rsid w:val="00CF7196"/>
    <w:rsid w:val="00D01FF4"/>
    <w:rsid w:val="00D14166"/>
    <w:rsid w:val="00D15612"/>
    <w:rsid w:val="00D15C7C"/>
    <w:rsid w:val="00D428AE"/>
    <w:rsid w:val="00D505EE"/>
    <w:rsid w:val="00D5610F"/>
    <w:rsid w:val="00D70D1F"/>
    <w:rsid w:val="00D771DE"/>
    <w:rsid w:val="00D777E8"/>
    <w:rsid w:val="00D83B30"/>
    <w:rsid w:val="00D91235"/>
    <w:rsid w:val="00D97863"/>
    <w:rsid w:val="00DA5184"/>
    <w:rsid w:val="00DC2513"/>
    <w:rsid w:val="00DC72A2"/>
    <w:rsid w:val="00DD062F"/>
    <w:rsid w:val="00DF0ABD"/>
    <w:rsid w:val="00DF20AC"/>
    <w:rsid w:val="00DF2EE1"/>
    <w:rsid w:val="00DF63BC"/>
    <w:rsid w:val="00DF723D"/>
    <w:rsid w:val="00E02396"/>
    <w:rsid w:val="00E03268"/>
    <w:rsid w:val="00E07920"/>
    <w:rsid w:val="00E102BB"/>
    <w:rsid w:val="00E10D8C"/>
    <w:rsid w:val="00E17195"/>
    <w:rsid w:val="00E232BE"/>
    <w:rsid w:val="00E25EA3"/>
    <w:rsid w:val="00E25FDB"/>
    <w:rsid w:val="00E34458"/>
    <w:rsid w:val="00E65EC6"/>
    <w:rsid w:val="00E707B5"/>
    <w:rsid w:val="00E920E2"/>
    <w:rsid w:val="00EA176A"/>
    <w:rsid w:val="00EA634C"/>
    <w:rsid w:val="00EA758C"/>
    <w:rsid w:val="00EB1631"/>
    <w:rsid w:val="00EB486C"/>
    <w:rsid w:val="00EC0499"/>
    <w:rsid w:val="00EC6938"/>
    <w:rsid w:val="00EC7994"/>
    <w:rsid w:val="00ED5E4D"/>
    <w:rsid w:val="00ED61C3"/>
    <w:rsid w:val="00EE3292"/>
    <w:rsid w:val="00EF3546"/>
    <w:rsid w:val="00EF5C84"/>
    <w:rsid w:val="00F03CB8"/>
    <w:rsid w:val="00F15C59"/>
    <w:rsid w:val="00F15C7B"/>
    <w:rsid w:val="00F1692F"/>
    <w:rsid w:val="00F17D05"/>
    <w:rsid w:val="00F27ECB"/>
    <w:rsid w:val="00F3094A"/>
    <w:rsid w:val="00F322FB"/>
    <w:rsid w:val="00F32B8A"/>
    <w:rsid w:val="00F3733E"/>
    <w:rsid w:val="00F37C2C"/>
    <w:rsid w:val="00F463D1"/>
    <w:rsid w:val="00F47A7D"/>
    <w:rsid w:val="00F53FCC"/>
    <w:rsid w:val="00F54383"/>
    <w:rsid w:val="00F55742"/>
    <w:rsid w:val="00F6304A"/>
    <w:rsid w:val="00F63526"/>
    <w:rsid w:val="00F64A76"/>
    <w:rsid w:val="00F71223"/>
    <w:rsid w:val="00F81CBD"/>
    <w:rsid w:val="00F87AEC"/>
    <w:rsid w:val="00F92BDB"/>
    <w:rsid w:val="00FA2F86"/>
    <w:rsid w:val="00FA3BF1"/>
    <w:rsid w:val="00FA7E8A"/>
    <w:rsid w:val="00FB1A35"/>
    <w:rsid w:val="00FB2213"/>
    <w:rsid w:val="00FB25DA"/>
    <w:rsid w:val="00FC22E3"/>
    <w:rsid w:val="00FE0771"/>
    <w:rsid w:val="00FF6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231"/>
    <w:pPr>
      <w:spacing w:after="0" w:line="240" w:lineRule="auto"/>
    </w:pPr>
    <w:rPr>
      <w:rFonts w:ascii="Times New Roman" w:eastAsia="Calibri" w:hAnsi="Times New Roman" w:cs="Times New Roman"/>
      <w:szCs w:val="24"/>
      <w:lang w:val="lv-LV"/>
    </w:rPr>
  </w:style>
  <w:style w:type="paragraph" w:styleId="Heading2">
    <w:name w:val="heading 2"/>
    <w:basedOn w:val="Normal"/>
    <w:next w:val="Normal"/>
    <w:link w:val="Heading2Char"/>
    <w:semiHidden/>
    <w:unhideWhenUsed/>
    <w:qFormat/>
    <w:rsid w:val="003B423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B4231"/>
    <w:rPr>
      <w:rFonts w:ascii="Arial" w:eastAsia="Calibri" w:hAnsi="Arial" w:cs="Arial"/>
      <w:b/>
      <w:bCs/>
      <w:i/>
      <w:iCs/>
      <w:sz w:val="28"/>
      <w:szCs w:val="28"/>
      <w:lang w:val="lv-LV"/>
    </w:rPr>
  </w:style>
  <w:style w:type="paragraph" w:styleId="BodyText2">
    <w:name w:val="Body Text 2"/>
    <w:basedOn w:val="Normal"/>
    <w:link w:val="BodyText2Char"/>
    <w:unhideWhenUsed/>
    <w:rsid w:val="003B4231"/>
    <w:pPr>
      <w:jc w:val="right"/>
    </w:pPr>
    <w:rPr>
      <w:rFonts w:ascii="Garamond" w:hAnsi="Garamond"/>
      <w:sz w:val="28"/>
      <w:szCs w:val="28"/>
    </w:rPr>
  </w:style>
  <w:style w:type="character" w:customStyle="1" w:styleId="BodyText2Char">
    <w:name w:val="Body Text 2 Char"/>
    <w:basedOn w:val="DefaultParagraphFont"/>
    <w:link w:val="BodyText2"/>
    <w:rsid w:val="003B4231"/>
    <w:rPr>
      <w:rFonts w:ascii="Garamond" w:eastAsia="Calibri" w:hAnsi="Garamond" w:cs="Times New Roman"/>
      <w:sz w:val="28"/>
      <w:szCs w:val="28"/>
      <w:lang w:val="lv-LV"/>
    </w:rPr>
  </w:style>
  <w:style w:type="paragraph" w:styleId="ListParagraph">
    <w:name w:val="List Paragraph"/>
    <w:basedOn w:val="Normal"/>
    <w:uiPriority w:val="34"/>
    <w:qFormat/>
    <w:rsid w:val="00765E94"/>
    <w:pPr>
      <w:ind w:left="720"/>
      <w:contextualSpacing/>
    </w:pPr>
  </w:style>
  <w:style w:type="paragraph" w:styleId="Header">
    <w:name w:val="header"/>
    <w:basedOn w:val="Normal"/>
    <w:link w:val="HeaderChar"/>
    <w:uiPriority w:val="99"/>
    <w:unhideWhenUsed/>
    <w:rsid w:val="00FB25DA"/>
    <w:pPr>
      <w:tabs>
        <w:tab w:val="center" w:pos="4320"/>
        <w:tab w:val="right" w:pos="8640"/>
      </w:tabs>
    </w:pPr>
  </w:style>
  <w:style w:type="character" w:customStyle="1" w:styleId="HeaderChar">
    <w:name w:val="Header Char"/>
    <w:basedOn w:val="DefaultParagraphFont"/>
    <w:link w:val="Header"/>
    <w:uiPriority w:val="99"/>
    <w:rsid w:val="00FB25DA"/>
    <w:rPr>
      <w:rFonts w:ascii="Times New Roman" w:eastAsia="Calibri" w:hAnsi="Times New Roman" w:cs="Times New Roman"/>
      <w:szCs w:val="24"/>
      <w:lang w:val="lv-LV"/>
    </w:rPr>
  </w:style>
  <w:style w:type="paragraph" w:styleId="Footer">
    <w:name w:val="footer"/>
    <w:basedOn w:val="Normal"/>
    <w:link w:val="FooterChar"/>
    <w:uiPriority w:val="99"/>
    <w:unhideWhenUsed/>
    <w:rsid w:val="00FB25DA"/>
    <w:pPr>
      <w:tabs>
        <w:tab w:val="center" w:pos="4320"/>
        <w:tab w:val="right" w:pos="8640"/>
      </w:tabs>
    </w:pPr>
  </w:style>
  <w:style w:type="character" w:customStyle="1" w:styleId="FooterChar">
    <w:name w:val="Footer Char"/>
    <w:basedOn w:val="DefaultParagraphFont"/>
    <w:link w:val="Footer"/>
    <w:uiPriority w:val="99"/>
    <w:rsid w:val="00FB25DA"/>
    <w:rPr>
      <w:rFonts w:ascii="Times New Roman" w:eastAsia="Calibri" w:hAnsi="Times New Roman" w:cs="Times New Roman"/>
      <w:szCs w:val="24"/>
      <w:lang w:val="lv-LV"/>
    </w:rPr>
  </w:style>
  <w:style w:type="paragraph" w:styleId="BalloonText">
    <w:name w:val="Balloon Text"/>
    <w:basedOn w:val="Normal"/>
    <w:link w:val="BalloonTextChar"/>
    <w:uiPriority w:val="99"/>
    <w:semiHidden/>
    <w:unhideWhenUsed/>
    <w:rsid w:val="007E3E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E0F"/>
    <w:rPr>
      <w:rFonts w:ascii="Segoe UI" w:eastAsia="Calibri" w:hAnsi="Segoe UI" w:cs="Segoe UI"/>
      <w:sz w:val="18"/>
      <w:szCs w:val="18"/>
      <w:lang w:val="lv-LV"/>
    </w:rPr>
  </w:style>
  <w:style w:type="paragraph" w:styleId="FootnoteText">
    <w:name w:val="footnote text"/>
    <w:basedOn w:val="Normal"/>
    <w:link w:val="FootnoteTextChar"/>
    <w:uiPriority w:val="99"/>
    <w:semiHidden/>
    <w:unhideWhenUsed/>
    <w:rsid w:val="00B52892"/>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B52892"/>
    <w:rPr>
      <w:rFonts w:ascii="Times New Roman" w:hAnsi="Times New Roman"/>
      <w:sz w:val="20"/>
      <w:szCs w:val="20"/>
      <w:lang w:val="lv-LV"/>
    </w:rPr>
  </w:style>
  <w:style w:type="character" w:styleId="FootnoteReference">
    <w:name w:val="footnote reference"/>
    <w:basedOn w:val="DefaultParagraphFont"/>
    <w:uiPriority w:val="99"/>
    <w:semiHidden/>
    <w:unhideWhenUsed/>
    <w:rsid w:val="00B528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863602">
      <w:bodyDiv w:val="1"/>
      <w:marLeft w:val="0"/>
      <w:marRight w:val="0"/>
      <w:marTop w:val="0"/>
      <w:marBottom w:val="0"/>
      <w:divBdr>
        <w:top w:val="none" w:sz="0" w:space="0" w:color="auto"/>
        <w:left w:val="none" w:sz="0" w:space="0" w:color="auto"/>
        <w:bottom w:val="none" w:sz="0" w:space="0" w:color="auto"/>
        <w:right w:val="none" w:sz="0" w:space="0" w:color="auto"/>
      </w:divBdr>
    </w:div>
    <w:div w:id="208425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B0834-7BE5-4A0F-B4BD-2E7E81EB6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7192</Words>
  <Characters>4100</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2019-06-13T13:22:00Z</dcterms:created>
  <dcterms:modified xsi:type="dcterms:W3CDTF">2019-06-13T13:22:00Z</dcterms:modified>
</cp:coreProperties>
</file>