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B9004" w14:textId="1D010AA0" w:rsidR="00944757" w:rsidRPr="00B4494A" w:rsidRDefault="00944757" w:rsidP="00944757">
      <w:pPr>
        <w:spacing w:after="0" w:line="276" w:lineRule="auto"/>
        <w:jc w:val="both"/>
        <w:rPr>
          <w:b/>
          <w:bCs/>
        </w:rPr>
      </w:pPr>
      <w:bookmarkStart w:id="0" w:name="_Hlk11399378"/>
      <w:r>
        <w:rPr>
          <w:b/>
          <w:bCs/>
        </w:rPr>
        <w:t>Personas aizturēšanas pieļaujamība un samērīguma pārbaude administratīvā pārkāpuma lietā</w:t>
      </w:r>
    </w:p>
    <w:p w14:paraId="0DA75031" w14:textId="77777777" w:rsidR="00944757" w:rsidRDefault="00944757" w:rsidP="00944757">
      <w:pPr>
        <w:spacing w:after="0" w:line="276" w:lineRule="auto"/>
        <w:jc w:val="both"/>
      </w:pPr>
      <w:r>
        <w:t xml:space="preserve">Eiropas Cilvēka tiesību un pamatbrīvību aizsardzības konvencijas 5.panta 1.punkta „c” apakšpunkts un Latvijas Administratīvo pārkāpumu kodeksa 252.pants prasa, lai personas aizturēšana (brīvības atņemšana) būtu samērīga, proti, lai tā tiktu piemērota tikai kā galējais līdzeklis, kad citi pieejamie līdzekļi ir izsmelti vai tie acīmredzami nesniegtu vajadzīgo rezultātu. </w:t>
      </w:r>
    </w:p>
    <w:p w14:paraId="78069563" w14:textId="1AA38162" w:rsidR="00944757" w:rsidRDefault="00944757" w:rsidP="00944757">
      <w:pPr>
        <w:spacing w:after="0" w:line="276" w:lineRule="auto"/>
        <w:jc w:val="both"/>
      </w:pPr>
      <w:r>
        <w:t xml:space="preserve">Iestādei ir pienākums pārliecinoši pierādīt, ka personas aizturēšana konkrētajā gadījumā ir bijusi samērīga jeb, citiem vārdiem sakot, tā konkrētajos apstākļos ir bijusi patiešām nepieciešama. </w:t>
      </w:r>
      <w:bookmarkEnd w:id="0"/>
    </w:p>
    <w:p w14:paraId="2BBAE9B0" w14:textId="77777777" w:rsidR="00944757" w:rsidRPr="00944757" w:rsidRDefault="00944757" w:rsidP="00944757">
      <w:pPr>
        <w:spacing w:after="0" w:line="276" w:lineRule="auto"/>
        <w:jc w:val="both"/>
      </w:pPr>
    </w:p>
    <w:p w14:paraId="449C2E1B" w14:textId="2C7DFAAD" w:rsidR="00261642" w:rsidRPr="00944757" w:rsidRDefault="00261642" w:rsidP="00CE0C30">
      <w:pPr>
        <w:spacing w:after="0" w:line="276" w:lineRule="auto"/>
        <w:jc w:val="center"/>
        <w:rPr>
          <w:rFonts w:eastAsia="Times New Roman" w:cs="Times New Roman"/>
          <w:b/>
          <w:szCs w:val="24"/>
          <w:lang w:eastAsia="ru-RU"/>
        </w:rPr>
      </w:pPr>
      <w:r w:rsidRPr="00944757">
        <w:rPr>
          <w:rFonts w:eastAsia="Times New Roman" w:cs="Times New Roman"/>
          <w:b/>
          <w:szCs w:val="24"/>
          <w:lang w:eastAsia="ru-RU"/>
        </w:rPr>
        <w:t xml:space="preserve">Latvijas Republikas </w:t>
      </w:r>
      <w:r w:rsidR="00674EB2" w:rsidRPr="00944757">
        <w:rPr>
          <w:rFonts w:eastAsia="Times New Roman" w:cs="Times New Roman"/>
          <w:b/>
          <w:szCs w:val="24"/>
          <w:lang w:eastAsia="ru-RU"/>
        </w:rPr>
        <w:t>Senāt</w:t>
      </w:r>
      <w:r w:rsidR="00944757" w:rsidRPr="00944757">
        <w:rPr>
          <w:rFonts w:eastAsia="Times New Roman" w:cs="Times New Roman"/>
          <w:b/>
          <w:szCs w:val="24"/>
          <w:lang w:eastAsia="ru-RU"/>
        </w:rPr>
        <w:t>a</w:t>
      </w:r>
    </w:p>
    <w:p w14:paraId="7BB6C779" w14:textId="1E8FCEE6" w:rsidR="00944757" w:rsidRPr="00944757" w:rsidRDefault="00944757" w:rsidP="00CE0C30">
      <w:pPr>
        <w:spacing w:after="0" w:line="276" w:lineRule="auto"/>
        <w:jc w:val="center"/>
        <w:rPr>
          <w:rFonts w:eastAsia="Times New Roman" w:cs="Times New Roman"/>
          <w:b/>
          <w:szCs w:val="24"/>
          <w:lang w:eastAsia="ru-RU"/>
        </w:rPr>
      </w:pPr>
      <w:r w:rsidRPr="00944757">
        <w:rPr>
          <w:rFonts w:eastAsia="Times New Roman" w:cs="Times New Roman"/>
          <w:b/>
          <w:szCs w:val="24"/>
          <w:lang w:eastAsia="ru-RU"/>
        </w:rPr>
        <w:t>Administratīvo lietu departamenta</w:t>
      </w:r>
    </w:p>
    <w:p w14:paraId="0E0107DA" w14:textId="132EF314" w:rsidR="00944757" w:rsidRPr="00944757" w:rsidRDefault="00944757" w:rsidP="00CE0C30">
      <w:pPr>
        <w:spacing w:after="0" w:line="276" w:lineRule="auto"/>
        <w:jc w:val="center"/>
        <w:rPr>
          <w:rFonts w:eastAsia="Times New Roman" w:cs="Times New Roman"/>
          <w:b/>
          <w:szCs w:val="24"/>
          <w:lang w:eastAsia="ru-RU"/>
        </w:rPr>
      </w:pPr>
      <w:r w:rsidRPr="00944757">
        <w:rPr>
          <w:rFonts w:eastAsia="Times New Roman" w:cs="Times New Roman"/>
          <w:b/>
          <w:szCs w:val="24"/>
          <w:lang w:eastAsia="ru-RU"/>
        </w:rPr>
        <w:t>2019.gada 10.jūnija</w:t>
      </w:r>
    </w:p>
    <w:p w14:paraId="36A1938E" w14:textId="2E74A0C9" w:rsidR="00261642" w:rsidRPr="00944757" w:rsidRDefault="00355511" w:rsidP="00CE0C30">
      <w:pPr>
        <w:spacing w:after="0" w:line="276" w:lineRule="auto"/>
        <w:jc w:val="center"/>
        <w:rPr>
          <w:rFonts w:eastAsia="Times New Roman" w:cs="Times New Roman"/>
          <w:b/>
          <w:szCs w:val="24"/>
          <w:lang w:eastAsia="ru-RU"/>
        </w:rPr>
      </w:pPr>
      <w:r w:rsidRPr="00944757">
        <w:rPr>
          <w:rFonts w:eastAsia="Times New Roman" w:cs="Times New Roman"/>
          <w:b/>
          <w:szCs w:val="24"/>
          <w:lang w:eastAsia="ru-RU"/>
        </w:rPr>
        <w:t>SPRIEDUMS</w:t>
      </w:r>
    </w:p>
    <w:p w14:paraId="4B4911F7" w14:textId="2AF7676D" w:rsidR="00944757" w:rsidRPr="00944757" w:rsidRDefault="00944757" w:rsidP="00CE0C30">
      <w:pPr>
        <w:spacing w:after="0" w:line="276" w:lineRule="auto"/>
        <w:jc w:val="center"/>
        <w:rPr>
          <w:rFonts w:eastAsia="Times New Roman" w:cs="Times New Roman"/>
          <w:b/>
          <w:szCs w:val="24"/>
          <w:lang w:eastAsia="ru-RU"/>
        </w:rPr>
      </w:pPr>
      <w:r w:rsidRPr="00944757">
        <w:rPr>
          <w:rFonts w:eastAsia="Times New Roman" w:cs="Times New Roman"/>
          <w:b/>
          <w:szCs w:val="24"/>
          <w:lang w:eastAsia="ru-RU"/>
        </w:rPr>
        <w:t>Lieta Nr. A420165317, SKA-791/2019</w:t>
      </w:r>
    </w:p>
    <w:p w14:paraId="70478C6C" w14:textId="1BC0CE4F" w:rsidR="00944757" w:rsidRPr="00944757" w:rsidRDefault="00567705" w:rsidP="00CE0C30">
      <w:pPr>
        <w:spacing w:after="0" w:line="276" w:lineRule="auto"/>
        <w:jc w:val="center"/>
        <w:rPr>
          <w:rFonts w:eastAsia="Times New Roman" w:cs="Times New Roman"/>
          <w:b/>
          <w:szCs w:val="24"/>
          <w:lang w:eastAsia="ru-RU"/>
        </w:rPr>
      </w:pPr>
      <w:hyperlink r:id="rId6" w:history="1">
        <w:r w:rsidR="00944757" w:rsidRPr="00944757">
          <w:rPr>
            <w:rStyle w:val="Hyperlink"/>
            <w:szCs w:val="24"/>
          </w:rPr>
          <w:t>ECLI:LV:AT:2019:0610.A420165317.11.S</w:t>
        </w:r>
      </w:hyperlink>
    </w:p>
    <w:p w14:paraId="104B8A23" w14:textId="77777777" w:rsidR="00355511" w:rsidRPr="00F035AB" w:rsidRDefault="00355511" w:rsidP="00CE0C30">
      <w:pPr>
        <w:spacing w:after="0" w:line="276" w:lineRule="auto"/>
        <w:jc w:val="center"/>
        <w:rPr>
          <w:rFonts w:eastAsia="Times New Roman" w:cs="Times New Roman"/>
          <w:szCs w:val="24"/>
          <w:lang w:eastAsia="ru-RU"/>
        </w:rPr>
      </w:pPr>
    </w:p>
    <w:p w14:paraId="41BE08D6" w14:textId="333E91EE" w:rsidR="00355511" w:rsidRPr="00F035AB" w:rsidRDefault="00355511" w:rsidP="00CE0C30">
      <w:pPr>
        <w:spacing w:after="0" w:line="276" w:lineRule="auto"/>
        <w:ind w:firstLine="567"/>
        <w:jc w:val="both"/>
        <w:rPr>
          <w:rFonts w:cs="Times New Roman"/>
          <w:szCs w:val="24"/>
        </w:rPr>
      </w:pPr>
      <w:r w:rsidRPr="00F035AB">
        <w:rPr>
          <w:rFonts w:cs="Times New Roman"/>
          <w:szCs w:val="24"/>
        </w:rPr>
        <w:t>Tiesa kopsēdē šādā sastāvā: senatori Andris Guļāns, Dzintra Amerika, Vēsma Kakste, Anita Kovaļevska, Veronika Krūmiņa, Dace Mita, Valters Poķis, Normunds Salenieks, Līvija Slica, Ieva Višķere, Rudīte Vīduša</w:t>
      </w:r>
    </w:p>
    <w:p w14:paraId="4FF975A0" w14:textId="77777777" w:rsidR="00355511" w:rsidRPr="00F035AB" w:rsidRDefault="00355511" w:rsidP="00CE0C30">
      <w:pPr>
        <w:spacing w:after="0" w:line="276" w:lineRule="auto"/>
        <w:ind w:firstLine="567"/>
        <w:jc w:val="both"/>
        <w:rPr>
          <w:rFonts w:cs="Times New Roman"/>
          <w:szCs w:val="24"/>
        </w:rPr>
      </w:pPr>
    </w:p>
    <w:p w14:paraId="2DAA9E07" w14:textId="5365BAA2" w:rsidR="00355511" w:rsidRPr="00F035AB" w:rsidRDefault="00355511" w:rsidP="00CE0C30">
      <w:pPr>
        <w:spacing w:after="0" w:line="276" w:lineRule="auto"/>
        <w:ind w:firstLine="567"/>
        <w:jc w:val="both"/>
        <w:rPr>
          <w:rFonts w:cs="Times New Roman"/>
          <w:b/>
          <w:szCs w:val="24"/>
        </w:rPr>
      </w:pPr>
      <w:r w:rsidRPr="00F035AB">
        <w:rPr>
          <w:rFonts w:cs="Times New Roman"/>
          <w:szCs w:val="24"/>
        </w:rPr>
        <w:t xml:space="preserve">rakstveida procesā izskatīja </w:t>
      </w:r>
      <w:r w:rsidR="006C13EF" w:rsidRPr="00F035AB">
        <w:rPr>
          <w:rFonts w:cs="Times New Roman"/>
          <w:szCs w:val="24"/>
        </w:rPr>
        <w:t>administratīvo lietu</w:t>
      </w:r>
      <w:r w:rsidRPr="00F035AB">
        <w:rPr>
          <w:rFonts w:cs="Times New Roman"/>
          <w:szCs w:val="24"/>
        </w:rPr>
        <w:t xml:space="preserve">, kas ierosināta, pamatojoties uz biedrības „Latvijas Pilsoniskā Cilvēktiesību Komisija” </w:t>
      </w:r>
      <w:r w:rsidR="006C13EF" w:rsidRPr="00F035AB">
        <w:rPr>
          <w:rFonts w:cs="Times New Roman"/>
          <w:szCs w:val="24"/>
        </w:rPr>
        <w:t xml:space="preserve">tās biedra </w:t>
      </w:r>
      <w:r w:rsidR="00944757">
        <w:rPr>
          <w:rFonts w:cs="Times New Roman"/>
          <w:szCs w:val="24"/>
        </w:rPr>
        <w:t>[pers. A]</w:t>
      </w:r>
      <w:r w:rsidRPr="00F035AB">
        <w:rPr>
          <w:rFonts w:cs="Times New Roman"/>
          <w:szCs w:val="24"/>
        </w:rPr>
        <w:t xml:space="preserve"> interesēs iesniegto pieteikumu par morālā kaitējuma un m</w:t>
      </w:r>
      <w:r w:rsidR="006C13EF" w:rsidRPr="00F035AB">
        <w:rPr>
          <w:rFonts w:cs="Times New Roman"/>
          <w:szCs w:val="24"/>
        </w:rPr>
        <w:t>antisko zaudējumu atlīdzināšanu, sakarā ar</w:t>
      </w:r>
      <w:r w:rsidRPr="00F035AB">
        <w:rPr>
          <w:rFonts w:cs="Times New Roman"/>
          <w:b/>
          <w:szCs w:val="24"/>
        </w:rPr>
        <w:t xml:space="preserve"> </w:t>
      </w:r>
      <w:r w:rsidR="00944757">
        <w:rPr>
          <w:rFonts w:cs="Times New Roman"/>
          <w:szCs w:val="24"/>
        </w:rPr>
        <w:t>[pers. A]</w:t>
      </w:r>
      <w:r w:rsidR="006C13EF" w:rsidRPr="00F035AB">
        <w:rPr>
          <w:rFonts w:cs="Times New Roman"/>
          <w:szCs w:val="24"/>
        </w:rPr>
        <w:t xml:space="preserve"> kasācijas sūdzību par Administratīvās apgabaltiesas 2018.gada 18.jūnija spriedumu daļā.</w:t>
      </w:r>
    </w:p>
    <w:p w14:paraId="4BD20FAC" w14:textId="77777777" w:rsidR="00A33477" w:rsidRPr="00F035AB" w:rsidRDefault="00A33477" w:rsidP="00CE0C30">
      <w:pPr>
        <w:spacing w:after="0" w:line="276" w:lineRule="auto"/>
        <w:ind w:firstLine="567"/>
        <w:jc w:val="both"/>
        <w:rPr>
          <w:rFonts w:cs="Times New Roman"/>
          <w:b/>
          <w:szCs w:val="24"/>
        </w:rPr>
      </w:pPr>
    </w:p>
    <w:p w14:paraId="46A650CC" w14:textId="77777777" w:rsidR="00355511" w:rsidRPr="00F035AB" w:rsidRDefault="00355511" w:rsidP="00CE0C30">
      <w:pPr>
        <w:spacing w:after="0" w:line="276" w:lineRule="auto"/>
        <w:jc w:val="center"/>
        <w:rPr>
          <w:rFonts w:cs="Times New Roman"/>
          <w:b/>
          <w:szCs w:val="24"/>
        </w:rPr>
      </w:pPr>
      <w:r w:rsidRPr="00F035AB">
        <w:rPr>
          <w:rFonts w:cs="Times New Roman"/>
          <w:b/>
          <w:szCs w:val="24"/>
        </w:rPr>
        <w:t>Aprakstošā daļa</w:t>
      </w:r>
    </w:p>
    <w:p w14:paraId="7C4CEE82" w14:textId="77777777" w:rsidR="005D64F2" w:rsidRPr="00F035AB" w:rsidRDefault="005D64F2" w:rsidP="00CE0C30">
      <w:pPr>
        <w:spacing w:after="0" w:line="276" w:lineRule="auto"/>
        <w:ind w:firstLine="567"/>
        <w:jc w:val="both"/>
        <w:rPr>
          <w:rFonts w:cs="Times New Roman"/>
          <w:szCs w:val="24"/>
        </w:rPr>
      </w:pPr>
    </w:p>
    <w:p w14:paraId="7BF50C31" w14:textId="1724ECE1" w:rsidR="00A33477" w:rsidRPr="00F035AB" w:rsidRDefault="00C66431" w:rsidP="00CE0C30">
      <w:pPr>
        <w:spacing w:after="0" w:line="276" w:lineRule="auto"/>
        <w:ind w:firstLine="567"/>
        <w:jc w:val="both"/>
        <w:rPr>
          <w:rFonts w:cs="Times New Roman"/>
          <w:szCs w:val="24"/>
        </w:rPr>
      </w:pPr>
      <w:r w:rsidRPr="00F035AB">
        <w:rPr>
          <w:rFonts w:cs="Times New Roman"/>
          <w:szCs w:val="24"/>
        </w:rPr>
        <w:t xml:space="preserve">[1] </w:t>
      </w:r>
      <w:r w:rsidR="00A33477" w:rsidRPr="00F035AB">
        <w:rPr>
          <w:rFonts w:cs="Times New Roman"/>
          <w:szCs w:val="24"/>
        </w:rPr>
        <w:t xml:space="preserve">2015.gada 29.jūnijā pieteicējs </w:t>
      </w:r>
      <w:r w:rsidR="00944757">
        <w:rPr>
          <w:rFonts w:cs="Times New Roman"/>
          <w:szCs w:val="24"/>
        </w:rPr>
        <w:t>[pers. A]</w:t>
      </w:r>
      <w:r w:rsidR="00A33477" w:rsidRPr="00F035AB">
        <w:rPr>
          <w:rFonts w:cs="Times New Roman"/>
          <w:szCs w:val="24"/>
        </w:rPr>
        <w:t xml:space="preserve"> ieradās </w:t>
      </w:r>
      <w:r w:rsidR="00DF2A75" w:rsidRPr="00F035AB">
        <w:rPr>
          <w:rFonts w:cs="Times New Roman"/>
          <w:szCs w:val="24"/>
        </w:rPr>
        <w:t xml:space="preserve">prokuratūrā, kur </w:t>
      </w:r>
      <w:r w:rsidR="00A33477" w:rsidRPr="00F035AB">
        <w:rPr>
          <w:rFonts w:cs="Times New Roman"/>
          <w:szCs w:val="24"/>
        </w:rPr>
        <w:t xml:space="preserve">veica filmēšanu </w:t>
      </w:r>
      <w:r w:rsidR="00CF0FC5" w:rsidRPr="00F035AB">
        <w:rPr>
          <w:rFonts w:cs="Times New Roman"/>
          <w:szCs w:val="24"/>
        </w:rPr>
        <w:t>ar mobilo telefonu bez prokurores</w:t>
      </w:r>
      <w:r w:rsidR="00A33477" w:rsidRPr="00F035AB">
        <w:rPr>
          <w:rFonts w:cs="Times New Roman"/>
          <w:szCs w:val="24"/>
        </w:rPr>
        <w:t xml:space="preserve"> piekrišanas. Pēc prokuror</w:t>
      </w:r>
      <w:r w:rsidR="00CF0FC5" w:rsidRPr="00F035AB">
        <w:rPr>
          <w:rFonts w:cs="Times New Roman"/>
          <w:szCs w:val="24"/>
        </w:rPr>
        <w:t>es</w:t>
      </w:r>
      <w:r w:rsidR="00A33477" w:rsidRPr="00F035AB">
        <w:rPr>
          <w:rFonts w:cs="Times New Roman"/>
          <w:szCs w:val="24"/>
        </w:rPr>
        <w:t xml:space="preserve"> izsaukuma notikuma vietā ieradās Valsts policijas darbinieki, kuri pieprasīja pieteicējam pārtraukt filmēšanu. Pieteicējs nepakļāvās prokuror</w:t>
      </w:r>
      <w:r w:rsidR="00CF0FC5" w:rsidRPr="00F035AB">
        <w:rPr>
          <w:rFonts w:cs="Times New Roman"/>
          <w:szCs w:val="24"/>
        </w:rPr>
        <w:t>es</w:t>
      </w:r>
      <w:r w:rsidR="00A33477" w:rsidRPr="00F035AB">
        <w:rPr>
          <w:rFonts w:cs="Times New Roman"/>
          <w:szCs w:val="24"/>
        </w:rPr>
        <w:t xml:space="preserve"> un policijas amatpersonu prasībai pārtraukt filmēšanu </w:t>
      </w:r>
      <w:r w:rsidR="00893C43" w:rsidRPr="00F035AB">
        <w:rPr>
          <w:rFonts w:cs="Times New Roman"/>
          <w:szCs w:val="24"/>
        </w:rPr>
        <w:t xml:space="preserve">un tā </w:t>
      </w:r>
      <w:r w:rsidR="00A33477" w:rsidRPr="00F035AB">
        <w:rPr>
          <w:rFonts w:cs="Times New Roman"/>
          <w:szCs w:val="24"/>
        </w:rPr>
        <w:t>rezultātā tika aizturēts un nogādāts policijas iecirknī, kur tika uzsākta administratīvā pārkāpuma lietvedība, sastādīts administratīvās aizturēšanas protokols</w:t>
      </w:r>
      <w:r w:rsidR="00DF2A75" w:rsidRPr="00F035AB">
        <w:rPr>
          <w:rFonts w:cs="Times New Roman"/>
          <w:szCs w:val="24"/>
        </w:rPr>
        <w:t xml:space="preserve">, veikta pieteicēja personas </w:t>
      </w:r>
      <w:r w:rsidR="00AC17E5" w:rsidRPr="00F035AB">
        <w:rPr>
          <w:rFonts w:cs="Times New Roman"/>
          <w:szCs w:val="24"/>
        </w:rPr>
        <w:t xml:space="preserve">un mantu </w:t>
      </w:r>
      <w:r w:rsidR="00DF2A75" w:rsidRPr="00F035AB">
        <w:rPr>
          <w:rFonts w:cs="Times New Roman"/>
          <w:szCs w:val="24"/>
        </w:rPr>
        <w:t>apskate</w:t>
      </w:r>
      <w:r w:rsidR="00AC17E5" w:rsidRPr="00F035AB">
        <w:rPr>
          <w:rFonts w:cs="Times New Roman"/>
          <w:szCs w:val="24"/>
        </w:rPr>
        <w:t>, kuras laikā</w:t>
      </w:r>
      <w:r w:rsidR="00A33477" w:rsidRPr="00F035AB">
        <w:rPr>
          <w:rFonts w:cs="Times New Roman"/>
          <w:szCs w:val="24"/>
        </w:rPr>
        <w:t xml:space="preserve"> izņemts mobilais telefons.</w:t>
      </w:r>
    </w:p>
    <w:p w14:paraId="5C5EC4B4" w14:textId="166EE033" w:rsidR="001D1B83" w:rsidRPr="00F035AB" w:rsidRDefault="00A33477" w:rsidP="00CE0C30">
      <w:pPr>
        <w:spacing w:after="0" w:line="276" w:lineRule="auto"/>
        <w:ind w:firstLine="567"/>
        <w:jc w:val="both"/>
        <w:rPr>
          <w:rFonts w:cs="Times New Roman"/>
          <w:szCs w:val="24"/>
        </w:rPr>
      </w:pPr>
      <w:r w:rsidRPr="00F035AB">
        <w:rPr>
          <w:rFonts w:cs="Times New Roman"/>
          <w:szCs w:val="24"/>
        </w:rPr>
        <w:t>2016.gada 11.maijā lietvedība administratīvā pārkāpuma lietā tika izbeigta noilguma dēļ</w:t>
      </w:r>
      <w:r w:rsidR="00EF1A71" w:rsidRPr="00F035AB">
        <w:rPr>
          <w:rFonts w:cs="Times New Roman"/>
          <w:szCs w:val="24"/>
        </w:rPr>
        <w:t>,</w:t>
      </w:r>
      <w:r w:rsidR="00AC17E5" w:rsidRPr="00F035AB">
        <w:rPr>
          <w:rFonts w:cs="Times New Roman"/>
          <w:szCs w:val="24"/>
        </w:rPr>
        <w:t xml:space="preserve"> un izņemtā manta atdota</w:t>
      </w:r>
      <w:r w:rsidRPr="00F035AB">
        <w:rPr>
          <w:rFonts w:cs="Times New Roman"/>
          <w:szCs w:val="24"/>
        </w:rPr>
        <w:t xml:space="preserve"> </w:t>
      </w:r>
      <w:r w:rsidR="00EF1A71" w:rsidRPr="00F035AB">
        <w:rPr>
          <w:rFonts w:cs="Times New Roman"/>
          <w:szCs w:val="24"/>
        </w:rPr>
        <w:t xml:space="preserve">atpakaļ </w:t>
      </w:r>
      <w:r w:rsidRPr="00F035AB">
        <w:rPr>
          <w:rFonts w:cs="Times New Roman"/>
          <w:szCs w:val="24"/>
        </w:rPr>
        <w:t>pieteicējam.</w:t>
      </w:r>
    </w:p>
    <w:p w14:paraId="0BE0F5F0" w14:textId="77777777" w:rsidR="00A33477" w:rsidRPr="00F035AB" w:rsidRDefault="00A33477" w:rsidP="00CE0C30">
      <w:pPr>
        <w:spacing w:after="0" w:line="276" w:lineRule="auto"/>
        <w:ind w:firstLine="567"/>
        <w:jc w:val="both"/>
        <w:rPr>
          <w:rFonts w:cs="Times New Roman"/>
          <w:szCs w:val="24"/>
        </w:rPr>
      </w:pPr>
    </w:p>
    <w:p w14:paraId="14432D9A" w14:textId="17993A4A" w:rsidR="00A33477" w:rsidRPr="00F035AB" w:rsidRDefault="00FB696B" w:rsidP="00CE0C30">
      <w:pPr>
        <w:spacing w:after="0" w:line="276" w:lineRule="auto"/>
        <w:ind w:firstLine="567"/>
        <w:jc w:val="both"/>
        <w:rPr>
          <w:rFonts w:cs="Times New Roman"/>
          <w:szCs w:val="24"/>
        </w:rPr>
      </w:pPr>
      <w:r w:rsidRPr="00F035AB">
        <w:rPr>
          <w:rFonts w:cs="Times New Roman"/>
          <w:szCs w:val="24"/>
        </w:rPr>
        <w:t xml:space="preserve">[2] </w:t>
      </w:r>
      <w:r w:rsidR="00A33477" w:rsidRPr="00F035AB">
        <w:rPr>
          <w:rFonts w:cs="Times New Roman"/>
          <w:szCs w:val="24"/>
        </w:rPr>
        <w:t xml:space="preserve">2017.gada 19.janvārī Valsts policijā saņemts biedrības „Latvijas Pilsoniskā Cilvēktiesību Komisija” (turpmāk – biedrība) iesniegums par morālā kaitējuma </w:t>
      </w:r>
      <w:r w:rsidR="002B2CAF" w:rsidRPr="00F035AB">
        <w:rPr>
          <w:rFonts w:cs="Times New Roman"/>
          <w:szCs w:val="24"/>
        </w:rPr>
        <w:t>3000 </w:t>
      </w:r>
      <w:proofErr w:type="spellStart"/>
      <w:r w:rsidR="002B2CAF" w:rsidRPr="00F035AB">
        <w:rPr>
          <w:rFonts w:cs="Times New Roman"/>
          <w:i/>
          <w:szCs w:val="24"/>
        </w:rPr>
        <w:t>euro</w:t>
      </w:r>
      <w:proofErr w:type="spellEnd"/>
      <w:r w:rsidR="002B2CAF" w:rsidRPr="00F035AB">
        <w:rPr>
          <w:rFonts w:cs="Times New Roman"/>
          <w:szCs w:val="24"/>
        </w:rPr>
        <w:t xml:space="preserve"> </w:t>
      </w:r>
      <w:r w:rsidR="00A33477" w:rsidRPr="00F035AB">
        <w:rPr>
          <w:rFonts w:cs="Times New Roman"/>
          <w:szCs w:val="24"/>
        </w:rPr>
        <w:t xml:space="preserve">un mantisko zaudējumu </w:t>
      </w:r>
      <w:r w:rsidR="002B2CAF" w:rsidRPr="00F035AB">
        <w:rPr>
          <w:rFonts w:cs="Times New Roman"/>
          <w:szCs w:val="24"/>
        </w:rPr>
        <w:t>317 </w:t>
      </w:r>
      <w:proofErr w:type="spellStart"/>
      <w:r w:rsidR="002B2CAF" w:rsidRPr="00F035AB">
        <w:rPr>
          <w:rFonts w:cs="Times New Roman"/>
          <w:i/>
          <w:szCs w:val="24"/>
        </w:rPr>
        <w:t>euro</w:t>
      </w:r>
      <w:proofErr w:type="spellEnd"/>
      <w:r w:rsidR="002B2CAF" w:rsidRPr="00F035AB">
        <w:rPr>
          <w:rFonts w:cs="Times New Roman"/>
          <w:szCs w:val="24"/>
        </w:rPr>
        <w:t xml:space="preserve"> </w:t>
      </w:r>
      <w:r w:rsidR="00A33477" w:rsidRPr="00F035AB">
        <w:rPr>
          <w:rFonts w:cs="Times New Roman"/>
          <w:szCs w:val="24"/>
        </w:rPr>
        <w:t xml:space="preserve">atlīdzināšanu </w:t>
      </w:r>
      <w:r w:rsidR="00B01F49" w:rsidRPr="00F035AB">
        <w:rPr>
          <w:rFonts w:cs="Times New Roman"/>
          <w:szCs w:val="24"/>
        </w:rPr>
        <w:t>pieteicējam</w:t>
      </w:r>
      <w:r w:rsidR="00A33477" w:rsidRPr="00F035AB">
        <w:rPr>
          <w:rFonts w:cs="Times New Roman"/>
          <w:szCs w:val="24"/>
        </w:rPr>
        <w:t xml:space="preserve"> saistībā ar 2015.gada 29.jūnijā uzsākto administratīvā pārkāpuma lietvedību.</w:t>
      </w:r>
    </w:p>
    <w:p w14:paraId="1669CE6D" w14:textId="7A126B07" w:rsidR="00B01F49" w:rsidRPr="00F035AB" w:rsidRDefault="00A33477" w:rsidP="00CE0C30">
      <w:pPr>
        <w:spacing w:after="0" w:line="276" w:lineRule="auto"/>
        <w:ind w:firstLine="567"/>
        <w:jc w:val="both"/>
        <w:rPr>
          <w:rFonts w:cs="Times New Roman"/>
          <w:szCs w:val="24"/>
        </w:rPr>
      </w:pPr>
      <w:r w:rsidRPr="00F035AB">
        <w:rPr>
          <w:rFonts w:cs="Times New Roman"/>
          <w:szCs w:val="24"/>
        </w:rPr>
        <w:t>Ar Valsts policijas 2017.gada 6.februāra lēmumu Nr.</w:t>
      </w:r>
      <w:r w:rsidR="002B2CAF" w:rsidRPr="00F035AB">
        <w:rPr>
          <w:rFonts w:cs="Times New Roman"/>
          <w:szCs w:val="24"/>
        </w:rPr>
        <w:t> </w:t>
      </w:r>
      <w:r w:rsidRPr="00F035AB">
        <w:rPr>
          <w:rFonts w:cs="Times New Roman"/>
          <w:szCs w:val="24"/>
        </w:rPr>
        <w:t xml:space="preserve">20/-B-502 </w:t>
      </w:r>
      <w:r w:rsidR="007B2A2A" w:rsidRPr="00F035AB">
        <w:rPr>
          <w:rFonts w:cs="Times New Roman"/>
          <w:szCs w:val="24"/>
        </w:rPr>
        <w:t>atzīts, ka, veicot pieteicēja aizturēšanu, sastādot administratīvās aizturēšanas protokolu,</w:t>
      </w:r>
      <w:r w:rsidR="00775CA3" w:rsidRPr="00F035AB">
        <w:rPr>
          <w:rFonts w:cs="Times New Roman"/>
          <w:szCs w:val="24"/>
        </w:rPr>
        <w:t xml:space="preserve"> kā arī</w:t>
      </w:r>
      <w:r w:rsidR="007B2A2A" w:rsidRPr="00F035AB">
        <w:rPr>
          <w:rFonts w:cs="Times New Roman"/>
          <w:szCs w:val="24"/>
        </w:rPr>
        <w:t xml:space="preserve"> veicot pieteicēja personas aplūkošanu un mantu apskati, </w:t>
      </w:r>
      <w:r w:rsidR="00775CA3" w:rsidRPr="00F035AB">
        <w:rPr>
          <w:rFonts w:cs="Times New Roman"/>
          <w:szCs w:val="24"/>
        </w:rPr>
        <w:t xml:space="preserve">un </w:t>
      </w:r>
      <w:r w:rsidR="007B2A2A" w:rsidRPr="00F035AB">
        <w:rPr>
          <w:rFonts w:cs="Times New Roman"/>
          <w:szCs w:val="24"/>
        </w:rPr>
        <w:t xml:space="preserve">arī mantu izņemšanu, Valsts policija rīkojusies atbilstoši normatīvo aktu prasībām, līdz ar to nav konstatējami nepieciešamie priekšnoteikumi zaudējumu </w:t>
      </w:r>
      <w:r w:rsidR="007B2A2A" w:rsidRPr="00F035AB">
        <w:rPr>
          <w:rFonts w:cs="Times New Roman"/>
          <w:szCs w:val="24"/>
        </w:rPr>
        <w:lastRenderedPageBreak/>
        <w:t xml:space="preserve">atlīdzināšanai. Vienlaikus lēmumā </w:t>
      </w:r>
      <w:r w:rsidRPr="00F035AB">
        <w:rPr>
          <w:rFonts w:cs="Times New Roman"/>
          <w:szCs w:val="24"/>
        </w:rPr>
        <w:t xml:space="preserve">izteikta atvainošanās </w:t>
      </w:r>
      <w:r w:rsidR="00775CA3" w:rsidRPr="00F035AB">
        <w:rPr>
          <w:rFonts w:cs="Times New Roman"/>
          <w:szCs w:val="24"/>
        </w:rPr>
        <w:t xml:space="preserve">pieteicējam </w:t>
      </w:r>
      <w:r w:rsidRPr="00F035AB">
        <w:rPr>
          <w:rFonts w:cs="Times New Roman"/>
          <w:szCs w:val="24"/>
        </w:rPr>
        <w:t xml:space="preserve">par to, ka Valsts policijas darbinieki neiereģistrēja reģistrācijas žurnālā </w:t>
      </w:r>
      <w:r w:rsidR="00B01F49" w:rsidRPr="00F035AB">
        <w:rPr>
          <w:rFonts w:cs="Times New Roman"/>
          <w:szCs w:val="24"/>
        </w:rPr>
        <w:t>pieteicēja</w:t>
      </w:r>
      <w:r w:rsidRPr="00F035AB">
        <w:rPr>
          <w:rFonts w:cs="Times New Roman"/>
          <w:szCs w:val="24"/>
        </w:rPr>
        <w:t xml:space="preserve"> ievie</w:t>
      </w:r>
      <w:r w:rsidR="00453B70" w:rsidRPr="00F035AB">
        <w:rPr>
          <w:rFonts w:cs="Times New Roman"/>
          <w:szCs w:val="24"/>
        </w:rPr>
        <w:t>tošanu pagaidu turēšanas telpā.</w:t>
      </w:r>
    </w:p>
    <w:p w14:paraId="5047BB79" w14:textId="10F13AC1" w:rsidR="00A33477" w:rsidRPr="00F035AB" w:rsidRDefault="00B01F49" w:rsidP="00CE0C30">
      <w:pPr>
        <w:spacing w:after="0" w:line="276" w:lineRule="auto"/>
        <w:ind w:firstLine="567"/>
        <w:jc w:val="both"/>
        <w:rPr>
          <w:rFonts w:cs="Times New Roman"/>
          <w:szCs w:val="24"/>
        </w:rPr>
      </w:pPr>
      <w:r w:rsidRPr="00F035AB">
        <w:rPr>
          <w:rFonts w:cs="Times New Roman"/>
          <w:szCs w:val="24"/>
        </w:rPr>
        <w:t>Nepiekrītot minētajam, biedrība pieteicēja interesēs vērsās</w:t>
      </w:r>
      <w:r w:rsidR="002B2CAF" w:rsidRPr="00F035AB">
        <w:rPr>
          <w:rFonts w:cs="Times New Roman"/>
          <w:szCs w:val="24"/>
        </w:rPr>
        <w:t xml:space="preserve"> administratīvajā</w:t>
      </w:r>
      <w:r w:rsidR="00F24E5B" w:rsidRPr="00F035AB">
        <w:rPr>
          <w:rFonts w:cs="Times New Roman"/>
          <w:szCs w:val="24"/>
        </w:rPr>
        <w:t xml:space="preserve"> tiesā</w:t>
      </w:r>
      <w:r w:rsidR="00EF1A71" w:rsidRPr="00F035AB">
        <w:rPr>
          <w:rFonts w:cs="Times New Roman"/>
          <w:szCs w:val="24"/>
        </w:rPr>
        <w:t xml:space="preserve"> ar pieteikumu</w:t>
      </w:r>
      <w:r w:rsidRPr="00F035AB">
        <w:rPr>
          <w:rFonts w:cs="Times New Roman"/>
          <w:szCs w:val="24"/>
        </w:rPr>
        <w:t>.</w:t>
      </w:r>
    </w:p>
    <w:p w14:paraId="24B3F6B0" w14:textId="77777777" w:rsidR="00B01F49" w:rsidRPr="00F035AB" w:rsidRDefault="00B01F49" w:rsidP="00CE0C30">
      <w:pPr>
        <w:spacing w:after="0" w:line="276" w:lineRule="auto"/>
        <w:ind w:firstLine="567"/>
        <w:jc w:val="both"/>
        <w:rPr>
          <w:rFonts w:cs="Times New Roman"/>
          <w:szCs w:val="24"/>
        </w:rPr>
      </w:pPr>
    </w:p>
    <w:p w14:paraId="22E01726" w14:textId="53297D01" w:rsidR="00FB696B" w:rsidRPr="00F035AB" w:rsidRDefault="00FB696B" w:rsidP="00CE0C30">
      <w:pPr>
        <w:spacing w:after="0" w:line="276" w:lineRule="auto"/>
        <w:ind w:firstLine="567"/>
        <w:jc w:val="both"/>
        <w:rPr>
          <w:rFonts w:cs="Times New Roman"/>
          <w:szCs w:val="24"/>
        </w:rPr>
      </w:pPr>
      <w:r w:rsidRPr="00F035AB">
        <w:rPr>
          <w:rFonts w:cs="Times New Roman"/>
          <w:szCs w:val="24"/>
        </w:rPr>
        <w:t xml:space="preserve">[3] Ar Administratīvās rajona tiesas 2017.gada 14.novembra spriedumu daļēji apmierināts biedrības pieteikums un </w:t>
      </w:r>
      <w:r w:rsidR="003A63EB" w:rsidRPr="00F035AB">
        <w:rPr>
          <w:rFonts w:cs="Times New Roman"/>
          <w:szCs w:val="24"/>
        </w:rPr>
        <w:t xml:space="preserve">Latvijas Republikai </w:t>
      </w:r>
      <w:r w:rsidRPr="00F035AB">
        <w:rPr>
          <w:rFonts w:cs="Times New Roman"/>
          <w:szCs w:val="24"/>
        </w:rPr>
        <w:t>uzlikts pienākum</w:t>
      </w:r>
      <w:r w:rsidR="003A63EB" w:rsidRPr="00F035AB">
        <w:rPr>
          <w:rFonts w:cs="Times New Roman"/>
          <w:szCs w:val="24"/>
        </w:rPr>
        <w:t>s</w:t>
      </w:r>
      <w:r w:rsidRPr="00F035AB">
        <w:rPr>
          <w:rFonts w:cs="Times New Roman"/>
          <w:szCs w:val="24"/>
        </w:rPr>
        <w:t xml:space="preserve"> atlīdzināt </w:t>
      </w:r>
      <w:r w:rsidR="00B01F49" w:rsidRPr="00F035AB">
        <w:rPr>
          <w:rFonts w:cs="Times New Roman"/>
          <w:szCs w:val="24"/>
        </w:rPr>
        <w:t>pieteicējam 80 </w:t>
      </w:r>
      <w:proofErr w:type="spellStart"/>
      <w:r w:rsidRPr="00F035AB">
        <w:rPr>
          <w:rFonts w:cs="Times New Roman"/>
          <w:i/>
          <w:szCs w:val="24"/>
        </w:rPr>
        <w:t>euro</w:t>
      </w:r>
      <w:proofErr w:type="spellEnd"/>
      <w:r w:rsidRPr="00F035AB">
        <w:rPr>
          <w:rFonts w:cs="Times New Roman"/>
          <w:szCs w:val="24"/>
        </w:rPr>
        <w:t xml:space="preserve"> par nodarīto morālo kait</w:t>
      </w:r>
      <w:r w:rsidR="00B01F49" w:rsidRPr="00F035AB">
        <w:rPr>
          <w:rFonts w:cs="Times New Roman"/>
          <w:szCs w:val="24"/>
        </w:rPr>
        <w:t>ējumu, bet pārējā daļā pieteikums noraidīts</w:t>
      </w:r>
      <w:r w:rsidRPr="00F035AB">
        <w:rPr>
          <w:rFonts w:cs="Times New Roman"/>
          <w:szCs w:val="24"/>
        </w:rPr>
        <w:t>.</w:t>
      </w:r>
    </w:p>
    <w:p w14:paraId="7880BA30" w14:textId="77777777" w:rsidR="00FB696B" w:rsidRPr="00F035AB" w:rsidRDefault="00FB696B" w:rsidP="00CE0C30">
      <w:pPr>
        <w:spacing w:after="0" w:line="276" w:lineRule="auto"/>
        <w:ind w:firstLine="567"/>
        <w:jc w:val="both"/>
        <w:rPr>
          <w:rFonts w:cs="Times New Roman"/>
          <w:szCs w:val="24"/>
        </w:rPr>
      </w:pPr>
    </w:p>
    <w:p w14:paraId="4E94F0AD" w14:textId="4C1C0926" w:rsidR="00DF2A75" w:rsidRPr="00F035AB" w:rsidRDefault="00FB696B" w:rsidP="00CE0C30">
      <w:pPr>
        <w:spacing w:after="0" w:line="276" w:lineRule="auto"/>
        <w:ind w:firstLine="567"/>
        <w:jc w:val="both"/>
        <w:rPr>
          <w:rFonts w:cs="Times New Roman"/>
          <w:szCs w:val="24"/>
        </w:rPr>
      </w:pPr>
      <w:r w:rsidRPr="00F035AB">
        <w:rPr>
          <w:rFonts w:cs="Times New Roman"/>
          <w:szCs w:val="24"/>
        </w:rPr>
        <w:t>[</w:t>
      </w:r>
      <w:r w:rsidR="00B01F49" w:rsidRPr="00F035AB">
        <w:rPr>
          <w:rFonts w:cs="Times New Roman"/>
          <w:szCs w:val="24"/>
        </w:rPr>
        <w:t>4</w:t>
      </w:r>
      <w:r w:rsidRPr="00F035AB">
        <w:rPr>
          <w:rFonts w:cs="Times New Roman"/>
          <w:szCs w:val="24"/>
        </w:rPr>
        <w:t xml:space="preserve">] Izskatījusi lietu apelācijas kārtībā sakarā ar biedrības </w:t>
      </w:r>
      <w:r w:rsidR="00B01F49" w:rsidRPr="00F035AB">
        <w:rPr>
          <w:rFonts w:cs="Times New Roman"/>
          <w:szCs w:val="24"/>
        </w:rPr>
        <w:t xml:space="preserve">apelācijas sūdzību par </w:t>
      </w:r>
      <w:r w:rsidRPr="00F035AB">
        <w:rPr>
          <w:rFonts w:cs="Times New Roman"/>
          <w:szCs w:val="24"/>
        </w:rPr>
        <w:t xml:space="preserve">rajona tiesas spriedumu daļā, </w:t>
      </w:r>
      <w:r w:rsidR="00B01F49" w:rsidRPr="00F035AB">
        <w:rPr>
          <w:rFonts w:cs="Times New Roman"/>
          <w:szCs w:val="24"/>
        </w:rPr>
        <w:t>Administratīvā apgabaltiesa ar 2018.gada 18.jūnija spriedumu</w:t>
      </w:r>
      <w:r w:rsidR="00453B70" w:rsidRPr="00F035AB">
        <w:rPr>
          <w:rFonts w:cs="Times New Roman"/>
          <w:szCs w:val="24"/>
        </w:rPr>
        <w:t xml:space="preserve"> pieteikumu daļēji apmierināja.</w:t>
      </w:r>
    </w:p>
    <w:p w14:paraId="7487BBEF" w14:textId="59E5140A" w:rsidR="00F06976" w:rsidRPr="00F035AB" w:rsidRDefault="0060259C" w:rsidP="00CE0C30">
      <w:pPr>
        <w:spacing w:after="0" w:line="276" w:lineRule="auto"/>
        <w:ind w:firstLine="567"/>
        <w:jc w:val="both"/>
        <w:rPr>
          <w:rFonts w:cs="Times New Roman"/>
          <w:szCs w:val="24"/>
        </w:rPr>
      </w:pPr>
      <w:r w:rsidRPr="00F035AB">
        <w:rPr>
          <w:rFonts w:cs="Times New Roman"/>
          <w:szCs w:val="24"/>
        </w:rPr>
        <w:t xml:space="preserve">Apgabaltiesa </w:t>
      </w:r>
      <w:r w:rsidR="00C259E6" w:rsidRPr="00F035AB">
        <w:rPr>
          <w:rFonts w:cs="Times New Roman"/>
          <w:szCs w:val="24"/>
        </w:rPr>
        <w:t xml:space="preserve">spriedumā </w:t>
      </w:r>
      <w:r w:rsidR="00C244A7" w:rsidRPr="00F035AB">
        <w:rPr>
          <w:rFonts w:cs="Times New Roman"/>
          <w:szCs w:val="24"/>
        </w:rPr>
        <w:t>pievienojās pirmās instances tiesas sprieduma motivācijai, atzīstot, ka Valsts policijas rīcībā nav konstatējami procesuāli pārkāpumi pieteicēja aizturēšan</w:t>
      </w:r>
      <w:r w:rsidR="008D2B5D" w:rsidRPr="00F035AB">
        <w:rPr>
          <w:rFonts w:cs="Times New Roman"/>
          <w:szCs w:val="24"/>
        </w:rPr>
        <w:t>ā</w:t>
      </w:r>
      <w:r w:rsidR="00C244A7" w:rsidRPr="00F035AB">
        <w:rPr>
          <w:rFonts w:cs="Times New Roman"/>
          <w:szCs w:val="24"/>
        </w:rPr>
        <w:t>, tāpēc nav pamata morālā kaitējuma atlīdzinā</w:t>
      </w:r>
      <w:r w:rsidR="0048061D" w:rsidRPr="00F035AB">
        <w:rPr>
          <w:rFonts w:cs="Times New Roman"/>
          <w:szCs w:val="24"/>
        </w:rPr>
        <w:t>šanai.</w:t>
      </w:r>
      <w:r w:rsidR="001D1B83" w:rsidRPr="00F035AB">
        <w:rPr>
          <w:rFonts w:cs="Times New Roman"/>
          <w:szCs w:val="24"/>
        </w:rPr>
        <w:t xml:space="preserve"> </w:t>
      </w:r>
      <w:r w:rsidR="003C3119" w:rsidRPr="00F035AB">
        <w:rPr>
          <w:rFonts w:cs="Times New Roman"/>
          <w:szCs w:val="24"/>
        </w:rPr>
        <w:t xml:space="preserve">Vienlaikus </w:t>
      </w:r>
      <w:r w:rsidR="00F06976" w:rsidRPr="00F035AB">
        <w:rPr>
          <w:rFonts w:cs="Times New Roman"/>
          <w:szCs w:val="24"/>
        </w:rPr>
        <w:t>tiesa</w:t>
      </w:r>
      <w:r w:rsidR="003C3119" w:rsidRPr="00F035AB">
        <w:rPr>
          <w:rFonts w:cs="Times New Roman"/>
          <w:szCs w:val="24"/>
        </w:rPr>
        <w:t xml:space="preserve"> konstatēja, ka pieteicēja </w:t>
      </w:r>
      <w:r w:rsidR="00F06976" w:rsidRPr="00F035AB">
        <w:rPr>
          <w:rFonts w:cs="Times New Roman"/>
          <w:szCs w:val="24"/>
        </w:rPr>
        <w:t>gadījumā</w:t>
      </w:r>
      <w:r w:rsidR="003C3119" w:rsidRPr="00F035AB">
        <w:rPr>
          <w:rFonts w:cs="Times New Roman"/>
          <w:szCs w:val="24"/>
        </w:rPr>
        <w:t xml:space="preserve"> nav sastādīts administratīvā pārkāpuma protokols</w:t>
      </w:r>
      <w:r w:rsidR="00701339" w:rsidRPr="00F035AB">
        <w:rPr>
          <w:rFonts w:cs="Times New Roman"/>
          <w:szCs w:val="24"/>
        </w:rPr>
        <w:t xml:space="preserve">, kā to paredz </w:t>
      </w:r>
      <w:r w:rsidR="00C259E6" w:rsidRPr="00F035AB">
        <w:rPr>
          <w:rFonts w:cs="Times New Roman"/>
          <w:szCs w:val="24"/>
        </w:rPr>
        <w:t xml:space="preserve">Latvijas </w:t>
      </w:r>
      <w:r w:rsidR="00701339" w:rsidRPr="00F035AB">
        <w:rPr>
          <w:rFonts w:cs="Times New Roman"/>
          <w:szCs w:val="24"/>
        </w:rPr>
        <w:t>Administratīvo pārkāpumu kodeksa (turpmāk arī – kodekss) 246.pants</w:t>
      </w:r>
      <w:r w:rsidRPr="00F035AB">
        <w:rPr>
          <w:rFonts w:cs="Times New Roman"/>
          <w:szCs w:val="24"/>
        </w:rPr>
        <w:t>, k</w:t>
      </w:r>
      <w:r w:rsidR="00701339" w:rsidRPr="00F035AB">
        <w:rPr>
          <w:rFonts w:cs="Times New Roman"/>
          <w:szCs w:val="24"/>
        </w:rPr>
        <w:t>as savukārt</w:t>
      </w:r>
      <w:r w:rsidR="009B1870" w:rsidRPr="00F035AB">
        <w:rPr>
          <w:rFonts w:cs="Times New Roman"/>
          <w:szCs w:val="24"/>
        </w:rPr>
        <w:t xml:space="preserve"> </w:t>
      </w:r>
      <w:r w:rsidR="00C259E6" w:rsidRPr="00F035AB">
        <w:rPr>
          <w:rFonts w:cs="Times New Roman"/>
          <w:szCs w:val="24"/>
        </w:rPr>
        <w:t>ir novedis</w:t>
      </w:r>
      <w:r w:rsidR="00F06976" w:rsidRPr="00F035AB">
        <w:rPr>
          <w:rFonts w:cs="Times New Roman"/>
          <w:szCs w:val="24"/>
        </w:rPr>
        <w:t xml:space="preserve"> pie nepamatotas vilcināšanās pieņemt lēmumu par rīcību ar izņemto pieteicēja kustamo mantu. </w:t>
      </w:r>
      <w:r w:rsidR="00412B8B" w:rsidRPr="00F035AB">
        <w:rPr>
          <w:rFonts w:cs="Times New Roman"/>
          <w:szCs w:val="24"/>
        </w:rPr>
        <w:t>I</w:t>
      </w:r>
      <w:r w:rsidR="00F06976" w:rsidRPr="00F035AB">
        <w:rPr>
          <w:rFonts w:cs="Times New Roman"/>
          <w:szCs w:val="24"/>
        </w:rPr>
        <w:t>lgstoš</w:t>
      </w:r>
      <w:r w:rsidR="00C259E6" w:rsidRPr="00F035AB">
        <w:rPr>
          <w:rFonts w:cs="Times New Roman"/>
          <w:szCs w:val="24"/>
        </w:rPr>
        <w:t>ā</w:t>
      </w:r>
      <w:r w:rsidR="00F06976" w:rsidRPr="00F035AB">
        <w:rPr>
          <w:rFonts w:cs="Times New Roman"/>
          <w:szCs w:val="24"/>
        </w:rPr>
        <w:t xml:space="preserve"> kavēšanās</w:t>
      </w:r>
      <w:r w:rsidR="00412B8B" w:rsidRPr="00F035AB">
        <w:rPr>
          <w:rFonts w:cs="Times New Roman"/>
          <w:szCs w:val="24"/>
        </w:rPr>
        <w:t xml:space="preserve"> </w:t>
      </w:r>
      <w:r w:rsidR="00F06976" w:rsidRPr="00F035AB">
        <w:rPr>
          <w:rFonts w:cs="Times New Roman"/>
          <w:szCs w:val="24"/>
        </w:rPr>
        <w:t xml:space="preserve">būtiski </w:t>
      </w:r>
      <w:r w:rsidR="0070677A" w:rsidRPr="00F035AB">
        <w:rPr>
          <w:rFonts w:cs="Times New Roman"/>
          <w:szCs w:val="24"/>
        </w:rPr>
        <w:t>aizskārusi</w:t>
      </w:r>
      <w:r w:rsidR="00F06976" w:rsidRPr="00F035AB">
        <w:rPr>
          <w:rFonts w:cs="Times New Roman"/>
          <w:szCs w:val="24"/>
        </w:rPr>
        <w:t xml:space="preserve"> pieteicēja pamattiesības uz īpa</w:t>
      </w:r>
      <w:r w:rsidR="00701339" w:rsidRPr="00F035AB">
        <w:rPr>
          <w:rFonts w:cs="Times New Roman"/>
          <w:szCs w:val="24"/>
        </w:rPr>
        <w:t xml:space="preserve">šumu, </w:t>
      </w:r>
      <w:r w:rsidR="003A63EB" w:rsidRPr="00F035AB">
        <w:rPr>
          <w:rFonts w:cs="Times New Roman"/>
          <w:szCs w:val="24"/>
        </w:rPr>
        <w:t xml:space="preserve">un tas </w:t>
      </w:r>
      <w:r w:rsidR="00C80A2F" w:rsidRPr="00F035AB">
        <w:rPr>
          <w:rFonts w:cs="Times New Roman"/>
          <w:szCs w:val="24"/>
        </w:rPr>
        <w:t>ir pamats morālā kaitējuma atlīdzināšanai</w:t>
      </w:r>
      <w:r w:rsidR="00A34AC5" w:rsidRPr="00F035AB">
        <w:rPr>
          <w:rFonts w:cs="Times New Roman"/>
          <w:szCs w:val="24"/>
        </w:rPr>
        <w:t>. T</w:t>
      </w:r>
      <w:r w:rsidR="00183FB4" w:rsidRPr="00F035AB">
        <w:rPr>
          <w:rFonts w:cs="Times New Roman"/>
          <w:szCs w:val="24"/>
        </w:rPr>
        <w:t>iesa</w:t>
      </w:r>
      <w:r w:rsidR="00944040" w:rsidRPr="00F035AB">
        <w:rPr>
          <w:rFonts w:cs="Times New Roman"/>
          <w:szCs w:val="24"/>
        </w:rPr>
        <w:t xml:space="preserve">s ieskatā, </w:t>
      </w:r>
      <w:r w:rsidR="00183FB4" w:rsidRPr="00F035AB">
        <w:rPr>
          <w:rFonts w:cs="Times New Roman"/>
          <w:szCs w:val="24"/>
        </w:rPr>
        <w:t>atbilstīgs atlīdzin</w:t>
      </w:r>
      <w:r w:rsidR="00931ED6" w:rsidRPr="00F035AB">
        <w:rPr>
          <w:rFonts w:cs="Times New Roman"/>
          <w:szCs w:val="24"/>
        </w:rPr>
        <w:t>ājums</w:t>
      </w:r>
      <w:r w:rsidR="002B2CAF" w:rsidRPr="00F035AB">
        <w:rPr>
          <w:rFonts w:cs="Times New Roman"/>
          <w:szCs w:val="24"/>
        </w:rPr>
        <w:t xml:space="preserve">, ņemot vērā jau pirmās instances tiesas piespriesto, </w:t>
      </w:r>
      <w:r w:rsidR="00931ED6" w:rsidRPr="00F035AB">
        <w:rPr>
          <w:rFonts w:cs="Times New Roman"/>
          <w:szCs w:val="24"/>
        </w:rPr>
        <w:t>ir 2</w:t>
      </w:r>
      <w:r w:rsidR="0010577F" w:rsidRPr="00F035AB">
        <w:rPr>
          <w:rFonts w:cs="Times New Roman"/>
          <w:szCs w:val="24"/>
        </w:rPr>
        <w:t>00 </w:t>
      </w:r>
      <w:proofErr w:type="spellStart"/>
      <w:r w:rsidR="00183FB4" w:rsidRPr="00F035AB">
        <w:rPr>
          <w:rFonts w:cs="Times New Roman"/>
          <w:i/>
          <w:szCs w:val="24"/>
        </w:rPr>
        <w:t>euro</w:t>
      </w:r>
      <w:proofErr w:type="spellEnd"/>
      <w:r w:rsidR="00183FB4" w:rsidRPr="00F035AB">
        <w:rPr>
          <w:rFonts w:cs="Times New Roman"/>
          <w:szCs w:val="24"/>
        </w:rPr>
        <w:t>.</w:t>
      </w:r>
    </w:p>
    <w:p w14:paraId="58E3D5E1" w14:textId="77777777" w:rsidR="00FB696B" w:rsidRPr="00F035AB" w:rsidRDefault="00FB696B" w:rsidP="00CE0C30">
      <w:pPr>
        <w:spacing w:after="0" w:line="276" w:lineRule="auto"/>
        <w:ind w:firstLine="567"/>
        <w:jc w:val="both"/>
        <w:rPr>
          <w:rFonts w:cs="Times New Roman"/>
          <w:szCs w:val="24"/>
        </w:rPr>
      </w:pPr>
    </w:p>
    <w:p w14:paraId="4ACF7A7D" w14:textId="6A97DECE" w:rsidR="00DF2A75" w:rsidRPr="00F035AB" w:rsidRDefault="00FB696B" w:rsidP="00CE0C30">
      <w:pPr>
        <w:spacing w:after="0" w:line="276" w:lineRule="auto"/>
        <w:ind w:firstLine="567"/>
        <w:jc w:val="both"/>
        <w:rPr>
          <w:rFonts w:cs="Times New Roman"/>
          <w:szCs w:val="24"/>
        </w:rPr>
      </w:pPr>
      <w:r w:rsidRPr="00F035AB">
        <w:rPr>
          <w:rFonts w:cs="Times New Roman"/>
          <w:szCs w:val="24"/>
        </w:rPr>
        <w:t>[</w:t>
      </w:r>
      <w:r w:rsidR="00B01F49" w:rsidRPr="00F035AB">
        <w:rPr>
          <w:rFonts w:cs="Times New Roman"/>
          <w:szCs w:val="24"/>
        </w:rPr>
        <w:t>5</w:t>
      </w:r>
      <w:r w:rsidRPr="00F035AB">
        <w:rPr>
          <w:rFonts w:cs="Times New Roman"/>
          <w:szCs w:val="24"/>
        </w:rPr>
        <w:t>] Pieteicējs par Administratīvās apgabaltiesas spriedumu</w:t>
      </w:r>
      <w:r w:rsidR="00DF2A75" w:rsidRPr="00F035AB">
        <w:rPr>
          <w:rFonts w:cs="Times New Roman"/>
          <w:szCs w:val="24"/>
        </w:rPr>
        <w:t xml:space="preserve"> daļā, ar kuru noraidīts pieteikums par morālā kaitējuma atlīdzināšanu 2800 </w:t>
      </w:r>
      <w:proofErr w:type="spellStart"/>
      <w:r w:rsidR="00DF2A75" w:rsidRPr="00F035AB">
        <w:rPr>
          <w:rFonts w:cs="Times New Roman"/>
          <w:i/>
          <w:szCs w:val="24"/>
        </w:rPr>
        <w:t>euro</w:t>
      </w:r>
      <w:proofErr w:type="spellEnd"/>
      <w:r w:rsidR="002B2CAF" w:rsidRPr="00F035AB">
        <w:rPr>
          <w:rFonts w:cs="Times New Roman"/>
          <w:szCs w:val="24"/>
        </w:rPr>
        <w:t>,</w:t>
      </w:r>
      <w:r w:rsidRPr="00F035AB">
        <w:rPr>
          <w:rFonts w:cs="Times New Roman"/>
          <w:szCs w:val="24"/>
        </w:rPr>
        <w:t xml:space="preserve"> iesniedza kasācijas sūdz</w:t>
      </w:r>
      <w:r w:rsidR="00DF2A75" w:rsidRPr="00F035AB">
        <w:rPr>
          <w:rFonts w:cs="Times New Roman"/>
          <w:szCs w:val="24"/>
        </w:rPr>
        <w:t>ību, pamatojot to ar turpmāk norādītajiem argumentiem.</w:t>
      </w:r>
    </w:p>
    <w:p w14:paraId="787617D8" w14:textId="6A285CC2" w:rsidR="00FB696B" w:rsidRPr="00F035AB" w:rsidRDefault="00DF2A75" w:rsidP="00CE0C30">
      <w:pPr>
        <w:spacing w:after="0" w:line="276" w:lineRule="auto"/>
        <w:ind w:firstLine="567"/>
        <w:jc w:val="both"/>
        <w:rPr>
          <w:rFonts w:cs="Times New Roman"/>
          <w:szCs w:val="24"/>
          <w:lang w:eastAsia="ru-RU"/>
        </w:rPr>
      </w:pPr>
      <w:r w:rsidRPr="00F035AB">
        <w:rPr>
          <w:rFonts w:cs="Times New Roman"/>
          <w:szCs w:val="24"/>
        </w:rPr>
        <w:t xml:space="preserve">[5.1] </w:t>
      </w:r>
      <w:r w:rsidR="00544E39" w:rsidRPr="00F035AB">
        <w:rPr>
          <w:rFonts w:cs="Times New Roman"/>
          <w:szCs w:val="24"/>
        </w:rPr>
        <w:t>P</w:t>
      </w:r>
      <w:r w:rsidR="00FB696B" w:rsidRPr="00F035AB">
        <w:rPr>
          <w:rFonts w:cs="Times New Roman"/>
          <w:szCs w:val="24"/>
          <w:lang w:eastAsia="ru-RU"/>
        </w:rPr>
        <w:t xml:space="preserve">olicijas darbinieku prasība pārtraukt filmēšanu prokuratūras telpās ir bijusi prettiesiska, kā rezultātā ir notikusi nepamatota aizturēšana. </w:t>
      </w:r>
      <w:r w:rsidR="00544E39" w:rsidRPr="00F035AB">
        <w:rPr>
          <w:rFonts w:cs="Times New Roman"/>
          <w:szCs w:val="24"/>
        </w:rPr>
        <w:t xml:space="preserve">Pieteicējs atsaucas uz, viņaprāt, līdzīgiem gadījumiem, ko vērtējusi vispārējās jurisdikcijas tiesa lietās Nr. 130071617, </w:t>
      </w:r>
      <w:r w:rsidR="00CF0FC5" w:rsidRPr="00F035AB">
        <w:rPr>
          <w:rFonts w:cs="Times New Roman"/>
          <w:szCs w:val="24"/>
        </w:rPr>
        <w:t>Nr. </w:t>
      </w:r>
      <w:r w:rsidR="00544E39" w:rsidRPr="00F035AB">
        <w:rPr>
          <w:rFonts w:cs="Times New Roman"/>
          <w:szCs w:val="24"/>
        </w:rPr>
        <w:t xml:space="preserve">130048117 un </w:t>
      </w:r>
      <w:r w:rsidR="00CF0FC5" w:rsidRPr="00F035AB">
        <w:rPr>
          <w:rFonts w:cs="Times New Roman"/>
          <w:szCs w:val="24"/>
        </w:rPr>
        <w:t>Nr. </w:t>
      </w:r>
      <w:r w:rsidR="00544E39" w:rsidRPr="00F035AB">
        <w:rPr>
          <w:rFonts w:cs="Times New Roman"/>
          <w:szCs w:val="24"/>
        </w:rPr>
        <w:t xml:space="preserve">130088016 </w:t>
      </w:r>
      <w:r w:rsidR="00EF1A71" w:rsidRPr="00F035AB">
        <w:rPr>
          <w:rFonts w:cs="Times New Roman"/>
          <w:szCs w:val="24"/>
        </w:rPr>
        <w:t>saistībā ar</w:t>
      </w:r>
      <w:r w:rsidR="00544E39" w:rsidRPr="00F035AB">
        <w:rPr>
          <w:rFonts w:cs="Times New Roman"/>
          <w:szCs w:val="24"/>
        </w:rPr>
        <w:t xml:space="preserve"> filmēšanu prokuratūrā un nepakļaušanos policijas darbinieku „likumīgajām” prasībām. Apgabalt</w:t>
      </w:r>
      <w:r w:rsidR="00FB696B" w:rsidRPr="00F035AB">
        <w:rPr>
          <w:rFonts w:cs="Times New Roman"/>
          <w:szCs w:val="24"/>
          <w:lang w:eastAsia="ru-RU"/>
        </w:rPr>
        <w:t>iesa nav izvērtējusi, kādā veidā ar likumu neaizliegta filmēšana bija traucēklis apsūdzības uzrādīšanai. Pieteicēja ieskatā, ja filmēšana būtu notikusi apstākļos, kur tas ir aizliegts ar likumu, tad šāda pārkāpuma pārtraukšanai būtu pietiekam</w:t>
      </w:r>
      <w:r w:rsidR="000525A4" w:rsidRPr="00F035AB">
        <w:rPr>
          <w:rFonts w:cs="Times New Roman"/>
          <w:szCs w:val="24"/>
          <w:lang w:eastAsia="ru-RU"/>
        </w:rPr>
        <w:t>i</w:t>
      </w:r>
      <w:r w:rsidR="00FB696B" w:rsidRPr="00F035AB">
        <w:rPr>
          <w:rFonts w:cs="Times New Roman"/>
          <w:szCs w:val="24"/>
          <w:lang w:eastAsia="ru-RU"/>
        </w:rPr>
        <w:t xml:space="preserve"> ar mantas izņemšanu, kas ir mazāk ierobežojošs līdzeklis nekā personas aizturēšana, jo bez tehniskiem līdzekļiem filmēšanu nav iespējams veikt. </w:t>
      </w:r>
      <w:r w:rsidR="000525A4" w:rsidRPr="00F035AB">
        <w:rPr>
          <w:rFonts w:cs="Times New Roman"/>
          <w:szCs w:val="24"/>
          <w:lang w:eastAsia="ru-RU"/>
        </w:rPr>
        <w:t>P</w:t>
      </w:r>
      <w:r w:rsidR="00FB696B" w:rsidRPr="00F035AB">
        <w:rPr>
          <w:rFonts w:cs="Times New Roman"/>
          <w:szCs w:val="24"/>
          <w:lang w:eastAsia="ru-RU"/>
        </w:rPr>
        <w:t>rokuratūra nav īslaicīgās aizturēšanas vieta, kurā atbilstoši Aizturēto personu turēšanas kārtības likuma 5.panta otrās daļas 1.punktam būtu aizliegts ienest un izmantot videotehniku. Tāpat arī uzlīme par filmēšanas aizliegumu, kas atrodas pie prokuratūras ieejas durvīm, nav noteikta likumā.</w:t>
      </w:r>
      <w:r w:rsidR="00221477" w:rsidRPr="00F035AB">
        <w:rPr>
          <w:rFonts w:cs="Times New Roman"/>
          <w:szCs w:val="24"/>
        </w:rPr>
        <w:t xml:space="preserve"> </w:t>
      </w:r>
      <w:r w:rsidR="00544E39" w:rsidRPr="00F035AB">
        <w:rPr>
          <w:rFonts w:cs="Times New Roman"/>
          <w:szCs w:val="24"/>
        </w:rPr>
        <w:t>Ievērojot minēto, a</w:t>
      </w:r>
      <w:r w:rsidR="00221477" w:rsidRPr="00F035AB">
        <w:rPr>
          <w:rFonts w:cs="Times New Roman"/>
          <w:szCs w:val="24"/>
        </w:rPr>
        <w:t>pgabaltiesa nepareizi in</w:t>
      </w:r>
      <w:r w:rsidR="00453B70" w:rsidRPr="00F035AB">
        <w:rPr>
          <w:rFonts w:cs="Times New Roman"/>
          <w:szCs w:val="24"/>
        </w:rPr>
        <w:t>terpretējusi kodeksa 252.pantu.</w:t>
      </w:r>
    </w:p>
    <w:p w14:paraId="7258E0A7" w14:textId="2B9F1A73" w:rsidR="00331DC3" w:rsidRPr="00F035AB" w:rsidRDefault="00331DC3" w:rsidP="00CE0C30">
      <w:pPr>
        <w:spacing w:after="0" w:line="276" w:lineRule="auto"/>
        <w:ind w:firstLine="567"/>
        <w:jc w:val="both"/>
        <w:rPr>
          <w:rFonts w:cs="Times New Roman"/>
          <w:szCs w:val="24"/>
        </w:rPr>
      </w:pPr>
      <w:r w:rsidRPr="00F035AB">
        <w:rPr>
          <w:rFonts w:cs="Times New Roman"/>
          <w:szCs w:val="24"/>
        </w:rPr>
        <w:t xml:space="preserve">[5.2] Valsts policijas 2016.gada 11.maija lēmumā par administratīvās lietvedības izbeigšanu ir dota atsauce uz kodeksa 175.panta pārkāpumu, nevis uz šā kodeksa 167.pantu, saskaņā ar kuru </w:t>
      </w:r>
      <w:r w:rsidR="00660065" w:rsidRPr="00F035AB">
        <w:rPr>
          <w:rFonts w:cs="Times New Roman"/>
          <w:szCs w:val="24"/>
        </w:rPr>
        <w:t xml:space="preserve">pieteicējs </w:t>
      </w:r>
      <w:r w:rsidRPr="00F035AB">
        <w:rPr>
          <w:rFonts w:cs="Times New Roman"/>
          <w:szCs w:val="24"/>
        </w:rPr>
        <w:t>tika aizturēts.</w:t>
      </w:r>
    </w:p>
    <w:p w14:paraId="38BFDA16" w14:textId="369BD261" w:rsidR="00331DC3" w:rsidRPr="00F035AB" w:rsidRDefault="00331DC3" w:rsidP="00CE0C30">
      <w:pPr>
        <w:spacing w:after="0" w:line="276" w:lineRule="auto"/>
        <w:ind w:firstLine="567"/>
        <w:jc w:val="both"/>
        <w:rPr>
          <w:rFonts w:cs="Times New Roman"/>
          <w:szCs w:val="24"/>
        </w:rPr>
      </w:pPr>
      <w:r w:rsidRPr="00F035AB">
        <w:rPr>
          <w:rFonts w:cs="Times New Roman"/>
          <w:szCs w:val="24"/>
        </w:rPr>
        <w:t>[5.3] A</w:t>
      </w:r>
      <w:r w:rsidRPr="00F035AB">
        <w:rPr>
          <w:rFonts w:cs="Times New Roman"/>
          <w:szCs w:val="24"/>
          <w:lang w:eastAsia="ru-RU"/>
        </w:rPr>
        <w:t>pgabal</w:t>
      </w:r>
      <w:r w:rsidRPr="00F035AB">
        <w:rPr>
          <w:rFonts w:cs="Times New Roman"/>
          <w:szCs w:val="24"/>
        </w:rPr>
        <w:t>tiesa nav piemērojusi Eiropas Cilvēktiesību tiesas spriedumos – 2018.gada 10.aprīļa spriedumā lietā „</w:t>
      </w:r>
      <w:proofErr w:type="spellStart"/>
      <w:r w:rsidRPr="00F035AB">
        <w:rPr>
          <w:rFonts w:cs="Times New Roman"/>
          <w:szCs w:val="24"/>
        </w:rPr>
        <w:t>Tsvetkova</w:t>
      </w:r>
      <w:proofErr w:type="spellEnd"/>
      <w:r w:rsidRPr="00F035AB">
        <w:rPr>
          <w:rFonts w:cs="Times New Roman"/>
          <w:szCs w:val="24"/>
        </w:rPr>
        <w:t xml:space="preserve"> </w:t>
      </w:r>
      <w:proofErr w:type="spellStart"/>
      <w:r w:rsidRPr="00F035AB">
        <w:rPr>
          <w:rFonts w:cs="Times New Roman"/>
          <w:szCs w:val="24"/>
        </w:rPr>
        <w:t>and</w:t>
      </w:r>
      <w:proofErr w:type="spellEnd"/>
      <w:r w:rsidRPr="00F035AB">
        <w:rPr>
          <w:rFonts w:cs="Times New Roman"/>
          <w:szCs w:val="24"/>
        </w:rPr>
        <w:t xml:space="preserve"> </w:t>
      </w:r>
      <w:proofErr w:type="spellStart"/>
      <w:r w:rsidRPr="00F035AB">
        <w:rPr>
          <w:rFonts w:cs="Times New Roman"/>
          <w:szCs w:val="24"/>
        </w:rPr>
        <w:t>Others</w:t>
      </w:r>
      <w:proofErr w:type="spellEnd"/>
      <w:r w:rsidRPr="00F035AB">
        <w:rPr>
          <w:rFonts w:cs="Times New Roman"/>
          <w:szCs w:val="24"/>
        </w:rPr>
        <w:t xml:space="preserve"> v. </w:t>
      </w:r>
      <w:proofErr w:type="spellStart"/>
      <w:r w:rsidRPr="00F035AB">
        <w:rPr>
          <w:rFonts w:cs="Times New Roman"/>
          <w:szCs w:val="24"/>
        </w:rPr>
        <w:t>Russia</w:t>
      </w:r>
      <w:proofErr w:type="spellEnd"/>
      <w:r w:rsidRPr="00F035AB">
        <w:rPr>
          <w:rFonts w:cs="Times New Roman"/>
          <w:szCs w:val="24"/>
        </w:rPr>
        <w:t xml:space="preserve">”, 2016.gada 12.septembra spriedumā lietā „Novikova </w:t>
      </w:r>
      <w:proofErr w:type="spellStart"/>
      <w:r w:rsidRPr="00F035AB">
        <w:rPr>
          <w:rFonts w:cs="Times New Roman"/>
          <w:szCs w:val="24"/>
        </w:rPr>
        <w:t>and</w:t>
      </w:r>
      <w:proofErr w:type="spellEnd"/>
      <w:r w:rsidRPr="00F035AB">
        <w:rPr>
          <w:rFonts w:cs="Times New Roman"/>
          <w:szCs w:val="24"/>
        </w:rPr>
        <w:t xml:space="preserve"> </w:t>
      </w:r>
      <w:proofErr w:type="spellStart"/>
      <w:r w:rsidRPr="00F035AB">
        <w:rPr>
          <w:rFonts w:cs="Times New Roman"/>
          <w:szCs w:val="24"/>
        </w:rPr>
        <w:t>Others</w:t>
      </w:r>
      <w:proofErr w:type="spellEnd"/>
      <w:r w:rsidRPr="00F035AB">
        <w:rPr>
          <w:rFonts w:cs="Times New Roman"/>
          <w:szCs w:val="24"/>
        </w:rPr>
        <w:t> v. </w:t>
      </w:r>
      <w:proofErr w:type="spellStart"/>
      <w:r w:rsidRPr="00F035AB">
        <w:rPr>
          <w:rFonts w:cs="Times New Roman"/>
          <w:szCs w:val="24"/>
        </w:rPr>
        <w:t>Russia</w:t>
      </w:r>
      <w:proofErr w:type="spellEnd"/>
      <w:r w:rsidRPr="00F035AB">
        <w:rPr>
          <w:rFonts w:cs="Times New Roman"/>
          <w:szCs w:val="24"/>
        </w:rPr>
        <w:t>”</w:t>
      </w:r>
      <w:r w:rsidR="00796B23" w:rsidRPr="00F035AB">
        <w:rPr>
          <w:rFonts w:cs="Times New Roman"/>
          <w:szCs w:val="24"/>
        </w:rPr>
        <w:t xml:space="preserve"> </w:t>
      </w:r>
      <w:r w:rsidRPr="00F035AB">
        <w:rPr>
          <w:rFonts w:cs="Times New Roman"/>
          <w:szCs w:val="24"/>
        </w:rPr>
        <w:t>un 2014.gada 18.septembra spriedumā lietā „</w:t>
      </w:r>
      <w:proofErr w:type="spellStart"/>
      <w:r w:rsidRPr="00F035AB">
        <w:rPr>
          <w:rFonts w:cs="Times New Roman"/>
          <w:szCs w:val="24"/>
        </w:rPr>
        <w:t>Rakhimberdiyev</w:t>
      </w:r>
      <w:proofErr w:type="spellEnd"/>
      <w:r w:rsidRPr="00F035AB">
        <w:rPr>
          <w:rFonts w:cs="Times New Roman"/>
          <w:szCs w:val="24"/>
        </w:rPr>
        <w:t xml:space="preserve"> v. </w:t>
      </w:r>
      <w:proofErr w:type="spellStart"/>
      <w:r w:rsidRPr="00F035AB">
        <w:rPr>
          <w:rFonts w:cs="Times New Roman"/>
          <w:szCs w:val="24"/>
        </w:rPr>
        <w:t>Russia</w:t>
      </w:r>
      <w:proofErr w:type="spellEnd"/>
      <w:r w:rsidRPr="00F035AB">
        <w:rPr>
          <w:rFonts w:cs="Times New Roman"/>
          <w:szCs w:val="24"/>
        </w:rPr>
        <w:t>”</w:t>
      </w:r>
      <w:r w:rsidR="00796B23" w:rsidRPr="00F035AB">
        <w:rPr>
          <w:rFonts w:cs="Times New Roman"/>
          <w:szCs w:val="24"/>
        </w:rPr>
        <w:t xml:space="preserve"> </w:t>
      </w:r>
      <w:r w:rsidRPr="00F035AB">
        <w:rPr>
          <w:rFonts w:cs="Times New Roman"/>
          <w:szCs w:val="24"/>
        </w:rPr>
        <w:t xml:space="preserve">– atzīto, kur tiesa saistībā ar personas aizturēšanu konstatēja Eiropas </w:t>
      </w:r>
      <w:r w:rsidRPr="00F035AB">
        <w:rPr>
          <w:rFonts w:cs="Times New Roman"/>
          <w:szCs w:val="24"/>
        </w:rPr>
        <w:lastRenderedPageBreak/>
        <w:t xml:space="preserve">Cilvēka tiesību un pamatbrīvību aizsardzības konvencijas (turpmāk – </w:t>
      </w:r>
      <w:r w:rsidR="00D479EA" w:rsidRPr="00F035AB">
        <w:rPr>
          <w:rFonts w:cs="Times New Roman"/>
          <w:szCs w:val="24"/>
        </w:rPr>
        <w:t>K</w:t>
      </w:r>
      <w:r w:rsidRPr="00F035AB">
        <w:rPr>
          <w:rFonts w:cs="Times New Roman"/>
          <w:szCs w:val="24"/>
        </w:rPr>
        <w:t>onvencija) 5.panta 1.punkta pārkāpumu, vienlaikus nosakot atbilstīgu atlīdzinājumu.</w:t>
      </w:r>
    </w:p>
    <w:p w14:paraId="1BD0BE4F" w14:textId="4A8E120B" w:rsidR="00206568" w:rsidRPr="00F035AB" w:rsidRDefault="00DF2A75" w:rsidP="003809BB">
      <w:pPr>
        <w:spacing w:after="0" w:line="276" w:lineRule="auto"/>
        <w:ind w:firstLine="567"/>
        <w:jc w:val="both"/>
        <w:rPr>
          <w:rFonts w:cs="Times New Roman"/>
          <w:szCs w:val="24"/>
        </w:rPr>
      </w:pPr>
      <w:r w:rsidRPr="00F035AB">
        <w:rPr>
          <w:rFonts w:cs="Times New Roman"/>
          <w:szCs w:val="24"/>
          <w:lang w:eastAsia="ru-RU"/>
        </w:rPr>
        <w:t>[</w:t>
      </w:r>
      <w:r w:rsidR="00206568" w:rsidRPr="00F035AB">
        <w:rPr>
          <w:rFonts w:cs="Times New Roman"/>
          <w:szCs w:val="24"/>
          <w:lang w:eastAsia="ru-RU"/>
        </w:rPr>
        <w:t>5.</w:t>
      </w:r>
      <w:r w:rsidR="00331DC3" w:rsidRPr="00F035AB">
        <w:rPr>
          <w:rFonts w:cs="Times New Roman"/>
          <w:szCs w:val="24"/>
          <w:lang w:eastAsia="ru-RU"/>
        </w:rPr>
        <w:t>4</w:t>
      </w:r>
      <w:r w:rsidRPr="00F035AB">
        <w:rPr>
          <w:rFonts w:cs="Times New Roman"/>
          <w:szCs w:val="24"/>
          <w:lang w:eastAsia="ru-RU"/>
        </w:rPr>
        <w:t>]</w:t>
      </w:r>
      <w:r w:rsidR="00221477" w:rsidRPr="00F035AB">
        <w:rPr>
          <w:rFonts w:cs="Times New Roman"/>
          <w:szCs w:val="24"/>
          <w:lang w:eastAsia="ru-RU"/>
        </w:rPr>
        <w:t xml:space="preserve"> Valsts policijas 2015.gada 30.jū</w:t>
      </w:r>
      <w:r w:rsidR="00206568" w:rsidRPr="00F035AB">
        <w:rPr>
          <w:rFonts w:cs="Times New Roman"/>
          <w:szCs w:val="24"/>
          <w:lang w:eastAsia="ru-RU"/>
        </w:rPr>
        <w:t>lija dienesta pārbaudes atzinums apliecina</w:t>
      </w:r>
      <w:r w:rsidR="00221477" w:rsidRPr="00F035AB">
        <w:rPr>
          <w:rFonts w:cs="Times New Roman"/>
          <w:szCs w:val="24"/>
          <w:lang w:eastAsia="ru-RU"/>
        </w:rPr>
        <w:t xml:space="preserve">, ka </w:t>
      </w:r>
      <w:r w:rsidR="00544E39" w:rsidRPr="00F035AB">
        <w:rPr>
          <w:rFonts w:cs="Times New Roman"/>
          <w:szCs w:val="24"/>
          <w:lang w:eastAsia="ru-RU"/>
        </w:rPr>
        <w:t xml:space="preserve">pieteicējs ir </w:t>
      </w:r>
      <w:r w:rsidR="00206568" w:rsidRPr="00F035AB">
        <w:rPr>
          <w:rFonts w:cs="Times New Roman"/>
          <w:szCs w:val="24"/>
          <w:lang w:eastAsia="ru-RU"/>
        </w:rPr>
        <w:t>bijis</w:t>
      </w:r>
      <w:r w:rsidR="00544E39" w:rsidRPr="00F035AB">
        <w:rPr>
          <w:rFonts w:cs="Times New Roman"/>
          <w:szCs w:val="24"/>
          <w:lang w:eastAsia="ru-RU"/>
        </w:rPr>
        <w:t xml:space="preserve"> ievietots pagaidu turēšanas telpā, no kuras izlaists ārā uz </w:t>
      </w:r>
      <w:r w:rsidR="00206568" w:rsidRPr="00F035AB">
        <w:rPr>
          <w:rFonts w:cs="Times New Roman"/>
          <w:szCs w:val="24"/>
          <w:lang w:eastAsia="ru-RU"/>
        </w:rPr>
        <w:t>laiku</w:t>
      </w:r>
      <w:r w:rsidR="00544E39" w:rsidRPr="00F035AB">
        <w:rPr>
          <w:rFonts w:cs="Times New Roman"/>
          <w:szCs w:val="24"/>
          <w:lang w:eastAsia="ru-RU"/>
        </w:rPr>
        <w:t>, kad atn</w:t>
      </w:r>
      <w:r w:rsidR="00206568" w:rsidRPr="00F035AB">
        <w:rPr>
          <w:rFonts w:cs="Times New Roman"/>
          <w:szCs w:val="24"/>
          <w:lang w:eastAsia="ru-RU"/>
        </w:rPr>
        <w:t>ākusi prokurore, lai veiktu kriminālprocesuālas darbības ar pieteicēju. Pieteicēja aizturēšanas mērķis ir bijis cits</w:t>
      </w:r>
      <w:r w:rsidR="00331DC3" w:rsidRPr="00F035AB">
        <w:rPr>
          <w:rFonts w:cs="Times New Roman"/>
          <w:szCs w:val="24"/>
          <w:lang w:eastAsia="ru-RU"/>
        </w:rPr>
        <w:t>,</w:t>
      </w:r>
      <w:r w:rsidR="00206568" w:rsidRPr="00F035AB">
        <w:rPr>
          <w:rFonts w:cs="Times New Roman"/>
          <w:szCs w:val="24"/>
          <w:lang w:eastAsia="ru-RU"/>
        </w:rPr>
        <w:t xml:space="preserve"> nekā norādīts protokolā par administratīvo aizturēšanu, kas ir pretēji kodeksa 252.panta pirmajai daļai, 255.panta pirmajai daļai </w:t>
      </w:r>
      <w:r w:rsidR="00331DC3" w:rsidRPr="00F035AB">
        <w:rPr>
          <w:rFonts w:cs="Times New Roman"/>
          <w:szCs w:val="24"/>
          <w:lang w:eastAsia="ru-RU"/>
        </w:rPr>
        <w:t xml:space="preserve">un </w:t>
      </w:r>
      <w:r w:rsidR="00D479EA" w:rsidRPr="00F035AB">
        <w:rPr>
          <w:rFonts w:cs="Times New Roman"/>
          <w:szCs w:val="24"/>
        </w:rPr>
        <w:t>K</w:t>
      </w:r>
      <w:r w:rsidR="00206568" w:rsidRPr="00F035AB">
        <w:rPr>
          <w:rFonts w:cs="Times New Roman"/>
          <w:szCs w:val="24"/>
        </w:rPr>
        <w:t>onvencija</w:t>
      </w:r>
      <w:r w:rsidR="00331DC3" w:rsidRPr="00F035AB">
        <w:rPr>
          <w:rFonts w:cs="Times New Roman"/>
          <w:szCs w:val="24"/>
        </w:rPr>
        <w:t>s</w:t>
      </w:r>
      <w:r w:rsidR="00206568" w:rsidRPr="00F035AB">
        <w:rPr>
          <w:rFonts w:cs="Times New Roman"/>
          <w:szCs w:val="24"/>
        </w:rPr>
        <w:t xml:space="preserve"> 5.panta 1.punkta „c” apakšpunktam. Pieteicēja ieskatā, patiesais aizturēšanas mērķis bija nelikumīgi liegt pieteicējam </w:t>
      </w:r>
      <w:r w:rsidR="003809BB" w:rsidRPr="00F035AB">
        <w:rPr>
          <w:rFonts w:cs="Times New Roman"/>
          <w:szCs w:val="24"/>
        </w:rPr>
        <w:t xml:space="preserve">īstenot </w:t>
      </w:r>
      <w:r w:rsidR="00206568" w:rsidRPr="00F035AB">
        <w:rPr>
          <w:rFonts w:cs="Times New Roman"/>
          <w:szCs w:val="24"/>
        </w:rPr>
        <w:t xml:space="preserve">tiesības uz vārda brīvību, kas ir pretēji </w:t>
      </w:r>
      <w:r w:rsidR="00D479EA" w:rsidRPr="00F035AB">
        <w:rPr>
          <w:rFonts w:cs="Times New Roman"/>
          <w:szCs w:val="24"/>
        </w:rPr>
        <w:t>K</w:t>
      </w:r>
      <w:r w:rsidR="00206568" w:rsidRPr="00F035AB">
        <w:rPr>
          <w:rFonts w:cs="Times New Roman"/>
          <w:szCs w:val="24"/>
        </w:rPr>
        <w:t xml:space="preserve">onvencijas 10.pantam, kā arī pieteicēju pazemot. </w:t>
      </w:r>
      <w:r w:rsidR="00011746" w:rsidRPr="00F035AB">
        <w:rPr>
          <w:rFonts w:cs="Times New Roman"/>
          <w:szCs w:val="24"/>
        </w:rPr>
        <w:t>F</w:t>
      </w:r>
      <w:r w:rsidR="00331DC3" w:rsidRPr="00F035AB">
        <w:rPr>
          <w:rFonts w:cs="Times New Roman"/>
          <w:szCs w:val="24"/>
        </w:rPr>
        <w:t>akt</w:t>
      </w:r>
      <w:r w:rsidR="00011746" w:rsidRPr="00F035AB">
        <w:rPr>
          <w:rFonts w:cs="Times New Roman"/>
          <w:szCs w:val="24"/>
        </w:rPr>
        <w:t>a</w:t>
      </w:r>
      <w:r w:rsidR="00331DC3" w:rsidRPr="00F035AB">
        <w:rPr>
          <w:rFonts w:cs="Times New Roman"/>
          <w:szCs w:val="24"/>
        </w:rPr>
        <w:t xml:space="preserve"> par pieteicēja ievietošanu pagaidu turēšanas telpā </w:t>
      </w:r>
      <w:r w:rsidR="00011746" w:rsidRPr="00F035AB">
        <w:rPr>
          <w:rFonts w:cs="Times New Roman"/>
          <w:szCs w:val="24"/>
        </w:rPr>
        <w:t xml:space="preserve">nereģistrēšana </w:t>
      </w:r>
      <w:r w:rsidR="00206568" w:rsidRPr="00F035AB">
        <w:rPr>
          <w:rFonts w:cs="Times New Roman"/>
          <w:szCs w:val="24"/>
        </w:rPr>
        <w:t xml:space="preserve">un </w:t>
      </w:r>
      <w:r w:rsidR="00011746" w:rsidRPr="00F035AB">
        <w:rPr>
          <w:rFonts w:cs="Times New Roman"/>
          <w:szCs w:val="24"/>
        </w:rPr>
        <w:t xml:space="preserve">pieteicēja </w:t>
      </w:r>
      <w:r w:rsidR="00206568" w:rsidRPr="00F035AB">
        <w:rPr>
          <w:rFonts w:cs="Times New Roman"/>
          <w:szCs w:val="24"/>
        </w:rPr>
        <w:t>turēšana vairāk par nepieciešamo</w:t>
      </w:r>
      <w:r w:rsidR="0010530A" w:rsidRPr="00F035AB">
        <w:rPr>
          <w:rFonts w:cs="Times New Roman"/>
          <w:szCs w:val="24"/>
        </w:rPr>
        <w:t>,</w:t>
      </w:r>
      <w:r w:rsidR="00206568" w:rsidRPr="00F035AB">
        <w:rPr>
          <w:rFonts w:cs="Times New Roman"/>
          <w:szCs w:val="24"/>
        </w:rPr>
        <w:t xml:space="preserve"> ir papildu pamats tam, lai atzītu, ka </w:t>
      </w:r>
      <w:r w:rsidR="0010530A" w:rsidRPr="00F035AB">
        <w:rPr>
          <w:rFonts w:cs="Times New Roman"/>
          <w:szCs w:val="24"/>
        </w:rPr>
        <w:t xml:space="preserve">pieteicēja </w:t>
      </w:r>
      <w:r w:rsidR="00206568" w:rsidRPr="00F035AB">
        <w:rPr>
          <w:rFonts w:cs="Times New Roman"/>
          <w:szCs w:val="24"/>
        </w:rPr>
        <w:t xml:space="preserve">aizturēšana notika pretēji </w:t>
      </w:r>
      <w:r w:rsidR="00D479EA" w:rsidRPr="00F035AB">
        <w:rPr>
          <w:rFonts w:cs="Times New Roman"/>
          <w:szCs w:val="24"/>
        </w:rPr>
        <w:t>K</w:t>
      </w:r>
      <w:r w:rsidR="00AC17E5" w:rsidRPr="00F035AB">
        <w:rPr>
          <w:rFonts w:cs="Times New Roman"/>
          <w:szCs w:val="24"/>
        </w:rPr>
        <w:t>onvencijas 5.panta 1.punktam</w:t>
      </w:r>
      <w:r w:rsidR="00206568" w:rsidRPr="00F035AB">
        <w:rPr>
          <w:rFonts w:cs="Times New Roman"/>
          <w:szCs w:val="24"/>
        </w:rPr>
        <w:t xml:space="preserve">. Apgabaltiesa nav </w:t>
      </w:r>
      <w:r w:rsidR="00CF0FC5" w:rsidRPr="00F035AB">
        <w:rPr>
          <w:rFonts w:cs="Times New Roman"/>
          <w:szCs w:val="24"/>
        </w:rPr>
        <w:t xml:space="preserve">arī </w:t>
      </w:r>
      <w:r w:rsidR="00206568" w:rsidRPr="00F035AB">
        <w:rPr>
          <w:rFonts w:cs="Times New Roman"/>
          <w:szCs w:val="24"/>
        </w:rPr>
        <w:t xml:space="preserve">piemērojusi Ministru kabineta 2009.gada 7.jūlija noteikumus Nr. 735 „Kārtība, kādā personas tiek ievietotas un turētas pagaidu turēšanas vietās, un prasības šādu vietu aprīkošanai”, </w:t>
      </w:r>
      <w:r w:rsidR="00556952" w:rsidRPr="00F035AB">
        <w:rPr>
          <w:rFonts w:cs="Times New Roman"/>
          <w:szCs w:val="24"/>
        </w:rPr>
        <w:t>un konkrētāk –</w:t>
      </w:r>
      <w:r w:rsidR="00206568" w:rsidRPr="00F035AB">
        <w:rPr>
          <w:rFonts w:cs="Times New Roman"/>
          <w:szCs w:val="24"/>
        </w:rPr>
        <w:t xml:space="preserve"> 7., 10</w:t>
      </w:r>
      <w:r w:rsidR="000525A4" w:rsidRPr="00F035AB">
        <w:rPr>
          <w:rFonts w:cs="Times New Roman"/>
          <w:szCs w:val="24"/>
        </w:rPr>
        <w:t>.</w:t>
      </w:r>
      <w:r w:rsidR="00EE6AB3" w:rsidRPr="00F035AB">
        <w:rPr>
          <w:rFonts w:cs="Times New Roman"/>
          <w:szCs w:val="24"/>
        </w:rPr>
        <w:t>, 11.punktā noteikto.</w:t>
      </w:r>
    </w:p>
    <w:p w14:paraId="276695CA" w14:textId="72D08A06" w:rsidR="00FB696B" w:rsidRPr="00F035AB" w:rsidRDefault="00FB696B" w:rsidP="00CE0C30">
      <w:pPr>
        <w:spacing w:after="0" w:line="276" w:lineRule="auto"/>
        <w:ind w:firstLine="567"/>
        <w:jc w:val="both"/>
        <w:rPr>
          <w:rFonts w:cs="Times New Roman"/>
          <w:szCs w:val="24"/>
        </w:rPr>
      </w:pPr>
    </w:p>
    <w:p w14:paraId="347E780E" w14:textId="59F49165" w:rsidR="00FB696B" w:rsidRPr="00F035AB" w:rsidRDefault="00FB696B" w:rsidP="00CE0C30">
      <w:pPr>
        <w:spacing w:after="0" w:line="276" w:lineRule="auto"/>
        <w:ind w:firstLine="567"/>
        <w:jc w:val="both"/>
        <w:rPr>
          <w:rFonts w:cs="Times New Roman"/>
          <w:szCs w:val="24"/>
        </w:rPr>
      </w:pPr>
      <w:r w:rsidRPr="00F035AB">
        <w:rPr>
          <w:rFonts w:cs="Times New Roman"/>
          <w:szCs w:val="24"/>
        </w:rPr>
        <w:t>[</w:t>
      </w:r>
      <w:r w:rsidR="00B01F49" w:rsidRPr="00F035AB">
        <w:rPr>
          <w:rFonts w:cs="Times New Roman"/>
          <w:szCs w:val="24"/>
        </w:rPr>
        <w:t>6</w:t>
      </w:r>
      <w:r w:rsidRPr="00F035AB">
        <w:rPr>
          <w:rFonts w:cs="Times New Roman"/>
          <w:szCs w:val="24"/>
        </w:rPr>
        <w:t>] Valsts policija sniegtajos paskaidrojumos kasācijas sūdzību neatzīst.</w:t>
      </w:r>
    </w:p>
    <w:p w14:paraId="2B6C9E8C" w14:textId="77777777" w:rsidR="00355511" w:rsidRPr="00F035AB" w:rsidRDefault="00355511" w:rsidP="00CE0C30">
      <w:pPr>
        <w:spacing w:after="0" w:line="276" w:lineRule="auto"/>
        <w:ind w:firstLine="567"/>
        <w:jc w:val="both"/>
        <w:rPr>
          <w:rFonts w:cs="Times New Roman"/>
          <w:szCs w:val="24"/>
        </w:rPr>
      </w:pPr>
    </w:p>
    <w:p w14:paraId="010B34A2" w14:textId="5FD25721" w:rsidR="00355511" w:rsidRPr="00F035AB" w:rsidRDefault="00355511" w:rsidP="00CE0C30">
      <w:pPr>
        <w:spacing w:after="0" w:line="276" w:lineRule="auto"/>
        <w:jc w:val="center"/>
        <w:rPr>
          <w:rFonts w:cs="Times New Roman"/>
          <w:b/>
          <w:szCs w:val="24"/>
          <w:lang w:eastAsia="ru-RU"/>
        </w:rPr>
      </w:pPr>
      <w:r w:rsidRPr="00F035AB">
        <w:rPr>
          <w:rFonts w:cs="Times New Roman"/>
          <w:b/>
          <w:szCs w:val="24"/>
          <w:lang w:eastAsia="ru-RU"/>
        </w:rPr>
        <w:t>Motīvu daļa</w:t>
      </w:r>
    </w:p>
    <w:p w14:paraId="54B5ACA4" w14:textId="77777777" w:rsidR="006D4CE5" w:rsidRPr="00F035AB" w:rsidRDefault="006D4CE5" w:rsidP="00CE0C30">
      <w:pPr>
        <w:spacing w:after="0" w:line="276" w:lineRule="auto"/>
        <w:jc w:val="center"/>
        <w:rPr>
          <w:rFonts w:cs="Times New Roman"/>
          <w:b/>
          <w:szCs w:val="24"/>
          <w:lang w:eastAsia="ru-RU"/>
        </w:rPr>
      </w:pPr>
    </w:p>
    <w:p w14:paraId="58ACFA0D" w14:textId="66D4E26F" w:rsidR="006D4CE5" w:rsidRPr="00F035AB" w:rsidRDefault="00C43E65" w:rsidP="00CE0C30">
      <w:pPr>
        <w:spacing w:after="0" w:line="276" w:lineRule="auto"/>
        <w:jc w:val="center"/>
        <w:rPr>
          <w:rFonts w:cs="Times New Roman"/>
          <w:b/>
          <w:szCs w:val="24"/>
          <w:lang w:eastAsia="ru-RU"/>
        </w:rPr>
      </w:pPr>
      <w:r w:rsidRPr="00F035AB">
        <w:rPr>
          <w:rFonts w:cs="Times New Roman"/>
          <w:b/>
          <w:szCs w:val="24"/>
          <w:lang w:eastAsia="ru-RU"/>
        </w:rPr>
        <w:t>I</w:t>
      </w:r>
    </w:p>
    <w:p w14:paraId="7114F972" w14:textId="77777777" w:rsidR="00F06976" w:rsidRPr="00F035AB" w:rsidRDefault="00F06976" w:rsidP="00CE0C30">
      <w:pPr>
        <w:spacing w:after="0" w:line="276" w:lineRule="auto"/>
        <w:ind w:firstLine="567"/>
        <w:jc w:val="both"/>
        <w:rPr>
          <w:rFonts w:cs="Times New Roman"/>
          <w:szCs w:val="24"/>
        </w:rPr>
      </w:pPr>
    </w:p>
    <w:p w14:paraId="130BC706" w14:textId="4192801F" w:rsidR="00E4701B" w:rsidRPr="00F035AB" w:rsidRDefault="00AB17BF" w:rsidP="00CE0C30">
      <w:pPr>
        <w:pStyle w:val="NoSpacing"/>
        <w:spacing w:line="276" w:lineRule="auto"/>
        <w:ind w:firstLine="567"/>
        <w:jc w:val="both"/>
        <w:rPr>
          <w:rFonts w:cs="Times New Roman"/>
          <w:szCs w:val="24"/>
          <w:lang w:eastAsia="ru-RU"/>
        </w:rPr>
      </w:pPr>
      <w:r w:rsidRPr="00F035AB">
        <w:rPr>
          <w:rFonts w:cs="Times New Roman"/>
          <w:szCs w:val="24"/>
          <w:lang w:eastAsia="ru-RU"/>
        </w:rPr>
        <w:t>[</w:t>
      </w:r>
      <w:r w:rsidR="0010530A" w:rsidRPr="00F035AB">
        <w:rPr>
          <w:rFonts w:cs="Times New Roman"/>
          <w:szCs w:val="24"/>
          <w:lang w:eastAsia="ru-RU"/>
        </w:rPr>
        <w:t>7</w:t>
      </w:r>
      <w:r w:rsidRPr="00F035AB">
        <w:rPr>
          <w:rFonts w:cs="Times New Roman"/>
          <w:szCs w:val="24"/>
          <w:lang w:eastAsia="ru-RU"/>
        </w:rPr>
        <w:t>]</w:t>
      </w:r>
      <w:r w:rsidR="00EE6AB3" w:rsidRPr="00F035AB">
        <w:rPr>
          <w:rFonts w:cs="Times New Roman"/>
          <w:szCs w:val="24"/>
          <w:lang w:eastAsia="ru-RU"/>
        </w:rPr>
        <w:t xml:space="preserve"> </w:t>
      </w:r>
      <w:r w:rsidR="0068608E" w:rsidRPr="00F035AB">
        <w:rPr>
          <w:rFonts w:cs="Times New Roman"/>
          <w:szCs w:val="24"/>
          <w:lang w:eastAsia="ru-RU"/>
        </w:rPr>
        <w:t xml:space="preserve">Pieteicējs </w:t>
      </w:r>
      <w:r w:rsidR="00985BCB" w:rsidRPr="00F035AB">
        <w:rPr>
          <w:rFonts w:cs="Times New Roman"/>
          <w:szCs w:val="24"/>
          <w:lang w:eastAsia="ru-RU"/>
        </w:rPr>
        <w:t>pieteicis</w:t>
      </w:r>
      <w:r w:rsidR="0068608E" w:rsidRPr="00F035AB">
        <w:rPr>
          <w:rFonts w:cs="Times New Roman"/>
          <w:szCs w:val="24"/>
          <w:lang w:eastAsia="ru-RU"/>
        </w:rPr>
        <w:t xml:space="preserve"> noraidījumu visam tiesas sastāv</w:t>
      </w:r>
      <w:r w:rsidR="00274702" w:rsidRPr="00F035AB">
        <w:rPr>
          <w:rFonts w:cs="Times New Roman"/>
          <w:szCs w:val="24"/>
          <w:lang w:eastAsia="ru-RU"/>
        </w:rPr>
        <w:t xml:space="preserve">am, </w:t>
      </w:r>
      <w:r w:rsidR="00D479EA" w:rsidRPr="00F035AB">
        <w:rPr>
          <w:rFonts w:cs="Times New Roman"/>
          <w:szCs w:val="24"/>
          <w:lang w:eastAsia="ru-RU"/>
        </w:rPr>
        <w:t>uzskatot</w:t>
      </w:r>
      <w:r w:rsidR="00274702" w:rsidRPr="00F035AB">
        <w:rPr>
          <w:rFonts w:cs="Times New Roman"/>
          <w:szCs w:val="24"/>
          <w:lang w:eastAsia="ru-RU"/>
        </w:rPr>
        <w:t>, ka</w:t>
      </w:r>
      <w:r w:rsidR="00985BCB" w:rsidRPr="00F035AB">
        <w:rPr>
          <w:rFonts w:cs="Times New Roman"/>
          <w:szCs w:val="24"/>
          <w:lang w:eastAsia="ru-RU"/>
        </w:rPr>
        <w:t xml:space="preserve"> Senāts sistemātiski </w:t>
      </w:r>
      <w:r w:rsidR="00D479EA" w:rsidRPr="00F035AB">
        <w:rPr>
          <w:rFonts w:cs="Times New Roman"/>
          <w:szCs w:val="24"/>
          <w:lang w:eastAsia="ru-RU"/>
        </w:rPr>
        <w:t xml:space="preserve">nepiemēro </w:t>
      </w:r>
      <w:r w:rsidR="0074347D" w:rsidRPr="00F035AB">
        <w:rPr>
          <w:rFonts w:cs="Times New Roman"/>
          <w:szCs w:val="24"/>
          <w:lang w:eastAsia="ru-RU"/>
        </w:rPr>
        <w:t>Konvencijā nostiprinātos standartus</w:t>
      </w:r>
      <w:r w:rsidR="00D479EA" w:rsidRPr="00F035AB">
        <w:rPr>
          <w:rFonts w:cs="Times New Roman"/>
          <w:szCs w:val="24"/>
          <w:lang w:eastAsia="ru-RU"/>
        </w:rPr>
        <w:t xml:space="preserve">, </w:t>
      </w:r>
      <w:r w:rsidR="0074347D" w:rsidRPr="00F035AB">
        <w:rPr>
          <w:rFonts w:cs="Times New Roman"/>
          <w:szCs w:val="24"/>
          <w:lang w:eastAsia="ru-RU"/>
        </w:rPr>
        <w:t xml:space="preserve">jo </w:t>
      </w:r>
      <w:r w:rsidR="00985BCB" w:rsidRPr="00F035AB">
        <w:rPr>
          <w:rFonts w:cs="Times New Roman"/>
          <w:szCs w:val="24"/>
          <w:lang w:eastAsia="ru-RU"/>
        </w:rPr>
        <w:t xml:space="preserve">īpaši </w:t>
      </w:r>
      <w:r w:rsidR="004E0800" w:rsidRPr="00F035AB">
        <w:rPr>
          <w:rFonts w:cs="Times New Roman"/>
          <w:szCs w:val="24"/>
          <w:lang w:eastAsia="ru-RU"/>
        </w:rPr>
        <w:t>tos, kas noteikti tās</w:t>
      </w:r>
      <w:r w:rsidR="00274702" w:rsidRPr="00F035AB">
        <w:rPr>
          <w:rFonts w:cs="Times New Roman"/>
          <w:szCs w:val="24"/>
          <w:lang w:eastAsia="ru-RU"/>
        </w:rPr>
        <w:t xml:space="preserve"> </w:t>
      </w:r>
      <w:r w:rsidR="0074347D" w:rsidRPr="00F035AB">
        <w:rPr>
          <w:rFonts w:cs="Times New Roman"/>
          <w:szCs w:val="24"/>
          <w:lang w:eastAsia="ru-RU"/>
        </w:rPr>
        <w:t xml:space="preserve">3., 5. un </w:t>
      </w:r>
      <w:r w:rsidR="00D479EA" w:rsidRPr="00F035AB">
        <w:rPr>
          <w:rFonts w:cs="Times New Roman"/>
          <w:szCs w:val="24"/>
          <w:lang w:eastAsia="ru-RU"/>
        </w:rPr>
        <w:t>10.pantā</w:t>
      </w:r>
      <w:r w:rsidR="00274702" w:rsidRPr="00F035AB">
        <w:rPr>
          <w:rFonts w:cs="Times New Roman"/>
          <w:szCs w:val="24"/>
          <w:lang w:eastAsia="ru-RU"/>
        </w:rPr>
        <w:t>, kā arī</w:t>
      </w:r>
      <w:r w:rsidR="0074347D" w:rsidRPr="00F035AB">
        <w:rPr>
          <w:rFonts w:cs="Times New Roman"/>
          <w:szCs w:val="24"/>
          <w:lang w:eastAsia="ru-RU"/>
        </w:rPr>
        <w:t xml:space="preserve"> Pirmā </w:t>
      </w:r>
      <w:r w:rsidR="00985BCB" w:rsidRPr="00F035AB">
        <w:rPr>
          <w:rFonts w:cs="Times New Roman"/>
          <w:szCs w:val="24"/>
          <w:lang w:eastAsia="ru-RU"/>
        </w:rPr>
        <w:t>protokola</w:t>
      </w:r>
      <w:r w:rsidR="0074347D" w:rsidRPr="00F035AB">
        <w:rPr>
          <w:rFonts w:cs="Times New Roman"/>
          <w:szCs w:val="24"/>
          <w:lang w:eastAsia="ru-RU"/>
        </w:rPr>
        <w:t xml:space="preserve"> 1.punktā</w:t>
      </w:r>
      <w:r w:rsidR="00985BCB" w:rsidRPr="00F035AB">
        <w:rPr>
          <w:rFonts w:cs="Times New Roman"/>
          <w:szCs w:val="24"/>
          <w:lang w:eastAsia="ru-RU"/>
        </w:rPr>
        <w:t>.</w:t>
      </w:r>
    </w:p>
    <w:p w14:paraId="457DED67" w14:textId="223234D7" w:rsidR="00E4701B" w:rsidRPr="00F035AB" w:rsidRDefault="00274702" w:rsidP="00E4701B">
      <w:pPr>
        <w:pStyle w:val="NoSpacing"/>
        <w:spacing w:line="276" w:lineRule="auto"/>
        <w:ind w:firstLine="567"/>
        <w:jc w:val="both"/>
        <w:rPr>
          <w:rFonts w:cs="Times New Roman"/>
          <w:szCs w:val="24"/>
          <w:lang w:eastAsia="ru-RU"/>
        </w:rPr>
      </w:pPr>
      <w:r w:rsidRPr="00F035AB">
        <w:rPr>
          <w:rFonts w:cs="Times New Roman"/>
          <w:szCs w:val="24"/>
          <w:lang w:eastAsia="ru-RU"/>
        </w:rPr>
        <w:t>Pieteicējs atsaucas uz Senāta spriedumu lietā Nr. SKA</w:t>
      </w:r>
      <w:r w:rsidRPr="00F035AB">
        <w:rPr>
          <w:rFonts w:cs="Times New Roman"/>
          <w:szCs w:val="24"/>
          <w:lang w:eastAsia="ru-RU"/>
        </w:rPr>
        <w:noBreakHyphen/>
        <w:t>6/2019, kas, viņaprāt, ir neatbilsto</w:t>
      </w:r>
      <w:r w:rsidR="00D479EA" w:rsidRPr="00F035AB">
        <w:rPr>
          <w:rFonts w:cs="Times New Roman"/>
          <w:szCs w:val="24"/>
          <w:lang w:eastAsia="ru-RU"/>
        </w:rPr>
        <w:t>šs K</w:t>
      </w:r>
      <w:r w:rsidRPr="00F035AB">
        <w:rPr>
          <w:rFonts w:cs="Times New Roman"/>
          <w:szCs w:val="24"/>
          <w:lang w:eastAsia="ru-RU"/>
        </w:rPr>
        <w:t xml:space="preserve">onvencijas 10.pantam. Tāpat pieteicējs </w:t>
      </w:r>
      <w:r w:rsidR="0074347D" w:rsidRPr="00F035AB">
        <w:rPr>
          <w:rFonts w:cs="Times New Roman"/>
          <w:szCs w:val="24"/>
          <w:lang w:eastAsia="ru-RU"/>
        </w:rPr>
        <w:t xml:space="preserve">piesauc </w:t>
      </w:r>
      <w:r w:rsidRPr="00F035AB">
        <w:rPr>
          <w:rFonts w:cs="Times New Roman"/>
          <w:szCs w:val="24"/>
          <w:lang w:eastAsia="ru-RU"/>
        </w:rPr>
        <w:t>Eiropas Cilvēktiesību tiesas</w:t>
      </w:r>
      <w:r w:rsidR="0074347D" w:rsidRPr="00F035AB">
        <w:rPr>
          <w:rFonts w:cs="Times New Roman"/>
          <w:szCs w:val="24"/>
          <w:lang w:eastAsia="ru-RU"/>
        </w:rPr>
        <w:t xml:space="preserve"> spriedumus</w:t>
      </w:r>
      <w:r w:rsidRPr="00F035AB">
        <w:rPr>
          <w:rFonts w:cs="Times New Roman"/>
          <w:szCs w:val="24"/>
          <w:lang w:eastAsia="ru-RU"/>
        </w:rPr>
        <w:t xml:space="preserve"> lietās </w:t>
      </w:r>
      <w:r w:rsidR="0074347D" w:rsidRPr="00F035AB">
        <w:rPr>
          <w:rFonts w:cs="Times New Roman"/>
          <w:szCs w:val="24"/>
          <w:lang w:eastAsia="ru-RU"/>
        </w:rPr>
        <w:t>„</w:t>
      </w:r>
      <w:proofErr w:type="spellStart"/>
      <w:r w:rsidR="0074347D" w:rsidRPr="00F035AB">
        <w:rPr>
          <w:rFonts w:cs="Times New Roman"/>
          <w:szCs w:val="24"/>
          <w:lang w:eastAsia="ru-RU"/>
        </w:rPr>
        <w:t>R</w:t>
      </w:r>
      <w:r w:rsidR="00427F0B" w:rsidRPr="00F035AB">
        <w:rPr>
          <w:rFonts w:cs="Times New Roman"/>
          <w:szCs w:val="24"/>
          <w:lang w:eastAsia="ru-RU"/>
        </w:rPr>
        <w:t>audevs</w:t>
      </w:r>
      <w:proofErr w:type="spellEnd"/>
      <w:r w:rsidR="00427F0B" w:rsidRPr="00F035AB">
        <w:rPr>
          <w:rFonts w:cs="Times New Roman"/>
          <w:szCs w:val="24"/>
          <w:lang w:eastAsia="ru-RU"/>
        </w:rPr>
        <w:t xml:space="preserve"> </w:t>
      </w:r>
      <w:r w:rsidR="0074347D" w:rsidRPr="00F035AB">
        <w:rPr>
          <w:rFonts w:cs="Times New Roman"/>
          <w:szCs w:val="24"/>
          <w:lang w:eastAsia="ru-RU"/>
        </w:rPr>
        <w:t xml:space="preserve">v. </w:t>
      </w:r>
      <w:proofErr w:type="spellStart"/>
      <w:r w:rsidR="0074347D" w:rsidRPr="00F035AB">
        <w:rPr>
          <w:rFonts w:cs="Times New Roman"/>
          <w:szCs w:val="24"/>
          <w:lang w:eastAsia="ru-RU"/>
        </w:rPr>
        <w:t>Latvia</w:t>
      </w:r>
      <w:proofErr w:type="spellEnd"/>
      <w:r w:rsidR="0074347D" w:rsidRPr="00F035AB">
        <w:rPr>
          <w:rFonts w:cs="Times New Roman"/>
          <w:szCs w:val="24"/>
          <w:lang w:eastAsia="ru-RU"/>
        </w:rPr>
        <w:t>”</w:t>
      </w:r>
      <w:r w:rsidR="00427F0B" w:rsidRPr="00F035AB">
        <w:rPr>
          <w:rFonts w:cs="Times New Roman"/>
          <w:szCs w:val="24"/>
          <w:lang w:eastAsia="ru-RU"/>
        </w:rPr>
        <w:t xml:space="preserve"> un „Mihailovs v. </w:t>
      </w:r>
      <w:proofErr w:type="spellStart"/>
      <w:r w:rsidR="00427F0B" w:rsidRPr="00F035AB">
        <w:rPr>
          <w:rFonts w:cs="Times New Roman"/>
          <w:szCs w:val="24"/>
          <w:lang w:eastAsia="ru-RU"/>
        </w:rPr>
        <w:t>Latvia</w:t>
      </w:r>
      <w:proofErr w:type="spellEnd"/>
      <w:r w:rsidR="00427F0B" w:rsidRPr="00F035AB">
        <w:rPr>
          <w:rFonts w:cs="Times New Roman"/>
          <w:szCs w:val="24"/>
          <w:lang w:eastAsia="ru-RU"/>
        </w:rPr>
        <w:t>”</w:t>
      </w:r>
      <w:r w:rsidR="0074347D" w:rsidRPr="00F035AB">
        <w:rPr>
          <w:rFonts w:cs="Times New Roman"/>
          <w:szCs w:val="24"/>
          <w:lang w:eastAsia="ru-RU"/>
        </w:rPr>
        <w:t>, uzskatot Senātu par vainīgu cilvēktiesību neievērošanā</w:t>
      </w:r>
      <w:r w:rsidRPr="00F035AB">
        <w:rPr>
          <w:rFonts w:cs="Times New Roman"/>
          <w:szCs w:val="24"/>
          <w:lang w:eastAsia="ru-RU"/>
        </w:rPr>
        <w:t xml:space="preserve">. </w:t>
      </w:r>
      <w:r w:rsidR="004E0800" w:rsidRPr="00F035AB">
        <w:rPr>
          <w:rFonts w:cs="Times New Roman"/>
          <w:szCs w:val="24"/>
          <w:lang w:eastAsia="ru-RU"/>
        </w:rPr>
        <w:t>Šajā saistībā viņš</w:t>
      </w:r>
      <w:r w:rsidR="006D4CE5" w:rsidRPr="00F035AB">
        <w:rPr>
          <w:rFonts w:cs="Times New Roman"/>
          <w:szCs w:val="24"/>
          <w:lang w:eastAsia="ru-RU"/>
        </w:rPr>
        <w:t xml:space="preserve"> </w:t>
      </w:r>
      <w:r w:rsidR="00284A21" w:rsidRPr="00F035AB">
        <w:rPr>
          <w:rFonts w:cs="Times New Roman"/>
          <w:szCs w:val="24"/>
          <w:lang w:eastAsia="ru-RU"/>
        </w:rPr>
        <w:t xml:space="preserve">arī </w:t>
      </w:r>
      <w:r w:rsidR="004E0800" w:rsidRPr="00F035AB">
        <w:rPr>
          <w:rFonts w:cs="Times New Roman"/>
          <w:szCs w:val="24"/>
          <w:lang w:eastAsia="ru-RU"/>
        </w:rPr>
        <w:t>norāda</w:t>
      </w:r>
      <w:r w:rsidRPr="00F035AB">
        <w:rPr>
          <w:rFonts w:cs="Times New Roman"/>
          <w:szCs w:val="24"/>
          <w:lang w:eastAsia="ru-RU"/>
        </w:rPr>
        <w:t xml:space="preserve">, </w:t>
      </w:r>
      <w:r w:rsidR="006D4CE5" w:rsidRPr="00F035AB">
        <w:rPr>
          <w:rFonts w:cs="Times New Roman"/>
          <w:szCs w:val="24"/>
          <w:lang w:eastAsia="ru-RU"/>
        </w:rPr>
        <w:t>ka</w:t>
      </w:r>
      <w:r w:rsidR="00461E67" w:rsidRPr="00F035AB">
        <w:rPr>
          <w:rFonts w:cs="Times New Roman"/>
          <w:szCs w:val="24"/>
          <w:lang w:eastAsia="ru-RU"/>
        </w:rPr>
        <w:t xml:space="preserve"> senators A. Guļāns</w:t>
      </w:r>
      <w:r w:rsidR="006D4CE5" w:rsidRPr="00F035AB">
        <w:rPr>
          <w:rFonts w:cs="Times New Roman"/>
          <w:szCs w:val="24"/>
          <w:lang w:eastAsia="ru-RU"/>
        </w:rPr>
        <w:t xml:space="preserve"> pieprasīja uzsākt krimināllietu pret </w:t>
      </w:r>
      <w:r w:rsidR="00944757">
        <w:rPr>
          <w:rFonts w:cs="Times New Roman"/>
          <w:szCs w:val="24"/>
          <w:lang w:eastAsia="ru-RU"/>
        </w:rPr>
        <w:t>[pers. B]</w:t>
      </w:r>
      <w:r w:rsidR="006D4CE5" w:rsidRPr="00F035AB">
        <w:rPr>
          <w:rFonts w:cs="Times New Roman"/>
          <w:szCs w:val="24"/>
          <w:lang w:eastAsia="ru-RU"/>
        </w:rPr>
        <w:t xml:space="preserve"> par Krimināllikuma 271.pantā paredzēto</w:t>
      </w:r>
      <w:r w:rsidR="004E0800" w:rsidRPr="00F035AB">
        <w:rPr>
          <w:rFonts w:cs="Times New Roman"/>
          <w:szCs w:val="24"/>
          <w:lang w:eastAsia="ru-RU"/>
        </w:rPr>
        <w:t xml:space="preserve"> noziedzīgo nodarījumu</w:t>
      </w:r>
      <w:r w:rsidR="006D4CE5" w:rsidRPr="00F035AB">
        <w:rPr>
          <w:rFonts w:cs="Times New Roman"/>
          <w:szCs w:val="24"/>
          <w:lang w:eastAsia="ru-RU"/>
        </w:rPr>
        <w:t xml:space="preserve">, </w:t>
      </w:r>
      <w:r w:rsidR="004D284C" w:rsidRPr="00F035AB">
        <w:rPr>
          <w:rFonts w:cs="Times New Roman"/>
          <w:szCs w:val="24"/>
          <w:lang w:eastAsia="ru-RU"/>
        </w:rPr>
        <w:t xml:space="preserve">un tas </w:t>
      </w:r>
      <w:r w:rsidR="00427F0B" w:rsidRPr="00F035AB">
        <w:rPr>
          <w:rFonts w:cs="Times New Roman"/>
          <w:szCs w:val="24"/>
          <w:lang w:eastAsia="ru-RU"/>
        </w:rPr>
        <w:t xml:space="preserve">bija </w:t>
      </w:r>
      <w:r w:rsidR="004D284C" w:rsidRPr="00F035AB">
        <w:rPr>
          <w:rFonts w:cs="Times New Roman"/>
          <w:szCs w:val="24"/>
          <w:lang w:eastAsia="ru-RU"/>
        </w:rPr>
        <w:t xml:space="preserve">neatbilstoši </w:t>
      </w:r>
      <w:r w:rsidR="00D479EA" w:rsidRPr="00F035AB">
        <w:rPr>
          <w:rFonts w:cs="Times New Roman"/>
          <w:szCs w:val="24"/>
          <w:lang w:eastAsia="ru-RU"/>
        </w:rPr>
        <w:t>K</w:t>
      </w:r>
      <w:r w:rsidR="006D4CE5" w:rsidRPr="00F035AB">
        <w:rPr>
          <w:rFonts w:cs="Times New Roman"/>
          <w:szCs w:val="24"/>
          <w:lang w:eastAsia="ru-RU"/>
        </w:rPr>
        <w:t xml:space="preserve">onvencijas 10.panta </w:t>
      </w:r>
      <w:r w:rsidR="00D479EA" w:rsidRPr="00F035AB">
        <w:rPr>
          <w:rFonts w:cs="Times New Roman"/>
          <w:szCs w:val="24"/>
          <w:lang w:eastAsia="ru-RU"/>
        </w:rPr>
        <w:t>1.</w:t>
      </w:r>
      <w:r w:rsidR="006D4CE5" w:rsidRPr="00F035AB">
        <w:rPr>
          <w:rFonts w:cs="Times New Roman"/>
          <w:szCs w:val="24"/>
          <w:lang w:eastAsia="ru-RU"/>
        </w:rPr>
        <w:t>punkt</w:t>
      </w:r>
      <w:r w:rsidR="004E0800" w:rsidRPr="00F035AB">
        <w:rPr>
          <w:rFonts w:cs="Times New Roman"/>
          <w:szCs w:val="24"/>
          <w:lang w:eastAsia="ru-RU"/>
        </w:rPr>
        <w:t>am</w:t>
      </w:r>
      <w:r w:rsidR="00FE16A0" w:rsidRPr="00F035AB">
        <w:rPr>
          <w:rFonts w:cs="Times New Roman"/>
          <w:szCs w:val="24"/>
          <w:lang w:eastAsia="ru-RU"/>
        </w:rPr>
        <w:t xml:space="preserve"> – to </w:t>
      </w:r>
      <w:r w:rsidR="004E0800" w:rsidRPr="00F035AB">
        <w:rPr>
          <w:rFonts w:cs="Times New Roman"/>
          <w:szCs w:val="24"/>
          <w:lang w:eastAsia="ru-RU"/>
        </w:rPr>
        <w:t>arī apliecinājusi</w:t>
      </w:r>
      <w:r w:rsidR="006D4CE5" w:rsidRPr="00F035AB">
        <w:rPr>
          <w:rFonts w:cs="Times New Roman"/>
          <w:szCs w:val="24"/>
          <w:lang w:eastAsia="ru-RU"/>
        </w:rPr>
        <w:t xml:space="preserve"> S</w:t>
      </w:r>
      <w:r w:rsidR="004E0800" w:rsidRPr="00F035AB">
        <w:rPr>
          <w:rFonts w:cs="Times New Roman"/>
          <w:szCs w:val="24"/>
          <w:lang w:eastAsia="ru-RU"/>
        </w:rPr>
        <w:t>atversmes tiesa</w:t>
      </w:r>
      <w:r w:rsidR="006D4CE5" w:rsidRPr="00F035AB">
        <w:rPr>
          <w:rFonts w:cs="Times New Roman"/>
          <w:szCs w:val="24"/>
          <w:lang w:eastAsia="ru-RU"/>
        </w:rPr>
        <w:t xml:space="preserve"> spriedum</w:t>
      </w:r>
      <w:r w:rsidR="004E0800" w:rsidRPr="00F035AB">
        <w:rPr>
          <w:rFonts w:cs="Times New Roman"/>
          <w:szCs w:val="24"/>
          <w:lang w:eastAsia="ru-RU"/>
        </w:rPr>
        <w:t>ā</w:t>
      </w:r>
      <w:r w:rsidR="006D4CE5" w:rsidRPr="00F035AB">
        <w:rPr>
          <w:rFonts w:cs="Times New Roman"/>
          <w:szCs w:val="24"/>
          <w:lang w:eastAsia="ru-RU"/>
        </w:rPr>
        <w:t xml:space="preserve"> lietā Nr.</w:t>
      </w:r>
      <w:r w:rsidR="00427F0B" w:rsidRPr="00F035AB">
        <w:rPr>
          <w:rFonts w:cs="Times New Roman"/>
          <w:szCs w:val="24"/>
          <w:lang w:eastAsia="ru-RU"/>
        </w:rPr>
        <w:t> </w:t>
      </w:r>
      <w:r w:rsidR="006D4CE5" w:rsidRPr="00F035AB">
        <w:rPr>
          <w:rFonts w:cs="Times New Roman"/>
          <w:szCs w:val="24"/>
          <w:lang w:eastAsia="ru-RU"/>
        </w:rPr>
        <w:t>2003-05-01. Tā kā neviens senators š</w:t>
      </w:r>
      <w:r w:rsidR="00427F0B" w:rsidRPr="00F035AB">
        <w:rPr>
          <w:rFonts w:cs="Times New Roman"/>
          <w:szCs w:val="24"/>
          <w:lang w:eastAsia="ru-RU"/>
        </w:rPr>
        <w:t>ādu</w:t>
      </w:r>
      <w:r w:rsidR="006D4CE5" w:rsidRPr="00F035AB">
        <w:rPr>
          <w:rFonts w:cs="Times New Roman"/>
          <w:szCs w:val="24"/>
          <w:lang w:eastAsia="ru-RU"/>
        </w:rPr>
        <w:t xml:space="preserve"> rīcību nav nosodījis</w:t>
      </w:r>
      <w:r w:rsidR="00427F0B" w:rsidRPr="00F035AB">
        <w:rPr>
          <w:rFonts w:cs="Times New Roman"/>
          <w:szCs w:val="24"/>
          <w:lang w:eastAsia="ru-RU"/>
        </w:rPr>
        <w:t xml:space="preserve"> ne toreiz, ne arī tagad</w:t>
      </w:r>
      <w:r w:rsidR="006D4CE5" w:rsidRPr="00F035AB">
        <w:rPr>
          <w:rFonts w:cs="Times New Roman"/>
          <w:szCs w:val="24"/>
          <w:lang w:eastAsia="ru-RU"/>
        </w:rPr>
        <w:t xml:space="preserve">, tad </w:t>
      </w:r>
      <w:r w:rsidR="001F2AE3" w:rsidRPr="00F035AB">
        <w:rPr>
          <w:rFonts w:cs="Times New Roman"/>
          <w:szCs w:val="24"/>
          <w:lang w:eastAsia="ru-RU"/>
        </w:rPr>
        <w:t xml:space="preserve">esot </w:t>
      </w:r>
      <w:r w:rsidR="00427F0B" w:rsidRPr="00F035AB">
        <w:rPr>
          <w:rFonts w:cs="Times New Roman"/>
          <w:szCs w:val="24"/>
          <w:lang w:eastAsia="ru-RU"/>
        </w:rPr>
        <w:t xml:space="preserve">secināms, ka </w:t>
      </w:r>
      <w:r w:rsidR="00E4701B" w:rsidRPr="00F035AB">
        <w:rPr>
          <w:rFonts w:cs="Times New Roman"/>
          <w:szCs w:val="24"/>
          <w:lang w:eastAsia="ru-RU"/>
        </w:rPr>
        <w:t>visi</w:t>
      </w:r>
      <w:r w:rsidR="00D479EA" w:rsidRPr="00F035AB">
        <w:rPr>
          <w:rFonts w:cs="Times New Roman"/>
          <w:szCs w:val="24"/>
          <w:lang w:eastAsia="ru-RU"/>
        </w:rPr>
        <w:t xml:space="preserve"> atbalsta K</w:t>
      </w:r>
      <w:r w:rsidR="006D4CE5" w:rsidRPr="00F035AB">
        <w:rPr>
          <w:rFonts w:cs="Times New Roman"/>
          <w:szCs w:val="24"/>
          <w:lang w:eastAsia="ru-RU"/>
        </w:rPr>
        <w:t xml:space="preserve">onvencijas 10.panta </w:t>
      </w:r>
      <w:r w:rsidR="00D479EA" w:rsidRPr="00F035AB">
        <w:rPr>
          <w:rFonts w:cs="Times New Roman"/>
          <w:szCs w:val="24"/>
          <w:lang w:eastAsia="ru-RU"/>
        </w:rPr>
        <w:t>1.punkta</w:t>
      </w:r>
      <w:r w:rsidR="009443A9" w:rsidRPr="00F035AB">
        <w:rPr>
          <w:rFonts w:cs="Times New Roman"/>
          <w:szCs w:val="24"/>
          <w:lang w:eastAsia="ru-RU"/>
        </w:rPr>
        <w:t xml:space="preserve"> pārkāpumu.</w:t>
      </w:r>
    </w:p>
    <w:p w14:paraId="79C1CE1E" w14:textId="77777777" w:rsidR="006874CC" w:rsidRPr="00F035AB" w:rsidRDefault="006874CC" w:rsidP="00CE0C30">
      <w:pPr>
        <w:pStyle w:val="NoSpacing"/>
        <w:spacing w:line="276" w:lineRule="auto"/>
        <w:ind w:firstLine="567"/>
        <w:jc w:val="both"/>
        <w:rPr>
          <w:rFonts w:cs="Times New Roman"/>
          <w:szCs w:val="24"/>
          <w:lang w:eastAsia="ru-RU"/>
        </w:rPr>
      </w:pPr>
    </w:p>
    <w:p w14:paraId="781A749E" w14:textId="6E1F68F4" w:rsidR="009443A9" w:rsidRPr="00F035AB" w:rsidRDefault="006874CC" w:rsidP="00E4701B">
      <w:pPr>
        <w:pStyle w:val="NoSpacing"/>
        <w:spacing w:line="276" w:lineRule="auto"/>
        <w:ind w:firstLine="567"/>
        <w:jc w:val="both"/>
        <w:rPr>
          <w:rFonts w:cs="Times New Roman"/>
          <w:szCs w:val="24"/>
          <w:lang w:eastAsia="ru-RU"/>
        </w:rPr>
      </w:pPr>
      <w:r w:rsidRPr="00F035AB">
        <w:rPr>
          <w:rFonts w:cs="Times New Roman"/>
          <w:szCs w:val="24"/>
          <w:lang w:eastAsia="ru-RU"/>
        </w:rPr>
        <w:t xml:space="preserve">[8] </w:t>
      </w:r>
      <w:r w:rsidR="005D0F94" w:rsidRPr="00F035AB">
        <w:rPr>
          <w:rFonts w:cs="Times New Roman"/>
          <w:szCs w:val="24"/>
          <w:lang w:eastAsia="ru-RU"/>
        </w:rPr>
        <w:t xml:space="preserve">Izvērtējot pieteicēja pieteikto noraidījumu, </w:t>
      </w:r>
      <w:r w:rsidR="0079236B" w:rsidRPr="00F035AB">
        <w:rPr>
          <w:rFonts w:cs="Times New Roman"/>
          <w:szCs w:val="24"/>
          <w:lang w:eastAsia="ru-RU"/>
        </w:rPr>
        <w:t>Senāts atzīst, ka konkrētajā gadījumā nav konstatējams neviens no Administratīvā procesa likuma 117.panta pirmajā daļā paredzētajiem nor</w:t>
      </w:r>
      <w:r w:rsidR="00E61462" w:rsidRPr="00F035AB">
        <w:rPr>
          <w:rFonts w:cs="Times New Roman"/>
          <w:szCs w:val="24"/>
          <w:lang w:eastAsia="ru-RU"/>
        </w:rPr>
        <w:t>aidījuma pieteikšanas pamatiem, t</w:t>
      </w:r>
      <w:r w:rsidR="0079236B" w:rsidRPr="00F035AB">
        <w:rPr>
          <w:rFonts w:cs="Times New Roman"/>
          <w:szCs w:val="24"/>
          <w:lang w:eastAsia="ru-RU"/>
        </w:rPr>
        <w:t>ādēļ nav pamata pieņemt pieteikto noraidījumu</w:t>
      </w:r>
      <w:r w:rsidR="009443A9" w:rsidRPr="00F035AB">
        <w:rPr>
          <w:rFonts w:cs="Times New Roman"/>
          <w:szCs w:val="24"/>
          <w:lang w:eastAsia="ru-RU"/>
        </w:rPr>
        <w:t xml:space="preserve"> visam tiesas sastāvam</w:t>
      </w:r>
      <w:r w:rsidR="0079236B" w:rsidRPr="00F035AB">
        <w:rPr>
          <w:rFonts w:cs="Times New Roman"/>
          <w:szCs w:val="24"/>
          <w:lang w:eastAsia="ru-RU"/>
        </w:rPr>
        <w:t>.</w:t>
      </w:r>
    </w:p>
    <w:p w14:paraId="187A6E0C" w14:textId="1146E96D" w:rsidR="009443A9" w:rsidRPr="00F035AB" w:rsidRDefault="009443A9" w:rsidP="009443A9">
      <w:pPr>
        <w:pStyle w:val="NoSpacing"/>
        <w:spacing w:line="276" w:lineRule="auto"/>
        <w:ind w:firstLine="567"/>
        <w:jc w:val="both"/>
        <w:rPr>
          <w:rFonts w:cs="Times New Roman"/>
          <w:szCs w:val="24"/>
          <w:lang w:eastAsia="ru-RU"/>
        </w:rPr>
      </w:pPr>
      <w:r w:rsidRPr="00F035AB">
        <w:rPr>
          <w:rFonts w:cs="Times New Roman"/>
          <w:szCs w:val="24"/>
          <w:lang w:eastAsia="ru-RU"/>
        </w:rPr>
        <w:t>Pieteicēja norādītais Senāta 2019.gada 19.marta spriedums ir pieņemts citā lietā Nr. SKA</w:t>
      </w:r>
      <w:r w:rsidRPr="00F035AB">
        <w:rPr>
          <w:rFonts w:cs="Times New Roman"/>
          <w:szCs w:val="24"/>
          <w:lang w:eastAsia="ru-RU"/>
        </w:rPr>
        <w:noBreakHyphen/>
        <w:t>6/2019, kam pēc būtības nav nekāda sakara ar izskatāmo lietu, tādējādi tas netraucē kasācijas sūdzības objektīvu izskatīšanu. Pieteicēja neapmierinātība ar minēto tiesas spriedumu un šajā saistībā paustie iebildumi neattiecas uz senatoru objektivitāti šīs lietas izskatīšanā. Tas pats attiecas arī uz apstākļiem saistībā ar pieteicēja norādītajiem Eiropas Cilvēktiesību tiesas spriedumiem.</w:t>
      </w:r>
    </w:p>
    <w:p w14:paraId="6BB8F280" w14:textId="77777777" w:rsidR="00C43E65" w:rsidRPr="00F035AB" w:rsidRDefault="00C43E65" w:rsidP="00E4701B">
      <w:pPr>
        <w:pStyle w:val="NoSpacing"/>
        <w:spacing w:line="276" w:lineRule="auto"/>
        <w:ind w:firstLine="567"/>
        <w:jc w:val="both"/>
        <w:rPr>
          <w:rFonts w:cs="Times New Roman"/>
          <w:szCs w:val="24"/>
          <w:lang w:eastAsia="ru-RU"/>
        </w:rPr>
      </w:pPr>
    </w:p>
    <w:p w14:paraId="798BF020" w14:textId="0887FFF4" w:rsidR="006D4CE5" w:rsidRPr="00F035AB" w:rsidRDefault="006D4CE5" w:rsidP="00D24DFA">
      <w:pPr>
        <w:pStyle w:val="NoSpacing"/>
        <w:spacing w:line="276" w:lineRule="auto"/>
        <w:jc w:val="center"/>
        <w:rPr>
          <w:rFonts w:cs="Times New Roman"/>
          <w:b/>
          <w:szCs w:val="24"/>
          <w:lang w:eastAsia="ru-RU"/>
        </w:rPr>
      </w:pPr>
      <w:r w:rsidRPr="00F035AB">
        <w:rPr>
          <w:rFonts w:cs="Times New Roman"/>
          <w:b/>
          <w:szCs w:val="24"/>
        </w:rPr>
        <w:t>II</w:t>
      </w:r>
    </w:p>
    <w:p w14:paraId="280D55AD" w14:textId="77777777" w:rsidR="0068608E" w:rsidRPr="00F035AB" w:rsidRDefault="0068608E" w:rsidP="00CE0C30">
      <w:pPr>
        <w:pStyle w:val="NoSpacing"/>
        <w:spacing w:line="276" w:lineRule="auto"/>
        <w:ind w:firstLine="567"/>
        <w:jc w:val="both"/>
        <w:rPr>
          <w:rFonts w:cs="Times New Roman"/>
          <w:szCs w:val="24"/>
          <w:lang w:eastAsia="ru-RU"/>
        </w:rPr>
      </w:pPr>
    </w:p>
    <w:p w14:paraId="7A869792" w14:textId="6333CC58" w:rsidR="007866F9" w:rsidRPr="00F035AB" w:rsidRDefault="0068608E" w:rsidP="00CE0C30">
      <w:pPr>
        <w:pStyle w:val="NoSpacing"/>
        <w:spacing w:line="276" w:lineRule="auto"/>
        <w:ind w:firstLine="567"/>
        <w:jc w:val="both"/>
        <w:rPr>
          <w:rFonts w:cs="Times New Roman"/>
          <w:szCs w:val="24"/>
          <w:lang w:eastAsia="ru-RU"/>
        </w:rPr>
      </w:pPr>
      <w:r w:rsidRPr="00F035AB">
        <w:rPr>
          <w:rFonts w:cs="Times New Roman"/>
          <w:szCs w:val="24"/>
          <w:lang w:eastAsia="ru-RU"/>
        </w:rPr>
        <w:lastRenderedPageBreak/>
        <w:t>[</w:t>
      </w:r>
      <w:r w:rsidR="006874CC" w:rsidRPr="00F035AB">
        <w:rPr>
          <w:rFonts w:cs="Times New Roman"/>
          <w:szCs w:val="24"/>
          <w:lang w:eastAsia="ru-RU"/>
        </w:rPr>
        <w:t>9</w:t>
      </w:r>
      <w:r w:rsidRPr="00F035AB">
        <w:rPr>
          <w:rFonts w:cs="Times New Roman"/>
          <w:szCs w:val="24"/>
          <w:lang w:eastAsia="ru-RU"/>
        </w:rPr>
        <w:t xml:space="preserve">] </w:t>
      </w:r>
      <w:r w:rsidR="00145D9E" w:rsidRPr="00F035AB">
        <w:rPr>
          <w:rFonts w:cs="Times New Roman"/>
          <w:szCs w:val="24"/>
          <w:lang w:eastAsia="ru-RU"/>
        </w:rPr>
        <w:t>K</w:t>
      </w:r>
      <w:r w:rsidR="001F2800" w:rsidRPr="00F035AB">
        <w:rPr>
          <w:rFonts w:cs="Times New Roman"/>
          <w:szCs w:val="24"/>
          <w:lang w:eastAsia="ru-RU"/>
        </w:rPr>
        <w:t xml:space="preserve">asācijas sūdzībā </w:t>
      </w:r>
      <w:r w:rsidR="001D1B83" w:rsidRPr="00F035AB">
        <w:rPr>
          <w:rFonts w:cs="Times New Roman"/>
          <w:szCs w:val="24"/>
          <w:lang w:eastAsia="ru-RU"/>
        </w:rPr>
        <w:t>pieteicējs</w:t>
      </w:r>
      <w:r w:rsidR="00453843" w:rsidRPr="00F035AB">
        <w:rPr>
          <w:rFonts w:cs="Times New Roman"/>
          <w:szCs w:val="24"/>
          <w:lang w:eastAsia="ru-RU"/>
        </w:rPr>
        <w:t xml:space="preserve"> </w:t>
      </w:r>
      <w:r w:rsidR="00412B8B" w:rsidRPr="00F035AB">
        <w:rPr>
          <w:rFonts w:cs="Times New Roman"/>
          <w:szCs w:val="24"/>
          <w:lang w:eastAsia="ru-RU"/>
        </w:rPr>
        <w:t>lūdz atcelt</w:t>
      </w:r>
      <w:r w:rsidR="00C259E6" w:rsidRPr="00F035AB">
        <w:rPr>
          <w:rFonts w:cs="Times New Roman"/>
          <w:szCs w:val="24"/>
          <w:lang w:eastAsia="ru-RU"/>
        </w:rPr>
        <w:t xml:space="preserve"> apelācijas instances</w:t>
      </w:r>
      <w:r w:rsidR="00412B8B" w:rsidRPr="00F035AB">
        <w:rPr>
          <w:rFonts w:cs="Times New Roman"/>
          <w:szCs w:val="24"/>
          <w:lang w:eastAsia="ru-RU"/>
        </w:rPr>
        <w:t xml:space="preserve"> tiesas spriedumu daļā, ar kuru nav atzīta viņa </w:t>
      </w:r>
      <w:r w:rsidR="00EF0D99" w:rsidRPr="00F035AB">
        <w:rPr>
          <w:rFonts w:cs="Times New Roman"/>
          <w:szCs w:val="24"/>
          <w:lang w:eastAsia="ru-RU"/>
        </w:rPr>
        <w:t>aizturēšana</w:t>
      </w:r>
      <w:r w:rsidR="00537E6E" w:rsidRPr="00F035AB">
        <w:rPr>
          <w:rFonts w:cs="Times New Roman"/>
          <w:szCs w:val="24"/>
          <w:lang w:eastAsia="ru-RU"/>
        </w:rPr>
        <w:t>s nepamatotība un prettiesiskums</w:t>
      </w:r>
      <w:r w:rsidR="00EF0D99" w:rsidRPr="00F035AB">
        <w:rPr>
          <w:rFonts w:cs="Times New Roman"/>
          <w:szCs w:val="24"/>
          <w:lang w:eastAsia="ru-RU"/>
        </w:rPr>
        <w:t>.</w:t>
      </w:r>
    </w:p>
    <w:p w14:paraId="59C44521" w14:textId="76E24CF1" w:rsidR="00AC5A84" w:rsidRPr="00F035AB" w:rsidRDefault="00C259E6" w:rsidP="00CE0C30">
      <w:pPr>
        <w:pStyle w:val="NoSpacing"/>
        <w:spacing w:line="276" w:lineRule="auto"/>
        <w:ind w:firstLine="567"/>
        <w:jc w:val="both"/>
        <w:rPr>
          <w:rFonts w:cs="Times New Roman"/>
          <w:szCs w:val="24"/>
          <w:lang w:eastAsia="ru-RU"/>
        </w:rPr>
      </w:pPr>
      <w:r w:rsidRPr="00F035AB">
        <w:rPr>
          <w:rFonts w:cs="Times New Roman"/>
          <w:szCs w:val="24"/>
          <w:lang w:eastAsia="ru-RU"/>
        </w:rPr>
        <w:t>Atbildot uz pieteicēja</w:t>
      </w:r>
      <w:r w:rsidR="00DF2A75" w:rsidRPr="00F035AB">
        <w:rPr>
          <w:rFonts w:cs="Times New Roman"/>
          <w:szCs w:val="24"/>
          <w:lang w:eastAsia="ru-RU"/>
        </w:rPr>
        <w:t xml:space="preserve"> sūdzībā</w:t>
      </w:r>
      <w:r w:rsidRPr="00F035AB">
        <w:rPr>
          <w:rFonts w:cs="Times New Roman"/>
          <w:szCs w:val="24"/>
          <w:lang w:eastAsia="ru-RU"/>
        </w:rPr>
        <w:t xml:space="preserve"> izteiktajiem iebildumiem, v</w:t>
      </w:r>
      <w:r w:rsidR="00E500AA" w:rsidRPr="00F035AB">
        <w:rPr>
          <w:rFonts w:cs="Times New Roman"/>
          <w:szCs w:val="24"/>
          <w:lang w:eastAsia="ru-RU"/>
        </w:rPr>
        <w:t xml:space="preserve">ispirms </w:t>
      </w:r>
      <w:r w:rsidR="00141E89" w:rsidRPr="00F035AB">
        <w:rPr>
          <w:rFonts w:cs="Times New Roman"/>
          <w:szCs w:val="24"/>
          <w:lang w:eastAsia="ru-RU"/>
        </w:rPr>
        <w:t>jāatzīmē</w:t>
      </w:r>
      <w:r w:rsidR="00E500AA" w:rsidRPr="00F035AB">
        <w:rPr>
          <w:rFonts w:cs="Times New Roman"/>
          <w:szCs w:val="24"/>
          <w:lang w:eastAsia="ru-RU"/>
        </w:rPr>
        <w:t xml:space="preserve">, ka </w:t>
      </w:r>
      <w:r w:rsidR="00AC5A84" w:rsidRPr="00F035AB">
        <w:rPr>
          <w:rFonts w:cs="Times New Roman"/>
          <w:szCs w:val="24"/>
          <w:lang w:eastAsia="ru-RU"/>
        </w:rPr>
        <w:t>pieteicēja aizgādāšana no prokuratūras telpām</w:t>
      </w:r>
      <w:r w:rsidR="00C94A2D" w:rsidRPr="00F035AB">
        <w:rPr>
          <w:rFonts w:cs="Times New Roman"/>
          <w:szCs w:val="24"/>
          <w:lang w:eastAsia="ru-RU"/>
        </w:rPr>
        <w:t xml:space="preserve"> –</w:t>
      </w:r>
      <w:r w:rsidR="00F645A2" w:rsidRPr="00F035AB">
        <w:rPr>
          <w:rFonts w:cs="Times New Roman"/>
          <w:szCs w:val="24"/>
          <w:lang w:eastAsia="ru-RU"/>
        </w:rPr>
        <w:t xml:space="preserve"> </w:t>
      </w:r>
      <w:r w:rsidR="00E500AA" w:rsidRPr="00F035AB">
        <w:rPr>
          <w:rFonts w:cs="Times New Roman"/>
          <w:szCs w:val="24"/>
          <w:lang w:eastAsia="ru-RU"/>
        </w:rPr>
        <w:t>kā to noskaidroja apgabaltiesa</w:t>
      </w:r>
      <w:r w:rsidR="00C94A2D" w:rsidRPr="00F035AB">
        <w:rPr>
          <w:rFonts w:cs="Times New Roman"/>
          <w:szCs w:val="24"/>
          <w:lang w:eastAsia="ru-RU"/>
        </w:rPr>
        <w:t xml:space="preserve"> –</w:t>
      </w:r>
      <w:r w:rsidR="00F645A2" w:rsidRPr="00F035AB">
        <w:rPr>
          <w:rFonts w:cs="Times New Roman"/>
          <w:szCs w:val="24"/>
          <w:lang w:eastAsia="ru-RU"/>
        </w:rPr>
        <w:t xml:space="preserve"> </w:t>
      </w:r>
      <w:r w:rsidR="00AC5A84" w:rsidRPr="00F035AB">
        <w:rPr>
          <w:rFonts w:cs="Times New Roman"/>
          <w:szCs w:val="24"/>
          <w:lang w:eastAsia="ru-RU"/>
        </w:rPr>
        <w:t xml:space="preserve">sekoja tikai pēc tam, kad no prokurores un arī </w:t>
      </w:r>
      <w:r w:rsidR="00F645A2" w:rsidRPr="00F035AB">
        <w:rPr>
          <w:rFonts w:cs="Times New Roman"/>
          <w:szCs w:val="24"/>
          <w:lang w:eastAsia="ru-RU"/>
        </w:rPr>
        <w:t xml:space="preserve">no </w:t>
      </w:r>
      <w:r w:rsidR="00AC5A84" w:rsidRPr="00F035AB">
        <w:rPr>
          <w:rFonts w:cs="Times New Roman"/>
          <w:szCs w:val="24"/>
          <w:lang w:eastAsia="ru-RU"/>
        </w:rPr>
        <w:t xml:space="preserve">policijas amatpersonu puses pieteicējam vairākkārt tika izteikta prasība pārtraukt filmēšanu, ko pieteicējs neizpildīja. Proti, tiesa </w:t>
      </w:r>
      <w:r w:rsidR="00674EB2" w:rsidRPr="00F035AB">
        <w:rPr>
          <w:rFonts w:cs="Times New Roman"/>
          <w:szCs w:val="24"/>
          <w:lang w:eastAsia="ru-RU"/>
        </w:rPr>
        <w:t xml:space="preserve">konstatēja, ka pirms aizturēšanas prokurores kabinetā </w:t>
      </w:r>
      <w:r w:rsidR="00AC5A84" w:rsidRPr="00F035AB">
        <w:rPr>
          <w:rFonts w:cs="Times New Roman"/>
          <w:szCs w:val="24"/>
          <w:lang w:eastAsia="ru-RU"/>
        </w:rPr>
        <w:t>pieteicējam</w:t>
      </w:r>
      <w:r w:rsidR="00674EB2" w:rsidRPr="00F035AB">
        <w:rPr>
          <w:rFonts w:cs="Times New Roman"/>
          <w:szCs w:val="24"/>
          <w:lang w:eastAsia="ru-RU"/>
        </w:rPr>
        <w:t xml:space="preserve"> tika izteikts aizrādījums pārtraukt filmēšanu, jo tādējādi tika traucēta kriminālprocesuālā darbība – apsūdzības izsniegšana (uzrādīšana)</w:t>
      </w:r>
      <w:r w:rsidR="00C94A2D" w:rsidRPr="00F035AB">
        <w:rPr>
          <w:rFonts w:cs="Times New Roman"/>
          <w:szCs w:val="24"/>
          <w:lang w:eastAsia="ru-RU"/>
        </w:rPr>
        <w:t xml:space="preserve"> –</w:t>
      </w:r>
      <w:r w:rsidR="00674EB2" w:rsidRPr="00F035AB">
        <w:rPr>
          <w:rFonts w:cs="Times New Roman"/>
          <w:szCs w:val="24"/>
          <w:lang w:eastAsia="ru-RU"/>
        </w:rPr>
        <w:t xml:space="preserve">, ko pieteicējs ignorēja, nepaskaidrojot arī filmēšanas vajadzību. </w:t>
      </w:r>
      <w:r w:rsidR="00AC5A84" w:rsidRPr="00F035AB">
        <w:rPr>
          <w:rFonts w:cs="Times New Roman"/>
          <w:szCs w:val="24"/>
          <w:lang w:eastAsia="ru-RU"/>
        </w:rPr>
        <w:t xml:space="preserve">Arī </w:t>
      </w:r>
      <w:r w:rsidR="00DF2A75" w:rsidRPr="00F035AB">
        <w:rPr>
          <w:rFonts w:cs="Times New Roman"/>
          <w:szCs w:val="24"/>
          <w:lang w:eastAsia="ru-RU"/>
        </w:rPr>
        <w:t>Senāts</w:t>
      </w:r>
      <w:r w:rsidR="00C94A2D" w:rsidRPr="00F035AB">
        <w:rPr>
          <w:rFonts w:cs="Times New Roman"/>
          <w:szCs w:val="24"/>
          <w:lang w:eastAsia="ru-RU"/>
        </w:rPr>
        <w:t xml:space="preserve"> gūst pārliecību, ka pieteicējs uz prokuratūru bija izsaukts </w:t>
      </w:r>
      <w:r w:rsidR="00C6083C" w:rsidRPr="00F035AB">
        <w:rPr>
          <w:rFonts w:cs="Times New Roman"/>
          <w:szCs w:val="24"/>
          <w:lang w:eastAsia="ru-RU"/>
        </w:rPr>
        <w:t xml:space="preserve">kā apsūdzētais </w:t>
      </w:r>
      <w:r w:rsidR="00C94A2D" w:rsidRPr="00F035AB">
        <w:rPr>
          <w:rFonts w:cs="Times New Roman"/>
          <w:szCs w:val="24"/>
          <w:lang w:eastAsia="ru-RU"/>
        </w:rPr>
        <w:t xml:space="preserve">apsūdzības izsniegšanai – tas izriet no </w:t>
      </w:r>
      <w:r w:rsidR="00AC5A84" w:rsidRPr="00F035AB">
        <w:rPr>
          <w:rFonts w:cs="Times New Roman"/>
          <w:szCs w:val="24"/>
          <w:lang w:eastAsia="ru-RU"/>
        </w:rPr>
        <w:t xml:space="preserve">prokurores </w:t>
      </w:r>
      <w:r w:rsidR="00FF0893">
        <w:rPr>
          <w:rFonts w:cs="Times New Roman"/>
          <w:szCs w:val="24"/>
          <w:lang w:eastAsia="ru-RU"/>
        </w:rPr>
        <w:t>[pers. C]</w:t>
      </w:r>
      <w:r w:rsidR="009A0D8B" w:rsidRPr="00F035AB">
        <w:rPr>
          <w:rFonts w:cs="Times New Roman"/>
          <w:szCs w:val="24"/>
          <w:lang w:eastAsia="ru-RU"/>
        </w:rPr>
        <w:t xml:space="preserve"> 2015.gada 29</w:t>
      </w:r>
      <w:r w:rsidR="00AC5A84" w:rsidRPr="00F035AB">
        <w:rPr>
          <w:rFonts w:cs="Times New Roman"/>
          <w:szCs w:val="24"/>
          <w:lang w:eastAsia="ru-RU"/>
        </w:rPr>
        <w:t>.j</w:t>
      </w:r>
      <w:r w:rsidR="00F645A2" w:rsidRPr="00F035AB">
        <w:rPr>
          <w:rFonts w:cs="Times New Roman"/>
          <w:szCs w:val="24"/>
          <w:lang w:eastAsia="ru-RU"/>
        </w:rPr>
        <w:t>ūnija paskaidrojuma</w:t>
      </w:r>
      <w:r w:rsidR="00CF0FC5" w:rsidRPr="00F035AB">
        <w:rPr>
          <w:rFonts w:cs="Times New Roman"/>
          <w:szCs w:val="24"/>
          <w:lang w:eastAsia="ru-RU"/>
        </w:rPr>
        <w:t xml:space="preserve"> (</w:t>
      </w:r>
      <w:r w:rsidR="00CF0FC5" w:rsidRPr="00F035AB">
        <w:rPr>
          <w:rFonts w:cs="Times New Roman"/>
          <w:i/>
          <w:szCs w:val="24"/>
          <w:lang w:eastAsia="ru-RU"/>
        </w:rPr>
        <w:t>lietas 2.sējuma 151.lapa</w:t>
      </w:r>
      <w:r w:rsidR="00CF0FC5" w:rsidRPr="00F035AB">
        <w:rPr>
          <w:rFonts w:cs="Times New Roman"/>
          <w:szCs w:val="24"/>
          <w:lang w:eastAsia="ru-RU"/>
        </w:rPr>
        <w:t>)</w:t>
      </w:r>
      <w:r w:rsidR="00AC5A84" w:rsidRPr="00F035AB">
        <w:rPr>
          <w:rFonts w:cs="Times New Roman"/>
          <w:szCs w:val="24"/>
          <w:lang w:eastAsia="ru-RU"/>
        </w:rPr>
        <w:t xml:space="preserve">, </w:t>
      </w:r>
      <w:r w:rsidR="00C94A2D" w:rsidRPr="00F035AB">
        <w:rPr>
          <w:rFonts w:cs="Times New Roman"/>
          <w:szCs w:val="24"/>
          <w:lang w:eastAsia="ru-RU"/>
        </w:rPr>
        <w:t>ko tiesa</w:t>
      </w:r>
      <w:r w:rsidR="00AC5A84" w:rsidRPr="00F035AB">
        <w:rPr>
          <w:rFonts w:cs="Times New Roman"/>
          <w:szCs w:val="24"/>
          <w:lang w:eastAsia="ru-RU"/>
        </w:rPr>
        <w:t xml:space="preserve"> </w:t>
      </w:r>
      <w:r w:rsidR="005D1B95" w:rsidRPr="00F035AB">
        <w:rPr>
          <w:rFonts w:cs="Times New Roman"/>
          <w:szCs w:val="24"/>
          <w:lang w:eastAsia="ru-RU"/>
        </w:rPr>
        <w:t xml:space="preserve">spriedumā </w:t>
      </w:r>
      <w:r w:rsidR="00C94A2D" w:rsidRPr="00F035AB">
        <w:rPr>
          <w:rFonts w:cs="Times New Roman"/>
          <w:szCs w:val="24"/>
          <w:lang w:eastAsia="ru-RU"/>
        </w:rPr>
        <w:t xml:space="preserve">ir </w:t>
      </w:r>
      <w:r w:rsidR="008213C6" w:rsidRPr="00F035AB">
        <w:rPr>
          <w:rFonts w:cs="Times New Roman"/>
          <w:szCs w:val="24"/>
          <w:lang w:eastAsia="ru-RU"/>
        </w:rPr>
        <w:t xml:space="preserve">arī </w:t>
      </w:r>
      <w:r w:rsidR="00C94A2D" w:rsidRPr="00F035AB">
        <w:rPr>
          <w:rFonts w:cs="Times New Roman"/>
          <w:szCs w:val="24"/>
          <w:lang w:eastAsia="ru-RU"/>
        </w:rPr>
        <w:t>vērtējusi.</w:t>
      </w:r>
    </w:p>
    <w:p w14:paraId="369299BB" w14:textId="73AE8CBE" w:rsidR="00603861" w:rsidRPr="00F035AB" w:rsidRDefault="00E500AA" w:rsidP="00CE0C30">
      <w:pPr>
        <w:pStyle w:val="NoSpacing"/>
        <w:spacing w:line="276" w:lineRule="auto"/>
        <w:ind w:firstLine="567"/>
        <w:jc w:val="both"/>
        <w:rPr>
          <w:rFonts w:cs="Times New Roman"/>
          <w:szCs w:val="24"/>
          <w:lang w:eastAsia="ru-RU"/>
        </w:rPr>
      </w:pPr>
      <w:r w:rsidRPr="00F035AB">
        <w:rPr>
          <w:rFonts w:cs="Times New Roman"/>
          <w:szCs w:val="24"/>
          <w:lang w:eastAsia="ru-RU"/>
        </w:rPr>
        <w:t xml:space="preserve">Šādos apstākļos </w:t>
      </w:r>
      <w:r w:rsidR="00AC5A84" w:rsidRPr="00F035AB">
        <w:rPr>
          <w:rFonts w:cs="Times New Roman"/>
          <w:szCs w:val="24"/>
          <w:lang w:eastAsia="ru-RU"/>
        </w:rPr>
        <w:t>nevar aizmirst</w:t>
      </w:r>
      <w:r w:rsidR="00C94A2D" w:rsidRPr="00F035AB">
        <w:rPr>
          <w:rFonts w:cs="Times New Roman"/>
          <w:szCs w:val="24"/>
          <w:lang w:eastAsia="ru-RU"/>
        </w:rPr>
        <w:t xml:space="preserve">, </w:t>
      </w:r>
      <w:r w:rsidR="00AC5A84" w:rsidRPr="00F035AB">
        <w:rPr>
          <w:rFonts w:cs="Times New Roman"/>
          <w:szCs w:val="24"/>
          <w:lang w:eastAsia="ru-RU"/>
        </w:rPr>
        <w:t xml:space="preserve">ka uz pieteicēju </w:t>
      </w:r>
      <w:r w:rsidRPr="00F035AB">
        <w:rPr>
          <w:rFonts w:cs="Times New Roman"/>
          <w:szCs w:val="24"/>
          <w:lang w:eastAsia="ru-RU"/>
        </w:rPr>
        <w:t xml:space="preserve">kā uz apsūdzēto </w:t>
      </w:r>
      <w:r w:rsidR="00C94A2D" w:rsidRPr="00F035AB">
        <w:rPr>
          <w:rFonts w:cs="Times New Roman"/>
          <w:szCs w:val="24"/>
          <w:lang w:eastAsia="ru-RU"/>
        </w:rPr>
        <w:t>bija</w:t>
      </w:r>
      <w:r w:rsidRPr="00F035AB">
        <w:rPr>
          <w:rFonts w:cs="Times New Roman"/>
          <w:szCs w:val="24"/>
          <w:lang w:eastAsia="ru-RU"/>
        </w:rPr>
        <w:t xml:space="preserve"> attiecināms</w:t>
      </w:r>
      <w:r w:rsidR="00AC5A84" w:rsidRPr="00F035AB">
        <w:rPr>
          <w:rFonts w:cs="Times New Roman"/>
          <w:szCs w:val="24"/>
          <w:lang w:eastAsia="ru-RU"/>
        </w:rPr>
        <w:t xml:space="preserve"> Kriminālprocesa likuma 74.pantā un 67.panta pirmās daļas 2.punktā noteiktais pienākums nekavēt un netraucēt kriminālprocesa norisi. Proti, Kriminālprocesa likuma 406.panta pirmās daļas 1.punkts noteic, ka pēc tam, kad pieņemts lēmums par personas saukšanu pie kriminālatbildības, prokurors nekavējoties izsniedz apsūdzētajam apsūdzības kopiju, pārliecinājies par viņa personas identitāti, un izskaidro apsūdzības būtību. Līdz ar to</w:t>
      </w:r>
      <w:r w:rsidR="007866F9" w:rsidRPr="00F035AB">
        <w:rPr>
          <w:rFonts w:cs="Times New Roman"/>
          <w:szCs w:val="24"/>
          <w:lang w:eastAsia="ru-RU"/>
        </w:rPr>
        <w:t xml:space="preserve"> </w:t>
      </w:r>
      <w:r w:rsidR="00AC5A84" w:rsidRPr="00F035AB">
        <w:rPr>
          <w:rFonts w:cs="Times New Roman"/>
          <w:szCs w:val="24"/>
          <w:lang w:eastAsia="ru-RU"/>
        </w:rPr>
        <w:t>s</w:t>
      </w:r>
      <w:r w:rsidR="00674EB2" w:rsidRPr="00F035AB">
        <w:rPr>
          <w:rFonts w:cs="Times New Roman"/>
          <w:szCs w:val="24"/>
          <w:lang w:eastAsia="ru-RU"/>
        </w:rPr>
        <w:t>ituācijā, kad apsūdzības izsniegšanas laikā pieteicēja</w:t>
      </w:r>
      <w:r w:rsidR="00AC5A84" w:rsidRPr="00F035AB">
        <w:rPr>
          <w:rFonts w:cs="Times New Roman"/>
          <w:szCs w:val="24"/>
          <w:lang w:eastAsia="ru-RU"/>
        </w:rPr>
        <w:t xml:space="preserve"> </w:t>
      </w:r>
      <w:r w:rsidRPr="00F035AB">
        <w:rPr>
          <w:rFonts w:cs="Times New Roman"/>
          <w:szCs w:val="24"/>
          <w:lang w:eastAsia="ru-RU"/>
        </w:rPr>
        <w:t xml:space="preserve">kā kriminālprocesā iesaistītās personas </w:t>
      </w:r>
      <w:r w:rsidR="00674EB2" w:rsidRPr="00F035AB">
        <w:rPr>
          <w:rFonts w:cs="Times New Roman"/>
          <w:szCs w:val="24"/>
          <w:lang w:eastAsia="ru-RU"/>
        </w:rPr>
        <w:t xml:space="preserve">rīcība, veicot filmēšanu, </w:t>
      </w:r>
      <w:r w:rsidRPr="00F035AB">
        <w:rPr>
          <w:rFonts w:cs="Times New Roman"/>
          <w:szCs w:val="24"/>
          <w:lang w:eastAsia="ru-RU"/>
        </w:rPr>
        <w:t>traucēja</w:t>
      </w:r>
      <w:r w:rsidR="00674EB2" w:rsidRPr="00F035AB">
        <w:rPr>
          <w:rFonts w:cs="Times New Roman"/>
          <w:szCs w:val="24"/>
          <w:lang w:eastAsia="ru-RU"/>
        </w:rPr>
        <w:t xml:space="preserve"> krimin</w:t>
      </w:r>
      <w:r w:rsidRPr="00F035AB">
        <w:rPr>
          <w:rFonts w:cs="Times New Roman"/>
          <w:szCs w:val="24"/>
          <w:lang w:eastAsia="ru-RU"/>
        </w:rPr>
        <w:t>ālprocesa norisi</w:t>
      </w:r>
      <w:r w:rsidR="00674EB2" w:rsidRPr="00F035AB">
        <w:rPr>
          <w:rFonts w:cs="Times New Roman"/>
          <w:szCs w:val="24"/>
          <w:lang w:eastAsia="ru-RU"/>
        </w:rPr>
        <w:t xml:space="preserve">, </w:t>
      </w:r>
      <w:r w:rsidR="00C94A2D" w:rsidRPr="00F035AB">
        <w:rPr>
          <w:rFonts w:cs="Times New Roman"/>
          <w:szCs w:val="24"/>
          <w:lang w:eastAsia="ru-RU"/>
        </w:rPr>
        <w:t xml:space="preserve">procesa virzītāja </w:t>
      </w:r>
      <w:r w:rsidR="00674EB2" w:rsidRPr="00F035AB">
        <w:rPr>
          <w:rFonts w:cs="Times New Roman"/>
          <w:szCs w:val="24"/>
          <w:lang w:eastAsia="ru-RU"/>
        </w:rPr>
        <w:t>prasība pārtraukt traucējoš</w:t>
      </w:r>
      <w:r w:rsidR="007866F9" w:rsidRPr="00F035AB">
        <w:rPr>
          <w:rFonts w:cs="Times New Roman"/>
          <w:szCs w:val="24"/>
          <w:lang w:eastAsia="ru-RU"/>
        </w:rPr>
        <w:t>o</w:t>
      </w:r>
      <w:r w:rsidR="00674EB2" w:rsidRPr="00F035AB">
        <w:rPr>
          <w:rFonts w:cs="Times New Roman"/>
          <w:szCs w:val="24"/>
          <w:lang w:eastAsia="ru-RU"/>
        </w:rPr>
        <w:t xml:space="preserve"> </w:t>
      </w:r>
      <w:r w:rsidR="00AC5A84" w:rsidRPr="00F035AB">
        <w:rPr>
          <w:rFonts w:cs="Times New Roman"/>
          <w:szCs w:val="24"/>
          <w:lang w:eastAsia="ru-RU"/>
        </w:rPr>
        <w:t>darbību</w:t>
      </w:r>
      <w:r w:rsidR="00D116FA" w:rsidRPr="00F035AB">
        <w:rPr>
          <w:rFonts w:cs="Times New Roman"/>
          <w:szCs w:val="24"/>
          <w:lang w:eastAsia="ru-RU"/>
        </w:rPr>
        <w:t xml:space="preserve"> (filmēšanu)</w:t>
      </w:r>
      <w:r w:rsidR="005D1B95" w:rsidRPr="00F035AB">
        <w:rPr>
          <w:rFonts w:cs="Times New Roman"/>
          <w:szCs w:val="24"/>
          <w:lang w:eastAsia="ru-RU"/>
        </w:rPr>
        <w:t xml:space="preserve"> pati par sevi</w:t>
      </w:r>
      <w:r w:rsidR="008213C6" w:rsidRPr="00F035AB">
        <w:rPr>
          <w:rFonts w:cs="Times New Roman"/>
          <w:szCs w:val="24"/>
          <w:lang w:eastAsia="ru-RU"/>
        </w:rPr>
        <w:t>,</w:t>
      </w:r>
      <w:r w:rsidRPr="00F035AB">
        <w:rPr>
          <w:rFonts w:cs="Times New Roman"/>
          <w:szCs w:val="24"/>
          <w:lang w:eastAsia="ru-RU"/>
        </w:rPr>
        <w:t xml:space="preserve"> </w:t>
      </w:r>
      <w:r w:rsidR="00DF2A75" w:rsidRPr="00F035AB">
        <w:rPr>
          <w:rFonts w:cs="Times New Roman"/>
          <w:szCs w:val="24"/>
          <w:lang w:eastAsia="ru-RU"/>
        </w:rPr>
        <w:t>Senāta</w:t>
      </w:r>
      <w:r w:rsidRPr="00F035AB">
        <w:rPr>
          <w:rFonts w:cs="Times New Roman"/>
          <w:szCs w:val="24"/>
          <w:lang w:eastAsia="ru-RU"/>
        </w:rPr>
        <w:t xml:space="preserve"> </w:t>
      </w:r>
      <w:r w:rsidR="00C94A2D" w:rsidRPr="00F035AB">
        <w:rPr>
          <w:rFonts w:cs="Times New Roman"/>
          <w:szCs w:val="24"/>
          <w:lang w:eastAsia="ru-RU"/>
        </w:rPr>
        <w:t>vērtējumā</w:t>
      </w:r>
      <w:r w:rsidR="008213C6" w:rsidRPr="00F035AB">
        <w:rPr>
          <w:rFonts w:cs="Times New Roman"/>
          <w:szCs w:val="24"/>
          <w:lang w:eastAsia="ru-RU"/>
        </w:rPr>
        <w:t>,</w:t>
      </w:r>
      <w:r w:rsidRPr="00F035AB">
        <w:rPr>
          <w:rFonts w:cs="Times New Roman"/>
          <w:szCs w:val="24"/>
          <w:lang w:eastAsia="ru-RU"/>
        </w:rPr>
        <w:t xml:space="preserve"> </w:t>
      </w:r>
      <w:r w:rsidR="00C6083C" w:rsidRPr="00F035AB">
        <w:rPr>
          <w:rFonts w:cs="Times New Roman"/>
          <w:szCs w:val="24"/>
          <w:lang w:eastAsia="ru-RU"/>
        </w:rPr>
        <w:t>nav</w:t>
      </w:r>
      <w:r w:rsidRPr="00F035AB">
        <w:rPr>
          <w:rFonts w:cs="Times New Roman"/>
          <w:szCs w:val="24"/>
          <w:lang w:eastAsia="ru-RU"/>
        </w:rPr>
        <w:t xml:space="preserve"> </w:t>
      </w:r>
      <w:r w:rsidR="00141E89" w:rsidRPr="00F035AB">
        <w:rPr>
          <w:rFonts w:cs="Times New Roman"/>
          <w:szCs w:val="24"/>
          <w:lang w:eastAsia="ru-RU"/>
        </w:rPr>
        <w:t xml:space="preserve">uzskatāma par </w:t>
      </w:r>
      <w:r w:rsidRPr="00F035AB">
        <w:rPr>
          <w:rFonts w:cs="Times New Roman"/>
          <w:szCs w:val="24"/>
          <w:lang w:eastAsia="ru-RU"/>
        </w:rPr>
        <w:t>pret</w:t>
      </w:r>
      <w:r w:rsidR="00674EB2" w:rsidRPr="00F035AB">
        <w:rPr>
          <w:rFonts w:cs="Times New Roman"/>
          <w:szCs w:val="24"/>
          <w:lang w:eastAsia="ru-RU"/>
        </w:rPr>
        <w:t>tiesisk</w:t>
      </w:r>
      <w:r w:rsidR="00141E89" w:rsidRPr="00F035AB">
        <w:rPr>
          <w:rFonts w:cs="Times New Roman"/>
          <w:szCs w:val="24"/>
          <w:lang w:eastAsia="ru-RU"/>
        </w:rPr>
        <w:t>u</w:t>
      </w:r>
      <w:r w:rsidR="007866F9" w:rsidRPr="00F035AB">
        <w:rPr>
          <w:rFonts w:cs="Times New Roman"/>
          <w:szCs w:val="24"/>
          <w:lang w:eastAsia="ru-RU"/>
        </w:rPr>
        <w:t xml:space="preserve">. </w:t>
      </w:r>
      <w:r w:rsidR="00C94A2D" w:rsidRPr="00F035AB">
        <w:rPr>
          <w:rFonts w:cs="Times New Roman"/>
          <w:szCs w:val="24"/>
          <w:lang w:eastAsia="ru-RU"/>
        </w:rPr>
        <w:t>Tādēļ</w:t>
      </w:r>
      <w:r w:rsidR="007866F9" w:rsidRPr="00F035AB">
        <w:rPr>
          <w:rFonts w:cs="Times New Roman"/>
          <w:szCs w:val="24"/>
          <w:lang w:eastAsia="ru-RU"/>
        </w:rPr>
        <w:t xml:space="preserve"> </w:t>
      </w:r>
      <w:r w:rsidR="00D116FA" w:rsidRPr="00F035AB">
        <w:rPr>
          <w:rFonts w:cs="Times New Roman"/>
          <w:szCs w:val="24"/>
          <w:lang w:eastAsia="ru-RU"/>
        </w:rPr>
        <w:t xml:space="preserve">nav nozīmes </w:t>
      </w:r>
      <w:r w:rsidR="005D1B95" w:rsidRPr="00F035AB">
        <w:rPr>
          <w:rFonts w:cs="Times New Roman"/>
          <w:szCs w:val="24"/>
          <w:lang w:eastAsia="ru-RU"/>
        </w:rPr>
        <w:t xml:space="preserve">pieteicēja </w:t>
      </w:r>
      <w:r w:rsidR="007866F9" w:rsidRPr="00F035AB">
        <w:rPr>
          <w:rFonts w:cs="Times New Roman"/>
          <w:szCs w:val="24"/>
          <w:lang w:eastAsia="ru-RU"/>
        </w:rPr>
        <w:t>apsv</w:t>
      </w:r>
      <w:r w:rsidR="00D116FA" w:rsidRPr="00F035AB">
        <w:rPr>
          <w:rFonts w:cs="Times New Roman"/>
          <w:szCs w:val="24"/>
          <w:lang w:eastAsia="ru-RU"/>
        </w:rPr>
        <w:t>ērumiem</w:t>
      </w:r>
      <w:r w:rsidR="007866F9" w:rsidRPr="00F035AB">
        <w:rPr>
          <w:rFonts w:cs="Times New Roman"/>
          <w:szCs w:val="24"/>
          <w:lang w:eastAsia="ru-RU"/>
        </w:rPr>
        <w:t xml:space="preserve"> par to, vai prokuratūras telpās</w:t>
      </w:r>
      <w:r w:rsidR="00603861" w:rsidRPr="00F035AB">
        <w:rPr>
          <w:rFonts w:cs="Times New Roman"/>
          <w:szCs w:val="24"/>
          <w:lang w:eastAsia="ru-RU"/>
        </w:rPr>
        <w:t xml:space="preserve"> </w:t>
      </w:r>
      <w:r w:rsidR="00D116FA" w:rsidRPr="00F035AB">
        <w:rPr>
          <w:rFonts w:cs="Times New Roman"/>
          <w:szCs w:val="24"/>
          <w:lang w:eastAsia="ru-RU"/>
        </w:rPr>
        <w:t>bija</w:t>
      </w:r>
      <w:r w:rsidR="00F645A2" w:rsidRPr="00F035AB">
        <w:rPr>
          <w:rFonts w:cs="Times New Roman"/>
          <w:szCs w:val="24"/>
          <w:lang w:eastAsia="ru-RU"/>
        </w:rPr>
        <w:t xml:space="preserve"> vai nebija</w:t>
      </w:r>
      <w:r w:rsidR="007866F9" w:rsidRPr="00F035AB">
        <w:rPr>
          <w:rFonts w:cs="Times New Roman"/>
          <w:szCs w:val="24"/>
          <w:lang w:eastAsia="ru-RU"/>
        </w:rPr>
        <w:t xml:space="preserve"> </w:t>
      </w:r>
      <w:r w:rsidR="00D116FA" w:rsidRPr="00F035AB">
        <w:rPr>
          <w:rFonts w:cs="Times New Roman"/>
          <w:szCs w:val="24"/>
          <w:lang w:eastAsia="ru-RU"/>
        </w:rPr>
        <w:t xml:space="preserve">pamatoti noteikti </w:t>
      </w:r>
      <w:r w:rsidR="007866F9" w:rsidRPr="00F035AB">
        <w:rPr>
          <w:rFonts w:cs="Times New Roman"/>
          <w:szCs w:val="24"/>
          <w:lang w:eastAsia="ru-RU"/>
        </w:rPr>
        <w:t>filmēšana</w:t>
      </w:r>
      <w:r w:rsidR="00D116FA" w:rsidRPr="00F035AB">
        <w:rPr>
          <w:rFonts w:cs="Times New Roman"/>
          <w:szCs w:val="24"/>
          <w:lang w:eastAsia="ru-RU"/>
        </w:rPr>
        <w:t>s ierobežojumi</w:t>
      </w:r>
      <w:r w:rsidR="00F645A2" w:rsidRPr="00F035AB">
        <w:rPr>
          <w:rFonts w:cs="Times New Roman"/>
          <w:szCs w:val="24"/>
          <w:lang w:eastAsia="ru-RU"/>
        </w:rPr>
        <w:t xml:space="preserve">, jo aplūkojamā gadījumā būtiski </w:t>
      </w:r>
      <w:r w:rsidR="005D1B95" w:rsidRPr="00F035AB">
        <w:rPr>
          <w:rFonts w:cs="Times New Roman"/>
          <w:szCs w:val="24"/>
          <w:lang w:eastAsia="ru-RU"/>
        </w:rPr>
        <w:t>ir</w:t>
      </w:r>
      <w:r w:rsidR="00F645A2" w:rsidRPr="00F035AB">
        <w:rPr>
          <w:rFonts w:cs="Times New Roman"/>
          <w:szCs w:val="24"/>
          <w:lang w:eastAsia="ru-RU"/>
        </w:rPr>
        <w:t xml:space="preserve"> tas, </w:t>
      </w:r>
      <w:r w:rsidR="00603861" w:rsidRPr="00F035AB">
        <w:rPr>
          <w:rFonts w:cs="Times New Roman"/>
          <w:szCs w:val="24"/>
          <w:lang w:eastAsia="ru-RU"/>
        </w:rPr>
        <w:t>vai</w:t>
      </w:r>
      <w:r w:rsidR="00F645A2" w:rsidRPr="00F035AB">
        <w:rPr>
          <w:rFonts w:cs="Times New Roman"/>
          <w:szCs w:val="24"/>
          <w:lang w:eastAsia="ru-RU"/>
        </w:rPr>
        <w:t xml:space="preserve"> </w:t>
      </w:r>
      <w:r w:rsidR="00C6083C" w:rsidRPr="00F035AB">
        <w:rPr>
          <w:rFonts w:cs="Times New Roman"/>
          <w:szCs w:val="24"/>
          <w:lang w:eastAsia="ru-RU"/>
        </w:rPr>
        <w:t xml:space="preserve">tieši </w:t>
      </w:r>
      <w:r w:rsidR="00603861" w:rsidRPr="00F035AB">
        <w:rPr>
          <w:rFonts w:cs="Times New Roman"/>
          <w:szCs w:val="24"/>
          <w:lang w:eastAsia="ru-RU"/>
        </w:rPr>
        <w:t>pieteicēja</w:t>
      </w:r>
      <w:r w:rsidR="005D1B95" w:rsidRPr="00F035AB">
        <w:rPr>
          <w:rFonts w:cs="Times New Roman"/>
          <w:szCs w:val="24"/>
          <w:lang w:eastAsia="ru-RU"/>
        </w:rPr>
        <w:t xml:space="preserve"> kā </w:t>
      </w:r>
      <w:r w:rsidR="008213C6" w:rsidRPr="00F035AB">
        <w:rPr>
          <w:rFonts w:cs="Times New Roman"/>
          <w:szCs w:val="24"/>
          <w:lang w:eastAsia="ru-RU"/>
        </w:rPr>
        <w:t xml:space="preserve">kriminālprocesā iesaistītās personas </w:t>
      </w:r>
      <w:r w:rsidR="00603861" w:rsidRPr="00F035AB">
        <w:rPr>
          <w:rFonts w:cs="Times New Roman"/>
          <w:szCs w:val="24"/>
          <w:lang w:eastAsia="ru-RU"/>
        </w:rPr>
        <w:t>rīcība atbilda Kriminālprocesa likuma normām.</w:t>
      </w:r>
      <w:r w:rsidR="00D116FA" w:rsidRPr="00F035AB">
        <w:rPr>
          <w:rFonts w:cs="Times New Roman"/>
          <w:szCs w:val="24"/>
          <w:lang w:eastAsia="ru-RU"/>
        </w:rPr>
        <w:t xml:space="preserve"> </w:t>
      </w:r>
      <w:r w:rsidR="0093185D" w:rsidRPr="00F035AB">
        <w:rPr>
          <w:rFonts w:cs="Times New Roman"/>
          <w:szCs w:val="24"/>
          <w:lang w:eastAsia="ru-RU"/>
        </w:rPr>
        <w:t xml:space="preserve">Līdz ar to minētais </w:t>
      </w:r>
      <w:r w:rsidR="00AD1074" w:rsidRPr="00F035AB">
        <w:rPr>
          <w:rFonts w:cs="Times New Roman"/>
          <w:szCs w:val="24"/>
          <w:lang w:eastAsia="ru-RU"/>
        </w:rPr>
        <w:t xml:space="preserve">apstāklis </w:t>
      </w:r>
      <w:r w:rsidR="004517DD" w:rsidRPr="00F035AB">
        <w:rPr>
          <w:rFonts w:cs="Times New Roman"/>
          <w:szCs w:val="24"/>
          <w:lang w:eastAsia="ru-RU"/>
        </w:rPr>
        <w:t>no</w:t>
      </w:r>
      <w:r w:rsidR="0093185D" w:rsidRPr="00F035AB">
        <w:rPr>
          <w:rFonts w:cs="Times New Roman"/>
          <w:szCs w:val="24"/>
          <w:lang w:eastAsia="ru-RU"/>
        </w:rPr>
        <w:t xml:space="preserve">šķir </w:t>
      </w:r>
      <w:r w:rsidR="005B4B1B" w:rsidRPr="00F035AB">
        <w:rPr>
          <w:rFonts w:cs="Times New Roman"/>
          <w:szCs w:val="24"/>
          <w:lang w:eastAsia="ru-RU"/>
        </w:rPr>
        <w:t xml:space="preserve">arī </w:t>
      </w:r>
      <w:r w:rsidR="0093185D" w:rsidRPr="00F035AB">
        <w:rPr>
          <w:rFonts w:cs="Times New Roman"/>
          <w:szCs w:val="24"/>
          <w:lang w:eastAsia="ru-RU"/>
        </w:rPr>
        <w:t>izskatāmo gadījumu</w:t>
      </w:r>
      <w:r w:rsidR="007C2123" w:rsidRPr="00F035AB">
        <w:rPr>
          <w:rFonts w:cs="Times New Roman"/>
          <w:szCs w:val="24"/>
          <w:lang w:eastAsia="ru-RU"/>
        </w:rPr>
        <w:t xml:space="preserve"> </w:t>
      </w:r>
      <w:r w:rsidR="0093185D" w:rsidRPr="00F035AB">
        <w:rPr>
          <w:rFonts w:cs="Times New Roman"/>
          <w:szCs w:val="24"/>
        </w:rPr>
        <w:t>no t</w:t>
      </w:r>
      <w:r w:rsidR="007C2123" w:rsidRPr="00F035AB">
        <w:rPr>
          <w:rFonts w:cs="Times New Roman"/>
          <w:szCs w:val="24"/>
        </w:rPr>
        <w:t>ā</w:t>
      </w:r>
      <w:r w:rsidR="00AD1074" w:rsidRPr="00F035AB">
        <w:rPr>
          <w:rFonts w:cs="Times New Roman"/>
          <w:szCs w:val="24"/>
        </w:rPr>
        <w:t>m</w:t>
      </w:r>
      <w:r w:rsidR="0093185D" w:rsidRPr="00F035AB">
        <w:rPr>
          <w:rFonts w:cs="Times New Roman"/>
          <w:szCs w:val="24"/>
        </w:rPr>
        <w:t xml:space="preserve"> situācijām, kas vērtētas pieteicēja </w:t>
      </w:r>
      <w:r w:rsidR="00AD1074" w:rsidRPr="00F035AB">
        <w:rPr>
          <w:rFonts w:cs="Times New Roman"/>
          <w:szCs w:val="24"/>
        </w:rPr>
        <w:t>no</w:t>
      </w:r>
      <w:r w:rsidR="0093185D" w:rsidRPr="00F035AB">
        <w:rPr>
          <w:rFonts w:cs="Times New Roman"/>
          <w:szCs w:val="24"/>
        </w:rPr>
        <w:t>rādītajos vispārējās jurisdikcijas tiesas spriedumos (piemēram, lietā</w:t>
      </w:r>
      <w:r w:rsidR="000525A4" w:rsidRPr="00F035AB">
        <w:rPr>
          <w:rFonts w:cs="Times New Roman"/>
          <w:szCs w:val="24"/>
        </w:rPr>
        <w:t>s</w:t>
      </w:r>
      <w:r w:rsidR="0093185D" w:rsidRPr="00F035AB">
        <w:rPr>
          <w:rFonts w:cs="Times New Roman"/>
          <w:szCs w:val="24"/>
        </w:rPr>
        <w:t xml:space="preserve"> Nr. 130071617</w:t>
      </w:r>
      <w:r w:rsidR="00AD1074" w:rsidRPr="00F035AB">
        <w:rPr>
          <w:rFonts w:cs="Times New Roman"/>
          <w:szCs w:val="24"/>
        </w:rPr>
        <w:t xml:space="preserve"> un </w:t>
      </w:r>
      <w:r w:rsidR="002B2CAF" w:rsidRPr="00F035AB">
        <w:rPr>
          <w:rFonts w:cs="Times New Roman"/>
          <w:szCs w:val="24"/>
        </w:rPr>
        <w:t>Nr. </w:t>
      </w:r>
      <w:r w:rsidR="0093185D" w:rsidRPr="00F035AB">
        <w:rPr>
          <w:rFonts w:cs="Times New Roman"/>
          <w:szCs w:val="24"/>
        </w:rPr>
        <w:t>130048117),</w:t>
      </w:r>
      <w:r w:rsidR="00DB26C7" w:rsidRPr="00F035AB">
        <w:rPr>
          <w:rFonts w:cs="Times New Roman"/>
          <w:szCs w:val="24"/>
        </w:rPr>
        <w:t xml:space="preserve"> kad</w:t>
      </w:r>
      <w:r w:rsidR="0093185D" w:rsidRPr="00F035AB">
        <w:rPr>
          <w:rFonts w:cs="Times New Roman"/>
          <w:szCs w:val="24"/>
        </w:rPr>
        <w:t xml:space="preserve"> pieteicējs bija vērsies prokuratūrā, lai mutvārdos iesniegtu informācijas pieprasījumu</w:t>
      </w:r>
      <w:r w:rsidR="00DB26C7" w:rsidRPr="00F035AB">
        <w:rPr>
          <w:rFonts w:cs="Times New Roman"/>
          <w:szCs w:val="24"/>
        </w:rPr>
        <w:t>s</w:t>
      </w:r>
      <w:r w:rsidR="00563F7B" w:rsidRPr="00F035AB">
        <w:rPr>
          <w:rFonts w:cs="Times New Roman"/>
          <w:szCs w:val="24"/>
        </w:rPr>
        <w:t>, vienlaikus veicot filmēšanu</w:t>
      </w:r>
      <w:r w:rsidR="00EE6AB3" w:rsidRPr="00F035AB">
        <w:rPr>
          <w:rFonts w:cs="Times New Roman"/>
          <w:szCs w:val="24"/>
        </w:rPr>
        <w:t>.</w:t>
      </w:r>
    </w:p>
    <w:p w14:paraId="0FE5960D" w14:textId="080C193B" w:rsidR="00E500AA" w:rsidRPr="00F035AB" w:rsidRDefault="007C2123" w:rsidP="00CE0C30">
      <w:pPr>
        <w:pStyle w:val="NoSpacing"/>
        <w:spacing w:line="276" w:lineRule="auto"/>
        <w:ind w:firstLine="567"/>
        <w:jc w:val="both"/>
        <w:rPr>
          <w:rFonts w:cs="Times New Roman"/>
          <w:szCs w:val="24"/>
          <w:lang w:eastAsia="ru-RU"/>
        </w:rPr>
      </w:pPr>
      <w:r w:rsidRPr="00F035AB">
        <w:rPr>
          <w:rFonts w:cs="Times New Roman"/>
          <w:szCs w:val="24"/>
          <w:lang w:eastAsia="ru-RU"/>
        </w:rPr>
        <w:t>Administratīvā a</w:t>
      </w:r>
      <w:r w:rsidR="00E500AA" w:rsidRPr="00F035AB">
        <w:rPr>
          <w:rFonts w:cs="Times New Roman"/>
          <w:szCs w:val="24"/>
          <w:lang w:eastAsia="ru-RU"/>
        </w:rPr>
        <w:t>pgabalt</w:t>
      </w:r>
      <w:r w:rsidR="00674EB2" w:rsidRPr="00F035AB">
        <w:rPr>
          <w:rFonts w:cs="Times New Roman"/>
          <w:szCs w:val="24"/>
          <w:lang w:eastAsia="ru-RU"/>
        </w:rPr>
        <w:t>iesa spriedumā ir atsaukusies gan uz</w:t>
      </w:r>
      <w:r w:rsidR="00AC5A84" w:rsidRPr="00F035AB">
        <w:rPr>
          <w:rFonts w:cs="Times New Roman"/>
          <w:szCs w:val="24"/>
          <w:lang w:eastAsia="ru-RU"/>
        </w:rPr>
        <w:t xml:space="preserve"> Prokuratūras likuma 9.pantu</w:t>
      </w:r>
      <w:r w:rsidR="00674EB2" w:rsidRPr="00F035AB">
        <w:rPr>
          <w:rFonts w:cs="Times New Roman"/>
          <w:szCs w:val="24"/>
          <w:lang w:eastAsia="ru-RU"/>
        </w:rPr>
        <w:t xml:space="preserve">, gan uz likuma „Par policiju” 22.panta pirmo daļu, saskaņā ar kuru </w:t>
      </w:r>
      <w:r w:rsidR="008213C6" w:rsidRPr="00F035AB">
        <w:rPr>
          <w:rFonts w:cs="Times New Roman"/>
          <w:szCs w:val="24"/>
          <w:lang w:eastAsia="ru-RU"/>
        </w:rPr>
        <w:t xml:space="preserve">prokurora un policijas darbinieku </w:t>
      </w:r>
      <w:r w:rsidR="00674EB2" w:rsidRPr="00F035AB">
        <w:rPr>
          <w:rFonts w:cs="Times New Roman"/>
          <w:szCs w:val="24"/>
          <w:lang w:eastAsia="ru-RU"/>
        </w:rPr>
        <w:t xml:space="preserve">likumīgās prasības ir obligāti jāizpilda, ja vien tās nav acīmredzami pretlikumīgas. Tā kā </w:t>
      </w:r>
      <w:r w:rsidR="00E500AA" w:rsidRPr="00F035AB">
        <w:rPr>
          <w:rFonts w:cs="Times New Roman"/>
          <w:szCs w:val="24"/>
          <w:lang w:eastAsia="ru-RU"/>
        </w:rPr>
        <w:t xml:space="preserve">apgabaltiesa </w:t>
      </w:r>
      <w:r w:rsidR="00674EB2" w:rsidRPr="00F035AB">
        <w:rPr>
          <w:rFonts w:cs="Times New Roman"/>
          <w:szCs w:val="24"/>
          <w:lang w:eastAsia="ru-RU"/>
        </w:rPr>
        <w:t xml:space="preserve">prasībā pārtraukt filmēšanu nesaskatīja acīmredzamu pretlikumību, </w:t>
      </w:r>
      <w:r w:rsidR="00E500AA" w:rsidRPr="00F035AB">
        <w:rPr>
          <w:rFonts w:cs="Times New Roman"/>
          <w:szCs w:val="24"/>
          <w:lang w:eastAsia="ru-RU"/>
        </w:rPr>
        <w:t xml:space="preserve">tiesa </w:t>
      </w:r>
      <w:r w:rsidR="00D116FA" w:rsidRPr="00F035AB">
        <w:rPr>
          <w:rFonts w:cs="Times New Roman"/>
          <w:szCs w:val="24"/>
          <w:lang w:eastAsia="ru-RU"/>
        </w:rPr>
        <w:t xml:space="preserve">pamatoti </w:t>
      </w:r>
      <w:r w:rsidR="00E500AA" w:rsidRPr="00F035AB">
        <w:rPr>
          <w:rFonts w:cs="Times New Roman"/>
          <w:szCs w:val="24"/>
          <w:lang w:eastAsia="ru-RU"/>
        </w:rPr>
        <w:t xml:space="preserve">atzina, ka </w:t>
      </w:r>
      <w:r w:rsidR="00674EB2" w:rsidRPr="00F035AB">
        <w:rPr>
          <w:rFonts w:cs="Times New Roman"/>
          <w:szCs w:val="24"/>
          <w:lang w:eastAsia="ru-RU"/>
        </w:rPr>
        <w:t>pieteicējam notikuma brīdī nebija pamata ignorēt amatpersonu aizrādījumus</w:t>
      </w:r>
      <w:r w:rsidR="00D116FA" w:rsidRPr="00F035AB">
        <w:rPr>
          <w:rFonts w:cs="Times New Roman"/>
          <w:szCs w:val="24"/>
          <w:lang w:eastAsia="ru-RU"/>
        </w:rPr>
        <w:t xml:space="preserve"> pārtraukt fi</w:t>
      </w:r>
      <w:r w:rsidR="0032310A" w:rsidRPr="00F035AB">
        <w:rPr>
          <w:rFonts w:cs="Times New Roman"/>
          <w:szCs w:val="24"/>
          <w:lang w:eastAsia="ru-RU"/>
        </w:rPr>
        <w:t>lmēšanu</w:t>
      </w:r>
      <w:r w:rsidR="00603861" w:rsidRPr="00F035AB">
        <w:rPr>
          <w:rFonts w:cs="Times New Roman"/>
          <w:szCs w:val="24"/>
          <w:lang w:eastAsia="ru-RU"/>
        </w:rPr>
        <w:t xml:space="preserve">. Savukārt, ja persona vēlējās iebilst pret </w:t>
      </w:r>
      <w:r w:rsidR="0032310A" w:rsidRPr="00F035AB">
        <w:rPr>
          <w:rFonts w:cs="Times New Roman"/>
          <w:szCs w:val="24"/>
          <w:lang w:eastAsia="ru-RU"/>
        </w:rPr>
        <w:t>šādu</w:t>
      </w:r>
      <w:r w:rsidR="005D1B95" w:rsidRPr="00F035AB">
        <w:rPr>
          <w:rFonts w:cs="Times New Roman"/>
          <w:szCs w:val="24"/>
          <w:lang w:eastAsia="ru-RU"/>
        </w:rPr>
        <w:t xml:space="preserve"> </w:t>
      </w:r>
      <w:r w:rsidR="00603861" w:rsidRPr="00F035AB">
        <w:rPr>
          <w:rFonts w:cs="Times New Roman"/>
          <w:szCs w:val="24"/>
          <w:lang w:eastAsia="ru-RU"/>
        </w:rPr>
        <w:t>procesa virzītāja rīcību</w:t>
      </w:r>
      <w:r w:rsidR="005D1B95" w:rsidRPr="00F035AB">
        <w:rPr>
          <w:rFonts w:cs="Times New Roman"/>
          <w:szCs w:val="24"/>
          <w:lang w:eastAsia="ru-RU"/>
        </w:rPr>
        <w:t xml:space="preserve"> (prasību pārtraukt filmēšanu)</w:t>
      </w:r>
      <w:r w:rsidR="00603861" w:rsidRPr="00F035AB">
        <w:rPr>
          <w:rFonts w:cs="Times New Roman"/>
          <w:szCs w:val="24"/>
          <w:lang w:eastAsia="ru-RU"/>
        </w:rPr>
        <w:t>,</w:t>
      </w:r>
      <w:r w:rsidR="006B34AA" w:rsidRPr="00F035AB">
        <w:rPr>
          <w:rFonts w:cs="Times New Roman"/>
          <w:szCs w:val="24"/>
          <w:lang w:eastAsia="ru-RU"/>
        </w:rPr>
        <w:t xml:space="preserve"> uzskatot to par </w:t>
      </w:r>
      <w:r w:rsidR="005D1B95" w:rsidRPr="00F035AB">
        <w:rPr>
          <w:rFonts w:cs="Times New Roman"/>
          <w:szCs w:val="24"/>
          <w:lang w:eastAsia="ru-RU"/>
        </w:rPr>
        <w:t>prettiesisk</w:t>
      </w:r>
      <w:r w:rsidR="006B34AA" w:rsidRPr="00F035AB">
        <w:rPr>
          <w:rFonts w:cs="Times New Roman"/>
          <w:szCs w:val="24"/>
          <w:lang w:eastAsia="ru-RU"/>
        </w:rPr>
        <w:t>u</w:t>
      </w:r>
      <w:r w:rsidR="005D1B95" w:rsidRPr="00F035AB">
        <w:rPr>
          <w:rFonts w:cs="Times New Roman"/>
          <w:szCs w:val="24"/>
          <w:lang w:eastAsia="ru-RU"/>
        </w:rPr>
        <w:t>, minētais jautājums</w:t>
      </w:r>
      <w:r w:rsidR="00603861" w:rsidRPr="00F035AB">
        <w:rPr>
          <w:rFonts w:cs="Times New Roman"/>
          <w:szCs w:val="24"/>
          <w:lang w:eastAsia="ru-RU"/>
        </w:rPr>
        <w:t xml:space="preserve"> bija </w:t>
      </w:r>
      <w:r w:rsidRPr="00F035AB">
        <w:rPr>
          <w:rFonts w:cs="Times New Roman"/>
          <w:szCs w:val="24"/>
          <w:lang w:eastAsia="ru-RU"/>
        </w:rPr>
        <w:t>risināms</w:t>
      </w:r>
      <w:r w:rsidR="00603861" w:rsidRPr="00F035AB">
        <w:rPr>
          <w:rFonts w:cs="Times New Roman"/>
          <w:szCs w:val="24"/>
          <w:lang w:eastAsia="ru-RU"/>
        </w:rPr>
        <w:t xml:space="preserve"> Kriminālprocesa likumā noteiktajā kārtībā.</w:t>
      </w:r>
    </w:p>
    <w:p w14:paraId="362578A3" w14:textId="296932B9" w:rsidR="0032310A" w:rsidRPr="00F035AB" w:rsidRDefault="002D62D1" w:rsidP="00CE0C30">
      <w:pPr>
        <w:pStyle w:val="NoSpacing"/>
        <w:spacing w:line="276" w:lineRule="auto"/>
        <w:ind w:firstLine="567"/>
        <w:jc w:val="both"/>
        <w:rPr>
          <w:rFonts w:cs="Times New Roman"/>
          <w:szCs w:val="24"/>
          <w:lang w:eastAsia="ru-RU"/>
        </w:rPr>
      </w:pPr>
      <w:r w:rsidRPr="00F035AB">
        <w:rPr>
          <w:rFonts w:cs="Times New Roman"/>
          <w:szCs w:val="24"/>
          <w:lang w:eastAsia="ru-RU"/>
        </w:rPr>
        <w:t>Tomēr j</w:t>
      </w:r>
      <w:r w:rsidR="001042EA" w:rsidRPr="00F035AB">
        <w:rPr>
          <w:rFonts w:cs="Times New Roman"/>
          <w:szCs w:val="24"/>
          <w:lang w:eastAsia="ru-RU"/>
        </w:rPr>
        <w:t>āņem vērā, ka p</w:t>
      </w:r>
      <w:r w:rsidR="006E7CE5" w:rsidRPr="00F035AB">
        <w:rPr>
          <w:rFonts w:cs="Times New Roman"/>
          <w:szCs w:val="24"/>
          <w:lang w:eastAsia="ru-RU"/>
        </w:rPr>
        <w:t xml:space="preserve">ieteikums izskatāmajā </w:t>
      </w:r>
      <w:r w:rsidR="0032310A" w:rsidRPr="00F035AB">
        <w:rPr>
          <w:rFonts w:cs="Times New Roman"/>
          <w:szCs w:val="24"/>
          <w:lang w:eastAsia="ru-RU"/>
        </w:rPr>
        <w:t>lietā</w:t>
      </w:r>
      <w:r w:rsidR="006E7CE5" w:rsidRPr="00F035AB">
        <w:rPr>
          <w:rFonts w:cs="Times New Roman"/>
          <w:szCs w:val="24"/>
          <w:lang w:eastAsia="ru-RU"/>
        </w:rPr>
        <w:t xml:space="preserve"> ir iesniegts par Valsts policijas darbinieku pieņemtajiem lēmumiem administratīvā pārkāpuma lietvedībā, nevis par procesa virzītāja rīcību</w:t>
      </w:r>
      <w:r w:rsidR="0032310A" w:rsidRPr="00F035AB">
        <w:rPr>
          <w:rFonts w:cs="Times New Roman"/>
          <w:szCs w:val="24"/>
          <w:lang w:eastAsia="ru-RU"/>
        </w:rPr>
        <w:t xml:space="preserve"> kriminālprocesa ietvaros</w:t>
      </w:r>
      <w:r w:rsidR="00A77ED4" w:rsidRPr="00F035AB">
        <w:rPr>
          <w:rFonts w:cs="Times New Roman"/>
          <w:szCs w:val="24"/>
          <w:lang w:eastAsia="ru-RU"/>
        </w:rPr>
        <w:t>, līdz ar to tiesai nebija jāpārbauda procesa virzītāja rīcības tiesiskums</w:t>
      </w:r>
      <w:r w:rsidR="006E7CE5" w:rsidRPr="00F035AB">
        <w:rPr>
          <w:rFonts w:cs="Times New Roman"/>
          <w:szCs w:val="24"/>
          <w:lang w:eastAsia="ru-RU"/>
        </w:rPr>
        <w:t>.</w:t>
      </w:r>
      <w:r w:rsidR="0032310A" w:rsidRPr="00F035AB">
        <w:rPr>
          <w:rFonts w:cs="Times New Roman"/>
          <w:szCs w:val="24"/>
          <w:lang w:eastAsia="ru-RU"/>
        </w:rPr>
        <w:t xml:space="preserve"> </w:t>
      </w:r>
      <w:r w:rsidR="00A77ED4" w:rsidRPr="00F035AB">
        <w:rPr>
          <w:rFonts w:cs="Times New Roman"/>
          <w:szCs w:val="24"/>
          <w:lang w:eastAsia="ru-RU"/>
        </w:rPr>
        <w:t xml:space="preserve">Taču vienlaikus </w:t>
      </w:r>
      <w:r w:rsidR="00DF2A75" w:rsidRPr="00F035AB">
        <w:rPr>
          <w:rFonts w:cs="Times New Roman"/>
          <w:szCs w:val="24"/>
          <w:lang w:eastAsia="ru-RU"/>
        </w:rPr>
        <w:t>Senāts</w:t>
      </w:r>
      <w:r w:rsidR="00C6083C" w:rsidRPr="00F035AB">
        <w:rPr>
          <w:rFonts w:cs="Times New Roman"/>
          <w:szCs w:val="24"/>
          <w:lang w:eastAsia="ru-RU"/>
        </w:rPr>
        <w:t xml:space="preserve"> atzīst, ka tiesa pamatoti ņēma vērā </w:t>
      </w:r>
      <w:r w:rsidR="0032310A" w:rsidRPr="00F035AB">
        <w:rPr>
          <w:rFonts w:cs="Times New Roman"/>
          <w:szCs w:val="24"/>
          <w:lang w:eastAsia="ru-RU"/>
        </w:rPr>
        <w:t>min</w:t>
      </w:r>
      <w:r w:rsidR="00C6083C" w:rsidRPr="00F035AB">
        <w:rPr>
          <w:rFonts w:cs="Times New Roman"/>
          <w:szCs w:val="24"/>
          <w:lang w:eastAsia="ru-RU"/>
        </w:rPr>
        <w:t>ētos</w:t>
      </w:r>
      <w:r w:rsidR="0032310A" w:rsidRPr="00F035AB">
        <w:rPr>
          <w:rFonts w:cs="Times New Roman"/>
          <w:szCs w:val="24"/>
          <w:lang w:eastAsia="ru-RU"/>
        </w:rPr>
        <w:t xml:space="preserve"> apstākļ</w:t>
      </w:r>
      <w:r w:rsidR="00C6083C" w:rsidRPr="00F035AB">
        <w:rPr>
          <w:rFonts w:cs="Times New Roman"/>
          <w:szCs w:val="24"/>
          <w:lang w:eastAsia="ru-RU"/>
        </w:rPr>
        <w:t>us,</w:t>
      </w:r>
      <w:r w:rsidR="0032310A" w:rsidRPr="00F035AB">
        <w:rPr>
          <w:rFonts w:cs="Times New Roman"/>
          <w:szCs w:val="24"/>
          <w:lang w:eastAsia="ru-RU"/>
        </w:rPr>
        <w:t xml:space="preserve"> </w:t>
      </w:r>
      <w:r w:rsidR="001042EA" w:rsidRPr="00F035AB">
        <w:rPr>
          <w:rFonts w:cs="Times New Roman"/>
          <w:szCs w:val="24"/>
          <w:lang w:eastAsia="ru-RU"/>
        </w:rPr>
        <w:t>iz</w:t>
      </w:r>
      <w:r w:rsidR="0032310A" w:rsidRPr="00F035AB">
        <w:rPr>
          <w:rFonts w:cs="Times New Roman"/>
          <w:szCs w:val="24"/>
          <w:lang w:eastAsia="ru-RU"/>
        </w:rPr>
        <w:t>vērtējot</w:t>
      </w:r>
      <w:r w:rsidR="00141E89" w:rsidRPr="00F035AB">
        <w:rPr>
          <w:rFonts w:cs="Times New Roman"/>
          <w:szCs w:val="24"/>
          <w:lang w:eastAsia="ru-RU"/>
        </w:rPr>
        <w:t xml:space="preserve"> </w:t>
      </w:r>
      <w:r w:rsidR="0032310A" w:rsidRPr="00F035AB">
        <w:rPr>
          <w:rFonts w:cs="Times New Roman"/>
          <w:szCs w:val="24"/>
          <w:lang w:eastAsia="ru-RU"/>
        </w:rPr>
        <w:t>Valsts policijas darbinieku rīcības pamatotību pieteicēja aizturēšan</w:t>
      </w:r>
      <w:r w:rsidR="00C6083C" w:rsidRPr="00F035AB">
        <w:rPr>
          <w:rFonts w:cs="Times New Roman"/>
          <w:szCs w:val="24"/>
          <w:lang w:eastAsia="ru-RU"/>
        </w:rPr>
        <w:t>ā</w:t>
      </w:r>
      <w:r w:rsidR="00843342" w:rsidRPr="00F035AB">
        <w:rPr>
          <w:rFonts w:cs="Times New Roman"/>
          <w:szCs w:val="24"/>
          <w:lang w:eastAsia="ru-RU"/>
        </w:rPr>
        <w:t>.</w:t>
      </w:r>
    </w:p>
    <w:p w14:paraId="4284525D" w14:textId="77777777" w:rsidR="006E7CE5" w:rsidRPr="00F035AB" w:rsidRDefault="006E7CE5" w:rsidP="00CE0C30">
      <w:pPr>
        <w:pStyle w:val="NoSpacing"/>
        <w:spacing w:line="276" w:lineRule="auto"/>
        <w:ind w:firstLine="567"/>
        <w:jc w:val="both"/>
        <w:rPr>
          <w:rFonts w:cs="Times New Roman"/>
          <w:szCs w:val="24"/>
          <w:lang w:eastAsia="ru-RU"/>
        </w:rPr>
      </w:pPr>
    </w:p>
    <w:p w14:paraId="093E133C" w14:textId="0FFF9C89" w:rsidR="00137D39" w:rsidRPr="00F035AB" w:rsidRDefault="00E500AA" w:rsidP="00CE0C30">
      <w:pPr>
        <w:pStyle w:val="NoSpacing"/>
        <w:spacing w:line="276" w:lineRule="auto"/>
        <w:ind w:firstLine="567"/>
        <w:jc w:val="both"/>
        <w:rPr>
          <w:rFonts w:cs="Times New Roman"/>
          <w:szCs w:val="24"/>
          <w:lang w:eastAsia="ru-RU"/>
        </w:rPr>
      </w:pPr>
      <w:r w:rsidRPr="00F035AB">
        <w:rPr>
          <w:rFonts w:cs="Times New Roman"/>
          <w:szCs w:val="24"/>
          <w:lang w:eastAsia="ru-RU"/>
        </w:rPr>
        <w:t>[</w:t>
      </w:r>
      <w:r w:rsidR="006874CC" w:rsidRPr="00F035AB">
        <w:rPr>
          <w:rFonts w:cs="Times New Roman"/>
          <w:szCs w:val="24"/>
          <w:lang w:eastAsia="ru-RU"/>
        </w:rPr>
        <w:t>10</w:t>
      </w:r>
      <w:r w:rsidRPr="00F035AB">
        <w:rPr>
          <w:rFonts w:cs="Times New Roman"/>
          <w:szCs w:val="24"/>
          <w:lang w:eastAsia="ru-RU"/>
        </w:rPr>
        <w:t xml:space="preserve">] </w:t>
      </w:r>
      <w:r w:rsidR="00FB696B" w:rsidRPr="00F035AB">
        <w:rPr>
          <w:rFonts w:cs="Times New Roman"/>
          <w:szCs w:val="24"/>
          <w:lang w:eastAsia="ru-RU"/>
        </w:rPr>
        <w:t xml:space="preserve">No tiesas sprieduma </w:t>
      </w:r>
      <w:r w:rsidR="00C43E65" w:rsidRPr="00F035AB">
        <w:rPr>
          <w:rFonts w:cs="Times New Roman"/>
          <w:szCs w:val="24"/>
          <w:lang w:eastAsia="ru-RU"/>
        </w:rPr>
        <w:t xml:space="preserve">un lietas </w:t>
      </w:r>
      <w:r w:rsidR="00FB696B" w:rsidRPr="00F035AB">
        <w:rPr>
          <w:rFonts w:cs="Times New Roman"/>
          <w:szCs w:val="24"/>
          <w:lang w:eastAsia="ru-RU"/>
        </w:rPr>
        <w:t xml:space="preserve">izriet, ka aizturēšanas brīdī policijas amatpersonas pieteicēja rīcībā, turpinot filmēšanu, saskatīja Latvijas Administratīvo pārkāpumu kodeksa 167.pantā paredzētā administratīvā pārkāpuma (sīkā huligānisma) pazīmes (iestādes darba traucēšana, amatpersonas likumīgā rīkojuma nepildīšana), par ko pieteicējs tika arī aizturēts. </w:t>
      </w:r>
      <w:r w:rsidR="00FB696B" w:rsidRPr="00F035AB">
        <w:rPr>
          <w:rFonts w:cs="Times New Roman"/>
          <w:szCs w:val="24"/>
          <w:lang w:eastAsia="ru-RU"/>
        </w:rPr>
        <w:lastRenderedPageBreak/>
        <w:t xml:space="preserve">Spriedumā secināts, ka, pastāvot pamatotām aizdomām, kas liecina, ka tiek izdarīts administratīvais pārkāpums, policijai bija tiesības pieteicēju aizturēt, lai pārtrauktu tā izdarīšanu. Proti, kodeksa 252.panta pirmā daļa </w:t>
      </w:r>
      <w:proofErr w:type="spellStart"/>
      <w:r w:rsidR="00FB696B" w:rsidRPr="00F035AB">
        <w:rPr>
          <w:rFonts w:cs="Times New Roman"/>
          <w:szCs w:val="24"/>
          <w:lang w:eastAsia="ru-RU"/>
        </w:rPr>
        <w:t>citstarp</w:t>
      </w:r>
      <w:proofErr w:type="spellEnd"/>
      <w:r w:rsidR="00FB696B" w:rsidRPr="00F035AB">
        <w:rPr>
          <w:rFonts w:cs="Times New Roman"/>
          <w:szCs w:val="24"/>
          <w:lang w:eastAsia="ru-RU"/>
        </w:rPr>
        <w:t xml:space="preserve"> paredz, ka personas administratīva aizturēšana kodeksā noteiktajos gadījumos ir atļauta, lai pārtrauktu administratīvos pārkāpumus, kad izliet</w:t>
      </w:r>
      <w:r w:rsidR="00EE6AB3" w:rsidRPr="00F035AB">
        <w:rPr>
          <w:rFonts w:cs="Times New Roman"/>
          <w:szCs w:val="24"/>
          <w:lang w:eastAsia="ru-RU"/>
        </w:rPr>
        <w:t>oti citi ietekmēšanas līdzekļi.</w:t>
      </w:r>
    </w:p>
    <w:p w14:paraId="4D90B590" w14:textId="78D7AC98" w:rsidR="00FA3022" w:rsidRPr="00F035AB" w:rsidRDefault="00FB696B" w:rsidP="00CE0C30">
      <w:pPr>
        <w:pStyle w:val="NoSpacing"/>
        <w:spacing w:line="276" w:lineRule="auto"/>
        <w:ind w:firstLine="567"/>
        <w:jc w:val="both"/>
        <w:rPr>
          <w:rFonts w:cs="Times New Roman"/>
          <w:szCs w:val="24"/>
          <w:lang w:eastAsia="ru-RU"/>
        </w:rPr>
      </w:pPr>
      <w:r w:rsidRPr="00F035AB">
        <w:rPr>
          <w:rFonts w:cs="Times New Roman"/>
          <w:szCs w:val="24"/>
          <w:lang w:eastAsia="ru-RU"/>
        </w:rPr>
        <w:t>Novērtējot lietā esošos pierādījumus, apgabaltiesa atzina, ka policijai, ievērojot kodeksa 254.panta 1.punktā noteiktās pilnvaras un aizturēšanas gadījumus (tostarp, ja ir izdarīts sīkais huligānisms vai ja notikusi ļaunprātīga nepakļaušanās policijas darbinieka likumīgajam rīkojumam vai prasībai), bija tiesisks pamats aizturēt pieteicēju, jo pieteicēja rīcības pārtraukšanu nebija iespējams panākt ar citu, mazāk sting</w:t>
      </w:r>
      <w:r w:rsidR="00B25EED" w:rsidRPr="00F035AB">
        <w:rPr>
          <w:rFonts w:cs="Times New Roman"/>
          <w:szCs w:val="24"/>
          <w:lang w:eastAsia="ru-RU"/>
        </w:rPr>
        <w:t>r</w:t>
      </w:r>
      <w:r w:rsidRPr="00F035AB">
        <w:rPr>
          <w:rFonts w:cs="Times New Roman"/>
          <w:szCs w:val="24"/>
          <w:lang w:eastAsia="ru-RU"/>
        </w:rPr>
        <w:t xml:space="preserve">āku pasākumu, t.i., izsakot pieteicējam prasību pārtraukt filmēšanu. </w:t>
      </w:r>
      <w:r w:rsidR="00C46D5D" w:rsidRPr="00F035AB">
        <w:rPr>
          <w:rFonts w:cs="Times New Roman"/>
          <w:szCs w:val="24"/>
          <w:lang w:eastAsia="ru-RU"/>
        </w:rPr>
        <w:t>Tā kā pieteicējs traucēja iestādes (prokuratūras) darbu, viņš tika nogādāts policijas iecirknī, lai tur veiktu likumā noteiktos pasākumus administratīvā pārkāpuma lietvedības nodrošināšanai, tostarp lai izdarītu pieteicēja personas aplūkošanu un mantu apskati, kuras laikā tika arī izņemts iespējamais pārkāpuma izdarīšanas rīks (mobilais telefons). No tiesas sprieduma izriet, ka apelācijas instances tiesa nav konstatējusi procesuālu pārkāpumu pieteicēja aizturēšanas procesā, jo kopējais aizturēšanas laiks nav pārsniedzis četras stundas, kā to paredz kodeksa 255.pants.</w:t>
      </w:r>
    </w:p>
    <w:p w14:paraId="591A1F64" w14:textId="77777777" w:rsidR="00D24DFA" w:rsidRPr="00F035AB" w:rsidRDefault="00D24DFA" w:rsidP="00CE0C30">
      <w:pPr>
        <w:pStyle w:val="NoSpacing"/>
        <w:spacing w:line="276" w:lineRule="auto"/>
        <w:ind w:firstLine="567"/>
        <w:jc w:val="both"/>
        <w:rPr>
          <w:rFonts w:cs="Times New Roman"/>
          <w:szCs w:val="24"/>
          <w:lang w:eastAsia="ru-RU"/>
        </w:rPr>
      </w:pPr>
    </w:p>
    <w:p w14:paraId="632113E2" w14:textId="77BE273F" w:rsidR="00B23FB6" w:rsidRPr="00F035AB" w:rsidRDefault="00B23FB6" w:rsidP="00B23FB6">
      <w:pPr>
        <w:pStyle w:val="NoSpacing"/>
        <w:spacing w:line="276" w:lineRule="auto"/>
        <w:ind w:firstLine="567"/>
        <w:jc w:val="both"/>
        <w:rPr>
          <w:rFonts w:cs="Times New Roman"/>
          <w:szCs w:val="24"/>
        </w:rPr>
      </w:pPr>
      <w:r w:rsidRPr="00F035AB">
        <w:rPr>
          <w:rFonts w:cs="Times New Roman"/>
          <w:szCs w:val="24"/>
        </w:rPr>
        <w:t>[11] Pieteicējs norāda, ka Valsts policijas 2016.gada 11.maija lēmumā par administratīvās lietvedības izbeigšanu ir dota atsauce uz kodeksa 175.panta pārkāpumu (pieteicējs nav izpildījis policijas darbinieka likumīgu rīkojumu), nevis uz šā kodeksa 167.pantu (sīkais huligānisms), saskaņā ar kuru viņš tika aizturēts.</w:t>
      </w:r>
    </w:p>
    <w:p w14:paraId="0704A829" w14:textId="77777777" w:rsidR="00B23FB6" w:rsidRPr="00F035AB" w:rsidRDefault="00B23FB6" w:rsidP="00B23FB6">
      <w:pPr>
        <w:pStyle w:val="NoSpacing"/>
        <w:spacing w:line="276" w:lineRule="auto"/>
        <w:ind w:firstLine="567"/>
        <w:jc w:val="both"/>
        <w:rPr>
          <w:rFonts w:cs="Times New Roman"/>
          <w:szCs w:val="24"/>
        </w:rPr>
      </w:pPr>
      <w:r w:rsidRPr="00F035AB">
        <w:rPr>
          <w:rFonts w:cs="Times New Roman"/>
          <w:szCs w:val="24"/>
        </w:rPr>
        <w:t>Senāta ieskatā, apstāklis, ka lēmumā par administratīvās lietvedības izbeigšanu ir norādīts cits kodeksa pants, nekā administratīvās aizturēšanas protokolā, konkrētajā gadījumā nevar radīt ietekmi uz pašu aizturēšanas pamatotību notikuma brīdī, tāpēc nevar arī ietekmēt jau iepriekš izdarīto tiesas secinājumu, ka pieteicēja aizturēšanai bija tiesisks pamats. Šajā saistībā papildus norādāms arī tas, ka administratīvās lietvedības ietvaros vispārīgi ir atļauts pārkvalificēt administratīvos pārkāpumus, ja tāda objektīva nepieciešamība rodas. Turklāt no kodeksa 254.panta 1.punkta satura izriet, ka policijas darbinieki ir tiesīgi administratīvā kārtā aizturēt personu ne tikai gadījumā, ja ir izdarīts sīkais huligānisms, bet arī tad, ja ir notikusi ļaunprātīga nepakļaušanās policijas darbinieka likumīgajam rīkojumam vai prasībai. Līdz ar to pieteicēja norādītajiem apstākļiem konkrētajā gadījumā nav nozīmes.</w:t>
      </w:r>
    </w:p>
    <w:p w14:paraId="336B4FA6" w14:textId="77777777" w:rsidR="001A64AE" w:rsidRPr="00F035AB" w:rsidRDefault="001A64AE" w:rsidP="00B23FB6">
      <w:pPr>
        <w:pStyle w:val="NoSpacing"/>
        <w:spacing w:line="276" w:lineRule="auto"/>
        <w:jc w:val="both"/>
        <w:rPr>
          <w:rFonts w:cs="Times New Roman"/>
          <w:szCs w:val="24"/>
          <w:lang w:eastAsia="ru-RU"/>
        </w:rPr>
      </w:pPr>
    </w:p>
    <w:p w14:paraId="031E0722" w14:textId="6586EAF4" w:rsidR="001A64AE" w:rsidRPr="00F035AB" w:rsidRDefault="001A64AE" w:rsidP="00CE0C30">
      <w:pPr>
        <w:spacing w:after="0" w:line="276" w:lineRule="auto"/>
        <w:ind w:firstLine="567"/>
        <w:jc w:val="both"/>
        <w:rPr>
          <w:rFonts w:cs="Times New Roman"/>
          <w:szCs w:val="24"/>
          <w:lang w:eastAsia="ru-RU"/>
        </w:rPr>
      </w:pPr>
      <w:r w:rsidRPr="00F035AB">
        <w:rPr>
          <w:rFonts w:cs="Times New Roman"/>
          <w:szCs w:val="24"/>
          <w:lang w:eastAsia="ru-RU"/>
        </w:rPr>
        <w:t>[</w:t>
      </w:r>
      <w:r w:rsidR="006874CC" w:rsidRPr="00F035AB">
        <w:rPr>
          <w:rFonts w:cs="Times New Roman"/>
          <w:szCs w:val="24"/>
          <w:lang w:eastAsia="ru-RU"/>
        </w:rPr>
        <w:t>1</w:t>
      </w:r>
      <w:r w:rsidR="00D24DFA" w:rsidRPr="00F035AB">
        <w:rPr>
          <w:rFonts w:cs="Times New Roman"/>
          <w:szCs w:val="24"/>
          <w:lang w:eastAsia="ru-RU"/>
        </w:rPr>
        <w:t>2</w:t>
      </w:r>
      <w:r w:rsidRPr="00F035AB">
        <w:rPr>
          <w:rFonts w:cs="Times New Roman"/>
          <w:szCs w:val="24"/>
          <w:lang w:eastAsia="ru-RU"/>
        </w:rPr>
        <w:t xml:space="preserve">] </w:t>
      </w:r>
      <w:r w:rsidR="00D96A80" w:rsidRPr="00F035AB">
        <w:rPr>
          <w:rFonts w:cs="Times New Roman"/>
          <w:szCs w:val="24"/>
          <w:lang w:eastAsia="ru-RU"/>
        </w:rPr>
        <w:t>L</w:t>
      </w:r>
      <w:r w:rsidR="00D479EA" w:rsidRPr="00F035AB">
        <w:rPr>
          <w:rFonts w:cs="Times New Roman"/>
          <w:szCs w:val="24"/>
          <w:lang w:eastAsia="ru-RU"/>
        </w:rPr>
        <w:t>ai arī K</w:t>
      </w:r>
      <w:r w:rsidRPr="00F035AB">
        <w:rPr>
          <w:rFonts w:cs="Times New Roman"/>
          <w:szCs w:val="24"/>
          <w:lang w:eastAsia="ru-RU"/>
        </w:rPr>
        <w:t>onvencijas 5.panta 1.punkta mērķis ir pasargāt personas no patvaļīgas brīvības at</w:t>
      </w:r>
      <w:r w:rsidR="00D479EA" w:rsidRPr="00F035AB">
        <w:rPr>
          <w:rFonts w:cs="Times New Roman"/>
          <w:szCs w:val="24"/>
          <w:lang w:eastAsia="ru-RU"/>
        </w:rPr>
        <w:t>ņemšanas, tomēr jāņem vērā, ka K</w:t>
      </w:r>
      <w:r w:rsidRPr="00F035AB">
        <w:rPr>
          <w:rFonts w:cs="Times New Roman"/>
          <w:szCs w:val="24"/>
          <w:lang w:eastAsia="ru-RU"/>
        </w:rPr>
        <w:t xml:space="preserve">onvencija un Eiropas Cilvēktiesību tiesas prakse neaizliedz personas brīvības atņemšanu vai ierobežošanu vispār, bet gan aizliedz to veikt bez tiesiska, t.i., likumā noteikta pamata (sal. </w:t>
      </w:r>
      <w:bookmarkStart w:id="1" w:name="_Hlk11671872"/>
      <w:r w:rsidRPr="00F035AB">
        <w:rPr>
          <w:rFonts w:cs="Times New Roman"/>
          <w:i/>
          <w:szCs w:val="24"/>
          <w:lang w:eastAsia="ru-RU"/>
        </w:rPr>
        <w:t>Senāta 2014.gada 22.oktobra sprieduma lietā Nr. SKA</w:t>
      </w:r>
      <w:r w:rsidR="00D24DFA" w:rsidRPr="00F035AB">
        <w:rPr>
          <w:rFonts w:cs="Times New Roman"/>
          <w:i/>
          <w:szCs w:val="24"/>
          <w:lang w:eastAsia="ru-RU"/>
        </w:rPr>
        <w:noBreakHyphen/>
      </w:r>
      <w:r w:rsidRPr="00F035AB">
        <w:rPr>
          <w:rFonts w:cs="Times New Roman"/>
          <w:i/>
          <w:szCs w:val="24"/>
          <w:lang w:eastAsia="ru-RU"/>
        </w:rPr>
        <w:t xml:space="preserve">863/2014 (A420347712) </w:t>
      </w:r>
      <w:bookmarkEnd w:id="1"/>
      <w:r w:rsidRPr="00F035AB">
        <w:rPr>
          <w:rFonts w:cs="Times New Roman"/>
          <w:i/>
          <w:szCs w:val="24"/>
          <w:lang w:eastAsia="ru-RU"/>
        </w:rPr>
        <w:t>6.punkts</w:t>
      </w:r>
      <w:r w:rsidR="00EE6AB3" w:rsidRPr="00F035AB">
        <w:rPr>
          <w:rFonts w:cs="Times New Roman"/>
          <w:szCs w:val="24"/>
          <w:lang w:eastAsia="ru-RU"/>
        </w:rPr>
        <w:t>).</w:t>
      </w:r>
    </w:p>
    <w:p w14:paraId="79E1928C" w14:textId="46ECB239" w:rsidR="00493E07" w:rsidRPr="00F035AB" w:rsidRDefault="001A64AE" w:rsidP="00CE0C30">
      <w:pPr>
        <w:spacing w:after="0" w:line="276" w:lineRule="auto"/>
        <w:ind w:firstLine="567"/>
        <w:jc w:val="both"/>
        <w:rPr>
          <w:rFonts w:cs="Times New Roman"/>
          <w:szCs w:val="24"/>
        </w:rPr>
      </w:pPr>
      <w:r w:rsidRPr="00F035AB">
        <w:rPr>
          <w:rFonts w:cs="Times New Roman"/>
          <w:szCs w:val="24"/>
          <w:lang w:eastAsia="ru-RU"/>
        </w:rPr>
        <w:t>Eiropas Cilvēktiesību tiesa ir sk</w:t>
      </w:r>
      <w:r w:rsidR="00D479EA" w:rsidRPr="00F035AB">
        <w:rPr>
          <w:rFonts w:cs="Times New Roman"/>
          <w:szCs w:val="24"/>
          <w:lang w:eastAsia="ru-RU"/>
        </w:rPr>
        <w:t>aidrojusi, ka, pamatojoties uz K</w:t>
      </w:r>
      <w:r w:rsidRPr="00F035AB">
        <w:rPr>
          <w:rFonts w:cs="Times New Roman"/>
          <w:szCs w:val="24"/>
          <w:lang w:eastAsia="ru-RU"/>
        </w:rPr>
        <w:t xml:space="preserve">onvencijas 5.panta </w:t>
      </w:r>
      <w:r w:rsidRPr="00F035AB">
        <w:rPr>
          <w:rFonts w:cs="Times New Roman"/>
          <w:szCs w:val="24"/>
        </w:rPr>
        <w:t xml:space="preserve">1.punkta „c” apakšpunktu, </w:t>
      </w:r>
      <w:r w:rsidRPr="00F035AB">
        <w:rPr>
          <w:rFonts w:cs="Times New Roman"/>
          <w:szCs w:val="24"/>
          <w:lang w:eastAsia="ru-RU"/>
        </w:rPr>
        <w:t>personu var  aizturēt tikai kriminālprocesa ietvaros ar mērķi nodot šo personu kompetentām valsts varas iestādēm, balstoties uz pamatotām aizdomām, ka tā ir pārkāpusi likumu (</w:t>
      </w:r>
      <w:bookmarkStart w:id="2" w:name="_Hlk11671879"/>
      <w:r w:rsidRPr="00F035AB">
        <w:rPr>
          <w:rFonts w:cs="Times New Roman"/>
          <w:i/>
          <w:szCs w:val="24"/>
          <w:lang w:eastAsia="ru-RU"/>
        </w:rPr>
        <w:t>Eiropas Cilvēktiesību tiesas 2018.gada 20.marta sprieduma lietā „</w:t>
      </w:r>
      <w:proofErr w:type="spellStart"/>
      <w:r w:rsidRPr="00F035AB">
        <w:rPr>
          <w:rFonts w:cs="Times New Roman"/>
          <w:i/>
          <w:szCs w:val="24"/>
          <w:lang w:eastAsia="ru-RU"/>
        </w:rPr>
        <w:t>Şahin</w:t>
      </w:r>
      <w:proofErr w:type="spellEnd"/>
      <w:r w:rsidRPr="00F035AB">
        <w:rPr>
          <w:rFonts w:cs="Times New Roman"/>
          <w:i/>
          <w:szCs w:val="24"/>
          <w:lang w:eastAsia="ru-RU"/>
        </w:rPr>
        <w:t> </w:t>
      </w:r>
      <w:proofErr w:type="spellStart"/>
      <w:r w:rsidRPr="00F035AB">
        <w:rPr>
          <w:rFonts w:cs="Times New Roman"/>
          <w:i/>
          <w:szCs w:val="24"/>
          <w:lang w:eastAsia="ru-RU"/>
        </w:rPr>
        <w:t>Alpay</w:t>
      </w:r>
      <w:proofErr w:type="spellEnd"/>
      <w:r w:rsidRPr="00F035AB">
        <w:rPr>
          <w:rFonts w:cs="Times New Roman"/>
          <w:i/>
          <w:szCs w:val="24"/>
          <w:lang w:eastAsia="ru-RU"/>
        </w:rPr>
        <w:t xml:space="preserve"> v. </w:t>
      </w:r>
      <w:proofErr w:type="spellStart"/>
      <w:r w:rsidRPr="00F035AB">
        <w:rPr>
          <w:rFonts w:cs="Times New Roman"/>
          <w:i/>
          <w:szCs w:val="24"/>
          <w:lang w:eastAsia="ru-RU"/>
        </w:rPr>
        <w:t>Turkey</w:t>
      </w:r>
      <w:proofErr w:type="spellEnd"/>
      <w:r w:rsidRPr="00F035AB">
        <w:rPr>
          <w:rFonts w:cs="Times New Roman"/>
          <w:i/>
          <w:szCs w:val="24"/>
          <w:lang w:eastAsia="ru-RU"/>
        </w:rPr>
        <w:t>”, iesniegums Nr. </w:t>
      </w:r>
      <w:hyperlink r:id="rId7" w:anchor="{%22appno%22:[%2216538/17%22]}" w:tgtFrame="_blank" w:history="1">
        <w:r w:rsidRPr="00F035AB">
          <w:rPr>
            <w:rFonts w:cs="Times New Roman"/>
            <w:i/>
            <w:szCs w:val="24"/>
            <w:lang w:eastAsia="ru-RU"/>
          </w:rPr>
          <w:t>16538/17</w:t>
        </w:r>
      </w:hyperlink>
      <w:r w:rsidRPr="00F035AB">
        <w:rPr>
          <w:rFonts w:cs="Times New Roman"/>
          <w:i/>
          <w:szCs w:val="24"/>
          <w:lang w:eastAsia="ru-RU"/>
        </w:rPr>
        <w:t xml:space="preserve">, </w:t>
      </w:r>
      <w:bookmarkEnd w:id="2"/>
      <w:r w:rsidRPr="00F035AB">
        <w:rPr>
          <w:rFonts w:cs="Times New Roman"/>
          <w:i/>
          <w:szCs w:val="24"/>
          <w:lang w:eastAsia="ru-RU"/>
        </w:rPr>
        <w:t>103</w:t>
      </w:r>
      <w:r w:rsidRPr="00F035AB">
        <w:rPr>
          <w:rFonts w:cs="Times New Roman"/>
          <w:i/>
          <w:szCs w:val="24"/>
        </w:rPr>
        <w:t>.punkts un tajā minētā judikatūra</w:t>
      </w:r>
      <w:r w:rsidRPr="00F035AB">
        <w:rPr>
          <w:rFonts w:cs="Times New Roman"/>
          <w:szCs w:val="24"/>
        </w:rPr>
        <w:t>)</w:t>
      </w:r>
      <w:r w:rsidRPr="00F035AB">
        <w:rPr>
          <w:rFonts w:cs="Times New Roman"/>
          <w:szCs w:val="24"/>
          <w:lang w:eastAsia="ru-RU"/>
        </w:rPr>
        <w:t xml:space="preserve">. Tomēr fakts, ka aizturētā persona nav tikusi </w:t>
      </w:r>
      <w:r w:rsidR="0049630B" w:rsidRPr="00F035AB">
        <w:rPr>
          <w:rFonts w:cs="Times New Roman"/>
          <w:szCs w:val="24"/>
          <w:lang w:eastAsia="ru-RU"/>
        </w:rPr>
        <w:t xml:space="preserve">ne </w:t>
      </w:r>
      <w:r w:rsidRPr="00F035AB">
        <w:rPr>
          <w:rFonts w:cs="Times New Roman"/>
          <w:szCs w:val="24"/>
          <w:lang w:eastAsia="ru-RU"/>
        </w:rPr>
        <w:t xml:space="preserve">apsūdzēta, ne arī nodota tiesai, katrā ziņā nenozīmē, ka šīs personas aizturēšanas mērķis nav bijis atbilstošs </w:t>
      </w:r>
      <w:r w:rsidR="00D479EA" w:rsidRPr="00F035AB">
        <w:rPr>
          <w:rFonts w:cs="Times New Roman"/>
          <w:szCs w:val="24"/>
          <w:lang w:eastAsia="ru-RU"/>
        </w:rPr>
        <w:t>K</w:t>
      </w:r>
      <w:r w:rsidRPr="00F035AB">
        <w:rPr>
          <w:rFonts w:cs="Times New Roman"/>
          <w:szCs w:val="24"/>
        </w:rPr>
        <w:t xml:space="preserve">onvencijas 5.panta 1.punkta „c” apakšpunktam. </w:t>
      </w:r>
      <w:r w:rsidRPr="00F035AB">
        <w:rPr>
          <w:rFonts w:cs="Times New Roman"/>
          <w:szCs w:val="24"/>
          <w:lang w:eastAsia="ru-RU"/>
        </w:rPr>
        <w:t xml:space="preserve">Šāda mērķa esība ir jāapsver neatkarīgi no tā, vai tas tiek sasniegts vai </w:t>
      </w:r>
      <w:r w:rsidR="0049630B" w:rsidRPr="00F035AB">
        <w:rPr>
          <w:rFonts w:cs="Times New Roman"/>
          <w:szCs w:val="24"/>
          <w:lang w:eastAsia="ru-RU"/>
        </w:rPr>
        <w:t>ne</w:t>
      </w:r>
      <w:r w:rsidRPr="00F035AB">
        <w:rPr>
          <w:rFonts w:cs="Times New Roman"/>
          <w:szCs w:val="24"/>
          <w:lang w:eastAsia="ru-RU"/>
        </w:rPr>
        <w:t>. K</w:t>
      </w:r>
      <w:r w:rsidRPr="00F035AB">
        <w:rPr>
          <w:rFonts w:cs="Times New Roman"/>
          <w:szCs w:val="24"/>
        </w:rPr>
        <w:t xml:space="preserve">ā </w:t>
      </w:r>
      <w:r w:rsidRPr="00F035AB">
        <w:rPr>
          <w:rFonts w:cs="Times New Roman"/>
          <w:szCs w:val="24"/>
        </w:rPr>
        <w:lastRenderedPageBreak/>
        <w:t xml:space="preserve">atzinusi </w:t>
      </w:r>
      <w:r w:rsidRPr="00F035AB">
        <w:rPr>
          <w:rFonts w:cs="Times New Roman"/>
          <w:szCs w:val="24"/>
          <w:lang w:eastAsia="ru-RU"/>
        </w:rPr>
        <w:t xml:space="preserve">Eiropas Cilvēktiesību tiesa, </w:t>
      </w:r>
      <w:r w:rsidRPr="00F035AB">
        <w:rPr>
          <w:rFonts w:cs="Times New Roman"/>
          <w:szCs w:val="24"/>
        </w:rPr>
        <w:t xml:space="preserve">lai uz pamatotām aizdomām balstīta aizturēšana būtu atbilstoša </w:t>
      </w:r>
      <w:r w:rsidR="00D479EA" w:rsidRPr="00F035AB">
        <w:rPr>
          <w:rFonts w:cs="Times New Roman"/>
          <w:szCs w:val="24"/>
        </w:rPr>
        <w:t>Ko</w:t>
      </w:r>
      <w:r w:rsidRPr="00F035AB">
        <w:rPr>
          <w:rFonts w:cs="Times New Roman"/>
          <w:szCs w:val="24"/>
        </w:rPr>
        <w:t>nvencijas 5.panta 1.punkta „c” apakšpunktam, nav nepieciešams, ka policija būtu ieguvusi pietiekamus pierādījumus, lai izvirzītu apsūdzību jau aizturēšanas brīdī vai laikā, kad persona atrodas aizturēšanā</w:t>
      </w:r>
      <w:r w:rsidRPr="00F035AB">
        <w:rPr>
          <w:rFonts w:cs="Times New Roman"/>
          <w:i/>
          <w:szCs w:val="24"/>
          <w:lang w:eastAsia="ru-RU"/>
        </w:rPr>
        <w:t xml:space="preserve"> </w:t>
      </w:r>
      <w:r w:rsidRPr="00F035AB">
        <w:rPr>
          <w:rFonts w:cs="Times New Roman"/>
          <w:szCs w:val="24"/>
          <w:lang w:eastAsia="ru-RU"/>
        </w:rPr>
        <w:t>(</w:t>
      </w:r>
      <w:bookmarkStart w:id="3" w:name="_Hlk11671891"/>
      <w:r w:rsidRPr="00F035AB">
        <w:rPr>
          <w:rFonts w:cs="Times New Roman"/>
          <w:i/>
          <w:szCs w:val="24"/>
          <w:lang w:eastAsia="ru-RU"/>
        </w:rPr>
        <w:t>Eiropas Cilvēktiesību tiesas 2014.gada 24.jūnija sprieduma lietā „</w:t>
      </w:r>
      <w:proofErr w:type="spellStart"/>
      <w:r w:rsidRPr="00F035AB">
        <w:rPr>
          <w:rFonts w:cs="Times New Roman"/>
          <w:i/>
          <w:szCs w:val="24"/>
          <w:lang w:eastAsia="ru-RU"/>
        </w:rPr>
        <w:t>Petkov</w:t>
      </w:r>
      <w:proofErr w:type="spellEnd"/>
      <w:r w:rsidRPr="00F035AB">
        <w:rPr>
          <w:rFonts w:cs="Times New Roman"/>
          <w:i/>
          <w:szCs w:val="24"/>
          <w:lang w:eastAsia="ru-RU"/>
        </w:rPr>
        <w:t xml:space="preserve"> </w:t>
      </w:r>
      <w:proofErr w:type="spellStart"/>
      <w:r w:rsidRPr="00F035AB">
        <w:rPr>
          <w:rFonts w:cs="Times New Roman"/>
          <w:i/>
          <w:szCs w:val="24"/>
          <w:lang w:eastAsia="ru-RU"/>
        </w:rPr>
        <w:t>and</w:t>
      </w:r>
      <w:proofErr w:type="spellEnd"/>
      <w:r w:rsidRPr="00F035AB">
        <w:rPr>
          <w:rFonts w:cs="Times New Roman"/>
          <w:i/>
          <w:szCs w:val="24"/>
          <w:lang w:eastAsia="ru-RU"/>
        </w:rPr>
        <w:t xml:space="preserve"> </w:t>
      </w:r>
      <w:proofErr w:type="spellStart"/>
      <w:r w:rsidRPr="00F035AB">
        <w:rPr>
          <w:rFonts w:cs="Times New Roman"/>
          <w:i/>
          <w:szCs w:val="24"/>
          <w:lang w:eastAsia="ru-RU"/>
        </w:rPr>
        <w:t>Profirov</w:t>
      </w:r>
      <w:proofErr w:type="spellEnd"/>
      <w:r w:rsidRPr="00F035AB">
        <w:rPr>
          <w:rFonts w:cs="Times New Roman"/>
          <w:i/>
          <w:szCs w:val="24"/>
          <w:lang w:eastAsia="ru-RU"/>
        </w:rPr>
        <w:t xml:space="preserve"> v. </w:t>
      </w:r>
      <w:proofErr w:type="spellStart"/>
      <w:r w:rsidRPr="00F035AB">
        <w:rPr>
          <w:rFonts w:cs="Times New Roman"/>
          <w:i/>
          <w:szCs w:val="24"/>
          <w:lang w:eastAsia="ru-RU"/>
        </w:rPr>
        <w:t>Bulgaria</w:t>
      </w:r>
      <w:proofErr w:type="spellEnd"/>
      <w:r w:rsidRPr="00F035AB">
        <w:rPr>
          <w:rFonts w:cs="Times New Roman"/>
          <w:i/>
          <w:szCs w:val="24"/>
          <w:lang w:eastAsia="ru-RU"/>
        </w:rPr>
        <w:t>”, iesniegumi Nr. </w:t>
      </w:r>
      <w:hyperlink r:id="rId8" w:anchor="{%22appno%22:[%2250027/08%22]}" w:tgtFrame="_blank" w:history="1">
        <w:r w:rsidRPr="00F035AB">
          <w:rPr>
            <w:rFonts w:cs="Times New Roman"/>
            <w:i/>
            <w:szCs w:val="24"/>
            <w:lang w:eastAsia="ru-RU"/>
          </w:rPr>
          <w:t>50027/08</w:t>
        </w:r>
      </w:hyperlink>
      <w:r w:rsidRPr="00F035AB">
        <w:rPr>
          <w:rFonts w:cs="Times New Roman"/>
          <w:i/>
          <w:szCs w:val="24"/>
          <w:lang w:eastAsia="ru-RU"/>
        </w:rPr>
        <w:t xml:space="preserve"> un Nr. </w:t>
      </w:r>
      <w:hyperlink r:id="rId9" w:anchor="{%22appno%22:[%2250781/09%22]}" w:tgtFrame="_blank" w:history="1">
        <w:r w:rsidRPr="00F035AB">
          <w:rPr>
            <w:rFonts w:cs="Times New Roman"/>
            <w:i/>
            <w:szCs w:val="24"/>
            <w:lang w:eastAsia="ru-RU"/>
          </w:rPr>
          <w:t>50781/09</w:t>
        </w:r>
      </w:hyperlink>
      <w:bookmarkEnd w:id="3"/>
      <w:r w:rsidRPr="00F035AB">
        <w:rPr>
          <w:rFonts w:cs="Times New Roman"/>
          <w:i/>
          <w:szCs w:val="24"/>
          <w:lang w:eastAsia="ru-RU"/>
        </w:rPr>
        <w:t>, 52.punkts</w:t>
      </w:r>
      <w:r w:rsidRPr="00F035AB">
        <w:rPr>
          <w:rFonts w:cs="Times New Roman"/>
          <w:szCs w:val="24"/>
          <w:lang w:eastAsia="ru-RU"/>
        </w:rPr>
        <w:t>)</w:t>
      </w:r>
      <w:r w:rsidRPr="00F035AB">
        <w:rPr>
          <w:rFonts w:cs="Times New Roman"/>
          <w:szCs w:val="24"/>
        </w:rPr>
        <w:t>. Tāpēc aizturēšanas laikā veiktajai nopratināšanai būtu tālāk jāsekmē kriminālizmeklēšana ar nolūku apstiprināt vai kliedēt tās šaubas, kas bija aizturēšanas pamatā. „Pamatotas aizdomas” par to, ka ir izdarīts pārkāpums, nozīmē tādu faktu vai informācijas esību, kas objektīvam novērotājam rada pārliecību, ka attiecīgā persona var būt pārkāpusi likumu. Savukārt termina „pamatots” iztulkošana ir atkarīga no visiem lietas apstākļiem. Tajā pašā laikā jāņem vērā, ka faktiem, kas rada pamatotas aizdomas, nav jāsasniedz tāds pats līmenis kā tiem, kas nepieciešami, lai pamatotu notiesāšanu vai pat apsūdzības uzrādīšanu (</w:t>
      </w:r>
      <w:bookmarkStart w:id="4" w:name="_Hlk11671900"/>
      <w:r w:rsidRPr="00F035AB">
        <w:rPr>
          <w:rFonts w:cs="Times New Roman"/>
          <w:i/>
          <w:szCs w:val="24"/>
          <w:lang w:eastAsia="ru-RU"/>
        </w:rPr>
        <w:t>Eiropas Cilvēktiesību tiesas 2014.gada 22.maija sprieduma lietā „</w:t>
      </w:r>
      <w:proofErr w:type="spellStart"/>
      <w:r w:rsidRPr="00F035AB">
        <w:rPr>
          <w:rFonts w:cs="Times New Roman"/>
          <w:i/>
          <w:szCs w:val="24"/>
          <w:lang w:eastAsia="ru-RU"/>
        </w:rPr>
        <w:t>Ilgar</w:t>
      </w:r>
      <w:proofErr w:type="spellEnd"/>
      <w:r w:rsidRPr="00F035AB">
        <w:rPr>
          <w:rFonts w:cs="Times New Roman"/>
          <w:i/>
          <w:szCs w:val="24"/>
          <w:lang w:eastAsia="ru-RU"/>
        </w:rPr>
        <w:t xml:space="preserve"> </w:t>
      </w:r>
      <w:proofErr w:type="spellStart"/>
      <w:r w:rsidRPr="00F035AB">
        <w:rPr>
          <w:rFonts w:cs="Times New Roman"/>
          <w:i/>
          <w:szCs w:val="24"/>
          <w:lang w:eastAsia="ru-RU"/>
        </w:rPr>
        <w:t>Mammadov</w:t>
      </w:r>
      <w:proofErr w:type="spellEnd"/>
      <w:r w:rsidRPr="00F035AB">
        <w:rPr>
          <w:rFonts w:cs="Times New Roman"/>
          <w:i/>
          <w:szCs w:val="24"/>
          <w:lang w:eastAsia="ru-RU"/>
        </w:rPr>
        <w:t xml:space="preserve"> v. </w:t>
      </w:r>
      <w:proofErr w:type="spellStart"/>
      <w:r w:rsidRPr="00F035AB">
        <w:rPr>
          <w:rFonts w:cs="Times New Roman"/>
          <w:i/>
          <w:szCs w:val="24"/>
          <w:lang w:eastAsia="ru-RU"/>
        </w:rPr>
        <w:t>Azerbaijan</w:t>
      </w:r>
      <w:proofErr w:type="spellEnd"/>
      <w:r w:rsidRPr="00F035AB">
        <w:rPr>
          <w:rFonts w:cs="Times New Roman"/>
          <w:i/>
          <w:szCs w:val="24"/>
          <w:lang w:eastAsia="ru-RU"/>
        </w:rPr>
        <w:t>”, iesniegums Nr. </w:t>
      </w:r>
      <w:hyperlink r:id="rId10" w:anchor="{%22appno%22:[%2215172/13%22]}" w:tgtFrame="_blank" w:history="1">
        <w:r w:rsidRPr="00F035AB">
          <w:rPr>
            <w:rFonts w:cs="Times New Roman"/>
            <w:i/>
            <w:szCs w:val="24"/>
            <w:lang w:eastAsia="ru-RU"/>
          </w:rPr>
          <w:t>15172/13</w:t>
        </w:r>
      </w:hyperlink>
      <w:r w:rsidRPr="00F035AB">
        <w:rPr>
          <w:rFonts w:cs="Times New Roman"/>
          <w:i/>
          <w:szCs w:val="24"/>
          <w:lang w:eastAsia="ru-RU"/>
        </w:rPr>
        <w:t xml:space="preserve">, </w:t>
      </w:r>
      <w:bookmarkEnd w:id="4"/>
      <w:r w:rsidRPr="00F035AB">
        <w:rPr>
          <w:rFonts w:cs="Times New Roman"/>
          <w:i/>
          <w:szCs w:val="24"/>
          <w:lang w:eastAsia="ru-RU"/>
        </w:rPr>
        <w:t>87., 88.punkts un tajā minētā judikatūra</w:t>
      </w:r>
      <w:r w:rsidR="00493E07" w:rsidRPr="00F035AB">
        <w:rPr>
          <w:rFonts w:cs="Times New Roman"/>
          <w:szCs w:val="24"/>
        </w:rPr>
        <w:t>).</w:t>
      </w:r>
    </w:p>
    <w:p w14:paraId="7FCD78C4" w14:textId="001EB877" w:rsidR="00BC43DF" w:rsidRPr="00F035AB" w:rsidRDefault="00453B70" w:rsidP="00BC43DF">
      <w:pPr>
        <w:spacing w:after="0" w:line="276" w:lineRule="auto"/>
        <w:ind w:firstLine="567"/>
        <w:jc w:val="both"/>
        <w:rPr>
          <w:rFonts w:cs="Times New Roman"/>
          <w:i/>
          <w:szCs w:val="24"/>
          <w:lang w:eastAsia="ru-RU"/>
        </w:rPr>
      </w:pPr>
      <w:r w:rsidRPr="00F035AB">
        <w:rPr>
          <w:rFonts w:cs="Times New Roman"/>
          <w:szCs w:val="24"/>
        </w:rPr>
        <w:t>Vienlaikus Eiropas Cilvēktiesību ties</w:t>
      </w:r>
      <w:r w:rsidR="00D479EA" w:rsidRPr="00F035AB">
        <w:rPr>
          <w:rFonts w:cs="Times New Roman"/>
          <w:szCs w:val="24"/>
        </w:rPr>
        <w:t>a ir norādījusi, ka atbilstoši K</w:t>
      </w:r>
      <w:r w:rsidRPr="00F035AB">
        <w:rPr>
          <w:rFonts w:cs="Times New Roman"/>
          <w:szCs w:val="24"/>
        </w:rPr>
        <w:t>onvencijas 5.panta 1.punkta „c” apakšpunktam personas aizturēšana</w:t>
      </w:r>
      <w:r w:rsidR="00D96A80" w:rsidRPr="00F035AB">
        <w:rPr>
          <w:rFonts w:cs="Times New Roman"/>
          <w:szCs w:val="24"/>
        </w:rPr>
        <w:t>i</w:t>
      </w:r>
      <w:r w:rsidRPr="00F035AB">
        <w:rPr>
          <w:rFonts w:cs="Times New Roman"/>
          <w:szCs w:val="24"/>
        </w:rPr>
        <w:t xml:space="preserve"> ir jābūt </w:t>
      </w:r>
      <w:r w:rsidR="00D96A80" w:rsidRPr="00F035AB">
        <w:rPr>
          <w:rFonts w:cs="Times New Roman"/>
          <w:szCs w:val="24"/>
        </w:rPr>
        <w:t xml:space="preserve">kā </w:t>
      </w:r>
      <w:r w:rsidRPr="00F035AB">
        <w:rPr>
          <w:rFonts w:cs="Times New Roman"/>
          <w:szCs w:val="24"/>
        </w:rPr>
        <w:t xml:space="preserve">samērīgam līdzeklim, lai sasniegtu nepieciešamo mērķi. Vietējām </w:t>
      </w:r>
      <w:r w:rsidR="00BC43DF" w:rsidRPr="00F035AB">
        <w:rPr>
          <w:rFonts w:cs="Times New Roman"/>
          <w:szCs w:val="24"/>
        </w:rPr>
        <w:t xml:space="preserve">varas </w:t>
      </w:r>
      <w:r w:rsidRPr="00F035AB">
        <w:rPr>
          <w:rFonts w:cs="Times New Roman"/>
          <w:szCs w:val="24"/>
        </w:rPr>
        <w:t>iestādēm vienmēr būtu jāapsver citu, mazāk stingrāku, pasākumu piemērošanu, nevis aizturēšanu</w:t>
      </w:r>
      <w:r w:rsidR="00D40050" w:rsidRPr="00F035AB">
        <w:rPr>
          <w:rFonts w:cs="Times New Roman"/>
          <w:szCs w:val="24"/>
        </w:rPr>
        <w:t>, respektīvi – tām ir pienākums apsvērt „alternatīvus līdzekļus”</w:t>
      </w:r>
      <w:r w:rsidR="00BC43DF" w:rsidRPr="00F035AB">
        <w:rPr>
          <w:rFonts w:cs="Times New Roman"/>
          <w:szCs w:val="24"/>
        </w:rPr>
        <w:t xml:space="preserve">. Iestādēm ir pārliecinoši jāpamato aizturēšanas nepieciešamība </w:t>
      </w:r>
      <w:r w:rsidRPr="00F035AB">
        <w:rPr>
          <w:rFonts w:cs="Times New Roman"/>
          <w:szCs w:val="24"/>
        </w:rPr>
        <w:t>(</w:t>
      </w:r>
      <w:bookmarkStart w:id="5" w:name="_Hlk11671909"/>
      <w:r w:rsidRPr="00F035AB">
        <w:rPr>
          <w:rFonts w:cs="Times New Roman"/>
          <w:i/>
          <w:szCs w:val="24"/>
          <w:lang w:eastAsia="ru-RU"/>
        </w:rPr>
        <w:t>Eiropas Cilvēktiesību tiesas 2008.gada 18.jūnija sprieduma lietā „</w:t>
      </w:r>
      <w:proofErr w:type="spellStart"/>
      <w:r w:rsidRPr="00F035AB">
        <w:rPr>
          <w:rFonts w:cs="Times New Roman"/>
          <w:i/>
          <w:szCs w:val="24"/>
          <w:lang w:eastAsia="ru-RU"/>
        </w:rPr>
        <w:t>Ladent</w:t>
      </w:r>
      <w:proofErr w:type="spellEnd"/>
      <w:r w:rsidRPr="00F035AB">
        <w:rPr>
          <w:rFonts w:cs="Times New Roman"/>
          <w:i/>
          <w:szCs w:val="24"/>
          <w:lang w:eastAsia="ru-RU"/>
        </w:rPr>
        <w:t xml:space="preserve"> v. </w:t>
      </w:r>
      <w:proofErr w:type="spellStart"/>
      <w:r w:rsidRPr="00F035AB">
        <w:rPr>
          <w:rFonts w:cs="Times New Roman"/>
          <w:i/>
          <w:szCs w:val="24"/>
          <w:lang w:eastAsia="ru-RU"/>
        </w:rPr>
        <w:t>Poland</w:t>
      </w:r>
      <w:proofErr w:type="spellEnd"/>
      <w:r w:rsidRPr="00F035AB">
        <w:rPr>
          <w:rFonts w:cs="Times New Roman"/>
          <w:i/>
          <w:szCs w:val="24"/>
          <w:lang w:eastAsia="ru-RU"/>
        </w:rPr>
        <w:t xml:space="preserve">”, iesniegums Nr. 11036/03, </w:t>
      </w:r>
      <w:bookmarkEnd w:id="5"/>
      <w:r w:rsidRPr="00F035AB">
        <w:rPr>
          <w:rFonts w:cs="Times New Roman"/>
          <w:i/>
          <w:szCs w:val="24"/>
          <w:lang w:eastAsia="ru-RU"/>
        </w:rPr>
        <w:t>55., 56.punkts un tajā minētā judikatūra</w:t>
      </w:r>
      <w:r w:rsidR="00BC43DF" w:rsidRPr="00F035AB">
        <w:rPr>
          <w:rFonts w:cs="Times New Roman"/>
          <w:i/>
          <w:szCs w:val="24"/>
          <w:lang w:eastAsia="ru-RU"/>
        </w:rPr>
        <w:t xml:space="preserve">, </w:t>
      </w:r>
      <w:bookmarkStart w:id="6" w:name="_Hlk11671917"/>
      <w:r w:rsidR="00BC43DF" w:rsidRPr="00F035AB">
        <w:rPr>
          <w:rFonts w:cs="Times New Roman"/>
          <w:i/>
          <w:szCs w:val="24"/>
          <w:lang w:eastAsia="ru-RU"/>
        </w:rPr>
        <w:t xml:space="preserve">2018.gada 22.oktobra sprieduma lietā „S., V. </w:t>
      </w:r>
      <w:proofErr w:type="spellStart"/>
      <w:r w:rsidR="00BC43DF" w:rsidRPr="00F035AB">
        <w:rPr>
          <w:rFonts w:cs="Times New Roman"/>
          <w:i/>
          <w:szCs w:val="24"/>
          <w:lang w:eastAsia="ru-RU"/>
        </w:rPr>
        <w:t>and</w:t>
      </w:r>
      <w:proofErr w:type="spellEnd"/>
      <w:r w:rsidR="00BC43DF" w:rsidRPr="00F035AB">
        <w:rPr>
          <w:rFonts w:cs="Times New Roman"/>
          <w:i/>
          <w:szCs w:val="24"/>
          <w:lang w:eastAsia="ru-RU"/>
        </w:rPr>
        <w:t xml:space="preserve"> A.</w:t>
      </w:r>
      <w:r w:rsidR="00D24DFA" w:rsidRPr="00F035AB">
        <w:rPr>
          <w:rFonts w:cs="Times New Roman"/>
          <w:i/>
          <w:szCs w:val="24"/>
          <w:lang w:eastAsia="ru-RU"/>
        </w:rPr>
        <w:t> </w:t>
      </w:r>
      <w:r w:rsidR="00BC43DF" w:rsidRPr="00F035AB">
        <w:rPr>
          <w:rFonts w:cs="Times New Roman"/>
          <w:i/>
          <w:szCs w:val="24"/>
          <w:lang w:eastAsia="ru-RU"/>
        </w:rPr>
        <w:t>v.</w:t>
      </w:r>
      <w:r w:rsidR="00D24DFA" w:rsidRPr="00F035AB">
        <w:rPr>
          <w:rFonts w:cs="Times New Roman"/>
          <w:i/>
          <w:szCs w:val="24"/>
          <w:lang w:eastAsia="ru-RU"/>
        </w:rPr>
        <w:t> </w:t>
      </w:r>
      <w:proofErr w:type="spellStart"/>
      <w:r w:rsidR="00BC43DF" w:rsidRPr="00F035AB">
        <w:rPr>
          <w:rFonts w:cs="Times New Roman"/>
          <w:i/>
          <w:szCs w:val="24"/>
          <w:lang w:eastAsia="ru-RU"/>
        </w:rPr>
        <w:t>Denmark</w:t>
      </w:r>
      <w:proofErr w:type="spellEnd"/>
      <w:r w:rsidR="00BC43DF" w:rsidRPr="00F035AB">
        <w:rPr>
          <w:rFonts w:cs="Times New Roman"/>
          <w:i/>
          <w:szCs w:val="24"/>
          <w:lang w:eastAsia="ru-RU"/>
        </w:rPr>
        <w:t xml:space="preserve">”, iesniegumi Nr. 35553/12, </w:t>
      </w:r>
      <w:r w:rsidR="00326DE9" w:rsidRPr="00F035AB">
        <w:rPr>
          <w:rFonts w:cs="Times New Roman"/>
          <w:i/>
          <w:szCs w:val="24"/>
          <w:lang w:eastAsia="ru-RU"/>
        </w:rPr>
        <w:t>Nr. </w:t>
      </w:r>
      <w:r w:rsidR="00BC43DF" w:rsidRPr="00F035AB">
        <w:rPr>
          <w:rFonts w:cs="Times New Roman"/>
          <w:i/>
          <w:szCs w:val="24"/>
          <w:lang w:eastAsia="ru-RU"/>
        </w:rPr>
        <w:t>36678/12 un</w:t>
      </w:r>
      <w:r w:rsidR="00326DE9" w:rsidRPr="00F035AB">
        <w:rPr>
          <w:rFonts w:cs="Times New Roman"/>
          <w:i/>
          <w:szCs w:val="24"/>
          <w:lang w:eastAsia="ru-RU"/>
        </w:rPr>
        <w:t xml:space="preserve"> Nr. </w:t>
      </w:r>
      <w:r w:rsidR="00BC43DF" w:rsidRPr="00F035AB">
        <w:rPr>
          <w:rFonts w:cs="Times New Roman"/>
          <w:i/>
          <w:szCs w:val="24"/>
          <w:lang w:eastAsia="ru-RU"/>
        </w:rPr>
        <w:t xml:space="preserve">36711/12, </w:t>
      </w:r>
      <w:bookmarkEnd w:id="6"/>
      <w:r w:rsidR="00BC43DF" w:rsidRPr="00F035AB">
        <w:rPr>
          <w:rFonts w:cs="Times New Roman"/>
          <w:i/>
          <w:szCs w:val="24"/>
          <w:lang w:eastAsia="ru-RU"/>
        </w:rPr>
        <w:t>77.punkts</w:t>
      </w:r>
      <w:r w:rsidR="00326DE9" w:rsidRPr="00F035AB">
        <w:rPr>
          <w:rFonts w:cs="Times New Roman"/>
          <w:i/>
          <w:szCs w:val="24"/>
          <w:lang w:eastAsia="ru-RU"/>
        </w:rPr>
        <w:t xml:space="preserve"> un tajā minētā judikatūra</w:t>
      </w:r>
      <w:r w:rsidR="003913B3" w:rsidRPr="00F035AB">
        <w:rPr>
          <w:rFonts w:cs="Times New Roman"/>
          <w:szCs w:val="24"/>
          <w:lang w:eastAsia="ru-RU"/>
        </w:rPr>
        <w:t>).</w:t>
      </w:r>
    </w:p>
    <w:p w14:paraId="5FD717B3" w14:textId="77777777" w:rsidR="00D40050" w:rsidRPr="00F035AB" w:rsidRDefault="00D40050" w:rsidP="00CE0C30">
      <w:pPr>
        <w:spacing w:after="0" w:line="276" w:lineRule="auto"/>
        <w:ind w:firstLine="567"/>
        <w:jc w:val="both"/>
        <w:rPr>
          <w:rFonts w:cs="Times New Roman"/>
          <w:szCs w:val="24"/>
        </w:rPr>
      </w:pPr>
    </w:p>
    <w:p w14:paraId="5BCBEBA6" w14:textId="03F08450" w:rsidR="00493E07" w:rsidRPr="00F035AB" w:rsidRDefault="006874CC" w:rsidP="00CE0C30">
      <w:pPr>
        <w:spacing w:after="0" w:line="276" w:lineRule="auto"/>
        <w:ind w:firstLine="567"/>
        <w:jc w:val="both"/>
        <w:rPr>
          <w:rFonts w:cs="Times New Roman"/>
          <w:szCs w:val="24"/>
        </w:rPr>
      </w:pPr>
      <w:r w:rsidRPr="00F035AB">
        <w:rPr>
          <w:rFonts w:cs="Times New Roman"/>
          <w:szCs w:val="24"/>
        </w:rPr>
        <w:t>[1</w:t>
      </w:r>
      <w:r w:rsidR="00B23FB6" w:rsidRPr="00F035AB">
        <w:rPr>
          <w:rFonts w:cs="Times New Roman"/>
          <w:szCs w:val="24"/>
        </w:rPr>
        <w:t>3</w:t>
      </w:r>
      <w:r w:rsidR="00493E07" w:rsidRPr="00F035AB">
        <w:rPr>
          <w:rFonts w:cs="Times New Roman"/>
          <w:szCs w:val="24"/>
        </w:rPr>
        <w:t xml:space="preserve">] </w:t>
      </w:r>
      <w:r w:rsidR="00D96A80" w:rsidRPr="00F035AB">
        <w:rPr>
          <w:rFonts w:cs="Times New Roman"/>
          <w:szCs w:val="24"/>
        </w:rPr>
        <w:t>Arī S</w:t>
      </w:r>
      <w:r w:rsidR="00493E07" w:rsidRPr="00F035AB">
        <w:rPr>
          <w:rFonts w:cs="Times New Roman"/>
          <w:szCs w:val="24"/>
        </w:rPr>
        <w:t>atversmes tiesa</w:t>
      </w:r>
      <w:r w:rsidR="00D96A80" w:rsidRPr="00F035AB">
        <w:rPr>
          <w:rFonts w:cs="Times New Roman"/>
          <w:szCs w:val="24"/>
        </w:rPr>
        <w:t xml:space="preserve"> ir</w:t>
      </w:r>
      <w:r w:rsidR="00493E07" w:rsidRPr="00F035AB">
        <w:rPr>
          <w:rFonts w:cs="Times New Roman"/>
          <w:szCs w:val="24"/>
        </w:rPr>
        <w:t xml:space="preserve"> </w:t>
      </w:r>
      <w:r w:rsidR="003913B3" w:rsidRPr="00F035AB">
        <w:rPr>
          <w:rFonts w:cs="Times New Roman"/>
          <w:szCs w:val="24"/>
        </w:rPr>
        <w:t>skaidrojusi</w:t>
      </w:r>
      <w:r w:rsidR="00493E07" w:rsidRPr="00F035AB">
        <w:rPr>
          <w:rFonts w:cs="Times New Roman"/>
          <w:szCs w:val="24"/>
        </w:rPr>
        <w:t xml:space="preserve">, ka </w:t>
      </w:r>
      <w:r w:rsidR="00D96A80" w:rsidRPr="00F035AB">
        <w:rPr>
          <w:rFonts w:cs="Times New Roman"/>
          <w:szCs w:val="24"/>
        </w:rPr>
        <w:t>s</w:t>
      </w:r>
      <w:r w:rsidR="00493E07" w:rsidRPr="00F035AB">
        <w:rPr>
          <w:rFonts w:cs="Times New Roman"/>
          <w:szCs w:val="24"/>
        </w:rPr>
        <w:t xml:space="preserve">amērīguma princips ir viens no svarīgākajiem demokrātiskas tiesiskas valsts vispārējiem tiesību principiem. Tas vispārīgā veidā noteic, ka starp valsts varas darbību, kas ierobežo personas tiesības un leģitīmās intereses, un mērķi, ko valsts vara ar šo darbību tiecas sasniegt, ir jābūt saprātīgām attiecībām. No demokrātiskas tiesiskas valsts pamatnormas atvasināms pienākums visām valsts institūcijām savā darbībā ievērot samērīguma principu. Valsts pārvaldei, īstenojot valsts varu, katrā konkrētajā gadījumā ir jāņem vērā samērīguma princips, it sevišķi gadījumos, kad ar valsts pārvaldes rīcību tiek ierobežotas personas pamattiesības </w:t>
      </w:r>
      <w:r w:rsidR="003913B3" w:rsidRPr="00F035AB">
        <w:rPr>
          <w:rFonts w:cs="Times New Roman"/>
          <w:szCs w:val="24"/>
        </w:rPr>
        <w:t>(</w:t>
      </w:r>
      <w:bookmarkStart w:id="7" w:name="_Hlk11671928"/>
      <w:r w:rsidR="003913B3" w:rsidRPr="00F035AB">
        <w:rPr>
          <w:rFonts w:cs="Times New Roman"/>
          <w:i/>
          <w:szCs w:val="24"/>
        </w:rPr>
        <w:t>Satversmes tiesas 2018.gada 14.decembra sprieduma lietā Nr. 2018</w:t>
      </w:r>
      <w:r w:rsidR="003913B3" w:rsidRPr="00F035AB">
        <w:rPr>
          <w:rFonts w:cs="Times New Roman"/>
          <w:i/>
          <w:szCs w:val="24"/>
        </w:rPr>
        <w:noBreakHyphen/>
        <w:t>09</w:t>
      </w:r>
      <w:r w:rsidR="003913B3" w:rsidRPr="00F035AB">
        <w:rPr>
          <w:rFonts w:cs="Times New Roman"/>
          <w:i/>
          <w:szCs w:val="24"/>
        </w:rPr>
        <w:noBreakHyphen/>
        <w:t xml:space="preserve">0103 </w:t>
      </w:r>
      <w:bookmarkEnd w:id="7"/>
      <w:r w:rsidR="003913B3" w:rsidRPr="00F035AB">
        <w:rPr>
          <w:rFonts w:cs="Times New Roman"/>
          <w:i/>
          <w:szCs w:val="24"/>
        </w:rPr>
        <w:t>14.3.punkts</w:t>
      </w:r>
      <w:r w:rsidR="003913B3" w:rsidRPr="00F035AB">
        <w:rPr>
          <w:rFonts w:cs="Times New Roman"/>
          <w:szCs w:val="24"/>
        </w:rPr>
        <w:t>).</w:t>
      </w:r>
    </w:p>
    <w:p w14:paraId="75E0E247" w14:textId="4537F4D6" w:rsidR="00493E07" w:rsidRPr="00F035AB" w:rsidRDefault="003913B3" w:rsidP="00CE0C30">
      <w:pPr>
        <w:spacing w:after="0" w:line="276" w:lineRule="auto"/>
        <w:ind w:firstLine="567"/>
        <w:jc w:val="both"/>
        <w:rPr>
          <w:rFonts w:cs="Times New Roman"/>
          <w:szCs w:val="24"/>
        </w:rPr>
      </w:pPr>
      <w:r w:rsidRPr="00F035AB">
        <w:rPr>
          <w:rFonts w:cs="Times New Roman"/>
          <w:szCs w:val="24"/>
        </w:rPr>
        <w:t xml:space="preserve">Vienlaikus Satversmes tiesa </w:t>
      </w:r>
      <w:r w:rsidR="00B61659" w:rsidRPr="00F035AB">
        <w:rPr>
          <w:rFonts w:cs="Times New Roman"/>
          <w:szCs w:val="24"/>
        </w:rPr>
        <w:t xml:space="preserve">ir </w:t>
      </w:r>
      <w:r w:rsidRPr="00F035AB">
        <w:rPr>
          <w:rFonts w:cs="Times New Roman"/>
          <w:szCs w:val="24"/>
        </w:rPr>
        <w:t xml:space="preserve">norādījusi, ka </w:t>
      </w:r>
      <w:r w:rsidR="00D96A80" w:rsidRPr="00F035AB">
        <w:rPr>
          <w:rFonts w:cs="Times New Roman"/>
          <w:szCs w:val="24"/>
        </w:rPr>
        <w:t>administratīvās atbildības tiesībās būtisks ir lietderības princips. Tas nozīmē, ka atbildīgajai institūcijai vai amatpersonai ir piešķirta rīcības brīvība, izlemjot, vai tā uzsāks administratīvo lietvedību, kādus procesuālos līdzekļus izmantos un vai administratīvā pārkāpuma lietu noslēgs ar lēmumu par administratīvās atbildības noteikšanu par konkrēto pārkāpumu. Izraudzītajiem līdzekļiem jābūt mērķtiecīgiem un samērojamiem ar publiskās kārtības apdraudējumu un tā raksturu katrā individuālajā gadījumā</w:t>
      </w:r>
      <w:r w:rsidRPr="00F035AB">
        <w:rPr>
          <w:rFonts w:cs="Times New Roman"/>
          <w:szCs w:val="24"/>
        </w:rPr>
        <w:t xml:space="preserve"> (</w:t>
      </w:r>
      <w:r w:rsidRPr="00F035AB">
        <w:rPr>
          <w:rFonts w:cs="Times New Roman"/>
          <w:i/>
          <w:szCs w:val="24"/>
        </w:rPr>
        <w:t>turpat</w:t>
      </w:r>
      <w:r w:rsidRPr="00F035AB">
        <w:rPr>
          <w:rFonts w:cs="Times New Roman"/>
          <w:szCs w:val="24"/>
        </w:rPr>
        <w:t>).</w:t>
      </w:r>
    </w:p>
    <w:p w14:paraId="43B4C05F" w14:textId="51095F9E" w:rsidR="003913B3" w:rsidRPr="00F035AB" w:rsidRDefault="003913B3" w:rsidP="003913B3">
      <w:pPr>
        <w:spacing w:after="0" w:line="276" w:lineRule="auto"/>
        <w:ind w:firstLine="567"/>
        <w:jc w:val="both"/>
        <w:rPr>
          <w:rFonts w:cs="Times New Roman"/>
          <w:szCs w:val="24"/>
        </w:rPr>
      </w:pPr>
      <w:r w:rsidRPr="00F035AB">
        <w:rPr>
          <w:rFonts w:cs="Times New Roman"/>
          <w:szCs w:val="24"/>
        </w:rPr>
        <w:t>Tādējādi</w:t>
      </w:r>
      <w:r w:rsidR="00B61659" w:rsidRPr="00F035AB">
        <w:rPr>
          <w:rFonts w:cs="Times New Roman"/>
          <w:szCs w:val="24"/>
        </w:rPr>
        <w:t>, ievērojot teikto, iestādei ir</w:t>
      </w:r>
      <w:r w:rsidRPr="00F035AB">
        <w:rPr>
          <w:rFonts w:cs="Times New Roman"/>
          <w:szCs w:val="24"/>
        </w:rPr>
        <w:t xml:space="preserve"> pienākums pārliecinoši pierādīt, ka </w:t>
      </w:r>
      <w:r w:rsidR="00B61659" w:rsidRPr="00F035AB">
        <w:rPr>
          <w:rFonts w:cs="Times New Roman"/>
          <w:szCs w:val="24"/>
        </w:rPr>
        <w:t>pieteicēja</w:t>
      </w:r>
      <w:r w:rsidRPr="00F035AB">
        <w:rPr>
          <w:rFonts w:cs="Times New Roman"/>
          <w:szCs w:val="24"/>
        </w:rPr>
        <w:t xml:space="preserve"> aizturēšana </w:t>
      </w:r>
      <w:r w:rsidR="00B61659" w:rsidRPr="00F035AB">
        <w:rPr>
          <w:rFonts w:cs="Times New Roman"/>
          <w:szCs w:val="24"/>
        </w:rPr>
        <w:t xml:space="preserve">izskatāmajā gadījumā </w:t>
      </w:r>
      <w:r w:rsidRPr="00F035AB">
        <w:rPr>
          <w:rFonts w:cs="Times New Roman"/>
          <w:szCs w:val="24"/>
        </w:rPr>
        <w:t>ir bijusi samērīga jeb, citiem vārdiem sakot, tā konkrētajos apstākļos ir bijusi patiešām nepieciešama.</w:t>
      </w:r>
    </w:p>
    <w:p w14:paraId="323C61EC" w14:textId="77777777" w:rsidR="00D96A80" w:rsidRPr="00F035AB" w:rsidRDefault="00D96A80" w:rsidP="00CE0C30">
      <w:pPr>
        <w:spacing w:after="0" w:line="276" w:lineRule="auto"/>
        <w:ind w:firstLine="567"/>
        <w:jc w:val="both"/>
        <w:rPr>
          <w:rFonts w:cs="Times New Roman"/>
          <w:szCs w:val="24"/>
        </w:rPr>
      </w:pPr>
    </w:p>
    <w:p w14:paraId="745BE94D" w14:textId="3D10933B" w:rsidR="00137D39" w:rsidRPr="00F035AB" w:rsidRDefault="00120855" w:rsidP="00CE0C30">
      <w:pPr>
        <w:pStyle w:val="NoSpacing"/>
        <w:spacing w:line="276" w:lineRule="auto"/>
        <w:ind w:firstLine="567"/>
        <w:jc w:val="both"/>
        <w:rPr>
          <w:rFonts w:cs="Times New Roman"/>
          <w:szCs w:val="24"/>
          <w:lang w:eastAsia="ru-RU"/>
        </w:rPr>
      </w:pPr>
      <w:r w:rsidRPr="00F035AB">
        <w:rPr>
          <w:rFonts w:cs="Times New Roman"/>
          <w:szCs w:val="24"/>
          <w:lang w:eastAsia="ru-RU"/>
        </w:rPr>
        <w:t>[</w:t>
      </w:r>
      <w:r w:rsidR="00C260C7" w:rsidRPr="00F035AB">
        <w:rPr>
          <w:rFonts w:cs="Times New Roman"/>
          <w:szCs w:val="24"/>
          <w:lang w:eastAsia="ru-RU"/>
        </w:rPr>
        <w:t>1</w:t>
      </w:r>
      <w:r w:rsidR="00B23FB6" w:rsidRPr="00F035AB">
        <w:rPr>
          <w:rFonts w:cs="Times New Roman"/>
          <w:szCs w:val="24"/>
          <w:lang w:eastAsia="ru-RU"/>
        </w:rPr>
        <w:t>4</w:t>
      </w:r>
      <w:r w:rsidRPr="00F035AB">
        <w:rPr>
          <w:rFonts w:cs="Times New Roman"/>
          <w:szCs w:val="24"/>
          <w:lang w:eastAsia="ru-RU"/>
        </w:rPr>
        <w:t xml:space="preserve">] </w:t>
      </w:r>
      <w:r w:rsidR="007E1194" w:rsidRPr="00F035AB">
        <w:rPr>
          <w:rFonts w:cs="Times New Roman"/>
          <w:szCs w:val="24"/>
          <w:lang w:eastAsia="ru-RU"/>
        </w:rPr>
        <w:t>Pieteicējs argumentē, ka policijai bija iespēja izmantot citu – mazāk ierobežojoš</w:t>
      </w:r>
      <w:r w:rsidR="00FA3022" w:rsidRPr="00F035AB">
        <w:rPr>
          <w:rFonts w:cs="Times New Roman"/>
          <w:szCs w:val="24"/>
          <w:lang w:eastAsia="ru-RU"/>
        </w:rPr>
        <w:t>u – līdzekli nekā</w:t>
      </w:r>
      <w:r w:rsidR="00FA05CA" w:rsidRPr="00F035AB">
        <w:rPr>
          <w:rFonts w:cs="Times New Roman"/>
          <w:szCs w:val="24"/>
          <w:lang w:eastAsia="ru-RU"/>
        </w:rPr>
        <w:t xml:space="preserve"> personas</w:t>
      </w:r>
      <w:r w:rsidR="00FA3022" w:rsidRPr="00F035AB">
        <w:rPr>
          <w:rFonts w:cs="Times New Roman"/>
          <w:szCs w:val="24"/>
          <w:lang w:eastAsia="ru-RU"/>
        </w:rPr>
        <w:t xml:space="preserve"> administratīv</w:t>
      </w:r>
      <w:r w:rsidR="00FA05CA" w:rsidRPr="00F035AB">
        <w:rPr>
          <w:rFonts w:cs="Times New Roman"/>
          <w:szCs w:val="24"/>
          <w:lang w:eastAsia="ru-RU"/>
        </w:rPr>
        <w:t>o</w:t>
      </w:r>
      <w:r w:rsidR="007E1194" w:rsidRPr="00F035AB">
        <w:rPr>
          <w:rFonts w:cs="Times New Roman"/>
          <w:szCs w:val="24"/>
          <w:lang w:eastAsia="ru-RU"/>
        </w:rPr>
        <w:t xml:space="preserve"> aizturēšan</w:t>
      </w:r>
      <w:r w:rsidR="00FA05CA" w:rsidRPr="00F035AB">
        <w:rPr>
          <w:rFonts w:cs="Times New Roman"/>
          <w:szCs w:val="24"/>
          <w:lang w:eastAsia="ru-RU"/>
        </w:rPr>
        <w:t>u</w:t>
      </w:r>
      <w:r w:rsidR="007E1194" w:rsidRPr="00F035AB">
        <w:rPr>
          <w:rFonts w:cs="Times New Roman"/>
          <w:szCs w:val="24"/>
          <w:lang w:eastAsia="ru-RU"/>
        </w:rPr>
        <w:t xml:space="preserve">, proti, notikuma brīdī izņemt mobilo telefonu, </w:t>
      </w:r>
      <w:r w:rsidR="007E1194" w:rsidRPr="00F035AB">
        <w:rPr>
          <w:rFonts w:cs="Times New Roman"/>
          <w:szCs w:val="24"/>
          <w:lang w:eastAsia="ru-RU"/>
        </w:rPr>
        <w:lastRenderedPageBreak/>
        <w:t xml:space="preserve">tādējādi pārtraucot </w:t>
      </w:r>
      <w:r w:rsidR="00733437" w:rsidRPr="00F035AB">
        <w:rPr>
          <w:rFonts w:cs="Times New Roman"/>
          <w:szCs w:val="24"/>
          <w:lang w:eastAsia="ru-RU"/>
        </w:rPr>
        <w:t xml:space="preserve">arī </w:t>
      </w:r>
      <w:r w:rsidR="007E1194" w:rsidRPr="00F035AB">
        <w:rPr>
          <w:rFonts w:cs="Times New Roman"/>
          <w:szCs w:val="24"/>
          <w:lang w:eastAsia="ru-RU"/>
        </w:rPr>
        <w:t>filmēšanu.</w:t>
      </w:r>
      <w:r w:rsidR="00FA05CA" w:rsidRPr="00F035AB">
        <w:rPr>
          <w:rFonts w:cs="Times New Roman"/>
          <w:szCs w:val="24"/>
          <w:lang w:eastAsia="ru-RU"/>
        </w:rPr>
        <w:t xml:space="preserve"> Tātad pieteicējs norāda</w:t>
      </w:r>
      <w:r w:rsidR="00733437" w:rsidRPr="00F035AB">
        <w:rPr>
          <w:rFonts w:cs="Times New Roman"/>
          <w:szCs w:val="24"/>
          <w:lang w:eastAsia="ru-RU"/>
        </w:rPr>
        <w:t xml:space="preserve"> uz to</w:t>
      </w:r>
      <w:r w:rsidR="00FA05CA" w:rsidRPr="00F035AB">
        <w:rPr>
          <w:rFonts w:cs="Times New Roman"/>
          <w:szCs w:val="24"/>
          <w:lang w:eastAsia="ru-RU"/>
        </w:rPr>
        <w:t xml:space="preserve">, ka viņa aizturēšana </w:t>
      </w:r>
      <w:r w:rsidR="00B61659" w:rsidRPr="00F035AB">
        <w:rPr>
          <w:rFonts w:cs="Times New Roman"/>
          <w:szCs w:val="24"/>
          <w:lang w:eastAsia="ru-RU"/>
        </w:rPr>
        <w:t xml:space="preserve">nav bijusi </w:t>
      </w:r>
      <w:r w:rsidR="00FA05CA" w:rsidRPr="00F035AB">
        <w:rPr>
          <w:rFonts w:cs="Times New Roman"/>
          <w:szCs w:val="24"/>
          <w:lang w:eastAsia="ru-RU"/>
        </w:rPr>
        <w:t>samērīga.</w:t>
      </w:r>
    </w:p>
    <w:p w14:paraId="052A5A44" w14:textId="5FB8EC31" w:rsidR="00B02A98" w:rsidRPr="00F035AB" w:rsidRDefault="00350EFF" w:rsidP="004C647C">
      <w:pPr>
        <w:pStyle w:val="NoSpacing"/>
        <w:spacing w:line="276" w:lineRule="auto"/>
        <w:ind w:firstLine="567"/>
        <w:jc w:val="both"/>
        <w:rPr>
          <w:rFonts w:cs="Times New Roman"/>
          <w:szCs w:val="24"/>
          <w:lang w:eastAsia="ru-RU"/>
        </w:rPr>
      </w:pPr>
      <w:r w:rsidRPr="00F035AB">
        <w:rPr>
          <w:rFonts w:cs="Times New Roman"/>
          <w:szCs w:val="24"/>
          <w:lang w:eastAsia="ru-RU"/>
        </w:rPr>
        <w:t>Senāts konstatē, ka a</w:t>
      </w:r>
      <w:r w:rsidRPr="00F035AB">
        <w:rPr>
          <w:rFonts w:cs="Times New Roman"/>
          <w:iCs/>
          <w:szCs w:val="24"/>
        </w:rPr>
        <w:t>pgabaltiesa spriedumā nav vērtējusi, vai ierīces izņemšana notikuma brīdī varēja kalpot kā mazāk ierobežojošs līdzeklis, ar kura palīdzību būtu iespējams sasniegt nepieciešamo mērķi.</w:t>
      </w:r>
    </w:p>
    <w:p w14:paraId="7FCA16A9" w14:textId="619CD22C" w:rsidR="001B75DC" w:rsidRPr="00F035AB" w:rsidRDefault="00350640" w:rsidP="00CE0C30">
      <w:pPr>
        <w:pStyle w:val="NoSpacing"/>
        <w:spacing w:line="276" w:lineRule="auto"/>
        <w:ind w:firstLine="567"/>
        <w:jc w:val="both"/>
        <w:rPr>
          <w:rFonts w:cs="Times New Roman"/>
          <w:szCs w:val="24"/>
          <w:lang w:eastAsia="ru-RU"/>
        </w:rPr>
      </w:pPr>
      <w:r w:rsidRPr="00F035AB">
        <w:rPr>
          <w:rFonts w:cs="Times New Roman"/>
          <w:szCs w:val="24"/>
          <w:lang w:eastAsia="ru-RU"/>
        </w:rPr>
        <w:t>Tā kā</w:t>
      </w:r>
      <w:r w:rsidRPr="00F035AB">
        <w:rPr>
          <w:rFonts w:cs="Times New Roman"/>
          <w:iCs/>
          <w:szCs w:val="24"/>
        </w:rPr>
        <w:t xml:space="preserve"> apgabaltiesa nav vērtējusi</w:t>
      </w:r>
      <w:r w:rsidR="00B02A98" w:rsidRPr="00F035AB">
        <w:rPr>
          <w:rFonts w:cs="Times New Roman"/>
          <w:iCs/>
          <w:szCs w:val="24"/>
        </w:rPr>
        <w:t>, vai nebija iespējams mazāk ierobežojoš</w:t>
      </w:r>
      <w:r w:rsidR="00DC6B5B" w:rsidRPr="00F035AB">
        <w:rPr>
          <w:rFonts w:cs="Times New Roman"/>
          <w:iCs/>
          <w:szCs w:val="24"/>
        </w:rPr>
        <w:t>s</w:t>
      </w:r>
      <w:r w:rsidR="00B02A98" w:rsidRPr="00F035AB">
        <w:rPr>
          <w:rFonts w:cs="Times New Roman"/>
          <w:iCs/>
          <w:szCs w:val="24"/>
        </w:rPr>
        <w:t xml:space="preserve"> līdzekli</w:t>
      </w:r>
      <w:r w:rsidR="00DC6B5B" w:rsidRPr="00F035AB">
        <w:rPr>
          <w:rFonts w:cs="Times New Roman"/>
          <w:iCs/>
          <w:szCs w:val="24"/>
        </w:rPr>
        <w:t>s</w:t>
      </w:r>
      <w:r w:rsidRPr="00F035AB">
        <w:rPr>
          <w:rFonts w:cs="Times New Roman"/>
          <w:iCs/>
          <w:szCs w:val="24"/>
        </w:rPr>
        <w:t>, bet</w:t>
      </w:r>
      <w:r w:rsidR="00806540" w:rsidRPr="00F035AB">
        <w:rPr>
          <w:rFonts w:cs="Times New Roman"/>
          <w:iCs/>
          <w:szCs w:val="24"/>
        </w:rPr>
        <w:t xml:space="preserve"> Konvencijas 5.panta 1.punkta „c” apakšpunkts </w:t>
      </w:r>
      <w:r w:rsidRPr="00F035AB">
        <w:rPr>
          <w:rFonts w:cs="Times New Roman"/>
          <w:iCs/>
          <w:szCs w:val="24"/>
        </w:rPr>
        <w:t xml:space="preserve">un kodeksa 252.pants </w:t>
      </w:r>
      <w:r w:rsidR="00806540" w:rsidRPr="00F035AB">
        <w:rPr>
          <w:rFonts w:cs="Times New Roman"/>
          <w:iCs/>
          <w:szCs w:val="24"/>
        </w:rPr>
        <w:t>prasa, lai personas aizturēšana (brīvības atņemšana) būtu samērīga, proti, lai tā tiktu piemērota tikai kā galējais līdzeklis</w:t>
      </w:r>
      <w:r w:rsidR="00806540" w:rsidRPr="00F035AB">
        <w:rPr>
          <w:rFonts w:cs="Times New Roman"/>
          <w:szCs w:val="24"/>
          <w:lang w:eastAsia="ru-RU"/>
        </w:rPr>
        <w:t xml:space="preserve">, kad citi pieejamie līdzekļi ir izsmelti vai tie acīmredzami nesniegtu vajadzīgo rezultātu, </w:t>
      </w:r>
      <w:r w:rsidRPr="00F035AB">
        <w:rPr>
          <w:rFonts w:cs="Times New Roman"/>
          <w:szCs w:val="24"/>
          <w:lang w:eastAsia="ru-RU"/>
        </w:rPr>
        <w:t xml:space="preserve">tad </w:t>
      </w:r>
      <w:r w:rsidR="001B75DC" w:rsidRPr="00F035AB">
        <w:rPr>
          <w:rFonts w:cs="Times New Roman"/>
          <w:szCs w:val="24"/>
          <w:lang w:eastAsia="ru-RU"/>
        </w:rPr>
        <w:t>Senāts atzīst</w:t>
      </w:r>
      <w:r w:rsidR="00CE0C30" w:rsidRPr="00F035AB">
        <w:rPr>
          <w:rFonts w:cs="Times New Roman"/>
          <w:szCs w:val="24"/>
          <w:lang w:eastAsia="ru-RU"/>
        </w:rPr>
        <w:t xml:space="preserve">, ka apgabaltiesa ir pieļāvusi </w:t>
      </w:r>
      <w:r w:rsidRPr="00F035AB">
        <w:rPr>
          <w:rFonts w:cs="Times New Roman"/>
          <w:szCs w:val="24"/>
          <w:lang w:eastAsia="ru-RU"/>
        </w:rPr>
        <w:t>procesuālo</w:t>
      </w:r>
      <w:r w:rsidR="00CE0C30" w:rsidRPr="00F035AB">
        <w:rPr>
          <w:rFonts w:cs="Times New Roman"/>
          <w:szCs w:val="24"/>
          <w:lang w:eastAsia="ru-RU"/>
        </w:rPr>
        <w:t xml:space="preserve"> tiesību normu pārkāpumu</w:t>
      </w:r>
      <w:r w:rsidR="00B3550B" w:rsidRPr="00F035AB">
        <w:rPr>
          <w:rFonts w:cs="Times New Roman"/>
          <w:szCs w:val="24"/>
          <w:lang w:eastAsia="ru-RU"/>
        </w:rPr>
        <w:t>, to nevērtējot</w:t>
      </w:r>
      <w:r w:rsidRPr="00F035AB">
        <w:rPr>
          <w:rFonts w:cs="Times New Roman"/>
          <w:szCs w:val="24"/>
          <w:lang w:eastAsia="ru-RU"/>
        </w:rPr>
        <w:t>. Ņemot vērā to, ka</w:t>
      </w:r>
      <w:r w:rsidRPr="00F035AB">
        <w:rPr>
          <w:rFonts w:cs="Times New Roman"/>
          <w:iCs/>
          <w:szCs w:val="24"/>
        </w:rPr>
        <w:t xml:space="preserve"> </w:t>
      </w:r>
      <w:r w:rsidR="00B3550B" w:rsidRPr="00F035AB">
        <w:rPr>
          <w:rFonts w:cs="Times New Roman"/>
          <w:iCs/>
          <w:szCs w:val="24"/>
        </w:rPr>
        <w:t>š</w:t>
      </w:r>
      <w:r w:rsidR="00A03823" w:rsidRPr="00F035AB">
        <w:rPr>
          <w:rFonts w:cs="Times New Roman"/>
          <w:iCs/>
          <w:szCs w:val="24"/>
        </w:rPr>
        <w:t>ā</w:t>
      </w:r>
      <w:r w:rsidR="004C647C" w:rsidRPr="00F035AB">
        <w:rPr>
          <w:rFonts w:cs="Times New Roman"/>
          <w:iCs/>
          <w:szCs w:val="24"/>
        </w:rPr>
        <w:t xml:space="preserve"> </w:t>
      </w:r>
      <w:r w:rsidR="00B3550B" w:rsidRPr="00F035AB">
        <w:rPr>
          <w:rFonts w:cs="Times New Roman"/>
          <w:iCs/>
          <w:szCs w:val="24"/>
        </w:rPr>
        <w:t>jautājuma</w:t>
      </w:r>
      <w:r w:rsidRPr="00F035AB">
        <w:rPr>
          <w:rFonts w:cs="Times New Roman"/>
          <w:iCs/>
          <w:szCs w:val="24"/>
        </w:rPr>
        <w:t xml:space="preserve"> izvērtēšana </w:t>
      </w:r>
      <w:r w:rsidR="004C647C" w:rsidRPr="00F035AB">
        <w:rPr>
          <w:rFonts w:cs="Times New Roman"/>
          <w:iCs/>
          <w:szCs w:val="24"/>
        </w:rPr>
        <w:t xml:space="preserve">var </w:t>
      </w:r>
      <w:r w:rsidRPr="00F035AB">
        <w:rPr>
          <w:rFonts w:cs="Times New Roman"/>
          <w:iCs/>
          <w:szCs w:val="24"/>
        </w:rPr>
        <w:t xml:space="preserve">ietekmēt </w:t>
      </w:r>
      <w:r w:rsidR="00B3550B" w:rsidRPr="00F035AB">
        <w:rPr>
          <w:rFonts w:cs="Times New Roman"/>
          <w:iCs/>
          <w:szCs w:val="24"/>
        </w:rPr>
        <w:t xml:space="preserve">arī </w:t>
      </w:r>
      <w:r w:rsidRPr="00F035AB">
        <w:rPr>
          <w:rFonts w:cs="Times New Roman"/>
          <w:iCs/>
          <w:szCs w:val="24"/>
        </w:rPr>
        <w:t>iznākumu</w:t>
      </w:r>
      <w:r w:rsidR="00B3550B" w:rsidRPr="00F035AB">
        <w:rPr>
          <w:rFonts w:cs="Times New Roman"/>
          <w:iCs/>
          <w:szCs w:val="24"/>
        </w:rPr>
        <w:t xml:space="preserve"> lietā</w:t>
      </w:r>
      <w:r w:rsidRPr="00F035AB">
        <w:rPr>
          <w:rFonts w:cs="Times New Roman"/>
          <w:iCs/>
          <w:szCs w:val="24"/>
        </w:rPr>
        <w:t xml:space="preserve">, </w:t>
      </w:r>
      <w:r w:rsidR="004C647C" w:rsidRPr="00F035AB">
        <w:rPr>
          <w:rFonts w:cs="Times New Roman"/>
          <w:iCs/>
          <w:szCs w:val="24"/>
        </w:rPr>
        <w:t xml:space="preserve">Senāts secina, ka </w:t>
      </w:r>
      <w:r w:rsidR="004473D1" w:rsidRPr="00F035AB">
        <w:rPr>
          <w:rFonts w:cs="Times New Roman"/>
          <w:szCs w:val="24"/>
          <w:lang w:eastAsia="ru-RU"/>
        </w:rPr>
        <w:t>pastāv</w:t>
      </w:r>
      <w:r w:rsidR="00990751" w:rsidRPr="00F035AB">
        <w:rPr>
          <w:rFonts w:cs="Times New Roman"/>
          <w:szCs w:val="24"/>
          <w:lang w:eastAsia="ru-RU"/>
        </w:rPr>
        <w:t xml:space="preserve"> pamats atcelt </w:t>
      </w:r>
      <w:r w:rsidR="004C647C" w:rsidRPr="00F035AB">
        <w:rPr>
          <w:rFonts w:cs="Times New Roman"/>
          <w:szCs w:val="24"/>
          <w:lang w:eastAsia="ru-RU"/>
        </w:rPr>
        <w:t xml:space="preserve">apgabaltiesas </w:t>
      </w:r>
      <w:r w:rsidR="00990751" w:rsidRPr="00F035AB">
        <w:rPr>
          <w:rFonts w:cs="Times New Roman"/>
          <w:szCs w:val="24"/>
          <w:lang w:eastAsia="ru-RU"/>
        </w:rPr>
        <w:t xml:space="preserve">spriedumu </w:t>
      </w:r>
      <w:r w:rsidR="00C17049" w:rsidRPr="00F035AB">
        <w:rPr>
          <w:rFonts w:cs="Times New Roman"/>
          <w:szCs w:val="24"/>
          <w:lang w:eastAsia="ru-RU"/>
        </w:rPr>
        <w:t>pārsūdzētajā daļā</w:t>
      </w:r>
      <w:r w:rsidR="00990751" w:rsidRPr="00F035AB">
        <w:rPr>
          <w:rFonts w:cs="Times New Roman"/>
          <w:szCs w:val="24"/>
          <w:lang w:eastAsia="ru-RU"/>
        </w:rPr>
        <w:t xml:space="preserve"> un nodot lietu jaunai izskatīšanai.</w:t>
      </w:r>
    </w:p>
    <w:p w14:paraId="70D084D6" w14:textId="455A7859" w:rsidR="00197F57" w:rsidRPr="00F035AB" w:rsidRDefault="00C17049" w:rsidP="00197F57">
      <w:pPr>
        <w:pStyle w:val="NoSpacing"/>
        <w:spacing w:line="276" w:lineRule="auto"/>
        <w:ind w:firstLine="567"/>
        <w:jc w:val="both"/>
        <w:rPr>
          <w:rFonts w:cs="Times New Roman"/>
          <w:szCs w:val="24"/>
          <w:lang w:eastAsia="ru-RU"/>
        </w:rPr>
      </w:pPr>
      <w:r w:rsidRPr="00F035AB">
        <w:rPr>
          <w:rFonts w:cs="Times New Roman"/>
          <w:szCs w:val="24"/>
          <w:lang w:eastAsia="ru-RU"/>
        </w:rPr>
        <w:t xml:space="preserve">Lai arī kodeksa 252.panta pirmā daļa </w:t>
      </w:r>
      <w:proofErr w:type="spellStart"/>
      <w:r w:rsidRPr="00F035AB">
        <w:rPr>
          <w:rFonts w:cs="Times New Roman"/>
          <w:i/>
          <w:szCs w:val="24"/>
          <w:lang w:eastAsia="ru-RU"/>
        </w:rPr>
        <w:t>expressis</w:t>
      </w:r>
      <w:proofErr w:type="spellEnd"/>
      <w:r w:rsidRPr="00F035AB">
        <w:rPr>
          <w:rFonts w:cs="Times New Roman"/>
          <w:i/>
          <w:szCs w:val="24"/>
          <w:lang w:eastAsia="ru-RU"/>
        </w:rPr>
        <w:t xml:space="preserve"> </w:t>
      </w:r>
      <w:proofErr w:type="spellStart"/>
      <w:r w:rsidRPr="00F035AB">
        <w:rPr>
          <w:rFonts w:cs="Times New Roman"/>
          <w:i/>
          <w:szCs w:val="24"/>
          <w:lang w:eastAsia="ru-RU"/>
        </w:rPr>
        <w:t>verbis</w:t>
      </w:r>
      <w:proofErr w:type="spellEnd"/>
      <w:r w:rsidRPr="00F035AB">
        <w:rPr>
          <w:rFonts w:cs="Times New Roman"/>
          <w:szCs w:val="24"/>
          <w:lang w:eastAsia="ru-RU"/>
        </w:rPr>
        <w:t xml:space="preserve"> noteic, ka kodeksā tieši noteiktajos gadījumos ir atļauta gan personas aplūkošana un mantu apskate, gan mantu izņemšana, gan arī personas administratīva aizturēšana, tomēr apgabaltiesai, izskatot lietu no jauna, būtu jānoskaidro, vai, nepakļaujoties policijas darbinieka likumīgām prasībām pārtraukt film</w:t>
      </w:r>
      <w:r w:rsidR="00B3550B" w:rsidRPr="00F035AB">
        <w:rPr>
          <w:rFonts w:cs="Times New Roman"/>
          <w:szCs w:val="24"/>
          <w:lang w:eastAsia="ru-RU"/>
        </w:rPr>
        <w:t>ēšanu, pieteicēja administratīvā</w:t>
      </w:r>
      <w:r w:rsidRPr="00F035AB">
        <w:rPr>
          <w:rFonts w:cs="Times New Roman"/>
          <w:szCs w:val="24"/>
          <w:lang w:eastAsia="ru-RU"/>
        </w:rPr>
        <w:t xml:space="preserve"> aizturēšana konkrētajos apstākļos ir bijusi arī samērīga. </w:t>
      </w:r>
      <w:r w:rsidR="001B75DC" w:rsidRPr="00F035AB">
        <w:rPr>
          <w:rFonts w:cs="Times New Roman"/>
          <w:szCs w:val="24"/>
          <w:lang w:eastAsia="ru-RU"/>
        </w:rPr>
        <w:t>Apgabaltiesa, a</w:t>
      </w:r>
      <w:r w:rsidR="00E80A98" w:rsidRPr="00F035AB">
        <w:rPr>
          <w:rFonts w:cs="Times New Roman"/>
          <w:szCs w:val="24"/>
          <w:lang w:eastAsia="ru-RU"/>
        </w:rPr>
        <w:t>tkārtoti izskatot lietu</w:t>
      </w:r>
      <w:r w:rsidR="00EB53DD" w:rsidRPr="00F035AB">
        <w:rPr>
          <w:rFonts w:cs="Times New Roman"/>
          <w:szCs w:val="24"/>
          <w:lang w:eastAsia="ru-RU"/>
        </w:rPr>
        <w:t>,</w:t>
      </w:r>
      <w:r w:rsidR="00990751" w:rsidRPr="00F035AB">
        <w:rPr>
          <w:rFonts w:cs="Times New Roman"/>
          <w:szCs w:val="24"/>
          <w:lang w:eastAsia="ru-RU"/>
        </w:rPr>
        <w:t xml:space="preserve"> iespējams,</w:t>
      </w:r>
      <w:r w:rsidR="00EB53DD" w:rsidRPr="00F035AB">
        <w:rPr>
          <w:rFonts w:cs="Times New Roman"/>
          <w:szCs w:val="24"/>
          <w:lang w:eastAsia="ru-RU"/>
        </w:rPr>
        <w:t xml:space="preserve"> var iegūt </w:t>
      </w:r>
      <w:r w:rsidR="00DB7F80" w:rsidRPr="00F035AB">
        <w:rPr>
          <w:rFonts w:cs="Times New Roman"/>
          <w:szCs w:val="24"/>
          <w:lang w:eastAsia="ru-RU"/>
        </w:rPr>
        <w:t xml:space="preserve">no Valsts policijas </w:t>
      </w:r>
      <w:r w:rsidR="00EB53DD" w:rsidRPr="00F035AB">
        <w:rPr>
          <w:rFonts w:cs="Times New Roman"/>
          <w:szCs w:val="24"/>
          <w:lang w:eastAsia="ru-RU"/>
        </w:rPr>
        <w:t xml:space="preserve">papildu informāciju, kas var apstiprināt </w:t>
      </w:r>
      <w:r w:rsidR="00E80A98" w:rsidRPr="00F035AB">
        <w:rPr>
          <w:rFonts w:cs="Times New Roman"/>
          <w:szCs w:val="24"/>
          <w:lang w:eastAsia="ru-RU"/>
        </w:rPr>
        <w:t xml:space="preserve">vai noraidīt pieteicēja izvirzīto </w:t>
      </w:r>
      <w:r w:rsidR="00B3550B" w:rsidRPr="00F035AB">
        <w:rPr>
          <w:rFonts w:cs="Times New Roman"/>
          <w:szCs w:val="24"/>
          <w:lang w:eastAsia="ru-RU"/>
        </w:rPr>
        <w:t>hipo</w:t>
      </w:r>
      <w:r w:rsidR="00990751" w:rsidRPr="00F035AB">
        <w:rPr>
          <w:rFonts w:cs="Times New Roman"/>
          <w:szCs w:val="24"/>
          <w:lang w:eastAsia="ru-RU"/>
        </w:rPr>
        <w:t>tēzi</w:t>
      </w:r>
      <w:r w:rsidR="00E80A98" w:rsidRPr="00F035AB">
        <w:rPr>
          <w:rFonts w:cs="Times New Roman"/>
          <w:szCs w:val="24"/>
          <w:lang w:eastAsia="ru-RU"/>
        </w:rPr>
        <w:t xml:space="preserve">, ka </w:t>
      </w:r>
      <w:r w:rsidR="00355AAE" w:rsidRPr="00F035AB">
        <w:rPr>
          <w:rFonts w:cs="Times New Roman"/>
          <w:szCs w:val="24"/>
          <w:lang w:eastAsia="ru-RU"/>
        </w:rPr>
        <w:t>mobilā telefona</w:t>
      </w:r>
      <w:r w:rsidR="00E80A98" w:rsidRPr="00F035AB">
        <w:rPr>
          <w:rFonts w:cs="Times New Roman"/>
          <w:szCs w:val="24"/>
          <w:lang w:eastAsia="ru-RU"/>
        </w:rPr>
        <w:t xml:space="preserve"> izņemšana notikuma brīdī </w:t>
      </w:r>
      <w:r w:rsidR="00EB53DD" w:rsidRPr="00F035AB">
        <w:rPr>
          <w:rFonts w:cs="Times New Roman"/>
          <w:szCs w:val="24"/>
          <w:lang w:eastAsia="ru-RU"/>
        </w:rPr>
        <w:t xml:space="preserve">varēja būt </w:t>
      </w:r>
      <w:r w:rsidR="00AC146A" w:rsidRPr="00F035AB">
        <w:rPr>
          <w:rFonts w:cs="Times New Roman"/>
          <w:szCs w:val="24"/>
          <w:lang w:eastAsia="ru-RU"/>
        </w:rPr>
        <w:t>atbilstošāks</w:t>
      </w:r>
      <w:r w:rsidR="008A1555" w:rsidRPr="00F035AB">
        <w:rPr>
          <w:rFonts w:cs="Times New Roman"/>
          <w:szCs w:val="24"/>
          <w:lang w:eastAsia="ru-RU"/>
        </w:rPr>
        <w:t xml:space="preserve"> </w:t>
      </w:r>
      <w:r w:rsidR="00EB53DD" w:rsidRPr="00F035AB">
        <w:rPr>
          <w:rFonts w:cs="Times New Roman"/>
          <w:szCs w:val="24"/>
          <w:lang w:eastAsia="ru-RU"/>
        </w:rPr>
        <w:t xml:space="preserve">risinājums. </w:t>
      </w:r>
    </w:p>
    <w:p w14:paraId="581F986E" w14:textId="5837C5A3" w:rsidR="00C17049" w:rsidRPr="00F035AB" w:rsidRDefault="00197F57" w:rsidP="00CE0C30">
      <w:pPr>
        <w:pStyle w:val="NoSpacing"/>
        <w:spacing w:line="276" w:lineRule="auto"/>
        <w:ind w:firstLine="567"/>
        <w:jc w:val="both"/>
        <w:rPr>
          <w:rFonts w:cs="Times New Roman"/>
          <w:szCs w:val="24"/>
        </w:rPr>
      </w:pPr>
      <w:r w:rsidRPr="00F035AB">
        <w:rPr>
          <w:rFonts w:cs="Times New Roman"/>
          <w:szCs w:val="24"/>
          <w:lang w:eastAsia="ru-RU"/>
        </w:rPr>
        <w:t>Tāpat</w:t>
      </w:r>
      <w:r w:rsidR="00383517" w:rsidRPr="00F035AB">
        <w:rPr>
          <w:rFonts w:cs="Times New Roman"/>
          <w:szCs w:val="24"/>
          <w:lang w:eastAsia="ru-RU"/>
        </w:rPr>
        <w:t xml:space="preserve"> </w:t>
      </w:r>
      <w:r w:rsidR="00B3550B" w:rsidRPr="00F035AB">
        <w:rPr>
          <w:rFonts w:cs="Times New Roman"/>
          <w:szCs w:val="24"/>
          <w:lang w:eastAsia="ru-RU"/>
        </w:rPr>
        <w:t xml:space="preserve">tiesai </w:t>
      </w:r>
      <w:r w:rsidR="00383517" w:rsidRPr="00F035AB">
        <w:rPr>
          <w:rFonts w:cs="Times New Roman"/>
          <w:szCs w:val="24"/>
          <w:lang w:eastAsia="ru-RU"/>
        </w:rPr>
        <w:t>būtu jānoskaidro</w:t>
      </w:r>
      <w:r w:rsidR="00EB53DD" w:rsidRPr="00F035AB">
        <w:rPr>
          <w:rFonts w:cs="Times New Roman"/>
          <w:szCs w:val="24"/>
          <w:lang w:eastAsia="ru-RU"/>
        </w:rPr>
        <w:t xml:space="preserve">, </w:t>
      </w:r>
      <w:r w:rsidR="00B50359" w:rsidRPr="00F035AB">
        <w:rPr>
          <w:rFonts w:cs="Times New Roman"/>
          <w:szCs w:val="24"/>
          <w:lang w:eastAsia="ru-RU"/>
        </w:rPr>
        <w:t>vai</w:t>
      </w:r>
      <w:r w:rsidR="00EB53DD" w:rsidRPr="00F035AB">
        <w:rPr>
          <w:rFonts w:cs="Times New Roman"/>
          <w:szCs w:val="24"/>
          <w:lang w:eastAsia="ru-RU"/>
        </w:rPr>
        <w:t xml:space="preserve"> </w:t>
      </w:r>
      <w:r w:rsidR="00AC146A" w:rsidRPr="00F035AB">
        <w:rPr>
          <w:rFonts w:cs="Times New Roman"/>
          <w:szCs w:val="24"/>
          <w:lang w:eastAsia="ru-RU"/>
        </w:rPr>
        <w:t xml:space="preserve">konkrētajos apstākļos policijas darbiniekiem </w:t>
      </w:r>
      <w:r w:rsidR="00145B19" w:rsidRPr="00F035AB">
        <w:rPr>
          <w:rFonts w:cs="Times New Roman"/>
          <w:szCs w:val="24"/>
          <w:lang w:eastAsia="ru-RU"/>
        </w:rPr>
        <w:t>vispār bija</w:t>
      </w:r>
      <w:r w:rsidR="00383517" w:rsidRPr="00F035AB">
        <w:rPr>
          <w:rFonts w:cs="Times New Roman"/>
          <w:szCs w:val="24"/>
          <w:lang w:eastAsia="ru-RU"/>
        </w:rPr>
        <w:t xml:space="preserve"> vajadzība un arī</w:t>
      </w:r>
      <w:r w:rsidR="00AC146A" w:rsidRPr="00F035AB">
        <w:rPr>
          <w:rFonts w:cs="Times New Roman"/>
          <w:szCs w:val="24"/>
          <w:lang w:eastAsia="ru-RU"/>
        </w:rPr>
        <w:t xml:space="preserve"> iespēja sastādīt nepieciešamos dokumentus administratīvā pārkāpuma lietvedības nodrošināšanai ārpus policijas iecirkņa, t.i., turpat uz vietas prokuratūrā.</w:t>
      </w:r>
      <w:r w:rsidR="00494C74" w:rsidRPr="00F035AB">
        <w:rPr>
          <w:rFonts w:cs="Times New Roman"/>
          <w:szCs w:val="24"/>
          <w:lang w:eastAsia="ru-RU"/>
        </w:rPr>
        <w:t xml:space="preserve"> </w:t>
      </w:r>
      <w:r w:rsidR="00145B19" w:rsidRPr="00F035AB">
        <w:rPr>
          <w:rFonts w:cs="Times New Roman"/>
          <w:szCs w:val="24"/>
          <w:lang w:eastAsia="ru-RU"/>
        </w:rPr>
        <w:t xml:space="preserve">Vienlaikus </w:t>
      </w:r>
      <w:r w:rsidR="006E3F0D" w:rsidRPr="00F035AB">
        <w:rPr>
          <w:rFonts w:cs="Times New Roman"/>
          <w:szCs w:val="24"/>
          <w:lang w:eastAsia="ru-RU"/>
        </w:rPr>
        <w:t>policija</w:t>
      </w:r>
      <w:r w:rsidR="00494C74" w:rsidRPr="00F035AB">
        <w:rPr>
          <w:rFonts w:cs="Times New Roman"/>
          <w:szCs w:val="24"/>
          <w:lang w:eastAsia="ru-RU"/>
        </w:rPr>
        <w:t xml:space="preserve">, iespējams, var </w:t>
      </w:r>
      <w:r w:rsidR="006E3F0D" w:rsidRPr="00F035AB">
        <w:rPr>
          <w:rFonts w:cs="Times New Roman"/>
          <w:szCs w:val="24"/>
          <w:lang w:eastAsia="ru-RU"/>
        </w:rPr>
        <w:t>sniegt</w:t>
      </w:r>
      <w:r w:rsidR="00145B19" w:rsidRPr="00F035AB">
        <w:rPr>
          <w:rFonts w:cs="Times New Roman"/>
          <w:szCs w:val="24"/>
          <w:lang w:eastAsia="ru-RU"/>
        </w:rPr>
        <w:t xml:space="preserve"> precizējošākas</w:t>
      </w:r>
      <w:r w:rsidR="00494C74" w:rsidRPr="00F035AB">
        <w:rPr>
          <w:rFonts w:cs="Times New Roman"/>
          <w:szCs w:val="24"/>
          <w:lang w:eastAsia="ru-RU"/>
        </w:rPr>
        <w:t xml:space="preserve"> ziņas par pieteicēja uzvedību prokuratūrā, kas </w:t>
      </w:r>
      <w:r w:rsidR="00355AAE" w:rsidRPr="00F035AB">
        <w:rPr>
          <w:rFonts w:cs="Times New Roman"/>
          <w:szCs w:val="24"/>
          <w:lang w:eastAsia="ru-RU"/>
        </w:rPr>
        <w:t xml:space="preserve">savukārt </w:t>
      </w:r>
      <w:r w:rsidR="00494C74" w:rsidRPr="00F035AB">
        <w:rPr>
          <w:rFonts w:cs="Times New Roman"/>
          <w:szCs w:val="24"/>
          <w:lang w:eastAsia="ru-RU"/>
        </w:rPr>
        <w:t>var</w:t>
      </w:r>
      <w:r w:rsidR="004C647C" w:rsidRPr="00F035AB">
        <w:rPr>
          <w:rFonts w:cs="Times New Roman"/>
          <w:szCs w:val="24"/>
          <w:lang w:eastAsia="ru-RU"/>
        </w:rPr>
        <w:t>ētu</w:t>
      </w:r>
      <w:r w:rsidR="00494C74" w:rsidRPr="00F035AB">
        <w:rPr>
          <w:rFonts w:cs="Times New Roman"/>
          <w:szCs w:val="24"/>
          <w:lang w:eastAsia="ru-RU"/>
        </w:rPr>
        <w:t xml:space="preserve"> norādīt</w:t>
      </w:r>
      <w:r w:rsidR="00355AAE" w:rsidRPr="00F035AB">
        <w:rPr>
          <w:rFonts w:cs="Times New Roman"/>
          <w:szCs w:val="24"/>
          <w:lang w:eastAsia="ru-RU"/>
        </w:rPr>
        <w:t xml:space="preserve"> uz to</w:t>
      </w:r>
      <w:r w:rsidR="00494C74" w:rsidRPr="00F035AB">
        <w:rPr>
          <w:rFonts w:cs="Times New Roman"/>
          <w:szCs w:val="24"/>
          <w:lang w:eastAsia="ru-RU"/>
        </w:rPr>
        <w:t>, ka iestādes darbu traucēja ne tikai filmēšana, bet arī kādas citas pieteicēja</w:t>
      </w:r>
      <w:r w:rsidR="00355AAE" w:rsidRPr="00F035AB">
        <w:rPr>
          <w:rFonts w:cs="Times New Roman"/>
          <w:szCs w:val="24"/>
          <w:lang w:eastAsia="ru-RU"/>
        </w:rPr>
        <w:t xml:space="preserve"> darbības. </w:t>
      </w:r>
      <w:r w:rsidR="00383517" w:rsidRPr="00F035AB">
        <w:rPr>
          <w:rFonts w:cs="Times New Roman"/>
          <w:szCs w:val="24"/>
          <w:lang w:eastAsia="ru-RU"/>
        </w:rPr>
        <w:t>Novērtējot šos un citus lietā būtiskos apstākļus</w:t>
      </w:r>
      <w:r w:rsidR="00355AAE" w:rsidRPr="00F035AB">
        <w:rPr>
          <w:rFonts w:cs="Times New Roman"/>
          <w:szCs w:val="24"/>
          <w:lang w:eastAsia="ru-RU"/>
        </w:rPr>
        <w:t xml:space="preserve">, tiesa tālāk </w:t>
      </w:r>
      <w:r w:rsidR="00383517" w:rsidRPr="00F035AB">
        <w:rPr>
          <w:rFonts w:cs="Times New Roman"/>
          <w:szCs w:val="24"/>
          <w:lang w:eastAsia="ru-RU"/>
        </w:rPr>
        <w:t xml:space="preserve">jau </w:t>
      </w:r>
      <w:r w:rsidR="00355AAE" w:rsidRPr="00F035AB">
        <w:rPr>
          <w:rFonts w:cs="Times New Roman"/>
          <w:szCs w:val="24"/>
          <w:lang w:eastAsia="ru-RU"/>
        </w:rPr>
        <w:t>var izdarīt secinājumu</w:t>
      </w:r>
      <w:r w:rsidR="00383517" w:rsidRPr="00F035AB">
        <w:rPr>
          <w:rFonts w:cs="Times New Roman"/>
          <w:szCs w:val="24"/>
          <w:lang w:eastAsia="ru-RU"/>
        </w:rPr>
        <w:t xml:space="preserve"> par to</w:t>
      </w:r>
      <w:r w:rsidR="00355AAE" w:rsidRPr="00F035AB">
        <w:rPr>
          <w:rFonts w:cs="Times New Roman"/>
          <w:szCs w:val="24"/>
          <w:lang w:eastAsia="ru-RU"/>
        </w:rPr>
        <w:t xml:space="preserve">, </w:t>
      </w:r>
      <w:r w:rsidR="00383517" w:rsidRPr="00F035AB">
        <w:rPr>
          <w:rFonts w:cs="Times New Roman"/>
          <w:szCs w:val="24"/>
          <w:lang w:eastAsia="ru-RU"/>
        </w:rPr>
        <w:t xml:space="preserve">vai personas administratīvā aizturēšana konkrētajos apstākļos ir bijusi </w:t>
      </w:r>
      <w:r w:rsidR="00326DE9" w:rsidRPr="00F035AB">
        <w:rPr>
          <w:rFonts w:cs="Times New Roman"/>
          <w:szCs w:val="24"/>
          <w:lang w:eastAsia="ru-RU"/>
        </w:rPr>
        <w:t>patiešām vajadzīga</w:t>
      </w:r>
      <w:r w:rsidR="00383517" w:rsidRPr="00F035AB">
        <w:rPr>
          <w:rFonts w:cs="Times New Roman"/>
          <w:szCs w:val="24"/>
          <w:lang w:eastAsia="ru-RU"/>
        </w:rPr>
        <w:t>.</w:t>
      </w:r>
    </w:p>
    <w:p w14:paraId="28368705" w14:textId="385CCF47" w:rsidR="0013285F" w:rsidRPr="00F035AB" w:rsidRDefault="0013285F" w:rsidP="00CE0C30">
      <w:pPr>
        <w:pStyle w:val="NoSpacing"/>
        <w:spacing w:line="276" w:lineRule="auto"/>
        <w:ind w:firstLine="567"/>
        <w:jc w:val="both"/>
        <w:rPr>
          <w:rFonts w:cs="Times New Roman"/>
          <w:szCs w:val="24"/>
          <w:lang w:eastAsia="ru-RU"/>
        </w:rPr>
      </w:pPr>
    </w:p>
    <w:p w14:paraId="5EC07915" w14:textId="3FED11AE" w:rsidR="00C22920" w:rsidRPr="00F035AB" w:rsidRDefault="00C260C7" w:rsidP="00CE0C30">
      <w:pPr>
        <w:pStyle w:val="NoSpacing"/>
        <w:spacing w:line="276" w:lineRule="auto"/>
        <w:ind w:firstLine="567"/>
        <w:jc w:val="both"/>
        <w:rPr>
          <w:rFonts w:cs="Times New Roman"/>
          <w:szCs w:val="24"/>
          <w:lang w:eastAsia="ru-RU"/>
        </w:rPr>
      </w:pPr>
      <w:r w:rsidRPr="00F035AB">
        <w:rPr>
          <w:rFonts w:cs="Times New Roman"/>
          <w:szCs w:val="24"/>
          <w:lang w:eastAsia="ru-RU"/>
        </w:rPr>
        <w:t>[1</w:t>
      </w:r>
      <w:r w:rsidR="00B23FB6" w:rsidRPr="00F035AB">
        <w:rPr>
          <w:rFonts w:cs="Times New Roman"/>
          <w:szCs w:val="24"/>
          <w:lang w:eastAsia="ru-RU"/>
        </w:rPr>
        <w:t>5</w:t>
      </w:r>
      <w:r w:rsidRPr="00F035AB">
        <w:rPr>
          <w:rFonts w:cs="Times New Roman"/>
          <w:szCs w:val="24"/>
          <w:lang w:eastAsia="ru-RU"/>
        </w:rPr>
        <w:t xml:space="preserve">] </w:t>
      </w:r>
      <w:r w:rsidR="00C22920" w:rsidRPr="00F035AB">
        <w:rPr>
          <w:rFonts w:cs="Times New Roman"/>
          <w:szCs w:val="24"/>
          <w:lang w:eastAsia="ru-RU"/>
        </w:rPr>
        <w:t xml:space="preserve">Tā kā aplūkojamā gadījumā tiesa nav pilnvērtīgi izvērtējusi lietā būtiskus apstākļus, noskaidrojot, vai ir pieļauts procesuāls pārkāpums pieteicēja aizturēšanā, kas vienlaikus cēloņsakarībā būtu radījis būtisku pieteicēja tiesību vai tiesisko interešu aizskārumu, tad </w:t>
      </w:r>
      <w:r w:rsidR="00FB696B" w:rsidRPr="00F035AB">
        <w:rPr>
          <w:rFonts w:cs="Times New Roman"/>
          <w:szCs w:val="24"/>
          <w:lang w:eastAsia="ru-RU"/>
        </w:rPr>
        <w:t>Senāts</w:t>
      </w:r>
      <w:r w:rsidR="00250E62" w:rsidRPr="00F035AB">
        <w:rPr>
          <w:rFonts w:cs="Times New Roman"/>
          <w:szCs w:val="24"/>
          <w:lang w:eastAsia="ru-RU"/>
        </w:rPr>
        <w:t xml:space="preserve"> </w:t>
      </w:r>
      <w:r w:rsidR="001F576A" w:rsidRPr="00F035AB">
        <w:rPr>
          <w:rFonts w:cs="Times New Roman"/>
          <w:szCs w:val="24"/>
          <w:lang w:eastAsia="ru-RU"/>
        </w:rPr>
        <w:t>nevar atzī</w:t>
      </w:r>
      <w:r w:rsidR="00250E62" w:rsidRPr="00F035AB">
        <w:rPr>
          <w:rFonts w:cs="Times New Roman"/>
          <w:szCs w:val="24"/>
          <w:lang w:eastAsia="ru-RU"/>
        </w:rPr>
        <w:t xml:space="preserve">t par pamatotu </w:t>
      </w:r>
      <w:r w:rsidR="00B50359" w:rsidRPr="00F035AB">
        <w:rPr>
          <w:rFonts w:cs="Times New Roman"/>
          <w:szCs w:val="24"/>
          <w:lang w:eastAsia="ru-RU"/>
        </w:rPr>
        <w:t>apgabal</w:t>
      </w:r>
      <w:r w:rsidR="00250E62" w:rsidRPr="00F035AB">
        <w:rPr>
          <w:rFonts w:cs="Times New Roman"/>
          <w:szCs w:val="24"/>
          <w:lang w:eastAsia="ru-RU"/>
        </w:rPr>
        <w:t xml:space="preserve">tiesas secinājumu, ka </w:t>
      </w:r>
      <w:r w:rsidR="00C22920" w:rsidRPr="00F035AB">
        <w:rPr>
          <w:rFonts w:cs="Times New Roman"/>
          <w:szCs w:val="24"/>
          <w:lang w:eastAsia="ru-RU"/>
        </w:rPr>
        <w:t xml:space="preserve">saistībā ar pieteicēja aizturēšanu </w:t>
      </w:r>
      <w:r w:rsidR="00250E62" w:rsidRPr="00F035AB">
        <w:rPr>
          <w:rFonts w:cs="Times New Roman"/>
          <w:szCs w:val="24"/>
          <w:lang w:eastAsia="ru-RU"/>
        </w:rPr>
        <w:t>nepastāv priekšnoteikumi morālā kaitējuma atlīdzināšanai.</w:t>
      </w:r>
    </w:p>
    <w:p w14:paraId="48752DFE" w14:textId="446E4D63" w:rsidR="00250E62" w:rsidRPr="00F035AB" w:rsidRDefault="00DF2A75" w:rsidP="00CE0C30">
      <w:pPr>
        <w:pStyle w:val="NoSpacing"/>
        <w:spacing w:line="276" w:lineRule="auto"/>
        <w:ind w:firstLine="567"/>
        <w:jc w:val="both"/>
        <w:rPr>
          <w:rFonts w:cs="Times New Roman"/>
          <w:szCs w:val="24"/>
          <w:lang w:eastAsia="ru-RU"/>
        </w:rPr>
      </w:pPr>
      <w:r w:rsidRPr="00F035AB">
        <w:rPr>
          <w:rFonts w:cs="Times New Roman"/>
          <w:szCs w:val="24"/>
          <w:lang w:eastAsia="ru-RU"/>
        </w:rPr>
        <w:t>Senāts</w:t>
      </w:r>
      <w:r w:rsidR="00250E62" w:rsidRPr="00F035AB">
        <w:rPr>
          <w:rFonts w:cs="Times New Roman"/>
          <w:szCs w:val="24"/>
          <w:lang w:eastAsia="ru-RU"/>
        </w:rPr>
        <w:t xml:space="preserve"> atgādina, ka administratīvā procesa kārtībā ir izskatāms tikai tāds prasījums par atlīdzinājumu, kas nodarīts ar iestādes pieļautu procesuālu pārkāpumu administratīvā pārkāpuma lietvedības ietvaros, ja šis pārkāpums radījis būtisku personas tiesību vai tiesisko interešu aizskārumu (sal.</w:t>
      </w:r>
      <w:r w:rsidR="00250E62" w:rsidRPr="00F035AB">
        <w:rPr>
          <w:rFonts w:cs="Times New Roman"/>
          <w:i/>
          <w:szCs w:val="24"/>
          <w:lang w:eastAsia="ru-RU"/>
        </w:rPr>
        <w:t> Administratīvā procesa likuma 184.panta otrā daļa</w:t>
      </w:r>
      <w:r w:rsidR="00250E62" w:rsidRPr="00F035AB">
        <w:rPr>
          <w:rFonts w:cs="Times New Roman"/>
          <w:szCs w:val="24"/>
          <w:lang w:eastAsia="ru-RU"/>
        </w:rPr>
        <w:t>). Pieļautā procesuālā pārkāpuma atzīšana par prettiesisku – lai gan nepieciešama, tomēr ir tikai priekšnoteikums atlīdzinājuma piešķiršanai (</w:t>
      </w:r>
      <w:bookmarkStart w:id="8" w:name="_Hlk11671939"/>
      <w:bookmarkStart w:id="9" w:name="_GoBack"/>
      <w:r w:rsidR="00250E62" w:rsidRPr="00F035AB">
        <w:rPr>
          <w:rFonts w:cs="Times New Roman"/>
          <w:i/>
          <w:szCs w:val="24"/>
          <w:lang w:eastAsia="ru-RU"/>
        </w:rPr>
        <w:t>Senāta</w:t>
      </w:r>
      <w:r w:rsidR="00250E62" w:rsidRPr="00F035AB">
        <w:rPr>
          <w:rFonts w:cs="Times New Roman"/>
          <w:szCs w:val="24"/>
          <w:lang w:eastAsia="ru-RU"/>
        </w:rPr>
        <w:t xml:space="preserve"> </w:t>
      </w:r>
      <w:r w:rsidR="00250E62" w:rsidRPr="00F035AB">
        <w:rPr>
          <w:rFonts w:cs="Times New Roman"/>
          <w:i/>
          <w:szCs w:val="24"/>
          <w:lang w:eastAsia="ru-RU"/>
        </w:rPr>
        <w:t>2013.gada 30.aprīļa lēmuma lietā Nr. SKA-454/2013 (</w:t>
      </w:r>
      <w:r w:rsidR="00250E62" w:rsidRPr="00F035AB">
        <w:rPr>
          <w:rFonts w:cs="Times New Roman"/>
          <w:i/>
          <w:szCs w:val="24"/>
        </w:rPr>
        <w:t>680015313</w:t>
      </w:r>
      <w:bookmarkEnd w:id="8"/>
      <w:bookmarkEnd w:id="9"/>
      <w:r w:rsidR="00250E62" w:rsidRPr="00F035AB">
        <w:rPr>
          <w:rFonts w:cs="Times New Roman"/>
          <w:i/>
          <w:szCs w:val="24"/>
        </w:rPr>
        <w:t>) 6.punkts</w:t>
      </w:r>
      <w:r w:rsidR="00250E62" w:rsidRPr="00F035AB">
        <w:rPr>
          <w:rFonts w:cs="Times New Roman"/>
          <w:szCs w:val="24"/>
          <w:lang w:eastAsia="ru-RU"/>
        </w:rPr>
        <w:t>).</w:t>
      </w:r>
    </w:p>
    <w:p w14:paraId="15034602" w14:textId="1FFC494A" w:rsidR="00FE0CF2" w:rsidRPr="00F035AB" w:rsidRDefault="00FE0CF2" w:rsidP="00CE0C30">
      <w:pPr>
        <w:pStyle w:val="NoSpacing"/>
        <w:spacing w:line="276" w:lineRule="auto"/>
        <w:ind w:firstLine="567"/>
        <w:jc w:val="both"/>
        <w:rPr>
          <w:rFonts w:cs="Times New Roman"/>
          <w:szCs w:val="24"/>
        </w:rPr>
      </w:pPr>
    </w:p>
    <w:p w14:paraId="1D8FDBD1" w14:textId="745799EC" w:rsidR="00152D4D" w:rsidRPr="00F035AB" w:rsidRDefault="00C95F50" w:rsidP="00CE0C30">
      <w:pPr>
        <w:pStyle w:val="NoSpacing"/>
        <w:spacing w:line="276" w:lineRule="auto"/>
        <w:ind w:firstLine="567"/>
        <w:jc w:val="both"/>
        <w:rPr>
          <w:rFonts w:cs="Times New Roman"/>
          <w:szCs w:val="24"/>
        </w:rPr>
      </w:pPr>
      <w:r w:rsidRPr="00F035AB">
        <w:rPr>
          <w:rFonts w:cs="Times New Roman"/>
          <w:szCs w:val="24"/>
          <w:lang w:eastAsia="ru-RU"/>
        </w:rPr>
        <w:t>[</w:t>
      </w:r>
      <w:r w:rsidR="0010530A" w:rsidRPr="00F035AB">
        <w:rPr>
          <w:rFonts w:cs="Times New Roman"/>
          <w:szCs w:val="24"/>
          <w:lang w:eastAsia="ru-RU"/>
        </w:rPr>
        <w:t>1</w:t>
      </w:r>
      <w:r w:rsidR="006874CC" w:rsidRPr="00F035AB">
        <w:rPr>
          <w:rFonts w:cs="Times New Roman"/>
          <w:szCs w:val="24"/>
          <w:lang w:eastAsia="ru-RU"/>
        </w:rPr>
        <w:t>6</w:t>
      </w:r>
      <w:r w:rsidR="00EE6AB3" w:rsidRPr="00F035AB">
        <w:rPr>
          <w:rFonts w:cs="Times New Roman"/>
          <w:szCs w:val="24"/>
          <w:lang w:eastAsia="ru-RU"/>
        </w:rPr>
        <w:t>]</w:t>
      </w:r>
      <w:r w:rsidRPr="00F035AB">
        <w:rPr>
          <w:rFonts w:cs="Times New Roman"/>
          <w:szCs w:val="24"/>
          <w:lang w:eastAsia="ru-RU"/>
        </w:rPr>
        <w:t xml:space="preserve"> </w:t>
      </w:r>
      <w:r w:rsidR="00AF059C" w:rsidRPr="00F035AB">
        <w:rPr>
          <w:rFonts w:cs="Times New Roman"/>
          <w:szCs w:val="24"/>
        </w:rPr>
        <w:t>Kasācijas sūdzībā p</w:t>
      </w:r>
      <w:r w:rsidR="00152D4D" w:rsidRPr="00F035AB">
        <w:rPr>
          <w:rFonts w:cs="Times New Roman"/>
          <w:szCs w:val="24"/>
        </w:rPr>
        <w:t xml:space="preserve">ieteicējs, minot konkrētus pulksteņa laikus, norāda, ka viņa aizturēšanas mērķis bija cits, nekā tas ir norādīts protokolā par administratīvo aizturēšanu, ko apstiprina fakts, ka policijas darbinieks pieteicēju ievietoja pagaidu turēšanas telpā. Minētais, </w:t>
      </w:r>
      <w:r w:rsidR="00152D4D" w:rsidRPr="00F035AB">
        <w:rPr>
          <w:rFonts w:cs="Times New Roman"/>
          <w:szCs w:val="24"/>
        </w:rPr>
        <w:lastRenderedPageBreak/>
        <w:t xml:space="preserve">pieteicēja skatījumā, prettiesiski liedza pieteicējam īstenot tiesības uz vārda brīvību, kas ir pretēji </w:t>
      </w:r>
      <w:r w:rsidR="00D479EA" w:rsidRPr="00F035AB">
        <w:rPr>
          <w:rFonts w:cs="Times New Roman"/>
          <w:szCs w:val="24"/>
        </w:rPr>
        <w:t>K</w:t>
      </w:r>
      <w:r w:rsidR="00152D4D" w:rsidRPr="00F035AB">
        <w:rPr>
          <w:rFonts w:cs="Times New Roman"/>
          <w:szCs w:val="24"/>
        </w:rPr>
        <w:t>onvencijas 10.pantam.</w:t>
      </w:r>
    </w:p>
    <w:p w14:paraId="03459C6A" w14:textId="30C56ACB" w:rsidR="008300DF" w:rsidRPr="00F035AB" w:rsidRDefault="00152D4D" w:rsidP="00CE0C30">
      <w:pPr>
        <w:pStyle w:val="NoSpacing"/>
        <w:spacing w:line="276" w:lineRule="auto"/>
        <w:ind w:firstLine="567"/>
        <w:jc w:val="both"/>
        <w:rPr>
          <w:rFonts w:cs="Times New Roman"/>
          <w:szCs w:val="24"/>
          <w:lang w:eastAsia="ru-RU"/>
        </w:rPr>
      </w:pPr>
      <w:r w:rsidRPr="00F035AB">
        <w:rPr>
          <w:rFonts w:cs="Times New Roman"/>
          <w:szCs w:val="24"/>
        </w:rPr>
        <w:t xml:space="preserve">Lai </w:t>
      </w:r>
      <w:r w:rsidR="0039278A" w:rsidRPr="00F035AB">
        <w:rPr>
          <w:rFonts w:cs="Times New Roman"/>
          <w:szCs w:val="24"/>
        </w:rPr>
        <w:t>gan</w:t>
      </w:r>
      <w:r w:rsidRPr="00F035AB">
        <w:rPr>
          <w:rFonts w:cs="Times New Roman"/>
          <w:szCs w:val="24"/>
        </w:rPr>
        <w:t xml:space="preserve"> apelācijas instances tiesa spriedumā nav </w:t>
      </w:r>
      <w:r w:rsidR="00AF059C" w:rsidRPr="00F035AB">
        <w:rPr>
          <w:rFonts w:cs="Times New Roman"/>
          <w:szCs w:val="24"/>
        </w:rPr>
        <w:t>īpaši vērtējusi</w:t>
      </w:r>
      <w:r w:rsidRPr="00F035AB">
        <w:rPr>
          <w:rFonts w:cs="Times New Roman"/>
          <w:szCs w:val="24"/>
        </w:rPr>
        <w:t xml:space="preserve"> </w:t>
      </w:r>
      <w:r w:rsidR="00A3226F" w:rsidRPr="00F035AB">
        <w:rPr>
          <w:rFonts w:cs="Times New Roman"/>
          <w:szCs w:val="24"/>
        </w:rPr>
        <w:t xml:space="preserve">tos </w:t>
      </w:r>
      <w:r w:rsidRPr="00F035AB">
        <w:rPr>
          <w:rFonts w:cs="Times New Roman"/>
          <w:szCs w:val="24"/>
        </w:rPr>
        <w:t>apstākļus</w:t>
      </w:r>
      <w:r w:rsidR="00A3226F" w:rsidRPr="00F035AB">
        <w:rPr>
          <w:rFonts w:cs="Times New Roman"/>
          <w:szCs w:val="24"/>
        </w:rPr>
        <w:t>, kas</w:t>
      </w:r>
      <w:r w:rsidRPr="00F035AB">
        <w:rPr>
          <w:rFonts w:cs="Times New Roman"/>
          <w:szCs w:val="24"/>
        </w:rPr>
        <w:t xml:space="preserve"> </w:t>
      </w:r>
      <w:r w:rsidR="00A3226F" w:rsidRPr="00F035AB">
        <w:rPr>
          <w:rFonts w:cs="Times New Roman"/>
          <w:szCs w:val="24"/>
        </w:rPr>
        <w:t>saistīti</w:t>
      </w:r>
      <w:r w:rsidRPr="00F035AB">
        <w:rPr>
          <w:rFonts w:cs="Times New Roman"/>
          <w:szCs w:val="24"/>
        </w:rPr>
        <w:t xml:space="preserve"> ar pieteicēja ievietošanu pagaidu turēšanas telpā, no tiesas sprieduma ir redzams, ka tiesa pieteicēja aizturēšanas </w:t>
      </w:r>
      <w:r w:rsidR="00AF059C" w:rsidRPr="00F035AB">
        <w:rPr>
          <w:rFonts w:cs="Times New Roman"/>
          <w:szCs w:val="24"/>
        </w:rPr>
        <w:t>pamatotību</w:t>
      </w:r>
      <w:r w:rsidRPr="00F035AB">
        <w:rPr>
          <w:rFonts w:cs="Times New Roman"/>
          <w:szCs w:val="24"/>
        </w:rPr>
        <w:t xml:space="preserve"> ir vērtējusi kopumā. </w:t>
      </w:r>
      <w:r w:rsidR="00595213" w:rsidRPr="00F035AB">
        <w:rPr>
          <w:rFonts w:cs="Times New Roman"/>
          <w:szCs w:val="24"/>
          <w:lang w:eastAsia="ru-RU"/>
        </w:rPr>
        <w:t>Turklāt Senāts konstatē, ka atbilstoši Valsts policijas 2015.gada 30.jūlija dienesta pārbaudes atzinumā norādītajam pieteicējs pagaidu turēšanas telpā bija ievietots, jo uzvedās skaļi un ar savām replikām traucēja strādāt (</w:t>
      </w:r>
      <w:r w:rsidR="00595213" w:rsidRPr="00F035AB">
        <w:rPr>
          <w:rFonts w:cs="Times New Roman"/>
          <w:i/>
          <w:szCs w:val="24"/>
          <w:lang w:eastAsia="ru-RU"/>
        </w:rPr>
        <w:t>lietas 2.sējuma 110.lapa</w:t>
      </w:r>
      <w:r w:rsidR="00595213" w:rsidRPr="00F035AB">
        <w:rPr>
          <w:rFonts w:cs="Times New Roman"/>
          <w:szCs w:val="24"/>
          <w:lang w:eastAsia="ru-RU"/>
        </w:rPr>
        <w:t>). Tādējādi</w:t>
      </w:r>
      <w:r w:rsidR="008300DF" w:rsidRPr="00F035AB">
        <w:rPr>
          <w:rFonts w:cs="Times New Roman"/>
          <w:szCs w:val="24"/>
          <w:lang w:eastAsia="ru-RU"/>
        </w:rPr>
        <w:t xml:space="preserve"> </w:t>
      </w:r>
      <w:r w:rsidR="00595213" w:rsidRPr="00F035AB">
        <w:rPr>
          <w:rFonts w:cs="Times New Roman"/>
          <w:szCs w:val="24"/>
          <w:lang w:eastAsia="ru-RU"/>
        </w:rPr>
        <w:t xml:space="preserve">pieteicēja ievietošana pagaidu turēšanas telpā </w:t>
      </w:r>
      <w:r w:rsidR="008300DF" w:rsidRPr="00F035AB">
        <w:rPr>
          <w:rFonts w:cs="Times New Roman"/>
          <w:szCs w:val="24"/>
          <w:lang w:eastAsia="ru-RU"/>
        </w:rPr>
        <w:t>vispārīgi bija atbilstoša</w:t>
      </w:r>
      <w:r w:rsidR="00595213" w:rsidRPr="00F035AB">
        <w:rPr>
          <w:rFonts w:cs="Times New Roman"/>
          <w:szCs w:val="24"/>
          <w:lang w:eastAsia="ru-RU"/>
        </w:rPr>
        <w:t xml:space="preserve"> likuma „Par policiju” 13.panta pirm</w:t>
      </w:r>
      <w:r w:rsidR="008300DF" w:rsidRPr="00F035AB">
        <w:rPr>
          <w:rFonts w:cs="Times New Roman"/>
          <w:szCs w:val="24"/>
          <w:lang w:eastAsia="ru-RU"/>
        </w:rPr>
        <w:t>ās</w:t>
      </w:r>
      <w:r w:rsidR="00595213" w:rsidRPr="00F035AB">
        <w:rPr>
          <w:rFonts w:cs="Times New Roman"/>
          <w:szCs w:val="24"/>
          <w:lang w:eastAsia="ru-RU"/>
        </w:rPr>
        <w:t xml:space="preserve"> daļ</w:t>
      </w:r>
      <w:r w:rsidR="008300DF" w:rsidRPr="00F035AB">
        <w:rPr>
          <w:rFonts w:cs="Times New Roman"/>
          <w:szCs w:val="24"/>
          <w:lang w:eastAsia="ru-RU"/>
        </w:rPr>
        <w:t>as 5.punktā</w:t>
      </w:r>
      <w:r w:rsidR="00595213" w:rsidRPr="00F035AB">
        <w:rPr>
          <w:rFonts w:cs="Times New Roman"/>
          <w:szCs w:val="24"/>
          <w:lang w:eastAsia="ru-RU"/>
        </w:rPr>
        <w:t xml:space="preserve"> noteiktajām policijas </w:t>
      </w:r>
      <w:r w:rsidR="008300DF" w:rsidRPr="00F035AB">
        <w:rPr>
          <w:rFonts w:cs="Times New Roman"/>
          <w:szCs w:val="24"/>
          <w:lang w:eastAsia="ru-RU"/>
        </w:rPr>
        <w:t>darbinieku tiesībām, kas noteic, ka policijas darbiniekam, pildot dienesta pienākumus, ir tiesības arī ievietot aizturētās personas pagaidu turēšanas telpās, lai savaldītu aizturētās personas, ja tās nepakļaujas vai pretojas policijas darbiniekiem.</w:t>
      </w:r>
    </w:p>
    <w:p w14:paraId="60654EE1" w14:textId="23EDE375" w:rsidR="007C30D1" w:rsidRPr="00F035AB" w:rsidRDefault="008300DF" w:rsidP="00CE0C30">
      <w:pPr>
        <w:pStyle w:val="NoSpacing"/>
        <w:spacing w:line="276" w:lineRule="auto"/>
        <w:ind w:firstLine="567"/>
        <w:jc w:val="both"/>
        <w:rPr>
          <w:rFonts w:cs="Times New Roman"/>
          <w:szCs w:val="24"/>
        </w:rPr>
      </w:pPr>
      <w:r w:rsidRPr="00F035AB">
        <w:rPr>
          <w:rFonts w:cs="Times New Roman"/>
          <w:szCs w:val="24"/>
        </w:rPr>
        <w:t xml:space="preserve">Vienlaikus gan </w:t>
      </w:r>
      <w:r w:rsidR="00AF059C" w:rsidRPr="00F035AB">
        <w:rPr>
          <w:rFonts w:cs="Times New Roman"/>
          <w:szCs w:val="24"/>
        </w:rPr>
        <w:t>jāatzīmē</w:t>
      </w:r>
      <w:r w:rsidR="00152D4D" w:rsidRPr="00F035AB">
        <w:rPr>
          <w:rFonts w:cs="Times New Roman"/>
          <w:szCs w:val="24"/>
        </w:rPr>
        <w:t>, ka</w:t>
      </w:r>
      <w:r w:rsidR="0039278A" w:rsidRPr="00F035AB">
        <w:rPr>
          <w:rFonts w:cs="Times New Roman"/>
          <w:szCs w:val="24"/>
        </w:rPr>
        <w:t xml:space="preserve"> </w:t>
      </w:r>
      <w:r w:rsidR="00152D4D" w:rsidRPr="00F035AB">
        <w:rPr>
          <w:rFonts w:cs="Times New Roman"/>
          <w:szCs w:val="24"/>
        </w:rPr>
        <w:t xml:space="preserve">pats pieteicējs </w:t>
      </w:r>
      <w:r w:rsidR="0039278A" w:rsidRPr="00F035AB">
        <w:rPr>
          <w:rFonts w:cs="Times New Roman"/>
          <w:szCs w:val="24"/>
        </w:rPr>
        <w:t xml:space="preserve">apelācijas sūdzībā nebija </w:t>
      </w:r>
      <w:r w:rsidR="007C30D1" w:rsidRPr="00F035AB">
        <w:rPr>
          <w:rFonts w:cs="Times New Roman"/>
          <w:szCs w:val="24"/>
        </w:rPr>
        <w:t xml:space="preserve">tieši </w:t>
      </w:r>
      <w:r w:rsidR="0039278A" w:rsidRPr="00F035AB">
        <w:rPr>
          <w:rFonts w:cs="Times New Roman"/>
          <w:szCs w:val="24"/>
        </w:rPr>
        <w:t>norādījis</w:t>
      </w:r>
      <w:r w:rsidR="00152D4D" w:rsidRPr="00F035AB">
        <w:rPr>
          <w:rFonts w:cs="Times New Roman"/>
          <w:szCs w:val="24"/>
        </w:rPr>
        <w:t xml:space="preserve"> uz </w:t>
      </w:r>
      <w:r w:rsidR="0039278A" w:rsidRPr="00F035AB">
        <w:rPr>
          <w:rFonts w:cs="Times New Roman"/>
          <w:szCs w:val="24"/>
        </w:rPr>
        <w:t xml:space="preserve">šiem </w:t>
      </w:r>
      <w:r w:rsidR="00152D4D" w:rsidRPr="00F035AB">
        <w:rPr>
          <w:rFonts w:cs="Times New Roman"/>
          <w:szCs w:val="24"/>
        </w:rPr>
        <w:t xml:space="preserve">apstākļiem, kas tagad tiek </w:t>
      </w:r>
      <w:r w:rsidR="00C17049" w:rsidRPr="00F035AB">
        <w:rPr>
          <w:rFonts w:cs="Times New Roman"/>
          <w:szCs w:val="24"/>
        </w:rPr>
        <w:t>minēti</w:t>
      </w:r>
      <w:r w:rsidRPr="00F035AB">
        <w:rPr>
          <w:rFonts w:cs="Times New Roman"/>
          <w:szCs w:val="24"/>
        </w:rPr>
        <w:t xml:space="preserve"> kasācijas sūdzībā</w:t>
      </w:r>
      <w:r w:rsidR="001F2AE3" w:rsidRPr="00F035AB">
        <w:rPr>
          <w:rFonts w:cs="Times New Roman"/>
          <w:szCs w:val="24"/>
        </w:rPr>
        <w:t>. J</w:t>
      </w:r>
      <w:r w:rsidR="00A3226F" w:rsidRPr="00F035AB">
        <w:rPr>
          <w:rFonts w:cs="Times New Roman"/>
          <w:szCs w:val="24"/>
        </w:rPr>
        <w:t xml:space="preserve">āņem vērā, ka kasācijas instances tiesa nevērtē tādus lietas apstākļus, uz kuriem procesa dalībnieki, tikai viņiem vien zināmu iemeslu dēļ, nav norādījuši apelācijas sūdzībā un </w:t>
      </w:r>
      <w:r w:rsidR="001F2AE3" w:rsidRPr="00F035AB">
        <w:rPr>
          <w:rFonts w:cs="Times New Roman"/>
          <w:szCs w:val="24"/>
        </w:rPr>
        <w:t xml:space="preserve">kuri </w:t>
      </w:r>
      <w:r w:rsidR="00A3226F" w:rsidRPr="00F035AB">
        <w:rPr>
          <w:rFonts w:cs="Times New Roman"/>
          <w:szCs w:val="24"/>
        </w:rPr>
        <w:t>līdz ar to nav vērt</w:t>
      </w:r>
      <w:r w:rsidR="00EE6AB3" w:rsidRPr="00F035AB">
        <w:rPr>
          <w:rFonts w:cs="Times New Roman"/>
          <w:szCs w:val="24"/>
        </w:rPr>
        <w:t>ēti apelācijas instances tiesā.</w:t>
      </w:r>
    </w:p>
    <w:p w14:paraId="0F305FD4" w14:textId="77777777" w:rsidR="00A3226F" w:rsidRPr="00F035AB" w:rsidRDefault="00A3226F" w:rsidP="00CE0C30">
      <w:pPr>
        <w:pStyle w:val="NoSpacing"/>
        <w:spacing w:line="276" w:lineRule="auto"/>
        <w:ind w:firstLine="567"/>
        <w:jc w:val="both"/>
        <w:rPr>
          <w:rFonts w:cs="Times New Roman"/>
          <w:szCs w:val="24"/>
        </w:rPr>
      </w:pPr>
    </w:p>
    <w:p w14:paraId="61266787" w14:textId="77777777" w:rsidR="002D68EF" w:rsidRPr="00F035AB" w:rsidRDefault="002D68EF" w:rsidP="00B23FB6">
      <w:pPr>
        <w:pStyle w:val="NoSpacing"/>
        <w:spacing w:line="276" w:lineRule="auto"/>
        <w:jc w:val="center"/>
        <w:rPr>
          <w:rFonts w:cs="Times New Roman"/>
          <w:b/>
          <w:szCs w:val="24"/>
        </w:rPr>
      </w:pPr>
      <w:r w:rsidRPr="00F035AB">
        <w:rPr>
          <w:rFonts w:cs="Times New Roman"/>
          <w:b/>
          <w:szCs w:val="24"/>
        </w:rPr>
        <w:t>Rezolutīvā daļa</w:t>
      </w:r>
    </w:p>
    <w:p w14:paraId="195E9397" w14:textId="77777777" w:rsidR="002D68EF" w:rsidRPr="00F035AB" w:rsidRDefault="002D68EF" w:rsidP="00CE0C30">
      <w:pPr>
        <w:pStyle w:val="NoSpacing"/>
        <w:spacing w:line="276" w:lineRule="auto"/>
        <w:ind w:firstLine="567"/>
        <w:rPr>
          <w:rFonts w:cs="Times New Roman"/>
          <w:szCs w:val="24"/>
        </w:rPr>
      </w:pPr>
    </w:p>
    <w:p w14:paraId="5C50D0C2" w14:textId="47B58D30" w:rsidR="002D68EF" w:rsidRPr="00F035AB" w:rsidRDefault="002D68EF" w:rsidP="00CE0C30">
      <w:pPr>
        <w:pStyle w:val="NoSpacing"/>
        <w:spacing w:line="276" w:lineRule="auto"/>
        <w:ind w:firstLine="567"/>
        <w:jc w:val="both"/>
        <w:rPr>
          <w:rFonts w:cs="Times New Roman"/>
          <w:szCs w:val="24"/>
        </w:rPr>
      </w:pPr>
      <w:r w:rsidRPr="00F035AB">
        <w:rPr>
          <w:rFonts w:cs="Times New Roman"/>
          <w:szCs w:val="24"/>
        </w:rPr>
        <w:t xml:space="preserve">Pamatojoties uz Administratīvā procesa likuma </w:t>
      </w:r>
      <w:r w:rsidR="00D479EA" w:rsidRPr="00F035AB">
        <w:rPr>
          <w:rFonts w:cs="Times New Roman"/>
          <w:szCs w:val="24"/>
        </w:rPr>
        <w:t xml:space="preserve">119.panta ceturtās daļas 2.punktu, </w:t>
      </w:r>
      <w:r w:rsidRPr="00F035AB">
        <w:rPr>
          <w:rFonts w:cs="Times New Roman"/>
          <w:szCs w:val="24"/>
        </w:rPr>
        <w:t xml:space="preserve">348.panta pirmās daļas </w:t>
      </w:r>
      <w:r w:rsidR="006C0B84" w:rsidRPr="00F035AB">
        <w:rPr>
          <w:rFonts w:cs="Times New Roman"/>
          <w:szCs w:val="24"/>
        </w:rPr>
        <w:t>2</w:t>
      </w:r>
      <w:r w:rsidRPr="00F035AB">
        <w:rPr>
          <w:rFonts w:cs="Times New Roman"/>
          <w:szCs w:val="24"/>
        </w:rPr>
        <w:t>.punktu</w:t>
      </w:r>
      <w:r w:rsidR="001030FF" w:rsidRPr="00F035AB">
        <w:rPr>
          <w:rFonts w:cs="Times New Roman"/>
          <w:szCs w:val="24"/>
        </w:rPr>
        <w:t>,</w:t>
      </w:r>
      <w:r w:rsidRPr="00F035AB">
        <w:rPr>
          <w:rFonts w:cs="Times New Roman"/>
          <w:szCs w:val="24"/>
        </w:rPr>
        <w:t xml:space="preserve"> </w:t>
      </w:r>
      <w:r w:rsidR="001030FF" w:rsidRPr="00F035AB">
        <w:rPr>
          <w:rFonts w:cs="Times New Roman"/>
          <w:bCs/>
          <w:szCs w:val="24"/>
        </w:rPr>
        <w:t>129.</w:t>
      </w:r>
      <w:r w:rsidR="001030FF" w:rsidRPr="00F035AB">
        <w:rPr>
          <w:rFonts w:cs="Times New Roman"/>
          <w:bCs/>
          <w:szCs w:val="24"/>
          <w:vertAlign w:val="superscript"/>
        </w:rPr>
        <w:t>1</w:t>
      </w:r>
      <w:r w:rsidR="001030FF" w:rsidRPr="00F035AB">
        <w:rPr>
          <w:rFonts w:cs="Times New Roman"/>
          <w:bCs/>
          <w:szCs w:val="24"/>
        </w:rPr>
        <w:t>panta pirmās daļas 1.punktu</w:t>
      </w:r>
      <w:r w:rsidR="001030FF" w:rsidRPr="00F035AB">
        <w:rPr>
          <w:rFonts w:cs="Times New Roman"/>
          <w:szCs w:val="24"/>
        </w:rPr>
        <w:t xml:space="preserve"> </w:t>
      </w:r>
      <w:r w:rsidRPr="00F035AB">
        <w:rPr>
          <w:rFonts w:cs="Times New Roman"/>
          <w:szCs w:val="24"/>
        </w:rPr>
        <w:t>un 351.pantu, Senāts</w:t>
      </w:r>
    </w:p>
    <w:p w14:paraId="0D5DB3E5" w14:textId="77777777" w:rsidR="00383517" w:rsidRPr="00F035AB" w:rsidRDefault="00383517" w:rsidP="00CE0C30">
      <w:pPr>
        <w:pStyle w:val="NoSpacing"/>
        <w:spacing w:line="276" w:lineRule="auto"/>
        <w:ind w:firstLine="567"/>
        <w:rPr>
          <w:rFonts w:cs="Times New Roman"/>
          <w:szCs w:val="24"/>
        </w:rPr>
      </w:pPr>
    </w:p>
    <w:p w14:paraId="0B9AB058" w14:textId="7B94F4F0" w:rsidR="002D68EF" w:rsidRPr="00F035AB" w:rsidRDefault="002D68EF" w:rsidP="00B23FB6">
      <w:pPr>
        <w:pStyle w:val="NoSpacing"/>
        <w:spacing w:line="276" w:lineRule="auto"/>
        <w:jc w:val="center"/>
        <w:rPr>
          <w:rFonts w:cs="Times New Roman"/>
          <w:b/>
          <w:szCs w:val="24"/>
        </w:rPr>
      </w:pPr>
      <w:r w:rsidRPr="00F035AB">
        <w:rPr>
          <w:rFonts w:cs="Times New Roman"/>
          <w:b/>
          <w:szCs w:val="24"/>
        </w:rPr>
        <w:t>nosprieda</w:t>
      </w:r>
      <w:r w:rsidR="001030FF" w:rsidRPr="00F035AB">
        <w:rPr>
          <w:rFonts w:cs="Times New Roman"/>
          <w:b/>
          <w:szCs w:val="24"/>
        </w:rPr>
        <w:t>:</w:t>
      </w:r>
    </w:p>
    <w:p w14:paraId="486BE640" w14:textId="77777777" w:rsidR="002D68EF" w:rsidRPr="00F035AB" w:rsidRDefault="002D68EF" w:rsidP="00CE0C30">
      <w:pPr>
        <w:pStyle w:val="NoSpacing"/>
        <w:spacing w:line="276" w:lineRule="auto"/>
        <w:ind w:firstLine="567"/>
        <w:rPr>
          <w:rFonts w:cs="Times New Roman"/>
          <w:szCs w:val="24"/>
        </w:rPr>
      </w:pPr>
    </w:p>
    <w:p w14:paraId="55DD42BB" w14:textId="49CC40F9" w:rsidR="00985BCB" w:rsidRPr="00F035AB" w:rsidRDefault="00985BCB" w:rsidP="00CE0C30">
      <w:pPr>
        <w:pStyle w:val="NoSpacing"/>
        <w:spacing w:line="276" w:lineRule="auto"/>
        <w:ind w:firstLine="567"/>
        <w:jc w:val="both"/>
        <w:rPr>
          <w:rFonts w:cs="Times New Roman"/>
          <w:szCs w:val="24"/>
        </w:rPr>
      </w:pPr>
      <w:r w:rsidRPr="00F035AB">
        <w:rPr>
          <w:rFonts w:cs="Times New Roman"/>
          <w:szCs w:val="24"/>
        </w:rPr>
        <w:t xml:space="preserve">nepieņemt </w:t>
      </w:r>
      <w:r w:rsidR="00944757">
        <w:rPr>
          <w:rFonts w:cs="Times New Roman"/>
          <w:szCs w:val="24"/>
        </w:rPr>
        <w:t>[pers. A]</w:t>
      </w:r>
      <w:r w:rsidRPr="00F035AB">
        <w:rPr>
          <w:rFonts w:cs="Times New Roman"/>
          <w:szCs w:val="24"/>
        </w:rPr>
        <w:t xml:space="preserve"> pieteikto noraidījumu visam tiesas sastāvam;</w:t>
      </w:r>
    </w:p>
    <w:p w14:paraId="6E6D0D9F" w14:textId="6890E681" w:rsidR="002D68EF" w:rsidRPr="00F035AB" w:rsidRDefault="006C0B84" w:rsidP="00CE0C30">
      <w:pPr>
        <w:pStyle w:val="NoSpacing"/>
        <w:spacing w:line="276" w:lineRule="auto"/>
        <w:ind w:firstLine="567"/>
        <w:jc w:val="both"/>
        <w:rPr>
          <w:rFonts w:cs="Times New Roman"/>
          <w:szCs w:val="24"/>
        </w:rPr>
      </w:pPr>
      <w:r w:rsidRPr="00F035AB">
        <w:rPr>
          <w:rFonts w:cs="Times New Roman"/>
          <w:szCs w:val="24"/>
        </w:rPr>
        <w:t>atcelt</w:t>
      </w:r>
      <w:r w:rsidR="002D68EF" w:rsidRPr="00F035AB">
        <w:rPr>
          <w:rFonts w:cs="Times New Roman"/>
          <w:szCs w:val="24"/>
        </w:rPr>
        <w:t xml:space="preserve"> Administratīvās apgabaltiesas 2018.gada 18.jūnija spriedumu</w:t>
      </w:r>
      <w:r w:rsidR="0066537B" w:rsidRPr="00F035AB">
        <w:rPr>
          <w:rFonts w:cs="Times New Roman"/>
          <w:szCs w:val="24"/>
        </w:rPr>
        <w:t xml:space="preserve"> daļā, ar kuru noraidīts pieteikums par morālā kaitējuma atlīdzināšanu 2800 </w:t>
      </w:r>
      <w:proofErr w:type="spellStart"/>
      <w:r w:rsidR="0066537B" w:rsidRPr="00F035AB">
        <w:rPr>
          <w:rFonts w:cs="Times New Roman"/>
          <w:i/>
          <w:szCs w:val="24"/>
        </w:rPr>
        <w:t>euro</w:t>
      </w:r>
      <w:proofErr w:type="spellEnd"/>
      <w:r w:rsidR="00A453BF" w:rsidRPr="00F035AB">
        <w:rPr>
          <w:rFonts w:cs="Times New Roman"/>
          <w:szCs w:val="24"/>
        </w:rPr>
        <w:t>, un šajā daļā nosūtīt lietu jaunai izskatīšanai apelācijas instances tiesai;</w:t>
      </w:r>
    </w:p>
    <w:p w14:paraId="36E49F9A" w14:textId="75F03F99" w:rsidR="006C0B84" w:rsidRPr="00F035AB" w:rsidRDefault="006C0B84" w:rsidP="00CE0C30">
      <w:pPr>
        <w:pStyle w:val="NoSpacing"/>
        <w:spacing w:line="276" w:lineRule="auto"/>
        <w:ind w:firstLine="567"/>
        <w:jc w:val="both"/>
        <w:rPr>
          <w:rFonts w:cs="Times New Roman"/>
          <w:szCs w:val="24"/>
        </w:rPr>
      </w:pPr>
      <w:r w:rsidRPr="00F035AB">
        <w:rPr>
          <w:rFonts w:cs="Times New Roman"/>
          <w:szCs w:val="24"/>
        </w:rPr>
        <w:t xml:space="preserve">atmaksāt </w:t>
      </w:r>
      <w:r w:rsidR="00944757">
        <w:rPr>
          <w:rFonts w:cs="Times New Roman"/>
          <w:szCs w:val="24"/>
        </w:rPr>
        <w:t>[pers. A]</w:t>
      </w:r>
      <w:r w:rsidRPr="00F035AB">
        <w:rPr>
          <w:rFonts w:cs="Times New Roman"/>
          <w:szCs w:val="24"/>
        </w:rPr>
        <w:t xml:space="preserve"> iemaksāto drošības naudu</w:t>
      </w:r>
      <w:r w:rsidR="00A453BF" w:rsidRPr="00F035AB">
        <w:rPr>
          <w:rFonts w:cs="Times New Roman"/>
          <w:szCs w:val="24"/>
        </w:rPr>
        <w:t xml:space="preserve"> </w:t>
      </w:r>
      <w:r w:rsidRPr="00F035AB">
        <w:rPr>
          <w:rFonts w:cs="Times New Roman"/>
          <w:szCs w:val="24"/>
        </w:rPr>
        <w:t xml:space="preserve">70 </w:t>
      </w:r>
      <w:proofErr w:type="spellStart"/>
      <w:r w:rsidRPr="00F035AB">
        <w:rPr>
          <w:rFonts w:cs="Times New Roman"/>
          <w:i/>
          <w:szCs w:val="24"/>
        </w:rPr>
        <w:t>euro</w:t>
      </w:r>
      <w:proofErr w:type="spellEnd"/>
      <w:r w:rsidRPr="00F035AB">
        <w:rPr>
          <w:rFonts w:cs="Times New Roman"/>
          <w:szCs w:val="24"/>
        </w:rPr>
        <w:t>.</w:t>
      </w:r>
    </w:p>
    <w:p w14:paraId="18D2E757" w14:textId="68B08DF0" w:rsidR="00DF2A75" w:rsidRPr="00F035AB" w:rsidRDefault="002D68EF" w:rsidP="00CE0C30">
      <w:pPr>
        <w:pStyle w:val="NoSpacing"/>
        <w:spacing w:line="276" w:lineRule="auto"/>
        <w:ind w:firstLine="567"/>
        <w:rPr>
          <w:rFonts w:cs="Times New Roman"/>
          <w:szCs w:val="24"/>
        </w:rPr>
      </w:pPr>
      <w:r w:rsidRPr="00F035AB">
        <w:rPr>
          <w:rFonts w:cs="Times New Roman"/>
          <w:szCs w:val="24"/>
        </w:rPr>
        <w:t>Spriedums nav pārsūdzams.</w:t>
      </w:r>
    </w:p>
    <w:sectPr w:rsidR="00DF2A75" w:rsidRPr="00F035AB" w:rsidSect="00EF1A71">
      <w:footerReference w:type="default" r:id="rId11"/>
      <w:pgSz w:w="11906" w:h="16838"/>
      <w:pgMar w:top="1134" w:right="992" w:bottom="1134" w:left="170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07532" w14:textId="77777777" w:rsidR="00567705" w:rsidRDefault="00567705" w:rsidP="00492C80">
      <w:pPr>
        <w:spacing w:after="0" w:line="240" w:lineRule="auto"/>
      </w:pPr>
      <w:r>
        <w:separator/>
      </w:r>
    </w:p>
  </w:endnote>
  <w:endnote w:type="continuationSeparator" w:id="0">
    <w:p w14:paraId="31ABBC50" w14:textId="77777777" w:rsidR="00567705" w:rsidRDefault="00567705" w:rsidP="00492C80">
      <w:pPr>
        <w:spacing w:after="0" w:line="240" w:lineRule="auto"/>
      </w:pPr>
      <w:r>
        <w:continuationSeparator/>
      </w:r>
    </w:p>
  </w:endnote>
  <w:endnote w:type="continuationNotice" w:id="1">
    <w:p w14:paraId="2FAD3453" w14:textId="77777777" w:rsidR="00567705" w:rsidRDefault="00567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Lucida Grande CE">
    <w:altName w:val="Times New Roman"/>
    <w:charset w:val="58"/>
    <w:family w:val="auto"/>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692432"/>
      <w:docPartObj>
        <w:docPartGallery w:val="Page Numbers (Bottom of Page)"/>
        <w:docPartUnique/>
      </w:docPartObj>
    </w:sdtPr>
    <w:sdtEndPr>
      <w:rPr>
        <w:noProof/>
      </w:rPr>
    </w:sdtEndPr>
    <w:sdtContent>
      <w:p w14:paraId="5F49A384" w14:textId="1FBE04DC" w:rsidR="00F0247C" w:rsidRDefault="00F0247C" w:rsidP="00492C8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C58E4">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85DFA">
          <w:rPr>
            <w:rStyle w:val="PageNumber"/>
            <w:noProof/>
          </w:rPr>
          <w:t>8</w:t>
        </w:r>
        <w:r>
          <w:rPr>
            <w:rStyle w:val="PageNumber"/>
            <w:noProof/>
          </w:rPr>
          <w:fldChar w:fldCharType="end"/>
        </w:r>
      </w:p>
    </w:sdtContent>
  </w:sdt>
  <w:p w14:paraId="2712D8A5" w14:textId="77777777" w:rsidR="00F0247C" w:rsidRDefault="00F0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B8BA" w14:textId="77777777" w:rsidR="00567705" w:rsidRDefault="00567705" w:rsidP="00492C80">
      <w:pPr>
        <w:spacing w:after="0" w:line="240" w:lineRule="auto"/>
      </w:pPr>
      <w:r>
        <w:separator/>
      </w:r>
    </w:p>
  </w:footnote>
  <w:footnote w:type="continuationSeparator" w:id="0">
    <w:p w14:paraId="11E08BA2" w14:textId="77777777" w:rsidR="00567705" w:rsidRDefault="00567705" w:rsidP="00492C80">
      <w:pPr>
        <w:spacing w:after="0" w:line="240" w:lineRule="auto"/>
      </w:pPr>
      <w:r>
        <w:continuationSeparator/>
      </w:r>
    </w:p>
  </w:footnote>
  <w:footnote w:type="continuationNotice" w:id="1">
    <w:p w14:paraId="794B604A" w14:textId="77777777" w:rsidR="00567705" w:rsidRDefault="0056770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42"/>
    <w:rsid w:val="00011746"/>
    <w:rsid w:val="00011F58"/>
    <w:rsid w:val="00015396"/>
    <w:rsid w:val="000170F2"/>
    <w:rsid w:val="00026633"/>
    <w:rsid w:val="0003250E"/>
    <w:rsid w:val="00032E8A"/>
    <w:rsid w:val="00034752"/>
    <w:rsid w:val="00040761"/>
    <w:rsid w:val="00044BDE"/>
    <w:rsid w:val="00045BED"/>
    <w:rsid w:val="000525A4"/>
    <w:rsid w:val="00052828"/>
    <w:rsid w:val="00052CD2"/>
    <w:rsid w:val="00057DD3"/>
    <w:rsid w:val="0006271A"/>
    <w:rsid w:val="000672B9"/>
    <w:rsid w:val="000750AC"/>
    <w:rsid w:val="00080F7A"/>
    <w:rsid w:val="00081D5B"/>
    <w:rsid w:val="00085DFA"/>
    <w:rsid w:val="00086651"/>
    <w:rsid w:val="0009266C"/>
    <w:rsid w:val="00094123"/>
    <w:rsid w:val="00096A04"/>
    <w:rsid w:val="000A2A8F"/>
    <w:rsid w:val="000A3111"/>
    <w:rsid w:val="000B1CB9"/>
    <w:rsid w:val="000C07E5"/>
    <w:rsid w:val="000D055C"/>
    <w:rsid w:val="000D2EB0"/>
    <w:rsid w:val="000D3768"/>
    <w:rsid w:val="000E4CB9"/>
    <w:rsid w:val="000E505C"/>
    <w:rsid w:val="000F1582"/>
    <w:rsid w:val="000F3C85"/>
    <w:rsid w:val="001004B4"/>
    <w:rsid w:val="001030FF"/>
    <w:rsid w:val="001042EA"/>
    <w:rsid w:val="0010530A"/>
    <w:rsid w:val="0010577F"/>
    <w:rsid w:val="00105F00"/>
    <w:rsid w:val="00114E4F"/>
    <w:rsid w:val="001206EC"/>
    <w:rsid w:val="00120855"/>
    <w:rsid w:val="0012157C"/>
    <w:rsid w:val="001322C3"/>
    <w:rsid w:val="0013285F"/>
    <w:rsid w:val="00135736"/>
    <w:rsid w:val="00137D39"/>
    <w:rsid w:val="001407F6"/>
    <w:rsid w:val="00140CA1"/>
    <w:rsid w:val="00140E7B"/>
    <w:rsid w:val="00141E89"/>
    <w:rsid w:val="00143E3E"/>
    <w:rsid w:val="00144A41"/>
    <w:rsid w:val="00145B19"/>
    <w:rsid w:val="00145D9E"/>
    <w:rsid w:val="00150786"/>
    <w:rsid w:val="00152785"/>
    <w:rsid w:val="00152D4D"/>
    <w:rsid w:val="00161661"/>
    <w:rsid w:val="00162A2D"/>
    <w:rsid w:val="001716C3"/>
    <w:rsid w:val="00173792"/>
    <w:rsid w:val="00180ABC"/>
    <w:rsid w:val="00183FB4"/>
    <w:rsid w:val="0019356E"/>
    <w:rsid w:val="001952F5"/>
    <w:rsid w:val="0019723C"/>
    <w:rsid w:val="0019783C"/>
    <w:rsid w:val="00197F57"/>
    <w:rsid w:val="001A0F04"/>
    <w:rsid w:val="001A3727"/>
    <w:rsid w:val="001A4153"/>
    <w:rsid w:val="001A64AE"/>
    <w:rsid w:val="001A7A33"/>
    <w:rsid w:val="001A7F5D"/>
    <w:rsid w:val="001B09C6"/>
    <w:rsid w:val="001B139D"/>
    <w:rsid w:val="001B7125"/>
    <w:rsid w:val="001B75DC"/>
    <w:rsid w:val="001C1AB3"/>
    <w:rsid w:val="001C2E9D"/>
    <w:rsid w:val="001C6198"/>
    <w:rsid w:val="001C7946"/>
    <w:rsid w:val="001D1B83"/>
    <w:rsid w:val="001E07CE"/>
    <w:rsid w:val="001E24E8"/>
    <w:rsid w:val="001E2B68"/>
    <w:rsid w:val="001E2D67"/>
    <w:rsid w:val="001E2FFA"/>
    <w:rsid w:val="001E622F"/>
    <w:rsid w:val="001E7606"/>
    <w:rsid w:val="001F105A"/>
    <w:rsid w:val="001F2800"/>
    <w:rsid w:val="001F2AE3"/>
    <w:rsid w:val="001F46EC"/>
    <w:rsid w:val="001F4E13"/>
    <w:rsid w:val="001F5552"/>
    <w:rsid w:val="001F576A"/>
    <w:rsid w:val="00204885"/>
    <w:rsid w:val="00206568"/>
    <w:rsid w:val="00213827"/>
    <w:rsid w:val="002142BA"/>
    <w:rsid w:val="00214BF9"/>
    <w:rsid w:val="00217AC5"/>
    <w:rsid w:val="00221477"/>
    <w:rsid w:val="00222271"/>
    <w:rsid w:val="0022757D"/>
    <w:rsid w:val="00231FDD"/>
    <w:rsid w:val="002336B4"/>
    <w:rsid w:val="002345FB"/>
    <w:rsid w:val="0024339D"/>
    <w:rsid w:val="002467C9"/>
    <w:rsid w:val="00247E90"/>
    <w:rsid w:val="00250E62"/>
    <w:rsid w:val="00255671"/>
    <w:rsid w:val="00260744"/>
    <w:rsid w:val="00261642"/>
    <w:rsid w:val="002649F5"/>
    <w:rsid w:val="00267340"/>
    <w:rsid w:val="00270FD3"/>
    <w:rsid w:val="00271E78"/>
    <w:rsid w:val="002727CD"/>
    <w:rsid w:val="00272F27"/>
    <w:rsid w:val="00273CEC"/>
    <w:rsid w:val="00274702"/>
    <w:rsid w:val="0027589C"/>
    <w:rsid w:val="00276064"/>
    <w:rsid w:val="0027690D"/>
    <w:rsid w:val="00276B77"/>
    <w:rsid w:val="002813CD"/>
    <w:rsid w:val="00284A21"/>
    <w:rsid w:val="00286776"/>
    <w:rsid w:val="002916E5"/>
    <w:rsid w:val="00292E06"/>
    <w:rsid w:val="00294689"/>
    <w:rsid w:val="002A0F96"/>
    <w:rsid w:val="002A54D3"/>
    <w:rsid w:val="002A6523"/>
    <w:rsid w:val="002A70AA"/>
    <w:rsid w:val="002B1993"/>
    <w:rsid w:val="002B2CAF"/>
    <w:rsid w:val="002B3298"/>
    <w:rsid w:val="002B4E7B"/>
    <w:rsid w:val="002B558C"/>
    <w:rsid w:val="002B70DD"/>
    <w:rsid w:val="002C0294"/>
    <w:rsid w:val="002C0703"/>
    <w:rsid w:val="002C30FD"/>
    <w:rsid w:val="002C7520"/>
    <w:rsid w:val="002C75DA"/>
    <w:rsid w:val="002D4DBC"/>
    <w:rsid w:val="002D62D1"/>
    <w:rsid w:val="002D68EF"/>
    <w:rsid w:val="002E2B28"/>
    <w:rsid w:val="002E372E"/>
    <w:rsid w:val="002E48E6"/>
    <w:rsid w:val="002E52E8"/>
    <w:rsid w:val="002E6BC3"/>
    <w:rsid w:val="002F0153"/>
    <w:rsid w:val="002F0D2F"/>
    <w:rsid w:val="002F4180"/>
    <w:rsid w:val="002F5FF2"/>
    <w:rsid w:val="002F653C"/>
    <w:rsid w:val="002F6593"/>
    <w:rsid w:val="002F7C64"/>
    <w:rsid w:val="00301951"/>
    <w:rsid w:val="00315620"/>
    <w:rsid w:val="003200B6"/>
    <w:rsid w:val="0032310A"/>
    <w:rsid w:val="003234C7"/>
    <w:rsid w:val="003249FE"/>
    <w:rsid w:val="00325021"/>
    <w:rsid w:val="00326DE9"/>
    <w:rsid w:val="0032742E"/>
    <w:rsid w:val="0033147A"/>
    <w:rsid w:val="00331DC3"/>
    <w:rsid w:val="00332409"/>
    <w:rsid w:val="00333693"/>
    <w:rsid w:val="00334A00"/>
    <w:rsid w:val="00335F7E"/>
    <w:rsid w:val="00336BA4"/>
    <w:rsid w:val="00337447"/>
    <w:rsid w:val="00337793"/>
    <w:rsid w:val="00337FDF"/>
    <w:rsid w:val="00340462"/>
    <w:rsid w:val="00344A21"/>
    <w:rsid w:val="00345314"/>
    <w:rsid w:val="00345A2B"/>
    <w:rsid w:val="00345CF6"/>
    <w:rsid w:val="00350640"/>
    <w:rsid w:val="00350BC2"/>
    <w:rsid w:val="00350C56"/>
    <w:rsid w:val="00350EFF"/>
    <w:rsid w:val="00355511"/>
    <w:rsid w:val="00355AAE"/>
    <w:rsid w:val="00363342"/>
    <w:rsid w:val="00363FFD"/>
    <w:rsid w:val="00365596"/>
    <w:rsid w:val="00366952"/>
    <w:rsid w:val="003708F4"/>
    <w:rsid w:val="0037302B"/>
    <w:rsid w:val="003809BB"/>
    <w:rsid w:val="00383517"/>
    <w:rsid w:val="003867F7"/>
    <w:rsid w:val="00390DF6"/>
    <w:rsid w:val="003913B3"/>
    <w:rsid w:val="0039278A"/>
    <w:rsid w:val="0039350F"/>
    <w:rsid w:val="003938D8"/>
    <w:rsid w:val="003A63EB"/>
    <w:rsid w:val="003A75A2"/>
    <w:rsid w:val="003B4403"/>
    <w:rsid w:val="003C00B9"/>
    <w:rsid w:val="003C2356"/>
    <w:rsid w:val="003C3119"/>
    <w:rsid w:val="003D11E3"/>
    <w:rsid w:val="003D5A50"/>
    <w:rsid w:val="003D6F9A"/>
    <w:rsid w:val="003D7172"/>
    <w:rsid w:val="003E2779"/>
    <w:rsid w:val="003E48D7"/>
    <w:rsid w:val="003E4E53"/>
    <w:rsid w:val="003F1B35"/>
    <w:rsid w:val="00412B8B"/>
    <w:rsid w:val="00412E30"/>
    <w:rsid w:val="00414AD2"/>
    <w:rsid w:val="004168F3"/>
    <w:rsid w:val="00421503"/>
    <w:rsid w:val="0042156A"/>
    <w:rsid w:val="00427F0B"/>
    <w:rsid w:val="00430AA2"/>
    <w:rsid w:val="00431462"/>
    <w:rsid w:val="00433512"/>
    <w:rsid w:val="004379C7"/>
    <w:rsid w:val="00441F38"/>
    <w:rsid w:val="00444FFE"/>
    <w:rsid w:val="004473D1"/>
    <w:rsid w:val="00450E60"/>
    <w:rsid w:val="004517DD"/>
    <w:rsid w:val="00453475"/>
    <w:rsid w:val="00453843"/>
    <w:rsid w:val="00453B70"/>
    <w:rsid w:val="00455713"/>
    <w:rsid w:val="00461A7A"/>
    <w:rsid w:val="00461E67"/>
    <w:rsid w:val="004642C5"/>
    <w:rsid w:val="00464BAC"/>
    <w:rsid w:val="00464C6C"/>
    <w:rsid w:val="00466C99"/>
    <w:rsid w:val="00472195"/>
    <w:rsid w:val="004768BE"/>
    <w:rsid w:val="00476CA0"/>
    <w:rsid w:val="00477C84"/>
    <w:rsid w:val="0048061D"/>
    <w:rsid w:val="00487EBC"/>
    <w:rsid w:val="00492C80"/>
    <w:rsid w:val="00493E07"/>
    <w:rsid w:val="00494C74"/>
    <w:rsid w:val="0049630B"/>
    <w:rsid w:val="00496D0D"/>
    <w:rsid w:val="00497391"/>
    <w:rsid w:val="004A1452"/>
    <w:rsid w:val="004A4386"/>
    <w:rsid w:val="004A6C9F"/>
    <w:rsid w:val="004B2402"/>
    <w:rsid w:val="004B2C94"/>
    <w:rsid w:val="004B4161"/>
    <w:rsid w:val="004B5DD0"/>
    <w:rsid w:val="004B7361"/>
    <w:rsid w:val="004C1A6F"/>
    <w:rsid w:val="004C5D04"/>
    <w:rsid w:val="004C647C"/>
    <w:rsid w:val="004D284C"/>
    <w:rsid w:val="004D5B10"/>
    <w:rsid w:val="004D6777"/>
    <w:rsid w:val="004D75ED"/>
    <w:rsid w:val="004E0800"/>
    <w:rsid w:val="004E08D9"/>
    <w:rsid w:val="004E61E2"/>
    <w:rsid w:val="004E798F"/>
    <w:rsid w:val="004F211B"/>
    <w:rsid w:val="004F41B5"/>
    <w:rsid w:val="00500936"/>
    <w:rsid w:val="005055A0"/>
    <w:rsid w:val="00505B14"/>
    <w:rsid w:val="00506113"/>
    <w:rsid w:val="00507D8F"/>
    <w:rsid w:val="0051406D"/>
    <w:rsid w:val="00517CF3"/>
    <w:rsid w:val="00521443"/>
    <w:rsid w:val="005247BC"/>
    <w:rsid w:val="0052485A"/>
    <w:rsid w:val="00525B88"/>
    <w:rsid w:val="00527312"/>
    <w:rsid w:val="005302F4"/>
    <w:rsid w:val="0053400B"/>
    <w:rsid w:val="00536CCD"/>
    <w:rsid w:val="00537833"/>
    <w:rsid w:val="00537E6E"/>
    <w:rsid w:val="00540D60"/>
    <w:rsid w:val="0054395C"/>
    <w:rsid w:val="00544E39"/>
    <w:rsid w:val="00545AAF"/>
    <w:rsid w:val="00545E39"/>
    <w:rsid w:val="005552F7"/>
    <w:rsid w:val="00555349"/>
    <w:rsid w:val="005563DA"/>
    <w:rsid w:val="00556952"/>
    <w:rsid w:val="00563248"/>
    <w:rsid w:val="00563F7B"/>
    <w:rsid w:val="0056441B"/>
    <w:rsid w:val="00565603"/>
    <w:rsid w:val="00567705"/>
    <w:rsid w:val="00572C8D"/>
    <w:rsid w:val="00573A44"/>
    <w:rsid w:val="005740E0"/>
    <w:rsid w:val="005743AD"/>
    <w:rsid w:val="00584982"/>
    <w:rsid w:val="00590470"/>
    <w:rsid w:val="00595213"/>
    <w:rsid w:val="00595603"/>
    <w:rsid w:val="00597F60"/>
    <w:rsid w:val="005A34BC"/>
    <w:rsid w:val="005A55D5"/>
    <w:rsid w:val="005B4232"/>
    <w:rsid w:val="005B4B1B"/>
    <w:rsid w:val="005C1E81"/>
    <w:rsid w:val="005C38C5"/>
    <w:rsid w:val="005C3A9C"/>
    <w:rsid w:val="005D0F94"/>
    <w:rsid w:val="005D1B58"/>
    <w:rsid w:val="005D1B95"/>
    <w:rsid w:val="005D5292"/>
    <w:rsid w:val="005D64F2"/>
    <w:rsid w:val="005E19D8"/>
    <w:rsid w:val="005F3650"/>
    <w:rsid w:val="005F4199"/>
    <w:rsid w:val="005F5DB2"/>
    <w:rsid w:val="0060259C"/>
    <w:rsid w:val="00603861"/>
    <w:rsid w:val="00613886"/>
    <w:rsid w:val="00613E9C"/>
    <w:rsid w:val="00622A7F"/>
    <w:rsid w:val="00624C67"/>
    <w:rsid w:val="0062698D"/>
    <w:rsid w:val="00630B0C"/>
    <w:rsid w:val="006329D1"/>
    <w:rsid w:val="006344D7"/>
    <w:rsid w:val="0065348E"/>
    <w:rsid w:val="00657162"/>
    <w:rsid w:val="00660065"/>
    <w:rsid w:val="0066163F"/>
    <w:rsid w:val="00662C2C"/>
    <w:rsid w:val="0066399D"/>
    <w:rsid w:val="0066537B"/>
    <w:rsid w:val="0066796A"/>
    <w:rsid w:val="00670DF9"/>
    <w:rsid w:val="00672479"/>
    <w:rsid w:val="00672B8B"/>
    <w:rsid w:val="00672CB6"/>
    <w:rsid w:val="0067488F"/>
    <w:rsid w:val="00674EB2"/>
    <w:rsid w:val="00677B40"/>
    <w:rsid w:val="0068608E"/>
    <w:rsid w:val="0068671E"/>
    <w:rsid w:val="00686A92"/>
    <w:rsid w:val="00686ECE"/>
    <w:rsid w:val="006874CC"/>
    <w:rsid w:val="00687E30"/>
    <w:rsid w:val="00692D89"/>
    <w:rsid w:val="0069536B"/>
    <w:rsid w:val="006957D4"/>
    <w:rsid w:val="006A4298"/>
    <w:rsid w:val="006A429F"/>
    <w:rsid w:val="006A4448"/>
    <w:rsid w:val="006A77EA"/>
    <w:rsid w:val="006B032C"/>
    <w:rsid w:val="006B34A9"/>
    <w:rsid w:val="006B34AA"/>
    <w:rsid w:val="006B3818"/>
    <w:rsid w:val="006B4A59"/>
    <w:rsid w:val="006B6EAE"/>
    <w:rsid w:val="006B705B"/>
    <w:rsid w:val="006B7991"/>
    <w:rsid w:val="006C00BE"/>
    <w:rsid w:val="006C0B84"/>
    <w:rsid w:val="006C13EF"/>
    <w:rsid w:val="006C6625"/>
    <w:rsid w:val="006D4CE5"/>
    <w:rsid w:val="006D7773"/>
    <w:rsid w:val="006E13A5"/>
    <w:rsid w:val="006E3385"/>
    <w:rsid w:val="006E3F0D"/>
    <w:rsid w:val="006E7CE5"/>
    <w:rsid w:val="006F0912"/>
    <w:rsid w:val="006F1B0F"/>
    <w:rsid w:val="006F45CC"/>
    <w:rsid w:val="006F5B39"/>
    <w:rsid w:val="00700EBF"/>
    <w:rsid w:val="00701339"/>
    <w:rsid w:val="00704323"/>
    <w:rsid w:val="00706011"/>
    <w:rsid w:val="0070677A"/>
    <w:rsid w:val="007078BD"/>
    <w:rsid w:val="00713D2B"/>
    <w:rsid w:val="007150C6"/>
    <w:rsid w:val="0071716E"/>
    <w:rsid w:val="00717E01"/>
    <w:rsid w:val="007204B7"/>
    <w:rsid w:val="00721365"/>
    <w:rsid w:val="007239E7"/>
    <w:rsid w:val="00727921"/>
    <w:rsid w:val="00732056"/>
    <w:rsid w:val="00733437"/>
    <w:rsid w:val="0074347D"/>
    <w:rsid w:val="007443B1"/>
    <w:rsid w:val="00745DA9"/>
    <w:rsid w:val="007504F2"/>
    <w:rsid w:val="00753341"/>
    <w:rsid w:val="00754566"/>
    <w:rsid w:val="00754F0E"/>
    <w:rsid w:val="00757594"/>
    <w:rsid w:val="0076098F"/>
    <w:rsid w:val="00763D00"/>
    <w:rsid w:val="007722A4"/>
    <w:rsid w:val="007736A6"/>
    <w:rsid w:val="00773899"/>
    <w:rsid w:val="00775CA3"/>
    <w:rsid w:val="007762FB"/>
    <w:rsid w:val="00777539"/>
    <w:rsid w:val="00777782"/>
    <w:rsid w:val="0078248D"/>
    <w:rsid w:val="00784F6C"/>
    <w:rsid w:val="007866F9"/>
    <w:rsid w:val="00791886"/>
    <w:rsid w:val="00792264"/>
    <w:rsid w:val="0079236B"/>
    <w:rsid w:val="0079360F"/>
    <w:rsid w:val="00794EF9"/>
    <w:rsid w:val="00796B23"/>
    <w:rsid w:val="007976BA"/>
    <w:rsid w:val="007A3735"/>
    <w:rsid w:val="007B1118"/>
    <w:rsid w:val="007B2A2A"/>
    <w:rsid w:val="007B2ED5"/>
    <w:rsid w:val="007B31E7"/>
    <w:rsid w:val="007C0672"/>
    <w:rsid w:val="007C1DE0"/>
    <w:rsid w:val="007C2123"/>
    <w:rsid w:val="007C2310"/>
    <w:rsid w:val="007C2611"/>
    <w:rsid w:val="007C30D1"/>
    <w:rsid w:val="007D1181"/>
    <w:rsid w:val="007D1363"/>
    <w:rsid w:val="007D1A4C"/>
    <w:rsid w:val="007D6CE9"/>
    <w:rsid w:val="007D7220"/>
    <w:rsid w:val="007E0D54"/>
    <w:rsid w:val="007E1194"/>
    <w:rsid w:val="007E3287"/>
    <w:rsid w:val="007E56DB"/>
    <w:rsid w:val="007E73E9"/>
    <w:rsid w:val="007F0C17"/>
    <w:rsid w:val="00804837"/>
    <w:rsid w:val="00806540"/>
    <w:rsid w:val="00806DC6"/>
    <w:rsid w:val="00812E8F"/>
    <w:rsid w:val="00817D9D"/>
    <w:rsid w:val="008202F3"/>
    <w:rsid w:val="008213C6"/>
    <w:rsid w:val="008300DF"/>
    <w:rsid w:val="0083134D"/>
    <w:rsid w:val="0083421A"/>
    <w:rsid w:val="00837272"/>
    <w:rsid w:val="00841C80"/>
    <w:rsid w:val="00843342"/>
    <w:rsid w:val="008507EE"/>
    <w:rsid w:val="0085393D"/>
    <w:rsid w:val="008541F9"/>
    <w:rsid w:val="00855575"/>
    <w:rsid w:val="008675E9"/>
    <w:rsid w:val="00876447"/>
    <w:rsid w:val="008806F3"/>
    <w:rsid w:val="00881514"/>
    <w:rsid w:val="00891D6D"/>
    <w:rsid w:val="00891F77"/>
    <w:rsid w:val="00892204"/>
    <w:rsid w:val="00893C43"/>
    <w:rsid w:val="00895D0A"/>
    <w:rsid w:val="008A1555"/>
    <w:rsid w:val="008B1AAF"/>
    <w:rsid w:val="008B4A75"/>
    <w:rsid w:val="008B583E"/>
    <w:rsid w:val="008B7F0C"/>
    <w:rsid w:val="008C372E"/>
    <w:rsid w:val="008D0623"/>
    <w:rsid w:val="008D212F"/>
    <w:rsid w:val="008D2B5D"/>
    <w:rsid w:val="008D3ABB"/>
    <w:rsid w:val="008D4107"/>
    <w:rsid w:val="008E02B2"/>
    <w:rsid w:val="008E0655"/>
    <w:rsid w:val="008E337C"/>
    <w:rsid w:val="008F36CA"/>
    <w:rsid w:val="008F4535"/>
    <w:rsid w:val="008F5EA7"/>
    <w:rsid w:val="009029E2"/>
    <w:rsid w:val="00904AAD"/>
    <w:rsid w:val="009104A8"/>
    <w:rsid w:val="009138D1"/>
    <w:rsid w:val="00913F9E"/>
    <w:rsid w:val="00914229"/>
    <w:rsid w:val="00914885"/>
    <w:rsid w:val="00915FF8"/>
    <w:rsid w:val="009179DF"/>
    <w:rsid w:val="00927021"/>
    <w:rsid w:val="0093185D"/>
    <w:rsid w:val="00931ED6"/>
    <w:rsid w:val="00933C4D"/>
    <w:rsid w:val="0093504F"/>
    <w:rsid w:val="0093548C"/>
    <w:rsid w:val="00943FE9"/>
    <w:rsid w:val="00944040"/>
    <w:rsid w:val="009443A9"/>
    <w:rsid w:val="00944757"/>
    <w:rsid w:val="009458DD"/>
    <w:rsid w:val="009459B0"/>
    <w:rsid w:val="0094608A"/>
    <w:rsid w:val="00967156"/>
    <w:rsid w:val="009713AD"/>
    <w:rsid w:val="00973B5B"/>
    <w:rsid w:val="00974F0F"/>
    <w:rsid w:val="009756F0"/>
    <w:rsid w:val="00984440"/>
    <w:rsid w:val="00985BCB"/>
    <w:rsid w:val="0098664E"/>
    <w:rsid w:val="00990751"/>
    <w:rsid w:val="00991876"/>
    <w:rsid w:val="009928A5"/>
    <w:rsid w:val="00993225"/>
    <w:rsid w:val="00996497"/>
    <w:rsid w:val="009A0075"/>
    <w:rsid w:val="009A0D8B"/>
    <w:rsid w:val="009A5064"/>
    <w:rsid w:val="009B1870"/>
    <w:rsid w:val="009B2755"/>
    <w:rsid w:val="009B2C8C"/>
    <w:rsid w:val="009B6414"/>
    <w:rsid w:val="009C48B6"/>
    <w:rsid w:val="009C4E8B"/>
    <w:rsid w:val="009C58E4"/>
    <w:rsid w:val="009D23C9"/>
    <w:rsid w:val="009E51CF"/>
    <w:rsid w:val="009E7744"/>
    <w:rsid w:val="009F3BF4"/>
    <w:rsid w:val="009F5618"/>
    <w:rsid w:val="009F5B1B"/>
    <w:rsid w:val="009F7454"/>
    <w:rsid w:val="00A000A7"/>
    <w:rsid w:val="00A01881"/>
    <w:rsid w:val="00A01C9D"/>
    <w:rsid w:val="00A03340"/>
    <w:rsid w:val="00A03823"/>
    <w:rsid w:val="00A0566F"/>
    <w:rsid w:val="00A060FA"/>
    <w:rsid w:val="00A07F33"/>
    <w:rsid w:val="00A12050"/>
    <w:rsid w:val="00A13772"/>
    <w:rsid w:val="00A13C2A"/>
    <w:rsid w:val="00A15DF4"/>
    <w:rsid w:val="00A17BAF"/>
    <w:rsid w:val="00A2129D"/>
    <w:rsid w:val="00A21DD9"/>
    <w:rsid w:val="00A311BA"/>
    <w:rsid w:val="00A3226F"/>
    <w:rsid w:val="00A33477"/>
    <w:rsid w:val="00A34226"/>
    <w:rsid w:val="00A34AC5"/>
    <w:rsid w:val="00A35FA9"/>
    <w:rsid w:val="00A36ED5"/>
    <w:rsid w:val="00A453BF"/>
    <w:rsid w:val="00A54337"/>
    <w:rsid w:val="00A54641"/>
    <w:rsid w:val="00A6342A"/>
    <w:rsid w:val="00A63A7D"/>
    <w:rsid w:val="00A65C9E"/>
    <w:rsid w:val="00A7220F"/>
    <w:rsid w:val="00A73E10"/>
    <w:rsid w:val="00A77ED4"/>
    <w:rsid w:val="00A77FB8"/>
    <w:rsid w:val="00A85825"/>
    <w:rsid w:val="00A85ADF"/>
    <w:rsid w:val="00A860C7"/>
    <w:rsid w:val="00A91E3E"/>
    <w:rsid w:val="00A96FAC"/>
    <w:rsid w:val="00AA0A19"/>
    <w:rsid w:val="00AA29A5"/>
    <w:rsid w:val="00AA7445"/>
    <w:rsid w:val="00AB05FA"/>
    <w:rsid w:val="00AB17BF"/>
    <w:rsid w:val="00AC05ED"/>
    <w:rsid w:val="00AC146A"/>
    <w:rsid w:val="00AC17E5"/>
    <w:rsid w:val="00AC1CA2"/>
    <w:rsid w:val="00AC2EB6"/>
    <w:rsid w:val="00AC364B"/>
    <w:rsid w:val="00AC5A08"/>
    <w:rsid w:val="00AC5A84"/>
    <w:rsid w:val="00AC661D"/>
    <w:rsid w:val="00AD1074"/>
    <w:rsid w:val="00AD38F5"/>
    <w:rsid w:val="00AE13B1"/>
    <w:rsid w:val="00AE1674"/>
    <w:rsid w:val="00AE606E"/>
    <w:rsid w:val="00AE663F"/>
    <w:rsid w:val="00AE66E3"/>
    <w:rsid w:val="00AF059C"/>
    <w:rsid w:val="00AF64FB"/>
    <w:rsid w:val="00B00139"/>
    <w:rsid w:val="00B00DB7"/>
    <w:rsid w:val="00B01F49"/>
    <w:rsid w:val="00B02A98"/>
    <w:rsid w:val="00B03204"/>
    <w:rsid w:val="00B06FBB"/>
    <w:rsid w:val="00B12366"/>
    <w:rsid w:val="00B14A14"/>
    <w:rsid w:val="00B23FB6"/>
    <w:rsid w:val="00B25EED"/>
    <w:rsid w:val="00B31F09"/>
    <w:rsid w:val="00B3550B"/>
    <w:rsid w:val="00B418E0"/>
    <w:rsid w:val="00B42D32"/>
    <w:rsid w:val="00B432B6"/>
    <w:rsid w:val="00B45379"/>
    <w:rsid w:val="00B4602C"/>
    <w:rsid w:val="00B50359"/>
    <w:rsid w:val="00B50831"/>
    <w:rsid w:val="00B50D89"/>
    <w:rsid w:val="00B5148A"/>
    <w:rsid w:val="00B52FDB"/>
    <w:rsid w:val="00B56B93"/>
    <w:rsid w:val="00B61659"/>
    <w:rsid w:val="00B748C9"/>
    <w:rsid w:val="00B829F2"/>
    <w:rsid w:val="00B853FC"/>
    <w:rsid w:val="00B90635"/>
    <w:rsid w:val="00B9289E"/>
    <w:rsid w:val="00B95021"/>
    <w:rsid w:val="00B96DFD"/>
    <w:rsid w:val="00BA4515"/>
    <w:rsid w:val="00BA4B59"/>
    <w:rsid w:val="00BB48C5"/>
    <w:rsid w:val="00BB7265"/>
    <w:rsid w:val="00BC43DF"/>
    <w:rsid w:val="00BC6DAB"/>
    <w:rsid w:val="00BD1DFE"/>
    <w:rsid w:val="00BD3238"/>
    <w:rsid w:val="00BD42F7"/>
    <w:rsid w:val="00BD695F"/>
    <w:rsid w:val="00BE136D"/>
    <w:rsid w:val="00BE7FE3"/>
    <w:rsid w:val="00BF094C"/>
    <w:rsid w:val="00BF6DA1"/>
    <w:rsid w:val="00C036AB"/>
    <w:rsid w:val="00C11115"/>
    <w:rsid w:val="00C1133F"/>
    <w:rsid w:val="00C17049"/>
    <w:rsid w:val="00C22920"/>
    <w:rsid w:val="00C23206"/>
    <w:rsid w:val="00C23482"/>
    <w:rsid w:val="00C244A7"/>
    <w:rsid w:val="00C25264"/>
    <w:rsid w:val="00C259E6"/>
    <w:rsid w:val="00C260C7"/>
    <w:rsid w:val="00C30CD2"/>
    <w:rsid w:val="00C313BB"/>
    <w:rsid w:val="00C31A66"/>
    <w:rsid w:val="00C42A54"/>
    <w:rsid w:val="00C4317A"/>
    <w:rsid w:val="00C4364A"/>
    <w:rsid w:val="00C43B3F"/>
    <w:rsid w:val="00C43E65"/>
    <w:rsid w:val="00C46D5D"/>
    <w:rsid w:val="00C54A06"/>
    <w:rsid w:val="00C54CF5"/>
    <w:rsid w:val="00C553D2"/>
    <w:rsid w:val="00C5626D"/>
    <w:rsid w:val="00C6083C"/>
    <w:rsid w:val="00C62BA2"/>
    <w:rsid w:val="00C65CBC"/>
    <w:rsid w:val="00C66431"/>
    <w:rsid w:val="00C71FA3"/>
    <w:rsid w:val="00C726A9"/>
    <w:rsid w:val="00C745AF"/>
    <w:rsid w:val="00C74D8E"/>
    <w:rsid w:val="00C7506B"/>
    <w:rsid w:val="00C80A2F"/>
    <w:rsid w:val="00C86E38"/>
    <w:rsid w:val="00C86F47"/>
    <w:rsid w:val="00C934E4"/>
    <w:rsid w:val="00C94A2D"/>
    <w:rsid w:val="00C9566E"/>
    <w:rsid w:val="00C95F50"/>
    <w:rsid w:val="00C96F98"/>
    <w:rsid w:val="00CA020A"/>
    <w:rsid w:val="00CA3BD6"/>
    <w:rsid w:val="00CA5D46"/>
    <w:rsid w:val="00CB0577"/>
    <w:rsid w:val="00CB4B38"/>
    <w:rsid w:val="00CC1453"/>
    <w:rsid w:val="00CC1C6E"/>
    <w:rsid w:val="00CC549E"/>
    <w:rsid w:val="00CC7408"/>
    <w:rsid w:val="00CD12D9"/>
    <w:rsid w:val="00CD23BC"/>
    <w:rsid w:val="00CD5C1E"/>
    <w:rsid w:val="00CE0C30"/>
    <w:rsid w:val="00CE2FFA"/>
    <w:rsid w:val="00CE47E6"/>
    <w:rsid w:val="00CE7AD1"/>
    <w:rsid w:val="00CF0FC5"/>
    <w:rsid w:val="00CF4EB8"/>
    <w:rsid w:val="00CF6666"/>
    <w:rsid w:val="00D10568"/>
    <w:rsid w:val="00D116FA"/>
    <w:rsid w:val="00D13071"/>
    <w:rsid w:val="00D13440"/>
    <w:rsid w:val="00D13C48"/>
    <w:rsid w:val="00D13C8C"/>
    <w:rsid w:val="00D208D6"/>
    <w:rsid w:val="00D20F57"/>
    <w:rsid w:val="00D21251"/>
    <w:rsid w:val="00D2391A"/>
    <w:rsid w:val="00D24DFA"/>
    <w:rsid w:val="00D3370F"/>
    <w:rsid w:val="00D40050"/>
    <w:rsid w:val="00D44262"/>
    <w:rsid w:val="00D45163"/>
    <w:rsid w:val="00D479EA"/>
    <w:rsid w:val="00D5288E"/>
    <w:rsid w:val="00D54D33"/>
    <w:rsid w:val="00D54F3E"/>
    <w:rsid w:val="00D56264"/>
    <w:rsid w:val="00D6306E"/>
    <w:rsid w:val="00D64E1B"/>
    <w:rsid w:val="00D66960"/>
    <w:rsid w:val="00D67360"/>
    <w:rsid w:val="00D767AC"/>
    <w:rsid w:val="00D809F6"/>
    <w:rsid w:val="00D81A28"/>
    <w:rsid w:val="00D92B34"/>
    <w:rsid w:val="00D93C0A"/>
    <w:rsid w:val="00D95B8E"/>
    <w:rsid w:val="00D96A80"/>
    <w:rsid w:val="00D9734B"/>
    <w:rsid w:val="00D97B28"/>
    <w:rsid w:val="00DA26CA"/>
    <w:rsid w:val="00DA33E1"/>
    <w:rsid w:val="00DA50BB"/>
    <w:rsid w:val="00DA7F85"/>
    <w:rsid w:val="00DB0BF8"/>
    <w:rsid w:val="00DB1B73"/>
    <w:rsid w:val="00DB26C7"/>
    <w:rsid w:val="00DB63AD"/>
    <w:rsid w:val="00DB7F80"/>
    <w:rsid w:val="00DC1E2D"/>
    <w:rsid w:val="00DC5A3A"/>
    <w:rsid w:val="00DC5F80"/>
    <w:rsid w:val="00DC6B5B"/>
    <w:rsid w:val="00DC733E"/>
    <w:rsid w:val="00DD11B2"/>
    <w:rsid w:val="00DD35B5"/>
    <w:rsid w:val="00DE12CB"/>
    <w:rsid w:val="00DE2B3A"/>
    <w:rsid w:val="00DE4BBA"/>
    <w:rsid w:val="00DE5D1F"/>
    <w:rsid w:val="00DE72E8"/>
    <w:rsid w:val="00DE7539"/>
    <w:rsid w:val="00DF062F"/>
    <w:rsid w:val="00DF2A75"/>
    <w:rsid w:val="00DF4418"/>
    <w:rsid w:val="00DF4923"/>
    <w:rsid w:val="00DF55B3"/>
    <w:rsid w:val="00DF5D71"/>
    <w:rsid w:val="00DF734E"/>
    <w:rsid w:val="00E02E26"/>
    <w:rsid w:val="00E24C65"/>
    <w:rsid w:val="00E2541E"/>
    <w:rsid w:val="00E25997"/>
    <w:rsid w:val="00E263CF"/>
    <w:rsid w:val="00E305BF"/>
    <w:rsid w:val="00E35954"/>
    <w:rsid w:val="00E37748"/>
    <w:rsid w:val="00E44A9B"/>
    <w:rsid w:val="00E46122"/>
    <w:rsid w:val="00E4701B"/>
    <w:rsid w:val="00E477E3"/>
    <w:rsid w:val="00E500AA"/>
    <w:rsid w:val="00E57D86"/>
    <w:rsid w:val="00E61462"/>
    <w:rsid w:val="00E618C4"/>
    <w:rsid w:val="00E62564"/>
    <w:rsid w:val="00E65A1C"/>
    <w:rsid w:val="00E758DF"/>
    <w:rsid w:val="00E80A98"/>
    <w:rsid w:val="00E81712"/>
    <w:rsid w:val="00E87E40"/>
    <w:rsid w:val="00E9234F"/>
    <w:rsid w:val="00E93687"/>
    <w:rsid w:val="00E95F00"/>
    <w:rsid w:val="00EA0BA6"/>
    <w:rsid w:val="00EA1141"/>
    <w:rsid w:val="00EA2B4C"/>
    <w:rsid w:val="00EA597C"/>
    <w:rsid w:val="00EA705B"/>
    <w:rsid w:val="00EB0ECC"/>
    <w:rsid w:val="00EB3C11"/>
    <w:rsid w:val="00EB53DD"/>
    <w:rsid w:val="00EB5833"/>
    <w:rsid w:val="00EC71E6"/>
    <w:rsid w:val="00EC7D1A"/>
    <w:rsid w:val="00EC7D76"/>
    <w:rsid w:val="00ED1EAB"/>
    <w:rsid w:val="00ED6A7D"/>
    <w:rsid w:val="00ED703B"/>
    <w:rsid w:val="00EE183D"/>
    <w:rsid w:val="00EE3E66"/>
    <w:rsid w:val="00EE6AB3"/>
    <w:rsid w:val="00EF0D99"/>
    <w:rsid w:val="00EF1A71"/>
    <w:rsid w:val="00EF4384"/>
    <w:rsid w:val="00EF561D"/>
    <w:rsid w:val="00F014D7"/>
    <w:rsid w:val="00F0247C"/>
    <w:rsid w:val="00F035AB"/>
    <w:rsid w:val="00F04CBC"/>
    <w:rsid w:val="00F06976"/>
    <w:rsid w:val="00F07F47"/>
    <w:rsid w:val="00F11167"/>
    <w:rsid w:val="00F2016C"/>
    <w:rsid w:val="00F205AC"/>
    <w:rsid w:val="00F22B8D"/>
    <w:rsid w:val="00F237B3"/>
    <w:rsid w:val="00F24E5B"/>
    <w:rsid w:val="00F25E28"/>
    <w:rsid w:val="00F325D0"/>
    <w:rsid w:val="00F337AD"/>
    <w:rsid w:val="00F40F30"/>
    <w:rsid w:val="00F514FF"/>
    <w:rsid w:val="00F5363F"/>
    <w:rsid w:val="00F5442C"/>
    <w:rsid w:val="00F54EB2"/>
    <w:rsid w:val="00F61CCB"/>
    <w:rsid w:val="00F63C47"/>
    <w:rsid w:val="00F645A2"/>
    <w:rsid w:val="00F72A1F"/>
    <w:rsid w:val="00F72C2E"/>
    <w:rsid w:val="00F74176"/>
    <w:rsid w:val="00F764A2"/>
    <w:rsid w:val="00F8287E"/>
    <w:rsid w:val="00F839D1"/>
    <w:rsid w:val="00F9644D"/>
    <w:rsid w:val="00F97D62"/>
    <w:rsid w:val="00FA05CA"/>
    <w:rsid w:val="00FA1360"/>
    <w:rsid w:val="00FA3022"/>
    <w:rsid w:val="00FA7FAF"/>
    <w:rsid w:val="00FB0D62"/>
    <w:rsid w:val="00FB0F89"/>
    <w:rsid w:val="00FB5765"/>
    <w:rsid w:val="00FB696B"/>
    <w:rsid w:val="00FC2BC1"/>
    <w:rsid w:val="00FC30A7"/>
    <w:rsid w:val="00FC599C"/>
    <w:rsid w:val="00FD4D8B"/>
    <w:rsid w:val="00FE0CF2"/>
    <w:rsid w:val="00FE16A0"/>
    <w:rsid w:val="00FE4F53"/>
    <w:rsid w:val="00FF0893"/>
    <w:rsid w:val="00FF2073"/>
    <w:rsid w:val="00FF4A5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6EC"/>
    <w:pPr>
      <w:spacing w:after="0" w:line="240" w:lineRule="auto"/>
    </w:pPr>
    <w:rPr>
      <w:rFonts w:ascii="Times New Roman" w:hAnsi="Times New Roman"/>
      <w:sz w:val="24"/>
    </w:rPr>
  </w:style>
  <w:style w:type="paragraph" w:styleId="Header">
    <w:name w:val="header"/>
    <w:basedOn w:val="Normal"/>
    <w:link w:val="HeaderChar"/>
    <w:uiPriority w:val="99"/>
    <w:unhideWhenUsed/>
    <w:rsid w:val="00492C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2C80"/>
    <w:rPr>
      <w:rFonts w:ascii="Times New Roman" w:hAnsi="Times New Roman"/>
      <w:sz w:val="24"/>
    </w:rPr>
  </w:style>
  <w:style w:type="paragraph" w:styleId="Footer">
    <w:name w:val="footer"/>
    <w:basedOn w:val="Normal"/>
    <w:link w:val="FooterChar"/>
    <w:unhideWhenUsed/>
    <w:rsid w:val="00492C80"/>
    <w:pPr>
      <w:tabs>
        <w:tab w:val="center" w:pos="4153"/>
        <w:tab w:val="right" w:pos="8306"/>
      </w:tabs>
      <w:spacing w:after="0" w:line="240" w:lineRule="auto"/>
    </w:pPr>
  </w:style>
  <w:style w:type="character" w:customStyle="1" w:styleId="FooterChar">
    <w:name w:val="Footer Char"/>
    <w:basedOn w:val="DefaultParagraphFont"/>
    <w:link w:val="Footer"/>
    <w:rsid w:val="00492C80"/>
    <w:rPr>
      <w:rFonts w:ascii="Times New Roman" w:hAnsi="Times New Roman"/>
      <w:sz w:val="24"/>
    </w:rPr>
  </w:style>
  <w:style w:type="character" w:styleId="PageNumber">
    <w:name w:val="page number"/>
    <w:basedOn w:val="DefaultParagraphFont"/>
    <w:rsid w:val="00492C80"/>
  </w:style>
  <w:style w:type="paragraph" w:styleId="BodyText2">
    <w:name w:val="Body Text 2"/>
    <w:basedOn w:val="Normal"/>
    <w:link w:val="BodyText2Char"/>
    <w:rsid w:val="00414AD2"/>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414AD2"/>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DC5A3A"/>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DC5A3A"/>
    <w:rPr>
      <w:rFonts w:ascii="Lucida Grande CE" w:hAnsi="Lucida Grande CE" w:cs="Lucida Grande CE"/>
      <w:sz w:val="18"/>
      <w:szCs w:val="18"/>
    </w:rPr>
  </w:style>
  <w:style w:type="character" w:styleId="CommentReference">
    <w:name w:val="annotation reference"/>
    <w:basedOn w:val="DefaultParagraphFont"/>
    <w:uiPriority w:val="99"/>
    <w:semiHidden/>
    <w:unhideWhenUsed/>
    <w:rsid w:val="00C7506B"/>
    <w:rPr>
      <w:sz w:val="16"/>
      <w:szCs w:val="16"/>
    </w:rPr>
  </w:style>
  <w:style w:type="paragraph" w:styleId="CommentText">
    <w:name w:val="annotation text"/>
    <w:basedOn w:val="Normal"/>
    <w:link w:val="CommentTextChar"/>
    <w:uiPriority w:val="99"/>
    <w:semiHidden/>
    <w:unhideWhenUsed/>
    <w:rsid w:val="00C7506B"/>
    <w:pPr>
      <w:spacing w:line="240" w:lineRule="auto"/>
    </w:pPr>
    <w:rPr>
      <w:sz w:val="20"/>
      <w:szCs w:val="20"/>
    </w:rPr>
  </w:style>
  <w:style w:type="character" w:customStyle="1" w:styleId="CommentTextChar">
    <w:name w:val="Comment Text Char"/>
    <w:basedOn w:val="DefaultParagraphFont"/>
    <w:link w:val="CommentText"/>
    <w:uiPriority w:val="99"/>
    <w:semiHidden/>
    <w:rsid w:val="00C75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506B"/>
    <w:rPr>
      <w:b/>
      <w:bCs/>
    </w:rPr>
  </w:style>
  <w:style w:type="character" w:customStyle="1" w:styleId="CommentSubjectChar">
    <w:name w:val="Comment Subject Char"/>
    <w:basedOn w:val="CommentTextChar"/>
    <w:link w:val="CommentSubject"/>
    <w:uiPriority w:val="99"/>
    <w:semiHidden/>
    <w:rsid w:val="00C7506B"/>
    <w:rPr>
      <w:rFonts w:ascii="Times New Roman" w:hAnsi="Times New Roman"/>
      <w:b/>
      <w:bCs/>
      <w:sz w:val="20"/>
      <w:szCs w:val="20"/>
    </w:rPr>
  </w:style>
  <w:style w:type="paragraph" w:customStyle="1" w:styleId="Char">
    <w:name w:val="Char"/>
    <w:basedOn w:val="Normal"/>
    <w:rsid w:val="00E37748"/>
    <w:pPr>
      <w:spacing w:line="240" w:lineRule="exact"/>
    </w:pPr>
    <w:rPr>
      <w:rFonts w:ascii="Tahoma" w:eastAsia="Times New Roman" w:hAnsi="Tahoma" w:cs="Times New Roman"/>
      <w:sz w:val="20"/>
      <w:szCs w:val="20"/>
      <w:lang w:val="en-US"/>
    </w:rPr>
  </w:style>
  <w:style w:type="paragraph" w:styleId="NormalWeb">
    <w:name w:val="Normal (Web)"/>
    <w:basedOn w:val="Normal"/>
    <w:uiPriority w:val="99"/>
    <w:unhideWhenUsed/>
    <w:rsid w:val="002336B4"/>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2336B4"/>
    <w:rPr>
      <w:color w:val="0000FF"/>
      <w:u w:val="single"/>
    </w:rPr>
  </w:style>
  <w:style w:type="paragraph" w:customStyle="1" w:styleId="tv213">
    <w:name w:val="tv213"/>
    <w:basedOn w:val="Normal"/>
    <w:rsid w:val="0071716E"/>
    <w:pPr>
      <w:spacing w:before="100" w:beforeAutospacing="1" w:after="100" w:afterAutospacing="1" w:line="240" w:lineRule="auto"/>
    </w:pPr>
    <w:rPr>
      <w:rFonts w:eastAsia="Times New Roman" w:cs="Times New Roman"/>
      <w:szCs w:val="24"/>
      <w:lang w:eastAsia="lv-LV"/>
    </w:rPr>
  </w:style>
  <w:style w:type="paragraph" w:customStyle="1" w:styleId="labojumupamats">
    <w:name w:val="labojumu_pamats"/>
    <w:basedOn w:val="Normal"/>
    <w:rsid w:val="0071716E"/>
    <w:pPr>
      <w:spacing w:before="100" w:beforeAutospacing="1" w:after="100" w:afterAutospacing="1" w:line="240" w:lineRule="auto"/>
    </w:pPr>
    <w:rPr>
      <w:rFonts w:eastAsia="Times New Roman" w:cs="Times New Roman"/>
      <w:szCs w:val="24"/>
      <w:lang w:eastAsia="lv-LV"/>
    </w:rPr>
  </w:style>
  <w:style w:type="character" w:customStyle="1" w:styleId="s7d2086b4">
    <w:name w:val="s7d2086b4"/>
    <w:basedOn w:val="DefaultParagraphFont"/>
    <w:rsid w:val="00AC5A08"/>
  </w:style>
  <w:style w:type="paragraph" w:styleId="EndnoteText">
    <w:name w:val="endnote text"/>
    <w:basedOn w:val="Normal"/>
    <w:link w:val="EndnoteTextChar"/>
    <w:uiPriority w:val="99"/>
    <w:semiHidden/>
    <w:unhideWhenUsed/>
    <w:rsid w:val="004538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843"/>
    <w:rPr>
      <w:rFonts w:ascii="Times New Roman" w:hAnsi="Times New Roman"/>
      <w:sz w:val="20"/>
      <w:szCs w:val="20"/>
    </w:rPr>
  </w:style>
  <w:style w:type="character" w:styleId="EndnoteReference">
    <w:name w:val="endnote reference"/>
    <w:basedOn w:val="DefaultParagraphFont"/>
    <w:uiPriority w:val="99"/>
    <w:semiHidden/>
    <w:unhideWhenUsed/>
    <w:rsid w:val="00453843"/>
    <w:rPr>
      <w:vertAlign w:val="superscript"/>
    </w:rPr>
  </w:style>
  <w:style w:type="paragraph" w:styleId="FootnoteText">
    <w:name w:val="footnote text"/>
    <w:basedOn w:val="Normal"/>
    <w:link w:val="FootnoteTextChar"/>
    <w:uiPriority w:val="99"/>
    <w:semiHidden/>
    <w:unhideWhenUsed/>
    <w:rsid w:val="00CC14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453"/>
    <w:rPr>
      <w:rFonts w:ascii="Times New Roman" w:hAnsi="Times New Roman"/>
      <w:sz w:val="20"/>
      <w:szCs w:val="20"/>
    </w:rPr>
  </w:style>
  <w:style w:type="character" w:styleId="FootnoteReference">
    <w:name w:val="footnote reference"/>
    <w:basedOn w:val="DefaultParagraphFont"/>
    <w:uiPriority w:val="99"/>
    <w:semiHidden/>
    <w:unhideWhenUsed/>
    <w:rsid w:val="00CC1453"/>
    <w:rPr>
      <w:vertAlign w:val="superscript"/>
    </w:rPr>
  </w:style>
  <w:style w:type="character" w:customStyle="1" w:styleId="wordhighlighted">
    <w:name w:val="wordhighlighted"/>
    <w:basedOn w:val="DefaultParagraphFont"/>
    <w:rsid w:val="00CC1453"/>
  </w:style>
  <w:style w:type="character" w:customStyle="1" w:styleId="word">
    <w:name w:val="word"/>
    <w:basedOn w:val="DefaultParagraphFont"/>
    <w:rsid w:val="00011F58"/>
  </w:style>
  <w:style w:type="paragraph" w:customStyle="1" w:styleId="s32b251d">
    <w:name w:val="s32b251d"/>
    <w:basedOn w:val="Normal"/>
    <w:rsid w:val="0074347D"/>
    <w:pPr>
      <w:spacing w:before="100" w:beforeAutospacing="1" w:after="100" w:afterAutospacing="1" w:line="240" w:lineRule="auto"/>
    </w:pPr>
    <w:rPr>
      <w:rFonts w:eastAsia="Times New Roman" w:cs="Times New Roman"/>
      <w:szCs w:val="24"/>
      <w:lang w:eastAsia="lv-LV"/>
    </w:rPr>
  </w:style>
  <w:style w:type="character" w:customStyle="1" w:styleId="sb8d990e2">
    <w:name w:val="sb8d990e2"/>
    <w:basedOn w:val="DefaultParagraphFont"/>
    <w:rsid w:val="0074347D"/>
  </w:style>
  <w:style w:type="character" w:customStyle="1" w:styleId="s6b621b36">
    <w:name w:val="s6b621b36"/>
    <w:basedOn w:val="DefaultParagraphFont"/>
    <w:rsid w:val="0074347D"/>
  </w:style>
  <w:style w:type="character" w:styleId="UnresolvedMention">
    <w:name w:val="Unresolved Mention"/>
    <w:basedOn w:val="DefaultParagraphFont"/>
    <w:uiPriority w:val="99"/>
    <w:semiHidden/>
    <w:unhideWhenUsed/>
    <w:rsid w:val="0094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5244">
      <w:bodyDiv w:val="1"/>
      <w:marLeft w:val="0"/>
      <w:marRight w:val="0"/>
      <w:marTop w:val="0"/>
      <w:marBottom w:val="0"/>
      <w:divBdr>
        <w:top w:val="none" w:sz="0" w:space="0" w:color="auto"/>
        <w:left w:val="none" w:sz="0" w:space="0" w:color="auto"/>
        <w:bottom w:val="none" w:sz="0" w:space="0" w:color="auto"/>
        <w:right w:val="none" w:sz="0" w:space="0" w:color="auto"/>
      </w:divBdr>
    </w:div>
    <w:div w:id="502159567">
      <w:bodyDiv w:val="1"/>
      <w:marLeft w:val="0"/>
      <w:marRight w:val="0"/>
      <w:marTop w:val="0"/>
      <w:marBottom w:val="0"/>
      <w:divBdr>
        <w:top w:val="none" w:sz="0" w:space="0" w:color="auto"/>
        <w:left w:val="none" w:sz="0" w:space="0" w:color="auto"/>
        <w:bottom w:val="none" w:sz="0" w:space="0" w:color="auto"/>
        <w:right w:val="none" w:sz="0" w:space="0" w:color="auto"/>
      </w:divBdr>
    </w:div>
    <w:div w:id="534394903">
      <w:bodyDiv w:val="1"/>
      <w:marLeft w:val="0"/>
      <w:marRight w:val="0"/>
      <w:marTop w:val="0"/>
      <w:marBottom w:val="0"/>
      <w:divBdr>
        <w:top w:val="none" w:sz="0" w:space="0" w:color="auto"/>
        <w:left w:val="none" w:sz="0" w:space="0" w:color="auto"/>
        <w:bottom w:val="none" w:sz="0" w:space="0" w:color="auto"/>
        <w:right w:val="none" w:sz="0" w:space="0" w:color="auto"/>
      </w:divBdr>
      <w:divsChild>
        <w:div w:id="813134547">
          <w:marLeft w:val="0"/>
          <w:marRight w:val="0"/>
          <w:marTop w:val="0"/>
          <w:marBottom w:val="0"/>
          <w:divBdr>
            <w:top w:val="none" w:sz="0" w:space="0" w:color="auto"/>
            <w:left w:val="none" w:sz="0" w:space="0" w:color="auto"/>
            <w:bottom w:val="none" w:sz="0" w:space="0" w:color="auto"/>
            <w:right w:val="none" w:sz="0" w:space="0" w:color="auto"/>
          </w:divBdr>
        </w:div>
        <w:div w:id="659164649">
          <w:marLeft w:val="0"/>
          <w:marRight w:val="0"/>
          <w:marTop w:val="0"/>
          <w:marBottom w:val="0"/>
          <w:divBdr>
            <w:top w:val="none" w:sz="0" w:space="0" w:color="auto"/>
            <w:left w:val="none" w:sz="0" w:space="0" w:color="auto"/>
            <w:bottom w:val="none" w:sz="0" w:space="0" w:color="auto"/>
            <w:right w:val="none" w:sz="0" w:space="0" w:color="auto"/>
          </w:divBdr>
        </w:div>
      </w:divsChild>
    </w:div>
    <w:div w:id="644045423">
      <w:bodyDiv w:val="1"/>
      <w:marLeft w:val="0"/>
      <w:marRight w:val="0"/>
      <w:marTop w:val="0"/>
      <w:marBottom w:val="0"/>
      <w:divBdr>
        <w:top w:val="none" w:sz="0" w:space="0" w:color="auto"/>
        <w:left w:val="none" w:sz="0" w:space="0" w:color="auto"/>
        <w:bottom w:val="none" w:sz="0" w:space="0" w:color="auto"/>
        <w:right w:val="none" w:sz="0" w:space="0" w:color="auto"/>
      </w:divBdr>
    </w:div>
    <w:div w:id="1310406572">
      <w:bodyDiv w:val="1"/>
      <w:marLeft w:val="0"/>
      <w:marRight w:val="0"/>
      <w:marTop w:val="0"/>
      <w:marBottom w:val="0"/>
      <w:divBdr>
        <w:top w:val="none" w:sz="0" w:space="0" w:color="auto"/>
        <w:left w:val="none" w:sz="0" w:space="0" w:color="auto"/>
        <w:bottom w:val="none" w:sz="0" w:space="0" w:color="auto"/>
        <w:right w:val="none" w:sz="0" w:space="0" w:color="auto"/>
      </w:divBdr>
    </w:div>
    <w:div w:id="1909803574">
      <w:bodyDiv w:val="1"/>
      <w:marLeft w:val="0"/>
      <w:marRight w:val="0"/>
      <w:marTop w:val="0"/>
      <w:marBottom w:val="0"/>
      <w:divBdr>
        <w:top w:val="none" w:sz="0" w:space="0" w:color="auto"/>
        <w:left w:val="none" w:sz="0" w:space="0" w:color="auto"/>
        <w:bottom w:val="none" w:sz="0" w:space="0" w:color="auto"/>
        <w:right w:val="none" w:sz="0" w:space="0" w:color="auto"/>
      </w:divBdr>
    </w:div>
    <w:div w:id="193543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udoc.echr.coe.int/e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10.A420165317.11.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hudoc.echr.coe.int/eng" TargetMode="External"/><Relationship Id="rId4" Type="http://schemas.openxmlformats.org/officeDocument/2006/relationships/footnotes" Target="footnote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17178</Words>
  <Characters>9793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2019-06-17T10:26:00Z</dcterms:created>
  <dcterms:modified xsi:type="dcterms:W3CDTF">2019-06-17T10:52:00Z</dcterms:modified>
</cp:coreProperties>
</file>