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FA" w:rsidRPr="00AE1CE8" w:rsidRDefault="00AE1CE8" w:rsidP="00AE1CE8">
      <w:pPr>
        <w:spacing w:line="276" w:lineRule="auto"/>
        <w:jc w:val="both"/>
        <w:rPr>
          <w:b/>
          <w:bCs/>
        </w:rPr>
      </w:pPr>
      <w:bookmarkStart w:id="0" w:name="_GoBack"/>
      <w:bookmarkEnd w:id="0"/>
      <w:r w:rsidRPr="00AE1CE8">
        <w:rPr>
          <w:b/>
          <w:bCs/>
        </w:rPr>
        <w:t>Tiesā iesniegta lūguma par atzīšanu par cietušo izlemšana, iztiesājot lietu par pirmstiesas procesā slēgtu vienošanos</w:t>
      </w:r>
      <w:r w:rsidR="004E50B9" w:rsidRPr="00AE1CE8">
        <w:rPr>
          <w:b/>
          <w:bCs/>
        </w:rPr>
        <w:t xml:space="preserve">          </w:t>
      </w:r>
      <w:r w:rsidR="0033213B" w:rsidRPr="00AE1CE8">
        <w:rPr>
          <w:b/>
          <w:bCs/>
        </w:rPr>
        <w:t xml:space="preserve"> </w:t>
      </w:r>
    </w:p>
    <w:p w:rsidR="00F22CFA" w:rsidRPr="007B22A6" w:rsidRDefault="00F22CFA" w:rsidP="00AE1CE8">
      <w:pPr>
        <w:pStyle w:val="BodyText2"/>
        <w:spacing w:line="276" w:lineRule="auto"/>
        <w:jc w:val="left"/>
        <w:rPr>
          <w:rFonts w:ascii="Times New Roman" w:hAnsi="Times New Roman"/>
          <w:color w:val="FFFFFF"/>
          <w:sz w:val="24"/>
          <w:szCs w:val="24"/>
        </w:rPr>
      </w:pPr>
    </w:p>
    <w:p w:rsidR="00F22CFA" w:rsidRDefault="00F22CFA" w:rsidP="00F22CFA">
      <w:pPr>
        <w:spacing w:line="276" w:lineRule="auto"/>
      </w:pPr>
    </w:p>
    <w:p w:rsidR="0005034A" w:rsidRPr="0005034A" w:rsidRDefault="00F22CFA" w:rsidP="00F22CFA">
      <w:pPr>
        <w:spacing w:line="276" w:lineRule="auto"/>
        <w:jc w:val="center"/>
        <w:rPr>
          <w:b/>
        </w:rPr>
      </w:pPr>
      <w:r w:rsidRPr="0005034A">
        <w:rPr>
          <w:b/>
        </w:rPr>
        <w:t>Latvijas Republikas Senāt</w:t>
      </w:r>
      <w:r w:rsidR="0005034A" w:rsidRPr="0005034A">
        <w:rPr>
          <w:b/>
        </w:rPr>
        <w:t>a</w:t>
      </w:r>
      <w:r w:rsidRPr="0005034A">
        <w:rPr>
          <w:b/>
        </w:rPr>
        <w:t xml:space="preserve"> </w:t>
      </w:r>
    </w:p>
    <w:p w:rsidR="0005034A" w:rsidRPr="0005034A" w:rsidRDefault="0005034A" w:rsidP="0005034A">
      <w:pPr>
        <w:spacing w:line="276" w:lineRule="auto"/>
        <w:jc w:val="center"/>
        <w:rPr>
          <w:b/>
        </w:rPr>
      </w:pPr>
      <w:r w:rsidRPr="0005034A">
        <w:rPr>
          <w:b/>
        </w:rPr>
        <w:t>Krimināllietu departamenta</w:t>
      </w:r>
    </w:p>
    <w:p w:rsidR="0005034A" w:rsidRPr="0005034A" w:rsidRDefault="0005034A" w:rsidP="0005034A">
      <w:pPr>
        <w:spacing w:line="276" w:lineRule="auto"/>
        <w:jc w:val="center"/>
        <w:rPr>
          <w:b/>
        </w:rPr>
      </w:pPr>
      <w:r w:rsidRPr="0005034A">
        <w:rPr>
          <w:b/>
        </w:rPr>
        <w:t>2019.gada 28.maija</w:t>
      </w:r>
    </w:p>
    <w:p w:rsidR="0005034A" w:rsidRPr="0005034A" w:rsidRDefault="00F22CFA" w:rsidP="00F22CFA">
      <w:pPr>
        <w:spacing w:line="276" w:lineRule="auto"/>
        <w:jc w:val="center"/>
        <w:rPr>
          <w:b/>
        </w:rPr>
      </w:pPr>
      <w:r w:rsidRPr="0005034A">
        <w:rPr>
          <w:b/>
        </w:rPr>
        <w:t>LĒMUMS</w:t>
      </w:r>
      <w:r w:rsidR="0005034A" w:rsidRPr="0005034A">
        <w:rPr>
          <w:b/>
        </w:rPr>
        <w:t xml:space="preserve"> </w:t>
      </w:r>
    </w:p>
    <w:p w:rsidR="00F22CFA" w:rsidRDefault="0005034A" w:rsidP="00F22CFA">
      <w:pPr>
        <w:spacing w:line="276" w:lineRule="auto"/>
        <w:jc w:val="center"/>
        <w:rPr>
          <w:b/>
        </w:rPr>
      </w:pPr>
      <w:r w:rsidRPr="0005034A">
        <w:rPr>
          <w:b/>
        </w:rPr>
        <w:t>Lieta Nr. 11096123516, SKK-130/2019</w:t>
      </w:r>
    </w:p>
    <w:p w:rsidR="0005034A" w:rsidRPr="00AE1CE8" w:rsidRDefault="00216516" w:rsidP="00F22CFA">
      <w:pPr>
        <w:spacing w:line="276" w:lineRule="auto"/>
        <w:jc w:val="center"/>
        <w:rPr>
          <w:b/>
        </w:rPr>
      </w:pPr>
      <w:hyperlink r:id="rId6" w:history="1">
        <w:r w:rsidR="00AE1CE8" w:rsidRPr="00AE1CE8">
          <w:rPr>
            <w:rStyle w:val="Hyperlink"/>
            <w:shd w:val="clear" w:color="auto" w:fill="FFFFFF"/>
          </w:rPr>
          <w:t>ECLI:LV:AT:2019:0528.11096123516.4.L</w:t>
        </w:r>
      </w:hyperlink>
    </w:p>
    <w:p w:rsidR="00F22CFA" w:rsidRDefault="00F22CFA" w:rsidP="00F22CFA">
      <w:pPr>
        <w:spacing w:line="276" w:lineRule="auto"/>
        <w:jc w:val="both"/>
      </w:pPr>
    </w:p>
    <w:p w:rsidR="00F22CFA" w:rsidRDefault="00F22CFA" w:rsidP="0027234C">
      <w:pPr>
        <w:spacing w:line="276" w:lineRule="auto"/>
        <w:ind w:firstLine="720"/>
        <w:jc w:val="both"/>
      </w:pPr>
      <w:r>
        <w:t>T</w:t>
      </w:r>
      <w:r w:rsidRPr="001E3A09">
        <w:t>iesa</w:t>
      </w:r>
      <w:r>
        <w:t xml:space="preserve"> </w:t>
      </w:r>
      <w:r w:rsidRPr="00F902DB">
        <w:t xml:space="preserve">šādā sastāvā: </w:t>
      </w:r>
      <w:r>
        <w:t>senatori</w:t>
      </w:r>
      <w:r w:rsidRPr="00244A0F">
        <w:t xml:space="preserve"> </w:t>
      </w:r>
      <w:r>
        <w:t xml:space="preserve">Voldemārs </w:t>
      </w:r>
      <w:proofErr w:type="spellStart"/>
      <w:r>
        <w:t>Čiževskis</w:t>
      </w:r>
      <w:proofErr w:type="spellEnd"/>
      <w:r>
        <w:t>, Pēteris Opincāns, Inguna Radzeviča</w:t>
      </w:r>
    </w:p>
    <w:p w:rsidR="00F22CFA" w:rsidRDefault="00F22CFA" w:rsidP="00F22CFA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963E42" w:rsidRDefault="00F22CFA" w:rsidP="0027234C">
      <w:pPr>
        <w:pStyle w:val="Heading2"/>
        <w:spacing w:before="0" w:after="0" w:line="276" w:lineRule="auto"/>
        <w:ind w:firstLine="720"/>
        <w:jc w:val="both"/>
      </w:pPr>
      <w:r w:rsidRPr="00E01E73">
        <w:rPr>
          <w:rFonts w:ascii="Times New Roman" w:hAnsi="Times New Roman" w:cs="Times New Roman"/>
          <w:b w:val="0"/>
          <w:i w:val="0"/>
          <w:sz w:val="24"/>
          <w:szCs w:val="24"/>
        </w:rPr>
        <w:t>izskatīja rakstveida procesā krimināllietu sakarā ar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Rīgas pilsētas Kurzemes rajon</w:t>
      </w:r>
      <w:r w:rsidR="0033773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prokuratūras virsprokurora Viktora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Maračkovska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kasācijas protestu par Rīgas pilsētas Pārdaugavas tiesas 2018.gada 20.novembra lēmumu.  </w:t>
      </w:r>
    </w:p>
    <w:p w:rsidR="00F22CFA" w:rsidRPr="00E01E73" w:rsidRDefault="00F22CFA" w:rsidP="00F22CFA">
      <w:pPr>
        <w:pStyle w:val="Heading2"/>
        <w:spacing w:before="0" w:after="0" w:line="276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01E73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F22CFA" w:rsidRPr="00244A0F" w:rsidRDefault="00F22CFA" w:rsidP="00F22CFA">
      <w:pPr>
        <w:pStyle w:val="Heading2"/>
        <w:spacing w:before="0" w:after="0" w:line="276" w:lineRule="auto"/>
        <w:ind w:left="-36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Aprakstošā daļa</w:t>
      </w:r>
    </w:p>
    <w:p w:rsidR="00F22CFA" w:rsidRDefault="00F22CFA" w:rsidP="00F22CFA"/>
    <w:p w:rsidR="00F22CFA" w:rsidRDefault="00F22CFA" w:rsidP="00F22CFA">
      <w:pPr>
        <w:spacing w:line="276" w:lineRule="auto"/>
        <w:ind w:firstLine="567"/>
        <w:jc w:val="both"/>
        <w:rPr>
          <w:shd w:val="clear" w:color="auto" w:fill="FFFFFF"/>
        </w:rPr>
      </w:pPr>
      <w:r>
        <w:t>[</w:t>
      </w:r>
      <w:r w:rsidRPr="00453F92">
        <w:t>1]</w:t>
      </w:r>
      <w:r w:rsidRPr="00453F92">
        <w:rPr>
          <w:shd w:val="clear" w:color="auto" w:fill="FFFFFF"/>
        </w:rPr>
        <w:t xml:space="preserve"> </w:t>
      </w:r>
      <w:r w:rsidR="00085502">
        <w:rPr>
          <w:shd w:val="clear" w:color="auto" w:fill="FFFFFF"/>
        </w:rPr>
        <w:t xml:space="preserve">Starp apsūdzēto </w:t>
      </w:r>
      <w:r w:rsidR="00AE1CE8">
        <w:rPr>
          <w:shd w:val="clear" w:color="auto" w:fill="FFFFFF"/>
        </w:rPr>
        <w:t>[pers. A]</w:t>
      </w:r>
      <w:r w:rsidR="00085502">
        <w:rPr>
          <w:shd w:val="clear" w:color="auto" w:fill="FFFFFF"/>
        </w:rPr>
        <w:t xml:space="preserve"> un </w:t>
      </w:r>
      <w:r w:rsidR="00085502" w:rsidRPr="00085502">
        <w:t>Rīgas pilsētas Kurzemes rajona prokuratūras</w:t>
      </w:r>
      <w:r w:rsidR="00085502">
        <w:t xml:space="preserve"> prokurori Ilzi Ribakovu 2018.gada 26.oktobrī noslēgta vienošanās par vainas atzīšanu un sodu.</w:t>
      </w:r>
    </w:p>
    <w:p w:rsidR="00085502" w:rsidRDefault="00085502" w:rsidP="00F22CFA">
      <w:pPr>
        <w:spacing w:line="276" w:lineRule="auto"/>
        <w:ind w:firstLine="567"/>
        <w:jc w:val="both"/>
      </w:pPr>
    </w:p>
    <w:p w:rsidR="00085502" w:rsidRDefault="00085502" w:rsidP="00085502">
      <w:pPr>
        <w:spacing w:line="276" w:lineRule="auto"/>
        <w:ind w:firstLine="567"/>
        <w:jc w:val="both"/>
      </w:pPr>
      <w:r>
        <w:t xml:space="preserve"> </w:t>
      </w:r>
      <w:r w:rsidR="00F22CFA">
        <w:t xml:space="preserve">[2] </w:t>
      </w:r>
      <w:r>
        <w:t>Atbilstoši Kriminālprocesa likuma 438.p</w:t>
      </w:r>
      <w:r w:rsidR="00337732">
        <w:t xml:space="preserve">antā noteiktajam krimināllieta </w:t>
      </w:r>
      <w:r w:rsidR="00AE1CE8">
        <w:t>[pers. A]</w:t>
      </w:r>
      <w:r>
        <w:t xml:space="preserve"> apsūdzībā pēc Krimināllikuma 116.panta 2018.gada 30.oktobrī nosūtīta Rīgas pilsētas Pārdaugavas tiesai.</w:t>
      </w:r>
    </w:p>
    <w:p w:rsidR="00085502" w:rsidRDefault="00085502" w:rsidP="00085502">
      <w:pPr>
        <w:spacing w:line="276" w:lineRule="auto"/>
        <w:ind w:firstLine="567"/>
        <w:jc w:val="both"/>
      </w:pPr>
    </w:p>
    <w:p w:rsidR="00085502" w:rsidRDefault="00085502" w:rsidP="00F22CFA">
      <w:pPr>
        <w:spacing w:line="276" w:lineRule="auto"/>
        <w:ind w:firstLine="567"/>
        <w:jc w:val="both"/>
      </w:pPr>
      <w:r>
        <w:t>[3] Ar Rīgas pilsētas</w:t>
      </w:r>
      <w:r w:rsidR="00337732">
        <w:t xml:space="preserve"> Pārdaugavas tiesas tiesneses Elīnas</w:t>
      </w:r>
      <w:r>
        <w:t> Leitānes 2018.gada 2.novembra lēmumu nolemts krimināllietu iztiesāt rakstveida procesā 2018.gada 20.novembrī.</w:t>
      </w:r>
    </w:p>
    <w:p w:rsidR="00085502" w:rsidRDefault="00085502" w:rsidP="00F22CFA">
      <w:pPr>
        <w:spacing w:line="276" w:lineRule="auto"/>
        <w:ind w:firstLine="567"/>
        <w:jc w:val="both"/>
      </w:pPr>
    </w:p>
    <w:p w:rsidR="00085502" w:rsidRDefault="00085502" w:rsidP="00F22CFA">
      <w:pPr>
        <w:spacing w:line="276" w:lineRule="auto"/>
        <w:ind w:firstLine="567"/>
        <w:jc w:val="both"/>
      </w:pPr>
      <w:r>
        <w:t xml:space="preserve">[4] Ar Rīgas pilsētas Pārdaugavas tiesas 2018.gada 20.novembra lēmumu nolemts krimināllietu </w:t>
      </w:r>
      <w:r w:rsidR="00AE1CE8">
        <w:t>[pers. A]</w:t>
      </w:r>
      <w:r>
        <w:t xml:space="preserve"> apsūdzībā pēc Krimināllikuma 116.panta nosūtīt </w:t>
      </w:r>
      <w:r w:rsidRPr="00085502">
        <w:t>Rīgas pilsētas Kurzemes rajona prokuratūras</w:t>
      </w:r>
      <w:r>
        <w:t xml:space="preserve"> prokurorei I. </w:t>
      </w:r>
      <w:proofErr w:type="spellStart"/>
      <w:r>
        <w:t>Ribakovai</w:t>
      </w:r>
      <w:proofErr w:type="spellEnd"/>
      <w:r>
        <w:t xml:space="preserve"> trūkumu novēršanai.</w:t>
      </w:r>
    </w:p>
    <w:p w:rsidR="00085502" w:rsidRDefault="00085502" w:rsidP="00F22CFA">
      <w:pPr>
        <w:spacing w:line="276" w:lineRule="auto"/>
        <w:ind w:firstLine="567"/>
        <w:jc w:val="both"/>
      </w:pPr>
    </w:p>
    <w:p w:rsidR="00F22CFA" w:rsidRDefault="00085502" w:rsidP="00085502">
      <w:pPr>
        <w:spacing w:line="276" w:lineRule="auto"/>
        <w:ind w:firstLine="567"/>
        <w:jc w:val="both"/>
      </w:pPr>
      <w:r>
        <w:t xml:space="preserve">[5] </w:t>
      </w:r>
      <w:r w:rsidRPr="00085502">
        <w:t>Rīgas pilsētas Kurzemes rajona prokuratūras virsprokuror</w:t>
      </w:r>
      <w:r>
        <w:t>s</w:t>
      </w:r>
      <w:r w:rsidRPr="00085502">
        <w:t xml:space="preserve"> V. </w:t>
      </w:r>
      <w:proofErr w:type="spellStart"/>
      <w:r w:rsidRPr="00085502">
        <w:t>Maračkovsk</w:t>
      </w:r>
      <w:r>
        <w:t>is</w:t>
      </w:r>
      <w:proofErr w:type="spellEnd"/>
      <w:r>
        <w:t xml:space="preserve"> par Rīgas pilsētas Pārdaugavas tiesas 2018.gada 20.novembra lēmumu iesniedza kasācijas protestu, kurā</w:t>
      </w:r>
      <w:r w:rsidR="008900A9">
        <w:t>, atsaucoties uz Kriminālprocesa likuma 539.panta pirmo daļas, 551. un 552.panta noteikumiem,</w:t>
      </w:r>
      <w:r>
        <w:t xml:space="preserve"> lūdz atcelt</w:t>
      </w:r>
      <w:r w:rsidR="00801CEC">
        <w:t xml:space="preserve"> pirmās instances tiesas lēmumu.</w:t>
      </w:r>
    </w:p>
    <w:p w:rsidR="00A84FE4" w:rsidRDefault="00F17448" w:rsidP="00A84FE4">
      <w:pPr>
        <w:spacing w:line="276" w:lineRule="auto"/>
        <w:ind w:firstLine="567"/>
        <w:jc w:val="both"/>
      </w:pPr>
      <w:r>
        <w:t xml:space="preserve">Virsprokurora ieskatā, </w:t>
      </w:r>
      <w:r w:rsidR="00A84FE4">
        <w:t>pirmās instances tiesas lēmums par krimināllietas nosūtīšanu trūkumu novēršanai ir nepamatots šādu apsvērumu dēļ.</w:t>
      </w:r>
    </w:p>
    <w:p w:rsidR="00A84FE4" w:rsidRDefault="00A84FE4" w:rsidP="00A84FE4">
      <w:pPr>
        <w:spacing w:line="276" w:lineRule="auto"/>
        <w:ind w:firstLine="567"/>
        <w:jc w:val="both"/>
      </w:pPr>
      <w:r>
        <w:t>[5.1] Tiesa</w:t>
      </w:r>
      <w:r w:rsidR="008900A9">
        <w:t xml:space="preserve">, izsakot vērtējumu par </w:t>
      </w:r>
      <w:r w:rsidR="00AE1CE8">
        <w:t>[pers. A]</w:t>
      </w:r>
      <w:r w:rsidR="008900A9">
        <w:t xml:space="preserve"> izvēlētā soda mēru,</w:t>
      </w:r>
      <w:r>
        <w:t xml:space="preserve"> ir pārkāpusi Kriminālprocesa likuma 539.panta pirmajā daļā noteikto, ka tiesa vērtē tikai noslēgtajā vienošanās paredzētā soda veida samērīgumu ar izdarītā noziedzīgā nodarījuma raksturu un radīto kaitējumu. </w:t>
      </w:r>
    </w:p>
    <w:p w:rsidR="00A84FE4" w:rsidRDefault="00A84FE4" w:rsidP="00A84FE4">
      <w:pPr>
        <w:spacing w:line="276" w:lineRule="auto"/>
        <w:ind w:firstLine="567"/>
        <w:jc w:val="both"/>
      </w:pPr>
      <w:r>
        <w:lastRenderedPageBreak/>
        <w:t>[5.</w:t>
      </w:r>
      <w:r w:rsidR="008900A9">
        <w:t>2</w:t>
      </w:r>
      <w:r>
        <w:t xml:space="preserve">] Tiesas secinājums, ka kriminālprocesā nav </w:t>
      </w:r>
      <w:r w:rsidR="00997C4A">
        <w:t>nodrošinātas</w:t>
      </w:r>
      <w:r>
        <w:t xml:space="preserve"> cietušā tiesības, nav pamatots ar norādi uz tādu Kriminālprocesa likuma normu pārkāpumu, kas uzliek procesa virzītājam konkrētus pienākumus cietušā tiesību </w:t>
      </w:r>
      <w:r w:rsidR="00997C4A">
        <w:t>nodrošināšanai.</w:t>
      </w:r>
      <w:r>
        <w:t xml:space="preserve"> </w:t>
      </w:r>
    </w:p>
    <w:p w:rsidR="00A84FE4" w:rsidRDefault="00A84FE4" w:rsidP="00A84FE4">
      <w:pPr>
        <w:spacing w:line="276" w:lineRule="auto"/>
        <w:ind w:firstLine="567"/>
        <w:jc w:val="both"/>
      </w:pPr>
      <w:r>
        <w:t>Virsprokurors norāda, ka Kriminālprocesa likuma 95.pants, uz kuru pārsūdzētajā lēmumā atsaucas tiesa, neparedz cietušās personas tiesības.</w:t>
      </w:r>
    </w:p>
    <w:p w:rsidR="00920365" w:rsidRDefault="00A84FE4" w:rsidP="00920365">
      <w:pPr>
        <w:spacing w:line="276" w:lineRule="auto"/>
        <w:ind w:firstLine="567"/>
        <w:jc w:val="both"/>
      </w:pPr>
      <w:r>
        <w:t>Pirmstiesas kriminālprocesa laikā procesa</w:t>
      </w:r>
      <w:r w:rsidR="00E85A27">
        <w:t xml:space="preserve"> virzītāji nav saņēmuši neviena </w:t>
      </w:r>
      <w:r>
        <w:t>cietušā tuvinieka pieteikumu tikt atzītam par cietušo šajā kriminālprocesā. Līdz ar to pirmās instances tiesas secinājums par cietušā tiesību nenodrošināšanu nav pamatots.</w:t>
      </w:r>
    </w:p>
    <w:p w:rsidR="00920365" w:rsidRDefault="00920365" w:rsidP="00920365">
      <w:pPr>
        <w:spacing w:line="276" w:lineRule="auto"/>
        <w:ind w:firstLine="567"/>
        <w:jc w:val="both"/>
      </w:pPr>
    </w:p>
    <w:p w:rsidR="00920365" w:rsidRPr="00920365" w:rsidRDefault="00920365" w:rsidP="00920365">
      <w:pPr>
        <w:spacing w:line="276" w:lineRule="auto"/>
        <w:ind w:firstLine="567"/>
        <w:jc w:val="center"/>
        <w:rPr>
          <w:b/>
        </w:rPr>
      </w:pPr>
      <w:r w:rsidRPr="00920365">
        <w:rPr>
          <w:b/>
        </w:rPr>
        <w:t>Motīvu daļa</w:t>
      </w:r>
    </w:p>
    <w:p w:rsidR="00920365" w:rsidRDefault="00920365" w:rsidP="00920365">
      <w:pPr>
        <w:spacing w:line="276" w:lineRule="auto"/>
        <w:ind w:firstLine="567"/>
        <w:jc w:val="both"/>
      </w:pPr>
    </w:p>
    <w:p w:rsidR="00F22CFA" w:rsidRDefault="00F22CFA" w:rsidP="008B5848">
      <w:pPr>
        <w:spacing w:line="276" w:lineRule="auto"/>
        <w:ind w:firstLine="567"/>
        <w:jc w:val="both"/>
      </w:pPr>
      <w:r w:rsidRPr="00B90962">
        <w:rPr>
          <w:rStyle w:val="Emphasis"/>
          <w:i w:val="0"/>
          <w:iCs w:val="0"/>
          <w:lang w:eastAsia="lv-LV"/>
        </w:rPr>
        <w:t>[</w:t>
      </w:r>
      <w:r w:rsidR="008900A9">
        <w:rPr>
          <w:rStyle w:val="Emphasis"/>
          <w:i w:val="0"/>
          <w:iCs w:val="0"/>
          <w:lang w:eastAsia="lv-LV"/>
        </w:rPr>
        <w:t>6</w:t>
      </w:r>
      <w:r w:rsidRPr="00B90962">
        <w:rPr>
          <w:rStyle w:val="Emphasis"/>
          <w:i w:val="0"/>
          <w:iCs w:val="0"/>
          <w:lang w:eastAsia="lv-LV"/>
        </w:rPr>
        <w:t xml:space="preserve">] </w:t>
      </w:r>
      <w:r w:rsidRPr="00B90962">
        <w:t xml:space="preserve">Senāts atzīst, ka </w:t>
      </w:r>
      <w:r w:rsidR="00A84FE4" w:rsidRPr="00A84FE4">
        <w:t>Rīgas pilsētas Pārdaugavas tiesas 2018.gada 20.novembra lēmums</w:t>
      </w:r>
    </w:p>
    <w:p w:rsidR="00920365" w:rsidRDefault="009A6B75" w:rsidP="008B5848">
      <w:pPr>
        <w:spacing w:line="276" w:lineRule="auto"/>
        <w:contextualSpacing/>
        <w:jc w:val="both"/>
        <w:rPr>
          <w:rFonts w:eastAsiaTheme="minorHAnsi"/>
        </w:rPr>
      </w:pPr>
      <w:r w:rsidRPr="009A6B75">
        <w:rPr>
          <w:rFonts w:eastAsiaTheme="minorHAnsi"/>
        </w:rPr>
        <w:t>atstājams negrozīts, bet Rīgas pilsētas Kurzemes rajona prokuratūras virsprokurora V.</w:t>
      </w:r>
      <w:r w:rsidR="00920365">
        <w:rPr>
          <w:rFonts w:eastAsiaTheme="minorHAnsi"/>
        </w:rPr>
        <w:t> </w:t>
      </w:r>
      <w:proofErr w:type="spellStart"/>
      <w:r w:rsidRPr="009A6B75">
        <w:rPr>
          <w:rFonts w:eastAsiaTheme="minorHAnsi"/>
        </w:rPr>
        <w:t>Maračkovska</w:t>
      </w:r>
      <w:proofErr w:type="spellEnd"/>
      <w:r w:rsidRPr="009A6B75">
        <w:rPr>
          <w:rFonts w:eastAsiaTheme="minorHAnsi"/>
        </w:rPr>
        <w:t xml:space="preserve"> kasācijas protests noraidāms</w:t>
      </w:r>
      <w:r w:rsidR="000F06DF">
        <w:rPr>
          <w:rFonts w:eastAsiaTheme="minorHAnsi"/>
        </w:rPr>
        <w:t xml:space="preserve"> šādu apsvērumu dēļ.</w:t>
      </w:r>
    </w:p>
    <w:p w:rsidR="00920365" w:rsidRDefault="009D16BC" w:rsidP="008B5848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[6.1] </w:t>
      </w:r>
      <w:r w:rsidR="009A6B75" w:rsidRPr="009A6B75">
        <w:rPr>
          <w:rFonts w:eastAsiaTheme="minorHAnsi"/>
        </w:rPr>
        <w:t>Rīgas pilsētas Pārdaugavas tiesa, iztiesājot rakstveidā krimināllietu par pirmstiesas kriminālprocesā slēgtu vienošanos, atzina, ka konkrētajā krimināllietā nav ievērotas Krimināllikuma Vispārīgās daļas normas par soda noteikšanu</w:t>
      </w:r>
      <w:r w:rsidR="008B5848">
        <w:rPr>
          <w:rFonts w:eastAsiaTheme="minorHAnsi"/>
        </w:rPr>
        <w:t>,</w:t>
      </w:r>
      <w:r w:rsidR="009A6B75" w:rsidRPr="009A6B75">
        <w:rPr>
          <w:rFonts w:eastAsiaTheme="minorHAnsi"/>
        </w:rPr>
        <w:t xml:space="preserve"> un tieši, soda mērs, kāds </w:t>
      </w:r>
      <w:r w:rsidR="008B5848">
        <w:rPr>
          <w:rFonts w:eastAsiaTheme="minorHAnsi"/>
        </w:rPr>
        <w:t>paredzēts</w:t>
      </w:r>
      <w:r w:rsidR="009A6B75" w:rsidRPr="009A6B75">
        <w:rPr>
          <w:rFonts w:eastAsiaTheme="minorHAnsi"/>
        </w:rPr>
        <w:t>, noslēdzot vienošanos, neatbilst Krimināllikuma 35.panta un 46.panta prasībām</w:t>
      </w:r>
      <w:r w:rsidR="008B5848">
        <w:rPr>
          <w:rFonts w:eastAsiaTheme="minorHAnsi"/>
        </w:rPr>
        <w:t>.</w:t>
      </w:r>
      <w:r w:rsidR="009A6B75" w:rsidRPr="009A6B75">
        <w:rPr>
          <w:rFonts w:eastAsiaTheme="minorHAnsi"/>
        </w:rPr>
        <w:t xml:space="preserve"> </w:t>
      </w:r>
      <w:r w:rsidR="008B5848">
        <w:rPr>
          <w:rFonts w:eastAsiaTheme="minorHAnsi"/>
        </w:rPr>
        <w:t xml:space="preserve">Turklāt </w:t>
      </w:r>
      <w:r w:rsidR="008B5848" w:rsidRPr="009A6B75">
        <w:rPr>
          <w:rFonts w:eastAsiaTheme="minorHAnsi"/>
        </w:rPr>
        <w:t>nav izpildītas Kriminālprocesa likuma normu prasības par cietu</w:t>
      </w:r>
      <w:r w:rsidR="008B5848">
        <w:rPr>
          <w:rFonts w:eastAsiaTheme="minorHAnsi"/>
        </w:rPr>
        <w:t xml:space="preserve">šā tiesību ievērošanu. </w:t>
      </w:r>
      <w:r w:rsidR="009A6B75" w:rsidRPr="009A6B75">
        <w:rPr>
          <w:rFonts w:eastAsiaTheme="minorHAnsi"/>
        </w:rPr>
        <w:t>Pamatojoties uz minēt</w:t>
      </w:r>
      <w:r w:rsidR="008B5848">
        <w:rPr>
          <w:rFonts w:eastAsiaTheme="minorHAnsi"/>
        </w:rPr>
        <w:t>ajiem atzinumiem</w:t>
      </w:r>
      <w:r w:rsidR="009A6B75" w:rsidRPr="009A6B75">
        <w:rPr>
          <w:rFonts w:eastAsiaTheme="minorHAnsi"/>
        </w:rPr>
        <w:t>, saskaņā</w:t>
      </w:r>
      <w:r>
        <w:rPr>
          <w:rFonts w:eastAsiaTheme="minorHAnsi"/>
        </w:rPr>
        <w:t xml:space="preserve"> ar Kriminālprocesa likuma 540.</w:t>
      </w:r>
      <w:r>
        <w:rPr>
          <w:rFonts w:eastAsiaTheme="minorHAnsi"/>
          <w:vertAlign w:val="superscript"/>
        </w:rPr>
        <w:t>1</w:t>
      </w:r>
      <w:r w:rsidR="009A6B75" w:rsidRPr="009A6B75">
        <w:rPr>
          <w:rFonts w:eastAsiaTheme="minorHAnsi"/>
        </w:rPr>
        <w:t>panta piektās daļas 2.</w:t>
      </w:r>
      <w:r>
        <w:rPr>
          <w:rFonts w:eastAsiaTheme="minorHAnsi"/>
        </w:rPr>
        <w:t>punktu</w:t>
      </w:r>
      <w:r w:rsidR="009A6B75" w:rsidRPr="009A6B75">
        <w:rPr>
          <w:rFonts w:eastAsiaTheme="minorHAnsi"/>
        </w:rPr>
        <w:t xml:space="preserve"> tiesa pieņēma lēmumu par lietas nosūtīšanu prokuroram </w:t>
      </w:r>
      <w:r w:rsidR="008B5848">
        <w:rPr>
          <w:rFonts w:eastAsiaTheme="minorHAnsi"/>
        </w:rPr>
        <w:t xml:space="preserve">trūkumu </w:t>
      </w:r>
      <w:r w:rsidR="009A6B75" w:rsidRPr="009A6B75">
        <w:rPr>
          <w:rFonts w:eastAsiaTheme="minorHAnsi"/>
        </w:rPr>
        <w:t>novēršanai.</w:t>
      </w:r>
    </w:p>
    <w:p w:rsidR="009D16BC" w:rsidRDefault="000F06DF" w:rsidP="009D16BC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>V</w:t>
      </w:r>
      <w:r w:rsidR="009A6B75" w:rsidRPr="009A6B75">
        <w:rPr>
          <w:rFonts w:eastAsiaTheme="minorHAnsi"/>
        </w:rPr>
        <w:t>irsprokurora V.</w:t>
      </w:r>
      <w:r w:rsidR="009D16BC">
        <w:rPr>
          <w:rFonts w:eastAsiaTheme="minorHAnsi"/>
        </w:rPr>
        <w:t> </w:t>
      </w:r>
      <w:proofErr w:type="spellStart"/>
      <w:r w:rsidR="009A6B75" w:rsidRPr="009A6B75">
        <w:rPr>
          <w:rFonts w:eastAsiaTheme="minorHAnsi"/>
        </w:rPr>
        <w:t>Maračkovska</w:t>
      </w:r>
      <w:proofErr w:type="spellEnd"/>
      <w:r w:rsidR="009A6B75" w:rsidRPr="009A6B75">
        <w:rPr>
          <w:rFonts w:eastAsiaTheme="minorHAnsi"/>
        </w:rPr>
        <w:t xml:space="preserve"> kasācijas protestā kļūdaini norādīts, ka tiesas lēmums pieņemts, pamatojoties</w:t>
      </w:r>
      <w:r w:rsidR="009D16BC">
        <w:rPr>
          <w:rFonts w:eastAsiaTheme="minorHAnsi"/>
        </w:rPr>
        <w:t xml:space="preserve"> uz Kriminālprocesa likuma 539.</w:t>
      </w:r>
      <w:r w:rsidR="009A6B75" w:rsidRPr="009A6B75">
        <w:rPr>
          <w:rFonts w:eastAsiaTheme="minorHAnsi"/>
        </w:rPr>
        <w:t>pantu.</w:t>
      </w:r>
    </w:p>
    <w:p w:rsidR="009D16BC" w:rsidRDefault="009A6B75" w:rsidP="000F06DF">
      <w:pPr>
        <w:spacing w:line="276" w:lineRule="auto"/>
        <w:ind w:firstLine="567"/>
        <w:contextualSpacing/>
        <w:jc w:val="both"/>
        <w:rPr>
          <w:rFonts w:eastAsiaTheme="minorHAnsi"/>
        </w:rPr>
      </w:pPr>
      <w:r w:rsidRPr="009A6B75">
        <w:rPr>
          <w:rFonts w:eastAsiaTheme="minorHAnsi"/>
        </w:rPr>
        <w:t>Senāts norāda, ka, sagatavojot krimināllietu iztiesāšanai tiesas sēdē vienošanās procesā atbilst</w:t>
      </w:r>
      <w:r w:rsidR="009D16BC">
        <w:rPr>
          <w:rFonts w:eastAsiaTheme="minorHAnsi"/>
        </w:rPr>
        <w:t>oši Kriminālprocesa likuma 539.</w:t>
      </w:r>
      <w:r w:rsidRPr="009A6B75">
        <w:rPr>
          <w:rFonts w:eastAsiaTheme="minorHAnsi"/>
        </w:rPr>
        <w:t>pantā noteiktajam, tiesnesis pārbauda</w:t>
      </w:r>
      <w:r w:rsidR="009D16BC">
        <w:rPr>
          <w:rFonts w:eastAsiaTheme="minorHAnsi"/>
        </w:rPr>
        <w:t>,</w:t>
      </w:r>
      <w:r w:rsidRPr="009A6B75">
        <w:rPr>
          <w:rFonts w:eastAsiaTheme="minorHAnsi"/>
        </w:rPr>
        <w:t xml:space="preserve"> vai</w:t>
      </w:r>
      <w:r w:rsidR="009D16BC">
        <w:rPr>
          <w:rFonts w:eastAsiaTheme="minorHAnsi"/>
        </w:rPr>
        <w:t xml:space="preserve">, nosakot soda veidu, </w:t>
      </w:r>
      <w:r w:rsidRPr="009A6B75">
        <w:rPr>
          <w:rFonts w:eastAsiaTheme="minorHAnsi"/>
        </w:rPr>
        <w:t>nav pieļauts</w:t>
      </w:r>
      <w:r w:rsidR="000F06DF">
        <w:rPr>
          <w:rFonts w:eastAsiaTheme="minorHAnsi"/>
        </w:rPr>
        <w:t xml:space="preserve"> Krimināllikuma normu pārkāpums – proti, vai izraudzītais soda veids nav samērīgs ar izdarītā noziedzīgā nodarījuma raksturu un radīto kaitējumu.</w:t>
      </w:r>
      <w:r w:rsidR="009D16BC">
        <w:rPr>
          <w:rFonts w:eastAsiaTheme="minorHAnsi"/>
        </w:rPr>
        <w:t xml:space="preserve"> </w:t>
      </w:r>
      <w:r w:rsidRPr="009A6B75">
        <w:rPr>
          <w:rFonts w:eastAsiaTheme="minorHAnsi"/>
        </w:rPr>
        <w:t>Taču iztiesāšanās stadijā, arī rakstveida procesā, tiesa var konst</w:t>
      </w:r>
      <w:r w:rsidR="009D16BC">
        <w:rPr>
          <w:rFonts w:eastAsiaTheme="minorHAnsi"/>
        </w:rPr>
        <w:t>atēt, ka izraudzītais soda mērs</w:t>
      </w:r>
      <w:r w:rsidRPr="009A6B75">
        <w:rPr>
          <w:rFonts w:eastAsiaTheme="minorHAnsi"/>
        </w:rPr>
        <w:t xml:space="preserve"> ne</w:t>
      </w:r>
      <w:r w:rsidR="008B5848">
        <w:rPr>
          <w:rFonts w:eastAsiaTheme="minorHAnsi"/>
        </w:rPr>
        <w:t xml:space="preserve">atbilst Krimināllikuma 35. un </w:t>
      </w:r>
      <w:r w:rsidR="009D16BC">
        <w:rPr>
          <w:rFonts w:eastAsiaTheme="minorHAnsi"/>
        </w:rPr>
        <w:t>46.</w:t>
      </w:r>
      <w:r w:rsidR="008B5848">
        <w:rPr>
          <w:rFonts w:eastAsiaTheme="minorHAnsi"/>
        </w:rPr>
        <w:t>pantā</w:t>
      </w:r>
      <w:r w:rsidRPr="009A6B75">
        <w:rPr>
          <w:rFonts w:eastAsiaTheme="minorHAnsi"/>
        </w:rPr>
        <w:t xml:space="preserve"> noteiktajām prasībām un ir pieļauts Kriminālliku</w:t>
      </w:r>
      <w:r w:rsidR="009D16BC">
        <w:rPr>
          <w:rFonts w:eastAsiaTheme="minorHAnsi"/>
        </w:rPr>
        <w:t>ma Vispārīgās daļas pārkāpums.</w:t>
      </w:r>
    </w:p>
    <w:p w:rsidR="009D16BC" w:rsidRDefault="009A6B75" w:rsidP="009D16BC">
      <w:pPr>
        <w:spacing w:line="276" w:lineRule="auto"/>
        <w:ind w:firstLine="567"/>
        <w:contextualSpacing/>
        <w:jc w:val="both"/>
        <w:rPr>
          <w:rFonts w:eastAsiaTheme="minorHAnsi"/>
        </w:rPr>
      </w:pPr>
      <w:r w:rsidRPr="009A6B75">
        <w:rPr>
          <w:rFonts w:eastAsiaTheme="minorHAnsi"/>
        </w:rPr>
        <w:t>Konkrētajā gadījumā tiesa, iztiesājot lietu rakstveida procesā, ievēro</w:t>
      </w:r>
      <w:r w:rsidR="009D16BC">
        <w:rPr>
          <w:rFonts w:eastAsiaTheme="minorHAnsi"/>
        </w:rPr>
        <w:t>jot Kriminālprocesa likuma 540.</w:t>
      </w:r>
      <w:r w:rsidR="009D16BC">
        <w:rPr>
          <w:rFonts w:eastAsiaTheme="minorHAnsi"/>
          <w:vertAlign w:val="superscript"/>
        </w:rPr>
        <w:t>1</w:t>
      </w:r>
      <w:r w:rsidRPr="009A6B75">
        <w:rPr>
          <w:rFonts w:eastAsiaTheme="minorHAnsi"/>
        </w:rPr>
        <w:t>panta piektās daļas 2.</w:t>
      </w:r>
      <w:r w:rsidR="009D16BC">
        <w:rPr>
          <w:rFonts w:eastAsiaTheme="minorHAnsi"/>
        </w:rPr>
        <w:t>punktu,</w:t>
      </w:r>
      <w:r w:rsidRPr="009A6B75">
        <w:rPr>
          <w:rFonts w:eastAsiaTheme="minorHAnsi"/>
        </w:rPr>
        <w:t xml:space="preserve"> </w:t>
      </w:r>
      <w:r w:rsidR="009D16BC">
        <w:rPr>
          <w:rFonts w:eastAsiaTheme="minorHAnsi"/>
        </w:rPr>
        <w:t xml:space="preserve">pamatoti </w:t>
      </w:r>
      <w:r w:rsidRPr="009A6B75">
        <w:rPr>
          <w:rFonts w:eastAsiaTheme="minorHAnsi"/>
        </w:rPr>
        <w:t>nolēma lietu nosūtīt prokuroram pārkāpumu novēršanai.</w:t>
      </w:r>
    </w:p>
    <w:p w:rsidR="009D16BC" w:rsidRDefault="009A6B75" w:rsidP="009D16BC">
      <w:pPr>
        <w:spacing w:line="276" w:lineRule="auto"/>
        <w:ind w:firstLine="567"/>
        <w:contextualSpacing/>
        <w:jc w:val="both"/>
        <w:rPr>
          <w:rFonts w:eastAsiaTheme="minorHAnsi"/>
        </w:rPr>
      </w:pPr>
      <w:r w:rsidRPr="009A6B75">
        <w:rPr>
          <w:rFonts w:eastAsiaTheme="minorHAnsi"/>
        </w:rPr>
        <w:t>Senātam nav pamata apšaubīt tiesas lēmumā izteikto motivāciju, ka</w:t>
      </w:r>
      <w:r w:rsidR="009D16BC">
        <w:rPr>
          <w:rFonts w:eastAsiaTheme="minorHAnsi"/>
        </w:rPr>
        <w:t xml:space="preserve">, </w:t>
      </w:r>
      <w:r w:rsidR="009D16BC" w:rsidRPr="009A6B75">
        <w:rPr>
          <w:rFonts w:eastAsiaTheme="minorHAnsi"/>
        </w:rPr>
        <w:t xml:space="preserve">izraugoties apsūdzētajam </w:t>
      </w:r>
      <w:r w:rsidR="00AE1CE8">
        <w:rPr>
          <w:rFonts w:eastAsiaTheme="minorHAnsi"/>
        </w:rPr>
        <w:t>[pers. A]</w:t>
      </w:r>
      <w:r w:rsidR="009D16BC">
        <w:rPr>
          <w:rFonts w:eastAsiaTheme="minorHAnsi"/>
        </w:rPr>
        <w:t xml:space="preserve"> brīvības atņemšanas soda mēru, </w:t>
      </w:r>
      <w:r w:rsidRPr="009A6B75">
        <w:rPr>
          <w:rFonts w:eastAsiaTheme="minorHAnsi"/>
        </w:rPr>
        <w:t>vienošanās procesā</w:t>
      </w:r>
      <w:r w:rsidR="00DE50D2">
        <w:rPr>
          <w:rFonts w:eastAsiaTheme="minorHAnsi"/>
        </w:rPr>
        <w:t xml:space="preserve"> nav ievēroti </w:t>
      </w:r>
      <w:r w:rsidR="008B5848">
        <w:rPr>
          <w:rFonts w:eastAsiaTheme="minorHAnsi"/>
        </w:rPr>
        <w:t xml:space="preserve">Krimināllikuma </w:t>
      </w:r>
      <w:r w:rsidR="00DE50D2">
        <w:rPr>
          <w:rFonts w:eastAsiaTheme="minorHAnsi"/>
        </w:rPr>
        <w:t xml:space="preserve">4. un 5.nodaļas nosacījumi par sodu un soda noteikšanu, kas ir par pamatu tiesas atteikumam apstiprināt šādu vienošanos. </w:t>
      </w:r>
    </w:p>
    <w:p w:rsidR="00DE50D2" w:rsidRDefault="009D16BC" w:rsidP="009D16BC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[6.2] </w:t>
      </w:r>
      <w:r w:rsidR="009A6B75" w:rsidRPr="009A6B75">
        <w:rPr>
          <w:rFonts w:eastAsiaTheme="minorHAnsi"/>
        </w:rPr>
        <w:t xml:space="preserve">Tiesa konstatējusi, ka par cietušo lietā atzītā persona </w:t>
      </w:r>
      <w:r w:rsidR="00AE1CE8">
        <w:rPr>
          <w:rFonts w:eastAsiaTheme="minorHAnsi"/>
        </w:rPr>
        <w:t>[pers. B]</w:t>
      </w:r>
      <w:r w:rsidR="009A6B75" w:rsidRPr="009A6B75">
        <w:rPr>
          <w:rFonts w:eastAsiaTheme="minorHAnsi"/>
        </w:rPr>
        <w:t xml:space="preserve"> ir miris</w:t>
      </w:r>
      <w:r w:rsidR="00DE50D2">
        <w:rPr>
          <w:rFonts w:eastAsiaTheme="minorHAnsi"/>
        </w:rPr>
        <w:t xml:space="preserve">, un, slēdzot vienošanos pirmstiesas kriminālprocesā, prokuroram </w:t>
      </w:r>
      <w:r w:rsidR="009A6B75" w:rsidRPr="009A6B75">
        <w:rPr>
          <w:rFonts w:eastAsiaTheme="minorHAnsi"/>
        </w:rPr>
        <w:t>šis fakts b</w:t>
      </w:r>
      <w:r w:rsidR="00DE50D2">
        <w:rPr>
          <w:rFonts w:eastAsiaTheme="minorHAnsi"/>
        </w:rPr>
        <w:t>ija zināms.</w:t>
      </w:r>
    </w:p>
    <w:p w:rsidR="009D16BC" w:rsidRDefault="00593989" w:rsidP="00DE50D2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>Pirmās instances t</w:t>
      </w:r>
      <w:r w:rsidR="00DE50D2">
        <w:rPr>
          <w:rFonts w:eastAsiaTheme="minorHAnsi"/>
        </w:rPr>
        <w:t>iesā pi</w:t>
      </w:r>
      <w:r w:rsidR="009A6B75" w:rsidRPr="009A6B75">
        <w:rPr>
          <w:rFonts w:eastAsiaTheme="minorHAnsi"/>
        </w:rPr>
        <w:t>rms lietas iztiesāšanas</w:t>
      </w:r>
      <w:r w:rsidR="00DE50D2">
        <w:rPr>
          <w:rFonts w:eastAsiaTheme="minorHAnsi"/>
        </w:rPr>
        <w:t xml:space="preserve"> uzsākšanas</w:t>
      </w:r>
      <w:r>
        <w:rPr>
          <w:rFonts w:eastAsiaTheme="minorHAnsi"/>
        </w:rPr>
        <w:t xml:space="preserve"> saņemts </w:t>
      </w:r>
      <w:r w:rsidR="00AE1CE8">
        <w:rPr>
          <w:rFonts w:eastAsiaTheme="minorHAnsi"/>
        </w:rPr>
        <w:t>[pers. C]</w:t>
      </w:r>
      <w:r w:rsidR="009A6B75" w:rsidRPr="009A6B75">
        <w:rPr>
          <w:rFonts w:eastAsiaTheme="minorHAnsi"/>
        </w:rPr>
        <w:t xml:space="preserve"> iesniegums, kurā </w:t>
      </w:r>
      <w:r w:rsidR="00DE50D2">
        <w:rPr>
          <w:rFonts w:eastAsiaTheme="minorHAnsi"/>
        </w:rPr>
        <w:t>lūgts atzīt viņu par cietušo krimināllietā Nr. </w:t>
      </w:r>
      <w:r w:rsidR="00DE50D2">
        <w:t>11096123516.</w:t>
      </w:r>
    </w:p>
    <w:p w:rsidR="009D16BC" w:rsidRDefault="009A6B75" w:rsidP="009D16BC">
      <w:pPr>
        <w:spacing w:line="276" w:lineRule="auto"/>
        <w:ind w:firstLine="567"/>
        <w:contextualSpacing/>
        <w:jc w:val="both"/>
        <w:rPr>
          <w:rFonts w:eastAsiaTheme="minorHAnsi"/>
        </w:rPr>
      </w:pPr>
      <w:r w:rsidRPr="009A6B75">
        <w:rPr>
          <w:rFonts w:eastAsiaTheme="minorHAnsi"/>
        </w:rPr>
        <w:t xml:space="preserve">Senāts norāda, </w:t>
      </w:r>
      <w:r w:rsidR="00DE50D2">
        <w:rPr>
          <w:rFonts w:eastAsiaTheme="minorHAnsi"/>
        </w:rPr>
        <w:t xml:space="preserve">ka </w:t>
      </w:r>
      <w:r w:rsidRPr="009A6B75">
        <w:rPr>
          <w:rFonts w:eastAsiaTheme="minorHAnsi"/>
        </w:rPr>
        <w:t>šādā gadījumā, iztiesājot lietu par pirmstiesas kriminālprocesā slēgtu vienošanos, ties</w:t>
      </w:r>
      <w:r w:rsidR="009D16BC">
        <w:rPr>
          <w:rFonts w:eastAsiaTheme="minorHAnsi"/>
        </w:rPr>
        <w:t xml:space="preserve">a nevar izlemt jautājumu par </w:t>
      </w:r>
      <w:r w:rsidR="00AE1CE8">
        <w:rPr>
          <w:rFonts w:eastAsiaTheme="minorHAnsi"/>
        </w:rPr>
        <w:t>[pers. C]</w:t>
      </w:r>
      <w:r w:rsidRPr="009A6B75">
        <w:rPr>
          <w:rFonts w:eastAsiaTheme="minorHAnsi"/>
        </w:rPr>
        <w:t xml:space="preserve"> </w:t>
      </w:r>
      <w:r w:rsidR="00D31E20">
        <w:rPr>
          <w:rFonts w:eastAsiaTheme="minorHAnsi"/>
        </w:rPr>
        <w:t>atzīšanu par cietušo.</w:t>
      </w:r>
    </w:p>
    <w:p w:rsidR="009D16BC" w:rsidRDefault="009D16BC" w:rsidP="009D16BC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Senāta ieskatā, </w:t>
      </w:r>
      <w:r w:rsidR="009A6B75" w:rsidRPr="009A6B75">
        <w:rPr>
          <w:rFonts w:eastAsiaTheme="minorHAnsi"/>
        </w:rPr>
        <w:t>šis ja</w:t>
      </w:r>
      <w:r w:rsidR="000F06DF">
        <w:rPr>
          <w:rFonts w:eastAsiaTheme="minorHAnsi"/>
        </w:rPr>
        <w:t>utājums jāizlemj procesa virzītā</w:t>
      </w:r>
      <w:r w:rsidR="009A6B75" w:rsidRPr="009A6B75">
        <w:rPr>
          <w:rFonts w:eastAsiaTheme="minorHAnsi"/>
        </w:rPr>
        <w:t>jam p</w:t>
      </w:r>
      <w:r>
        <w:rPr>
          <w:rFonts w:eastAsiaTheme="minorHAnsi"/>
        </w:rPr>
        <w:t xml:space="preserve">ēc lietas saņemšanas </w:t>
      </w:r>
      <w:r w:rsidR="009A6B75" w:rsidRPr="009A6B75">
        <w:rPr>
          <w:rFonts w:eastAsiaTheme="minorHAnsi"/>
        </w:rPr>
        <w:t>pārkāpumu novēršanai.</w:t>
      </w:r>
    </w:p>
    <w:p w:rsidR="008900A9" w:rsidRDefault="009D16BC" w:rsidP="00D31E20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Līdz ar to </w:t>
      </w:r>
      <w:r w:rsidR="00D31E20">
        <w:rPr>
          <w:rFonts w:eastAsiaTheme="minorHAnsi"/>
        </w:rPr>
        <w:t>kasācijas instances tiesa</w:t>
      </w:r>
      <w:r w:rsidR="009A6B75" w:rsidRPr="009A6B75">
        <w:rPr>
          <w:rFonts w:eastAsiaTheme="minorHAnsi"/>
        </w:rPr>
        <w:t xml:space="preserve"> atzīst, ka Rīgas pilsētas Pārdaugavas tiesa nav pieļāvusi Kriminālprocesa likuma normu pārkāpumus, kas būtu par </w:t>
      </w:r>
      <w:r w:rsidR="00593989">
        <w:rPr>
          <w:rFonts w:eastAsiaTheme="minorHAnsi"/>
        </w:rPr>
        <w:t>pamatu</w:t>
      </w:r>
      <w:r w:rsidR="009A6B75" w:rsidRPr="009A6B75">
        <w:rPr>
          <w:rFonts w:eastAsiaTheme="minorHAnsi"/>
        </w:rPr>
        <w:t xml:space="preserve"> tiesas lēmuma atcelšanai.</w:t>
      </w:r>
    </w:p>
    <w:p w:rsidR="00D31E20" w:rsidRPr="00D31E20" w:rsidRDefault="00D31E20" w:rsidP="00D31E20">
      <w:pPr>
        <w:spacing w:line="276" w:lineRule="auto"/>
        <w:ind w:firstLine="567"/>
        <w:contextualSpacing/>
        <w:jc w:val="both"/>
        <w:rPr>
          <w:rFonts w:eastAsiaTheme="minorHAnsi"/>
        </w:rPr>
      </w:pPr>
    </w:p>
    <w:p w:rsidR="00F22CFA" w:rsidRPr="00C4027F" w:rsidRDefault="00F22CFA" w:rsidP="009D16BC">
      <w:pPr>
        <w:pStyle w:val="Subtitle"/>
        <w:spacing w:after="0" w:line="276" w:lineRule="auto"/>
        <w:ind w:firstLine="567"/>
        <w:contextualSpacing/>
        <w:rPr>
          <w:rStyle w:val="Emphasis"/>
          <w:rFonts w:ascii="Times New Roman" w:eastAsia="Calibri" w:hAnsi="Times New Roman"/>
          <w:b/>
          <w:i w:val="0"/>
          <w:iCs w:val="0"/>
          <w:lang w:eastAsia="lv-LV"/>
        </w:rPr>
      </w:pPr>
      <w:r w:rsidRPr="00C4027F">
        <w:rPr>
          <w:rStyle w:val="Emphasis"/>
          <w:rFonts w:ascii="Times New Roman" w:eastAsia="Calibri" w:hAnsi="Times New Roman"/>
          <w:b/>
          <w:i w:val="0"/>
          <w:iCs w:val="0"/>
          <w:lang w:eastAsia="lv-LV"/>
        </w:rPr>
        <w:t>Rezolutīvā daļa</w:t>
      </w:r>
    </w:p>
    <w:p w:rsidR="00F22CFA" w:rsidRPr="00C4027F" w:rsidRDefault="00F22CFA" w:rsidP="009D16BC">
      <w:pPr>
        <w:pStyle w:val="Subtitle"/>
        <w:spacing w:after="0" w:line="276" w:lineRule="auto"/>
        <w:ind w:firstLine="567"/>
        <w:contextualSpacing/>
        <w:rPr>
          <w:rStyle w:val="Emphasis"/>
          <w:rFonts w:ascii="Times New Roman" w:eastAsia="Calibri" w:hAnsi="Times New Roman"/>
          <w:i w:val="0"/>
          <w:iCs w:val="0"/>
          <w:lang w:eastAsia="lv-LV"/>
        </w:rPr>
      </w:pPr>
    </w:p>
    <w:p w:rsidR="00F22CFA" w:rsidRPr="00CA6D12" w:rsidRDefault="00F22CFA" w:rsidP="009D16BC">
      <w:pPr>
        <w:pStyle w:val="Subtitle"/>
        <w:spacing w:after="0" w:line="276" w:lineRule="auto"/>
        <w:ind w:firstLine="567"/>
        <w:contextualSpacing/>
        <w:jc w:val="both"/>
        <w:rPr>
          <w:rFonts w:ascii="Times New Roman" w:eastAsia="Calibri" w:hAnsi="Times New Roman"/>
          <w:iCs/>
          <w:lang w:val="lv-LV"/>
        </w:rPr>
      </w:pPr>
      <w:r w:rsidRPr="00C4027F">
        <w:rPr>
          <w:rStyle w:val="Emphasis"/>
          <w:rFonts w:ascii="Times New Roman" w:eastAsia="Calibri" w:hAnsi="Times New Roman"/>
          <w:i w:val="0"/>
        </w:rPr>
        <w:t xml:space="preserve">Pamatojoties uz Kriminālprocesa likuma, </w:t>
      </w:r>
      <w:r>
        <w:rPr>
          <w:rStyle w:val="Emphasis"/>
          <w:rFonts w:ascii="Times New Roman" w:eastAsia="Calibri" w:hAnsi="Times New Roman"/>
          <w:i w:val="0"/>
          <w:lang w:val="lv-LV"/>
        </w:rPr>
        <w:t xml:space="preserve">585. un 587.pantu, </w:t>
      </w:r>
      <w:r w:rsidR="008900A9">
        <w:rPr>
          <w:rStyle w:val="Emphasis"/>
          <w:rFonts w:ascii="Times New Roman" w:eastAsia="Calibri" w:hAnsi="Times New Roman"/>
          <w:i w:val="0"/>
          <w:lang w:val="lv-LV"/>
        </w:rPr>
        <w:t>tiesa</w:t>
      </w:r>
    </w:p>
    <w:p w:rsidR="00F22CFA" w:rsidRDefault="00F22CFA" w:rsidP="009D16BC">
      <w:pPr>
        <w:pStyle w:val="NoSpacing"/>
        <w:spacing w:line="276" w:lineRule="auto"/>
        <w:ind w:firstLine="567"/>
        <w:contextualSpacing/>
        <w:jc w:val="both"/>
        <w:rPr>
          <w:rFonts w:ascii="TimesNewRomanPSMT" w:hAnsi="TimesNewRomanPSMT" w:cs="TimesNewRomanPSMT"/>
        </w:rPr>
      </w:pPr>
    </w:p>
    <w:p w:rsidR="00F22CFA" w:rsidRDefault="00F22CFA" w:rsidP="009D16BC">
      <w:pPr>
        <w:pStyle w:val="Subtitle"/>
        <w:spacing w:after="0" w:line="276" w:lineRule="auto"/>
        <w:ind w:firstLine="567"/>
        <w:contextualSpacing/>
        <w:rPr>
          <w:rStyle w:val="Emphasis"/>
          <w:rFonts w:ascii="Times New Roman" w:eastAsia="Calibri" w:hAnsi="Times New Roman"/>
          <w:b/>
          <w:i w:val="0"/>
        </w:rPr>
      </w:pPr>
      <w:r w:rsidRPr="00C4027F">
        <w:rPr>
          <w:rStyle w:val="Emphasis"/>
          <w:rFonts w:ascii="Times New Roman" w:eastAsia="Calibri" w:hAnsi="Times New Roman"/>
          <w:b/>
          <w:i w:val="0"/>
        </w:rPr>
        <w:t>nolēma:</w:t>
      </w:r>
    </w:p>
    <w:p w:rsidR="009A6B75" w:rsidRDefault="009A6B75" w:rsidP="00D31E20">
      <w:pPr>
        <w:spacing w:line="276" w:lineRule="auto"/>
        <w:ind w:firstLine="567"/>
        <w:contextualSpacing/>
        <w:jc w:val="both"/>
        <w:rPr>
          <w:lang w:val="x-none"/>
        </w:rPr>
      </w:pPr>
    </w:p>
    <w:p w:rsidR="009A6B75" w:rsidRDefault="009A6B75" w:rsidP="00D31E20">
      <w:pPr>
        <w:spacing w:line="276" w:lineRule="auto"/>
        <w:ind w:firstLine="567"/>
        <w:contextualSpacing/>
        <w:jc w:val="both"/>
      </w:pPr>
      <w:r>
        <w:t xml:space="preserve">atstāt negrozītu </w:t>
      </w:r>
      <w:r w:rsidRPr="00A84FE4">
        <w:t>Rīgas pilsētas Pārdaugavas tiesas 2018.gada 20.novembra lēmum</w:t>
      </w:r>
      <w:r>
        <w:t xml:space="preserve">u, bet </w:t>
      </w:r>
      <w:r w:rsidR="00593989">
        <w:t xml:space="preserve">Rīgas pilsētas Kurzemes rajona prokuratūras </w:t>
      </w:r>
      <w:r>
        <w:t>virsprokurora V.</w:t>
      </w:r>
      <w:r w:rsidR="009D16BC">
        <w:t> </w:t>
      </w:r>
      <w:proofErr w:type="spellStart"/>
      <w:r>
        <w:t>Maračkovska</w:t>
      </w:r>
      <w:proofErr w:type="spellEnd"/>
      <w:r>
        <w:t xml:space="preserve"> kasācijas protestu noraidīt.</w:t>
      </w:r>
    </w:p>
    <w:p w:rsidR="009A6B75" w:rsidRPr="009A6B75" w:rsidRDefault="009A6B75" w:rsidP="00D31E20">
      <w:pPr>
        <w:spacing w:line="276" w:lineRule="auto"/>
        <w:ind w:firstLine="567"/>
        <w:contextualSpacing/>
        <w:jc w:val="both"/>
      </w:pPr>
      <w:r>
        <w:t>Lēmums nav pārsūdzams.</w:t>
      </w:r>
    </w:p>
    <w:p w:rsidR="00F22CFA" w:rsidRDefault="00F22CFA" w:rsidP="009D16BC">
      <w:pPr>
        <w:tabs>
          <w:tab w:val="left" w:pos="1050"/>
          <w:tab w:val="left" w:pos="4065"/>
          <w:tab w:val="left" w:pos="7035"/>
        </w:tabs>
        <w:spacing w:line="276" w:lineRule="auto"/>
        <w:jc w:val="both"/>
        <w:rPr>
          <w:lang w:val="x-none"/>
        </w:rPr>
      </w:pPr>
    </w:p>
    <w:p w:rsidR="009D16BC" w:rsidRDefault="009D16BC" w:rsidP="009D16BC">
      <w:pPr>
        <w:tabs>
          <w:tab w:val="left" w:pos="1050"/>
          <w:tab w:val="left" w:pos="4065"/>
          <w:tab w:val="left" w:pos="7035"/>
        </w:tabs>
        <w:spacing w:line="276" w:lineRule="auto"/>
        <w:jc w:val="both"/>
        <w:rPr>
          <w:rStyle w:val="Emphasis"/>
          <w:i w:val="0"/>
        </w:rPr>
      </w:pPr>
    </w:p>
    <w:sectPr w:rsidR="009D16BC" w:rsidSect="00D84442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C4C" w:rsidRDefault="00E85A27">
      <w:r>
        <w:separator/>
      </w:r>
    </w:p>
  </w:endnote>
  <w:endnote w:type="continuationSeparator" w:id="0">
    <w:p w:rsidR="00B31C4C" w:rsidRDefault="00E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8919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6C7F" w:rsidRDefault="008900A9">
            <w:pPr>
              <w:pStyle w:val="Footer"/>
              <w:jc w:val="center"/>
            </w:pPr>
            <w:r w:rsidRPr="008A6C7F">
              <w:rPr>
                <w:bCs/>
              </w:rPr>
              <w:fldChar w:fldCharType="begin"/>
            </w:r>
            <w:r w:rsidRPr="008A6C7F">
              <w:rPr>
                <w:bCs/>
              </w:rPr>
              <w:instrText xml:space="preserve"> PAGE </w:instrText>
            </w:r>
            <w:r w:rsidRPr="008A6C7F">
              <w:rPr>
                <w:bCs/>
              </w:rPr>
              <w:fldChar w:fldCharType="separate"/>
            </w:r>
            <w:r w:rsidR="0033213B">
              <w:rPr>
                <w:bCs/>
                <w:noProof/>
              </w:rPr>
              <w:t>3</w:t>
            </w:r>
            <w:r w:rsidRPr="008A6C7F">
              <w:rPr>
                <w:bCs/>
              </w:rPr>
              <w:fldChar w:fldCharType="end"/>
            </w:r>
            <w:r w:rsidRPr="008A6C7F">
              <w:t xml:space="preserve"> no </w:t>
            </w:r>
            <w:r w:rsidRPr="008A6C7F">
              <w:rPr>
                <w:bCs/>
              </w:rPr>
              <w:fldChar w:fldCharType="begin"/>
            </w:r>
            <w:r w:rsidRPr="008A6C7F">
              <w:rPr>
                <w:bCs/>
              </w:rPr>
              <w:instrText xml:space="preserve"> NUMPAGES  </w:instrText>
            </w:r>
            <w:r w:rsidRPr="008A6C7F">
              <w:rPr>
                <w:bCs/>
              </w:rPr>
              <w:fldChar w:fldCharType="separate"/>
            </w:r>
            <w:r w:rsidR="0033213B">
              <w:rPr>
                <w:bCs/>
                <w:noProof/>
              </w:rPr>
              <w:t>3</w:t>
            </w:r>
            <w:r w:rsidRPr="008A6C7F">
              <w:rPr>
                <w:bCs/>
              </w:rPr>
              <w:fldChar w:fldCharType="end"/>
            </w:r>
          </w:p>
        </w:sdtContent>
      </w:sdt>
    </w:sdtContent>
  </w:sdt>
  <w:p w:rsidR="008A6C7F" w:rsidRDefault="00216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C4C" w:rsidRDefault="00E85A27">
      <w:r>
        <w:separator/>
      </w:r>
    </w:p>
  </w:footnote>
  <w:footnote w:type="continuationSeparator" w:id="0">
    <w:p w:rsidR="00B31C4C" w:rsidRDefault="00E8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FA"/>
    <w:rsid w:val="00014E13"/>
    <w:rsid w:val="0005034A"/>
    <w:rsid w:val="00085502"/>
    <w:rsid w:val="000F06DF"/>
    <w:rsid w:val="00216516"/>
    <w:rsid w:val="0027234C"/>
    <w:rsid w:val="0033213B"/>
    <w:rsid w:val="00337732"/>
    <w:rsid w:val="004E50B9"/>
    <w:rsid w:val="00507799"/>
    <w:rsid w:val="005201A3"/>
    <w:rsid w:val="00593989"/>
    <w:rsid w:val="005D093A"/>
    <w:rsid w:val="006051E8"/>
    <w:rsid w:val="00801CEC"/>
    <w:rsid w:val="00832035"/>
    <w:rsid w:val="008900A9"/>
    <w:rsid w:val="008B5848"/>
    <w:rsid w:val="00920365"/>
    <w:rsid w:val="00963E42"/>
    <w:rsid w:val="00997C4A"/>
    <w:rsid w:val="009A6B75"/>
    <w:rsid w:val="009D16BC"/>
    <w:rsid w:val="00A84FE4"/>
    <w:rsid w:val="00AE1CE8"/>
    <w:rsid w:val="00B12E4F"/>
    <w:rsid w:val="00B31C4C"/>
    <w:rsid w:val="00BA763F"/>
    <w:rsid w:val="00D31E20"/>
    <w:rsid w:val="00D84442"/>
    <w:rsid w:val="00DE50D2"/>
    <w:rsid w:val="00E85A27"/>
    <w:rsid w:val="00F17448"/>
    <w:rsid w:val="00F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FA"/>
    <w:pPr>
      <w:spacing w:after="0" w:line="240" w:lineRule="auto"/>
    </w:pPr>
    <w:rPr>
      <w:rFonts w:eastAsia="Calibri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22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2CF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BodyText2Char">
    <w:name w:val="Body Text 2 Char"/>
    <w:link w:val="BodyText2"/>
    <w:semiHidden/>
    <w:locked/>
    <w:rsid w:val="00F22CFA"/>
    <w:rPr>
      <w:rFonts w:ascii="Garamond" w:eastAsia="Calibri" w:hAnsi="Garamond"/>
      <w:sz w:val="28"/>
      <w:szCs w:val="28"/>
    </w:rPr>
  </w:style>
  <w:style w:type="paragraph" w:styleId="BodyText2">
    <w:name w:val="Body Text 2"/>
    <w:basedOn w:val="Normal"/>
    <w:link w:val="BodyText2Char"/>
    <w:semiHidden/>
    <w:rsid w:val="00F22CFA"/>
    <w:pPr>
      <w:jc w:val="right"/>
    </w:pPr>
    <w:rPr>
      <w:rFonts w:ascii="Garamond" w:hAnsi="Garamond" w:cstheme="minorBidi"/>
      <w:sz w:val="28"/>
      <w:szCs w:val="28"/>
    </w:rPr>
  </w:style>
  <w:style w:type="character" w:customStyle="1" w:styleId="BodyText2Char1">
    <w:name w:val="Body Text 2 Char1"/>
    <w:basedOn w:val="DefaultParagraphFont"/>
    <w:uiPriority w:val="99"/>
    <w:semiHidden/>
    <w:rsid w:val="00F22CFA"/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22C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CFA"/>
    <w:rPr>
      <w:rFonts w:eastAsia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C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CFA"/>
    <w:rPr>
      <w:rFonts w:eastAsia="Calibri" w:cs="Times New Roman"/>
      <w:szCs w:val="24"/>
    </w:rPr>
  </w:style>
  <w:style w:type="paragraph" w:styleId="Subtitle">
    <w:name w:val="Subtitle"/>
    <w:basedOn w:val="Normal"/>
    <w:next w:val="Normal"/>
    <w:link w:val="SubtitleChar"/>
    <w:qFormat/>
    <w:rsid w:val="00F22CFA"/>
    <w:pPr>
      <w:spacing w:after="60"/>
      <w:jc w:val="center"/>
      <w:outlineLvl w:val="1"/>
    </w:pPr>
    <w:rPr>
      <w:rFonts w:ascii="Cambria" w:eastAsia="Times New Roman" w:hAnsi="Cambria"/>
      <w:lang w:val="x-none"/>
    </w:rPr>
  </w:style>
  <w:style w:type="character" w:customStyle="1" w:styleId="SubtitleChar">
    <w:name w:val="Subtitle Char"/>
    <w:basedOn w:val="DefaultParagraphFont"/>
    <w:link w:val="Subtitle"/>
    <w:rsid w:val="00F22CFA"/>
    <w:rPr>
      <w:rFonts w:ascii="Cambria" w:eastAsia="Times New Roman" w:hAnsi="Cambria" w:cs="Times New Roman"/>
      <w:szCs w:val="24"/>
      <w:lang w:val="x-none"/>
    </w:rPr>
  </w:style>
  <w:style w:type="character" w:styleId="Emphasis">
    <w:name w:val="Emphasis"/>
    <w:qFormat/>
    <w:rsid w:val="00F22CFA"/>
    <w:rPr>
      <w:i/>
      <w:iCs/>
    </w:rPr>
  </w:style>
  <w:style w:type="paragraph" w:styleId="NoSpacing">
    <w:name w:val="No Spacing"/>
    <w:uiPriority w:val="1"/>
    <w:qFormat/>
    <w:rsid w:val="00F22CFA"/>
    <w:pPr>
      <w:spacing w:after="0" w:line="240" w:lineRule="auto"/>
    </w:pPr>
  </w:style>
  <w:style w:type="table" w:styleId="TableGrid">
    <w:name w:val="Table Grid"/>
    <w:basedOn w:val="TableNormal"/>
    <w:uiPriority w:val="39"/>
    <w:rsid w:val="00F22CF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9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1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as.tiesas.lv/eTiesasMvc/nolemumi/pdf/38372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2019-06-26T12:33:00Z</dcterms:created>
  <dcterms:modified xsi:type="dcterms:W3CDTF">2019-06-26T12:33:00Z</dcterms:modified>
</cp:coreProperties>
</file>