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B24" w:rsidRPr="00843B24" w:rsidRDefault="00843B24" w:rsidP="00843B24">
      <w:pPr>
        <w:spacing w:line="276" w:lineRule="auto"/>
        <w:jc w:val="both"/>
        <w:rPr>
          <w:rFonts w:ascii="TimesNewRomanPSMT" w:hAnsi="TimesNewRomanPSMT" w:cs="TimesNewRomanPSMT"/>
          <w:b/>
          <w:bCs/>
          <w:sz w:val="24"/>
          <w:szCs w:val="28"/>
        </w:rPr>
      </w:pPr>
      <w:r w:rsidRPr="00843B24">
        <w:rPr>
          <w:rFonts w:ascii="TimesNewRomanPSMT" w:hAnsi="TimesNewRomanPSMT" w:cs="TimesNewRomanPSMT"/>
          <w:b/>
          <w:bCs/>
          <w:sz w:val="24"/>
          <w:szCs w:val="28"/>
        </w:rPr>
        <w:t>Pamats Komerclikuma 169.panta otrās daļas piemērošanai</w:t>
      </w:r>
    </w:p>
    <w:p w:rsidR="00032CF1" w:rsidRPr="00843B24" w:rsidRDefault="00843B24" w:rsidP="00843B24">
      <w:pPr>
        <w:shd w:val="clear" w:color="auto" w:fill="FFFFFF"/>
        <w:spacing w:line="276" w:lineRule="auto"/>
        <w:ind w:right="5" w:firstLine="567"/>
        <w:jc w:val="both"/>
        <w:rPr>
          <w:sz w:val="24"/>
          <w:szCs w:val="28"/>
        </w:rPr>
      </w:pPr>
      <w:r w:rsidRPr="00843B24">
        <w:rPr>
          <w:rFonts w:ascii="TimesNewRomanPSMT" w:hAnsi="TimesNewRomanPSMT" w:cs="TimesNewRomanPSMT"/>
          <w:sz w:val="24"/>
          <w:szCs w:val="28"/>
        </w:rPr>
        <w:t>Apstākļos, kad peļņu nenesošs darījums ietilpst darījumu ķēdē vienota biznesa plāna ietvaros, kas kopumā realizējies sekmīgi – gūstot peļņu, Komerclikuma 169.panta otrās daļas piemērošanai nav pamata, jo zaudējumu nodarīšana minētās normas izpratnē nav konstatējama.</w:t>
      </w:r>
    </w:p>
    <w:p w:rsidR="00032CF1" w:rsidRPr="00843B24" w:rsidRDefault="00032CF1" w:rsidP="00843B24">
      <w:pPr>
        <w:spacing w:line="276" w:lineRule="auto"/>
        <w:ind w:left="3648" w:right="3710"/>
        <w:jc w:val="both"/>
        <w:rPr>
          <w:sz w:val="24"/>
          <w:szCs w:val="24"/>
        </w:rPr>
      </w:pPr>
    </w:p>
    <w:p w:rsidR="00843B24" w:rsidRPr="00843B24" w:rsidRDefault="00843B24" w:rsidP="00843B24">
      <w:pPr>
        <w:shd w:val="clear" w:color="auto" w:fill="FFFFFF"/>
        <w:spacing w:line="276" w:lineRule="auto"/>
        <w:jc w:val="center"/>
        <w:rPr>
          <w:rStyle w:val="Strong"/>
          <w:sz w:val="24"/>
          <w:szCs w:val="24"/>
        </w:rPr>
      </w:pPr>
      <w:r w:rsidRPr="00843B24">
        <w:rPr>
          <w:rStyle w:val="Strong"/>
          <w:color w:val="000000"/>
          <w:sz w:val="24"/>
          <w:szCs w:val="24"/>
        </w:rPr>
        <w:t xml:space="preserve">Latvijas </w:t>
      </w:r>
      <w:r w:rsidRPr="00843B24">
        <w:rPr>
          <w:rStyle w:val="Strong"/>
          <w:sz w:val="24"/>
          <w:szCs w:val="24"/>
        </w:rPr>
        <w:t>Republikas Senāta</w:t>
      </w:r>
    </w:p>
    <w:p w:rsidR="00843B24" w:rsidRPr="00843B24" w:rsidRDefault="00843B24" w:rsidP="00843B24">
      <w:pPr>
        <w:shd w:val="clear" w:color="auto" w:fill="FFFFFF"/>
        <w:spacing w:line="276" w:lineRule="auto"/>
        <w:jc w:val="center"/>
        <w:rPr>
          <w:rStyle w:val="Strong"/>
          <w:color w:val="000000"/>
          <w:sz w:val="24"/>
          <w:szCs w:val="24"/>
        </w:rPr>
      </w:pPr>
      <w:r w:rsidRPr="00843B24">
        <w:rPr>
          <w:rStyle w:val="Strong"/>
          <w:color w:val="000000"/>
          <w:sz w:val="24"/>
          <w:szCs w:val="24"/>
        </w:rPr>
        <w:t>Civillietu departamenta</w:t>
      </w:r>
    </w:p>
    <w:p w:rsidR="00843B24" w:rsidRPr="00843B24" w:rsidRDefault="00843B24" w:rsidP="00843B24">
      <w:pPr>
        <w:shd w:val="clear" w:color="auto" w:fill="FFFFFF"/>
        <w:spacing w:line="276" w:lineRule="auto"/>
        <w:jc w:val="center"/>
        <w:rPr>
          <w:rStyle w:val="Strong"/>
          <w:color w:val="000000"/>
          <w:sz w:val="24"/>
          <w:szCs w:val="24"/>
        </w:rPr>
      </w:pPr>
      <w:bookmarkStart w:id="0" w:name="_GoBack"/>
      <w:bookmarkEnd w:id="0"/>
      <w:r w:rsidRPr="00843B24">
        <w:rPr>
          <w:rStyle w:val="Strong"/>
          <w:color w:val="000000"/>
          <w:sz w:val="24"/>
          <w:szCs w:val="24"/>
        </w:rPr>
        <w:t>2019.gada 2</w:t>
      </w:r>
      <w:r>
        <w:rPr>
          <w:rStyle w:val="Strong"/>
          <w:color w:val="000000"/>
          <w:sz w:val="24"/>
          <w:szCs w:val="24"/>
        </w:rPr>
        <w:t>0</w:t>
      </w:r>
      <w:r w:rsidRPr="00843B24">
        <w:rPr>
          <w:rStyle w:val="Strong"/>
          <w:color w:val="000000"/>
          <w:sz w:val="24"/>
          <w:szCs w:val="24"/>
        </w:rPr>
        <w:t>.</w:t>
      </w:r>
      <w:r>
        <w:rPr>
          <w:rStyle w:val="Strong"/>
          <w:color w:val="000000"/>
          <w:sz w:val="24"/>
          <w:szCs w:val="24"/>
        </w:rPr>
        <w:t>jūnij</w:t>
      </w:r>
      <w:r w:rsidRPr="00843B24">
        <w:rPr>
          <w:rStyle w:val="Strong"/>
          <w:color w:val="000000"/>
          <w:sz w:val="24"/>
          <w:szCs w:val="24"/>
        </w:rPr>
        <w:t>a</w:t>
      </w:r>
    </w:p>
    <w:p w:rsidR="00843B24" w:rsidRPr="00843B24" w:rsidRDefault="00843B24" w:rsidP="00843B24">
      <w:pPr>
        <w:shd w:val="clear" w:color="auto" w:fill="FFFFFF"/>
        <w:spacing w:line="276" w:lineRule="auto"/>
        <w:jc w:val="center"/>
        <w:rPr>
          <w:rStyle w:val="Strong"/>
          <w:color w:val="000000"/>
          <w:sz w:val="24"/>
          <w:szCs w:val="24"/>
        </w:rPr>
      </w:pPr>
      <w:r w:rsidRPr="00843B24">
        <w:rPr>
          <w:rStyle w:val="Strong"/>
          <w:color w:val="000000"/>
          <w:sz w:val="24"/>
          <w:szCs w:val="24"/>
        </w:rPr>
        <w:t>SPRIEDUMS</w:t>
      </w:r>
    </w:p>
    <w:p w:rsidR="00843B24" w:rsidRPr="00843B24" w:rsidRDefault="00843B24" w:rsidP="00843B24">
      <w:pPr>
        <w:shd w:val="clear" w:color="auto" w:fill="FFFFFF"/>
        <w:spacing w:line="276" w:lineRule="auto"/>
        <w:jc w:val="center"/>
        <w:rPr>
          <w:rStyle w:val="Strong"/>
          <w:color w:val="000000"/>
          <w:sz w:val="24"/>
          <w:szCs w:val="24"/>
        </w:rPr>
      </w:pPr>
      <w:r w:rsidRPr="00843B24">
        <w:rPr>
          <w:rStyle w:val="Strong"/>
          <w:color w:val="000000"/>
          <w:sz w:val="24"/>
          <w:szCs w:val="24"/>
        </w:rPr>
        <w:t>Lieta Nr. C3</w:t>
      </w:r>
      <w:r>
        <w:rPr>
          <w:rStyle w:val="Strong"/>
          <w:color w:val="000000"/>
          <w:sz w:val="24"/>
          <w:szCs w:val="24"/>
        </w:rPr>
        <w:t>1392114</w:t>
      </w:r>
      <w:r w:rsidRPr="00843B24">
        <w:rPr>
          <w:rStyle w:val="Strong"/>
          <w:color w:val="000000"/>
          <w:sz w:val="24"/>
          <w:szCs w:val="24"/>
        </w:rPr>
        <w:t>, SKC-2</w:t>
      </w:r>
      <w:r>
        <w:rPr>
          <w:rStyle w:val="Strong"/>
          <w:color w:val="000000"/>
          <w:sz w:val="24"/>
          <w:szCs w:val="24"/>
        </w:rPr>
        <w:t>26</w:t>
      </w:r>
      <w:r w:rsidRPr="00843B24">
        <w:rPr>
          <w:rStyle w:val="Strong"/>
          <w:color w:val="000000"/>
          <w:sz w:val="24"/>
          <w:szCs w:val="24"/>
        </w:rPr>
        <w:t>/2019</w:t>
      </w:r>
    </w:p>
    <w:p w:rsidR="00843B24" w:rsidRPr="00690917" w:rsidRDefault="00690917" w:rsidP="00843B24">
      <w:pPr>
        <w:shd w:val="clear" w:color="auto" w:fill="FFFFFF"/>
        <w:spacing w:line="276" w:lineRule="auto"/>
        <w:jc w:val="center"/>
        <w:rPr>
          <w:sz w:val="24"/>
          <w:szCs w:val="24"/>
        </w:rPr>
      </w:pPr>
      <w:hyperlink r:id="rId4" w:history="1">
        <w:r w:rsidR="00843B24" w:rsidRPr="00690917">
          <w:rPr>
            <w:rStyle w:val="Hyperlink"/>
            <w:sz w:val="24"/>
            <w:szCs w:val="24"/>
            <w:u w:val="none"/>
          </w:rPr>
          <w:t>ECLI:LV:AT:2019:0620.C31392114.5.S</w:t>
        </w:r>
      </w:hyperlink>
    </w:p>
    <w:p w:rsidR="00843B24" w:rsidRPr="00C9724A" w:rsidRDefault="00843B24" w:rsidP="00843B24">
      <w:pPr>
        <w:shd w:val="clear" w:color="auto" w:fill="FFFFFF"/>
        <w:spacing w:line="276" w:lineRule="auto"/>
        <w:jc w:val="center"/>
        <w:rPr>
          <w:sz w:val="24"/>
          <w:szCs w:val="24"/>
        </w:rPr>
      </w:pPr>
    </w:p>
    <w:p w:rsidR="00032CF1" w:rsidRPr="00C9724A" w:rsidRDefault="006E219F" w:rsidP="00C9724A">
      <w:pPr>
        <w:shd w:val="clear" w:color="auto" w:fill="FFFFFF"/>
        <w:spacing w:line="276" w:lineRule="auto"/>
        <w:ind w:left="566"/>
        <w:rPr>
          <w:sz w:val="24"/>
          <w:szCs w:val="24"/>
        </w:rPr>
      </w:pPr>
      <w:r w:rsidRPr="00C9724A">
        <w:rPr>
          <w:sz w:val="24"/>
          <w:szCs w:val="24"/>
        </w:rPr>
        <w:t>Sen</w:t>
      </w:r>
      <w:r w:rsidRPr="00C9724A">
        <w:rPr>
          <w:rFonts w:eastAsia="Times New Roman"/>
          <w:sz w:val="24"/>
          <w:szCs w:val="24"/>
        </w:rPr>
        <w:t>āts šādā sastāvā:</w:t>
      </w:r>
    </w:p>
    <w:p w:rsidR="00C9724A" w:rsidRDefault="006E219F" w:rsidP="00C9724A">
      <w:pPr>
        <w:shd w:val="clear" w:color="auto" w:fill="FFFFFF"/>
        <w:spacing w:line="276" w:lineRule="auto"/>
        <w:ind w:left="567"/>
        <w:rPr>
          <w:rFonts w:eastAsia="Times New Roman"/>
          <w:sz w:val="24"/>
          <w:szCs w:val="24"/>
        </w:rPr>
      </w:pPr>
      <w:r w:rsidRPr="00C9724A">
        <w:rPr>
          <w:sz w:val="24"/>
          <w:szCs w:val="24"/>
        </w:rPr>
        <w:t>senatore referente Marika Senk</w:t>
      </w:r>
      <w:r w:rsidRPr="00C9724A">
        <w:rPr>
          <w:rFonts w:eastAsia="Times New Roman"/>
          <w:sz w:val="24"/>
          <w:szCs w:val="24"/>
        </w:rPr>
        <w:t xml:space="preserve">āne, </w:t>
      </w:r>
    </w:p>
    <w:p w:rsidR="00C9724A" w:rsidRDefault="006E219F" w:rsidP="00C9724A">
      <w:pPr>
        <w:shd w:val="clear" w:color="auto" w:fill="FFFFFF"/>
        <w:spacing w:line="276" w:lineRule="auto"/>
        <w:ind w:left="567"/>
        <w:rPr>
          <w:rFonts w:eastAsia="Times New Roman"/>
          <w:sz w:val="24"/>
          <w:szCs w:val="24"/>
        </w:rPr>
      </w:pPr>
      <w:r w:rsidRPr="00C9724A">
        <w:rPr>
          <w:rFonts w:eastAsia="Times New Roman"/>
          <w:sz w:val="24"/>
          <w:szCs w:val="24"/>
        </w:rPr>
        <w:t xml:space="preserve">senatore Inta Lauka, </w:t>
      </w:r>
    </w:p>
    <w:p w:rsidR="00C9724A" w:rsidRDefault="006E219F" w:rsidP="00C9724A">
      <w:pPr>
        <w:shd w:val="clear" w:color="auto" w:fill="FFFFFF"/>
        <w:spacing w:line="276" w:lineRule="auto"/>
        <w:ind w:left="567"/>
        <w:rPr>
          <w:rFonts w:eastAsia="Times New Roman"/>
          <w:sz w:val="24"/>
          <w:szCs w:val="24"/>
        </w:rPr>
      </w:pPr>
      <w:r w:rsidRPr="00C9724A">
        <w:rPr>
          <w:rFonts w:eastAsia="Times New Roman"/>
          <w:sz w:val="24"/>
          <w:szCs w:val="24"/>
        </w:rPr>
        <w:t xml:space="preserve">senatore Ļubova Kušnire </w:t>
      </w:r>
    </w:p>
    <w:p w:rsidR="00C9724A" w:rsidRDefault="00C9724A" w:rsidP="00C9724A">
      <w:pPr>
        <w:shd w:val="clear" w:color="auto" w:fill="FFFFFF"/>
        <w:spacing w:line="276" w:lineRule="auto"/>
        <w:ind w:left="567"/>
        <w:rPr>
          <w:rFonts w:eastAsia="Times New Roman"/>
          <w:sz w:val="24"/>
          <w:szCs w:val="24"/>
        </w:rPr>
      </w:pPr>
    </w:p>
    <w:p w:rsidR="00032CF1" w:rsidRPr="00C9724A" w:rsidRDefault="006E219F" w:rsidP="00C9724A">
      <w:pPr>
        <w:shd w:val="clear" w:color="auto" w:fill="FFFFFF"/>
        <w:spacing w:line="276" w:lineRule="auto"/>
        <w:rPr>
          <w:sz w:val="24"/>
          <w:szCs w:val="24"/>
        </w:rPr>
      </w:pPr>
      <w:r w:rsidRPr="00C9724A">
        <w:rPr>
          <w:rFonts w:eastAsia="Times New Roman"/>
          <w:sz w:val="24"/>
          <w:szCs w:val="24"/>
        </w:rPr>
        <w:t xml:space="preserve">rakstveida procesā izskatīja SIA „ICTA” kasācijas sūdzību par Rīgas apgabaltiesas Civillietu tiesas kolēģijas 2018. gada 2. janvāra spriedumu civillietā SIA „ICTA” prasībā pret </w:t>
      </w:r>
      <w:r w:rsidR="00843B24">
        <w:rPr>
          <w:rFonts w:eastAsia="Times New Roman"/>
          <w:sz w:val="24"/>
          <w:szCs w:val="24"/>
        </w:rPr>
        <w:t>[pers. A]</w:t>
      </w:r>
      <w:r w:rsidRPr="00C9724A">
        <w:rPr>
          <w:rFonts w:eastAsia="Times New Roman"/>
          <w:sz w:val="24"/>
          <w:szCs w:val="24"/>
        </w:rPr>
        <w:t xml:space="preserve"> un </w:t>
      </w:r>
      <w:r w:rsidR="00843B24">
        <w:rPr>
          <w:rFonts w:eastAsia="Times New Roman"/>
          <w:sz w:val="24"/>
          <w:szCs w:val="24"/>
        </w:rPr>
        <w:t>[pers. B]</w:t>
      </w:r>
      <w:r w:rsidRPr="00C9724A">
        <w:rPr>
          <w:rFonts w:eastAsia="Times New Roman"/>
          <w:sz w:val="24"/>
          <w:szCs w:val="24"/>
        </w:rPr>
        <w:t xml:space="preserve"> par zaudējumu piedziņu.</w:t>
      </w:r>
    </w:p>
    <w:p w:rsidR="00032CF1" w:rsidRPr="00C9724A" w:rsidRDefault="006E219F" w:rsidP="00C9724A">
      <w:pPr>
        <w:shd w:val="clear" w:color="auto" w:fill="FFFFFF"/>
        <w:spacing w:before="120" w:after="120" w:line="276" w:lineRule="auto"/>
        <w:ind w:left="6"/>
        <w:jc w:val="center"/>
        <w:rPr>
          <w:sz w:val="24"/>
          <w:szCs w:val="24"/>
        </w:rPr>
      </w:pPr>
      <w:r w:rsidRPr="00C9724A">
        <w:rPr>
          <w:b/>
          <w:bCs/>
          <w:sz w:val="24"/>
          <w:szCs w:val="24"/>
        </w:rPr>
        <w:t>Apraksto</w:t>
      </w:r>
      <w:r w:rsidRPr="00C9724A">
        <w:rPr>
          <w:rFonts w:eastAsia="Times New Roman"/>
          <w:b/>
          <w:bCs/>
          <w:sz w:val="24"/>
          <w:szCs w:val="24"/>
        </w:rPr>
        <w:t>šā daļa</w:t>
      </w:r>
    </w:p>
    <w:p w:rsidR="00032CF1" w:rsidRPr="00C9724A" w:rsidRDefault="006E219F" w:rsidP="00C9724A">
      <w:pPr>
        <w:shd w:val="clear" w:color="auto" w:fill="FFFFFF"/>
        <w:spacing w:line="276" w:lineRule="auto"/>
        <w:ind w:firstLine="566"/>
        <w:jc w:val="both"/>
        <w:rPr>
          <w:sz w:val="24"/>
          <w:szCs w:val="24"/>
        </w:rPr>
      </w:pPr>
      <w:r w:rsidRPr="00C9724A">
        <w:rPr>
          <w:sz w:val="24"/>
          <w:szCs w:val="24"/>
        </w:rPr>
        <w:t xml:space="preserve">[1] SIA </w:t>
      </w:r>
      <w:r w:rsidRPr="00C9724A">
        <w:rPr>
          <w:rFonts w:eastAsia="Times New Roman"/>
          <w:sz w:val="24"/>
          <w:szCs w:val="24"/>
        </w:rPr>
        <w:t xml:space="preserve">„ICTA” 2014.gada 22.jūlijā cēla tiesā prasību pret </w:t>
      </w:r>
      <w:r w:rsidR="00843B24">
        <w:rPr>
          <w:rFonts w:eastAsia="Times New Roman"/>
          <w:sz w:val="24"/>
          <w:szCs w:val="24"/>
        </w:rPr>
        <w:t>[pers. B]</w:t>
      </w:r>
      <w:r w:rsidRPr="00C9724A">
        <w:rPr>
          <w:rFonts w:eastAsia="Times New Roman"/>
          <w:sz w:val="24"/>
          <w:szCs w:val="24"/>
        </w:rPr>
        <w:t xml:space="preserve"> un </w:t>
      </w:r>
      <w:r w:rsidR="00843B24">
        <w:rPr>
          <w:rFonts w:eastAsia="Times New Roman"/>
          <w:sz w:val="24"/>
          <w:szCs w:val="24"/>
        </w:rPr>
        <w:t>[pers. A]</w:t>
      </w:r>
      <w:r w:rsidRPr="00C9724A">
        <w:rPr>
          <w:rFonts w:eastAsia="Times New Roman"/>
          <w:sz w:val="24"/>
          <w:szCs w:val="24"/>
        </w:rPr>
        <w:t xml:space="preserve"> par zaudējumu piedziņu, kurā, pamatojoties uz Komerclikuma 169.panta pirmo un otro daļu, Civillikuma 89., 93., 110., 115., 1770. pantu, lūdza piedzīt no </w:t>
      </w:r>
      <w:r w:rsidR="00843B24">
        <w:rPr>
          <w:rFonts w:eastAsia="Times New Roman"/>
          <w:sz w:val="24"/>
          <w:szCs w:val="24"/>
        </w:rPr>
        <w:t>[pers. B]</w:t>
      </w:r>
      <w:r w:rsidRPr="00C9724A">
        <w:rPr>
          <w:rFonts w:eastAsia="Times New Roman"/>
          <w:sz w:val="24"/>
          <w:szCs w:val="24"/>
        </w:rPr>
        <w:t xml:space="preserve"> zaudējumus </w:t>
      </w:r>
      <w:r w:rsidRPr="00C9724A">
        <w:rPr>
          <w:rFonts w:eastAsia="Times New Roman"/>
          <w:spacing w:val="-1"/>
          <w:sz w:val="24"/>
          <w:szCs w:val="24"/>
        </w:rPr>
        <w:t>183</w:t>
      </w:r>
      <w:r w:rsidR="00843B24">
        <w:rPr>
          <w:rFonts w:eastAsia="Times New Roman"/>
          <w:spacing w:val="-1"/>
          <w:sz w:val="24"/>
          <w:szCs w:val="24"/>
        </w:rPr>
        <w:t> </w:t>
      </w:r>
      <w:r w:rsidRPr="00C9724A">
        <w:rPr>
          <w:rFonts w:eastAsia="Times New Roman"/>
          <w:spacing w:val="-1"/>
          <w:sz w:val="24"/>
          <w:szCs w:val="24"/>
        </w:rPr>
        <w:t xml:space="preserve">215,19 EUR, piedziņu vēršot uz </w:t>
      </w:r>
      <w:r w:rsidR="00843B24">
        <w:rPr>
          <w:rFonts w:eastAsia="Times New Roman"/>
          <w:sz w:val="24"/>
          <w:szCs w:val="24"/>
        </w:rPr>
        <w:t xml:space="preserve">[pers. B] </w:t>
      </w:r>
      <w:r w:rsidRPr="00C9724A">
        <w:rPr>
          <w:rFonts w:eastAsia="Times New Roman"/>
          <w:spacing w:val="-1"/>
          <w:sz w:val="24"/>
          <w:szCs w:val="24"/>
        </w:rPr>
        <w:t xml:space="preserve">piederošo kustamo un nekustamo mantu, </w:t>
      </w:r>
      <w:r w:rsidRPr="00C9724A">
        <w:rPr>
          <w:rFonts w:eastAsia="Times New Roman"/>
          <w:sz w:val="24"/>
          <w:szCs w:val="24"/>
        </w:rPr>
        <w:t xml:space="preserve">t. sk., naudas līdzekļiem, uz 1/2 domājamo daļu no </w:t>
      </w:r>
      <w:r w:rsidR="00843B24">
        <w:rPr>
          <w:rFonts w:eastAsia="Times New Roman"/>
          <w:sz w:val="24"/>
          <w:szCs w:val="24"/>
        </w:rPr>
        <w:t>[pers. A]</w:t>
      </w:r>
      <w:r w:rsidRPr="00C9724A">
        <w:rPr>
          <w:rFonts w:eastAsia="Times New Roman"/>
          <w:sz w:val="24"/>
          <w:szCs w:val="24"/>
        </w:rPr>
        <w:t xml:space="preserve"> piederošā nekustamā īpašuma Stelpes ielā 14, Rīgā, un uz pusi no </w:t>
      </w:r>
      <w:r w:rsidR="00843B24">
        <w:rPr>
          <w:rFonts w:eastAsia="Times New Roman"/>
          <w:sz w:val="24"/>
          <w:szCs w:val="24"/>
        </w:rPr>
        <w:t>[pers. A]</w:t>
      </w:r>
      <w:r w:rsidRPr="00C9724A">
        <w:rPr>
          <w:rFonts w:eastAsia="Times New Roman"/>
          <w:sz w:val="24"/>
          <w:szCs w:val="24"/>
        </w:rPr>
        <w:t xml:space="preserve"> piederošiem astoņiem investīciju zelta gabaliem, kā arī lūdza noteikt prasītājas tiesības par laiku līdz sprieduma izpildei saņemt likumiskos 6 % gadā no parāda summas. Prasība pamatota ar šādiem apstākļiem.</w:t>
      </w:r>
    </w:p>
    <w:p w:rsidR="00032CF1" w:rsidRPr="00C9724A" w:rsidRDefault="006E219F" w:rsidP="00C9724A">
      <w:pPr>
        <w:shd w:val="clear" w:color="auto" w:fill="FFFFFF"/>
        <w:spacing w:line="276" w:lineRule="auto"/>
        <w:ind w:firstLine="566"/>
        <w:jc w:val="both"/>
        <w:rPr>
          <w:sz w:val="24"/>
          <w:szCs w:val="24"/>
        </w:rPr>
      </w:pPr>
      <w:r w:rsidRPr="00C9724A">
        <w:rPr>
          <w:sz w:val="24"/>
          <w:szCs w:val="24"/>
        </w:rPr>
        <w:t>[1.1] Laik</w:t>
      </w:r>
      <w:r w:rsidRPr="00C9724A">
        <w:rPr>
          <w:rFonts w:eastAsia="Times New Roman"/>
          <w:sz w:val="24"/>
          <w:szCs w:val="24"/>
        </w:rPr>
        <w:t xml:space="preserve">ā no 2004.gada 14.oktobra līdz 2013.gada 3.oktobrim vienīgais SIA „ICTA” izpildinstitūcijas loceklis bija valdes priekšsēdētājs </w:t>
      </w:r>
      <w:r w:rsidR="00843B24">
        <w:rPr>
          <w:rFonts w:eastAsia="Times New Roman"/>
          <w:sz w:val="24"/>
          <w:szCs w:val="24"/>
        </w:rPr>
        <w:t>[pers. B]</w:t>
      </w:r>
      <w:r w:rsidRPr="00C9724A">
        <w:rPr>
          <w:rFonts w:eastAsia="Times New Roman"/>
          <w:sz w:val="24"/>
          <w:szCs w:val="24"/>
        </w:rPr>
        <w:t>.</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 xml:space="preserve">[1.2] SIA </w:t>
      </w:r>
      <w:r w:rsidRPr="00C9724A">
        <w:rPr>
          <w:rFonts w:eastAsia="Times New Roman"/>
          <w:sz w:val="24"/>
          <w:szCs w:val="24"/>
        </w:rPr>
        <w:t xml:space="preserve">„ICTA” ar kompāniju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Internationat</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pastāvēja vienošanās, atbilstoši kurai SIA „ICTA” nodrošināja preču (alus) transportēšanu no tā ražotājiem Beļģijā, Čehijā, Vācijā uz AS „Ventspils tirdzniecības osta” noliktavām/teritoriju, kā arī preču uzglabāšanu un pārkraušanu AS „Ventspils tirdzniecības osta” noliktavās/teritorijā.</w:t>
      </w:r>
    </w:p>
    <w:p w:rsidR="00032CF1" w:rsidRPr="00C9724A" w:rsidRDefault="006E219F" w:rsidP="00C9724A">
      <w:pPr>
        <w:shd w:val="clear" w:color="auto" w:fill="FFFFFF"/>
        <w:spacing w:line="276" w:lineRule="auto"/>
        <w:ind w:firstLine="566"/>
        <w:jc w:val="both"/>
        <w:rPr>
          <w:sz w:val="24"/>
          <w:szCs w:val="24"/>
        </w:rPr>
      </w:pPr>
      <w:r w:rsidRPr="00C9724A">
        <w:rPr>
          <w:sz w:val="24"/>
          <w:szCs w:val="24"/>
        </w:rPr>
        <w:t>Lai nodro</w:t>
      </w:r>
      <w:r w:rsidRPr="00C9724A">
        <w:rPr>
          <w:rFonts w:eastAsia="Times New Roman"/>
          <w:sz w:val="24"/>
          <w:szCs w:val="24"/>
        </w:rPr>
        <w:t>šinātu preču transportēšanu, prasītāja sniedza loģistikas pakalpojumu - slēdza līgumus ar preču pārvadātājiem, bet preču uzglabāšanu un pārkraušanu nodrošināja AS „Ventspils tirdzniecības osta” atbilstoši 2004.gada 30.novembrī starp SIA „ICTA” un AS „Ventspils tirdzniecības osta” noslēgtajam līgumam Nr. ICTA/VTO/01-05.</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[1.3] P</w:t>
      </w:r>
      <w:r w:rsidRPr="00C9724A">
        <w:rPr>
          <w:rFonts w:eastAsia="Times New Roman"/>
          <w:sz w:val="24"/>
          <w:szCs w:val="24"/>
        </w:rPr>
        <w:t>ārbaudot ar minēto loģistikas pakalpojumu saistītos darījumus, konstatēts, ka tie prasītājai bijuši ekonomiski neizdevīgi un nesuši zaudējumus, proti, SIA „ICTA” ieņēmumi bijuši mazāki nekā ar to saistītās izmaksas. Prasītāja aprēķinājusi, ka laikā no 2011. gada līdz</w:t>
      </w:r>
      <w:r w:rsidR="00C9724A">
        <w:rPr>
          <w:rFonts w:eastAsia="Times New Roman"/>
          <w:sz w:val="24"/>
          <w:szCs w:val="24"/>
        </w:rPr>
        <w:t xml:space="preserve"> </w:t>
      </w:r>
      <w:r w:rsidRPr="00C9724A">
        <w:rPr>
          <w:sz w:val="24"/>
          <w:szCs w:val="24"/>
        </w:rPr>
        <w:t>2013. gadam starp</w:t>
      </w:r>
      <w:r w:rsidRPr="00C9724A">
        <w:rPr>
          <w:rFonts w:eastAsia="Times New Roman"/>
          <w:sz w:val="24"/>
          <w:szCs w:val="24"/>
        </w:rPr>
        <w:t>ība starp ieņēmumiem un izdevumiem bija 59</w:t>
      </w:r>
      <w:r w:rsidR="00843B24">
        <w:rPr>
          <w:rFonts w:eastAsia="Times New Roman"/>
          <w:sz w:val="24"/>
          <w:szCs w:val="24"/>
        </w:rPr>
        <w:t> </w:t>
      </w:r>
      <w:r w:rsidRPr="00C9724A">
        <w:rPr>
          <w:rFonts w:eastAsia="Times New Roman"/>
          <w:sz w:val="24"/>
          <w:szCs w:val="24"/>
        </w:rPr>
        <w:t xml:space="preserve">112,08 EUR, kas arī veido </w:t>
      </w:r>
      <w:r w:rsidRPr="00C9724A">
        <w:rPr>
          <w:rFonts w:eastAsia="Times New Roman"/>
          <w:spacing w:val="-1"/>
          <w:sz w:val="24"/>
          <w:szCs w:val="24"/>
        </w:rPr>
        <w:t xml:space="preserve">uzņēmumam nodarīto zaudējumu summu. To apstiprina arī zvērināta revidenta - </w:t>
      </w:r>
      <w:r w:rsidRPr="00C9724A">
        <w:rPr>
          <w:rFonts w:eastAsia="Times New Roman"/>
          <w:spacing w:val="-1"/>
          <w:sz w:val="24"/>
          <w:szCs w:val="24"/>
        </w:rPr>
        <w:lastRenderedPageBreak/>
        <w:t xml:space="preserve">komercsabiedrības </w:t>
      </w:r>
      <w:r w:rsidRPr="00C9724A">
        <w:rPr>
          <w:rFonts w:eastAsia="Times New Roman"/>
          <w:sz w:val="24"/>
          <w:szCs w:val="24"/>
        </w:rPr>
        <w:t>SIA „</w:t>
      </w:r>
      <w:proofErr w:type="spellStart"/>
      <w:r w:rsidRPr="00C9724A">
        <w:rPr>
          <w:rFonts w:eastAsia="Times New Roman"/>
          <w:sz w:val="24"/>
          <w:szCs w:val="24"/>
        </w:rPr>
        <w:t>ABrevīzija</w:t>
      </w:r>
      <w:proofErr w:type="spellEnd"/>
      <w:r w:rsidRPr="00C9724A">
        <w:rPr>
          <w:rFonts w:eastAsia="Times New Roman"/>
          <w:sz w:val="24"/>
          <w:szCs w:val="24"/>
        </w:rPr>
        <w:t>” 2014. gada 2. jūlija ziņojums.</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[1.4] T</w:t>
      </w:r>
      <w:r w:rsidRPr="00C9724A">
        <w:rPr>
          <w:rFonts w:eastAsia="Times New Roman"/>
          <w:sz w:val="24"/>
          <w:szCs w:val="24"/>
        </w:rPr>
        <w:t>āpat prasītājai radušies zaudējumi 124</w:t>
      </w:r>
      <w:r w:rsidR="00370E6B">
        <w:rPr>
          <w:rFonts w:eastAsia="Times New Roman"/>
          <w:sz w:val="24"/>
          <w:szCs w:val="24"/>
        </w:rPr>
        <w:t> </w:t>
      </w:r>
      <w:r w:rsidRPr="00C9724A">
        <w:rPr>
          <w:rFonts w:eastAsia="Times New Roman"/>
          <w:sz w:val="24"/>
          <w:szCs w:val="24"/>
        </w:rPr>
        <w:t xml:space="preserve">103,11 EUR, ko veido no kompānijas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Internationat</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xml:space="preserve">. nesaņemtā samaksa par kravu pārvadājumiem 2011.-2013.gadā no Ventspils tirdzniecības ostas līdz Krievijas robežai. Preču gala saņēmēji bija dažādas Krievijas kompānijas, t. sk., kompānija </w:t>
      </w:r>
      <w:proofErr w:type="spellStart"/>
      <w:r w:rsidRPr="00C9724A">
        <w:rPr>
          <w:rFonts w:eastAsia="Times New Roman"/>
          <w:sz w:val="24"/>
          <w:szCs w:val="24"/>
        </w:rPr>
        <w:t>Gosseline</w:t>
      </w:r>
      <w:proofErr w:type="spellEnd"/>
      <w:r w:rsidRPr="00C9724A">
        <w:rPr>
          <w:rFonts w:eastAsia="Times New Roman"/>
          <w:sz w:val="24"/>
          <w:szCs w:val="24"/>
        </w:rPr>
        <w:t xml:space="preserve"> </w:t>
      </w:r>
      <w:proofErr w:type="spellStart"/>
      <w:r w:rsidRPr="00C9724A">
        <w:rPr>
          <w:rFonts w:eastAsia="Times New Roman"/>
          <w:sz w:val="24"/>
          <w:szCs w:val="24"/>
        </w:rPr>
        <w:t>Logistics</w:t>
      </w:r>
      <w:proofErr w:type="spellEnd"/>
      <w:r w:rsidRPr="00C9724A">
        <w:rPr>
          <w:rFonts w:eastAsia="Times New Roman"/>
          <w:sz w:val="24"/>
          <w:szCs w:val="24"/>
        </w:rPr>
        <w:t xml:space="preserve"> OOO.</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No Ventspils tirdzniec</w:t>
      </w:r>
      <w:r w:rsidRPr="00C9724A">
        <w:rPr>
          <w:rFonts w:eastAsia="Times New Roman"/>
          <w:sz w:val="24"/>
          <w:szCs w:val="24"/>
        </w:rPr>
        <w:t>ības ostas noliktavām preces tālāk tika nogādātas pa dzelzceļu līdz Latvijas-Krievijas robežai, ko prasītājas uzdevumā nodrošināja SIA „</w:t>
      </w:r>
      <w:proofErr w:type="spellStart"/>
      <w:r w:rsidRPr="00C9724A">
        <w:rPr>
          <w:rFonts w:eastAsia="Times New Roman"/>
          <w:sz w:val="24"/>
          <w:szCs w:val="24"/>
        </w:rPr>
        <w:t>LDz</w:t>
      </w:r>
      <w:proofErr w:type="spellEnd"/>
      <w:r w:rsidRPr="00C9724A">
        <w:rPr>
          <w:rFonts w:eastAsia="Times New Roman"/>
          <w:sz w:val="24"/>
          <w:szCs w:val="24"/>
        </w:rPr>
        <w:t xml:space="preserve"> </w:t>
      </w:r>
      <w:proofErr w:type="spellStart"/>
      <w:r w:rsidRPr="00C9724A">
        <w:rPr>
          <w:rFonts w:eastAsia="Times New Roman"/>
          <w:sz w:val="24"/>
          <w:szCs w:val="24"/>
        </w:rPr>
        <w:t>Cargo</w:t>
      </w:r>
      <w:proofErr w:type="spellEnd"/>
      <w:r w:rsidRPr="00C9724A">
        <w:rPr>
          <w:rFonts w:eastAsia="Times New Roman"/>
          <w:sz w:val="24"/>
          <w:szCs w:val="24"/>
        </w:rPr>
        <w:t>” atbilstoši 2012. gada 12. decembra līgumam Nr. 3/2-2 par vagonu padošanu un novākšanu uz/no privātās lietošanas dzelzceļa infrastruktūru Ventspils stacijā.</w:t>
      </w:r>
    </w:p>
    <w:p w:rsidR="00032CF1" w:rsidRPr="00C9724A" w:rsidRDefault="006E219F" w:rsidP="00C9724A">
      <w:pPr>
        <w:shd w:val="clear" w:color="auto" w:fill="FFFFFF"/>
        <w:spacing w:line="276" w:lineRule="auto"/>
        <w:ind w:firstLine="566"/>
        <w:jc w:val="both"/>
        <w:rPr>
          <w:sz w:val="24"/>
          <w:szCs w:val="24"/>
        </w:rPr>
      </w:pPr>
      <w:r w:rsidRPr="00C9724A">
        <w:rPr>
          <w:sz w:val="24"/>
          <w:szCs w:val="24"/>
        </w:rPr>
        <w:t>[1.5] Dar</w:t>
      </w:r>
      <w:r w:rsidRPr="00C9724A">
        <w:rPr>
          <w:rFonts w:eastAsia="Times New Roman"/>
          <w:sz w:val="24"/>
          <w:szCs w:val="24"/>
        </w:rPr>
        <w:t xml:space="preserve">ījumu noslēgšanas brīdī </w:t>
      </w:r>
      <w:r w:rsidR="00843B24">
        <w:rPr>
          <w:rFonts w:eastAsia="Times New Roman"/>
          <w:sz w:val="24"/>
          <w:szCs w:val="24"/>
        </w:rPr>
        <w:t>[pers. B]</w:t>
      </w:r>
      <w:r w:rsidRPr="00C9724A">
        <w:rPr>
          <w:rFonts w:eastAsia="Times New Roman"/>
          <w:sz w:val="24"/>
          <w:szCs w:val="24"/>
        </w:rPr>
        <w:t xml:space="preserve"> bija zināmas preču uzglabāšanas un pārkraušanas izmaksas, jo to likmes nākamajam gadam starp SIA „ICTA” un AS „Ventspils tirdzniecības osta” bija nolīgtas iepriekšējā gada decembrī. Atbildētājam bija zināmas arī preču transportēšanas izmaksas no Beļģijas, Čehijas, Vācijas uz AS „Ventspils tirdzniecības osta”.</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Atbild</w:t>
      </w:r>
      <w:r w:rsidRPr="00C9724A">
        <w:rPr>
          <w:rFonts w:eastAsia="Times New Roman"/>
          <w:sz w:val="24"/>
          <w:szCs w:val="24"/>
        </w:rPr>
        <w:t>ētājs apzinājās vai viņam vajadzēja apzināties, ka sabiedrības ieņēmumi no šiem darījumiem būs mazāki par izmaksām un ka SIA „ICTA” tiks nodarīti zaudējumi. Atbildētājs, pieņemot ekonomiski nepamatotus lēmumus, nepildīja savus pienākumus kā krietns un rūpīgs saimnieks, tādēļ viņam atbilstoši Komerclikuma 169. panta otrajai daļai ir pienākums atlīdzināt prasītājai nodarītos zaudējumus.</w:t>
      </w:r>
    </w:p>
    <w:p w:rsidR="00C9724A" w:rsidRDefault="00C9724A" w:rsidP="00C9724A">
      <w:pPr>
        <w:shd w:val="clear" w:color="auto" w:fill="FFFFFF"/>
        <w:spacing w:line="276" w:lineRule="auto"/>
        <w:ind w:firstLine="566"/>
        <w:rPr>
          <w:sz w:val="24"/>
          <w:szCs w:val="24"/>
        </w:rPr>
      </w:pPr>
    </w:p>
    <w:p w:rsidR="00032CF1" w:rsidRPr="00C9724A" w:rsidRDefault="006E219F" w:rsidP="00C9724A">
      <w:pPr>
        <w:shd w:val="clear" w:color="auto" w:fill="FFFFFF"/>
        <w:spacing w:line="276" w:lineRule="auto"/>
        <w:ind w:firstLine="566"/>
        <w:jc w:val="both"/>
        <w:rPr>
          <w:sz w:val="24"/>
          <w:szCs w:val="24"/>
        </w:rPr>
      </w:pPr>
      <w:r w:rsidRPr="00C9724A">
        <w:rPr>
          <w:sz w:val="24"/>
          <w:szCs w:val="24"/>
        </w:rPr>
        <w:t>[2] Ar R</w:t>
      </w:r>
      <w:r w:rsidRPr="00C9724A">
        <w:rPr>
          <w:rFonts w:eastAsia="Times New Roman"/>
          <w:sz w:val="24"/>
          <w:szCs w:val="24"/>
        </w:rPr>
        <w:t>īgas pilsētas Pārdaugavas tiesas 2017.gada 4.aprīļa spriedumu prasība noraidīta.</w:t>
      </w:r>
    </w:p>
    <w:p w:rsidR="00C9724A" w:rsidRDefault="00C9724A" w:rsidP="00C9724A">
      <w:pPr>
        <w:shd w:val="clear" w:color="auto" w:fill="FFFFFF"/>
        <w:spacing w:line="276" w:lineRule="auto"/>
        <w:ind w:right="14" w:firstLine="566"/>
        <w:jc w:val="both"/>
        <w:rPr>
          <w:sz w:val="24"/>
          <w:szCs w:val="24"/>
        </w:rPr>
      </w:pPr>
    </w:p>
    <w:p w:rsidR="00032CF1" w:rsidRPr="00C9724A" w:rsidRDefault="006E219F" w:rsidP="00C9724A">
      <w:pPr>
        <w:shd w:val="clear" w:color="auto" w:fill="FFFFFF"/>
        <w:spacing w:line="276" w:lineRule="auto"/>
        <w:ind w:right="14" w:firstLine="566"/>
        <w:jc w:val="both"/>
        <w:rPr>
          <w:sz w:val="24"/>
          <w:szCs w:val="24"/>
        </w:rPr>
      </w:pPr>
      <w:r w:rsidRPr="00C9724A">
        <w:rPr>
          <w:sz w:val="24"/>
          <w:szCs w:val="24"/>
        </w:rPr>
        <w:t>[3] Izskat</w:t>
      </w:r>
      <w:r w:rsidRPr="00C9724A">
        <w:rPr>
          <w:rFonts w:eastAsia="Times New Roman"/>
          <w:sz w:val="24"/>
          <w:szCs w:val="24"/>
        </w:rPr>
        <w:t>ījusi lietu sakarā ar SIA „ICTA” iesniegto apelācijas sūdzību, Rīgas apgabaltiesas Civillietu tiesas kolēģija 2018. gada 2. janvārī nosprieda prasību noraidīt.</w:t>
      </w:r>
    </w:p>
    <w:p w:rsidR="00032CF1" w:rsidRPr="00C9724A" w:rsidRDefault="006E219F" w:rsidP="00C9724A">
      <w:pPr>
        <w:shd w:val="clear" w:color="auto" w:fill="FFFFFF"/>
        <w:spacing w:line="276" w:lineRule="auto"/>
        <w:ind w:left="566"/>
        <w:rPr>
          <w:sz w:val="24"/>
          <w:szCs w:val="24"/>
        </w:rPr>
      </w:pPr>
      <w:r w:rsidRPr="00C9724A">
        <w:rPr>
          <w:sz w:val="24"/>
          <w:szCs w:val="24"/>
        </w:rPr>
        <w:t xml:space="preserve">Spriedums pamatots ar </w:t>
      </w:r>
      <w:r w:rsidRPr="00C9724A">
        <w:rPr>
          <w:rFonts w:eastAsia="Times New Roman"/>
          <w:sz w:val="24"/>
          <w:szCs w:val="24"/>
        </w:rPr>
        <w:t>šādiem motīviem.</w:t>
      </w:r>
    </w:p>
    <w:p w:rsidR="00032CF1" w:rsidRPr="00C9724A" w:rsidRDefault="006E219F" w:rsidP="00C9724A">
      <w:pPr>
        <w:shd w:val="clear" w:color="auto" w:fill="FFFFFF"/>
        <w:spacing w:line="276" w:lineRule="auto"/>
        <w:ind w:firstLine="566"/>
        <w:jc w:val="both"/>
        <w:rPr>
          <w:sz w:val="24"/>
          <w:szCs w:val="24"/>
        </w:rPr>
      </w:pPr>
      <w:r w:rsidRPr="00C9724A">
        <w:rPr>
          <w:sz w:val="24"/>
          <w:szCs w:val="24"/>
        </w:rPr>
        <w:t xml:space="preserve">[3.1] SIA </w:t>
      </w:r>
      <w:r w:rsidRPr="00C9724A">
        <w:rPr>
          <w:rFonts w:eastAsia="Times New Roman"/>
          <w:sz w:val="24"/>
          <w:szCs w:val="24"/>
        </w:rPr>
        <w:t xml:space="preserve">„ICTA” un kompānijas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Internationat</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xml:space="preserve">. tiesiskās attiecības izrietēja no 2011. gada 1. marta līguma par kravu pārvadāšanu Nr. 80611. No šī līguma satura redzams, ka SIA „ICTA” un kompānija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ir vienojušās par līguma priekšmetu – ekspedīcijas pakalpojumu, pārvadājumiem piemērojamo likumu, pušu tiesībām un pienākumiem, nosakot, ka maksa par pakalpojumu ir jāsaskaņo iepriekš. Tādejādi nepamatots ir prasītājas arguments, ka starp pusēm nebija panākta vienošanās par ekspedīcijas līguma būtiskām sastāvdaļām.</w:t>
      </w:r>
    </w:p>
    <w:p w:rsidR="00032CF1" w:rsidRPr="00C9724A" w:rsidRDefault="006E219F" w:rsidP="00C9724A">
      <w:pPr>
        <w:shd w:val="clear" w:color="auto" w:fill="FFFFFF"/>
        <w:spacing w:line="276" w:lineRule="auto"/>
        <w:ind w:right="10" w:firstLine="566"/>
        <w:jc w:val="both"/>
        <w:rPr>
          <w:sz w:val="24"/>
          <w:szCs w:val="24"/>
        </w:rPr>
      </w:pPr>
      <w:r w:rsidRPr="00C9724A">
        <w:rPr>
          <w:sz w:val="24"/>
          <w:szCs w:val="24"/>
        </w:rPr>
        <w:t>[3.2] Liet</w:t>
      </w:r>
      <w:r w:rsidRPr="00C9724A">
        <w:rPr>
          <w:rFonts w:eastAsia="Times New Roman"/>
          <w:sz w:val="24"/>
          <w:szCs w:val="24"/>
        </w:rPr>
        <w:t xml:space="preserve">ā nav strīda, ka kompānija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Internationat</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xml:space="preserve">. nav vērsusies pie prasītājas ar pretenzijām par minēto saistību neizpildi, kā arī SIA „ICTA” pēc sabiedrības vadības </w:t>
      </w:r>
      <w:r w:rsidRPr="00C9724A">
        <w:rPr>
          <w:rFonts w:eastAsia="Times New Roman"/>
          <w:spacing w:val="-1"/>
          <w:sz w:val="24"/>
          <w:szCs w:val="24"/>
        </w:rPr>
        <w:t xml:space="preserve">maiņas līdz lietas izskatīšanai apelācijas instances tiesā nav vērsusies ar pretenzijām pret kompāniju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Internationat</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vai pret jebkuru no līgumsaistību izpildē iesaistītajām kompānijām par parāda piedziņu.</w:t>
      </w:r>
    </w:p>
    <w:p w:rsidR="00032CF1" w:rsidRPr="00C9724A" w:rsidRDefault="006E219F" w:rsidP="00C9724A">
      <w:pPr>
        <w:shd w:val="clear" w:color="auto" w:fill="FFFFFF"/>
        <w:spacing w:line="276" w:lineRule="auto"/>
        <w:ind w:firstLine="566"/>
        <w:jc w:val="both"/>
        <w:rPr>
          <w:sz w:val="24"/>
          <w:szCs w:val="24"/>
        </w:rPr>
      </w:pPr>
      <w:r w:rsidRPr="00C9724A">
        <w:rPr>
          <w:sz w:val="24"/>
          <w:szCs w:val="24"/>
        </w:rPr>
        <w:t>[3.3] Pras</w:t>
      </w:r>
      <w:r w:rsidRPr="00C9724A">
        <w:rPr>
          <w:rFonts w:eastAsia="Times New Roman"/>
          <w:sz w:val="24"/>
          <w:szCs w:val="24"/>
        </w:rPr>
        <w:t xml:space="preserve">ītāja ir nepamatoti sašaurinājusi SIA „ICTA” komercdarbības apjomu, neņemot vērā, ka, lai gan katra produkcijas (šajā gadījumā alus) piegāde tika formēta kā atsevišķs darījums, tās pamats bija savstarpēja ģenerālvienošanās (līgums) par ekspedīcijas pakalpojumu sniegšanu kompānijai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Internationat</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Beļģijā, Čehijā un Vācijā ražotās produkcijas transportēšanai patērētājiem Krievijā, kas finansiālu izdevīgumu nodrošināja ilgtermiņā. Tas, ka 2011. gada 1. marta līgumā puses nav vienojušās par katras atsevišķas kravas pārvadāšanas pozīcijām – daudzumu, maksu, kravas iekraušanas vietu, u.tml., neietekmē vienošanās par</w:t>
      </w:r>
      <w:r w:rsidR="00C9724A">
        <w:rPr>
          <w:rFonts w:eastAsia="Times New Roman"/>
          <w:sz w:val="24"/>
          <w:szCs w:val="24"/>
        </w:rPr>
        <w:t xml:space="preserve"> </w:t>
      </w:r>
      <w:r w:rsidRPr="00C9724A">
        <w:rPr>
          <w:sz w:val="24"/>
          <w:szCs w:val="24"/>
        </w:rPr>
        <w:t>lo</w:t>
      </w:r>
      <w:r w:rsidRPr="00C9724A">
        <w:rPr>
          <w:rFonts w:eastAsia="Times New Roman"/>
          <w:sz w:val="24"/>
          <w:szCs w:val="24"/>
        </w:rPr>
        <w:t>ģistikas pakalpojuma sniegšanu konkrētajam pasūtītājam spēku. Par konkrētām pozīcijām pirms katras atsevišķās piegādes likums neliedz vienoties papildus.</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lastRenderedPageBreak/>
        <w:t>[3.4] Pras</w:t>
      </w:r>
      <w:r w:rsidRPr="00C9724A">
        <w:rPr>
          <w:rFonts w:eastAsia="Times New Roman"/>
          <w:sz w:val="24"/>
          <w:szCs w:val="24"/>
        </w:rPr>
        <w:t xml:space="preserve">ītāja revidentam nebija iesniegusi visus dokumentus, kas saistīti ar pakalpojumu sniegšanu kompānijai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Tā kā apelācijas instances tiesā nav gūts apstiprinājums par pretējo, tad nav pamata prasībai pievienoto revidenta SIA „</w:t>
      </w:r>
      <w:proofErr w:type="spellStart"/>
      <w:r w:rsidRPr="00C9724A">
        <w:rPr>
          <w:rFonts w:eastAsia="Times New Roman"/>
          <w:sz w:val="24"/>
          <w:szCs w:val="24"/>
        </w:rPr>
        <w:t>ABrevīzija</w:t>
      </w:r>
      <w:proofErr w:type="spellEnd"/>
      <w:r w:rsidRPr="00C9724A">
        <w:rPr>
          <w:rFonts w:eastAsia="Times New Roman"/>
          <w:sz w:val="24"/>
          <w:szCs w:val="24"/>
        </w:rPr>
        <w:t>” atzinumu un tabulas „Preču transportēšanas, uzglabāšanas un pārkraušanas darījumu apkopojums” vērtēt kā pietiekamus pierādījumus, kas apstiprinātu zaudējumus 59 112,08 EUR.</w:t>
      </w:r>
    </w:p>
    <w:p w:rsidR="00032CF1" w:rsidRPr="00C9724A" w:rsidRDefault="006E219F" w:rsidP="00C9724A">
      <w:pPr>
        <w:shd w:val="clear" w:color="auto" w:fill="FFFFFF"/>
        <w:spacing w:line="276" w:lineRule="auto"/>
        <w:ind w:firstLine="566"/>
        <w:jc w:val="both"/>
        <w:rPr>
          <w:sz w:val="24"/>
          <w:szCs w:val="24"/>
        </w:rPr>
      </w:pPr>
      <w:r w:rsidRPr="00C9724A">
        <w:rPr>
          <w:sz w:val="24"/>
          <w:szCs w:val="24"/>
        </w:rPr>
        <w:t>[3.5] Pras</w:t>
      </w:r>
      <w:r w:rsidRPr="00C9724A">
        <w:rPr>
          <w:rFonts w:eastAsia="Times New Roman"/>
          <w:sz w:val="24"/>
          <w:szCs w:val="24"/>
        </w:rPr>
        <w:t>ītājas argumenti par zaudējumu 59</w:t>
      </w:r>
      <w:r w:rsidR="00C9724A">
        <w:rPr>
          <w:rFonts w:eastAsia="Times New Roman"/>
          <w:sz w:val="24"/>
          <w:szCs w:val="24"/>
        </w:rPr>
        <w:t> </w:t>
      </w:r>
      <w:r w:rsidRPr="00C9724A">
        <w:rPr>
          <w:rFonts w:eastAsia="Times New Roman"/>
          <w:sz w:val="24"/>
          <w:szCs w:val="24"/>
        </w:rPr>
        <w:t xml:space="preserve">112,08 EUR nodarīšanu ir pretrunā ar lietas materiāliem. Proti, kompānijas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Internationat</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2014.gada 17.oktobra atbilde apstiprina, ka SIA „ICTA” tai nav sniegusi produkcijas iekraušanas/izkraušanas pakalpojumus, līdz ar to prasītājas aprēķinā par atbildētāja nodarītajiem zaudējumiem nepamatoti ietvertas izmaksas par AS „Ventspils tirdzniecības osta” sniegtiem preču uzglabāšanas un pārkraušanas pakalpojumiem.</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No atbild</w:t>
      </w:r>
      <w:r w:rsidRPr="00C9724A">
        <w:rPr>
          <w:rFonts w:eastAsia="Times New Roman"/>
          <w:sz w:val="24"/>
          <w:szCs w:val="24"/>
        </w:rPr>
        <w:t xml:space="preserve">ētāja iesniegtā revidenta SIA „DOMA AUDITS” 2015.gada 16.decembra apliecinājuma un tā pielikumiem redzams, ka SIA „ICTA” biznesa sadarbības rezultātā ar kompāniju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Internationat</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ir guvusi peļņu.</w:t>
      </w:r>
    </w:p>
    <w:p w:rsidR="00032CF1" w:rsidRPr="00C9724A" w:rsidRDefault="006E219F" w:rsidP="00C9724A">
      <w:pPr>
        <w:shd w:val="clear" w:color="auto" w:fill="FFFFFF"/>
        <w:spacing w:line="276" w:lineRule="auto"/>
        <w:ind w:right="10" w:firstLine="566"/>
        <w:jc w:val="both"/>
        <w:rPr>
          <w:sz w:val="24"/>
          <w:szCs w:val="24"/>
        </w:rPr>
      </w:pPr>
      <w:r w:rsidRPr="00C9724A">
        <w:rPr>
          <w:sz w:val="24"/>
          <w:szCs w:val="24"/>
        </w:rPr>
        <w:t>[3.6] Pamatojoties uz Civilprocesa likuma 97. panta pirmo da</w:t>
      </w:r>
      <w:r w:rsidRPr="00C9724A">
        <w:rPr>
          <w:rFonts w:eastAsia="Times New Roman"/>
          <w:sz w:val="24"/>
          <w:szCs w:val="24"/>
        </w:rPr>
        <w:t xml:space="preserve">ļu, Civillietu tiesas kolēģija noraida prasītājas argumentu, ka nav pamata salīdzināt prasībā norādītos apstākļus ar faktiem, kuri norādīti prasītājas iesniegumā izmeklēšanas iestādēm. Tiesa atzīst, ka šī informācija ir pretrunīga. 2014.gada 19.augusta iesniegumā Finanšu un ekonomisko noziegumu izmeklēšanas prokuratūrai par kriminālprocesa uzsākšanu pret atbildētāju </w:t>
      </w:r>
      <w:r w:rsidR="00843B24">
        <w:rPr>
          <w:rFonts w:eastAsia="Times New Roman"/>
          <w:sz w:val="24"/>
          <w:szCs w:val="24"/>
        </w:rPr>
        <w:t xml:space="preserve">[pers. B] </w:t>
      </w:r>
      <w:r w:rsidRPr="00C9724A">
        <w:rPr>
          <w:rFonts w:eastAsia="Times New Roman"/>
          <w:sz w:val="24"/>
          <w:szCs w:val="24"/>
        </w:rPr>
        <w:t xml:space="preserve">darījumi ar kompāniju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ir vērtēti kā uzņēmumam ienesīgi. Proti, SIA „ICTA” ieņēmumi saistībā ar apspriežamajiem kravu pārvadājumiem 2011.gadā bija 283</w:t>
      </w:r>
      <w:r w:rsidR="00C9724A">
        <w:rPr>
          <w:rFonts w:eastAsia="Times New Roman"/>
          <w:sz w:val="24"/>
          <w:szCs w:val="24"/>
        </w:rPr>
        <w:t> </w:t>
      </w:r>
      <w:r w:rsidRPr="00C9724A">
        <w:rPr>
          <w:rFonts w:eastAsia="Times New Roman"/>
          <w:sz w:val="24"/>
          <w:szCs w:val="24"/>
        </w:rPr>
        <w:t>740 EUR, 2012. gadā – 739</w:t>
      </w:r>
      <w:r w:rsidR="00C9724A">
        <w:rPr>
          <w:rFonts w:eastAsia="Times New Roman"/>
          <w:sz w:val="24"/>
          <w:szCs w:val="24"/>
        </w:rPr>
        <w:t> </w:t>
      </w:r>
      <w:r w:rsidRPr="00C9724A">
        <w:rPr>
          <w:rFonts w:eastAsia="Times New Roman"/>
          <w:sz w:val="24"/>
          <w:szCs w:val="24"/>
        </w:rPr>
        <w:t>289,30 EUR, bet 2013. gadā – 471</w:t>
      </w:r>
      <w:r w:rsidR="00C9724A">
        <w:rPr>
          <w:rFonts w:eastAsia="Times New Roman"/>
          <w:sz w:val="24"/>
          <w:szCs w:val="24"/>
        </w:rPr>
        <w:t> </w:t>
      </w:r>
      <w:r w:rsidRPr="00C9724A">
        <w:rPr>
          <w:rFonts w:eastAsia="Times New Roman"/>
          <w:sz w:val="24"/>
          <w:szCs w:val="24"/>
        </w:rPr>
        <w:t>332 EUR.</w:t>
      </w:r>
    </w:p>
    <w:p w:rsidR="00032CF1" w:rsidRPr="00C9724A" w:rsidRDefault="006E219F" w:rsidP="00C9724A">
      <w:pPr>
        <w:shd w:val="clear" w:color="auto" w:fill="FFFFFF"/>
        <w:spacing w:line="276" w:lineRule="auto"/>
        <w:ind w:right="10" w:firstLine="566"/>
        <w:jc w:val="both"/>
        <w:rPr>
          <w:sz w:val="24"/>
          <w:szCs w:val="24"/>
        </w:rPr>
      </w:pPr>
      <w:r w:rsidRPr="00C9724A">
        <w:rPr>
          <w:sz w:val="24"/>
          <w:szCs w:val="24"/>
        </w:rPr>
        <w:t>Kritiski v</w:t>
      </w:r>
      <w:r w:rsidRPr="00C9724A">
        <w:rPr>
          <w:rFonts w:eastAsia="Times New Roman"/>
          <w:sz w:val="24"/>
          <w:szCs w:val="24"/>
        </w:rPr>
        <w:t xml:space="preserve">ērtējams prasītājas apgalvojums, ka nebija vajadzības Preču transportēšanas, uzglabāšanas un pārkraušanas darījumu apkopojumos par 2011., 2012. un 2013.gadu ietvert visus ar kompāniju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noslēgtos darījumus/līgumus, ieskaitot tos, kuru rezultātā gūta peļņa, tādēļ apkopojumā ietverti tikai zaudējumus nesošie darījumi. Šāda pieeja liecina, ka pierādījumi ir atlasīti selektīvi ar mērķi sasniegt negatīvu galarezultātu.</w:t>
      </w:r>
    </w:p>
    <w:p w:rsidR="00032CF1" w:rsidRPr="00C9724A" w:rsidRDefault="006E219F" w:rsidP="00C9724A">
      <w:pPr>
        <w:shd w:val="clear" w:color="auto" w:fill="FFFFFF"/>
        <w:spacing w:line="276" w:lineRule="auto"/>
        <w:ind w:right="14" w:firstLine="566"/>
        <w:jc w:val="both"/>
        <w:rPr>
          <w:sz w:val="24"/>
          <w:szCs w:val="24"/>
        </w:rPr>
      </w:pPr>
      <w:r w:rsidRPr="00C9724A">
        <w:rPr>
          <w:sz w:val="24"/>
          <w:szCs w:val="24"/>
        </w:rPr>
        <w:t>Inform</w:t>
      </w:r>
      <w:r w:rsidRPr="00C9724A">
        <w:rPr>
          <w:rFonts w:eastAsia="Times New Roman"/>
          <w:sz w:val="24"/>
          <w:szCs w:val="24"/>
        </w:rPr>
        <w:t>ācija, kuru prasītāja sniegusi revidentam neatbilst likuma „Par grāmatvedību” prasībām, likums neparedz iespēju grāmatvedībā atspoguļot nepilnīgu informāciju par darījumu. Minētais attiecināms arī uz selektīvas informācijas nodošanu revīzijai.</w:t>
      </w:r>
    </w:p>
    <w:p w:rsidR="00032CF1" w:rsidRPr="00C9724A" w:rsidRDefault="006E219F" w:rsidP="00C9724A">
      <w:pPr>
        <w:shd w:val="clear" w:color="auto" w:fill="FFFFFF"/>
        <w:spacing w:line="276" w:lineRule="auto"/>
        <w:ind w:right="10" w:firstLine="566"/>
        <w:jc w:val="both"/>
        <w:rPr>
          <w:sz w:val="24"/>
          <w:szCs w:val="24"/>
        </w:rPr>
      </w:pPr>
      <w:r w:rsidRPr="00C9724A">
        <w:rPr>
          <w:sz w:val="24"/>
          <w:szCs w:val="24"/>
        </w:rPr>
        <w:t>[3.7] Pras</w:t>
      </w:r>
      <w:r w:rsidRPr="00C9724A">
        <w:rPr>
          <w:rFonts w:eastAsia="Times New Roman"/>
          <w:sz w:val="24"/>
          <w:szCs w:val="24"/>
        </w:rPr>
        <w:t>ītājas iebildumi, ka atbildētājs zināja preču piegādes izmaksas maršrutos, līdz ar to 2011.gada darījuma noslēgšanas laikā apzinājās, ka ienākumi no minētā darījuma noslēgšanas būs zemāki, nekā izmaksas darījuma nodrošināšanai, ir deklaratīvs paziņojums, kas neapstiprinās ar lietas materiāliem.</w:t>
      </w:r>
    </w:p>
    <w:p w:rsidR="00032CF1" w:rsidRPr="00C9724A" w:rsidRDefault="006E219F" w:rsidP="00C9724A">
      <w:pPr>
        <w:shd w:val="clear" w:color="auto" w:fill="FFFFFF"/>
        <w:spacing w:line="276" w:lineRule="auto"/>
        <w:ind w:right="14" w:firstLine="566"/>
        <w:jc w:val="both"/>
        <w:rPr>
          <w:sz w:val="24"/>
          <w:szCs w:val="24"/>
        </w:rPr>
      </w:pPr>
      <w:r w:rsidRPr="00C9724A">
        <w:rPr>
          <w:spacing w:val="-1"/>
          <w:sz w:val="24"/>
          <w:szCs w:val="24"/>
        </w:rPr>
        <w:t>[3.8] Nav pamata ap</w:t>
      </w:r>
      <w:r w:rsidRPr="00C9724A">
        <w:rPr>
          <w:rFonts w:eastAsia="Times New Roman"/>
          <w:spacing w:val="-1"/>
          <w:sz w:val="24"/>
          <w:szCs w:val="24"/>
        </w:rPr>
        <w:t xml:space="preserve">šaubīt revidenta </w:t>
      </w:r>
      <w:r w:rsidR="00843B24">
        <w:rPr>
          <w:rFonts w:eastAsia="Times New Roman"/>
          <w:sz w:val="24"/>
          <w:szCs w:val="24"/>
        </w:rPr>
        <w:t>[pers. C]</w:t>
      </w:r>
      <w:r w:rsidRPr="00C9724A">
        <w:rPr>
          <w:rFonts w:eastAsia="Times New Roman"/>
          <w:spacing w:val="-1"/>
          <w:sz w:val="24"/>
          <w:szCs w:val="24"/>
        </w:rPr>
        <w:t xml:space="preserve"> pirmās instances tiesā sniegto liecību, </w:t>
      </w:r>
      <w:r w:rsidRPr="00C9724A">
        <w:rPr>
          <w:rFonts w:eastAsia="Times New Roman"/>
          <w:sz w:val="24"/>
          <w:szCs w:val="24"/>
        </w:rPr>
        <w:t>ar kuru apstiprināts, ka visi SIA „</w:t>
      </w:r>
      <w:proofErr w:type="spellStart"/>
      <w:r w:rsidRPr="00C9724A">
        <w:rPr>
          <w:rFonts w:eastAsia="Times New Roman"/>
          <w:sz w:val="24"/>
          <w:szCs w:val="24"/>
        </w:rPr>
        <w:t>LDz</w:t>
      </w:r>
      <w:proofErr w:type="spellEnd"/>
      <w:r w:rsidRPr="00C9724A">
        <w:rPr>
          <w:rFonts w:eastAsia="Times New Roman"/>
          <w:sz w:val="24"/>
          <w:szCs w:val="24"/>
        </w:rPr>
        <w:t xml:space="preserve"> </w:t>
      </w:r>
      <w:proofErr w:type="spellStart"/>
      <w:r w:rsidRPr="00C9724A">
        <w:rPr>
          <w:rFonts w:eastAsia="Times New Roman"/>
          <w:sz w:val="24"/>
          <w:szCs w:val="24"/>
        </w:rPr>
        <w:t>Cargo</w:t>
      </w:r>
      <w:proofErr w:type="spellEnd"/>
      <w:r w:rsidRPr="00C9724A">
        <w:rPr>
          <w:rFonts w:eastAsia="Times New Roman"/>
          <w:sz w:val="24"/>
          <w:szCs w:val="24"/>
        </w:rPr>
        <w:t>” izrakstītie rēķini par kravu pārvadāšanu no Ventspils tirdzniecības ostas līdz Krievijas robežai ir apmaksāti. Revidents pirms liecības sniegšanas tika brīdināts par kriminālatbildību par apzināti nepatiesas liecības sniegšanu, kā arī sniegtā liecība atbilst paša atbildētāja lietā iesniegtajiem pierādījumiem. Tādējādi, ievērojot Civilprocesa likuma 104. panta pirmās daļas noteikumus, minētais ir atzīstams par pierādītu.</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Pras</w:t>
      </w:r>
      <w:r w:rsidRPr="00C9724A">
        <w:rPr>
          <w:rFonts w:eastAsia="Times New Roman"/>
          <w:sz w:val="24"/>
          <w:szCs w:val="24"/>
        </w:rPr>
        <w:t>ītājas iebildumi, ka revidenta atzinums ir apšaubāms, jo tā sniegšanā ir izmantoti atbildētāja paskaidrojumi, vērtējami kritiski, jo no revidenta liecības izriet, ka viņš finanšu datus ir pārbaudījis, tie atbilst gan atbildētāja sniegtajiem, gan AS „</w:t>
      </w:r>
      <w:proofErr w:type="spellStart"/>
      <w:r w:rsidRPr="00C9724A">
        <w:rPr>
          <w:rFonts w:eastAsia="Times New Roman"/>
          <w:sz w:val="24"/>
          <w:szCs w:val="24"/>
        </w:rPr>
        <w:t>Swedbank</w:t>
      </w:r>
      <w:proofErr w:type="spellEnd"/>
      <w:r w:rsidRPr="00C9724A">
        <w:rPr>
          <w:rFonts w:eastAsia="Times New Roman"/>
          <w:sz w:val="24"/>
          <w:szCs w:val="24"/>
        </w:rPr>
        <w:t xml:space="preserve">” bankas konta </w:t>
      </w:r>
      <w:r w:rsidRPr="00C9724A">
        <w:rPr>
          <w:rFonts w:eastAsia="Times New Roman"/>
          <w:sz w:val="24"/>
          <w:szCs w:val="24"/>
        </w:rPr>
        <w:lastRenderedPageBreak/>
        <w:t>izrakstiem, ko iesniedzis prasītājs.</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[3.9] Izv</w:t>
      </w:r>
      <w:r w:rsidRPr="00C9724A">
        <w:rPr>
          <w:rFonts w:eastAsia="Times New Roman"/>
          <w:sz w:val="24"/>
          <w:szCs w:val="24"/>
        </w:rPr>
        <w:t xml:space="preserve">ērtējot prasītājas iebildumus pret uzņēmuma </w:t>
      </w:r>
      <w:proofErr w:type="spellStart"/>
      <w:r w:rsidRPr="00C9724A">
        <w:rPr>
          <w:rFonts w:eastAsia="Times New Roman"/>
          <w:sz w:val="24"/>
          <w:szCs w:val="24"/>
        </w:rPr>
        <w:t>Gosseline</w:t>
      </w:r>
      <w:proofErr w:type="spellEnd"/>
      <w:r w:rsidRPr="00C9724A">
        <w:rPr>
          <w:rFonts w:eastAsia="Times New Roman"/>
          <w:sz w:val="24"/>
          <w:szCs w:val="24"/>
        </w:rPr>
        <w:t xml:space="preserve"> </w:t>
      </w:r>
      <w:proofErr w:type="spellStart"/>
      <w:r w:rsidRPr="00C9724A">
        <w:rPr>
          <w:rFonts w:eastAsia="Times New Roman"/>
          <w:sz w:val="24"/>
          <w:szCs w:val="24"/>
        </w:rPr>
        <w:t>Logistics</w:t>
      </w:r>
      <w:proofErr w:type="spellEnd"/>
      <w:r w:rsidRPr="00C9724A">
        <w:rPr>
          <w:rFonts w:eastAsia="Times New Roman"/>
          <w:sz w:val="24"/>
          <w:szCs w:val="24"/>
        </w:rPr>
        <w:t xml:space="preserve"> 2017.gada 2.marta paziņojumu, secināms, ka pirmās instances tiesa to pareizi novērtējusi kā ticamu pierādījumu, jo tajā norādītais par alus produkcijas piegādi un darījumu kārtību/secību vienotā ķēdē vienam piegādātājam atbilst citiem lietā iesniegtajiem pierādījumiem. Tādējādi atbildētājs ir pierādījis savu iebildumu pamatotību, ka uz loģistikas pakalpojumu sniegšanu kompānijai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xml:space="preserve">. ir attiecināmi arī maksājumi, kas saņemti par sabiedrībai </w:t>
      </w:r>
      <w:proofErr w:type="spellStart"/>
      <w:r w:rsidRPr="00C9724A">
        <w:rPr>
          <w:rFonts w:eastAsia="Times New Roman"/>
          <w:sz w:val="24"/>
          <w:szCs w:val="24"/>
        </w:rPr>
        <w:t>Germany</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xml:space="preserve">. izrakstītajiem rēķiniem. Lai nodrošinātu kravas nosūtīšanu no Ventspils tirdzniecības ostas pa dzelzceļu uz Krieviju, kravu pārvadājumu pakalpojumi tikuši sniegti nevis sabiedrībām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xml:space="preserve">. vai </w:t>
      </w:r>
      <w:proofErr w:type="spellStart"/>
      <w:r w:rsidRPr="00C9724A">
        <w:rPr>
          <w:rFonts w:eastAsia="Times New Roman"/>
          <w:sz w:val="24"/>
          <w:szCs w:val="24"/>
        </w:rPr>
        <w:t>Germany</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bet gan uzņēmumam „</w:t>
      </w:r>
      <w:proofErr w:type="spellStart"/>
      <w:r w:rsidRPr="00C9724A">
        <w:rPr>
          <w:rFonts w:eastAsia="Times New Roman"/>
          <w:sz w:val="24"/>
          <w:szCs w:val="24"/>
        </w:rPr>
        <w:t>Gosseline</w:t>
      </w:r>
      <w:proofErr w:type="spellEnd"/>
      <w:r w:rsidRPr="00C9724A">
        <w:rPr>
          <w:rFonts w:eastAsia="Times New Roman"/>
          <w:sz w:val="24"/>
          <w:szCs w:val="24"/>
        </w:rPr>
        <w:t xml:space="preserve"> </w:t>
      </w:r>
      <w:proofErr w:type="spellStart"/>
      <w:r w:rsidRPr="00C9724A">
        <w:rPr>
          <w:rFonts w:eastAsia="Times New Roman"/>
          <w:sz w:val="24"/>
          <w:szCs w:val="24"/>
        </w:rPr>
        <w:t>Logistics</w:t>
      </w:r>
      <w:proofErr w:type="spellEnd"/>
      <w:r w:rsidRPr="00C9724A">
        <w:rPr>
          <w:rFonts w:eastAsia="Times New Roman"/>
          <w:sz w:val="24"/>
          <w:szCs w:val="24"/>
        </w:rPr>
        <w:t>” (pirms tās - „</w:t>
      </w:r>
      <w:proofErr w:type="spellStart"/>
      <w:r w:rsidRPr="00C9724A">
        <w:rPr>
          <w:rFonts w:eastAsia="Times New Roman"/>
          <w:sz w:val="24"/>
          <w:szCs w:val="24"/>
        </w:rPr>
        <w:t>Beerland</w:t>
      </w:r>
      <w:proofErr w:type="spellEnd"/>
      <w:r w:rsidRPr="00C9724A">
        <w:rPr>
          <w:rFonts w:eastAsia="Times New Roman"/>
          <w:sz w:val="24"/>
          <w:szCs w:val="24"/>
        </w:rPr>
        <w:t xml:space="preserve"> </w:t>
      </w:r>
      <w:proofErr w:type="spellStart"/>
      <w:r w:rsidRPr="00C9724A">
        <w:rPr>
          <w:rFonts w:eastAsia="Times New Roman"/>
          <w:sz w:val="24"/>
          <w:szCs w:val="24"/>
        </w:rPr>
        <w:t>Logistics</w:t>
      </w:r>
      <w:proofErr w:type="spellEnd"/>
      <w:r w:rsidRPr="00C9724A">
        <w:rPr>
          <w:rFonts w:eastAsia="Times New Roman"/>
          <w:sz w:val="24"/>
          <w:szCs w:val="24"/>
        </w:rPr>
        <w:t xml:space="preserve">”). Savukārt kompānijas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xml:space="preserve">. un </w:t>
      </w:r>
      <w:proofErr w:type="spellStart"/>
      <w:r w:rsidRPr="00C9724A">
        <w:rPr>
          <w:rFonts w:eastAsia="Times New Roman"/>
          <w:sz w:val="24"/>
          <w:szCs w:val="24"/>
        </w:rPr>
        <w:t>Germany</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ir šajā darījumā iesaistītas personas, kas veic atsevišķas darbības un caur kurām veikts norēķins par alus piegādi no Eiropas uz Krieviju. Maksājumus veicis uzņēmums DATAFLEX SYSTEMS AG.</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Atbild</w:t>
      </w:r>
      <w:r w:rsidRPr="00C9724A">
        <w:rPr>
          <w:rFonts w:eastAsia="Times New Roman"/>
          <w:sz w:val="24"/>
          <w:szCs w:val="24"/>
        </w:rPr>
        <w:t xml:space="preserve">ētājs savos paskaidrojumos norādījis, ka tikai pēc tam, kad SIA „ICTA” 2011.gada 1.martā noslēdza līgumu ar kompāniju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tā varēja noslēgt tai izdevīgo līgumu ar uzņēmumu „</w:t>
      </w:r>
      <w:proofErr w:type="spellStart"/>
      <w:r w:rsidRPr="00C9724A">
        <w:rPr>
          <w:rFonts w:eastAsia="Times New Roman"/>
          <w:sz w:val="24"/>
          <w:szCs w:val="24"/>
        </w:rPr>
        <w:t>Gosseline</w:t>
      </w:r>
      <w:proofErr w:type="spellEnd"/>
      <w:r w:rsidRPr="00C9724A">
        <w:rPr>
          <w:rFonts w:eastAsia="Times New Roman"/>
          <w:sz w:val="24"/>
          <w:szCs w:val="24"/>
        </w:rPr>
        <w:t xml:space="preserve"> </w:t>
      </w:r>
      <w:proofErr w:type="spellStart"/>
      <w:r w:rsidRPr="00C9724A">
        <w:rPr>
          <w:rFonts w:eastAsia="Times New Roman"/>
          <w:sz w:val="24"/>
          <w:szCs w:val="24"/>
        </w:rPr>
        <w:t>Logistics</w:t>
      </w:r>
      <w:proofErr w:type="spellEnd"/>
      <w:r w:rsidRPr="00C9724A">
        <w:rPr>
          <w:rFonts w:eastAsia="Times New Roman"/>
          <w:sz w:val="24"/>
          <w:szCs w:val="24"/>
        </w:rPr>
        <w:t>”. Minēto apstiprina arī uzņēmuma „</w:t>
      </w:r>
      <w:proofErr w:type="spellStart"/>
      <w:r w:rsidRPr="00C9724A">
        <w:rPr>
          <w:rFonts w:eastAsia="Times New Roman"/>
          <w:sz w:val="24"/>
          <w:szCs w:val="24"/>
        </w:rPr>
        <w:t>Gosseline</w:t>
      </w:r>
      <w:proofErr w:type="spellEnd"/>
      <w:r w:rsidRPr="00C9724A">
        <w:rPr>
          <w:rFonts w:eastAsia="Times New Roman"/>
          <w:sz w:val="24"/>
          <w:szCs w:val="24"/>
        </w:rPr>
        <w:t xml:space="preserve"> </w:t>
      </w:r>
      <w:proofErr w:type="spellStart"/>
      <w:r w:rsidRPr="00C9724A">
        <w:rPr>
          <w:rFonts w:eastAsia="Times New Roman"/>
          <w:sz w:val="24"/>
          <w:szCs w:val="24"/>
        </w:rPr>
        <w:t>Logistics</w:t>
      </w:r>
      <w:proofErr w:type="spellEnd"/>
      <w:r w:rsidRPr="00C9724A">
        <w:rPr>
          <w:rFonts w:eastAsia="Times New Roman"/>
          <w:sz w:val="24"/>
          <w:szCs w:val="24"/>
        </w:rPr>
        <w:t>” 2017.gada 2.marta paziņojums.</w:t>
      </w:r>
    </w:p>
    <w:p w:rsidR="00C9724A" w:rsidRDefault="00C9724A" w:rsidP="00C9724A">
      <w:pPr>
        <w:shd w:val="clear" w:color="auto" w:fill="FFFFFF"/>
        <w:spacing w:line="276" w:lineRule="auto"/>
        <w:ind w:right="14" w:firstLine="566"/>
        <w:jc w:val="both"/>
        <w:rPr>
          <w:sz w:val="24"/>
          <w:szCs w:val="24"/>
        </w:rPr>
      </w:pPr>
    </w:p>
    <w:p w:rsidR="00032CF1" w:rsidRPr="00C9724A" w:rsidRDefault="006E219F" w:rsidP="00C9724A">
      <w:pPr>
        <w:shd w:val="clear" w:color="auto" w:fill="FFFFFF"/>
        <w:spacing w:line="276" w:lineRule="auto"/>
        <w:ind w:right="14" w:firstLine="566"/>
        <w:jc w:val="both"/>
        <w:rPr>
          <w:sz w:val="24"/>
          <w:szCs w:val="24"/>
        </w:rPr>
      </w:pPr>
      <w:r w:rsidRPr="00C9724A">
        <w:rPr>
          <w:sz w:val="24"/>
          <w:szCs w:val="24"/>
        </w:rPr>
        <w:t>[4] Par apel</w:t>
      </w:r>
      <w:r w:rsidRPr="00C9724A">
        <w:rPr>
          <w:rFonts w:eastAsia="Times New Roman"/>
          <w:sz w:val="24"/>
          <w:szCs w:val="24"/>
        </w:rPr>
        <w:t>ācijas instances tiesas spriedumu SIA „ICTA” iesniegusi kasācijas sūdzību, kurā, atsaucoties uz materiālo tiesību normu nepareizu iztulkošanu, kā arī procesuālo tiesību normu pārkāpumiem, lūgusi spriedumu atcelt un lietu nodot jaunai izskatīšanai.</w:t>
      </w:r>
    </w:p>
    <w:p w:rsidR="00032CF1" w:rsidRPr="00C9724A" w:rsidRDefault="006E219F" w:rsidP="00C9724A">
      <w:pPr>
        <w:shd w:val="clear" w:color="auto" w:fill="FFFFFF"/>
        <w:spacing w:line="276" w:lineRule="auto"/>
        <w:ind w:left="566"/>
        <w:rPr>
          <w:sz w:val="24"/>
          <w:szCs w:val="24"/>
        </w:rPr>
      </w:pPr>
      <w:r w:rsidRPr="00C9724A">
        <w:rPr>
          <w:sz w:val="24"/>
          <w:szCs w:val="24"/>
        </w:rPr>
        <w:t>Kas</w:t>
      </w:r>
      <w:r w:rsidRPr="00C9724A">
        <w:rPr>
          <w:rFonts w:eastAsia="Times New Roman"/>
          <w:sz w:val="24"/>
          <w:szCs w:val="24"/>
        </w:rPr>
        <w:t>ācijas sūdzība pamatota ar šādiem argumentiem.</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[4.1] Spriedum</w:t>
      </w:r>
      <w:r w:rsidRPr="00C9724A">
        <w:rPr>
          <w:rFonts w:eastAsia="Times New Roman"/>
          <w:sz w:val="24"/>
          <w:szCs w:val="24"/>
        </w:rPr>
        <w:t xml:space="preserve">ā nav sniegta atbilde uz apelācijas sūdzībā ietverto motīvu, ka uz izskatāmās lietas apstākļiem nav attiecināms Komerclikuma 430.pants par ekspedīcijas līgumu. Analizējot minēto likuma normu kopsakarā ar Civillikuma 1533.pantu, tiesa norādījusi uz Komerclikuma 431.panta pirmajā un otrajā daļā iekļauto atrunu „ja puses nav vienojušās citādi”. Tomēr tiesa nav </w:t>
      </w:r>
      <w:r w:rsidRPr="00C9724A">
        <w:rPr>
          <w:rFonts w:eastAsia="Times New Roman"/>
          <w:spacing w:val="-1"/>
          <w:sz w:val="24"/>
          <w:szCs w:val="24"/>
        </w:rPr>
        <w:t xml:space="preserve">ņēmusi vērā, ka šī atruna neattiecas uz visām minētās normas daļām, kā arī nav ņemts vērā, ka pušu </w:t>
      </w:r>
      <w:r w:rsidRPr="00C9724A">
        <w:rPr>
          <w:rFonts w:eastAsia="Times New Roman"/>
          <w:sz w:val="24"/>
          <w:szCs w:val="24"/>
        </w:rPr>
        <w:t xml:space="preserve">iespēja ekspedīcijas līgumā vienoties par atsevišķiem apstākļiem, kas nav reglamentēti ar likumu, </w:t>
      </w:r>
      <w:r w:rsidRPr="00C9724A">
        <w:rPr>
          <w:rFonts w:eastAsia="Times New Roman"/>
          <w:spacing w:val="-1"/>
          <w:sz w:val="24"/>
          <w:szCs w:val="24"/>
        </w:rPr>
        <w:t xml:space="preserve">nevar sagrozīt visu ekspedīcijas līguma būtību. Par Komerclikumā norādītajām darījuma būtiskajām </w:t>
      </w:r>
      <w:r w:rsidRPr="00C9724A">
        <w:rPr>
          <w:rFonts w:eastAsia="Times New Roman"/>
          <w:sz w:val="24"/>
          <w:szCs w:val="24"/>
        </w:rPr>
        <w:t>sastāvdaļām vienošanās nebija panākta, līdz ar to 2011. gada 1. marta līgums neatbilst ekspedīcijas līguma prasībām.</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[4.2] Ikdienas komercpraks</w:t>
      </w:r>
      <w:r w:rsidRPr="00C9724A">
        <w:rPr>
          <w:rFonts w:eastAsia="Times New Roman"/>
          <w:sz w:val="24"/>
          <w:szCs w:val="24"/>
        </w:rPr>
        <w:t>ē darījumi, kas nenes peļņu, atzīstami par fiktīviem, t. sk., par vērstiem uz izvairīšanos no nodokļu nomaksas. Izejot no šī viedokļa, arī jāvērtē atbildētāju rīcība.</w:t>
      </w:r>
    </w:p>
    <w:p w:rsidR="00032CF1" w:rsidRPr="00C9724A" w:rsidRDefault="006E219F" w:rsidP="00C9724A">
      <w:pPr>
        <w:shd w:val="clear" w:color="auto" w:fill="FFFFFF"/>
        <w:spacing w:line="276" w:lineRule="auto"/>
        <w:ind w:firstLine="566"/>
        <w:jc w:val="both"/>
        <w:rPr>
          <w:sz w:val="24"/>
          <w:szCs w:val="24"/>
        </w:rPr>
      </w:pPr>
      <w:r w:rsidRPr="00C9724A">
        <w:rPr>
          <w:sz w:val="24"/>
          <w:szCs w:val="24"/>
        </w:rPr>
        <w:t>Tiesas ieskat</w:t>
      </w:r>
      <w:r w:rsidRPr="00C9724A">
        <w:rPr>
          <w:rFonts w:eastAsia="Times New Roman"/>
          <w:sz w:val="24"/>
          <w:szCs w:val="24"/>
        </w:rPr>
        <w:t xml:space="preserve">ā atbildētāju darbības attaisnojamas ar parastu komercdarbības risku un ar to, ka </w:t>
      </w:r>
      <w:r w:rsidRPr="00C9724A">
        <w:rPr>
          <w:rFonts w:eastAsia="Times New Roman"/>
          <w:spacing w:val="-1"/>
          <w:sz w:val="24"/>
          <w:szCs w:val="24"/>
        </w:rPr>
        <w:t xml:space="preserve">kopumā par visiem darījumiem prasītāja saņēma peļņu. Tomēr šāds Komerclikuma 1. un 169.panta </w:t>
      </w:r>
      <w:r w:rsidRPr="00C9724A">
        <w:rPr>
          <w:rFonts w:eastAsia="Times New Roman"/>
          <w:sz w:val="24"/>
          <w:szCs w:val="24"/>
        </w:rPr>
        <w:t>tulkojums ir vienkāršots, kas ļauj maskēt uzņēmuma kļūdas vai pat ļaunprātību. Lai gan atsevišķi zaudējumi tika dzēsti un nosegti no peļņas par citiem darījumiem, tomēr šis apstāklis nevar atbrīvot atbildētāju no Komerclikuma 169.pantā paredzētās atbildības. Likums nosaka peļņu kā galveno komercdarbības un saimnieciskās darbības mērķi. Tas nozīmē, ka katram darījumam, t. sk. darījumu ķēdes robežās, ir jānes peļņa. Pretējā gadījumā šāds darījums ir pretrunā ar likuma prasībām un valdes locekļiem par to ir jānes atbildība.</w:t>
      </w:r>
    </w:p>
    <w:p w:rsidR="00032CF1" w:rsidRPr="00C9724A" w:rsidRDefault="006E219F" w:rsidP="00C9724A">
      <w:pPr>
        <w:shd w:val="clear" w:color="auto" w:fill="FFFFFF"/>
        <w:spacing w:line="276" w:lineRule="auto"/>
        <w:ind w:right="10" w:firstLine="566"/>
        <w:jc w:val="both"/>
        <w:rPr>
          <w:sz w:val="24"/>
          <w:szCs w:val="24"/>
        </w:rPr>
      </w:pPr>
      <w:r w:rsidRPr="00C9724A">
        <w:rPr>
          <w:sz w:val="24"/>
          <w:szCs w:val="24"/>
        </w:rPr>
        <w:t>T</w:t>
      </w:r>
      <w:r w:rsidRPr="00C9724A">
        <w:rPr>
          <w:rFonts w:eastAsia="Times New Roman"/>
          <w:sz w:val="24"/>
          <w:szCs w:val="24"/>
        </w:rPr>
        <w:t xml:space="preserve">ādējādi nav pieņemami apelācijas instances tiesas spriedumā izdarītie secinājumi par </w:t>
      </w:r>
      <w:r w:rsidRPr="00C9724A">
        <w:rPr>
          <w:rFonts w:eastAsia="Times New Roman"/>
          <w:sz w:val="24"/>
          <w:szCs w:val="24"/>
        </w:rPr>
        <w:lastRenderedPageBreak/>
        <w:t>darījumu selektīvo atlasi zaudējumu novērtēšanai. Zaudējumus radoši darījumi var tikt attaisnoti ar apstākļiem, kas bijuši ārpus valdes locekļa kontroles vai tos ietekmējuši nepārvaramas varas apstākļi. Tomēr, ja līguma noslēgšanas brīdī ir redzams, ka darījums nesīs zaudējumus, tad šādu līgumu slēgt nedrīkst.</w:t>
      </w:r>
    </w:p>
    <w:p w:rsidR="00032CF1" w:rsidRPr="00C9724A" w:rsidRDefault="006E219F" w:rsidP="00C9724A">
      <w:pPr>
        <w:shd w:val="clear" w:color="auto" w:fill="FFFFFF"/>
        <w:spacing w:line="276" w:lineRule="auto"/>
        <w:ind w:firstLine="566"/>
        <w:jc w:val="both"/>
        <w:rPr>
          <w:sz w:val="24"/>
          <w:szCs w:val="24"/>
        </w:rPr>
      </w:pPr>
      <w:r w:rsidRPr="00C9724A">
        <w:rPr>
          <w:sz w:val="24"/>
          <w:szCs w:val="24"/>
        </w:rPr>
        <w:t>[4.3] Apel</w:t>
      </w:r>
      <w:r w:rsidRPr="00C9724A">
        <w:rPr>
          <w:rFonts w:eastAsia="Times New Roman"/>
          <w:sz w:val="24"/>
          <w:szCs w:val="24"/>
        </w:rPr>
        <w:t>ācijas instances tiesā prasītājas pārstāvis savu argumentu pamatošanai iesniedza papildu pierādījumus, taču tiesa tos nepieņēma, tādējādi nerīkojoties saskaņā ar taisnīguma kritērijiem un neievērojot Civilprocesa likuma 93. pantu un Satversmes 92. pantu. Tiesai ir tiesības vērtēt, vai jaunu pierādījumu iesniegšanas termiņa nokavēšana ir notikusi attaisnojošu iemeslu dēļ, taču minētais nevar būt par šķērsli iesniegt un pievienot pierādījumus lietas materiāliem.</w:t>
      </w:r>
    </w:p>
    <w:p w:rsidR="00C9724A" w:rsidRDefault="00C9724A" w:rsidP="00C9724A">
      <w:pPr>
        <w:shd w:val="clear" w:color="auto" w:fill="FFFFFF"/>
        <w:spacing w:line="276" w:lineRule="auto"/>
        <w:ind w:firstLine="566"/>
        <w:jc w:val="both"/>
        <w:rPr>
          <w:sz w:val="24"/>
          <w:szCs w:val="24"/>
        </w:rPr>
      </w:pPr>
    </w:p>
    <w:p w:rsidR="00032CF1" w:rsidRDefault="006E219F" w:rsidP="00C9724A">
      <w:pPr>
        <w:shd w:val="clear" w:color="auto" w:fill="FFFFFF"/>
        <w:spacing w:line="276" w:lineRule="auto"/>
        <w:ind w:firstLine="566"/>
        <w:jc w:val="both"/>
        <w:rPr>
          <w:rFonts w:eastAsia="Times New Roman"/>
          <w:sz w:val="24"/>
          <w:szCs w:val="24"/>
        </w:rPr>
      </w:pPr>
      <w:r w:rsidRPr="00C9724A">
        <w:rPr>
          <w:sz w:val="24"/>
          <w:szCs w:val="24"/>
        </w:rPr>
        <w:t>[5] Paskaidrojumos sakar</w:t>
      </w:r>
      <w:r w:rsidRPr="00C9724A">
        <w:rPr>
          <w:rFonts w:eastAsia="Times New Roman"/>
          <w:sz w:val="24"/>
          <w:szCs w:val="24"/>
        </w:rPr>
        <w:t xml:space="preserve">ā ar SIA „ICTA” kasācijas sūdzību </w:t>
      </w:r>
      <w:r w:rsidR="00843B24">
        <w:rPr>
          <w:rFonts w:eastAsia="Times New Roman"/>
          <w:sz w:val="24"/>
          <w:szCs w:val="24"/>
        </w:rPr>
        <w:t>[pers. B]</w:t>
      </w:r>
      <w:r w:rsidRPr="00C9724A">
        <w:rPr>
          <w:rFonts w:eastAsia="Times New Roman"/>
          <w:sz w:val="24"/>
          <w:szCs w:val="24"/>
        </w:rPr>
        <w:t xml:space="preserve"> un </w:t>
      </w:r>
      <w:r w:rsidR="00843B24">
        <w:rPr>
          <w:rFonts w:eastAsia="Times New Roman"/>
          <w:sz w:val="24"/>
          <w:szCs w:val="24"/>
        </w:rPr>
        <w:t>[pers. A]</w:t>
      </w:r>
      <w:r w:rsidRPr="00C9724A">
        <w:rPr>
          <w:rFonts w:eastAsia="Times New Roman"/>
          <w:sz w:val="24"/>
          <w:szCs w:val="24"/>
        </w:rPr>
        <w:t xml:space="preserve"> norādījuši, ka tā nav pamatota.</w:t>
      </w:r>
    </w:p>
    <w:p w:rsidR="00032CF1" w:rsidRDefault="006E219F" w:rsidP="00C9724A">
      <w:pPr>
        <w:shd w:val="clear" w:color="auto" w:fill="FFFFFF"/>
        <w:spacing w:before="120" w:after="120" w:line="276" w:lineRule="auto"/>
        <w:ind w:left="6"/>
        <w:jc w:val="center"/>
        <w:rPr>
          <w:rFonts w:eastAsia="Times New Roman"/>
          <w:b/>
          <w:bCs/>
          <w:sz w:val="24"/>
          <w:szCs w:val="24"/>
        </w:rPr>
      </w:pPr>
      <w:r w:rsidRPr="00C9724A">
        <w:rPr>
          <w:b/>
          <w:bCs/>
          <w:sz w:val="24"/>
          <w:szCs w:val="24"/>
        </w:rPr>
        <w:t>Mot</w:t>
      </w:r>
      <w:r w:rsidRPr="00C9724A">
        <w:rPr>
          <w:rFonts w:eastAsia="Times New Roman"/>
          <w:b/>
          <w:bCs/>
          <w:sz w:val="24"/>
          <w:szCs w:val="24"/>
        </w:rPr>
        <w:t>īvu daļa</w:t>
      </w:r>
    </w:p>
    <w:p w:rsidR="00032CF1" w:rsidRPr="00C9724A" w:rsidRDefault="006E219F" w:rsidP="00C9724A">
      <w:pPr>
        <w:shd w:val="clear" w:color="auto" w:fill="FFFFFF"/>
        <w:spacing w:line="276" w:lineRule="auto"/>
        <w:ind w:firstLine="566"/>
        <w:jc w:val="both"/>
        <w:rPr>
          <w:sz w:val="24"/>
          <w:szCs w:val="24"/>
        </w:rPr>
      </w:pPr>
      <w:r w:rsidRPr="00C9724A">
        <w:rPr>
          <w:sz w:val="24"/>
          <w:szCs w:val="24"/>
        </w:rPr>
        <w:t>[6] P</w:t>
      </w:r>
      <w:r w:rsidRPr="00C9724A">
        <w:rPr>
          <w:rFonts w:eastAsia="Times New Roman"/>
          <w:sz w:val="24"/>
          <w:szCs w:val="24"/>
        </w:rPr>
        <w:t>ārbaudījis lietā esošā sprieduma likumību attiecībā uz argumentiem, kas minēti kasācijas sūdzībā, kā tas noteikts Civilprocesa likuma 473. panta pirmajā daļā, Senāts atzīst, ka Rīgas apgabaltiesas Civillietu tiesas kolēģijas 2018.gada 2.janvāra spriedums ir atstājams negrozīts.</w:t>
      </w:r>
    </w:p>
    <w:p w:rsidR="00C9724A" w:rsidRDefault="00C9724A" w:rsidP="00C9724A">
      <w:pPr>
        <w:shd w:val="clear" w:color="auto" w:fill="FFFFFF"/>
        <w:spacing w:line="276" w:lineRule="auto"/>
        <w:ind w:right="5" w:firstLine="566"/>
        <w:jc w:val="both"/>
        <w:rPr>
          <w:sz w:val="24"/>
          <w:szCs w:val="24"/>
        </w:rPr>
      </w:pP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 xml:space="preserve">[7] SIA </w:t>
      </w:r>
      <w:r w:rsidRPr="00C9724A">
        <w:rPr>
          <w:rFonts w:eastAsia="Times New Roman"/>
          <w:sz w:val="24"/>
          <w:szCs w:val="24"/>
        </w:rPr>
        <w:t>„ICTA” kasācijas sūdzībā izteikusi iebildumus par Komerclikuma 169.panta tulkošanu pārbaudāmajā spriedumā, uzskatot, ka minētās likuma normas izpratnē valdes loceklim jānes mantiska atbildība par jebkuru darījumu, kurš uzņēmumam nav nesis peļņu. Senāts šādam argumentam nevar piekrist turpmāk norādīto apsvērumu dēļ.</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[7.1] Liet</w:t>
      </w:r>
      <w:r w:rsidRPr="00C9724A">
        <w:rPr>
          <w:rFonts w:eastAsia="Times New Roman"/>
          <w:sz w:val="24"/>
          <w:szCs w:val="24"/>
        </w:rPr>
        <w:t xml:space="preserve">ā nepastāv strīds, ka prasības pieteikumā norādītie darījumi kompānijai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xml:space="preserve">. sniegtā loģistikas pakalpojuma sakarā, kuri, prasītāja ieskatā, SIA </w:t>
      </w:r>
      <w:r w:rsidRPr="00C9724A">
        <w:rPr>
          <w:rFonts w:eastAsia="Times New Roman"/>
          <w:spacing w:val="-1"/>
          <w:sz w:val="24"/>
          <w:szCs w:val="24"/>
        </w:rPr>
        <w:t xml:space="preserve">„ICTA” nesuši zaudējumus, ietilpst darījumu ķēdē, nodrošinot alus produkcijas transportēšanu no tā </w:t>
      </w:r>
      <w:r w:rsidRPr="00C9724A">
        <w:rPr>
          <w:rFonts w:eastAsia="Times New Roman"/>
          <w:sz w:val="24"/>
          <w:szCs w:val="24"/>
        </w:rPr>
        <w:t>ražotājiem Eiropā līdz Latvijas-Krievijas robežai caur Ventspils tirdzniecības ostu. Visi darījumi veikti prasītājas komercdarbības ietvaros.</w:t>
      </w:r>
    </w:p>
    <w:p w:rsidR="00032CF1" w:rsidRPr="00C9724A" w:rsidRDefault="006E219F" w:rsidP="00C9724A">
      <w:pPr>
        <w:shd w:val="clear" w:color="auto" w:fill="FFFFFF"/>
        <w:spacing w:line="276" w:lineRule="auto"/>
        <w:ind w:firstLine="566"/>
        <w:jc w:val="both"/>
        <w:rPr>
          <w:sz w:val="24"/>
          <w:szCs w:val="24"/>
        </w:rPr>
      </w:pPr>
      <w:r w:rsidRPr="00C9724A">
        <w:rPr>
          <w:sz w:val="24"/>
          <w:szCs w:val="24"/>
        </w:rPr>
        <w:t>Atbilsto</w:t>
      </w:r>
      <w:r w:rsidRPr="00C9724A">
        <w:rPr>
          <w:rFonts w:eastAsia="Times New Roman"/>
          <w:sz w:val="24"/>
          <w:szCs w:val="24"/>
        </w:rPr>
        <w:t>ši Komerclikuma 1. panta otrajai daļai jebkuras komercdarbības nolūks ir peļņas gūšana, turklāt šāds nolūks tiek prezumēts.</w:t>
      </w:r>
    </w:p>
    <w:p w:rsidR="00032CF1" w:rsidRPr="00C9724A" w:rsidRDefault="006E219F" w:rsidP="00C9724A">
      <w:pPr>
        <w:shd w:val="clear" w:color="auto" w:fill="FFFFFF"/>
        <w:spacing w:line="276" w:lineRule="auto"/>
        <w:ind w:firstLine="566"/>
        <w:jc w:val="both"/>
        <w:rPr>
          <w:sz w:val="24"/>
          <w:szCs w:val="24"/>
        </w:rPr>
      </w:pPr>
      <w:r w:rsidRPr="00C9724A">
        <w:rPr>
          <w:sz w:val="24"/>
          <w:szCs w:val="24"/>
        </w:rPr>
        <w:t>Taj</w:t>
      </w:r>
      <w:r w:rsidRPr="00C9724A">
        <w:rPr>
          <w:rFonts w:eastAsia="Times New Roman"/>
          <w:sz w:val="24"/>
          <w:szCs w:val="24"/>
        </w:rPr>
        <w:t>ā pat laikā komercdarbībai kā saimnieciskās darbības veidam ir sistemātiskuma raksturs, kas nozīmē šādas darbības plānošanu ilgtermiņā un līdz ar to – arī peļņas gūšanu un plānošanu ilgtermiņā no komercdarbības kā tādas, nevis katra atsevišķa darījuma.</w:t>
      </w:r>
    </w:p>
    <w:p w:rsidR="00032CF1" w:rsidRPr="00C9724A" w:rsidRDefault="006E219F" w:rsidP="00C9724A">
      <w:pPr>
        <w:shd w:val="clear" w:color="auto" w:fill="FFFFFF"/>
        <w:spacing w:line="276" w:lineRule="auto"/>
        <w:ind w:right="10" w:firstLine="566"/>
        <w:jc w:val="both"/>
        <w:rPr>
          <w:sz w:val="24"/>
          <w:szCs w:val="24"/>
        </w:rPr>
      </w:pPr>
      <w:r w:rsidRPr="00C9724A">
        <w:rPr>
          <w:sz w:val="24"/>
          <w:szCs w:val="24"/>
        </w:rPr>
        <w:t>[7.2] Komerclikuma 169.panta otr</w:t>
      </w:r>
      <w:r w:rsidRPr="00C9724A">
        <w:rPr>
          <w:rFonts w:eastAsia="Times New Roman"/>
          <w:sz w:val="24"/>
          <w:szCs w:val="24"/>
        </w:rPr>
        <w:t>ā daļa, ar kuru pamatota prasība, paredz, ka valdes un padomes locekļi solidāri atbild par zaudējumiem, ko tie nodarījuši sabiedrībai.</w:t>
      </w:r>
    </w:p>
    <w:p w:rsidR="00032CF1" w:rsidRPr="00C9724A" w:rsidRDefault="006E219F" w:rsidP="00C9724A">
      <w:pPr>
        <w:shd w:val="clear" w:color="auto" w:fill="FFFFFF"/>
        <w:spacing w:line="276" w:lineRule="auto"/>
        <w:ind w:firstLine="566"/>
        <w:jc w:val="both"/>
        <w:rPr>
          <w:sz w:val="24"/>
          <w:szCs w:val="24"/>
        </w:rPr>
      </w:pPr>
      <w:r w:rsidRPr="00C9724A">
        <w:rPr>
          <w:spacing w:val="-1"/>
          <w:sz w:val="24"/>
          <w:szCs w:val="24"/>
        </w:rPr>
        <w:t>Juridiskaj</w:t>
      </w:r>
      <w:r w:rsidRPr="00C9724A">
        <w:rPr>
          <w:rFonts w:eastAsia="Times New Roman"/>
          <w:spacing w:val="-1"/>
          <w:sz w:val="24"/>
          <w:szCs w:val="24"/>
        </w:rPr>
        <w:t xml:space="preserve">ā doktrīnā, komentējot Komerclikuma 169.pantu, norādīts: „Jebkura komercdarbība </w:t>
      </w:r>
      <w:r w:rsidRPr="00C9724A">
        <w:rPr>
          <w:rFonts w:eastAsia="Times New Roman"/>
          <w:sz w:val="24"/>
          <w:szCs w:val="24"/>
        </w:rPr>
        <w:t>un jebkuras sabiedrības vadīšana ir saistīta ar lielāku vai mazāku risku. Sabiedrības amatpersonām kā uzticības personām, no vienas puses, ir jāmaksimizē sabiedrības peļņa, no otras puses, tām jāsaglabā sabiedrības manta. Komentējamā norma neizslēdz risku, kurš komerciālajā apgrozībā atzīstams par saprātīgu, jo zināms risks ir praktiski jebkuras komercdarbības neatņemama sastāvdaļa. Saprātīguma kritēriju nosaka katrā individuālā situācijā”. (</w:t>
      </w:r>
      <w:r w:rsidRPr="00C9724A">
        <w:rPr>
          <w:rFonts w:eastAsia="Times New Roman"/>
          <w:i/>
          <w:iCs/>
          <w:sz w:val="24"/>
          <w:szCs w:val="24"/>
        </w:rPr>
        <w:t>sk. A</w:t>
      </w:r>
      <w:r w:rsidR="00C9724A">
        <w:rPr>
          <w:rFonts w:eastAsia="Times New Roman"/>
          <w:i/>
          <w:iCs/>
          <w:sz w:val="24"/>
          <w:szCs w:val="24"/>
        </w:rPr>
        <w:t>. </w:t>
      </w:r>
      <w:r w:rsidRPr="00C9724A">
        <w:rPr>
          <w:rFonts w:eastAsia="Times New Roman"/>
          <w:i/>
          <w:iCs/>
          <w:sz w:val="24"/>
          <w:szCs w:val="24"/>
        </w:rPr>
        <w:t xml:space="preserve">Strupišs. </w:t>
      </w:r>
      <w:r w:rsidRPr="00C9724A">
        <w:rPr>
          <w:rFonts w:eastAsia="Times New Roman"/>
          <w:i/>
          <w:iCs/>
          <w:spacing w:val="-1"/>
          <w:sz w:val="24"/>
          <w:szCs w:val="24"/>
        </w:rPr>
        <w:t xml:space="preserve">Komerclikuma komentāri III. B daļa. Komersanti. XI sadaļa. Kapitālsabiedrības (134.-184. panti). </w:t>
      </w:r>
      <w:r w:rsidRPr="00C9724A">
        <w:rPr>
          <w:rFonts w:eastAsia="Times New Roman"/>
          <w:i/>
          <w:iCs/>
          <w:sz w:val="24"/>
          <w:szCs w:val="24"/>
        </w:rPr>
        <w:t>Izdevējs:</w:t>
      </w:r>
      <w:r w:rsidR="00843B24">
        <w:rPr>
          <w:rFonts w:eastAsia="Times New Roman"/>
          <w:i/>
          <w:iCs/>
          <w:sz w:val="24"/>
          <w:szCs w:val="24"/>
        </w:rPr>
        <w:t xml:space="preserve"> </w:t>
      </w:r>
      <w:r w:rsidRPr="00C9724A">
        <w:rPr>
          <w:rFonts w:eastAsia="Times New Roman"/>
          <w:i/>
          <w:iCs/>
          <w:sz w:val="24"/>
          <w:szCs w:val="24"/>
        </w:rPr>
        <w:t>„A.Strupiša juridiskais birojs” SIA, 2003, 147.lpp.</w:t>
      </w:r>
      <w:r w:rsidRPr="00C9724A">
        <w:rPr>
          <w:rFonts w:eastAsia="Times New Roman"/>
          <w:sz w:val="24"/>
          <w:szCs w:val="24"/>
        </w:rPr>
        <w:t>).</w:t>
      </w:r>
    </w:p>
    <w:p w:rsidR="00032CF1" w:rsidRPr="00C9724A" w:rsidRDefault="006E219F" w:rsidP="00C9724A">
      <w:pPr>
        <w:shd w:val="clear" w:color="auto" w:fill="FFFFFF"/>
        <w:spacing w:line="276" w:lineRule="auto"/>
        <w:ind w:firstLine="566"/>
        <w:jc w:val="both"/>
        <w:rPr>
          <w:sz w:val="24"/>
          <w:szCs w:val="24"/>
        </w:rPr>
      </w:pPr>
      <w:r w:rsidRPr="00C9724A">
        <w:rPr>
          <w:spacing w:val="-1"/>
          <w:sz w:val="24"/>
          <w:szCs w:val="24"/>
        </w:rPr>
        <w:lastRenderedPageBreak/>
        <w:t>[7.3] Tas noz</w:t>
      </w:r>
      <w:r w:rsidRPr="00C9724A">
        <w:rPr>
          <w:rFonts w:eastAsia="Times New Roman"/>
          <w:spacing w:val="-1"/>
          <w:sz w:val="24"/>
          <w:szCs w:val="24"/>
        </w:rPr>
        <w:t xml:space="preserve">īmē, ka, lai gan nolūks gūt peļņu tiek prezumēts, likums pieļauj arī situāciju, kad </w:t>
      </w:r>
      <w:r w:rsidRPr="00C9724A">
        <w:rPr>
          <w:rFonts w:eastAsia="Times New Roman"/>
          <w:sz w:val="24"/>
          <w:szCs w:val="24"/>
        </w:rPr>
        <w:t>risks neattaisnojas un līdz ar to ne tikai nerealizējas iecere gūt peļņu, bet uzņēmums pat cieš zaudējumus. Šādā situācijā noteicošais kritērijs, vērtējot amatpersonas atbildību par uzņēmumam nodarītiem zaudējumiem, ir saprātīgums amatpersonas darbībās, citiem vārdiem, vai persona konkrētajā gadījumā rīkojusies atbilstoši saprātīgai komercdarbības praksei – kā krietnam un rūpīgam saimniekam pieklājas.</w:t>
      </w:r>
    </w:p>
    <w:p w:rsidR="00032CF1" w:rsidRPr="00C9724A" w:rsidRDefault="006E219F" w:rsidP="00C9724A">
      <w:pPr>
        <w:shd w:val="clear" w:color="auto" w:fill="FFFFFF"/>
        <w:spacing w:line="276" w:lineRule="auto"/>
        <w:ind w:firstLine="567"/>
        <w:jc w:val="both"/>
        <w:rPr>
          <w:sz w:val="24"/>
          <w:szCs w:val="24"/>
        </w:rPr>
      </w:pPr>
      <w:r w:rsidRPr="00C9724A">
        <w:rPr>
          <w:sz w:val="24"/>
          <w:szCs w:val="24"/>
        </w:rPr>
        <w:t>[7.4] Kas</w:t>
      </w:r>
      <w:r w:rsidRPr="00C9724A">
        <w:rPr>
          <w:rFonts w:eastAsia="Times New Roman"/>
          <w:sz w:val="24"/>
          <w:szCs w:val="24"/>
        </w:rPr>
        <w:t>ācijas sūdzībā netiek apstrīdēts, ka SIA „ICTA” komercdarbība strīdus laika posmā</w:t>
      </w:r>
      <w:r w:rsidR="00C9724A">
        <w:rPr>
          <w:rFonts w:eastAsia="Times New Roman"/>
          <w:sz w:val="24"/>
          <w:szCs w:val="24"/>
        </w:rPr>
        <w:t xml:space="preserve"> </w:t>
      </w:r>
      <w:r w:rsidRPr="00C9724A">
        <w:rPr>
          <w:sz w:val="24"/>
          <w:szCs w:val="24"/>
        </w:rPr>
        <w:t>kopum</w:t>
      </w:r>
      <w:r w:rsidRPr="00C9724A">
        <w:rPr>
          <w:rFonts w:eastAsia="Times New Roman"/>
          <w:sz w:val="24"/>
          <w:szCs w:val="24"/>
        </w:rPr>
        <w:t xml:space="preserve">ā bijusi sekmīga un nesusi peļņu. Vēl vairāk, nav strīda par to, ka tieši uzņēmuma sadarbība ar kompāniju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par preču transportēšanu no alus ražotājiem Eiropā uz Ventspils tirdzniecības ostu ļāvusi uzņēmumam slēgt virkni peļņu nesošus darījumus ar klientiem Krievijā, tādējādi ar uzviju kompensējot prasības pieteikumā norādītos zaudējumus.</w:t>
      </w:r>
    </w:p>
    <w:p w:rsidR="00032CF1" w:rsidRPr="00C9724A" w:rsidRDefault="006E219F" w:rsidP="00C9724A">
      <w:pPr>
        <w:shd w:val="clear" w:color="auto" w:fill="FFFFFF"/>
        <w:spacing w:line="276" w:lineRule="auto"/>
        <w:ind w:right="10" w:firstLine="566"/>
        <w:jc w:val="both"/>
        <w:rPr>
          <w:sz w:val="24"/>
          <w:szCs w:val="24"/>
        </w:rPr>
      </w:pPr>
      <w:r w:rsidRPr="00C9724A">
        <w:rPr>
          <w:sz w:val="24"/>
          <w:szCs w:val="24"/>
        </w:rPr>
        <w:t>[7.5] K</w:t>
      </w:r>
      <w:r w:rsidRPr="00C9724A">
        <w:rPr>
          <w:rFonts w:eastAsia="Times New Roman"/>
          <w:sz w:val="24"/>
          <w:szCs w:val="24"/>
        </w:rPr>
        <w:t xml:space="preserve">ā norādīts tiesību doktrīnā, „ja valdes locekļa rīcība ir pretēja saprātīgai komerciālās apgrozības praksei un tiek pierādīts, ka sabiedrībai nodarīts zaudējums, konstatēta amatpersonas </w:t>
      </w:r>
      <w:r w:rsidRPr="00C9724A">
        <w:rPr>
          <w:rFonts w:eastAsia="Times New Roman"/>
          <w:spacing w:val="-1"/>
          <w:sz w:val="24"/>
          <w:szCs w:val="24"/>
        </w:rPr>
        <w:t xml:space="preserve">rīcība un pastāv </w:t>
      </w:r>
      <w:proofErr w:type="spellStart"/>
      <w:r w:rsidRPr="00C9724A">
        <w:rPr>
          <w:rFonts w:eastAsia="Times New Roman"/>
          <w:spacing w:val="-1"/>
          <w:sz w:val="24"/>
          <w:szCs w:val="24"/>
        </w:rPr>
        <w:t>cēloņsakars</w:t>
      </w:r>
      <w:proofErr w:type="spellEnd"/>
      <w:r w:rsidRPr="00C9724A">
        <w:rPr>
          <w:rFonts w:eastAsia="Times New Roman"/>
          <w:spacing w:val="-1"/>
          <w:sz w:val="24"/>
          <w:szCs w:val="24"/>
        </w:rPr>
        <w:t xml:space="preserve"> starp amatpersonas rīcību un nodarītajiem zaudējumiem, tad apstāklim, ka valdes locekļa rīcība nesatur ļaunprātīgu tiesību aizskārumu, nav tiesiskas nozīmes, jo viņš atbild </w:t>
      </w:r>
      <w:r w:rsidRPr="00C9724A">
        <w:rPr>
          <w:rFonts w:eastAsia="Times New Roman"/>
          <w:sz w:val="24"/>
          <w:szCs w:val="24"/>
        </w:rPr>
        <w:t>par katru, tostarp vieglu neuzmanību (</w:t>
      </w:r>
      <w:r w:rsidRPr="00C9724A">
        <w:rPr>
          <w:rFonts w:eastAsia="Times New Roman"/>
          <w:i/>
          <w:iCs/>
          <w:sz w:val="24"/>
          <w:szCs w:val="24"/>
        </w:rPr>
        <w:t>sk.</w:t>
      </w:r>
      <w:r w:rsidR="00843B24">
        <w:rPr>
          <w:rFonts w:eastAsia="Times New Roman"/>
          <w:i/>
          <w:iCs/>
          <w:sz w:val="24"/>
          <w:szCs w:val="24"/>
        </w:rPr>
        <w:t xml:space="preserve"> </w:t>
      </w:r>
      <w:r w:rsidRPr="00C9724A">
        <w:rPr>
          <w:rFonts w:eastAsia="Times New Roman"/>
          <w:i/>
          <w:iCs/>
          <w:sz w:val="24"/>
          <w:szCs w:val="24"/>
        </w:rPr>
        <w:t>sal. A. Strupišs. Komerclikuma komentāri III. B daļa. Komersanti. XI sadaļa. Kapitālsabiedrības (134.-184. panti). Izdevējs:</w:t>
      </w:r>
      <w:r w:rsidR="00843B24">
        <w:rPr>
          <w:rFonts w:eastAsia="Times New Roman"/>
          <w:i/>
          <w:iCs/>
          <w:sz w:val="24"/>
          <w:szCs w:val="24"/>
        </w:rPr>
        <w:t xml:space="preserve"> </w:t>
      </w:r>
      <w:r w:rsidRPr="00C9724A">
        <w:rPr>
          <w:rFonts w:eastAsia="Times New Roman"/>
          <w:i/>
          <w:iCs/>
          <w:sz w:val="24"/>
          <w:szCs w:val="24"/>
        </w:rPr>
        <w:t>„A.Strupiša juridiskais birojs” SIA, 2003, 143.-152.lpp.</w:t>
      </w:r>
      <w:r w:rsidRPr="00C9724A">
        <w:rPr>
          <w:rFonts w:eastAsia="Times New Roman"/>
          <w:sz w:val="24"/>
          <w:szCs w:val="24"/>
        </w:rPr>
        <w:t>).</w:t>
      </w:r>
    </w:p>
    <w:p w:rsidR="00032CF1" w:rsidRPr="00C9724A" w:rsidRDefault="006E219F" w:rsidP="00C9724A">
      <w:pPr>
        <w:shd w:val="clear" w:color="auto" w:fill="FFFFFF"/>
        <w:spacing w:line="276" w:lineRule="auto"/>
        <w:ind w:right="10" w:firstLine="566"/>
        <w:jc w:val="both"/>
        <w:rPr>
          <w:sz w:val="24"/>
          <w:szCs w:val="24"/>
        </w:rPr>
      </w:pPr>
      <w:r w:rsidRPr="00C9724A">
        <w:rPr>
          <w:sz w:val="24"/>
          <w:szCs w:val="24"/>
        </w:rPr>
        <w:t>[7.6] Tiesa p</w:t>
      </w:r>
      <w:r w:rsidRPr="00C9724A">
        <w:rPr>
          <w:rFonts w:eastAsia="Times New Roman"/>
          <w:sz w:val="24"/>
          <w:szCs w:val="24"/>
        </w:rPr>
        <w:t xml:space="preserve">ārbaudāmajā spriedumā rūpīgi ir izvērtējusi apstākļus, kas attiecas uz SIA „ICTA” slēgtajiem darījumiem kompānijai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nodrošināto loģistikas pakalpojumu ietvaros 2011.-2013.gadā un nav konstatējusi tādu atbildētāja rīcību, kas neatbilstu saprātīgai komercdarbības praksei. Kasācijas sūdzībā šādā aspektā apelācijas instances tiesas secinājumi arī nav apstrīdēti.</w:t>
      </w:r>
    </w:p>
    <w:p w:rsidR="00032CF1" w:rsidRPr="00C9724A" w:rsidRDefault="006E219F" w:rsidP="00C9724A">
      <w:pPr>
        <w:shd w:val="clear" w:color="auto" w:fill="FFFFFF"/>
        <w:spacing w:line="276" w:lineRule="auto"/>
        <w:ind w:right="10" w:firstLine="566"/>
        <w:jc w:val="both"/>
        <w:rPr>
          <w:sz w:val="24"/>
          <w:szCs w:val="24"/>
        </w:rPr>
      </w:pPr>
      <w:r w:rsidRPr="00C9724A">
        <w:rPr>
          <w:rFonts w:eastAsia="Times New Roman"/>
          <w:sz w:val="24"/>
          <w:szCs w:val="24"/>
        </w:rPr>
        <w:t>Šādos apstākļos, kad peļņu nenesošs darījums ietilpst darījumu ķēdē vienota biznesa plāna ietvaros, kas kopumā realizējies sekmīgi – gūstot peļņu, Komerclikuma 169.panta otrās daļas piemērošanai nav pamata, jo zaudējumu nodarīšana minētās normas izpratnē nav konstatējama.</w:t>
      </w:r>
    </w:p>
    <w:p w:rsidR="00C9724A" w:rsidRDefault="00C9724A" w:rsidP="00C9724A">
      <w:pPr>
        <w:shd w:val="clear" w:color="auto" w:fill="FFFFFF"/>
        <w:spacing w:line="276" w:lineRule="auto"/>
        <w:ind w:right="5" w:firstLine="566"/>
        <w:jc w:val="both"/>
        <w:rPr>
          <w:sz w:val="24"/>
          <w:szCs w:val="24"/>
        </w:rPr>
      </w:pP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[8] Nav pamatots kas</w:t>
      </w:r>
      <w:r w:rsidRPr="00C9724A">
        <w:rPr>
          <w:rFonts w:eastAsia="Times New Roman"/>
          <w:sz w:val="24"/>
          <w:szCs w:val="24"/>
        </w:rPr>
        <w:t xml:space="preserve">ācijas sūdzības arguments par papildu pierādījumu (01.02.2012., 14.09.2012., 07.09.2012. rēķini, 20.07.2011. līgums starp kompāniju </w:t>
      </w:r>
      <w:proofErr w:type="spellStart"/>
      <w:r w:rsidRPr="00C9724A">
        <w:rPr>
          <w:rFonts w:eastAsia="Times New Roman"/>
          <w:sz w:val="24"/>
          <w:szCs w:val="24"/>
        </w:rPr>
        <w:t>Premium</w:t>
      </w:r>
      <w:proofErr w:type="spellEnd"/>
      <w:r w:rsidRPr="00C9724A">
        <w:rPr>
          <w:rFonts w:eastAsia="Times New Roman"/>
          <w:sz w:val="24"/>
          <w:szCs w:val="24"/>
        </w:rPr>
        <w:t xml:space="preserve"> </w:t>
      </w:r>
      <w:proofErr w:type="spellStart"/>
      <w:r w:rsidRPr="00C9724A">
        <w:rPr>
          <w:rFonts w:eastAsia="Times New Roman"/>
          <w:sz w:val="24"/>
          <w:szCs w:val="24"/>
        </w:rPr>
        <w:t>Beverages</w:t>
      </w:r>
      <w:proofErr w:type="spellEnd"/>
      <w:r w:rsidRPr="00C9724A">
        <w:rPr>
          <w:rFonts w:eastAsia="Times New Roman"/>
          <w:sz w:val="24"/>
          <w:szCs w:val="24"/>
        </w:rPr>
        <w:t xml:space="preserve"> </w:t>
      </w:r>
      <w:proofErr w:type="spellStart"/>
      <w:r w:rsidRPr="00C9724A">
        <w:rPr>
          <w:rFonts w:eastAsia="Times New Roman"/>
          <w:sz w:val="24"/>
          <w:szCs w:val="24"/>
        </w:rPr>
        <w:t>International</w:t>
      </w:r>
      <w:proofErr w:type="spellEnd"/>
      <w:r w:rsidRPr="00C9724A">
        <w:rPr>
          <w:rFonts w:eastAsia="Times New Roman"/>
          <w:sz w:val="24"/>
          <w:szCs w:val="24"/>
        </w:rPr>
        <w:t xml:space="preserve"> </w:t>
      </w:r>
      <w:proofErr w:type="spellStart"/>
      <w:r w:rsidRPr="00C9724A">
        <w:rPr>
          <w:rFonts w:eastAsia="Times New Roman"/>
          <w:sz w:val="24"/>
          <w:szCs w:val="24"/>
        </w:rPr>
        <w:t>Ltd</w:t>
      </w:r>
      <w:proofErr w:type="spellEnd"/>
      <w:r w:rsidRPr="00C9724A">
        <w:rPr>
          <w:rFonts w:eastAsia="Times New Roman"/>
          <w:sz w:val="24"/>
          <w:szCs w:val="24"/>
        </w:rPr>
        <w:t>. un uzņēmumu „</w:t>
      </w:r>
      <w:proofErr w:type="spellStart"/>
      <w:r w:rsidRPr="00C9724A">
        <w:rPr>
          <w:rFonts w:eastAsia="Times New Roman"/>
          <w:sz w:val="24"/>
          <w:szCs w:val="24"/>
        </w:rPr>
        <w:t>Gosseline</w:t>
      </w:r>
      <w:proofErr w:type="spellEnd"/>
      <w:r w:rsidRPr="00C9724A">
        <w:rPr>
          <w:rFonts w:eastAsia="Times New Roman"/>
          <w:sz w:val="24"/>
          <w:szCs w:val="24"/>
        </w:rPr>
        <w:t xml:space="preserve"> </w:t>
      </w:r>
      <w:proofErr w:type="spellStart"/>
      <w:r w:rsidRPr="00C9724A">
        <w:rPr>
          <w:rFonts w:eastAsia="Times New Roman"/>
          <w:sz w:val="24"/>
          <w:szCs w:val="24"/>
        </w:rPr>
        <w:t>Logistics</w:t>
      </w:r>
      <w:proofErr w:type="spellEnd"/>
      <w:r w:rsidRPr="00C9724A">
        <w:rPr>
          <w:rFonts w:eastAsia="Times New Roman"/>
          <w:sz w:val="24"/>
          <w:szCs w:val="24"/>
        </w:rPr>
        <w:t>”) nepieņemšanu 2017.gada 19.decembra tiesas sēdē kā Civilprocesa likuma 93.pantā un Satversmes 92.pantā prasītājai garantēto tiesību uz taisnīgu tiesu pārkāpumu.</w:t>
      </w:r>
    </w:p>
    <w:p w:rsidR="00032CF1" w:rsidRPr="00C9724A" w:rsidRDefault="006E219F" w:rsidP="00C9724A">
      <w:pPr>
        <w:shd w:val="clear" w:color="auto" w:fill="FFFFFF"/>
        <w:spacing w:line="276" w:lineRule="auto"/>
        <w:ind w:right="10" w:firstLine="566"/>
        <w:jc w:val="both"/>
        <w:rPr>
          <w:sz w:val="24"/>
          <w:szCs w:val="24"/>
        </w:rPr>
      </w:pPr>
      <w:r w:rsidRPr="00C9724A">
        <w:rPr>
          <w:sz w:val="24"/>
          <w:szCs w:val="24"/>
        </w:rPr>
        <w:t>[8.1] Atbilsto</w:t>
      </w:r>
      <w:r w:rsidRPr="00C9724A">
        <w:rPr>
          <w:rFonts w:eastAsia="Times New Roman"/>
          <w:sz w:val="24"/>
          <w:szCs w:val="24"/>
        </w:rPr>
        <w:t xml:space="preserve">ši Civilprocesa likuma 430.panta ceturtajai daļai, ja apelācijas instances tiesā </w:t>
      </w:r>
      <w:r w:rsidRPr="00C9724A">
        <w:rPr>
          <w:rFonts w:eastAsia="Times New Roman"/>
          <w:spacing w:val="-1"/>
          <w:sz w:val="24"/>
          <w:szCs w:val="24"/>
        </w:rPr>
        <w:t xml:space="preserve">lietas dalībnieks iesniedz pierādījumus, kurus viņam bija iespējams pieteikt lietas izskatīšanā pirmās </w:t>
      </w:r>
      <w:r w:rsidRPr="00C9724A">
        <w:rPr>
          <w:rFonts w:eastAsia="Times New Roman"/>
          <w:sz w:val="24"/>
          <w:szCs w:val="24"/>
        </w:rPr>
        <w:t>instances tiesā, un ja apelācijas instances tiesa nekonstatē attaisnojošus iemeslus, kāpēc pierādījumi netika iesniegti pirmās instances tiesā, apelācijas instances tiesa pierādījumus nepieņem.</w:t>
      </w:r>
    </w:p>
    <w:p w:rsidR="00032CF1" w:rsidRPr="00C9724A" w:rsidRDefault="006E219F" w:rsidP="00C9724A">
      <w:pPr>
        <w:shd w:val="clear" w:color="auto" w:fill="FFFFFF"/>
        <w:spacing w:line="276" w:lineRule="auto"/>
        <w:ind w:right="10" w:firstLine="566"/>
        <w:jc w:val="both"/>
        <w:rPr>
          <w:sz w:val="24"/>
          <w:szCs w:val="24"/>
        </w:rPr>
      </w:pPr>
      <w:r w:rsidRPr="00C9724A">
        <w:rPr>
          <w:sz w:val="24"/>
          <w:szCs w:val="24"/>
        </w:rPr>
        <w:t>Apel</w:t>
      </w:r>
      <w:r w:rsidRPr="00C9724A">
        <w:rPr>
          <w:rFonts w:eastAsia="Times New Roman"/>
          <w:sz w:val="24"/>
          <w:szCs w:val="24"/>
        </w:rPr>
        <w:t>ācijas instances tiesa pierādījumus pārbauda un izvērtē, ņemot vērā Civilprocesa likumā ietvertos vispārīgos noteikumus par pierādījumiem (Civilprocesa likuma 430.panta otrā daļa).</w:t>
      </w:r>
    </w:p>
    <w:p w:rsidR="00032CF1" w:rsidRPr="00C9724A" w:rsidRDefault="006E219F" w:rsidP="00C9724A">
      <w:pPr>
        <w:shd w:val="clear" w:color="auto" w:fill="FFFFFF"/>
        <w:spacing w:line="276" w:lineRule="auto"/>
        <w:ind w:right="10" w:firstLine="566"/>
        <w:jc w:val="both"/>
        <w:rPr>
          <w:sz w:val="24"/>
          <w:szCs w:val="24"/>
        </w:rPr>
      </w:pPr>
      <w:r w:rsidRPr="00C9724A">
        <w:rPr>
          <w:sz w:val="24"/>
          <w:szCs w:val="24"/>
        </w:rPr>
        <w:t>[8.2] K</w:t>
      </w:r>
      <w:r w:rsidRPr="00C9724A">
        <w:rPr>
          <w:rFonts w:eastAsia="Times New Roman"/>
          <w:sz w:val="24"/>
          <w:szCs w:val="24"/>
        </w:rPr>
        <w:t>ā redzams no 2017.gada 19.decembra tiesas sēdes protokola, apelācijas instances tiesa, atsaucoties uz Civilprocesa likuma 430. un 94</w:t>
      </w:r>
      <w:r w:rsidR="00C9724A">
        <w:rPr>
          <w:rFonts w:eastAsia="Times New Roman"/>
          <w:sz w:val="24"/>
          <w:szCs w:val="24"/>
        </w:rPr>
        <w:t>.</w:t>
      </w:r>
      <w:r w:rsidRPr="00C9724A">
        <w:rPr>
          <w:rFonts w:eastAsia="Times New Roman"/>
          <w:sz w:val="24"/>
          <w:szCs w:val="24"/>
        </w:rPr>
        <w:t xml:space="preserve">pantu, prasītāja papildu iesniegtos pierādījumus novērtējusi kā tādus, kuri neattiecas uz izskatāmās prasības priekšmetu. Bez tam </w:t>
      </w:r>
      <w:r w:rsidRPr="00C9724A">
        <w:rPr>
          <w:rFonts w:eastAsia="Times New Roman"/>
          <w:sz w:val="24"/>
          <w:szCs w:val="24"/>
        </w:rPr>
        <w:lastRenderedPageBreak/>
        <w:t xml:space="preserve">tiesa </w:t>
      </w:r>
      <w:r w:rsidRPr="00C9724A">
        <w:rPr>
          <w:rFonts w:eastAsia="Times New Roman"/>
          <w:spacing w:val="-1"/>
          <w:sz w:val="24"/>
          <w:szCs w:val="24"/>
        </w:rPr>
        <w:t>nav konstatējusi attaisnojošus iemeslus to neiesniegšanai pirmās instances tiesā (</w:t>
      </w:r>
      <w:r w:rsidRPr="00C9724A">
        <w:rPr>
          <w:rFonts w:eastAsia="Times New Roman"/>
          <w:i/>
          <w:iCs/>
          <w:spacing w:val="-1"/>
          <w:sz w:val="24"/>
          <w:szCs w:val="24"/>
        </w:rPr>
        <w:t xml:space="preserve">skat. lietas 16. sēj., </w:t>
      </w:r>
      <w:r w:rsidRPr="00C9724A">
        <w:rPr>
          <w:rFonts w:eastAsia="Times New Roman"/>
          <w:i/>
          <w:iCs/>
          <w:sz w:val="24"/>
          <w:szCs w:val="24"/>
        </w:rPr>
        <w:t>126.lpp.</w:t>
      </w:r>
      <w:r w:rsidRPr="00C9724A">
        <w:rPr>
          <w:rFonts w:eastAsia="Times New Roman"/>
          <w:sz w:val="24"/>
          <w:szCs w:val="24"/>
        </w:rPr>
        <w:t>).</w:t>
      </w:r>
    </w:p>
    <w:p w:rsidR="00032CF1" w:rsidRPr="00C9724A" w:rsidRDefault="006E219F" w:rsidP="00C9724A">
      <w:pPr>
        <w:shd w:val="clear" w:color="auto" w:fill="FFFFFF"/>
        <w:spacing w:line="276" w:lineRule="auto"/>
        <w:ind w:firstLine="566"/>
        <w:jc w:val="both"/>
        <w:rPr>
          <w:sz w:val="24"/>
          <w:szCs w:val="24"/>
        </w:rPr>
      </w:pPr>
      <w:r w:rsidRPr="00C9724A">
        <w:rPr>
          <w:sz w:val="24"/>
          <w:szCs w:val="24"/>
        </w:rPr>
        <w:t>T</w:t>
      </w:r>
      <w:r w:rsidRPr="00C9724A">
        <w:rPr>
          <w:rFonts w:eastAsia="Times New Roman"/>
          <w:sz w:val="24"/>
          <w:szCs w:val="24"/>
        </w:rPr>
        <w:t>ādējādi kasācijas sūdzībā nepareizi kā iemesls pierādījumu nepieņemšanai norādīts to neiesniegšana likumā noteiktajā termiņā, kura sekas paredzētas Civilprocesa likuma 93.panta 3.</w:t>
      </w:r>
      <w:r w:rsidRPr="00C9724A">
        <w:rPr>
          <w:rFonts w:eastAsia="Times New Roman"/>
          <w:sz w:val="24"/>
          <w:szCs w:val="24"/>
          <w:vertAlign w:val="superscript"/>
        </w:rPr>
        <w:t xml:space="preserve">2 </w:t>
      </w:r>
      <w:r w:rsidRPr="00C9724A">
        <w:rPr>
          <w:rFonts w:eastAsia="Times New Roman"/>
          <w:sz w:val="24"/>
          <w:szCs w:val="24"/>
        </w:rPr>
        <w:t>un 3.</w:t>
      </w:r>
      <w:r w:rsidRPr="00C9724A">
        <w:rPr>
          <w:rFonts w:eastAsia="Times New Roman"/>
          <w:sz w:val="24"/>
          <w:szCs w:val="24"/>
          <w:vertAlign w:val="superscript"/>
        </w:rPr>
        <w:t>3</w:t>
      </w:r>
      <w:r w:rsidRPr="00C9724A">
        <w:rPr>
          <w:rFonts w:eastAsia="Times New Roman"/>
          <w:sz w:val="24"/>
          <w:szCs w:val="24"/>
        </w:rPr>
        <w:t xml:space="preserve"> daļā.</w:t>
      </w:r>
    </w:p>
    <w:p w:rsidR="00032CF1" w:rsidRPr="00C9724A" w:rsidRDefault="006E219F" w:rsidP="00C9724A">
      <w:pPr>
        <w:shd w:val="clear" w:color="auto" w:fill="FFFFFF"/>
        <w:spacing w:line="276" w:lineRule="auto"/>
        <w:ind w:right="10" w:firstLine="566"/>
        <w:jc w:val="both"/>
        <w:rPr>
          <w:sz w:val="24"/>
          <w:szCs w:val="24"/>
        </w:rPr>
      </w:pPr>
      <w:r w:rsidRPr="00C9724A">
        <w:rPr>
          <w:spacing w:val="-1"/>
          <w:sz w:val="24"/>
          <w:szCs w:val="24"/>
        </w:rPr>
        <w:t>[8.3] Konkr</w:t>
      </w:r>
      <w:r w:rsidRPr="00C9724A">
        <w:rPr>
          <w:rFonts w:eastAsia="Times New Roman"/>
          <w:spacing w:val="-1"/>
          <w:sz w:val="24"/>
          <w:szCs w:val="24"/>
        </w:rPr>
        <w:t xml:space="preserve">ētajā gadījumā apelācijas instances tiesas vērtējums atbilstoši Civilprocesa likuma </w:t>
      </w:r>
      <w:r w:rsidRPr="00C9724A">
        <w:rPr>
          <w:rFonts w:eastAsia="Times New Roman"/>
          <w:sz w:val="24"/>
          <w:szCs w:val="24"/>
        </w:rPr>
        <w:t>94.pantam ir pietiekams pamats atteikumam pievienot pierādījumus lietas materiāliem. Tāpat jāpiekrīt, ka situācijā, kad prasība celta 2014.gada 22.jūlijā, ar 2017.gada septembrī pašas prasītājas veiktu uzņēmuma revīziju jaunu, būtisku pierādījumu pieteikšana prasības pamatošanai nav attaisnojama.</w:t>
      </w:r>
    </w:p>
    <w:p w:rsidR="00C9724A" w:rsidRDefault="00C9724A" w:rsidP="00C9724A">
      <w:pPr>
        <w:shd w:val="clear" w:color="auto" w:fill="FFFFFF"/>
        <w:spacing w:line="276" w:lineRule="auto"/>
        <w:ind w:left="566"/>
        <w:rPr>
          <w:sz w:val="24"/>
          <w:szCs w:val="24"/>
        </w:rPr>
      </w:pPr>
    </w:p>
    <w:p w:rsidR="00032CF1" w:rsidRPr="00C9724A" w:rsidRDefault="006E219F" w:rsidP="00C9724A">
      <w:pPr>
        <w:shd w:val="clear" w:color="auto" w:fill="FFFFFF"/>
        <w:spacing w:line="276" w:lineRule="auto"/>
        <w:ind w:firstLine="567"/>
        <w:jc w:val="both"/>
        <w:rPr>
          <w:sz w:val="24"/>
          <w:szCs w:val="24"/>
        </w:rPr>
      </w:pPr>
      <w:r w:rsidRPr="00C9724A">
        <w:rPr>
          <w:sz w:val="24"/>
          <w:szCs w:val="24"/>
        </w:rPr>
        <w:t>[9] Civilprocesa likuma 450.panta tre</w:t>
      </w:r>
      <w:r w:rsidRPr="00C9724A">
        <w:rPr>
          <w:rFonts w:eastAsia="Times New Roman"/>
          <w:sz w:val="24"/>
          <w:szCs w:val="24"/>
        </w:rPr>
        <w:t>šā daļa noteic, ka kasācijas kārtībā var pārsūdzēt</w:t>
      </w:r>
      <w:r w:rsidR="00C9724A">
        <w:rPr>
          <w:rFonts w:eastAsia="Times New Roman"/>
          <w:sz w:val="24"/>
          <w:szCs w:val="24"/>
        </w:rPr>
        <w:t xml:space="preserve"> </w:t>
      </w:r>
      <w:r w:rsidRPr="00C9724A">
        <w:rPr>
          <w:spacing w:val="-1"/>
          <w:sz w:val="24"/>
          <w:szCs w:val="24"/>
        </w:rPr>
        <w:t>apel</w:t>
      </w:r>
      <w:r w:rsidRPr="00C9724A">
        <w:rPr>
          <w:rFonts w:eastAsia="Times New Roman"/>
          <w:spacing w:val="-1"/>
          <w:sz w:val="24"/>
          <w:szCs w:val="24"/>
        </w:rPr>
        <w:t xml:space="preserve">ācijas instances tiesas spriedumu, ja tiesa nepareizi piemērojusi vai iztulkojusi materiālo tiesību </w:t>
      </w:r>
      <w:r w:rsidRPr="00C9724A">
        <w:rPr>
          <w:rFonts w:eastAsia="Times New Roman"/>
          <w:sz w:val="24"/>
          <w:szCs w:val="24"/>
        </w:rPr>
        <w:t>normu, pārkāpusi procesuālo tiesību normu vai, izskatot lietu, pārsniegusi savas kompetences robežas. No minētās tiesību normas izriet, ka kasācijas instances tiesa neizspriež lietu pēc būtības, bet pārbauda lietā taisītā apelācijas instances tiesas sprieduma atbilstību tiesību normām, t.i., kasācijas instances tiesas kompetencē neietilpst lietas faktisko apstākļu noskaidrošana, pierādījumu pārbaude un vērtēšana, t.sk., pierādījumu pārvērtēšana.</w:t>
      </w:r>
    </w:p>
    <w:p w:rsidR="00032CF1" w:rsidRPr="00C9724A" w:rsidRDefault="006E219F" w:rsidP="00C9724A">
      <w:pPr>
        <w:shd w:val="clear" w:color="auto" w:fill="FFFFFF"/>
        <w:spacing w:line="276" w:lineRule="auto"/>
        <w:ind w:right="5" w:firstLine="566"/>
        <w:jc w:val="both"/>
        <w:rPr>
          <w:sz w:val="24"/>
          <w:szCs w:val="24"/>
        </w:rPr>
      </w:pPr>
      <w:r w:rsidRPr="00C9724A">
        <w:rPr>
          <w:sz w:val="24"/>
          <w:szCs w:val="24"/>
        </w:rPr>
        <w:t>Sen</w:t>
      </w:r>
      <w:r w:rsidRPr="00C9724A">
        <w:rPr>
          <w:rFonts w:eastAsia="Times New Roman"/>
          <w:sz w:val="24"/>
          <w:szCs w:val="24"/>
        </w:rPr>
        <w:t>āts atzīst, ka kasācijas sūdzības arguments par 2011.gada 1.marta kravas pārvadāšanas līguma neatbilstību ekspedīcijas līguma būtībai ir vērsts uz lietā esošo pierādījumu pārvērtēšanu. Apelācijas instances tiesa minēto līgumu ir vērtējusi atbilstoši Civilprocesa likuma 97.panta prasībām, savukārt pierādījumu pārvērtēšana neietilpst kasācijas instances kompetencē.</w:t>
      </w:r>
    </w:p>
    <w:p w:rsidR="00032CF1" w:rsidRPr="00C9724A" w:rsidRDefault="006E219F" w:rsidP="00C9724A">
      <w:pPr>
        <w:shd w:val="clear" w:color="auto" w:fill="FFFFFF"/>
        <w:spacing w:before="120" w:after="120" w:line="276" w:lineRule="auto"/>
        <w:jc w:val="center"/>
        <w:rPr>
          <w:sz w:val="24"/>
          <w:szCs w:val="24"/>
        </w:rPr>
      </w:pPr>
      <w:r w:rsidRPr="00C9724A">
        <w:rPr>
          <w:b/>
          <w:bCs/>
          <w:sz w:val="24"/>
          <w:szCs w:val="24"/>
        </w:rPr>
        <w:t>Rezolut</w:t>
      </w:r>
      <w:r w:rsidRPr="00C9724A">
        <w:rPr>
          <w:rFonts w:eastAsia="Times New Roman"/>
          <w:b/>
          <w:bCs/>
          <w:sz w:val="24"/>
          <w:szCs w:val="24"/>
        </w:rPr>
        <w:t>īvā daļa</w:t>
      </w:r>
    </w:p>
    <w:p w:rsidR="00032CF1" w:rsidRPr="00C9724A" w:rsidRDefault="006E219F" w:rsidP="00C9724A">
      <w:pPr>
        <w:shd w:val="clear" w:color="auto" w:fill="FFFFFF"/>
        <w:spacing w:line="276" w:lineRule="auto"/>
        <w:ind w:left="566"/>
        <w:rPr>
          <w:sz w:val="24"/>
          <w:szCs w:val="24"/>
        </w:rPr>
      </w:pPr>
      <w:r w:rsidRPr="00C9724A">
        <w:rPr>
          <w:spacing w:val="-1"/>
          <w:sz w:val="24"/>
          <w:szCs w:val="24"/>
        </w:rPr>
        <w:t>Pamatojoties uz Civilprocesa likuma 474. panta 1. punktu, Sen</w:t>
      </w:r>
      <w:r w:rsidRPr="00C9724A">
        <w:rPr>
          <w:rFonts w:eastAsia="Times New Roman"/>
          <w:spacing w:val="-1"/>
          <w:sz w:val="24"/>
          <w:szCs w:val="24"/>
        </w:rPr>
        <w:t>āts</w:t>
      </w:r>
    </w:p>
    <w:p w:rsidR="00032CF1" w:rsidRPr="00C9724A" w:rsidRDefault="006E219F" w:rsidP="00C9724A">
      <w:pPr>
        <w:shd w:val="clear" w:color="auto" w:fill="FFFFFF"/>
        <w:spacing w:before="120" w:after="120" w:line="276" w:lineRule="auto"/>
        <w:jc w:val="center"/>
        <w:rPr>
          <w:sz w:val="24"/>
          <w:szCs w:val="24"/>
        </w:rPr>
      </w:pPr>
      <w:r w:rsidRPr="00C9724A">
        <w:rPr>
          <w:b/>
          <w:bCs/>
          <w:sz w:val="24"/>
          <w:szCs w:val="24"/>
        </w:rPr>
        <w:t>nosprieda</w:t>
      </w:r>
    </w:p>
    <w:p w:rsidR="00C9724A" w:rsidRDefault="006E219F" w:rsidP="00C9724A">
      <w:pPr>
        <w:shd w:val="clear" w:color="auto" w:fill="FFFFFF"/>
        <w:spacing w:line="276" w:lineRule="auto"/>
        <w:ind w:firstLine="567"/>
        <w:jc w:val="both"/>
        <w:rPr>
          <w:rFonts w:eastAsia="Times New Roman"/>
          <w:sz w:val="24"/>
          <w:szCs w:val="24"/>
        </w:rPr>
      </w:pPr>
      <w:r w:rsidRPr="00C9724A">
        <w:rPr>
          <w:sz w:val="24"/>
          <w:szCs w:val="24"/>
        </w:rPr>
        <w:t>R</w:t>
      </w:r>
      <w:r w:rsidRPr="00C9724A">
        <w:rPr>
          <w:rFonts w:eastAsia="Times New Roman"/>
          <w:sz w:val="24"/>
          <w:szCs w:val="24"/>
        </w:rPr>
        <w:t>īgas apgabaltiesas Civillietu tiesas kolēģijas 2018.gada 2.janvāra spriedumu</w:t>
      </w:r>
      <w:r w:rsidR="00C9724A">
        <w:rPr>
          <w:rFonts w:eastAsia="Times New Roman"/>
          <w:sz w:val="24"/>
          <w:szCs w:val="24"/>
        </w:rPr>
        <w:t xml:space="preserve"> </w:t>
      </w:r>
      <w:r w:rsidRPr="00C9724A">
        <w:rPr>
          <w:rFonts w:eastAsia="Times New Roman"/>
          <w:sz w:val="24"/>
          <w:szCs w:val="24"/>
        </w:rPr>
        <w:t>atstāt negrozītu, bet SIA „ICTA” kasācijas sūdzību noraidīt.</w:t>
      </w:r>
    </w:p>
    <w:p w:rsidR="006E219F" w:rsidRPr="00C9724A" w:rsidRDefault="006E219F" w:rsidP="00C9724A">
      <w:pPr>
        <w:shd w:val="clear" w:color="auto" w:fill="FFFFFF"/>
        <w:spacing w:line="276" w:lineRule="auto"/>
        <w:ind w:firstLine="567"/>
        <w:jc w:val="both"/>
        <w:rPr>
          <w:sz w:val="24"/>
          <w:szCs w:val="24"/>
        </w:rPr>
      </w:pPr>
      <w:r w:rsidRPr="00C9724A">
        <w:rPr>
          <w:rFonts w:eastAsia="Times New Roman"/>
          <w:sz w:val="24"/>
          <w:szCs w:val="24"/>
        </w:rPr>
        <w:t>Spriedums nav pārsūdzams.</w:t>
      </w:r>
    </w:p>
    <w:sectPr w:rsidR="006E219F" w:rsidRPr="00C9724A" w:rsidSect="00C9724A">
      <w:pgSz w:w="11909" w:h="16834"/>
      <w:pgMar w:top="1134" w:right="1134" w:bottom="1418" w:left="1707"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7C"/>
    <w:rsid w:val="00032CF1"/>
    <w:rsid w:val="00370E6B"/>
    <w:rsid w:val="00690917"/>
    <w:rsid w:val="006E219F"/>
    <w:rsid w:val="00843B24"/>
    <w:rsid w:val="00C37A7C"/>
    <w:rsid w:val="00C972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30AEE"/>
  <w14:defaultImageDpi w14:val="0"/>
  <w15:docId w15:val="{794118C9-AD2E-4F0B-9366-4CAA8F56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B24"/>
    <w:rPr>
      <w:color w:val="0000FF"/>
      <w:u w:val="single"/>
    </w:rPr>
  </w:style>
  <w:style w:type="character" w:styleId="Strong">
    <w:name w:val="Strong"/>
    <w:basedOn w:val="DefaultParagraphFont"/>
    <w:uiPriority w:val="22"/>
    <w:qFormat/>
    <w:rsid w:val="00843B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s.ta.gov.lv/tisreal?Form=TEMPLATEEDIT&amp;task=new&amp;tasktwo=newtemplfromoriginal&amp;fileid=68534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14345</Words>
  <Characters>8177</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cp:revision>
  <dcterms:created xsi:type="dcterms:W3CDTF">2019-07-02T10:42:00Z</dcterms:created>
  <dcterms:modified xsi:type="dcterms:W3CDTF">2019-07-09T13:43:00Z</dcterms:modified>
</cp:coreProperties>
</file>