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F3A5" w14:textId="77777777" w:rsidR="00A64166" w:rsidRDefault="00A64166" w:rsidP="00A64166">
      <w:pPr>
        <w:spacing w:line="276" w:lineRule="auto"/>
        <w:jc w:val="both"/>
      </w:pPr>
      <w:r w:rsidRPr="00F43E2B">
        <w:rPr>
          <w:rFonts w:ascii="TimesNewRomanPSMT" w:hAnsi="TimesNewRomanPSMT"/>
          <w:b/>
          <w:bCs/>
        </w:rPr>
        <w:t>Tiesības uz atlīdzinājumu īpašā upura dēļ</w:t>
      </w:r>
    </w:p>
    <w:p w14:paraId="45EDD1CA" w14:textId="77777777" w:rsidR="00A64166" w:rsidRDefault="00A64166" w:rsidP="00A64166">
      <w:pPr>
        <w:spacing w:line="276" w:lineRule="auto"/>
        <w:jc w:val="both"/>
      </w:pPr>
      <w:r>
        <w:t xml:space="preserve">Latvijas Republikas Satversme prasa apsvērt nepieciešamību atlīdzināt zaudējumus arī tādos gadījumos, kad tas radies tiesiska administratīvā akta vai faktiskās rīcības dēļ, proti, atsevišķos gadījumos, ņemot vērā taisnīguma apsvērumus, ir jālemj par iespējamā zaudējuma atlīdzināšanu personai arī tad, ja valsts pārvaldes rīcība atbilst tiesību normām un nav konstatējams prettiesiskums. </w:t>
      </w:r>
      <w:bookmarkStart w:id="0" w:name="_GoBack"/>
      <w:bookmarkEnd w:id="0"/>
    </w:p>
    <w:p w14:paraId="5DAE4A49" w14:textId="4C256FB3" w:rsidR="00104F92" w:rsidRDefault="00A64166" w:rsidP="00A64166">
      <w:pPr>
        <w:spacing w:line="276" w:lineRule="auto"/>
        <w:jc w:val="both"/>
      </w:pPr>
      <w:r>
        <w:t>Katrs tiesību ierobežojums, kas radīts ar tiesisku iestādes darbību, nav jāatlīdzina. Tiesas uzdevums ir vērtēt, vai pastāv tāds personas tiesību ierobežojums, kas tai atšķirībā no citām personām uzliek sevišķu, ārkārtēju nastu vai liek paciest no citām personām atšķirīgu, sevišķu, ārkārtēju kaitējumu.</w:t>
      </w:r>
    </w:p>
    <w:p w14:paraId="6BA811EB" w14:textId="77777777" w:rsidR="00104F92" w:rsidRDefault="00104F92" w:rsidP="00104F92">
      <w:pPr>
        <w:spacing w:line="276" w:lineRule="auto"/>
        <w:jc w:val="right"/>
      </w:pPr>
    </w:p>
    <w:p w14:paraId="7328BF89" w14:textId="642E4231" w:rsidR="00B178D8" w:rsidRDefault="00B178D8" w:rsidP="00B178D8">
      <w:pPr>
        <w:spacing w:line="276" w:lineRule="auto"/>
        <w:jc w:val="center"/>
        <w:rPr>
          <w:b/>
        </w:rPr>
      </w:pPr>
      <w:r w:rsidRPr="003C6CBE">
        <w:rPr>
          <w:b/>
        </w:rPr>
        <w:t>Latvijas Republikas Senāt</w:t>
      </w:r>
      <w:r w:rsidR="00104F92">
        <w:rPr>
          <w:b/>
        </w:rPr>
        <w:t>a</w:t>
      </w:r>
    </w:p>
    <w:p w14:paraId="1CB03FE5" w14:textId="3382CE13" w:rsidR="00104F92" w:rsidRDefault="00104F92" w:rsidP="00B178D8">
      <w:pPr>
        <w:spacing w:line="276" w:lineRule="auto"/>
        <w:jc w:val="center"/>
        <w:rPr>
          <w:b/>
        </w:rPr>
      </w:pPr>
      <w:r>
        <w:rPr>
          <w:b/>
        </w:rPr>
        <w:t>Administratīvo lietu departamenta</w:t>
      </w:r>
    </w:p>
    <w:p w14:paraId="3C28787C" w14:textId="08610906" w:rsidR="00104F92" w:rsidRPr="003C6CBE" w:rsidRDefault="00104F92" w:rsidP="00B178D8">
      <w:pPr>
        <w:spacing w:line="276" w:lineRule="auto"/>
        <w:jc w:val="center"/>
        <w:rPr>
          <w:b/>
        </w:rPr>
      </w:pPr>
      <w:r>
        <w:rPr>
          <w:b/>
        </w:rPr>
        <w:t>2019.gada 24.septembra</w:t>
      </w:r>
    </w:p>
    <w:p w14:paraId="7D48ECC4" w14:textId="0DA3E94C" w:rsidR="00B178D8" w:rsidRDefault="00B178D8" w:rsidP="00B178D8">
      <w:pPr>
        <w:spacing w:line="276" w:lineRule="auto"/>
        <w:jc w:val="center"/>
        <w:rPr>
          <w:b/>
        </w:rPr>
      </w:pPr>
      <w:r w:rsidRPr="003C6CBE">
        <w:rPr>
          <w:b/>
        </w:rPr>
        <w:t>LĒMUMS</w:t>
      </w:r>
    </w:p>
    <w:p w14:paraId="6439D256" w14:textId="1A07FC47" w:rsidR="00104F92" w:rsidRDefault="00104F92" w:rsidP="00B178D8">
      <w:pPr>
        <w:spacing w:line="276" w:lineRule="auto"/>
        <w:jc w:val="center"/>
        <w:rPr>
          <w:b/>
        </w:rPr>
      </w:pPr>
      <w:r>
        <w:rPr>
          <w:b/>
        </w:rPr>
        <w:t>Lieta Nr. 670010319, SKA-1528/2019</w:t>
      </w:r>
    </w:p>
    <w:p w14:paraId="3F660104" w14:textId="600613B0" w:rsidR="00104F92" w:rsidRPr="00EC3033" w:rsidRDefault="00345783" w:rsidP="00B178D8">
      <w:pPr>
        <w:spacing w:line="276" w:lineRule="auto"/>
        <w:jc w:val="center"/>
        <w:rPr>
          <w:b/>
          <w:color w:val="0000FF"/>
        </w:rPr>
      </w:pPr>
      <w:hyperlink r:id="rId6" w:history="1">
        <w:r w:rsidR="00104F92" w:rsidRPr="00EC3033">
          <w:rPr>
            <w:rStyle w:val="Hyperlink"/>
            <w:color w:val="0000FF"/>
          </w:rPr>
          <w:t>ECLI:LV:AT:2019:0924.SKA152819.4.L</w:t>
        </w:r>
      </w:hyperlink>
    </w:p>
    <w:p w14:paraId="0CF2ACB4" w14:textId="77777777" w:rsidR="00B178D8" w:rsidRPr="00287404" w:rsidRDefault="00B178D8" w:rsidP="00B178D8">
      <w:pPr>
        <w:spacing w:line="276" w:lineRule="auto"/>
        <w:jc w:val="center"/>
      </w:pPr>
    </w:p>
    <w:p w14:paraId="54D8292A" w14:textId="77777777" w:rsidR="00B178D8" w:rsidRDefault="00B178D8" w:rsidP="00B178D8">
      <w:pPr>
        <w:spacing w:line="276" w:lineRule="auto"/>
        <w:ind w:firstLine="720"/>
        <w:jc w:val="both"/>
      </w:pPr>
      <w:r>
        <w:t xml:space="preserve">Tiesa </w:t>
      </w:r>
      <w:r w:rsidRPr="008A7FEC">
        <w:t>šādā sastāvā</w:t>
      </w:r>
      <w:r w:rsidRPr="00287404">
        <w:t>:</w:t>
      </w:r>
      <w:r>
        <w:t xml:space="preserve"> senatori</w:t>
      </w:r>
      <w:r w:rsidRPr="00670032">
        <w:t xml:space="preserve"> </w:t>
      </w:r>
      <w:r>
        <w:t>Rudīte Vīduša, Dzintra Amerika, Valters Poķis</w:t>
      </w:r>
    </w:p>
    <w:p w14:paraId="03B01DCF" w14:textId="77777777" w:rsidR="00B178D8" w:rsidRPr="00287404" w:rsidRDefault="00B178D8" w:rsidP="00B178D8">
      <w:pPr>
        <w:spacing w:line="276" w:lineRule="auto"/>
        <w:ind w:firstLine="720"/>
        <w:jc w:val="both"/>
      </w:pPr>
    </w:p>
    <w:p w14:paraId="167430BE" w14:textId="70615DA5" w:rsidR="00B178D8" w:rsidRDefault="00B178D8" w:rsidP="00B178D8">
      <w:pPr>
        <w:spacing w:line="276" w:lineRule="auto"/>
        <w:ind w:firstLine="720"/>
        <w:jc w:val="both"/>
      </w:pPr>
      <w:r w:rsidRPr="00B032B6">
        <w:t xml:space="preserve">rakstveida procesā izskatīja </w:t>
      </w:r>
      <w:r w:rsidR="00DF3B52">
        <w:t>[pers. A]</w:t>
      </w:r>
      <w:r>
        <w:t xml:space="preserve"> blakus sūdzību par Administratīvās ra</w:t>
      </w:r>
      <w:r w:rsidR="00042FF2">
        <w:t>jona tiesas tiesneša 2019.gada 10</w:t>
      </w:r>
      <w:r>
        <w:t>.jūlija lēmumu, ar kuru atteikts pieņemt pieteikumu.</w:t>
      </w:r>
    </w:p>
    <w:p w14:paraId="027EB8C0" w14:textId="77777777" w:rsidR="00B178D8" w:rsidRPr="002D495D" w:rsidRDefault="00B178D8" w:rsidP="00B178D8">
      <w:pPr>
        <w:spacing w:line="276" w:lineRule="auto"/>
        <w:ind w:firstLine="720"/>
        <w:jc w:val="both"/>
        <w:rPr>
          <w:sz w:val="18"/>
          <w:szCs w:val="18"/>
        </w:rPr>
      </w:pPr>
    </w:p>
    <w:p w14:paraId="52825B6A" w14:textId="77777777" w:rsidR="00B178D8" w:rsidRPr="00287404" w:rsidRDefault="00B178D8" w:rsidP="00B178D8">
      <w:pPr>
        <w:spacing w:line="276" w:lineRule="auto"/>
        <w:jc w:val="center"/>
        <w:rPr>
          <w:b/>
        </w:rPr>
      </w:pPr>
      <w:r w:rsidRPr="00287404">
        <w:rPr>
          <w:b/>
        </w:rPr>
        <w:t>Aprakstošā daļa</w:t>
      </w:r>
    </w:p>
    <w:p w14:paraId="2256AA93" w14:textId="5E13F58F" w:rsidR="00BE759D" w:rsidRPr="00BF50A0" w:rsidRDefault="00BE759D" w:rsidP="002D495D">
      <w:pPr>
        <w:spacing w:line="276" w:lineRule="auto"/>
        <w:ind w:right="-141"/>
        <w:jc w:val="both"/>
        <w:rPr>
          <w:sz w:val="18"/>
          <w:szCs w:val="18"/>
        </w:rPr>
      </w:pPr>
    </w:p>
    <w:p w14:paraId="3EC06A48" w14:textId="69A8DEBF" w:rsidR="00B178D8" w:rsidRDefault="00BE759D" w:rsidP="00AD39EB">
      <w:pPr>
        <w:spacing w:line="276" w:lineRule="auto"/>
        <w:ind w:right="-141" w:firstLine="709"/>
        <w:jc w:val="both"/>
      </w:pPr>
      <w:r>
        <w:t xml:space="preserve">[1] </w:t>
      </w:r>
      <w:r w:rsidR="00042FF2">
        <w:t xml:space="preserve">Pieteicējai </w:t>
      </w:r>
      <w:r w:rsidR="00DF3B52">
        <w:t>[pers. A]</w:t>
      </w:r>
      <w:r w:rsidR="00042FF2">
        <w:t xml:space="preserve"> </w:t>
      </w:r>
      <w:r w:rsidR="00C4787C">
        <w:t xml:space="preserve">Ādažu novadā </w:t>
      </w:r>
      <w:r w:rsidR="00042FF2">
        <w:t>pieder</w:t>
      </w:r>
      <w:r w:rsidR="00AD39EB">
        <w:t xml:space="preserve"> nekustam</w:t>
      </w:r>
      <w:r w:rsidR="00042FF2">
        <w:t>ais ī</w:t>
      </w:r>
      <w:r w:rsidR="006D476A">
        <w:t>pašums</w:t>
      </w:r>
      <w:r w:rsidR="00616465">
        <w:t>, ko pieteicēja bija iecerējusi apbūvēt</w:t>
      </w:r>
      <w:r w:rsidR="00AD39EB">
        <w:t>.</w:t>
      </w:r>
      <w:r w:rsidR="00CD1042">
        <w:t xml:space="preserve"> Nekustamajam īpašumam blakus atrodas Ādažu militārais poligons</w:t>
      </w:r>
      <w:r w:rsidR="00B32F36">
        <w:t>, un tajā esošās regulārās mācības rada neērtības lietot nekustamo īpašumu.</w:t>
      </w:r>
    </w:p>
    <w:p w14:paraId="69B983DC" w14:textId="6EFD5344" w:rsidR="00B32F36" w:rsidRDefault="00B32F36" w:rsidP="00AD39EB">
      <w:pPr>
        <w:spacing w:line="276" w:lineRule="auto"/>
        <w:ind w:right="-141" w:firstLine="709"/>
        <w:jc w:val="both"/>
      </w:pPr>
      <w:r>
        <w:t xml:space="preserve">2019.gada 2.maijā pieteicēja vērsās Aizsardzības ministrijā ar lūgumu kompensēt </w:t>
      </w:r>
      <w:r w:rsidR="004D5F2B">
        <w:t xml:space="preserve">mantiskos </w:t>
      </w:r>
      <w:r>
        <w:t>zaudējumus</w:t>
      </w:r>
      <w:r w:rsidR="004D5F2B">
        <w:t xml:space="preserve"> un nemantisko kaitējumu</w:t>
      </w:r>
      <w:r>
        <w:t>. Aizsardzības ministrija 2019.gada 3.jūnijā ar lēmumu Nr. MV-N/1351 pieteicējas lūgumu noraidīja.</w:t>
      </w:r>
    </w:p>
    <w:p w14:paraId="0889775A" w14:textId="64634823" w:rsidR="00B447AA" w:rsidRDefault="003F00C8" w:rsidP="00B447AA">
      <w:pPr>
        <w:spacing w:line="276" w:lineRule="auto"/>
        <w:ind w:right="-141" w:firstLine="709"/>
        <w:jc w:val="both"/>
      </w:pPr>
      <w:r>
        <w:t xml:space="preserve"> </w:t>
      </w:r>
    </w:p>
    <w:p w14:paraId="79531200" w14:textId="7DCCFD94" w:rsidR="00B447AA" w:rsidRPr="00B447AA" w:rsidRDefault="00B447AA" w:rsidP="00B447AA">
      <w:pPr>
        <w:spacing w:line="276" w:lineRule="auto"/>
        <w:ind w:right="-141" w:firstLine="709"/>
        <w:jc w:val="both"/>
      </w:pPr>
      <w:r>
        <w:t>[2] Pieteicēj</w:t>
      </w:r>
      <w:r w:rsidR="00042FF2">
        <w:t>a</w:t>
      </w:r>
      <w:r>
        <w:t xml:space="preserve"> vērsās Administratīvajā rajona tiesā ar pieteikumu par </w:t>
      </w:r>
      <w:r w:rsidR="004D5F2B">
        <w:t>mantisko</w:t>
      </w:r>
      <w:r w:rsidR="00B32F36">
        <w:t xml:space="preserve"> zaudējumu un </w:t>
      </w:r>
      <w:r w:rsidR="004D5F2B">
        <w:t xml:space="preserve">nemantiskā </w:t>
      </w:r>
      <w:r w:rsidR="00B32F36">
        <w:t>kaitējuma atlīdzinājumu.</w:t>
      </w:r>
    </w:p>
    <w:p w14:paraId="5E33BA9A" w14:textId="77777777" w:rsidR="00B178D8" w:rsidRDefault="00B178D8" w:rsidP="00AE67F6">
      <w:pPr>
        <w:spacing w:line="276" w:lineRule="auto"/>
        <w:ind w:right="-141" w:firstLine="709"/>
        <w:jc w:val="both"/>
      </w:pPr>
    </w:p>
    <w:p w14:paraId="7674D72D" w14:textId="7145D610" w:rsidR="00B93B31" w:rsidRDefault="00B447AA" w:rsidP="00B447AA">
      <w:pPr>
        <w:spacing w:line="276" w:lineRule="auto"/>
        <w:ind w:right="-141" w:firstLine="709"/>
        <w:jc w:val="both"/>
      </w:pPr>
      <w:r>
        <w:t>[3] Ar Administratīvās rajona tiesas tiesneša 201</w:t>
      </w:r>
      <w:r w:rsidR="00042FF2">
        <w:t>9.gada 10</w:t>
      </w:r>
      <w:r>
        <w:t xml:space="preserve">.jūlija lēmumu pieteikumu atteikts </w:t>
      </w:r>
      <w:r w:rsidR="00B93B31">
        <w:t>pieņemt</w:t>
      </w:r>
      <w:r w:rsidR="0091384E">
        <w:t>, pamatojoties uz Administratīvā procesa</w:t>
      </w:r>
      <w:r w:rsidR="00042FF2">
        <w:t xml:space="preserve"> likuma 191.panta pirmās daļas 8</w:t>
      </w:r>
      <w:r w:rsidR="0091384E">
        <w:t>.punktu</w:t>
      </w:r>
      <w:r w:rsidR="00562132">
        <w:t>.</w:t>
      </w:r>
      <w:r>
        <w:t xml:space="preserve"> L</w:t>
      </w:r>
      <w:r w:rsidR="00685043">
        <w:t xml:space="preserve">ēmums pamatots ar to, </w:t>
      </w:r>
      <w:r w:rsidR="00042FF2">
        <w:t>ka</w:t>
      </w:r>
      <w:r w:rsidR="006B0DDF">
        <w:t xml:space="preserve"> lietā nav konstatēts prettiesisks administratīvais akts vai prettiesiska faktiskā rīcība. Līdz ar to pieteicējai nav no tiesību normām izrietošas subjektīvās tiesības prasīt zaudējumu atlīdzinājumu.</w:t>
      </w:r>
    </w:p>
    <w:p w14:paraId="7FF8285E" w14:textId="54983739" w:rsidR="00BE759D" w:rsidRPr="00BF50A0" w:rsidRDefault="00BE759D" w:rsidP="00BE759D">
      <w:pPr>
        <w:spacing w:line="276" w:lineRule="auto"/>
        <w:ind w:right="-141" w:firstLine="709"/>
        <w:jc w:val="both"/>
        <w:rPr>
          <w:sz w:val="18"/>
          <w:szCs w:val="18"/>
        </w:rPr>
      </w:pPr>
    </w:p>
    <w:p w14:paraId="7D53F3BD" w14:textId="77777777" w:rsidR="006B0DDF" w:rsidRDefault="00B447AA" w:rsidP="006B0DDF">
      <w:pPr>
        <w:spacing w:line="276" w:lineRule="auto"/>
        <w:ind w:right="-141" w:firstLine="709"/>
        <w:jc w:val="both"/>
      </w:pPr>
      <w:r>
        <w:t>[4</w:t>
      </w:r>
      <w:r w:rsidR="00BE759D">
        <w:t>]</w:t>
      </w:r>
      <w:r w:rsidR="00042FF2">
        <w:t xml:space="preserve"> Pieteicēja</w:t>
      </w:r>
      <w:r w:rsidRPr="00B447AA">
        <w:t xml:space="preserve"> par minēto tiesneša </w:t>
      </w:r>
      <w:r>
        <w:t>lēmumu iesnie</w:t>
      </w:r>
      <w:r w:rsidR="006B0DDF">
        <w:t>dza blakus sūdzību, norādot turpmāk minētos argumentus.</w:t>
      </w:r>
    </w:p>
    <w:p w14:paraId="7EAB6FEB" w14:textId="0D66BDA4" w:rsidR="006B0DDF" w:rsidRDefault="006B0DDF" w:rsidP="006B0DDF">
      <w:pPr>
        <w:spacing w:line="276" w:lineRule="auto"/>
        <w:ind w:right="-141" w:firstLine="709"/>
        <w:jc w:val="both"/>
      </w:pPr>
      <w:r>
        <w:t xml:space="preserve">[4.1] Aizsardzības ministrija 2019.gada 3.jūnija lēmumā atzinusi, ka </w:t>
      </w:r>
      <w:r w:rsidR="00616465">
        <w:t xml:space="preserve">2019.gada 19.aprīlī </w:t>
      </w:r>
      <w:r>
        <w:t>kaimiņu nekustamajā īpašumā trāpīja un eksplodē</w:t>
      </w:r>
      <w:r w:rsidR="00025056">
        <w:t>ja lādiņš, kā rezultātā īpašumā izveidojās izdegums.</w:t>
      </w:r>
    </w:p>
    <w:p w14:paraId="23D1CACC" w14:textId="576B9CDC" w:rsidR="00DB17F4" w:rsidRDefault="00621CF7" w:rsidP="00621CF7">
      <w:pPr>
        <w:spacing w:line="276" w:lineRule="auto"/>
        <w:ind w:right="-141" w:firstLine="709"/>
        <w:jc w:val="both"/>
      </w:pPr>
      <w:r>
        <w:lastRenderedPageBreak/>
        <w:t>[4.2</w:t>
      </w:r>
      <w:r w:rsidR="006B0DDF">
        <w:t xml:space="preserve">] </w:t>
      </w:r>
      <w:r w:rsidR="00025056">
        <w:t xml:space="preserve">Minētais fakts radījis nepārprotamas briesmas pieteicējai un citiem cilvēkiem, kā arī aizskāris pieteicējas īpašuma tiesības. Ir palielinājusies militāro mācību intensitāte, un dzīvojamās mājas būvniecība nav iespējama bez draudiem pieteicējai, </w:t>
      </w:r>
      <w:r w:rsidR="004D5F2B">
        <w:t xml:space="preserve">viņas </w:t>
      </w:r>
      <w:r w:rsidR="00025056">
        <w:t xml:space="preserve">mantai un ģimenes </w:t>
      </w:r>
      <w:r w:rsidR="004D5F2B">
        <w:t xml:space="preserve">locekļu </w:t>
      </w:r>
      <w:r w:rsidR="00025056">
        <w:t>veselībai un dzīvībai. Uz to norāda 2019.gada 19.aprīļa incidents.</w:t>
      </w:r>
    </w:p>
    <w:p w14:paraId="666365C6" w14:textId="7925FFB6" w:rsidR="00A8566A" w:rsidRDefault="00025056" w:rsidP="00025056">
      <w:pPr>
        <w:spacing w:line="276" w:lineRule="auto"/>
        <w:ind w:right="-141" w:firstLine="709"/>
        <w:jc w:val="both"/>
      </w:pPr>
      <w:r>
        <w:t xml:space="preserve">[4.3] </w:t>
      </w:r>
      <w:r w:rsidRPr="00025056">
        <w:t>Piete</w:t>
      </w:r>
      <w:r>
        <w:t>icēja un viņas ģimene pārdzīvo</w:t>
      </w:r>
      <w:r w:rsidRPr="00025056">
        <w:t xml:space="preserve"> par faktiski zaudētām iespējām attīstīt nekustamo īpašumu, kā arī </w:t>
      </w:r>
      <w:r>
        <w:t xml:space="preserve">radusies </w:t>
      </w:r>
      <w:r w:rsidRPr="00025056">
        <w:t>baiļu sajūta nekustamo īpašumu apmeklēt.</w:t>
      </w:r>
      <w:r>
        <w:t xml:space="preserve"> V</w:t>
      </w:r>
      <w:r w:rsidR="006B0DDF">
        <w:t>isi ieguldījumi veikti, lai iegādātos nekustamo īpašumu un ar laiku uz</w:t>
      </w:r>
      <w:r w:rsidR="004D5F2B">
        <w:t>būvē</w:t>
      </w:r>
      <w:r w:rsidR="006B0DDF">
        <w:t>tu ārpilsētas māju. Nekustamā īpašuma iegādei tika ņemts kredīts.</w:t>
      </w:r>
      <w:r w:rsidR="00621CF7">
        <w:t xml:space="preserve"> </w:t>
      </w:r>
    </w:p>
    <w:p w14:paraId="41A479F9" w14:textId="77777777" w:rsidR="002D495D" w:rsidRPr="002D495D" w:rsidRDefault="002D495D" w:rsidP="002D495D">
      <w:pPr>
        <w:spacing w:line="276" w:lineRule="auto"/>
        <w:ind w:right="-141" w:firstLine="709"/>
        <w:jc w:val="both"/>
        <w:rPr>
          <w:sz w:val="18"/>
          <w:szCs w:val="18"/>
        </w:rPr>
      </w:pPr>
    </w:p>
    <w:p w14:paraId="7F9D6F66" w14:textId="77777777" w:rsidR="00B447AA" w:rsidRPr="00287404" w:rsidRDefault="00B447AA" w:rsidP="00B447AA">
      <w:pPr>
        <w:spacing w:line="276" w:lineRule="auto"/>
        <w:jc w:val="center"/>
        <w:rPr>
          <w:b/>
        </w:rPr>
      </w:pPr>
      <w:r w:rsidRPr="00287404">
        <w:rPr>
          <w:b/>
        </w:rPr>
        <w:t>Motīvu daļa</w:t>
      </w:r>
    </w:p>
    <w:p w14:paraId="2E2ABAD4" w14:textId="77777777" w:rsidR="00B447AA" w:rsidRPr="002D495D" w:rsidRDefault="00B447AA" w:rsidP="00C01F92">
      <w:pPr>
        <w:spacing w:line="276" w:lineRule="auto"/>
        <w:ind w:right="-141"/>
        <w:jc w:val="both"/>
        <w:rPr>
          <w:sz w:val="18"/>
          <w:szCs w:val="18"/>
        </w:rPr>
      </w:pPr>
    </w:p>
    <w:p w14:paraId="3537CCE5" w14:textId="1F154048" w:rsidR="0012626B" w:rsidRDefault="00C01F92" w:rsidP="00767133">
      <w:pPr>
        <w:spacing w:line="276" w:lineRule="auto"/>
        <w:ind w:right="-141" w:firstLine="709"/>
        <w:jc w:val="both"/>
      </w:pPr>
      <w:r>
        <w:t>[5]</w:t>
      </w:r>
      <w:r w:rsidR="00BE759D">
        <w:t xml:space="preserve"> </w:t>
      </w:r>
      <w:r w:rsidR="004C7E09">
        <w:t xml:space="preserve">Izskatāmajā gadījumā </w:t>
      </w:r>
      <w:r w:rsidR="00767133">
        <w:t>tiesnesis</w:t>
      </w:r>
      <w:r w:rsidR="006472C0" w:rsidRPr="006472C0">
        <w:t xml:space="preserve"> pamatoti norādījis</w:t>
      </w:r>
      <w:r w:rsidR="00767133">
        <w:t xml:space="preserve">, </w:t>
      </w:r>
      <w:r w:rsidR="006472C0">
        <w:t xml:space="preserve">ka </w:t>
      </w:r>
      <w:r w:rsidR="00767133">
        <w:t>nav konstatēts ne prettiesisks administrat</w:t>
      </w:r>
      <w:r w:rsidR="006472C0">
        <w:t xml:space="preserve">īvais akts, ne faktiskā rīcība. </w:t>
      </w:r>
      <w:r w:rsidR="0012626B">
        <w:t xml:space="preserve">Vispārīgi tas varētu būt pamats </w:t>
      </w:r>
      <w:r w:rsidR="006D476A">
        <w:t>atteikt pieņemt pieteikumu</w:t>
      </w:r>
      <w:r w:rsidR="0012626B">
        <w:t>, t</w:t>
      </w:r>
      <w:r w:rsidR="00767133">
        <w:t>aču</w:t>
      </w:r>
      <w:r w:rsidR="00C4787C">
        <w:t>,</w:t>
      </w:r>
      <w:r w:rsidR="00767133">
        <w:t xml:space="preserve"> Senāta ieskatā</w:t>
      </w:r>
      <w:r w:rsidR="00C4787C">
        <w:t>,</w:t>
      </w:r>
      <w:r w:rsidR="0012626B">
        <w:t xml:space="preserve"> </w:t>
      </w:r>
      <w:r w:rsidR="00B63507">
        <w:t>pieteicējas aprakstītā</w:t>
      </w:r>
      <w:r w:rsidR="0012626B">
        <w:t xml:space="preserve"> situācija </w:t>
      </w:r>
      <w:r w:rsidR="00C4787C">
        <w:t xml:space="preserve">varētu būt </w:t>
      </w:r>
      <w:r w:rsidR="0012626B">
        <w:t>vērtējama citādāk</w:t>
      </w:r>
      <w:r w:rsidR="00285B52">
        <w:t>.</w:t>
      </w:r>
      <w:r w:rsidR="00DB0F80">
        <w:t xml:space="preserve"> </w:t>
      </w:r>
    </w:p>
    <w:p w14:paraId="0BFCA59C" w14:textId="77777777" w:rsidR="006D476A" w:rsidRDefault="006D476A" w:rsidP="00767133">
      <w:pPr>
        <w:spacing w:line="276" w:lineRule="auto"/>
        <w:ind w:right="-141" w:firstLine="709"/>
        <w:jc w:val="both"/>
      </w:pPr>
    </w:p>
    <w:p w14:paraId="6B48593D" w14:textId="5649932D" w:rsidR="004C7E09" w:rsidRDefault="006D476A" w:rsidP="004C7E09">
      <w:pPr>
        <w:spacing w:line="276" w:lineRule="auto"/>
        <w:ind w:right="-141" w:firstLine="709"/>
        <w:jc w:val="both"/>
      </w:pPr>
      <w:r>
        <w:t xml:space="preserve">[6] </w:t>
      </w:r>
      <w:r w:rsidR="004C7E09" w:rsidRPr="004C7E09">
        <w:t xml:space="preserve">Administratīvā procesa likuma 92.pants neizšķir valsts atbildību par </w:t>
      </w:r>
      <w:r w:rsidR="00C4787C">
        <w:t xml:space="preserve">iestādes </w:t>
      </w:r>
      <w:r w:rsidR="004C7E09" w:rsidRPr="004C7E09">
        <w:t xml:space="preserve">tiesisku vai prettiesisku rīcību. </w:t>
      </w:r>
      <w:r w:rsidR="00C4787C">
        <w:t>Savukārt</w:t>
      </w:r>
      <w:r w:rsidR="004C7E09" w:rsidRPr="004C7E09">
        <w:t xml:space="preserve"> </w:t>
      </w:r>
      <w:r w:rsidR="00E02971">
        <w:t>Valsts pārvaldes iestāžu nodarīto zaudējumu atlīdzināšanas likuma</w:t>
      </w:r>
      <w:r w:rsidR="00E02971" w:rsidRPr="004C7E09">
        <w:t xml:space="preserve"> </w:t>
      </w:r>
      <w:r w:rsidR="00E02971">
        <w:t>(turpmāk –</w:t>
      </w:r>
      <w:r w:rsidR="00C4787C">
        <w:t xml:space="preserve"> A</w:t>
      </w:r>
      <w:r w:rsidR="004C7E09" w:rsidRPr="004C7E09">
        <w:t>tlīdzināšanas lik</w:t>
      </w:r>
      <w:r w:rsidR="00E02971">
        <w:t>ums)</w:t>
      </w:r>
      <w:r w:rsidR="004C7E09" w:rsidRPr="004C7E09">
        <w:t xml:space="preserve"> 1. un 4.pantā tiešā tekstā noteikts, ka personai </w:t>
      </w:r>
      <w:r w:rsidR="00C4787C">
        <w:t>ir tiesības uz</w:t>
      </w:r>
      <w:r w:rsidR="004C7E09" w:rsidRPr="004C7E09">
        <w:t xml:space="preserve"> atlīdzinā</w:t>
      </w:r>
      <w:r w:rsidR="00C4787C">
        <w:t>jumu</w:t>
      </w:r>
      <w:r w:rsidR="004C7E09" w:rsidRPr="004C7E09">
        <w:t xml:space="preserve"> </w:t>
      </w:r>
      <w:r w:rsidR="00C4787C" w:rsidRPr="00C4787C">
        <w:t>par mantisko zaudējumu vai nemantisko kaitējumu</w:t>
      </w:r>
      <w:r w:rsidR="00C4787C">
        <w:t xml:space="preserve"> (likuma tālākā tekstā </w:t>
      </w:r>
      <w:r w:rsidR="00B63507">
        <w:t xml:space="preserve">un turpmāk arī šajā lēmumā </w:t>
      </w:r>
      <w:r w:rsidR="00C4787C">
        <w:t xml:space="preserve">apzīmēts kā </w:t>
      </w:r>
      <w:r w:rsidR="004C7E09" w:rsidRPr="004C7E09">
        <w:t>zaudējum</w:t>
      </w:r>
      <w:r w:rsidR="00C4787C">
        <w:t>a atlīdzinājums)</w:t>
      </w:r>
      <w:r w:rsidR="004C7E09" w:rsidRPr="004C7E09">
        <w:t>, kas nodarīti ar valsts pārvaldes iestādes prettiesisku administratīvo aktu vai prettiesisku faktisko rīcību.</w:t>
      </w:r>
    </w:p>
    <w:p w14:paraId="332CC0BC" w14:textId="283884A9" w:rsidR="00C4787C" w:rsidRDefault="00E02971" w:rsidP="004C7E09">
      <w:pPr>
        <w:spacing w:line="276" w:lineRule="auto"/>
        <w:ind w:right="-141" w:firstLine="709"/>
        <w:jc w:val="both"/>
      </w:pPr>
      <w:r>
        <w:t xml:space="preserve">Tātad jebkurai personai ir tiesības uz </w:t>
      </w:r>
      <w:r w:rsidR="00C4787C">
        <w:t>atlīdzinājum</w:t>
      </w:r>
      <w:r w:rsidR="00B63507">
        <w:t>u par zaudējumu</w:t>
      </w:r>
      <w:r>
        <w:t xml:space="preserve">, kas tai nodarīts ar prettiesisku valsts pārvaldes iestādes </w:t>
      </w:r>
      <w:r w:rsidR="00A35D27">
        <w:t>darbību</w:t>
      </w:r>
      <w:r>
        <w:t xml:space="preserve">. </w:t>
      </w:r>
    </w:p>
    <w:p w14:paraId="29F0469D" w14:textId="77777777" w:rsidR="00C4787C" w:rsidRDefault="00C4787C" w:rsidP="004C7E09">
      <w:pPr>
        <w:spacing w:line="276" w:lineRule="auto"/>
        <w:ind w:right="-141" w:firstLine="709"/>
        <w:jc w:val="both"/>
      </w:pPr>
    </w:p>
    <w:p w14:paraId="57F065F3" w14:textId="3AC7F1F1" w:rsidR="00A35D27" w:rsidRDefault="00C4787C" w:rsidP="004C7E09">
      <w:pPr>
        <w:spacing w:line="276" w:lineRule="auto"/>
        <w:ind w:right="-141" w:firstLine="709"/>
        <w:jc w:val="both"/>
      </w:pPr>
      <w:r>
        <w:t xml:space="preserve">[7] </w:t>
      </w:r>
      <w:r w:rsidR="000A6870">
        <w:t>V</w:t>
      </w:r>
      <w:r w:rsidR="004C7E09" w:rsidRPr="004C7E09">
        <w:t>ar būt gadījumi, kad personai zaudējum</w:t>
      </w:r>
      <w:r>
        <w:t>s</w:t>
      </w:r>
      <w:r w:rsidR="004C7E09" w:rsidRPr="004C7E09">
        <w:t xml:space="preserve"> </w:t>
      </w:r>
      <w:r w:rsidR="00A35D27">
        <w:t>radies</w:t>
      </w:r>
      <w:r w:rsidR="004C7E09" w:rsidRPr="004C7E09">
        <w:t xml:space="preserve">, nekonstatējot </w:t>
      </w:r>
      <w:r>
        <w:t xml:space="preserve">valsts pārvaldes iestādes </w:t>
      </w:r>
      <w:r w:rsidR="00A35D27">
        <w:t xml:space="preserve">darbības </w:t>
      </w:r>
      <w:r w:rsidR="004C7E09" w:rsidRPr="004C7E09">
        <w:t>prettiesisku</w:t>
      </w:r>
      <w:r w:rsidR="00A35D27">
        <w:t>mu</w:t>
      </w:r>
      <w:r w:rsidR="004C7E09" w:rsidRPr="004C7E09">
        <w:t xml:space="preserve">. </w:t>
      </w:r>
      <w:r>
        <w:t>Atlīdzināšanas likums zaudējuma atlīdzinājumu v</w:t>
      </w:r>
      <w:r w:rsidR="00853954">
        <w:t>ispārīgi š</w:t>
      </w:r>
      <w:r w:rsidR="00A35D27">
        <w:t>ād</w:t>
      </w:r>
      <w:r>
        <w:t>ā</w:t>
      </w:r>
      <w:r w:rsidR="00A35D27">
        <w:t xml:space="preserve"> </w:t>
      </w:r>
      <w:r>
        <w:t>gadījumā neparedz</w:t>
      </w:r>
      <w:r w:rsidR="00A35D27">
        <w:t xml:space="preserve">. </w:t>
      </w:r>
      <w:r w:rsidR="00864E3E">
        <w:t>Tomēr turpmāk minētie apsvērumi Senātam liek nonākt pie secinājuma, ka Latvijas Republikas Satversme (turpmāk – Satversme) prasa apsvērt nepieciešamību atlīdzināt zaudējumu arī tādos gadījumos, kad tas radies tiesiska administratīvā akta vai faktiskās rīcības dēļ.</w:t>
      </w:r>
    </w:p>
    <w:p w14:paraId="3688DF38" w14:textId="77777777" w:rsidR="00864E3E" w:rsidRDefault="00864E3E" w:rsidP="004C7E09">
      <w:pPr>
        <w:spacing w:line="276" w:lineRule="auto"/>
        <w:ind w:right="-141" w:firstLine="709"/>
        <w:jc w:val="both"/>
      </w:pPr>
    </w:p>
    <w:p w14:paraId="5FBB529B" w14:textId="67FF8CBE" w:rsidR="00864E3E" w:rsidRDefault="00864E3E" w:rsidP="00864E3E">
      <w:pPr>
        <w:spacing w:line="276" w:lineRule="auto"/>
        <w:ind w:right="-141" w:firstLine="709"/>
        <w:jc w:val="both"/>
      </w:pPr>
      <w:r>
        <w:t>[</w:t>
      </w:r>
      <w:r w:rsidR="003A24F8">
        <w:t>8</w:t>
      </w:r>
      <w:r>
        <w:t>] Satversmes normās ir atzīta virkne pamattiesību. Vienlaikus 116.pants paredz, ka pieļaujama personas pamattiesību ierobežošana citu cilvēku tiesību aizsardzības, demokrātiskas valsts iekārtas, sabiedrības drošības, labklājības un tikumības aizsardzības interesēs. „Pamattiesību ierobežojumi izriet no pašu pamattiesību būtības. Pamattiesības garantē personas brīvību, taču šo brīvību valstij jāgarantē ekskluzīvi nevis vienai konkrētai personai, bet visām personām vienlaikus. Šā iemesla dēļ vienas personas pamattiesības ierobežo citas personas pamattiesības. Papildus tam pamattiesībām var tikt noteikti ierobežojumi citu konstitucionālo vērtību aizsardzībai, lai nodrošinātu sabiedrības turpmāku pastāvēšanu.” (</w:t>
      </w:r>
      <w:proofErr w:type="spellStart"/>
      <w:r w:rsidRPr="00864E3E">
        <w:rPr>
          <w:i/>
        </w:rPr>
        <w:t>Pleps</w:t>
      </w:r>
      <w:proofErr w:type="spellEnd"/>
      <w:r w:rsidRPr="00864E3E">
        <w:rPr>
          <w:i/>
        </w:rPr>
        <w:t xml:space="preserve"> J. Komentārs Satversmes 116.pantam. </w:t>
      </w:r>
      <w:proofErr w:type="spellStart"/>
      <w:r w:rsidRPr="00864E3E">
        <w:rPr>
          <w:i/>
        </w:rPr>
        <w:t>Grām</w:t>
      </w:r>
      <w:proofErr w:type="spellEnd"/>
      <w:r w:rsidRPr="00864E3E">
        <w:rPr>
          <w:i/>
        </w:rPr>
        <w:t xml:space="preserve">.: Latvijas Republikas Satversmes komentāri. VIII nodaļa. Cilvēka pamattiesības. </w:t>
      </w:r>
      <w:proofErr w:type="spellStart"/>
      <w:r w:rsidRPr="00864E3E">
        <w:rPr>
          <w:i/>
        </w:rPr>
        <w:t>Zin</w:t>
      </w:r>
      <w:proofErr w:type="spellEnd"/>
      <w:r w:rsidRPr="00864E3E">
        <w:rPr>
          <w:i/>
        </w:rPr>
        <w:t>. vad. Balodis R. Rīga: Latvijas Vēstnesis, 2011, 740.lpp.</w:t>
      </w:r>
      <w:r>
        <w:t xml:space="preserve">) </w:t>
      </w:r>
      <w:r w:rsidR="00B63507">
        <w:t>Atbilstoši Satversmes tiesas atziņām ierobežojumi var tikt noteikti arī tādām pamattiesībām, kas nav minētas Satversmes 116.pantā, jo to prasa Satversmes vienotība un nepieciešamība aizsargāt citu personu pamattiesības (</w:t>
      </w:r>
      <w:r w:rsidR="00B63507" w:rsidRPr="00B63507">
        <w:rPr>
          <w:i/>
        </w:rPr>
        <w:t>Satversmes tiesas 2002.gada 22.oktobra sprieduma lietā Nr. 2002-04-03 secinājumu daļas 2.punkts</w:t>
      </w:r>
      <w:r w:rsidR="00B63507">
        <w:t>).</w:t>
      </w:r>
    </w:p>
    <w:p w14:paraId="1E160251" w14:textId="1C5E4283" w:rsidR="00864E3E" w:rsidRDefault="00864E3E" w:rsidP="00864E3E">
      <w:pPr>
        <w:spacing w:line="276" w:lineRule="auto"/>
        <w:ind w:right="-141" w:firstLine="709"/>
        <w:jc w:val="both"/>
      </w:pPr>
      <w:r>
        <w:lastRenderedPageBreak/>
        <w:t xml:space="preserve">Īpašuma tiesību kā pamattiesību ierobežojumu tieši paredz Satversmes 105.panta otrais, trešais un ceturtais teikums, kas </w:t>
      </w:r>
      <w:r w:rsidR="004D5F2B">
        <w:t>noteic</w:t>
      </w:r>
      <w:r>
        <w:t>, ka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w:t>
      </w:r>
    </w:p>
    <w:p w14:paraId="56BAC986" w14:textId="4D63B192" w:rsidR="00864E3E" w:rsidRDefault="00864E3E" w:rsidP="00864E3E">
      <w:pPr>
        <w:spacing w:line="276" w:lineRule="auto"/>
        <w:ind w:right="-141" w:firstLine="709"/>
        <w:jc w:val="both"/>
      </w:pPr>
      <w:r>
        <w:t>Līdz ar to jau no Satversmes izriet, ka personai ir jāsamierinās ar savu pamattiesību zināmu ierobežojumu.</w:t>
      </w:r>
    </w:p>
    <w:p w14:paraId="77E4CC0C" w14:textId="77777777" w:rsidR="00864E3E" w:rsidRDefault="00864E3E" w:rsidP="004C7E09">
      <w:pPr>
        <w:spacing w:line="276" w:lineRule="auto"/>
        <w:ind w:right="-141" w:firstLine="709"/>
        <w:jc w:val="both"/>
      </w:pPr>
    </w:p>
    <w:p w14:paraId="79132352" w14:textId="416403B0" w:rsidR="00864E3E" w:rsidRDefault="00864E3E" w:rsidP="00DB0F80">
      <w:pPr>
        <w:spacing w:line="276" w:lineRule="auto"/>
        <w:ind w:right="-141" w:firstLine="709"/>
        <w:jc w:val="both"/>
      </w:pPr>
      <w:r>
        <w:t>[</w:t>
      </w:r>
      <w:r w:rsidR="003A24F8">
        <w:t>9</w:t>
      </w:r>
      <w:r>
        <w:t>] Tomēr, kā to konsekventi skaidro Satversmes tiesa</w:t>
      </w:r>
      <w:r w:rsidR="00DB0F80">
        <w:t xml:space="preserve">, pārbaudot tiesību normu </w:t>
      </w:r>
      <w:r w:rsidR="00923043">
        <w:t>atbilstību Satversmei</w:t>
      </w:r>
      <w:r w:rsidR="00DB0F80">
        <w:t>,</w:t>
      </w:r>
      <w:r>
        <w:t xml:space="preserve"> </w:t>
      </w:r>
      <w:r w:rsidR="00DB0F80">
        <w:t>samērīguma princips noteic, ka tad, ja publiskā vara ierobežo personas tiesības un likumiskās intereses, ir jāievēro saprātīgs līdzsvars starp personas un sabiedrības interesēm (</w:t>
      </w:r>
      <w:r w:rsidR="00DB0F80" w:rsidRPr="00DB0F80">
        <w:rPr>
          <w:i/>
        </w:rPr>
        <w:t xml:space="preserve">Satversmes tiesas 2002.gada 19.marta sprieduma lietā Nr. 2001-12-01 </w:t>
      </w:r>
      <w:r w:rsidR="00B63507">
        <w:rPr>
          <w:i/>
        </w:rPr>
        <w:t xml:space="preserve">secinājumu daļas </w:t>
      </w:r>
      <w:r w:rsidR="00DB0F80" w:rsidRPr="00DB0F80">
        <w:rPr>
          <w:i/>
        </w:rPr>
        <w:t>3.1.punkts</w:t>
      </w:r>
      <w:r w:rsidR="00DB0F80">
        <w:t>).</w:t>
      </w:r>
    </w:p>
    <w:p w14:paraId="5A6E1877" w14:textId="34EE5AF8" w:rsidR="00DB0F80" w:rsidRDefault="00DB0F80" w:rsidP="00DB0F80">
      <w:pPr>
        <w:spacing w:line="276" w:lineRule="auto"/>
        <w:ind w:right="-141" w:firstLine="709"/>
        <w:jc w:val="both"/>
      </w:pPr>
      <w:r>
        <w:t>Arī administratīvajam aktam un faktiskajai rīcībai ir jāatbilst samērīguma principam – lai arī no tiesību normām var izrietēt personas tiesību ierobežojums, šim ierobežojuma</w:t>
      </w:r>
      <w:r w:rsidR="004D5F2B">
        <w:t>m</w:t>
      </w:r>
      <w:r>
        <w:t xml:space="preserve"> ir jābūt samērīgam.</w:t>
      </w:r>
    </w:p>
    <w:p w14:paraId="39079CE4" w14:textId="1ED0D315" w:rsidR="00DB0F80" w:rsidRDefault="00DB0F80" w:rsidP="00DB0F80">
      <w:pPr>
        <w:spacing w:line="276" w:lineRule="auto"/>
        <w:ind w:right="-141" w:firstLine="709"/>
        <w:jc w:val="both"/>
      </w:pPr>
      <w:r>
        <w:t>Tāpat jāievēr</w:t>
      </w:r>
      <w:r w:rsidR="00923043">
        <w:t>o</w:t>
      </w:r>
      <w:r>
        <w:t xml:space="preserve"> Satversmes 91.panta pirmajā teikumā ietvertais tiesiskās vienlīdzības princips. </w:t>
      </w:r>
      <w:r w:rsidR="00923043">
        <w:t>No tā izriet</w:t>
      </w:r>
      <w:r>
        <w:t xml:space="preserve">, </w:t>
      </w:r>
      <w:r w:rsidR="00923043">
        <w:t>ka</w:t>
      </w:r>
      <w:r>
        <w:t xml:space="preserve"> ierobežojumi, ar ko personām jāsamierinās, nedrīkst uz kādu personu gult nesalīdzināmi lielākā mērā kā uz citām personām.</w:t>
      </w:r>
    </w:p>
    <w:p w14:paraId="4C259A8A" w14:textId="37210F48" w:rsidR="002B0D1D" w:rsidRDefault="00DB0F80" w:rsidP="00231602">
      <w:pPr>
        <w:spacing w:line="276" w:lineRule="auto"/>
        <w:ind w:right="-141" w:firstLine="709"/>
        <w:jc w:val="both"/>
      </w:pPr>
      <w:r>
        <w:t xml:space="preserve">Savukārt </w:t>
      </w:r>
      <w:r w:rsidR="00C4787C">
        <w:t xml:space="preserve">Satversmes 92.pants paredz tiesības uz atlīdzinājumu jebkura nepamatota tiesību aizskāruma gadījumā. Tas var ietvert atlīdzinājumu </w:t>
      </w:r>
      <w:r>
        <w:t xml:space="preserve">arī </w:t>
      </w:r>
      <w:r w:rsidR="00C4787C">
        <w:t xml:space="preserve">gadījumos, kad neatlīdzināšana novestu pie personas tiesību acīmredzami </w:t>
      </w:r>
      <w:r w:rsidR="00923043">
        <w:t>netaisnīga</w:t>
      </w:r>
      <w:r w:rsidR="00C4787C">
        <w:t xml:space="preserve"> </w:t>
      </w:r>
      <w:r w:rsidR="000A6870">
        <w:t>ierobežojuma</w:t>
      </w:r>
      <w:r w:rsidR="0059447B">
        <w:t>.</w:t>
      </w:r>
    </w:p>
    <w:p w14:paraId="10C06E4C" w14:textId="77777777" w:rsidR="000A6870" w:rsidRDefault="000A6870" w:rsidP="00231602">
      <w:pPr>
        <w:spacing w:line="276" w:lineRule="auto"/>
        <w:ind w:right="-141" w:firstLine="709"/>
        <w:jc w:val="both"/>
      </w:pPr>
    </w:p>
    <w:p w14:paraId="6DAB4A9C" w14:textId="73E9B36E" w:rsidR="000A6870" w:rsidRDefault="000A6870" w:rsidP="00231602">
      <w:pPr>
        <w:spacing w:line="276" w:lineRule="auto"/>
        <w:ind w:right="-141" w:firstLine="709"/>
        <w:jc w:val="both"/>
      </w:pPr>
      <w:r>
        <w:t>[</w:t>
      </w:r>
      <w:r w:rsidR="003A24F8">
        <w:t>10</w:t>
      </w:r>
      <w:r>
        <w:t xml:space="preserve">] </w:t>
      </w:r>
      <w:r w:rsidR="0059447B">
        <w:t xml:space="preserve">Tiesiskajā sistēmā atsevišķos gadījumos jau ar tiesību normu tiešu tekstu ir paredzēts atlīdzinājums arī par tādu valsts pārvaldes </w:t>
      </w:r>
      <w:r>
        <w:t>lēmumu vai rīcību, kas pati par sevi ir tiesiska.</w:t>
      </w:r>
    </w:p>
    <w:p w14:paraId="66A1F903" w14:textId="3B2C1737" w:rsidR="0038436D" w:rsidRDefault="0038436D" w:rsidP="00231602">
      <w:pPr>
        <w:spacing w:line="276" w:lineRule="auto"/>
        <w:ind w:right="-141" w:firstLine="709"/>
        <w:jc w:val="both"/>
      </w:pPr>
      <w:r w:rsidRPr="0038436D">
        <w:t>Piemēram, Administratīvā procesa likuma 374.pantā noteikts</w:t>
      </w:r>
      <w:r w:rsidR="000A6870">
        <w:t>:</w:t>
      </w:r>
      <w:r w:rsidRPr="0038436D">
        <w:t xml:space="preserve"> ja administratīvā akta piespiedu izpildes gaitā cieš cita privātpersona, nevis tā, pret kuru piespiedu izpilde vērsta, šai privātpersonai ir tiesības uz atlīdzinājumu saskaņā ar šā likuma 8.nodaļas noteikumiem neatkarīgi no tā, vai piespiedu izpilde bijusi tiesiska vai prettiesiska. Tātad arī par tiesiski veiktu piespiedu izpildi, ja tas radījis zaudējumus citai personai, šī persona var prasīt atlīdzinājumu.</w:t>
      </w:r>
    </w:p>
    <w:p w14:paraId="5B84DFA7" w14:textId="13762541" w:rsidR="0038436D" w:rsidRDefault="0038436D" w:rsidP="000C482D">
      <w:pPr>
        <w:spacing w:line="276" w:lineRule="auto"/>
        <w:ind w:right="-141" w:firstLine="709"/>
        <w:jc w:val="both"/>
      </w:pPr>
      <w:r>
        <w:t>Kā vēl viens piemērs jāmin</w:t>
      </w:r>
      <w:r w:rsidR="00576607">
        <w:t xml:space="preserve"> Administratīvā procesa likuma 85.pant</w:t>
      </w:r>
      <w:r w:rsidR="004D5F2B">
        <w:t>a</w:t>
      </w:r>
      <w:r w:rsidR="00576607">
        <w:t xml:space="preserve"> </w:t>
      </w:r>
      <w:r w:rsidR="00652D36">
        <w:t>regulējums</w:t>
      </w:r>
      <w:r w:rsidR="00576607">
        <w:t xml:space="preserve">, kad ir iespējams atcelt adresātam labvēlīgu tiesisku administratīvo aktu. </w:t>
      </w:r>
      <w:r w:rsidR="00076DBB">
        <w:t>M</w:t>
      </w:r>
      <w:r w:rsidR="00576607">
        <w:t>inētā panta otrās daļas 4.punktā noteikts, ka a</w:t>
      </w:r>
      <w:r w:rsidR="00576607" w:rsidRPr="00576607">
        <w:t>dresātam labvēlīgu tiesisku administratīvo aktu var atcelt tad, ja ir</w:t>
      </w:r>
      <w:r w:rsidR="00576607">
        <w:t xml:space="preserve"> </w:t>
      </w:r>
      <w:r w:rsidR="00576607" w:rsidRPr="00576607">
        <w:t>mainījušies lietas faktiskie vai tiesiskie apstākļi, kuriem pastāvot administratīvā akta izdošanas brīdī iestāde varētu šādu administratīvo aktu neizdot, un administratīvā akta palikšana spēkā skar būtiskas sabiedrības intereses.</w:t>
      </w:r>
      <w:r w:rsidR="00576607">
        <w:t xml:space="preserve"> Š</w:t>
      </w:r>
      <w:r w:rsidR="000A6870">
        <w:t>ā</w:t>
      </w:r>
      <w:r w:rsidR="00576607">
        <w:t xml:space="preserve"> paša panta piektajā daļā noteikts</w:t>
      </w:r>
      <w:r w:rsidR="000A6870">
        <w:t>:</w:t>
      </w:r>
      <w:r w:rsidR="00576607">
        <w:t xml:space="preserve"> ja </w:t>
      </w:r>
      <w:r w:rsidR="00576607" w:rsidRPr="00576607">
        <w:t xml:space="preserve">administratīvo aktu atceļ saskaņā ar šā panta otrās daļas 4.punktu, attiecīgā publisko tiesību juridiskā persona saskaņā ar šā </w:t>
      </w:r>
      <w:r w:rsidR="00576607" w:rsidRPr="00652D36">
        <w:t>likuma </w:t>
      </w:r>
      <w:hyperlink r:id="rId7" w:anchor="n8" w:history="1">
        <w:r w:rsidR="00576607" w:rsidRPr="00652D36">
          <w:rPr>
            <w:rStyle w:val="Hyperlink"/>
            <w:color w:val="auto"/>
            <w:u w:val="none"/>
          </w:rPr>
          <w:t>8.nodaļu</w:t>
        </w:r>
      </w:hyperlink>
      <w:r w:rsidR="00576607" w:rsidRPr="00576607">
        <w:t> atlīdzina adresātam zaudējumus un personisko kaitējumu, kas tam radies sakarā ar administratīvā akta atcelšanu.</w:t>
      </w:r>
    </w:p>
    <w:p w14:paraId="12301F59" w14:textId="02A989EA" w:rsidR="0049297C" w:rsidRDefault="000A6870" w:rsidP="000C482D">
      <w:pPr>
        <w:spacing w:line="276" w:lineRule="auto"/>
        <w:ind w:right="-141" w:firstLine="709"/>
        <w:jc w:val="both"/>
      </w:pPr>
      <w:r>
        <w:t xml:space="preserve">Tātad taisnīguma apsvērumi, kuri izriet no Satversmes 1.panta un ir atzīti arī kā viens no administratīvā procesa pamatmērķiem (Administratīvā procesa likuma 2.panta 1.punkts) likuši likumdevējam izšķirties par atlīdzinājumu arī gadījumos, kad persona tiek būtiski individuāli skarta ar kādu valsts pārvaldes iestādes tiesisku darbību. </w:t>
      </w:r>
    </w:p>
    <w:p w14:paraId="58F5C06C" w14:textId="702CFC36" w:rsidR="000C482D" w:rsidRDefault="000A6870" w:rsidP="000C482D">
      <w:pPr>
        <w:spacing w:line="276" w:lineRule="auto"/>
        <w:ind w:right="-141" w:firstLine="709"/>
        <w:jc w:val="both"/>
      </w:pPr>
      <w:r>
        <w:t xml:space="preserve">Tas liek domāt, ka </w:t>
      </w:r>
      <w:r w:rsidR="0049297C">
        <w:t>tiesiskajā sistēmā</w:t>
      </w:r>
      <w:r w:rsidR="003A24F8">
        <w:t>, ievērojot jau iepriekš minētās Satversmes normas,</w:t>
      </w:r>
      <w:r w:rsidR="0049297C">
        <w:t xml:space="preserve"> </w:t>
      </w:r>
      <w:r>
        <w:t xml:space="preserve">šādam mehānismam būtu jādarbojas ikvienā tādā gadījumā, kad personai </w:t>
      </w:r>
      <w:r w:rsidR="003A24F8">
        <w:t xml:space="preserve">iepretim citām personām </w:t>
      </w:r>
      <w:r>
        <w:t xml:space="preserve">jāpacieš acīmredzami nesamērīgs un tādēļ netaisnīgs tās tiesību ierobežojums, proti, </w:t>
      </w:r>
      <w:r>
        <w:lastRenderedPageBreak/>
        <w:t>ja atlīdzinājuma nepiešķiršana</w:t>
      </w:r>
      <w:r w:rsidR="00801C65">
        <w:t>, liekot zaudējumu ciest konkrētai personai,</w:t>
      </w:r>
      <w:r>
        <w:t xml:space="preserve"> būtu acīmredzami netaisnīga</w:t>
      </w:r>
      <w:r w:rsidR="003A24F8">
        <w:t>.</w:t>
      </w:r>
    </w:p>
    <w:p w14:paraId="3CBCD09A" w14:textId="738F7ED2" w:rsidR="00853954" w:rsidRDefault="00853954" w:rsidP="00853954">
      <w:pPr>
        <w:spacing w:line="276" w:lineRule="auto"/>
        <w:ind w:right="-141" w:firstLine="709"/>
        <w:jc w:val="both"/>
      </w:pPr>
      <w:r>
        <w:t>Tas nozīmē, ka atsevišķos gadījumos</w:t>
      </w:r>
      <w:r w:rsidR="0049297C">
        <w:t>,</w:t>
      </w:r>
      <w:r>
        <w:t xml:space="preserve"> ņemot vērā taisnīguma apsvērumus, </w:t>
      </w:r>
      <w:r w:rsidR="0049297C">
        <w:t>būtu jālemj</w:t>
      </w:r>
      <w:r>
        <w:t xml:space="preserve"> par iespējamā zaudējuma atlīdzināšanu personai arī tad, ja </w:t>
      </w:r>
      <w:r w:rsidR="008E1331">
        <w:t>valsts pārvaldes rīcība atbilst</w:t>
      </w:r>
      <w:r>
        <w:t xml:space="preserve"> tiesību normām un n</w:t>
      </w:r>
      <w:r w:rsidR="008E1331">
        <w:t>av</w:t>
      </w:r>
      <w:r>
        <w:t xml:space="preserve"> konstatējams </w:t>
      </w:r>
      <w:r w:rsidR="008E1331">
        <w:t>prettiesiskums</w:t>
      </w:r>
      <w:r>
        <w:t>.</w:t>
      </w:r>
    </w:p>
    <w:p w14:paraId="19CF26D9" w14:textId="77777777" w:rsidR="008E1331" w:rsidRDefault="008E1331" w:rsidP="00D50CE4">
      <w:pPr>
        <w:spacing w:line="276" w:lineRule="auto"/>
        <w:ind w:right="-141" w:firstLine="709"/>
        <w:jc w:val="both"/>
      </w:pPr>
    </w:p>
    <w:p w14:paraId="511D812A" w14:textId="1D255F20" w:rsidR="008E1331" w:rsidRDefault="008E1331" w:rsidP="00D50CE4">
      <w:pPr>
        <w:spacing w:line="276" w:lineRule="auto"/>
        <w:ind w:right="-141" w:firstLine="709"/>
        <w:jc w:val="both"/>
      </w:pPr>
      <w:r>
        <w:t>[</w:t>
      </w:r>
      <w:r w:rsidR="003A24F8">
        <w:t>11</w:t>
      </w:r>
      <w:r>
        <w:t>] Jānorāda, ka līdzīgas prasības par tāda zaudējuma atlīdzinājumu, kas nodarīts ar valsts pārvaldes iestādes tiesisku rīcību, tiek atzītas arī citās kontinentālās Eiropas valstīs.</w:t>
      </w:r>
    </w:p>
    <w:p w14:paraId="31870408" w14:textId="6336BC58" w:rsidR="00D50CE4" w:rsidRDefault="008E1331" w:rsidP="00D50CE4">
      <w:pPr>
        <w:spacing w:line="276" w:lineRule="auto"/>
        <w:ind w:right="-141" w:firstLine="709"/>
        <w:jc w:val="both"/>
      </w:pPr>
      <w:r>
        <w:t xml:space="preserve">Tā </w:t>
      </w:r>
      <w:r w:rsidR="00E70AD9">
        <w:t xml:space="preserve">Vācijā </w:t>
      </w:r>
      <w:r w:rsidR="00F80FEB">
        <w:t xml:space="preserve">valsts </w:t>
      </w:r>
      <w:r w:rsidR="00165238">
        <w:t>atbildība var iestāties</w:t>
      </w:r>
      <w:r>
        <w:t>,</w:t>
      </w:r>
      <w:r w:rsidR="00165238">
        <w:t xml:space="preserve"> arī veicot tiesisku rīcību,</w:t>
      </w:r>
      <w:r w:rsidR="00492F16">
        <w:t xml:space="preserve"> </w:t>
      </w:r>
      <w:r w:rsidR="0049297C">
        <w:t>ja ar to</w:t>
      </w:r>
      <w:r w:rsidR="00165238">
        <w:t xml:space="preserve"> personai </w:t>
      </w:r>
      <w:r w:rsidR="0049297C">
        <w:t xml:space="preserve">radītas </w:t>
      </w:r>
      <w:r w:rsidR="00165238">
        <w:t>sevišķas ciešanas jeb uzlikt</w:t>
      </w:r>
      <w:r w:rsidR="0049297C">
        <w:t>s</w:t>
      </w:r>
      <w:r w:rsidR="00165238">
        <w:t xml:space="preserve"> pārmērīg</w:t>
      </w:r>
      <w:r w:rsidR="0049297C">
        <w:t>s</w:t>
      </w:r>
      <w:r w:rsidR="00165238">
        <w:t xml:space="preserve"> slog</w:t>
      </w:r>
      <w:r w:rsidR="004D5F2B">
        <w:t>s</w:t>
      </w:r>
      <w:r w:rsidR="00F80FEB">
        <w:t>. Šādā gadījumā personai</w:t>
      </w:r>
      <w:r w:rsidR="00614F15">
        <w:t xml:space="preserve"> ir tie</w:t>
      </w:r>
      <w:r w:rsidR="00512BE9">
        <w:t>sības uz pienācīgu kompensāciju</w:t>
      </w:r>
      <w:r w:rsidR="0038436D">
        <w:t xml:space="preserve"> (</w:t>
      </w:r>
      <w:proofErr w:type="spellStart"/>
      <w:r w:rsidR="0038436D" w:rsidRPr="0038436D">
        <w:rPr>
          <w:i/>
        </w:rPr>
        <w:t>Kü</w:t>
      </w:r>
      <w:r w:rsidR="0038436D">
        <w:rPr>
          <w:i/>
        </w:rPr>
        <w:t>nnecke</w:t>
      </w:r>
      <w:proofErr w:type="spellEnd"/>
      <w:r w:rsidR="0038436D">
        <w:rPr>
          <w:i/>
        </w:rPr>
        <w:t xml:space="preserve"> </w:t>
      </w:r>
      <w:r>
        <w:rPr>
          <w:i/>
        </w:rPr>
        <w:t xml:space="preserve">M. </w:t>
      </w:r>
      <w:proofErr w:type="spellStart"/>
      <w:r w:rsidR="0038436D" w:rsidRPr="0038436D">
        <w:rPr>
          <w:i/>
        </w:rPr>
        <w:t>Tradition</w:t>
      </w:r>
      <w:proofErr w:type="spellEnd"/>
      <w:r w:rsidR="0038436D" w:rsidRPr="0038436D">
        <w:rPr>
          <w:i/>
        </w:rPr>
        <w:t xml:space="preserve"> </w:t>
      </w:r>
      <w:proofErr w:type="spellStart"/>
      <w:r w:rsidR="0038436D">
        <w:rPr>
          <w:i/>
        </w:rPr>
        <w:t>and</w:t>
      </w:r>
      <w:proofErr w:type="spellEnd"/>
      <w:r w:rsidR="0038436D">
        <w:rPr>
          <w:i/>
        </w:rPr>
        <w:t xml:space="preserve"> </w:t>
      </w:r>
      <w:proofErr w:type="spellStart"/>
      <w:r w:rsidR="0038436D">
        <w:rPr>
          <w:i/>
        </w:rPr>
        <w:t>Change</w:t>
      </w:r>
      <w:proofErr w:type="spellEnd"/>
      <w:r w:rsidR="0038436D">
        <w:rPr>
          <w:i/>
        </w:rPr>
        <w:t xml:space="preserve"> </w:t>
      </w:r>
      <w:proofErr w:type="spellStart"/>
      <w:r w:rsidR="0038436D">
        <w:rPr>
          <w:i/>
        </w:rPr>
        <w:t>in</w:t>
      </w:r>
      <w:proofErr w:type="spellEnd"/>
      <w:r w:rsidR="0038436D">
        <w:rPr>
          <w:i/>
        </w:rPr>
        <w:t xml:space="preserve"> </w:t>
      </w:r>
      <w:proofErr w:type="spellStart"/>
      <w:r w:rsidR="0038436D">
        <w:rPr>
          <w:i/>
        </w:rPr>
        <w:t>Administrative</w:t>
      </w:r>
      <w:proofErr w:type="spellEnd"/>
      <w:r w:rsidR="0038436D">
        <w:rPr>
          <w:i/>
        </w:rPr>
        <w:t xml:space="preserve"> </w:t>
      </w:r>
      <w:proofErr w:type="spellStart"/>
      <w:r w:rsidR="0038436D">
        <w:rPr>
          <w:i/>
        </w:rPr>
        <w:t>Law</w:t>
      </w:r>
      <w:proofErr w:type="spellEnd"/>
      <w:r w:rsidR="0038436D">
        <w:rPr>
          <w:i/>
        </w:rPr>
        <w:t xml:space="preserve">. </w:t>
      </w:r>
      <w:proofErr w:type="spellStart"/>
      <w:r>
        <w:rPr>
          <w:i/>
        </w:rPr>
        <w:t>Berlin</w:t>
      </w:r>
      <w:proofErr w:type="spellEnd"/>
      <w:r>
        <w:rPr>
          <w:i/>
        </w:rPr>
        <w:t xml:space="preserve">: </w:t>
      </w:r>
      <w:r w:rsidR="0038436D">
        <w:rPr>
          <w:i/>
        </w:rPr>
        <w:t>Springer</w:t>
      </w:r>
      <w:r>
        <w:rPr>
          <w:i/>
        </w:rPr>
        <w:t>,</w:t>
      </w:r>
      <w:r w:rsidR="0038436D">
        <w:rPr>
          <w:i/>
        </w:rPr>
        <w:t xml:space="preserve"> 2007, </w:t>
      </w:r>
      <w:r>
        <w:rPr>
          <w:i/>
        </w:rPr>
        <w:t>p. </w:t>
      </w:r>
      <w:r w:rsidR="0038436D">
        <w:rPr>
          <w:i/>
        </w:rPr>
        <w:t>185</w:t>
      </w:r>
      <w:r>
        <w:rPr>
          <w:i/>
        </w:rPr>
        <w:t>;</w:t>
      </w:r>
      <w:r w:rsidR="00165238">
        <w:rPr>
          <w:i/>
        </w:rPr>
        <w:t xml:space="preserve"> </w:t>
      </w:r>
      <w:proofErr w:type="spellStart"/>
      <w:r w:rsidR="00165238" w:rsidRPr="00231602">
        <w:rPr>
          <w:i/>
        </w:rPr>
        <w:t>Paine</w:t>
      </w:r>
      <w:proofErr w:type="spellEnd"/>
      <w:r w:rsidR="00165238" w:rsidRPr="00231602">
        <w:rPr>
          <w:i/>
        </w:rPr>
        <w:t xml:space="preserve"> F.J. Vācijas vispārīgās administratīvās tiesības. Vācijas Administratīvā procesa likums. Rīg</w:t>
      </w:r>
      <w:r w:rsidR="00165238">
        <w:rPr>
          <w:i/>
        </w:rPr>
        <w:t>a: Tiesu namu aģentūra, 2002, 363. un 364.</w:t>
      </w:r>
      <w:r w:rsidR="00165238" w:rsidRPr="00231602">
        <w:rPr>
          <w:i/>
        </w:rPr>
        <w:t>lpp</w:t>
      </w:r>
      <w:r>
        <w:rPr>
          <w:i/>
        </w:rPr>
        <w:t>.</w:t>
      </w:r>
      <w:r w:rsidR="0038436D">
        <w:t>)</w:t>
      </w:r>
      <w:r w:rsidR="00512BE9">
        <w:t xml:space="preserve">. </w:t>
      </w:r>
      <w:r w:rsidR="00751B6C">
        <w:t>Apzīmējot šo tiesību institūtu, tiek lietoti jēdzieni „īpašais upuris” vai „uzupurēšanas tiesības”.</w:t>
      </w:r>
    </w:p>
    <w:p w14:paraId="3B0EC6AD" w14:textId="7081A295" w:rsidR="008E1331" w:rsidRDefault="008E1331" w:rsidP="00D50CE4">
      <w:pPr>
        <w:spacing w:line="276" w:lineRule="auto"/>
        <w:ind w:right="-141" w:firstLine="709"/>
        <w:jc w:val="both"/>
      </w:pPr>
      <w:r>
        <w:t xml:space="preserve">Igaunijas Valsts atbildības likuma 16.panta pirmā daļa paredz, ka persona var prasīt taisnīgu kompensāciju par </w:t>
      </w:r>
      <w:r w:rsidR="00152622">
        <w:t>zaudējumu, kas tai nodarīts ar tiesisku administratīvo aktu vai rīcību, kas sevišķi ierobežo personas pamattiesības un brīvības (</w:t>
      </w:r>
      <w:r w:rsidR="0049297C">
        <w:t>pieejams:</w:t>
      </w:r>
      <w:r w:rsidR="00152622">
        <w:t xml:space="preserve"> </w:t>
      </w:r>
      <w:r w:rsidR="00152622" w:rsidRPr="00152622">
        <w:rPr>
          <w:i/>
        </w:rPr>
        <w:t>https://www.riigiteataja.ee/en/eli/ee/507062016001/consolide</w:t>
      </w:r>
      <w:r w:rsidR="00152622">
        <w:t>).</w:t>
      </w:r>
    </w:p>
    <w:p w14:paraId="38472258" w14:textId="77777777" w:rsidR="0049297C" w:rsidRDefault="00D50CE4" w:rsidP="000A1D68">
      <w:pPr>
        <w:spacing w:line="276" w:lineRule="auto"/>
        <w:ind w:right="-141" w:firstLine="709"/>
        <w:jc w:val="both"/>
      </w:pPr>
      <w:r>
        <w:t>Arī Eiropas Padomes Ministru Komiteja ir atzinusi, ka</w:t>
      </w:r>
      <w:r w:rsidR="00801C65">
        <w:t>,</w:t>
      </w:r>
      <w:r>
        <w:t xml:space="preserve"> pat ja nav konstatējama valsts pārvaldes iestādes prettiesiska rīcība, personai būtu piešķirams atlīdzinājums, ja acīmredzami netaisnīgi būtu likt aizskartajai personai vienai ciest zaudējumus (</w:t>
      </w:r>
      <w:r w:rsidRPr="00751B6C">
        <w:rPr>
          <w:rFonts w:eastAsiaTheme="minorHAnsi"/>
          <w:i/>
          <w:lang w:eastAsia="en-US"/>
        </w:rPr>
        <w:t xml:space="preserve">Eiropas Padomes rekomendācija Nr. R(84) 15 „Par valsts atbildību” II </w:t>
      </w:r>
      <w:r w:rsidR="00801C65">
        <w:rPr>
          <w:rFonts w:eastAsiaTheme="minorHAnsi"/>
          <w:i/>
          <w:lang w:eastAsia="en-US"/>
        </w:rPr>
        <w:t>princips</w:t>
      </w:r>
      <w:r w:rsidRPr="00751B6C">
        <w:rPr>
          <w:rFonts w:eastAsiaTheme="minorHAnsi"/>
          <w:i/>
          <w:lang w:eastAsia="en-US"/>
        </w:rPr>
        <w:t>. Pieejams:</w:t>
      </w:r>
      <w:r w:rsidRPr="00751B6C">
        <w:rPr>
          <w:i/>
        </w:rPr>
        <w:t xml:space="preserve"> </w:t>
      </w:r>
      <w:r w:rsidR="00801C65" w:rsidRPr="00801C65">
        <w:rPr>
          <w:rStyle w:val="Hyperlink"/>
          <w:rFonts w:eastAsiaTheme="minorHAnsi"/>
          <w:i/>
          <w:color w:val="auto"/>
          <w:u w:val="none"/>
          <w:lang w:eastAsia="en-US"/>
        </w:rPr>
        <w:t>https://rm.coe.int/16804e3398</w:t>
      </w:r>
      <w:r>
        <w:rPr>
          <w:rFonts w:eastAsiaTheme="minorHAnsi"/>
          <w:lang w:eastAsia="en-US"/>
        </w:rPr>
        <w:t>)</w:t>
      </w:r>
      <w:r w:rsidR="00F80FEB">
        <w:rPr>
          <w:rFonts w:eastAsiaTheme="minorHAnsi"/>
          <w:lang w:eastAsia="en-US"/>
        </w:rPr>
        <w:t>.</w:t>
      </w:r>
      <w:r>
        <w:t xml:space="preserve"> </w:t>
      </w:r>
    </w:p>
    <w:p w14:paraId="02BA6A27" w14:textId="6723B0AF" w:rsidR="00231602" w:rsidRPr="000A1D68" w:rsidRDefault="000A1D68" w:rsidP="000A1D68">
      <w:pPr>
        <w:spacing w:line="276" w:lineRule="auto"/>
        <w:ind w:right="-141" w:firstLine="709"/>
        <w:jc w:val="both"/>
      </w:pPr>
      <w:r>
        <w:t>Eiropas Savienības ties</w:t>
      </w:r>
      <w:r w:rsidR="0049297C">
        <w:t>iskajā</w:t>
      </w:r>
      <w:r>
        <w:t xml:space="preserve"> sistēmā arī</w:t>
      </w:r>
      <w:r w:rsidR="00492F16">
        <w:t xml:space="preserve"> ir</w:t>
      </w:r>
      <w:r>
        <w:t xml:space="preserve"> nostiprināts uzskats, ka ir iespējama atbildība bez vainas jeb nekonstatējot prettiesisku rīcību</w:t>
      </w:r>
      <w:r w:rsidR="00864E3E">
        <w:t>, ja tiek konstatēt</w:t>
      </w:r>
      <w:r w:rsidR="004D5F2B">
        <w:t>s</w:t>
      </w:r>
      <w:r w:rsidR="00864E3E">
        <w:t xml:space="preserve"> neparasts un īpašs kaitējums</w:t>
      </w:r>
      <w:r>
        <w:t xml:space="preserve"> (</w:t>
      </w:r>
      <w:r>
        <w:rPr>
          <w:i/>
        </w:rPr>
        <w:t xml:space="preserve">Eiropas Savienības Tiesas </w:t>
      </w:r>
      <w:r w:rsidR="00ED7C3C">
        <w:rPr>
          <w:i/>
        </w:rPr>
        <w:t xml:space="preserve">2000.gada 15.jūnija </w:t>
      </w:r>
      <w:r>
        <w:rPr>
          <w:i/>
        </w:rPr>
        <w:t xml:space="preserve">sprieduma lietā </w:t>
      </w:r>
      <w:proofErr w:type="spellStart"/>
      <w:r w:rsidR="0049297C" w:rsidRPr="0049297C">
        <w:rPr>
          <w:i/>
        </w:rPr>
        <w:t>Dorsch</w:t>
      </w:r>
      <w:proofErr w:type="spellEnd"/>
      <w:r w:rsidR="0049297C" w:rsidRPr="0049297C">
        <w:rPr>
          <w:i/>
        </w:rPr>
        <w:t xml:space="preserve"> </w:t>
      </w:r>
      <w:proofErr w:type="spellStart"/>
      <w:r w:rsidR="0049297C" w:rsidRPr="0049297C">
        <w:rPr>
          <w:i/>
        </w:rPr>
        <w:t>Consult</w:t>
      </w:r>
      <w:proofErr w:type="spellEnd"/>
      <w:r w:rsidR="0049297C" w:rsidRPr="0049297C">
        <w:rPr>
          <w:i/>
        </w:rPr>
        <w:t>/Padome un Komisija</w:t>
      </w:r>
      <w:r w:rsidR="0049297C">
        <w:rPr>
          <w:i/>
        </w:rPr>
        <w:t>,</w:t>
      </w:r>
      <w:r w:rsidR="0049297C" w:rsidRPr="0049297C">
        <w:rPr>
          <w:i/>
        </w:rPr>
        <w:t xml:space="preserve"> </w:t>
      </w:r>
      <w:r>
        <w:rPr>
          <w:i/>
        </w:rPr>
        <w:t xml:space="preserve">C-237/98 </w:t>
      </w:r>
      <w:r w:rsidR="0049297C">
        <w:rPr>
          <w:i/>
        </w:rPr>
        <w:t>P</w:t>
      </w:r>
      <w:r>
        <w:rPr>
          <w:i/>
        </w:rPr>
        <w:t xml:space="preserve">, </w:t>
      </w:r>
      <w:r w:rsidR="00864E3E" w:rsidRPr="00864E3E">
        <w:rPr>
          <w:i/>
        </w:rPr>
        <w:t>ECLI:EU:C:2000:321</w:t>
      </w:r>
      <w:r w:rsidR="00864E3E">
        <w:rPr>
          <w:i/>
        </w:rPr>
        <w:t xml:space="preserve">, </w:t>
      </w:r>
      <w:r>
        <w:rPr>
          <w:i/>
        </w:rPr>
        <w:t>18</w:t>
      </w:r>
      <w:r w:rsidR="00864E3E">
        <w:rPr>
          <w:i/>
        </w:rPr>
        <w:t>.punkts</w:t>
      </w:r>
      <w:r>
        <w:t>).</w:t>
      </w:r>
    </w:p>
    <w:p w14:paraId="595DDB57" w14:textId="77777777" w:rsidR="00644969" w:rsidRDefault="00644969" w:rsidP="004C7E09">
      <w:pPr>
        <w:spacing w:line="276" w:lineRule="auto"/>
        <w:ind w:right="-141" w:firstLine="709"/>
        <w:jc w:val="both"/>
      </w:pPr>
    </w:p>
    <w:p w14:paraId="1C5E8D6C" w14:textId="647868D7" w:rsidR="00DC6824" w:rsidRDefault="00492F16" w:rsidP="004C7E09">
      <w:pPr>
        <w:spacing w:line="276" w:lineRule="auto"/>
        <w:ind w:right="-141" w:firstLine="709"/>
        <w:jc w:val="both"/>
      </w:pPr>
      <w:r>
        <w:t>[</w:t>
      </w:r>
      <w:r w:rsidR="00801C65">
        <w:t>1</w:t>
      </w:r>
      <w:r w:rsidR="003A24F8">
        <w:t>2</w:t>
      </w:r>
      <w:r w:rsidR="00644969">
        <w:t xml:space="preserve">] </w:t>
      </w:r>
      <w:r w:rsidR="00751B6C">
        <w:t>Vienlaikus iepriekš minētais nenozīmē, ka</w:t>
      </w:r>
      <w:r w:rsidR="00751B6C" w:rsidRPr="00923447">
        <w:t xml:space="preserve"> ka</w:t>
      </w:r>
      <w:r w:rsidR="00751B6C">
        <w:t>tr</w:t>
      </w:r>
      <w:r w:rsidR="00801C65">
        <w:t xml:space="preserve">s tiesību ierobežojums, kas radīts ar tiesisku iestādes darbību, būtu jāatlīdzina. </w:t>
      </w:r>
    </w:p>
    <w:p w14:paraId="1529B648" w14:textId="5E309CF8" w:rsidR="00DC6824" w:rsidRDefault="00DC6824" w:rsidP="004C7E09">
      <w:pPr>
        <w:spacing w:line="276" w:lineRule="auto"/>
        <w:ind w:right="-141" w:firstLine="709"/>
        <w:jc w:val="both"/>
      </w:pPr>
      <w:r>
        <w:t>Tiesas uzdevums būtu vērtēt, vai pastāv tāds personas tiesību ierobežojums, kas tai atšķirībā no citām personām uzliek sevišķu, ārkārtēju nastu vai liek paciest no citām personām atšķirīgu, sevišķu, ārkārtēju kaitējumu.</w:t>
      </w:r>
    </w:p>
    <w:p w14:paraId="53ADE2D2" w14:textId="26493CCC" w:rsidR="001D4165" w:rsidRPr="00C16C36" w:rsidRDefault="00DC6824" w:rsidP="00156237">
      <w:pPr>
        <w:spacing w:line="276" w:lineRule="auto"/>
        <w:ind w:right="-141" w:firstLine="709"/>
        <w:jc w:val="both"/>
      </w:pPr>
      <w:r>
        <w:t>Salīdzinot ar Vācijas tiesībām, jau pats Vācijas tiesībās lietotais</w:t>
      </w:r>
      <w:r w:rsidR="00751B6C">
        <w:t xml:space="preserve"> j</w:t>
      </w:r>
      <w:r w:rsidR="00231602">
        <w:t xml:space="preserve">ēdziens </w:t>
      </w:r>
      <w:r w:rsidR="00751B6C">
        <w:t>„</w:t>
      </w:r>
      <w:r w:rsidR="00231602">
        <w:t>īpašais upuris</w:t>
      </w:r>
      <w:r w:rsidR="00751B6C">
        <w:t>”</w:t>
      </w:r>
      <w:r w:rsidR="00231602">
        <w:t xml:space="preserve"> nozīmē, ka personas tiesisko interešu aizskārums ir lielāks nekā parasti</w:t>
      </w:r>
      <w:r w:rsidR="00BB3649">
        <w:t>. Kaitējums izriet ārpus parastā dzīves riska sakarā ar vienlīdzības principa pārkāpumu vai kaitējuma noteiktā smaguma dēļ</w:t>
      </w:r>
      <w:r w:rsidR="00231602">
        <w:t xml:space="preserve"> (</w:t>
      </w:r>
      <w:proofErr w:type="spellStart"/>
      <w:r w:rsidR="00231602" w:rsidRPr="00231602">
        <w:rPr>
          <w:i/>
        </w:rPr>
        <w:t>Paine</w:t>
      </w:r>
      <w:proofErr w:type="spellEnd"/>
      <w:r w:rsidR="00231602" w:rsidRPr="00231602">
        <w:rPr>
          <w:i/>
        </w:rPr>
        <w:t xml:space="preserve"> F.J. Vācijas vispārīgās administratīvās tiesības. Vācijas Administratīvā procesa likums. Rīg</w:t>
      </w:r>
      <w:r w:rsidR="00231602">
        <w:rPr>
          <w:i/>
        </w:rPr>
        <w:t>a: Tiesu namu aģentūra, 2002, 363</w:t>
      </w:r>
      <w:r w:rsidR="00231602" w:rsidRPr="00231602">
        <w:rPr>
          <w:i/>
        </w:rPr>
        <w:t>.</w:t>
      </w:r>
      <w:r w:rsidR="00BB3649">
        <w:rPr>
          <w:i/>
        </w:rPr>
        <w:t xml:space="preserve"> un 366.</w:t>
      </w:r>
      <w:r w:rsidR="00231602" w:rsidRPr="00231602">
        <w:rPr>
          <w:i/>
        </w:rPr>
        <w:t>lpp.</w:t>
      </w:r>
      <w:r w:rsidR="00231602">
        <w:t>)</w:t>
      </w:r>
      <w:r>
        <w:t>.</w:t>
      </w:r>
      <w:r w:rsidR="003A24F8">
        <w:t xml:space="preserve"> </w:t>
      </w:r>
      <w:r w:rsidR="001D4165">
        <w:t>Lai atzītu</w:t>
      </w:r>
      <w:r w:rsidR="00751B6C">
        <w:t xml:space="preserve">, ka </w:t>
      </w:r>
      <w:r w:rsidR="001D4165">
        <w:t xml:space="preserve">konkrētais gadījums ir „īpašā upura” gadījums, </w:t>
      </w:r>
      <w:r w:rsidR="00156237">
        <w:t>tam jāatbilst noteiktiem</w:t>
      </w:r>
      <w:r w:rsidR="001D4165">
        <w:t xml:space="preserve"> priekšnoteiku</w:t>
      </w:r>
      <w:r w:rsidR="00156237">
        <w:t>miem</w:t>
      </w:r>
      <w:r w:rsidR="001D4165">
        <w:t>.</w:t>
      </w:r>
      <w:r w:rsidR="00BB3649">
        <w:t xml:space="preserve"> Tie ir,</w:t>
      </w:r>
      <w:r w:rsidR="009E1FEA">
        <w:t xml:space="preserve"> rīcība veikta</w:t>
      </w:r>
      <w:r w:rsidR="00156237">
        <w:t xml:space="preserve"> vispārējās (sabiedrības) interesēs jeb tā ir valstiski svarīga, </w:t>
      </w:r>
      <w:r w:rsidR="00156237" w:rsidRPr="00156237">
        <w:t>rīcība ir b</w:t>
      </w:r>
      <w:r w:rsidR="00156237">
        <w:t>ijusi nepieciešama,</w:t>
      </w:r>
      <w:r w:rsidR="00491DAA">
        <w:t xml:space="preserve"> un</w:t>
      </w:r>
      <w:r w:rsidR="00156237">
        <w:t xml:space="preserve"> tās rezultātā personai izraisītas sevišķas ciešanas jeb </w:t>
      </w:r>
      <w:r w:rsidR="00156237" w:rsidRPr="00156237">
        <w:t>nodarīts ārkārtējs tiesību vai interešu aizskārums</w:t>
      </w:r>
      <w:r w:rsidR="00F57E44">
        <w:t xml:space="preserve"> (</w:t>
      </w:r>
      <w:r w:rsidR="00BB3649">
        <w:t xml:space="preserve">sal. </w:t>
      </w:r>
      <w:proofErr w:type="spellStart"/>
      <w:r w:rsidR="00F57E44" w:rsidRPr="00231602">
        <w:rPr>
          <w:i/>
        </w:rPr>
        <w:t>Paine</w:t>
      </w:r>
      <w:proofErr w:type="spellEnd"/>
      <w:r w:rsidR="00F57E44" w:rsidRPr="00231602">
        <w:rPr>
          <w:i/>
        </w:rPr>
        <w:t xml:space="preserve"> F.J. Vācijas vispārīgās administratīvās tiesības. Vācijas Administratīvā procesa likums. Rīg</w:t>
      </w:r>
      <w:r w:rsidR="00F57E44">
        <w:rPr>
          <w:i/>
        </w:rPr>
        <w:t>a: Tiesu namu aģentūra, 2002, 360.</w:t>
      </w:r>
      <w:r w:rsidR="0049297C">
        <w:rPr>
          <w:i/>
        </w:rPr>
        <w:t>–</w:t>
      </w:r>
      <w:r w:rsidR="00C16C36">
        <w:rPr>
          <w:i/>
        </w:rPr>
        <w:t>363</w:t>
      </w:r>
      <w:r w:rsidR="00F57E44" w:rsidRPr="00231602">
        <w:rPr>
          <w:i/>
        </w:rPr>
        <w:t>.lpp</w:t>
      </w:r>
      <w:r w:rsidR="0049297C">
        <w:rPr>
          <w:i/>
        </w:rPr>
        <w:t>.;</w:t>
      </w:r>
      <w:r w:rsidR="00491DAA">
        <w:rPr>
          <w:i/>
        </w:rPr>
        <w:t xml:space="preserve"> </w:t>
      </w:r>
      <w:r w:rsidR="00491DAA" w:rsidRPr="00751B6C">
        <w:rPr>
          <w:rFonts w:eastAsiaTheme="minorHAnsi"/>
          <w:i/>
          <w:lang w:eastAsia="en-US"/>
        </w:rPr>
        <w:t>Eiropas Padomes rekomendācija Nr. R(84) 15 „Par valsts atbildību”</w:t>
      </w:r>
      <w:r w:rsidR="00491DAA">
        <w:rPr>
          <w:rFonts w:eastAsiaTheme="minorHAnsi"/>
          <w:i/>
          <w:lang w:eastAsia="en-US"/>
        </w:rPr>
        <w:t xml:space="preserve"> II</w:t>
      </w:r>
      <w:r w:rsidR="0049297C">
        <w:rPr>
          <w:rFonts w:eastAsiaTheme="minorHAnsi"/>
          <w:i/>
          <w:lang w:eastAsia="en-US"/>
        </w:rPr>
        <w:t> princips</w:t>
      </w:r>
      <w:r w:rsidR="00491DAA">
        <w:rPr>
          <w:rFonts w:eastAsiaTheme="minorHAnsi"/>
          <w:i/>
          <w:lang w:eastAsia="en-US"/>
        </w:rPr>
        <w:t>. </w:t>
      </w:r>
      <w:r w:rsidR="00491DAA" w:rsidRPr="00751B6C">
        <w:rPr>
          <w:rFonts w:eastAsiaTheme="minorHAnsi"/>
          <w:i/>
          <w:lang w:eastAsia="en-US"/>
        </w:rPr>
        <w:t>Pieejams:</w:t>
      </w:r>
      <w:r w:rsidR="0049297C" w:rsidRPr="0049297C">
        <w:t xml:space="preserve"> </w:t>
      </w:r>
      <w:r w:rsidR="0049297C" w:rsidRPr="0049297C">
        <w:rPr>
          <w:i/>
        </w:rPr>
        <w:t>https://rm.coe.int/16804e3398</w:t>
      </w:r>
      <w:r w:rsidR="00C16C36">
        <w:t>).</w:t>
      </w:r>
    </w:p>
    <w:p w14:paraId="05907E5C" w14:textId="77777777" w:rsidR="0049297C" w:rsidRDefault="0049297C" w:rsidP="002E2A99">
      <w:pPr>
        <w:spacing w:line="276" w:lineRule="auto"/>
        <w:ind w:right="-141" w:firstLine="709"/>
        <w:jc w:val="both"/>
      </w:pPr>
    </w:p>
    <w:p w14:paraId="134C3E68" w14:textId="7A5ADE49" w:rsidR="0049297C" w:rsidRDefault="0049297C" w:rsidP="002E2A99">
      <w:pPr>
        <w:spacing w:line="276" w:lineRule="auto"/>
        <w:ind w:right="-141" w:firstLine="709"/>
        <w:jc w:val="both"/>
      </w:pPr>
      <w:r>
        <w:lastRenderedPageBreak/>
        <w:t>[</w:t>
      </w:r>
      <w:r w:rsidR="003A24F8">
        <w:t>13</w:t>
      </w:r>
      <w:r>
        <w:t xml:space="preserve">] Ievērojot minēto, Senāts uzskata, ka pieteicējas pieteiktais prasījums par kaitējuma atlīdzinājumu var tikt skatīts kā prasījums par atlīdzinājumu īpašā upura dēļ. </w:t>
      </w:r>
    </w:p>
    <w:p w14:paraId="437FC339" w14:textId="790A03F5" w:rsidR="002E2A99" w:rsidRPr="002E2A99" w:rsidRDefault="00767133" w:rsidP="002E2A99">
      <w:pPr>
        <w:spacing w:line="276" w:lineRule="auto"/>
        <w:ind w:right="-141" w:firstLine="709"/>
        <w:jc w:val="both"/>
      </w:pPr>
      <w:r>
        <w:t xml:space="preserve">No pieteicējas </w:t>
      </w:r>
      <w:r w:rsidR="003A24F8">
        <w:t>apgalvotajiem</w:t>
      </w:r>
      <w:r>
        <w:t xml:space="preserve"> apstākļiem izriet, ka </w:t>
      </w:r>
      <w:r w:rsidR="006D476A">
        <w:t xml:space="preserve">pieteicēja 2006.gadā iegādājās nekustamo īpašumu ar mērķi to apbūvēt. Tajā laikā nekas </w:t>
      </w:r>
      <w:r w:rsidR="003A24F8">
        <w:t>neesot</w:t>
      </w:r>
      <w:r w:rsidR="006D476A">
        <w:t xml:space="preserve"> liecinājis, ka blakus esošā Ādažu militārā poligona dēļ pieteicējas ieceri nebūs iespējams </w:t>
      </w:r>
      <w:r w:rsidR="003A24F8">
        <w:t>īstenot</w:t>
      </w:r>
      <w:r w:rsidR="006D476A">
        <w:t>. Arī vietējās pašvaldības amatpersonas apgalvojušas, ka poligons netraucēs nekustamā īpašuma lietošanu un attīstīšanu.</w:t>
      </w:r>
      <w:r w:rsidR="000C1F58">
        <w:t xml:space="preserve"> Tomēr pēdējo gadu laikā </w:t>
      </w:r>
      <w:r w:rsidR="003A24F8">
        <w:t>esot</w:t>
      </w:r>
      <w:r w:rsidR="000C1F58">
        <w:t xml:space="preserve"> palielinājusies militāro mācību intensitāte, kas pieteicējai radījis bažas par būtiskām neērtībām nākotnē. To apstiprinājis tas, ka 2019.gada 19.aprīlī uz pieguļošā zemesgabala, pāris desmitus metru attālumā no pieteicējai piederošā nekustamā īpašuma</w:t>
      </w:r>
      <w:r w:rsidR="003A24F8">
        <w:t>,</w:t>
      </w:r>
      <w:r w:rsidR="000C1F58">
        <w:t xml:space="preserve"> nokrita artilērijas lādiņš, izraisot ugunsgrēku. Pieteicējas ieskatā</w:t>
      </w:r>
      <w:r w:rsidR="003A24F8">
        <w:t>,</w:t>
      </w:r>
      <w:r w:rsidR="0043051B">
        <w:t xml:space="preserve"> dzīvojamās mājas būvniecība vairs nav iespējama bez draudiem pieteicējai, viņas mantai, kā arī ģimenes veselībai un dzīvībai. Pieteicēja norāda, ka viņai ir radīt</w:t>
      </w:r>
      <w:r w:rsidR="002E2A99">
        <w:t xml:space="preserve">i </w:t>
      </w:r>
      <w:r w:rsidR="003A24F8">
        <w:t>mantiskie</w:t>
      </w:r>
      <w:r w:rsidR="002E2A99">
        <w:t xml:space="preserve"> zaudējumi</w:t>
      </w:r>
      <w:r w:rsidR="0043051B">
        <w:t>.</w:t>
      </w:r>
      <w:r w:rsidR="0043051B" w:rsidRPr="0043051B">
        <w:t xml:space="preserve"> </w:t>
      </w:r>
      <w:r w:rsidR="002E2A99" w:rsidRPr="002E2A99">
        <w:t xml:space="preserve">Nekustamajā īpašumā vairs </w:t>
      </w:r>
      <w:r w:rsidR="003A24F8">
        <w:t>neesot</w:t>
      </w:r>
      <w:r w:rsidR="002E2A99" w:rsidRPr="002E2A99">
        <w:t xml:space="preserve"> iespējams būvēt dzīvojamo māju paaugstināta riska dēļ, kā arī zaudējumi </w:t>
      </w:r>
      <w:r w:rsidR="003A24F8">
        <w:t>esot</w:t>
      </w:r>
      <w:r w:rsidR="002E2A99" w:rsidRPr="002E2A99">
        <w:t xml:space="preserve"> radušies, izstrādājot būvprojektu un atmaksājot saņemto kredītu. Tāpat, ņemot vērā militāro mācību biežuma palielināšanos un 2019.gada 19.aprīlī notikušo mācību izraisītās sekas, nekustamo īpašumu </w:t>
      </w:r>
      <w:r w:rsidR="003A24F8">
        <w:t>neesot</w:t>
      </w:r>
      <w:r w:rsidR="002E2A99" w:rsidRPr="002E2A99">
        <w:t xml:space="preserve"> iespējams pārdot. Pārdodot nekustamo īpašumu vienīgi par 70</w:t>
      </w:r>
      <w:r w:rsidR="003A24F8">
        <w:t> </w:t>
      </w:r>
      <w:r w:rsidR="002E2A99" w:rsidRPr="002E2A99">
        <w:t xml:space="preserve">% no tā vērtības, pieteicējai tiktu nodarīti pārmērīgi </w:t>
      </w:r>
      <w:r w:rsidR="003A24F8">
        <w:t xml:space="preserve">mantiskie </w:t>
      </w:r>
      <w:r w:rsidR="002E2A99" w:rsidRPr="002E2A99">
        <w:t xml:space="preserve">zaudējumi. </w:t>
      </w:r>
    </w:p>
    <w:p w14:paraId="246A633C" w14:textId="5F3E1445" w:rsidR="005B04A8" w:rsidRPr="001F09B3" w:rsidRDefault="009E1FEA" w:rsidP="001F09B3">
      <w:pPr>
        <w:spacing w:line="276" w:lineRule="auto"/>
        <w:ind w:right="-141" w:firstLine="709"/>
        <w:jc w:val="both"/>
      </w:pPr>
      <w:r>
        <w:t>Senāta ieskatā</w:t>
      </w:r>
      <w:r w:rsidR="003A24F8">
        <w:t>, šie pieteicējas argumenti būtu pārbaudāmi, vērtējot pieteicējas prasījuma par atlīdzinājumu pamatotību atbilstoši iepriekš aprakstītajiem kritērijiem. T</w:t>
      </w:r>
      <w:r w:rsidR="005A1264">
        <w:t>iesa</w:t>
      </w:r>
      <w:r w:rsidR="00033591">
        <w:t xml:space="preserve">i </w:t>
      </w:r>
      <w:proofErr w:type="spellStart"/>
      <w:r w:rsidR="00033591">
        <w:t>citstarp</w:t>
      </w:r>
      <w:proofErr w:type="spellEnd"/>
      <w:r w:rsidR="005A1264">
        <w:t xml:space="preserve"> būtu jāpārbauda pieteicējas norādīto apgalvojumu par īpašuma vērtības samazināšanos pamatotība. </w:t>
      </w:r>
      <w:r w:rsidR="00076DBB">
        <w:t xml:space="preserve">Kā jau iepriekš minēts, </w:t>
      </w:r>
      <w:r w:rsidR="005A1264">
        <w:t>ne katrs īpašumtiesī</w:t>
      </w:r>
      <w:r w:rsidR="00342C14">
        <w:t>bu aizskārums ir atlīdzināms. Sevišķas ciešanas nepieciešams norobežot no</w:t>
      </w:r>
      <w:r w:rsidR="005A1264">
        <w:t xml:space="preserve"> vispārīgie</w:t>
      </w:r>
      <w:r w:rsidR="00342C14">
        <w:t>m dzīves riskiem,</w:t>
      </w:r>
      <w:r w:rsidR="005B04A8">
        <w:t xml:space="preserve"> proti, riskiem, ar kuriem </w:t>
      </w:r>
      <w:r w:rsidR="00342C14">
        <w:t>jāsamierinās katrai personai, konkrētos apstākļos</w:t>
      </w:r>
      <w:r w:rsidR="003A24F8">
        <w:t>, un samērīgiem tiesību ierobežojumiem</w:t>
      </w:r>
      <w:r w:rsidR="00342C14">
        <w:t xml:space="preserve">. </w:t>
      </w:r>
      <w:r w:rsidR="003A24F8">
        <w:t xml:space="preserve">Vērtējot samērīgumu, </w:t>
      </w:r>
      <w:r w:rsidR="003A24F8" w:rsidRPr="003A24F8">
        <w:t>v</w:t>
      </w:r>
      <w:r w:rsidR="00342C14" w:rsidRPr="003A24F8">
        <w:t xml:space="preserve">ērā </w:t>
      </w:r>
      <w:r w:rsidR="003A24F8" w:rsidRPr="003A24F8">
        <w:t xml:space="preserve">būtu </w:t>
      </w:r>
      <w:r w:rsidR="00342C14" w:rsidRPr="003A24F8">
        <w:t xml:space="preserve">ņemams arī </w:t>
      </w:r>
      <w:r w:rsidR="00076DBB">
        <w:t xml:space="preserve">tas, vai pieteicējai, jau </w:t>
      </w:r>
      <w:r w:rsidR="00342C14" w:rsidRPr="003A24F8">
        <w:t>iegādājoties īpašumu</w:t>
      </w:r>
      <w:r w:rsidR="00076DBB">
        <w:t>, bija saprotami vai bija jābūt saprotamiem ierobežojumiem, kas izriet no īpašuma atrašanās konkrētā vietā.</w:t>
      </w:r>
    </w:p>
    <w:p w14:paraId="097C4DFE" w14:textId="77777777" w:rsidR="002E2A99" w:rsidRDefault="002E2A99" w:rsidP="004B7157">
      <w:pPr>
        <w:spacing w:line="276" w:lineRule="auto"/>
        <w:ind w:right="-141"/>
        <w:jc w:val="both"/>
      </w:pPr>
    </w:p>
    <w:p w14:paraId="27FAF934" w14:textId="465A4C25" w:rsidR="00145F90" w:rsidRDefault="00145F90" w:rsidP="00747477">
      <w:pPr>
        <w:spacing w:line="276" w:lineRule="auto"/>
        <w:ind w:firstLine="567"/>
        <w:jc w:val="both"/>
        <w:rPr>
          <w:lang w:eastAsia="lv-LV"/>
        </w:rPr>
      </w:pPr>
      <w:r>
        <w:t>[</w:t>
      </w:r>
      <w:r w:rsidR="00033591">
        <w:t>1</w:t>
      </w:r>
      <w:r w:rsidR="003A24F8">
        <w:t>4</w:t>
      </w:r>
      <w:r>
        <w:t xml:space="preserve">] Ņemot vērā minēto, </w:t>
      </w:r>
      <w:r w:rsidR="00747477">
        <w:t>Administratīvās rajona tiesas tiesneša lēmums ir atceļams un</w:t>
      </w:r>
      <w:r w:rsidR="00747477" w:rsidRPr="00747477">
        <w:rPr>
          <w:lang w:eastAsia="lv-LV"/>
        </w:rPr>
        <w:t xml:space="preserve"> jautājums par </w:t>
      </w:r>
      <w:r w:rsidR="003A24F8">
        <w:rPr>
          <w:lang w:eastAsia="lv-LV"/>
        </w:rPr>
        <w:t xml:space="preserve">pieteikuma pieņemšanu </w:t>
      </w:r>
      <w:r w:rsidR="00747477" w:rsidRPr="00747477">
        <w:rPr>
          <w:lang w:eastAsia="lv-LV"/>
        </w:rPr>
        <w:t>nododams jaunai izskatīšanai A</w:t>
      </w:r>
      <w:r w:rsidR="00747477">
        <w:rPr>
          <w:lang w:eastAsia="lv-LV"/>
        </w:rPr>
        <w:t xml:space="preserve">dministratīvajai rajona </w:t>
      </w:r>
      <w:r w:rsidR="00076DBB">
        <w:rPr>
          <w:lang w:eastAsia="lv-LV"/>
        </w:rPr>
        <w:t>t</w:t>
      </w:r>
      <w:r w:rsidR="00747477">
        <w:rPr>
          <w:lang w:eastAsia="lv-LV"/>
        </w:rPr>
        <w:t>iesai.</w:t>
      </w:r>
      <w:r w:rsidR="00747477">
        <w:t xml:space="preserve"> </w:t>
      </w:r>
    </w:p>
    <w:p w14:paraId="53FF2E4D" w14:textId="63063994" w:rsidR="007A3C3C" w:rsidRPr="002D495D" w:rsidRDefault="00B150C8" w:rsidP="00145F90">
      <w:pPr>
        <w:spacing w:line="276" w:lineRule="auto"/>
        <w:ind w:right="-141" w:firstLine="709"/>
        <w:jc w:val="both"/>
        <w:rPr>
          <w:sz w:val="18"/>
          <w:szCs w:val="18"/>
        </w:rPr>
      </w:pPr>
      <w:r>
        <w:t xml:space="preserve"> </w:t>
      </w:r>
    </w:p>
    <w:p w14:paraId="16EDEE15" w14:textId="77777777" w:rsidR="00B447AA" w:rsidRPr="00287404" w:rsidRDefault="00B447AA" w:rsidP="00B447AA">
      <w:pPr>
        <w:spacing w:line="276" w:lineRule="auto"/>
        <w:jc w:val="center"/>
        <w:rPr>
          <w:b/>
        </w:rPr>
      </w:pPr>
      <w:r>
        <w:rPr>
          <w:b/>
        </w:rPr>
        <w:t>Rezolutīvā</w:t>
      </w:r>
      <w:r w:rsidRPr="00287404">
        <w:rPr>
          <w:b/>
        </w:rPr>
        <w:t xml:space="preserve"> daļa</w:t>
      </w:r>
    </w:p>
    <w:p w14:paraId="40D35613" w14:textId="77777777" w:rsidR="00B447AA" w:rsidRPr="002D495D" w:rsidRDefault="00B447AA" w:rsidP="00B447AA">
      <w:pPr>
        <w:spacing w:line="276" w:lineRule="auto"/>
        <w:ind w:firstLine="720"/>
        <w:jc w:val="both"/>
        <w:rPr>
          <w:sz w:val="18"/>
          <w:szCs w:val="18"/>
        </w:rPr>
      </w:pPr>
    </w:p>
    <w:p w14:paraId="0699E475" w14:textId="1FF3F2BB" w:rsidR="00B447AA" w:rsidRDefault="00B447AA" w:rsidP="00B447AA">
      <w:pPr>
        <w:spacing w:line="276" w:lineRule="auto"/>
        <w:ind w:firstLine="720"/>
        <w:jc w:val="both"/>
      </w:pPr>
      <w:r w:rsidRPr="006C24A4">
        <w:t xml:space="preserve">Pamatojoties uz </w:t>
      </w:r>
      <w:r w:rsidRPr="00843AED">
        <w:t>Administratīvā procesa likuma</w:t>
      </w:r>
      <w:r w:rsidRPr="001A54EA">
        <w:t xml:space="preserve"> </w:t>
      </w:r>
      <w:r w:rsidR="00747477">
        <w:rPr>
          <w:color w:val="000000"/>
        </w:rPr>
        <w:t>129.</w:t>
      </w:r>
      <w:r w:rsidR="00747477" w:rsidRPr="00041D37">
        <w:rPr>
          <w:color w:val="000000"/>
          <w:vertAlign w:val="superscript"/>
        </w:rPr>
        <w:t>1</w:t>
      </w:r>
      <w:r w:rsidR="00747477">
        <w:rPr>
          <w:color w:val="000000"/>
        </w:rPr>
        <w:t>panta pirmās daļas 1.punktu</w:t>
      </w:r>
      <w:r w:rsidR="00747477">
        <w:t xml:space="preserve">, </w:t>
      </w:r>
      <w:r w:rsidRPr="001A54EA">
        <w:t xml:space="preserve">323.panta pirmās daļas </w:t>
      </w:r>
      <w:r w:rsidR="00BD5C92">
        <w:t>2</w:t>
      </w:r>
      <w:r w:rsidR="00747477">
        <w:t>.</w:t>
      </w:r>
      <w:r w:rsidRPr="001A54EA">
        <w:t>punktu un 324.panta pirmo daļu</w:t>
      </w:r>
      <w:r w:rsidRPr="004B0B15">
        <w:t xml:space="preserve">, </w:t>
      </w:r>
      <w:r>
        <w:t>Senāts</w:t>
      </w:r>
    </w:p>
    <w:p w14:paraId="6CB3B6BD" w14:textId="77777777" w:rsidR="003A24F8" w:rsidRDefault="003A24F8" w:rsidP="00B447AA">
      <w:pPr>
        <w:spacing w:line="276" w:lineRule="auto"/>
        <w:ind w:firstLine="720"/>
        <w:jc w:val="both"/>
      </w:pPr>
    </w:p>
    <w:p w14:paraId="5A1501FC" w14:textId="05A91E81" w:rsidR="00B447AA" w:rsidRPr="00287404" w:rsidRDefault="00B447AA" w:rsidP="00B447AA">
      <w:pPr>
        <w:spacing w:line="276" w:lineRule="auto"/>
        <w:jc w:val="center"/>
        <w:rPr>
          <w:b/>
          <w:bCs/>
          <w:spacing w:val="70"/>
        </w:rPr>
      </w:pPr>
      <w:r>
        <w:rPr>
          <w:b/>
        </w:rPr>
        <w:t>n</w:t>
      </w:r>
      <w:r w:rsidRPr="00287404">
        <w:rPr>
          <w:b/>
        </w:rPr>
        <w:t>o</w:t>
      </w:r>
      <w:r>
        <w:rPr>
          <w:b/>
        </w:rPr>
        <w:t>lēm</w:t>
      </w:r>
      <w:r w:rsidRPr="00287404">
        <w:rPr>
          <w:b/>
        </w:rPr>
        <w:t>a</w:t>
      </w:r>
      <w:r w:rsidR="003A24F8">
        <w:rPr>
          <w:b/>
        </w:rPr>
        <w:t>:</w:t>
      </w:r>
    </w:p>
    <w:p w14:paraId="5D361CEA" w14:textId="77777777" w:rsidR="00B447AA" w:rsidRPr="002D495D" w:rsidRDefault="00B447AA" w:rsidP="00BE759D">
      <w:pPr>
        <w:spacing w:line="276" w:lineRule="auto"/>
        <w:ind w:firstLine="567"/>
        <w:jc w:val="both"/>
        <w:rPr>
          <w:sz w:val="18"/>
          <w:szCs w:val="18"/>
        </w:rPr>
      </w:pPr>
    </w:p>
    <w:p w14:paraId="35EA9AE2" w14:textId="5CAA2061" w:rsidR="00747477" w:rsidRDefault="00747477" w:rsidP="00747477">
      <w:pPr>
        <w:spacing w:line="276" w:lineRule="auto"/>
        <w:ind w:firstLine="567"/>
        <w:jc w:val="both"/>
      </w:pPr>
      <w:r>
        <w:t xml:space="preserve">atcelt Administratīvās rajona tiesas tiesneša 2019.gada 10.jūlija lēmumu </w:t>
      </w:r>
      <w:r w:rsidR="003A24F8">
        <w:t xml:space="preserve">un </w:t>
      </w:r>
      <w:r w:rsidR="00033591">
        <w:t>nodot jautājumu</w:t>
      </w:r>
      <w:r w:rsidR="00033591" w:rsidRPr="00033591">
        <w:t xml:space="preserve"> par </w:t>
      </w:r>
      <w:r w:rsidR="003A24F8">
        <w:t xml:space="preserve">pieteikuma pieņemšanu </w:t>
      </w:r>
      <w:r w:rsidR="00033591" w:rsidRPr="00033591">
        <w:t>jaunai izskatīšanai Administratīvajai rajona tiesai</w:t>
      </w:r>
      <w:r w:rsidR="003A24F8">
        <w:t>;</w:t>
      </w:r>
    </w:p>
    <w:p w14:paraId="5529028B" w14:textId="176E137C" w:rsidR="00747477" w:rsidRDefault="003A24F8" w:rsidP="00747477">
      <w:pPr>
        <w:spacing w:line="276" w:lineRule="auto"/>
        <w:ind w:firstLine="567"/>
        <w:jc w:val="both"/>
      </w:pPr>
      <w:r>
        <w:t>a</w:t>
      </w:r>
      <w:r w:rsidR="00747477">
        <w:t xml:space="preserve">tmaksāt </w:t>
      </w:r>
      <w:r w:rsidR="00DF3B52">
        <w:t>[pers. A]</w:t>
      </w:r>
      <w:r w:rsidR="00747477">
        <w:t xml:space="preserve"> drošības naudu 15 </w:t>
      </w:r>
      <w:proofErr w:type="spellStart"/>
      <w:r w:rsidR="00747477" w:rsidRPr="00E84A96">
        <w:rPr>
          <w:i/>
        </w:rPr>
        <w:t>euro</w:t>
      </w:r>
      <w:proofErr w:type="spellEnd"/>
      <w:r w:rsidR="00E84A96">
        <w:t>.</w:t>
      </w:r>
    </w:p>
    <w:p w14:paraId="7B6010F8" w14:textId="5F88D0F5" w:rsidR="007F2A15" w:rsidRDefault="00BE759D" w:rsidP="002D495D">
      <w:pPr>
        <w:spacing w:line="276" w:lineRule="auto"/>
        <w:ind w:firstLine="567"/>
        <w:jc w:val="both"/>
      </w:pPr>
      <w:r w:rsidRPr="00BE759D">
        <w:t>Lēmums nav pārsūdzams</w:t>
      </w:r>
      <w:r w:rsidR="00DF3B52">
        <w:t>.</w:t>
      </w:r>
    </w:p>
    <w:sectPr w:rsidR="007F2A15" w:rsidSect="007F2A15">
      <w:footerReference w:type="default" r:id="rId8"/>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4F82" w14:textId="77777777" w:rsidR="00345783" w:rsidRDefault="00345783" w:rsidP="006C5F6D">
      <w:r>
        <w:separator/>
      </w:r>
    </w:p>
  </w:endnote>
  <w:endnote w:type="continuationSeparator" w:id="0">
    <w:p w14:paraId="6179ECB3" w14:textId="77777777" w:rsidR="00345783" w:rsidRDefault="00345783" w:rsidP="006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798828"/>
      <w:docPartObj>
        <w:docPartGallery w:val="Page Numbers (Bottom of Page)"/>
        <w:docPartUnique/>
      </w:docPartObj>
    </w:sdtPr>
    <w:sdtEndPr/>
    <w:sdtContent>
      <w:sdt>
        <w:sdtPr>
          <w:id w:val="1728636285"/>
          <w:docPartObj>
            <w:docPartGallery w:val="Page Numbers (Top of Page)"/>
            <w:docPartUnique/>
          </w:docPartObj>
        </w:sdtPr>
        <w:sdtEndPr/>
        <w:sdtContent>
          <w:p w14:paraId="57AC013C" w14:textId="76352796" w:rsidR="00B33D20" w:rsidRPr="00B33D20" w:rsidRDefault="00B33D20">
            <w:pPr>
              <w:pStyle w:val="Footer"/>
              <w:jc w:val="center"/>
            </w:pPr>
            <w:r w:rsidRPr="00B33D20">
              <w:rPr>
                <w:bCs/>
              </w:rPr>
              <w:fldChar w:fldCharType="begin"/>
            </w:r>
            <w:r w:rsidRPr="00B33D20">
              <w:rPr>
                <w:bCs/>
              </w:rPr>
              <w:instrText xml:space="preserve"> PAGE </w:instrText>
            </w:r>
            <w:r w:rsidRPr="00B33D20">
              <w:rPr>
                <w:bCs/>
              </w:rPr>
              <w:fldChar w:fldCharType="separate"/>
            </w:r>
            <w:r>
              <w:rPr>
                <w:bCs/>
                <w:noProof/>
              </w:rPr>
              <w:t>5</w:t>
            </w:r>
            <w:r w:rsidRPr="00B33D20">
              <w:rPr>
                <w:bCs/>
              </w:rPr>
              <w:fldChar w:fldCharType="end"/>
            </w:r>
            <w:r w:rsidRPr="00B33D20">
              <w:t xml:space="preserve"> no </w:t>
            </w:r>
            <w:r w:rsidRPr="00B33D20">
              <w:rPr>
                <w:bCs/>
              </w:rPr>
              <w:fldChar w:fldCharType="begin"/>
            </w:r>
            <w:r w:rsidRPr="00B33D20">
              <w:rPr>
                <w:bCs/>
              </w:rPr>
              <w:instrText xml:space="preserve"> NUMPAGES  </w:instrText>
            </w:r>
            <w:r w:rsidRPr="00B33D20">
              <w:rPr>
                <w:bCs/>
              </w:rPr>
              <w:fldChar w:fldCharType="separate"/>
            </w:r>
            <w:r>
              <w:rPr>
                <w:bCs/>
                <w:noProof/>
              </w:rPr>
              <w:t>5</w:t>
            </w:r>
            <w:r w:rsidRPr="00B33D20">
              <w:rPr>
                <w:bCs/>
              </w:rPr>
              <w:fldChar w:fldCharType="end"/>
            </w:r>
          </w:p>
        </w:sdtContent>
      </w:sdt>
    </w:sdtContent>
  </w:sdt>
  <w:p w14:paraId="46358DC0" w14:textId="77777777" w:rsidR="0016400F" w:rsidRDefault="001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818E" w14:textId="77777777" w:rsidR="00345783" w:rsidRDefault="00345783" w:rsidP="006C5F6D">
      <w:r>
        <w:separator/>
      </w:r>
    </w:p>
  </w:footnote>
  <w:footnote w:type="continuationSeparator" w:id="0">
    <w:p w14:paraId="0D3FB3AF" w14:textId="77777777" w:rsidR="00345783" w:rsidRDefault="00345783" w:rsidP="006C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C"/>
    <w:rsid w:val="00003CF9"/>
    <w:rsid w:val="00023C83"/>
    <w:rsid w:val="00025056"/>
    <w:rsid w:val="000257D1"/>
    <w:rsid w:val="00033591"/>
    <w:rsid w:val="00042FF2"/>
    <w:rsid w:val="00056315"/>
    <w:rsid w:val="00060D8D"/>
    <w:rsid w:val="0006375C"/>
    <w:rsid w:val="000651DF"/>
    <w:rsid w:val="00065F79"/>
    <w:rsid w:val="00071C18"/>
    <w:rsid w:val="00076DBB"/>
    <w:rsid w:val="000940E1"/>
    <w:rsid w:val="000A1D68"/>
    <w:rsid w:val="000A2C0A"/>
    <w:rsid w:val="000A6870"/>
    <w:rsid w:val="000C1F58"/>
    <w:rsid w:val="000C2251"/>
    <w:rsid w:val="000C2612"/>
    <w:rsid w:val="000C482D"/>
    <w:rsid w:val="000C72A9"/>
    <w:rsid w:val="000D59DE"/>
    <w:rsid w:val="000E5EAF"/>
    <w:rsid w:val="000F2FF6"/>
    <w:rsid w:val="000F4784"/>
    <w:rsid w:val="0010222A"/>
    <w:rsid w:val="00104F92"/>
    <w:rsid w:val="00106FB2"/>
    <w:rsid w:val="001259D5"/>
    <w:rsid w:val="0012626B"/>
    <w:rsid w:val="00126299"/>
    <w:rsid w:val="00130D40"/>
    <w:rsid w:val="00131E35"/>
    <w:rsid w:val="001324BC"/>
    <w:rsid w:val="00145F90"/>
    <w:rsid w:val="00152622"/>
    <w:rsid w:val="00156237"/>
    <w:rsid w:val="00156520"/>
    <w:rsid w:val="0015757D"/>
    <w:rsid w:val="001612C1"/>
    <w:rsid w:val="00163171"/>
    <w:rsid w:val="0016400F"/>
    <w:rsid w:val="00165238"/>
    <w:rsid w:val="0017778C"/>
    <w:rsid w:val="001C1ADA"/>
    <w:rsid w:val="001D158A"/>
    <w:rsid w:val="001D38C6"/>
    <w:rsid w:val="001D4165"/>
    <w:rsid w:val="001E35ED"/>
    <w:rsid w:val="001F09B3"/>
    <w:rsid w:val="001F5468"/>
    <w:rsid w:val="001F72C2"/>
    <w:rsid w:val="002014B3"/>
    <w:rsid w:val="002067F9"/>
    <w:rsid w:val="00206E95"/>
    <w:rsid w:val="00212B55"/>
    <w:rsid w:val="00220059"/>
    <w:rsid w:val="00222C2B"/>
    <w:rsid w:val="00231602"/>
    <w:rsid w:val="00236E08"/>
    <w:rsid w:val="00244129"/>
    <w:rsid w:val="0025215B"/>
    <w:rsid w:val="002611C3"/>
    <w:rsid w:val="0027708A"/>
    <w:rsid w:val="00282FBA"/>
    <w:rsid w:val="00285B52"/>
    <w:rsid w:val="002A1A4C"/>
    <w:rsid w:val="002B0D1D"/>
    <w:rsid w:val="002B7053"/>
    <w:rsid w:val="002C00B5"/>
    <w:rsid w:val="002C2AD7"/>
    <w:rsid w:val="002C544A"/>
    <w:rsid w:val="002D1902"/>
    <w:rsid w:val="002D495D"/>
    <w:rsid w:val="002D583C"/>
    <w:rsid w:val="002E2A99"/>
    <w:rsid w:val="002F0341"/>
    <w:rsid w:val="002F1F1D"/>
    <w:rsid w:val="00300988"/>
    <w:rsid w:val="00342C14"/>
    <w:rsid w:val="00345783"/>
    <w:rsid w:val="00345C67"/>
    <w:rsid w:val="003532CE"/>
    <w:rsid w:val="00355027"/>
    <w:rsid w:val="00356FFE"/>
    <w:rsid w:val="00364558"/>
    <w:rsid w:val="0036763E"/>
    <w:rsid w:val="0038436D"/>
    <w:rsid w:val="00385F77"/>
    <w:rsid w:val="00386FD1"/>
    <w:rsid w:val="003971F5"/>
    <w:rsid w:val="003A125C"/>
    <w:rsid w:val="003A24F8"/>
    <w:rsid w:val="003B1C79"/>
    <w:rsid w:val="003C6CBE"/>
    <w:rsid w:val="003D2720"/>
    <w:rsid w:val="003D7570"/>
    <w:rsid w:val="003E1D96"/>
    <w:rsid w:val="003F00C8"/>
    <w:rsid w:val="003F1C3A"/>
    <w:rsid w:val="003F39C9"/>
    <w:rsid w:val="003F477A"/>
    <w:rsid w:val="003F6236"/>
    <w:rsid w:val="00411005"/>
    <w:rsid w:val="00424B84"/>
    <w:rsid w:val="0043051B"/>
    <w:rsid w:val="00442206"/>
    <w:rsid w:val="00447C1B"/>
    <w:rsid w:val="00454B00"/>
    <w:rsid w:val="004637CD"/>
    <w:rsid w:val="004706C9"/>
    <w:rsid w:val="00470794"/>
    <w:rsid w:val="004800CC"/>
    <w:rsid w:val="00482F94"/>
    <w:rsid w:val="00491837"/>
    <w:rsid w:val="00491DAA"/>
    <w:rsid w:val="0049297C"/>
    <w:rsid w:val="00492F16"/>
    <w:rsid w:val="004A2731"/>
    <w:rsid w:val="004B0462"/>
    <w:rsid w:val="004B3ACE"/>
    <w:rsid w:val="004B7157"/>
    <w:rsid w:val="004C5A68"/>
    <w:rsid w:val="004C5E8D"/>
    <w:rsid w:val="004C7E09"/>
    <w:rsid w:val="004D1F37"/>
    <w:rsid w:val="004D228C"/>
    <w:rsid w:val="004D4EA9"/>
    <w:rsid w:val="004D5F2B"/>
    <w:rsid w:val="004D61A7"/>
    <w:rsid w:val="004E4421"/>
    <w:rsid w:val="00512BE9"/>
    <w:rsid w:val="0051421A"/>
    <w:rsid w:val="00514CA1"/>
    <w:rsid w:val="0052148C"/>
    <w:rsid w:val="005240E8"/>
    <w:rsid w:val="0054002A"/>
    <w:rsid w:val="00540799"/>
    <w:rsid w:val="0054442A"/>
    <w:rsid w:val="00562132"/>
    <w:rsid w:val="00563A6A"/>
    <w:rsid w:val="00576607"/>
    <w:rsid w:val="0059447B"/>
    <w:rsid w:val="0059720A"/>
    <w:rsid w:val="005A1264"/>
    <w:rsid w:val="005A409C"/>
    <w:rsid w:val="005B04A8"/>
    <w:rsid w:val="005C0201"/>
    <w:rsid w:val="005D74BB"/>
    <w:rsid w:val="00604883"/>
    <w:rsid w:val="00613921"/>
    <w:rsid w:val="00614F15"/>
    <w:rsid w:val="00616465"/>
    <w:rsid w:val="00621CF7"/>
    <w:rsid w:val="0063684C"/>
    <w:rsid w:val="0064371B"/>
    <w:rsid w:val="00644969"/>
    <w:rsid w:val="006472C0"/>
    <w:rsid w:val="00652D36"/>
    <w:rsid w:val="00653B49"/>
    <w:rsid w:val="00654DE4"/>
    <w:rsid w:val="0065740D"/>
    <w:rsid w:val="006640BE"/>
    <w:rsid w:val="0067029F"/>
    <w:rsid w:val="00677434"/>
    <w:rsid w:val="00685043"/>
    <w:rsid w:val="00691791"/>
    <w:rsid w:val="006A79E7"/>
    <w:rsid w:val="006B0DDF"/>
    <w:rsid w:val="006B3EDE"/>
    <w:rsid w:val="006C5F6D"/>
    <w:rsid w:val="006D332D"/>
    <w:rsid w:val="006D476A"/>
    <w:rsid w:val="006E3EA7"/>
    <w:rsid w:val="006F02B3"/>
    <w:rsid w:val="007116DA"/>
    <w:rsid w:val="00736AAA"/>
    <w:rsid w:val="00747477"/>
    <w:rsid w:val="00751B6C"/>
    <w:rsid w:val="00765B04"/>
    <w:rsid w:val="00767133"/>
    <w:rsid w:val="00772BC6"/>
    <w:rsid w:val="007800E2"/>
    <w:rsid w:val="00795AB3"/>
    <w:rsid w:val="0079767F"/>
    <w:rsid w:val="007A3685"/>
    <w:rsid w:val="007A3C3C"/>
    <w:rsid w:val="007B5408"/>
    <w:rsid w:val="007C4D62"/>
    <w:rsid w:val="007F1606"/>
    <w:rsid w:val="007F2A15"/>
    <w:rsid w:val="00801C65"/>
    <w:rsid w:val="00804CDC"/>
    <w:rsid w:val="008243C7"/>
    <w:rsid w:val="00830BCC"/>
    <w:rsid w:val="00832174"/>
    <w:rsid w:val="00832F31"/>
    <w:rsid w:val="0083300C"/>
    <w:rsid w:val="00852149"/>
    <w:rsid w:val="00853954"/>
    <w:rsid w:val="008552B5"/>
    <w:rsid w:val="00864E3E"/>
    <w:rsid w:val="0087385B"/>
    <w:rsid w:val="00874390"/>
    <w:rsid w:val="00881E80"/>
    <w:rsid w:val="00895799"/>
    <w:rsid w:val="00896847"/>
    <w:rsid w:val="008A2E00"/>
    <w:rsid w:val="008A4D2B"/>
    <w:rsid w:val="008A6035"/>
    <w:rsid w:val="008A66A2"/>
    <w:rsid w:val="008B33A0"/>
    <w:rsid w:val="008C12D8"/>
    <w:rsid w:val="008C72E4"/>
    <w:rsid w:val="008E1331"/>
    <w:rsid w:val="008F51C5"/>
    <w:rsid w:val="00905FF8"/>
    <w:rsid w:val="009122F9"/>
    <w:rsid w:val="0091384E"/>
    <w:rsid w:val="00923043"/>
    <w:rsid w:val="00923447"/>
    <w:rsid w:val="00930074"/>
    <w:rsid w:val="00933711"/>
    <w:rsid w:val="009372DE"/>
    <w:rsid w:val="00941492"/>
    <w:rsid w:val="0094302D"/>
    <w:rsid w:val="00943FF6"/>
    <w:rsid w:val="009613EC"/>
    <w:rsid w:val="00965A20"/>
    <w:rsid w:val="009677DF"/>
    <w:rsid w:val="00967C1F"/>
    <w:rsid w:val="00977196"/>
    <w:rsid w:val="009A312D"/>
    <w:rsid w:val="009A4E71"/>
    <w:rsid w:val="009B60D5"/>
    <w:rsid w:val="009C3828"/>
    <w:rsid w:val="009C3FCA"/>
    <w:rsid w:val="009C7056"/>
    <w:rsid w:val="009D0798"/>
    <w:rsid w:val="009D09E5"/>
    <w:rsid w:val="009E1FEA"/>
    <w:rsid w:val="009E21F5"/>
    <w:rsid w:val="00A02752"/>
    <w:rsid w:val="00A04C82"/>
    <w:rsid w:val="00A0590B"/>
    <w:rsid w:val="00A1325D"/>
    <w:rsid w:val="00A24A71"/>
    <w:rsid w:val="00A35D27"/>
    <w:rsid w:val="00A41A6F"/>
    <w:rsid w:val="00A42435"/>
    <w:rsid w:val="00A50CB5"/>
    <w:rsid w:val="00A64166"/>
    <w:rsid w:val="00A70B6B"/>
    <w:rsid w:val="00A77C5A"/>
    <w:rsid w:val="00A8566A"/>
    <w:rsid w:val="00A95F9A"/>
    <w:rsid w:val="00A96F8E"/>
    <w:rsid w:val="00AA17DF"/>
    <w:rsid w:val="00AA478E"/>
    <w:rsid w:val="00AD39EB"/>
    <w:rsid w:val="00AE67F6"/>
    <w:rsid w:val="00B07040"/>
    <w:rsid w:val="00B150C8"/>
    <w:rsid w:val="00B155CF"/>
    <w:rsid w:val="00B178D8"/>
    <w:rsid w:val="00B31186"/>
    <w:rsid w:val="00B31320"/>
    <w:rsid w:val="00B32F36"/>
    <w:rsid w:val="00B33316"/>
    <w:rsid w:val="00B33D20"/>
    <w:rsid w:val="00B401D3"/>
    <w:rsid w:val="00B447AA"/>
    <w:rsid w:val="00B5050C"/>
    <w:rsid w:val="00B53997"/>
    <w:rsid w:val="00B63507"/>
    <w:rsid w:val="00B91472"/>
    <w:rsid w:val="00B91CA8"/>
    <w:rsid w:val="00B93B31"/>
    <w:rsid w:val="00BA74FD"/>
    <w:rsid w:val="00BB0861"/>
    <w:rsid w:val="00BB17D3"/>
    <w:rsid w:val="00BB3649"/>
    <w:rsid w:val="00BD0998"/>
    <w:rsid w:val="00BD1AA7"/>
    <w:rsid w:val="00BD49A7"/>
    <w:rsid w:val="00BD5C92"/>
    <w:rsid w:val="00BE1679"/>
    <w:rsid w:val="00BE30B5"/>
    <w:rsid w:val="00BE6103"/>
    <w:rsid w:val="00BE759D"/>
    <w:rsid w:val="00BF50A0"/>
    <w:rsid w:val="00C01F92"/>
    <w:rsid w:val="00C1006B"/>
    <w:rsid w:val="00C10450"/>
    <w:rsid w:val="00C12AC6"/>
    <w:rsid w:val="00C16C36"/>
    <w:rsid w:val="00C20924"/>
    <w:rsid w:val="00C2206F"/>
    <w:rsid w:val="00C236C8"/>
    <w:rsid w:val="00C359D2"/>
    <w:rsid w:val="00C37274"/>
    <w:rsid w:val="00C42920"/>
    <w:rsid w:val="00C4787C"/>
    <w:rsid w:val="00C541A2"/>
    <w:rsid w:val="00C57371"/>
    <w:rsid w:val="00C60560"/>
    <w:rsid w:val="00C67BFF"/>
    <w:rsid w:val="00C73CE5"/>
    <w:rsid w:val="00C73DC6"/>
    <w:rsid w:val="00C75F78"/>
    <w:rsid w:val="00C86BA3"/>
    <w:rsid w:val="00C9378E"/>
    <w:rsid w:val="00CA2FCA"/>
    <w:rsid w:val="00CA737B"/>
    <w:rsid w:val="00CB54F4"/>
    <w:rsid w:val="00CC00A6"/>
    <w:rsid w:val="00CC3902"/>
    <w:rsid w:val="00CC7E93"/>
    <w:rsid w:val="00CD1042"/>
    <w:rsid w:val="00CD74A1"/>
    <w:rsid w:val="00CE0543"/>
    <w:rsid w:val="00CE19B4"/>
    <w:rsid w:val="00CE46E7"/>
    <w:rsid w:val="00CF5D5D"/>
    <w:rsid w:val="00D22F17"/>
    <w:rsid w:val="00D43348"/>
    <w:rsid w:val="00D44389"/>
    <w:rsid w:val="00D444D7"/>
    <w:rsid w:val="00D45967"/>
    <w:rsid w:val="00D50CE4"/>
    <w:rsid w:val="00D52A04"/>
    <w:rsid w:val="00D52A4C"/>
    <w:rsid w:val="00D60A9B"/>
    <w:rsid w:val="00D63537"/>
    <w:rsid w:val="00D708D4"/>
    <w:rsid w:val="00D75F88"/>
    <w:rsid w:val="00D8089A"/>
    <w:rsid w:val="00D95D1E"/>
    <w:rsid w:val="00DB0F80"/>
    <w:rsid w:val="00DB17F4"/>
    <w:rsid w:val="00DB1B4E"/>
    <w:rsid w:val="00DC0EDA"/>
    <w:rsid w:val="00DC314D"/>
    <w:rsid w:val="00DC6824"/>
    <w:rsid w:val="00DD348C"/>
    <w:rsid w:val="00DD62E1"/>
    <w:rsid w:val="00DE21AD"/>
    <w:rsid w:val="00DE7269"/>
    <w:rsid w:val="00DF2990"/>
    <w:rsid w:val="00DF3B52"/>
    <w:rsid w:val="00E02971"/>
    <w:rsid w:val="00E12978"/>
    <w:rsid w:val="00E15349"/>
    <w:rsid w:val="00E17794"/>
    <w:rsid w:val="00E22838"/>
    <w:rsid w:val="00E27ABA"/>
    <w:rsid w:val="00E30B19"/>
    <w:rsid w:val="00E3512D"/>
    <w:rsid w:val="00E4501B"/>
    <w:rsid w:val="00E45AD9"/>
    <w:rsid w:val="00E636A3"/>
    <w:rsid w:val="00E659E0"/>
    <w:rsid w:val="00E67AA9"/>
    <w:rsid w:val="00E70AD9"/>
    <w:rsid w:val="00E70CCE"/>
    <w:rsid w:val="00E77DCC"/>
    <w:rsid w:val="00E815D4"/>
    <w:rsid w:val="00E84A96"/>
    <w:rsid w:val="00E84E4F"/>
    <w:rsid w:val="00E85116"/>
    <w:rsid w:val="00E90FB4"/>
    <w:rsid w:val="00E95D08"/>
    <w:rsid w:val="00EA1A9D"/>
    <w:rsid w:val="00EB1F46"/>
    <w:rsid w:val="00EB599A"/>
    <w:rsid w:val="00EB7855"/>
    <w:rsid w:val="00EC3033"/>
    <w:rsid w:val="00EC4208"/>
    <w:rsid w:val="00EC703E"/>
    <w:rsid w:val="00ED7C3C"/>
    <w:rsid w:val="00EF04EC"/>
    <w:rsid w:val="00EF1D19"/>
    <w:rsid w:val="00F04976"/>
    <w:rsid w:val="00F04CA8"/>
    <w:rsid w:val="00F16194"/>
    <w:rsid w:val="00F2295E"/>
    <w:rsid w:val="00F3317E"/>
    <w:rsid w:val="00F34EDE"/>
    <w:rsid w:val="00F35D0A"/>
    <w:rsid w:val="00F36B3F"/>
    <w:rsid w:val="00F3722F"/>
    <w:rsid w:val="00F57E44"/>
    <w:rsid w:val="00F6674B"/>
    <w:rsid w:val="00F7336F"/>
    <w:rsid w:val="00F74E72"/>
    <w:rsid w:val="00F751E5"/>
    <w:rsid w:val="00F80FEB"/>
    <w:rsid w:val="00F81D93"/>
    <w:rsid w:val="00F9794F"/>
    <w:rsid w:val="00FB4237"/>
    <w:rsid w:val="00FC5BD1"/>
    <w:rsid w:val="00FD02E0"/>
    <w:rsid w:val="00FD412D"/>
    <w:rsid w:val="00FD61DD"/>
    <w:rsid w:val="00FE39B7"/>
    <w:rsid w:val="00FE7DD1"/>
    <w:rsid w:val="00FF4D49"/>
    <w:rsid w:val="00FF53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8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C3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3C3C"/>
    <w:pPr>
      <w:spacing w:after="120" w:line="480" w:lineRule="auto"/>
    </w:pPr>
    <w:rPr>
      <w:lang w:val="x-none"/>
    </w:rPr>
  </w:style>
  <w:style w:type="character" w:customStyle="1" w:styleId="BodyText2Char">
    <w:name w:val="Body Text 2 Char"/>
    <w:basedOn w:val="DefaultParagraphFont"/>
    <w:link w:val="BodyText2"/>
    <w:rsid w:val="007A3C3C"/>
    <w:rPr>
      <w:rFonts w:eastAsia="Times New Roman" w:cs="Times New Roman"/>
      <w:szCs w:val="24"/>
      <w:lang w:val="x-none" w:eastAsia="ru-RU"/>
    </w:rPr>
  </w:style>
  <w:style w:type="table" w:styleId="TableGrid">
    <w:name w:val="Table Grid"/>
    <w:basedOn w:val="TableNormal"/>
    <w:uiPriority w:val="39"/>
    <w:rsid w:val="007A3C3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F6D"/>
    <w:pPr>
      <w:tabs>
        <w:tab w:val="center" w:pos="4153"/>
        <w:tab w:val="right" w:pos="8306"/>
      </w:tabs>
    </w:pPr>
  </w:style>
  <w:style w:type="character" w:customStyle="1" w:styleId="HeaderChar">
    <w:name w:val="Header Char"/>
    <w:basedOn w:val="DefaultParagraphFont"/>
    <w:link w:val="Header"/>
    <w:uiPriority w:val="99"/>
    <w:rsid w:val="006C5F6D"/>
    <w:rPr>
      <w:rFonts w:eastAsia="Times New Roman" w:cs="Times New Roman"/>
      <w:szCs w:val="24"/>
      <w:lang w:eastAsia="ru-RU"/>
    </w:rPr>
  </w:style>
  <w:style w:type="paragraph" w:styleId="Footer">
    <w:name w:val="footer"/>
    <w:basedOn w:val="Normal"/>
    <w:link w:val="FooterChar"/>
    <w:uiPriority w:val="99"/>
    <w:unhideWhenUsed/>
    <w:rsid w:val="006C5F6D"/>
    <w:pPr>
      <w:tabs>
        <w:tab w:val="center" w:pos="4153"/>
        <w:tab w:val="right" w:pos="8306"/>
      </w:tabs>
    </w:pPr>
  </w:style>
  <w:style w:type="character" w:customStyle="1" w:styleId="FooterChar">
    <w:name w:val="Footer Char"/>
    <w:basedOn w:val="DefaultParagraphFont"/>
    <w:link w:val="Footer"/>
    <w:uiPriority w:val="99"/>
    <w:qFormat/>
    <w:rsid w:val="006C5F6D"/>
    <w:rPr>
      <w:rFonts w:eastAsia="Times New Roman" w:cs="Times New Roman"/>
      <w:szCs w:val="24"/>
      <w:lang w:eastAsia="ru-RU"/>
    </w:rPr>
  </w:style>
  <w:style w:type="character" w:styleId="PageNumber">
    <w:name w:val="page number"/>
    <w:basedOn w:val="DefaultParagraphFont"/>
    <w:qFormat/>
    <w:rsid w:val="006C5F6D"/>
  </w:style>
  <w:style w:type="paragraph" w:customStyle="1" w:styleId="tv213">
    <w:name w:val="tv213"/>
    <w:basedOn w:val="Normal"/>
    <w:rsid w:val="00003CF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1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D"/>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1791"/>
    <w:rPr>
      <w:color w:val="0563C1" w:themeColor="hyperlink"/>
      <w:u w:val="single"/>
    </w:rPr>
  </w:style>
  <w:style w:type="character" w:customStyle="1" w:styleId="UnresolvedMention1">
    <w:name w:val="Unresolved Mention1"/>
    <w:basedOn w:val="DefaultParagraphFont"/>
    <w:uiPriority w:val="99"/>
    <w:semiHidden/>
    <w:unhideWhenUsed/>
    <w:rsid w:val="00691791"/>
    <w:rPr>
      <w:color w:val="605E5C"/>
      <w:shd w:val="clear" w:color="auto" w:fill="E1DFDD"/>
    </w:rPr>
  </w:style>
  <w:style w:type="paragraph" w:styleId="NormalWeb">
    <w:name w:val="Normal (Web)"/>
    <w:basedOn w:val="Normal"/>
    <w:uiPriority w:val="99"/>
    <w:unhideWhenUsed/>
    <w:rsid w:val="00E45AD9"/>
  </w:style>
  <w:style w:type="character" w:styleId="UnresolvedMention">
    <w:name w:val="Unresolved Mention"/>
    <w:basedOn w:val="DefaultParagraphFont"/>
    <w:uiPriority w:val="99"/>
    <w:semiHidden/>
    <w:unhideWhenUsed/>
    <w:rsid w:val="0010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195">
      <w:bodyDiv w:val="1"/>
      <w:marLeft w:val="0"/>
      <w:marRight w:val="0"/>
      <w:marTop w:val="0"/>
      <w:marBottom w:val="0"/>
      <w:divBdr>
        <w:top w:val="none" w:sz="0" w:space="0" w:color="auto"/>
        <w:left w:val="none" w:sz="0" w:space="0" w:color="auto"/>
        <w:bottom w:val="none" w:sz="0" w:space="0" w:color="auto"/>
        <w:right w:val="none" w:sz="0" w:space="0" w:color="auto"/>
      </w:divBdr>
    </w:div>
    <w:div w:id="12962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555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4.SKA152819.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10092</Words>
  <Characters>5753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2019-10-08T09:24:00Z</dcterms:created>
  <dcterms:modified xsi:type="dcterms:W3CDTF">2019-10-08T12:13:00Z</dcterms:modified>
</cp:coreProperties>
</file>