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DAC62" w14:textId="77777777" w:rsidR="00B921CE" w:rsidRPr="00B921CE" w:rsidRDefault="00B921CE" w:rsidP="00B921CE">
      <w:pPr>
        <w:spacing w:line="276" w:lineRule="auto"/>
        <w:rPr>
          <w:b/>
          <w:bCs/>
        </w:rPr>
      </w:pPr>
      <w:r w:rsidRPr="00B921CE">
        <w:rPr>
          <w:b/>
          <w:bCs/>
        </w:rPr>
        <w:t>Protests par lēmumu par prasības nodrošinājumu</w:t>
      </w:r>
    </w:p>
    <w:p w14:paraId="4681EC7A" w14:textId="4BEF8691" w:rsidR="00B921CE" w:rsidRPr="00B921CE" w:rsidRDefault="00B921CE" w:rsidP="00B921CE">
      <w:pPr>
        <w:spacing w:line="276" w:lineRule="auto"/>
        <w:ind w:right="64" w:firstLine="567"/>
        <w:jc w:val="both"/>
      </w:pPr>
      <w:r w:rsidRPr="00B921CE">
        <w:t>Likums nepieļauj protesta iesniegšanu par tiesas lēmumu par prasības nodrošināšanu. Ja lietas dalībnieka ieskatā ar prasības nodrošinājumu ir būtiski aizskartas tā tiesības, tad tam ir jāiesniedz pieteikums par prasības nodrošinājuma atcelšanu, nevis jāmēģina rast citus alternatīvus ceļus šā nolēmuma atcelšanai</w:t>
      </w:r>
      <w:r w:rsidR="00983B3B">
        <w:t>.</w:t>
      </w:r>
    </w:p>
    <w:p w14:paraId="70D4BAB5" w14:textId="77777777" w:rsidR="00B921CE" w:rsidRDefault="00B921CE" w:rsidP="00175E74">
      <w:pPr>
        <w:spacing w:line="276" w:lineRule="auto"/>
        <w:ind w:left="2160" w:right="64" w:firstLine="720"/>
        <w:jc w:val="right"/>
      </w:pPr>
    </w:p>
    <w:p w14:paraId="31D176D6" w14:textId="77777777" w:rsidR="00B921CE" w:rsidRPr="006116FC" w:rsidRDefault="00B921CE" w:rsidP="00B921CE">
      <w:pPr>
        <w:shd w:val="clear" w:color="auto" w:fill="FFFFFF"/>
        <w:spacing w:line="276" w:lineRule="auto"/>
        <w:jc w:val="center"/>
        <w:rPr>
          <w:b/>
          <w:bCs/>
        </w:rPr>
      </w:pPr>
      <w:r w:rsidRPr="006116FC">
        <w:rPr>
          <w:b/>
          <w:bCs/>
          <w:color w:val="000000"/>
        </w:rPr>
        <w:t xml:space="preserve">Latvijas </w:t>
      </w:r>
      <w:r w:rsidRPr="006116FC">
        <w:rPr>
          <w:b/>
          <w:bCs/>
        </w:rPr>
        <w:t>Republikas Senāta</w:t>
      </w:r>
    </w:p>
    <w:p w14:paraId="4BC8B38D" w14:textId="77777777" w:rsidR="00B921CE" w:rsidRPr="006116FC" w:rsidRDefault="00B921CE" w:rsidP="00B921CE">
      <w:pPr>
        <w:shd w:val="clear" w:color="auto" w:fill="FFFFFF"/>
        <w:spacing w:line="276" w:lineRule="auto"/>
        <w:jc w:val="center"/>
        <w:rPr>
          <w:b/>
          <w:bCs/>
          <w:color w:val="000000"/>
        </w:rPr>
      </w:pPr>
      <w:r w:rsidRPr="006116FC">
        <w:rPr>
          <w:b/>
          <w:bCs/>
          <w:color w:val="000000"/>
        </w:rPr>
        <w:t xml:space="preserve">Civillietu departamenta </w:t>
      </w:r>
    </w:p>
    <w:p w14:paraId="6D9D10D2" w14:textId="611D5C26" w:rsidR="00B921CE" w:rsidRPr="006116FC" w:rsidRDefault="00B921CE" w:rsidP="00B921CE">
      <w:pPr>
        <w:shd w:val="clear" w:color="auto" w:fill="FFFFFF"/>
        <w:spacing w:line="276" w:lineRule="auto"/>
        <w:jc w:val="center"/>
        <w:rPr>
          <w:b/>
          <w:bCs/>
          <w:color w:val="000000"/>
        </w:rPr>
      </w:pPr>
      <w:r w:rsidRPr="006116FC">
        <w:rPr>
          <w:b/>
          <w:bCs/>
          <w:color w:val="000000"/>
        </w:rPr>
        <w:t xml:space="preserve">2019.gada </w:t>
      </w:r>
      <w:r>
        <w:rPr>
          <w:b/>
          <w:bCs/>
          <w:color w:val="000000"/>
        </w:rPr>
        <w:t>13</w:t>
      </w:r>
      <w:r w:rsidRPr="006116FC">
        <w:rPr>
          <w:b/>
          <w:bCs/>
          <w:color w:val="000000"/>
        </w:rPr>
        <w:t>.</w:t>
      </w:r>
      <w:r>
        <w:rPr>
          <w:b/>
          <w:bCs/>
          <w:color w:val="000000"/>
        </w:rPr>
        <w:t>novembr</w:t>
      </w:r>
      <w:r w:rsidRPr="006116FC">
        <w:rPr>
          <w:b/>
          <w:bCs/>
          <w:color w:val="000000"/>
        </w:rPr>
        <w:t>a</w:t>
      </w:r>
    </w:p>
    <w:p w14:paraId="3D9B3802" w14:textId="6F4D6A66" w:rsidR="00B921CE" w:rsidRPr="006116FC" w:rsidRDefault="00B921CE" w:rsidP="00B921CE">
      <w:pPr>
        <w:shd w:val="clear" w:color="auto" w:fill="FFFFFF"/>
        <w:spacing w:line="276" w:lineRule="auto"/>
        <w:jc w:val="center"/>
        <w:rPr>
          <w:b/>
          <w:bCs/>
          <w:color w:val="000000"/>
        </w:rPr>
      </w:pPr>
      <w:r>
        <w:rPr>
          <w:b/>
          <w:bCs/>
          <w:color w:val="000000"/>
        </w:rPr>
        <w:t>RĪCĪBAS SĒDES LĒM</w:t>
      </w:r>
      <w:r w:rsidRPr="006116FC">
        <w:rPr>
          <w:b/>
          <w:bCs/>
          <w:color w:val="000000"/>
        </w:rPr>
        <w:t>UMS</w:t>
      </w:r>
    </w:p>
    <w:p w14:paraId="06C077FA" w14:textId="30212EC1" w:rsidR="00B921CE" w:rsidRPr="006116FC" w:rsidRDefault="00B921CE" w:rsidP="00B921CE">
      <w:pPr>
        <w:shd w:val="clear" w:color="auto" w:fill="FFFFFF"/>
        <w:spacing w:line="276" w:lineRule="auto"/>
        <w:jc w:val="center"/>
        <w:rPr>
          <w:b/>
          <w:bCs/>
          <w:color w:val="000000"/>
        </w:rPr>
      </w:pPr>
      <w:r w:rsidRPr="006116FC">
        <w:rPr>
          <w:b/>
          <w:bCs/>
          <w:color w:val="000000"/>
        </w:rPr>
        <w:t>Lieta Nr.</w:t>
      </w:r>
      <w:r w:rsidRPr="00B921CE">
        <w:rPr>
          <w:b/>
          <w:bCs/>
          <w:color w:val="000000"/>
        </w:rPr>
        <w:t>C30696519</w:t>
      </w:r>
      <w:r w:rsidRPr="006116FC">
        <w:rPr>
          <w:b/>
          <w:bCs/>
          <w:color w:val="000000"/>
        </w:rPr>
        <w:t>, S</w:t>
      </w:r>
      <w:r>
        <w:rPr>
          <w:b/>
          <w:bCs/>
          <w:color w:val="000000"/>
        </w:rPr>
        <w:t>P</w:t>
      </w:r>
      <w:r w:rsidRPr="006116FC">
        <w:rPr>
          <w:b/>
          <w:bCs/>
          <w:color w:val="000000"/>
        </w:rPr>
        <w:t>C-</w:t>
      </w:r>
      <w:r>
        <w:rPr>
          <w:b/>
          <w:bCs/>
          <w:color w:val="000000"/>
        </w:rPr>
        <w:t>30</w:t>
      </w:r>
      <w:r w:rsidRPr="006116FC">
        <w:rPr>
          <w:b/>
          <w:bCs/>
          <w:color w:val="000000"/>
        </w:rPr>
        <w:t>/2019</w:t>
      </w:r>
      <w:bookmarkStart w:id="0" w:name="_GoBack"/>
      <w:bookmarkEnd w:id="0"/>
    </w:p>
    <w:p w14:paraId="1A12DF8B" w14:textId="47606DB6" w:rsidR="00175E74" w:rsidRDefault="000168CA" w:rsidP="00B921CE">
      <w:pPr>
        <w:tabs>
          <w:tab w:val="left" w:pos="142"/>
        </w:tabs>
        <w:spacing w:line="276" w:lineRule="auto"/>
        <w:ind w:right="-1"/>
        <w:jc w:val="center"/>
        <w:rPr>
          <w:color w:val="0563C1" w:themeColor="hyperlink"/>
          <w:u w:val="single"/>
        </w:rPr>
      </w:pPr>
      <w:hyperlink r:id="rId8" w:history="1">
        <w:r w:rsidR="00B921CE" w:rsidRPr="006116FC">
          <w:rPr>
            <w:color w:val="0563C1" w:themeColor="hyperlink"/>
            <w:u w:val="single"/>
          </w:rPr>
          <w:t>ECLI:LV:AT:2019:</w:t>
        </w:r>
        <w:r w:rsidR="00B921CE">
          <w:rPr>
            <w:color w:val="0563C1" w:themeColor="hyperlink"/>
            <w:u w:val="single"/>
          </w:rPr>
          <w:t>1113</w:t>
        </w:r>
        <w:r w:rsidR="00B921CE" w:rsidRPr="006116FC">
          <w:rPr>
            <w:color w:val="0563C1" w:themeColor="hyperlink"/>
            <w:u w:val="single"/>
          </w:rPr>
          <w:t>.C</w:t>
        </w:r>
        <w:r w:rsidR="00B921CE">
          <w:rPr>
            <w:color w:val="0563C1" w:themeColor="hyperlink"/>
            <w:u w:val="single"/>
          </w:rPr>
          <w:t>30696519</w:t>
        </w:r>
        <w:r w:rsidR="00B921CE" w:rsidRPr="006116FC">
          <w:rPr>
            <w:color w:val="0563C1" w:themeColor="hyperlink"/>
            <w:u w:val="single"/>
          </w:rPr>
          <w:t>.</w:t>
        </w:r>
        <w:r w:rsidR="00B921CE">
          <w:rPr>
            <w:color w:val="0563C1" w:themeColor="hyperlink"/>
            <w:u w:val="single"/>
          </w:rPr>
          <w:t>5.L</w:t>
        </w:r>
      </w:hyperlink>
    </w:p>
    <w:p w14:paraId="6EEA9D79" w14:textId="77777777" w:rsidR="00B921CE" w:rsidRPr="00B921CE" w:rsidRDefault="00B921CE" w:rsidP="00B921CE">
      <w:pPr>
        <w:tabs>
          <w:tab w:val="left" w:pos="142"/>
        </w:tabs>
        <w:spacing w:line="276" w:lineRule="auto"/>
        <w:ind w:right="-514"/>
        <w:jc w:val="center"/>
      </w:pPr>
    </w:p>
    <w:p w14:paraId="1E8513A3" w14:textId="77777777" w:rsidR="00175E74" w:rsidRDefault="00175E74" w:rsidP="00175E74">
      <w:pPr>
        <w:spacing w:line="276" w:lineRule="auto"/>
        <w:ind w:firstLine="720"/>
        <w:jc w:val="both"/>
      </w:pPr>
      <w:r>
        <w:t>Senāt</w:t>
      </w:r>
      <w:r w:rsidR="00050FA8">
        <w:t>a senatoru kolēģija</w:t>
      </w:r>
      <w:r>
        <w:t xml:space="preserve"> šādā sastāvā: </w:t>
      </w:r>
    </w:p>
    <w:p w14:paraId="724F250F" w14:textId="77777777" w:rsidR="00175E74" w:rsidRDefault="00175E74" w:rsidP="00175E74">
      <w:pPr>
        <w:spacing w:line="276" w:lineRule="auto"/>
        <w:ind w:left="720" w:firstLine="720"/>
        <w:jc w:val="both"/>
      </w:pPr>
      <w:r>
        <w:t xml:space="preserve">senators Normunds Salenieks, </w:t>
      </w:r>
    </w:p>
    <w:p w14:paraId="614DB046" w14:textId="77777777" w:rsidR="00CA2206" w:rsidRDefault="00175E74" w:rsidP="00175E74">
      <w:pPr>
        <w:spacing w:line="276" w:lineRule="auto"/>
        <w:ind w:left="720" w:firstLine="720"/>
        <w:jc w:val="both"/>
      </w:pPr>
      <w:r>
        <w:t xml:space="preserve">senators </w:t>
      </w:r>
      <w:r w:rsidR="00050FA8" w:rsidRPr="00050FA8">
        <w:t>Aivars Keišs</w:t>
      </w:r>
      <w:r w:rsidR="00050FA8">
        <w:t>,</w:t>
      </w:r>
    </w:p>
    <w:p w14:paraId="7C706922" w14:textId="77777777" w:rsidR="00175E74" w:rsidRDefault="00175E74" w:rsidP="00175E74">
      <w:pPr>
        <w:spacing w:line="276" w:lineRule="auto"/>
        <w:ind w:left="720" w:firstLine="720"/>
        <w:jc w:val="both"/>
      </w:pPr>
      <w:r>
        <w:t xml:space="preserve">senators </w:t>
      </w:r>
      <w:r w:rsidR="00050FA8">
        <w:t>Aigars Strupišs</w:t>
      </w:r>
    </w:p>
    <w:p w14:paraId="7F7E3948" w14:textId="77777777" w:rsidR="00175E74" w:rsidRDefault="00175E74" w:rsidP="00175E74">
      <w:pPr>
        <w:spacing w:line="276" w:lineRule="auto"/>
        <w:ind w:firstLine="720"/>
        <w:jc w:val="both"/>
      </w:pPr>
    </w:p>
    <w:p w14:paraId="286869C8" w14:textId="77777777" w:rsidR="00175E74" w:rsidRDefault="00050FA8" w:rsidP="00175E74">
      <w:pPr>
        <w:spacing w:line="276" w:lineRule="auto"/>
        <w:ind w:firstLine="720"/>
        <w:jc w:val="both"/>
      </w:pPr>
      <w:r>
        <w:t>rīcības sēdē</w:t>
      </w:r>
      <w:r w:rsidR="00175E74">
        <w:t xml:space="preserve"> izskatīja Ģenerālprokuratūras Personu un valsts tiesību aizsardzības departamenta virsprokurora protestu par Rīgas pilsētas Vidzemes priekšpilsētas tiesas tiesneša 2019.gada 14.augusta lēmumu par prasības nodrošināšanu.</w:t>
      </w:r>
    </w:p>
    <w:p w14:paraId="48AEE36A" w14:textId="77777777" w:rsidR="00175E74" w:rsidRDefault="00175E74" w:rsidP="00175E74">
      <w:pPr>
        <w:spacing w:line="276" w:lineRule="auto"/>
        <w:ind w:firstLine="720"/>
        <w:jc w:val="both"/>
      </w:pPr>
    </w:p>
    <w:p w14:paraId="78573777" w14:textId="77777777" w:rsidR="00175E74" w:rsidRDefault="00175E74" w:rsidP="00B921CE">
      <w:pPr>
        <w:spacing w:line="276" w:lineRule="auto"/>
        <w:ind w:hanging="142"/>
        <w:jc w:val="center"/>
        <w:rPr>
          <w:b/>
        </w:rPr>
      </w:pPr>
      <w:r>
        <w:rPr>
          <w:b/>
        </w:rPr>
        <w:t>Aprakstošā daļa</w:t>
      </w:r>
    </w:p>
    <w:p w14:paraId="44F7C7E4" w14:textId="77777777" w:rsidR="00175E74" w:rsidRDefault="00175E74" w:rsidP="00175E74">
      <w:pPr>
        <w:spacing w:line="276" w:lineRule="auto"/>
        <w:ind w:firstLine="720"/>
        <w:jc w:val="center"/>
        <w:rPr>
          <w:b/>
        </w:rPr>
      </w:pPr>
    </w:p>
    <w:p w14:paraId="70BC52D0" w14:textId="77777777" w:rsidR="00175E74" w:rsidRDefault="00175E74" w:rsidP="00175E74">
      <w:pPr>
        <w:spacing w:line="276" w:lineRule="auto"/>
        <w:ind w:firstLine="720"/>
        <w:jc w:val="both"/>
        <w:rPr>
          <w:rFonts w:ascii="TimesNewRomanPSMT" w:hAnsi="TimesNewRomanPSMT" w:cs="TimesNewRomanPSMT"/>
        </w:rPr>
      </w:pPr>
      <w:r w:rsidRPr="00F053AB">
        <w:rPr>
          <w:rFonts w:ascii="TimesNewRomanPSMT" w:hAnsi="TimesNewRomanPSMT" w:cs="TimesNewRomanPSMT"/>
        </w:rPr>
        <w:t xml:space="preserve">[1] </w:t>
      </w:r>
      <w:r>
        <w:rPr>
          <w:rFonts w:ascii="TimesNewRomanPSMT" w:hAnsi="TimesNewRomanPSMT" w:cs="TimesNewRomanPSMT"/>
        </w:rPr>
        <w:t xml:space="preserve">Starp </w:t>
      </w:r>
      <w:r w:rsidRPr="001F6907">
        <w:rPr>
          <w:rFonts w:ascii="TimesNewRomanPSMT" w:hAnsi="TimesNewRomanPSMT" w:cs="TimesNewRomanPSMT"/>
        </w:rPr>
        <w:t>VAS „Valsts nekustamie īpašumi”</w:t>
      </w:r>
      <w:r>
        <w:rPr>
          <w:rFonts w:ascii="TimesNewRomanPSMT" w:hAnsi="TimesNewRomanPSMT" w:cs="TimesNewRomanPSMT"/>
        </w:rPr>
        <w:t xml:space="preserve"> kā pasūtītāju un PS „RERE BŪVE 1” kā uzņēmēju 2018.gada 3.jūlijā noslēgts līgums Nr. 7/2-1-18-8/1352 par būvdarbu veikšanu objektā Lāčplēša ielā 25, Rīgā.</w:t>
      </w:r>
    </w:p>
    <w:p w14:paraId="03C1DF5E" w14:textId="77777777" w:rsidR="00175E74" w:rsidRDefault="00175E74" w:rsidP="00175E74">
      <w:pPr>
        <w:spacing w:line="276" w:lineRule="auto"/>
        <w:ind w:firstLine="720"/>
        <w:jc w:val="both"/>
        <w:rPr>
          <w:rFonts w:ascii="TimesNewRomanPSMT" w:hAnsi="TimesNewRomanPSMT" w:cs="TimesNewRomanPSMT"/>
        </w:rPr>
      </w:pPr>
      <w:r>
        <w:rPr>
          <w:rFonts w:ascii="TimesNewRomanPSMT" w:hAnsi="TimesNewRomanPSMT" w:cs="TimesNewRomanPSMT"/>
        </w:rPr>
        <w:t xml:space="preserve">VAS „Valsts nekustamie īpašumi” 2019.gada 23.jūlijā paziņojusi </w:t>
      </w:r>
      <w:r w:rsidRPr="005A4973">
        <w:rPr>
          <w:rFonts w:ascii="TimesNewRomanPSMT" w:hAnsi="TimesNewRomanPSMT" w:cs="TimesNewRomanPSMT"/>
        </w:rPr>
        <w:t>PS „RERE BŪVE</w:t>
      </w:r>
      <w:r>
        <w:rPr>
          <w:rFonts w:ascii="TimesNewRomanPSMT" w:hAnsi="TimesNewRomanPSMT" w:cs="TimesNewRomanPSMT"/>
        </w:rPr>
        <w:t> </w:t>
      </w:r>
      <w:r w:rsidRPr="005A4973">
        <w:rPr>
          <w:rFonts w:ascii="TimesNewRomanPSMT" w:hAnsi="TimesNewRomanPSMT" w:cs="TimesNewRomanPSMT"/>
        </w:rPr>
        <w:t>1”</w:t>
      </w:r>
      <w:r>
        <w:rPr>
          <w:rFonts w:ascii="TimesNewRomanPSMT" w:hAnsi="TimesNewRomanPSMT" w:cs="TimesNewRomanPSMT"/>
        </w:rPr>
        <w:t xml:space="preserve"> par vienpusēju līguma </w:t>
      </w:r>
      <w:r w:rsidRPr="005A4973">
        <w:rPr>
          <w:rFonts w:ascii="TimesNewRomanPSMT" w:hAnsi="TimesNewRomanPSMT" w:cs="TimesNewRomanPSMT"/>
        </w:rPr>
        <w:t>Nr. 7/2-1-18-8/1352</w:t>
      </w:r>
      <w:r>
        <w:rPr>
          <w:rFonts w:ascii="TimesNewRomanPSMT" w:hAnsi="TimesNewRomanPSMT" w:cs="TimesNewRomanPSMT"/>
        </w:rPr>
        <w:t xml:space="preserve"> izbeigšanu.</w:t>
      </w:r>
    </w:p>
    <w:p w14:paraId="3FA2B88B" w14:textId="77777777" w:rsidR="00175E74" w:rsidRDefault="00175E74" w:rsidP="00175E74">
      <w:pPr>
        <w:spacing w:line="276" w:lineRule="auto"/>
        <w:ind w:firstLine="720"/>
        <w:jc w:val="both"/>
        <w:rPr>
          <w:rFonts w:ascii="TimesNewRomanPSMT" w:hAnsi="TimesNewRomanPSMT" w:cs="TimesNewRomanPSMT"/>
        </w:rPr>
      </w:pPr>
    </w:p>
    <w:p w14:paraId="608E8A74" w14:textId="77777777" w:rsidR="00175E74" w:rsidRDefault="00175E74" w:rsidP="00175E74">
      <w:pPr>
        <w:spacing w:line="276" w:lineRule="auto"/>
        <w:ind w:firstLine="720"/>
        <w:jc w:val="both"/>
        <w:rPr>
          <w:rFonts w:ascii="TimesNewRomanPSMT" w:hAnsi="TimesNewRomanPSMT" w:cs="TimesNewRomanPSMT"/>
        </w:rPr>
      </w:pPr>
      <w:r>
        <w:rPr>
          <w:rFonts w:ascii="TimesNewRomanPSMT" w:hAnsi="TimesNewRomanPSMT" w:cs="TimesNewRomanPSMT"/>
        </w:rPr>
        <w:t>[2] PS „RERE BŪVE 1” 2019.gada 6.augustā iesniegusi tiesā prasību pret VAS „Valsts nekustamie īpašumi”, lūdzot:</w:t>
      </w:r>
    </w:p>
    <w:p w14:paraId="57627BCD" w14:textId="77777777" w:rsidR="00175E74" w:rsidRDefault="00175E74" w:rsidP="00175E74">
      <w:pPr>
        <w:numPr>
          <w:ilvl w:val="0"/>
          <w:numId w:val="7"/>
        </w:numPr>
        <w:spacing w:line="276" w:lineRule="auto"/>
        <w:jc w:val="both"/>
        <w:rPr>
          <w:rFonts w:ascii="TimesNewRomanPSMT" w:hAnsi="TimesNewRomanPSMT" w:cs="TimesNewRomanPSMT"/>
        </w:rPr>
      </w:pPr>
      <w:r>
        <w:rPr>
          <w:rFonts w:ascii="TimesNewRomanPSMT" w:hAnsi="TimesNewRomanPSMT" w:cs="TimesNewRomanPSMT"/>
        </w:rPr>
        <w:t>atzīt līguma uzteikumu par nepamatotu un prettiesisku;</w:t>
      </w:r>
    </w:p>
    <w:p w14:paraId="78344461" w14:textId="77777777" w:rsidR="00175E74" w:rsidRDefault="00175E74" w:rsidP="00175E74">
      <w:pPr>
        <w:numPr>
          <w:ilvl w:val="0"/>
          <w:numId w:val="7"/>
        </w:numPr>
        <w:spacing w:line="276" w:lineRule="auto"/>
        <w:jc w:val="both"/>
        <w:rPr>
          <w:rFonts w:ascii="TimesNewRomanPSMT" w:hAnsi="TimesNewRomanPSMT" w:cs="TimesNewRomanPSMT"/>
        </w:rPr>
      </w:pPr>
      <w:r w:rsidRPr="000B0ABB">
        <w:rPr>
          <w:rFonts w:ascii="TimesNewRomanPSMT" w:hAnsi="TimesNewRomanPSMT" w:cs="TimesNewRomanPSMT"/>
        </w:rPr>
        <w:t>atzīt līguma uzteikumu par spēkā neesošu no tā izdošanas dienas;</w:t>
      </w:r>
    </w:p>
    <w:p w14:paraId="08304670" w14:textId="77777777" w:rsidR="00175E74" w:rsidRDefault="00175E74" w:rsidP="00175E74">
      <w:pPr>
        <w:numPr>
          <w:ilvl w:val="0"/>
          <w:numId w:val="7"/>
        </w:numPr>
        <w:spacing w:line="276" w:lineRule="auto"/>
        <w:jc w:val="both"/>
        <w:rPr>
          <w:rFonts w:ascii="TimesNewRomanPSMT" w:hAnsi="TimesNewRomanPSMT" w:cs="TimesNewRomanPSMT"/>
        </w:rPr>
      </w:pPr>
      <w:r w:rsidRPr="000B0ABB">
        <w:rPr>
          <w:rFonts w:ascii="TimesNewRomanPSMT" w:hAnsi="TimesNewRomanPSMT" w:cs="TimesNewRomanPSMT"/>
        </w:rPr>
        <w:t>atzīt līgumu par spēkā esošu un izpildāmu;</w:t>
      </w:r>
    </w:p>
    <w:p w14:paraId="3F0ADA47" w14:textId="77777777" w:rsidR="00175E74" w:rsidRDefault="00175E74" w:rsidP="00175E74">
      <w:pPr>
        <w:numPr>
          <w:ilvl w:val="0"/>
          <w:numId w:val="7"/>
        </w:numPr>
        <w:spacing w:line="276" w:lineRule="auto"/>
        <w:jc w:val="both"/>
        <w:rPr>
          <w:rFonts w:ascii="TimesNewRomanPSMT" w:hAnsi="TimesNewRomanPSMT" w:cs="TimesNewRomanPSMT"/>
        </w:rPr>
      </w:pPr>
      <w:r w:rsidRPr="000B0ABB">
        <w:rPr>
          <w:rFonts w:ascii="TimesNewRomanPSMT" w:hAnsi="TimesNewRomanPSMT" w:cs="TimesNewRomanPSMT"/>
        </w:rPr>
        <w:t>atzīt prasītājai tiesības uz līguma izpildes termiņa pagarinājumu un uzlikt par pienākumu atbildētājai pildīt līgumu, tajā skaitā noteikt jaunu</w:t>
      </w:r>
      <w:r w:rsidR="00280C22">
        <w:rPr>
          <w:rFonts w:ascii="TimesNewRomanPSMT" w:hAnsi="TimesNewRomanPSMT" w:cs="TimesNewRomanPSMT"/>
        </w:rPr>
        <w:t>,</w:t>
      </w:r>
      <w:r w:rsidRPr="000B0ABB">
        <w:rPr>
          <w:rFonts w:ascii="TimesNewRomanPSMT" w:hAnsi="TimesNewRomanPSMT" w:cs="TimesNewRomanPSMT"/>
        </w:rPr>
        <w:t xml:space="preserve"> saprātīgu līgumā noteikto darbu pabeigšanas termiņu;</w:t>
      </w:r>
    </w:p>
    <w:p w14:paraId="1E64BA59" w14:textId="77777777" w:rsidR="00175E74" w:rsidRPr="000B0ABB" w:rsidRDefault="00175E74" w:rsidP="00175E74">
      <w:pPr>
        <w:numPr>
          <w:ilvl w:val="0"/>
          <w:numId w:val="7"/>
        </w:numPr>
        <w:spacing w:line="276" w:lineRule="auto"/>
        <w:jc w:val="both"/>
        <w:rPr>
          <w:rFonts w:ascii="TimesNewRomanPSMT" w:hAnsi="TimesNewRomanPSMT" w:cs="TimesNewRomanPSMT"/>
        </w:rPr>
      </w:pPr>
      <w:r w:rsidRPr="000B0ABB">
        <w:rPr>
          <w:rFonts w:ascii="TimesNewRomanPSMT" w:hAnsi="TimesNewRomanPSMT" w:cs="TimesNewRomanPSMT"/>
        </w:rPr>
        <w:t>piemērot Civilprocesa likuma 138.panta pirmās daļas 5.punkta prasības nodrošinājuma līdzekli – aizliegumu atbildētājam veikt noteiktas darbības.</w:t>
      </w:r>
    </w:p>
    <w:p w14:paraId="194DB908" w14:textId="77777777" w:rsidR="00175E74" w:rsidRDefault="00175E74" w:rsidP="00175E74">
      <w:pPr>
        <w:spacing w:line="276" w:lineRule="auto"/>
        <w:ind w:firstLine="720"/>
        <w:jc w:val="both"/>
        <w:rPr>
          <w:rFonts w:ascii="TimesNewRomanPSMT" w:hAnsi="TimesNewRomanPSMT" w:cs="TimesNewRomanPSMT"/>
        </w:rPr>
      </w:pPr>
    </w:p>
    <w:p w14:paraId="55C0336F" w14:textId="77777777" w:rsidR="00175E74" w:rsidRDefault="00175E74" w:rsidP="00175E74">
      <w:pPr>
        <w:spacing w:line="276" w:lineRule="auto"/>
        <w:ind w:firstLine="720"/>
        <w:jc w:val="both"/>
        <w:rPr>
          <w:rFonts w:ascii="TimesNewRomanPSMT" w:hAnsi="TimesNewRomanPSMT" w:cs="TimesNewRomanPSMT"/>
        </w:rPr>
      </w:pPr>
      <w:r>
        <w:rPr>
          <w:rFonts w:ascii="TimesNewRomanPSMT" w:hAnsi="TimesNewRomanPSMT" w:cs="TimesNewRomanPSMT"/>
        </w:rPr>
        <w:t>[3] Ar Rīgas pilsētas Vidzemes priekšpilsētas tiesas 2019.gada 14.augusta tiesneša lēmumu apmierināts PS „RERE BŪVE 1” pieteikums par prasības nodrošināšanu, nosakot, ka summa</w:t>
      </w:r>
      <w:r w:rsidR="00280C22">
        <w:rPr>
          <w:rFonts w:ascii="TimesNewRomanPSMT" w:hAnsi="TimesNewRomanPSMT" w:cs="TimesNewRomanPSMT"/>
        </w:rPr>
        <w:t>,</w:t>
      </w:r>
      <w:r>
        <w:rPr>
          <w:rFonts w:ascii="TimesNewRomanPSMT" w:hAnsi="TimesNewRomanPSMT" w:cs="TimesNewRomanPSMT"/>
        </w:rPr>
        <w:t xml:space="preserve"> līdz kurai sniedzas nodrošinājums</w:t>
      </w:r>
      <w:r w:rsidR="00280C22">
        <w:rPr>
          <w:rFonts w:ascii="TimesNewRomanPSMT" w:hAnsi="TimesNewRomanPSMT" w:cs="TimesNewRomanPSMT"/>
        </w:rPr>
        <w:t>,</w:t>
      </w:r>
      <w:r>
        <w:rPr>
          <w:rFonts w:ascii="TimesNewRomanPSMT" w:hAnsi="TimesNewRomanPSMT" w:cs="TimesNewRomanPSMT"/>
        </w:rPr>
        <w:t xml:space="preserve"> ir 19 458 806,01 EUR.</w:t>
      </w:r>
    </w:p>
    <w:p w14:paraId="498206C2" w14:textId="77777777" w:rsidR="00175E74" w:rsidRDefault="00175E74" w:rsidP="00175E74">
      <w:pPr>
        <w:spacing w:line="276" w:lineRule="auto"/>
        <w:ind w:firstLine="720"/>
        <w:jc w:val="both"/>
        <w:rPr>
          <w:rFonts w:ascii="TimesNewRomanPSMT" w:hAnsi="TimesNewRomanPSMT" w:cs="TimesNewRomanPSMT"/>
        </w:rPr>
      </w:pPr>
      <w:r>
        <w:rPr>
          <w:rFonts w:ascii="TimesNewRomanPSMT" w:hAnsi="TimesNewRomanPSMT" w:cs="TimesNewRomanPSMT"/>
        </w:rPr>
        <w:lastRenderedPageBreak/>
        <w:t>Līdz lietas izskatīšanai pēc būtības nolemts</w:t>
      </w:r>
      <w:r w:rsidRPr="000B0ABB">
        <w:t xml:space="preserve"> </w:t>
      </w:r>
      <w:r w:rsidRPr="000B0ABB">
        <w:rPr>
          <w:rFonts w:ascii="TimesNewRomanPSMT" w:hAnsi="TimesNewRomanPSMT" w:cs="TimesNewRomanPSMT"/>
        </w:rPr>
        <w:t>aizliegt atbildētājai VAS „Valsts nekustamie īpašumi”</w:t>
      </w:r>
      <w:r>
        <w:rPr>
          <w:rFonts w:ascii="TimesNewRomanPSMT" w:hAnsi="TimesNewRomanPSMT" w:cs="TimesNewRomanPSMT"/>
        </w:rPr>
        <w:t>:</w:t>
      </w:r>
    </w:p>
    <w:p w14:paraId="1C4A2DB9" w14:textId="77777777" w:rsidR="00175E74" w:rsidRDefault="00175E74" w:rsidP="00175E74">
      <w:pPr>
        <w:numPr>
          <w:ilvl w:val="0"/>
          <w:numId w:val="6"/>
        </w:numPr>
        <w:spacing w:line="276" w:lineRule="auto"/>
        <w:jc w:val="both"/>
        <w:rPr>
          <w:rFonts w:ascii="TimesNewRomanPSMT" w:hAnsi="TimesNewRomanPSMT" w:cs="TimesNewRomanPSMT"/>
        </w:rPr>
      </w:pPr>
      <w:r>
        <w:rPr>
          <w:rFonts w:ascii="TimesNewRomanPSMT" w:hAnsi="TimesNewRomanPSMT" w:cs="TimesNewRomanPSMT"/>
        </w:rPr>
        <w:t xml:space="preserve">pieprasīt jebkādu naudas summu izmaksu, pamatojoties uz AAS „BTA </w:t>
      </w:r>
      <w:proofErr w:type="spellStart"/>
      <w:r>
        <w:rPr>
          <w:rFonts w:ascii="TimesNewRomanPSMT" w:hAnsi="TimesNewRomanPSMT" w:cs="TimesNewRomanPSMT"/>
        </w:rPr>
        <w:t>Baltic</w:t>
      </w:r>
      <w:proofErr w:type="spellEnd"/>
      <w:r>
        <w:rPr>
          <w:rFonts w:ascii="TimesNewRomanPSMT" w:hAnsi="TimesNewRomanPSMT" w:cs="TimesNewRomanPSMT"/>
        </w:rPr>
        <w:t xml:space="preserve"> </w:t>
      </w:r>
      <w:proofErr w:type="spellStart"/>
      <w:r>
        <w:rPr>
          <w:rFonts w:ascii="TimesNewRomanPSMT" w:hAnsi="TimesNewRomanPSMT" w:cs="TimesNewRomanPSMT"/>
        </w:rPr>
        <w:t>Insurance</w:t>
      </w:r>
      <w:proofErr w:type="spellEnd"/>
      <w:r>
        <w:rPr>
          <w:rFonts w:ascii="TimesNewRomanPSMT" w:hAnsi="TimesNewRomanPSMT" w:cs="TimesNewRomanPSMT"/>
        </w:rPr>
        <w:t xml:space="preserve"> </w:t>
      </w:r>
      <w:proofErr w:type="spellStart"/>
      <w:r>
        <w:rPr>
          <w:rFonts w:ascii="TimesNewRomanPSMT" w:hAnsi="TimesNewRomanPSMT" w:cs="TimesNewRomanPSMT"/>
        </w:rPr>
        <w:t>Company</w:t>
      </w:r>
      <w:proofErr w:type="spellEnd"/>
      <w:r>
        <w:rPr>
          <w:rFonts w:ascii="TimesNewRomanPSMT" w:hAnsi="TimesNewRomanPSMT" w:cs="TimesNewRomanPSMT"/>
        </w:rPr>
        <w:t>” 2018.gada 23.jūlijā izsniegto galvojumu apdrošināšanas polisi Nr. LV18</w:t>
      </w:r>
      <w:r>
        <w:rPr>
          <w:rFonts w:ascii="TimesNewRomanPSMT" w:hAnsi="TimesNewRomanPSMT" w:cs="TimesNewRomanPSMT"/>
        </w:rPr>
        <w:noBreakHyphen/>
        <w:t>63</w:t>
      </w:r>
      <w:r>
        <w:rPr>
          <w:rFonts w:ascii="TimesNewRomanPSMT" w:hAnsi="TimesNewRomanPSMT" w:cs="TimesNewRomanPSMT"/>
        </w:rPr>
        <w:noBreakHyphen/>
        <w:t>10000425-0;</w:t>
      </w:r>
    </w:p>
    <w:p w14:paraId="64C8E59A" w14:textId="77777777" w:rsidR="00175E74" w:rsidRDefault="00175E74" w:rsidP="00175E74">
      <w:pPr>
        <w:numPr>
          <w:ilvl w:val="0"/>
          <w:numId w:val="6"/>
        </w:numPr>
        <w:spacing w:line="276" w:lineRule="auto"/>
        <w:jc w:val="both"/>
        <w:rPr>
          <w:rFonts w:ascii="TimesNewRomanPSMT" w:hAnsi="TimesNewRomanPSMT" w:cs="TimesNewRomanPSMT"/>
        </w:rPr>
      </w:pPr>
      <w:r>
        <w:rPr>
          <w:rFonts w:ascii="TimesNewRomanPSMT" w:hAnsi="TimesNewRomanPSMT" w:cs="TimesNewRomanPSMT"/>
        </w:rPr>
        <w:t xml:space="preserve">pieprasīt jebkādu naudas summu izmaksu, pamatojoties uz </w:t>
      </w:r>
      <w:r w:rsidR="00DF6D9D">
        <w:rPr>
          <w:rFonts w:ascii="TimesNewRomanPSMT" w:hAnsi="TimesNewRomanPSMT" w:cs="TimesNewRomanPSMT"/>
        </w:rPr>
        <w:t>„</w:t>
      </w:r>
      <w:proofErr w:type="spellStart"/>
      <w:r>
        <w:rPr>
          <w:rFonts w:ascii="TimesNewRomanPSMT" w:hAnsi="TimesNewRomanPSMT" w:cs="TimesNewRomanPSMT"/>
        </w:rPr>
        <w:t>Luminor</w:t>
      </w:r>
      <w:proofErr w:type="spellEnd"/>
      <w:r>
        <w:rPr>
          <w:rFonts w:ascii="TimesNewRomanPSMT" w:hAnsi="TimesNewRomanPSMT" w:cs="TimesNewRomanPSMT"/>
        </w:rPr>
        <w:t xml:space="preserve"> </w:t>
      </w:r>
      <w:proofErr w:type="spellStart"/>
      <w:r>
        <w:rPr>
          <w:rFonts w:ascii="TimesNewRomanPSMT" w:hAnsi="TimesNewRomanPSMT" w:cs="TimesNewRomanPSMT"/>
        </w:rPr>
        <w:t>Bank</w:t>
      </w:r>
      <w:proofErr w:type="spellEnd"/>
      <w:r>
        <w:rPr>
          <w:rFonts w:ascii="TimesNewRomanPSMT" w:hAnsi="TimesNewRomanPSMT" w:cs="TimesNewRomanPSMT"/>
        </w:rPr>
        <w:t xml:space="preserve"> AS</w:t>
      </w:r>
      <w:r w:rsidR="00DF6D9D">
        <w:rPr>
          <w:rFonts w:ascii="TimesNewRomanPSMT" w:hAnsi="TimesNewRomanPSMT" w:cs="TimesNewRomanPSMT"/>
        </w:rPr>
        <w:t>”</w:t>
      </w:r>
      <w:r>
        <w:rPr>
          <w:rFonts w:ascii="TimesNewRomanPSMT" w:hAnsi="TimesNewRomanPSMT" w:cs="TimesNewRomanPSMT"/>
        </w:rPr>
        <w:t xml:space="preserve"> 2018.gada 25.jūlijā izsniegto avansa maksājuma bankas garantiju Nr. G1807.153, 2018.gada 16.novembrī izsniegto avansa maksājuma bankas garantiju Nr. G1811.417 un 2018.gada 17.decembrī izsniegto avansa maksājuma bankas garantiju Nr. G1812.518;</w:t>
      </w:r>
    </w:p>
    <w:p w14:paraId="0A1D2528" w14:textId="4BA12653" w:rsidR="00175E74" w:rsidRDefault="00175E74" w:rsidP="00175E74">
      <w:pPr>
        <w:numPr>
          <w:ilvl w:val="0"/>
          <w:numId w:val="6"/>
        </w:numPr>
        <w:spacing w:line="276" w:lineRule="auto"/>
        <w:jc w:val="both"/>
        <w:rPr>
          <w:rFonts w:ascii="TimesNewRomanPSMT" w:hAnsi="TimesNewRomanPSMT" w:cs="TimesNewRomanPSMT"/>
        </w:rPr>
      </w:pPr>
      <w:r>
        <w:rPr>
          <w:rFonts w:ascii="TimesNewRomanPSMT" w:hAnsi="TimesNewRomanPSMT" w:cs="TimesNewRomanPSMT"/>
        </w:rPr>
        <w:t>slēgt jebkādus darījumus ar trešajām personām par 2018.gada 3.jūlijā noslēgtajā līgumā Nr. 7/2-1-18-8/1352 un/vai PS „Zaigas Gailes birojs un partneri” izstrādātajā un Rīgas pilsētas būvvaldē akceptētajā būvprojektā „Jaunā Rīgas teātra ēku kompleksa rekonstrukcijas (pārbūves) būvdarbi Lāčplēša iel</w:t>
      </w:r>
      <w:r w:rsidR="00130F75">
        <w:rPr>
          <w:rFonts w:ascii="TimesNewRomanPSMT" w:hAnsi="TimesNewRomanPSMT" w:cs="TimesNewRomanPSMT"/>
        </w:rPr>
        <w:t>a</w:t>
      </w:r>
      <w:r>
        <w:rPr>
          <w:rFonts w:ascii="TimesNewRomanPSMT" w:hAnsi="TimesNewRomanPSMT" w:cs="TimesNewRomanPSMT"/>
        </w:rPr>
        <w:t xml:space="preserve"> 25, Rīgā” un būvprojektā veiktajās izmaiņās paredzēto būvdarbu izpildi.</w:t>
      </w:r>
    </w:p>
    <w:p w14:paraId="1B272BB4" w14:textId="77777777" w:rsidR="00175E74" w:rsidRDefault="00175E74" w:rsidP="00175E74">
      <w:pPr>
        <w:spacing w:line="276" w:lineRule="auto"/>
        <w:ind w:left="720"/>
        <w:jc w:val="both"/>
        <w:rPr>
          <w:rFonts w:ascii="TimesNewRomanPSMT" w:hAnsi="TimesNewRomanPSMT" w:cs="TimesNewRomanPSMT"/>
        </w:rPr>
      </w:pPr>
      <w:r>
        <w:rPr>
          <w:rFonts w:ascii="TimesNewRomanPSMT" w:hAnsi="TimesNewRomanPSMT" w:cs="TimesNewRomanPSMT"/>
        </w:rPr>
        <w:t>Lēmums pamatots ar šādiem argumentiem.</w:t>
      </w:r>
    </w:p>
    <w:p w14:paraId="48C44665" w14:textId="77777777" w:rsidR="00175E74" w:rsidRDefault="00175E74" w:rsidP="00175E74">
      <w:pPr>
        <w:spacing w:line="276" w:lineRule="auto"/>
        <w:ind w:firstLine="720"/>
        <w:jc w:val="both"/>
      </w:pPr>
      <w:r>
        <w:rPr>
          <w:rFonts w:ascii="TimesNewRomanPSMT" w:hAnsi="TimesNewRomanPSMT" w:cs="TimesNewRomanPSMT"/>
        </w:rPr>
        <w:t xml:space="preserve">[3.1] </w:t>
      </w:r>
      <w:r>
        <w:t>Prasība par līguma izpildīšanu ir mantiska rakstura, prasības priekšmets ir arī līguma izpilde</w:t>
      </w:r>
      <w:r w:rsidR="00DF6D9D">
        <w:t>,</w:t>
      </w:r>
      <w:r>
        <w:t xml:space="preserve"> un tā vērsta uz līgumā noteikto tiesību atzīšanu un izpildīšanu. </w:t>
      </w:r>
    </w:p>
    <w:p w14:paraId="2CCD7EC3" w14:textId="77777777" w:rsidR="00175E74" w:rsidRDefault="00175E74" w:rsidP="00175E74">
      <w:pPr>
        <w:spacing w:line="276" w:lineRule="auto"/>
        <w:ind w:firstLine="720"/>
        <w:jc w:val="both"/>
      </w:pPr>
      <w:r>
        <w:t xml:space="preserve">Prasītāja ir iesniegusi tiesā motivētu pieteikumu par prasības nodrošināšanu. Pieteikumā izklāstītie fakti un apsvērumi, ko apstiprina pieteikumam pievienotie dokumenti, ir pietiekami Civilprocesa likuma 137.panta izpratnē, lai izdarītu secinājumu, ka sprieduma izpilde lietā varētu būt apgrūtināta vai pat neiespējama gadījumā, ja netiktu pieņemts lēmums par prasības nodrošināšanu, bet tiesa, izskatot lietu pēc būtības, prasību atzītu par pamatotu. </w:t>
      </w:r>
    </w:p>
    <w:p w14:paraId="6284D229" w14:textId="77777777" w:rsidR="00175E74" w:rsidRDefault="00175E74" w:rsidP="00175E74">
      <w:pPr>
        <w:spacing w:line="276" w:lineRule="auto"/>
        <w:ind w:firstLine="720"/>
        <w:jc w:val="both"/>
      </w:pPr>
      <w:r w:rsidRPr="00BD3C4B">
        <w:t>Atzīstot atbildētājas paziņojumu par vienpusēju līguma izbeigšanu par</w:t>
      </w:r>
      <w:r>
        <w:t xml:space="preserve"> nepamatotu un spēkā neesošu, savukārt pušu starpā noslēgto līgumu par spēkā esošu un izpildāmu, nenodrošinot prasību, spriedumu nebūs iespējams izpildīt gadījumā, ja atbildētāja būs noslēgusi jaunu līgumu ar citu būvnieku par tādu darbu izpildi, kas paredzēti starp prasītāju un atbildētāju noslēgtajā līgumā. </w:t>
      </w:r>
    </w:p>
    <w:p w14:paraId="1C7F4823" w14:textId="77777777" w:rsidR="00175E74" w:rsidRDefault="00175E74" w:rsidP="00175E74">
      <w:pPr>
        <w:spacing w:line="276" w:lineRule="auto"/>
        <w:ind w:firstLine="720"/>
        <w:jc w:val="both"/>
      </w:pPr>
      <w:r>
        <w:t>[3.2] Atbilstoši Civilprocesa likuma 140.panta pirmās daļas noteikumiem, izlemjot jautājumu par prasības nodrošināšanu, tiesnesis ņem vērā prasības pirmšķietamo (</w:t>
      </w:r>
      <w:proofErr w:type="spellStart"/>
      <w:r w:rsidRPr="00050FA8">
        <w:rPr>
          <w:i/>
        </w:rPr>
        <w:t>prima</w:t>
      </w:r>
      <w:proofErr w:type="spellEnd"/>
      <w:r w:rsidRPr="00050FA8">
        <w:rPr>
          <w:i/>
        </w:rPr>
        <w:t xml:space="preserve"> </w:t>
      </w:r>
      <w:proofErr w:type="spellStart"/>
      <w:r w:rsidRPr="00050FA8">
        <w:rPr>
          <w:i/>
        </w:rPr>
        <w:t>facie</w:t>
      </w:r>
      <w:proofErr w:type="spellEnd"/>
      <w:r>
        <w:t xml:space="preserve">) formālo juridisko pamatojumu un samērīgumu starp pušu tiesiskajām interesēm. </w:t>
      </w:r>
    </w:p>
    <w:p w14:paraId="59FF2701" w14:textId="77777777" w:rsidR="00175E74" w:rsidRDefault="00175E74" w:rsidP="00175E74">
      <w:pPr>
        <w:spacing w:line="276" w:lineRule="auto"/>
        <w:ind w:firstLine="720"/>
        <w:jc w:val="both"/>
        <w:rPr>
          <w:rFonts w:ascii="TimesNewRomanPSMT" w:hAnsi="TimesNewRomanPSMT" w:cs="TimesNewRomanPSMT"/>
        </w:rPr>
      </w:pPr>
      <w:r>
        <w:t xml:space="preserve">Izvērtējot prasību un tai pievienotos pierādījumus, konkrētajā procesuālajā stadijā tiesnesis atzīst, ka prasības apmierināšanas iespējamība pirmšķietami varētu būt lielāka par tās noraidīšanas iespējamību. </w:t>
      </w:r>
    </w:p>
    <w:p w14:paraId="2C88255C" w14:textId="77777777" w:rsidR="00175E74" w:rsidRDefault="00175E74" w:rsidP="00175E74">
      <w:pPr>
        <w:spacing w:line="276" w:lineRule="auto"/>
        <w:ind w:firstLine="720"/>
        <w:jc w:val="both"/>
        <w:rPr>
          <w:rFonts w:ascii="TimesNewRomanPSMT" w:hAnsi="TimesNewRomanPSMT" w:cs="TimesNewRomanPSMT"/>
        </w:rPr>
      </w:pPr>
    </w:p>
    <w:p w14:paraId="7E0E05A5" w14:textId="77777777" w:rsidR="00175E74" w:rsidRPr="00F053AB" w:rsidRDefault="00175E74" w:rsidP="00175E74">
      <w:pPr>
        <w:spacing w:line="276" w:lineRule="auto"/>
        <w:ind w:firstLine="720"/>
        <w:jc w:val="both"/>
        <w:rPr>
          <w:rFonts w:ascii="TimesNewRomanPSMT" w:hAnsi="TimesNewRomanPSMT" w:cs="TimesNewRomanPSMT"/>
        </w:rPr>
      </w:pPr>
      <w:r w:rsidRPr="00F053AB">
        <w:rPr>
          <w:rFonts w:ascii="TimesNewRomanPSMT" w:hAnsi="TimesNewRomanPSMT" w:cs="TimesNewRomanPSMT"/>
        </w:rPr>
        <w:t>[</w:t>
      </w:r>
      <w:r>
        <w:rPr>
          <w:rFonts w:ascii="TimesNewRomanPSMT" w:hAnsi="TimesNewRomanPSMT" w:cs="TimesNewRomanPSMT"/>
        </w:rPr>
        <w:t>4</w:t>
      </w:r>
      <w:r w:rsidRPr="00F053AB">
        <w:rPr>
          <w:rFonts w:ascii="TimesNewRomanPSMT" w:hAnsi="TimesNewRomanPSMT" w:cs="TimesNewRomanPSMT"/>
        </w:rPr>
        <w:t>] Ģenerālprokuratūras Personu un valsts tiesību aizsardzības departamenta virsprokurors</w:t>
      </w:r>
      <w:r>
        <w:rPr>
          <w:rFonts w:ascii="TimesNewRomanPSMT" w:hAnsi="TimesNewRomanPSMT" w:cs="TimesNewRomanPSMT"/>
        </w:rPr>
        <w:t xml:space="preserve"> </w:t>
      </w:r>
      <w:r w:rsidRPr="00F053AB">
        <w:rPr>
          <w:rFonts w:ascii="TimesNewRomanPSMT" w:hAnsi="TimesNewRomanPSMT" w:cs="TimesNewRomanPSMT"/>
        </w:rPr>
        <w:t xml:space="preserve">iesniedzis protestu, kurā, atsaucoties uz procesuālo tiesību normu pārkāpumiem, lūdzis Rīgas pilsētas </w:t>
      </w:r>
      <w:r>
        <w:rPr>
          <w:rFonts w:ascii="TimesNewRomanPSMT" w:hAnsi="TimesNewRomanPSMT" w:cs="TimesNewRomanPSMT"/>
        </w:rPr>
        <w:t>Vidzemes priekšpilsētas</w:t>
      </w:r>
      <w:r w:rsidRPr="00F053AB">
        <w:rPr>
          <w:rFonts w:ascii="TimesNewRomanPSMT" w:hAnsi="TimesNewRomanPSMT" w:cs="TimesNewRomanPSMT"/>
        </w:rPr>
        <w:t xml:space="preserve"> tiesas</w:t>
      </w:r>
      <w:r>
        <w:rPr>
          <w:rFonts w:ascii="TimesNewRomanPSMT" w:hAnsi="TimesNewRomanPSMT" w:cs="TimesNewRomanPSMT"/>
        </w:rPr>
        <w:t xml:space="preserve"> tiesneša </w:t>
      </w:r>
      <w:r w:rsidRPr="00F053AB">
        <w:rPr>
          <w:rFonts w:ascii="TimesNewRomanPSMT" w:hAnsi="TimesNewRomanPSMT" w:cs="TimesNewRomanPSMT"/>
        </w:rPr>
        <w:t>201</w:t>
      </w:r>
      <w:r>
        <w:rPr>
          <w:rFonts w:ascii="TimesNewRomanPSMT" w:hAnsi="TimesNewRomanPSMT" w:cs="TimesNewRomanPSMT"/>
        </w:rPr>
        <w:t>9</w:t>
      </w:r>
      <w:r w:rsidRPr="00F053AB">
        <w:rPr>
          <w:rFonts w:ascii="TimesNewRomanPSMT" w:hAnsi="TimesNewRomanPSMT" w:cs="TimesNewRomanPSMT"/>
        </w:rPr>
        <w:t xml:space="preserve">.gada </w:t>
      </w:r>
      <w:r>
        <w:rPr>
          <w:rFonts w:ascii="TimesNewRomanPSMT" w:hAnsi="TimesNewRomanPSMT" w:cs="TimesNewRomanPSMT"/>
        </w:rPr>
        <w:t>14.augusta</w:t>
      </w:r>
      <w:r w:rsidRPr="00F053AB">
        <w:rPr>
          <w:rFonts w:ascii="TimesNewRomanPSMT" w:hAnsi="TimesNewRomanPSMT" w:cs="TimesNewRomanPSMT"/>
        </w:rPr>
        <w:t xml:space="preserve"> lēmumu atcelt un </w:t>
      </w:r>
      <w:r>
        <w:rPr>
          <w:rFonts w:ascii="TimesNewRomanPSMT" w:hAnsi="TimesNewRomanPSMT" w:cs="TimesNewRomanPSMT"/>
        </w:rPr>
        <w:t>nodot lietu jaunai izskatīšanai tai pašai tiesai citā sastāvā</w:t>
      </w:r>
      <w:r w:rsidRPr="00F053AB">
        <w:rPr>
          <w:rFonts w:ascii="TimesNewRomanPSMT" w:hAnsi="TimesNewRomanPSMT" w:cs="TimesNewRomanPSMT"/>
        </w:rPr>
        <w:t>.</w:t>
      </w:r>
    </w:p>
    <w:p w14:paraId="7AFB993A" w14:textId="77777777" w:rsidR="00175E74" w:rsidRPr="00F053AB" w:rsidRDefault="00175E74" w:rsidP="00175E74">
      <w:pPr>
        <w:spacing w:line="276" w:lineRule="auto"/>
        <w:ind w:firstLine="720"/>
        <w:jc w:val="both"/>
        <w:rPr>
          <w:rFonts w:ascii="TimesNewRomanPSMT" w:hAnsi="TimesNewRomanPSMT" w:cs="TimesNewRomanPSMT"/>
        </w:rPr>
      </w:pPr>
      <w:r w:rsidRPr="00F053AB">
        <w:rPr>
          <w:rFonts w:ascii="TimesNewRomanPSMT" w:hAnsi="TimesNewRomanPSMT" w:cs="TimesNewRomanPSMT"/>
        </w:rPr>
        <w:t>Protests pamatots ar šādiem argumentiem.</w:t>
      </w:r>
    </w:p>
    <w:p w14:paraId="213243E1" w14:textId="77777777" w:rsidR="00175E74" w:rsidRDefault="00175E74" w:rsidP="00175E74">
      <w:pPr>
        <w:spacing w:line="276" w:lineRule="auto"/>
        <w:ind w:firstLine="720"/>
        <w:jc w:val="both"/>
        <w:rPr>
          <w:rFonts w:ascii="TimesNewRomanPSMT" w:hAnsi="TimesNewRomanPSMT" w:cs="TimesNewRomanPSMT"/>
        </w:rPr>
      </w:pPr>
      <w:r>
        <w:rPr>
          <w:rFonts w:ascii="TimesNewRomanPSMT" w:hAnsi="TimesNewRomanPSMT" w:cs="TimesNewRomanPSMT"/>
        </w:rPr>
        <w:t>[4.1] Lēmumu par prasības nodrošinājuma piemērošanu tiesnesis pieņēmis formāli, neveicot prasības pirmšķietamā juridiskā pamatojuma padziļinātu izpēti.</w:t>
      </w:r>
    </w:p>
    <w:p w14:paraId="2062C151" w14:textId="77777777" w:rsidR="00175E74" w:rsidRDefault="00175E74" w:rsidP="00175E74">
      <w:pPr>
        <w:spacing w:line="276" w:lineRule="auto"/>
        <w:ind w:firstLine="720"/>
        <w:jc w:val="both"/>
        <w:rPr>
          <w:rFonts w:ascii="TimesNewRomanPSMT" w:hAnsi="TimesNewRomanPSMT" w:cs="TimesNewRomanPSMT"/>
        </w:rPr>
      </w:pPr>
      <w:r>
        <w:rPr>
          <w:rFonts w:ascii="TimesNewRomanPSMT" w:hAnsi="TimesNewRomanPSMT" w:cs="TimesNewRomanPSMT"/>
        </w:rPr>
        <w:t xml:space="preserve">[4.2] Civillikuma 2212.panta izpratnē būvniecības līgums ir uzņēmuma līgums. </w:t>
      </w:r>
    </w:p>
    <w:p w14:paraId="079F0B35" w14:textId="00481A8B" w:rsidR="00175E74" w:rsidRDefault="00175E74" w:rsidP="00175E74">
      <w:pPr>
        <w:spacing w:line="276" w:lineRule="auto"/>
        <w:ind w:firstLine="720"/>
        <w:jc w:val="both"/>
        <w:rPr>
          <w:rFonts w:ascii="TimesNewRomanPSMT" w:hAnsi="TimesNewRomanPSMT" w:cs="TimesNewRomanPSMT"/>
        </w:rPr>
      </w:pPr>
      <w:r>
        <w:rPr>
          <w:rFonts w:ascii="TimesNewRomanPSMT" w:hAnsi="TimesNewRomanPSMT" w:cs="TimesNewRomanPSMT"/>
        </w:rPr>
        <w:t xml:space="preserve">Atbilstoši Civillikuma 1589.pantam vienpusēja atkāpšanās no līguma ir atzīstama par pamatotu, kad tā ir pamatota ar paša līguma raksturu vai kad to zināmos apstākļos atļauj likums, </w:t>
      </w:r>
      <w:r>
        <w:rPr>
          <w:rFonts w:ascii="TimesNewRomanPSMT" w:hAnsi="TimesNewRomanPSMT" w:cs="TimesNewRomanPSMT"/>
        </w:rPr>
        <w:lastRenderedPageBreak/>
        <w:t>vai arī kad tāda tiesība bijusi noteikti pielīgta. Civillikumā ir paredzēti vairāki tieši uzņēmuma līgumam raksturīgi pamati, kas ļauj atkāpties no līguma, taču jebkurā gadījumā pasūtītāja vienpusēja atkāpšanās no uzņēmuma līguma ir vienpusējs tiesisks darījums, ar kuru tiek izbeigts uzņēmuma līgums.</w:t>
      </w:r>
    </w:p>
    <w:p w14:paraId="7B7DAE5E" w14:textId="77777777" w:rsidR="00175E74" w:rsidRDefault="00175E74" w:rsidP="00175E74">
      <w:pPr>
        <w:spacing w:line="276" w:lineRule="auto"/>
        <w:ind w:firstLine="720"/>
        <w:jc w:val="both"/>
        <w:rPr>
          <w:rFonts w:ascii="TimesNewRomanPSMT" w:hAnsi="TimesNewRomanPSMT" w:cs="TimesNewRomanPSMT"/>
        </w:rPr>
      </w:pPr>
      <w:r>
        <w:rPr>
          <w:rFonts w:ascii="TimesNewRomanPSMT" w:hAnsi="TimesNewRomanPSMT" w:cs="TimesNewRomanPSMT"/>
        </w:rPr>
        <w:t>Pamatotas atkāpšanās gadījumā uzņēmējs nevar prasīt ne uzņēmuma līguma izpildi, ne zaudējumu atlīdzību. Savukārt sekas nepamatotas atkāpšanās gadījumā paredzētas Civillikuma 2225.pantā. Minētās normas saturs paredz uzņēmējam kompensāciju par izmaksām un zaudējumiem, kas tam radušies, tai skaitā tiesības prasīt atrauto peļņu, taču neparedz uzņēmēja subjektīvas tiesības prasīt pielaidi pie darbu izpildes.</w:t>
      </w:r>
    </w:p>
    <w:p w14:paraId="1F973C3E" w14:textId="77777777" w:rsidR="00175E74" w:rsidRDefault="00175E74" w:rsidP="00175E74">
      <w:pPr>
        <w:spacing w:line="276" w:lineRule="auto"/>
        <w:ind w:firstLine="720"/>
        <w:jc w:val="both"/>
        <w:rPr>
          <w:rFonts w:ascii="TimesNewRomanPSMT" w:hAnsi="TimesNewRomanPSMT" w:cs="TimesNewRomanPSMT"/>
        </w:rPr>
      </w:pPr>
      <w:r>
        <w:rPr>
          <w:rFonts w:ascii="TimesNewRomanPSMT" w:hAnsi="TimesNewRomanPSMT" w:cs="TimesNewRomanPSMT"/>
        </w:rPr>
        <w:t>Tādējādi, izvērtējot ar lietas faktiskajiem apstākļiem saistītās materiāltiesiskās normas, pirmšķietami konstatējams, ka varbūtība šādi celtās prasības noraidīšanai ir lielāka nekā iespējamība, ka tā tiks apmierināta. Līdz ar to prasības nodrošinājuma piemērošanai nebija tiesiska pamata.</w:t>
      </w:r>
    </w:p>
    <w:p w14:paraId="07EEE62D" w14:textId="77777777" w:rsidR="00175E74" w:rsidRDefault="00175E74" w:rsidP="00175E74">
      <w:pPr>
        <w:spacing w:line="276" w:lineRule="auto"/>
        <w:ind w:firstLine="720"/>
        <w:jc w:val="both"/>
        <w:rPr>
          <w:rFonts w:ascii="TimesNewRomanPSMT" w:hAnsi="TimesNewRomanPSMT" w:cs="TimesNewRomanPSMT"/>
        </w:rPr>
      </w:pPr>
      <w:r>
        <w:rPr>
          <w:rFonts w:ascii="TimesNewRomanPSMT" w:hAnsi="TimesNewRomanPSMT" w:cs="TimesNewRomanPSMT"/>
        </w:rPr>
        <w:t>[4.3] Tiesneša nepamatoti piemērotais aizliegums slēgt jebkādus darījumus ar trešajām personām par būvdarbu izpildi ir vērsts pret īpašnieka pilnīgas varas tiesībām rīkoties ar lietu un būtiski aizskar Satversmes 105.pantā garantētās tiesības uz īpašumu. Pasūtītājam ilgstoši tiek liegta iespēja pabeigt nepieciešamos būvdarbus objektā, tādējādi radot būves papildu bojājumus un materiālos zaudējumus. Turklāt, aizliedzot novērst būvdarbos pieļautās kļūdas, kas radījušas būtiskus bojājumus blakus esošajām mājām un materiālo kaitējumu to dzīvokļu īpašniekiem, tiek aizskartas arī trešo personu, kuras nav šīs lietas dalībnieki, tiesības uz radītā kaitējuma novēršanu saprātīgā termiņā.</w:t>
      </w:r>
    </w:p>
    <w:p w14:paraId="7301030B" w14:textId="48D0D8D7" w:rsidR="00175E74" w:rsidRDefault="00A22C6A" w:rsidP="00175E74">
      <w:pPr>
        <w:spacing w:line="276" w:lineRule="auto"/>
        <w:ind w:firstLine="720"/>
        <w:jc w:val="both"/>
        <w:rPr>
          <w:rFonts w:ascii="TimesNewRomanPSMT" w:hAnsi="TimesNewRomanPSMT" w:cs="TimesNewRomanPSMT"/>
        </w:rPr>
      </w:pPr>
      <w:r>
        <w:rPr>
          <w:rFonts w:ascii="TimesNewRomanPSMT" w:hAnsi="TimesNewRomanPSMT" w:cs="TimesNewRomanPSMT"/>
        </w:rPr>
        <w:t>Š</w:t>
      </w:r>
      <w:r w:rsidR="00175E74">
        <w:rPr>
          <w:rFonts w:ascii="TimesNewRomanPSMT" w:hAnsi="TimesNewRomanPSMT" w:cs="TimesNewRomanPSMT"/>
        </w:rPr>
        <w:t>ād</w:t>
      </w:r>
      <w:r>
        <w:rPr>
          <w:rFonts w:ascii="TimesNewRomanPSMT" w:hAnsi="TimesNewRomanPSMT" w:cs="TimesNewRomanPSMT"/>
        </w:rPr>
        <w:t>os</w:t>
      </w:r>
      <w:r w:rsidR="00175E74">
        <w:rPr>
          <w:rFonts w:ascii="TimesNewRomanPSMT" w:hAnsi="TimesNewRomanPSMT" w:cs="TimesNewRomanPSMT"/>
        </w:rPr>
        <w:t xml:space="preserve"> </w:t>
      </w:r>
      <w:r>
        <w:rPr>
          <w:rFonts w:ascii="TimesNewRomanPSMT" w:hAnsi="TimesNewRomanPSMT" w:cs="TimesNewRomanPSMT"/>
        </w:rPr>
        <w:t xml:space="preserve">apstākļos </w:t>
      </w:r>
      <w:r w:rsidR="00175E74">
        <w:rPr>
          <w:rFonts w:ascii="TimesNewRomanPSMT" w:hAnsi="TimesNewRomanPSMT" w:cs="TimesNewRomanPSMT"/>
        </w:rPr>
        <w:t>piemēroto drošības līdzekli nevar atzīt par samērīgu.</w:t>
      </w:r>
    </w:p>
    <w:p w14:paraId="08DEADC4" w14:textId="77777777" w:rsidR="00175E74" w:rsidRDefault="00175E74" w:rsidP="00175E74">
      <w:pPr>
        <w:spacing w:line="276" w:lineRule="auto"/>
        <w:ind w:firstLine="720"/>
        <w:jc w:val="both"/>
        <w:rPr>
          <w:rFonts w:ascii="TimesNewRomanPSMT" w:hAnsi="TimesNewRomanPSMT" w:cs="TimesNewRomanPSMT"/>
        </w:rPr>
      </w:pPr>
      <w:r>
        <w:rPr>
          <w:rFonts w:ascii="TimesNewRomanPSMT" w:hAnsi="TimesNewRomanPSMT" w:cs="TimesNewRomanPSMT"/>
        </w:rPr>
        <w:t>[4.4] Tā kā prasītāja nav cēlusi prasību par zaudējumu piedziņu, bet pēc būtības lūgusi atzīt tiesības uz līguma izpildi un termiņa pagarinājumu, prasībai nav mantiska rakstura un prasības nodrošinājuma piemērošana ir pretrunā ar Civilprocesa likuma 137.panta otro daļu.</w:t>
      </w:r>
    </w:p>
    <w:p w14:paraId="61BCF9EA" w14:textId="77777777" w:rsidR="00175E74" w:rsidRDefault="00175E74" w:rsidP="00175E74">
      <w:pPr>
        <w:spacing w:line="276" w:lineRule="auto"/>
        <w:ind w:firstLine="720"/>
        <w:jc w:val="both"/>
      </w:pPr>
    </w:p>
    <w:p w14:paraId="29CC6B50" w14:textId="77777777" w:rsidR="00416287" w:rsidRPr="00ED1F09" w:rsidRDefault="00416287" w:rsidP="00B921CE">
      <w:pPr>
        <w:shd w:val="clear" w:color="auto" w:fill="FFFFFF"/>
        <w:tabs>
          <w:tab w:val="left" w:pos="-284"/>
          <w:tab w:val="left" w:pos="540"/>
        </w:tabs>
        <w:spacing w:line="276" w:lineRule="auto"/>
        <w:jc w:val="center"/>
        <w:rPr>
          <w:b/>
          <w:highlight w:val="yellow"/>
        </w:rPr>
      </w:pPr>
      <w:r w:rsidRPr="0089595B">
        <w:rPr>
          <w:b/>
        </w:rPr>
        <w:t>Motīvu daļa</w:t>
      </w:r>
    </w:p>
    <w:p w14:paraId="223DA5B8" w14:textId="77777777" w:rsidR="00416287" w:rsidRDefault="00416287" w:rsidP="00416287">
      <w:pPr>
        <w:shd w:val="clear" w:color="auto" w:fill="FFFFFF"/>
        <w:tabs>
          <w:tab w:val="left" w:pos="-284"/>
          <w:tab w:val="left" w:pos="540"/>
        </w:tabs>
        <w:spacing w:line="276" w:lineRule="auto"/>
        <w:ind w:firstLine="720"/>
        <w:jc w:val="both"/>
      </w:pPr>
    </w:p>
    <w:p w14:paraId="320B4C86" w14:textId="77777777" w:rsidR="002F00F4" w:rsidRDefault="00416287" w:rsidP="00B921CE">
      <w:pPr>
        <w:shd w:val="clear" w:color="auto" w:fill="FFFFFF"/>
        <w:tabs>
          <w:tab w:val="left" w:pos="-284"/>
          <w:tab w:val="left" w:pos="540"/>
        </w:tabs>
        <w:spacing w:line="276" w:lineRule="auto"/>
        <w:ind w:firstLine="567"/>
        <w:jc w:val="both"/>
      </w:pPr>
      <w:r>
        <w:t>[</w:t>
      </w:r>
      <w:r w:rsidR="00307502">
        <w:t>5</w:t>
      </w:r>
      <w:r>
        <w:t>] Atbilstoši Civilprocesa likuma 484.pantam pamats protesta iesniegšanai par spēkā stājušos tiesas nolēmumu ir būtiski materiālo vai procesuālo tiesību normu pārkāpumi, kas konstatēti lietās, kuras izskatītas tikai pirmās instances tiesā, ja tiesas nolēmums nav pārsūdzēts likumā noteiktajā kārtībā no lietas dalībniek</w:t>
      </w:r>
      <w:r w:rsidR="00050FA8">
        <w:t>iem</w:t>
      </w:r>
      <w:r>
        <w:t xml:space="preserve"> neatkarīgu iemeslu dēļ vai </w:t>
      </w:r>
      <w:r w:rsidR="002F00F4">
        <w:t>ar tiesas nolēmumu aizskartas valsts vai pašvaldīb</w:t>
      </w:r>
      <w:r w:rsidR="00050FA8">
        <w:t>u</w:t>
      </w:r>
      <w:r w:rsidR="002F00F4">
        <w:t xml:space="preserve"> iestāžu tiesības vai to personu tiesības, kuras nav bijuš</w:t>
      </w:r>
      <w:r w:rsidR="00050FA8">
        <w:t>as</w:t>
      </w:r>
      <w:r w:rsidR="002F00F4">
        <w:t xml:space="preserve"> lietas dalībnieki.</w:t>
      </w:r>
    </w:p>
    <w:p w14:paraId="768391DC" w14:textId="2ADFF111" w:rsidR="002F00F4" w:rsidRDefault="004C3D49" w:rsidP="00B921CE">
      <w:pPr>
        <w:shd w:val="clear" w:color="auto" w:fill="FFFFFF"/>
        <w:tabs>
          <w:tab w:val="left" w:pos="-284"/>
          <w:tab w:val="left" w:pos="540"/>
        </w:tabs>
        <w:spacing w:line="276" w:lineRule="auto"/>
        <w:ind w:firstLine="567"/>
        <w:jc w:val="both"/>
      </w:pPr>
      <w:r>
        <w:t xml:space="preserve">No iepriekš minētās tiesību normas izriet, ka tiesas nolēmumu </w:t>
      </w:r>
      <w:r w:rsidR="00016870">
        <w:t xml:space="preserve">primāri </w:t>
      </w:r>
      <w:r>
        <w:t xml:space="preserve">var protestēt tikai tad, ja tas nav pārsūdzēts likumā noteiktā kārtībā no lietas dalībniekiem neatkarīgu iemeslu dēļ (sal. </w:t>
      </w:r>
      <w:r w:rsidRPr="004C3D49">
        <w:rPr>
          <w:i/>
        </w:rPr>
        <w:t>Civilprocesa likuma komentāri. Trešais papildinātais izdevums. Autoru kolektīvs. Prof. K.Torgāna zinātniskā redakcijā. Rīga: Tiesu namu aģentūra, 2006, 643.lpp., Civilprocesa likuma komentāri. II daļa (29.</w:t>
      </w:r>
      <w:r w:rsidR="00A22C6A">
        <w:rPr>
          <w:i/>
        </w:rPr>
        <w:t>–</w:t>
      </w:r>
      <w:r w:rsidRPr="004C3D49">
        <w:rPr>
          <w:i/>
        </w:rPr>
        <w:t>60.1.nodaļa). Autoru kolektīvs. Prof. K.Torgāna zinātniskā redakcijā. Rīga: Tiesu namu aģentūra, 2012, 892.</w:t>
      </w:r>
      <w:r w:rsidR="00A22C6A">
        <w:rPr>
          <w:i/>
        </w:rPr>
        <w:t>–</w:t>
      </w:r>
      <w:r w:rsidRPr="004C3D49">
        <w:rPr>
          <w:i/>
        </w:rPr>
        <w:t>894.lpp.</w:t>
      </w:r>
      <w:r>
        <w:t xml:space="preserve">). </w:t>
      </w:r>
      <w:r w:rsidR="00D47A9E">
        <w:t>Turklāt</w:t>
      </w:r>
      <w:r>
        <w:t xml:space="preserve"> Satversmes tiesa atzinusi, ka </w:t>
      </w:r>
      <w:r w:rsidR="002F00F4">
        <w:t xml:space="preserve">protesta institūts ir veidots kā galīgais tiesību aizsardzības instruments – papildu garantija gadījumā, kad nav citu tiesību aizsardzības līdzekļu (sk. </w:t>
      </w:r>
      <w:r w:rsidR="002F00F4" w:rsidRPr="002F00F4">
        <w:rPr>
          <w:i/>
        </w:rPr>
        <w:t>Satversmes tiesas 2014.gada 9.janvāra sprieduma lietā Nr.</w:t>
      </w:r>
      <w:r w:rsidR="00BD3C4B">
        <w:rPr>
          <w:i/>
        </w:rPr>
        <w:t> </w:t>
      </w:r>
      <w:r w:rsidR="002F00F4" w:rsidRPr="002F00F4">
        <w:rPr>
          <w:i/>
        </w:rPr>
        <w:t>2013-08-01 17.punktu</w:t>
      </w:r>
      <w:r w:rsidR="002F00F4">
        <w:t>).</w:t>
      </w:r>
    </w:p>
    <w:p w14:paraId="6C2FF1BD" w14:textId="77777777" w:rsidR="00B921CE" w:rsidRDefault="00B921CE" w:rsidP="00B921CE">
      <w:pPr>
        <w:shd w:val="clear" w:color="auto" w:fill="FFFFFF"/>
        <w:tabs>
          <w:tab w:val="left" w:pos="-284"/>
          <w:tab w:val="left" w:pos="540"/>
        </w:tabs>
        <w:spacing w:line="276" w:lineRule="auto"/>
        <w:ind w:firstLine="567"/>
        <w:jc w:val="both"/>
      </w:pPr>
    </w:p>
    <w:p w14:paraId="29900996" w14:textId="08F83513" w:rsidR="00EF7D68" w:rsidRDefault="002F00F4" w:rsidP="00B921CE">
      <w:pPr>
        <w:shd w:val="clear" w:color="auto" w:fill="FFFFFF"/>
        <w:tabs>
          <w:tab w:val="left" w:pos="-284"/>
          <w:tab w:val="left" w:pos="540"/>
        </w:tabs>
        <w:spacing w:line="276" w:lineRule="auto"/>
        <w:ind w:firstLine="567"/>
        <w:jc w:val="both"/>
      </w:pPr>
      <w:r>
        <w:lastRenderedPageBreak/>
        <w:t>[</w:t>
      </w:r>
      <w:r w:rsidR="00307502">
        <w:t>6</w:t>
      </w:r>
      <w:r>
        <w:t xml:space="preserve">] Konkrētajā gadījumā protests iesniegts par tiesas lēmumu, ar kuru </w:t>
      </w:r>
      <w:r w:rsidR="00CA2F07">
        <w:t xml:space="preserve">apmierināts </w:t>
      </w:r>
      <w:r w:rsidR="00050FA8">
        <w:t>PS „</w:t>
      </w:r>
      <w:r w:rsidR="00CA2F07">
        <w:t>RE RE BŪVE 1” pieteikums par prasības nodrošinā</w:t>
      </w:r>
      <w:r w:rsidR="00050FA8">
        <w:t>šanu</w:t>
      </w:r>
      <w:r w:rsidR="00EF7D68">
        <w:t>.</w:t>
      </w:r>
    </w:p>
    <w:p w14:paraId="15CC8C12" w14:textId="77777777" w:rsidR="00EF7D68" w:rsidRDefault="00EF7D68" w:rsidP="00B921CE">
      <w:pPr>
        <w:shd w:val="clear" w:color="auto" w:fill="FFFFFF"/>
        <w:tabs>
          <w:tab w:val="left" w:pos="-284"/>
          <w:tab w:val="left" w:pos="540"/>
        </w:tabs>
        <w:spacing w:line="276" w:lineRule="auto"/>
        <w:ind w:firstLine="567"/>
        <w:jc w:val="both"/>
      </w:pPr>
      <w:r>
        <w:t xml:space="preserve">Līdz ar to, ņemot vērā šā lēmuma </w:t>
      </w:r>
      <w:r w:rsidR="00307502">
        <w:t>5</w:t>
      </w:r>
      <w:r>
        <w:t>.punktā minētos apsvērumus, pirms pievērsties jautājumam par protesta pamatotību pēc būtības, izvērtējama tā pieņemamība.</w:t>
      </w:r>
    </w:p>
    <w:p w14:paraId="63265A71" w14:textId="2BD39060" w:rsidR="00782C1D" w:rsidRDefault="00D47A9E" w:rsidP="00B921CE">
      <w:pPr>
        <w:shd w:val="clear" w:color="auto" w:fill="FFFFFF"/>
        <w:tabs>
          <w:tab w:val="left" w:pos="-284"/>
          <w:tab w:val="left" w:pos="540"/>
        </w:tabs>
        <w:spacing w:line="276" w:lineRule="auto"/>
        <w:ind w:firstLine="567"/>
        <w:jc w:val="both"/>
      </w:pPr>
      <w:r>
        <w:t>Tiesa vai tiesnesis</w:t>
      </w:r>
      <w:r w:rsidR="00EF7D68">
        <w:t xml:space="preserve"> lēmumu par prasības nodrošināšanu pieņem ne vēlāk kā nākamajā dienā pēc lietas ierosināšanas (Civilprocesa likuma 140.panta pirmā daļa) vai dažkārt pat pirms lietas ierosināšanas (Civilprocesa likuma 139.pants), iepriekš par šā jautājuma izskatīšanu nepaziņojot atbildētājam un citiem lietas dalībniekiem. Tātad atbildētājs par šāda lēmuma pieņemšanu iepriekš nav informēts</w:t>
      </w:r>
      <w:r>
        <w:t>, proti,</w:t>
      </w:r>
      <w:r w:rsidR="00EF7D68">
        <w:t xml:space="preserve"> viņam nav iespēju izteikt savus iebildumus pret to</w:t>
      </w:r>
      <w:r w:rsidR="0016564E">
        <w:t xml:space="preserve">, kā arī </w:t>
      </w:r>
      <w:r w:rsidR="00782C1D">
        <w:t>nav iespējas to pārsūdzēt</w:t>
      </w:r>
      <w:r w:rsidR="001A3F1F">
        <w:t>. Šādā veidā tiek nodrošināta</w:t>
      </w:r>
      <w:r w:rsidR="00782C1D">
        <w:t xml:space="preserve"> prasības nodrošinājuma efektivitāt</w:t>
      </w:r>
      <w:r w:rsidR="001A3F1F">
        <w:t>e</w:t>
      </w:r>
      <w:r w:rsidR="00782C1D">
        <w:t>.</w:t>
      </w:r>
    </w:p>
    <w:p w14:paraId="51687AF7" w14:textId="50B00571" w:rsidR="00684607" w:rsidRPr="00BB4ED6" w:rsidRDefault="00EF7D68" w:rsidP="00B921CE">
      <w:pPr>
        <w:shd w:val="clear" w:color="auto" w:fill="FFFFFF"/>
        <w:tabs>
          <w:tab w:val="left" w:pos="-284"/>
          <w:tab w:val="left" w:pos="540"/>
        </w:tabs>
        <w:spacing w:line="276" w:lineRule="auto"/>
        <w:ind w:firstLine="567"/>
        <w:jc w:val="both"/>
      </w:pPr>
      <w:r>
        <w:t xml:space="preserve">Vienlaikus Civilprocesa likums paredz, ka </w:t>
      </w:r>
      <w:r w:rsidR="004F0085">
        <w:t xml:space="preserve">tā pati tiesa, kura nodrošinājusi prasību vai kuras lietvedībā atrodas lieta izskatīšanai pēc būtības, pēc atbildētāja </w:t>
      </w:r>
      <w:r>
        <w:t xml:space="preserve">motivēta pieteikuma </w:t>
      </w:r>
      <w:r w:rsidR="004F0085">
        <w:t>var atcelt prasības nodrošinājumu (Civilprocesa likuma 140.panta piektā daļa). Jautājums par prasības nodrošinājumu tiek izskatīts tiesas sēdē 30 dienu laikā pēc attiecīg</w:t>
      </w:r>
      <w:r w:rsidR="00A22C6A">
        <w:t>ā</w:t>
      </w:r>
      <w:r w:rsidR="004F0085">
        <w:t xml:space="preserve"> pieteikuma saņemšanas </w:t>
      </w:r>
      <w:r w:rsidR="0016564E">
        <w:t>un iepriekš par to tiek paziņots lietas dalībniekiem. Tād</w:t>
      </w:r>
      <w:r w:rsidR="00050FA8">
        <w:t>ē</w:t>
      </w:r>
      <w:r w:rsidR="0016564E">
        <w:t xml:space="preserve">jādi, ievērojot sacīkstes principu (Civilprocesa likuma 10.pants), kā arī pušu līdztiesības principu (Civilprocesa likuma 9.pants), abām pusēm ir līdzvērtīgas iespējas  līdz tiesas sēdei sagatavot un tiesas sēdē argumentēti pamatot  savu viedokli: atbildētājam – par to, ka </w:t>
      </w:r>
      <w:r w:rsidR="0016564E" w:rsidRPr="00BB4ED6">
        <w:t>konkrēt</w:t>
      </w:r>
      <w:r w:rsidR="00684607">
        <w:t>ajā gadījumā prasības nodrošinājums nav piemērojams</w:t>
      </w:r>
      <w:r w:rsidR="00BB4ED6">
        <w:t xml:space="preserve"> </w:t>
      </w:r>
      <w:r w:rsidR="00BB4ED6" w:rsidRPr="00050FA8">
        <w:t>(piemēram, ka prasībai nav mantiska rakstura</w:t>
      </w:r>
      <w:r w:rsidR="00684607" w:rsidRPr="00050FA8">
        <w:t>;</w:t>
      </w:r>
      <w:r w:rsidR="00BB4ED6" w:rsidRPr="00050FA8">
        <w:t xml:space="preserve"> prasītājs nav pierādījis tiesību pēc saistības, par kuru izteikts lūgums nodrošināt prasību</w:t>
      </w:r>
      <w:r w:rsidR="00684607" w:rsidRPr="00050FA8">
        <w:t>;</w:t>
      </w:r>
      <w:r w:rsidR="00A14A09" w:rsidRPr="00050FA8">
        <w:t xml:space="preserve"> prasības nodrošinājums neatbilst prasības priekšmetam un pamatam</w:t>
      </w:r>
      <w:r w:rsidR="00684607" w:rsidRPr="00050FA8">
        <w:t>;</w:t>
      </w:r>
      <w:r w:rsidR="00A14A09" w:rsidRPr="00050FA8">
        <w:t xml:space="preserve"> </w:t>
      </w:r>
      <w:r w:rsidR="00684607" w:rsidRPr="00050FA8">
        <w:t>piemērotie prasības nodrošinājuma līdzekļi nesamērīgi ierobežo personas</w:t>
      </w:r>
      <w:r w:rsidR="00050FA8">
        <w:t xml:space="preserve"> tiesības</w:t>
      </w:r>
      <w:r w:rsidR="00684607" w:rsidRPr="00050FA8">
        <w:t>, pret kuru vērsts nodrošinājums, prasības nodrošinājuma atcelšana  neapdraudēs sprieduma izpildi</w:t>
      </w:r>
      <w:r w:rsidR="00A14A09" w:rsidRPr="00050FA8">
        <w:t>)</w:t>
      </w:r>
      <w:r w:rsidR="00684607" w:rsidRPr="00050FA8">
        <w:t>,</w:t>
      </w:r>
      <w:r w:rsidR="00A14A09" w:rsidRPr="00050FA8">
        <w:t xml:space="preserve"> </w:t>
      </w:r>
      <w:r w:rsidR="00684607" w:rsidRPr="00BB4ED6">
        <w:t>bet prasītājam</w:t>
      </w:r>
      <w:r w:rsidR="00050FA8">
        <w:t xml:space="preserve"> –</w:t>
      </w:r>
      <w:r w:rsidR="00684607" w:rsidRPr="00BB4ED6">
        <w:t xml:space="preserve"> par to, kāpēc prasības nodrošinājuma atcelšana nav pieļaujama</w:t>
      </w:r>
      <w:r w:rsidR="00684607">
        <w:t xml:space="preserve"> </w:t>
      </w:r>
      <w:r w:rsidR="00684607" w:rsidRPr="00050FA8">
        <w:t>(sk.</w:t>
      </w:r>
      <w:r w:rsidR="00684607">
        <w:rPr>
          <w:i/>
        </w:rPr>
        <w:t xml:space="preserve"> Augstākās tiesas 2015.gada Tiesu prakses apkopojum</w:t>
      </w:r>
      <w:r w:rsidR="00A22C6A">
        <w:rPr>
          <w:i/>
        </w:rPr>
        <w:t>u</w:t>
      </w:r>
      <w:r w:rsidR="00684607">
        <w:rPr>
          <w:i/>
        </w:rPr>
        <w:t xml:space="preserve"> </w:t>
      </w:r>
      <w:r w:rsidR="00050FA8">
        <w:rPr>
          <w:i/>
        </w:rPr>
        <w:t>„</w:t>
      </w:r>
      <w:r w:rsidR="00684607">
        <w:rPr>
          <w:i/>
        </w:rPr>
        <w:t>Tiesu prakse prasības nodrošināšanas lietās”,</w:t>
      </w:r>
      <w:r w:rsidR="00684607" w:rsidRPr="00A14A09">
        <w:t xml:space="preserve"> </w:t>
      </w:r>
      <w:hyperlink r:id="rId9" w:history="1">
        <w:r w:rsidR="00684607">
          <w:rPr>
            <w:rStyle w:val="Hyperlink"/>
          </w:rPr>
          <w:t>http://www.at.gov.lv/lv/judikatura/tiesu-prakses-apkopojumi/civiltiesibas</w:t>
        </w:r>
      </w:hyperlink>
      <w:r w:rsidR="00684607" w:rsidRPr="00050FA8">
        <w:t>)</w:t>
      </w:r>
      <w:r w:rsidR="00684607" w:rsidRPr="00BB4ED6">
        <w:t>.</w:t>
      </w:r>
    </w:p>
    <w:p w14:paraId="30422E5F" w14:textId="77777777" w:rsidR="00EB416C" w:rsidRDefault="007D1CCD" w:rsidP="00B921CE">
      <w:pPr>
        <w:shd w:val="clear" w:color="auto" w:fill="FFFFFF"/>
        <w:tabs>
          <w:tab w:val="left" w:pos="-284"/>
          <w:tab w:val="left" w:pos="540"/>
        </w:tabs>
        <w:spacing w:line="276" w:lineRule="auto"/>
        <w:ind w:firstLine="567"/>
        <w:jc w:val="both"/>
      </w:pPr>
      <w:r>
        <w:t>Savukārt</w:t>
      </w:r>
      <w:r w:rsidR="005E758E">
        <w:t xml:space="preserve">, ja ar tiesas lēmumu tiek noraidīts </w:t>
      </w:r>
      <w:r w:rsidR="00EB416C">
        <w:t xml:space="preserve">pieteikums par </w:t>
      </w:r>
      <w:r w:rsidR="00D47A9E">
        <w:t xml:space="preserve">prasības nodrošinājuma </w:t>
      </w:r>
      <w:r w:rsidR="005E758E">
        <w:t>atcelšanu, tad saskaņā ar Civilprocesa likuma 141.panta pirmo daļu šādu lēmumu var pārsūdzēt, iesniedzot blakus sūdzību.</w:t>
      </w:r>
    </w:p>
    <w:p w14:paraId="75F9C7C7" w14:textId="3B03BE7B" w:rsidR="004646EA" w:rsidRDefault="00BB09DE" w:rsidP="00B921CE">
      <w:pPr>
        <w:shd w:val="clear" w:color="auto" w:fill="FFFFFF"/>
        <w:tabs>
          <w:tab w:val="left" w:pos="-284"/>
          <w:tab w:val="left" w:pos="540"/>
        </w:tabs>
        <w:spacing w:line="276" w:lineRule="auto"/>
        <w:ind w:firstLine="567"/>
        <w:jc w:val="both"/>
      </w:pPr>
      <w:r>
        <w:t>Rezumējot iepriekš minēto</w:t>
      </w:r>
      <w:r w:rsidR="00A22C6A">
        <w:t>,</w:t>
      </w:r>
      <w:r>
        <w:t xml:space="preserve"> secināms, </w:t>
      </w:r>
      <w:r w:rsidR="007D1CCD">
        <w:t>lai arī lēmums par prasības nodrošināšanu nav pārsūdzams, tomēr atbildētājam pastāv alternatīvs tiesību aizsardzības līdzeklis – tiesības prasīt prasības nodrošinājuma atcelšanu.</w:t>
      </w:r>
      <w:r w:rsidR="00307502">
        <w:t xml:space="preserve"> Citiem vārdiem,</w:t>
      </w:r>
      <w:r w:rsidR="00050FA8">
        <w:t xml:space="preserve"> nepastāv Civilprocesa likuma 484</w:t>
      </w:r>
      <w:r w:rsidR="00307502">
        <w:t>.pantā paredzētie apstākļi</w:t>
      </w:r>
      <w:r w:rsidR="00016870">
        <w:t xml:space="preserve">, lai ierosinātu kasācijas tiesvedību sakarā ar Ģenerālprokuratūras Personu un valsts tiesību aizsardzības departamenta virsprokurora protestu, jo </w:t>
      </w:r>
      <w:r w:rsidR="00D47A9E">
        <w:t>past</w:t>
      </w:r>
      <w:r w:rsidR="004E0F85">
        <w:t>ā</w:t>
      </w:r>
      <w:r w:rsidR="00D47A9E">
        <w:t xml:space="preserve">v alternatīvs tiesību aizsardzības līdzeklis </w:t>
      </w:r>
      <w:r w:rsidR="00A22C6A">
        <w:t>–</w:t>
      </w:r>
      <w:r w:rsidR="00D47A9E">
        <w:t xml:space="preserve"> </w:t>
      </w:r>
      <w:r w:rsidR="00016870">
        <w:t>pieteikums, ar kuru atbildētājs var lūgt atcelt prasības nodrošinājumu</w:t>
      </w:r>
      <w:r w:rsidR="004E0F85">
        <w:t xml:space="preserve"> un kura izskatīšana</w:t>
      </w:r>
      <w:r w:rsidR="00D47A9E">
        <w:t xml:space="preserve"> </w:t>
      </w:r>
      <w:r w:rsidR="00016870">
        <w:t xml:space="preserve">var rezultēties ar šā lēmuma atcelšanu. Turklāt, ja </w:t>
      </w:r>
      <w:r w:rsidR="004646EA">
        <w:t>pieteikums par prasības nodrošinājuma atcelšanu tiktu noraidīts, tad atbildētājam saglabājas tiesība šo lēmumu pārsūdzēt, iesniedzot blakus sūdzību.</w:t>
      </w:r>
    </w:p>
    <w:p w14:paraId="19AF5951" w14:textId="77777777" w:rsidR="000C1B41" w:rsidRDefault="000C1B41" w:rsidP="00B921CE">
      <w:pPr>
        <w:shd w:val="clear" w:color="auto" w:fill="FFFFFF"/>
        <w:tabs>
          <w:tab w:val="left" w:pos="-284"/>
          <w:tab w:val="left" w:pos="540"/>
        </w:tabs>
        <w:spacing w:line="276" w:lineRule="auto"/>
        <w:ind w:firstLine="567"/>
        <w:jc w:val="both"/>
      </w:pPr>
    </w:p>
    <w:p w14:paraId="55333648" w14:textId="40D55811" w:rsidR="004646EA" w:rsidRDefault="004646EA" w:rsidP="000C1B41">
      <w:pPr>
        <w:shd w:val="clear" w:color="auto" w:fill="FFFFFF"/>
        <w:tabs>
          <w:tab w:val="left" w:pos="-284"/>
          <w:tab w:val="left" w:pos="540"/>
        </w:tabs>
        <w:spacing w:line="276" w:lineRule="auto"/>
        <w:ind w:firstLine="567"/>
        <w:jc w:val="both"/>
      </w:pPr>
      <w:r>
        <w:t xml:space="preserve">[7] </w:t>
      </w:r>
      <w:r w:rsidR="00A01AA9">
        <w:t xml:space="preserve">Senatoru kolēģija </w:t>
      </w:r>
      <w:r w:rsidR="00310A0F">
        <w:t xml:space="preserve">vērš </w:t>
      </w:r>
      <w:r>
        <w:t>uzmanību, ka</w:t>
      </w:r>
      <w:r w:rsidR="00310A0F">
        <w:t xml:space="preserve"> tā</w:t>
      </w:r>
      <w:r w:rsidR="00922453">
        <w:t>s</w:t>
      </w:r>
      <w:r w:rsidR="00050FA8">
        <w:t xml:space="preserve"> ieskatā</w:t>
      </w:r>
      <w:r w:rsidR="00310A0F">
        <w:t xml:space="preserve"> </w:t>
      </w:r>
      <w:r>
        <w:t xml:space="preserve">likumdevējs, ierobežojot pušu tiesības par tiesas pieņemto lēmumu iesniegt blakus sūdzību, palielina tiesas procesa efektivitāti un nodrošina lietas izskatīšanu saprātīgā termiņā, jo, ierobežojot procesa dalībnieka tiesības </w:t>
      </w:r>
      <w:r w:rsidRPr="00BD3C4B">
        <w:t>lūgt lēmumu pārskatīt augstāka</w:t>
      </w:r>
      <w:r>
        <w:t xml:space="preserve"> līmeņa tiesai, laiks, kurā lieta tiek izskatīta pēc būtības un tiek taisīts </w:t>
      </w:r>
      <w:r>
        <w:lastRenderedPageBreak/>
        <w:t xml:space="preserve">spriedums, var tikt samazināts (sal. </w:t>
      </w:r>
      <w:r w:rsidRPr="002F00F4">
        <w:rPr>
          <w:i/>
        </w:rPr>
        <w:t>Satversmes tiesas 201</w:t>
      </w:r>
      <w:r>
        <w:rPr>
          <w:i/>
        </w:rPr>
        <w:t>0</w:t>
      </w:r>
      <w:r w:rsidRPr="002F00F4">
        <w:rPr>
          <w:i/>
        </w:rPr>
        <w:t xml:space="preserve">.gada </w:t>
      </w:r>
      <w:r>
        <w:rPr>
          <w:i/>
        </w:rPr>
        <w:t>30.marta</w:t>
      </w:r>
      <w:r w:rsidRPr="002F00F4">
        <w:rPr>
          <w:i/>
        </w:rPr>
        <w:t xml:space="preserve"> sprieduma lietā Nr.</w:t>
      </w:r>
      <w:r w:rsidR="00BD3C4B">
        <w:rPr>
          <w:i/>
        </w:rPr>
        <w:t> </w:t>
      </w:r>
      <w:r w:rsidR="00130F75" w:rsidRPr="002F00F4">
        <w:rPr>
          <w:i/>
        </w:rPr>
        <w:t>20</w:t>
      </w:r>
      <w:r w:rsidR="00130F75">
        <w:rPr>
          <w:i/>
        </w:rPr>
        <w:t>09</w:t>
      </w:r>
      <w:r w:rsidRPr="002F00F4">
        <w:rPr>
          <w:i/>
        </w:rPr>
        <w:t>-</w:t>
      </w:r>
      <w:r>
        <w:rPr>
          <w:i/>
        </w:rPr>
        <w:t>85</w:t>
      </w:r>
      <w:r w:rsidRPr="002F00F4">
        <w:rPr>
          <w:i/>
        </w:rPr>
        <w:t xml:space="preserve">-01 </w:t>
      </w:r>
      <w:r>
        <w:rPr>
          <w:i/>
        </w:rPr>
        <w:t>18</w:t>
      </w:r>
      <w:r w:rsidRPr="002F00F4">
        <w:rPr>
          <w:i/>
        </w:rPr>
        <w:t>.punkt</w:t>
      </w:r>
      <w:r w:rsidR="00050FA8">
        <w:rPr>
          <w:i/>
        </w:rPr>
        <w:t>s</w:t>
      </w:r>
      <w:r>
        <w:t xml:space="preserve">). </w:t>
      </w:r>
    </w:p>
    <w:p w14:paraId="28B64CDD" w14:textId="01DD69E5" w:rsidR="001D074C" w:rsidRDefault="00310A0F" w:rsidP="000C1B41">
      <w:pPr>
        <w:shd w:val="clear" w:color="auto" w:fill="FFFFFF"/>
        <w:tabs>
          <w:tab w:val="left" w:pos="-284"/>
          <w:tab w:val="left" w:pos="540"/>
        </w:tabs>
        <w:spacing w:line="276" w:lineRule="auto"/>
        <w:ind w:firstLine="567"/>
        <w:jc w:val="both"/>
      </w:pPr>
      <w:r>
        <w:t>Tād</w:t>
      </w:r>
      <w:r w:rsidR="00050FA8">
        <w:t>ē</w:t>
      </w:r>
      <w:r>
        <w:t xml:space="preserve">jādi, </w:t>
      </w:r>
      <w:r w:rsidR="001D074C">
        <w:t>l</w:t>
      </w:r>
      <w:r w:rsidR="004646EA">
        <w:t>ai sasniegtu leģitīmu mērķi, likumdevējs ir ierobežojis atbildētāja tiesības pārsūdzēt tiesas lēmumu, ar ko apmierināts pieteikums par prasības nodrošināšanu, kas uzskatāms par efektīvu līdzekli procesuālās ekonomijas nodrošināšanai (s</w:t>
      </w:r>
      <w:r w:rsidR="001D074C">
        <w:t>al</w:t>
      </w:r>
      <w:r w:rsidR="004646EA">
        <w:t xml:space="preserve">. </w:t>
      </w:r>
      <w:r w:rsidR="004646EA" w:rsidRPr="002F00F4">
        <w:rPr>
          <w:i/>
        </w:rPr>
        <w:t>Satversmes tiesas 201</w:t>
      </w:r>
      <w:r w:rsidR="004646EA">
        <w:rPr>
          <w:i/>
        </w:rPr>
        <w:t>0</w:t>
      </w:r>
      <w:r w:rsidR="004646EA" w:rsidRPr="002F00F4">
        <w:rPr>
          <w:i/>
        </w:rPr>
        <w:t xml:space="preserve">.gada </w:t>
      </w:r>
      <w:r w:rsidR="004646EA">
        <w:rPr>
          <w:i/>
        </w:rPr>
        <w:t>30.marta</w:t>
      </w:r>
      <w:r w:rsidR="004646EA" w:rsidRPr="002F00F4">
        <w:rPr>
          <w:i/>
        </w:rPr>
        <w:t xml:space="preserve"> sprieduma lietā Nr.</w:t>
      </w:r>
      <w:r w:rsidR="00BD3C4B">
        <w:rPr>
          <w:i/>
        </w:rPr>
        <w:t> </w:t>
      </w:r>
      <w:r w:rsidR="004646EA" w:rsidRPr="002F00F4">
        <w:rPr>
          <w:i/>
        </w:rPr>
        <w:t>20</w:t>
      </w:r>
      <w:r w:rsidR="00474FAE">
        <w:rPr>
          <w:i/>
        </w:rPr>
        <w:t>09</w:t>
      </w:r>
      <w:r w:rsidR="004646EA" w:rsidRPr="002F00F4">
        <w:rPr>
          <w:i/>
        </w:rPr>
        <w:t>-</w:t>
      </w:r>
      <w:r w:rsidR="004646EA">
        <w:rPr>
          <w:i/>
        </w:rPr>
        <w:t>85</w:t>
      </w:r>
      <w:r w:rsidR="004646EA" w:rsidRPr="002F00F4">
        <w:rPr>
          <w:i/>
        </w:rPr>
        <w:t xml:space="preserve">-01 </w:t>
      </w:r>
      <w:r w:rsidR="004646EA">
        <w:rPr>
          <w:i/>
        </w:rPr>
        <w:t>19</w:t>
      </w:r>
      <w:r w:rsidR="004646EA" w:rsidRPr="002F00F4">
        <w:rPr>
          <w:i/>
        </w:rPr>
        <w:t>.punkt</w:t>
      </w:r>
      <w:r w:rsidR="00050FA8">
        <w:rPr>
          <w:i/>
        </w:rPr>
        <w:t>s</w:t>
      </w:r>
      <w:r w:rsidR="004646EA">
        <w:t xml:space="preserve">). </w:t>
      </w:r>
      <w:r>
        <w:t>Vienlaikus</w:t>
      </w:r>
      <w:r w:rsidR="004646EA">
        <w:t xml:space="preserve"> kārtība, kas dod iespēju atbildētājam vērsties tiesā ar lūgumu atcelt prasības nodrošinājumu, nevis pārsūdzēt lēmumu, ar kuru prasība nodrošināta, saglabājot atbildētājam tiesības pārsūdzēt lēmumu, ar kuru pieteikums par prasības nodrošinājuma atcelšanu noraidīts, nodrošin</w:t>
      </w:r>
      <w:r>
        <w:t>a</w:t>
      </w:r>
      <w:r w:rsidR="004646EA">
        <w:t xml:space="preserve"> saprātīg</w:t>
      </w:r>
      <w:r>
        <w:t>u</w:t>
      </w:r>
      <w:r w:rsidR="004646EA">
        <w:t xml:space="preserve"> līdzsvar</w:t>
      </w:r>
      <w:r>
        <w:t>u</w:t>
      </w:r>
      <w:r w:rsidR="004646EA">
        <w:t xml:space="preserve"> starp abu pušu procesuālo tiesību vienlīdzību un procesuālo ekonomiju (sal. </w:t>
      </w:r>
      <w:r w:rsidR="004646EA" w:rsidRPr="002F00F4">
        <w:rPr>
          <w:i/>
        </w:rPr>
        <w:t>Satversmes tiesas 201</w:t>
      </w:r>
      <w:r w:rsidR="004646EA">
        <w:rPr>
          <w:i/>
        </w:rPr>
        <w:t>0</w:t>
      </w:r>
      <w:r w:rsidR="004646EA" w:rsidRPr="002F00F4">
        <w:rPr>
          <w:i/>
        </w:rPr>
        <w:t xml:space="preserve">.gada </w:t>
      </w:r>
      <w:r w:rsidR="004646EA">
        <w:rPr>
          <w:i/>
        </w:rPr>
        <w:t>30.marta</w:t>
      </w:r>
      <w:r w:rsidR="004646EA" w:rsidRPr="002F00F4">
        <w:rPr>
          <w:i/>
        </w:rPr>
        <w:t xml:space="preserve"> sprieduma lietā Nr.</w:t>
      </w:r>
      <w:r w:rsidR="00BD3C4B">
        <w:rPr>
          <w:i/>
        </w:rPr>
        <w:t> </w:t>
      </w:r>
      <w:r w:rsidR="004646EA" w:rsidRPr="002F00F4">
        <w:rPr>
          <w:i/>
        </w:rPr>
        <w:t>20</w:t>
      </w:r>
      <w:r w:rsidR="00474FAE">
        <w:rPr>
          <w:i/>
        </w:rPr>
        <w:t>09</w:t>
      </w:r>
      <w:r w:rsidR="004646EA" w:rsidRPr="002F00F4">
        <w:rPr>
          <w:i/>
        </w:rPr>
        <w:t>-</w:t>
      </w:r>
      <w:r w:rsidR="004646EA">
        <w:rPr>
          <w:i/>
        </w:rPr>
        <w:t>85</w:t>
      </w:r>
      <w:r w:rsidR="004646EA" w:rsidRPr="002F00F4">
        <w:rPr>
          <w:i/>
        </w:rPr>
        <w:t xml:space="preserve">-01 </w:t>
      </w:r>
      <w:r w:rsidR="004646EA">
        <w:rPr>
          <w:i/>
        </w:rPr>
        <w:t>20.1</w:t>
      </w:r>
      <w:r w:rsidR="004646EA" w:rsidRPr="002F00F4">
        <w:rPr>
          <w:i/>
        </w:rPr>
        <w:t>.punkt</w:t>
      </w:r>
      <w:r w:rsidR="00050FA8">
        <w:rPr>
          <w:i/>
        </w:rPr>
        <w:t>s</w:t>
      </w:r>
      <w:r w:rsidR="004646EA">
        <w:t xml:space="preserve">). </w:t>
      </w:r>
      <w:r w:rsidR="001D074C">
        <w:t>Proti, apstāklis, ka atbildētājs nevar pārsūdzēt lēmumu par prasības nodrošinājumu, nav uzskatāms par tādu šķērsli, kas rada Civilprocesa likuma 4</w:t>
      </w:r>
      <w:r w:rsidR="00050FA8">
        <w:t>84</w:t>
      </w:r>
      <w:r w:rsidR="001D074C">
        <w:t xml:space="preserve">.pantā paredzētās sekas – tiesības iesniegt protestu par šo lēmumu, ja </w:t>
      </w:r>
      <w:r w:rsidR="00782C1D">
        <w:t xml:space="preserve">atbildētājam ir nodrošināta tiesība iesniegt pieteikumu par prasības nodrošinājuma atcelšanu, kura noraidīšanas gadījumā tam saglabājas tiesība šādu lēmumu pārsūdzēt. </w:t>
      </w:r>
    </w:p>
    <w:p w14:paraId="2634343C" w14:textId="77777777" w:rsidR="000C1B41" w:rsidRDefault="000C1B41" w:rsidP="000C1B41">
      <w:pPr>
        <w:shd w:val="clear" w:color="auto" w:fill="FFFFFF"/>
        <w:tabs>
          <w:tab w:val="left" w:pos="-284"/>
          <w:tab w:val="left" w:pos="540"/>
        </w:tabs>
        <w:spacing w:line="276" w:lineRule="auto"/>
        <w:ind w:firstLine="567"/>
        <w:jc w:val="both"/>
      </w:pPr>
    </w:p>
    <w:p w14:paraId="3CB22B22" w14:textId="1B575ED2" w:rsidR="009C0ADC" w:rsidRDefault="00130B0E" w:rsidP="000C1B41">
      <w:pPr>
        <w:shd w:val="clear" w:color="auto" w:fill="FFFFFF"/>
        <w:tabs>
          <w:tab w:val="left" w:pos="-284"/>
          <w:tab w:val="left" w:pos="540"/>
        </w:tabs>
        <w:spacing w:line="276" w:lineRule="auto"/>
        <w:ind w:firstLine="567"/>
        <w:jc w:val="both"/>
      </w:pPr>
      <w:r>
        <w:t xml:space="preserve">[8] </w:t>
      </w:r>
      <w:r w:rsidR="00BF68BB">
        <w:t>Ņemot vērā iepriekš minēto, senatoru kolēģija secina, ka likums nepieļauj protesta iesniegšanu par lēmumu, ar kuru nodrošināta prasība. J</w:t>
      </w:r>
      <w:r w:rsidR="00A01AA9">
        <w:t>a atbildētāja</w:t>
      </w:r>
      <w:r w:rsidR="00050FA8">
        <w:t>s ieskatā</w:t>
      </w:r>
      <w:r w:rsidR="00A01AA9">
        <w:t xml:space="preserve"> ar pirmās instances tiesas prasības nodrošinājumu ir būtiski aizskartas tā</w:t>
      </w:r>
      <w:r w:rsidR="00050FA8">
        <w:t>s</w:t>
      </w:r>
      <w:r w:rsidR="00A01AA9">
        <w:t xml:space="preserve"> tiesības, </w:t>
      </w:r>
      <w:r w:rsidR="00A830AB">
        <w:t xml:space="preserve">tad </w:t>
      </w:r>
      <w:r w:rsidR="00A01AA9">
        <w:t>pēdēja</w:t>
      </w:r>
      <w:r w:rsidR="00050FA8">
        <w:t>i</w:t>
      </w:r>
      <w:r w:rsidR="00A01AA9">
        <w:t xml:space="preserve"> jāiesniedz pieteikums par prasības nodrošinājuma atcelšanu, nevis jāmēģina rast </w:t>
      </w:r>
      <w:r w:rsidR="00D32A55">
        <w:t xml:space="preserve">citus alternatīvus ceļus šā nolēmuma </w:t>
      </w:r>
      <w:r w:rsidR="00D32A55" w:rsidRPr="00D47A9E">
        <w:t>atcelšanai, cita starp</w:t>
      </w:r>
      <w:r w:rsidR="00BD3C4B">
        <w:t>ā</w:t>
      </w:r>
      <w:r w:rsidR="00D32A55" w:rsidRPr="00D47A9E">
        <w:t xml:space="preserve"> ar protesta iesniegšanas starpniecību</w:t>
      </w:r>
      <w:r w:rsidR="00D32A55">
        <w:t>. Vēl jo vairāk, ja pašreizējais procesuālais regulējums, kas paredz Ģenerālprokuratūras Personu un valsts tiesību aizsardzības departamenta virsprokuroram tiesības iesniegt protestu desmit gadu laikā kopš nolēmuma spēkā stāšanās dienas, ir nesamērīgi ilgs, uz ko ir norādījusi arī Satversmes tiesa (sk</w:t>
      </w:r>
      <w:r w:rsidR="00D32A55" w:rsidRPr="00D32A55">
        <w:rPr>
          <w:i/>
        </w:rPr>
        <w:t>. Satversmes tiesas</w:t>
      </w:r>
      <w:r w:rsidR="00D32A55">
        <w:t xml:space="preserve"> </w:t>
      </w:r>
      <w:r w:rsidR="00D32A55" w:rsidRPr="002F00F4">
        <w:rPr>
          <w:i/>
        </w:rPr>
        <w:t>2014.gada 9.janvāra sprieduma lietā Nr.</w:t>
      </w:r>
      <w:r w:rsidR="00BD3C4B">
        <w:rPr>
          <w:i/>
        </w:rPr>
        <w:t> </w:t>
      </w:r>
      <w:r w:rsidR="00D32A55" w:rsidRPr="002F00F4">
        <w:rPr>
          <w:i/>
        </w:rPr>
        <w:t>2013-08-01 1</w:t>
      </w:r>
      <w:r w:rsidR="00D32A55">
        <w:rPr>
          <w:i/>
        </w:rPr>
        <w:t>8.2</w:t>
      </w:r>
      <w:r w:rsidR="00D32A55" w:rsidRPr="002F00F4">
        <w:rPr>
          <w:i/>
        </w:rPr>
        <w:t>.punktu</w:t>
      </w:r>
      <w:r w:rsidR="00D32A55">
        <w:t xml:space="preserve">). </w:t>
      </w:r>
      <w:r w:rsidR="00A830AB">
        <w:t>Šajā aspektā jāņem vērā, ka p</w:t>
      </w:r>
      <w:r w:rsidR="009C0ADC">
        <w:t>ārāk ilgs protesta iesniegšanas termiņš noved pie spēkā esošu nolēmumu nenoteiktības un nav savienojams ar tiesiskās stabilitātes principu, kas ir tiesiskas valsts un tiesību uz taisnīgu t</w:t>
      </w:r>
      <w:r w:rsidR="00050FA8">
        <w:t>iesu neatņemama sastāvdaļa (</w:t>
      </w:r>
      <w:r w:rsidR="008741DB">
        <w:t>sk.</w:t>
      </w:r>
      <w:r w:rsidR="009C0ADC" w:rsidRPr="009C0ADC">
        <w:rPr>
          <w:i/>
        </w:rPr>
        <w:t xml:space="preserve"> ECT 2006.gada 21.septembra spriedum</w:t>
      </w:r>
      <w:r w:rsidR="00E80F2A">
        <w:rPr>
          <w:i/>
        </w:rPr>
        <w:t>a</w:t>
      </w:r>
      <w:r w:rsidR="009C0ADC" w:rsidRPr="009C0ADC">
        <w:rPr>
          <w:i/>
        </w:rPr>
        <w:t xml:space="preserve"> lietā “</w:t>
      </w:r>
      <w:proofErr w:type="spellStart"/>
      <w:r w:rsidR="009C0ADC" w:rsidRPr="009C0ADC">
        <w:rPr>
          <w:i/>
        </w:rPr>
        <w:t>Borshevskiy</w:t>
      </w:r>
      <w:proofErr w:type="spellEnd"/>
      <w:r w:rsidR="009C0ADC" w:rsidRPr="009C0ADC">
        <w:rPr>
          <w:i/>
        </w:rPr>
        <w:t xml:space="preserve"> v </w:t>
      </w:r>
      <w:proofErr w:type="spellStart"/>
      <w:r w:rsidR="009C0ADC" w:rsidRPr="009C0ADC">
        <w:rPr>
          <w:i/>
        </w:rPr>
        <w:t>Russia</w:t>
      </w:r>
      <w:proofErr w:type="spellEnd"/>
      <w:r w:rsidR="009C0ADC" w:rsidRPr="009C0ADC">
        <w:rPr>
          <w:i/>
        </w:rPr>
        <w:t>” iesniegum</w:t>
      </w:r>
      <w:r w:rsidR="00E80F2A">
        <w:rPr>
          <w:i/>
        </w:rPr>
        <w:t>a</w:t>
      </w:r>
      <w:r w:rsidR="009C0ADC" w:rsidRPr="009C0ADC">
        <w:rPr>
          <w:i/>
        </w:rPr>
        <w:t xml:space="preserve"> Nr.</w:t>
      </w:r>
      <w:r w:rsidR="00BD3C4B">
        <w:rPr>
          <w:i/>
        </w:rPr>
        <w:t> </w:t>
      </w:r>
      <w:r w:rsidR="009C0ADC" w:rsidRPr="009C0ADC">
        <w:rPr>
          <w:i/>
        </w:rPr>
        <w:t>14853/03, 47.</w:t>
      </w:r>
      <w:r w:rsidR="00BD3C4B">
        <w:rPr>
          <w:i/>
        </w:rPr>
        <w:t>–</w:t>
      </w:r>
      <w:r w:rsidR="009C0ADC" w:rsidRPr="009C0ADC">
        <w:rPr>
          <w:i/>
        </w:rPr>
        <w:t>50.paragrāf</w:t>
      </w:r>
      <w:r w:rsidR="008741DB">
        <w:rPr>
          <w:i/>
        </w:rPr>
        <w:t>u</w:t>
      </w:r>
      <w:r w:rsidR="009C0ADC">
        <w:t>).</w:t>
      </w:r>
    </w:p>
    <w:p w14:paraId="1A2D8521" w14:textId="77777777" w:rsidR="009C0ADC" w:rsidRDefault="009C0ADC" w:rsidP="007143A1">
      <w:pPr>
        <w:shd w:val="clear" w:color="auto" w:fill="FFFFFF"/>
        <w:tabs>
          <w:tab w:val="left" w:pos="-284"/>
          <w:tab w:val="left" w:pos="540"/>
        </w:tabs>
        <w:spacing w:line="276" w:lineRule="auto"/>
        <w:jc w:val="both"/>
      </w:pPr>
    </w:p>
    <w:p w14:paraId="5F590B4B" w14:textId="1C513B5E" w:rsidR="00CA2206" w:rsidRDefault="00CA2206" w:rsidP="000C1B41">
      <w:pPr>
        <w:shd w:val="clear" w:color="auto" w:fill="FFFFFF"/>
        <w:tabs>
          <w:tab w:val="left" w:pos="-284"/>
          <w:tab w:val="left" w:pos="540"/>
        </w:tabs>
        <w:spacing w:line="276" w:lineRule="auto"/>
        <w:jc w:val="center"/>
        <w:rPr>
          <w:b/>
        </w:rPr>
      </w:pPr>
      <w:r w:rsidRPr="00EA44BE">
        <w:rPr>
          <w:b/>
        </w:rPr>
        <w:t>Rezolutīvā daļa</w:t>
      </w:r>
    </w:p>
    <w:p w14:paraId="761320F2" w14:textId="77777777" w:rsidR="00CA2206" w:rsidRPr="00D711A7" w:rsidRDefault="00CA2206" w:rsidP="00CA2206">
      <w:pPr>
        <w:shd w:val="clear" w:color="auto" w:fill="FFFFFF"/>
        <w:tabs>
          <w:tab w:val="left" w:pos="-284"/>
          <w:tab w:val="left" w:pos="540"/>
        </w:tabs>
        <w:spacing w:line="276" w:lineRule="auto"/>
        <w:ind w:firstLine="720"/>
        <w:jc w:val="center"/>
        <w:rPr>
          <w:b/>
          <w:highlight w:val="yellow"/>
        </w:rPr>
      </w:pPr>
    </w:p>
    <w:p w14:paraId="56E3E8E9" w14:textId="77777777" w:rsidR="00CA2206" w:rsidRDefault="00CA2206" w:rsidP="00CA2206">
      <w:pPr>
        <w:shd w:val="clear" w:color="auto" w:fill="FFFFFF"/>
        <w:tabs>
          <w:tab w:val="left" w:pos="-284"/>
          <w:tab w:val="left" w:pos="540"/>
        </w:tabs>
        <w:spacing w:line="276" w:lineRule="auto"/>
        <w:ind w:firstLine="720"/>
        <w:jc w:val="both"/>
      </w:pPr>
      <w:r w:rsidRPr="00EA44BE">
        <w:t xml:space="preserve">Pamatojoties uz Civilprocesa likuma </w:t>
      </w:r>
      <w:r w:rsidR="00BF68BB">
        <w:t>484</w:t>
      </w:r>
      <w:r>
        <w:t>.pantu</w:t>
      </w:r>
      <w:r w:rsidRPr="00EA44BE">
        <w:t xml:space="preserve">, </w:t>
      </w:r>
      <w:r w:rsidR="00E80F2A">
        <w:t>s</w:t>
      </w:r>
      <w:r w:rsidRPr="00EA44BE">
        <w:t>en</w:t>
      </w:r>
      <w:r>
        <w:t>atoru kolēģija</w:t>
      </w:r>
      <w:r w:rsidRPr="00EA44BE">
        <w:t xml:space="preserve"> </w:t>
      </w:r>
    </w:p>
    <w:p w14:paraId="4F6BD082" w14:textId="77777777" w:rsidR="00BF68BB" w:rsidRDefault="00BF68BB" w:rsidP="00CA2206">
      <w:pPr>
        <w:shd w:val="clear" w:color="auto" w:fill="FFFFFF"/>
        <w:tabs>
          <w:tab w:val="left" w:pos="-284"/>
          <w:tab w:val="left" w:pos="540"/>
        </w:tabs>
        <w:spacing w:line="276" w:lineRule="auto"/>
        <w:ind w:firstLine="720"/>
        <w:jc w:val="center"/>
        <w:rPr>
          <w:b/>
        </w:rPr>
      </w:pPr>
    </w:p>
    <w:p w14:paraId="762AFA44" w14:textId="77777777" w:rsidR="00CA2206" w:rsidRDefault="00E80F2A" w:rsidP="000C1B41">
      <w:pPr>
        <w:shd w:val="clear" w:color="auto" w:fill="FFFFFF"/>
        <w:tabs>
          <w:tab w:val="left" w:pos="-284"/>
          <w:tab w:val="left" w:pos="540"/>
        </w:tabs>
        <w:spacing w:line="276" w:lineRule="auto"/>
        <w:jc w:val="center"/>
        <w:rPr>
          <w:b/>
        </w:rPr>
      </w:pPr>
      <w:r>
        <w:rPr>
          <w:b/>
        </w:rPr>
        <w:t>n</w:t>
      </w:r>
      <w:r w:rsidR="00CA2206">
        <w:rPr>
          <w:b/>
        </w:rPr>
        <w:t>olēma</w:t>
      </w:r>
    </w:p>
    <w:p w14:paraId="69D00A3F" w14:textId="77777777" w:rsidR="00CA2206" w:rsidRDefault="00CA2206" w:rsidP="00CA2206">
      <w:pPr>
        <w:shd w:val="clear" w:color="auto" w:fill="FFFFFF"/>
        <w:tabs>
          <w:tab w:val="left" w:pos="-284"/>
          <w:tab w:val="left" w:pos="540"/>
        </w:tabs>
        <w:spacing w:line="276" w:lineRule="auto"/>
        <w:ind w:firstLine="720"/>
        <w:jc w:val="center"/>
        <w:rPr>
          <w:b/>
        </w:rPr>
      </w:pPr>
    </w:p>
    <w:p w14:paraId="6D26035A" w14:textId="77777777" w:rsidR="00CA2206" w:rsidRDefault="00E80F2A" w:rsidP="000C1B41">
      <w:pPr>
        <w:shd w:val="clear" w:color="auto" w:fill="FFFFFF"/>
        <w:tabs>
          <w:tab w:val="left" w:pos="-284"/>
          <w:tab w:val="left" w:pos="540"/>
        </w:tabs>
        <w:spacing w:line="276" w:lineRule="auto"/>
        <w:ind w:firstLine="567"/>
        <w:jc w:val="both"/>
      </w:pPr>
      <w:r>
        <w:t>a</w:t>
      </w:r>
      <w:r w:rsidR="00CA2206">
        <w:t xml:space="preserve">tteikt </w:t>
      </w:r>
      <w:r w:rsidR="008B26C5">
        <w:t>pieņemt</w:t>
      </w:r>
      <w:r w:rsidR="00CA2206">
        <w:t xml:space="preserve"> Ģenerālprokuratūras Personu un valsts tiesību aizsardzības departamenta virsprokurora protestu par Rīgas pilsētas Vidzemes priekšpilsētas tiesas tiesneša 2019.gada 14.augusta lēmumu par prasības nodrošināšanu</w:t>
      </w:r>
      <w:r w:rsidR="00BD3C4B">
        <w:t>.</w:t>
      </w:r>
    </w:p>
    <w:p w14:paraId="665B862F" w14:textId="77777777" w:rsidR="00CA2206" w:rsidRDefault="00CA2206" w:rsidP="000C1B41">
      <w:pPr>
        <w:shd w:val="clear" w:color="auto" w:fill="FFFFFF"/>
        <w:tabs>
          <w:tab w:val="left" w:pos="-284"/>
          <w:tab w:val="left" w:pos="540"/>
        </w:tabs>
        <w:spacing w:line="276" w:lineRule="auto"/>
        <w:ind w:firstLine="567"/>
        <w:jc w:val="both"/>
      </w:pPr>
      <w:r>
        <w:t>Lēmums nav pārsūdzams.</w:t>
      </w:r>
    </w:p>
    <w:sectPr w:rsidR="00CA2206" w:rsidSect="001B020D">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771A9" w14:textId="77777777" w:rsidR="000168CA" w:rsidRDefault="000168CA" w:rsidP="007250D2">
      <w:r>
        <w:separator/>
      </w:r>
    </w:p>
  </w:endnote>
  <w:endnote w:type="continuationSeparator" w:id="0">
    <w:p w14:paraId="176ECECB" w14:textId="77777777" w:rsidR="000168CA" w:rsidRDefault="000168CA" w:rsidP="00725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NewRomanPSMT">
    <w:altName w:val="Times New Roman"/>
    <w:panose1 w:val="00000000000000000000"/>
    <w:charset w:val="EE"/>
    <w:family w:val="auto"/>
    <w:notTrueType/>
    <w:pitch w:val="default"/>
    <w:sig w:usb0="00000005" w:usb1="00000000" w:usb2="00000000" w:usb3="00000000" w:csb0="00000002"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066159"/>
      <w:docPartObj>
        <w:docPartGallery w:val="Page Numbers (Bottom of Page)"/>
        <w:docPartUnique/>
      </w:docPartObj>
    </w:sdtPr>
    <w:sdtEndPr/>
    <w:sdtContent>
      <w:sdt>
        <w:sdtPr>
          <w:id w:val="1728636285"/>
          <w:docPartObj>
            <w:docPartGallery w:val="Page Numbers (Top of Page)"/>
            <w:docPartUnique/>
          </w:docPartObj>
        </w:sdtPr>
        <w:sdtEndPr/>
        <w:sdtContent>
          <w:p w14:paraId="6F72591A" w14:textId="77777777" w:rsidR="00050FA8" w:rsidRDefault="00050FA8">
            <w:pPr>
              <w:pStyle w:val="Footer"/>
              <w:jc w:val="center"/>
            </w:pPr>
            <w:r w:rsidRPr="00050FA8">
              <w:rPr>
                <w:bCs/>
              </w:rPr>
              <w:fldChar w:fldCharType="begin"/>
            </w:r>
            <w:r w:rsidRPr="00050FA8">
              <w:rPr>
                <w:bCs/>
              </w:rPr>
              <w:instrText xml:space="preserve"> PAGE </w:instrText>
            </w:r>
            <w:r w:rsidRPr="00050FA8">
              <w:rPr>
                <w:bCs/>
              </w:rPr>
              <w:fldChar w:fldCharType="separate"/>
            </w:r>
            <w:r w:rsidR="00C80E69">
              <w:rPr>
                <w:bCs/>
                <w:noProof/>
              </w:rPr>
              <w:t>4</w:t>
            </w:r>
            <w:r w:rsidRPr="00050FA8">
              <w:rPr>
                <w:bCs/>
              </w:rPr>
              <w:fldChar w:fldCharType="end"/>
            </w:r>
            <w:r>
              <w:t xml:space="preserve"> no </w:t>
            </w:r>
            <w:r w:rsidRPr="00E80F2A">
              <w:rPr>
                <w:bCs/>
              </w:rPr>
              <w:fldChar w:fldCharType="begin"/>
            </w:r>
            <w:r w:rsidRPr="00E80F2A">
              <w:rPr>
                <w:bCs/>
              </w:rPr>
              <w:instrText xml:space="preserve"> NUMPAGES  </w:instrText>
            </w:r>
            <w:r w:rsidRPr="00E80F2A">
              <w:rPr>
                <w:bCs/>
              </w:rPr>
              <w:fldChar w:fldCharType="separate"/>
            </w:r>
            <w:r w:rsidR="00C80E69">
              <w:rPr>
                <w:bCs/>
                <w:noProof/>
              </w:rPr>
              <w:t>5</w:t>
            </w:r>
            <w:r w:rsidRPr="00E80F2A">
              <w:rPr>
                <w:bCs/>
              </w:rPr>
              <w:fldChar w:fldCharType="end"/>
            </w:r>
          </w:p>
        </w:sdtContent>
      </w:sdt>
    </w:sdtContent>
  </w:sdt>
  <w:p w14:paraId="10D137E1" w14:textId="77777777" w:rsidR="00050FA8" w:rsidRDefault="00050F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50F16" w14:textId="77777777" w:rsidR="000168CA" w:rsidRDefault="000168CA" w:rsidP="007250D2">
      <w:r>
        <w:separator/>
      </w:r>
    </w:p>
  </w:footnote>
  <w:footnote w:type="continuationSeparator" w:id="0">
    <w:p w14:paraId="204A2B06" w14:textId="77777777" w:rsidR="000168CA" w:rsidRDefault="000168CA" w:rsidP="007250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857F4"/>
    <w:multiLevelType w:val="hybridMultilevel"/>
    <w:tmpl w:val="2C562654"/>
    <w:lvl w:ilvl="0" w:tplc="001A2D52">
      <w:numFmt w:val="bullet"/>
      <w:lvlText w:val="-"/>
      <w:lvlJc w:val="left"/>
      <w:pPr>
        <w:ind w:left="1080" w:hanging="360"/>
      </w:pPr>
      <w:rPr>
        <w:rFonts w:ascii="TimesNewRomanPSMT" w:eastAsia="Times New Roman" w:hAnsi="TimesNewRomanPSMT" w:cs="TimesNewRomanPSM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D8A52DF"/>
    <w:multiLevelType w:val="hybridMultilevel"/>
    <w:tmpl w:val="2DEAC990"/>
    <w:lvl w:ilvl="0" w:tplc="C15694E2">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3B850C80"/>
    <w:multiLevelType w:val="hybridMultilevel"/>
    <w:tmpl w:val="91DE6A30"/>
    <w:lvl w:ilvl="0" w:tplc="001A2D52">
      <w:numFmt w:val="bullet"/>
      <w:lvlText w:val="-"/>
      <w:lvlJc w:val="left"/>
      <w:pPr>
        <w:ind w:left="1080" w:hanging="360"/>
      </w:pPr>
      <w:rPr>
        <w:rFonts w:ascii="TimesNewRomanPSMT" w:eastAsia="Times New Roman" w:hAnsi="TimesNewRomanPSMT"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2F7E6F"/>
    <w:multiLevelType w:val="hybridMultilevel"/>
    <w:tmpl w:val="472CD580"/>
    <w:lvl w:ilvl="0" w:tplc="49A234FE">
      <w:numFmt w:val="bullet"/>
      <w:lvlText w:val="-"/>
      <w:lvlJc w:val="left"/>
      <w:pPr>
        <w:ind w:left="900" w:hanging="360"/>
      </w:pPr>
      <w:rPr>
        <w:rFonts w:ascii="Times New Roman" w:eastAsia="Times New Roman" w:hAnsi="Times New Roman" w:cs="Times New Roman" w:hint="default"/>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4" w15:restartNumberingAfterBreak="0">
    <w:nsid w:val="5CE04F13"/>
    <w:multiLevelType w:val="hybridMultilevel"/>
    <w:tmpl w:val="E17E6238"/>
    <w:lvl w:ilvl="0" w:tplc="C5EEE3C6">
      <w:numFmt w:val="bullet"/>
      <w:lvlText w:val="-"/>
      <w:lvlJc w:val="left"/>
      <w:pPr>
        <w:ind w:left="900" w:hanging="360"/>
      </w:pPr>
      <w:rPr>
        <w:rFonts w:ascii="Times New Roman" w:eastAsia="Times New Roman" w:hAnsi="Times New Roman" w:cs="Times New Roman" w:hint="default"/>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5" w15:restartNumberingAfterBreak="0">
    <w:nsid w:val="63A342E0"/>
    <w:multiLevelType w:val="hybridMultilevel"/>
    <w:tmpl w:val="5762D5CC"/>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6" w15:restartNumberingAfterBreak="0">
    <w:nsid w:val="6BC76FE7"/>
    <w:multiLevelType w:val="hybridMultilevel"/>
    <w:tmpl w:val="1FDA412E"/>
    <w:lvl w:ilvl="0" w:tplc="5EF41FD8">
      <w:start w:val="1"/>
      <w:numFmt w:val="decimal"/>
      <w:lvlText w:val="%1)"/>
      <w:lvlJc w:val="left"/>
      <w:pPr>
        <w:ind w:left="660" w:hanging="360"/>
      </w:pPr>
      <w:rPr>
        <w:rFonts w:cs="Times New Roman" w:hint="default"/>
      </w:rPr>
    </w:lvl>
    <w:lvl w:ilvl="1" w:tplc="04260019" w:tentative="1">
      <w:start w:val="1"/>
      <w:numFmt w:val="lowerLetter"/>
      <w:lvlText w:val="%2."/>
      <w:lvlJc w:val="left"/>
      <w:pPr>
        <w:ind w:left="1380" w:hanging="360"/>
      </w:pPr>
      <w:rPr>
        <w:rFonts w:cs="Times New Roman"/>
      </w:rPr>
    </w:lvl>
    <w:lvl w:ilvl="2" w:tplc="0426001B" w:tentative="1">
      <w:start w:val="1"/>
      <w:numFmt w:val="lowerRoman"/>
      <w:lvlText w:val="%3."/>
      <w:lvlJc w:val="right"/>
      <w:pPr>
        <w:ind w:left="2100" w:hanging="180"/>
      </w:pPr>
      <w:rPr>
        <w:rFonts w:cs="Times New Roman"/>
      </w:rPr>
    </w:lvl>
    <w:lvl w:ilvl="3" w:tplc="0426000F" w:tentative="1">
      <w:start w:val="1"/>
      <w:numFmt w:val="decimal"/>
      <w:lvlText w:val="%4."/>
      <w:lvlJc w:val="left"/>
      <w:pPr>
        <w:ind w:left="2820" w:hanging="360"/>
      </w:pPr>
      <w:rPr>
        <w:rFonts w:cs="Times New Roman"/>
      </w:rPr>
    </w:lvl>
    <w:lvl w:ilvl="4" w:tplc="04260019" w:tentative="1">
      <w:start w:val="1"/>
      <w:numFmt w:val="lowerLetter"/>
      <w:lvlText w:val="%5."/>
      <w:lvlJc w:val="left"/>
      <w:pPr>
        <w:ind w:left="3540" w:hanging="360"/>
      </w:pPr>
      <w:rPr>
        <w:rFonts w:cs="Times New Roman"/>
      </w:rPr>
    </w:lvl>
    <w:lvl w:ilvl="5" w:tplc="0426001B" w:tentative="1">
      <w:start w:val="1"/>
      <w:numFmt w:val="lowerRoman"/>
      <w:lvlText w:val="%6."/>
      <w:lvlJc w:val="right"/>
      <w:pPr>
        <w:ind w:left="4260" w:hanging="180"/>
      </w:pPr>
      <w:rPr>
        <w:rFonts w:cs="Times New Roman"/>
      </w:rPr>
    </w:lvl>
    <w:lvl w:ilvl="6" w:tplc="0426000F" w:tentative="1">
      <w:start w:val="1"/>
      <w:numFmt w:val="decimal"/>
      <w:lvlText w:val="%7."/>
      <w:lvlJc w:val="left"/>
      <w:pPr>
        <w:ind w:left="4980" w:hanging="360"/>
      </w:pPr>
      <w:rPr>
        <w:rFonts w:cs="Times New Roman"/>
      </w:rPr>
    </w:lvl>
    <w:lvl w:ilvl="7" w:tplc="04260019" w:tentative="1">
      <w:start w:val="1"/>
      <w:numFmt w:val="lowerLetter"/>
      <w:lvlText w:val="%8."/>
      <w:lvlJc w:val="left"/>
      <w:pPr>
        <w:ind w:left="5700" w:hanging="360"/>
      </w:pPr>
      <w:rPr>
        <w:rFonts w:cs="Times New Roman"/>
      </w:rPr>
    </w:lvl>
    <w:lvl w:ilvl="8" w:tplc="0426001B" w:tentative="1">
      <w:start w:val="1"/>
      <w:numFmt w:val="lowerRoman"/>
      <w:lvlText w:val="%9."/>
      <w:lvlJc w:val="right"/>
      <w:pPr>
        <w:ind w:left="6420" w:hanging="180"/>
      </w:pPr>
      <w:rPr>
        <w:rFonts w:cs="Times New Roman"/>
      </w:rPr>
    </w:lvl>
  </w:abstractNum>
  <w:num w:numId="1">
    <w:abstractNumId w:val="6"/>
  </w:num>
  <w:num w:numId="2">
    <w:abstractNumId w:val="5"/>
  </w:num>
  <w:num w:numId="3">
    <w:abstractNumId w:val="1"/>
  </w:num>
  <w:num w:numId="4">
    <w:abstractNumId w:val="3"/>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287"/>
    <w:rsid w:val="00011CF5"/>
    <w:rsid w:val="00016870"/>
    <w:rsid w:val="000168CA"/>
    <w:rsid w:val="000204DB"/>
    <w:rsid w:val="000206F0"/>
    <w:rsid w:val="000417BF"/>
    <w:rsid w:val="00050FA8"/>
    <w:rsid w:val="00076FD2"/>
    <w:rsid w:val="000C1B41"/>
    <w:rsid w:val="00130B0E"/>
    <w:rsid w:val="00130F75"/>
    <w:rsid w:val="0016564E"/>
    <w:rsid w:val="00175E74"/>
    <w:rsid w:val="001970F1"/>
    <w:rsid w:val="00197431"/>
    <w:rsid w:val="001A3F1F"/>
    <w:rsid w:val="001B020D"/>
    <w:rsid w:val="001D074C"/>
    <w:rsid w:val="002439DF"/>
    <w:rsid w:val="00253889"/>
    <w:rsid w:val="00280C22"/>
    <w:rsid w:val="002F00F4"/>
    <w:rsid w:val="00307502"/>
    <w:rsid w:val="00310A0F"/>
    <w:rsid w:val="003170BD"/>
    <w:rsid w:val="0032071F"/>
    <w:rsid w:val="0032525D"/>
    <w:rsid w:val="00332AFA"/>
    <w:rsid w:val="00333F8D"/>
    <w:rsid w:val="00416287"/>
    <w:rsid w:val="00416F5F"/>
    <w:rsid w:val="00421035"/>
    <w:rsid w:val="00425697"/>
    <w:rsid w:val="00445044"/>
    <w:rsid w:val="00463CA3"/>
    <w:rsid w:val="004646EA"/>
    <w:rsid w:val="00474FAE"/>
    <w:rsid w:val="004C3D49"/>
    <w:rsid w:val="004C6D04"/>
    <w:rsid w:val="004D20AE"/>
    <w:rsid w:val="004E0F85"/>
    <w:rsid w:val="004E5621"/>
    <w:rsid w:val="004F0085"/>
    <w:rsid w:val="00514672"/>
    <w:rsid w:val="005831F3"/>
    <w:rsid w:val="005E758E"/>
    <w:rsid w:val="00672542"/>
    <w:rsid w:val="00684607"/>
    <w:rsid w:val="007143A1"/>
    <w:rsid w:val="007250D2"/>
    <w:rsid w:val="00782C1D"/>
    <w:rsid w:val="007D0D11"/>
    <w:rsid w:val="007D1CCD"/>
    <w:rsid w:val="007E4699"/>
    <w:rsid w:val="008741DB"/>
    <w:rsid w:val="00877292"/>
    <w:rsid w:val="00880996"/>
    <w:rsid w:val="008B26C5"/>
    <w:rsid w:val="008D24A7"/>
    <w:rsid w:val="009173EE"/>
    <w:rsid w:val="00922453"/>
    <w:rsid w:val="00936977"/>
    <w:rsid w:val="00983B3B"/>
    <w:rsid w:val="009C0ADC"/>
    <w:rsid w:val="009C6547"/>
    <w:rsid w:val="009F47A2"/>
    <w:rsid w:val="00A01AA9"/>
    <w:rsid w:val="00A14A09"/>
    <w:rsid w:val="00A22C6A"/>
    <w:rsid w:val="00A441E9"/>
    <w:rsid w:val="00A830AB"/>
    <w:rsid w:val="00AC73B8"/>
    <w:rsid w:val="00B176FA"/>
    <w:rsid w:val="00B921CE"/>
    <w:rsid w:val="00BB09DE"/>
    <w:rsid w:val="00BB3D3B"/>
    <w:rsid w:val="00BB4ED6"/>
    <w:rsid w:val="00BD3C4B"/>
    <w:rsid w:val="00BD564F"/>
    <w:rsid w:val="00BF68BB"/>
    <w:rsid w:val="00C06349"/>
    <w:rsid w:val="00C234EF"/>
    <w:rsid w:val="00C80E69"/>
    <w:rsid w:val="00CA2206"/>
    <w:rsid w:val="00CA2F07"/>
    <w:rsid w:val="00CC0E82"/>
    <w:rsid w:val="00D012C9"/>
    <w:rsid w:val="00D32A55"/>
    <w:rsid w:val="00D47A9E"/>
    <w:rsid w:val="00DB3110"/>
    <w:rsid w:val="00DD53E7"/>
    <w:rsid w:val="00DF6D9D"/>
    <w:rsid w:val="00E504B8"/>
    <w:rsid w:val="00E80F2A"/>
    <w:rsid w:val="00EB416C"/>
    <w:rsid w:val="00EF7D68"/>
    <w:rsid w:val="00F0579C"/>
    <w:rsid w:val="00F243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779F9"/>
  <w15:chartTrackingRefBased/>
  <w15:docId w15:val="{07BEF518-746C-4285-A65E-903643A01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287"/>
    <w:pPr>
      <w:spacing w:after="0" w:line="240" w:lineRule="auto"/>
    </w:pPr>
    <w:rPr>
      <w:rFonts w:eastAsia="Times New Roman" w:cs="Times New Roman"/>
      <w:szCs w:val="24"/>
      <w:lang w:eastAsia="lv-LV"/>
    </w:rPr>
  </w:style>
  <w:style w:type="paragraph" w:styleId="Heading4">
    <w:name w:val="heading 4"/>
    <w:basedOn w:val="Normal"/>
    <w:next w:val="Normal"/>
    <w:link w:val="Heading4Char"/>
    <w:uiPriority w:val="99"/>
    <w:qFormat/>
    <w:rsid w:val="007250D2"/>
    <w:pPr>
      <w:keepNext/>
      <w:spacing w:before="240" w:after="60" w:line="276" w:lineRule="auto"/>
      <w:outlineLvl w:val="3"/>
    </w:pPr>
    <w:rPr>
      <w:rFonts w:ascii="Calibri" w:hAnsi="Calibri"/>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416287"/>
    <w:pPr>
      <w:spacing w:before="100" w:beforeAutospacing="1" w:after="100" w:afterAutospacing="1"/>
    </w:pPr>
    <w:rPr>
      <w:lang w:val="en-US" w:eastAsia="en-US"/>
    </w:rPr>
  </w:style>
  <w:style w:type="character" w:customStyle="1" w:styleId="Heading4Char">
    <w:name w:val="Heading 4 Char"/>
    <w:basedOn w:val="DefaultParagraphFont"/>
    <w:link w:val="Heading4"/>
    <w:uiPriority w:val="99"/>
    <w:rsid w:val="007250D2"/>
    <w:rPr>
      <w:rFonts w:ascii="Calibri" w:eastAsia="Times New Roman" w:hAnsi="Calibri" w:cs="Times New Roman"/>
      <w:b/>
      <w:bCs/>
      <w:sz w:val="28"/>
      <w:szCs w:val="28"/>
    </w:rPr>
  </w:style>
  <w:style w:type="paragraph" w:styleId="ListParagraph">
    <w:name w:val="List Paragraph"/>
    <w:basedOn w:val="Normal"/>
    <w:uiPriority w:val="99"/>
    <w:qFormat/>
    <w:rsid w:val="007250D2"/>
    <w:pPr>
      <w:spacing w:after="200" w:line="276" w:lineRule="auto"/>
      <w:ind w:left="720"/>
      <w:contextualSpacing/>
    </w:pPr>
    <w:rPr>
      <w:rFonts w:ascii="Calibri" w:eastAsia="Calibri" w:hAnsi="Calibri"/>
      <w:sz w:val="22"/>
      <w:szCs w:val="22"/>
      <w:lang w:eastAsia="en-US"/>
    </w:rPr>
  </w:style>
  <w:style w:type="paragraph" w:styleId="FootnoteText">
    <w:name w:val="footnote text"/>
    <w:basedOn w:val="Normal"/>
    <w:link w:val="FootnoteTextChar"/>
    <w:uiPriority w:val="99"/>
    <w:semiHidden/>
    <w:rsid w:val="007250D2"/>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7250D2"/>
    <w:rPr>
      <w:rFonts w:ascii="Calibri" w:eastAsia="Calibri" w:hAnsi="Calibri" w:cs="Times New Roman"/>
      <w:sz w:val="20"/>
      <w:szCs w:val="20"/>
      <w:lang w:eastAsia="lv-LV"/>
    </w:rPr>
  </w:style>
  <w:style w:type="character" w:styleId="FootnoteReference">
    <w:name w:val="footnote reference"/>
    <w:uiPriority w:val="99"/>
    <w:semiHidden/>
    <w:rsid w:val="007250D2"/>
    <w:rPr>
      <w:rFonts w:cs="Times New Roman"/>
      <w:vertAlign w:val="superscript"/>
    </w:rPr>
  </w:style>
  <w:style w:type="character" w:styleId="Hyperlink">
    <w:name w:val="Hyperlink"/>
    <w:uiPriority w:val="99"/>
    <w:rsid w:val="007250D2"/>
    <w:rPr>
      <w:rFonts w:cs="Times New Roman"/>
      <w:color w:val="0000FF"/>
      <w:u w:val="single"/>
    </w:rPr>
  </w:style>
  <w:style w:type="paragraph" w:styleId="BalloonText">
    <w:name w:val="Balloon Text"/>
    <w:basedOn w:val="Normal"/>
    <w:link w:val="BalloonTextChar"/>
    <w:uiPriority w:val="99"/>
    <w:semiHidden/>
    <w:unhideWhenUsed/>
    <w:rsid w:val="000204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4DB"/>
    <w:rPr>
      <w:rFonts w:ascii="Segoe UI" w:eastAsia="Times New Roman" w:hAnsi="Segoe UI" w:cs="Segoe UI"/>
      <w:sz w:val="18"/>
      <w:szCs w:val="18"/>
      <w:lang w:eastAsia="lv-LV"/>
    </w:rPr>
  </w:style>
  <w:style w:type="paragraph" w:styleId="Header">
    <w:name w:val="header"/>
    <w:basedOn w:val="Normal"/>
    <w:link w:val="HeaderChar"/>
    <w:uiPriority w:val="99"/>
    <w:unhideWhenUsed/>
    <w:rsid w:val="00050FA8"/>
    <w:pPr>
      <w:tabs>
        <w:tab w:val="center" w:pos="4320"/>
        <w:tab w:val="right" w:pos="8640"/>
      </w:tabs>
    </w:pPr>
  </w:style>
  <w:style w:type="character" w:customStyle="1" w:styleId="HeaderChar">
    <w:name w:val="Header Char"/>
    <w:basedOn w:val="DefaultParagraphFont"/>
    <w:link w:val="Header"/>
    <w:uiPriority w:val="99"/>
    <w:rsid w:val="00050FA8"/>
    <w:rPr>
      <w:rFonts w:eastAsia="Times New Roman" w:cs="Times New Roman"/>
      <w:szCs w:val="24"/>
      <w:lang w:eastAsia="lv-LV"/>
    </w:rPr>
  </w:style>
  <w:style w:type="paragraph" w:styleId="Footer">
    <w:name w:val="footer"/>
    <w:basedOn w:val="Normal"/>
    <w:link w:val="FooterChar"/>
    <w:uiPriority w:val="99"/>
    <w:unhideWhenUsed/>
    <w:rsid w:val="00050FA8"/>
    <w:pPr>
      <w:tabs>
        <w:tab w:val="center" w:pos="4320"/>
        <w:tab w:val="right" w:pos="8640"/>
      </w:tabs>
    </w:pPr>
  </w:style>
  <w:style w:type="character" w:customStyle="1" w:styleId="FooterChar">
    <w:name w:val="Footer Char"/>
    <w:basedOn w:val="DefaultParagraphFont"/>
    <w:link w:val="Footer"/>
    <w:uiPriority w:val="99"/>
    <w:rsid w:val="00050FA8"/>
    <w:rPr>
      <w:rFonts w:eastAsia="Times New Roman" w:cs="Times New Roman"/>
      <w:szCs w:val="24"/>
      <w:lang w:eastAsia="lv-LV"/>
    </w:rPr>
  </w:style>
  <w:style w:type="character" w:styleId="CommentReference">
    <w:name w:val="annotation reference"/>
    <w:basedOn w:val="DefaultParagraphFont"/>
    <w:uiPriority w:val="99"/>
    <w:semiHidden/>
    <w:unhideWhenUsed/>
    <w:rsid w:val="00F2431B"/>
    <w:rPr>
      <w:sz w:val="16"/>
      <w:szCs w:val="16"/>
    </w:rPr>
  </w:style>
  <w:style w:type="paragraph" w:styleId="CommentText">
    <w:name w:val="annotation text"/>
    <w:basedOn w:val="Normal"/>
    <w:link w:val="CommentTextChar"/>
    <w:uiPriority w:val="99"/>
    <w:semiHidden/>
    <w:unhideWhenUsed/>
    <w:rsid w:val="00F2431B"/>
    <w:rPr>
      <w:sz w:val="20"/>
      <w:szCs w:val="20"/>
    </w:rPr>
  </w:style>
  <w:style w:type="character" w:customStyle="1" w:styleId="CommentTextChar">
    <w:name w:val="Comment Text Char"/>
    <w:basedOn w:val="DefaultParagraphFont"/>
    <w:link w:val="CommentText"/>
    <w:uiPriority w:val="99"/>
    <w:semiHidden/>
    <w:rsid w:val="00F2431B"/>
    <w:rPr>
      <w:rFonts w:eastAsia="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F2431B"/>
    <w:rPr>
      <w:b/>
      <w:bCs/>
    </w:rPr>
  </w:style>
  <w:style w:type="character" w:customStyle="1" w:styleId="CommentSubjectChar">
    <w:name w:val="Comment Subject Char"/>
    <w:basedOn w:val="CommentTextChar"/>
    <w:link w:val="CommentSubject"/>
    <w:uiPriority w:val="99"/>
    <w:semiHidden/>
    <w:rsid w:val="00F2431B"/>
    <w:rPr>
      <w:rFonts w:eastAsia="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TEMPLATEEDIT&amp;task=new&amp;tasktwo=newtemplfromoriginal&amp;fileid=6853478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t.gov.lv/lv/judikatura/tiesu-prakses-apkopojumi/civiltiesib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6BDB6-A896-42A3-8774-2CC41FFB9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9751</Words>
  <Characters>5559</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7</cp:revision>
  <cp:lastPrinted>2019-11-13T12:56:00Z</cp:lastPrinted>
  <dcterms:created xsi:type="dcterms:W3CDTF">2019-11-13T12:52:00Z</dcterms:created>
  <dcterms:modified xsi:type="dcterms:W3CDTF">2019-11-26T09:13:00Z</dcterms:modified>
</cp:coreProperties>
</file>